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A5C05">
      <w:pPr>
        <w:wordWrap w:val="0"/>
        <w:spacing w:before="185" w:line="214" w:lineRule="auto"/>
        <w:jc w:val="right"/>
        <w:outlineLvl w:val="0"/>
        <w:rPr>
          <w:rFonts w:hint="eastAsia" w:ascii="微软雅黑" w:hAnsi="微软雅黑" w:eastAsia="微软雅黑" w:cs="微软雅黑"/>
          <w:spacing w:val="9"/>
          <w:sz w:val="43"/>
          <w:szCs w:val="43"/>
          <w:lang w:val="en-US" w:eastAsia="zh-CN"/>
        </w:rPr>
      </w:pPr>
      <w:r>
        <w:rPr>
          <w:rFonts w:hint="eastAsia" w:ascii="微软雅黑" w:hAnsi="微软雅黑" w:eastAsia="微软雅黑" w:cs="微软雅黑"/>
          <w:spacing w:val="9"/>
          <w:sz w:val="43"/>
          <w:szCs w:val="43"/>
          <w:lang w:val="en-US" w:eastAsia="zh-CN"/>
        </w:rPr>
        <w:t xml:space="preserve"> </w:t>
      </w:r>
    </w:p>
    <w:p w14:paraId="61ADDD55">
      <w:pPr>
        <w:spacing w:before="185" w:line="214" w:lineRule="auto"/>
        <w:jc w:val="right"/>
        <w:outlineLvl w:val="0"/>
        <w:rPr>
          <w:rFonts w:ascii="微软雅黑" w:hAnsi="微软雅黑" w:eastAsia="微软雅黑" w:cs="微软雅黑"/>
          <w:spacing w:val="9"/>
          <w:sz w:val="43"/>
          <w:szCs w:val="43"/>
        </w:rPr>
      </w:pPr>
    </w:p>
    <w:p w14:paraId="0F98D262">
      <w:pPr>
        <w:spacing w:before="185" w:line="214" w:lineRule="auto"/>
        <w:jc w:val="right"/>
        <w:outlineLvl w:val="0"/>
        <w:rPr>
          <w:rFonts w:ascii="微软雅黑" w:hAnsi="微软雅黑" w:eastAsia="微软雅黑" w:cs="微软雅黑"/>
          <w:spacing w:val="9"/>
          <w:sz w:val="43"/>
          <w:szCs w:val="43"/>
        </w:rPr>
      </w:pPr>
    </w:p>
    <w:p w14:paraId="5589E538">
      <w:pPr>
        <w:spacing w:before="185" w:line="214" w:lineRule="auto"/>
        <w:jc w:val="center"/>
        <w:outlineLvl w:val="0"/>
        <w:rPr>
          <w:rFonts w:ascii="微软雅黑" w:hAnsi="微软雅黑" w:eastAsia="微软雅黑" w:cs="微软雅黑"/>
          <w:sz w:val="43"/>
          <w:szCs w:val="43"/>
        </w:rPr>
      </w:pPr>
      <w:r>
        <w:rPr>
          <w:rFonts w:hint="eastAsia" w:ascii="微软雅黑" w:hAnsi="微软雅黑" w:eastAsia="微软雅黑" w:cs="微软雅黑"/>
          <w:spacing w:val="9"/>
          <w:sz w:val="43"/>
          <w:szCs w:val="43"/>
          <w:lang w:eastAsia="zh-CN"/>
        </w:rPr>
        <w:t>津市市</w:t>
      </w:r>
      <w:r>
        <w:rPr>
          <w:rFonts w:ascii="微软雅黑" w:hAnsi="微软雅黑" w:eastAsia="微软雅黑" w:cs="微软雅黑"/>
          <w:spacing w:val="9"/>
          <w:sz w:val="43"/>
          <w:szCs w:val="43"/>
        </w:rPr>
        <w:t>交通运输综合行政执法事项指导目录</w:t>
      </w:r>
    </w:p>
    <w:p w14:paraId="3FBDFCC0">
      <w:pPr>
        <w:spacing w:before="278" w:line="210" w:lineRule="auto"/>
        <w:jc w:val="center"/>
        <w:outlineLvl w:val="0"/>
        <w:rPr>
          <w:rFonts w:ascii="微软雅黑" w:hAnsi="微软雅黑" w:eastAsia="微软雅黑" w:cs="微软雅黑"/>
          <w:spacing w:val="-19"/>
          <w:sz w:val="43"/>
          <w:szCs w:val="43"/>
        </w:rPr>
      </w:pPr>
      <w:r>
        <w:rPr>
          <w:rFonts w:ascii="微软雅黑" w:hAnsi="微软雅黑" w:eastAsia="微软雅黑" w:cs="微软雅黑"/>
          <w:spacing w:val="-19"/>
          <w:sz w:val="43"/>
          <w:szCs w:val="43"/>
        </w:rPr>
        <w:t>（</w:t>
      </w:r>
      <w:r>
        <w:rPr>
          <w:rFonts w:ascii="微软雅黑" w:hAnsi="微软雅黑" w:eastAsia="微软雅黑" w:cs="微软雅黑"/>
          <w:spacing w:val="-24"/>
          <w:sz w:val="43"/>
          <w:szCs w:val="43"/>
        </w:rPr>
        <w:t xml:space="preserve"> </w:t>
      </w:r>
      <w:r>
        <w:rPr>
          <w:rFonts w:ascii="微软雅黑" w:hAnsi="微软雅黑" w:eastAsia="微软雅黑" w:cs="微软雅黑"/>
          <w:spacing w:val="-19"/>
          <w:sz w:val="43"/>
          <w:szCs w:val="43"/>
        </w:rPr>
        <w:t>2025 年版）</w:t>
      </w:r>
    </w:p>
    <w:p w14:paraId="17DDA935">
      <w:pPr>
        <w:spacing w:before="278" w:line="210" w:lineRule="auto"/>
        <w:ind w:left="2776"/>
        <w:outlineLvl w:val="0"/>
        <w:rPr>
          <w:rFonts w:ascii="微软雅黑" w:hAnsi="微软雅黑" w:eastAsia="微软雅黑" w:cs="微软雅黑"/>
          <w:spacing w:val="-19"/>
          <w:sz w:val="43"/>
          <w:szCs w:val="43"/>
        </w:rPr>
      </w:pPr>
    </w:p>
    <w:p w14:paraId="31D146CD">
      <w:pPr>
        <w:spacing w:before="278" w:line="210" w:lineRule="auto"/>
        <w:ind w:left="2776"/>
        <w:outlineLvl w:val="0"/>
        <w:rPr>
          <w:rFonts w:ascii="微软雅黑" w:hAnsi="微软雅黑" w:eastAsia="微软雅黑" w:cs="微软雅黑"/>
          <w:spacing w:val="-19"/>
          <w:sz w:val="43"/>
          <w:szCs w:val="43"/>
        </w:rPr>
      </w:pPr>
    </w:p>
    <w:p w14:paraId="2B4DE160">
      <w:pPr>
        <w:spacing w:before="278" w:line="210" w:lineRule="auto"/>
        <w:ind w:left="2776"/>
        <w:outlineLvl w:val="0"/>
        <w:rPr>
          <w:rFonts w:ascii="微软雅黑" w:hAnsi="微软雅黑" w:eastAsia="微软雅黑" w:cs="微软雅黑"/>
          <w:spacing w:val="-19"/>
          <w:sz w:val="43"/>
          <w:szCs w:val="43"/>
        </w:rPr>
      </w:pPr>
    </w:p>
    <w:p w14:paraId="4DF9A05D">
      <w:pPr>
        <w:spacing w:before="278" w:line="210" w:lineRule="auto"/>
        <w:ind w:left="2776"/>
        <w:outlineLvl w:val="0"/>
        <w:rPr>
          <w:rFonts w:ascii="微软雅黑" w:hAnsi="微软雅黑" w:eastAsia="微软雅黑" w:cs="微软雅黑"/>
          <w:spacing w:val="-19"/>
          <w:sz w:val="43"/>
          <w:szCs w:val="43"/>
        </w:rPr>
      </w:pPr>
    </w:p>
    <w:p w14:paraId="79CD1A91">
      <w:pPr>
        <w:spacing w:before="278" w:line="210" w:lineRule="auto"/>
        <w:ind w:left="2776"/>
        <w:outlineLvl w:val="0"/>
        <w:rPr>
          <w:rFonts w:ascii="微软雅黑" w:hAnsi="微软雅黑" w:eastAsia="微软雅黑" w:cs="微软雅黑"/>
          <w:spacing w:val="-19"/>
          <w:sz w:val="43"/>
          <w:szCs w:val="43"/>
        </w:rPr>
      </w:pPr>
    </w:p>
    <w:p w14:paraId="4680E876">
      <w:pPr>
        <w:spacing w:before="278" w:line="210" w:lineRule="auto"/>
        <w:ind w:left="2776"/>
        <w:outlineLvl w:val="0"/>
        <w:rPr>
          <w:rFonts w:ascii="微软雅黑" w:hAnsi="微软雅黑" w:eastAsia="微软雅黑" w:cs="微软雅黑"/>
          <w:spacing w:val="-19"/>
          <w:sz w:val="43"/>
          <w:szCs w:val="43"/>
        </w:rPr>
      </w:pPr>
    </w:p>
    <w:p w14:paraId="1CD68F09">
      <w:pPr>
        <w:spacing w:before="278" w:line="210" w:lineRule="auto"/>
        <w:ind w:left="2776"/>
        <w:outlineLvl w:val="0"/>
        <w:rPr>
          <w:rFonts w:ascii="微软雅黑" w:hAnsi="微软雅黑" w:eastAsia="微软雅黑" w:cs="微软雅黑"/>
          <w:spacing w:val="-19"/>
          <w:sz w:val="43"/>
          <w:szCs w:val="43"/>
        </w:rPr>
      </w:pPr>
    </w:p>
    <w:p w14:paraId="3C22BC93">
      <w:pPr>
        <w:spacing w:before="278" w:line="210" w:lineRule="auto"/>
        <w:ind w:left="2776"/>
        <w:outlineLvl w:val="0"/>
        <w:rPr>
          <w:rFonts w:ascii="微软雅黑" w:hAnsi="微软雅黑" w:eastAsia="微软雅黑" w:cs="微软雅黑"/>
          <w:spacing w:val="-19"/>
          <w:sz w:val="43"/>
          <w:szCs w:val="43"/>
        </w:rPr>
      </w:pPr>
    </w:p>
    <w:p w14:paraId="4917D476">
      <w:pPr>
        <w:spacing w:before="278" w:line="210" w:lineRule="auto"/>
        <w:jc w:val="center"/>
        <w:outlineLvl w:val="0"/>
        <w:rPr>
          <w:rFonts w:hint="eastAsia" w:ascii="KaiTi_GB2312" w:hAnsi="KaiTi_GB2312" w:eastAsia="KaiTi_GB2312" w:cs="KaiTi_GB2312"/>
          <w:spacing w:val="5"/>
          <w:sz w:val="31"/>
          <w:szCs w:val="31"/>
          <w:lang w:eastAsia="zh-CN"/>
        </w:rPr>
      </w:pPr>
      <w:r>
        <w:rPr>
          <w:rFonts w:hint="eastAsia" w:ascii="KaiTi_GB2312" w:hAnsi="KaiTi_GB2312" w:eastAsia="KaiTi_GB2312" w:cs="KaiTi_GB2312"/>
          <w:b/>
          <w:bCs/>
          <w:spacing w:val="4"/>
          <w:sz w:val="31"/>
          <w:szCs w:val="31"/>
          <w:lang w:eastAsia="zh-CN"/>
        </w:rPr>
        <w:t>津市市</w:t>
      </w:r>
      <w:r>
        <w:rPr>
          <w:rFonts w:ascii="KaiTi_GB2312" w:hAnsi="KaiTi_GB2312" w:eastAsia="KaiTi_GB2312" w:cs="KaiTi_GB2312"/>
          <w:b/>
          <w:bCs/>
          <w:spacing w:val="4"/>
          <w:sz w:val="31"/>
          <w:szCs w:val="31"/>
        </w:rPr>
        <w:t>交通运输</w:t>
      </w:r>
      <w:r>
        <w:rPr>
          <w:rFonts w:hint="eastAsia" w:ascii="KaiTi_GB2312" w:hAnsi="KaiTi_GB2312" w:eastAsia="KaiTi_GB2312" w:cs="KaiTi_GB2312"/>
          <w:b/>
          <w:bCs/>
          <w:spacing w:val="4"/>
          <w:sz w:val="31"/>
          <w:szCs w:val="31"/>
          <w:lang w:eastAsia="zh-CN"/>
        </w:rPr>
        <w:t>局</w:t>
      </w:r>
    </w:p>
    <w:p w14:paraId="73E292E8">
      <w:pPr>
        <w:spacing w:before="278" w:line="210" w:lineRule="auto"/>
        <w:jc w:val="center"/>
        <w:outlineLvl w:val="0"/>
        <w:rPr>
          <w:rFonts w:ascii="微软雅黑" w:hAnsi="微软雅黑" w:eastAsia="微软雅黑" w:cs="微软雅黑"/>
          <w:spacing w:val="-19"/>
          <w:sz w:val="43"/>
          <w:szCs w:val="43"/>
        </w:rPr>
      </w:pPr>
      <w:r>
        <w:rPr>
          <w:rFonts w:ascii="KaiTi_GB2312" w:hAnsi="KaiTi_GB2312" w:eastAsia="KaiTi_GB2312" w:cs="KaiTi_GB2312"/>
          <w:b/>
          <w:bCs/>
          <w:spacing w:val="-9"/>
          <w:sz w:val="31"/>
          <w:szCs w:val="31"/>
        </w:rPr>
        <w:t>2025</w:t>
      </w:r>
      <w:r>
        <w:rPr>
          <w:rFonts w:ascii="KaiTi_GB2312" w:hAnsi="KaiTi_GB2312" w:eastAsia="KaiTi_GB2312" w:cs="KaiTi_GB2312"/>
          <w:spacing w:val="-60"/>
          <w:sz w:val="31"/>
          <w:szCs w:val="31"/>
        </w:rPr>
        <w:t xml:space="preserve"> </w:t>
      </w:r>
      <w:r>
        <w:rPr>
          <w:rFonts w:ascii="KaiTi_GB2312" w:hAnsi="KaiTi_GB2312" w:eastAsia="KaiTi_GB2312" w:cs="KaiTi_GB2312"/>
          <w:b/>
          <w:bCs/>
          <w:spacing w:val="-9"/>
          <w:sz w:val="31"/>
          <w:szCs w:val="31"/>
        </w:rPr>
        <w:t>年</w:t>
      </w:r>
      <w:r>
        <w:rPr>
          <w:rFonts w:ascii="KaiTi_GB2312" w:hAnsi="KaiTi_GB2312" w:eastAsia="KaiTi_GB2312" w:cs="KaiTi_GB2312"/>
          <w:spacing w:val="-36"/>
          <w:sz w:val="31"/>
          <w:szCs w:val="31"/>
        </w:rPr>
        <w:t xml:space="preserve"> </w:t>
      </w:r>
      <w:r>
        <w:rPr>
          <w:rFonts w:hint="eastAsia" w:ascii="KaiTi_GB2312" w:hAnsi="KaiTi_GB2312" w:eastAsia="KaiTi_GB2312" w:cs="KaiTi_GB2312"/>
          <w:b/>
          <w:bCs/>
          <w:spacing w:val="-9"/>
          <w:sz w:val="31"/>
          <w:szCs w:val="31"/>
          <w:lang w:val="en-US" w:eastAsia="zh-CN"/>
        </w:rPr>
        <w:t>5</w:t>
      </w:r>
      <w:r>
        <w:rPr>
          <w:rFonts w:ascii="KaiTi_GB2312" w:hAnsi="KaiTi_GB2312" w:eastAsia="KaiTi_GB2312" w:cs="KaiTi_GB2312"/>
          <w:spacing w:val="-42"/>
          <w:sz w:val="31"/>
          <w:szCs w:val="31"/>
        </w:rPr>
        <w:t xml:space="preserve"> </w:t>
      </w:r>
      <w:r>
        <w:rPr>
          <w:rFonts w:ascii="KaiTi_GB2312" w:hAnsi="KaiTi_GB2312" w:eastAsia="KaiTi_GB2312" w:cs="KaiTi_GB2312"/>
          <w:b/>
          <w:bCs/>
          <w:spacing w:val="-9"/>
          <w:sz w:val="31"/>
          <w:szCs w:val="31"/>
        </w:rPr>
        <w:t>月</w:t>
      </w:r>
    </w:p>
    <w:p w14:paraId="52CC38C9">
      <w:pPr>
        <w:pStyle w:val="2"/>
        <w:spacing w:line="289" w:lineRule="auto"/>
      </w:pPr>
    </w:p>
    <w:p w14:paraId="4C5D74D2">
      <w:pPr>
        <w:pStyle w:val="2"/>
        <w:spacing w:line="289" w:lineRule="auto"/>
      </w:pPr>
    </w:p>
    <w:p w14:paraId="1EF86F34">
      <w:pPr>
        <w:pStyle w:val="2"/>
        <w:spacing w:line="289" w:lineRule="auto"/>
      </w:pPr>
    </w:p>
    <w:p w14:paraId="42AC05EC">
      <w:pPr>
        <w:pStyle w:val="2"/>
        <w:spacing w:line="289" w:lineRule="auto"/>
      </w:pPr>
    </w:p>
    <w:p w14:paraId="626B3C7C">
      <w:pPr>
        <w:pStyle w:val="2"/>
        <w:spacing w:line="289" w:lineRule="auto"/>
      </w:pPr>
    </w:p>
    <w:p w14:paraId="19C8F3A7">
      <w:pPr>
        <w:pStyle w:val="2"/>
        <w:spacing w:line="289" w:lineRule="auto"/>
      </w:pPr>
    </w:p>
    <w:p w14:paraId="2E1797C0">
      <w:pPr>
        <w:pStyle w:val="2"/>
        <w:spacing w:line="289" w:lineRule="auto"/>
      </w:pPr>
    </w:p>
    <w:p w14:paraId="59A17F25">
      <w:pPr>
        <w:pStyle w:val="2"/>
        <w:spacing w:line="289" w:lineRule="auto"/>
      </w:pPr>
    </w:p>
    <w:p w14:paraId="020EED27">
      <w:pPr>
        <w:pStyle w:val="2"/>
        <w:spacing w:line="289" w:lineRule="auto"/>
      </w:pPr>
    </w:p>
    <w:p w14:paraId="6CBCBA0E">
      <w:pPr>
        <w:pStyle w:val="2"/>
        <w:spacing w:line="289" w:lineRule="auto"/>
      </w:pPr>
    </w:p>
    <w:p w14:paraId="7E142689">
      <w:pPr>
        <w:pStyle w:val="2"/>
        <w:spacing w:line="289" w:lineRule="auto"/>
      </w:pPr>
    </w:p>
    <w:p w14:paraId="5AD00B30">
      <w:pPr>
        <w:pStyle w:val="2"/>
        <w:spacing w:line="289" w:lineRule="auto"/>
      </w:pPr>
    </w:p>
    <w:p w14:paraId="5BA33B3B">
      <w:pPr>
        <w:pStyle w:val="2"/>
        <w:spacing w:line="290" w:lineRule="auto"/>
      </w:pPr>
    </w:p>
    <w:p w14:paraId="2D571D28">
      <w:pPr>
        <w:pStyle w:val="2"/>
        <w:spacing w:line="290" w:lineRule="auto"/>
      </w:pPr>
    </w:p>
    <w:sdt>
      <w:sdtPr>
        <w:rPr>
          <w:rFonts w:ascii="微软雅黑" w:hAnsi="微软雅黑" w:eastAsia="微软雅黑" w:cs="微软雅黑"/>
          <w:sz w:val="40"/>
          <w:szCs w:val="40"/>
        </w:rPr>
        <w:id w:val="147452618"/>
        <w:docPartObj>
          <w:docPartGallery w:val="Table of Contents"/>
          <w:docPartUnique/>
        </w:docPartObj>
      </w:sdtPr>
      <w:sdtEndPr>
        <w:rPr>
          <w:rFonts w:ascii="宋体" w:hAnsi="宋体" w:eastAsia="宋体" w:cs="宋体"/>
          <w:sz w:val="28"/>
          <w:szCs w:val="28"/>
        </w:rPr>
      </w:sdtEndPr>
      <w:sdtContent>
        <w:p w14:paraId="508CA4F9">
          <w:pPr>
            <w:spacing w:before="171" w:line="180" w:lineRule="auto"/>
            <w:ind w:left="3521"/>
            <w:rPr>
              <w:rFonts w:ascii="微软雅黑" w:hAnsi="微软雅黑" w:eastAsia="微软雅黑" w:cs="微软雅黑"/>
              <w:sz w:val="40"/>
              <w:szCs w:val="40"/>
            </w:rPr>
          </w:pPr>
          <w:r>
            <w:rPr>
              <w:rFonts w:ascii="微软雅黑" w:hAnsi="微软雅黑" w:eastAsia="微软雅黑" w:cs="微软雅黑"/>
              <w:spacing w:val="-33"/>
              <w:sz w:val="40"/>
              <w:szCs w:val="40"/>
            </w:rPr>
            <w:t>目</w:t>
          </w:r>
          <w:r>
            <w:rPr>
              <w:rFonts w:ascii="微软雅黑" w:hAnsi="微软雅黑" w:eastAsia="微软雅黑" w:cs="微软雅黑"/>
              <w:spacing w:val="8"/>
              <w:sz w:val="40"/>
              <w:szCs w:val="40"/>
            </w:rPr>
            <w:t xml:space="preserve">        </w:t>
          </w:r>
          <w:r>
            <w:rPr>
              <w:rFonts w:ascii="微软雅黑" w:hAnsi="微软雅黑" w:eastAsia="微软雅黑" w:cs="微软雅黑"/>
              <w:spacing w:val="-33"/>
              <w:sz w:val="40"/>
              <w:szCs w:val="40"/>
            </w:rPr>
            <w:t>录</w:t>
          </w:r>
        </w:p>
        <w:p w14:paraId="128E02E5">
          <w:pPr>
            <w:pStyle w:val="2"/>
            <w:spacing w:line="312" w:lineRule="auto"/>
          </w:pPr>
        </w:p>
        <w:p w14:paraId="5EFEB63B">
          <w:pPr>
            <w:pStyle w:val="2"/>
            <w:spacing w:line="312" w:lineRule="auto"/>
          </w:pPr>
        </w:p>
        <w:p w14:paraId="7E925C9E">
          <w:pPr>
            <w:pStyle w:val="2"/>
            <w:spacing w:line="312" w:lineRule="auto"/>
          </w:pPr>
        </w:p>
        <w:p w14:paraId="28AC2711">
          <w:pPr>
            <w:tabs>
              <w:tab w:val="right" w:leader="dot" w:pos="8512"/>
            </w:tabs>
            <w:spacing w:before="91" w:line="221" w:lineRule="auto"/>
            <w:ind w:left="5"/>
            <w:rPr>
              <w:rFonts w:ascii="宋体" w:hAnsi="宋体" w:eastAsia="宋体" w:cs="宋体"/>
              <w:sz w:val="28"/>
              <w:szCs w:val="28"/>
            </w:rPr>
          </w:pPr>
          <w:bookmarkStart w:id="0" w:name="bookmark1"/>
          <w:bookmarkEnd w:id="0"/>
          <w:r>
            <w:fldChar w:fldCharType="begin"/>
          </w:r>
          <w:r>
            <w:instrText xml:space="preserve"> HYPERLINK \l "bookmark1" </w:instrText>
          </w:r>
          <w:r>
            <w:fldChar w:fldCharType="separate"/>
          </w:r>
          <w:r>
            <w:rPr>
              <w:rFonts w:ascii="宋体" w:hAnsi="宋体" w:eastAsia="宋体" w:cs="宋体"/>
              <w:spacing w:val="-2"/>
              <w:sz w:val="28"/>
              <w:szCs w:val="28"/>
            </w:rPr>
            <w:t>一、行政许可事项</w:t>
          </w:r>
          <w:r>
            <w:rPr>
              <w:rFonts w:ascii="宋体" w:hAnsi="宋体" w:eastAsia="宋体" w:cs="宋体"/>
              <w:spacing w:val="-107"/>
              <w:sz w:val="28"/>
              <w:szCs w:val="28"/>
            </w:rPr>
            <w:t xml:space="preserve"> </w:t>
          </w:r>
          <w:r>
            <w:rPr>
              <w:rFonts w:ascii="宋体" w:hAnsi="宋体" w:eastAsia="宋体" w:cs="宋体"/>
              <w:sz w:val="28"/>
              <w:szCs w:val="28"/>
            </w:rPr>
            <w:tab/>
          </w:r>
          <w:r>
            <w:rPr>
              <w:rFonts w:ascii="宋体" w:hAnsi="宋体" w:eastAsia="宋体" w:cs="宋体"/>
              <w:spacing w:val="-73"/>
              <w:sz w:val="28"/>
              <w:szCs w:val="28"/>
            </w:rPr>
            <w:t xml:space="preserve"> </w:t>
          </w:r>
          <w:r>
            <w:rPr>
              <w:rFonts w:ascii="宋体" w:hAnsi="宋体" w:eastAsia="宋体" w:cs="宋体"/>
              <w:spacing w:val="-25"/>
              <w:sz w:val="28"/>
              <w:szCs w:val="28"/>
            </w:rPr>
            <w:t>（</w:t>
          </w:r>
          <w:r>
            <w:rPr>
              <w:rFonts w:ascii="宋体" w:hAnsi="宋体" w:eastAsia="宋体" w:cs="宋体"/>
              <w:spacing w:val="-67"/>
              <w:sz w:val="28"/>
              <w:szCs w:val="28"/>
            </w:rPr>
            <w:t xml:space="preserve"> </w:t>
          </w:r>
          <w:r>
            <w:rPr>
              <w:rFonts w:ascii="Times New Roman" w:hAnsi="Times New Roman" w:eastAsia="Times New Roman" w:cs="Times New Roman"/>
              <w:spacing w:val="-25"/>
              <w:sz w:val="28"/>
              <w:szCs w:val="28"/>
            </w:rPr>
            <w:t>1</w:t>
          </w:r>
          <w:r>
            <w:rPr>
              <w:rFonts w:ascii="宋体" w:hAnsi="宋体" w:eastAsia="宋体" w:cs="宋体"/>
              <w:spacing w:val="-25"/>
              <w:sz w:val="28"/>
              <w:szCs w:val="28"/>
            </w:rPr>
            <w:t>）</w:t>
          </w:r>
          <w:r>
            <w:rPr>
              <w:rFonts w:ascii="宋体" w:hAnsi="宋体" w:eastAsia="宋体" w:cs="宋体"/>
              <w:spacing w:val="-25"/>
              <w:sz w:val="28"/>
              <w:szCs w:val="28"/>
            </w:rPr>
            <w:fldChar w:fldCharType="end"/>
          </w:r>
        </w:p>
        <w:p w14:paraId="1381919B">
          <w:pPr>
            <w:pStyle w:val="2"/>
            <w:spacing w:line="371" w:lineRule="auto"/>
          </w:pPr>
        </w:p>
        <w:p w14:paraId="4A9886EE">
          <w:pPr>
            <w:tabs>
              <w:tab w:val="right" w:leader="dot" w:pos="8652"/>
            </w:tabs>
            <w:spacing w:before="91" w:line="220" w:lineRule="auto"/>
            <w:ind w:left="5"/>
            <w:rPr>
              <w:rFonts w:ascii="宋体" w:hAnsi="宋体" w:eastAsia="宋体" w:cs="宋体"/>
              <w:sz w:val="28"/>
              <w:szCs w:val="28"/>
            </w:rPr>
          </w:pPr>
          <w:bookmarkStart w:id="1" w:name="bookmark2"/>
          <w:bookmarkEnd w:id="1"/>
          <w:r>
            <w:fldChar w:fldCharType="begin"/>
          </w:r>
          <w:r>
            <w:instrText xml:space="preserve"> HYPERLINK \l "bookmark2" </w:instrText>
          </w:r>
          <w:r>
            <w:fldChar w:fldCharType="separate"/>
          </w:r>
          <w:r>
            <w:rPr>
              <w:rFonts w:ascii="宋体" w:hAnsi="宋体" w:eastAsia="宋体" w:cs="宋体"/>
              <w:spacing w:val="-2"/>
              <w:sz w:val="28"/>
              <w:szCs w:val="28"/>
            </w:rPr>
            <w:t>二、道路运输管理执法事项</w:t>
          </w:r>
          <w:r>
            <w:rPr>
              <w:rFonts w:ascii="宋体" w:hAnsi="宋体" w:eastAsia="宋体" w:cs="宋体"/>
              <w:spacing w:val="-101"/>
              <w:sz w:val="28"/>
              <w:szCs w:val="28"/>
            </w:rPr>
            <w:t xml:space="preserve"> </w:t>
          </w:r>
          <w:r>
            <w:rPr>
              <w:rFonts w:ascii="宋体" w:hAnsi="宋体" w:eastAsia="宋体" w:cs="宋体"/>
              <w:sz w:val="28"/>
              <w:szCs w:val="28"/>
            </w:rPr>
            <w:tab/>
          </w:r>
          <w:r>
            <w:rPr>
              <w:rFonts w:ascii="宋体" w:hAnsi="宋体" w:eastAsia="宋体" w:cs="宋体"/>
              <w:spacing w:val="-75"/>
              <w:sz w:val="28"/>
              <w:szCs w:val="28"/>
            </w:rPr>
            <w:t xml:space="preserve"> </w:t>
          </w:r>
          <w:r>
            <w:rPr>
              <w:rFonts w:ascii="宋体" w:hAnsi="宋体" w:eastAsia="宋体" w:cs="宋体"/>
              <w:sz w:val="28"/>
              <w:szCs w:val="28"/>
            </w:rPr>
            <w:t>（</w:t>
          </w:r>
          <w:r>
            <w:rPr>
              <w:rFonts w:ascii="Times New Roman" w:hAnsi="Times New Roman" w:eastAsia="Times New Roman" w:cs="Times New Roman"/>
              <w:sz w:val="28"/>
              <w:szCs w:val="28"/>
            </w:rPr>
            <w:t>3</w:t>
          </w:r>
          <w:r>
            <w:rPr>
              <w:rFonts w:hint="eastAsia" w:ascii="Times New Roman" w:hAnsi="Times New Roman" w:eastAsia="宋体" w:cs="Times New Roman"/>
              <w:sz w:val="28"/>
              <w:szCs w:val="28"/>
              <w:lang w:val="en-US" w:eastAsia="zh-CN"/>
            </w:rPr>
            <w:t>2</w:t>
          </w:r>
          <w:r>
            <w:rPr>
              <w:rFonts w:ascii="宋体" w:hAnsi="宋体" w:eastAsia="宋体" w:cs="宋体"/>
              <w:sz w:val="28"/>
              <w:szCs w:val="28"/>
            </w:rPr>
            <w:t>）</w:t>
          </w:r>
          <w:r>
            <w:rPr>
              <w:rFonts w:ascii="宋体" w:hAnsi="宋体" w:eastAsia="宋体" w:cs="宋体"/>
              <w:sz w:val="28"/>
              <w:szCs w:val="28"/>
            </w:rPr>
            <w:fldChar w:fldCharType="end"/>
          </w:r>
        </w:p>
        <w:p w14:paraId="40D9B42E">
          <w:pPr>
            <w:pStyle w:val="2"/>
            <w:spacing w:line="372" w:lineRule="auto"/>
          </w:pPr>
        </w:p>
        <w:p w14:paraId="5384429C">
          <w:pPr>
            <w:tabs>
              <w:tab w:val="right" w:leader="dot" w:pos="8652"/>
            </w:tabs>
            <w:spacing w:before="91" w:line="220" w:lineRule="auto"/>
            <w:ind w:left="1"/>
            <w:rPr>
              <w:rFonts w:ascii="宋体" w:hAnsi="宋体" w:eastAsia="宋体" w:cs="宋体"/>
              <w:sz w:val="28"/>
              <w:szCs w:val="28"/>
            </w:rPr>
          </w:pPr>
          <w:bookmarkStart w:id="2" w:name="bookmark3"/>
          <w:bookmarkEnd w:id="2"/>
          <w:r>
            <w:fldChar w:fldCharType="begin"/>
          </w:r>
          <w:r>
            <w:instrText xml:space="preserve"> HYPERLINK \l "bookmark3" </w:instrText>
          </w:r>
          <w:r>
            <w:fldChar w:fldCharType="separate"/>
          </w:r>
          <w:r>
            <w:rPr>
              <w:rFonts w:ascii="宋体" w:hAnsi="宋体" w:eastAsia="宋体" w:cs="宋体"/>
              <w:spacing w:val="-1"/>
              <w:sz w:val="28"/>
              <w:szCs w:val="28"/>
            </w:rPr>
            <w:t>三、公路管理执法事项</w:t>
          </w:r>
          <w:r>
            <w:rPr>
              <w:rFonts w:ascii="宋体" w:hAnsi="宋体" w:eastAsia="宋体" w:cs="宋体"/>
              <w:spacing w:val="-109"/>
              <w:sz w:val="28"/>
              <w:szCs w:val="28"/>
            </w:rPr>
            <w:t xml:space="preserve"> </w:t>
          </w:r>
          <w:r>
            <w:rPr>
              <w:rFonts w:ascii="宋体" w:hAnsi="宋体" w:eastAsia="宋体" w:cs="宋体"/>
              <w:sz w:val="28"/>
              <w:szCs w:val="28"/>
            </w:rPr>
            <w:tab/>
          </w:r>
          <w:r>
            <w:rPr>
              <w:rFonts w:ascii="宋体" w:hAnsi="宋体" w:eastAsia="宋体" w:cs="宋体"/>
              <w:spacing w:val="-74"/>
              <w:sz w:val="28"/>
              <w:szCs w:val="28"/>
            </w:rPr>
            <w:t xml:space="preserve"> </w:t>
          </w:r>
          <w:r>
            <w:rPr>
              <w:rFonts w:ascii="宋体" w:hAnsi="宋体" w:eastAsia="宋体" w:cs="宋体"/>
              <w:sz w:val="28"/>
              <w:szCs w:val="28"/>
            </w:rPr>
            <w:t>（</w:t>
          </w:r>
          <w:r>
            <w:rPr>
              <w:rFonts w:ascii="Times New Roman" w:hAnsi="Times New Roman" w:eastAsia="Times New Roman" w:cs="Times New Roman"/>
              <w:sz w:val="28"/>
              <w:szCs w:val="28"/>
            </w:rPr>
            <w:t>70</w:t>
          </w:r>
          <w:r>
            <w:rPr>
              <w:rFonts w:ascii="宋体" w:hAnsi="宋体" w:eastAsia="宋体" w:cs="宋体"/>
              <w:sz w:val="28"/>
              <w:szCs w:val="28"/>
            </w:rPr>
            <w:t>）</w:t>
          </w:r>
          <w:r>
            <w:rPr>
              <w:rFonts w:ascii="宋体" w:hAnsi="宋体" w:eastAsia="宋体" w:cs="宋体"/>
              <w:sz w:val="28"/>
              <w:szCs w:val="28"/>
            </w:rPr>
            <w:fldChar w:fldCharType="end"/>
          </w:r>
        </w:p>
        <w:p w14:paraId="5C79FD73">
          <w:pPr>
            <w:pStyle w:val="2"/>
            <w:spacing w:line="374" w:lineRule="auto"/>
          </w:pPr>
        </w:p>
        <w:p w14:paraId="58C82255">
          <w:pPr>
            <w:tabs>
              <w:tab w:val="right" w:leader="dot" w:pos="8652"/>
            </w:tabs>
            <w:spacing w:before="91" w:line="220" w:lineRule="auto"/>
            <w:ind w:left="27"/>
            <w:rPr>
              <w:rFonts w:ascii="宋体" w:hAnsi="宋体" w:eastAsia="宋体" w:cs="宋体"/>
              <w:sz w:val="28"/>
              <w:szCs w:val="28"/>
            </w:rPr>
          </w:pPr>
          <w:bookmarkStart w:id="3" w:name="bookmark4"/>
          <w:bookmarkEnd w:id="3"/>
          <w:r>
            <w:fldChar w:fldCharType="begin"/>
          </w:r>
          <w:r>
            <w:instrText xml:space="preserve"> HYPERLINK \l "bookmark4" </w:instrText>
          </w:r>
          <w:r>
            <w:fldChar w:fldCharType="separate"/>
          </w:r>
          <w:r>
            <w:rPr>
              <w:rFonts w:ascii="宋体" w:hAnsi="宋体" w:eastAsia="宋体" w:cs="宋体"/>
              <w:spacing w:val="-2"/>
              <w:sz w:val="28"/>
              <w:szCs w:val="28"/>
            </w:rPr>
            <w:t>四、交通建设工程质量安全监督执法事项</w:t>
          </w:r>
          <w:r>
            <w:rPr>
              <w:rFonts w:ascii="宋体" w:hAnsi="宋体" w:eastAsia="宋体" w:cs="宋体"/>
              <w:spacing w:val="-111"/>
              <w:sz w:val="28"/>
              <w:szCs w:val="28"/>
            </w:rPr>
            <w:t xml:space="preserve"> </w:t>
          </w:r>
          <w:r>
            <w:rPr>
              <w:rFonts w:ascii="宋体" w:hAnsi="宋体" w:eastAsia="宋体" w:cs="宋体"/>
              <w:sz w:val="28"/>
              <w:szCs w:val="28"/>
            </w:rPr>
            <w:tab/>
          </w:r>
          <w:r>
            <w:rPr>
              <w:rFonts w:ascii="宋体" w:hAnsi="宋体" w:eastAsia="宋体" w:cs="宋体"/>
              <w:spacing w:val="-83"/>
              <w:sz w:val="28"/>
              <w:szCs w:val="28"/>
            </w:rPr>
            <w:t xml:space="preserve"> </w:t>
          </w:r>
          <w:r>
            <w:rPr>
              <w:rFonts w:ascii="宋体" w:hAnsi="宋体" w:eastAsia="宋体" w:cs="宋体"/>
              <w:spacing w:val="-14"/>
              <w:sz w:val="28"/>
              <w:szCs w:val="28"/>
            </w:rPr>
            <w:t>（</w:t>
          </w:r>
          <w:r>
            <w:rPr>
              <w:rFonts w:ascii="宋体" w:hAnsi="宋体" w:eastAsia="宋体" w:cs="宋体"/>
              <w:spacing w:val="-82"/>
              <w:sz w:val="28"/>
              <w:szCs w:val="28"/>
            </w:rPr>
            <w:t xml:space="preserve"> </w:t>
          </w:r>
          <w:r>
            <w:rPr>
              <w:rFonts w:ascii="Times New Roman" w:hAnsi="Times New Roman" w:eastAsia="Times New Roman" w:cs="Times New Roman"/>
              <w:spacing w:val="-14"/>
              <w:sz w:val="28"/>
              <w:szCs w:val="28"/>
            </w:rPr>
            <w:t>86</w:t>
          </w:r>
          <w:r>
            <w:rPr>
              <w:rFonts w:ascii="宋体" w:hAnsi="宋体" w:eastAsia="宋体" w:cs="宋体"/>
              <w:spacing w:val="-14"/>
              <w:sz w:val="28"/>
              <w:szCs w:val="28"/>
            </w:rPr>
            <w:t>）</w:t>
          </w:r>
          <w:r>
            <w:rPr>
              <w:rFonts w:ascii="宋体" w:hAnsi="宋体" w:eastAsia="宋体" w:cs="宋体"/>
              <w:spacing w:val="-14"/>
              <w:sz w:val="28"/>
              <w:szCs w:val="28"/>
            </w:rPr>
            <w:fldChar w:fldCharType="end"/>
          </w:r>
        </w:p>
        <w:p w14:paraId="73A5A450">
          <w:pPr>
            <w:pStyle w:val="2"/>
            <w:spacing w:line="372" w:lineRule="auto"/>
          </w:pPr>
        </w:p>
        <w:p w14:paraId="77C52D0E">
          <w:pPr>
            <w:tabs>
              <w:tab w:val="right" w:leader="dot" w:pos="8792"/>
            </w:tabs>
            <w:spacing w:before="91" w:line="220" w:lineRule="auto"/>
            <w:ind w:left="5"/>
            <w:rPr>
              <w:rFonts w:ascii="宋体" w:hAnsi="宋体" w:eastAsia="宋体" w:cs="宋体"/>
              <w:sz w:val="28"/>
              <w:szCs w:val="28"/>
            </w:rPr>
          </w:pPr>
          <w:bookmarkStart w:id="4" w:name="bookmark5"/>
          <w:bookmarkEnd w:id="4"/>
          <w:r>
            <w:fldChar w:fldCharType="begin"/>
          </w:r>
          <w:r>
            <w:instrText xml:space="preserve"> HYPERLINK \l "bookmark5" </w:instrText>
          </w:r>
          <w:r>
            <w:fldChar w:fldCharType="separate"/>
          </w:r>
          <w:r>
            <w:rPr>
              <w:rFonts w:ascii="宋体" w:hAnsi="宋体" w:eastAsia="宋体" w:cs="宋体"/>
              <w:spacing w:val="-2"/>
              <w:sz w:val="28"/>
              <w:szCs w:val="28"/>
            </w:rPr>
            <w:t>五、港口管理行政执法事项</w:t>
          </w:r>
          <w:r>
            <w:rPr>
              <w:rFonts w:ascii="宋体" w:hAnsi="宋体" w:eastAsia="宋体" w:cs="宋体"/>
              <w:spacing w:val="-101"/>
              <w:sz w:val="28"/>
              <w:szCs w:val="28"/>
            </w:rPr>
            <w:t xml:space="preserve"> </w:t>
          </w:r>
          <w:r>
            <w:rPr>
              <w:rFonts w:ascii="宋体" w:hAnsi="宋体" w:eastAsia="宋体" w:cs="宋体"/>
              <w:sz w:val="28"/>
              <w:szCs w:val="28"/>
            </w:rPr>
            <w:tab/>
          </w:r>
          <w:r>
            <w:rPr>
              <w:rFonts w:ascii="宋体" w:hAnsi="宋体" w:eastAsia="宋体" w:cs="宋体"/>
              <w:spacing w:val="-74"/>
              <w:sz w:val="28"/>
              <w:szCs w:val="28"/>
            </w:rPr>
            <w:t xml:space="preserve"> </w:t>
          </w:r>
          <w:r>
            <w:rPr>
              <w:rFonts w:ascii="宋体" w:hAnsi="宋体" w:eastAsia="宋体" w:cs="宋体"/>
              <w:spacing w:val="-19"/>
              <w:sz w:val="28"/>
              <w:szCs w:val="28"/>
            </w:rPr>
            <w:t>（</w:t>
          </w:r>
          <w:r>
            <w:rPr>
              <w:rFonts w:ascii="宋体" w:hAnsi="宋体" w:eastAsia="宋体" w:cs="宋体"/>
              <w:spacing w:val="-67"/>
              <w:sz w:val="28"/>
              <w:szCs w:val="28"/>
            </w:rPr>
            <w:t xml:space="preserve"> </w:t>
          </w:r>
          <w:r>
            <w:rPr>
              <w:rFonts w:ascii="Times New Roman" w:hAnsi="Times New Roman" w:eastAsia="Times New Roman" w:cs="Times New Roman"/>
              <w:spacing w:val="-19"/>
              <w:sz w:val="28"/>
              <w:szCs w:val="28"/>
            </w:rPr>
            <w:t>139</w:t>
          </w:r>
          <w:r>
            <w:rPr>
              <w:rFonts w:ascii="宋体" w:hAnsi="宋体" w:eastAsia="宋体" w:cs="宋体"/>
              <w:spacing w:val="-19"/>
              <w:sz w:val="28"/>
              <w:szCs w:val="28"/>
            </w:rPr>
            <w:t>）</w:t>
          </w:r>
          <w:r>
            <w:rPr>
              <w:rFonts w:ascii="宋体" w:hAnsi="宋体" w:eastAsia="宋体" w:cs="宋体"/>
              <w:spacing w:val="-19"/>
              <w:sz w:val="28"/>
              <w:szCs w:val="28"/>
            </w:rPr>
            <w:fldChar w:fldCharType="end"/>
          </w:r>
        </w:p>
        <w:p w14:paraId="1E1CA7A6">
          <w:pPr>
            <w:pStyle w:val="2"/>
            <w:spacing w:line="372" w:lineRule="auto"/>
          </w:pPr>
        </w:p>
        <w:p w14:paraId="3398B1CC">
          <w:pPr>
            <w:tabs>
              <w:tab w:val="right" w:leader="dot" w:pos="8792"/>
            </w:tabs>
            <w:spacing w:before="91" w:line="220" w:lineRule="auto"/>
            <w:ind w:left="3"/>
            <w:rPr>
              <w:rFonts w:ascii="宋体" w:hAnsi="宋体" w:eastAsia="宋体" w:cs="宋体"/>
              <w:sz w:val="28"/>
              <w:szCs w:val="28"/>
            </w:rPr>
          </w:pPr>
          <w:bookmarkStart w:id="5" w:name="bookmark6"/>
          <w:bookmarkEnd w:id="5"/>
          <w:r>
            <w:fldChar w:fldCharType="begin"/>
          </w:r>
          <w:r>
            <w:instrText xml:space="preserve"> HYPERLINK \l "bookmark6" </w:instrText>
          </w:r>
          <w:r>
            <w:fldChar w:fldCharType="separate"/>
          </w:r>
          <w:r>
            <w:rPr>
              <w:rFonts w:ascii="宋体" w:hAnsi="宋体" w:eastAsia="宋体" w:cs="宋体"/>
              <w:spacing w:val="-1"/>
              <w:sz w:val="28"/>
              <w:szCs w:val="28"/>
            </w:rPr>
            <w:t>六、航道管理执法事项</w:t>
          </w:r>
          <w:r>
            <w:rPr>
              <w:rFonts w:ascii="宋体" w:hAnsi="宋体" w:eastAsia="宋体" w:cs="宋体"/>
              <w:spacing w:val="-111"/>
              <w:sz w:val="28"/>
              <w:szCs w:val="28"/>
            </w:rPr>
            <w:t xml:space="preserve"> </w:t>
          </w:r>
          <w:r>
            <w:rPr>
              <w:rFonts w:ascii="宋体" w:hAnsi="宋体" w:eastAsia="宋体" w:cs="宋体"/>
              <w:sz w:val="28"/>
              <w:szCs w:val="28"/>
            </w:rPr>
            <w:tab/>
          </w:r>
          <w:r>
            <w:rPr>
              <w:rFonts w:ascii="宋体" w:hAnsi="宋体" w:eastAsia="宋体" w:cs="宋体"/>
              <w:spacing w:val="-73"/>
              <w:sz w:val="28"/>
              <w:szCs w:val="28"/>
            </w:rPr>
            <w:t xml:space="preserve"> </w:t>
          </w:r>
          <w:r>
            <w:rPr>
              <w:rFonts w:ascii="宋体" w:hAnsi="宋体" w:eastAsia="宋体" w:cs="宋体"/>
              <w:spacing w:val="-19"/>
              <w:sz w:val="28"/>
              <w:szCs w:val="28"/>
            </w:rPr>
            <w:t>（</w:t>
          </w:r>
          <w:r>
            <w:rPr>
              <w:rFonts w:ascii="宋体" w:hAnsi="宋体" w:eastAsia="宋体" w:cs="宋体"/>
              <w:spacing w:val="-67"/>
              <w:sz w:val="28"/>
              <w:szCs w:val="28"/>
            </w:rPr>
            <w:t xml:space="preserve"> </w:t>
          </w:r>
          <w:r>
            <w:rPr>
              <w:rFonts w:ascii="Times New Roman" w:hAnsi="Times New Roman" w:eastAsia="Times New Roman" w:cs="Times New Roman"/>
              <w:spacing w:val="-19"/>
              <w:sz w:val="28"/>
              <w:szCs w:val="28"/>
            </w:rPr>
            <w:t>169</w:t>
          </w:r>
          <w:r>
            <w:rPr>
              <w:rFonts w:ascii="宋体" w:hAnsi="宋体" w:eastAsia="宋体" w:cs="宋体"/>
              <w:spacing w:val="-19"/>
              <w:sz w:val="28"/>
              <w:szCs w:val="28"/>
            </w:rPr>
            <w:t>）</w:t>
          </w:r>
          <w:r>
            <w:rPr>
              <w:rFonts w:ascii="宋体" w:hAnsi="宋体" w:eastAsia="宋体" w:cs="宋体"/>
              <w:spacing w:val="-19"/>
              <w:sz w:val="28"/>
              <w:szCs w:val="28"/>
            </w:rPr>
            <w:fldChar w:fldCharType="end"/>
          </w:r>
        </w:p>
        <w:p w14:paraId="2AD415E3">
          <w:pPr>
            <w:pStyle w:val="2"/>
            <w:spacing w:line="374" w:lineRule="auto"/>
          </w:pPr>
        </w:p>
        <w:p w14:paraId="55604276">
          <w:pPr>
            <w:tabs>
              <w:tab w:val="right" w:leader="dot" w:pos="8792"/>
            </w:tabs>
            <w:spacing w:before="92" w:line="220" w:lineRule="auto"/>
            <w:rPr>
              <w:rFonts w:ascii="宋体" w:hAnsi="宋体" w:eastAsia="宋体" w:cs="宋体"/>
              <w:sz w:val="28"/>
              <w:szCs w:val="28"/>
            </w:rPr>
          </w:pPr>
          <w:bookmarkStart w:id="6" w:name="bookmark7"/>
          <w:bookmarkEnd w:id="6"/>
          <w:r>
            <w:fldChar w:fldCharType="begin"/>
          </w:r>
          <w:r>
            <w:instrText xml:space="preserve"> HYPERLINK \l "bookmark7" </w:instrText>
          </w:r>
          <w:r>
            <w:fldChar w:fldCharType="separate"/>
          </w:r>
          <w:r>
            <w:rPr>
              <w:rFonts w:ascii="宋体" w:hAnsi="宋体" w:eastAsia="宋体" w:cs="宋体"/>
              <w:spacing w:val="-1"/>
              <w:sz w:val="28"/>
              <w:szCs w:val="28"/>
            </w:rPr>
            <w:t>七、海事管理执法事项</w:t>
          </w:r>
          <w:r>
            <w:rPr>
              <w:rFonts w:ascii="宋体" w:hAnsi="宋体" w:eastAsia="宋体" w:cs="宋体"/>
              <w:spacing w:val="-108"/>
              <w:sz w:val="28"/>
              <w:szCs w:val="28"/>
            </w:rPr>
            <w:t xml:space="preserve"> </w:t>
          </w:r>
          <w:r>
            <w:rPr>
              <w:rFonts w:ascii="宋体" w:hAnsi="宋体" w:eastAsia="宋体" w:cs="宋体"/>
              <w:sz w:val="28"/>
              <w:szCs w:val="28"/>
            </w:rPr>
            <w:tab/>
          </w:r>
          <w:r>
            <w:rPr>
              <w:rFonts w:ascii="宋体" w:hAnsi="宋体" w:eastAsia="宋体" w:cs="宋体"/>
              <w:spacing w:val="-73"/>
              <w:sz w:val="28"/>
              <w:szCs w:val="28"/>
            </w:rPr>
            <w:t xml:space="preserve"> </w:t>
          </w:r>
          <w:r>
            <w:rPr>
              <w:rFonts w:ascii="宋体" w:hAnsi="宋体" w:eastAsia="宋体" w:cs="宋体"/>
              <w:spacing w:val="-19"/>
              <w:sz w:val="28"/>
              <w:szCs w:val="28"/>
            </w:rPr>
            <w:t>（</w:t>
          </w:r>
          <w:r>
            <w:rPr>
              <w:rFonts w:ascii="宋体" w:hAnsi="宋体" w:eastAsia="宋体" w:cs="宋体"/>
              <w:spacing w:val="-67"/>
              <w:sz w:val="28"/>
              <w:szCs w:val="28"/>
            </w:rPr>
            <w:t xml:space="preserve"> </w:t>
          </w:r>
          <w:r>
            <w:rPr>
              <w:rFonts w:ascii="Times New Roman" w:hAnsi="Times New Roman" w:eastAsia="Times New Roman" w:cs="Times New Roman"/>
              <w:spacing w:val="-19"/>
              <w:sz w:val="28"/>
              <w:szCs w:val="28"/>
            </w:rPr>
            <w:t>179</w:t>
          </w:r>
          <w:r>
            <w:rPr>
              <w:rFonts w:ascii="宋体" w:hAnsi="宋体" w:eastAsia="宋体" w:cs="宋体"/>
              <w:spacing w:val="-19"/>
              <w:sz w:val="28"/>
              <w:szCs w:val="28"/>
            </w:rPr>
            <w:t>）</w:t>
          </w:r>
          <w:r>
            <w:rPr>
              <w:rFonts w:ascii="宋体" w:hAnsi="宋体" w:eastAsia="宋体" w:cs="宋体"/>
              <w:spacing w:val="-19"/>
              <w:sz w:val="28"/>
              <w:szCs w:val="28"/>
            </w:rPr>
            <w:fldChar w:fldCharType="end"/>
          </w:r>
        </w:p>
        <w:p w14:paraId="010C143E">
          <w:pPr>
            <w:pStyle w:val="2"/>
            <w:spacing w:line="372" w:lineRule="auto"/>
          </w:pPr>
        </w:p>
        <w:p w14:paraId="20FC5B03">
          <w:pPr>
            <w:tabs>
              <w:tab w:val="right" w:leader="dot" w:pos="8792"/>
            </w:tabs>
            <w:spacing w:before="91" w:line="220" w:lineRule="auto"/>
            <w:ind w:left="5"/>
            <w:rPr>
              <w:rFonts w:ascii="宋体" w:hAnsi="宋体" w:eastAsia="宋体" w:cs="宋体"/>
              <w:sz w:val="28"/>
              <w:szCs w:val="28"/>
            </w:rPr>
          </w:pPr>
          <w:bookmarkStart w:id="7" w:name="bookmark8"/>
          <w:bookmarkEnd w:id="7"/>
          <w:r>
            <w:fldChar w:fldCharType="begin"/>
          </w:r>
          <w:r>
            <w:instrText xml:space="preserve"> HYPERLINK \l "bookmark8" </w:instrText>
          </w:r>
          <w:r>
            <w:fldChar w:fldCharType="separate"/>
          </w:r>
          <w:r>
            <w:rPr>
              <w:rFonts w:ascii="宋体" w:hAnsi="宋体" w:eastAsia="宋体" w:cs="宋体"/>
              <w:spacing w:val="-2"/>
              <w:sz w:val="28"/>
              <w:szCs w:val="28"/>
            </w:rPr>
            <w:t>八、水路运输管理执法事项</w:t>
          </w:r>
          <w:r>
            <w:rPr>
              <w:rFonts w:ascii="宋体" w:hAnsi="宋体" w:eastAsia="宋体" w:cs="宋体"/>
              <w:spacing w:val="-101"/>
              <w:sz w:val="28"/>
              <w:szCs w:val="28"/>
            </w:rPr>
            <w:t xml:space="preserve"> </w:t>
          </w:r>
          <w:r>
            <w:rPr>
              <w:rFonts w:ascii="宋体" w:hAnsi="宋体" w:eastAsia="宋体" w:cs="宋体"/>
              <w:sz w:val="28"/>
              <w:szCs w:val="28"/>
            </w:rPr>
            <w:tab/>
          </w:r>
          <w:r>
            <w:rPr>
              <w:rFonts w:ascii="宋体" w:hAnsi="宋体" w:eastAsia="宋体" w:cs="宋体"/>
              <w:spacing w:val="-76"/>
              <w:sz w:val="28"/>
              <w:szCs w:val="28"/>
            </w:rPr>
            <w:t xml:space="preserve"> </w:t>
          </w:r>
          <w:r>
            <w:rPr>
              <w:rFonts w:ascii="宋体" w:hAnsi="宋体" w:eastAsia="宋体" w:cs="宋体"/>
              <w:spacing w:val="-4"/>
              <w:sz w:val="28"/>
              <w:szCs w:val="28"/>
            </w:rPr>
            <w:t>（</w:t>
          </w:r>
          <w:r>
            <w:rPr>
              <w:rFonts w:ascii="Times New Roman" w:hAnsi="Times New Roman" w:eastAsia="Times New Roman" w:cs="Times New Roman"/>
              <w:spacing w:val="-4"/>
              <w:sz w:val="28"/>
              <w:szCs w:val="28"/>
            </w:rPr>
            <w:t>227</w:t>
          </w:r>
          <w:r>
            <w:rPr>
              <w:rFonts w:ascii="宋体" w:hAnsi="宋体" w:eastAsia="宋体" w:cs="宋体"/>
              <w:spacing w:val="-4"/>
              <w:sz w:val="28"/>
              <w:szCs w:val="28"/>
            </w:rPr>
            <w:t>）</w:t>
          </w:r>
          <w:r>
            <w:rPr>
              <w:rFonts w:ascii="宋体" w:hAnsi="宋体" w:eastAsia="宋体" w:cs="宋体"/>
              <w:spacing w:val="-4"/>
              <w:sz w:val="28"/>
              <w:szCs w:val="28"/>
            </w:rPr>
            <w:fldChar w:fldCharType="end"/>
          </w:r>
        </w:p>
        <w:p w14:paraId="413684C0">
          <w:pPr>
            <w:pStyle w:val="2"/>
            <w:spacing w:line="372" w:lineRule="auto"/>
          </w:pPr>
        </w:p>
        <w:p w14:paraId="56D36998">
          <w:pPr>
            <w:tabs>
              <w:tab w:val="right" w:leader="dot" w:pos="8792"/>
            </w:tabs>
            <w:spacing w:before="91" w:line="220" w:lineRule="auto"/>
            <w:ind w:left="7"/>
            <w:rPr>
              <w:rFonts w:ascii="宋体" w:hAnsi="宋体" w:eastAsia="宋体" w:cs="宋体"/>
              <w:sz w:val="28"/>
              <w:szCs w:val="28"/>
            </w:rPr>
          </w:pPr>
          <w:bookmarkStart w:id="8" w:name="bookmark9"/>
          <w:bookmarkEnd w:id="8"/>
          <w:r>
            <w:fldChar w:fldCharType="begin"/>
          </w:r>
          <w:r>
            <w:instrText xml:space="preserve"> HYPERLINK \l "bookmark9" </w:instrText>
          </w:r>
          <w:r>
            <w:fldChar w:fldCharType="separate"/>
          </w:r>
          <w:r>
            <w:rPr>
              <w:rFonts w:hint="eastAsia" w:ascii="宋体" w:hAnsi="宋体" w:eastAsia="宋体" w:cs="宋体"/>
              <w:spacing w:val="-1"/>
              <w:sz w:val="28"/>
              <w:szCs w:val="28"/>
              <w:lang w:val="en-US" w:eastAsia="zh-CN"/>
            </w:rPr>
            <w:t xml:space="preserve"> </w:t>
          </w:r>
          <w:r>
            <w:rPr>
              <w:rFonts w:ascii="宋体" w:hAnsi="宋体" w:eastAsia="宋体" w:cs="宋体"/>
              <w:spacing w:val="-110"/>
              <w:sz w:val="28"/>
              <w:szCs w:val="28"/>
            </w:rPr>
            <w:t xml:space="preserve"> </w:t>
          </w:r>
          <w:r>
            <w:rPr>
              <w:rFonts w:ascii="宋体" w:hAnsi="宋体" w:eastAsia="宋体" w:cs="宋体"/>
              <w:sz w:val="28"/>
              <w:szCs w:val="28"/>
            </w:rPr>
            <w:tab/>
          </w:r>
          <w:r>
            <w:rPr>
              <w:rFonts w:hint="eastAsia" w:ascii="宋体" w:hAnsi="宋体" w:eastAsia="宋体" w:cs="宋体"/>
              <w:spacing w:val="-81"/>
              <w:sz w:val="28"/>
              <w:szCs w:val="28"/>
              <w:lang w:val="en-US" w:eastAsia="zh-CN"/>
            </w:rPr>
            <w:t xml:space="preserve"> </w:t>
          </w:r>
          <w:r>
            <w:rPr>
              <w:rFonts w:ascii="宋体" w:hAnsi="宋体" w:eastAsia="宋体" w:cs="宋体"/>
              <w:spacing w:val="-4"/>
              <w:sz w:val="28"/>
              <w:szCs w:val="28"/>
            </w:rPr>
            <w:fldChar w:fldCharType="end"/>
          </w:r>
        </w:p>
      </w:sdtContent>
    </w:sdt>
    <w:p w14:paraId="00FDB4A6">
      <w:pPr>
        <w:spacing w:line="220" w:lineRule="auto"/>
        <w:rPr>
          <w:rFonts w:ascii="宋体" w:hAnsi="宋体" w:eastAsia="宋体" w:cs="宋体"/>
          <w:sz w:val="28"/>
          <w:szCs w:val="28"/>
        </w:rPr>
        <w:sectPr>
          <w:pgSz w:w="11906" w:h="16839"/>
          <w:pgMar w:top="1431" w:right="1376" w:bottom="0" w:left="1596" w:header="0" w:footer="0" w:gutter="0"/>
          <w:cols w:space="720" w:num="1"/>
        </w:sectPr>
      </w:pPr>
    </w:p>
    <w:p w14:paraId="6E3A67D1">
      <w:pPr>
        <w:spacing w:before="248" w:line="206" w:lineRule="auto"/>
        <w:ind w:left="3675"/>
        <w:outlineLvl w:val="0"/>
        <w:rPr>
          <w:rFonts w:ascii="微软雅黑" w:hAnsi="微软雅黑" w:eastAsia="微软雅黑" w:cs="微软雅黑"/>
          <w:sz w:val="31"/>
          <w:szCs w:val="31"/>
        </w:rPr>
      </w:pPr>
      <w:r>
        <w:rPr>
          <w:rFonts w:hint="eastAsia" w:ascii="微软雅黑" w:hAnsi="微软雅黑" w:eastAsia="微软雅黑" w:cs="微软雅黑"/>
          <w:spacing w:val="9"/>
          <w:sz w:val="31"/>
          <w:szCs w:val="31"/>
          <w:lang w:eastAsia="zh-CN"/>
        </w:rPr>
        <w:t>津市市</w:t>
      </w:r>
      <w:r>
        <w:rPr>
          <w:rFonts w:ascii="微软雅黑" w:hAnsi="微软雅黑" w:eastAsia="微软雅黑" w:cs="微软雅黑"/>
          <w:spacing w:val="9"/>
          <w:sz w:val="31"/>
          <w:szCs w:val="31"/>
        </w:rPr>
        <w:t>交通运输领域行政许可事项清单</w:t>
      </w:r>
      <w:r>
        <w:rPr>
          <w:rFonts w:ascii="Times New Roman" w:hAnsi="Times New Roman" w:eastAsia="Times New Roman" w:cs="Times New Roman"/>
          <w:spacing w:val="9"/>
          <w:sz w:val="31"/>
          <w:szCs w:val="31"/>
        </w:rPr>
        <w:t xml:space="preserve">(2025 </w:t>
      </w:r>
      <w:r>
        <w:rPr>
          <w:rFonts w:ascii="微软雅黑" w:hAnsi="微软雅黑" w:eastAsia="微软雅黑" w:cs="微软雅黑"/>
          <w:spacing w:val="9"/>
          <w:sz w:val="31"/>
          <w:szCs w:val="31"/>
        </w:rPr>
        <w:t>年</w:t>
      </w:r>
      <w:r>
        <w:rPr>
          <w:rFonts w:ascii="微软雅黑" w:hAnsi="微软雅黑" w:eastAsia="微软雅黑" w:cs="微软雅黑"/>
          <w:spacing w:val="8"/>
          <w:sz w:val="31"/>
          <w:szCs w:val="31"/>
        </w:rPr>
        <w:t>版）</w:t>
      </w:r>
    </w:p>
    <w:p w14:paraId="3F7011D1">
      <w:pPr>
        <w:spacing w:before="115" w:line="221" w:lineRule="auto"/>
        <w:ind w:left="713"/>
        <w:rPr>
          <w:rFonts w:ascii="黑体" w:hAnsi="黑体" w:eastAsia="黑体" w:cs="黑体"/>
          <w:sz w:val="20"/>
          <w:szCs w:val="20"/>
        </w:rPr>
      </w:pPr>
      <w:r>
        <w:rPr>
          <w:rFonts w:ascii="黑体" w:hAnsi="黑体" w:eastAsia="黑体" w:cs="黑体"/>
          <w:spacing w:val="9"/>
          <w:sz w:val="20"/>
          <w:szCs w:val="20"/>
        </w:rPr>
        <w:t>一、法律、行政法规、国务院决定设定由湖南省实施的行政许可事</w:t>
      </w:r>
      <w:r>
        <w:rPr>
          <w:rFonts w:ascii="黑体" w:hAnsi="黑体" w:eastAsia="黑体" w:cs="黑体"/>
          <w:spacing w:val="8"/>
          <w:sz w:val="20"/>
          <w:szCs w:val="20"/>
        </w:rPr>
        <w:t>项（</w:t>
      </w:r>
      <w:r>
        <w:rPr>
          <w:rFonts w:hint="eastAsia" w:ascii="黑体" w:hAnsi="黑体" w:eastAsia="黑体" w:cs="黑体"/>
          <w:spacing w:val="8"/>
          <w:sz w:val="20"/>
          <w:szCs w:val="20"/>
          <w:lang w:val="en-US" w:eastAsia="zh-CN"/>
        </w:rPr>
        <w:t>28</w:t>
      </w:r>
      <w:r>
        <w:rPr>
          <w:rFonts w:ascii="黑体" w:hAnsi="黑体" w:eastAsia="黑体" w:cs="黑体"/>
          <w:spacing w:val="-40"/>
          <w:sz w:val="20"/>
          <w:szCs w:val="20"/>
        </w:rPr>
        <w:t xml:space="preserve"> </w:t>
      </w:r>
      <w:r>
        <w:rPr>
          <w:rFonts w:ascii="黑体" w:hAnsi="黑体" w:eastAsia="黑体" w:cs="黑体"/>
          <w:spacing w:val="8"/>
          <w:sz w:val="20"/>
          <w:szCs w:val="20"/>
        </w:rPr>
        <w:t>项）</w:t>
      </w: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58706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5C3F1257">
            <w:pPr>
              <w:pStyle w:val="8"/>
              <w:spacing w:before="183" w:line="221" w:lineRule="auto"/>
              <w:ind w:left="175"/>
            </w:pPr>
            <w:r>
              <w:rPr>
                <w:b/>
                <w:bCs/>
                <w:spacing w:val="-4"/>
              </w:rPr>
              <w:t>序号</w:t>
            </w:r>
          </w:p>
        </w:tc>
        <w:tc>
          <w:tcPr>
            <w:tcW w:w="1290" w:type="dxa"/>
            <w:vAlign w:val="top"/>
          </w:tcPr>
          <w:p w14:paraId="0D5206DA">
            <w:pPr>
              <w:pStyle w:val="8"/>
              <w:spacing w:before="183" w:line="220" w:lineRule="auto"/>
              <w:ind w:left="284"/>
            </w:pPr>
            <w:r>
              <w:rPr>
                <w:b/>
                <w:bCs/>
                <w:spacing w:val="-4"/>
              </w:rPr>
              <w:t>事项名称</w:t>
            </w:r>
          </w:p>
        </w:tc>
        <w:tc>
          <w:tcPr>
            <w:tcW w:w="1379" w:type="dxa"/>
            <w:vAlign w:val="top"/>
          </w:tcPr>
          <w:p w14:paraId="5477F9EC">
            <w:pPr>
              <w:pStyle w:val="8"/>
              <w:spacing w:before="183" w:line="219" w:lineRule="auto"/>
              <w:ind w:left="333"/>
            </w:pPr>
            <w:r>
              <w:rPr>
                <w:b/>
                <w:bCs/>
                <w:spacing w:val="-5"/>
              </w:rPr>
              <w:t>实施机关</w:t>
            </w:r>
          </w:p>
        </w:tc>
        <w:tc>
          <w:tcPr>
            <w:tcW w:w="1364" w:type="dxa"/>
            <w:vAlign w:val="top"/>
          </w:tcPr>
          <w:p w14:paraId="4B14FED7">
            <w:pPr>
              <w:pStyle w:val="8"/>
              <w:spacing w:before="183" w:line="219" w:lineRule="auto"/>
              <w:ind w:left="322"/>
            </w:pPr>
            <w:r>
              <w:rPr>
                <w:b/>
                <w:bCs/>
                <w:spacing w:val="-4"/>
              </w:rPr>
              <w:t>承办机构</w:t>
            </w:r>
          </w:p>
        </w:tc>
        <w:tc>
          <w:tcPr>
            <w:tcW w:w="8667" w:type="dxa"/>
            <w:vAlign w:val="top"/>
          </w:tcPr>
          <w:p w14:paraId="2FBA148C">
            <w:pPr>
              <w:pStyle w:val="8"/>
              <w:spacing w:before="183" w:line="219" w:lineRule="auto"/>
              <w:ind w:left="3708"/>
            </w:pPr>
            <w:r>
              <w:rPr>
                <w:b/>
                <w:bCs/>
                <w:spacing w:val="-3"/>
              </w:rPr>
              <w:t>设定和实施依据</w:t>
            </w:r>
          </w:p>
        </w:tc>
        <w:tc>
          <w:tcPr>
            <w:tcW w:w="1159" w:type="dxa"/>
            <w:vAlign w:val="top"/>
          </w:tcPr>
          <w:p w14:paraId="7CFEB27E">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0C9C7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8" w:hRule="atLeast"/>
        </w:trPr>
        <w:tc>
          <w:tcPr>
            <w:tcW w:w="705" w:type="dxa"/>
            <w:vAlign w:val="top"/>
          </w:tcPr>
          <w:p w14:paraId="22C6714C">
            <w:pPr>
              <w:spacing w:line="253" w:lineRule="auto"/>
              <w:rPr>
                <w:rFonts w:ascii="Arial"/>
                <w:sz w:val="21"/>
              </w:rPr>
            </w:pPr>
          </w:p>
          <w:p w14:paraId="47F11F57">
            <w:pPr>
              <w:spacing w:line="253" w:lineRule="auto"/>
              <w:rPr>
                <w:rFonts w:ascii="Arial"/>
                <w:sz w:val="21"/>
              </w:rPr>
            </w:pPr>
          </w:p>
          <w:p w14:paraId="393A8980">
            <w:pPr>
              <w:spacing w:line="253" w:lineRule="auto"/>
              <w:rPr>
                <w:rFonts w:ascii="Arial"/>
                <w:sz w:val="21"/>
              </w:rPr>
            </w:pPr>
          </w:p>
          <w:p w14:paraId="3E497197">
            <w:pPr>
              <w:spacing w:line="253" w:lineRule="auto"/>
              <w:rPr>
                <w:rFonts w:ascii="Arial"/>
                <w:sz w:val="21"/>
              </w:rPr>
            </w:pPr>
          </w:p>
          <w:p w14:paraId="175F0EAB">
            <w:pPr>
              <w:spacing w:line="253" w:lineRule="auto"/>
              <w:rPr>
                <w:rFonts w:ascii="Arial"/>
                <w:sz w:val="21"/>
              </w:rPr>
            </w:pPr>
          </w:p>
          <w:p w14:paraId="53284908">
            <w:pPr>
              <w:spacing w:line="253" w:lineRule="auto"/>
              <w:rPr>
                <w:rFonts w:ascii="Arial"/>
                <w:sz w:val="21"/>
              </w:rPr>
            </w:pPr>
          </w:p>
          <w:p w14:paraId="42183F01">
            <w:pPr>
              <w:spacing w:line="254" w:lineRule="auto"/>
              <w:rPr>
                <w:rFonts w:ascii="Arial"/>
                <w:sz w:val="21"/>
              </w:rPr>
            </w:pPr>
          </w:p>
          <w:p w14:paraId="227D1690">
            <w:pPr>
              <w:spacing w:line="254" w:lineRule="auto"/>
              <w:rPr>
                <w:rFonts w:ascii="Arial"/>
                <w:sz w:val="21"/>
              </w:rPr>
            </w:pPr>
          </w:p>
          <w:p w14:paraId="29E9EF2A">
            <w:pPr>
              <w:spacing w:line="254" w:lineRule="auto"/>
              <w:rPr>
                <w:rFonts w:ascii="Arial"/>
                <w:sz w:val="21"/>
              </w:rPr>
            </w:pPr>
          </w:p>
          <w:p w14:paraId="094CE0CD">
            <w:pPr>
              <w:spacing w:line="254" w:lineRule="auto"/>
              <w:rPr>
                <w:rFonts w:ascii="Arial"/>
                <w:sz w:val="21"/>
              </w:rPr>
            </w:pPr>
          </w:p>
          <w:p w14:paraId="7B7416AC">
            <w:pPr>
              <w:pStyle w:val="8"/>
              <w:spacing w:before="58" w:line="184" w:lineRule="auto"/>
              <w:ind w:left="325"/>
            </w:pPr>
            <w:r>
              <w:t>1</w:t>
            </w:r>
          </w:p>
        </w:tc>
        <w:tc>
          <w:tcPr>
            <w:tcW w:w="1290" w:type="dxa"/>
            <w:vAlign w:val="top"/>
          </w:tcPr>
          <w:p w14:paraId="1AF1DDDF">
            <w:pPr>
              <w:spacing w:line="265" w:lineRule="auto"/>
              <w:rPr>
                <w:rFonts w:ascii="Arial"/>
                <w:sz w:val="21"/>
              </w:rPr>
            </w:pPr>
          </w:p>
          <w:p w14:paraId="7E2DA379">
            <w:pPr>
              <w:spacing w:line="265" w:lineRule="auto"/>
              <w:rPr>
                <w:rFonts w:ascii="Arial"/>
                <w:sz w:val="21"/>
              </w:rPr>
            </w:pPr>
          </w:p>
          <w:p w14:paraId="7F3BE9F1">
            <w:pPr>
              <w:spacing w:line="265" w:lineRule="auto"/>
              <w:rPr>
                <w:rFonts w:ascii="Arial"/>
                <w:sz w:val="21"/>
              </w:rPr>
            </w:pPr>
          </w:p>
          <w:p w14:paraId="4E3231B7">
            <w:pPr>
              <w:spacing w:line="265" w:lineRule="auto"/>
              <w:rPr>
                <w:rFonts w:ascii="Arial"/>
                <w:sz w:val="21"/>
              </w:rPr>
            </w:pPr>
          </w:p>
          <w:p w14:paraId="23AB7C42">
            <w:pPr>
              <w:spacing w:line="265" w:lineRule="auto"/>
              <w:rPr>
                <w:rFonts w:ascii="Arial"/>
                <w:sz w:val="21"/>
              </w:rPr>
            </w:pPr>
          </w:p>
          <w:p w14:paraId="48520916">
            <w:pPr>
              <w:spacing w:line="265" w:lineRule="auto"/>
              <w:rPr>
                <w:rFonts w:ascii="Arial"/>
                <w:sz w:val="21"/>
              </w:rPr>
            </w:pPr>
          </w:p>
          <w:p w14:paraId="7A428D9D">
            <w:pPr>
              <w:spacing w:line="265" w:lineRule="auto"/>
              <w:rPr>
                <w:rFonts w:ascii="Arial"/>
                <w:sz w:val="21"/>
              </w:rPr>
            </w:pPr>
          </w:p>
          <w:p w14:paraId="36758310">
            <w:pPr>
              <w:spacing w:line="266" w:lineRule="auto"/>
              <w:rPr>
                <w:rFonts w:ascii="Arial"/>
                <w:sz w:val="21"/>
              </w:rPr>
            </w:pPr>
          </w:p>
          <w:p w14:paraId="247C5752">
            <w:pPr>
              <w:spacing w:line="266" w:lineRule="auto"/>
              <w:rPr>
                <w:rFonts w:ascii="Arial"/>
                <w:sz w:val="21"/>
              </w:rPr>
            </w:pPr>
          </w:p>
          <w:p w14:paraId="188741B6">
            <w:pPr>
              <w:pStyle w:val="8"/>
              <w:spacing w:before="59" w:line="233" w:lineRule="auto"/>
              <w:ind w:left="32" w:right="28" w:firstLine="2"/>
            </w:pPr>
            <w:r>
              <w:rPr>
                <w:spacing w:val="23"/>
              </w:rPr>
              <w:t>公路建设项目</w:t>
            </w:r>
            <w:r>
              <w:rPr>
                <w:spacing w:val="1"/>
              </w:rPr>
              <w:t xml:space="preserve"> </w:t>
            </w:r>
            <w:r>
              <w:rPr>
                <w:spacing w:val="-2"/>
              </w:rPr>
              <w:t>设计文件审批</w:t>
            </w:r>
          </w:p>
        </w:tc>
        <w:tc>
          <w:tcPr>
            <w:tcW w:w="1379" w:type="dxa"/>
            <w:vAlign w:val="top"/>
          </w:tcPr>
          <w:p w14:paraId="48E18D1B">
            <w:pPr>
              <w:spacing w:line="252" w:lineRule="auto"/>
              <w:rPr>
                <w:rFonts w:ascii="Arial"/>
                <w:sz w:val="21"/>
              </w:rPr>
            </w:pPr>
          </w:p>
          <w:p w14:paraId="1BE1B7DE">
            <w:pPr>
              <w:spacing w:line="252" w:lineRule="auto"/>
              <w:rPr>
                <w:rFonts w:ascii="Arial"/>
                <w:sz w:val="21"/>
              </w:rPr>
            </w:pPr>
          </w:p>
          <w:p w14:paraId="4D5F7F85">
            <w:pPr>
              <w:spacing w:line="252" w:lineRule="auto"/>
              <w:rPr>
                <w:rFonts w:ascii="Arial"/>
                <w:sz w:val="21"/>
              </w:rPr>
            </w:pPr>
          </w:p>
          <w:p w14:paraId="2B9E1B3F">
            <w:pPr>
              <w:spacing w:line="252" w:lineRule="auto"/>
              <w:rPr>
                <w:rFonts w:ascii="Arial"/>
                <w:sz w:val="21"/>
              </w:rPr>
            </w:pPr>
          </w:p>
          <w:p w14:paraId="0F9F9019">
            <w:pPr>
              <w:spacing w:line="252" w:lineRule="auto"/>
              <w:rPr>
                <w:rFonts w:ascii="Arial"/>
                <w:sz w:val="21"/>
              </w:rPr>
            </w:pPr>
          </w:p>
          <w:p w14:paraId="6E72ED89">
            <w:pPr>
              <w:spacing w:line="252" w:lineRule="auto"/>
              <w:rPr>
                <w:rFonts w:ascii="Arial"/>
                <w:sz w:val="21"/>
              </w:rPr>
            </w:pPr>
          </w:p>
          <w:p w14:paraId="00EA9E85">
            <w:pPr>
              <w:spacing w:line="252" w:lineRule="auto"/>
              <w:rPr>
                <w:rFonts w:ascii="Arial"/>
                <w:sz w:val="21"/>
              </w:rPr>
            </w:pPr>
          </w:p>
          <w:p w14:paraId="60340D5A">
            <w:pPr>
              <w:spacing w:line="252" w:lineRule="auto"/>
              <w:rPr>
                <w:rFonts w:ascii="Arial"/>
                <w:sz w:val="21"/>
              </w:rPr>
            </w:pPr>
          </w:p>
          <w:p w14:paraId="61051A4B">
            <w:pPr>
              <w:spacing w:line="253" w:lineRule="auto"/>
              <w:rPr>
                <w:rFonts w:ascii="Arial"/>
                <w:sz w:val="21"/>
              </w:rPr>
            </w:pPr>
          </w:p>
          <w:p w14:paraId="5D4DD9B3">
            <w:pPr>
              <w:pStyle w:val="8"/>
              <w:spacing w:before="58" w:line="237" w:lineRule="auto"/>
              <w:ind w:left="31" w:right="27"/>
              <w:rPr>
                <w:rFonts w:hint="eastAsia" w:eastAsia="宋体"/>
                <w:lang w:eastAsia="zh-CN"/>
              </w:rPr>
            </w:pPr>
            <w:r>
              <w:rPr>
                <w:rFonts w:hint="eastAsia"/>
                <w:spacing w:val="6"/>
                <w:lang w:eastAsia="zh-CN"/>
              </w:rPr>
              <w:t>津市市交通运输局</w:t>
            </w:r>
          </w:p>
        </w:tc>
        <w:tc>
          <w:tcPr>
            <w:tcW w:w="1364" w:type="dxa"/>
            <w:vAlign w:val="top"/>
          </w:tcPr>
          <w:p w14:paraId="245D53BA">
            <w:pPr>
              <w:spacing w:line="250" w:lineRule="auto"/>
              <w:rPr>
                <w:rFonts w:ascii="Arial"/>
                <w:sz w:val="21"/>
              </w:rPr>
            </w:pPr>
          </w:p>
          <w:p w14:paraId="0113BC86">
            <w:pPr>
              <w:spacing w:line="250" w:lineRule="auto"/>
              <w:rPr>
                <w:rFonts w:ascii="Arial"/>
                <w:sz w:val="21"/>
              </w:rPr>
            </w:pPr>
          </w:p>
          <w:p w14:paraId="474201C8">
            <w:pPr>
              <w:spacing w:line="250" w:lineRule="auto"/>
              <w:rPr>
                <w:rFonts w:ascii="Arial"/>
                <w:sz w:val="21"/>
              </w:rPr>
            </w:pPr>
          </w:p>
          <w:p w14:paraId="7D43C55E">
            <w:pPr>
              <w:spacing w:line="250" w:lineRule="auto"/>
              <w:rPr>
                <w:rFonts w:ascii="Arial"/>
                <w:sz w:val="21"/>
              </w:rPr>
            </w:pPr>
          </w:p>
          <w:p w14:paraId="5CE4FA05">
            <w:pPr>
              <w:spacing w:line="251" w:lineRule="auto"/>
              <w:rPr>
                <w:rFonts w:ascii="Arial"/>
                <w:sz w:val="21"/>
              </w:rPr>
            </w:pPr>
          </w:p>
          <w:p w14:paraId="1A34AAC8">
            <w:pPr>
              <w:spacing w:line="251" w:lineRule="auto"/>
              <w:rPr>
                <w:rFonts w:ascii="Arial"/>
                <w:sz w:val="21"/>
              </w:rPr>
            </w:pPr>
          </w:p>
          <w:p w14:paraId="3D236C1E">
            <w:pPr>
              <w:spacing w:line="251" w:lineRule="auto"/>
              <w:rPr>
                <w:rFonts w:ascii="Arial"/>
                <w:sz w:val="21"/>
              </w:rPr>
            </w:pPr>
          </w:p>
          <w:p w14:paraId="7F33C178">
            <w:pPr>
              <w:spacing w:line="251" w:lineRule="auto"/>
              <w:rPr>
                <w:rFonts w:ascii="Arial"/>
                <w:sz w:val="21"/>
              </w:rPr>
            </w:pPr>
          </w:p>
          <w:p w14:paraId="1D340DC1">
            <w:pPr>
              <w:spacing w:line="251" w:lineRule="auto"/>
              <w:rPr>
                <w:rFonts w:ascii="Arial"/>
                <w:sz w:val="21"/>
              </w:rPr>
            </w:pPr>
          </w:p>
          <w:p w14:paraId="503D67D5">
            <w:pPr>
              <w:spacing w:line="251" w:lineRule="auto"/>
              <w:rPr>
                <w:rFonts w:ascii="Arial"/>
                <w:sz w:val="21"/>
              </w:rPr>
            </w:pPr>
          </w:p>
          <w:p w14:paraId="7EF0E22C">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35428C71">
            <w:pPr>
              <w:pStyle w:val="8"/>
              <w:spacing w:before="68" w:line="219" w:lineRule="auto"/>
              <w:ind w:left="551"/>
            </w:pPr>
            <w:r>
              <w:rPr>
                <w:b/>
                <w:bCs/>
                <w:spacing w:val="-4"/>
              </w:rPr>
              <w:t>1.《中华人民共和国公路法》</w:t>
            </w:r>
          </w:p>
          <w:p w14:paraId="2D6ABA50">
            <w:pPr>
              <w:pStyle w:val="8"/>
              <w:spacing w:before="25" w:line="219" w:lineRule="auto"/>
              <w:ind w:left="537"/>
            </w:pPr>
            <w:r>
              <w:rPr>
                <w:spacing w:val="-1"/>
              </w:rPr>
              <w:t>第二十二条  公路建设应当按照国家规定的基本建设程序和有关规</w:t>
            </w:r>
            <w:r>
              <w:rPr>
                <w:spacing w:val="-2"/>
              </w:rPr>
              <w:t>定进行。</w:t>
            </w:r>
          </w:p>
          <w:p w14:paraId="7D375E78">
            <w:pPr>
              <w:pStyle w:val="8"/>
              <w:spacing w:before="26" w:line="219" w:lineRule="auto"/>
              <w:ind w:left="539"/>
            </w:pPr>
            <w:r>
              <w:rPr>
                <w:b/>
                <w:bCs/>
                <w:spacing w:val="-3"/>
              </w:rPr>
              <w:t>2.《公路建设市场管理办法》（交通运输部</w:t>
            </w:r>
            <w:r>
              <w:rPr>
                <w:b/>
                <w:bCs/>
                <w:spacing w:val="-4"/>
              </w:rPr>
              <w:t>令</w:t>
            </w:r>
            <w:r>
              <w:rPr>
                <w:spacing w:val="-35"/>
              </w:rPr>
              <w:t xml:space="preserve"> </w:t>
            </w:r>
            <w:r>
              <w:rPr>
                <w:b/>
                <w:bCs/>
                <w:spacing w:val="-4"/>
              </w:rPr>
              <w:t>2015</w:t>
            </w:r>
            <w:r>
              <w:rPr>
                <w:spacing w:val="-38"/>
              </w:rPr>
              <w:t xml:space="preserve"> </w:t>
            </w:r>
            <w:r>
              <w:rPr>
                <w:b/>
                <w:bCs/>
                <w:spacing w:val="-4"/>
              </w:rPr>
              <w:t>年第</w:t>
            </w:r>
            <w:r>
              <w:rPr>
                <w:spacing w:val="-24"/>
              </w:rPr>
              <w:t xml:space="preserve"> </w:t>
            </w:r>
            <w:r>
              <w:rPr>
                <w:b/>
                <w:bCs/>
                <w:spacing w:val="-4"/>
              </w:rPr>
              <w:t>11</w:t>
            </w:r>
            <w:r>
              <w:rPr>
                <w:spacing w:val="-32"/>
              </w:rPr>
              <w:t xml:space="preserve"> </w:t>
            </w:r>
            <w:r>
              <w:rPr>
                <w:b/>
                <w:bCs/>
                <w:spacing w:val="-4"/>
              </w:rPr>
              <w:t>号）</w:t>
            </w:r>
          </w:p>
          <w:p w14:paraId="0A5E7446">
            <w:pPr>
              <w:pStyle w:val="8"/>
              <w:spacing w:before="26" w:line="233" w:lineRule="auto"/>
              <w:ind w:left="117" w:right="62" w:firstLine="420"/>
            </w:pPr>
            <w:r>
              <w:rPr>
                <w:spacing w:val="-1"/>
              </w:rPr>
              <w:t>第十八条  公路建设项目法人应当按照项目管理隶属关系将施工图设计文件报交通运输主管部门审批。</w:t>
            </w:r>
            <w:r>
              <w:rPr>
                <w:spacing w:val="6"/>
              </w:rPr>
              <w:t xml:space="preserve"> </w:t>
            </w:r>
            <w:r>
              <w:rPr>
                <w:spacing w:val="-2"/>
              </w:rPr>
              <w:t>施工图设计文件未经审批的，不得使用。</w:t>
            </w:r>
          </w:p>
          <w:p w14:paraId="39C5E6A4">
            <w:pPr>
              <w:pStyle w:val="8"/>
              <w:spacing w:before="26" w:line="219" w:lineRule="auto"/>
              <w:ind w:left="541"/>
            </w:pPr>
            <w:r>
              <w:rPr>
                <w:b/>
                <w:bCs/>
                <w:spacing w:val="-3"/>
              </w:rPr>
              <w:t>3.《建设工程质量管理条例》</w:t>
            </w:r>
          </w:p>
          <w:p w14:paraId="48A569AA">
            <w:pPr>
              <w:pStyle w:val="8"/>
              <w:spacing w:before="26" w:line="233" w:lineRule="auto"/>
              <w:ind w:left="537" w:right="62"/>
            </w:pPr>
            <w:r>
              <w:rPr>
                <w:spacing w:val="-1"/>
              </w:rPr>
              <w:t>第十一条  施工图设计文件审查的具体办法，由国务院建设行政主管部门、国务院其他有关部门制定。</w:t>
            </w:r>
            <w:r>
              <w:rPr>
                <w:spacing w:val="6"/>
              </w:rPr>
              <w:t xml:space="preserve"> </w:t>
            </w:r>
            <w:r>
              <w:rPr>
                <w:spacing w:val="-2"/>
              </w:rPr>
              <w:t>施工图设计文件未经审查批准的，不得使用。</w:t>
            </w:r>
          </w:p>
          <w:p w14:paraId="0AC8B7B7">
            <w:pPr>
              <w:pStyle w:val="8"/>
              <w:spacing w:before="26" w:line="219" w:lineRule="auto"/>
              <w:ind w:left="537"/>
            </w:pPr>
            <w:r>
              <w:rPr>
                <w:b/>
                <w:bCs/>
                <w:spacing w:val="-2"/>
              </w:rPr>
              <w:t>4.《建设工程勘察设计管理条例》</w:t>
            </w:r>
          </w:p>
          <w:p w14:paraId="64324969">
            <w:pPr>
              <w:pStyle w:val="8"/>
              <w:spacing w:before="27" w:line="237" w:lineRule="auto"/>
              <w:ind w:left="118" w:right="108" w:firstLine="419"/>
              <w:jc w:val="both"/>
            </w:pPr>
            <w:r>
              <w:rPr>
                <w:spacing w:val="-2"/>
              </w:rPr>
              <w:t>第三十一条第二款  县级以上地方人民政府建设行政主管部门对本行政区域内的建设工程勘察、设计活</w:t>
            </w:r>
            <w:r>
              <w:rPr>
                <w:spacing w:val="7"/>
              </w:rPr>
              <w:t xml:space="preserve"> </w:t>
            </w:r>
            <w:r>
              <w:t>动实施监督管理。县级以上地方人民政府交通、</w:t>
            </w:r>
            <w:r>
              <w:rPr>
                <w:spacing w:val="-1"/>
              </w:rPr>
              <w:t>水利等有关部门在各自的职责范围内，负责对本行政区域内</w:t>
            </w:r>
            <w:r>
              <w:t xml:space="preserve"> </w:t>
            </w:r>
            <w:r>
              <w:rPr>
                <w:spacing w:val="-2"/>
              </w:rPr>
              <w:t>的有关专业建设工程勘察、设计活动的监督管理。</w:t>
            </w:r>
          </w:p>
          <w:p w14:paraId="10F2B3CE">
            <w:pPr>
              <w:pStyle w:val="8"/>
              <w:spacing w:before="27" w:line="237" w:lineRule="auto"/>
              <w:ind w:left="123" w:right="108" w:firstLine="414"/>
              <w:jc w:val="both"/>
            </w:pPr>
            <w:r>
              <w:rPr>
                <w:spacing w:val="-2"/>
              </w:rPr>
              <w:t>第三十三条  施工图设计文件审查机构应当对房屋建筑工程、市政基础设施工程施工图设计文件中涉及</w:t>
            </w:r>
            <w:r>
              <w:rPr>
                <w:spacing w:val="7"/>
              </w:rPr>
              <w:t xml:space="preserve"> </w:t>
            </w:r>
            <w:r>
              <w:rPr>
                <w:spacing w:val="-1"/>
              </w:rPr>
              <w:t>公共利益、公众安全、工程建设强制性标准的内容进行审查。县级以上人民政府交通运输等有关部门应当按</w:t>
            </w:r>
            <w:r>
              <w:rPr>
                <w:spacing w:val="16"/>
              </w:rPr>
              <w:t xml:space="preserve"> </w:t>
            </w:r>
            <w:r>
              <w:rPr>
                <w:spacing w:val="-1"/>
              </w:rPr>
              <w:t>照职责对施工图设计文件中涉及公共利益、公众安全、工程建设强制性标准的内容进行审查。</w:t>
            </w:r>
          </w:p>
          <w:p w14:paraId="39E2F5C8">
            <w:pPr>
              <w:pStyle w:val="8"/>
              <w:spacing w:before="26" w:line="219" w:lineRule="auto"/>
              <w:ind w:left="537"/>
            </w:pPr>
            <w:r>
              <w:rPr>
                <w:spacing w:val="-2"/>
              </w:rPr>
              <w:t>施工图设计文件未经审查批准的，不得使用。</w:t>
            </w:r>
          </w:p>
          <w:p w14:paraId="1E12B9A9">
            <w:pPr>
              <w:pStyle w:val="8"/>
              <w:spacing w:before="26" w:line="219" w:lineRule="auto"/>
              <w:ind w:left="541"/>
            </w:pPr>
            <w:r>
              <w:rPr>
                <w:b/>
                <w:bCs/>
                <w:spacing w:val="-3"/>
              </w:rPr>
              <w:t>5.《农村公路建设管理办法》（交通运输部令</w:t>
            </w:r>
            <w:r>
              <w:rPr>
                <w:spacing w:val="-36"/>
              </w:rPr>
              <w:t xml:space="preserve"> </w:t>
            </w:r>
            <w:r>
              <w:rPr>
                <w:b/>
                <w:bCs/>
                <w:spacing w:val="-3"/>
              </w:rPr>
              <w:t>2018</w:t>
            </w:r>
            <w:r>
              <w:rPr>
                <w:spacing w:val="-38"/>
              </w:rPr>
              <w:t xml:space="preserve"> </w:t>
            </w:r>
            <w:r>
              <w:rPr>
                <w:b/>
                <w:bCs/>
                <w:spacing w:val="-3"/>
              </w:rPr>
              <w:t>年第</w:t>
            </w:r>
            <w:r>
              <w:rPr>
                <w:spacing w:val="-38"/>
              </w:rPr>
              <w:t xml:space="preserve"> </w:t>
            </w:r>
            <w:r>
              <w:rPr>
                <w:b/>
                <w:bCs/>
                <w:spacing w:val="-3"/>
              </w:rPr>
              <w:t>4</w:t>
            </w:r>
            <w:r>
              <w:rPr>
                <w:spacing w:val="-32"/>
              </w:rPr>
              <w:t xml:space="preserve"> </w:t>
            </w:r>
            <w:r>
              <w:rPr>
                <w:b/>
                <w:bCs/>
                <w:spacing w:val="-3"/>
              </w:rPr>
              <w:t>号）</w:t>
            </w:r>
          </w:p>
          <w:p w14:paraId="09DD7671">
            <w:pPr>
              <w:pStyle w:val="8"/>
              <w:spacing w:before="27" w:line="233" w:lineRule="auto"/>
              <w:ind w:left="138" w:right="108" w:firstLine="399"/>
            </w:pPr>
            <w:r>
              <w:rPr>
                <w:spacing w:val="-2"/>
              </w:rPr>
              <w:t>第二十四条第二款  重要农村公路建设项目应当进行初步设计和施工图设计。一般农村公路建设项目可</w:t>
            </w:r>
            <w:r>
              <w:rPr>
                <w:spacing w:val="7"/>
              </w:rPr>
              <w:t xml:space="preserve"> </w:t>
            </w:r>
            <w:r>
              <w:rPr>
                <w:spacing w:val="-2"/>
              </w:rPr>
              <w:t>以直接进行施工图设计，并可以多个项目一并进</w:t>
            </w:r>
            <w:r>
              <w:rPr>
                <w:spacing w:val="-3"/>
              </w:rPr>
              <w:t>行。</w:t>
            </w:r>
          </w:p>
          <w:p w14:paraId="007F2120">
            <w:pPr>
              <w:pStyle w:val="8"/>
              <w:spacing w:before="25" w:line="233" w:lineRule="auto"/>
              <w:ind w:left="118" w:right="108" w:firstLine="419"/>
            </w:pPr>
            <w:r>
              <w:rPr>
                <w:spacing w:val="-2"/>
              </w:rPr>
              <w:t>第二十五条  农村公路建设项目设计文件由县级以上地方交通运输主管部门依据法律、行政法规的相关</w:t>
            </w:r>
            <w:r>
              <w:rPr>
                <w:spacing w:val="7"/>
              </w:rPr>
              <w:t xml:space="preserve"> </w:t>
            </w:r>
            <w:r>
              <w:rPr>
                <w:spacing w:val="-1"/>
              </w:rPr>
              <w:t>规定进行审批，具体审批权限由省级交通运输</w:t>
            </w:r>
            <w:r>
              <w:rPr>
                <w:spacing w:val="-2"/>
              </w:rPr>
              <w:t>主管部门确定。</w:t>
            </w:r>
          </w:p>
          <w:p w14:paraId="010B03B8">
            <w:pPr>
              <w:pStyle w:val="8"/>
              <w:spacing w:before="26" w:line="219" w:lineRule="auto"/>
              <w:ind w:left="537"/>
            </w:pPr>
            <w:r>
              <w:rPr>
                <w:spacing w:val="-1"/>
              </w:rPr>
              <w:t>农村公路建设项目重大或者较大设计变更应当报原设计</w:t>
            </w:r>
            <w:r>
              <w:rPr>
                <w:spacing w:val="-2"/>
              </w:rPr>
              <w:t>审批部门批准。</w:t>
            </w:r>
          </w:p>
        </w:tc>
        <w:tc>
          <w:tcPr>
            <w:tcW w:w="1159" w:type="dxa"/>
            <w:vAlign w:val="top"/>
          </w:tcPr>
          <w:p w14:paraId="22421F66">
            <w:pPr>
              <w:rPr>
                <w:rFonts w:ascii="Arial"/>
                <w:sz w:val="21"/>
              </w:rPr>
            </w:pPr>
          </w:p>
        </w:tc>
      </w:tr>
      <w:tr w14:paraId="7896A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2" w:hRule="atLeast"/>
        </w:trPr>
        <w:tc>
          <w:tcPr>
            <w:tcW w:w="705" w:type="dxa"/>
            <w:vAlign w:val="top"/>
          </w:tcPr>
          <w:p w14:paraId="11921762">
            <w:pPr>
              <w:spacing w:line="245" w:lineRule="auto"/>
              <w:rPr>
                <w:rFonts w:ascii="Arial"/>
                <w:sz w:val="21"/>
              </w:rPr>
            </w:pPr>
          </w:p>
          <w:p w14:paraId="7A1D5255">
            <w:pPr>
              <w:spacing w:line="245" w:lineRule="auto"/>
              <w:rPr>
                <w:rFonts w:ascii="Arial"/>
                <w:sz w:val="21"/>
              </w:rPr>
            </w:pPr>
          </w:p>
          <w:p w14:paraId="3195ABB2">
            <w:pPr>
              <w:spacing w:line="245" w:lineRule="auto"/>
              <w:rPr>
                <w:rFonts w:ascii="Arial"/>
                <w:sz w:val="21"/>
              </w:rPr>
            </w:pPr>
          </w:p>
          <w:p w14:paraId="1B696E5D">
            <w:pPr>
              <w:spacing w:line="245" w:lineRule="auto"/>
              <w:rPr>
                <w:rFonts w:ascii="Arial"/>
                <w:sz w:val="21"/>
              </w:rPr>
            </w:pPr>
          </w:p>
          <w:p w14:paraId="10C091CB">
            <w:pPr>
              <w:spacing w:line="245" w:lineRule="auto"/>
              <w:rPr>
                <w:rFonts w:ascii="Arial"/>
                <w:sz w:val="21"/>
              </w:rPr>
            </w:pPr>
          </w:p>
          <w:p w14:paraId="0189D153">
            <w:pPr>
              <w:pStyle w:val="8"/>
              <w:spacing w:before="58" w:line="183" w:lineRule="auto"/>
              <w:ind w:left="314"/>
            </w:pPr>
            <w:r>
              <w:t>2</w:t>
            </w:r>
          </w:p>
        </w:tc>
        <w:tc>
          <w:tcPr>
            <w:tcW w:w="1290" w:type="dxa"/>
            <w:vAlign w:val="top"/>
          </w:tcPr>
          <w:p w14:paraId="4B2548E6">
            <w:pPr>
              <w:spacing w:line="269" w:lineRule="auto"/>
              <w:rPr>
                <w:rFonts w:ascii="Arial"/>
                <w:sz w:val="21"/>
              </w:rPr>
            </w:pPr>
          </w:p>
          <w:p w14:paraId="5899DA02">
            <w:pPr>
              <w:spacing w:line="269" w:lineRule="auto"/>
              <w:rPr>
                <w:rFonts w:ascii="Arial"/>
                <w:sz w:val="21"/>
              </w:rPr>
            </w:pPr>
          </w:p>
          <w:p w14:paraId="2EDFB53B">
            <w:pPr>
              <w:spacing w:line="270" w:lineRule="auto"/>
              <w:rPr>
                <w:rFonts w:ascii="Arial"/>
                <w:sz w:val="21"/>
              </w:rPr>
            </w:pPr>
          </w:p>
          <w:p w14:paraId="47EE5D2D">
            <w:pPr>
              <w:spacing w:line="270" w:lineRule="auto"/>
              <w:rPr>
                <w:rFonts w:ascii="Arial"/>
                <w:sz w:val="21"/>
              </w:rPr>
            </w:pPr>
          </w:p>
          <w:p w14:paraId="4ACBBE61">
            <w:pPr>
              <w:pStyle w:val="8"/>
              <w:spacing w:before="58" w:line="233" w:lineRule="auto"/>
              <w:ind w:left="29" w:right="28" w:firstLine="6"/>
            </w:pPr>
            <w:r>
              <w:rPr>
                <w:spacing w:val="23"/>
              </w:rPr>
              <w:t>公路建设项目</w:t>
            </w:r>
            <w:r>
              <w:rPr>
                <w:spacing w:val="1"/>
              </w:rPr>
              <w:t xml:space="preserve"> </w:t>
            </w:r>
            <w:r>
              <w:rPr>
                <w:spacing w:val="-2"/>
              </w:rPr>
              <w:t>施工许可</w:t>
            </w:r>
          </w:p>
        </w:tc>
        <w:tc>
          <w:tcPr>
            <w:tcW w:w="1379" w:type="dxa"/>
            <w:vAlign w:val="top"/>
          </w:tcPr>
          <w:p w14:paraId="1E02F98E">
            <w:pPr>
              <w:spacing w:line="319" w:lineRule="auto"/>
              <w:rPr>
                <w:rFonts w:ascii="Arial"/>
                <w:sz w:val="21"/>
              </w:rPr>
            </w:pPr>
          </w:p>
          <w:p w14:paraId="1F97F377">
            <w:pPr>
              <w:spacing w:line="320" w:lineRule="auto"/>
              <w:rPr>
                <w:rFonts w:ascii="Arial"/>
                <w:sz w:val="21"/>
              </w:rPr>
            </w:pPr>
          </w:p>
          <w:p w14:paraId="0B094955">
            <w:pPr>
              <w:spacing w:line="320" w:lineRule="auto"/>
              <w:rPr>
                <w:rFonts w:ascii="Arial"/>
                <w:sz w:val="21"/>
              </w:rPr>
            </w:pPr>
          </w:p>
          <w:p w14:paraId="1BB3C5F2">
            <w:pPr>
              <w:pStyle w:val="8"/>
              <w:spacing w:before="58" w:line="237" w:lineRule="auto"/>
              <w:ind w:left="31" w:right="27"/>
              <w:rPr>
                <w:rFonts w:hint="eastAsia" w:eastAsia="宋体"/>
                <w:lang w:eastAsia="zh-CN"/>
              </w:rPr>
            </w:pPr>
            <w:r>
              <w:rPr>
                <w:rFonts w:hint="eastAsia"/>
                <w:spacing w:val="6"/>
                <w:lang w:eastAsia="zh-CN"/>
              </w:rPr>
              <w:t>津市市交通运输局</w:t>
            </w:r>
          </w:p>
        </w:tc>
        <w:tc>
          <w:tcPr>
            <w:tcW w:w="1364" w:type="dxa"/>
            <w:vAlign w:val="top"/>
          </w:tcPr>
          <w:p w14:paraId="0224E786">
            <w:pPr>
              <w:spacing w:line="299" w:lineRule="auto"/>
              <w:rPr>
                <w:rFonts w:ascii="Arial"/>
                <w:sz w:val="21"/>
              </w:rPr>
            </w:pPr>
          </w:p>
          <w:p w14:paraId="5AE4C364">
            <w:pPr>
              <w:spacing w:line="299" w:lineRule="auto"/>
              <w:rPr>
                <w:rFonts w:ascii="Arial"/>
                <w:sz w:val="21"/>
              </w:rPr>
            </w:pPr>
          </w:p>
          <w:p w14:paraId="122F3EDB">
            <w:pPr>
              <w:spacing w:line="299" w:lineRule="auto"/>
              <w:rPr>
                <w:rFonts w:ascii="Arial"/>
                <w:sz w:val="21"/>
              </w:rPr>
            </w:pPr>
          </w:p>
          <w:p w14:paraId="1799ADCC">
            <w:pPr>
              <w:spacing w:line="299" w:lineRule="auto"/>
              <w:rPr>
                <w:rFonts w:ascii="Arial"/>
                <w:sz w:val="21"/>
              </w:rPr>
            </w:pPr>
          </w:p>
          <w:p w14:paraId="1AC191A1">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03DAA0DF">
            <w:pPr>
              <w:pStyle w:val="8"/>
              <w:spacing w:before="63" w:line="219" w:lineRule="auto"/>
              <w:ind w:left="491"/>
            </w:pPr>
            <w:r>
              <w:rPr>
                <w:b/>
                <w:bCs/>
                <w:spacing w:val="-4"/>
              </w:rPr>
              <w:t>1.《中华人民共和国公路法》</w:t>
            </w:r>
          </w:p>
          <w:p w14:paraId="61F005E1">
            <w:pPr>
              <w:pStyle w:val="8"/>
              <w:spacing w:before="25" w:line="219" w:lineRule="auto"/>
              <w:ind w:left="477"/>
            </w:pPr>
            <w:r>
              <w:t>第二十五条  公路建设项目的施工，须按国务</w:t>
            </w:r>
            <w:r>
              <w:rPr>
                <w:spacing w:val="-1"/>
              </w:rPr>
              <w:t>院交通主管部门的规定报请县级以上地方人民政府交通主</w:t>
            </w:r>
          </w:p>
          <w:p w14:paraId="735B755E">
            <w:pPr>
              <w:pStyle w:val="8"/>
              <w:spacing w:before="27" w:line="219" w:lineRule="auto"/>
              <w:ind w:left="122"/>
            </w:pPr>
            <w:r>
              <w:rPr>
                <w:spacing w:val="-6"/>
              </w:rPr>
              <w:t>管部门批准。</w:t>
            </w:r>
          </w:p>
          <w:p w14:paraId="17F17232">
            <w:pPr>
              <w:pStyle w:val="8"/>
              <w:spacing w:before="25" w:line="219" w:lineRule="auto"/>
              <w:ind w:left="479"/>
            </w:pPr>
            <w:r>
              <w:rPr>
                <w:b/>
                <w:bCs/>
                <w:spacing w:val="-3"/>
              </w:rPr>
              <w:t>2.《公路建设市场管理办法》（交通运输部</w:t>
            </w:r>
            <w:r>
              <w:rPr>
                <w:b/>
                <w:bCs/>
                <w:spacing w:val="-4"/>
              </w:rPr>
              <w:t>令</w:t>
            </w:r>
            <w:r>
              <w:rPr>
                <w:spacing w:val="-35"/>
              </w:rPr>
              <w:t xml:space="preserve"> </w:t>
            </w:r>
            <w:r>
              <w:rPr>
                <w:b/>
                <w:bCs/>
                <w:spacing w:val="-4"/>
              </w:rPr>
              <w:t>2015</w:t>
            </w:r>
            <w:r>
              <w:rPr>
                <w:spacing w:val="-38"/>
              </w:rPr>
              <w:t xml:space="preserve"> </w:t>
            </w:r>
            <w:r>
              <w:rPr>
                <w:b/>
                <w:bCs/>
                <w:spacing w:val="-4"/>
              </w:rPr>
              <w:t>年第</w:t>
            </w:r>
            <w:r>
              <w:rPr>
                <w:spacing w:val="-24"/>
              </w:rPr>
              <w:t xml:space="preserve"> </w:t>
            </w:r>
            <w:r>
              <w:rPr>
                <w:b/>
                <w:bCs/>
                <w:spacing w:val="-4"/>
              </w:rPr>
              <w:t>11</w:t>
            </w:r>
            <w:r>
              <w:rPr>
                <w:spacing w:val="-32"/>
              </w:rPr>
              <w:t xml:space="preserve"> </w:t>
            </w:r>
            <w:r>
              <w:rPr>
                <w:b/>
                <w:bCs/>
                <w:spacing w:val="-4"/>
              </w:rPr>
              <w:t>号）</w:t>
            </w:r>
          </w:p>
          <w:p w14:paraId="2D83004D">
            <w:pPr>
              <w:pStyle w:val="8"/>
              <w:spacing w:before="26" w:line="237" w:lineRule="auto"/>
              <w:ind w:left="120" w:right="108" w:firstLine="357"/>
              <w:jc w:val="both"/>
            </w:pPr>
            <w:r>
              <w:t>第二十四条  公路建设项目依法实行施工许可</w:t>
            </w:r>
            <w:r>
              <w:rPr>
                <w:spacing w:val="-1"/>
              </w:rPr>
              <w:t>制度。国家和国务院交通运输主管部门确定的重点公路建</w:t>
            </w:r>
            <w:r>
              <w:t xml:space="preserve"> 设项目的施工许可由省级人民政府交通运输</w:t>
            </w:r>
            <w:r>
              <w:rPr>
                <w:spacing w:val="-1"/>
              </w:rPr>
              <w:t>主管部门实施，其他公路建设项目的施工许可按照项目管理权限</w:t>
            </w:r>
            <w:r>
              <w:t xml:space="preserve"> </w:t>
            </w:r>
            <w:r>
              <w:rPr>
                <w:spacing w:val="-2"/>
              </w:rPr>
              <w:t>由县级以上地方人民政府交通运输主管部门实施。</w:t>
            </w:r>
          </w:p>
          <w:p w14:paraId="308C87AA">
            <w:pPr>
              <w:pStyle w:val="8"/>
              <w:spacing w:before="27" w:line="219" w:lineRule="auto"/>
              <w:ind w:left="477"/>
            </w:pPr>
            <w:r>
              <w:rPr>
                <w:spacing w:val="-1"/>
              </w:rPr>
              <w:t>第二十六条  项目法人在申请施工许可时应当向相关的交通</w:t>
            </w:r>
            <w:r>
              <w:rPr>
                <w:spacing w:val="-2"/>
              </w:rPr>
              <w:t>运输主管部门提交以下材料：</w:t>
            </w:r>
          </w:p>
          <w:p w14:paraId="569185C0">
            <w:pPr>
              <w:pStyle w:val="8"/>
              <w:spacing w:before="27" w:line="219" w:lineRule="auto"/>
              <w:ind w:left="487"/>
            </w:pPr>
            <w:r>
              <w:rPr>
                <w:spacing w:val="-5"/>
              </w:rPr>
              <w:t>（一）施工图设计文件批复；</w:t>
            </w:r>
          </w:p>
          <w:p w14:paraId="45C51005">
            <w:pPr>
              <w:pStyle w:val="8"/>
              <w:spacing w:before="26" w:line="219" w:lineRule="auto"/>
              <w:ind w:left="487"/>
            </w:pPr>
            <w:r>
              <w:rPr>
                <w:spacing w:val="-3"/>
              </w:rPr>
              <w:t>（二）交通运输主管部门对建设资金落实情况的审计意见；</w:t>
            </w:r>
          </w:p>
          <w:p w14:paraId="6B9DA00E">
            <w:pPr>
              <w:pStyle w:val="8"/>
              <w:spacing w:before="27" w:line="219" w:lineRule="auto"/>
              <w:ind w:left="487"/>
            </w:pPr>
            <w:r>
              <w:rPr>
                <w:spacing w:val="-3"/>
              </w:rPr>
              <w:t>（三）国土资源部门关于征地的批复或者控制性用地的批复；</w:t>
            </w:r>
          </w:p>
        </w:tc>
        <w:tc>
          <w:tcPr>
            <w:tcW w:w="1159" w:type="dxa"/>
            <w:vAlign w:val="top"/>
          </w:tcPr>
          <w:p w14:paraId="02811D09">
            <w:pPr>
              <w:rPr>
                <w:rFonts w:ascii="Arial"/>
                <w:sz w:val="21"/>
              </w:rPr>
            </w:pPr>
          </w:p>
        </w:tc>
      </w:tr>
    </w:tbl>
    <w:p w14:paraId="22C38FEB">
      <w:pPr>
        <w:pStyle w:val="2"/>
      </w:pPr>
    </w:p>
    <w:p w14:paraId="0979FD8F">
      <w:pPr>
        <w:sectPr>
          <w:footerReference r:id="rId5" w:type="default"/>
          <w:pgSz w:w="16839" w:h="11906"/>
          <w:pgMar w:top="1012" w:right="1134" w:bottom="967" w:left="1134" w:header="0" w:footer="768" w:gutter="0"/>
          <w:cols w:space="720" w:num="1"/>
        </w:sectPr>
      </w:pPr>
    </w:p>
    <w:p w14:paraId="6CAB8303">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6EA5F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705" w:type="dxa"/>
            <w:vAlign w:val="top"/>
          </w:tcPr>
          <w:p w14:paraId="1848EABB">
            <w:pPr>
              <w:pStyle w:val="8"/>
              <w:spacing w:before="183" w:line="221" w:lineRule="auto"/>
              <w:ind w:left="175"/>
            </w:pPr>
            <w:r>
              <w:rPr>
                <w:b/>
                <w:bCs/>
                <w:spacing w:val="-4"/>
              </w:rPr>
              <w:t>序号</w:t>
            </w:r>
          </w:p>
        </w:tc>
        <w:tc>
          <w:tcPr>
            <w:tcW w:w="1290" w:type="dxa"/>
            <w:vAlign w:val="top"/>
          </w:tcPr>
          <w:p w14:paraId="6EC68990">
            <w:pPr>
              <w:pStyle w:val="8"/>
              <w:spacing w:before="183" w:line="220" w:lineRule="auto"/>
              <w:ind w:left="284"/>
            </w:pPr>
            <w:r>
              <w:rPr>
                <w:b/>
                <w:bCs/>
                <w:spacing w:val="-4"/>
              </w:rPr>
              <w:t>事项名称</w:t>
            </w:r>
          </w:p>
        </w:tc>
        <w:tc>
          <w:tcPr>
            <w:tcW w:w="1379" w:type="dxa"/>
            <w:vAlign w:val="top"/>
          </w:tcPr>
          <w:p w14:paraId="791569B9">
            <w:pPr>
              <w:pStyle w:val="8"/>
              <w:spacing w:before="183" w:line="219" w:lineRule="auto"/>
              <w:ind w:left="333"/>
            </w:pPr>
            <w:r>
              <w:rPr>
                <w:b/>
                <w:bCs/>
                <w:spacing w:val="-5"/>
              </w:rPr>
              <w:t>实施机关</w:t>
            </w:r>
          </w:p>
        </w:tc>
        <w:tc>
          <w:tcPr>
            <w:tcW w:w="1364" w:type="dxa"/>
            <w:vAlign w:val="top"/>
          </w:tcPr>
          <w:p w14:paraId="27C4F120">
            <w:pPr>
              <w:pStyle w:val="8"/>
              <w:spacing w:before="183" w:line="219" w:lineRule="auto"/>
              <w:ind w:left="322"/>
            </w:pPr>
            <w:r>
              <w:rPr>
                <w:b/>
                <w:bCs/>
                <w:spacing w:val="-4"/>
              </w:rPr>
              <w:t>承办机构</w:t>
            </w:r>
          </w:p>
        </w:tc>
        <w:tc>
          <w:tcPr>
            <w:tcW w:w="8667" w:type="dxa"/>
            <w:vAlign w:val="top"/>
          </w:tcPr>
          <w:p w14:paraId="3AAE0A9C">
            <w:pPr>
              <w:pStyle w:val="8"/>
              <w:spacing w:before="183" w:line="219" w:lineRule="auto"/>
              <w:ind w:left="3708"/>
            </w:pPr>
            <w:r>
              <w:rPr>
                <w:b/>
                <w:bCs/>
                <w:spacing w:val="-3"/>
              </w:rPr>
              <w:t>设定和实施依据</w:t>
            </w:r>
          </w:p>
        </w:tc>
        <w:tc>
          <w:tcPr>
            <w:tcW w:w="1159" w:type="dxa"/>
            <w:vAlign w:val="top"/>
          </w:tcPr>
          <w:p w14:paraId="1CAAD640">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2488D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705" w:type="dxa"/>
            <w:vAlign w:val="top"/>
          </w:tcPr>
          <w:p w14:paraId="368CFD51">
            <w:pPr>
              <w:rPr>
                <w:rFonts w:ascii="Arial"/>
                <w:sz w:val="21"/>
              </w:rPr>
            </w:pPr>
          </w:p>
        </w:tc>
        <w:tc>
          <w:tcPr>
            <w:tcW w:w="1290" w:type="dxa"/>
            <w:vAlign w:val="top"/>
          </w:tcPr>
          <w:p w14:paraId="4BC8F5F4">
            <w:pPr>
              <w:rPr>
                <w:rFonts w:ascii="Arial"/>
                <w:sz w:val="21"/>
              </w:rPr>
            </w:pPr>
          </w:p>
        </w:tc>
        <w:tc>
          <w:tcPr>
            <w:tcW w:w="1379" w:type="dxa"/>
            <w:vAlign w:val="top"/>
          </w:tcPr>
          <w:p w14:paraId="03E5180F">
            <w:pPr>
              <w:rPr>
                <w:rFonts w:ascii="Arial"/>
                <w:sz w:val="21"/>
              </w:rPr>
            </w:pPr>
          </w:p>
        </w:tc>
        <w:tc>
          <w:tcPr>
            <w:tcW w:w="1364" w:type="dxa"/>
            <w:vAlign w:val="top"/>
          </w:tcPr>
          <w:p w14:paraId="7BC44321">
            <w:pPr>
              <w:rPr>
                <w:rFonts w:ascii="Arial"/>
                <w:sz w:val="21"/>
              </w:rPr>
            </w:pPr>
          </w:p>
        </w:tc>
        <w:tc>
          <w:tcPr>
            <w:tcW w:w="8667" w:type="dxa"/>
            <w:vAlign w:val="top"/>
          </w:tcPr>
          <w:p w14:paraId="4A442AFE">
            <w:pPr>
              <w:pStyle w:val="8"/>
              <w:spacing w:before="59" w:line="218" w:lineRule="auto"/>
              <w:ind w:left="487"/>
            </w:pPr>
            <w:r>
              <w:rPr>
                <w:spacing w:val="-2"/>
              </w:rPr>
              <w:t>（四）建设项目各合同段的施工单位和监理单位名单、合同价</w:t>
            </w:r>
            <w:r>
              <w:rPr>
                <w:spacing w:val="-3"/>
              </w:rPr>
              <w:t>情况；</w:t>
            </w:r>
          </w:p>
          <w:p w14:paraId="4A1FE817">
            <w:pPr>
              <w:pStyle w:val="8"/>
              <w:spacing w:before="27" w:line="218" w:lineRule="auto"/>
              <w:ind w:left="487"/>
            </w:pPr>
            <w:r>
              <w:rPr>
                <w:spacing w:val="-3"/>
              </w:rPr>
              <w:t>（五）应当报备的资格预审报告、招标文件和评标报告；</w:t>
            </w:r>
          </w:p>
          <w:p w14:paraId="643F9F73">
            <w:pPr>
              <w:pStyle w:val="8"/>
              <w:spacing w:before="27" w:line="219" w:lineRule="auto"/>
              <w:ind w:left="487"/>
            </w:pPr>
            <w:r>
              <w:rPr>
                <w:spacing w:val="-4"/>
              </w:rPr>
              <w:t>（六）已办理的质量监督手续材料；</w:t>
            </w:r>
          </w:p>
          <w:p w14:paraId="4AE95BEC">
            <w:pPr>
              <w:pStyle w:val="8"/>
              <w:spacing w:before="26" w:line="219" w:lineRule="auto"/>
              <w:ind w:left="487"/>
            </w:pPr>
            <w:r>
              <w:rPr>
                <w:spacing w:val="-3"/>
              </w:rPr>
              <w:t>（七）保证工程质量和安全措施的材料。</w:t>
            </w:r>
          </w:p>
        </w:tc>
        <w:tc>
          <w:tcPr>
            <w:tcW w:w="1159" w:type="dxa"/>
            <w:vAlign w:val="top"/>
          </w:tcPr>
          <w:p w14:paraId="569537C7">
            <w:pPr>
              <w:rPr>
                <w:rFonts w:ascii="Arial"/>
                <w:sz w:val="21"/>
              </w:rPr>
            </w:pPr>
          </w:p>
        </w:tc>
      </w:tr>
      <w:tr w14:paraId="18C7C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05" w:type="dxa"/>
            <w:vAlign w:val="top"/>
          </w:tcPr>
          <w:p w14:paraId="28F9C1B0">
            <w:pPr>
              <w:spacing w:line="253" w:lineRule="auto"/>
              <w:rPr>
                <w:rFonts w:ascii="Arial"/>
                <w:sz w:val="21"/>
              </w:rPr>
            </w:pPr>
          </w:p>
          <w:p w14:paraId="7DBA2146">
            <w:pPr>
              <w:spacing w:line="253" w:lineRule="auto"/>
              <w:rPr>
                <w:rFonts w:ascii="Arial"/>
                <w:sz w:val="21"/>
              </w:rPr>
            </w:pPr>
          </w:p>
          <w:p w14:paraId="0DD2E5EC">
            <w:pPr>
              <w:spacing w:line="253" w:lineRule="auto"/>
              <w:rPr>
                <w:rFonts w:ascii="Arial"/>
                <w:sz w:val="21"/>
              </w:rPr>
            </w:pPr>
          </w:p>
          <w:p w14:paraId="779EAA1A">
            <w:pPr>
              <w:spacing w:line="253" w:lineRule="auto"/>
              <w:rPr>
                <w:rFonts w:ascii="Arial"/>
                <w:sz w:val="21"/>
              </w:rPr>
            </w:pPr>
          </w:p>
          <w:p w14:paraId="3BD7A7CF">
            <w:pPr>
              <w:spacing w:line="253" w:lineRule="auto"/>
              <w:rPr>
                <w:rFonts w:ascii="Arial"/>
                <w:sz w:val="21"/>
              </w:rPr>
            </w:pPr>
          </w:p>
          <w:p w14:paraId="391061FA">
            <w:pPr>
              <w:spacing w:line="253" w:lineRule="auto"/>
              <w:rPr>
                <w:rFonts w:ascii="Arial"/>
                <w:sz w:val="21"/>
              </w:rPr>
            </w:pPr>
          </w:p>
          <w:p w14:paraId="1B459ADF">
            <w:pPr>
              <w:spacing w:line="253" w:lineRule="auto"/>
              <w:rPr>
                <w:rFonts w:ascii="Arial"/>
                <w:sz w:val="21"/>
              </w:rPr>
            </w:pPr>
          </w:p>
          <w:p w14:paraId="58DE2244">
            <w:pPr>
              <w:spacing w:line="254" w:lineRule="auto"/>
              <w:rPr>
                <w:rFonts w:ascii="Arial"/>
                <w:sz w:val="21"/>
              </w:rPr>
            </w:pPr>
          </w:p>
          <w:p w14:paraId="6B7FC952">
            <w:pPr>
              <w:spacing w:line="254" w:lineRule="auto"/>
              <w:rPr>
                <w:rFonts w:ascii="Arial"/>
                <w:sz w:val="21"/>
              </w:rPr>
            </w:pPr>
          </w:p>
          <w:p w14:paraId="090EF01C">
            <w:pPr>
              <w:spacing w:line="254" w:lineRule="auto"/>
              <w:rPr>
                <w:rFonts w:ascii="Arial"/>
                <w:sz w:val="21"/>
              </w:rPr>
            </w:pPr>
          </w:p>
          <w:p w14:paraId="21440FAB">
            <w:pPr>
              <w:pStyle w:val="8"/>
              <w:spacing w:before="59" w:line="183" w:lineRule="auto"/>
              <w:ind w:left="316"/>
            </w:pPr>
            <w:r>
              <w:t>3</w:t>
            </w:r>
          </w:p>
        </w:tc>
        <w:tc>
          <w:tcPr>
            <w:tcW w:w="1290" w:type="dxa"/>
            <w:vAlign w:val="top"/>
          </w:tcPr>
          <w:p w14:paraId="11849A8F">
            <w:pPr>
              <w:spacing w:line="265" w:lineRule="auto"/>
              <w:rPr>
                <w:rFonts w:ascii="Arial"/>
                <w:sz w:val="21"/>
              </w:rPr>
            </w:pPr>
          </w:p>
          <w:p w14:paraId="4E5ADE61">
            <w:pPr>
              <w:spacing w:line="265" w:lineRule="auto"/>
              <w:rPr>
                <w:rFonts w:ascii="Arial"/>
                <w:sz w:val="21"/>
              </w:rPr>
            </w:pPr>
          </w:p>
          <w:p w14:paraId="3FB39E06">
            <w:pPr>
              <w:spacing w:line="265" w:lineRule="auto"/>
              <w:rPr>
                <w:rFonts w:ascii="Arial"/>
                <w:sz w:val="21"/>
              </w:rPr>
            </w:pPr>
          </w:p>
          <w:p w14:paraId="5D646B08">
            <w:pPr>
              <w:spacing w:line="265" w:lineRule="auto"/>
              <w:rPr>
                <w:rFonts w:ascii="Arial"/>
                <w:sz w:val="21"/>
              </w:rPr>
            </w:pPr>
          </w:p>
          <w:p w14:paraId="65D3D034">
            <w:pPr>
              <w:spacing w:line="265" w:lineRule="auto"/>
              <w:rPr>
                <w:rFonts w:ascii="Arial"/>
                <w:sz w:val="21"/>
              </w:rPr>
            </w:pPr>
          </w:p>
          <w:p w14:paraId="3154E898">
            <w:pPr>
              <w:spacing w:line="265" w:lineRule="auto"/>
              <w:rPr>
                <w:rFonts w:ascii="Arial"/>
                <w:sz w:val="21"/>
              </w:rPr>
            </w:pPr>
          </w:p>
          <w:p w14:paraId="19339D3D">
            <w:pPr>
              <w:spacing w:line="265" w:lineRule="auto"/>
              <w:rPr>
                <w:rFonts w:ascii="Arial"/>
                <w:sz w:val="21"/>
              </w:rPr>
            </w:pPr>
          </w:p>
          <w:p w14:paraId="7D4F7F30">
            <w:pPr>
              <w:spacing w:line="265" w:lineRule="auto"/>
              <w:rPr>
                <w:rFonts w:ascii="Arial"/>
                <w:sz w:val="21"/>
              </w:rPr>
            </w:pPr>
          </w:p>
          <w:p w14:paraId="7A02EB5A">
            <w:pPr>
              <w:spacing w:line="265" w:lineRule="auto"/>
              <w:rPr>
                <w:rFonts w:ascii="Arial"/>
                <w:sz w:val="21"/>
              </w:rPr>
            </w:pPr>
          </w:p>
          <w:p w14:paraId="76FA7312">
            <w:pPr>
              <w:pStyle w:val="8"/>
              <w:spacing w:before="59" w:line="233" w:lineRule="auto"/>
              <w:ind w:left="30" w:right="28" w:firstLine="4"/>
            </w:pPr>
            <w:r>
              <w:rPr>
                <w:spacing w:val="23"/>
              </w:rPr>
              <w:t>公路建设项目</w:t>
            </w:r>
            <w:r>
              <w:rPr>
                <w:spacing w:val="1"/>
              </w:rPr>
              <w:t xml:space="preserve"> </w:t>
            </w:r>
            <w:r>
              <w:rPr>
                <w:spacing w:val="-2"/>
              </w:rPr>
              <w:t>竣工验收</w:t>
            </w:r>
          </w:p>
        </w:tc>
        <w:tc>
          <w:tcPr>
            <w:tcW w:w="1379" w:type="dxa"/>
            <w:vAlign w:val="top"/>
          </w:tcPr>
          <w:p w14:paraId="799D7D03">
            <w:pPr>
              <w:spacing w:line="251" w:lineRule="auto"/>
              <w:rPr>
                <w:rFonts w:ascii="Arial"/>
                <w:sz w:val="21"/>
              </w:rPr>
            </w:pPr>
          </w:p>
          <w:p w14:paraId="0B27A2E3">
            <w:pPr>
              <w:spacing w:line="252" w:lineRule="auto"/>
              <w:rPr>
                <w:rFonts w:ascii="Arial"/>
                <w:sz w:val="21"/>
              </w:rPr>
            </w:pPr>
          </w:p>
          <w:p w14:paraId="5388001A">
            <w:pPr>
              <w:spacing w:line="252" w:lineRule="auto"/>
              <w:rPr>
                <w:rFonts w:ascii="Arial"/>
                <w:sz w:val="21"/>
              </w:rPr>
            </w:pPr>
          </w:p>
          <w:p w14:paraId="6E96107C">
            <w:pPr>
              <w:spacing w:line="252" w:lineRule="auto"/>
              <w:rPr>
                <w:rFonts w:ascii="Arial"/>
                <w:sz w:val="21"/>
              </w:rPr>
            </w:pPr>
          </w:p>
          <w:p w14:paraId="3F5B92B5">
            <w:pPr>
              <w:spacing w:line="252" w:lineRule="auto"/>
              <w:rPr>
                <w:rFonts w:ascii="Arial"/>
                <w:sz w:val="21"/>
              </w:rPr>
            </w:pPr>
          </w:p>
          <w:p w14:paraId="20BFECF4">
            <w:pPr>
              <w:spacing w:line="252" w:lineRule="auto"/>
              <w:rPr>
                <w:rFonts w:ascii="Arial"/>
                <w:sz w:val="21"/>
              </w:rPr>
            </w:pPr>
          </w:p>
          <w:p w14:paraId="5431B676">
            <w:pPr>
              <w:spacing w:line="252" w:lineRule="auto"/>
              <w:rPr>
                <w:rFonts w:ascii="Arial"/>
                <w:sz w:val="21"/>
              </w:rPr>
            </w:pPr>
          </w:p>
          <w:p w14:paraId="590C1F76">
            <w:pPr>
              <w:spacing w:line="252" w:lineRule="auto"/>
              <w:rPr>
                <w:rFonts w:ascii="Arial"/>
                <w:sz w:val="21"/>
              </w:rPr>
            </w:pPr>
          </w:p>
          <w:p w14:paraId="0073C6EF">
            <w:pPr>
              <w:spacing w:line="252" w:lineRule="auto"/>
              <w:rPr>
                <w:rFonts w:ascii="Arial"/>
                <w:sz w:val="21"/>
              </w:rPr>
            </w:pPr>
          </w:p>
          <w:p w14:paraId="27ED4DA3">
            <w:pPr>
              <w:pStyle w:val="8"/>
              <w:spacing w:before="59" w:line="237" w:lineRule="auto"/>
              <w:ind w:left="31" w:right="27"/>
              <w:rPr>
                <w:rFonts w:hint="eastAsia" w:eastAsia="宋体"/>
                <w:lang w:eastAsia="zh-CN"/>
              </w:rPr>
            </w:pPr>
            <w:r>
              <w:rPr>
                <w:rFonts w:hint="eastAsia"/>
                <w:spacing w:val="6"/>
                <w:lang w:eastAsia="zh-CN"/>
              </w:rPr>
              <w:t>津市市交通运输局</w:t>
            </w:r>
          </w:p>
        </w:tc>
        <w:tc>
          <w:tcPr>
            <w:tcW w:w="1364" w:type="dxa"/>
            <w:vAlign w:val="top"/>
          </w:tcPr>
          <w:p w14:paraId="7920FD9F">
            <w:pPr>
              <w:spacing w:line="250" w:lineRule="auto"/>
              <w:rPr>
                <w:rFonts w:ascii="Arial"/>
                <w:sz w:val="21"/>
              </w:rPr>
            </w:pPr>
          </w:p>
          <w:p w14:paraId="3D622995">
            <w:pPr>
              <w:spacing w:line="250" w:lineRule="auto"/>
              <w:rPr>
                <w:rFonts w:ascii="Arial"/>
                <w:sz w:val="21"/>
              </w:rPr>
            </w:pPr>
          </w:p>
          <w:p w14:paraId="4D94FFD5">
            <w:pPr>
              <w:spacing w:line="250" w:lineRule="auto"/>
              <w:rPr>
                <w:rFonts w:ascii="Arial"/>
                <w:sz w:val="21"/>
              </w:rPr>
            </w:pPr>
          </w:p>
          <w:p w14:paraId="469D5B18">
            <w:pPr>
              <w:spacing w:line="250" w:lineRule="auto"/>
              <w:rPr>
                <w:rFonts w:ascii="Arial"/>
                <w:sz w:val="21"/>
              </w:rPr>
            </w:pPr>
          </w:p>
          <w:p w14:paraId="75411983">
            <w:pPr>
              <w:spacing w:line="250" w:lineRule="auto"/>
              <w:rPr>
                <w:rFonts w:ascii="Arial"/>
                <w:sz w:val="21"/>
              </w:rPr>
            </w:pPr>
          </w:p>
          <w:p w14:paraId="0BA760A2">
            <w:pPr>
              <w:spacing w:line="251" w:lineRule="auto"/>
              <w:rPr>
                <w:rFonts w:ascii="Arial"/>
                <w:sz w:val="21"/>
              </w:rPr>
            </w:pPr>
          </w:p>
          <w:p w14:paraId="1FBE7B9C">
            <w:pPr>
              <w:spacing w:line="251" w:lineRule="auto"/>
              <w:rPr>
                <w:rFonts w:ascii="Arial"/>
                <w:sz w:val="21"/>
              </w:rPr>
            </w:pPr>
          </w:p>
          <w:p w14:paraId="54BD30FD">
            <w:pPr>
              <w:spacing w:line="251" w:lineRule="auto"/>
              <w:rPr>
                <w:rFonts w:ascii="Arial"/>
                <w:sz w:val="21"/>
              </w:rPr>
            </w:pPr>
          </w:p>
          <w:p w14:paraId="719EC7E0">
            <w:pPr>
              <w:spacing w:line="251" w:lineRule="auto"/>
              <w:rPr>
                <w:rFonts w:ascii="Arial"/>
                <w:sz w:val="21"/>
              </w:rPr>
            </w:pPr>
          </w:p>
          <w:p w14:paraId="05A8F15B">
            <w:pPr>
              <w:spacing w:line="251" w:lineRule="auto"/>
              <w:rPr>
                <w:rFonts w:ascii="Arial"/>
                <w:sz w:val="21"/>
              </w:rPr>
            </w:pPr>
          </w:p>
          <w:p w14:paraId="02FDED21">
            <w:pPr>
              <w:pStyle w:val="8"/>
              <w:spacing w:before="58"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34AED133">
            <w:pPr>
              <w:pStyle w:val="8"/>
              <w:spacing w:before="59" w:line="219" w:lineRule="auto"/>
              <w:ind w:left="491"/>
            </w:pPr>
            <w:r>
              <w:rPr>
                <w:b/>
                <w:bCs/>
                <w:spacing w:val="-4"/>
              </w:rPr>
              <w:t>1.《中华人民共和国公路法》</w:t>
            </w:r>
          </w:p>
          <w:p w14:paraId="3D158420">
            <w:pPr>
              <w:pStyle w:val="8"/>
              <w:spacing w:before="25" w:line="233" w:lineRule="auto"/>
              <w:ind w:left="124" w:right="108" w:firstLine="353"/>
            </w:pPr>
            <w:r>
              <w:t>第三十三条  公路建设项目和公路修复项目竣</w:t>
            </w:r>
            <w:r>
              <w:rPr>
                <w:spacing w:val="-1"/>
              </w:rPr>
              <w:t>工后，应当按照国家有关规定进行验收；未经验收或者验</w:t>
            </w:r>
            <w:r>
              <w:t xml:space="preserve"> </w:t>
            </w:r>
            <w:r>
              <w:rPr>
                <w:spacing w:val="-3"/>
              </w:rPr>
              <w:t>收不合格的，不得交付使用。</w:t>
            </w:r>
          </w:p>
          <w:p w14:paraId="62C8CBF2">
            <w:pPr>
              <w:pStyle w:val="8"/>
              <w:spacing w:before="26" w:line="219" w:lineRule="auto"/>
              <w:ind w:left="479"/>
            </w:pPr>
            <w:r>
              <w:rPr>
                <w:spacing w:val="-1"/>
              </w:rPr>
              <w:t>建成的公路，应当按照国务院交通主管部门的规定设置明</w:t>
            </w:r>
            <w:r>
              <w:rPr>
                <w:spacing w:val="-2"/>
              </w:rPr>
              <w:t>显的标志、标线。</w:t>
            </w:r>
          </w:p>
          <w:p w14:paraId="0F9234D1">
            <w:pPr>
              <w:pStyle w:val="8"/>
              <w:spacing w:before="26" w:line="219" w:lineRule="auto"/>
              <w:ind w:left="479"/>
            </w:pPr>
            <w:r>
              <w:rPr>
                <w:b/>
                <w:bCs/>
                <w:spacing w:val="-3"/>
              </w:rPr>
              <w:t>2.《收费公路管理条例》</w:t>
            </w:r>
          </w:p>
          <w:p w14:paraId="44D5A95D">
            <w:pPr>
              <w:pStyle w:val="8"/>
              <w:spacing w:before="26" w:line="219" w:lineRule="auto"/>
              <w:ind w:left="477"/>
            </w:pPr>
            <w:r>
              <w:t>第二十五条第一款  收费公路建成后，应当按照</w:t>
            </w:r>
            <w:r>
              <w:rPr>
                <w:spacing w:val="-1"/>
              </w:rPr>
              <w:t>国家有关规定进行验收；验收合格的，方可收取车辆通</w:t>
            </w:r>
          </w:p>
          <w:p w14:paraId="10D9A2BF">
            <w:pPr>
              <w:pStyle w:val="8"/>
              <w:spacing w:before="26" w:line="220" w:lineRule="auto"/>
              <w:ind w:left="120"/>
            </w:pPr>
            <w:r>
              <w:rPr>
                <w:spacing w:val="-10"/>
              </w:rPr>
              <w:t>行费。</w:t>
            </w:r>
          </w:p>
          <w:p w14:paraId="60CFAD63">
            <w:pPr>
              <w:pStyle w:val="8"/>
              <w:spacing w:before="26" w:line="219" w:lineRule="auto"/>
              <w:ind w:left="481"/>
            </w:pPr>
            <w:r>
              <w:rPr>
                <w:b/>
                <w:bCs/>
                <w:spacing w:val="-3"/>
              </w:rPr>
              <w:t>3.《公路工程竣（交）工验收办法》（交通部令（2004）第</w:t>
            </w:r>
            <w:r>
              <w:rPr>
                <w:spacing w:val="-16"/>
              </w:rPr>
              <w:t xml:space="preserve"> </w:t>
            </w:r>
            <w:r>
              <w:rPr>
                <w:b/>
                <w:bCs/>
                <w:spacing w:val="-3"/>
              </w:rPr>
              <w:t>3</w:t>
            </w:r>
            <w:r>
              <w:rPr>
                <w:spacing w:val="-34"/>
              </w:rPr>
              <w:t xml:space="preserve"> </w:t>
            </w:r>
            <w:r>
              <w:rPr>
                <w:b/>
                <w:bCs/>
                <w:spacing w:val="-3"/>
              </w:rPr>
              <w:t>号）</w:t>
            </w:r>
          </w:p>
          <w:p w14:paraId="79D845DD">
            <w:pPr>
              <w:pStyle w:val="8"/>
              <w:spacing w:before="27" w:line="237" w:lineRule="auto"/>
              <w:ind w:left="120" w:right="108" w:firstLine="357"/>
              <w:jc w:val="both"/>
            </w:pPr>
            <w:r>
              <w:t>第六条第二款  竣工验收由交通主管部门按项</w:t>
            </w:r>
            <w:r>
              <w:rPr>
                <w:spacing w:val="-1"/>
              </w:rPr>
              <w:t>目管理权限负责。交通部负责国家、部重点公路工程项目</w:t>
            </w:r>
            <w:r>
              <w:t xml:space="preserve"> </w:t>
            </w:r>
            <w:r>
              <w:rPr>
                <w:spacing w:val="-1"/>
              </w:rPr>
              <w:t>中</w:t>
            </w:r>
            <w:r>
              <w:rPr>
                <w:spacing w:val="-27"/>
              </w:rPr>
              <w:t xml:space="preserve"> </w:t>
            </w:r>
            <w:r>
              <w:rPr>
                <w:spacing w:val="-1"/>
              </w:rPr>
              <w:t>100</w:t>
            </w:r>
            <w:r>
              <w:rPr>
                <w:spacing w:val="-30"/>
              </w:rPr>
              <w:t xml:space="preserve"> </w:t>
            </w:r>
            <w:r>
              <w:rPr>
                <w:spacing w:val="-1"/>
              </w:rPr>
              <w:t>公里以上的高速公路、独立特大型桥梁和特长隧道工程的竣工验收工作</w:t>
            </w:r>
            <w:r>
              <w:rPr>
                <w:spacing w:val="-2"/>
              </w:rPr>
              <w:t>；其它公路工程建设项目，由</w:t>
            </w:r>
            <w:r>
              <w:t xml:space="preserve"> </w:t>
            </w:r>
            <w:r>
              <w:rPr>
                <w:spacing w:val="-1"/>
              </w:rPr>
              <w:t>省级人民政府交通主管部门确定的相应交通主管部门负责竣工验</w:t>
            </w:r>
            <w:r>
              <w:rPr>
                <w:spacing w:val="-2"/>
              </w:rPr>
              <w:t>收工作。</w:t>
            </w:r>
          </w:p>
          <w:p w14:paraId="18812490">
            <w:pPr>
              <w:pStyle w:val="8"/>
              <w:spacing w:before="25" w:line="233" w:lineRule="auto"/>
              <w:ind w:left="119" w:right="115" w:firstLine="357"/>
            </w:pPr>
            <w:r>
              <w:rPr>
                <w:spacing w:val="-1"/>
              </w:rPr>
              <w:t>第二十四条  负责组织竣工验收的交通主管部门对通过验收的建设项目按交通部规定的要求签发《公路</w:t>
            </w:r>
            <w:r>
              <w:rPr>
                <w:spacing w:val="14"/>
              </w:rPr>
              <w:t xml:space="preserve"> </w:t>
            </w:r>
            <w:r>
              <w:rPr>
                <w:spacing w:val="-3"/>
              </w:rPr>
              <w:t>工程竣工验收鉴定书》。</w:t>
            </w:r>
          </w:p>
          <w:p w14:paraId="72C2C184">
            <w:pPr>
              <w:pStyle w:val="8"/>
              <w:spacing w:before="27" w:line="232" w:lineRule="auto"/>
              <w:ind w:left="118" w:right="108" w:firstLine="359"/>
            </w:pPr>
            <w:r>
              <w:t>通过竣工验收的工程，由质量监督机构依据竣</w:t>
            </w:r>
            <w:r>
              <w:rPr>
                <w:spacing w:val="-1"/>
              </w:rPr>
              <w:t>工验收结论，按照交通部规定的格式对各参建单位签发工</w:t>
            </w:r>
            <w:r>
              <w:t xml:space="preserve"> </w:t>
            </w:r>
            <w:r>
              <w:rPr>
                <w:spacing w:val="-4"/>
              </w:rPr>
              <w:t>作综合评价等级证书。</w:t>
            </w:r>
          </w:p>
          <w:p w14:paraId="51A71C23">
            <w:pPr>
              <w:pStyle w:val="8"/>
              <w:spacing w:before="27" w:line="219" w:lineRule="auto"/>
              <w:ind w:left="477"/>
            </w:pPr>
            <w:r>
              <w:rPr>
                <w:b/>
                <w:bCs/>
                <w:spacing w:val="-3"/>
              </w:rPr>
              <w:t>4.《农村公路建设管理办法》（交通运输部令</w:t>
            </w:r>
            <w:r>
              <w:rPr>
                <w:spacing w:val="-31"/>
              </w:rPr>
              <w:t xml:space="preserve"> </w:t>
            </w:r>
            <w:r>
              <w:rPr>
                <w:b/>
                <w:bCs/>
                <w:spacing w:val="-3"/>
              </w:rPr>
              <w:t>2018</w:t>
            </w:r>
            <w:r>
              <w:rPr>
                <w:spacing w:val="-38"/>
              </w:rPr>
              <w:t xml:space="preserve"> </w:t>
            </w:r>
            <w:r>
              <w:rPr>
                <w:b/>
                <w:bCs/>
                <w:spacing w:val="-3"/>
              </w:rPr>
              <w:t>年第</w:t>
            </w:r>
            <w:r>
              <w:rPr>
                <w:spacing w:val="-38"/>
              </w:rPr>
              <w:t xml:space="preserve"> </w:t>
            </w:r>
            <w:r>
              <w:rPr>
                <w:b/>
                <w:bCs/>
                <w:spacing w:val="-3"/>
              </w:rPr>
              <w:t>4</w:t>
            </w:r>
            <w:r>
              <w:rPr>
                <w:spacing w:val="-32"/>
              </w:rPr>
              <w:t xml:space="preserve"> </w:t>
            </w:r>
            <w:r>
              <w:rPr>
                <w:b/>
                <w:bCs/>
                <w:spacing w:val="-3"/>
              </w:rPr>
              <w:t>号）</w:t>
            </w:r>
          </w:p>
          <w:p w14:paraId="4EF8B14A">
            <w:pPr>
              <w:pStyle w:val="8"/>
              <w:spacing w:before="27" w:line="233" w:lineRule="auto"/>
              <w:ind w:left="120" w:right="108" w:firstLine="357"/>
            </w:pPr>
            <w:r>
              <w:t>第四十条  农村公路建设项目完工后，应当按</w:t>
            </w:r>
            <w:r>
              <w:rPr>
                <w:spacing w:val="-1"/>
              </w:rPr>
              <w:t>照国家有关规定组织交工、竣工验收。未经验收或者验收</w:t>
            </w:r>
            <w:r>
              <w:t xml:space="preserve"> </w:t>
            </w:r>
            <w:r>
              <w:rPr>
                <w:spacing w:val="-3"/>
              </w:rPr>
              <w:t>不合格的，不得交付使用。</w:t>
            </w:r>
          </w:p>
          <w:p w14:paraId="778E7713">
            <w:pPr>
              <w:pStyle w:val="8"/>
              <w:spacing w:before="25" w:line="219" w:lineRule="auto"/>
              <w:ind w:left="480"/>
            </w:pPr>
            <w:r>
              <w:rPr>
                <w:spacing w:val="-1"/>
              </w:rPr>
              <w:t>一般农村公路建设项目的交工、竣工验收可以合并进行，并可以多个项目一并验收。</w:t>
            </w:r>
          </w:p>
          <w:p w14:paraId="1BA6FA7A">
            <w:pPr>
              <w:pStyle w:val="8"/>
              <w:spacing w:before="28" w:line="237" w:lineRule="auto"/>
              <w:ind w:left="119" w:right="108" w:firstLine="357"/>
              <w:rPr>
                <w:spacing w:val="-4"/>
              </w:rPr>
            </w:pPr>
            <w:r>
              <w:t>第四十一条第一款  农村公路建设项目由项目</w:t>
            </w:r>
            <w:r>
              <w:rPr>
                <w:spacing w:val="-1"/>
              </w:rPr>
              <w:t>业主组织交工验收，由县级以上地方交通运输主管部门按</w:t>
            </w:r>
            <w:r>
              <w:t xml:space="preserve"> 照项目管理权限组织竣工验收。交工、竣工验</w:t>
            </w:r>
            <w:r>
              <w:rPr>
                <w:spacing w:val="-1"/>
              </w:rPr>
              <w:t>收合并的项目，由县级以上地方交通运输主管部门按照项目管</w:t>
            </w:r>
            <w:r>
              <w:t xml:space="preserve"> </w:t>
            </w:r>
            <w:r>
              <w:rPr>
                <w:spacing w:val="-4"/>
              </w:rPr>
              <w:t>理权限组织验收。</w:t>
            </w:r>
          </w:p>
          <w:p w14:paraId="56D8271D">
            <w:pPr>
              <w:pStyle w:val="8"/>
              <w:spacing w:before="28" w:line="237" w:lineRule="auto"/>
              <w:ind w:left="119" w:right="108" w:firstLine="357"/>
              <w:rPr>
                <w:spacing w:val="-4"/>
              </w:rPr>
            </w:pPr>
          </w:p>
          <w:p w14:paraId="3B48960A">
            <w:pPr>
              <w:pStyle w:val="8"/>
              <w:spacing w:before="28" w:line="237" w:lineRule="auto"/>
              <w:ind w:left="119" w:right="108" w:firstLine="357"/>
              <w:rPr>
                <w:spacing w:val="-4"/>
              </w:rPr>
            </w:pPr>
          </w:p>
        </w:tc>
        <w:tc>
          <w:tcPr>
            <w:tcW w:w="1159" w:type="dxa"/>
            <w:vAlign w:val="top"/>
          </w:tcPr>
          <w:p w14:paraId="00823FC5">
            <w:pPr>
              <w:rPr>
                <w:rFonts w:ascii="Arial"/>
                <w:sz w:val="21"/>
              </w:rPr>
            </w:pPr>
          </w:p>
        </w:tc>
      </w:tr>
    </w:tbl>
    <w:p w14:paraId="585DE3F5">
      <w:pPr>
        <w:pStyle w:val="2"/>
        <w:spacing w:line="163" w:lineRule="exact"/>
        <w:rPr>
          <w:sz w:val="14"/>
        </w:rPr>
      </w:pPr>
    </w:p>
    <w:p w14:paraId="6099268E">
      <w:pPr>
        <w:spacing w:line="163" w:lineRule="exact"/>
        <w:rPr>
          <w:sz w:val="14"/>
          <w:szCs w:val="14"/>
        </w:rPr>
        <w:sectPr>
          <w:footerReference r:id="rId6" w:type="default"/>
          <w:pgSz w:w="16839" w:h="11906"/>
          <w:pgMar w:top="1012" w:right="1134" w:bottom="966" w:left="1134" w:header="0" w:footer="768" w:gutter="0"/>
          <w:cols w:space="720" w:num="1"/>
        </w:sectPr>
      </w:pPr>
    </w:p>
    <w:p w14:paraId="1DD3BB64">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1E93A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2BA4ED27">
            <w:pPr>
              <w:pStyle w:val="8"/>
              <w:spacing w:before="183" w:line="221" w:lineRule="auto"/>
              <w:ind w:left="175"/>
            </w:pPr>
            <w:r>
              <w:rPr>
                <w:b/>
                <w:bCs/>
                <w:spacing w:val="-4"/>
              </w:rPr>
              <w:t>序号</w:t>
            </w:r>
          </w:p>
        </w:tc>
        <w:tc>
          <w:tcPr>
            <w:tcW w:w="1290" w:type="dxa"/>
            <w:vAlign w:val="top"/>
          </w:tcPr>
          <w:p w14:paraId="53C3AA0E">
            <w:pPr>
              <w:pStyle w:val="8"/>
              <w:spacing w:before="183" w:line="220" w:lineRule="auto"/>
              <w:ind w:left="284"/>
            </w:pPr>
            <w:r>
              <w:rPr>
                <w:b/>
                <w:bCs/>
                <w:spacing w:val="-4"/>
              </w:rPr>
              <w:t>事项名称</w:t>
            </w:r>
          </w:p>
        </w:tc>
        <w:tc>
          <w:tcPr>
            <w:tcW w:w="1379" w:type="dxa"/>
            <w:vAlign w:val="top"/>
          </w:tcPr>
          <w:p w14:paraId="1EB7B7CA">
            <w:pPr>
              <w:pStyle w:val="8"/>
              <w:spacing w:before="183" w:line="219" w:lineRule="auto"/>
              <w:ind w:left="333"/>
            </w:pPr>
            <w:r>
              <w:rPr>
                <w:b/>
                <w:bCs/>
                <w:spacing w:val="-5"/>
              </w:rPr>
              <w:t>实施机关</w:t>
            </w:r>
          </w:p>
        </w:tc>
        <w:tc>
          <w:tcPr>
            <w:tcW w:w="1364" w:type="dxa"/>
            <w:vAlign w:val="top"/>
          </w:tcPr>
          <w:p w14:paraId="63871555">
            <w:pPr>
              <w:pStyle w:val="8"/>
              <w:spacing w:before="183" w:line="219" w:lineRule="auto"/>
              <w:ind w:left="322"/>
            </w:pPr>
            <w:r>
              <w:rPr>
                <w:b/>
                <w:bCs/>
                <w:spacing w:val="-4"/>
              </w:rPr>
              <w:t>承办机构</w:t>
            </w:r>
          </w:p>
        </w:tc>
        <w:tc>
          <w:tcPr>
            <w:tcW w:w="8667" w:type="dxa"/>
            <w:vAlign w:val="top"/>
          </w:tcPr>
          <w:p w14:paraId="5BDD3E29">
            <w:pPr>
              <w:pStyle w:val="8"/>
              <w:spacing w:before="183" w:line="219" w:lineRule="auto"/>
              <w:ind w:left="3708"/>
            </w:pPr>
            <w:r>
              <w:rPr>
                <w:b/>
                <w:bCs/>
                <w:spacing w:val="-3"/>
              </w:rPr>
              <w:t>设定和实施依据</w:t>
            </w:r>
          </w:p>
        </w:tc>
        <w:tc>
          <w:tcPr>
            <w:tcW w:w="1159" w:type="dxa"/>
            <w:vAlign w:val="top"/>
          </w:tcPr>
          <w:p w14:paraId="17132D3E">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605CD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9" w:hRule="atLeast"/>
        </w:trPr>
        <w:tc>
          <w:tcPr>
            <w:tcW w:w="705" w:type="dxa"/>
            <w:vAlign w:val="top"/>
          </w:tcPr>
          <w:p w14:paraId="7F441EF7">
            <w:pPr>
              <w:spacing w:line="250" w:lineRule="auto"/>
              <w:rPr>
                <w:rFonts w:ascii="Arial"/>
                <w:sz w:val="21"/>
              </w:rPr>
            </w:pPr>
          </w:p>
          <w:p w14:paraId="6A508F33">
            <w:pPr>
              <w:spacing w:line="250" w:lineRule="auto"/>
              <w:rPr>
                <w:rFonts w:ascii="Arial"/>
                <w:sz w:val="21"/>
              </w:rPr>
            </w:pPr>
          </w:p>
          <w:p w14:paraId="121C0BCE">
            <w:pPr>
              <w:spacing w:line="250" w:lineRule="auto"/>
              <w:rPr>
                <w:rFonts w:ascii="Arial"/>
                <w:sz w:val="21"/>
              </w:rPr>
            </w:pPr>
          </w:p>
          <w:p w14:paraId="6005931F">
            <w:pPr>
              <w:spacing w:line="250" w:lineRule="auto"/>
              <w:rPr>
                <w:rFonts w:ascii="Arial"/>
                <w:sz w:val="21"/>
              </w:rPr>
            </w:pPr>
          </w:p>
          <w:p w14:paraId="40B2D216">
            <w:pPr>
              <w:spacing w:line="250" w:lineRule="auto"/>
              <w:rPr>
                <w:rFonts w:ascii="Arial"/>
                <w:sz w:val="21"/>
              </w:rPr>
            </w:pPr>
          </w:p>
          <w:p w14:paraId="3D113AA4">
            <w:pPr>
              <w:spacing w:line="250" w:lineRule="auto"/>
              <w:rPr>
                <w:rFonts w:ascii="Arial"/>
                <w:sz w:val="21"/>
              </w:rPr>
            </w:pPr>
          </w:p>
          <w:p w14:paraId="7469720E">
            <w:pPr>
              <w:spacing w:line="250" w:lineRule="auto"/>
              <w:rPr>
                <w:rFonts w:ascii="Arial"/>
                <w:sz w:val="21"/>
              </w:rPr>
            </w:pPr>
          </w:p>
          <w:p w14:paraId="1C04EB69">
            <w:pPr>
              <w:spacing w:line="250" w:lineRule="auto"/>
              <w:rPr>
                <w:rFonts w:ascii="Arial"/>
                <w:sz w:val="21"/>
              </w:rPr>
            </w:pPr>
          </w:p>
          <w:p w14:paraId="1415ED3A">
            <w:pPr>
              <w:spacing w:line="250" w:lineRule="auto"/>
              <w:rPr>
                <w:rFonts w:ascii="Arial"/>
                <w:sz w:val="21"/>
              </w:rPr>
            </w:pPr>
          </w:p>
          <w:p w14:paraId="6FE253A3">
            <w:pPr>
              <w:spacing w:line="250" w:lineRule="auto"/>
              <w:rPr>
                <w:rFonts w:ascii="Arial"/>
                <w:sz w:val="21"/>
              </w:rPr>
            </w:pPr>
          </w:p>
          <w:p w14:paraId="3ED34E8E">
            <w:pPr>
              <w:spacing w:line="250" w:lineRule="auto"/>
              <w:rPr>
                <w:rFonts w:ascii="Arial"/>
                <w:sz w:val="21"/>
              </w:rPr>
            </w:pPr>
          </w:p>
          <w:p w14:paraId="222AD040">
            <w:pPr>
              <w:spacing w:line="250" w:lineRule="auto"/>
              <w:rPr>
                <w:rFonts w:ascii="Arial"/>
                <w:sz w:val="21"/>
              </w:rPr>
            </w:pPr>
          </w:p>
          <w:p w14:paraId="442B4F55">
            <w:pPr>
              <w:spacing w:line="251" w:lineRule="auto"/>
              <w:rPr>
                <w:rFonts w:ascii="Arial"/>
                <w:sz w:val="21"/>
              </w:rPr>
            </w:pPr>
          </w:p>
          <w:p w14:paraId="721862D0">
            <w:pPr>
              <w:spacing w:line="251" w:lineRule="auto"/>
              <w:rPr>
                <w:rFonts w:ascii="Arial"/>
                <w:sz w:val="21"/>
              </w:rPr>
            </w:pPr>
          </w:p>
          <w:p w14:paraId="0206D1E7">
            <w:pPr>
              <w:spacing w:line="251" w:lineRule="auto"/>
              <w:rPr>
                <w:rFonts w:ascii="Arial"/>
                <w:sz w:val="21"/>
              </w:rPr>
            </w:pPr>
          </w:p>
          <w:p w14:paraId="02C3828A">
            <w:pPr>
              <w:spacing w:line="251" w:lineRule="auto"/>
              <w:rPr>
                <w:rFonts w:ascii="Arial"/>
                <w:sz w:val="21"/>
              </w:rPr>
            </w:pPr>
          </w:p>
          <w:p w14:paraId="595D5A44">
            <w:pPr>
              <w:spacing w:line="251" w:lineRule="auto"/>
              <w:rPr>
                <w:rFonts w:ascii="Arial"/>
                <w:sz w:val="21"/>
              </w:rPr>
            </w:pPr>
          </w:p>
          <w:p w14:paraId="22308A4C">
            <w:pPr>
              <w:pStyle w:val="8"/>
              <w:spacing w:before="59" w:line="182" w:lineRule="auto"/>
              <w:ind w:left="316"/>
              <w:rPr>
                <w:rFonts w:hint="eastAsia" w:eastAsia="宋体"/>
                <w:lang w:eastAsia="zh-CN"/>
              </w:rPr>
            </w:pPr>
            <w:r>
              <w:rPr>
                <w:rFonts w:hint="eastAsia"/>
                <w:lang w:val="en-US" w:eastAsia="zh-CN"/>
              </w:rPr>
              <w:t>4</w:t>
            </w:r>
          </w:p>
        </w:tc>
        <w:tc>
          <w:tcPr>
            <w:tcW w:w="1290" w:type="dxa"/>
            <w:vAlign w:val="top"/>
          </w:tcPr>
          <w:p w14:paraId="54D9EAD5">
            <w:pPr>
              <w:spacing w:line="241" w:lineRule="auto"/>
              <w:rPr>
                <w:rFonts w:ascii="Arial"/>
                <w:sz w:val="21"/>
              </w:rPr>
            </w:pPr>
          </w:p>
          <w:p w14:paraId="3400F560">
            <w:pPr>
              <w:spacing w:line="241" w:lineRule="auto"/>
              <w:rPr>
                <w:rFonts w:ascii="Arial"/>
                <w:sz w:val="21"/>
              </w:rPr>
            </w:pPr>
          </w:p>
          <w:p w14:paraId="0505F732">
            <w:pPr>
              <w:spacing w:line="241" w:lineRule="auto"/>
              <w:rPr>
                <w:rFonts w:ascii="Arial"/>
                <w:sz w:val="21"/>
              </w:rPr>
            </w:pPr>
          </w:p>
          <w:p w14:paraId="2CACE80E">
            <w:pPr>
              <w:spacing w:line="241" w:lineRule="auto"/>
              <w:rPr>
                <w:rFonts w:ascii="Arial"/>
                <w:sz w:val="21"/>
              </w:rPr>
            </w:pPr>
          </w:p>
          <w:p w14:paraId="31ADD89B">
            <w:pPr>
              <w:spacing w:line="241" w:lineRule="auto"/>
              <w:rPr>
                <w:rFonts w:ascii="Arial"/>
                <w:sz w:val="21"/>
              </w:rPr>
            </w:pPr>
          </w:p>
          <w:p w14:paraId="5E5668C2">
            <w:pPr>
              <w:spacing w:line="241" w:lineRule="auto"/>
              <w:rPr>
                <w:rFonts w:ascii="Arial"/>
                <w:sz w:val="21"/>
              </w:rPr>
            </w:pPr>
          </w:p>
          <w:p w14:paraId="1CF56407">
            <w:pPr>
              <w:spacing w:line="241" w:lineRule="auto"/>
              <w:rPr>
                <w:rFonts w:ascii="Arial"/>
                <w:sz w:val="21"/>
              </w:rPr>
            </w:pPr>
          </w:p>
          <w:p w14:paraId="1B11A743">
            <w:pPr>
              <w:spacing w:line="242" w:lineRule="auto"/>
              <w:rPr>
                <w:rFonts w:ascii="Arial"/>
                <w:sz w:val="21"/>
              </w:rPr>
            </w:pPr>
          </w:p>
          <w:p w14:paraId="43E3FE16">
            <w:pPr>
              <w:spacing w:line="242" w:lineRule="auto"/>
              <w:rPr>
                <w:rFonts w:ascii="Arial"/>
                <w:sz w:val="21"/>
              </w:rPr>
            </w:pPr>
          </w:p>
          <w:p w14:paraId="39DC4A74">
            <w:pPr>
              <w:spacing w:line="242" w:lineRule="auto"/>
              <w:rPr>
                <w:rFonts w:ascii="Arial"/>
                <w:sz w:val="21"/>
              </w:rPr>
            </w:pPr>
          </w:p>
          <w:p w14:paraId="6C158B5E">
            <w:pPr>
              <w:spacing w:line="242" w:lineRule="auto"/>
              <w:rPr>
                <w:rFonts w:ascii="Arial"/>
                <w:sz w:val="21"/>
              </w:rPr>
            </w:pPr>
          </w:p>
          <w:p w14:paraId="35F600FD">
            <w:pPr>
              <w:spacing w:line="242" w:lineRule="auto"/>
              <w:rPr>
                <w:rFonts w:ascii="Arial"/>
                <w:sz w:val="21"/>
              </w:rPr>
            </w:pPr>
          </w:p>
          <w:p w14:paraId="6BEAF1D7">
            <w:pPr>
              <w:spacing w:line="242" w:lineRule="auto"/>
              <w:rPr>
                <w:rFonts w:ascii="Arial"/>
                <w:sz w:val="21"/>
              </w:rPr>
            </w:pPr>
          </w:p>
          <w:p w14:paraId="3F4B9F8B">
            <w:pPr>
              <w:spacing w:line="242" w:lineRule="auto"/>
              <w:rPr>
                <w:rFonts w:ascii="Arial"/>
                <w:sz w:val="21"/>
              </w:rPr>
            </w:pPr>
          </w:p>
          <w:p w14:paraId="625ECC36">
            <w:pPr>
              <w:spacing w:line="242" w:lineRule="auto"/>
              <w:rPr>
                <w:rFonts w:ascii="Arial"/>
                <w:sz w:val="21"/>
              </w:rPr>
            </w:pPr>
          </w:p>
          <w:p w14:paraId="252DD340">
            <w:pPr>
              <w:spacing w:line="242" w:lineRule="auto"/>
              <w:rPr>
                <w:rFonts w:ascii="Arial"/>
                <w:sz w:val="21"/>
              </w:rPr>
            </w:pPr>
          </w:p>
          <w:p w14:paraId="40A26E8F">
            <w:pPr>
              <w:spacing w:line="242" w:lineRule="auto"/>
              <w:rPr>
                <w:rFonts w:ascii="Arial"/>
                <w:sz w:val="21"/>
              </w:rPr>
            </w:pPr>
          </w:p>
          <w:p w14:paraId="450EFB34">
            <w:pPr>
              <w:pStyle w:val="8"/>
              <w:spacing w:before="59" w:line="233" w:lineRule="auto"/>
              <w:ind w:left="30" w:right="28" w:firstLine="4"/>
            </w:pPr>
            <w:r>
              <w:rPr>
                <w:spacing w:val="23"/>
              </w:rPr>
              <w:t>公路超限运输</w:t>
            </w:r>
            <w:r>
              <w:rPr>
                <w:spacing w:val="1"/>
              </w:rPr>
              <w:t xml:space="preserve"> </w:t>
            </w:r>
            <w:r>
              <w:rPr>
                <w:spacing w:val="-2"/>
              </w:rPr>
              <w:t>许可</w:t>
            </w:r>
          </w:p>
        </w:tc>
        <w:tc>
          <w:tcPr>
            <w:tcW w:w="1379" w:type="dxa"/>
            <w:vAlign w:val="top"/>
          </w:tcPr>
          <w:p w14:paraId="2D90A56C">
            <w:pPr>
              <w:spacing w:line="249" w:lineRule="auto"/>
              <w:rPr>
                <w:rFonts w:ascii="Arial"/>
                <w:sz w:val="21"/>
              </w:rPr>
            </w:pPr>
          </w:p>
          <w:p w14:paraId="133D3E16">
            <w:pPr>
              <w:spacing w:line="249" w:lineRule="auto"/>
              <w:rPr>
                <w:rFonts w:ascii="Arial"/>
                <w:sz w:val="21"/>
              </w:rPr>
            </w:pPr>
          </w:p>
          <w:p w14:paraId="18EE57A7">
            <w:pPr>
              <w:spacing w:line="249" w:lineRule="auto"/>
              <w:rPr>
                <w:rFonts w:ascii="Arial"/>
                <w:sz w:val="21"/>
              </w:rPr>
            </w:pPr>
          </w:p>
          <w:p w14:paraId="7F2D287B">
            <w:pPr>
              <w:spacing w:line="249" w:lineRule="auto"/>
              <w:rPr>
                <w:rFonts w:ascii="Arial"/>
                <w:sz w:val="21"/>
              </w:rPr>
            </w:pPr>
          </w:p>
          <w:p w14:paraId="643D7FDD">
            <w:pPr>
              <w:spacing w:line="249" w:lineRule="auto"/>
              <w:rPr>
                <w:rFonts w:ascii="Arial"/>
                <w:sz w:val="21"/>
              </w:rPr>
            </w:pPr>
          </w:p>
          <w:p w14:paraId="24E6E133">
            <w:pPr>
              <w:spacing w:line="249" w:lineRule="auto"/>
              <w:rPr>
                <w:rFonts w:ascii="Arial"/>
                <w:sz w:val="21"/>
              </w:rPr>
            </w:pPr>
          </w:p>
          <w:p w14:paraId="408C0DC5">
            <w:pPr>
              <w:spacing w:line="249" w:lineRule="auto"/>
              <w:rPr>
                <w:rFonts w:ascii="Arial"/>
                <w:sz w:val="21"/>
              </w:rPr>
            </w:pPr>
          </w:p>
          <w:p w14:paraId="09AB9D28">
            <w:pPr>
              <w:spacing w:line="249" w:lineRule="auto"/>
              <w:rPr>
                <w:rFonts w:ascii="Arial"/>
                <w:sz w:val="21"/>
              </w:rPr>
            </w:pPr>
          </w:p>
          <w:p w14:paraId="30F1FB83">
            <w:pPr>
              <w:spacing w:line="249" w:lineRule="auto"/>
              <w:rPr>
                <w:rFonts w:ascii="Arial"/>
                <w:sz w:val="21"/>
              </w:rPr>
            </w:pPr>
          </w:p>
          <w:p w14:paraId="601E2D2E">
            <w:pPr>
              <w:spacing w:line="249" w:lineRule="auto"/>
              <w:rPr>
                <w:rFonts w:ascii="Arial"/>
                <w:sz w:val="21"/>
              </w:rPr>
            </w:pPr>
          </w:p>
          <w:p w14:paraId="420984F7">
            <w:pPr>
              <w:spacing w:line="249" w:lineRule="auto"/>
              <w:rPr>
                <w:rFonts w:ascii="Arial"/>
                <w:sz w:val="21"/>
              </w:rPr>
            </w:pPr>
          </w:p>
          <w:p w14:paraId="6E48C036">
            <w:pPr>
              <w:spacing w:line="249" w:lineRule="auto"/>
              <w:rPr>
                <w:rFonts w:ascii="Arial"/>
                <w:sz w:val="21"/>
              </w:rPr>
            </w:pPr>
          </w:p>
          <w:p w14:paraId="0B296865">
            <w:pPr>
              <w:spacing w:line="250" w:lineRule="auto"/>
              <w:rPr>
                <w:rFonts w:ascii="Arial"/>
                <w:sz w:val="21"/>
              </w:rPr>
            </w:pPr>
          </w:p>
          <w:p w14:paraId="1DD3A0C0">
            <w:pPr>
              <w:spacing w:line="250" w:lineRule="auto"/>
              <w:rPr>
                <w:rFonts w:ascii="Arial"/>
                <w:sz w:val="21"/>
              </w:rPr>
            </w:pPr>
          </w:p>
          <w:p w14:paraId="78CA40D0">
            <w:pPr>
              <w:spacing w:line="250" w:lineRule="auto"/>
              <w:rPr>
                <w:rFonts w:ascii="Arial"/>
                <w:sz w:val="21"/>
              </w:rPr>
            </w:pPr>
          </w:p>
          <w:p w14:paraId="16747B23">
            <w:pPr>
              <w:spacing w:line="250" w:lineRule="auto"/>
              <w:rPr>
                <w:rFonts w:ascii="Arial"/>
                <w:sz w:val="21"/>
              </w:rPr>
            </w:pPr>
          </w:p>
          <w:p w14:paraId="3D71E53A">
            <w:pPr>
              <w:pStyle w:val="8"/>
              <w:spacing w:before="59" w:line="237" w:lineRule="auto"/>
              <w:ind w:left="31" w:right="27"/>
              <w:rPr>
                <w:rFonts w:hint="eastAsia" w:eastAsia="宋体"/>
                <w:lang w:eastAsia="zh-CN"/>
              </w:rPr>
            </w:pPr>
            <w:r>
              <w:rPr>
                <w:rFonts w:hint="eastAsia"/>
                <w:spacing w:val="6"/>
                <w:lang w:eastAsia="zh-CN"/>
              </w:rPr>
              <w:t>津市市交通运输局</w:t>
            </w:r>
          </w:p>
        </w:tc>
        <w:tc>
          <w:tcPr>
            <w:tcW w:w="1364" w:type="dxa"/>
            <w:vAlign w:val="top"/>
          </w:tcPr>
          <w:p w14:paraId="3341A7B8">
            <w:pPr>
              <w:spacing w:line="248" w:lineRule="auto"/>
              <w:rPr>
                <w:rFonts w:ascii="Arial"/>
                <w:sz w:val="21"/>
              </w:rPr>
            </w:pPr>
          </w:p>
          <w:p w14:paraId="68DED920">
            <w:pPr>
              <w:spacing w:line="248" w:lineRule="auto"/>
              <w:rPr>
                <w:rFonts w:ascii="Arial"/>
                <w:sz w:val="21"/>
              </w:rPr>
            </w:pPr>
          </w:p>
          <w:p w14:paraId="433838E4">
            <w:pPr>
              <w:spacing w:line="248" w:lineRule="auto"/>
              <w:rPr>
                <w:rFonts w:ascii="Arial"/>
                <w:sz w:val="21"/>
              </w:rPr>
            </w:pPr>
          </w:p>
          <w:p w14:paraId="03D2CE1B">
            <w:pPr>
              <w:spacing w:line="248" w:lineRule="auto"/>
              <w:rPr>
                <w:rFonts w:ascii="Arial"/>
                <w:sz w:val="21"/>
              </w:rPr>
            </w:pPr>
          </w:p>
          <w:p w14:paraId="4C23A5E8">
            <w:pPr>
              <w:spacing w:line="248" w:lineRule="auto"/>
              <w:rPr>
                <w:rFonts w:ascii="Arial"/>
                <w:sz w:val="21"/>
              </w:rPr>
            </w:pPr>
          </w:p>
          <w:p w14:paraId="0CD0E731">
            <w:pPr>
              <w:spacing w:line="248" w:lineRule="auto"/>
              <w:rPr>
                <w:rFonts w:ascii="Arial"/>
                <w:sz w:val="21"/>
              </w:rPr>
            </w:pPr>
          </w:p>
          <w:p w14:paraId="49F3F53E">
            <w:pPr>
              <w:spacing w:line="248" w:lineRule="auto"/>
              <w:rPr>
                <w:rFonts w:ascii="Arial"/>
                <w:sz w:val="21"/>
              </w:rPr>
            </w:pPr>
          </w:p>
          <w:p w14:paraId="12410D4F">
            <w:pPr>
              <w:spacing w:line="249" w:lineRule="auto"/>
              <w:rPr>
                <w:rFonts w:ascii="Arial"/>
                <w:sz w:val="21"/>
              </w:rPr>
            </w:pPr>
          </w:p>
          <w:p w14:paraId="70A34E2B">
            <w:pPr>
              <w:spacing w:line="249" w:lineRule="auto"/>
              <w:rPr>
                <w:rFonts w:ascii="Arial"/>
                <w:sz w:val="21"/>
              </w:rPr>
            </w:pPr>
          </w:p>
          <w:p w14:paraId="10162DEA">
            <w:pPr>
              <w:spacing w:line="249" w:lineRule="auto"/>
              <w:rPr>
                <w:rFonts w:ascii="Arial"/>
                <w:sz w:val="21"/>
              </w:rPr>
            </w:pPr>
          </w:p>
          <w:p w14:paraId="1E8D4E51">
            <w:pPr>
              <w:spacing w:line="249" w:lineRule="auto"/>
              <w:rPr>
                <w:rFonts w:ascii="Arial"/>
                <w:sz w:val="21"/>
              </w:rPr>
            </w:pPr>
          </w:p>
          <w:p w14:paraId="0C626A32">
            <w:pPr>
              <w:spacing w:line="249" w:lineRule="auto"/>
              <w:rPr>
                <w:rFonts w:ascii="Arial"/>
                <w:sz w:val="21"/>
              </w:rPr>
            </w:pPr>
          </w:p>
          <w:p w14:paraId="49BB9C06">
            <w:pPr>
              <w:spacing w:line="249" w:lineRule="auto"/>
              <w:rPr>
                <w:rFonts w:ascii="Arial"/>
                <w:sz w:val="21"/>
              </w:rPr>
            </w:pPr>
          </w:p>
          <w:p w14:paraId="3B22E865">
            <w:pPr>
              <w:spacing w:line="249" w:lineRule="auto"/>
              <w:rPr>
                <w:rFonts w:ascii="Arial"/>
                <w:sz w:val="21"/>
              </w:rPr>
            </w:pPr>
          </w:p>
          <w:p w14:paraId="26ED73AB">
            <w:pPr>
              <w:spacing w:line="249" w:lineRule="auto"/>
              <w:rPr>
                <w:rFonts w:ascii="Arial"/>
                <w:sz w:val="21"/>
              </w:rPr>
            </w:pPr>
          </w:p>
          <w:p w14:paraId="4FF6FA16">
            <w:pPr>
              <w:spacing w:line="249" w:lineRule="auto"/>
              <w:rPr>
                <w:rFonts w:ascii="Arial"/>
                <w:sz w:val="21"/>
              </w:rPr>
            </w:pPr>
          </w:p>
          <w:p w14:paraId="60E8C1EF">
            <w:pPr>
              <w:spacing w:line="249" w:lineRule="auto"/>
              <w:rPr>
                <w:rFonts w:ascii="Arial"/>
                <w:sz w:val="21"/>
              </w:rPr>
            </w:pPr>
          </w:p>
          <w:p w14:paraId="0AF58E84">
            <w:pPr>
              <w:pStyle w:val="8"/>
              <w:spacing w:before="58"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25EAB1D9">
            <w:pPr>
              <w:pStyle w:val="8"/>
              <w:spacing w:before="56" w:line="219" w:lineRule="auto"/>
              <w:ind w:left="491"/>
            </w:pPr>
            <w:r>
              <w:rPr>
                <w:b/>
                <w:bCs/>
                <w:spacing w:val="-4"/>
              </w:rPr>
              <w:t>1.《中华人民共和国公路法》</w:t>
            </w:r>
          </w:p>
          <w:p w14:paraId="79436B45">
            <w:pPr>
              <w:pStyle w:val="8"/>
              <w:spacing w:before="18" w:line="231" w:lineRule="auto"/>
              <w:ind w:left="117" w:right="108" w:firstLine="360"/>
              <w:jc w:val="both"/>
            </w:pPr>
            <w:r>
              <w:rPr>
                <w:spacing w:val="-1"/>
              </w:rPr>
              <w:t>第五十条  超过公路、公路桥梁、公路隧道或者汽车渡船的限载、限高、限宽、限长标准的车辆，不得</w:t>
            </w:r>
            <w:r>
              <w:rPr>
                <w:spacing w:val="18"/>
              </w:rPr>
              <w:t xml:space="preserve"> </w:t>
            </w:r>
            <w:r>
              <w:t>在有限定标准的公路、公路桥梁上或者公路隧道内</w:t>
            </w:r>
            <w:r>
              <w:rPr>
                <w:spacing w:val="-1"/>
              </w:rPr>
              <w:t>行驶，不得使用汽车渡船。超过公路或者公路桥梁限载标</w:t>
            </w:r>
            <w:r>
              <w:t xml:space="preserve"> 准确需行驶的，必须经县级以上地方人民政府交通</w:t>
            </w:r>
            <w:r>
              <w:rPr>
                <w:spacing w:val="-1"/>
              </w:rPr>
              <w:t>主管部门批准，并按要求采取有效的防护措施；运载不可</w:t>
            </w:r>
            <w:r>
              <w:t xml:space="preserve"> </w:t>
            </w:r>
            <w:r>
              <w:rPr>
                <w:spacing w:val="-1"/>
              </w:rPr>
              <w:t>解体的超限物品的，应当按照指定的时间、路线、时速行驶，并悬挂明显标志。</w:t>
            </w:r>
          </w:p>
          <w:p w14:paraId="7A5D4AC7">
            <w:pPr>
              <w:pStyle w:val="8"/>
              <w:spacing w:before="16" w:line="228" w:lineRule="auto"/>
              <w:ind w:left="117" w:right="108" w:firstLine="360"/>
            </w:pPr>
            <w:r>
              <w:t>运输单位不能按照前款规定采取防护措施的，</w:t>
            </w:r>
            <w:r>
              <w:rPr>
                <w:spacing w:val="-1"/>
              </w:rPr>
              <w:t>由交通主管部门帮助其采取防护措施，所需费用由运输单</w:t>
            </w:r>
            <w:r>
              <w:t xml:space="preserve"> </w:t>
            </w:r>
            <w:r>
              <w:rPr>
                <w:spacing w:val="-7"/>
              </w:rPr>
              <w:t>位承担。</w:t>
            </w:r>
          </w:p>
          <w:p w14:paraId="6F204D3F">
            <w:pPr>
              <w:pStyle w:val="8"/>
              <w:spacing w:before="16" w:line="219" w:lineRule="auto"/>
              <w:ind w:left="479"/>
            </w:pPr>
            <w:r>
              <w:rPr>
                <w:b/>
                <w:bCs/>
                <w:spacing w:val="-3"/>
              </w:rPr>
              <w:t>2.《公路安全保护条例》</w:t>
            </w:r>
          </w:p>
          <w:p w14:paraId="343675FC">
            <w:pPr>
              <w:pStyle w:val="8"/>
              <w:spacing w:before="15" w:line="230" w:lineRule="auto"/>
              <w:ind w:left="123" w:right="108" w:firstLine="354"/>
              <w:jc w:val="both"/>
            </w:pPr>
            <w:r>
              <w:t>第三十五条  车辆载运不可解体物品，车货总</w:t>
            </w:r>
            <w:r>
              <w:rPr>
                <w:spacing w:val="-1"/>
              </w:rPr>
              <w:t>体的外廓尺寸或者总质量超过公路、公路桥梁、公路隧道</w:t>
            </w:r>
            <w:r>
              <w:t xml:space="preserve"> </w:t>
            </w:r>
            <w:r>
              <w:rPr>
                <w:spacing w:val="-1"/>
              </w:rPr>
              <w:t>的限载、限高、限宽、限长标准，确需在公路、公路桥梁、公路隧道行驶的，从事运输的单位和个人应当向</w:t>
            </w:r>
            <w:r>
              <w:rPr>
                <w:spacing w:val="14"/>
              </w:rPr>
              <w:t xml:space="preserve"> </w:t>
            </w:r>
            <w:r>
              <w:rPr>
                <w:spacing w:val="-3"/>
              </w:rPr>
              <w:t>公路管理机构申请公路超限运输许可。</w:t>
            </w:r>
          </w:p>
          <w:p w14:paraId="09E3762F">
            <w:pPr>
              <w:pStyle w:val="8"/>
              <w:spacing w:before="17" w:line="219" w:lineRule="auto"/>
              <w:ind w:left="477"/>
            </w:pPr>
            <w:r>
              <w:rPr>
                <w:spacing w:val="-2"/>
              </w:rPr>
              <w:t>第三十六条  申请公路超限运输许可按照下列规定办理：</w:t>
            </w:r>
          </w:p>
          <w:p w14:paraId="4926A85F">
            <w:pPr>
              <w:pStyle w:val="8"/>
              <w:spacing w:before="15" w:line="230" w:lineRule="auto"/>
              <w:ind w:left="116" w:right="110" w:firstLine="371"/>
            </w:pPr>
            <w:r>
              <w:rPr>
                <w:spacing w:val="-1"/>
              </w:rPr>
              <w:t>（一）跨省、自治区、直辖市进行超限运输的，向公路沿线各省、自治区、直辖市公路管理机构提出申</w:t>
            </w:r>
            <w:r>
              <w:rPr>
                <w:spacing w:val="7"/>
              </w:rPr>
              <w:t xml:space="preserve"> </w:t>
            </w:r>
            <w:r>
              <w:t>请，由起运地省、自治区、直辖市公路管理机构</w:t>
            </w:r>
            <w:r>
              <w:rPr>
                <w:spacing w:val="-1"/>
              </w:rPr>
              <w:t>统一受理，并协调公路沿线各省、自治区、直辖市公路管理</w:t>
            </w:r>
            <w:r>
              <w:t xml:space="preserve"> </w:t>
            </w:r>
            <w:r>
              <w:rPr>
                <w:spacing w:val="-1"/>
              </w:rPr>
              <w:t>机构对超限运输申请进行审批，必要时可以由国务院交通运输主管部门统一协调</w:t>
            </w:r>
            <w:r>
              <w:rPr>
                <w:spacing w:val="-2"/>
              </w:rPr>
              <w:t>处理；</w:t>
            </w:r>
          </w:p>
          <w:p w14:paraId="3C7C3E32">
            <w:pPr>
              <w:pStyle w:val="8"/>
              <w:spacing w:before="18" w:line="227" w:lineRule="auto"/>
              <w:ind w:left="136" w:right="136" w:firstLine="351"/>
            </w:pPr>
            <w:r>
              <w:rPr>
                <w:spacing w:val="-1"/>
              </w:rPr>
              <w:t>（二）在省、自治区范围内跨设区的市进行超限运输，或者</w:t>
            </w:r>
            <w:r>
              <w:rPr>
                <w:spacing w:val="-2"/>
              </w:rPr>
              <w:t>在直辖市范围内跨区、县进行超限运输的，</w:t>
            </w:r>
            <w:r>
              <w:t xml:space="preserve"> </w:t>
            </w:r>
            <w:r>
              <w:rPr>
                <w:spacing w:val="-1"/>
              </w:rPr>
              <w:t>向省、自治区、直辖市公路管理机构提出申</w:t>
            </w:r>
            <w:r>
              <w:rPr>
                <w:spacing w:val="-2"/>
              </w:rPr>
              <w:t>请，由省、自治区、直辖市公路管理机构受理并审批；</w:t>
            </w:r>
          </w:p>
          <w:p w14:paraId="77B36AD4">
            <w:pPr>
              <w:pStyle w:val="8"/>
              <w:spacing w:before="19" w:line="227" w:lineRule="auto"/>
              <w:ind w:left="119" w:right="108" w:firstLine="368"/>
            </w:pPr>
            <w:r>
              <w:rPr>
                <w:spacing w:val="-1"/>
              </w:rPr>
              <w:t>（三）在设区的市范围内跨区、县进行超限运输的，向设区的市公路管理机构提出申请，由设区的市公</w:t>
            </w:r>
            <w:r>
              <w:rPr>
                <w:spacing w:val="10"/>
              </w:rPr>
              <w:t xml:space="preserve"> </w:t>
            </w:r>
            <w:r>
              <w:rPr>
                <w:spacing w:val="-5"/>
              </w:rPr>
              <w:t>路管理机构受理并审批；</w:t>
            </w:r>
          </w:p>
          <w:p w14:paraId="3343D514">
            <w:pPr>
              <w:pStyle w:val="8"/>
              <w:spacing w:before="16" w:line="227" w:lineRule="auto"/>
              <w:ind w:left="122" w:right="110" w:firstLine="365"/>
            </w:pPr>
            <w:r>
              <w:rPr>
                <w:spacing w:val="-1"/>
              </w:rPr>
              <w:t>（四）在区、县范围内进行超限运输的，向区、县公路管理机构提出申请，由区、县公路管理机构受理</w:t>
            </w:r>
            <w:r>
              <w:rPr>
                <w:spacing w:val="7"/>
              </w:rPr>
              <w:t xml:space="preserve"> </w:t>
            </w:r>
            <w:r>
              <w:rPr>
                <w:spacing w:val="-8"/>
              </w:rPr>
              <w:t>并审批。</w:t>
            </w:r>
          </w:p>
          <w:p w14:paraId="320AADD8">
            <w:pPr>
              <w:pStyle w:val="8"/>
              <w:spacing w:before="16" w:line="228" w:lineRule="auto"/>
              <w:ind w:left="122" w:right="108" w:firstLine="360"/>
            </w:pPr>
            <w:r>
              <w:rPr>
                <w:spacing w:val="-1"/>
              </w:rPr>
              <w:t>公路超限运输影响交通安全的，公路管理机构在审批超限运输申请时，应当征求公安机关交通管理部门</w:t>
            </w:r>
            <w:r>
              <w:rPr>
                <w:spacing w:val="14"/>
              </w:rPr>
              <w:t xml:space="preserve"> </w:t>
            </w:r>
            <w:r>
              <w:rPr>
                <w:spacing w:val="-9"/>
              </w:rPr>
              <w:t>意见。</w:t>
            </w:r>
          </w:p>
          <w:p w14:paraId="2201C1BA">
            <w:pPr>
              <w:pStyle w:val="8"/>
              <w:spacing w:before="16" w:line="228" w:lineRule="auto"/>
              <w:ind w:left="117" w:right="108" w:firstLine="360"/>
            </w:pPr>
            <w:r>
              <w:t>第三十七条  公路管理机构审批超限运输申请</w:t>
            </w:r>
            <w:r>
              <w:rPr>
                <w:spacing w:val="-1"/>
              </w:rPr>
              <w:t>，应当根据实际情况勘测通行路线，需要采取加固、改造</w:t>
            </w:r>
            <w:r>
              <w:t xml:space="preserve"> </w:t>
            </w:r>
            <w:r>
              <w:rPr>
                <w:spacing w:val="-1"/>
              </w:rPr>
              <w:t>措施的，可以与申请人签订有关协议，制定相应的加固、改</w:t>
            </w:r>
            <w:r>
              <w:rPr>
                <w:spacing w:val="-2"/>
              </w:rPr>
              <w:t>造方案。</w:t>
            </w:r>
          </w:p>
          <w:p w14:paraId="06EBC028">
            <w:pPr>
              <w:pStyle w:val="8"/>
              <w:spacing w:before="16" w:line="227" w:lineRule="auto"/>
              <w:ind w:left="118" w:right="110" w:firstLine="364"/>
            </w:pPr>
            <w:r>
              <w:rPr>
                <w:spacing w:val="-1"/>
              </w:rPr>
              <w:t>公路管理机构应当根据其制定的加固、改造方案，对通行的公路桥梁、涵洞等设施进行加固、改造；必</w:t>
            </w:r>
            <w:r>
              <w:rPr>
                <w:spacing w:val="12"/>
              </w:rPr>
              <w:t xml:space="preserve"> </w:t>
            </w:r>
            <w:r>
              <w:rPr>
                <w:spacing w:val="-2"/>
              </w:rPr>
              <w:t>要时应当对超限运输车辆进行监管。</w:t>
            </w:r>
          </w:p>
          <w:p w14:paraId="0DD28392">
            <w:pPr>
              <w:pStyle w:val="8"/>
              <w:spacing w:before="16" w:line="228" w:lineRule="auto"/>
              <w:ind w:left="122" w:right="108" w:firstLine="355"/>
            </w:pPr>
            <w:r>
              <w:t>第三十八条  公路管理机构批准超限运输申请</w:t>
            </w:r>
            <w:r>
              <w:rPr>
                <w:spacing w:val="-1"/>
              </w:rPr>
              <w:t>的，应当为超限运输车辆配发国务院交通运输主管部门规</w:t>
            </w:r>
            <w:r>
              <w:t xml:space="preserve"> </w:t>
            </w:r>
            <w:r>
              <w:rPr>
                <w:spacing w:val="-3"/>
              </w:rPr>
              <w:t>定式样的超限运输车辆通行证。</w:t>
            </w:r>
          </w:p>
          <w:p w14:paraId="0F7AF977">
            <w:pPr>
              <w:pStyle w:val="8"/>
              <w:spacing w:before="17" w:line="228" w:lineRule="auto"/>
              <w:ind w:left="122" w:right="136" w:firstLine="357"/>
            </w:pPr>
            <w:r>
              <w:rPr>
                <w:spacing w:val="-1"/>
              </w:rPr>
              <w:t>经批准进行超限运输的车辆，应当随车携带超限运输车辆通行证，按照指定的时</w:t>
            </w:r>
            <w:r>
              <w:rPr>
                <w:spacing w:val="-2"/>
              </w:rPr>
              <w:t>间、路线和速度行驶，</w:t>
            </w:r>
            <w:r>
              <w:t xml:space="preserve"> </w:t>
            </w:r>
            <w:r>
              <w:rPr>
                <w:spacing w:val="-5"/>
              </w:rPr>
              <w:t>并悬挂明显标志。</w:t>
            </w:r>
          </w:p>
          <w:p w14:paraId="2ED38E9D">
            <w:pPr>
              <w:pStyle w:val="8"/>
              <w:spacing w:before="16" w:line="219" w:lineRule="auto"/>
              <w:ind w:left="477"/>
            </w:pPr>
            <w:r>
              <w:rPr>
                <w:spacing w:val="-1"/>
              </w:rPr>
              <w:t>禁止租借、转让超限运输车辆通行证。禁止使用伪造、变造的超限运输车辆通行</w:t>
            </w:r>
            <w:r>
              <w:rPr>
                <w:spacing w:val="-2"/>
              </w:rPr>
              <w:t>证。</w:t>
            </w:r>
          </w:p>
          <w:p w14:paraId="33DDC736">
            <w:pPr>
              <w:pStyle w:val="8"/>
              <w:spacing w:before="14" w:line="219" w:lineRule="auto"/>
              <w:ind w:left="481"/>
            </w:pPr>
            <w:r>
              <w:rPr>
                <w:b/>
                <w:bCs/>
                <w:spacing w:val="-3"/>
              </w:rPr>
              <w:t>3.《超限运输车辆行驶公路管理规定》（交通运输部令</w:t>
            </w:r>
            <w:r>
              <w:rPr>
                <w:spacing w:val="-35"/>
              </w:rPr>
              <w:t xml:space="preserve"> </w:t>
            </w:r>
            <w:r>
              <w:rPr>
                <w:b/>
                <w:bCs/>
                <w:spacing w:val="-3"/>
              </w:rPr>
              <w:t>2021</w:t>
            </w:r>
            <w:r>
              <w:rPr>
                <w:spacing w:val="-38"/>
              </w:rPr>
              <w:t xml:space="preserve"> </w:t>
            </w:r>
            <w:r>
              <w:rPr>
                <w:b/>
                <w:bCs/>
                <w:spacing w:val="-4"/>
              </w:rPr>
              <w:t>年第</w:t>
            </w:r>
            <w:r>
              <w:rPr>
                <w:spacing w:val="-21"/>
              </w:rPr>
              <w:t xml:space="preserve"> </w:t>
            </w:r>
            <w:r>
              <w:rPr>
                <w:b/>
                <w:bCs/>
                <w:spacing w:val="-4"/>
              </w:rPr>
              <w:t>12</w:t>
            </w:r>
            <w:r>
              <w:rPr>
                <w:spacing w:val="-34"/>
              </w:rPr>
              <w:t xml:space="preserve"> </w:t>
            </w:r>
            <w:r>
              <w:rPr>
                <w:b/>
                <w:bCs/>
                <w:spacing w:val="-4"/>
              </w:rPr>
              <w:t>号）</w:t>
            </w:r>
          </w:p>
          <w:p w14:paraId="08612DF9">
            <w:pPr>
              <w:pStyle w:val="8"/>
              <w:spacing w:before="18" w:line="219" w:lineRule="auto"/>
              <w:ind w:left="477"/>
            </w:pPr>
            <w:r>
              <w:rPr>
                <w:spacing w:val="-1"/>
              </w:rPr>
              <w:t>第四条  交通运输部负责全国超限运输车辆行驶</w:t>
            </w:r>
            <w:r>
              <w:rPr>
                <w:spacing w:val="-2"/>
              </w:rPr>
              <w:t>公路的管理工作。</w:t>
            </w:r>
          </w:p>
          <w:p w14:paraId="7EAF47E1">
            <w:pPr>
              <w:pStyle w:val="8"/>
              <w:spacing w:before="17" w:line="227" w:lineRule="auto"/>
              <w:ind w:left="482" w:right="662" w:hanging="4"/>
            </w:pPr>
            <w:r>
              <w:rPr>
                <w:spacing w:val="-1"/>
              </w:rPr>
              <w:t>县级以上地方人民政府交通运输主管部门负责本行政区域内超限运输车辆行驶公路的管理工作。</w:t>
            </w:r>
            <w:r>
              <w:rPr>
                <w:spacing w:val="2"/>
              </w:rPr>
              <w:t xml:space="preserve"> </w:t>
            </w:r>
            <w:r>
              <w:rPr>
                <w:spacing w:val="-2"/>
              </w:rPr>
              <w:t>公路管理机构具体承担超限运输车辆行驶公路的监督管理。</w:t>
            </w:r>
          </w:p>
          <w:p w14:paraId="64A12E5F">
            <w:pPr>
              <w:pStyle w:val="8"/>
              <w:spacing w:before="18" w:line="227" w:lineRule="auto"/>
              <w:ind w:left="122" w:right="50" w:firstLine="356"/>
            </w:pPr>
            <w:r>
              <w:t>县级以上人民政府相关主管部门按照职责分</w:t>
            </w:r>
            <w:r>
              <w:rPr>
                <w:spacing w:val="-1"/>
              </w:rPr>
              <w:t>工，依法负责或者参与、配合超限运输车辆行驶公路的监督</w:t>
            </w:r>
            <w:r>
              <w:t xml:space="preserve"> </w:t>
            </w:r>
            <w:r>
              <w:rPr>
                <w:spacing w:val="-3"/>
              </w:rPr>
              <w:t>管理。交通运输主管部门应当在本级人民政府统一领导下，与相关主管部门建立治理超限运</w:t>
            </w:r>
            <w:r>
              <w:rPr>
                <w:spacing w:val="-4"/>
              </w:rPr>
              <w:t>输联动工作机制。</w:t>
            </w:r>
          </w:p>
        </w:tc>
        <w:tc>
          <w:tcPr>
            <w:tcW w:w="1159" w:type="dxa"/>
            <w:vAlign w:val="top"/>
          </w:tcPr>
          <w:p w14:paraId="11B6AAF8">
            <w:pPr>
              <w:rPr>
                <w:rFonts w:ascii="Arial"/>
                <w:sz w:val="21"/>
              </w:rPr>
            </w:pPr>
          </w:p>
        </w:tc>
      </w:tr>
    </w:tbl>
    <w:p w14:paraId="69F166FB">
      <w:pPr>
        <w:pStyle w:val="2"/>
      </w:pPr>
    </w:p>
    <w:p w14:paraId="1DCA1688">
      <w:pPr>
        <w:sectPr>
          <w:footerReference r:id="rId7" w:type="default"/>
          <w:pgSz w:w="16839" w:h="11906"/>
          <w:pgMar w:top="1012" w:right="1134" w:bottom="966" w:left="1134" w:header="0" w:footer="768" w:gutter="0"/>
          <w:cols w:space="720" w:num="1"/>
        </w:sectPr>
      </w:pPr>
    </w:p>
    <w:p w14:paraId="015F5BA9">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26F59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68090106">
            <w:pPr>
              <w:pStyle w:val="8"/>
              <w:spacing w:before="183" w:line="221" w:lineRule="auto"/>
              <w:ind w:left="175"/>
            </w:pPr>
            <w:r>
              <w:rPr>
                <w:b/>
                <w:bCs/>
                <w:spacing w:val="-4"/>
              </w:rPr>
              <w:t>序号</w:t>
            </w:r>
          </w:p>
        </w:tc>
        <w:tc>
          <w:tcPr>
            <w:tcW w:w="1290" w:type="dxa"/>
            <w:vAlign w:val="top"/>
          </w:tcPr>
          <w:p w14:paraId="0EAC2B9E">
            <w:pPr>
              <w:pStyle w:val="8"/>
              <w:spacing w:before="183" w:line="220" w:lineRule="auto"/>
              <w:ind w:left="284"/>
            </w:pPr>
            <w:r>
              <w:rPr>
                <w:b/>
                <w:bCs/>
                <w:spacing w:val="-4"/>
              </w:rPr>
              <w:t>事项名称</w:t>
            </w:r>
          </w:p>
        </w:tc>
        <w:tc>
          <w:tcPr>
            <w:tcW w:w="1379" w:type="dxa"/>
            <w:vAlign w:val="top"/>
          </w:tcPr>
          <w:p w14:paraId="1AF9F546">
            <w:pPr>
              <w:pStyle w:val="8"/>
              <w:spacing w:before="183" w:line="219" w:lineRule="auto"/>
              <w:ind w:left="333"/>
            </w:pPr>
            <w:r>
              <w:rPr>
                <w:b/>
                <w:bCs/>
                <w:spacing w:val="-5"/>
              </w:rPr>
              <w:t>实施机关</w:t>
            </w:r>
          </w:p>
        </w:tc>
        <w:tc>
          <w:tcPr>
            <w:tcW w:w="1364" w:type="dxa"/>
            <w:vAlign w:val="top"/>
          </w:tcPr>
          <w:p w14:paraId="25568AC6">
            <w:pPr>
              <w:pStyle w:val="8"/>
              <w:spacing w:before="183" w:line="219" w:lineRule="auto"/>
              <w:ind w:left="322"/>
            </w:pPr>
            <w:r>
              <w:rPr>
                <w:b/>
                <w:bCs/>
                <w:spacing w:val="-4"/>
              </w:rPr>
              <w:t>承办机构</w:t>
            </w:r>
          </w:p>
        </w:tc>
        <w:tc>
          <w:tcPr>
            <w:tcW w:w="8667" w:type="dxa"/>
            <w:vAlign w:val="top"/>
          </w:tcPr>
          <w:p w14:paraId="0C061099">
            <w:pPr>
              <w:pStyle w:val="8"/>
              <w:spacing w:before="183" w:line="219" w:lineRule="auto"/>
              <w:ind w:left="3708"/>
            </w:pPr>
            <w:r>
              <w:rPr>
                <w:b/>
                <w:bCs/>
                <w:spacing w:val="-3"/>
              </w:rPr>
              <w:t>设定和实施依据</w:t>
            </w:r>
          </w:p>
        </w:tc>
        <w:tc>
          <w:tcPr>
            <w:tcW w:w="1159" w:type="dxa"/>
            <w:vAlign w:val="top"/>
          </w:tcPr>
          <w:p w14:paraId="53C6BD66">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7964E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9" w:hRule="atLeast"/>
        </w:trPr>
        <w:tc>
          <w:tcPr>
            <w:tcW w:w="705" w:type="dxa"/>
            <w:vAlign w:val="top"/>
          </w:tcPr>
          <w:p w14:paraId="6BECEE5A">
            <w:pPr>
              <w:rPr>
                <w:rFonts w:ascii="Arial"/>
                <w:sz w:val="21"/>
              </w:rPr>
            </w:pPr>
          </w:p>
          <w:p w14:paraId="44809DAE">
            <w:pPr>
              <w:rPr>
                <w:rFonts w:ascii="Arial"/>
                <w:sz w:val="21"/>
              </w:rPr>
            </w:pPr>
          </w:p>
          <w:p w14:paraId="2092607E">
            <w:pPr>
              <w:rPr>
                <w:rFonts w:ascii="Arial"/>
                <w:sz w:val="21"/>
              </w:rPr>
            </w:pPr>
          </w:p>
          <w:p w14:paraId="0EAB414D">
            <w:pPr>
              <w:rPr>
                <w:rFonts w:ascii="Arial"/>
                <w:sz w:val="21"/>
              </w:rPr>
            </w:pPr>
          </w:p>
          <w:p w14:paraId="2869CD43">
            <w:pPr>
              <w:rPr>
                <w:rFonts w:ascii="Arial"/>
                <w:sz w:val="21"/>
              </w:rPr>
            </w:pPr>
          </w:p>
          <w:p w14:paraId="4F112480">
            <w:pPr>
              <w:rPr>
                <w:rFonts w:ascii="Arial"/>
                <w:sz w:val="21"/>
              </w:rPr>
            </w:pPr>
          </w:p>
          <w:p w14:paraId="1071F5C8">
            <w:pPr>
              <w:rPr>
                <w:rFonts w:ascii="Arial"/>
                <w:sz w:val="21"/>
              </w:rPr>
            </w:pPr>
          </w:p>
          <w:p w14:paraId="6CBFD5D9">
            <w:pPr>
              <w:rPr>
                <w:rFonts w:ascii="Arial"/>
                <w:sz w:val="21"/>
              </w:rPr>
            </w:pPr>
          </w:p>
          <w:p w14:paraId="2C454D32">
            <w:pPr>
              <w:rPr>
                <w:rFonts w:ascii="Arial"/>
                <w:sz w:val="21"/>
              </w:rPr>
            </w:pPr>
          </w:p>
          <w:p w14:paraId="6ADC1830">
            <w:pPr>
              <w:rPr>
                <w:rFonts w:ascii="Arial"/>
                <w:sz w:val="21"/>
              </w:rPr>
            </w:pPr>
          </w:p>
          <w:p w14:paraId="45F658DD">
            <w:pPr>
              <w:rPr>
                <w:rFonts w:ascii="Arial"/>
                <w:sz w:val="21"/>
              </w:rPr>
            </w:pPr>
          </w:p>
          <w:p w14:paraId="3996B816">
            <w:pPr>
              <w:rPr>
                <w:rFonts w:ascii="Arial"/>
                <w:sz w:val="21"/>
              </w:rPr>
            </w:pPr>
          </w:p>
          <w:p w14:paraId="5A5B73F5">
            <w:pPr>
              <w:rPr>
                <w:rFonts w:ascii="Arial"/>
                <w:sz w:val="21"/>
              </w:rPr>
            </w:pPr>
          </w:p>
          <w:p w14:paraId="1FE46549">
            <w:pPr>
              <w:rPr>
                <w:rFonts w:ascii="Arial"/>
                <w:sz w:val="21"/>
              </w:rPr>
            </w:pPr>
          </w:p>
          <w:p w14:paraId="1E210541">
            <w:pPr>
              <w:rPr>
                <w:rFonts w:ascii="Arial"/>
                <w:sz w:val="21"/>
              </w:rPr>
            </w:pPr>
          </w:p>
          <w:p w14:paraId="1637CDA6">
            <w:pPr>
              <w:spacing w:line="241" w:lineRule="auto"/>
              <w:rPr>
                <w:rFonts w:ascii="Arial"/>
                <w:sz w:val="21"/>
              </w:rPr>
            </w:pPr>
          </w:p>
          <w:p w14:paraId="78EC2EBB">
            <w:pPr>
              <w:spacing w:line="241" w:lineRule="auto"/>
              <w:rPr>
                <w:rFonts w:ascii="Arial"/>
                <w:sz w:val="21"/>
              </w:rPr>
            </w:pPr>
          </w:p>
          <w:p w14:paraId="6556906D">
            <w:pPr>
              <w:spacing w:line="241" w:lineRule="auto"/>
              <w:rPr>
                <w:rFonts w:ascii="Arial"/>
                <w:sz w:val="21"/>
              </w:rPr>
            </w:pPr>
          </w:p>
          <w:p w14:paraId="6B081556">
            <w:pPr>
              <w:pStyle w:val="8"/>
              <w:spacing w:before="59" w:line="183" w:lineRule="auto"/>
              <w:ind w:left="314"/>
              <w:rPr>
                <w:rFonts w:hint="eastAsia" w:eastAsia="宋体"/>
                <w:lang w:eastAsia="zh-CN"/>
              </w:rPr>
            </w:pPr>
            <w:r>
              <w:rPr>
                <w:rFonts w:hint="eastAsia"/>
                <w:lang w:val="en-US" w:eastAsia="zh-CN"/>
              </w:rPr>
              <w:t>5</w:t>
            </w:r>
          </w:p>
        </w:tc>
        <w:tc>
          <w:tcPr>
            <w:tcW w:w="1290" w:type="dxa"/>
            <w:vAlign w:val="top"/>
          </w:tcPr>
          <w:p w14:paraId="455B1FA4">
            <w:pPr>
              <w:spacing w:line="252" w:lineRule="auto"/>
              <w:rPr>
                <w:rFonts w:ascii="Arial"/>
                <w:sz w:val="21"/>
              </w:rPr>
            </w:pPr>
          </w:p>
          <w:p w14:paraId="53D60CEA">
            <w:pPr>
              <w:spacing w:line="252" w:lineRule="auto"/>
              <w:rPr>
                <w:rFonts w:ascii="Arial"/>
                <w:sz w:val="21"/>
              </w:rPr>
            </w:pPr>
          </w:p>
          <w:p w14:paraId="450C0A7B">
            <w:pPr>
              <w:spacing w:line="252" w:lineRule="auto"/>
              <w:rPr>
                <w:rFonts w:ascii="Arial"/>
                <w:sz w:val="21"/>
              </w:rPr>
            </w:pPr>
          </w:p>
          <w:p w14:paraId="7DDE42A8">
            <w:pPr>
              <w:spacing w:line="252" w:lineRule="auto"/>
              <w:rPr>
                <w:rFonts w:ascii="Arial"/>
                <w:sz w:val="21"/>
              </w:rPr>
            </w:pPr>
          </w:p>
          <w:p w14:paraId="0342BF11">
            <w:pPr>
              <w:spacing w:line="252" w:lineRule="auto"/>
              <w:rPr>
                <w:rFonts w:ascii="Arial"/>
                <w:sz w:val="21"/>
              </w:rPr>
            </w:pPr>
          </w:p>
          <w:p w14:paraId="74AFA8FD">
            <w:pPr>
              <w:spacing w:line="252" w:lineRule="auto"/>
              <w:rPr>
                <w:rFonts w:ascii="Arial"/>
                <w:sz w:val="21"/>
              </w:rPr>
            </w:pPr>
          </w:p>
          <w:p w14:paraId="51DAFDE6">
            <w:pPr>
              <w:spacing w:line="253" w:lineRule="auto"/>
              <w:rPr>
                <w:rFonts w:ascii="Arial"/>
                <w:sz w:val="21"/>
              </w:rPr>
            </w:pPr>
          </w:p>
          <w:p w14:paraId="08882E77">
            <w:pPr>
              <w:spacing w:line="253" w:lineRule="auto"/>
              <w:rPr>
                <w:rFonts w:ascii="Arial"/>
                <w:sz w:val="21"/>
              </w:rPr>
            </w:pPr>
          </w:p>
          <w:p w14:paraId="5C214A5E">
            <w:pPr>
              <w:spacing w:line="253" w:lineRule="auto"/>
              <w:rPr>
                <w:rFonts w:ascii="Arial"/>
                <w:sz w:val="21"/>
              </w:rPr>
            </w:pPr>
          </w:p>
          <w:p w14:paraId="06B29A39">
            <w:pPr>
              <w:spacing w:line="253" w:lineRule="auto"/>
              <w:rPr>
                <w:rFonts w:ascii="Arial"/>
                <w:sz w:val="21"/>
              </w:rPr>
            </w:pPr>
          </w:p>
          <w:p w14:paraId="2CADC4BB">
            <w:pPr>
              <w:spacing w:line="253" w:lineRule="auto"/>
              <w:rPr>
                <w:rFonts w:ascii="Arial"/>
                <w:sz w:val="21"/>
              </w:rPr>
            </w:pPr>
          </w:p>
          <w:p w14:paraId="3CAC08ED">
            <w:pPr>
              <w:spacing w:line="253" w:lineRule="auto"/>
              <w:rPr>
                <w:rFonts w:ascii="Arial"/>
                <w:sz w:val="21"/>
              </w:rPr>
            </w:pPr>
          </w:p>
          <w:p w14:paraId="3B7D2A0D">
            <w:pPr>
              <w:spacing w:line="253" w:lineRule="auto"/>
              <w:rPr>
                <w:rFonts w:ascii="Arial"/>
                <w:sz w:val="21"/>
              </w:rPr>
            </w:pPr>
          </w:p>
          <w:p w14:paraId="4AE833F7">
            <w:pPr>
              <w:spacing w:line="253" w:lineRule="auto"/>
              <w:rPr>
                <w:rFonts w:ascii="Arial"/>
                <w:sz w:val="21"/>
              </w:rPr>
            </w:pPr>
          </w:p>
          <w:p w14:paraId="083737A2">
            <w:pPr>
              <w:spacing w:line="253" w:lineRule="auto"/>
              <w:rPr>
                <w:rFonts w:ascii="Arial"/>
                <w:sz w:val="21"/>
              </w:rPr>
            </w:pPr>
          </w:p>
          <w:p w14:paraId="3833696A">
            <w:pPr>
              <w:spacing w:line="253" w:lineRule="auto"/>
              <w:rPr>
                <w:rFonts w:ascii="Arial"/>
                <w:sz w:val="21"/>
              </w:rPr>
            </w:pPr>
          </w:p>
          <w:p w14:paraId="50E96503">
            <w:pPr>
              <w:spacing w:line="253" w:lineRule="auto"/>
              <w:rPr>
                <w:rFonts w:ascii="Arial"/>
                <w:sz w:val="21"/>
              </w:rPr>
            </w:pPr>
          </w:p>
          <w:p w14:paraId="6B0FFA01">
            <w:pPr>
              <w:pStyle w:val="8"/>
              <w:spacing w:before="59" w:line="219" w:lineRule="auto"/>
              <w:ind w:left="31"/>
            </w:pPr>
            <w:r>
              <w:rPr>
                <w:spacing w:val="-2"/>
              </w:rPr>
              <w:t>涉路施工许可</w:t>
            </w:r>
          </w:p>
        </w:tc>
        <w:tc>
          <w:tcPr>
            <w:tcW w:w="1379" w:type="dxa"/>
            <w:vAlign w:val="top"/>
          </w:tcPr>
          <w:p w14:paraId="75BE7A8B">
            <w:pPr>
              <w:spacing w:line="253" w:lineRule="auto"/>
              <w:rPr>
                <w:rFonts w:ascii="Arial"/>
                <w:sz w:val="21"/>
              </w:rPr>
            </w:pPr>
          </w:p>
          <w:p w14:paraId="158DF320">
            <w:pPr>
              <w:spacing w:line="253" w:lineRule="auto"/>
              <w:rPr>
                <w:rFonts w:ascii="Arial"/>
                <w:sz w:val="21"/>
              </w:rPr>
            </w:pPr>
          </w:p>
          <w:p w14:paraId="7EA602A1">
            <w:pPr>
              <w:spacing w:line="253" w:lineRule="auto"/>
              <w:rPr>
                <w:rFonts w:ascii="Arial"/>
                <w:sz w:val="21"/>
              </w:rPr>
            </w:pPr>
          </w:p>
          <w:p w14:paraId="70B46688">
            <w:pPr>
              <w:spacing w:line="253" w:lineRule="auto"/>
              <w:rPr>
                <w:rFonts w:ascii="Arial"/>
                <w:sz w:val="21"/>
              </w:rPr>
            </w:pPr>
          </w:p>
          <w:p w14:paraId="67535E8D">
            <w:pPr>
              <w:spacing w:line="253" w:lineRule="auto"/>
              <w:rPr>
                <w:rFonts w:ascii="Arial"/>
                <w:sz w:val="21"/>
              </w:rPr>
            </w:pPr>
          </w:p>
          <w:p w14:paraId="48F59369">
            <w:pPr>
              <w:spacing w:line="253" w:lineRule="auto"/>
              <w:rPr>
                <w:rFonts w:ascii="Arial"/>
                <w:sz w:val="21"/>
              </w:rPr>
            </w:pPr>
          </w:p>
          <w:p w14:paraId="2E651111">
            <w:pPr>
              <w:spacing w:line="253" w:lineRule="auto"/>
              <w:rPr>
                <w:rFonts w:ascii="Arial"/>
                <w:sz w:val="21"/>
              </w:rPr>
            </w:pPr>
          </w:p>
          <w:p w14:paraId="75E50982">
            <w:pPr>
              <w:spacing w:line="254" w:lineRule="auto"/>
              <w:rPr>
                <w:rFonts w:ascii="Arial"/>
                <w:sz w:val="21"/>
              </w:rPr>
            </w:pPr>
          </w:p>
          <w:p w14:paraId="2F6D93FE">
            <w:pPr>
              <w:spacing w:line="254" w:lineRule="auto"/>
              <w:rPr>
                <w:rFonts w:ascii="Arial"/>
                <w:sz w:val="21"/>
              </w:rPr>
            </w:pPr>
          </w:p>
          <w:p w14:paraId="38D5067D">
            <w:pPr>
              <w:spacing w:line="254" w:lineRule="auto"/>
              <w:rPr>
                <w:rFonts w:ascii="Arial"/>
                <w:sz w:val="21"/>
              </w:rPr>
            </w:pPr>
          </w:p>
          <w:p w14:paraId="177D57BE">
            <w:pPr>
              <w:spacing w:line="254" w:lineRule="auto"/>
              <w:rPr>
                <w:rFonts w:ascii="Arial"/>
                <w:sz w:val="21"/>
              </w:rPr>
            </w:pPr>
          </w:p>
          <w:p w14:paraId="7C42CEB1">
            <w:pPr>
              <w:spacing w:line="254" w:lineRule="auto"/>
              <w:rPr>
                <w:rFonts w:ascii="Arial"/>
                <w:sz w:val="21"/>
              </w:rPr>
            </w:pPr>
          </w:p>
          <w:p w14:paraId="382ABD92">
            <w:pPr>
              <w:spacing w:line="254" w:lineRule="auto"/>
              <w:rPr>
                <w:rFonts w:ascii="Arial"/>
                <w:sz w:val="21"/>
              </w:rPr>
            </w:pPr>
          </w:p>
          <w:p w14:paraId="6961A3BF">
            <w:pPr>
              <w:spacing w:line="254" w:lineRule="auto"/>
              <w:rPr>
                <w:rFonts w:ascii="Arial"/>
                <w:sz w:val="21"/>
              </w:rPr>
            </w:pPr>
          </w:p>
          <w:p w14:paraId="79587922">
            <w:pPr>
              <w:spacing w:line="254" w:lineRule="auto"/>
              <w:rPr>
                <w:rFonts w:ascii="Arial"/>
                <w:sz w:val="21"/>
              </w:rPr>
            </w:pPr>
          </w:p>
          <w:p w14:paraId="36654934">
            <w:pPr>
              <w:spacing w:line="254" w:lineRule="auto"/>
              <w:rPr>
                <w:rFonts w:ascii="Arial"/>
                <w:sz w:val="21"/>
              </w:rPr>
            </w:pPr>
          </w:p>
          <w:p w14:paraId="43C6B219">
            <w:pPr>
              <w:pStyle w:val="8"/>
              <w:spacing w:before="59" w:line="237" w:lineRule="auto"/>
              <w:ind w:left="31" w:right="27"/>
              <w:rPr>
                <w:rFonts w:hint="eastAsia" w:eastAsia="宋体"/>
                <w:lang w:eastAsia="zh-CN"/>
              </w:rPr>
            </w:pPr>
            <w:r>
              <w:rPr>
                <w:rFonts w:hint="eastAsia"/>
                <w:spacing w:val="6"/>
                <w:lang w:eastAsia="zh-CN"/>
              </w:rPr>
              <w:t>津市市交通运输局</w:t>
            </w:r>
          </w:p>
        </w:tc>
        <w:tc>
          <w:tcPr>
            <w:tcW w:w="1364" w:type="dxa"/>
            <w:vAlign w:val="top"/>
          </w:tcPr>
          <w:p w14:paraId="064D8EBF">
            <w:pPr>
              <w:spacing w:line="252" w:lineRule="auto"/>
              <w:rPr>
                <w:rFonts w:ascii="Arial"/>
                <w:sz w:val="21"/>
              </w:rPr>
            </w:pPr>
          </w:p>
          <w:p w14:paraId="591AE606">
            <w:pPr>
              <w:spacing w:line="252" w:lineRule="auto"/>
              <w:rPr>
                <w:rFonts w:ascii="Arial"/>
                <w:sz w:val="21"/>
              </w:rPr>
            </w:pPr>
          </w:p>
          <w:p w14:paraId="73A38DBA">
            <w:pPr>
              <w:spacing w:line="252" w:lineRule="auto"/>
              <w:rPr>
                <w:rFonts w:ascii="Arial"/>
                <w:sz w:val="21"/>
              </w:rPr>
            </w:pPr>
          </w:p>
          <w:p w14:paraId="0BE2CD5E">
            <w:pPr>
              <w:spacing w:line="252" w:lineRule="auto"/>
              <w:rPr>
                <w:rFonts w:ascii="Arial"/>
                <w:sz w:val="21"/>
              </w:rPr>
            </w:pPr>
          </w:p>
          <w:p w14:paraId="68043EF4">
            <w:pPr>
              <w:spacing w:line="252" w:lineRule="auto"/>
              <w:rPr>
                <w:rFonts w:ascii="Arial"/>
                <w:sz w:val="21"/>
              </w:rPr>
            </w:pPr>
          </w:p>
          <w:p w14:paraId="65065A5D">
            <w:pPr>
              <w:spacing w:line="252" w:lineRule="auto"/>
              <w:rPr>
                <w:rFonts w:ascii="Arial"/>
                <w:sz w:val="21"/>
              </w:rPr>
            </w:pPr>
          </w:p>
          <w:p w14:paraId="5E36111D">
            <w:pPr>
              <w:spacing w:line="253" w:lineRule="auto"/>
              <w:rPr>
                <w:rFonts w:ascii="Arial"/>
                <w:sz w:val="21"/>
              </w:rPr>
            </w:pPr>
          </w:p>
          <w:p w14:paraId="2CA9703C">
            <w:pPr>
              <w:spacing w:line="253" w:lineRule="auto"/>
              <w:rPr>
                <w:rFonts w:ascii="Arial"/>
                <w:sz w:val="21"/>
              </w:rPr>
            </w:pPr>
          </w:p>
          <w:p w14:paraId="5F70EF3D">
            <w:pPr>
              <w:spacing w:line="253" w:lineRule="auto"/>
              <w:rPr>
                <w:rFonts w:ascii="Arial"/>
                <w:sz w:val="21"/>
              </w:rPr>
            </w:pPr>
          </w:p>
          <w:p w14:paraId="5BC42138">
            <w:pPr>
              <w:spacing w:line="253" w:lineRule="auto"/>
              <w:rPr>
                <w:rFonts w:ascii="Arial"/>
                <w:sz w:val="21"/>
              </w:rPr>
            </w:pPr>
          </w:p>
          <w:p w14:paraId="6E1CD311">
            <w:pPr>
              <w:spacing w:line="253" w:lineRule="auto"/>
              <w:rPr>
                <w:rFonts w:ascii="Arial"/>
                <w:sz w:val="21"/>
              </w:rPr>
            </w:pPr>
          </w:p>
          <w:p w14:paraId="2540BC38">
            <w:pPr>
              <w:spacing w:line="253" w:lineRule="auto"/>
              <w:rPr>
                <w:rFonts w:ascii="Arial"/>
                <w:sz w:val="21"/>
              </w:rPr>
            </w:pPr>
          </w:p>
          <w:p w14:paraId="608FB27B">
            <w:pPr>
              <w:spacing w:line="253" w:lineRule="auto"/>
              <w:rPr>
                <w:rFonts w:ascii="Arial"/>
                <w:sz w:val="21"/>
              </w:rPr>
            </w:pPr>
          </w:p>
          <w:p w14:paraId="7F3692FB">
            <w:pPr>
              <w:spacing w:line="253" w:lineRule="auto"/>
              <w:rPr>
                <w:rFonts w:ascii="Arial"/>
                <w:sz w:val="21"/>
              </w:rPr>
            </w:pPr>
          </w:p>
          <w:p w14:paraId="21383621">
            <w:pPr>
              <w:spacing w:line="253" w:lineRule="auto"/>
              <w:rPr>
                <w:rFonts w:ascii="Arial"/>
                <w:sz w:val="21"/>
              </w:rPr>
            </w:pPr>
          </w:p>
          <w:p w14:paraId="0477D6BB">
            <w:pPr>
              <w:spacing w:line="253" w:lineRule="auto"/>
              <w:rPr>
                <w:rFonts w:ascii="Arial"/>
                <w:sz w:val="21"/>
              </w:rPr>
            </w:pPr>
          </w:p>
          <w:p w14:paraId="601ABB0E">
            <w:pPr>
              <w:spacing w:line="253" w:lineRule="auto"/>
              <w:rPr>
                <w:rFonts w:ascii="Arial"/>
                <w:sz w:val="21"/>
              </w:rPr>
            </w:pPr>
          </w:p>
          <w:p w14:paraId="6DBF042C">
            <w:pPr>
              <w:pStyle w:val="8"/>
              <w:spacing w:before="58"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542433C8">
            <w:pPr>
              <w:pStyle w:val="8"/>
              <w:spacing w:before="60" w:line="219" w:lineRule="auto"/>
              <w:ind w:left="491"/>
            </w:pPr>
            <w:r>
              <w:rPr>
                <w:b/>
                <w:bCs/>
                <w:spacing w:val="-4"/>
              </w:rPr>
              <w:t>1.《中华人民共和国公路法》</w:t>
            </w:r>
          </w:p>
          <w:p w14:paraId="125849C3">
            <w:pPr>
              <w:pStyle w:val="8"/>
              <w:spacing w:before="25" w:line="219" w:lineRule="auto"/>
              <w:ind w:left="477"/>
            </w:pPr>
            <w:r>
              <w:t>第二十五条  公路建设项目的施工，须按国务</w:t>
            </w:r>
            <w:r>
              <w:rPr>
                <w:spacing w:val="-1"/>
              </w:rPr>
              <w:t>院交通主管部门的规定报请县级以上地方人民政府交通主</w:t>
            </w:r>
          </w:p>
          <w:p w14:paraId="0EDD2C25">
            <w:pPr>
              <w:pStyle w:val="8"/>
              <w:spacing w:before="27" w:line="219" w:lineRule="auto"/>
              <w:ind w:left="122"/>
            </w:pPr>
            <w:r>
              <w:rPr>
                <w:spacing w:val="-6"/>
              </w:rPr>
              <w:t>管部门批准。</w:t>
            </w:r>
          </w:p>
          <w:p w14:paraId="1790AAE9">
            <w:pPr>
              <w:pStyle w:val="8"/>
              <w:spacing w:before="26" w:line="219" w:lineRule="auto"/>
              <w:ind w:left="479"/>
            </w:pPr>
            <w:r>
              <w:rPr>
                <w:b/>
                <w:bCs/>
                <w:spacing w:val="-3"/>
              </w:rPr>
              <w:t>2.《公路安全保护条例》</w:t>
            </w:r>
          </w:p>
          <w:p w14:paraId="0F4DF80D">
            <w:pPr>
              <w:pStyle w:val="8"/>
              <w:spacing w:before="26" w:line="219" w:lineRule="auto"/>
              <w:ind w:left="477"/>
            </w:pPr>
            <w:r>
              <w:rPr>
                <w:spacing w:val="-1"/>
              </w:rPr>
              <w:t>第二十七条  进行下列涉路施工活动，建</w:t>
            </w:r>
            <w:r>
              <w:rPr>
                <w:spacing w:val="-2"/>
              </w:rPr>
              <w:t>设单位应当向公路管理机构提出申请：</w:t>
            </w:r>
          </w:p>
          <w:p w14:paraId="09C814FA">
            <w:pPr>
              <w:pStyle w:val="8"/>
              <w:spacing w:before="27" w:line="233" w:lineRule="auto"/>
              <w:ind w:left="119" w:right="110" w:firstLine="367"/>
            </w:pPr>
            <w:r>
              <w:rPr>
                <w:spacing w:val="-1"/>
              </w:rPr>
              <w:t>（一）因修建铁路、机场、供电、水利、通信等建设工程需要占用、挖掘公路、公路用地或者使公路改</w:t>
            </w:r>
            <w:r>
              <w:rPr>
                <w:spacing w:val="7"/>
              </w:rPr>
              <w:t xml:space="preserve"> </w:t>
            </w:r>
            <w:r>
              <w:rPr>
                <w:spacing w:val="-13"/>
              </w:rPr>
              <w:t>线；</w:t>
            </w:r>
          </w:p>
          <w:p w14:paraId="51785032">
            <w:pPr>
              <w:pStyle w:val="8"/>
              <w:spacing w:before="25" w:line="219" w:lineRule="auto"/>
              <w:ind w:left="487"/>
            </w:pPr>
            <w:r>
              <w:rPr>
                <w:spacing w:val="-2"/>
              </w:rPr>
              <w:t>（二）跨越、穿越公路修建桥梁、渡槽或者架设、埋设管道、电缆等设施；</w:t>
            </w:r>
          </w:p>
          <w:p w14:paraId="781E1B9B">
            <w:pPr>
              <w:pStyle w:val="8"/>
              <w:spacing w:before="27" w:line="219" w:lineRule="auto"/>
              <w:ind w:left="487"/>
            </w:pPr>
            <w:r>
              <w:rPr>
                <w:spacing w:val="-3"/>
              </w:rPr>
              <w:t>（三）在公路用地范围内架设、埋设管道、电缆等设施；</w:t>
            </w:r>
          </w:p>
          <w:p w14:paraId="4147FA9C">
            <w:pPr>
              <w:pStyle w:val="8"/>
              <w:spacing w:before="26" w:line="219" w:lineRule="auto"/>
              <w:ind w:left="487"/>
            </w:pPr>
            <w:r>
              <w:rPr>
                <w:spacing w:val="-3"/>
              </w:rPr>
              <w:t>（四）利用公路桥梁、公路隧道、涵洞铺设电缆等设施；</w:t>
            </w:r>
          </w:p>
          <w:p w14:paraId="1F64F9B5">
            <w:pPr>
              <w:pStyle w:val="8"/>
              <w:spacing w:before="27" w:line="219" w:lineRule="auto"/>
              <w:ind w:left="487"/>
            </w:pPr>
            <w:r>
              <w:rPr>
                <w:spacing w:val="-4"/>
              </w:rPr>
              <w:t>（五）利用跨越公路的设施悬挂非公路标志；</w:t>
            </w:r>
          </w:p>
          <w:p w14:paraId="2A3720F2">
            <w:pPr>
              <w:pStyle w:val="8"/>
              <w:spacing w:before="26" w:line="219" w:lineRule="auto"/>
              <w:ind w:left="487"/>
            </w:pPr>
            <w:r>
              <w:rPr>
                <w:spacing w:val="-4"/>
              </w:rPr>
              <w:t>（六）在公路上增设或者改造平面交叉道口；</w:t>
            </w:r>
          </w:p>
          <w:p w14:paraId="563B6A2A">
            <w:pPr>
              <w:pStyle w:val="8"/>
              <w:spacing w:before="27" w:line="219" w:lineRule="auto"/>
              <w:ind w:left="487"/>
            </w:pPr>
            <w:r>
              <w:rPr>
                <w:spacing w:val="-2"/>
              </w:rPr>
              <w:t>（七）在公路建筑控制区内埋设管道、电缆等设施。</w:t>
            </w:r>
          </w:p>
          <w:p w14:paraId="74ACA812">
            <w:pPr>
              <w:pStyle w:val="8"/>
              <w:spacing w:before="26" w:line="219" w:lineRule="auto"/>
              <w:ind w:left="477"/>
            </w:pPr>
            <w:r>
              <w:rPr>
                <w:spacing w:val="-1"/>
              </w:rPr>
              <w:t>第二十八条  申请进行涉路施工活动的建设单位应当</w:t>
            </w:r>
            <w:r>
              <w:rPr>
                <w:spacing w:val="-2"/>
              </w:rPr>
              <w:t>向公路管理机构提交下列材料：</w:t>
            </w:r>
          </w:p>
          <w:p w14:paraId="0E8C3CD9">
            <w:pPr>
              <w:pStyle w:val="8"/>
              <w:spacing w:before="27" w:line="219" w:lineRule="auto"/>
              <w:ind w:left="487"/>
            </w:pPr>
            <w:r>
              <w:rPr>
                <w:spacing w:val="-3"/>
              </w:rPr>
              <w:t>（一）符合有关技术标准、规范要求的设计和施工方案；</w:t>
            </w:r>
          </w:p>
          <w:p w14:paraId="73DCA388">
            <w:pPr>
              <w:pStyle w:val="8"/>
              <w:spacing w:before="26" w:line="218" w:lineRule="auto"/>
              <w:ind w:left="487"/>
            </w:pPr>
            <w:r>
              <w:rPr>
                <w:spacing w:val="-3"/>
              </w:rPr>
              <w:t>（二）保障公路、公路附属设施质量和安全的技术评价报告；</w:t>
            </w:r>
          </w:p>
          <w:p w14:paraId="6638DB2A">
            <w:pPr>
              <w:pStyle w:val="8"/>
              <w:spacing w:before="27" w:line="220" w:lineRule="auto"/>
              <w:ind w:left="487"/>
            </w:pPr>
            <w:r>
              <w:rPr>
                <w:spacing w:val="-3"/>
              </w:rPr>
              <w:t>（三）处置施工险情和意外事故的应急方案。</w:t>
            </w:r>
          </w:p>
          <w:p w14:paraId="6CFC0608">
            <w:pPr>
              <w:pStyle w:val="8"/>
              <w:spacing w:before="26" w:line="237" w:lineRule="auto"/>
              <w:ind w:left="118" w:right="108" w:firstLine="364"/>
              <w:jc w:val="both"/>
            </w:pPr>
            <w:r>
              <w:rPr>
                <w:spacing w:val="-1"/>
              </w:rPr>
              <w:t>公路管理机构应当自受理申请之日起</w:t>
            </w:r>
            <w:r>
              <w:rPr>
                <w:spacing w:val="-37"/>
              </w:rPr>
              <w:t xml:space="preserve"> </w:t>
            </w:r>
            <w:r>
              <w:rPr>
                <w:spacing w:val="-1"/>
              </w:rPr>
              <w:t>20 日内作出许</w:t>
            </w:r>
            <w:r>
              <w:rPr>
                <w:spacing w:val="-2"/>
              </w:rPr>
              <w:t>可或者不予许可的决定；影响交通安全的，应当征</w:t>
            </w:r>
            <w:r>
              <w:t xml:space="preserve">  得公安机关交通管理部门的同意；涉及经营性公</w:t>
            </w:r>
            <w:r>
              <w:rPr>
                <w:spacing w:val="-1"/>
              </w:rPr>
              <w:t>路的，应当征求公路经营企业的意见；不予许可的，公路管</w:t>
            </w:r>
            <w:r>
              <w:t xml:space="preserve"> </w:t>
            </w:r>
            <w:r>
              <w:rPr>
                <w:spacing w:val="-2"/>
              </w:rPr>
              <w:t>理机构应当书面通知申请人并说明理由。</w:t>
            </w:r>
          </w:p>
          <w:p w14:paraId="6E134AEC">
            <w:pPr>
              <w:pStyle w:val="8"/>
              <w:spacing w:before="26" w:line="219" w:lineRule="auto"/>
              <w:ind w:left="481"/>
            </w:pPr>
            <w:r>
              <w:rPr>
                <w:b/>
                <w:bCs/>
                <w:spacing w:val="-3"/>
              </w:rPr>
              <w:t>3.《路政管理规定》（交通运输部令</w:t>
            </w:r>
            <w:r>
              <w:rPr>
                <w:spacing w:val="-35"/>
              </w:rPr>
              <w:t xml:space="preserve"> </w:t>
            </w:r>
            <w:r>
              <w:rPr>
                <w:b/>
                <w:bCs/>
                <w:spacing w:val="-3"/>
              </w:rPr>
              <w:t>201</w:t>
            </w:r>
            <w:r>
              <w:rPr>
                <w:b/>
                <w:bCs/>
                <w:spacing w:val="-4"/>
              </w:rPr>
              <w:t>6</w:t>
            </w:r>
            <w:r>
              <w:rPr>
                <w:spacing w:val="-38"/>
              </w:rPr>
              <w:t xml:space="preserve"> </w:t>
            </w:r>
            <w:r>
              <w:rPr>
                <w:b/>
                <w:bCs/>
                <w:spacing w:val="-4"/>
              </w:rPr>
              <w:t>年第</w:t>
            </w:r>
            <w:r>
              <w:rPr>
                <w:spacing w:val="-36"/>
              </w:rPr>
              <w:t xml:space="preserve"> </w:t>
            </w:r>
            <w:r>
              <w:rPr>
                <w:b/>
                <w:bCs/>
                <w:spacing w:val="-4"/>
              </w:rPr>
              <w:t>81</w:t>
            </w:r>
            <w:r>
              <w:rPr>
                <w:spacing w:val="-32"/>
              </w:rPr>
              <w:t xml:space="preserve"> </w:t>
            </w:r>
            <w:r>
              <w:rPr>
                <w:b/>
                <w:bCs/>
                <w:spacing w:val="-4"/>
              </w:rPr>
              <w:t>号）</w:t>
            </w:r>
          </w:p>
          <w:p w14:paraId="17FC770F">
            <w:pPr>
              <w:pStyle w:val="8"/>
              <w:spacing w:before="27" w:line="237" w:lineRule="auto"/>
              <w:ind w:left="118" w:right="110" w:firstLine="359"/>
              <w:jc w:val="both"/>
            </w:pPr>
            <w:r>
              <w:rPr>
                <w:spacing w:val="-1"/>
              </w:rPr>
              <w:t>第十条  跨越、穿越公路，修建桥梁、渡槽或者架设、埋设管线等设施，以及在公路用地范围内架设、</w:t>
            </w:r>
            <w:r>
              <w:rPr>
                <w:spacing w:val="18"/>
              </w:rPr>
              <w:t xml:space="preserve"> </w:t>
            </w:r>
            <w:r>
              <w:t>埋设管(杆)线、电缆等设施，应当按照《</w:t>
            </w:r>
            <w:r>
              <w:fldChar w:fldCharType="begin"/>
            </w:r>
            <w:r>
              <w:instrText xml:space="preserve"> HYPERLINK "https://lawv4.wkinfo.com.cn/document/show?collection=legislation&amp;aid=MTAxMDAxMjE2NzE=&amp;language=%E4%B8%AD%E6%96%87" </w:instrText>
            </w:r>
            <w:r>
              <w:fldChar w:fldCharType="separate"/>
            </w:r>
            <w:r>
              <w:t>公</w:t>
            </w:r>
            <w:r>
              <w:rPr>
                <w:spacing w:val="-1"/>
              </w:rPr>
              <w:t>路法</w:t>
            </w:r>
            <w:r>
              <w:rPr>
                <w:spacing w:val="-1"/>
              </w:rPr>
              <w:fldChar w:fldCharType="end"/>
            </w:r>
            <w:r>
              <w:rPr>
                <w:spacing w:val="-1"/>
              </w:rPr>
              <w:t>》</w:t>
            </w:r>
            <w:r>
              <w:fldChar w:fldCharType="begin"/>
            </w:r>
            <w:r>
              <w:instrText xml:space="preserve"> HYPERLINK "https://lawv4.wkinfo.com.cn/document/show?collection=legislation&amp;aid=MTAxMDAxMjE2NzE=&amp;language=%E4%B8%AD%E6%96%87" </w:instrText>
            </w:r>
            <w:r>
              <w:fldChar w:fldCharType="separate"/>
            </w:r>
            <w:r>
              <w:rPr>
                <w:spacing w:val="-1"/>
              </w:rPr>
              <w:t>第四十五条</w:t>
            </w:r>
            <w:r>
              <w:rPr>
                <w:spacing w:val="-1"/>
              </w:rPr>
              <w:fldChar w:fldCharType="end"/>
            </w:r>
            <w:r>
              <w:rPr>
                <w:spacing w:val="-1"/>
              </w:rPr>
              <w:t>的规定，事先向交通主管部门或者其设置的公</w:t>
            </w:r>
            <w:r>
              <w:t xml:space="preserve"> </w:t>
            </w:r>
            <w:r>
              <w:rPr>
                <w:spacing w:val="-3"/>
              </w:rPr>
              <w:t>路管理机构提交申请书和设计图。</w:t>
            </w:r>
          </w:p>
          <w:p w14:paraId="72BA5F14">
            <w:pPr>
              <w:pStyle w:val="8"/>
              <w:spacing w:before="26" w:line="219" w:lineRule="auto"/>
              <w:ind w:left="478"/>
            </w:pPr>
            <w:r>
              <w:rPr>
                <w:spacing w:val="-3"/>
              </w:rPr>
              <w:t>本条前款规定的申请书包括以下主要内容：</w:t>
            </w:r>
          </w:p>
          <w:p w14:paraId="610CB458">
            <w:pPr>
              <w:pStyle w:val="8"/>
              <w:spacing w:before="28" w:line="221" w:lineRule="auto"/>
              <w:ind w:left="509"/>
            </w:pPr>
            <w:r>
              <w:rPr>
                <w:spacing w:val="-10"/>
              </w:rPr>
              <w:t>(一)主要理由；</w:t>
            </w:r>
          </w:p>
          <w:p w14:paraId="66609D26">
            <w:pPr>
              <w:pStyle w:val="8"/>
              <w:spacing w:before="24" w:line="219" w:lineRule="auto"/>
              <w:ind w:left="509"/>
            </w:pPr>
            <w:r>
              <w:rPr>
                <w:spacing w:val="-3"/>
              </w:rPr>
              <w:t>(二)地点（公路名称、桩号及与公路边坡外缘或者公路界桩的距离</w:t>
            </w:r>
            <w:r>
              <w:rPr>
                <w:spacing w:val="2"/>
              </w:rPr>
              <w:t>）；</w:t>
            </w:r>
          </w:p>
          <w:p w14:paraId="20BD178C">
            <w:pPr>
              <w:pStyle w:val="8"/>
              <w:spacing w:before="27" w:line="219" w:lineRule="auto"/>
              <w:ind w:left="509"/>
            </w:pPr>
            <w:r>
              <w:rPr>
                <w:spacing w:val="-8"/>
              </w:rPr>
              <w:t>(三)安全保障措施；</w:t>
            </w:r>
          </w:p>
          <w:p w14:paraId="5FD98047">
            <w:pPr>
              <w:pStyle w:val="8"/>
              <w:spacing w:before="26" w:line="220" w:lineRule="auto"/>
              <w:ind w:left="509"/>
            </w:pPr>
            <w:r>
              <w:rPr>
                <w:spacing w:val="-10"/>
              </w:rPr>
              <w:t>(四)施工期限；</w:t>
            </w:r>
          </w:p>
          <w:p w14:paraId="2FEF8913">
            <w:pPr>
              <w:pStyle w:val="8"/>
              <w:spacing w:before="26" w:line="219" w:lineRule="auto"/>
              <w:ind w:left="509"/>
            </w:pPr>
            <w:r>
              <w:rPr>
                <w:spacing w:val="-4"/>
              </w:rPr>
              <w:t>(五)修复、改建公路的措施或者补偿数额。</w:t>
            </w:r>
          </w:p>
          <w:p w14:paraId="0EBFA429">
            <w:pPr>
              <w:pStyle w:val="8"/>
              <w:spacing w:before="26" w:line="246" w:lineRule="auto"/>
              <w:ind w:left="117" w:right="64" w:firstLine="360"/>
            </w:pPr>
            <w:r>
              <w:rPr>
                <w:spacing w:val="-3"/>
              </w:rPr>
              <w:t>第十一条  因抢险、防汛需要在大中型公路桥梁和渡口周</w:t>
            </w:r>
            <w:r>
              <w:rPr>
                <w:spacing w:val="-4"/>
              </w:rPr>
              <w:t>围二百米范围内修筑堤坝、压缩或者拓宽河床，</w:t>
            </w:r>
            <w:r>
              <w:t xml:space="preserve"> </w:t>
            </w:r>
            <w:r>
              <w:rPr>
                <w:spacing w:val="-1"/>
              </w:rPr>
              <w:t>应当按照《</w:t>
            </w:r>
            <w:r>
              <w:fldChar w:fldCharType="begin"/>
            </w:r>
            <w:r>
              <w:instrText xml:space="preserve"> HYPERLINK "https://lawv4.wkinfo.com.cn/document/show?collection=legislation&amp;aid=MTAxMDAxMjE2NzE=&amp;language=%E4%B8%AD%E6%96%87" </w:instrText>
            </w:r>
            <w:r>
              <w:fldChar w:fldCharType="separate"/>
            </w:r>
            <w:r>
              <w:rPr>
                <w:spacing w:val="-1"/>
              </w:rPr>
              <w:t>公路法</w:t>
            </w:r>
            <w:r>
              <w:rPr>
                <w:spacing w:val="-1"/>
              </w:rPr>
              <w:fldChar w:fldCharType="end"/>
            </w:r>
            <w:r>
              <w:rPr>
                <w:spacing w:val="-1"/>
              </w:rPr>
              <w:t>》</w:t>
            </w:r>
            <w:r>
              <w:fldChar w:fldCharType="begin"/>
            </w:r>
            <w:r>
              <w:instrText xml:space="preserve"> HYPERLINK "https://lawv4.wkinfo.com.cn/document/show?collection=legislation&amp;aid=MTAxMDAxMjE2NzE=&amp;language=%E4%B8%AD%E6%96%87" </w:instrText>
            </w:r>
            <w:r>
              <w:fldChar w:fldCharType="separate"/>
            </w:r>
            <w:r>
              <w:rPr>
                <w:spacing w:val="-1"/>
              </w:rPr>
              <w:t>第四十七条第二款</w:t>
            </w:r>
            <w:r>
              <w:rPr>
                <w:spacing w:val="-1"/>
              </w:rPr>
              <w:fldChar w:fldCharType="end"/>
            </w:r>
            <w:r>
              <w:rPr>
                <w:spacing w:val="-1"/>
              </w:rPr>
              <w:t>的规定，事先向交通主管部门提交申请书和设计图。</w:t>
            </w:r>
          </w:p>
          <w:p w14:paraId="6364E9E3">
            <w:pPr>
              <w:pStyle w:val="8"/>
              <w:spacing w:before="1" w:line="218" w:lineRule="auto"/>
              <w:ind w:left="478"/>
            </w:pPr>
            <w:r>
              <w:rPr>
                <w:spacing w:val="-3"/>
              </w:rPr>
              <w:t>本条前款规定的申请书包括以下主要内容：</w:t>
            </w:r>
          </w:p>
          <w:p w14:paraId="249A3F7A">
            <w:pPr>
              <w:pStyle w:val="8"/>
              <w:spacing w:before="27" w:line="221" w:lineRule="auto"/>
              <w:ind w:left="509"/>
            </w:pPr>
            <w:r>
              <w:rPr>
                <w:spacing w:val="-10"/>
              </w:rPr>
              <w:t>(一)主要理由；</w:t>
            </w:r>
          </w:p>
          <w:p w14:paraId="114936F8">
            <w:pPr>
              <w:pStyle w:val="8"/>
              <w:spacing w:before="24" w:line="219" w:lineRule="auto"/>
              <w:ind w:left="509"/>
            </w:pPr>
            <w:r>
              <w:rPr>
                <w:spacing w:val="-1"/>
              </w:rPr>
              <w:t>(二)地点(公路名称、桩号及与公路边坡外缘或者</w:t>
            </w:r>
            <w:r>
              <w:rPr>
                <w:spacing w:val="-2"/>
              </w:rPr>
              <w:t>公路界桩的距离)；</w:t>
            </w:r>
          </w:p>
          <w:p w14:paraId="65F10977">
            <w:pPr>
              <w:pStyle w:val="8"/>
              <w:spacing w:before="27" w:line="219" w:lineRule="auto"/>
              <w:ind w:left="509"/>
            </w:pPr>
            <w:r>
              <w:rPr>
                <w:spacing w:val="-8"/>
              </w:rPr>
              <w:t>(三)安全保障措施；</w:t>
            </w:r>
          </w:p>
          <w:p w14:paraId="1F02B7DC">
            <w:pPr>
              <w:pStyle w:val="8"/>
              <w:spacing w:before="26" w:line="220" w:lineRule="auto"/>
              <w:ind w:left="509"/>
            </w:pPr>
            <w:r>
              <w:rPr>
                <w:spacing w:val="-8"/>
              </w:rPr>
              <w:t>(四)施工期限。</w:t>
            </w:r>
          </w:p>
        </w:tc>
        <w:tc>
          <w:tcPr>
            <w:tcW w:w="1159" w:type="dxa"/>
            <w:vAlign w:val="top"/>
          </w:tcPr>
          <w:p w14:paraId="61969104">
            <w:pPr>
              <w:rPr>
                <w:rFonts w:ascii="Arial"/>
                <w:sz w:val="21"/>
              </w:rPr>
            </w:pPr>
          </w:p>
        </w:tc>
      </w:tr>
    </w:tbl>
    <w:p w14:paraId="386B3F0D">
      <w:pPr>
        <w:pStyle w:val="2"/>
      </w:pPr>
    </w:p>
    <w:p w14:paraId="5F161E90">
      <w:pPr>
        <w:sectPr>
          <w:footerReference r:id="rId8" w:type="default"/>
          <w:pgSz w:w="16839" w:h="11906"/>
          <w:pgMar w:top="1012" w:right="1134" w:bottom="966" w:left="1134" w:header="0" w:footer="768" w:gutter="0"/>
          <w:cols w:space="720" w:num="1"/>
        </w:sectPr>
      </w:pPr>
    </w:p>
    <w:p w14:paraId="3B3008DA">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0C628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5CC816D4">
            <w:pPr>
              <w:pStyle w:val="8"/>
              <w:spacing w:before="183" w:line="221" w:lineRule="auto"/>
              <w:ind w:left="175"/>
            </w:pPr>
            <w:r>
              <w:rPr>
                <w:b/>
                <w:bCs/>
                <w:spacing w:val="-4"/>
              </w:rPr>
              <w:t>序号</w:t>
            </w:r>
          </w:p>
        </w:tc>
        <w:tc>
          <w:tcPr>
            <w:tcW w:w="1290" w:type="dxa"/>
            <w:vAlign w:val="top"/>
          </w:tcPr>
          <w:p w14:paraId="6D98460B">
            <w:pPr>
              <w:pStyle w:val="8"/>
              <w:spacing w:before="183" w:line="220" w:lineRule="auto"/>
              <w:ind w:left="284"/>
            </w:pPr>
            <w:r>
              <w:rPr>
                <w:b/>
                <w:bCs/>
                <w:spacing w:val="-4"/>
              </w:rPr>
              <w:t>事项名称</w:t>
            </w:r>
          </w:p>
        </w:tc>
        <w:tc>
          <w:tcPr>
            <w:tcW w:w="1379" w:type="dxa"/>
            <w:vAlign w:val="top"/>
          </w:tcPr>
          <w:p w14:paraId="76B05D79">
            <w:pPr>
              <w:pStyle w:val="8"/>
              <w:spacing w:before="183" w:line="219" w:lineRule="auto"/>
              <w:ind w:left="333"/>
            </w:pPr>
            <w:r>
              <w:rPr>
                <w:b/>
                <w:bCs/>
                <w:spacing w:val="-5"/>
              </w:rPr>
              <w:t>实施机关</w:t>
            </w:r>
          </w:p>
        </w:tc>
        <w:tc>
          <w:tcPr>
            <w:tcW w:w="1364" w:type="dxa"/>
            <w:vAlign w:val="top"/>
          </w:tcPr>
          <w:p w14:paraId="519F3255">
            <w:pPr>
              <w:pStyle w:val="8"/>
              <w:spacing w:before="183" w:line="219" w:lineRule="auto"/>
              <w:ind w:left="322"/>
            </w:pPr>
            <w:r>
              <w:rPr>
                <w:b/>
                <w:bCs/>
                <w:spacing w:val="-4"/>
              </w:rPr>
              <w:t>承办机构</w:t>
            </w:r>
          </w:p>
        </w:tc>
        <w:tc>
          <w:tcPr>
            <w:tcW w:w="8667" w:type="dxa"/>
            <w:vAlign w:val="top"/>
          </w:tcPr>
          <w:p w14:paraId="66A96A53">
            <w:pPr>
              <w:pStyle w:val="8"/>
              <w:spacing w:before="183" w:line="219" w:lineRule="auto"/>
              <w:ind w:left="3708"/>
            </w:pPr>
            <w:r>
              <w:rPr>
                <w:b/>
                <w:bCs/>
                <w:spacing w:val="-3"/>
              </w:rPr>
              <w:t>设定和实施依据</w:t>
            </w:r>
          </w:p>
        </w:tc>
        <w:tc>
          <w:tcPr>
            <w:tcW w:w="1159" w:type="dxa"/>
            <w:vAlign w:val="top"/>
          </w:tcPr>
          <w:p w14:paraId="69A1E03F">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7A5DD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2" w:hRule="atLeast"/>
        </w:trPr>
        <w:tc>
          <w:tcPr>
            <w:tcW w:w="705" w:type="dxa"/>
            <w:vAlign w:val="top"/>
          </w:tcPr>
          <w:p w14:paraId="23F11E5E">
            <w:pPr>
              <w:spacing w:line="263" w:lineRule="auto"/>
              <w:rPr>
                <w:rFonts w:ascii="Arial"/>
                <w:sz w:val="21"/>
              </w:rPr>
            </w:pPr>
          </w:p>
          <w:p w14:paraId="1F23641B">
            <w:pPr>
              <w:spacing w:line="263" w:lineRule="auto"/>
              <w:rPr>
                <w:rFonts w:ascii="Arial"/>
                <w:sz w:val="21"/>
              </w:rPr>
            </w:pPr>
          </w:p>
          <w:p w14:paraId="775F72E6">
            <w:pPr>
              <w:spacing w:line="264" w:lineRule="auto"/>
              <w:rPr>
                <w:rFonts w:ascii="Arial"/>
                <w:sz w:val="21"/>
              </w:rPr>
            </w:pPr>
          </w:p>
          <w:p w14:paraId="1B9B3673">
            <w:pPr>
              <w:spacing w:line="264" w:lineRule="auto"/>
              <w:rPr>
                <w:rFonts w:ascii="Arial"/>
                <w:sz w:val="21"/>
              </w:rPr>
            </w:pPr>
          </w:p>
          <w:p w14:paraId="2C4F9CFA">
            <w:pPr>
              <w:spacing w:line="264" w:lineRule="auto"/>
              <w:rPr>
                <w:rFonts w:ascii="Arial"/>
                <w:sz w:val="21"/>
              </w:rPr>
            </w:pPr>
          </w:p>
          <w:p w14:paraId="44E2DCFC">
            <w:pPr>
              <w:spacing w:line="264" w:lineRule="auto"/>
              <w:rPr>
                <w:rFonts w:ascii="Arial"/>
                <w:sz w:val="21"/>
              </w:rPr>
            </w:pPr>
          </w:p>
          <w:p w14:paraId="5E6F7919">
            <w:pPr>
              <w:pStyle w:val="8"/>
              <w:spacing w:before="59" w:line="183" w:lineRule="auto"/>
              <w:ind w:left="313"/>
              <w:rPr>
                <w:rFonts w:hint="eastAsia" w:eastAsia="宋体"/>
                <w:lang w:eastAsia="zh-CN"/>
              </w:rPr>
            </w:pPr>
            <w:r>
              <w:rPr>
                <w:rFonts w:hint="eastAsia"/>
                <w:lang w:val="en-US" w:eastAsia="zh-CN"/>
              </w:rPr>
              <w:t>6</w:t>
            </w:r>
          </w:p>
        </w:tc>
        <w:tc>
          <w:tcPr>
            <w:tcW w:w="1290" w:type="dxa"/>
            <w:vAlign w:val="top"/>
          </w:tcPr>
          <w:p w14:paraId="58140587">
            <w:pPr>
              <w:spacing w:line="286" w:lineRule="auto"/>
              <w:rPr>
                <w:rFonts w:ascii="Arial"/>
                <w:sz w:val="21"/>
              </w:rPr>
            </w:pPr>
          </w:p>
          <w:p w14:paraId="17E9C8EF">
            <w:pPr>
              <w:spacing w:line="287" w:lineRule="auto"/>
              <w:rPr>
                <w:rFonts w:ascii="Arial"/>
                <w:sz w:val="21"/>
              </w:rPr>
            </w:pPr>
          </w:p>
          <w:p w14:paraId="53FD23F9">
            <w:pPr>
              <w:spacing w:line="287" w:lineRule="auto"/>
              <w:rPr>
                <w:rFonts w:ascii="Arial"/>
                <w:sz w:val="21"/>
              </w:rPr>
            </w:pPr>
          </w:p>
          <w:p w14:paraId="54236296">
            <w:pPr>
              <w:spacing w:line="287" w:lineRule="auto"/>
              <w:rPr>
                <w:rFonts w:ascii="Arial"/>
                <w:sz w:val="21"/>
              </w:rPr>
            </w:pPr>
          </w:p>
          <w:p w14:paraId="10635935">
            <w:pPr>
              <w:spacing w:line="287" w:lineRule="auto"/>
              <w:rPr>
                <w:rFonts w:ascii="Arial"/>
                <w:sz w:val="21"/>
              </w:rPr>
            </w:pPr>
          </w:p>
          <w:p w14:paraId="7EF8F299">
            <w:pPr>
              <w:pStyle w:val="8"/>
              <w:spacing w:before="59" w:line="233" w:lineRule="auto"/>
              <w:ind w:left="30" w:right="28" w:firstLine="1"/>
            </w:pPr>
            <w:r>
              <w:rPr>
                <w:spacing w:val="24"/>
              </w:rPr>
              <w:t>更新采伐护路</w:t>
            </w:r>
            <w:r>
              <w:t xml:space="preserve"> </w:t>
            </w:r>
            <w:r>
              <w:rPr>
                <w:spacing w:val="-2"/>
              </w:rPr>
              <w:t>林审批</w:t>
            </w:r>
          </w:p>
        </w:tc>
        <w:tc>
          <w:tcPr>
            <w:tcW w:w="1379" w:type="dxa"/>
            <w:vAlign w:val="top"/>
          </w:tcPr>
          <w:p w14:paraId="65150CED">
            <w:pPr>
              <w:spacing w:line="268" w:lineRule="auto"/>
              <w:rPr>
                <w:rFonts w:ascii="Arial"/>
                <w:sz w:val="21"/>
              </w:rPr>
            </w:pPr>
          </w:p>
          <w:p w14:paraId="2D1B6C51">
            <w:pPr>
              <w:spacing w:line="269" w:lineRule="auto"/>
              <w:rPr>
                <w:rFonts w:ascii="Arial"/>
                <w:sz w:val="21"/>
              </w:rPr>
            </w:pPr>
          </w:p>
          <w:p w14:paraId="5D98ED52">
            <w:pPr>
              <w:spacing w:line="269" w:lineRule="auto"/>
              <w:rPr>
                <w:rFonts w:ascii="Arial"/>
                <w:sz w:val="21"/>
              </w:rPr>
            </w:pPr>
          </w:p>
          <w:p w14:paraId="02BDCF52">
            <w:pPr>
              <w:spacing w:line="269" w:lineRule="auto"/>
              <w:rPr>
                <w:rFonts w:ascii="Arial"/>
                <w:sz w:val="21"/>
              </w:rPr>
            </w:pPr>
          </w:p>
          <w:p w14:paraId="6A0A78A2">
            <w:pPr>
              <w:pStyle w:val="8"/>
              <w:spacing w:before="58" w:line="242" w:lineRule="auto"/>
              <w:ind w:left="30" w:right="27"/>
            </w:pPr>
            <w:r>
              <w:rPr>
                <w:rFonts w:hint="eastAsia"/>
                <w:spacing w:val="6"/>
                <w:lang w:eastAsia="zh-CN"/>
              </w:rPr>
              <w:t>津市市交通运输局</w:t>
            </w:r>
          </w:p>
        </w:tc>
        <w:tc>
          <w:tcPr>
            <w:tcW w:w="1364" w:type="dxa"/>
            <w:vAlign w:val="top"/>
          </w:tcPr>
          <w:p w14:paraId="605418EE">
            <w:pPr>
              <w:spacing w:line="258" w:lineRule="auto"/>
              <w:rPr>
                <w:rFonts w:ascii="Arial"/>
                <w:sz w:val="21"/>
              </w:rPr>
            </w:pPr>
          </w:p>
          <w:p w14:paraId="15D39ACE">
            <w:pPr>
              <w:spacing w:line="259" w:lineRule="auto"/>
              <w:rPr>
                <w:rFonts w:ascii="Arial"/>
                <w:sz w:val="21"/>
              </w:rPr>
            </w:pPr>
          </w:p>
          <w:p w14:paraId="4248AC91">
            <w:pPr>
              <w:spacing w:line="259" w:lineRule="auto"/>
              <w:rPr>
                <w:rFonts w:ascii="Arial"/>
                <w:sz w:val="21"/>
              </w:rPr>
            </w:pPr>
          </w:p>
          <w:p w14:paraId="5C9BE3D9">
            <w:pPr>
              <w:spacing w:line="259" w:lineRule="auto"/>
              <w:rPr>
                <w:rFonts w:ascii="Arial"/>
                <w:sz w:val="21"/>
              </w:rPr>
            </w:pPr>
          </w:p>
          <w:p w14:paraId="2ECFCC78">
            <w:pPr>
              <w:spacing w:line="259" w:lineRule="auto"/>
              <w:rPr>
                <w:rFonts w:ascii="Arial"/>
                <w:sz w:val="21"/>
              </w:rPr>
            </w:pPr>
          </w:p>
          <w:p w14:paraId="7294664B">
            <w:pPr>
              <w:spacing w:line="259" w:lineRule="auto"/>
              <w:rPr>
                <w:rFonts w:ascii="Arial"/>
                <w:sz w:val="21"/>
              </w:rPr>
            </w:pPr>
          </w:p>
          <w:p w14:paraId="2385F3EF">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5B7265F1">
            <w:pPr>
              <w:pStyle w:val="8"/>
              <w:spacing w:before="69" w:line="219" w:lineRule="auto"/>
              <w:ind w:left="491"/>
            </w:pPr>
            <w:r>
              <w:rPr>
                <w:b/>
                <w:bCs/>
                <w:spacing w:val="-4"/>
              </w:rPr>
              <w:t>1.《中华人民共和国公路法》</w:t>
            </w:r>
          </w:p>
          <w:p w14:paraId="65B87A0E">
            <w:pPr>
              <w:pStyle w:val="8"/>
              <w:spacing w:before="26" w:line="244" w:lineRule="auto"/>
              <w:ind w:left="117" w:right="108" w:firstLine="360"/>
            </w:pPr>
            <w:r>
              <w:t>第四十二条第二款  公路用地上的树木，不得</w:t>
            </w:r>
            <w:r>
              <w:rPr>
                <w:spacing w:val="-1"/>
              </w:rPr>
              <w:t>任意砍伐；需要更新砍伐的，应当经县级以上地方</w:t>
            </w:r>
            <w:r>
              <w:rPr>
                <w:rFonts w:hint="eastAsia"/>
                <w:spacing w:val="-1"/>
                <w:lang w:eastAsia="zh-CN"/>
              </w:rPr>
              <w:t>人民政府</w:t>
            </w:r>
            <w:r>
              <w:rPr>
                <w:spacing w:val="-1"/>
              </w:rPr>
              <w:t>交通主管部门同意后，依照《</w:t>
            </w:r>
            <w:r>
              <w:fldChar w:fldCharType="begin"/>
            </w:r>
            <w:r>
              <w:instrText xml:space="preserve"> HYPERLINK "https://lawv4.wkinfo.com.cn/document/show?collection=legislation&amp;aid=MTAxMDAxMzA0ODA=&amp;language=%E4%B8%AD%E6%96%87" </w:instrText>
            </w:r>
            <w:r>
              <w:fldChar w:fldCharType="separate"/>
            </w:r>
            <w:r>
              <w:rPr>
                <w:spacing w:val="-1"/>
              </w:rPr>
              <w:t>中华人民共和国森林法</w:t>
            </w:r>
            <w:r>
              <w:rPr>
                <w:spacing w:val="-1"/>
              </w:rPr>
              <w:fldChar w:fldCharType="end"/>
            </w:r>
            <w:r>
              <w:rPr>
                <w:spacing w:val="-1"/>
              </w:rPr>
              <w:t>》的规定办理审批手续，并完成更新补种任务。</w:t>
            </w:r>
          </w:p>
          <w:p w14:paraId="48FB6F13">
            <w:pPr>
              <w:pStyle w:val="8"/>
              <w:spacing w:before="4" w:line="219" w:lineRule="auto"/>
              <w:ind w:left="479"/>
            </w:pPr>
            <w:r>
              <w:rPr>
                <w:b/>
                <w:bCs/>
                <w:spacing w:val="-3"/>
              </w:rPr>
              <w:t>2.《公路安全保护条例》</w:t>
            </w:r>
          </w:p>
          <w:p w14:paraId="63555FD3">
            <w:pPr>
              <w:pStyle w:val="8"/>
              <w:spacing w:before="27" w:line="237" w:lineRule="auto"/>
              <w:ind w:left="117" w:right="108" w:firstLine="360"/>
              <w:jc w:val="both"/>
            </w:pPr>
            <w:r>
              <w:t>第二十六条  禁止破坏公路、公路用地范围内</w:t>
            </w:r>
            <w:r>
              <w:rPr>
                <w:spacing w:val="-1"/>
              </w:rPr>
              <w:t>的绿化物。需要更新采伐护路林的，应当向公路管理机构</w:t>
            </w:r>
            <w:r>
              <w:t xml:space="preserve"> 提出申请，经批准方可更新采伐，并及时补种</w:t>
            </w:r>
            <w:r>
              <w:rPr>
                <w:spacing w:val="-1"/>
              </w:rPr>
              <w:t>；不能及时补种的，应当交纳补种所需费用，由公路管理机构</w:t>
            </w:r>
            <w:r>
              <w:t xml:space="preserve"> </w:t>
            </w:r>
            <w:r>
              <w:rPr>
                <w:spacing w:val="-6"/>
              </w:rPr>
              <w:t>代为补种。</w:t>
            </w:r>
          </w:p>
          <w:p w14:paraId="67FB4B67">
            <w:pPr>
              <w:pStyle w:val="8"/>
              <w:spacing w:before="26" w:line="232" w:lineRule="auto"/>
              <w:ind w:left="118" w:right="108" w:firstLine="359"/>
            </w:pPr>
            <w:r>
              <w:t>第六十一条  违反本条例的规定，未经批准更</w:t>
            </w:r>
            <w:r>
              <w:rPr>
                <w:spacing w:val="-1"/>
              </w:rPr>
              <w:t>新采伐护路林的，由公路管理机构责令补种，没收违法所</w:t>
            </w:r>
            <w:r>
              <w:t xml:space="preserve"> </w:t>
            </w:r>
            <w:r>
              <w:rPr>
                <w:spacing w:val="-3"/>
              </w:rPr>
              <w:t>得，并处采伐林木价值</w:t>
            </w:r>
            <w:r>
              <w:rPr>
                <w:spacing w:val="-36"/>
              </w:rPr>
              <w:t xml:space="preserve"> </w:t>
            </w:r>
            <w:r>
              <w:rPr>
                <w:spacing w:val="-3"/>
              </w:rPr>
              <w:t>3</w:t>
            </w:r>
            <w:r>
              <w:rPr>
                <w:spacing w:val="-36"/>
              </w:rPr>
              <w:t xml:space="preserve"> </w:t>
            </w:r>
            <w:r>
              <w:rPr>
                <w:spacing w:val="-3"/>
              </w:rPr>
              <w:t>倍以上</w:t>
            </w:r>
            <w:r>
              <w:rPr>
                <w:spacing w:val="-36"/>
              </w:rPr>
              <w:t xml:space="preserve"> </w:t>
            </w:r>
            <w:r>
              <w:rPr>
                <w:spacing w:val="-3"/>
              </w:rPr>
              <w:t>5</w:t>
            </w:r>
            <w:r>
              <w:rPr>
                <w:spacing w:val="-37"/>
              </w:rPr>
              <w:t xml:space="preserve"> </w:t>
            </w:r>
            <w:r>
              <w:rPr>
                <w:spacing w:val="-3"/>
              </w:rPr>
              <w:t>倍以下的罚款。</w:t>
            </w:r>
          </w:p>
          <w:p w14:paraId="211DE528">
            <w:pPr>
              <w:pStyle w:val="8"/>
              <w:spacing w:before="26" w:line="208" w:lineRule="auto"/>
              <w:ind w:left="481"/>
            </w:pPr>
            <w:r>
              <w:rPr>
                <w:b/>
                <w:bCs/>
                <w:spacing w:val="-3"/>
              </w:rPr>
              <w:t>3.《路政管理规定》（交通运输部令</w:t>
            </w:r>
            <w:r>
              <w:rPr>
                <w:spacing w:val="-35"/>
              </w:rPr>
              <w:t xml:space="preserve"> </w:t>
            </w:r>
            <w:r>
              <w:rPr>
                <w:b/>
                <w:bCs/>
                <w:spacing w:val="-3"/>
              </w:rPr>
              <w:t>201</w:t>
            </w:r>
            <w:r>
              <w:rPr>
                <w:b/>
                <w:bCs/>
                <w:spacing w:val="-4"/>
              </w:rPr>
              <w:t>6</w:t>
            </w:r>
            <w:r>
              <w:rPr>
                <w:spacing w:val="-38"/>
              </w:rPr>
              <w:t xml:space="preserve"> </w:t>
            </w:r>
            <w:r>
              <w:rPr>
                <w:b/>
                <w:bCs/>
                <w:spacing w:val="-4"/>
              </w:rPr>
              <w:t>年第</w:t>
            </w:r>
            <w:r>
              <w:rPr>
                <w:spacing w:val="-36"/>
              </w:rPr>
              <w:t xml:space="preserve"> </w:t>
            </w:r>
            <w:r>
              <w:rPr>
                <w:b/>
                <w:bCs/>
                <w:spacing w:val="-4"/>
              </w:rPr>
              <w:t>81</w:t>
            </w:r>
            <w:r>
              <w:rPr>
                <w:spacing w:val="-32"/>
              </w:rPr>
              <w:t xml:space="preserve"> </w:t>
            </w:r>
            <w:r>
              <w:rPr>
                <w:b/>
                <w:bCs/>
                <w:spacing w:val="-4"/>
              </w:rPr>
              <w:t>号）</w:t>
            </w:r>
          </w:p>
          <w:p w14:paraId="5A16B18B">
            <w:pPr>
              <w:pStyle w:val="8"/>
              <w:spacing w:before="1" w:line="251" w:lineRule="auto"/>
              <w:ind w:left="122" w:right="108" w:firstLine="355"/>
            </w:pPr>
            <w:r>
              <w:t>第十七条  更新砍伐公路用地上的树木，应当</w:t>
            </w:r>
            <w:r>
              <w:rPr>
                <w:spacing w:val="-1"/>
              </w:rPr>
              <w:t>依照《</w:t>
            </w:r>
            <w:r>
              <w:fldChar w:fldCharType="begin"/>
            </w:r>
            <w:r>
              <w:instrText xml:space="preserve"> HYPERLINK "https://lawv4.wkinfo.com.cn/document/show?collection=legislation&amp;aid=MTAxMDAxMjE2NzE=&amp;language=%E4%B8%AD%E6%96%87" </w:instrText>
            </w:r>
            <w:r>
              <w:fldChar w:fldCharType="separate"/>
            </w:r>
            <w:r>
              <w:rPr>
                <w:spacing w:val="-1"/>
              </w:rPr>
              <w:t>公路法</w:t>
            </w:r>
            <w:r>
              <w:rPr>
                <w:spacing w:val="-1"/>
              </w:rPr>
              <w:fldChar w:fldCharType="end"/>
            </w:r>
            <w:r>
              <w:rPr>
                <w:spacing w:val="-1"/>
              </w:rPr>
              <w:t>》</w:t>
            </w:r>
            <w:r>
              <w:fldChar w:fldCharType="begin"/>
            </w:r>
            <w:r>
              <w:instrText xml:space="preserve"> HYPERLINK "https://lawv4.wkinfo.com.cn/document/show?collection=legislation&amp;aid=MTAxMDAxMjE2NzE=&amp;language=%E4%B8%AD%E6%96%87" </w:instrText>
            </w:r>
            <w:r>
              <w:fldChar w:fldCharType="separate"/>
            </w:r>
            <w:r>
              <w:rPr>
                <w:spacing w:val="-1"/>
              </w:rPr>
              <w:t>第四十二条第二款</w:t>
            </w:r>
            <w:r>
              <w:rPr>
                <w:spacing w:val="-1"/>
              </w:rPr>
              <w:fldChar w:fldCharType="end"/>
            </w:r>
            <w:r>
              <w:rPr>
                <w:spacing w:val="-1"/>
              </w:rPr>
              <w:t>的规定，事先向交通主</w:t>
            </w:r>
            <w:r>
              <w:t xml:space="preserve"> </w:t>
            </w:r>
            <w:r>
              <w:rPr>
                <w:spacing w:val="-2"/>
              </w:rPr>
              <w:t>管部门或者其设置的公路管理机构提交申请书。</w:t>
            </w:r>
          </w:p>
          <w:p w14:paraId="1DBFCE48">
            <w:pPr>
              <w:pStyle w:val="8"/>
              <w:spacing w:before="27" w:line="219" w:lineRule="auto"/>
              <w:ind w:left="478"/>
            </w:pPr>
            <w:r>
              <w:rPr>
                <w:spacing w:val="-3"/>
              </w:rPr>
              <w:t>本条前款规定的申请书包括以下主要内容：</w:t>
            </w:r>
          </w:p>
          <w:p w14:paraId="2AB2897B">
            <w:pPr>
              <w:pStyle w:val="8"/>
              <w:numPr>
                <w:ilvl w:val="0"/>
                <w:numId w:val="1"/>
              </w:numPr>
              <w:spacing w:before="27" w:line="221" w:lineRule="auto"/>
              <w:ind w:left="509"/>
              <w:rPr>
                <w:spacing w:val="-10"/>
              </w:rPr>
            </w:pPr>
            <w:r>
              <w:rPr>
                <w:spacing w:val="-10"/>
              </w:rPr>
              <w:t>主要理由；</w:t>
            </w:r>
          </w:p>
          <w:p w14:paraId="35CBD445">
            <w:pPr>
              <w:pStyle w:val="8"/>
              <w:spacing w:before="68" w:line="219" w:lineRule="auto"/>
              <w:ind w:left="509"/>
            </w:pPr>
            <w:r>
              <w:rPr>
                <w:spacing w:val="-3"/>
              </w:rPr>
              <w:t>(二)地点(公路名称、桩号)；</w:t>
            </w:r>
          </w:p>
          <w:p w14:paraId="00996702">
            <w:pPr>
              <w:pStyle w:val="8"/>
              <w:spacing w:before="26" w:line="219" w:lineRule="auto"/>
              <w:ind w:left="509"/>
            </w:pPr>
            <w:r>
              <w:rPr>
                <w:spacing w:val="-7"/>
              </w:rPr>
              <w:t>(三)树木的种类和数量；</w:t>
            </w:r>
          </w:p>
          <w:p w14:paraId="07A79B1E">
            <w:pPr>
              <w:pStyle w:val="8"/>
              <w:spacing w:before="26" w:line="219" w:lineRule="auto"/>
              <w:ind w:left="509"/>
            </w:pPr>
            <w:r>
              <w:rPr>
                <w:spacing w:val="-8"/>
              </w:rPr>
              <w:t>(四)安全保障措施；</w:t>
            </w:r>
          </w:p>
          <w:p w14:paraId="08EFF32F">
            <w:pPr>
              <w:pStyle w:val="8"/>
              <w:spacing w:before="26" w:line="221" w:lineRule="auto"/>
              <w:ind w:left="509"/>
            </w:pPr>
            <w:r>
              <w:rPr>
                <w:spacing w:val="-12"/>
              </w:rPr>
              <w:t>(五)时间；</w:t>
            </w:r>
          </w:p>
          <w:p w14:paraId="442B1999">
            <w:pPr>
              <w:pStyle w:val="8"/>
              <w:numPr>
                <w:ilvl w:val="0"/>
                <w:numId w:val="0"/>
              </w:numPr>
              <w:kinsoku w:val="0"/>
              <w:autoSpaceDE w:val="0"/>
              <w:autoSpaceDN w:val="0"/>
              <w:adjustRightInd w:val="0"/>
              <w:snapToGrid w:val="0"/>
              <w:spacing w:before="27" w:line="221" w:lineRule="auto"/>
              <w:ind w:firstLine="492" w:firstLineChars="300"/>
              <w:jc w:val="left"/>
              <w:textAlignment w:val="baseline"/>
              <w:rPr>
                <w:spacing w:val="-10"/>
              </w:rPr>
            </w:pPr>
            <w:r>
              <w:rPr>
                <w:spacing w:val="-8"/>
              </w:rPr>
              <w:t>(六)补种措施。</w:t>
            </w:r>
          </w:p>
          <w:p w14:paraId="026A43EA">
            <w:pPr>
              <w:pStyle w:val="8"/>
              <w:numPr>
                <w:ilvl w:val="0"/>
                <w:numId w:val="0"/>
              </w:numPr>
              <w:kinsoku w:val="0"/>
              <w:autoSpaceDE w:val="0"/>
              <w:autoSpaceDN w:val="0"/>
              <w:adjustRightInd w:val="0"/>
              <w:snapToGrid w:val="0"/>
              <w:spacing w:before="27" w:line="221" w:lineRule="auto"/>
              <w:jc w:val="left"/>
              <w:textAlignment w:val="baseline"/>
              <w:rPr>
                <w:spacing w:val="-10"/>
              </w:rPr>
            </w:pPr>
          </w:p>
        </w:tc>
        <w:tc>
          <w:tcPr>
            <w:tcW w:w="1159" w:type="dxa"/>
            <w:vAlign w:val="top"/>
          </w:tcPr>
          <w:p w14:paraId="5ADD0F7F">
            <w:pPr>
              <w:rPr>
                <w:rFonts w:ascii="Arial"/>
                <w:sz w:val="21"/>
              </w:rPr>
            </w:pPr>
          </w:p>
        </w:tc>
      </w:tr>
    </w:tbl>
    <w:p w14:paraId="50936C50">
      <w:pPr>
        <w:pStyle w:val="2"/>
        <w:spacing w:line="231" w:lineRule="exact"/>
        <w:rPr>
          <w:sz w:val="20"/>
        </w:rPr>
      </w:pPr>
    </w:p>
    <w:p w14:paraId="16B492D2">
      <w:pPr>
        <w:spacing w:line="121" w:lineRule="exact"/>
      </w:pPr>
    </w:p>
    <w:p w14:paraId="11A53986">
      <w:pPr>
        <w:pStyle w:val="2"/>
      </w:pPr>
    </w:p>
    <w:p w14:paraId="3882D56C">
      <w:pPr>
        <w:sectPr>
          <w:footerReference r:id="rId9" w:type="default"/>
          <w:pgSz w:w="16839" w:h="11906"/>
          <w:pgMar w:top="1012" w:right="1134" w:bottom="966" w:left="1134" w:header="0" w:footer="768" w:gutter="0"/>
          <w:cols w:space="720" w:num="1"/>
        </w:sectPr>
      </w:pPr>
    </w:p>
    <w:p w14:paraId="73C96E04">
      <w:pPr>
        <w:spacing w:line="121" w:lineRule="exact"/>
      </w:pPr>
    </w:p>
    <w:p w14:paraId="05A61DC5">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0948C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026BAA25">
            <w:pPr>
              <w:pStyle w:val="8"/>
              <w:spacing w:before="183" w:line="221" w:lineRule="auto"/>
              <w:ind w:left="175"/>
            </w:pPr>
            <w:r>
              <w:rPr>
                <w:b/>
                <w:bCs/>
                <w:spacing w:val="-4"/>
              </w:rPr>
              <w:t>序号</w:t>
            </w:r>
          </w:p>
        </w:tc>
        <w:tc>
          <w:tcPr>
            <w:tcW w:w="1290" w:type="dxa"/>
            <w:vAlign w:val="top"/>
          </w:tcPr>
          <w:p w14:paraId="67D61A23">
            <w:pPr>
              <w:pStyle w:val="8"/>
              <w:spacing w:before="183" w:line="220" w:lineRule="auto"/>
              <w:ind w:left="284"/>
            </w:pPr>
            <w:r>
              <w:rPr>
                <w:b/>
                <w:bCs/>
                <w:spacing w:val="-4"/>
              </w:rPr>
              <w:t>事项名称</w:t>
            </w:r>
          </w:p>
        </w:tc>
        <w:tc>
          <w:tcPr>
            <w:tcW w:w="1379" w:type="dxa"/>
            <w:vAlign w:val="top"/>
          </w:tcPr>
          <w:p w14:paraId="12BDD44B">
            <w:pPr>
              <w:pStyle w:val="8"/>
              <w:spacing w:before="183" w:line="219" w:lineRule="auto"/>
              <w:ind w:left="333"/>
            </w:pPr>
            <w:r>
              <w:rPr>
                <w:b/>
                <w:bCs/>
                <w:spacing w:val="-5"/>
              </w:rPr>
              <w:t>实施机关</w:t>
            </w:r>
          </w:p>
        </w:tc>
        <w:tc>
          <w:tcPr>
            <w:tcW w:w="1364" w:type="dxa"/>
            <w:vAlign w:val="top"/>
          </w:tcPr>
          <w:p w14:paraId="4315B19B">
            <w:pPr>
              <w:pStyle w:val="8"/>
              <w:spacing w:before="183" w:line="219" w:lineRule="auto"/>
              <w:ind w:left="322"/>
            </w:pPr>
            <w:r>
              <w:rPr>
                <w:b/>
                <w:bCs/>
                <w:spacing w:val="-4"/>
              </w:rPr>
              <w:t>承办机构</w:t>
            </w:r>
          </w:p>
        </w:tc>
        <w:tc>
          <w:tcPr>
            <w:tcW w:w="8667" w:type="dxa"/>
            <w:vAlign w:val="top"/>
          </w:tcPr>
          <w:p w14:paraId="516FEF2F">
            <w:pPr>
              <w:pStyle w:val="8"/>
              <w:spacing w:before="183" w:line="219" w:lineRule="auto"/>
              <w:ind w:left="3708"/>
            </w:pPr>
            <w:r>
              <w:rPr>
                <w:b/>
                <w:bCs/>
                <w:spacing w:val="-3"/>
              </w:rPr>
              <w:t>设定和实施依据</w:t>
            </w:r>
          </w:p>
        </w:tc>
        <w:tc>
          <w:tcPr>
            <w:tcW w:w="1159" w:type="dxa"/>
            <w:vAlign w:val="top"/>
          </w:tcPr>
          <w:p w14:paraId="6596CCB6">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6EF0E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1" w:hRule="atLeast"/>
        </w:trPr>
        <w:tc>
          <w:tcPr>
            <w:tcW w:w="705" w:type="dxa"/>
            <w:vAlign w:val="top"/>
          </w:tcPr>
          <w:p w14:paraId="2400AF5A">
            <w:pPr>
              <w:spacing w:line="241" w:lineRule="auto"/>
              <w:rPr>
                <w:rFonts w:ascii="Arial"/>
                <w:sz w:val="21"/>
              </w:rPr>
            </w:pPr>
          </w:p>
          <w:p w14:paraId="59D4F9FA">
            <w:pPr>
              <w:spacing w:line="241" w:lineRule="auto"/>
              <w:rPr>
                <w:rFonts w:ascii="Arial"/>
                <w:sz w:val="21"/>
              </w:rPr>
            </w:pPr>
          </w:p>
          <w:p w14:paraId="50DA8C91">
            <w:pPr>
              <w:spacing w:line="241" w:lineRule="auto"/>
              <w:rPr>
                <w:rFonts w:ascii="Arial"/>
                <w:sz w:val="21"/>
              </w:rPr>
            </w:pPr>
          </w:p>
          <w:p w14:paraId="51813089">
            <w:pPr>
              <w:spacing w:line="241" w:lineRule="auto"/>
              <w:rPr>
                <w:rFonts w:ascii="Arial"/>
                <w:sz w:val="21"/>
              </w:rPr>
            </w:pPr>
          </w:p>
          <w:p w14:paraId="5B91F4E8">
            <w:pPr>
              <w:spacing w:line="242" w:lineRule="auto"/>
              <w:rPr>
                <w:rFonts w:ascii="Arial"/>
                <w:sz w:val="21"/>
              </w:rPr>
            </w:pPr>
          </w:p>
          <w:p w14:paraId="78369FF3">
            <w:pPr>
              <w:spacing w:line="242" w:lineRule="auto"/>
              <w:rPr>
                <w:rFonts w:ascii="Arial"/>
                <w:sz w:val="21"/>
              </w:rPr>
            </w:pPr>
          </w:p>
          <w:p w14:paraId="35F09362">
            <w:pPr>
              <w:spacing w:line="242" w:lineRule="auto"/>
              <w:rPr>
                <w:rFonts w:ascii="Arial"/>
                <w:sz w:val="21"/>
              </w:rPr>
            </w:pPr>
          </w:p>
          <w:p w14:paraId="12D2ED4E">
            <w:pPr>
              <w:spacing w:line="242" w:lineRule="auto"/>
              <w:rPr>
                <w:rFonts w:ascii="Arial"/>
                <w:sz w:val="21"/>
              </w:rPr>
            </w:pPr>
          </w:p>
          <w:p w14:paraId="366420B7">
            <w:pPr>
              <w:spacing w:line="242" w:lineRule="auto"/>
              <w:rPr>
                <w:rFonts w:ascii="Arial"/>
                <w:sz w:val="21"/>
              </w:rPr>
            </w:pPr>
          </w:p>
          <w:p w14:paraId="5924F2A1">
            <w:pPr>
              <w:spacing w:line="242" w:lineRule="auto"/>
              <w:rPr>
                <w:rFonts w:ascii="Arial"/>
                <w:sz w:val="21"/>
              </w:rPr>
            </w:pPr>
          </w:p>
          <w:p w14:paraId="1A1CD1CD">
            <w:pPr>
              <w:pStyle w:val="8"/>
              <w:spacing w:before="58" w:line="184" w:lineRule="auto"/>
              <w:ind w:left="280"/>
              <w:rPr>
                <w:rFonts w:hint="eastAsia" w:eastAsia="宋体"/>
                <w:lang w:eastAsia="zh-CN"/>
              </w:rPr>
            </w:pPr>
            <w:r>
              <w:rPr>
                <w:rFonts w:hint="eastAsia"/>
                <w:spacing w:val="-10"/>
                <w:lang w:val="en-US" w:eastAsia="zh-CN"/>
              </w:rPr>
              <w:t>7</w:t>
            </w:r>
          </w:p>
        </w:tc>
        <w:tc>
          <w:tcPr>
            <w:tcW w:w="1290" w:type="dxa"/>
            <w:vAlign w:val="top"/>
          </w:tcPr>
          <w:p w14:paraId="5361D91A">
            <w:pPr>
              <w:spacing w:line="252" w:lineRule="auto"/>
              <w:rPr>
                <w:rFonts w:ascii="Arial"/>
                <w:sz w:val="21"/>
              </w:rPr>
            </w:pPr>
          </w:p>
          <w:p w14:paraId="3AEF85F6">
            <w:pPr>
              <w:spacing w:line="252" w:lineRule="auto"/>
              <w:rPr>
                <w:rFonts w:ascii="Arial"/>
                <w:sz w:val="21"/>
              </w:rPr>
            </w:pPr>
          </w:p>
          <w:p w14:paraId="33876218">
            <w:pPr>
              <w:spacing w:line="252" w:lineRule="auto"/>
              <w:rPr>
                <w:rFonts w:ascii="Arial"/>
                <w:sz w:val="21"/>
              </w:rPr>
            </w:pPr>
          </w:p>
          <w:p w14:paraId="66ED4C56">
            <w:pPr>
              <w:spacing w:line="252" w:lineRule="auto"/>
              <w:rPr>
                <w:rFonts w:ascii="Arial"/>
                <w:sz w:val="21"/>
              </w:rPr>
            </w:pPr>
          </w:p>
          <w:p w14:paraId="1787AC89">
            <w:pPr>
              <w:spacing w:line="252" w:lineRule="auto"/>
              <w:rPr>
                <w:rFonts w:ascii="Arial"/>
                <w:sz w:val="21"/>
              </w:rPr>
            </w:pPr>
          </w:p>
          <w:p w14:paraId="0FA12D3F">
            <w:pPr>
              <w:spacing w:line="252" w:lineRule="auto"/>
              <w:rPr>
                <w:rFonts w:ascii="Arial"/>
                <w:sz w:val="21"/>
              </w:rPr>
            </w:pPr>
          </w:p>
          <w:p w14:paraId="454DE8F3">
            <w:pPr>
              <w:spacing w:line="252" w:lineRule="auto"/>
              <w:rPr>
                <w:rFonts w:ascii="Arial"/>
                <w:sz w:val="21"/>
              </w:rPr>
            </w:pPr>
          </w:p>
          <w:p w14:paraId="6AD5D303">
            <w:pPr>
              <w:spacing w:line="252" w:lineRule="auto"/>
              <w:rPr>
                <w:rFonts w:ascii="Arial"/>
                <w:sz w:val="21"/>
              </w:rPr>
            </w:pPr>
          </w:p>
          <w:p w14:paraId="53EBB77A">
            <w:pPr>
              <w:spacing w:line="253" w:lineRule="auto"/>
              <w:rPr>
                <w:rFonts w:ascii="Arial"/>
                <w:sz w:val="21"/>
              </w:rPr>
            </w:pPr>
          </w:p>
          <w:p w14:paraId="032C1128">
            <w:pPr>
              <w:pStyle w:val="8"/>
              <w:spacing w:before="59" w:line="233" w:lineRule="auto"/>
              <w:ind w:left="31" w:right="28" w:hanging="2"/>
            </w:pPr>
            <w:r>
              <w:rPr>
                <w:spacing w:val="24"/>
              </w:rPr>
              <w:t>道路旅客运输</w:t>
            </w:r>
            <w:r>
              <w:rPr>
                <w:spacing w:val="2"/>
              </w:rPr>
              <w:t xml:space="preserve"> </w:t>
            </w:r>
            <w:r>
              <w:rPr>
                <w:spacing w:val="-2"/>
              </w:rPr>
              <w:t>经营许可</w:t>
            </w:r>
          </w:p>
        </w:tc>
        <w:tc>
          <w:tcPr>
            <w:tcW w:w="1379" w:type="dxa"/>
            <w:vAlign w:val="top"/>
          </w:tcPr>
          <w:p w14:paraId="1BAFF53B">
            <w:pPr>
              <w:spacing w:line="252" w:lineRule="auto"/>
              <w:rPr>
                <w:rFonts w:ascii="Arial"/>
                <w:sz w:val="21"/>
              </w:rPr>
            </w:pPr>
          </w:p>
          <w:p w14:paraId="0A1EDBDB">
            <w:pPr>
              <w:spacing w:line="252" w:lineRule="auto"/>
              <w:rPr>
                <w:rFonts w:ascii="Arial"/>
                <w:sz w:val="21"/>
              </w:rPr>
            </w:pPr>
          </w:p>
          <w:p w14:paraId="35E4E915">
            <w:pPr>
              <w:spacing w:line="252" w:lineRule="auto"/>
              <w:rPr>
                <w:rFonts w:ascii="Arial"/>
                <w:sz w:val="21"/>
              </w:rPr>
            </w:pPr>
          </w:p>
          <w:p w14:paraId="5EAB8026">
            <w:pPr>
              <w:spacing w:line="252" w:lineRule="auto"/>
              <w:rPr>
                <w:rFonts w:ascii="Arial"/>
                <w:sz w:val="21"/>
              </w:rPr>
            </w:pPr>
          </w:p>
          <w:p w14:paraId="5D6A84A2">
            <w:pPr>
              <w:spacing w:line="252" w:lineRule="auto"/>
              <w:rPr>
                <w:rFonts w:ascii="Arial"/>
                <w:sz w:val="21"/>
              </w:rPr>
            </w:pPr>
          </w:p>
          <w:p w14:paraId="3976C076">
            <w:pPr>
              <w:spacing w:line="252" w:lineRule="auto"/>
              <w:rPr>
                <w:rFonts w:ascii="Arial"/>
                <w:sz w:val="21"/>
              </w:rPr>
            </w:pPr>
          </w:p>
          <w:p w14:paraId="311226FE">
            <w:pPr>
              <w:spacing w:line="252" w:lineRule="auto"/>
              <w:rPr>
                <w:rFonts w:ascii="Arial"/>
                <w:sz w:val="21"/>
              </w:rPr>
            </w:pPr>
          </w:p>
          <w:p w14:paraId="52AEA462">
            <w:pPr>
              <w:spacing w:line="252" w:lineRule="auto"/>
              <w:rPr>
                <w:rFonts w:ascii="Arial"/>
                <w:sz w:val="21"/>
              </w:rPr>
            </w:pPr>
          </w:p>
          <w:p w14:paraId="64848E2F">
            <w:pPr>
              <w:spacing w:line="253" w:lineRule="auto"/>
              <w:rPr>
                <w:rFonts w:ascii="Arial"/>
                <w:sz w:val="21"/>
              </w:rPr>
            </w:pPr>
          </w:p>
          <w:p w14:paraId="6805417B">
            <w:pPr>
              <w:pStyle w:val="8"/>
              <w:spacing w:before="58" w:line="233" w:lineRule="auto"/>
              <w:ind w:left="31" w:right="27"/>
              <w:rPr>
                <w:rFonts w:hint="eastAsia" w:eastAsia="宋体"/>
                <w:lang w:eastAsia="zh-CN"/>
              </w:rPr>
            </w:pPr>
            <w:r>
              <w:rPr>
                <w:rFonts w:hint="eastAsia"/>
                <w:spacing w:val="7"/>
                <w:lang w:eastAsia="zh-CN"/>
              </w:rPr>
              <w:t>津市市交通运输局</w:t>
            </w:r>
          </w:p>
        </w:tc>
        <w:tc>
          <w:tcPr>
            <w:tcW w:w="1364" w:type="dxa"/>
            <w:vAlign w:val="top"/>
          </w:tcPr>
          <w:p w14:paraId="1B3FC802">
            <w:pPr>
              <w:spacing w:line="265" w:lineRule="auto"/>
              <w:rPr>
                <w:rFonts w:ascii="Arial"/>
                <w:sz w:val="21"/>
              </w:rPr>
            </w:pPr>
          </w:p>
          <w:p w14:paraId="5F555126">
            <w:pPr>
              <w:spacing w:line="265" w:lineRule="auto"/>
              <w:rPr>
                <w:rFonts w:ascii="Arial"/>
                <w:sz w:val="21"/>
              </w:rPr>
            </w:pPr>
          </w:p>
          <w:p w14:paraId="72534E04">
            <w:pPr>
              <w:spacing w:line="265" w:lineRule="auto"/>
              <w:rPr>
                <w:rFonts w:ascii="Arial"/>
                <w:sz w:val="21"/>
              </w:rPr>
            </w:pPr>
          </w:p>
          <w:p w14:paraId="2394C22F">
            <w:pPr>
              <w:spacing w:line="265" w:lineRule="auto"/>
              <w:rPr>
                <w:rFonts w:ascii="Arial"/>
                <w:sz w:val="21"/>
              </w:rPr>
            </w:pPr>
          </w:p>
          <w:p w14:paraId="353D10E6">
            <w:pPr>
              <w:spacing w:line="265" w:lineRule="auto"/>
              <w:rPr>
                <w:rFonts w:ascii="Arial"/>
                <w:sz w:val="21"/>
              </w:rPr>
            </w:pPr>
          </w:p>
          <w:p w14:paraId="5A220D8F">
            <w:pPr>
              <w:spacing w:line="265" w:lineRule="auto"/>
              <w:rPr>
                <w:rFonts w:ascii="Arial"/>
                <w:sz w:val="21"/>
              </w:rPr>
            </w:pPr>
          </w:p>
          <w:p w14:paraId="0DF7798F">
            <w:pPr>
              <w:spacing w:line="266" w:lineRule="auto"/>
              <w:rPr>
                <w:rFonts w:ascii="Arial"/>
                <w:sz w:val="21"/>
              </w:rPr>
            </w:pPr>
          </w:p>
          <w:p w14:paraId="1CC9A8B0">
            <w:pPr>
              <w:spacing w:line="266" w:lineRule="auto"/>
              <w:rPr>
                <w:rFonts w:ascii="Arial"/>
                <w:sz w:val="21"/>
              </w:rPr>
            </w:pPr>
          </w:p>
          <w:p w14:paraId="501171E9">
            <w:pPr>
              <w:spacing w:line="266" w:lineRule="auto"/>
              <w:rPr>
                <w:rFonts w:ascii="Arial"/>
                <w:sz w:val="21"/>
              </w:rPr>
            </w:pPr>
          </w:p>
          <w:p w14:paraId="761627B3">
            <w:pPr>
              <w:pStyle w:val="8"/>
              <w:spacing w:before="58"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45DBDBC5">
            <w:pPr>
              <w:pStyle w:val="8"/>
              <w:spacing w:before="69" w:line="219" w:lineRule="auto"/>
              <w:ind w:left="491"/>
            </w:pPr>
            <w:r>
              <w:rPr>
                <w:b/>
                <w:bCs/>
                <w:spacing w:val="-3"/>
              </w:rPr>
              <w:t>1.《中华人民共和国道路运输条例》</w:t>
            </w:r>
          </w:p>
          <w:p w14:paraId="729C9D21">
            <w:pPr>
              <w:pStyle w:val="8"/>
              <w:spacing w:before="25" w:line="233" w:lineRule="auto"/>
              <w:ind w:left="141" w:right="108" w:firstLine="336"/>
            </w:pPr>
            <w:r>
              <w:t>第十条  申请从事客运经营的，应当依法向市</w:t>
            </w:r>
            <w:r>
              <w:rPr>
                <w:spacing w:val="-1"/>
              </w:rPr>
              <w:t>场监督管理部门办理有关登记手续后，按照下列规定提出</w:t>
            </w:r>
            <w:r>
              <w:t xml:space="preserve"> </w:t>
            </w:r>
            <w:r>
              <w:rPr>
                <w:spacing w:val="-3"/>
              </w:rPr>
              <w:t>申请并提交符合本条例第八条  规定条件的相关材料：</w:t>
            </w:r>
          </w:p>
          <w:p w14:paraId="0BBF0F07">
            <w:pPr>
              <w:pStyle w:val="8"/>
              <w:spacing w:before="26" w:line="233" w:lineRule="auto"/>
              <w:ind w:left="133" w:right="108" w:firstLine="376"/>
            </w:pPr>
            <w:r>
              <w:rPr>
                <w:spacing w:val="-1"/>
              </w:rPr>
              <w:t>(一)从事县级行政区域内和毗邻县行政区域间客运经营的，向所在地县级人民</w:t>
            </w:r>
            <w:r>
              <w:rPr>
                <w:spacing w:val="-2"/>
              </w:rPr>
              <w:t>政府交通运输主管部门提</w:t>
            </w:r>
            <w:r>
              <w:t xml:space="preserve"> </w:t>
            </w:r>
            <w:r>
              <w:rPr>
                <w:spacing w:val="-13"/>
              </w:rPr>
              <w:t>出申请；</w:t>
            </w:r>
          </w:p>
          <w:p w14:paraId="3BC69F16">
            <w:pPr>
              <w:pStyle w:val="8"/>
              <w:spacing w:before="25" w:line="233" w:lineRule="auto"/>
              <w:ind w:left="117" w:right="108" w:firstLine="392"/>
            </w:pPr>
            <w:r>
              <w:rPr>
                <w:spacing w:val="-1"/>
              </w:rPr>
              <w:t>(二)从事省际、市际、县际(除毗邻县行政区域间外)客运经营的，向所在地设区</w:t>
            </w:r>
            <w:r>
              <w:rPr>
                <w:spacing w:val="-2"/>
              </w:rPr>
              <w:t>的市级人民政府交通运</w:t>
            </w:r>
            <w:r>
              <w:t xml:space="preserve"> </w:t>
            </w:r>
            <w:r>
              <w:rPr>
                <w:spacing w:val="-5"/>
              </w:rPr>
              <w:t>输主管部门提出申请；</w:t>
            </w:r>
          </w:p>
          <w:p w14:paraId="56724510">
            <w:pPr>
              <w:pStyle w:val="8"/>
              <w:spacing w:before="25" w:line="219" w:lineRule="auto"/>
              <w:ind w:left="509"/>
            </w:pPr>
            <w:r>
              <w:rPr>
                <w:spacing w:val="-2"/>
              </w:rPr>
              <w:t>(三)在直辖市申请从事客运经营的，向所在地直辖市人民政府确定的交通运输主管部门提出申请。</w:t>
            </w:r>
          </w:p>
          <w:p w14:paraId="5A99F064">
            <w:pPr>
              <w:pStyle w:val="8"/>
              <w:spacing w:before="27" w:line="237" w:lineRule="auto"/>
              <w:ind w:left="117" w:right="108" w:firstLine="361"/>
              <w:jc w:val="both"/>
            </w:pPr>
            <w:r>
              <w:rPr>
                <w:spacing w:val="-1"/>
              </w:rPr>
              <w:t>依照前款规定收到申请的交通运输主管部门，应当自受理申请之</w:t>
            </w:r>
            <w:r>
              <w:rPr>
                <w:spacing w:val="-2"/>
              </w:rPr>
              <w:t>日起</w:t>
            </w:r>
            <w:r>
              <w:rPr>
                <w:spacing w:val="-37"/>
              </w:rPr>
              <w:t xml:space="preserve"> </w:t>
            </w:r>
            <w:r>
              <w:rPr>
                <w:spacing w:val="-2"/>
              </w:rPr>
              <w:t>20 日内审查完毕，作出许可或者</w:t>
            </w:r>
            <w:r>
              <w:t xml:space="preserve">  不予许可的决定。予以许可的，向申请人颁发道路</w:t>
            </w:r>
            <w:r>
              <w:rPr>
                <w:spacing w:val="-1"/>
              </w:rPr>
              <w:t>运输经营许可证，并向申请人投入运输的车辆配发车辆营</w:t>
            </w:r>
            <w:r>
              <w:t xml:space="preserve"> </w:t>
            </w:r>
            <w:r>
              <w:rPr>
                <w:spacing w:val="-2"/>
              </w:rPr>
              <w:t>运证；不予许可的，应当书面通知申请人并说明理由。</w:t>
            </w:r>
          </w:p>
          <w:p w14:paraId="3EAACC1B">
            <w:pPr>
              <w:pStyle w:val="8"/>
              <w:spacing w:before="28" w:line="239" w:lineRule="auto"/>
              <w:ind w:left="119" w:right="108" w:firstLine="357"/>
              <w:jc w:val="both"/>
            </w:pPr>
            <w:r>
              <w:t>对从事省际和市际客运经营的申请，收到申请的</w:t>
            </w:r>
            <w:r>
              <w:rPr>
                <w:spacing w:val="-1"/>
              </w:rPr>
              <w:t>交通运输主管部门依照本条  第二款规定颁发道路运输</w:t>
            </w:r>
            <w:r>
              <w:t xml:space="preserve"> 经营许可证前，应当与运输线路目的地的相应</w:t>
            </w:r>
            <w:r>
              <w:rPr>
                <w:spacing w:val="-1"/>
              </w:rPr>
              <w:t>交通运输主管部门协商，协商不成的，应当按程序报省、自治</w:t>
            </w:r>
            <w:r>
              <w:t xml:space="preserve"> 区、直辖市人民政府交通运输主管部门协商决</w:t>
            </w:r>
            <w:r>
              <w:rPr>
                <w:spacing w:val="-1"/>
              </w:rPr>
              <w:t>定。对从事设区的市内毗邻县客运经营的申请，有关交通运输</w:t>
            </w:r>
            <w:r>
              <w:t xml:space="preserve"> </w:t>
            </w:r>
            <w:r>
              <w:rPr>
                <w:spacing w:val="-1"/>
              </w:rPr>
              <w:t>主管部门应当进行协商，协商不成的，报所在地市级人民政府交通运输主管部门决定。</w:t>
            </w:r>
          </w:p>
          <w:p w14:paraId="049A6A43">
            <w:pPr>
              <w:pStyle w:val="8"/>
              <w:spacing w:before="26" w:line="219" w:lineRule="auto"/>
              <w:ind w:left="479"/>
            </w:pPr>
            <w:r>
              <w:rPr>
                <w:b/>
                <w:bCs/>
                <w:spacing w:val="-3"/>
              </w:rPr>
              <w:t>2.《道路旅客运输及客运站管理规定》（交通运输部令</w:t>
            </w:r>
            <w:r>
              <w:rPr>
                <w:spacing w:val="-35"/>
              </w:rPr>
              <w:t xml:space="preserve"> </w:t>
            </w:r>
            <w:r>
              <w:rPr>
                <w:b/>
                <w:bCs/>
                <w:spacing w:val="-3"/>
              </w:rPr>
              <w:t>2023</w:t>
            </w:r>
            <w:r>
              <w:rPr>
                <w:spacing w:val="-38"/>
              </w:rPr>
              <w:t xml:space="preserve"> </w:t>
            </w:r>
            <w:r>
              <w:rPr>
                <w:b/>
                <w:bCs/>
                <w:spacing w:val="-3"/>
              </w:rPr>
              <w:t>年第</w:t>
            </w:r>
            <w:r>
              <w:rPr>
                <w:spacing w:val="-22"/>
              </w:rPr>
              <w:t xml:space="preserve"> </w:t>
            </w:r>
            <w:r>
              <w:rPr>
                <w:b/>
                <w:bCs/>
                <w:spacing w:val="-4"/>
              </w:rPr>
              <w:t>12</w:t>
            </w:r>
            <w:r>
              <w:rPr>
                <w:spacing w:val="-34"/>
              </w:rPr>
              <w:t xml:space="preserve"> </w:t>
            </w:r>
            <w:r>
              <w:rPr>
                <w:b/>
                <w:bCs/>
                <w:spacing w:val="-4"/>
              </w:rPr>
              <w:t>号）</w:t>
            </w:r>
          </w:p>
          <w:p w14:paraId="131C354F">
            <w:pPr>
              <w:pStyle w:val="8"/>
              <w:spacing w:before="26" w:line="219" w:lineRule="auto"/>
              <w:ind w:left="477"/>
            </w:pPr>
            <w:r>
              <w:t>第十二条  申请从事道路客运经营的，应当依法</w:t>
            </w:r>
            <w:r>
              <w:rPr>
                <w:spacing w:val="-1"/>
              </w:rPr>
              <w:t>向市场监督管理部门办理有关登记手续后，按照下列规</w:t>
            </w:r>
          </w:p>
          <w:p w14:paraId="1594D948">
            <w:pPr>
              <w:pStyle w:val="8"/>
              <w:spacing w:before="28" w:line="219" w:lineRule="auto"/>
              <w:ind w:left="122"/>
            </w:pPr>
            <w:r>
              <w:rPr>
                <w:spacing w:val="-9"/>
              </w:rPr>
              <w:t>定提出申请：</w:t>
            </w:r>
          </w:p>
          <w:p w14:paraId="26F97F55">
            <w:pPr>
              <w:pStyle w:val="8"/>
              <w:spacing w:before="25" w:line="233" w:lineRule="auto"/>
              <w:ind w:left="138" w:right="108" w:firstLine="349"/>
            </w:pPr>
            <w:r>
              <w:rPr>
                <w:spacing w:val="-1"/>
              </w:rPr>
              <w:t>（一）从事一类、二类、三类客运班线经营或者包车客运经营的，向所在地设区的市级交通运输主管部</w:t>
            </w:r>
            <w:r>
              <w:rPr>
                <w:spacing w:val="10"/>
              </w:rPr>
              <w:t xml:space="preserve"> </w:t>
            </w:r>
            <w:r>
              <w:rPr>
                <w:spacing w:val="-10"/>
              </w:rPr>
              <w:t>门提出申请；</w:t>
            </w:r>
          </w:p>
          <w:p w14:paraId="6F9E22EC">
            <w:pPr>
              <w:pStyle w:val="8"/>
              <w:spacing w:before="27" w:line="219" w:lineRule="auto"/>
              <w:ind w:left="487"/>
              <w:rPr>
                <w:spacing w:val="-2"/>
              </w:rPr>
            </w:pPr>
            <w:r>
              <w:rPr>
                <w:spacing w:val="-1"/>
              </w:rPr>
              <w:t>（二）从事四类客运班线经营的，向所在地县</w:t>
            </w:r>
            <w:r>
              <w:rPr>
                <w:spacing w:val="-2"/>
              </w:rPr>
              <w:t>级交通运输主管部门提出申请。</w:t>
            </w:r>
          </w:p>
          <w:p w14:paraId="66E53A7E">
            <w:pPr>
              <w:pStyle w:val="8"/>
              <w:spacing w:before="67" w:line="219" w:lineRule="auto"/>
              <w:ind w:firstLine="356" w:firstLineChars="200"/>
            </w:pPr>
            <w:r>
              <w:rPr>
                <w:spacing w:val="-1"/>
              </w:rPr>
              <w:t>在直辖市申请从事道路客运经营的，应当向直辖市人民政府确定的交通运输主管部门提出申请。</w:t>
            </w:r>
          </w:p>
          <w:p w14:paraId="32C2C609">
            <w:pPr>
              <w:pStyle w:val="8"/>
              <w:spacing w:before="27" w:line="219" w:lineRule="auto"/>
              <w:ind w:firstLine="356" w:firstLineChars="200"/>
              <w:rPr>
                <w:spacing w:val="-2"/>
              </w:rPr>
            </w:pPr>
            <w:r>
              <w:rPr>
                <w:spacing w:val="-1"/>
              </w:rPr>
              <w:t>省级人民政府交通运输主管部门对省内包车客运实行分类管理的，对从事市际包车客运、县际包车客运</w:t>
            </w:r>
            <w:r>
              <w:rPr>
                <w:spacing w:val="17"/>
              </w:rPr>
              <w:t xml:space="preserve"> </w:t>
            </w:r>
            <w:r>
              <w:t>经营的，向所在地设区的市级交通运输主管部门提</w:t>
            </w:r>
            <w:r>
              <w:rPr>
                <w:spacing w:val="-1"/>
              </w:rPr>
              <w:t>出申请；对从事县内包车客运经营的，向所在地县级交通</w:t>
            </w:r>
            <w:r>
              <w:t xml:space="preserve"> </w:t>
            </w:r>
            <w:r>
              <w:rPr>
                <w:spacing w:val="-3"/>
              </w:rPr>
              <w:t>运输主管部门提出申请。</w:t>
            </w:r>
          </w:p>
          <w:p w14:paraId="38F6770E">
            <w:pPr>
              <w:pStyle w:val="8"/>
              <w:spacing w:before="27" w:line="219" w:lineRule="auto"/>
              <w:ind w:left="487"/>
              <w:rPr>
                <w:spacing w:val="-2"/>
              </w:rPr>
            </w:pPr>
          </w:p>
          <w:p w14:paraId="51348508">
            <w:pPr>
              <w:pStyle w:val="8"/>
              <w:spacing w:before="27" w:line="219" w:lineRule="auto"/>
              <w:ind w:left="487"/>
              <w:rPr>
                <w:spacing w:val="-2"/>
              </w:rPr>
            </w:pPr>
          </w:p>
        </w:tc>
        <w:tc>
          <w:tcPr>
            <w:tcW w:w="1159" w:type="dxa"/>
            <w:vAlign w:val="top"/>
          </w:tcPr>
          <w:p w14:paraId="43468ECB">
            <w:pPr>
              <w:rPr>
                <w:rFonts w:ascii="Arial"/>
                <w:sz w:val="21"/>
              </w:rPr>
            </w:pPr>
          </w:p>
        </w:tc>
      </w:tr>
    </w:tbl>
    <w:p w14:paraId="6AFF5EE9">
      <w:pPr>
        <w:pStyle w:val="2"/>
      </w:pPr>
    </w:p>
    <w:p w14:paraId="7E813667">
      <w:pPr>
        <w:sectPr>
          <w:footerReference r:id="rId10" w:type="default"/>
          <w:pgSz w:w="16839" w:h="11906"/>
          <w:pgMar w:top="1012" w:right="1134" w:bottom="966" w:left="1134" w:header="0" w:footer="768" w:gutter="0"/>
          <w:cols w:space="720" w:num="1"/>
        </w:sectPr>
      </w:pPr>
    </w:p>
    <w:p w14:paraId="18D2275C">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337DF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3572F0A5">
            <w:pPr>
              <w:pStyle w:val="8"/>
              <w:spacing w:before="183" w:line="221" w:lineRule="auto"/>
              <w:ind w:left="175"/>
            </w:pPr>
            <w:r>
              <w:rPr>
                <w:b/>
                <w:bCs/>
                <w:spacing w:val="-4"/>
              </w:rPr>
              <w:t>序号</w:t>
            </w:r>
          </w:p>
        </w:tc>
        <w:tc>
          <w:tcPr>
            <w:tcW w:w="1290" w:type="dxa"/>
            <w:vAlign w:val="top"/>
          </w:tcPr>
          <w:p w14:paraId="3609CF16">
            <w:pPr>
              <w:pStyle w:val="8"/>
              <w:spacing w:before="183" w:line="220" w:lineRule="auto"/>
              <w:ind w:left="284"/>
            </w:pPr>
            <w:r>
              <w:rPr>
                <w:b/>
                <w:bCs/>
                <w:spacing w:val="-4"/>
              </w:rPr>
              <w:t>事项名称</w:t>
            </w:r>
          </w:p>
        </w:tc>
        <w:tc>
          <w:tcPr>
            <w:tcW w:w="1379" w:type="dxa"/>
            <w:vAlign w:val="top"/>
          </w:tcPr>
          <w:p w14:paraId="1DD3A721">
            <w:pPr>
              <w:pStyle w:val="8"/>
              <w:spacing w:before="183" w:line="219" w:lineRule="auto"/>
              <w:ind w:left="333"/>
            </w:pPr>
            <w:r>
              <w:rPr>
                <w:b/>
                <w:bCs/>
                <w:spacing w:val="-5"/>
              </w:rPr>
              <w:t>实施机关</w:t>
            </w:r>
          </w:p>
        </w:tc>
        <w:tc>
          <w:tcPr>
            <w:tcW w:w="1364" w:type="dxa"/>
            <w:vAlign w:val="top"/>
          </w:tcPr>
          <w:p w14:paraId="78F214DD">
            <w:pPr>
              <w:pStyle w:val="8"/>
              <w:spacing w:before="183" w:line="219" w:lineRule="auto"/>
              <w:ind w:left="322"/>
            </w:pPr>
            <w:r>
              <w:rPr>
                <w:b/>
                <w:bCs/>
                <w:spacing w:val="-4"/>
              </w:rPr>
              <w:t>承办机构</w:t>
            </w:r>
          </w:p>
        </w:tc>
        <w:tc>
          <w:tcPr>
            <w:tcW w:w="8667" w:type="dxa"/>
            <w:vAlign w:val="top"/>
          </w:tcPr>
          <w:p w14:paraId="6FEBABF4">
            <w:pPr>
              <w:pStyle w:val="8"/>
              <w:spacing w:before="183" w:line="219" w:lineRule="auto"/>
              <w:ind w:left="3708"/>
            </w:pPr>
            <w:r>
              <w:rPr>
                <w:b/>
                <w:bCs/>
                <w:spacing w:val="-3"/>
              </w:rPr>
              <w:t>设定和实施依据</w:t>
            </w:r>
          </w:p>
        </w:tc>
        <w:tc>
          <w:tcPr>
            <w:tcW w:w="1159" w:type="dxa"/>
            <w:vAlign w:val="top"/>
          </w:tcPr>
          <w:p w14:paraId="3B56C27F">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0816E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0" w:hRule="atLeast"/>
        </w:trPr>
        <w:tc>
          <w:tcPr>
            <w:tcW w:w="705" w:type="dxa"/>
            <w:vAlign w:val="top"/>
          </w:tcPr>
          <w:p w14:paraId="2BEA90E6">
            <w:pPr>
              <w:spacing w:line="288" w:lineRule="auto"/>
              <w:rPr>
                <w:rFonts w:ascii="Arial"/>
                <w:sz w:val="21"/>
              </w:rPr>
            </w:pPr>
          </w:p>
          <w:p w14:paraId="16A6F2CF">
            <w:pPr>
              <w:spacing w:line="288" w:lineRule="auto"/>
              <w:rPr>
                <w:rFonts w:ascii="Arial"/>
                <w:sz w:val="21"/>
              </w:rPr>
            </w:pPr>
          </w:p>
          <w:p w14:paraId="3C9D9154">
            <w:pPr>
              <w:spacing w:line="288" w:lineRule="auto"/>
              <w:rPr>
                <w:rFonts w:ascii="Arial"/>
                <w:sz w:val="21"/>
              </w:rPr>
            </w:pPr>
          </w:p>
          <w:p w14:paraId="7C772D6E">
            <w:pPr>
              <w:pStyle w:val="8"/>
              <w:spacing w:before="58" w:line="184" w:lineRule="auto"/>
              <w:ind w:left="280"/>
              <w:rPr>
                <w:rFonts w:hint="eastAsia" w:eastAsia="宋体"/>
                <w:lang w:eastAsia="zh-CN"/>
              </w:rPr>
            </w:pPr>
            <w:r>
              <w:rPr>
                <w:rFonts w:hint="eastAsia"/>
                <w:spacing w:val="-10"/>
                <w:lang w:val="en-US" w:eastAsia="zh-CN"/>
              </w:rPr>
              <w:t>8</w:t>
            </w:r>
          </w:p>
        </w:tc>
        <w:tc>
          <w:tcPr>
            <w:tcW w:w="1290" w:type="dxa"/>
            <w:vAlign w:val="top"/>
          </w:tcPr>
          <w:p w14:paraId="58A4C2EA">
            <w:pPr>
              <w:spacing w:line="358" w:lineRule="auto"/>
              <w:rPr>
                <w:rFonts w:ascii="Arial"/>
                <w:sz w:val="21"/>
              </w:rPr>
            </w:pPr>
          </w:p>
          <w:p w14:paraId="6A5B24FC">
            <w:pPr>
              <w:spacing w:line="359" w:lineRule="auto"/>
              <w:rPr>
                <w:rFonts w:ascii="Arial"/>
                <w:sz w:val="21"/>
              </w:rPr>
            </w:pPr>
          </w:p>
          <w:p w14:paraId="0227A746">
            <w:pPr>
              <w:pStyle w:val="8"/>
              <w:spacing w:before="59" w:line="233" w:lineRule="auto"/>
              <w:ind w:left="30" w:right="28" w:hanging="1"/>
            </w:pPr>
            <w:r>
              <w:rPr>
                <w:spacing w:val="24"/>
              </w:rPr>
              <w:t>道路旅客运输</w:t>
            </w:r>
            <w:r>
              <w:rPr>
                <w:spacing w:val="2"/>
              </w:rPr>
              <w:t xml:space="preserve"> </w:t>
            </w:r>
            <w:r>
              <w:rPr>
                <w:spacing w:val="-2"/>
              </w:rPr>
              <w:t>站经营许可</w:t>
            </w:r>
          </w:p>
        </w:tc>
        <w:tc>
          <w:tcPr>
            <w:tcW w:w="1379" w:type="dxa"/>
            <w:vAlign w:val="top"/>
          </w:tcPr>
          <w:p w14:paraId="3B2E49D4">
            <w:pPr>
              <w:spacing w:line="358" w:lineRule="auto"/>
              <w:rPr>
                <w:rFonts w:ascii="Arial"/>
                <w:sz w:val="21"/>
              </w:rPr>
            </w:pPr>
          </w:p>
          <w:p w14:paraId="688A8E68">
            <w:pPr>
              <w:spacing w:line="358" w:lineRule="auto"/>
              <w:rPr>
                <w:rFonts w:ascii="Arial"/>
                <w:sz w:val="21"/>
              </w:rPr>
            </w:pPr>
          </w:p>
          <w:p w14:paraId="3AC5D270">
            <w:pPr>
              <w:pStyle w:val="8"/>
              <w:spacing w:before="59" w:line="235" w:lineRule="auto"/>
              <w:ind w:left="48" w:right="27" w:hanging="19"/>
              <w:rPr>
                <w:rFonts w:hint="eastAsia" w:eastAsia="宋体"/>
                <w:lang w:eastAsia="zh-CN"/>
              </w:rPr>
            </w:pPr>
            <w:r>
              <w:rPr>
                <w:rFonts w:hint="eastAsia"/>
                <w:spacing w:val="8"/>
                <w:lang w:eastAsia="zh-CN"/>
              </w:rPr>
              <w:t>津市市交通运输局</w:t>
            </w:r>
          </w:p>
        </w:tc>
        <w:tc>
          <w:tcPr>
            <w:tcW w:w="1364" w:type="dxa"/>
            <w:vAlign w:val="top"/>
          </w:tcPr>
          <w:p w14:paraId="0560BA12">
            <w:pPr>
              <w:spacing w:line="278" w:lineRule="auto"/>
              <w:rPr>
                <w:rFonts w:ascii="Arial"/>
                <w:sz w:val="21"/>
              </w:rPr>
            </w:pPr>
          </w:p>
          <w:p w14:paraId="06260E1D">
            <w:pPr>
              <w:spacing w:line="279" w:lineRule="auto"/>
              <w:rPr>
                <w:rFonts w:ascii="Arial"/>
                <w:sz w:val="21"/>
              </w:rPr>
            </w:pPr>
          </w:p>
          <w:p w14:paraId="2B0D6000">
            <w:pPr>
              <w:spacing w:line="279" w:lineRule="auto"/>
              <w:rPr>
                <w:rFonts w:ascii="Arial"/>
                <w:sz w:val="21"/>
              </w:rPr>
            </w:pPr>
          </w:p>
          <w:p w14:paraId="7FD7092C">
            <w:pPr>
              <w:pStyle w:val="8"/>
              <w:spacing w:before="58"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4079981C">
            <w:pPr>
              <w:pStyle w:val="8"/>
              <w:spacing w:before="67" w:line="219" w:lineRule="auto"/>
              <w:ind w:left="491"/>
            </w:pPr>
            <w:r>
              <w:rPr>
                <w:b/>
                <w:bCs/>
                <w:spacing w:val="-3"/>
              </w:rPr>
              <w:t>1.《中华人民共和国道路运输条例》</w:t>
            </w:r>
          </w:p>
          <w:p w14:paraId="706C8BD9">
            <w:pPr>
              <w:pStyle w:val="8"/>
              <w:spacing w:before="27" w:line="239" w:lineRule="auto"/>
              <w:ind w:left="117" w:right="108" w:firstLine="360"/>
              <w:jc w:val="both"/>
            </w:pPr>
            <w:r>
              <w:t>第三十九条第一款  申请从事道路旅客运输站(</w:t>
            </w:r>
            <w:r>
              <w:rPr>
                <w:spacing w:val="-1"/>
              </w:rPr>
              <w:t>场)经营业务的，应当在依法向市场监督管理部门办理有</w:t>
            </w:r>
            <w:r>
              <w:t xml:space="preserve"> 关登记手续后，向所在地县级人民政府交通运输主管</w:t>
            </w:r>
            <w:r>
              <w:rPr>
                <w:spacing w:val="-1"/>
              </w:rPr>
              <w:t>部门提出申请，并附送符合本条例第三十六条  规定条</w:t>
            </w:r>
            <w:r>
              <w:t xml:space="preserve"> </w:t>
            </w:r>
            <w:r>
              <w:rPr>
                <w:spacing w:val="-1"/>
              </w:rPr>
              <w:t>件的相关材料。县级人民政府交通运输主管部门应当</w:t>
            </w:r>
            <w:r>
              <w:rPr>
                <w:spacing w:val="-2"/>
              </w:rPr>
              <w:t>自受理申请之日起</w:t>
            </w:r>
            <w:r>
              <w:rPr>
                <w:spacing w:val="-26"/>
              </w:rPr>
              <w:t xml:space="preserve"> </w:t>
            </w:r>
            <w:r>
              <w:rPr>
                <w:spacing w:val="-2"/>
              </w:rPr>
              <w:t>15 日内审查完毕，作出许可或者不</w:t>
            </w:r>
            <w:r>
              <w:t xml:space="preserve">  </w:t>
            </w:r>
            <w:r>
              <w:rPr>
                <w:spacing w:val="-2"/>
              </w:rPr>
              <w:t>予许可的决定，并书面通知申请人。</w:t>
            </w:r>
          </w:p>
          <w:p w14:paraId="02750C06">
            <w:pPr>
              <w:pStyle w:val="8"/>
              <w:spacing w:before="26" w:line="219" w:lineRule="auto"/>
              <w:ind w:left="479"/>
            </w:pPr>
            <w:r>
              <w:rPr>
                <w:b/>
                <w:bCs/>
                <w:spacing w:val="-3"/>
              </w:rPr>
              <w:t>2.《道路旅客运输及客运站管理规定》（交通运输部令</w:t>
            </w:r>
            <w:r>
              <w:rPr>
                <w:spacing w:val="-35"/>
              </w:rPr>
              <w:t xml:space="preserve"> </w:t>
            </w:r>
            <w:r>
              <w:rPr>
                <w:b/>
                <w:bCs/>
                <w:spacing w:val="-3"/>
              </w:rPr>
              <w:t>2023</w:t>
            </w:r>
            <w:r>
              <w:rPr>
                <w:spacing w:val="-38"/>
              </w:rPr>
              <w:t xml:space="preserve"> </w:t>
            </w:r>
            <w:r>
              <w:rPr>
                <w:b/>
                <w:bCs/>
                <w:spacing w:val="-3"/>
              </w:rPr>
              <w:t>年第</w:t>
            </w:r>
            <w:r>
              <w:rPr>
                <w:spacing w:val="-22"/>
              </w:rPr>
              <w:t xml:space="preserve"> </w:t>
            </w:r>
            <w:r>
              <w:rPr>
                <w:b/>
                <w:bCs/>
                <w:spacing w:val="-4"/>
              </w:rPr>
              <w:t>12</w:t>
            </w:r>
            <w:r>
              <w:rPr>
                <w:spacing w:val="-34"/>
              </w:rPr>
              <w:t xml:space="preserve"> </w:t>
            </w:r>
            <w:r>
              <w:rPr>
                <w:b/>
                <w:bCs/>
                <w:spacing w:val="-4"/>
              </w:rPr>
              <w:t>号）</w:t>
            </w:r>
          </w:p>
          <w:p w14:paraId="58DD43E6">
            <w:pPr>
              <w:pStyle w:val="8"/>
              <w:spacing w:before="25" w:line="233" w:lineRule="auto"/>
              <w:ind w:left="118" w:right="108" w:firstLine="359"/>
            </w:pPr>
            <w:r>
              <w:t>第六十九条第一款  客运站经营者应当按照交</w:t>
            </w:r>
            <w:r>
              <w:rPr>
                <w:spacing w:val="-1"/>
              </w:rPr>
              <w:t>通运输主管部门决定的许可事项从事客运站经营活动，不</w:t>
            </w:r>
            <w:r>
              <w:t xml:space="preserve"> </w:t>
            </w:r>
            <w:r>
              <w:rPr>
                <w:spacing w:val="-1"/>
              </w:rPr>
              <w:t>得转让、出租客运站经营许可证件，不得改变客运站基本用途和服务功能。</w:t>
            </w:r>
          </w:p>
        </w:tc>
        <w:tc>
          <w:tcPr>
            <w:tcW w:w="1159" w:type="dxa"/>
            <w:vAlign w:val="top"/>
          </w:tcPr>
          <w:p w14:paraId="5CFD0E0A">
            <w:pPr>
              <w:rPr>
                <w:rFonts w:ascii="Arial"/>
                <w:sz w:val="21"/>
              </w:rPr>
            </w:pPr>
          </w:p>
        </w:tc>
      </w:tr>
      <w:tr w14:paraId="7648D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2" w:hRule="atLeast"/>
        </w:trPr>
        <w:tc>
          <w:tcPr>
            <w:tcW w:w="705" w:type="dxa"/>
            <w:vAlign w:val="top"/>
          </w:tcPr>
          <w:p w14:paraId="26FE9DAB">
            <w:pPr>
              <w:spacing w:line="242" w:lineRule="auto"/>
              <w:rPr>
                <w:rFonts w:ascii="Arial"/>
                <w:sz w:val="21"/>
              </w:rPr>
            </w:pPr>
          </w:p>
          <w:p w14:paraId="2350A641">
            <w:pPr>
              <w:spacing w:line="242" w:lineRule="auto"/>
              <w:rPr>
                <w:rFonts w:ascii="Arial"/>
                <w:sz w:val="21"/>
              </w:rPr>
            </w:pPr>
          </w:p>
          <w:p w14:paraId="35886330">
            <w:pPr>
              <w:spacing w:line="242" w:lineRule="auto"/>
              <w:rPr>
                <w:rFonts w:ascii="Arial"/>
                <w:sz w:val="21"/>
              </w:rPr>
            </w:pPr>
          </w:p>
          <w:p w14:paraId="075724AE">
            <w:pPr>
              <w:spacing w:line="242" w:lineRule="auto"/>
              <w:rPr>
                <w:rFonts w:ascii="Arial"/>
                <w:sz w:val="21"/>
              </w:rPr>
            </w:pPr>
          </w:p>
          <w:p w14:paraId="18EFE4F1">
            <w:pPr>
              <w:spacing w:line="243" w:lineRule="auto"/>
              <w:rPr>
                <w:rFonts w:ascii="Arial"/>
                <w:sz w:val="21"/>
              </w:rPr>
            </w:pPr>
          </w:p>
          <w:p w14:paraId="5AEEFE6E">
            <w:pPr>
              <w:spacing w:line="243" w:lineRule="auto"/>
              <w:rPr>
                <w:rFonts w:ascii="Arial"/>
                <w:sz w:val="21"/>
              </w:rPr>
            </w:pPr>
          </w:p>
          <w:p w14:paraId="29D3DED1">
            <w:pPr>
              <w:spacing w:line="243" w:lineRule="auto"/>
              <w:rPr>
                <w:rFonts w:ascii="Arial"/>
                <w:sz w:val="21"/>
              </w:rPr>
            </w:pPr>
          </w:p>
          <w:p w14:paraId="7B96EB2B">
            <w:pPr>
              <w:spacing w:line="243" w:lineRule="auto"/>
              <w:rPr>
                <w:rFonts w:ascii="Arial"/>
                <w:sz w:val="21"/>
              </w:rPr>
            </w:pPr>
          </w:p>
          <w:p w14:paraId="599AE41D">
            <w:pPr>
              <w:spacing w:line="243" w:lineRule="auto"/>
              <w:rPr>
                <w:rFonts w:ascii="Arial"/>
                <w:sz w:val="21"/>
              </w:rPr>
            </w:pPr>
          </w:p>
          <w:p w14:paraId="5522A7DB">
            <w:pPr>
              <w:spacing w:line="243" w:lineRule="auto"/>
              <w:rPr>
                <w:rFonts w:ascii="Arial"/>
                <w:sz w:val="21"/>
              </w:rPr>
            </w:pPr>
          </w:p>
          <w:p w14:paraId="5A14D279">
            <w:pPr>
              <w:spacing w:line="243" w:lineRule="auto"/>
              <w:rPr>
                <w:rFonts w:ascii="Arial"/>
                <w:sz w:val="21"/>
              </w:rPr>
            </w:pPr>
          </w:p>
          <w:p w14:paraId="73E71A1C">
            <w:pPr>
              <w:pStyle w:val="8"/>
              <w:spacing w:before="59" w:line="184" w:lineRule="auto"/>
              <w:ind w:left="280"/>
              <w:rPr>
                <w:rFonts w:hint="eastAsia" w:eastAsia="宋体"/>
                <w:lang w:eastAsia="zh-CN"/>
              </w:rPr>
            </w:pPr>
            <w:r>
              <w:rPr>
                <w:rFonts w:hint="eastAsia"/>
                <w:spacing w:val="-10"/>
                <w:lang w:val="en-US" w:eastAsia="zh-CN"/>
              </w:rPr>
              <w:t>9</w:t>
            </w:r>
          </w:p>
        </w:tc>
        <w:tc>
          <w:tcPr>
            <w:tcW w:w="1290" w:type="dxa"/>
            <w:vAlign w:val="top"/>
          </w:tcPr>
          <w:p w14:paraId="7F2407DA">
            <w:pPr>
              <w:spacing w:line="255" w:lineRule="auto"/>
              <w:rPr>
                <w:rFonts w:ascii="Arial"/>
                <w:sz w:val="21"/>
              </w:rPr>
            </w:pPr>
          </w:p>
          <w:p w14:paraId="594C95E9">
            <w:pPr>
              <w:spacing w:line="255" w:lineRule="auto"/>
              <w:rPr>
                <w:rFonts w:ascii="Arial"/>
                <w:sz w:val="21"/>
              </w:rPr>
            </w:pPr>
          </w:p>
          <w:p w14:paraId="213D475E">
            <w:pPr>
              <w:spacing w:line="255" w:lineRule="auto"/>
              <w:rPr>
                <w:rFonts w:ascii="Arial"/>
                <w:sz w:val="21"/>
              </w:rPr>
            </w:pPr>
          </w:p>
          <w:p w14:paraId="2664C828">
            <w:pPr>
              <w:spacing w:line="255" w:lineRule="auto"/>
              <w:rPr>
                <w:rFonts w:ascii="Arial"/>
                <w:sz w:val="21"/>
              </w:rPr>
            </w:pPr>
          </w:p>
          <w:p w14:paraId="42653D94">
            <w:pPr>
              <w:spacing w:line="255" w:lineRule="auto"/>
              <w:rPr>
                <w:rFonts w:ascii="Arial"/>
                <w:sz w:val="21"/>
              </w:rPr>
            </w:pPr>
          </w:p>
          <w:p w14:paraId="1BC4528D">
            <w:pPr>
              <w:spacing w:line="256" w:lineRule="auto"/>
              <w:rPr>
                <w:rFonts w:ascii="Arial"/>
                <w:sz w:val="21"/>
              </w:rPr>
            </w:pPr>
          </w:p>
          <w:p w14:paraId="05CBD94E">
            <w:pPr>
              <w:spacing w:line="256" w:lineRule="auto"/>
              <w:rPr>
                <w:rFonts w:ascii="Arial"/>
                <w:sz w:val="21"/>
              </w:rPr>
            </w:pPr>
          </w:p>
          <w:p w14:paraId="3D625159">
            <w:pPr>
              <w:spacing w:line="256" w:lineRule="auto"/>
              <w:rPr>
                <w:rFonts w:ascii="Arial"/>
                <w:sz w:val="21"/>
              </w:rPr>
            </w:pPr>
          </w:p>
          <w:p w14:paraId="02CF1A22">
            <w:pPr>
              <w:pStyle w:val="8"/>
              <w:spacing w:before="59" w:line="242" w:lineRule="auto"/>
              <w:ind w:left="31" w:right="28" w:hanging="2"/>
              <w:jc w:val="both"/>
            </w:pPr>
            <w:r>
              <w:rPr>
                <w:spacing w:val="24"/>
              </w:rPr>
              <w:t>道路货物运输</w:t>
            </w:r>
            <w:r>
              <w:rPr>
                <w:spacing w:val="2"/>
              </w:rPr>
              <w:t xml:space="preserve"> </w:t>
            </w:r>
            <w:r>
              <w:rPr>
                <w:spacing w:val="-7"/>
              </w:rPr>
              <w:t>经营许可（除使</w:t>
            </w:r>
            <w:r>
              <w:rPr>
                <w:spacing w:val="3"/>
              </w:rPr>
              <w:t xml:space="preserve"> </w:t>
            </w:r>
            <w:r>
              <w:rPr>
                <w:spacing w:val="1"/>
              </w:rPr>
              <w:t>用</w:t>
            </w:r>
            <w:r>
              <w:rPr>
                <w:spacing w:val="-23"/>
              </w:rPr>
              <w:t xml:space="preserve"> </w:t>
            </w:r>
            <w:r>
              <w:rPr>
                <w:spacing w:val="1"/>
              </w:rPr>
              <w:t>4500</w:t>
            </w:r>
            <w:r>
              <w:rPr>
                <w:spacing w:val="-21"/>
              </w:rPr>
              <w:t xml:space="preserve"> </w:t>
            </w:r>
            <w:r>
              <w:rPr>
                <w:spacing w:val="1"/>
              </w:rPr>
              <w:t>千克及</w:t>
            </w:r>
            <w:r>
              <w:t xml:space="preserve"> </w:t>
            </w:r>
            <w:r>
              <w:rPr>
                <w:spacing w:val="24"/>
              </w:rPr>
              <w:t>以下普通货运</w:t>
            </w:r>
            <w:r>
              <w:t xml:space="preserve"> </w:t>
            </w:r>
            <w:r>
              <w:rPr>
                <w:spacing w:val="24"/>
              </w:rPr>
              <w:t>车辆从事普通</w:t>
            </w:r>
            <w:r>
              <w:t xml:space="preserve"> </w:t>
            </w:r>
            <w:r>
              <w:rPr>
                <w:spacing w:val="-3"/>
              </w:rPr>
              <w:t>货运经营外）</w:t>
            </w:r>
          </w:p>
        </w:tc>
        <w:tc>
          <w:tcPr>
            <w:tcW w:w="1379" w:type="dxa"/>
            <w:vAlign w:val="top"/>
          </w:tcPr>
          <w:p w14:paraId="6F193183">
            <w:pPr>
              <w:spacing w:line="252" w:lineRule="auto"/>
              <w:rPr>
                <w:rFonts w:ascii="Arial"/>
                <w:sz w:val="21"/>
              </w:rPr>
            </w:pPr>
          </w:p>
          <w:p w14:paraId="104CF369">
            <w:pPr>
              <w:spacing w:line="252" w:lineRule="auto"/>
              <w:rPr>
                <w:rFonts w:ascii="Arial"/>
                <w:sz w:val="21"/>
              </w:rPr>
            </w:pPr>
          </w:p>
          <w:p w14:paraId="02F64023">
            <w:pPr>
              <w:spacing w:line="252" w:lineRule="auto"/>
              <w:rPr>
                <w:rFonts w:ascii="Arial"/>
                <w:sz w:val="21"/>
              </w:rPr>
            </w:pPr>
          </w:p>
          <w:p w14:paraId="062BEBF0">
            <w:pPr>
              <w:spacing w:line="252" w:lineRule="auto"/>
              <w:rPr>
                <w:rFonts w:ascii="Arial"/>
                <w:sz w:val="21"/>
              </w:rPr>
            </w:pPr>
          </w:p>
          <w:p w14:paraId="1F25EC4C">
            <w:pPr>
              <w:spacing w:line="252" w:lineRule="auto"/>
              <w:rPr>
                <w:rFonts w:ascii="Arial"/>
                <w:sz w:val="21"/>
              </w:rPr>
            </w:pPr>
          </w:p>
          <w:p w14:paraId="11BF7B0B">
            <w:pPr>
              <w:spacing w:line="252" w:lineRule="auto"/>
              <w:rPr>
                <w:rFonts w:ascii="Arial"/>
                <w:sz w:val="21"/>
              </w:rPr>
            </w:pPr>
          </w:p>
          <w:p w14:paraId="639467BC">
            <w:pPr>
              <w:spacing w:line="252" w:lineRule="auto"/>
              <w:rPr>
                <w:rFonts w:ascii="Arial"/>
                <w:sz w:val="21"/>
              </w:rPr>
            </w:pPr>
          </w:p>
          <w:p w14:paraId="757E0642">
            <w:pPr>
              <w:spacing w:line="252" w:lineRule="auto"/>
              <w:rPr>
                <w:rFonts w:ascii="Arial"/>
                <w:sz w:val="21"/>
              </w:rPr>
            </w:pPr>
          </w:p>
          <w:p w14:paraId="31324F7D">
            <w:pPr>
              <w:spacing w:line="253" w:lineRule="auto"/>
              <w:rPr>
                <w:rFonts w:ascii="Arial"/>
                <w:sz w:val="21"/>
              </w:rPr>
            </w:pPr>
          </w:p>
          <w:p w14:paraId="1E79444E">
            <w:pPr>
              <w:spacing w:line="253" w:lineRule="auto"/>
              <w:rPr>
                <w:rFonts w:ascii="Arial"/>
                <w:sz w:val="21"/>
              </w:rPr>
            </w:pPr>
          </w:p>
          <w:p w14:paraId="40083CBB">
            <w:pPr>
              <w:pStyle w:val="8"/>
              <w:spacing w:before="58" w:line="235" w:lineRule="auto"/>
              <w:ind w:left="48" w:right="27" w:hanging="19"/>
              <w:rPr>
                <w:rFonts w:hint="eastAsia" w:eastAsia="宋体"/>
                <w:lang w:eastAsia="zh-CN"/>
              </w:rPr>
            </w:pPr>
            <w:r>
              <w:rPr>
                <w:rFonts w:hint="eastAsia"/>
                <w:spacing w:val="8"/>
                <w:lang w:eastAsia="zh-CN"/>
              </w:rPr>
              <w:t>津市市交通运输局</w:t>
            </w:r>
          </w:p>
        </w:tc>
        <w:tc>
          <w:tcPr>
            <w:tcW w:w="1364" w:type="dxa"/>
            <w:vAlign w:val="top"/>
          </w:tcPr>
          <w:p w14:paraId="2EE54D33">
            <w:pPr>
              <w:rPr>
                <w:rFonts w:ascii="Arial"/>
                <w:sz w:val="21"/>
              </w:rPr>
            </w:pPr>
          </w:p>
          <w:p w14:paraId="4C68EBCB">
            <w:pPr>
              <w:rPr>
                <w:rFonts w:ascii="Arial"/>
                <w:sz w:val="21"/>
              </w:rPr>
            </w:pPr>
          </w:p>
          <w:p w14:paraId="3BC3E8E3">
            <w:pPr>
              <w:rPr>
                <w:rFonts w:ascii="Arial"/>
                <w:sz w:val="21"/>
              </w:rPr>
            </w:pPr>
          </w:p>
          <w:p w14:paraId="5CED44FA">
            <w:pPr>
              <w:rPr>
                <w:rFonts w:ascii="Arial"/>
                <w:sz w:val="21"/>
              </w:rPr>
            </w:pPr>
          </w:p>
          <w:p w14:paraId="2A993A7F">
            <w:pPr>
              <w:rPr>
                <w:rFonts w:ascii="Arial"/>
                <w:sz w:val="21"/>
              </w:rPr>
            </w:pPr>
          </w:p>
          <w:p w14:paraId="46A0CB3E">
            <w:pPr>
              <w:rPr>
                <w:rFonts w:ascii="Arial"/>
                <w:sz w:val="21"/>
              </w:rPr>
            </w:pPr>
          </w:p>
          <w:p w14:paraId="3861A3A3">
            <w:pPr>
              <w:rPr>
                <w:rFonts w:ascii="Arial"/>
                <w:sz w:val="21"/>
              </w:rPr>
            </w:pPr>
          </w:p>
          <w:p w14:paraId="469E2C34">
            <w:pPr>
              <w:rPr>
                <w:rFonts w:ascii="Arial"/>
                <w:sz w:val="21"/>
              </w:rPr>
            </w:pPr>
          </w:p>
          <w:p w14:paraId="46BFE656">
            <w:pPr>
              <w:rPr>
                <w:rFonts w:ascii="Arial"/>
                <w:sz w:val="21"/>
              </w:rPr>
            </w:pPr>
          </w:p>
          <w:p w14:paraId="6541AEC0">
            <w:pPr>
              <w:rPr>
                <w:rFonts w:ascii="Arial"/>
                <w:sz w:val="21"/>
              </w:rPr>
            </w:pPr>
          </w:p>
          <w:p w14:paraId="04B92984">
            <w:pPr>
              <w:spacing w:line="241" w:lineRule="auto"/>
              <w:rPr>
                <w:rFonts w:ascii="Arial"/>
                <w:sz w:val="21"/>
              </w:rPr>
            </w:pPr>
          </w:p>
          <w:p w14:paraId="35D93C36">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59A34EC3">
            <w:pPr>
              <w:spacing w:line="383" w:lineRule="auto"/>
              <w:rPr>
                <w:rFonts w:ascii="Arial"/>
                <w:sz w:val="21"/>
              </w:rPr>
            </w:pPr>
          </w:p>
          <w:p w14:paraId="19641258">
            <w:pPr>
              <w:pStyle w:val="8"/>
              <w:spacing w:before="59" w:line="219" w:lineRule="auto"/>
              <w:ind w:left="491"/>
            </w:pPr>
            <w:r>
              <w:rPr>
                <w:b/>
                <w:bCs/>
                <w:spacing w:val="-3"/>
              </w:rPr>
              <w:t>1.《中华人民共和国道路运输条例》</w:t>
            </w:r>
          </w:p>
          <w:p w14:paraId="614E567E">
            <w:pPr>
              <w:pStyle w:val="8"/>
              <w:spacing w:before="25" w:line="233" w:lineRule="auto"/>
              <w:ind w:left="118" w:right="108" w:firstLine="359"/>
            </w:pPr>
            <w:r>
              <w:t>第二十四条  申请从事货运经营的，应当依法</w:t>
            </w:r>
            <w:r>
              <w:rPr>
                <w:spacing w:val="-1"/>
              </w:rPr>
              <w:t>向市场监督管理部门办理有关登记手续后，按照下列规定</w:t>
            </w:r>
            <w:r>
              <w:t xml:space="preserve"> </w:t>
            </w:r>
            <w:r>
              <w:rPr>
                <w:spacing w:val="-1"/>
              </w:rPr>
              <w:t>提出申请并分别提交符合本条例第二十一条  、第二十三条  规定条</w:t>
            </w:r>
            <w:r>
              <w:rPr>
                <w:spacing w:val="-2"/>
              </w:rPr>
              <w:t>件的相关材料：</w:t>
            </w:r>
          </w:p>
          <w:p w14:paraId="4970821C">
            <w:pPr>
              <w:pStyle w:val="8"/>
              <w:spacing w:before="26" w:line="219" w:lineRule="auto"/>
              <w:ind w:left="509"/>
            </w:pPr>
            <w:r>
              <w:rPr>
                <w:spacing w:val="-2"/>
              </w:rPr>
              <w:t>(一)从事危险货物运输经营以外的货运经营的，向县级人民政府交通运输主管部门提出申</w:t>
            </w:r>
            <w:r>
              <w:rPr>
                <w:spacing w:val="-3"/>
              </w:rPr>
              <w:t>请；</w:t>
            </w:r>
          </w:p>
          <w:p w14:paraId="474355C5">
            <w:pPr>
              <w:pStyle w:val="8"/>
              <w:spacing w:before="26" w:line="219" w:lineRule="auto"/>
              <w:ind w:left="509"/>
            </w:pPr>
            <w:r>
              <w:rPr>
                <w:spacing w:val="-2"/>
              </w:rPr>
              <w:t>(二)从事危险货物运输经营的，向设区的市级人民政府交通运输主管部门提出申请。</w:t>
            </w:r>
          </w:p>
          <w:p w14:paraId="253D248E">
            <w:pPr>
              <w:pStyle w:val="8"/>
              <w:spacing w:before="27" w:line="237" w:lineRule="auto"/>
              <w:ind w:left="117" w:right="108" w:firstLine="361"/>
              <w:jc w:val="both"/>
            </w:pPr>
            <w:r>
              <w:rPr>
                <w:spacing w:val="-1"/>
              </w:rPr>
              <w:t>依照前款规定收到申请的交通运输主管部门，应当自受理申请之</w:t>
            </w:r>
            <w:r>
              <w:rPr>
                <w:spacing w:val="-2"/>
              </w:rPr>
              <w:t>日起</w:t>
            </w:r>
            <w:r>
              <w:rPr>
                <w:spacing w:val="-37"/>
              </w:rPr>
              <w:t xml:space="preserve"> </w:t>
            </w:r>
            <w:r>
              <w:rPr>
                <w:spacing w:val="-2"/>
              </w:rPr>
              <w:t>20 日内审查完毕，作出许可或者</w:t>
            </w:r>
            <w:r>
              <w:t xml:space="preserve">  不予许可的决定。予以许可的，向申请人颁发道路</w:t>
            </w:r>
            <w:r>
              <w:rPr>
                <w:spacing w:val="-1"/>
              </w:rPr>
              <w:t>运输经营许可证，并向申请人投入运输的车辆配发车辆营</w:t>
            </w:r>
            <w:r>
              <w:t xml:space="preserve"> </w:t>
            </w:r>
            <w:r>
              <w:rPr>
                <w:spacing w:val="-2"/>
              </w:rPr>
              <w:t>运证；不予许可的，应当书面通知申请人并说明理由。</w:t>
            </w:r>
          </w:p>
          <w:p w14:paraId="1215A33C">
            <w:pPr>
              <w:pStyle w:val="8"/>
              <w:spacing w:before="26" w:line="219" w:lineRule="auto"/>
              <w:ind w:left="478"/>
            </w:pPr>
            <w:r>
              <w:t>使用总质量</w:t>
            </w:r>
            <w:r>
              <w:rPr>
                <w:spacing w:val="-40"/>
              </w:rPr>
              <w:t xml:space="preserve"> </w:t>
            </w:r>
            <w:r>
              <w:t>4500</w:t>
            </w:r>
            <w:r>
              <w:rPr>
                <w:spacing w:val="-39"/>
              </w:rPr>
              <w:t xml:space="preserve"> </w:t>
            </w:r>
            <w:r>
              <w:t>千克及以下普通货运车辆从事普通货运</w:t>
            </w:r>
            <w:r>
              <w:rPr>
                <w:spacing w:val="-1"/>
              </w:rPr>
              <w:t>经营的，无需按照本条  规定申请取得道路运</w:t>
            </w:r>
          </w:p>
          <w:p w14:paraId="21C08202">
            <w:pPr>
              <w:pStyle w:val="8"/>
              <w:spacing w:before="27" w:line="219" w:lineRule="auto"/>
              <w:ind w:left="117"/>
            </w:pPr>
            <w:r>
              <w:rPr>
                <w:spacing w:val="-3"/>
              </w:rPr>
              <w:t>输经营许可证及车辆营运证。</w:t>
            </w:r>
          </w:p>
          <w:p w14:paraId="2ABBFBEC">
            <w:pPr>
              <w:pStyle w:val="8"/>
              <w:spacing w:before="25" w:line="219" w:lineRule="auto"/>
              <w:ind w:left="479"/>
            </w:pPr>
            <w:r>
              <w:rPr>
                <w:b/>
                <w:bCs/>
                <w:spacing w:val="-3"/>
              </w:rPr>
              <w:t>2.《道路货物运输及站场管理规定》（交通运输部令</w:t>
            </w:r>
            <w:r>
              <w:rPr>
                <w:spacing w:val="-35"/>
              </w:rPr>
              <w:t xml:space="preserve"> </w:t>
            </w:r>
            <w:r>
              <w:rPr>
                <w:b/>
                <w:bCs/>
                <w:spacing w:val="-3"/>
              </w:rPr>
              <w:t>2023</w:t>
            </w:r>
            <w:r>
              <w:rPr>
                <w:spacing w:val="-38"/>
              </w:rPr>
              <w:t xml:space="preserve"> </w:t>
            </w:r>
            <w:r>
              <w:rPr>
                <w:b/>
                <w:bCs/>
                <w:spacing w:val="-3"/>
              </w:rPr>
              <w:t>年</w:t>
            </w:r>
            <w:r>
              <w:rPr>
                <w:b/>
                <w:bCs/>
                <w:spacing w:val="-4"/>
              </w:rPr>
              <w:t>第</w:t>
            </w:r>
            <w:r>
              <w:rPr>
                <w:spacing w:val="-22"/>
              </w:rPr>
              <w:t xml:space="preserve"> </w:t>
            </w:r>
            <w:r>
              <w:rPr>
                <w:b/>
                <w:bCs/>
                <w:spacing w:val="-4"/>
              </w:rPr>
              <w:t>12</w:t>
            </w:r>
            <w:r>
              <w:rPr>
                <w:spacing w:val="-34"/>
              </w:rPr>
              <w:t xml:space="preserve"> </w:t>
            </w:r>
            <w:r>
              <w:rPr>
                <w:b/>
                <w:bCs/>
                <w:spacing w:val="-4"/>
              </w:rPr>
              <w:t>号）</w:t>
            </w:r>
          </w:p>
          <w:p w14:paraId="36C41949">
            <w:pPr>
              <w:pStyle w:val="8"/>
              <w:spacing w:before="26" w:line="233" w:lineRule="auto"/>
              <w:ind w:left="117" w:right="108" w:firstLine="360"/>
            </w:pPr>
            <w:r>
              <w:t>第八条  申请从事道路货物运输经营的，应当</w:t>
            </w:r>
            <w:r>
              <w:rPr>
                <w:spacing w:val="-1"/>
              </w:rPr>
              <w:t>依法向市场监督管理部门办理有关登记手续后，向县级交</w:t>
            </w:r>
            <w:r>
              <w:t xml:space="preserve"> </w:t>
            </w:r>
            <w:r>
              <w:rPr>
                <w:spacing w:val="-3"/>
              </w:rPr>
              <w:t>通运输主管部门提出申请，并提供以下材料：</w:t>
            </w:r>
          </w:p>
          <w:p w14:paraId="65B4EC0F">
            <w:pPr>
              <w:pStyle w:val="8"/>
              <w:spacing w:before="26" w:line="219" w:lineRule="auto"/>
              <w:ind w:left="487"/>
            </w:pPr>
            <w:r>
              <w:rPr>
                <w:spacing w:val="-3"/>
              </w:rPr>
              <w:t>（一）《道路货物运输经营申请表》（见附件</w:t>
            </w:r>
            <w:r>
              <w:rPr>
                <w:spacing w:val="-19"/>
              </w:rPr>
              <w:t xml:space="preserve"> </w:t>
            </w:r>
            <w:r>
              <w:rPr>
                <w:spacing w:val="-3"/>
              </w:rPr>
              <w:t>1）；</w:t>
            </w:r>
          </w:p>
          <w:p w14:paraId="3D632286">
            <w:pPr>
              <w:pStyle w:val="8"/>
              <w:spacing w:before="26" w:line="219" w:lineRule="auto"/>
              <w:ind w:left="487"/>
            </w:pPr>
            <w:r>
              <w:rPr>
                <w:spacing w:val="-3"/>
              </w:rPr>
              <w:t>（二）负责人身份证明，经办人的身份证明和委托书；</w:t>
            </w:r>
          </w:p>
          <w:p w14:paraId="381BFD45">
            <w:pPr>
              <w:pStyle w:val="8"/>
              <w:spacing w:before="27" w:line="233" w:lineRule="auto"/>
              <w:ind w:left="117" w:right="108" w:firstLine="370"/>
            </w:pPr>
            <w:r>
              <w:rPr>
                <w:spacing w:val="-1"/>
              </w:rPr>
              <w:t>（三）机动车辆行驶证、车辆技术等级评定结论复印件；拟投入运输车辆的承诺书，承诺书应当包括车</w:t>
            </w:r>
            <w:r>
              <w:rPr>
                <w:spacing w:val="10"/>
              </w:rPr>
              <w:t xml:space="preserve"> </w:t>
            </w:r>
            <w:r>
              <w:rPr>
                <w:spacing w:val="-3"/>
              </w:rPr>
              <w:t>辆数量、类型、技术性能、投入时间等内容；</w:t>
            </w:r>
          </w:p>
          <w:p w14:paraId="3D75B9FA">
            <w:pPr>
              <w:pStyle w:val="8"/>
              <w:spacing w:before="25" w:line="219" w:lineRule="auto"/>
              <w:ind w:left="487"/>
            </w:pPr>
            <w:r>
              <w:rPr>
                <w:spacing w:val="-2"/>
              </w:rPr>
              <w:t>（四）聘用或者拟聘用驾驶员的机动车驾驶证、从业资格证及其复印件；</w:t>
            </w:r>
          </w:p>
          <w:p w14:paraId="384C6E17">
            <w:pPr>
              <w:pStyle w:val="8"/>
              <w:spacing w:before="27" w:line="219" w:lineRule="auto"/>
              <w:ind w:left="487"/>
            </w:pPr>
            <w:r>
              <w:rPr>
                <w:spacing w:val="-5"/>
              </w:rPr>
              <w:t>（五）安全生产管理制度文本；</w:t>
            </w:r>
          </w:p>
          <w:p w14:paraId="3EE52A44">
            <w:pPr>
              <w:pStyle w:val="8"/>
              <w:spacing w:before="26" w:line="219" w:lineRule="auto"/>
              <w:ind w:left="487"/>
            </w:pPr>
            <w:r>
              <w:rPr>
                <w:spacing w:val="-3"/>
              </w:rPr>
              <w:t>（六）法律、法规规定的其他材料。</w:t>
            </w:r>
          </w:p>
        </w:tc>
        <w:tc>
          <w:tcPr>
            <w:tcW w:w="1159" w:type="dxa"/>
            <w:vAlign w:val="top"/>
          </w:tcPr>
          <w:p w14:paraId="052C6DC3">
            <w:pPr>
              <w:rPr>
                <w:rFonts w:ascii="Arial"/>
                <w:sz w:val="21"/>
              </w:rPr>
            </w:pPr>
          </w:p>
        </w:tc>
      </w:tr>
    </w:tbl>
    <w:p w14:paraId="6EDF9B57">
      <w:pPr>
        <w:pStyle w:val="2"/>
      </w:pPr>
    </w:p>
    <w:p w14:paraId="7A0DB376">
      <w:pPr>
        <w:sectPr>
          <w:footerReference r:id="rId11" w:type="default"/>
          <w:pgSz w:w="16839" w:h="11906"/>
          <w:pgMar w:top="1012" w:right="1134" w:bottom="966" w:left="1134" w:header="0" w:footer="768" w:gutter="0"/>
          <w:cols w:space="720" w:num="1"/>
        </w:sectPr>
      </w:pPr>
    </w:p>
    <w:p w14:paraId="33EB5523">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30A33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390C151A">
            <w:pPr>
              <w:pStyle w:val="8"/>
              <w:spacing w:before="183" w:line="221" w:lineRule="auto"/>
              <w:ind w:left="175"/>
            </w:pPr>
            <w:r>
              <w:rPr>
                <w:b/>
                <w:bCs/>
                <w:spacing w:val="-4"/>
              </w:rPr>
              <w:t>序号</w:t>
            </w:r>
          </w:p>
        </w:tc>
        <w:tc>
          <w:tcPr>
            <w:tcW w:w="1290" w:type="dxa"/>
            <w:vAlign w:val="top"/>
          </w:tcPr>
          <w:p w14:paraId="65906056">
            <w:pPr>
              <w:pStyle w:val="8"/>
              <w:spacing w:before="183" w:line="220" w:lineRule="auto"/>
              <w:ind w:left="284"/>
            </w:pPr>
            <w:r>
              <w:rPr>
                <w:b/>
                <w:bCs/>
                <w:spacing w:val="-4"/>
              </w:rPr>
              <w:t>事项名称</w:t>
            </w:r>
          </w:p>
        </w:tc>
        <w:tc>
          <w:tcPr>
            <w:tcW w:w="1379" w:type="dxa"/>
            <w:vAlign w:val="top"/>
          </w:tcPr>
          <w:p w14:paraId="4BEB85E5">
            <w:pPr>
              <w:pStyle w:val="8"/>
              <w:spacing w:before="183" w:line="219" w:lineRule="auto"/>
              <w:ind w:left="333"/>
            </w:pPr>
            <w:r>
              <w:rPr>
                <w:b/>
                <w:bCs/>
                <w:spacing w:val="-5"/>
              </w:rPr>
              <w:t>实施机关</w:t>
            </w:r>
          </w:p>
        </w:tc>
        <w:tc>
          <w:tcPr>
            <w:tcW w:w="1364" w:type="dxa"/>
            <w:vAlign w:val="top"/>
          </w:tcPr>
          <w:p w14:paraId="267E4A0C">
            <w:pPr>
              <w:pStyle w:val="8"/>
              <w:spacing w:before="183" w:line="219" w:lineRule="auto"/>
              <w:ind w:left="322"/>
            </w:pPr>
            <w:r>
              <w:rPr>
                <w:b/>
                <w:bCs/>
                <w:spacing w:val="-4"/>
              </w:rPr>
              <w:t>承办机构</w:t>
            </w:r>
          </w:p>
        </w:tc>
        <w:tc>
          <w:tcPr>
            <w:tcW w:w="8667" w:type="dxa"/>
            <w:vAlign w:val="top"/>
          </w:tcPr>
          <w:p w14:paraId="4AC9D466">
            <w:pPr>
              <w:pStyle w:val="8"/>
              <w:spacing w:before="183" w:line="219" w:lineRule="auto"/>
              <w:ind w:left="3708"/>
            </w:pPr>
            <w:r>
              <w:rPr>
                <w:b/>
                <w:bCs/>
                <w:spacing w:val="-3"/>
              </w:rPr>
              <w:t>设定和实施依据</w:t>
            </w:r>
          </w:p>
        </w:tc>
        <w:tc>
          <w:tcPr>
            <w:tcW w:w="1159" w:type="dxa"/>
            <w:vAlign w:val="top"/>
          </w:tcPr>
          <w:p w14:paraId="7D8D1F3F">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0F09A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0" w:hRule="atLeast"/>
        </w:trPr>
        <w:tc>
          <w:tcPr>
            <w:tcW w:w="705" w:type="dxa"/>
            <w:vAlign w:val="top"/>
          </w:tcPr>
          <w:p w14:paraId="4D96125A">
            <w:pPr>
              <w:rPr>
                <w:rFonts w:ascii="Arial"/>
                <w:sz w:val="21"/>
              </w:rPr>
            </w:pPr>
          </w:p>
        </w:tc>
        <w:tc>
          <w:tcPr>
            <w:tcW w:w="1290" w:type="dxa"/>
            <w:vAlign w:val="top"/>
          </w:tcPr>
          <w:p w14:paraId="3B29979B">
            <w:pPr>
              <w:rPr>
                <w:rFonts w:ascii="Arial"/>
                <w:sz w:val="21"/>
              </w:rPr>
            </w:pPr>
          </w:p>
        </w:tc>
        <w:tc>
          <w:tcPr>
            <w:tcW w:w="1379" w:type="dxa"/>
            <w:vAlign w:val="top"/>
          </w:tcPr>
          <w:p w14:paraId="3B8A78DD">
            <w:pPr>
              <w:rPr>
                <w:rFonts w:ascii="Arial"/>
                <w:sz w:val="21"/>
              </w:rPr>
            </w:pPr>
          </w:p>
        </w:tc>
        <w:tc>
          <w:tcPr>
            <w:tcW w:w="1364" w:type="dxa"/>
            <w:vAlign w:val="top"/>
          </w:tcPr>
          <w:p w14:paraId="0E32D690">
            <w:pPr>
              <w:rPr>
                <w:rFonts w:ascii="Arial"/>
                <w:sz w:val="21"/>
              </w:rPr>
            </w:pPr>
          </w:p>
        </w:tc>
        <w:tc>
          <w:tcPr>
            <w:tcW w:w="8667" w:type="dxa"/>
            <w:vAlign w:val="top"/>
          </w:tcPr>
          <w:p w14:paraId="7C0A4A42">
            <w:pPr>
              <w:pStyle w:val="8"/>
              <w:spacing w:before="68" w:line="219" w:lineRule="auto"/>
              <w:ind w:left="491"/>
            </w:pPr>
            <w:r>
              <w:rPr>
                <w:b/>
                <w:bCs/>
                <w:spacing w:val="-3"/>
              </w:rPr>
              <w:t>1.《中华人民共和国道路运输条例》</w:t>
            </w:r>
          </w:p>
          <w:p w14:paraId="32CDBE1D">
            <w:pPr>
              <w:pStyle w:val="8"/>
              <w:spacing w:before="25" w:line="233" w:lineRule="auto"/>
              <w:ind w:left="118" w:right="108" w:firstLine="359"/>
            </w:pPr>
            <w:r>
              <w:t>第二十四条  申请从事货运经营的，应当依法</w:t>
            </w:r>
            <w:r>
              <w:rPr>
                <w:spacing w:val="-1"/>
              </w:rPr>
              <w:t>向市场监督管理部门办理有关登记手续后，按照下列规定</w:t>
            </w:r>
            <w:r>
              <w:t xml:space="preserve"> </w:t>
            </w:r>
            <w:r>
              <w:rPr>
                <w:spacing w:val="-1"/>
              </w:rPr>
              <w:t>提出申请并分别提交符合本条例第二十一条  、第二十三条  规定条</w:t>
            </w:r>
            <w:r>
              <w:rPr>
                <w:spacing w:val="-2"/>
              </w:rPr>
              <w:t>件的相关材料：</w:t>
            </w:r>
          </w:p>
          <w:p w14:paraId="1055BCC4">
            <w:pPr>
              <w:pStyle w:val="8"/>
              <w:spacing w:before="26" w:line="219" w:lineRule="auto"/>
              <w:ind w:left="509"/>
            </w:pPr>
            <w:r>
              <w:rPr>
                <w:spacing w:val="-2"/>
              </w:rPr>
              <w:t>(一)从事危险货物运输经营以外的货运经营的，向县级人民政府交通运输主管部门提出申</w:t>
            </w:r>
            <w:r>
              <w:rPr>
                <w:spacing w:val="-3"/>
              </w:rPr>
              <w:t>请；</w:t>
            </w:r>
          </w:p>
          <w:p w14:paraId="46B85112">
            <w:pPr>
              <w:pStyle w:val="8"/>
              <w:spacing w:before="25" w:line="241" w:lineRule="auto"/>
              <w:ind w:left="118" w:right="108" w:firstLine="390"/>
            </w:pPr>
            <w:r>
              <w:rPr>
                <w:spacing w:val="-1"/>
              </w:rPr>
              <w:t>(二)从事危险货物运输经营的，向设区的市级人民政府交通运输主管部门提出</w:t>
            </w:r>
            <w:r>
              <w:rPr>
                <w:spacing w:val="-2"/>
              </w:rPr>
              <w:t>申请。依照前款规定收到</w:t>
            </w:r>
            <w:r>
              <w:t xml:space="preserve"> </w:t>
            </w:r>
            <w:r>
              <w:rPr>
                <w:spacing w:val="-1"/>
              </w:rPr>
              <w:t>申请的交通运输主管部门，应当自受理申请之日起</w:t>
            </w:r>
            <w:r>
              <w:rPr>
                <w:spacing w:val="-37"/>
              </w:rPr>
              <w:t xml:space="preserve"> </w:t>
            </w:r>
            <w:r>
              <w:rPr>
                <w:spacing w:val="-1"/>
              </w:rPr>
              <w:t>20 日内审查完毕，作</w:t>
            </w:r>
            <w:r>
              <w:rPr>
                <w:spacing w:val="-2"/>
              </w:rPr>
              <w:t>出许可或者不予许可的决定。予以</w:t>
            </w:r>
            <w:r>
              <w:t xml:space="preserve">  许可的，向申请人颁发道路运输经营许可证，并</w:t>
            </w:r>
            <w:r>
              <w:rPr>
                <w:spacing w:val="-1"/>
              </w:rPr>
              <w:t>向申请人投入运输的车辆配发车辆营运证；不予许可的，应</w:t>
            </w:r>
            <w:r>
              <w:t xml:space="preserve"> 当书面通知申请人并说明理由。使用总质量</w:t>
            </w:r>
            <w:r>
              <w:rPr>
                <w:spacing w:val="-41"/>
              </w:rPr>
              <w:t xml:space="preserve"> </w:t>
            </w:r>
            <w:r>
              <w:t>4500</w:t>
            </w:r>
            <w:r>
              <w:rPr>
                <w:spacing w:val="-38"/>
              </w:rPr>
              <w:t xml:space="preserve"> </w:t>
            </w:r>
            <w:r>
              <w:t>千克及以</w:t>
            </w:r>
            <w:r>
              <w:rPr>
                <w:spacing w:val="-1"/>
              </w:rPr>
              <w:t>下普通货运车辆从事普通货运经营的，无需按照</w:t>
            </w:r>
            <w:r>
              <w:t xml:space="preserve">  </w:t>
            </w:r>
            <w:r>
              <w:rPr>
                <w:spacing w:val="-2"/>
              </w:rPr>
              <w:t>本条  规定申请取得道路运输经营许可证及车辆营运证。</w:t>
            </w:r>
          </w:p>
        </w:tc>
        <w:tc>
          <w:tcPr>
            <w:tcW w:w="1159" w:type="dxa"/>
            <w:vAlign w:val="top"/>
          </w:tcPr>
          <w:p w14:paraId="58DB551C">
            <w:pPr>
              <w:rPr>
                <w:rFonts w:ascii="Arial"/>
                <w:sz w:val="21"/>
              </w:rPr>
            </w:pPr>
          </w:p>
        </w:tc>
      </w:tr>
      <w:tr w14:paraId="18E43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0" w:hRule="atLeast"/>
        </w:trPr>
        <w:tc>
          <w:tcPr>
            <w:tcW w:w="705" w:type="dxa"/>
            <w:shd w:val="clear" w:color="auto" w:fill="auto"/>
            <w:vAlign w:val="top"/>
          </w:tcPr>
          <w:p w14:paraId="112ECDAF">
            <w:pPr>
              <w:spacing w:line="241" w:lineRule="auto"/>
              <w:rPr>
                <w:rFonts w:ascii="Arial"/>
                <w:sz w:val="21"/>
              </w:rPr>
            </w:pPr>
          </w:p>
          <w:p w14:paraId="6924C713">
            <w:pPr>
              <w:spacing w:line="241" w:lineRule="auto"/>
              <w:rPr>
                <w:rFonts w:ascii="Arial"/>
                <w:sz w:val="21"/>
              </w:rPr>
            </w:pPr>
          </w:p>
          <w:p w14:paraId="5CD4EB3B">
            <w:pPr>
              <w:spacing w:line="241" w:lineRule="auto"/>
              <w:rPr>
                <w:rFonts w:ascii="Arial"/>
                <w:sz w:val="21"/>
              </w:rPr>
            </w:pPr>
          </w:p>
          <w:p w14:paraId="5E239004">
            <w:pPr>
              <w:spacing w:line="241" w:lineRule="auto"/>
              <w:rPr>
                <w:rFonts w:ascii="Arial"/>
                <w:sz w:val="21"/>
              </w:rPr>
            </w:pPr>
          </w:p>
          <w:p w14:paraId="0631BCD9">
            <w:pPr>
              <w:spacing w:line="241" w:lineRule="auto"/>
              <w:rPr>
                <w:rFonts w:ascii="Arial"/>
                <w:sz w:val="21"/>
              </w:rPr>
            </w:pPr>
          </w:p>
          <w:p w14:paraId="11883703">
            <w:pPr>
              <w:spacing w:line="241" w:lineRule="auto"/>
              <w:rPr>
                <w:rFonts w:ascii="Arial"/>
                <w:sz w:val="21"/>
              </w:rPr>
            </w:pPr>
          </w:p>
          <w:p w14:paraId="58D6E86D">
            <w:pPr>
              <w:spacing w:line="241" w:lineRule="auto"/>
              <w:rPr>
                <w:rFonts w:ascii="Arial"/>
                <w:sz w:val="21"/>
              </w:rPr>
            </w:pPr>
          </w:p>
          <w:p w14:paraId="4C2AF39D">
            <w:pPr>
              <w:spacing w:line="241" w:lineRule="auto"/>
              <w:rPr>
                <w:rFonts w:ascii="Arial"/>
                <w:sz w:val="21"/>
              </w:rPr>
            </w:pPr>
          </w:p>
          <w:p w14:paraId="3D3C573C">
            <w:pPr>
              <w:spacing w:line="242" w:lineRule="auto"/>
              <w:rPr>
                <w:rFonts w:ascii="Arial"/>
                <w:sz w:val="21"/>
              </w:rPr>
            </w:pPr>
          </w:p>
          <w:p w14:paraId="31063ACD">
            <w:pPr>
              <w:spacing w:line="242" w:lineRule="auto"/>
              <w:rPr>
                <w:rFonts w:ascii="Arial"/>
                <w:sz w:val="21"/>
              </w:rPr>
            </w:pPr>
          </w:p>
          <w:p w14:paraId="4268E4BB">
            <w:pPr>
              <w:spacing w:line="242" w:lineRule="auto"/>
              <w:rPr>
                <w:rFonts w:ascii="Arial"/>
                <w:sz w:val="21"/>
              </w:rPr>
            </w:pPr>
          </w:p>
          <w:p w14:paraId="47E75C61">
            <w:pPr>
              <w:pStyle w:val="8"/>
              <w:spacing w:before="58" w:line="184" w:lineRule="auto"/>
              <w:ind w:left="280" w:leftChars="0"/>
              <w:rPr>
                <w:rFonts w:hint="eastAsia" w:ascii="宋体" w:hAnsi="宋体" w:eastAsia="宋体" w:cs="宋体"/>
                <w:snapToGrid w:val="0"/>
                <w:color w:val="000000"/>
                <w:kern w:val="0"/>
                <w:sz w:val="18"/>
                <w:szCs w:val="18"/>
                <w:lang w:val="en-US" w:eastAsia="zh-CN" w:bidi="ar-SA"/>
              </w:rPr>
            </w:pPr>
            <w:r>
              <w:rPr>
                <w:spacing w:val="-10"/>
              </w:rPr>
              <w:t>1</w:t>
            </w:r>
            <w:r>
              <w:rPr>
                <w:rFonts w:hint="eastAsia"/>
                <w:spacing w:val="-10"/>
                <w:lang w:val="en-US" w:eastAsia="zh-CN"/>
              </w:rPr>
              <w:t>0</w:t>
            </w:r>
          </w:p>
        </w:tc>
        <w:tc>
          <w:tcPr>
            <w:tcW w:w="1290" w:type="dxa"/>
            <w:shd w:val="clear" w:color="auto" w:fill="auto"/>
            <w:vAlign w:val="top"/>
          </w:tcPr>
          <w:p w14:paraId="5AED3A1F">
            <w:pPr>
              <w:spacing w:line="250" w:lineRule="auto"/>
              <w:rPr>
                <w:rFonts w:ascii="Arial"/>
                <w:sz w:val="21"/>
              </w:rPr>
            </w:pPr>
          </w:p>
          <w:p w14:paraId="758DA337">
            <w:pPr>
              <w:spacing w:line="250" w:lineRule="auto"/>
              <w:rPr>
                <w:rFonts w:ascii="Arial"/>
                <w:sz w:val="21"/>
              </w:rPr>
            </w:pPr>
          </w:p>
          <w:p w14:paraId="10D35B7E">
            <w:pPr>
              <w:spacing w:line="250" w:lineRule="auto"/>
              <w:rPr>
                <w:rFonts w:ascii="Arial"/>
                <w:sz w:val="21"/>
              </w:rPr>
            </w:pPr>
          </w:p>
          <w:p w14:paraId="099A8665">
            <w:pPr>
              <w:spacing w:line="251" w:lineRule="auto"/>
              <w:rPr>
                <w:rFonts w:ascii="Arial"/>
                <w:sz w:val="21"/>
              </w:rPr>
            </w:pPr>
          </w:p>
          <w:p w14:paraId="09809B77">
            <w:pPr>
              <w:spacing w:line="251" w:lineRule="auto"/>
              <w:rPr>
                <w:rFonts w:ascii="Arial"/>
                <w:sz w:val="21"/>
              </w:rPr>
            </w:pPr>
          </w:p>
          <w:p w14:paraId="72CAA613">
            <w:pPr>
              <w:spacing w:line="251" w:lineRule="auto"/>
              <w:rPr>
                <w:rFonts w:ascii="Arial"/>
                <w:sz w:val="21"/>
              </w:rPr>
            </w:pPr>
          </w:p>
          <w:p w14:paraId="02D1BCCF">
            <w:pPr>
              <w:spacing w:line="251" w:lineRule="auto"/>
              <w:rPr>
                <w:rFonts w:ascii="Arial"/>
                <w:sz w:val="21"/>
              </w:rPr>
            </w:pPr>
          </w:p>
          <w:p w14:paraId="7340E305">
            <w:pPr>
              <w:spacing w:line="251" w:lineRule="auto"/>
              <w:rPr>
                <w:rFonts w:ascii="Arial"/>
                <w:sz w:val="21"/>
              </w:rPr>
            </w:pPr>
          </w:p>
          <w:p w14:paraId="124F830A">
            <w:pPr>
              <w:spacing w:line="251" w:lineRule="auto"/>
              <w:rPr>
                <w:rFonts w:ascii="Arial"/>
                <w:sz w:val="21"/>
              </w:rPr>
            </w:pPr>
          </w:p>
          <w:p w14:paraId="65A0DF88">
            <w:pPr>
              <w:spacing w:line="251" w:lineRule="auto"/>
              <w:rPr>
                <w:rFonts w:ascii="Arial"/>
                <w:sz w:val="21"/>
              </w:rPr>
            </w:pPr>
          </w:p>
          <w:p w14:paraId="361260D3">
            <w:pPr>
              <w:pStyle w:val="8"/>
              <w:spacing w:before="59" w:line="233" w:lineRule="auto"/>
              <w:ind w:left="30" w:leftChars="0" w:right="28" w:rightChars="0" w:firstLine="14" w:firstLineChars="0"/>
              <w:rPr>
                <w:rFonts w:ascii="宋体" w:hAnsi="宋体" w:eastAsia="宋体" w:cs="宋体"/>
                <w:snapToGrid w:val="0"/>
                <w:color w:val="000000"/>
                <w:kern w:val="0"/>
                <w:sz w:val="18"/>
                <w:szCs w:val="18"/>
                <w:lang w:val="en-US" w:eastAsia="en-US" w:bidi="ar-SA"/>
              </w:rPr>
            </w:pPr>
            <w:r>
              <w:rPr>
                <w:spacing w:val="21"/>
              </w:rPr>
              <w:t>出租汽车经营</w:t>
            </w:r>
            <w:r>
              <w:rPr>
                <w:spacing w:val="4"/>
              </w:rPr>
              <w:t xml:space="preserve"> </w:t>
            </w:r>
            <w:r>
              <w:rPr>
                <w:spacing w:val="-2"/>
              </w:rPr>
              <w:t>许可</w:t>
            </w:r>
          </w:p>
        </w:tc>
        <w:tc>
          <w:tcPr>
            <w:tcW w:w="1379" w:type="dxa"/>
            <w:shd w:val="clear" w:color="auto" w:fill="auto"/>
            <w:vAlign w:val="top"/>
          </w:tcPr>
          <w:p w14:paraId="67DA61B4">
            <w:pPr>
              <w:spacing w:line="252" w:lineRule="auto"/>
              <w:rPr>
                <w:rFonts w:ascii="Arial"/>
                <w:sz w:val="21"/>
              </w:rPr>
            </w:pPr>
          </w:p>
          <w:p w14:paraId="1E73E663">
            <w:pPr>
              <w:spacing w:line="252" w:lineRule="auto"/>
              <w:rPr>
                <w:rFonts w:ascii="Arial"/>
                <w:sz w:val="21"/>
              </w:rPr>
            </w:pPr>
          </w:p>
          <w:p w14:paraId="7B6EE838">
            <w:pPr>
              <w:spacing w:line="252" w:lineRule="auto"/>
              <w:rPr>
                <w:rFonts w:ascii="Arial"/>
                <w:sz w:val="21"/>
              </w:rPr>
            </w:pPr>
          </w:p>
          <w:p w14:paraId="07BCE025">
            <w:pPr>
              <w:spacing w:line="252" w:lineRule="auto"/>
              <w:rPr>
                <w:rFonts w:ascii="Arial"/>
                <w:sz w:val="21"/>
              </w:rPr>
            </w:pPr>
          </w:p>
          <w:p w14:paraId="15A3483C">
            <w:pPr>
              <w:spacing w:line="252" w:lineRule="auto"/>
              <w:rPr>
                <w:rFonts w:ascii="Arial"/>
                <w:sz w:val="21"/>
              </w:rPr>
            </w:pPr>
          </w:p>
          <w:p w14:paraId="7B86DAF7">
            <w:pPr>
              <w:spacing w:line="252" w:lineRule="auto"/>
              <w:rPr>
                <w:rFonts w:ascii="Arial"/>
                <w:sz w:val="21"/>
              </w:rPr>
            </w:pPr>
          </w:p>
          <w:p w14:paraId="5F104EC4">
            <w:pPr>
              <w:spacing w:line="252" w:lineRule="auto"/>
              <w:rPr>
                <w:rFonts w:ascii="Arial"/>
                <w:sz w:val="21"/>
              </w:rPr>
            </w:pPr>
          </w:p>
          <w:p w14:paraId="116437F2">
            <w:pPr>
              <w:spacing w:line="253" w:lineRule="auto"/>
              <w:rPr>
                <w:rFonts w:ascii="Arial"/>
                <w:sz w:val="21"/>
              </w:rPr>
            </w:pPr>
          </w:p>
          <w:p w14:paraId="2D999630">
            <w:pPr>
              <w:spacing w:line="253" w:lineRule="auto"/>
              <w:rPr>
                <w:rFonts w:ascii="Arial"/>
                <w:sz w:val="21"/>
              </w:rPr>
            </w:pPr>
          </w:p>
          <w:p w14:paraId="5413029C">
            <w:pPr>
              <w:pStyle w:val="8"/>
              <w:spacing w:before="58"/>
              <w:ind w:left="30" w:leftChars="0" w:right="27" w:rightChars="0"/>
              <w:jc w:val="both"/>
              <w:rPr>
                <w:rFonts w:ascii="宋体" w:hAnsi="宋体" w:eastAsia="宋体" w:cs="宋体"/>
                <w:snapToGrid w:val="0"/>
                <w:color w:val="000000"/>
                <w:kern w:val="0"/>
                <w:sz w:val="18"/>
                <w:szCs w:val="18"/>
                <w:lang w:val="en-US" w:eastAsia="en-US" w:bidi="ar-SA"/>
              </w:rPr>
            </w:pPr>
            <w:r>
              <w:rPr>
                <w:rFonts w:hint="eastAsia"/>
                <w:spacing w:val="7"/>
                <w:lang w:eastAsia="zh-CN"/>
              </w:rPr>
              <w:t>津市市交通运输局</w:t>
            </w:r>
          </w:p>
        </w:tc>
        <w:tc>
          <w:tcPr>
            <w:tcW w:w="1364" w:type="dxa"/>
            <w:shd w:val="clear" w:color="auto" w:fill="auto"/>
            <w:vAlign w:val="top"/>
          </w:tcPr>
          <w:p w14:paraId="3180F179">
            <w:pPr>
              <w:spacing w:line="262" w:lineRule="auto"/>
              <w:rPr>
                <w:rFonts w:ascii="Arial"/>
                <w:sz w:val="21"/>
              </w:rPr>
            </w:pPr>
          </w:p>
          <w:p w14:paraId="0E1562C1">
            <w:pPr>
              <w:spacing w:line="262" w:lineRule="auto"/>
              <w:rPr>
                <w:rFonts w:ascii="Arial"/>
                <w:sz w:val="21"/>
              </w:rPr>
            </w:pPr>
          </w:p>
          <w:p w14:paraId="1D2DD14C">
            <w:pPr>
              <w:spacing w:line="262" w:lineRule="auto"/>
              <w:rPr>
                <w:rFonts w:ascii="Arial"/>
                <w:sz w:val="21"/>
              </w:rPr>
            </w:pPr>
          </w:p>
          <w:p w14:paraId="68E04092">
            <w:pPr>
              <w:spacing w:line="262" w:lineRule="auto"/>
              <w:rPr>
                <w:rFonts w:ascii="Arial"/>
                <w:sz w:val="21"/>
              </w:rPr>
            </w:pPr>
          </w:p>
          <w:p w14:paraId="1D443E9D">
            <w:pPr>
              <w:spacing w:line="263" w:lineRule="auto"/>
              <w:rPr>
                <w:rFonts w:ascii="Arial"/>
                <w:sz w:val="21"/>
              </w:rPr>
            </w:pPr>
          </w:p>
          <w:p w14:paraId="1BEDFE24">
            <w:pPr>
              <w:spacing w:line="263" w:lineRule="auto"/>
              <w:rPr>
                <w:rFonts w:ascii="Arial"/>
                <w:sz w:val="21"/>
              </w:rPr>
            </w:pPr>
          </w:p>
          <w:p w14:paraId="27F0AD2C">
            <w:pPr>
              <w:spacing w:line="263" w:lineRule="auto"/>
              <w:rPr>
                <w:rFonts w:ascii="Arial"/>
                <w:sz w:val="21"/>
              </w:rPr>
            </w:pPr>
          </w:p>
          <w:p w14:paraId="406505BD">
            <w:pPr>
              <w:spacing w:line="263" w:lineRule="auto"/>
              <w:rPr>
                <w:rFonts w:ascii="Arial"/>
                <w:sz w:val="21"/>
              </w:rPr>
            </w:pPr>
          </w:p>
          <w:p w14:paraId="2E1C47F2">
            <w:pPr>
              <w:spacing w:line="263" w:lineRule="auto"/>
              <w:rPr>
                <w:rFonts w:ascii="Arial"/>
                <w:sz w:val="21"/>
              </w:rPr>
            </w:pPr>
          </w:p>
          <w:p w14:paraId="34B0ADB3">
            <w:pPr>
              <w:spacing w:line="263" w:lineRule="auto"/>
              <w:rPr>
                <w:rFonts w:ascii="Arial"/>
                <w:sz w:val="21"/>
              </w:rPr>
            </w:pPr>
          </w:p>
          <w:p w14:paraId="04BFCEAC">
            <w:pPr>
              <w:pStyle w:val="8"/>
              <w:spacing w:before="58" w:line="219" w:lineRule="auto"/>
              <w:ind w:left="346" w:lef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行政审批服务办公室</w:t>
            </w:r>
          </w:p>
        </w:tc>
        <w:tc>
          <w:tcPr>
            <w:tcW w:w="8667" w:type="dxa"/>
            <w:shd w:val="clear" w:color="auto" w:fill="auto"/>
            <w:vAlign w:val="top"/>
          </w:tcPr>
          <w:p w14:paraId="33A38DD4">
            <w:pPr>
              <w:pStyle w:val="8"/>
              <w:spacing w:before="68" w:line="219" w:lineRule="auto"/>
              <w:ind w:left="491"/>
            </w:pPr>
            <w:r>
              <w:rPr>
                <w:b/>
                <w:bCs/>
                <w:spacing w:val="-2"/>
              </w:rPr>
              <w:t>1.《国务院对确需保留的行政审批项目设定行政许可的决定》（国务院令第四百一十</w:t>
            </w:r>
            <w:r>
              <w:rPr>
                <w:b/>
                <w:bCs/>
                <w:spacing w:val="-3"/>
              </w:rPr>
              <w:t>二号）</w:t>
            </w:r>
          </w:p>
          <w:p w14:paraId="57029CAA">
            <w:pPr>
              <w:pStyle w:val="8"/>
              <w:spacing w:before="27" w:line="219" w:lineRule="auto"/>
              <w:ind w:left="477"/>
            </w:pPr>
            <w:r>
              <w:rPr>
                <w:spacing w:val="-2"/>
              </w:rPr>
              <w:t>第</w:t>
            </w:r>
            <w:r>
              <w:rPr>
                <w:spacing w:val="-26"/>
              </w:rPr>
              <w:t xml:space="preserve"> </w:t>
            </w:r>
            <w:r>
              <w:rPr>
                <w:spacing w:val="-2"/>
              </w:rPr>
              <w:t>112</w:t>
            </w:r>
            <w:r>
              <w:rPr>
                <w:spacing w:val="-34"/>
              </w:rPr>
              <w:t xml:space="preserve"> </w:t>
            </w:r>
            <w:r>
              <w:rPr>
                <w:spacing w:val="-2"/>
              </w:rPr>
              <w:t>项  出租汽车经营资格证、车辆运营证和驾驶员客运资格证核发。</w:t>
            </w:r>
          </w:p>
          <w:p w14:paraId="57A87023">
            <w:pPr>
              <w:pStyle w:val="8"/>
              <w:spacing w:before="25" w:line="219" w:lineRule="auto"/>
              <w:ind w:left="479"/>
            </w:pPr>
            <w:r>
              <w:rPr>
                <w:b/>
                <w:bCs/>
                <w:spacing w:val="-3"/>
              </w:rPr>
              <w:t>2.《巡游出租汽车经营服务管理规定》（交通运输部令</w:t>
            </w:r>
            <w:r>
              <w:rPr>
                <w:spacing w:val="-35"/>
              </w:rPr>
              <w:t xml:space="preserve"> </w:t>
            </w:r>
            <w:r>
              <w:rPr>
                <w:b/>
                <w:bCs/>
                <w:spacing w:val="-3"/>
              </w:rPr>
              <w:t>2021</w:t>
            </w:r>
            <w:r>
              <w:rPr>
                <w:spacing w:val="-38"/>
              </w:rPr>
              <w:t xml:space="preserve"> </w:t>
            </w:r>
            <w:r>
              <w:rPr>
                <w:b/>
                <w:bCs/>
                <w:spacing w:val="-3"/>
              </w:rPr>
              <w:t>年第</w:t>
            </w:r>
            <w:r>
              <w:rPr>
                <w:spacing w:val="-22"/>
              </w:rPr>
              <w:t xml:space="preserve"> </w:t>
            </w:r>
            <w:r>
              <w:rPr>
                <w:b/>
                <w:bCs/>
                <w:spacing w:val="-4"/>
              </w:rPr>
              <w:t>16</w:t>
            </w:r>
            <w:r>
              <w:rPr>
                <w:spacing w:val="-34"/>
              </w:rPr>
              <w:t xml:space="preserve"> </w:t>
            </w:r>
            <w:r>
              <w:rPr>
                <w:b/>
                <w:bCs/>
                <w:spacing w:val="-4"/>
              </w:rPr>
              <w:t>号）</w:t>
            </w:r>
          </w:p>
          <w:p w14:paraId="467BCECD">
            <w:pPr>
              <w:pStyle w:val="8"/>
              <w:spacing w:before="26" w:line="233" w:lineRule="auto"/>
              <w:ind w:left="122" w:right="108" w:firstLine="355"/>
            </w:pPr>
            <w:r>
              <w:t>第八条  申请巡游出租汽车经营的，应当根据</w:t>
            </w:r>
            <w:r>
              <w:rPr>
                <w:spacing w:val="-1"/>
              </w:rPr>
              <w:t>经营区域向相应的县级以上地方人民政府出租汽车行政主</w:t>
            </w:r>
            <w:r>
              <w:t xml:space="preserve"> </w:t>
            </w:r>
            <w:r>
              <w:rPr>
                <w:spacing w:val="-4"/>
              </w:rPr>
              <w:t>管部门提出申请，并符合下列条件：</w:t>
            </w:r>
          </w:p>
          <w:p w14:paraId="592623A7">
            <w:pPr>
              <w:pStyle w:val="8"/>
              <w:spacing w:before="25" w:line="233" w:lineRule="auto"/>
              <w:ind w:left="135" w:right="108" w:firstLine="352"/>
            </w:pPr>
            <w:r>
              <w:rPr>
                <w:spacing w:val="-1"/>
              </w:rPr>
              <w:t>（一）有符合机动车管理要求并满足以下条件的车辆或者提供保证满足以下条件的车辆承诺书：1.符合</w:t>
            </w:r>
            <w:r>
              <w:rPr>
                <w:spacing w:val="11"/>
              </w:rPr>
              <w:t xml:space="preserve"> </w:t>
            </w:r>
            <w:r>
              <w:rPr>
                <w:spacing w:val="-1"/>
              </w:rPr>
              <w:t>国家、地方规定的巡游出租汽车技术条件；2.有按照第十三条  规定取得的巡游出租汽车车辆经</w:t>
            </w:r>
            <w:r>
              <w:rPr>
                <w:spacing w:val="-2"/>
              </w:rPr>
              <w:t>营权。</w:t>
            </w:r>
          </w:p>
          <w:p w14:paraId="77E86404">
            <w:pPr>
              <w:pStyle w:val="8"/>
              <w:spacing w:before="26" w:line="219" w:lineRule="auto"/>
              <w:ind w:left="487"/>
            </w:pPr>
            <w:r>
              <w:rPr>
                <w:spacing w:val="-3"/>
              </w:rPr>
              <w:t>（二）有取得符合要求的从业资格证件的驾驶人员；</w:t>
            </w:r>
          </w:p>
          <w:p w14:paraId="2CE1E7FA">
            <w:pPr>
              <w:pStyle w:val="8"/>
              <w:spacing w:before="27" w:line="219" w:lineRule="auto"/>
              <w:ind w:left="487"/>
            </w:pPr>
            <w:r>
              <w:rPr>
                <w:spacing w:val="-2"/>
              </w:rPr>
              <w:t>（三）有健全的经营管理制度、安全生产管理制度和服务质量保障制度；</w:t>
            </w:r>
          </w:p>
          <w:p w14:paraId="2C7C7C6E">
            <w:pPr>
              <w:pStyle w:val="8"/>
              <w:spacing w:before="26" w:line="219" w:lineRule="auto"/>
              <w:ind w:left="487"/>
            </w:pPr>
            <w:r>
              <w:rPr>
                <w:spacing w:val="-3"/>
              </w:rPr>
              <w:t>（四）有固定的经营场所和停车场地。</w:t>
            </w:r>
          </w:p>
          <w:p w14:paraId="45555C02">
            <w:pPr>
              <w:pStyle w:val="8"/>
              <w:spacing w:before="26" w:line="219" w:lineRule="auto"/>
              <w:ind w:left="481"/>
            </w:pPr>
            <w:r>
              <w:rPr>
                <w:b/>
                <w:bCs/>
                <w:spacing w:val="-3"/>
              </w:rPr>
              <w:t>3.《网络预约出租汽车经营服务管理暂行办法》（交通运输部令</w:t>
            </w:r>
            <w:r>
              <w:rPr>
                <w:spacing w:val="-17"/>
              </w:rPr>
              <w:t xml:space="preserve"> </w:t>
            </w:r>
            <w:r>
              <w:rPr>
                <w:b/>
                <w:bCs/>
                <w:spacing w:val="-3"/>
              </w:rPr>
              <w:t>2022</w:t>
            </w:r>
            <w:r>
              <w:rPr>
                <w:spacing w:val="-38"/>
              </w:rPr>
              <w:t xml:space="preserve"> </w:t>
            </w:r>
            <w:r>
              <w:rPr>
                <w:b/>
                <w:bCs/>
                <w:spacing w:val="-3"/>
              </w:rPr>
              <w:t>年第</w:t>
            </w:r>
            <w:r>
              <w:rPr>
                <w:spacing w:val="-38"/>
              </w:rPr>
              <w:t xml:space="preserve"> </w:t>
            </w:r>
            <w:r>
              <w:rPr>
                <w:b/>
                <w:bCs/>
                <w:spacing w:val="-3"/>
              </w:rPr>
              <w:t>42</w:t>
            </w:r>
            <w:r>
              <w:rPr>
                <w:spacing w:val="-35"/>
              </w:rPr>
              <w:t xml:space="preserve"> </w:t>
            </w:r>
            <w:r>
              <w:rPr>
                <w:b/>
                <w:bCs/>
                <w:spacing w:val="-3"/>
              </w:rPr>
              <w:t>号）</w:t>
            </w:r>
          </w:p>
          <w:p w14:paraId="438B3070">
            <w:pPr>
              <w:pStyle w:val="8"/>
              <w:spacing w:before="20" w:line="219" w:lineRule="auto"/>
              <w:ind w:left="477"/>
            </w:pPr>
            <w:r>
              <w:rPr>
                <w:spacing w:val="-1"/>
              </w:rPr>
              <w:t>第六条第一款  申请从事网约车经营的，应当根据经营区域向相应的出租汽车行政主管部</w:t>
            </w:r>
            <w:r>
              <w:rPr>
                <w:spacing w:val="-2"/>
              </w:rPr>
              <w:t>门提出申请，</w:t>
            </w:r>
          </w:p>
          <w:p w14:paraId="7672F2E2">
            <w:pPr>
              <w:pStyle w:val="8"/>
              <w:spacing w:before="26" w:line="219" w:lineRule="auto"/>
              <w:ind w:left="122"/>
            </w:pPr>
            <w:r>
              <w:rPr>
                <w:spacing w:val="-7"/>
              </w:rPr>
              <w:t>并提交以下材料：</w:t>
            </w:r>
          </w:p>
          <w:p w14:paraId="72E18C18">
            <w:pPr>
              <w:pStyle w:val="8"/>
              <w:spacing w:before="26" w:line="219" w:lineRule="auto"/>
              <w:ind w:left="487"/>
            </w:pPr>
            <w:r>
              <w:rPr>
                <w:spacing w:val="-3"/>
              </w:rPr>
              <w:t>（一）网络预约出租汽车经营申请表（见附件</w:t>
            </w:r>
            <w:r>
              <w:rPr>
                <w:spacing w:val="-2"/>
              </w:rPr>
              <w:t>）；</w:t>
            </w:r>
          </w:p>
          <w:p w14:paraId="0B7B4E4C">
            <w:pPr>
              <w:pStyle w:val="8"/>
              <w:spacing w:before="27" w:line="219" w:lineRule="auto"/>
              <w:ind w:left="487"/>
            </w:pPr>
            <w:r>
              <w:rPr>
                <w:spacing w:val="-2"/>
              </w:rPr>
              <w:t>（二）投资人、负责人身份、资信证明及其复印件，经办人的身份证明及其复印件和委托书；</w:t>
            </w:r>
          </w:p>
          <w:p w14:paraId="027425FE">
            <w:pPr>
              <w:pStyle w:val="8"/>
              <w:spacing w:before="26" w:line="219" w:lineRule="auto"/>
              <w:ind w:left="487"/>
            </w:pPr>
            <w:r>
              <w:rPr>
                <w:spacing w:val="-2"/>
              </w:rPr>
              <w:t>（三）企业法人营业执照，属于分支机构的还应当提交</w:t>
            </w:r>
            <w:r>
              <w:rPr>
                <w:spacing w:val="-3"/>
              </w:rPr>
              <w:t>营业执照；</w:t>
            </w:r>
          </w:p>
          <w:p w14:paraId="21DF5240">
            <w:pPr>
              <w:pStyle w:val="8"/>
              <w:spacing w:before="27" w:line="219" w:lineRule="auto"/>
              <w:ind w:left="487"/>
            </w:pPr>
            <w:r>
              <w:rPr>
                <w:spacing w:val="-3"/>
              </w:rPr>
              <w:t>（四）服务所在地办公场所、负责人员和管理人员等信息；</w:t>
            </w:r>
          </w:p>
          <w:p w14:paraId="3C6F9A04">
            <w:pPr>
              <w:pStyle w:val="8"/>
              <w:spacing w:before="26" w:line="237" w:lineRule="auto"/>
              <w:ind w:left="119" w:right="108" w:firstLine="368"/>
            </w:pPr>
            <w:r>
              <w:rPr>
                <w:spacing w:val="-1"/>
              </w:rPr>
              <w:t>（五）具备互联网平台和信息数据交互及处理能力的证明材料，具备供交通、通信、公安、税务、网信</w:t>
            </w:r>
            <w:r>
              <w:rPr>
                <w:spacing w:val="7"/>
              </w:rPr>
              <w:t xml:space="preserve"> </w:t>
            </w:r>
            <w:r>
              <w:t>等相关监管部门依法调取查询相关网络数据信</w:t>
            </w:r>
            <w:r>
              <w:rPr>
                <w:spacing w:val="-1"/>
              </w:rPr>
              <w:t>息条件的证明材料，数据库接入情况说明，服务器设置在中国</w:t>
            </w:r>
            <w:r>
              <w:t xml:space="preserve"> </w:t>
            </w:r>
            <w:r>
              <w:rPr>
                <w:spacing w:val="-1"/>
              </w:rPr>
              <w:t>内地的情况说明，依法建立并落实网络安全管理制度和安</w:t>
            </w:r>
            <w:r>
              <w:rPr>
                <w:spacing w:val="-2"/>
              </w:rPr>
              <w:t>全保护技术措施的证明材料；</w:t>
            </w:r>
          </w:p>
          <w:p w14:paraId="48F1E086">
            <w:pPr>
              <w:pStyle w:val="8"/>
              <w:spacing w:before="27" w:line="219" w:lineRule="auto"/>
              <w:ind w:left="487"/>
            </w:pPr>
            <w:r>
              <w:rPr>
                <w:spacing w:val="-2"/>
              </w:rPr>
              <w:t>（六）使用电子支付的，应当提供与银行、非银行支付机构签订的支付结算服务协议；</w:t>
            </w:r>
          </w:p>
          <w:p w14:paraId="38BE6412">
            <w:pPr>
              <w:pStyle w:val="8"/>
              <w:spacing w:before="26" w:line="219" w:lineRule="auto"/>
              <w:ind w:left="487"/>
            </w:pPr>
            <w:r>
              <w:rPr>
                <w:spacing w:val="-2"/>
              </w:rPr>
              <w:t>（七）经营管理制度、安全生产管理制度和服务质量保障制度</w:t>
            </w:r>
            <w:r>
              <w:rPr>
                <w:spacing w:val="-3"/>
              </w:rPr>
              <w:t>文本；</w:t>
            </w:r>
          </w:p>
          <w:p w14:paraId="2EF30150">
            <w:pPr>
              <w:pStyle w:val="8"/>
              <w:spacing w:before="27" w:line="219" w:lineRule="auto"/>
              <w:ind w:left="487" w:leftChars="0"/>
              <w:rPr>
                <w:rFonts w:ascii="宋体" w:hAnsi="宋体" w:eastAsia="宋体" w:cs="宋体"/>
                <w:snapToGrid w:val="0"/>
                <w:color w:val="000000"/>
                <w:kern w:val="0"/>
                <w:sz w:val="18"/>
                <w:szCs w:val="18"/>
                <w:lang w:val="en-US" w:eastAsia="en-US" w:bidi="ar-SA"/>
              </w:rPr>
            </w:pPr>
            <w:r>
              <w:rPr>
                <w:spacing w:val="-2"/>
              </w:rPr>
              <w:t>（八）法律法规要求提供的其他材料</w:t>
            </w:r>
          </w:p>
        </w:tc>
        <w:tc>
          <w:tcPr>
            <w:tcW w:w="1159" w:type="dxa"/>
            <w:vAlign w:val="top"/>
          </w:tcPr>
          <w:p w14:paraId="52B61F05">
            <w:pPr>
              <w:rPr>
                <w:rFonts w:ascii="Arial"/>
                <w:sz w:val="21"/>
              </w:rPr>
            </w:pPr>
          </w:p>
        </w:tc>
      </w:tr>
    </w:tbl>
    <w:p w14:paraId="562AA602">
      <w:pPr>
        <w:spacing w:line="121" w:lineRule="exact"/>
      </w:pPr>
    </w:p>
    <w:p w14:paraId="7A3706D1">
      <w:pPr>
        <w:pStyle w:val="2"/>
      </w:pPr>
    </w:p>
    <w:p w14:paraId="08CA4110">
      <w:pPr>
        <w:sectPr>
          <w:footerReference r:id="rId12" w:type="default"/>
          <w:pgSz w:w="16839" w:h="11906"/>
          <w:pgMar w:top="1012" w:right="1134" w:bottom="967" w:left="1134" w:header="0" w:footer="768" w:gutter="0"/>
          <w:cols w:space="720" w:num="1"/>
        </w:sectPr>
      </w:pPr>
    </w:p>
    <w:p w14:paraId="255AEC94">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00497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205493FD">
            <w:pPr>
              <w:pStyle w:val="8"/>
              <w:spacing w:before="183" w:line="221" w:lineRule="auto"/>
              <w:ind w:left="175"/>
            </w:pPr>
            <w:r>
              <w:rPr>
                <w:b/>
                <w:bCs/>
                <w:spacing w:val="-4"/>
              </w:rPr>
              <w:t>序号</w:t>
            </w:r>
          </w:p>
        </w:tc>
        <w:tc>
          <w:tcPr>
            <w:tcW w:w="1290" w:type="dxa"/>
            <w:vAlign w:val="top"/>
          </w:tcPr>
          <w:p w14:paraId="3D79C68C">
            <w:pPr>
              <w:pStyle w:val="8"/>
              <w:spacing w:before="183" w:line="220" w:lineRule="auto"/>
              <w:ind w:left="284"/>
            </w:pPr>
            <w:r>
              <w:rPr>
                <w:b/>
                <w:bCs/>
                <w:spacing w:val="-4"/>
              </w:rPr>
              <w:t>事项名称</w:t>
            </w:r>
          </w:p>
        </w:tc>
        <w:tc>
          <w:tcPr>
            <w:tcW w:w="1379" w:type="dxa"/>
            <w:vAlign w:val="top"/>
          </w:tcPr>
          <w:p w14:paraId="0CD2252F">
            <w:pPr>
              <w:pStyle w:val="8"/>
              <w:spacing w:before="183" w:line="219" w:lineRule="auto"/>
              <w:ind w:left="333"/>
            </w:pPr>
            <w:r>
              <w:rPr>
                <w:b/>
                <w:bCs/>
                <w:spacing w:val="-5"/>
              </w:rPr>
              <w:t>实施机关</w:t>
            </w:r>
          </w:p>
        </w:tc>
        <w:tc>
          <w:tcPr>
            <w:tcW w:w="1364" w:type="dxa"/>
            <w:vAlign w:val="top"/>
          </w:tcPr>
          <w:p w14:paraId="6187C0EB">
            <w:pPr>
              <w:pStyle w:val="8"/>
              <w:spacing w:before="183" w:line="219" w:lineRule="auto"/>
              <w:ind w:left="322"/>
            </w:pPr>
            <w:r>
              <w:rPr>
                <w:b/>
                <w:bCs/>
                <w:spacing w:val="-4"/>
              </w:rPr>
              <w:t>承办机构</w:t>
            </w:r>
          </w:p>
        </w:tc>
        <w:tc>
          <w:tcPr>
            <w:tcW w:w="8667" w:type="dxa"/>
            <w:vAlign w:val="top"/>
          </w:tcPr>
          <w:p w14:paraId="6E75B8C5">
            <w:pPr>
              <w:pStyle w:val="8"/>
              <w:spacing w:before="183" w:line="219" w:lineRule="auto"/>
              <w:ind w:left="3708"/>
            </w:pPr>
            <w:r>
              <w:rPr>
                <w:b/>
                <w:bCs/>
                <w:spacing w:val="-3"/>
              </w:rPr>
              <w:t>设定和实施依据</w:t>
            </w:r>
          </w:p>
        </w:tc>
        <w:tc>
          <w:tcPr>
            <w:tcW w:w="1159" w:type="dxa"/>
            <w:vAlign w:val="top"/>
          </w:tcPr>
          <w:p w14:paraId="342599A5">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03801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4" w:hRule="atLeast"/>
        </w:trPr>
        <w:tc>
          <w:tcPr>
            <w:tcW w:w="705" w:type="dxa"/>
            <w:vAlign w:val="top"/>
          </w:tcPr>
          <w:p w14:paraId="54242927">
            <w:pPr>
              <w:spacing w:line="263" w:lineRule="auto"/>
              <w:rPr>
                <w:rFonts w:ascii="Arial"/>
                <w:sz w:val="21"/>
              </w:rPr>
            </w:pPr>
          </w:p>
          <w:p w14:paraId="345CA7AA">
            <w:pPr>
              <w:spacing w:line="263" w:lineRule="auto"/>
              <w:rPr>
                <w:rFonts w:ascii="Arial"/>
                <w:sz w:val="21"/>
              </w:rPr>
            </w:pPr>
          </w:p>
          <w:p w14:paraId="2352F783">
            <w:pPr>
              <w:spacing w:line="264" w:lineRule="auto"/>
              <w:rPr>
                <w:rFonts w:ascii="Arial"/>
                <w:sz w:val="21"/>
              </w:rPr>
            </w:pPr>
          </w:p>
          <w:p w14:paraId="3CB23481">
            <w:pPr>
              <w:pStyle w:val="8"/>
              <w:spacing w:before="58" w:line="184" w:lineRule="auto"/>
              <w:ind w:left="280"/>
              <w:rPr>
                <w:rFonts w:hint="eastAsia" w:eastAsia="宋体"/>
                <w:lang w:eastAsia="zh-CN"/>
              </w:rPr>
            </w:pPr>
            <w:r>
              <w:rPr>
                <w:spacing w:val="-10"/>
              </w:rPr>
              <w:t>1</w:t>
            </w:r>
            <w:r>
              <w:rPr>
                <w:rFonts w:hint="eastAsia"/>
                <w:spacing w:val="-10"/>
                <w:lang w:val="en-US" w:eastAsia="zh-CN"/>
              </w:rPr>
              <w:t>1</w:t>
            </w:r>
          </w:p>
        </w:tc>
        <w:tc>
          <w:tcPr>
            <w:tcW w:w="1290" w:type="dxa"/>
            <w:vAlign w:val="top"/>
          </w:tcPr>
          <w:p w14:paraId="0B31B7A2">
            <w:pPr>
              <w:spacing w:line="322" w:lineRule="auto"/>
              <w:rPr>
                <w:rFonts w:ascii="Arial"/>
                <w:sz w:val="21"/>
              </w:rPr>
            </w:pPr>
          </w:p>
          <w:p w14:paraId="0C3E265F">
            <w:pPr>
              <w:spacing w:line="322" w:lineRule="auto"/>
              <w:rPr>
                <w:rFonts w:ascii="Arial"/>
                <w:sz w:val="21"/>
              </w:rPr>
            </w:pPr>
          </w:p>
          <w:p w14:paraId="3FAF2CFB">
            <w:pPr>
              <w:pStyle w:val="8"/>
              <w:spacing w:before="58" w:line="233" w:lineRule="auto"/>
              <w:ind w:left="30" w:right="28" w:firstLine="15"/>
            </w:pPr>
            <w:r>
              <w:rPr>
                <w:spacing w:val="21"/>
              </w:rPr>
              <w:t>出租汽车车辆</w:t>
            </w:r>
            <w:r>
              <w:rPr>
                <w:spacing w:val="4"/>
              </w:rPr>
              <w:t xml:space="preserve"> </w:t>
            </w:r>
            <w:r>
              <w:rPr>
                <w:spacing w:val="-2"/>
              </w:rPr>
              <w:t>运营证核发</w:t>
            </w:r>
          </w:p>
        </w:tc>
        <w:tc>
          <w:tcPr>
            <w:tcW w:w="1379" w:type="dxa"/>
            <w:vAlign w:val="top"/>
          </w:tcPr>
          <w:p w14:paraId="3AA840C6">
            <w:pPr>
              <w:spacing w:line="406" w:lineRule="auto"/>
              <w:rPr>
                <w:rFonts w:ascii="Arial"/>
                <w:sz w:val="21"/>
              </w:rPr>
            </w:pPr>
          </w:p>
          <w:p w14:paraId="54912CD0">
            <w:pPr>
              <w:pStyle w:val="8"/>
              <w:spacing w:before="59"/>
              <w:ind w:left="30" w:right="27"/>
              <w:jc w:val="both"/>
            </w:pPr>
            <w:r>
              <w:rPr>
                <w:rFonts w:hint="eastAsia"/>
                <w:spacing w:val="7"/>
                <w:lang w:eastAsia="zh-CN"/>
              </w:rPr>
              <w:t>津市市交通运输局</w:t>
            </w:r>
          </w:p>
        </w:tc>
        <w:tc>
          <w:tcPr>
            <w:tcW w:w="1364" w:type="dxa"/>
            <w:vAlign w:val="top"/>
          </w:tcPr>
          <w:p w14:paraId="5BF0EF44">
            <w:pPr>
              <w:spacing w:line="254" w:lineRule="auto"/>
              <w:rPr>
                <w:rFonts w:ascii="Arial"/>
                <w:sz w:val="21"/>
              </w:rPr>
            </w:pPr>
          </w:p>
          <w:p w14:paraId="1F340FD3">
            <w:pPr>
              <w:spacing w:line="254" w:lineRule="auto"/>
              <w:rPr>
                <w:rFonts w:ascii="Arial"/>
                <w:sz w:val="21"/>
              </w:rPr>
            </w:pPr>
          </w:p>
          <w:p w14:paraId="26E6CB6A">
            <w:pPr>
              <w:spacing w:line="254" w:lineRule="auto"/>
              <w:rPr>
                <w:rFonts w:ascii="Arial"/>
                <w:sz w:val="21"/>
              </w:rPr>
            </w:pPr>
          </w:p>
          <w:p w14:paraId="69D33010">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18733036">
            <w:pPr>
              <w:pStyle w:val="8"/>
              <w:spacing w:before="233" w:line="219" w:lineRule="auto"/>
              <w:ind w:left="491"/>
            </w:pPr>
            <w:r>
              <w:rPr>
                <w:b/>
                <w:bCs/>
                <w:spacing w:val="-2"/>
              </w:rPr>
              <w:t>1.《国务院对确需保留的行政审批项目设定行政许可的决定》（国务院令第四百一十</w:t>
            </w:r>
            <w:r>
              <w:rPr>
                <w:b/>
                <w:bCs/>
                <w:spacing w:val="-3"/>
              </w:rPr>
              <w:t>二号）</w:t>
            </w:r>
          </w:p>
          <w:p w14:paraId="22B59B36">
            <w:pPr>
              <w:pStyle w:val="8"/>
              <w:spacing w:before="27" w:line="219" w:lineRule="auto"/>
              <w:ind w:left="477"/>
            </w:pPr>
            <w:r>
              <w:rPr>
                <w:spacing w:val="-2"/>
              </w:rPr>
              <w:t>第</w:t>
            </w:r>
            <w:r>
              <w:rPr>
                <w:spacing w:val="-26"/>
              </w:rPr>
              <w:t xml:space="preserve"> </w:t>
            </w:r>
            <w:r>
              <w:rPr>
                <w:spacing w:val="-2"/>
              </w:rPr>
              <w:t>112</w:t>
            </w:r>
            <w:r>
              <w:rPr>
                <w:spacing w:val="-34"/>
              </w:rPr>
              <w:t xml:space="preserve"> </w:t>
            </w:r>
            <w:r>
              <w:rPr>
                <w:spacing w:val="-2"/>
              </w:rPr>
              <w:t>项  出租汽车经营资格证、车辆运营证和驾驶员客运资格证核发。</w:t>
            </w:r>
          </w:p>
          <w:p w14:paraId="477B5607">
            <w:pPr>
              <w:pStyle w:val="8"/>
              <w:spacing w:before="25" w:line="219" w:lineRule="auto"/>
              <w:ind w:left="479"/>
            </w:pPr>
            <w:r>
              <w:rPr>
                <w:b/>
                <w:bCs/>
                <w:spacing w:val="-2"/>
              </w:rPr>
              <w:t>2.《网络预约出租汽车经营服务管理暂行</w:t>
            </w:r>
            <w:r>
              <w:rPr>
                <w:b/>
                <w:bCs/>
                <w:spacing w:val="-3"/>
              </w:rPr>
              <w:t>办法》（交通运输部令</w:t>
            </w:r>
            <w:r>
              <w:rPr>
                <w:spacing w:val="-35"/>
              </w:rPr>
              <w:t xml:space="preserve"> </w:t>
            </w:r>
            <w:r>
              <w:rPr>
                <w:b/>
                <w:bCs/>
                <w:spacing w:val="-3"/>
              </w:rPr>
              <w:t>2022</w:t>
            </w:r>
            <w:r>
              <w:rPr>
                <w:spacing w:val="-38"/>
              </w:rPr>
              <w:t xml:space="preserve"> </w:t>
            </w:r>
            <w:r>
              <w:rPr>
                <w:b/>
                <w:bCs/>
                <w:spacing w:val="-3"/>
              </w:rPr>
              <w:t>年第</w:t>
            </w:r>
            <w:r>
              <w:rPr>
                <w:spacing w:val="-38"/>
              </w:rPr>
              <w:t xml:space="preserve"> </w:t>
            </w:r>
            <w:r>
              <w:rPr>
                <w:b/>
                <w:bCs/>
                <w:spacing w:val="-3"/>
              </w:rPr>
              <w:t>42</w:t>
            </w:r>
            <w:r>
              <w:rPr>
                <w:spacing w:val="-34"/>
              </w:rPr>
              <w:t xml:space="preserve"> </w:t>
            </w:r>
            <w:r>
              <w:rPr>
                <w:b/>
                <w:bCs/>
                <w:spacing w:val="-3"/>
              </w:rPr>
              <w:t>号）</w:t>
            </w:r>
          </w:p>
          <w:p w14:paraId="48C3844E">
            <w:pPr>
              <w:pStyle w:val="8"/>
              <w:spacing w:before="26" w:line="219" w:lineRule="auto"/>
              <w:ind w:left="477"/>
            </w:pPr>
            <w:r>
              <w:t>第十三条  服务所在地出租汽车行政主管部门依车辆所有人或者</w:t>
            </w:r>
            <w:r>
              <w:rPr>
                <w:spacing w:val="-1"/>
              </w:rPr>
              <w:t>网约车平台公司申请，按第十二条  规</w:t>
            </w:r>
          </w:p>
          <w:p w14:paraId="15CCE40D">
            <w:pPr>
              <w:pStyle w:val="8"/>
              <w:spacing w:before="25" w:line="233" w:lineRule="auto"/>
              <w:ind w:left="477" w:right="842" w:hanging="355"/>
            </w:pPr>
            <w:r>
              <w:rPr>
                <w:spacing w:val="-1"/>
              </w:rPr>
              <w:t>定的条件审核后，对符合条件并登记为预约出租客运的车辆，发放《网络预约出租汽车运输证》。</w:t>
            </w:r>
            <w:r>
              <w:t xml:space="preserve"> </w:t>
            </w:r>
            <w:r>
              <w:rPr>
                <w:spacing w:val="-1"/>
              </w:rPr>
              <w:t>城市人民政府对网约车发放《网络预约出租汽车运输证》另有规定的，从其规定。</w:t>
            </w:r>
          </w:p>
        </w:tc>
        <w:tc>
          <w:tcPr>
            <w:tcW w:w="1159" w:type="dxa"/>
            <w:vAlign w:val="top"/>
          </w:tcPr>
          <w:p w14:paraId="53977A3E">
            <w:pPr>
              <w:rPr>
                <w:rFonts w:ascii="Arial"/>
                <w:sz w:val="21"/>
              </w:rPr>
            </w:pPr>
          </w:p>
        </w:tc>
      </w:tr>
      <w:tr w14:paraId="2B848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9" w:hRule="atLeast"/>
        </w:trPr>
        <w:tc>
          <w:tcPr>
            <w:tcW w:w="705" w:type="dxa"/>
            <w:vAlign w:val="top"/>
          </w:tcPr>
          <w:p w14:paraId="0DBEBE5D">
            <w:pPr>
              <w:spacing w:line="263" w:lineRule="auto"/>
              <w:rPr>
                <w:rFonts w:ascii="Arial"/>
                <w:sz w:val="21"/>
              </w:rPr>
            </w:pPr>
          </w:p>
          <w:p w14:paraId="11F2C5FC">
            <w:pPr>
              <w:spacing w:line="263" w:lineRule="auto"/>
              <w:rPr>
                <w:rFonts w:ascii="Arial"/>
                <w:sz w:val="21"/>
              </w:rPr>
            </w:pPr>
          </w:p>
          <w:p w14:paraId="4F3FEF38">
            <w:pPr>
              <w:spacing w:line="264" w:lineRule="auto"/>
              <w:rPr>
                <w:rFonts w:ascii="Arial"/>
                <w:sz w:val="21"/>
              </w:rPr>
            </w:pPr>
          </w:p>
          <w:p w14:paraId="7013CF46">
            <w:pPr>
              <w:spacing w:line="264" w:lineRule="auto"/>
              <w:rPr>
                <w:rFonts w:ascii="Arial"/>
                <w:sz w:val="21"/>
              </w:rPr>
            </w:pPr>
          </w:p>
          <w:p w14:paraId="293D4BE1">
            <w:pPr>
              <w:spacing w:line="264" w:lineRule="auto"/>
              <w:rPr>
                <w:rFonts w:ascii="Arial"/>
                <w:sz w:val="21"/>
              </w:rPr>
            </w:pPr>
          </w:p>
          <w:p w14:paraId="548B5FAD">
            <w:pPr>
              <w:spacing w:line="264" w:lineRule="auto"/>
              <w:rPr>
                <w:rFonts w:ascii="Arial"/>
                <w:sz w:val="21"/>
              </w:rPr>
            </w:pPr>
          </w:p>
          <w:p w14:paraId="0EC866C3">
            <w:pPr>
              <w:pStyle w:val="8"/>
              <w:spacing w:before="59" w:line="183" w:lineRule="auto"/>
              <w:ind w:left="269"/>
              <w:rPr>
                <w:rFonts w:hint="default" w:eastAsia="宋体"/>
                <w:lang w:val="en-US" w:eastAsia="zh-CN"/>
              </w:rPr>
            </w:pPr>
            <w:r>
              <w:rPr>
                <w:rFonts w:hint="eastAsia"/>
                <w:lang w:val="en-US" w:eastAsia="zh-CN"/>
              </w:rPr>
              <w:t>12</w:t>
            </w:r>
          </w:p>
        </w:tc>
        <w:tc>
          <w:tcPr>
            <w:tcW w:w="1290" w:type="dxa"/>
            <w:vAlign w:val="top"/>
          </w:tcPr>
          <w:p w14:paraId="4C839625">
            <w:pPr>
              <w:spacing w:line="287" w:lineRule="auto"/>
              <w:rPr>
                <w:rFonts w:ascii="Arial"/>
                <w:sz w:val="21"/>
              </w:rPr>
            </w:pPr>
          </w:p>
          <w:p w14:paraId="39FD28B9">
            <w:pPr>
              <w:spacing w:line="287" w:lineRule="auto"/>
              <w:rPr>
                <w:rFonts w:ascii="Arial"/>
                <w:sz w:val="21"/>
              </w:rPr>
            </w:pPr>
          </w:p>
          <w:p w14:paraId="4E6E17C3">
            <w:pPr>
              <w:spacing w:line="287" w:lineRule="auto"/>
              <w:rPr>
                <w:rFonts w:ascii="Arial"/>
                <w:sz w:val="21"/>
              </w:rPr>
            </w:pPr>
          </w:p>
          <w:p w14:paraId="63F0225E">
            <w:pPr>
              <w:spacing w:line="287" w:lineRule="auto"/>
              <w:rPr>
                <w:rFonts w:ascii="Arial"/>
                <w:sz w:val="21"/>
              </w:rPr>
            </w:pPr>
          </w:p>
          <w:p w14:paraId="308DDD5D">
            <w:pPr>
              <w:spacing w:line="287" w:lineRule="auto"/>
              <w:rPr>
                <w:rFonts w:ascii="Arial"/>
                <w:sz w:val="21"/>
              </w:rPr>
            </w:pPr>
          </w:p>
          <w:p w14:paraId="42B95615">
            <w:pPr>
              <w:pStyle w:val="8"/>
              <w:spacing w:before="58" w:line="233" w:lineRule="auto"/>
              <w:ind w:left="38" w:right="28" w:hanging="9"/>
            </w:pPr>
            <w:r>
              <w:rPr>
                <w:spacing w:val="24"/>
              </w:rPr>
              <w:t>港口岸线使用</w:t>
            </w:r>
            <w:r>
              <w:rPr>
                <w:spacing w:val="2"/>
              </w:rPr>
              <w:t xml:space="preserve"> </w:t>
            </w:r>
            <w:r>
              <w:rPr>
                <w:spacing w:val="-5"/>
              </w:rPr>
              <w:t>审批</w:t>
            </w:r>
          </w:p>
        </w:tc>
        <w:tc>
          <w:tcPr>
            <w:tcW w:w="1379" w:type="dxa"/>
            <w:vAlign w:val="top"/>
          </w:tcPr>
          <w:p w14:paraId="3A64666C">
            <w:pPr>
              <w:spacing w:line="298" w:lineRule="auto"/>
              <w:rPr>
                <w:rFonts w:ascii="Arial"/>
                <w:sz w:val="21"/>
              </w:rPr>
            </w:pPr>
          </w:p>
          <w:p w14:paraId="5E9A6F69">
            <w:pPr>
              <w:spacing w:line="298" w:lineRule="auto"/>
              <w:rPr>
                <w:rFonts w:ascii="Arial"/>
                <w:sz w:val="21"/>
              </w:rPr>
            </w:pPr>
          </w:p>
          <w:p w14:paraId="70A15B5A">
            <w:pPr>
              <w:spacing w:line="299" w:lineRule="auto"/>
              <w:rPr>
                <w:rFonts w:ascii="Arial"/>
                <w:sz w:val="21"/>
              </w:rPr>
            </w:pPr>
          </w:p>
          <w:p w14:paraId="5B1DDB51">
            <w:pPr>
              <w:spacing w:line="299" w:lineRule="auto"/>
              <w:rPr>
                <w:rFonts w:ascii="Arial"/>
                <w:sz w:val="21"/>
              </w:rPr>
            </w:pPr>
          </w:p>
          <w:p w14:paraId="4FC11889">
            <w:pPr>
              <w:pStyle w:val="8"/>
              <w:spacing w:before="59"/>
              <w:ind w:left="30" w:right="27"/>
              <w:rPr>
                <w:rFonts w:hint="eastAsia" w:eastAsia="宋体"/>
                <w:lang w:eastAsia="zh-CN"/>
              </w:rPr>
            </w:pPr>
            <w:r>
              <w:rPr>
                <w:rFonts w:hint="eastAsia"/>
                <w:spacing w:val="6"/>
                <w:lang w:eastAsia="zh-CN"/>
              </w:rPr>
              <w:t>津市市交通运输局</w:t>
            </w:r>
          </w:p>
        </w:tc>
        <w:tc>
          <w:tcPr>
            <w:tcW w:w="1364" w:type="dxa"/>
            <w:vAlign w:val="top"/>
          </w:tcPr>
          <w:p w14:paraId="46433FBE">
            <w:pPr>
              <w:spacing w:line="258" w:lineRule="auto"/>
              <w:rPr>
                <w:rFonts w:ascii="Arial"/>
                <w:sz w:val="21"/>
              </w:rPr>
            </w:pPr>
          </w:p>
          <w:p w14:paraId="2F53545F">
            <w:pPr>
              <w:spacing w:line="259" w:lineRule="auto"/>
              <w:rPr>
                <w:rFonts w:ascii="Arial"/>
                <w:sz w:val="21"/>
              </w:rPr>
            </w:pPr>
          </w:p>
          <w:p w14:paraId="571296B1">
            <w:pPr>
              <w:spacing w:line="259" w:lineRule="auto"/>
              <w:rPr>
                <w:rFonts w:ascii="Arial"/>
                <w:sz w:val="21"/>
              </w:rPr>
            </w:pPr>
          </w:p>
          <w:p w14:paraId="779A425F">
            <w:pPr>
              <w:spacing w:line="259" w:lineRule="auto"/>
              <w:rPr>
                <w:rFonts w:ascii="Arial"/>
                <w:sz w:val="21"/>
              </w:rPr>
            </w:pPr>
          </w:p>
          <w:p w14:paraId="054E9C79">
            <w:pPr>
              <w:spacing w:line="259" w:lineRule="auto"/>
              <w:rPr>
                <w:rFonts w:ascii="Arial"/>
                <w:sz w:val="21"/>
              </w:rPr>
            </w:pPr>
          </w:p>
          <w:p w14:paraId="4DE5132E">
            <w:pPr>
              <w:spacing w:line="259" w:lineRule="auto"/>
              <w:rPr>
                <w:rFonts w:ascii="Arial"/>
                <w:sz w:val="21"/>
              </w:rPr>
            </w:pPr>
          </w:p>
          <w:p w14:paraId="667489E2">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36F10447">
            <w:pPr>
              <w:pStyle w:val="8"/>
              <w:spacing w:before="67" w:line="219" w:lineRule="auto"/>
              <w:ind w:left="488"/>
            </w:pPr>
            <w:r>
              <w:rPr>
                <w:b/>
                <w:bCs/>
                <w:spacing w:val="-4"/>
              </w:rPr>
              <w:t>1.《中华人民共和国港口法》</w:t>
            </w:r>
          </w:p>
          <w:p w14:paraId="0B8F1538">
            <w:pPr>
              <w:pStyle w:val="8"/>
              <w:spacing w:before="24"/>
              <w:ind w:left="117" w:right="64" w:firstLine="358"/>
              <w:jc w:val="both"/>
            </w:pPr>
            <w:r>
              <w:t>第十三条第一款  在港口总体规划区内建设港口设</w:t>
            </w:r>
            <w:r>
              <w:rPr>
                <w:spacing w:val="-1"/>
              </w:rPr>
              <w:t>施，使用港口深水岸线的，由国务院交通主管部门会</w:t>
            </w:r>
            <w:r>
              <w:t xml:space="preserve"> </w:t>
            </w:r>
            <w:r>
              <w:rPr>
                <w:spacing w:val="-3"/>
              </w:rPr>
              <w:t>同国务院经济综合宏观调控部门批准；建设港口设施，使用非深水岸线</w:t>
            </w:r>
            <w:r>
              <w:rPr>
                <w:spacing w:val="-4"/>
              </w:rPr>
              <w:t>的，由港口行政管理部门批准。但是，</w:t>
            </w:r>
            <w:r>
              <w:t xml:space="preserve"> 由国务院或者国务院经济综合宏观调控部门批准建</w:t>
            </w:r>
            <w:r>
              <w:rPr>
                <w:spacing w:val="-1"/>
              </w:rPr>
              <w:t>设的项目使用港口岸线，不再另行办理使用港口岸线的审</w:t>
            </w:r>
            <w:r>
              <w:t xml:space="preserve"> </w:t>
            </w:r>
            <w:r>
              <w:rPr>
                <w:spacing w:val="-7"/>
              </w:rPr>
              <w:t>批手续。</w:t>
            </w:r>
          </w:p>
          <w:p w14:paraId="16F49DDC">
            <w:pPr>
              <w:pStyle w:val="8"/>
              <w:spacing w:before="24" w:line="219" w:lineRule="auto"/>
              <w:ind w:left="477"/>
            </w:pPr>
            <w:r>
              <w:rPr>
                <w:b/>
                <w:bCs/>
                <w:spacing w:val="-3"/>
              </w:rPr>
              <w:t>2.《港口岸线使用审批管理办法》（交通运输部国家发展改革委令</w:t>
            </w:r>
            <w:r>
              <w:rPr>
                <w:spacing w:val="-22"/>
              </w:rPr>
              <w:t xml:space="preserve"> </w:t>
            </w:r>
            <w:r>
              <w:rPr>
                <w:b/>
                <w:bCs/>
                <w:spacing w:val="-3"/>
              </w:rPr>
              <w:t>2018</w:t>
            </w:r>
            <w:r>
              <w:rPr>
                <w:spacing w:val="-37"/>
              </w:rPr>
              <w:t xml:space="preserve"> </w:t>
            </w:r>
            <w:r>
              <w:rPr>
                <w:b/>
                <w:bCs/>
                <w:spacing w:val="-3"/>
              </w:rPr>
              <w:t>年第</w:t>
            </w:r>
            <w:r>
              <w:rPr>
                <w:spacing w:val="-34"/>
              </w:rPr>
              <w:t xml:space="preserve"> </w:t>
            </w:r>
            <w:r>
              <w:rPr>
                <w:b/>
                <w:bCs/>
                <w:spacing w:val="-3"/>
              </w:rPr>
              <w:t>5</w:t>
            </w:r>
            <w:r>
              <w:rPr>
                <w:spacing w:val="-32"/>
              </w:rPr>
              <w:t xml:space="preserve"> </w:t>
            </w:r>
            <w:r>
              <w:rPr>
                <w:b/>
                <w:bCs/>
                <w:spacing w:val="-3"/>
              </w:rPr>
              <w:t>号）</w:t>
            </w:r>
          </w:p>
          <w:p w14:paraId="1C46F910">
            <w:pPr>
              <w:pStyle w:val="8"/>
              <w:spacing w:before="26" w:line="233" w:lineRule="auto"/>
              <w:ind w:left="117" w:right="108" w:firstLine="357"/>
            </w:pPr>
            <w:r>
              <w:t>第六条  需要使用港口岸线的建设项目，应当在报</w:t>
            </w:r>
            <w:r>
              <w:rPr>
                <w:spacing w:val="-1"/>
              </w:rPr>
              <w:t>送项目申请报告或者可行性研究报告前，向港口所在</w:t>
            </w:r>
            <w:r>
              <w:t xml:space="preserve"> 地港口行政管理部门提出港口岸线使用申请</w:t>
            </w:r>
            <w:r>
              <w:rPr>
                <w:spacing w:val="-1"/>
              </w:rPr>
              <w:t>，申请材料包括:</w:t>
            </w:r>
          </w:p>
          <w:p w14:paraId="08AF9922">
            <w:pPr>
              <w:pStyle w:val="8"/>
              <w:spacing w:before="27" w:line="219" w:lineRule="auto"/>
              <w:ind w:left="485"/>
            </w:pPr>
            <w:r>
              <w:rPr>
                <w:spacing w:val="-1"/>
              </w:rPr>
              <w:t>（一）港口岸线使用申请表，内容包括岸线长</w:t>
            </w:r>
            <w:r>
              <w:rPr>
                <w:spacing w:val="-2"/>
              </w:rPr>
              <w:t>度、使用用途、泊位吨级、通过能力等;</w:t>
            </w:r>
          </w:p>
          <w:p w14:paraId="327486DD">
            <w:pPr>
              <w:pStyle w:val="8"/>
              <w:spacing w:before="25" w:line="219" w:lineRule="auto"/>
              <w:ind w:left="485"/>
            </w:pPr>
            <w:r>
              <w:rPr>
                <w:spacing w:val="-4"/>
              </w:rPr>
              <w:t>（二）申请人情况及相关材料;</w:t>
            </w:r>
          </w:p>
          <w:p w14:paraId="146B4180">
            <w:pPr>
              <w:pStyle w:val="8"/>
              <w:spacing w:before="27" w:line="218" w:lineRule="auto"/>
              <w:ind w:left="485"/>
            </w:pPr>
            <w:r>
              <w:rPr>
                <w:spacing w:val="-2"/>
              </w:rPr>
              <w:t>（三）建设项目工程可行性研究报告或者项目</w:t>
            </w:r>
            <w:r>
              <w:rPr>
                <w:spacing w:val="-3"/>
              </w:rPr>
              <w:t>申请报告;</w:t>
            </w:r>
          </w:p>
          <w:p w14:paraId="7D2341F3">
            <w:pPr>
              <w:pStyle w:val="8"/>
              <w:spacing w:before="28" w:line="219" w:lineRule="auto"/>
              <w:ind w:left="485"/>
            </w:pPr>
            <w:r>
              <w:rPr>
                <w:spacing w:val="-4"/>
              </w:rPr>
              <w:t>（四）海事、航道部门关于建设项目的意见；</w:t>
            </w:r>
          </w:p>
          <w:p w14:paraId="7AD79BA2">
            <w:pPr>
              <w:pStyle w:val="8"/>
              <w:spacing w:before="26" w:line="219" w:lineRule="auto"/>
              <w:ind w:left="485"/>
            </w:pPr>
            <w:r>
              <w:rPr>
                <w:spacing w:val="-3"/>
              </w:rPr>
              <w:t>（五）法律、法规规定的其他材料。</w:t>
            </w:r>
          </w:p>
          <w:p w14:paraId="5D3AEAC0">
            <w:pPr>
              <w:pStyle w:val="8"/>
              <w:spacing w:before="27" w:line="219" w:lineRule="auto"/>
              <w:ind w:left="478"/>
            </w:pPr>
            <w:r>
              <w:rPr>
                <w:spacing w:val="-1"/>
              </w:rPr>
              <w:t>前款规定的港口岸线使用申请表样式，由交通运输部统</w:t>
            </w:r>
            <w:r>
              <w:rPr>
                <w:spacing w:val="-2"/>
              </w:rPr>
              <w:t>一规定。</w:t>
            </w:r>
          </w:p>
        </w:tc>
        <w:tc>
          <w:tcPr>
            <w:tcW w:w="1159" w:type="dxa"/>
            <w:vAlign w:val="top"/>
          </w:tcPr>
          <w:p w14:paraId="6ED691E6">
            <w:pPr>
              <w:rPr>
                <w:rFonts w:ascii="Arial"/>
                <w:sz w:val="21"/>
              </w:rPr>
            </w:pPr>
          </w:p>
        </w:tc>
      </w:tr>
      <w:tr w14:paraId="34105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2" w:hRule="atLeast"/>
        </w:trPr>
        <w:tc>
          <w:tcPr>
            <w:tcW w:w="705" w:type="dxa"/>
            <w:vAlign w:val="top"/>
          </w:tcPr>
          <w:p w14:paraId="4BF78DE2">
            <w:pPr>
              <w:spacing w:line="248" w:lineRule="auto"/>
              <w:rPr>
                <w:rFonts w:ascii="Arial"/>
                <w:sz w:val="21"/>
              </w:rPr>
            </w:pPr>
          </w:p>
          <w:p w14:paraId="2658EB52">
            <w:pPr>
              <w:spacing w:line="249" w:lineRule="auto"/>
              <w:rPr>
                <w:rFonts w:ascii="Arial"/>
                <w:sz w:val="21"/>
              </w:rPr>
            </w:pPr>
          </w:p>
          <w:p w14:paraId="09AA479C">
            <w:pPr>
              <w:spacing w:line="249" w:lineRule="auto"/>
              <w:rPr>
                <w:rFonts w:ascii="Arial"/>
                <w:sz w:val="21"/>
              </w:rPr>
            </w:pPr>
          </w:p>
          <w:p w14:paraId="5A93881D">
            <w:pPr>
              <w:spacing w:line="249" w:lineRule="auto"/>
              <w:rPr>
                <w:rFonts w:ascii="Arial"/>
                <w:sz w:val="21"/>
              </w:rPr>
            </w:pPr>
          </w:p>
          <w:p w14:paraId="6CDA105F">
            <w:pPr>
              <w:spacing w:line="249" w:lineRule="auto"/>
              <w:rPr>
                <w:rFonts w:ascii="Arial"/>
                <w:sz w:val="21"/>
              </w:rPr>
            </w:pPr>
          </w:p>
          <w:p w14:paraId="0FAE5C2F">
            <w:pPr>
              <w:spacing w:line="249" w:lineRule="auto"/>
              <w:rPr>
                <w:rFonts w:ascii="Arial"/>
                <w:sz w:val="21"/>
              </w:rPr>
            </w:pPr>
          </w:p>
          <w:p w14:paraId="0165C8C3">
            <w:pPr>
              <w:spacing w:line="249" w:lineRule="auto"/>
              <w:rPr>
                <w:rFonts w:ascii="Arial"/>
                <w:sz w:val="21"/>
              </w:rPr>
            </w:pPr>
          </w:p>
          <w:p w14:paraId="2048B4D7">
            <w:pPr>
              <w:pStyle w:val="8"/>
              <w:spacing w:before="58" w:line="184" w:lineRule="auto"/>
              <w:ind w:left="269"/>
              <w:rPr>
                <w:rFonts w:hint="default" w:eastAsia="宋体"/>
                <w:lang w:val="en-US" w:eastAsia="zh-CN"/>
              </w:rPr>
            </w:pPr>
            <w:r>
              <w:rPr>
                <w:rFonts w:hint="eastAsia"/>
                <w:spacing w:val="-4"/>
                <w:lang w:val="en-US" w:eastAsia="zh-CN"/>
              </w:rPr>
              <w:t>13</w:t>
            </w:r>
          </w:p>
        </w:tc>
        <w:tc>
          <w:tcPr>
            <w:tcW w:w="1290" w:type="dxa"/>
            <w:vAlign w:val="top"/>
          </w:tcPr>
          <w:p w14:paraId="3CA0D373">
            <w:pPr>
              <w:spacing w:line="265" w:lineRule="auto"/>
              <w:rPr>
                <w:rFonts w:ascii="Arial"/>
                <w:sz w:val="21"/>
              </w:rPr>
            </w:pPr>
          </w:p>
          <w:p w14:paraId="21DB4F07">
            <w:pPr>
              <w:spacing w:line="266" w:lineRule="auto"/>
              <w:rPr>
                <w:rFonts w:ascii="Arial"/>
                <w:sz w:val="21"/>
              </w:rPr>
            </w:pPr>
          </w:p>
          <w:p w14:paraId="567551ED">
            <w:pPr>
              <w:spacing w:line="266" w:lineRule="auto"/>
              <w:rPr>
                <w:rFonts w:ascii="Arial"/>
                <w:sz w:val="21"/>
              </w:rPr>
            </w:pPr>
          </w:p>
          <w:p w14:paraId="2031B7A3">
            <w:pPr>
              <w:spacing w:line="266" w:lineRule="auto"/>
              <w:rPr>
                <w:rFonts w:ascii="Arial"/>
                <w:sz w:val="21"/>
              </w:rPr>
            </w:pPr>
          </w:p>
          <w:p w14:paraId="1DB9D195">
            <w:pPr>
              <w:spacing w:line="266" w:lineRule="auto"/>
              <w:rPr>
                <w:rFonts w:ascii="Arial"/>
                <w:sz w:val="21"/>
              </w:rPr>
            </w:pPr>
          </w:p>
          <w:p w14:paraId="311FA3F9">
            <w:pPr>
              <w:spacing w:line="266" w:lineRule="auto"/>
              <w:rPr>
                <w:rFonts w:ascii="Arial"/>
                <w:sz w:val="21"/>
              </w:rPr>
            </w:pPr>
          </w:p>
          <w:p w14:paraId="7C0BF266">
            <w:pPr>
              <w:pStyle w:val="8"/>
              <w:spacing w:before="58" w:line="233" w:lineRule="auto"/>
              <w:ind w:left="32" w:right="28"/>
            </w:pPr>
            <w:r>
              <w:rPr>
                <w:spacing w:val="24"/>
              </w:rPr>
              <w:t>水运建设项目</w:t>
            </w:r>
            <w:r>
              <w:t xml:space="preserve"> </w:t>
            </w:r>
            <w:r>
              <w:rPr>
                <w:spacing w:val="-2"/>
              </w:rPr>
              <w:t>设计文件审批</w:t>
            </w:r>
          </w:p>
        </w:tc>
        <w:tc>
          <w:tcPr>
            <w:tcW w:w="1379" w:type="dxa"/>
            <w:vAlign w:val="top"/>
          </w:tcPr>
          <w:p w14:paraId="6B6F5F1D">
            <w:pPr>
              <w:spacing w:line="271" w:lineRule="auto"/>
              <w:rPr>
                <w:rFonts w:ascii="Arial"/>
                <w:sz w:val="21"/>
              </w:rPr>
            </w:pPr>
          </w:p>
          <w:p w14:paraId="52566033">
            <w:pPr>
              <w:spacing w:line="271" w:lineRule="auto"/>
              <w:rPr>
                <w:rFonts w:ascii="Arial"/>
                <w:sz w:val="21"/>
              </w:rPr>
            </w:pPr>
          </w:p>
          <w:p w14:paraId="41AD5275">
            <w:pPr>
              <w:spacing w:line="271" w:lineRule="auto"/>
              <w:rPr>
                <w:rFonts w:ascii="Arial"/>
                <w:sz w:val="21"/>
              </w:rPr>
            </w:pPr>
          </w:p>
          <w:p w14:paraId="60B6C07A">
            <w:pPr>
              <w:spacing w:line="271" w:lineRule="auto"/>
              <w:rPr>
                <w:rFonts w:ascii="Arial"/>
                <w:sz w:val="21"/>
              </w:rPr>
            </w:pPr>
          </w:p>
          <w:p w14:paraId="06B1184D">
            <w:pPr>
              <w:spacing w:line="271" w:lineRule="auto"/>
              <w:rPr>
                <w:rFonts w:ascii="Arial"/>
                <w:sz w:val="21"/>
              </w:rPr>
            </w:pPr>
          </w:p>
          <w:p w14:paraId="5084D633">
            <w:pPr>
              <w:pStyle w:val="8"/>
              <w:spacing w:before="58"/>
              <w:ind w:left="30" w:right="27"/>
              <w:rPr>
                <w:rFonts w:hint="eastAsia" w:eastAsia="宋体"/>
                <w:lang w:eastAsia="zh-CN"/>
              </w:rPr>
            </w:pPr>
            <w:r>
              <w:rPr>
                <w:rFonts w:hint="eastAsia"/>
                <w:spacing w:val="6"/>
                <w:lang w:eastAsia="zh-CN"/>
              </w:rPr>
              <w:t>津市市交通运输局</w:t>
            </w:r>
          </w:p>
        </w:tc>
        <w:tc>
          <w:tcPr>
            <w:tcW w:w="1364" w:type="dxa"/>
            <w:vAlign w:val="top"/>
          </w:tcPr>
          <w:p w14:paraId="191D01A8">
            <w:pPr>
              <w:spacing w:line="244" w:lineRule="auto"/>
              <w:rPr>
                <w:rFonts w:ascii="Arial"/>
                <w:sz w:val="21"/>
              </w:rPr>
            </w:pPr>
          </w:p>
          <w:p w14:paraId="47926644">
            <w:pPr>
              <w:spacing w:line="245" w:lineRule="auto"/>
              <w:rPr>
                <w:rFonts w:ascii="Arial"/>
                <w:sz w:val="21"/>
              </w:rPr>
            </w:pPr>
          </w:p>
          <w:p w14:paraId="662675FC">
            <w:pPr>
              <w:spacing w:line="245" w:lineRule="auto"/>
              <w:rPr>
                <w:rFonts w:ascii="Arial"/>
                <w:sz w:val="21"/>
              </w:rPr>
            </w:pPr>
          </w:p>
          <w:p w14:paraId="2B6666BF">
            <w:pPr>
              <w:spacing w:line="245" w:lineRule="auto"/>
              <w:rPr>
                <w:rFonts w:ascii="Arial"/>
                <w:sz w:val="21"/>
              </w:rPr>
            </w:pPr>
          </w:p>
          <w:p w14:paraId="61FCDEFC">
            <w:pPr>
              <w:spacing w:line="245" w:lineRule="auto"/>
              <w:rPr>
                <w:rFonts w:ascii="Arial"/>
                <w:sz w:val="21"/>
              </w:rPr>
            </w:pPr>
          </w:p>
          <w:p w14:paraId="23641A03">
            <w:pPr>
              <w:spacing w:line="245" w:lineRule="auto"/>
              <w:rPr>
                <w:rFonts w:ascii="Arial"/>
                <w:sz w:val="21"/>
              </w:rPr>
            </w:pPr>
          </w:p>
          <w:p w14:paraId="098A24AC">
            <w:pPr>
              <w:spacing w:line="245" w:lineRule="auto"/>
              <w:rPr>
                <w:rFonts w:ascii="Arial"/>
                <w:sz w:val="21"/>
              </w:rPr>
            </w:pPr>
          </w:p>
          <w:p w14:paraId="270D6FC4">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5FB9352F">
            <w:pPr>
              <w:pStyle w:val="8"/>
              <w:spacing w:before="63" w:line="219" w:lineRule="auto"/>
              <w:ind w:left="491"/>
            </w:pPr>
            <w:r>
              <w:rPr>
                <w:b/>
                <w:bCs/>
                <w:spacing w:val="-4"/>
              </w:rPr>
              <w:t>1.《中华人民共和国港口法》</w:t>
            </w:r>
          </w:p>
          <w:p w14:paraId="13BA9874">
            <w:pPr>
              <w:pStyle w:val="8"/>
              <w:spacing w:before="13" w:line="228" w:lineRule="auto"/>
              <w:ind w:left="132" w:right="108" w:firstLine="345"/>
            </w:pPr>
            <w:r>
              <w:t>第三十八条  建设桥梁、水底隧道、水电站等</w:t>
            </w:r>
            <w:r>
              <w:rPr>
                <w:spacing w:val="-1"/>
              </w:rPr>
              <w:t>可能影响港口水文条件变化的工程项目，负责审批该项目</w:t>
            </w:r>
            <w:r>
              <w:t xml:space="preserve"> </w:t>
            </w:r>
            <w:r>
              <w:rPr>
                <w:spacing w:val="-2"/>
              </w:rPr>
              <w:t>的部门在审批前应当征求港口行政管理部门的意见。</w:t>
            </w:r>
          </w:p>
          <w:p w14:paraId="28FF73F6">
            <w:pPr>
              <w:pStyle w:val="8"/>
              <w:spacing w:before="16" w:line="219" w:lineRule="auto"/>
              <w:ind w:left="479"/>
            </w:pPr>
            <w:r>
              <w:rPr>
                <w:b/>
                <w:bCs/>
                <w:spacing w:val="-3"/>
              </w:rPr>
              <w:t>2.《中华人民共和国航道法》</w:t>
            </w:r>
          </w:p>
          <w:p w14:paraId="60607889">
            <w:pPr>
              <w:pStyle w:val="8"/>
              <w:spacing w:before="16" w:line="228" w:lineRule="auto"/>
              <w:ind w:left="117" w:right="108" w:firstLine="360"/>
            </w:pPr>
            <w:r>
              <w:t>第十一条  航道建设单位应当根据航道建设工</w:t>
            </w:r>
            <w:r>
              <w:rPr>
                <w:spacing w:val="-1"/>
              </w:rPr>
              <w:t>程的技术要求，依法通过招标等方式选择具有相应资质的</w:t>
            </w:r>
            <w:r>
              <w:t xml:space="preserve"> </w:t>
            </w:r>
            <w:r>
              <w:rPr>
                <w:spacing w:val="-1"/>
              </w:rPr>
              <w:t>勘察、设计、施工和监理单位进行工程建设，对工程质量和安全进行监督检查，并对工程质量和安全负责。</w:t>
            </w:r>
          </w:p>
          <w:p w14:paraId="7894176B">
            <w:pPr>
              <w:pStyle w:val="8"/>
              <w:spacing w:before="17" w:line="226" w:lineRule="auto"/>
              <w:ind w:left="122" w:right="122" w:firstLine="357"/>
            </w:pPr>
            <w:r>
              <w:rPr>
                <w:spacing w:val="-1"/>
              </w:rPr>
              <w:t>从事航道工程建设的勘察、设计、施工和监理单位，应当依照法律、行政法规的规定取得相应的资质，</w:t>
            </w:r>
            <w:r>
              <w:rPr>
                <w:spacing w:val="3"/>
              </w:rPr>
              <w:t xml:space="preserve"> </w:t>
            </w:r>
            <w:r>
              <w:rPr>
                <w:spacing w:val="-1"/>
              </w:rPr>
              <w:t>并在其资质等级许可的范围内从事航道工程建设活动，依法对勘察、设计、施工、监理的质量和安全负责。</w:t>
            </w:r>
          </w:p>
          <w:p w14:paraId="0BC30B46">
            <w:pPr>
              <w:pStyle w:val="8"/>
              <w:spacing w:before="17" w:line="219" w:lineRule="auto"/>
              <w:ind w:left="481"/>
            </w:pPr>
            <w:r>
              <w:rPr>
                <w:b/>
                <w:bCs/>
                <w:spacing w:val="-3"/>
              </w:rPr>
              <w:t>3.《中华人民共和国航道管理条例》</w:t>
            </w:r>
          </w:p>
          <w:p w14:paraId="3FE2259E">
            <w:pPr>
              <w:pStyle w:val="8"/>
              <w:spacing w:before="17" w:line="219" w:lineRule="auto"/>
              <w:ind w:left="477"/>
            </w:pPr>
            <w:r>
              <w:rPr>
                <w:spacing w:val="-1"/>
              </w:rPr>
              <w:t>第八条  国家航道发展规划由交通部编制，报国务院审查</w:t>
            </w:r>
            <w:r>
              <w:rPr>
                <w:spacing w:val="-2"/>
              </w:rPr>
              <w:t>批准后实施。</w:t>
            </w:r>
          </w:p>
          <w:p w14:paraId="4A9C97C8">
            <w:pPr>
              <w:pStyle w:val="8"/>
              <w:spacing w:before="17" w:line="228" w:lineRule="auto"/>
              <w:ind w:left="119" w:right="110" w:firstLine="358"/>
            </w:pPr>
            <w:r>
              <w:rPr>
                <w:spacing w:val="-1"/>
              </w:rPr>
              <w:t>地方航道发展规划由省、自治区、直辖市交通主管部门编制，报省、自治区、直辖市人民政府审查批准</w:t>
            </w:r>
            <w:r>
              <w:rPr>
                <w:spacing w:val="17"/>
              </w:rPr>
              <w:t xml:space="preserve"> </w:t>
            </w:r>
            <w:r>
              <w:rPr>
                <w:spacing w:val="-3"/>
              </w:rPr>
              <w:t>后实施，并抄报交通部备案。</w:t>
            </w:r>
          </w:p>
          <w:p w14:paraId="5C332C24">
            <w:pPr>
              <w:pStyle w:val="8"/>
              <w:spacing w:before="15" w:line="231" w:lineRule="auto"/>
              <w:ind w:left="117" w:right="108" w:firstLine="360"/>
              <w:jc w:val="both"/>
            </w:pPr>
            <w:r>
              <w:rPr>
                <w:spacing w:val="-1"/>
              </w:rPr>
              <w:t>跨省、自治区、直辖市的地方航道的发展规划，由有关省、自治区、直辖市交通主管部门共同编制，报</w:t>
            </w:r>
            <w:r>
              <w:rPr>
                <w:spacing w:val="17"/>
              </w:rPr>
              <w:t xml:space="preserve"> </w:t>
            </w:r>
            <w:r>
              <w:t>有关省、自治区、直辖市人民政府联合审查批准后</w:t>
            </w:r>
            <w:r>
              <w:rPr>
                <w:spacing w:val="-1"/>
              </w:rPr>
              <w:t>实施，并抄报交通部备案；必要时报交通部审查批准后实</w:t>
            </w:r>
            <w:r>
              <w:t xml:space="preserve"> </w:t>
            </w:r>
            <w:r>
              <w:rPr>
                <w:spacing w:val="-9"/>
              </w:rPr>
              <w:t>施。</w:t>
            </w:r>
          </w:p>
          <w:p w14:paraId="026F44B5">
            <w:pPr>
              <w:pStyle w:val="8"/>
              <w:spacing w:before="14" w:line="219" w:lineRule="auto"/>
              <w:ind w:left="478"/>
            </w:pPr>
            <w:r>
              <w:rPr>
                <w:spacing w:val="-1"/>
              </w:rPr>
              <w:t>专用航道发展规划由专用航道管理部门会同同级交通主管部门编制，报同级人民政府批准后实施。</w:t>
            </w:r>
          </w:p>
        </w:tc>
        <w:tc>
          <w:tcPr>
            <w:tcW w:w="1159" w:type="dxa"/>
            <w:vAlign w:val="top"/>
          </w:tcPr>
          <w:p w14:paraId="48AD5946">
            <w:pPr>
              <w:rPr>
                <w:rFonts w:ascii="Arial"/>
                <w:sz w:val="21"/>
              </w:rPr>
            </w:pPr>
          </w:p>
        </w:tc>
      </w:tr>
    </w:tbl>
    <w:p w14:paraId="5B1AB480">
      <w:pPr>
        <w:pStyle w:val="2"/>
        <w:spacing w:line="229" w:lineRule="exact"/>
        <w:rPr>
          <w:sz w:val="19"/>
        </w:rPr>
      </w:pPr>
    </w:p>
    <w:p w14:paraId="1126F1CB">
      <w:pPr>
        <w:spacing w:line="229" w:lineRule="exact"/>
        <w:rPr>
          <w:sz w:val="19"/>
          <w:szCs w:val="19"/>
        </w:rPr>
        <w:sectPr>
          <w:footerReference r:id="rId13" w:type="default"/>
          <w:pgSz w:w="16839" w:h="11906"/>
          <w:pgMar w:top="1012" w:right="1134" w:bottom="967" w:left="1134" w:header="0" w:footer="768" w:gutter="0"/>
          <w:cols w:space="720" w:num="1"/>
        </w:sectPr>
      </w:pPr>
    </w:p>
    <w:p w14:paraId="36E34370">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30AF5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71B203A2">
            <w:pPr>
              <w:pStyle w:val="8"/>
              <w:spacing w:before="183" w:line="221" w:lineRule="auto"/>
              <w:ind w:left="175"/>
            </w:pPr>
            <w:r>
              <w:rPr>
                <w:b/>
                <w:bCs/>
                <w:spacing w:val="-4"/>
              </w:rPr>
              <w:t>序号</w:t>
            </w:r>
          </w:p>
        </w:tc>
        <w:tc>
          <w:tcPr>
            <w:tcW w:w="1290" w:type="dxa"/>
            <w:vAlign w:val="top"/>
          </w:tcPr>
          <w:p w14:paraId="3BF9DB37">
            <w:pPr>
              <w:pStyle w:val="8"/>
              <w:spacing w:before="183" w:line="220" w:lineRule="auto"/>
              <w:ind w:left="284"/>
            </w:pPr>
            <w:r>
              <w:rPr>
                <w:b/>
                <w:bCs/>
                <w:spacing w:val="-4"/>
              </w:rPr>
              <w:t>事项名称</w:t>
            </w:r>
          </w:p>
        </w:tc>
        <w:tc>
          <w:tcPr>
            <w:tcW w:w="1379" w:type="dxa"/>
            <w:vAlign w:val="top"/>
          </w:tcPr>
          <w:p w14:paraId="1914CC74">
            <w:pPr>
              <w:pStyle w:val="8"/>
              <w:spacing w:before="183" w:line="219" w:lineRule="auto"/>
              <w:ind w:left="333"/>
            </w:pPr>
            <w:r>
              <w:rPr>
                <w:b/>
                <w:bCs/>
                <w:spacing w:val="-5"/>
              </w:rPr>
              <w:t>实施机关</w:t>
            </w:r>
          </w:p>
        </w:tc>
        <w:tc>
          <w:tcPr>
            <w:tcW w:w="1364" w:type="dxa"/>
            <w:vAlign w:val="top"/>
          </w:tcPr>
          <w:p w14:paraId="74E95D93">
            <w:pPr>
              <w:pStyle w:val="8"/>
              <w:spacing w:before="183" w:line="219" w:lineRule="auto"/>
              <w:ind w:left="322"/>
            </w:pPr>
            <w:r>
              <w:rPr>
                <w:b/>
                <w:bCs/>
                <w:spacing w:val="-4"/>
              </w:rPr>
              <w:t>承办机构</w:t>
            </w:r>
          </w:p>
        </w:tc>
        <w:tc>
          <w:tcPr>
            <w:tcW w:w="8667" w:type="dxa"/>
            <w:vAlign w:val="top"/>
          </w:tcPr>
          <w:p w14:paraId="1E6B84C8">
            <w:pPr>
              <w:pStyle w:val="8"/>
              <w:spacing w:before="183" w:line="219" w:lineRule="auto"/>
              <w:ind w:left="3708"/>
            </w:pPr>
            <w:r>
              <w:rPr>
                <w:b/>
                <w:bCs/>
                <w:spacing w:val="-3"/>
              </w:rPr>
              <w:t>设定和实施依据</w:t>
            </w:r>
          </w:p>
        </w:tc>
        <w:tc>
          <w:tcPr>
            <w:tcW w:w="1159" w:type="dxa"/>
            <w:vAlign w:val="top"/>
          </w:tcPr>
          <w:p w14:paraId="6D91B6C2">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4907A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8" w:hRule="atLeast"/>
        </w:trPr>
        <w:tc>
          <w:tcPr>
            <w:tcW w:w="705" w:type="dxa"/>
            <w:vAlign w:val="top"/>
          </w:tcPr>
          <w:p w14:paraId="69E73A4A">
            <w:pPr>
              <w:rPr>
                <w:rFonts w:ascii="Arial"/>
                <w:sz w:val="21"/>
              </w:rPr>
            </w:pPr>
          </w:p>
        </w:tc>
        <w:tc>
          <w:tcPr>
            <w:tcW w:w="1290" w:type="dxa"/>
            <w:vAlign w:val="top"/>
          </w:tcPr>
          <w:p w14:paraId="27D0BE67">
            <w:pPr>
              <w:rPr>
                <w:rFonts w:ascii="Arial"/>
                <w:sz w:val="21"/>
              </w:rPr>
            </w:pPr>
          </w:p>
        </w:tc>
        <w:tc>
          <w:tcPr>
            <w:tcW w:w="1379" w:type="dxa"/>
            <w:vAlign w:val="top"/>
          </w:tcPr>
          <w:p w14:paraId="69A426D3">
            <w:pPr>
              <w:rPr>
                <w:rFonts w:ascii="Arial"/>
                <w:sz w:val="21"/>
              </w:rPr>
            </w:pPr>
          </w:p>
        </w:tc>
        <w:tc>
          <w:tcPr>
            <w:tcW w:w="1364" w:type="dxa"/>
            <w:vAlign w:val="top"/>
          </w:tcPr>
          <w:p w14:paraId="454C5283">
            <w:pPr>
              <w:rPr>
                <w:rFonts w:ascii="Arial"/>
                <w:sz w:val="21"/>
              </w:rPr>
            </w:pPr>
          </w:p>
        </w:tc>
        <w:tc>
          <w:tcPr>
            <w:tcW w:w="8667" w:type="dxa"/>
            <w:vAlign w:val="top"/>
          </w:tcPr>
          <w:p w14:paraId="36327884">
            <w:pPr>
              <w:pStyle w:val="8"/>
              <w:spacing w:before="58" w:line="219" w:lineRule="auto"/>
              <w:ind w:left="477"/>
            </w:pPr>
            <w:r>
              <w:rPr>
                <w:b/>
                <w:bCs/>
                <w:spacing w:val="-3"/>
              </w:rPr>
              <w:t>4.《建设工程质量管理条例》</w:t>
            </w:r>
          </w:p>
          <w:p w14:paraId="6B6848FB">
            <w:pPr>
              <w:pStyle w:val="8"/>
              <w:spacing w:before="16" w:line="228" w:lineRule="auto"/>
              <w:ind w:left="477" w:right="122"/>
            </w:pPr>
            <w:r>
              <w:rPr>
                <w:spacing w:val="-1"/>
              </w:rPr>
              <w:t>第十一条  施工图设计文件审查的具体办法，由国务院建设行政主管部门、国务院其他有关部门制定。</w:t>
            </w:r>
            <w:r>
              <w:rPr>
                <w:spacing w:val="6"/>
              </w:rPr>
              <w:t xml:space="preserve"> </w:t>
            </w:r>
            <w:r>
              <w:rPr>
                <w:spacing w:val="-2"/>
              </w:rPr>
              <w:t>施工图设计文件未经审查批准的，不得使用。</w:t>
            </w:r>
          </w:p>
          <w:p w14:paraId="0E5FCB08">
            <w:pPr>
              <w:pStyle w:val="8"/>
              <w:spacing w:before="16" w:line="219" w:lineRule="auto"/>
              <w:ind w:left="481"/>
            </w:pPr>
            <w:r>
              <w:rPr>
                <w:b/>
                <w:bCs/>
                <w:spacing w:val="-3"/>
              </w:rPr>
              <w:t>5.《建设工程勘察设计管理条例》</w:t>
            </w:r>
          </w:p>
          <w:p w14:paraId="50491BC8">
            <w:pPr>
              <w:pStyle w:val="8"/>
              <w:spacing w:before="16" w:line="230" w:lineRule="auto"/>
              <w:ind w:left="123" w:right="108" w:firstLine="354"/>
              <w:jc w:val="both"/>
            </w:pPr>
            <w:r>
              <w:t>第三十三条  施工图设计文件审查机构应当对</w:t>
            </w:r>
            <w:r>
              <w:rPr>
                <w:spacing w:val="-1"/>
              </w:rPr>
              <w:t>房屋建筑工程、市政基础设施工程施工图设计文件中涉及</w:t>
            </w:r>
            <w:r>
              <w:t xml:space="preserve"> </w:t>
            </w:r>
            <w:r>
              <w:rPr>
                <w:spacing w:val="-1"/>
              </w:rPr>
              <w:t>公共利益、公众安全、工程建设强制性标准的内容进行审查。县级以上人民政府交通运输等有关部门应当按</w:t>
            </w:r>
            <w:r>
              <w:rPr>
                <w:spacing w:val="16"/>
              </w:rPr>
              <w:t xml:space="preserve"> </w:t>
            </w:r>
            <w:r>
              <w:rPr>
                <w:spacing w:val="-1"/>
              </w:rPr>
              <w:t>照职责对施工图设计文件中涉及公共利益、公众安全、工程建设强制性标准的内容进行审查。</w:t>
            </w:r>
          </w:p>
          <w:p w14:paraId="7737A98B">
            <w:pPr>
              <w:pStyle w:val="8"/>
              <w:spacing w:before="16" w:line="219" w:lineRule="auto"/>
              <w:ind w:left="477"/>
            </w:pPr>
            <w:r>
              <w:rPr>
                <w:spacing w:val="-2"/>
              </w:rPr>
              <w:t>施工图设计文件未经审查批准的，不得使用。</w:t>
            </w:r>
          </w:p>
          <w:p w14:paraId="432C9BD9">
            <w:pPr>
              <w:pStyle w:val="8"/>
              <w:spacing w:before="16" w:line="219" w:lineRule="auto"/>
              <w:ind w:left="479"/>
            </w:pPr>
            <w:r>
              <w:rPr>
                <w:b/>
                <w:bCs/>
                <w:spacing w:val="-3"/>
              </w:rPr>
              <w:t>6.《航道工程建设管理规定》（交通运输部令</w:t>
            </w:r>
            <w:r>
              <w:rPr>
                <w:spacing w:val="-31"/>
              </w:rPr>
              <w:t xml:space="preserve"> </w:t>
            </w:r>
            <w:r>
              <w:rPr>
                <w:b/>
                <w:bCs/>
                <w:spacing w:val="-3"/>
              </w:rPr>
              <w:t>2019</w:t>
            </w:r>
            <w:r>
              <w:rPr>
                <w:spacing w:val="-38"/>
              </w:rPr>
              <w:t xml:space="preserve"> </w:t>
            </w:r>
            <w:r>
              <w:rPr>
                <w:b/>
                <w:bCs/>
                <w:spacing w:val="-3"/>
              </w:rPr>
              <w:t>年第</w:t>
            </w:r>
            <w:r>
              <w:rPr>
                <w:spacing w:val="-38"/>
              </w:rPr>
              <w:t xml:space="preserve"> </w:t>
            </w:r>
            <w:r>
              <w:rPr>
                <w:b/>
                <w:bCs/>
                <w:spacing w:val="-3"/>
              </w:rPr>
              <w:t>44</w:t>
            </w:r>
            <w:r>
              <w:rPr>
                <w:spacing w:val="-32"/>
              </w:rPr>
              <w:t xml:space="preserve"> </w:t>
            </w:r>
            <w:r>
              <w:rPr>
                <w:b/>
                <w:bCs/>
                <w:spacing w:val="-3"/>
              </w:rPr>
              <w:t>号）</w:t>
            </w:r>
          </w:p>
          <w:p w14:paraId="472A0B46">
            <w:pPr>
              <w:pStyle w:val="8"/>
              <w:spacing w:before="18" w:line="227" w:lineRule="auto"/>
              <w:ind w:left="119" w:right="108" w:firstLine="358"/>
            </w:pPr>
            <w:r>
              <w:t>第十一条  由交通运输部负责审批初步设计的</w:t>
            </w:r>
            <w:r>
              <w:rPr>
                <w:spacing w:val="-1"/>
              </w:rPr>
              <w:t>航道工程建设项目，项目单位应当通过交通运输部按照国</w:t>
            </w:r>
            <w:r>
              <w:t xml:space="preserve"> </w:t>
            </w:r>
            <w:r>
              <w:rPr>
                <w:spacing w:val="-1"/>
              </w:rPr>
              <w:t>务院规定设置的负责航道管理的机构或者项目所在地省级交通运输主管部门向交通运输部提出申请。</w:t>
            </w:r>
          </w:p>
          <w:p w14:paraId="40FD9202">
            <w:pPr>
              <w:pStyle w:val="8"/>
              <w:spacing w:before="18" w:line="226" w:lineRule="auto"/>
              <w:ind w:left="116" w:right="271" w:firstLine="365"/>
            </w:pPr>
            <w:r>
              <w:t>交通运输部按照国务院规定设置的负责航道管理的机构或者省级交通运输</w:t>
            </w:r>
            <w:r>
              <w:rPr>
                <w:spacing w:val="-1"/>
              </w:rPr>
              <w:t>主管部门应当在收齐上述申</w:t>
            </w:r>
            <w:r>
              <w:t xml:space="preserve"> </w:t>
            </w:r>
            <w:r>
              <w:rPr>
                <w:spacing w:val="-2"/>
              </w:rPr>
              <w:t>请材料之日起</w:t>
            </w:r>
            <w:r>
              <w:rPr>
                <w:spacing w:val="-35"/>
              </w:rPr>
              <w:t xml:space="preserve"> </w:t>
            </w:r>
            <w:r>
              <w:rPr>
                <w:spacing w:val="-2"/>
              </w:rPr>
              <w:t>3</w:t>
            </w:r>
            <w:r>
              <w:rPr>
                <w:spacing w:val="-36"/>
              </w:rPr>
              <w:t xml:space="preserve"> </w:t>
            </w:r>
            <w:r>
              <w:rPr>
                <w:spacing w:val="-2"/>
              </w:rPr>
              <w:t>个工作日内将有关材料转报交通运输部。</w:t>
            </w:r>
          </w:p>
          <w:p w14:paraId="76214296">
            <w:pPr>
              <w:pStyle w:val="8"/>
              <w:spacing w:before="17" w:line="228" w:lineRule="auto"/>
              <w:ind w:left="118" w:right="108" w:firstLine="360"/>
            </w:pPr>
            <w:r>
              <w:t>其他航道工程建设项目的初步设计审批，项</w:t>
            </w:r>
            <w:r>
              <w:rPr>
                <w:spacing w:val="-1"/>
              </w:rPr>
              <w:t>目单位应当向有审批权限的县级以上地方交通运输主管部门</w:t>
            </w:r>
            <w:r>
              <w:t xml:space="preserve"> </w:t>
            </w:r>
            <w:r>
              <w:rPr>
                <w:spacing w:val="-6"/>
              </w:rPr>
              <w:t>提出申请。</w:t>
            </w:r>
          </w:p>
          <w:p w14:paraId="50BE146C">
            <w:pPr>
              <w:pStyle w:val="8"/>
              <w:spacing w:before="17" w:line="227" w:lineRule="auto"/>
              <w:ind w:left="117" w:right="271" w:firstLine="360"/>
            </w:pPr>
            <w:r>
              <w:t>第十九条  交通运输主管部门应当在法定期限内对受理的设计审批申请作出书面</w:t>
            </w:r>
            <w:r>
              <w:rPr>
                <w:spacing w:val="-1"/>
              </w:rPr>
              <w:t>决定，并告知项目单</w:t>
            </w:r>
            <w:r>
              <w:t xml:space="preserve"> </w:t>
            </w:r>
            <w:r>
              <w:rPr>
                <w:spacing w:val="-2"/>
              </w:rPr>
              <w:t>位；需要延长审批时限的，应当依法按照程序办理。</w:t>
            </w:r>
          </w:p>
          <w:p w14:paraId="5F8A95EC">
            <w:pPr>
              <w:pStyle w:val="8"/>
              <w:spacing w:before="18" w:line="219" w:lineRule="auto"/>
              <w:ind w:left="477"/>
            </w:pPr>
            <w:r>
              <w:rPr>
                <w:spacing w:val="-2"/>
              </w:rPr>
              <w:t>第二十条  航道工程建设项目设计文件经批准后方可使用。</w:t>
            </w:r>
          </w:p>
          <w:p w14:paraId="056915D7">
            <w:pPr>
              <w:pStyle w:val="8"/>
              <w:spacing w:before="14" w:line="219" w:lineRule="auto"/>
              <w:ind w:left="482"/>
            </w:pPr>
            <w:r>
              <w:rPr>
                <w:b/>
                <w:bCs/>
                <w:spacing w:val="-3"/>
              </w:rPr>
              <w:t>7.《港口工程建设管理规定》（交通运输部令</w:t>
            </w:r>
            <w:r>
              <w:rPr>
                <w:spacing w:val="-36"/>
              </w:rPr>
              <w:t xml:space="preserve"> </w:t>
            </w:r>
            <w:r>
              <w:rPr>
                <w:b/>
                <w:bCs/>
                <w:spacing w:val="-3"/>
              </w:rPr>
              <w:t>2019</w:t>
            </w:r>
            <w:r>
              <w:rPr>
                <w:spacing w:val="-37"/>
              </w:rPr>
              <w:t xml:space="preserve"> </w:t>
            </w:r>
            <w:r>
              <w:rPr>
                <w:b/>
                <w:bCs/>
                <w:spacing w:val="-3"/>
              </w:rPr>
              <w:t>年第</w:t>
            </w:r>
            <w:r>
              <w:rPr>
                <w:spacing w:val="-34"/>
              </w:rPr>
              <w:t xml:space="preserve"> </w:t>
            </w:r>
            <w:r>
              <w:rPr>
                <w:b/>
                <w:bCs/>
                <w:spacing w:val="-3"/>
              </w:rPr>
              <w:t>3</w:t>
            </w:r>
            <w:r>
              <w:rPr>
                <w:b/>
                <w:bCs/>
                <w:spacing w:val="-4"/>
              </w:rPr>
              <w:t>2</w:t>
            </w:r>
            <w:r>
              <w:rPr>
                <w:spacing w:val="-32"/>
              </w:rPr>
              <w:t xml:space="preserve"> </w:t>
            </w:r>
            <w:r>
              <w:rPr>
                <w:b/>
                <w:bCs/>
                <w:spacing w:val="-4"/>
              </w:rPr>
              <w:t>号）</w:t>
            </w:r>
          </w:p>
          <w:p w14:paraId="206D681A">
            <w:pPr>
              <w:pStyle w:val="8"/>
              <w:spacing w:before="17" w:line="219" w:lineRule="auto"/>
              <w:ind w:left="477"/>
            </w:pPr>
            <w:r>
              <w:rPr>
                <w:spacing w:val="-1"/>
              </w:rPr>
              <w:t>第十三条  交通运输部负责国家重点水运工程建设项目初</w:t>
            </w:r>
            <w:r>
              <w:rPr>
                <w:spacing w:val="-2"/>
              </w:rPr>
              <w:t>步设计审批。</w:t>
            </w:r>
          </w:p>
          <w:p w14:paraId="7FCD86B1">
            <w:pPr>
              <w:pStyle w:val="8"/>
              <w:spacing w:before="17" w:line="228" w:lineRule="auto"/>
              <w:ind w:left="117" w:right="108" w:firstLine="363"/>
            </w:pPr>
            <w:r>
              <w:rPr>
                <w:spacing w:val="-1"/>
              </w:rPr>
              <w:t>省级交通运输主管部门负责经省级人民政府及其投资主管部门审批、核准或者备案的港口工程建设项目</w:t>
            </w:r>
            <w:r>
              <w:rPr>
                <w:spacing w:val="17"/>
              </w:rPr>
              <w:t xml:space="preserve"> </w:t>
            </w:r>
            <w:r>
              <w:rPr>
                <w:spacing w:val="-4"/>
              </w:rPr>
              <w:t>初步设计审批。</w:t>
            </w:r>
          </w:p>
          <w:p w14:paraId="128E6797">
            <w:pPr>
              <w:pStyle w:val="8"/>
              <w:spacing w:before="16" w:line="219" w:lineRule="auto"/>
              <w:ind w:left="477"/>
            </w:pPr>
            <w:r>
              <w:rPr>
                <w:spacing w:val="-1"/>
              </w:rPr>
              <w:t>所在地港口行政管理部门负责其余港口工程建设项</w:t>
            </w:r>
            <w:r>
              <w:rPr>
                <w:spacing w:val="-2"/>
              </w:rPr>
              <w:t>目初步设计审批。</w:t>
            </w:r>
          </w:p>
        </w:tc>
        <w:tc>
          <w:tcPr>
            <w:tcW w:w="1159" w:type="dxa"/>
            <w:vAlign w:val="top"/>
          </w:tcPr>
          <w:p w14:paraId="5CE3F802">
            <w:pPr>
              <w:rPr>
                <w:rFonts w:ascii="Arial"/>
                <w:sz w:val="21"/>
              </w:rPr>
            </w:pPr>
          </w:p>
        </w:tc>
      </w:tr>
      <w:tr w14:paraId="206DE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2" w:hRule="atLeast"/>
        </w:trPr>
        <w:tc>
          <w:tcPr>
            <w:tcW w:w="705" w:type="dxa"/>
            <w:vAlign w:val="top"/>
          </w:tcPr>
          <w:p w14:paraId="7E25D069">
            <w:pPr>
              <w:spacing w:line="264" w:lineRule="auto"/>
              <w:rPr>
                <w:rFonts w:ascii="Arial"/>
                <w:sz w:val="21"/>
              </w:rPr>
            </w:pPr>
          </w:p>
          <w:p w14:paraId="409BE0AF">
            <w:pPr>
              <w:spacing w:line="264" w:lineRule="auto"/>
              <w:rPr>
                <w:rFonts w:ascii="Arial"/>
                <w:sz w:val="21"/>
              </w:rPr>
            </w:pPr>
          </w:p>
          <w:p w14:paraId="6689EEB6">
            <w:pPr>
              <w:spacing w:line="264" w:lineRule="auto"/>
              <w:rPr>
                <w:rFonts w:ascii="Arial"/>
                <w:sz w:val="21"/>
              </w:rPr>
            </w:pPr>
          </w:p>
          <w:p w14:paraId="0A6B5696">
            <w:pPr>
              <w:spacing w:line="264" w:lineRule="auto"/>
              <w:rPr>
                <w:rFonts w:ascii="Arial"/>
                <w:sz w:val="21"/>
              </w:rPr>
            </w:pPr>
          </w:p>
          <w:p w14:paraId="0958FED4">
            <w:pPr>
              <w:spacing w:line="264" w:lineRule="auto"/>
              <w:rPr>
                <w:rFonts w:ascii="Arial"/>
                <w:sz w:val="21"/>
              </w:rPr>
            </w:pPr>
          </w:p>
          <w:p w14:paraId="62FC4477">
            <w:pPr>
              <w:spacing w:line="264" w:lineRule="auto"/>
              <w:rPr>
                <w:rFonts w:ascii="Arial"/>
                <w:sz w:val="21"/>
              </w:rPr>
            </w:pPr>
          </w:p>
          <w:p w14:paraId="63BEFCD4">
            <w:pPr>
              <w:pStyle w:val="8"/>
              <w:spacing w:before="59" w:line="183" w:lineRule="auto"/>
              <w:ind w:left="269"/>
              <w:rPr>
                <w:rFonts w:hint="default" w:eastAsia="宋体"/>
                <w:lang w:val="en-US" w:eastAsia="zh-CN"/>
              </w:rPr>
            </w:pPr>
            <w:r>
              <w:rPr>
                <w:rFonts w:hint="eastAsia"/>
                <w:spacing w:val="-4"/>
                <w:lang w:val="en-US" w:eastAsia="zh-CN"/>
              </w:rPr>
              <w:t>14</w:t>
            </w:r>
          </w:p>
        </w:tc>
        <w:tc>
          <w:tcPr>
            <w:tcW w:w="1290" w:type="dxa"/>
            <w:vAlign w:val="top"/>
          </w:tcPr>
          <w:p w14:paraId="6F73AA39">
            <w:pPr>
              <w:spacing w:line="287" w:lineRule="auto"/>
              <w:rPr>
                <w:rFonts w:ascii="Arial"/>
                <w:sz w:val="21"/>
              </w:rPr>
            </w:pPr>
          </w:p>
          <w:p w14:paraId="6EACC754">
            <w:pPr>
              <w:spacing w:line="287" w:lineRule="auto"/>
              <w:rPr>
                <w:rFonts w:ascii="Arial"/>
                <w:sz w:val="21"/>
              </w:rPr>
            </w:pPr>
          </w:p>
          <w:p w14:paraId="641E1D71">
            <w:pPr>
              <w:spacing w:line="287" w:lineRule="auto"/>
              <w:rPr>
                <w:rFonts w:ascii="Arial"/>
                <w:sz w:val="21"/>
              </w:rPr>
            </w:pPr>
          </w:p>
          <w:p w14:paraId="325B84A9">
            <w:pPr>
              <w:spacing w:line="288" w:lineRule="auto"/>
              <w:rPr>
                <w:rFonts w:ascii="Arial"/>
                <w:sz w:val="21"/>
              </w:rPr>
            </w:pPr>
          </w:p>
          <w:p w14:paraId="0DF2EFBB">
            <w:pPr>
              <w:spacing w:line="288" w:lineRule="auto"/>
              <w:rPr>
                <w:rFonts w:ascii="Arial"/>
                <w:sz w:val="21"/>
              </w:rPr>
            </w:pPr>
          </w:p>
          <w:p w14:paraId="21DAFAE7">
            <w:pPr>
              <w:pStyle w:val="8"/>
              <w:spacing w:before="58" w:line="233" w:lineRule="auto"/>
              <w:ind w:left="32" w:right="28" w:hanging="2"/>
            </w:pPr>
            <w:r>
              <w:rPr>
                <w:spacing w:val="24"/>
              </w:rPr>
              <w:t>通航建筑物运</w:t>
            </w:r>
            <w:r>
              <w:rPr>
                <w:spacing w:val="1"/>
              </w:rPr>
              <w:t xml:space="preserve"> </w:t>
            </w:r>
            <w:r>
              <w:rPr>
                <w:spacing w:val="-2"/>
              </w:rPr>
              <w:t>行方案审批</w:t>
            </w:r>
          </w:p>
        </w:tc>
        <w:tc>
          <w:tcPr>
            <w:tcW w:w="1379" w:type="dxa"/>
            <w:vAlign w:val="top"/>
          </w:tcPr>
          <w:p w14:paraId="7EDF1032">
            <w:pPr>
              <w:spacing w:line="263" w:lineRule="auto"/>
              <w:rPr>
                <w:rFonts w:ascii="Arial"/>
                <w:sz w:val="21"/>
              </w:rPr>
            </w:pPr>
          </w:p>
          <w:p w14:paraId="16D379C0">
            <w:pPr>
              <w:spacing w:line="263" w:lineRule="auto"/>
              <w:rPr>
                <w:rFonts w:ascii="Arial"/>
                <w:sz w:val="21"/>
              </w:rPr>
            </w:pPr>
          </w:p>
          <w:p w14:paraId="278B98A6">
            <w:pPr>
              <w:spacing w:line="264" w:lineRule="auto"/>
              <w:rPr>
                <w:rFonts w:ascii="Arial"/>
                <w:sz w:val="21"/>
              </w:rPr>
            </w:pPr>
          </w:p>
          <w:p w14:paraId="1BB50815">
            <w:pPr>
              <w:spacing w:line="264" w:lineRule="auto"/>
              <w:rPr>
                <w:rFonts w:ascii="Arial"/>
                <w:sz w:val="21"/>
              </w:rPr>
            </w:pPr>
          </w:p>
          <w:p w14:paraId="58674A29">
            <w:pPr>
              <w:spacing w:line="264" w:lineRule="auto"/>
              <w:rPr>
                <w:rFonts w:ascii="Arial"/>
                <w:sz w:val="21"/>
              </w:rPr>
            </w:pPr>
          </w:p>
          <w:p w14:paraId="2A60A21D">
            <w:pPr>
              <w:pStyle w:val="8"/>
              <w:spacing w:before="59" w:line="237" w:lineRule="auto"/>
              <w:ind w:left="31" w:right="27"/>
              <w:rPr>
                <w:rFonts w:hint="eastAsia" w:eastAsia="宋体"/>
                <w:lang w:eastAsia="zh-CN"/>
              </w:rPr>
            </w:pPr>
            <w:r>
              <w:rPr>
                <w:rFonts w:hint="eastAsia"/>
                <w:spacing w:val="6"/>
                <w:lang w:eastAsia="zh-CN"/>
              </w:rPr>
              <w:t>津市市交通运输局</w:t>
            </w:r>
          </w:p>
        </w:tc>
        <w:tc>
          <w:tcPr>
            <w:tcW w:w="1364" w:type="dxa"/>
            <w:vAlign w:val="top"/>
          </w:tcPr>
          <w:p w14:paraId="17E318AE">
            <w:pPr>
              <w:spacing w:line="259" w:lineRule="auto"/>
              <w:rPr>
                <w:rFonts w:ascii="Arial"/>
                <w:sz w:val="21"/>
              </w:rPr>
            </w:pPr>
          </w:p>
          <w:p w14:paraId="6671866E">
            <w:pPr>
              <w:spacing w:line="259" w:lineRule="auto"/>
              <w:rPr>
                <w:rFonts w:ascii="Arial"/>
                <w:sz w:val="21"/>
              </w:rPr>
            </w:pPr>
          </w:p>
          <w:p w14:paraId="0FA37348">
            <w:pPr>
              <w:spacing w:line="259" w:lineRule="auto"/>
              <w:rPr>
                <w:rFonts w:ascii="Arial"/>
                <w:sz w:val="21"/>
              </w:rPr>
            </w:pPr>
          </w:p>
          <w:p w14:paraId="315F33B4">
            <w:pPr>
              <w:spacing w:line="259" w:lineRule="auto"/>
              <w:rPr>
                <w:rFonts w:ascii="Arial"/>
                <w:sz w:val="21"/>
              </w:rPr>
            </w:pPr>
          </w:p>
          <w:p w14:paraId="649E4389">
            <w:pPr>
              <w:spacing w:line="259" w:lineRule="auto"/>
              <w:rPr>
                <w:rFonts w:ascii="Arial"/>
                <w:sz w:val="21"/>
              </w:rPr>
            </w:pPr>
          </w:p>
          <w:p w14:paraId="086B85EC">
            <w:pPr>
              <w:spacing w:line="260" w:lineRule="auto"/>
              <w:rPr>
                <w:rFonts w:ascii="Arial"/>
                <w:sz w:val="21"/>
              </w:rPr>
            </w:pPr>
          </w:p>
          <w:p w14:paraId="6083960D">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76907B70">
            <w:pPr>
              <w:pStyle w:val="8"/>
              <w:spacing w:before="69" w:line="219" w:lineRule="auto"/>
              <w:ind w:left="491"/>
            </w:pPr>
            <w:r>
              <w:rPr>
                <w:b/>
                <w:bCs/>
                <w:spacing w:val="-4"/>
              </w:rPr>
              <w:t>1.《中华人民共和国航道法》</w:t>
            </w:r>
          </w:p>
          <w:p w14:paraId="10F23CCB">
            <w:pPr>
              <w:pStyle w:val="8"/>
              <w:spacing w:before="25" w:line="233" w:lineRule="auto"/>
              <w:ind w:left="122" w:right="108" w:firstLine="355"/>
            </w:pPr>
            <w:r>
              <w:t>第二十五条第四项  通航建筑物的运行应当适</w:t>
            </w:r>
            <w:r>
              <w:rPr>
                <w:spacing w:val="-1"/>
              </w:rPr>
              <w:t>应船舶通行需要，运行方案应当经负责航道管理的部门同</w:t>
            </w:r>
            <w:r>
              <w:t xml:space="preserve"> </w:t>
            </w:r>
            <w:r>
              <w:rPr>
                <w:spacing w:val="-1"/>
              </w:rPr>
              <w:t>意并公布。通航建筑物的建设单位或者管理单位应当按照规定维护保养通航建筑物，保持其正常运行。</w:t>
            </w:r>
          </w:p>
          <w:p w14:paraId="15071FCB">
            <w:pPr>
              <w:pStyle w:val="8"/>
              <w:spacing w:before="26" w:line="219" w:lineRule="auto"/>
              <w:ind w:left="479"/>
            </w:pPr>
            <w:r>
              <w:rPr>
                <w:b/>
                <w:bCs/>
                <w:spacing w:val="-3"/>
              </w:rPr>
              <w:t>2.《通航建筑物运行管理办法》（交通运输部令</w:t>
            </w:r>
            <w:r>
              <w:rPr>
                <w:spacing w:val="-33"/>
              </w:rPr>
              <w:t xml:space="preserve"> </w:t>
            </w:r>
            <w:r>
              <w:rPr>
                <w:b/>
                <w:bCs/>
                <w:spacing w:val="-3"/>
              </w:rPr>
              <w:t>2019</w:t>
            </w:r>
            <w:r>
              <w:rPr>
                <w:spacing w:val="-38"/>
              </w:rPr>
              <w:t xml:space="preserve"> </w:t>
            </w:r>
            <w:r>
              <w:rPr>
                <w:b/>
                <w:bCs/>
                <w:spacing w:val="-3"/>
              </w:rPr>
              <w:t>年第</w:t>
            </w:r>
            <w:r>
              <w:rPr>
                <w:spacing w:val="-36"/>
              </w:rPr>
              <w:t xml:space="preserve"> </w:t>
            </w:r>
            <w:r>
              <w:rPr>
                <w:b/>
                <w:bCs/>
                <w:spacing w:val="-3"/>
              </w:rPr>
              <w:t>6</w:t>
            </w:r>
            <w:r>
              <w:rPr>
                <w:spacing w:val="-34"/>
              </w:rPr>
              <w:t xml:space="preserve"> </w:t>
            </w:r>
            <w:r>
              <w:rPr>
                <w:b/>
                <w:bCs/>
                <w:spacing w:val="-3"/>
              </w:rPr>
              <w:t>号）</w:t>
            </w:r>
          </w:p>
          <w:p w14:paraId="2890180E">
            <w:pPr>
              <w:pStyle w:val="8"/>
              <w:spacing w:before="26" w:line="219" w:lineRule="auto"/>
              <w:ind w:left="473"/>
            </w:pPr>
            <w:r>
              <w:rPr>
                <w:spacing w:val="-1"/>
              </w:rPr>
              <w:t>第九条  运行单位应当向具有管辖权的负责航道管理的部门申请运行方案审批，并提</w:t>
            </w:r>
            <w:r>
              <w:rPr>
                <w:spacing w:val="-2"/>
              </w:rPr>
              <w:t>交以下申请材料：</w:t>
            </w:r>
          </w:p>
          <w:p w14:paraId="7169998E">
            <w:pPr>
              <w:pStyle w:val="8"/>
              <w:spacing w:before="27" w:line="219" w:lineRule="auto"/>
              <w:ind w:left="482"/>
            </w:pPr>
            <w:r>
              <w:rPr>
                <w:spacing w:val="-5"/>
              </w:rPr>
              <w:t>（一）运行方案审查申请；</w:t>
            </w:r>
          </w:p>
          <w:p w14:paraId="57055F44">
            <w:pPr>
              <w:pStyle w:val="8"/>
              <w:spacing w:before="26" w:line="219" w:lineRule="auto"/>
              <w:ind w:left="487"/>
            </w:pPr>
            <w:r>
              <w:rPr>
                <w:spacing w:val="-4"/>
              </w:rPr>
              <w:t>（二）运行方案及编制说明。</w:t>
            </w:r>
          </w:p>
          <w:p w14:paraId="7243B429">
            <w:pPr>
              <w:pStyle w:val="8"/>
              <w:spacing w:before="25" w:line="233" w:lineRule="auto"/>
              <w:ind w:left="117" w:right="108" w:firstLine="360"/>
            </w:pPr>
            <w:r>
              <w:t>通航建筑物位于省界河流上的，运行单位应当</w:t>
            </w:r>
            <w:r>
              <w:rPr>
                <w:spacing w:val="-1"/>
              </w:rPr>
              <w:t>向交通运输部指定的省、自治区、直辖市人民政府负责航</w:t>
            </w:r>
            <w:r>
              <w:t xml:space="preserve"> </w:t>
            </w:r>
            <w:r>
              <w:rPr>
                <w:spacing w:val="-3"/>
              </w:rPr>
              <w:t>道管理的部门申请运行方案审批。</w:t>
            </w:r>
          </w:p>
          <w:p w14:paraId="06C39F14">
            <w:pPr>
              <w:pStyle w:val="8"/>
              <w:spacing w:before="27" w:line="232" w:lineRule="auto"/>
              <w:ind w:left="119" w:right="108" w:firstLine="358"/>
            </w:pPr>
            <w:r>
              <w:t>第十条  申请材料符合要求的，负责航道管理</w:t>
            </w:r>
            <w:r>
              <w:rPr>
                <w:spacing w:val="-1"/>
              </w:rPr>
              <w:t>的部门应当予以受理，并出具书面凭证；对于材料不全或</w:t>
            </w:r>
            <w:r>
              <w:t xml:space="preserve"> </w:t>
            </w:r>
            <w:r>
              <w:rPr>
                <w:spacing w:val="-1"/>
              </w:rPr>
              <w:t>者不符合要求的，负责航道管理的部门应当当场或者在五个工作日内一次告知需要补正的全部内容。</w:t>
            </w:r>
          </w:p>
          <w:p w14:paraId="6BEB8D3F">
            <w:pPr>
              <w:pStyle w:val="8"/>
              <w:spacing w:before="27" w:line="233" w:lineRule="auto"/>
              <w:ind w:left="119" w:right="108" w:firstLine="358"/>
            </w:pPr>
            <w:r>
              <w:t>第十一条  负责航道管理的部门审查运行方案</w:t>
            </w:r>
            <w:r>
              <w:rPr>
                <w:spacing w:val="-1"/>
              </w:rPr>
              <w:t>时，应当征求水行政主管部门、海事管理机构、航运企业</w:t>
            </w:r>
            <w:r>
              <w:t xml:space="preserve"> </w:t>
            </w:r>
            <w:r>
              <w:rPr>
                <w:spacing w:val="-4"/>
              </w:rPr>
              <w:t>等有关单位的意见。</w:t>
            </w:r>
          </w:p>
          <w:p w14:paraId="4C2CC5FD">
            <w:pPr>
              <w:pStyle w:val="8"/>
              <w:spacing w:before="26" w:line="219" w:lineRule="auto"/>
              <w:ind w:left="477"/>
            </w:pPr>
            <w:r>
              <w:rPr>
                <w:spacing w:val="-1"/>
              </w:rPr>
              <w:t>第十四条  运行方案未通过审查的，运行单位应当及时修改并重新报送负责航道管理的部门进行审查。</w:t>
            </w:r>
          </w:p>
        </w:tc>
        <w:tc>
          <w:tcPr>
            <w:tcW w:w="1159" w:type="dxa"/>
            <w:vAlign w:val="top"/>
          </w:tcPr>
          <w:p w14:paraId="4C0D6137">
            <w:pPr>
              <w:rPr>
                <w:rFonts w:ascii="Arial"/>
                <w:sz w:val="21"/>
              </w:rPr>
            </w:pPr>
          </w:p>
        </w:tc>
      </w:tr>
    </w:tbl>
    <w:p w14:paraId="2FC95961">
      <w:pPr>
        <w:pStyle w:val="2"/>
      </w:pPr>
    </w:p>
    <w:p w14:paraId="13284D78">
      <w:pPr>
        <w:sectPr>
          <w:footerReference r:id="rId14" w:type="default"/>
          <w:pgSz w:w="16839" w:h="11906"/>
          <w:pgMar w:top="1012" w:right="1134" w:bottom="967" w:left="1134" w:header="0" w:footer="768" w:gutter="0"/>
          <w:cols w:space="720" w:num="1"/>
        </w:sectPr>
      </w:pPr>
    </w:p>
    <w:p w14:paraId="6449727C">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223A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3CA03FE9">
            <w:pPr>
              <w:pStyle w:val="8"/>
              <w:spacing w:before="183" w:line="221" w:lineRule="auto"/>
              <w:ind w:left="175"/>
            </w:pPr>
            <w:r>
              <w:rPr>
                <w:b/>
                <w:bCs/>
                <w:spacing w:val="-4"/>
              </w:rPr>
              <w:t>序号</w:t>
            </w:r>
          </w:p>
        </w:tc>
        <w:tc>
          <w:tcPr>
            <w:tcW w:w="1290" w:type="dxa"/>
            <w:vAlign w:val="top"/>
          </w:tcPr>
          <w:p w14:paraId="77366E34">
            <w:pPr>
              <w:pStyle w:val="8"/>
              <w:spacing w:before="183" w:line="220" w:lineRule="auto"/>
              <w:ind w:left="284"/>
            </w:pPr>
            <w:r>
              <w:rPr>
                <w:b/>
                <w:bCs/>
                <w:spacing w:val="-4"/>
              </w:rPr>
              <w:t>事项名称</w:t>
            </w:r>
          </w:p>
        </w:tc>
        <w:tc>
          <w:tcPr>
            <w:tcW w:w="1379" w:type="dxa"/>
            <w:vAlign w:val="top"/>
          </w:tcPr>
          <w:p w14:paraId="762AAF48">
            <w:pPr>
              <w:pStyle w:val="8"/>
              <w:spacing w:before="183" w:line="219" w:lineRule="auto"/>
              <w:ind w:left="333"/>
            </w:pPr>
            <w:r>
              <w:rPr>
                <w:b/>
                <w:bCs/>
                <w:spacing w:val="-5"/>
              </w:rPr>
              <w:t>实施机关</w:t>
            </w:r>
          </w:p>
        </w:tc>
        <w:tc>
          <w:tcPr>
            <w:tcW w:w="1364" w:type="dxa"/>
            <w:vAlign w:val="top"/>
          </w:tcPr>
          <w:p w14:paraId="669859E7">
            <w:pPr>
              <w:pStyle w:val="8"/>
              <w:spacing w:before="183" w:line="219" w:lineRule="auto"/>
              <w:ind w:left="322"/>
            </w:pPr>
            <w:r>
              <w:rPr>
                <w:b/>
                <w:bCs/>
                <w:spacing w:val="-4"/>
              </w:rPr>
              <w:t>承办机构</w:t>
            </w:r>
          </w:p>
        </w:tc>
        <w:tc>
          <w:tcPr>
            <w:tcW w:w="8667" w:type="dxa"/>
            <w:vAlign w:val="top"/>
          </w:tcPr>
          <w:p w14:paraId="1593AEE6">
            <w:pPr>
              <w:pStyle w:val="8"/>
              <w:spacing w:before="183" w:line="219" w:lineRule="auto"/>
              <w:ind w:left="3708"/>
            </w:pPr>
            <w:r>
              <w:rPr>
                <w:b/>
                <w:bCs/>
                <w:spacing w:val="-3"/>
              </w:rPr>
              <w:t>设定和实施依据</w:t>
            </w:r>
          </w:p>
        </w:tc>
        <w:tc>
          <w:tcPr>
            <w:tcW w:w="1159" w:type="dxa"/>
            <w:vAlign w:val="top"/>
          </w:tcPr>
          <w:p w14:paraId="2E3B48A9">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7A55A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3" w:hRule="atLeast"/>
        </w:trPr>
        <w:tc>
          <w:tcPr>
            <w:tcW w:w="705" w:type="dxa"/>
            <w:vAlign w:val="top"/>
          </w:tcPr>
          <w:p w14:paraId="402DF318">
            <w:pPr>
              <w:spacing w:line="242" w:lineRule="auto"/>
              <w:rPr>
                <w:rFonts w:ascii="Arial"/>
                <w:sz w:val="21"/>
              </w:rPr>
            </w:pPr>
          </w:p>
          <w:p w14:paraId="3D31044E">
            <w:pPr>
              <w:spacing w:line="242" w:lineRule="auto"/>
              <w:rPr>
                <w:rFonts w:ascii="Arial"/>
                <w:sz w:val="21"/>
              </w:rPr>
            </w:pPr>
          </w:p>
          <w:p w14:paraId="1487693B">
            <w:pPr>
              <w:spacing w:line="242" w:lineRule="auto"/>
              <w:rPr>
                <w:rFonts w:ascii="Arial"/>
                <w:sz w:val="21"/>
              </w:rPr>
            </w:pPr>
          </w:p>
          <w:p w14:paraId="017FA7C6">
            <w:pPr>
              <w:spacing w:line="242" w:lineRule="auto"/>
              <w:rPr>
                <w:rFonts w:ascii="Arial"/>
                <w:sz w:val="21"/>
              </w:rPr>
            </w:pPr>
          </w:p>
          <w:p w14:paraId="1920CA14">
            <w:pPr>
              <w:spacing w:line="242" w:lineRule="auto"/>
              <w:rPr>
                <w:rFonts w:ascii="Arial"/>
                <w:sz w:val="21"/>
              </w:rPr>
            </w:pPr>
          </w:p>
          <w:p w14:paraId="5D6B3377">
            <w:pPr>
              <w:spacing w:line="242" w:lineRule="auto"/>
              <w:rPr>
                <w:rFonts w:ascii="Arial"/>
                <w:sz w:val="21"/>
              </w:rPr>
            </w:pPr>
          </w:p>
          <w:p w14:paraId="27C1C40B">
            <w:pPr>
              <w:spacing w:line="242" w:lineRule="auto"/>
              <w:rPr>
                <w:rFonts w:ascii="Arial"/>
                <w:sz w:val="21"/>
              </w:rPr>
            </w:pPr>
          </w:p>
          <w:p w14:paraId="4B635D89">
            <w:pPr>
              <w:spacing w:line="242" w:lineRule="auto"/>
              <w:rPr>
                <w:rFonts w:ascii="Arial"/>
                <w:sz w:val="21"/>
              </w:rPr>
            </w:pPr>
          </w:p>
          <w:p w14:paraId="6AFA556F">
            <w:pPr>
              <w:spacing w:line="242" w:lineRule="auto"/>
              <w:rPr>
                <w:rFonts w:ascii="Arial"/>
                <w:sz w:val="21"/>
              </w:rPr>
            </w:pPr>
          </w:p>
          <w:p w14:paraId="15F4E364">
            <w:pPr>
              <w:spacing w:line="242" w:lineRule="auto"/>
              <w:rPr>
                <w:rFonts w:ascii="Arial"/>
                <w:sz w:val="21"/>
              </w:rPr>
            </w:pPr>
          </w:p>
          <w:p w14:paraId="7B793411">
            <w:pPr>
              <w:spacing w:line="242" w:lineRule="auto"/>
              <w:rPr>
                <w:rFonts w:ascii="Arial"/>
                <w:sz w:val="21"/>
              </w:rPr>
            </w:pPr>
          </w:p>
          <w:p w14:paraId="08ADDBC7">
            <w:pPr>
              <w:spacing w:line="242" w:lineRule="auto"/>
              <w:rPr>
                <w:rFonts w:ascii="Arial"/>
                <w:sz w:val="21"/>
              </w:rPr>
            </w:pPr>
          </w:p>
          <w:p w14:paraId="55216877">
            <w:pPr>
              <w:spacing w:line="242" w:lineRule="auto"/>
              <w:rPr>
                <w:rFonts w:ascii="Arial"/>
                <w:sz w:val="21"/>
              </w:rPr>
            </w:pPr>
          </w:p>
          <w:p w14:paraId="55870F60">
            <w:pPr>
              <w:spacing w:line="242" w:lineRule="auto"/>
              <w:rPr>
                <w:rFonts w:ascii="Arial"/>
                <w:sz w:val="21"/>
              </w:rPr>
            </w:pPr>
          </w:p>
          <w:p w14:paraId="54DAF6B5">
            <w:pPr>
              <w:spacing w:line="242" w:lineRule="auto"/>
              <w:rPr>
                <w:rFonts w:ascii="Arial"/>
                <w:sz w:val="21"/>
              </w:rPr>
            </w:pPr>
          </w:p>
          <w:p w14:paraId="005480D2">
            <w:pPr>
              <w:spacing w:line="243" w:lineRule="auto"/>
              <w:rPr>
                <w:rFonts w:ascii="Arial"/>
                <w:sz w:val="21"/>
              </w:rPr>
            </w:pPr>
          </w:p>
          <w:p w14:paraId="5274DAD4">
            <w:pPr>
              <w:spacing w:line="243" w:lineRule="auto"/>
              <w:rPr>
                <w:rFonts w:ascii="Arial"/>
                <w:sz w:val="21"/>
              </w:rPr>
            </w:pPr>
          </w:p>
          <w:p w14:paraId="35C16B82">
            <w:pPr>
              <w:pStyle w:val="8"/>
              <w:spacing w:before="58" w:line="183" w:lineRule="auto"/>
              <w:ind w:left="269"/>
              <w:rPr>
                <w:rFonts w:hint="default" w:eastAsia="宋体"/>
                <w:lang w:val="en-US" w:eastAsia="zh-CN"/>
              </w:rPr>
            </w:pPr>
            <w:r>
              <w:rPr>
                <w:rFonts w:hint="eastAsia"/>
                <w:spacing w:val="-4"/>
                <w:lang w:val="en-US" w:eastAsia="zh-CN"/>
              </w:rPr>
              <w:t>15</w:t>
            </w:r>
          </w:p>
        </w:tc>
        <w:tc>
          <w:tcPr>
            <w:tcW w:w="1290" w:type="dxa"/>
            <w:vAlign w:val="top"/>
          </w:tcPr>
          <w:p w14:paraId="44832551">
            <w:pPr>
              <w:spacing w:line="248" w:lineRule="auto"/>
              <w:rPr>
                <w:rFonts w:ascii="Arial"/>
                <w:sz w:val="21"/>
              </w:rPr>
            </w:pPr>
          </w:p>
          <w:p w14:paraId="6089C193">
            <w:pPr>
              <w:spacing w:line="248" w:lineRule="auto"/>
              <w:rPr>
                <w:rFonts w:ascii="Arial"/>
                <w:sz w:val="21"/>
              </w:rPr>
            </w:pPr>
          </w:p>
          <w:p w14:paraId="28A2BDA3">
            <w:pPr>
              <w:spacing w:line="248" w:lineRule="auto"/>
              <w:rPr>
                <w:rFonts w:ascii="Arial"/>
                <w:sz w:val="21"/>
              </w:rPr>
            </w:pPr>
          </w:p>
          <w:p w14:paraId="6646DD37">
            <w:pPr>
              <w:spacing w:line="248" w:lineRule="auto"/>
              <w:rPr>
                <w:rFonts w:ascii="Arial"/>
                <w:sz w:val="21"/>
              </w:rPr>
            </w:pPr>
          </w:p>
          <w:p w14:paraId="02731820">
            <w:pPr>
              <w:spacing w:line="248" w:lineRule="auto"/>
              <w:rPr>
                <w:rFonts w:ascii="Arial"/>
                <w:sz w:val="21"/>
              </w:rPr>
            </w:pPr>
          </w:p>
          <w:p w14:paraId="5633E0B7">
            <w:pPr>
              <w:spacing w:line="248" w:lineRule="auto"/>
              <w:rPr>
                <w:rFonts w:ascii="Arial"/>
                <w:sz w:val="21"/>
              </w:rPr>
            </w:pPr>
          </w:p>
          <w:p w14:paraId="72D29944">
            <w:pPr>
              <w:spacing w:line="248" w:lineRule="auto"/>
              <w:rPr>
                <w:rFonts w:ascii="Arial"/>
                <w:sz w:val="21"/>
              </w:rPr>
            </w:pPr>
          </w:p>
          <w:p w14:paraId="4D336C1C">
            <w:pPr>
              <w:spacing w:line="248" w:lineRule="auto"/>
              <w:rPr>
                <w:rFonts w:ascii="Arial"/>
                <w:sz w:val="21"/>
              </w:rPr>
            </w:pPr>
          </w:p>
          <w:p w14:paraId="30CDEE8B">
            <w:pPr>
              <w:spacing w:line="248" w:lineRule="auto"/>
              <w:rPr>
                <w:rFonts w:ascii="Arial"/>
                <w:sz w:val="21"/>
              </w:rPr>
            </w:pPr>
          </w:p>
          <w:p w14:paraId="5E8FFE87">
            <w:pPr>
              <w:spacing w:line="248" w:lineRule="auto"/>
              <w:rPr>
                <w:rFonts w:ascii="Arial"/>
                <w:sz w:val="21"/>
              </w:rPr>
            </w:pPr>
          </w:p>
          <w:p w14:paraId="25EF10DD">
            <w:pPr>
              <w:spacing w:line="248" w:lineRule="auto"/>
              <w:rPr>
                <w:rFonts w:ascii="Arial"/>
                <w:sz w:val="21"/>
              </w:rPr>
            </w:pPr>
          </w:p>
          <w:p w14:paraId="7F9B4115">
            <w:pPr>
              <w:spacing w:line="248" w:lineRule="auto"/>
              <w:rPr>
                <w:rFonts w:ascii="Arial"/>
                <w:sz w:val="21"/>
              </w:rPr>
            </w:pPr>
          </w:p>
          <w:p w14:paraId="1F9492C9">
            <w:pPr>
              <w:spacing w:line="248" w:lineRule="auto"/>
              <w:rPr>
                <w:rFonts w:ascii="Arial"/>
                <w:sz w:val="21"/>
              </w:rPr>
            </w:pPr>
          </w:p>
          <w:p w14:paraId="75A5D7B8">
            <w:pPr>
              <w:spacing w:line="248" w:lineRule="auto"/>
              <w:rPr>
                <w:rFonts w:ascii="Arial"/>
                <w:sz w:val="21"/>
              </w:rPr>
            </w:pPr>
          </w:p>
          <w:p w14:paraId="2E95DEA5">
            <w:pPr>
              <w:spacing w:line="248" w:lineRule="auto"/>
              <w:rPr>
                <w:rFonts w:ascii="Arial"/>
                <w:sz w:val="21"/>
              </w:rPr>
            </w:pPr>
          </w:p>
          <w:p w14:paraId="70A8D77E">
            <w:pPr>
              <w:spacing w:line="249" w:lineRule="auto"/>
              <w:rPr>
                <w:rFonts w:ascii="Arial"/>
                <w:sz w:val="21"/>
              </w:rPr>
            </w:pPr>
          </w:p>
          <w:p w14:paraId="2238B3CA">
            <w:pPr>
              <w:pStyle w:val="8"/>
              <w:spacing w:before="58" w:line="232" w:lineRule="auto"/>
              <w:ind w:left="30" w:right="28"/>
            </w:pPr>
            <w:r>
              <w:rPr>
                <w:spacing w:val="24"/>
              </w:rPr>
              <w:t>航道通航条件</w:t>
            </w:r>
            <w:r>
              <w:rPr>
                <w:spacing w:val="1"/>
              </w:rPr>
              <w:t xml:space="preserve"> </w:t>
            </w:r>
            <w:r>
              <w:rPr>
                <w:spacing w:val="-1"/>
              </w:rPr>
              <w:t>影响评价审核</w:t>
            </w:r>
          </w:p>
        </w:tc>
        <w:tc>
          <w:tcPr>
            <w:tcW w:w="1379" w:type="dxa"/>
            <w:vAlign w:val="top"/>
          </w:tcPr>
          <w:p w14:paraId="685EE9EF">
            <w:pPr>
              <w:rPr>
                <w:rFonts w:ascii="Arial"/>
                <w:sz w:val="21"/>
              </w:rPr>
            </w:pPr>
          </w:p>
          <w:p w14:paraId="12552B61">
            <w:pPr>
              <w:rPr>
                <w:rFonts w:ascii="Arial"/>
                <w:sz w:val="21"/>
              </w:rPr>
            </w:pPr>
          </w:p>
          <w:p w14:paraId="7DA757CA">
            <w:pPr>
              <w:rPr>
                <w:rFonts w:ascii="Arial"/>
                <w:sz w:val="21"/>
              </w:rPr>
            </w:pPr>
          </w:p>
          <w:p w14:paraId="4D3ED6B7">
            <w:pPr>
              <w:rPr>
                <w:rFonts w:ascii="Arial"/>
                <w:sz w:val="21"/>
              </w:rPr>
            </w:pPr>
          </w:p>
          <w:p w14:paraId="76BEDA54">
            <w:pPr>
              <w:rPr>
                <w:rFonts w:ascii="Arial"/>
                <w:sz w:val="21"/>
              </w:rPr>
            </w:pPr>
          </w:p>
          <w:p w14:paraId="0194FC09">
            <w:pPr>
              <w:rPr>
                <w:rFonts w:ascii="Arial"/>
                <w:sz w:val="21"/>
              </w:rPr>
            </w:pPr>
          </w:p>
          <w:p w14:paraId="4D3C4EB6">
            <w:pPr>
              <w:spacing w:line="241" w:lineRule="auto"/>
              <w:rPr>
                <w:rFonts w:ascii="Arial"/>
                <w:sz w:val="21"/>
              </w:rPr>
            </w:pPr>
          </w:p>
          <w:p w14:paraId="70720913">
            <w:pPr>
              <w:spacing w:line="241" w:lineRule="auto"/>
              <w:rPr>
                <w:rFonts w:ascii="Arial"/>
                <w:sz w:val="21"/>
              </w:rPr>
            </w:pPr>
          </w:p>
          <w:p w14:paraId="6412B24A">
            <w:pPr>
              <w:spacing w:line="241" w:lineRule="auto"/>
              <w:rPr>
                <w:rFonts w:ascii="Arial"/>
                <w:sz w:val="21"/>
              </w:rPr>
            </w:pPr>
          </w:p>
          <w:p w14:paraId="26593354">
            <w:pPr>
              <w:spacing w:line="241" w:lineRule="auto"/>
              <w:rPr>
                <w:rFonts w:ascii="Arial"/>
                <w:sz w:val="21"/>
              </w:rPr>
            </w:pPr>
          </w:p>
          <w:p w14:paraId="330339A2">
            <w:pPr>
              <w:spacing w:line="241" w:lineRule="auto"/>
              <w:rPr>
                <w:rFonts w:ascii="Arial"/>
                <w:sz w:val="21"/>
              </w:rPr>
            </w:pPr>
          </w:p>
          <w:p w14:paraId="3BF697B2">
            <w:pPr>
              <w:spacing w:line="241" w:lineRule="auto"/>
              <w:rPr>
                <w:rFonts w:ascii="Arial"/>
                <w:sz w:val="21"/>
              </w:rPr>
            </w:pPr>
          </w:p>
          <w:p w14:paraId="0D1F655C">
            <w:pPr>
              <w:spacing w:line="241" w:lineRule="auto"/>
              <w:rPr>
                <w:rFonts w:ascii="Arial"/>
                <w:sz w:val="21"/>
              </w:rPr>
            </w:pPr>
          </w:p>
          <w:p w14:paraId="1D6EB4A9">
            <w:pPr>
              <w:spacing w:line="241" w:lineRule="auto"/>
              <w:rPr>
                <w:rFonts w:ascii="Arial"/>
                <w:sz w:val="21"/>
              </w:rPr>
            </w:pPr>
          </w:p>
          <w:p w14:paraId="355FB067">
            <w:pPr>
              <w:spacing w:line="241" w:lineRule="auto"/>
              <w:rPr>
                <w:rFonts w:ascii="Arial"/>
                <w:sz w:val="21"/>
              </w:rPr>
            </w:pPr>
          </w:p>
          <w:p w14:paraId="3C53DE13">
            <w:pPr>
              <w:spacing w:line="241" w:lineRule="auto"/>
              <w:rPr>
                <w:rFonts w:ascii="Arial"/>
                <w:sz w:val="21"/>
              </w:rPr>
            </w:pPr>
          </w:p>
          <w:p w14:paraId="2C6C0A5A">
            <w:pPr>
              <w:pStyle w:val="8"/>
              <w:spacing w:before="58" w:line="237" w:lineRule="auto"/>
              <w:ind w:left="31" w:right="27"/>
              <w:rPr>
                <w:rFonts w:hint="eastAsia" w:eastAsia="宋体"/>
                <w:lang w:eastAsia="zh-CN"/>
              </w:rPr>
            </w:pPr>
            <w:r>
              <w:rPr>
                <w:rFonts w:hint="eastAsia"/>
                <w:spacing w:val="6"/>
                <w:lang w:eastAsia="zh-CN"/>
              </w:rPr>
              <w:t>津市市交通运输局</w:t>
            </w:r>
          </w:p>
        </w:tc>
        <w:tc>
          <w:tcPr>
            <w:tcW w:w="1364" w:type="dxa"/>
            <w:vAlign w:val="top"/>
          </w:tcPr>
          <w:p w14:paraId="673E905D">
            <w:pPr>
              <w:rPr>
                <w:rFonts w:ascii="Arial"/>
                <w:sz w:val="21"/>
              </w:rPr>
            </w:pPr>
          </w:p>
          <w:p w14:paraId="7958D390">
            <w:pPr>
              <w:rPr>
                <w:rFonts w:ascii="Arial"/>
                <w:sz w:val="21"/>
              </w:rPr>
            </w:pPr>
          </w:p>
          <w:p w14:paraId="06754A29">
            <w:pPr>
              <w:rPr>
                <w:rFonts w:ascii="Arial"/>
                <w:sz w:val="21"/>
              </w:rPr>
            </w:pPr>
          </w:p>
          <w:p w14:paraId="36E0EE22">
            <w:pPr>
              <w:rPr>
                <w:rFonts w:ascii="Arial"/>
                <w:sz w:val="21"/>
              </w:rPr>
            </w:pPr>
          </w:p>
          <w:p w14:paraId="7386E8C5">
            <w:pPr>
              <w:rPr>
                <w:rFonts w:ascii="Arial"/>
                <w:sz w:val="21"/>
              </w:rPr>
            </w:pPr>
          </w:p>
          <w:p w14:paraId="36CE13D1">
            <w:pPr>
              <w:rPr>
                <w:rFonts w:ascii="Arial"/>
                <w:sz w:val="21"/>
              </w:rPr>
            </w:pPr>
          </w:p>
          <w:p w14:paraId="504AE838">
            <w:pPr>
              <w:rPr>
                <w:rFonts w:ascii="Arial"/>
                <w:sz w:val="21"/>
              </w:rPr>
            </w:pPr>
          </w:p>
          <w:p w14:paraId="6D93EF44">
            <w:pPr>
              <w:rPr>
                <w:rFonts w:ascii="Arial"/>
                <w:sz w:val="21"/>
              </w:rPr>
            </w:pPr>
          </w:p>
          <w:p w14:paraId="755C167D">
            <w:pPr>
              <w:rPr>
                <w:rFonts w:ascii="Arial"/>
                <w:sz w:val="21"/>
              </w:rPr>
            </w:pPr>
          </w:p>
          <w:p w14:paraId="37F4D2B6">
            <w:pPr>
              <w:rPr>
                <w:rFonts w:ascii="Arial"/>
                <w:sz w:val="21"/>
              </w:rPr>
            </w:pPr>
          </w:p>
          <w:p w14:paraId="6C23897D">
            <w:pPr>
              <w:spacing w:line="241" w:lineRule="auto"/>
              <w:rPr>
                <w:rFonts w:ascii="Arial"/>
                <w:sz w:val="21"/>
              </w:rPr>
            </w:pPr>
          </w:p>
          <w:p w14:paraId="07359545">
            <w:pPr>
              <w:spacing w:line="241" w:lineRule="auto"/>
              <w:rPr>
                <w:rFonts w:ascii="Arial"/>
                <w:sz w:val="21"/>
              </w:rPr>
            </w:pPr>
          </w:p>
          <w:p w14:paraId="1D1389E2">
            <w:pPr>
              <w:spacing w:line="241" w:lineRule="auto"/>
              <w:rPr>
                <w:rFonts w:ascii="Arial"/>
                <w:sz w:val="21"/>
              </w:rPr>
            </w:pPr>
          </w:p>
          <w:p w14:paraId="77717678">
            <w:pPr>
              <w:spacing w:line="241" w:lineRule="auto"/>
              <w:rPr>
                <w:rFonts w:ascii="Arial"/>
                <w:sz w:val="21"/>
              </w:rPr>
            </w:pPr>
          </w:p>
          <w:p w14:paraId="748D0F35">
            <w:pPr>
              <w:spacing w:line="241" w:lineRule="auto"/>
              <w:rPr>
                <w:rFonts w:ascii="Arial"/>
                <w:sz w:val="21"/>
              </w:rPr>
            </w:pPr>
          </w:p>
          <w:p w14:paraId="4A66090D">
            <w:pPr>
              <w:spacing w:line="241" w:lineRule="auto"/>
              <w:rPr>
                <w:rFonts w:ascii="Arial"/>
                <w:sz w:val="21"/>
              </w:rPr>
            </w:pPr>
          </w:p>
          <w:p w14:paraId="2663E859">
            <w:pPr>
              <w:spacing w:line="241" w:lineRule="auto"/>
              <w:rPr>
                <w:rFonts w:ascii="Arial"/>
                <w:sz w:val="21"/>
              </w:rPr>
            </w:pPr>
          </w:p>
          <w:p w14:paraId="3517DF9B">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7F9EE956">
            <w:pPr>
              <w:pStyle w:val="8"/>
              <w:spacing w:before="130" w:line="219" w:lineRule="auto"/>
              <w:ind w:left="479"/>
            </w:pPr>
            <w:r>
              <w:rPr>
                <w:b/>
                <w:bCs/>
                <w:spacing w:val="-8"/>
              </w:rPr>
              <w:t>1.《中华人民共和国航道法》</w:t>
            </w:r>
          </w:p>
          <w:p w14:paraId="64420347">
            <w:pPr>
              <w:pStyle w:val="8"/>
              <w:spacing w:before="26" w:line="232" w:lineRule="auto"/>
              <w:ind w:left="127" w:right="103" w:firstLine="338"/>
            </w:pPr>
            <w:r>
              <w:rPr>
                <w:spacing w:val="-8"/>
              </w:rPr>
              <w:t>第二十八条</w:t>
            </w:r>
            <w:r>
              <w:rPr>
                <w:spacing w:val="89"/>
              </w:rPr>
              <w:t xml:space="preserve"> </w:t>
            </w:r>
            <w:r>
              <w:rPr>
                <w:spacing w:val="-8"/>
              </w:rPr>
              <w:t>建设与航道有关的工程，建设单位应当在工程可行性研究阶段就建设项目对航道通航条件的影</w:t>
            </w:r>
            <w:r>
              <w:t xml:space="preserve"> </w:t>
            </w:r>
            <w:r>
              <w:rPr>
                <w:spacing w:val="-6"/>
              </w:rPr>
              <w:t>响作出评价，并报送有审核权的交通运输主管部门或者航道管理机构审核，但</w:t>
            </w:r>
            <w:r>
              <w:rPr>
                <w:spacing w:val="-7"/>
              </w:rPr>
              <w:t>下列工程除外：</w:t>
            </w:r>
          </w:p>
          <w:p w14:paraId="602C3AB5">
            <w:pPr>
              <w:pStyle w:val="8"/>
              <w:spacing w:before="27" w:line="219" w:lineRule="auto"/>
              <w:ind w:left="475"/>
            </w:pPr>
            <w:r>
              <w:rPr>
                <w:spacing w:val="-7"/>
              </w:rPr>
              <w:t>（一）临河、临湖的中小河流治理工程；</w:t>
            </w:r>
          </w:p>
          <w:p w14:paraId="05B81ADF">
            <w:pPr>
              <w:pStyle w:val="8"/>
              <w:spacing w:before="26" w:line="219" w:lineRule="auto"/>
              <w:ind w:left="475"/>
            </w:pPr>
            <w:r>
              <w:rPr>
                <w:spacing w:val="-7"/>
              </w:rPr>
              <w:t>（二）不通航河流上建设的水工程；</w:t>
            </w:r>
          </w:p>
          <w:p w14:paraId="608DDAF8">
            <w:pPr>
              <w:pStyle w:val="8"/>
              <w:spacing w:before="25" w:line="233" w:lineRule="auto"/>
              <w:ind w:left="117" w:right="103" w:firstLine="357"/>
            </w:pPr>
            <w:r>
              <w:rPr>
                <w:spacing w:val="-8"/>
              </w:rPr>
              <w:t>（三）现有水工程的水毁修复、除险加固、不涉及通航建筑物和不改变航道原通航条件的更新改造等</w:t>
            </w:r>
            <w:r>
              <w:rPr>
                <w:spacing w:val="-9"/>
              </w:rPr>
              <w:t>不影响</w:t>
            </w:r>
            <w:r>
              <w:t xml:space="preserve"> </w:t>
            </w:r>
            <w:r>
              <w:rPr>
                <w:spacing w:val="-6"/>
              </w:rPr>
              <w:t>航道通航条件的工程。</w:t>
            </w:r>
          </w:p>
          <w:p w14:paraId="2C0581FB">
            <w:pPr>
              <w:pStyle w:val="8"/>
              <w:spacing w:before="27" w:line="233" w:lineRule="auto"/>
              <w:ind w:left="127" w:right="103" w:firstLine="340"/>
            </w:pPr>
            <w:r>
              <w:rPr>
                <w:spacing w:val="-8"/>
              </w:rPr>
              <w:t>建设单位报送的航道通航条件影响评价材料不符合本法规定的，可以进行补充或者修改，重新报送审核部门</w:t>
            </w:r>
            <w:r>
              <w:rPr>
                <w:spacing w:val="5"/>
              </w:rPr>
              <w:t xml:space="preserve"> </w:t>
            </w:r>
            <w:r>
              <w:rPr>
                <w:spacing w:val="-8"/>
              </w:rPr>
              <w:t>审核。</w:t>
            </w:r>
          </w:p>
          <w:p w14:paraId="13AB6423">
            <w:pPr>
              <w:pStyle w:val="8"/>
              <w:spacing w:before="26" w:line="237" w:lineRule="auto"/>
              <w:ind w:left="117" w:right="103" w:firstLine="351"/>
              <w:jc w:val="both"/>
            </w:pPr>
            <w:r>
              <w:rPr>
                <w:spacing w:val="-8"/>
              </w:rPr>
              <w:t>未进行航道通航条件影响评价或者经审核部门审核认为建设项目不符合本法规定的，建设单位不得建设。政</w:t>
            </w:r>
            <w:r>
              <w:rPr>
                <w:spacing w:val="5"/>
              </w:rPr>
              <w:t xml:space="preserve"> </w:t>
            </w:r>
            <w:r>
              <w:rPr>
                <w:spacing w:val="-8"/>
              </w:rPr>
              <w:t>府投资项目未进行航道通航条件影响评价或者经审核部门审核认为建设项目不符合本法规定的，负责建设项目审</w:t>
            </w:r>
            <w:r>
              <w:rPr>
                <w:spacing w:val="12"/>
              </w:rPr>
              <w:t xml:space="preserve"> </w:t>
            </w:r>
            <w:r>
              <w:rPr>
                <w:spacing w:val="-6"/>
              </w:rPr>
              <w:t>批的部门不予批准。</w:t>
            </w:r>
          </w:p>
          <w:p w14:paraId="2383EBC1">
            <w:pPr>
              <w:pStyle w:val="8"/>
              <w:spacing w:before="26" w:line="218" w:lineRule="auto"/>
              <w:ind w:left="467"/>
            </w:pPr>
            <w:r>
              <w:rPr>
                <w:b/>
                <w:bCs/>
                <w:spacing w:val="-7"/>
              </w:rPr>
              <w:t>2.《航道通航条件影响评价审核管理办法》（交通运输部令</w:t>
            </w:r>
            <w:r>
              <w:rPr>
                <w:spacing w:val="-43"/>
              </w:rPr>
              <w:t xml:space="preserve"> </w:t>
            </w:r>
            <w:r>
              <w:rPr>
                <w:b/>
                <w:bCs/>
                <w:spacing w:val="-7"/>
              </w:rPr>
              <w:t>2019</w:t>
            </w:r>
            <w:r>
              <w:rPr>
                <w:spacing w:val="-42"/>
              </w:rPr>
              <w:t xml:space="preserve"> </w:t>
            </w:r>
            <w:r>
              <w:rPr>
                <w:b/>
                <w:bCs/>
                <w:spacing w:val="-7"/>
              </w:rPr>
              <w:t>年第</w:t>
            </w:r>
            <w:r>
              <w:rPr>
                <w:spacing w:val="-44"/>
              </w:rPr>
              <w:t xml:space="preserve"> </w:t>
            </w:r>
            <w:r>
              <w:rPr>
                <w:b/>
                <w:bCs/>
                <w:spacing w:val="-7"/>
              </w:rPr>
              <w:t>35</w:t>
            </w:r>
            <w:r>
              <w:rPr>
                <w:spacing w:val="-39"/>
              </w:rPr>
              <w:t xml:space="preserve"> </w:t>
            </w:r>
            <w:r>
              <w:rPr>
                <w:b/>
                <w:bCs/>
                <w:spacing w:val="-8"/>
              </w:rPr>
              <w:t>号）</w:t>
            </w:r>
          </w:p>
          <w:p w14:paraId="76B58F42">
            <w:pPr>
              <w:pStyle w:val="8"/>
              <w:spacing w:before="28" w:line="232" w:lineRule="auto"/>
              <w:ind w:left="119" w:right="103" w:firstLine="346"/>
            </w:pPr>
            <w:r>
              <w:rPr>
                <w:spacing w:val="-8"/>
              </w:rPr>
              <w:t>第十二条  审核部门收到建设单位提交的审核申请后，应当进行材料审查，审查内容主要包括申请事项是否</w:t>
            </w:r>
            <w:r>
              <w:rPr>
                <w:spacing w:val="15"/>
              </w:rPr>
              <w:t xml:space="preserve"> </w:t>
            </w:r>
            <w:r>
              <w:rPr>
                <w:spacing w:val="-6"/>
              </w:rPr>
              <w:t>属于受理范围、材料是否齐全、航评报告文本格式是否符合规定要求等。</w:t>
            </w:r>
          </w:p>
          <w:p w14:paraId="0A08CE2E">
            <w:pPr>
              <w:pStyle w:val="8"/>
              <w:spacing w:before="27" w:line="232" w:lineRule="auto"/>
              <w:ind w:left="118" w:right="103" w:firstLine="350"/>
            </w:pPr>
            <w:r>
              <w:rPr>
                <w:spacing w:val="-8"/>
              </w:rPr>
              <w:t>不属于受理范围的，审核部门应当及时告知建设单位。申请材料不全或者不符合规定要求的，应当在五个工</w:t>
            </w:r>
            <w:r>
              <w:rPr>
                <w:spacing w:val="5"/>
              </w:rPr>
              <w:t xml:space="preserve"> </w:t>
            </w:r>
            <w:r>
              <w:rPr>
                <w:spacing w:val="-6"/>
              </w:rPr>
              <w:t>作日内一次性告知需要补正的全部内容。材料审查通过的，审核部门应当予以受理，并出具受理通知书。</w:t>
            </w:r>
          </w:p>
          <w:p w14:paraId="4CE326B4">
            <w:pPr>
              <w:pStyle w:val="8"/>
              <w:spacing w:before="27" w:line="233" w:lineRule="auto"/>
              <w:ind w:left="119" w:right="103" w:firstLine="345"/>
            </w:pPr>
            <w:r>
              <w:rPr>
                <w:spacing w:val="-8"/>
              </w:rPr>
              <w:t>第十四条  审核部门应当围绕航评报告内容是否全面，程序是否合规，论证是否充分，结论是否客观，拟采</w:t>
            </w:r>
            <w:r>
              <w:rPr>
                <w:spacing w:val="15"/>
              </w:rPr>
              <w:t xml:space="preserve"> </w:t>
            </w:r>
            <w:r>
              <w:rPr>
                <w:spacing w:val="-6"/>
              </w:rPr>
              <w:t>取的措施是否得当等方面内容，针对下列事项进行审核：</w:t>
            </w:r>
          </w:p>
          <w:p w14:paraId="5E5B8FF9">
            <w:pPr>
              <w:pStyle w:val="8"/>
              <w:spacing w:before="27" w:line="237" w:lineRule="auto"/>
              <w:ind w:left="117" w:right="103" w:firstLine="357"/>
            </w:pPr>
            <w:r>
              <w:rPr>
                <w:spacing w:val="-8"/>
              </w:rPr>
              <w:t>（一）拦河闸坝的选址，总平面布置，运量预测，代表船型，通航建筑物设计通航标准及规模、设计通</w:t>
            </w:r>
            <w:r>
              <w:rPr>
                <w:spacing w:val="-9"/>
              </w:rPr>
              <w:t>航水</w:t>
            </w:r>
            <w:r>
              <w:t xml:space="preserve"> </w:t>
            </w:r>
            <w:r>
              <w:rPr>
                <w:spacing w:val="-8"/>
              </w:rPr>
              <w:t>位及流量、上下游梯级通航水位衔接、回水变动区淤积及坝下清水冲刷影响，施工期通航方案，通航建筑物施工</w:t>
            </w:r>
            <w:r>
              <w:rPr>
                <w:spacing w:val="11"/>
              </w:rPr>
              <w:t xml:space="preserve"> </w:t>
            </w:r>
            <w:r>
              <w:rPr>
                <w:spacing w:val="-6"/>
              </w:rPr>
              <w:t>组织计划，航道与通航安全保障措施等；</w:t>
            </w:r>
          </w:p>
          <w:p w14:paraId="77DA33FC">
            <w:pPr>
              <w:pStyle w:val="8"/>
              <w:spacing w:before="27" w:line="232" w:lineRule="auto"/>
              <w:ind w:left="117" w:right="64" w:firstLine="357"/>
            </w:pPr>
            <w:r>
              <w:rPr>
                <w:spacing w:val="-7"/>
              </w:rPr>
              <w:t>（二）桥梁、缆线等跨越航道建设项目的选址，河床演变分析，设计通航水位，代</w:t>
            </w:r>
            <w:r>
              <w:rPr>
                <w:spacing w:val="-8"/>
              </w:rPr>
              <w:t>表船型，通航净空尺度，</w:t>
            </w:r>
            <w:r>
              <w:t xml:space="preserve"> </w:t>
            </w:r>
            <w:r>
              <w:rPr>
                <w:spacing w:val="-6"/>
              </w:rPr>
              <w:t>桥跨布置方案，墩柱防撞标准，航道与通航安全保障措施等；</w:t>
            </w:r>
          </w:p>
          <w:p w14:paraId="471D3048">
            <w:pPr>
              <w:pStyle w:val="8"/>
              <w:spacing w:before="26" w:line="233" w:lineRule="auto"/>
              <w:ind w:left="117" w:right="61" w:firstLine="357"/>
            </w:pPr>
            <w:r>
              <w:rPr>
                <w:spacing w:val="-11"/>
              </w:rPr>
              <w:t>（三）隧道、管道等穿越航道建设项目的选址、河床演变、埋设深度、出入土点、冲刷深度、应急抛锚影响，</w:t>
            </w:r>
            <w:r>
              <w:rPr>
                <w:spacing w:val="11"/>
              </w:rPr>
              <w:t xml:space="preserve"> </w:t>
            </w:r>
            <w:r>
              <w:rPr>
                <w:spacing w:val="-6"/>
              </w:rPr>
              <w:t>航道与通航安全保障措施等；</w:t>
            </w:r>
          </w:p>
          <w:p w14:paraId="20DFBAB3">
            <w:pPr>
              <w:pStyle w:val="8"/>
              <w:spacing w:before="26" w:line="232" w:lineRule="auto"/>
              <w:ind w:left="479" w:right="50" w:hanging="4"/>
            </w:pPr>
            <w:r>
              <w:rPr>
                <w:spacing w:val="-7"/>
              </w:rPr>
              <w:t>（四）临河、临湖、临海建设项目的选址及工程布置对航道通航条件的影响，航道与通航安全保障措施等。</w:t>
            </w:r>
            <w:r>
              <w:rPr>
                <w:spacing w:val="4"/>
              </w:rPr>
              <w:t xml:space="preserve"> </w:t>
            </w:r>
            <w:r>
              <w:rPr>
                <w:spacing w:val="-6"/>
              </w:rPr>
              <w:t>第十六条  审核部门应当在受理审核申请后二十个工作日内完成审核并出具航道通航条件影响评价审核意</w:t>
            </w:r>
          </w:p>
          <w:p w14:paraId="27F1190B">
            <w:pPr>
              <w:pStyle w:val="8"/>
              <w:spacing w:before="28" w:line="218" w:lineRule="auto"/>
              <w:ind w:left="120"/>
            </w:pPr>
            <w:r>
              <w:rPr>
                <w:spacing w:val="-6"/>
              </w:rPr>
              <w:t>见（以下简称审核意见）。技术咨询、专家评审、评价材料修改完善所需时间不计算在规定的审核期限内。</w:t>
            </w:r>
          </w:p>
          <w:p w14:paraId="131A9819">
            <w:pPr>
              <w:pStyle w:val="8"/>
              <w:spacing w:before="27" w:line="233" w:lineRule="auto"/>
              <w:ind w:left="119" w:right="103" w:firstLine="355"/>
            </w:pPr>
            <w:r>
              <w:rPr>
                <w:spacing w:val="-8"/>
              </w:rPr>
              <w:t>第十七条  审核意见应当根据本办法第十四条规定的审核内容，提出明确意见，并作出通过或者不予通过审</w:t>
            </w:r>
            <w:r>
              <w:rPr>
                <w:spacing w:val="6"/>
              </w:rPr>
              <w:t xml:space="preserve"> </w:t>
            </w:r>
            <w:r>
              <w:rPr>
                <w:spacing w:val="-6"/>
              </w:rPr>
              <w:t>核的意见。</w:t>
            </w:r>
          </w:p>
          <w:p w14:paraId="02245DFD">
            <w:pPr>
              <w:pStyle w:val="8"/>
              <w:spacing w:before="26" w:line="233" w:lineRule="auto"/>
              <w:ind w:left="116" w:right="180" w:firstLine="373"/>
            </w:pPr>
            <w:r>
              <w:rPr>
                <w:spacing w:val="-6"/>
              </w:rPr>
              <w:t>审核未通过的，建设单位可以根据审核意见对工程选址或者建设方案等进行</w:t>
            </w:r>
            <w:r>
              <w:rPr>
                <w:spacing w:val="-7"/>
              </w:rPr>
              <w:t>调整，重新编制航评报告，并</w:t>
            </w:r>
            <w:r>
              <w:t xml:space="preserve"> </w:t>
            </w:r>
            <w:r>
              <w:rPr>
                <w:spacing w:val="-6"/>
              </w:rPr>
              <w:t>报送审核部门审核。</w:t>
            </w:r>
          </w:p>
          <w:p w14:paraId="667F0B01">
            <w:pPr>
              <w:pStyle w:val="8"/>
              <w:spacing w:before="24" w:line="233" w:lineRule="auto"/>
              <w:ind w:left="119" w:right="353" w:firstLine="369"/>
            </w:pPr>
            <w:r>
              <w:rPr>
                <w:spacing w:val="-6"/>
              </w:rPr>
              <w:t>审核部门应当在审核意见中明确负责组织监督检查的部门或者建设项目所在</w:t>
            </w:r>
            <w:r>
              <w:rPr>
                <w:spacing w:val="-7"/>
              </w:rPr>
              <w:t>水域负责航道现场管理的机</w:t>
            </w:r>
            <w:r>
              <w:t xml:space="preserve"> </w:t>
            </w:r>
            <w:r>
              <w:rPr>
                <w:spacing w:val="-6"/>
              </w:rPr>
              <w:t>构，并将审核意见抄送该部门或者机构。</w:t>
            </w:r>
          </w:p>
        </w:tc>
        <w:tc>
          <w:tcPr>
            <w:tcW w:w="1159" w:type="dxa"/>
            <w:vAlign w:val="top"/>
          </w:tcPr>
          <w:p w14:paraId="085F385F">
            <w:pPr>
              <w:rPr>
                <w:rFonts w:ascii="Arial"/>
                <w:sz w:val="21"/>
              </w:rPr>
            </w:pPr>
          </w:p>
        </w:tc>
      </w:tr>
    </w:tbl>
    <w:p w14:paraId="4D38CA92">
      <w:pPr>
        <w:pStyle w:val="2"/>
      </w:pPr>
    </w:p>
    <w:p w14:paraId="046788DC">
      <w:pPr>
        <w:sectPr>
          <w:footerReference r:id="rId15" w:type="default"/>
          <w:pgSz w:w="16839" w:h="11906"/>
          <w:pgMar w:top="1012" w:right="1134" w:bottom="967" w:left="1134" w:header="0" w:footer="768" w:gutter="0"/>
          <w:cols w:space="720" w:num="1"/>
        </w:sectPr>
      </w:pPr>
    </w:p>
    <w:p w14:paraId="3E2F73D1">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2DA58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469F40FE">
            <w:pPr>
              <w:pStyle w:val="8"/>
              <w:spacing w:before="183" w:line="221" w:lineRule="auto"/>
              <w:ind w:left="175"/>
            </w:pPr>
            <w:r>
              <w:rPr>
                <w:b/>
                <w:bCs/>
                <w:spacing w:val="-4"/>
              </w:rPr>
              <w:t>序号</w:t>
            </w:r>
          </w:p>
        </w:tc>
        <w:tc>
          <w:tcPr>
            <w:tcW w:w="1290" w:type="dxa"/>
            <w:vAlign w:val="top"/>
          </w:tcPr>
          <w:p w14:paraId="3731321B">
            <w:pPr>
              <w:pStyle w:val="8"/>
              <w:spacing w:before="183" w:line="220" w:lineRule="auto"/>
              <w:ind w:left="284"/>
            </w:pPr>
            <w:r>
              <w:rPr>
                <w:b/>
                <w:bCs/>
                <w:spacing w:val="-4"/>
              </w:rPr>
              <w:t>事项名称</w:t>
            </w:r>
          </w:p>
        </w:tc>
        <w:tc>
          <w:tcPr>
            <w:tcW w:w="1379" w:type="dxa"/>
            <w:vAlign w:val="top"/>
          </w:tcPr>
          <w:p w14:paraId="2287C9FA">
            <w:pPr>
              <w:pStyle w:val="8"/>
              <w:spacing w:before="183" w:line="219" w:lineRule="auto"/>
              <w:ind w:left="333"/>
            </w:pPr>
            <w:r>
              <w:rPr>
                <w:b/>
                <w:bCs/>
                <w:spacing w:val="-5"/>
              </w:rPr>
              <w:t>实施机关</w:t>
            </w:r>
          </w:p>
        </w:tc>
        <w:tc>
          <w:tcPr>
            <w:tcW w:w="1364" w:type="dxa"/>
            <w:vAlign w:val="top"/>
          </w:tcPr>
          <w:p w14:paraId="053F60E4">
            <w:pPr>
              <w:pStyle w:val="8"/>
              <w:spacing w:before="183" w:line="219" w:lineRule="auto"/>
              <w:ind w:left="322"/>
            </w:pPr>
            <w:r>
              <w:rPr>
                <w:b/>
                <w:bCs/>
                <w:spacing w:val="-4"/>
              </w:rPr>
              <w:t>承办机构</w:t>
            </w:r>
          </w:p>
        </w:tc>
        <w:tc>
          <w:tcPr>
            <w:tcW w:w="8667" w:type="dxa"/>
            <w:vAlign w:val="top"/>
          </w:tcPr>
          <w:p w14:paraId="46A7B3A0">
            <w:pPr>
              <w:pStyle w:val="8"/>
              <w:spacing w:before="183" w:line="219" w:lineRule="auto"/>
              <w:ind w:left="3708"/>
            </w:pPr>
            <w:r>
              <w:rPr>
                <w:b/>
                <w:bCs/>
                <w:spacing w:val="-3"/>
              </w:rPr>
              <w:t>设定和实施依据</w:t>
            </w:r>
          </w:p>
        </w:tc>
        <w:tc>
          <w:tcPr>
            <w:tcW w:w="1159" w:type="dxa"/>
            <w:vAlign w:val="top"/>
          </w:tcPr>
          <w:p w14:paraId="6806BCC6">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3CF9C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7" w:hRule="atLeast"/>
        </w:trPr>
        <w:tc>
          <w:tcPr>
            <w:tcW w:w="705" w:type="dxa"/>
            <w:vAlign w:val="top"/>
          </w:tcPr>
          <w:p w14:paraId="40424F38">
            <w:pPr>
              <w:spacing w:line="247" w:lineRule="auto"/>
              <w:rPr>
                <w:rFonts w:ascii="Arial"/>
                <w:sz w:val="21"/>
              </w:rPr>
            </w:pPr>
          </w:p>
          <w:p w14:paraId="762F1BEB">
            <w:pPr>
              <w:spacing w:line="247" w:lineRule="auto"/>
              <w:rPr>
                <w:rFonts w:ascii="Arial"/>
                <w:sz w:val="21"/>
              </w:rPr>
            </w:pPr>
          </w:p>
          <w:p w14:paraId="7C0E8EB8">
            <w:pPr>
              <w:spacing w:line="247" w:lineRule="auto"/>
              <w:rPr>
                <w:rFonts w:ascii="Arial"/>
                <w:sz w:val="21"/>
              </w:rPr>
            </w:pPr>
          </w:p>
          <w:p w14:paraId="7FE02A11">
            <w:pPr>
              <w:spacing w:line="247" w:lineRule="auto"/>
              <w:rPr>
                <w:rFonts w:ascii="Arial"/>
                <w:sz w:val="21"/>
              </w:rPr>
            </w:pPr>
          </w:p>
          <w:p w14:paraId="75099FE6">
            <w:pPr>
              <w:spacing w:line="247" w:lineRule="auto"/>
              <w:rPr>
                <w:rFonts w:ascii="Arial"/>
                <w:sz w:val="21"/>
              </w:rPr>
            </w:pPr>
          </w:p>
          <w:p w14:paraId="0252E05A">
            <w:pPr>
              <w:spacing w:line="248" w:lineRule="auto"/>
              <w:rPr>
                <w:rFonts w:ascii="Arial"/>
                <w:sz w:val="21"/>
              </w:rPr>
            </w:pPr>
          </w:p>
          <w:p w14:paraId="57D932FB">
            <w:pPr>
              <w:spacing w:line="248" w:lineRule="auto"/>
              <w:rPr>
                <w:rFonts w:ascii="Arial"/>
                <w:sz w:val="21"/>
              </w:rPr>
            </w:pPr>
          </w:p>
          <w:p w14:paraId="32444B57">
            <w:pPr>
              <w:spacing w:line="248" w:lineRule="auto"/>
              <w:rPr>
                <w:rFonts w:ascii="Arial"/>
                <w:sz w:val="21"/>
              </w:rPr>
            </w:pPr>
          </w:p>
          <w:p w14:paraId="6191A007">
            <w:pPr>
              <w:spacing w:line="248" w:lineRule="auto"/>
              <w:rPr>
                <w:rFonts w:ascii="Arial"/>
                <w:sz w:val="21"/>
              </w:rPr>
            </w:pPr>
          </w:p>
          <w:p w14:paraId="5DA9A5BB">
            <w:pPr>
              <w:spacing w:line="248" w:lineRule="auto"/>
              <w:rPr>
                <w:rFonts w:ascii="Arial"/>
                <w:sz w:val="21"/>
              </w:rPr>
            </w:pPr>
          </w:p>
          <w:p w14:paraId="0D1860F3">
            <w:pPr>
              <w:spacing w:line="248" w:lineRule="auto"/>
              <w:rPr>
                <w:rFonts w:ascii="Arial"/>
                <w:sz w:val="21"/>
              </w:rPr>
            </w:pPr>
          </w:p>
          <w:p w14:paraId="63CA84C3">
            <w:pPr>
              <w:pStyle w:val="8"/>
              <w:spacing w:before="58" w:line="183" w:lineRule="auto"/>
              <w:ind w:left="269"/>
              <w:rPr>
                <w:rFonts w:hint="default" w:eastAsia="宋体"/>
                <w:lang w:val="en-US" w:eastAsia="zh-CN"/>
              </w:rPr>
            </w:pPr>
            <w:r>
              <w:rPr>
                <w:rFonts w:hint="eastAsia"/>
                <w:spacing w:val="-4"/>
                <w:lang w:val="en-US" w:eastAsia="zh-CN"/>
              </w:rPr>
              <w:t>16</w:t>
            </w:r>
          </w:p>
        </w:tc>
        <w:tc>
          <w:tcPr>
            <w:tcW w:w="1290" w:type="dxa"/>
            <w:vAlign w:val="top"/>
          </w:tcPr>
          <w:p w14:paraId="6A0D9C62">
            <w:pPr>
              <w:spacing w:line="257" w:lineRule="auto"/>
              <w:rPr>
                <w:rFonts w:ascii="Arial"/>
                <w:sz w:val="21"/>
              </w:rPr>
            </w:pPr>
          </w:p>
          <w:p w14:paraId="41A2A297">
            <w:pPr>
              <w:spacing w:line="257" w:lineRule="auto"/>
              <w:rPr>
                <w:rFonts w:ascii="Arial"/>
                <w:sz w:val="21"/>
              </w:rPr>
            </w:pPr>
          </w:p>
          <w:p w14:paraId="476CD566">
            <w:pPr>
              <w:spacing w:line="257" w:lineRule="auto"/>
              <w:rPr>
                <w:rFonts w:ascii="Arial"/>
                <w:sz w:val="21"/>
              </w:rPr>
            </w:pPr>
          </w:p>
          <w:p w14:paraId="639FC918">
            <w:pPr>
              <w:spacing w:line="257" w:lineRule="auto"/>
              <w:rPr>
                <w:rFonts w:ascii="Arial"/>
                <w:sz w:val="21"/>
              </w:rPr>
            </w:pPr>
          </w:p>
          <w:p w14:paraId="1607CE5B">
            <w:pPr>
              <w:spacing w:line="257" w:lineRule="auto"/>
              <w:rPr>
                <w:rFonts w:ascii="Arial"/>
                <w:sz w:val="21"/>
              </w:rPr>
            </w:pPr>
          </w:p>
          <w:p w14:paraId="72FB80C6">
            <w:pPr>
              <w:spacing w:line="258" w:lineRule="auto"/>
              <w:rPr>
                <w:rFonts w:ascii="Arial"/>
                <w:sz w:val="21"/>
              </w:rPr>
            </w:pPr>
          </w:p>
          <w:p w14:paraId="6F40D2B6">
            <w:pPr>
              <w:spacing w:line="258" w:lineRule="auto"/>
              <w:rPr>
                <w:rFonts w:ascii="Arial"/>
                <w:sz w:val="21"/>
              </w:rPr>
            </w:pPr>
          </w:p>
          <w:p w14:paraId="71E86014">
            <w:pPr>
              <w:spacing w:line="258" w:lineRule="auto"/>
              <w:rPr>
                <w:rFonts w:ascii="Arial"/>
                <w:sz w:val="21"/>
              </w:rPr>
            </w:pPr>
          </w:p>
          <w:p w14:paraId="20507494">
            <w:pPr>
              <w:spacing w:line="258" w:lineRule="auto"/>
              <w:rPr>
                <w:rFonts w:ascii="Arial"/>
                <w:sz w:val="21"/>
              </w:rPr>
            </w:pPr>
          </w:p>
          <w:p w14:paraId="35C8F657">
            <w:pPr>
              <w:spacing w:line="258" w:lineRule="auto"/>
              <w:rPr>
                <w:rFonts w:ascii="Arial"/>
                <w:sz w:val="21"/>
              </w:rPr>
            </w:pPr>
          </w:p>
          <w:p w14:paraId="11E65F5C">
            <w:pPr>
              <w:pStyle w:val="8"/>
              <w:spacing w:before="59" w:line="233" w:lineRule="auto"/>
              <w:ind w:left="32" w:right="28"/>
            </w:pPr>
            <w:r>
              <w:rPr>
                <w:spacing w:val="24"/>
              </w:rPr>
              <w:t>水运工程建设</w:t>
            </w:r>
            <w:r>
              <w:t xml:space="preserve"> </w:t>
            </w:r>
            <w:r>
              <w:rPr>
                <w:spacing w:val="-2"/>
              </w:rPr>
              <w:t>项目竣工验收</w:t>
            </w:r>
          </w:p>
        </w:tc>
        <w:tc>
          <w:tcPr>
            <w:tcW w:w="1379" w:type="dxa"/>
            <w:vAlign w:val="top"/>
          </w:tcPr>
          <w:p w14:paraId="364CA040">
            <w:pPr>
              <w:spacing w:line="245" w:lineRule="auto"/>
              <w:rPr>
                <w:rFonts w:ascii="Arial"/>
                <w:sz w:val="21"/>
              </w:rPr>
            </w:pPr>
          </w:p>
          <w:p w14:paraId="2D56F73C">
            <w:pPr>
              <w:spacing w:line="245" w:lineRule="auto"/>
              <w:rPr>
                <w:rFonts w:ascii="Arial"/>
                <w:sz w:val="21"/>
              </w:rPr>
            </w:pPr>
          </w:p>
          <w:p w14:paraId="5B09EDE2">
            <w:pPr>
              <w:spacing w:line="245" w:lineRule="auto"/>
              <w:rPr>
                <w:rFonts w:ascii="Arial"/>
                <w:sz w:val="21"/>
              </w:rPr>
            </w:pPr>
          </w:p>
          <w:p w14:paraId="257B18D2">
            <w:pPr>
              <w:spacing w:line="246" w:lineRule="auto"/>
              <w:rPr>
                <w:rFonts w:ascii="Arial"/>
                <w:sz w:val="21"/>
              </w:rPr>
            </w:pPr>
          </w:p>
          <w:p w14:paraId="2CBB7E81">
            <w:pPr>
              <w:spacing w:line="246" w:lineRule="auto"/>
              <w:rPr>
                <w:rFonts w:ascii="Arial"/>
                <w:sz w:val="21"/>
              </w:rPr>
            </w:pPr>
          </w:p>
          <w:p w14:paraId="52DAA080">
            <w:pPr>
              <w:spacing w:line="246" w:lineRule="auto"/>
              <w:rPr>
                <w:rFonts w:ascii="Arial"/>
                <w:sz w:val="21"/>
              </w:rPr>
            </w:pPr>
          </w:p>
          <w:p w14:paraId="34271597">
            <w:pPr>
              <w:spacing w:line="246" w:lineRule="auto"/>
              <w:rPr>
                <w:rFonts w:ascii="Arial"/>
                <w:sz w:val="21"/>
              </w:rPr>
            </w:pPr>
          </w:p>
          <w:p w14:paraId="69F65F1C">
            <w:pPr>
              <w:spacing w:line="246" w:lineRule="auto"/>
              <w:rPr>
                <w:rFonts w:ascii="Arial"/>
                <w:sz w:val="21"/>
              </w:rPr>
            </w:pPr>
          </w:p>
          <w:p w14:paraId="100C0EAB">
            <w:pPr>
              <w:spacing w:line="246" w:lineRule="auto"/>
              <w:rPr>
                <w:rFonts w:ascii="Arial"/>
                <w:sz w:val="21"/>
              </w:rPr>
            </w:pPr>
          </w:p>
          <w:p w14:paraId="5D4F7404">
            <w:pPr>
              <w:spacing w:line="246" w:lineRule="auto"/>
              <w:rPr>
                <w:rFonts w:ascii="Arial"/>
                <w:sz w:val="21"/>
              </w:rPr>
            </w:pPr>
          </w:p>
          <w:p w14:paraId="04C3AE4B">
            <w:pPr>
              <w:pStyle w:val="8"/>
              <w:spacing w:before="58" w:line="237" w:lineRule="auto"/>
              <w:ind w:left="31" w:right="27"/>
              <w:rPr>
                <w:rFonts w:hint="eastAsia" w:eastAsia="宋体"/>
                <w:lang w:eastAsia="zh-CN"/>
              </w:rPr>
            </w:pPr>
            <w:r>
              <w:rPr>
                <w:rFonts w:hint="eastAsia"/>
                <w:spacing w:val="6"/>
                <w:lang w:eastAsia="zh-CN"/>
              </w:rPr>
              <w:t>津市市交通运输局</w:t>
            </w:r>
          </w:p>
        </w:tc>
        <w:tc>
          <w:tcPr>
            <w:tcW w:w="1364" w:type="dxa"/>
            <w:vAlign w:val="top"/>
          </w:tcPr>
          <w:p w14:paraId="063D7BBE">
            <w:pPr>
              <w:spacing w:line="244" w:lineRule="auto"/>
              <w:rPr>
                <w:rFonts w:ascii="Arial"/>
                <w:sz w:val="21"/>
              </w:rPr>
            </w:pPr>
          </w:p>
          <w:p w14:paraId="275C8DD6">
            <w:pPr>
              <w:spacing w:line="245" w:lineRule="auto"/>
              <w:rPr>
                <w:rFonts w:ascii="Arial"/>
                <w:sz w:val="21"/>
              </w:rPr>
            </w:pPr>
          </w:p>
          <w:p w14:paraId="014CD0EB">
            <w:pPr>
              <w:spacing w:line="245" w:lineRule="auto"/>
              <w:rPr>
                <w:rFonts w:ascii="Arial"/>
                <w:sz w:val="21"/>
              </w:rPr>
            </w:pPr>
          </w:p>
          <w:p w14:paraId="6250BF8B">
            <w:pPr>
              <w:spacing w:line="245" w:lineRule="auto"/>
              <w:rPr>
                <w:rFonts w:ascii="Arial"/>
                <w:sz w:val="21"/>
              </w:rPr>
            </w:pPr>
          </w:p>
          <w:p w14:paraId="1C0B9D56">
            <w:pPr>
              <w:spacing w:line="245" w:lineRule="auto"/>
              <w:rPr>
                <w:rFonts w:ascii="Arial"/>
                <w:sz w:val="21"/>
              </w:rPr>
            </w:pPr>
          </w:p>
          <w:p w14:paraId="58A9DEE3">
            <w:pPr>
              <w:spacing w:line="245" w:lineRule="auto"/>
              <w:rPr>
                <w:rFonts w:ascii="Arial"/>
                <w:sz w:val="21"/>
              </w:rPr>
            </w:pPr>
          </w:p>
          <w:p w14:paraId="0DE54945">
            <w:pPr>
              <w:spacing w:line="245" w:lineRule="auto"/>
              <w:rPr>
                <w:rFonts w:ascii="Arial"/>
                <w:sz w:val="21"/>
              </w:rPr>
            </w:pPr>
          </w:p>
          <w:p w14:paraId="4FF20D0E">
            <w:pPr>
              <w:spacing w:line="245" w:lineRule="auto"/>
              <w:rPr>
                <w:rFonts w:ascii="Arial"/>
                <w:sz w:val="21"/>
              </w:rPr>
            </w:pPr>
          </w:p>
          <w:p w14:paraId="03EA5AA6">
            <w:pPr>
              <w:spacing w:line="245" w:lineRule="auto"/>
              <w:rPr>
                <w:rFonts w:ascii="Arial"/>
                <w:sz w:val="21"/>
              </w:rPr>
            </w:pPr>
          </w:p>
          <w:p w14:paraId="2258255F">
            <w:pPr>
              <w:spacing w:line="245" w:lineRule="auto"/>
              <w:rPr>
                <w:rFonts w:ascii="Arial"/>
                <w:sz w:val="21"/>
              </w:rPr>
            </w:pPr>
          </w:p>
          <w:p w14:paraId="36322B91">
            <w:pPr>
              <w:spacing w:line="245" w:lineRule="auto"/>
              <w:rPr>
                <w:rFonts w:ascii="Arial"/>
                <w:sz w:val="21"/>
              </w:rPr>
            </w:pPr>
          </w:p>
          <w:p w14:paraId="570F454B">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2004056B">
            <w:pPr>
              <w:pStyle w:val="8"/>
              <w:spacing w:before="137" w:line="219" w:lineRule="auto"/>
              <w:ind w:left="488"/>
            </w:pPr>
            <w:r>
              <w:rPr>
                <w:b/>
                <w:bCs/>
                <w:spacing w:val="-4"/>
              </w:rPr>
              <w:t>1.《中华人民共和国港口法》</w:t>
            </w:r>
          </w:p>
          <w:p w14:paraId="65E78EF5">
            <w:pPr>
              <w:pStyle w:val="8"/>
              <w:spacing w:before="25" w:line="233" w:lineRule="auto"/>
              <w:ind w:left="474" w:right="1024"/>
            </w:pPr>
            <w:r>
              <w:rPr>
                <w:spacing w:val="-1"/>
              </w:rPr>
              <w:t>第十九条  港口设施建设项目竣工后，应当按照国家有关规定经验收合格，方可投入使用。</w:t>
            </w:r>
            <w:r>
              <w:rPr>
                <w:spacing w:val="1"/>
              </w:rPr>
              <w:t xml:space="preserve"> </w:t>
            </w:r>
            <w:r>
              <w:rPr>
                <w:spacing w:val="-2"/>
              </w:rPr>
              <w:t>港口设施的所有权，依照有关法律规定确定。</w:t>
            </w:r>
          </w:p>
          <w:p w14:paraId="0AC50CB6">
            <w:pPr>
              <w:pStyle w:val="8"/>
              <w:spacing w:before="26" w:line="219" w:lineRule="auto"/>
              <w:ind w:left="477"/>
            </w:pPr>
            <w:r>
              <w:rPr>
                <w:b/>
                <w:bCs/>
                <w:spacing w:val="-3"/>
              </w:rPr>
              <w:t>2.《中华人民共和国航道法》</w:t>
            </w:r>
          </w:p>
          <w:p w14:paraId="31DA5F54">
            <w:pPr>
              <w:pStyle w:val="8"/>
              <w:spacing w:before="26" w:line="219" w:lineRule="auto"/>
              <w:ind w:left="475"/>
            </w:pPr>
            <w:r>
              <w:rPr>
                <w:spacing w:val="-3"/>
              </w:rPr>
              <w:t>第十三条  航道建设工程竣工后，应当按照国家有关规定组织竣工验收，经验收合格方可正式投入使用。</w:t>
            </w:r>
          </w:p>
          <w:p w14:paraId="10B62409">
            <w:pPr>
              <w:pStyle w:val="8"/>
              <w:spacing w:before="25" w:line="233" w:lineRule="auto"/>
              <w:ind w:left="138" w:right="108" w:firstLine="337"/>
            </w:pPr>
            <w:r>
              <w:t>航道建设单位应当自航道建设工程竣工验收合格之</w:t>
            </w:r>
            <w:r>
              <w:rPr>
                <w:spacing w:val="-1"/>
              </w:rPr>
              <w:t>日起六十日内，将竣工测量图报送负责航道管理的部</w:t>
            </w:r>
            <w:r>
              <w:t xml:space="preserve"> </w:t>
            </w:r>
            <w:r>
              <w:rPr>
                <w:spacing w:val="-2"/>
              </w:rPr>
              <w:t>门。沿海航道的竣工测量图还应当报送海军航海保证部门。</w:t>
            </w:r>
          </w:p>
          <w:p w14:paraId="1348C32C">
            <w:pPr>
              <w:pStyle w:val="8"/>
              <w:spacing w:before="27" w:line="219" w:lineRule="auto"/>
              <w:ind w:left="479"/>
            </w:pPr>
            <w:r>
              <w:rPr>
                <w:b/>
                <w:bCs/>
                <w:spacing w:val="-3"/>
              </w:rPr>
              <w:t>3.《中华人民共和国航道管理条例》</w:t>
            </w:r>
          </w:p>
          <w:p w14:paraId="2849C722">
            <w:pPr>
              <w:pStyle w:val="8"/>
              <w:spacing w:before="26" w:line="219" w:lineRule="auto"/>
              <w:ind w:left="475"/>
            </w:pPr>
            <w:r>
              <w:t>第十一条  建设航道及其设施，必须遵守国家基本</w:t>
            </w:r>
            <w:r>
              <w:rPr>
                <w:spacing w:val="-1"/>
              </w:rPr>
              <w:t>建设程序的规定。工程竣工经验收合格后，方能交付</w:t>
            </w:r>
          </w:p>
          <w:p w14:paraId="3E138D8F">
            <w:pPr>
              <w:pStyle w:val="8"/>
              <w:spacing w:before="27" w:line="219" w:lineRule="auto"/>
              <w:ind w:left="118"/>
            </w:pPr>
            <w:r>
              <w:rPr>
                <w:spacing w:val="-9"/>
              </w:rPr>
              <w:t>使用。</w:t>
            </w:r>
          </w:p>
          <w:p w14:paraId="69937FE6">
            <w:pPr>
              <w:pStyle w:val="8"/>
              <w:spacing w:before="26" w:line="219" w:lineRule="auto"/>
              <w:ind w:left="474"/>
            </w:pPr>
            <w:r>
              <w:rPr>
                <w:b/>
                <w:bCs/>
                <w:spacing w:val="-3"/>
              </w:rPr>
              <w:t>4.《航道工程建设管理规定》（交通运输部令</w:t>
            </w:r>
            <w:r>
              <w:rPr>
                <w:spacing w:val="-29"/>
              </w:rPr>
              <w:t xml:space="preserve"> </w:t>
            </w:r>
            <w:r>
              <w:rPr>
                <w:b/>
                <w:bCs/>
                <w:spacing w:val="-3"/>
              </w:rPr>
              <w:t>2019</w:t>
            </w:r>
            <w:r>
              <w:rPr>
                <w:spacing w:val="-38"/>
              </w:rPr>
              <w:t xml:space="preserve"> </w:t>
            </w:r>
            <w:r>
              <w:rPr>
                <w:b/>
                <w:bCs/>
                <w:spacing w:val="-3"/>
              </w:rPr>
              <w:t>年第</w:t>
            </w:r>
            <w:r>
              <w:rPr>
                <w:spacing w:val="-38"/>
              </w:rPr>
              <w:t xml:space="preserve"> </w:t>
            </w:r>
            <w:r>
              <w:rPr>
                <w:b/>
                <w:bCs/>
                <w:spacing w:val="-3"/>
              </w:rPr>
              <w:t>44</w:t>
            </w:r>
            <w:r>
              <w:rPr>
                <w:spacing w:val="-32"/>
              </w:rPr>
              <w:t xml:space="preserve"> </w:t>
            </w:r>
            <w:r>
              <w:rPr>
                <w:b/>
                <w:bCs/>
                <w:spacing w:val="-3"/>
              </w:rPr>
              <w:t>号）</w:t>
            </w:r>
          </w:p>
          <w:p w14:paraId="464F1690">
            <w:pPr>
              <w:pStyle w:val="8"/>
              <w:spacing w:before="26" w:line="233" w:lineRule="auto"/>
              <w:ind w:left="117" w:right="108" w:firstLine="357"/>
            </w:pPr>
            <w:r>
              <w:t>第三十六条第一款  航道工程建设项目应当按照法</w:t>
            </w:r>
            <w:r>
              <w:rPr>
                <w:spacing w:val="-1"/>
              </w:rPr>
              <w:t>规和国家有关规定及时组织竣工验收，经竣工验收合</w:t>
            </w:r>
            <w:r>
              <w:t xml:space="preserve"> </w:t>
            </w:r>
            <w:r>
              <w:rPr>
                <w:spacing w:val="-3"/>
              </w:rPr>
              <w:t>格后方可正式交付使用。</w:t>
            </w:r>
          </w:p>
          <w:p w14:paraId="67AD422C">
            <w:pPr>
              <w:pStyle w:val="8"/>
              <w:spacing w:before="25" w:line="233" w:lineRule="auto"/>
              <w:ind w:left="118" w:right="124" w:firstLine="356"/>
            </w:pPr>
            <w:r>
              <w:rPr>
                <w:spacing w:val="-1"/>
              </w:rPr>
              <w:t>第五十九条  交通运输主管部门应当按照国家规定的程序和时限完成航道工程建设项目竣工验收工作。</w:t>
            </w:r>
            <w:r>
              <w:rPr>
                <w:spacing w:val="6"/>
              </w:rPr>
              <w:t xml:space="preserve"> </w:t>
            </w:r>
            <w:r>
              <w:rPr>
                <w:spacing w:val="-2"/>
              </w:rPr>
              <w:t>竣工验收合格的，应当签发《航道工程竣工验收证书》。</w:t>
            </w:r>
          </w:p>
          <w:p w14:paraId="3A40C6A9">
            <w:pPr>
              <w:pStyle w:val="8"/>
              <w:spacing w:before="28" w:line="237" w:lineRule="auto"/>
              <w:ind w:left="116" w:right="108" w:firstLine="359"/>
            </w:pPr>
            <w:r>
              <w:t>第六十一条  省级交通运输主管部门完成国务院有</w:t>
            </w:r>
            <w:r>
              <w:rPr>
                <w:spacing w:val="-1"/>
              </w:rPr>
              <w:t>关主管部门审批、核准的航道工程建设项目竣工验收</w:t>
            </w:r>
            <w:r>
              <w:t xml:space="preserve"> 后，应当自《航道工程竣工验收证书》签发之日起</w:t>
            </w:r>
            <w:r>
              <w:rPr>
                <w:spacing w:val="-38"/>
              </w:rPr>
              <w:t xml:space="preserve"> </w:t>
            </w:r>
            <w:r>
              <w:t>20</w:t>
            </w:r>
            <w:r>
              <w:rPr>
                <w:spacing w:val="-38"/>
              </w:rPr>
              <w:t xml:space="preserve"> </w:t>
            </w:r>
            <w:r>
              <w:t>个</w:t>
            </w:r>
            <w:r>
              <w:rPr>
                <w:spacing w:val="-1"/>
              </w:rPr>
              <w:t>工作日内将竣工验收报告和竣工验收现场核查报告</w:t>
            </w:r>
            <w:r>
              <w:t xml:space="preserve">  </w:t>
            </w:r>
            <w:r>
              <w:rPr>
                <w:spacing w:val="-4"/>
              </w:rPr>
              <w:t>报交通运输部。</w:t>
            </w:r>
          </w:p>
          <w:p w14:paraId="70449E0C">
            <w:pPr>
              <w:pStyle w:val="8"/>
              <w:spacing w:before="25" w:line="219" w:lineRule="auto"/>
              <w:ind w:left="479"/>
            </w:pPr>
            <w:r>
              <w:rPr>
                <w:b/>
                <w:bCs/>
                <w:spacing w:val="-3"/>
              </w:rPr>
              <w:t>5.《港口工程建设管理规定》（交通运输部令</w:t>
            </w:r>
            <w:r>
              <w:rPr>
                <w:spacing w:val="-35"/>
              </w:rPr>
              <w:t xml:space="preserve"> </w:t>
            </w:r>
            <w:r>
              <w:rPr>
                <w:b/>
                <w:bCs/>
                <w:spacing w:val="-3"/>
              </w:rPr>
              <w:t>2019</w:t>
            </w:r>
            <w:r>
              <w:rPr>
                <w:spacing w:val="-38"/>
              </w:rPr>
              <w:t xml:space="preserve"> </w:t>
            </w:r>
            <w:r>
              <w:rPr>
                <w:b/>
                <w:bCs/>
                <w:spacing w:val="-3"/>
              </w:rPr>
              <w:t>年第</w:t>
            </w:r>
            <w:r>
              <w:rPr>
                <w:spacing w:val="-33"/>
              </w:rPr>
              <w:t xml:space="preserve"> </w:t>
            </w:r>
            <w:r>
              <w:rPr>
                <w:b/>
                <w:bCs/>
                <w:spacing w:val="-3"/>
              </w:rPr>
              <w:t>3</w:t>
            </w:r>
            <w:r>
              <w:rPr>
                <w:b/>
                <w:bCs/>
                <w:spacing w:val="-4"/>
              </w:rPr>
              <w:t>2</w:t>
            </w:r>
            <w:r>
              <w:rPr>
                <w:spacing w:val="-32"/>
              </w:rPr>
              <w:t xml:space="preserve"> </w:t>
            </w:r>
            <w:r>
              <w:rPr>
                <w:b/>
                <w:bCs/>
                <w:spacing w:val="-4"/>
              </w:rPr>
              <w:t>号）</w:t>
            </w:r>
          </w:p>
          <w:p w14:paraId="1D964B64">
            <w:pPr>
              <w:pStyle w:val="8"/>
              <w:spacing w:before="27" w:line="219" w:lineRule="auto"/>
              <w:ind w:left="475"/>
            </w:pPr>
            <w:r>
              <w:rPr>
                <w:spacing w:val="-1"/>
              </w:rPr>
              <w:t>第四十三条  国家重点水运工程建设项目由项目单位向省级交通运输主管部门申请竣工验收。</w:t>
            </w:r>
          </w:p>
          <w:p w14:paraId="50B77513">
            <w:pPr>
              <w:pStyle w:val="8"/>
              <w:spacing w:before="26" w:line="233" w:lineRule="auto"/>
              <w:ind w:left="117" w:right="108" w:firstLine="361"/>
            </w:pPr>
            <w:r>
              <w:t>前款规定以外的港口工程建设项目，属于政</w:t>
            </w:r>
            <w:r>
              <w:rPr>
                <w:spacing w:val="-1"/>
              </w:rPr>
              <w:t>府投资的，由项目单位向所在地港口行政管理部门申请竣工</w:t>
            </w:r>
            <w:r>
              <w:t xml:space="preserve"> </w:t>
            </w:r>
            <w:r>
              <w:rPr>
                <w:spacing w:val="-2"/>
              </w:rPr>
              <w:t>验收；属于企业投资的，由项目单位组织竣工验收。</w:t>
            </w:r>
          </w:p>
          <w:p w14:paraId="722AEFDC">
            <w:pPr>
              <w:pStyle w:val="8"/>
              <w:spacing w:before="27" w:line="219" w:lineRule="auto"/>
              <w:ind w:left="475"/>
            </w:pPr>
            <w:r>
              <w:rPr>
                <w:spacing w:val="-1"/>
              </w:rPr>
              <w:t>所在地港口行政管理部门应当加强对项目单位验收活动和验收结果的监</w:t>
            </w:r>
            <w:r>
              <w:rPr>
                <w:spacing w:val="-2"/>
              </w:rPr>
              <w:t>督核查。</w:t>
            </w:r>
          </w:p>
        </w:tc>
        <w:tc>
          <w:tcPr>
            <w:tcW w:w="1159" w:type="dxa"/>
            <w:vAlign w:val="top"/>
          </w:tcPr>
          <w:p w14:paraId="3516A2B9">
            <w:pPr>
              <w:rPr>
                <w:rFonts w:ascii="Arial"/>
                <w:sz w:val="21"/>
              </w:rPr>
            </w:pPr>
          </w:p>
        </w:tc>
      </w:tr>
      <w:tr w14:paraId="58E9A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05" w:type="dxa"/>
            <w:shd w:val="clear" w:color="auto" w:fill="auto"/>
            <w:vAlign w:val="top"/>
          </w:tcPr>
          <w:p w14:paraId="6616ACCD">
            <w:pPr>
              <w:spacing w:line="315" w:lineRule="auto"/>
              <w:rPr>
                <w:rFonts w:ascii="Arial"/>
                <w:sz w:val="21"/>
              </w:rPr>
            </w:pPr>
          </w:p>
          <w:p w14:paraId="53D0EB5F">
            <w:pPr>
              <w:spacing w:line="316" w:lineRule="auto"/>
              <w:rPr>
                <w:rFonts w:ascii="Arial"/>
                <w:sz w:val="21"/>
              </w:rPr>
            </w:pPr>
          </w:p>
          <w:p w14:paraId="3811234E">
            <w:pPr>
              <w:pStyle w:val="8"/>
              <w:spacing w:before="58" w:line="183" w:lineRule="auto"/>
              <w:ind w:left="269" w:leftChars="0"/>
              <w:rPr>
                <w:rFonts w:hint="default" w:ascii="宋体" w:hAnsi="宋体" w:eastAsia="宋体" w:cs="宋体"/>
                <w:snapToGrid w:val="0"/>
                <w:color w:val="000000"/>
                <w:kern w:val="0"/>
                <w:sz w:val="18"/>
                <w:szCs w:val="18"/>
                <w:lang w:val="en-US" w:eastAsia="zh-CN" w:bidi="ar-SA"/>
              </w:rPr>
            </w:pPr>
            <w:r>
              <w:rPr>
                <w:rFonts w:hint="eastAsia"/>
                <w:spacing w:val="-4"/>
                <w:lang w:val="en-US" w:eastAsia="zh-CN"/>
              </w:rPr>
              <w:t>17</w:t>
            </w:r>
          </w:p>
        </w:tc>
        <w:tc>
          <w:tcPr>
            <w:tcW w:w="1290" w:type="dxa"/>
            <w:shd w:val="clear" w:color="auto" w:fill="auto"/>
            <w:vAlign w:val="top"/>
          </w:tcPr>
          <w:p w14:paraId="6761000F">
            <w:pPr>
              <w:spacing w:line="304" w:lineRule="auto"/>
              <w:rPr>
                <w:rFonts w:ascii="Arial"/>
                <w:sz w:val="21"/>
              </w:rPr>
            </w:pPr>
          </w:p>
          <w:p w14:paraId="6C9267D0">
            <w:pPr>
              <w:spacing w:line="305" w:lineRule="auto"/>
              <w:rPr>
                <w:rFonts w:ascii="Arial"/>
                <w:sz w:val="21"/>
              </w:rPr>
            </w:pPr>
          </w:p>
          <w:p w14:paraId="176FD076">
            <w:pPr>
              <w:pStyle w:val="8"/>
              <w:spacing w:before="59" w:line="220" w:lineRule="auto"/>
              <w:ind w:left="29" w:leftChars="0"/>
              <w:rPr>
                <w:rFonts w:ascii="宋体" w:hAnsi="宋体" w:eastAsia="宋体" w:cs="宋体"/>
                <w:snapToGrid w:val="0"/>
                <w:color w:val="000000"/>
                <w:kern w:val="0"/>
                <w:sz w:val="18"/>
                <w:szCs w:val="18"/>
                <w:lang w:val="en-US" w:eastAsia="en-US" w:bidi="ar-SA"/>
              </w:rPr>
            </w:pPr>
            <w:r>
              <w:rPr>
                <w:spacing w:val="-1"/>
              </w:rPr>
              <w:t>港口经营许可</w:t>
            </w:r>
          </w:p>
        </w:tc>
        <w:tc>
          <w:tcPr>
            <w:tcW w:w="1379" w:type="dxa"/>
            <w:shd w:val="clear" w:color="auto" w:fill="auto"/>
            <w:vAlign w:val="top"/>
          </w:tcPr>
          <w:p w14:paraId="1AC622A3">
            <w:pPr>
              <w:spacing w:line="243" w:lineRule="auto"/>
              <w:rPr>
                <w:rFonts w:ascii="Arial"/>
                <w:sz w:val="21"/>
              </w:rPr>
            </w:pPr>
          </w:p>
          <w:p w14:paraId="74EBCF68">
            <w:pPr>
              <w:pStyle w:val="8"/>
              <w:spacing w:before="58"/>
              <w:ind w:left="30" w:leftChars="0" w:right="27" w:righ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津市市交通运输局</w:t>
            </w:r>
          </w:p>
        </w:tc>
        <w:tc>
          <w:tcPr>
            <w:tcW w:w="1364" w:type="dxa"/>
            <w:shd w:val="clear" w:color="auto" w:fill="auto"/>
            <w:vAlign w:val="top"/>
          </w:tcPr>
          <w:p w14:paraId="5E64BF88">
            <w:pPr>
              <w:spacing w:line="301" w:lineRule="auto"/>
              <w:rPr>
                <w:rFonts w:ascii="Arial"/>
                <w:sz w:val="21"/>
              </w:rPr>
            </w:pPr>
          </w:p>
          <w:p w14:paraId="45BA69C1">
            <w:pPr>
              <w:spacing w:line="301" w:lineRule="auto"/>
              <w:rPr>
                <w:rFonts w:ascii="Arial"/>
                <w:sz w:val="21"/>
              </w:rPr>
            </w:pPr>
          </w:p>
          <w:p w14:paraId="30C0EDF7">
            <w:pPr>
              <w:pStyle w:val="8"/>
              <w:spacing w:before="58" w:line="219" w:lineRule="auto"/>
              <w:ind w:left="346" w:lef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行政审批服务办公室</w:t>
            </w:r>
          </w:p>
        </w:tc>
        <w:tc>
          <w:tcPr>
            <w:tcW w:w="8667" w:type="dxa"/>
            <w:shd w:val="clear" w:color="auto" w:fill="auto"/>
            <w:vAlign w:val="top"/>
          </w:tcPr>
          <w:p w14:paraId="2C986B5C">
            <w:pPr>
              <w:pStyle w:val="8"/>
              <w:spacing w:before="72" w:line="219" w:lineRule="auto"/>
              <w:ind w:left="483"/>
            </w:pPr>
            <w:r>
              <w:rPr>
                <w:b/>
                <w:bCs/>
                <w:spacing w:val="-4"/>
              </w:rPr>
              <w:t>《中华人民共和国港口法》</w:t>
            </w:r>
          </w:p>
          <w:p w14:paraId="100ECF41">
            <w:pPr>
              <w:pStyle w:val="8"/>
              <w:spacing w:before="25" w:line="238" w:lineRule="auto"/>
              <w:ind w:left="117" w:right="108" w:firstLine="360"/>
            </w:pPr>
            <w:r>
              <w:t>第二十二条  从事港口经营，应当向港口行政</w:t>
            </w:r>
            <w:r>
              <w:rPr>
                <w:spacing w:val="-1"/>
              </w:rPr>
              <w:t>管理部门书面申请取得港口经营许可，并依法办理工商登</w:t>
            </w:r>
            <w:r>
              <w:t xml:space="preserve"> </w:t>
            </w:r>
            <w:r>
              <w:rPr>
                <w:spacing w:val="-9"/>
              </w:rPr>
              <w:t>记。</w:t>
            </w:r>
          </w:p>
          <w:p w14:paraId="1916303E">
            <w:pPr>
              <w:pStyle w:val="8"/>
              <w:spacing w:before="17" w:line="219" w:lineRule="auto"/>
              <w:ind w:left="477"/>
            </w:pPr>
            <w:r>
              <w:rPr>
                <w:spacing w:val="-1"/>
              </w:rPr>
              <w:t>港口行政管理部门实施港口经营许可，应当遵循公开、公正、公</w:t>
            </w:r>
            <w:r>
              <w:rPr>
                <w:spacing w:val="-2"/>
              </w:rPr>
              <w:t>平的原则。</w:t>
            </w:r>
          </w:p>
          <w:p w14:paraId="446B5E10">
            <w:pPr>
              <w:pStyle w:val="8"/>
              <w:spacing w:before="25" w:line="233" w:lineRule="auto"/>
              <w:ind w:left="117" w:leftChars="0" w:right="122" w:rightChars="0" w:firstLine="360" w:firstLineChars="0"/>
              <w:rPr>
                <w:rFonts w:ascii="宋体" w:hAnsi="宋体" w:eastAsia="宋体" w:cs="宋体"/>
                <w:snapToGrid w:val="0"/>
                <w:color w:val="000000"/>
                <w:kern w:val="0"/>
                <w:sz w:val="18"/>
                <w:szCs w:val="18"/>
                <w:lang w:val="en-US" w:eastAsia="en-US" w:bidi="ar-SA"/>
              </w:rPr>
            </w:pPr>
            <w:r>
              <w:rPr>
                <w:spacing w:val="-1"/>
              </w:rPr>
              <w:t>港口经营包括码头和其他港口设施的经营，港口旅客运输服务经营，在港区内从事货物的装卸、驳运、</w:t>
            </w:r>
            <w:r>
              <w:rPr>
                <w:spacing w:val="6"/>
              </w:rPr>
              <w:t xml:space="preserve"> </w:t>
            </w:r>
            <w:r>
              <w:rPr>
                <w:spacing w:val="-3"/>
              </w:rPr>
              <w:t>仓储的经营和港口拖轮经营等。</w:t>
            </w:r>
          </w:p>
        </w:tc>
        <w:tc>
          <w:tcPr>
            <w:tcW w:w="1159" w:type="dxa"/>
            <w:vAlign w:val="top"/>
          </w:tcPr>
          <w:p w14:paraId="48E43131">
            <w:pPr>
              <w:rPr>
                <w:rFonts w:ascii="Arial"/>
                <w:sz w:val="21"/>
              </w:rPr>
            </w:pPr>
          </w:p>
        </w:tc>
      </w:tr>
    </w:tbl>
    <w:p w14:paraId="16E9FD83">
      <w:pPr>
        <w:pStyle w:val="2"/>
      </w:pPr>
    </w:p>
    <w:p w14:paraId="40AD5938">
      <w:pPr>
        <w:sectPr>
          <w:footerReference r:id="rId16" w:type="default"/>
          <w:pgSz w:w="16839" w:h="11906"/>
          <w:pgMar w:top="1012" w:right="1134" w:bottom="967" w:left="1134" w:header="0" w:footer="768" w:gutter="0"/>
          <w:cols w:space="720" w:num="1"/>
        </w:sectPr>
      </w:pPr>
    </w:p>
    <w:p w14:paraId="4DBC5FF1">
      <w:pPr>
        <w:spacing w:line="121" w:lineRule="exact"/>
      </w:pPr>
    </w:p>
    <w:p w14:paraId="79950579">
      <w:pPr>
        <w:spacing w:line="121" w:lineRule="exact"/>
      </w:pPr>
    </w:p>
    <w:p w14:paraId="07B36FFA">
      <w:pPr>
        <w:spacing w:line="121" w:lineRule="exact"/>
      </w:pPr>
    </w:p>
    <w:p w14:paraId="7919DAD1">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6938E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5" w:hRule="atLeast"/>
        </w:trPr>
        <w:tc>
          <w:tcPr>
            <w:tcW w:w="705" w:type="dxa"/>
            <w:vAlign w:val="top"/>
          </w:tcPr>
          <w:p w14:paraId="1F4C571A">
            <w:pPr>
              <w:pStyle w:val="8"/>
              <w:spacing w:before="183" w:line="221" w:lineRule="auto"/>
              <w:ind w:left="175"/>
            </w:pPr>
            <w:r>
              <w:rPr>
                <w:b/>
                <w:bCs/>
                <w:spacing w:val="-4"/>
              </w:rPr>
              <w:t>序号</w:t>
            </w:r>
          </w:p>
        </w:tc>
        <w:tc>
          <w:tcPr>
            <w:tcW w:w="1290" w:type="dxa"/>
            <w:vAlign w:val="top"/>
          </w:tcPr>
          <w:p w14:paraId="1321A292">
            <w:pPr>
              <w:pStyle w:val="8"/>
              <w:spacing w:before="183" w:line="220" w:lineRule="auto"/>
              <w:ind w:left="284"/>
            </w:pPr>
            <w:r>
              <w:rPr>
                <w:b/>
                <w:bCs/>
                <w:spacing w:val="-4"/>
              </w:rPr>
              <w:t>事项名称</w:t>
            </w:r>
          </w:p>
        </w:tc>
        <w:tc>
          <w:tcPr>
            <w:tcW w:w="1379" w:type="dxa"/>
            <w:vAlign w:val="top"/>
          </w:tcPr>
          <w:p w14:paraId="5337C12B">
            <w:pPr>
              <w:pStyle w:val="8"/>
              <w:spacing w:before="183" w:line="219" w:lineRule="auto"/>
              <w:ind w:left="333"/>
            </w:pPr>
            <w:r>
              <w:rPr>
                <w:b/>
                <w:bCs/>
                <w:spacing w:val="-5"/>
              </w:rPr>
              <w:t>实施机关</w:t>
            </w:r>
          </w:p>
        </w:tc>
        <w:tc>
          <w:tcPr>
            <w:tcW w:w="1364" w:type="dxa"/>
            <w:vAlign w:val="top"/>
          </w:tcPr>
          <w:p w14:paraId="6F8B4CE3">
            <w:pPr>
              <w:pStyle w:val="8"/>
              <w:spacing w:before="183" w:line="219" w:lineRule="auto"/>
              <w:ind w:left="322"/>
            </w:pPr>
            <w:r>
              <w:rPr>
                <w:b/>
                <w:bCs/>
                <w:spacing w:val="-4"/>
              </w:rPr>
              <w:t>承办机构</w:t>
            </w:r>
          </w:p>
        </w:tc>
        <w:tc>
          <w:tcPr>
            <w:tcW w:w="8667" w:type="dxa"/>
            <w:vAlign w:val="top"/>
          </w:tcPr>
          <w:p w14:paraId="50B4AA52">
            <w:pPr>
              <w:pStyle w:val="8"/>
              <w:spacing w:before="183" w:line="219" w:lineRule="auto"/>
              <w:ind w:left="3708"/>
            </w:pPr>
            <w:r>
              <w:rPr>
                <w:b/>
                <w:bCs/>
                <w:spacing w:val="-3"/>
              </w:rPr>
              <w:t>设定和实施依据</w:t>
            </w:r>
          </w:p>
        </w:tc>
        <w:tc>
          <w:tcPr>
            <w:tcW w:w="1159" w:type="dxa"/>
            <w:vAlign w:val="top"/>
          </w:tcPr>
          <w:p w14:paraId="50996694">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4C71F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4" w:hRule="atLeast"/>
        </w:trPr>
        <w:tc>
          <w:tcPr>
            <w:tcW w:w="705" w:type="dxa"/>
            <w:vAlign w:val="top"/>
          </w:tcPr>
          <w:p w14:paraId="025D24C5">
            <w:pPr>
              <w:spacing w:line="243" w:lineRule="auto"/>
              <w:rPr>
                <w:rFonts w:ascii="Arial"/>
                <w:sz w:val="21"/>
              </w:rPr>
            </w:pPr>
          </w:p>
          <w:p w14:paraId="368A5610">
            <w:pPr>
              <w:spacing w:line="243" w:lineRule="auto"/>
              <w:rPr>
                <w:rFonts w:ascii="Arial"/>
                <w:sz w:val="21"/>
              </w:rPr>
            </w:pPr>
          </w:p>
          <w:p w14:paraId="104C9638">
            <w:pPr>
              <w:spacing w:line="243" w:lineRule="auto"/>
              <w:rPr>
                <w:rFonts w:ascii="Arial"/>
                <w:sz w:val="21"/>
              </w:rPr>
            </w:pPr>
          </w:p>
          <w:p w14:paraId="5B0A456B">
            <w:pPr>
              <w:spacing w:line="243" w:lineRule="auto"/>
              <w:rPr>
                <w:rFonts w:ascii="Arial"/>
                <w:sz w:val="21"/>
              </w:rPr>
            </w:pPr>
          </w:p>
          <w:p w14:paraId="716A823F">
            <w:pPr>
              <w:spacing w:line="243" w:lineRule="auto"/>
              <w:rPr>
                <w:rFonts w:ascii="Arial"/>
                <w:sz w:val="21"/>
              </w:rPr>
            </w:pPr>
          </w:p>
          <w:p w14:paraId="4652388A">
            <w:pPr>
              <w:spacing w:line="243" w:lineRule="auto"/>
              <w:rPr>
                <w:rFonts w:ascii="Arial"/>
                <w:sz w:val="21"/>
              </w:rPr>
            </w:pPr>
          </w:p>
          <w:p w14:paraId="166C2556">
            <w:pPr>
              <w:spacing w:line="243" w:lineRule="auto"/>
              <w:rPr>
                <w:rFonts w:ascii="Arial"/>
                <w:sz w:val="21"/>
              </w:rPr>
            </w:pPr>
          </w:p>
          <w:p w14:paraId="76853F29">
            <w:pPr>
              <w:pStyle w:val="8"/>
              <w:spacing w:before="59" w:line="184" w:lineRule="auto"/>
              <w:ind w:left="270"/>
              <w:rPr>
                <w:rFonts w:hint="default" w:eastAsia="宋体"/>
                <w:lang w:val="en-US" w:eastAsia="zh-CN"/>
              </w:rPr>
            </w:pPr>
            <w:r>
              <w:rPr>
                <w:rFonts w:hint="eastAsia"/>
                <w:spacing w:val="-5"/>
                <w:lang w:val="en-US" w:eastAsia="zh-CN"/>
              </w:rPr>
              <w:t>18</w:t>
            </w:r>
          </w:p>
        </w:tc>
        <w:tc>
          <w:tcPr>
            <w:tcW w:w="1290" w:type="dxa"/>
            <w:vAlign w:val="top"/>
          </w:tcPr>
          <w:p w14:paraId="0225F5E8">
            <w:pPr>
              <w:spacing w:line="286" w:lineRule="auto"/>
              <w:rPr>
                <w:rFonts w:ascii="Arial"/>
                <w:sz w:val="21"/>
              </w:rPr>
            </w:pPr>
          </w:p>
          <w:p w14:paraId="63DC6D68">
            <w:pPr>
              <w:spacing w:line="287" w:lineRule="auto"/>
              <w:rPr>
                <w:rFonts w:ascii="Arial"/>
                <w:sz w:val="21"/>
              </w:rPr>
            </w:pPr>
          </w:p>
          <w:p w14:paraId="39D92650">
            <w:pPr>
              <w:spacing w:line="287" w:lineRule="auto"/>
              <w:rPr>
                <w:rFonts w:ascii="Arial"/>
                <w:sz w:val="21"/>
              </w:rPr>
            </w:pPr>
          </w:p>
          <w:p w14:paraId="46C2EB12">
            <w:pPr>
              <w:spacing w:line="287" w:lineRule="auto"/>
              <w:rPr>
                <w:rFonts w:ascii="Arial"/>
                <w:sz w:val="21"/>
              </w:rPr>
            </w:pPr>
          </w:p>
          <w:p w14:paraId="75D5946D">
            <w:pPr>
              <w:spacing w:line="287" w:lineRule="auto"/>
              <w:rPr>
                <w:rFonts w:ascii="Arial"/>
                <w:sz w:val="21"/>
              </w:rPr>
            </w:pPr>
          </w:p>
          <w:p w14:paraId="2C71E2DC">
            <w:pPr>
              <w:pStyle w:val="8"/>
              <w:spacing w:before="58" w:line="238" w:lineRule="auto"/>
              <w:ind w:left="32" w:right="28"/>
              <w:jc w:val="both"/>
            </w:pPr>
            <w:r>
              <w:rPr>
                <w:spacing w:val="24"/>
              </w:rPr>
              <w:t>危险货物港口</w:t>
            </w:r>
            <w:r>
              <w:t xml:space="preserve"> </w:t>
            </w:r>
            <w:r>
              <w:rPr>
                <w:spacing w:val="24"/>
              </w:rPr>
              <w:t>建设项目安全</w:t>
            </w:r>
            <w:r>
              <w:t xml:space="preserve"> </w:t>
            </w:r>
            <w:r>
              <w:rPr>
                <w:spacing w:val="-2"/>
              </w:rPr>
              <w:t>设施设计审查</w:t>
            </w:r>
          </w:p>
        </w:tc>
        <w:tc>
          <w:tcPr>
            <w:tcW w:w="1379" w:type="dxa"/>
            <w:vAlign w:val="top"/>
          </w:tcPr>
          <w:p w14:paraId="5DA3DF1F">
            <w:pPr>
              <w:spacing w:line="262" w:lineRule="auto"/>
              <w:rPr>
                <w:rFonts w:ascii="Arial"/>
                <w:sz w:val="21"/>
              </w:rPr>
            </w:pPr>
          </w:p>
          <w:p w14:paraId="694509CC">
            <w:pPr>
              <w:spacing w:line="263" w:lineRule="auto"/>
              <w:rPr>
                <w:rFonts w:ascii="Arial"/>
                <w:sz w:val="21"/>
              </w:rPr>
            </w:pPr>
          </w:p>
          <w:p w14:paraId="0FF20ABC">
            <w:pPr>
              <w:spacing w:line="263" w:lineRule="auto"/>
              <w:rPr>
                <w:rFonts w:ascii="Arial"/>
                <w:sz w:val="21"/>
              </w:rPr>
            </w:pPr>
          </w:p>
          <w:p w14:paraId="3EF437CF">
            <w:pPr>
              <w:spacing w:line="263" w:lineRule="auto"/>
              <w:rPr>
                <w:rFonts w:ascii="Arial"/>
                <w:sz w:val="21"/>
              </w:rPr>
            </w:pPr>
          </w:p>
          <w:p w14:paraId="4E7384F0">
            <w:pPr>
              <w:spacing w:line="263" w:lineRule="auto"/>
              <w:rPr>
                <w:rFonts w:ascii="Arial"/>
                <w:sz w:val="21"/>
              </w:rPr>
            </w:pPr>
          </w:p>
          <w:p w14:paraId="7A09DF59">
            <w:pPr>
              <w:pStyle w:val="8"/>
              <w:spacing w:before="59"/>
              <w:ind w:left="30" w:right="27"/>
              <w:rPr>
                <w:rFonts w:hint="eastAsia" w:eastAsia="宋体"/>
                <w:lang w:eastAsia="zh-CN"/>
              </w:rPr>
            </w:pPr>
            <w:r>
              <w:rPr>
                <w:rFonts w:hint="eastAsia"/>
                <w:spacing w:val="6"/>
                <w:lang w:eastAsia="zh-CN"/>
              </w:rPr>
              <w:t>津市市交通运输局</w:t>
            </w:r>
          </w:p>
        </w:tc>
        <w:tc>
          <w:tcPr>
            <w:tcW w:w="1364" w:type="dxa"/>
            <w:vAlign w:val="top"/>
          </w:tcPr>
          <w:p w14:paraId="1D2543F6">
            <w:pPr>
              <w:spacing w:line="278" w:lineRule="auto"/>
              <w:rPr>
                <w:rFonts w:ascii="Arial"/>
                <w:sz w:val="21"/>
              </w:rPr>
            </w:pPr>
          </w:p>
          <w:p w14:paraId="2E1EE194">
            <w:pPr>
              <w:spacing w:line="279" w:lineRule="auto"/>
              <w:rPr>
                <w:rFonts w:ascii="Arial"/>
                <w:sz w:val="21"/>
              </w:rPr>
            </w:pPr>
          </w:p>
          <w:p w14:paraId="440C0DD0">
            <w:pPr>
              <w:spacing w:line="279" w:lineRule="auto"/>
              <w:rPr>
                <w:rFonts w:ascii="Arial"/>
                <w:sz w:val="21"/>
              </w:rPr>
            </w:pPr>
          </w:p>
          <w:p w14:paraId="249E38A8">
            <w:pPr>
              <w:spacing w:line="279" w:lineRule="auto"/>
              <w:rPr>
                <w:rFonts w:ascii="Arial"/>
                <w:sz w:val="21"/>
              </w:rPr>
            </w:pPr>
          </w:p>
          <w:p w14:paraId="6F9AD778">
            <w:pPr>
              <w:spacing w:line="279" w:lineRule="auto"/>
              <w:rPr>
                <w:rFonts w:ascii="Arial"/>
                <w:sz w:val="21"/>
              </w:rPr>
            </w:pPr>
          </w:p>
          <w:p w14:paraId="51BFDFD1">
            <w:pPr>
              <w:spacing w:line="279" w:lineRule="auto"/>
              <w:rPr>
                <w:rFonts w:ascii="Arial"/>
                <w:sz w:val="21"/>
              </w:rPr>
            </w:pPr>
          </w:p>
          <w:p w14:paraId="6B05569D">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5C48140B">
            <w:pPr>
              <w:pStyle w:val="8"/>
              <w:spacing w:before="70" w:line="219" w:lineRule="auto"/>
              <w:ind w:left="491"/>
            </w:pPr>
            <w:r>
              <w:rPr>
                <w:b/>
                <w:bCs/>
                <w:spacing w:val="-4"/>
              </w:rPr>
              <w:t>1.《中华人民共和国港口法》</w:t>
            </w:r>
          </w:p>
          <w:p w14:paraId="3919A5C7">
            <w:pPr>
              <w:pStyle w:val="8"/>
              <w:spacing w:before="25" w:line="233" w:lineRule="auto"/>
              <w:ind w:left="119" w:right="108" w:firstLine="358"/>
            </w:pPr>
            <w:r>
              <w:t>第十五条  按照国家规定须经有关机关批准的</w:t>
            </w:r>
            <w:r>
              <w:rPr>
                <w:spacing w:val="-1"/>
              </w:rPr>
              <w:t>港口建设项目，应当按照国家有关规定办理审批手续，并</w:t>
            </w:r>
            <w:r>
              <w:t xml:space="preserve"> </w:t>
            </w:r>
            <w:r>
              <w:rPr>
                <w:spacing w:val="-3"/>
              </w:rPr>
              <w:t>符合国家有关标准和技术规范。</w:t>
            </w:r>
          </w:p>
          <w:p w14:paraId="79061495">
            <w:pPr>
              <w:pStyle w:val="8"/>
              <w:spacing w:before="25" w:line="218" w:lineRule="auto"/>
              <w:ind w:left="479"/>
            </w:pPr>
            <w:r>
              <w:rPr>
                <w:spacing w:val="-2"/>
              </w:rPr>
              <w:t>建设港口工程项目，应当依法进行环境影响评价。</w:t>
            </w:r>
          </w:p>
          <w:p w14:paraId="5DB23FC8">
            <w:pPr>
              <w:pStyle w:val="8"/>
              <w:spacing w:before="28" w:line="219" w:lineRule="auto"/>
              <w:ind w:left="477"/>
            </w:pPr>
            <w:r>
              <w:rPr>
                <w:spacing w:val="-1"/>
              </w:rPr>
              <w:t>港口建设项目的安全设施和环境保护设施，必须与主体工程同时设计、同时施工、同时投入使用。</w:t>
            </w:r>
          </w:p>
          <w:p w14:paraId="21F056E8">
            <w:pPr>
              <w:pStyle w:val="8"/>
              <w:spacing w:before="26" w:line="219" w:lineRule="auto"/>
              <w:ind w:left="479"/>
            </w:pPr>
            <w:r>
              <w:rPr>
                <w:b/>
                <w:bCs/>
                <w:spacing w:val="-3"/>
              </w:rPr>
              <w:t>2.《中华人民共和国安全生产法》</w:t>
            </w:r>
          </w:p>
          <w:p w14:paraId="5CB259BE">
            <w:pPr>
              <w:pStyle w:val="8"/>
              <w:spacing w:before="27" w:line="219" w:lineRule="auto"/>
              <w:ind w:left="477"/>
            </w:pPr>
            <w:r>
              <w:rPr>
                <w:spacing w:val="-1"/>
              </w:rPr>
              <w:t>第三十三条  建设项目安全设施的设计人、设计单位应当对安全设施设计负</w:t>
            </w:r>
            <w:r>
              <w:rPr>
                <w:spacing w:val="-2"/>
              </w:rPr>
              <w:t>责。</w:t>
            </w:r>
          </w:p>
          <w:p w14:paraId="5B2E0A08">
            <w:pPr>
              <w:pStyle w:val="8"/>
              <w:spacing w:before="26" w:line="233" w:lineRule="auto"/>
              <w:ind w:left="120" w:right="108" w:firstLine="356"/>
            </w:pPr>
            <w:r>
              <w:t>矿山、金属冶炼建设项目和用于生产、储存、</w:t>
            </w:r>
            <w:r>
              <w:rPr>
                <w:spacing w:val="-1"/>
              </w:rPr>
              <w:t>装卸危险物品的建设项目的安全设施设计应当按照国家有</w:t>
            </w:r>
            <w:r>
              <w:t xml:space="preserve"> </w:t>
            </w:r>
            <w:r>
              <w:rPr>
                <w:spacing w:val="-1"/>
              </w:rPr>
              <w:t>关规定报经有关部门审查，审查部门及其负责审查的人员对审查结果</w:t>
            </w:r>
            <w:r>
              <w:rPr>
                <w:spacing w:val="-2"/>
              </w:rPr>
              <w:t>负责。</w:t>
            </w:r>
          </w:p>
          <w:p w14:paraId="68C2586B">
            <w:pPr>
              <w:pStyle w:val="8"/>
              <w:spacing w:before="25" w:line="219" w:lineRule="auto"/>
              <w:ind w:left="481"/>
            </w:pPr>
            <w:r>
              <w:rPr>
                <w:b/>
                <w:bCs/>
                <w:spacing w:val="-3"/>
              </w:rPr>
              <w:t>3.《港口危险货物安全管理规定》（交通运输部令</w:t>
            </w:r>
            <w:r>
              <w:rPr>
                <w:spacing w:val="-33"/>
              </w:rPr>
              <w:t xml:space="preserve"> </w:t>
            </w:r>
            <w:r>
              <w:rPr>
                <w:b/>
                <w:bCs/>
                <w:spacing w:val="-3"/>
              </w:rPr>
              <w:t>2023</w:t>
            </w:r>
            <w:r>
              <w:rPr>
                <w:spacing w:val="-37"/>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6B87275F">
            <w:pPr>
              <w:pStyle w:val="8"/>
              <w:spacing w:before="27" w:line="233" w:lineRule="auto"/>
              <w:ind w:left="120" w:right="108" w:firstLine="357"/>
            </w:pPr>
            <w:r>
              <w:t>第十四条  由港口行政管理部门负责初步设计</w:t>
            </w:r>
            <w:r>
              <w:rPr>
                <w:spacing w:val="-1"/>
              </w:rPr>
              <w:t>审批的危险货物港口建设项目，在初步设计审批中对安全</w:t>
            </w:r>
            <w:r>
              <w:t xml:space="preserve"> </w:t>
            </w:r>
            <w:r>
              <w:rPr>
                <w:spacing w:val="-4"/>
              </w:rPr>
              <w:t>设施设计进行审查。</w:t>
            </w:r>
          </w:p>
          <w:p w14:paraId="06A7D19C">
            <w:pPr>
              <w:pStyle w:val="8"/>
              <w:spacing w:before="26" w:line="233" w:lineRule="auto"/>
              <w:ind w:left="117" w:right="108" w:firstLine="362"/>
            </w:pPr>
            <w:r>
              <w:rPr>
                <w:spacing w:val="-1"/>
              </w:rPr>
              <w:t>前款规定之外的其他危险货物港口建设项目，由负责安全条件审查的港口行政管理部门进行安全设施设</w:t>
            </w:r>
            <w:r>
              <w:rPr>
                <w:spacing w:val="17"/>
              </w:rPr>
              <w:t xml:space="preserve"> </w:t>
            </w:r>
            <w:r>
              <w:rPr>
                <w:spacing w:val="-7"/>
              </w:rPr>
              <w:t>计审查。</w:t>
            </w:r>
          </w:p>
          <w:p w14:paraId="70B1FB9C">
            <w:pPr>
              <w:pStyle w:val="8"/>
              <w:spacing w:before="25" w:line="219" w:lineRule="auto"/>
              <w:ind w:left="479"/>
              <w:rPr>
                <w:spacing w:val="-3"/>
              </w:rPr>
            </w:pPr>
            <w:r>
              <w:rPr>
                <w:spacing w:val="-2"/>
              </w:rPr>
              <w:t>建设单位在申请安全设施设计审查时应当提交</w:t>
            </w:r>
            <w:r>
              <w:rPr>
                <w:spacing w:val="-3"/>
              </w:rPr>
              <w:t>以下材料：</w:t>
            </w:r>
          </w:p>
          <w:p w14:paraId="73004A10">
            <w:pPr>
              <w:pStyle w:val="8"/>
              <w:spacing w:before="66" w:line="219" w:lineRule="auto"/>
              <w:ind w:left="487"/>
            </w:pPr>
            <w:r>
              <w:rPr>
                <w:spacing w:val="-5"/>
              </w:rPr>
              <w:t>（一）安全设施设计审查申请书；</w:t>
            </w:r>
          </w:p>
          <w:p w14:paraId="35CABB70">
            <w:pPr>
              <w:pStyle w:val="8"/>
              <w:spacing w:before="26" w:line="219" w:lineRule="auto"/>
              <w:ind w:left="487"/>
            </w:pPr>
            <w:r>
              <w:rPr>
                <w:spacing w:val="-4"/>
              </w:rPr>
              <w:t>（二）设计单位的基本情况及资信情况；</w:t>
            </w:r>
          </w:p>
          <w:p w14:paraId="6D0D07DE">
            <w:pPr>
              <w:pStyle w:val="8"/>
              <w:spacing w:before="26" w:line="221" w:lineRule="auto"/>
              <w:ind w:left="487"/>
            </w:pPr>
            <w:r>
              <w:rPr>
                <w:spacing w:val="-5"/>
              </w:rPr>
              <w:t>（三）安全设施设计。</w:t>
            </w:r>
          </w:p>
          <w:p w14:paraId="42D42409">
            <w:pPr>
              <w:pStyle w:val="8"/>
              <w:spacing w:before="24" w:line="218" w:lineRule="auto"/>
              <w:ind w:firstLine="528" w:firstLineChars="300"/>
            </w:pPr>
            <w:r>
              <w:rPr>
                <w:spacing w:val="-2"/>
              </w:rPr>
              <w:t>港口行政管理部门应当自受理申请之日起</w:t>
            </w:r>
            <w:r>
              <w:rPr>
                <w:spacing w:val="-38"/>
              </w:rPr>
              <w:t xml:space="preserve"> </w:t>
            </w:r>
            <w:r>
              <w:rPr>
                <w:spacing w:val="-2"/>
              </w:rPr>
              <w:t>20 日内对</w:t>
            </w:r>
            <w:r>
              <w:rPr>
                <w:spacing w:val="-3"/>
              </w:rPr>
              <w:t>申请材料进行审查，作出审查决定，并告知申请人；</w:t>
            </w:r>
          </w:p>
          <w:p w14:paraId="401220C4">
            <w:pPr>
              <w:pStyle w:val="8"/>
              <w:spacing w:before="25" w:line="219" w:lineRule="auto"/>
              <w:ind w:firstLine="174" w:firstLineChars="100"/>
              <w:rPr>
                <w:spacing w:val="-3"/>
              </w:rPr>
            </w:pPr>
            <w:r>
              <w:rPr>
                <w:spacing w:val="-3"/>
              </w:rPr>
              <w:t>20 日内不能作出决定的，经本部门负责人批准，可以延长</w:t>
            </w:r>
            <w:r>
              <w:rPr>
                <w:spacing w:val="-24"/>
              </w:rPr>
              <w:t xml:space="preserve"> </w:t>
            </w:r>
            <w:r>
              <w:rPr>
                <w:spacing w:val="-3"/>
              </w:rPr>
              <w:t>10 日，并应当将延长期限的理由告知申</w:t>
            </w:r>
            <w:r>
              <w:rPr>
                <w:spacing w:val="-4"/>
              </w:rPr>
              <w:t>请人。</w:t>
            </w:r>
          </w:p>
        </w:tc>
        <w:tc>
          <w:tcPr>
            <w:tcW w:w="1159" w:type="dxa"/>
            <w:vAlign w:val="top"/>
          </w:tcPr>
          <w:p w14:paraId="65905B34">
            <w:pPr>
              <w:rPr>
                <w:rFonts w:ascii="Arial"/>
                <w:sz w:val="21"/>
              </w:rPr>
            </w:pPr>
          </w:p>
        </w:tc>
      </w:tr>
      <w:tr w14:paraId="78ADC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9" w:hRule="atLeast"/>
        </w:trPr>
        <w:tc>
          <w:tcPr>
            <w:tcW w:w="705" w:type="dxa"/>
            <w:shd w:val="clear" w:color="auto" w:fill="auto"/>
            <w:vAlign w:val="top"/>
          </w:tcPr>
          <w:p w14:paraId="275F2EF8">
            <w:pPr>
              <w:spacing w:line="312" w:lineRule="auto"/>
              <w:rPr>
                <w:rFonts w:ascii="Arial"/>
                <w:sz w:val="21"/>
              </w:rPr>
            </w:pPr>
          </w:p>
          <w:p w14:paraId="5B6D9220">
            <w:pPr>
              <w:spacing w:line="313" w:lineRule="auto"/>
              <w:rPr>
                <w:rFonts w:ascii="Arial"/>
                <w:sz w:val="21"/>
              </w:rPr>
            </w:pPr>
          </w:p>
          <w:p w14:paraId="49366C90">
            <w:pPr>
              <w:pStyle w:val="8"/>
              <w:spacing w:before="59" w:line="183" w:lineRule="auto"/>
              <w:ind w:left="270" w:leftChars="0"/>
              <w:rPr>
                <w:rFonts w:hint="default" w:ascii="宋体" w:hAnsi="宋体" w:eastAsia="宋体" w:cs="宋体"/>
                <w:snapToGrid w:val="0"/>
                <w:color w:val="000000"/>
                <w:kern w:val="0"/>
                <w:sz w:val="18"/>
                <w:szCs w:val="18"/>
                <w:lang w:val="en-US" w:eastAsia="zh-CN" w:bidi="ar-SA"/>
              </w:rPr>
            </w:pPr>
            <w:r>
              <w:rPr>
                <w:rFonts w:hint="eastAsia"/>
                <w:spacing w:val="-5"/>
                <w:lang w:val="en-US" w:eastAsia="zh-CN"/>
              </w:rPr>
              <w:t>19</w:t>
            </w:r>
          </w:p>
        </w:tc>
        <w:tc>
          <w:tcPr>
            <w:tcW w:w="1290" w:type="dxa"/>
            <w:shd w:val="clear" w:color="auto" w:fill="auto"/>
            <w:vAlign w:val="top"/>
          </w:tcPr>
          <w:p w14:paraId="10ED6A3E">
            <w:pPr>
              <w:spacing w:line="478" w:lineRule="auto"/>
              <w:rPr>
                <w:rFonts w:ascii="Arial"/>
                <w:sz w:val="21"/>
              </w:rPr>
            </w:pPr>
          </w:p>
          <w:p w14:paraId="5D5D5134">
            <w:pPr>
              <w:pStyle w:val="8"/>
              <w:spacing w:before="58" w:line="233" w:lineRule="auto"/>
              <w:ind w:left="29" w:leftChars="0" w:right="28" w:rightChars="0"/>
              <w:rPr>
                <w:rFonts w:ascii="宋体" w:hAnsi="宋体" w:eastAsia="宋体" w:cs="宋体"/>
                <w:snapToGrid w:val="0"/>
                <w:color w:val="000000"/>
                <w:kern w:val="0"/>
                <w:sz w:val="18"/>
                <w:szCs w:val="18"/>
                <w:lang w:val="en-US" w:eastAsia="en-US" w:bidi="ar-SA"/>
              </w:rPr>
            </w:pPr>
            <w:r>
              <w:rPr>
                <w:spacing w:val="-5"/>
              </w:rPr>
              <w:t>港口采掘、爆破</w:t>
            </w:r>
            <w:r>
              <w:rPr>
                <w:spacing w:val="1"/>
              </w:rPr>
              <w:t xml:space="preserve"> </w:t>
            </w:r>
            <w:r>
              <w:rPr>
                <w:spacing w:val="-1"/>
              </w:rPr>
              <w:t>施工作业许可</w:t>
            </w:r>
          </w:p>
        </w:tc>
        <w:tc>
          <w:tcPr>
            <w:tcW w:w="1379" w:type="dxa"/>
            <w:shd w:val="clear" w:color="auto" w:fill="auto"/>
            <w:vAlign w:val="top"/>
          </w:tcPr>
          <w:p w14:paraId="6129D77F">
            <w:pPr>
              <w:spacing w:line="359" w:lineRule="auto"/>
              <w:rPr>
                <w:rFonts w:ascii="Arial"/>
                <w:sz w:val="21"/>
              </w:rPr>
            </w:pPr>
          </w:p>
          <w:p w14:paraId="2EF5B80C">
            <w:pPr>
              <w:pStyle w:val="8"/>
              <w:spacing w:before="59" w:line="237" w:lineRule="auto"/>
              <w:ind w:left="30" w:leftChars="0" w:right="27" w:rightChars="0"/>
              <w:jc w:val="both"/>
              <w:rPr>
                <w:rFonts w:hint="eastAsia" w:ascii="宋体" w:hAnsi="宋体" w:eastAsia="宋体" w:cs="宋体"/>
                <w:snapToGrid w:val="0"/>
                <w:color w:val="000000"/>
                <w:kern w:val="0"/>
                <w:sz w:val="18"/>
                <w:szCs w:val="18"/>
                <w:lang w:val="en-US" w:eastAsia="zh-CN" w:bidi="ar-SA"/>
              </w:rPr>
            </w:pPr>
            <w:r>
              <w:rPr>
                <w:rFonts w:hint="eastAsia"/>
                <w:spacing w:val="7"/>
                <w:lang w:eastAsia="zh-CN"/>
              </w:rPr>
              <w:t>津市市交通运输局</w:t>
            </w:r>
          </w:p>
        </w:tc>
        <w:tc>
          <w:tcPr>
            <w:tcW w:w="1364" w:type="dxa"/>
            <w:shd w:val="clear" w:color="auto" w:fill="auto"/>
            <w:vAlign w:val="top"/>
          </w:tcPr>
          <w:p w14:paraId="31B04A48">
            <w:pPr>
              <w:spacing w:line="298" w:lineRule="auto"/>
              <w:rPr>
                <w:rFonts w:ascii="Arial"/>
                <w:sz w:val="21"/>
              </w:rPr>
            </w:pPr>
          </w:p>
          <w:p w14:paraId="1D14F0EB">
            <w:pPr>
              <w:spacing w:line="298" w:lineRule="auto"/>
              <w:rPr>
                <w:rFonts w:ascii="Arial"/>
                <w:sz w:val="21"/>
              </w:rPr>
            </w:pPr>
          </w:p>
          <w:p w14:paraId="7591DBD1">
            <w:pPr>
              <w:pStyle w:val="8"/>
              <w:spacing w:before="59" w:line="219" w:lineRule="auto"/>
              <w:ind w:left="346" w:lef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行政审批服务办公室</w:t>
            </w:r>
          </w:p>
        </w:tc>
        <w:tc>
          <w:tcPr>
            <w:tcW w:w="8667" w:type="dxa"/>
            <w:shd w:val="clear" w:color="auto" w:fill="auto"/>
            <w:vAlign w:val="top"/>
          </w:tcPr>
          <w:p w14:paraId="067CB561">
            <w:pPr>
              <w:spacing w:line="246" w:lineRule="auto"/>
              <w:rPr>
                <w:rFonts w:ascii="Arial"/>
                <w:sz w:val="21"/>
              </w:rPr>
            </w:pPr>
          </w:p>
          <w:p w14:paraId="4430F636">
            <w:pPr>
              <w:pStyle w:val="8"/>
              <w:spacing w:before="59" w:line="219" w:lineRule="auto"/>
              <w:ind w:left="483"/>
            </w:pPr>
            <w:r>
              <w:rPr>
                <w:b/>
                <w:bCs/>
                <w:spacing w:val="-4"/>
              </w:rPr>
              <w:t>《中华人民共和国港口法》</w:t>
            </w:r>
          </w:p>
          <w:p w14:paraId="32594501">
            <w:pPr>
              <w:pStyle w:val="8"/>
              <w:spacing w:before="26" w:line="237" w:lineRule="auto"/>
              <w:ind w:left="117" w:leftChars="0" w:right="64" w:rightChars="0" w:firstLine="360" w:firstLineChars="0"/>
              <w:jc w:val="both"/>
              <w:rPr>
                <w:rFonts w:ascii="宋体" w:hAnsi="宋体" w:eastAsia="宋体" w:cs="宋体"/>
                <w:snapToGrid w:val="0"/>
                <w:color w:val="000000"/>
                <w:kern w:val="0"/>
                <w:sz w:val="18"/>
                <w:szCs w:val="18"/>
                <w:lang w:val="en-US" w:eastAsia="en-US" w:bidi="ar-SA"/>
              </w:rPr>
            </w:pPr>
            <w:r>
              <w:rPr>
                <w:spacing w:val="-3"/>
              </w:rPr>
              <w:t>第三十七条第二款  不得在港口进行可能危及港口安全的</w:t>
            </w:r>
            <w:r>
              <w:rPr>
                <w:spacing w:val="-4"/>
              </w:rPr>
              <w:t>采掘、爆破等活动；因工程建设等确需进行的，</w:t>
            </w:r>
            <w:r>
              <w:t xml:space="preserve"> 必须采取相应的安全保护措施，并报经港口行政管</w:t>
            </w:r>
            <w:r>
              <w:rPr>
                <w:spacing w:val="-1"/>
              </w:rPr>
              <w:t>理部门批准。港口行政管理部门应当将审批情况及时通报</w:t>
            </w:r>
            <w:r>
              <w:t xml:space="preserve"> </w:t>
            </w:r>
            <w:r>
              <w:rPr>
                <w:spacing w:val="-1"/>
              </w:rPr>
              <w:t>海事管理机构，海事管理机构不再依照有关水上交通安全的法律、行政法规的规定进行审批。</w:t>
            </w:r>
          </w:p>
        </w:tc>
        <w:tc>
          <w:tcPr>
            <w:tcW w:w="1159" w:type="dxa"/>
            <w:vAlign w:val="top"/>
          </w:tcPr>
          <w:p w14:paraId="383938D7">
            <w:pPr>
              <w:rPr>
                <w:rFonts w:ascii="Arial"/>
                <w:sz w:val="21"/>
              </w:rPr>
            </w:pPr>
          </w:p>
        </w:tc>
      </w:tr>
    </w:tbl>
    <w:p w14:paraId="30385573">
      <w:pPr>
        <w:pStyle w:val="2"/>
      </w:pPr>
    </w:p>
    <w:p w14:paraId="5E1C5ABF">
      <w:pPr>
        <w:sectPr>
          <w:footerReference r:id="rId17" w:type="default"/>
          <w:pgSz w:w="16839" w:h="11906"/>
          <w:pgMar w:top="1012" w:right="1134" w:bottom="967" w:left="1134" w:header="0" w:footer="768" w:gutter="0"/>
          <w:cols w:space="720" w:num="1"/>
        </w:sectPr>
      </w:pPr>
    </w:p>
    <w:p w14:paraId="03F0F22F">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69078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705" w:type="dxa"/>
            <w:vAlign w:val="top"/>
          </w:tcPr>
          <w:p w14:paraId="69CD98BC">
            <w:pPr>
              <w:pStyle w:val="8"/>
              <w:spacing w:before="183" w:line="221" w:lineRule="auto"/>
              <w:ind w:left="175"/>
            </w:pPr>
            <w:r>
              <w:rPr>
                <w:b/>
                <w:bCs/>
                <w:spacing w:val="-4"/>
              </w:rPr>
              <w:t>序号</w:t>
            </w:r>
          </w:p>
        </w:tc>
        <w:tc>
          <w:tcPr>
            <w:tcW w:w="1290" w:type="dxa"/>
            <w:vAlign w:val="top"/>
          </w:tcPr>
          <w:p w14:paraId="4C72BB8F">
            <w:pPr>
              <w:pStyle w:val="8"/>
              <w:spacing w:before="183" w:line="220" w:lineRule="auto"/>
              <w:ind w:left="284"/>
            </w:pPr>
            <w:r>
              <w:rPr>
                <w:b/>
                <w:bCs/>
                <w:spacing w:val="-4"/>
              </w:rPr>
              <w:t>事项名称</w:t>
            </w:r>
          </w:p>
        </w:tc>
        <w:tc>
          <w:tcPr>
            <w:tcW w:w="1379" w:type="dxa"/>
            <w:vAlign w:val="top"/>
          </w:tcPr>
          <w:p w14:paraId="49D43002">
            <w:pPr>
              <w:pStyle w:val="8"/>
              <w:spacing w:before="183" w:line="219" w:lineRule="auto"/>
              <w:ind w:left="333"/>
            </w:pPr>
            <w:r>
              <w:rPr>
                <w:b/>
                <w:bCs/>
                <w:spacing w:val="-5"/>
              </w:rPr>
              <w:t>实施机关</w:t>
            </w:r>
          </w:p>
        </w:tc>
        <w:tc>
          <w:tcPr>
            <w:tcW w:w="1364" w:type="dxa"/>
            <w:vAlign w:val="top"/>
          </w:tcPr>
          <w:p w14:paraId="4C5CFE32">
            <w:pPr>
              <w:pStyle w:val="8"/>
              <w:spacing w:before="183" w:line="219" w:lineRule="auto"/>
              <w:ind w:left="322"/>
            </w:pPr>
            <w:r>
              <w:rPr>
                <w:b/>
                <w:bCs/>
                <w:spacing w:val="-4"/>
              </w:rPr>
              <w:t>承办机构</w:t>
            </w:r>
          </w:p>
        </w:tc>
        <w:tc>
          <w:tcPr>
            <w:tcW w:w="8667" w:type="dxa"/>
            <w:vAlign w:val="top"/>
          </w:tcPr>
          <w:p w14:paraId="4DCE9A7E">
            <w:pPr>
              <w:pStyle w:val="8"/>
              <w:spacing w:before="183" w:line="219" w:lineRule="auto"/>
              <w:ind w:left="3708"/>
            </w:pPr>
            <w:r>
              <w:rPr>
                <w:b/>
                <w:bCs/>
                <w:spacing w:val="-3"/>
              </w:rPr>
              <w:t>设定和实施依据</w:t>
            </w:r>
          </w:p>
        </w:tc>
        <w:tc>
          <w:tcPr>
            <w:tcW w:w="1159" w:type="dxa"/>
            <w:vAlign w:val="top"/>
          </w:tcPr>
          <w:p w14:paraId="36E6AA1E">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2F888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8" w:hRule="atLeast"/>
        </w:trPr>
        <w:tc>
          <w:tcPr>
            <w:tcW w:w="705" w:type="dxa"/>
            <w:vAlign w:val="top"/>
          </w:tcPr>
          <w:p w14:paraId="4E472C63">
            <w:pPr>
              <w:spacing w:line="262" w:lineRule="auto"/>
              <w:rPr>
                <w:rFonts w:ascii="Arial"/>
                <w:sz w:val="21"/>
              </w:rPr>
            </w:pPr>
          </w:p>
          <w:p w14:paraId="5E144CBE">
            <w:pPr>
              <w:spacing w:line="262" w:lineRule="auto"/>
              <w:rPr>
                <w:rFonts w:ascii="Arial"/>
                <w:sz w:val="21"/>
              </w:rPr>
            </w:pPr>
          </w:p>
          <w:p w14:paraId="49086703">
            <w:pPr>
              <w:spacing w:line="263" w:lineRule="auto"/>
              <w:rPr>
                <w:rFonts w:ascii="Arial"/>
                <w:sz w:val="21"/>
              </w:rPr>
            </w:pPr>
          </w:p>
          <w:p w14:paraId="7013212B">
            <w:pPr>
              <w:spacing w:line="263" w:lineRule="auto"/>
              <w:rPr>
                <w:rFonts w:ascii="Arial"/>
                <w:sz w:val="21"/>
              </w:rPr>
            </w:pPr>
          </w:p>
          <w:p w14:paraId="656A3ED9">
            <w:pPr>
              <w:spacing w:line="263" w:lineRule="auto"/>
              <w:rPr>
                <w:rFonts w:ascii="Arial"/>
                <w:sz w:val="21"/>
              </w:rPr>
            </w:pPr>
          </w:p>
          <w:p w14:paraId="483CB774">
            <w:pPr>
              <w:spacing w:line="263" w:lineRule="auto"/>
              <w:rPr>
                <w:rFonts w:ascii="Arial"/>
                <w:sz w:val="21"/>
              </w:rPr>
            </w:pPr>
          </w:p>
          <w:p w14:paraId="5EDB8988">
            <w:pPr>
              <w:pStyle w:val="8"/>
              <w:spacing w:before="59" w:line="183" w:lineRule="auto"/>
              <w:ind w:left="270"/>
              <w:rPr>
                <w:rFonts w:hint="default" w:eastAsia="宋体"/>
                <w:lang w:val="en-US" w:eastAsia="zh-CN"/>
              </w:rPr>
            </w:pPr>
            <w:r>
              <w:rPr>
                <w:rFonts w:hint="eastAsia"/>
                <w:spacing w:val="-5"/>
                <w:lang w:val="en-US" w:eastAsia="zh-CN"/>
              </w:rPr>
              <w:t>20</w:t>
            </w:r>
          </w:p>
        </w:tc>
        <w:tc>
          <w:tcPr>
            <w:tcW w:w="1290" w:type="dxa"/>
            <w:vAlign w:val="top"/>
          </w:tcPr>
          <w:p w14:paraId="6545CBB8">
            <w:pPr>
              <w:spacing w:line="261" w:lineRule="auto"/>
              <w:rPr>
                <w:rFonts w:ascii="Arial"/>
                <w:sz w:val="21"/>
              </w:rPr>
            </w:pPr>
          </w:p>
          <w:p w14:paraId="606D4771">
            <w:pPr>
              <w:spacing w:line="261" w:lineRule="auto"/>
              <w:rPr>
                <w:rFonts w:ascii="Arial"/>
                <w:sz w:val="21"/>
              </w:rPr>
            </w:pPr>
          </w:p>
          <w:p w14:paraId="47215F6C">
            <w:pPr>
              <w:spacing w:line="262" w:lineRule="auto"/>
              <w:rPr>
                <w:rFonts w:ascii="Arial"/>
                <w:sz w:val="21"/>
              </w:rPr>
            </w:pPr>
          </w:p>
          <w:p w14:paraId="6286F7CB">
            <w:pPr>
              <w:spacing w:line="262" w:lineRule="auto"/>
              <w:rPr>
                <w:rFonts w:ascii="Arial"/>
                <w:sz w:val="21"/>
              </w:rPr>
            </w:pPr>
          </w:p>
          <w:p w14:paraId="68D5D40B">
            <w:pPr>
              <w:spacing w:line="262" w:lineRule="auto"/>
              <w:rPr>
                <w:rFonts w:ascii="Arial"/>
                <w:sz w:val="21"/>
              </w:rPr>
            </w:pPr>
          </w:p>
          <w:p w14:paraId="37E2D32F">
            <w:pPr>
              <w:pStyle w:val="8"/>
              <w:spacing w:before="58" w:line="238" w:lineRule="auto"/>
              <w:ind w:left="30" w:right="28" w:hanging="1"/>
              <w:jc w:val="both"/>
            </w:pPr>
            <w:r>
              <w:rPr>
                <w:spacing w:val="24"/>
              </w:rPr>
              <w:t>港口内进行危</w:t>
            </w:r>
            <w:r>
              <w:rPr>
                <w:spacing w:val="2"/>
              </w:rPr>
              <w:t xml:space="preserve"> </w:t>
            </w:r>
            <w:r>
              <w:rPr>
                <w:spacing w:val="-5"/>
              </w:rPr>
              <w:t>险货物的装卸、</w:t>
            </w:r>
            <w:r>
              <w:t xml:space="preserve"> </w:t>
            </w:r>
            <w:r>
              <w:rPr>
                <w:spacing w:val="-2"/>
              </w:rPr>
              <w:t>过驳作业许可</w:t>
            </w:r>
          </w:p>
        </w:tc>
        <w:tc>
          <w:tcPr>
            <w:tcW w:w="1379" w:type="dxa"/>
            <w:vAlign w:val="top"/>
          </w:tcPr>
          <w:p w14:paraId="4D41B6AD">
            <w:pPr>
              <w:spacing w:line="262" w:lineRule="auto"/>
              <w:rPr>
                <w:rFonts w:ascii="Arial"/>
                <w:sz w:val="21"/>
              </w:rPr>
            </w:pPr>
          </w:p>
          <w:p w14:paraId="2F54CF0A">
            <w:pPr>
              <w:spacing w:line="262" w:lineRule="auto"/>
              <w:rPr>
                <w:rFonts w:ascii="Arial"/>
                <w:sz w:val="21"/>
              </w:rPr>
            </w:pPr>
          </w:p>
          <w:p w14:paraId="77DBE8EB">
            <w:pPr>
              <w:spacing w:line="262" w:lineRule="auto"/>
              <w:rPr>
                <w:rFonts w:ascii="Arial"/>
                <w:sz w:val="21"/>
              </w:rPr>
            </w:pPr>
          </w:p>
          <w:p w14:paraId="22618BF7">
            <w:pPr>
              <w:spacing w:line="262" w:lineRule="auto"/>
              <w:rPr>
                <w:rFonts w:ascii="Arial"/>
                <w:sz w:val="21"/>
              </w:rPr>
            </w:pPr>
          </w:p>
          <w:p w14:paraId="3765C4CA">
            <w:pPr>
              <w:spacing w:line="262" w:lineRule="auto"/>
              <w:rPr>
                <w:rFonts w:ascii="Arial"/>
                <w:sz w:val="21"/>
              </w:rPr>
            </w:pPr>
          </w:p>
          <w:p w14:paraId="7F594C88">
            <w:pPr>
              <w:pStyle w:val="8"/>
              <w:spacing w:before="59" w:line="237" w:lineRule="auto"/>
              <w:ind w:left="30" w:right="27"/>
              <w:jc w:val="both"/>
              <w:rPr>
                <w:rFonts w:hint="eastAsia" w:eastAsia="宋体"/>
                <w:lang w:eastAsia="zh-CN"/>
              </w:rPr>
            </w:pPr>
            <w:r>
              <w:rPr>
                <w:rFonts w:hint="eastAsia"/>
                <w:spacing w:val="7"/>
                <w:lang w:eastAsia="zh-CN"/>
              </w:rPr>
              <w:t>津市市交通运输局</w:t>
            </w:r>
          </w:p>
        </w:tc>
        <w:tc>
          <w:tcPr>
            <w:tcW w:w="1364" w:type="dxa"/>
            <w:vAlign w:val="top"/>
          </w:tcPr>
          <w:p w14:paraId="49C3A07B">
            <w:pPr>
              <w:spacing w:line="257" w:lineRule="auto"/>
              <w:rPr>
                <w:rFonts w:ascii="Arial"/>
                <w:sz w:val="21"/>
              </w:rPr>
            </w:pPr>
          </w:p>
          <w:p w14:paraId="1640A79E">
            <w:pPr>
              <w:spacing w:line="258" w:lineRule="auto"/>
              <w:rPr>
                <w:rFonts w:ascii="Arial"/>
                <w:sz w:val="21"/>
              </w:rPr>
            </w:pPr>
          </w:p>
          <w:p w14:paraId="4A37B6ED">
            <w:pPr>
              <w:spacing w:line="258" w:lineRule="auto"/>
              <w:rPr>
                <w:rFonts w:ascii="Arial"/>
                <w:sz w:val="21"/>
              </w:rPr>
            </w:pPr>
          </w:p>
          <w:p w14:paraId="1CB13095">
            <w:pPr>
              <w:spacing w:line="258" w:lineRule="auto"/>
              <w:rPr>
                <w:rFonts w:ascii="Arial"/>
                <w:sz w:val="21"/>
              </w:rPr>
            </w:pPr>
          </w:p>
          <w:p w14:paraId="2C2821FD">
            <w:pPr>
              <w:spacing w:line="258" w:lineRule="auto"/>
              <w:rPr>
                <w:rFonts w:ascii="Arial"/>
                <w:sz w:val="21"/>
              </w:rPr>
            </w:pPr>
          </w:p>
          <w:p w14:paraId="53C3FD85">
            <w:pPr>
              <w:spacing w:line="258" w:lineRule="auto"/>
              <w:rPr>
                <w:rFonts w:ascii="Arial"/>
                <w:sz w:val="21"/>
              </w:rPr>
            </w:pPr>
          </w:p>
          <w:p w14:paraId="2948011E">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2FA9796C">
            <w:pPr>
              <w:spacing w:line="241" w:lineRule="auto"/>
              <w:rPr>
                <w:rFonts w:ascii="Arial"/>
                <w:sz w:val="21"/>
              </w:rPr>
            </w:pPr>
          </w:p>
          <w:p w14:paraId="1EB48475">
            <w:pPr>
              <w:pStyle w:val="8"/>
              <w:spacing w:before="59" w:line="219" w:lineRule="auto"/>
              <w:ind w:left="491"/>
            </w:pPr>
            <w:r>
              <w:rPr>
                <w:b/>
                <w:bCs/>
                <w:spacing w:val="-4"/>
              </w:rPr>
              <w:t>1.《中华人民共和国港口法》</w:t>
            </w:r>
          </w:p>
          <w:p w14:paraId="4ABCE42A">
            <w:pPr>
              <w:pStyle w:val="8"/>
              <w:spacing w:before="25" w:line="237" w:lineRule="auto"/>
              <w:ind w:left="117" w:right="108" w:firstLine="360"/>
              <w:jc w:val="both"/>
            </w:pPr>
            <w:r>
              <w:t>第三十五条  在港口内进行危险货物的装卸、</w:t>
            </w:r>
            <w:r>
              <w:rPr>
                <w:spacing w:val="-1"/>
              </w:rPr>
              <w:t>过驳作业，应当按照国务院交通主管部门的规定将危险货</w:t>
            </w:r>
            <w:r>
              <w:t xml:space="preserve"> 物的名称、特性、包装和作业的时间、地点</w:t>
            </w:r>
            <w:r>
              <w:rPr>
                <w:spacing w:val="-1"/>
              </w:rPr>
              <w:t>报告港口行政管理部门。港口行政管理部门接到报告后，应当在</w:t>
            </w:r>
            <w:r>
              <w:t xml:space="preserve"> </w:t>
            </w:r>
            <w:r>
              <w:rPr>
                <w:spacing w:val="-1"/>
              </w:rPr>
              <w:t>国务院交通主管部门规定的时间内作出是否同意的决定，通知报告人，并通报海事管理机构。</w:t>
            </w:r>
          </w:p>
          <w:p w14:paraId="1F8B97C8">
            <w:pPr>
              <w:pStyle w:val="8"/>
              <w:spacing w:before="26" w:line="219" w:lineRule="auto"/>
              <w:ind w:left="479"/>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374FAED1">
            <w:pPr>
              <w:pStyle w:val="8"/>
              <w:spacing w:before="25" w:line="241" w:lineRule="auto"/>
              <w:ind w:left="116" w:right="108" w:firstLine="361"/>
              <w:jc w:val="both"/>
            </w:pPr>
            <w:r>
              <w:rPr>
                <w:spacing w:val="-1"/>
              </w:rPr>
              <w:t>第四十六条  危险货物港口经营人在危险货物港口装卸、过驳作业开始</w:t>
            </w:r>
            <w:r>
              <w:rPr>
                <w:spacing w:val="-20"/>
              </w:rPr>
              <w:t xml:space="preserve"> </w:t>
            </w:r>
            <w:r>
              <w:rPr>
                <w:spacing w:val="-1"/>
              </w:rPr>
              <w:t>24</w:t>
            </w:r>
            <w:r>
              <w:rPr>
                <w:spacing w:val="-34"/>
              </w:rPr>
              <w:t xml:space="preserve"> </w:t>
            </w:r>
            <w:r>
              <w:rPr>
                <w:spacing w:val="-1"/>
              </w:rPr>
              <w:t>小时前，应当将作业委托人</w:t>
            </w:r>
            <w:r>
              <w:t xml:space="preserve">  以及危险货物品名、数量、理化性质、作业地点和时</w:t>
            </w:r>
            <w:r>
              <w:rPr>
                <w:spacing w:val="-1"/>
              </w:rPr>
              <w:t>间、安全防范措施等事项向所在地港口行政管理部门报</w:t>
            </w:r>
            <w:r>
              <w:t xml:space="preserve"> 告。所在地港口行政管理部门应当在接到报告</w:t>
            </w:r>
            <w:r>
              <w:rPr>
                <w:spacing w:val="-1"/>
              </w:rPr>
              <w:t>后</w:t>
            </w:r>
            <w:r>
              <w:rPr>
                <w:spacing w:val="-38"/>
              </w:rPr>
              <w:t xml:space="preserve"> </w:t>
            </w:r>
            <w:r>
              <w:rPr>
                <w:spacing w:val="-1"/>
              </w:rPr>
              <w:t>24</w:t>
            </w:r>
            <w:r>
              <w:rPr>
                <w:spacing w:val="-33"/>
              </w:rPr>
              <w:t xml:space="preserve"> </w:t>
            </w:r>
            <w:r>
              <w:rPr>
                <w:spacing w:val="-1"/>
              </w:rPr>
              <w:t>小时内作出是否同意作业的决定，通知报告人，并及时</w:t>
            </w:r>
            <w:r>
              <w:t xml:space="preserve">  </w:t>
            </w:r>
            <w:r>
              <w:rPr>
                <w:spacing w:val="-1"/>
              </w:rPr>
              <w:t>将有关信息通报海事管理机构。报告人在取得作业批准后</w:t>
            </w:r>
            <w:r>
              <w:rPr>
                <w:spacing w:val="-18"/>
              </w:rPr>
              <w:t xml:space="preserve"> </w:t>
            </w:r>
            <w:r>
              <w:rPr>
                <w:spacing w:val="-1"/>
              </w:rPr>
              <w:t>72</w:t>
            </w:r>
            <w:r>
              <w:rPr>
                <w:spacing w:val="-33"/>
              </w:rPr>
              <w:t xml:space="preserve"> </w:t>
            </w:r>
            <w:r>
              <w:rPr>
                <w:spacing w:val="-1"/>
              </w:rPr>
              <w:t>小时内未开始作业的，应当重新报告。未经所</w:t>
            </w:r>
            <w:r>
              <w:t xml:space="preserve">  </w:t>
            </w:r>
            <w:r>
              <w:rPr>
                <w:spacing w:val="-1"/>
              </w:rPr>
              <w:t>在地港口行政管理部门批准的，不得进行危险货物</w:t>
            </w:r>
            <w:r>
              <w:rPr>
                <w:spacing w:val="-2"/>
              </w:rPr>
              <w:t>港口作业。</w:t>
            </w:r>
          </w:p>
          <w:p w14:paraId="3FF28934">
            <w:pPr>
              <w:pStyle w:val="8"/>
              <w:spacing w:before="26" w:line="233" w:lineRule="auto"/>
              <w:ind w:left="119" w:right="108" w:firstLine="366"/>
            </w:pPr>
            <w:r>
              <w:rPr>
                <w:spacing w:val="-1"/>
              </w:rPr>
              <w:t>时间、内容和方式固定的危险货物港口装卸、过驳作业，经所在地港口行政管理部门同意，可以实行定</w:t>
            </w:r>
            <w:r>
              <w:rPr>
                <w:spacing w:val="11"/>
              </w:rPr>
              <w:t xml:space="preserve"> </w:t>
            </w:r>
            <w:r>
              <w:rPr>
                <w:spacing w:val="-7"/>
              </w:rPr>
              <w:t>期申报。</w:t>
            </w:r>
          </w:p>
        </w:tc>
        <w:tc>
          <w:tcPr>
            <w:tcW w:w="1159" w:type="dxa"/>
            <w:vAlign w:val="top"/>
          </w:tcPr>
          <w:p w14:paraId="21C18522">
            <w:pPr>
              <w:rPr>
                <w:rFonts w:ascii="Arial"/>
                <w:sz w:val="21"/>
              </w:rPr>
            </w:pPr>
          </w:p>
        </w:tc>
      </w:tr>
      <w:tr w14:paraId="11B1D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8" w:hRule="atLeast"/>
        </w:trPr>
        <w:tc>
          <w:tcPr>
            <w:tcW w:w="705" w:type="dxa"/>
            <w:shd w:val="clear" w:color="auto" w:fill="auto"/>
            <w:vAlign w:val="top"/>
          </w:tcPr>
          <w:p w14:paraId="141B12BF">
            <w:pPr>
              <w:spacing w:line="250" w:lineRule="auto"/>
              <w:rPr>
                <w:rFonts w:ascii="Arial"/>
                <w:sz w:val="21"/>
              </w:rPr>
            </w:pPr>
          </w:p>
          <w:p w14:paraId="7F2DEBCC">
            <w:pPr>
              <w:spacing w:line="250" w:lineRule="auto"/>
              <w:rPr>
                <w:rFonts w:ascii="Arial"/>
                <w:sz w:val="21"/>
              </w:rPr>
            </w:pPr>
          </w:p>
          <w:p w14:paraId="408FB5A0">
            <w:pPr>
              <w:spacing w:line="250" w:lineRule="auto"/>
              <w:rPr>
                <w:rFonts w:ascii="Arial"/>
                <w:sz w:val="21"/>
              </w:rPr>
            </w:pPr>
          </w:p>
          <w:p w14:paraId="7BF8B964">
            <w:pPr>
              <w:pStyle w:val="8"/>
              <w:spacing w:before="58" w:line="183" w:lineRule="auto"/>
              <w:ind w:left="270" w:leftChars="0"/>
              <w:rPr>
                <w:rFonts w:hint="default" w:ascii="宋体" w:hAnsi="宋体" w:eastAsia="宋体" w:cs="宋体"/>
                <w:snapToGrid w:val="0"/>
                <w:color w:val="000000"/>
                <w:kern w:val="0"/>
                <w:sz w:val="18"/>
                <w:szCs w:val="18"/>
                <w:lang w:val="en-US" w:eastAsia="zh-CN" w:bidi="ar-SA"/>
              </w:rPr>
            </w:pPr>
            <w:r>
              <w:rPr>
                <w:rFonts w:hint="eastAsia" w:cs="宋体"/>
                <w:snapToGrid w:val="0"/>
                <w:color w:val="000000"/>
                <w:kern w:val="0"/>
                <w:sz w:val="18"/>
                <w:szCs w:val="18"/>
                <w:lang w:val="en-US" w:eastAsia="zh-CN" w:bidi="ar-SA"/>
              </w:rPr>
              <w:t>21</w:t>
            </w:r>
          </w:p>
        </w:tc>
        <w:tc>
          <w:tcPr>
            <w:tcW w:w="1290" w:type="dxa"/>
            <w:shd w:val="clear" w:color="auto" w:fill="auto"/>
            <w:vAlign w:val="top"/>
          </w:tcPr>
          <w:p w14:paraId="054028EA">
            <w:pPr>
              <w:pStyle w:val="8"/>
              <w:spacing w:before="183" w:line="242" w:lineRule="auto"/>
              <w:ind w:left="29" w:leftChars="0"/>
              <w:jc w:val="both"/>
              <w:rPr>
                <w:rFonts w:ascii="宋体" w:hAnsi="宋体" w:eastAsia="宋体" w:cs="宋体"/>
                <w:snapToGrid w:val="0"/>
                <w:color w:val="000000"/>
                <w:kern w:val="0"/>
                <w:sz w:val="18"/>
                <w:szCs w:val="18"/>
                <w:lang w:val="en-US" w:eastAsia="en-US" w:bidi="ar-SA"/>
              </w:rPr>
            </w:pPr>
            <w:r>
              <w:rPr>
                <w:spacing w:val="19"/>
              </w:rPr>
              <w:t>在内河通航水</w:t>
            </w:r>
            <w:r>
              <w:rPr>
                <w:spacing w:val="2"/>
              </w:rPr>
              <w:t xml:space="preserve"> </w:t>
            </w:r>
            <w:r>
              <w:rPr>
                <w:spacing w:val="-9"/>
              </w:rPr>
              <w:t>域载运、拖带超</w:t>
            </w:r>
            <w:r>
              <w:t xml:space="preserve"> </w:t>
            </w:r>
            <w:r>
              <w:rPr>
                <w:spacing w:val="-24"/>
              </w:rPr>
              <w:t>重、超长、超高、</w:t>
            </w:r>
            <w:r>
              <w:rPr>
                <w:spacing w:val="6"/>
              </w:rPr>
              <w:t xml:space="preserve"> </w:t>
            </w:r>
            <w:r>
              <w:rPr>
                <w:spacing w:val="-9"/>
              </w:rPr>
              <w:t>超宽、半潜物体</w:t>
            </w:r>
            <w:r>
              <w:t xml:space="preserve"> </w:t>
            </w:r>
            <w:r>
              <w:rPr>
                <w:spacing w:val="-9"/>
              </w:rPr>
              <w:t>或者拖放竹、木</w:t>
            </w:r>
            <w:r>
              <w:t xml:space="preserve"> </w:t>
            </w:r>
            <w:r>
              <w:rPr>
                <w:spacing w:val="-5"/>
              </w:rPr>
              <w:t>等物体许可</w:t>
            </w:r>
          </w:p>
        </w:tc>
        <w:tc>
          <w:tcPr>
            <w:tcW w:w="1379" w:type="dxa"/>
            <w:shd w:val="clear" w:color="auto" w:fill="auto"/>
            <w:vAlign w:val="top"/>
          </w:tcPr>
          <w:p w14:paraId="698A51A9">
            <w:pPr>
              <w:spacing w:line="301" w:lineRule="auto"/>
              <w:rPr>
                <w:rFonts w:ascii="Arial"/>
                <w:sz w:val="21"/>
              </w:rPr>
            </w:pPr>
          </w:p>
          <w:p w14:paraId="450C50F5">
            <w:pPr>
              <w:spacing w:line="301" w:lineRule="auto"/>
              <w:rPr>
                <w:rFonts w:ascii="Arial"/>
                <w:sz w:val="21"/>
              </w:rPr>
            </w:pPr>
          </w:p>
          <w:p w14:paraId="4158682E">
            <w:pPr>
              <w:pStyle w:val="8"/>
              <w:spacing w:before="59" w:line="233" w:lineRule="auto"/>
              <w:ind w:left="31" w:leftChars="0" w:right="27" w:rightChars="0"/>
              <w:rPr>
                <w:rFonts w:hint="eastAsia" w:ascii="宋体" w:hAnsi="宋体" w:eastAsia="宋体" w:cs="宋体"/>
                <w:snapToGrid w:val="0"/>
                <w:color w:val="000000"/>
                <w:kern w:val="0"/>
                <w:sz w:val="18"/>
                <w:szCs w:val="18"/>
                <w:lang w:val="en-US" w:eastAsia="zh-CN" w:bidi="ar-SA"/>
              </w:rPr>
            </w:pPr>
            <w:r>
              <w:rPr>
                <w:rFonts w:hint="eastAsia"/>
                <w:spacing w:val="7"/>
                <w:lang w:eastAsia="zh-CN"/>
              </w:rPr>
              <w:t>津市市交通运输局</w:t>
            </w:r>
          </w:p>
        </w:tc>
        <w:tc>
          <w:tcPr>
            <w:tcW w:w="1364" w:type="dxa"/>
            <w:shd w:val="clear" w:color="auto" w:fill="auto"/>
            <w:vAlign w:val="top"/>
          </w:tcPr>
          <w:p w14:paraId="764C7B52">
            <w:pPr>
              <w:rPr>
                <w:rFonts w:ascii="Arial"/>
                <w:sz w:val="21"/>
              </w:rPr>
            </w:pPr>
          </w:p>
          <w:p w14:paraId="1310514B">
            <w:pPr>
              <w:rPr>
                <w:rFonts w:ascii="Arial"/>
                <w:sz w:val="21"/>
              </w:rPr>
            </w:pPr>
          </w:p>
          <w:p w14:paraId="18C2250D">
            <w:pPr>
              <w:spacing w:line="241" w:lineRule="auto"/>
              <w:rPr>
                <w:rFonts w:ascii="Arial"/>
                <w:sz w:val="21"/>
              </w:rPr>
            </w:pPr>
          </w:p>
          <w:p w14:paraId="5E772950">
            <w:pPr>
              <w:pStyle w:val="8"/>
              <w:spacing w:before="59" w:line="219" w:lineRule="auto"/>
              <w:ind w:left="346" w:lef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行政审批服务办公室</w:t>
            </w:r>
          </w:p>
        </w:tc>
        <w:tc>
          <w:tcPr>
            <w:tcW w:w="8667" w:type="dxa"/>
            <w:shd w:val="clear" w:color="auto" w:fill="auto"/>
            <w:vAlign w:val="top"/>
          </w:tcPr>
          <w:p w14:paraId="7FDD7FB1">
            <w:pPr>
              <w:pStyle w:val="8"/>
              <w:spacing w:before="192" w:line="219" w:lineRule="auto"/>
              <w:ind w:left="483"/>
            </w:pPr>
            <w:r>
              <w:rPr>
                <w:b/>
                <w:bCs/>
                <w:spacing w:val="-3"/>
              </w:rPr>
              <w:t>《中华人民共和国内河交通安全管理条例》</w:t>
            </w:r>
          </w:p>
          <w:p w14:paraId="50010E24">
            <w:pPr>
              <w:pStyle w:val="8"/>
              <w:spacing w:before="26" w:line="237" w:lineRule="auto"/>
              <w:ind w:left="119" w:right="110" w:firstLine="358"/>
              <w:jc w:val="both"/>
            </w:pPr>
            <w:r>
              <w:rPr>
                <w:spacing w:val="-1"/>
              </w:rPr>
              <w:t>第二十二条  船舶在内河通航水域载运或者拖带超重、超长、超高、超宽、半潜的物体，必须在装船或</w:t>
            </w:r>
            <w:r>
              <w:rPr>
                <w:spacing w:val="18"/>
              </w:rPr>
              <w:t xml:space="preserve"> </w:t>
            </w:r>
            <w:r>
              <w:rPr>
                <w:spacing w:val="-1"/>
              </w:rPr>
              <w:t>者拖带前</w:t>
            </w:r>
            <w:r>
              <w:rPr>
                <w:spacing w:val="-20"/>
              </w:rPr>
              <w:t xml:space="preserve"> </w:t>
            </w:r>
            <w:r>
              <w:rPr>
                <w:spacing w:val="-1"/>
              </w:rPr>
              <w:t>24</w:t>
            </w:r>
            <w:r>
              <w:rPr>
                <w:spacing w:val="-34"/>
              </w:rPr>
              <w:t xml:space="preserve"> </w:t>
            </w:r>
            <w:r>
              <w:rPr>
                <w:spacing w:val="-1"/>
              </w:rPr>
              <w:t>小时报海事管理机构核定拟航行的航路、时间，并采取必要的安全措施，保障船舶载运或者拖</w:t>
            </w:r>
            <w:r>
              <w:t xml:space="preserve">  </w:t>
            </w:r>
            <w:r>
              <w:rPr>
                <w:spacing w:val="-2"/>
              </w:rPr>
              <w:t>带安全。船舶需要护航的，应当向海事管理机构申请护航。</w:t>
            </w:r>
          </w:p>
          <w:p w14:paraId="5C7CFB8C">
            <w:pPr>
              <w:pStyle w:val="8"/>
              <w:spacing w:before="25" w:line="233" w:lineRule="auto"/>
              <w:ind w:left="123" w:leftChars="0" w:right="182" w:rightChars="0" w:firstLine="354" w:firstLineChars="0"/>
              <w:jc w:val="both"/>
              <w:rPr>
                <w:rFonts w:ascii="宋体" w:hAnsi="宋体" w:eastAsia="宋体" w:cs="宋体"/>
                <w:snapToGrid w:val="0"/>
                <w:color w:val="000000"/>
                <w:kern w:val="0"/>
                <w:sz w:val="18"/>
                <w:szCs w:val="18"/>
                <w:lang w:val="en-US" w:eastAsia="en-US" w:bidi="ar-SA"/>
              </w:rPr>
            </w:pPr>
            <w:r>
              <w:rPr>
                <w:spacing w:val="-1"/>
              </w:rPr>
              <w:t>第四十三条  在内河通航水域中拖放竹、木等物体，应当在拖放前</w:t>
            </w:r>
            <w:r>
              <w:rPr>
                <w:spacing w:val="-20"/>
              </w:rPr>
              <w:t xml:space="preserve"> </w:t>
            </w:r>
            <w:r>
              <w:rPr>
                <w:spacing w:val="-1"/>
              </w:rPr>
              <w:t>24</w:t>
            </w:r>
            <w:r>
              <w:rPr>
                <w:spacing w:val="-34"/>
              </w:rPr>
              <w:t xml:space="preserve"> </w:t>
            </w:r>
            <w:r>
              <w:rPr>
                <w:spacing w:val="-1"/>
              </w:rPr>
              <w:t>小时报经海事管理机构同意，按</w:t>
            </w:r>
            <w:r>
              <w:t xml:space="preserve"> </w:t>
            </w:r>
            <w:r>
              <w:rPr>
                <w:spacing w:val="-1"/>
              </w:rPr>
              <w:t>照核定的时间、路线拖放，并采取必要的安全措</w:t>
            </w:r>
            <w:r>
              <w:rPr>
                <w:spacing w:val="-2"/>
              </w:rPr>
              <w:t>施，保障拖放安全。</w:t>
            </w:r>
          </w:p>
        </w:tc>
        <w:tc>
          <w:tcPr>
            <w:tcW w:w="1159" w:type="dxa"/>
            <w:vAlign w:val="top"/>
          </w:tcPr>
          <w:p w14:paraId="47F6579E">
            <w:pPr>
              <w:rPr>
                <w:rFonts w:ascii="Arial"/>
                <w:sz w:val="21"/>
              </w:rPr>
            </w:pPr>
          </w:p>
        </w:tc>
      </w:tr>
      <w:tr w14:paraId="0E91E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8" w:hRule="atLeast"/>
        </w:trPr>
        <w:tc>
          <w:tcPr>
            <w:tcW w:w="705" w:type="dxa"/>
            <w:shd w:val="clear" w:color="auto" w:fill="auto"/>
            <w:vAlign w:val="top"/>
          </w:tcPr>
          <w:p w14:paraId="789F23C5">
            <w:pPr>
              <w:spacing w:line="250" w:lineRule="auto"/>
              <w:rPr>
                <w:rFonts w:ascii="Arial"/>
                <w:sz w:val="21"/>
              </w:rPr>
            </w:pPr>
          </w:p>
          <w:p w14:paraId="146426D6">
            <w:pPr>
              <w:spacing w:line="250" w:lineRule="auto"/>
              <w:rPr>
                <w:rFonts w:ascii="Arial"/>
                <w:sz w:val="21"/>
              </w:rPr>
            </w:pPr>
          </w:p>
          <w:p w14:paraId="58040635">
            <w:pPr>
              <w:spacing w:line="250" w:lineRule="auto"/>
              <w:rPr>
                <w:rFonts w:ascii="Arial"/>
                <w:sz w:val="21"/>
              </w:rPr>
            </w:pPr>
          </w:p>
          <w:p w14:paraId="618F3AD2">
            <w:pPr>
              <w:pStyle w:val="8"/>
              <w:spacing w:before="59" w:line="183" w:lineRule="auto"/>
              <w:ind w:left="270" w:leftChars="0"/>
              <w:rPr>
                <w:rFonts w:hint="default" w:ascii="宋体" w:hAnsi="宋体" w:eastAsia="宋体" w:cs="宋体"/>
                <w:snapToGrid w:val="0"/>
                <w:color w:val="000000"/>
                <w:kern w:val="0"/>
                <w:sz w:val="18"/>
                <w:szCs w:val="18"/>
                <w:lang w:val="en-US" w:eastAsia="zh-CN" w:bidi="ar-SA"/>
              </w:rPr>
            </w:pPr>
            <w:r>
              <w:rPr>
                <w:rFonts w:hint="eastAsia"/>
                <w:spacing w:val="-5"/>
                <w:lang w:val="en-US" w:eastAsia="zh-CN"/>
              </w:rPr>
              <w:t>22</w:t>
            </w:r>
          </w:p>
        </w:tc>
        <w:tc>
          <w:tcPr>
            <w:tcW w:w="1290" w:type="dxa"/>
            <w:shd w:val="clear" w:color="auto" w:fill="auto"/>
            <w:vAlign w:val="top"/>
          </w:tcPr>
          <w:p w14:paraId="1C66CDE8">
            <w:pPr>
              <w:spacing w:line="362" w:lineRule="auto"/>
              <w:rPr>
                <w:rFonts w:ascii="Arial"/>
                <w:sz w:val="21"/>
              </w:rPr>
            </w:pPr>
          </w:p>
          <w:p w14:paraId="6BBD8012">
            <w:pPr>
              <w:pStyle w:val="8"/>
              <w:spacing w:before="59"/>
              <w:ind w:left="28" w:leftChars="0" w:right="28" w:rightChars="0" w:firstLine="23" w:firstLineChars="0"/>
              <w:jc w:val="both"/>
              <w:rPr>
                <w:rFonts w:ascii="宋体" w:hAnsi="宋体" w:eastAsia="宋体" w:cs="宋体"/>
                <w:snapToGrid w:val="0"/>
                <w:color w:val="000000"/>
                <w:kern w:val="0"/>
                <w:sz w:val="18"/>
                <w:szCs w:val="18"/>
                <w:lang w:val="en-US" w:eastAsia="en-US" w:bidi="ar-SA"/>
              </w:rPr>
            </w:pPr>
            <w:r>
              <w:rPr>
                <w:spacing w:val="20"/>
              </w:rPr>
              <w:t>内河专用航标</w:t>
            </w:r>
            <w:r>
              <w:rPr>
                <w:spacing w:val="3"/>
              </w:rPr>
              <w:t xml:space="preserve"> </w:t>
            </w:r>
            <w:r>
              <w:rPr>
                <w:spacing w:val="-5"/>
              </w:rPr>
              <w:t>设置、撤除、位</w:t>
            </w:r>
            <w:r>
              <w:rPr>
                <w:spacing w:val="2"/>
              </w:rPr>
              <w:t xml:space="preserve"> </w:t>
            </w:r>
            <w:r>
              <w:rPr>
                <w:spacing w:val="24"/>
              </w:rPr>
              <w:t>置移动和其他</w:t>
            </w:r>
            <w:r>
              <w:rPr>
                <w:spacing w:val="2"/>
              </w:rPr>
              <w:t xml:space="preserve"> </w:t>
            </w:r>
            <w:r>
              <w:rPr>
                <w:spacing w:val="-1"/>
              </w:rPr>
              <w:t>状况改变审批</w:t>
            </w:r>
          </w:p>
        </w:tc>
        <w:tc>
          <w:tcPr>
            <w:tcW w:w="1379" w:type="dxa"/>
            <w:shd w:val="clear" w:color="auto" w:fill="auto"/>
            <w:vAlign w:val="top"/>
          </w:tcPr>
          <w:p w14:paraId="2601B72A">
            <w:pPr>
              <w:spacing w:line="242" w:lineRule="auto"/>
              <w:rPr>
                <w:rFonts w:ascii="Arial"/>
                <w:sz w:val="21"/>
              </w:rPr>
            </w:pPr>
          </w:p>
          <w:p w14:paraId="07016BFA">
            <w:pPr>
              <w:spacing w:line="242" w:lineRule="auto"/>
              <w:rPr>
                <w:rFonts w:ascii="Arial"/>
                <w:sz w:val="21"/>
              </w:rPr>
            </w:pPr>
          </w:p>
          <w:p w14:paraId="70E04EF2">
            <w:pPr>
              <w:pStyle w:val="8"/>
              <w:spacing w:before="59" w:line="237" w:lineRule="auto"/>
              <w:ind w:left="31" w:leftChars="0" w:right="27" w:righ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津市市交通运输局</w:t>
            </w:r>
          </w:p>
        </w:tc>
        <w:tc>
          <w:tcPr>
            <w:tcW w:w="1364" w:type="dxa"/>
            <w:shd w:val="clear" w:color="auto" w:fill="auto"/>
            <w:vAlign w:val="top"/>
          </w:tcPr>
          <w:p w14:paraId="24B457DF">
            <w:pPr>
              <w:rPr>
                <w:rFonts w:ascii="Arial"/>
                <w:sz w:val="21"/>
              </w:rPr>
            </w:pPr>
          </w:p>
          <w:p w14:paraId="616DCF78">
            <w:pPr>
              <w:rPr>
                <w:rFonts w:ascii="Arial"/>
                <w:sz w:val="21"/>
              </w:rPr>
            </w:pPr>
          </w:p>
          <w:p w14:paraId="6C0C29A8">
            <w:pPr>
              <w:spacing w:line="241" w:lineRule="auto"/>
              <w:rPr>
                <w:rFonts w:ascii="Arial"/>
                <w:sz w:val="21"/>
              </w:rPr>
            </w:pPr>
          </w:p>
          <w:p w14:paraId="070452FE">
            <w:pPr>
              <w:pStyle w:val="8"/>
              <w:spacing w:before="59" w:line="219" w:lineRule="auto"/>
              <w:ind w:left="346" w:lef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行政审批服务办公室</w:t>
            </w:r>
          </w:p>
        </w:tc>
        <w:tc>
          <w:tcPr>
            <w:tcW w:w="8667" w:type="dxa"/>
            <w:shd w:val="clear" w:color="auto" w:fill="auto"/>
            <w:vAlign w:val="top"/>
          </w:tcPr>
          <w:p w14:paraId="3266C27A">
            <w:pPr>
              <w:pStyle w:val="8"/>
              <w:spacing w:before="72" w:line="219" w:lineRule="auto"/>
              <w:ind w:left="491"/>
            </w:pPr>
            <w:r>
              <w:rPr>
                <w:b/>
                <w:bCs/>
                <w:spacing w:val="-3"/>
              </w:rPr>
              <w:t>1.《中华人民共和国航标条例》</w:t>
            </w:r>
          </w:p>
          <w:p w14:paraId="334AB27F">
            <w:pPr>
              <w:pStyle w:val="8"/>
              <w:spacing w:before="25" w:line="219" w:lineRule="auto"/>
              <w:ind w:left="477"/>
            </w:pPr>
            <w:r>
              <w:rPr>
                <w:spacing w:val="-1"/>
              </w:rPr>
              <w:t>第六条  航标由航标管理机关统一设置；但是，本条第二款规定的航标</w:t>
            </w:r>
            <w:r>
              <w:rPr>
                <w:spacing w:val="-2"/>
              </w:rPr>
              <w:t>除外。</w:t>
            </w:r>
          </w:p>
          <w:p w14:paraId="398ED150">
            <w:pPr>
              <w:pStyle w:val="8"/>
              <w:spacing w:before="25" w:line="233" w:lineRule="auto"/>
              <w:ind w:left="118" w:right="108" w:firstLine="360"/>
            </w:pPr>
            <w:r>
              <w:t>专业单位可以自行设置自用的专用航标。专</w:t>
            </w:r>
            <w:r>
              <w:rPr>
                <w:spacing w:val="-1"/>
              </w:rPr>
              <w:t>用航标的设置、撤除、位置移动和其他状况改变，应当经航</w:t>
            </w:r>
            <w:r>
              <w:t xml:space="preserve"> </w:t>
            </w:r>
            <w:r>
              <w:rPr>
                <w:spacing w:val="-4"/>
              </w:rPr>
              <w:t>标管理机关同意。</w:t>
            </w:r>
          </w:p>
          <w:p w14:paraId="7B086D7A">
            <w:pPr>
              <w:pStyle w:val="8"/>
              <w:spacing w:before="26" w:line="219" w:lineRule="auto"/>
              <w:ind w:left="477"/>
            </w:pPr>
            <w:r>
              <w:rPr>
                <w:spacing w:val="-1"/>
              </w:rPr>
              <w:t>第七条  航标管理机关和专业单位设置航标，应当符合国家有关规定和技术标准。</w:t>
            </w:r>
          </w:p>
          <w:p w14:paraId="2C70DCD2">
            <w:pPr>
              <w:pStyle w:val="8"/>
              <w:spacing w:before="27" w:line="233" w:lineRule="auto"/>
              <w:ind w:left="120" w:leftChars="0" w:right="108" w:rightChars="0" w:firstLine="357" w:firstLineChars="0"/>
              <w:rPr>
                <w:rFonts w:ascii="宋体" w:hAnsi="宋体" w:eastAsia="宋体" w:cs="宋体"/>
                <w:snapToGrid w:val="0"/>
                <w:color w:val="000000"/>
                <w:kern w:val="0"/>
                <w:sz w:val="18"/>
                <w:szCs w:val="18"/>
                <w:lang w:val="en-US" w:eastAsia="en-US" w:bidi="ar-SA"/>
              </w:rPr>
            </w:pPr>
            <w:r>
              <w:t>第八条  航标管理机关设置、撤除航标或者移</w:t>
            </w:r>
            <w:r>
              <w:rPr>
                <w:spacing w:val="-1"/>
              </w:rPr>
              <w:t>动航标位置以及改变航标的其他状况时，应当及时通报有</w:t>
            </w:r>
            <w:r>
              <w:t xml:space="preserve"> </w:t>
            </w:r>
            <w:r>
              <w:rPr>
                <w:spacing w:val="-7"/>
              </w:rPr>
              <w:t>关部门。</w:t>
            </w:r>
          </w:p>
        </w:tc>
        <w:tc>
          <w:tcPr>
            <w:tcW w:w="1159" w:type="dxa"/>
            <w:vAlign w:val="top"/>
          </w:tcPr>
          <w:p w14:paraId="3CB9B03A">
            <w:pPr>
              <w:rPr>
                <w:rFonts w:ascii="Arial"/>
                <w:sz w:val="21"/>
              </w:rPr>
            </w:pPr>
          </w:p>
        </w:tc>
      </w:tr>
    </w:tbl>
    <w:p w14:paraId="32F4692F">
      <w:pPr>
        <w:pStyle w:val="2"/>
      </w:pPr>
    </w:p>
    <w:p w14:paraId="4C5FEFC8">
      <w:pPr>
        <w:sectPr>
          <w:footerReference r:id="rId18" w:type="default"/>
          <w:pgSz w:w="16839" w:h="11906"/>
          <w:pgMar w:top="1012" w:right="1134" w:bottom="966" w:left="1134" w:header="0" w:footer="768" w:gutter="0"/>
          <w:cols w:space="720" w:num="1"/>
        </w:sectPr>
      </w:pPr>
    </w:p>
    <w:p w14:paraId="03AADB52">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56731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19407601">
            <w:pPr>
              <w:pStyle w:val="8"/>
              <w:spacing w:before="183" w:line="221" w:lineRule="auto"/>
              <w:ind w:left="175"/>
            </w:pPr>
            <w:r>
              <w:rPr>
                <w:b/>
                <w:bCs/>
                <w:spacing w:val="-4"/>
              </w:rPr>
              <w:t>序号</w:t>
            </w:r>
          </w:p>
        </w:tc>
        <w:tc>
          <w:tcPr>
            <w:tcW w:w="1290" w:type="dxa"/>
            <w:vAlign w:val="top"/>
          </w:tcPr>
          <w:p w14:paraId="36491FC1">
            <w:pPr>
              <w:pStyle w:val="8"/>
              <w:spacing w:before="183" w:line="220" w:lineRule="auto"/>
              <w:ind w:left="284"/>
            </w:pPr>
            <w:r>
              <w:rPr>
                <w:b/>
                <w:bCs/>
                <w:spacing w:val="-4"/>
              </w:rPr>
              <w:t>事项名称</w:t>
            </w:r>
          </w:p>
        </w:tc>
        <w:tc>
          <w:tcPr>
            <w:tcW w:w="1379" w:type="dxa"/>
            <w:vAlign w:val="top"/>
          </w:tcPr>
          <w:p w14:paraId="597D261E">
            <w:pPr>
              <w:pStyle w:val="8"/>
              <w:spacing w:before="183" w:line="219" w:lineRule="auto"/>
              <w:ind w:left="333"/>
            </w:pPr>
            <w:r>
              <w:rPr>
                <w:b/>
                <w:bCs/>
                <w:spacing w:val="-5"/>
              </w:rPr>
              <w:t>实施机关</w:t>
            </w:r>
          </w:p>
        </w:tc>
        <w:tc>
          <w:tcPr>
            <w:tcW w:w="1364" w:type="dxa"/>
            <w:vAlign w:val="top"/>
          </w:tcPr>
          <w:p w14:paraId="33B071ED">
            <w:pPr>
              <w:pStyle w:val="8"/>
              <w:spacing w:before="183" w:line="219" w:lineRule="auto"/>
              <w:ind w:left="322"/>
            </w:pPr>
            <w:r>
              <w:rPr>
                <w:b/>
                <w:bCs/>
                <w:spacing w:val="-4"/>
              </w:rPr>
              <w:t>承办机构</w:t>
            </w:r>
          </w:p>
        </w:tc>
        <w:tc>
          <w:tcPr>
            <w:tcW w:w="8667" w:type="dxa"/>
            <w:vAlign w:val="top"/>
          </w:tcPr>
          <w:p w14:paraId="1F438AF6">
            <w:pPr>
              <w:pStyle w:val="8"/>
              <w:spacing w:before="183" w:line="219" w:lineRule="auto"/>
              <w:ind w:left="3708"/>
            </w:pPr>
            <w:r>
              <w:rPr>
                <w:b/>
                <w:bCs/>
                <w:spacing w:val="-3"/>
              </w:rPr>
              <w:t>设定和实施依据</w:t>
            </w:r>
          </w:p>
        </w:tc>
        <w:tc>
          <w:tcPr>
            <w:tcW w:w="1159" w:type="dxa"/>
            <w:vAlign w:val="top"/>
          </w:tcPr>
          <w:p w14:paraId="39DFE530">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65D7D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9" w:hRule="atLeast"/>
        </w:trPr>
        <w:tc>
          <w:tcPr>
            <w:tcW w:w="705" w:type="dxa"/>
            <w:vAlign w:val="top"/>
          </w:tcPr>
          <w:p w14:paraId="58AF6A56">
            <w:pPr>
              <w:rPr>
                <w:rFonts w:ascii="Arial"/>
                <w:sz w:val="21"/>
              </w:rPr>
            </w:pPr>
          </w:p>
        </w:tc>
        <w:tc>
          <w:tcPr>
            <w:tcW w:w="1290" w:type="dxa"/>
            <w:vAlign w:val="top"/>
          </w:tcPr>
          <w:p w14:paraId="7B0E9845">
            <w:pPr>
              <w:rPr>
                <w:rFonts w:ascii="Arial"/>
                <w:sz w:val="21"/>
              </w:rPr>
            </w:pPr>
          </w:p>
        </w:tc>
        <w:tc>
          <w:tcPr>
            <w:tcW w:w="1379" w:type="dxa"/>
            <w:vAlign w:val="top"/>
          </w:tcPr>
          <w:p w14:paraId="176D1B6D">
            <w:pPr>
              <w:rPr>
                <w:rFonts w:ascii="Arial"/>
                <w:sz w:val="21"/>
              </w:rPr>
            </w:pPr>
          </w:p>
        </w:tc>
        <w:tc>
          <w:tcPr>
            <w:tcW w:w="1364" w:type="dxa"/>
            <w:vAlign w:val="top"/>
          </w:tcPr>
          <w:p w14:paraId="0276F7D8">
            <w:pPr>
              <w:rPr>
                <w:rFonts w:ascii="Arial"/>
                <w:sz w:val="21"/>
              </w:rPr>
            </w:pPr>
          </w:p>
        </w:tc>
        <w:tc>
          <w:tcPr>
            <w:tcW w:w="8667" w:type="dxa"/>
            <w:vAlign w:val="top"/>
          </w:tcPr>
          <w:p w14:paraId="7417DB2E">
            <w:pPr>
              <w:pStyle w:val="8"/>
              <w:spacing w:before="68" w:line="219" w:lineRule="auto"/>
              <w:ind w:left="479"/>
            </w:pPr>
            <w:r>
              <w:rPr>
                <w:b/>
                <w:bCs/>
                <w:spacing w:val="-3"/>
              </w:rPr>
              <w:t>2.《中华人民共和国内河交通安全管理条例》</w:t>
            </w:r>
          </w:p>
          <w:p w14:paraId="435C6AEC">
            <w:pPr>
              <w:pStyle w:val="8"/>
              <w:spacing w:before="26" w:line="219" w:lineRule="auto"/>
              <w:ind w:left="477"/>
            </w:pPr>
            <w:r>
              <w:t>第四十条  内河通航水域的航道、航标和</w:t>
            </w:r>
            <w:r>
              <w:rPr>
                <w:spacing w:val="-1"/>
              </w:rPr>
              <w:t>其他标志的规划、建设、设置、维护，应当符合国家规定的通</w:t>
            </w:r>
          </w:p>
          <w:p w14:paraId="236A598B">
            <w:pPr>
              <w:pStyle w:val="8"/>
              <w:spacing w:before="26" w:line="220" w:lineRule="auto"/>
              <w:ind w:left="117"/>
            </w:pPr>
            <w:r>
              <w:rPr>
                <w:spacing w:val="-6"/>
              </w:rPr>
              <w:t>航安全要求。</w:t>
            </w:r>
          </w:p>
          <w:p w14:paraId="4B409EF2">
            <w:pPr>
              <w:pStyle w:val="8"/>
              <w:spacing w:before="24" w:line="233" w:lineRule="auto"/>
              <w:ind w:left="117" w:right="110" w:firstLine="360"/>
            </w:pPr>
            <w:r>
              <w:rPr>
                <w:spacing w:val="-1"/>
              </w:rPr>
              <w:t>第四十一条  内河航道发生变迁，水深、宽度发生变化，或者航标发生位移、损坏、灭失，影响通航安</w:t>
            </w:r>
            <w:r>
              <w:rPr>
                <w:spacing w:val="18"/>
              </w:rPr>
              <w:t xml:space="preserve"> </w:t>
            </w:r>
            <w:r>
              <w:rPr>
                <w:spacing w:val="-1"/>
              </w:rPr>
              <w:t>全的，航道、航标主管部门必须及时采取措施，使航道、航标保持正常状态。</w:t>
            </w:r>
          </w:p>
          <w:p w14:paraId="312E620E">
            <w:pPr>
              <w:pStyle w:val="8"/>
              <w:spacing w:before="26" w:line="218" w:lineRule="auto"/>
              <w:ind w:left="477"/>
            </w:pPr>
            <w:r>
              <w:rPr>
                <w:spacing w:val="-2"/>
              </w:rPr>
              <w:t>第四十四条  任何单位和个人发现下列情况，应当迅速向海事管理机构报告：</w:t>
            </w:r>
          </w:p>
          <w:p w14:paraId="4A5C21BA">
            <w:pPr>
              <w:pStyle w:val="8"/>
              <w:spacing w:before="27" w:line="219" w:lineRule="auto"/>
              <w:ind w:left="509"/>
            </w:pPr>
            <w:r>
              <w:rPr>
                <w:spacing w:val="-5"/>
              </w:rPr>
              <w:t>(一)航道变迁，航道水深、宽度发生变化；</w:t>
            </w:r>
          </w:p>
          <w:p w14:paraId="4916DE2B">
            <w:pPr>
              <w:pStyle w:val="8"/>
              <w:spacing w:before="27" w:line="219" w:lineRule="auto"/>
              <w:ind w:left="509"/>
            </w:pPr>
            <w:r>
              <w:rPr>
                <w:spacing w:val="-7"/>
              </w:rPr>
              <w:t>(二)妨碍通航安全的物体；</w:t>
            </w:r>
          </w:p>
          <w:p w14:paraId="64041C8F">
            <w:pPr>
              <w:pStyle w:val="8"/>
              <w:spacing w:before="26" w:line="220" w:lineRule="auto"/>
              <w:ind w:left="509"/>
            </w:pPr>
            <w:r>
              <w:rPr>
                <w:spacing w:val="-6"/>
              </w:rPr>
              <w:t>(三)航标发生位移、损坏、灭失；</w:t>
            </w:r>
          </w:p>
          <w:p w14:paraId="3F28AC3E">
            <w:pPr>
              <w:pStyle w:val="8"/>
              <w:spacing w:before="26" w:line="219" w:lineRule="auto"/>
              <w:ind w:left="509"/>
            </w:pPr>
            <w:r>
              <w:rPr>
                <w:spacing w:val="-5"/>
              </w:rPr>
              <w:t>(四)妨碍通航安全的其他情况。</w:t>
            </w:r>
          </w:p>
          <w:p w14:paraId="564B4B0F">
            <w:pPr>
              <w:pStyle w:val="8"/>
              <w:spacing w:before="26" w:line="218" w:lineRule="auto"/>
              <w:ind w:left="477"/>
            </w:pPr>
            <w:r>
              <w:rPr>
                <w:spacing w:val="-1"/>
              </w:rPr>
              <w:t>海事管理机构接到报告后，应当根据情况发布航行通告或者航行警告，并通知航道、航标主管部门。</w:t>
            </w:r>
          </w:p>
          <w:p w14:paraId="1A5B797F">
            <w:pPr>
              <w:pStyle w:val="8"/>
              <w:spacing w:before="28" w:line="219" w:lineRule="auto"/>
              <w:ind w:left="481"/>
            </w:pPr>
            <w:r>
              <w:rPr>
                <w:b/>
                <w:bCs/>
                <w:spacing w:val="-3"/>
              </w:rPr>
              <w:t>3.《中华人民共和国航道管理条例》</w:t>
            </w:r>
          </w:p>
          <w:p w14:paraId="180B8785">
            <w:pPr>
              <w:pStyle w:val="8"/>
              <w:spacing w:before="26" w:line="219" w:lineRule="auto"/>
              <w:ind w:left="477"/>
            </w:pPr>
            <w:r>
              <w:rPr>
                <w:spacing w:val="-1"/>
              </w:rPr>
              <w:t>第二十一条  沿海和通航河流上设置的助航标志必须符合国家规定</w:t>
            </w:r>
            <w:r>
              <w:rPr>
                <w:spacing w:val="-2"/>
              </w:rPr>
              <w:t>的标准。</w:t>
            </w:r>
          </w:p>
          <w:p w14:paraId="0FE3D0AF">
            <w:pPr>
              <w:pStyle w:val="8"/>
              <w:spacing w:before="27" w:line="233" w:lineRule="auto"/>
              <w:ind w:left="119" w:right="108" w:firstLine="357"/>
            </w:pPr>
            <w:r>
              <w:t>在沿海和通航河流上设置专用标志必须经交通</w:t>
            </w:r>
            <w:r>
              <w:rPr>
                <w:spacing w:val="-1"/>
              </w:rPr>
              <w:t>主管部门同意；设置渔标和军用标，必须报交通主管部门</w:t>
            </w:r>
            <w:r>
              <w:t xml:space="preserve"> </w:t>
            </w:r>
            <w:r>
              <w:rPr>
                <w:spacing w:val="-8"/>
              </w:rPr>
              <w:t>备案。</w:t>
            </w:r>
          </w:p>
        </w:tc>
        <w:tc>
          <w:tcPr>
            <w:tcW w:w="1159" w:type="dxa"/>
            <w:vAlign w:val="top"/>
          </w:tcPr>
          <w:p w14:paraId="147DBE85">
            <w:pPr>
              <w:rPr>
                <w:rFonts w:ascii="Arial"/>
                <w:sz w:val="21"/>
              </w:rPr>
            </w:pPr>
          </w:p>
        </w:tc>
      </w:tr>
      <w:tr w14:paraId="0227A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1" w:hRule="atLeast"/>
        </w:trPr>
        <w:tc>
          <w:tcPr>
            <w:tcW w:w="705" w:type="dxa"/>
            <w:vAlign w:val="top"/>
          </w:tcPr>
          <w:p w14:paraId="788E6E49">
            <w:pPr>
              <w:spacing w:line="253" w:lineRule="auto"/>
              <w:rPr>
                <w:rFonts w:ascii="Arial"/>
                <w:sz w:val="21"/>
              </w:rPr>
            </w:pPr>
          </w:p>
          <w:p w14:paraId="2E120C91">
            <w:pPr>
              <w:spacing w:line="253" w:lineRule="auto"/>
              <w:rPr>
                <w:rFonts w:ascii="Arial"/>
                <w:sz w:val="21"/>
              </w:rPr>
            </w:pPr>
          </w:p>
          <w:p w14:paraId="44E53EB5">
            <w:pPr>
              <w:spacing w:line="253" w:lineRule="auto"/>
              <w:rPr>
                <w:rFonts w:ascii="Arial"/>
                <w:sz w:val="21"/>
              </w:rPr>
            </w:pPr>
          </w:p>
          <w:p w14:paraId="10BBDB6B">
            <w:pPr>
              <w:spacing w:line="253" w:lineRule="auto"/>
              <w:rPr>
                <w:rFonts w:ascii="Arial"/>
                <w:sz w:val="21"/>
              </w:rPr>
            </w:pPr>
          </w:p>
          <w:p w14:paraId="4C484011">
            <w:pPr>
              <w:spacing w:line="253" w:lineRule="auto"/>
              <w:rPr>
                <w:rFonts w:ascii="Arial"/>
                <w:sz w:val="21"/>
              </w:rPr>
            </w:pPr>
          </w:p>
          <w:p w14:paraId="58474DC6">
            <w:pPr>
              <w:spacing w:line="254" w:lineRule="auto"/>
              <w:rPr>
                <w:rFonts w:ascii="Arial"/>
                <w:sz w:val="21"/>
              </w:rPr>
            </w:pPr>
          </w:p>
          <w:p w14:paraId="24A37885">
            <w:pPr>
              <w:spacing w:line="254" w:lineRule="auto"/>
              <w:rPr>
                <w:rFonts w:ascii="Arial"/>
                <w:sz w:val="21"/>
              </w:rPr>
            </w:pPr>
          </w:p>
          <w:p w14:paraId="53C42E9A">
            <w:pPr>
              <w:spacing w:line="254" w:lineRule="auto"/>
              <w:rPr>
                <w:rFonts w:ascii="Arial"/>
                <w:sz w:val="21"/>
              </w:rPr>
            </w:pPr>
          </w:p>
          <w:p w14:paraId="122F3157">
            <w:pPr>
              <w:spacing w:line="254" w:lineRule="auto"/>
              <w:rPr>
                <w:rFonts w:ascii="Arial"/>
                <w:sz w:val="21"/>
              </w:rPr>
            </w:pPr>
          </w:p>
          <w:p w14:paraId="7734657F">
            <w:pPr>
              <w:spacing w:line="254" w:lineRule="auto"/>
              <w:rPr>
                <w:rFonts w:ascii="Arial"/>
                <w:sz w:val="21"/>
              </w:rPr>
            </w:pPr>
          </w:p>
          <w:p w14:paraId="2AD63ADE">
            <w:pPr>
              <w:pStyle w:val="8"/>
              <w:spacing w:before="59" w:line="183" w:lineRule="auto"/>
              <w:ind w:left="270"/>
              <w:rPr>
                <w:rFonts w:hint="default" w:eastAsia="宋体"/>
                <w:lang w:val="en-US" w:eastAsia="zh-CN"/>
              </w:rPr>
            </w:pPr>
            <w:r>
              <w:rPr>
                <w:rFonts w:hint="eastAsia"/>
                <w:spacing w:val="-5"/>
                <w:lang w:val="en-US" w:eastAsia="zh-CN"/>
              </w:rPr>
              <w:t>23</w:t>
            </w:r>
          </w:p>
        </w:tc>
        <w:tc>
          <w:tcPr>
            <w:tcW w:w="1290" w:type="dxa"/>
            <w:vAlign w:val="top"/>
          </w:tcPr>
          <w:p w14:paraId="1BBF1E02">
            <w:pPr>
              <w:spacing w:line="254" w:lineRule="auto"/>
              <w:rPr>
                <w:rFonts w:ascii="Arial"/>
                <w:sz w:val="21"/>
              </w:rPr>
            </w:pPr>
          </w:p>
          <w:p w14:paraId="66572FFC">
            <w:pPr>
              <w:spacing w:line="254" w:lineRule="auto"/>
              <w:rPr>
                <w:rFonts w:ascii="Arial"/>
                <w:sz w:val="21"/>
              </w:rPr>
            </w:pPr>
          </w:p>
          <w:p w14:paraId="249F21FC">
            <w:pPr>
              <w:spacing w:line="254" w:lineRule="auto"/>
              <w:rPr>
                <w:rFonts w:ascii="Arial"/>
                <w:sz w:val="21"/>
              </w:rPr>
            </w:pPr>
          </w:p>
          <w:p w14:paraId="446750AC">
            <w:pPr>
              <w:spacing w:line="255" w:lineRule="auto"/>
              <w:rPr>
                <w:rFonts w:ascii="Arial"/>
                <w:sz w:val="21"/>
              </w:rPr>
            </w:pPr>
          </w:p>
          <w:p w14:paraId="7C4709C0">
            <w:pPr>
              <w:spacing w:line="255" w:lineRule="auto"/>
              <w:rPr>
                <w:rFonts w:ascii="Arial"/>
                <w:sz w:val="21"/>
              </w:rPr>
            </w:pPr>
          </w:p>
          <w:p w14:paraId="0FFC22F0">
            <w:pPr>
              <w:spacing w:line="255" w:lineRule="auto"/>
              <w:rPr>
                <w:rFonts w:ascii="Arial"/>
                <w:sz w:val="21"/>
              </w:rPr>
            </w:pPr>
          </w:p>
          <w:p w14:paraId="67C4C7E2">
            <w:pPr>
              <w:spacing w:line="255" w:lineRule="auto"/>
              <w:rPr>
                <w:rFonts w:ascii="Arial"/>
                <w:sz w:val="21"/>
              </w:rPr>
            </w:pPr>
          </w:p>
          <w:p w14:paraId="2E6366D4">
            <w:pPr>
              <w:spacing w:line="255" w:lineRule="auto"/>
              <w:rPr>
                <w:rFonts w:ascii="Arial"/>
                <w:sz w:val="21"/>
              </w:rPr>
            </w:pPr>
          </w:p>
          <w:p w14:paraId="77EDF047">
            <w:pPr>
              <w:pStyle w:val="8"/>
              <w:spacing w:before="58" w:line="241" w:lineRule="auto"/>
              <w:ind w:left="29" w:right="28"/>
              <w:jc w:val="both"/>
            </w:pPr>
            <w:r>
              <w:rPr>
                <w:spacing w:val="24"/>
              </w:rPr>
              <w:t>船舶进行散装</w:t>
            </w:r>
            <w:r>
              <w:rPr>
                <w:spacing w:val="1"/>
              </w:rPr>
              <w:t xml:space="preserve"> </w:t>
            </w:r>
            <w:r>
              <w:rPr>
                <w:spacing w:val="24"/>
              </w:rPr>
              <w:t>液体污染危害</w:t>
            </w:r>
            <w:r>
              <w:rPr>
                <w:spacing w:val="2"/>
              </w:rPr>
              <w:t xml:space="preserve"> </w:t>
            </w:r>
            <w:r>
              <w:rPr>
                <w:spacing w:val="24"/>
              </w:rPr>
              <w:t>性货物或者危</w:t>
            </w:r>
            <w:r>
              <w:rPr>
                <w:spacing w:val="2"/>
              </w:rPr>
              <w:t xml:space="preserve"> </w:t>
            </w:r>
            <w:r>
              <w:rPr>
                <w:spacing w:val="24"/>
              </w:rPr>
              <w:t>险货物过驳作</w:t>
            </w:r>
            <w:r>
              <w:rPr>
                <w:spacing w:val="2"/>
              </w:rPr>
              <w:t xml:space="preserve"> </w:t>
            </w:r>
            <w:r>
              <w:rPr>
                <w:spacing w:val="-2"/>
              </w:rPr>
              <w:t>业政许可</w:t>
            </w:r>
          </w:p>
        </w:tc>
        <w:tc>
          <w:tcPr>
            <w:tcW w:w="1379" w:type="dxa"/>
            <w:vAlign w:val="top"/>
          </w:tcPr>
          <w:p w14:paraId="5E15BB8C">
            <w:pPr>
              <w:spacing w:line="265" w:lineRule="auto"/>
              <w:rPr>
                <w:rFonts w:ascii="Arial"/>
                <w:sz w:val="21"/>
              </w:rPr>
            </w:pPr>
          </w:p>
          <w:p w14:paraId="6B1673F0">
            <w:pPr>
              <w:spacing w:line="265" w:lineRule="auto"/>
              <w:rPr>
                <w:rFonts w:ascii="Arial"/>
                <w:sz w:val="21"/>
              </w:rPr>
            </w:pPr>
          </w:p>
          <w:p w14:paraId="2FFCBF43">
            <w:pPr>
              <w:spacing w:line="265" w:lineRule="auto"/>
              <w:rPr>
                <w:rFonts w:ascii="Arial"/>
                <w:sz w:val="21"/>
              </w:rPr>
            </w:pPr>
          </w:p>
          <w:p w14:paraId="2E433BA1">
            <w:pPr>
              <w:spacing w:line="265" w:lineRule="auto"/>
              <w:rPr>
                <w:rFonts w:ascii="Arial"/>
                <w:sz w:val="21"/>
              </w:rPr>
            </w:pPr>
          </w:p>
          <w:p w14:paraId="11F5DB2E">
            <w:pPr>
              <w:spacing w:line="265" w:lineRule="auto"/>
              <w:rPr>
                <w:rFonts w:ascii="Arial"/>
                <w:sz w:val="21"/>
              </w:rPr>
            </w:pPr>
          </w:p>
          <w:p w14:paraId="01291392">
            <w:pPr>
              <w:spacing w:line="265" w:lineRule="auto"/>
              <w:rPr>
                <w:rFonts w:ascii="Arial"/>
                <w:sz w:val="21"/>
              </w:rPr>
            </w:pPr>
          </w:p>
          <w:p w14:paraId="2796FA93">
            <w:pPr>
              <w:spacing w:line="265" w:lineRule="auto"/>
              <w:rPr>
                <w:rFonts w:ascii="Arial"/>
                <w:sz w:val="21"/>
              </w:rPr>
            </w:pPr>
          </w:p>
          <w:p w14:paraId="1BD9BC8A">
            <w:pPr>
              <w:spacing w:line="266" w:lineRule="auto"/>
              <w:rPr>
                <w:rFonts w:ascii="Arial"/>
                <w:sz w:val="21"/>
              </w:rPr>
            </w:pPr>
          </w:p>
          <w:p w14:paraId="5D2F7FE1">
            <w:pPr>
              <w:spacing w:line="266" w:lineRule="auto"/>
              <w:rPr>
                <w:rFonts w:ascii="Arial"/>
                <w:sz w:val="21"/>
              </w:rPr>
            </w:pPr>
          </w:p>
          <w:p w14:paraId="591E6F71">
            <w:pPr>
              <w:pStyle w:val="8"/>
              <w:spacing w:before="59" w:line="233" w:lineRule="auto"/>
              <w:ind w:left="31" w:right="27"/>
              <w:rPr>
                <w:rFonts w:hint="eastAsia" w:eastAsia="宋体"/>
                <w:lang w:eastAsia="zh-CN"/>
              </w:rPr>
            </w:pPr>
            <w:r>
              <w:rPr>
                <w:rFonts w:hint="eastAsia"/>
                <w:spacing w:val="7"/>
                <w:lang w:eastAsia="zh-CN"/>
              </w:rPr>
              <w:t>津市市交通运输局</w:t>
            </w:r>
          </w:p>
        </w:tc>
        <w:tc>
          <w:tcPr>
            <w:tcW w:w="1364" w:type="dxa"/>
            <w:vAlign w:val="top"/>
          </w:tcPr>
          <w:p w14:paraId="2AD2E18C">
            <w:pPr>
              <w:spacing w:line="250" w:lineRule="auto"/>
              <w:rPr>
                <w:rFonts w:ascii="Arial"/>
                <w:sz w:val="21"/>
              </w:rPr>
            </w:pPr>
          </w:p>
          <w:p w14:paraId="1312E327">
            <w:pPr>
              <w:spacing w:line="250" w:lineRule="auto"/>
              <w:rPr>
                <w:rFonts w:ascii="Arial"/>
                <w:sz w:val="21"/>
              </w:rPr>
            </w:pPr>
          </w:p>
          <w:p w14:paraId="60E20651">
            <w:pPr>
              <w:spacing w:line="250" w:lineRule="auto"/>
              <w:rPr>
                <w:rFonts w:ascii="Arial"/>
                <w:sz w:val="21"/>
              </w:rPr>
            </w:pPr>
          </w:p>
          <w:p w14:paraId="5C2FB0A6">
            <w:pPr>
              <w:spacing w:line="251" w:lineRule="auto"/>
              <w:rPr>
                <w:rFonts w:ascii="Arial"/>
                <w:sz w:val="21"/>
              </w:rPr>
            </w:pPr>
          </w:p>
          <w:p w14:paraId="3DAF6870">
            <w:pPr>
              <w:spacing w:line="251" w:lineRule="auto"/>
              <w:rPr>
                <w:rFonts w:ascii="Arial"/>
                <w:sz w:val="21"/>
              </w:rPr>
            </w:pPr>
          </w:p>
          <w:p w14:paraId="6DE16BD3">
            <w:pPr>
              <w:spacing w:line="251" w:lineRule="auto"/>
              <w:rPr>
                <w:rFonts w:ascii="Arial"/>
                <w:sz w:val="21"/>
              </w:rPr>
            </w:pPr>
          </w:p>
          <w:p w14:paraId="56ECFCD4">
            <w:pPr>
              <w:spacing w:line="251" w:lineRule="auto"/>
              <w:rPr>
                <w:rFonts w:ascii="Arial"/>
                <w:sz w:val="21"/>
              </w:rPr>
            </w:pPr>
          </w:p>
          <w:p w14:paraId="1237E300">
            <w:pPr>
              <w:spacing w:line="251" w:lineRule="auto"/>
              <w:rPr>
                <w:rFonts w:ascii="Arial"/>
                <w:sz w:val="21"/>
              </w:rPr>
            </w:pPr>
          </w:p>
          <w:p w14:paraId="583BBA0D">
            <w:pPr>
              <w:spacing w:line="251" w:lineRule="auto"/>
              <w:rPr>
                <w:rFonts w:ascii="Arial"/>
                <w:sz w:val="21"/>
              </w:rPr>
            </w:pPr>
          </w:p>
          <w:p w14:paraId="1A49E06F">
            <w:pPr>
              <w:spacing w:line="251" w:lineRule="auto"/>
              <w:rPr>
                <w:rFonts w:ascii="Arial"/>
                <w:sz w:val="21"/>
              </w:rPr>
            </w:pPr>
          </w:p>
          <w:p w14:paraId="5E85A819">
            <w:pPr>
              <w:pStyle w:val="8"/>
              <w:spacing w:before="58"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79ADC49B">
            <w:pPr>
              <w:pStyle w:val="8"/>
              <w:spacing w:before="68" w:line="219" w:lineRule="auto"/>
              <w:ind w:left="491"/>
            </w:pPr>
            <w:r>
              <w:rPr>
                <w:b/>
                <w:bCs/>
                <w:spacing w:val="-4"/>
              </w:rPr>
              <w:t>1.《中华人民共和国水污染防治法》</w:t>
            </w:r>
          </w:p>
          <w:p w14:paraId="6F41ACE7">
            <w:pPr>
              <w:pStyle w:val="8"/>
              <w:spacing w:before="25" w:line="233" w:lineRule="auto"/>
              <w:ind w:left="117" w:right="108" w:firstLine="360"/>
            </w:pPr>
            <w:r>
              <w:t>第六十二条第二款  船舶进行散装液体污染危</w:t>
            </w:r>
            <w:r>
              <w:rPr>
                <w:spacing w:val="-1"/>
              </w:rPr>
              <w:t>害性货物的过驳作业，应当编制作业方案，采取有效的安</w:t>
            </w:r>
            <w:r>
              <w:t xml:space="preserve"> </w:t>
            </w:r>
            <w:r>
              <w:rPr>
                <w:spacing w:val="-2"/>
              </w:rPr>
              <w:t>全和污染防治措施，并报作业地海事管理机构批准。</w:t>
            </w:r>
          </w:p>
          <w:p w14:paraId="4614D79A">
            <w:pPr>
              <w:pStyle w:val="8"/>
              <w:spacing w:before="26" w:line="219" w:lineRule="auto"/>
              <w:ind w:left="475"/>
            </w:pPr>
            <w:r>
              <w:rPr>
                <w:b/>
                <w:bCs/>
                <w:spacing w:val="-3"/>
              </w:rPr>
              <w:t>2.《中华人民共和国海洋环境保护法》</w:t>
            </w:r>
          </w:p>
          <w:p w14:paraId="42D30713">
            <w:pPr>
              <w:pStyle w:val="8"/>
              <w:spacing w:before="25" w:line="233" w:lineRule="auto"/>
              <w:ind w:left="473" w:right="108"/>
            </w:pPr>
            <w:r>
              <w:t>第八十九条第二款  船舶进行散装液体污染危害性货物</w:t>
            </w:r>
            <w:r>
              <w:rPr>
                <w:spacing w:val="-1"/>
              </w:rPr>
              <w:t>的过驳作业，应当编制作业方案，采取有效的安</w:t>
            </w:r>
            <w:r>
              <w:t xml:space="preserve"> </w:t>
            </w:r>
            <w:r>
              <w:rPr>
                <w:spacing w:val="-2"/>
              </w:rPr>
              <w:t>全和污染防治措施，并事先按照有关规定报经批准。</w:t>
            </w:r>
          </w:p>
          <w:p w14:paraId="0F0BCEA5">
            <w:pPr>
              <w:pStyle w:val="8"/>
              <w:spacing w:before="27" w:line="219" w:lineRule="auto"/>
              <w:ind w:left="481"/>
            </w:pPr>
            <w:r>
              <w:rPr>
                <w:b/>
                <w:bCs/>
                <w:spacing w:val="-3"/>
              </w:rPr>
              <w:t>3.《中华人民共和国海上交通安全法》</w:t>
            </w:r>
          </w:p>
          <w:p w14:paraId="0ECFAA80">
            <w:pPr>
              <w:pStyle w:val="8"/>
              <w:spacing w:before="26" w:line="232" w:lineRule="auto"/>
              <w:ind w:left="119" w:right="108" w:firstLine="357"/>
            </w:pPr>
            <w:r>
              <w:t>第六十四条  船舶载运危险货物进出港口，应</w:t>
            </w:r>
            <w:r>
              <w:rPr>
                <w:spacing w:val="-1"/>
              </w:rPr>
              <w:t>当符合下列条件，经海事管理机构许可，并向海事管理机</w:t>
            </w:r>
            <w:r>
              <w:t xml:space="preserve"> </w:t>
            </w:r>
            <w:r>
              <w:rPr>
                <w:spacing w:val="-3"/>
              </w:rPr>
              <w:t>构报告进出港口和停留的时间等事项：</w:t>
            </w:r>
          </w:p>
          <w:p w14:paraId="6B7D738F">
            <w:pPr>
              <w:pStyle w:val="8"/>
              <w:spacing w:before="27" w:line="219" w:lineRule="auto"/>
              <w:ind w:left="487"/>
            </w:pPr>
            <w:r>
              <w:rPr>
                <w:spacing w:val="-3"/>
              </w:rPr>
              <w:t>（一）所载运的危险货物符合海上安全运输要求；</w:t>
            </w:r>
          </w:p>
          <w:p w14:paraId="371001B1">
            <w:pPr>
              <w:pStyle w:val="8"/>
              <w:spacing w:before="26" w:line="219" w:lineRule="auto"/>
              <w:ind w:left="487"/>
            </w:pPr>
            <w:r>
              <w:rPr>
                <w:spacing w:val="-3"/>
              </w:rPr>
              <w:t>（二）船舶的装载符合所持有的证书、文书的要求；</w:t>
            </w:r>
          </w:p>
          <w:p w14:paraId="1F70660A">
            <w:pPr>
              <w:pStyle w:val="8"/>
              <w:spacing w:before="28" w:line="233" w:lineRule="auto"/>
              <w:ind w:left="118" w:right="108" w:firstLine="369"/>
            </w:pPr>
            <w:r>
              <w:rPr>
                <w:spacing w:val="-1"/>
              </w:rPr>
              <w:t>（三）拟靠泊或者进行危险货物装卸作业的港口、码头、泊位具备有关法律、行政法规规定的危险货物</w:t>
            </w:r>
            <w:r>
              <w:rPr>
                <w:spacing w:val="10"/>
              </w:rPr>
              <w:t xml:space="preserve"> </w:t>
            </w:r>
            <w:r>
              <w:rPr>
                <w:spacing w:val="-5"/>
              </w:rPr>
              <w:t>作业经营资质。</w:t>
            </w:r>
          </w:p>
          <w:p w14:paraId="33C06F25">
            <w:pPr>
              <w:pStyle w:val="8"/>
              <w:spacing w:before="25" w:line="219" w:lineRule="auto"/>
              <w:ind w:left="477"/>
            </w:pPr>
            <w:r>
              <w:rPr>
                <w:spacing w:val="-1"/>
              </w:rPr>
              <w:t>海事管理机构应当自收到申请之时起二十四小时内作出许可或者不予许可的决</w:t>
            </w:r>
            <w:r>
              <w:rPr>
                <w:spacing w:val="-2"/>
              </w:rPr>
              <w:t>定。</w:t>
            </w:r>
          </w:p>
          <w:p w14:paraId="34E56E1C">
            <w:pPr>
              <w:pStyle w:val="8"/>
              <w:spacing w:before="25" w:line="233" w:lineRule="auto"/>
              <w:ind w:left="117" w:right="108" w:firstLine="364"/>
            </w:pPr>
            <w:r>
              <w:rPr>
                <w:spacing w:val="-1"/>
              </w:rPr>
              <w:t>定船舶、定航线并且定货种的船舶可以申请办理一定期限内多次进出港口许可，期限不超过三十日。海</w:t>
            </w:r>
            <w:r>
              <w:rPr>
                <w:spacing w:val="15"/>
              </w:rPr>
              <w:t xml:space="preserve"> </w:t>
            </w:r>
            <w:r>
              <w:rPr>
                <w:spacing w:val="-1"/>
              </w:rPr>
              <w:t>事管理机构应当自收到申请之日起五个工作日内作出许可或者不予许可的决定。</w:t>
            </w:r>
          </w:p>
          <w:p w14:paraId="372114AD">
            <w:pPr>
              <w:pStyle w:val="8"/>
              <w:spacing w:before="27" w:line="219" w:lineRule="auto"/>
              <w:ind w:left="477"/>
            </w:pPr>
            <w:r>
              <w:rPr>
                <w:spacing w:val="-2"/>
              </w:rPr>
              <w:t>海事管理机构予以许可的，应当通报港口行政管理部门。</w:t>
            </w:r>
          </w:p>
          <w:p w14:paraId="01D9B9A8">
            <w:pPr>
              <w:pStyle w:val="8"/>
              <w:spacing w:before="27" w:line="219" w:lineRule="auto"/>
              <w:ind w:left="477"/>
            </w:pPr>
            <w:r>
              <w:rPr>
                <w:b/>
                <w:bCs/>
                <w:spacing w:val="-2"/>
              </w:rPr>
              <w:t>4.《中华人民共和国内河交通安全管理条</w:t>
            </w:r>
            <w:r>
              <w:rPr>
                <w:b/>
                <w:bCs/>
                <w:spacing w:val="-3"/>
              </w:rPr>
              <w:t>例》</w:t>
            </w:r>
          </w:p>
          <w:p w14:paraId="67B1A6FE">
            <w:pPr>
              <w:pStyle w:val="8"/>
              <w:spacing w:before="25" w:line="233" w:lineRule="auto"/>
              <w:ind w:left="117" w:right="108" w:firstLine="360"/>
            </w:pPr>
            <w:r>
              <w:t>第二十五条  在内河通航水域或者岸线上进行</w:t>
            </w:r>
            <w:r>
              <w:rPr>
                <w:spacing w:val="-1"/>
              </w:rPr>
              <w:t>下列可能影响通航安全的作业或者活动的，应当在进行作</w:t>
            </w:r>
            <w:r>
              <w:t xml:space="preserve"> </w:t>
            </w:r>
            <w:r>
              <w:rPr>
                <w:spacing w:val="-3"/>
              </w:rPr>
              <w:t>业或者活动前报海事管理机构批准：</w:t>
            </w:r>
          </w:p>
          <w:p w14:paraId="573CA967">
            <w:pPr>
              <w:pStyle w:val="8"/>
              <w:spacing w:before="27" w:line="218" w:lineRule="auto"/>
              <w:ind w:left="487"/>
            </w:pPr>
            <w:r>
              <w:rPr>
                <w:spacing w:val="-5"/>
              </w:rPr>
              <w:t>（一）勘探、采掘、爆破；</w:t>
            </w:r>
          </w:p>
          <w:p w14:paraId="76792004">
            <w:pPr>
              <w:pStyle w:val="8"/>
              <w:spacing w:before="27" w:line="219" w:lineRule="auto"/>
              <w:ind w:left="487"/>
            </w:pPr>
            <w:r>
              <w:rPr>
                <w:spacing w:val="-3"/>
              </w:rPr>
              <w:t>（二）构筑、设置、维修、拆除水上水下构筑物或者设施；</w:t>
            </w:r>
          </w:p>
        </w:tc>
        <w:tc>
          <w:tcPr>
            <w:tcW w:w="1159" w:type="dxa"/>
            <w:vAlign w:val="top"/>
          </w:tcPr>
          <w:p w14:paraId="614B703F">
            <w:pPr>
              <w:rPr>
                <w:rFonts w:ascii="Arial"/>
                <w:sz w:val="21"/>
              </w:rPr>
            </w:pPr>
          </w:p>
        </w:tc>
      </w:tr>
    </w:tbl>
    <w:p w14:paraId="522A0347">
      <w:pPr>
        <w:pStyle w:val="2"/>
        <w:spacing w:line="229" w:lineRule="exact"/>
        <w:rPr>
          <w:sz w:val="19"/>
        </w:rPr>
      </w:pPr>
    </w:p>
    <w:p w14:paraId="41FB807D">
      <w:pPr>
        <w:spacing w:line="229" w:lineRule="exact"/>
        <w:rPr>
          <w:sz w:val="19"/>
          <w:szCs w:val="19"/>
        </w:rPr>
        <w:sectPr>
          <w:footerReference r:id="rId19" w:type="default"/>
          <w:pgSz w:w="16839" w:h="11906"/>
          <w:pgMar w:top="1012" w:right="1134" w:bottom="966" w:left="1134" w:header="0" w:footer="768" w:gutter="0"/>
          <w:cols w:space="720" w:num="1"/>
        </w:sectPr>
      </w:pPr>
    </w:p>
    <w:p w14:paraId="7C4C12AE">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0503D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49E60B55">
            <w:pPr>
              <w:pStyle w:val="8"/>
              <w:spacing w:before="183" w:line="221" w:lineRule="auto"/>
              <w:ind w:left="175"/>
            </w:pPr>
            <w:r>
              <w:rPr>
                <w:b/>
                <w:bCs/>
                <w:spacing w:val="-4"/>
              </w:rPr>
              <w:t>序号</w:t>
            </w:r>
          </w:p>
        </w:tc>
        <w:tc>
          <w:tcPr>
            <w:tcW w:w="1290" w:type="dxa"/>
            <w:vAlign w:val="top"/>
          </w:tcPr>
          <w:p w14:paraId="2373E919">
            <w:pPr>
              <w:pStyle w:val="8"/>
              <w:spacing w:before="183" w:line="220" w:lineRule="auto"/>
              <w:ind w:left="284"/>
            </w:pPr>
            <w:r>
              <w:rPr>
                <w:b/>
                <w:bCs/>
                <w:spacing w:val="-4"/>
              </w:rPr>
              <w:t>事项名称</w:t>
            </w:r>
          </w:p>
        </w:tc>
        <w:tc>
          <w:tcPr>
            <w:tcW w:w="1379" w:type="dxa"/>
            <w:vAlign w:val="top"/>
          </w:tcPr>
          <w:p w14:paraId="2B86D335">
            <w:pPr>
              <w:pStyle w:val="8"/>
              <w:spacing w:before="183" w:line="219" w:lineRule="auto"/>
              <w:ind w:left="333"/>
            </w:pPr>
            <w:r>
              <w:rPr>
                <w:b/>
                <w:bCs/>
                <w:spacing w:val="-5"/>
              </w:rPr>
              <w:t>实施机关</w:t>
            </w:r>
          </w:p>
        </w:tc>
        <w:tc>
          <w:tcPr>
            <w:tcW w:w="1364" w:type="dxa"/>
            <w:vAlign w:val="top"/>
          </w:tcPr>
          <w:p w14:paraId="2A2CF6C5">
            <w:pPr>
              <w:pStyle w:val="8"/>
              <w:spacing w:before="183" w:line="219" w:lineRule="auto"/>
              <w:ind w:left="322"/>
            </w:pPr>
            <w:r>
              <w:rPr>
                <w:b/>
                <w:bCs/>
                <w:spacing w:val="-4"/>
              </w:rPr>
              <w:t>承办机构</w:t>
            </w:r>
          </w:p>
        </w:tc>
        <w:tc>
          <w:tcPr>
            <w:tcW w:w="8667" w:type="dxa"/>
            <w:vAlign w:val="top"/>
          </w:tcPr>
          <w:p w14:paraId="0A438510">
            <w:pPr>
              <w:pStyle w:val="8"/>
              <w:spacing w:before="183" w:line="219" w:lineRule="auto"/>
              <w:ind w:left="3708"/>
            </w:pPr>
            <w:r>
              <w:rPr>
                <w:b/>
                <w:bCs/>
                <w:spacing w:val="-3"/>
              </w:rPr>
              <w:t>设定和实施依据</w:t>
            </w:r>
          </w:p>
        </w:tc>
        <w:tc>
          <w:tcPr>
            <w:tcW w:w="1159" w:type="dxa"/>
            <w:vAlign w:val="top"/>
          </w:tcPr>
          <w:p w14:paraId="77EEAB14">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72B1C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705" w:type="dxa"/>
            <w:vAlign w:val="top"/>
          </w:tcPr>
          <w:p w14:paraId="7BE046A9">
            <w:pPr>
              <w:rPr>
                <w:rFonts w:ascii="Arial"/>
                <w:sz w:val="21"/>
              </w:rPr>
            </w:pPr>
          </w:p>
        </w:tc>
        <w:tc>
          <w:tcPr>
            <w:tcW w:w="1290" w:type="dxa"/>
            <w:vAlign w:val="top"/>
          </w:tcPr>
          <w:p w14:paraId="68E1EEF7">
            <w:pPr>
              <w:rPr>
                <w:rFonts w:ascii="Arial"/>
                <w:sz w:val="21"/>
              </w:rPr>
            </w:pPr>
          </w:p>
        </w:tc>
        <w:tc>
          <w:tcPr>
            <w:tcW w:w="1379" w:type="dxa"/>
            <w:vAlign w:val="top"/>
          </w:tcPr>
          <w:p w14:paraId="2397CE9D">
            <w:pPr>
              <w:rPr>
                <w:rFonts w:ascii="Arial"/>
                <w:sz w:val="21"/>
              </w:rPr>
            </w:pPr>
          </w:p>
        </w:tc>
        <w:tc>
          <w:tcPr>
            <w:tcW w:w="1364" w:type="dxa"/>
            <w:vAlign w:val="top"/>
          </w:tcPr>
          <w:p w14:paraId="3686D558">
            <w:pPr>
              <w:rPr>
                <w:rFonts w:ascii="Arial"/>
                <w:sz w:val="21"/>
              </w:rPr>
            </w:pPr>
          </w:p>
        </w:tc>
        <w:tc>
          <w:tcPr>
            <w:tcW w:w="8667" w:type="dxa"/>
            <w:vAlign w:val="top"/>
          </w:tcPr>
          <w:p w14:paraId="078CD7AA">
            <w:pPr>
              <w:pStyle w:val="8"/>
              <w:spacing w:before="68" w:line="219" w:lineRule="auto"/>
              <w:ind w:left="487"/>
            </w:pPr>
            <w:r>
              <w:rPr>
                <w:spacing w:val="-6"/>
              </w:rPr>
              <w:t>（三）架设桥梁、索道；</w:t>
            </w:r>
          </w:p>
          <w:p w14:paraId="70FEA5FE">
            <w:pPr>
              <w:pStyle w:val="8"/>
              <w:spacing w:before="26" w:line="219" w:lineRule="auto"/>
              <w:ind w:left="487"/>
            </w:pPr>
            <w:r>
              <w:rPr>
                <w:spacing w:val="-3"/>
              </w:rPr>
              <w:t>（四）铺设、检修、拆除水上水下电缆或者管道；</w:t>
            </w:r>
          </w:p>
          <w:p w14:paraId="10B26608">
            <w:pPr>
              <w:pStyle w:val="8"/>
              <w:spacing w:before="26" w:line="219" w:lineRule="auto"/>
              <w:ind w:left="487"/>
            </w:pPr>
            <w:r>
              <w:rPr>
                <w:spacing w:val="-4"/>
              </w:rPr>
              <w:t>（五）设置系船浮筒、浮趸、缆桩等设施；</w:t>
            </w:r>
          </w:p>
          <w:p w14:paraId="7C354246">
            <w:pPr>
              <w:pStyle w:val="8"/>
              <w:spacing w:before="26" w:line="219" w:lineRule="auto"/>
              <w:ind w:left="487"/>
            </w:pPr>
            <w:r>
              <w:rPr>
                <w:spacing w:val="-4"/>
              </w:rPr>
              <w:t>（六）航道建设，航道、码头前沿水域疏浚；</w:t>
            </w:r>
          </w:p>
          <w:p w14:paraId="1DE1D2AE">
            <w:pPr>
              <w:pStyle w:val="8"/>
              <w:spacing w:before="25" w:line="219" w:lineRule="auto"/>
              <w:ind w:left="487"/>
            </w:pPr>
            <w:r>
              <w:rPr>
                <w:spacing w:val="-3"/>
              </w:rPr>
              <w:t>（七）举行大型群众性活动、体育比赛。</w:t>
            </w:r>
          </w:p>
          <w:p w14:paraId="59A213A4">
            <w:pPr>
              <w:pStyle w:val="8"/>
              <w:spacing w:before="26" w:line="233" w:lineRule="auto"/>
              <w:ind w:left="120" w:right="108" w:firstLine="355"/>
            </w:pPr>
            <w:r>
              <w:t>进行前款所列作业或者活动，需要进行可行性研</w:t>
            </w:r>
            <w:r>
              <w:rPr>
                <w:spacing w:val="-1"/>
              </w:rPr>
              <w:t>究的，在进行可行性研究时应当征求海事管理机构的意</w:t>
            </w:r>
            <w:r>
              <w:t xml:space="preserve"> </w:t>
            </w:r>
            <w:r>
              <w:rPr>
                <w:spacing w:val="-1"/>
              </w:rPr>
              <w:t>见；依照法律、行政法规的规定，需经其他有关部门审批的，还应当依法办理有关审批手续。</w:t>
            </w:r>
          </w:p>
          <w:p w14:paraId="0F24A2B6">
            <w:pPr>
              <w:pStyle w:val="8"/>
              <w:spacing w:before="27" w:line="219" w:lineRule="auto"/>
              <w:ind w:left="481"/>
            </w:pPr>
            <w:r>
              <w:rPr>
                <w:b/>
                <w:bCs/>
                <w:spacing w:val="-3"/>
              </w:rPr>
              <w:t>5.《防治船舶污染海洋环境管理条例》</w:t>
            </w:r>
          </w:p>
          <w:p w14:paraId="22CCAC5D">
            <w:pPr>
              <w:pStyle w:val="8"/>
              <w:spacing w:before="25" w:line="233" w:lineRule="auto"/>
              <w:ind w:left="119" w:right="108" w:firstLine="357"/>
            </w:pPr>
            <w:r>
              <w:t>第二十二条  载运污染危害性货物进出港口的</w:t>
            </w:r>
            <w:r>
              <w:rPr>
                <w:spacing w:val="-1"/>
              </w:rPr>
              <w:t>船舶，其承运人、货物所有人或者代理人，应当向海事管</w:t>
            </w:r>
            <w:r>
              <w:t xml:space="preserve"> </w:t>
            </w:r>
            <w:r>
              <w:rPr>
                <w:spacing w:val="-2"/>
              </w:rPr>
              <w:t>理机构提出申请，经批准方可进出港口或者过境停留。</w:t>
            </w:r>
          </w:p>
        </w:tc>
        <w:tc>
          <w:tcPr>
            <w:tcW w:w="1159" w:type="dxa"/>
            <w:vAlign w:val="top"/>
          </w:tcPr>
          <w:p w14:paraId="09888F09">
            <w:pPr>
              <w:rPr>
                <w:rFonts w:ascii="Arial"/>
                <w:sz w:val="21"/>
              </w:rPr>
            </w:pPr>
          </w:p>
        </w:tc>
      </w:tr>
      <w:tr w14:paraId="27DF9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1" w:hRule="atLeast"/>
        </w:trPr>
        <w:tc>
          <w:tcPr>
            <w:tcW w:w="705" w:type="dxa"/>
            <w:vAlign w:val="top"/>
          </w:tcPr>
          <w:p w14:paraId="7ADBCBCC">
            <w:pPr>
              <w:spacing w:line="246" w:lineRule="auto"/>
              <w:rPr>
                <w:rFonts w:ascii="Arial"/>
                <w:sz w:val="21"/>
              </w:rPr>
            </w:pPr>
          </w:p>
          <w:p w14:paraId="07DE8704">
            <w:pPr>
              <w:spacing w:line="246" w:lineRule="auto"/>
              <w:rPr>
                <w:rFonts w:ascii="Arial"/>
                <w:sz w:val="21"/>
              </w:rPr>
            </w:pPr>
          </w:p>
          <w:p w14:paraId="19DF30FE">
            <w:pPr>
              <w:spacing w:line="246" w:lineRule="auto"/>
              <w:rPr>
                <w:rFonts w:ascii="Arial"/>
                <w:sz w:val="21"/>
              </w:rPr>
            </w:pPr>
          </w:p>
          <w:p w14:paraId="38CD8AC0">
            <w:pPr>
              <w:spacing w:line="246" w:lineRule="auto"/>
              <w:rPr>
                <w:rFonts w:ascii="Arial"/>
                <w:sz w:val="21"/>
              </w:rPr>
            </w:pPr>
          </w:p>
          <w:p w14:paraId="2CA53049">
            <w:pPr>
              <w:spacing w:line="246" w:lineRule="auto"/>
              <w:rPr>
                <w:rFonts w:ascii="Arial"/>
                <w:sz w:val="21"/>
              </w:rPr>
            </w:pPr>
          </w:p>
          <w:p w14:paraId="01E7268B">
            <w:pPr>
              <w:spacing w:line="246" w:lineRule="auto"/>
              <w:rPr>
                <w:rFonts w:ascii="Arial"/>
                <w:sz w:val="21"/>
              </w:rPr>
            </w:pPr>
          </w:p>
          <w:p w14:paraId="5A29A9D1">
            <w:pPr>
              <w:spacing w:line="246" w:lineRule="auto"/>
              <w:rPr>
                <w:rFonts w:ascii="Arial"/>
                <w:sz w:val="21"/>
              </w:rPr>
            </w:pPr>
          </w:p>
          <w:p w14:paraId="61C5F951">
            <w:pPr>
              <w:spacing w:line="247" w:lineRule="auto"/>
              <w:rPr>
                <w:rFonts w:ascii="Arial"/>
                <w:sz w:val="21"/>
              </w:rPr>
            </w:pPr>
          </w:p>
          <w:p w14:paraId="136AAD5C">
            <w:pPr>
              <w:pStyle w:val="8"/>
              <w:spacing w:before="58" w:line="183" w:lineRule="auto"/>
              <w:ind w:left="270"/>
              <w:rPr>
                <w:rFonts w:hint="default" w:eastAsia="宋体"/>
                <w:lang w:val="en-US" w:eastAsia="zh-CN"/>
              </w:rPr>
            </w:pPr>
            <w:r>
              <w:rPr>
                <w:rFonts w:hint="eastAsia"/>
                <w:spacing w:val="-5"/>
                <w:lang w:val="en-US" w:eastAsia="zh-CN"/>
              </w:rPr>
              <w:t>24</w:t>
            </w:r>
          </w:p>
        </w:tc>
        <w:tc>
          <w:tcPr>
            <w:tcW w:w="1290" w:type="dxa"/>
            <w:vAlign w:val="top"/>
          </w:tcPr>
          <w:p w14:paraId="42CD796D">
            <w:pPr>
              <w:spacing w:line="263" w:lineRule="auto"/>
              <w:rPr>
                <w:rFonts w:ascii="Arial"/>
                <w:sz w:val="21"/>
              </w:rPr>
            </w:pPr>
          </w:p>
          <w:p w14:paraId="7065DFDF">
            <w:pPr>
              <w:spacing w:line="263" w:lineRule="auto"/>
              <w:rPr>
                <w:rFonts w:ascii="Arial"/>
                <w:sz w:val="21"/>
              </w:rPr>
            </w:pPr>
          </w:p>
          <w:p w14:paraId="777E2AAA">
            <w:pPr>
              <w:spacing w:line="264" w:lineRule="auto"/>
              <w:rPr>
                <w:rFonts w:ascii="Arial"/>
                <w:sz w:val="21"/>
              </w:rPr>
            </w:pPr>
          </w:p>
          <w:p w14:paraId="3ED4FFE1">
            <w:pPr>
              <w:spacing w:line="264" w:lineRule="auto"/>
              <w:rPr>
                <w:rFonts w:ascii="Arial"/>
                <w:sz w:val="21"/>
              </w:rPr>
            </w:pPr>
          </w:p>
          <w:p w14:paraId="7E977307">
            <w:pPr>
              <w:spacing w:line="264" w:lineRule="auto"/>
              <w:rPr>
                <w:rFonts w:ascii="Arial"/>
                <w:sz w:val="21"/>
              </w:rPr>
            </w:pPr>
          </w:p>
          <w:p w14:paraId="26F515DD">
            <w:pPr>
              <w:spacing w:line="264" w:lineRule="auto"/>
              <w:rPr>
                <w:rFonts w:ascii="Arial"/>
                <w:sz w:val="21"/>
              </w:rPr>
            </w:pPr>
          </w:p>
          <w:p w14:paraId="5E4228FA">
            <w:pPr>
              <w:pStyle w:val="8"/>
              <w:spacing w:before="58"/>
              <w:ind w:left="31" w:right="28" w:hanging="1"/>
              <w:jc w:val="both"/>
            </w:pPr>
            <w:r>
              <w:rPr>
                <w:spacing w:val="24"/>
              </w:rPr>
              <w:t>船舶载运污染</w:t>
            </w:r>
            <w:r>
              <w:rPr>
                <w:spacing w:val="1"/>
              </w:rPr>
              <w:t xml:space="preserve"> </w:t>
            </w:r>
            <w:r>
              <w:rPr>
                <w:spacing w:val="24"/>
              </w:rPr>
              <w:t>危害性货物或</w:t>
            </w:r>
            <w:r>
              <w:t xml:space="preserve"> </w:t>
            </w:r>
            <w:r>
              <w:rPr>
                <w:spacing w:val="24"/>
              </w:rPr>
              <w:t>者危险货物进</w:t>
            </w:r>
            <w:r>
              <w:t xml:space="preserve"> </w:t>
            </w:r>
            <w:r>
              <w:rPr>
                <w:spacing w:val="-2"/>
              </w:rPr>
              <w:t>出港口许可</w:t>
            </w:r>
          </w:p>
        </w:tc>
        <w:tc>
          <w:tcPr>
            <w:tcW w:w="1379" w:type="dxa"/>
            <w:vAlign w:val="top"/>
          </w:tcPr>
          <w:p w14:paraId="73F1610F">
            <w:pPr>
              <w:spacing w:line="260" w:lineRule="auto"/>
              <w:rPr>
                <w:rFonts w:ascii="Arial"/>
                <w:sz w:val="21"/>
              </w:rPr>
            </w:pPr>
          </w:p>
          <w:p w14:paraId="48C255CA">
            <w:pPr>
              <w:spacing w:line="260" w:lineRule="auto"/>
              <w:rPr>
                <w:rFonts w:ascii="Arial"/>
                <w:sz w:val="21"/>
              </w:rPr>
            </w:pPr>
          </w:p>
          <w:p w14:paraId="2398BA25">
            <w:pPr>
              <w:spacing w:line="260" w:lineRule="auto"/>
              <w:rPr>
                <w:rFonts w:ascii="Arial"/>
                <w:sz w:val="21"/>
              </w:rPr>
            </w:pPr>
          </w:p>
          <w:p w14:paraId="613AEF63">
            <w:pPr>
              <w:spacing w:line="260" w:lineRule="auto"/>
              <w:rPr>
                <w:rFonts w:ascii="Arial"/>
                <w:sz w:val="21"/>
              </w:rPr>
            </w:pPr>
          </w:p>
          <w:p w14:paraId="2C4B0B40">
            <w:pPr>
              <w:spacing w:line="260" w:lineRule="auto"/>
              <w:rPr>
                <w:rFonts w:ascii="Arial"/>
                <w:sz w:val="21"/>
              </w:rPr>
            </w:pPr>
          </w:p>
          <w:p w14:paraId="541C2C98">
            <w:pPr>
              <w:spacing w:line="260" w:lineRule="auto"/>
              <w:rPr>
                <w:rFonts w:ascii="Arial"/>
                <w:sz w:val="21"/>
              </w:rPr>
            </w:pPr>
          </w:p>
          <w:p w14:paraId="7D427684">
            <w:pPr>
              <w:spacing w:line="261" w:lineRule="auto"/>
              <w:rPr>
                <w:rFonts w:ascii="Arial"/>
                <w:sz w:val="21"/>
              </w:rPr>
            </w:pPr>
          </w:p>
          <w:p w14:paraId="0DDCB45B">
            <w:pPr>
              <w:pStyle w:val="8"/>
              <w:spacing w:before="59" w:line="233" w:lineRule="auto"/>
              <w:ind w:left="31" w:right="27"/>
              <w:rPr>
                <w:rFonts w:hint="eastAsia" w:eastAsia="宋体"/>
                <w:lang w:eastAsia="zh-CN"/>
              </w:rPr>
            </w:pPr>
            <w:r>
              <w:rPr>
                <w:rFonts w:hint="eastAsia"/>
                <w:spacing w:val="7"/>
                <w:lang w:eastAsia="zh-CN"/>
              </w:rPr>
              <w:t>津市市交通运输局</w:t>
            </w:r>
          </w:p>
        </w:tc>
        <w:tc>
          <w:tcPr>
            <w:tcW w:w="1364" w:type="dxa"/>
            <w:vAlign w:val="top"/>
          </w:tcPr>
          <w:p w14:paraId="4FC7A15F">
            <w:pPr>
              <w:spacing w:line="242" w:lineRule="auto"/>
              <w:rPr>
                <w:rFonts w:ascii="Arial"/>
                <w:sz w:val="21"/>
              </w:rPr>
            </w:pPr>
          </w:p>
          <w:p w14:paraId="20921344">
            <w:pPr>
              <w:spacing w:line="242" w:lineRule="auto"/>
              <w:rPr>
                <w:rFonts w:ascii="Arial"/>
                <w:sz w:val="21"/>
              </w:rPr>
            </w:pPr>
          </w:p>
          <w:p w14:paraId="1F3AAE6F">
            <w:pPr>
              <w:spacing w:line="242" w:lineRule="auto"/>
              <w:rPr>
                <w:rFonts w:ascii="Arial"/>
                <w:sz w:val="21"/>
              </w:rPr>
            </w:pPr>
          </w:p>
          <w:p w14:paraId="74D8E86F">
            <w:pPr>
              <w:spacing w:line="242" w:lineRule="auto"/>
              <w:rPr>
                <w:rFonts w:ascii="Arial"/>
                <w:sz w:val="21"/>
              </w:rPr>
            </w:pPr>
          </w:p>
          <w:p w14:paraId="1FF9B0B8">
            <w:pPr>
              <w:spacing w:line="243" w:lineRule="auto"/>
              <w:rPr>
                <w:rFonts w:ascii="Arial"/>
                <w:sz w:val="21"/>
              </w:rPr>
            </w:pPr>
          </w:p>
          <w:p w14:paraId="0D6CE92A">
            <w:pPr>
              <w:spacing w:line="243" w:lineRule="auto"/>
              <w:rPr>
                <w:rFonts w:ascii="Arial"/>
                <w:sz w:val="21"/>
              </w:rPr>
            </w:pPr>
          </w:p>
          <w:p w14:paraId="4D491D58">
            <w:pPr>
              <w:spacing w:line="243" w:lineRule="auto"/>
              <w:rPr>
                <w:rFonts w:ascii="Arial"/>
                <w:sz w:val="21"/>
              </w:rPr>
            </w:pPr>
          </w:p>
          <w:p w14:paraId="22305DD1">
            <w:pPr>
              <w:spacing w:line="243" w:lineRule="auto"/>
              <w:rPr>
                <w:rFonts w:ascii="Arial"/>
                <w:sz w:val="21"/>
              </w:rPr>
            </w:pPr>
          </w:p>
          <w:p w14:paraId="6E82DF72">
            <w:pPr>
              <w:pStyle w:val="8"/>
              <w:spacing w:before="59"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08322882">
            <w:pPr>
              <w:pStyle w:val="8"/>
              <w:spacing w:before="219" w:line="219" w:lineRule="auto"/>
              <w:ind w:left="491"/>
            </w:pPr>
            <w:r>
              <w:rPr>
                <w:b/>
                <w:bCs/>
                <w:spacing w:val="-4"/>
              </w:rPr>
              <w:t>1.《中华人民共和国海洋环境保护法》</w:t>
            </w:r>
          </w:p>
          <w:p w14:paraId="7B5E496C">
            <w:pPr>
              <w:pStyle w:val="8"/>
              <w:spacing w:before="25" w:line="233" w:lineRule="auto"/>
              <w:ind w:left="136" w:right="108" w:firstLine="341"/>
            </w:pPr>
            <w:r>
              <w:t>第八十三条  载运具有污染危害性货物进出港</w:t>
            </w:r>
            <w:r>
              <w:rPr>
                <w:spacing w:val="-1"/>
              </w:rPr>
              <w:t>口的船舶，其承运人、货物所有人或者代理人，应当事先</w:t>
            </w:r>
            <w:r>
              <w:t xml:space="preserve"> </w:t>
            </w:r>
            <w:r>
              <w:rPr>
                <w:spacing w:val="-2"/>
              </w:rPr>
              <w:t>向海事管理机构申报。经批准后，方可进出港口或者装卸作业。</w:t>
            </w:r>
          </w:p>
          <w:p w14:paraId="63F7E1E2">
            <w:pPr>
              <w:pStyle w:val="8"/>
              <w:spacing w:before="26" w:line="219" w:lineRule="auto"/>
              <w:ind w:left="479"/>
            </w:pPr>
            <w:r>
              <w:rPr>
                <w:b/>
                <w:bCs/>
                <w:spacing w:val="-3"/>
              </w:rPr>
              <w:t>2.《中华人民共和国海上交通安全法》</w:t>
            </w:r>
          </w:p>
          <w:p w14:paraId="506826E3">
            <w:pPr>
              <w:pStyle w:val="8"/>
              <w:spacing w:before="25" w:line="233" w:lineRule="auto"/>
              <w:ind w:left="117" w:right="108" w:firstLine="360"/>
            </w:pPr>
            <w:r>
              <w:t>第四十六条  国际航行船舶进出口岸，应当依</w:t>
            </w:r>
            <w:r>
              <w:rPr>
                <w:spacing w:val="-1"/>
              </w:rPr>
              <w:t>法向海事管理机构申请许可并接受海事管理机构及其他口</w:t>
            </w:r>
            <w:r>
              <w:t xml:space="preserve"> </w:t>
            </w:r>
            <w:r>
              <w:rPr>
                <w:spacing w:val="-1"/>
              </w:rPr>
              <w:t>岸查验机构的监督检查。海事管理机构应当自受理申请之日起五个工作日内作出许可或者不予许可的决定。</w:t>
            </w:r>
          </w:p>
          <w:p w14:paraId="46096578">
            <w:pPr>
              <w:pStyle w:val="8"/>
              <w:spacing w:before="26" w:line="219" w:lineRule="auto"/>
              <w:ind w:left="481"/>
            </w:pPr>
            <w:r>
              <w:rPr>
                <w:spacing w:val="-1"/>
              </w:rPr>
              <w:t>外国籍船舶临时进入非对外开放水域，应当依照国务院关于船舶进出口岸的规定取得许</w:t>
            </w:r>
            <w:r>
              <w:rPr>
                <w:spacing w:val="-2"/>
              </w:rPr>
              <w:t>可。</w:t>
            </w:r>
          </w:p>
          <w:p w14:paraId="75EDBB9E">
            <w:pPr>
              <w:pStyle w:val="8"/>
              <w:spacing w:before="25" w:line="233" w:lineRule="auto"/>
              <w:ind w:left="118" w:right="108" w:firstLine="376"/>
            </w:pPr>
            <w:r>
              <w:rPr>
                <w:spacing w:val="-1"/>
              </w:rPr>
              <w:t>国内航行船舶进出港口、港外装卸站，应当向海事管理机构报告船舶的航次计划、适航状态、船员配备</w:t>
            </w:r>
            <w:r>
              <w:rPr>
                <w:spacing w:val="2"/>
              </w:rPr>
              <w:t xml:space="preserve"> </w:t>
            </w:r>
            <w:r>
              <w:rPr>
                <w:spacing w:val="-4"/>
              </w:rPr>
              <w:t>和客货载运等情况。</w:t>
            </w:r>
          </w:p>
          <w:p w14:paraId="09320D4A">
            <w:pPr>
              <w:pStyle w:val="8"/>
              <w:spacing w:before="27" w:line="219" w:lineRule="auto"/>
              <w:ind w:left="481"/>
            </w:pPr>
            <w:r>
              <w:rPr>
                <w:b/>
                <w:bCs/>
                <w:spacing w:val="-3"/>
              </w:rPr>
              <w:t>3.《中华人民共和国内河交通安全管理条例》</w:t>
            </w:r>
          </w:p>
          <w:p w14:paraId="592EED6D">
            <w:pPr>
              <w:pStyle w:val="8"/>
              <w:spacing w:before="26" w:line="237" w:lineRule="auto"/>
              <w:ind w:left="117" w:right="108" w:firstLine="360"/>
              <w:jc w:val="both"/>
            </w:pPr>
            <w:r>
              <w:t>第三十二条  船舶装卸、过驳危险货物或者载</w:t>
            </w:r>
            <w:r>
              <w:rPr>
                <w:spacing w:val="-1"/>
              </w:rPr>
              <w:t>运危险货物进出港口，应当将危险货物的名称、特性、包</w:t>
            </w:r>
            <w:r>
              <w:t xml:space="preserve"> 装、装卸或者过驳的时间、地点以及进出港时间等</w:t>
            </w:r>
            <w:r>
              <w:rPr>
                <w:spacing w:val="-1"/>
              </w:rPr>
              <w:t>事项，事先报告海事管理机构和港口管理机构，经其同意</w:t>
            </w:r>
            <w:r>
              <w:t xml:space="preserve"> </w:t>
            </w:r>
            <w:r>
              <w:rPr>
                <w:spacing w:val="-1"/>
              </w:rPr>
              <w:t>后，方可进行装卸、过驳作业或者进出港口；但是，定船、定线、定货的船舶可以定期报告。</w:t>
            </w:r>
          </w:p>
          <w:p w14:paraId="00FD40F4">
            <w:pPr>
              <w:pStyle w:val="8"/>
              <w:spacing w:before="27" w:line="219" w:lineRule="auto"/>
              <w:ind w:left="477"/>
            </w:pPr>
            <w:r>
              <w:rPr>
                <w:b/>
                <w:bCs/>
                <w:spacing w:val="-3"/>
              </w:rPr>
              <w:t>4.《防治船舶污染海洋环境管理条例》</w:t>
            </w:r>
          </w:p>
          <w:p w14:paraId="24DD409B">
            <w:pPr>
              <w:pStyle w:val="8"/>
              <w:spacing w:before="25" w:line="233" w:lineRule="auto"/>
              <w:ind w:left="119" w:right="108" w:firstLine="357"/>
            </w:pPr>
            <w:r>
              <w:t>第二十二条  载运污染危害性货物进出港口的</w:t>
            </w:r>
            <w:r>
              <w:rPr>
                <w:spacing w:val="-1"/>
              </w:rPr>
              <w:t>船舶，其承运人、货物所有人或者代理人，应当向海事管</w:t>
            </w:r>
            <w:r>
              <w:t xml:space="preserve"> </w:t>
            </w:r>
            <w:r>
              <w:rPr>
                <w:spacing w:val="-2"/>
              </w:rPr>
              <w:t>理机构提出申请，经批准方可进出港口或者过境停留。</w:t>
            </w:r>
          </w:p>
        </w:tc>
        <w:tc>
          <w:tcPr>
            <w:tcW w:w="1159" w:type="dxa"/>
            <w:vAlign w:val="top"/>
          </w:tcPr>
          <w:p w14:paraId="4A6D89ED">
            <w:pPr>
              <w:rPr>
                <w:rFonts w:ascii="Arial"/>
                <w:sz w:val="21"/>
              </w:rPr>
            </w:pPr>
          </w:p>
        </w:tc>
      </w:tr>
      <w:tr w14:paraId="1CEF1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2" w:hRule="atLeast"/>
        </w:trPr>
        <w:tc>
          <w:tcPr>
            <w:tcW w:w="705" w:type="dxa"/>
            <w:vAlign w:val="top"/>
          </w:tcPr>
          <w:p w14:paraId="31868851">
            <w:pPr>
              <w:spacing w:line="246" w:lineRule="auto"/>
              <w:rPr>
                <w:rFonts w:ascii="Arial"/>
                <w:sz w:val="21"/>
              </w:rPr>
            </w:pPr>
          </w:p>
          <w:p w14:paraId="6F271EE3">
            <w:pPr>
              <w:spacing w:line="247" w:lineRule="auto"/>
              <w:rPr>
                <w:rFonts w:ascii="Arial"/>
                <w:sz w:val="21"/>
              </w:rPr>
            </w:pPr>
          </w:p>
          <w:p w14:paraId="6D8D5222">
            <w:pPr>
              <w:spacing w:line="247" w:lineRule="auto"/>
              <w:rPr>
                <w:rFonts w:ascii="Arial"/>
                <w:sz w:val="21"/>
              </w:rPr>
            </w:pPr>
          </w:p>
          <w:p w14:paraId="2D082409">
            <w:pPr>
              <w:spacing w:line="247" w:lineRule="auto"/>
              <w:rPr>
                <w:rFonts w:ascii="Arial"/>
                <w:sz w:val="21"/>
              </w:rPr>
            </w:pPr>
          </w:p>
          <w:p w14:paraId="1209BA50">
            <w:pPr>
              <w:pStyle w:val="8"/>
              <w:spacing w:before="59" w:line="183" w:lineRule="auto"/>
              <w:ind w:left="266"/>
              <w:rPr>
                <w:rFonts w:hint="default" w:eastAsia="宋体"/>
                <w:lang w:val="en-US" w:eastAsia="zh-CN"/>
              </w:rPr>
            </w:pPr>
            <w:r>
              <w:rPr>
                <w:rFonts w:hint="eastAsia"/>
                <w:spacing w:val="-3"/>
                <w:lang w:val="en-US" w:eastAsia="zh-CN"/>
              </w:rPr>
              <w:t>25</w:t>
            </w:r>
          </w:p>
        </w:tc>
        <w:tc>
          <w:tcPr>
            <w:tcW w:w="1290" w:type="dxa"/>
            <w:vAlign w:val="top"/>
          </w:tcPr>
          <w:p w14:paraId="32DF7263">
            <w:pPr>
              <w:spacing w:line="359" w:lineRule="auto"/>
              <w:rPr>
                <w:rFonts w:ascii="Arial"/>
                <w:sz w:val="21"/>
              </w:rPr>
            </w:pPr>
          </w:p>
          <w:p w14:paraId="1A080778">
            <w:pPr>
              <w:spacing w:line="360" w:lineRule="auto"/>
              <w:rPr>
                <w:rFonts w:ascii="Arial"/>
                <w:sz w:val="21"/>
              </w:rPr>
            </w:pPr>
          </w:p>
          <w:p w14:paraId="3A6AC3EF">
            <w:pPr>
              <w:pStyle w:val="8"/>
              <w:spacing w:before="59" w:line="238" w:lineRule="auto"/>
              <w:ind w:left="30" w:right="28" w:firstLine="21"/>
              <w:jc w:val="both"/>
            </w:pPr>
            <w:r>
              <w:rPr>
                <w:spacing w:val="-8"/>
              </w:rPr>
              <w:t>内河通航水域、</w:t>
            </w:r>
            <w:r>
              <w:t xml:space="preserve"> </w:t>
            </w:r>
            <w:r>
              <w:rPr>
                <w:spacing w:val="24"/>
              </w:rPr>
              <w:t>岸线施工作业</w:t>
            </w:r>
            <w:r>
              <w:rPr>
                <w:spacing w:val="1"/>
              </w:rPr>
              <w:t xml:space="preserve"> </w:t>
            </w:r>
            <w:r>
              <w:rPr>
                <w:spacing w:val="-2"/>
              </w:rPr>
              <w:t>许可</w:t>
            </w:r>
          </w:p>
        </w:tc>
        <w:tc>
          <w:tcPr>
            <w:tcW w:w="1379" w:type="dxa"/>
            <w:vAlign w:val="top"/>
          </w:tcPr>
          <w:p w14:paraId="71C44204">
            <w:pPr>
              <w:spacing w:line="280" w:lineRule="auto"/>
              <w:rPr>
                <w:rFonts w:ascii="Arial"/>
                <w:sz w:val="21"/>
              </w:rPr>
            </w:pPr>
          </w:p>
          <w:p w14:paraId="27900E2A">
            <w:pPr>
              <w:spacing w:line="280" w:lineRule="auto"/>
              <w:rPr>
                <w:rFonts w:ascii="Arial"/>
                <w:sz w:val="21"/>
              </w:rPr>
            </w:pPr>
          </w:p>
          <w:p w14:paraId="15DB839B">
            <w:pPr>
              <w:spacing w:line="280" w:lineRule="auto"/>
              <w:rPr>
                <w:rFonts w:ascii="Arial"/>
                <w:sz w:val="21"/>
              </w:rPr>
            </w:pPr>
          </w:p>
          <w:p w14:paraId="4D826301">
            <w:pPr>
              <w:pStyle w:val="8"/>
              <w:spacing w:before="58" w:line="233" w:lineRule="auto"/>
              <w:ind w:left="31" w:right="27"/>
              <w:rPr>
                <w:rFonts w:hint="eastAsia" w:eastAsia="宋体"/>
                <w:lang w:eastAsia="zh-CN"/>
              </w:rPr>
            </w:pPr>
            <w:r>
              <w:rPr>
                <w:rFonts w:hint="eastAsia"/>
                <w:spacing w:val="7"/>
                <w:lang w:eastAsia="zh-CN"/>
              </w:rPr>
              <w:t>津市市交通运输局</w:t>
            </w:r>
          </w:p>
        </w:tc>
        <w:tc>
          <w:tcPr>
            <w:tcW w:w="1364" w:type="dxa"/>
            <w:vAlign w:val="top"/>
          </w:tcPr>
          <w:p w14:paraId="07244F4D">
            <w:pPr>
              <w:spacing w:line="319" w:lineRule="auto"/>
              <w:rPr>
                <w:rFonts w:ascii="Arial"/>
                <w:sz w:val="21"/>
              </w:rPr>
            </w:pPr>
          </w:p>
          <w:p w14:paraId="1175B450">
            <w:pPr>
              <w:spacing w:line="320" w:lineRule="auto"/>
              <w:rPr>
                <w:rFonts w:ascii="Arial"/>
                <w:sz w:val="21"/>
              </w:rPr>
            </w:pPr>
          </w:p>
          <w:p w14:paraId="6587D262">
            <w:pPr>
              <w:spacing w:line="320" w:lineRule="auto"/>
              <w:rPr>
                <w:rFonts w:ascii="Arial"/>
                <w:sz w:val="21"/>
              </w:rPr>
            </w:pPr>
          </w:p>
          <w:p w14:paraId="62E11C85">
            <w:pPr>
              <w:pStyle w:val="8"/>
              <w:spacing w:before="58"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5E13DD45">
            <w:pPr>
              <w:pStyle w:val="8"/>
              <w:spacing w:before="71" w:line="219" w:lineRule="auto"/>
              <w:ind w:left="491"/>
            </w:pPr>
            <w:r>
              <w:rPr>
                <w:b/>
                <w:bCs/>
                <w:spacing w:val="-4"/>
              </w:rPr>
              <w:t>1.《中华人民共和国海上交通安全法》</w:t>
            </w:r>
          </w:p>
          <w:p w14:paraId="355448F3">
            <w:pPr>
              <w:pStyle w:val="8"/>
              <w:spacing w:before="25" w:line="233" w:lineRule="auto"/>
              <w:ind w:left="118" w:right="108" w:firstLine="359"/>
            </w:pPr>
            <w:r>
              <w:t>第四十八条  在中华人民共和国管辖海域内进</w:t>
            </w:r>
            <w:r>
              <w:rPr>
                <w:spacing w:val="-1"/>
              </w:rPr>
              <w:t>行施工作业，应当经海事管理机构许可，并核定相应安全</w:t>
            </w:r>
            <w:r>
              <w:t xml:space="preserve"> </w:t>
            </w:r>
            <w:r>
              <w:rPr>
                <w:spacing w:val="-2"/>
              </w:rPr>
              <w:t>作业区。取得海上施工作业许可，应当符合下列条件：</w:t>
            </w:r>
          </w:p>
          <w:p w14:paraId="792909A6">
            <w:pPr>
              <w:pStyle w:val="8"/>
              <w:spacing w:before="26" w:line="219" w:lineRule="auto"/>
              <w:ind w:left="487"/>
            </w:pPr>
            <w:r>
              <w:rPr>
                <w:spacing w:val="-2"/>
              </w:rPr>
              <w:t>（一）施工作业的单位、人员、船舶、设施符合安全航行、停泊、作业的要求；</w:t>
            </w:r>
          </w:p>
          <w:p w14:paraId="7A3F9855">
            <w:pPr>
              <w:pStyle w:val="8"/>
              <w:spacing w:before="26" w:line="220" w:lineRule="auto"/>
              <w:ind w:left="487"/>
            </w:pPr>
            <w:r>
              <w:rPr>
                <w:spacing w:val="-6"/>
              </w:rPr>
              <w:t>（二）有施工作业方案；</w:t>
            </w:r>
          </w:p>
          <w:p w14:paraId="6A4581A7">
            <w:pPr>
              <w:pStyle w:val="8"/>
              <w:spacing w:before="25" w:line="219" w:lineRule="auto"/>
              <w:ind w:left="487"/>
            </w:pPr>
            <w:r>
              <w:rPr>
                <w:spacing w:val="-1"/>
              </w:rPr>
              <w:t>（三）有符合海上交通安全和防治船舶污染海洋环境要求的保障措施、应急预</w:t>
            </w:r>
            <w:r>
              <w:rPr>
                <w:spacing w:val="-2"/>
              </w:rPr>
              <w:t>案和责任制度。</w:t>
            </w:r>
          </w:p>
          <w:p w14:paraId="5FA56498">
            <w:pPr>
              <w:pStyle w:val="8"/>
              <w:spacing w:before="26" w:line="233" w:lineRule="auto"/>
              <w:ind w:left="117" w:right="122" w:firstLine="362"/>
            </w:pPr>
            <w:r>
              <w:rPr>
                <w:spacing w:val="-1"/>
              </w:rPr>
              <w:t>从事施工作业的船舶应当在核定的安全作业区内作业，并落实海上交通安全管理措施。其他无关船舶、</w:t>
            </w:r>
            <w:r>
              <w:rPr>
                <w:spacing w:val="3"/>
              </w:rPr>
              <w:t xml:space="preserve"> </w:t>
            </w:r>
            <w:r>
              <w:rPr>
                <w:spacing w:val="-3"/>
              </w:rPr>
              <w:t>海上设施不得进入安全作业区。</w:t>
            </w:r>
          </w:p>
          <w:p w14:paraId="66C0BD34">
            <w:pPr>
              <w:pStyle w:val="8"/>
              <w:spacing w:before="26" w:line="218" w:lineRule="auto"/>
              <w:ind w:left="477"/>
            </w:pPr>
            <w:r>
              <w:rPr>
                <w:spacing w:val="-1"/>
              </w:rPr>
              <w:t>在港口水域内进行采掘、爆破等可能危及港口安全的作业，适用港口管理的法律规定。</w:t>
            </w:r>
          </w:p>
        </w:tc>
        <w:tc>
          <w:tcPr>
            <w:tcW w:w="1159" w:type="dxa"/>
            <w:vAlign w:val="top"/>
          </w:tcPr>
          <w:p w14:paraId="1E2F77D2">
            <w:pPr>
              <w:rPr>
                <w:rFonts w:ascii="Arial"/>
                <w:sz w:val="21"/>
              </w:rPr>
            </w:pPr>
          </w:p>
        </w:tc>
      </w:tr>
    </w:tbl>
    <w:p w14:paraId="5F9138D2">
      <w:pPr>
        <w:pStyle w:val="2"/>
      </w:pPr>
    </w:p>
    <w:p w14:paraId="36B714E3">
      <w:pPr>
        <w:sectPr>
          <w:footerReference r:id="rId20" w:type="default"/>
          <w:pgSz w:w="16839" w:h="11906"/>
          <w:pgMar w:top="1012" w:right="1134" w:bottom="966" w:left="1134" w:header="0" w:footer="768" w:gutter="0"/>
          <w:cols w:space="720" w:num="1"/>
        </w:sectPr>
      </w:pPr>
    </w:p>
    <w:p w14:paraId="46D53CED">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3BBFB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706AC038">
            <w:pPr>
              <w:pStyle w:val="8"/>
              <w:spacing w:before="183" w:line="221" w:lineRule="auto"/>
              <w:ind w:left="175"/>
            </w:pPr>
            <w:r>
              <w:rPr>
                <w:b/>
                <w:bCs/>
                <w:spacing w:val="-4"/>
              </w:rPr>
              <w:t>序号</w:t>
            </w:r>
          </w:p>
        </w:tc>
        <w:tc>
          <w:tcPr>
            <w:tcW w:w="1290" w:type="dxa"/>
            <w:vAlign w:val="top"/>
          </w:tcPr>
          <w:p w14:paraId="088DD2B4">
            <w:pPr>
              <w:pStyle w:val="8"/>
              <w:spacing w:before="183" w:line="220" w:lineRule="auto"/>
              <w:ind w:left="284"/>
            </w:pPr>
            <w:r>
              <w:rPr>
                <w:b/>
                <w:bCs/>
                <w:spacing w:val="-4"/>
              </w:rPr>
              <w:t>事项名称</w:t>
            </w:r>
          </w:p>
        </w:tc>
        <w:tc>
          <w:tcPr>
            <w:tcW w:w="1379" w:type="dxa"/>
            <w:vAlign w:val="top"/>
          </w:tcPr>
          <w:p w14:paraId="6CC23872">
            <w:pPr>
              <w:pStyle w:val="8"/>
              <w:spacing w:before="183" w:line="219" w:lineRule="auto"/>
              <w:ind w:left="333"/>
            </w:pPr>
            <w:r>
              <w:rPr>
                <w:b/>
                <w:bCs/>
                <w:spacing w:val="-5"/>
              </w:rPr>
              <w:t>实施机关</w:t>
            </w:r>
          </w:p>
        </w:tc>
        <w:tc>
          <w:tcPr>
            <w:tcW w:w="1364" w:type="dxa"/>
            <w:vAlign w:val="top"/>
          </w:tcPr>
          <w:p w14:paraId="1D92F768">
            <w:pPr>
              <w:pStyle w:val="8"/>
              <w:spacing w:before="183" w:line="219" w:lineRule="auto"/>
              <w:ind w:left="322"/>
            </w:pPr>
            <w:r>
              <w:rPr>
                <w:b/>
                <w:bCs/>
                <w:spacing w:val="-4"/>
              </w:rPr>
              <w:t>承办机构</w:t>
            </w:r>
          </w:p>
        </w:tc>
        <w:tc>
          <w:tcPr>
            <w:tcW w:w="8667" w:type="dxa"/>
            <w:vAlign w:val="top"/>
          </w:tcPr>
          <w:p w14:paraId="7F8CB544">
            <w:pPr>
              <w:pStyle w:val="8"/>
              <w:spacing w:before="183" w:line="219" w:lineRule="auto"/>
              <w:ind w:left="3708"/>
            </w:pPr>
            <w:r>
              <w:rPr>
                <w:b/>
                <w:bCs/>
                <w:spacing w:val="-3"/>
              </w:rPr>
              <w:t>设定和实施依据</w:t>
            </w:r>
          </w:p>
        </w:tc>
        <w:tc>
          <w:tcPr>
            <w:tcW w:w="1159" w:type="dxa"/>
            <w:vAlign w:val="top"/>
          </w:tcPr>
          <w:p w14:paraId="2999EED0">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13A53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7" w:hRule="atLeast"/>
        </w:trPr>
        <w:tc>
          <w:tcPr>
            <w:tcW w:w="705" w:type="dxa"/>
            <w:vAlign w:val="top"/>
          </w:tcPr>
          <w:p w14:paraId="2C49B22C">
            <w:pPr>
              <w:rPr>
                <w:rFonts w:ascii="Arial"/>
                <w:sz w:val="21"/>
              </w:rPr>
            </w:pPr>
          </w:p>
        </w:tc>
        <w:tc>
          <w:tcPr>
            <w:tcW w:w="1290" w:type="dxa"/>
            <w:vAlign w:val="top"/>
          </w:tcPr>
          <w:p w14:paraId="57B96BFE">
            <w:pPr>
              <w:rPr>
                <w:rFonts w:ascii="Arial"/>
                <w:sz w:val="21"/>
              </w:rPr>
            </w:pPr>
          </w:p>
        </w:tc>
        <w:tc>
          <w:tcPr>
            <w:tcW w:w="1379" w:type="dxa"/>
            <w:vAlign w:val="top"/>
          </w:tcPr>
          <w:p w14:paraId="386E917C">
            <w:pPr>
              <w:rPr>
                <w:rFonts w:ascii="Arial"/>
                <w:sz w:val="21"/>
              </w:rPr>
            </w:pPr>
          </w:p>
        </w:tc>
        <w:tc>
          <w:tcPr>
            <w:tcW w:w="1364" w:type="dxa"/>
            <w:vAlign w:val="top"/>
          </w:tcPr>
          <w:p w14:paraId="6B92B91B">
            <w:pPr>
              <w:rPr>
                <w:rFonts w:ascii="Arial"/>
                <w:sz w:val="21"/>
              </w:rPr>
            </w:pPr>
          </w:p>
        </w:tc>
        <w:tc>
          <w:tcPr>
            <w:tcW w:w="8667" w:type="dxa"/>
            <w:vAlign w:val="top"/>
          </w:tcPr>
          <w:p w14:paraId="1A5C666A">
            <w:pPr>
              <w:pStyle w:val="8"/>
              <w:spacing w:before="58" w:line="219" w:lineRule="auto"/>
              <w:ind w:left="479"/>
            </w:pPr>
            <w:r>
              <w:rPr>
                <w:b/>
                <w:bCs/>
                <w:spacing w:val="-3"/>
              </w:rPr>
              <w:t>2.《中华人民共和国内河交通安全管理条例》</w:t>
            </w:r>
          </w:p>
          <w:p w14:paraId="34467EDB">
            <w:pPr>
              <w:pStyle w:val="8"/>
              <w:spacing w:before="17" w:line="227" w:lineRule="auto"/>
              <w:ind w:left="117" w:right="108" w:firstLine="360"/>
            </w:pPr>
            <w:r>
              <w:t>第二十五条  在内河通航水域或者岸线上进行</w:t>
            </w:r>
            <w:r>
              <w:rPr>
                <w:spacing w:val="-1"/>
              </w:rPr>
              <w:t>下列可能影响通航安全的作业或者活动的，应当在进行作</w:t>
            </w:r>
            <w:r>
              <w:t xml:space="preserve"> </w:t>
            </w:r>
            <w:r>
              <w:rPr>
                <w:spacing w:val="-3"/>
              </w:rPr>
              <w:t>业或者活动前报海事管理机构批准：</w:t>
            </w:r>
          </w:p>
          <w:p w14:paraId="5DC2873F">
            <w:pPr>
              <w:pStyle w:val="8"/>
              <w:spacing w:before="17" w:line="218" w:lineRule="auto"/>
              <w:ind w:left="487"/>
            </w:pPr>
            <w:r>
              <w:rPr>
                <w:spacing w:val="-5"/>
              </w:rPr>
              <w:t>（一）勘探、采掘、爆破；</w:t>
            </w:r>
          </w:p>
          <w:p w14:paraId="116563A4">
            <w:pPr>
              <w:pStyle w:val="8"/>
              <w:spacing w:before="18" w:line="219" w:lineRule="auto"/>
              <w:ind w:left="487"/>
            </w:pPr>
            <w:r>
              <w:rPr>
                <w:spacing w:val="-3"/>
              </w:rPr>
              <w:t>（二）构筑、设置、维修、拆除水上水下构筑物或者设施；</w:t>
            </w:r>
          </w:p>
          <w:p w14:paraId="1F0B3C3E">
            <w:pPr>
              <w:pStyle w:val="8"/>
              <w:spacing w:before="16" w:line="219" w:lineRule="auto"/>
              <w:ind w:left="487"/>
            </w:pPr>
            <w:r>
              <w:rPr>
                <w:spacing w:val="-6"/>
              </w:rPr>
              <w:t>（三）架设桥梁、索道；</w:t>
            </w:r>
          </w:p>
          <w:p w14:paraId="5AD9B5D9">
            <w:pPr>
              <w:pStyle w:val="8"/>
              <w:spacing w:before="14" w:line="219" w:lineRule="auto"/>
              <w:ind w:left="487"/>
            </w:pPr>
            <w:r>
              <w:rPr>
                <w:spacing w:val="-3"/>
              </w:rPr>
              <w:t>（四）铺设、检修、拆除水上水下电缆或者管道；</w:t>
            </w:r>
          </w:p>
          <w:p w14:paraId="01DB93E7">
            <w:pPr>
              <w:pStyle w:val="8"/>
              <w:spacing w:before="17" w:line="219" w:lineRule="auto"/>
              <w:ind w:left="487"/>
            </w:pPr>
            <w:r>
              <w:rPr>
                <w:spacing w:val="-4"/>
              </w:rPr>
              <w:t>（五）设置系船浮筒、浮趸、缆桩等设施；</w:t>
            </w:r>
          </w:p>
          <w:p w14:paraId="2D9C4076">
            <w:pPr>
              <w:pStyle w:val="8"/>
              <w:spacing w:before="17" w:line="219" w:lineRule="auto"/>
              <w:ind w:left="487"/>
            </w:pPr>
            <w:r>
              <w:rPr>
                <w:spacing w:val="-4"/>
              </w:rPr>
              <w:t>（六）航道建设，航道、码头前沿水域疏浚；</w:t>
            </w:r>
          </w:p>
          <w:p w14:paraId="73C4DC52">
            <w:pPr>
              <w:pStyle w:val="8"/>
              <w:spacing w:before="16" w:line="219" w:lineRule="auto"/>
              <w:ind w:left="487"/>
            </w:pPr>
            <w:r>
              <w:rPr>
                <w:spacing w:val="-3"/>
              </w:rPr>
              <w:t>（七）举行大型群众性活动、体育比赛。</w:t>
            </w:r>
          </w:p>
          <w:p w14:paraId="67B86046">
            <w:pPr>
              <w:pStyle w:val="8"/>
              <w:spacing w:before="18" w:line="227" w:lineRule="auto"/>
              <w:ind w:left="120" w:right="108" w:firstLine="355"/>
            </w:pPr>
            <w:r>
              <w:t>进行前款所列作业或者活动，需要进行可行性研</w:t>
            </w:r>
            <w:r>
              <w:rPr>
                <w:spacing w:val="-1"/>
              </w:rPr>
              <w:t>究的，在进行可行性研究时应当征求海事管理机构的意</w:t>
            </w:r>
            <w:r>
              <w:t xml:space="preserve"> </w:t>
            </w:r>
            <w:r>
              <w:rPr>
                <w:spacing w:val="-1"/>
              </w:rPr>
              <w:t>见；依照法律、行政法规的规定，需经其他有关部门审批的，还应当依法办理有关审批手续。</w:t>
            </w:r>
          </w:p>
          <w:p w14:paraId="79BCC5D3">
            <w:pPr>
              <w:pStyle w:val="8"/>
              <w:spacing w:before="15" w:line="219" w:lineRule="auto"/>
              <w:ind w:left="481"/>
            </w:pPr>
            <w:r>
              <w:rPr>
                <w:b/>
                <w:bCs/>
                <w:spacing w:val="-2"/>
              </w:rPr>
              <w:t>3.《中华人民共和国水上水下作业和活动通航安全管</w:t>
            </w:r>
            <w:r>
              <w:rPr>
                <w:b/>
                <w:bCs/>
                <w:spacing w:val="-3"/>
              </w:rPr>
              <w:t>理规定》（交通运输部令</w:t>
            </w:r>
            <w:r>
              <w:rPr>
                <w:spacing w:val="-35"/>
              </w:rPr>
              <w:t xml:space="preserve"> </w:t>
            </w:r>
            <w:r>
              <w:rPr>
                <w:b/>
                <w:bCs/>
                <w:spacing w:val="-3"/>
              </w:rPr>
              <w:t>2021</w:t>
            </w:r>
            <w:r>
              <w:rPr>
                <w:spacing w:val="-38"/>
              </w:rPr>
              <w:t xml:space="preserve"> </w:t>
            </w:r>
            <w:r>
              <w:rPr>
                <w:b/>
                <w:bCs/>
                <w:spacing w:val="-3"/>
              </w:rPr>
              <w:t>年第</w:t>
            </w:r>
            <w:r>
              <w:rPr>
                <w:spacing w:val="-35"/>
              </w:rPr>
              <w:t xml:space="preserve"> </w:t>
            </w:r>
            <w:r>
              <w:rPr>
                <w:b/>
                <w:bCs/>
                <w:spacing w:val="-3"/>
              </w:rPr>
              <w:t>24</w:t>
            </w:r>
            <w:r>
              <w:rPr>
                <w:spacing w:val="-32"/>
              </w:rPr>
              <w:t xml:space="preserve"> </w:t>
            </w:r>
            <w:r>
              <w:rPr>
                <w:b/>
                <w:bCs/>
                <w:spacing w:val="-3"/>
              </w:rPr>
              <w:t>号）</w:t>
            </w:r>
          </w:p>
          <w:p w14:paraId="40EE31F5">
            <w:pPr>
              <w:pStyle w:val="8"/>
              <w:spacing w:before="17" w:line="219" w:lineRule="auto"/>
              <w:ind w:left="477"/>
            </w:pPr>
            <w:r>
              <w:rPr>
                <w:spacing w:val="-1"/>
              </w:rPr>
              <w:t>第七条  在管辖水域内从事需经许可的水上水下作</w:t>
            </w:r>
            <w:r>
              <w:rPr>
                <w:spacing w:val="-2"/>
              </w:rPr>
              <w:t>业或者活动，应当符合下列条件：</w:t>
            </w:r>
          </w:p>
          <w:p w14:paraId="0786E9EA">
            <w:pPr>
              <w:pStyle w:val="8"/>
              <w:spacing w:before="17" w:line="228" w:lineRule="auto"/>
              <w:ind w:left="118" w:right="110" w:firstLine="369"/>
            </w:pPr>
            <w:r>
              <w:rPr>
                <w:spacing w:val="-1"/>
              </w:rPr>
              <w:t>（一）水上水下作业或者活动的单位、人员、船舶、海上设施或者内河浮动设施符合安全航行、停泊和</w:t>
            </w:r>
            <w:r>
              <w:rPr>
                <w:spacing w:val="7"/>
              </w:rPr>
              <w:t xml:space="preserve"> </w:t>
            </w:r>
            <w:r>
              <w:rPr>
                <w:spacing w:val="-7"/>
              </w:rPr>
              <w:t>作业的要求；</w:t>
            </w:r>
          </w:p>
          <w:p w14:paraId="057B9FE1">
            <w:pPr>
              <w:pStyle w:val="8"/>
              <w:spacing w:before="16" w:line="219" w:lineRule="auto"/>
              <w:ind w:left="487"/>
            </w:pPr>
            <w:r>
              <w:rPr>
                <w:spacing w:val="-4"/>
              </w:rPr>
              <w:t>（二）已制定水上水下作业或者活动方案；</w:t>
            </w:r>
          </w:p>
          <w:p w14:paraId="13D92B0C">
            <w:pPr>
              <w:pStyle w:val="8"/>
              <w:spacing w:before="17" w:line="219" w:lineRule="auto"/>
              <w:ind w:left="487"/>
            </w:pPr>
            <w:r>
              <w:rPr>
                <w:spacing w:val="-1"/>
              </w:rPr>
              <w:t>（三）有符合水上交通安全和防治船舶污染水域环境要求的保障措施、应急预</w:t>
            </w:r>
            <w:r>
              <w:rPr>
                <w:spacing w:val="-2"/>
              </w:rPr>
              <w:t>案和责任制度。</w:t>
            </w:r>
          </w:p>
          <w:p w14:paraId="2329D1E0">
            <w:pPr>
              <w:pStyle w:val="8"/>
              <w:spacing w:before="15" w:line="227" w:lineRule="auto"/>
              <w:ind w:left="136" w:right="108" w:firstLine="341"/>
            </w:pPr>
            <w:r>
              <w:t>第八条  在管辖水域内从事需经许可的水上水</w:t>
            </w:r>
            <w:r>
              <w:rPr>
                <w:spacing w:val="-1"/>
              </w:rPr>
              <w:t>下作业或者活动，建设单位、主办单位或者施工单位应当</w:t>
            </w:r>
            <w:r>
              <w:t xml:space="preserve"> </w:t>
            </w:r>
            <w:r>
              <w:rPr>
                <w:spacing w:val="-3"/>
              </w:rPr>
              <w:t>向作业地或者活动地的海事管理机构提出申请并报送下列材料：</w:t>
            </w:r>
          </w:p>
          <w:p w14:paraId="49A925C6">
            <w:pPr>
              <w:pStyle w:val="8"/>
              <w:spacing w:before="17" w:line="219" w:lineRule="auto"/>
              <w:ind w:left="487"/>
            </w:pPr>
            <w:r>
              <w:rPr>
                <w:spacing w:val="-8"/>
              </w:rPr>
              <w:t>（一）申请书；</w:t>
            </w:r>
          </w:p>
          <w:p w14:paraId="4401B1CD">
            <w:pPr>
              <w:pStyle w:val="8"/>
              <w:spacing w:before="17" w:line="219" w:lineRule="auto"/>
              <w:ind w:left="487"/>
            </w:pPr>
            <w:r>
              <w:rPr>
                <w:spacing w:val="-4"/>
              </w:rPr>
              <w:t>（二）申请人、经办人相关证明材料；</w:t>
            </w:r>
          </w:p>
          <w:p w14:paraId="6DC0F7B6">
            <w:pPr>
              <w:pStyle w:val="8"/>
              <w:spacing w:before="17" w:line="230" w:lineRule="auto"/>
              <w:ind w:left="119" w:right="64" w:firstLine="368"/>
            </w:pPr>
            <w:r>
              <w:rPr>
                <w:spacing w:val="-4"/>
              </w:rPr>
              <w:t>（三）作业或者活动方案，包括基本概况、进度安排、施工作业图纸、活动方式，可能影响的水域范围，</w:t>
            </w:r>
            <w:r>
              <w:rPr>
                <w:spacing w:val="12"/>
              </w:rPr>
              <w:t xml:space="preserve"> </w:t>
            </w:r>
            <w:r>
              <w:t>参与的船舶、海上设施或者内河浮动设施及其</w:t>
            </w:r>
            <w:r>
              <w:rPr>
                <w:spacing w:val="-1"/>
              </w:rPr>
              <w:t>人员等，法律、行政法规规定需经其他有关部门许可的，还应</w:t>
            </w:r>
            <w:r>
              <w:t xml:space="preserve"> </w:t>
            </w:r>
            <w:r>
              <w:rPr>
                <w:spacing w:val="-3"/>
              </w:rPr>
              <w:t>当包括与作业或者活动有关的许可信息；</w:t>
            </w:r>
          </w:p>
          <w:p w14:paraId="20DC9A46">
            <w:pPr>
              <w:pStyle w:val="8"/>
              <w:spacing w:before="16" w:line="219" w:lineRule="auto"/>
              <w:ind w:left="487"/>
            </w:pPr>
            <w:r>
              <w:rPr>
                <w:spacing w:val="-2"/>
              </w:rPr>
              <w:t>（四）作业或者活动保障措施方案、应急预案和责任制度文本。</w:t>
            </w:r>
          </w:p>
          <w:p w14:paraId="00D286D1">
            <w:pPr>
              <w:pStyle w:val="8"/>
              <w:spacing w:before="18" w:line="227" w:lineRule="auto"/>
              <w:ind w:left="119" w:right="108" w:firstLine="357"/>
            </w:pPr>
            <w:r>
              <w:t>在港口进行可能危及港口安全的采掘、爆破等</w:t>
            </w:r>
            <w:r>
              <w:rPr>
                <w:spacing w:val="-1"/>
              </w:rPr>
              <w:t>活动，建设单位、施工单位应当报经港口行政管理部门许</w:t>
            </w:r>
            <w:r>
              <w:t xml:space="preserve"> </w:t>
            </w:r>
            <w:r>
              <w:rPr>
                <w:spacing w:val="-1"/>
              </w:rPr>
              <w:t>可。港口行政管理部门应当将许可情况及时通报</w:t>
            </w:r>
            <w:r>
              <w:rPr>
                <w:spacing w:val="-2"/>
              </w:rPr>
              <w:t>海事管理机构。</w:t>
            </w:r>
          </w:p>
          <w:p w14:paraId="31B7A8E7">
            <w:pPr>
              <w:pStyle w:val="8"/>
              <w:spacing w:before="19" w:line="231" w:lineRule="auto"/>
              <w:ind w:left="117" w:right="108" w:firstLine="360"/>
            </w:pPr>
            <w:r>
              <w:t>第十三条  许可证的有效期由海事管理机构根</w:t>
            </w:r>
            <w:r>
              <w:rPr>
                <w:spacing w:val="-1"/>
              </w:rPr>
              <w:t>据作业或者活动的期限及水域环境的特点确定。许可证有</w:t>
            </w:r>
            <w:r>
              <w:t xml:space="preserve"> 效期届满不能结束水上水下作业或者活动的，建设单位、主办单</w:t>
            </w:r>
            <w:r>
              <w:rPr>
                <w:spacing w:val="-1"/>
              </w:rPr>
              <w:t>位或者施工单位应当于许可证有效期届满</w:t>
            </w:r>
            <w:r>
              <w:rPr>
                <w:spacing w:val="-36"/>
              </w:rPr>
              <w:t xml:space="preserve"> </w:t>
            </w:r>
            <w:r>
              <w:rPr>
                <w:spacing w:val="-1"/>
              </w:rPr>
              <w:t>5</w:t>
            </w:r>
            <w:r>
              <w:t xml:space="preserve"> 个工作日前向海事管理机构申请办理延续手续，提</w:t>
            </w:r>
            <w:r>
              <w:rPr>
                <w:spacing w:val="-1"/>
              </w:rPr>
              <w:t>交延续申请书和相关说明材料，由海事管理机构在原许可</w:t>
            </w:r>
            <w:r>
              <w:t xml:space="preserve"> </w:t>
            </w:r>
            <w:r>
              <w:rPr>
                <w:spacing w:val="-1"/>
              </w:rPr>
              <w:t>证上签注延续期限后方能继续从事相应作业或者活动。许可证有效期最长不得超过</w:t>
            </w:r>
            <w:r>
              <w:rPr>
                <w:spacing w:val="-33"/>
              </w:rPr>
              <w:t xml:space="preserve"> </w:t>
            </w:r>
            <w:r>
              <w:rPr>
                <w:spacing w:val="-1"/>
              </w:rPr>
              <w:t>3</w:t>
            </w:r>
            <w:r>
              <w:rPr>
                <w:spacing w:val="-36"/>
              </w:rPr>
              <w:t xml:space="preserve"> </w:t>
            </w:r>
            <w:r>
              <w:rPr>
                <w:spacing w:val="-1"/>
              </w:rPr>
              <w:t>年。</w:t>
            </w:r>
          </w:p>
        </w:tc>
        <w:tc>
          <w:tcPr>
            <w:tcW w:w="1159" w:type="dxa"/>
            <w:vAlign w:val="top"/>
          </w:tcPr>
          <w:p w14:paraId="4162A01A">
            <w:pPr>
              <w:rPr>
                <w:rFonts w:ascii="Arial"/>
                <w:sz w:val="21"/>
              </w:rPr>
            </w:pPr>
          </w:p>
        </w:tc>
      </w:tr>
    </w:tbl>
    <w:p w14:paraId="7AA98855">
      <w:pPr>
        <w:pStyle w:val="2"/>
      </w:pPr>
    </w:p>
    <w:p w14:paraId="040E380B">
      <w:pPr>
        <w:sectPr>
          <w:footerReference r:id="rId21" w:type="default"/>
          <w:pgSz w:w="16839" w:h="11906"/>
          <w:pgMar w:top="1012" w:right="1134" w:bottom="966" w:left="1134" w:header="0" w:footer="768" w:gutter="0"/>
          <w:cols w:space="720" w:num="1"/>
        </w:sectPr>
      </w:pPr>
    </w:p>
    <w:p w14:paraId="245C61D6">
      <w:pPr>
        <w:spacing w:line="121" w:lineRule="exact"/>
      </w:pPr>
    </w:p>
    <w:tbl>
      <w:tblPr>
        <w:tblStyle w:val="7"/>
        <w:tblW w:w="14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290"/>
        <w:gridCol w:w="1379"/>
        <w:gridCol w:w="1364"/>
        <w:gridCol w:w="8667"/>
        <w:gridCol w:w="1159"/>
      </w:tblGrid>
      <w:tr w14:paraId="5B90F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05" w:type="dxa"/>
            <w:vAlign w:val="top"/>
          </w:tcPr>
          <w:p w14:paraId="335F8479">
            <w:pPr>
              <w:pStyle w:val="8"/>
              <w:spacing w:before="183" w:line="221" w:lineRule="auto"/>
              <w:ind w:left="175"/>
            </w:pPr>
            <w:r>
              <w:rPr>
                <w:b/>
                <w:bCs/>
                <w:spacing w:val="-4"/>
              </w:rPr>
              <w:t>序号</w:t>
            </w:r>
          </w:p>
        </w:tc>
        <w:tc>
          <w:tcPr>
            <w:tcW w:w="1290" w:type="dxa"/>
            <w:vAlign w:val="top"/>
          </w:tcPr>
          <w:p w14:paraId="61CFF7C5">
            <w:pPr>
              <w:pStyle w:val="8"/>
              <w:spacing w:before="183" w:line="220" w:lineRule="auto"/>
              <w:ind w:left="284"/>
            </w:pPr>
            <w:r>
              <w:rPr>
                <w:b/>
                <w:bCs/>
                <w:spacing w:val="-4"/>
              </w:rPr>
              <w:t>事项名称</w:t>
            </w:r>
          </w:p>
        </w:tc>
        <w:tc>
          <w:tcPr>
            <w:tcW w:w="1379" w:type="dxa"/>
            <w:vAlign w:val="top"/>
          </w:tcPr>
          <w:p w14:paraId="5F4757C5">
            <w:pPr>
              <w:pStyle w:val="8"/>
              <w:spacing w:before="183" w:line="219" w:lineRule="auto"/>
              <w:ind w:left="333"/>
            </w:pPr>
            <w:r>
              <w:rPr>
                <w:b/>
                <w:bCs/>
                <w:spacing w:val="-5"/>
              </w:rPr>
              <w:t>实施机关</w:t>
            </w:r>
          </w:p>
        </w:tc>
        <w:tc>
          <w:tcPr>
            <w:tcW w:w="1364" w:type="dxa"/>
            <w:vAlign w:val="top"/>
          </w:tcPr>
          <w:p w14:paraId="3032A854">
            <w:pPr>
              <w:pStyle w:val="8"/>
              <w:spacing w:before="183" w:line="219" w:lineRule="auto"/>
              <w:ind w:left="322"/>
            </w:pPr>
            <w:r>
              <w:rPr>
                <w:b/>
                <w:bCs/>
                <w:spacing w:val="-4"/>
              </w:rPr>
              <w:t>承办机构</w:t>
            </w:r>
          </w:p>
        </w:tc>
        <w:tc>
          <w:tcPr>
            <w:tcW w:w="8667" w:type="dxa"/>
            <w:vAlign w:val="top"/>
          </w:tcPr>
          <w:p w14:paraId="54A72441">
            <w:pPr>
              <w:pStyle w:val="8"/>
              <w:spacing w:before="183" w:line="219" w:lineRule="auto"/>
              <w:ind w:left="3708"/>
            </w:pPr>
            <w:r>
              <w:rPr>
                <w:b/>
                <w:bCs/>
                <w:spacing w:val="-3"/>
              </w:rPr>
              <w:t>设定和实施依据</w:t>
            </w:r>
          </w:p>
        </w:tc>
        <w:tc>
          <w:tcPr>
            <w:tcW w:w="1159" w:type="dxa"/>
            <w:vAlign w:val="top"/>
          </w:tcPr>
          <w:p w14:paraId="28467298">
            <w:pPr>
              <w:pStyle w:val="8"/>
              <w:spacing w:before="62" w:line="234" w:lineRule="auto"/>
              <w:ind w:left="47" w:right="52" w:hanging="3"/>
            </w:pPr>
            <w:r>
              <w:rPr>
                <w:b/>
                <w:bCs/>
                <w:spacing w:val="-8"/>
              </w:rPr>
              <w:t>备注（转移、</w:t>
            </w:r>
            <w:r>
              <w:rPr>
                <w:spacing w:val="2"/>
              </w:rPr>
              <w:t xml:space="preserve"> </w:t>
            </w:r>
            <w:r>
              <w:rPr>
                <w:b/>
                <w:bCs/>
                <w:spacing w:val="-7"/>
              </w:rPr>
              <w:t>下放、委托）</w:t>
            </w:r>
          </w:p>
        </w:tc>
      </w:tr>
      <w:tr w14:paraId="36A55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5" w:hRule="atLeast"/>
        </w:trPr>
        <w:tc>
          <w:tcPr>
            <w:tcW w:w="705" w:type="dxa"/>
            <w:vAlign w:val="top"/>
          </w:tcPr>
          <w:p w14:paraId="7B9596E3">
            <w:pPr>
              <w:spacing w:line="250" w:lineRule="auto"/>
              <w:rPr>
                <w:rFonts w:ascii="Arial"/>
                <w:sz w:val="21"/>
              </w:rPr>
            </w:pPr>
          </w:p>
          <w:p w14:paraId="7AEE630A">
            <w:pPr>
              <w:spacing w:line="250" w:lineRule="auto"/>
              <w:rPr>
                <w:rFonts w:ascii="Arial"/>
                <w:sz w:val="21"/>
              </w:rPr>
            </w:pPr>
          </w:p>
          <w:p w14:paraId="48DFBA0A">
            <w:pPr>
              <w:pStyle w:val="8"/>
              <w:spacing w:before="58" w:line="183" w:lineRule="auto"/>
              <w:ind w:left="266"/>
              <w:rPr>
                <w:rFonts w:hint="default" w:eastAsia="宋体"/>
                <w:lang w:val="en-US" w:eastAsia="zh-CN"/>
              </w:rPr>
            </w:pPr>
            <w:r>
              <w:rPr>
                <w:rFonts w:hint="eastAsia"/>
                <w:spacing w:val="-3"/>
                <w:lang w:val="en-US" w:eastAsia="zh-CN"/>
              </w:rPr>
              <w:t>26</w:t>
            </w:r>
          </w:p>
        </w:tc>
        <w:tc>
          <w:tcPr>
            <w:tcW w:w="1290" w:type="dxa"/>
            <w:vAlign w:val="top"/>
          </w:tcPr>
          <w:p w14:paraId="54DCEF5F">
            <w:pPr>
              <w:spacing w:line="352" w:lineRule="auto"/>
              <w:rPr>
                <w:rFonts w:ascii="Arial"/>
                <w:sz w:val="21"/>
              </w:rPr>
            </w:pPr>
          </w:p>
          <w:p w14:paraId="1D031457">
            <w:pPr>
              <w:pStyle w:val="8"/>
              <w:spacing w:before="58" w:line="233" w:lineRule="auto"/>
              <w:ind w:left="50" w:right="28" w:hanging="18"/>
            </w:pPr>
            <w:r>
              <w:rPr>
                <w:spacing w:val="23"/>
              </w:rPr>
              <w:t>设置或者撤销</w:t>
            </w:r>
            <w:r>
              <w:rPr>
                <w:spacing w:val="4"/>
              </w:rPr>
              <w:t xml:space="preserve"> </w:t>
            </w:r>
            <w:r>
              <w:rPr>
                <w:spacing w:val="-5"/>
              </w:rPr>
              <w:t>内河渡口审批</w:t>
            </w:r>
          </w:p>
        </w:tc>
        <w:tc>
          <w:tcPr>
            <w:tcW w:w="1379" w:type="dxa"/>
            <w:vAlign w:val="top"/>
          </w:tcPr>
          <w:p w14:paraId="712B0D80">
            <w:pPr>
              <w:spacing w:line="352" w:lineRule="auto"/>
              <w:rPr>
                <w:rFonts w:ascii="Arial"/>
                <w:sz w:val="21"/>
              </w:rPr>
            </w:pPr>
          </w:p>
          <w:p w14:paraId="50C502D8">
            <w:pPr>
              <w:pStyle w:val="8"/>
              <w:spacing w:before="58" w:line="233" w:lineRule="auto"/>
              <w:ind w:left="30" w:right="27" w:hanging="1"/>
            </w:pPr>
            <w:r>
              <w:rPr>
                <w:rFonts w:hint="eastAsia"/>
                <w:spacing w:val="8"/>
                <w:lang w:eastAsia="zh-CN"/>
              </w:rPr>
              <w:t>津市市交通运输局</w:t>
            </w:r>
          </w:p>
        </w:tc>
        <w:tc>
          <w:tcPr>
            <w:tcW w:w="1364" w:type="dxa"/>
            <w:vAlign w:val="top"/>
          </w:tcPr>
          <w:p w14:paraId="6DEC1C70">
            <w:pPr>
              <w:spacing w:line="471" w:lineRule="auto"/>
              <w:rPr>
                <w:rFonts w:ascii="Arial"/>
                <w:sz w:val="21"/>
              </w:rPr>
            </w:pPr>
          </w:p>
          <w:p w14:paraId="347E56E8">
            <w:pPr>
              <w:pStyle w:val="8"/>
              <w:spacing w:before="58" w:line="219" w:lineRule="auto"/>
              <w:ind w:left="346"/>
              <w:rPr>
                <w:rFonts w:hint="eastAsia" w:eastAsia="宋体"/>
                <w:lang w:eastAsia="zh-CN"/>
              </w:rPr>
            </w:pPr>
            <w:r>
              <w:rPr>
                <w:rFonts w:hint="eastAsia"/>
                <w:spacing w:val="-6"/>
                <w:lang w:eastAsia="zh-CN"/>
              </w:rPr>
              <w:t>行政审批服务办公室</w:t>
            </w:r>
          </w:p>
        </w:tc>
        <w:tc>
          <w:tcPr>
            <w:tcW w:w="8667" w:type="dxa"/>
            <w:vAlign w:val="top"/>
          </w:tcPr>
          <w:p w14:paraId="7B924F18">
            <w:pPr>
              <w:rPr>
                <w:rFonts w:ascii="Arial"/>
                <w:sz w:val="21"/>
              </w:rPr>
            </w:pPr>
          </w:p>
          <w:p w14:paraId="69948FAA">
            <w:pPr>
              <w:pStyle w:val="8"/>
              <w:spacing w:before="59" w:line="219" w:lineRule="auto"/>
              <w:ind w:left="483"/>
            </w:pPr>
            <w:r>
              <w:rPr>
                <w:b/>
                <w:bCs/>
                <w:spacing w:val="-3"/>
              </w:rPr>
              <w:t>《中华人民共和国内河交通安全管理条例》</w:t>
            </w:r>
          </w:p>
          <w:p w14:paraId="6930A9DB">
            <w:pPr>
              <w:pStyle w:val="8"/>
              <w:spacing w:before="25" w:line="233" w:lineRule="auto"/>
              <w:ind w:left="119" w:right="108" w:firstLine="357"/>
            </w:pPr>
            <w:r>
              <w:t>第三十五条  设置或者撤销渡口，应当经渡口</w:t>
            </w:r>
            <w:r>
              <w:rPr>
                <w:spacing w:val="-1"/>
              </w:rPr>
              <w:t>所在地的县级人民政府审批；县级人民政府审批前，应当</w:t>
            </w:r>
            <w:r>
              <w:t xml:space="preserve"> </w:t>
            </w:r>
            <w:r>
              <w:rPr>
                <w:spacing w:val="-3"/>
              </w:rPr>
              <w:t>征求当地海事管理机构的意见。</w:t>
            </w:r>
          </w:p>
        </w:tc>
        <w:tc>
          <w:tcPr>
            <w:tcW w:w="1159" w:type="dxa"/>
            <w:vAlign w:val="top"/>
          </w:tcPr>
          <w:p w14:paraId="40E20855">
            <w:pPr>
              <w:rPr>
                <w:rFonts w:ascii="Arial"/>
                <w:sz w:val="21"/>
              </w:rPr>
            </w:pPr>
          </w:p>
        </w:tc>
      </w:tr>
      <w:tr w14:paraId="7CF7D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5" w:hRule="atLeast"/>
        </w:trPr>
        <w:tc>
          <w:tcPr>
            <w:tcW w:w="705" w:type="dxa"/>
            <w:shd w:val="clear" w:color="auto" w:fill="auto"/>
            <w:vAlign w:val="top"/>
          </w:tcPr>
          <w:p w14:paraId="18A82303">
            <w:pPr>
              <w:spacing w:line="246" w:lineRule="auto"/>
              <w:rPr>
                <w:rFonts w:ascii="Arial"/>
                <w:sz w:val="21"/>
              </w:rPr>
            </w:pPr>
          </w:p>
          <w:p w14:paraId="452920AD">
            <w:pPr>
              <w:spacing w:line="246" w:lineRule="auto"/>
              <w:rPr>
                <w:rFonts w:ascii="Arial"/>
                <w:sz w:val="21"/>
              </w:rPr>
            </w:pPr>
          </w:p>
          <w:p w14:paraId="2CA5A024">
            <w:pPr>
              <w:spacing w:line="246" w:lineRule="auto"/>
              <w:rPr>
                <w:rFonts w:ascii="Arial"/>
                <w:sz w:val="21"/>
              </w:rPr>
            </w:pPr>
          </w:p>
          <w:p w14:paraId="675F82C0">
            <w:pPr>
              <w:spacing w:line="246" w:lineRule="auto"/>
              <w:rPr>
                <w:rFonts w:ascii="Arial"/>
                <w:sz w:val="21"/>
              </w:rPr>
            </w:pPr>
          </w:p>
          <w:p w14:paraId="6E423F3D">
            <w:pPr>
              <w:spacing w:line="246" w:lineRule="auto"/>
              <w:rPr>
                <w:rFonts w:ascii="Arial"/>
                <w:sz w:val="21"/>
              </w:rPr>
            </w:pPr>
          </w:p>
          <w:p w14:paraId="0ED5F10B">
            <w:pPr>
              <w:spacing w:line="246" w:lineRule="auto"/>
              <w:rPr>
                <w:rFonts w:ascii="Arial"/>
                <w:sz w:val="21"/>
              </w:rPr>
            </w:pPr>
          </w:p>
          <w:p w14:paraId="479A6146">
            <w:pPr>
              <w:spacing w:line="246" w:lineRule="auto"/>
              <w:rPr>
                <w:rFonts w:ascii="Arial"/>
                <w:sz w:val="21"/>
              </w:rPr>
            </w:pPr>
          </w:p>
          <w:p w14:paraId="0846661D">
            <w:pPr>
              <w:spacing w:line="246" w:lineRule="auto"/>
              <w:rPr>
                <w:rFonts w:ascii="Arial"/>
                <w:sz w:val="21"/>
              </w:rPr>
            </w:pPr>
          </w:p>
          <w:p w14:paraId="53FC147E">
            <w:pPr>
              <w:spacing w:line="246" w:lineRule="auto"/>
              <w:rPr>
                <w:rFonts w:ascii="Arial"/>
                <w:sz w:val="21"/>
              </w:rPr>
            </w:pPr>
          </w:p>
          <w:p w14:paraId="16E3EFC2">
            <w:pPr>
              <w:spacing w:line="246" w:lineRule="auto"/>
              <w:rPr>
                <w:rFonts w:ascii="Arial"/>
                <w:sz w:val="21"/>
              </w:rPr>
            </w:pPr>
          </w:p>
          <w:p w14:paraId="4D84CFD6">
            <w:pPr>
              <w:spacing w:line="246" w:lineRule="auto"/>
              <w:rPr>
                <w:rFonts w:ascii="Arial"/>
                <w:sz w:val="21"/>
              </w:rPr>
            </w:pPr>
          </w:p>
          <w:p w14:paraId="70FCE922">
            <w:pPr>
              <w:spacing w:line="246" w:lineRule="auto"/>
              <w:rPr>
                <w:rFonts w:ascii="Arial"/>
                <w:sz w:val="21"/>
              </w:rPr>
            </w:pPr>
          </w:p>
          <w:p w14:paraId="5ED97A14">
            <w:pPr>
              <w:pStyle w:val="8"/>
              <w:spacing w:before="58" w:line="183" w:lineRule="auto"/>
              <w:ind w:left="266" w:leftChars="0"/>
              <w:rPr>
                <w:rFonts w:hint="default" w:ascii="宋体" w:hAnsi="宋体" w:eastAsia="宋体" w:cs="宋体"/>
                <w:snapToGrid w:val="0"/>
                <w:color w:val="000000"/>
                <w:kern w:val="0"/>
                <w:sz w:val="18"/>
                <w:szCs w:val="18"/>
                <w:lang w:val="en-US" w:eastAsia="zh-CN" w:bidi="ar-SA"/>
              </w:rPr>
            </w:pPr>
            <w:r>
              <w:rPr>
                <w:rFonts w:hint="eastAsia"/>
                <w:spacing w:val="-3"/>
                <w:lang w:val="en-US" w:eastAsia="zh-CN"/>
              </w:rPr>
              <w:t>27</w:t>
            </w:r>
          </w:p>
        </w:tc>
        <w:tc>
          <w:tcPr>
            <w:tcW w:w="1290" w:type="dxa"/>
            <w:shd w:val="clear" w:color="auto" w:fill="auto"/>
            <w:vAlign w:val="top"/>
          </w:tcPr>
          <w:p w14:paraId="66BFB538">
            <w:pPr>
              <w:spacing w:line="255" w:lineRule="auto"/>
              <w:rPr>
                <w:rFonts w:ascii="Arial"/>
                <w:sz w:val="21"/>
              </w:rPr>
            </w:pPr>
          </w:p>
          <w:p w14:paraId="54031827">
            <w:pPr>
              <w:spacing w:line="255" w:lineRule="auto"/>
              <w:rPr>
                <w:rFonts w:ascii="Arial"/>
                <w:sz w:val="21"/>
              </w:rPr>
            </w:pPr>
          </w:p>
          <w:p w14:paraId="6024B994">
            <w:pPr>
              <w:spacing w:line="255" w:lineRule="auto"/>
              <w:rPr>
                <w:rFonts w:ascii="Arial"/>
                <w:sz w:val="21"/>
              </w:rPr>
            </w:pPr>
          </w:p>
          <w:p w14:paraId="14EBF4E5">
            <w:pPr>
              <w:spacing w:line="255" w:lineRule="auto"/>
              <w:rPr>
                <w:rFonts w:ascii="Arial"/>
                <w:sz w:val="21"/>
              </w:rPr>
            </w:pPr>
          </w:p>
          <w:p w14:paraId="17AF0EA1">
            <w:pPr>
              <w:spacing w:line="255" w:lineRule="auto"/>
              <w:rPr>
                <w:rFonts w:ascii="Arial"/>
                <w:sz w:val="21"/>
              </w:rPr>
            </w:pPr>
          </w:p>
          <w:p w14:paraId="418DE13E">
            <w:pPr>
              <w:spacing w:line="255" w:lineRule="auto"/>
              <w:rPr>
                <w:rFonts w:ascii="Arial"/>
                <w:sz w:val="21"/>
              </w:rPr>
            </w:pPr>
          </w:p>
          <w:p w14:paraId="750436A2">
            <w:pPr>
              <w:spacing w:line="255" w:lineRule="auto"/>
              <w:rPr>
                <w:rFonts w:ascii="Arial"/>
                <w:sz w:val="21"/>
              </w:rPr>
            </w:pPr>
          </w:p>
          <w:p w14:paraId="10B4A55B">
            <w:pPr>
              <w:spacing w:line="255" w:lineRule="auto"/>
              <w:rPr>
                <w:rFonts w:ascii="Arial"/>
                <w:sz w:val="21"/>
              </w:rPr>
            </w:pPr>
          </w:p>
          <w:p w14:paraId="6DCA7375">
            <w:pPr>
              <w:spacing w:line="255" w:lineRule="auto"/>
              <w:rPr>
                <w:rFonts w:ascii="Arial"/>
                <w:sz w:val="21"/>
              </w:rPr>
            </w:pPr>
          </w:p>
          <w:p w14:paraId="220C8597">
            <w:pPr>
              <w:spacing w:line="255" w:lineRule="auto"/>
              <w:rPr>
                <w:rFonts w:ascii="Arial"/>
                <w:sz w:val="21"/>
              </w:rPr>
            </w:pPr>
          </w:p>
          <w:p w14:paraId="7B7BC8E0">
            <w:pPr>
              <w:spacing w:line="255" w:lineRule="auto"/>
              <w:rPr>
                <w:rFonts w:ascii="Arial"/>
                <w:sz w:val="21"/>
              </w:rPr>
            </w:pPr>
          </w:p>
          <w:p w14:paraId="6CE79F1A">
            <w:pPr>
              <w:pStyle w:val="8"/>
              <w:spacing w:before="58" w:line="233" w:lineRule="auto"/>
              <w:ind w:left="32" w:leftChars="0" w:right="28" w:rightChars="0" w:hanging="2" w:firstLineChars="0"/>
              <w:rPr>
                <w:rFonts w:ascii="宋体" w:hAnsi="宋体" w:eastAsia="宋体" w:cs="宋体"/>
                <w:snapToGrid w:val="0"/>
                <w:color w:val="000000"/>
                <w:kern w:val="0"/>
                <w:sz w:val="18"/>
                <w:szCs w:val="18"/>
                <w:lang w:val="en-US" w:eastAsia="en-US" w:bidi="ar-SA"/>
              </w:rPr>
            </w:pPr>
            <w:r>
              <w:rPr>
                <w:spacing w:val="24"/>
              </w:rPr>
              <w:t>船员适任证书</w:t>
            </w:r>
            <w:r>
              <w:rPr>
                <w:spacing w:val="1"/>
              </w:rPr>
              <w:t xml:space="preserve"> </w:t>
            </w:r>
            <w:r>
              <w:rPr>
                <w:spacing w:val="-3"/>
              </w:rPr>
              <w:t>核发</w:t>
            </w:r>
          </w:p>
        </w:tc>
        <w:tc>
          <w:tcPr>
            <w:tcW w:w="1379" w:type="dxa"/>
            <w:shd w:val="clear" w:color="auto" w:fill="auto"/>
            <w:vAlign w:val="top"/>
          </w:tcPr>
          <w:p w14:paraId="0BA11D1B">
            <w:pPr>
              <w:spacing w:line="254" w:lineRule="auto"/>
              <w:rPr>
                <w:rFonts w:ascii="Arial"/>
                <w:sz w:val="21"/>
              </w:rPr>
            </w:pPr>
          </w:p>
          <w:p w14:paraId="12624EED">
            <w:pPr>
              <w:spacing w:line="255" w:lineRule="auto"/>
              <w:rPr>
                <w:rFonts w:ascii="Arial"/>
                <w:sz w:val="21"/>
              </w:rPr>
            </w:pPr>
          </w:p>
          <w:p w14:paraId="55CE6498">
            <w:pPr>
              <w:spacing w:line="255" w:lineRule="auto"/>
              <w:rPr>
                <w:rFonts w:ascii="Arial"/>
                <w:sz w:val="21"/>
              </w:rPr>
            </w:pPr>
          </w:p>
          <w:p w14:paraId="271183E4">
            <w:pPr>
              <w:spacing w:line="255" w:lineRule="auto"/>
              <w:rPr>
                <w:rFonts w:ascii="Arial"/>
                <w:sz w:val="21"/>
              </w:rPr>
            </w:pPr>
          </w:p>
          <w:p w14:paraId="15FB8C6F">
            <w:pPr>
              <w:spacing w:line="255" w:lineRule="auto"/>
              <w:rPr>
                <w:rFonts w:ascii="Arial"/>
                <w:sz w:val="21"/>
              </w:rPr>
            </w:pPr>
          </w:p>
          <w:p w14:paraId="45385F35">
            <w:pPr>
              <w:spacing w:line="255" w:lineRule="auto"/>
              <w:rPr>
                <w:rFonts w:ascii="Arial"/>
                <w:sz w:val="21"/>
              </w:rPr>
            </w:pPr>
          </w:p>
          <w:p w14:paraId="5A24D4C5">
            <w:pPr>
              <w:spacing w:line="255" w:lineRule="auto"/>
              <w:rPr>
                <w:rFonts w:ascii="Arial"/>
                <w:sz w:val="21"/>
              </w:rPr>
            </w:pPr>
          </w:p>
          <w:p w14:paraId="56C719C5">
            <w:pPr>
              <w:spacing w:line="255" w:lineRule="auto"/>
              <w:rPr>
                <w:rFonts w:ascii="Arial"/>
                <w:sz w:val="21"/>
              </w:rPr>
            </w:pPr>
          </w:p>
          <w:p w14:paraId="20C560C7">
            <w:pPr>
              <w:spacing w:line="255" w:lineRule="auto"/>
              <w:rPr>
                <w:rFonts w:ascii="Arial"/>
                <w:sz w:val="21"/>
              </w:rPr>
            </w:pPr>
          </w:p>
          <w:p w14:paraId="04C1563C">
            <w:pPr>
              <w:spacing w:line="255" w:lineRule="auto"/>
              <w:rPr>
                <w:rFonts w:ascii="Arial"/>
                <w:sz w:val="21"/>
              </w:rPr>
            </w:pPr>
          </w:p>
          <w:p w14:paraId="5D7DCD25">
            <w:pPr>
              <w:spacing w:line="255" w:lineRule="auto"/>
              <w:rPr>
                <w:rFonts w:ascii="Arial"/>
                <w:sz w:val="21"/>
              </w:rPr>
            </w:pPr>
          </w:p>
          <w:p w14:paraId="69D4C616">
            <w:pPr>
              <w:pStyle w:val="8"/>
              <w:spacing w:before="58" w:line="233" w:lineRule="auto"/>
              <w:ind w:left="31" w:leftChars="0" w:right="27" w:rightChars="0"/>
              <w:rPr>
                <w:rFonts w:hint="eastAsia" w:ascii="宋体" w:hAnsi="宋体" w:eastAsia="宋体" w:cs="宋体"/>
                <w:snapToGrid w:val="0"/>
                <w:color w:val="000000"/>
                <w:kern w:val="0"/>
                <w:sz w:val="18"/>
                <w:szCs w:val="18"/>
                <w:lang w:val="en-US" w:eastAsia="zh-CN" w:bidi="ar-SA"/>
              </w:rPr>
            </w:pPr>
            <w:r>
              <w:rPr>
                <w:rFonts w:hint="eastAsia"/>
                <w:spacing w:val="7"/>
                <w:lang w:eastAsia="zh-CN"/>
              </w:rPr>
              <w:t>津市市交通运输局</w:t>
            </w:r>
          </w:p>
        </w:tc>
        <w:tc>
          <w:tcPr>
            <w:tcW w:w="1364" w:type="dxa"/>
            <w:shd w:val="clear" w:color="auto" w:fill="auto"/>
            <w:vAlign w:val="top"/>
          </w:tcPr>
          <w:p w14:paraId="4FE56B6B">
            <w:pPr>
              <w:spacing w:line="243" w:lineRule="auto"/>
              <w:rPr>
                <w:rFonts w:ascii="Arial"/>
                <w:sz w:val="21"/>
              </w:rPr>
            </w:pPr>
          </w:p>
          <w:p w14:paraId="6D15421A">
            <w:pPr>
              <w:spacing w:line="243" w:lineRule="auto"/>
              <w:rPr>
                <w:rFonts w:ascii="Arial"/>
                <w:sz w:val="21"/>
              </w:rPr>
            </w:pPr>
          </w:p>
          <w:p w14:paraId="68CF5A01">
            <w:pPr>
              <w:spacing w:line="243" w:lineRule="auto"/>
              <w:rPr>
                <w:rFonts w:ascii="Arial"/>
                <w:sz w:val="21"/>
              </w:rPr>
            </w:pPr>
          </w:p>
          <w:p w14:paraId="4B81E5D4">
            <w:pPr>
              <w:spacing w:line="243" w:lineRule="auto"/>
              <w:rPr>
                <w:rFonts w:ascii="Arial"/>
                <w:sz w:val="21"/>
              </w:rPr>
            </w:pPr>
          </w:p>
          <w:p w14:paraId="30E016B1">
            <w:pPr>
              <w:spacing w:line="243" w:lineRule="auto"/>
              <w:rPr>
                <w:rFonts w:ascii="Arial"/>
                <w:sz w:val="21"/>
              </w:rPr>
            </w:pPr>
          </w:p>
          <w:p w14:paraId="5EF6780D">
            <w:pPr>
              <w:spacing w:line="244" w:lineRule="auto"/>
              <w:rPr>
                <w:rFonts w:ascii="Arial"/>
                <w:sz w:val="21"/>
              </w:rPr>
            </w:pPr>
          </w:p>
          <w:p w14:paraId="2F071BD3">
            <w:pPr>
              <w:spacing w:line="244" w:lineRule="auto"/>
              <w:rPr>
                <w:rFonts w:ascii="Arial"/>
                <w:sz w:val="21"/>
              </w:rPr>
            </w:pPr>
          </w:p>
          <w:p w14:paraId="7A1BD1D5">
            <w:pPr>
              <w:spacing w:line="244" w:lineRule="auto"/>
              <w:rPr>
                <w:rFonts w:ascii="Arial"/>
                <w:sz w:val="21"/>
              </w:rPr>
            </w:pPr>
          </w:p>
          <w:p w14:paraId="7B806873">
            <w:pPr>
              <w:spacing w:line="244" w:lineRule="auto"/>
              <w:rPr>
                <w:rFonts w:ascii="Arial"/>
                <w:sz w:val="21"/>
              </w:rPr>
            </w:pPr>
          </w:p>
          <w:p w14:paraId="3C7B6950">
            <w:pPr>
              <w:spacing w:line="244" w:lineRule="auto"/>
              <w:rPr>
                <w:rFonts w:ascii="Arial"/>
                <w:sz w:val="21"/>
              </w:rPr>
            </w:pPr>
          </w:p>
          <w:p w14:paraId="1338671F">
            <w:pPr>
              <w:spacing w:line="244" w:lineRule="auto"/>
              <w:rPr>
                <w:rFonts w:ascii="Arial"/>
                <w:sz w:val="21"/>
              </w:rPr>
            </w:pPr>
          </w:p>
          <w:p w14:paraId="7B010A44">
            <w:pPr>
              <w:spacing w:line="244" w:lineRule="auto"/>
              <w:rPr>
                <w:rFonts w:ascii="Arial"/>
                <w:sz w:val="21"/>
              </w:rPr>
            </w:pPr>
          </w:p>
          <w:p w14:paraId="05A72FB1">
            <w:pPr>
              <w:pStyle w:val="8"/>
              <w:spacing w:before="58" w:line="219" w:lineRule="auto"/>
              <w:ind w:left="346" w:lef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行政审批服务办公室</w:t>
            </w:r>
          </w:p>
        </w:tc>
        <w:tc>
          <w:tcPr>
            <w:tcW w:w="8667" w:type="dxa"/>
            <w:shd w:val="clear" w:color="auto" w:fill="auto"/>
            <w:vAlign w:val="top"/>
          </w:tcPr>
          <w:p w14:paraId="6DB68290">
            <w:pPr>
              <w:spacing w:line="419" w:lineRule="auto"/>
              <w:rPr>
                <w:rFonts w:ascii="Arial"/>
                <w:sz w:val="21"/>
              </w:rPr>
            </w:pPr>
          </w:p>
          <w:p w14:paraId="7A0F15D6">
            <w:pPr>
              <w:pStyle w:val="8"/>
              <w:spacing w:before="59" w:line="219" w:lineRule="auto"/>
              <w:ind w:left="491"/>
            </w:pPr>
            <w:r>
              <w:rPr>
                <w:b/>
                <w:bCs/>
                <w:spacing w:val="-4"/>
              </w:rPr>
              <w:t>1.《中华人民共和国海上交通安全法》</w:t>
            </w:r>
          </w:p>
          <w:p w14:paraId="760201E5">
            <w:pPr>
              <w:pStyle w:val="8"/>
              <w:spacing w:before="25" w:line="219" w:lineRule="auto"/>
              <w:ind w:left="477"/>
            </w:pPr>
            <w:r>
              <w:t>第十三条  中国籍船员和海上设施上的工作人员应当接受海上交通安全以及相应岗</w:t>
            </w:r>
            <w:r>
              <w:rPr>
                <w:spacing w:val="-1"/>
              </w:rPr>
              <w:t>位的专业教育、培</w:t>
            </w:r>
          </w:p>
          <w:p w14:paraId="4D9B4632">
            <w:pPr>
              <w:pStyle w:val="8"/>
              <w:spacing w:before="26" w:line="220" w:lineRule="auto"/>
              <w:ind w:left="119"/>
            </w:pPr>
            <w:r>
              <w:rPr>
                <w:spacing w:val="-11"/>
              </w:rPr>
              <w:t>训。</w:t>
            </w:r>
          </w:p>
          <w:p w14:paraId="19132CC9">
            <w:pPr>
              <w:pStyle w:val="8"/>
              <w:spacing w:before="25" w:line="233" w:lineRule="auto"/>
              <w:ind w:left="119" w:right="108" w:firstLine="374"/>
            </w:pPr>
            <w:r>
              <w:rPr>
                <w:spacing w:val="-1"/>
              </w:rPr>
              <w:t>中国籍船员应当依照有关船员管理的法律、行政法规的规定向海事管理机构申请取得船员适任证书，并</w:t>
            </w:r>
            <w:r>
              <w:rPr>
                <w:spacing w:val="3"/>
              </w:rPr>
              <w:t xml:space="preserve"> </w:t>
            </w:r>
            <w:r>
              <w:rPr>
                <w:spacing w:val="-5"/>
              </w:rPr>
              <w:t>取得健康证明。</w:t>
            </w:r>
          </w:p>
          <w:p w14:paraId="4EE38E4D">
            <w:pPr>
              <w:pStyle w:val="8"/>
              <w:spacing w:before="24" w:line="233" w:lineRule="auto"/>
              <w:ind w:left="477" w:right="1382" w:firstLine="3"/>
            </w:pPr>
            <w:r>
              <w:rPr>
                <w:spacing w:val="-1"/>
              </w:rPr>
              <w:t>外国籍船员在中国籍船舶上工作的，按照有关船员管理的法律、行政法规的</w:t>
            </w:r>
            <w:r>
              <w:rPr>
                <w:spacing w:val="-2"/>
              </w:rPr>
              <w:t>规定执行。</w:t>
            </w:r>
            <w:r>
              <w:t xml:space="preserve"> 船员在船舶上工作，应当符合船员适任证书载明的船舶、</w:t>
            </w:r>
            <w:r>
              <w:rPr>
                <w:spacing w:val="-1"/>
              </w:rPr>
              <w:t>航区、职务的范围</w:t>
            </w:r>
          </w:p>
          <w:p w14:paraId="657C58C3">
            <w:pPr>
              <w:pStyle w:val="8"/>
              <w:spacing w:before="27" w:line="219" w:lineRule="auto"/>
              <w:ind w:left="479"/>
            </w:pPr>
            <w:r>
              <w:rPr>
                <w:b/>
                <w:bCs/>
                <w:spacing w:val="-3"/>
              </w:rPr>
              <w:t>2.《中华人民共和国船员条例》</w:t>
            </w:r>
          </w:p>
          <w:p w14:paraId="261C007B">
            <w:pPr>
              <w:pStyle w:val="8"/>
              <w:spacing w:before="26" w:line="233" w:lineRule="auto"/>
              <w:ind w:left="500" w:right="3182" w:hanging="23"/>
            </w:pPr>
            <w:r>
              <w:rPr>
                <w:spacing w:val="-2"/>
              </w:rPr>
              <w:t>第五条  船员应当依照本条例的规定取得相应的船员适任证书。</w:t>
            </w:r>
            <w:r>
              <w:rPr>
                <w:spacing w:val="18"/>
              </w:rPr>
              <w:t xml:space="preserve"> </w:t>
            </w:r>
            <w:r>
              <w:rPr>
                <w:spacing w:val="-4"/>
              </w:rPr>
              <w:t>申请船员适任证书，应当具备下列条件：</w:t>
            </w:r>
          </w:p>
          <w:p w14:paraId="0925733C">
            <w:pPr>
              <w:pStyle w:val="8"/>
              <w:spacing w:before="26" w:line="219" w:lineRule="auto"/>
              <w:ind w:left="509"/>
            </w:pPr>
            <w:r>
              <w:rPr>
                <w:spacing w:val="-3"/>
              </w:rPr>
              <w:t>(一)年满</w:t>
            </w:r>
            <w:r>
              <w:rPr>
                <w:spacing w:val="-27"/>
              </w:rPr>
              <w:t xml:space="preserve"> </w:t>
            </w:r>
            <w:r>
              <w:rPr>
                <w:spacing w:val="-3"/>
              </w:rPr>
              <w:t>18</w:t>
            </w:r>
            <w:r>
              <w:rPr>
                <w:spacing w:val="-38"/>
              </w:rPr>
              <w:t xml:space="preserve"> </w:t>
            </w:r>
            <w:r>
              <w:rPr>
                <w:spacing w:val="-3"/>
              </w:rPr>
              <w:t>周岁(在船实习、见习人员年满</w:t>
            </w:r>
            <w:r>
              <w:rPr>
                <w:spacing w:val="-26"/>
              </w:rPr>
              <w:t xml:space="preserve"> </w:t>
            </w:r>
            <w:r>
              <w:rPr>
                <w:spacing w:val="-4"/>
              </w:rPr>
              <w:t>16</w:t>
            </w:r>
            <w:r>
              <w:rPr>
                <w:spacing w:val="-38"/>
              </w:rPr>
              <w:t xml:space="preserve"> </w:t>
            </w:r>
            <w:r>
              <w:rPr>
                <w:spacing w:val="-4"/>
              </w:rPr>
              <w:t>周岁)且初次申请不超过</w:t>
            </w:r>
            <w:r>
              <w:rPr>
                <w:spacing w:val="-38"/>
              </w:rPr>
              <w:t xml:space="preserve"> </w:t>
            </w:r>
            <w:r>
              <w:rPr>
                <w:spacing w:val="-4"/>
              </w:rPr>
              <w:t>60</w:t>
            </w:r>
            <w:r>
              <w:rPr>
                <w:spacing w:val="-38"/>
              </w:rPr>
              <w:t xml:space="preserve"> </w:t>
            </w:r>
            <w:r>
              <w:rPr>
                <w:spacing w:val="-4"/>
              </w:rPr>
              <w:t>周岁；</w:t>
            </w:r>
          </w:p>
          <w:p w14:paraId="3D9DD2DA">
            <w:pPr>
              <w:pStyle w:val="8"/>
              <w:spacing w:before="27" w:line="219" w:lineRule="auto"/>
              <w:ind w:left="509"/>
            </w:pPr>
            <w:r>
              <w:rPr>
                <w:spacing w:val="-6"/>
              </w:rPr>
              <w:t>(二)符合船员任职岗位健康要求；</w:t>
            </w:r>
          </w:p>
          <w:p w14:paraId="00971317">
            <w:pPr>
              <w:pStyle w:val="8"/>
              <w:spacing w:before="26" w:line="219" w:lineRule="auto"/>
              <w:ind w:left="509"/>
            </w:pPr>
            <w:r>
              <w:rPr>
                <w:spacing w:val="-5"/>
              </w:rPr>
              <w:t>(三)经过船员基本安全培训。</w:t>
            </w:r>
          </w:p>
          <w:p w14:paraId="3DFF8D03">
            <w:pPr>
              <w:pStyle w:val="8"/>
              <w:spacing w:before="26" w:line="233" w:lineRule="auto"/>
              <w:ind w:left="117" w:right="108" w:firstLine="361"/>
            </w:pPr>
            <w:r>
              <w:rPr>
                <w:spacing w:val="-1"/>
              </w:rPr>
              <w:t>参加航行和轮机值班的船员还应当经过相应的船员适任培训、特殊培训，具备相应的船员任职资历，并</w:t>
            </w:r>
            <w:r>
              <w:rPr>
                <w:spacing w:val="18"/>
              </w:rPr>
              <w:t xml:space="preserve"> </w:t>
            </w:r>
            <w:r>
              <w:rPr>
                <w:spacing w:val="-3"/>
              </w:rPr>
              <w:t>且任职表现和安全记录良好。</w:t>
            </w:r>
          </w:p>
          <w:p w14:paraId="52D73626">
            <w:pPr>
              <w:pStyle w:val="8"/>
              <w:spacing w:before="26" w:line="219" w:lineRule="auto"/>
              <w:ind w:left="495"/>
            </w:pPr>
            <w:r>
              <w:rPr>
                <w:spacing w:val="-2"/>
              </w:rPr>
              <w:t>国际航行船舶的船员申请适任证书的，还应当通过船员专业外语考试。</w:t>
            </w:r>
          </w:p>
          <w:p w14:paraId="4CC3E495">
            <w:pPr>
              <w:pStyle w:val="8"/>
              <w:spacing w:before="27" w:line="237" w:lineRule="auto"/>
              <w:ind w:left="117" w:right="108" w:firstLine="360"/>
            </w:pPr>
            <w:r>
              <w:t>第六条  申请船员适任证书，可以向任何有相</w:t>
            </w:r>
            <w:r>
              <w:rPr>
                <w:spacing w:val="-1"/>
              </w:rPr>
              <w:t>应船员适任证书签发权限的海事管理机构提出书面申请，</w:t>
            </w:r>
            <w:r>
              <w:t xml:space="preserve"> 并附送申请人符合本条例第五条规定条件的证明材</w:t>
            </w:r>
            <w:r>
              <w:rPr>
                <w:spacing w:val="-1"/>
              </w:rPr>
              <w:t>料。对符合规定条件并通过国家海事管理机构组织的船员</w:t>
            </w:r>
            <w:r>
              <w:t xml:space="preserve"> </w:t>
            </w:r>
            <w:r>
              <w:rPr>
                <w:spacing w:val="-1"/>
              </w:rPr>
              <w:t>任职考试的，海事管理机构应当发给相应的船员适任证书及船员服务簿。</w:t>
            </w:r>
          </w:p>
          <w:p w14:paraId="32CDDD8B">
            <w:pPr>
              <w:pStyle w:val="8"/>
              <w:spacing w:before="27" w:line="219" w:lineRule="auto"/>
              <w:ind w:left="481"/>
            </w:pPr>
            <w:r>
              <w:rPr>
                <w:b/>
                <w:bCs/>
                <w:spacing w:val="-3"/>
              </w:rPr>
              <w:t>3.《国家职业资格目录(2021</w:t>
            </w:r>
            <w:r>
              <w:rPr>
                <w:spacing w:val="-27"/>
              </w:rPr>
              <w:t xml:space="preserve"> </w:t>
            </w:r>
            <w:r>
              <w:rPr>
                <w:b/>
                <w:bCs/>
                <w:spacing w:val="-3"/>
              </w:rPr>
              <w:t>年版》</w:t>
            </w:r>
          </w:p>
          <w:p w14:paraId="57E6969D">
            <w:pPr>
              <w:pStyle w:val="8"/>
              <w:spacing w:before="26" w:line="233" w:lineRule="auto"/>
              <w:ind w:left="118" w:leftChars="0" w:right="182" w:rightChars="0" w:firstLine="360" w:firstLineChars="0"/>
              <w:rPr>
                <w:rFonts w:ascii="宋体" w:hAnsi="宋体" w:eastAsia="宋体" w:cs="宋体"/>
                <w:snapToGrid w:val="0"/>
                <w:color w:val="000000"/>
                <w:kern w:val="0"/>
                <w:sz w:val="18"/>
                <w:szCs w:val="18"/>
                <w:lang w:val="en-US" w:eastAsia="en-US" w:bidi="ar-SA"/>
              </w:rPr>
            </w:pPr>
            <w:r>
              <w:rPr>
                <w:spacing w:val="-1"/>
              </w:rPr>
              <w:t>职业资格名称：船员资格，位列第</w:t>
            </w:r>
            <w:r>
              <w:rPr>
                <w:spacing w:val="-20"/>
              </w:rPr>
              <w:t xml:space="preserve"> </w:t>
            </w:r>
            <w:r>
              <w:rPr>
                <w:spacing w:val="-1"/>
              </w:rPr>
              <w:t>17</w:t>
            </w:r>
            <w:r>
              <w:rPr>
                <w:spacing w:val="-35"/>
              </w:rPr>
              <w:t xml:space="preserve"> </w:t>
            </w:r>
            <w:r>
              <w:rPr>
                <w:spacing w:val="-1"/>
              </w:rPr>
              <w:t>项，实施部门：交通运输部，资格类别：准入类，设定依据：中华人民共和国海上交通安全法、中华人民共和国船员条例、中华人民共和国内河交通安全管理条例。</w:t>
            </w:r>
          </w:p>
        </w:tc>
        <w:tc>
          <w:tcPr>
            <w:tcW w:w="1159" w:type="dxa"/>
            <w:vAlign w:val="top"/>
          </w:tcPr>
          <w:p w14:paraId="66A96E9C">
            <w:pPr>
              <w:rPr>
                <w:rFonts w:ascii="Arial"/>
                <w:sz w:val="21"/>
              </w:rPr>
            </w:pPr>
          </w:p>
        </w:tc>
      </w:tr>
      <w:tr w14:paraId="3D31C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5" w:hRule="atLeast"/>
        </w:trPr>
        <w:tc>
          <w:tcPr>
            <w:tcW w:w="705" w:type="dxa"/>
            <w:shd w:val="clear" w:color="auto" w:fill="auto"/>
            <w:vAlign w:val="top"/>
          </w:tcPr>
          <w:p w14:paraId="7A4E7C64">
            <w:pPr>
              <w:spacing w:line="289" w:lineRule="auto"/>
              <w:rPr>
                <w:rFonts w:ascii="Arial"/>
                <w:sz w:val="21"/>
              </w:rPr>
            </w:pPr>
          </w:p>
          <w:p w14:paraId="396BBA50">
            <w:pPr>
              <w:spacing w:line="289" w:lineRule="auto"/>
              <w:rPr>
                <w:rFonts w:ascii="Arial"/>
                <w:sz w:val="21"/>
              </w:rPr>
            </w:pPr>
          </w:p>
          <w:p w14:paraId="0B528FBA">
            <w:pPr>
              <w:spacing w:line="290" w:lineRule="auto"/>
              <w:rPr>
                <w:rFonts w:ascii="Arial"/>
                <w:sz w:val="21"/>
              </w:rPr>
            </w:pPr>
          </w:p>
          <w:p w14:paraId="1960B442">
            <w:pPr>
              <w:pStyle w:val="8"/>
              <w:spacing w:before="58" w:line="183" w:lineRule="auto"/>
              <w:ind w:left="270" w:leftChars="0"/>
              <w:rPr>
                <w:rFonts w:hint="default" w:ascii="宋体" w:hAnsi="宋体" w:eastAsia="宋体" w:cs="宋体"/>
                <w:snapToGrid w:val="0"/>
                <w:color w:val="000000"/>
                <w:kern w:val="0"/>
                <w:sz w:val="18"/>
                <w:szCs w:val="18"/>
                <w:lang w:val="en-US" w:eastAsia="zh-CN" w:bidi="ar-SA"/>
              </w:rPr>
            </w:pPr>
            <w:r>
              <w:rPr>
                <w:rFonts w:hint="eastAsia"/>
                <w:spacing w:val="-5"/>
                <w:lang w:val="en-US" w:eastAsia="zh-CN"/>
              </w:rPr>
              <w:t>28</w:t>
            </w:r>
          </w:p>
        </w:tc>
        <w:tc>
          <w:tcPr>
            <w:tcW w:w="1290" w:type="dxa"/>
            <w:shd w:val="clear" w:color="auto" w:fill="auto"/>
            <w:vAlign w:val="top"/>
          </w:tcPr>
          <w:p w14:paraId="604427B7">
            <w:pPr>
              <w:spacing w:line="299" w:lineRule="auto"/>
              <w:rPr>
                <w:rFonts w:ascii="Arial"/>
                <w:sz w:val="21"/>
              </w:rPr>
            </w:pPr>
          </w:p>
          <w:p w14:paraId="780DBDB2">
            <w:pPr>
              <w:spacing w:line="300" w:lineRule="auto"/>
              <w:rPr>
                <w:rFonts w:ascii="Arial"/>
                <w:sz w:val="21"/>
              </w:rPr>
            </w:pPr>
          </w:p>
          <w:p w14:paraId="53F00559">
            <w:pPr>
              <w:pStyle w:val="8"/>
              <w:spacing w:before="59" w:line="238" w:lineRule="auto"/>
              <w:ind w:left="29" w:leftChars="0" w:right="28" w:rightChars="0" w:firstLine="30" w:firstLineChars="0"/>
              <w:jc w:val="both"/>
              <w:rPr>
                <w:rFonts w:ascii="宋体" w:hAnsi="宋体" w:eastAsia="宋体" w:cs="宋体"/>
                <w:snapToGrid w:val="0"/>
                <w:color w:val="000000"/>
                <w:kern w:val="0"/>
                <w:sz w:val="18"/>
                <w:szCs w:val="18"/>
                <w:lang w:val="en-US" w:eastAsia="en-US" w:bidi="ar-SA"/>
              </w:rPr>
            </w:pPr>
            <w:r>
              <w:rPr>
                <w:spacing w:val="19"/>
              </w:rPr>
              <w:t>占用国防交通</w:t>
            </w:r>
            <w:r>
              <w:rPr>
                <w:spacing w:val="2"/>
              </w:rPr>
              <w:t xml:space="preserve"> </w:t>
            </w:r>
            <w:r>
              <w:rPr>
                <w:spacing w:val="24"/>
              </w:rPr>
              <w:t>控制范围土地</w:t>
            </w:r>
            <w:r>
              <w:rPr>
                <w:spacing w:val="2"/>
              </w:rPr>
              <w:t xml:space="preserve"> </w:t>
            </w:r>
            <w:r>
              <w:rPr>
                <w:spacing w:val="-2"/>
              </w:rPr>
              <w:t>审批</w:t>
            </w:r>
          </w:p>
        </w:tc>
        <w:tc>
          <w:tcPr>
            <w:tcW w:w="1379" w:type="dxa"/>
            <w:shd w:val="clear" w:color="auto" w:fill="auto"/>
            <w:vAlign w:val="top"/>
          </w:tcPr>
          <w:p w14:paraId="7972CDB0">
            <w:pPr>
              <w:spacing w:line="241" w:lineRule="auto"/>
              <w:rPr>
                <w:rFonts w:ascii="Arial"/>
                <w:sz w:val="21"/>
              </w:rPr>
            </w:pPr>
          </w:p>
          <w:p w14:paraId="654FE052">
            <w:pPr>
              <w:spacing w:line="242" w:lineRule="auto"/>
              <w:rPr>
                <w:rFonts w:ascii="Arial"/>
                <w:sz w:val="21"/>
              </w:rPr>
            </w:pPr>
          </w:p>
          <w:p w14:paraId="79136F47">
            <w:pPr>
              <w:pStyle w:val="8"/>
              <w:spacing w:before="58" w:line="239" w:lineRule="auto"/>
              <w:ind w:left="28" w:leftChars="0" w:right="27" w:rightChars="0" w:firstLine="3" w:firstLineChars="0"/>
              <w:rPr>
                <w:rFonts w:hint="eastAsia" w:ascii="宋体" w:hAnsi="宋体" w:eastAsia="宋体" w:cs="宋体"/>
                <w:snapToGrid w:val="0"/>
                <w:color w:val="000000"/>
                <w:kern w:val="0"/>
                <w:sz w:val="18"/>
                <w:szCs w:val="18"/>
                <w:lang w:val="en-US" w:eastAsia="zh-CN" w:bidi="ar-SA"/>
              </w:rPr>
            </w:pPr>
            <w:r>
              <w:rPr>
                <w:rFonts w:hint="eastAsia"/>
                <w:spacing w:val="6"/>
                <w:lang w:eastAsia="zh-CN"/>
              </w:rPr>
              <w:t>津市市交通运输局</w:t>
            </w:r>
          </w:p>
        </w:tc>
        <w:tc>
          <w:tcPr>
            <w:tcW w:w="1364" w:type="dxa"/>
            <w:shd w:val="clear" w:color="auto" w:fill="auto"/>
            <w:vAlign w:val="top"/>
          </w:tcPr>
          <w:p w14:paraId="4411617A">
            <w:pPr>
              <w:spacing w:line="279" w:lineRule="auto"/>
              <w:rPr>
                <w:rFonts w:ascii="Arial"/>
                <w:sz w:val="21"/>
              </w:rPr>
            </w:pPr>
          </w:p>
          <w:p w14:paraId="0A311699">
            <w:pPr>
              <w:spacing w:line="280" w:lineRule="auto"/>
              <w:rPr>
                <w:rFonts w:ascii="Arial"/>
                <w:sz w:val="21"/>
              </w:rPr>
            </w:pPr>
          </w:p>
          <w:p w14:paraId="4054BC99">
            <w:pPr>
              <w:spacing w:line="280" w:lineRule="auto"/>
              <w:rPr>
                <w:rFonts w:ascii="Arial"/>
                <w:sz w:val="21"/>
              </w:rPr>
            </w:pPr>
          </w:p>
          <w:p w14:paraId="66F1BF42">
            <w:pPr>
              <w:pStyle w:val="8"/>
              <w:spacing w:before="58" w:line="219" w:lineRule="auto"/>
              <w:ind w:left="346" w:leftChars="0"/>
              <w:rPr>
                <w:rFonts w:hint="eastAsia" w:ascii="宋体" w:hAnsi="宋体" w:eastAsia="宋体" w:cs="宋体"/>
                <w:snapToGrid w:val="0"/>
                <w:color w:val="000000"/>
                <w:kern w:val="0"/>
                <w:sz w:val="18"/>
                <w:szCs w:val="18"/>
                <w:lang w:val="en-US" w:eastAsia="zh-CN" w:bidi="ar-SA"/>
              </w:rPr>
            </w:pPr>
            <w:r>
              <w:rPr>
                <w:rFonts w:hint="eastAsia"/>
                <w:spacing w:val="-6"/>
                <w:lang w:eastAsia="zh-CN"/>
              </w:rPr>
              <w:t>行政审批服务办公室</w:t>
            </w:r>
          </w:p>
        </w:tc>
        <w:tc>
          <w:tcPr>
            <w:tcW w:w="8667" w:type="dxa"/>
            <w:shd w:val="clear" w:color="auto" w:fill="auto"/>
            <w:vAlign w:val="top"/>
          </w:tcPr>
          <w:p w14:paraId="3FB4D44C">
            <w:pPr>
              <w:pStyle w:val="8"/>
              <w:spacing w:before="70" w:line="219" w:lineRule="auto"/>
              <w:ind w:left="491"/>
            </w:pPr>
            <w:r>
              <w:rPr>
                <w:b/>
                <w:bCs/>
                <w:spacing w:val="-4"/>
              </w:rPr>
              <w:t>1.《中华人民共和国国防交通法》</w:t>
            </w:r>
          </w:p>
          <w:p w14:paraId="32DA0097">
            <w:pPr>
              <w:pStyle w:val="8"/>
              <w:spacing w:before="25" w:line="233" w:lineRule="auto"/>
              <w:ind w:left="122" w:right="108" w:firstLine="355"/>
            </w:pPr>
            <w:r>
              <w:t>第四十五条  县级以上人民政府国防交通主管</w:t>
            </w:r>
            <w:r>
              <w:rPr>
                <w:spacing w:val="-1"/>
              </w:rPr>
              <w:t>机构会同本级人民政府国土资源、城乡规划等主管部门确</w:t>
            </w:r>
            <w:r>
              <w:t xml:space="preserve"> </w:t>
            </w:r>
            <w:r>
              <w:rPr>
                <w:spacing w:val="-1"/>
              </w:rPr>
              <w:t>定预定抢建重要国防交通工程设施的土地，作为国防交通控制范围，纳入土地利用总体规划和城乡规划。</w:t>
            </w:r>
          </w:p>
          <w:p w14:paraId="32DFCE5E">
            <w:pPr>
              <w:pStyle w:val="8"/>
              <w:spacing w:before="25" w:line="233" w:lineRule="auto"/>
              <w:ind w:left="119" w:right="108" w:firstLine="361"/>
            </w:pPr>
            <w:r>
              <w:rPr>
                <w:spacing w:val="-1"/>
              </w:rPr>
              <w:t>未经县级以上人民政府国土资源主管部门、城乡规划主管部门和国防交通主管机构批准，任何组织和个</w:t>
            </w:r>
            <w:r>
              <w:rPr>
                <w:spacing w:val="17"/>
              </w:rPr>
              <w:t xml:space="preserve"> </w:t>
            </w:r>
            <w:r>
              <w:rPr>
                <w:spacing w:val="-2"/>
              </w:rPr>
              <w:t>人不得占用作为国防交通控制范围的土地。</w:t>
            </w:r>
          </w:p>
          <w:p w14:paraId="4CF4CF6C">
            <w:pPr>
              <w:pStyle w:val="8"/>
              <w:spacing w:before="26" w:line="219" w:lineRule="auto"/>
              <w:ind w:left="539"/>
            </w:pPr>
            <w:r>
              <w:rPr>
                <w:b/>
                <w:bCs/>
                <w:spacing w:val="-4"/>
              </w:rPr>
              <w:t>2.《国防交通条例》</w:t>
            </w:r>
          </w:p>
          <w:p w14:paraId="083CF908">
            <w:pPr>
              <w:pStyle w:val="8"/>
              <w:spacing w:before="26" w:line="233" w:lineRule="auto"/>
              <w:ind w:left="119" w:leftChars="0" w:right="108" w:rightChars="0" w:firstLine="358" w:firstLineChars="0"/>
              <w:rPr>
                <w:rFonts w:ascii="宋体" w:hAnsi="宋体" w:eastAsia="宋体" w:cs="宋体"/>
                <w:snapToGrid w:val="0"/>
                <w:color w:val="000000"/>
                <w:kern w:val="0"/>
                <w:sz w:val="18"/>
                <w:szCs w:val="18"/>
                <w:lang w:val="en-US" w:eastAsia="en-US" w:bidi="ar-SA"/>
              </w:rPr>
            </w:pPr>
            <w:r>
              <w:t>第二十三条第二款  未经土地管理部门、城市</w:t>
            </w:r>
            <w:r>
              <w:rPr>
                <w:spacing w:val="-1"/>
              </w:rPr>
              <w:t>规划主管部门和国防交通主管机构批准，任何单位或者个</w:t>
            </w:r>
            <w:r>
              <w:t xml:space="preserve"> </w:t>
            </w:r>
            <w:r>
              <w:rPr>
                <w:spacing w:val="-3"/>
              </w:rPr>
              <w:t>人不得占用国防交通控制用地。</w:t>
            </w:r>
          </w:p>
        </w:tc>
        <w:tc>
          <w:tcPr>
            <w:tcW w:w="1159" w:type="dxa"/>
            <w:vAlign w:val="top"/>
          </w:tcPr>
          <w:p w14:paraId="602CCFE5">
            <w:pPr>
              <w:rPr>
                <w:rFonts w:ascii="Arial"/>
                <w:sz w:val="21"/>
              </w:rPr>
            </w:pPr>
          </w:p>
        </w:tc>
      </w:tr>
    </w:tbl>
    <w:p w14:paraId="22F60373">
      <w:pPr>
        <w:pStyle w:val="2"/>
      </w:pPr>
    </w:p>
    <w:p w14:paraId="6D47DC1D">
      <w:pPr>
        <w:sectPr>
          <w:footerReference r:id="rId22" w:type="default"/>
          <w:pgSz w:w="16839" w:h="11906"/>
          <w:pgMar w:top="1012" w:right="1134" w:bottom="966" w:left="1134" w:header="0" w:footer="768" w:gutter="0"/>
          <w:cols w:space="720" w:num="1"/>
        </w:sectPr>
      </w:pPr>
    </w:p>
    <w:p w14:paraId="76287B12">
      <w:pPr>
        <w:spacing w:line="121" w:lineRule="exact"/>
      </w:pPr>
    </w:p>
    <w:p w14:paraId="4A01E6E5">
      <w:pPr>
        <w:pStyle w:val="2"/>
      </w:pPr>
    </w:p>
    <w:p w14:paraId="7628DBF0">
      <w:pPr>
        <w:spacing w:before="182" w:line="221" w:lineRule="auto"/>
        <w:ind w:left="825"/>
        <w:rPr>
          <w:rFonts w:ascii="黑体" w:hAnsi="黑体" w:eastAsia="黑体" w:cs="黑体"/>
          <w:sz w:val="20"/>
          <w:szCs w:val="20"/>
        </w:rPr>
      </w:pPr>
      <w:r>
        <w:rPr>
          <w:rFonts w:ascii="黑体" w:hAnsi="黑体" w:eastAsia="黑体" w:cs="黑体"/>
          <w:spacing w:val="8"/>
          <w:sz w:val="20"/>
          <w:szCs w:val="20"/>
        </w:rPr>
        <w:t>二、地方性法规设定的行政许可事项（</w:t>
      </w:r>
      <w:r>
        <w:rPr>
          <w:rFonts w:hint="eastAsia" w:ascii="黑体" w:hAnsi="黑体" w:eastAsia="黑体" w:cs="黑体"/>
          <w:spacing w:val="8"/>
          <w:sz w:val="20"/>
          <w:szCs w:val="20"/>
          <w:lang w:val="en-US" w:eastAsia="zh-CN"/>
        </w:rPr>
        <w:t>1</w:t>
      </w:r>
      <w:r>
        <w:rPr>
          <w:rFonts w:ascii="黑体" w:hAnsi="黑体" w:eastAsia="黑体" w:cs="黑体"/>
          <w:spacing w:val="-37"/>
          <w:sz w:val="20"/>
          <w:szCs w:val="20"/>
        </w:rPr>
        <w:t xml:space="preserve"> </w:t>
      </w:r>
      <w:r>
        <w:rPr>
          <w:rFonts w:ascii="黑体" w:hAnsi="黑体" w:eastAsia="黑体" w:cs="黑体"/>
          <w:spacing w:val="8"/>
          <w:sz w:val="20"/>
          <w:szCs w:val="20"/>
        </w:rPr>
        <w:t>项）</w:t>
      </w:r>
    </w:p>
    <w:tbl>
      <w:tblPr>
        <w:tblStyle w:val="7"/>
        <w:tblW w:w="147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1313"/>
        <w:gridCol w:w="1398"/>
        <w:gridCol w:w="1386"/>
        <w:gridCol w:w="8800"/>
        <w:gridCol w:w="1177"/>
      </w:tblGrid>
      <w:tr w14:paraId="7EA0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13" w:type="dxa"/>
            <w:vAlign w:val="top"/>
          </w:tcPr>
          <w:p w14:paraId="53BFC396">
            <w:pPr>
              <w:pStyle w:val="8"/>
              <w:spacing w:before="183" w:line="221" w:lineRule="auto"/>
              <w:ind w:left="179"/>
            </w:pPr>
            <w:r>
              <w:rPr>
                <w:b/>
                <w:bCs/>
                <w:spacing w:val="-4"/>
              </w:rPr>
              <w:t>序号</w:t>
            </w:r>
          </w:p>
        </w:tc>
        <w:tc>
          <w:tcPr>
            <w:tcW w:w="1313" w:type="dxa"/>
            <w:vAlign w:val="top"/>
          </w:tcPr>
          <w:p w14:paraId="1919DBB0">
            <w:pPr>
              <w:pStyle w:val="8"/>
              <w:spacing w:before="183" w:line="220" w:lineRule="auto"/>
              <w:ind w:left="297"/>
            </w:pPr>
            <w:r>
              <w:rPr>
                <w:b/>
                <w:bCs/>
                <w:spacing w:val="-4"/>
              </w:rPr>
              <w:t>事项名称</w:t>
            </w:r>
          </w:p>
        </w:tc>
        <w:tc>
          <w:tcPr>
            <w:tcW w:w="1398" w:type="dxa"/>
            <w:vAlign w:val="top"/>
          </w:tcPr>
          <w:p w14:paraId="0AFC64E8">
            <w:pPr>
              <w:pStyle w:val="8"/>
              <w:spacing w:before="183" w:line="219" w:lineRule="auto"/>
              <w:ind w:left="344"/>
            </w:pPr>
            <w:r>
              <w:rPr>
                <w:b/>
                <w:bCs/>
                <w:spacing w:val="-5"/>
              </w:rPr>
              <w:t>实施机关</w:t>
            </w:r>
          </w:p>
        </w:tc>
        <w:tc>
          <w:tcPr>
            <w:tcW w:w="1386" w:type="dxa"/>
            <w:vAlign w:val="top"/>
          </w:tcPr>
          <w:p w14:paraId="5F860449">
            <w:pPr>
              <w:pStyle w:val="8"/>
              <w:spacing w:before="183" w:line="219" w:lineRule="auto"/>
              <w:ind w:left="334"/>
            </w:pPr>
            <w:r>
              <w:rPr>
                <w:b/>
                <w:bCs/>
                <w:spacing w:val="-4"/>
              </w:rPr>
              <w:t>承办机构</w:t>
            </w:r>
          </w:p>
        </w:tc>
        <w:tc>
          <w:tcPr>
            <w:tcW w:w="8800" w:type="dxa"/>
            <w:vAlign w:val="top"/>
          </w:tcPr>
          <w:p w14:paraId="6F9713D6">
            <w:pPr>
              <w:pStyle w:val="8"/>
              <w:spacing w:before="183" w:line="219" w:lineRule="auto"/>
              <w:ind w:left="3775"/>
            </w:pPr>
            <w:r>
              <w:rPr>
                <w:b/>
                <w:bCs/>
                <w:spacing w:val="-3"/>
              </w:rPr>
              <w:t>设定和实施依据</w:t>
            </w:r>
          </w:p>
        </w:tc>
        <w:tc>
          <w:tcPr>
            <w:tcW w:w="1177" w:type="dxa"/>
            <w:vAlign w:val="top"/>
          </w:tcPr>
          <w:p w14:paraId="40FD0D97">
            <w:pPr>
              <w:pStyle w:val="8"/>
              <w:spacing w:before="62" w:line="234" w:lineRule="auto"/>
              <w:ind w:left="55" w:right="62" w:hanging="3"/>
            </w:pPr>
            <w:r>
              <w:rPr>
                <w:b/>
                <w:bCs/>
                <w:spacing w:val="-8"/>
              </w:rPr>
              <w:t>备注（转移、</w:t>
            </w:r>
            <w:r>
              <w:rPr>
                <w:spacing w:val="2"/>
              </w:rPr>
              <w:t xml:space="preserve"> </w:t>
            </w:r>
            <w:r>
              <w:rPr>
                <w:b/>
                <w:bCs/>
                <w:spacing w:val="-7"/>
              </w:rPr>
              <w:t>下放、委托）</w:t>
            </w:r>
          </w:p>
        </w:tc>
      </w:tr>
      <w:tr w14:paraId="2C0C2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6" w:hRule="atLeast"/>
        </w:trPr>
        <w:tc>
          <w:tcPr>
            <w:tcW w:w="713" w:type="dxa"/>
            <w:vAlign w:val="top"/>
          </w:tcPr>
          <w:p w14:paraId="7817FF55">
            <w:pPr>
              <w:spacing w:line="281" w:lineRule="auto"/>
              <w:rPr>
                <w:rFonts w:ascii="Arial"/>
                <w:sz w:val="21"/>
              </w:rPr>
            </w:pPr>
          </w:p>
          <w:p w14:paraId="42C5DEC2">
            <w:pPr>
              <w:spacing w:line="282" w:lineRule="auto"/>
              <w:rPr>
                <w:rFonts w:ascii="Arial"/>
                <w:sz w:val="21"/>
              </w:rPr>
            </w:pPr>
          </w:p>
          <w:p w14:paraId="115CDA38">
            <w:pPr>
              <w:spacing w:line="282" w:lineRule="auto"/>
              <w:rPr>
                <w:rFonts w:ascii="Arial"/>
                <w:sz w:val="21"/>
              </w:rPr>
            </w:pPr>
          </w:p>
          <w:p w14:paraId="6D0EB98D">
            <w:pPr>
              <w:spacing w:line="282" w:lineRule="auto"/>
              <w:rPr>
                <w:rFonts w:ascii="Arial"/>
                <w:sz w:val="21"/>
              </w:rPr>
            </w:pPr>
          </w:p>
          <w:p w14:paraId="74A5AB46">
            <w:pPr>
              <w:pStyle w:val="8"/>
              <w:spacing w:before="58" w:line="183" w:lineRule="auto"/>
              <w:ind w:left="318"/>
              <w:rPr>
                <w:rFonts w:hint="eastAsia" w:eastAsia="宋体"/>
                <w:lang w:eastAsia="zh-CN"/>
              </w:rPr>
            </w:pPr>
            <w:r>
              <w:rPr>
                <w:rFonts w:hint="eastAsia"/>
                <w:lang w:val="en-US" w:eastAsia="zh-CN"/>
              </w:rPr>
              <w:t>1</w:t>
            </w:r>
          </w:p>
        </w:tc>
        <w:tc>
          <w:tcPr>
            <w:tcW w:w="1313" w:type="dxa"/>
            <w:vAlign w:val="top"/>
          </w:tcPr>
          <w:p w14:paraId="1C8FDD53">
            <w:pPr>
              <w:spacing w:line="245" w:lineRule="auto"/>
              <w:rPr>
                <w:rFonts w:ascii="Arial"/>
                <w:sz w:val="21"/>
              </w:rPr>
            </w:pPr>
          </w:p>
          <w:p w14:paraId="3DD659CD">
            <w:pPr>
              <w:spacing w:line="245" w:lineRule="auto"/>
              <w:rPr>
                <w:rFonts w:ascii="Arial"/>
                <w:sz w:val="21"/>
              </w:rPr>
            </w:pPr>
          </w:p>
          <w:p w14:paraId="7997AF12">
            <w:pPr>
              <w:spacing w:line="245" w:lineRule="auto"/>
              <w:rPr>
                <w:rFonts w:ascii="Arial"/>
                <w:sz w:val="21"/>
              </w:rPr>
            </w:pPr>
          </w:p>
          <w:p w14:paraId="2658829D">
            <w:pPr>
              <w:spacing w:line="245" w:lineRule="auto"/>
              <w:rPr>
                <w:rFonts w:ascii="Arial"/>
                <w:sz w:val="21"/>
              </w:rPr>
            </w:pPr>
          </w:p>
          <w:p w14:paraId="754F934F">
            <w:pPr>
              <w:pStyle w:val="8"/>
              <w:spacing w:before="58" w:line="233" w:lineRule="auto"/>
              <w:ind w:left="32" w:right="26" w:hanging="2"/>
            </w:pPr>
            <w:r>
              <w:rPr>
                <w:spacing w:val="28"/>
              </w:rPr>
              <w:t>港口设施建设</w:t>
            </w:r>
            <w:r>
              <w:rPr>
                <w:spacing w:val="2"/>
              </w:rPr>
              <w:t xml:space="preserve"> </w:t>
            </w:r>
            <w:r>
              <w:rPr>
                <w:spacing w:val="-2"/>
              </w:rPr>
              <w:t>工程施工许可</w:t>
            </w:r>
          </w:p>
        </w:tc>
        <w:tc>
          <w:tcPr>
            <w:tcW w:w="1398" w:type="dxa"/>
            <w:vAlign w:val="top"/>
          </w:tcPr>
          <w:p w14:paraId="38FD7C07">
            <w:pPr>
              <w:spacing w:line="244" w:lineRule="auto"/>
              <w:rPr>
                <w:rFonts w:ascii="Arial"/>
                <w:sz w:val="21"/>
              </w:rPr>
            </w:pPr>
          </w:p>
          <w:p w14:paraId="6BAC6B29">
            <w:pPr>
              <w:spacing w:line="245" w:lineRule="auto"/>
              <w:rPr>
                <w:rFonts w:ascii="Arial"/>
                <w:sz w:val="21"/>
              </w:rPr>
            </w:pPr>
          </w:p>
          <w:p w14:paraId="5570A768">
            <w:pPr>
              <w:spacing w:line="245" w:lineRule="auto"/>
              <w:rPr>
                <w:rFonts w:ascii="Arial"/>
                <w:sz w:val="21"/>
              </w:rPr>
            </w:pPr>
          </w:p>
          <w:p w14:paraId="6F719406">
            <w:pPr>
              <w:spacing w:line="245" w:lineRule="auto"/>
              <w:rPr>
                <w:rFonts w:ascii="Arial"/>
                <w:sz w:val="21"/>
              </w:rPr>
            </w:pPr>
          </w:p>
          <w:p w14:paraId="2710A6D7">
            <w:pPr>
              <w:pStyle w:val="8"/>
              <w:spacing w:before="58" w:line="233" w:lineRule="auto"/>
              <w:ind w:left="29" w:right="25" w:firstLine="1"/>
              <w:rPr>
                <w:rFonts w:hint="eastAsia" w:eastAsia="宋体"/>
                <w:lang w:eastAsia="zh-CN"/>
              </w:rPr>
            </w:pPr>
            <w:r>
              <w:rPr>
                <w:rFonts w:hint="eastAsia"/>
                <w:spacing w:val="10"/>
                <w:lang w:eastAsia="zh-CN"/>
              </w:rPr>
              <w:t>津市市交通运输局</w:t>
            </w:r>
          </w:p>
        </w:tc>
        <w:tc>
          <w:tcPr>
            <w:tcW w:w="1386" w:type="dxa"/>
            <w:vAlign w:val="top"/>
          </w:tcPr>
          <w:p w14:paraId="1D8A8F8C">
            <w:pPr>
              <w:spacing w:line="274" w:lineRule="auto"/>
              <w:rPr>
                <w:rFonts w:ascii="Arial"/>
                <w:sz w:val="21"/>
              </w:rPr>
            </w:pPr>
          </w:p>
          <w:p w14:paraId="3B2E7610">
            <w:pPr>
              <w:spacing w:line="274" w:lineRule="auto"/>
              <w:rPr>
                <w:rFonts w:ascii="Arial"/>
                <w:sz w:val="21"/>
              </w:rPr>
            </w:pPr>
          </w:p>
          <w:p w14:paraId="3EB59EBC">
            <w:pPr>
              <w:spacing w:line="275" w:lineRule="auto"/>
              <w:rPr>
                <w:rFonts w:ascii="Arial"/>
                <w:sz w:val="21"/>
              </w:rPr>
            </w:pPr>
          </w:p>
          <w:p w14:paraId="5696E1B4">
            <w:pPr>
              <w:spacing w:line="275" w:lineRule="auto"/>
              <w:rPr>
                <w:rFonts w:ascii="Arial"/>
                <w:sz w:val="21"/>
              </w:rPr>
            </w:pPr>
          </w:p>
          <w:p w14:paraId="552ABACB">
            <w:pPr>
              <w:pStyle w:val="8"/>
              <w:spacing w:before="59" w:line="219" w:lineRule="auto"/>
              <w:ind w:left="358"/>
              <w:rPr>
                <w:rFonts w:hint="eastAsia" w:eastAsia="宋体"/>
                <w:lang w:eastAsia="zh-CN"/>
              </w:rPr>
            </w:pPr>
            <w:r>
              <w:rPr>
                <w:rFonts w:hint="eastAsia"/>
                <w:spacing w:val="-6"/>
                <w:lang w:eastAsia="zh-CN"/>
              </w:rPr>
              <w:t>行政审批服务办公室</w:t>
            </w:r>
          </w:p>
        </w:tc>
        <w:tc>
          <w:tcPr>
            <w:tcW w:w="8800" w:type="dxa"/>
            <w:vAlign w:val="top"/>
          </w:tcPr>
          <w:p w14:paraId="47429838">
            <w:pPr>
              <w:spacing w:line="271" w:lineRule="auto"/>
              <w:rPr>
                <w:rFonts w:ascii="Arial"/>
                <w:sz w:val="21"/>
              </w:rPr>
            </w:pPr>
          </w:p>
          <w:p w14:paraId="4185379A">
            <w:pPr>
              <w:pStyle w:val="8"/>
              <w:spacing w:before="59" w:line="219" w:lineRule="auto"/>
              <w:ind w:left="403"/>
            </w:pPr>
            <w:r>
              <w:rPr>
                <w:b/>
                <w:bCs/>
                <w:spacing w:val="-4"/>
              </w:rPr>
              <w:t>1.《中华人民共和国港口法》</w:t>
            </w:r>
          </w:p>
          <w:p w14:paraId="7C9B4DC0">
            <w:pPr>
              <w:pStyle w:val="8"/>
              <w:spacing w:before="25" w:line="233" w:lineRule="auto"/>
              <w:ind w:left="48" w:right="23" w:firstLine="342"/>
            </w:pPr>
            <w:r>
              <w:rPr>
                <w:spacing w:val="-2"/>
              </w:rPr>
              <w:t>第十五条  按照国家规定须经有关机关批准的港口建设项目，应当按照国家有关规定办理审批手续，并符合</w:t>
            </w:r>
            <w:r>
              <w:rPr>
                <w:spacing w:val="15"/>
              </w:rPr>
              <w:t xml:space="preserve"> </w:t>
            </w:r>
            <w:r>
              <w:rPr>
                <w:spacing w:val="-4"/>
              </w:rPr>
              <w:t>国家有关标准和技术规范。</w:t>
            </w:r>
          </w:p>
          <w:p w14:paraId="23314AEB">
            <w:pPr>
              <w:pStyle w:val="8"/>
              <w:spacing w:before="25" w:line="218" w:lineRule="auto"/>
              <w:ind w:left="392"/>
            </w:pPr>
            <w:r>
              <w:rPr>
                <w:spacing w:val="-2"/>
              </w:rPr>
              <w:t>建设港口工程项目，应当依法进行环境影响评价。</w:t>
            </w:r>
          </w:p>
          <w:p w14:paraId="3AAA3182">
            <w:pPr>
              <w:pStyle w:val="8"/>
              <w:spacing w:before="27" w:line="219" w:lineRule="auto"/>
              <w:ind w:left="389"/>
            </w:pPr>
            <w:r>
              <w:rPr>
                <w:spacing w:val="-1"/>
              </w:rPr>
              <w:t>港口建设项目的安全设施和环境保护设施，必须与主体工程同时设计、同时施工、同时投入使用。</w:t>
            </w:r>
          </w:p>
          <w:p w14:paraId="3692FD6D">
            <w:pPr>
              <w:pStyle w:val="8"/>
              <w:spacing w:before="27" w:line="219" w:lineRule="auto"/>
              <w:ind w:left="452"/>
            </w:pPr>
            <w:r>
              <w:rPr>
                <w:b/>
                <w:bCs/>
                <w:spacing w:val="-2"/>
              </w:rPr>
              <w:t>2.《湖南省实施〈中华人民共和国港口法〉办法》</w:t>
            </w:r>
          </w:p>
          <w:p w14:paraId="3A75392A">
            <w:pPr>
              <w:pStyle w:val="8"/>
              <w:spacing w:before="25" w:line="233" w:lineRule="auto"/>
              <w:ind w:left="48" w:right="23" w:firstLine="342"/>
            </w:pPr>
            <w:r>
              <w:rPr>
                <w:spacing w:val="-2"/>
              </w:rPr>
              <w:t>第十五条  港口设施建设工程必须具备国务院交通行政主管部门规定的施工条件，由建设单位向县级以上</w:t>
            </w:r>
            <w:r>
              <w:rPr>
                <w:rFonts w:hint="eastAsia"/>
                <w:spacing w:val="-2"/>
                <w:lang w:eastAsia="zh-CN"/>
              </w:rPr>
              <w:t>人民政府</w:t>
            </w:r>
            <w:r>
              <w:rPr>
                <w:spacing w:val="-2"/>
              </w:rPr>
              <w:t>交通行政主管部门申请办理施工许可后，方可进行施工。</w:t>
            </w:r>
          </w:p>
        </w:tc>
        <w:tc>
          <w:tcPr>
            <w:tcW w:w="1177" w:type="dxa"/>
            <w:vAlign w:val="top"/>
          </w:tcPr>
          <w:p w14:paraId="7D920B74">
            <w:pPr>
              <w:rPr>
                <w:rFonts w:ascii="Arial"/>
                <w:sz w:val="21"/>
              </w:rPr>
            </w:pPr>
          </w:p>
        </w:tc>
      </w:tr>
    </w:tbl>
    <w:p w14:paraId="55EE9C72">
      <w:pPr>
        <w:pStyle w:val="2"/>
      </w:pPr>
    </w:p>
    <w:p w14:paraId="2F224BC9">
      <w:pPr>
        <w:sectPr>
          <w:footerReference r:id="rId23" w:type="default"/>
          <w:pgSz w:w="16839" w:h="11906"/>
          <w:pgMar w:top="1012" w:right="1023" w:bottom="967" w:left="1022" w:header="0" w:footer="768" w:gutter="0"/>
          <w:cols w:space="720" w:num="1"/>
        </w:sectPr>
      </w:pPr>
    </w:p>
    <w:p w14:paraId="02E00C39"/>
    <w:p w14:paraId="36F44590">
      <w:pPr>
        <w:spacing w:before="242"/>
        <w:ind w:left="2480"/>
        <w:outlineLvl w:val="0"/>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spacing w:val="22"/>
          <w:sz w:val="31"/>
          <w:szCs w:val="31"/>
          <w:lang w:eastAsia="zh-CN"/>
        </w:rPr>
        <w:t>津市市</w:t>
      </w:r>
      <w:r>
        <w:rPr>
          <w:rFonts w:ascii="方正小标宋简体" w:hAnsi="方正小标宋简体" w:eastAsia="方正小标宋简体" w:cs="方正小标宋简体"/>
          <w:spacing w:val="22"/>
          <w:sz w:val="31"/>
          <w:szCs w:val="31"/>
        </w:rPr>
        <w:t>交通运输综合行政执法事项指导目录</w:t>
      </w:r>
      <w:r>
        <w:rPr>
          <w:rFonts w:ascii="方正小标宋简体" w:hAnsi="方正小标宋简体" w:eastAsia="方正小标宋简体" w:cs="方正小标宋简体"/>
          <w:spacing w:val="21"/>
          <w:sz w:val="31"/>
          <w:szCs w:val="31"/>
        </w:rPr>
        <w:t>（道路运输管理</w:t>
      </w:r>
      <w:r>
        <w:rPr>
          <w:rFonts w:ascii="方正小标宋简体" w:hAnsi="方正小标宋简体" w:eastAsia="方正小标宋简体" w:cs="方正小标宋简体"/>
          <w:spacing w:val="29"/>
          <w:sz w:val="31"/>
          <w:szCs w:val="31"/>
        </w:rPr>
        <w:t xml:space="preserve"> </w:t>
      </w:r>
      <w:r>
        <w:rPr>
          <w:rFonts w:ascii="方正小标宋简体" w:hAnsi="方正小标宋简体" w:eastAsia="方正小标宋简体" w:cs="方正小标宋简体"/>
          <w:spacing w:val="21"/>
          <w:sz w:val="31"/>
          <w:szCs w:val="31"/>
        </w:rPr>
        <w:t>8</w:t>
      </w:r>
      <w:r>
        <w:rPr>
          <w:rFonts w:hint="eastAsia" w:ascii="方正小标宋简体" w:hAnsi="方正小标宋简体" w:eastAsia="方正小标宋简体" w:cs="方正小标宋简体"/>
          <w:spacing w:val="21"/>
          <w:sz w:val="31"/>
          <w:szCs w:val="31"/>
          <w:lang w:val="en-US" w:eastAsia="zh-CN"/>
        </w:rPr>
        <w:t>6</w:t>
      </w:r>
      <w:r>
        <w:rPr>
          <w:rFonts w:ascii="方正小标宋简体" w:hAnsi="方正小标宋简体" w:eastAsia="方正小标宋简体" w:cs="方正小标宋简体"/>
          <w:spacing w:val="21"/>
          <w:sz w:val="31"/>
          <w:szCs w:val="31"/>
        </w:rPr>
        <w:t xml:space="preserve"> 项）</w:t>
      </w:r>
    </w:p>
    <w:p w14:paraId="42747A5D">
      <w:pPr>
        <w:spacing w:line="23"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7B690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36CAEDB2">
            <w:pPr>
              <w:pStyle w:val="8"/>
              <w:spacing w:before="273" w:line="221" w:lineRule="auto"/>
              <w:ind w:left="129"/>
            </w:pPr>
            <w:r>
              <w:rPr>
                <w:b/>
                <w:bCs/>
                <w:spacing w:val="-4"/>
              </w:rPr>
              <w:t>序号</w:t>
            </w:r>
          </w:p>
        </w:tc>
        <w:tc>
          <w:tcPr>
            <w:tcW w:w="1101" w:type="dxa"/>
            <w:vMerge w:val="restart"/>
            <w:tcBorders>
              <w:bottom w:val="nil"/>
            </w:tcBorders>
            <w:vAlign w:val="top"/>
          </w:tcPr>
          <w:p w14:paraId="2165F33B">
            <w:pPr>
              <w:pStyle w:val="8"/>
              <w:spacing w:before="274" w:line="220" w:lineRule="auto"/>
              <w:ind w:left="182"/>
            </w:pPr>
            <w:r>
              <w:rPr>
                <w:b/>
                <w:bCs/>
                <w:spacing w:val="-4"/>
              </w:rPr>
              <w:t>事项名称</w:t>
            </w:r>
          </w:p>
        </w:tc>
        <w:tc>
          <w:tcPr>
            <w:tcW w:w="1101" w:type="dxa"/>
            <w:vMerge w:val="restart"/>
            <w:tcBorders>
              <w:bottom w:val="nil"/>
            </w:tcBorders>
            <w:vAlign w:val="top"/>
          </w:tcPr>
          <w:p w14:paraId="0F78AAD7">
            <w:pPr>
              <w:pStyle w:val="8"/>
              <w:spacing w:before="274" w:line="219" w:lineRule="auto"/>
              <w:ind w:left="183"/>
            </w:pPr>
            <w:r>
              <w:rPr>
                <w:b/>
                <w:bCs/>
                <w:spacing w:val="-4"/>
              </w:rPr>
              <w:t>职权类型</w:t>
            </w:r>
          </w:p>
        </w:tc>
        <w:tc>
          <w:tcPr>
            <w:tcW w:w="8524" w:type="dxa"/>
            <w:vMerge w:val="restart"/>
            <w:tcBorders>
              <w:bottom w:val="nil"/>
            </w:tcBorders>
            <w:vAlign w:val="top"/>
          </w:tcPr>
          <w:p w14:paraId="16E12F94">
            <w:pPr>
              <w:pStyle w:val="8"/>
              <w:spacing w:before="273" w:line="219" w:lineRule="auto"/>
              <w:ind w:left="4083"/>
            </w:pPr>
            <w:r>
              <w:rPr>
                <w:b/>
                <w:bCs/>
                <w:spacing w:val="-5"/>
              </w:rPr>
              <w:t>实施依据</w:t>
            </w:r>
          </w:p>
        </w:tc>
        <w:tc>
          <w:tcPr>
            <w:tcW w:w="3435" w:type="dxa"/>
            <w:gridSpan w:val="3"/>
            <w:vAlign w:val="top"/>
          </w:tcPr>
          <w:p w14:paraId="285D84B5">
            <w:pPr>
              <w:pStyle w:val="8"/>
              <w:spacing w:before="94" w:line="220" w:lineRule="auto"/>
              <w:ind w:left="1360"/>
            </w:pPr>
            <w:r>
              <w:rPr>
                <w:b/>
                <w:bCs/>
                <w:spacing w:val="-5"/>
              </w:rPr>
              <w:t>实施主体</w:t>
            </w:r>
          </w:p>
        </w:tc>
      </w:tr>
      <w:tr w14:paraId="18009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41E5FC9F">
            <w:pPr>
              <w:rPr>
                <w:rFonts w:ascii="Arial"/>
                <w:sz w:val="21"/>
              </w:rPr>
            </w:pPr>
          </w:p>
        </w:tc>
        <w:tc>
          <w:tcPr>
            <w:tcW w:w="1101" w:type="dxa"/>
            <w:vMerge w:val="continue"/>
            <w:tcBorders>
              <w:top w:val="nil"/>
            </w:tcBorders>
            <w:vAlign w:val="top"/>
          </w:tcPr>
          <w:p w14:paraId="3AB5FF7C">
            <w:pPr>
              <w:rPr>
                <w:rFonts w:ascii="Arial"/>
                <w:sz w:val="21"/>
              </w:rPr>
            </w:pPr>
          </w:p>
        </w:tc>
        <w:tc>
          <w:tcPr>
            <w:tcW w:w="1101" w:type="dxa"/>
            <w:vMerge w:val="continue"/>
            <w:tcBorders>
              <w:top w:val="nil"/>
            </w:tcBorders>
            <w:vAlign w:val="top"/>
          </w:tcPr>
          <w:p w14:paraId="2ABDB242">
            <w:pPr>
              <w:rPr>
                <w:rFonts w:ascii="Arial"/>
                <w:sz w:val="21"/>
              </w:rPr>
            </w:pPr>
          </w:p>
        </w:tc>
        <w:tc>
          <w:tcPr>
            <w:tcW w:w="8524" w:type="dxa"/>
            <w:vMerge w:val="continue"/>
            <w:tcBorders>
              <w:top w:val="nil"/>
            </w:tcBorders>
            <w:vAlign w:val="top"/>
          </w:tcPr>
          <w:p w14:paraId="3662A99F">
            <w:pPr>
              <w:rPr>
                <w:rFonts w:ascii="Arial"/>
                <w:sz w:val="21"/>
              </w:rPr>
            </w:pPr>
          </w:p>
        </w:tc>
        <w:tc>
          <w:tcPr>
            <w:tcW w:w="1011" w:type="dxa"/>
            <w:vAlign w:val="top"/>
          </w:tcPr>
          <w:p w14:paraId="39A65E6C">
            <w:pPr>
              <w:pStyle w:val="8"/>
              <w:spacing w:before="85" w:line="219" w:lineRule="auto"/>
              <w:ind w:left="154"/>
            </w:pPr>
            <w:r>
              <w:rPr>
                <w:b/>
                <w:bCs/>
                <w:spacing w:val="-5"/>
              </w:rPr>
              <w:t>责任部门</w:t>
            </w:r>
          </w:p>
        </w:tc>
        <w:tc>
          <w:tcPr>
            <w:tcW w:w="1404" w:type="dxa"/>
            <w:vAlign w:val="top"/>
          </w:tcPr>
          <w:p w14:paraId="74BBD1DC">
            <w:pPr>
              <w:pStyle w:val="8"/>
              <w:spacing w:before="85" w:line="219" w:lineRule="auto"/>
              <w:ind w:left="164"/>
            </w:pPr>
            <w:r>
              <w:rPr>
                <w:b/>
                <w:bCs/>
                <w:spacing w:val="-3"/>
              </w:rPr>
              <w:t>第一责任层级</w:t>
            </w:r>
          </w:p>
        </w:tc>
        <w:tc>
          <w:tcPr>
            <w:tcW w:w="1020" w:type="dxa"/>
            <w:vAlign w:val="top"/>
          </w:tcPr>
          <w:p w14:paraId="6CE9542D">
            <w:pPr>
              <w:pStyle w:val="8"/>
              <w:spacing w:before="84" w:line="219" w:lineRule="auto"/>
              <w:ind w:left="114"/>
            </w:pPr>
            <w:r>
              <w:rPr>
                <w:b/>
                <w:bCs/>
                <w:spacing w:val="-4"/>
              </w:rPr>
              <w:t>承办机构</w:t>
            </w:r>
          </w:p>
        </w:tc>
      </w:tr>
      <w:tr w14:paraId="0D4A1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1" w:hRule="atLeast"/>
        </w:trPr>
        <w:tc>
          <w:tcPr>
            <w:tcW w:w="629" w:type="dxa"/>
            <w:vAlign w:val="top"/>
          </w:tcPr>
          <w:p w14:paraId="7C1E2C5D">
            <w:pPr>
              <w:spacing w:line="249" w:lineRule="auto"/>
              <w:rPr>
                <w:rFonts w:ascii="Arial"/>
                <w:sz w:val="21"/>
              </w:rPr>
            </w:pPr>
          </w:p>
          <w:p w14:paraId="1FDED23F">
            <w:pPr>
              <w:spacing w:line="249" w:lineRule="auto"/>
              <w:rPr>
                <w:rFonts w:ascii="Arial"/>
                <w:sz w:val="21"/>
              </w:rPr>
            </w:pPr>
          </w:p>
          <w:p w14:paraId="317E3F1F">
            <w:pPr>
              <w:spacing w:line="249" w:lineRule="auto"/>
              <w:rPr>
                <w:rFonts w:ascii="Arial"/>
                <w:sz w:val="21"/>
              </w:rPr>
            </w:pPr>
          </w:p>
          <w:p w14:paraId="349A3852">
            <w:pPr>
              <w:spacing w:line="249" w:lineRule="auto"/>
              <w:rPr>
                <w:rFonts w:ascii="Arial"/>
                <w:sz w:val="21"/>
              </w:rPr>
            </w:pPr>
          </w:p>
          <w:p w14:paraId="75FC2B8C">
            <w:pPr>
              <w:spacing w:line="249" w:lineRule="auto"/>
              <w:rPr>
                <w:rFonts w:ascii="Arial"/>
                <w:sz w:val="21"/>
              </w:rPr>
            </w:pPr>
          </w:p>
          <w:p w14:paraId="19C6EED8">
            <w:pPr>
              <w:spacing w:line="249" w:lineRule="auto"/>
              <w:rPr>
                <w:rFonts w:ascii="Arial"/>
                <w:sz w:val="21"/>
              </w:rPr>
            </w:pPr>
          </w:p>
          <w:p w14:paraId="26461283">
            <w:pPr>
              <w:spacing w:line="249" w:lineRule="auto"/>
              <w:rPr>
                <w:rFonts w:ascii="Arial"/>
                <w:sz w:val="21"/>
              </w:rPr>
            </w:pPr>
          </w:p>
          <w:p w14:paraId="533B75F9">
            <w:pPr>
              <w:pStyle w:val="8"/>
              <w:spacing w:before="59" w:line="184" w:lineRule="auto"/>
              <w:ind w:left="282"/>
            </w:pPr>
            <w:r>
              <w:t>1</w:t>
            </w:r>
          </w:p>
        </w:tc>
        <w:tc>
          <w:tcPr>
            <w:tcW w:w="1101" w:type="dxa"/>
            <w:vAlign w:val="top"/>
          </w:tcPr>
          <w:p w14:paraId="504CDD91">
            <w:pPr>
              <w:spacing w:line="279" w:lineRule="auto"/>
              <w:rPr>
                <w:rFonts w:ascii="Arial"/>
                <w:sz w:val="21"/>
              </w:rPr>
            </w:pPr>
          </w:p>
          <w:p w14:paraId="682B523D">
            <w:pPr>
              <w:spacing w:line="280" w:lineRule="auto"/>
              <w:rPr>
                <w:rFonts w:ascii="Arial"/>
                <w:sz w:val="21"/>
              </w:rPr>
            </w:pPr>
          </w:p>
          <w:p w14:paraId="2AFC466A">
            <w:pPr>
              <w:spacing w:line="280" w:lineRule="auto"/>
              <w:rPr>
                <w:rFonts w:ascii="Arial"/>
                <w:sz w:val="21"/>
              </w:rPr>
            </w:pPr>
          </w:p>
          <w:p w14:paraId="1A5BE178">
            <w:pPr>
              <w:spacing w:line="280" w:lineRule="auto"/>
              <w:rPr>
                <w:rFonts w:ascii="Arial"/>
                <w:sz w:val="21"/>
              </w:rPr>
            </w:pPr>
          </w:p>
          <w:p w14:paraId="2CD34C6C">
            <w:pPr>
              <w:pStyle w:val="8"/>
              <w:spacing w:before="59" w:line="242" w:lineRule="auto"/>
              <w:ind w:left="18" w:right="20"/>
              <w:jc w:val="both"/>
            </w:pPr>
            <w:r>
              <w:rPr>
                <w:spacing w:val="-6"/>
              </w:rPr>
              <w:t>对道路危险货</w:t>
            </w:r>
            <w:r>
              <w:rPr>
                <w:spacing w:val="2"/>
              </w:rPr>
              <w:t xml:space="preserve"> </w:t>
            </w:r>
            <w:r>
              <w:rPr>
                <w:spacing w:val="-6"/>
              </w:rPr>
              <w:t>物运输企业或</w:t>
            </w:r>
            <w:r>
              <w:rPr>
                <w:spacing w:val="2"/>
              </w:rPr>
              <w:t xml:space="preserve"> </w:t>
            </w:r>
            <w:r>
              <w:rPr>
                <w:spacing w:val="-6"/>
              </w:rPr>
              <w:t>者单位未配备</w:t>
            </w:r>
            <w:r>
              <w:rPr>
                <w:spacing w:val="2"/>
              </w:rPr>
              <w:t xml:space="preserve"> </w:t>
            </w:r>
            <w:r>
              <w:rPr>
                <w:spacing w:val="-6"/>
              </w:rPr>
              <w:t>专职安全管理</w:t>
            </w:r>
            <w:r>
              <w:rPr>
                <w:spacing w:val="2"/>
              </w:rPr>
              <w:t xml:space="preserve"> </w:t>
            </w:r>
            <w:r>
              <w:rPr>
                <w:spacing w:val="-6"/>
              </w:rPr>
              <w:t>人员行为的行</w:t>
            </w:r>
            <w:r>
              <w:rPr>
                <w:spacing w:val="2"/>
              </w:rPr>
              <w:t xml:space="preserve"> </w:t>
            </w:r>
            <w:r>
              <w:rPr>
                <w:spacing w:val="-5"/>
              </w:rPr>
              <w:t>政处罚</w:t>
            </w:r>
          </w:p>
        </w:tc>
        <w:tc>
          <w:tcPr>
            <w:tcW w:w="1101" w:type="dxa"/>
            <w:vAlign w:val="top"/>
          </w:tcPr>
          <w:p w14:paraId="59B1ACAC">
            <w:pPr>
              <w:spacing w:line="245" w:lineRule="auto"/>
              <w:rPr>
                <w:rFonts w:ascii="Arial"/>
                <w:sz w:val="21"/>
              </w:rPr>
            </w:pPr>
          </w:p>
          <w:p w14:paraId="05353801">
            <w:pPr>
              <w:spacing w:line="245" w:lineRule="auto"/>
              <w:rPr>
                <w:rFonts w:ascii="Arial"/>
                <w:sz w:val="21"/>
              </w:rPr>
            </w:pPr>
          </w:p>
          <w:p w14:paraId="03A82AEE">
            <w:pPr>
              <w:spacing w:line="245" w:lineRule="auto"/>
              <w:rPr>
                <w:rFonts w:ascii="Arial"/>
                <w:sz w:val="21"/>
              </w:rPr>
            </w:pPr>
          </w:p>
          <w:p w14:paraId="6246B6A8">
            <w:pPr>
              <w:spacing w:line="245" w:lineRule="auto"/>
              <w:rPr>
                <w:rFonts w:ascii="Arial"/>
                <w:sz w:val="21"/>
              </w:rPr>
            </w:pPr>
          </w:p>
          <w:p w14:paraId="02FA3CDB">
            <w:pPr>
              <w:spacing w:line="245" w:lineRule="auto"/>
              <w:rPr>
                <w:rFonts w:ascii="Arial"/>
                <w:sz w:val="21"/>
              </w:rPr>
            </w:pPr>
          </w:p>
          <w:p w14:paraId="1BE64FAF">
            <w:pPr>
              <w:spacing w:line="245" w:lineRule="auto"/>
              <w:rPr>
                <w:rFonts w:ascii="Arial"/>
                <w:sz w:val="21"/>
              </w:rPr>
            </w:pPr>
          </w:p>
          <w:p w14:paraId="7A750C43">
            <w:pPr>
              <w:spacing w:line="246" w:lineRule="auto"/>
              <w:rPr>
                <w:rFonts w:ascii="Arial"/>
                <w:sz w:val="21"/>
              </w:rPr>
            </w:pPr>
          </w:p>
          <w:p w14:paraId="0EDC864C">
            <w:pPr>
              <w:pStyle w:val="8"/>
              <w:spacing w:before="58" w:line="220" w:lineRule="auto"/>
              <w:ind w:left="25"/>
            </w:pPr>
            <w:r>
              <w:rPr>
                <w:spacing w:val="-7"/>
              </w:rPr>
              <w:t>行政处罚</w:t>
            </w:r>
          </w:p>
        </w:tc>
        <w:tc>
          <w:tcPr>
            <w:tcW w:w="8524" w:type="dxa"/>
            <w:vAlign w:val="top"/>
          </w:tcPr>
          <w:p w14:paraId="2B4B5652">
            <w:pPr>
              <w:spacing w:line="404" w:lineRule="auto"/>
              <w:rPr>
                <w:rFonts w:ascii="Arial"/>
                <w:sz w:val="21"/>
              </w:rPr>
            </w:pPr>
          </w:p>
          <w:p w14:paraId="48E7E830">
            <w:pPr>
              <w:pStyle w:val="8"/>
              <w:spacing w:before="59" w:line="219" w:lineRule="auto"/>
              <w:ind w:left="458"/>
            </w:pPr>
            <w:r>
              <w:rPr>
                <w:b/>
                <w:bCs/>
                <w:spacing w:val="-9"/>
              </w:rPr>
              <w:t>1.《中华人民共和国安全生产法》</w:t>
            </w:r>
          </w:p>
          <w:p w14:paraId="0051846D">
            <w:pPr>
              <w:pStyle w:val="8"/>
              <w:spacing w:before="25" w:line="233" w:lineRule="auto"/>
              <w:ind w:left="100" w:right="157" w:firstLine="344"/>
            </w:pPr>
            <w:r>
              <w:rPr>
                <w:spacing w:val="-8"/>
              </w:rPr>
              <w:t>第二十四条</w:t>
            </w:r>
            <w:r>
              <w:rPr>
                <w:spacing w:val="74"/>
              </w:rPr>
              <w:t xml:space="preserve"> </w:t>
            </w:r>
            <w:r>
              <w:rPr>
                <w:spacing w:val="-8"/>
              </w:rPr>
              <w:t>矿山、金属冶炼、建筑施工、运输单位和危险物品的生产、经营、储存、装卸单位，应当设</w:t>
            </w:r>
            <w:r>
              <w:t xml:space="preserve"> </w:t>
            </w:r>
            <w:r>
              <w:rPr>
                <w:spacing w:val="-8"/>
              </w:rPr>
              <w:t>置安全生产管理机构或者配备专职安全生产管理人员。</w:t>
            </w:r>
          </w:p>
          <w:p w14:paraId="4A9CD4BF">
            <w:pPr>
              <w:pStyle w:val="8"/>
              <w:spacing w:before="26" w:line="233" w:lineRule="auto"/>
              <w:ind w:left="102" w:right="150" w:firstLine="346"/>
            </w:pPr>
            <w:r>
              <w:rPr>
                <w:spacing w:val="-8"/>
              </w:rPr>
              <w:t>前款规定以外的其他生产经营单位，从业人员超过一百人的，应当设置安全生产管理机构或者配</w:t>
            </w:r>
            <w:r>
              <w:rPr>
                <w:spacing w:val="-9"/>
              </w:rPr>
              <w:t>备专职安</w:t>
            </w:r>
            <w:r>
              <w:t xml:space="preserve"> </w:t>
            </w:r>
            <w:r>
              <w:rPr>
                <w:spacing w:val="-8"/>
              </w:rPr>
              <w:t>全生产管理人员；从业人员在一百人以下的，应当配备专职或者兼职的安全生产管理人员。</w:t>
            </w:r>
          </w:p>
          <w:p w14:paraId="1AD17003">
            <w:pPr>
              <w:pStyle w:val="8"/>
              <w:spacing w:before="23"/>
              <w:ind w:left="102" w:right="88" w:firstLine="343"/>
            </w:pPr>
            <w:r>
              <w:rPr>
                <w:spacing w:val="-8"/>
              </w:rPr>
              <w:t>第九十七条第（一）项</w:t>
            </w:r>
            <w:r>
              <w:rPr>
                <w:spacing w:val="74"/>
              </w:rPr>
              <w:t xml:space="preserve"> </w:t>
            </w:r>
            <w:r>
              <w:rPr>
                <w:spacing w:val="-8"/>
              </w:rPr>
              <w:t>生产经营单位有下列行为之一的，责令限期改正，处十万元以下的罚款；逾期未</w:t>
            </w:r>
            <w:r>
              <w:t xml:space="preserve"> </w:t>
            </w:r>
            <w:r>
              <w:rPr>
                <w:spacing w:val="-8"/>
              </w:rPr>
              <w:t>改正的，责令停产停业整顿，并处十万元以上二十万元以下的罚款，对其直接负责的主管人员和其他直接</w:t>
            </w:r>
            <w:r>
              <w:rPr>
                <w:spacing w:val="-9"/>
              </w:rPr>
              <w:t>责任</w:t>
            </w:r>
            <w:r>
              <w:t xml:space="preserve"> </w:t>
            </w:r>
            <w:r>
              <w:rPr>
                <w:spacing w:val="-8"/>
              </w:rPr>
              <w:t>人员处二万元以上五万元以下的罚款:（一）未按照规定设置安</w:t>
            </w:r>
            <w:r>
              <w:rPr>
                <w:spacing w:val="-9"/>
              </w:rPr>
              <w:t>全生产管理机构或者配备安全生产管理人员、注</w:t>
            </w:r>
            <w:r>
              <w:t xml:space="preserve"> </w:t>
            </w:r>
            <w:r>
              <w:rPr>
                <w:spacing w:val="-7"/>
              </w:rPr>
              <w:t>册安全工程师的；</w:t>
            </w:r>
          </w:p>
          <w:p w14:paraId="688DEECC">
            <w:pPr>
              <w:pStyle w:val="8"/>
              <w:spacing w:before="25" w:line="219" w:lineRule="auto"/>
              <w:ind w:left="447"/>
            </w:pPr>
            <w:r>
              <w:rPr>
                <w:b/>
                <w:bCs/>
                <w:spacing w:val="-8"/>
              </w:rPr>
              <w:t>2.《道路危险货物运输管理规定》(交通运输部令2023年第13号)</w:t>
            </w:r>
          </w:p>
          <w:p w14:paraId="4A6E628F">
            <w:pPr>
              <w:pStyle w:val="8"/>
              <w:spacing w:before="26" w:line="233" w:lineRule="auto"/>
              <w:ind w:left="104" w:right="157" w:firstLine="341"/>
            </w:pPr>
            <w:r>
              <w:rPr>
                <w:spacing w:val="-8"/>
              </w:rPr>
              <w:t>第五十九条</w:t>
            </w:r>
            <w:r>
              <w:rPr>
                <w:spacing w:val="74"/>
              </w:rPr>
              <w:t xml:space="preserve"> </w:t>
            </w:r>
            <w:r>
              <w:rPr>
                <w:spacing w:val="-8"/>
              </w:rPr>
              <w:t>违反本规定，道路危险货物运输企业或者单位未配备专职安全管理人员的，由交通运输主管</w:t>
            </w:r>
            <w:r>
              <w:t xml:space="preserve"> </w:t>
            </w:r>
            <w:r>
              <w:rPr>
                <w:spacing w:val="-8"/>
              </w:rPr>
              <w:t>部门依照《中华人民共和国安全生产法》的规定进行处罚。</w:t>
            </w:r>
          </w:p>
        </w:tc>
        <w:tc>
          <w:tcPr>
            <w:tcW w:w="1011" w:type="dxa"/>
            <w:vAlign w:val="top"/>
          </w:tcPr>
          <w:p w14:paraId="485891DA">
            <w:pPr>
              <w:spacing w:line="266" w:lineRule="auto"/>
              <w:rPr>
                <w:rFonts w:ascii="Arial"/>
                <w:sz w:val="21"/>
              </w:rPr>
            </w:pPr>
          </w:p>
          <w:p w14:paraId="2D8ED21C">
            <w:pPr>
              <w:spacing w:line="266" w:lineRule="auto"/>
              <w:rPr>
                <w:rFonts w:ascii="Arial"/>
                <w:sz w:val="21"/>
              </w:rPr>
            </w:pPr>
          </w:p>
          <w:p w14:paraId="2E41DD37">
            <w:pPr>
              <w:spacing w:line="266" w:lineRule="auto"/>
              <w:rPr>
                <w:rFonts w:ascii="Arial"/>
                <w:sz w:val="21"/>
              </w:rPr>
            </w:pPr>
          </w:p>
          <w:p w14:paraId="7B45C1CB">
            <w:pPr>
              <w:spacing w:line="266" w:lineRule="auto"/>
              <w:rPr>
                <w:rFonts w:ascii="Arial"/>
                <w:sz w:val="21"/>
              </w:rPr>
            </w:pPr>
          </w:p>
          <w:p w14:paraId="5C3E074D">
            <w:pPr>
              <w:spacing w:line="266" w:lineRule="auto"/>
              <w:rPr>
                <w:rFonts w:ascii="Arial"/>
                <w:sz w:val="21"/>
              </w:rPr>
            </w:pPr>
          </w:p>
          <w:p w14:paraId="683C4A39">
            <w:pPr>
              <w:spacing w:line="266" w:lineRule="auto"/>
              <w:rPr>
                <w:rFonts w:ascii="Arial"/>
                <w:sz w:val="21"/>
              </w:rPr>
            </w:pPr>
          </w:p>
          <w:p w14:paraId="7BB25827">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261EB5E0">
            <w:pPr>
              <w:spacing w:line="266" w:lineRule="auto"/>
              <w:rPr>
                <w:rFonts w:ascii="Arial"/>
                <w:sz w:val="21"/>
              </w:rPr>
            </w:pPr>
          </w:p>
          <w:p w14:paraId="123B4752">
            <w:pPr>
              <w:spacing w:line="266" w:lineRule="auto"/>
              <w:rPr>
                <w:rFonts w:ascii="Arial"/>
                <w:sz w:val="21"/>
              </w:rPr>
            </w:pPr>
          </w:p>
          <w:p w14:paraId="18EC4936">
            <w:pPr>
              <w:spacing w:line="266" w:lineRule="auto"/>
              <w:rPr>
                <w:rFonts w:ascii="Arial"/>
                <w:sz w:val="21"/>
              </w:rPr>
            </w:pPr>
          </w:p>
          <w:p w14:paraId="7E261780">
            <w:pPr>
              <w:spacing w:line="266" w:lineRule="auto"/>
              <w:rPr>
                <w:rFonts w:ascii="Arial"/>
                <w:sz w:val="21"/>
              </w:rPr>
            </w:pPr>
          </w:p>
          <w:p w14:paraId="0D729785">
            <w:pPr>
              <w:spacing w:line="266" w:lineRule="auto"/>
              <w:rPr>
                <w:rFonts w:ascii="Arial"/>
                <w:sz w:val="21"/>
              </w:rPr>
            </w:pPr>
          </w:p>
          <w:p w14:paraId="3B560272">
            <w:pPr>
              <w:spacing w:line="266" w:lineRule="auto"/>
              <w:rPr>
                <w:rFonts w:ascii="Arial"/>
                <w:sz w:val="21"/>
              </w:rPr>
            </w:pPr>
          </w:p>
          <w:p w14:paraId="075ADAD9">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3BF9CE46">
            <w:pPr>
              <w:spacing w:line="271" w:lineRule="auto"/>
              <w:rPr>
                <w:rFonts w:ascii="Arial"/>
                <w:sz w:val="21"/>
              </w:rPr>
            </w:pPr>
          </w:p>
          <w:p w14:paraId="50767EEA">
            <w:pPr>
              <w:spacing w:line="272" w:lineRule="auto"/>
              <w:rPr>
                <w:rFonts w:ascii="Arial"/>
                <w:sz w:val="21"/>
              </w:rPr>
            </w:pPr>
          </w:p>
          <w:p w14:paraId="0504E6F3">
            <w:pPr>
              <w:spacing w:line="272" w:lineRule="auto"/>
              <w:rPr>
                <w:rFonts w:ascii="Arial"/>
                <w:sz w:val="21"/>
              </w:rPr>
            </w:pPr>
          </w:p>
          <w:p w14:paraId="07089100">
            <w:pPr>
              <w:spacing w:line="272" w:lineRule="auto"/>
              <w:rPr>
                <w:rFonts w:ascii="Arial"/>
                <w:sz w:val="21"/>
              </w:rPr>
            </w:pPr>
          </w:p>
          <w:p w14:paraId="67575F57">
            <w:pPr>
              <w:spacing w:line="272" w:lineRule="auto"/>
              <w:rPr>
                <w:rFonts w:ascii="Arial"/>
                <w:sz w:val="21"/>
              </w:rPr>
            </w:pPr>
          </w:p>
          <w:p w14:paraId="7EB2E3F0">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7254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42" w:hRule="atLeast"/>
        </w:trPr>
        <w:tc>
          <w:tcPr>
            <w:tcW w:w="629" w:type="dxa"/>
            <w:vAlign w:val="top"/>
          </w:tcPr>
          <w:p w14:paraId="6C6190F9">
            <w:pPr>
              <w:spacing w:line="257" w:lineRule="auto"/>
              <w:rPr>
                <w:rFonts w:ascii="Arial"/>
                <w:sz w:val="21"/>
              </w:rPr>
            </w:pPr>
          </w:p>
          <w:p w14:paraId="13E7D63C">
            <w:pPr>
              <w:spacing w:line="257" w:lineRule="auto"/>
              <w:rPr>
                <w:rFonts w:ascii="Arial"/>
                <w:sz w:val="21"/>
              </w:rPr>
            </w:pPr>
          </w:p>
          <w:p w14:paraId="44D0046D">
            <w:pPr>
              <w:spacing w:line="257" w:lineRule="auto"/>
              <w:rPr>
                <w:rFonts w:ascii="Arial"/>
                <w:sz w:val="21"/>
              </w:rPr>
            </w:pPr>
          </w:p>
          <w:p w14:paraId="1B680EB1">
            <w:pPr>
              <w:spacing w:line="257" w:lineRule="auto"/>
              <w:rPr>
                <w:rFonts w:ascii="Arial"/>
                <w:sz w:val="21"/>
              </w:rPr>
            </w:pPr>
          </w:p>
          <w:p w14:paraId="467C7EA8">
            <w:pPr>
              <w:spacing w:line="257" w:lineRule="auto"/>
              <w:rPr>
                <w:rFonts w:ascii="Arial"/>
                <w:sz w:val="21"/>
              </w:rPr>
            </w:pPr>
          </w:p>
          <w:p w14:paraId="06C26C77">
            <w:pPr>
              <w:spacing w:line="257" w:lineRule="auto"/>
              <w:rPr>
                <w:rFonts w:ascii="Arial"/>
                <w:sz w:val="21"/>
              </w:rPr>
            </w:pPr>
          </w:p>
          <w:p w14:paraId="1FCCF3DC">
            <w:pPr>
              <w:spacing w:line="257" w:lineRule="auto"/>
              <w:rPr>
                <w:rFonts w:ascii="Arial"/>
                <w:sz w:val="21"/>
              </w:rPr>
            </w:pPr>
          </w:p>
          <w:p w14:paraId="56B141FF">
            <w:pPr>
              <w:pStyle w:val="8"/>
              <w:spacing w:before="58" w:line="183" w:lineRule="auto"/>
              <w:ind w:left="268"/>
            </w:pPr>
            <w:r>
              <w:t>2</w:t>
            </w:r>
          </w:p>
        </w:tc>
        <w:tc>
          <w:tcPr>
            <w:tcW w:w="1101" w:type="dxa"/>
            <w:vAlign w:val="top"/>
          </w:tcPr>
          <w:p w14:paraId="56673089">
            <w:pPr>
              <w:spacing w:line="294" w:lineRule="auto"/>
              <w:rPr>
                <w:rFonts w:ascii="Arial"/>
                <w:sz w:val="21"/>
              </w:rPr>
            </w:pPr>
          </w:p>
          <w:p w14:paraId="6DF1D3DF">
            <w:pPr>
              <w:spacing w:line="294" w:lineRule="auto"/>
              <w:rPr>
                <w:rFonts w:ascii="Arial"/>
                <w:sz w:val="21"/>
              </w:rPr>
            </w:pPr>
          </w:p>
          <w:p w14:paraId="6EDFD862">
            <w:pPr>
              <w:spacing w:line="294" w:lineRule="auto"/>
              <w:rPr>
                <w:rFonts w:ascii="Arial"/>
                <w:sz w:val="21"/>
              </w:rPr>
            </w:pPr>
          </w:p>
          <w:p w14:paraId="3BC24C57">
            <w:pPr>
              <w:spacing w:line="295" w:lineRule="auto"/>
              <w:rPr>
                <w:rFonts w:ascii="Arial"/>
                <w:sz w:val="21"/>
              </w:rPr>
            </w:pPr>
          </w:p>
          <w:p w14:paraId="2EDC03C1">
            <w:pPr>
              <w:pStyle w:val="8"/>
              <w:spacing w:before="59" w:line="242" w:lineRule="auto"/>
              <w:ind w:left="17" w:right="20"/>
              <w:jc w:val="both"/>
            </w:pPr>
            <w:r>
              <w:rPr>
                <w:spacing w:val="-6"/>
              </w:rPr>
              <w:t>对生产经营单</w:t>
            </w:r>
            <w:r>
              <w:rPr>
                <w:spacing w:val="2"/>
              </w:rPr>
              <w:t xml:space="preserve"> </w:t>
            </w:r>
            <w:r>
              <w:rPr>
                <w:spacing w:val="-6"/>
              </w:rPr>
              <w:t>位未按规定设</w:t>
            </w:r>
            <w:r>
              <w:rPr>
                <w:spacing w:val="2"/>
              </w:rPr>
              <w:t xml:space="preserve"> </w:t>
            </w:r>
            <w:r>
              <w:rPr>
                <w:spacing w:val="-6"/>
              </w:rPr>
              <w:t>置安全生产管</w:t>
            </w:r>
            <w:r>
              <w:rPr>
                <w:spacing w:val="2"/>
              </w:rPr>
              <w:t xml:space="preserve"> </w:t>
            </w:r>
            <w:r>
              <w:rPr>
                <w:spacing w:val="-6"/>
              </w:rPr>
              <w:t>理机构或者配</w:t>
            </w:r>
            <w:r>
              <w:rPr>
                <w:spacing w:val="2"/>
              </w:rPr>
              <w:t xml:space="preserve"> </w:t>
            </w:r>
            <w:r>
              <w:rPr>
                <w:spacing w:val="-6"/>
              </w:rPr>
              <w:t>备安全生产管</w:t>
            </w:r>
            <w:r>
              <w:rPr>
                <w:spacing w:val="2"/>
              </w:rPr>
              <w:t xml:space="preserve"> </w:t>
            </w:r>
            <w:r>
              <w:rPr>
                <w:spacing w:val="-6"/>
              </w:rPr>
              <w:t>理人员等行为</w:t>
            </w:r>
            <w:r>
              <w:rPr>
                <w:spacing w:val="2"/>
              </w:rPr>
              <w:t xml:space="preserve"> </w:t>
            </w:r>
            <w:r>
              <w:rPr>
                <w:spacing w:val="-6"/>
              </w:rPr>
              <w:t>的行政处罚</w:t>
            </w:r>
          </w:p>
        </w:tc>
        <w:tc>
          <w:tcPr>
            <w:tcW w:w="1101" w:type="dxa"/>
            <w:vAlign w:val="top"/>
          </w:tcPr>
          <w:p w14:paraId="1285AE6C">
            <w:pPr>
              <w:spacing w:line="253" w:lineRule="auto"/>
              <w:rPr>
                <w:rFonts w:ascii="Arial"/>
                <w:sz w:val="21"/>
              </w:rPr>
            </w:pPr>
          </w:p>
          <w:p w14:paraId="5F5DC7C6">
            <w:pPr>
              <w:spacing w:line="253" w:lineRule="auto"/>
              <w:rPr>
                <w:rFonts w:ascii="Arial"/>
                <w:sz w:val="21"/>
              </w:rPr>
            </w:pPr>
          </w:p>
          <w:p w14:paraId="40F53633">
            <w:pPr>
              <w:spacing w:line="253" w:lineRule="auto"/>
              <w:rPr>
                <w:rFonts w:ascii="Arial"/>
                <w:sz w:val="21"/>
              </w:rPr>
            </w:pPr>
          </w:p>
          <w:p w14:paraId="776E9E76">
            <w:pPr>
              <w:spacing w:line="253" w:lineRule="auto"/>
              <w:rPr>
                <w:rFonts w:ascii="Arial"/>
                <w:sz w:val="21"/>
              </w:rPr>
            </w:pPr>
          </w:p>
          <w:p w14:paraId="2B32E834">
            <w:pPr>
              <w:spacing w:line="253" w:lineRule="auto"/>
              <w:rPr>
                <w:rFonts w:ascii="Arial"/>
                <w:sz w:val="21"/>
              </w:rPr>
            </w:pPr>
          </w:p>
          <w:p w14:paraId="39A28B4A">
            <w:pPr>
              <w:spacing w:line="253" w:lineRule="auto"/>
              <w:rPr>
                <w:rFonts w:ascii="Arial"/>
                <w:sz w:val="21"/>
              </w:rPr>
            </w:pPr>
          </w:p>
          <w:p w14:paraId="5C0A9676">
            <w:pPr>
              <w:spacing w:line="253" w:lineRule="auto"/>
              <w:rPr>
                <w:rFonts w:ascii="Arial"/>
                <w:sz w:val="21"/>
              </w:rPr>
            </w:pPr>
          </w:p>
          <w:p w14:paraId="51D0B334">
            <w:pPr>
              <w:pStyle w:val="8"/>
              <w:spacing w:before="58" w:line="220" w:lineRule="auto"/>
              <w:ind w:left="25"/>
            </w:pPr>
            <w:r>
              <w:rPr>
                <w:spacing w:val="-7"/>
              </w:rPr>
              <w:t>行政处罚</w:t>
            </w:r>
          </w:p>
        </w:tc>
        <w:tc>
          <w:tcPr>
            <w:tcW w:w="8524" w:type="dxa"/>
            <w:vAlign w:val="top"/>
          </w:tcPr>
          <w:p w14:paraId="33B75EBB">
            <w:pPr>
              <w:spacing w:line="340" w:lineRule="auto"/>
              <w:rPr>
                <w:rFonts w:ascii="Arial"/>
                <w:sz w:val="21"/>
              </w:rPr>
            </w:pPr>
          </w:p>
          <w:p w14:paraId="5BBB75B7">
            <w:pPr>
              <w:pStyle w:val="8"/>
              <w:spacing w:before="58" w:line="219" w:lineRule="auto"/>
              <w:ind w:left="458"/>
            </w:pPr>
            <w:r>
              <w:rPr>
                <w:b/>
                <w:bCs/>
                <w:spacing w:val="-9"/>
              </w:rPr>
              <w:t>1.《中华人民共和国安全生产法》</w:t>
            </w:r>
          </w:p>
          <w:p w14:paraId="0A0E0FB6">
            <w:pPr>
              <w:pStyle w:val="8"/>
              <w:spacing w:before="25" w:line="233" w:lineRule="auto"/>
              <w:ind w:left="103" w:right="157" w:firstLine="341"/>
            </w:pPr>
            <w:r>
              <w:rPr>
                <w:spacing w:val="-8"/>
              </w:rPr>
              <w:t>第二十七条第一款、第二款</w:t>
            </w:r>
            <w:r>
              <w:rPr>
                <w:spacing w:val="77"/>
              </w:rPr>
              <w:t xml:space="preserve"> </w:t>
            </w:r>
            <w:r>
              <w:rPr>
                <w:spacing w:val="-8"/>
              </w:rPr>
              <w:t>生产经营单位的主要负责人和安全生产管理人员必须具备与本单位所</w:t>
            </w:r>
            <w:r>
              <w:rPr>
                <w:spacing w:val="-9"/>
              </w:rPr>
              <w:t>从事的</w:t>
            </w:r>
            <w:r>
              <w:t xml:space="preserve"> </w:t>
            </w:r>
            <w:r>
              <w:rPr>
                <w:spacing w:val="-8"/>
              </w:rPr>
              <w:t>生产经营活动相应的安全生产知识和管理能力。</w:t>
            </w:r>
          </w:p>
          <w:p w14:paraId="655B958A">
            <w:pPr>
              <w:pStyle w:val="8"/>
              <w:spacing w:before="26" w:line="237" w:lineRule="auto"/>
              <w:ind w:left="103" w:right="150" w:firstLine="343"/>
              <w:jc w:val="both"/>
            </w:pPr>
            <w:r>
              <w:rPr>
                <w:spacing w:val="-8"/>
              </w:rPr>
              <w:t>危险物品的生产、经营、储存、装卸单位以及矿山、金属冶炼、建筑施工、运输单位的主要负责人</w:t>
            </w:r>
            <w:r>
              <w:rPr>
                <w:spacing w:val="-9"/>
              </w:rPr>
              <w:t>和安全</w:t>
            </w:r>
            <w:r>
              <w:t xml:space="preserve"> </w:t>
            </w:r>
            <w:r>
              <w:rPr>
                <w:spacing w:val="-8"/>
              </w:rPr>
              <w:t>生产管理人员，应当由主管的负有安全生产监督管理职责的部门对其安全生产知识和管理能力考核合格</w:t>
            </w:r>
            <w:r>
              <w:rPr>
                <w:spacing w:val="-9"/>
              </w:rPr>
              <w:t>。考核</w:t>
            </w:r>
            <w:r>
              <w:t xml:space="preserve"> </w:t>
            </w:r>
            <w:r>
              <w:rPr>
                <w:spacing w:val="-7"/>
              </w:rPr>
              <w:t>不得收费。</w:t>
            </w:r>
          </w:p>
          <w:p w14:paraId="579E9913">
            <w:pPr>
              <w:pStyle w:val="8"/>
              <w:spacing w:before="24"/>
              <w:ind w:left="103" w:right="150" w:firstLine="341"/>
            </w:pPr>
            <w:r>
              <w:rPr>
                <w:spacing w:val="-8"/>
              </w:rPr>
              <w:t>第九十七条第（二）项</w:t>
            </w:r>
            <w:r>
              <w:rPr>
                <w:spacing w:val="74"/>
              </w:rPr>
              <w:t xml:space="preserve"> </w:t>
            </w:r>
            <w:r>
              <w:rPr>
                <w:spacing w:val="-8"/>
              </w:rPr>
              <w:t>生产经营单位有下列行为之一的，责令限期改正，处十万元以下的罚款；逾期未</w:t>
            </w:r>
            <w:r>
              <w:t xml:space="preserve"> </w:t>
            </w:r>
            <w:r>
              <w:rPr>
                <w:spacing w:val="-8"/>
              </w:rPr>
              <w:t>改正的，责令停产停业整顿，并处十万元以上二十万元以下的罚款，对其直接负责的主管人员和其他直</w:t>
            </w:r>
            <w:r>
              <w:rPr>
                <w:spacing w:val="-9"/>
              </w:rPr>
              <w:t>接责任</w:t>
            </w:r>
            <w:r>
              <w:t xml:space="preserve"> </w:t>
            </w:r>
            <w:r>
              <w:rPr>
                <w:spacing w:val="-7"/>
              </w:rPr>
              <w:t>人员处二万元以上五万元以下的罚款</w:t>
            </w:r>
            <w:r>
              <w:rPr>
                <w:spacing w:val="-22"/>
              </w:rPr>
              <w:t>：（</w:t>
            </w:r>
            <w:r>
              <w:rPr>
                <w:spacing w:val="-7"/>
              </w:rPr>
              <w:t>二）危险物品的生</w:t>
            </w:r>
            <w:r>
              <w:rPr>
                <w:spacing w:val="-8"/>
              </w:rPr>
              <w:t>产、经营、储存、装卸单位以及矿山、金属冶炼、</w:t>
            </w:r>
            <w:r>
              <w:rPr>
                <w:spacing w:val="1"/>
              </w:rPr>
              <w:t xml:space="preserve"> </w:t>
            </w:r>
            <w:r>
              <w:rPr>
                <w:spacing w:val="-8"/>
              </w:rPr>
              <w:t>建筑施工、运输单位的主要负责人和安全生产管理人员未按照规定经考核合格的；</w:t>
            </w:r>
          </w:p>
          <w:p w14:paraId="467459AA">
            <w:pPr>
              <w:pStyle w:val="8"/>
              <w:spacing w:before="25" w:line="219" w:lineRule="auto"/>
              <w:ind w:left="447"/>
            </w:pPr>
            <w:r>
              <w:rPr>
                <w:b/>
                <w:bCs/>
                <w:spacing w:val="-8"/>
              </w:rPr>
              <w:t>2.《道路运输从业人员管理规定》(交通运输部令2022年第38号)</w:t>
            </w:r>
          </w:p>
          <w:p w14:paraId="3F2C41F7">
            <w:pPr>
              <w:pStyle w:val="8"/>
              <w:spacing w:before="26" w:line="233" w:lineRule="auto"/>
              <w:ind w:left="105" w:right="157" w:firstLine="340"/>
            </w:pPr>
            <w:r>
              <w:rPr>
                <w:spacing w:val="-8"/>
              </w:rPr>
              <w:t>第四十九条</w:t>
            </w:r>
            <w:r>
              <w:rPr>
                <w:spacing w:val="74"/>
              </w:rPr>
              <w:t xml:space="preserve"> </w:t>
            </w:r>
            <w:r>
              <w:rPr>
                <w:spacing w:val="-8"/>
              </w:rPr>
              <w:t>道路运输企业主要负责人和安全生产管理人员未按照规定经考核合格的，由所在地设区的市</w:t>
            </w:r>
            <w:r>
              <w:t xml:space="preserve"> </w:t>
            </w:r>
            <w:r>
              <w:rPr>
                <w:spacing w:val="-8"/>
              </w:rPr>
              <w:t>级交通运输主管部门依照《中华人民共和国安全生产法》第九十七条的规定进行处罚。</w:t>
            </w:r>
          </w:p>
        </w:tc>
        <w:tc>
          <w:tcPr>
            <w:tcW w:w="1011" w:type="dxa"/>
            <w:vAlign w:val="top"/>
          </w:tcPr>
          <w:p w14:paraId="378EDB6C">
            <w:pPr>
              <w:spacing w:line="275" w:lineRule="auto"/>
              <w:rPr>
                <w:rFonts w:ascii="Arial"/>
                <w:sz w:val="21"/>
              </w:rPr>
            </w:pPr>
          </w:p>
          <w:p w14:paraId="53704928">
            <w:pPr>
              <w:spacing w:line="275" w:lineRule="auto"/>
              <w:rPr>
                <w:rFonts w:ascii="Arial"/>
                <w:sz w:val="21"/>
              </w:rPr>
            </w:pPr>
          </w:p>
          <w:p w14:paraId="46D6351B">
            <w:pPr>
              <w:spacing w:line="275" w:lineRule="auto"/>
              <w:rPr>
                <w:rFonts w:ascii="Arial"/>
                <w:sz w:val="21"/>
              </w:rPr>
            </w:pPr>
          </w:p>
          <w:p w14:paraId="58D3DBA5">
            <w:pPr>
              <w:spacing w:line="275" w:lineRule="auto"/>
              <w:rPr>
                <w:rFonts w:ascii="Arial"/>
                <w:sz w:val="21"/>
              </w:rPr>
            </w:pPr>
          </w:p>
          <w:p w14:paraId="60F2D537">
            <w:pPr>
              <w:spacing w:line="275" w:lineRule="auto"/>
              <w:rPr>
                <w:rFonts w:ascii="Arial"/>
                <w:sz w:val="21"/>
              </w:rPr>
            </w:pPr>
          </w:p>
          <w:p w14:paraId="46126E3F">
            <w:pPr>
              <w:spacing w:line="276" w:lineRule="auto"/>
              <w:rPr>
                <w:rFonts w:ascii="Arial"/>
                <w:sz w:val="21"/>
              </w:rPr>
            </w:pPr>
          </w:p>
          <w:p w14:paraId="0EE38453">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40C47516">
            <w:pPr>
              <w:spacing w:line="275" w:lineRule="auto"/>
              <w:rPr>
                <w:rFonts w:ascii="Arial"/>
                <w:sz w:val="21"/>
              </w:rPr>
            </w:pPr>
          </w:p>
          <w:p w14:paraId="0F354374">
            <w:pPr>
              <w:spacing w:line="275" w:lineRule="auto"/>
              <w:rPr>
                <w:rFonts w:ascii="Arial"/>
                <w:sz w:val="21"/>
              </w:rPr>
            </w:pPr>
          </w:p>
          <w:p w14:paraId="7BE96EDC">
            <w:pPr>
              <w:spacing w:line="275" w:lineRule="auto"/>
              <w:rPr>
                <w:rFonts w:ascii="Arial"/>
                <w:sz w:val="21"/>
              </w:rPr>
            </w:pPr>
          </w:p>
          <w:p w14:paraId="17DF5EBF">
            <w:pPr>
              <w:spacing w:line="275" w:lineRule="auto"/>
              <w:rPr>
                <w:rFonts w:ascii="Arial"/>
                <w:sz w:val="21"/>
              </w:rPr>
            </w:pPr>
          </w:p>
          <w:p w14:paraId="71DFF7F9">
            <w:pPr>
              <w:spacing w:line="275" w:lineRule="auto"/>
              <w:rPr>
                <w:rFonts w:ascii="Arial"/>
                <w:sz w:val="21"/>
              </w:rPr>
            </w:pPr>
          </w:p>
          <w:p w14:paraId="0F1B9278">
            <w:pPr>
              <w:spacing w:line="276" w:lineRule="auto"/>
              <w:rPr>
                <w:rFonts w:ascii="Arial"/>
                <w:sz w:val="21"/>
              </w:rPr>
            </w:pPr>
          </w:p>
          <w:p w14:paraId="2AD0C66E">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87D7384">
            <w:pPr>
              <w:spacing w:line="282" w:lineRule="auto"/>
              <w:rPr>
                <w:rFonts w:ascii="Arial"/>
                <w:sz w:val="21"/>
              </w:rPr>
            </w:pPr>
          </w:p>
          <w:p w14:paraId="5A8DF628">
            <w:pPr>
              <w:spacing w:line="283" w:lineRule="auto"/>
              <w:rPr>
                <w:rFonts w:ascii="Arial"/>
                <w:sz w:val="21"/>
              </w:rPr>
            </w:pPr>
          </w:p>
          <w:p w14:paraId="09979BD2">
            <w:pPr>
              <w:spacing w:line="283" w:lineRule="auto"/>
              <w:rPr>
                <w:rFonts w:ascii="Arial"/>
                <w:sz w:val="21"/>
              </w:rPr>
            </w:pPr>
          </w:p>
          <w:p w14:paraId="45436D7F">
            <w:pPr>
              <w:spacing w:line="283" w:lineRule="auto"/>
              <w:rPr>
                <w:rFonts w:ascii="Arial"/>
                <w:sz w:val="21"/>
              </w:rPr>
            </w:pPr>
          </w:p>
          <w:p w14:paraId="0001DC31">
            <w:pPr>
              <w:spacing w:line="283" w:lineRule="auto"/>
              <w:rPr>
                <w:rFonts w:ascii="Arial"/>
                <w:sz w:val="21"/>
              </w:rPr>
            </w:pPr>
          </w:p>
          <w:p w14:paraId="69120258">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20FC8B2E">
      <w:pPr>
        <w:pStyle w:val="2"/>
      </w:pPr>
    </w:p>
    <w:p w14:paraId="38C092AF">
      <w:pPr>
        <w:sectPr>
          <w:footerReference r:id="rId24" w:type="default"/>
          <w:pgSz w:w="16839" w:h="11906"/>
          <w:pgMar w:top="1012" w:right="1016" w:bottom="966" w:left="1016" w:header="0" w:footer="768" w:gutter="0"/>
          <w:cols w:space="720" w:num="1"/>
        </w:sectPr>
      </w:pPr>
    </w:p>
    <w:p w14:paraId="1236E8E1">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64172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709E7258">
            <w:pPr>
              <w:pStyle w:val="8"/>
              <w:spacing w:before="273" w:line="221" w:lineRule="auto"/>
              <w:ind w:left="129"/>
            </w:pPr>
            <w:r>
              <w:rPr>
                <w:b/>
                <w:bCs/>
                <w:spacing w:val="-4"/>
              </w:rPr>
              <w:t>序号</w:t>
            </w:r>
          </w:p>
        </w:tc>
        <w:tc>
          <w:tcPr>
            <w:tcW w:w="1101" w:type="dxa"/>
            <w:vMerge w:val="restart"/>
            <w:tcBorders>
              <w:bottom w:val="nil"/>
            </w:tcBorders>
            <w:vAlign w:val="top"/>
          </w:tcPr>
          <w:p w14:paraId="03B680C1">
            <w:pPr>
              <w:pStyle w:val="8"/>
              <w:spacing w:before="274" w:line="220" w:lineRule="auto"/>
              <w:ind w:left="182"/>
            </w:pPr>
            <w:r>
              <w:rPr>
                <w:b/>
                <w:bCs/>
                <w:spacing w:val="-4"/>
              </w:rPr>
              <w:t>事项名称</w:t>
            </w:r>
          </w:p>
        </w:tc>
        <w:tc>
          <w:tcPr>
            <w:tcW w:w="1101" w:type="dxa"/>
            <w:vMerge w:val="restart"/>
            <w:tcBorders>
              <w:bottom w:val="nil"/>
            </w:tcBorders>
            <w:vAlign w:val="top"/>
          </w:tcPr>
          <w:p w14:paraId="37B3B92D">
            <w:pPr>
              <w:pStyle w:val="8"/>
              <w:spacing w:before="274" w:line="219" w:lineRule="auto"/>
              <w:ind w:left="183"/>
            </w:pPr>
            <w:r>
              <w:rPr>
                <w:b/>
                <w:bCs/>
                <w:spacing w:val="-4"/>
              </w:rPr>
              <w:t>职权类型</w:t>
            </w:r>
          </w:p>
        </w:tc>
        <w:tc>
          <w:tcPr>
            <w:tcW w:w="8524" w:type="dxa"/>
            <w:vMerge w:val="restart"/>
            <w:tcBorders>
              <w:bottom w:val="nil"/>
            </w:tcBorders>
            <w:vAlign w:val="top"/>
          </w:tcPr>
          <w:p w14:paraId="3F4EF897">
            <w:pPr>
              <w:pStyle w:val="8"/>
              <w:spacing w:before="273" w:line="219" w:lineRule="auto"/>
              <w:ind w:left="4083"/>
            </w:pPr>
            <w:r>
              <w:rPr>
                <w:b/>
                <w:bCs/>
                <w:spacing w:val="-5"/>
              </w:rPr>
              <w:t>实施依据</w:t>
            </w:r>
          </w:p>
        </w:tc>
        <w:tc>
          <w:tcPr>
            <w:tcW w:w="3435" w:type="dxa"/>
            <w:gridSpan w:val="3"/>
            <w:vAlign w:val="top"/>
          </w:tcPr>
          <w:p w14:paraId="28DB7F2A">
            <w:pPr>
              <w:pStyle w:val="8"/>
              <w:spacing w:before="94" w:line="220" w:lineRule="auto"/>
              <w:ind w:left="1360"/>
            </w:pPr>
            <w:r>
              <w:rPr>
                <w:b/>
                <w:bCs/>
                <w:spacing w:val="-5"/>
              </w:rPr>
              <w:t>实施主体</w:t>
            </w:r>
          </w:p>
        </w:tc>
      </w:tr>
      <w:tr w14:paraId="272B1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5E5E76C0">
            <w:pPr>
              <w:rPr>
                <w:rFonts w:ascii="Arial"/>
                <w:sz w:val="21"/>
              </w:rPr>
            </w:pPr>
          </w:p>
        </w:tc>
        <w:tc>
          <w:tcPr>
            <w:tcW w:w="1101" w:type="dxa"/>
            <w:vMerge w:val="continue"/>
            <w:tcBorders>
              <w:top w:val="nil"/>
            </w:tcBorders>
            <w:vAlign w:val="top"/>
          </w:tcPr>
          <w:p w14:paraId="753727FC">
            <w:pPr>
              <w:rPr>
                <w:rFonts w:ascii="Arial"/>
                <w:sz w:val="21"/>
              </w:rPr>
            </w:pPr>
          </w:p>
        </w:tc>
        <w:tc>
          <w:tcPr>
            <w:tcW w:w="1101" w:type="dxa"/>
            <w:vMerge w:val="continue"/>
            <w:tcBorders>
              <w:top w:val="nil"/>
            </w:tcBorders>
            <w:vAlign w:val="top"/>
          </w:tcPr>
          <w:p w14:paraId="5906E2AC">
            <w:pPr>
              <w:rPr>
                <w:rFonts w:ascii="Arial"/>
                <w:sz w:val="21"/>
              </w:rPr>
            </w:pPr>
          </w:p>
        </w:tc>
        <w:tc>
          <w:tcPr>
            <w:tcW w:w="8524" w:type="dxa"/>
            <w:vMerge w:val="continue"/>
            <w:tcBorders>
              <w:top w:val="nil"/>
            </w:tcBorders>
            <w:vAlign w:val="top"/>
          </w:tcPr>
          <w:p w14:paraId="07003A76">
            <w:pPr>
              <w:rPr>
                <w:rFonts w:ascii="Arial"/>
                <w:sz w:val="21"/>
              </w:rPr>
            </w:pPr>
          </w:p>
        </w:tc>
        <w:tc>
          <w:tcPr>
            <w:tcW w:w="1011" w:type="dxa"/>
            <w:vAlign w:val="top"/>
          </w:tcPr>
          <w:p w14:paraId="325867D5">
            <w:pPr>
              <w:pStyle w:val="8"/>
              <w:spacing w:before="85" w:line="219" w:lineRule="auto"/>
              <w:ind w:left="154"/>
            </w:pPr>
            <w:r>
              <w:rPr>
                <w:b/>
                <w:bCs/>
                <w:spacing w:val="-5"/>
              </w:rPr>
              <w:t>责任部门</w:t>
            </w:r>
          </w:p>
        </w:tc>
        <w:tc>
          <w:tcPr>
            <w:tcW w:w="1404" w:type="dxa"/>
            <w:vAlign w:val="top"/>
          </w:tcPr>
          <w:p w14:paraId="7DB5D275">
            <w:pPr>
              <w:pStyle w:val="8"/>
              <w:spacing w:before="85" w:line="219" w:lineRule="auto"/>
              <w:ind w:left="164"/>
            </w:pPr>
            <w:r>
              <w:rPr>
                <w:b/>
                <w:bCs/>
                <w:spacing w:val="-3"/>
              </w:rPr>
              <w:t>第一责任层级</w:t>
            </w:r>
          </w:p>
        </w:tc>
        <w:tc>
          <w:tcPr>
            <w:tcW w:w="1020" w:type="dxa"/>
            <w:vAlign w:val="top"/>
          </w:tcPr>
          <w:p w14:paraId="232752C1">
            <w:pPr>
              <w:pStyle w:val="8"/>
              <w:spacing w:before="84" w:line="219" w:lineRule="auto"/>
              <w:ind w:left="114"/>
            </w:pPr>
            <w:r>
              <w:rPr>
                <w:b/>
                <w:bCs/>
                <w:spacing w:val="-4"/>
              </w:rPr>
              <w:t>承办机构</w:t>
            </w:r>
          </w:p>
        </w:tc>
      </w:tr>
      <w:tr w14:paraId="6225B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37" w:hRule="atLeast"/>
        </w:trPr>
        <w:tc>
          <w:tcPr>
            <w:tcW w:w="629" w:type="dxa"/>
            <w:vAlign w:val="top"/>
          </w:tcPr>
          <w:p w14:paraId="561EFF16">
            <w:pPr>
              <w:spacing w:line="265" w:lineRule="auto"/>
              <w:rPr>
                <w:rFonts w:ascii="Arial"/>
                <w:sz w:val="21"/>
              </w:rPr>
            </w:pPr>
          </w:p>
          <w:p w14:paraId="747D025D">
            <w:pPr>
              <w:spacing w:line="265" w:lineRule="auto"/>
              <w:rPr>
                <w:rFonts w:ascii="Arial"/>
                <w:sz w:val="21"/>
              </w:rPr>
            </w:pPr>
          </w:p>
          <w:p w14:paraId="13362B30">
            <w:pPr>
              <w:spacing w:line="265" w:lineRule="auto"/>
              <w:rPr>
                <w:rFonts w:ascii="Arial"/>
                <w:sz w:val="21"/>
              </w:rPr>
            </w:pPr>
          </w:p>
          <w:p w14:paraId="268FD962">
            <w:pPr>
              <w:spacing w:line="266" w:lineRule="auto"/>
              <w:rPr>
                <w:rFonts w:ascii="Arial"/>
                <w:sz w:val="21"/>
              </w:rPr>
            </w:pPr>
          </w:p>
          <w:p w14:paraId="1EFA0530">
            <w:pPr>
              <w:spacing w:line="266" w:lineRule="auto"/>
              <w:rPr>
                <w:rFonts w:ascii="Arial"/>
                <w:sz w:val="21"/>
              </w:rPr>
            </w:pPr>
          </w:p>
          <w:p w14:paraId="70C98EA9">
            <w:pPr>
              <w:spacing w:line="266" w:lineRule="auto"/>
              <w:rPr>
                <w:rFonts w:ascii="Arial"/>
                <w:sz w:val="21"/>
              </w:rPr>
            </w:pPr>
          </w:p>
          <w:p w14:paraId="2A3A679F">
            <w:pPr>
              <w:spacing w:line="266" w:lineRule="auto"/>
              <w:rPr>
                <w:rFonts w:ascii="Arial"/>
                <w:sz w:val="21"/>
              </w:rPr>
            </w:pPr>
          </w:p>
          <w:p w14:paraId="5AF0B804">
            <w:pPr>
              <w:spacing w:line="266" w:lineRule="auto"/>
              <w:rPr>
                <w:rFonts w:ascii="Arial"/>
                <w:sz w:val="21"/>
              </w:rPr>
            </w:pPr>
          </w:p>
          <w:p w14:paraId="0B0DA560">
            <w:pPr>
              <w:spacing w:line="266" w:lineRule="auto"/>
              <w:rPr>
                <w:rFonts w:ascii="Arial"/>
                <w:sz w:val="21"/>
              </w:rPr>
            </w:pPr>
          </w:p>
          <w:p w14:paraId="7DBAAF41">
            <w:pPr>
              <w:pStyle w:val="8"/>
              <w:spacing w:before="58" w:line="183" w:lineRule="auto"/>
              <w:ind w:left="270"/>
            </w:pPr>
            <w:r>
              <w:t>3</w:t>
            </w:r>
          </w:p>
        </w:tc>
        <w:tc>
          <w:tcPr>
            <w:tcW w:w="1101" w:type="dxa"/>
            <w:vAlign w:val="top"/>
          </w:tcPr>
          <w:p w14:paraId="28FE5964">
            <w:pPr>
              <w:spacing w:line="257" w:lineRule="auto"/>
              <w:rPr>
                <w:rFonts w:ascii="Arial"/>
                <w:sz w:val="21"/>
              </w:rPr>
            </w:pPr>
          </w:p>
          <w:p w14:paraId="4EAD4860">
            <w:pPr>
              <w:spacing w:line="257" w:lineRule="auto"/>
              <w:rPr>
                <w:rFonts w:ascii="Arial"/>
                <w:sz w:val="21"/>
              </w:rPr>
            </w:pPr>
          </w:p>
          <w:p w14:paraId="528FECCC">
            <w:pPr>
              <w:spacing w:line="257" w:lineRule="auto"/>
              <w:rPr>
                <w:rFonts w:ascii="Arial"/>
                <w:sz w:val="21"/>
              </w:rPr>
            </w:pPr>
          </w:p>
          <w:p w14:paraId="2D77E142">
            <w:pPr>
              <w:spacing w:line="257" w:lineRule="auto"/>
              <w:rPr>
                <w:rFonts w:ascii="Arial"/>
                <w:sz w:val="21"/>
              </w:rPr>
            </w:pPr>
          </w:p>
          <w:p w14:paraId="67A27907">
            <w:pPr>
              <w:spacing w:line="257" w:lineRule="auto"/>
              <w:rPr>
                <w:rFonts w:ascii="Arial"/>
                <w:sz w:val="21"/>
              </w:rPr>
            </w:pPr>
          </w:p>
          <w:p w14:paraId="23477236">
            <w:pPr>
              <w:pStyle w:val="8"/>
              <w:spacing w:before="59" w:line="244" w:lineRule="auto"/>
              <w:ind w:left="18" w:right="20"/>
              <w:jc w:val="both"/>
            </w:pPr>
            <w:r>
              <w:rPr>
                <w:spacing w:val="-6"/>
              </w:rPr>
              <w:t>对交通运输领</w:t>
            </w:r>
            <w:r>
              <w:rPr>
                <w:spacing w:val="2"/>
              </w:rPr>
              <w:t xml:space="preserve"> </w:t>
            </w:r>
            <w:r>
              <w:rPr>
                <w:spacing w:val="-6"/>
              </w:rPr>
              <w:t>域生产经营单</w:t>
            </w:r>
            <w:r>
              <w:rPr>
                <w:spacing w:val="2"/>
              </w:rPr>
              <w:t xml:space="preserve"> </w:t>
            </w:r>
            <w:r>
              <w:rPr>
                <w:spacing w:val="-6"/>
              </w:rPr>
              <w:t>位未在有较大</w:t>
            </w:r>
            <w:r>
              <w:rPr>
                <w:spacing w:val="2"/>
              </w:rPr>
              <w:t xml:space="preserve"> </w:t>
            </w:r>
            <w:r>
              <w:rPr>
                <w:spacing w:val="-6"/>
              </w:rPr>
              <w:t>危险因素的生</w:t>
            </w:r>
            <w:r>
              <w:rPr>
                <w:spacing w:val="2"/>
              </w:rPr>
              <w:t xml:space="preserve"> </w:t>
            </w:r>
            <w:r>
              <w:rPr>
                <w:spacing w:val="-6"/>
              </w:rPr>
              <w:t>产经营场所和</w:t>
            </w:r>
            <w:r>
              <w:rPr>
                <w:spacing w:val="2"/>
              </w:rPr>
              <w:t xml:space="preserve"> </w:t>
            </w:r>
            <w:r>
              <w:rPr>
                <w:spacing w:val="-6"/>
              </w:rPr>
              <w:t>有关设施、设</w:t>
            </w:r>
            <w:r>
              <w:rPr>
                <w:spacing w:val="2"/>
              </w:rPr>
              <w:t xml:space="preserve"> </w:t>
            </w:r>
            <w:r>
              <w:rPr>
                <w:spacing w:val="-6"/>
              </w:rPr>
              <w:t>备上设置明显</w:t>
            </w:r>
            <w:r>
              <w:rPr>
                <w:spacing w:val="2"/>
              </w:rPr>
              <w:t xml:space="preserve"> </w:t>
            </w:r>
            <w:r>
              <w:rPr>
                <w:spacing w:val="-6"/>
              </w:rPr>
              <w:t>的安全警示标</w:t>
            </w:r>
            <w:r>
              <w:rPr>
                <w:spacing w:val="2"/>
              </w:rPr>
              <w:t xml:space="preserve"> </w:t>
            </w:r>
            <w:r>
              <w:rPr>
                <w:spacing w:val="-6"/>
              </w:rPr>
              <w:t>志等行为的行</w:t>
            </w:r>
            <w:r>
              <w:rPr>
                <w:spacing w:val="2"/>
              </w:rPr>
              <w:t xml:space="preserve"> </w:t>
            </w:r>
            <w:r>
              <w:rPr>
                <w:spacing w:val="-5"/>
              </w:rPr>
              <w:t>政处罚</w:t>
            </w:r>
          </w:p>
        </w:tc>
        <w:tc>
          <w:tcPr>
            <w:tcW w:w="1101" w:type="dxa"/>
            <w:vAlign w:val="top"/>
          </w:tcPr>
          <w:p w14:paraId="2AD7FBCE">
            <w:pPr>
              <w:spacing w:line="262" w:lineRule="auto"/>
              <w:rPr>
                <w:rFonts w:ascii="Arial"/>
                <w:sz w:val="21"/>
              </w:rPr>
            </w:pPr>
          </w:p>
          <w:p w14:paraId="2BF4FDA2">
            <w:pPr>
              <w:spacing w:line="262" w:lineRule="auto"/>
              <w:rPr>
                <w:rFonts w:ascii="Arial"/>
                <w:sz w:val="21"/>
              </w:rPr>
            </w:pPr>
          </w:p>
          <w:p w14:paraId="35983E98">
            <w:pPr>
              <w:spacing w:line="262" w:lineRule="auto"/>
              <w:rPr>
                <w:rFonts w:ascii="Arial"/>
                <w:sz w:val="21"/>
              </w:rPr>
            </w:pPr>
          </w:p>
          <w:p w14:paraId="6ACEC3DA">
            <w:pPr>
              <w:spacing w:line="262" w:lineRule="auto"/>
              <w:rPr>
                <w:rFonts w:ascii="Arial"/>
                <w:sz w:val="21"/>
              </w:rPr>
            </w:pPr>
          </w:p>
          <w:p w14:paraId="0580E4CF">
            <w:pPr>
              <w:spacing w:line="262" w:lineRule="auto"/>
              <w:rPr>
                <w:rFonts w:ascii="Arial"/>
                <w:sz w:val="21"/>
              </w:rPr>
            </w:pPr>
          </w:p>
          <w:p w14:paraId="737EAE0B">
            <w:pPr>
              <w:spacing w:line="263" w:lineRule="auto"/>
              <w:rPr>
                <w:rFonts w:ascii="Arial"/>
                <w:sz w:val="21"/>
              </w:rPr>
            </w:pPr>
          </w:p>
          <w:p w14:paraId="3D0EA304">
            <w:pPr>
              <w:spacing w:line="263" w:lineRule="auto"/>
              <w:rPr>
                <w:rFonts w:ascii="Arial"/>
                <w:sz w:val="21"/>
              </w:rPr>
            </w:pPr>
          </w:p>
          <w:p w14:paraId="4E873016">
            <w:pPr>
              <w:spacing w:line="263" w:lineRule="auto"/>
              <w:rPr>
                <w:rFonts w:ascii="Arial"/>
                <w:sz w:val="21"/>
              </w:rPr>
            </w:pPr>
          </w:p>
          <w:p w14:paraId="1CA35CE5">
            <w:pPr>
              <w:spacing w:line="263" w:lineRule="auto"/>
              <w:rPr>
                <w:rFonts w:ascii="Arial"/>
                <w:sz w:val="21"/>
              </w:rPr>
            </w:pPr>
          </w:p>
          <w:p w14:paraId="78651626">
            <w:pPr>
              <w:pStyle w:val="8"/>
              <w:spacing w:before="59" w:line="220" w:lineRule="auto"/>
              <w:ind w:left="25"/>
            </w:pPr>
            <w:r>
              <w:rPr>
                <w:spacing w:val="-7"/>
              </w:rPr>
              <w:t>行政处罚</w:t>
            </w:r>
          </w:p>
        </w:tc>
        <w:tc>
          <w:tcPr>
            <w:tcW w:w="8524" w:type="dxa"/>
            <w:vAlign w:val="top"/>
          </w:tcPr>
          <w:p w14:paraId="2AC13E84">
            <w:pPr>
              <w:pStyle w:val="8"/>
              <w:spacing w:before="36" w:line="219" w:lineRule="auto"/>
              <w:ind w:left="458"/>
            </w:pPr>
            <w:r>
              <w:rPr>
                <w:b/>
                <w:bCs/>
                <w:spacing w:val="-9"/>
              </w:rPr>
              <w:t>1.《中华人民共和国安全生产法》</w:t>
            </w:r>
          </w:p>
          <w:p w14:paraId="6908E843">
            <w:pPr>
              <w:pStyle w:val="8"/>
              <w:spacing w:before="24"/>
              <w:ind w:left="102" w:right="150" w:firstLine="342"/>
              <w:jc w:val="both"/>
            </w:pPr>
            <w:r>
              <w:rPr>
                <w:spacing w:val="-8"/>
              </w:rPr>
              <w:t>第三十七条</w:t>
            </w:r>
            <w:r>
              <w:rPr>
                <w:spacing w:val="74"/>
              </w:rPr>
              <w:t xml:space="preserve"> </w:t>
            </w:r>
            <w:r>
              <w:rPr>
                <w:spacing w:val="-8"/>
              </w:rPr>
              <w:t>生产经营单位使用的危险物品的容器、运输工具，以及涉及人身安全、危险性较大的海洋石</w:t>
            </w:r>
            <w:r>
              <w:t xml:space="preserve"> </w:t>
            </w:r>
            <w:r>
              <w:rPr>
                <w:spacing w:val="-8"/>
              </w:rPr>
              <w:t>油开采特种设备和矿山井下特种设备，必须按照国家有关规定，由专业生产单位生产，并经具有专业资质</w:t>
            </w:r>
            <w:r>
              <w:rPr>
                <w:spacing w:val="-9"/>
              </w:rPr>
              <w:t>的检</w:t>
            </w:r>
            <w:r>
              <w:t xml:space="preserve"> </w:t>
            </w:r>
            <w:r>
              <w:rPr>
                <w:spacing w:val="-8"/>
              </w:rPr>
              <w:t>测、检验机构检测、检验合格，取得安全使用证或者安全标志，方可投入使用。检测、检验机构对检测、</w:t>
            </w:r>
            <w:r>
              <w:rPr>
                <w:spacing w:val="-9"/>
              </w:rPr>
              <w:t>检验</w:t>
            </w:r>
            <w:r>
              <w:t xml:space="preserve"> </w:t>
            </w:r>
            <w:r>
              <w:rPr>
                <w:spacing w:val="-7"/>
              </w:rPr>
              <w:t>结果负责。</w:t>
            </w:r>
          </w:p>
          <w:p w14:paraId="4A5A7EC1">
            <w:pPr>
              <w:pStyle w:val="8"/>
              <w:spacing w:before="24" w:line="241" w:lineRule="auto"/>
              <w:ind w:left="102" w:right="150" w:firstLine="343"/>
              <w:jc w:val="both"/>
            </w:pPr>
            <w:r>
              <w:rPr>
                <w:spacing w:val="-8"/>
              </w:rPr>
              <w:t>第九十九条第（六）项</w:t>
            </w:r>
            <w:r>
              <w:rPr>
                <w:spacing w:val="74"/>
              </w:rPr>
              <w:t xml:space="preserve"> </w:t>
            </w:r>
            <w:r>
              <w:rPr>
                <w:spacing w:val="-8"/>
              </w:rPr>
              <w:t>生产经营单位有下列行为之一的，责令限期改正，处五万元以下的罚款；逾期未</w:t>
            </w:r>
            <w:r>
              <w:t xml:space="preserve"> </w:t>
            </w:r>
            <w:r>
              <w:rPr>
                <w:spacing w:val="-8"/>
              </w:rPr>
              <w:t>改正的，处五万元以上二十万元以下的罚款，对其直接负责的主管人员和其他直接责任人员处一万元以上</w:t>
            </w:r>
            <w:r>
              <w:rPr>
                <w:spacing w:val="-9"/>
              </w:rPr>
              <w:t>二万</w:t>
            </w:r>
            <w:r>
              <w:t xml:space="preserve"> </w:t>
            </w:r>
            <w:r>
              <w:rPr>
                <w:spacing w:val="-7"/>
              </w:rPr>
              <w:t>元以下的罚款；情节严重的，责令停产停业整顿；构</w:t>
            </w:r>
            <w:r>
              <w:rPr>
                <w:spacing w:val="-8"/>
              </w:rPr>
              <w:t>成犯罪的，依照刑法有关规定追究刑事责任</w:t>
            </w:r>
            <w:r>
              <w:rPr>
                <w:spacing w:val="-21"/>
              </w:rPr>
              <w:t>：（</w:t>
            </w:r>
            <w:r>
              <w:rPr>
                <w:spacing w:val="-8"/>
              </w:rPr>
              <w:t>六）危险</w:t>
            </w:r>
            <w:r>
              <w:rPr>
                <w:spacing w:val="1"/>
              </w:rPr>
              <w:t xml:space="preserve"> </w:t>
            </w:r>
            <w:r>
              <w:rPr>
                <w:spacing w:val="-8"/>
              </w:rPr>
              <w:t>物品的容器、运输工具，以及涉及人身安全、危险性较大的海洋石油开采特种设备和矿山井下特种设备未</w:t>
            </w:r>
            <w:r>
              <w:rPr>
                <w:spacing w:val="-9"/>
              </w:rPr>
              <w:t>经具</w:t>
            </w:r>
            <w:r>
              <w:t xml:space="preserve"> </w:t>
            </w:r>
            <w:r>
              <w:rPr>
                <w:spacing w:val="-8"/>
              </w:rPr>
              <w:t>有专业资质的机构检测、检验合格，取得安全使用证或者安全标志，投入使用的；</w:t>
            </w:r>
          </w:p>
          <w:p w14:paraId="4C7E78D7">
            <w:pPr>
              <w:pStyle w:val="8"/>
              <w:spacing w:before="26" w:line="219" w:lineRule="auto"/>
              <w:ind w:left="447"/>
            </w:pPr>
            <w:r>
              <w:rPr>
                <w:b/>
                <w:bCs/>
                <w:spacing w:val="-8"/>
              </w:rPr>
              <w:t>2.《危险货物道路运输安全管理办法》(交通运输部令2019年第29号)</w:t>
            </w:r>
          </w:p>
          <w:p w14:paraId="641C92EC">
            <w:pPr>
              <w:pStyle w:val="8"/>
              <w:spacing w:before="26" w:line="219" w:lineRule="auto"/>
              <w:ind w:left="445"/>
            </w:pPr>
            <w:r>
              <w:rPr>
                <w:spacing w:val="-8"/>
              </w:rPr>
              <w:t>第四十条</w:t>
            </w:r>
            <w:r>
              <w:rPr>
                <w:spacing w:val="81"/>
              </w:rPr>
              <w:t xml:space="preserve"> </w:t>
            </w:r>
            <w:r>
              <w:rPr>
                <w:spacing w:val="-8"/>
              </w:rPr>
              <w:t>罐式车辆罐体应当在检验有效期内装载危险货物。</w:t>
            </w:r>
          </w:p>
          <w:p w14:paraId="382FF5C4">
            <w:pPr>
              <w:pStyle w:val="8"/>
              <w:spacing w:before="26" w:line="219" w:lineRule="auto"/>
              <w:ind w:left="445"/>
            </w:pPr>
            <w:r>
              <w:rPr>
                <w:spacing w:val="-8"/>
              </w:rPr>
              <w:t>检验有效期届满后，罐式车辆罐体应当经具有专业资质的检验机构重新检验合格，方可投入使用。</w:t>
            </w:r>
          </w:p>
          <w:p w14:paraId="08033099">
            <w:pPr>
              <w:pStyle w:val="8"/>
              <w:spacing w:before="25" w:line="233" w:lineRule="auto"/>
              <w:ind w:left="101" w:right="157" w:firstLine="343"/>
            </w:pPr>
            <w:r>
              <w:rPr>
                <w:spacing w:val="-8"/>
              </w:rPr>
              <w:t>第四十一条</w:t>
            </w:r>
            <w:r>
              <w:rPr>
                <w:spacing w:val="74"/>
              </w:rPr>
              <w:t xml:space="preserve"> </w:t>
            </w:r>
            <w:r>
              <w:rPr>
                <w:spacing w:val="-8"/>
              </w:rPr>
              <w:t>装载危险货物的常压罐式车辆罐体的重大维修、改造，应当委托具备罐体生产资质的企业实</w:t>
            </w:r>
            <w:r>
              <w:t xml:space="preserve"> </w:t>
            </w:r>
            <w:r>
              <w:rPr>
                <w:spacing w:val="-8"/>
              </w:rPr>
              <w:t>施，并通过具有专业资质的检验机构维修、改造检验，取得检验合格证书，方可重新投入使用。</w:t>
            </w:r>
          </w:p>
          <w:p w14:paraId="634BDA95">
            <w:pPr>
              <w:pStyle w:val="8"/>
              <w:spacing w:before="26" w:line="233" w:lineRule="auto"/>
              <w:ind w:left="102" w:right="157" w:firstLine="343"/>
            </w:pPr>
            <w:r>
              <w:rPr>
                <w:spacing w:val="-8"/>
              </w:rPr>
              <w:t>第四十二条</w:t>
            </w:r>
            <w:r>
              <w:rPr>
                <w:spacing w:val="74"/>
              </w:rPr>
              <w:t xml:space="preserve"> </w:t>
            </w:r>
            <w:r>
              <w:rPr>
                <w:spacing w:val="-8"/>
              </w:rPr>
              <w:t>运输危险货物的可移动罐柜、罐箱应当经具有专业资质的检验机构检验合格，取得检验合格</w:t>
            </w:r>
            <w:r>
              <w:t xml:space="preserve"> </w:t>
            </w:r>
            <w:r>
              <w:rPr>
                <w:spacing w:val="-8"/>
              </w:rPr>
              <w:t>证书，并取得相应的安全合格标志，按照规定用途使用。</w:t>
            </w:r>
          </w:p>
          <w:p w14:paraId="5BC41C69">
            <w:pPr>
              <w:pStyle w:val="8"/>
              <w:spacing w:before="25" w:line="234" w:lineRule="auto"/>
              <w:ind w:left="102" w:right="150" w:firstLine="343"/>
            </w:pPr>
            <w:r>
              <w:rPr>
                <w:spacing w:val="-8"/>
              </w:rPr>
              <w:t>第六十二条</w:t>
            </w:r>
            <w:r>
              <w:rPr>
                <w:spacing w:val="77"/>
              </w:rPr>
              <w:t xml:space="preserve"> </w:t>
            </w:r>
            <w:r>
              <w:rPr>
                <w:spacing w:val="-8"/>
              </w:rPr>
              <w:t>交通运输主管部门对危险货物承运人违反本办法第四十条、第四十一条、第四十二条</w:t>
            </w:r>
            <w:r>
              <w:rPr>
                <w:spacing w:val="-9"/>
              </w:rPr>
              <w:t>，使用</w:t>
            </w:r>
            <w:r>
              <w:t xml:space="preserve"> </w:t>
            </w:r>
            <w:r>
              <w:rPr>
                <w:spacing w:val="-8"/>
              </w:rPr>
              <w:t>未经检验合格或者超出检验有效期的罐式车辆罐体、可移动罐柜、罐箱从事危险货物运输的，应当责令限</w:t>
            </w:r>
            <w:r>
              <w:rPr>
                <w:spacing w:val="-9"/>
              </w:rPr>
              <w:t>期改</w:t>
            </w:r>
            <w:r>
              <w:t xml:space="preserve"> </w:t>
            </w:r>
            <w:r>
              <w:rPr>
                <w:spacing w:val="-8"/>
              </w:rPr>
              <w:t>正，可以处5万元以下的罚款；逾期未改正的，处5万元以上20万元以下的罚款，对其直接负责的主管人员和其</w:t>
            </w:r>
            <w:r>
              <w:rPr>
                <w:spacing w:val="15"/>
              </w:rPr>
              <w:t xml:space="preserve"> </w:t>
            </w:r>
            <w:r>
              <w:rPr>
                <w:spacing w:val="-8"/>
              </w:rPr>
              <w:t>他直接责任人员处1万元以上2万元以下的罚款；情节严重的，责令停产停业整顿。</w:t>
            </w:r>
          </w:p>
        </w:tc>
        <w:tc>
          <w:tcPr>
            <w:tcW w:w="1011" w:type="dxa"/>
            <w:vAlign w:val="top"/>
          </w:tcPr>
          <w:p w14:paraId="330D0E44">
            <w:pPr>
              <w:spacing w:line="249" w:lineRule="auto"/>
              <w:rPr>
                <w:rFonts w:ascii="Arial"/>
                <w:sz w:val="21"/>
              </w:rPr>
            </w:pPr>
          </w:p>
          <w:p w14:paraId="144D5D4F">
            <w:pPr>
              <w:spacing w:line="249" w:lineRule="auto"/>
              <w:rPr>
                <w:rFonts w:ascii="Arial"/>
                <w:sz w:val="21"/>
              </w:rPr>
            </w:pPr>
          </w:p>
          <w:p w14:paraId="70E1285A">
            <w:pPr>
              <w:spacing w:line="249" w:lineRule="auto"/>
              <w:rPr>
                <w:rFonts w:ascii="Arial"/>
                <w:sz w:val="21"/>
              </w:rPr>
            </w:pPr>
          </w:p>
          <w:p w14:paraId="2214676A">
            <w:pPr>
              <w:spacing w:line="249" w:lineRule="auto"/>
              <w:rPr>
                <w:rFonts w:ascii="Arial"/>
                <w:sz w:val="21"/>
              </w:rPr>
            </w:pPr>
          </w:p>
          <w:p w14:paraId="5665B6A8">
            <w:pPr>
              <w:spacing w:line="249" w:lineRule="auto"/>
              <w:rPr>
                <w:rFonts w:ascii="Arial"/>
                <w:sz w:val="21"/>
              </w:rPr>
            </w:pPr>
          </w:p>
          <w:p w14:paraId="6B74416E">
            <w:pPr>
              <w:spacing w:line="249" w:lineRule="auto"/>
              <w:rPr>
                <w:rFonts w:ascii="Arial"/>
                <w:sz w:val="21"/>
              </w:rPr>
            </w:pPr>
          </w:p>
          <w:p w14:paraId="4A3F58D1">
            <w:pPr>
              <w:spacing w:line="249" w:lineRule="auto"/>
              <w:rPr>
                <w:rFonts w:ascii="Arial"/>
                <w:sz w:val="21"/>
              </w:rPr>
            </w:pPr>
          </w:p>
          <w:p w14:paraId="332CFD85">
            <w:pPr>
              <w:spacing w:line="250" w:lineRule="auto"/>
              <w:rPr>
                <w:rFonts w:ascii="Arial"/>
                <w:sz w:val="21"/>
              </w:rPr>
            </w:pPr>
          </w:p>
          <w:p w14:paraId="3A70D03E">
            <w:pPr>
              <w:spacing w:line="250" w:lineRule="auto"/>
              <w:rPr>
                <w:rFonts w:ascii="Arial"/>
                <w:sz w:val="21"/>
              </w:rPr>
            </w:pPr>
          </w:p>
          <w:p w14:paraId="57F781F7">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32C6E739">
            <w:pPr>
              <w:spacing w:line="249" w:lineRule="auto"/>
              <w:rPr>
                <w:rFonts w:ascii="Arial"/>
                <w:sz w:val="21"/>
              </w:rPr>
            </w:pPr>
          </w:p>
          <w:p w14:paraId="22B65D8F">
            <w:pPr>
              <w:spacing w:line="249" w:lineRule="auto"/>
              <w:rPr>
                <w:rFonts w:ascii="Arial"/>
                <w:sz w:val="21"/>
              </w:rPr>
            </w:pPr>
          </w:p>
          <w:p w14:paraId="76E63AE9">
            <w:pPr>
              <w:spacing w:line="249" w:lineRule="auto"/>
              <w:rPr>
                <w:rFonts w:ascii="Arial"/>
                <w:sz w:val="21"/>
              </w:rPr>
            </w:pPr>
          </w:p>
          <w:p w14:paraId="192AA3E7">
            <w:pPr>
              <w:spacing w:line="249" w:lineRule="auto"/>
              <w:rPr>
                <w:rFonts w:ascii="Arial"/>
                <w:sz w:val="21"/>
              </w:rPr>
            </w:pPr>
          </w:p>
          <w:p w14:paraId="783CA9F0">
            <w:pPr>
              <w:spacing w:line="249" w:lineRule="auto"/>
              <w:rPr>
                <w:rFonts w:ascii="Arial"/>
                <w:sz w:val="21"/>
              </w:rPr>
            </w:pPr>
          </w:p>
          <w:p w14:paraId="409FEA90">
            <w:pPr>
              <w:spacing w:line="249" w:lineRule="auto"/>
              <w:rPr>
                <w:rFonts w:ascii="Arial"/>
                <w:sz w:val="21"/>
              </w:rPr>
            </w:pPr>
          </w:p>
          <w:p w14:paraId="554F31F5">
            <w:pPr>
              <w:spacing w:line="249" w:lineRule="auto"/>
              <w:rPr>
                <w:rFonts w:ascii="Arial"/>
                <w:sz w:val="21"/>
              </w:rPr>
            </w:pPr>
          </w:p>
          <w:p w14:paraId="3A511A64">
            <w:pPr>
              <w:spacing w:line="250" w:lineRule="auto"/>
              <w:rPr>
                <w:rFonts w:ascii="Arial"/>
                <w:sz w:val="21"/>
              </w:rPr>
            </w:pPr>
          </w:p>
          <w:p w14:paraId="795178F6">
            <w:pPr>
              <w:spacing w:line="250" w:lineRule="auto"/>
              <w:rPr>
                <w:rFonts w:ascii="Arial"/>
                <w:sz w:val="21"/>
              </w:rPr>
            </w:pPr>
          </w:p>
          <w:p w14:paraId="3343D276">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41C6F6F">
            <w:pPr>
              <w:spacing w:line="250" w:lineRule="auto"/>
              <w:rPr>
                <w:rFonts w:ascii="Arial"/>
                <w:sz w:val="21"/>
              </w:rPr>
            </w:pPr>
          </w:p>
          <w:p w14:paraId="7479904F">
            <w:pPr>
              <w:spacing w:line="250" w:lineRule="auto"/>
              <w:rPr>
                <w:rFonts w:ascii="Arial"/>
                <w:sz w:val="21"/>
              </w:rPr>
            </w:pPr>
          </w:p>
          <w:p w14:paraId="0A8DA869">
            <w:pPr>
              <w:spacing w:line="251" w:lineRule="auto"/>
              <w:rPr>
                <w:rFonts w:ascii="Arial"/>
                <w:sz w:val="21"/>
              </w:rPr>
            </w:pPr>
          </w:p>
          <w:p w14:paraId="1FAD22C2">
            <w:pPr>
              <w:spacing w:line="251" w:lineRule="auto"/>
              <w:rPr>
                <w:rFonts w:ascii="Arial"/>
                <w:sz w:val="21"/>
              </w:rPr>
            </w:pPr>
          </w:p>
          <w:p w14:paraId="66C23B57">
            <w:pPr>
              <w:spacing w:line="251" w:lineRule="auto"/>
              <w:rPr>
                <w:rFonts w:ascii="Arial"/>
                <w:sz w:val="21"/>
              </w:rPr>
            </w:pPr>
          </w:p>
          <w:p w14:paraId="25ADC02F">
            <w:pPr>
              <w:spacing w:line="251" w:lineRule="auto"/>
              <w:rPr>
                <w:rFonts w:ascii="Arial"/>
                <w:sz w:val="21"/>
              </w:rPr>
            </w:pPr>
          </w:p>
          <w:p w14:paraId="550E8EA2">
            <w:pPr>
              <w:spacing w:line="251" w:lineRule="auto"/>
              <w:rPr>
                <w:rFonts w:ascii="Arial"/>
                <w:sz w:val="21"/>
              </w:rPr>
            </w:pPr>
          </w:p>
          <w:p w14:paraId="483E1CA2">
            <w:pPr>
              <w:spacing w:line="251" w:lineRule="auto"/>
              <w:rPr>
                <w:rFonts w:ascii="Arial"/>
                <w:sz w:val="21"/>
              </w:rPr>
            </w:pPr>
          </w:p>
          <w:p w14:paraId="4EC76B59">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529CB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66" w:hRule="atLeast"/>
        </w:trPr>
        <w:tc>
          <w:tcPr>
            <w:tcW w:w="629" w:type="dxa"/>
            <w:vAlign w:val="top"/>
          </w:tcPr>
          <w:p w14:paraId="23FA4D8B">
            <w:pPr>
              <w:spacing w:line="260" w:lineRule="auto"/>
              <w:rPr>
                <w:rFonts w:ascii="Arial"/>
                <w:sz w:val="21"/>
              </w:rPr>
            </w:pPr>
          </w:p>
          <w:p w14:paraId="3360FF88">
            <w:pPr>
              <w:spacing w:line="260" w:lineRule="auto"/>
              <w:rPr>
                <w:rFonts w:ascii="Arial"/>
                <w:sz w:val="21"/>
              </w:rPr>
            </w:pPr>
          </w:p>
          <w:p w14:paraId="3717B3B2">
            <w:pPr>
              <w:spacing w:line="260" w:lineRule="auto"/>
              <w:rPr>
                <w:rFonts w:ascii="Arial"/>
                <w:sz w:val="21"/>
              </w:rPr>
            </w:pPr>
          </w:p>
          <w:p w14:paraId="4B06207A">
            <w:pPr>
              <w:spacing w:line="261" w:lineRule="auto"/>
              <w:rPr>
                <w:rFonts w:ascii="Arial"/>
                <w:sz w:val="21"/>
              </w:rPr>
            </w:pPr>
          </w:p>
          <w:p w14:paraId="5D745889">
            <w:pPr>
              <w:spacing w:line="261" w:lineRule="auto"/>
              <w:rPr>
                <w:rFonts w:ascii="Arial"/>
                <w:sz w:val="21"/>
              </w:rPr>
            </w:pPr>
          </w:p>
          <w:p w14:paraId="50F4F62C">
            <w:pPr>
              <w:spacing w:line="261" w:lineRule="auto"/>
              <w:rPr>
                <w:rFonts w:ascii="Arial"/>
                <w:sz w:val="21"/>
              </w:rPr>
            </w:pPr>
          </w:p>
          <w:p w14:paraId="3AACA781">
            <w:pPr>
              <w:pStyle w:val="8"/>
              <w:spacing w:before="58" w:line="183" w:lineRule="auto"/>
              <w:ind w:left="266"/>
            </w:pPr>
            <w:r>
              <w:t>4</w:t>
            </w:r>
          </w:p>
        </w:tc>
        <w:tc>
          <w:tcPr>
            <w:tcW w:w="1101" w:type="dxa"/>
            <w:vAlign w:val="top"/>
          </w:tcPr>
          <w:p w14:paraId="6F83AA35">
            <w:pPr>
              <w:spacing w:line="349" w:lineRule="auto"/>
              <w:rPr>
                <w:rFonts w:ascii="Arial"/>
                <w:sz w:val="21"/>
              </w:rPr>
            </w:pPr>
          </w:p>
          <w:p w14:paraId="1D261A09">
            <w:pPr>
              <w:spacing w:line="349" w:lineRule="auto"/>
              <w:rPr>
                <w:rFonts w:ascii="Arial"/>
                <w:sz w:val="21"/>
              </w:rPr>
            </w:pPr>
          </w:p>
          <w:p w14:paraId="2C76E93A">
            <w:pPr>
              <w:pStyle w:val="8"/>
              <w:spacing w:before="59" w:line="243" w:lineRule="auto"/>
              <w:ind w:left="18" w:right="20"/>
              <w:jc w:val="both"/>
            </w:pPr>
            <w:r>
              <w:rPr>
                <w:spacing w:val="-6"/>
              </w:rPr>
              <w:t>对交通运输领</w:t>
            </w:r>
            <w:r>
              <w:rPr>
                <w:spacing w:val="2"/>
              </w:rPr>
              <w:t xml:space="preserve"> </w:t>
            </w:r>
            <w:r>
              <w:rPr>
                <w:spacing w:val="-6"/>
              </w:rPr>
              <w:t>域生产经营单</w:t>
            </w:r>
            <w:r>
              <w:rPr>
                <w:spacing w:val="2"/>
              </w:rPr>
              <w:t xml:space="preserve"> </w:t>
            </w:r>
            <w:r>
              <w:rPr>
                <w:spacing w:val="-6"/>
              </w:rPr>
              <w:t>位不具备规定</w:t>
            </w:r>
            <w:r>
              <w:rPr>
                <w:spacing w:val="2"/>
              </w:rPr>
              <w:t xml:space="preserve"> </w:t>
            </w:r>
            <w:r>
              <w:rPr>
                <w:spacing w:val="-6"/>
              </w:rPr>
              <w:t>的安全生产条</w:t>
            </w:r>
            <w:r>
              <w:rPr>
                <w:spacing w:val="2"/>
              </w:rPr>
              <w:t xml:space="preserve"> </w:t>
            </w:r>
            <w:r>
              <w:rPr>
                <w:spacing w:val="-6"/>
              </w:rPr>
              <w:t>件，经停产停</w:t>
            </w:r>
            <w:r>
              <w:rPr>
                <w:spacing w:val="2"/>
              </w:rPr>
              <w:t xml:space="preserve"> </w:t>
            </w:r>
            <w:r>
              <w:rPr>
                <w:spacing w:val="-6"/>
              </w:rPr>
              <w:t>业整顿仍不具</w:t>
            </w:r>
            <w:r>
              <w:rPr>
                <w:spacing w:val="2"/>
              </w:rPr>
              <w:t xml:space="preserve"> </w:t>
            </w:r>
            <w:r>
              <w:rPr>
                <w:spacing w:val="-6"/>
              </w:rPr>
              <w:t>备安全生产条</w:t>
            </w:r>
            <w:r>
              <w:rPr>
                <w:spacing w:val="2"/>
              </w:rPr>
              <w:t xml:space="preserve"> </w:t>
            </w:r>
            <w:r>
              <w:rPr>
                <w:spacing w:val="-7"/>
              </w:rPr>
              <w:t>件的行政处罚</w:t>
            </w:r>
          </w:p>
        </w:tc>
        <w:tc>
          <w:tcPr>
            <w:tcW w:w="1101" w:type="dxa"/>
            <w:vAlign w:val="top"/>
          </w:tcPr>
          <w:p w14:paraId="35132193">
            <w:pPr>
              <w:spacing w:line="255" w:lineRule="auto"/>
              <w:rPr>
                <w:rFonts w:ascii="Arial"/>
                <w:sz w:val="21"/>
              </w:rPr>
            </w:pPr>
          </w:p>
          <w:p w14:paraId="68906726">
            <w:pPr>
              <w:spacing w:line="256" w:lineRule="auto"/>
              <w:rPr>
                <w:rFonts w:ascii="Arial"/>
                <w:sz w:val="21"/>
              </w:rPr>
            </w:pPr>
          </w:p>
          <w:p w14:paraId="56C72193">
            <w:pPr>
              <w:spacing w:line="256" w:lineRule="auto"/>
              <w:rPr>
                <w:rFonts w:ascii="Arial"/>
                <w:sz w:val="21"/>
              </w:rPr>
            </w:pPr>
          </w:p>
          <w:p w14:paraId="0E6AD54C">
            <w:pPr>
              <w:spacing w:line="256" w:lineRule="auto"/>
              <w:rPr>
                <w:rFonts w:ascii="Arial"/>
                <w:sz w:val="21"/>
              </w:rPr>
            </w:pPr>
          </w:p>
          <w:p w14:paraId="322F6369">
            <w:pPr>
              <w:spacing w:line="256" w:lineRule="auto"/>
              <w:rPr>
                <w:rFonts w:ascii="Arial"/>
                <w:sz w:val="21"/>
              </w:rPr>
            </w:pPr>
          </w:p>
          <w:p w14:paraId="38778954">
            <w:pPr>
              <w:spacing w:line="256" w:lineRule="auto"/>
              <w:rPr>
                <w:rFonts w:ascii="Arial"/>
                <w:sz w:val="21"/>
              </w:rPr>
            </w:pPr>
          </w:p>
          <w:p w14:paraId="0A165D3C">
            <w:pPr>
              <w:pStyle w:val="8"/>
              <w:spacing w:before="58" w:line="220" w:lineRule="auto"/>
              <w:ind w:left="25"/>
            </w:pPr>
            <w:r>
              <w:rPr>
                <w:spacing w:val="-7"/>
              </w:rPr>
              <w:t>行政处罚</w:t>
            </w:r>
          </w:p>
        </w:tc>
        <w:tc>
          <w:tcPr>
            <w:tcW w:w="8524" w:type="dxa"/>
            <w:vAlign w:val="top"/>
          </w:tcPr>
          <w:p w14:paraId="27165017">
            <w:pPr>
              <w:pStyle w:val="8"/>
              <w:spacing w:before="163" w:line="219" w:lineRule="auto"/>
              <w:ind w:left="458"/>
            </w:pPr>
            <w:r>
              <w:rPr>
                <w:b/>
                <w:bCs/>
                <w:spacing w:val="-9"/>
              </w:rPr>
              <w:t>1.《中华人民共和国安全生产法》</w:t>
            </w:r>
          </w:p>
          <w:p w14:paraId="623877A6">
            <w:pPr>
              <w:pStyle w:val="8"/>
              <w:spacing w:before="25" w:line="233" w:lineRule="auto"/>
              <w:ind w:left="101" w:right="157" w:firstLine="343"/>
            </w:pPr>
            <w:r>
              <w:rPr>
                <w:spacing w:val="-8"/>
              </w:rPr>
              <w:t>第二十条</w:t>
            </w:r>
            <w:r>
              <w:rPr>
                <w:spacing w:val="74"/>
              </w:rPr>
              <w:t xml:space="preserve"> </w:t>
            </w:r>
            <w:r>
              <w:rPr>
                <w:spacing w:val="-8"/>
              </w:rPr>
              <w:t>生产经营单位应当具备本法和有关法律、行政法规和国家标准或者行业标准规定的安全生产条</w:t>
            </w:r>
            <w:r>
              <w:t xml:space="preserve"> </w:t>
            </w:r>
            <w:r>
              <w:rPr>
                <w:spacing w:val="-8"/>
              </w:rPr>
              <w:t>件；不具备安全生产条件的，不得从事生产经营活动。</w:t>
            </w:r>
          </w:p>
          <w:p w14:paraId="2E3D2B02">
            <w:pPr>
              <w:pStyle w:val="8"/>
              <w:spacing w:before="28" w:line="242" w:lineRule="auto"/>
              <w:ind w:left="102" w:right="46" w:firstLine="342"/>
              <w:jc w:val="both"/>
            </w:pPr>
            <w:r>
              <w:rPr>
                <w:spacing w:val="-8"/>
              </w:rPr>
              <w:t>第一百一十三条</w:t>
            </w:r>
            <w:r>
              <w:rPr>
                <w:spacing w:val="74"/>
              </w:rPr>
              <w:t xml:space="preserve"> </w:t>
            </w:r>
            <w:r>
              <w:rPr>
                <w:spacing w:val="-8"/>
              </w:rPr>
              <w:t>生产经营单位存在下列情形之一的，负有安全生产监督管理职责的部门应当提请地方人</w:t>
            </w:r>
            <w:r>
              <w:t xml:space="preserve">  </w:t>
            </w:r>
            <w:r>
              <w:rPr>
                <w:spacing w:val="-8"/>
              </w:rPr>
              <w:t>民政府予以关闭，有关部门应当依法吊销其有关证照。生产经营单位主要负责人五年内不得担任任何生产</w:t>
            </w:r>
            <w:r>
              <w:rPr>
                <w:spacing w:val="-9"/>
              </w:rPr>
              <w:t>经营</w:t>
            </w:r>
            <w:r>
              <w:t xml:space="preserve">  </w:t>
            </w:r>
            <w:r>
              <w:rPr>
                <w:spacing w:val="-9"/>
              </w:rPr>
              <w:t>单位的主要负责人；情节严重的，终身不得担任本行业生产经营单位的主要负责人</w:t>
            </w:r>
            <w:r>
              <w:rPr>
                <w:spacing w:val="-20"/>
              </w:rPr>
              <w:t>：（</w:t>
            </w:r>
            <w:r>
              <w:rPr>
                <w:spacing w:val="-9"/>
              </w:rPr>
              <w:t>一）存在重大事故隐患，</w:t>
            </w:r>
            <w:r>
              <w:rPr>
                <w:spacing w:val="1"/>
              </w:rPr>
              <w:t xml:space="preserve"> </w:t>
            </w:r>
            <w:r>
              <w:rPr>
                <w:spacing w:val="-7"/>
              </w:rPr>
              <w:t>一百八十日内三次或者一年内四次受到本法规定的</w:t>
            </w:r>
            <w:r>
              <w:rPr>
                <w:spacing w:val="-8"/>
              </w:rPr>
              <w:t>行政处罚的</w:t>
            </w:r>
            <w:r>
              <w:rPr>
                <w:spacing w:val="-20"/>
              </w:rPr>
              <w:t>；（</w:t>
            </w:r>
            <w:r>
              <w:rPr>
                <w:spacing w:val="-8"/>
              </w:rPr>
              <w:t>二）经停产停业整顿，仍不具备法律、行政</w:t>
            </w:r>
            <w:r>
              <w:t xml:space="preserve">  </w:t>
            </w:r>
            <w:r>
              <w:rPr>
                <w:spacing w:val="-7"/>
              </w:rPr>
              <w:t>法规和国家标准或者行业标准规定的安全生产条件的</w:t>
            </w:r>
            <w:r>
              <w:rPr>
                <w:spacing w:val="-22"/>
              </w:rPr>
              <w:t>；（</w:t>
            </w:r>
            <w:r>
              <w:rPr>
                <w:spacing w:val="-7"/>
              </w:rPr>
              <w:t>三）</w:t>
            </w:r>
            <w:r>
              <w:rPr>
                <w:spacing w:val="-8"/>
              </w:rPr>
              <w:t>不具备法律、行政法规和国家标准或者行业标准</w:t>
            </w:r>
            <w:r>
              <w:t xml:space="preserve">  </w:t>
            </w:r>
            <w:r>
              <w:rPr>
                <w:spacing w:val="-7"/>
              </w:rPr>
              <w:t>规定的安全生产条件，导致发生重大、特别重大生产安全</w:t>
            </w:r>
            <w:r>
              <w:rPr>
                <w:spacing w:val="-8"/>
              </w:rPr>
              <w:t>事故的</w:t>
            </w:r>
            <w:r>
              <w:rPr>
                <w:spacing w:val="-22"/>
              </w:rPr>
              <w:t>；（</w:t>
            </w:r>
            <w:r>
              <w:rPr>
                <w:spacing w:val="-8"/>
              </w:rPr>
              <w:t>四）拒不执行负有安全生产监督管理职责</w:t>
            </w:r>
            <w:r>
              <w:t xml:space="preserve">  </w:t>
            </w:r>
            <w:r>
              <w:rPr>
                <w:spacing w:val="-8"/>
              </w:rPr>
              <w:t>的部门作出的停产停业整顿决定的。</w:t>
            </w:r>
          </w:p>
          <w:p w14:paraId="6BED2E24">
            <w:pPr>
              <w:pStyle w:val="8"/>
              <w:spacing w:before="25" w:line="219" w:lineRule="auto"/>
              <w:ind w:left="447"/>
            </w:pPr>
            <w:r>
              <w:rPr>
                <w:b/>
                <w:bCs/>
                <w:spacing w:val="-8"/>
              </w:rPr>
              <w:t>2.《道路旅客运输及客运站管理规定》(交通运输部令2023年第12号)</w:t>
            </w:r>
          </w:p>
          <w:p w14:paraId="0C305C99">
            <w:pPr>
              <w:pStyle w:val="8"/>
              <w:spacing w:before="25" w:line="233" w:lineRule="auto"/>
              <w:ind w:left="103" w:right="157" w:firstLine="341"/>
            </w:pPr>
            <w:r>
              <w:rPr>
                <w:spacing w:val="-8"/>
              </w:rPr>
              <w:t>第一百条</w:t>
            </w:r>
            <w:r>
              <w:rPr>
                <w:spacing w:val="74"/>
              </w:rPr>
              <w:t xml:space="preserve"> </w:t>
            </w:r>
            <w:r>
              <w:rPr>
                <w:spacing w:val="-8"/>
              </w:rPr>
              <w:t>违反本规定，客运经营者、客运站经营者存在重大运输安全隐患等情形，导致不具备安全生产</w:t>
            </w:r>
            <w:r>
              <w:t xml:space="preserve"> </w:t>
            </w:r>
            <w:r>
              <w:rPr>
                <w:spacing w:val="-8"/>
              </w:rPr>
              <w:t>条件，经停产停业整顿仍不具备安全生产条件的，由交通运输主管部门依法吊销相应许可。</w:t>
            </w:r>
          </w:p>
        </w:tc>
        <w:tc>
          <w:tcPr>
            <w:tcW w:w="1011" w:type="dxa"/>
            <w:vAlign w:val="top"/>
          </w:tcPr>
          <w:p w14:paraId="7FCAA545">
            <w:pPr>
              <w:spacing w:line="283" w:lineRule="auto"/>
              <w:rPr>
                <w:rFonts w:ascii="Arial"/>
                <w:sz w:val="21"/>
              </w:rPr>
            </w:pPr>
          </w:p>
          <w:p w14:paraId="7BFEF036">
            <w:pPr>
              <w:spacing w:line="283" w:lineRule="auto"/>
              <w:rPr>
                <w:rFonts w:ascii="Arial"/>
                <w:sz w:val="21"/>
              </w:rPr>
            </w:pPr>
          </w:p>
          <w:p w14:paraId="40153874">
            <w:pPr>
              <w:spacing w:line="283" w:lineRule="auto"/>
              <w:rPr>
                <w:rFonts w:ascii="Arial"/>
                <w:sz w:val="21"/>
              </w:rPr>
            </w:pPr>
          </w:p>
          <w:p w14:paraId="05ABDECA">
            <w:pPr>
              <w:spacing w:line="283" w:lineRule="auto"/>
              <w:rPr>
                <w:rFonts w:ascii="Arial"/>
                <w:sz w:val="21"/>
              </w:rPr>
            </w:pPr>
          </w:p>
          <w:p w14:paraId="5917BF27">
            <w:pPr>
              <w:spacing w:line="283" w:lineRule="auto"/>
              <w:rPr>
                <w:rFonts w:ascii="Arial"/>
                <w:sz w:val="21"/>
              </w:rPr>
            </w:pPr>
          </w:p>
          <w:p w14:paraId="1829B90E">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0AEAE96C">
            <w:pPr>
              <w:spacing w:line="283" w:lineRule="auto"/>
              <w:rPr>
                <w:rFonts w:ascii="Arial"/>
                <w:sz w:val="21"/>
              </w:rPr>
            </w:pPr>
          </w:p>
          <w:p w14:paraId="007291D3">
            <w:pPr>
              <w:spacing w:line="283" w:lineRule="auto"/>
              <w:rPr>
                <w:rFonts w:ascii="Arial"/>
                <w:sz w:val="21"/>
              </w:rPr>
            </w:pPr>
          </w:p>
          <w:p w14:paraId="15D27A45">
            <w:pPr>
              <w:spacing w:line="283" w:lineRule="auto"/>
              <w:rPr>
                <w:rFonts w:ascii="Arial"/>
                <w:sz w:val="21"/>
              </w:rPr>
            </w:pPr>
          </w:p>
          <w:p w14:paraId="05064863">
            <w:pPr>
              <w:spacing w:line="283" w:lineRule="auto"/>
              <w:rPr>
                <w:rFonts w:ascii="Arial"/>
                <w:sz w:val="21"/>
              </w:rPr>
            </w:pPr>
          </w:p>
          <w:p w14:paraId="39E7075B">
            <w:pPr>
              <w:spacing w:line="283" w:lineRule="auto"/>
              <w:rPr>
                <w:rFonts w:ascii="Arial"/>
                <w:sz w:val="21"/>
              </w:rPr>
            </w:pPr>
          </w:p>
          <w:p w14:paraId="4422C39B">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8E02320">
            <w:pPr>
              <w:spacing w:line="294" w:lineRule="auto"/>
              <w:rPr>
                <w:rFonts w:ascii="Arial"/>
                <w:sz w:val="21"/>
              </w:rPr>
            </w:pPr>
          </w:p>
          <w:p w14:paraId="69FE347D">
            <w:pPr>
              <w:spacing w:line="294" w:lineRule="auto"/>
              <w:rPr>
                <w:rFonts w:ascii="Arial"/>
                <w:sz w:val="21"/>
              </w:rPr>
            </w:pPr>
          </w:p>
          <w:p w14:paraId="59ADDD29">
            <w:pPr>
              <w:spacing w:line="295" w:lineRule="auto"/>
              <w:rPr>
                <w:rFonts w:ascii="Arial"/>
                <w:sz w:val="21"/>
              </w:rPr>
            </w:pPr>
          </w:p>
          <w:p w14:paraId="7C75211D">
            <w:pPr>
              <w:spacing w:line="295" w:lineRule="auto"/>
              <w:rPr>
                <w:rFonts w:ascii="Arial"/>
                <w:sz w:val="21"/>
              </w:rPr>
            </w:pPr>
          </w:p>
          <w:p w14:paraId="047D3E5E">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1EF0C8EC">
      <w:pPr>
        <w:pStyle w:val="2"/>
      </w:pPr>
    </w:p>
    <w:p w14:paraId="581F2E55">
      <w:pPr>
        <w:sectPr>
          <w:footerReference r:id="rId25" w:type="default"/>
          <w:pgSz w:w="16839" w:h="11906"/>
          <w:pgMar w:top="1012" w:right="1016" w:bottom="966" w:left="1016" w:header="0" w:footer="768" w:gutter="0"/>
          <w:cols w:space="720" w:num="1"/>
        </w:sectPr>
      </w:pPr>
    </w:p>
    <w:p w14:paraId="6832D0FF">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44254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5C9420C1">
            <w:pPr>
              <w:pStyle w:val="8"/>
              <w:spacing w:before="273" w:line="221" w:lineRule="auto"/>
              <w:ind w:left="129"/>
            </w:pPr>
            <w:r>
              <w:rPr>
                <w:b/>
                <w:bCs/>
                <w:spacing w:val="-4"/>
              </w:rPr>
              <w:t>序号</w:t>
            </w:r>
          </w:p>
        </w:tc>
        <w:tc>
          <w:tcPr>
            <w:tcW w:w="1101" w:type="dxa"/>
            <w:vMerge w:val="restart"/>
            <w:tcBorders>
              <w:bottom w:val="nil"/>
            </w:tcBorders>
            <w:vAlign w:val="top"/>
          </w:tcPr>
          <w:p w14:paraId="6ACC3818">
            <w:pPr>
              <w:pStyle w:val="8"/>
              <w:spacing w:before="274" w:line="220" w:lineRule="auto"/>
              <w:ind w:left="182"/>
            </w:pPr>
            <w:r>
              <w:rPr>
                <w:b/>
                <w:bCs/>
                <w:spacing w:val="-4"/>
              </w:rPr>
              <w:t>事项名称</w:t>
            </w:r>
          </w:p>
        </w:tc>
        <w:tc>
          <w:tcPr>
            <w:tcW w:w="1101" w:type="dxa"/>
            <w:vMerge w:val="restart"/>
            <w:tcBorders>
              <w:bottom w:val="nil"/>
            </w:tcBorders>
            <w:vAlign w:val="top"/>
          </w:tcPr>
          <w:p w14:paraId="2F34EF6B">
            <w:pPr>
              <w:pStyle w:val="8"/>
              <w:spacing w:before="274" w:line="219" w:lineRule="auto"/>
              <w:ind w:left="183"/>
            </w:pPr>
            <w:r>
              <w:rPr>
                <w:b/>
                <w:bCs/>
                <w:spacing w:val="-4"/>
              </w:rPr>
              <w:t>职权类型</w:t>
            </w:r>
          </w:p>
        </w:tc>
        <w:tc>
          <w:tcPr>
            <w:tcW w:w="8524" w:type="dxa"/>
            <w:vMerge w:val="restart"/>
            <w:tcBorders>
              <w:bottom w:val="nil"/>
            </w:tcBorders>
            <w:vAlign w:val="top"/>
          </w:tcPr>
          <w:p w14:paraId="7C1608F9">
            <w:pPr>
              <w:pStyle w:val="8"/>
              <w:spacing w:before="273" w:line="219" w:lineRule="auto"/>
              <w:ind w:left="4083"/>
            </w:pPr>
            <w:r>
              <w:rPr>
                <w:b/>
                <w:bCs/>
                <w:spacing w:val="-5"/>
              </w:rPr>
              <w:t>实施依据</w:t>
            </w:r>
          </w:p>
        </w:tc>
        <w:tc>
          <w:tcPr>
            <w:tcW w:w="3435" w:type="dxa"/>
            <w:gridSpan w:val="3"/>
            <w:vAlign w:val="top"/>
          </w:tcPr>
          <w:p w14:paraId="743BC39C">
            <w:pPr>
              <w:pStyle w:val="8"/>
              <w:spacing w:before="94" w:line="220" w:lineRule="auto"/>
              <w:ind w:left="1360"/>
            </w:pPr>
            <w:r>
              <w:rPr>
                <w:b/>
                <w:bCs/>
                <w:spacing w:val="-5"/>
              </w:rPr>
              <w:t>实施主体</w:t>
            </w:r>
          </w:p>
        </w:tc>
      </w:tr>
      <w:tr w14:paraId="54007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009713B7">
            <w:pPr>
              <w:rPr>
                <w:rFonts w:ascii="Arial"/>
                <w:sz w:val="21"/>
              </w:rPr>
            </w:pPr>
          </w:p>
        </w:tc>
        <w:tc>
          <w:tcPr>
            <w:tcW w:w="1101" w:type="dxa"/>
            <w:vMerge w:val="continue"/>
            <w:tcBorders>
              <w:top w:val="nil"/>
            </w:tcBorders>
            <w:vAlign w:val="top"/>
          </w:tcPr>
          <w:p w14:paraId="2EC945A4">
            <w:pPr>
              <w:rPr>
                <w:rFonts w:ascii="Arial"/>
                <w:sz w:val="21"/>
              </w:rPr>
            </w:pPr>
          </w:p>
        </w:tc>
        <w:tc>
          <w:tcPr>
            <w:tcW w:w="1101" w:type="dxa"/>
            <w:vMerge w:val="continue"/>
            <w:tcBorders>
              <w:top w:val="nil"/>
            </w:tcBorders>
            <w:vAlign w:val="top"/>
          </w:tcPr>
          <w:p w14:paraId="3E04B497">
            <w:pPr>
              <w:rPr>
                <w:rFonts w:ascii="Arial"/>
                <w:sz w:val="21"/>
              </w:rPr>
            </w:pPr>
          </w:p>
        </w:tc>
        <w:tc>
          <w:tcPr>
            <w:tcW w:w="8524" w:type="dxa"/>
            <w:vMerge w:val="continue"/>
            <w:tcBorders>
              <w:top w:val="nil"/>
            </w:tcBorders>
            <w:vAlign w:val="top"/>
          </w:tcPr>
          <w:p w14:paraId="40CF93B2">
            <w:pPr>
              <w:rPr>
                <w:rFonts w:ascii="Arial"/>
                <w:sz w:val="21"/>
              </w:rPr>
            </w:pPr>
          </w:p>
        </w:tc>
        <w:tc>
          <w:tcPr>
            <w:tcW w:w="1011" w:type="dxa"/>
            <w:vAlign w:val="top"/>
          </w:tcPr>
          <w:p w14:paraId="5B22A322">
            <w:pPr>
              <w:pStyle w:val="8"/>
              <w:spacing w:before="85" w:line="219" w:lineRule="auto"/>
              <w:ind w:left="154"/>
            </w:pPr>
            <w:r>
              <w:rPr>
                <w:b/>
                <w:bCs/>
                <w:spacing w:val="-5"/>
              </w:rPr>
              <w:t>责任部门</w:t>
            </w:r>
          </w:p>
        </w:tc>
        <w:tc>
          <w:tcPr>
            <w:tcW w:w="1404" w:type="dxa"/>
            <w:vAlign w:val="top"/>
          </w:tcPr>
          <w:p w14:paraId="6E04E342">
            <w:pPr>
              <w:pStyle w:val="8"/>
              <w:spacing w:before="85" w:line="219" w:lineRule="auto"/>
              <w:ind w:left="164"/>
            </w:pPr>
            <w:r>
              <w:rPr>
                <w:b/>
                <w:bCs/>
                <w:spacing w:val="-3"/>
              </w:rPr>
              <w:t>第一责任层级</w:t>
            </w:r>
          </w:p>
        </w:tc>
        <w:tc>
          <w:tcPr>
            <w:tcW w:w="1020" w:type="dxa"/>
            <w:vAlign w:val="top"/>
          </w:tcPr>
          <w:p w14:paraId="61C0C9A6">
            <w:pPr>
              <w:pStyle w:val="8"/>
              <w:spacing w:before="84" w:line="219" w:lineRule="auto"/>
              <w:ind w:left="114"/>
            </w:pPr>
            <w:r>
              <w:rPr>
                <w:b/>
                <w:bCs/>
                <w:spacing w:val="-4"/>
              </w:rPr>
              <w:t>承办机构</w:t>
            </w:r>
          </w:p>
        </w:tc>
      </w:tr>
      <w:tr w14:paraId="3EDDE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1" w:hRule="atLeast"/>
        </w:trPr>
        <w:tc>
          <w:tcPr>
            <w:tcW w:w="629" w:type="dxa"/>
            <w:vAlign w:val="top"/>
          </w:tcPr>
          <w:p w14:paraId="3D01117D">
            <w:pPr>
              <w:spacing w:line="249" w:lineRule="auto"/>
              <w:rPr>
                <w:rFonts w:ascii="Arial"/>
                <w:sz w:val="21"/>
              </w:rPr>
            </w:pPr>
          </w:p>
          <w:p w14:paraId="2EB8FDDA">
            <w:pPr>
              <w:spacing w:line="249" w:lineRule="auto"/>
              <w:rPr>
                <w:rFonts w:ascii="Arial"/>
                <w:sz w:val="21"/>
              </w:rPr>
            </w:pPr>
          </w:p>
          <w:p w14:paraId="62B72E61">
            <w:pPr>
              <w:spacing w:line="249" w:lineRule="auto"/>
              <w:rPr>
                <w:rFonts w:ascii="Arial"/>
                <w:sz w:val="21"/>
              </w:rPr>
            </w:pPr>
          </w:p>
          <w:p w14:paraId="16037C78">
            <w:pPr>
              <w:spacing w:line="249" w:lineRule="auto"/>
              <w:rPr>
                <w:rFonts w:ascii="Arial"/>
                <w:sz w:val="21"/>
              </w:rPr>
            </w:pPr>
          </w:p>
          <w:p w14:paraId="4CBC7472">
            <w:pPr>
              <w:spacing w:line="250" w:lineRule="auto"/>
              <w:rPr>
                <w:rFonts w:ascii="Arial"/>
                <w:sz w:val="21"/>
              </w:rPr>
            </w:pPr>
          </w:p>
          <w:p w14:paraId="4A860926">
            <w:pPr>
              <w:spacing w:line="250" w:lineRule="auto"/>
              <w:rPr>
                <w:rFonts w:ascii="Arial"/>
                <w:sz w:val="21"/>
              </w:rPr>
            </w:pPr>
          </w:p>
          <w:p w14:paraId="6B311D90">
            <w:pPr>
              <w:pStyle w:val="8"/>
              <w:spacing w:before="59" w:line="182" w:lineRule="auto"/>
              <w:ind w:left="270"/>
            </w:pPr>
            <w:r>
              <w:t>5</w:t>
            </w:r>
          </w:p>
        </w:tc>
        <w:tc>
          <w:tcPr>
            <w:tcW w:w="1101" w:type="dxa"/>
            <w:vAlign w:val="top"/>
          </w:tcPr>
          <w:p w14:paraId="67B853EE">
            <w:pPr>
              <w:spacing w:line="315" w:lineRule="auto"/>
              <w:rPr>
                <w:rFonts w:ascii="Arial"/>
                <w:sz w:val="21"/>
              </w:rPr>
            </w:pPr>
          </w:p>
          <w:p w14:paraId="30890BD5">
            <w:pPr>
              <w:spacing w:line="316" w:lineRule="auto"/>
              <w:rPr>
                <w:rFonts w:ascii="Arial"/>
                <w:sz w:val="21"/>
              </w:rPr>
            </w:pPr>
          </w:p>
          <w:p w14:paraId="4FFE6079">
            <w:pPr>
              <w:pStyle w:val="8"/>
              <w:spacing w:before="59" w:line="243" w:lineRule="auto"/>
              <w:ind w:left="18" w:right="20"/>
              <w:jc w:val="both"/>
            </w:pPr>
            <w:r>
              <w:rPr>
                <w:spacing w:val="-6"/>
              </w:rPr>
              <w:t>对放射性物品</w:t>
            </w:r>
            <w:r>
              <w:rPr>
                <w:spacing w:val="2"/>
              </w:rPr>
              <w:t xml:space="preserve"> </w:t>
            </w:r>
            <w:r>
              <w:rPr>
                <w:spacing w:val="-6"/>
              </w:rPr>
              <w:t>道路运输企业</w:t>
            </w:r>
            <w:r>
              <w:rPr>
                <w:spacing w:val="2"/>
              </w:rPr>
              <w:t xml:space="preserve"> </w:t>
            </w:r>
            <w:r>
              <w:rPr>
                <w:spacing w:val="-6"/>
              </w:rPr>
              <w:t>或者单位已不</w:t>
            </w:r>
            <w:r>
              <w:rPr>
                <w:spacing w:val="2"/>
              </w:rPr>
              <w:t xml:space="preserve"> </w:t>
            </w:r>
            <w:r>
              <w:rPr>
                <w:spacing w:val="-6"/>
              </w:rPr>
              <w:t>具备许可要求</w:t>
            </w:r>
            <w:r>
              <w:rPr>
                <w:spacing w:val="2"/>
              </w:rPr>
              <w:t xml:space="preserve"> </w:t>
            </w:r>
            <w:r>
              <w:rPr>
                <w:spacing w:val="-6"/>
              </w:rPr>
              <w:t>的有关安全条</w:t>
            </w:r>
            <w:r>
              <w:rPr>
                <w:spacing w:val="2"/>
              </w:rPr>
              <w:t xml:space="preserve"> </w:t>
            </w:r>
            <w:r>
              <w:rPr>
                <w:spacing w:val="-6"/>
              </w:rPr>
              <w:t>件，存在重大</w:t>
            </w:r>
            <w:r>
              <w:rPr>
                <w:spacing w:val="2"/>
              </w:rPr>
              <w:t xml:space="preserve"> </w:t>
            </w:r>
            <w:r>
              <w:rPr>
                <w:spacing w:val="-6"/>
              </w:rPr>
              <w:t>运输安全隐患</w:t>
            </w:r>
            <w:r>
              <w:rPr>
                <w:spacing w:val="2"/>
              </w:rPr>
              <w:t xml:space="preserve"> </w:t>
            </w:r>
            <w:r>
              <w:rPr>
                <w:spacing w:val="-7"/>
              </w:rPr>
              <w:t>的行政处罚</w:t>
            </w:r>
          </w:p>
        </w:tc>
        <w:tc>
          <w:tcPr>
            <w:tcW w:w="1101" w:type="dxa"/>
            <w:vAlign w:val="top"/>
          </w:tcPr>
          <w:p w14:paraId="0B2FC3E4">
            <w:pPr>
              <w:spacing w:line="244" w:lineRule="auto"/>
              <w:rPr>
                <w:rFonts w:ascii="Arial"/>
                <w:sz w:val="21"/>
              </w:rPr>
            </w:pPr>
          </w:p>
          <w:p w14:paraId="369B6839">
            <w:pPr>
              <w:spacing w:line="244" w:lineRule="auto"/>
              <w:rPr>
                <w:rFonts w:ascii="Arial"/>
                <w:sz w:val="21"/>
              </w:rPr>
            </w:pPr>
          </w:p>
          <w:p w14:paraId="0B05D73E">
            <w:pPr>
              <w:spacing w:line="244" w:lineRule="auto"/>
              <w:rPr>
                <w:rFonts w:ascii="Arial"/>
                <w:sz w:val="21"/>
              </w:rPr>
            </w:pPr>
          </w:p>
          <w:p w14:paraId="50931255">
            <w:pPr>
              <w:spacing w:line="245" w:lineRule="auto"/>
              <w:rPr>
                <w:rFonts w:ascii="Arial"/>
                <w:sz w:val="21"/>
              </w:rPr>
            </w:pPr>
          </w:p>
          <w:p w14:paraId="772AE8E0">
            <w:pPr>
              <w:spacing w:line="245" w:lineRule="auto"/>
              <w:rPr>
                <w:rFonts w:ascii="Arial"/>
                <w:sz w:val="21"/>
              </w:rPr>
            </w:pPr>
          </w:p>
          <w:p w14:paraId="0505AF56">
            <w:pPr>
              <w:spacing w:line="245" w:lineRule="auto"/>
              <w:rPr>
                <w:rFonts w:ascii="Arial"/>
                <w:sz w:val="21"/>
              </w:rPr>
            </w:pPr>
          </w:p>
          <w:p w14:paraId="7E5E5B2C">
            <w:pPr>
              <w:pStyle w:val="8"/>
              <w:spacing w:before="58" w:line="220" w:lineRule="auto"/>
              <w:ind w:left="25"/>
            </w:pPr>
            <w:r>
              <w:rPr>
                <w:spacing w:val="-7"/>
              </w:rPr>
              <w:t>行政处罚</w:t>
            </w:r>
          </w:p>
        </w:tc>
        <w:tc>
          <w:tcPr>
            <w:tcW w:w="8524" w:type="dxa"/>
            <w:vAlign w:val="top"/>
          </w:tcPr>
          <w:p w14:paraId="5EAB4A8F">
            <w:pPr>
              <w:pStyle w:val="8"/>
              <w:spacing w:before="37" w:line="219" w:lineRule="auto"/>
              <w:ind w:left="458"/>
            </w:pPr>
            <w:r>
              <w:rPr>
                <w:b/>
                <w:bCs/>
                <w:spacing w:val="-9"/>
              </w:rPr>
              <w:t>1.《中华人民共和国安全生产法》</w:t>
            </w:r>
          </w:p>
          <w:p w14:paraId="695E6F65">
            <w:pPr>
              <w:pStyle w:val="8"/>
              <w:spacing w:before="13" w:line="228" w:lineRule="auto"/>
              <w:ind w:left="101" w:right="157" w:firstLine="343"/>
            </w:pPr>
            <w:r>
              <w:rPr>
                <w:spacing w:val="-8"/>
              </w:rPr>
              <w:t>第二十条</w:t>
            </w:r>
            <w:r>
              <w:rPr>
                <w:spacing w:val="74"/>
              </w:rPr>
              <w:t xml:space="preserve"> </w:t>
            </w:r>
            <w:r>
              <w:rPr>
                <w:spacing w:val="-8"/>
              </w:rPr>
              <w:t>生产经营单位应当具备本法和有关法律、行政法规和国家标准或者行业标准规定的安全生产条</w:t>
            </w:r>
            <w:r>
              <w:t xml:space="preserve"> </w:t>
            </w:r>
            <w:r>
              <w:rPr>
                <w:spacing w:val="-8"/>
              </w:rPr>
              <w:t>件；不具备安全生产条件的，不得从事生产经营活动。</w:t>
            </w:r>
          </w:p>
          <w:p w14:paraId="12CF7F1D">
            <w:pPr>
              <w:pStyle w:val="8"/>
              <w:spacing w:before="13" w:line="234" w:lineRule="auto"/>
              <w:ind w:left="102" w:right="46" w:firstLine="342"/>
              <w:jc w:val="both"/>
            </w:pPr>
            <w:r>
              <w:rPr>
                <w:spacing w:val="-8"/>
              </w:rPr>
              <w:t>第一百一十三条</w:t>
            </w:r>
            <w:r>
              <w:rPr>
                <w:spacing w:val="74"/>
              </w:rPr>
              <w:t xml:space="preserve"> </w:t>
            </w:r>
            <w:r>
              <w:rPr>
                <w:spacing w:val="-8"/>
              </w:rPr>
              <w:t>生产经营单位存在下列情形之一的，负有安全生产监督管理职责的部门应当提请地方人</w:t>
            </w:r>
            <w:r>
              <w:t xml:space="preserve">  </w:t>
            </w:r>
            <w:r>
              <w:rPr>
                <w:spacing w:val="-8"/>
              </w:rPr>
              <w:t>民政府予以关闭，有关部门应当依法吊销其有关证照。生产经营单位主要负责人五年内不得担任任何生产</w:t>
            </w:r>
            <w:r>
              <w:rPr>
                <w:spacing w:val="-9"/>
              </w:rPr>
              <w:t>经营</w:t>
            </w:r>
            <w:r>
              <w:t xml:space="preserve">  </w:t>
            </w:r>
            <w:r>
              <w:rPr>
                <w:spacing w:val="-9"/>
              </w:rPr>
              <w:t>单位的主要负责人；情节严重的，终身不得担任本行业生产经营单位的主要负责人</w:t>
            </w:r>
            <w:r>
              <w:rPr>
                <w:spacing w:val="-20"/>
              </w:rPr>
              <w:t>：（</w:t>
            </w:r>
            <w:r>
              <w:rPr>
                <w:spacing w:val="-9"/>
              </w:rPr>
              <w:t>一）存在重大事故隐患，</w:t>
            </w:r>
            <w:r>
              <w:rPr>
                <w:spacing w:val="1"/>
              </w:rPr>
              <w:t xml:space="preserve"> </w:t>
            </w:r>
            <w:r>
              <w:rPr>
                <w:spacing w:val="-7"/>
              </w:rPr>
              <w:t>一百八十日内三次或者一年内四次受到本法规定的</w:t>
            </w:r>
            <w:r>
              <w:rPr>
                <w:spacing w:val="-8"/>
              </w:rPr>
              <w:t>行政处罚的</w:t>
            </w:r>
            <w:r>
              <w:rPr>
                <w:spacing w:val="-20"/>
              </w:rPr>
              <w:t>；（</w:t>
            </w:r>
            <w:r>
              <w:rPr>
                <w:spacing w:val="-8"/>
              </w:rPr>
              <w:t>二）经停产停业整顿，仍不具备法律、行政</w:t>
            </w:r>
            <w:r>
              <w:t xml:space="preserve">  </w:t>
            </w:r>
            <w:r>
              <w:rPr>
                <w:spacing w:val="-7"/>
              </w:rPr>
              <w:t>法规和国家标准或者行业标准规定的安全生产条件的</w:t>
            </w:r>
            <w:r>
              <w:rPr>
                <w:spacing w:val="-22"/>
              </w:rPr>
              <w:t>；（</w:t>
            </w:r>
            <w:r>
              <w:rPr>
                <w:spacing w:val="-7"/>
              </w:rPr>
              <w:t>三）</w:t>
            </w:r>
            <w:r>
              <w:rPr>
                <w:spacing w:val="-8"/>
              </w:rPr>
              <w:t>不具备法律、行政法规和国家标准或者行业标准</w:t>
            </w:r>
            <w:r>
              <w:t xml:space="preserve">  </w:t>
            </w:r>
            <w:r>
              <w:rPr>
                <w:spacing w:val="-7"/>
              </w:rPr>
              <w:t>规定的安全生产条件，导致发生重大、特别重大生产安全</w:t>
            </w:r>
            <w:r>
              <w:rPr>
                <w:spacing w:val="-8"/>
              </w:rPr>
              <w:t>事故的</w:t>
            </w:r>
            <w:r>
              <w:rPr>
                <w:spacing w:val="-22"/>
              </w:rPr>
              <w:t>；（</w:t>
            </w:r>
            <w:r>
              <w:rPr>
                <w:spacing w:val="-8"/>
              </w:rPr>
              <w:t>四）拒不执行负有安全生产监督管理职责</w:t>
            </w:r>
            <w:r>
              <w:t xml:space="preserve">  </w:t>
            </w:r>
            <w:r>
              <w:rPr>
                <w:spacing w:val="-8"/>
              </w:rPr>
              <w:t>的部门作出的停产停业整顿决定的。</w:t>
            </w:r>
          </w:p>
          <w:p w14:paraId="77B2AEF8">
            <w:pPr>
              <w:pStyle w:val="8"/>
              <w:spacing w:before="16" w:line="219" w:lineRule="auto"/>
              <w:ind w:left="447"/>
            </w:pPr>
            <w:r>
              <w:rPr>
                <w:b/>
                <w:bCs/>
                <w:spacing w:val="-8"/>
              </w:rPr>
              <w:t>2.《放射性物品道路运输管理规定》(交通运输部令2023年第17号)</w:t>
            </w:r>
          </w:p>
          <w:p w14:paraId="5ECA6794">
            <w:pPr>
              <w:pStyle w:val="8"/>
              <w:spacing w:before="17" w:line="227" w:lineRule="auto"/>
              <w:ind w:left="103" w:right="150" w:firstLine="341"/>
              <w:jc w:val="both"/>
            </w:pPr>
            <w:r>
              <w:rPr>
                <w:spacing w:val="-8"/>
              </w:rPr>
              <w:t>第四十三条</w:t>
            </w:r>
            <w:r>
              <w:rPr>
                <w:spacing w:val="74"/>
              </w:rPr>
              <w:t xml:space="preserve"> </w:t>
            </w:r>
            <w:r>
              <w:rPr>
                <w:spacing w:val="-8"/>
              </w:rPr>
              <w:t>违反本规定，放射性物品道路运输企业或者单位已不具备许可要求的有关安全条件，存在重</w:t>
            </w:r>
            <w:r>
              <w:t xml:space="preserve"> </w:t>
            </w:r>
            <w:r>
              <w:rPr>
                <w:spacing w:val="-8"/>
              </w:rPr>
              <w:t>大运输安全隐患的，由交通运输主管部门依照《中华人民共和国安全生产法》的规定，给予罚款、停产</w:t>
            </w:r>
            <w:r>
              <w:rPr>
                <w:spacing w:val="-9"/>
              </w:rPr>
              <w:t>停业整</w:t>
            </w:r>
            <w:r>
              <w:t xml:space="preserve"> </w:t>
            </w:r>
            <w:r>
              <w:rPr>
                <w:spacing w:val="-8"/>
              </w:rPr>
              <w:t>顿、吊销相关许可证件等处罚。</w:t>
            </w:r>
          </w:p>
        </w:tc>
        <w:tc>
          <w:tcPr>
            <w:tcW w:w="1011" w:type="dxa"/>
            <w:vAlign w:val="top"/>
          </w:tcPr>
          <w:p w14:paraId="5E6F8D45">
            <w:pPr>
              <w:spacing w:line="269" w:lineRule="auto"/>
              <w:rPr>
                <w:rFonts w:ascii="Arial"/>
                <w:sz w:val="21"/>
              </w:rPr>
            </w:pPr>
          </w:p>
          <w:p w14:paraId="6D16AD3C">
            <w:pPr>
              <w:spacing w:line="269" w:lineRule="auto"/>
              <w:rPr>
                <w:rFonts w:ascii="Arial"/>
                <w:sz w:val="21"/>
              </w:rPr>
            </w:pPr>
          </w:p>
          <w:p w14:paraId="5B7A39B4">
            <w:pPr>
              <w:spacing w:line="269" w:lineRule="auto"/>
              <w:rPr>
                <w:rFonts w:ascii="Arial"/>
                <w:sz w:val="21"/>
              </w:rPr>
            </w:pPr>
          </w:p>
          <w:p w14:paraId="68FA7DD7">
            <w:pPr>
              <w:spacing w:line="270" w:lineRule="auto"/>
              <w:rPr>
                <w:rFonts w:ascii="Arial"/>
                <w:sz w:val="21"/>
              </w:rPr>
            </w:pPr>
          </w:p>
          <w:p w14:paraId="5408B696">
            <w:pPr>
              <w:spacing w:line="270" w:lineRule="auto"/>
              <w:rPr>
                <w:rFonts w:ascii="Arial"/>
                <w:sz w:val="21"/>
              </w:rPr>
            </w:pPr>
          </w:p>
          <w:p w14:paraId="3AA36ECA">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007ACA22">
            <w:pPr>
              <w:spacing w:line="269" w:lineRule="auto"/>
              <w:rPr>
                <w:rFonts w:ascii="Arial"/>
                <w:sz w:val="21"/>
              </w:rPr>
            </w:pPr>
          </w:p>
          <w:p w14:paraId="43711485">
            <w:pPr>
              <w:spacing w:line="269" w:lineRule="auto"/>
              <w:rPr>
                <w:rFonts w:ascii="Arial"/>
                <w:sz w:val="21"/>
              </w:rPr>
            </w:pPr>
          </w:p>
          <w:p w14:paraId="4DE0CD83">
            <w:pPr>
              <w:spacing w:line="269" w:lineRule="auto"/>
              <w:rPr>
                <w:rFonts w:ascii="Arial"/>
                <w:sz w:val="21"/>
              </w:rPr>
            </w:pPr>
          </w:p>
          <w:p w14:paraId="30705C0B">
            <w:pPr>
              <w:spacing w:line="270" w:lineRule="auto"/>
              <w:rPr>
                <w:rFonts w:ascii="Arial"/>
                <w:sz w:val="21"/>
              </w:rPr>
            </w:pPr>
          </w:p>
          <w:p w14:paraId="3E374D25">
            <w:pPr>
              <w:spacing w:line="270" w:lineRule="auto"/>
              <w:rPr>
                <w:rFonts w:ascii="Arial"/>
                <w:sz w:val="21"/>
              </w:rPr>
            </w:pPr>
          </w:p>
          <w:p w14:paraId="21D9BCF5">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5A4B67C">
            <w:pPr>
              <w:spacing w:line="277" w:lineRule="auto"/>
              <w:rPr>
                <w:rFonts w:ascii="Arial"/>
                <w:sz w:val="21"/>
              </w:rPr>
            </w:pPr>
          </w:p>
          <w:p w14:paraId="6A7E04CD">
            <w:pPr>
              <w:spacing w:line="277" w:lineRule="auto"/>
              <w:rPr>
                <w:rFonts w:ascii="Arial"/>
                <w:sz w:val="21"/>
              </w:rPr>
            </w:pPr>
          </w:p>
          <w:p w14:paraId="48CB8DB3">
            <w:pPr>
              <w:spacing w:line="278" w:lineRule="auto"/>
              <w:rPr>
                <w:rFonts w:ascii="Arial"/>
                <w:sz w:val="21"/>
              </w:rPr>
            </w:pPr>
          </w:p>
          <w:p w14:paraId="3FF86B39">
            <w:pPr>
              <w:spacing w:line="278" w:lineRule="auto"/>
              <w:rPr>
                <w:rFonts w:ascii="Arial"/>
                <w:sz w:val="21"/>
              </w:rPr>
            </w:pPr>
          </w:p>
          <w:p w14:paraId="55A2126D">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08CB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20" w:hRule="atLeast"/>
        </w:trPr>
        <w:tc>
          <w:tcPr>
            <w:tcW w:w="629" w:type="dxa"/>
            <w:vAlign w:val="top"/>
          </w:tcPr>
          <w:p w14:paraId="4DEB3321">
            <w:pPr>
              <w:spacing w:line="268" w:lineRule="auto"/>
              <w:rPr>
                <w:rFonts w:ascii="Arial"/>
                <w:sz w:val="21"/>
              </w:rPr>
            </w:pPr>
          </w:p>
          <w:p w14:paraId="6C8CA3A8">
            <w:pPr>
              <w:spacing w:line="268" w:lineRule="auto"/>
              <w:rPr>
                <w:rFonts w:ascii="Arial"/>
                <w:sz w:val="21"/>
              </w:rPr>
            </w:pPr>
          </w:p>
          <w:p w14:paraId="7B0C40D1">
            <w:pPr>
              <w:spacing w:line="268" w:lineRule="auto"/>
              <w:rPr>
                <w:rFonts w:ascii="Arial"/>
                <w:sz w:val="21"/>
              </w:rPr>
            </w:pPr>
          </w:p>
          <w:p w14:paraId="046ADD65">
            <w:pPr>
              <w:spacing w:line="268" w:lineRule="auto"/>
              <w:rPr>
                <w:rFonts w:ascii="Arial"/>
                <w:sz w:val="21"/>
              </w:rPr>
            </w:pPr>
          </w:p>
          <w:p w14:paraId="1043CD2E">
            <w:pPr>
              <w:spacing w:line="269" w:lineRule="auto"/>
              <w:rPr>
                <w:rFonts w:ascii="Arial"/>
                <w:sz w:val="21"/>
              </w:rPr>
            </w:pPr>
          </w:p>
          <w:p w14:paraId="2FC2BEFD">
            <w:pPr>
              <w:pStyle w:val="8"/>
              <w:spacing w:before="58" w:line="183" w:lineRule="auto"/>
              <w:ind w:left="268"/>
            </w:pPr>
            <w:r>
              <w:t>6</w:t>
            </w:r>
          </w:p>
        </w:tc>
        <w:tc>
          <w:tcPr>
            <w:tcW w:w="1101" w:type="dxa"/>
            <w:vAlign w:val="top"/>
          </w:tcPr>
          <w:p w14:paraId="74E6D701">
            <w:pPr>
              <w:spacing w:line="300" w:lineRule="auto"/>
              <w:rPr>
                <w:rFonts w:ascii="Arial"/>
                <w:sz w:val="21"/>
              </w:rPr>
            </w:pPr>
          </w:p>
          <w:p w14:paraId="183D2CC3">
            <w:pPr>
              <w:spacing w:line="300" w:lineRule="auto"/>
              <w:rPr>
                <w:rFonts w:ascii="Arial"/>
                <w:sz w:val="21"/>
              </w:rPr>
            </w:pPr>
          </w:p>
          <w:p w14:paraId="179A5B8D">
            <w:pPr>
              <w:pStyle w:val="8"/>
              <w:spacing w:before="59" w:line="242" w:lineRule="auto"/>
              <w:ind w:left="18" w:right="20"/>
            </w:pPr>
            <w:r>
              <w:rPr>
                <w:spacing w:val="-6"/>
              </w:rPr>
              <w:t>对道路运输货</w:t>
            </w:r>
            <w:r>
              <w:rPr>
                <w:spacing w:val="2"/>
              </w:rPr>
              <w:t xml:space="preserve"> </w:t>
            </w:r>
            <w:r>
              <w:rPr>
                <w:spacing w:val="-6"/>
              </w:rPr>
              <w:t>运和物流运营</w:t>
            </w:r>
            <w:r>
              <w:rPr>
                <w:spacing w:val="2"/>
              </w:rPr>
              <w:t xml:space="preserve"> </w:t>
            </w:r>
            <w:r>
              <w:rPr>
                <w:spacing w:val="-6"/>
              </w:rPr>
              <w:t>单位未实行安</w:t>
            </w:r>
            <w:r>
              <w:rPr>
                <w:spacing w:val="2"/>
              </w:rPr>
              <w:t xml:space="preserve"> </w:t>
            </w:r>
            <w:r>
              <w:rPr>
                <w:spacing w:val="-6"/>
              </w:rPr>
              <w:t>全查验制度，</w:t>
            </w:r>
            <w:r>
              <w:rPr>
                <w:spacing w:val="2"/>
              </w:rPr>
              <w:t xml:space="preserve"> </w:t>
            </w:r>
            <w:r>
              <w:rPr>
                <w:spacing w:val="-6"/>
              </w:rPr>
              <w:t>对客户身份进</w:t>
            </w:r>
            <w:r>
              <w:rPr>
                <w:spacing w:val="2"/>
              </w:rPr>
              <w:t xml:space="preserve"> </w:t>
            </w:r>
            <w:r>
              <w:rPr>
                <w:spacing w:val="-6"/>
              </w:rPr>
              <w:t>行查验等行为</w:t>
            </w:r>
            <w:r>
              <w:rPr>
                <w:spacing w:val="2"/>
              </w:rPr>
              <w:t xml:space="preserve"> </w:t>
            </w:r>
            <w:r>
              <w:rPr>
                <w:spacing w:val="-7"/>
              </w:rPr>
              <w:t>的行政处罚</w:t>
            </w:r>
          </w:p>
        </w:tc>
        <w:tc>
          <w:tcPr>
            <w:tcW w:w="1101" w:type="dxa"/>
            <w:vAlign w:val="top"/>
          </w:tcPr>
          <w:p w14:paraId="40148AD4">
            <w:pPr>
              <w:spacing w:line="262" w:lineRule="auto"/>
              <w:rPr>
                <w:rFonts w:ascii="Arial"/>
                <w:sz w:val="21"/>
              </w:rPr>
            </w:pPr>
          </w:p>
          <w:p w14:paraId="06F34611">
            <w:pPr>
              <w:spacing w:line="262" w:lineRule="auto"/>
              <w:rPr>
                <w:rFonts w:ascii="Arial"/>
                <w:sz w:val="21"/>
              </w:rPr>
            </w:pPr>
          </w:p>
          <w:p w14:paraId="54168605">
            <w:pPr>
              <w:spacing w:line="263" w:lineRule="auto"/>
              <w:rPr>
                <w:rFonts w:ascii="Arial"/>
                <w:sz w:val="21"/>
              </w:rPr>
            </w:pPr>
          </w:p>
          <w:p w14:paraId="7771163A">
            <w:pPr>
              <w:spacing w:line="263" w:lineRule="auto"/>
              <w:rPr>
                <w:rFonts w:ascii="Arial"/>
                <w:sz w:val="21"/>
              </w:rPr>
            </w:pPr>
          </w:p>
          <w:p w14:paraId="21D211E0">
            <w:pPr>
              <w:spacing w:line="263" w:lineRule="auto"/>
              <w:rPr>
                <w:rFonts w:ascii="Arial"/>
                <w:sz w:val="21"/>
              </w:rPr>
            </w:pPr>
          </w:p>
          <w:p w14:paraId="5A4A7BB6">
            <w:pPr>
              <w:pStyle w:val="8"/>
              <w:spacing w:before="58" w:line="220" w:lineRule="auto"/>
              <w:ind w:left="25"/>
            </w:pPr>
            <w:r>
              <w:rPr>
                <w:spacing w:val="-7"/>
              </w:rPr>
              <w:t>行政处罚</w:t>
            </w:r>
          </w:p>
        </w:tc>
        <w:tc>
          <w:tcPr>
            <w:tcW w:w="8524" w:type="dxa"/>
            <w:vAlign w:val="top"/>
          </w:tcPr>
          <w:p w14:paraId="63E9D410">
            <w:pPr>
              <w:pStyle w:val="8"/>
              <w:spacing w:before="59" w:line="219" w:lineRule="auto"/>
              <w:ind w:left="451"/>
            </w:pPr>
            <w:r>
              <w:rPr>
                <w:b/>
                <w:bCs/>
                <w:spacing w:val="-10"/>
              </w:rPr>
              <w:t>《中华人民共和国反恐怖主义法》</w:t>
            </w:r>
          </w:p>
          <w:p w14:paraId="3A2E527F">
            <w:pPr>
              <w:pStyle w:val="8"/>
              <w:spacing w:before="27" w:line="237" w:lineRule="auto"/>
              <w:ind w:left="107" w:right="150" w:firstLine="338"/>
            </w:pPr>
            <w:r>
              <w:rPr>
                <w:spacing w:val="-8"/>
              </w:rPr>
              <w:t>第二十条</w:t>
            </w:r>
            <w:r>
              <w:rPr>
                <w:spacing w:val="74"/>
              </w:rPr>
              <w:t xml:space="preserve"> </w:t>
            </w:r>
            <w:r>
              <w:rPr>
                <w:spacing w:val="-8"/>
              </w:rPr>
              <w:t>铁路、公路、水上、航空的货运和邮政、快递等物流运营单位应当实行安全查验制度，对客户</w:t>
            </w:r>
            <w:r>
              <w:t xml:space="preserve"> </w:t>
            </w:r>
            <w:r>
              <w:rPr>
                <w:spacing w:val="-8"/>
              </w:rPr>
              <w:t>身份进行查验，依照规定对运输、寄递物品进行安全检查或者开封验视。对禁止运输、寄递，存</w:t>
            </w:r>
            <w:r>
              <w:rPr>
                <w:spacing w:val="-9"/>
              </w:rPr>
              <w:t>在重大安全隐</w:t>
            </w:r>
            <w:r>
              <w:t xml:space="preserve"> </w:t>
            </w:r>
            <w:r>
              <w:rPr>
                <w:spacing w:val="-8"/>
              </w:rPr>
              <w:t>患，或者客户拒绝安全查验的物品，不得运输、寄递。</w:t>
            </w:r>
          </w:p>
          <w:p w14:paraId="5C81922D">
            <w:pPr>
              <w:pStyle w:val="8"/>
              <w:spacing w:before="26" w:line="219" w:lineRule="auto"/>
              <w:ind w:left="448"/>
            </w:pPr>
            <w:r>
              <w:rPr>
                <w:spacing w:val="-8"/>
              </w:rPr>
              <w:t>前款规定的物流运营单位，应当实行运输、寄递客户身份、物品信息登记制度。</w:t>
            </w:r>
          </w:p>
          <w:p w14:paraId="608EFC0F">
            <w:pPr>
              <w:pStyle w:val="8"/>
              <w:spacing w:before="25" w:line="241" w:lineRule="auto"/>
              <w:ind w:left="105" w:right="18" w:firstLine="340"/>
            </w:pPr>
            <w:r>
              <w:rPr>
                <w:spacing w:val="-8"/>
              </w:rPr>
              <w:t>第八十五条</w:t>
            </w:r>
            <w:r>
              <w:rPr>
                <w:spacing w:val="74"/>
              </w:rPr>
              <w:t xml:space="preserve"> </w:t>
            </w:r>
            <w:r>
              <w:rPr>
                <w:spacing w:val="-8"/>
              </w:rPr>
              <w:t>铁路、公路、水上、航空的货运和邮政、快递等物流运营单位有下列情形之一的，由主管部</w:t>
            </w:r>
            <w:r>
              <w:t xml:space="preserve">  </w:t>
            </w:r>
            <w:r>
              <w:rPr>
                <w:spacing w:val="-8"/>
              </w:rPr>
              <w:t>门处十万元以上五十万元以下罚款，并对其直接负责的主管人员和其他直接责任人员处十万元以下罚款</w:t>
            </w:r>
            <w:r>
              <w:rPr>
                <w:spacing w:val="-30"/>
              </w:rPr>
              <w:t>：（</w:t>
            </w:r>
            <w:r>
              <w:rPr>
                <w:spacing w:val="-8"/>
              </w:rPr>
              <w:t>一）</w:t>
            </w:r>
            <w:r>
              <w:t xml:space="preserve"> </w:t>
            </w:r>
            <w:r>
              <w:rPr>
                <w:spacing w:val="-9"/>
              </w:rPr>
              <w:t>未实行安全查验制度，对客户身份进行查验，或者未依照规定对运输、寄递物品进行安全检查或者开封验视的；</w:t>
            </w:r>
            <w:r>
              <w:rPr>
                <w:spacing w:val="5"/>
              </w:rPr>
              <w:t xml:space="preserve"> </w:t>
            </w:r>
            <w:r>
              <w:rPr>
                <w:spacing w:val="-7"/>
              </w:rPr>
              <w:t>（二）对禁止运输、寄递，存在重大安全隐患</w:t>
            </w:r>
            <w:r>
              <w:rPr>
                <w:spacing w:val="-8"/>
              </w:rPr>
              <w:t>，或者客户拒绝安全查验的物品予以运输、寄递的</w:t>
            </w:r>
            <w:r>
              <w:rPr>
                <w:spacing w:val="-20"/>
              </w:rPr>
              <w:t>；（</w:t>
            </w:r>
            <w:r>
              <w:rPr>
                <w:spacing w:val="-8"/>
              </w:rPr>
              <w:t>三）未实</w:t>
            </w:r>
            <w:r>
              <w:t xml:space="preserve">  </w:t>
            </w:r>
            <w:r>
              <w:rPr>
                <w:spacing w:val="-8"/>
              </w:rPr>
              <w:t>行运输、寄递客户身份、物品信息登记制度的。</w:t>
            </w:r>
          </w:p>
          <w:p w14:paraId="5658BE28">
            <w:pPr>
              <w:pStyle w:val="8"/>
              <w:spacing w:before="25" w:line="231" w:lineRule="auto"/>
              <w:ind w:left="102" w:right="157" w:firstLine="342"/>
            </w:pPr>
            <w:r>
              <w:rPr>
                <w:spacing w:val="-8"/>
              </w:rPr>
              <w:t>第九十三条</w:t>
            </w:r>
            <w:r>
              <w:rPr>
                <w:spacing w:val="74"/>
              </w:rPr>
              <w:t xml:space="preserve"> </w:t>
            </w:r>
            <w:r>
              <w:rPr>
                <w:spacing w:val="-8"/>
              </w:rPr>
              <w:t>单位违反本法规定，情节严重的，由主管部门责令停止从事相关业务、提供相关服务或者责</w:t>
            </w:r>
            <w:r>
              <w:t xml:space="preserve"> </w:t>
            </w:r>
            <w:r>
              <w:rPr>
                <w:spacing w:val="-8"/>
              </w:rPr>
              <w:t>令停产停业；造成严重后果的，吊销有关证照或者撤销登记。</w:t>
            </w:r>
          </w:p>
        </w:tc>
        <w:tc>
          <w:tcPr>
            <w:tcW w:w="1011" w:type="dxa"/>
            <w:vAlign w:val="top"/>
          </w:tcPr>
          <w:p w14:paraId="104F45FB">
            <w:pPr>
              <w:spacing w:line="298" w:lineRule="auto"/>
              <w:rPr>
                <w:rFonts w:ascii="Arial"/>
                <w:sz w:val="21"/>
              </w:rPr>
            </w:pPr>
          </w:p>
          <w:p w14:paraId="1F0AF33E">
            <w:pPr>
              <w:spacing w:line="298" w:lineRule="auto"/>
              <w:rPr>
                <w:rFonts w:ascii="Arial"/>
                <w:sz w:val="21"/>
              </w:rPr>
            </w:pPr>
          </w:p>
          <w:p w14:paraId="419FB421">
            <w:pPr>
              <w:spacing w:line="298" w:lineRule="auto"/>
              <w:rPr>
                <w:rFonts w:ascii="Arial"/>
                <w:sz w:val="21"/>
              </w:rPr>
            </w:pPr>
          </w:p>
          <w:p w14:paraId="7BEFED0A">
            <w:pPr>
              <w:spacing w:line="299" w:lineRule="auto"/>
              <w:rPr>
                <w:rFonts w:ascii="Arial"/>
                <w:sz w:val="21"/>
              </w:rPr>
            </w:pPr>
          </w:p>
          <w:p w14:paraId="345EC732">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269BD1E4">
            <w:pPr>
              <w:spacing w:line="298" w:lineRule="auto"/>
              <w:rPr>
                <w:rFonts w:ascii="Arial"/>
                <w:sz w:val="21"/>
              </w:rPr>
            </w:pPr>
          </w:p>
          <w:p w14:paraId="453F1C4F">
            <w:pPr>
              <w:spacing w:line="298" w:lineRule="auto"/>
              <w:rPr>
                <w:rFonts w:ascii="Arial"/>
                <w:sz w:val="21"/>
              </w:rPr>
            </w:pPr>
          </w:p>
          <w:p w14:paraId="53F07934">
            <w:pPr>
              <w:spacing w:line="298" w:lineRule="auto"/>
              <w:rPr>
                <w:rFonts w:ascii="Arial"/>
                <w:sz w:val="21"/>
              </w:rPr>
            </w:pPr>
          </w:p>
          <w:p w14:paraId="5EA00117">
            <w:pPr>
              <w:spacing w:line="299" w:lineRule="auto"/>
              <w:rPr>
                <w:rFonts w:ascii="Arial"/>
                <w:sz w:val="21"/>
              </w:rPr>
            </w:pPr>
          </w:p>
          <w:p w14:paraId="377D5430">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CD262F2">
            <w:pPr>
              <w:spacing w:line="318" w:lineRule="auto"/>
              <w:rPr>
                <w:rFonts w:ascii="Arial"/>
                <w:sz w:val="21"/>
              </w:rPr>
            </w:pPr>
          </w:p>
          <w:p w14:paraId="41B77F0C">
            <w:pPr>
              <w:spacing w:line="319" w:lineRule="auto"/>
              <w:rPr>
                <w:rFonts w:ascii="Arial"/>
                <w:sz w:val="21"/>
              </w:rPr>
            </w:pPr>
          </w:p>
          <w:p w14:paraId="4B383F44">
            <w:pPr>
              <w:spacing w:line="319" w:lineRule="auto"/>
              <w:rPr>
                <w:rFonts w:ascii="Arial"/>
                <w:sz w:val="21"/>
              </w:rPr>
            </w:pPr>
          </w:p>
          <w:p w14:paraId="00FC55C1">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E93D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48" w:hRule="atLeast"/>
        </w:trPr>
        <w:tc>
          <w:tcPr>
            <w:tcW w:w="629" w:type="dxa"/>
            <w:vAlign w:val="top"/>
          </w:tcPr>
          <w:p w14:paraId="632E6AFC">
            <w:pPr>
              <w:spacing w:line="241" w:lineRule="auto"/>
              <w:rPr>
                <w:rFonts w:ascii="Arial"/>
                <w:sz w:val="21"/>
              </w:rPr>
            </w:pPr>
          </w:p>
          <w:p w14:paraId="03EAAE91">
            <w:pPr>
              <w:spacing w:line="241" w:lineRule="auto"/>
              <w:rPr>
                <w:rFonts w:ascii="Arial"/>
                <w:sz w:val="21"/>
              </w:rPr>
            </w:pPr>
          </w:p>
          <w:p w14:paraId="7CE8C500">
            <w:pPr>
              <w:spacing w:line="242" w:lineRule="auto"/>
              <w:rPr>
                <w:rFonts w:ascii="Arial"/>
                <w:sz w:val="21"/>
              </w:rPr>
            </w:pPr>
          </w:p>
          <w:p w14:paraId="25D97E6D">
            <w:pPr>
              <w:spacing w:line="242" w:lineRule="auto"/>
              <w:rPr>
                <w:rFonts w:ascii="Arial"/>
                <w:sz w:val="21"/>
              </w:rPr>
            </w:pPr>
          </w:p>
          <w:p w14:paraId="44EE70F2">
            <w:pPr>
              <w:spacing w:line="242" w:lineRule="auto"/>
              <w:rPr>
                <w:rFonts w:ascii="Arial"/>
                <w:sz w:val="21"/>
              </w:rPr>
            </w:pPr>
          </w:p>
          <w:p w14:paraId="279EAA1B">
            <w:pPr>
              <w:pStyle w:val="8"/>
              <w:spacing w:before="59" w:line="182" w:lineRule="auto"/>
              <w:ind w:left="271"/>
            </w:pPr>
            <w:r>
              <w:t>7</w:t>
            </w:r>
          </w:p>
        </w:tc>
        <w:tc>
          <w:tcPr>
            <w:tcW w:w="1101" w:type="dxa"/>
            <w:vAlign w:val="top"/>
          </w:tcPr>
          <w:p w14:paraId="2DA8D13D">
            <w:pPr>
              <w:pStyle w:val="8"/>
              <w:spacing w:before="28" w:line="223" w:lineRule="auto"/>
              <w:ind w:left="18" w:right="20"/>
            </w:pPr>
            <w:r>
              <w:rPr>
                <w:spacing w:val="-6"/>
              </w:rPr>
              <w:t>对长途客运、</w:t>
            </w:r>
            <w:r>
              <w:rPr>
                <w:spacing w:val="2"/>
              </w:rPr>
              <w:t xml:space="preserve"> </w:t>
            </w:r>
            <w:r>
              <w:rPr>
                <w:spacing w:val="-6"/>
              </w:rPr>
              <w:t>机动车租赁等</w:t>
            </w:r>
            <w:r>
              <w:rPr>
                <w:spacing w:val="2"/>
              </w:rPr>
              <w:t xml:space="preserve"> </w:t>
            </w:r>
            <w:r>
              <w:rPr>
                <w:spacing w:val="-6"/>
              </w:rPr>
              <w:t>业务经营者、</w:t>
            </w:r>
            <w:r>
              <w:rPr>
                <w:spacing w:val="2"/>
              </w:rPr>
              <w:t xml:space="preserve"> </w:t>
            </w:r>
            <w:r>
              <w:rPr>
                <w:spacing w:val="-6"/>
              </w:rPr>
              <w:t>服务提供者未</w:t>
            </w:r>
            <w:r>
              <w:rPr>
                <w:spacing w:val="2"/>
              </w:rPr>
              <w:t xml:space="preserve"> </w:t>
            </w:r>
            <w:r>
              <w:rPr>
                <w:spacing w:val="-6"/>
              </w:rPr>
              <w:t>按规定对客户</w:t>
            </w:r>
            <w:r>
              <w:rPr>
                <w:spacing w:val="2"/>
              </w:rPr>
              <w:t xml:space="preserve"> </w:t>
            </w:r>
            <w:r>
              <w:rPr>
                <w:spacing w:val="29"/>
              </w:rPr>
              <w:t>身份进行查</w:t>
            </w:r>
            <w:r>
              <w:rPr>
                <w:spacing w:val="1"/>
              </w:rPr>
              <w:t xml:space="preserve"> </w:t>
            </w:r>
            <w:r>
              <w:rPr>
                <w:spacing w:val="-6"/>
              </w:rPr>
              <w:t>验，或者对身</w:t>
            </w:r>
            <w:r>
              <w:rPr>
                <w:spacing w:val="2"/>
              </w:rPr>
              <w:t xml:space="preserve"> </w:t>
            </w:r>
            <w:r>
              <w:rPr>
                <w:spacing w:val="-6"/>
              </w:rPr>
              <w:t>份不明、拒绝</w:t>
            </w:r>
            <w:r>
              <w:rPr>
                <w:spacing w:val="2"/>
              </w:rPr>
              <w:t xml:space="preserve"> </w:t>
            </w:r>
            <w:r>
              <w:rPr>
                <w:spacing w:val="-6"/>
              </w:rPr>
              <w:t>身份查验的客</w:t>
            </w:r>
            <w:r>
              <w:rPr>
                <w:spacing w:val="2"/>
              </w:rPr>
              <w:t xml:space="preserve"> </w:t>
            </w:r>
            <w:r>
              <w:rPr>
                <w:spacing w:val="-6"/>
              </w:rPr>
              <w:t>户提供服务等</w:t>
            </w:r>
            <w:r>
              <w:rPr>
                <w:spacing w:val="2"/>
              </w:rPr>
              <w:t xml:space="preserve"> </w:t>
            </w:r>
            <w:r>
              <w:rPr>
                <w:spacing w:val="-6"/>
              </w:rPr>
              <w:t>行为的行政处</w:t>
            </w:r>
            <w:r>
              <w:rPr>
                <w:spacing w:val="2"/>
              </w:rPr>
              <w:t xml:space="preserve"> </w:t>
            </w:r>
            <w:r>
              <w:t>罚</w:t>
            </w:r>
          </w:p>
        </w:tc>
        <w:tc>
          <w:tcPr>
            <w:tcW w:w="1101" w:type="dxa"/>
            <w:vAlign w:val="top"/>
          </w:tcPr>
          <w:p w14:paraId="1A732D87">
            <w:pPr>
              <w:spacing w:line="294" w:lineRule="auto"/>
              <w:rPr>
                <w:rFonts w:ascii="Arial"/>
                <w:sz w:val="21"/>
              </w:rPr>
            </w:pPr>
          </w:p>
          <w:p w14:paraId="4E092C7D">
            <w:pPr>
              <w:spacing w:line="295" w:lineRule="auto"/>
              <w:rPr>
                <w:rFonts w:ascii="Arial"/>
                <w:sz w:val="21"/>
              </w:rPr>
            </w:pPr>
          </w:p>
          <w:p w14:paraId="02230224">
            <w:pPr>
              <w:spacing w:line="295" w:lineRule="auto"/>
              <w:rPr>
                <w:rFonts w:ascii="Arial"/>
                <w:sz w:val="21"/>
              </w:rPr>
            </w:pPr>
          </w:p>
          <w:p w14:paraId="63A267E6">
            <w:pPr>
              <w:spacing w:line="295" w:lineRule="auto"/>
              <w:rPr>
                <w:rFonts w:ascii="Arial"/>
                <w:sz w:val="21"/>
              </w:rPr>
            </w:pPr>
          </w:p>
          <w:p w14:paraId="7BA099E4">
            <w:pPr>
              <w:pStyle w:val="8"/>
              <w:spacing w:before="59" w:line="220" w:lineRule="auto"/>
              <w:ind w:left="25"/>
            </w:pPr>
            <w:r>
              <w:rPr>
                <w:spacing w:val="-7"/>
              </w:rPr>
              <w:t>行政处罚</w:t>
            </w:r>
          </w:p>
        </w:tc>
        <w:tc>
          <w:tcPr>
            <w:tcW w:w="8524" w:type="dxa"/>
            <w:vAlign w:val="top"/>
          </w:tcPr>
          <w:p w14:paraId="1788C060">
            <w:pPr>
              <w:pStyle w:val="8"/>
              <w:spacing w:before="120" w:line="219" w:lineRule="auto"/>
              <w:ind w:left="458"/>
            </w:pPr>
            <w:r>
              <w:rPr>
                <w:b/>
                <w:bCs/>
                <w:spacing w:val="-10"/>
              </w:rPr>
              <w:t>1.《中华人民共和国反恐怖主义法》</w:t>
            </w:r>
          </w:p>
          <w:p w14:paraId="2FD1828F">
            <w:pPr>
              <w:pStyle w:val="8"/>
              <w:spacing w:before="8" w:line="224" w:lineRule="auto"/>
              <w:ind w:left="102" w:right="157" w:firstLine="342"/>
            </w:pPr>
            <w:r>
              <w:rPr>
                <w:spacing w:val="-8"/>
              </w:rPr>
              <w:t>第二十一条  电信、互联网、金融、住宿、长途客运、机动车租赁等业务经营者、服务提供者，应当对客</w:t>
            </w:r>
            <w:r>
              <w:t xml:space="preserve"> </w:t>
            </w:r>
            <w:r>
              <w:rPr>
                <w:spacing w:val="-8"/>
              </w:rPr>
              <w:t>户身份进行查验。对身份不明或者拒绝身份查验的，不得提供服务。</w:t>
            </w:r>
          </w:p>
          <w:p w14:paraId="187C4A29">
            <w:pPr>
              <w:pStyle w:val="8"/>
              <w:spacing w:before="12" w:line="227" w:lineRule="auto"/>
              <w:ind w:left="102" w:right="150" w:firstLine="342"/>
            </w:pPr>
            <w:r>
              <w:rPr>
                <w:spacing w:val="-8"/>
              </w:rPr>
              <w:t>第八十六条  电信、互联网、金融业务经营者、服务提供者未按规定对客户身份进行查验，或者对身份不</w:t>
            </w:r>
            <w:r>
              <w:t xml:space="preserve"> </w:t>
            </w:r>
            <w:r>
              <w:rPr>
                <w:spacing w:val="-8"/>
              </w:rPr>
              <w:t>明、拒绝身份查验的客户提供服务的，主管部门应当责令改正；拒不改正的，处二十万元以上五十万元以</w:t>
            </w:r>
            <w:r>
              <w:rPr>
                <w:spacing w:val="-9"/>
              </w:rPr>
              <w:t>下罚</w:t>
            </w:r>
            <w:r>
              <w:t xml:space="preserve"> </w:t>
            </w:r>
            <w:r>
              <w:rPr>
                <w:spacing w:val="-8"/>
              </w:rPr>
              <w:t>款，并对其直接负责的主管人员和其他直接责任人员处十万元以下罚款；情节严重的，处五十万元以上罚</w:t>
            </w:r>
            <w:r>
              <w:rPr>
                <w:spacing w:val="-9"/>
              </w:rPr>
              <w:t>款，</w:t>
            </w:r>
            <w:r>
              <w:t xml:space="preserve"> </w:t>
            </w:r>
            <w:r>
              <w:rPr>
                <w:spacing w:val="-8"/>
              </w:rPr>
              <w:t>并对其直接负责的主管人员和其他直接责任人员，处十万元以上五十万元以下罚款。</w:t>
            </w:r>
          </w:p>
          <w:p w14:paraId="6F63C851">
            <w:pPr>
              <w:pStyle w:val="8"/>
              <w:spacing w:before="9" w:line="224" w:lineRule="auto"/>
              <w:ind w:left="102" w:right="150" w:firstLine="341"/>
            </w:pPr>
            <w:r>
              <w:rPr>
                <w:spacing w:val="-8"/>
              </w:rPr>
              <w:t>住宿、长途客运、机动车租赁等业务经营者、服务提供者有前款规定情形的，由主管部门处十万元以上五</w:t>
            </w:r>
            <w:r>
              <w:t xml:space="preserve"> </w:t>
            </w:r>
            <w:r>
              <w:rPr>
                <w:spacing w:val="-8"/>
              </w:rPr>
              <w:t>十万元以下罚款，并对其直接负责的主管人员和其他直接责任人员处十万元以下罚款。</w:t>
            </w:r>
          </w:p>
          <w:p w14:paraId="0A5AF496">
            <w:pPr>
              <w:pStyle w:val="8"/>
              <w:spacing w:before="11" w:line="224" w:lineRule="auto"/>
              <w:ind w:left="102" w:right="157" w:firstLine="342"/>
            </w:pPr>
            <w:r>
              <w:rPr>
                <w:spacing w:val="-8"/>
              </w:rPr>
              <w:t>第九十三条</w:t>
            </w:r>
            <w:r>
              <w:rPr>
                <w:spacing w:val="74"/>
              </w:rPr>
              <w:t xml:space="preserve"> </w:t>
            </w:r>
            <w:r>
              <w:rPr>
                <w:spacing w:val="-8"/>
              </w:rPr>
              <w:t>单位违反本法规定，情节严重的，由主管部门责令停止从事相关业务、提供相关服务或者责</w:t>
            </w:r>
            <w:r>
              <w:t xml:space="preserve"> </w:t>
            </w:r>
            <w:r>
              <w:rPr>
                <w:spacing w:val="-8"/>
              </w:rPr>
              <w:t>令停产停业；造成严重后果的，吊销有关证照或者撤销登记。</w:t>
            </w:r>
          </w:p>
        </w:tc>
        <w:tc>
          <w:tcPr>
            <w:tcW w:w="1011" w:type="dxa"/>
            <w:vAlign w:val="top"/>
          </w:tcPr>
          <w:p w14:paraId="341F0C9E">
            <w:pPr>
              <w:spacing w:line="265" w:lineRule="auto"/>
              <w:rPr>
                <w:rFonts w:ascii="Arial"/>
                <w:sz w:val="21"/>
              </w:rPr>
            </w:pPr>
          </w:p>
          <w:p w14:paraId="7EBFFD0B">
            <w:pPr>
              <w:spacing w:line="265" w:lineRule="auto"/>
              <w:rPr>
                <w:rFonts w:ascii="Arial"/>
                <w:sz w:val="21"/>
              </w:rPr>
            </w:pPr>
          </w:p>
          <w:p w14:paraId="4FF79F4D">
            <w:pPr>
              <w:spacing w:line="265" w:lineRule="auto"/>
              <w:rPr>
                <w:rFonts w:ascii="Arial"/>
                <w:sz w:val="21"/>
              </w:rPr>
            </w:pPr>
          </w:p>
          <w:p w14:paraId="1BCEBF83">
            <w:pPr>
              <w:spacing w:line="265" w:lineRule="auto"/>
              <w:rPr>
                <w:rFonts w:ascii="Arial"/>
                <w:sz w:val="21"/>
              </w:rPr>
            </w:pPr>
          </w:p>
          <w:p w14:paraId="5F9E2B9D">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18FEA812">
            <w:pPr>
              <w:spacing w:line="265" w:lineRule="auto"/>
              <w:rPr>
                <w:rFonts w:ascii="Arial"/>
                <w:sz w:val="21"/>
              </w:rPr>
            </w:pPr>
          </w:p>
          <w:p w14:paraId="420C15F7">
            <w:pPr>
              <w:spacing w:line="265" w:lineRule="auto"/>
              <w:rPr>
                <w:rFonts w:ascii="Arial"/>
                <w:sz w:val="21"/>
              </w:rPr>
            </w:pPr>
          </w:p>
          <w:p w14:paraId="641AA1AE">
            <w:pPr>
              <w:spacing w:line="265" w:lineRule="auto"/>
              <w:rPr>
                <w:rFonts w:ascii="Arial"/>
                <w:sz w:val="21"/>
              </w:rPr>
            </w:pPr>
          </w:p>
          <w:p w14:paraId="71A3845B">
            <w:pPr>
              <w:spacing w:line="265" w:lineRule="auto"/>
              <w:rPr>
                <w:rFonts w:ascii="Arial"/>
                <w:sz w:val="21"/>
              </w:rPr>
            </w:pPr>
          </w:p>
          <w:p w14:paraId="37977E10">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D0A146C">
            <w:pPr>
              <w:spacing w:line="274" w:lineRule="auto"/>
              <w:rPr>
                <w:rFonts w:ascii="Arial"/>
                <w:sz w:val="21"/>
              </w:rPr>
            </w:pPr>
          </w:p>
          <w:p w14:paraId="63FB08E8">
            <w:pPr>
              <w:spacing w:line="274" w:lineRule="auto"/>
              <w:rPr>
                <w:rFonts w:ascii="Arial"/>
                <w:sz w:val="21"/>
              </w:rPr>
            </w:pPr>
          </w:p>
          <w:p w14:paraId="1B59AA5A">
            <w:pPr>
              <w:spacing w:line="275" w:lineRule="auto"/>
              <w:rPr>
                <w:rFonts w:ascii="Arial"/>
                <w:sz w:val="21"/>
              </w:rPr>
            </w:pPr>
          </w:p>
          <w:p w14:paraId="69934066">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30468F4A">
      <w:pPr>
        <w:pStyle w:val="2"/>
        <w:spacing w:line="197" w:lineRule="exact"/>
        <w:rPr>
          <w:sz w:val="17"/>
        </w:rPr>
      </w:pPr>
    </w:p>
    <w:p w14:paraId="479E3BAB">
      <w:pPr>
        <w:spacing w:line="197" w:lineRule="exact"/>
        <w:rPr>
          <w:sz w:val="17"/>
          <w:szCs w:val="17"/>
        </w:rPr>
        <w:sectPr>
          <w:footerReference r:id="rId26" w:type="default"/>
          <w:pgSz w:w="16839" w:h="11906"/>
          <w:pgMar w:top="1012" w:right="1016" w:bottom="966" w:left="1016" w:header="0" w:footer="768" w:gutter="0"/>
          <w:cols w:space="720" w:num="1"/>
        </w:sectPr>
      </w:pPr>
    </w:p>
    <w:p w14:paraId="57F2565C">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4D3C7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51118093">
            <w:pPr>
              <w:pStyle w:val="8"/>
              <w:spacing w:before="273" w:line="221" w:lineRule="auto"/>
              <w:ind w:left="129"/>
            </w:pPr>
            <w:r>
              <w:rPr>
                <w:b/>
                <w:bCs/>
                <w:spacing w:val="-4"/>
              </w:rPr>
              <w:t>序号</w:t>
            </w:r>
          </w:p>
        </w:tc>
        <w:tc>
          <w:tcPr>
            <w:tcW w:w="1101" w:type="dxa"/>
            <w:vMerge w:val="restart"/>
            <w:tcBorders>
              <w:bottom w:val="nil"/>
            </w:tcBorders>
            <w:vAlign w:val="top"/>
          </w:tcPr>
          <w:p w14:paraId="7F26F580">
            <w:pPr>
              <w:pStyle w:val="8"/>
              <w:spacing w:before="274" w:line="220" w:lineRule="auto"/>
              <w:ind w:left="182"/>
            </w:pPr>
            <w:r>
              <w:rPr>
                <w:b/>
                <w:bCs/>
                <w:spacing w:val="-4"/>
              </w:rPr>
              <w:t>事项名称</w:t>
            </w:r>
          </w:p>
        </w:tc>
        <w:tc>
          <w:tcPr>
            <w:tcW w:w="1101" w:type="dxa"/>
            <w:vMerge w:val="restart"/>
            <w:tcBorders>
              <w:bottom w:val="nil"/>
            </w:tcBorders>
            <w:vAlign w:val="top"/>
          </w:tcPr>
          <w:p w14:paraId="23E3C56F">
            <w:pPr>
              <w:pStyle w:val="8"/>
              <w:spacing w:before="274" w:line="219" w:lineRule="auto"/>
              <w:ind w:left="183"/>
            </w:pPr>
            <w:r>
              <w:rPr>
                <w:b/>
                <w:bCs/>
                <w:spacing w:val="-4"/>
              </w:rPr>
              <w:t>职权类型</w:t>
            </w:r>
          </w:p>
        </w:tc>
        <w:tc>
          <w:tcPr>
            <w:tcW w:w="8524" w:type="dxa"/>
            <w:vMerge w:val="restart"/>
            <w:tcBorders>
              <w:bottom w:val="nil"/>
            </w:tcBorders>
            <w:vAlign w:val="top"/>
          </w:tcPr>
          <w:p w14:paraId="784CBF8D">
            <w:pPr>
              <w:pStyle w:val="8"/>
              <w:spacing w:before="273" w:line="219" w:lineRule="auto"/>
              <w:ind w:left="4083"/>
            </w:pPr>
            <w:r>
              <w:rPr>
                <w:b/>
                <w:bCs/>
                <w:spacing w:val="-5"/>
              </w:rPr>
              <w:t>实施依据</w:t>
            </w:r>
          </w:p>
        </w:tc>
        <w:tc>
          <w:tcPr>
            <w:tcW w:w="3435" w:type="dxa"/>
            <w:gridSpan w:val="3"/>
            <w:vAlign w:val="top"/>
          </w:tcPr>
          <w:p w14:paraId="67243A6C">
            <w:pPr>
              <w:pStyle w:val="8"/>
              <w:spacing w:before="94" w:line="220" w:lineRule="auto"/>
              <w:ind w:left="1360"/>
            </w:pPr>
            <w:r>
              <w:rPr>
                <w:b/>
                <w:bCs/>
                <w:spacing w:val="-5"/>
              </w:rPr>
              <w:t>实施主体</w:t>
            </w:r>
          </w:p>
        </w:tc>
      </w:tr>
      <w:tr w14:paraId="71B7A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4E166D40">
            <w:pPr>
              <w:rPr>
                <w:rFonts w:ascii="Arial"/>
                <w:sz w:val="21"/>
              </w:rPr>
            </w:pPr>
          </w:p>
        </w:tc>
        <w:tc>
          <w:tcPr>
            <w:tcW w:w="1101" w:type="dxa"/>
            <w:vMerge w:val="continue"/>
            <w:tcBorders>
              <w:top w:val="nil"/>
            </w:tcBorders>
            <w:vAlign w:val="top"/>
          </w:tcPr>
          <w:p w14:paraId="24DA49EE">
            <w:pPr>
              <w:rPr>
                <w:rFonts w:ascii="Arial"/>
                <w:sz w:val="21"/>
              </w:rPr>
            </w:pPr>
          </w:p>
        </w:tc>
        <w:tc>
          <w:tcPr>
            <w:tcW w:w="1101" w:type="dxa"/>
            <w:vMerge w:val="continue"/>
            <w:tcBorders>
              <w:top w:val="nil"/>
            </w:tcBorders>
            <w:vAlign w:val="top"/>
          </w:tcPr>
          <w:p w14:paraId="0347BBEF">
            <w:pPr>
              <w:rPr>
                <w:rFonts w:ascii="Arial"/>
                <w:sz w:val="21"/>
              </w:rPr>
            </w:pPr>
          </w:p>
        </w:tc>
        <w:tc>
          <w:tcPr>
            <w:tcW w:w="8524" w:type="dxa"/>
            <w:vMerge w:val="continue"/>
            <w:tcBorders>
              <w:top w:val="nil"/>
            </w:tcBorders>
            <w:vAlign w:val="top"/>
          </w:tcPr>
          <w:p w14:paraId="098F474E">
            <w:pPr>
              <w:rPr>
                <w:rFonts w:ascii="Arial"/>
                <w:sz w:val="21"/>
              </w:rPr>
            </w:pPr>
          </w:p>
        </w:tc>
        <w:tc>
          <w:tcPr>
            <w:tcW w:w="1011" w:type="dxa"/>
            <w:vAlign w:val="top"/>
          </w:tcPr>
          <w:p w14:paraId="18FC8BE1">
            <w:pPr>
              <w:pStyle w:val="8"/>
              <w:spacing w:before="85" w:line="219" w:lineRule="auto"/>
              <w:ind w:left="154"/>
            </w:pPr>
            <w:r>
              <w:rPr>
                <w:b/>
                <w:bCs/>
                <w:spacing w:val="-5"/>
              </w:rPr>
              <w:t>责任部门</w:t>
            </w:r>
          </w:p>
        </w:tc>
        <w:tc>
          <w:tcPr>
            <w:tcW w:w="1404" w:type="dxa"/>
            <w:vAlign w:val="top"/>
          </w:tcPr>
          <w:p w14:paraId="5FD85BA4">
            <w:pPr>
              <w:pStyle w:val="8"/>
              <w:spacing w:before="85" w:line="219" w:lineRule="auto"/>
              <w:ind w:left="164"/>
            </w:pPr>
            <w:r>
              <w:rPr>
                <w:b/>
                <w:bCs/>
                <w:spacing w:val="-3"/>
              </w:rPr>
              <w:t>第一责任层级</w:t>
            </w:r>
          </w:p>
        </w:tc>
        <w:tc>
          <w:tcPr>
            <w:tcW w:w="1020" w:type="dxa"/>
            <w:vAlign w:val="top"/>
          </w:tcPr>
          <w:p w14:paraId="2FE9D587">
            <w:pPr>
              <w:pStyle w:val="8"/>
              <w:spacing w:before="84" w:line="219" w:lineRule="auto"/>
              <w:ind w:left="114"/>
            </w:pPr>
            <w:r>
              <w:rPr>
                <w:b/>
                <w:bCs/>
                <w:spacing w:val="-4"/>
              </w:rPr>
              <w:t>承办机构</w:t>
            </w:r>
          </w:p>
        </w:tc>
      </w:tr>
      <w:tr w14:paraId="649B0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7" w:hRule="atLeast"/>
        </w:trPr>
        <w:tc>
          <w:tcPr>
            <w:tcW w:w="629" w:type="dxa"/>
            <w:vAlign w:val="top"/>
          </w:tcPr>
          <w:p w14:paraId="28819E00">
            <w:pPr>
              <w:rPr>
                <w:rFonts w:ascii="Arial"/>
                <w:sz w:val="21"/>
              </w:rPr>
            </w:pPr>
          </w:p>
        </w:tc>
        <w:tc>
          <w:tcPr>
            <w:tcW w:w="1101" w:type="dxa"/>
            <w:vAlign w:val="top"/>
          </w:tcPr>
          <w:p w14:paraId="433DDB81">
            <w:pPr>
              <w:rPr>
                <w:rFonts w:ascii="Arial"/>
                <w:sz w:val="21"/>
              </w:rPr>
            </w:pPr>
          </w:p>
        </w:tc>
        <w:tc>
          <w:tcPr>
            <w:tcW w:w="1101" w:type="dxa"/>
            <w:vAlign w:val="top"/>
          </w:tcPr>
          <w:p w14:paraId="4CABE803">
            <w:pPr>
              <w:rPr>
                <w:rFonts w:ascii="Arial"/>
                <w:sz w:val="21"/>
              </w:rPr>
            </w:pPr>
          </w:p>
        </w:tc>
        <w:tc>
          <w:tcPr>
            <w:tcW w:w="8524" w:type="dxa"/>
            <w:vAlign w:val="top"/>
          </w:tcPr>
          <w:p w14:paraId="43CE1B76">
            <w:pPr>
              <w:pStyle w:val="8"/>
              <w:spacing w:before="21" w:line="219" w:lineRule="auto"/>
              <w:ind w:left="447"/>
            </w:pPr>
            <w:r>
              <w:rPr>
                <w:b/>
                <w:bCs/>
                <w:spacing w:val="-8"/>
              </w:rPr>
              <w:t>2.《道路旅客运输及客运站管理规定》(交通运输部令2023年第12号)</w:t>
            </w:r>
          </w:p>
          <w:p w14:paraId="16547E59">
            <w:pPr>
              <w:pStyle w:val="8"/>
              <w:spacing w:before="10" w:line="224" w:lineRule="auto"/>
              <w:ind w:left="100" w:right="148" w:firstLine="344"/>
              <w:jc w:val="both"/>
            </w:pPr>
            <w:r>
              <w:rPr>
                <w:spacing w:val="-8"/>
              </w:rPr>
              <w:t>第九十八条</w:t>
            </w:r>
            <w:r>
              <w:rPr>
                <w:spacing w:val="76"/>
              </w:rPr>
              <w:t xml:space="preserve"> </w:t>
            </w:r>
            <w:r>
              <w:rPr>
                <w:spacing w:val="-8"/>
              </w:rPr>
              <w:t>一类、二类客运班线的经营者或者其委托的售票单位、客运站经营者未按照规定对旅客</w:t>
            </w:r>
            <w:r>
              <w:rPr>
                <w:spacing w:val="-9"/>
              </w:rPr>
              <w:t>身份</w:t>
            </w:r>
            <w:r>
              <w:t xml:space="preserve"> </w:t>
            </w:r>
            <w:r>
              <w:rPr>
                <w:spacing w:val="-8"/>
              </w:rPr>
              <w:t>进行查验，或者对身份不明、拒绝提供身份信息的旅客提供服务的，由交通运输主管部门处10万元以上50万元</w:t>
            </w:r>
            <w:r>
              <w:rPr>
                <w:spacing w:val="18"/>
              </w:rPr>
              <w:t xml:space="preserve"> </w:t>
            </w:r>
            <w:r>
              <w:rPr>
                <w:spacing w:val="-8"/>
              </w:rPr>
              <w:t>以下的罚款，并对其直接负责的主管人员和其他直接责任人员处10万元以下的罚款；情节严重的，由交通运输</w:t>
            </w:r>
            <w:r>
              <w:rPr>
                <w:spacing w:val="8"/>
              </w:rPr>
              <w:t xml:space="preserve"> </w:t>
            </w:r>
            <w:r>
              <w:rPr>
                <w:spacing w:val="-8"/>
              </w:rPr>
              <w:t>主管部门责令其停止从事相关道路旅客运输或者客运站经营业务；造成严重后果的，由原许可机关吊销有关道</w:t>
            </w:r>
            <w:r>
              <w:t xml:space="preserve"> </w:t>
            </w:r>
            <w:r>
              <w:rPr>
                <w:spacing w:val="-8"/>
              </w:rPr>
              <w:t>路旅客运输或者客运站经营许可证件。</w:t>
            </w:r>
          </w:p>
        </w:tc>
        <w:tc>
          <w:tcPr>
            <w:tcW w:w="1011" w:type="dxa"/>
            <w:vAlign w:val="top"/>
          </w:tcPr>
          <w:p w14:paraId="3E2B79CB">
            <w:pPr>
              <w:rPr>
                <w:rFonts w:ascii="Arial"/>
                <w:sz w:val="21"/>
              </w:rPr>
            </w:pPr>
          </w:p>
        </w:tc>
        <w:tc>
          <w:tcPr>
            <w:tcW w:w="1404" w:type="dxa"/>
            <w:vAlign w:val="top"/>
          </w:tcPr>
          <w:p w14:paraId="0993F160">
            <w:pPr>
              <w:rPr>
                <w:rFonts w:ascii="Arial"/>
                <w:sz w:val="21"/>
              </w:rPr>
            </w:pPr>
          </w:p>
        </w:tc>
        <w:tc>
          <w:tcPr>
            <w:tcW w:w="1020" w:type="dxa"/>
            <w:vAlign w:val="top"/>
          </w:tcPr>
          <w:p w14:paraId="74958B70">
            <w:pPr>
              <w:rPr>
                <w:rFonts w:ascii="Arial"/>
                <w:sz w:val="21"/>
              </w:rPr>
            </w:pPr>
          </w:p>
        </w:tc>
      </w:tr>
      <w:tr w14:paraId="73E0D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8" w:hRule="atLeast"/>
        </w:trPr>
        <w:tc>
          <w:tcPr>
            <w:tcW w:w="629" w:type="dxa"/>
            <w:vAlign w:val="top"/>
          </w:tcPr>
          <w:p w14:paraId="55AA6537">
            <w:pPr>
              <w:spacing w:line="246" w:lineRule="auto"/>
              <w:rPr>
                <w:rFonts w:ascii="Arial"/>
                <w:sz w:val="21"/>
              </w:rPr>
            </w:pPr>
          </w:p>
          <w:p w14:paraId="47BC4215">
            <w:pPr>
              <w:spacing w:line="246" w:lineRule="auto"/>
              <w:rPr>
                <w:rFonts w:ascii="Arial"/>
                <w:sz w:val="21"/>
              </w:rPr>
            </w:pPr>
          </w:p>
          <w:p w14:paraId="3191BF39">
            <w:pPr>
              <w:spacing w:line="247" w:lineRule="auto"/>
              <w:rPr>
                <w:rFonts w:ascii="Arial"/>
                <w:sz w:val="21"/>
              </w:rPr>
            </w:pPr>
          </w:p>
          <w:p w14:paraId="1AA79E1D">
            <w:pPr>
              <w:spacing w:line="247" w:lineRule="auto"/>
              <w:rPr>
                <w:rFonts w:ascii="Arial"/>
                <w:sz w:val="21"/>
              </w:rPr>
            </w:pPr>
          </w:p>
          <w:p w14:paraId="272479BA">
            <w:pPr>
              <w:spacing w:line="247" w:lineRule="auto"/>
              <w:rPr>
                <w:rFonts w:ascii="Arial"/>
                <w:sz w:val="21"/>
              </w:rPr>
            </w:pPr>
          </w:p>
          <w:p w14:paraId="1AA22F83">
            <w:pPr>
              <w:spacing w:line="247" w:lineRule="auto"/>
              <w:rPr>
                <w:rFonts w:ascii="Arial"/>
                <w:sz w:val="21"/>
              </w:rPr>
            </w:pPr>
          </w:p>
          <w:p w14:paraId="7BAC55F1">
            <w:pPr>
              <w:spacing w:line="247" w:lineRule="auto"/>
              <w:rPr>
                <w:rFonts w:ascii="Arial"/>
                <w:sz w:val="21"/>
              </w:rPr>
            </w:pPr>
          </w:p>
          <w:p w14:paraId="3412827D">
            <w:pPr>
              <w:spacing w:line="247" w:lineRule="auto"/>
              <w:rPr>
                <w:rFonts w:ascii="Arial"/>
                <w:sz w:val="21"/>
              </w:rPr>
            </w:pPr>
          </w:p>
          <w:p w14:paraId="0ABCFF73">
            <w:pPr>
              <w:pStyle w:val="8"/>
              <w:spacing w:before="59" w:line="183" w:lineRule="auto"/>
              <w:ind w:left="267"/>
            </w:pPr>
            <w:r>
              <w:t>8</w:t>
            </w:r>
          </w:p>
        </w:tc>
        <w:tc>
          <w:tcPr>
            <w:tcW w:w="1101" w:type="dxa"/>
            <w:vAlign w:val="top"/>
          </w:tcPr>
          <w:p w14:paraId="175B14A9">
            <w:pPr>
              <w:spacing w:line="278" w:lineRule="auto"/>
              <w:rPr>
                <w:rFonts w:ascii="Arial"/>
                <w:sz w:val="21"/>
              </w:rPr>
            </w:pPr>
          </w:p>
          <w:p w14:paraId="6E5254B4">
            <w:pPr>
              <w:spacing w:line="278" w:lineRule="auto"/>
              <w:rPr>
                <w:rFonts w:ascii="Arial"/>
                <w:sz w:val="21"/>
              </w:rPr>
            </w:pPr>
          </w:p>
          <w:p w14:paraId="31FA55E8">
            <w:pPr>
              <w:spacing w:line="279" w:lineRule="auto"/>
              <w:rPr>
                <w:rFonts w:ascii="Arial"/>
                <w:sz w:val="21"/>
              </w:rPr>
            </w:pPr>
          </w:p>
          <w:p w14:paraId="5488D9F6">
            <w:pPr>
              <w:spacing w:line="279" w:lineRule="auto"/>
              <w:rPr>
                <w:rFonts w:ascii="Arial"/>
                <w:sz w:val="21"/>
              </w:rPr>
            </w:pPr>
          </w:p>
          <w:p w14:paraId="41BABB8B">
            <w:pPr>
              <w:pStyle w:val="8"/>
              <w:spacing w:before="59" w:line="243" w:lineRule="auto"/>
              <w:ind w:left="18" w:right="20"/>
              <w:jc w:val="both"/>
            </w:pPr>
            <w:r>
              <w:rPr>
                <w:spacing w:val="-6"/>
              </w:rPr>
              <w:t>对未依照规定</w:t>
            </w:r>
            <w:r>
              <w:rPr>
                <w:spacing w:val="2"/>
              </w:rPr>
              <w:t xml:space="preserve"> </w:t>
            </w:r>
            <w:r>
              <w:rPr>
                <w:spacing w:val="-6"/>
              </w:rPr>
              <w:t>对运营中的危</w:t>
            </w:r>
            <w:r>
              <w:rPr>
                <w:spacing w:val="2"/>
              </w:rPr>
              <w:t xml:space="preserve"> </w:t>
            </w:r>
            <w:r>
              <w:rPr>
                <w:spacing w:val="-6"/>
              </w:rPr>
              <w:t>险化学品与放</w:t>
            </w:r>
            <w:r>
              <w:rPr>
                <w:spacing w:val="2"/>
              </w:rPr>
              <w:t xml:space="preserve"> </w:t>
            </w:r>
            <w:r>
              <w:rPr>
                <w:spacing w:val="-6"/>
              </w:rPr>
              <w:t>射物品的运输</w:t>
            </w:r>
            <w:r>
              <w:rPr>
                <w:spacing w:val="2"/>
              </w:rPr>
              <w:t xml:space="preserve"> </w:t>
            </w:r>
            <w:r>
              <w:rPr>
                <w:spacing w:val="-6"/>
              </w:rPr>
              <w:t>工具通过定位</w:t>
            </w:r>
            <w:r>
              <w:rPr>
                <w:spacing w:val="2"/>
              </w:rPr>
              <w:t xml:space="preserve"> </w:t>
            </w:r>
            <w:r>
              <w:rPr>
                <w:spacing w:val="-6"/>
              </w:rPr>
              <w:t>系统实行监控</w:t>
            </w:r>
            <w:r>
              <w:rPr>
                <w:spacing w:val="2"/>
              </w:rPr>
              <w:t xml:space="preserve"> </w:t>
            </w:r>
            <w:r>
              <w:rPr>
                <w:spacing w:val="-6"/>
              </w:rPr>
              <w:t>行为的行政处</w:t>
            </w:r>
            <w:r>
              <w:rPr>
                <w:spacing w:val="2"/>
              </w:rPr>
              <w:t xml:space="preserve"> </w:t>
            </w:r>
            <w:r>
              <w:t>罚</w:t>
            </w:r>
          </w:p>
        </w:tc>
        <w:tc>
          <w:tcPr>
            <w:tcW w:w="1101" w:type="dxa"/>
            <w:vAlign w:val="top"/>
          </w:tcPr>
          <w:p w14:paraId="2B56C910">
            <w:pPr>
              <w:spacing w:line="243" w:lineRule="auto"/>
              <w:rPr>
                <w:rFonts w:ascii="Arial"/>
                <w:sz w:val="21"/>
              </w:rPr>
            </w:pPr>
          </w:p>
          <w:p w14:paraId="337CC9E8">
            <w:pPr>
              <w:spacing w:line="243" w:lineRule="auto"/>
              <w:rPr>
                <w:rFonts w:ascii="Arial"/>
                <w:sz w:val="21"/>
              </w:rPr>
            </w:pPr>
          </w:p>
          <w:p w14:paraId="0F5A727A">
            <w:pPr>
              <w:spacing w:line="243" w:lineRule="auto"/>
              <w:rPr>
                <w:rFonts w:ascii="Arial"/>
                <w:sz w:val="21"/>
              </w:rPr>
            </w:pPr>
          </w:p>
          <w:p w14:paraId="412230E7">
            <w:pPr>
              <w:spacing w:line="243" w:lineRule="auto"/>
              <w:rPr>
                <w:rFonts w:ascii="Arial"/>
                <w:sz w:val="21"/>
              </w:rPr>
            </w:pPr>
          </w:p>
          <w:p w14:paraId="4F66947B">
            <w:pPr>
              <w:spacing w:line="243" w:lineRule="auto"/>
              <w:rPr>
                <w:rFonts w:ascii="Arial"/>
                <w:sz w:val="21"/>
              </w:rPr>
            </w:pPr>
          </w:p>
          <w:p w14:paraId="76DA3040">
            <w:pPr>
              <w:spacing w:line="243" w:lineRule="auto"/>
              <w:rPr>
                <w:rFonts w:ascii="Arial"/>
                <w:sz w:val="21"/>
              </w:rPr>
            </w:pPr>
          </w:p>
          <w:p w14:paraId="2497AAB5">
            <w:pPr>
              <w:spacing w:line="244" w:lineRule="auto"/>
              <w:rPr>
                <w:rFonts w:ascii="Arial"/>
                <w:sz w:val="21"/>
              </w:rPr>
            </w:pPr>
          </w:p>
          <w:p w14:paraId="1563EA2B">
            <w:pPr>
              <w:spacing w:line="244" w:lineRule="auto"/>
              <w:rPr>
                <w:rFonts w:ascii="Arial"/>
                <w:sz w:val="21"/>
              </w:rPr>
            </w:pPr>
          </w:p>
          <w:p w14:paraId="3E2F287C">
            <w:pPr>
              <w:pStyle w:val="8"/>
              <w:spacing w:before="59" w:line="220" w:lineRule="auto"/>
              <w:ind w:left="25"/>
            </w:pPr>
            <w:r>
              <w:rPr>
                <w:spacing w:val="-7"/>
              </w:rPr>
              <w:t>行政处罚</w:t>
            </w:r>
          </w:p>
        </w:tc>
        <w:tc>
          <w:tcPr>
            <w:tcW w:w="8524" w:type="dxa"/>
            <w:vAlign w:val="top"/>
          </w:tcPr>
          <w:p w14:paraId="26E30E3E">
            <w:pPr>
              <w:pStyle w:val="8"/>
              <w:spacing w:before="219" w:line="219" w:lineRule="auto"/>
              <w:ind w:left="458"/>
            </w:pPr>
            <w:r>
              <w:rPr>
                <w:b/>
                <w:bCs/>
                <w:spacing w:val="-10"/>
              </w:rPr>
              <w:t>1.《中华人民共和国反恐怖主义法》</w:t>
            </w:r>
          </w:p>
          <w:p w14:paraId="68494813">
            <w:pPr>
              <w:pStyle w:val="8"/>
              <w:spacing w:before="12" w:line="223" w:lineRule="auto"/>
              <w:ind w:left="104" w:right="32" w:firstLine="341"/>
            </w:pPr>
            <w:r>
              <w:rPr>
                <w:spacing w:val="-9"/>
              </w:rPr>
              <w:t>第二十二条</w:t>
            </w:r>
            <w:r>
              <w:rPr>
                <w:spacing w:val="74"/>
              </w:rPr>
              <w:t xml:space="preserve"> </w:t>
            </w:r>
            <w:r>
              <w:rPr>
                <w:spacing w:val="-9"/>
              </w:rPr>
              <w:t>生产和进口单位应当依照规定对枪支等武器、弹药、管制器具、危险化学品、民用爆炸物品、</w:t>
            </w:r>
            <w:r>
              <w:t xml:space="preserve"> </w:t>
            </w:r>
            <w:r>
              <w:rPr>
                <w:spacing w:val="-8"/>
              </w:rPr>
              <w:t>核与放射物品作出电子追踪标识，对民用爆炸物品添加安检示踪标识物。</w:t>
            </w:r>
          </w:p>
          <w:p w14:paraId="5A57AD0F">
            <w:pPr>
              <w:pStyle w:val="8"/>
              <w:spacing w:before="10" w:line="226" w:lineRule="auto"/>
              <w:ind w:left="105" w:right="150" w:firstLine="340"/>
            </w:pPr>
            <w:r>
              <w:rPr>
                <w:spacing w:val="-8"/>
              </w:rPr>
              <w:t>运输单位应当依照规定对运营中的危险化学品、民用爆炸物品、核与放射物品的运输工具通过定位系统实</w:t>
            </w:r>
            <w:r>
              <w:t xml:space="preserve"> </w:t>
            </w:r>
            <w:r>
              <w:rPr>
                <w:spacing w:val="-7"/>
              </w:rPr>
              <w:t>行监控。</w:t>
            </w:r>
          </w:p>
          <w:p w14:paraId="4B625402">
            <w:pPr>
              <w:pStyle w:val="8"/>
              <w:spacing w:before="8" w:line="226" w:lineRule="auto"/>
              <w:ind w:left="102" w:right="150" w:firstLine="342"/>
              <w:jc w:val="both"/>
            </w:pPr>
            <w:r>
              <w:rPr>
                <w:spacing w:val="-8"/>
              </w:rPr>
              <w:t>第八十七条第（二）项</w:t>
            </w:r>
            <w:r>
              <w:rPr>
                <w:spacing w:val="74"/>
              </w:rPr>
              <w:t xml:space="preserve"> </w:t>
            </w:r>
            <w:r>
              <w:rPr>
                <w:spacing w:val="-8"/>
              </w:rPr>
              <w:t>违反本法规定，有下列情形之一的，由主管部门给予警告，并责令改正；拒不改</w:t>
            </w:r>
            <w:r>
              <w:t xml:space="preserve"> </w:t>
            </w:r>
            <w:r>
              <w:rPr>
                <w:spacing w:val="-7"/>
              </w:rPr>
              <w:t>正的，处十万元以下罚款，并对其直接负责的主管人员和</w:t>
            </w:r>
            <w:r>
              <w:rPr>
                <w:spacing w:val="-8"/>
              </w:rPr>
              <w:t>其他直接责任人员处一万元以下罚款</w:t>
            </w:r>
            <w:r>
              <w:rPr>
                <w:spacing w:val="-22"/>
              </w:rPr>
              <w:t>：（</w:t>
            </w:r>
            <w:r>
              <w:rPr>
                <w:spacing w:val="-8"/>
              </w:rPr>
              <w:t>二）未依照</w:t>
            </w:r>
            <w:r>
              <w:rPr>
                <w:spacing w:val="1"/>
              </w:rPr>
              <w:t xml:space="preserve"> </w:t>
            </w:r>
            <w:r>
              <w:rPr>
                <w:spacing w:val="-8"/>
              </w:rPr>
              <w:t>规定对运营中的危险化学品、民用爆炸物品、核与放射物品的运输工具通过定位系统实行监控的。</w:t>
            </w:r>
          </w:p>
          <w:p w14:paraId="5FC1F6AB">
            <w:pPr>
              <w:pStyle w:val="8"/>
              <w:spacing w:before="10" w:line="224" w:lineRule="auto"/>
              <w:ind w:left="102" w:right="157" w:firstLine="342"/>
            </w:pPr>
            <w:r>
              <w:rPr>
                <w:spacing w:val="-8"/>
              </w:rPr>
              <w:t>第九十三条</w:t>
            </w:r>
            <w:r>
              <w:rPr>
                <w:spacing w:val="74"/>
              </w:rPr>
              <w:t xml:space="preserve"> </w:t>
            </w:r>
            <w:r>
              <w:rPr>
                <w:spacing w:val="-8"/>
              </w:rPr>
              <w:t>单位违反本法规定，情节严重的，由主管部门责令停止从事相关业务、提供相关服务或者责</w:t>
            </w:r>
            <w:r>
              <w:t xml:space="preserve"> </w:t>
            </w:r>
            <w:r>
              <w:rPr>
                <w:spacing w:val="-8"/>
              </w:rPr>
              <w:t>令停产停业；造成严重后果的，吊销有关证照或者撤销登记。</w:t>
            </w:r>
          </w:p>
          <w:p w14:paraId="3F5D57D9">
            <w:pPr>
              <w:pStyle w:val="8"/>
              <w:spacing w:before="12" w:line="219" w:lineRule="auto"/>
              <w:ind w:left="447"/>
            </w:pPr>
            <w:r>
              <w:rPr>
                <w:b/>
                <w:bCs/>
                <w:spacing w:val="-8"/>
              </w:rPr>
              <w:t>2.《危险货物道路运输安全管理办法》(交通运输部令2019年第29号)</w:t>
            </w:r>
          </w:p>
          <w:p w14:paraId="226D54D5">
            <w:pPr>
              <w:pStyle w:val="8"/>
              <w:spacing w:before="9" w:line="227" w:lineRule="auto"/>
              <w:ind w:left="100" w:right="157" w:firstLine="344"/>
              <w:jc w:val="both"/>
            </w:pPr>
            <w:r>
              <w:rPr>
                <w:spacing w:val="-8"/>
              </w:rPr>
              <w:t>第四十五条</w:t>
            </w:r>
            <w:r>
              <w:rPr>
                <w:spacing w:val="75"/>
              </w:rPr>
              <w:t xml:space="preserve"> </w:t>
            </w:r>
            <w:r>
              <w:rPr>
                <w:spacing w:val="-8"/>
              </w:rPr>
              <w:t>危险货物承运人应当按照《中华人民共和国反恐怖主义法》和《道路运输车辆动态监督管理</w:t>
            </w:r>
            <w:r>
              <w:t xml:space="preserve"> </w:t>
            </w:r>
            <w:r>
              <w:rPr>
                <w:spacing w:val="-7"/>
              </w:rPr>
              <w:t>办法》(交通运输部 公安部 应急管理部令2022年第10号)要求，</w:t>
            </w:r>
            <w:r>
              <w:rPr>
                <w:spacing w:val="-8"/>
              </w:rPr>
              <w:t>在车辆运行期间通过定位系统对车辆和驾驶人</w:t>
            </w:r>
            <w:r>
              <w:t xml:space="preserve"> </w:t>
            </w:r>
            <w:r>
              <w:rPr>
                <w:spacing w:val="-7"/>
              </w:rPr>
              <w:t>进行监控管理。</w:t>
            </w:r>
          </w:p>
          <w:p w14:paraId="486B9051">
            <w:pPr>
              <w:pStyle w:val="8"/>
              <w:spacing w:before="8" w:line="227" w:lineRule="auto"/>
              <w:ind w:left="116" w:right="32" w:firstLine="328"/>
              <w:jc w:val="both"/>
            </w:pPr>
            <w:r>
              <w:rPr>
                <w:spacing w:val="-9"/>
              </w:rPr>
              <w:t>第六十三条</w:t>
            </w:r>
            <w:r>
              <w:rPr>
                <w:spacing w:val="76"/>
              </w:rPr>
              <w:t xml:space="preserve"> </w:t>
            </w:r>
            <w:r>
              <w:rPr>
                <w:spacing w:val="-9"/>
              </w:rPr>
              <w:t>交通运输主管部门对危险货物承运人违反本办法第四十五条，未按照要求对运营中的化</w:t>
            </w:r>
            <w:r>
              <w:rPr>
                <w:spacing w:val="-10"/>
              </w:rPr>
              <w:t>学品、</w:t>
            </w:r>
            <w:r>
              <w:t xml:space="preserve"> </w:t>
            </w:r>
            <w:r>
              <w:rPr>
                <w:spacing w:val="-8"/>
              </w:rPr>
              <w:t>民用爆炸物品、核与放射性物品的运输车辆通过定位系统实行监控的，应</w:t>
            </w:r>
            <w:r>
              <w:rPr>
                <w:spacing w:val="-9"/>
              </w:rPr>
              <w:t>当给予警告，并责令改正；拒不改正</w:t>
            </w:r>
            <w:r>
              <w:t xml:space="preserve">  </w:t>
            </w:r>
            <w:r>
              <w:rPr>
                <w:spacing w:val="-8"/>
              </w:rPr>
              <w:t>的，处10万元以下的罚款，并对其直接负责的主管人员和其他直接责任人员处1万元以下的罚款。</w:t>
            </w:r>
          </w:p>
        </w:tc>
        <w:tc>
          <w:tcPr>
            <w:tcW w:w="1011" w:type="dxa"/>
            <w:vAlign w:val="top"/>
          </w:tcPr>
          <w:p w14:paraId="09FBD270">
            <w:pPr>
              <w:spacing w:line="260" w:lineRule="auto"/>
              <w:rPr>
                <w:rFonts w:ascii="Arial"/>
                <w:sz w:val="21"/>
              </w:rPr>
            </w:pPr>
          </w:p>
          <w:p w14:paraId="571FD38B">
            <w:pPr>
              <w:spacing w:line="261" w:lineRule="auto"/>
              <w:rPr>
                <w:rFonts w:ascii="Arial"/>
                <w:sz w:val="21"/>
              </w:rPr>
            </w:pPr>
          </w:p>
          <w:p w14:paraId="47BA000A">
            <w:pPr>
              <w:spacing w:line="261" w:lineRule="auto"/>
              <w:rPr>
                <w:rFonts w:ascii="Arial"/>
                <w:sz w:val="21"/>
              </w:rPr>
            </w:pPr>
          </w:p>
          <w:p w14:paraId="6CFFE677">
            <w:pPr>
              <w:spacing w:line="261" w:lineRule="auto"/>
              <w:rPr>
                <w:rFonts w:ascii="Arial"/>
                <w:sz w:val="21"/>
              </w:rPr>
            </w:pPr>
          </w:p>
          <w:p w14:paraId="6004C35C">
            <w:pPr>
              <w:spacing w:line="261" w:lineRule="auto"/>
              <w:rPr>
                <w:rFonts w:ascii="Arial"/>
                <w:sz w:val="21"/>
              </w:rPr>
            </w:pPr>
          </w:p>
          <w:p w14:paraId="0857FD60">
            <w:pPr>
              <w:spacing w:line="261" w:lineRule="auto"/>
              <w:rPr>
                <w:rFonts w:ascii="Arial"/>
                <w:sz w:val="21"/>
              </w:rPr>
            </w:pPr>
          </w:p>
          <w:p w14:paraId="063CCA0C">
            <w:pPr>
              <w:spacing w:line="261" w:lineRule="auto"/>
              <w:rPr>
                <w:rFonts w:ascii="Arial"/>
                <w:sz w:val="21"/>
              </w:rPr>
            </w:pPr>
          </w:p>
          <w:p w14:paraId="7DB5EBAA">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11AA76AA">
            <w:pPr>
              <w:spacing w:line="261" w:lineRule="auto"/>
              <w:rPr>
                <w:rFonts w:ascii="Arial"/>
                <w:sz w:val="21"/>
              </w:rPr>
            </w:pPr>
          </w:p>
          <w:p w14:paraId="1BA40564">
            <w:pPr>
              <w:spacing w:line="261" w:lineRule="auto"/>
              <w:rPr>
                <w:rFonts w:ascii="Arial"/>
                <w:sz w:val="21"/>
              </w:rPr>
            </w:pPr>
          </w:p>
          <w:p w14:paraId="78F330B5">
            <w:pPr>
              <w:spacing w:line="261" w:lineRule="auto"/>
              <w:rPr>
                <w:rFonts w:ascii="Arial"/>
                <w:sz w:val="21"/>
              </w:rPr>
            </w:pPr>
          </w:p>
          <w:p w14:paraId="554542C6">
            <w:pPr>
              <w:spacing w:line="261" w:lineRule="auto"/>
              <w:rPr>
                <w:rFonts w:ascii="Arial"/>
                <w:sz w:val="21"/>
              </w:rPr>
            </w:pPr>
          </w:p>
          <w:p w14:paraId="607A8EF7">
            <w:pPr>
              <w:spacing w:line="261" w:lineRule="auto"/>
              <w:rPr>
                <w:rFonts w:ascii="Arial"/>
                <w:sz w:val="21"/>
              </w:rPr>
            </w:pPr>
          </w:p>
          <w:p w14:paraId="5CE95040">
            <w:pPr>
              <w:spacing w:line="261" w:lineRule="auto"/>
              <w:rPr>
                <w:rFonts w:ascii="Arial"/>
                <w:sz w:val="21"/>
              </w:rPr>
            </w:pPr>
          </w:p>
          <w:p w14:paraId="7F842ADC">
            <w:pPr>
              <w:spacing w:line="261" w:lineRule="auto"/>
              <w:rPr>
                <w:rFonts w:ascii="Arial"/>
                <w:sz w:val="21"/>
              </w:rPr>
            </w:pPr>
          </w:p>
          <w:p w14:paraId="6B0E17E2">
            <w:pPr>
              <w:pStyle w:val="8"/>
              <w:spacing w:before="58"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5997DF1D">
            <w:pPr>
              <w:spacing w:line="264" w:lineRule="auto"/>
              <w:rPr>
                <w:rFonts w:ascii="Arial"/>
                <w:sz w:val="21"/>
              </w:rPr>
            </w:pPr>
          </w:p>
          <w:p w14:paraId="1169C21C">
            <w:pPr>
              <w:spacing w:line="265" w:lineRule="auto"/>
              <w:rPr>
                <w:rFonts w:ascii="Arial"/>
                <w:sz w:val="21"/>
              </w:rPr>
            </w:pPr>
          </w:p>
          <w:p w14:paraId="1A343431">
            <w:pPr>
              <w:spacing w:line="265" w:lineRule="auto"/>
              <w:rPr>
                <w:rFonts w:ascii="Arial"/>
                <w:sz w:val="21"/>
              </w:rPr>
            </w:pPr>
          </w:p>
          <w:p w14:paraId="2438D063">
            <w:pPr>
              <w:spacing w:line="265" w:lineRule="auto"/>
              <w:rPr>
                <w:rFonts w:ascii="Arial"/>
                <w:sz w:val="21"/>
              </w:rPr>
            </w:pPr>
          </w:p>
          <w:p w14:paraId="79C8FA74">
            <w:pPr>
              <w:spacing w:line="265" w:lineRule="auto"/>
              <w:rPr>
                <w:rFonts w:ascii="Arial"/>
                <w:sz w:val="21"/>
              </w:rPr>
            </w:pPr>
          </w:p>
          <w:p w14:paraId="2ADB0B07">
            <w:pPr>
              <w:spacing w:line="265" w:lineRule="auto"/>
              <w:rPr>
                <w:rFonts w:ascii="Arial"/>
                <w:sz w:val="21"/>
              </w:rPr>
            </w:pPr>
          </w:p>
          <w:p w14:paraId="58DDBE86">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1F6D8AA2">
      <w:pPr>
        <w:pStyle w:val="2"/>
      </w:pPr>
    </w:p>
    <w:p w14:paraId="7A94F4A0">
      <w:pPr>
        <w:sectPr>
          <w:footerReference r:id="rId27" w:type="default"/>
          <w:pgSz w:w="16839" w:h="11906"/>
          <w:pgMar w:top="1012" w:right="1016" w:bottom="966" w:left="1016" w:header="0" w:footer="768" w:gutter="0"/>
          <w:cols w:space="720" w:num="1"/>
        </w:sectPr>
      </w:pPr>
    </w:p>
    <w:p w14:paraId="3246D6C3">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5989D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49AB1320">
            <w:pPr>
              <w:pStyle w:val="8"/>
              <w:spacing w:before="273" w:line="221" w:lineRule="auto"/>
              <w:ind w:left="129"/>
            </w:pPr>
            <w:r>
              <w:rPr>
                <w:b/>
                <w:bCs/>
                <w:spacing w:val="-4"/>
              </w:rPr>
              <w:t>序号</w:t>
            </w:r>
          </w:p>
        </w:tc>
        <w:tc>
          <w:tcPr>
            <w:tcW w:w="1101" w:type="dxa"/>
            <w:vMerge w:val="restart"/>
            <w:tcBorders>
              <w:bottom w:val="nil"/>
            </w:tcBorders>
            <w:vAlign w:val="top"/>
          </w:tcPr>
          <w:p w14:paraId="0360BFDA">
            <w:pPr>
              <w:pStyle w:val="8"/>
              <w:spacing w:before="274" w:line="220" w:lineRule="auto"/>
              <w:ind w:left="182"/>
            </w:pPr>
            <w:r>
              <w:rPr>
                <w:b/>
                <w:bCs/>
                <w:spacing w:val="-4"/>
              </w:rPr>
              <w:t>事项名称</w:t>
            </w:r>
          </w:p>
        </w:tc>
        <w:tc>
          <w:tcPr>
            <w:tcW w:w="1101" w:type="dxa"/>
            <w:vMerge w:val="restart"/>
            <w:tcBorders>
              <w:bottom w:val="nil"/>
            </w:tcBorders>
            <w:vAlign w:val="top"/>
          </w:tcPr>
          <w:p w14:paraId="5211403D">
            <w:pPr>
              <w:pStyle w:val="8"/>
              <w:spacing w:before="274" w:line="219" w:lineRule="auto"/>
              <w:ind w:left="183"/>
            </w:pPr>
            <w:r>
              <w:rPr>
                <w:b/>
                <w:bCs/>
                <w:spacing w:val="-4"/>
              </w:rPr>
              <w:t>职权类型</w:t>
            </w:r>
          </w:p>
        </w:tc>
        <w:tc>
          <w:tcPr>
            <w:tcW w:w="8524" w:type="dxa"/>
            <w:vMerge w:val="restart"/>
            <w:tcBorders>
              <w:bottom w:val="nil"/>
            </w:tcBorders>
            <w:vAlign w:val="top"/>
          </w:tcPr>
          <w:p w14:paraId="6BE4785C">
            <w:pPr>
              <w:pStyle w:val="8"/>
              <w:spacing w:before="273" w:line="219" w:lineRule="auto"/>
              <w:ind w:left="4083"/>
            </w:pPr>
            <w:r>
              <w:rPr>
                <w:b/>
                <w:bCs/>
                <w:spacing w:val="-5"/>
              </w:rPr>
              <w:t>实施依据</w:t>
            </w:r>
          </w:p>
        </w:tc>
        <w:tc>
          <w:tcPr>
            <w:tcW w:w="3435" w:type="dxa"/>
            <w:gridSpan w:val="3"/>
            <w:vAlign w:val="top"/>
          </w:tcPr>
          <w:p w14:paraId="1784B57A">
            <w:pPr>
              <w:pStyle w:val="8"/>
              <w:spacing w:before="94" w:line="220" w:lineRule="auto"/>
              <w:ind w:left="1360"/>
            </w:pPr>
            <w:r>
              <w:rPr>
                <w:b/>
                <w:bCs/>
                <w:spacing w:val="-5"/>
              </w:rPr>
              <w:t>实施主体</w:t>
            </w:r>
          </w:p>
        </w:tc>
      </w:tr>
      <w:tr w14:paraId="66F23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E9B18AC">
            <w:pPr>
              <w:rPr>
                <w:rFonts w:ascii="Arial"/>
                <w:sz w:val="21"/>
              </w:rPr>
            </w:pPr>
          </w:p>
        </w:tc>
        <w:tc>
          <w:tcPr>
            <w:tcW w:w="1101" w:type="dxa"/>
            <w:vMerge w:val="continue"/>
            <w:tcBorders>
              <w:top w:val="nil"/>
            </w:tcBorders>
            <w:vAlign w:val="top"/>
          </w:tcPr>
          <w:p w14:paraId="24A18482">
            <w:pPr>
              <w:rPr>
                <w:rFonts w:ascii="Arial"/>
                <w:sz w:val="21"/>
              </w:rPr>
            </w:pPr>
          </w:p>
        </w:tc>
        <w:tc>
          <w:tcPr>
            <w:tcW w:w="1101" w:type="dxa"/>
            <w:vMerge w:val="continue"/>
            <w:tcBorders>
              <w:top w:val="nil"/>
            </w:tcBorders>
            <w:vAlign w:val="top"/>
          </w:tcPr>
          <w:p w14:paraId="65B43058">
            <w:pPr>
              <w:rPr>
                <w:rFonts w:ascii="Arial"/>
                <w:sz w:val="21"/>
              </w:rPr>
            </w:pPr>
          </w:p>
        </w:tc>
        <w:tc>
          <w:tcPr>
            <w:tcW w:w="8524" w:type="dxa"/>
            <w:vMerge w:val="continue"/>
            <w:tcBorders>
              <w:top w:val="nil"/>
            </w:tcBorders>
            <w:vAlign w:val="top"/>
          </w:tcPr>
          <w:p w14:paraId="3F0A31BE">
            <w:pPr>
              <w:rPr>
                <w:rFonts w:ascii="Arial"/>
                <w:sz w:val="21"/>
              </w:rPr>
            </w:pPr>
          </w:p>
        </w:tc>
        <w:tc>
          <w:tcPr>
            <w:tcW w:w="1011" w:type="dxa"/>
            <w:vAlign w:val="top"/>
          </w:tcPr>
          <w:p w14:paraId="6B44E18E">
            <w:pPr>
              <w:pStyle w:val="8"/>
              <w:spacing w:before="85" w:line="219" w:lineRule="auto"/>
              <w:ind w:left="154"/>
            </w:pPr>
            <w:r>
              <w:rPr>
                <w:b/>
                <w:bCs/>
                <w:spacing w:val="-5"/>
              </w:rPr>
              <w:t>责任部门</w:t>
            </w:r>
          </w:p>
        </w:tc>
        <w:tc>
          <w:tcPr>
            <w:tcW w:w="1404" w:type="dxa"/>
            <w:vAlign w:val="top"/>
          </w:tcPr>
          <w:p w14:paraId="225BDBDE">
            <w:pPr>
              <w:pStyle w:val="8"/>
              <w:spacing w:before="85" w:line="219" w:lineRule="auto"/>
              <w:ind w:left="164"/>
            </w:pPr>
            <w:r>
              <w:rPr>
                <w:b/>
                <w:bCs/>
                <w:spacing w:val="-3"/>
              </w:rPr>
              <w:t>第一责任层级</w:t>
            </w:r>
          </w:p>
        </w:tc>
        <w:tc>
          <w:tcPr>
            <w:tcW w:w="1020" w:type="dxa"/>
            <w:vAlign w:val="top"/>
          </w:tcPr>
          <w:p w14:paraId="428F3DA3">
            <w:pPr>
              <w:pStyle w:val="8"/>
              <w:spacing w:before="84" w:line="219" w:lineRule="auto"/>
              <w:ind w:left="114"/>
            </w:pPr>
            <w:r>
              <w:rPr>
                <w:b/>
                <w:bCs/>
                <w:spacing w:val="-4"/>
              </w:rPr>
              <w:t>承办机构</w:t>
            </w:r>
          </w:p>
        </w:tc>
      </w:tr>
      <w:tr w14:paraId="67D3A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3" w:hRule="atLeast"/>
        </w:trPr>
        <w:tc>
          <w:tcPr>
            <w:tcW w:w="629" w:type="dxa"/>
            <w:vAlign w:val="top"/>
          </w:tcPr>
          <w:p w14:paraId="61F161C3">
            <w:pPr>
              <w:spacing w:line="252" w:lineRule="auto"/>
              <w:rPr>
                <w:rFonts w:ascii="Arial"/>
                <w:sz w:val="21"/>
              </w:rPr>
            </w:pPr>
          </w:p>
          <w:p w14:paraId="11B54ED9">
            <w:pPr>
              <w:spacing w:line="252" w:lineRule="auto"/>
              <w:rPr>
                <w:rFonts w:ascii="Arial"/>
                <w:sz w:val="21"/>
              </w:rPr>
            </w:pPr>
          </w:p>
          <w:p w14:paraId="706C83EB">
            <w:pPr>
              <w:spacing w:line="252" w:lineRule="auto"/>
              <w:rPr>
                <w:rFonts w:ascii="Arial"/>
                <w:sz w:val="21"/>
              </w:rPr>
            </w:pPr>
          </w:p>
          <w:p w14:paraId="02EC6337">
            <w:pPr>
              <w:spacing w:line="252" w:lineRule="auto"/>
              <w:rPr>
                <w:rFonts w:ascii="Arial"/>
                <w:sz w:val="21"/>
              </w:rPr>
            </w:pPr>
          </w:p>
          <w:p w14:paraId="31A53C85">
            <w:pPr>
              <w:spacing w:line="252" w:lineRule="auto"/>
              <w:rPr>
                <w:rFonts w:ascii="Arial"/>
                <w:sz w:val="21"/>
              </w:rPr>
            </w:pPr>
          </w:p>
          <w:p w14:paraId="0A980345">
            <w:pPr>
              <w:spacing w:line="252" w:lineRule="auto"/>
              <w:rPr>
                <w:rFonts w:ascii="Arial"/>
                <w:sz w:val="21"/>
              </w:rPr>
            </w:pPr>
          </w:p>
          <w:p w14:paraId="12150F7E">
            <w:pPr>
              <w:spacing w:line="252" w:lineRule="auto"/>
              <w:rPr>
                <w:rFonts w:ascii="Arial"/>
                <w:sz w:val="21"/>
              </w:rPr>
            </w:pPr>
          </w:p>
          <w:p w14:paraId="5A0EC119">
            <w:pPr>
              <w:spacing w:line="252" w:lineRule="auto"/>
              <w:rPr>
                <w:rFonts w:ascii="Arial"/>
                <w:sz w:val="21"/>
              </w:rPr>
            </w:pPr>
          </w:p>
          <w:p w14:paraId="591095D5">
            <w:pPr>
              <w:spacing w:line="252" w:lineRule="auto"/>
              <w:rPr>
                <w:rFonts w:ascii="Arial"/>
                <w:sz w:val="21"/>
              </w:rPr>
            </w:pPr>
          </w:p>
          <w:p w14:paraId="24A964FA">
            <w:pPr>
              <w:spacing w:line="253" w:lineRule="auto"/>
              <w:rPr>
                <w:rFonts w:ascii="Arial"/>
                <w:sz w:val="21"/>
              </w:rPr>
            </w:pPr>
          </w:p>
          <w:p w14:paraId="0CA30C0D">
            <w:pPr>
              <w:spacing w:line="253" w:lineRule="auto"/>
              <w:rPr>
                <w:rFonts w:ascii="Arial"/>
                <w:sz w:val="21"/>
              </w:rPr>
            </w:pPr>
          </w:p>
          <w:p w14:paraId="273FF3F2">
            <w:pPr>
              <w:pStyle w:val="8"/>
              <w:spacing w:before="58" w:line="184" w:lineRule="auto"/>
              <w:ind w:left="234"/>
              <w:rPr>
                <w:rFonts w:hint="eastAsia" w:eastAsia="宋体"/>
                <w:lang w:eastAsia="zh-CN"/>
              </w:rPr>
            </w:pPr>
            <w:r>
              <w:rPr>
                <w:rFonts w:hint="eastAsia"/>
                <w:spacing w:val="-10"/>
                <w:lang w:val="en-US" w:eastAsia="zh-CN"/>
              </w:rPr>
              <w:t>9</w:t>
            </w:r>
          </w:p>
        </w:tc>
        <w:tc>
          <w:tcPr>
            <w:tcW w:w="1101" w:type="dxa"/>
            <w:vAlign w:val="top"/>
          </w:tcPr>
          <w:p w14:paraId="2460E3C7">
            <w:pPr>
              <w:spacing w:line="262" w:lineRule="auto"/>
              <w:rPr>
                <w:rFonts w:ascii="Arial"/>
                <w:sz w:val="21"/>
              </w:rPr>
            </w:pPr>
          </w:p>
          <w:p w14:paraId="6BBDF206">
            <w:pPr>
              <w:spacing w:line="262" w:lineRule="auto"/>
              <w:rPr>
                <w:rFonts w:ascii="Arial"/>
                <w:sz w:val="21"/>
              </w:rPr>
            </w:pPr>
          </w:p>
          <w:p w14:paraId="2EF49BB7">
            <w:pPr>
              <w:spacing w:line="262" w:lineRule="auto"/>
              <w:rPr>
                <w:rFonts w:ascii="Arial"/>
                <w:sz w:val="21"/>
              </w:rPr>
            </w:pPr>
          </w:p>
          <w:p w14:paraId="0CFD002C">
            <w:pPr>
              <w:spacing w:line="262" w:lineRule="auto"/>
              <w:rPr>
                <w:rFonts w:ascii="Arial"/>
                <w:sz w:val="21"/>
              </w:rPr>
            </w:pPr>
          </w:p>
          <w:p w14:paraId="6E604489">
            <w:pPr>
              <w:spacing w:line="263" w:lineRule="auto"/>
              <w:rPr>
                <w:rFonts w:ascii="Arial"/>
                <w:sz w:val="21"/>
              </w:rPr>
            </w:pPr>
          </w:p>
          <w:p w14:paraId="245D27A5">
            <w:pPr>
              <w:spacing w:line="263" w:lineRule="auto"/>
              <w:rPr>
                <w:rFonts w:ascii="Arial"/>
                <w:sz w:val="21"/>
              </w:rPr>
            </w:pPr>
          </w:p>
          <w:p w14:paraId="545B9787">
            <w:pPr>
              <w:spacing w:line="263" w:lineRule="auto"/>
              <w:rPr>
                <w:rFonts w:ascii="Arial"/>
                <w:sz w:val="21"/>
              </w:rPr>
            </w:pPr>
          </w:p>
          <w:p w14:paraId="0E0A256B">
            <w:pPr>
              <w:spacing w:line="263" w:lineRule="auto"/>
              <w:rPr>
                <w:rFonts w:ascii="Arial"/>
                <w:sz w:val="21"/>
              </w:rPr>
            </w:pPr>
          </w:p>
          <w:p w14:paraId="72F028F2">
            <w:pPr>
              <w:spacing w:line="263" w:lineRule="auto"/>
              <w:rPr>
                <w:rFonts w:ascii="Arial"/>
                <w:sz w:val="21"/>
              </w:rPr>
            </w:pPr>
          </w:p>
          <w:p w14:paraId="0D07439B">
            <w:pPr>
              <w:spacing w:line="263" w:lineRule="auto"/>
              <w:rPr>
                <w:rFonts w:ascii="Arial"/>
                <w:sz w:val="21"/>
              </w:rPr>
            </w:pPr>
          </w:p>
          <w:p w14:paraId="14105717">
            <w:pPr>
              <w:pStyle w:val="8"/>
              <w:spacing w:before="58"/>
              <w:ind w:left="20" w:right="20" w:hanging="2"/>
              <w:jc w:val="both"/>
            </w:pPr>
            <w:r>
              <w:rPr>
                <w:spacing w:val="-6"/>
              </w:rPr>
              <w:t>对擅自从事道</w:t>
            </w:r>
            <w:r>
              <w:rPr>
                <w:spacing w:val="2"/>
              </w:rPr>
              <w:t xml:space="preserve"> </w:t>
            </w:r>
            <w:r>
              <w:rPr>
                <w:spacing w:val="-6"/>
              </w:rPr>
              <w:t>路货物运输经</w:t>
            </w:r>
            <w:r>
              <w:t xml:space="preserve"> </w:t>
            </w:r>
            <w:r>
              <w:rPr>
                <w:spacing w:val="4"/>
              </w:rPr>
              <w:t>营等行</w:t>
            </w:r>
            <w:r>
              <w:rPr>
                <w:spacing w:val="34"/>
              </w:rPr>
              <w:t xml:space="preserve"> </w:t>
            </w:r>
            <w:r>
              <w:rPr>
                <w:spacing w:val="4"/>
              </w:rPr>
              <w:t>为的</w:t>
            </w:r>
            <w:r>
              <w:t xml:space="preserve"> </w:t>
            </w:r>
            <w:r>
              <w:rPr>
                <w:spacing w:val="-7"/>
              </w:rPr>
              <w:t>行政处罚</w:t>
            </w:r>
          </w:p>
        </w:tc>
        <w:tc>
          <w:tcPr>
            <w:tcW w:w="1101" w:type="dxa"/>
            <w:vAlign w:val="top"/>
          </w:tcPr>
          <w:p w14:paraId="382C1A29">
            <w:pPr>
              <w:spacing w:line="249" w:lineRule="auto"/>
              <w:rPr>
                <w:rFonts w:ascii="Arial"/>
                <w:sz w:val="21"/>
              </w:rPr>
            </w:pPr>
          </w:p>
          <w:p w14:paraId="4FA7B352">
            <w:pPr>
              <w:spacing w:line="249" w:lineRule="auto"/>
              <w:rPr>
                <w:rFonts w:ascii="Arial"/>
                <w:sz w:val="21"/>
              </w:rPr>
            </w:pPr>
          </w:p>
          <w:p w14:paraId="62E2A4E2">
            <w:pPr>
              <w:spacing w:line="249" w:lineRule="auto"/>
              <w:rPr>
                <w:rFonts w:ascii="Arial"/>
                <w:sz w:val="21"/>
              </w:rPr>
            </w:pPr>
          </w:p>
          <w:p w14:paraId="5D06A087">
            <w:pPr>
              <w:spacing w:line="249" w:lineRule="auto"/>
              <w:rPr>
                <w:rFonts w:ascii="Arial"/>
                <w:sz w:val="21"/>
              </w:rPr>
            </w:pPr>
          </w:p>
          <w:p w14:paraId="69E03D07">
            <w:pPr>
              <w:spacing w:line="250" w:lineRule="auto"/>
              <w:rPr>
                <w:rFonts w:ascii="Arial"/>
                <w:sz w:val="21"/>
              </w:rPr>
            </w:pPr>
          </w:p>
          <w:p w14:paraId="61A93F06">
            <w:pPr>
              <w:spacing w:line="250" w:lineRule="auto"/>
              <w:rPr>
                <w:rFonts w:ascii="Arial"/>
                <w:sz w:val="21"/>
              </w:rPr>
            </w:pPr>
          </w:p>
          <w:p w14:paraId="08554178">
            <w:pPr>
              <w:spacing w:line="250" w:lineRule="auto"/>
              <w:rPr>
                <w:rFonts w:ascii="Arial"/>
                <w:sz w:val="21"/>
              </w:rPr>
            </w:pPr>
          </w:p>
          <w:p w14:paraId="1E6812A6">
            <w:pPr>
              <w:spacing w:line="250" w:lineRule="auto"/>
              <w:rPr>
                <w:rFonts w:ascii="Arial"/>
                <w:sz w:val="21"/>
              </w:rPr>
            </w:pPr>
          </w:p>
          <w:p w14:paraId="73138690">
            <w:pPr>
              <w:spacing w:line="250" w:lineRule="auto"/>
              <w:rPr>
                <w:rFonts w:ascii="Arial"/>
                <w:sz w:val="21"/>
              </w:rPr>
            </w:pPr>
          </w:p>
          <w:p w14:paraId="7FFDB523">
            <w:pPr>
              <w:spacing w:line="250" w:lineRule="auto"/>
              <w:rPr>
                <w:rFonts w:ascii="Arial"/>
                <w:sz w:val="21"/>
              </w:rPr>
            </w:pPr>
          </w:p>
          <w:p w14:paraId="16179808">
            <w:pPr>
              <w:spacing w:line="250" w:lineRule="auto"/>
              <w:rPr>
                <w:rFonts w:ascii="Arial"/>
                <w:sz w:val="21"/>
              </w:rPr>
            </w:pPr>
          </w:p>
          <w:p w14:paraId="54083CCE">
            <w:pPr>
              <w:pStyle w:val="8"/>
              <w:spacing w:before="59" w:line="220" w:lineRule="auto"/>
              <w:ind w:left="25"/>
            </w:pPr>
            <w:r>
              <w:rPr>
                <w:spacing w:val="-7"/>
              </w:rPr>
              <w:t>行政处罚</w:t>
            </w:r>
          </w:p>
        </w:tc>
        <w:tc>
          <w:tcPr>
            <w:tcW w:w="8524" w:type="dxa"/>
            <w:vAlign w:val="top"/>
          </w:tcPr>
          <w:p w14:paraId="0B9EA33A">
            <w:pPr>
              <w:pStyle w:val="8"/>
              <w:spacing w:before="132" w:line="219" w:lineRule="auto"/>
              <w:ind w:left="458"/>
            </w:pPr>
            <w:r>
              <w:rPr>
                <w:b/>
                <w:bCs/>
                <w:spacing w:val="-10"/>
              </w:rPr>
              <w:t>1.《中华人民共和国道路运输条例》</w:t>
            </w:r>
          </w:p>
          <w:p w14:paraId="20DEECD9">
            <w:pPr>
              <w:pStyle w:val="8"/>
              <w:spacing w:before="56" w:line="270" w:lineRule="auto"/>
              <w:ind w:left="116" w:right="150" w:firstLine="328"/>
              <w:jc w:val="both"/>
            </w:pPr>
            <w:r>
              <w:rPr>
                <w:spacing w:val="-8"/>
              </w:rPr>
              <w:t>第二十四条  申请从事货运经营的，应当依法向市场监督管理部门办理有关登记手续后，按照下列规定提</w:t>
            </w:r>
            <w:r>
              <w:t xml:space="preserve"> </w:t>
            </w:r>
            <w:r>
              <w:rPr>
                <w:spacing w:val="-8"/>
              </w:rPr>
              <w:t>出申请并分别提交符合本条例第二十一条、第二十三条规定条件的相关材料：(一)从事危险</w:t>
            </w:r>
            <w:r>
              <w:rPr>
                <w:spacing w:val="-9"/>
              </w:rPr>
              <w:t>货物运输经营以外</w:t>
            </w:r>
            <w:r>
              <w:t xml:space="preserve"> </w:t>
            </w:r>
            <w:r>
              <w:rPr>
                <w:spacing w:val="-8"/>
              </w:rPr>
              <w:t>的货运经营的，向县级人民政府交通运输主管部门提出申请；(二)从事危险货物运输经营的</w:t>
            </w:r>
            <w:r>
              <w:rPr>
                <w:spacing w:val="-9"/>
              </w:rPr>
              <w:t>，向设区的市级</w:t>
            </w:r>
            <w:r>
              <w:rPr>
                <w:rFonts w:hint="eastAsia"/>
                <w:spacing w:val="-9"/>
                <w:lang w:eastAsia="zh-CN"/>
              </w:rPr>
              <w:t>人民政府</w:t>
            </w:r>
            <w:r>
              <w:rPr>
                <w:spacing w:val="-9"/>
              </w:rPr>
              <w:t>交通运输主管部门提出申请。</w:t>
            </w:r>
          </w:p>
          <w:p w14:paraId="052D7331">
            <w:pPr>
              <w:pStyle w:val="8"/>
              <w:spacing w:before="27" w:line="268" w:lineRule="auto"/>
              <w:ind w:left="102" w:right="150" w:firstLine="343"/>
            </w:pPr>
            <w:r>
              <w:rPr>
                <w:spacing w:val="-8"/>
              </w:rPr>
              <w:t>依照前款规定收到申请的交通运输主管部门，应当自受理申请之日起20日内审查完毕，作出许可或者不予</w:t>
            </w:r>
            <w:r>
              <w:rPr>
                <w:spacing w:val="6"/>
              </w:rPr>
              <w:t xml:space="preserve"> </w:t>
            </w:r>
            <w:r>
              <w:rPr>
                <w:spacing w:val="-8"/>
              </w:rPr>
              <w:t>许可的决定。予以许可的，向申请人颁发道路运输经营许可证，并向申请人投入运输的车辆配发车辆营运</w:t>
            </w:r>
            <w:r>
              <w:rPr>
                <w:spacing w:val="-9"/>
              </w:rPr>
              <w:t>证；</w:t>
            </w:r>
            <w:r>
              <w:t xml:space="preserve"> </w:t>
            </w:r>
            <w:r>
              <w:rPr>
                <w:spacing w:val="-8"/>
              </w:rPr>
              <w:t>不予许可的，应当书面通知申请人并说明理由。</w:t>
            </w:r>
          </w:p>
          <w:p w14:paraId="0238E334">
            <w:pPr>
              <w:pStyle w:val="8"/>
              <w:spacing w:before="25" w:line="265" w:lineRule="auto"/>
              <w:ind w:left="102" w:right="150" w:firstLine="343"/>
            </w:pPr>
            <w:r>
              <w:rPr>
                <w:spacing w:val="-8"/>
              </w:rPr>
              <w:t>使用总质量4500千克及以下普通货运车辆从事普通货运经营的，无需按照本条规定申请取得道路运输经营</w:t>
            </w:r>
            <w:r>
              <w:rPr>
                <w:spacing w:val="15"/>
              </w:rPr>
              <w:t xml:space="preserve"> </w:t>
            </w:r>
            <w:r>
              <w:rPr>
                <w:spacing w:val="-8"/>
              </w:rPr>
              <w:t>许可证及车辆营运证。</w:t>
            </w:r>
          </w:p>
          <w:p w14:paraId="679E291C">
            <w:pPr>
              <w:pStyle w:val="8"/>
              <w:spacing w:before="22" w:line="271" w:lineRule="auto"/>
              <w:ind w:left="102" w:right="88" w:firstLine="342"/>
              <w:jc w:val="both"/>
            </w:pPr>
            <w:r>
              <w:rPr>
                <w:spacing w:val="-8"/>
              </w:rPr>
              <w:t>第六十三条第（一）项</w:t>
            </w:r>
            <w:r>
              <w:rPr>
                <w:spacing w:val="74"/>
              </w:rPr>
              <w:t xml:space="preserve"> </w:t>
            </w:r>
            <w:r>
              <w:rPr>
                <w:spacing w:val="-8"/>
              </w:rPr>
              <w:t>违反本条例的规定，有下列情形之一的，由县级以上地方人民政府交通运输主管</w:t>
            </w:r>
            <w:r>
              <w:t xml:space="preserve"> </w:t>
            </w:r>
            <w:r>
              <w:rPr>
                <w:spacing w:val="-8"/>
              </w:rPr>
              <w:t>部门责令停止经营，并处罚款；构成犯罪的，依法追究刑事责任：(一)未取得道路运输经营许可，擅自从事道</w:t>
            </w:r>
            <w:r>
              <w:rPr>
                <w:spacing w:val="8"/>
              </w:rPr>
              <w:t xml:space="preserve"> </w:t>
            </w:r>
            <w:r>
              <w:rPr>
                <w:spacing w:val="-8"/>
              </w:rPr>
              <w:t>路普通货物运输经营，违法所得超过1万元的，没收违法所得，处违法所得1倍以</w:t>
            </w:r>
            <w:r>
              <w:rPr>
                <w:spacing w:val="-9"/>
              </w:rPr>
              <w:t>上5倍以下的罚款；没有违法所</w:t>
            </w:r>
            <w:r>
              <w:t xml:space="preserve"> </w:t>
            </w:r>
            <w:r>
              <w:rPr>
                <w:spacing w:val="-7"/>
              </w:rPr>
              <w:t>得或者违法所得不足1万元的，处3000元以上1万元以下的罚款，情节严重的，处1万</w:t>
            </w:r>
            <w:r>
              <w:rPr>
                <w:spacing w:val="-8"/>
              </w:rPr>
              <w:t>元以上5万元以下的罚款；</w:t>
            </w:r>
          </w:p>
          <w:p w14:paraId="36E8518B">
            <w:pPr>
              <w:pStyle w:val="8"/>
              <w:spacing w:before="23" w:line="219" w:lineRule="auto"/>
              <w:ind w:left="447"/>
            </w:pPr>
            <w:r>
              <w:rPr>
                <w:b/>
                <w:bCs/>
                <w:spacing w:val="-8"/>
              </w:rPr>
              <w:t>2.《道路货物运输及站场管理规定》(交通运输部令2023年第12号)</w:t>
            </w:r>
          </w:p>
          <w:p w14:paraId="7EEC86DF">
            <w:pPr>
              <w:pStyle w:val="8"/>
              <w:spacing w:before="59" w:line="272" w:lineRule="auto"/>
              <w:ind w:left="101" w:right="46" w:firstLine="343"/>
              <w:jc w:val="both"/>
            </w:pPr>
            <w:r>
              <w:rPr>
                <w:spacing w:val="-11"/>
              </w:rPr>
              <w:t>第六十一条</w:t>
            </w:r>
            <w:r>
              <w:rPr>
                <w:spacing w:val="73"/>
              </w:rPr>
              <w:t xml:space="preserve"> </w:t>
            </w:r>
            <w:r>
              <w:rPr>
                <w:spacing w:val="-11"/>
              </w:rPr>
              <w:t>违反本规定，有下列行为之一的，由交通运输主管部门责令停止经营；违法所得超过1万元的，</w:t>
            </w:r>
            <w:r>
              <w:t xml:space="preserve"> </w:t>
            </w:r>
            <w:r>
              <w:rPr>
                <w:spacing w:val="-7"/>
              </w:rPr>
              <w:t>没收违法所得，处违法所得1倍以上5倍以下的罚款；没有违法</w:t>
            </w:r>
            <w:r>
              <w:rPr>
                <w:spacing w:val="-8"/>
              </w:rPr>
              <w:t>所得或者违法所得不足1万元的，处3000元以上1</w:t>
            </w:r>
            <w:r>
              <w:t xml:space="preserve">  </w:t>
            </w:r>
            <w:r>
              <w:rPr>
                <w:spacing w:val="-7"/>
              </w:rPr>
              <w:t>万元以下的罚款，情节严重的，处1万元以上5万元以下的罚款；构成犯罪的</w:t>
            </w:r>
            <w:r>
              <w:rPr>
                <w:spacing w:val="-8"/>
              </w:rPr>
              <w:t>，依法追究刑事责任</w:t>
            </w:r>
            <w:r>
              <w:rPr>
                <w:spacing w:val="-22"/>
              </w:rPr>
              <w:t>：（</w:t>
            </w:r>
            <w:r>
              <w:rPr>
                <w:spacing w:val="-8"/>
              </w:rPr>
              <w:t>一）未按</w:t>
            </w:r>
            <w:r>
              <w:t xml:space="preserve">  </w:t>
            </w:r>
            <w:r>
              <w:rPr>
                <w:spacing w:val="-7"/>
              </w:rPr>
              <w:t>规定取得道路货物运输经营许可，擅自从事道路普通货</w:t>
            </w:r>
            <w:r>
              <w:rPr>
                <w:spacing w:val="-8"/>
              </w:rPr>
              <w:t>物运输经营的</w:t>
            </w:r>
            <w:r>
              <w:rPr>
                <w:spacing w:val="-21"/>
              </w:rPr>
              <w:t>；（</w:t>
            </w:r>
            <w:r>
              <w:rPr>
                <w:spacing w:val="-8"/>
              </w:rPr>
              <w:t>二）使用失效、伪造、变造、被注销</w:t>
            </w:r>
            <w:r>
              <w:t xml:space="preserve">  </w:t>
            </w:r>
            <w:r>
              <w:rPr>
                <w:spacing w:val="-7"/>
              </w:rPr>
              <w:t>等无效的道路运输经营许可证件从事道路普通货物运输</w:t>
            </w:r>
            <w:r>
              <w:rPr>
                <w:spacing w:val="-8"/>
              </w:rPr>
              <w:t>经营的</w:t>
            </w:r>
            <w:r>
              <w:rPr>
                <w:spacing w:val="-21"/>
              </w:rPr>
              <w:t>；（</w:t>
            </w:r>
            <w:r>
              <w:rPr>
                <w:spacing w:val="-8"/>
              </w:rPr>
              <w:t>三）超越许可的事项，从事道路普通货物运</w:t>
            </w:r>
            <w:r>
              <w:t xml:space="preserve">  </w:t>
            </w:r>
            <w:r>
              <w:rPr>
                <w:spacing w:val="-7"/>
              </w:rPr>
              <w:t>输经营的。</w:t>
            </w:r>
          </w:p>
        </w:tc>
        <w:tc>
          <w:tcPr>
            <w:tcW w:w="1011" w:type="dxa"/>
            <w:vAlign w:val="top"/>
          </w:tcPr>
          <w:p w14:paraId="2F856DC8">
            <w:pPr>
              <w:spacing w:line="262" w:lineRule="auto"/>
              <w:rPr>
                <w:rFonts w:ascii="Arial"/>
                <w:sz w:val="21"/>
              </w:rPr>
            </w:pPr>
          </w:p>
          <w:p w14:paraId="58809BDF">
            <w:pPr>
              <w:spacing w:line="262" w:lineRule="auto"/>
              <w:rPr>
                <w:rFonts w:ascii="Arial"/>
                <w:sz w:val="21"/>
              </w:rPr>
            </w:pPr>
          </w:p>
          <w:p w14:paraId="557ADB2D">
            <w:pPr>
              <w:spacing w:line="262" w:lineRule="auto"/>
              <w:rPr>
                <w:rFonts w:ascii="Arial"/>
                <w:sz w:val="21"/>
              </w:rPr>
            </w:pPr>
          </w:p>
          <w:p w14:paraId="1C651816">
            <w:pPr>
              <w:spacing w:line="263" w:lineRule="auto"/>
              <w:rPr>
                <w:rFonts w:ascii="Arial"/>
                <w:sz w:val="21"/>
              </w:rPr>
            </w:pPr>
          </w:p>
          <w:p w14:paraId="18E976F3">
            <w:pPr>
              <w:spacing w:line="263" w:lineRule="auto"/>
              <w:rPr>
                <w:rFonts w:ascii="Arial"/>
                <w:sz w:val="21"/>
              </w:rPr>
            </w:pPr>
          </w:p>
          <w:p w14:paraId="1DC576DE">
            <w:pPr>
              <w:spacing w:line="263" w:lineRule="auto"/>
              <w:rPr>
                <w:rFonts w:ascii="Arial"/>
                <w:sz w:val="21"/>
              </w:rPr>
            </w:pPr>
          </w:p>
          <w:p w14:paraId="3DD45518">
            <w:pPr>
              <w:spacing w:line="263" w:lineRule="auto"/>
              <w:rPr>
                <w:rFonts w:ascii="Arial"/>
                <w:sz w:val="21"/>
              </w:rPr>
            </w:pPr>
          </w:p>
          <w:p w14:paraId="59674C56">
            <w:pPr>
              <w:spacing w:line="263" w:lineRule="auto"/>
              <w:rPr>
                <w:rFonts w:ascii="Arial"/>
                <w:sz w:val="21"/>
              </w:rPr>
            </w:pPr>
          </w:p>
          <w:p w14:paraId="1A57E1B4">
            <w:pPr>
              <w:spacing w:line="263" w:lineRule="auto"/>
              <w:rPr>
                <w:rFonts w:ascii="Arial"/>
                <w:sz w:val="21"/>
              </w:rPr>
            </w:pPr>
          </w:p>
          <w:p w14:paraId="297A256A">
            <w:pPr>
              <w:spacing w:line="263" w:lineRule="auto"/>
              <w:rPr>
                <w:rFonts w:ascii="Arial"/>
                <w:sz w:val="21"/>
              </w:rPr>
            </w:pPr>
          </w:p>
          <w:p w14:paraId="058FC266">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3A47D45E">
            <w:pPr>
              <w:spacing w:line="262" w:lineRule="auto"/>
              <w:rPr>
                <w:rFonts w:ascii="Arial"/>
                <w:sz w:val="21"/>
              </w:rPr>
            </w:pPr>
          </w:p>
          <w:p w14:paraId="293235AB">
            <w:pPr>
              <w:spacing w:line="262" w:lineRule="auto"/>
              <w:rPr>
                <w:rFonts w:ascii="Arial"/>
                <w:sz w:val="21"/>
              </w:rPr>
            </w:pPr>
          </w:p>
          <w:p w14:paraId="5266441E">
            <w:pPr>
              <w:spacing w:line="262" w:lineRule="auto"/>
              <w:rPr>
                <w:rFonts w:ascii="Arial"/>
                <w:sz w:val="21"/>
              </w:rPr>
            </w:pPr>
          </w:p>
          <w:p w14:paraId="7A7CF09B">
            <w:pPr>
              <w:spacing w:line="263" w:lineRule="auto"/>
              <w:rPr>
                <w:rFonts w:ascii="Arial"/>
                <w:sz w:val="21"/>
              </w:rPr>
            </w:pPr>
          </w:p>
          <w:p w14:paraId="23416096">
            <w:pPr>
              <w:spacing w:line="263" w:lineRule="auto"/>
              <w:rPr>
                <w:rFonts w:ascii="Arial"/>
                <w:sz w:val="21"/>
              </w:rPr>
            </w:pPr>
          </w:p>
          <w:p w14:paraId="59206558">
            <w:pPr>
              <w:spacing w:line="263" w:lineRule="auto"/>
              <w:rPr>
                <w:rFonts w:ascii="Arial"/>
                <w:sz w:val="21"/>
              </w:rPr>
            </w:pPr>
          </w:p>
          <w:p w14:paraId="7C015BEA">
            <w:pPr>
              <w:spacing w:line="263" w:lineRule="auto"/>
              <w:rPr>
                <w:rFonts w:ascii="Arial"/>
                <w:sz w:val="21"/>
              </w:rPr>
            </w:pPr>
          </w:p>
          <w:p w14:paraId="217F47A9">
            <w:pPr>
              <w:spacing w:line="263" w:lineRule="auto"/>
              <w:rPr>
                <w:rFonts w:ascii="Arial"/>
                <w:sz w:val="21"/>
              </w:rPr>
            </w:pPr>
          </w:p>
          <w:p w14:paraId="0E10864F">
            <w:pPr>
              <w:spacing w:line="263" w:lineRule="auto"/>
              <w:rPr>
                <w:rFonts w:ascii="Arial"/>
                <w:sz w:val="21"/>
              </w:rPr>
            </w:pPr>
          </w:p>
          <w:p w14:paraId="0D595990">
            <w:pPr>
              <w:spacing w:line="263" w:lineRule="auto"/>
              <w:rPr>
                <w:rFonts w:ascii="Arial"/>
                <w:sz w:val="21"/>
              </w:rPr>
            </w:pPr>
          </w:p>
          <w:p w14:paraId="18D7D0D2">
            <w:pPr>
              <w:pStyle w:val="8"/>
              <w:spacing w:before="58"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66D612DF">
            <w:pPr>
              <w:spacing w:line="265" w:lineRule="auto"/>
              <w:rPr>
                <w:rFonts w:ascii="Arial"/>
                <w:sz w:val="21"/>
              </w:rPr>
            </w:pPr>
          </w:p>
          <w:p w14:paraId="122D565D">
            <w:pPr>
              <w:spacing w:line="265" w:lineRule="auto"/>
              <w:rPr>
                <w:rFonts w:ascii="Arial"/>
                <w:sz w:val="21"/>
              </w:rPr>
            </w:pPr>
          </w:p>
          <w:p w14:paraId="0E37AF3B">
            <w:pPr>
              <w:spacing w:line="265" w:lineRule="auto"/>
              <w:rPr>
                <w:rFonts w:ascii="Arial"/>
                <w:sz w:val="21"/>
              </w:rPr>
            </w:pPr>
          </w:p>
          <w:p w14:paraId="27D6DB80">
            <w:pPr>
              <w:spacing w:line="265" w:lineRule="auto"/>
              <w:rPr>
                <w:rFonts w:ascii="Arial"/>
                <w:sz w:val="21"/>
              </w:rPr>
            </w:pPr>
          </w:p>
          <w:p w14:paraId="65F8AE4D">
            <w:pPr>
              <w:spacing w:line="266" w:lineRule="auto"/>
              <w:rPr>
                <w:rFonts w:ascii="Arial"/>
                <w:sz w:val="21"/>
              </w:rPr>
            </w:pPr>
          </w:p>
          <w:p w14:paraId="675174A5">
            <w:pPr>
              <w:spacing w:line="266" w:lineRule="auto"/>
              <w:rPr>
                <w:rFonts w:ascii="Arial"/>
                <w:sz w:val="21"/>
              </w:rPr>
            </w:pPr>
          </w:p>
          <w:p w14:paraId="156EBE21">
            <w:pPr>
              <w:spacing w:line="266" w:lineRule="auto"/>
              <w:rPr>
                <w:rFonts w:ascii="Arial"/>
                <w:sz w:val="21"/>
              </w:rPr>
            </w:pPr>
          </w:p>
          <w:p w14:paraId="3D57CE7F">
            <w:pPr>
              <w:spacing w:line="266" w:lineRule="auto"/>
              <w:rPr>
                <w:rFonts w:ascii="Arial"/>
                <w:sz w:val="21"/>
              </w:rPr>
            </w:pPr>
          </w:p>
          <w:p w14:paraId="1192F68A">
            <w:pPr>
              <w:spacing w:line="266" w:lineRule="auto"/>
              <w:rPr>
                <w:rFonts w:ascii="Arial"/>
                <w:sz w:val="21"/>
              </w:rPr>
            </w:pPr>
          </w:p>
          <w:p w14:paraId="3E79A93A">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1B6E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8" w:hRule="atLeast"/>
        </w:trPr>
        <w:tc>
          <w:tcPr>
            <w:tcW w:w="629" w:type="dxa"/>
            <w:vAlign w:val="top"/>
          </w:tcPr>
          <w:p w14:paraId="1E114C32">
            <w:pPr>
              <w:spacing w:line="276" w:lineRule="auto"/>
              <w:rPr>
                <w:rFonts w:ascii="Arial"/>
                <w:sz w:val="21"/>
              </w:rPr>
            </w:pPr>
          </w:p>
          <w:p w14:paraId="44E28A30">
            <w:pPr>
              <w:spacing w:line="276" w:lineRule="auto"/>
              <w:rPr>
                <w:rFonts w:ascii="Arial"/>
                <w:sz w:val="21"/>
              </w:rPr>
            </w:pPr>
          </w:p>
          <w:p w14:paraId="711C8A5E">
            <w:pPr>
              <w:spacing w:line="276" w:lineRule="auto"/>
              <w:rPr>
                <w:rFonts w:ascii="Arial"/>
                <w:sz w:val="21"/>
              </w:rPr>
            </w:pPr>
          </w:p>
          <w:p w14:paraId="1395FD47">
            <w:pPr>
              <w:spacing w:line="276" w:lineRule="auto"/>
              <w:rPr>
                <w:rFonts w:ascii="Arial"/>
                <w:sz w:val="21"/>
              </w:rPr>
            </w:pPr>
          </w:p>
          <w:p w14:paraId="582AF98C">
            <w:pPr>
              <w:spacing w:line="276" w:lineRule="auto"/>
              <w:rPr>
                <w:rFonts w:ascii="Arial"/>
                <w:sz w:val="21"/>
              </w:rPr>
            </w:pPr>
          </w:p>
          <w:p w14:paraId="44FD85BF">
            <w:pPr>
              <w:pStyle w:val="8"/>
              <w:spacing w:before="58" w:line="184" w:lineRule="auto"/>
              <w:ind w:left="234"/>
              <w:rPr>
                <w:rFonts w:hint="eastAsia" w:eastAsia="宋体"/>
                <w:lang w:eastAsia="zh-CN"/>
              </w:rPr>
            </w:pPr>
            <w:r>
              <w:rPr>
                <w:spacing w:val="-10"/>
              </w:rPr>
              <w:t>1</w:t>
            </w:r>
            <w:r>
              <w:rPr>
                <w:rFonts w:hint="eastAsia"/>
                <w:spacing w:val="-10"/>
                <w:lang w:val="en-US" w:eastAsia="zh-CN"/>
              </w:rPr>
              <w:t>0</w:t>
            </w:r>
          </w:p>
        </w:tc>
        <w:tc>
          <w:tcPr>
            <w:tcW w:w="1101" w:type="dxa"/>
            <w:vAlign w:val="top"/>
          </w:tcPr>
          <w:p w14:paraId="7921DC36">
            <w:pPr>
              <w:spacing w:line="248" w:lineRule="auto"/>
              <w:rPr>
                <w:rFonts w:ascii="Arial"/>
                <w:sz w:val="21"/>
              </w:rPr>
            </w:pPr>
          </w:p>
          <w:p w14:paraId="0E960147">
            <w:pPr>
              <w:spacing w:line="248" w:lineRule="auto"/>
              <w:rPr>
                <w:rFonts w:ascii="Arial"/>
                <w:sz w:val="21"/>
              </w:rPr>
            </w:pPr>
          </w:p>
          <w:p w14:paraId="51E22F41">
            <w:pPr>
              <w:spacing w:line="249" w:lineRule="auto"/>
              <w:rPr>
                <w:rFonts w:ascii="Arial"/>
                <w:sz w:val="21"/>
              </w:rPr>
            </w:pPr>
          </w:p>
          <w:p w14:paraId="0529EF0A">
            <w:pPr>
              <w:spacing w:line="249" w:lineRule="auto"/>
              <w:rPr>
                <w:rFonts w:ascii="Arial"/>
                <w:sz w:val="21"/>
              </w:rPr>
            </w:pPr>
          </w:p>
          <w:p w14:paraId="62FD4B2F">
            <w:pPr>
              <w:pStyle w:val="8"/>
              <w:spacing w:before="59"/>
              <w:ind w:left="18" w:right="20"/>
              <w:jc w:val="both"/>
            </w:pPr>
            <w:r>
              <w:rPr>
                <w:spacing w:val="-6"/>
              </w:rPr>
              <w:t>对擅自从事道</w:t>
            </w:r>
            <w:r>
              <w:rPr>
                <w:spacing w:val="2"/>
              </w:rPr>
              <w:t xml:space="preserve"> </w:t>
            </w:r>
            <w:r>
              <w:rPr>
                <w:spacing w:val="-6"/>
              </w:rPr>
              <w:t>路旅客运输经</w:t>
            </w:r>
            <w:r>
              <w:rPr>
                <w:spacing w:val="2"/>
              </w:rPr>
              <w:t xml:space="preserve"> </w:t>
            </w:r>
            <w:r>
              <w:rPr>
                <w:spacing w:val="-6"/>
              </w:rPr>
              <w:t>营等行为的行</w:t>
            </w:r>
            <w:r>
              <w:rPr>
                <w:spacing w:val="2"/>
              </w:rPr>
              <w:t xml:space="preserve"> </w:t>
            </w:r>
            <w:r>
              <w:rPr>
                <w:spacing w:val="-5"/>
              </w:rPr>
              <w:t>政处罚</w:t>
            </w:r>
          </w:p>
        </w:tc>
        <w:tc>
          <w:tcPr>
            <w:tcW w:w="1101" w:type="dxa"/>
            <w:vAlign w:val="top"/>
          </w:tcPr>
          <w:p w14:paraId="7B69B005">
            <w:pPr>
              <w:spacing w:line="270" w:lineRule="auto"/>
              <w:rPr>
                <w:rFonts w:ascii="Arial"/>
                <w:sz w:val="21"/>
              </w:rPr>
            </w:pPr>
          </w:p>
          <w:p w14:paraId="3F3B6B88">
            <w:pPr>
              <w:spacing w:line="270" w:lineRule="auto"/>
              <w:rPr>
                <w:rFonts w:ascii="Arial"/>
                <w:sz w:val="21"/>
              </w:rPr>
            </w:pPr>
          </w:p>
          <w:p w14:paraId="72DC6F90">
            <w:pPr>
              <w:spacing w:line="270" w:lineRule="auto"/>
              <w:rPr>
                <w:rFonts w:ascii="Arial"/>
                <w:sz w:val="21"/>
              </w:rPr>
            </w:pPr>
          </w:p>
          <w:p w14:paraId="3C2514D6">
            <w:pPr>
              <w:spacing w:line="271" w:lineRule="auto"/>
              <w:rPr>
                <w:rFonts w:ascii="Arial"/>
                <w:sz w:val="21"/>
              </w:rPr>
            </w:pPr>
          </w:p>
          <w:p w14:paraId="26E6B058">
            <w:pPr>
              <w:spacing w:line="271" w:lineRule="auto"/>
              <w:rPr>
                <w:rFonts w:ascii="Arial"/>
                <w:sz w:val="21"/>
              </w:rPr>
            </w:pPr>
          </w:p>
          <w:p w14:paraId="4CE3A273">
            <w:pPr>
              <w:pStyle w:val="8"/>
              <w:spacing w:before="59" w:line="220" w:lineRule="auto"/>
              <w:ind w:left="25"/>
            </w:pPr>
            <w:r>
              <w:rPr>
                <w:spacing w:val="-7"/>
              </w:rPr>
              <w:t>行政处罚</w:t>
            </w:r>
          </w:p>
        </w:tc>
        <w:tc>
          <w:tcPr>
            <w:tcW w:w="8524" w:type="dxa"/>
            <w:vAlign w:val="top"/>
          </w:tcPr>
          <w:p w14:paraId="67EB8B5E">
            <w:pPr>
              <w:pStyle w:val="8"/>
              <w:spacing w:before="37" w:line="219" w:lineRule="auto"/>
              <w:ind w:left="458"/>
            </w:pPr>
            <w:r>
              <w:rPr>
                <w:b/>
                <w:bCs/>
                <w:spacing w:val="-10"/>
              </w:rPr>
              <w:t>1.《中华人民共和国道路运输条例》</w:t>
            </w:r>
          </w:p>
          <w:p w14:paraId="1B44363B">
            <w:pPr>
              <w:pStyle w:val="8"/>
              <w:spacing w:before="13" w:line="233" w:lineRule="auto"/>
              <w:ind w:left="100" w:right="148" w:firstLine="344"/>
            </w:pPr>
            <w:r>
              <w:rPr>
                <w:spacing w:val="-8"/>
              </w:rPr>
              <w:t>第十条  申请从事客运经营的，应当依法向市场监督管理部门办理有关登记手续后，按照下列规定提出申</w:t>
            </w:r>
            <w:r>
              <w:t xml:space="preserve"> </w:t>
            </w:r>
            <w:r>
              <w:rPr>
                <w:spacing w:val="-8"/>
              </w:rPr>
              <w:t>请并提交符合本条例第八条规定条件的相关材料：(一)从事县级行政区域内和毗邻县行政区域间客运经营的，</w:t>
            </w:r>
            <w:r>
              <w:rPr>
                <w:spacing w:val="10"/>
              </w:rPr>
              <w:t xml:space="preserve"> </w:t>
            </w:r>
            <w:r>
              <w:rPr>
                <w:spacing w:val="-8"/>
              </w:rPr>
              <w:t>向所在地县级人民政府交通运输主管部门提出申请；(二)从事省际、市际、县际(除毗邻县行政区域间外)客运</w:t>
            </w:r>
            <w:r>
              <w:rPr>
                <w:spacing w:val="18"/>
              </w:rPr>
              <w:t xml:space="preserve"> </w:t>
            </w:r>
            <w:r>
              <w:rPr>
                <w:spacing w:val="-8"/>
              </w:rPr>
              <w:t>经营的，向所在地设区的市级人民政府交通运输主管部门提出申请；(三)在直辖市申请从事客运经营的，向所</w:t>
            </w:r>
            <w:r>
              <w:rPr>
                <w:spacing w:val="8"/>
              </w:rPr>
              <w:t xml:space="preserve"> </w:t>
            </w:r>
            <w:r>
              <w:rPr>
                <w:spacing w:val="-8"/>
              </w:rPr>
              <w:t>在地直辖市人民政府确定的交通运输主管部门提出申请。</w:t>
            </w:r>
          </w:p>
          <w:p w14:paraId="66773713">
            <w:pPr>
              <w:pStyle w:val="8"/>
              <w:spacing w:before="16" w:line="230" w:lineRule="auto"/>
              <w:ind w:left="102" w:right="150" w:firstLine="343"/>
            </w:pPr>
            <w:r>
              <w:rPr>
                <w:spacing w:val="-8"/>
              </w:rPr>
              <w:t>依照前款规定收到申请的交通运输主管部门，应当自受理申请之日起20日内审查完毕，作出许可或者不予</w:t>
            </w:r>
            <w:r>
              <w:rPr>
                <w:spacing w:val="6"/>
              </w:rPr>
              <w:t xml:space="preserve"> </w:t>
            </w:r>
            <w:r>
              <w:rPr>
                <w:spacing w:val="-8"/>
              </w:rPr>
              <w:t>许可的决定。予以许可的，向申请人颁发道路运输经营许可证，并向申请人投入运输的车辆配发车辆营运</w:t>
            </w:r>
            <w:r>
              <w:rPr>
                <w:spacing w:val="-9"/>
              </w:rPr>
              <w:t>证；</w:t>
            </w:r>
            <w:r>
              <w:t xml:space="preserve"> </w:t>
            </w:r>
            <w:r>
              <w:rPr>
                <w:spacing w:val="-8"/>
              </w:rPr>
              <w:t>不予许可的，应当书面通知申请人并说明理由。</w:t>
            </w:r>
          </w:p>
          <w:p w14:paraId="07E94EEA">
            <w:pPr>
              <w:pStyle w:val="8"/>
              <w:spacing w:before="17" w:line="226" w:lineRule="auto"/>
              <w:ind w:left="101" w:right="150" w:firstLine="343"/>
              <w:jc w:val="both"/>
            </w:pPr>
            <w:r>
              <w:rPr>
                <w:spacing w:val="-8"/>
              </w:rPr>
              <w:t>对从事省际和市际客运经营的申请，收到申请的交通运输主管部门依照本条第二款规定颁发道路运输经营</w:t>
            </w:r>
            <w:r>
              <w:t xml:space="preserve"> </w:t>
            </w:r>
            <w:r>
              <w:rPr>
                <w:spacing w:val="-8"/>
              </w:rPr>
              <w:t>许可证前，应当与运输线路目的地的相应交通运输主管部门协商，协商不成的，应当按程序报省、自治区、直</w:t>
            </w:r>
            <w:r>
              <w:t xml:space="preserve"> </w:t>
            </w:r>
            <w:r>
              <w:rPr>
                <w:spacing w:val="-8"/>
              </w:rPr>
              <w:t>辖市人民政府交通运输主管部门协商决定。对从事设区的市内毗邻县客运经营的申请，有关交通运输主管部门</w:t>
            </w:r>
            <w:r>
              <w:t xml:space="preserve"> </w:t>
            </w:r>
            <w:r>
              <w:rPr>
                <w:spacing w:val="-8"/>
              </w:rPr>
              <w:t>应当进行协商，协商不成的，报所在地市级人民政府交通运输主管部门决定。</w:t>
            </w:r>
          </w:p>
        </w:tc>
        <w:tc>
          <w:tcPr>
            <w:tcW w:w="1011" w:type="dxa"/>
            <w:vAlign w:val="top"/>
          </w:tcPr>
          <w:p w14:paraId="6C64BAC9">
            <w:pPr>
              <w:spacing w:line="246" w:lineRule="auto"/>
              <w:rPr>
                <w:rFonts w:ascii="Arial"/>
                <w:sz w:val="21"/>
              </w:rPr>
            </w:pPr>
          </w:p>
          <w:p w14:paraId="187A1739">
            <w:pPr>
              <w:spacing w:line="246" w:lineRule="auto"/>
              <w:rPr>
                <w:rFonts w:ascii="Arial"/>
                <w:sz w:val="21"/>
              </w:rPr>
            </w:pPr>
          </w:p>
          <w:p w14:paraId="3335A5A7">
            <w:pPr>
              <w:spacing w:line="247" w:lineRule="auto"/>
              <w:rPr>
                <w:rFonts w:ascii="Arial"/>
                <w:sz w:val="21"/>
              </w:rPr>
            </w:pPr>
          </w:p>
          <w:p w14:paraId="154050EC">
            <w:pPr>
              <w:spacing w:line="247" w:lineRule="auto"/>
              <w:rPr>
                <w:rFonts w:ascii="Arial"/>
                <w:sz w:val="21"/>
              </w:rPr>
            </w:pPr>
          </w:p>
          <w:p w14:paraId="5054836D">
            <w:pPr>
              <w:spacing w:line="247" w:lineRule="auto"/>
              <w:rPr>
                <w:rFonts w:ascii="Arial"/>
                <w:sz w:val="21"/>
              </w:rPr>
            </w:pPr>
          </w:p>
          <w:p w14:paraId="275AEA2E">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70A6D2E2">
            <w:pPr>
              <w:spacing w:line="246" w:lineRule="auto"/>
              <w:rPr>
                <w:rFonts w:ascii="Arial"/>
                <w:sz w:val="21"/>
              </w:rPr>
            </w:pPr>
          </w:p>
          <w:p w14:paraId="21B3C462">
            <w:pPr>
              <w:spacing w:line="246" w:lineRule="auto"/>
              <w:rPr>
                <w:rFonts w:ascii="Arial"/>
                <w:sz w:val="21"/>
              </w:rPr>
            </w:pPr>
          </w:p>
          <w:p w14:paraId="3B7F6E6E">
            <w:pPr>
              <w:spacing w:line="247" w:lineRule="auto"/>
              <w:rPr>
                <w:rFonts w:ascii="Arial"/>
                <w:sz w:val="21"/>
              </w:rPr>
            </w:pPr>
          </w:p>
          <w:p w14:paraId="24D2F421">
            <w:pPr>
              <w:spacing w:line="247" w:lineRule="auto"/>
              <w:rPr>
                <w:rFonts w:ascii="Arial"/>
                <w:sz w:val="21"/>
              </w:rPr>
            </w:pPr>
          </w:p>
          <w:p w14:paraId="49ECDA65">
            <w:pPr>
              <w:spacing w:line="247" w:lineRule="auto"/>
              <w:rPr>
                <w:rFonts w:ascii="Arial"/>
                <w:sz w:val="21"/>
              </w:rPr>
            </w:pPr>
          </w:p>
          <w:p w14:paraId="450CF64E">
            <w:pPr>
              <w:pStyle w:val="8"/>
              <w:spacing w:before="59"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570DBDA9">
            <w:pPr>
              <w:spacing w:line="249" w:lineRule="auto"/>
              <w:rPr>
                <w:rFonts w:ascii="Arial"/>
                <w:sz w:val="21"/>
              </w:rPr>
            </w:pPr>
          </w:p>
          <w:p w14:paraId="312F3A89">
            <w:pPr>
              <w:spacing w:line="249" w:lineRule="auto"/>
              <w:rPr>
                <w:rFonts w:ascii="Arial"/>
                <w:sz w:val="21"/>
              </w:rPr>
            </w:pPr>
          </w:p>
          <w:p w14:paraId="421C82B1">
            <w:pPr>
              <w:spacing w:line="249" w:lineRule="auto"/>
              <w:rPr>
                <w:rFonts w:ascii="Arial"/>
                <w:sz w:val="21"/>
              </w:rPr>
            </w:pPr>
          </w:p>
          <w:p w14:paraId="07EF933F">
            <w:pPr>
              <w:spacing w:line="249" w:lineRule="auto"/>
              <w:rPr>
                <w:rFonts w:ascii="Arial"/>
                <w:sz w:val="21"/>
              </w:rPr>
            </w:pPr>
          </w:p>
          <w:p w14:paraId="6E75933B">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52B20264">
      <w:pPr>
        <w:pStyle w:val="2"/>
        <w:spacing w:line="211" w:lineRule="exact"/>
        <w:rPr>
          <w:sz w:val="18"/>
        </w:rPr>
      </w:pPr>
    </w:p>
    <w:p w14:paraId="33DD2565">
      <w:pPr>
        <w:spacing w:line="211" w:lineRule="exact"/>
        <w:rPr>
          <w:sz w:val="18"/>
          <w:szCs w:val="18"/>
        </w:rPr>
        <w:sectPr>
          <w:footerReference r:id="rId28" w:type="default"/>
          <w:pgSz w:w="16839" w:h="11906"/>
          <w:pgMar w:top="1012" w:right="1016" w:bottom="966" w:left="1016" w:header="0" w:footer="768" w:gutter="0"/>
          <w:cols w:space="720" w:num="1"/>
        </w:sectPr>
      </w:pPr>
    </w:p>
    <w:p w14:paraId="442B9FB9">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79D15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1A7AD3BB">
            <w:pPr>
              <w:pStyle w:val="8"/>
              <w:spacing w:before="273" w:line="221" w:lineRule="auto"/>
              <w:ind w:left="129"/>
            </w:pPr>
            <w:r>
              <w:rPr>
                <w:b/>
                <w:bCs/>
                <w:spacing w:val="-4"/>
              </w:rPr>
              <w:t>序号</w:t>
            </w:r>
          </w:p>
        </w:tc>
        <w:tc>
          <w:tcPr>
            <w:tcW w:w="1101" w:type="dxa"/>
            <w:vMerge w:val="restart"/>
            <w:tcBorders>
              <w:bottom w:val="nil"/>
            </w:tcBorders>
            <w:vAlign w:val="top"/>
          </w:tcPr>
          <w:p w14:paraId="7EC7F3B3">
            <w:pPr>
              <w:pStyle w:val="8"/>
              <w:spacing w:before="274" w:line="220" w:lineRule="auto"/>
              <w:ind w:left="182"/>
            </w:pPr>
            <w:r>
              <w:rPr>
                <w:b/>
                <w:bCs/>
                <w:spacing w:val="-4"/>
              </w:rPr>
              <w:t>事项名称</w:t>
            </w:r>
          </w:p>
        </w:tc>
        <w:tc>
          <w:tcPr>
            <w:tcW w:w="1101" w:type="dxa"/>
            <w:vMerge w:val="restart"/>
            <w:tcBorders>
              <w:bottom w:val="nil"/>
            </w:tcBorders>
            <w:vAlign w:val="top"/>
          </w:tcPr>
          <w:p w14:paraId="3E9DF3CE">
            <w:pPr>
              <w:pStyle w:val="8"/>
              <w:spacing w:before="274" w:line="219" w:lineRule="auto"/>
              <w:ind w:left="183"/>
            </w:pPr>
            <w:r>
              <w:rPr>
                <w:b/>
                <w:bCs/>
                <w:spacing w:val="-4"/>
              </w:rPr>
              <w:t>职权类型</w:t>
            </w:r>
          </w:p>
        </w:tc>
        <w:tc>
          <w:tcPr>
            <w:tcW w:w="8524" w:type="dxa"/>
            <w:vMerge w:val="restart"/>
            <w:tcBorders>
              <w:bottom w:val="nil"/>
            </w:tcBorders>
            <w:vAlign w:val="top"/>
          </w:tcPr>
          <w:p w14:paraId="0D4DC57C">
            <w:pPr>
              <w:pStyle w:val="8"/>
              <w:spacing w:before="273" w:line="219" w:lineRule="auto"/>
              <w:ind w:left="4083"/>
            </w:pPr>
            <w:r>
              <w:rPr>
                <w:b/>
                <w:bCs/>
                <w:spacing w:val="-5"/>
              </w:rPr>
              <w:t>实施依据</w:t>
            </w:r>
          </w:p>
        </w:tc>
        <w:tc>
          <w:tcPr>
            <w:tcW w:w="3435" w:type="dxa"/>
            <w:gridSpan w:val="3"/>
            <w:vAlign w:val="top"/>
          </w:tcPr>
          <w:p w14:paraId="6A6DB392">
            <w:pPr>
              <w:pStyle w:val="8"/>
              <w:spacing w:before="94" w:line="220" w:lineRule="auto"/>
              <w:ind w:left="1360"/>
            </w:pPr>
            <w:r>
              <w:rPr>
                <w:b/>
                <w:bCs/>
                <w:spacing w:val="-5"/>
              </w:rPr>
              <w:t>实施主体</w:t>
            </w:r>
          </w:p>
        </w:tc>
      </w:tr>
      <w:tr w14:paraId="40C7F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785845F">
            <w:pPr>
              <w:rPr>
                <w:rFonts w:ascii="Arial"/>
                <w:sz w:val="21"/>
              </w:rPr>
            </w:pPr>
          </w:p>
        </w:tc>
        <w:tc>
          <w:tcPr>
            <w:tcW w:w="1101" w:type="dxa"/>
            <w:vMerge w:val="continue"/>
            <w:tcBorders>
              <w:top w:val="nil"/>
            </w:tcBorders>
            <w:vAlign w:val="top"/>
          </w:tcPr>
          <w:p w14:paraId="5D9D275E">
            <w:pPr>
              <w:rPr>
                <w:rFonts w:ascii="Arial"/>
                <w:sz w:val="21"/>
              </w:rPr>
            </w:pPr>
          </w:p>
        </w:tc>
        <w:tc>
          <w:tcPr>
            <w:tcW w:w="1101" w:type="dxa"/>
            <w:vMerge w:val="continue"/>
            <w:tcBorders>
              <w:top w:val="nil"/>
            </w:tcBorders>
            <w:vAlign w:val="top"/>
          </w:tcPr>
          <w:p w14:paraId="2F928FF3">
            <w:pPr>
              <w:rPr>
                <w:rFonts w:ascii="Arial"/>
                <w:sz w:val="21"/>
              </w:rPr>
            </w:pPr>
          </w:p>
        </w:tc>
        <w:tc>
          <w:tcPr>
            <w:tcW w:w="8524" w:type="dxa"/>
            <w:vMerge w:val="continue"/>
            <w:tcBorders>
              <w:top w:val="nil"/>
            </w:tcBorders>
            <w:vAlign w:val="top"/>
          </w:tcPr>
          <w:p w14:paraId="57E809BD">
            <w:pPr>
              <w:rPr>
                <w:rFonts w:ascii="Arial"/>
                <w:sz w:val="21"/>
              </w:rPr>
            </w:pPr>
          </w:p>
        </w:tc>
        <w:tc>
          <w:tcPr>
            <w:tcW w:w="1011" w:type="dxa"/>
            <w:vAlign w:val="top"/>
          </w:tcPr>
          <w:p w14:paraId="3269B1DF">
            <w:pPr>
              <w:pStyle w:val="8"/>
              <w:spacing w:before="85" w:line="219" w:lineRule="auto"/>
              <w:ind w:left="154"/>
            </w:pPr>
            <w:r>
              <w:rPr>
                <w:b/>
                <w:bCs/>
                <w:spacing w:val="-5"/>
              </w:rPr>
              <w:t>责任部门</w:t>
            </w:r>
          </w:p>
        </w:tc>
        <w:tc>
          <w:tcPr>
            <w:tcW w:w="1404" w:type="dxa"/>
            <w:vAlign w:val="top"/>
          </w:tcPr>
          <w:p w14:paraId="4D061F19">
            <w:pPr>
              <w:pStyle w:val="8"/>
              <w:spacing w:before="85" w:line="219" w:lineRule="auto"/>
              <w:ind w:left="164"/>
            </w:pPr>
            <w:r>
              <w:rPr>
                <w:b/>
                <w:bCs/>
                <w:spacing w:val="-3"/>
              </w:rPr>
              <w:t>第一责任层级</w:t>
            </w:r>
          </w:p>
        </w:tc>
        <w:tc>
          <w:tcPr>
            <w:tcW w:w="1020" w:type="dxa"/>
            <w:vAlign w:val="top"/>
          </w:tcPr>
          <w:p w14:paraId="7F0E5179">
            <w:pPr>
              <w:pStyle w:val="8"/>
              <w:spacing w:before="84" w:line="219" w:lineRule="auto"/>
              <w:ind w:left="114"/>
            </w:pPr>
            <w:r>
              <w:rPr>
                <w:b/>
                <w:bCs/>
                <w:spacing w:val="-4"/>
              </w:rPr>
              <w:t>承办机构</w:t>
            </w:r>
          </w:p>
        </w:tc>
      </w:tr>
      <w:tr w14:paraId="13281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9" w:hRule="atLeast"/>
        </w:trPr>
        <w:tc>
          <w:tcPr>
            <w:tcW w:w="629" w:type="dxa"/>
            <w:vAlign w:val="top"/>
          </w:tcPr>
          <w:p w14:paraId="336CF921">
            <w:pPr>
              <w:rPr>
                <w:rFonts w:ascii="Arial"/>
                <w:sz w:val="21"/>
              </w:rPr>
            </w:pPr>
          </w:p>
        </w:tc>
        <w:tc>
          <w:tcPr>
            <w:tcW w:w="1101" w:type="dxa"/>
            <w:vAlign w:val="top"/>
          </w:tcPr>
          <w:p w14:paraId="660BEA72">
            <w:pPr>
              <w:rPr>
                <w:rFonts w:ascii="Arial"/>
                <w:sz w:val="21"/>
              </w:rPr>
            </w:pPr>
          </w:p>
        </w:tc>
        <w:tc>
          <w:tcPr>
            <w:tcW w:w="1101" w:type="dxa"/>
            <w:vAlign w:val="top"/>
          </w:tcPr>
          <w:p w14:paraId="1B0B722E">
            <w:pPr>
              <w:rPr>
                <w:rFonts w:ascii="Arial"/>
                <w:sz w:val="21"/>
              </w:rPr>
            </w:pPr>
          </w:p>
        </w:tc>
        <w:tc>
          <w:tcPr>
            <w:tcW w:w="8524" w:type="dxa"/>
            <w:vAlign w:val="top"/>
          </w:tcPr>
          <w:p w14:paraId="37A33A83">
            <w:pPr>
              <w:pStyle w:val="8"/>
              <w:spacing w:before="26" w:line="232" w:lineRule="auto"/>
              <w:ind w:left="102" w:right="148" w:firstLine="343"/>
              <w:jc w:val="both"/>
            </w:pPr>
            <w:r>
              <w:rPr>
                <w:spacing w:val="-8"/>
              </w:rPr>
              <w:t>第六十三条第（二）项</w:t>
            </w:r>
            <w:r>
              <w:rPr>
                <w:spacing w:val="74"/>
              </w:rPr>
              <w:t xml:space="preserve"> </w:t>
            </w:r>
            <w:r>
              <w:rPr>
                <w:spacing w:val="-8"/>
              </w:rPr>
              <w:t>违反本条例的规定，有下列情形之一的，由县级以上地方人民政府交通运输主管</w:t>
            </w:r>
            <w:r>
              <w:t xml:space="preserve"> </w:t>
            </w:r>
            <w:r>
              <w:rPr>
                <w:spacing w:val="-8"/>
              </w:rPr>
              <w:t>部门责令停止经营，并处罚款；构成犯罪的，依法追究刑事责任：(二)未取得道路运输经营许可，擅自从事道</w:t>
            </w:r>
            <w:r>
              <w:rPr>
                <w:spacing w:val="9"/>
              </w:rPr>
              <w:t xml:space="preserve"> </w:t>
            </w:r>
            <w:r>
              <w:rPr>
                <w:spacing w:val="-8"/>
              </w:rPr>
              <w:t>路客运经营，违法所得超过2万元的，没收违法所得，处违法所得2倍以上10倍以下的罚款；没有违法所得或者</w:t>
            </w:r>
            <w:r>
              <w:rPr>
                <w:spacing w:val="15"/>
              </w:rPr>
              <w:t xml:space="preserve"> </w:t>
            </w:r>
            <w:r>
              <w:rPr>
                <w:spacing w:val="-7"/>
              </w:rPr>
              <w:t>违法所得不足2万元的，处1万元以上10万元以下</w:t>
            </w:r>
            <w:r>
              <w:rPr>
                <w:spacing w:val="-8"/>
              </w:rPr>
              <w:t>的罚款；</w:t>
            </w:r>
          </w:p>
          <w:p w14:paraId="1F08CD3D">
            <w:pPr>
              <w:pStyle w:val="8"/>
              <w:spacing w:before="16" w:line="219" w:lineRule="auto"/>
              <w:ind w:left="447"/>
            </w:pPr>
            <w:r>
              <w:rPr>
                <w:b/>
                <w:bCs/>
                <w:spacing w:val="-8"/>
              </w:rPr>
              <w:t>2.《道路旅客运输及客运站管理规定》(交通运输部令2023年第12号)</w:t>
            </w:r>
          </w:p>
          <w:p w14:paraId="545E8BA9">
            <w:pPr>
              <w:pStyle w:val="8"/>
              <w:spacing w:before="19" w:line="232" w:lineRule="auto"/>
              <w:ind w:left="103" w:right="46" w:firstLine="341"/>
              <w:jc w:val="both"/>
            </w:pPr>
            <w:r>
              <w:rPr>
                <w:spacing w:val="-11"/>
              </w:rPr>
              <w:t>第九十三条</w:t>
            </w:r>
            <w:r>
              <w:rPr>
                <w:spacing w:val="73"/>
              </w:rPr>
              <w:t xml:space="preserve"> </w:t>
            </w:r>
            <w:r>
              <w:rPr>
                <w:spacing w:val="-11"/>
              </w:rPr>
              <w:t>违反本规定，有下列行为之一的，由交通运输主管部门责令停止经营；违法所得超过2万元的，</w:t>
            </w:r>
            <w:r>
              <w:t xml:space="preserve"> </w:t>
            </w:r>
            <w:r>
              <w:rPr>
                <w:spacing w:val="-8"/>
              </w:rPr>
              <w:t>没收违法所得，处违法所得2倍以上10倍以下的罚款；没有违法所得或者违法所得不足2万元的，处1万元以上10</w:t>
            </w:r>
            <w:r>
              <w:t xml:space="preserve"> </w:t>
            </w:r>
            <w:r>
              <w:rPr>
                <w:spacing w:val="-7"/>
              </w:rPr>
              <w:t>万元以下的罚款；构成犯罪的，依法追究刑事责任</w:t>
            </w:r>
            <w:r>
              <w:rPr>
                <w:spacing w:val="-22"/>
              </w:rPr>
              <w:t>：（</w:t>
            </w:r>
            <w:r>
              <w:rPr>
                <w:spacing w:val="-7"/>
              </w:rPr>
              <w:t>一）</w:t>
            </w:r>
            <w:r>
              <w:rPr>
                <w:spacing w:val="-8"/>
              </w:rPr>
              <w:t>未取得道路客运经营许可，擅自从事道路客运经营</w:t>
            </w:r>
            <w:r>
              <w:t xml:space="preserve">  </w:t>
            </w:r>
            <w:r>
              <w:rPr>
                <w:spacing w:val="-7"/>
              </w:rPr>
              <w:t>的</w:t>
            </w:r>
            <w:r>
              <w:rPr>
                <w:spacing w:val="-20"/>
              </w:rPr>
              <w:t>；（</w:t>
            </w:r>
            <w:r>
              <w:rPr>
                <w:spacing w:val="-7"/>
              </w:rPr>
              <w:t>二）未取得道路客运班线经营许可，擅自从事班车客运经营的</w:t>
            </w:r>
            <w:r>
              <w:rPr>
                <w:spacing w:val="-20"/>
              </w:rPr>
              <w:t>；（</w:t>
            </w:r>
            <w:r>
              <w:rPr>
                <w:spacing w:val="-7"/>
              </w:rPr>
              <w:t>三）使用失效、伪造、变造、被注销</w:t>
            </w:r>
            <w:r>
              <w:t xml:space="preserve">  </w:t>
            </w:r>
            <w:r>
              <w:rPr>
                <w:spacing w:val="-7"/>
              </w:rPr>
              <w:t>等无效的道路客运许可证件从事道路客运经营的</w:t>
            </w:r>
            <w:r>
              <w:rPr>
                <w:spacing w:val="-20"/>
              </w:rPr>
              <w:t>；（</w:t>
            </w:r>
            <w:r>
              <w:rPr>
                <w:spacing w:val="-7"/>
              </w:rPr>
              <w:t>四）超越许可事项，从</w:t>
            </w:r>
            <w:r>
              <w:rPr>
                <w:spacing w:val="-8"/>
              </w:rPr>
              <w:t>事道路客运经营的。</w:t>
            </w:r>
          </w:p>
          <w:p w14:paraId="5D17ECB5">
            <w:pPr>
              <w:pStyle w:val="8"/>
              <w:spacing w:before="16" w:line="219" w:lineRule="auto"/>
              <w:ind w:left="449"/>
            </w:pPr>
            <w:r>
              <w:rPr>
                <w:b/>
                <w:bCs/>
                <w:spacing w:val="-8"/>
              </w:rPr>
              <w:t>3.《小微型客车租赁经营服务管理办法》(交通运输部令2021年</w:t>
            </w:r>
            <w:r>
              <w:rPr>
                <w:b/>
                <w:bCs/>
                <w:spacing w:val="-9"/>
              </w:rPr>
              <w:t>第17号)</w:t>
            </w:r>
          </w:p>
          <w:p w14:paraId="36102D3D">
            <w:pPr>
              <w:pStyle w:val="8"/>
              <w:spacing w:before="15" w:line="232" w:lineRule="auto"/>
              <w:ind w:left="102" w:right="88" w:firstLine="343"/>
              <w:jc w:val="both"/>
            </w:pPr>
            <w:r>
              <w:rPr>
                <w:spacing w:val="-8"/>
              </w:rPr>
              <w:t>第二十五条第二款</w:t>
            </w:r>
            <w:r>
              <w:rPr>
                <w:spacing w:val="78"/>
              </w:rPr>
              <w:t xml:space="preserve"> </w:t>
            </w:r>
            <w:r>
              <w:rPr>
                <w:spacing w:val="-8"/>
              </w:rPr>
              <w:t>小微型客车租赁经营者未取得道路运输经营许可或者出租汽车经营许可，随</w:t>
            </w:r>
            <w:r>
              <w:rPr>
                <w:spacing w:val="-9"/>
              </w:rPr>
              <w:t>车提供驾</w:t>
            </w:r>
            <w:r>
              <w:t xml:space="preserve"> </w:t>
            </w:r>
            <w:r>
              <w:rPr>
                <w:spacing w:val="-8"/>
              </w:rPr>
              <w:t>驶劳务的，按照《中华人民共和国道路运输条例》《巡游出租汽车经营服务管理规定》(交通运输部令2</w:t>
            </w:r>
            <w:r>
              <w:rPr>
                <w:spacing w:val="-9"/>
              </w:rPr>
              <w:t>021年第</w:t>
            </w:r>
            <w:r>
              <w:t xml:space="preserve"> </w:t>
            </w:r>
            <w:r>
              <w:rPr>
                <w:spacing w:val="-7"/>
              </w:rPr>
              <w:t>16号)《网络预约出租汽车经营服务管理</w:t>
            </w:r>
            <w:r>
              <w:rPr>
                <w:spacing w:val="-8"/>
              </w:rPr>
              <w:t>暂行办法》(交通运输部令2022年第42号)中关于从事非法营运的规定进</w:t>
            </w:r>
            <w:r>
              <w:t xml:space="preserve"> </w:t>
            </w:r>
            <w:r>
              <w:rPr>
                <w:spacing w:val="-6"/>
              </w:rPr>
              <w:t>行处罚。</w:t>
            </w:r>
          </w:p>
        </w:tc>
        <w:tc>
          <w:tcPr>
            <w:tcW w:w="1011" w:type="dxa"/>
            <w:vAlign w:val="top"/>
          </w:tcPr>
          <w:p w14:paraId="4BF35BFC">
            <w:pPr>
              <w:rPr>
                <w:rFonts w:ascii="Arial"/>
                <w:sz w:val="21"/>
              </w:rPr>
            </w:pPr>
          </w:p>
        </w:tc>
        <w:tc>
          <w:tcPr>
            <w:tcW w:w="1404" w:type="dxa"/>
            <w:vAlign w:val="top"/>
          </w:tcPr>
          <w:p w14:paraId="6F54B1BC">
            <w:pPr>
              <w:rPr>
                <w:rFonts w:ascii="Arial"/>
                <w:sz w:val="21"/>
              </w:rPr>
            </w:pPr>
          </w:p>
        </w:tc>
        <w:tc>
          <w:tcPr>
            <w:tcW w:w="1020" w:type="dxa"/>
            <w:vAlign w:val="top"/>
          </w:tcPr>
          <w:p w14:paraId="5DFFE569">
            <w:pPr>
              <w:rPr>
                <w:rFonts w:ascii="Arial"/>
                <w:sz w:val="21"/>
              </w:rPr>
            </w:pPr>
          </w:p>
        </w:tc>
      </w:tr>
      <w:tr w14:paraId="5675F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24" w:hRule="atLeast"/>
        </w:trPr>
        <w:tc>
          <w:tcPr>
            <w:tcW w:w="629" w:type="dxa"/>
            <w:vAlign w:val="top"/>
          </w:tcPr>
          <w:p w14:paraId="3289B325">
            <w:pPr>
              <w:spacing w:line="264" w:lineRule="auto"/>
              <w:rPr>
                <w:rFonts w:ascii="Arial"/>
                <w:sz w:val="21"/>
              </w:rPr>
            </w:pPr>
          </w:p>
          <w:p w14:paraId="63DD7B17">
            <w:pPr>
              <w:spacing w:line="265" w:lineRule="auto"/>
              <w:rPr>
                <w:rFonts w:ascii="Arial"/>
                <w:sz w:val="21"/>
              </w:rPr>
            </w:pPr>
          </w:p>
          <w:p w14:paraId="78F28FF1">
            <w:pPr>
              <w:spacing w:line="265" w:lineRule="auto"/>
              <w:rPr>
                <w:rFonts w:ascii="Arial"/>
                <w:sz w:val="21"/>
              </w:rPr>
            </w:pPr>
          </w:p>
          <w:p w14:paraId="3652C669">
            <w:pPr>
              <w:spacing w:line="265" w:lineRule="auto"/>
              <w:rPr>
                <w:rFonts w:ascii="Arial"/>
                <w:sz w:val="21"/>
              </w:rPr>
            </w:pPr>
          </w:p>
          <w:p w14:paraId="643A7745">
            <w:pPr>
              <w:spacing w:line="265" w:lineRule="auto"/>
              <w:rPr>
                <w:rFonts w:ascii="Arial"/>
                <w:sz w:val="21"/>
              </w:rPr>
            </w:pPr>
          </w:p>
          <w:p w14:paraId="42A3D7C1">
            <w:pPr>
              <w:spacing w:line="265" w:lineRule="auto"/>
              <w:rPr>
                <w:rFonts w:ascii="Arial"/>
                <w:sz w:val="21"/>
              </w:rPr>
            </w:pPr>
          </w:p>
          <w:p w14:paraId="195F88FF">
            <w:pPr>
              <w:spacing w:line="265" w:lineRule="auto"/>
              <w:rPr>
                <w:rFonts w:ascii="Arial"/>
                <w:sz w:val="21"/>
              </w:rPr>
            </w:pPr>
          </w:p>
          <w:p w14:paraId="22F22999">
            <w:pPr>
              <w:spacing w:line="265" w:lineRule="auto"/>
              <w:rPr>
                <w:rFonts w:ascii="Arial"/>
                <w:sz w:val="21"/>
              </w:rPr>
            </w:pPr>
          </w:p>
          <w:p w14:paraId="6FC6A7C9">
            <w:pPr>
              <w:spacing w:line="265" w:lineRule="auto"/>
              <w:rPr>
                <w:rFonts w:ascii="Arial"/>
                <w:sz w:val="21"/>
              </w:rPr>
            </w:pPr>
          </w:p>
          <w:p w14:paraId="76768139">
            <w:pPr>
              <w:pStyle w:val="8"/>
              <w:spacing w:before="59" w:line="184" w:lineRule="auto"/>
              <w:ind w:left="234"/>
              <w:rPr>
                <w:rFonts w:hint="eastAsia" w:eastAsia="宋体"/>
                <w:lang w:eastAsia="zh-CN"/>
              </w:rPr>
            </w:pPr>
            <w:r>
              <w:rPr>
                <w:spacing w:val="-10"/>
              </w:rPr>
              <w:t>1</w:t>
            </w:r>
            <w:r>
              <w:rPr>
                <w:rFonts w:hint="eastAsia"/>
                <w:spacing w:val="-10"/>
                <w:lang w:val="en-US" w:eastAsia="zh-CN"/>
              </w:rPr>
              <w:t>1</w:t>
            </w:r>
          </w:p>
        </w:tc>
        <w:tc>
          <w:tcPr>
            <w:tcW w:w="1101" w:type="dxa"/>
            <w:vAlign w:val="top"/>
          </w:tcPr>
          <w:p w14:paraId="3B31B7CF">
            <w:pPr>
              <w:spacing w:line="264" w:lineRule="auto"/>
              <w:rPr>
                <w:rFonts w:ascii="Arial"/>
                <w:sz w:val="21"/>
              </w:rPr>
            </w:pPr>
          </w:p>
          <w:p w14:paraId="0102B1AA">
            <w:pPr>
              <w:spacing w:line="264" w:lineRule="auto"/>
              <w:rPr>
                <w:rFonts w:ascii="Arial"/>
                <w:sz w:val="21"/>
              </w:rPr>
            </w:pPr>
          </w:p>
          <w:p w14:paraId="54EE3916">
            <w:pPr>
              <w:spacing w:line="264" w:lineRule="auto"/>
              <w:rPr>
                <w:rFonts w:ascii="Arial"/>
                <w:sz w:val="21"/>
              </w:rPr>
            </w:pPr>
          </w:p>
          <w:p w14:paraId="19CB4977">
            <w:pPr>
              <w:spacing w:line="265" w:lineRule="auto"/>
              <w:rPr>
                <w:rFonts w:ascii="Arial"/>
                <w:sz w:val="21"/>
              </w:rPr>
            </w:pPr>
          </w:p>
          <w:p w14:paraId="34F6217C">
            <w:pPr>
              <w:spacing w:line="265" w:lineRule="auto"/>
              <w:rPr>
                <w:rFonts w:ascii="Arial"/>
                <w:sz w:val="21"/>
              </w:rPr>
            </w:pPr>
          </w:p>
          <w:p w14:paraId="44817CD6">
            <w:pPr>
              <w:spacing w:line="265" w:lineRule="auto"/>
              <w:rPr>
                <w:rFonts w:ascii="Arial"/>
                <w:sz w:val="21"/>
              </w:rPr>
            </w:pPr>
          </w:p>
          <w:p w14:paraId="245DCF6D">
            <w:pPr>
              <w:spacing w:line="265" w:lineRule="auto"/>
              <w:rPr>
                <w:rFonts w:ascii="Arial"/>
                <w:sz w:val="21"/>
              </w:rPr>
            </w:pPr>
          </w:p>
          <w:p w14:paraId="3010608E">
            <w:pPr>
              <w:spacing w:line="265" w:lineRule="auto"/>
              <w:rPr>
                <w:rFonts w:ascii="Arial"/>
                <w:sz w:val="21"/>
              </w:rPr>
            </w:pPr>
          </w:p>
          <w:p w14:paraId="539370A3">
            <w:pPr>
              <w:pStyle w:val="8"/>
              <w:spacing w:before="59"/>
              <w:ind w:left="18" w:right="20"/>
              <w:jc w:val="both"/>
            </w:pPr>
            <w:r>
              <w:rPr>
                <w:spacing w:val="-6"/>
              </w:rPr>
              <w:t>对擅自从事国</w:t>
            </w:r>
            <w:r>
              <w:rPr>
                <w:spacing w:val="2"/>
              </w:rPr>
              <w:t xml:space="preserve"> </w:t>
            </w:r>
            <w:r>
              <w:rPr>
                <w:spacing w:val="-6"/>
              </w:rPr>
              <w:t>际道路旅客运</w:t>
            </w:r>
            <w:r>
              <w:rPr>
                <w:spacing w:val="2"/>
              </w:rPr>
              <w:t xml:space="preserve"> </w:t>
            </w:r>
            <w:r>
              <w:rPr>
                <w:spacing w:val="-6"/>
              </w:rPr>
              <w:t>输经营行为的</w:t>
            </w:r>
            <w:r>
              <w:rPr>
                <w:spacing w:val="2"/>
              </w:rPr>
              <w:t xml:space="preserve"> </w:t>
            </w:r>
            <w:r>
              <w:rPr>
                <w:spacing w:val="-6"/>
              </w:rPr>
              <w:t>行政处罚</w:t>
            </w:r>
          </w:p>
        </w:tc>
        <w:tc>
          <w:tcPr>
            <w:tcW w:w="1101" w:type="dxa"/>
            <w:vAlign w:val="top"/>
          </w:tcPr>
          <w:p w14:paraId="738FD6CF">
            <w:pPr>
              <w:spacing w:line="261" w:lineRule="auto"/>
              <w:rPr>
                <w:rFonts w:ascii="Arial"/>
                <w:sz w:val="21"/>
              </w:rPr>
            </w:pPr>
          </w:p>
          <w:p w14:paraId="536E3C45">
            <w:pPr>
              <w:spacing w:line="262" w:lineRule="auto"/>
              <w:rPr>
                <w:rFonts w:ascii="Arial"/>
                <w:sz w:val="21"/>
              </w:rPr>
            </w:pPr>
          </w:p>
          <w:p w14:paraId="32703264">
            <w:pPr>
              <w:spacing w:line="262" w:lineRule="auto"/>
              <w:rPr>
                <w:rFonts w:ascii="Arial"/>
                <w:sz w:val="21"/>
              </w:rPr>
            </w:pPr>
          </w:p>
          <w:p w14:paraId="6232E7DF">
            <w:pPr>
              <w:spacing w:line="262" w:lineRule="auto"/>
              <w:rPr>
                <w:rFonts w:ascii="Arial"/>
                <w:sz w:val="21"/>
              </w:rPr>
            </w:pPr>
          </w:p>
          <w:p w14:paraId="6F1B39D4">
            <w:pPr>
              <w:spacing w:line="262" w:lineRule="auto"/>
              <w:rPr>
                <w:rFonts w:ascii="Arial"/>
                <w:sz w:val="21"/>
              </w:rPr>
            </w:pPr>
          </w:p>
          <w:p w14:paraId="3C7EDDE5">
            <w:pPr>
              <w:spacing w:line="262" w:lineRule="auto"/>
              <w:rPr>
                <w:rFonts w:ascii="Arial"/>
                <w:sz w:val="21"/>
              </w:rPr>
            </w:pPr>
          </w:p>
          <w:p w14:paraId="4520252F">
            <w:pPr>
              <w:spacing w:line="262" w:lineRule="auto"/>
              <w:rPr>
                <w:rFonts w:ascii="Arial"/>
                <w:sz w:val="21"/>
              </w:rPr>
            </w:pPr>
          </w:p>
          <w:p w14:paraId="26DEE8AA">
            <w:pPr>
              <w:spacing w:line="262" w:lineRule="auto"/>
              <w:rPr>
                <w:rFonts w:ascii="Arial"/>
                <w:sz w:val="21"/>
              </w:rPr>
            </w:pPr>
          </w:p>
          <w:p w14:paraId="162EDE52">
            <w:pPr>
              <w:spacing w:line="262" w:lineRule="auto"/>
              <w:rPr>
                <w:rFonts w:ascii="Arial"/>
                <w:sz w:val="21"/>
              </w:rPr>
            </w:pPr>
          </w:p>
          <w:p w14:paraId="26BC66D0">
            <w:pPr>
              <w:pStyle w:val="8"/>
              <w:spacing w:before="59" w:line="220" w:lineRule="auto"/>
              <w:ind w:left="25"/>
            </w:pPr>
            <w:r>
              <w:rPr>
                <w:spacing w:val="-7"/>
              </w:rPr>
              <w:t>行政处罚</w:t>
            </w:r>
          </w:p>
        </w:tc>
        <w:tc>
          <w:tcPr>
            <w:tcW w:w="8524" w:type="dxa"/>
            <w:vAlign w:val="top"/>
          </w:tcPr>
          <w:p w14:paraId="4884ED03">
            <w:pPr>
              <w:pStyle w:val="8"/>
              <w:spacing w:before="270" w:line="219" w:lineRule="auto"/>
              <w:ind w:left="458"/>
            </w:pPr>
            <w:r>
              <w:rPr>
                <w:b/>
                <w:bCs/>
                <w:spacing w:val="-10"/>
              </w:rPr>
              <w:t>1.《中华人民共和国道路运输条例》</w:t>
            </w:r>
          </w:p>
          <w:p w14:paraId="6E9DA519">
            <w:pPr>
              <w:pStyle w:val="8"/>
              <w:spacing w:before="24"/>
              <w:ind w:left="102" w:right="150" w:firstLine="343"/>
              <w:jc w:val="both"/>
            </w:pPr>
            <w:r>
              <w:rPr>
                <w:spacing w:val="-8"/>
              </w:rPr>
              <w:t>第四十九条  申请从事国际道路旅客运输经营的，应当向省、自治区、直辖市人民政府交通运输主管部门</w:t>
            </w:r>
            <w:r>
              <w:t xml:space="preserve"> </w:t>
            </w:r>
            <w:r>
              <w:rPr>
                <w:spacing w:val="-8"/>
              </w:rPr>
              <w:t>提出申请并提交符合本条例第四十八条规定条件的相关材料。省、自治区、直辖市人民政府交通运输主管</w:t>
            </w:r>
            <w:r>
              <w:rPr>
                <w:spacing w:val="-9"/>
              </w:rPr>
              <w:t>部门</w:t>
            </w:r>
            <w:r>
              <w:t xml:space="preserve"> </w:t>
            </w:r>
            <w:r>
              <w:rPr>
                <w:spacing w:val="-8"/>
              </w:rPr>
              <w:t>应当自受理申请之日起20日内审查完毕，作出批准或者不予批准的决定。予以批准的，应当向国务院交通运输</w:t>
            </w:r>
            <w:r>
              <w:rPr>
                <w:spacing w:val="6"/>
              </w:rPr>
              <w:t xml:space="preserve"> </w:t>
            </w:r>
            <w:r>
              <w:rPr>
                <w:spacing w:val="-8"/>
              </w:rPr>
              <w:t>主管部门备案；不予批准的，应当向当事人说明理由。</w:t>
            </w:r>
          </w:p>
          <w:p w14:paraId="5183EF0F">
            <w:pPr>
              <w:pStyle w:val="8"/>
              <w:spacing w:before="24" w:line="233" w:lineRule="auto"/>
              <w:ind w:left="103" w:right="150" w:firstLine="343"/>
            </w:pPr>
            <w:r>
              <w:rPr>
                <w:spacing w:val="-8"/>
              </w:rPr>
              <w:t>从事国际道路货物运输经营的，应当向省、自治区、直辖市人民政府交通运输主管部门进行备案，</w:t>
            </w:r>
            <w:r>
              <w:rPr>
                <w:spacing w:val="-9"/>
              </w:rPr>
              <w:t>并附送</w:t>
            </w:r>
            <w:r>
              <w:t xml:space="preserve"> </w:t>
            </w:r>
            <w:r>
              <w:rPr>
                <w:spacing w:val="-8"/>
              </w:rPr>
              <w:t>符合本条例第四十八条规定条件的相关材料。</w:t>
            </w:r>
          </w:p>
          <w:p w14:paraId="2CB4DCF4">
            <w:pPr>
              <w:pStyle w:val="8"/>
              <w:spacing w:before="26" w:line="219" w:lineRule="auto"/>
              <w:ind w:left="463"/>
            </w:pPr>
            <w:r>
              <w:rPr>
                <w:spacing w:val="-8"/>
              </w:rPr>
              <w:t>国际道路运输经营者应当持有关文件依法向有关</w:t>
            </w:r>
            <w:r>
              <w:rPr>
                <w:spacing w:val="-9"/>
              </w:rPr>
              <w:t>部门办理相关手续。</w:t>
            </w:r>
          </w:p>
          <w:p w14:paraId="5A5371EB">
            <w:pPr>
              <w:pStyle w:val="8"/>
              <w:spacing w:before="25"/>
              <w:ind w:left="102" w:right="148" w:firstLine="343"/>
            </w:pPr>
            <w:r>
              <w:rPr>
                <w:spacing w:val="-8"/>
              </w:rPr>
              <w:t>第六十三条第（二）项</w:t>
            </w:r>
            <w:r>
              <w:rPr>
                <w:spacing w:val="74"/>
              </w:rPr>
              <w:t xml:space="preserve"> </w:t>
            </w:r>
            <w:r>
              <w:rPr>
                <w:spacing w:val="-8"/>
              </w:rPr>
              <w:t>违反本条例的规定，有下列情形之一的，由县级以上地方人民政府交通运输主管</w:t>
            </w:r>
            <w:r>
              <w:t xml:space="preserve"> </w:t>
            </w:r>
            <w:r>
              <w:rPr>
                <w:spacing w:val="-8"/>
              </w:rPr>
              <w:t>部门责令停止经营，并处罚款；构成犯罪的，依法追究刑事责任：(二)未取得道路运输经营许可，擅自从事道</w:t>
            </w:r>
            <w:r>
              <w:rPr>
                <w:spacing w:val="9"/>
              </w:rPr>
              <w:t xml:space="preserve"> </w:t>
            </w:r>
            <w:r>
              <w:rPr>
                <w:spacing w:val="-8"/>
              </w:rPr>
              <w:t>路客运经营，违法所得超过2万元的，没收违法所得，处违法所得2倍以上10倍以下的罚款；没有违法所得或者</w:t>
            </w:r>
            <w:r>
              <w:rPr>
                <w:spacing w:val="15"/>
              </w:rPr>
              <w:t xml:space="preserve"> </w:t>
            </w:r>
            <w:r>
              <w:rPr>
                <w:spacing w:val="-7"/>
              </w:rPr>
              <w:t>违法所得不足2万元的，处1万元以上10万元以下</w:t>
            </w:r>
            <w:r>
              <w:rPr>
                <w:spacing w:val="-8"/>
              </w:rPr>
              <w:t>的罚款。</w:t>
            </w:r>
          </w:p>
          <w:p w14:paraId="4C9DB5C2">
            <w:pPr>
              <w:pStyle w:val="8"/>
              <w:spacing w:before="25" w:line="219" w:lineRule="auto"/>
              <w:ind w:left="447"/>
            </w:pPr>
            <w:r>
              <w:rPr>
                <w:b/>
                <w:bCs/>
                <w:spacing w:val="-8"/>
              </w:rPr>
              <w:t>2.《国际道路运输管理规定》(交通运输部令2023年第15号)</w:t>
            </w:r>
          </w:p>
          <w:p w14:paraId="2281FEFB">
            <w:pPr>
              <w:pStyle w:val="8"/>
              <w:spacing w:before="26" w:line="242" w:lineRule="auto"/>
              <w:ind w:left="101" w:right="32" w:firstLine="343"/>
            </w:pPr>
            <w:r>
              <w:rPr>
                <w:spacing w:val="-8"/>
              </w:rPr>
              <w:t>第三十七条</w:t>
            </w:r>
            <w:r>
              <w:rPr>
                <w:spacing w:val="74"/>
              </w:rPr>
              <w:t xml:space="preserve"> </w:t>
            </w:r>
            <w:r>
              <w:rPr>
                <w:spacing w:val="-8"/>
              </w:rPr>
              <w:t>违反本规定，有下列行为之一的，由县级以上地方人民政府交通运输主管部门或者口岸国际</w:t>
            </w:r>
            <w:r>
              <w:t xml:space="preserve">  </w:t>
            </w:r>
            <w:r>
              <w:rPr>
                <w:spacing w:val="-9"/>
              </w:rPr>
              <w:t>道路运输管理机构责令停止经营；违法所得超过2万元的，没收违法所得，处违法所得2倍以上10倍以下的罚款；</w:t>
            </w:r>
            <w:r>
              <w:rPr>
                <w:spacing w:val="12"/>
              </w:rPr>
              <w:t xml:space="preserve"> </w:t>
            </w:r>
            <w:r>
              <w:rPr>
                <w:spacing w:val="-7"/>
              </w:rPr>
              <w:t>没有违法所得或者违法所得不足2万元的，处1万元以上</w:t>
            </w:r>
            <w:r>
              <w:rPr>
                <w:spacing w:val="-8"/>
              </w:rPr>
              <w:t>10万元以下的罚款；构成犯罪的，依法追究刑事责任：</w:t>
            </w:r>
            <w:r>
              <w:t xml:space="preserve">  </w:t>
            </w:r>
            <w:r>
              <w:rPr>
                <w:spacing w:val="-8"/>
              </w:rPr>
              <w:t>（一）未取得国际道路旅客运输经营许可，擅自</w:t>
            </w:r>
            <w:r>
              <w:rPr>
                <w:spacing w:val="-9"/>
              </w:rPr>
              <w:t>从事国际道路旅客运输经营的</w:t>
            </w:r>
            <w:r>
              <w:rPr>
                <w:spacing w:val="-23"/>
              </w:rPr>
              <w:t>；（</w:t>
            </w:r>
            <w:r>
              <w:rPr>
                <w:spacing w:val="-9"/>
              </w:rPr>
              <w:t>二）使用失效、伪造、变造、</w:t>
            </w:r>
            <w:r>
              <w:rPr>
                <w:spacing w:val="1"/>
              </w:rPr>
              <w:t xml:space="preserve"> </w:t>
            </w:r>
            <w:r>
              <w:rPr>
                <w:spacing w:val="-7"/>
              </w:rPr>
              <w:t>被注销等无效国际道路旅客运输经营许可证件从事国际</w:t>
            </w:r>
            <w:r>
              <w:rPr>
                <w:spacing w:val="-8"/>
              </w:rPr>
              <w:t>道路旅客运输经营的</w:t>
            </w:r>
            <w:r>
              <w:rPr>
                <w:spacing w:val="-21"/>
              </w:rPr>
              <w:t>；（</w:t>
            </w:r>
            <w:r>
              <w:rPr>
                <w:spacing w:val="-8"/>
              </w:rPr>
              <w:t>三）超越许可的事项，非法从</w:t>
            </w:r>
            <w:r>
              <w:t xml:space="preserve">  </w:t>
            </w:r>
            <w:r>
              <w:rPr>
                <w:spacing w:val="-8"/>
              </w:rPr>
              <w:t>事国际道路旅客运输经营的。</w:t>
            </w:r>
          </w:p>
        </w:tc>
        <w:tc>
          <w:tcPr>
            <w:tcW w:w="1011" w:type="dxa"/>
            <w:vAlign w:val="top"/>
          </w:tcPr>
          <w:p w14:paraId="7C521CFF">
            <w:pPr>
              <w:spacing w:line="248" w:lineRule="auto"/>
              <w:rPr>
                <w:rFonts w:ascii="Arial"/>
                <w:sz w:val="21"/>
              </w:rPr>
            </w:pPr>
          </w:p>
          <w:p w14:paraId="1E32C353">
            <w:pPr>
              <w:spacing w:line="248" w:lineRule="auto"/>
              <w:rPr>
                <w:rFonts w:ascii="Arial"/>
                <w:sz w:val="21"/>
              </w:rPr>
            </w:pPr>
          </w:p>
          <w:p w14:paraId="5C654336">
            <w:pPr>
              <w:spacing w:line="248" w:lineRule="auto"/>
              <w:rPr>
                <w:rFonts w:ascii="Arial"/>
                <w:sz w:val="21"/>
              </w:rPr>
            </w:pPr>
          </w:p>
          <w:p w14:paraId="0554EFDE">
            <w:pPr>
              <w:spacing w:line="249" w:lineRule="auto"/>
              <w:rPr>
                <w:rFonts w:ascii="Arial"/>
                <w:sz w:val="21"/>
              </w:rPr>
            </w:pPr>
          </w:p>
          <w:p w14:paraId="47D21A17">
            <w:pPr>
              <w:spacing w:line="249" w:lineRule="auto"/>
              <w:rPr>
                <w:rFonts w:ascii="Arial"/>
                <w:sz w:val="21"/>
              </w:rPr>
            </w:pPr>
          </w:p>
          <w:p w14:paraId="129145AF">
            <w:pPr>
              <w:spacing w:line="249" w:lineRule="auto"/>
              <w:rPr>
                <w:rFonts w:ascii="Arial"/>
                <w:sz w:val="21"/>
              </w:rPr>
            </w:pPr>
          </w:p>
          <w:p w14:paraId="72C816B8">
            <w:pPr>
              <w:spacing w:line="249" w:lineRule="auto"/>
              <w:rPr>
                <w:rFonts w:ascii="Arial"/>
                <w:sz w:val="21"/>
              </w:rPr>
            </w:pPr>
          </w:p>
          <w:p w14:paraId="08279B76">
            <w:pPr>
              <w:spacing w:line="249" w:lineRule="auto"/>
              <w:rPr>
                <w:rFonts w:ascii="Arial"/>
                <w:sz w:val="21"/>
              </w:rPr>
            </w:pPr>
          </w:p>
          <w:p w14:paraId="28E4368F">
            <w:pPr>
              <w:spacing w:line="249" w:lineRule="auto"/>
              <w:rPr>
                <w:rFonts w:ascii="Arial"/>
                <w:sz w:val="21"/>
              </w:rPr>
            </w:pPr>
          </w:p>
          <w:p w14:paraId="11B5698E">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098482FA">
            <w:pPr>
              <w:spacing w:line="248" w:lineRule="auto"/>
              <w:rPr>
                <w:rFonts w:ascii="Arial"/>
                <w:sz w:val="21"/>
              </w:rPr>
            </w:pPr>
          </w:p>
          <w:p w14:paraId="04DEA72B">
            <w:pPr>
              <w:spacing w:line="248" w:lineRule="auto"/>
              <w:rPr>
                <w:rFonts w:ascii="Arial"/>
                <w:sz w:val="21"/>
              </w:rPr>
            </w:pPr>
          </w:p>
          <w:p w14:paraId="0AB8219F">
            <w:pPr>
              <w:spacing w:line="248" w:lineRule="auto"/>
              <w:rPr>
                <w:rFonts w:ascii="Arial"/>
                <w:sz w:val="21"/>
              </w:rPr>
            </w:pPr>
          </w:p>
          <w:p w14:paraId="45A7005B">
            <w:pPr>
              <w:spacing w:line="249" w:lineRule="auto"/>
              <w:rPr>
                <w:rFonts w:ascii="Arial"/>
                <w:sz w:val="21"/>
              </w:rPr>
            </w:pPr>
          </w:p>
          <w:p w14:paraId="37216188">
            <w:pPr>
              <w:spacing w:line="249" w:lineRule="auto"/>
              <w:rPr>
                <w:rFonts w:ascii="Arial"/>
                <w:sz w:val="21"/>
              </w:rPr>
            </w:pPr>
          </w:p>
          <w:p w14:paraId="6EC72BF1">
            <w:pPr>
              <w:spacing w:line="249" w:lineRule="auto"/>
              <w:rPr>
                <w:rFonts w:ascii="Arial"/>
                <w:sz w:val="21"/>
              </w:rPr>
            </w:pPr>
          </w:p>
          <w:p w14:paraId="1B745082">
            <w:pPr>
              <w:spacing w:line="249" w:lineRule="auto"/>
              <w:rPr>
                <w:rFonts w:ascii="Arial"/>
                <w:sz w:val="21"/>
              </w:rPr>
            </w:pPr>
          </w:p>
          <w:p w14:paraId="6E6C03CA">
            <w:pPr>
              <w:spacing w:line="249" w:lineRule="auto"/>
              <w:rPr>
                <w:rFonts w:ascii="Arial"/>
                <w:sz w:val="21"/>
              </w:rPr>
            </w:pPr>
          </w:p>
          <w:p w14:paraId="5D6E0470">
            <w:pPr>
              <w:spacing w:line="249" w:lineRule="auto"/>
              <w:rPr>
                <w:rFonts w:ascii="Arial"/>
                <w:sz w:val="21"/>
              </w:rPr>
            </w:pPr>
          </w:p>
          <w:p w14:paraId="31A54CD2">
            <w:pPr>
              <w:pStyle w:val="8"/>
              <w:spacing w:before="58"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23F0FD77">
            <w:pPr>
              <w:spacing w:line="250" w:lineRule="auto"/>
              <w:rPr>
                <w:rFonts w:ascii="Arial"/>
                <w:sz w:val="21"/>
              </w:rPr>
            </w:pPr>
          </w:p>
          <w:p w14:paraId="53DBB3B3">
            <w:pPr>
              <w:spacing w:line="250" w:lineRule="auto"/>
              <w:rPr>
                <w:rFonts w:ascii="Arial"/>
                <w:sz w:val="21"/>
              </w:rPr>
            </w:pPr>
          </w:p>
          <w:p w14:paraId="3285D150">
            <w:pPr>
              <w:spacing w:line="250" w:lineRule="auto"/>
              <w:rPr>
                <w:rFonts w:ascii="Arial"/>
                <w:sz w:val="21"/>
              </w:rPr>
            </w:pPr>
          </w:p>
          <w:p w14:paraId="71A53A77">
            <w:pPr>
              <w:spacing w:line="250" w:lineRule="auto"/>
              <w:rPr>
                <w:rFonts w:ascii="Arial"/>
                <w:sz w:val="21"/>
              </w:rPr>
            </w:pPr>
          </w:p>
          <w:p w14:paraId="0C30929A">
            <w:pPr>
              <w:spacing w:line="250" w:lineRule="auto"/>
              <w:rPr>
                <w:rFonts w:ascii="Arial"/>
                <w:sz w:val="21"/>
              </w:rPr>
            </w:pPr>
          </w:p>
          <w:p w14:paraId="2F356ACC">
            <w:pPr>
              <w:spacing w:line="250" w:lineRule="auto"/>
              <w:rPr>
                <w:rFonts w:ascii="Arial"/>
                <w:sz w:val="21"/>
              </w:rPr>
            </w:pPr>
          </w:p>
          <w:p w14:paraId="07AF2EC4">
            <w:pPr>
              <w:spacing w:line="250" w:lineRule="auto"/>
              <w:rPr>
                <w:rFonts w:ascii="Arial"/>
                <w:sz w:val="21"/>
              </w:rPr>
            </w:pPr>
          </w:p>
          <w:p w14:paraId="144885C2">
            <w:pPr>
              <w:spacing w:line="251" w:lineRule="auto"/>
              <w:rPr>
                <w:rFonts w:ascii="Arial"/>
                <w:sz w:val="21"/>
              </w:rPr>
            </w:pPr>
          </w:p>
          <w:p w14:paraId="6720C24D">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7074C7C5">
      <w:pPr>
        <w:pStyle w:val="2"/>
      </w:pPr>
    </w:p>
    <w:p w14:paraId="7238D012">
      <w:pPr>
        <w:sectPr>
          <w:footerReference r:id="rId29" w:type="default"/>
          <w:pgSz w:w="16839" w:h="11906"/>
          <w:pgMar w:top="1012" w:right="1016" w:bottom="966" w:left="1016" w:header="0" w:footer="768" w:gutter="0"/>
          <w:cols w:space="720" w:num="1"/>
        </w:sectPr>
      </w:pPr>
    </w:p>
    <w:p w14:paraId="4777DC53">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14ACB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672528FB">
            <w:pPr>
              <w:pStyle w:val="8"/>
              <w:spacing w:before="273" w:line="221" w:lineRule="auto"/>
              <w:ind w:left="129"/>
            </w:pPr>
            <w:r>
              <w:rPr>
                <w:b/>
                <w:bCs/>
                <w:spacing w:val="-4"/>
              </w:rPr>
              <w:t>序号</w:t>
            </w:r>
          </w:p>
        </w:tc>
        <w:tc>
          <w:tcPr>
            <w:tcW w:w="1101" w:type="dxa"/>
            <w:vMerge w:val="restart"/>
            <w:tcBorders>
              <w:bottom w:val="nil"/>
            </w:tcBorders>
            <w:vAlign w:val="top"/>
          </w:tcPr>
          <w:p w14:paraId="271EFD24">
            <w:pPr>
              <w:pStyle w:val="8"/>
              <w:spacing w:before="274" w:line="220" w:lineRule="auto"/>
              <w:ind w:left="182"/>
            </w:pPr>
            <w:r>
              <w:rPr>
                <w:b/>
                <w:bCs/>
                <w:spacing w:val="-4"/>
              </w:rPr>
              <w:t>事项名称</w:t>
            </w:r>
          </w:p>
        </w:tc>
        <w:tc>
          <w:tcPr>
            <w:tcW w:w="1101" w:type="dxa"/>
            <w:vMerge w:val="restart"/>
            <w:tcBorders>
              <w:bottom w:val="nil"/>
            </w:tcBorders>
            <w:vAlign w:val="top"/>
          </w:tcPr>
          <w:p w14:paraId="0D8DCE35">
            <w:pPr>
              <w:pStyle w:val="8"/>
              <w:spacing w:before="274" w:line="219" w:lineRule="auto"/>
              <w:ind w:left="183"/>
            </w:pPr>
            <w:r>
              <w:rPr>
                <w:b/>
                <w:bCs/>
                <w:spacing w:val="-4"/>
              </w:rPr>
              <w:t>职权类型</w:t>
            </w:r>
          </w:p>
        </w:tc>
        <w:tc>
          <w:tcPr>
            <w:tcW w:w="8524" w:type="dxa"/>
            <w:vMerge w:val="restart"/>
            <w:tcBorders>
              <w:bottom w:val="nil"/>
            </w:tcBorders>
            <w:vAlign w:val="top"/>
          </w:tcPr>
          <w:p w14:paraId="0832E422">
            <w:pPr>
              <w:pStyle w:val="8"/>
              <w:spacing w:before="273" w:line="219" w:lineRule="auto"/>
              <w:ind w:left="4083"/>
            </w:pPr>
            <w:r>
              <w:rPr>
                <w:b/>
                <w:bCs/>
                <w:spacing w:val="-5"/>
              </w:rPr>
              <w:t>实施依据</w:t>
            </w:r>
          </w:p>
        </w:tc>
        <w:tc>
          <w:tcPr>
            <w:tcW w:w="3435" w:type="dxa"/>
            <w:gridSpan w:val="3"/>
            <w:vAlign w:val="top"/>
          </w:tcPr>
          <w:p w14:paraId="4BFB5E1C">
            <w:pPr>
              <w:pStyle w:val="8"/>
              <w:spacing w:before="94" w:line="220" w:lineRule="auto"/>
              <w:ind w:left="1360"/>
            </w:pPr>
            <w:r>
              <w:rPr>
                <w:b/>
                <w:bCs/>
                <w:spacing w:val="-5"/>
              </w:rPr>
              <w:t>实施主体</w:t>
            </w:r>
          </w:p>
        </w:tc>
      </w:tr>
      <w:tr w14:paraId="76AB1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724A1FD9">
            <w:pPr>
              <w:rPr>
                <w:rFonts w:ascii="Arial"/>
                <w:sz w:val="21"/>
              </w:rPr>
            </w:pPr>
          </w:p>
        </w:tc>
        <w:tc>
          <w:tcPr>
            <w:tcW w:w="1101" w:type="dxa"/>
            <w:vMerge w:val="continue"/>
            <w:tcBorders>
              <w:top w:val="nil"/>
            </w:tcBorders>
            <w:vAlign w:val="top"/>
          </w:tcPr>
          <w:p w14:paraId="37FB9486">
            <w:pPr>
              <w:rPr>
                <w:rFonts w:ascii="Arial"/>
                <w:sz w:val="21"/>
              </w:rPr>
            </w:pPr>
          </w:p>
        </w:tc>
        <w:tc>
          <w:tcPr>
            <w:tcW w:w="1101" w:type="dxa"/>
            <w:vMerge w:val="continue"/>
            <w:tcBorders>
              <w:top w:val="nil"/>
            </w:tcBorders>
            <w:vAlign w:val="top"/>
          </w:tcPr>
          <w:p w14:paraId="4FD8F8C0">
            <w:pPr>
              <w:rPr>
                <w:rFonts w:ascii="Arial"/>
                <w:sz w:val="21"/>
              </w:rPr>
            </w:pPr>
          </w:p>
        </w:tc>
        <w:tc>
          <w:tcPr>
            <w:tcW w:w="8524" w:type="dxa"/>
            <w:vMerge w:val="continue"/>
            <w:tcBorders>
              <w:top w:val="nil"/>
            </w:tcBorders>
            <w:vAlign w:val="top"/>
          </w:tcPr>
          <w:p w14:paraId="4E20B879">
            <w:pPr>
              <w:rPr>
                <w:rFonts w:ascii="Arial"/>
                <w:sz w:val="21"/>
              </w:rPr>
            </w:pPr>
          </w:p>
        </w:tc>
        <w:tc>
          <w:tcPr>
            <w:tcW w:w="1011" w:type="dxa"/>
            <w:vAlign w:val="top"/>
          </w:tcPr>
          <w:p w14:paraId="74E81DE9">
            <w:pPr>
              <w:pStyle w:val="8"/>
              <w:spacing w:before="85" w:line="219" w:lineRule="auto"/>
              <w:ind w:left="154"/>
            </w:pPr>
            <w:r>
              <w:rPr>
                <w:b/>
                <w:bCs/>
                <w:spacing w:val="-5"/>
              </w:rPr>
              <w:t>责任部门</w:t>
            </w:r>
          </w:p>
        </w:tc>
        <w:tc>
          <w:tcPr>
            <w:tcW w:w="1404" w:type="dxa"/>
            <w:vAlign w:val="top"/>
          </w:tcPr>
          <w:p w14:paraId="63E8C56D">
            <w:pPr>
              <w:pStyle w:val="8"/>
              <w:spacing w:before="85" w:line="219" w:lineRule="auto"/>
              <w:ind w:left="164"/>
            </w:pPr>
            <w:r>
              <w:rPr>
                <w:b/>
                <w:bCs/>
                <w:spacing w:val="-3"/>
              </w:rPr>
              <w:t>第一责任层级</w:t>
            </w:r>
          </w:p>
        </w:tc>
        <w:tc>
          <w:tcPr>
            <w:tcW w:w="1020" w:type="dxa"/>
            <w:vAlign w:val="top"/>
          </w:tcPr>
          <w:p w14:paraId="5EA9F819">
            <w:pPr>
              <w:pStyle w:val="8"/>
              <w:spacing w:before="84" w:line="219" w:lineRule="auto"/>
              <w:ind w:left="114"/>
            </w:pPr>
            <w:r>
              <w:rPr>
                <w:b/>
                <w:bCs/>
                <w:spacing w:val="-4"/>
              </w:rPr>
              <w:t>承办机构</w:t>
            </w:r>
          </w:p>
        </w:tc>
      </w:tr>
      <w:tr w14:paraId="24D1F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14" w:hRule="atLeast"/>
        </w:trPr>
        <w:tc>
          <w:tcPr>
            <w:tcW w:w="629" w:type="dxa"/>
            <w:vAlign w:val="top"/>
          </w:tcPr>
          <w:p w14:paraId="212C26BB">
            <w:pPr>
              <w:spacing w:line="247" w:lineRule="auto"/>
              <w:rPr>
                <w:rFonts w:ascii="Arial"/>
                <w:sz w:val="21"/>
              </w:rPr>
            </w:pPr>
          </w:p>
          <w:p w14:paraId="13A03687">
            <w:pPr>
              <w:spacing w:line="248" w:lineRule="auto"/>
              <w:rPr>
                <w:rFonts w:ascii="Arial"/>
                <w:sz w:val="21"/>
              </w:rPr>
            </w:pPr>
          </w:p>
          <w:p w14:paraId="2AE58506">
            <w:pPr>
              <w:spacing w:line="248" w:lineRule="auto"/>
              <w:rPr>
                <w:rFonts w:ascii="Arial"/>
                <w:sz w:val="21"/>
              </w:rPr>
            </w:pPr>
          </w:p>
          <w:p w14:paraId="48D8AA7C">
            <w:pPr>
              <w:spacing w:line="248" w:lineRule="auto"/>
              <w:rPr>
                <w:rFonts w:ascii="Arial"/>
                <w:sz w:val="21"/>
              </w:rPr>
            </w:pPr>
          </w:p>
          <w:p w14:paraId="409EB8B9">
            <w:pPr>
              <w:spacing w:line="248" w:lineRule="auto"/>
              <w:rPr>
                <w:rFonts w:ascii="Arial"/>
                <w:sz w:val="21"/>
              </w:rPr>
            </w:pPr>
          </w:p>
          <w:p w14:paraId="3A1C14C5">
            <w:pPr>
              <w:spacing w:line="248" w:lineRule="auto"/>
              <w:rPr>
                <w:rFonts w:ascii="Arial"/>
                <w:sz w:val="21"/>
              </w:rPr>
            </w:pPr>
          </w:p>
          <w:p w14:paraId="03912ABD">
            <w:pPr>
              <w:spacing w:line="248" w:lineRule="auto"/>
              <w:rPr>
                <w:rFonts w:ascii="Arial"/>
                <w:sz w:val="21"/>
              </w:rPr>
            </w:pPr>
          </w:p>
          <w:p w14:paraId="7135DBE9">
            <w:pPr>
              <w:spacing w:line="248" w:lineRule="auto"/>
              <w:rPr>
                <w:rFonts w:ascii="Arial"/>
                <w:sz w:val="21"/>
              </w:rPr>
            </w:pPr>
          </w:p>
          <w:p w14:paraId="741C6938">
            <w:pPr>
              <w:spacing w:line="248" w:lineRule="auto"/>
              <w:rPr>
                <w:rFonts w:ascii="Arial"/>
                <w:sz w:val="21"/>
              </w:rPr>
            </w:pPr>
          </w:p>
          <w:p w14:paraId="767D80D5">
            <w:pPr>
              <w:spacing w:line="248" w:lineRule="auto"/>
              <w:rPr>
                <w:rFonts w:ascii="Arial"/>
                <w:sz w:val="21"/>
              </w:rPr>
            </w:pPr>
          </w:p>
          <w:p w14:paraId="766A84F9">
            <w:pPr>
              <w:spacing w:line="248" w:lineRule="auto"/>
              <w:rPr>
                <w:rFonts w:ascii="Arial"/>
                <w:sz w:val="21"/>
              </w:rPr>
            </w:pPr>
          </w:p>
          <w:p w14:paraId="0231612C">
            <w:pPr>
              <w:spacing w:line="248" w:lineRule="auto"/>
              <w:rPr>
                <w:rFonts w:ascii="Arial"/>
                <w:sz w:val="21"/>
              </w:rPr>
            </w:pPr>
          </w:p>
          <w:p w14:paraId="77BC7E52">
            <w:pPr>
              <w:spacing w:line="248" w:lineRule="auto"/>
              <w:rPr>
                <w:rFonts w:ascii="Arial"/>
                <w:sz w:val="21"/>
              </w:rPr>
            </w:pPr>
          </w:p>
          <w:p w14:paraId="1C55C568">
            <w:pPr>
              <w:pStyle w:val="8"/>
              <w:spacing w:before="59" w:line="184" w:lineRule="auto"/>
              <w:ind w:left="234"/>
              <w:rPr>
                <w:rFonts w:hint="eastAsia" w:eastAsia="宋体"/>
                <w:lang w:eastAsia="zh-CN"/>
              </w:rPr>
            </w:pPr>
            <w:r>
              <w:rPr>
                <w:spacing w:val="-10"/>
              </w:rPr>
              <w:t>1</w:t>
            </w:r>
            <w:r>
              <w:rPr>
                <w:rFonts w:hint="eastAsia"/>
                <w:spacing w:val="-10"/>
                <w:lang w:val="en-US" w:eastAsia="zh-CN"/>
              </w:rPr>
              <w:t>2</w:t>
            </w:r>
          </w:p>
        </w:tc>
        <w:tc>
          <w:tcPr>
            <w:tcW w:w="1101" w:type="dxa"/>
            <w:vAlign w:val="top"/>
          </w:tcPr>
          <w:p w14:paraId="4EC55C91">
            <w:pPr>
              <w:spacing w:line="246" w:lineRule="auto"/>
              <w:rPr>
                <w:rFonts w:ascii="Arial"/>
                <w:sz w:val="21"/>
              </w:rPr>
            </w:pPr>
          </w:p>
          <w:p w14:paraId="136808BA">
            <w:pPr>
              <w:spacing w:line="246" w:lineRule="auto"/>
              <w:rPr>
                <w:rFonts w:ascii="Arial"/>
                <w:sz w:val="21"/>
              </w:rPr>
            </w:pPr>
          </w:p>
          <w:p w14:paraId="3FE523D9">
            <w:pPr>
              <w:spacing w:line="246" w:lineRule="auto"/>
              <w:rPr>
                <w:rFonts w:ascii="Arial"/>
                <w:sz w:val="21"/>
              </w:rPr>
            </w:pPr>
          </w:p>
          <w:p w14:paraId="100A3D81">
            <w:pPr>
              <w:spacing w:line="246" w:lineRule="auto"/>
              <w:rPr>
                <w:rFonts w:ascii="Arial"/>
                <w:sz w:val="21"/>
              </w:rPr>
            </w:pPr>
          </w:p>
          <w:p w14:paraId="60559CE4">
            <w:pPr>
              <w:spacing w:line="246" w:lineRule="auto"/>
              <w:rPr>
                <w:rFonts w:ascii="Arial"/>
                <w:sz w:val="21"/>
              </w:rPr>
            </w:pPr>
          </w:p>
          <w:p w14:paraId="4BC5BF38">
            <w:pPr>
              <w:spacing w:line="246" w:lineRule="auto"/>
              <w:rPr>
                <w:rFonts w:ascii="Arial"/>
                <w:sz w:val="21"/>
              </w:rPr>
            </w:pPr>
          </w:p>
          <w:p w14:paraId="2BD57826">
            <w:pPr>
              <w:spacing w:line="246" w:lineRule="auto"/>
              <w:rPr>
                <w:rFonts w:ascii="Arial"/>
                <w:sz w:val="21"/>
              </w:rPr>
            </w:pPr>
          </w:p>
          <w:p w14:paraId="2F4D6997">
            <w:pPr>
              <w:spacing w:line="247" w:lineRule="auto"/>
              <w:rPr>
                <w:rFonts w:ascii="Arial"/>
                <w:sz w:val="21"/>
              </w:rPr>
            </w:pPr>
          </w:p>
          <w:p w14:paraId="69982CC6">
            <w:pPr>
              <w:spacing w:line="247" w:lineRule="auto"/>
              <w:rPr>
                <w:rFonts w:ascii="Arial"/>
                <w:sz w:val="21"/>
              </w:rPr>
            </w:pPr>
          </w:p>
          <w:p w14:paraId="50795053">
            <w:pPr>
              <w:spacing w:line="247" w:lineRule="auto"/>
              <w:rPr>
                <w:rFonts w:ascii="Arial"/>
                <w:sz w:val="21"/>
              </w:rPr>
            </w:pPr>
          </w:p>
          <w:p w14:paraId="485AA598">
            <w:pPr>
              <w:spacing w:line="247" w:lineRule="auto"/>
              <w:rPr>
                <w:rFonts w:ascii="Arial"/>
                <w:sz w:val="21"/>
              </w:rPr>
            </w:pPr>
          </w:p>
          <w:p w14:paraId="51B22895">
            <w:pPr>
              <w:spacing w:line="247" w:lineRule="auto"/>
              <w:rPr>
                <w:rFonts w:ascii="Arial"/>
                <w:sz w:val="21"/>
              </w:rPr>
            </w:pPr>
          </w:p>
          <w:p w14:paraId="3F3F4AE3">
            <w:pPr>
              <w:pStyle w:val="8"/>
              <w:spacing w:before="59"/>
              <w:ind w:left="18" w:right="20"/>
              <w:jc w:val="both"/>
            </w:pPr>
            <w:r>
              <w:rPr>
                <w:spacing w:val="-6"/>
              </w:rPr>
              <w:t>对擅自从事道</w:t>
            </w:r>
            <w:r>
              <w:rPr>
                <w:spacing w:val="2"/>
              </w:rPr>
              <w:t xml:space="preserve"> </w:t>
            </w:r>
            <w:r>
              <w:rPr>
                <w:spacing w:val="-6"/>
              </w:rPr>
              <w:t>路危险货物运</w:t>
            </w:r>
            <w:r>
              <w:rPr>
                <w:spacing w:val="2"/>
              </w:rPr>
              <w:t xml:space="preserve"> </w:t>
            </w:r>
            <w:r>
              <w:rPr>
                <w:spacing w:val="-6"/>
              </w:rPr>
              <w:t>输等行为的行</w:t>
            </w:r>
            <w:r>
              <w:rPr>
                <w:spacing w:val="2"/>
              </w:rPr>
              <w:t xml:space="preserve"> </w:t>
            </w:r>
            <w:r>
              <w:rPr>
                <w:spacing w:val="-5"/>
              </w:rPr>
              <w:t>政处罚</w:t>
            </w:r>
          </w:p>
        </w:tc>
        <w:tc>
          <w:tcPr>
            <w:tcW w:w="1101" w:type="dxa"/>
            <w:vAlign w:val="top"/>
          </w:tcPr>
          <w:p w14:paraId="158F9215">
            <w:pPr>
              <w:spacing w:line="245" w:lineRule="auto"/>
              <w:rPr>
                <w:rFonts w:ascii="Arial"/>
                <w:sz w:val="21"/>
              </w:rPr>
            </w:pPr>
          </w:p>
          <w:p w14:paraId="17650E4B">
            <w:pPr>
              <w:spacing w:line="245" w:lineRule="auto"/>
              <w:rPr>
                <w:rFonts w:ascii="Arial"/>
                <w:sz w:val="21"/>
              </w:rPr>
            </w:pPr>
          </w:p>
          <w:p w14:paraId="1FDEE263">
            <w:pPr>
              <w:spacing w:line="246" w:lineRule="auto"/>
              <w:rPr>
                <w:rFonts w:ascii="Arial"/>
                <w:sz w:val="21"/>
              </w:rPr>
            </w:pPr>
          </w:p>
          <w:p w14:paraId="62A57E8A">
            <w:pPr>
              <w:spacing w:line="246" w:lineRule="auto"/>
              <w:rPr>
                <w:rFonts w:ascii="Arial"/>
                <w:sz w:val="21"/>
              </w:rPr>
            </w:pPr>
          </w:p>
          <w:p w14:paraId="60EC8FB6">
            <w:pPr>
              <w:spacing w:line="246" w:lineRule="auto"/>
              <w:rPr>
                <w:rFonts w:ascii="Arial"/>
                <w:sz w:val="21"/>
              </w:rPr>
            </w:pPr>
          </w:p>
          <w:p w14:paraId="7220EA97">
            <w:pPr>
              <w:spacing w:line="246" w:lineRule="auto"/>
              <w:rPr>
                <w:rFonts w:ascii="Arial"/>
                <w:sz w:val="21"/>
              </w:rPr>
            </w:pPr>
          </w:p>
          <w:p w14:paraId="6EF1D905">
            <w:pPr>
              <w:spacing w:line="246" w:lineRule="auto"/>
              <w:rPr>
                <w:rFonts w:ascii="Arial"/>
                <w:sz w:val="21"/>
              </w:rPr>
            </w:pPr>
          </w:p>
          <w:p w14:paraId="0C0778EE">
            <w:pPr>
              <w:spacing w:line="246" w:lineRule="auto"/>
              <w:rPr>
                <w:rFonts w:ascii="Arial"/>
                <w:sz w:val="21"/>
              </w:rPr>
            </w:pPr>
          </w:p>
          <w:p w14:paraId="22BA3307">
            <w:pPr>
              <w:spacing w:line="246" w:lineRule="auto"/>
              <w:rPr>
                <w:rFonts w:ascii="Arial"/>
                <w:sz w:val="21"/>
              </w:rPr>
            </w:pPr>
          </w:p>
          <w:p w14:paraId="0AC66A09">
            <w:pPr>
              <w:spacing w:line="246" w:lineRule="auto"/>
              <w:rPr>
                <w:rFonts w:ascii="Arial"/>
                <w:sz w:val="21"/>
              </w:rPr>
            </w:pPr>
          </w:p>
          <w:p w14:paraId="7953C54A">
            <w:pPr>
              <w:spacing w:line="246" w:lineRule="auto"/>
              <w:rPr>
                <w:rFonts w:ascii="Arial"/>
                <w:sz w:val="21"/>
              </w:rPr>
            </w:pPr>
          </w:p>
          <w:p w14:paraId="3E02DB31">
            <w:pPr>
              <w:spacing w:line="246" w:lineRule="auto"/>
              <w:rPr>
                <w:rFonts w:ascii="Arial"/>
                <w:sz w:val="21"/>
              </w:rPr>
            </w:pPr>
          </w:p>
          <w:p w14:paraId="42FD0088">
            <w:pPr>
              <w:spacing w:line="246" w:lineRule="auto"/>
              <w:rPr>
                <w:rFonts w:ascii="Arial"/>
                <w:sz w:val="21"/>
              </w:rPr>
            </w:pPr>
          </w:p>
          <w:p w14:paraId="58BB391B">
            <w:pPr>
              <w:pStyle w:val="8"/>
              <w:spacing w:before="59" w:line="220" w:lineRule="auto"/>
              <w:ind w:left="25"/>
            </w:pPr>
            <w:r>
              <w:rPr>
                <w:spacing w:val="-7"/>
              </w:rPr>
              <w:t>行政处罚</w:t>
            </w:r>
          </w:p>
        </w:tc>
        <w:tc>
          <w:tcPr>
            <w:tcW w:w="8524" w:type="dxa"/>
            <w:vAlign w:val="top"/>
          </w:tcPr>
          <w:p w14:paraId="0B5F7C12">
            <w:pPr>
              <w:pStyle w:val="8"/>
              <w:spacing w:before="35" w:line="219" w:lineRule="auto"/>
              <w:ind w:left="458"/>
            </w:pPr>
            <w:r>
              <w:rPr>
                <w:b/>
                <w:bCs/>
                <w:spacing w:val="-10"/>
              </w:rPr>
              <w:t>1.《中华人民共和国道路运输条例》</w:t>
            </w:r>
          </w:p>
          <w:p w14:paraId="5B09DD82">
            <w:pPr>
              <w:pStyle w:val="8"/>
              <w:spacing w:before="27" w:line="239" w:lineRule="auto"/>
              <w:ind w:left="116" w:right="150" w:firstLine="328"/>
              <w:jc w:val="both"/>
            </w:pPr>
            <w:r>
              <w:rPr>
                <w:spacing w:val="-8"/>
              </w:rPr>
              <w:t>第二十四条  申请从事货运经营的，应当依法向市场监督管理部门办理有关登记手续后，按照下列规定提</w:t>
            </w:r>
            <w:r>
              <w:t xml:space="preserve"> </w:t>
            </w:r>
            <w:r>
              <w:rPr>
                <w:spacing w:val="-8"/>
              </w:rPr>
              <w:t>出申请并分别提交符合本条例第二十一条、第二十三条规定条件的相关材料：(一)从事危险</w:t>
            </w:r>
            <w:r>
              <w:rPr>
                <w:spacing w:val="-9"/>
              </w:rPr>
              <w:t>货物运输经营以外</w:t>
            </w:r>
            <w:r>
              <w:t xml:space="preserve"> </w:t>
            </w:r>
            <w:r>
              <w:rPr>
                <w:spacing w:val="-8"/>
              </w:rPr>
              <w:t>的货运经营的，向县级人民政府交通运输主管部门提出申请；(二)从事危险货物运输经营的</w:t>
            </w:r>
            <w:r>
              <w:rPr>
                <w:spacing w:val="-9"/>
              </w:rPr>
              <w:t>，向设区的市级</w:t>
            </w:r>
            <w:r>
              <w:rPr>
                <w:rFonts w:hint="eastAsia"/>
                <w:spacing w:val="-9"/>
                <w:lang w:eastAsia="zh-CN"/>
              </w:rPr>
              <w:t>人民政府</w:t>
            </w:r>
            <w:r>
              <w:rPr>
                <w:spacing w:val="-9"/>
              </w:rPr>
              <w:t>交通运输主管部门提出申请。</w:t>
            </w:r>
          </w:p>
          <w:p w14:paraId="068D35B4">
            <w:pPr>
              <w:pStyle w:val="8"/>
              <w:spacing w:before="26" w:line="237" w:lineRule="auto"/>
              <w:ind w:left="102" w:right="150" w:firstLine="343"/>
            </w:pPr>
            <w:r>
              <w:rPr>
                <w:spacing w:val="-8"/>
              </w:rPr>
              <w:t>依照前款规定收到申请的交通运输主管部门，应当自受理申请之日起20日内审查完毕，作出许可或者不予</w:t>
            </w:r>
            <w:r>
              <w:rPr>
                <w:spacing w:val="6"/>
              </w:rPr>
              <w:t xml:space="preserve"> </w:t>
            </w:r>
            <w:r>
              <w:rPr>
                <w:spacing w:val="-8"/>
              </w:rPr>
              <w:t>许可的决定。予以许可的，向申请人颁发道路运输经营许可证，并向申请人投入运输的车辆配发车辆营运</w:t>
            </w:r>
            <w:r>
              <w:rPr>
                <w:spacing w:val="-9"/>
              </w:rPr>
              <w:t>证；</w:t>
            </w:r>
            <w:r>
              <w:t xml:space="preserve"> </w:t>
            </w:r>
            <w:r>
              <w:rPr>
                <w:spacing w:val="-8"/>
              </w:rPr>
              <w:t>不予许可的，应当书面通知申请人并说明理由。</w:t>
            </w:r>
          </w:p>
          <w:p w14:paraId="20F531E5">
            <w:pPr>
              <w:pStyle w:val="8"/>
              <w:spacing w:before="26" w:line="233" w:lineRule="auto"/>
              <w:ind w:left="102" w:right="150" w:firstLine="343"/>
            </w:pPr>
            <w:r>
              <w:rPr>
                <w:spacing w:val="-8"/>
              </w:rPr>
              <w:t>使用总质量4500千克及以下普通货运车辆从事普通货运经营的，无需按照本条规定申请取得道路运输经营</w:t>
            </w:r>
            <w:r>
              <w:rPr>
                <w:spacing w:val="15"/>
              </w:rPr>
              <w:t xml:space="preserve"> </w:t>
            </w:r>
            <w:r>
              <w:rPr>
                <w:spacing w:val="-8"/>
              </w:rPr>
              <w:t>许可证及车辆营运证。</w:t>
            </w:r>
          </w:p>
          <w:p w14:paraId="567DD174">
            <w:pPr>
              <w:pStyle w:val="8"/>
              <w:spacing w:before="23"/>
              <w:ind w:left="102" w:right="148" w:firstLine="343"/>
              <w:jc w:val="both"/>
            </w:pPr>
            <w:r>
              <w:rPr>
                <w:spacing w:val="-8"/>
              </w:rPr>
              <w:t>第六十三条第（三）项</w:t>
            </w:r>
            <w:r>
              <w:rPr>
                <w:spacing w:val="74"/>
              </w:rPr>
              <w:t xml:space="preserve"> </w:t>
            </w:r>
            <w:r>
              <w:rPr>
                <w:spacing w:val="-8"/>
              </w:rPr>
              <w:t>违反本条例的规定，有下列情形之一的，由县级以上地方人民政府交通运输主管</w:t>
            </w:r>
            <w:r>
              <w:t xml:space="preserve"> </w:t>
            </w:r>
            <w:r>
              <w:rPr>
                <w:spacing w:val="-8"/>
              </w:rPr>
              <w:t>部门责令停止经营，并处罚款；构成犯罪的，依法追究刑事责任：(三)未取得道路运输经营许可，擅自从事道</w:t>
            </w:r>
            <w:r>
              <w:rPr>
                <w:spacing w:val="9"/>
              </w:rPr>
              <w:t xml:space="preserve"> </w:t>
            </w:r>
            <w:r>
              <w:rPr>
                <w:spacing w:val="-8"/>
              </w:rPr>
              <w:t>路危险货物运输经营，违法所得超过2万元的，没收违法所得，处违法所得2倍以上10倍以下的罚款；没有违法</w:t>
            </w:r>
            <w:r>
              <w:rPr>
                <w:spacing w:val="17"/>
              </w:rPr>
              <w:t xml:space="preserve"> </w:t>
            </w:r>
            <w:r>
              <w:rPr>
                <w:spacing w:val="-7"/>
              </w:rPr>
              <w:t>所得或者违法所得不足2万元的，处3万元以上10</w:t>
            </w:r>
            <w:r>
              <w:rPr>
                <w:spacing w:val="-8"/>
              </w:rPr>
              <w:t>万元以下的罚款。</w:t>
            </w:r>
          </w:p>
          <w:p w14:paraId="3DE3DE50">
            <w:pPr>
              <w:pStyle w:val="8"/>
              <w:spacing w:before="26" w:line="219" w:lineRule="auto"/>
              <w:ind w:left="447"/>
            </w:pPr>
            <w:r>
              <w:rPr>
                <w:b/>
                <w:bCs/>
                <w:spacing w:val="-8"/>
              </w:rPr>
              <w:t>2.《放射性物品道路运输管理规定》(交通运输部令2023年第17号)</w:t>
            </w:r>
          </w:p>
          <w:p w14:paraId="6E304A50">
            <w:pPr>
              <w:pStyle w:val="8"/>
              <w:spacing w:before="25" w:line="242" w:lineRule="auto"/>
              <w:ind w:left="102" w:right="148" w:firstLine="343"/>
              <w:jc w:val="both"/>
            </w:pPr>
            <w:r>
              <w:rPr>
                <w:spacing w:val="-8"/>
              </w:rPr>
              <w:t>第三十八条</w:t>
            </w:r>
            <w:r>
              <w:rPr>
                <w:spacing w:val="74"/>
              </w:rPr>
              <w:t xml:space="preserve"> </w:t>
            </w:r>
            <w:r>
              <w:rPr>
                <w:spacing w:val="-8"/>
              </w:rPr>
              <w:t>违反本规定，未取得有关放射性物品道路运输资质许可，有下列情形之一的，由交通运输主</w:t>
            </w:r>
            <w:r>
              <w:t xml:space="preserve"> </w:t>
            </w:r>
            <w:r>
              <w:rPr>
                <w:spacing w:val="-8"/>
              </w:rPr>
              <w:t>管部门责令停止运输，违法所得超过2万元的，没收违法所得，处违法所得2倍以上10倍以下的罚款；没有违法</w:t>
            </w:r>
            <w:r>
              <w:rPr>
                <w:spacing w:val="17"/>
              </w:rPr>
              <w:t xml:space="preserve"> </w:t>
            </w:r>
            <w:r>
              <w:rPr>
                <w:spacing w:val="-7"/>
              </w:rPr>
              <w:t>所得或者违法所得不足2万元的，处3万元以上10万元以下的罚款。构成犯罪的，依法追究</w:t>
            </w:r>
            <w:r>
              <w:rPr>
                <w:spacing w:val="-8"/>
              </w:rPr>
              <w:t>刑事责任</w:t>
            </w:r>
            <w:r>
              <w:rPr>
                <w:spacing w:val="-21"/>
              </w:rPr>
              <w:t>：（</w:t>
            </w:r>
            <w:r>
              <w:rPr>
                <w:spacing w:val="-8"/>
              </w:rPr>
              <w:t>一）无</w:t>
            </w:r>
            <w:r>
              <w:t xml:space="preserve"> </w:t>
            </w:r>
            <w:r>
              <w:rPr>
                <w:spacing w:val="-7"/>
              </w:rPr>
              <w:t>资质许可擅自从事放射性物品道路运输的</w:t>
            </w:r>
            <w:r>
              <w:rPr>
                <w:spacing w:val="-21"/>
              </w:rPr>
              <w:t>；（</w:t>
            </w:r>
            <w:r>
              <w:rPr>
                <w:spacing w:val="-7"/>
              </w:rPr>
              <w:t>二）使用失</w:t>
            </w:r>
            <w:r>
              <w:rPr>
                <w:spacing w:val="-8"/>
              </w:rPr>
              <w:t>效、伪造、变造、被注销等无效放射性物品道路运输</w:t>
            </w:r>
            <w:r>
              <w:rPr>
                <w:spacing w:val="1"/>
              </w:rPr>
              <w:t xml:space="preserve"> </w:t>
            </w:r>
            <w:r>
              <w:rPr>
                <w:spacing w:val="-7"/>
              </w:rPr>
              <w:t>许可证件从事放射性物品道路运输的</w:t>
            </w:r>
            <w:r>
              <w:rPr>
                <w:spacing w:val="-20"/>
              </w:rPr>
              <w:t>；（</w:t>
            </w:r>
            <w:r>
              <w:rPr>
                <w:spacing w:val="-7"/>
              </w:rPr>
              <w:t>三）超越资质许可事项，从事放射性物品道路运输的</w:t>
            </w:r>
            <w:r>
              <w:rPr>
                <w:spacing w:val="-20"/>
              </w:rPr>
              <w:t>；（</w:t>
            </w:r>
            <w:r>
              <w:rPr>
                <w:spacing w:val="-7"/>
              </w:rPr>
              <w:t>四）非经营</w:t>
            </w:r>
            <w:r>
              <w:rPr>
                <w:spacing w:val="2"/>
              </w:rPr>
              <w:t xml:space="preserve"> </w:t>
            </w:r>
            <w:r>
              <w:rPr>
                <w:spacing w:val="-8"/>
              </w:rPr>
              <w:t>性放射性物品道路运输单位从事放射性物品道路运输经营的。</w:t>
            </w:r>
          </w:p>
          <w:p w14:paraId="4BF70FAD">
            <w:pPr>
              <w:pStyle w:val="8"/>
              <w:spacing w:before="25" w:line="219" w:lineRule="auto"/>
              <w:ind w:left="449"/>
            </w:pPr>
            <w:r>
              <w:rPr>
                <w:b/>
                <w:bCs/>
                <w:spacing w:val="-8"/>
              </w:rPr>
              <w:t>3.《道路危险货物运输管理规定》(交通运输部令2023年第13号)</w:t>
            </w:r>
          </w:p>
          <w:p w14:paraId="11DB0EC6">
            <w:pPr>
              <w:pStyle w:val="8"/>
              <w:spacing w:before="30" w:line="237" w:lineRule="auto"/>
              <w:ind w:left="102" w:right="88" w:firstLine="343"/>
              <w:jc w:val="both"/>
            </w:pPr>
            <w:r>
              <w:rPr>
                <w:spacing w:val="-8"/>
              </w:rPr>
              <w:t>第五十五条</w:t>
            </w:r>
            <w:r>
              <w:rPr>
                <w:spacing w:val="73"/>
              </w:rPr>
              <w:t xml:space="preserve"> </w:t>
            </w:r>
            <w:r>
              <w:rPr>
                <w:spacing w:val="-8"/>
              </w:rPr>
              <w:t>违反本规定，有下列情形之一的，由交通运输主管部门责令停止运输</w:t>
            </w:r>
            <w:r>
              <w:rPr>
                <w:spacing w:val="-9"/>
              </w:rPr>
              <w:t>经营，违法所得超过2万</w:t>
            </w:r>
            <w:r>
              <w:t xml:space="preserve"> </w:t>
            </w:r>
            <w:r>
              <w:rPr>
                <w:spacing w:val="-8"/>
              </w:rPr>
              <w:t>元的，没收违法所得，处违法所得2倍以上10倍以下的罚款；没有违法所得或者违法所得不足2万元的</w:t>
            </w:r>
            <w:r>
              <w:rPr>
                <w:spacing w:val="-9"/>
              </w:rPr>
              <w:t>，处3万元</w:t>
            </w:r>
            <w:r>
              <w:t xml:space="preserve"> </w:t>
            </w:r>
            <w:r>
              <w:rPr>
                <w:spacing w:val="-7"/>
              </w:rPr>
              <w:t>以上10万元以下的罚款；构成犯罪的，依法追究刑事责任</w:t>
            </w:r>
            <w:r>
              <w:rPr>
                <w:spacing w:val="-22"/>
              </w:rPr>
              <w:t>：（</w:t>
            </w:r>
            <w:r>
              <w:rPr>
                <w:spacing w:val="-7"/>
              </w:rPr>
              <w:t>一）未取得道路</w:t>
            </w:r>
            <w:r>
              <w:rPr>
                <w:spacing w:val="-8"/>
              </w:rPr>
              <w:t>危险货物运输许可，擅自从事道</w:t>
            </w:r>
            <w:r>
              <w:rPr>
                <w:spacing w:val="1"/>
              </w:rPr>
              <w:t xml:space="preserve"> </w:t>
            </w:r>
            <w:r>
              <w:rPr>
                <w:spacing w:val="-7"/>
              </w:rPr>
              <w:t>路危险货物运输的</w:t>
            </w:r>
            <w:r>
              <w:rPr>
                <w:spacing w:val="-22"/>
              </w:rPr>
              <w:t>；（</w:t>
            </w:r>
            <w:r>
              <w:rPr>
                <w:spacing w:val="-7"/>
              </w:rPr>
              <w:t>二）使用失效、伪造、变造、被注销等</w:t>
            </w:r>
            <w:r>
              <w:rPr>
                <w:spacing w:val="-8"/>
              </w:rPr>
              <w:t>无效道路危险货物运输许可证件从事道路危险货</w:t>
            </w:r>
            <w:r>
              <w:rPr>
                <w:spacing w:val="1"/>
              </w:rPr>
              <w:t xml:space="preserve"> </w:t>
            </w:r>
            <w:r>
              <w:rPr>
                <w:spacing w:val="-7"/>
              </w:rPr>
              <w:t>物运输的</w:t>
            </w:r>
            <w:r>
              <w:rPr>
                <w:spacing w:val="-20"/>
              </w:rPr>
              <w:t>；（</w:t>
            </w:r>
            <w:r>
              <w:rPr>
                <w:spacing w:val="-7"/>
              </w:rPr>
              <w:t>三）超越许可事项，从事道路危险货物运输的</w:t>
            </w:r>
            <w:r>
              <w:rPr>
                <w:spacing w:val="-20"/>
              </w:rPr>
              <w:t>；（</w:t>
            </w:r>
            <w:r>
              <w:rPr>
                <w:spacing w:val="-7"/>
              </w:rPr>
              <w:t>四）非经营性道路危险货物运输单位从事道路</w:t>
            </w:r>
            <w:r>
              <w:rPr>
                <w:spacing w:val="2"/>
              </w:rPr>
              <w:t xml:space="preserve"> </w:t>
            </w:r>
            <w:r>
              <w:rPr>
                <w:spacing w:val="-8"/>
              </w:rPr>
              <w:t>危险货物运输经营的。</w:t>
            </w:r>
          </w:p>
        </w:tc>
        <w:tc>
          <w:tcPr>
            <w:tcW w:w="1011" w:type="dxa"/>
            <w:vAlign w:val="top"/>
          </w:tcPr>
          <w:p w14:paraId="2E831495">
            <w:pPr>
              <w:spacing w:line="256" w:lineRule="auto"/>
              <w:rPr>
                <w:rFonts w:ascii="Arial"/>
                <w:sz w:val="21"/>
              </w:rPr>
            </w:pPr>
          </w:p>
          <w:p w14:paraId="30B13E9E">
            <w:pPr>
              <w:spacing w:line="256" w:lineRule="auto"/>
              <w:rPr>
                <w:rFonts w:ascii="Arial"/>
                <w:sz w:val="21"/>
              </w:rPr>
            </w:pPr>
          </w:p>
          <w:p w14:paraId="57CB0497">
            <w:pPr>
              <w:spacing w:line="256" w:lineRule="auto"/>
              <w:rPr>
                <w:rFonts w:ascii="Arial"/>
                <w:sz w:val="21"/>
              </w:rPr>
            </w:pPr>
          </w:p>
          <w:p w14:paraId="61EA3E56">
            <w:pPr>
              <w:spacing w:line="256" w:lineRule="auto"/>
              <w:rPr>
                <w:rFonts w:ascii="Arial"/>
                <w:sz w:val="21"/>
              </w:rPr>
            </w:pPr>
          </w:p>
          <w:p w14:paraId="4C90A024">
            <w:pPr>
              <w:spacing w:line="256" w:lineRule="auto"/>
              <w:rPr>
                <w:rFonts w:ascii="Arial"/>
                <w:sz w:val="21"/>
              </w:rPr>
            </w:pPr>
          </w:p>
          <w:p w14:paraId="0CDF3221">
            <w:pPr>
              <w:spacing w:line="256" w:lineRule="auto"/>
              <w:rPr>
                <w:rFonts w:ascii="Arial"/>
                <w:sz w:val="21"/>
              </w:rPr>
            </w:pPr>
          </w:p>
          <w:p w14:paraId="08E6CC23">
            <w:pPr>
              <w:spacing w:line="256" w:lineRule="auto"/>
              <w:rPr>
                <w:rFonts w:ascii="Arial"/>
                <w:sz w:val="21"/>
              </w:rPr>
            </w:pPr>
          </w:p>
          <w:p w14:paraId="3CE27F76">
            <w:pPr>
              <w:spacing w:line="257" w:lineRule="auto"/>
              <w:rPr>
                <w:rFonts w:ascii="Arial"/>
                <w:sz w:val="21"/>
              </w:rPr>
            </w:pPr>
          </w:p>
          <w:p w14:paraId="3FAF5A72">
            <w:pPr>
              <w:spacing w:line="257" w:lineRule="auto"/>
              <w:rPr>
                <w:rFonts w:ascii="Arial"/>
                <w:sz w:val="21"/>
              </w:rPr>
            </w:pPr>
          </w:p>
          <w:p w14:paraId="338C8C9D">
            <w:pPr>
              <w:spacing w:line="257" w:lineRule="auto"/>
              <w:rPr>
                <w:rFonts w:ascii="Arial"/>
                <w:sz w:val="21"/>
              </w:rPr>
            </w:pPr>
          </w:p>
          <w:p w14:paraId="2B441570">
            <w:pPr>
              <w:spacing w:line="257" w:lineRule="auto"/>
              <w:rPr>
                <w:rFonts w:ascii="Arial"/>
                <w:sz w:val="21"/>
              </w:rPr>
            </w:pPr>
          </w:p>
          <w:p w14:paraId="44DB5873">
            <w:pPr>
              <w:spacing w:line="257" w:lineRule="auto"/>
              <w:rPr>
                <w:rFonts w:ascii="Arial"/>
                <w:sz w:val="21"/>
              </w:rPr>
            </w:pPr>
          </w:p>
          <w:p w14:paraId="2A1579B3">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7C8D64F">
            <w:pPr>
              <w:spacing w:line="256" w:lineRule="auto"/>
              <w:rPr>
                <w:rFonts w:ascii="Arial"/>
                <w:sz w:val="21"/>
              </w:rPr>
            </w:pPr>
          </w:p>
          <w:p w14:paraId="2707840F">
            <w:pPr>
              <w:spacing w:line="256" w:lineRule="auto"/>
              <w:rPr>
                <w:rFonts w:ascii="Arial"/>
                <w:sz w:val="21"/>
              </w:rPr>
            </w:pPr>
          </w:p>
          <w:p w14:paraId="7A20BDE3">
            <w:pPr>
              <w:spacing w:line="256" w:lineRule="auto"/>
              <w:rPr>
                <w:rFonts w:ascii="Arial"/>
                <w:sz w:val="21"/>
              </w:rPr>
            </w:pPr>
          </w:p>
          <w:p w14:paraId="5E9DD283">
            <w:pPr>
              <w:spacing w:line="256" w:lineRule="auto"/>
              <w:rPr>
                <w:rFonts w:ascii="Arial"/>
                <w:sz w:val="21"/>
              </w:rPr>
            </w:pPr>
          </w:p>
          <w:p w14:paraId="586DC692">
            <w:pPr>
              <w:spacing w:line="256" w:lineRule="auto"/>
              <w:rPr>
                <w:rFonts w:ascii="Arial"/>
                <w:sz w:val="21"/>
              </w:rPr>
            </w:pPr>
          </w:p>
          <w:p w14:paraId="728C0689">
            <w:pPr>
              <w:spacing w:line="256" w:lineRule="auto"/>
              <w:rPr>
                <w:rFonts w:ascii="Arial"/>
                <w:sz w:val="21"/>
              </w:rPr>
            </w:pPr>
          </w:p>
          <w:p w14:paraId="1CBB4521">
            <w:pPr>
              <w:spacing w:line="256" w:lineRule="auto"/>
              <w:rPr>
                <w:rFonts w:ascii="Arial"/>
                <w:sz w:val="21"/>
              </w:rPr>
            </w:pPr>
          </w:p>
          <w:p w14:paraId="5F6A6E05">
            <w:pPr>
              <w:spacing w:line="257" w:lineRule="auto"/>
              <w:rPr>
                <w:rFonts w:ascii="Arial"/>
                <w:sz w:val="21"/>
              </w:rPr>
            </w:pPr>
          </w:p>
          <w:p w14:paraId="5A6A060A">
            <w:pPr>
              <w:spacing w:line="257" w:lineRule="auto"/>
              <w:rPr>
                <w:rFonts w:ascii="Arial"/>
                <w:sz w:val="21"/>
              </w:rPr>
            </w:pPr>
          </w:p>
          <w:p w14:paraId="148D4C08">
            <w:pPr>
              <w:spacing w:line="257" w:lineRule="auto"/>
              <w:rPr>
                <w:rFonts w:ascii="Arial"/>
                <w:sz w:val="21"/>
              </w:rPr>
            </w:pPr>
          </w:p>
          <w:p w14:paraId="5779AF9A">
            <w:pPr>
              <w:spacing w:line="257" w:lineRule="auto"/>
              <w:rPr>
                <w:rFonts w:ascii="Arial"/>
                <w:sz w:val="21"/>
              </w:rPr>
            </w:pPr>
          </w:p>
          <w:p w14:paraId="42E854C3">
            <w:pPr>
              <w:spacing w:line="257" w:lineRule="auto"/>
              <w:rPr>
                <w:rFonts w:ascii="Arial"/>
                <w:sz w:val="21"/>
              </w:rPr>
            </w:pPr>
          </w:p>
          <w:p w14:paraId="7A66E4E1">
            <w:pPr>
              <w:pStyle w:val="8"/>
              <w:spacing w:before="58"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3D7E447B">
            <w:pPr>
              <w:spacing w:line="258" w:lineRule="auto"/>
              <w:rPr>
                <w:rFonts w:ascii="Arial"/>
                <w:sz w:val="21"/>
              </w:rPr>
            </w:pPr>
          </w:p>
          <w:p w14:paraId="53637C58">
            <w:pPr>
              <w:spacing w:line="258" w:lineRule="auto"/>
              <w:rPr>
                <w:rFonts w:ascii="Arial"/>
                <w:sz w:val="21"/>
              </w:rPr>
            </w:pPr>
          </w:p>
          <w:p w14:paraId="6D4CF01D">
            <w:pPr>
              <w:spacing w:line="258" w:lineRule="auto"/>
              <w:rPr>
                <w:rFonts w:ascii="Arial"/>
                <w:sz w:val="21"/>
              </w:rPr>
            </w:pPr>
          </w:p>
          <w:p w14:paraId="6AA32FB4">
            <w:pPr>
              <w:spacing w:line="258" w:lineRule="auto"/>
              <w:rPr>
                <w:rFonts w:ascii="Arial"/>
                <w:sz w:val="21"/>
              </w:rPr>
            </w:pPr>
          </w:p>
          <w:p w14:paraId="4F39BA39">
            <w:pPr>
              <w:spacing w:line="258" w:lineRule="auto"/>
              <w:rPr>
                <w:rFonts w:ascii="Arial"/>
                <w:sz w:val="21"/>
              </w:rPr>
            </w:pPr>
          </w:p>
          <w:p w14:paraId="47B33DFC">
            <w:pPr>
              <w:spacing w:line="258" w:lineRule="auto"/>
              <w:rPr>
                <w:rFonts w:ascii="Arial"/>
                <w:sz w:val="21"/>
              </w:rPr>
            </w:pPr>
          </w:p>
          <w:p w14:paraId="11241EC7">
            <w:pPr>
              <w:spacing w:line="258" w:lineRule="auto"/>
              <w:rPr>
                <w:rFonts w:ascii="Arial"/>
                <w:sz w:val="21"/>
              </w:rPr>
            </w:pPr>
          </w:p>
          <w:p w14:paraId="46D549F6">
            <w:pPr>
              <w:spacing w:line="258" w:lineRule="auto"/>
              <w:rPr>
                <w:rFonts w:ascii="Arial"/>
                <w:sz w:val="21"/>
              </w:rPr>
            </w:pPr>
          </w:p>
          <w:p w14:paraId="44CB91D4">
            <w:pPr>
              <w:spacing w:line="258" w:lineRule="auto"/>
              <w:rPr>
                <w:rFonts w:ascii="Arial"/>
                <w:sz w:val="21"/>
              </w:rPr>
            </w:pPr>
          </w:p>
          <w:p w14:paraId="35F907F5">
            <w:pPr>
              <w:spacing w:line="259" w:lineRule="auto"/>
              <w:rPr>
                <w:rFonts w:ascii="Arial"/>
                <w:sz w:val="21"/>
              </w:rPr>
            </w:pPr>
          </w:p>
          <w:p w14:paraId="3EF3FD6C">
            <w:pPr>
              <w:spacing w:line="259" w:lineRule="auto"/>
              <w:rPr>
                <w:rFonts w:ascii="Arial"/>
                <w:sz w:val="21"/>
              </w:rPr>
            </w:pPr>
          </w:p>
          <w:p w14:paraId="4EDF7C5C">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5AA0C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79" w:hRule="atLeast"/>
        </w:trPr>
        <w:tc>
          <w:tcPr>
            <w:tcW w:w="629" w:type="dxa"/>
            <w:vAlign w:val="top"/>
          </w:tcPr>
          <w:p w14:paraId="49D89729">
            <w:pPr>
              <w:spacing w:line="307" w:lineRule="auto"/>
              <w:rPr>
                <w:rFonts w:ascii="Arial"/>
                <w:sz w:val="21"/>
              </w:rPr>
            </w:pPr>
          </w:p>
          <w:p w14:paraId="1A95443D">
            <w:pPr>
              <w:spacing w:line="307" w:lineRule="auto"/>
              <w:rPr>
                <w:rFonts w:ascii="Arial"/>
                <w:sz w:val="21"/>
              </w:rPr>
            </w:pPr>
          </w:p>
          <w:p w14:paraId="1D6E12D5">
            <w:pPr>
              <w:spacing w:line="308" w:lineRule="auto"/>
              <w:rPr>
                <w:rFonts w:ascii="Arial"/>
                <w:sz w:val="21"/>
              </w:rPr>
            </w:pPr>
          </w:p>
          <w:p w14:paraId="609F89FA">
            <w:pPr>
              <w:pStyle w:val="8"/>
              <w:spacing w:before="59" w:line="184" w:lineRule="auto"/>
              <w:ind w:left="234"/>
              <w:rPr>
                <w:rFonts w:hint="eastAsia" w:eastAsia="宋体"/>
                <w:lang w:eastAsia="zh-CN"/>
              </w:rPr>
            </w:pPr>
            <w:r>
              <w:rPr>
                <w:spacing w:val="-10"/>
              </w:rPr>
              <w:t>1</w:t>
            </w:r>
            <w:r>
              <w:rPr>
                <w:rFonts w:hint="eastAsia"/>
                <w:spacing w:val="-10"/>
                <w:lang w:val="en-US" w:eastAsia="zh-CN"/>
              </w:rPr>
              <w:t>3</w:t>
            </w:r>
          </w:p>
        </w:tc>
        <w:tc>
          <w:tcPr>
            <w:tcW w:w="1101" w:type="dxa"/>
            <w:vAlign w:val="top"/>
          </w:tcPr>
          <w:p w14:paraId="6E275374">
            <w:pPr>
              <w:pStyle w:val="8"/>
              <w:spacing w:before="236" w:line="243" w:lineRule="auto"/>
              <w:ind w:left="18" w:right="20"/>
              <w:jc w:val="both"/>
            </w:pPr>
            <w:r>
              <w:rPr>
                <w:spacing w:val="-6"/>
              </w:rPr>
              <w:t>对未取得相应</w:t>
            </w:r>
            <w:r>
              <w:rPr>
                <w:spacing w:val="2"/>
              </w:rPr>
              <w:t xml:space="preserve"> </w:t>
            </w:r>
            <w:r>
              <w:rPr>
                <w:spacing w:val="-6"/>
              </w:rPr>
              <w:t>从业资格证件</w:t>
            </w:r>
            <w:r>
              <w:rPr>
                <w:spacing w:val="2"/>
              </w:rPr>
              <w:t xml:space="preserve"> </w:t>
            </w:r>
            <w:r>
              <w:rPr>
                <w:spacing w:val="-6"/>
              </w:rPr>
              <w:t>等从事道路运</w:t>
            </w:r>
            <w:r>
              <w:rPr>
                <w:spacing w:val="2"/>
              </w:rPr>
              <w:t xml:space="preserve"> </w:t>
            </w:r>
            <w:r>
              <w:rPr>
                <w:spacing w:val="-6"/>
              </w:rPr>
              <w:t>输经营及道路</w:t>
            </w:r>
            <w:r>
              <w:rPr>
                <w:spacing w:val="2"/>
              </w:rPr>
              <w:t xml:space="preserve"> </w:t>
            </w:r>
            <w:r>
              <w:rPr>
                <w:spacing w:val="-6"/>
              </w:rPr>
              <w:t>运输相关业务</w:t>
            </w:r>
            <w:r>
              <w:rPr>
                <w:spacing w:val="2"/>
              </w:rPr>
              <w:t xml:space="preserve"> </w:t>
            </w:r>
            <w:r>
              <w:rPr>
                <w:spacing w:val="-6"/>
              </w:rPr>
              <w:t>经营行为的行</w:t>
            </w:r>
            <w:r>
              <w:rPr>
                <w:spacing w:val="2"/>
              </w:rPr>
              <w:t xml:space="preserve"> </w:t>
            </w:r>
            <w:r>
              <w:rPr>
                <w:spacing w:val="-5"/>
              </w:rPr>
              <w:t>政处罚</w:t>
            </w:r>
          </w:p>
        </w:tc>
        <w:tc>
          <w:tcPr>
            <w:tcW w:w="1101" w:type="dxa"/>
            <w:vAlign w:val="top"/>
          </w:tcPr>
          <w:p w14:paraId="41896C49">
            <w:pPr>
              <w:spacing w:line="298" w:lineRule="auto"/>
              <w:rPr>
                <w:rFonts w:ascii="Arial"/>
                <w:sz w:val="21"/>
              </w:rPr>
            </w:pPr>
          </w:p>
          <w:p w14:paraId="70F677D5">
            <w:pPr>
              <w:spacing w:line="298" w:lineRule="auto"/>
              <w:rPr>
                <w:rFonts w:ascii="Arial"/>
                <w:sz w:val="21"/>
              </w:rPr>
            </w:pPr>
          </w:p>
          <w:p w14:paraId="060AE4C7">
            <w:pPr>
              <w:spacing w:line="299" w:lineRule="auto"/>
              <w:rPr>
                <w:rFonts w:ascii="Arial"/>
                <w:sz w:val="21"/>
              </w:rPr>
            </w:pPr>
          </w:p>
          <w:p w14:paraId="4E05FB20">
            <w:pPr>
              <w:pStyle w:val="8"/>
              <w:spacing w:before="58" w:line="220" w:lineRule="auto"/>
              <w:ind w:left="25"/>
            </w:pPr>
            <w:r>
              <w:rPr>
                <w:spacing w:val="-7"/>
              </w:rPr>
              <w:t>行政处罚</w:t>
            </w:r>
          </w:p>
        </w:tc>
        <w:tc>
          <w:tcPr>
            <w:tcW w:w="8524" w:type="dxa"/>
            <w:vAlign w:val="top"/>
          </w:tcPr>
          <w:p w14:paraId="6A3725D1">
            <w:pPr>
              <w:pStyle w:val="8"/>
              <w:spacing w:before="38" w:line="219" w:lineRule="auto"/>
              <w:ind w:left="458"/>
            </w:pPr>
            <w:r>
              <w:rPr>
                <w:b/>
                <w:bCs/>
                <w:spacing w:val="-10"/>
              </w:rPr>
              <w:t>1.《中华人民共和国道路运输条例》</w:t>
            </w:r>
          </w:p>
          <w:p w14:paraId="1678EFEB">
            <w:pPr>
              <w:pStyle w:val="8"/>
              <w:spacing w:before="15" w:line="230" w:lineRule="auto"/>
              <w:ind w:left="101" w:right="88" w:firstLine="343"/>
              <w:jc w:val="both"/>
            </w:pPr>
            <w:r>
              <w:rPr>
                <w:spacing w:val="-7"/>
              </w:rPr>
              <w:t>第九条</w:t>
            </w:r>
            <w:r>
              <w:rPr>
                <w:spacing w:val="81"/>
              </w:rPr>
              <w:t xml:space="preserve"> </w:t>
            </w:r>
            <w:r>
              <w:rPr>
                <w:spacing w:val="-7"/>
              </w:rPr>
              <w:t>从事客运经营的驾驶人员，应当符合下列条件</w:t>
            </w:r>
            <w:r>
              <w:rPr>
                <w:spacing w:val="-20"/>
              </w:rPr>
              <w:t>：（</w:t>
            </w:r>
            <w:r>
              <w:rPr>
                <w:spacing w:val="-7"/>
              </w:rPr>
              <w:t>一）取得相应的机动车驾驶证</w:t>
            </w:r>
            <w:r>
              <w:rPr>
                <w:spacing w:val="-20"/>
              </w:rPr>
              <w:t>；（</w:t>
            </w:r>
            <w:r>
              <w:rPr>
                <w:spacing w:val="-7"/>
              </w:rPr>
              <w:t>二）年龄不</w:t>
            </w:r>
            <w:r>
              <w:t xml:space="preserve"> </w:t>
            </w:r>
            <w:r>
              <w:rPr>
                <w:spacing w:val="-7"/>
              </w:rPr>
              <w:t>超过60周岁</w:t>
            </w:r>
            <w:r>
              <w:rPr>
                <w:spacing w:val="-23"/>
              </w:rPr>
              <w:t>；（</w:t>
            </w:r>
            <w:r>
              <w:rPr>
                <w:spacing w:val="-7"/>
              </w:rPr>
              <w:t>三）3年内无重大以上交通责任事故记录</w:t>
            </w:r>
            <w:r>
              <w:rPr>
                <w:spacing w:val="-23"/>
              </w:rPr>
              <w:t>；（</w:t>
            </w:r>
            <w:r>
              <w:rPr>
                <w:spacing w:val="-7"/>
              </w:rPr>
              <w:t>四）经设区的市级人民政府交通运输主管部门对有</w:t>
            </w:r>
            <w:r>
              <w:rPr>
                <w:spacing w:val="2"/>
              </w:rPr>
              <w:t xml:space="preserve"> </w:t>
            </w:r>
            <w:r>
              <w:rPr>
                <w:spacing w:val="-8"/>
              </w:rPr>
              <w:t>关客运法律法规、机动车维修和旅客急救基本知识考试合格。</w:t>
            </w:r>
          </w:p>
          <w:p w14:paraId="3C0A8CAC">
            <w:pPr>
              <w:pStyle w:val="8"/>
              <w:spacing w:before="18" w:line="230" w:lineRule="auto"/>
              <w:ind w:left="101" w:right="150" w:firstLine="343"/>
              <w:jc w:val="both"/>
            </w:pPr>
            <w:r>
              <w:rPr>
                <w:spacing w:val="-7"/>
              </w:rPr>
              <w:t>第二十二条</w:t>
            </w:r>
            <w:r>
              <w:rPr>
                <w:spacing w:val="77"/>
              </w:rPr>
              <w:t xml:space="preserve"> </w:t>
            </w:r>
            <w:r>
              <w:rPr>
                <w:spacing w:val="-7"/>
              </w:rPr>
              <w:t>从事货运经营的驾驶人员，应当符合下列条件</w:t>
            </w:r>
            <w:r>
              <w:rPr>
                <w:spacing w:val="-19"/>
              </w:rPr>
              <w:t>：（</w:t>
            </w:r>
            <w:r>
              <w:rPr>
                <w:spacing w:val="-7"/>
              </w:rPr>
              <w:t>一）取得相应的机动车驾驶证</w:t>
            </w:r>
            <w:r>
              <w:rPr>
                <w:spacing w:val="-19"/>
              </w:rPr>
              <w:t>；（</w:t>
            </w:r>
            <w:r>
              <w:rPr>
                <w:spacing w:val="-7"/>
              </w:rPr>
              <w:t>二）年</w:t>
            </w:r>
            <w:r>
              <w:t xml:space="preserve"> </w:t>
            </w:r>
            <w:r>
              <w:rPr>
                <w:spacing w:val="-7"/>
              </w:rPr>
              <w:t>龄不超过60周岁</w:t>
            </w:r>
            <w:r>
              <w:rPr>
                <w:spacing w:val="-22"/>
              </w:rPr>
              <w:t>；（</w:t>
            </w:r>
            <w:r>
              <w:rPr>
                <w:spacing w:val="-7"/>
              </w:rPr>
              <w:t>三）经设区的市级人民政府交通运输主管部门对有关货运法</w:t>
            </w:r>
            <w:r>
              <w:rPr>
                <w:spacing w:val="-8"/>
              </w:rPr>
              <w:t>律法规、机动车维修和货物装</w:t>
            </w:r>
            <w:r>
              <w:rPr>
                <w:spacing w:val="1"/>
              </w:rPr>
              <w:t xml:space="preserve"> </w:t>
            </w:r>
            <w:r>
              <w:rPr>
                <w:spacing w:val="-7"/>
              </w:rPr>
              <w:t>载保管基本知识考试合格（使用总质量4500千克及以下普通货运车辆的驾驶人员除外）。</w:t>
            </w:r>
          </w:p>
          <w:p w14:paraId="56F31060">
            <w:pPr>
              <w:pStyle w:val="8"/>
              <w:spacing w:before="16" w:line="216" w:lineRule="auto"/>
              <w:ind w:left="102" w:right="157" w:firstLine="342"/>
              <w:jc w:val="both"/>
            </w:pPr>
            <w:r>
              <w:rPr>
                <w:spacing w:val="-8"/>
              </w:rPr>
              <w:t>第六十四条</w:t>
            </w:r>
            <w:r>
              <w:rPr>
                <w:spacing w:val="76"/>
              </w:rPr>
              <w:t xml:space="preserve"> </w:t>
            </w:r>
            <w:r>
              <w:rPr>
                <w:spacing w:val="-8"/>
              </w:rPr>
              <w:t>不符合本条例第九条、第二十二条规定条件的人员驾驶道路运输经营车辆的，由县级以</w:t>
            </w:r>
            <w:r>
              <w:rPr>
                <w:spacing w:val="-9"/>
              </w:rPr>
              <w:t>上地</w:t>
            </w:r>
            <w:r>
              <w:t xml:space="preserve"> </w:t>
            </w:r>
            <w:r>
              <w:rPr>
                <w:spacing w:val="-7"/>
              </w:rPr>
              <w:t>方人民政府交通运输主管部门责令改正，处200元以上2000元以下的罚款</w:t>
            </w:r>
            <w:r>
              <w:rPr>
                <w:spacing w:val="-8"/>
              </w:rPr>
              <w:t>；构成犯罪的，依法追究刑事责任。</w:t>
            </w:r>
          </w:p>
        </w:tc>
        <w:tc>
          <w:tcPr>
            <w:tcW w:w="1011" w:type="dxa"/>
            <w:vAlign w:val="top"/>
          </w:tcPr>
          <w:p w14:paraId="7C28931E">
            <w:pPr>
              <w:spacing w:line="258" w:lineRule="auto"/>
              <w:rPr>
                <w:rFonts w:ascii="Arial"/>
                <w:sz w:val="21"/>
              </w:rPr>
            </w:pPr>
          </w:p>
          <w:p w14:paraId="7A2144F2">
            <w:pPr>
              <w:spacing w:line="258" w:lineRule="auto"/>
              <w:rPr>
                <w:rFonts w:ascii="Arial"/>
                <w:sz w:val="21"/>
              </w:rPr>
            </w:pPr>
          </w:p>
          <w:p w14:paraId="5B937F94">
            <w:pPr>
              <w:spacing w:line="259" w:lineRule="auto"/>
              <w:rPr>
                <w:rFonts w:ascii="Arial"/>
                <w:sz w:val="21"/>
              </w:rPr>
            </w:pPr>
          </w:p>
          <w:p w14:paraId="73A1C97F">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404FF715">
            <w:pPr>
              <w:spacing w:line="258" w:lineRule="auto"/>
              <w:rPr>
                <w:rFonts w:ascii="Arial"/>
                <w:sz w:val="21"/>
              </w:rPr>
            </w:pPr>
          </w:p>
          <w:p w14:paraId="1F42E371">
            <w:pPr>
              <w:spacing w:line="258" w:lineRule="auto"/>
              <w:rPr>
                <w:rFonts w:ascii="Arial"/>
                <w:sz w:val="21"/>
              </w:rPr>
            </w:pPr>
          </w:p>
          <w:p w14:paraId="1C5B496B">
            <w:pPr>
              <w:spacing w:line="259" w:lineRule="auto"/>
              <w:rPr>
                <w:rFonts w:ascii="Arial"/>
                <w:sz w:val="21"/>
              </w:rPr>
            </w:pPr>
          </w:p>
          <w:p w14:paraId="5CE2B7D1">
            <w:pPr>
              <w:pStyle w:val="8"/>
              <w:spacing w:before="59"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61658A24">
            <w:pPr>
              <w:spacing w:line="269" w:lineRule="auto"/>
              <w:rPr>
                <w:rFonts w:ascii="Arial"/>
                <w:sz w:val="21"/>
              </w:rPr>
            </w:pPr>
          </w:p>
          <w:p w14:paraId="2D599CE8">
            <w:pPr>
              <w:spacing w:line="269" w:lineRule="auto"/>
              <w:rPr>
                <w:rFonts w:ascii="Arial"/>
                <w:sz w:val="21"/>
              </w:rPr>
            </w:pPr>
          </w:p>
          <w:p w14:paraId="22B5F6D0">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2E3A158A">
      <w:pPr>
        <w:pStyle w:val="2"/>
        <w:spacing w:line="228" w:lineRule="exact"/>
        <w:rPr>
          <w:sz w:val="19"/>
        </w:rPr>
      </w:pPr>
    </w:p>
    <w:p w14:paraId="43CD1F14">
      <w:pPr>
        <w:spacing w:line="228" w:lineRule="exact"/>
        <w:rPr>
          <w:sz w:val="19"/>
          <w:szCs w:val="19"/>
        </w:rPr>
        <w:sectPr>
          <w:footerReference r:id="rId30" w:type="default"/>
          <w:pgSz w:w="16839" w:h="11906"/>
          <w:pgMar w:top="1012" w:right="1016" w:bottom="966" w:left="1016" w:header="0" w:footer="768" w:gutter="0"/>
          <w:cols w:space="720" w:num="1"/>
        </w:sectPr>
      </w:pPr>
    </w:p>
    <w:p w14:paraId="28BDEB14">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4411F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51BB5E77">
            <w:pPr>
              <w:pStyle w:val="8"/>
              <w:spacing w:before="273" w:line="221" w:lineRule="auto"/>
              <w:ind w:left="129"/>
            </w:pPr>
            <w:r>
              <w:rPr>
                <w:b/>
                <w:bCs/>
                <w:spacing w:val="-4"/>
              </w:rPr>
              <w:t>序号</w:t>
            </w:r>
          </w:p>
        </w:tc>
        <w:tc>
          <w:tcPr>
            <w:tcW w:w="1101" w:type="dxa"/>
            <w:vMerge w:val="restart"/>
            <w:tcBorders>
              <w:bottom w:val="nil"/>
            </w:tcBorders>
            <w:vAlign w:val="top"/>
          </w:tcPr>
          <w:p w14:paraId="277393AA">
            <w:pPr>
              <w:pStyle w:val="8"/>
              <w:spacing w:before="274" w:line="220" w:lineRule="auto"/>
              <w:ind w:left="182"/>
            </w:pPr>
            <w:r>
              <w:rPr>
                <w:b/>
                <w:bCs/>
                <w:spacing w:val="-4"/>
              </w:rPr>
              <w:t>事项名称</w:t>
            </w:r>
          </w:p>
        </w:tc>
        <w:tc>
          <w:tcPr>
            <w:tcW w:w="1101" w:type="dxa"/>
            <w:vMerge w:val="restart"/>
            <w:tcBorders>
              <w:bottom w:val="nil"/>
            </w:tcBorders>
            <w:vAlign w:val="top"/>
          </w:tcPr>
          <w:p w14:paraId="6C90467E">
            <w:pPr>
              <w:pStyle w:val="8"/>
              <w:spacing w:before="274" w:line="219" w:lineRule="auto"/>
              <w:ind w:left="183"/>
            </w:pPr>
            <w:r>
              <w:rPr>
                <w:b/>
                <w:bCs/>
                <w:spacing w:val="-4"/>
              </w:rPr>
              <w:t>职权类型</w:t>
            </w:r>
          </w:p>
        </w:tc>
        <w:tc>
          <w:tcPr>
            <w:tcW w:w="8524" w:type="dxa"/>
            <w:vMerge w:val="restart"/>
            <w:tcBorders>
              <w:bottom w:val="nil"/>
            </w:tcBorders>
            <w:vAlign w:val="top"/>
          </w:tcPr>
          <w:p w14:paraId="2F121BF8">
            <w:pPr>
              <w:pStyle w:val="8"/>
              <w:spacing w:before="273" w:line="219" w:lineRule="auto"/>
              <w:ind w:left="4083"/>
            </w:pPr>
            <w:r>
              <w:rPr>
                <w:b/>
                <w:bCs/>
                <w:spacing w:val="-5"/>
              </w:rPr>
              <w:t>实施依据</w:t>
            </w:r>
          </w:p>
        </w:tc>
        <w:tc>
          <w:tcPr>
            <w:tcW w:w="3435" w:type="dxa"/>
            <w:gridSpan w:val="3"/>
            <w:vAlign w:val="top"/>
          </w:tcPr>
          <w:p w14:paraId="39A69459">
            <w:pPr>
              <w:pStyle w:val="8"/>
              <w:spacing w:before="94" w:line="220" w:lineRule="auto"/>
              <w:ind w:left="1360"/>
            </w:pPr>
            <w:r>
              <w:rPr>
                <w:b/>
                <w:bCs/>
                <w:spacing w:val="-5"/>
              </w:rPr>
              <w:t>实施主体</w:t>
            </w:r>
          </w:p>
        </w:tc>
      </w:tr>
      <w:tr w14:paraId="3F65F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4F4C442">
            <w:pPr>
              <w:rPr>
                <w:rFonts w:ascii="Arial"/>
                <w:sz w:val="21"/>
              </w:rPr>
            </w:pPr>
          </w:p>
        </w:tc>
        <w:tc>
          <w:tcPr>
            <w:tcW w:w="1101" w:type="dxa"/>
            <w:vMerge w:val="continue"/>
            <w:tcBorders>
              <w:top w:val="nil"/>
            </w:tcBorders>
            <w:vAlign w:val="top"/>
          </w:tcPr>
          <w:p w14:paraId="45ED91DA">
            <w:pPr>
              <w:rPr>
                <w:rFonts w:ascii="Arial"/>
                <w:sz w:val="21"/>
              </w:rPr>
            </w:pPr>
          </w:p>
        </w:tc>
        <w:tc>
          <w:tcPr>
            <w:tcW w:w="1101" w:type="dxa"/>
            <w:vMerge w:val="continue"/>
            <w:tcBorders>
              <w:top w:val="nil"/>
            </w:tcBorders>
            <w:vAlign w:val="top"/>
          </w:tcPr>
          <w:p w14:paraId="3945F423">
            <w:pPr>
              <w:rPr>
                <w:rFonts w:ascii="Arial"/>
                <w:sz w:val="21"/>
              </w:rPr>
            </w:pPr>
          </w:p>
        </w:tc>
        <w:tc>
          <w:tcPr>
            <w:tcW w:w="8524" w:type="dxa"/>
            <w:vMerge w:val="continue"/>
            <w:tcBorders>
              <w:top w:val="nil"/>
            </w:tcBorders>
            <w:vAlign w:val="top"/>
          </w:tcPr>
          <w:p w14:paraId="1A30FCC9">
            <w:pPr>
              <w:rPr>
                <w:rFonts w:ascii="Arial"/>
                <w:sz w:val="21"/>
              </w:rPr>
            </w:pPr>
          </w:p>
        </w:tc>
        <w:tc>
          <w:tcPr>
            <w:tcW w:w="1011" w:type="dxa"/>
            <w:vAlign w:val="top"/>
          </w:tcPr>
          <w:p w14:paraId="5AB805B0">
            <w:pPr>
              <w:pStyle w:val="8"/>
              <w:spacing w:before="85" w:line="219" w:lineRule="auto"/>
              <w:ind w:left="154"/>
            </w:pPr>
            <w:r>
              <w:rPr>
                <w:b/>
                <w:bCs/>
                <w:spacing w:val="-5"/>
              </w:rPr>
              <w:t>责任部门</w:t>
            </w:r>
          </w:p>
        </w:tc>
        <w:tc>
          <w:tcPr>
            <w:tcW w:w="1404" w:type="dxa"/>
            <w:vAlign w:val="top"/>
          </w:tcPr>
          <w:p w14:paraId="58FE1EE3">
            <w:pPr>
              <w:pStyle w:val="8"/>
              <w:spacing w:before="85" w:line="219" w:lineRule="auto"/>
              <w:ind w:left="164"/>
            </w:pPr>
            <w:r>
              <w:rPr>
                <w:b/>
                <w:bCs/>
                <w:spacing w:val="-3"/>
              </w:rPr>
              <w:t>第一责任层级</w:t>
            </w:r>
          </w:p>
        </w:tc>
        <w:tc>
          <w:tcPr>
            <w:tcW w:w="1020" w:type="dxa"/>
            <w:vAlign w:val="top"/>
          </w:tcPr>
          <w:p w14:paraId="43811BAF">
            <w:pPr>
              <w:pStyle w:val="8"/>
              <w:spacing w:before="84" w:line="219" w:lineRule="auto"/>
              <w:ind w:left="114"/>
            </w:pPr>
            <w:r>
              <w:rPr>
                <w:b/>
                <w:bCs/>
                <w:spacing w:val="-4"/>
              </w:rPr>
              <w:t>承办机构</w:t>
            </w:r>
          </w:p>
        </w:tc>
      </w:tr>
      <w:tr w14:paraId="2918A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57" w:hRule="atLeast"/>
        </w:trPr>
        <w:tc>
          <w:tcPr>
            <w:tcW w:w="629" w:type="dxa"/>
            <w:vAlign w:val="top"/>
          </w:tcPr>
          <w:p w14:paraId="3D118627">
            <w:pPr>
              <w:rPr>
                <w:rFonts w:ascii="Arial"/>
                <w:sz w:val="21"/>
              </w:rPr>
            </w:pPr>
          </w:p>
        </w:tc>
        <w:tc>
          <w:tcPr>
            <w:tcW w:w="1101" w:type="dxa"/>
            <w:vAlign w:val="top"/>
          </w:tcPr>
          <w:p w14:paraId="69E179A1">
            <w:pPr>
              <w:rPr>
                <w:rFonts w:ascii="Arial"/>
                <w:sz w:val="21"/>
              </w:rPr>
            </w:pPr>
          </w:p>
        </w:tc>
        <w:tc>
          <w:tcPr>
            <w:tcW w:w="1101" w:type="dxa"/>
            <w:vAlign w:val="top"/>
          </w:tcPr>
          <w:p w14:paraId="103B233D">
            <w:pPr>
              <w:rPr>
                <w:rFonts w:ascii="Arial"/>
                <w:sz w:val="21"/>
              </w:rPr>
            </w:pPr>
          </w:p>
        </w:tc>
        <w:tc>
          <w:tcPr>
            <w:tcW w:w="8524" w:type="dxa"/>
            <w:vAlign w:val="top"/>
          </w:tcPr>
          <w:p w14:paraId="0E269FFF">
            <w:pPr>
              <w:pStyle w:val="8"/>
              <w:spacing w:before="31" w:line="219" w:lineRule="auto"/>
              <w:ind w:left="447"/>
            </w:pPr>
            <w:r>
              <w:rPr>
                <w:b/>
                <w:bCs/>
                <w:spacing w:val="-9"/>
              </w:rPr>
              <w:t>2.《危险化学品安全管理条例》</w:t>
            </w:r>
          </w:p>
          <w:p w14:paraId="4EC36D00">
            <w:pPr>
              <w:pStyle w:val="8"/>
              <w:spacing w:before="19" w:line="233" w:lineRule="auto"/>
              <w:ind w:left="105" w:right="150" w:firstLine="339"/>
              <w:jc w:val="both"/>
            </w:pPr>
            <w:r>
              <w:rPr>
                <w:spacing w:val="-8"/>
              </w:rPr>
              <w:t>第四十四条第一款</w:t>
            </w:r>
            <w:r>
              <w:rPr>
                <w:spacing w:val="75"/>
              </w:rPr>
              <w:t xml:space="preserve"> </w:t>
            </w:r>
            <w:r>
              <w:rPr>
                <w:spacing w:val="-8"/>
              </w:rPr>
              <w:t>危险化学品道路运输企业、水路运输企业的驾驶人员、船员、装卸管理人员、押运人</w:t>
            </w:r>
            <w:r>
              <w:t xml:space="preserve"> </w:t>
            </w:r>
            <w:r>
              <w:rPr>
                <w:spacing w:val="-8"/>
              </w:rPr>
              <w:t>员、申报人员、集装箱装箱现场检查员应当经交通运输主管部门考核合格，取得从业资格。具体办</w:t>
            </w:r>
            <w:r>
              <w:rPr>
                <w:spacing w:val="-9"/>
              </w:rPr>
              <w:t>法由国务院</w:t>
            </w:r>
            <w:r>
              <w:t xml:space="preserve"> </w:t>
            </w:r>
            <w:r>
              <w:rPr>
                <w:spacing w:val="-8"/>
              </w:rPr>
              <w:t>交通运输主管部门制定。</w:t>
            </w:r>
          </w:p>
          <w:p w14:paraId="0B85A964">
            <w:pPr>
              <w:pStyle w:val="8"/>
              <w:spacing w:before="20" w:line="229" w:lineRule="auto"/>
              <w:ind w:left="109" w:right="88" w:firstLine="335"/>
            </w:pPr>
            <w:r>
              <w:rPr>
                <w:spacing w:val="-9"/>
              </w:rPr>
              <w:t>第八十六条第（一）项</w:t>
            </w:r>
            <w:r>
              <w:rPr>
                <w:spacing w:val="90"/>
              </w:rPr>
              <w:t xml:space="preserve"> </w:t>
            </w:r>
            <w:r>
              <w:rPr>
                <w:spacing w:val="-9"/>
              </w:rPr>
              <w:t>有下列情形之一的，由交通运输主管部门责令改正，处</w:t>
            </w:r>
            <w:r>
              <w:rPr>
                <w:spacing w:val="-46"/>
              </w:rPr>
              <w:t xml:space="preserve"> </w:t>
            </w:r>
            <w:r>
              <w:rPr>
                <w:spacing w:val="-9"/>
              </w:rPr>
              <w:t>5</w:t>
            </w:r>
            <w:r>
              <w:rPr>
                <w:spacing w:val="-39"/>
              </w:rPr>
              <w:t xml:space="preserve"> </w:t>
            </w:r>
            <w:r>
              <w:rPr>
                <w:spacing w:val="-9"/>
              </w:rPr>
              <w:t>万元以上</w:t>
            </w:r>
            <w:r>
              <w:rPr>
                <w:spacing w:val="-33"/>
              </w:rPr>
              <w:t xml:space="preserve"> </w:t>
            </w:r>
            <w:r>
              <w:rPr>
                <w:spacing w:val="-9"/>
              </w:rPr>
              <w:t>10</w:t>
            </w:r>
            <w:r>
              <w:rPr>
                <w:spacing w:val="-44"/>
              </w:rPr>
              <w:t xml:space="preserve"> </w:t>
            </w:r>
            <w:r>
              <w:rPr>
                <w:spacing w:val="-9"/>
              </w:rPr>
              <w:t>万元以下的</w:t>
            </w:r>
            <w:r>
              <w:t xml:space="preserve"> </w:t>
            </w:r>
            <w:r>
              <w:rPr>
                <w:spacing w:val="-7"/>
              </w:rPr>
              <w:t>罚款；拒不改正的，责令停产停业整顿；构成犯罪的，依法追</w:t>
            </w:r>
            <w:r>
              <w:rPr>
                <w:spacing w:val="-8"/>
              </w:rPr>
              <w:t>究刑事责任</w:t>
            </w:r>
            <w:r>
              <w:rPr>
                <w:spacing w:val="-22"/>
              </w:rPr>
              <w:t>：（</w:t>
            </w:r>
            <w:r>
              <w:rPr>
                <w:spacing w:val="-8"/>
              </w:rPr>
              <w:t>一）危险化学品道路运输企业、</w:t>
            </w:r>
          </w:p>
          <w:p w14:paraId="34E611F5">
            <w:pPr>
              <w:pStyle w:val="8"/>
              <w:spacing w:before="22" w:line="229" w:lineRule="auto"/>
              <w:ind w:left="102" w:right="150" w:firstLine="2"/>
            </w:pPr>
            <w:r>
              <w:rPr>
                <w:spacing w:val="-8"/>
              </w:rPr>
              <w:t>水路运输企业的驾驶人员、船员、装卸管理人员、押运人员、申报人员、集装箱装箱现场检查员未取</w:t>
            </w:r>
            <w:r>
              <w:rPr>
                <w:spacing w:val="-9"/>
              </w:rPr>
              <w:t>得从业资</w:t>
            </w:r>
            <w:r>
              <w:t xml:space="preserve"> </w:t>
            </w:r>
            <w:r>
              <w:rPr>
                <w:spacing w:val="-7"/>
              </w:rPr>
              <w:t>格上岗作业的。</w:t>
            </w:r>
          </w:p>
          <w:p w14:paraId="28595F64">
            <w:pPr>
              <w:pStyle w:val="8"/>
              <w:spacing w:before="20" w:line="219" w:lineRule="auto"/>
              <w:ind w:left="449"/>
            </w:pPr>
            <w:r>
              <w:rPr>
                <w:b/>
                <w:bCs/>
                <w:spacing w:val="-9"/>
              </w:rPr>
              <w:t>3.《放射性物品道路运输管理规定》(交通运输部令</w:t>
            </w:r>
            <w:r>
              <w:rPr>
                <w:spacing w:val="-33"/>
              </w:rPr>
              <w:t xml:space="preserve"> </w:t>
            </w:r>
            <w:r>
              <w:rPr>
                <w:b/>
                <w:bCs/>
                <w:spacing w:val="-9"/>
              </w:rPr>
              <w:t>2023</w:t>
            </w:r>
            <w:r>
              <w:rPr>
                <w:spacing w:val="-45"/>
              </w:rPr>
              <w:t xml:space="preserve"> </w:t>
            </w:r>
            <w:r>
              <w:rPr>
                <w:b/>
                <w:bCs/>
                <w:spacing w:val="-9"/>
              </w:rPr>
              <w:t>年第</w:t>
            </w:r>
            <w:r>
              <w:rPr>
                <w:spacing w:val="-34"/>
              </w:rPr>
              <w:t xml:space="preserve"> </w:t>
            </w:r>
            <w:r>
              <w:rPr>
                <w:b/>
                <w:bCs/>
                <w:spacing w:val="-9"/>
              </w:rPr>
              <w:t>17</w:t>
            </w:r>
            <w:r>
              <w:rPr>
                <w:spacing w:val="-44"/>
              </w:rPr>
              <w:t xml:space="preserve"> </w:t>
            </w:r>
            <w:r>
              <w:rPr>
                <w:b/>
                <w:bCs/>
                <w:spacing w:val="-9"/>
              </w:rPr>
              <w:t>号)</w:t>
            </w:r>
          </w:p>
          <w:p w14:paraId="180E0D2C">
            <w:pPr>
              <w:pStyle w:val="8"/>
              <w:spacing w:before="20" w:line="219" w:lineRule="auto"/>
              <w:ind w:left="445"/>
            </w:pPr>
            <w:r>
              <w:rPr>
                <w:spacing w:val="-8"/>
              </w:rPr>
              <w:t>第七条  申请从事放射性物品道路运输经营的，应当具备下列条件：</w:t>
            </w:r>
          </w:p>
          <w:p w14:paraId="149F6251">
            <w:pPr>
              <w:pStyle w:val="8"/>
              <w:spacing w:before="19" w:line="238" w:lineRule="auto"/>
              <w:ind w:left="101" w:right="88" w:firstLine="353"/>
            </w:pPr>
            <w:r>
              <w:rPr>
                <w:spacing w:val="-8"/>
              </w:rPr>
              <w:t>（一）有符合要求的专用车辆和设备。1.专用车辆要求。</w:t>
            </w:r>
            <w:r>
              <w:rPr>
                <w:spacing w:val="-9"/>
              </w:rPr>
              <w:t>（1）专用车辆的技术要求应当符合《道路运输车</w:t>
            </w:r>
            <w:r>
              <w:t xml:space="preserve"> </w:t>
            </w:r>
            <w:r>
              <w:rPr>
                <w:spacing w:val="-7"/>
              </w:rPr>
              <w:t>辆技术管理规定》交通运输部令</w:t>
            </w:r>
            <w:r>
              <w:rPr>
                <w:spacing w:val="-41"/>
              </w:rPr>
              <w:t xml:space="preserve"> </w:t>
            </w:r>
            <w:r>
              <w:rPr>
                <w:spacing w:val="-7"/>
              </w:rPr>
              <w:t>2023</w:t>
            </w:r>
            <w:r>
              <w:rPr>
                <w:spacing w:val="-48"/>
              </w:rPr>
              <w:t xml:space="preserve"> </w:t>
            </w:r>
            <w:r>
              <w:rPr>
                <w:spacing w:val="-7"/>
              </w:rPr>
              <w:t>年第</w:t>
            </w:r>
            <w:r>
              <w:rPr>
                <w:spacing w:val="-46"/>
              </w:rPr>
              <w:t xml:space="preserve"> </w:t>
            </w:r>
            <w:r>
              <w:rPr>
                <w:spacing w:val="-7"/>
              </w:rPr>
              <w:t>3</w:t>
            </w:r>
            <w:r>
              <w:rPr>
                <w:spacing w:val="-39"/>
              </w:rPr>
              <w:t xml:space="preserve"> </w:t>
            </w:r>
            <w:r>
              <w:rPr>
                <w:spacing w:val="-7"/>
              </w:rPr>
              <w:t>号有关规定</w:t>
            </w:r>
            <w:r>
              <w:rPr>
                <w:spacing w:val="-23"/>
              </w:rPr>
              <w:t>；（</w:t>
            </w:r>
            <w:r>
              <w:rPr>
                <w:spacing w:val="-7"/>
              </w:rPr>
              <w:t>2）车辆为企业自有，且数量为</w:t>
            </w:r>
            <w:r>
              <w:rPr>
                <w:spacing w:val="-43"/>
              </w:rPr>
              <w:t xml:space="preserve"> </w:t>
            </w:r>
            <w:r>
              <w:rPr>
                <w:spacing w:val="-7"/>
              </w:rPr>
              <w:t>5</w:t>
            </w:r>
            <w:r>
              <w:rPr>
                <w:spacing w:val="-44"/>
              </w:rPr>
              <w:t xml:space="preserve"> </w:t>
            </w:r>
            <w:r>
              <w:rPr>
                <w:spacing w:val="-7"/>
              </w:rPr>
              <w:t>辆以上</w:t>
            </w:r>
            <w:r>
              <w:rPr>
                <w:spacing w:val="-23"/>
              </w:rPr>
              <w:t>；（</w:t>
            </w:r>
            <w:r>
              <w:rPr>
                <w:spacing w:val="-7"/>
              </w:rPr>
              <w:t>3）核</w:t>
            </w:r>
            <w:r>
              <w:t xml:space="preserve"> </w:t>
            </w:r>
            <w:r>
              <w:rPr>
                <w:spacing w:val="-8"/>
              </w:rPr>
              <w:t>定载质量在</w:t>
            </w:r>
            <w:r>
              <w:rPr>
                <w:spacing w:val="-35"/>
              </w:rPr>
              <w:t xml:space="preserve"> </w:t>
            </w:r>
            <w:r>
              <w:rPr>
                <w:spacing w:val="-8"/>
              </w:rPr>
              <w:t>1</w:t>
            </w:r>
            <w:r>
              <w:rPr>
                <w:spacing w:val="-35"/>
              </w:rPr>
              <w:t xml:space="preserve"> </w:t>
            </w:r>
            <w:r>
              <w:rPr>
                <w:spacing w:val="-8"/>
              </w:rPr>
              <w:t>吨及以下的车辆为厢式或者封闭货车</w:t>
            </w:r>
            <w:r>
              <w:rPr>
                <w:spacing w:val="-28"/>
              </w:rPr>
              <w:t>；（</w:t>
            </w:r>
            <w:r>
              <w:rPr>
                <w:spacing w:val="-8"/>
              </w:rPr>
              <w:t>4）车辆配备满足在线监控要求，且具有行驶记录仪功能</w:t>
            </w:r>
            <w:r>
              <w:t xml:space="preserve"> </w:t>
            </w:r>
            <w:r>
              <w:rPr>
                <w:spacing w:val="-7"/>
              </w:rPr>
              <w:t>的卫星定位系统。2.设备要求。（1）配备有效的通讯工具</w:t>
            </w:r>
            <w:r>
              <w:rPr>
                <w:spacing w:val="-22"/>
              </w:rPr>
              <w:t>；（</w:t>
            </w:r>
            <w:r>
              <w:rPr>
                <w:spacing w:val="-7"/>
              </w:rPr>
              <w:t>2）配备必要的辐射防护用品和依法经定</w:t>
            </w:r>
            <w:r>
              <w:rPr>
                <w:spacing w:val="-8"/>
              </w:rPr>
              <w:t>期检定</w:t>
            </w:r>
            <w:r>
              <w:rPr>
                <w:spacing w:val="1"/>
              </w:rPr>
              <w:t xml:space="preserve"> </w:t>
            </w:r>
            <w:r>
              <w:rPr>
                <w:spacing w:val="-8"/>
              </w:rPr>
              <w:t>合格的监测仪器。（二）有符合要求的从业人员。1.专用车辆的驾驶人员取得相应机动车驾驶证，年龄不超过</w:t>
            </w:r>
            <w:r>
              <w:rPr>
                <w:spacing w:val="7"/>
              </w:rPr>
              <w:t xml:space="preserve"> </w:t>
            </w:r>
            <w:r>
              <w:rPr>
                <w:spacing w:val="-8"/>
              </w:rPr>
              <w:t>60</w:t>
            </w:r>
            <w:r>
              <w:rPr>
                <w:spacing w:val="-32"/>
              </w:rPr>
              <w:t xml:space="preserve"> </w:t>
            </w:r>
            <w:r>
              <w:rPr>
                <w:spacing w:val="-8"/>
              </w:rPr>
              <w:t>周岁；2.从事放射性物品道路运输的驾驶人员、装卸管理人员、押运人员经所在地设区的市级人民政府交通</w:t>
            </w:r>
            <w:r>
              <w:t xml:space="preserve"> </w:t>
            </w:r>
            <w:r>
              <w:rPr>
                <w:spacing w:val="-8"/>
              </w:rPr>
              <w:t>运输主管部门考试合格，取得注明从业资格类别为“放射性物品道路运输”的道路运输从业资格证（以下简称</w:t>
            </w:r>
            <w:r>
              <w:t xml:space="preserve"> </w:t>
            </w:r>
            <w:r>
              <w:rPr>
                <w:spacing w:val="-8"/>
              </w:rPr>
              <w:t>道路运输从业资格证</w:t>
            </w:r>
            <w:r>
              <w:rPr>
                <w:spacing w:val="-5"/>
              </w:rPr>
              <w:t>）；</w:t>
            </w:r>
            <w:r>
              <w:rPr>
                <w:spacing w:val="-8"/>
              </w:rPr>
              <w:t>3.有具备辐射防护与相关安全知识的安全管理人员。（三）有健全的安全生产管理制</w:t>
            </w:r>
            <w:r>
              <w:rPr>
                <w:spacing w:val="1"/>
              </w:rPr>
              <w:t xml:space="preserve"> </w:t>
            </w:r>
            <w:r>
              <w:rPr>
                <w:spacing w:val="-7"/>
              </w:rPr>
              <w:t>度。1.有关安全生产应急预案；2.从业人员、车</w:t>
            </w:r>
            <w:r>
              <w:rPr>
                <w:spacing w:val="-8"/>
              </w:rPr>
              <w:t>辆、设备及停车场地安全管理制度；3.安全生产作业规程和辐</w:t>
            </w:r>
            <w:r>
              <w:t xml:space="preserve"> </w:t>
            </w:r>
            <w:r>
              <w:rPr>
                <w:spacing w:val="-8"/>
              </w:rPr>
              <w:t>射防护管理措施；4.安全生产监督检查和责任制度。</w:t>
            </w:r>
          </w:p>
          <w:p w14:paraId="451542C0">
            <w:pPr>
              <w:pStyle w:val="8"/>
              <w:spacing w:before="24" w:line="236" w:lineRule="auto"/>
              <w:ind w:left="101" w:right="150" w:firstLine="343"/>
              <w:jc w:val="both"/>
            </w:pPr>
            <w:r>
              <w:rPr>
                <w:spacing w:val="-8"/>
              </w:rPr>
              <w:t>第八条</w:t>
            </w:r>
            <w:r>
              <w:rPr>
                <w:spacing w:val="77"/>
              </w:rPr>
              <w:t xml:space="preserve"> </w:t>
            </w:r>
            <w:r>
              <w:rPr>
                <w:spacing w:val="-8"/>
              </w:rPr>
              <w:t>生产、销售、使用或者处置放射性物品的单位（含在放射性废物收贮过程中的从事放射性</w:t>
            </w:r>
            <w:r>
              <w:rPr>
                <w:spacing w:val="-9"/>
              </w:rPr>
              <w:t>物品运</w:t>
            </w:r>
            <w:r>
              <w:t xml:space="preserve"> </w:t>
            </w:r>
            <w:r>
              <w:rPr>
                <w:spacing w:val="-8"/>
              </w:rPr>
              <w:t>输的省、自治区、直辖市城市放射性废物库营运单位），符合下列条件的，可以使用自备专用车辆从事为本单</w:t>
            </w:r>
            <w:r>
              <w:t xml:space="preserve"> </w:t>
            </w:r>
            <w:r>
              <w:rPr>
                <w:spacing w:val="-7"/>
              </w:rPr>
              <w:t>位服务的非经营性放射性物品道路运输活动</w:t>
            </w:r>
            <w:r>
              <w:rPr>
                <w:spacing w:val="-22"/>
              </w:rPr>
              <w:t>：（</w:t>
            </w:r>
            <w:r>
              <w:rPr>
                <w:spacing w:val="-7"/>
              </w:rPr>
              <w:t>一）持有有关部</w:t>
            </w:r>
            <w:r>
              <w:rPr>
                <w:spacing w:val="-8"/>
              </w:rPr>
              <w:t>门依法批准的生产、销售、使用、处置放射性</w:t>
            </w:r>
            <w:r>
              <w:rPr>
                <w:spacing w:val="1"/>
              </w:rPr>
              <w:t xml:space="preserve"> </w:t>
            </w:r>
            <w:r>
              <w:rPr>
                <w:spacing w:val="-7"/>
              </w:rPr>
              <w:t>物品的有效证明</w:t>
            </w:r>
            <w:r>
              <w:rPr>
                <w:spacing w:val="-20"/>
              </w:rPr>
              <w:t>；（</w:t>
            </w:r>
            <w:r>
              <w:rPr>
                <w:spacing w:val="-7"/>
              </w:rPr>
              <w:t>二）有符合国家规定要求的放射性物品运输容器</w:t>
            </w:r>
            <w:r>
              <w:rPr>
                <w:spacing w:val="-20"/>
              </w:rPr>
              <w:t>；（</w:t>
            </w:r>
            <w:r>
              <w:rPr>
                <w:spacing w:val="-7"/>
              </w:rPr>
              <w:t>三）有具备辐射防护与安全防护知识</w:t>
            </w:r>
            <w:r>
              <w:rPr>
                <w:spacing w:val="3"/>
              </w:rPr>
              <w:t xml:space="preserve"> </w:t>
            </w:r>
            <w:r>
              <w:rPr>
                <w:spacing w:val="-7"/>
              </w:rPr>
              <w:t>的专业技术人员</w:t>
            </w:r>
            <w:r>
              <w:rPr>
                <w:spacing w:val="-22"/>
              </w:rPr>
              <w:t>；（</w:t>
            </w:r>
            <w:r>
              <w:rPr>
                <w:spacing w:val="-7"/>
              </w:rPr>
              <w:t>四）具备满足第七条</w:t>
            </w:r>
            <w:r>
              <w:rPr>
                <w:spacing w:val="75"/>
              </w:rPr>
              <w:t xml:space="preserve"> </w:t>
            </w:r>
            <w:r>
              <w:rPr>
                <w:spacing w:val="-7"/>
              </w:rPr>
              <w:t>规定条件的驾驶人员、专</w:t>
            </w:r>
            <w:r>
              <w:rPr>
                <w:spacing w:val="-8"/>
              </w:rPr>
              <w:t>用车辆、设备和安全生产管理制度，但专</w:t>
            </w:r>
            <w:r>
              <w:t xml:space="preserve"> </w:t>
            </w:r>
            <w:r>
              <w:rPr>
                <w:spacing w:val="-8"/>
              </w:rPr>
              <w:t>用车辆的数量可以少于</w:t>
            </w:r>
            <w:r>
              <w:rPr>
                <w:spacing w:val="-36"/>
              </w:rPr>
              <w:t xml:space="preserve"> </w:t>
            </w:r>
            <w:r>
              <w:rPr>
                <w:spacing w:val="-8"/>
              </w:rPr>
              <w:t>5</w:t>
            </w:r>
            <w:r>
              <w:rPr>
                <w:spacing w:val="-47"/>
              </w:rPr>
              <w:t xml:space="preserve"> </w:t>
            </w:r>
            <w:r>
              <w:rPr>
                <w:spacing w:val="-8"/>
              </w:rPr>
              <w:t>辆。</w:t>
            </w:r>
          </w:p>
          <w:p w14:paraId="6529F517">
            <w:pPr>
              <w:pStyle w:val="8"/>
              <w:spacing w:before="21" w:line="229" w:lineRule="auto"/>
              <w:ind w:left="124" w:right="46" w:firstLine="321"/>
            </w:pPr>
            <w:r>
              <w:rPr>
                <w:spacing w:val="-9"/>
              </w:rPr>
              <w:t>第四十条</w:t>
            </w:r>
            <w:r>
              <w:rPr>
                <w:spacing w:val="73"/>
              </w:rPr>
              <w:t xml:space="preserve"> </w:t>
            </w:r>
            <w:r>
              <w:rPr>
                <w:spacing w:val="-9"/>
              </w:rPr>
              <w:t>放射性物品道路运输活动中，由不符合本规定第七条、第八条规</w:t>
            </w:r>
            <w:r>
              <w:rPr>
                <w:spacing w:val="-10"/>
              </w:rPr>
              <w:t>定条件的人员驾驶专用车辆的，</w:t>
            </w:r>
            <w:r>
              <w:t xml:space="preserve"> </w:t>
            </w:r>
            <w:r>
              <w:rPr>
                <w:spacing w:val="-8"/>
              </w:rPr>
              <w:t>由交通运输主管部门责令改正，处</w:t>
            </w:r>
            <w:r>
              <w:rPr>
                <w:spacing w:val="-38"/>
              </w:rPr>
              <w:t xml:space="preserve"> </w:t>
            </w:r>
            <w:r>
              <w:rPr>
                <w:spacing w:val="-8"/>
              </w:rPr>
              <w:t>200</w:t>
            </w:r>
            <w:r>
              <w:rPr>
                <w:spacing w:val="-47"/>
              </w:rPr>
              <w:t xml:space="preserve"> </w:t>
            </w:r>
            <w:r>
              <w:rPr>
                <w:spacing w:val="-8"/>
              </w:rPr>
              <w:t>元以上</w:t>
            </w:r>
            <w:r>
              <w:rPr>
                <w:spacing w:val="-45"/>
              </w:rPr>
              <w:t xml:space="preserve"> </w:t>
            </w:r>
            <w:r>
              <w:rPr>
                <w:spacing w:val="-8"/>
              </w:rPr>
              <w:t>2000</w:t>
            </w:r>
            <w:r>
              <w:rPr>
                <w:spacing w:val="-44"/>
              </w:rPr>
              <w:t xml:space="preserve"> </w:t>
            </w:r>
            <w:r>
              <w:rPr>
                <w:spacing w:val="-8"/>
              </w:rPr>
              <w:t>元以下的罚款；构成犯罪的，依法追究刑事责任。</w:t>
            </w:r>
          </w:p>
          <w:p w14:paraId="2F82B78A">
            <w:pPr>
              <w:pStyle w:val="8"/>
              <w:spacing w:before="21" w:line="219" w:lineRule="auto"/>
              <w:ind w:left="444"/>
            </w:pPr>
            <w:r>
              <w:rPr>
                <w:b/>
                <w:bCs/>
                <w:spacing w:val="-8"/>
              </w:rPr>
              <w:t>4.《道路运输从业人员管理规定》(交通运输部令</w:t>
            </w:r>
            <w:r>
              <w:rPr>
                <w:spacing w:val="-45"/>
              </w:rPr>
              <w:t xml:space="preserve"> </w:t>
            </w:r>
            <w:r>
              <w:rPr>
                <w:b/>
                <w:bCs/>
                <w:spacing w:val="-8"/>
              </w:rPr>
              <w:t>2022</w:t>
            </w:r>
            <w:r>
              <w:rPr>
                <w:spacing w:val="-47"/>
              </w:rPr>
              <w:t xml:space="preserve"> </w:t>
            </w:r>
            <w:r>
              <w:rPr>
                <w:b/>
                <w:bCs/>
                <w:spacing w:val="-8"/>
              </w:rPr>
              <w:t>年</w:t>
            </w:r>
            <w:r>
              <w:rPr>
                <w:b/>
                <w:bCs/>
                <w:spacing w:val="-9"/>
              </w:rPr>
              <w:t>第</w:t>
            </w:r>
            <w:r>
              <w:rPr>
                <w:spacing w:val="-43"/>
              </w:rPr>
              <w:t xml:space="preserve"> </w:t>
            </w:r>
            <w:r>
              <w:rPr>
                <w:b/>
                <w:bCs/>
                <w:spacing w:val="-9"/>
              </w:rPr>
              <w:t>38</w:t>
            </w:r>
            <w:r>
              <w:rPr>
                <w:spacing w:val="-44"/>
              </w:rPr>
              <w:t xml:space="preserve"> </w:t>
            </w:r>
            <w:r>
              <w:rPr>
                <w:b/>
                <w:bCs/>
                <w:spacing w:val="-9"/>
              </w:rPr>
              <w:t>号)</w:t>
            </w:r>
          </w:p>
          <w:p w14:paraId="4A65789B">
            <w:pPr>
              <w:pStyle w:val="8"/>
              <w:spacing w:before="20" w:line="233" w:lineRule="auto"/>
              <w:ind w:left="103" w:right="88" w:firstLine="341"/>
            </w:pPr>
            <w:r>
              <w:rPr>
                <w:spacing w:val="-8"/>
              </w:rPr>
              <w:t>第四十六条</w:t>
            </w:r>
            <w:r>
              <w:rPr>
                <w:spacing w:val="84"/>
              </w:rPr>
              <w:t xml:space="preserve"> </w:t>
            </w:r>
            <w:r>
              <w:rPr>
                <w:spacing w:val="-8"/>
              </w:rPr>
              <w:t>违反本规定，有下列行为之一的人员，由县级以上交通运输主管部门责令改正，处</w:t>
            </w:r>
            <w:r>
              <w:rPr>
                <w:spacing w:val="-45"/>
              </w:rPr>
              <w:t xml:space="preserve"> </w:t>
            </w:r>
            <w:r>
              <w:rPr>
                <w:spacing w:val="-8"/>
              </w:rPr>
              <w:t>200</w:t>
            </w:r>
            <w:r>
              <w:rPr>
                <w:spacing w:val="-47"/>
              </w:rPr>
              <w:t xml:space="preserve"> </w:t>
            </w:r>
            <w:r>
              <w:rPr>
                <w:spacing w:val="-8"/>
              </w:rPr>
              <w:t>元以</w:t>
            </w:r>
            <w:r>
              <w:t xml:space="preserve"> </w:t>
            </w:r>
            <w:r>
              <w:rPr>
                <w:spacing w:val="-7"/>
              </w:rPr>
              <w:t>上</w:t>
            </w:r>
            <w:r>
              <w:rPr>
                <w:spacing w:val="-44"/>
              </w:rPr>
              <w:t xml:space="preserve"> </w:t>
            </w:r>
            <w:r>
              <w:rPr>
                <w:spacing w:val="-7"/>
              </w:rPr>
              <w:t>2000</w:t>
            </w:r>
            <w:r>
              <w:rPr>
                <w:spacing w:val="-46"/>
              </w:rPr>
              <w:t xml:space="preserve"> </w:t>
            </w:r>
            <w:r>
              <w:rPr>
                <w:spacing w:val="-7"/>
              </w:rPr>
              <w:t>元以下的罚款</w:t>
            </w:r>
            <w:r>
              <w:rPr>
                <w:spacing w:val="-23"/>
              </w:rPr>
              <w:t>：（</w:t>
            </w:r>
            <w:r>
              <w:rPr>
                <w:spacing w:val="-7"/>
              </w:rPr>
              <w:t>一）未取得相应从业资格证件，驾驶道路客运车辆的</w:t>
            </w:r>
            <w:r>
              <w:rPr>
                <w:spacing w:val="-23"/>
              </w:rPr>
              <w:t>；（</w:t>
            </w:r>
            <w:r>
              <w:rPr>
                <w:spacing w:val="-7"/>
              </w:rPr>
              <w:t>二）使用失效、伪造、变造</w:t>
            </w:r>
            <w:r>
              <w:t xml:space="preserve"> </w:t>
            </w:r>
            <w:r>
              <w:rPr>
                <w:spacing w:val="-7"/>
              </w:rPr>
              <w:t>的从业资格证件，驾驶道路客运车辆的</w:t>
            </w:r>
            <w:r>
              <w:rPr>
                <w:spacing w:val="-22"/>
              </w:rPr>
              <w:t>；（</w:t>
            </w:r>
            <w:r>
              <w:rPr>
                <w:spacing w:val="-7"/>
              </w:rPr>
              <w:t>三）超越从业资格证件核定范围，驾</w:t>
            </w:r>
            <w:r>
              <w:rPr>
                <w:spacing w:val="-8"/>
              </w:rPr>
              <w:t>驶道路客运车辆的。</w:t>
            </w:r>
          </w:p>
          <w:p w14:paraId="5BDF6EA6">
            <w:pPr>
              <w:pStyle w:val="8"/>
              <w:spacing w:before="21" w:line="219" w:lineRule="auto"/>
              <w:ind w:left="451"/>
            </w:pPr>
            <w:r>
              <w:rPr>
                <w:spacing w:val="-8"/>
              </w:rPr>
              <w:t>驾驶道路货运车辆违反前款规定的，由县级以上交通运输主管部门责令改正，处</w:t>
            </w:r>
            <w:r>
              <w:rPr>
                <w:spacing w:val="-33"/>
              </w:rPr>
              <w:t xml:space="preserve"> </w:t>
            </w:r>
            <w:r>
              <w:rPr>
                <w:spacing w:val="-8"/>
              </w:rPr>
              <w:t>200</w:t>
            </w:r>
            <w:r>
              <w:rPr>
                <w:spacing w:val="-47"/>
              </w:rPr>
              <w:t xml:space="preserve"> </w:t>
            </w:r>
            <w:r>
              <w:rPr>
                <w:spacing w:val="-8"/>
              </w:rPr>
              <w:t>元罚款。</w:t>
            </w:r>
          </w:p>
          <w:p w14:paraId="4C1AC999">
            <w:pPr>
              <w:pStyle w:val="8"/>
              <w:spacing w:before="18" w:line="230" w:lineRule="auto"/>
              <w:ind w:left="105" w:right="88" w:firstLine="340"/>
            </w:pPr>
            <w:r>
              <w:rPr>
                <w:spacing w:val="-9"/>
              </w:rPr>
              <w:t>第四十七条</w:t>
            </w:r>
            <w:r>
              <w:rPr>
                <w:spacing w:val="88"/>
              </w:rPr>
              <w:t xml:space="preserve"> </w:t>
            </w:r>
            <w:r>
              <w:rPr>
                <w:spacing w:val="-9"/>
              </w:rPr>
              <w:t>违反本规定，有下列行为之一的人员，由设区的市级交通运输主管部门处</w:t>
            </w:r>
            <w:r>
              <w:rPr>
                <w:spacing w:val="-44"/>
              </w:rPr>
              <w:t xml:space="preserve"> </w:t>
            </w:r>
            <w:r>
              <w:rPr>
                <w:spacing w:val="-9"/>
              </w:rPr>
              <w:t>5</w:t>
            </w:r>
            <w:r>
              <w:rPr>
                <w:spacing w:val="-39"/>
              </w:rPr>
              <w:t xml:space="preserve"> </w:t>
            </w:r>
            <w:r>
              <w:rPr>
                <w:spacing w:val="-9"/>
              </w:rPr>
              <w:t>万元以上</w:t>
            </w:r>
            <w:r>
              <w:rPr>
                <w:spacing w:val="-33"/>
              </w:rPr>
              <w:t xml:space="preserve"> </w:t>
            </w:r>
            <w:r>
              <w:rPr>
                <w:spacing w:val="-9"/>
              </w:rPr>
              <w:t>10</w:t>
            </w:r>
            <w:r>
              <w:rPr>
                <w:spacing w:val="-44"/>
              </w:rPr>
              <w:t xml:space="preserve"> </w:t>
            </w:r>
            <w:r>
              <w:rPr>
                <w:spacing w:val="-9"/>
              </w:rPr>
              <w:t>万元</w:t>
            </w:r>
            <w:r>
              <w:t xml:space="preserve"> </w:t>
            </w:r>
            <w:r>
              <w:rPr>
                <w:spacing w:val="-7"/>
              </w:rPr>
              <w:t>以下的罚款</w:t>
            </w:r>
            <w:r>
              <w:rPr>
                <w:spacing w:val="-20"/>
              </w:rPr>
              <w:t>：（</w:t>
            </w:r>
            <w:r>
              <w:rPr>
                <w:spacing w:val="-7"/>
              </w:rPr>
              <w:t>一）未取得相应从业资格证件，从事道路危险货物运输活动的</w:t>
            </w:r>
            <w:r>
              <w:rPr>
                <w:spacing w:val="-20"/>
              </w:rPr>
              <w:t>；（</w:t>
            </w:r>
            <w:r>
              <w:rPr>
                <w:spacing w:val="-7"/>
              </w:rPr>
              <w:t>二）使用失效、伪造、变造</w:t>
            </w:r>
            <w:r>
              <w:t xml:space="preserve"> </w:t>
            </w:r>
            <w:r>
              <w:rPr>
                <w:spacing w:val="-7"/>
              </w:rPr>
              <w:t>的从业资格证件，从事道路危险货物运输活动</w:t>
            </w:r>
            <w:r>
              <w:rPr>
                <w:spacing w:val="-8"/>
              </w:rPr>
              <w:t>的</w:t>
            </w:r>
            <w:r>
              <w:rPr>
                <w:spacing w:val="-20"/>
              </w:rPr>
              <w:t>；（</w:t>
            </w:r>
            <w:r>
              <w:rPr>
                <w:spacing w:val="-8"/>
              </w:rPr>
              <w:t>三）超越从业资格证件核定范围，从事道路危险货物运输</w:t>
            </w:r>
            <w:r>
              <w:t xml:space="preserve"> </w:t>
            </w:r>
            <w:r>
              <w:rPr>
                <w:spacing w:val="-7"/>
              </w:rPr>
              <w:t>活动的。</w:t>
            </w:r>
          </w:p>
        </w:tc>
        <w:tc>
          <w:tcPr>
            <w:tcW w:w="1011" w:type="dxa"/>
            <w:vAlign w:val="top"/>
          </w:tcPr>
          <w:p w14:paraId="1D60B7D7">
            <w:pPr>
              <w:rPr>
                <w:rFonts w:ascii="Arial"/>
                <w:sz w:val="21"/>
              </w:rPr>
            </w:pPr>
          </w:p>
        </w:tc>
        <w:tc>
          <w:tcPr>
            <w:tcW w:w="1404" w:type="dxa"/>
            <w:vAlign w:val="top"/>
          </w:tcPr>
          <w:p w14:paraId="18404410">
            <w:pPr>
              <w:rPr>
                <w:rFonts w:ascii="Arial"/>
                <w:sz w:val="21"/>
              </w:rPr>
            </w:pPr>
          </w:p>
        </w:tc>
        <w:tc>
          <w:tcPr>
            <w:tcW w:w="1020" w:type="dxa"/>
            <w:vAlign w:val="top"/>
          </w:tcPr>
          <w:p w14:paraId="37EBAA56">
            <w:pPr>
              <w:rPr>
                <w:rFonts w:ascii="Arial"/>
                <w:sz w:val="21"/>
              </w:rPr>
            </w:pPr>
          </w:p>
        </w:tc>
      </w:tr>
    </w:tbl>
    <w:p w14:paraId="55B8C818">
      <w:pPr>
        <w:pStyle w:val="2"/>
      </w:pPr>
    </w:p>
    <w:p w14:paraId="4AC1917E">
      <w:pPr>
        <w:sectPr>
          <w:footerReference r:id="rId31" w:type="default"/>
          <w:pgSz w:w="16839" w:h="11906"/>
          <w:pgMar w:top="1012" w:right="1016" w:bottom="966" w:left="1016" w:header="0" w:footer="768" w:gutter="0"/>
          <w:cols w:space="720" w:num="1"/>
        </w:sectPr>
      </w:pPr>
    </w:p>
    <w:p w14:paraId="5AA5B5F0">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0A0D0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4D6FD20D">
            <w:pPr>
              <w:pStyle w:val="8"/>
              <w:spacing w:before="273" w:line="221" w:lineRule="auto"/>
              <w:ind w:left="129"/>
            </w:pPr>
            <w:r>
              <w:rPr>
                <w:b/>
                <w:bCs/>
                <w:spacing w:val="-4"/>
              </w:rPr>
              <w:t>序号</w:t>
            </w:r>
          </w:p>
        </w:tc>
        <w:tc>
          <w:tcPr>
            <w:tcW w:w="1101" w:type="dxa"/>
            <w:vMerge w:val="restart"/>
            <w:tcBorders>
              <w:bottom w:val="nil"/>
            </w:tcBorders>
            <w:vAlign w:val="top"/>
          </w:tcPr>
          <w:p w14:paraId="1FCD0476">
            <w:pPr>
              <w:pStyle w:val="8"/>
              <w:spacing w:before="274" w:line="220" w:lineRule="auto"/>
              <w:ind w:left="182"/>
            </w:pPr>
            <w:r>
              <w:rPr>
                <w:b/>
                <w:bCs/>
                <w:spacing w:val="-4"/>
              </w:rPr>
              <w:t>事项名称</w:t>
            </w:r>
          </w:p>
        </w:tc>
        <w:tc>
          <w:tcPr>
            <w:tcW w:w="1101" w:type="dxa"/>
            <w:vMerge w:val="restart"/>
            <w:tcBorders>
              <w:bottom w:val="nil"/>
            </w:tcBorders>
            <w:vAlign w:val="top"/>
          </w:tcPr>
          <w:p w14:paraId="4E335E7E">
            <w:pPr>
              <w:pStyle w:val="8"/>
              <w:spacing w:before="274" w:line="219" w:lineRule="auto"/>
              <w:ind w:left="183"/>
            </w:pPr>
            <w:r>
              <w:rPr>
                <w:b/>
                <w:bCs/>
                <w:spacing w:val="-4"/>
              </w:rPr>
              <w:t>职权类型</w:t>
            </w:r>
          </w:p>
        </w:tc>
        <w:tc>
          <w:tcPr>
            <w:tcW w:w="8524" w:type="dxa"/>
            <w:vMerge w:val="restart"/>
            <w:tcBorders>
              <w:bottom w:val="nil"/>
            </w:tcBorders>
            <w:vAlign w:val="top"/>
          </w:tcPr>
          <w:p w14:paraId="5A9EBFBA">
            <w:pPr>
              <w:pStyle w:val="8"/>
              <w:spacing w:before="273" w:line="219" w:lineRule="auto"/>
              <w:ind w:left="4083"/>
            </w:pPr>
            <w:r>
              <w:rPr>
                <w:b/>
                <w:bCs/>
                <w:spacing w:val="-5"/>
              </w:rPr>
              <w:t>实施依据</w:t>
            </w:r>
          </w:p>
        </w:tc>
        <w:tc>
          <w:tcPr>
            <w:tcW w:w="3435" w:type="dxa"/>
            <w:gridSpan w:val="3"/>
            <w:vAlign w:val="top"/>
          </w:tcPr>
          <w:p w14:paraId="2D76E4F0">
            <w:pPr>
              <w:pStyle w:val="8"/>
              <w:spacing w:before="94" w:line="220" w:lineRule="auto"/>
              <w:ind w:left="1360"/>
            </w:pPr>
            <w:r>
              <w:rPr>
                <w:b/>
                <w:bCs/>
                <w:spacing w:val="-5"/>
              </w:rPr>
              <w:t>实施主体</w:t>
            </w:r>
          </w:p>
        </w:tc>
      </w:tr>
      <w:tr w14:paraId="4EE73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A3860D3">
            <w:pPr>
              <w:rPr>
                <w:rFonts w:ascii="Arial"/>
                <w:sz w:val="21"/>
              </w:rPr>
            </w:pPr>
          </w:p>
        </w:tc>
        <w:tc>
          <w:tcPr>
            <w:tcW w:w="1101" w:type="dxa"/>
            <w:vMerge w:val="continue"/>
            <w:tcBorders>
              <w:top w:val="nil"/>
            </w:tcBorders>
            <w:vAlign w:val="top"/>
          </w:tcPr>
          <w:p w14:paraId="79E14422">
            <w:pPr>
              <w:rPr>
                <w:rFonts w:ascii="Arial"/>
                <w:sz w:val="21"/>
              </w:rPr>
            </w:pPr>
          </w:p>
        </w:tc>
        <w:tc>
          <w:tcPr>
            <w:tcW w:w="1101" w:type="dxa"/>
            <w:vMerge w:val="continue"/>
            <w:tcBorders>
              <w:top w:val="nil"/>
            </w:tcBorders>
            <w:vAlign w:val="top"/>
          </w:tcPr>
          <w:p w14:paraId="42A9CB6D">
            <w:pPr>
              <w:rPr>
                <w:rFonts w:ascii="Arial"/>
                <w:sz w:val="21"/>
              </w:rPr>
            </w:pPr>
          </w:p>
        </w:tc>
        <w:tc>
          <w:tcPr>
            <w:tcW w:w="8524" w:type="dxa"/>
            <w:vMerge w:val="continue"/>
            <w:tcBorders>
              <w:top w:val="nil"/>
            </w:tcBorders>
            <w:vAlign w:val="top"/>
          </w:tcPr>
          <w:p w14:paraId="139CF0C1">
            <w:pPr>
              <w:rPr>
                <w:rFonts w:ascii="Arial"/>
                <w:sz w:val="21"/>
              </w:rPr>
            </w:pPr>
          </w:p>
        </w:tc>
        <w:tc>
          <w:tcPr>
            <w:tcW w:w="1011" w:type="dxa"/>
            <w:vAlign w:val="top"/>
          </w:tcPr>
          <w:p w14:paraId="6E085447">
            <w:pPr>
              <w:pStyle w:val="8"/>
              <w:spacing w:before="85" w:line="219" w:lineRule="auto"/>
              <w:ind w:left="154"/>
            </w:pPr>
            <w:r>
              <w:rPr>
                <w:b/>
                <w:bCs/>
                <w:spacing w:val="-5"/>
              </w:rPr>
              <w:t>责任部门</w:t>
            </w:r>
          </w:p>
        </w:tc>
        <w:tc>
          <w:tcPr>
            <w:tcW w:w="1404" w:type="dxa"/>
            <w:vAlign w:val="top"/>
          </w:tcPr>
          <w:p w14:paraId="57111FB9">
            <w:pPr>
              <w:pStyle w:val="8"/>
              <w:spacing w:before="85" w:line="219" w:lineRule="auto"/>
              <w:ind w:left="164"/>
            </w:pPr>
            <w:r>
              <w:rPr>
                <w:b/>
                <w:bCs/>
                <w:spacing w:val="-3"/>
              </w:rPr>
              <w:t>第一责任层级</w:t>
            </w:r>
          </w:p>
        </w:tc>
        <w:tc>
          <w:tcPr>
            <w:tcW w:w="1020" w:type="dxa"/>
            <w:vAlign w:val="top"/>
          </w:tcPr>
          <w:p w14:paraId="78F0F38C">
            <w:pPr>
              <w:pStyle w:val="8"/>
              <w:spacing w:before="84" w:line="219" w:lineRule="auto"/>
              <w:ind w:left="114"/>
            </w:pPr>
            <w:r>
              <w:rPr>
                <w:b/>
                <w:bCs/>
                <w:spacing w:val="-4"/>
              </w:rPr>
              <w:t>承办机构</w:t>
            </w:r>
          </w:p>
        </w:tc>
      </w:tr>
      <w:tr w14:paraId="1272F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629" w:type="dxa"/>
            <w:vAlign w:val="top"/>
          </w:tcPr>
          <w:p w14:paraId="6C0F8508">
            <w:pPr>
              <w:rPr>
                <w:rFonts w:ascii="Arial"/>
                <w:sz w:val="21"/>
              </w:rPr>
            </w:pPr>
          </w:p>
        </w:tc>
        <w:tc>
          <w:tcPr>
            <w:tcW w:w="1101" w:type="dxa"/>
            <w:vAlign w:val="top"/>
          </w:tcPr>
          <w:p w14:paraId="39E2C594">
            <w:pPr>
              <w:rPr>
                <w:rFonts w:ascii="Arial"/>
                <w:sz w:val="21"/>
              </w:rPr>
            </w:pPr>
          </w:p>
        </w:tc>
        <w:tc>
          <w:tcPr>
            <w:tcW w:w="1101" w:type="dxa"/>
            <w:vAlign w:val="top"/>
          </w:tcPr>
          <w:p w14:paraId="7A53A944">
            <w:pPr>
              <w:rPr>
                <w:rFonts w:ascii="Arial"/>
                <w:sz w:val="21"/>
              </w:rPr>
            </w:pPr>
          </w:p>
        </w:tc>
        <w:tc>
          <w:tcPr>
            <w:tcW w:w="8524" w:type="dxa"/>
            <w:vAlign w:val="top"/>
          </w:tcPr>
          <w:p w14:paraId="57E96702">
            <w:pPr>
              <w:pStyle w:val="8"/>
              <w:spacing w:before="30" w:line="219" w:lineRule="auto"/>
              <w:ind w:left="449"/>
            </w:pPr>
            <w:r>
              <w:rPr>
                <w:b/>
                <w:bCs/>
                <w:spacing w:val="-9"/>
              </w:rPr>
              <w:t>5.《道路危险货物运输管理规定》(交通运输部令</w:t>
            </w:r>
            <w:r>
              <w:rPr>
                <w:spacing w:val="-31"/>
              </w:rPr>
              <w:t xml:space="preserve"> </w:t>
            </w:r>
            <w:r>
              <w:rPr>
                <w:b/>
                <w:bCs/>
                <w:spacing w:val="-9"/>
              </w:rPr>
              <w:t>2023</w:t>
            </w:r>
            <w:r>
              <w:rPr>
                <w:spacing w:val="-47"/>
              </w:rPr>
              <w:t xml:space="preserve"> </w:t>
            </w:r>
            <w:r>
              <w:rPr>
                <w:b/>
                <w:bCs/>
                <w:spacing w:val="-9"/>
              </w:rPr>
              <w:t>年第</w:t>
            </w:r>
            <w:r>
              <w:rPr>
                <w:spacing w:val="-34"/>
              </w:rPr>
              <w:t xml:space="preserve"> </w:t>
            </w:r>
            <w:r>
              <w:rPr>
                <w:b/>
                <w:bCs/>
                <w:spacing w:val="-9"/>
              </w:rPr>
              <w:t>13</w:t>
            </w:r>
            <w:r>
              <w:rPr>
                <w:spacing w:val="-43"/>
              </w:rPr>
              <w:t xml:space="preserve"> </w:t>
            </w:r>
            <w:r>
              <w:rPr>
                <w:b/>
                <w:bCs/>
                <w:spacing w:val="-9"/>
              </w:rPr>
              <w:t>号)</w:t>
            </w:r>
          </w:p>
          <w:p w14:paraId="007E8A92">
            <w:pPr>
              <w:pStyle w:val="8"/>
              <w:spacing w:before="17" w:line="224" w:lineRule="auto"/>
              <w:ind w:left="103" w:right="46" w:firstLine="341"/>
              <w:jc w:val="both"/>
            </w:pPr>
            <w:r>
              <w:rPr>
                <w:spacing w:val="-8"/>
              </w:rPr>
              <w:t>第五十八条第（一）项</w:t>
            </w:r>
            <w:r>
              <w:rPr>
                <w:spacing w:val="74"/>
              </w:rPr>
              <w:t xml:space="preserve"> </w:t>
            </w:r>
            <w:r>
              <w:rPr>
                <w:spacing w:val="-8"/>
              </w:rPr>
              <w:t>违反本规定，道路危险货物运输企业或者单位以及托运人有下列情形之一的，由</w:t>
            </w:r>
            <w:r>
              <w:t xml:space="preserve">  </w:t>
            </w:r>
            <w:r>
              <w:rPr>
                <w:spacing w:val="-11"/>
              </w:rPr>
              <w:t>交通运输主管部门责令改正，并处5万元以上10万元以下的罚款，拒不改正的，责令停产停业整顿；构成犯罪的，</w:t>
            </w:r>
            <w:r>
              <w:rPr>
                <w:spacing w:val="8"/>
              </w:rPr>
              <w:t xml:space="preserve"> </w:t>
            </w:r>
            <w:r>
              <w:rPr>
                <w:spacing w:val="-7"/>
              </w:rPr>
              <w:t>依法追究刑事责任</w:t>
            </w:r>
            <w:r>
              <w:rPr>
                <w:spacing w:val="-22"/>
              </w:rPr>
              <w:t>：（</w:t>
            </w:r>
            <w:r>
              <w:rPr>
                <w:spacing w:val="-7"/>
              </w:rPr>
              <w:t>一）驾驶人员、装卸管理人员、押运人员未取得从业资格</w:t>
            </w:r>
            <w:r>
              <w:rPr>
                <w:spacing w:val="-8"/>
              </w:rPr>
              <w:t>上岗作业的；</w:t>
            </w:r>
          </w:p>
        </w:tc>
        <w:tc>
          <w:tcPr>
            <w:tcW w:w="1011" w:type="dxa"/>
            <w:vAlign w:val="top"/>
          </w:tcPr>
          <w:p w14:paraId="52825C4C">
            <w:pPr>
              <w:rPr>
                <w:rFonts w:ascii="Arial"/>
                <w:sz w:val="21"/>
              </w:rPr>
            </w:pPr>
          </w:p>
        </w:tc>
        <w:tc>
          <w:tcPr>
            <w:tcW w:w="1404" w:type="dxa"/>
            <w:vAlign w:val="top"/>
          </w:tcPr>
          <w:p w14:paraId="7ADBE3AF">
            <w:pPr>
              <w:rPr>
                <w:rFonts w:ascii="Arial"/>
                <w:sz w:val="21"/>
              </w:rPr>
            </w:pPr>
          </w:p>
        </w:tc>
        <w:tc>
          <w:tcPr>
            <w:tcW w:w="1020" w:type="dxa"/>
            <w:vAlign w:val="top"/>
          </w:tcPr>
          <w:p w14:paraId="1A8493A5">
            <w:pPr>
              <w:rPr>
                <w:rFonts w:ascii="Arial"/>
                <w:sz w:val="21"/>
              </w:rPr>
            </w:pPr>
          </w:p>
        </w:tc>
      </w:tr>
      <w:tr w14:paraId="7C147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16" w:hRule="atLeast"/>
        </w:trPr>
        <w:tc>
          <w:tcPr>
            <w:tcW w:w="629" w:type="dxa"/>
            <w:vAlign w:val="top"/>
          </w:tcPr>
          <w:p w14:paraId="1DA07881">
            <w:pPr>
              <w:spacing w:line="261" w:lineRule="auto"/>
              <w:rPr>
                <w:rFonts w:ascii="Arial"/>
                <w:sz w:val="21"/>
              </w:rPr>
            </w:pPr>
          </w:p>
          <w:p w14:paraId="112F6CF3">
            <w:pPr>
              <w:spacing w:line="262" w:lineRule="auto"/>
              <w:rPr>
                <w:rFonts w:ascii="Arial"/>
                <w:sz w:val="21"/>
              </w:rPr>
            </w:pPr>
          </w:p>
          <w:p w14:paraId="45385C9B">
            <w:pPr>
              <w:spacing w:line="262" w:lineRule="auto"/>
              <w:rPr>
                <w:rFonts w:ascii="Arial"/>
                <w:sz w:val="21"/>
              </w:rPr>
            </w:pPr>
          </w:p>
          <w:p w14:paraId="16BC5888">
            <w:pPr>
              <w:spacing w:line="262" w:lineRule="auto"/>
              <w:rPr>
                <w:rFonts w:ascii="Arial"/>
                <w:sz w:val="21"/>
              </w:rPr>
            </w:pPr>
          </w:p>
          <w:p w14:paraId="389CE2D4">
            <w:pPr>
              <w:spacing w:line="262" w:lineRule="auto"/>
              <w:rPr>
                <w:rFonts w:ascii="Arial"/>
                <w:sz w:val="21"/>
              </w:rPr>
            </w:pPr>
          </w:p>
          <w:p w14:paraId="5C4888D5">
            <w:pPr>
              <w:spacing w:line="262" w:lineRule="auto"/>
              <w:rPr>
                <w:rFonts w:ascii="Arial"/>
                <w:sz w:val="21"/>
              </w:rPr>
            </w:pPr>
          </w:p>
          <w:p w14:paraId="1AB60655">
            <w:pPr>
              <w:spacing w:line="262" w:lineRule="auto"/>
              <w:rPr>
                <w:rFonts w:ascii="Arial"/>
                <w:sz w:val="21"/>
              </w:rPr>
            </w:pPr>
          </w:p>
          <w:p w14:paraId="60A52DC2">
            <w:pPr>
              <w:pStyle w:val="8"/>
              <w:spacing w:before="58" w:line="184" w:lineRule="auto"/>
              <w:ind w:left="234"/>
              <w:rPr>
                <w:rFonts w:hint="eastAsia" w:eastAsia="宋体"/>
                <w:lang w:eastAsia="zh-CN"/>
              </w:rPr>
            </w:pPr>
            <w:r>
              <w:rPr>
                <w:spacing w:val="-10"/>
              </w:rPr>
              <w:t>1</w:t>
            </w:r>
            <w:r>
              <w:rPr>
                <w:rFonts w:hint="eastAsia"/>
                <w:spacing w:val="-10"/>
                <w:lang w:val="en-US" w:eastAsia="zh-CN"/>
              </w:rPr>
              <w:t>4</w:t>
            </w:r>
          </w:p>
        </w:tc>
        <w:tc>
          <w:tcPr>
            <w:tcW w:w="1101" w:type="dxa"/>
            <w:vAlign w:val="top"/>
          </w:tcPr>
          <w:p w14:paraId="06011245">
            <w:pPr>
              <w:spacing w:line="241" w:lineRule="auto"/>
              <w:rPr>
                <w:rFonts w:ascii="Arial"/>
                <w:sz w:val="21"/>
              </w:rPr>
            </w:pPr>
          </w:p>
          <w:p w14:paraId="2B321584">
            <w:pPr>
              <w:spacing w:line="241" w:lineRule="auto"/>
              <w:rPr>
                <w:rFonts w:ascii="Arial"/>
                <w:sz w:val="21"/>
              </w:rPr>
            </w:pPr>
          </w:p>
          <w:p w14:paraId="2BF257D6">
            <w:pPr>
              <w:spacing w:line="241" w:lineRule="auto"/>
              <w:rPr>
                <w:rFonts w:ascii="Arial"/>
                <w:sz w:val="21"/>
              </w:rPr>
            </w:pPr>
          </w:p>
          <w:p w14:paraId="5EEE36CC">
            <w:pPr>
              <w:spacing w:line="241" w:lineRule="auto"/>
              <w:rPr>
                <w:rFonts w:ascii="Arial"/>
                <w:sz w:val="21"/>
              </w:rPr>
            </w:pPr>
          </w:p>
          <w:p w14:paraId="520B89D6">
            <w:pPr>
              <w:spacing w:line="241" w:lineRule="auto"/>
              <w:rPr>
                <w:rFonts w:ascii="Arial"/>
                <w:sz w:val="21"/>
              </w:rPr>
            </w:pPr>
          </w:p>
          <w:p w14:paraId="72C851BF">
            <w:pPr>
              <w:spacing w:line="241" w:lineRule="auto"/>
              <w:rPr>
                <w:rFonts w:ascii="Arial"/>
                <w:sz w:val="21"/>
              </w:rPr>
            </w:pPr>
          </w:p>
          <w:p w14:paraId="598FC669">
            <w:pPr>
              <w:pStyle w:val="8"/>
              <w:spacing w:before="58" w:line="241" w:lineRule="auto"/>
              <w:ind w:left="20" w:right="20" w:hanging="2"/>
              <w:jc w:val="both"/>
            </w:pPr>
            <w:r>
              <w:rPr>
                <w:spacing w:val="-6"/>
              </w:rPr>
              <w:t>对擅自从事道</w:t>
            </w:r>
            <w:r>
              <w:rPr>
                <w:spacing w:val="2"/>
              </w:rPr>
              <w:t xml:space="preserve"> </w:t>
            </w:r>
            <w:r>
              <w:rPr>
                <w:spacing w:val="-6"/>
              </w:rPr>
              <w:t>路客运站经营</w:t>
            </w:r>
            <w:r>
              <w:t xml:space="preserve"> </w:t>
            </w:r>
            <w:r>
              <w:rPr>
                <w:spacing w:val="-6"/>
              </w:rPr>
              <w:t>等行为的行政</w:t>
            </w:r>
            <w:r>
              <w:t xml:space="preserve"> </w:t>
            </w:r>
            <w:r>
              <w:rPr>
                <w:spacing w:val="-5"/>
              </w:rPr>
              <w:t>处罚</w:t>
            </w:r>
          </w:p>
        </w:tc>
        <w:tc>
          <w:tcPr>
            <w:tcW w:w="1101" w:type="dxa"/>
            <w:vAlign w:val="top"/>
          </w:tcPr>
          <w:p w14:paraId="5EC9F406">
            <w:pPr>
              <w:spacing w:line="257" w:lineRule="auto"/>
              <w:rPr>
                <w:rFonts w:ascii="Arial"/>
                <w:sz w:val="21"/>
              </w:rPr>
            </w:pPr>
          </w:p>
          <w:p w14:paraId="7A16030D">
            <w:pPr>
              <w:spacing w:line="258" w:lineRule="auto"/>
              <w:rPr>
                <w:rFonts w:ascii="Arial"/>
                <w:sz w:val="21"/>
              </w:rPr>
            </w:pPr>
          </w:p>
          <w:p w14:paraId="7387FA86">
            <w:pPr>
              <w:spacing w:line="258" w:lineRule="auto"/>
              <w:rPr>
                <w:rFonts w:ascii="Arial"/>
                <w:sz w:val="21"/>
              </w:rPr>
            </w:pPr>
          </w:p>
          <w:p w14:paraId="60669BF3">
            <w:pPr>
              <w:spacing w:line="258" w:lineRule="auto"/>
              <w:rPr>
                <w:rFonts w:ascii="Arial"/>
                <w:sz w:val="21"/>
              </w:rPr>
            </w:pPr>
          </w:p>
          <w:p w14:paraId="1D936BD4">
            <w:pPr>
              <w:spacing w:line="258" w:lineRule="auto"/>
              <w:rPr>
                <w:rFonts w:ascii="Arial"/>
                <w:sz w:val="21"/>
              </w:rPr>
            </w:pPr>
          </w:p>
          <w:p w14:paraId="599CB684">
            <w:pPr>
              <w:spacing w:line="258" w:lineRule="auto"/>
              <w:rPr>
                <w:rFonts w:ascii="Arial"/>
                <w:sz w:val="21"/>
              </w:rPr>
            </w:pPr>
          </w:p>
          <w:p w14:paraId="36F16D7F">
            <w:pPr>
              <w:spacing w:line="258" w:lineRule="auto"/>
              <w:rPr>
                <w:rFonts w:ascii="Arial"/>
                <w:sz w:val="21"/>
              </w:rPr>
            </w:pPr>
          </w:p>
          <w:p w14:paraId="3611594F">
            <w:pPr>
              <w:pStyle w:val="8"/>
              <w:spacing w:before="59" w:line="220" w:lineRule="auto"/>
              <w:ind w:left="25"/>
            </w:pPr>
            <w:r>
              <w:rPr>
                <w:spacing w:val="-7"/>
              </w:rPr>
              <w:t>行政处罚</w:t>
            </w:r>
          </w:p>
        </w:tc>
        <w:tc>
          <w:tcPr>
            <w:tcW w:w="8524" w:type="dxa"/>
            <w:vAlign w:val="top"/>
          </w:tcPr>
          <w:p w14:paraId="1BE2D0CA">
            <w:pPr>
              <w:pStyle w:val="8"/>
              <w:spacing w:before="32" w:line="219" w:lineRule="auto"/>
              <w:ind w:left="458"/>
            </w:pPr>
            <w:r>
              <w:rPr>
                <w:b/>
                <w:bCs/>
                <w:spacing w:val="-10"/>
              </w:rPr>
              <w:t>1.《中华人民共和国道路运输条例》</w:t>
            </w:r>
          </w:p>
          <w:p w14:paraId="2CBAFEA8">
            <w:pPr>
              <w:pStyle w:val="8"/>
              <w:spacing w:before="18" w:line="231" w:lineRule="auto"/>
              <w:ind w:left="102" w:right="32" w:firstLine="342"/>
              <w:jc w:val="both"/>
            </w:pPr>
            <w:r>
              <w:rPr>
                <w:spacing w:val="-8"/>
              </w:rPr>
              <w:t>第三十九条  申请从事道路旅客运输站(场)经营业务的，应当在依法向市场监督管理部门办理有关登记手</w:t>
            </w:r>
            <w:r>
              <w:rPr>
                <w:spacing w:val="4"/>
              </w:rPr>
              <w:t xml:space="preserve">  </w:t>
            </w:r>
            <w:r>
              <w:rPr>
                <w:spacing w:val="-9"/>
              </w:rPr>
              <w:t>续后，向所在地县级人民政府交通运输主管部门提出申请，并附送符合本条例第三十六条规定条</w:t>
            </w:r>
            <w:r>
              <w:rPr>
                <w:spacing w:val="-10"/>
              </w:rPr>
              <w:t>件的相关材料。</w:t>
            </w:r>
            <w:r>
              <w:t xml:space="preserve"> </w:t>
            </w:r>
            <w:r>
              <w:rPr>
                <w:spacing w:val="-8"/>
              </w:rPr>
              <w:t>县级人民政府交通运输主管部门应当自受理申请之日起15日内审查完毕，作出许可或者不予许可的决定，并书</w:t>
            </w:r>
            <w:r>
              <w:rPr>
                <w:spacing w:val="4"/>
              </w:rPr>
              <w:t xml:space="preserve">  </w:t>
            </w:r>
            <w:r>
              <w:rPr>
                <w:spacing w:val="-7"/>
              </w:rPr>
              <w:t>面通知申请人。</w:t>
            </w:r>
          </w:p>
          <w:p w14:paraId="10CADD54">
            <w:pPr>
              <w:pStyle w:val="8"/>
              <w:spacing w:before="17" w:line="230" w:lineRule="auto"/>
              <w:ind w:left="103" w:right="148" w:firstLine="343"/>
              <w:jc w:val="both"/>
            </w:pPr>
            <w:r>
              <w:rPr>
                <w:spacing w:val="-8"/>
              </w:rPr>
              <w:t>从事道路货物运输站(场)经营、机动车维修经营和机动车驾驶员培训业务的，应当在依法向市场监督管理</w:t>
            </w:r>
            <w:r>
              <w:rPr>
                <w:spacing w:val="8"/>
              </w:rPr>
              <w:t xml:space="preserve"> </w:t>
            </w:r>
            <w:r>
              <w:rPr>
                <w:spacing w:val="-8"/>
              </w:rPr>
              <w:t>部门办理有关登记手续后，向所在地县级人民政府交通运输主管部门进行备案，并分别附送符合本条例</w:t>
            </w:r>
            <w:r>
              <w:rPr>
                <w:spacing w:val="-9"/>
              </w:rPr>
              <w:t>第三十</w:t>
            </w:r>
            <w:r>
              <w:t xml:space="preserve"> </w:t>
            </w:r>
            <w:r>
              <w:rPr>
                <w:spacing w:val="-8"/>
              </w:rPr>
              <w:t>六条、第三十七条、第三十八条规定条件的相关材料。</w:t>
            </w:r>
          </w:p>
          <w:p w14:paraId="1DD6BDCC">
            <w:pPr>
              <w:pStyle w:val="8"/>
              <w:spacing w:before="16" w:line="230" w:lineRule="auto"/>
              <w:ind w:left="103" w:right="48" w:firstLine="341"/>
              <w:jc w:val="both"/>
            </w:pPr>
            <w:r>
              <w:rPr>
                <w:spacing w:val="-8"/>
              </w:rPr>
              <w:t>第六十五条第一款</w:t>
            </w:r>
            <w:r>
              <w:rPr>
                <w:spacing w:val="82"/>
              </w:rPr>
              <w:t xml:space="preserve"> </w:t>
            </w:r>
            <w:r>
              <w:rPr>
                <w:spacing w:val="-8"/>
              </w:rPr>
              <w:t>违反本条例的规定，未经许可擅自从事道路旅客运输站(场)经营的，由县级以上地方</w:t>
            </w:r>
            <w:r>
              <w:t xml:space="preserve">  </w:t>
            </w:r>
            <w:r>
              <w:rPr>
                <w:spacing w:val="-11"/>
              </w:rPr>
              <w:t>人民政府交通运输主管部门责令停止经营；有违法所得的，没收违法所得，处违法所得2倍以上10倍以下的罚款；</w:t>
            </w:r>
            <w:r>
              <w:rPr>
                <w:spacing w:val="6"/>
              </w:rPr>
              <w:t xml:space="preserve"> </w:t>
            </w:r>
            <w:r>
              <w:rPr>
                <w:spacing w:val="-8"/>
              </w:rPr>
              <w:t>没有违法所得或者违法所得不足1万元的，处2万元以上5万元以下的罚款；构成犯罪的，依法追究刑事责任。</w:t>
            </w:r>
          </w:p>
          <w:p w14:paraId="2F6A7BEF">
            <w:pPr>
              <w:pStyle w:val="8"/>
              <w:spacing w:before="16" w:line="219" w:lineRule="auto"/>
              <w:ind w:left="447"/>
            </w:pPr>
            <w:r>
              <w:rPr>
                <w:b/>
                <w:bCs/>
                <w:spacing w:val="-8"/>
              </w:rPr>
              <w:t>2.《道路旅客运输及客运站管理规定》(交通运输部令2023年第12号)</w:t>
            </w:r>
          </w:p>
          <w:p w14:paraId="6CB328EC">
            <w:pPr>
              <w:pStyle w:val="8"/>
              <w:spacing w:before="20" w:line="228" w:lineRule="auto"/>
              <w:ind w:left="102" w:right="18" w:firstLine="343"/>
              <w:jc w:val="both"/>
            </w:pPr>
            <w:r>
              <w:rPr>
                <w:spacing w:val="-8"/>
              </w:rPr>
              <w:t>第九十四条</w:t>
            </w:r>
            <w:r>
              <w:rPr>
                <w:spacing w:val="74"/>
              </w:rPr>
              <w:t xml:space="preserve"> </w:t>
            </w:r>
            <w:r>
              <w:rPr>
                <w:spacing w:val="-8"/>
              </w:rPr>
              <w:t>违反本规定，有下列行为之一的，由交通运输主管部门责令停止经营；有违法所得的，没收</w:t>
            </w:r>
            <w:r>
              <w:t xml:space="preserve">  </w:t>
            </w:r>
            <w:r>
              <w:rPr>
                <w:spacing w:val="-7"/>
              </w:rPr>
              <w:t>违法所得，处违法所得2倍以上10倍以下的罚款；没有</w:t>
            </w:r>
            <w:r>
              <w:rPr>
                <w:spacing w:val="-8"/>
              </w:rPr>
              <w:t>违法所得或者违法所得不足1万元的，处2万元以上5万元</w:t>
            </w:r>
            <w:r>
              <w:t xml:space="preserve">  </w:t>
            </w:r>
            <w:r>
              <w:rPr>
                <w:spacing w:val="-7"/>
              </w:rPr>
              <w:t>以下的罚款；构成犯罪的，依法追究刑事责任</w:t>
            </w:r>
            <w:r>
              <w:rPr>
                <w:spacing w:val="-25"/>
              </w:rPr>
              <w:t>：（</w:t>
            </w:r>
            <w:r>
              <w:rPr>
                <w:spacing w:val="-7"/>
              </w:rPr>
              <w:t>一）未取</w:t>
            </w:r>
            <w:r>
              <w:rPr>
                <w:spacing w:val="-8"/>
              </w:rPr>
              <w:t>得客运站经营许可，擅自从事客运站经营的</w:t>
            </w:r>
            <w:r>
              <w:rPr>
                <w:spacing w:val="-25"/>
              </w:rPr>
              <w:t>；（</w:t>
            </w:r>
            <w:r>
              <w:rPr>
                <w:spacing w:val="-8"/>
              </w:rPr>
              <w:t>二）</w:t>
            </w:r>
            <w:r>
              <w:rPr>
                <w:spacing w:val="3"/>
              </w:rPr>
              <w:t xml:space="preserve"> </w:t>
            </w:r>
            <w:r>
              <w:rPr>
                <w:spacing w:val="-7"/>
              </w:rPr>
              <w:t>使用失效、伪造、变造、被注销等无效的客运站许可</w:t>
            </w:r>
            <w:r>
              <w:rPr>
                <w:spacing w:val="-8"/>
              </w:rPr>
              <w:t>证件从事客运站经营的</w:t>
            </w:r>
            <w:r>
              <w:rPr>
                <w:spacing w:val="-21"/>
              </w:rPr>
              <w:t>；（</w:t>
            </w:r>
            <w:r>
              <w:rPr>
                <w:spacing w:val="-8"/>
              </w:rPr>
              <w:t>三）超越许可事项，从事客运</w:t>
            </w:r>
            <w:r>
              <w:t xml:space="preserve">  </w:t>
            </w:r>
            <w:r>
              <w:rPr>
                <w:spacing w:val="-7"/>
              </w:rPr>
              <w:t>站经营的。</w:t>
            </w:r>
          </w:p>
        </w:tc>
        <w:tc>
          <w:tcPr>
            <w:tcW w:w="1011" w:type="dxa"/>
            <w:vAlign w:val="top"/>
          </w:tcPr>
          <w:p w14:paraId="3B285E0C">
            <w:pPr>
              <w:rPr>
                <w:rFonts w:ascii="Arial"/>
                <w:sz w:val="21"/>
              </w:rPr>
            </w:pPr>
          </w:p>
          <w:p w14:paraId="6F1997A5">
            <w:pPr>
              <w:spacing w:line="241" w:lineRule="auto"/>
              <w:rPr>
                <w:rFonts w:ascii="Arial"/>
                <w:sz w:val="21"/>
              </w:rPr>
            </w:pPr>
          </w:p>
          <w:p w14:paraId="3118F003">
            <w:pPr>
              <w:spacing w:line="241" w:lineRule="auto"/>
              <w:rPr>
                <w:rFonts w:ascii="Arial"/>
                <w:sz w:val="21"/>
              </w:rPr>
            </w:pPr>
          </w:p>
          <w:p w14:paraId="64621791">
            <w:pPr>
              <w:spacing w:line="241" w:lineRule="auto"/>
              <w:rPr>
                <w:rFonts w:ascii="Arial"/>
                <w:sz w:val="21"/>
              </w:rPr>
            </w:pPr>
          </w:p>
          <w:p w14:paraId="2C2E379F">
            <w:pPr>
              <w:spacing w:line="241" w:lineRule="auto"/>
              <w:rPr>
                <w:rFonts w:ascii="Arial"/>
                <w:sz w:val="21"/>
              </w:rPr>
            </w:pPr>
          </w:p>
          <w:p w14:paraId="5B6EC8DC">
            <w:pPr>
              <w:spacing w:line="241" w:lineRule="auto"/>
              <w:rPr>
                <w:rFonts w:ascii="Arial"/>
                <w:sz w:val="21"/>
              </w:rPr>
            </w:pPr>
          </w:p>
          <w:p w14:paraId="2553FCBC">
            <w:pPr>
              <w:spacing w:line="241" w:lineRule="auto"/>
              <w:rPr>
                <w:rFonts w:ascii="Arial"/>
                <w:sz w:val="21"/>
              </w:rPr>
            </w:pPr>
          </w:p>
          <w:p w14:paraId="380889F5">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4206228">
            <w:pPr>
              <w:rPr>
                <w:rFonts w:ascii="Arial"/>
                <w:sz w:val="21"/>
              </w:rPr>
            </w:pPr>
          </w:p>
          <w:p w14:paraId="768D9706">
            <w:pPr>
              <w:spacing w:line="241" w:lineRule="auto"/>
              <w:rPr>
                <w:rFonts w:ascii="Arial"/>
                <w:sz w:val="21"/>
              </w:rPr>
            </w:pPr>
          </w:p>
          <w:p w14:paraId="18F28BDA">
            <w:pPr>
              <w:spacing w:line="241" w:lineRule="auto"/>
              <w:rPr>
                <w:rFonts w:ascii="Arial"/>
                <w:sz w:val="21"/>
              </w:rPr>
            </w:pPr>
          </w:p>
          <w:p w14:paraId="1F692707">
            <w:pPr>
              <w:spacing w:line="241" w:lineRule="auto"/>
              <w:rPr>
                <w:rFonts w:ascii="Arial"/>
                <w:sz w:val="21"/>
              </w:rPr>
            </w:pPr>
          </w:p>
          <w:p w14:paraId="283C93A5">
            <w:pPr>
              <w:spacing w:line="241" w:lineRule="auto"/>
              <w:rPr>
                <w:rFonts w:ascii="Arial"/>
                <w:sz w:val="21"/>
              </w:rPr>
            </w:pPr>
          </w:p>
          <w:p w14:paraId="1C45A703">
            <w:pPr>
              <w:spacing w:line="241" w:lineRule="auto"/>
              <w:rPr>
                <w:rFonts w:ascii="Arial"/>
                <w:sz w:val="21"/>
              </w:rPr>
            </w:pPr>
          </w:p>
          <w:p w14:paraId="3D22D953">
            <w:pPr>
              <w:spacing w:line="241" w:lineRule="auto"/>
              <w:rPr>
                <w:rFonts w:ascii="Arial"/>
                <w:sz w:val="21"/>
              </w:rPr>
            </w:pPr>
          </w:p>
          <w:p w14:paraId="33BC8DDC">
            <w:pPr>
              <w:pStyle w:val="8"/>
              <w:spacing w:before="58"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6346DB32">
            <w:pPr>
              <w:spacing w:line="241" w:lineRule="auto"/>
              <w:rPr>
                <w:rFonts w:ascii="Arial"/>
                <w:sz w:val="21"/>
              </w:rPr>
            </w:pPr>
          </w:p>
          <w:p w14:paraId="5A064923">
            <w:pPr>
              <w:spacing w:line="241" w:lineRule="auto"/>
              <w:rPr>
                <w:rFonts w:ascii="Arial"/>
                <w:sz w:val="21"/>
              </w:rPr>
            </w:pPr>
          </w:p>
          <w:p w14:paraId="51A9A2E0">
            <w:pPr>
              <w:spacing w:line="241" w:lineRule="auto"/>
              <w:rPr>
                <w:rFonts w:ascii="Arial"/>
                <w:sz w:val="21"/>
              </w:rPr>
            </w:pPr>
          </w:p>
          <w:p w14:paraId="25038BA6">
            <w:pPr>
              <w:spacing w:line="242" w:lineRule="auto"/>
              <w:rPr>
                <w:rFonts w:ascii="Arial"/>
                <w:sz w:val="21"/>
              </w:rPr>
            </w:pPr>
          </w:p>
          <w:p w14:paraId="18F12FCC">
            <w:pPr>
              <w:spacing w:line="242" w:lineRule="auto"/>
              <w:rPr>
                <w:rFonts w:ascii="Arial"/>
                <w:sz w:val="21"/>
              </w:rPr>
            </w:pPr>
          </w:p>
          <w:p w14:paraId="64518946">
            <w:pPr>
              <w:spacing w:line="242" w:lineRule="auto"/>
              <w:rPr>
                <w:rFonts w:ascii="Arial"/>
                <w:sz w:val="21"/>
              </w:rPr>
            </w:pPr>
          </w:p>
          <w:p w14:paraId="40A96F34">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4C3DF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91" w:hRule="atLeast"/>
        </w:trPr>
        <w:tc>
          <w:tcPr>
            <w:tcW w:w="629" w:type="dxa"/>
            <w:vAlign w:val="top"/>
          </w:tcPr>
          <w:p w14:paraId="1BDB6D66">
            <w:pPr>
              <w:spacing w:line="253" w:lineRule="auto"/>
              <w:rPr>
                <w:rFonts w:ascii="Arial"/>
                <w:sz w:val="21"/>
              </w:rPr>
            </w:pPr>
          </w:p>
          <w:p w14:paraId="10C4DC12">
            <w:pPr>
              <w:spacing w:line="253" w:lineRule="auto"/>
              <w:rPr>
                <w:rFonts w:ascii="Arial"/>
                <w:sz w:val="21"/>
              </w:rPr>
            </w:pPr>
          </w:p>
          <w:p w14:paraId="54F3F049">
            <w:pPr>
              <w:spacing w:line="253" w:lineRule="auto"/>
              <w:rPr>
                <w:rFonts w:ascii="Arial"/>
                <w:sz w:val="21"/>
              </w:rPr>
            </w:pPr>
          </w:p>
          <w:p w14:paraId="63C37D40">
            <w:pPr>
              <w:spacing w:line="253" w:lineRule="auto"/>
              <w:rPr>
                <w:rFonts w:ascii="Arial"/>
                <w:sz w:val="21"/>
              </w:rPr>
            </w:pPr>
          </w:p>
          <w:p w14:paraId="08B013A2">
            <w:pPr>
              <w:spacing w:line="253" w:lineRule="auto"/>
              <w:rPr>
                <w:rFonts w:ascii="Arial"/>
                <w:sz w:val="21"/>
              </w:rPr>
            </w:pPr>
          </w:p>
          <w:p w14:paraId="2F1A3A49">
            <w:pPr>
              <w:spacing w:line="254" w:lineRule="auto"/>
              <w:rPr>
                <w:rFonts w:ascii="Arial"/>
                <w:sz w:val="21"/>
              </w:rPr>
            </w:pPr>
          </w:p>
          <w:p w14:paraId="296D9264">
            <w:pPr>
              <w:spacing w:line="254" w:lineRule="auto"/>
              <w:rPr>
                <w:rFonts w:ascii="Arial"/>
                <w:sz w:val="21"/>
              </w:rPr>
            </w:pPr>
          </w:p>
          <w:p w14:paraId="36DD675A">
            <w:pPr>
              <w:pStyle w:val="8"/>
              <w:spacing w:before="59" w:line="184" w:lineRule="auto"/>
              <w:ind w:left="234"/>
              <w:rPr>
                <w:rFonts w:hint="eastAsia" w:eastAsia="宋体"/>
                <w:lang w:eastAsia="zh-CN"/>
              </w:rPr>
            </w:pPr>
            <w:r>
              <w:rPr>
                <w:spacing w:val="-10"/>
              </w:rPr>
              <w:t>1</w:t>
            </w:r>
            <w:r>
              <w:rPr>
                <w:rFonts w:hint="eastAsia"/>
                <w:spacing w:val="-10"/>
                <w:lang w:val="en-US" w:eastAsia="zh-CN"/>
              </w:rPr>
              <w:t>5</w:t>
            </w:r>
          </w:p>
        </w:tc>
        <w:tc>
          <w:tcPr>
            <w:tcW w:w="1101" w:type="dxa"/>
            <w:vAlign w:val="top"/>
          </w:tcPr>
          <w:p w14:paraId="534AA239">
            <w:pPr>
              <w:spacing w:line="258" w:lineRule="auto"/>
              <w:rPr>
                <w:rFonts w:ascii="Arial"/>
                <w:sz w:val="21"/>
              </w:rPr>
            </w:pPr>
          </w:p>
          <w:p w14:paraId="4EF1994E">
            <w:pPr>
              <w:spacing w:line="258" w:lineRule="auto"/>
              <w:rPr>
                <w:rFonts w:ascii="Arial"/>
                <w:sz w:val="21"/>
              </w:rPr>
            </w:pPr>
          </w:p>
          <w:p w14:paraId="2DD153AC">
            <w:pPr>
              <w:spacing w:line="258" w:lineRule="auto"/>
              <w:rPr>
                <w:rFonts w:ascii="Arial"/>
                <w:sz w:val="21"/>
              </w:rPr>
            </w:pPr>
          </w:p>
          <w:p w14:paraId="13DA5261">
            <w:pPr>
              <w:spacing w:line="259" w:lineRule="auto"/>
              <w:rPr>
                <w:rFonts w:ascii="Arial"/>
                <w:sz w:val="21"/>
              </w:rPr>
            </w:pPr>
          </w:p>
          <w:p w14:paraId="6B57B3A1">
            <w:pPr>
              <w:pStyle w:val="8"/>
              <w:spacing w:before="59" w:line="243" w:lineRule="auto"/>
              <w:ind w:left="19" w:right="20" w:hanging="1"/>
              <w:jc w:val="both"/>
            </w:pPr>
            <w:r>
              <w:rPr>
                <w:spacing w:val="-6"/>
              </w:rPr>
              <w:t>对从事机动车</w:t>
            </w:r>
            <w:r>
              <w:rPr>
                <w:spacing w:val="2"/>
              </w:rPr>
              <w:t xml:space="preserve"> </w:t>
            </w:r>
            <w:r>
              <w:rPr>
                <w:spacing w:val="-6"/>
              </w:rPr>
              <w:t>维修经营业务</w:t>
            </w:r>
            <w:r>
              <w:t xml:space="preserve"> </w:t>
            </w:r>
            <w:r>
              <w:rPr>
                <w:spacing w:val="-6"/>
              </w:rPr>
              <w:t>未按规定进行</w:t>
            </w:r>
            <w:r>
              <w:t xml:space="preserve"> </w:t>
            </w:r>
            <w:r>
              <w:rPr>
                <w:spacing w:val="-6"/>
              </w:rPr>
              <w:t>备案或者不符</w:t>
            </w:r>
            <w:r>
              <w:t xml:space="preserve"> </w:t>
            </w:r>
            <w:r>
              <w:rPr>
                <w:spacing w:val="-6"/>
              </w:rPr>
              <w:t>合机动车维修</w:t>
            </w:r>
            <w:r>
              <w:t xml:space="preserve"> </w:t>
            </w:r>
            <w:r>
              <w:rPr>
                <w:spacing w:val="-6"/>
              </w:rPr>
              <w:t>经营业务标准</w:t>
            </w:r>
            <w:r>
              <w:t xml:space="preserve"> </w:t>
            </w:r>
            <w:r>
              <w:rPr>
                <w:spacing w:val="-6"/>
              </w:rPr>
              <w:t>等行为的行政</w:t>
            </w:r>
            <w:r>
              <w:t xml:space="preserve"> </w:t>
            </w:r>
            <w:r>
              <w:rPr>
                <w:spacing w:val="-4"/>
              </w:rPr>
              <w:t>处罚</w:t>
            </w:r>
          </w:p>
        </w:tc>
        <w:tc>
          <w:tcPr>
            <w:tcW w:w="1101" w:type="dxa"/>
            <w:vAlign w:val="top"/>
          </w:tcPr>
          <w:p w14:paraId="2C613B1A">
            <w:pPr>
              <w:spacing w:line="249" w:lineRule="auto"/>
              <w:rPr>
                <w:rFonts w:ascii="Arial"/>
                <w:sz w:val="21"/>
              </w:rPr>
            </w:pPr>
          </w:p>
          <w:p w14:paraId="0000FE89">
            <w:pPr>
              <w:spacing w:line="249" w:lineRule="auto"/>
              <w:rPr>
                <w:rFonts w:ascii="Arial"/>
                <w:sz w:val="21"/>
              </w:rPr>
            </w:pPr>
          </w:p>
          <w:p w14:paraId="2B7A966E">
            <w:pPr>
              <w:spacing w:line="249" w:lineRule="auto"/>
              <w:rPr>
                <w:rFonts w:ascii="Arial"/>
                <w:sz w:val="21"/>
              </w:rPr>
            </w:pPr>
          </w:p>
          <w:p w14:paraId="561AC645">
            <w:pPr>
              <w:spacing w:line="249" w:lineRule="auto"/>
              <w:rPr>
                <w:rFonts w:ascii="Arial"/>
                <w:sz w:val="21"/>
              </w:rPr>
            </w:pPr>
          </w:p>
          <w:p w14:paraId="7DFAFFA4">
            <w:pPr>
              <w:spacing w:line="250" w:lineRule="auto"/>
              <w:rPr>
                <w:rFonts w:ascii="Arial"/>
                <w:sz w:val="21"/>
              </w:rPr>
            </w:pPr>
          </w:p>
          <w:p w14:paraId="68106F77">
            <w:pPr>
              <w:spacing w:line="250" w:lineRule="auto"/>
              <w:rPr>
                <w:rFonts w:ascii="Arial"/>
                <w:sz w:val="21"/>
              </w:rPr>
            </w:pPr>
          </w:p>
          <w:p w14:paraId="523B3A8D">
            <w:pPr>
              <w:spacing w:line="250" w:lineRule="auto"/>
              <w:rPr>
                <w:rFonts w:ascii="Arial"/>
                <w:sz w:val="21"/>
              </w:rPr>
            </w:pPr>
          </w:p>
          <w:p w14:paraId="5DCDA19F">
            <w:pPr>
              <w:pStyle w:val="8"/>
              <w:spacing w:before="58" w:line="220" w:lineRule="auto"/>
              <w:ind w:left="25"/>
            </w:pPr>
            <w:r>
              <w:rPr>
                <w:spacing w:val="-7"/>
              </w:rPr>
              <w:t>行政处罚</w:t>
            </w:r>
          </w:p>
        </w:tc>
        <w:tc>
          <w:tcPr>
            <w:tcW w:w="8524" w:type="dxa"/>
            <w:vAlign w:val="top"/>
          </w:tcPr>
          <w:p w14:paraId="7D42025D">
            <w:pPr>
              <w:pStyle w:val="8"/>
              <w:spacing w:before="87" w:line="219" w:lineRule="auto"/>
              <w:ind w:left="458"/>
            </w:pPr>
            <w:r>
              <w:rPr>
                <w:b/>
                <w:bCs/>
                <w:spacing w:val="-10"/>
              </w:rPr>
              <w:t>1.《中华人民共和国道路运输条例》</w:t>
            </w:r>
          </w:p>
          <w:p w14:paraId="4F382734">
            <w:pPr>
              <w:pStyle w:val="8"/>
              <w:spacing w:before="17" w:line="227" w:lineRule="auto"/>
              <w:ind w:left="102" w:right="172" w:firstLine="342"/>
            </w:pPr>
            <w:r>
              <w:rPr>
                <w:spacing w:val="-7"/>
              </w:rPr>
              <w:t>第三十七条</w:t>
            </w:r>
            <w:r>
              <w:rPr>
                <w:spacing w:val="77"/>
              </w:rPr>
              <w:t xml:space="preserve"> </w:t>
            </w:r>
            <w:r>
              <w:rPr>
                <w:spacing w:val="-7"/>
              </w:rPr>
              <w:t>从事机动车维修经营的，应当具备下列条件</w:t>
            </w:r>
            <w:r>
              <w:rPr>
                <w:spacing w:val="-22"/>
              </w:rPr>
              <w:t>：（</w:t>
            </w:r>
            <w:r>
              <w:rPr>
                <w:spacing w:val="-7"/>
              </w:rPr>
              <w:t>一）有相应的机动车维修场地</w:t>
            </w:r>
            <w:r>
              <w:rPr>
                <w:spacing w:val="-22"/>
              </w:rPr>
              <w:t>；（</w:t>
            </w:r>
            <w:r>
              <w:rPr>
                <w:spacing w:val="-7"/>
              </w:rPr>
              <w:t>二</w:t>
            </w:r>
            <w:r>
              <w:rPr>
                <w:spacing w:val="-8"/>
              </w:rPr>
              <w:t>）有必</w:t>
            </w:r>
            <w:r>
              <w:t xml:space="preserve"> </w:t>
            </w:r>
            <w:r>
              <w:rPr>
                <w:spacing w:val="-7"/>
              </w:rPr>
              <w:t>要的设备、设施和技术人员</w:t>
            </w:r>
            <w:r>
              <w:rPr>
                <w:spacing w:val="-17"/>
              </w:rPr>
              <w:t>；（</w:t>
            </w:r>
            <w:r>
              <w:rPr>
                <w:spacing w:val="-7"/>
              </w:rPr>
              <w:t>三）有健全的机动车维修管理制度</w:t>
            </w:r>
            <w:r>
              <w:rPr>
                <w:spacing w:val="-17"/>
              </w:rPr>
              <w:t>；（</w:t>
            </w:r>
            <w:r>
              <w:rPr>
                <w:spacing w:val="-7"/>
              </w:rPr>
              <w:t>四）有必要的环境保护措施。</w:t>
            </w:r>
          </w:p>
          <w:p w14:paraId="2C8A9F93">
            <w:pPr>
              <w:pStyle w:val="8"/>
              <w:spacing w:before="14" w:line="219" w:lineRule="auto"/>
              <w:ind w:left="463"/>
            </w:pPr>
            <w:r>
              <w:rPr>
                <w:spacing w:val="-8"/>
              </w:rPr>
              <w:t>国务院交通主管部门根据前款规定的条件，制定机动</w:t>
            </w:r>
            <w:r>
              <w:rPr>
                <w:spacing w:val="-9"/>
              </w:rPr>
              <w:t>车维修经营业务标准。</w:t>
            </w:r>
          </w:p>
          <w:p w14:paraId="3A23D16C">
            <w:pPr>
              <w:pStyle w:val="8"/>
              <w:spacing w:before="18" w:line="230" w:lineRule="auto"/>
              <w:ind w:left="105" w:right="150" w:firstLine="340"/>
            </w:pPr>
            <w:r>
              <w:rPr>
                <w:spacing w:val="-8"/>
              </w:rPr>
              <w:t>第六十五条第二款、第四款、第五款</w:t>
            </w:r>
            <w:r>
              <w:rPr>
                <w:spacing w:val="75"/>
              </w:rPr>
              <w:t xml:space="preserve"> </w:t>
            </w:r>
            <w:r>
              <w:rPr>
                <w:spacing w:val="-8"/>
              </w:rPr>
              <w:t>从事机动车维修经营业务不符合国务院交通主管部门制定的机动车</w:t>
            </w:r>
            <w:r>
              <w:t xml:space="preserve"> </w:t>
            </w:r>
            <w:r>
              <w:rPr>
                <w:spacing w:val="-8"/>
              </w:rPr>
              <w:t>维修经营业务标准的，由县级以上地方人民政府交通运输主管部门责令改正；情节严重的，由县级以</w:t>
            </w:r>
            <w:r>
              <w:rPr>
                <w:spacing w:val="-9"/>
              </w:rPr>
              <w:t>上地方</w:t>
            </w:r>
            <w:r>
              <w:rPr>
                <w:rFonts w:hint="eastAsia"/>
                <w:spacing w:val="-9"/>
                <w:lang w:eastAsia="zh-CN"/>
              </w:rPr>
              <w:t>人民政府</w:t>
            </w:r>
            <w:r>
              <w:rPr>
                <w:spacing w:val="-8"/>
              </w:rPr>
              <w:t>交通运输主管部门责令停业整顿。</w:t>
            </w:r>
          </w:p>
          <w:p w14:paraId="203BCF4F">
            <w:pPr>
              <w:pStyle w:val="8"/>
              <w:spacing w:before="17" w:line="228" w:lineRule="auto"/>
              <w:ind w:left="101" w:right="197" w:firstLine="346"/>
            </w:pPr>
            <w:r>
              <w:rPr>
                <w:spacing w:val="-9"/>
              </w:rPr>
              <w:t>从事机动车维修经营业务，未按规定进行备案的，由县级以上地方人民政府交通运输主管部门责</w:t>
            </w:r>
            <w:r>
              <w:rPr>
                <w:spacing w:val="-10"/>
              </w:rPr>
              <w:t>令改正；</w:t>
            </w:r>
            <w:r>
              <w:t xml:space="preserve"> </w:t>
            </w:r>
            <w:r>
              <w:rPr>
                <w:spacing w:val="-7"/>
              </w:rPr>
              <w:t>拒不改正的，处3000元以上1万元以下的罚款。</w:t>
            </w:r>
          </w:p>
          <w:p w14:paraId="37942BC6">
            <w:pPr>
              <w:pStyle w:val="8"/>
              <w:spacing w:before="13" w:line="228" w:lineRule="auto"/>
              <w:ind w:left="103" w:right="234" w:firstLine="343"/>
            </w:pPr>
            <w:r>
              <w:rPr>
                <w:spacing w:val="-8"/>
              </w:rPr>
              <w:t>备案时提供虚假材料情节严重的，其直接负责的主管人员和其他直接责任人员5年内不得从事原备案的业</w:t>
            </w:r>
            <w:r>
              <w:rPr>
                <w:spacing w:val="3"/>
              </w:rPr>
              <w:t xml:space="preserve"> </w:t>
            </w:r>
            <w:r>
              <w:rPr>
                <w:spacing w:val="-5"/>
              </w:rPr>
              <w:t>务。</w:t>
            </w:r>
          </w:p>
          <w:p w14:paraId="1162F65C">
            <w:pPr>
              <w:pStyle w:val="8"/>
              <w:spacing w:before="17" w:line="219" w:lineRule="auto"/>
              <w:ind w:left="447"/>
            </w:pPr>
            <w:r>
              <w:rPr>
                <w:b/>
                <w:bCs/>
                <w:spacing w:val="-8"/>
              </w:rPr>
              <w:t>2.《机动车维修管理规定》(交通运输部令2023年第14号)</w:t>
            </w:r>
          </w:p>
          <w:p w14:paraId="3DE56B31">
            <w:pPr>
              <w:pStyle w:val="8"/>
              <w:spacing w:before="17" w:line="228" w:lineRule="auto"/>
              <w:ind w:left="105" w:right="157" w:firstLine="339"/>
            </w:pPr>
            <w:r>
              <w:rPr>
                <w:spacing w:val="-8"/>
              </w:rPr>
              <w:t>第四十九条</w:t>
            </w:r>
            <w:r>
              <w:rPr>
                <w:spacing w:val="74"/>
              </w:rPr>
              <w:t xml:space="preserve"> </w:t>
            </w:r>
            <w:r>
              <w:rPr>
                <w:spacing w:val="-8"/>
              </w:rPr>
              <w:t>违反本规定，从事机动车维修经营业务，未按规定进行备案的，由交通运输主管部门责令改</w:t>
            </w:r>
            <w:r>
              <w:t xml:space="preserve"> </w:t>
            </w:r>
            <w:r>
              <w:rPr>
                <w:spacing w:val="-7"/>
              </w:rPr>
              <w:t>正；拒不改正的，处3000元以上1万元以下的罚</w:t>
            </w:r>
            <w:r>
              <w:rPr>
                <w:spacing w:val="-8"/>
              </w:rPr>
              <w:t>款。</w:t>
            </w:r>
          </w:p>
          <w:p w14:paraId="3F3FCC27">
            <w:pPr>
              <w:pStyle w:val="8"/>
              <w:spacing w:before="17" w:line="226" w:lineRule="auto"/>
              <w:ind w:left="101" w:right="157" w:firstLine="343"/>
            </w:pPr>
            <w:r>
              <w:rPr>
                <w:spacing w:val="-8"/>
              </w:rPr>
              <w:t>第五十条</w:t>
            </w:r>
            <w:r>
              <w:rPr>
                <w:spacing w:val="74"/>
              </w:rPr>
              <w:t xml:space="preserve"> </w:t>
            </w:r>
            <w:r>
              <w:rPr>
                <w:spacing w:val="-8"/>
              </w:rPr>
              <w:t>违反本规定，从事机动车维修经营业务不符合国务院交通运输主管部门制定的机动车维修经营</w:t>
            </w:r>
            <w:r>
              <w:t xml:space="preserve"> </w:t>
            </w:r>
            <w:r>
              <w:rPr>
                <w:spacing w:val="-8"/>
              </w:rPr>
              <w:t>业务标准的，由交通运输主管部门责令改正；情节严重的，由交通运输主管部门责令停业整顿。</w:t>
            </w:r>
          </w:p>
        </w:tc>
        <w:tc>
          <w:tcPr>
            <w:tcW w:w="1011" w:type="dxa"/>
            <w:vAlign w:val="top"/>
          </w:tcPr>
          <w:p w14:paraId="00BC50B6">
            <w:pPr>
              <w:spacing w:line="271" w:lineRule="auto"/>
              <w:rPr>
                <w:rFonts w:ascii="Arial"/>
                <w:sz w:val="21"/>
              </w:rPr>
            </w:pPr>
          </w:p>
          <w:p w14:paraId="61D1B265">
            <w:pPr>
              <w:spacing w:line="271" w:lineRule="auto"/>
              <w:rPr>
                <w:rFonts w:ascii="Arial"/>
                <w:sz w:val="21"/>
              </w:rPr>
            </w:pPr>
          </w:p>
          <w:p w14:paraId="2F96CF9A">
            <w:pPr>
              <w:spacing w:line="271" w:lineRule="auto"/>
              <w:rPr>
                <w:rFonts w:ascii="Arial"/>
                <w:sz w:val="21"/>
              </w:rPr>
            </w:pPr>
          </w:p>
          <w:p w14:paraId="16D36E20">
            <w:pPr>
              <w:spacing w:line="271" w:lineRule="auto"/>
              <w:rPr>
                <w:rFonts w:ascii="Arial"/>
                <w:sz w:val="21"/>
              </w:rPr>
            </w:pPr>
          </w:p>
          <w:p w14:paraId="5DCE46A8">
            <w:pPr>
              <w:spacing w:line="271" w:lineRule="auto"/>
              <w:rPr>
                <w:rFonts w:ascii="Arial"/>
                <w:sz w:val="21"/>
              </w:rPr>
            </w:pPr>
          </w:p>
          <w:p w14:paraId="1EF8FA5A">
            <w:pPr>
              <w:spacing w:line="271" w:lineRule="auto"/>
              <w:rPr>
                <w:rFonts w:ascii="Arial"/>
                <w:sz w:val="21"/>
              </w:rPr>
            </w:pPr>
          </w:p>
          <w:p w14:paraId="5DA5E108">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1F3DDD3B">
            <w:pPr>
              <w:spacing w:line="271" w:lineRule="auto"/>
              <w:rPr>
                <w:rFonts w:ascii="Arial"/>
                <w:sz w:val="21"/>
              </w:rPr>
            </w:pPr>
          </w:p>
          <w:p w14:paraId="7A4115DE">
            <w:pPr>
              <w:spacing w:line="271" w:lineRule="auto"/>
              <w:rPr>
                <w:rFonts w:ascii="Arial"/>
                <w:sz w:val="21"/>
              </w:rPr>
            </w:pPr>
          </w:p>
          <w:p w14:paraId="628EE533">
            <w:pPr>
              <w:spacing w:line="271" w:lineRule="auto"/>
              <w:rPr>
                <w:rFonts w:ascii="Arial"/>
                <w:sz w:val="21"/>
              </w:rPr>
            </w:pPr>
          </w:p>
          <w:p w14:paraId="4DB6B519">
            <w:pPr>
              <w:spacing w:line="271" w:lineRule="auto"/>
              <w:rPr>
                <w:rFonts w:ascii="Arial"/>
                <w:sz w:val="21"/>
              </w:rPr>
            </w:pPr>
          </w:p>
          <w:p w14:paraId="71057299">
            <w:pPr>
              <w:spacing w:line="271" w:lineRule="auto"/>
              <w:rPr>
                <w:rFonts w:ascii="Arial"/>
                <w:sz w:val="21"/>
              </w:rPr>
            </w:pPr>
          </w:p>
          <w:p w14:paraId="3E4CDF93">
            <w:pPr>
              <w:spacing w:line="271" w:lineRule="auto"/>
              <w:rPr>
                <w:rFonts w:ascii="Arial"/>
                <w:sz w:val="21"/>
              </w:rPr>
            </w:pPr>
          </w:p>
          <w:p w14:paraId="668D8D05">
            <w:pPr>
              <w:pStyle w:val="8"/>
              <w:spacing w:before="59"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53869488">
            <w:pPr>
              <w:spacing w:line="277" w:lineRule="auto"/>
              <w:rPr>
                <w:rFonts w:ascii="Arial"/>
                <w:sz w:val="21"/>
              </w:rPr>
            </w:pPr>
          </w:p>
          <w:p w14:paraId="49F33A98">
            <w:pPr>
              <w:spacing w:line="278" w:lineRule="auto"/>
              <w:rPr>
                <w:rFonts w:ascii="Arial"/>
                <w:sz w:val="21"/>
              </w:rPr>
            </w:pPr>
          </w:p>
          <w:p w14:paraId="6531088F">
            <w:pPr>
              <w:spacing w:line="278" w:lineRule="auto"/>
              <w:rPr>
                <w:rFonts w:ascii="Arial"/>
                <w:sz w:val="21"/>
              </w:rPr>
            </w:pPr>
          </w:p>
          <w:p w14:paraId="1998B55F">
            <w:pPr>
              <w:spacing w:line="278" w:lineRule="auto"/>
              <w:rPr>
                <w:rFonts w:ascii="Arial"/>
                <w:sz w:val="21"/>
              </w:rPr>
            </w:pPr>
          </w:p>
          <w:p w14:paraId="140CD9A5">
            <w:pPr>
              <w:spacing w:line="278" w:lineRule="auto"/>
              <w:rPr>
                <w:rFonts w:ascii="Arial"/>
                <w:sz w:val="21"/>
              </w:rPr>
            </w:pPr>
          </w:p>
          <w:p w14:paraId="6E200B9D">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5BB8BFD5">
      <w:pPr>
        <w:pStyle w:val="2"/>
      </w:pPr>
    </w:p>
    <w:p w14:paraId="3E48516A">
      <w:pPr>
        <w:sectPr>
          <w:footerReference r:id="rId32" w:type="default"/>
          <w:pgSz w:w="16839" w:h="11906"/>
          <w:pgMar w:top="1012" w:right="1016" w:bottom="966" w:left="1016" w:header="0" w:footer="768" w:gutter="0"/>
          <w:cols w:space="720" w:num="1"/>
        </w:sectPr>
      </w:pPr>
    </w:p>
    <w:p w14:paraId="197A84D9">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03AC9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28C2A331">
            <w:pPr>
              <w:pStyle w:val="8"/>
              <w:spacing w:before="273" w:line="221" w:lineRule="auto"/>
              <w:ind w:left="129"/>
            </w:pPr>
            <w:r>
              <w:rPr>
                <w:b/>
                <w:bCs/>
                <w:spacing w:val="-4"/>
              </w:rPr>
              <w:t>序号</w:t>
            </w:r>
          </w:p>
        </w:tc>
        <w:tc>
          <w:tcPr>
            <w:tcW w:w="1101" w:type="dxa"/>
            <w:vMerge w:val="restart"/>
            <w:tcBorders>
              <w:bottom w:val="nil"/>
            </w:tcBorders>
            <w:vAlign w:val="top"/>
          </w:tcPr>
          <w:p w14:paraId="59AED7A0">
            <w:pPr>
              <w:pStyle w:val="8"/>
              <w:spacing w:before="274" w:line="220" w:lineRule="auto"/>
              <w:ind w:left="182"/>
            </w:pPr>
            <w:r>
              <w:rPr>
                <w:b/>
                <w:bCs/>
                <w:spacing w:val="-4"/>
              </w:rPr>
              <w:t>事项名称</w:t>
            </w:r>
          </w:p>
        </w:tc>
        <w:tc>
          <w:tcPr>
            <w:tcW w:w="1101" w:type="dxa"/>
            <w:vMerge w:val="restart"/>
            <w:tcBorders>
              <w:bottom w:val="nil"/>
            </w:tcBorders>
            <w:vAlign w:val="top"/>
          </w:tcPr>
          <w:p w14:paraId="65B6490A">
            <w:pPr>
              <w:pStyle w:val="8"/>
              <w:spacing w:before="274" w:line="219" w:lineRule="auto"/>
              <w:ind w:left="183"/>
            </w:pPr>
            <w:r>
              <w:rPr>
                <w:b/>
                <w:bCs/>
                <w:spacing w:val="-4"/>
              </w:rPr>
              <w:t>职权类型</w:t>
            </w:r>
          </w:p>
        </w:tc>
        <w:tc>
          <w:tcPr>
            <w:tcW w:w="8524" w:type="dxa"/>
            <w:vMerge w:val="restart"/>
            <w:tcBorders>
              <w:bottom w:val="nil"/>
            </w:tcBorders>
            <w:vAlign w:val="top"/>
          </w:tcPr>
          <w:p w14:paraId="76EB6362">
            <w:pPr>
              <w:pStyle w:val="8"/>
              <w:spacing w:before="273" w:line="219" w:lineRule="auto"/>
              <w:ind w:left="4083"/>
            </w:pPr>
            <w:r>
              <w:rPr>
                <w:b/>
                <w:bCs/>
                <w:spacing w:val="-5"/>
              </w:rPr>
              <w:t>实施依据</w:t>
            </w:r>
          </w:p>
        </w:tc>
        <w:tc>
          <w:tcPr>
            <w:tcW w:w="3435" w:type="dxa"/>
            <w:gridSpan w:val="3"/>
            <w:vAlign w:val="top"/>
          </w:tcPr>
          <w:p w14:paraId="3C8BE4BC">
            <w:pPr>
              <w:pStyle w:val="8"/>
              <w:spacing w:before="94" w:line="220" w:lineRule="auto"/>
              <w:ind w:left="1360"/>
            </w:pPr>
            <w:r>
              <w:rPr>
                <w:b/>
                <w:bCs/>
                <w:spacing w:val="-5"/>
              </w:rPr>
              <w:t>实施主体</w:t>
            </w:r>
          </w:p>
        </w:tc>
      </w:tr>
      <w:tr w14:paraId="720AE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4428FBA9">
            <w:pPr>
              <w:rPr>
                <w:rFonts w:ascii="Arial"/>
                <w:sz w:val="21"/>
              </w:rPr>
            </w:pPr>
          </w:p>
        </w:tc>
        <w:tc>
          <w:tcPr>
            <w:tcW w:w="1101" w:type="dxa"/>
            <w:vMerge w:val="continue"/>
            <w:tcBorders>
              <w:top w:val="nil"/>
            </w:tcBorders>
            <w:vAlign w:val="top"/>
          </w:tcPr>
          <w:p w14:paraId="0B6EDB3F">
            <w:pPr>
              <w:rPr>
                <w:rFonts w:ascii="Arial"/>
                <w:sz w:val="21"/>
              </w:rPr>
            </w:pPr>
          </w:p>
        </w:tc>
        <w:tc>
          <w:tcPr>
            <w:tcW w:w="1101" w:type="dxa"/>
            <w:vMerge w:val="continue"/>
            <w:tcBorders>
              <w:top w:val="nil"/>
            </w:tcBorders>
            <w:vAlign w:val="top"/>
          </w:tcPr>
          <w:p w14:paraId="55D86792">
            <w:pPr>
              <w:rPr>
                <w:rFonts w:ascii="Arial"/>
                <w:sz w:val="21"/>
              </w:rPr>
            </w:pPr>
          </w:p>
        </w:tc>
        <w:tc>
          <w:tcPr>
            <w:tcW w:w="8524" w:type="dxa"/>
            <w:vMerge w:val="continue"/>
            <w:tcBorders>
              <w:top w:val="nil"/>
            </w:tcBorders>
            <w:vAlign w:val="top"/>
          </w:tcPr>
          <w:p w14:paraId="504E0D61">
            <w:pPr>
              <w:rPr>
                <w:rFonts w:ascii="Arial"/>
                <w:sz w:val="21"/>
              </w:rPr>
            </w:pPr>
          </w:p>
        </w:tc>
        <w:tc>
          <w:tcPr>
            <w:tcW w:w="1011" w:type="dxa"/>
            <w:vAlign w:val="top"/>
          </w:tcPr>
          <w:p w14:paraId="72AD42D6">
            <w:pPr>
              <w:pStyle w:val="8"/>
              <w:spacing w:before="85" w:line="219" w:lineRule="auto"/>
              <w:ind w:left="154"/>
            </w:pPr>
            <w:r>
              <w:rPr>
                <w:b/>
                <w:bCs/>
                <w:spacing w:val="-5"/>
              </w:rPr>
              <w:t>责任部门</w:t>
            </w:r>
          </w:p>
        </w:tc>
        <w:tc>
          <w:tcPr>
            <w:tcW w:w="1404" w:type="dxa"/>
            <w:vAlign w:val="top"/>
          </w:tcPr>
          <w:p w14:paraId="2B408C24">
            <w:pPr>
              <w:pStyle w:val="8"/>
              <w:spacing w:before="85" w:line="219" w:lineRule="auto"/>
              <w:ind w:left="164"/>
            </w:pPr>
            <w:r>
              <w:rPr>
                <w:b/>
                <w:bCs/>
                <w:spacing w:val="-3"/>
              </w:rPr>
              <w:t>第一责任层级</w:t>
            </w:r>
          </w:p>
        </w:tc>
        <w:tc>
          <w:tcPr>
            <w:tcW w:w="1020" w:type="dxa"/>
            <w:vAlign w:val="top"/>
          </w:tcPr>
          <w:p w14:paraId="6681DD32">
            <w:pPr>
              <w:pStyle w:val="8"/>
              <w:spacing w:before="84" w:line="219" w:lineRule="auto"/>
              <w:ind w:left="114"/>
            </w:pPr>
            <w:r>
              <w:rPr>
                <w:b/>
                <w:bCs/>
                <w:spacing w:val="-4"/>
              </w:rPr>
              <w:t>承办机构</w:t>
            </w:r>
          </w:p>
        </w:tc>
      </w:tr>
      <w:tr w14:paraId="6A899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4" w:hRule="atLeast"/>
        </w:trPr>
        <w:tc>
          <w:tcPr>
            <w:tcW w:w="629" w:type="dxa"/>
            <w:vAlign w:val="top"/>
          </w:tcPr>
          <w:p w14:paraId="6E67060D">
            <w:pPr>
              <w:rPr>
                <w:rFonts w:ascii="Arial"/>
                <w:sz w:val="21"/>
              </w:rPr>
            </w:pPr>
          </w:p>
          <w:p w14:paraId="33DB0AC1">
            <w:pPr>
              <w:rPr>
                <w:rFonts w:ascii="Arial"/>
                <w:sz w:val="21"/>
              </w:rPr>
            </w:pPr>
          </w:p>
          <w:p w14:paraId="7F235C03">
            <w:pPr>
              <w:rPr>
                <w:rFonts w:ascii="Arial"/>
                <w:sz w:val="21"/>
              </w:rPr>
            </w:pPr>
          </w:p>
          <w:p w14:paraId="3252F85A">
            <w:pPr>
              <w:rPr>
                <w:rFonts w:ascii="Arial"/>
                <w:sz w:val="21"/>
              </w:rPr>
            </w:pPr>
          </w:p>
          <w:p w14:paraId="6AE06386">
            <w:pPr>
              <w:spacing w:line="241" w:lineRule="auto"/>
              <w:rPr>
                <w:rFonts w:ascii="Arial"/>
                <w:sz w:val="21"/>
              </w:rPr>
            </w:pPr>
          </w:p>
          <w:p w14:paraId="3208AA77">
            <w:pPr>
              <w:spacing w:line="241" w:lineRule="auto"/>
              <w:rPr>
                <w:rFonts w:ascii="Arial"/>
                <w:sz w:val="21"/>
              </w:rPr>
            </w:pPr>
          </w:p>
          <w:p w14:paraId="7FE9F066">
            <w:pPr>
              <w:spacing w:line="241" w:lineRule="auto"/>
              <w:rPr>
                <w:rFonts w:ascii="Arial"/>
                <w:sz w:val="21"/>
              </w:rPr>
            </w:pPr>
          </w:p>
          <w:p w14:paraId="73EA72BD">
            <w:pPr>
              <w:spacing w:line="241" w:lineRule="auto"/>
              <w:rPr>
                <w:rFonts w:ascii="Arial"/>
                <w:sz w:val="21"/>
              </w:rPr>
            </w:pPr>
          </w:p>
          <w:p w14:paraId="6748B3A6">
            <w:pPr>
              <w:spacing w:line="241" w:lineRule="auto"/>
              <w:rPr>
                <w:rFonts w:ascii="Arial"/>
                <w:sz w:val="21"/>
              </w:rPr>
            </w:pPr>
          </w:p>
          <w:p w14:paraId="58DE5CFC">
            <w:pPr>
              <w:spacing w:line="241" w:lineRule="auto"/>
              <w:rPr>
                <w:rFonts w:ascii="Arial"/>
                <w:sz w:val="21"/>
              </w:rPr>
            </w:pPr>
          </w:p>
          <w:p w14:paraId="73264F58">
            <w:pPr>
              <w:spacing w:line="241" w:lineRule="auto"/>
              <w:rPr>
                <w:rFonts w:ascii="Arial"/>
                <w:sz w:val="21"/>
              </w:rPr>
            </w:pPr>
          </w:p>
          <w:p w14:paraId="3B42AF2A">
            <w:pPr>
              <w:spacing w:line="241" w:lineRule="auto"/>
              <w:rPr>
                <w:rFonts w:ascii="Arial"/>
                <w:sz w:val="21"/>
              </w:rPr>
            </w:pPr>
          </w:p>
          <w:p w14:paraId="2E01C7D8">
            <w:pPr>
              <w:spacing w:line="241" w:lineRule="auto"/>
              <w:rPr>
                <w:rFonts w:ascii="Arial"/>
                <w:sz w:val="21"/>
              </w:rPr>
            </w:pPr>
          </w:p>
          <w:p w14:paraId="629F6D06">
            <w:pPr>
              <w:pStyle w:val="8"/>
              <w:spacing w:before="58" w:line="184" w:lineRule="auto"/>
              <w:ind w:left="234"/>
              <w:rPr>
                <w:rFonts w:hint="eastAsia" w:eastAsia="宋体"/>
                <w:lang w:eastAsia="zh-CN"/>
              </w:rPr>
            </w:pPr>
            <w:r>
              <w:rPr>
                <w:spacing w:val="-10"/>
              </w:rPr>
              <w:t>1</w:t>
            </w:r>
            <w:r>
              <w:rPr>
                <w:rFonts w:hint="eastAsia"/>
                <w:spacing w:val="-10"/>
                <w:lang w:val="en-US" w:eastAsia="zh-CN"/>
              </w:rPr>
              <w:t>6</w:t>
            </w:r>
          </w:p>
        </w:tc>
        <w:tc>
          <w:tcPr>
            <w:tcW w:w="1101" w:type="dxa"/>
            <w:vAlign w:val="top"/>
          </w:tcPr>
          <w:p w14:paraId="08F84E1C">
            <w:pPr>
              <w:spacing w:line="262" w:lineRule="auto"/>
              <w:rPr>
                <w:rFonts w:ascii="Arial"/>
                <w:sz w:val="21"/>
              </w:rPr>
            </w:pPr>
          </w:p>
          <w:p w14:paraId="5F26BADB">
            <w:pPr>
              <w:spacing w:line="262" w:lineRule="auto"/>
              <w:rPr>
                <w:rFonts w:ascii="Arial"/>
                <w:sz w:val="21"/>
              </w:rPr>
            </w:pPr>
          </w:p>
          <w:p w14:paraId="7D889F54">
            <w:pPr>
              <w:spacing w:line="262" w:lineRule="auto"/>
              <w:rPr>
                <w:rFonts w:ascii="Arial"/>
                <w:sz w:val="21"/>
              </w:rPr>
            </w:pPr>
          </w:p>
          <w:p w14:paraId="508AEF80">
            <w:pPr>
              <w:spacing w:line="262" w:lineRule="auto"/>
              <w:rPr>
                <w:rFonts w:ascii="Arial"/>
                <w:sz w:val="21"/>
              </w:rPr>
            </w:pPr>
          </w:p>
          <w:p w14:paraId="13658F99">
            <w:pPr>
              <w:spacing w:line="262" w:lineRule="auto"/>
              <w:rPr>
                <w:rFonts w:ascii="Arial"/>
                <w:sz w:val="21"/>
              </w:rPr>
            </w:pPr>
          </w:p>
          <w:p w14:paraId="0DAFB1EE">
            <w:pPr>
              <w:spacing w:line="262" w:lineRule="auto"/>
              <w:rPr>
                <w:rFonts w:ascii="Arial"/>
                <w:sz w:val="21"/>
              </w:rPr>
            </w:pPr>
          </w:p>
          <w:p w14:paraId="2C04840A">
            <w:pPr>
              <w:spacing w:line="263" w:lineRule="auto"/>
              <w:rPr>
                <w:rFonts w:ascii="Arial"/>
                <w:sz w:val="21"/>
              </w:rPr>
            </w:pPr>
          </w:p>
          <w:p w14:paraId="51999E18">
            <w:pPr>
              <w:spacing w:line="263" w:lineRule="auto"/>
              <w:rPr>
                <w:rFonts w:ascii="Arial"/>
                <w:sz w:val="21"/>
              </w:rPr>
            </w:pPr>
          </w:p>
          <w:p w14:paraId="7BE79F8D">
            <w:pPr>
              <w:spacing w:line="263" w:lineRule="auto"/>
              <w:rPr>
                <w:rFonts w:ascii="Arial"/>
                <w:sz w:val="21"/>
              </w:rPr>
            </w:pPr>
          </w:p>
          <w:p w14:paraId="3C3424DB">
            <w:pPr>
              <w:spacing w:line="263" w:lineRule="auto"/>
              <w:rPr>
                <w:rFonts w:ascii="Arial"/>
                <w:sz w:val="21"/>
              </w:rPr>
            </w:pPr>
          </w:p>
          <w:p w14:paraId="04F186B4">
            <w:pPr>
              <w:pStyle w:val="8"/>
              <w:spacing w:before="59" w:line="243" w:lineRule="auto"/>
              <w:ind w:left="18" w:right="20"/>
              <w:jc w:val="both"/>
            </w:pPr>
            <w:r>
              <w:rPr>
                <w:spacing w:val="-6"/>
              </w:rPr>
              <w:t>对从事道路货</w:t>
            </w:r>
            <w:r>
              <w:rPr>
                <w:spacing w:val="2"/>
              </w:rPr>
              <w:t xml:space="preserve"> </w:t>
            </w:r>
            <w:r>
              <w:rPr>
                <w:spacing w:val="-6"/>
              </w:rPr>
              <w:t>物运输站(场)</w:t>
            </w:r>
            <w:r>
              <w:rPr>
                <w:spacing w:val="3"/>
              </w:rPr>
              <w:t xml:space="preserve"> </w:t>
            </w:r>
            <w:r>
              <w:rPr>
                <w:spacing w:val="-6"/>
              </w:rPr>
              <w:t>经营、机动车</w:t>
            </w:r>
            <w:r>
              <w:rPr>
                <w:spacing w:val="1"/>
              </w:rPr>
              <w:t xml:space="preserve"> </w:t>
            </w:r>
            <w:r>
              <w:rPr>
                <w:spacing w:val="-6"/>
              </w:rPr>
              <w:t>驾驶员培训业</w:t>
            </w:r>
            <w:r>
              <w:rPr>
                <w:spacing w:val="1"/>
              </w:rPr>
              <w:t xml:space="preserve"> </w:t>
            </w:r>
            <w:r>
              <w:rPr>
                <w:spacing w:val="-6"/>
              </w:rPr>
              <w:t>务未按规定办</w:t>
            </w:r>
            <w:r>
              <w:rPr>
                <w:spacing w:val="1"/>
              </w:rPr>
              <w:t xml:space="preserve"> </w:t>
            </w:r>
            <w:r>
              <w:rPr>
                <w:spacing w:val="-6"/>
              </w:rPr>
              <w:t>理备案的行政</w:t>
            </w:r>
            <w:r>
              <w:rPr>
                <w:spacing w:val="1"/>
              </w:rPr>
              <w:t xml:space="preserve"> </w:t>
            </w:r>
            <w:r>
              <w:rPr>
                <w:spacing w:val="-4"/>
              </w:rPr>
              <w:t>处罚</w:t>
            </w:r>
          </w:p>
        </w:tc>
        <w:tc>
          <w:tcPr>
            <w:tcW w:w="1101" w:type="dxa"/>
            <w:vAlign w:val="top"/>
          </w:tcPr>
          <w:p w14:paraId="526A894B">
            <w:pPr>
              <w:spacing w:line="258" w:lineRule="auto"/>
              <w:rPr>
                <w:rFonts w:ascii="Arial"/>
                <w:sz w:val="21"/>
              </w:rPr>
            </w:pPr>
          </w:p>
          <w:p w14:paraId="31FD7B38">
            <w:pPr>
              <w:spacing w:line="258" w:lineRule="auto"/>
              <w:rPr>
                <w:rFonts w:ascii="Arial"/>
                <w:sz w:val="21"/>
              </w:rPr>
            </w:pPr>
          </w:p>
          <w:p w14:paraId="2E33F1CB">
            <w:pPr>
              <w:spacing w:line="258" w:lineRule="auto"/>
              <w:rPr>
                <w:rFonts w:ascii="Arial"/>
                <w:sz w:val="21"/>
              </w:rPr>
            </w:pPr>
          </w:p>
          <w:p w14:paraId="632AD08E">
            <w:pPr>
              <w:spacing w:line="258" w:lineRule="auto"/>
              <w:rPr>
                <w:rFonts w:ascii="Arial"/>
                <w:sz w:val="21"/>
              </w:rPr>
            </w:pPr>
          </w:p>
          <w:p w14:paraId="29F07168">
            <w:pPr>
              <w:spacing w:line="258" w:lineRule="auto"/>
              <w:rPr>
                <w:rFonts w:ascii="Arial"/>
                <w:sz w:val="21"/>
              </w:rPr>
            </w:pPr>
          </w:p>
          <w:p w14:paraId="5E22741A">
            <w:pPr>
              <w:spacing w:line="258" w:lineRule="auto"/>
              <w:rPr>
                <w:rFonts w:ascii="Arial"/>
                <w:sz w:val="21"/>
              </w:rPr>
            </w:pPr>
          </w:p>
          <w:p w14:paraId="734B27D8">
            <w:pPr>
              <w:spacing w:line="259" w:lineRule="auto"/>
              <w:rPr>
                <w:rFonts w:ascii="Arial"/>
                <w:sz w:val="21"/>
              </w:rPr>
            </w:pPr>
          </w:p>
          <w:p w14:paraId="02F32316">
            <w:pPr>
              <w:spacing w:line="259" w:lineRule="auto"/>
              <w:rPr>
                <w:rFonts w:ascii="Arial"/>
                <w:sz w:val="21"/>
              </w:rPr>
            </w:pPr>
          </w:p>
          <w:p w14:paraId="005A9FE8">
            <w:pPr>
              <w:spacing w:line="259" w:lineRule="auto"/>
              <w:rPr>
                <w:rFonts w:ascii="Arial"/>
                <w:sz w:val="21"/>
              </w:rPr>
            </w:pPr>
          </w:p>
          <w:p w14:paraId="3C053910">
            <w:pPr>
              <w:spacing w:line="259" w:lineRule="auto"/>
              <w:rPr>
                <w:rFonts w:ascii="Arial"/>
                <w:sz w:val="21"/>
              </w:rPr>
            </w:pPr>
          </w:p>
          <w:p w14:paraId="73435364">
            <w:pPr>
              <w:spacing w:line="259" w:lineRule="auto"/>
              <w:rPr>
                <w:rFonts w:ascii="Arial"/>
                <w:sz w:val="21"/>
              </w:rPr>
            </w:pPr>
          </w:p>
          <w:p w14:paraId="364065DE">
            <w:pPr>
              <w:spacing w:line="259" w:lineRule="auto"/>
              <w:rPr>
                <w:rFonts w:ascii="Arial"/>
                <w:sz w:val="21"/>
              </w:rPr>
            </w:pPr>
          </w:p>
          <w:p w14:paraId="2C08529F">
            <w:pPr>
              <w:pStyle w:val="8"/>
              <w:spacing w:before="58" w:line="220" w:lineRule="auto"/>
              <w:ind w:left="25"/>
            </w:pPr>
            <w:r>
              <w:rPr>
                <w:spacing w:val="-7"/>
              </w:rPr>
              <w:t>行政处罚</w:t>
            </w:r>
          </w:p>
        </w:tc>
        <w:tc>
          <w:tcPr>
            <w:tcW w:w="8524" w:type="dxa"/>
            <w:vAlign w:val="top"/>
          </w:tcPr>
          <w:p w14:paraId="038F43E7">
            <w:pPr>
              <w:pStyle w:val="8"/>
              <w:spacing w:before="180" w:line="219" w:lineRule="auto"/>
              <w:ind w:left="458"/>
            </w:pPr>
            <w:r>
              <w:rPr>
                <w:b/>
                <w:bCs/>
                <w:spacing w:val="-10"/>
              </w:rPr>
              <w:t>1.《中华人民共和国道路运输条例》</w:t>
            </w:r>
          </w:p>
          <w:p w14:paraId="0309B81C">
            <w:pPr>
              <w:pStyle w:val="8"/>
              <w:spacing w:before="24" w:line="238" w:lineRule="auto"/>
              <w:ind w:left="102" w:right="150" w:firstLine="342"/>
              <w:jc w:val="both"/>
            </w:pPr>
            <w:r>
              <w:rPr>
                <w:spacing w:val="-7"/>
              </w:rPr>
              <w:t>第三十八条</w:t>
            </w:r>
            <w:r>
              <w:rPr>
                <w:spacing w:val="77"/>
              </w:rPr>
              <w:t xml:space="preserve"> </w:t>
            </w:r>
            <w:r>
              <w:rPr>
                <w:spacing w:val="-7"/>
              </w:rPr>
              <w:t>从事机动车驾驶员培训的，应当具备下列条件</w:t>
            </w:r>
            <w:r>
              <w:rPr>
                <w:spacing w:val="-19"/>
              </w:rPr>
              <w:t>：（</w:t>
            </w:r>
            <w:r>
              <w:rPr>
                <w:spacing w:val="-7"/>
              </w:rPr>
              <w:t>一）取得企业法人资格</w:t>
            </w:r>
            <w:r>
              <w:rPr>
                <w:spacing w:val="-19"/>
              </w:rPr>
              <w:t>；（</w:t>
            </w:r>
            <w:r>
              <w:rPr>
                <w:spacing w:val="-7"/>
              </w:rPr>
              <w:t>二）有健全的</w:t>
            </w:r>
            <w:r>
              <w:t xml:space="preserve"> </w:t>
            </w:r>
            <w:r>
              <w:rPr>
                <w:spacing w:val="-7"/>
              </w:rPr>
              <w:t>培训机构和管理制度</w:t>
            </w:r>
            <w:r>
              <w:rPr>
                <w:spacing w:val="-20"/>
              </w:rPr>
              <w:t>；（</w:t>
            </w:r>
            <w:r>
              <w:rPr>
                <w:spacing w:val="-7"/>
              </w:rPr>
              <w:t>三）有与培训业务相适应的教学人员、管理人员</w:t>
            </w:r>
            <w:r>
              <w:rPr>
                <w:spacing w:val="-20"/>
              </w:rPr>
              <w:t>；（</w:t>
            </w:r>
            <w:r>
              <w:rPr>
                <w:spacing w:val="-7"/>
              </w:rPr>
              <w:t>四）有必要的教学车辆和其他教</w:t>
            </w:r>
            <w:r>
              <w:rPr>
                <w:spacing w:val="2"/>
              </w:rPr>
              <w:t xml:space="preserve"> </w:t>
            </w:r>
            <w:r>
              <w:rPr>
                <w:spacing w:val="-8"/>
              </w:rPr>
              <w:t>学设施、设备、场地。</w:t>
            </w:r>
          </w:p>
          <w:p w14:paraId="6BC29B99">
            <w:pPr>
              <w:pStyle w:val="8"/>
              <w:spacing w:before="25" w:line="237" w:lineRule="auto"/>
              <w:ind w:left="100" w:right="150" w:firstLine="344"/>
            </w:pPr>
            <w:r>
              <w:rPr>
                <w:spacing w:val="-8"/>
              </w:rPr>
              <w:t>第三十九条第二款</w:t>
            </w:r>
            <w:r>
              <w:rPr>
                <w:spacing w:val="82"/>
              </w:rPr>
              <w:t xml:space="preserve"> </w:t>
            </w:r>
            <w:r>
              <w:rPr>
                <w:spacing w:val="-8"/>
              </w:rPr>
              <w:t>从事道路货物运输站(场)经营、机动车维修经营和机动车驾驶员培训业务的，应当在</w:t>
            </w:r>
            <w:r>
              <w:t xml:space="preserve"> </w:t>
            </w:r>
            <w:r>
              <w:rPr>
                <w:spacing w:val="-8"/>
              </w:rPr>
              <w:t>依法向市场监督管理部门办理有关登记手续后，向所在地县级人民政府交通运输主管部门进行备案，并分别附</w:t>
            </w:r>
            <w:r>
              <w:t xml:space="preserve"> </w:t>
            </w:r>
            <w:r>
              <w:rPr>
                <w:spacing w:val="-8"/>
              </w:rPr>
              <w:t>送符合本条例第三十六条、第三十七条、第三十八条规定条件的相关材料。</w:t>
            </w:r>
          </w:p>
          <w:p w14:paraId="5A435AE2">
            <w:pPr>
              <w:pStyle w:val="8"/>
              <w:spacing w:before="25" w:line="233" w:lineRule="auto"/>
              <w:ind w:left="116" w:right="157" w:firstLine="328"/>
            </w:pPr>
            <w:r>
              <w:rPr>
                <w:spacing w:val="-8"/>
              </w:rPr>
              <w:t>第六十五条第三款、第五款</w:t>
            </w:r>
            <w:r>
              <w:rPr>
                <w:spacing w:val="82"/>
              </w:rPr>
              <w:t xml:space="preserve"> </w:t>
            </w:r>
            <w:r>
              <w:rPr>
                <w:spacing w:val="-8"/>
              </w:rPr>
              <w:t>从事道路货物运输站(场)经营、机动车驾驶员培训业务，未按规定进行备案</w:t>
            </w:r>
            <w:r>
              <w:t xml:space="preserve"> </w:t>
            </w:r>
            <w:r>
              <w:rPr>
                <w:spacing w:val="-8"/>
              </w:rPr>
              <w:t>的，由县级以上地方人民政府交通运输主管部门责令改正；拒不改正的，处5000元以上2万元以下的罚款。</w:t>
            </w:r>
          </w:p>
          <w:p w14:paraId="43D46C34">
            <w:pPr>
              <w:pStyle w:val="8"/>
              <w:spacing w:before="26" w:line="233" w:lineRule="auto"/>
              <w:ind w:left="103" w:right="234" w:firstLine="343"/>
            </w:pPr>
            <w:r>
              <w:rPr>
                <w:spacing w:val="-8"/>
              </w:rPr>
              <w:t>备案时提供虚假材料情节严重的，其直接负责的主管人员和其他直接责任人员5年内不得从事原备案的业</w:t>
            </w:r>
            <w:r>
              <w:rPr>
                <w:spacing w:val="3"/>
              </w:rPr>
              <w:t xml:space="preserve"> </w:t>
            </w:r>
            <w:r>
              <w:rPr>
                <w:spacing w:val="-5"/>
              </w:rPr>
              <w:t>务。</w:t>
            </w:r>
          </w:p>
          <w:p w14:paraId="4EC3F901">
            <w:pPr>
              <w:pStyle w:val="8"/>
              <w:spacing w:before="25" w:line="219" w:lineRule="auto"/>
              <w:ind w:left="447"/>
            </w:pPr>
            <w:r>
              <w:rPr>
                <w:b/>
                <w:bCs/>
                <w:spacing w:val="-8"/>
              </w:rPr>
              <w:t>2.《机动车驾驶员培训管理规定》(交通运输部令2022年第32号)</w:t>
            </w:r>
          </w:p>
          <w:p w14:paraId="3578666D">
            <w:pPr>
              <w:pStyle w:val="8"/>
              <w:spacing w:before="27" w:line="237" w:lineRule="auto"/>
              <w:ind w:left="105" w:right="21" w:firstLine="340"/>
              <w:jc w:val="both"/>
            </w:pPr>
            <w:r>
              <w:rPr>
                <w:spacing w:val="-8"/>
              </w:rPr>
              <w:t>第四十八条</w:t>
            </w:r>
            <w:r>
              <w:rPr>
                <w:spacing w:val="74"/>
              </w:rPr>
              <w:t xml:space="preserve"> </w:t>
            </w:r>
            <w:r>
              <w:rPr>
                <w:spacing w:val="-8"/>
              </w:rPr>
              <w:t>违反本规定，从事机动车驾驶员培训业务，有下列情形之一的，由交通运输主管部门责令改</w:t>
            </w:r>
            <w:r>
              <w:t xml:space="preserve">  </w:t>
            </w:r>
            <w:r>
              <w:rPr>
                <w:spacing w:val="-9"/>
              </w:rPr>
              <w:t>正；拒不改正的，处5000元以上2万元以下的罚</w:t>
            </w:r>
            <w:r>
              <w:rPr>
                <w:spacing w:val="-10"/>
              </w:rPr>
              <w:t>款</w:t>
            </w:r>
            <w:r>
              <w:rPr>
                <w:spacing w:val="-43"/>
                <w:w w:val="90"/>
              </w:rPr>
              <w:t>：（</w:t>
            </w:r>
            <w:r>
              <w:rPr>
                <w:spacing w:val="-10"/>
              </w:rPr>
              <w:t>一）从事机动车驾驶员培训业务未按规定办理备案的</w:t>
            </w:r>
            <w:r>
              <w:rPr>
                <w:spacing w:val="-43"/>
                <w:w w:val="90"/>
              </w:rPr>
              <w:t>；（</w:t>
            </w:r>
            <w:r>
              <w:rPr>
                <w:spacing w:val="-10"/>
              </w:rPr>
              <w:t>二）</w:t>
            </w:r>
            <w:r>
              <w:rPr>
                <w:spacing w:val="2"/>
              </w:rPr>
              <w:t xml:space="preserve"> </w:t>
            </w:r>
            <w:r>
              <w:rPr>
                <w:spacing w:val="-7"/>
              </w:rPr>
              <w:t>未按规定办理备案变更的</w:t>
            </w:r>
            <w:r>
              <w:rPr>
                <w:spacing w:val="-18"/>
              </w:rPr>
              <w:t>；（</w:t>
            </w:r>
            <w:r>
              <w:rPr>
                <w:spacing w:val="-7"/>
              </w:rPr>
              <w:t>三）提交虚假备案材料的。</w:t>
            </w:r>
          </w:p>
          <w:p w14:paraId="0BC41220">
            <w:pPr>
              <w:pStyle w:val="8"/>
              <w:spacing w:before="27" w:line="233" w:lineRule="auto"/>
              <w:ind w:left="103" w:right="88" w:firstLine="342"/>
            </w:pPr>
            <w:r>
              <w:rPr>
                <w:spacing w:val="-8"/>
              </w:rPr>
              <w:t>有前款第三项行为且情节严重的，其直接负责的主管人员和</w:t>
            </w:r>
            <w:r>
              <w:rPr>
                <w:spacing w:val="-9"/>
              </w:rPr>
              <w:t>其他直接责任人员5年内不得从事原备案的机动</w:t>
            </w:r>
            <w:r>
              <w:t xml:space="preserve"> </w:t>
            </w:r>
            <w:r>
              <w:rPr>
                <w:spacing w:val="-8"/>
              </w:rPr>
              <w:t>车驾驶员培训业务。</w:t>
            </w:r>
          </w:p>
          <w:p w14:paraId="23996695">
            <w:pPr>
              <w:pStyle w:val="8"/>
              <w:spacing w:before="25" w:line="219" w:lineRule="auto"/>
              <w:ind w:left="449"/>
            </w:pPr>
            <w:r>
              <w:rPr>
                <w:b/>
                <w:bCs/>
                <w:spacing w:val="-8"/>
              </w:rPr>
              <w:t>3.《道路货物运输及站场管理规定》(交通运输部令2023年第12</w:t>
            </w:r>
            <w:r>
              <w:rPr>
                <w:b/>
                <w:bCs/>
                <w:spacing w:val="-9"/>
              </w:rPr>
              <w:t>号)</w:t>
            </w:r>
          </w:p>
          <w:p w14:paraId="61AE2B2D">
            <w:pPr>
              <w:pStyle w:val="8"/>
              <w:spacing w:before="26" w:line="241" w:lineRule="auto"/>
              <w:ind w:left="103" w:right="18" w:firstLine="341"/>
              <w:jc w:val="both"/>
            </w:pPr>
            <w:r>
              <w:rPr>
                <w:spacing w:val="-8"/>
              </w:rPr>
              <w:t>第九条</w:t>
            </w:r>
            <w:r>
              <w:rPr>
                <w:spacing w:val="78"/>
              </w:rPr>
              <w:t xml:space="preserve"> </w:t>
            </w:r>
            <w:r>
              <w:rPr>
                <w:spacing w:val="-8"/>
              </w:rPr>
              <w:t>从事货运站经营的，应当依法向市场监督管理部门办理有关登记手续后，最迟不晚于开</w:t>
            </w:r>
            <w:r>
              <w:rPr>
                <w:spacing w:val="-9"/>
              </w:rPr>
              <w:t>始货运站</w:t>
            </w:r>
            <w:r>
              <w:t xml:space="preserve">  </w:t>
            </w:r>
            <w:r>
              <w:rPr>
                <w:spacing w:val="-10"/>
              </w:rPr>
              <w:t>经营活动的15日内，向所在地县级交通运输主管</w:t>
            </w:r>
            <w:r>
              <w:rPr>
                <w:spacing w:val="-11"/>
              </w:rPr>
              <w:t>部门备案，并提供以下材料，保证材料真实、完整、有效</w:t>
            </w:r>
            <w:r>
              <w:rPr>
                <w:spacing w:val="-48"/>
                <w:w w:val="99"/>
              </w:rPr>
              <w:t>：（</w:t>
            </w:r>
            <w:r>
              <w:rPr>
                <w:spacing w:val="-11"/>
              </w:rPr>
              <w:t>一）</w:t>
            </w:r>
            <w:r>
              <w:rPr>
                <w:spacing w:val="2"/>
              </w:rPr>
              <w:t xml:space="preserve"> </w:t>
            </w:r>
            <w:r>
              <w:rPr>
                <w:spacing w:val="-11"/>
              </w:rPr>
              <w:t>《道路货物运输站（场）经营备案表》（见附件2</w:t>
            </w:r>
            <w:r>
              <w:rPr>
                <w:spacing w:val="-40"/>
              </w:rPr>
              <w:t>）；（</w:t>
            </w:r>
            <w:r>
              <w:rPr>
                <w:spacing w:val="-11"/>
              </w:rPr>
              <w:t>二）负责人身份证明，经办人的身份证明和委托书</w:t>
            </w:r>
            <w:r>
              <w:rPr>
                <w:spacing w:val="-40"/>
              </w:rPr>
              <w:t>；（</w:t>
            </w:r>
            <w:r>
              <w:rPr>
                <w:spacing w:val="-11"/>
              </w:rPr>
              <w:t>三）</w:t>
            </w:r>
            <w:r>
              <w:rPr>
                <w:spacing w:val="1"/>
              </w:rPr>
              <w:t xml:space="preserve"> </w:t>
            </w:r>
            <w:r>
              <w:rPr>
                <w:spacing w:val="-7"/>
              </w:rPr>
              <w:t>经营货运站的土地、房屋的合法证明</w:t>
            </w:r>
            <w:r>
              <w:rPr>
                <w:spacing w:val="-20"/>
              </w:rPr>
              <w:t>；（</w:t>
            </w:r>
            <w:r>
              <w:rPr>
                <w:spacing w:val="-7"/>
              </w:rPr>
              <w:t>四）货运站竣工验收证明</w:t>
            </w:r>
            <w:r>
              <w:rPr>
                <w:spacing w:val="-20"/>
              </w:rPr>
              <w:t>；（</w:t>
            </w:r>
            <w:r>
              <w:rPr>
                <w:spacing w:val="-7"/>
              </w:rPr>
              <w:t>五）与业务相适应的专业人员和管理人</w:t>
            </w:r>
            <w:r>
              <w:t xml:space="preserve">  </w:t>
            </w:r>
            <w:r>
              <w:rPr>
                <w:spacing w:val="-7"/>
              </w:rPr>
              <w:t>员的身份证明、专业证书</w:t>
            </w:r>
            <w:r>
              <w:rPr>
                <w:spacing w:val="-20"/>
              </w:rPr>
              <w:t>；（</w:t>
            </w:r>
            <w:r>
              <w:rPr>
                <w:spacing w:val="-7"/>
              </w:rPr>
              <w:t>六）业务操作规程和安全生产管理制度文本。</w:t>
            </w:r>
          </w:p>
          <w:p w14:paraId="722D94C4">
            <w:pPr>
              <w:pStyle w:val="8"/>
              <w:spacing w:before="27" w:line="237" w:lineRule="auto"/>
              <w:ind w:left="103" w:right="89" w:firstLine="341"/>
              <w:jc w:val="both"/>
            </w:pPr>
            <w:r>
              <w:rPr>
                <w:spacing w:val="-10"/>
              </w:rPr>
              <w:t>第六十五条</w:t>
            </w:r>
            <w:r>
              <w:rPr>
                <w:spacing w:val="83"/>
              </w:rPr>
              <w:t xml:space="preserve"> </w:t>
            </w:r>
            <w:r>
              <w:rPr>
                <w:spacing w:val="-10"/>
              </w:rPr>
              <w:t>从事货运站经营，未按规定进行备案的，由交通运输主管部门责令改正；拒不改正的，处5000</w:t>
            </w:r>
            <w:r>
              <w:t xml:space="preserve"> </w:t>
            </w:r>
            <w:r>
              <w:rPr>
                <w:spacing w:val="-8"/>
              </w:rPr>
              <w:t>元以上2万元以下的罚款。备案时提供虚假材料情节严重的，其直接负责的主管人员和其他直接责任人员5年内</w:t>
            </w:r>
            <w:r>
              <w:rPr>
                <w:spacing w:val="8"/>
              </w:rPr>
              <w:t xml:space="preserve"> </w:t>
            </w:r>
            <w:r>
              <w:rPr>
                <w:spacing w:val="-8"/>
              </w:rPr>
              <w:t>不得从事原备案的业务。</w:t>
            </w:r>
          </w:p>
        </w:tc>
        <w:tc>
          <w:tcPr>
            <w:tcW w:w="1011" w:type="dxa"/>
            <w:vAlign w:val="top"/>
          </w:tcPr>
          <w:p w14:paraId="2270CEB6">
            <w:pPr>
              <w:spacing w:line="248" w:lineRule="auto"/>
              <w:rPr>
                <w:rFonts w:ascii="Arial"/>
                <w:sz w:val="21"/>
              </w:rPr>
            </w:pPr>
          </w:p>
          <w:p w14:paraId="53FE2D0C">
            <w:pPr>
              <w:spacing w:line="248" w:lineRule="auto"/>
              <w:rPr>
                <w:rFonts w:ascii="Arial"/>
                <w:sz w:val="21"/>
              </w:rPr>
            </w:pPr>
          </w:p>
          <w:p w14:paraId="38D1E0FC">
            <w:pPr>
              <w:spacing w:line="248" w:lineRule="auto"/>
              <w:rPr>
                <w:rFonts w:ascii="Arial"/>
                <w:sz w:val="21"/>
              </w:rPr>
            </w:pPr>
          </w:p>
          <w:p w14:paraId="008A8A2B">
            <w:pPr>
              <w:spacing w:line="248" w:lineRule="auto"/>
              <w:rPr>
                <w:rFonts w:ascii="Arial"/>
                <w:sz w:val="21"/>
              </w:rPr>
            </w:pPr>
          </w:p>
          <w:p w14:paraId="45389808">
            <w:pPr>
              <w:spacing w:line="248" w:lineRule="auto"/>
              <w:rPr>
                <w:rFonts w:ascii="Arial"/>
                <w:sz w:val="21"/>
              </w:rPr>
            </w:pPr>
          </w:p>
          <w:p w14:paraId="10D05488">
            <w:pPr>
              <w:spacing w:line="248" w:lineRule="auto"/>
              <w:rPr>
                <w:rFonts w:ascii="Arial"/>
                <w:sz w:val="21"/>
              </w:rPr>
            </w:pPr>
          </w:p>
          <w:p w14:paraId="1F741BC6">
            <w:pPr>
              <w:spacing w:line="249" w:lineRule="auto"/>
              <w:rPr>
                <w:rFonts w:ascii="Arial"/>
                <w:sz w:val="21"/>
              </w:rPr>
            </w:pPr>
          </w:p>
          <w:p w14:paraId="1D9EA1FE">
            <w:pPr>
              <w:spacing w:line="249" w:lineRule="auto"/>
              <w:rPr>
                <w:rFonts w:ascii="Arial"/>
                <w:sz w:val="21"/>
              </w:rPr>
            </w:pPr>
          </w:p>
          <w:p w14:paraId="2BEC64E0">
            <w:pPr>
              <w:spacing w:line="249" w:lineRule="auto"/>
              <w:rPr>
                <w:rFonts w:ascii="Arial"/>
                <w:sz w:val="21"/>
              </w:rPr>
            </w:pPr>
          </w:p>
          <w:p w14:paraId="05480F15">
            <w:pPr>
              <w:spacing w:line="249" w:lineRule="auto"/>
              <w:rPr>
                <w:rFonts w:ascii="Arial"/>
                <w:sz w:val="21"/>
              </w:rPr>
            </w:pPr>
          </w:p>
          <w:p w14:paraId="401E1F70">
            <w:pPr>
              <w:spacing w:line="249" w:lineRule="auto"/>
              <w:rPr>
                <w:rFonts w:ascii="Arial"/>
                <w:sz w:val="21"/>
              </w:rPr>
            </w:pPr>
          </w:p>
          <w:p w14:paraId="4D7BFACE">
            <w:pPr>
              <w:spacing w:line="249" w:lineRule="auto"/>
              <w:rPr>
                <w:rFonts w:ascii="Arial"/>
                <w:sz w:val="21"/>
              </w:rPr>
            </w:pPr>
          </w:p>
          <w:p w14:paraId="71B9664F">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35688447">
            <w:pPr>
              <w:spacing w:line="248" w:lineRule="auto"/>
              <w:rPr>
                <w:rFonts w:ascii="Arial"/>
                <w:sz w:val="21"/>
              </w:rPr>
            </w:pPr>
          </w:p>
          <w:p w14:paraId="6BBEB2CF">
            <w:pPr>
              <w:spacing w:line="248" w:lineRule="auto"/>
              <w:rPr>
                <w:rFonts w:ascii="Arial"/>
                <w:sz w:val="21"/>
              </w:rPr>
            </w:pPr>
          </w:p>
          <w:p w14:paraId="4690400B">
            <w:pPr>
              <w:spacing w:line="248" w:lineRule="auto"/>
              <w:rPr>
                <w:rFonts w:ascii="Arial"/>
                <w:sz w:val="21"/>
              </w:rPr>
            </w:pPr>
          </w:p>
          <w:p w14:paraId="092261CA">
            <w:pPr>
              <w:spacing w:line="248" w:lineRule="auto"/>
              <w:rPr>
                <w:rFonts w:ascii="Arial"/>
                <w:sz w:val="21"/>
              </w:rPr>
            </w:pPr>
          </w:p>
          <w:p w14:paraId="13325347">
            <w:pPr>
              <w:spacing w:line="248" w:lineRule="auto"/>
              <w:rPr>
                <w:rFonts w:ascii="Arial"/>
                <w:sz w:val="21"/>
              </w:rPr>
            </w:pPr>
          </w:p>
          <w:p w14:paraId="345FCED4">
            <w:pPr>
              <w:spacing w:line="248" w:lineRule="auto"/>
              <w:rPr>
                <w:rFonts w:ascii="Arial"/>
                <w:sz w:val="21"/>
              </w:rPr>
            </w:pPr>
          </w:p>
          <w:p w14:paraId="527AACCC">
            <w:pPr>
              <w:spacing w:line="249" w:lineRule="auto"/>
              <w:rPr>
                <w:rFonts w:ascii="Arial"/>
                <w:sz w:val="21"/>
              </w:rPr>
            </w:pPr>
          </w:p>
          <w:p w14:paraId="5D2E38A4">
            <w:pPr>
              <w:spacing w:line="249" w:lineRule="auto"/>
              <w:rPr>
                <w:rFonts w:ascii="Arial"/>
                <w:sz w:val="21"/>
              </w:rPr>
            </w:pPr>
          </w:p>
          <w:p w14:paraId="47CB554F">
            <w:pPr>
              <w:spacing w:line="249" w:lineRule="auto"/>
              <w:rPr>
                <w:rFonts w:ascii="Arial"/>
                <w:sz w:val="21"/>
              </w:rPr>
            </w:pPr>
          </w:p>
          <w:p w14:paraId="1D463C48">
            <w:pPr>
              <w:spacing w:line="249" w:lineRule="auto"/>
              <w:rPr>
                <w:rFonts w:ascii="Arial"/>
                <w:sz w:val="21"/>
              </w:rPr>
            </w:pPr>
          </w:p>
          <w:p w14:paraId="7BE8BC68">
            <w:pPr>
              <w:spacing w:line="249" w:lineRule="auto"/>
              <w:rPr>
                <w:rFonts w:ascii="Arial"/>
                <w:sz w:val="21"/>
              </w:rPr>
            </w:pPr>
          </w:p>
          <w:p w14:paraId="1AC9A1E7">
            <w:pPr>
              <w:spacing w:line="249" w:lineRule="auto"/>
              <w:rPr>
                <w:rFonts w:ascii="Arial"/>
                <w:sz w:val="21"/>
              </w:rPr>
            </w:pPr>
          </w:p>
          <w:p w14:paraId="21502AF5">
            <w:pPr>
              <w:pStyle w:val="8"/>
              <w:spacing w:before="59"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01CB3E2C">
            <w:pPr>
              <w:spacing w:line="249" w:lineRule="auto"/>
              <w:rPr>
                <w:rFonts w:ascii="Arial"/>
                <w:sz w:val="21"/>
              </w:rPr>
            </w:pPr>
          </w:p>
          <w:p w14:paraId="5722B545">
            <w:pPr>
              <w:spacing w:line="249" w:lineRule="auto"/>
              <w:rPr>
                <w:rFonts w:ascii="Arial"/>
                <w:sz w:val="21"/>
              </w:rPr>
            </w:pPr>
          </w:p>
          <w:p w14:paraId="4989B960">
            <w:pPr>
              <w:spacing w:line="249" w:lineRule="auto"/>
              <w:rPr>
                <w:rFonts w:ascii="Arial"/>
                <w:sz w:val="21"/>
              </w:rPr>
            </w:pPr>
          </w:p>
          <w:p w14:paraId="4E04E3AB">
            <w:pPr>
              <w:spacing w:line="249" w:lineRule="auto"/>
              <w:rPr>
                <w:rFonts w:ascii="Arial"/>
                <w:sz w:val="21"/>
              </w:rPr>
            </w:pPr>
          </w:p>
          <w:p w14:paraId="097C7810">
            <w:pPr>
              <w:spacing w:line="249" w:lineRule="auto"/>
              <w:rPr>
                <w:rFonts w:ascii="Arial"/>
                <w:sz w:val="21"/>
              </w:rPr>
            </w:pPr>
          </w:p>
          <w:p w14:paraId="61FB2D91">
            <w:pPr>
              <w:spacing w:line="250" w:lineRule="auto"/>
              <w:rPr>
                <w:rFonts w:ascii="Arial"/>
                <w:sz w:val="21"/>
              </w:rPr>
            </w:pPr>
          </w:p>
          <w:p w14:paraId="213EDB4F">
            <w:pPr>
              <w:spacing w:line="250" w:lineRule="auto"/>
              <w:rPr>
                <w:rFonts w:ascii="Arial"/>
                <w:sz w:val="21"/>
              </w:rPr>
            </w:pPr>
          </w:p>
          <w:p w14:paraId="369833B1">
            <w:pPr>
              <w:spacing w:line="250" w:lineRule="auto"/>
              <w:rPr>
                <w:rFonts w:ascii="Arial"/>
                <w:sz w:val="21"/>
              </w:rPr>
            </w:pPr>
          </w:p>
          <w:p w14:paraId="1F6BE2AA">
            <w:pPr>
              <w:spacing w:line="250" w:lineRule="auto"/>
              <w:rPr>
                <w:rFonts w:ascii="Arial"/>
                <w:sz w:val="21"/>
              </w:rPr>
            </w:pPr>
          </w:p>
          <w:p w14:paraId="009AC56D">
            <w:pPr>
              <w:spacing w:line="250" w:lineRule="auto"/>
              <w:rPr>
                <w:rFonts w:ascii="Arial"/>
                <w:sz w:val="21"/>
              </w:rPr>
            </w:pPr>
          </w:p>
          <w:p w14:paraId="0570A340">
            <w:pPr>
              <w:spacing w:line="250" w:lineRule="auto"/>
              <w:rPr>
                <w:rFonts w:ascii="Arial"/>
                <w:sz w:val="21"/>
              </w:rPr>
            </w:pPr>
          </w:p>
          <w:p w14:paraId="7405930B">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6BFF9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69" w:hRule="atLeast"/>
        </w:trPr>
        <w:tc>
          <w:tcPr>
            <w:tcW w:w="629" w:type="dxa"/>
            <w:vAlign w:val="top"/>
          </w:tcPr>
          <w:p w14:paraId="1E790F1D">
            <w:pPr>
              <w:spacing w:line="242" w:lineRule="auto"/>
              <w:rPr>
                <w:rFonts w:ascii="Arial"/>
                <w:sz w:val="21"/>
              </w:rPr>
            </w:pPr>
          </w:p>
          <w:p w14:paraId="46AF5424">
            <w:pPr>
              <w:spacing w:line="242" w:lineRule="auto"/>
              <w:rPr>
                <w:rFonts w:ascii="Arial"/>
                <w:sz w:val="21"/>
              </w:rPr>
            </w:pPr>
          </w:p>
          <w:p w14:paraId="7F712FB2">
            <w:pPr>
              <w:spacing w:line="242" w:lineRule="auto"/>
              <w:rPr>
                <w:rFonts w:ascii="Arial"/>
                <w:sz w:val="21"/>
              </w:rPr>
            </w:pPr>
          </w:p>
          <w:p w14:paraId="7AD73CCF">
            <w:pPr>
              <w:spacing w:line="243" w:lineRule="auto"/>
              <w:rPr>
                <w:rFonts w:ascii="Arial"/>
                <w:sz w:val="21"/>
              </w:rPr>
            </w:pPr>
          </w:p>
          <w:p w14:paraId="644E2A97">
            <w:pPr>
              <w:pStyle w:val="8"/>
              <w:spacing w:before="58" w:line="184" w:lineRule="auto"/>
              <w:ind w:left="234"/>
              <w:rPr>
                <w:rFonts w:hint="eastAsia" w:eastAsia="宋体"/>
                <w:lang w:eastAsia="zh-CN"/>
              </w:rPr>
            </w:pPr>
            <w:r>
              <w:rPr>
                <w:spacing w:val="-10"/>
              </w:rPr>
              <w:t>1</w:t>
            </w:r>
            <w:r>
              <w:rPr>
                <w:rFonts w:hint="eastAsia"/>
                <w:spacing w:val="-10"/>
                <w:lang w:val="en-US" w:eastAsia="zh-CN"/>
              </w:rPr>
              <w:t>7</w:t>
            </w:r>
          </w:p>
        </w:tc>
        <w:tc>
          <w:tcPr>
            <w:tcW w:w="1101" w:type="dxa"/>
            <w:vAlign w:val="top"/>
          </w:tcPr>
          <w:p w14:paraId="3429BE97">
            <w:pPr>
              <w:spacing w:line="348" w:lineRule="auto"/>
              <w:rPr>
                <w:rFonts w:ascii="Arial"/>
                <w:sz w:val="21"/>
              </w:rPr>
            </w:pPr>
          </w:p>
          <w:p w14:paraId="497EE464">
            <w:pPr>
              <w:pStyle w:val="8"/>
              <w:spacing w:before="58" w:line="242" w:lineRule="auto"/>
              <w:ind w:left="18" w:right="20"/>
            </w:pPr>
            <w:r>
              <w:rPr>
                <w:spacing w:val="-6"/>
              </w:rPr>
              <w:t>对非法转让、</w:t>
            </w:r>
            <w:r>
              <w:rPr>
                <w:spacing w:val="2"/>
              </w:rPr>
              <w:t xml:space="preserve"> </w:t>
            </w:r>
            <w:r>
              <w:rPr>
                <w:spacing w:val="-6"/>
              </w:rPr>
              <w:t>出租道路运输</w:t>
            </w:r>
            <w:r>
              <w:rPr>
                <w:spacing w:val="2"/>
              </w:rPr>
              <w:t xml:space="preserve"> </w:t>
            </w:r>
            <w:r>
              <w:rPr>
                <w:spacing w:val="-6"/>
              </w:rPr>
              <w:t>及道路运输相</w:t>
            </w:r>
            <w:r>
              <w:rPr>
                <w:spacing w:val="2"/>
              </w:rPr>
              <w:t xml:space="preserve"> </w:t>
            </w:r>
            <w:r>
              <w:rPr>
                <w:spacing w:val="-6"/>
              </w:rPr>
              <w:t>关业务许可证</w:t>
            </w:r>
            <w:r>
              <w:rPr>
                <w:spacing w:val="2"/>
              </w:rPr>
              <w:t xml:space="preserve"> </w:t>
            </w:r>
            <w:r>
              <w:rPr>
                <w:spacing w:val="-6"/>
              </w:rPr>
              <w:t>件行为的行政</w:t>
            </w:r>
            <w:r>
              <w:rPr>
                <w:spacing w:val="2"/>
              </w:rPr>
              <w:t xml:space="preserve"> </w:t>
            </w:r>
            <w:r>
              <w:rPr>
                <w:spacing w:val="-4"/>
              </w:rPr>
              <w:t>处罚</w:t>
            </w:r>
          </w:p>
        </w:tc>
        <w:tc>
          <w:tcPr>
            <w:tcW w:w="1101" w:type="dxa"/>
            <w:vAlign w:val="top"/>
          </w:tcPr>
          <w:p w14:paraId="1E34BA60">
            <w:pPr>
              <w:spacing w:line="314" w:lineRule="auto"/>
              <w:rPr>
                <w:rFonts w:ascii="Arial"/>
                <w:sz w:val="21"/>
              </w:rPr>
            </w:pPr>
          </w:p>
          <w:p w14:paraId="2966E361">
            <w:pPr>
              <w:spacing w:line="314" w:lineRule="auto"/>
              <w:rPr>
                <w:rFonts w:ascii="Arial"/>
                <w:sz w:val="21"/>
              </w:rPr>
            </w:pPr>
          </w:p>
          <w:p w14:paraId="58E05E9B">
            <w:pPr>
              <w:spacing w:line="314" w:lineRule="auto"/>
              <w:rPr>
                <w:rFonts w:ascii="Arial"/>
                <w:sz w:val="21"/>
              </w:rPr>
            </w:pPr>
          </w:p>
          <w:p w14:paraId="434D6128">
            <w:pPr>
              <w:pStyle w:val="8"/>
              <w:spacing w:before="58" w:line="220" w:lineRule="auto"/>
              <w:ind w:left="25"/>
            </w:pPr>
            <w:r>
              <w:rPr>
                <w:spacing w:val="-7"/>
              </w:rPr>
              <w:t>行政处罚</w:t>
            </w:r>
          </w:p>
        </w:tc>
        <w:tc>
          <w:tcPr>
            <w:tcW w:w="8524" w:type="dxa"/>
            <w:vAlign w:val="top"/>
          </w:tcPr>
          <w:p w14:paraId="7A0B87EF">
            <w:pPr>
              <w:pStyle w:val="8"/>
              <w:spacing w:before="46" w:line="219" w:lineRule="auto"/>
              <w:ind w:left="458"/>
            </w:pPr>
            <w:r>
              <w:rPr>
                <w:b/>
                <w:bCs/>
                <w:spacing w:val="-10"/>
              </w:rPr>
              <w:t>1.《中华人民共和国道路运输条例》</w:t>
            </w:r>
          </w:p>
          <w:p w14:paraId="0799998C">
            <w:pPr>
              <w:pStyle w:val="8"/>
              <w:spacing w:before="26" w:line="219" w:lineRule="auto"/>
              <w:ind w:left="445"/>
            </w:pPr>
            <w:r>
              <w:rPr>
                <w:spacing w:val="-8"/>
              </w:rPr>
              <w:t>第三十三条</w:t>
            </w:r>
            <w:r>
              <w:rPr>
                <w:spacing w:val="82"/>
              </w:rPr>
              <w:t xml:space="preserve"> </w:t>
            </w:r>
            <w:r>
              <w:rPr>
                <w:spacing w:val="-8"/>
              </w:rPr>
              <w:t>道路运输车辆应当随车携带车辆营运证，不得转让、出租。</w:t>
            </w:r>
          </w:p>
          <w:p w14:paraId="59A2718B">
            <w:pPr>
              <w:pStyle w:val="8"/>
              <w:spacing w:before="27" w:line="237" w:lineRule="auto"/>
              <w:ind w:left="103" w:right="150" w:firstLine="341"/>
            </w:pPr>
            <w:r>
              <w:rPr>
                <w:spacing w:val="-8"/>
              </w:rPr>
              <w:t>第六十六条</w:t>
            </w:r>
            <w:r>
              <w:rPr>
                <w:spacing w:val="74"/>
              </w:rPr>
              <w:t xml:space="preserve"> </w:t>
            </w:r>
            <w:r>
              <w:rPr>
                <w:spacing w:val="-8"/>
              </w:rPr>
              <w:t>违反本条例的规定，客运经营者、货运经营者、道路运输相关业务经营者非法转让、出租道</w:t>
            </w:r>
            <w:r>
              <w:t xml:space="preserve"> </w:t>
            </w:r>
            <w:r>
              <w:rPr>
                <w:spacing w:val="-8"/>
              </w:rPr>
              <w:t>路运输许可证件的，由县级以上地方人民政府交通运输主管部门责令停止违法行为，收缴有关证件，处2000元</w:t>
            </w:r>
            <w:r>
              <w:rPr>
                <w:spacing w:val="13"/>
              </w:rPr>
              <w:t xml:space="preserve"> </w:t>
            </w:r>
            <w:r>
              <w:rPr>
                <w:spacing w:val="-8"/>
              </w:rPr>
              <w:t>以上1万元以下的罚款；有违法所得的，没收违法所得。</w:t>
            </w:r>
          </w:p>
          <w:p w14:paraId="023BB09B">
            <w:pPr>
              <w:pStyle w:val="8"/>
              <w:spacing w:before="25" w:line="219" w:lineRule="auto"/>
              <w:ind w:left="447"/>
            </w:pPr>
            <w:r>
              <w:rPr>
                <w:b/>
                <w:bCs/>
                <w:spacing w:val="-8"/>
              </w:rPr>
              <w:t>2.《道路旅客运输及客运站管理规定》(交通运输部令2023年第12号)</w:t>
            </w:r>
          </w:p>
          <w:p w14:paraId="396FB0A6">
            <w:pPr>
              <w:pStyle w:val="8"/>
              <w:spacing w:before="26" w:line="230" w:lineRule="auto"/>
              <w:ind w:left="102" w:right="88" w:firstLine="342"/>
              <w:jc w:val="both"/>
            </w:pPr>
            <w:r>
              <w:rPr>
                <w:spacing w:val="-8"/>
              </w:rPr>
              <w:t>第九十五条</w:t>
            </w:r>
            <w:r>
              <w:rPr>
                <w:spacing w:val="74"/>
              </w:rPr>
              <w:t xml:space="preserve"> </w:t>
            </w:r>
            <w:r>
              <w:rPr>
                <w:spacing w:val="-8"/>
              </w:rPr>
              <w:t>违反本规定，客运经营者、客运站经营者非法转让、出租道路运输经营许可证件的，由县级</w:t>
            </w:r>
            <w:r>
              <w:t xml:space="preserve"> </w:t>
            </w:r>
            <w:r>
              <w:rPr>
                <w:spacing w:val="-8"/>
              </w:rPr>
              <w:t>以上地方人民政府交通运输主管部门责令停止违法行为，收缴有关证件，处2000元以上1万元以下</w:t>
            </w:r>
            <w:r>
              <w:rPr>
                <w:spacing w:val="-9"/>
              </w:rPr>
              <w:t>的罚款；有违</w:t>
            </w:r>
            <w:r>
              <w:t xml:space="preserve"> </w:t>
            </w:r>
            <w:r>
              <w:rPr>
                <w:spacing w:val="-8"/>
              </w:rPr>
              <w:t>法所得的，没收违法所得。</w:t>
            </w:r>
          </w:p>
        </w:tc>
        <w:tc>
          <w:tcPr>
            <w:tcW w:w="1011" w:type="dxa"/>
            <w:vAlign w:val="top"/>
          </w:tcPr>
          <w:p w14:paraId="64436F61">
            <w:pPr>
              <w:spacing w:line="274" w:lineRule="auto"/>
              <w:rPr>
                <w:rFonts w:ascii="Arial"/>
                <w:sz w:val="21"/>
              </w:rPr>
            </w:pPr>
          </w:p>
          <w:p w14:paraId="7060CF2E">
            <w:pPr>
              <w:spacing w:line="274" w:lineRule="auto"/>
              <w:rPr>
                <w:rFonts w:ascii="Arial"/>
                <w:sz w:val="21"/>
              </w:rPr>
            </w:pPr>
          </w:p>
          <w:p w14:paraId="6D9FE45C">
            <w:pPr>
              <w:spacing w:line="274" w:lineRule="auto"/>
              <w:rPr>
                <w:rFonts w:ascii="Arial"/>
                <w:sz w:val="21"/>
              </w:rPr>
            </w:pPr>
          </w:p>
          <w:p w14:paraId="2DE961CA">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59151C4E">
            <w:pPr>
              <w:spacing w:line="274" w:lineRule="auto"/>
              <w:rPr>
                <w:rFonts w:ascii="Arial"/>
                <w:sz w:val="21"/>
              </w:rPr>
            </w:pPr>
          </w:p>
          <w:p w14:paraId="0A407CF1">
            <w:pPr>
              <w:spacing w:line="274" w:lineRule="auto"/>
              <w:rPr>
                <w:rFonts w:ascii="Arial"/>
                <w:sz w:val="21"/>
              </w:rPr>
            </w:pPr>
          </w:p>
          <w:p w14:paraId="6D83DB7A">
            <w:pPr>
              <w:spacing w:line="274" w:lineRule="auto"/>
              <w:rPr>
                <w:rFonts w:ascii="Arial"/>
                <w:sz w:val="21"/>
              </w:rPr>
            </w:pPr>
          </w:p>
          <w:p w14:paraId="152CA92B">
            <w:pPr>
              <w:pStyle w:val="8"/>
              <w:spacing w:before="59"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7D4046FA">
            <w:pPr>
              <w:spacing w:line="292" w:lineRule="auto"/>
              <w:rPr>
                <w:rFonts w:ascii="Arial"/>
                <w:sz w:val="21"/>
              </w:rPr>
            </w:pPr>
          </w:p>
          <w:p w14:paraId="387F1179">
            <w:pPr>
              <w:spacing w:line="293" w:lineRule="auto"/>
              <w:rPr>
                <w:rFonts w:ascii="Arial"/>
                <w:sz w:val="21"/>
              </w:rPr>
            </w:pPr>
          </w:p>
          <w:p w14:paraId="288A5A6A">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38EE536F">
      <w:pPr>
        <w:pStyle w:val="2"/>
      </w:pPr>
    </w:p>
    <w:p w14:paraId="5B5B1458">
      <w:pPr>
        <w:sectPr>
          <w:footerReference r:id="rId33" w:type="default"/>
          <w:pgSz w:w="16839" w:h="11906"/>
          <w:pgMar w:top="1012" w:right="1016" w:bottom="967" w:left="1016" w:header="0" w:footer="768" w:gutter="0"/>
          <w:cols w:space="720" w:num="1"/>
        </w:sectPr>
      </w:pPr>
    </w:p>
    <w:p w14:paraId="51A6128B">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31E75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2D46B659">
            <w:pPr>
              <w:pStyle w:val="8"/>
              <w:spacing w:before="273" w:line="221" w:lineRule="auto"/>
              <w:ind w:left="129"/>
            </w:pPr>
            <w:r>
              <w:rPr>
                <w:b/>
                <w:bCs/>
                <w:spacing w:val="-4"/>
              </w:rPr>
              <w:t>序号</w:t>
            </w:r>
          </w:p>
        </w:tc>
        <w:tc>
          <w:tcPr>
            <w:tcW w:w="1101" w:type="dxa"/>
            <w:vMerge w:val="restart"/>
            <w:tcBorders>
              <w:bottom w:val="nil"/>
            </w:tcBorders>
            <w:vAlign w:val="top"/>
          </w:tcPr>
          <w:p w14:paraId="11874BF0">
            <w:pPr>
              <w:pStyle w:val="8"/>
              <w:spacing w:before="274" w:line="220" w:lineRule="auto"/>
              <w:ind w:left="182"/>
            </w:pPr>
            <w:r>
              <w:rPr>
                <w:b/>
                <w:bCs/>
                <w:spacing w:val="-4"/>
              </w:rPr>
              <w:t>事项名称</w:t>
            </w:r>
          </w:p>
        </w:tc>
        <w:tc>
          <w:tcPr>
            <w:tcW w:w="1101" w:type="dxa"/>
            <w:vMerge w:val="restart"/>
            <w:tcBorders>
              <w:bottom w:val="nil"/>
            </w:tcBorders>
            <w:vAlign w:val="top"/>
          </w:tcPr>
          <w:p w14:paraId="07752BF8">
            <w:pPr>
              <w:pStyle w:val="8"/>
              <w:spacing w:before="274" w:line="219" w:lineRule="auto"/>
              <w:ind w:left="183"/>
            </w:pPr>
            <w:r>
              <w:rPr>
                <w:b/>
                <w:bCs/>
                <w:spacing w:val="-4"/>
              </w:rPr>
              <w:t>职权类型</w:t>
            </w:r>
          </w:p>
        </w:tc>
        <w:tc>
          <w:tcPr>
            <w:tcW w:w="8524" w:type="dxa"/>
            <w:vMerge w:val="restart"/>
            <w:tcBorders>
              <w:bottom w:val="nil"/>
            </w:tcBorders>
            <w:vAlign w:val="top"/>
          </w:tcPr>
          <w:p w14:paraId="76156043">
            <w:pPr>
              <w:pStyle w:val="8"/>
              <w:spacing w:before="273" w:line="219" w:lineRule="auto"/>
              <w:ind w:left="4083"/>
            </w:pPr>
            <w:r>
              <w:rPr>
                <w:b/>
                <w:bCs/>
                <w:spacing w:val="-5"/>
              </w:rPr>
              <w:t>实施依据</w:t>
            </w:r>
          </w:p>
        </w:tc>
        <w:tc>
          <w:tcPr>
            <w:tcW w:w="3435" w:type="dxa"/>
            <w:gridSpan w:val="3"/>
            <w:vAlign w:val="top"/>
          </w:tcPr>
          <w:p w14:paraId="0C882B2A">
            <w:pPr>
              <w:pStyle w:val="8"/>
              <w:spacing w:before="94" w:line="220" w:lineRule="auto"/>
              <w:ind w:left="1360"/>
            </w:pPr>
            <w:r>
              <w:rPr>
                <w:b/>
                <w:bCs/>
                <w:spacing w:val="-5"/>
              </w:rPr>
              <w:t>实施主体</w:t>
            </w:r>
          </w:p>
        </w:tc>
      </w:tr>
      <w:tr w14:paraId="0BDAC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DC69D13">
            <w:pPr>
              <w:rPr>
                <w:rFonts w:ascii="Arial"/>
                <w:sz w:val="21"/>
              </w:rPr>
            </w:pPr>
          </w:p>
        </w:tc>
        <w:tc>
          <w:tcPr>
            <w:tcW w:w="1101" w:type="dxa"/>
            <w:vMerge w:val="continue"/>
            <w:tcBorders>
              <w:top w:val="nil"/>
            </w:tcBorders>
            <w:vAlign w:val="top"/>
          </w:tcPr>
          <w:p w14:paraId="1456DA06">
            <w:pPr>
              <w:rPr>
                <w:rFonts w:ascii="Arial"/>
                <w:sz w:val="21"/>
              </w:rPr>
            </w:pPr>
          </w:p>
        </w:tc>
        <w:tc>
          <w:tcPr>
            <w:tcW w:w="1101" w:type="dxa"/>
            <w:vMerge w:val="continue"/>
            <w:tcBorders>
              <w:top w:val="nil"/>
            </w:tcBorders>
            <w:vAlign w:val="top"/>
          </w:tcPr>
          <w:p w14:paraId="3BED889C">
            <w:pPr>
              <w:rPr>
                <w:rFonts w:ascii="Arial"/>
                <w:sz w:val="21"/>
              </w:rPr>
            </w:pPr>
          </w:p>
        </w:tc>
        <w:tc>
          <w:tcPr>
            <w:tcW w:w="8524" w:type="dxa"/>
            <w:vMerge w:val="continue"/>
            <w:tcBorders>
              <w:top w:val="nil"/>
            </w:tcBorders>
            <w:vAlign w:val="top"/>
          </w:tcPr>
          <w:p w14:paraId="2AA5D114">
            <w:pPr>
              <w:rPr>
                <w:rFonts w:ascii="Arial"/>
                <w:sz w:val="21"/>
              </w:rPr>
            </w:pPr>
          </w:p>
        </w:tc>
        <w:tc>
          <w:tcPr>
            <w:tcW w:w="1011" w:type="dxa"/>
            <w:vAlign w:val="top"/>
          </w:tcPr>
          <w:p w14:paraId="23A6E820">
            <w:pPr>
              <w:pStyle w:val="8"/>
              <w:spacing w:before="85" w:line="219" w:lineRule="auto"/>
              <w:ind w:left="154"/>
            </w:pPr>
            <w:r>
              <w:rPr>
                <w:b/>
                <w:bCs/>
                <w:spacing w:val="-5"/>
              </w:rPr>
              <w:t>责任部门</w:t>
            </w:r>
          </w:p>
        </w:tc>
        <w:tc>
          <w:tcPr>
            <w:tcW w:w="1404" w:type="dxa"/>
            <w:vAlign w:val="top"/>
          </w:tcPr>
          <w:p w14:paraId="189F5583">
            <w:pPr>
              <w:pStyle w:val="8"/>
              <w:spacing w:before="85" w:line="219" w:lineRule="auto"/>
              <w:ind w:left="164"/>
            </w:pPr>
            <w:r>
              <w:rPr>
                <w:b/>
                <w:bCs/>
                <w:spacing w:val="-3"/>
              </w:rPr>
              <w:t>第一责任层级</w:t>
            </w:r>
          </w:p>
        </w:tc>
        <w:tc>
          <w:tcPr>
            <w:tcW w:w="1020" w:type="dxa"/>
            <w:vAlign w:val="top"/>
          </w:tcPr>
          <w:p w14:paraId="41911AD3">
            <w:pPr>
              <w:pStyle w:val="8"/>
              <w:spacing w:before="84" w:line="219" w:lineRule="auto"/>
              <w:ind w:left="114"/>
            </w:pPr>
            <w:r>
              <w:rPr>
                <w:b/>
                <w:bCs/>
                <w:spacing w:val="-4"/>
              </w:rPr>
              <w:t>承办机构</w:t>
            </w:r>
          </w:p>
        </w:tc>
      </w:tr>
      <w:tr w14:paraId="0181B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41" w:hRule="atLeast"/>
        </w:trPr>
        <w:tc>
          <w:tcPr>
            <w:tcW w:w="629" w:type="dxa"/>
            <w:vAlign w:val="top"/>
          </w:tcPr>
          <w:p w14:paraId="488DB490">
            <w:pPr>
              <w:rPr>
                <w:rFonts w:ascii="Arial"/>
                <w:sz w:val="21"/>
              </w:rPr>
            </w:pPr>
          </w:p>
        </w:tc>
        <w:tc>
          <w:tcPr>
            <w:tcW w:w="1101" w:type="dxa"/>
            <w:vAlign w:val="top"/>
          </w:tcPr>
          <w:p w14:paraId="560F9D0D">
            <w:pPr>
              <w:rPr>
                <w:rFonts w:ascii="Arial"/>
                <w:sz w:val="21"/>
              </w:rPr>
            </w:pPr>
          </w:p>
        </w:tc>
        <w:tc>
          <w:tcPr>
            <w:tcW w:w="1101" w:type="dxa"/>
            <w:vAlign w:val="top"/>
          </w:tcPr>
          <w:p w14:paraId="5453912C">
            <w:pPr>
              <w:rPr>
                <w:rFonts w:ascii="Arial"/>
                <w:sz w:val="21"/>
              </w:rPr>
            </w:pPr>
          </w:p>
        </w:tc>
        <w:tc>
          <w:tcPr>
            <w:tcW w:w="8524" w:type="dxa"/>
            <w:vAlign w:val="top"/>
          </w:tcPr>
          <w:p w14:paraId="6B571CF7">
            <w:pPr>
              <w:pStyle w:val="8"/>
              <w:spacing w:before="35" w:line="219" w:lineRule="auto"/>
              <w:ind w:left="449"/>
            </w:pPr>
            <w:r>
              <w:rPr>
                <w:b/>
                <w:bCs/>
                <w:spacing w:val="-8"/>
              </w:rPr>
              <w:t>3.《道路货物运输及站场管理规定》(交通运输部令2023年第12</w:t>
            </w:r>
            <w:r>
              <w:rPr>
                <w:b/>
                <w:bCs/>
                <w:spacing w:val="-9"/>
              </w:rPr>
              <w:t>号)</w:t>
            </w:r>
          </w:p>
          <w:p w14:paraId="0B178149">
            <w:pPr>
              <w:pStyle w:val="8"/>
              <w:spacing w:before="25" w:line="233" w:lineRule="auto"/>
              <w:ind w:left="106" w:right="157" w:firstLine="338"/>
            </w:pPr>
            <w:r>
              <w:rPr>
                <w:spacing w:val="-8"/>
              </w:rPr>
              <w:t>第六十二条</w:t>
            </w:r>
            <w:r>
              <w:rPr>
                <w:spacing w:val="74"/>
              </w:rPr>
              <w:t xml:space="preserve"> </w:t>
            </w:r>
            <w:r>
              <w:rPr>
                <w:spacing w:val="-8"/>
              </w:rPr>
              <w:t>违反本规定，道路货物运输经营者非法转让、出租道路运输经营许可证件的，由交通运输主</w:t>
            </w:r>
            <w:r>
              <w:t xml:space="preserve"> </w:t>
            </w:r>
            <w:r>
              <w:rPr>
                <w:spacing w:val="-7"/>
              </w:rPr>
              <w:t>管部门责令停止违法行为，收缴有关证件，处200</w:t>
            </w:r>
            <w:r>
              <w:rPr>
                <w:spacing w:val="-8"/>
              </w:rPr>
              <w:t>0元以上1万元以下的罚款；有违法所得的，没收违法所得。</w:t>
            </w:r>
          </w:p>
          <w:p w14:paraId="4FE47E8D">
            <w:pPr>
              <w:pStyle w:val="8"/>
              <w:spacing w:before="26" w:line="219" w:lineRule="auto"/>
              <w:ind w:left="444"/>
            </w:pPr>
            <w:r>
              <w:rPr>
                <w:b/>
                <w:bCs/>
                <w:spacing w:val="-8"/>
              </w:rPr>
              <w:t>4.《道路危险货物运输管理规定》(交通运输部令2023年第13号)</w:t>
            </w:r>
          </w:p>
          <w:p w14:paraId="3D328A29">
            <w:pPr>
              <w:pStyle w:val="8"/>
              <w:spacing w:before="27" w:line="237" w:lineRule="auto"/>
              <w:ind w:left="102" w:right="46" w:firstLine="343"/>
              <w:jc w:val="both"/>
            </w:pPr>
            <w:r>
              <w:rPr>
                <w:spacing w:val="-9"/>
              </w:rPr>
              <w:t>第五十六条</w:t>
            </w:r>
            <w:r>
              <w:rPr>
                <w:spacing w:val="73"/>
              </w:rPr>
              <w:t xml:space="preserve"> </w:t>
            </w:r>
            <w:r>
              <w:rPr>
                <w:spacing w:val="-9"/>
              </w:rPr>
              <w:t>违反本规定，道路危险货物运输企业或者单位非法转让、出租</w:t>
            </w:r>
            <w:r>
              <w:rPr>
                <w:spacing w:val="-10"/>
              </w:rPr>
              <w:t>道路危险货物运输许可证件的，</w:t>
            </w:r>
            <w:r>
              <w:t xml:space="preserve"> </w:t>
            </w:r>
            <w:r>
              <w:rPr>
                <w:spacing w:val="-8"/>
              </w:rPr>
              <w:t>由交通运输主管部门责令停止违法行为，收缴有关证件，处2000元以上1万元以下的罚款；有违法所</w:t>
            </w:r>
            <w:r>
              <w:rPr>
                <w:spacing w:val="-9"/>
              </w:rPr>
              <w:t>得的，没收</w:t>
            </w:r>
            <w:r>
              <w:t xml:space="preserve"> </w:t>
            </w:r>
            <w:r>
              <w:rPr>
                <w:spacing w:val="-7"/>
              </w:rPr>
              <w:t>违法所得。</w:t>
            </w:r>
          </w:p>
          <w:p w14:paraId="2572AA4A">
            <w:pPr>
              <w:pStyle w:val="8"/>
              <w:spacing w:before="25" w:line="219" w:lineRule="auto"/>
              <w:ind w:left="449"/>
            </w:pPr>
            <w:r>
              <w:rPr>
                <w:b/>
                <w:bCs/>
                <w:spacing w:val="-8"/>
              </w:rPr>
              <w:t>5.《放射性物品道路运输管理规定》(交通运输部令2023年第17</w:t>
            </w:r>
            <w:r>
              <w:rPr>
                <w:b/>
                <w:bCs/>
                <w:spacing w:val="-9"/>
              </w:rPr>
              <w:t>号)</w:t>
            </w:r>
          </w:p>
          <w:p w14:paraId="2A67CF05">
            <w:pPr>
              <w:pStyle w:val="8"/>
              <w:spacing w:before="27" w:line="231" w:lineRule="auto"/>
              <w:ind w:left="101" w:right="46" w:firstLine="343"/>
              <w:jc w:val="both"/>
            </w:pPr>
            <w:r>
              <w:rPr>
                <w:spacing w:val="-8"/>
              </w:rPr>
              <w:t>第四十二条</w:t>
            </w:r>
            <w:r>
              <w:rPr>
                <w:spacing w:val="74"/>
              </w:rPr>
              <w:t xml:space="preserve"> </w:t>
            </w:r>
            <w:r>
              <w:rPr>
                <w:spacing w:val="-8"/>
              </w:rPr>
              <w:t>违反本规定，放射性物品道路运输企业或者单位非法转让、出租放射性物品道路运输许可证</w:t>
            </w:r>
            <w:r>
              <w:t xml:space="preserve">  </w:t>
            </w:r>
            <w:r>
              <w:rPr>
                <w:spacing w:val="-10"/>
              </w:rPr>
              <w:t>件的，由交通运输主管部门责令停止违法行为，</w:t>
            </w:r>
            <w:r>
              <w:rPr>
                <w:spacing w:val="-11"/>
              </w:rPr>
              <w:t>收缴有关证件，处2000元以上1万元以下的罚款；有违法所得的，</w:t>
            </w:r>
            <w:r>
              <w:t xml:space="preserve"> </w:t>
            </w:r>
            <w:r>
              <w:rPr>
                <w:spacing w:val="-7"/>
              </w:rPr>
              <w:t>没收违法所得。</w:t>
            </w:r>
          </w:p>
        </w:tc>
        <w:tc>
          <w:tcPr>
            <w:tcW w:w="1011" w:type="dxa"/>
            <w:vAlign w:val="top"/>
          </w:tcPr>
          <w:p w14:paraId="6C6C5F29">
            <w:pPr>
              <w:rPr>
                <w:rFonts w:ascii="Arial"/>
                <w:sz w:val="21"/>
              </w:rPr>
            </w:pPr>
          </w:p>
        </w:tc>
        <w:tc>
          <w:tcPr>
            <w:tcW w:w="1404" w:type="dxa"/>
            <w:vAlign w:val="top"/>
          </w:tcPr>
          <w:p w14:paraId="27B806A4">
            <w:pPr>
              <w:rPr>
                <w:rFonts w:ascii="Arial"/>
                <w:sz w:val="21"/>
              </w:rPr>
            </w:pPr>
          </w:p>
        </w:tc>
        <w:tc>
          <w:tcPr>
            <w:tcW w:w="1020" w:type="dxa"/>
            <w:vAlign w:val="top"/>
          </w:tcPr>
          <w:p w14:paraId="6D6704AE">
            <w:pPr>
              <w:rPr>
                <w:rFonts w:ascii="Arial"/>
                <w:sz w:val="21"/>
              </w:rPr>
            </w:pPr>
          </w:p>
        </w:tc>
      </w:tr>
      <w:tr w14:paraId="64D26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0" w:hRule="atLeast"/>
        </w:trPr>
        <w:tc>
          <w:tcPr>
            <w:tcW w:w="629" w:type="dxa"/>
            <w:vAlign w:val="top"/>
          </w:tcPr>
          <w:p w14:paraId="47C38F55">
            <w:pPr>
              <w:spacing w:line="246" w:lineRule="auto"/>
              <w:rPr>
                <w:rFonts w:ascii="Arial"/>
                <w:sz w:val="21"/>
              </w:rPr>
            </w:pPr>
          </w:p>
          <w:p w14:paraId="15789552">
            <w:pPr>
              <w:spacing w:line="246" w:lineRule="auto"/>
              <w:rPr>
                <w:rFonts w:ascii="Arial"/>
                <w:sz w:val="21"/>
              </w:rPr>
            </w:pPr>
          </w:p>
          <w:p w14:paraId="61A67931">
            <w:pPr>
              <w:spacing w:line="246" w:lineRule="auto"/>
              <w:rPr>
                <w:rFonts w:ascii="Arial"/>
                <w:sz w:val="21"/>
              </w:rPr>
            </w:pPr>
          </w:p>
          <w:p w14:paraId="3EA21F69">
            <w:pPr>
              <w:spacing w:line="246" w:lineRule="auto"/>
              <w:rPr>
                <w:rFonts w:ascii="Arial"/>
                <w:sz w:val="21"/>
              </w:rPr>
            </w:pPr>
          </w:p>
          <w:p w14:paraId="1B5969BA">
            <w:pPr>
              <w:spacing w:line="246" w:lineRule="auto"/>
              <w:rPr>
                <w:rFonts w:ascii="Arial"/>
                <w:sz w:val="21"/>
              </w:rPr>
            </w:pPr>
          </w:p>
          <w:p w14:paraId="148AB009">
            <w:pPr>
              <w:spacing w:line="247" w:lineRule="auto"/>
              <w:rPr>
                <w:rFonts w:ascii="Arial"/>
                <w:sz w:val="21"/>
              </w:rPr>
            </w:pPr>
          </w:p>
          <w:p w14:paraId="2BE5A396">
            <w:pPr>
              <w:spacing w:line="247" w:lineRule="auto"/>
              <w:rPr>
                <w:rFonts w:ascii="Arial"/>
                <w:sz w:val="21"/>
              </w:rPr>
            </w:pPr>
          </w:p>
          <w:p w14:paraId="17A71DCC">
            <w:pPr>
              <w:spacing w:line="247" w:lineRule="auto"/>
              <w:rPr>
                <w:rFonts w:ascii="Arial"/>
                <w:sz w:val="21"/>
              </w:rPr>
            </w:pPr>
          </w:p>
          <w:p w14:paraId="7A42284C">
            <w:pPr>
              <w:pStyle w:val="8"/>
              <w:spacing w:before="58" w:line="184" w:lineRule="auto"/>
              <w:ind w:left="234"/>
              <w:rPr>
                <w:rFonts w:hint="eastAsia" w:eastAsia="宋体"/>
                <w:lang w:eastAsia="zh-CN"/>
              </w:rPr>
            </w:pPr>
            <w:r>
              <w:rPr>
                <w:spacing w:val="-10"/>
              </w:rPr>
              <w:t>1</w:t>
            </w:r>
            <w:r>
              <w:rPr>
                <w:rFonts w:hint="eastAsia"/>
                <w:spacing w:val="-10"/>
                <w:lang w:val="en-US" w:eastAsia="zh-CN"/>
              </w:rPr>
              <w:t>8</w:t>
            </w:r>
          </w:p>
        </w:tc>
        <w:tc>
          <w:tcPr>
            <w:tcW w:w="1101" w:type="dxa"/>
            <w:vAlign w:val="top"/>
          </w:tcPr>
          <w:p w14:paraId="7FAE6642">
            <w:pPr>
              <w:spacing w:line="264" w:lineRule="auto"/>
              <w:rPr>
                <w:rFonts w:ascii="Arial"/>
                <w:sz w:val="21"/>
              </w:rPr>
            </w:pPr>
          </w:p>
          <w:p w14:paraId="7207FA7A">
            <w:pPr>
              <w:spacing w:line="264" w:lineRule="auto"/>
              <w:rPr>
                <w:rFonts w:ascii="Arial"/>
                <w:sz w:val="21"/>
              </w:rPr>
            </w:pPr>
          </w:p>
          <w:p w14:paraId="145C2339">
            <w:pPr>
              <w:spacing w:line="264" w:lineRule="auto"/>
              <w:rPr>
                <w:rFonts w:ascii="Arial"/>
                <w:sz w:val="21"/>
              </w:rPr>
            </w:pPr>
          </w:p>
          <w:p w14:paraId="376ACA04">
            <w:pPr>
              <w:spacing w:line="264" w:lineRule="auto"/>
              <w:rPr>
                <w:rFonts w:ascii="Arial"/>
                <w:sz w:val="21"/>
              </w:rPr>
            </w:pPr>
          </w:p>
          <w:p w14:paraId="65D7F36D">
            <w:pPr>
              <w:spacing w:line="264" w:lineRule="auto"/>
              <w:rPr>
                <w:rFonts w:ascii="Arial"/>
                <w:sz w:val="21"/>
              </w:rPr>
            </w:pPr>
          </w:p>
          <w:p w14:paraId="0B8CF789">
            <w:pPr>
              <w:spacing w:line="264" w:lineRule="auto"/>
              <w:rPr>
                <w:rFonts w:ascii="Arial"/>
                <w:sz w:val="21"/>
              </w:rPr>
            </w:pPr>
          </w:p>
          <w:p w14:paraId="7129B9EA">
            <w:pPr>
              <w:pStyle w:val="8"/>
              <w:spacing w:before="59"/>
              <w:ind w:left="18" w:right="20"/>
              <w:jc w:val="both"/>
            </w:pPr>
            <w:r>
              <w:rPr>
                <w:spacing w:val="-6"/>
              </w:rPr>
              <w:t>对未按规定投</w:t>
            </w:r>
            <w:r>
              <w:rPr>
                <w:spacing w:val="2"/>
              </w:rPr>
              <w:t xml:space="preserve"> </w:t>
            </w:r>
            <w:r>
              <w:rPr>
                <w:spacing w:val="-6"/>
              </w:rPr>
              <w:t>保道路运输承</w:t>
            </w:r>
            <w:r>
              <w:rPr>
                <w:spacing w:val="1"/>
              </w:rPr>
              <w:t xml:space="preserve"> </w:t>
            </w:r>
            <w:r>
              <w:rPr>
                <w:spacing w:val="-6"/>
              </w:rPr>
              <w:t>运人责任险行</w:t>
            </w:r>
            <w:r>
              <w:rPr>
                <w:spacing w:val="1"/>
              </w:rPr>
              <w:t xml:space="preserve"> </w:t>
            </w:r>
            <w:r>
              <w:rPr>
                <w:spacing w:val="-7"/>
              </w:rPr>
              <w:t>为的行政处罚</w:t>
            </w:r>
          </w:p>
        </w:tc>
        <w:tc>
          <w:tcPr>
            <w:tcW w:w="1101" w:type="dxa"/>
            <w:vAlign w:val="top"/>
          </w:tcPr>
          <w:p w14:paraId="02A83BDA">
            <w:pPr>
              <w:spacing w:line="242" w:lineRule="auto"/>
              <w:rPr>
                <w:rFonts w:ascii="Arial"/>
                <w:sz w:val="21"/>
              </w:rPr>
            </w:pPr>
          </w:p>
          <w:p w14:paraId="7C16915B">
            <w:pPr>
              <w:spacing w:line="243" w:lineRule="auto"/>
              <w:rPr>
                <w:rFonts w:ascii="Arial"/>
                <w:sz w:val="21"/>
              </w:rPr>
            </w:pPr>
          </w:p>
          <w:p w14:paraId="7DF50802">
            <w:pPr>
              <w:spacing w:line="243" w:lineRule="auto"/>
              <w:rPr>
                <w:rFonts w:ascii="Arial"/>
                <w:sz w:val="21"/>
              </w:rPr>
            </w:pPr>
          </w:p>
          <w:p w14:paraId="4F314074">
            <w:pPr>
              <w:spacing w:line="243" w:lineRule="auto"/>
              <w:rPr>
                <w:rFonts w:ascii="Arial"/>
                <w:sz w:val="21"/>
              </w:rPr>
            </w:pPr>
          </w:p>
          <w:p w14:paraId="13B07D94">
            <w:pPr>
              <w:spacing w:line="243" w:lineRule="auto"/>
              <w:rPr>
                <w:rFonts w:ascii="Arial"/>
                <w:sz w:val="21"/>
              </w:rPr>
            </w:pPr>
          </w:p>
          <w:p w14:paraId="4740910D">
            <w:pPr>
              <w:spacing w:line="243" w:lineRule="auto"/>
              <w:rPr>
                <w:rFonts w:ascii="Arial"/>
                <w:sz w:val="21"/>
              </w:rPr>
            </w:pPr>
          </w:p>
          <w:p w14:paraId="5BDC8EEB">
            <w:pPr>
              <w:spacing w:line="243" w:lineRule="auto"/>
              <w:rPr>
                <w:rFonts w:ascii="Arial"/>
                <w:sz w:val="21"/>
              </w:rPr>
            </w:pPr>
          </w:p>
          <w:p w14:paraId="2ADC5461">
            <w:pPr>
              <w:spacing w:line="243" w:lineRule="auto"/>
              <w:rPr>
                <w:rFonts w:ascii="Arial"/>
                <w:sz w:val="21"/>
              </w:rPr>
            </w:pPr>
          </w:p>
          <w:p w14:paraId="4E852900">
            <w:pPr>
              <w:pStyle w:val="8"/>
              <w:spacing w:before="59" w:line="220" w:lineRule="auto"/>
              <w:ind w:left="25"/>
            </w:pPr>
            <w:r>
              <w:rPr>
                <w:spacing w:val="-7"/>
              </w:rPr>
              <w:t>行政处罚</w:t>
            </w:r>
          </w:p>
        </w:tc>
        <w:tc>
          <w:tcPr>
            <w:tcW w:w="8524" w:type="dxa"/>
            <w:vAlign w:val="top"/>
          </w:tcPr>
          <w:p w14:paraId="577B7E12">
            <w:pPr>
              <w:pStyle w:val="8"/>
              <w:spacing w:before="58" w:line="219" w:lineRule="auto"/>
              <w:ind w:left="458"/>
            </w:pPr>
            <w:r>
              <w:rPr>
                <w:b/>
                <w:bCs/>
                <w:spacing w:val="-10"/>
              </w:rPr>
              <w:t>1.《中华人民共和国道路运输条例》</w:t>
            </w:r>
          </w:p>
          <w:p w14:paraId="74F29D86">
            <w:pPr>
              <w:pStyle w:val="8"/>
              <w:spacing w:before="13" w:line="219" w:lineRule="auto"/>
              <w:ind w:left="445"/>
            </w:pPr>
            <w:r>
              <w:rPr>
                <w:spacing w:val="-8"/>
              </w:rPr>
              <w:t>第三十五条</w:t>
            </w:r>
            <w:r>
              <w:rPr>
                <w:spacing w:val="81"/>
              </w:rPr>
              <w:t xml:space="preserve"> </w:t>
            </w:r>
            <w:r>
              <w:rPr>
                <w:spacing w:val="-8"/>
              </w:rPr>
              <w:t>客运经营者、危险货物运输经营者应当分别为旅客或者危险货物投保承运人责任险。</w:t>
            </w:r>
          </w:p>
          <w:p w14:paraId="754D4CFE">
            <w:pPr>
              <w:pStyle w:val="8"/>
              <w:spacing w:before="18" w:line="227" w:lineRule="auto"/>
              <w:ind w:left="105" w:right="157" w:firstLine="340"/>
            </w:pPr>
            <w:r>
              <w:rPr>
                <w:spacing w:val="-8"/>
              </w:rPr>
              <w:t>第六十七条</w:t>
            </w:r>
            <w:r>
              <w:rPr>
                <w:spacing w:val="74"/>
              </w:rPr>
              <w:t xml:space="preserve"> </w:t>
            </w:r>
            <w:r>
              <w:rPr>
                <w:spacing w:val="-8"/>
              </w:rPr>
              <w:t>违反本条例的规定，客运经营者、危险货物运输经营者未按规定投保承运人责任险的，由县</w:t>
            </w:r>
            <w:r>
              <w:t xml:space="preserve"> </w:t>
            </w:r>
            <w:r>
              <w:rPr>
                <w:spacing w:val="-9"/>
              </w:rPr>
              <w:t>级以上地方人民政府交通运输主管部门责令限期投保；拒不投保的，由原许可机关吊销道路运输经营许可证。</w:t>
            </w:r>
          </w:p>
          <w:p w14:paraId="71439E1E">
            <w:pPr>
              <w:pStyle w:val="8"/>
              <w:spacing w:before="16" w:line="219" w:lineRule="auto"/>
              <w:ind w:left="447"/>
            </w:pPr>
            <w:r>
              <w:rPr>
                <w:b/>
                <w:bCs/>
                <w:spacing w:val="-8"/>
              </w:rPr>
              <w:t>2.《道路旅客运输及客运站管理规定》(交通运输部令2023年第12号)</w:t>
            </w:r>
          </w:p>
          <w:p w14:paraId="03FCA56D">
            <w:pPr>
              <w:pStyle w:val="8"/>
              <w:spacing w:before="18" w:line="227" w:lineRule="auto"/>
              <w:ind w:left="116" w:right="157" w:firstLine="328"/>
            </w:pPr>
            <w:r>
              <w:rPr>
                <w:spacing w:val="-8"/>
              </w:rPr>
              <w:t>第九十六条</w:t>
            </w:r>
            <w:r>
              <w:rPr>
                <w:spacing w:val="74"/>
              </w:rPr>
              <w:t xml:space="preserve"> </w:t>
            </w:r>
            <w:r>
              <w:rPr>
                <w:spacing w:val="-8"/>
              </w:rPr>
              <w:t>违反本规定，客运经营者有下列行为之一的，由交通运输主管部门责令限期投保；拒不投保</w:t>
            </w:r>
            <w:r>
              <w:t xml:space="preserve"> </w:t>
            </w:r>
            <w:r>
              <w:rPr>
                <w:spacing w:val="-8"/>
              </w:rPr>
              <w:t>的，由原许可机关吊销相应许可</w:t>
            </w:r>
            <w:r>
              <w:rPr>
                <w:spacing w:val="-22"/>
              </w:rPr>
              <w:t>：（</w:t>
            </w:r>
            <w:r>
              <w:rPr>
                <w:spacing w:val="-8"/>
              </w:rPr>
              <w:t>一）未为旅客投保承运人责任险的</w:t>
            </w:r>
            <w:r>
              <w:rPr>
                <w:spacing w:val="-22"/>
              </w:rPr>
              <w:t>；（</w:t>
            </w:r>
            <w:r>
              <w:rPr>
                <w:spacing w:val="-8"/>
              </w:rPr>
              <w:t>二）未按照最低投保限</w:t>
            </w:r>
            <w:r>
              <w:rPr>
                <w:spacing w:val="-9"/>
              </w:rPr>
              <w:t>额投保的；</w:t>
            </w:r>
          </w:p>
          <w:p w14:paraId="37D1252B">
            <w:pPr>
              <w:pStyle w:val="8"/>
              <w:spacing w:before="15" w:line="219" w:lineRule="auto"/>
              <w:ind w:left="112"/>
            </w:pPr>
            <w:r>
              <w:rPr>
                <w:spacing w:val="-8"/>
              </w:rPr>
              <w:t>（三）投保的承运人责任险已过期，未继续投保</w:t>
            </w:r>
            <w:r>
              <w:rPr>
                <w:spacing w:val="-9"/>
              </w:rPr>
              <w:t>的。</w:t>
            </w:r>
          </w:p>
          <w:p w14:paraId="19F9382C">
            <w:pPr>
              <w:pStyle w:val="8"/>
              <w:spacing w:before="16" w:line="219" w:lineRule="auto"/>
              <w:ind w:left="449"/>
            </w:pPr>
            <w:r>
              <w:rPr>
                <w:b/>
                <w:bCs/>
                <w:spacing w:val="-8"/>
              </w:rPr>
              <w:t>3.《道路危险货物运输管理规定》(交通运输部令2023年第13号)</w:t>
            </w:r>
          </w:p>
          <w:p w14:paraId="698D23FA">
            <w:pPr>
              <w:pStyle w:val="8"/>
              <w:spacing w:before="19" w:line="232" w:lineRule="auto"/>
              <w:ind w:left="102" w:right="150" w:firstLine="342"/>
              <w:jc w:val="both"/>
            </w:pPr>
            <w:r>
              <w:rPr>
                <w:spacing w:val="-8"/>
              </w:rPr>
              <w:t>第五十七条</w:t>
            </w:r>
            <w:r>
              <w:rPr>
                <w:spacing w:val="74"/>
              </w:rPr>
              <w:t xml:space="preserve"> </w:t>
            </w:r>
            <w:r>
              <w:rPr>
                <w:spacing w:val="-8"/>
              </w:rPr>
              <w:t>违反本规定，道路危险货物运输企业或者单位有下列行为之一，由交通运输主管部门责令限</w:t>
            </w:r>
            <w:r>
              <w:t xml:space="preserve"> </w:t>
            </w:r>
            <w:r>
              <w:rPr>
                <w:spacing w:val="-10"/>
              </w:rPr>
              <w:t>期投保；拒不投保的，由原许可机关吊销《道路运输经营许可证》或者《道路危险货物运输许可证》， 或者吊</w:t>
            </w:r>
            <w:r>
              <w:rPr>
                <w:spacing w:val="14"/>
              </w:rPr>
              <w:t xml:space="preserve"> </w:t>
            </w:r>
            <w:r>
              <w:rPr>
                <w:spacing w:val="-7"/>
              </w:rPr>
              <w:t>销相应的经营范围</w:t>
            </w:r>
            <w:r>
              <w:rPr>
                <w:spacing w:val="-20"/>
              </w:rPr>
              <w:t>：（</w:t>
            </w:r>
            <w:r>
              <w:rPr>
                <w:spacing w:val="-7"/>
              </w:rPr>
              <w:t>一）未投保危险货物承运人责任险的</w:t>
            </w:r>
            <w:r>
              <w:rPr>
                <w:spacing w:val="-20"/>
              </w:rPr>
              <w:t>；（</w:t>
            </w:r>
            <w:r>
              <w:rPr>
                <w:spacing w:val="-7"/>
              </w:rPr>
              <w:t>二）投保的危险货物承运人责任险已过期，未</w:t>
            </w:r>
            <w:r>
              <w:rPr>
                <w:spacing w:val="2"/>
              </w:rPr>
              <w:t xml:space="preserve"> </w:t>
            </w:r>
            <w:r>
              <w:rPr>
                <w:spacing w:val="-7"/>
              </w:rPr>
              <w:t>继续投保的。</w:t>
            </w:r>
          </w:p>
          <w:p w14:paraId="46AF8DBC">
            <w:pPr>
              <w:pStyle w:val="8"/>
              <w:spacing w:before="13" w:line="219" w:lineRule="auto"/>
              <w:ind w:left="444"/>
            </w:pPr>
            <w:r>
              <w:rPr>
                <w:b/>
                <w:bCs/>
                <w:spacing w:val="-8"/>
              </w:rPr>
              <w:t>4.《放射性物品道路运输管理规定》(交通运输部令2023年第17号)</w:t>
            </w:r>
          </w:p>
          <w:p w14:paraId="35E51ECF">
            <w:pPr>
              <w:pStyle w:val="8"/>
              <w:spacing w:before="15" w:line="232" w:lineRule="auto"/>
              <w:ind w:left="102" w:right="18" w:firstLine="343"/>
              <w:jc w:val="both"/>
            </w:pPr>
            <w:r>
              <w:rPr>
                <w:spacing w:val="-8"/>
              </w:rPr>
              <w:t>第四十一条</w:t>
            </w:r>
            <w:r>
              <w:rPr>
                <w:spacing w:val="74"/>
              </w:rPr>
              <w:t xml:space="preserve"> </w:t>
            </w:r>
            <w:r>
              <w:rPr>
                <w:spacing w:val="-8"/>
              </w:rPr>
              <w:t>违反本规定，放射性物品道路运输企业或者单位有下列行为之一，由交通运输主管部门责令</w:t>
            </w:r>
            <w:r>
              <w:t xml:space="preserve">  </w:t>
            </w:r>
            <w:r>
              <w:rPr>
                <w:spacing w:val="-8"/>
              </w:rPr>
              <w:t>限期投保；拒不投保的，由原许可的设区的市级道路运输管理机构吊销《道路运输经营许可证》或者《放</w:t>
            </w:r>
            <w:r>
              <w:rPr>
                <w:spacing w:val="-9"/>
              </w:rPr>
              <w:t>射性</w:t>
            </w:r>
            <w:r>
              <w:t xml:space="preserve">  </w:t>
            </w:r>
            <w:r>
              <w:rPr>
                <w:spacing w:val="-9"/>
              </w:rPr>
              <w:t>物品道路运输许可证》，或者在许可证件上注销相应的许可范围</w:t>
            </w:r>
            <w:r>
              <w:rPr>
                <w:spacing w:val="-48"/>
                <w:w w:val="99"/>
              </w:rPr>
              <w:t>：（</w:t>
            </w:r>
            <w:r>
              <w:rPr>
                <w:spacing w:val="-9"/>
              </w:rPr>
              <w:t>一）未投保危险货物承运人责任险</w:t>
            </w:r>
            <w:r>
              <w:rPr>
                <w:spacing w:val="-10"/>
              </w:rPr>
              <w:t>的</w:t>
            </w:r>
            <w:r>
              <w:rPr>
                <w:spacing w:val="-48"/>
                <w:w w:val="99"/>
              </w:rPr>
              <w:t>；（</w:t>
            </w:r>
            <w:r>
              <w:rPr>
                <w:spacing w:val="-10"/>
              </w:rPr>
              <w:t>二）</w:t>
            </w:r>
            <w:r>
              <w:rPr>
                <w:spacing w:val="3"/>
              </w:rPr>
              <w:t xml:space="preserve"> </w:t>
            </w:r>
            <w:r>
              <w:rPr>
                <w:spacing w:val="-8"/>
              </w:rPr>
              <w:t>投保的危险货物承运人责任险已过期，未继续投保的。</w:t>
            </w:r>
          </w:p>
        </w:tc>
        <w:tc>
          <w:tcPr>
            <w:tcW w:w="1011" w:type="dxa"/>
            <w:vAlign w:val="top"/>
          </w:tcPr>
          <w:p w14:paraId="17ED9A22">
            <w:pPr>
              <w:spacing w:line="260" w:lineRule="auto"/>
              <w:rPr>
                <w:rFonts w:ascii="Arial"/>
                <w:sz w:val="21"/>
              </w:rPr>
            </w:pPr>
          </w:p>
          <w:p w14:paraId="1FFF3496">
            <w:pPr>
              <w:spacing w:line="260" w:lineRule="auto"/>
              <w:rPr>
                <w:rFonts w:ascii="Arial"/>
                <w:sz w:val="21"/>
              </w:rPr>
            </w:pPr>
          </w:p>
          <w:p w14:paraId="625D75CD">
            <w:pPr>
              <w:spacing w:line="260" w:lineRule="auto"/>
              <w:rPr>
                <w:rFonts w:ascii="Arial"/>
                <w:sz w:val="21"/>
              </w:rPr>
            </w:pPr>
          </w:p>
          <w:p w14:paraId="17C59984">
            <w:pPr>
              <w:spacing w:line="261" w:lineRule="auto"/>
              <w:rPr>
                <w:rFonts w:ascii="Arial"/>
                <w:sz w:val="21"/>
              </w:rPr>
            </w:pPr>
          </w:p>
          <w:p w14:paraId="6029A4BA">
            <w:pPr>
              <w:spacing w:line="261" w:lineRule="auto"/>
              <w:rPr>
                <w:rFonts w:ascii="Arial"/>
                <w:sz w:val="21"/>
              </w:rPr>
            </w:pPr>
          </w:p>
          <w:p w14:paraId="1011B6A5">
            <w:pPr>
              <w:spacing w:line="261" w:lineRule="auto"/>
              <w:rPr>
                <w:rFonts w:ascii="Arial"/>
                <w:sz w:val="21"/>
              </w:rPr>
            </w:pPr>
          </w:p>
          <w:p w14:paraId="302B89E2">
            <w:pPr>
              <w:spacing w:line="261" w:lineRule="auto"/>
              <w:rPr>
                <w:rFonts w:ascii="Arial"/>
                <w:sz w:val="21"/>
              </w:rPr>
            </w:pPr>
          </w:p>
          <w:p w14:paraId="1777A228">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5F30361A">
            <w:pPr>
              <w:spacing w:line="260" w:lineRule="auto"/>
              <w:rPr>
                <w:rFonts w:ascii="Arial"/>
                <w:sz w:val="21"/>
              </w:rPr>
            </w:pPr>
          </w:p>
          <w:p w14:paraId="0D7F47CD">
            <w:pPr>
              <w:spacing w:line="260" w:lineRule="auto"/>
              <w:rPr>
                <w:rFonts w:ascii="Arial"/>
                <w:sz w:val="21"/>
              </w:rPr>
            </w:pPr>
          </w:p>
          <w:p w14:paraId="3A665EF8">
            <w:pPr>
              <w:spacing w:line="260" w:lineRule="auto"/>
              <w:rPr>
                <w:rFonts w:ascii="Arial"/>
                <w:sz w:val="21"/>
              </w:rPr>
            </w:pPr>
          </w:p>
          <w:p w14:paraId="3C8EB997">
            <w:pPr>
              <w:spacing w:line="261" w:lineRule="auto"/>
              <w:rPr>
                <w:rFonts w:ascii="Arial"/>
                <w:sz w:val="21"/>
              </w:rPr>
            </w:pPr>
          </w:p>
          <w:p w14:paraId="55F1F9AB">
            <w:pPr>
              <w:spacing w:line="261" w:lineRule="auto"/>
              <w:rPr>
                <w:rFonts w:ascii="Arial"/>
                <w:sz w:val="21"/>
              </w:rPr>
            </w:pPr>
          </w:p>
          <w:p w14:paraId="77E5B987">
            <w:pPr>
              <w:spacing w:line="261" w:lineRule="auto"/>
              <w:rPr>
                <w:rFonts w:ascii="Arial"/>
                <w:sz w:val="21"/>
              </w:rPr>
            </w:pPr>
          </w:p>
          <w:p w14:paraId="07FB12BB">
            <w:pPr>
              <w:spacing w:line="261" w:lineRule="auto"/>
              <w:rPr>
                <w:rFonts w:ascii="Arial"/>
                <w:sz w:val="21"/>
              </w:rPr>
            </w:pPr>
          </w:p>
          <w:p w14:paraId="038B5640">
            <w:pPr>
              <w:pStyle w:val="8"/>
              <w:spacing w:before="58"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7C68754F">
            <w:pPr>
              <w:spacing w:line="264" w:lineRule="auto"/>
              <w:rPr>
                <w:rFonts w:ascii="Arial"/>
                <w:sz w:val="21"/>
              </w:rPr>
            </w:pPr>
          </w:p>
          <w:p w14:paraId="28AF9C24">
            <w:pPr>
              <w:spacing w:line="264" w:lineRule="auto"/>
              <w:rPr>
                <w:rFonts w:ascii="Arial"/>
                <w:sz w:val="21"/>
              </w:rPr>
            </w:pPr>
          </w:p>
          <w:p w14:paraId="4C2AB73D">
            <w:pPr>
              <w:spacing w:line="264" w:lineRule="auto"/>
              <w:rPr>
                <w:rFonts w:ascii="Arial"/>
                <w:sz w:val="21"/>
              </w:rPr>
            </w:pPr>
          </w:p>
          <w:p w14:paraId="35E7930F">
            <w:pPr>
              <w:spacing w:line="265" w:lineRule="auto"/>
              <w:rPr>
                <w:rFonts w:ascii="Arial"/>
                <w:sz w:val="21"/>
              </w:rPr>
            </w:pPr>
          </w:p>
          <w:p w14:paraId="4F2A60A2">
            <w:pPr>
              <w:spacing w:line="265" w:lineRule="auto"/>
              <w:rPr>
                <w:rFonts w:ascii="Arial"/>
                <w:sz w:val="21"/>
              </w:rPr>
            </w:pPr>
          </w:p>
          <w:p w14:paraId="6E33E7BC">
            <w:pPr>
              <w:spacing w:line="265" w:lineRule="auto"/>
              <w:rPr>
                <w:rFonts w:ascii="Arial"/>
                <w:sz w:val="21"/>
              </w:rPr>
            </w:pPr>
          </w:p>
          <w:p w14:paraId="6A8D3CBA">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426A2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30" w:hRule="atLeast"/>
        </w:trPr>
        <w:tc>
          <w:tcPr>
            <w:tcW w:w="629" w:type="dxa"/>
            <w:vAlign w:val="top"/>
          </w:tcPr>
          <w:p w14:paraId="7733A9D9">
            <w:pPr>
              <w:spacing w:line="283" w:lineRule="auto"/>
              <w:rPr>
                <w:rFonts w:ascii="Arial"/>
                <w:sz w:val="21"/>
              </w:rPr>
            </w:pPr>
          </w:p>
          <w:p w14:paraId="381DF329">
            <w:pPr>
              <w:spacing w:line="283" w:lineRule="auto"/>
              <w:rPr>
                <w:rFonts w:ascii="Arial"/>
                <w:sz w:val="21"/>
              </w:rPr>
            </w:pPr>
          </w:p>
          <w:p w14:paraId="6670037F">
            <w:pPr>
              <w:spacing w:line="284" w:lineRule="auto"/>
              <w:rPr>
                <w:rFonts w:ascii="Arial"/>
                <w:sz w:val="21"/>
              </w:rPr>
            </w:pPr>
          </w:p>
          <w:p w14:paraId="032F0503">
            <w:pPr>
              <w:pStyle w:val="8"/>
              <w:spacing w:before="59" w:line="183" w:lineRule="auto"/>
              <w:ind w:left="223"/>
              <w:rPr>
                <w:rFonts w:hint="default" w:eastAsia="宋体"/>
                <w:lang w:val="en-US" w:eastAsia="zh-CN"/>
              </w:rPr>
            </w:pPr>
            <w:r>
              <w:rPr>
                <w:rFonts w:hint="eastAsia"/>
                <w:spacing w:val="-4"/>
                <w:lang w:val="en-US" w:eastAsia="zh-CN"/>
              </w:rPr>
              <w:t>19</w:t>
            </w:r>
          </w:p>
        </w:tc>
        <w:tc>
          <w:tcPr>
            <w:tcW w:w="1101" w:type="dxa"/>
            <w:vAlign w:val="top"/>
          </w:tcPr>
          <w:p w14:paraId="4345B4A8">
            <w:pPr>
              <w:pStyle w:val="8"/>
              <w:spacing w:before="165" w:line="243" w:lineRule="auto"/>
              <w:ind w:left="19" w:right="20" w:hanging="1"/>
              <w:jc w:val="both"/>
            </w:pPr>
            <w:r>
              <w:rPr>
                <w:spacing w:val="-6"/>
              </w:rPr>
              <w:t>对客运班车不</w:t>
            </w:r>
            <w:r>
              <w:rPr>
                <w:spacing w:val="2"/>
              </w:rPr>
              <w:t xml:space="preserve"> </w:t>
            </w:r>
            <w:r>
              <w:rPr>
                <w:spacing w:val="-6"/>
              </w:rPr>
              <w:t>按批准的客运</w:t>
            </w:r>
            <w:r>
              <w:t xml:space="preserve"> </w:t>
            </w:r>
            <w:r>
              <w:rPr>
                <w:spacing w:val="-6"/>
              </w:rPr>
              <w:t>站点停靠或者</w:t>
            </w:r>
            <w:r>
              <w:t xml:space="preserve"> </w:t>
            </w:r>
            <w:r>
              <w:rPr>
                <w:spacing w:val="-6"/>
              </w:rPr>
              <w:t>不按规定的线</w:t>
            </w:r>
            <w:r>
              <w:t xml:space="preserve"> </w:t>
            </w:r>
            <w:r>
              <w:rPr>
                <w:spacing w:val="-6"/>
              </w:rPr>
              <w:t>路、班次行驶</w:t>
            </w:r>
            <w:r>
              <w:t xml:space="preserve"> </w:t>
            </w:r>
            <w:r>
              <w:rPr>
                <w:spacing w:val="-6"/>
              </w:rPr>
              <w:t>等行为的行政</w:t>
            </w:r>
            <w:r>
              <w:t xml:space="preserve"> </w:t>
            </w:r>
            <w:r>
              <w:rPr>
                <w:spacing w:val="-4"/>
              </w:rPr>
              <w:t>处罚</w:t>
            </w:r>
          </w:p>
        </w:tc>
        <w:tc>
          <w:tcPr>
            <w:tcW w:w="1101" w:type="dxa"/>
            <w:vAlign w:val="top"/>
          </w:tcPr>
          <w:p w14:paraId="1CFCF4F3">
            <w:pPr>
              <w:spacing w:line="274" w:lineRule="auto"/>
              <w:rPr>
                <w:rFonts w:ascii="Arial"/>
                <w:sz w:val="21"/>
              </w:rPr>
            </w:pPr>
          </w:p>
          <w:p w14:paraId="671D4AF3">
            <w:pPr>
              <w:spacing w:line="274" w:lineRule="auto"/>
              <w:rPr>
                <w:rFonts w:ascii="Arial"/>
                <w:sz w:val="21"/>
              </w:rPr>
            </w:pPr>
          </w:p>
          <w:p w14:paraId="29846A52">
            <w:pPr>
              <w:spacing w:line="274" w:lineRule="auto"/>
              <w:rPr>
                <w:rFonts w:ascii="Arial"/>
                <w:sz w:val="21"/>
              </w:rPr>
            </w:pPr>
          </w:p>
          <w:p w14:paraId="5D98B41B">
            <w:pPr>
              <w:pStyle w:val="8"/>
              <w:spacing w:before="58" w:line="220" w:lineRule="auto"/>
              <w:ind w:left="25"/>
            </w:pPr>
            <w:r>
              <w:rPr>
                <w:spacing w:val="-7"/>
              </w:rPr>
              <w:t>行政处罚</w:t>
            </w:r>
          </w:p>
        </w:tc>
        <w:tc>
          <w:tcPr>
            <w:tcW w:w="8524" w:type="dxa"/>
            <w:vAlign w:val="top"/>
          </w:tcPr>
          <w:p w14:paraId="0122A64D">
            <w:pPr>
              <w:pStyle w:val="8"/>
              <w:spacing w:before="46" w:line="219" w:lineRule="auto"/>
              <w:ind w:left="458"/>
            </w:pPr>
            <w:r>
              <w:rPr>
                <w:b/>
                <w:bCs/>
                <w:spacing w:val="-10"/>
              </w:rPr>
              <w:t>1.《中华人民共和国道路运输条例》</w:t>
            </w:r>
          </w:p>
          <w:p w14:paraId="592CB618">
            <w:pPr>
              <w:pStyle w:val="8"/>
              <w:spacing w:before="26" w:line="239" w:lineRule="auto"/>
              <w:ind w:left="103" w:right="150" w:firstLine="341"/>
              <w:jc w:val="both"/>
            </w:pPr>
            <w:r>
              <w:rPr>
                <w:spacing w:val="-8"/>
              </w:rPr>
              <w:t>第六十八条</w:t>
            </w:r>
            <w:r>
              <w:rPr>
                <w:spacing w:val="74"/>
              </w:rPr>
              <w:t xml:space="preserve"> </w:t>
            </w:r>
            <w:r>
              <w:rPr>
                <w:spacing w:val="-8"/>
              </w:rPr>
              <w:t>违反本条例的规定，客运经营者有下列情形之一的，由县级以上地方人民政府交通运输主管</w:t>
            </w:r>
            <w:r>
              <w:t xml:space="preserve"> </w:t>
            </w:r>
            <w:r>
              <w:rPr>
                <w:spacing w:val="-7"/>
              </w:rPr>
              <w:t>部门责令改正，处1000元以上2000元以下的罚款；情节严重的，由原</w:t>
            </w:r>
            <w:r>
              <w:rPr>
                <w:spacing w:val="-8"/>
              </w:rPr>
              <w:t>许可机关吊销道路运输经营许可证：(一)</w:t>
            </w:r>
            <w:r>
              <w:t xml:space="preserve"> </w:t>
            </w:r>
            <w:r>
              <w:rPr>
                <w:spacing w:val="-8"/>
              </w:rPr>
              <w:t>不按批准的客运站点停靠或者不按规定的线路、公布的班次行驶的；(二)在旅客运输途中擅自变更运输车辆或</w:t>
            </w:r>
            <w:r>
              <w:rPr>
                <w:spacing w:val="5"/>
              </w:rPr>
              <w:t xml:space="preserve"> </w:t>
            </w:r>
            <w:r>
              <w:rPr>
                <w:spacing w:val="-8"/>
              </w:rPr>
              <w:t>者将旅客移交他人运输的；(三)未报告原许可机关，擅自终止客运经营的。</w:t>
            </w:r>
          </w:p>
          <w:p w14:paraId="0A59EC73">
            <w:pPr>
              <w:pStyle w:val="8"/>
              <w:spacing w:before="28" w:line="230" w:lineRule="auto"/>
              <w:ind w:left="101" w:right="148" w:firstLine="345"/>
              <w:jc w:val="both"/>
            </w:pPr>
            <w:r>
              <w:rPr>
                <w:spacing w:val="-8"/>
              </w:rPr>
              <w:t>客运经营者强行招揽旅客，货运经营者强行招揽货物或者没有采取必要措施防止货物脱落、扬撒等的</w:t>
            </w:r>
            <w:r>
              <w:rPr>
                <w:spacing w:val="-9"/>
              </w:rPr>
              <w:t>，由</w:t>
            </w:r>
            <w:r>
              <w:t xml:space="preserve"> </w:t>
            </w:r>
            <w:r>
              <w:rPr>
                <w:spacing w:val="-7"/>
              </w:rPr>
              <w:t>县级以上地方人民政府交通运输主管部门责令改正，处1000元以上300</w:t>
            </w:r>
            <w:r>
              <w:rPr>
                <w:spacing w:val="-8"/>
              </w:rPr>
              <w:t>0元以下的罚款；情节严重的，由原许可</w:t>
            </w:r>
            <w:r>
              <w:t xml:space="preserve"> </w:t>
            </w:r>
            <w:r>
              <w:rPr>
                <w:spacing w:val="-8"/>
              </w:rPr>
              <w:t>机关吊销道路运输经营许可证。</w:t>
            </w:r>
          </w:p>
        </w:tc>
        <w:tc>
          <w:tcPr>
            <w:tcW w:w="1011" w:type="dxa"/>
            <w:vAlign w:val="top"/>
          </w:tcPr>
          <w:p w14:paraId="1DFCCD63">
            <w:pPr>
              <w:spacing w:line="351" w:lineRule="auto"/>
              <w:rPr>
                <w:rFonts w:ascii="Arial"/>
                <w:sz w:val="21"/>
              </w:rPr>
            </w:pPr>
          </w:p>
          <w:p w14:paraId="5926486D">
            <w:pPr>
              <w:spacing w:line="351" w:lineRule="auto"/>
              <w:rPr>
                <w:rFonts w:ascii="Arial"/>
                <w:sz w:val="21"/>
              </w:rPr>
            </w:pPr>
          </w:p>
          <w:p w14:paraId="1FD65AAA">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07833893">
            <w:pPr>
              <w:spacing w:line="351" w:lineRule="auto"/>
              <w:rPr>
                <w:rFonts w:ascii="Arial"/>
                <w:sz w:val="21"/>
              </w:rPr>
            </w:pPr>
          </w:p>
          <w:p w14:paraId="5D08F061">
            <w:pPr>
              <w:spacing w:line="352" w:lineRule="auto"/>
              <w:rPr>
                <w:rFonts w:ascii="Arial"/>
                <w:sz w:val="21"/>
              </w:rPr>
            </w:pPr>
          </w:p>
          <w:p w14:paraId="575F5786">
            <w:pPr>
              <w:pStyle w:val="8"/>
              <w:spacing w:before="58"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2522D857">
            <w:pPr>
              <w:spacing w:line="465" w:lineRule="auto"/>
              <w:rPr>
                <w:rFonts w:ascii="Arial"/>
                <w:sz w:val="21"/>
              </w:rPr>
            </w:pPr>
          </w:p>
          <w:p w14:paraId="17ABA3BF">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20ABC9F9">
      <w:pPr>
        <w:pStyle w:val="2"/>
      </w:pPr>
    </w:p>
    <w:p w14:paraId="63A9C304">
      <w:pPr>
        <w:sectPr>
          <w:footerReference r:id="rId34" w:type="default"/>
          <w:pgSz w:w="16839" w:h="11906"/>
          <w:pgMar w:top="1012" w:right="1016" w:bottom="966" w:left="1016" w:header="0" w:footer="768" w:gutter="0"/>
          <w:cols w:space="720" w:num="1"/>
        </w:sectPr>
      </w:pPr>
    </w:p>
    <w:p w14:paraId="05037156">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02744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4" w:hRule="atLeast"/>
        </w:trPr>
        <w:tc>
          <w:tcPr>
            <w:tcW w:w="629" w:type="dxa"/>
            <w:vMerge w:val="restart"/>
            <w:tcBorders>
              <w:bottom w:val="nil"/>
            </w:tcBorders>
            <w:vAlign w:val="top"/>
          </w:tcPr>
          <w:p w14:paraId="47A0495C">
            <w:pPr>
              <w:pStyle w:val="8"/>
              <w:spacing w:before="273" w:line="221" w:lineRule="auto"/>
              <w:ind w:left="129"/>
            </w:pPr>
            <w:r>
              <w:rPr>
                <w:b/>
                <w:bCs/>
                <w:spacing w:val="-4"/>
              </w:rPr>
              <w:t>序号</w:t>
            </w:r>
          </w:p>
        </w:tc>
        <w:tc>
          <w:tcPr>
            <w:tcW w:w="1101" w:type="dxa"/>
            <w:vMerge w:val="restart"/>
            <w:tcBorders>
              <w:bottom w:val="nil"/>
            </w:tcBorders>
            <w:vAlign w:val="top"/>
          </w:tcPr>
          <w:p w14:paraId="1F6D4F6B">
            <w:pPr>
              <w:pStyle w:val="8"/>
              <w:spacing w:before="274" w:line="220" w:lineRule="auto"/>
              <w:ind w:left="182"/>
            </w:pPr>
            <w:r>
              <w:rPr>
                <w:b/>
                <w:bCs/>
                <w:spacing w:val="-4"/>
              </w:rPr>
              <w:t>事项名称</w:t>
            </w:r>
          </w:p>
        </w:tc>
        <w:tc>
          <w:tcPr>
            <w:tcW w:w="1101" w:type="dxa"/>
            <w:vMerge w:val="restart"/>
            <w:tcBorders>
              <w:bottom w:val="nil"/>
            </w:tcBorders>
            <w:vAlign w:val="top"/>
          </w:tcPr>
          <w:p w14:paraId="5113F3C9">
            <w:pPr>
              <w:pStyle w:val="8"/>
              <w:spacing w:before="274" w:line="219" w:lineRule="auto"/>
              <w:ind w:left="183"/>
            </w:pPr>
            <w:r>
              <w:rPr>
                <w:b/>
                <w:bCs/>
                <w:spacing w:val="-4"/>
              </w:rPr>
              <w:t>职权类型</w:t>
            </w:r>
          </w:p>
        </w:tc>
        <w:tc>
          <w:tcPr>
            <w:tcW w:w="8524" w:type="dxa"/>
            <w:vMerge w:val="restart"/>
            <w:tcBorders>
              <w:bottom w:val="nil"/>
            </w:tcBorders>
            <w:vAlign w:val="top"/>
          </w:tcPr>
          <w:p w14:paraId="18F443E3">
            <w:pPr>
              <w:pStyle w:val="8"/>
              <w:spacing w:before="273" w:line="219" w:lineRule="auto"/>
              <w:ind w:left="4083"/>
            </w:pPr>
            <w:r>
              <w:rPr>
                <w:b/>
                <w:bCs/>
                <w:spacing w:val="-5"/>
              </w:rPr>
              <w:t>实施依据</w:t>
            </w:r>
          </w:p>
        </w:tc>
        <w:tc>
          <w:tcPr>
            <w:tcW w:w="3435" w:type="dxa"/>
            <w:gridSpan w:val="3"/>
            <w:vAlign w:val="top"/>
          </w:tcPr>
          <w:p w14:paraId="5BF4362C">
            <w:pPr>
              <w:pStyle w:val="8"/>
              <w:spacing w:before="94" w:line="220" w:lineRule="auto"/>
              <w:ind w:left="1360"/>
            </w:pPr>
            <w:r>
              <w:rPr>
                <w:b/>
                <w:bCs/>
                <w:spacing w:val="-5"/>
              </w:rPr>
              <w:t>实施主体</w:t>
            </w:r>
          </w:p>
        </w:tc>
      </w:tr>
      <w:tr w14:paraId="62B8A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1FFE3DCD">
            <w:pPr>
              <w:rPr>
                <w:rFonts w:ascii="Arial"/>
                <w:sz w:val="21"/>
              </w:rPr>
            </w:pPr>
          </w:p>
        </w:tc>
        <w:tc>
          <w:tcPr>
            <w:tcW w:w="1101" w:type="dxa"/>
            <w:vMerge w:val="continue"/>
            <w:tcBorders>
              <w:top w:val="nil"/>
            </w:tcBorders>
            <w:vAlign w:val="top"/>
          </w:tcPr>
          <w:p w14:paraId="31498C49">
            <w:pPr>
              <w:rPr>
                <w:rFonts w:ascii="Arial"/>
                <w:sz w:val="21"/>
              </w:rPr>
            </w:pPr>
          </w:p>
        </w:tc>
        <w:tc>
          <w:tcPr>
            <w:tcW w:w="1101" w:type="dxa"/>
            <w:vMerge w:val="continue"/>
            <w:tcBorders>
              <w:top w:val="nil"/>
            </w:tcBorders>
            <w:vAlign w:val="top"/>
          </w:tcPr>
          <w:p w14:paraId="63636E38">
            <w:pPr>
              <w:rPr>
                <w:rFonts w:ascii="Arial"/>
                <w:sz w:val="21"/>
              </w:rPr>
            </w:pPr>
          </w:p>
        </w:tc>
        <w:tc>
          <w:tcPr>
            <w:tcW w:w="8524" w:type="dxa"/>
            <w:vMerge w:val="continue"/>
            <w:tcBorders>
              <w:top w:val="nil"/>
            </w:tcBorders>
            <w:vAlign w:val="top"/>
          </w:tcPr>
          <w:p w14:paraId="12C19BD6">
            <w:pPr>
              <w:rPr>
                <w:rFonts w:ascii="Arial"/>
                <w:sz w:val="21"/>
              </w:rPr>
            </w:pPr>
          </w:p>
        </w:tc>
        <w:tc>
          <w:tcPr>
            <w:tcW w:w="1011" w:type="dxa"/>
            <w:vAlign w:val="top"/>
          </w:tcPr>
          <w:p w14:paraId="69D5C6C6">
            <w:pPr>
              <w:pStyle w:val="8"/>
              <w:spacing w:before="85" w:line="219" w:lineRule="auto"/>
              <w:ind w:left="154"/>
            </w:pPr>
            <w:r>
              <w:rPr>
                <w:b/>
                <w:bCs/>
                <w:spacing w:val="-5"/>
              </w:rPr>
              <w:t>责任部门</w:t>
            </w:r>
          </w:p>
        </w:tc>
        <w:tc>
          <w:tcPr>
            <w:tcW w:w="1404" w:type="dxa"/>
            <w:vAlign w:val="top"/>
          </w:tcPr>
          <w:p w14:paraId="5FC65F31">
            <w:pPr>
              <w:pStyle w:val="8"/>
              <w:spacing w:before="85" w:line="219" w:lineRule="auto"/>
              <w:ind w:left="164"/>
            </w:pPr>
            <w:r>
              <w:rPr>
                <w:b/>
                <w:bCs/>
                <w:spacing w:val="-3"/>
              </w:rPr>
              <w:t>第一责任层级</w:t>
            </w:r>
          </w:p>
        </w:tc>
        <w:tc>
          <w:tcPr>
            <w:tcW w:w="1020" w:type="dxa"/>
            <w:vAlign w:val="top"/>
          </w:tcPr>
          <w:p w14:paraId="451FC159">
            <w:pPr>
              <w:pStyle w:val="8"/>
              <w:spacing w:before="84" w:line="219" w:lineRule="auto"/>
              <w:ind w:left="114"/>
            </w:pPr>
            <w:r>
              <w:rPr>
                <w:b/>
                <w:bCs/>
                <w:spacing w:val="-4"/>
              </w:rPr>
              <w:t>承办机构</w:t>
            </w:r>
          </w:p>
        </w:tc>
      </w:tr>
      <w:tr w14:paraId="4C2C8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9" w:hRule="atLeast"/>
        </w:trPr>
        <w:tc>
          <w:tcPr>
            <w:tcW w:w="629" w:type="dxa"/>
            <w:vAlign w:val="top"/>
          </w:tcPr>
          <w:p w14:paraId="0AABE83B">
            <w:pPr>
              <w:rPr>
                <w:rFonts w:ascii="Arial"/>
                <w:sz w:val="21"/>
              </w:rPr>
            </w:pPr>
          </w:p>
        </w:tc>
        <w:tc>
          <w:tcPr>
            <w:tcW w:w="1101" w:type="dxa"/>
            <w:vAlign w:val="top"/>
          </w:tcPr>
          <w:p w14:paraId="74EA2502">
            <w:pPr>
              <w:rPr>
                <w:rFonts w:ascii="Arial"/>
                <w:sz w:val="21"/>
              </w:rPr>
            </w:pPr>
          </w:p>
        </w:tc>
        <w:tc>
          <w:tcPr>
            <w:tcW w:w="1101" w:type="dxa"/>
            <w:vAlign w:val="top"/>
          </w:tcPr>
          <w:p w14:paraId="1F77992A">
            <w:pPr>
              <w:rPr>
                <w:rFonts w:ascii="Arial"/>
                <w:sz w:val="21"/>
              </w:rPr>
            </w:pPr>
          </w:p>
        </w:tc>
        <w:tc>
          <w:tcPr>
            <w:tcW w:w="8524" w:type="dxa"/>
            <w:vAlign w:val="top"/>
          </w:tcPr>
          <w:p w14:paraId="2522A1FD">
            <w:pPr>
              <w:pStyle w:val="8"/>
              <w:spacing w:before="35" w:line="219" w:lineRule="auto"/>
              <w:ind w:left="447"/>
            </w:pPr>
            <w:r>
              <w:rPr>
                <w:b/>
                <w:bCs/>
                <w:spacing w:val="-8"/>
              </w:rPr>
              <w:t>2.《道路旅客运输及客运站管理规定》(交通运输部令2023年第12号)</w:t>
            </w:r>
          </w:p>
          <w:p w14:paraId="091E085D">
            <w:pPr>
              <w:pStyle w:val="8"/>
              <w:spacing w:before="27" w:line="233" w:lineRule="auto"/>
              <w:ind w:left="102" w:right="157" w:firstLine="342"/>
            </w:pPr>
            <w:r>
              <w:rPr>
                <w:spacing w:val="-8"/>
              </w:rPr>
              <w:t>第三十七条</w:t>
            </w:r>
            <w:r>
              <w:rPr>
                <w:spacing w:val="74"/>
              </w:rPr>
              <w:t xml:space="preserve"> </w:t>
            </w:r>
            <w:r>
              <w:rPr>
                <w:spacing w:val="-8"/>
              </w:rPr>
              <w:t>客运班车应当按照许可的起讫地、日发班次下限和备案的途经路线运行，在起讫地客运站点</w:t>
            </w:r>
            <w:r>
              <w:t xml:space="preserve"> </w:t>
            </w:r>
            <w:r>
              <w:rPr>
                <w:spacing w:val="-8"/>
              </w:rPr>
              <w:t>和中途停靠地客运站点（以下统称配客站点）上下旅客。</w:t>
            </w:r>
          </w:p>
          <w:p w14:paraId="395D7587">
            <w:pPr>
              <w:pStyle w:val="8"/>
              <w:spacing w:before="24" w:line="233" w:lineRule="auto"/>
              <w:ind w:left="103" w:right="150" w:firstLine="343"/>
            </w:pPr>
            <w:r>
              <w:rPr>
                <w:spacing w:val="-8"/>
              </w:rPr>
              <w:t>客运班车不得在规定的配客站点外上客或者沿途揽客，无正当理由不得改变途经路线。客运班车在遵</w:t>
            </w:r>
            <w:r>
              <w:rPr>
                <w:spacing w:val="-9"/>
              </w:rPr>
              <w:t>守道</w:t>
            </w:r>
            <w:r>
              <w:t xml:space="preserve"> </w:t>
            </w:r>
            <w:r>
              <w:rPr>
                <w:spacing w:val="-8"/>
              </w:rPr>
              <w:t>路交通安全、城市管理相关法规的前提下，</w:t>
            </w:r>
            <w:r>
              <w:rPr>
                <w:spacing w:val="-9"/>
              </w:rPr>
              <w:t>可以在起讫地、中途停靠地所在的城市市区、县城城区沿途下客。</w:t>
            </w:r>
          </w:p>
          <w:p w14:paraId="58B486E4">
            <w:pPr>
              <w:pStyle w:val="8"/>
              <w:spacing w:before="26" w:line="219" w:lineRule="auto"/>
              <w:ind w:left="446"/>
            </w:pPr>
            <w:r>
              <w:rPr>
                <w:spacing w:val="-8"/>
              </w:rPr>
              <w:t>重大活动期间，客运班车应当按照相关交通运输主管部门指定的配客站点上下旅客。</w:t>
            </w:r>
          </w:p>
          <w:p w14:paraId="384150A1">
            <w:pPr>
              <w:pStyle w:val="8"/>
              <w:spacing w:before="27" w:line="242" w:lineRule="auto"/>
              <w:ind w:left="101" w:right="18" w:firstLine="343"/>
            </w:pPr>
            <w:r>
              <w:rPr>
                <w:spacing w:val="-8"/>
              </w:rPr>
              <w:t>第九十九条</w:t>
            </w:r>
            <w:r>
              <w:rPr>
                <w:spacing w:val="90"/>
              </w:rPr>
              <w:t xml:space="preserve"> </w:t>
            </w:r>
            <w:r>
              <w:rPr>
                <w:spacing w:val="-8"/>
              </w:rPr>
              <w:t>违反本规定，客运经营者有下列情形之一的，由交通运输主管部门责令改正，处1000元以上</w:t>
            </w:r>
            <w:r>
              <w:t xml:space="preserve">  </w:t>
            </w:r>
            <w:r>
              <w:rPr>
                <w:spacing w:val="-8"/>
              </w:rPr>
              <w:t>2000元以下的罚款</w:t>
            </w:r>
            <w:r>
              <w:rPr>
                <w:spacing w:val="-21"/>
              </w:rPr>
              <w:t>：（</w:t>
            </w:r>
            <w:r>
              <w:rPr>
                <w:spacing w:val="-8"/>
              </w:rPr>
              <w:t>一）客运班车不按照批准的配客站点停靠或者不按照规定的线路、日发班次下限行驶的；</w:t>
            </w:r>
            <w:r>
              <w:rPr>
                <w:spacing w:val="1"/>
              </w:rPr>
              <w:t xml:space="preserve"> </w:t>
            </w:r>
            <w:r>
              <w:rPr>
                <w:spacing w:val="-7"/>
              </w:rPr>
              <w:t>（二）加班车、顶班车、接驳车无正当理由不按照规定</w:t>
            </w:r>
            <w:r>
              <w:rPr>
                <w:spacing w:val="-8"/>
              </w:rPr>
              <w:t>的线路、站点运行的</w:t>
            </w:r>
            <w:r>
              <w:rPr>
                <w:spacing w:val="-21"/>
              </w:rPr>
              <w:t>；（</w:t>
            </w:r>
            <w:r>
              <w:rPr>
                <w:spacing w:val="-8"/>
              </w:rPr>
              <w:t>三）擅自将旅客移交他人运输</w:t>
            </w:r>
            <w:r>
              <w:t xml:space="preserve">  </w:t>
            </w:r>
            <w:r>
              <w:rPr>
                <w:spacing w:val="-7"/>
              </w:rPr>
              <w:t>的</w:t>
            </w:r>
            <w:r>
              <w:rPr>
                <w:spacing w:val="-22"/>
              </w:rPr>
              <w:t>；（</w:t>
            </w:r>
            <w:r>
              <w:rPr>
                <w:spacing w:val="-7"/>
              </w:rPr>
              <w:t>四）在旅客运输途中擅自变更运输车辆的</w:t>
            </w:r>
            <w:r>
              <w:rPr>
                <w:spacing w:val="-22"/>
              </w:rPr>
              <w:t>；（</w:t>
            </w:r>
            <w:r>
              <w:rPr>
                <w:spacing w:val="-7"/>
              </w:rPr>
              <w:t>五）未报告原许可机关，擅自终止道路客运经营的</w:t>
            </w:r>
            <w:r>
              <w:rPr>
                <w:spacing w:val="-22"/>
              </w:rPr>
              <w:t>；（</w:t>
            </w:r>
            <w:r>
              <w:rPr>
                <w:spacing w:val="-7"/>
              </w:rPr>
              <w:t>六）</w:t>
            </w:r>
            <w:r>
              <w:t xml:space="preserve"> </w:t>
            </w:r>
            <w:r>
              <w:rPr>
                <w:spacing w:val="-8"/>
              </w:rPr>
              <w:t>客运包车未持有效的包车客运标志牌进行经营的，不按照包车客运标志牌载明的事项运行的，线路两端均不在</w:t>
            </w:r>
            <w:r>
              <w:t xml:space="preserve">  </w:t>
            </w:r>
            <w:r>
              <w:rPr>
                <w:spacing w:val="-7"/>
              </w:rPr>
              <w:t>车籍所在地的，招揽包车合同以外的旅客乘车的</w:t>
            </w:r>
            <w:r>
              <w:rPr>
                <w:spacing w:val="-20"/>
              </w:rPr>
              <w:t>；（</w:t>
            </w:r>
            <w:r>
              <w:rPr>
                <w:spacing w:val="-7"/>
              </w:rPr>
              <w:t>七）开展定制客运未按照规定备案的</w:t>
            </w:r>
            <w:r>
              <w:rPr>
                <w:spacing w:val="-20"/>
              </w:rPr>
              <w:t>；（</w:t>
            </w:r>
            <w:r>
              <w:rPr>
                <w:spacing w:val="-7"/>
              </w:rPr>
              <w:t>八）未按照规定</w:t>
            </w:r>
            <w:r>
              <w:rPr>
                <w:spacing w:val="1"/>
              </w:rPr>
              <w:t xml:space="preserve">  </w:t>
            </w:r>
            <w:r>
              <w:rPr>
                <w:spacing w:val="-8"/>
              </w:rPr>
              <w:t>在发车前对旅客进行安全事项告知的。</w:t>
            </w:r>
          </w:p>
          <w:p w14:paraId="415B9BAA">
            <w:pPr>
              <w:pStyle w:val="8"/>
              <w:spacing w:before="27" w:line="219" w:lineRule="auto"/>
              <w:ind w:left="445"/>
            </w:pPr>
            <w:r>
              <w:rPr>
                <w:spacing w:val="-8"/>
              </w:rPr>
              <w:t>违反前款第（一）至（五）项规定，情节严重的，由原许可机关吊销相应许可。</w:t>
            </w:r>
          </w:p>
          <w:p w14:paraId="420DA595">
            <w:pPr>
              <w:pStyle w:val="8"/>
              <w:spacing w:before="27" w:line="222" w:lineRule="auto"/>
              <w:ind w:left="116" w:right="148" w:firstLine="329"/>
            </w:pPr>
            <w:r>
              <w:rPr>
                <w:spacing w:val="-7"/>
              </w:rPr>
              <w:t>客运经营者强行招揽旅客的，由交通运输主管部门责令改正，处1000</w:t>
            </w:r>
            <w:r>
              <w:rPr>
                <w:spacing w:val="-8"/>
              </w:rPr>
              <w:t>元以上3000元以下的罚款；情节严重</w:t>
            </w:r>
            <w:r>
              <w:t xml:space="preserve"> </w:t>
            </w:r>
            <w:r>
              <w:rPr>
                <w:spacing w:val="-9"/>
              </w:rPr>
              <w:t>的，由原许可机关吊销相应许可。</w:t>
            </w:r>
          </w:p>
        </w:tc>
        <w:tc>
          <w:tcPr>
            <w:tcW w:w="1011" w:type="dxa"/>
            <w:vAlign w:val="top"/>
          </w:tcPr>
          <w:p w14:paraId="6691A5F0">
            <w:pPr>
              <w:rPr>
                <w:rFonts w:ascii="Arial"/>
                <w:sz w:val="21"/>
              </w:rPr>
            </w:pPr>
          </w:p>
        </w:tc>
        <w:tc>
          <w:tcPr>
            <w:tcW w:w="1404" w:type="dxa"/>
            <w:vAlign w:val="top"/>
          </w:tcPr>
          <w:p w14:paraId="089CCCC7">
            <w:pPr>
              <w:rPr>
                <w:rFonts w:ascii="Arial"/>
                <w:sz w:val="21"/>
              </w:rPr>
            </w:pPr>
          </w:p>
        </w:tc>
        <w:tc>
          <w:tcPr>
            <w:tcW w:w="1020" w:type="dxa"/>
            <w:vAlign w:val="top"/>
          </w:tcPr>
          <w:p w14:paraId="7D10FC69">
            <w:pPr>
              <w:rPr>
                <w:rFonts w:ascii="Arial"/>
                <w:sz w:val="21"/>
              </w:rPr>
            </w:pPr>
          </w:p>
        </w:tc>
      </w:tr>
      <w:tr w14:paraId="72544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9" w:hRule="atLeast"/>
        </w:trPr>
        <w:tc>
          <w:tcPr>
            <w:tcW w:w="629" w:type="dxa"/>
            <w:vAlign w:val="top"/>
          </w:tcPr>
          <w:p w14:paraId="7AEE20DD">
            <w:pPr>
              <w:spacing w:line="245" w:lineRule="auto"/>
              <w:rPr>
                <w:rFonts w:ascii="Arial"/>
                <w:sz w:val="21"/>
              </w:rPr>
            </w:pPr>
          </w:p>
          <w:p w14:paraId="2A821E8F">
            <w:pPr>
              <w:spacing w:line="245" w:lineRule="auto"/>
              <w:rPr>
                <w:rFonts w:ascii="Arial"/>
                <w:sz w:val="21"/>
              </w:rPr>
            </w:pPr>
          </w:p>
          <w:p w14:paraId="663D5B9C">
            <w:pPr>
              <w:spacing w:line="246" w:lineRule="auto"/>
              <w:rPr>
                <w:rFonts w:ascii="Arial"/>
                <w:sz w:val="21"/>
              </w:rPr>
            </w:pPr>
          </w:p>
          <w:p w14:paraId="1A429CB6">
            <w:pPr>
              <w:spacing w:line="246" w:lineRule="auto"/>
              <w:rPr>
                <w:rFonts w:ascii="Arial"/>
                <w:sz w:val="21"/>
              </w:rPr>
            </w:pPr>
          </w:p>
          <w:p w14:paraId="71DCC337">
            <w:pPr>
              <w:spacing w:line="246" w:lineRule="auto"/>
              <w:rPr>
                <w:rFonts w:ascii="Arial"/>
                <w:sz w:val="21"/>
              </w:rPr>
            </w:pPr>
          </w:p>
          <w:p w14:paraId="16117FD0">
            <w:pPr>
              <w:spacing w:line="246" w:lineRule="auto"/>
              <w:rPr>
                <w:rFonts w:ascii="Arial"/>
                <w:sz w:val="21"/>
              </w:rPr>
            </w:pPr>
          </w:p>
          <w:p w14:paraId="4F80FBA1">
            <w:pPr>
              <w:spacing w:line="246" w:lineRule="auto"/>
              <w:rPr>
                <w:rFonts w:ascii="Arial"/>
                <w:sz w:val="21"/>
              </w:rPr>
            </w:pPr>
          </w:p>
          <w:p w14:paraId="28A6E6FE">
            <w:pPr>
              <w:pStyle w:val="8"/>
              <w:spacing w:before="58" w:line="184" w:lineRule="auto"/>
              <w:ind w:left="223"/>
              <w:rPr>
                <w:rFonts w:hint="eastAsia" w:eastAsia="宋体"/>
                <w:lang w:eastAsia="zh-CN"/>
              </w:rPr>
            </w:pPr>
            <w:r>
              <w:rPr>
                <w:spacing w:val="-4"/>
              </w:rPr>
              <w:t>2</w:t>
            </w:r>
            <w:r>
              <w:rPr>
                <w:rFonts w:hint="eastAsia"/>
                <w:spacing w:val="-4"/>
                <w:lang w:val="en-US" w:eastAsia="zh-CN"/>
              </w:rPr>
              <w:t>0</w:t>
            </w:r>
          </w:p>
        </w:tc>
        <w:tc>
          <w:tcPr>
            <w:tcW w:w="1101" w:type="dxa"/>
            <w:vAlign w:val="top"/>
          </w:tcPr>
          <w:p w14:paraId="479A80CD">
            <w:pPr>
              <w:spacing w:line="242" w:lineRule="auto"/>
              <w:rPr>
                <w:rFonts w:ascii="Arial"/>
                <w:sz w:val="21"/>
              </w:rPr>
            </w:pPr>
          </w:p>
          <w:p w14:paraId="17110104">
            <w:pPr>
              <w:spacing w:line="242" w:lineRule="auto"/>
              <w:rPr>
                <w:rFonts w:ascii="Arial"/>
                <w:sz w:val="21"/>
              </w:rPr>
            </w:pPr>
          </w:p>
          <w:p w14:paraId="1AE59D07">
            <w:pPr>
              <w:spacing w:line="242" w:lineRule="auto"/>
              <w:rPr>
                <w:rFonts w:ascii="Arial"/>
                <w:sz w:val="21"/>
              </w:rPr>
            </w:pPr>
          </w:p>
          <w:p w14:paraId="2D87DC4E">
            <w:pPr>
              <w:spacing w:line="242" w:lineRule="auto"/>
              <w:rPr>
                <w:rFonts w:ascii="Arial"/>
                <w:sz w:val="21"/>
              </w:rPr>
            </w:pPr>
          </w:p>
          <w:p w14:paraId="58EEEC08">
            <w:pPr>
              <w:spacing w:line="242" w:lineRule="auto"/>
              <w:rPr>
                <w:rFonts w:ascii="Arial"/>
                <w:sz w:val="21"/>
              </w:rPr>
            </w:pPr>
          </w:p>
          <w:p w14:paraId="74C3ED2C">
            <w:pPr>
              <w:spacing w:line="243" w:lineRule="auto"/>
              <w:rPr>
                <w:rFonts w:ascii="Arial"/>
                <w:sz w:val="21"/>
              </w:rPr>
            </w:pPr>
          </w:p>
          <w:p w14:paraId="62EDF0F2">
            <w:pPr>
              <w:pStyle w:val="8"/>
              <w:spacing w:before="58"/>
              <w:ind w:left="18" w:right="20"/>
              <w:jc w:val="both"/>
            </w:pPr>
            <w:r>
              <w:rPr>
                <w:spacing w:val="-6"/>
              </w:rPr>
              <w:t>对道路货物运</w:t>
            </w:r>
            <w:r>
              <w:rPr>
                <w:spacing w:val="2"/>
              </w:rPr>
              <w:t xml:space="preserve"> </w:t>
            </w:r>
            <w:r>
              <w:rPr>
                <w:spacing w:val="-6"/>
              </w:rPr>
              <w:t>输经营者强行</w:t>
            </w:r>
            <w:r>
              <w:rPr>
                <w:spacing w:val="2"/>
              </w:rPr>
              <w:t xml:space="preserve"> </w:t>
            </w:r>
            <w:r>
              <w:rPr>
                <w:spacing w:val="-6"/>
              </w:rPr>
              <w:t>招揽货物等行</w:t>
            </w:r>
            <w:r>
              <w:rPr>
                <w:spacing w:val="2"/>
              </w:rPr>
              <w:t xml:space="preserve"> </w:t>
            </w:r>
            <w:r>
              <w:rPr>
                <w:spacing w:val="-7"/>
              </w:rPr>
              <w:t>为的行政处罚</w:t>
            </w:r>
          </w:p>
        </w:tc>
        <w:tc>
          <w:tcPr>
            <w:tcW w:w="1101" w:type="dxa"/>
            <w:vAlign w:val="top"/>
          </w:tcPr>
          <w:p w14:paraId="140DD3CA">
            <w:pPr>
              <w:spacing w:line="241" w:lineRule="auto"/>
              <w:rPr>
                <w:rFonts w:ascii="Arial"/>
                <w:sz w:val="21"/>
              </w:rPr>
            </w:pPr>
          </w:p>
          <w:p w14:paraId="757F6FA6">
            <w:pPr>
              <w:spacing w:line="241" w:lineRule="auto"/>
              <w:rPr>
                <w:rFonts w:ascii="Arial"/>
                <w:sz w:val="21"/>
              </w:rPr>
            </w:pPr>
          </w:p>
          <w:p w14:paraId="26677E99">
            <w:pPr>
              <w:spacing w:line="242" w:lineRule="auto"/>
              <w:rPr>
                <w:rFonts w:ascii="Arial"/>
                <w:sz w:val="21"/>
              </w:rPr>
            </w:pPr>
          </w:p>
          <w:p w14:paraId="2FDC3FCA">
            <w:pPr>
              <w:spacing w:line="242" w:lineRule="auto"/>
              <w:rPr>
                <w:rFonts w:ascii="Arial"/>
                <w:sz w:val="21"/>
              </w:rPr>
            </w:pPr>
          </w:p>
          <w:p w14:paraId="0224D7FC">
            <w:pPr>
              <w:spacing w:line="242" w:lineRule="auto"/>
              <w:rPr>
                <w:rFonts w:ascii="Arial"/>
                <w:sz w:val="21"/>
              </w:rPr>
            </w:pPr>
          </w:p>
          <w:p w14:paraId="5A1D5893">
            <w:pPr>
              <w:spacing w:line="242" w:lineRule="auto"/>
              <w:rPr>
                <w:rFonts w:ascii="Arial"/>
                <w:sz w:val="21"/>
              </w:rPr>
            </w:pPr>
          </w:p>
          <w:p w14:paraId="6A89E4D5">
            <w:pPr>
              <w:spacing w:line="242" w:lineRule="auto"/>
              <w:rPr>
                <w:rFonts w:ascii="Arial"/>
                <w:sz w:val="21"/>
              </w:rPr>
            </w:pPr>
          </w:p>
          <w:p w14:paraId="3D8391B3">
            <w:pPr>
              <w:pStyle w:val="8"/>
              <w:spacing w:before="59" w:line="220" w:lineRule="auto"/>
              <w:ind w:left="25"/>
            </w:pPr>
            <w:r>
              <w:rPr>
                <w:spacing w:val="-7"/>
              </w:rPr>
              <w:t>行政处罚</w:t>
            </w:r>
          </w:p>
        </w:tc>
        <w:tc>
          <w:tcPr>
            <w:tcW w:w="8524" w:type="dxa"/>
            <w:vAlign w:val="top"/>
          </w:tcPr>
          <w:p w14:paraId="053E865F">
            <w:pPr>
              <w:pStyle w:val="8"/>
              <w:spacing w:before="34" w:line="219" w:lineRule="auto"/>
              <w:ind w:left="458"/>
            </w:pPr>
            <w:r>
              <w:rPr>
                <w:b/>
                <w:bCs/>
                <w:spacing w:val="-10"/>
              </w:rPr>
              <w:t>1.《中华人民共和国道路运输条例》</w:t>
            </w:r>
          </w:p>
          <w:p w14:paraId="003B1D17">
            <w:pPr>
              <w:pStyle w:val="8"/>
              <w:spacing w:before="16" w:line="226" w:lineRule="auto"/>
              <w:ind w:left="105" w:right="157" w:firstLine="340"/>
            </w:pPr>
            <w:r>
              <w:rPr>
                <w:spacing w:val="-8"/>
              </w:rPr>
              <w:t>第二十六条  国家鼓励货运经营者实行封闭式运输，保证环境卫生和货物运输安全。货运经营者应当采取</w:t>
            </w:r>
            <w:r>
              <w:t xml:space="preserve"> </w:t>
            </w:r>
            <w:r>
              <w:rPr>
                <w:spacing w:val="-8"/>
              </w:rPr>
              <w:t>必要措施，防止货物脱落、扬撒等。</w:t>
            </w:r>
          </w:p>
          <w:p w14:paraId="7A27C699">
            <w:pPr>
              <w:pStyle w:val="8"/>
              <w:spacing w:before="17" w:line="218" w:lineRule="auto"/>
              <w:ind w:left="445"/>
            </w:pPr>
            <w:r>
              <w:rPr>
                <w:spacing w:val="-8"/>
              </w:rPr>
              <w:t>运输危险货物应当采取必要措施，防止危险货物燃烧、爆炸、辐射、泄漏等。</w:t>
            </w:r>
          </w:p>
          <w:p w14:paraId="29FDE324">
            <w:pPr>
              <w:pStyle w:val="8"/>
              <w:spacing w:before="19" w:line="230" w:lineRule="auto"/>
              <w:ind w:left="102" w:right="148" w:firstLine="343"/>
            </w:pPr>
            <w:r>
              <w:rPr>
                <w:spacing w:val="-8"/>
              </w:rPr>
              <w:t>第六十八条第二款</w:t>
            </w:r>
            <w:r>
              <w:rPr>
                <w:spacing w:val="74"/>
              </w:rPr>
              <w:t xml:space="preserve"> </w:t>
            </w:r>
            <w:r>
              <w:rPr>
                <w:spacing w:val="-8"/>
              </w:rPr>
              <w:t>客运经营者强行招揽旅客，货运经营者强行招揽货物或者没有采取必要措施防止货物</w:t>
            </w:r>
            <w:r>
              <w:t xml:space="preserve"> </w:t>
            </w:r>
            <w:r>
              <w:rPr>
                <w:spacing w:val="-7"/>
              </w:rPr>
              <w:t>脱落、扬撒等的，由县级以上地方人民政府交通运输主管部门责令改正，处</w:t>
            </w:r>
            <w:r>
              <w:rPr>
                <w:spacing w:val="-8"/>
              </w:rPr>
              <w:t>1000元以上3000元以下的罚款；情</w:t>
            </w:r>
            <w:r>
              <w:t xml:space="preserve"> </w:t>
            </w:r>
            <w:r>
              <w:rPr>
                <w:spacing w:val="-8"/>
              </w:rPr>
              <w:t>节严重的，由原许可机关吊销道路运输经营许可证。</w:t>
            </w:r>
          </w:p>
          <w:p w14:paraId="0BD0431E">
            <w:pPr>
              <w:pStyle w:val="8"/>
              <w:spacing w:before="16" w:line="219" w:lineRule="auto"/>
              <w:ind w:left="447"/>
            </w:pPr>
            <w:r>
              <w:rPr>
                <w:b/>
                <w:bCs/>
                <w:spacing w:val="-8"/>
              </w:rPr>
              <w:t>2.《道路货物运输及站场管理规定》(交通运输部令2023年第12号)</w:t>
            </w:r>
          </w:p>
          <w:p w14:paraId="37533399">
            <w:pPr>
              <w:pStyle w:val="8"/>
              <w:spacing w:before="14" w:line="228" w:lineRule="auto"/>
              <w:ind w:left="105" w:right="157" w:firstLine="339"/>
            </w:pPr>
            <w:r>
              <w:rPr>
                <w:spacing w:val="-8"/>
              </w:rPr>
              <w:t>第三十条</w:t>
            </w:r>
            <w:r>
              <w:rPr>
                <w:spacing w:val="74"/>
              </w:rPr>
              <w:t xml:space="preserve"> </w:t>
            </w:r>
            <w:r>
              <w:rPr>
                <w:spacing w:val="-8"/>
              </w:rPr>
              <w:t>道路货物运输经营者不得采取不正当手段招揽货物、垄断货源。不得阻碍其他货运经营者开展</w:t>
            </w:r>
            <w:r>
              <w:t xml:space="preserve"> </w:t>
            </w:r>
            <w:r>
              <w:rPr>
                <w:spacing w:val="-8"/>
              </w:rPr>
              <w:t>正常的运输经营活动。</w:t>
            </w:r>
          </w:p>
          <w:p w14:paraId="0FBA2513">
            <w:pPr>
              <w:pStyle w:val="8"/>
              <w:spacing w:before="16" w:line="219" w:lineRule="auto"/>
              <w:ind w:left="444"/>
            </w:pPr>
            <w:r>
              <w:rPr>
                <w:spacing w:val="-8"/>
              </w:rPr>
              <w:t>道路货物运输经营者应当采取有效措施，防止货物变质、腐烂、短少或者损失。</w:t>
            </w:r>
          </w:p>
          <w:p w14:paraId="0C310C46">
            <w:pPr>
              <w:pStyle w:val="8"/>
              <w:spacing w:before="17" w:line="228" w:lineRule="auto"/>
              <w:ind w:left="103" w:right="157" w:firstLine="341"/>
            </w:pPr>
            <w:r>
              <w:rPr>
                <w:spacing w:val="-8"/>
              </w:rPr>
              <w:t>第三十二条  国家鼓励实行封闭式运输。道路货物运输经营者应当采取有效的措施，防止货物脱落、扬撒</w:t>
            </w:r>
            <w:r>
              <w:t xml:space="preserve"> </w:t>
            </w:r>
            <w:r>
              <w:rPr>
                <w:spacing w:val="-7"/>
              </w:rPr>
              <w:t>等情况发生。</w:t>
            </w:r>
          </w:p>
          <w:p w14:paraId="667B6727">
            <w:pPr>
              <w:pStyle w:val="8"/>
              <w:spacing w:before="17" w:line="226" w:lineRule="auto"/>
              <w:ind w:left="103" w:right="89" w:firstLine="341"/>
            </w:pPr>
            <w:r>
              <w:rPr>
                <w:spacing w:val="-10"/>
              </w:rPr>
              <w:t>第六十四条</w:t>
            </w:r>
            <w:r>
              <w:rPr>
                <w:spacing w:val="83"/>
              </w:rPr>
              <w:t xml:space="preserve"> </w:t>
            </w:r>
            <w:r>
              <w:rPr>
                <w:spacing w:val="-10"/>
              </w:rPr>
              <w:t>违反本规定，道路货物运输经营者有下列情形之一的，由交通运输主管部门责令改正，处1000</w:t>
            </w:r>
            <w:r>
              <w:t xml:space="preserve"> </w:t>
            </w:r>
            <w:r>
              <w:rPr>
                <w:spacing w:val="-7"/>
              </w:rPr>
              <w:t>元以上3000元以下的罚款；情节严重的，</w:t>
            </w:r>
            <w:r>
              <w:rPr>
                <w:spacing w:val="-8"/>
              </w:rPr>
              <w:t>由原许可机关吊销道路运输经营许可证或者吊销其相应的经营范围：</w:t>
            </w:r>
          </w:p>
          <w:p w14:paraId="16C13731">
            <w:pPr>
              <w:pStyle w:val="8"/>
              <w:spacing w:before="18" w:line="191" w:lineRule="auto"/>
              <w:ind w:left="112"/>
            </w:pPr>
            <w:r>
              <w:rPr>
                <w:spacing w:val="-7"/>
              </w:rPr>
              <w:t>（一）强行招揽货物的</w:t>
            </w:r>
            <w:r>
              <w:rPr>
                <w:spacing w:val="-22"/>
              </w:rPr>
              <w:t>；（</w:t>
            </w:r>
            <w:r>
              <w:rPr>
                <w:spacing w:val="-7"/>
              </w:rPr>
              <w:t>二）没有采取必要措施防止货物脱</w:t>
            </w:r>
            <w:r>
              <w:rPr>
                <w:spacing w:val="-8"/>
              </w:rPr>
              <w:t>落、扬撒的。</w:t>
            </w:r>
          </w:p>
        </w:tc>
        <w:tc>
          <w:tcPr>
            <w:tcW w:w="1011" w:type="dxa"/>
            <w:vAlign w:val="top"/>
          </w:tcPr>
          <w:p w14:paraId="1D520126">
            <w:pPr>
              <w:spacing w:line="262" w:lineRule="auto"/>
              <w:rPr>
                <w:rFonts w:ascii="Arial"/>
                <w:sz w:val="21"/>
              </w:rPr>
            </w:pPr>
          </w:p>
          <w:p w14:paraId="1F077A1E">
            <w:pPr>
              <w:spacing w:line="262" w:lineRule="auto"/>
              <w:rPr>
                <w:rFonts w:ascii="Arial"/>
                <w:sz w:val="21"/>
              </w:rPr>
            </w:pPr>
          </w:p>
          <w:p w14:paraId="43B4FDE4">
            <w:pPr>
              <w:spacing w:line="262" w:lineRule="auto"/>
              <w:rPr>
                <w:rFonts w:ascii="Arial"/>
                <w:sz w:val="21"/>
              </w:rPr>
            </w:pPr>
          </w:p>
          <w:p w14:paraId="0BF7F26E">
            <w:pPr>
              <w:spacing w:line="262" w:lineRule="auto"/>
              <w:rPr>
                <w:rFonts w:ascii="Arial"/>
                <w:sz w:val="21"/>
              </w:rPr>
            </w:pPr>
          </w:p>
          <w:p w14:paraId="5F724616">
            <w:pPr>
              <w:spacing w:line="262" w:lineRule="auto"/>
              <w:rPr>
                <w:rFonts w:ascii="Arial"/>
                <w:sz w:val="21"/>
              </w:rPr>
            </w:pPr>
          </w:p>
          <w:p w14:paraId="3061DB3B">
            <w:pPr>
              <w:spacing w:line="263" w:lineRule="auto"/>
              <w:rPr>
                <w:rFonts w:ascii="Arial"/>
                <w:sz w:val="21"/>
              </w:rPr>
            </w:pPr>
          </w:p>
          <w:p w14:paraId="1CEDF8E1">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65DC5C2B">
            <w:pPr>
              <w:spacing w:line="262" w:lineRule="auto"/>
              <w:rPr>
                <w:rFonts w:ascii="Arial"/>
                <w:sz w:val="21"/>
              </w:rPr>
            </w:pPr>
          </w:p>
          <w:p w14:paraId="7AD43EC2">
            <w:pPr>
              <w:spacing w:line="262" w:lineRule="auto"/>
              <w:rPr>
                <w:rFonts w:ascii="Arial"/>
                <w:sz w:val="21"/>
              </w:rPr>
            </w:pPr>
          </w:p>
          <w:p w14:paraId="1903DBA6">
            <w:pPr>
              <w:spacing w:line="262" w:lineRule="auto"/>
              <w:rPr>
                <w:rFonts w:ascii="Arial"/>
                <w:sz w:val="21"/>
              </w:rPr>
            </w:pPr>
          </w:p>
          <w:p w14:paraId="13580C7C">
            <w:pPr>
              <w:spacing w:line="262" w:lineRule="auto"/>
              <w:rPr>
                <w:rFonts w:ascii="Arial"/>
                <w:sz w:val="21"/>
              </w:rPr>
            </w:pPr>
          </w:p>
          <w:p w14:paraId="12CD9BBE">
            <w:pPr>
              <w:spacing w:line="262" w:lineRule="auto"/>
              <w:rPr>
                <w:rFonts w:ascii="Arial"/>
                <w:sz w:val="21"/>
              </w:rPr>
            </w:pPr>
          </w:p>
          <w:p w14:paraId="77A67D22">
            <w:pPr>
              <w:spacing w:line="263" w:lineRule="auto"/>
              <w:rPr>
                <w:rFonts w:ascii="Arial"/>
                <w:sz w:val="21"/>
              </w:rPr>
            </w:pPr>
          </w:p>
          <w:p w14:paraId="7254E4AB">
            <w:pPr>
              <w:pStyle w:val="8"/>
              <w:spacing w:before="58" w:line="234" w:lineRule="auto"/>
              <w:ind w:left="623" w:right="165" w:hanging="429"/>
              <w:rPr>
                <w:rFonts w:hint="eastAsia" w:eastAsia="宋体"/>
                <w:lang w:eastAsia="zh-CN"/>
              </w:rPr>
            </w:pPr>
            <w:r>
              <w:rPr>
                <w:rFonts w:hint="eastAsia"/>
                <w:spacing w:val="-9"/>
                <w:lang w:eastAsia="zh-CN"/>
              </w:rPr>
              <w:t>津市市交通运输局</w:t>
            </w:r>
          </w:p>
        </w:tc>
        <w:tc>
          <w:tcPr>
            <w:tcW w:w="1020" w:type="dxa"/>
            <w:vAlign w:val="top"/>
          </w:tcPr>
          <w:p w14:paraId="61F152F2">
            <w:pPr>
              <w:spacing w:line="267" w:lineRule="auto"/>
              <w:rPr>
                <w:rFonts w:ascii="Arial"/>
                <w:sz w:val="21"/>
              </w:rPr>
            </w:pPr>
          </w:p>
          <w:p w14:paraId="72CD4E94">
            <w:pPr>
              <w:spacing w:line="267" w:lineRule="auto"/>
              <w:rPr>
                <w:rFonts w:ascii="Arial"/>
                <w:sz w:val="21"/>
              </w:rPr>
            </w:pPr>
          </w:p>
          <w:p w14:paraId="35453EDE">
            <w:pPr>
              <w:spacing w:line="267" w:lineRule="auto"/>
              <w:rPr>
                <w:rFonts w:ascii="Arial"/>
                <w:sz w:val="21"/>
              </w:rPr>
            </w:pPr>
          </w:p>
          <w:p w14:paraId="5034B825">
            <w:pPr>
              <w:spacing w:line="267" w:lineRule="auto"/>
              <w:rPr>
                <w:rFonts w:ascii="Arial"/>
                <w:sz w:val="21"/>
              </w:rPr>
            </w:pPr>
          </w:p>
          <w:p w14:paraId="2EA39CBD">
            <w:pPr>
              <w:spacing w:line="268" w:lineRule="auto"/>
              <w:rPr>
                <w:rFonts w:ascii="Arial"/>
                <w:sz w:val="21"/>
              </w:rPr>
            </w:pPr>
          </w:p>
          <w:p w14:paraId="5D2DB105">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17E3B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1" w:hRule="atLeast"/>
        </w:trPr>
        <w:tc>
          <w:tcPr>
            <w:tcW w:w="629" w:type="dxa"/>
            <w:vAlign w:val="top"/>
          </w:tcPr>
          <w:p w14:paraId="546DF8C4">
            <w:pPr>
              <w:spacing w:line="247" w:lineRule="auto"/>
              <w:rPr>
                <w:rFonts w:ascii="Arial"/>
                <w:sz w:val="21"/>
              </w:rPr>
            </w:pPr>
          </w:p>
          <w:p w14:paraId="0126DE62">
            <w:pPr>
              <w:spacing w:line="247" w:lineRule="auto"/>
              <w:rPr>
                <w:rFonts w:ascii="Arial"/>
                <w:sz w:val="21"/>
              </w:rPr>
            </w:pPr>
          </w:p>
          <w:p w14:paraId="0FF1BCBC">
            <w:pPr>
              <w:pStyle w:val="8"/>
              <w:spacing w:before="59" w:line="183" w:lineRule="auto"/>
              <w:ind w:left="223"/>
              <w:rPr>
                <w:rFonts w:hint="eastAsia" w:eastAsia="宋体"/>
                <w:lang w:eastAsia="zh-CN"/>
              </w:rPr>
            </w:pPr>
            <w:r>
              <w:rPr>
                <w:spacing w:val="-4"/>
              </w:rPr>
              <w:t>2</w:t>
            </w:r>
            <w:r>
              <w:rPr>
                <w:rFonts w:hint="eastAsia"/>
                <w:spacing w:val="-4"/>
                <w:lang w:val="en-US" w:eastAsia="zh-CN"/>
              </w:rPr>
              <w:t>1</w:t>
            </w:r>
          </w:p>
        </w:tc>
        <w:tc>
          <w:tcPr>
            <w:tcW w:w="1101" w:type="dxa"/>
            <w:vAlign w:val="top"/>
          </w:tcPr>
          <w:p w14:paraId="174F6E2B">
            <w:pPr>
              <w:pStyle w:val="8"/>
              <w:spacing w:before="45" w:line="237" w:lineRule="auto"/>
              <w:ind w:left="19" w:right="20" w:hanging="1"/>
              <w:jc w:val="both"/>
            </w:pPr>
            <w:r>
              <w:rPr>
                <w:spacing w:val="-6"/>
              </w:rPr>
              <w:t>对道路运输经</w:t>
            </w:r>
            <w:r>
              <w:rPr>
                <w:spacing w:val="2"/>
              </w:rPr>
              <w:t xml:space="preserve"> </w:t>
            </w:r>
            <w:r>
              <w:rPr>
                <w:spacing w:val="-6"/>
              </w:rPr>
              <w:t>营者违反车辆</w:t>
            </w:r>
            <w:r>
              <w:t xml:space="preserve"> </w:t>
            </w:r>
            <w:r>
              <w:rPr>
                <w:spacing w:val="4"/>
              </w:rPr>
              <w:t>技术管</w:t>
            </w:r>
            <w:r>
              <w:rPr>
                <w:spacing w:val="34"/>
              </w:rPr>
              <w:t xml:space="preserve"> </w:t>
            </w:r>
            <w:r>
              <w:rPr>
                <w:spacing w:val="4"/>
              </w:rPr>
              <w:t>理规</w:t>
            </w:r>
            <w:r>
              <w:t xml:space="preserve"> </w:t>
            </w:r>
            <w:r>
              <w:rPr>
                <w:spacing w:val="-6"/>
              </w:rPr>
              <w:t>定行为的行政</w:t>
            </w:r>
            <w:r>
              <w:t xml:space="preserve"> </w:t>
            </w:r>
            <w:r>
              <w:rPr>
                <w:spacing w:val="-4"/>
              </w:rPr>
              <w:t>处罚</w:t>
            </w:r>
          </w:p>
        </w:tc>
        <w:tc>
          <w:tcPr>
            <w:tcW w:w="1101" w:type="dxa"/>
            <w:vAlign w:val="top"/>
          </w:tcPr>
          <w:p w14:paraId="2C4370C4">
            <w:pPr>
              <w:spacing w:line="466" w:lineRule="auto"/>
              <w:rPr>
                <w:rFonts w:ascii="Arial"/>
                <w:sz w:val="21"/>
              </w:rPr>
            </w:pPr>
          </w:p>
          <w:p w14:paraId="53FDA423">
            <w:pPr>
              <w:pStyle w:val="8"/>
              <w:spacing w:before="58" w:line="220" w:lineRule="auto"/>
              <w:ind w:left="25"/>
            </w:pPr>
            <w:r>
              <w:rPr>
                <w:spacing w:val="-7"/>
              </w:rPr>
              <w:t>行政处罚</w:t>
            </w:r>
          </w:p>
        </w:tc>
        <w:tc>
          <w:tcPr>
            <w:tcW w:w="8524" w:type="dxa"/>
            <w:vAlign w:val="top"/>
          </w:tcPr>
          <w:p w14:paraId="5FF6BD61">
            <w:pPr>
              <w:pStyle w:val="8"/>
              <w:spacing w:before="48" w:line="219" w:lineRule="auto"/>
              <w:ind w:left="458"/>
            </w:pPr>
            <w:r>
              <w:rPr>
                <w:b/>
                <w:bCs/>
                <w:spacing w:val="-10"/>
              </w:rPr>
              <w:t>1.《中华人民共和国道路运输条例》</w:t>
            </w:r>
          </w:p>
          <w:p w14:paraId="2805FC11">
            <w:pPr>
              <w:pStyle w:val="8"/>
              <w:spacing w:before="25" w:line="233" w:lineRule="auto"/>
              <w:ind w:left="105" w:right="205" w:firstLine="340"/>
            </w:pPr>
            <w:r>
              <w:rPr>
                <w:spacing w:val="-9"/>
              </w:rPr>
              <w:t>第三十条</w:t>
            </w:r>
            <w:r>
              <w:rPr>
                <w:spacing w:val="75"/>
              </w:rPr>
              <w:t xml:space="preserve"> </w:t>
            </w:r>
            <w:r>
              <w:rPr>
                <w:spacing w:val="-9"/>
              </w:rPr>
              <w:t>客运经营者、货运经营者应当加强对车辆的维护和检测，确保车辆符合国家规定的技术</w:t>
            </w:r>
            <w:r>
              <w:rPr>
                <w:spacing w:val="-10"/>
              </w:rPr>
              <w:t>标准；</w:t>
            </w:r>
            <w:r>
              <w:t xml:space="preserve"> </w:t>
            </w:r>
            <w:r>
              <w:rPr>
                <w:spacing w:val="-8"/>
              </w:rPr>
              <w:t>不得使用报废的、擅自改装的和其他不符合国家规定的车辆从事道路运输经营。</w:t>
            </w:r>
          </w:p>
          <w:p w14:paraId="4E44D044">
            <w:pPr>
              <w:pStyle w:val="8"/>
              <w:spacing w:before="26" w:line="222" w:lineRule="auto"/>
              <w:ind w:left="105" w:right="157" w:firstLine="340"/>
            </w:pPr>
            <w:r>
              <w:rPr>
                <w:spacing w:val="-8"/>
              </w:rPr>
              <w:t>第六十九条第一款</w:t>
            </w:r>
            <w:r>
              <w:rPr>
                <w:spacing w:val="74"/>
              </w:rPr>
              <w:t xml:space="preserve"> </w:t>
            </w:r>
            <w:r>
              <w:rPr>
                <w:spacing w:val="-8"/>
              </w:rPr>
              <w:t>违反本条例的规定，客运经营者、货运经营者不按规定维护和检测运输车辆的，由县</w:t>
            </w:r>
            <w:r>
              <w:t xml:space="preserve"> </w:t>
            </w:r>
            <w:r>
              <w:rPr>
                <w:spacing w:val="-7"/>
              </w:rPr>
              <w:t>级以上地方人民政府交通运输主管部门责令改正，处1000元以上5000元以</w:t>
            </w:r>
            <w:r>
              <w:rPr>
                <w:spacing w:val="-8"/>
              </w:rPr>
              <w:t>下的罚款。</w:t>
            </w:r>
          </w:p>
        </w:tc>
        <w:tc>
          <w:tcPr>
            <w:tcW w:w="1011" w:type="dxa"/>
            <w:vAlign w:val="top"/>
          </w:tcPr>
          <w:p w14:paraId="6347BA11">
            <w:pPr>
              <w:spacing w:line="346" w:lineRule="auto"/>
              <w:rPr>
                <w:rFonts w:ascii="Arial"/>
                <w:sz w:val="21"/>
              </w:rPr>
            </w:pPr>
          </w:p>
          <w:p w14:paraId="06DBD2CF">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2B35C4B4">
            <w:pPr>
              <w:spacing w:line="347" w:lineRule="auto"/>
              <w:rPr>
                <w:rFonts w:ascii="Arial"/>
                <w:sz w:val="21"/>
              </w:rPr>
            </w:pPr>
          </w:p>
          <w:p w14:paraId="4184CC08">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39C93038">
            <w:pPr>
              <w:pStyle w:val="8"/>
              <w:spacing w:before="16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65F99CBD">
      <w:pPr>
        <w:pStyle w:val="2"/>
      </w:pPr>
    </w:p>
    <w:p w14:paraId="649DE7AD">
      <w:pPr>
        <w:sectPr>
          <w:footerReference r:id="rId35" w:type="default"/>
          <w:pgSz w:w="16839" w:h="11906"/>
          <w:pgMar w:top="1012" w:right="1016" w:bottom="966" w:left="1016" w:header="0" w:footer="768" w:gutter="0"/>
          <w:cols w:space="720" w:num="1"/>
        </w:sectPr>
      </w:pPr>
    </w:p>
    <w:p w14:paraId="4F0AB5E1">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2A55B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1D6E0739">
            <w:pPr>
              <w:pStyle w:val="8"/>
              <w:spacing w:before="273" w:line="221" w:lineRule="auto"/>
              <w:ind w:left="129"/>
            </w:pPr>
            <w:r>
              <w:rPr>
                <w:b/>
                <w:bCs/>
                <w:spacing w:val="-4"/>
              </w:rPr>
              <w:t>序号</w:t>
            </w:r>
          </w:p>
        </w:tc>
        <w:tc>
          <w:tcPr>
            <w:tcW w:w="1101" w:type="dxa"/>
            <w:vMerge w:val="restart"/>
            <w:tcBorders>
              <w:bottom w:val="nil"/>
            </w:tcBorders>
            <w:vAlign w:val="top"/>
          </w:tcPr>
          <w:p w14:paraId="1C07D416">
            <w:pPr>
              <w:pStyle w:val="8"/>
              <w:spacing w:before="274" w:line="220" w:lineRule="auto"/>
              <w:ind w:left="182"/>
            </w:pPr>
            <w:r>
              <w:rPr>
                <w:b/>
                <w:bCs/>
                <w:spacing w:val="-4"/>
              </w:rPr>
              <w:t>事项名称</w:t>
            </w:r>
          </w:p>
        </w:tc>
        <w:tc>
          <w:tcPr>
            <w:tcW w:w="1101" w:type="dxa"/>
            <w:vMerge w:val="restart"/>
            <w:tcBorders>
              <w:bottom w:val="nil"/>
            </w:tcBorders>
            <w:vAlign w:val="top"/>
          </w:tcPr>
          <w:p w14:paraId="0F1D77C6">
            <w:pPr>
              <w:pStyle w:val="8"/>
              <w:spacing w:before="274" w:line="219" w:lineRule="auto"/>
              <w:ind w:left="183"/>
            </w:pPr>
            <w:r>
              <w:rPr>
                <w:b/>
                <w:bCs/>
                <w:spacing w:val="-4"/>
              </w:rPr>
              <w:t>职权类型</w:t>
            </w:r>
          </w:p>
        </w:tc>
        <w:tc>
          <w:tcPr>
            <w:tcW w:w="8524" w:type="dxa"/>
            <w:vMerge w:val="restart"/>
            <w:tcBorders>
              <w:bottom w:val="nil"/>
            </w:tcBorders>
            <w:vAlign w:val="top"/>
          </w:tcPr>
          <w:p w14:paraId="531BA5AF">
            <w:pPr>
              <w:pStyle w:val="8"/>
              <w:spacing w:before="273" w:line="219" w:lineRule="auto"/>
              <w:ind w:left="4083"/>
            </w:pPr>
            <w:r>
              <w:rPr>
                <w:b/>
                <w:bCs/>
                <w:spacing w:val="-5"/>
              </w:rPr>
              <w:t>实施依据</w:t>
            </w:r>
          </w:p>
        </w:tc>
        <w:tc>
          <w:tcPr>
            <w:tcW w:w="3435" w:type="dxa"/>
            <w:gridSpan w:val="3"/>
            <w:vAlign w:val="top"/>
          </w:tcPr>
          <w:p w14:paraId="1CD9EB47">
            <w:pPr>
              <w:pStyle w:val="8"/>
              <w:spacing w:before="94" w:line="220" w:lineRule="auto"/>
              <w:ind w:left="1360"/>
            </w:pPr>
            <w:r>
              <w:rPr>
                <w:b/>
                <w:bCs/>
                <w:spacing w:val="-5"/>
              </w:rPr>
              <w:t>实施主体</w:t>
            </w:r>
          </w:p>
        </w:tc>
      </w:tr>
      <w:tr w14:paraId="7A145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183BF6A">
            <w:pPr>
              <w:rPr>
                <w:rFonts w:ascii="Arial"/>
                <w:sz w:val="21"/>
              </w:rPr>
            </w:pPr>
          </w:p>
        </w:tc>
        <w:tc>
          <w:tcPr>
            <w:tcW w:w="1101" w:type="dxa"/>
            <w:vMerge w:val="continue"/>
            <w:tcBorders>
              <w:top w:val="nil"/>
            </w:tcBorders>
            <w:vAlign w:val="top"/>
          </w:tcPr>
          <w:p w14:paraId="6BB53E15">
            <w:pPr>
              <w:rPr>
                <w:rFonts w:ascii="Arial"/>
                <w:sz w:val="21"/>
              </w:rPr>
            </w:pPr>
          </w:p>
        </w:tc>
        <w:tc>
          <w:tcPr>
            <w:tcW w:w="1101" w:type="dxa"/>
            <w:vMerge w:val="continue"/>
            <w:tcBorders>
              <w:top w:val="nil"/>
            </w:tcBorders>
            <w:vAlign w:val="top"/>
          </w:tcPr>
          <w:p w14:paraId="7D6B0CDB">
            <w:pPr>
              <w:rPr>
                <w:rFonts w:ascii="Arial"/>
                <w:sz w:val="21"/>
              </w:rPr>
            </w:pPr>
          </w:p>
        </w:tc>
        <w:tc>
          <w:tcPr>
            <w:tcW w:w="8524" w:type="dxa"/>
            <w:vMerge w:val="continue"/>
            <w:tcBorders>
              <w:top w:val="nil"/>
            </w:tcBorders>
            <w:vAlign w:val="top"/>
          </w:tcPr>
          <w:p w14:paraId="31052CED">
            <w:pPr>
              <w:rPr>
                <w:rFonts w:ascii="Arial"/>
                <w:sz w:val="21"/>
              </w:rPr>
            </w:pPr>
          </w:p>
        </w:tc>
        <w:tc>
          <w:tcPr>
            <w:tcW w:w="1011" w:type="dxa"/>
            <w:vAlign w:val="top"/>
          </w:tcPr>
          <w:p w14:paraId="3A4178F2">
            <w:pPr>
              <w:pStyle w:val="8"/>
              <w:spacing w:before="85" w:line="219" w:lineRule="auto"/>
              <w:ind w:left="154"/>
            </w:pPr>
            <w:r>
              <w:rPr>
                <w:b/>
                <w:bCs/>
                <w:spacing w:val="-5"/>
              </w:rPr>
              <w:t>责任部门</w:t>
            </w:r>
          </w:p>
        </w:tc>
        <w:tc>
          <w:tcPr>
            <w:tcW w:w="1404" w:type="dxa"/>
            <w:vAlign w:val="top"/>
          </w:tcPr>
          <w:p w14:paraId="6635ABB1">
            <w:pPr>
              <w:pStyle w:val="8"/>
              <w:spacing w:before="85" w:line="219" w:lineRule="auto"/>
              <w:ind w:left="164"/>
            </w:pPr>
            <w:r>
              <w:rPr>
                <w:b/>
                <w:bCs/>
                <w:spacing w:val="-3"/>
              </w:rPr>
              <w:t>第一责任层级</w:t>
            </w:r>
          </w:p>
        </w:tc>
        <w:tc>
          <w:tcPr>
            <w:tcW w:w="1020" w:type="dxa"/>
            <w:vAlign w:val="top"/>
          </w:tcPr>
          <w:p w14:paraId="5E6E8E0A">
            <w:pPr>
              <w:pStyle w:val="8"/>
              <w:spacing w:before="84" w:line="219" w:lineRule="auto"/>
              <w:ind w:left="114"/>
            </w:pPr>
            <w:r>
              <w:rPr>
                <w:b/>
                <w:bCs/>
                <w:spacing w:val="-4"/>
              </w:rPr>
              <w:t>承办机构</w:t>
            </w:r>
          </w:p>
        </w:tc>
      </w:tr>
      <w:tr w14:paraId="44C43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2" w:hRule="atLeast"/>
        </w:trPr>
        <w:tc>
          <w:tcPr>
            <w:tcW w:w="629" w:type="dxa"/>
            <w:vAlign w:val="top"/>
          </w:tcPr>
          <w:p w14:paraId="286C786D">
            <w:pPr>
              <w:rPr>
                <w:rFonts w:ascii="Arial"/>
                <w:sz w:val="21"/>
              </w:rPr>
            </w:pPr>
          </w:p>
        </w:tc>
        <w:tc>
          <w:tcPr>
            <w:tcW w:w="1101" w:type="dxa"/>
            <w:vAlign w:val="top"/>
          </w:tcPr>
          <w:p w14:paraId="110C1A32">
            <w:pPr>
              <w:rPr>
                <w:rFonts w:ascii="Arial"/>
                <w:sz w:val="21"/>
              </w:rPr>
            </w:pPr>
          </w:p>
        </w:tc>
        <w:tc>
          <w:tcPr>
            <w:tcW w:w="1101" w:type="dxa"/>
            <w:vAlign w:val="top"/>
          </w:tcPr>
          <w:p w14:paraId="46ACFE10">
            <w:pPr>
              <w:rPr>
                <w:rFonts w:ascii="Arial"/>
                <w:sz w:val="21"/>
              </w:rPr>
            </w:pPr>
          </w:p>
        </w:tc>
        <w:tc>
          <w:tcPr>
            <w:tcW w:w="8524" w:type="dxa"/>
            <w:vAlign w:val="top"/>
          </w:tcPr>
          <w:p w14:paraId="6C25542E">
            <w:pPr>
              <w:pStyle w:val="8"/>
              <w:spacing w:before="35" w:line="219" w:lineRule="auto"/>
              <w:ind w:left="447"/>
            </w:pPr>
            <w:r>
              <w:rPr>
                <w:b/>
                <w:bCs/>
                <w:spacing w:val="-8"/>
              </w:rPr>
              <w:t>2.《道路运输车辆技术管理规定》交通运输部令2</w:t>
            </w:r>
            <w:r>
              <w:rPr>
                <w:b/>
                <w:bCs/>
                <w:spacing w:val="-9"/>
              </w:rPr>
              <w:t>023年第3号</w:t>
            </w:r>
          </w:p>
          <w:p w14:paraId="0BD63D7C">
            <w:pPr>
              <w:pStyle w:val="8"/>
              <w:spacing w:before="26" w:line="241" w:lineRule="auto"/>
              <w:ind w:left="101" w:right="48" w:firstLine="343"/>
              <w:jc w:val="both"/>
            </w:pPr>
            <w:r>
              <w:rPr>
                <w:spacing w:val="-8"/>
              </w:rPr>
              <w:t>第二十一条</w:t>
            </w:r>
            <w:r>
              <w:rPr>
                <w:spacing w:val="74"/>
              </w:rPr>
              <w:t xml:space="preserve"> </w:t>
            </w:r>
            <w:r>
              <w:rPr>
                <w:spacing w:val="-8"/>
              </w:rPr>
              <w:t>道路运输经营者应当自道路运输车辆首次取得道路运输证当月起，按照下列周期和频次进行</w:t>
            </w:r>
            <w:r>
              <w:t xml:space="preserve">  </w:t>
            </w:r>
            <w:r>
              <w:rPr>
                <w:spacing w:val="-7"/>
              </w:rPr>
              <w:t>检验检测和技术等级评定</w:t>
            </w:r>
            <w:r>
              <w:rPr>
                <w:spacing w:val="-22"/>
              </w:rPr>
              <w:t>：（</w:t>
            </w:r>
            <w:r>
              <w:rPr>
                <w:spacing w:val="-7"/>
              </w:rPr>
              <w:t>一）客车自首次经国家机动车登记主管部门注册登记不满60个月的，</w:t>
            </w:r>
            <w:r>
              <w:rPr>
                <w:spacing w:val="-8"/>
              </w:rPr>
              <w:t>每12个月进</w:t>
            </w:r>
            <w:r>
              <w:t xml:space="preserve">  </w:t>
            </w:r>
            <w:r>
              <w:rPr>
                <w:spacing w:val="-8"/>
              </w:rPr>
              <w:t>行1次检验检测和技术等级评定；超过60个月的，每6个月进行1次检验检测和技术等级评定。（二）其</w:t>
            </w:r>
            <w:r>
              <w:rPr>
                <w:spacing w:val="-9"/>
              </w:rPr>
              <w:t>他道路运</w:t>
            </w:r>
            <w:r>
              <w:t xml:space="preserve"> </w:t>
            </w:r>
            <w:r>
              <w:rPr>
                <w:spacing w:val="-9"/>
              </w:rPr>
              <w:t>输车辆自首次经国家机动车登记主管部门注册登记不满120个月的，每12个月进行1次检验检测和技术等级评定；</w:t>
            </w:r>
            <w:r>
              <w:rPr>
                <w:spacing w:val="5"/>
              </w:rPr>
              <w:t xml:space="preserve"> </w:t>
            </w:r>
            <w:r>
              <w:rPr>
                <w:spacing w:val="-7"/>
              </w:rPr>
              <w:t>超过120个月的，每6个月进行1次检验检测和技术等级评定。</w:t>
            </w:r>
          </w:p>
          <w:p w14:paraId="496DE0AC">
            <w:pPr>
              <w:pStyle w:val="8"/>
              <w:spacing w:before="25" w:line="224" w:lineRule="auto"/>
              <w:ind w:left="101" w:right="157" w:firstLine="343"/>
              <w:jc w:val="both"/>
            </w:pPr>
            <w:r>
              <w:rPr>
                <w:spacing w:val="-8"/>
              </w:rPr>
              <w:t>第三十一条</w:t>
            </w:r>
            <w:r>
              <w:rPr>
                <w:spacing w:val="74"/>
              </w:rPr>
              <w:t xml:space="preserve"> </w:t>
            </w:r>
            <w:r>
              <w:rPr>
                <w:spacing w:val="-8"/>
              </w:rPr>
              <w:t>违反本规定，道路运输经营者未按照规定的周期和频次进行车辆检验检测或者未按规定维护</w:t>
            </w:r>
            <w:r>
              <w:t xml:space="preserve"> </w:t>
            </w:r>
            <w:r>
              <w:rPr>
                <w:spacing w:val="-7"/>
              </w:rPr>
              <w:t>道路运输车辆的，交通运输主管部门应当责令改正，处1000元以上5000元以下罚款。</w:t>
            </w:r>
          </w:p>
        </w:tc>
        <w:tc>
          <w:tcPr>
            <w:tcW w:w="1011" w:type="dxa"/>
            <w:vAlign w:val="top"/>
          </w:tcPr>
          <w:p w14:paraId="2050A295">
            <w:pPr>
              <w:rPr>
                <w:rFonts w:ascii="Arial"/>
                <w:sz w:val="21"/>
              </w:rPr>
            </w:pPr>
          </w:p>
        </w:tc>
        <w:tc>
          <w:tcPr>
            <w:tcW w:w="1404" w:type="dxa"/>
            <w:vAlign w:val="top"/>
          </w:tcPr>
          <w:p w14:paraId="4995C9D0">
            <w:pPr>
              <w:rPr>
                <w:rFonts w:ascii="Arial"/>
                <w:sz w:val="21"/>
              </w:rPr>
            </w:pPr>
          </w:p>
        </w:tc>
        <w:tc>
          <w:tcPr>
            <w:tcW w:w="1020" w:type="dxa"/>
            <w:vAlign w:val="top"/>
          </w:tcPr>
          <w:p w14:paraId="65F5AC6C">
            <w:pPr>
              <w:rPr>
                <w:rFonts w:ascii="Arial"/>
                <w:sz w:val="21"/>
              </w:rPr>
            </w:pPr>
          </w:p>
        </w:tc>
      </w:tr>
      <w:tr w14:paraId="5EE64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42" w:hRule="atLeast"/>
        </w:trPr>
        <w:tc>
          <w:tcPr>
            <w:tcW w:w="629" w:type="dxa"/>
            <w:vAlign w:val="top"/>
          </w:tcPr>
          <w:p w14:paraId="599F01EA">
            <w:pPr>
              <w:rPr>
                <w:rFonts w:ascii="Arial"/>
                <w:sz w:val="21"/>
              </w:rPr>
            </w:pPr>
          </w:p>
          <w:p w14:paraId="0C52EC8B">
            <w:pPr>
              <w:rPr>
                <w:rFonts w:ascii="Arial"/>
                <w:sz w:val="21"/>
              </w:rPr>
            </w:pPr>
          </w:p>
          <w:p w14:paraId="10868E8C">
            <w:pPr>
              <w:rPr>
                <w:rFonts w:ascii="Arial"/>
                <w:sz w:val="21"/>
              </w:rPr>
            </w:pPr>
          </w:p>
          <w:p w14:paraId="7FFECFA5">
            <w:pPr>
              <w:rPr>
                <w:rFonts w:ascii="Arial"/>
                <w:sz w:val="21"/>
              </w:rPr>
            </w:pPr>
          </w:p>
          <w:p w14:paraId="4CAF27D1">
            <w:pPr>
              <w:rPr>
                <w:rFonts w:ascii="Arial"/>
                <w:sz w:val="21"/>
              </w:rPr>
            </w:pPr>
          </w:p>
          <w:p w14:paraId="4100EDB3">
            <w:pPr>
              <w:pStyle w:val="8"/>
              <w:spacing w:before="59" w:line="183" w:lineRule="auto"/>
              <w:ind w:left="223"/>
              <w:rPr>
                <w:rFonts w:hint="eastAsia" w:eastAsia="宋体"/>
                <w:lang w:eastAsia="zh-CN"/>
              </w:rPr>
            </w:pPr>
            <w:r>
              <w:rPr>
                <w:spacing w:val="-4"/>
              </w:rPr>
              <w:t>2</w:t>
            </w:r>
            <w:r>
              <w:rPr>
                <w:rFonts w:hint="eastAsia"/>
                <w:spacing w:val="-4"/>
                <w:lang w:val="en-US" w:eastAsia="zh-CN"/>
              </w:rPr>
              <w:t>2</w:t>
            </w:r>
          </w:p>
        </w:tc>
        <w:tc>
          <w:tcPr>
            <w:tcW w:w="1101" w:type="dxa"/>
            <w:vAlign w:val="top"/>
          </w:tcPr>
          <w:p w14:paraId="35EEC7F9">
            <w:pPr>
              <w:pStyle w:val="8"/>
              <w:spacing w:before="36" w:line="242" w:lineRule="auto"/>
              <w:ind w:left="18" w:right="20"/>
              <w:jc w:val="both"/>
            </w:pPr>
            <w:r>
              <w:rPr>
                <w:spacing w:val="29"/>
              </w:rPr>
              <w:t>对客运经营</w:t>
            </w:r>
            <w:r>
              <w:rPr>
                <w:spacing w:val="1"/>
              </w:rPr>
              <w:t xml:space="preserve"> </w:t>
            </w:r>
            <w:r>
              <w:rPr>
                <w:spacing w:val="-6"/>
              </w:rPr>
              <w:t>者、货运经营</w:t>
            </w:r>
            <w:r>
              <w:rPr>
                <w:spacing w:val="2"/>
              </w:rPr>
              <w:t xml:space="preserve"> </w:t>
            </w:r>
            <w:r>
              <w:rPr>
                <w:spacing w:val="-6"/>
              </w:rPr>
              <w:t>者（含道路危</w:t>
            </w:r>
            <w:r>
              <w:rPr>
                <w:spacing w:val="2"/>
              </w:rPr>
              <w:t xml:space="preserve"> </w:t>
            </w:r>
            <w:r>
              <w:rPr>
                <w:spacing w:val="-6"/>
              </w:rPr>
              <w:t>险货物运输企</w:t>
            </w:r>
            <w:r>
              <w:rPr>
                <w:spacing w:val="2"/>
              </w:rPr>
              <w:t xml:space="preserve"> </w:t>
            </w:r>
            <w:r>
              <w:rPr>
                <w:spacing w:val="-6"/>
              </w:rPr>
              <w:t>业、放射性物</w:t>
            </w:r>
            <w:r>
              <w:rPr>
                <w:spacing w:val="2"/>
              </w:rPr>
              <w:t xml:space="preserve"> </w:t>
            </w:r>
            <w:r>
              <w:rPr>
                <w:spacing w:val="-6"/>
              </w:rPr>
              <w:t>品道路运输企</w:t>
            </w:r>
            <w:r>
              <w:rPr>
                <w:spacing w:val="2"/>
              </w:rPr>
              <w:t xml:space="preserve"> </w:t>
            </w:r>
            <w:r>
              <w:rPr>
                <w:spacing w:val="-6"/>
              </w:rPr>
              <w:t>业或单位）擅</w:t>
            </w:r>
            <w:r>
              <w:rPr>
                <w:spacing w:val="2"/>
              </w:rPr>
              <w:t xml:space="preserve"> </w:t>
            </w:r>
            <w:r>
              <w:rPr>
                <w:spacing w:val="-6"/>
              </w:rPr>
              <w:t>自改装已取得</w:t>
            </w:r>
            <w:r>
              <w:rPr>
                <w:spacing w:val="2"/>
              </w:rPr>
              <w:t xml:space="preserve"> </w:t>
            </w:r>
            <w:r>
              <w:rPr>
                <w:spacing w:val="-6"/>
              </w:rPr>
              <w:t>车辆营运证的</w:t>
            </w:r>
            <w:r>
              <w:rPr>
                <w:spacing w:val="2"/>
              </w:rPr>
              <w:t xml:space="preserve"> </w:t>
            </w:r>
            <w:r>
              <w:rPr>
                <w:spacing w:val="-6"/>
              </w:rPr>
              <w:t>车辆行为的行</w:t>
            </w:r>
            <w:r>
              <w:rPr>
                <w:spacing w:val="2"/>
              </w:rPr>
              <w:t xml:space="preserve"> </w:t>
            </w:r>
            <w:r>
              <w:rPr>
                <w:spacing w:val="-5"/>
              </w:rPr>
              <w:t>政处罚</w:t>
            </w:r>
          </w:p>
        </w:tc>
        <w:tc>
          <w:tcPr>
            <w:tcW w:w="1101" w:type="dxa"/>
            <w:vAlign w:val="top"/>
          </w:tcPr>
          <w:p w14:paraId="2C38585C">
            <w:pPr>
              <w:spacing w:line="293" w:lineRule="auto"/>
              <w:rPr>
                <w:rFonts w:ascii="Arial"/>
                <w:sz w:val="21"/>
              </w:rPr>
            </w:pPr>
          </w:p>
          <w:p w14:paraId="3038CB20">
            <w:pPr>
              <w:spacing w:line="293" w:lineRule="auto"/>
              <w:rPr>
                <w:rFonts w:ascii="Arial"/>
                <w:sz w:val="21"/>
              </w:rPr>
            </w:pPr>
          </w:p>
          <w:p w14:paraId="67B80FF9">
            <w:pPr>
              <w:spacing w:line="293" w:lineRule="auto"/>
              <w:rPr>
                <w:rFonts w:ascii="Arial"/>
                <w:sz w:val="21"/>
              </w:rPr>
            </w:pPr>
          </w:p>
          <w:p w14:paraId="192EF6F2">
            <w:pPr>
              <w:spacing w:line="293" w:lineRule="auto"/>
              <w:rPr>
                <w:rFonts w:ascii="Arial"/>
                <w:sz w:val="21"/>
              </w:rPr>
            </w:pPr>
          </w:p>
          <w:p w14:paraId="2F04D261">
            <w:pPr>
              <w:pStyle w:val="8"/>
              <w:spacing w:before="58" w:line="220" w:lineRule="auto"/>
              <w:ind w:left="25"/>
            </w:pPr>
            <w:r>
              <w:rPr>
                <w:spacing w:val="-7"/>
              </w:rPr>
              <w:t>行政处罚</w:t>
            </w:r>
          </w:p>
        </w:tc>
        <w:tc>
          <w:tcPr>
            <w:tcW w:w="8524" w:type="dxa"/>
            <w:vAlign w:val="top"/>
          </w:tcPr>
          <w:p w14:paraId="2556FC76">
            <w:pPr>
              <w:pStyle w:val="8"/>
              <w:spacing w:before="131" w:line="219" w:lineRule="auto"/>
              <w:ind w:left="458"/>
            </w:pPr>
            <w:r>
              <w:rPr>
                <w:b/>
                <w:bCs/>
                <w:spacing w:val="-10"/>
              </w:rPr>
              <w:t>1.《中华人民共和国道路运输条例》</w:t>
            </w:r>
          </w:p>
          <w:p w14:paraId="7A625BAE">
            <w:pPr>
              <w:pStyle w:val="8"/>
              <w:spacing w:before="6" w:line="223" w:lineRule="auto"/>
              <w:ind w:left="105" w:right="205" w:firstLine="340"/>
            </w:pPr>
            <w:r>
              <w:rPr>
                <w:spacing w:val="-9"/>
              </w:rPr>
              <w:t>第三十条</w:t>
            </w:r>
            <w:r>
              <w:rPr>
                <w:spacing w:val="75"/>
              </w:rPr>
              <w:t xml:space="preserve"> </w:t>
            </w:r>
            <w:r>
              <w:rPr>
                <w:spacing w:val="-9"/>
              </w:rPr>
              <w:t>客运经营者、货运经营者应当加强对车辆的维护和检测，确保车辆符合国家规定的技术</w:t>
            </w:r>
            <w:r>
              <w:rPr>
                <w:spacing w:val="-10"/>
              </w:rPr>
              <w:t>标准；</w:t>
            </w:r>
            <w:r>
              <w:t xml:space="preserve"> </w:t>
            </w:r>
            <w:r>
              <w:rPr>
                <w:spacing w:val="-8"/>
              </w:rPr>
              <w:t>不得使用报废的、擅自改装的和其他不符合国家规定的车辆从事道路运输经营。</w:t>
            </w:r>
          </w:p>
          <w:p w14:paraId="4C2F02E8">
            <w:pPr>
              <w:pStyle w:val="8"/>
              <w:spacing w:before="3" w:line="223" w:lineRule="auto"/>
              <w:ind w:left="124" w:right="203" w:firstLine="321"/>
            </w:pPr>
            <w:r>
              <w:rPr>
                <w:spacing w:val="-9"/>
              </w:rPr>
              <w:t>第六十九条第二款</w:t>
            </w:r>
            <w:r>
              <w:rPr>
                <w:spacing w:val="74"/>
              </w:rPr>
              <w:t xml:space="preserve"> </w:t>
            </w:r>
            <w:r>
              <w:rPr>
                <w:spacing w:val="-9"/>
              </w:rPr>
              <w:t>违反本条例的规定，客运经营者、货运经营者擅自改装已取得车辆营运证的车辆的，</w:t>
            </w:r>
            <w:r>
              <w:t xml:space="preserve"> </w:t>
            </w:r>
            <w:r>
              <w:rPr>
                <w:spacing w:val="-8"/>
              </w:rPr>
              <w:t>由县级以上地方人民政府交通运输主管部门责令改正，处5000元以上2万元以下的罚款。</w:t>
            </w:r>
          </w:p>
          <w:p w14:paraId="6D60F6D5">
            <w:pPr>
              <w:pStyle w:val="8"/>
              <w:spacing w:before="7" w:line="219" w:lineRule="auto"/>
              <w:ind w:left="447"/>
            </w:pPr>
            <w:r>
              <w:rPr>
                <w:b/>
                <w:bCs/>
                <w:spacing w:val="-8"/>
              </w:rPr>
              <w:t>2.《道路危险货物运输管理规定》(交通运输部令2023年第13号)</w:t>
            </w:r>
          </w:p>
          <w:p w14:paraId="5A15500F">
            <w:pPr>
              <w:pStyle w:val="8"/>
              <w:spacing w:before="4" w:line="223" w:lineRule="auto"/>
              <w:ind w:left="103" w:right="157" w:firstLine="341"/>
            </w:pPr>
            <w:r>
              <w:rPr>
                <w:spacing w:val="-8"/>
              </w:rPr>
              <w:t>第六十一条</w:t>
            </w:r>
            <w:r>
              <w:rPr>
                <w:spacing w:val="74"/>
              </w:rPr>
              <w:t xml:space="preserve"> </w:t>
            </w:r>
            <w:r>
              <w:rPr>
                <w:spacing w:val="-8"/>
              </w:rPr>
              <w:t>违反本规定，道路危险货物运输企业擅自改装已取得《道路运输证》的专用车辆及罐式专用</w:t>
            </w:r>
            <w:r>
              <w:t xml:space="preserve"> </w:t>
            </w:r>
            <w:r>
              <w:rPr>
                <w:spacing w:val="-7"/>
              </w:rPr>
              <w:t>车辆罐体的，由交通运输主管部门责令改正，并处5000</w:t>
            </w:r>
            <w:r>
              <w:rPr>
                <w:spacing w:val="-8"/>
              </w:rPr>
              <w:t>元以上2万元以下的罚款。</w:t>
            </w:r>
          </w:p>
          <w:p w14:paraId="45232803">
            <w:pPr>
              <w:pStyle w:val="8"/>
              <w:spacing w:before="8" w:line="219" w:lineRule="auto"/>
              <w:ind w:left="449"/>
            </w:pPr>
            <w:r>
              <w:rPr>
                <w:b/>
                <w:bCs/>
                <w:spacing w:val="-8"/>
              </w:rPr>
              <w:t>3.《放射性物品道路运输管理规定》(交通运输部令2023年第17</w:t>
            </w:r>
            <w:r>
              <w:rPr>
                <w:b/>
                <w:bCs/>
                <w:spacing w:val="-9"/>
              </w:rPr>
              <w:t>号)</w:t>
            </w:r>
          </w:p>
          <w:p w14:paraId="43951D04">
            <w:pPr>
              <w:pStyle w:val="8"/>
              <w:spacing w:before="4" w:line="223" w:lineRule="auto"/>
              <w:ind w:left="116" w:right="157" w:firstLine="328"/>
            </w:pPr>
            <w:r>
              <w:rPr>
                <w:spacing w:val="-8"/>
              </w:rPr>
              <w:t>第三十九条</w:t>
            </w:r>
            <w:r>
              <w:rPr>
                <w:spacing w:val="74"/>
              </w:rPr>
              <w:t xml:space="preserve"> </w:t>
            </w:r>
            <w:r>
              <w:rPr>
                <w:spacing w:val="-8"/>
              </w:rPr>
              <w:t>违反本规定，放射性物品道路运输企业或者单位擅自改装已取得《道路运输证》的专用车辆</w:t>
            </w:r>
            <w:r>
              <w:t xml:space="preserve"> </w:t>
            </w:r>
            <w:r>
              <w:rPr>
                <w:spacing w:val="-8"/>
              </w:rPr>
              <w:t>的，由交通运输主管部门责令改正，处5000元以上2万元以下的罚款。</w:t>
            </w:r>
          </w:p>
        </w:tc>
        <w:tc>
          <w:tcPr>
            <w:tcW w:w="1011" w:type="dxa"/>
            <w:vAlign w:val="top"/>
          </w:tcPr>
          <w:p w14:paraId="04C360D1">
            <w:pPr>
              <w:spacing w:line="263" w:lineRule="auto"/>
              <w:rPr>
                <w:rFonts w:ascii="Arial"/>
                <w:sz w:val="21"/>
              </w:rPr>
            </w:pPr>
          </w:p>
          <w:p w14:paraId="397DC6A4">
            <w:pPr>
              <w:spacing w:line="263" w:lineRule="auto"/>
              <w:rPr>
                <w:rFonts w:ascii="Arial"/>
                <w:sz w:val="21"/>
              </w:rPr>
            </w:pPr>
          </w:p>
          <w:p w14:paraId="190FDB0B">
            <w:pPr>
              <w:spacing w:line="263" w:lineRule="auto"/>
              <w:rPr>
                <w:rFonts w:ascii="Arial"/>
                <w:sz w:val="21"/>
              </w:rPr>
            </w:pPr>
          </w:p>
          <w:p w14:paraId="6E1C4330">
            <w:pPr>
              <w:spacing w:line="263" w:lineRule="auto"/>
              <w:rPr>
                <w:rFonts w:ascii="Arial"/>
                <w:sz w:val="21"/>
              </w:rPr>
            </w:pPr>
          </w:p>
          <w:p w14:paraId="4F7650C6">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7FE51CCA">
            <w:pPr>
              <w:spacing w:line="263" w:lineRule="auto"/>
              <w:rPr>
                <w:rFonts w:ascii="Arial"/>
                <w:sz w:val="21"/>
              </w:rPr>
            </w:pPr>
          </w:p>
          <w:p w14:paraId="2B38C70C">
            <w:pPr>
              <w:spacing w:line="263" w:lineRule="auto"/>
              <w:rPr>
                <w:rFonts w:ascii="Arial"/>
                <w:sz w:val="21"/>
              </w:rPr>
            </w:pPr>
          </w:p>
          <w:p w14:paraId="40CFCA97">
            <w:pPr>
              <w:spacing w:line="263" w:lineRule="auto"/>
              <w:rPr>
                <w:rFonts w:ascii="Arial"/>
                <w:sz w:val="21"/>
              </w:rPr>
            </w:pPr>
          </w:p>
          <w:p w14:paraId="59B2C20A">
            <w:pPr>
              <w:spacing w:line="263" w:lineRule="auto"/>
              <w:rPr>
                <w:rFonts w:ascii="Arial"/>
                <w:sz w:val="21"/>
              </w:rPr>
            </w:pPr>
          </w:p>
          <w:p w14:paraId="6EB33C18">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F9EF5D4">
            <w:pPr>
              <w:spacing w:line="271" w:lineRule="auto"/>
              <w:rPr>
                <w:rFonts w:ascii="Arial"/>
                <w:sz w:val="21"/>
              </w:rPr>
            </w:pPr>
          </w:p>
          <w:p w14:paraId="448D9D94">
            <w:pPr>
              <w:spacing w:line="272" w:lineRule="auto"/>
              <w:rPr>
                <w:rFonts w:ascii="Arial"/>
                <w:sz w:val="21"/>
              </w:rPr>
            </w:pPr>
          </w:p>
          <w:p w14:paraId="3301ED0C">
            <w:pPr>
              <w:spacing w:line="272" w:lineRule="auto"/>
              <w:rPr>
                <w:rFonts w:ascii="Arial"/>
                <w:sz w:val="21"/>
              </w:rPr>
            </w:pPr>
          </w:p>
          <w:p w14:paraId="32CA0D59">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4A32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6" w:hRule="atLeast"/>
        </w:trPr>
        <w:tc>
          <w:tcPr>
            <w:tcW w:w="629" w:type="dxa"/>
            <w:vAlign w:val="top"/>
          </w:tcPr>
          <w:p w14:paraId="25C8E210">
            <w:pPr>
              <w:rPr>
                <w:rFonts w:ascii="Arial"/>
                <w:sz w:val="21"/>
              </w:rPr>
            </w:pPr>
          </w:p>
          <w:p w14:paraId="3E19443B">
            <w:pPr>
              <w:rPr>
                <w:rFonts w:ascii="Arial"/>
                <w:sz w:val="21"/>
              </w:rPr>
            </w:pPr>
          </w:p>
          <w:p w14:paraId="4D455683">
            <w:pPr>
              <w:rPr>
                <w:rFonts w:ascii="Arial"/>
                <w:sz w:val="21"/>
              </w:rPr>
            </w:pPr>
          </w:p>
          <w:p w14:paraId="2F745F24">
            <w:pPr>
              <w:rPr>
                <w:rFonts w:ascii="Arial"/>
                <w:sz w:val="21"/>
              </w:rPr>
            </w:pPr>
          </w:p>
          <w:p w14:paraId="425FA635">
            <w:pPr>
              <w:rPr>
                <w:rFonts w:ascii="Arial"/>
                <w:sz w:val="21"/>
              </w:rPr>
            </w:pPr>
          </w:p>
          <w:p w14:paraId="40C4C743">
            <w:pPr>
              <w:rPr>
                <w:rFonts w:ascii="Arial"/>
                <w:sz w:val="21"/>
              </w:rPr>
            </w:pPr>
          </w:p>
          <w:p w14:paraId="6177533E">
            <w:pPr>
              <w:rPr>
                <w:rFonts w:ascii="Arial"/>
                <w:sz w:val="21"/>
              </w:rPr>
            </w:pPr>
          </w:p>
          <w:p w14:paraId="37F29F23">
            <w:pPr>
              <w:rPr>
                <w:rFonts w:ascii="Arial"/>
                <w:sz w:val="21"/>
              </w:rPr>
            </w:pPr>
          </w:p>
          <w:p w14:paraId="2F46DB8C">
            <w:pPr>
              <w:pStyle w:val="8"/>
              <w:spacing w:before="59" w:line="183" w:lineRule="auto"/>
              <w:ind w:left="223"/>
              <w:rPr>
                <w:rFonts w:hint="eastAsia" w:eastAsia="宋体"/>
                <w:lang w:eastAsia="zh-CN"/>
              </w:rPr>
            </w:pPr>
            <w:r>
              <w:rPr>
                <w:spacing w:val="-4"/>
              </w:rPr>
              <w:t>2</w:t>
            </w:r>
            <w:r>
              <w:rPr>
                <w:rFonts w:hint="eastAsia"/>
                <w:spacing w:val="-4"/>
                <w:lang w:val="en-US" w:eastAsia="zh-CN"/>
              </w:rPr>
              <w:t>3</w:t>
            </w:r>
          </w:p>
        </w:tc>
        <w:tc>
          <w:tcPr>
            <w:tcW w:w="1101" w:type="dxa"/>
            <w:vAlign w:val="top"/>
          </w:tcPr>
          <w:p w14:paraId="017CE8D3">
            <w:pPr>
              <w:spacing w:line="265" w:lineRule="auto"/>
              <w:rPr>
                <w:rFonts w:ascii="Arial"/>
                <w:sz w:val="21"/>
              </w:rPr>
            </w:pPr>
          </w:p>
          <w:p w14:paraId="222067E5">
            <w:pPr>
              <w:spacing w:line="265" w:lineRule="auto"/>
              <w:rPr>
                <w:rFonts w:ascii="Arial"/>
                <w:sz w:val="21"/>
              </w:rPr>
            </w:pPr>
          </w:p>
          <w:p w14:paraId="176FBE84">
            <w:pPr>
              <w:spacing w:line="265" w:lineRule="auto"/>
              <w:rPr>
                <w:rFonts w:ascii="Arial"/>
                <w:sz w:val="21"/>
              </w:rPr>
            </w:pPr>
          </w:p>
          <w:p w14:paraId="6DF6A71D">
            <w:pPr>
              <w:spacing w:line="265" w:lineRule="auto"/>
              <w:rPr>
                <w:rFonts w:ascii="Arial"/>
                <w:sz w:val="21"/>
              </w:rPr>
            </w:pPr>
          </w:p>
          <w:p w14:paraId="7749A47D">
            <w:pPr>
              <w:pStyle w:val="8"/>
              <w:spacing w:before="58" w:line="243" w:lineRule="auto"/>
              <w:ind w:left="18" w:right="20"/>
              <w:jc w:val="both"/>
            </w:pPr>
            <w:r>
              <w:rPr>
                <w:spacing w:val="-6"/>
              </w:rPr>
              <w:t>对道路运输客</w:t>
            </w:r>
            <w:r>
              <w:rPr>
                <w:spacing w:val="2"/>
              </w:rPr>
              <w:t xml:space="preserve"> </w:t>
            </w:r>
            <w:r>
              <w:rPr>
                <w:spacing w:val="7"/>
              </w:rPr>
              <w:t>运</w:t>
            </w:r>
            <w:r>
              <w:rPr>
                <w:spacing w:val="-30"/>
              </w:rPr>
              <w:t xml:space="preserve"> </w:t>
            </w:r>
            <w:r>
              <w:rPr>
                <w:spacing w:val="7"/>
              </w:rPr>
              <w:t>、</w:t>
            </w:r>
            <w:r>
              <w:rPr>
                <w:spacing w:val="-40"/>
              </w:rPr>
              <w:t xml:space="preserve"> </w:t>
            </w:r>
            <w:r>
              <w:rPr>
                <w:spacing w:val="7"/>
              </w:rPr>
              <w:t>货运站</w:t>
            </w:r>
            <w:r>
              <w:t xml:space="preserve"> </w:t>
            </w:r>
            <w:r>
              <w:rPr>
                <w:spacing w:val="-6"/>
              </w:rPr>
              <w:t>（场）经营者</w:t>
            </w:r>
            <w:r>
              <w:rPr>
                <w:spacing w:val="1"/>
              </w:rPr>
              <w:t xml:space="preserve"> </w:t>
            </w:r>
            <w:r>
              <w:rPr>
                <w:spacing w:val="-6"/>
              </w:rPr>
              <w:t>允许无证经营</w:t>
            </w:r>
            <w:r>
              <w:rPr>
                <w:spacing w:val="1"/>
              </w:rPr>
              <w:t xml:space="preserve"> </w:t>
            </w:r>
            <w:r>
              <w:rPr>
                <w:spacing w:val="-6"/>
              </w:rPr>
              <w:t>的车辆进站从</w:t>
            </w:r>
            <w:r>
              <w:rPr>
                <w:spacing w:val="1"/>
              </w:rPr>
              <w:t xml:space="preserve"> </w:t>
            </w:r>
            <w:r>
              <w:rPr>
                <w:spacing w:val="-6"/>
              </w:rPr>
              <w:t>事经营活动等</w:t>
            </w:r>
            <w:r>
              <w:rPr>
                <w:spacing w:val="1"/>
              </w:rPr>
              <w:t xml:space="preserve"> </w:t>
            </w:r>
            <w:r>
              <w:rPr>
                <w:spacing w:val="-6"/>
              </w:rPr>
              <w:t>行为的行政处</w:t>
            </w:r>
            <w:r>
              <w:rPr>
                <w:spacing w:val="1"/>
              </w:rPr>
              <w:t xml:space="preserve"> </w:t>
            </w:r>
            <w:r>
              <w:t>罚</w:t>
            </w:r>
          </w:p>
        </w:tc>
        <w:tc>
          <w:tcPr>
            <w:tcW w:w="1101" w:type="dxa"/>
            <w:vAlign w:val="top"/>
          </w:tcPr>
          <w:p w14:paraId="6EC0A7AA">
            <w:pPr>
              <w:spacing w:line="270" w:lineRule="auto"/>
              <w:rPr>
                <w:rFonts w:ascii="Arial"/>
                <w:sz w:val="21"/>
              </w:rPr>
            </w:pPr>
          </w:p>
          <w:p w14:paraId="66AE3DD0">
            <w:pPr>
              <w:spacing w:line="270" w:lineRule="auto"/>
              <w:rPr>
                <w:rFonts w:ascii="Arial"/>
                <w:sz w:val="21"/>
              </w:rPr>
            </w:pPr>
          </w:p>
          <w:p w14:paraId="011FF1CE">
            <w:pPr>
              <w:spacing w:line="270" w:lineRule="auto"/>
              <w:rPr>
                <w:rFonts w:ascii="Arial"/>
                <w:sz w:val="21"/>
              </w:rPr>
            </w:pPr>
          </w:p>
          <w:p w14:paraId="04BB3AC9">
            <w:pPr>
              <w:spacing w:line="270" w:lineRule="auto"/>
              <w:rPr>
                <w:rFonts w:ascii="Arial"/>
                <w:sz w:val="21"/>
              </w:rPr>
            </w:pPr>
          </w:p>
          <w:p w14:paraId="06B080F0">
            <w:pPr>
              <w:spacing w:line="270" w:lineRule="auto"/>
              <w:rPr>
                <w:rFonts w:ascii="Arial"/>
                <w:sz w:val="21"/>
              </w:rPr>
            </w:pPr>
          </w:p>
          <w:p w14:paraId="66E3A7D9">
            <w:pPr>
              <w:spacing w:line="271" w:lineRule="auto"/>
              <w:rPr>
                <w:rFonts w:ascii="Arial"/>
                <w:sz w:val="21"/>
              </w:rPr>
            </w:pPr>
          </w:p>
          <w:p w14:paraId="03D10530">
            <w:pPr>
              <w:spacing w:line="271" w:lineRule="auto"/>
              <w:rPr>
                <w:rFonts w:ascii="Arial"/>
                <w:sz w:val="21"/>
              </w:rPr>
            </w:pPr>
          </w:p>
          <w:p w14:paraId="4B863A3C">
            <w:pPr>
              <w:pStyle w:val="8"/>
              <w:spacing w:before="58" w:line="220" w:lineRule="auto"/>
              <w:ind w:left="25"/>
            </w:pPr>
            <w:r>
              <w:rPr>
                <w:spacing w:val="-7"/>
              </w:rPr>
              <w:t>行政处罚</w:t>
            </w:r>
          </w:p>
        </w:tc>
        <w:tc>
          <w:tcPr>
            <w:tcW w:w="8524" w:type="dxa"/>
            <w:vAlign w:val="top"/>
          </w:tcPr>
          <w:p w14:paraId="4E14D2F7">
            <w:pPr>
              <w:pStyle w:val="8"/>
              <w:spacing w:before="42" w:line="219" w:lineRule="auto"/>
              <w:ind w:left="458"/>
            </w:pPr>
            <w:r>
              <w:rPr>
                <w:b/>
                <w:bCs/>
                <w:spacing w:val="-10"/>
              </w:rPr>
              <w:t>1.《中华人民共和国道路运输条例》</w:t>
            </w:r>
          </w:p>
          <w:p w14:paraId="3EA429D2">
            <w:pPr>
              <w:pStyle w:val="8"/>
              <w:spacing w:before="25" w:line="233" w:lineRule="auto"/>
              <w:ind w:left="102" w:right="157" w:firstLine="343"/>
            </w:pPr>
            <w:r>
              <w:rPr>
                <w:spacing w:val="-8"/>
              </w:rPr>
              <w:t>第四十条第一款</w:t>
            </w:r>
            <w:r>
              <w:rPr>
                <w:spacing w:val="74"/>
              </w:rPr>
              <w:t xml:space="preserve"> </w:t>
            </w:r>
            <w:r>
              <w:rPr>
                <w:spacing w:val="-8"/>
              </w:rPr>
              <w:t>道路运输站（场）经营者应当对出站的车辆进行安全检查，禁止无证经营的车辆进站从</w:t>
            </w:r>
            <w:r>
              <w:t xml:space="preserve"> </w:t>
            </w:r>
            <w:r>
              <w:rPr>
                <w:spacing w:val="-8"/>
              </w:rPr>
              <w:t>事经营活动，防止超载车辆或者未经安全检查的车辆出站。</w:t>
            </w:r>
          </w:p>
          <w:p w14:paraId="4C8B1A6A">
            <w:pPr>
              <w:pStyle w:val="8"/>
              <w:spacing w:before="26" w:line="237" w:lineRule="auto"/>
              <w:ind w:left="102" w:right="150" w:firstLine="342"/>
            </w:pPr>
            <w:r>
              <w:rPr>
                <w:spacing w:val="-8"/>
              </w:rPr>
              <w:t>第七十条第一款、第二款</w:t>
            </w:r>
            <w:r>
              <w:rPr>
                <w:spacing w:val="82"/>
              </w:rPr>
              <w:t xml:space="preserve"> </w:t>
            </w:r>
            <w:r>
              <w:rPr>
                <w:spacing w:val="-8"/>
              </w:rPr>
              <w:t>违反本条例的规定，道路旅客运输站(场)经营者允许无证经营的车辆进站从事</w:t>
            </w:r>
            <w:r>
              <w:t xml:space="preserve"> </w:t>
            </w:r>
            <w:r>
              <w:rPr>
                <w:spacing w:val="-8"/>
              </w:rPr>
              <w:t>经营活动以及超载车辆、未经安全检查的车辆出站或者无正当理由拒绝道路运输车辆进站从事经营活动的</w:t>
            </w:r>
            <w:r>
              <w:rPr>
                <w:spacing w:val="-9"/>
              </w:rPr>
              <w:t>，由</w:t>
            </w:r>
            <w:r>
              <w:t xml:space="preserve"> </w:t>
            </w:r>
            <w:r>
              <w:rPr>
                <w:spacing w:val="-8"/>
              </w:rPr>
              <w:t>县级以上地方人民政府交通运输主管部门责令改正，处1万元以上3万元以下的罚款。</w:t>
            </w:r>
          </w:p>
          <w:p w14:paraId="2F9AC97C">
            <w:pPr>
              <w:pStyle w:val="8"/>
              <w:spacing w:before="27" w:line="233" w:lineRule="auto"/>
              <w:ind w:left="105" w:right="150" w:firstLine="338"/>
            </w:pPr>
            <w:r>
              <w:rPr>
                <w:spacing w:val="-8"/>
              </w:rPr>
              <w:t>道路货物运输站(场)经营者有前款违法情形的，由县级以上地方人民政府交通运输主管部门责令改正，处</w:t>
            </w:r>
            <w:r>
              <w:rPr>
                <w:spacing w:val="8"/>
              </w:rPr>
              <w:t xml:space="preserve"> </w:t>
            </w:r>
            <w:r>
              <w:rPr>
                <w:spacing w:val="-7"/>
              </w:rPr>
              <w:t>3000元以上3万元以下的罚款。</w:t>
            </w:r>
          </w:p>
          <w:p w14:paraId="386BD4B5">
            <w:pPr>
              <w:pStyle w:val="8"/>
              <w:spacing w:before="24" w:line="219" w:lineRule="auto"/>
              <w:ind w:left="447"/>
            </w:pPr>
            <w:r>
              <w:rPr>
                <w:b/>
                <w:bCs/>
                <w:spacing w:val="-8"/>
              </w:rPr>
              <w:t>2.《道路旅客运输及客运站管理规定》(交通运输部令2023年第12号)</w:t>
            </w:r>
          </w:p>
          <w:p w14:paraId="30CE76A3">
            <w:pPr>
              <w:pStyle w:val="8"/>
              <w:spacing w:before="28" w:line="237" w:lineRule="auto"/>
              <w:ind w:left="103" w:right="81" w:firstLine="341"/>
              <w:jc w:val="both"/>
            </w:pPr>
            <w:r>
              <w:rPr>
                <w:spacing w:val="-8"/>
              </w:rPr>
              <w:t>第一百零一条</w:t>
            </w:r>
            <w:r>
              <w:rPr>
                <w:spacing w:val="76"/>
              </w:rPr>
              <w:t xml:space="preserve"> </w:t>
            </w:r>
            <w:r>
              <w:rPr>
                <w:spacing w:val="-8"/>
              </w:rPr>
              <w:t>违反本规定，客运站经营者有下列情形之一的，由交通运输</w:t>
            </w:r>
            <w:r>
              <w:rPr>
                <w:spacing w:val="-9"/>
              </w:rPr>
              <w:t>主管部门责令改正，处1万元以</w:t>
            </w:r>
            <w:r>
              <w:t xml:space="preserve"> </w:t>
            </w:r>
            <w:r>
              <w:rPr>
                <w:spacing w:val="-6"/>
              </w:rPr>
              <w:t>上3万元以下的罚款</w:t>
            </w:r>
            <w:r>
              <w:rPr>
                <w:spacing w:val="-21"/>
              </w:rPr>
              <w:t>：（</w:t>
            </w:r>
            <w:r>
              <w:rPr>
                <w:spacing w:val="-6"/>
              </w:rPr>
              <w:t>一）允许无经营证件的车</w:t>
            </w:r>
            <w:r>
              <w:rPr>
                <w:spacing w:val="-7"/>
              </w:rPr>
              <w:t>辆进站从事经营活动的</w:t>
            </w:r>
            <w:r>
              <w:rPr>
                <w:spacing w:val="-21"/>
              </w:rPr>
              <w:t>；（</w:t>
            </w:r>
            <w:r>
              <w:rPr>
                <w:spacing w:val="-7"/>
              </w:rPr>
              <w:t>二）允许超载车辆出站的</w:t>
            </w:r>
            <w:r>
              <w:rPr>
                <w:spacing w:val="-21"/>
              </w:rPr>
              <w:t>；（</w:t>
            </w:r>
            <w:r>
              <w:rPr>
                <w:spacing w:val="-7"/>
              </w:rPr>
              <w:t>三）</w:t>
            </w:r>
            <w:r>
              <w:t xml:space="preserve"> </w:t>
            </w:r>
            <w:r>
              <w:rPr>
                <w:spacing w:val="-7"/>
              </w:rPr>
              <w:t>允许未经安全检查或者安全检查不合格的车辆发车的</w:t>
            </w:r>
            <w:r>
              <w:rPr>
                <w:spacing w:val="-22"/>
              </w:rPr>
              <w:t>；（</w:t>
            </w:r>
            <w:r>
              <w:rPr>
                <w:spacing w:val="-7"/>
              </w:rPr>
              <w:t>四）无正当理由拒绝客运</w:t>
            </w:r>
            <w:r>
              <w:rPr>
                <w:spacing w:val="-8"/>
              </w:rPr>
              <w:t>车辆进站从事经营活动的；</w:t>
            </w:r>
          </w:p>
          <w:p w14:paraId="440FCBBC">
            <w:pPr>
              <w:pStyle w:val="8"/>
              <w:spacing w:before="26" w:line="219" w:lineRule="auto"/>
              <w:ind w:left="112"/>
            </w:pPr>
            <w:r>
              <w:rPr>
                <w:spacing w:val="-9"/>
              </w:rPr>
              <w:t>（五）设立的停靠点未按照规定备案的。</w:t>
            </w:r>
          </w:p>
          <w:p w14:paraId="775765EC">
            <w:pPr>
              <w:pStyle w:val="8"/>
              <w:spacing w:before="26" w:line="219" w:lineRule="auto"/>
              <w:ind w:left="449"/>
            </w:pPr>
            <w:r>
              <w:rPr>
                <w:b/>
                <w:bCs/>
                <w:spacing w:val="-8"/>
              </w:rPr>
              <w:t>3.《道路货物运输及站场管理规定》(交通运输部令2023年第12</w:t>
            </w:r>
            <w:r>
              <w:rPr>
                <w:b/>
                <w:bCs/>
                <w:spacing w:val="-9"/>
              </w:rPr>
              <w:t>号)</w:t>
            </w:r>
          </w:p>
          <w:p w14:paraId="0DCB042A">
            <w:pPr>
              <w:pStyle w:val="8"/>
              <w:spacing w:before="27" w:line="230" w:lineRule="auto"/>
              <w:ind w:left="102" w:right="89" w:firstLine="343"/>
              <w:jc w:val="both"/>
            </w:pPr>
            <w:r>
              <w:rPr>
                <w:spacing w:val="-8"/>
              </w:rPr>
              <w:t>第六十六条</w:t>
            </w:r>
            <w:r>
              <w:rPr>
                <w:spacing w:val="74"/>
              </w:rPr>
              <w:t xml:space="preserve"> </w:t>
            </w:r>
            <w:r>
              <w:rPr>
                <w:spacing w:val="-8"/>
              </w:rPr>
              <w:t>违反本规定，货运站经营者允许无证经营的车辆进站从事经营活动以及超载车辆、未经安全</w:t>
            </w:r>
            <w:r>
              <w:t xml:space="preserve"> </w:t>
            </w:r>
            <w:r>
              <w:rPr>
                <w:spacing w:val="-10"/>
              </w:rPr>
              <w:t>检查的车辆出站或者无正当理由拒绝道路运输车辆进站从事经营活动的，由交通运输主管部门责令改正，处3000</w:t>
            </w:r>
            <w:r>
              <w:rPr>
                <w:spacing w:val="6"/>
              </w:rPr>
              <w:t xml:space="preserve"> </w:t>
            </w:r>
            <w:r>
              <w:rPr>
                <w:spacing w:val="-7"/>
              </w:rPr>
              <w:t>元以上3万元以下的罚款。</w:t>
            </w:r>
          </w:p>
        </w:tc>
        <w:tc>
          <w:tcPr>
            <w:tcW w:w="1011" w:type="dxa"/>
            <w:vAlign w:val="top"/>
          </w:tcPr>
          <w:p w14:paraId="11914205">
            <w:pPr>
              <w:spacing w:line="253" w:lineRule="auto"/>
              <w:rPr>
                <w:rFonts w:ascii="Arial"/>
                <w:sz w:val="21"/>
              </w:rPr>
            </w:pPr>
          </w:p>
          <w:p w14:paraId="7F8B803B">
            <w:pPr>
              <w:spacing w:line="253" w:lineRule="auto"/>
              <w:rPr>
                <w:rFonts w:ascii="Arial"/>
                <w:sz w:val="21"/>
              </w:rPr>
            </w:pPr>
          </w:p>
          <w:p w14:paraId="43C80FB5">
            <w:pPr>
              <w:spacing w:line="253" w:lineRule="auto"/>
              <w:rPr>
                <w:rFonts w:ascii="Arial"/>
                <w:sz w:val="21"/>
              </w:rPr>
            </w:pPr>
          </w:p>
          <w:p w14:paraId="442D71D7">
            <w:pPr>
              <w:spacing w:line="253" w:lineRule="auto"/>
              <w:rPr>
                <w:rFonts w:ascii="Arial"/>
                <w:sz w:val="21"/>
              </w:rPr>
            </w:pPr>
          </w:p>
          <w:p w14:paraId="5B6EA039">
            <w:pPr>
              <w:spacing w:line="253" w:lineRule="auto"/>
              <w:rPr>
                <w:rFonts w:ascii="Arial"/>
                <w:sz w:val="21"/>
              </w:rPr>
            </w:pPr>
          </w:p>
          <w:p w14:paraId="0F317F2E">
            <w:pPr>
              <w:spacing w:line="253" w:lineRule="auto"/>
              <w:rPr>
                <w:rFonts w:ascii="Arial"/>
                <w:sz w:val="21"/>
              </w:rPr>
            </w:pPr>
          </w:p>
          <w:p w14:paraId="7AEFA8BD">
            <w:pPr>
              <w:spacing w:line="254" w:lineRule="auto"/>
              <w:rPr>
                <w:rFonts w:ascii="Arial"/>
                <w:sz w:val="21"/>
              </w:rPr>
            </w:pPr>
          </w:p>
          <w:p w14:paraId="5E897D67">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389CD1D7">
            <w:pPr>
              <w:spacing w:line="253" w:lineRule="auto"/>
              <w:rPr>
                <w:rFonts w:ascii="Arial"/>
                <w:sz w:val="21"/>
              </w:rPr>
            </w:pPr>
          </w:p>
          <w:p w14:paraId="62B6AF1D">
            <w:pPr>
              <w:spacing w:line="253" w:lineRule="auto"/>
              <w:rPr>
                <w:rFonts w:ascii="Arial"/>
                <w:sz w:val="21"/>
              </w:rPr>
            </w:pPr>
          </w:p>
          <w:p w14:paraId="766AE79A">
            <w:pPr>
              <w:spacing w:line="253" w:lineRule="auto"/>
              <w:rPr>
                <w:rFonts w:ascii="Arial"/>
                <w:sz w:val="21"/>
              </w:rPr>
            </w:pPr>
          </w:p>
          <w:p w14:paraId="66F98FC0">
            <w:pPr>
              <w:spacing w:line="253" w:lineRule="auto"/>
              <w:rPr>
                <w:rFonts w:ascii="Arial"/>
                <w:sz w:val="21"/>
              </w:rPr>
            </w:pPr>
          </w:p>
          <w:p w14:paraId="2D8E4135">
            <w:pPr>
              <w:spacing w:line="253" w:lineRule="auto"/>
              <w:rPr>
                <w:rFonts w:ascii="Arial"/>
                <w:sz w:val="21"/>
              </w:rPr>
            </w:pPr>
          </w:p>
          <w:p w14:paraId="2DB24DB7">
            <w:pPr>
              <w:spacing w:line="254" w:lineRule="auto"/>
              <w:rPr>
                <w:rFonts w:ascii="Arial"/>
                <w:sz w:val="21"/>
              </w:rPr>
            </w:pPr>
          </w:p>
          <w:p w14:paraId="48BBEC79">
            <w:pPr>
              <w:spacing w:line="254" w:lineRule="auto"/>
              <w:rPr>
                <w:rFonts w:ascii="Arial"/>
                <w:sz w:val="21"/>
              </w:rPr>
            </w:pPr>
          </w:p>
          <w:p w14:paraId="315F2EA2">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96878B2">
            <w:pPr>
              <w:spacing w:line="255" w:lineRule="auto"/>
              <w:rPr>
                <w:rFonts w:ascii="Arial"/>
                <w:sz w:val="21"/>
              </w:rPr>
            </w:pPr>
          </w:p>
          <w:p w14:paraId="5DC96D66">
            <w:pPr>
              <w:spacing w:line="256" w:lineRule="auto"/>
              <w:rPr>
                <w:rFonts w:ascii="Arial"/>
                <w:sz w:val="21"/>
              </w:rPr>
            </w:pPr>
          </w:p>
          <w:p w14:paraId="77E4A188">
            <w:pPr>
              <w:spacing w:line="256" w:lineRule="auto"/>
              <w:rPr>
                <w:rFonts w:ascii="Arial"/>
                <w:sz w:val="21"/>
              </w:rPr>
            </w:pPr>
          </w:p>
          <w:p w14:paraId="41140FE7">
            <w:pPr>
              <w:spacing w:line="256" w:lineRule="auto"/>
              <w:rPr>
                <w:rFonts w:ascii="Arial"/>
                <w:sz w:val="21"/>
              </w:rPr>
            </w:pPr>
          </w:p>
          <w:p w14:paraId="4F5E59EA">
            <w:pPr>
              <w:spacing w:line="256" w:lineRule="auto"/>
              <w:rPr>
                <w:rFonts w:ascii="Arial"/>
                <w:sz w:val="21"/>
              </w:rPr>
            </w:pPr>
          </w:p>
          <w:p w14:paraId="6F8EF2B0">
            <w:pPr>
              <w:spacing w:line="256" w:lineRule="auto"/>
              <w:rPr>
                <w:rFonts w:ascii="Arial"/>
                <w:sz w:val="21"/>
              </w:rPr>
            </w:pPr>
          </w:p>
          <w:p w14:paraId="450F937C">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15C17B03">
      <w:pPr>
        <w:pStyle w:val="2"/>
      </w:pPr>
    </w:p>
    <w:p w14:paraId="347EFBFB">
      <w:pPr>
        <w:sectPr>
          <w:footerReference r:id="rId36" w:type="default"/>
          <w:pgSz w:w="16839" w:h="11906"/>
          <w:pgMar w:top="1012" w:right="1016" w:bottom="966" w:left="1016" w:header="0" w:footer="768" w:gutter="0"/>
          <w:cols w:space="720" w:num="1"/>
        </w:sectPr>
      </w:pPr>
    </w:p>
    <w:p w14:paraId="1E90BE5B">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0661F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0E0E2668">
            <w:pPr>
              <w:pStyle w:val="8"/>
              <w:spacing w:before="273" w:line="221" w:lineRule="auto"/>
              <w:ind w:left="129"/>
            </w:pPr>
            <w:r>
              <w:rPr>
                <w:b/>
                <w:bCs/>
                <w:spacing w:val="-4"/>
              </w:rPr>
              <w:t>序号</w:t>
            </w:r>
          </w:p>
        </w:tc>
        <w:tc>
          <w:tcPr>
            <w:tcW w:w="1101" w:type="dxa"/>
            <w:vMerge w:val="restart"/>
            <w:tcBorders>
              <w:bottom w:val="nil"/>
            </w:tcBorders>
            <w:vAlign w:val="top"/>
          </w:tcPr>
          <w:p w14:paraId="0E777DFB">
            <w:pPr>
              <w:pStyle w:val="8"/>
              <w:spacing w:before="274" w:line="220" w:lineRule="auto"/>
              <w:ind w:left="182"/>
            </w:pPr>
            <w:r>
              <w:rPr>
                <w:b/>
                <w:bCs/>
                <w:spacing w:val="-4"/>
              </w:rPr>
              <w:t>事项名称</w:t>
            </w:r>
          </w:p>
        </w:tc>
        <w:tc>
          <w:tcPr>
            <w:tcW w:w="1101" w:type="dxa"/>
            <w:vMerge w:val="restart"/>
            <w:tcBorders>
              <w:bottom w:val="nil"/>
            </w:tcBorders>
            <w:vAlign w:val="top"/>
          </w:tcPr>
          <w:p w14:paraId="72B3219F">
            <w:pPr>
              <w:pStyle w:val="8"/>
              <w:spacing w:before="274" w:line="219" w:lineRule="auto"/>
              <w:ind w:left="183"/>
            </w:pPr>
            <w:r>
              <w:rPr>
                <w:b/>
                <w:bCs/>
                <w:spacing w:val="-4"/>
              </w:rPr>
              <w:t>职权类型</w:t>
            </w:r>
          </w:p>
        </w:tc>
        <w:tc>
          <w:tcPr>
            <w:tcW w:w="8524" w:type="dxa"/>
            <w:vMerge w:val="restart"/>
            <w:tcBorders>
              <w:bottom w:val="nil"/>
            </w:tcBorders>
            <w:vAlign w:val="top"/>
          </w:tcPr>
          <w:p w14:paraId="63A25F57">
            <w:pPr>
              <w:pStyle w:val="8"/>
              <w:spacing w:before="273" w:line="219" w:lineRule="auto"/>
              <w:ind w:left="4083"/>
            </w:pPr>
            <w:r>
              <w:rPr>
                <w:b/>
                <w:bCs/>
                <w:spacing w:val="-5"/>
              </w:rPr>
              <w:t>实施依据</w:t>
            </w:r>
          </w:p>
        </w:tc>
        <w:tc>
          <w:tcPr>
            <w:tcW w:w="3435" w:type="dxa"/>
            <w:gridSpan w:val="3"/>
            <w:vAlign w:val="top"/>
          </w:tcPr>
          <w:p w14:paraId="54A31D5F">
            <w:pPr>
              <w:pStyle w:val="8"/>
              <w:spacing w:before="94" w:line="220" w:lineRule="auto"/>
              <w:ind w:left="1360"/>
            </w:pPr>
            <w:r>
              <w:rPr>
                <w:b/>
                <w:bCs/>
                <w:spacing w:val="-5"/>
              </w:rPr>
              <w:t>实施主体</w:t>
            </w:r>
          </w:p>
        </w:tc>
      </w:tr>
      <w:tr w14:paraId="6DE5E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19965D27">
            <w:pPr>
              <w:rPr>
                <w:rFonts w:ascii="Arial"/>
                <w:sz w:val="21"/>
              </w:rPr>
            </w:pPr>
          </w:p>
        </w:tc>
        <w:tc>
          <w:tcPr>
            <w:tcW w:w="1101" w:type="dxa"/>
            <w:vMerge w:val="continue"/>
            <w:tcBorders>
              <w:top w:val="nil"/>
            </w:tcBorders>
            <w:vAlign w:val="top"/>
          </w:tcPr>
          <w:p w14:paraId="36F86E41">
            <w:pPr>
              <w:rPr>
                <w:rFonts w:ascii="Arial"/>
                <w:sz w:val="21"/>
              </w:rPr>
            </w:pPr>
          </w:p>
        </w:tc>
        <w:tc>
          <w:tcPr>
            <w:tcW w:w="1101" w:type="dxa"/>
            <w:vMerge w:val="continue"/>
            <w:tcBorders>
              <w:top w:val="nil"/>
            </w:tcBorders>
            <w:vAlign w:val="top"/>
          </w:tcPr>
          <w:p w14:paraId="5D117594">
            <w:pPr>
              <w:rPr>
                <w:rFonts w:ascii="Arial"/>
                <w:sz w:val="21"/>
              </w:rPr>
            </w:pPr>
          </w:p>
        </w:tc>
        <w:tc>
          <w:tcPr>
            <w:tcW w:w="8524" w:type="dxa"/>
            <w:vMerge w:val="continue"/>
            <w:tcBorders>
              <w:top w:val="nil"/>
            </w:tcBorders>
            <w:vAlign w:val="top"/>
          </w:tcPr>
          <w:p w14:paraId="249738D3">
            <w:pPr>
              <w:rPr>
                <w:rFonts w:ascii="Arial"/>
                <w:sz w:val="21"/>
              </w:rPr>
            </w:pPr>
          </w:p>
        </w:tc>
        <w:tc>
          <w:tcPr>
            <w:tcW w:w="1011" w:type="dxa"/>
            <w:vAlign w:val="top"/>
          </w:tcPr>
          <w:p w14:paraId="00203407">
            <w:pPr>
              <w:pStyle w:val="8"/>
              <w:spacing w:before="85" w:line="219" w:lineRule="auto"/>
              <w:ind w:left="154"/>
            </w:pPr>
            <w:r>
              <w:rPr>
                <w:b/>
                <w:bCs/>
                <w:spacing w:val="-5"/>
              </w:rPr>
              <w:t>责任部门</w:t>
            </w:r>
          </w:p>
        </w:tc>
        <w:tc>
          <w:tcPr>
            <w:tcW w:w="1404" w:type="dxa"/>
            <w:vAlign w:val="top"/>
          </w:tcPr>
          <w:p w14:paraId="149C77A0">
            <w:pPr>
              <w:pStyle w:val="8"/>
              <w:spacing w:before="85" w:line="219" w:lineRule="auto"/>
              <w:ind w:left="164"/>
            </w:pPr>
            <w:r>
              <w:rPr>
                <w:b/>
                <w:bCs/>
                <w:spacing w:val="-3"/>
              </w:rPr>
              <w:t>第一责任层级</w:t>
            </w:r>
          </w:p>
        </w:tc>
        <w:tc>
          <w:tcPr>
            <w:tcW w:w="1020" w:type="dxa"/>
            <w:vAlign w:val="top"/>
          </w:tcPr>
          <w:p w14:paraId="0A5AB6DF">
            <w:pPr>
              <w:pStyle w:val="8"/>
              <w:spacing w:before="84" w:line="219" w:lineRule="auto"/>
              <w:ind w:left="114"/>
            </w:pPr>
            <w:r>
              <w:rPr>
                <w:b/>
                <w:bCs/>
                <w:spacing w:val="-4"/>
              </w:rPr>
              <w:t>承办机构</w:t>
            </w:r>
          </w:p>
        </w:tc>
      </w:tr>
      <w:tr w14:paraId="00566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9" w:hRule="atLeast"/>
        </w:trPr>
        <w:tc>
          <w:tcPr>
            <w:tcW w:w="629" w:type="dxa"/>
            <w:vAlign w:val="top"/>
          </w:tcPr>
          <w:p w14:paraId="1B682C4B">
            <w:pPr>
              <w:spacing w:line="252" w:lineRule="auto"/>
              <w:rPr>
                <w:rFonts w:ascii="Arial"/>
                <w:sz w:val="21"/>
              </w:rPr>
            </w:pPr>
          </w:p>
          <w:p w14:paraId="2FE4F03E">
            <w:pPr>
              <w:spacing w:line="252" w:lineRule="auto"/>
              <w:rPr>
                <w:rFonts w:ascii="Arial"/>
                <w:sz w:val="21"/>
              </w:rPr>
            </w:pPr>
          </w:p>
          <w:p w14:paraId="076B9BA4">
            <w:pPr>
              <w:spacing w:line="252" w:lineRule="auto"/>
              <w:rPr>
                <w:rFonts w:ascii="Arial"/>
                <w:sz w:val="21"/>
              </w:rPr>
            </w:pPr>
          </w:p>
          <w:p w14:paraId="6FF1417D">
            <w:pPr>
              <w:spacing w:line="253" w:lineRule="auto"/>
              <w:rPr>
                <w:rFonts w:ascii="Arial"/>
                <w:sz w:val="21"/>
              </w:rPr>
            </w:pPr>
          </w:p>
          <w:p w14:paraId="66DCF8A4">
            <w:pPr>
              <w:spacing w:line="253" w:lineRule="auto"/>
              <w:rPr>
                <w:rFonts w:ascii="Arial"/>
                <w:sz w:val="21"/>
              </w:rPr>
            </w:pPr>
          </w:p>
          <w:p w14:paraId="6C3D191D">
            <w:pPr>
              <w:spacing w:line="253" w:lineRule="auto"/>
              <w:rPr>
                <w:rFonts w:ascii="Arial"/>
                <w:sz w:val="21"/>
              </w:rPr>
            </w:pPr>
          </w:p>
          <w:p w14:paraId="23D905F7">
            <w:pPr>
              <w:spacing w:line="253" w:lineRule="auto"/>
              <w:rPr>
                <w:rFonts w:ascii="Arial"/>
                <w:sz w:val="21"/>
              </w:rPr>
            </w:pPr>
          </w:p>
          <w:p w14:paraId="4D86E3F4">
            <w:pPr>
              <w:pStyle w:val="8"/>
              <w:spacing w:before="58" w:line="183" w:lineRule="auto"/>
              <w:ind w:left="223"/>
              <w:rPr>
                <w:rFonts w:hint="eastAsia" w:eastAsia="宋体"/>
                <w:lang w:eastAsia="zh-CN"/>
              </w:rPr>
            </w:pPr>
            <w:r>
              <w:rPr>
                <w:spacing w:val="-4"/>
              </w:rPr>
              <w:t>2</w:t>
            </w:r>
            <w:r>
              <w:rPr>
                <w:rFonts w:hint="eastAsia"/>
                <w:spacing w:val="-4"/>
                <w:lang w:val="en-US" w:eastAsia="zh-CN"/>
              </w:rPr>
              <w:t>4</w:t>
            </w:r>
          </w:p>
        </w:tc>
        <w:tc>
          <w:tcPr>
            <w:tcW w:w="1101" w:type="dxa"/>
            <w:vAlign w:val="top"/>
          </w:tcPr>
          <w:p w14:paraId="5B2CE563">
            <w:pPr>
              <w:spacing w:line="276" w:lineRule="auto"/>
              <w:rPr>
                <w:rFonts w:ascii="Arial"/>
                <w:sz w:val="21"/>
              </w:rPr>
            </w:pPr>
          </w:p>
          <w:p w14:paraId="37331D03">
            <w:pPr>
              <w:spacing w:line="276" w:lineRule="auto"/>
              <w:rPr>
                <w:rFonts w:ascii="Arial"/>
                <w:sz w:val="21"/>
              </w:rPr>
            </w:pPr>
          </w:p>
          <w:p w14:paraId="1FAEF96F">
            <w:pPr>
              <w:spacing w:line="276" w:lineRule="auto"/>
              <w:rPr>
                <w:rFonts w:ascii="Arial"/>
                <w:sz w:val="21"/>
              </w:rPr>
            </w:pPr>
          </w:p>
          <w:p w14:paraId="6473CC76">
            <w:pPr>
              <w:spacing w:line="276" w:lineRule="auto"/>
              <w:rPr>
                <w:rFonts w:ascii="Arial"/>
                <w:sz w:val="21"/>
              </w:rPr>
            </w:pPr>
          </w:p>
          <w:p w14:paraId="549E0FB5">
            <w:pPr>
              <w:spacing w:line="277" w:lineRule="auto"/>
              <w:rPr>
                <w:rFonts w:ascii="Arial"/>
                <w:sz w:val="21"/>
              </w:rPr>
            </w:pPr>
          </w:p>
          <w:p w14:paraId="7A480B57">
            <w:pPr>
              <w:pStyle w:val="8"/>
              <w:spacing w:before="58"/>
              <w:ind w:left="18" w:right="20"/>
              <w:jc w:val="both"/>
            </w:pPr>
            <w:r>
              <w:rPr>
                <w:spacing w:val="-6"/>
              </w:rPr>
              <w:t>对擅自改变站</w:t>
            </w:r>
            <w:r>
              <w:rPr>
                <w:spacing w:val="2"/>
              </w:rPr>
              <w:t xml:space="preserve"> </w:t>
            </w:r>
            <w:r>
              <w:rPr>
                <w:spacing w:val="-6"/>
              </w:rPr>
              <w:t>（场）用途和</w:t>
            </w:r>
            <w:r>
              <w:rPr>
                <w:spacing w:val="1"/>
              </w:rPr>
              <w:t xml:space="preserve"> </w:t>
            </w:r>
            <w:r>
              <w:rPr>
                <w:spacing w:val="-6"/>
              </w:rPr>
              <w:t>服务功能等行</w:t>
            </w:r>
            <w:r>
              <w:rPr>
                <w:spacing w:val="1"/>
              </w:rPr>
              <w:t xml:space="preserve"> </w:t>
            </w:r>
            <w:r>
              <w:rPr>
                <w:spacing w:val="-7"/>
              </w:rPr>
              <w:t>为的行政处罚</w:t>
            </w:r>
          </w:p>
        </w:tc>
        <w:tc>
          <w:tcPr>
            <w:tcW w:w="1101" w:type="dxa"/>
            <w:vAlign w:val="top"/>
          </w:tcPr>
          <w:p w14:paraId="6E3D24D8">
            <w:pPr>
              <w:spacing w:line="248" w:lineRule="auto"/>
              <w:rPr>
                <w:rFonts w:ascii="Arial"/>
                <w:sz w:val="21"/>
              </w:rPr>
            </w:pPr>
          </w:p>
          <w:p w14:paraId="6D3AC411">
            <w:pPr>
              <w:spacing w:line="248" w:lineRule="auto"/>
              <w:rPr>
                <w:rFonts w:ascii="Arial"/>
                <w:sz w:val="21"/>
              </w:rPr>
            </w:pPr>
          </w:p>
          <w:p w14:paraId="555CE1F5">
            <w:pPr>
              <w:spacing w:line="248" w:lineRule="auto"/>
              <w:rPr>
                <w:rFonts w:ascii="Arial"/>
                <w:sz w:val="21"/>
              </w:rPr>
            </w:pPr>
          </w:p>
          <w:p w14:paraId="032CB27F">
            <w:pPr>
              <w:spacing w:line="249" w:lineRule="auto"/>
              <w:rPr>
                <w:rFonts w:ascii="Arial"/>
                <w:sz w:val="21"/>
              </w:rPr>
            </w:pPr>
          </w:p>
          <w:p w14:paraId="1201F32F">
            <w:pPr>
              <w:spacing w:line="249" w:lineRule="auto"/>
              <w:rPr>
                <w:rFonts w:ascii="Arial"/>
                <w:sz w:val="21"/>
              </w:rPr>
            </w:pPr>
          </w:p>
          <w:p w14:paraId="1C9F60D3">
            <w:pPr>
              <w:spacing w:line="249" w:lineRule="auto"/>
              <w:rPr>
                <w:rFonts w:ascii="Arial"/>
                <w:sz w:val="21"/>
              </w:rPr>
            </w:pPr>
          </w:p>
          <w:p w14:paraId="1F39E4D6">
            <w:pPr>
              <w:spacing w:line="249" w:lineRule="auto"/>
              <w:rPr>
                <w:rFonts w:ascii="Arial"/>
                <w:sz w:val="21"/>
              </w:rPr>
            </w:pPr>
          </w:p>
          <w:p w14:paraId="1ED779AB">
            <w:pPr>
              <w:pStyle w:val="8"/>
              <w:spacing w:before="58" w:line="220" w:lineRule="auto"/>
              <w:ind w:left="25"/>
            </w:pPr>
            <w:r>
              <w:rPr>
                <w:spacing w:val="-7"/>
              </w:rPr>
              <w:t>行政处罚</w:t>
            </w:r>
          </w:p>
        </w:tc>
        <w:tc>
          <w:tcPr>
            <w:tcW w:w="8524" w:type="dxa"/>
            <w:vAlign w:val="top"/>
          </w:tcPr>
          <w:p w14:paraId="1ABB8163">
            <w:pPr>
              <w:spacing w:line="309" w:lineRule="auto"/>
              <w:rPr>
                <w:rFonts w:ascii="Arial"/>
                <w:sz w:val="21"/>
              </w:rPr>
            </w:pPr>
          </w:p>
          <w:p w14:paraId="33B57824">
            <w:pPr>
              <w:pStyle w:val="8"/>
              <w:spacing w:before="58" w:line="219" w:lineRule="auto"/>
              <w:ind w:left="458"/>
            </w:pPr>
            <w:r>
              <w:rPr>
                <w:b/>
                <w:bCs/>
                <w:spacing w:val="-10"/>
              </w:rPr>
              <w:t>1.《中华人民共和国道路运输条例》</w:t>
            </w:r>
          </w:p>
          <w:p w14:paraId="1E3F33DD">
            <w:pPr>
              <w:pStyle w:val="8"/>
              <w:spacing w:before="25" w:line="233" w:lineRule="auto"/>
              <w:ind w:left="103" w:right="18" w:firstLine="341"/>
            </w:pPr>
            <w:r>
              <w:rPr>
                <w:spacing w:val="-9"/>
              </w:rPr>
              <w:t>第四十条第三款</w:t>
            </w:r>
            <w:r>
              <w:rPr>
                <w:spacing w:val="87"/>
                <w:w w:val="101"/>
              </w:rPr>
              <w:t xml:space="preserve"> </w:t>
            </w:r>
            <w:r>
              <w:rPr>
                <w:spacing w:val="-9"/>
              </w:rPr>
              <w:t>道路运输站（场）经营者应当向旅客和货主提供安全、便捷、优质的服务；保持站（场）</w:t>
            </w:r>
            <w:r>
              <w:t xml:space="preserve"> </w:t>
            </w:r>
            <w:r>
              <w:rPr>
                <w:spacing w:val="-8"/>
              </w:rPr>
              <w:t>卫生、清洁；不得随意改变站（场）用途和服务功能。</w:t>
            </w:r>
          </w:p>
          <w:p w14:paraId="0ED0F32A">
            <w:pPr>
              <w:pStyle w:val="8"/>
              <w:spacing w:before="26" w:line="237" w:lineRule="auto"/>
              <w:ind w:left="101" w:right="150" w:firstLine="343"/>
              <w:jc w:val="both"/>
            </w:pPr>
            <w:r>
              <w:rPr>
                <w:spacing w:val="-8"/>
              </w:rPr>
              <w:t>第七十条第三款</w:t>
            </w:r>
            <w:r>
              <w:rPr>
                <w:spacing w:val="74"/>
              </w:rPr>
              <w:t xml:space="preserve"> </w:t>
            </w:r>
            <w:r>
              <w:rPr>
                <w:spacing w:val="-8"/>
              </w:rPr>
              <w:t>违反本条例的规定，道路运输站（场）经营者擅自改变道路运输站（场）的用途和服务</w:t>
            </w:r>
            <w:r>
              <w:t xml:space="preserve"> </w:t>
            </w:r>
            <w:r>
              <w:rPr>
                <w:spacing w:val="-8"/>
              </w:rPr>
              <w:t>功能，或者不公布运输线路、起止经停站点、运输班次、始发时间、票价的，由县级以上地方人民政府交通运</w:t>
            </w:r>
            <w:r>
              <w:t xml:space="preserve"> </w:t>
            </w:r>
            <w:r>
              <w:rPr>
                <w:spacing w:val="-7"/>
              </w:rPr>
              <w:t>输主管部门责令改正；拒不改正的，处3000元的罚</w:t>
            </w:r>
            <w:r>
              <w:rPr>
                <w:spacing w:val="-8"/>
              </w:rPr>
              <w:t>款；有违法所得的，没收违法所得。</w:t>
            </w:r>
          </w:p>
          <w:p w14:paraId="476FE51F">
            <w:pPr>
              <w:pStyle w:val="8"/>
              <w:spacing w:before="26" w:line="219" w:lineRule="auto"/>
              <w:ind w:left="447"/>
            </w:pPr>
            <w:r>
              <w:rPr>
                <w:b/>
                <w:bCs/>
                <w:spacing w:val="-8"/>
              </w:rPr>
              <w:t>2.《道路旅客运输及客运站管理规定》(交通运输部令2023年第12号)</w:t>
            </w:r>
          </w:p>
          <w:p w14:paraId="7FD87BEC">
            <w:pPr>
              <w:pStyle w:val="8"/>
              <w:spacing w:before="26" w:line="237" w:lineRule="auto"/>
              <w:ind w:left="107" w:right="157" w:firstLine="337"/>
              <w:jc w:val="both"/>
            </w:pPr>
            <w:r>
              <w:rPr>
                <w:spacing w:val="-8"/>
              </w:rPr>
              <w:t>第一百零二条</w:t>
            </w:r>
            <w:r>
              <w:rPr>
                <w:spacing w:val="75"/>
              </w:rPr>
              <w:t xml:space="preserve"> </w:t>
            </w:r>
            <w:r>
              <w:rPr>
                <w:spacing w:val="-8"/>
              </w:rPr>
              <w:t>违反本规定，客运站经营者有下列情形之一的，由交通运输主管部门责令改正；拒不改正</w:t>
            </w:r>
            <w:r>
              <w:t xml:space="preserve"> </w:t>
            </w:r>
            <w:r>
              <w:rPr>
                <w:spacing w:val="-7"/>
              </w:rPr>
              <w:t>的，处3000元的罚款；有违法所得的，没收违法所得</w:t>
            </w:r>
            <w:r>
              <w:rPr>
                <w:spacing w:val="-19"/>
              </w:rPr>
              <w:t>：（</w:t>
            </w:r>
            <w:r>
              <w:rPr>
                <w:spacing w:val="-7"/>
              </w:rPr>
              <w:t>一）擅自改变客运站的用途和服务功能的</w:t>
            </w:r>
            <w:r>
              <w:rPr>
                <w:spacing w:val="-19"/>
              </w:rPr>
              <w:t>；（</w:t>
            </w:r>
            <w:r>
              <w:rPr>
                <w:spacing w:val="-7"/>
              </w:rPr>
              <w:t>二）不</w:t>
            </w:r>
            <w:r>
              <w:t xml:space="preserve"> </w:t>
            </w:r>
            <w:r>
              <w:rPr>
                <w:spacing w:val="-8"/>
              </w:rPr>
              <w:t>公布运输线路、配客站点、班次、发车时间、票价的。</w:t>
            </w:r>
          </w:p>
          <w:p w14:paraId="4836C9E2">
            <w:pPr>
              <w:pStyle w:val="8"/>
              <w:spacing w:before="27" w:line="219" w:lineRule="auto"/>
              <w:ind w:left="449"/>
            </w:pPr>
            <w:r>
              <w:rPr>
                <w:b/>
                <w:bCs/>
                <w:spacing w:val="-8"/>
              </w:rPr>
              <w:t>3.《道路货物运输及站场管理规定》(交通运输部令2023年第12</w:t>
            </w:r>
            <w:r>
              <w:rPr>
                <w:b/>
                <w:bCs/>
                <w:spacing w:val="-9"/>
              </w:rPr>
              <w:t>号)</w:t>
            </w:r>
          </w:p>
          <w:p w14:paraId="54E83CD3">
            <w:pPr>
              <w:pStyle w:val="8"/>
              <w:spacing w:before="26" w:line="233" w:lineRule="auto"/>
              <w:ind w:left="105" w:right="157" w:firstLine="339"/>
            </w:pPr>
            <w:r>
              <w:rPr>
                <w:spacing w:val="-8"/>
              </w:rPr>
              <w:t>第六十七条</w:t>
            </w:r>
            <w:r>
              <w:rPr>
                <w:spacing w:val="74"/>
              </w:rPr>
              <w:t xml:space="preserve"> </w:t>
            </w:r>
            <w:r>
              <w:rPr>
                <w:spacing w:val="-8"/>
              </w:rPr>
              <w:t>违反本规定，货运站经营者擅自改变货运站的用途和服务功能，由交通运输主管部门责令改</w:t>
            </w:r>
            <w:r>
              <w:t xml:space="preserve"> </w:t>
            </w:r>
            <w:r>
              <w:rPr>
                <w:spacing w:val="-8"/>
              </w:rPr>
              <w:t>正；拒不改正的，处3000元的罚款；有违法所得的，没收违法所得。</w:t>
            </w:r>
          </w:p>
        </w:tc>
        <w:tc>
          <w:tcPr>
            <w:tcW w:w="1011" w:type="dxa"/>
            <w:vAlign w:val="top"/>
          </w:tcPr>
          <w:p w14:paraId="5C17A79F">
            <w:pPr>
              <w:spacing w:line="270" w:lineRule="auto"/>
              <w:rPr>
                <w:rFonts w:ascii="Arial"/>
                <w:sz w:val="21"/>
              </w:rPr>
            </w:pPr>
          </w:p>
          <w:p w14:paraId="2449BCB2">
            <w:pPr>
              <w:spacing w:line="270" w:lineRule="auto"/>
              <w:rPr>
                <w:rFonts w:ascii="Arial"/>
                <w:sz w:val="21"/>
              </w:rPr>
            </w:pPr>
          </w:p>
          <w:p w14:paraId="50AB2873">
            <w:pPr>
              <w:spacing w:line="270" w:lineRule="auto"/>
              <w:rPr>
                <w:rFonts w:ascii="Arial"/>
                <w:sz w:val="21"/>
              </w:rPr>
            </w:pPr>
          </w:p>
          <w:p w14:paraId="2C7B7717">
            <w:pPr>
              <w:spacing w:line="270" w:lineRule="auto"/>
              <w:rPr>
                <w:rFonts w:ascii="Arial"/>
                <w:sz w:val="21"/>
              </w:rPr>
            </w:pPr>
          </w:p>
          <w:p w14:paraId="1F604CFD">
            <w:pPr>
              <w:spacing w:line="270" w:lineRule="auto"/>
              <w:rPr>
                <w:rFonts w:ascii="Arial"/>
                <w:sz w:val="21"/>
              </w:rPr>
            </w:pPr>
          </w:p>
          <w:p w14:paraId="6151E043">
            <w:pPr>
              <w:spacing w:line="270" w:lineRule="auto"/>
              <w:rPr>
                <w:rFonts w:ascii="Arial"/>
                <w:sz w:val="21"/>
              </w:rPr>
            </w:pPr>
          </w:p>
          <w:p w14:paraId="1C8491DC">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4F8110EA">
            <w:pPr>
              <w:spacing w:line="270" w:lineRule="auto"/>
              <w:rPr>
                <w:rFonts w:ascii="Arial"/>
                <w:sz w:val="21"/>
              </w:rPr>
            </w:pPr>
          </w:p>
          <w:p w14:paraId="20A7B41D">
            <w:pPr>
              <w:spacing w:line="270" w:lineRule="auto"/>
              <w:rPr>
                <w:rFonts w:ascii="Arial"/>
                <w:sz w:val="21"/>
              </w:rPr>
            </w:pPr>
          </w:p>
          <w:p w14:paraId="7E401AC2">
            <w:pPr>
              <w:spacing w:line="270" w:lineRule="auto"/>
              <w:rPr>
                <w:rFonts w:ascii="Arial"/>
                <w:sz w:val="21"/>
              </w:rPr>
            </w:pPr>
          </w:p>
          <w:p w14:paraId="77D5F123">
            <w:pPr>
              <w:spacing w:line="270" w:lineRule="auto"/>
              <w:rPr>
                <w:rFonts w:ascii="Arial"/>
                <w:sz w:val="21"/>
              </w:rPr>
            </w:pPr>
          </w:p>
          <w:p w14:paraId="76ABD0AC">
            <w:pPr>
              <w:spacing w:line="270" w:lineRule="auto"/>
              <w:rPr>
                <w:rFonts w:ascii="Arial"/>
                <w:sz w:val="21"/>
              </w:rPr>
            </w:pPr>
          </w:p>
          <w:p w14:paraId="02194F1E">
            <w:pPr>
              <w:spacing w:line="270" w:lineRule="auto"/>
              <w:rPr>
                <w:rFonts w:ascii="Arial"/>
                <w:sz w:val="21"/>
              </w:rPr>
            </w:pPr>
          </w:p>
          <w:p w14:paraId="3C13CDAC">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5CCFA75C">
            <w:pPr>
              <w:spacing w:line="276" w:lineRule="auto"/>
              <w:rPr>
                <w:rFonts w:ascii="Arial"/>
                <w:sz w:val="21"/>
              </w:rPr>
            </w:pPr>
          </w:p>
          <w:p w14:paraId="0B12F5EB">
            <w:pPr>
              <w:spacing w:line="276" w:lineRule="auto"/>
              <w:rPr>
                <w:rFonts w:ascii="Arial"/>
                <w:sz w:val="21"/>
              </w:rPr>
            </w:pPr>
          </w:p>
          <w:p w14:paraId="4D448D78">
            <w:pPr>
              <w:spacing w:line="277" w:lineRule="auto"/>
              <w:rPr>
                <w:rFonts w:ascii="Arial"/>
                <w:sz w:val="21"/>
              </w:rPr>
            </w:pPr>
          </w:p>
          <w:p w14:paraId="76A3886E">
            <w:pPr>
              <w:spacing w:line="277" w:lineRule="auto"/>
              <w:rPr>
                <w:rFonts w:ascii="Arial"/>
                <w:sz w:val="21"/>
              </w:rPr>
            </w:pPr>
          </w:p>
          <w:p w14:paraId="17A29A42">
            <w:pPr>
              <w:spacing w:line="277" w:lineRule="auto"/>
              <w:rPr>
                <w:rFonts w:ascii="Arial"/>
                <w:sz w:val="21"/>
              </w:rPr>
            </w:pPr>
          </w:p>
          <w:p w14:paraId="06328D85">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9E8C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0" w:hRule="atLeast"/>
        </w:trPr>
        <w:tc>
          <w:tcPr>
            <w:tcW w:w="629" w:type="dxa"/>
            <w:vAlign w:val="top"/>
          </w:tcPr>
          <w:p w14:paraId="2D720B0C">
            <w:pPr>
              <w:spacing w:line="263" w:lineRule="auto"/>
              <w:rPr>
                <w:rFonts w:ascii="Arial"/>
                <w:sz w:val="21"/>
              </w:rPr>
            </w:pPr>
          </w:p>
          <w:p w14:paraId="28333C25">
            <w:pPr>
              <w:spacing w:line="263" w:lineRule="auto"/>
              <w:rPr>
                <w:rFonts w:ascii="Arial"/>
                <w:sz w:val="21"/>
              </w:rPr>
            </w:pPr>
          </w:p>
          <w:p w14:paraId="34F48147">
            <w:pPr>
              <w:spacing w:line="263" w:lineRule="auto"/>
              <w:rPr>
                <w:rFonts w:ascii="Arial"/>
                <w:sz w:val="21"/>
              </w:rPr>
            </w:pPr>
          </w:p>
          <w:p w14:paraId="3C416727">
            <w:pPr>
              <w:spacing w:line="263" w:lineRule="auto"/>
              <w:rPr>
                <w:rFonts w:ascii="Arial"/>
                <w:sz w:val="21"/>
              </w:rPr>
            </w:pPr>
          </w:p>
          <w:p w14:paraId="5523DD24">
            <w:pPr>
              <w:spacing w:line="263" w:lineRule="auto"/>
              <w:rPr>
                <w:rFonts w:ascii="Arial"/>
                <w:sz w:val="21"/>
              </w:rPr>
            </w:pPr>
          </w:p>
          <w:p w14:paraId="4525A8C5">
            <w:pPr>
              <w:spacing w:line="263" w:lineRule="auto"/>
              <w:rPr>
                <w:rFonts w:ascii="Arial"/>
                <w:sz w:val="21"/>
              </w:rPr>
            </w:pPr>
          </w:p>
          <w:p w14:paraId="1D7AFDED">
            <w:pPr>
              <w:spacing w:line="263" w:lineRule="auto"/>
              <w:rPr>
                <w:rFonts w:ascii="Arial"/>
                <w:sz w:val="21"/>
              </w:rPr>
            </w:pPr>
          </w:p>
          <w:p w14:paraId="4B6AD28D">
            <w:pPr>
              <w:spacing w:line="264" w:lineRule="auto"/>
              <w:rPr>
                <w:rFonts w:ascii="Arial"/>
                <w:sz w:val="21"/>
              </w:rPr>
            </w:pPr>
          </w:p>
          <w:p w14:paraId="418A3F71">
            <w:pPr>
              <w:spacing w:line="264" w:lineRule="auto"/>
              <w:rPr>
                <w:rFonts w:ascii="Arial"/>
                <w:sz w:val="21"/>
              </w:rPr>
            </w:pPr>
          </w:p>
          <w:p w14:paraId="3D95F7E8">
            <w:pPr>
              <w:pStyle w:val="8"/>
              <w:spacing w:before="59" w:line="183" w:lineRule="auto"/>
              <w:ind w:left="223"/>
              <w:rPr>
                <w:rFonts w:hint="eastAsia" w:eastAsia="宋体"/>
                <w:lang w:eastAsia="zh-CN"/>
              </w:rPr>
            </w:pPr>
            <w:r>
              <w:rPr>
                <w:spacing w:val="-4"/>
              </w:rPr>
              <w:t>2</w:t>
            </w:r>
            <w:r>
              <w:rPr>
                <w:rFonts w:hint="eastAsia"/>
                <w:spacing w:val="-4"/>
                <w:lang w:val="en-US" w:eastAsia="zh-CN"/>
              </w:rPr>
              <w:t>5</w:t>
            </w:r>
          </w:p>
        </w:tc>
        <w:tc>
          <w:tcPr>
            <w:tcW w:w="1101" w:type="dxa"/>
            <w:vAlign w:val="top"/>
          </w:tcPr>
          <w:p w14:paraId="7C95EAC4">
            <w:pPr>
              <w:spacing w:line="266" w:lineRule="auto"/>
              <w:rPr>
                <w:rFonts w:ascii="Arial"/>
                <w:sz w:val="21"/>
              </w:rPr>
            </w:pPr>
          </w:p>
          <w:p w14:paraId="5A6105C0">
            <w:pPr>
              <w:spacing w:line="266" w:lineRule="auto"/>
              <w:rPr>
                <w:rFonts w:ascii="Arial"/>
                <w:sz w:val="21"/>
              </w:rPr>
            </w:pPr>
          </w:p>
          <w:p w14:paraId="648A3636">
            <w:pPr>
              <w:spacing w:line="266" w:lineRule="auto"/>
              <w:rPr>
                <w:rFonts w:ascii="Arial"/>
                <w:sz w:val="21"/>
              </w:rPr>
            </w:pPr>
          </w:p>
          <w:p w14:paraId="3D0782CD">
            <w:pPr>
              <w:spacing w:line="266" w:lineRule="auto"/>
              <w:rPr>
                <w:rFonts w:ascii="Arial"/>
                <w:sz w:val="21"/>
              </w:rPr>
            </w:pPr>
          </w:p>
          <w:p w14:paraId="3E4E5588">
            <w:pPr>
              <w:spacing w:line="266" w:lineRule="auto"/>
              <w:rPr>
                <w:rFonts w:ascii="Arial"/>
                <w:sz w:val="21"/>
              </w:rPr>
            </w:pPr>
          </w:p>
          <w:p w14:paraId="17BAD719">
            <w:pPr>
              <w:spacing w:line="267" w:lineRule="auto"/>
              <w:rPr>
                <w:rFonts w:ascii="Arial"/>
                <w:sz w:val="21"/>
              </w:rPr>
            </w:pPr>
          </w:p>
          <w:p w14:paraId="60A51DB5">
            <w:pPr>
              <w:spacing w:line="267" w:lineRule="auto"/>
              <w:rPr>
                <w:rFonts w:ascii="Arial"/>
                <w:sz w:val="21"/>
              </w:rPr>
            </w:pPr>
          </w:p>
          <w:p w14:paraId="6D5CC729">
            <w:pPr>
              <w:pStyle w:val="8"/>
              <w:spacing w:before="58" w:line="241" w:lineRule="auto"/>
              <w:ind w:left="18" w:right="20"/>
              <w:jc w:val="both"/>
            </w:pPr>
            <w:r>
              <w:rPr>
                <w:spacing w:val="-6"/>
              </w:rPr>
              <w:t>对机动车维修</w:t>
            </w:r>
            <w:r>
              <w:rPr>
                <w:spacing w:val="2"/>
              </w:rPr>
              <w:t xml:space="preserve"> </w:t>
            </w:r>
            <w:r>
              <w:rPr>
                <w:spacing w:val="-6"/>
              </w:rPr>
              <w:t>经营者使用假</w:t>
            </w:r>
            <w:r>
              <w:rPr>
                <w:spacing w:val="1"/>
              </w:rPr>
              <w:t xml:space="preserve"> </w:t>
            </w:r>
            <w:r>
              <w:rPr>
                <w:spacing w:val="-6"/>
              </w:rPr>
              <w:t>冒伪劣配件维</w:t>
            </w:r>
            <w:r>
              <w:rPr>
                <w:spacing w:val="1"/>
              </w:rPr>
              <w:t xml:space="preserve"> </w:t>
            </w:r>
            <w:r>
              <w:rPr>
                <w:spacing w:val="-6"/>
              </w:rPr>
              <w:t>修机动车等行</w:t>
            </w:r>
            <w:r>
              <w:rPr>
                <w:spacing w:val="1"/>
              </w:rPr>
              <w:t xml:space="preserve"> </w:t>
            </w:r>
            <w:r>
              <w:rPr>
                <w:spacing w:val="-7"/>
              </w:rPr>
              <w:t>为的行政处罚</w:t>
            </w:r>
          </w:p>
        </w:tc>
        <w:tc>
          <w:tcPr>
            <w:tcW w:w="1101" w:type="dxa"/>
            <w:vAlign w:val="top"/>
          </w:tcPr>
          <w:p w14:paraId="5BABEE64">
            <w:pPr>
              <w:spacing w:line="260" w:lineRule="auto"/>
              <w:rPr>
                <w:rFonts w:ascii="Arial"/>
                <w:sz w:val="21"/>
              </w:rPr>
            </w:pPr>
          </w:p>
          <w:p w14:paraId="062341B0">
            <w:pPr>
              <w:spacing w:line="260" w:lineRule="auto"/>
              <w:rPr>
                <w:rFonts w:ascii="Arial"/>
                <w:sz w:val="21"/>
              </w:rPr>
            </w:pPr>
          </w:p>
          <w:p w14:paraId="4017B59F">
            <w:pPr>
              <w:spacing w:line="260" w:lineRule="auto"/>
              <w:rPr>
                <w:rFonts w:ascii="Arial"/>
                <w:sz w:val="21"/>
              </w:rPr>
            </w:pPr>
          </w:p>
          <w:p w14:paraId="5849B3B0">
            <w:pPr>
              <w:spacing w:line="260" w:lineRule="auto"/>
              <w:rPr>
                <w:rFonts w:ascii="Arial"/>
                <w:sz w:val="21"/>
              </w:rPr>
            </w:pPr>
          </w:p>
          <w:p w14:paraId="197F32DD">
            <w:pPr>
              <w:spacing w:line="260" w:lineRule="auto"/>
              <w:rPr>
                <w:rFonts w:ascii="Arial"/>
                <w:sz w:val="21"/>
              </w:rPr>
            </w:pPr>
          </w:p>
          <w:p w14:paraId="5C6F2AC0">
            <w:pPr>
              <w:spacing w:line="260" w:lineRule="auto"/>
              <w:rPr>
                <w:rFonts w:ascii="Arial"/>
                <w:sz w:val="21"/>
              </w:rPr>
            </w:pPr>
          </w:p>
          <w:p w14:paraId="4F572805">
            <w:pPr>
              <w:spacing w:line="260" w:lineRule="auto"/>
              <w:rPr>
                <w:rFonts w:ascii="Arial"/>
                <w:sz w:val="21"/>
              </w:rPr>
            </w:pPr>
          </w:p>
          <w:p w14:paraId="04AFB3EE">
            <w:pPr>
              <w:spacing w:line="260" w:lineRule="auto"/>
              <w:rPr>
                <w:rFonts w:ascii="Arial"/>
                <w:sz w:val="21"/>
              </w:rPr>
            </w:pPr>
          </w:p>
          <w:p w14:paraId="06CE3E4E">
            <w:pPr>
              <w:spacing w:line="261" w:lineRule="auto"/>
              <w:rPr>
                <w:rFonts w:ascii="Arial"/>
                <w:sz w:val="21"/>
              </w:rPr>
            </w:pPr>
          </w:p>
          <w:p w14:paraId="457B384F">
            <w:pPr>
              <w:pStyle w:val="8"/>
              <w:spacing w:before="58" w:line="220" w:lineRule="auto"/>
              <w:ind w:left="25"/>
            </w:pPr>
            <w:r>
              <w:rPr>
                <w:spacing w:val="-7"/>
              </w:rPr>
              <w:t>行政处罚</w:t>
            </w:r>
          </w:p>
        </w:tc>
        <w:tc>
          <w:tcPr>
            <w:tcW w:w="8524" w:type="dxa"/>
            <w:vAlign w:val="top"/>
          </w:tcPr>
          <w:p w14:paraId="2C3F6EFB">
            <w:pPr>
              <w:pStyle w:val="8"/>
              <w:spacing w:before="254" w:line="219" w:lineRule="auto"/>
              <w:ind w:left="458"/>
            </w:pPr>
            <w:r>
              <w:rPr>
                <w:b/>
                <w:bCs/>
                <w:spacing w:val="-10"/>
              </w:rPr>
              <w:t>1.《中华人民共和国道路运输条例》</w:t>
            </w:r>
          </w:p>
          <w:p w14:paraId="1F1158F0">
            <w:pPr>
              <w:pStyle w:val="8"/>
              <w:spacing w:before="25" w:line="233" w:lineRule="auto"/>
              <w:ind w:left="102" w:right="157" w:firstLine="342"/>
            </w:pPr>
            <w:r>
              <w:rPr>
                <w:spacing w:val="-8"/>
              </w:rPr>
              <w:t>第四十三条第一款</w:t>
            </w:r>
            <w:r>
              <w:rPr>
                <w:spacing w:val="74"/>
              </w:rPr>
              <w:t xml:space="preserve"> </w:t>
            </w:r>
            <w:r>
              <w:rPr>
                <w:spacing w:val="-8"/>
              </w:rPr>
              <w:t>机动车维修经营者应当按照国家有关技术规范对机动车进行维修，保证维修质量，不</w:t>
            </w:r>
            <w:r>
              <w:t xml:space="preserve"> </w:t>
            </w:r>
            <w:r>
              <w:rPr>
                <w:spacing w:val="-8"/>
              </w:rPr>
              <w:t>得使用假冒伪劣配件维修机动车。</w:t>
            </w:r>
          </w:p>
          <w:p w14:paraId="43E0C3FE">
            <w:pPr>
              <w:pStyle w:val="8"/>
              <w:spacing w:before="25" w:line="241" w:lineRule="auto"/>
              <w:ind w:left="102" w:right="46" w:firstLine="342"/>
              <w:jc w:val="both"/>
            </w:pPr>
            <w:r>
              <w:rPr>
                <w:spacing w:val="-8"/>
              </w:rPr>
              <w:t>第七十一条</w:t>
            </w:r>
            <w:r>
              <w:rPr>
                <w:spacing w:val="74"/>
              </w:rPr>
              <w:t xml:space="preserve"> </w:t>
            </w:r>
            <w:r>
              <w:rPr>
                <w:spacing w:val="-8"/>
              </w:rPr>
              <w:t>违反本条例的规定，机动车维修经营者使用假冒伪劣配件维修机动车，承修已报废的机动车</w:t>
            </w:r>
            <w:r>
              <w:t xml:space="preserve">  </w:t>
            </w:r>
            <w:r>
              <w:rPr>
                <w:spacing w:val="-9"/>
              </w:rPr>
              <w:t>或者擅自改装机动车的，由县级以上地方人民政府交通运输主管</w:t>
            </w:r>
            <w:r>
              <w:rPr>
                <w:spacing w:val="-10"/>
              </w:rPr>
              <w:t>部门责令改正；有违法所得的，没收违法所得，</w:t>
            </w:r>
            <w:r>
              <w:t xml:space="preserve"> </w:t>
            </w:r>
            <w:r>
              <w:rPr>
                <w:spacing w:val="-9"/>
              </w:rPr>
              <w:t>处违法所得2倍以上10倍以下的罚款；没有违法所得或者违法所得不足1万元的，处2万元以上5万元以下的罚款，</w:t>
            </w:r>
            <w:r>
              <w:rPr>
                <w:spacing w:val="6"/>
              </w:rPr>
              <w:t xml:space="preserve"> </w:t>
            </w:r>
            <w:r>
              <w:rPr>
                <w:spacing w:val="-8"/>
              </w:rPr>
              <w:t>没收假冒伪劣配件及报废车辆；情节严重的，由县级以上地方人民政府交通运输主管部门责令停业整顿；</w:t>
            </w:r>
            <w:r>
              <w:rPr>
                <w:spacing w:val="-9"/>
              </w:rPr>
              <w:t>构成</w:t>
            </w:r>
            <w:r>
              <w:t xml:space="preserve">  </w:t>
            </w:r>
            <w:r>
              <w:rPr>
                <w:spacing w:val="-8"/>
              </w:rPr>
              <w:t>犯罪的，依法追究刑事责任。</w:t>
            </w:r>
          </w:p>
          <w:p w14:paraId="6FD7E8C0">
            <w:pPr>
              <w:pStyle w:val="8"/>
              <w:spacing w:before="26" w:line="219" w:lineRule="auto"/>
              <w:ind w:left="447"/>
            </w:pPr>
            <w:r>
              <w:rPr>
                <w:b/>
                <w:bCs/>
                <w:spacing w:val="-8"/>
              </w:rPr>
              <w:t>2.《机动车维修管理规定》(交通运输部令2023年第14号)</w:t>
            </w:r>
          </w:p>
          <w:p w14:paraId="7F2305D6">
            <w:pPr>
              <w:pStyle w:val="8"/>
              <w:spacing w:before="28" w:line="239" w:lineRule="auto"/>
              <w:ind w:left="101" w:right="88" w:firstLine="343"/>
              <w:jc w:val="both"/>
            </w:pPr>
            <w:r>
              <w:rPr>
                <w:spacing w:val="-8"/>
              </w:rPr>
              <w:t>第五十一条</w:t>
            </w:r>
            <w:r>
              <w:rPr>
                <w:spacing w:val="74"/>
              </w:rPr>
              <w:t xml:space="preserve"> </w:t>
            </w:r>
            <w:r>
              <w:rPr>
                <w:spacing w:val="-8"/>
              </w:rPr>
              <w:t>违反本规定，机动车维修经营者使用假冒伪劣配件维修机动车，承修已报废的机动车或者擅</w:t>
            </w:r>
            <w:r>
              <w:t xml:space="preserve"> </w:t>
            </w:r>
            <w:r>
              <w:rPr>
                <w:spacing w:val="-8"/>
              </w:rPr>
              <w:t>自改装机动车的，由交通运输主管部门责令改正；有违法所得的，没收违法所得，处违</w:t>
            </w:r>
            <w:r>
              <w:rPr>
                <w:spacing w:val="-9"/>
              </w:rPr>
              <w:t>法所得2倍以上10倍以下</w:t>
            </w:r>
            <w:r>
              <w:t xml:space="preserve"> </w:t>
            </w:r>
            <w:r>
              <w:rPr>
                <w:spacing w:val="-8"/>
              </w:rPr>
              <w:t>的罚款；没有违法所得或者违法所得不足1万元的，处2万元以上5万元以下的罚款，</w:t>
            </w:r>
            <w:r>
              <w:rPr>
                <w:spacing w:val="-9"/>
              </w:rPr>
              <w:t>没收假冒伪劣配件及报废车</w:t>
            </w:r>
            <w:r>
              <w:t xml:space="preserve"> </w:t>
            </w:r>
            <w:r>
              <w:rPr>
                <w:spacing w:val="-8"/>
              </w:rPr>
              <w:t>辆；情节严重的，由交通运输主管部门责令停业整顿；构成犯罪的，依法追究刑事责任。</w:t>
            </w:r>
          </w:p>
          <w:p w14:paraId="6944EC93">
            <w:pPr>
              <w:pStyle w:val="8"/>
              <w:spacing w:before="26" w:line="219" w:lineRule="auto"/>
              <w:ind w:left="449"/>
            </w:pPr>
            <w:r>
              <w:rPr>
                <w:b/>
                <w:bCs/>
                <w:spacing w:val="-9"/>
              </w:rPr>
              <w:t>3.《湖南省高速公路条例》</w:t>
            </w:r>
          </w:p>
          <w:p w14:paraId="076039F6">
            <w:pPr>
              <w:pStyle w:val="8"/>
              <w:spacing w:before="26" w:line="233" w:lineRule="auto"/>
              <w:ind w:left="102" w:right="157" w:firstLine="343"/>
            </w:pPr>
            <w:r>
              <w:rPr>
                <w:spacing w:val="-8"/>
              </w:rPr>
              <w:t>第三十条</w:t>
            </w:r>
            <w:r>
              <w:rPr>
                <w:spacing w:val="78"/>
              </w:rPr>
              <w:t xml:space="preserve"> </w:t>
            </w:r>
            <w:r>
              <w:rPr>
                <w:spacing w:val="-8"/>
              </w:rPr>
              <w:t>高速公路服务区机动车维修经营者应当按照国家有关技术规范对机动车进行维修，保</w:t>
            </w:r>
            <w:r>
              <w:rPr>
                <w:spacing w:val="-9"/>
              </w:rPr>
              <w:t>证维修质</w:t>
            </w:r>
            <w:r>
              <w:t xml:space="preserve"> </w:t>
            </w:r>
            <w:r>
              <w:rPr>
                <w:spacing w:val="-8"/>
              </w:rPr>
              <w:t>量，并在实施维修前向车主明示维修收费标准。</w:t>
            </w:r>
          </w:p>
          <w:p w14:paraId="322DB3A1">
            <w:pPr>
              <w:pStyle w:val="8"/>
              <w:spacing w:before="26" w:line="237" w:lineRule="auto"/>
              <w:ind w:left="102" w:right="150" w:firstLine="342"/>
              <w:jc w:val="both"/>
            </w:pPr>
            <w:r>
              <w:rPr>
                <w:spacing w:val="-8"/>
              </w:rPr>
              <w:t>第五十二条</w:t>
            </w:r>
            <w:r>
              <w:rPr>
                <w:spacing w:val="74"/>
              </w:rPr>
              <w:t xml:space="preserve"> </w:t>
            </w:r>
            <w:r>
              <w:rPr>
                <w:spacing w:val="-8"/>
              </w:rPr>
              <w:t>违反本条例第三十条规定，高速公路服务区机动车维修经营者使用假冒伪劣配件维修机动车</w:t>
            </w:r>
            <w:r>
              <w:t xml:space="preserve"> </w:t>
            </w:r>
            <w:r>
              <w:rPr>
                <w:spacing w:val="-8"/>
              </w:rPr>
              <w:t>的，由道路运输管理机构责令改正，没收违法所得，处违法所得二倍以上十倍以下罚款；没有违法所得或</w:t>
            </w:r>
            <w:r>
              <w:rPr>
                <w:spacing w:val="-9"/>
              </w:rPr>
              <w:t>者违</w:t>
            </w:r>
            <w:r>
              <w:t xml:space="preserve"> </w:t>
            </w:r>
            <w:r>
              <w:rPr>
                <w:spacing w:val="-8"/>
              </w:rPr>
              <w:t>法所得不足一万元的，处二万元以上五万元以下罚款。</w:t>
            </w:r>
          </w:p>
        </w:tc>
        <w:tc>
          <w:tcPr>
            <w:tcW w:w="1011" w:type="dxa"/>
            <w:vAlign w:val="top"/>
          </w:tcPr>
          <w:p w14:paraId="609437E2">
            <w:pPr>
              <w:spacing w:line="246" w:lineRule="auto"/>
              <w:rPr>
                <w:rFonts w:ascii="Arial"/>
                <w:sz w:val="21"/>
              </w:rPr>
            </w:pPr>
          </w:p>
          <w:p w14:paraId="02AEF0FE">
            <w:pPr>
              <w:spacing w:line="246" w:lineRule="auto"/>
              <w:rPr>
                <w:rFonts w:ascii="Arial"/>
                <w:sz w:val="21"/>
              </w:rPr>
            </w:pPr>
          </w:p>
          <w:p w14:paraId="19105B5E">
            <w:pPr>
              <w:spacing w:line="247" w:lineRule="auto"/>
              <w:rPr>
                <w:rFonts w:ascii="Arial"/>
                <w:sz w:val="21"/>
              </w:rPr>
            </w:pPr>
          </w:p>
          <w:p w14:paraId="16DDD5BE">
            <w:pPr>
              <w:spacing w:line="247" w:lineRule="auto"/>
              <w:rPr>
                <w:rFonts w:ascii="Arial"/>
                <w:sz w:val="21"/>
              </w:rPr>
            </w:pPr>
          </w:p>
          <w:p w14:paraId="45188FAA">
            <w:pPr>
              <w:spacing w:line="247" w:lineRule="auto"/>
              <w:rPr>
                <w:rFonts w:ascii="Arial"/>
                <w:sz w:val="21"/>
              </w:rPr>
            </w:pPr>
          </w:p>
          <w:p w14:paraId="09308472">
            <w:pPr>
              <w:spacing w:line="247" w:lineRule="auto"/>
              <w:rPr>
                <w:rFonts w:ascii="Arial"/>
                <w:sz w:val="21"/>
              </w:rPr>
            </w:pPr>
          </w:p>
          <w:p w14:paraId="65033DF9">
            <w:pPr>
              <w:spacing w:line="247" w:lineRule="auto"/>
              <w:rPr>
                <w:rFonts w:ascii="Arial"/>
                <w:sz w:val="21"/>
              </w:rPr>
            </w:pPr>
          </w:p>
          <w:p w14:paraId="103E8D50">
            <w:pPr>
              <w:spacing w:line="247" w:lineRule="auto"/>
              <w:rPr>
                <w:rFonts w:ascii="Arial"/>
                <w:sz w:val="21"/>
              </w:rPr>
            </w:pPr>
          </w:p>
          <w:p w14:paraId="11EC7866">
            <w:pPr>
              <w:spacing w:line="247" w:lineRule="auto"/>
              <w:rPr>
                <w:rFonts w:ascii="Arial"/>
                <w:sz w:val="21"/>
              </w:rPr>
            </w:pPr>
          </w:p>
          <w:p w14:paraId="31C9BEBC">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56DEAFCA">
            <w:pPr>
              <w:spacing w:line="246" w:lineRule="auto"/>
              <w:rPr>
                <w:rFonts w:ascii="Arial"/>
                <w:sz w:val="21"/>
              </w:rPr>
            </w:pPr>
          </w:p>
          <w:p w14:paraId="3855E59C">
            <w:pPr>
              <w:spacing w:line="246" w:lineRule="auto"/>
              <w:rPr>
                <w:rFonts w:ascii="Arial"/>
                <w:sz w:val="21"/>
              </w:rPr>
            </w:pPr>
          </w:p>
          <w:p w14:paraId="7684EEE5">
            <w:pPr>
              <w:spacing w:line="247" w:lineRule="auto"/>
              <w:rPr>
                <w:rFonts w:ascii="Arial"/>
                <w:sz w:val="21"/>
              </w:rPr>
            </w:pPr>
          </w:p>
          <w:p w14:paraId="4D4B760F">
            <w:pPr>
              <w:spacing w:line="247" w:lineRule="auto"/>
              <w:rPr>
                <w:rFonts w:ascii="Arial"/>
                <w:sz w:val="21"/>
              </w:rPr>
            </w:pPr>
          </w:p>
          <w:p w14:paraId="14EE6CC7">
            <w:pPr>
              <w:spacing w:line="247" w:lineRule="auto"/>
              <w:rPr>
                <w:rFonts w:ascii="Arial"/>
                <w:sz w:val="21"/>
              </w:rPr>
            </w:pPr>
          </w:p>
          <w:p w14:paraId="583BBC3A">
            <w:pPr>
              <w:spacing w:line="247" w:lineRule="auto"/>
              <w:rPr>
                <w:rFonts w:ascii="Arial"/>
                <w:sz w:val="21"/>
              </w:rPr>
            </w:pPr>
          </w:p>
          <w:p w14:paraId="633CBE19">
            <w:pPr>
              <w:spacing w:line="247" w:lineRule="auto"/>
              <w:rPr>
                <w:rFonts w:ascii="Arial"/>
                <w:sz w:val="21"/>
              </w:rPr>
            </w:pPr>
          </w:p>
          <w:p w14:paraId="1BF539CA">
            <w:pPr>
              <w:spacing w:line="247" w:lineRule="auto"/>
              <w:rPr>
                <w:rFonts w:ascii="Arial"/>
                <w:sz w:val="21"/>
              </w:rPr>
            </w:pPr>
          </w:p>
          <w:p w14:paraId="7277D77A">
            <w:pPr>
              <w:spacing w:line="247" w:lineRule="auto"/>
              <w:rPr>
                <w:rFonts w:ascii="Arial"/>
                <w:sz w:val="21"/>
              </w:rPr>
            </w:pPr>
          </w:p>
          <w:p w14:paraId="53FB3993">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60F82CA">
            <w:pPr>
              <w:spacing w:line="248" w:lineRule="auto"/>
              <w:rPr>
                <w:rFonts w:ascii="Arial"/>
                <w:sz w:val="21"/>
              </w:rPr>
            </w:pPr>
          </w:p>
          <w:p w14:paraId="6001A999">
            <w:pPr>
              <w:spacing w:line="248" w:lineRule="auto"/>
              <w:rPr>
                <w:rFonts w:ascii="Arial"/>
                <w:sz w:val="21"/>
              </w:rPr>
            </w:pPr>
          </w:p>
          <w:p w14:paraId="59CF0249">
            <w:pPr>
              <w:spacing w:line="248" w:lineRule="auto"/>
              <w:rPr>
                <w:rFonts w:ascii="Arial"/>
                <w:sz w:val="21"/>
              </w:rPr>
            </w:pPr>
          </w:p>
          <w:p w14:paraId="172AA12E">
            <w:pPr>
              <w:spacing w:line="248" w:lineRule="auto"/>
              <w:rPr>
                <w:rFonts w:ascii="Arial"/>
                <w:sz w:val="21"/>
              </w:rPr>
            </w:pPr>
          </w:p>
          <w:p w14:paraId="3E36F0F9">
            <w:pPr>
              <w:spacing w:line="248" w:lineRule="auto"/>
              <w:rPr>
                <w:rFonts w:ascii="Arial"/>
                <w:sz w:val="21"/>
              </w:rPr>
            </w:pPr>
          </w:p>
          <w:p w14:paraId="791FA543">
            <w:pPr>
              <w:spacing w:line="248" w:lineRule="auto"/>
              <w:rPr>
                <w:rFonts w:ascii="Arial"/>
                <w:sz w:val="21"/>
              </w:rPr>
            </w:pPr>
          </w:p>
          <w:p w14:paraId="590C802E">
            <w:pPr>
              <w:spacing w:line="248" w:lineRule="auto"/>
              <w:rPr>
                <w:rFonts w:ascii="Arial"/>
                <w:sz w:val="21"/>
              </w:rPr>
            </w:pPr>
          </w:p>
          <w:p w14:paraId="1EC9EAA2">
            <w:pPr>
              <w:spacing w:line="248" w:lineRule="auto"/>
              <w:rPr>
                <w:rFonts w:ascii="Arial"/>
                <w:sz w:val="21"/>
              </w:rPr>
            </w:pPr>
          </w:p>
          <w:p w14:paraId="109B9D02">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216E099F">
      <w:pPr>
        <w:pStyle w:val="2"/>
      </w:pPr>
    </w:p>
    <w:p w14:paraId="6D90FC7E">
      <w:pPr>
        <w:sectPr>
          <w:footerReference r:id="rId37" w:type="default"/>
          <w:pgSz w:w="16839" w:h="11906"/>
          <w:pgMar w:top="1012" w:right="1016" w:bottom="966" w:left="1016" w:header="0" w:footer="768" w:gutter="0"/>
          <w:cols w:space="720" w:num="1"/>
        </w:sectPr>
      </w:pPr>
    </w:p>
    <w:p w14:paraId="41375A0E">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670B9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377346CE">
            <w:pPr>
              <w:pStyle w:val="8"/>
              <w:spacing w:before="273" w:line="221" w:lineRule="auto"/>
              <w:ind w:left="129"/>
            </w:pPr>
            <w:r>
              <w:rPr>
                <w:b/>
                <w:bCs/>
                <w:spacing w:val="-4"/>
              </w:rPr>
              <w:t>序号</w:t>
            </w:r>
          </w:p>
        </w:tc>
        <w:tc>
          <w:tcPr>
            <w:tcW w:w="1101" w:type="dxa"/>
            <w:vMerge w:val="restart"/>
            <w:tcBorders>
              <w:bottom w:val="nil"/>
            </w:tcBorders>
            <w:vAlign w:val="top"/>
          </w:tcPr>
          <w:p w14:paraId="2082A417">
            <w:pPr>
              <w:pStyle w:val="8"/>
              <w:spacing w:before="274" w:line="220" w:lineRule="auto"/>
              <w:ind w:left="182"/>
            </w:pPr>
            <w:r>
              <w:rPr>
                <w:b/>
                <w:bCs/>
                <w:spacing w:val="-4"/>
              </w:rPr>
              <w:t>事项名称</w:t>
            </w:r>
          </w:p>
        </w:tc>
        <w:tc>
          <w:tcPr>
            <w:tcW w:w="1101" w:type="dxa"/>
            <w:vMerge w:val="restart"/>
            <w:tcBorders>
              <w:bottom w:val="nil"/>
            </w:tcBorders>
            <w:vAlign w:val="top"/>
          </w:tcPr>
          <w:p w14:paraId="1EFDB44A">
            <w:pPr>
              <w:pStyle w:val="8"/>
              <w:spacing w:before="274" w:line="219" w:lineRule="auto"/>
              <w:ind w:left="183"/>
            </w:pPr>
            <w:r>
              <w:rPr>
                <w:b/>
                <w:bCs/>
                <w:spacing w:val="-4"/>
              </w:rPr>
              <w:t>职权类型</w:t>
            </w:r>
          </w:p>
        </w:tc>
        <w:tc>
          <w:tcPr>
            <w:tcW w:w="8524" w:type="dxa"/>
            <w:vMerge w:val="restart"/>
            <w:tcBorders>
              <w:bottom w:val="nil"/>
            </w:tcBorders>
            <w:vAlign w:val="top"/>
          </w:tcPr>
          <w:p w14:paraId="46F2BF90">
            <w:pPr>
              <w:pStyle w:val="8"/>
              <w:spacing w:before="273" w:line="219" w:lineRule="auto"/>
              <w:ind w:left="4083"/>
            </w:pPr>
            <w:r>
              <w:rPr>
                <w:b/>
                <w:bCs/>
                <w:spacing w:val="-5"/>
              </w:rPr>
              <w:t>实施依据</w:t>
            </w:r>
          </w:p>
        </w:tc>
        <w:tc>
          <w:tcPr>
            <w:tcW w:w="3435" w:type="dxa"/>
            <w:gridSpan w:val="3"/>
            <w:vAlign w:val="top"/>
          </w:tcPr>
          <w:p w14:paraId="51B60F86">
            <w:pPr>
              <w:pStyle w:val="8"/>
              <w:spacing w:before="94" w:line="220" w:lineRule="auto"/>
              <w:ind w:left="1360"/>
            </w:pPr>
            <w:r>
              <w:rPr>
                <w:b/>
                <w:bCs/>
                <w:spacing w:val="-5"/>
              </w:rPr>
              <w:t>实施主体</w:t>
            </w:r>
          </w:p>
        </w:tc>
      </w:tr>
      <w:tr w14:paraId="1F3A5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6319E1FD">
            <w:pPr>
              <w:rPr>
                <w:rFonts w:ascii="Arial"/>
                <w:sz w:val="21"/>
              </w:rPr>
            </w:pPr>
          </w:p>
        </w:tc>
        <w:tc>
          <w:tcPr>
            <w:tcW w:w="1101" w:type="dxa"/>
            <w:vMerge w:val="continue"/>
            <w:tcBorders>
              <w:top w:val="nil"/>
            </w:tcBorders>
            <w:vAlign w:val="top"/>
          </w:tcPr>
          <w:p w14:paraId="3BBD2A48">
            <w:pPr>
              <w:rPr>
                <w:rFonts w:ascii="Arial"/>
                <w:sz w:val="21"/>
              </w:rPr>
            </w:pPr>
          </w:p>
        </w:tc>
        <w:tc>
          <w:tcPr>
            <w:tcW w:w="1101" w:type="dxa"/>
            <w:vMerge w:val="continue"/>
            <w:tcBorders>
              <w:top w:val="nil"/>
            </w:tcBorders>
            <w:vAlign w:val="top"/>
          </w:tcPr>
          <w:p w14:paraId="51F601E2">
            <w:pPr>
              <w:rPr>
                <w:rFonts w:ascii="Arial"/>
                <w:sz w:val="21"/>
              </w:rPr>
            </w:pPr>
          </w:p>
        </w:tc>
        <w:tc>
          <w:tcPr>
            <w:tcW w:w="8524" w:type="dxa"/>
            <w:vMerge w:val="continue"/>
            <w:tcBorders>
              <w:top w:val="nil"/>
            </w:tcBorders>
            <w:vAlign w:val="top"/>
          </w:tcPr>
          <w:p w14:paraId="10F760A0">
            <w:pPr>
              <w:rPr>
                <w:rFonts w:ascii="Arial"/>
                <w:sz w:val="21"/>
              </w:rPr>
            </w:pPr>
          </w:p>
        </w:tc>
        <w:tc>
          <w:tcPr>
            <w:tcW w:w="1011" w:type="dxa"/>
            <w:vAlign w:val="top"/>
          </w:tcPr>
          <w:p w14:paraId="48FAF9AC">
            <w:pPr>
              <w:pStyle w:val="8"/>
              <w:spacing w:before="85" w:line="219" w:lineRule="auto"/>
              <w:ind w:left="154"/>
            </w:pPr>
            <w:r>
              <w:rPr>
                <w:b/>
                <w:bCs/>
                <w:spacing w:val="-5"/>
              </w:rPr>
              <w:t>责任部门</w:t>
            </w:r>
          </w:p>
        </w:tc>
        <w:tc>
          <w:tcPr>
            <w:tcW w:w="1404" w:type="dxa"/>
            <w:vAlign w:val="top"/>
          </w:tcPr>
          <w:p w14:paraId="4FD10FBB">
            <w:pPr>
              <w:pStyle w:val="8"/>
              <w:spacing w:before="85" w:line="219" w:lineRule="auto"/>
              <w:ind w:left="164"/>
            </w:pPr>
            <w:r>
              <w:rPr>
                <w:b/>
                <w:bCs/>
                <w:spacing w:val="-3"/>
              </w:rPr>
              <w:t>第一责任层级</w:t>
            </w:r>
          </w:p>
        </w:tc>
        <w:tc>
          <w:tcPr>
            <w:tcW w:w="1020" w:type="dxa"/>
            <w:vAlign w:val="top"/>
          </w:tcPr>
          <w:p w14:paraId="16067135">
            <w:pPr>
              <w:pStyle w:val="8"/>
              <w:spacing w:before="84" w:line="219" w:lineRule="auto"/>
              <w:ind w:left="114"/>
            </w:pPr>
            <w:r>
              <w:rPr>
                <w:b/>
                <w:bCs/>
                <w:spacing w:val="-4"/>
              </w:rPr>
              <w:t>承办机构</w:t>
            </w:r>
          </w:p>
        </w:tc>
      </w:tr>
      <w:tr w14:paraId="6346B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21" w:hRule="atLeast"/>
        </w:trPr>
        <w:tc>
          <w:tcPr>
            <w:tcW w:w="629" w:type="dxa"/>
            <w:vAlign w:val="top"/>
          </w:tcPr>
          <w:p w14:paraId="0F78FCBC">
            <w:pPr>
              <w:spacing w:line="272" w:lineRule="auto"/>
              <w:rPr>
                <w:rFonts w:ascii="Arial"/>
                <w:sz w:val="21"/>
              </w:rPr>
            </w:pPr>
          </w:p>
          <w:p w14:paraId="7CE21C65">
            <w:pPr>
              <w:spacing w:line="273" w:lineRule="auto"/>
              <w:rPr>
                <w:rFonts w:ascii="Arial"/>
                <w:sz w:val="21"/>
              </w:rPr>
            </w:pPr>
          </w:p>
          <w:p w14:paraId="08C0445D">
            <w:pPr>
              <w:spacing w:line="273" w:lineRule="auto"/>
              <w:rPr>
                <w:rFonts w:ascii="Arial"/>
                <w:sz w:val="21"/>
              </w:rPr>
            </w:pPr>
          </w:p>
          <w:p w14:paraId="3CFFA93F">
            <w:pPr>
              <w:spacing w:line="273" w:lineRule="auto"/>
              <w:rPr>
                <w:rFonts w:ascii="Arial"/>
                <w:sz w:val="21"/>
              </w:rPr>
            </w:pPr>
          </w:p>
          <w:p w14:paraId="1E2310EB">
            <w:pPr>
              <w:spacing w:line="273" w:lineRule="auto"/>
              <w:rPr>
                <w:rFonts w:ascii="Arial"/>
                <w:sz w:val="21"/>
              </w:rPr>
            </w:pPr>
          </w:p>
          <w:p w14:paraId="43E373E4">
            <w:pPr>
              <w:spacing w:line="273" w:lineRule="auto"/>
              <w:rPr>
                <w:rFonts w:ascii="Arial"/>
                <w:sz w:val="21"/>
              </w:rPr>
            </w:pPr>
          </w:p>
          <w:p w14:paraId="47708FEF">
            <w:pPr>
              <w:pStyle w:val="8"/>
              <w:spacing w:before="58" w:line="183" w:lineRule="auto"/>
              <w:ind w:left="223"/>
              <w:rPr>
                <w:rFonts w:hint="eastAsia" w:eastAsia="宋体"/>
                <w:lang w:eastAsia="zh-CN"/>
              </w:rPr>
            </w:pPr>
            <w:r>
              <w:rPr>
                <w:spacing w:val="-4"/>
              </w:rPr>
              <w:t>2</w:t>
            </w:r>
            <w:r>
              <w:rPr>
                <w:rFonts w:hint="eastAsia"/>
                <w:spacing w:val="-4"/>
                <w:lang w:val="en-US" w:eastAsia="zh-CN"/>
              </w:rPr>
              <w:t>6</w:t>
            </w:r>
          </w:p>
        </w:tc>
        <w:tc>
          <w:tcPr>
            <w:tcW w:w="1101" w:type="dxa"/>
            <w:vAlign w:val="top"/>
          </w:tcPr>
          <w:p w14:paraId="69659029">
            <w:pPr>
              <w:spacing w:line="282" w:lineRule="auto"/>
              <w:rPr>
                <w:rFonts w:ascii="Arial"/>
                <w:sz w:val="21"/>
              </w:rPr>
            </w:pPr>
          </w:p>
          <w:p w14:paraId="7FD338A1">
            <w:pPr>
              <w:spacing w:line="283" w:lineRule="auto"/>
              <w:rPr>
                <w:rFonts w:ascii="Arial"/>
                <w:sz w:val="21"/>
              </w:rPr>
            </w:pPr>
          </w:p>
          <w:p w14:paraId="718FC177">
            <w:pPr>
              <w:spacing w:line="283" w:lineRule="auto"/>
              <w:rPr>
                <w:rFonts w:ascii="Arial"/>
                <w:sz w:val="21"/>
              </w:rPr>
            </w:pPr>
          </w:p>
          <w:p w14:paraId="7D5EFD51">
            <w:pPr>
              <w:spacing w:line="283" w:lineRule="auto"/>
              <w:rPr>
                <w:rFonts w:ascii="Arial"/>
                <w:sz w:val="21"/>
              </w:rPr>
            </w:pPr>
          </w:p>
          <w:p w14:paraId="5894E0CD">
            <w:pPr>
              <w:pStyle w:val="8"/>
              <w:spacing w:before="59" w:line="241" w:lineRule="auto"/>
              <w:ind w:left="18" w:right="20"/>
              <w:jc w:val="both"/>
            </w:pPr>
            <w:r>
              <w:rPr>
                <w:spacing w:val="-6"/>
              </w:rPr>
              <w:t>对机动车维修</w:t>
            </w:r>
            <w:r>
              <w:rPr>
                <w:spacing w:val="2"/>
              </w:rPr>
              <w:t xml:space="preserve"> </w:t>
            </w:r>
            <w:r>
              <w:rPr>
                <w:spacing w:val="-6"/>
              </w:rPr>
              <w:t>经营者签发虚</w:t>
            </w:r>
            <w:r>
              <w:rPr>
                <w:spacing w:val="1"/>
              </w:rPr>
              <w:t xml:space="preserve"> </w:t>
            </w:r>
            <w:r>
              <w:rPr>
                <w:spacing w:val="-6"/>
              </w:rPr>
              <w:t>假机动车维修</w:t>
            </w:r>
            <w:r>
              <w:rPr>
                <w:spacing w:val="1"/>
              </w:rPr>
              <w:t xml:space="preserve"> </w:t>
            </w:r>
            <w:r>
              <w:rPr>
                <w:spacing w:val="-6"/>
              </w:rPr>
              <w:t>竣工出厂合格</w:t>
            </w:r>
            <w:r>
              <w:rPr>
                <w:spacing w:val="1"/>
              </w:rPr>
              <w:t xml:space="preserve"> </w:t>
            </w:r>
            <w:r>
              <w:rPr>
                <w:spacing w:val="-7"/>
              </w:rPr>
              <w:t>证的行政处罚</w:t>
            </w:r>
          </w:p>
        </w:tc>
        <w:tc>
          <w:tcPr>
            <w:tcW w:w="1101" w:type="dxa"/>
            <w:vAlign w:val="top"/>
          </w:tcPr>
          <w:p w14:paraId="633D1CB1">
            <w:pPr>
              <w:spacing w:line="268" w:lineRule="auto"/>
              <w:rPr>
                <w:rFonts w:ascii="Arial"/>
                <w:sz w:val="21"/>
              </w:rPr>
            </w:pPr>
          </w:p>
          <w:p w14:paraId="3BDE8B20">
            <w:pPr>
              <w:spacing w:line="268" w:lineRule="auto"/>
              <w:rPr>
                <w:rFonts w:ascii="Arial"/>
                <w:sz w:val="21"/>
              </w:rPr>
            </w:pPr>
          </w:p>
          <w:p w14:paraId="50CE858D">
            <w:pPr>
              <w:spacing w:line="268" w:lineRule="auto"/>
              <w:rPr>
                <w:rFonts w:ascii="Arial"/>
                <w:sz w:val="21"/>
              </w:rPr>
            </w:pPr>
          </w:p>
          <w:p w14:paraId="2E4BFF4B">
            <w:pPr>
              <w:spacing w:line="268" w:lineRule="auto"/>
              <w:rPr>
                <w:rFonts w:ascii="Arial"/>
                <w:sz w:val="21"/>
              </w:rPr>
            </w:pPr>
          </w:p>
          <w:p w14:paraId="1F89C277">
            <w:pPr>
              <w:spacing w:line="268" w:lineRule="auto"/>
              <w:rPr>
                <w:rFonts w:ascii="Arial"/>
                <w:sz w:val="21"/>
              </w:rPr>
            </w:pPr>
          </w:p>
          <w:p w14:paraId="74E72DD6">
            <w:pPr>
              <w:spacing w:line="269" w:lineRule="auto"/>
              <w:rPr>
                <w:rFonts w:ascii="Arial"/>
                <w:sz w:val="21"/>
              </w:rPr>
            </w:pPr>
          </w:p>
          <w:p w14:paraId="08A78713">
            <w:pPr>
              <w:pStyle w:val="8"/>
              <w:spacing w:before="58" w:line="220" w:lineRule="auto"/>
              <w:ind w:left="25"/>
            </w:pPr>
            <w:r>
              <w:rPr>
                <w:spacing w:val="-7"/>
              </w:rPr>
              <w:t>行政处罚</w:t>
            </w:r>
          </w:p>
        </w:tc>
        <w:tc>
          <w:tcPr>
            <w:tcW w:w="8524" w:type="dxa"/>
            <w:vAlign w:val="top"/>
          </w:tcPr>
          <w:p w14:paraId="7BA60DE9">
            <w:pPr>
              <w:spacing w:line="244" w:lineRule="auto"/>
              <w:rPr>
                <w:rFonts w:ascii="Arial"/>
                <w:sz w:val="21"/>
              </w:rPr>
            </w:pPr>
          </w:p>
          <w:p w14:paraId="66698978">
            <w:pPr>
              <w:pStyle w:val="8"/>
              <w:spacing w:before="59" w:line="219" w:lineRule="auto"/>
              <w:ind w:left="458"/>
            </w:pPr>
            <w:r>
              <w:rPr>
                <w:b/>
                <w:bCs/>
                <w:spacing w:val="-10"/>
              </w:rPr>
              <w:t>1.《中华人民共和国道路运输条例》</w:t>
            </w:r>
          </w:p>
          <w:p w14:paraId="1DD2D37A">
            <w:pPr>
              <w:pStyle w:val="8"/>
              <w:spacing w:before="36" w:line="242" w:lineRule="auto"/>
              <w:ind w:left="102" w:right="157" w:firstLine="342"/>
            </w:pPr>
            <w:r>
              <w:rPr>
                <w:spacing w:val="-8"/>
              </w:rPr>
              <w:t>第四十四条第一款</w:t>
            </w:r>
            <w:r>
              <w:rPr>
                <w:spacing w:val="74"/>
              </w:rPr>
              <w:t xml:space="preserve"> </w:t>
            </w:r>
            <w:r>
              <w:rPr>
                <w:spacing w:val="-8"/>
              </w:rPr>
              <w:t>机动车维修经营者对机动车进行二级维护、总成修理或者整车修理的，应当进行维修</w:t>
            </w:r>
            <w:r>
              <w:t xml:space="preserve"> </w:t>
            </w:r>
            <w:r>
              <w:rPr>
                <w:spacing w:val="-8"/>
              </w:rPr>
              <w:t>质量检验。检验合格的，维修质量检验人员应当签发机动车维修合格证。</w:t>
            </w:r>
          </w:p>
          <w:p w14:paraId="32509381">
            <w:pPr>
              <w:pStyle w:val="8"/>
              <w:spacing w:before="26" w:line="250" w:lineRule="auto"/>
              <w:ind w:left="101" w:right="88" w:firstLine="343"/>
            </w:pPr>
            <w:r>
              <w:rPr>
                <w:spacing w:val="-8"/>
              </w:rPr>
              <w:t>第七十二条</w:t>
            </w:r>
            <w:r>
              <w:rPr>
                <w:spacing w:val="74"/>
              </w:rPr>
              <w:t xml:space="preserve"> </w:t>
            </w:r>
            <w:r>
              <w:rPr>
                <w:spacing w:val="-8"/>
              </w:rPr>
              <w:t>违反本条例的规定，机动车维修经营者签发虚假的机动车维修合格证，由县级以上地方人民</w:t>
            </w:r>
            <w:r>
              <w:t xml:space="preserve"> </w:t>
            </w:r>
            <w:r>
              <w:rPr>
                <w:spacing w:val="-8"/>
              </w:rPr>
              <w:t>政府交通运输主管部门责令改正；有违法所得的，没收违法所得，处违法所得2倍以上</w:t>
            </w:r>
            <w:r>
              <w:rPr>
                <w:spacing w:val="-9"/>
              </w:rPr>
              <w:t>10倍以下的罚款；没有违</w:t>
            </w:r>
            <w:r>
              <w:t xml:space="preserve"> </w:t>
            </w:r>
            <w:r>
              <w:rPr>
                <w:spacing w:val="-8"/>
              </w:rPr>
              <w:t>法所得或者违法所得不足3000元的，处5000元以上2万元以下的罚款；情节严重的，由县级以上地方人民政府交</w:t>
            </w:r>
            <w:r>
              <w:rPr>
                <w:spacing w:val="12"/>
              </w:rPr>
              <w:t xml:space="preserve"> </w:t>
            </w:r>
            <w:r>
              <w:rPr>
                <w:spacing w:val="-8"/>
              </w:rPr>
              <w:t>通运输主管部门责令停业整顿；构成犯罪的，依法追究刑事责任。</w:t>
            </w:r>
          </w:p>
          <w:p w14:paraId="0EF2AF41">
            <w:pPr>
              <w:pStyle w:val="8"/>
              <w:spacing w:before="25" w:line="219" w:lineRule="auto"/>
              <w:ind w:left="447"/>
            </w:pPr>
            <w:r>
              <w:rPr>
                <w:b/>
                <w:bCs/>
                <w:spacing w:val="-8"/>
              </w:rPr>
              <w:t>2.《机动车维修管理规定》(交通运输部令2023年第14号)</w:t>
            </w:r>
          </w:p>
          <w:p w14:paraId="1EE317C8">
            <w:pPr>
              <w:pStyle w:val="8"/>
              <w:spacing w:before="36" w:line="250" w:lineRule="auto"/>
              <w:ind w:left="103" w:right="46" w:firstLine="341"/>
              <w:jc w:val="both"/>
            </w:pPr>
            <w:r>
              <w:rPr>
                <w:spacing w:val="-8"/>
              </w:rPr>
              <w:t>第五十二条</w:t>
            </w:r>
            <w:r>
              <w:rPr>
                <w:spacing w:val="74"/>
              </w:rPr>
              <w:t xml:space="preserve"> </w:t>
            </w:r>
            <w:r>
              <w:rPr>
                <w:spacing w:val="-8"/>
              </w:rPr>
              <w:t>违反本规定，机动车维修经营者签发虚假机动车维修竣工出厂合格证的，由交通运输主管部</w:t>
            </w:r>
            <w:r>
              <w:t xml:space="preserve">  </w:t>
            </w:r>
            <w:r>
              <w:rPr>
                <w:spacing w:val="-8"/>
              </w:rPr>
              <w:t>门责令改正；有违法所得的，没收违法所得，处违法所得2倍以上10倍以下的罚</w:t>
            </w:r>
            <w:r>
              <w:rPr>
                <w:spacing w:val="-9"/>
              </w:rPr>
              <w:t>款；没有违法所得或者违法所得</w:t>
            </w:r>
            <w:r>
              <w:t xml:space="preserve"> </w:t>
            </w:r>
            <w:r>
              <w:rPr>
                <w:spacing w:val="-10"/>
              </w:rPr>
              <w:t>不足3000元的，处5000元以上2万元以下的罚款；情节严重的，由交通运输主管部门</w:t>
            </w:r>
            <w:r>
              <w:rPr>
                <w:spacing w:val="-11"/>
              </w:rPr>
              <w:t>责令停业整顿；构成犯罪的，</w:t>
            </w:r>
            <w:r>
              <w:t xml:space="preserve"> </w:t>
            </w:r>
            <w:r>
              <w:rPr>
                <w:spacing w:val="-8"/>
              </w:rPr>
              <w:t>依法追究刑事责任。</w:t>
            </w:r>
          </w:p>
        </w:tc>
        <w:tc>
          <w:tcPr>
            <w:tcW w:w="1011" w:type="dxa"/>
            <w:vAlign w:val="top"/>
          </w:tcPr>
          <w:p w14:paraId="61D2A0C9">
            <w:pPr>
              <w:spacing w:line="248" w:lineRule="auto"/>
              <w:rPr>
                <w:rFonts w:ascii="Arial"/>
                <w:sz w:val="21"/>
              </w:rPr>
            </w:pPr>
          </w:p>
          <w:p w14:paraId="0CB12B38">
            <w:pPr>
              <w:spacing w:line="248" w:lineRule="auto"/>
              <w:rPr>
                <w:rFonts w:ascii="Arial"/>
                <w:sz w:val="21"/>
              </w:rPr>
            </w:pPr>
          </w:p>
          <w:p w14:paraId="362303F5">
            <w:pPr>
              <w:spacing w:line="248" w:lineRule="auto"/>
              <w:rPr>
                <w:rFonts w:ascii="Arial"/>
                <w:sz w:val="21"/>
              </w:rPr>
            </w:pPr>
          </w:p>
          <w:p w14:paraId="4AB4C1BD">
            <w:pPr>
              <w:spacing w:line="248" w:lineRule="auto"/>
              <w:rPr>
                <w:rFonts w:ascii="Arial"/>
                <w:sz w:val="21"/>
              </w:rPr>
            </w:pPr>
          </w:p>
          <w:p w14:paraId="4F4F50E5">
            <w:pPr>
              <w:spacing w:line="248" w:lineRule="auto"/>
              <w:rPr>
                <w:rFonts w:ascii="Arial"/>
                <w:sz w:val="21"/>
              </w:rPr>
            </w:pPr>
          </w:p>
          <w:p w14:paraId="5616BB4C">
            <w:pPr>
              <w:spacing w:line="249" w:lineRule="auto"/>
              <w:rPr>
                <w:rFonts w:ascii="Arial"/>
                <w:sz w:val="21"/>
              </w:rPr>
            </w:pPr>
          </w:p>
          <w:p w14:paraId="3E948C73">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1904BFBB">
            <w:pPr>
              <w:spacing w:line="248" w:lineRule="auto"/>
              <w:rPr>
                <w:rFonts w:ascii="Arial"/>
                <w:sz w:val="21"/>
              </w:rPr>
            </w:pPr>
          </w:p>
          <w:p w14:paraId="1ECE317E">
            <w:pPr>
              <w:spacing w:line="248" w:lineRule="auto"/>
              <w:rPr>
                <w:rFonts w:ascii="Arial"/>
                <w:sz w:val="21"/>
              </w:rPr>
            </w:pPr>
          </w:p>
          <w:p w14:paraId="2D9623FC">
            <w:pPr>
              <w:spacing w:line="248" w:lineRule="auto"/>
              <w:rPr>
                <w:rFonts w:ascii="Arial"/>
                <w:sz w:val="21"/>
              </w:rPr>
            </w:pPr>
          </w:p>
          <w:p w14:paraId="125DA29A">
            <w:pPr>
              <w:spacing w:line="248" w:lineRule="auto"/>
              <w:rPr>
                <w:rFonts w:ascii="Arial"/>
                <w:sz w:val="21"/>
              </w:rPr>
            </w:pPr>
          </w:p>
          <w:p w14:paraId="03343C77">
            <w:pPr>
              <w:spacing w:line="248" w:lineRule="auto"/>
              <w:rPr>
                <w:rFonts w:ascii="Arial"/>
                <w:sz w:val="21"/>
              </w:rPr>
            </w:pPr>
          </w:p>
          <w:p w14:paraId="7F56926A">
            <w:pPr>
              <w:spacing w:line="249" w:lineRule="auto"/>
              <w:rPr>
                <w:rFonts w:ascii="Arial"/>
                <w:sz w:val="21"/>
              </w:rPr>
            </w:pPr>
          </w:p>
          <w:p w14:paraId="046567C0">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67F0BF1">
            <w:pPr>
              <w:spacing w:line="250" w:lineRule="auto"/>
              <w:rPr>
                <w:rFonts w:ascii="Arial"/>
                <w:sz w:val="21"/>
              </w:rPr>
            </w:pPr>
          </w:p>
          <w:p w14:paraId="723F284C">
            <w:pPr>
              <w:spacing w:line="250" w:lineRule="auto"/>
              <w:rPr>
                <w:rFonts w:ascii="Arial"/>
                <w:sz w:val="21"/>
              </w:rPr>
            </w:pPr>
          </w:p>
          <w:p w14:paraId="408103CA">
            <w:pPr>
              <w:spacing w:line="250" w:lineRule="auto"/>
              <w:rPr>
                <w:rFonts w:ascii="Arial"/>
                <w:sz w:val="21"/>
              </w:rPr>
            </w:pPr>
          </w:p>
          <w:p w14:paraId="3A558684">
            <w:pPr>
              <w:spacing w:line="251" w:lineRule="auto"/>
              <w:rPr>
                <w:rFonts w:ascii="Arial"/>
                <w:sz w:val="21"/>
              </w:rPr>
            </w:pPr>
          </w:p>
          <w:p w14:paraId="3A803C16">
            <w:pPr>
              <w:spacing w:line="251" w:lineRule="auto"/>
              <w:rPr>
                <w:rFonts w:ascii="Arial"/>
                <w:sz w:val="21"/>
              </w:rPr>
            </w:pPr>
          </w:p>
          <w:p w14:paraId="02E82E6A">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34235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9" w:hRule="atLeast"/>
        </w:trPr>
        <w:tc>
          <w:tcPr>
            <w:tcW w:w="629" w:type="dxa"/>
            <w:vAlign w:val="top"/>
          </w:tcPr>
          <w:p w14:paraId="3B4AFAA5">
            <w:pPr>
              <w:spacing w:line="255" w:lineRule="auto"/>
              <w:rPr>
                <w:rFonts w:ascii="Arial"/>
                <w:sz w:val="21"/>
              </w:rPr>
            </w:pPr>
          </w:p>
          <w:p w14:paraId="6E7D68B4">
            <w:pPr>
              <w:spacing w:line="255" w:lineRule="auto"/>
              <w:rPr>
                <w:rFonts w:ascii="Arial"/>
                <w:sz w:val="21"/>
              </w:rPr>
            </w:pPr>
          </w:p>
          <w:p w14:paraId="124F1EBE">
            <w:pPr>
              <w:spacing w:line="255" w:lineRule="auto"/>
              <w:rPr>
                <w:rFonts w:ascii="Arial"/>
                <w:sz w:val="21"/>
              </w:rPr>
            </w:pPr>
          </w:p>
          <w:p w14:paraId="32567063">
            <w:pPr>
              <w:spacing w:line="255" w:lineRule="auto"/>
              <w:rPr>
                <w:rFonts w:ascii="Arial"/>
                <w:sz w:val="21"/>
              </w:rPr>
            </w:pPr>
          </w:p>
          <w:p w14:paraId="098D6D83">
            <w:pPr>
              <w:spacing w:line="255" w:lineRule="auto"/>
              <w:rPr>
                <w:rFonts w:ascii="Arial"/>
                <w:sz w:val="21"/>
              </w:rPr>
            </w:pPr>
          </w:p>
          <w:p w14:paraId="43D4F2CE">
            <w:pPr>
              <w:spacing w:line="256" w:lineRule="auto"/>
              <w:rPr>
                <w:rFonts w:ascii="Arial"/>
                <w:sz w:val="21"/>
              </w:rPr>
            </w:pPr>
          </w:p>
          <w:p w14:paraId="56ABA7AE">
            <w:pPr>
              <w:spacing w:line="256" w:lineRule="auto"/>
              <w:rPr>
                <w:rFonts w:ascii="Arial"/>
                <w:sz w:val="21"/>
              </w:rPr>
            </w:pPr>
          </w:p>
          <w:p w14:paraId="03803A9C">
            <w:pPr>
              <w:spacing w:line="256" w:lineRule="auto"/>
              <w:rPr>
                <w:rFonts w:ascii="Arial"/>
                <w:sz w:val="21"/>
              </w:rPr>
            </w:pPr>
          </w:p>
          <w:p w14:paraId="48A5A0BB">
            <w:pPr>
              <w:spacing w:line="256" w:lineRule="auto"/>
              <w:rPr>
                <w:rFonts w:ascii="Arial"/>
                <w:sz w:val="21"/>
              </w:rPr>
            </w:pPr>
          </w:p>
          <w:p w14:paraId="7BA6F5D9">
            <w:pPr>
              <w:pStyle w:val="8"/>
              <w:spacing w:before="59" w:line="183" w:lineRule="auto"/>
              <w:ind w:left="223"/>
              <w:rPr>
                <w:rFonts w:hint="eastAsia" w:eastAsia="宋体"/>
                <w:lang w:eastAsia="zh-CN"/>
              </w:rPr>
            </w:pPr>
            <w:r>
              <w:rPr>
                <w:spacing w:val="-4"/>
              </w:rPr>
              <w:t>2</w:t>
            </w:r>
            <w:r>
              <w:rPr>
                <w:rFonts w:hint="eastAsia"/>
                <w:spacing w:val="-4"/>
                <w:lang w:val="en-US" w:eastAsia="zh-CN"/>
              </w:rPr>
              <w:t>7</w:t>
            </w:r>
          </w:p>
        </w:tc>
        <w:tc>
          <w:tcPr>
            <w:tcW w:w="1101" w:type="dxa"/>
            <w:vAlign w:val="top"/>
          </w:tcPr>
          <w:p w14:paraId="553D6C29">
            <w:pPr>
              <w:spacing w:line="287" w:lineRule="auto"/>
              <w:rPr>
                <w:rFonts w:ascii="Arial"/>
                <w:sz w:val="21"/>
              </w:rPr>
            </w:pPr>
          </w:p>
          <w:p w14:paraId="47D6B9BB">
            <w:pPr>
              <w:spacing w:line="287" w:lineRule="auto"/>
              <w:rPr>
                <w:rFonts w:ascii="Arial"/>
                <w:sz w:val="21"/>
              </w:rPr>
            </w:pPr>
          </w:p>
          <w:p w14:paraId="1D32860E">
            <w:pPr>
              <w:spacing w:line="287" w:lineRule="auto"/>
              <w:rPr>
                <w:rFonts w:ascii="Arial"/>
                <w:sz w:val="21"/>
              </w:rPr>
            </w:pPr>
          </w:p>
          <w:p w14:paraId="4BD59079">
            <w:pPr>
              <w:spacing w:line="287" w:lineRule="auto"/>
              <w:rPr>
                <w:rFonts w:ascii="Arial"/>
                <w:sz w:val="21"/>
              </w:rPr>
            </w:pPr>
          </w:p>
          <w:p w14:paraId="1A0208CA">
            <w:pPr>
              <w:spacing w:line="287" w:lineRule="auto"/>
              <w:rPr>
                <w:rFonts w:ascii="Arial"/>
                <w:sz w:val="21"/>
              </w:rPr>
            </w:pPr>
          </w:p>
          <w:p w14:paraId="1F533D59">
            <w:pPr>
              <w:pStyle w:val="8"/>
              <w:spacing w:before="59" w:line="243" w:lineRule="auto"/>
              <w:ind w:left="17" w:right="20"/>
              <w:jc w:val="both"/>
            </w:pPr>
            <w:r>
              <w:rPr>
                <w:spacing w:val="-6"/>
              </w:rPr>
              <w:t>对机动车驾驶</w:t>
            </w:r>
            <w:r>
              <w:rPr>
                <w:spacing w:val="2"/>
              </w:rPr>
              <w:t xml:space="preserve"> </w:t>
            </w:r>
            <w:r>
              <w:rPr>
                <w:spacing w:val="-6"/>
              </w:rPr>
              <w:t>员培训机构不</w:t>
            </w:r>
            <w:r>
              <w:rPr>
                <w:spacing w:val="2"/>
              </w:rPr>
              <w:t xml:space="preserve"> </w:t>
            </w:r>
            <w:r>
              <w:rPr>
                <w:spacing w:val="-6"/>
              </w:rPr>
              <w:t>严格按照规定</w:t>
            </w:r>
            <w:r>
              <w:rPr>
                <w:spacing w:val="2"/>
              </w:rPr>
              <w:t xml:space="preserve"> </w:t>
            </w:r>
            <w:r>
              <w:rPr>
                <w:spacing w:val="-6"/>
              </w:rPr>
              <w:t>进行培训或者</w:t>
            </w:r>
            <w:r>
              <w:rPr>
                <w:spacing w:val="2"/>
              </w:rPr>
              <w:t xml:space="preserve"> </w:t>
            </w:r>
            <w:r>
              <w:rPr>
                <w:spacing w:val="-6"/>
              </w:rPr>
              <w:t>在培训结业证</w:t>
            </w:r>
            <w:r>
              <w:rPr>
                <w:spacing w:val="2"/>
              </w:rPr>
              <w:t xml:space="preserve"> </w:t>
            </w:r>
            <w:r>
              <w:rPr>
                <w:spacing w:val="-6"/>
              </w:rPr>
              <w:t>书发放时弄虚</w:t>
            </w:r>
            <w:r>
              <w:rPr>
                <w:spacing w:val="2"/>
              </w:rPr>
              <w:t xml:space="preserve"> </w:t>
            </w:r>
            <w:r>
              <w:rPr>
                <w:spacing w:val="-6"/>
              </w:rPr>
              <w:t>作假等行为的</w:t>
            </w:r>
            <w:r>
              <w:rPr>
                <w:spacing w:val="2"/>
              </w:rPr>
              <w:t xml:space="preserve"> </w:t>
            </w:r>
            <w:r>
              <w:rPr>
                <w:spacing w:val="-6"/>
              </w:rPr>
              <w:t>行政处罚</w:t>
            </w:r>
          </w:p>
        </w:tc>
        <w:tc>
          <w:tcPr>
            <w:tcW w:w="1101" w:type="dxa"/>
            <w:vAlign w:val="top"/>
          </w:tcPr>
          <w:p w14:paraId="18FBD75B">
            <w:pPr>
              <w:spacing w:line="252" w:lineRule="auto"/>
              <w:rPr>
                <w:rFonts w:ascii="Arial"/>
                <w:sz w:val="21"/>
              </w:rPr>
            </w:pPr>
          </w:p>
          <w:p w14:paraId="498B63B3">
            <w:pPr>
              <w:spacing w:line="252" w:lineRule="auto"/>
              <w:rPr>
                <w:rFonts w:ascii="Arial"/>
                <w:sz w:val="21"/>
              </w:rPr>
            </w:pPr>
          </w:p>
          <w:p w14:paraId="26984490">
            <w:pPr>
              <w:spacing w:line="252" w:lineRule="auto"/>
              <w:rPr>
                <w:rFonts w:ascii="Arial"/>
                <w:sz w:val="21"/>
              </w:rPr>
            </w:pPr>
          </w:p>
          <w:p w14:paraId="277E6AEC">
            <w:pPr>
              <w:spacing w:line="252" w:lineRule="auto"/>
              <w:rPr>
                <w:rFonts w:ascii="Arial"/>
                <w:sz w:val="21"/>
              </w:rPr>
            </w:pPr>
          </w:p>
          <w:p w14:paraId="56FDFBC3">
            <w:pPr>
              <w:spacing w:line="252" w:lineRule="auto"/>
              <w:rPr>
                <w:rFonts w:ascii="Arial"/>
                <w:sz w:val="21"/>
              </w:rPr>
            </w:pPr>
          </w:p>
          <w:p w14:paraId="191CF3A4">
            <w:pPr>
              <w:spacing w:line="252" w:lineRule="auto"/>
              <w:rPr>
                <w:rFonts w:ascii="Arial"/>
                <w:sz w:val="21"/>
              </w:rPr>
            </w:pPr>
          </w:p>
          <w:p w14:paraId="1E1A45C8">
            <w:pPr>
              <w:spacing w:line="253" w:lineRule="auto"/>
              <w:rPr>
                <w:rFonts w:ascii="Arial"/>
                <w:sz w:val="21"/>
              </w:rPr>
            </w:pPr>
          </w:p>
          <w:p w14:paraId="7E007990">
            <w:pPr>
              <w:spacing w:line="253" w:lineRule="auto"/>
              <w:rPr>
                <w:rFonts w:ascii="Arial"/>
                <w:sz w:val="21"/>
              </w:rPr>
            </w:pPr>
          </w:p>
          <w:p w14:paraId="1C341164">
            <w:pPr>
              <w:spacing w:line="253" w:lineRule="auto"/>
              <w:rPr>
                <w:rFonts w:ascii="Arial"/>
                <w:sz w:val="21"/>
              </w:rPr>
            </w:pPr>
          </w:p>
          <w:p w14:paraId="190A51B7">
            <w:pPr>
              <w:pStyle w:val="8"/>
              <w:spacing w:before="58" w:line="220" w:lineRule="auto"/>
              <w:ind w:left="25"/>
            </w:pPr>
            <w:r>
              <w:rPr>
                <w:spacing w:val="-7"/>
              </w:rPr>
              <w:t>行政处罚</w:t>
            </w:r>
          </w:p>
        </w:tc>
        <w:tc>
          <w:tcPr>
            <w:tcW w:w="8524" w:type="dxa"/>
            <w:vAlign w:val="top"/>
          </w:tcPr>
          <w:p w14:paraId="48240C3D">
            <w:pPr>
              <w:spacing w:line="244" w:lineRule="auto"/>
              <w:rPr>
                <w:rFonts w:ascii="Arial"/>
                <w:sz w:val="21"/>
              </w:rPr>
            </w:pPr>
          </w:p>
          <w:p w14:paraId="3354B2F3">
            <w:pPr>
              <w:pStyle w:val="8"/>
              <w:spacing w:before="58" w:line="219" w:lineRule="auto"/>
              <w:ind w:left="458"/>
            </w:pPr>
            <w:r>
              <w:rPr>
                <w:b/>
                <w:bCs/>
                <w:spacing w:val="-10"/>
              </w:rPr>
              <w:t>1.《中华人民共和国道路运输条例》</w:t>
            </w:r>
          </w:p>
          <w:p w14:paraId="4E7531E4">
            <w:pPr>
              <w:pStyle w:val="8"/>
              <w:spacing w:before="25" w:line="233" w:lineRule="auto"/>
              <w:ind w:left="104" w:right="157" w:firstLine="341"/>
            </w:pPr>
            <w:r>
              <w:rPr>
                <w:spacing w:val="-8"/>
              </w:rPr>
              <w:t>第四十六条</w:t>
            </w:r>
            <w:r>
              <w:rPr>
                <w:spacing w:val="74"/>
              </w:rPr>
              <w:t xml:space="preserve"> </w:t>
            </w:r>
            <w:r>
              <w:rPr>
                <w:spacing w:val="-8"/>
              </w:rPr>
              <w:t>机动车驾驶员培训机构应当按照国务院交通运输主管部门规定的教学大纲进行培训，确保培</w:t>
            </w:r>
            <w:r>
              <w:t xml:space="preserve"> </w:t>
            </w:r>
            <w:r>
              <w:rPr>
                <w:spacing w:val="-8"/>
              </w:rPr>
              <w:t>训质量。培训结业的，应当向参加培训的人员颁发培训结业证书。</w:t>
            </w:r>
          </w:p>
          <w:p w14:paraId="3F2E77C4">
            <w:pPr>
              <w:pStyle w:val="8"/>
              <w:spacing w:before="25" w:line="233" w:lineRule="auto"/>
              <w:ind w:left="102" w:right="157" w:firstLine="343"/>
            </w:pPr>
            <w:r>
              <w:rPr>
                <w:spacing w:val="-8"/>
              </w:rPr>
              <w:t>第七十三条</w:t>
            </w:r>
            <w:r>
              <w:rPr>
                <w:spacing w:val="74"/>
              </w:rPr>
              <w:t xml:space="preserve"> </w:t>
            </w:r>
            <w:r>
              <w:rPr>
                <w:spacing w:val="-8"/>
              </w:rPr>
              <w:t>违反本条例的规定，机动车驾驶员培训机构不严格按照规定进行培训或者在培训结业证书发</w:t>
            </w:r>
            <w:r>
              <w:t xml:space="preserve"> </w:t>
            </w:r>
            <w:r>
              <w:rPr>
                <w:spacing w:val="-8"/>
              </w:rPr>
              <w:t>放时弄虚作假的，由县级以上地方人民政府交通运输主管部门责令改正；拒不改正的，责令停业整顿。</w:t>
            </w:r>
          </w:p>
          <w:p w14:paraId="5E69C2C0">
            <w:pPr>
              <w:pStyle w:val="8"/>
              <w:spacing w:before="26" w:line="219" w:lineRule="auto"/>
              <w:ind w:left="447"/>
            </w:pPr>
            <w:r>
              <w:rPr>
                <w:b/>
                <w:bCs/>
                <w:spacing w:val="-8"/>
              </w:rPr>
              <w:t>2.《机动车驾驶员培训管理规定》(交通运输部令2022年第32号)</w:t>
            </w:r>
          </w:p>
          <w:p w14:paraId="296A9C41">
            <w:pPr>
              <w:pStyle w:val="8"/>
              <w:spacing w:before="25" w:line="241" w:lineRule="auto"/>
              <w:ind w:left="102" w:right="150" w:firstLine="342"/>
              <w:jc w:val="both"/>
            </w:pPr>
            <w:r>
              <w:rPr>
                <w:spacing w:val="-8"/>
              </w:rPr>
              <w:t>第四十九条</w:t>
            </w:r>
            <w:r>
              <w:rPr>
                <w:spacing w:val="74"/>
              </w:rPr>
              <w:t xml:space="preserve"> </w:t>
            </w:r>
            <w:r>
              <w:rPr>
                <w:spacing w:val="-8"/>
              </w:rPr>
              <w:t>违反本规定，机动车驾驶员培训机构不严格按照规定进行培训或者在培训结业证书发放时弄</w:t>
            </w:r>
            <w:r>
              <w:t xml:space="preserve"> </w:t>
            </w:r>
            <w:r>
              <w:rPr>
                <w:spacing w:val="-7"/>
              </w:rPr>
              <w:t>虚作假，有下列情形之一的，由交通运输主管部门</w:t>
            </w:r>
            <w:r>
              <w:rPr>
                <w:spacing w:val="-8"/>
              </w:rPr>
              <w:t>责令改正；拒不改正的，责令停业整顿</w:t>
            </w:r>
            <w:r>
              <w:rPr>
                <w:spacing w:val="-20"/>
              </w:rPr>
              <w:t>：（</w:t>
            </w:r>
            <w:r>
              <w:rPr>
                <w:spacing w:val="-8"/>
              </w:rPr>
              <w:t>一）未按全国统</w:t>
            </w:r>
            <w:r>
              <w:t xml:space="preserve"> </w:t>
            </w:r>
            <w:r>
              <w:rPr>
                <w:spacing w:val="-7"/>
              </w:rPr>
              <w:t>一的教学大纲进行培训的</w:t>
            </w:r>
            <w:r>
              <w:rPr>
                <w:spacing w:val="-20"/>
              </w:rPr>
              <w:t>；（</w:t>
            </w:r>
            <w:r>
              <w:rPr>
                <w:spacing w:val="-7"/>
              </w:rPr>
              <w:t>二）未在备案的教练场地开展基础和场地驾驶培训的</w:t>
            </w:r>
            <w:r>
              <w:rPr>
                <w:spacing w:val="-20"/>
              </w:rPr>
              <w:t>；（</w:t>
            </w:r>
            <w:r>
              <w:rPr>
                <w:spacing w:val="-7"/>
              </w:rPr>
              <w:t>三）未按规定组织学员</w:t>
            </w:r>
            <w:r>
              <w:rPr>
                <w:spacing w:val="2"/>
              </w:rPr>
              <w:t xml:space="preserve"> </w:t>
            </w:r>
            <w:r>
              <w:rPr>
                <w:spacing w:val="-7"/>
              </w:rPr>
              <w:t>结业考核或者未向培训结业的人员颁发《结业证书</w:t>
            </w:r>
            <w:r>
              <w:rPr>
                <w:spacing w:val="-8"/>
              </w:rPr>
              <w:t>》的</w:t>
            </w:r>
            <w:r>
              <w:rPr>
                <w:spacing w:val="-20"/>
              </w:rPr>
              <w:t>；（</w:t>
            </w:r>
            <w:r>
              <w:rPr>
                <w:spacing w:val="-8"/>
              </w:rPr>
              <w:t>四）向未参加培训、未完成培训、未参加结业考核</w:t>
            </w:r>
            <w:r>
              <w:t xml:space="preserve"> </w:t>
            </w:r>
            <w:r>
              <w:rPr>
                <w:spacing w:val="-8"/>
              </w:rPr>
              <w:t>或者结业考核不合格的人员颁发《结业证书》的。</w:t>
            </w:r>
          </w:p>
          <w:p w14:paraId="2D4C9A7D">
            <w:pPr>
              <w:pStyle w:val="8"/>
              <w:spacing w:before="26" w:line="219" w:lineRule="auto"/>
              <w:ind w:left="449"/>
            </w:pPr>
            <w:r>
              <w:rPr>
                <w:b/>
                <w:bCs/>
                <w:spacing w:val="-9"/>
              </w:rPr>
              <w:t>3.《湖南省道路运输条例》</w:t>
            </w:r>
          </w:p>
          <w:p w14:paraId="4811ABFB">
            <w:pPr>
              <w:pStyle w:val="8"/>
              <w:spacing w:before="25"/>
              <w:ind w:left="102" w:right="32" w:firstLine="342"/>
              <w:jc w:val="both"/>
            </w:pPr>
            <w:r>
              <w:rPr>
                <w:spacing w:val="-9"/>
              </w:rPr>
              <w:t>第二十三条第一款</w:t>
            </w:r>
            <w:r>
              <w:rPr>
                <w:spacing w:val="73"/>
              </w:rPr>
              <w:t xml:space="preserve"> </w:t>
            </w:r>
            <w:r>
              <w:rPr>
                <w:spacing w:val="-9"/>
              </w:rPr>
              <w:t>机动车驾驶员培训经营者应当按照国家规定的教学大纲实施培训，建立学员教学日志、</w:t>
            </w:r>
            <w:r>
              <w:t xml:space="preserve"> </w:t>
            </w:r>
            <w:r>
              <w:rPr>
                <w:spacing w:val="-8"/>
              </w:rPr>
              <w:t>培训记录和档案，向县（市、区）人民政府交通运输主管部门报送学员培训记录；使用符合国家标准和行</w:t>
            </w:r>
            <w:r>
              <w:rPr>
                <w:spacing w:val="-9"/>
              </w:rPr>
              <w:t>业标</w:t>
            </w:r>
            <w:r>
              <w:t xml:space="preserve">  </w:t>
            </w:r>
            <w:r>
              <w:rPr>
                <w:spacing w:val="-8"/>
              </w:rPr>
              <w:t>准的教学车辆，建立车辆技术档案，安装和使用培训计时管理系统；在备案的教学场地和公安机关交通管</w:t>
            </w:r>
            <w:r>
              <w:rPr>
                <w:spacing w:val="-9"/>
              </w:rPr>
              <w:t>理部</w:t>
            </w:r>
            <w:r>
              <w:t xml:space="preserve">  </w:t>
            </w:r>
            <w:r>
              <w:rPr>
                <w:spacing w:val="-8"/>
              </w:rPr>
              <w:t>门指定的教练路线和时间进行培训；公示经营项目、培训课时和收费标准等。</w:t>
            </w:r>
          </w:p>
          <w:p w14:paraId="4B328C1F">
            <w:pPr>
              <w:pStyle w:val="8"/>
              <w:spacing w:before="25" w:line="233" w:lineRule="auto"/>
              <w:ind w:left="102" w:right="157" w:firstLine="342"/>
            </w:pPr>
            <w:r>
              <w:rPr>
                <w:spacing w:val="-8"/>
              </w:rPr>
              <w:t>第三十条</w:t>
            </w:r>
            <w:r>
              <w:rPr>
                <w:spacing w:val="74"/>
              </w:rPr>
              <w:t xml:space="preserve"> </w:t>
            </w:r>
            <w:r>
              <w:rPr>
                <w:spacing w:val="-8"/>
              </w:rPr>
              <w:t>违反本条例第二十三条第一款规定，机动车驾驶员培训经营者不在指定的教练路线和时间进行</w:t>
            </w:r>
            <w:r>
              <w:t xml:space="preserve"> </w:t>
            </w:r>
            <w:r>
              <w:rPr>
                <w:spacing w:val="-8"/>
              </w:rPr>
              <w:t>培训的，由县级以上人民政府交通运输主管部门责令改正；拒不改正的，责令停业整顿。</w:t>
            </w:r>
          </w:p>
        </w:tc>
        <w:tc>
          <w:tcPr>
            <w:tcW w:w="1011" w:type="dxa"/>
            <w:vAlign w:val="top"/>
          </w:tcPr>
          <w:p w14:paraId="0EA0A9AD">
            <w:pPr>
              <w:spacing w:line="268" w:lineRule="auto"/>
              <w:rPr>
                <w:rFonts w:ascii="Arial"/>
                <w:sz w:val="21"/>
              </w:rPr>
            </w:pPr>
          </w:p>
          <w:p w14:paraId="26DD1097">
            <w:pPr>
              <w:spacing w:line="269" w:lineRule="auto"/>
              <w:rPr>
                <w:rFonts w:ascii="Arial"/>
                <w:sz w:val="21"/>
              </w:rPr>
            </w:pPr>
          </w:p>
          <w:p w14:paraId="3D1EC296">
            <w:pPr>
              <w:spacing w:line="269" w:lineRule="auto"/>
              <w:rPr>
                <w:rFonts w:ascii="Arial"/>
                <w:sz w:val="21"/>
              </w:rPr>
            </w:pPr>
          </w:p>
          <w:p w14:paraId="1F19B847">
            <w:pPr>
              <w:spacing w:line="269" w:lineRule="auto"/>
              <w:rPr>
                <w:rFonts w:ascii="Arial"/>
                <w:sz w:val="21"/>
              </w:rPr>
            </w:pPr>
          </w:p>
          <w:p w14:paraId="0EF0FC55">
            <w:pPr>
              <w:spacing w:line="269" w:lineRule="auto"/>
              <w:rPr>
                <w:rFonts w:ascii="Arial"/>
                <w:sz w:val="21"/>
              </w:rPr>
            </w:pPr>
          </w:p>
          <w:p w14:paraId="53F95F55">
            <w:pPr>
              <w:spacing w:line="269" w:lineRule="auto"/>
              <w:rPr>
                <w:rFonts w:ascii="Arial"/>
                <w:sz w:val="21"/>
              </w:rPr>
            </w:pPr>
          </w:p>
          <w:p w14:paraId="1C09FED1">
            <w:pPr>
              <w:spacing w:line="269" w:lineRule="auto"/>
              <w:rPr>
                <w:rFonts w:ascii="Arial"/>
                <w:sz w:val="21"/>
              </w:rPr>
            </w:pPr>
          </w:p>
          <w:p w14:paraId="6CC7F89E">
            <w:pPr>
              <w:spacing w:line="269" w:lineRule="auto"/>
              <w:rPr>
                <w:rFonts w:ascii="Arial"/>
                <w:sz w:val="21"/>
              </w:rPr>
            </w:pPr>
          </w:p>
          <w:p w14:paraId="6ACFF2D7">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01662387">
            <w:pPr>
              <w:spacing w:line="268" w:lineRule="auto"/>
              <w:rPr>
                <w:rFonts w:ascii="Arial"/>
                <w:sz w:val="21"/>
              </w:rPr>
            </w:pPr>
          </w:p>
          <w:p w14:paraId="5C2CD0BF">
            <w:pPr>
              <w:spacing w:line="269" w:lineRule="auto"/>
              <w:rPr>
                <w:rFonts w:ascii="Arial"/>
                <w:sz w:val="21"/>
              </w:rPr>
            </w:pPr>
          </w:p>
          <w:p w14:paraId="6C4D653B">
            <w:pPr>
              <w:spacing w:line="269" w:lineRule="auto"/>
              <w:rPr>
                <w:rFonts w:ascii="Arial"/>
                <w:sz w:val="21"/>
              </w:rPr>
            </w:pPr>
          </w:p>
          <w:p w14:paraId="270A899E">
            <w:pPr>
              <w:spacing w:line="269" w:lineRule="auto"/>
              <w:rPr>
                <w:rFonts w:ascii="Arial"/>
                <w:sz w:val="21"/>
              </w:rPr>
            </w:pPr>
          </w:p>
          <w:p w14:paraId="261F1CB6">
            <w:pPr>
              <w:spacing w:line="269" w:lineRule="auto"/>
              <w:rPr>
                <w:rFonts w:ascii="Arial"/>
                <w:sz w:val="21"/>
              </w:rPr>
            </w:pPr>
          </w:p>
          <w:p w14:paraId="7A03F07C">
            <w:pPr>
              <w:spacing w:line="269" w:lineRule="auto"/>
              <w:rPr>
                <w:rFonts w:ascii="Arial"/>
                <w:sz w:val="21"/>
              </w:rPr>
            </w:pPr>
          </w:p>
          <w:p w14:paraId="63319301">
            <w:pPr>
              <w:spacing w:line="269" w:lineRule="auto"/>
              <w:rPr>
                <w:rFonts w:ascii="Arial"/>
                <w:sz w:val="21"/>
              </w:rPr>
            </w:pPr>
          </w:p>
          <w:p w14:paraId="38E28DF3">
            <w:pPr>
              <w:spacing w:line="269" w:lineRule="auto"/>
              <w:rPr>
                <w:rFonts w:ascii="Arial"/>
                <w:sz w:val="21"/>
              </w:rPr>
            </w:pPr>
          </w:p>
          <w:p w14:paraId="6B3AD4F1">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1FAC155">
            <w:pPr>
              <w:spacing w:line="273" w:lineRule="auto"/>
              <w:rPr>
                <w:rFonts w:ascii="Arial"/>
                <w:sz w:val="21"/>
              </w:rPr>
            </w:pPr>
          </w:p>
          <w:p w14:paraId="51883403">
            <w:pPr>
              <w:spacing w:line="273" w:lineRule="auto"/>
              <w:rPr>
                <w:rFonts w:ascii="Arial"/>
                <w:sz w:val="21"/>
              </w:rPr>
            </w:pPr>
          </w:p>
          <w:p w14:paraId="20E1F372">
            <w:pPr>
              <w:spacing w:line="273" w:lineRule="auto"/>
              <w:rPr>
                <w:rFonts w:ascii="Arial"/>
                <w:sz w:val="21"/>
              </w:rPr>
            </w:pPr>
          </w:p>
          <w:p w14:paraId="4925147D">
            <w:pPr>
              <w:spacing w:line="273" w:lineRule="auto"/>
              <w:rPr>
                <w:rFonts w:ascii="Arial"/>
                <w:sz w:val="21"/>
              </w:rPr>
            </w:pPr>
          </w:p>
          <w:p w14:paraId="44A35D29">
            <w:pPr>
              <w:spacing w:line="274" w:lineRule="auto"/>
              <w:rPr>
                <w:rFonts w:ascii="Arial"/>
                <w:sz w:val="21"/>
              </w:rPr>
            </w:pPr>
          </w:p>
          <w:p w14:paraId="624100C1">
            <w:pPr>
              <w:spacing w:line="274" w:lineRule="auto"/>
              <w:rPr>
                <w:rFonts w:ascii="Arial"/>
                <w:sz w:val="21"/>
              </w:rPr>
            </w:pPr>
          </w:p>
          <w:p w14:paraId="64C393D7">
            <w:pPr>
              <w:spacing w:line="274" w:lineRule="auto"/>
              <w:rPr>
                <w:rFonts w:ascii="Arial"/>
                <w:sz w:val="21"/>
              </w:rPr>
            </w:pPr>
          </w:p>
          <w:p w14:paraId="1084D3EF">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0813493A">
      <w:pPr>
        <w:pStyle w:val="2"/>
      </w:pPr>
    </w:p>
    <w:p w14:paraId="58C8D7C1">
      <w:pPr>
        <w:sectPr>
          <w:footerReference r:id="rId38" w:type="default"/>
          <w:pgSz w:w="16839" w:h="11906"/>
          <w:pgMar w:top="1012" w:right="1016" w:bottom="966" w:left="1016" w:header="0" w:footer="768" w:gutter="0"/>
          <w:cols w:space="720" w:num="1"/>
        </w:sectPr>
      </w:pPr>
    </w:p>
    <w:p w14:paraId="487BEEDF">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64ED6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54568E1C">
            <w:pPr>
              <w:pStyle w:val="8"/>
              <w:spacing w:before="273" w:line="221" w:lineRule="auto"/>
              <w:ind w:left="129"/>
            </w:pPr>
            <w:r>
              <w:rPr>
                <w:b/>
                <w:bCs/>
                <w:spacing w:val="-4"/>
              </w:rPr>
              <w:t>序号</w:t>
            </w:r>
          </w:p>
        </w:tc>
        <w:tc>
          <w:tcPr>
            <w:tcW w:w="1101" w:type="dxa"/>
            <w:vMerge w:val="restart"/>
            <w:tcBorders>
              <w:bottom w:val="nil"/>
            </w:tcBorders>
            <w:vAlign w:val="top"/>
          </w:tcPr>
          <w:p w14:paraId="16982B2D">
            <w:pPr>
              <w:pStyle w:val="8"/>
              <w:spacing w:before="274" w:line="220" w:lineRule="auto"/>
              <w:ind w:left="182"/>
            </w:pPr>
            <w:r>
              <w:rPr>
                <w:b/>
                <w:bCs/>
                <w:spacing w:val="-4"/>
              </w:rPr>
              <w:t>事项名称</w:t>
            </w:r>
          </w:p>
        </w:tc>
        <w:tc>
          <w:tcPr>
            <w:tcW w:w="1101" w:type="dxa"/>
            <w:vMerge w:val="restart"/>
            <w:tcBorders>
              <w:bottom w:val="nil"/>
            </w:tcBorders>
            <w:vAlign w:val="top"/>
          </w:tcPr>
          <w:p w14:paraId="281818A0">
            <w:pPr>
              <w:pStyle w:val="8"/>
              <w:spacing w:before="274" w:line="219" w:lineRule="auto"/>
              <w:ind w:left="183"/>
            </w:pPr>
            <w:r>
              <w:rPr>
                <w:b/>
                <w:bCs/>
                <w:spacing w:val="-4"/>
              </w:rPr>
              <w:t>职权类型</w:t>
            </w:r>
          </w:p>
        </w:tc>
        <w:tc>
          <w:tcPr>
            <w:tcW w:w="8524" w:type="dxa"/>
            <w:vMerge w:val="restart"/>
            <w:tcBorders>
              <w:bottom w:val="nil"/>
            </w:tcBorders>
            <w:vAlign w:val="top"/>
          </w:tcPr>
          <w:p w14:paraId="792DEA1E">
            <w:pPr>
              <w:pStyle w:val="8"/>
              <w:spacing w:before="273" w:line="219" w:lineRule="auto"/>
              <w:ind w:left="4083"/>
            </w:pPr>
            <w:r>
              <w:rPr>
                <w:b/>
                <w:bCs/>
                <w:spacing w:val="-5"/>
              </w:rPr>
              <w:t>实施依据</w:t>
            </w:r>
          </w:p>
        </w:tc>
        <w:tc>
          <w:tcPr>
            <w:tcW w:w="3435" w:type="dxa"/>
            <w:gridSpan w:val="3"/>
            <w:vAlign w:val="top"/>
          </w:tcPr>
          <w:p w14:paraId="1280975A">
            <w:pPr>
              <w:pStyle w:val="8"/>
              <w:spacing w:before="94" w:line="220" w:lineRule="auto"/>
              <w:ind w:left="1360"/>
            </w:pPr>
            <w:r>
              <w:rPr>
                <w:b/>
                <w:bCs/>
                <w:spacing w:val="-5"/>
              </w:rPr>
              <w:t>实施主体</w:t>
            </w:r>
          </w:p>
        </w:tc>
      </w:tr>
      <w:tr w14:paraId="73C3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1CDAADD7">
            <w:pPr>
              <w:rPr>
                <w:rFonts w:ascii="Arial"/>
                <w:sz w:val="21"/>
              </w:rPr>
            </w:pPr>
          </w:p>
        </w:tc>
        <w:tc>
          <w:tcPr>
            <w:tcW w:w="1101" w:type="dxa"/>
            <w:vMerge w:val="continue"/>
            <w:tcBorders>
              <w:top w:val="nil"/>
            </w:tcBorders>
            <w:vAlign w:val="top"/>
          </w:tcPr>
          <w:p w14:paraId="5AC747B0">
            <w:pPr>
              <w:rPr>
                <w:rFonts w:ascii="Arial"/>
                <w:sz w:val="21"/>
              </w:rPr>
            </w:pPr>
          </w:p>
        </w:tc>
        <w:tc>
          <w:tcPr>
            <w:tcW w:w="1101" w:type="dxa"/>
            <w:vMerge w:val="continue"/>
            <w:tcBorders>
              <w:top w:val="nil"/>
            </w:tcBorders>
            <w:vAlign w:val="top"/>
          </w:tcPr>
          <w:p w14:paraId="47CDDC61">
            <w:pPr>
              <w:rPr>
                <w:rFonts w:ascii="Arial"/>
                <w:sz w:val="21"/>
              </w:rPr>
            </w:pPr>
          </w:p>
        </w:tc>
        <w:tc>
          <w:tcPr>
            <w:tcW w:w="8524" w:type="dxa"/>
            <w:vMerge w:val="continue"/>
            <w:tcBorders>
              <w:top w:val="nil"/>
            </w:tcBorders>
            <w:vAlign w:val="top"/>
          </w:tcPr>
          <w:p w14:paraId="77549D12">
            <w:pPr>
              <w:rPr>
                <w:rFonts w:ascii="Arial"/>
                <w:sz w:val="21"/>
              </w:rPr>
            </w:pPr>
          </w:p>
        </w:tc>
        <w:tc>
          <w:tcPr>
            <w:tcW w:w="1011" w:type="dxa"/>
            <w:vAlign w:val="top"/>
          </w:tcPr>
          <w:p w14:paraId="2578ED56">
            <w:pPr>
              <w:pStyle w:val="8"/>
              <w:spacing w:before="85" w:line="219" w:lineRule="auto"/>
              <w:ind w:left="154"/>
            </w:pPr>
            <w:r>
              <w:rPr>
                <w:b/>
                <w:bCs/>
                <w:spacing w:val="-5"/>
              </w:rPr>
              <w:t>责任部门</w:t>
            </w:r>
          </w:p>
        </w:tc>
        <w:tc>
          <w:tcPr>
            <w:tcW w:w="1404" w:type="dxa"/>
            <w:vAlign w:val="top"/>
          </w:tcPr>
          <w:p w14:paraId="752CF0F7">
            <w:pPr>
              <w:pStyle w:val="8"/>
              <w:spacing w:before="85" w:line="219" w:lineRule="auto"/>
              <w:ind w:left="164"/>
            </w:pPr>
            <w:r>
              <w:rPr>
                <w:b/>
                <w:bCs/>
                <w:spacing w:val="-3"/>
              </w:rPr>
              <w:t>第一责任层级</w:t>
            </w:r>
          </w:p>
        </w:tc>
        <w:tc>
          <w:tcPr>
            <w:tcW w:w="1020" w:type="dxa"/>
            <w:vAlign w:val="top"/>
          </w:tcPr>
          <w:p w14:paraId="2D66651E">
            <w:pPr>
              <w:pStyle w:val="8"/>
              <w:spacing w:before="84" w:line="219" w:lineRule="auto"/>
              <w:ind w:left="114"/>
            </w:pPr>
            <w:r>
              <w:rPr>
                <w:b/>
                <w:bCs/>
                <w:spacing w:val="-4"/>
              </w:rPr>
              <w:t>承办机构</w:t>
            </w:r>
          </w:p>
        </w:tc>
      </w:tr>
      <w:tr w14:paraId="4E6E9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9" w:hRule="atLeast"/>
        </w:trPr>
        <w:tc>
          <w:tcPr>
            <w:tcW w:w="629" w:type="dxa"/>
            <w:vMerge w:val="restart"/>
            <w:tcBorders>
              <w:bottom w:val="nil"/>
            </w:tcBorders>
            <w:vAlign w:val="top"/>
          </w:tcPr>
          <w:p w14:paraId="7EB56986">
            <w:pPr>
              <w:spacing w:line="243" w:lineRule="auto"/>
              <w:rPr>
                <w:rFonts w:ascii="Arial"/>
                <w:sz w:val="21"/>
              </w:rPr>
            </w:pPr>
          </w:p>
          <w:p w14:paraId="52B3B352">
            <w:pPr>
              <w:spacing w:line="244" w:lineRule="auto"/>
              <w:rPr>
                <w:rFonts w:ascii="Arial"/>
                <w:sz w:val="21"/>
              </w:rPr>
            </w:pPr>
          </w:p>
          <w:p w14:paraId="2147D2AB">
            <w:pPr>
              <w:spacing w:line="244" w:lineRule="auto"/>
              <w:rPr>
                <w:rFonts w:ascii="Arial"/>
                <w:sz w:val="21"/>
              </w:rPr>
            </w:pPr>
          </w:p>
          <w:p w14:paraId="561A16CC">
            <w:pPr>
              <w:spacing w:line="244" w:lineRule="auto"/>
              <w:rPr>
                <w:rFonts w:ascii="Arial"/>
                <w:sz w:val="21"/>
              </w:rPr>
            </w:pPr>
          </w:p>
          <w:p w14:paraId="60AB35FE">
            <w:pPr>
              <w:spacing w:line="244" w:lineRule="auto"/>
              <w:rPr>
                <w:rFonts w:ascii="Arial"/>
                <w:sz w:val="21"/>
              </w:rPr>
            </w:pPr>
          </w:p>
          <w:p w14:paraId="685095BF">
            <w:pPr>
              <w:spacing w:line="244" w:lineRule="auto"/>
              <w:rPr>
                <w:rFonts w:ascii="Arial"/>
                <w:sz w:val="21"/>
              </w:rPr>
            </w:pPr>
          </w:p>
          <w:p w14:paraId="588C8072">
            <w:pPr>
              <w:spacing w:line="244" w:lineRule="auto"/>
              <w:rPr>
                <w:rFonts w:ascii="Arial"/>
                <w:sz w:val="21"/>
              </w:rPr>
            </w:pPr>
          </w:p>
          <w:p w14:paraId="6F204FCE">
            <w:pPr>
              <w:spacing w:line="244" w:lineRule="auto"/>
              <w:rPr>
                <w:rFonts w:ascii="Arial"/>
                <w:sz w:val="21"/>
              </w:rPr>
            </w:pPr>
          </w:p>
          <w:p w14:paraId="1BCBD2BE">
            <w:pPr>
              <w:spacing w:line="244" w:lineRule="auto"/>
              <w:rPr>
                <w:rFonts w:ascii="Arial"/>
                <w:sz w:val="21"/>
              </w:rPr>
            </w:pPr>
          </w:p>
          <w:p w14:paraId="47E74217">
            <w:pPr>
              <w:spacing w:line="244" w:lineRule="auto"/>
              <w:rPr>
                <w:rFonts w:ascii="Arial"/>
                <w:sz w:val="21"/>
              </w:rPr>
            </w:pPr>
          </w:p>
          <w:p w14:paraId="57CE21C8">
            <w:pPr>
              <w:spacing w:line="244" w:lineRule="auto"/>
              <w:rPr>
                <w:rFonts w:ascii="Arial"/>
                <w:sz w:val="21"/>
              </w:rPr>
            </w:pPr>
          </w:p>
          <w:p w14:paraId="335AA3CC">
            <w:pPr>
              <w:spacing w:line="244" w:lineRule="auto"/>
              <w:rPr>
                <w:rFonts w:ascii="Arial"/>
                <w:sz w:val="21"/>
              </w:rPr>
            </w:pPr>
          </w:p>
          <w:p w14:paraId="799A3F2E">
            <w:pPr>
              <w:spacing w:line="244" w:lineRule="auto"/>
              <w:rPr>
                <w:rFonts w:ascii="Arial"/>
                <w:sz w:val="21"/>
              </w:rPr>
            </w:pPr>
          </w:p>
          <w:p w14:paraId="41E1EF50">
            <w:pPr>
              <w:spacing w:line="244" w:lineRule="auto"/>
              <w:rPr>
                <w:rFonts w:ascii="Arial"/>
                <w:sz w:val="21"/>
              </w:rPr>
            </w:pPr>
          </w:p>
          <w:p w14:paraId="5E8B7336">
            <w:pPr>
              <w:spacing w:line="244" w:lineRule="auto"/>
              <w:rPr>
                <w:rFonts w:ascii="Arial"/>
                <w:sz w:val="21"/>
              </w:rPr>
            </w:pPr>
          </w:p>
          <w:p w14:paraId="3589F258">
            <w:pPr>
              <w:spacing w:line="244" w:lineRule="auto"/>
              <w:rPr>
                <w:rFonts w:ascii="Arial"/>
                <w:sz w:val="21"/>
              </w:rPr>
            </w:pPr>
          </w:p>
          <w:p w14:paraId="42A53BE4">
            <w:pPr>
              <w:spacing w:line="244" w:lineRule="auto"/>
              <w:rPr>
                <w:rFonts w:ascii="Arial"/>
                <w:sz w:val="21"/>
              </w:rPr>
            </w:pPr>
          </w:p>
          <w:p w14:paraId="0B572D62">
            <w:pPr>
              <w:pStyle w:val="8"/>
              <w:spacing w:before="59" w:line="183" w:lineRule="auto"/>
              <w:ind w:left="223"/>
              <w:rPr>
                <w:rFonts w:hint="eastAsia" w:eastAsia="宋体"/>
                <w:lang w:eastAsia="zh-CN"/>
              </w:rPr>
            </w:pPr>
            <w:r>
              <w:rPr>
                <w:spacing w:val="-4"/>
              </w:rPr>
              <w:t>2</w:t>
            </w:r>
            <w:r>
              <w:rPr>
                <w:rFonts w:hint="eastAsia"/>
                <w:spacing w:val="-4"/>
                <w:lang w:val="en-US" w:eastAsia="zh-CN"/>
              </w:rPr>
              <w:t>8</w:t>
            </w:r>
          </w:p>
        </w:tc>
        <w:tc>
          <w:tcPr>
            <w:tcW w:w="1101" w:type="dxa"/>
            <w:vMerge w:val="restart"/>
            <w:tcBorders>
              <w:bottom w:val="nil"/>
            </w:tcBorders>
            <w:vAlign w:val="top"/>
          </w:tcPr>
          <w:p w14:paraId="370FA508">
            <w:pPr>
              <w:spacing w:line="242" w:lineRule="auto"/>
              <w:rPr>
                <w:rFonts w:ascii="Arial"/>
                <w:sz w:val="21"/>
              </w:rPr>
            </w:pPr>
          </w:p>
          <w:p w14:paraId="059B37C5">
            <w:pPr>
              <w:spacing w:line="242" w:lineRule="auto"/>
              <w:rPr>
                <w:rFonts w:ascii="Arial"/>
                <w:sz w:val="21"/>
              </w:rPr>
            </w:pPr>
          </w:p>
          <w:p w14:paraId="78E699B3">
            <w:pPr>
              <w:spacing w:line="242" w:lineRule="auto"/>
              <w:rPr>
                <w:rFonts w:ascii="Arial"/>
                <w:sz w:val="21"/>
              </w:rPr>
            </w:pPr>
          </w:p>
          <w:p w14:paraId="1A8E2215">
            <w:pPr>
              <w:spacing w:line="242" w:lineRule="auto"/>
              <w:rPr>
                <w:rFonts w:ascii="Arial"/>
                <w:sz w:val="21"/>
              </w:rPr>
            </w:pPr>
          </w:p>
          <w:p w14:paraId="325C428F">
            <w:pPr>
              <w:spacing w:line="243" w:lineRule="auto"/>
              <w:rPr>
                <w:rFonts w:ascii="Arial"/>
                <w:sz w:val="21"/>
              </w:rPr>
            </w:pPr>
          </w:p>
          <w:p w14:paraId="3FB9AF0F">
            <w:pPr>
              <w:spacing w:line="243" w:lineRule="auto"/>
              <w:rPr>
                <w:rFonts w:ascii="Arial"/>
                <w:sz w:val="21"/>
              </w:rPr>
            </w:pPr>
          </w:p>
          <w:p w14:paraId="7025E73E">
            <w:pPr>
              <w:spacing w:line="243" w:lineRule="auto"/>
              <w:rPr>
                <w:rFonts w:ascii="Arial"/>
                <w:sz w:val="21"/>
              </w:rPr>
            </w:pPr>
          </w:p>
          <w:p w14:paraId="398E071B">
            <w:pPr>
              <w:spacing w:line="243" w:lineRule="auto"/>
              <w:rPr>
                <w:rFonts w:ascii="Arial"/>
                <w:sz w:val="21"/>
              </w:rPr>
            </w:pPr>
          </w:p>
          <w:p w14:paraId="036B1C4C">
            <w:pPr>
              <w:spacing w:line="243" w:lineRule="auto"/>
              <w:rPr>
                <w:rFonts w:ascii="Arial"/>
                <w:sz w:val="21"/>
              </w:rPr>
            </w:pPr>
          </w:p>
          <w:p w14:paraId="57AC6391">
            <w:pPr>
              <w:spacing w:line="243" w:lineRule="auto"/>
              <w:rPr>
                <w:rFonts w:ascii="Arial"/>
                <w:sz w:val="21"/>
              </w:rPr>
            </w:pPr>
          </w:p>
          <w:p w14:paraId="2D029E6F">
            <w:pPr>
              <w:spacing w:line="243" w:lineRule="auto"/>
              <w:rPr>
                <w:rFonts w:ascii="Arial"/>
                <w:sz w:val="21"/>
              </w:rPr>
            </w:pPr>
          </w:p>
          <w:p w14:paraId="35BE9231">
            <w:pPr>
              <w:spacing w:line="243" w:lineRule="auto"/>
              <w:rPr>
                <w:rFonts w:ascii="Arial"/>
                <w:sz w:val="21"/>
              </w:rPr>
            </w:pPr>
          </w:p>
          <w:p w14:paraId="730DC9EA">
            <w:pPr>
              <w:spacing w:line="243" w:lineRule="auto"/>
              <w:rPr>
                <w:rFonts w:ascii="Arial"/>
                <w:sz w:val="21"/>
              </w:rPr>
            </w:pPr>
          </w:p>
          <w:p w14:paraId="108A318E">
            <w:pPr>
              <w:spacing w:line="243" w:lineRule="auto"/>
              <w:rPr>
                <w:rFonts w:ascii="Arial"/>
                <w:sz w:val="21"/>
              </w:rPr>
            </w:pPr>
          </w:p>
          <w:p w14:paraId="43C60352">
            <w:pPr>
              <w:spacing w:line="243" w:lineRule="auto"/>
              <w:rPr>
                <w:rFonts w:ascii="Arial"/>
                <w:sz w:val="21"/>
              </w:rPr>
            </w:pPr>
          </w:p>
          <w:p w14:paraId="55BE522E">
            <w:pPr>
              <w:pStyle w:val="8"/>
              <w:spacing w:before="58" w:line="241" w:lineRule="auto"/>
              <w:ind w:left="20" w:right="20" w:hanging="2"/>
              <w:jc w:val="both"/>
            </w:pPr>
            <w:r>
              <w:rPr>
                <w:spacing w:val="-6"/>
              </w:rPr>
              <w:t>对违反国际道</w:t>
            </w:r>
            <w:r>
              <w:rPr>
                <w:spacing w:val="2"/>
              </w:rPr>
              <w:t xml:space="preserve"> </w:t>
            </w:r>
            <w:r>
              <w:rPr>
                <w:spacing w:val="-6"/>
              </w:rPr>
              <w:t>路运输管理规</w:t>
            </w:r>
            <w:r>
              <w:t xml:space="preserve"> </w:t>
            </w:r>
            <w:r>
              <w:rPr>
                <w:spacing w:val="-6"/>
              </w:rPr>
              <w:t>定行为的行政</w:t>
            </w:r>
            <w:r>
              <w:t xml:space="preserve"> </w:t>
            </w:r>
            <w:r>
              <w:rPr>
                <w:spacing w:val="-5"/>
              </w:rPr>
              <w:t>处罚</w:t>
            </w:r>
          </w:p>
        </w:tc>
        <w:tc>
          <w:tcPr>
            <w:tcW w:w="1101" w:type="dxa"/>
            <w:vMerge w:val="restart"/>
            <w:tcBorders>
              <w:bottom w:val="nil"/>
            </w:tcBorders>
            <w:vAlign w:val="top"/>
          </w:tcPr>
          <w:p w14:paraId="3E41378C">
            <w:pPr>
              <w:spacing w:line="250" w:lineRule="auto"/>
              <w:rPr>
                <w:rFonts w:ascii="Arial"/>
                <w:sz w:val="21"/>
              </w:rPr>
            </w:pPr>
          </w:p>
          <w:p w14:paraId="096D38C6">
            <w:pPr>
              <w:spacing w:line="250" w:lineRule="auto"/>
              <w:rPr>
                <w:rFonts w:ascii="Arial"/>
                <w:sz w:val="21"/>
              </w:rPr>
            </w:pPr>
          </w:p>
          <w:p w14:paraId="1B66E803">
            <w:pPr>
              <w:spacing w:line="250" w:lineRule="auto"/>
              <w:rPr>
                <w:rFonts w:ascii="Arial"/>
                <w:sz w:val="21"/>
              </w:rPr>
            </w:pPr>
          </w:p>
          <w:p w14:paraId="7C3A7D97">
            <w:pPr>
              <w:spacing w:line="250" w:lineRule="auto"/>
              <w:rPr>
                <w:rFonts w:ascii="Arial"/>
                <w:sz w:val="21"/>
              </w:rPr>
            </w:pPr>
          </w:p>
          <w:p w14:paraId="1732E9C6">
            <w:pPr>
              <w:spacing w:line="250" w:lineRule="auto"/>
              <w:rPr>
                <w:rFonts w:ascii="Arial"/>
                <w:sz w:val="21"/>
              </w:rPr>
            </w:pPr>
          </w:p>
          <w:p w14:paraId="288948C0">
            <w:pPr>
              <w:spacing w:line="250" w:lineRule="auto"/>
              <w:rPr>
                <w:rFonts w:ascii="Arial"/>
                <w:sz w:val="21"/>
              </w:rPr>
            </w:pPr>
          </w:p>
          <w:p w14:paraId="27466811">
            <w:pPr>
              <w:spacing w:line="250" w:lineRule="auto"/>
              <w:rPr>
                <w:rFonts w:ascii="Arial"/>
                <w:sz w:val="21"/>
              </w:rPr>
            </w:pPr>
          </w:p>
          <w:p w14:paraId="2B72D098">
            <w:pPr>
              <w:spacing w:line="250" w:lineRule="auto"/>
              <w:rPr>
                <w:rFonts w:ascii="Arial"/>
                <w:sz w:val="21"/>
              </w:rPr>
            </w:pPr>
          </w:p>
          <w:p w14:paraId="0A133E01">
            <w:pPr>
              <w:spacing w:line="250" w:lineRule="auto"/>
              <w:rPr>
                <w:rFonts w:ascii="Arial"/>
                <w:sz w:val="21"/>
              </w:rPr>
            </w:pPr>
          </w:p>
          <w:p w14:paraId="7F2E7124">
            <w:pPr>
              <w:spacing w:line="250" w:lineRule="auto"/>
              <w:rPr>
                <w:rFonts w:ascii="Arial"/>
                <w:sz w:val="21"/>
              </w:rPr>
            </w:pPr>
          </w:p>
          <w:p w14:paraId="3FBD8481">
            <w:pPr>
              <w:spacing w:line="250" w:lineRule="auto"/>
              <w:rPr>
                <w:rFonts w:ascii="Arial"/>
                <w:sz w:val="21"/>
              </w:rPr>
            </w:pPr>
          </w:p>
          <w:p w14:paraId="08C6028A">
            <w:pPr>
              <w:spacing w:line="250" w:lineRule="auto"/>
              <w:rPr>
                <w:rFonts w:ascii="Arial"/>
                <w:sz w:val="21"/>
              </w:rPr>
            </w:pPr>
          </w:p>
          <w:p w14:paraId="20EC6E6B">
            <w:pPr>
              <w:spacing w:line="250" w:lineRule="auto"/>
              <w:rPr>
                <w:rFonts w:ascii="Arial"/>
                <w:sz w:val="21"/>
              </w:rPr>
            </w:pPr>
          </w:p>
          <w:p w14:paraId="00FC562A">
            <w:pPr>
              <w:spacing w:line="250" w:lineRule="auto"/>
              <w:rPr>
                <w:rFonts w:ascii="Arial"/>
                <w:sz w:val="21"/>
              </w:rPr>
            </w:pPr>
          </w:p>
          <w:p w14:paraId="5357B9C8">
            <w:pPr>
              <w:spacing w:line="250" w:lineRule="auto"/>
              <w:rPr>
                <w:rFonts w:ascii="Arial"/>
                <w:sz w:val="21"/>
              </w:rPr>
            </w:pPr>
          </w:p>
          <w:p w14:paraId="4DDD025E">
            <w:pPr>
              <w:spacing w:line="250" w:lineRule="auto"/>
              <w:rPr>
                <w:rFonts w:ascii="Arial"/>
                <w:sz w:val="21"/>
              </w:rPr>
            </w:pPr>
          </w:p>
          <w:p w14:paraId="1E30698F">
            <w:pPr>
              <w:pStyle w:val="8"/>
              <w:spacing w:before="58" w:line="220" w:lineRule="auto"/>
              <w:ind w:left="25"/>
            </w:pPr>
            <w:r>
              <w:rPr>
                <w:spacing w:val="-7"/>
              </w:rPr>
              <w:t>行政处罚</w:t>
            </w:r>
          </w:p>
        </w:tc>
        <w:tc>
          <w:tcPr>
            <w:tcW w:w="8524" w:type="dxa"/>
            <w:vAlign w:val="top"/>
          </w:tcPr>
          <w:p w14:paraId="7C4E7C9D">
            <w:pPr>
              <w:pStyle w:val="8"/>
              <w:spacing w:before="253" w:line="219" w:lineRule="auto"/>
              <w:ind w:left="458"/>
            </w:pPr>
            <w:r>
              <w:rPr>
                <w:b/>
                <w:bCs/>
                <w:spacing w:val="-9"/>
              </w:rPr>
              <w:t>1..《中华人民共和国道路运输条例》</w:t>
            </w:r>
          </w:p>
          <w:p w14:paraId="25612B3A">
            <w:pPr>
              <w:pStyle w:val="8"/>
              <w:spacing w:before="25" w:line="233" w:lineRule="auto"/>
              <w:ind w:left="102" w:right="157" w:firstLine="342"/>
            </w:pPr>
            <w:r>
              <w:rPr>
                <w:spacing w:val="-8"/>
              </w:rPr>
              <w:t>第五十条第二款</w:t>
            </w:r>
            <w:r>
              <w:rPr>
                <w:spacing w:val="77"/>
              </w:rPr>
              <w:t xml:space="preserve"> </w:t>
            </w:r>
            <w:r>
              <w:rPr>
                <w:spacing w:val="-8"/>
              </w:rPr>
              <w:t>外国国际道路运输经营者的车辆在中国境内运输，应当标明本国国籍识别标志，</w:t>
            </w:r>
            <w:r>
              <w:rPr>
                <w:spacing w:val="-9"/>
              </w:rPr>
              <w:t>并按照</w:t>
            </w:r>
            <w:r>
              <w:t xml:space="preserve"> </w:t>
            </w:r>
            <w:r>
              <w:rPr>
                <w:spacing w:val="-8"/>
              </w:rPr>
              <w:t>规定的运输线路行驶；不得擅自改变运输线路，不得从事起止地都在中国境内的道路运输经营。</w:t>
            </w:r>
          </w:p>
          <w:p w14:paraId="79C50E33">
            <w:pPr>
              <w:pStyle w:val="8"/>
              <w:spacing w:before="24" w:line="233" w:lineRule="auto"/>
              <w:ind w:left="103" w:right="157" w:firstLine="341"/>
            </w:pPr>
            <w:r>
              <w:rPr>
                <w:spacing w:val="-8"/>
              </w:rPr>
              <w:t>第七十四条</w:t>
            </w:r>
            <w:r>
              <w:rPr>
                <w:spacing w:val="74"/>
              </w:rPr>
              <w:t xml:space="preserve"> </w:t>
            </w:r>
            <w:r>
              <w:rPr>
                <w:spacing w:val="-8"/>
              </w:rPr>
              <w:t>违反本条例的规定，外国国际道路运输经营者未按照规定的线路运输，擅自从事中国境内道</w:t>
            </w:r>
            <w:r>
              <w:t xml:space="preserve"> </w:t>
            </w:r>
            <w:r>
              <w:rPr>
                <w:spacing w:val="-9"/>
              </w:rPr>
              <w:t>路运输的，由省、自治区、直辖市人民政府交通运输主管部门责令停止运输；有违法所得的，没收违法所得，</w:t>
            </w:r>
          </w:p>
          <w:p w14:paraId="4AE0FA6D">
            <w:pPr>
              <w:pStyle w:val="8"/>
              <w:spacing w:before="27" w:line="219" w:lineRule="auto"/>
              <w:jc w:val="right"/>
            </w:pPr>
            <w:r>
              <w:rPr>
                <w:spacing w:val="-9"/>
              </w:rPr>
              <w:t>处违法所得2倍以上10倍以下的罚款；没有违法所得或者违法所得不足1万元的，处3万元以上6万元以下的罚款。</w:t>
            </w:r>
          </w:p>
          <w:p w14:paraId="4EFCC163">
            <w:pPr>
              <w:pStyle w:val="8"/>
              <w:spacing w:before="25" w:line="233" w:lineRule="auto"/>
              <w:ind w:left="104" w:right="150" w:firstLine="344"/>
            </w:pPr>
            <w:r>
              <w:rPr>
                <w:spacing w:val="-8"/>
              </w:rPr>
              <w:t>外国国际道路运输经营者未按照规定标明国籍识别标志的，由省、自治区、直辖市人民政府交通</w:t>
            </w:r>
            <w:r>
              <w:rPr>
                <w:spacing w:val="-9"/>
              </w:rPr>
              <w:t>运输主管</w:t>
            </w:r>
            <w:r>
              <w:t xml:space="preserve"> </w:t>
            </w:r>
            <w:r>
              <w:rPr>
                <w:spacing w:val="-7"/>
              </w:rPr>
              <w:t>部门责令停止运输，处200元以上2000元以下的罚款。</w:t>
            </w:r>
          </w:p>
          <w:p w14:paraId="545AC560">
            <w:pPr>
              <w:pStyle w:val="8"/>
              <w:spacing w:before="26" w:line="233" w:lineRule="auto"/>
              <w:ind w:left="102" w:right="150" w:firstLine="344"/>
            </w:pPr>
            <w:r>
              <w:rPr>
                <w:spacing w:val="-8"/>
              </w:rPr>
              <w:t>从事国际道路货物运输经营，未按规定进行备案的，由省、自治区、直辖市人民政府交通运输主管</w:t>
            </w:r>
            <w:r>
              <w:rPr>
                <w:spacing w:val="-9"/>
              </w:rPr>
              <w:t>部门责</w:t>
            </w:r>
            <w:r>
              <w:t xml:space="preserve"> </w:t>
            </w:r>
            <w:r>
              <w:rPr>
                <w:spacing w:val="-7"/>
              </w:rPr>
              <w:t>令改正；拒不改正的，处5000元以上2万元以下的罚款。</w:t>
            </w:r>
          </w:p>
        </w:tc>
        <w:tc>
          <w:tcPr>
            <w:tcW w:w="1011" w:type="dxa"/>
            <w:vMerge w:val="restart"/>
            <w:tcBorders>
              <w:bottom w:val="nil"/>
            </w:tcBorders>
            <w:vAlign w:val="top"/>
          </w:tcPr>
          <w:p w14:paraId="785B9F2D">
            <w:pPr>
              <w:spacing w:line="250" w:lineRule="auto"/>
              <w:rPr>
                <w:rFonts w:ascii="Arial"/>
                <w:sz w:val="21"/>
              </w:rPr>
            </w:pPr>
          </w:p>
          <w:p w14:paraId="4D5CC4E8">
            <w:pPr>
              <w:spacing w:line="250" w:lineRule="auto"/>
              <w:rPr>
                <w:rFonts w:ascii="Arial"/>
                <w:sz w:val="21"/>
              </w:rPr>
            </w:pPr>
          </w:p>
          <w:p w14:paraId="5FA74CA2">
            <w:pPr>
              <w:spacing w:line="250" w:lineRule="auto"/>
              <w:rPr>
                <w:rFonts w:ascii="Arial"/>
                <w:sz w:val="21"/>
              </w:rPr>
            </w:pPr>
          </w:p>
          <w:p w14:paraId="6E1CB2B0">
            <w:pPr>
              <w:spacing w:line="250" w:lineRule="auto"/>
              <w:rPr>
                <w:rFonts w:ascii="Arial"/>
                <w:sz w:val="21"/>
              </w:rPr>
            </w:pPr>
          </w:p>
          <w:p w14:paraId="414A6AC0">
            <w:pPr>
              <w:spacing w:line="250" w:lineRule="auto"/>
              <w:rPr>
                <w:rFonts w:ascii="Arial"/>
                <w:sz w:val="21"/>
              </w:rPr>
            </w:pPr>
          </w:p>
          <w:p w14:paraId="4C5AB491">
            <w:pPr>
              <w:spacing w:line="250" w:lineRule="auto"/>
              <w:rPr>
                <w:rFonts w:ascii="Arial"/>
                <w:sz w:val="21"/>
              </w:rPr>
            </w:pPr>
          </w:p>
          <w:p w14:paraId="4F6B4B08">
            <w:pPr>
              <w:spacing w:line="250" w:lineRule="auto"/>
              <w:rPr>
                <w:rFonts w:ascii="Arial"/>
                <w:sz w:val="21"/>
              </w:rPr>
            </w:pPr>
          </w:p>
          <w:p w14:paraId="0C5042DD">
            <w:pPr>
              <w:spacing w:line="250" w:lineRule="auto"/>
              <w:rPr>
                <w:rFonts w:ascii="Arial"/>
                <w:sz w:val="21"/>
              </w:rPr>
            </w:pPr>
          </w:p>
          <w:p w14:paraId="5EBDB038">
            <w:pPr>
              <w:spacing w:line="250" w:lineRule="auto"/>
              <w:rPr>
                <w:rFonts w:ascii="Arial"/>
                <w:sz w:val="21"/>
              </w:rPr>
            </w:pPr>
          </w:p>
          <w:p w14:paraId="732906D4">
            <w:pPr>
              <w:spacing w:line="250" w:lineRule="auto"/>
              <w:rPr>
                <w:rFonts w:ascii="Arial"/>
                <w:sz w:val="21"/>
              </w:rPr>
            </w:pPr>
          </w:p>
          <w:p w14:paraId="50803517">
            <w:pPr>
              <w:spacing w:line="250" w:lineRule="auto"/>
              <w:rPr>
                <w:rFonts w:ascii="Arial"/>
                <w:sz w:val="21"/>
              </w:rPr>
            </w:pPr>
          </w:p>
          <w:p w14:paraId="03BE2551">
            <w:pPr>
              <w:spacing w:line="250" w:lineRule="auto"/>
              <w:rPr>
                <w:rFonts w:ascii="Arial"/>
                <w:sz w:val="21"/>
              </w:rPr>
            </w:pPr>
          </w:p>
          <w:p w14:paraId="4A3C0A94">
            <w:pPr>
              <w:spacing w:line="250" w:lineRule="auto"/>
              <w:rPr>
                <w:rFonts w:ascii="Arial"/>
                <w:sz w:val="21"/>
              </w:rPr>
            </w:pPr>
          </w:p>
          <w:p w14:paraId="4654192E">
            <w:pPr>
              <w:spacing w:line="250" w:lineRule="auto"/>
              <w:rPr>
                <w:rFonts w:ascii="Arial"/>
                <w:sz w:val="21"/>
              </w:rPr>
            </w:pPr>
          </w:p>
          <w:p w14:paraId="4AB8C0B4">
            <w:pPr>
              <w:spacing w:line="250" w:lineRule="auto"/>
              <w:rPr>
                <w:rFonts w:ascii="Arial"/>
                <w:sz w:val="21"/>
              </w:rPr>
            </w:pPr>
          </w:p>
          <w:p w14:paraId="449C2DD7">
            <w:pPr>
              <w:spacing w:line="250" w:lineRule="auto"/>
              <w:rPr>
                <w:rFonts w:ascii="Arial"/>
                <w:sz w:val="21"/>
              </w:rPr>
            </w:pPr>
          </w:p>
          <w:p w14:paraId="3F6A3993">
            <w:pPr>
              <w:pStyle w:val="8"/>
              <w:spacing w:before="58" w:line="233" w:lineRule="auto"/>
              <w:ind w:left="166" w:right="141" w:firstLine="2"/>
            </w:pPr>
            <w:r>
              <w:rPr>
                <w:spacing w:val="-9"/>
              </w:rPr>
              <w:t>交通运输</w:t>
            </w:r>
            <w:r>
              <w:t xml:space="preserve"> </w:t>
            </w:r>
            <w:r>
              <w:rPr>
                <w:spacing w:val="-9"/>
              </w:rPr>
              <w:t>主管部门</w:t>
            </w:r>
          </w:p>
        </w:tc>
        <w:tc>
          <w:tcPr>
            <w:tcW w:w="1404" w:type="dxa"/>
            <w:vMerge w:val="restart"/>
            <w:tcBorders>
              <w:bottom w:val="nil"/>
            </w:tcBorders>
            <w:vAlign w:val="top"/>
          </w:tcPr>
          <w:p w14:paraId="5BA736C0">
            <w:pPr>
              <w:spacing w:line="250" w:lineRule="auto"/>
              <w:rPr>
                <w:rFonts w:ascii="Arial"/>
                <w:sz w:val="21"/>
              </w:rPr>
            </w:pPr>
          </w:p>
          <w:p w14:paraId="06D7DCA2">
            <w:pPr>
              <w:spacing w:line="250" w:lineRule="auto"/>
              <w:rPr>
                <w:rFonts w:ascii="Arial"/>
                <w:sz w:val="21"/>
              </w:rPr>
            </w:pPr>
          </w:p>
          <w:p w14:paraId="5B1ED5C9">
            <w:pPr>
              <w:spacing w:line="250" w:lineRule="auto"/>
              <w:rPr>
                <w:rFonts w:ascii="Arial"/>
                <w:sz w:val="21"/>
              </w:rPr>
            </w:pPr>
          </w:p>
          <w:p w14:paraId="72372106">
            <w:pPr>
              <w:spacing w:line="250" w:lineRule="auto"/>
              <w:rPr>
                <w:rFonts w:ascii="Arial"/>
                <w:sz w:val="21"/>
              </w:rPr>
            </w:pPr>
          </w:p>
          <w:p w14:paraId="3C5C68F1">
            <w:pPr>
              <w:spacing w:line="250" w:lineRule="auto"/>
              <w:rPr>
                <w:rFonts w:ascii="Arial"/>
                <w:sz w:val="21"/>
              </w:rPr>
            </w:pPr>
          </w:p>
          <w:p w14:paraId="53699C1C">
            <w:pPr>
              <w:spacing w:line="250" w:lineRule="auto"/>
              <w:rPr>
                <w:rFonts w:ascii="Arial"/>
                <w:sz w:val="21"/>
              </w:rPr>
            </w:pPr>
          </w:p>
          <w:p w14:paraId="472B0162">
            <w:pPr>
              <w:spacing w:line="250" w:lineRule="auto"/>
              <w:rPr>
                <w:rFonts w:ascii="Arial"/>
                <w:sz w:val="21"/>
              </w:rPr>
            </w:pPr>
          </w:p>
          <w:p w14:paraId="190CC10B">
            <w:pPr>
              <w:spacing w:line="250" w:lineRule="auto"/>
              <w:rPr>
                <w:rFonts w:ascii="Arial"/>
                <w:sz w:val="21"/>
              </w:rPr>
            </w:pPr>
          </w:p>
          <w:p w14:paraId="3B54C1F9">
            <w:pPr>
              <w:spacing w:line="250" w:lineRule="auto"/>
              <w:rPr>
                <w:rFonts w:ascii="Arial"/>
                <w:sz w:val="21"/>
              </w:rPr>
            </w:pPr>
          </w:p>
          <w:p w14:paraId="7DFD6748">
            <w:pPr>
              <w:spacing w:line="250" w:lineRule="auto"/>
              <w:rPr>
                <w:rFonts w:ascii="Arial"/>
                <w:sz w:val="21"/>
              </w:rPr>
            </w:pPr>
          </w:p>
          <w:p w14:paraId="4CF42D12">
            <w:pPr>
              <w:spacing w:line="250" w:lineRule="auto"/>
              <w:rPr>
                <w:rFonts w:ascii="Arial"/>
                <w:sz w:val="21"/>
              </w:rPr>
            </w:pPr>
          </w:p>
          <w:p w14:paraId="2F4C7893">
            <w:pPr>
              <w:spacing w:line="250" w:lineRule="auto"/>
              <w:rPr>
                <w:rFonts w:ascii="Arial"/>
                <w:sz w:val="21"/>
              </w:rPr>
            </w:pPr>
          </w:p>
          <w:p w14:paraId="0346743F">
            <w:pPr>
              <w:spacing w:line="250" w:lineRule="auto"/>
              <w:rPr>
                <w:rFonts w:ascii="Arial"/>
                <w:sz w:val="21"/>
              </w:rPr>
            </w:pPr>
          </w:p>
          <w:p w14:paraId="5E15AE4C">
            <w:pPr>
              <w:spacing w:line="250" w:lineRule="auto"/>
              <w:rPr>
                <w:rFonts w:ascii="Arial"/>
                <w:sz w:val="21"/>
              </w:rPr>
            </w:pPr>
          </w:p>
          <w:p w14:paraId="308AD1AA">
            <w:pPr>
              <w:spacing w:line="250" w:lineRule="auto"/>
              <w:rPr>
                <w:rFonts w:ascii="Arial"/>
                <w:sz w:val="21"/>
              </w:rPr>
            </w:pPr>
          </w:p>
          <w:p w14:paraId="17DAAD47">
            <w:pPr>
              <w:spacing w:line="250" w:lineRule="auto"/>
              <w:rPr>
                <w:rFonts w:ascii="Arial"/>
                <w:sz w:val="21"/>
              </w:rPr>
            </w:pPr>
          </w:p>
          <w:p w14:paraId="0153E5F8">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Merge w:val="restart"/>
            <w:tcBorders>
              <w:bottom w:val="nil"/>
            </w:tcBorders>
            <w:vAlign w:val="top"/>
          </w:tcPr>
          <w:p w14:paraId="4F7C7E00">
            <w:pPr>
              <w:spacing w:line="250" w:lineRule="auto"/>
              <w:rPr>
                <w:rFonts w:ascii="Arial"/>
                <w:sz w:val="21"/>
              </w:rPr>
            </w:pPr>
          </w:p>
          <w:p w14:paraId="3C91B4B1">
            <w:pPr>
              <w:spacing w:line="250" w:lineRule="auto"/>
              <w:rPr>
                <w:rFonts w:ascii="Arial"/>
                <w:sz w:val="21"/>
              </w:rPr>
            </w:pPr>
          </w:p>
          <w:p w14:paraId="16DD9D43">
            <w:pPr>
              <w:spacing w:line="251" w:lineRule="auto"/>
              <w:rPr>
                <w:rFonts w:ascii="Arial"/>
                <w:sz w:val="21"/>
              </w:rPr>
            </w:pPr>
          </w:p>
          <w:p w14:paraId="057FA0F1">
            <w:pPr>
              <w:spacing w:line="251" w:lineRule="auto"/>
              <w:rPr>
                <w:rFonts w:ascii="Arial"/>
                <w:sz w:val="21"/>
              </w:rPr>
            </w:pPr>
          </w:p>
          <w:p w14:paraId="5C62F414">
            <w:pPr>
              <w:spacing w:line="251" w:lineRule="auto"/>
              <w:rPr>
                <w:rFonts w:ascii="Arial"/>
                <w:sz w:val="21"/>
              </w:rPr>
            </w:pPr>
          </w:p>
          <w:p w14:paraId="22F93D9D">
            <w:pPr>
              <w:spacing w:line="251" w:lineRule="auto"/>
              <w:rPr>
                <w:rFonts w:ascii="Arial"/>
                <w:sz w:val="21"/>
              </w:rPr>
            </w:pPr>
          </w:p>
          <w:p w14:paraId="4E9E6FF0">
            <w:pPr>
              <w:spacing w:line="251" w:lineRule="auto"/>
              <w:rPr>
                <w:rFonts w:ascii="Arial"/>
                <w:sz w:val="21"/>
              </w:rPr>
            </w:pPr>
          </w:p>
          <w:p w14:paraId="71D57F92">
            <w:pPr>
              <w:spacing w:line="251" w:lineRule="auto"/>
              <w:rPr>
                <w:rFonts w:ascii="Arial"/>
                <w:sz w:val="21"/>
              </w:rPr>
            </w:pPr>
          </w:p>
          <w:p w14:paraId="716939EA">
            <w:pPr>
              <w:spacing w:line="251" w:lineRule="auto"/>
              <w:rPr>
                <w:rFonts w:ascii="Arial"/>
                <w:sz w:val="21"/>
              </w:rPr>
            </w:pPr>
          </w:p>
          <w:p w14:paraId="5F51C2C6">
            <w:pPr>
              <w:spacing w:line="251" w:lineRule="auto"/>
              <w:rPr>
                <w:rFonts w:ascii="Arial"/>
                <w:sz w:val="21"/>
              </w:rPr>
            </w:pPr>
          </w:p>
          <w:p w14:paraId="46DFCA34">
            <w:pPr>
              <w:spacing w:line="251" w:lineRule="auto"/>
              <w:rPr>
                <w:rFonts w:ascii="Arial"/>
                <w:sz w:val="21"/>
              </w:rPr>
            </w:pPr>
          </w:p>
          <w:p w14:paraId="2BD5280F">
            <w:pPr>
              <w:spacing w:line="251" w:lineRule="auto"/>
              <w:rPr>
                <w:rFonts w:ascii="Arial"/>
                <w:sz w:val="21"/>
              </w:rPr>
            </w:pPr>
          </w:p>
          <w:p w14:paraId="7D95E5B4">
            <w:pPr>
              <w:spacing w:line="251" w:lineRule="auto"/>
              <w:rPr>
                <w:rFonts w:ascii="Arial"/>
                <w:sz w:val="21"/>
              </w:rPr>
            </w:pPr>
          </w:p>
          <w:p w14:paraId="6F918447">
            <w:pPr>
              <w:spacing w:line="251" w:lineRule="auto"/>
              <w:rPr>
                <w:rFonts w:ascii="Arial"/>
                <w:sz w:val="21"/>
              </w:rPr>
            </w:pPr>
          </w:p>
          <w:p w14:paraId="3A6D5D4E">
            <w:pPr>
              <w:spacing w:line="251" w:lineRule="auto"/>
              <w:rPr>
                <w:rFonts w:ascii="Arial"/>
                <w:sz w:val="21"/>
              </w:rPr>
            </w:pPr>
          </w:p>
          <w:p w14:paraId="6C02D1FB">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7BB48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3" w:hRule="atLeast"/>
        </w:trPr>
        <w:tc>
          <w:tcPr>
            <w:tcW w:w="629" w:type="dxa"/>
            <w:vMerge w:val="continue"/>
            <w:tcBorders>
              <w:top w:val="nil"/>
            </w:tcBorders>
            <w:vAlign w:val="top"/>
          </w:tcPr>
          <w:p w14:paraId="4B3A1EEF">
            <w:pPr>
              <w:rPr>
                <w:rFonts w:ascii="Arial"/>
                <w:sz w:val="21"/>
              </w:rPr>
            </w:pPr>
          </w:p>
        </w:tc>
        <w:tc>
          <w:tcPr>
            <w:tcW w:w="1101" w:type="dxa"/>
            <w:vMerge w:val="continue"/>
            <w:tcBorders>
              <w:top w:val="nil"/>
            </w:tcBorders>
            <w:vAlign w:val="top"/>
          </w:tcPr>
          <w:p w14:paraId="40F52F8C">
            <w:pPr>
              <w:rPr>
                <w:rFonts w:ascii="Arial"/>
                <w:sz w:val="21"/>
              </w:rPr>
            </w:pPr>
          </w:p>
        </w:tc>
        <w:tc>
          <w:tcPr>
            <w:tcW w:w="1101" w:type="dxa"/>
            <w:vMerge w:val="continue"/>
            <w:tcBorders>
              <w:top w:val="nil"/>
            </w:tcBorders>
            <w:vAlign w:val="top"/>
          </w:tcPr>
          <w:p w14:paraId="7218CD5D">
            <w:pPr>
              <w:rPr>
                <w:rFonts w:ascii="Arial"/>
                <w:sz w:val="21"/>
              </w:rPr>
            </w:pPr>
          </w:p>
        </w:tc>
        <w:tc>
          <w:tcPr>
            <w:tcW w:w="8524" w:type="dxa"/>
            <w:vAlign w:val="top"/>
          </w:tcPr>
          <w:p w14:paraId="51617068">
            <w:pPr>
              <w:pStyle w:val="8"/>
              <w:spacing w:before="259" w:line="219" w:lineRule="auto"/>
              <w:ind w:left="447"/>
            </w:pPr>
            <w:r>
              <w:rPr>
                <w:b/>
                <w:bCs/>
                <w:spacing w:val="-8"/>
              </w:rPr>
              <w:t>2.《国际道路运输管理规定》(交通运输部令2023年第15号)</w:t>
            </w:r>
          </w:p>
          <w:p w14:paraId="0E3406AE">
            <w:pPr>
              <w:pStyle w:val="8"/>
              <w:spacing w:before="26" w:line="233" w:lineRule="auto"/>
              <w:ind w:left="108" w:right="157" w:firstLine="336"/>
            </w:pPr>
            <w:r>
              <w:rPr>
                <w:spacing w:val="-8"/>
              </w:rPr>
              <w:t>第三十八条</w:t>
            </w:r>
            <w:r>
              <w:rPr>
                <w:spacing w:val="75"/>
              </w:rPr>
              <w:t xml:space="preserve"> </w:t>
            </w:r>
            <w:r>
              <w:rPr>
                <w:spacing w:val="-8"/>
              </w:rPr>
              <w:t>从事国际道路货物运输经营，未按规定进行备案的，由省级人民政府交通运输主管部门责令</w:t>
            </w:r>
            <w:r>
              <w:t xml:space="preserve"> </w:t>
            </w:r>
            <w:r>
              <w:rPr>
                <w:spacing w:val="-7"/>
              </w:rPr>
              <w:t>改正；拒不改正的，处5000元以上2万元以下</w:t>
            </w:r>
            <w:r>
              <w:rPr>
                <w:spacing w:val="-8"/>
              </w:rPr>
              <w:t>的罚款。</w:t>
            </w:r>
          </w:p>
          <w:p w14:paraId="7E3EB58F">
            <w:pPr>
              <w:pStyle w:val="8"/>
              <w:spacing w:before="26" w:line="237" w:lineRule="auto"/>
              <w:ind w:left="102" w:right="88" w:firstLine="343"/>
              <w:jc w:val="both"/>
            </w:pPr>
            <w:r>
              <w:rPr>
                <w:spacing w:val="-8"/>
              </w:rPr>
              <w:t>第三十九条</w:t>
            </w:r>
            <w:r>
              <w:rPr>
                <w:spacing w:val="74"/>
              </w:rPr>
              <w:t xml:space="preserve"> </w:t>
            </w:r>
            <w:r>
              <w:rPr>
                <w:spacing w:val="-8"/>
              </w:rPr>
              <w:t>违反本规定，非法转让、出租国际道路运输经营许可证件的，由县级以上地方人民政府交通</w:t>
            </w:r>
            <w:r>
              <w:t xml:space="preserve"> </w:t>
            </w:r>
            <w:r>
              <w:rPr>
                <w:spacing w:val="-8"/>
              </w:rPr>
              <w:t>运输主管部门或者口岸国际道路运输管理机构责令停止违法行为，收缴有关证件，处2000元以上1万</w:t>
            </w:r>
            <w:r>
              <w:rPr>
                <w:spacing w:val="-9"/>
              </w:rPr>
              <w:t>元以下的罚</w:t>
            </w:r>
            <w:r>
              <w:t xml:space="preserve"> </w:t>
            </w:r>
            <w:r>
              <w:rPr>
                <w:spacing w:val="-8"/>
              </w:rPr>
              <w:t>款；有违法所得的，没收违法所得。</w:t>
            </w:r>
          </w:p>
          <w:p w14:paraId="658555B1">
            <w:pPr>
              <w:pStyle w:val="8"/>
              <w:spacing w:before="26" w:line="237" w:lineRule="auto"/>
              <w:ind w:left="103" w:right="95" w:firstLine="341"/>
              <w:jc w:val="both"/>
            </w:pPr>
            <w:r>
              <w:rPr>
                <w:spacing w:val="-8"/>
              </w:rPr>
              <w:t>第四十条</w:t>
            </w:r>
            <w:r>
              <w:rPr>
                <w:spacing w:val="74"/>
              </w:rPr>
              <w:t xml:space="preserve"> </w:t>
            </w:r>
            <w:r>
              <w:rPr>
                <w:spacing w:val="-8"/>
              </w:rPr>
              <w:t>违反本规定，非法转让、出租、伪造《国际汽车运输行车许可证》《国际汽车运输特别行车许</w:t>
            </w:r>
            <w:r>
              <w:t xml:space="preserve"> </w:t>
            </w:r>
            <w:r>
              <w:rPr>
                <w:spacing w:val="-8"/>
              </w:rPr>
              <w:t>可证》《国际道路运输国籍识别标志》的，由县级以上地方人民政府交通运输主管部门或者口岸国际道</w:t>
            </w:r>
            <w:r>
              <w:rPr>
                <w:spacing w:val="-9"/>
              </w:rPr>
              <w:t>路运输</w:t>
            </w:r>
            <w:r>
              <w:t xml:space="preserve"> </w:t>
            </w:r>
            <w:r>
              <w:rPr>
                <w:spacing w:val="-8"/>
              </w:rPr>
              <w:t>管理机构责令停止违法行为，收缴有关证件，处500元以上1000元以下的罚款；有违法所得的，没收</w:t>
            </w:r>
            <w:r>
              <w:rPr>
                <w:spacing w:val="-9"/>
              </w:rPr>
              <w:t>违法所得。</w:t>
            </w:r>
          </w:p>
          <w:p w14:paraId="7435124E">
            <w:pPr>
              <w:pStyle w:val="8"/>
              <w:spacing w:before="26" w:line="241" w:lineRule="auto"/>
              <w:ind w:left="101" w:right="150" w:firstLine="343"/>
              <w:jc w:val="both"/>
            </w:pPr>
            <w:r>
              <w:rPr>
                <w:spacing w:val="-8"/>
              </w:rPr>
              <w:t>第四十一条</w:t>
            </w:r>
            <w:r>
              <w:rPr>
                <w:spacing w:val="74"/>
              </w:rPr>
              <w:t xml:space="preserve"> </w:t>
            </w:r>
            <w:r>
              <w:rPr>
                <w:spacing w:val="-8"/>
              </w:rPr>
              <w:t>违反本规定，国际道路旅客运输经营者有下列情形之一的，由县级以上地方人民政府交通运</w:t>
            </w:r>
            <w:r>
              <w:t xml:space="preserve"> </w:t>
            </w:r>
            <w:r>
              <w:rPr>
                <w:spacing w:val="-7"/>
              </w:rPr>
              <w:t>输主管部门或者口岸国际道路运输管理机构责令改正，处1000元以</w:t>
            </w:r>
            <w:r>
              <w:rPr>
                <w:spacing w:val="-8"/>
              </w:rPr>
              <w:t>上3000元以下的罚款；情节严重的，由原许</w:t>
            </w:r>
            <w:r>
              <w:t xml:space="preserve"> </w:t>
            </w:r>
            <w:r>
              <w:rPr>
                <w:spacing w:val="-7"/>
              </w:rPr>
              <w:t>可机关吊销道路运输经营许可证</w:t>
            </w:r>
            <w:r>
              <w:rPr>
                <w:spacing w:val="-20"/>
              </w:rPr>
              <w:t>：（</w:t>
            </w:r>
            <w:r>
              <w:rPr>
                <w:spacing w:val="-7"/>
              </w:rPr>
              <w:t>一）不按批准的国际道路运输线路、站点、班次运输的</w:t>
            </w:r>
            <w:r>
              <w:rPr>
                <w:spacing w:val="-20"/>
              </w:rPr>
              <w:t>；（</w:t>
            </w:r>
            <w:r>
              <w:rPr>
                <w:spacing w:val="-7"/>
              </w:rPr>
              <w:t>二）在旅客运</w:t>
            </w:r>
            <w:r>
              <w:rPr>
                <w:spacing w:val="3"/>
              </w:rPr>
              <w:t xml:space="preserve"> </w:t>
            </w:r>
            <w:r>
              <w:rPr>
                <w:spacing w:val="-7"/>
              </w:rPr>
              <w:t>输途中擅自变更运输车辆或者将旅客移交他人运输的</w:t>
            </w:r>
            <w:r>
              <w:rPr>
                <w:spacing w:val="-22"/>
              </w:rPr>
              <w:t>；（</w:t>
            </w:r>
            <w:r>
              <w:rPr>
                <w:spacing w:val="-7"/>
              </w:rPr>
              <w:t>三）未</w:t>
            </w:r>
            <w:r>
              <w:rPr>
                <w:spacing w:val="-8"/>
              </w:rPr>
              <w:t>报告原许可机关，擅自终止国际道路旅客运输</w:t>
            </w:r>
            <w:r>
              <w:rPr>
                <w:spacing w:val="1"/>
              </w:rPr>
              <w:t xml:space="preserve"> </w:t>
            </w:r>
            <w:r>
              <w:rPr>
                <w:spacing w:val="-6"/>
              </w:rPr>
              <w:t>经营的。</w:t>
            </w:r>
          </w:p>
          <w:p w14:paraId="35AA7B23">
            <w:pPr>
              <w:pStyle w:val="8"/>
              <w:spacing w:before="24" w:line="242" w:lineRule="auto"/>
              <w:ind w:left="101" w:right="88" w:firstLine="343"/>
              <w:jc w:val="both"/>
            </w:pPr>
            <w:r>
              <w:rPr>
                <w:spacing w:val="-8"/>
              </w:rPr>
              <w:t>第四十三条</w:t>
            </w:r>
            <w:r>
              <w:rPr>
                <w:spacing w:val="77"/>
              </w:rPr>
              <w:t xml:space="preserve"> </w:t>
            </w:r>
            <w:r>
              <w:rPr>
                <w:spacing w:val="-8"/>
              </w:rPr>
              <w:t>外国国际道路运输经营者有下列行为之一，由省级人民政府交通运输主管部门或者口</w:t>
            </w:r>
            <w:r>
              <w:rPr>
                <w:spacing w:val="-9"/>
              </w:rPr>
              <w:t>岸国际</w:t>
            </w:r>
            <w:r>
              <w:t xml:space="preserve"> </w:t>
            </w:r>
            <w:r>
              <w:rPr>
                <w:spacing w:val="-8"/>
              </w:rPr>
              <w:t>道路运输管理机构责令改正；拒不改正的，责令停止运输，有违法</w:t>
            </w:r>
            <w:r>
              <w:rPr>
                <w:spacing w:val="-9"/>
              </w:rPr>
              <w:t>所得的，没收违法所得，处违法所得2倍以上</w:t>
            </w:r>
            <w:r>
              <w:t xml:space="preserve"> </w:t>
            </w:r>
            <w:r>
              <w:rPr>
                <w:spacing w:val="-7"/>
              </w:rPr>
              <w:t>10倍以下的罚款，没有违法所得或者违法所得不足1万元的，处3万元</w:t>
            </w:r>
            <w:r>
              <w:rPr>
                <w:spacing w:val="-8"/>
              </w:rPr>
              <w:t>以上6万元以下的罚款</w:t>
            </w:r>
            <w:r>
              <w:rPr>
                <w:spacing w:val="-26"/>
              </w:rPr>
              <w:t>：（</w:t>
            </w:r>
            <w:r>
              <w:rPr>
                <w:spacing w:val="-8"/>
              </w:rPr>
              <w:t>一）未取得我国</w:t>
            </w:r>
            <w:r>
              <w:t xml:space="preserve"> </w:t>
            </w:r>
            <w:r>
              <w:rPr>
                <w:spacing w:val="-10"/>
              </w:rPr>
              <w:t>有效的《国际汽车运输行车许可证》或者《国际汽车运输特别行车许可证》， 擅自进入我国境内从事国际道路</w:t>
            </w:r>
            <w:r>
              <w:rPr>
                <w:spacing w:val="15"/>
              </w:rPr>
              <w:t xml:space="preserve"> </w:t>
            </w:r>
            <w:r>
              <w:rPr>
                <w:spacing w:val="-7"/>
              </w:rPr>
              <w:t>运输经营或者运输危险货物的</w:t>
            </w:r>
            <w:r>
              <w:rPr>
                <w:spacing w:val="-20"/>
              </w:rPr>
              <w:t>；（</w:t>
            </w:r>
            <w:r>
              <w:rPr>
                <w:spacing w:val="-7"/>
              </w:rPr>
              <w:t>二）从事我国国内道路旅客或货物运输的</w:t>
            </w:r>
            <w:r>
              <w:rPr>
                <w:spacing w:val="-20"/>
              </w:rPr>
              <w:t>；（</w:t>
            </w:r>
            <w:r>
              <w:rPr>
                <w:spacing w:val="-7"/>
              </w:rPr>
              <w:t>三）在我国境内自行承揽货源</w:t>
            </w:r>
            <w:r>
              <w:rPr>
                <w:spacing w:val="3"/>
              </w:rPr>
              <w:t xml:space="preserve"> </w:t>
            </w:r>
            <w:r>
              <w:rPr>
                <w:spacing w:val="-7"/>
              </w:rPr>
              <w:t>或招揽旅客的</w:t>
            </w:r>
            <w:r>
              <w:rPr>
                <w:spacing w:val="-21"/>
              </w:rPr>
              <w:t>；（</w:t>
            </w:r>
            <w:r>
              <w:rPr>
                <w:spacing w:val="-7"/>
              </w:rPr>
              <w:t>四）未按规定的运输线路、站点、班次、停靠站（场）运行的。</w:t>
            </w:r>
          </w:p>
          <w:p w14:paraId="6012B6AD">
            <w:pPr>
              <w:pStyle w:val="8"/>
              <w:spacing w:before="25" w:line="233" w:lineRule="auto"/>
              <w:ind w:left="114" w:right="150" w:firstLine="334"/>
            </w:pPr>
            <w:r>
              <w:rPr>
                <w:spacing w:val="-8"/>
              </w:rPr>
              <w:t>外国国际道路运输经营者未按照规定标明国籍识别标志的，由省级人民政府交通运输主管部门或</w:t>
            </w:r>
            <w:r>
              <w:rPr>
                <w:spacing w:val="-9"/>
              </w:rPr>
              <w:t>者口岸国</w:t>
            </w:r>
            <w:r>
              <w:t xml:space="preserve"> </w:t>
            </w:r>
            <w:r>
              <w:rPr>
                <w:spacing w:val="-7"/>
              </w:rPr>
              <w:t>际道路运输管理机构责令停止运输，处200元以</w:t>
            </w:r>
            <w:r>
              <w:rPr>
                <w:spacing w:val="-8"/>
              </w:rPr>
              <w:t>上2000元以下的罚款。</w:t>
            </w:r>
          </w:p>
        </w:tc>
        <w:tc>
          <w:tcPr>
            <w:tcW w:w="1011" w:type="dxa"/>
            <w:vMerge w:val="continue"/>
            <w:tcBorders>
              <w:top w:val="nil"/>
            </w:tcBorders>
            <w:vAlign w:val="top"/>
          </w:tcPr>
          <w:p w14:paraId="4BC3AAB4">
            <w:pPr>
              <w:rPr>
                <w:rFonts w:ascii="Arial"/>
                <w:sz w:val="21"/>
              </w:rPr>
            </w:pPr>
          </w:p>
        </w:tc>
        <w:tc>
          <w:tcPr>
            <w:tcW w:w="1404" w:type="dxa"/>
            <w:vMerge w:val="continue"/>
            <w:tcBorders>
              <w:top w:val="nil"/>
            </w:tcBorders>
            <w:vAlign w:val="top"/>
          </w:tcPr>
          <w:p w14:paraId="308DF045">
            <w:pPr>
              <w:rPr>
                <w:rFonts w:ascii="Arial"/>
                <w:sz w:val="21"/>
              </w:rPr>
            </w:pPr>
          </w:p>
        </w:tc>
        <w:tc>
          <w:tcPr>
            <w:tcW w:w="1020" w:type="dxa"/>
            <w:vMerge w:val="continue"/>
            <w:tcBorders>
              <w:top w:val="nil"/>
            </w:tcBorders>
            <w:vAlign w:val="top"/>
          </w:tcPr>
          <w:p w14:paraId="576C2A24">
            <w:pPr>
              <w:rPr>
                <w:rFonts w:ascii="Arial"/>
                <w:sz w:val="21"/>
              </w:rPr>
            </w:pPr>
          </w:p>
        </w:tc>
      </w:tr>
    </w:tbl>
    <w:p w14:paraId="6BB13B3C">
      <w:pPr>
        <w:pStyle w:val="2"/>
      </w:pPr>
    </w:p>
    <w:p w14:paraId="730A2EFD">
      <w:pPr>
        <w:sectPr>
          <w:footerReference r:id="rId39" w:type="default"/>
          <w:pgSz w:w="16839" w:h="11906"/>
          <w:pgMar w:top="1012" w:right="1016" w:bottom="966" w:left="1016" w:header="0" w:footer="768" w:gutter="0"/>
          <w:cols w:space="720" w:num="1"/>
        </w:sectPr>
      </w:pPr>
    </w:p>
    <w:p w14:paraId="57C885C6">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64EB0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48812AF4">
            <w:pPr>
              <w:pStyle w:val="8"/>
              <w:spacing w:before="273" w:line="221" w:lineRule="auto"/>
              <w:ind w:left="129"/>
            </w:pPr>
            <w:r>
              <w:rPr>
                <w:b/>
                <w:bCs/>
                <w:spacing w:val="-4"/>
              </w:rPr>
              <w:t>序号</w:t>
            </w:r>
          </w:p>
        </w:tc>
        <w:tc>
          <w:tcPr>
            <w:tcW w:w="1101" w:type="dxa"/>
            <w:vMerge w:val="restart"/>
            <w:tcBorders>
              <w:bottom w:val="nil"/>
            </w:tcBorders>
            <w:vAlign w:val="top"/>
          </w:tcPr>
          <w:p w14:paraId="03925536">
            <w:pPr>
              <w:pStyle w:val="8"/>
              <w:spacing w:before="274" w:line="220" w:lineRule="auto"/>
              <w:ind w:left="182"/>
            </w:pPr>
            <w:r>
              <w:rPr>
                <w:b/>
                <w:bCs/>
                <w:spacing w:val="-4"/>
              </w:rPr>
              <w:t>事项名称</w:t>
            </w:r>
          </w:p>
        </w:tc>
        <w:tc>
          <w:tcPr>
            <w:tcW w:w="1101" w:type="dxa"/>
            <w:vMerge w:val="restart"/>
            <w:tcBorders>
              <w:bottom w:val="nil"/>
            </w:tcBorders>
            <w:vAlign w:val="top"/>
          </w:tcPr>
          <w:p w14:paraId="0E690E13">
            <w:pPr>
              <w:pStyle w:val="8"/>
              <w:spacing w:before="274" w:line="219" w:lineRule="auto"/>
              <w:ind w:left="183"/>
            </w:pPr>
            <w:r>
              <w:rPr>
                <w:b/>
                <w:bCs/>
                <w:spacing w:val="-4"/>
              </w:rPr>
              <w:t>职权类型</w:t>
            </w:r>
          </w:p>
        </w:tc>
        <w:tc>
          <w:tcPr>
            <w:tcW w:w="8524" w:type="dxa"/>
            <w:vMerge w:val="restart"/>
            <w:tcBorders>
              <w:bottom w:val="nil"/>
            </w:tcBorders>
            <w:vAlign w:val="top"/>
          </w:tcPr>
          <w:p w14:paraId="19D8C4C2">
            <w:pPr>
              <w:pStyle w:val="8"/>
              <w:spacing w:before="273" w:line="219" w:lineRule="auto"/>
              <w:ind w:left="4083"/>
            </w:pPr>
            <w:r>
              <w:rPr>
                <w:b/>
                <w:bCs/>
                <w:spacing w:val="-5"/>
              </w:rPr>
              <w:t>实施依据</w:t>
            </w:r>
          </w:p>
        </w:tc>
        <w:tc>
          <w:tcPr>
            <w:tcW w:w="3435" w:type="dxa"/>
            <w:gridSpan w:val="3"/>
            <w:vAlign w:val="top"/>
          </w:tcPr>
          <w:p w14:paraId="31CF969A">
            <w:pPr>
              <w:pStyle w:val="8"/>
              <w:spacing w:before="94" w:line="220" w:lineRule="auto"/>
              <w:ind w:left="1360"/>
            </w:pPr>
            <w:r>
              <w:rPr>
                <w:b/>
                <w:bCs/>
                <w:spacing w:val="-5"/>
              </w:rPr>
              <w:t>实施主体</w:t>
            </w:r>
          </w:p>
        </w:tc>
      </w:tr>
      <w:tr w14:paraId="0D44C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69D4D5A1">
            <w:pPr>
              <w:rPr>
                <w:rFonts w:ascii="Arial"/>
                <w:sz w:val="21"/>
              </w:rPr>
            </w:pPr>
          </w:p>
        </w:tc>
        <w:tc>
          <w:tcPr>
            <w:tcW w:w="1101" w:type="dxa"/>
            <w:vMerge w:val="continue"/>
            <w:tcBorders>
              <w:top w:val="nil"/>
            </w:tcBorders>
            <w:vAlign w:val="top"/>
          </w:tcPr>
          <w:p w14:paraId="30EDC90A">
            <w:pPr>
              <w:rPr>
                <w:rFonts w:ascii="Arial"/>
                <w:sz w:val="21"/>
              </w:rPr>
            </w:pPr>
          </w:p>
        </w:tc>
        <w:tc>
          <w:tcPr>
            <w:tcW w:w="1101" w:type="dxa"/>
            <w:vMerge w:val="continue"/>
            <w:tcBorders>
              <w:top w:val="nil"/>
            </w:tcBorders>
            <w:vAlign w:val="top"/>
          </w:tcPr>
          <w:p w14:paraId="5C41E455">
            <w:pPr>
              <w:rPr>
                <w:rFonts w:ascii="Arial"/>
                <w:sz w:val="21"/>
              </w:rPr>
            </w:pPr>
          </w:p>
        </w:tc>
        <w:tc>
          <w:tcPr>
            <w:tcW w:w="8524" w:type="dxa"/>
            <w:vMerge w:val="continue"/>
            <w:tcBorders>
              <w:top w:val="nil"/>
            </w:tcBorders>
            <w:vAlign w:val="top"/>
          </w:tcPr>
          <w:p w14:paraId="633D3453">
            <w:pPr>
              <w:rPr>
                <w:rFonts w:ascii="Arial"/>
                <w:sz w:val="21"/>
              </w:rPr>
            </w:pPr>
          </w:p>
        </w:tc>
        <w:tc>
          <w:tcPr>
            <w:tcW w:w="1011" w:type="dxa"/>
            <w:vAlign w:val="top"/>
          </w:tcPr>
          <w:p w14:paraId="17659004">
            <w:pPr>
              <w:pStyle w:val="8"/>
              <w:spacing w:before="85" w:line="219" w:lineRule="auto"/>
              <w:ind w:left="154"/>
            </w:pPr>
            <w:r>
              <w:rPr>
                <w:b/>
                <w:bCs/>
                <w:spacing w:val="-5"/>
              </w:rPr>
              <w:t>责任部门</w:t>
            </w:r>
          </w:p>
        </w:tc>
        <w:tc>
          <w:tcPr>
            <w:tcW w:w="1404" w:type="dxa"/>
            <w:vAlign w:val="top"/>
          </w:tcPr>
          <w:p w14:paraId="7E66B6CE">
            <w:pPr>
              <w:pStyle w:val="8"/>
              <w:spacing w:before="85" w:line="219" w:lineRule="auto"/>
              <w:ind w:left="164"/>
            </w:pPr>
            <w:r>
              <w:rPr>
                <w:b/>
                <w:bCs/>
                <w:spacing w:val="-3"/>
              </w:rPr>
              <w:t>第一责任层级</w:t>
            </w:r>
          </w:p>
        </w:tc>
        <w:tc>
          <w:tcPr>
            <w:tcW w:w="1020" w:type="dxa"/>
            <w:vAlign w:val="top"/>
          </w:tcPr>
          <w:p w14:paraId="243CDFF6">
            <w:pPr>
              <w:pStyle w:val="8"/>
              <w:spacing w:before="84" w:line="219" w:lineRule="auto"/>
              <w:ind w:left="114"/>
            </w:pPr>
            <w:r>
              <w:rPr>
                <w:b/>
                <w:bCs/>
                <w:spacing w:val="-4"/>
              </w:rPr>
              <w:t>承办机构</w:t>
            </w:r>
          </w:p>
        </w:tc>
      </w:tr>
      <w:tr w14:paraId="4D4D9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3" w:hRule="atLeast"/>
        </w:trPr>
        <w:tc>
          <w:tcPr>
            <w:tcW w:w="629" w:type="dxa"/>
            <w:vAlign w:val="top"/>
          </w:tcPr>
          <w:p w14:paraId="545255D7">
            <w:pPr>
              <w:spacing w:line="262" w:lineRule="auto"/>
              <w:rPr>
                <w:rFonts w:ascii="Arial"/>
                <w:sz w:val="21"/>
              </w:rPr>
            </w:pPr>
          </w:p>
          <w:p w14:paraId="52C3BFC5">
            <w:pPr>
              <w:spacing w:line="262" w:lineRule="auto"/>
              <w:rPr>
                <w:rFonts w:ascii="Arial"/>
                <w:sz w:val="21"/>
              </w:rPr>
            </w:pPr>
          </w:p>
          <w:p w14:paraId="42009FE3">
            <w:pPr>
              <w:spacing w:line="262" w:lineRule="auto"/>
              <w:rPr>
                <w:rFonts w:ascii="Arial"/>
                <w:sz w:val="21"/>
              </w:rPr>
            </w:pPr>
          </w:p>
          <w:p w14:paraId="5DF8C7C2">
            <w:pPr>
              <w:spacing w:line="263" w:lineRule="auto"/>
              <w:rPr>
                <w:rFonts w:ascii="Arial"/>
                <w:sz w:val="21"/>
              </w:rPr>
            </w:pPr>
          </w:p>
          <w:p w14:paraId="0BC67761">
            <w:pPr>
              <w:spacing w:line="263" w:lineRule="auto"/>
              <w:rPr>
                <w:rFonts w:ascii="Arial"/>
                <w:sz w:val="21"/>
              </w:rPr>
            </w:pPr>
          </w:p>
          <w:p w14:paraId="24D177E1">
            <w:pPr>
              <w:spacing w:line="263" w:lineRule="auto"/>
              <w:rPr>
                <w:rFonts w:ascii="Arial"/>
                <w:sz w:val="21"/>
              </w:rPr>
            </w:pPr>
          </w:p>
          <w:p w14:paraId="3A1F2DD8">
            <w:pPr>
              <w:spacing w:line="263" w:lineRule="auto"/>
              <w:rPr>
                <w:rFonts w:ascii="Arial"/>
                <w:sz w:val="21"/>
              </w:rPr>
            </w:pPr>
          </w:p>
          <w:p w14:paraId="6400D798">
            <w:pPr>
              <w:spacing w:line="263" w:lineRule="auto"/>
              <w:rPr>
                <w:rFonts w:ascii="Arial"/>
                <w:sz w:val="21"/>
              </w:rPr>
            </w:pPr>
          </w:p>
          <w:p w14:paraId="3F91BBDA">
            <w:pPr>
              <w:spacing w:line="263" w:lineRule="auto"/>
              <w:rPr>
                <w:rFonts w:ascii="Arial"/>
                <w:sz w:val="21"/>
              </w:rPr>
            </w:pPr>
          </w:p>
          <w:p w14:paraId="0C5BD393">
            <w:pPr>
              <w:pStyle w:val="8"/>
              <w:spacing w:before="59" w:line="183" w:lineRule="auto"/>
              <w:ind w:left="224"/>
              <w:rPr>
                <w:rFonts w:hint="default" w:eastAsia="宋体"/>
                <w:lang w:val="en-US" w:eastAsia="zh-CN"/>
              </w:rPr>
            </w:pPr>
            <w:r>
              <w:rPr>
                <w:rFonts w:hint="eastAsia"/>
                <w:spacing w:val="-5"/>
                <w:lang w:val="en-US" w:eastAsia="zh-CN"/>
              </w:rPr>
              <w:t>29</w:t>
            </w:r>
          </w:p>
        </w:tc>
        <w:tc>
          <w:tcPr>
            <w:tcW w:w="1101" w:type="dxa"/>
            <w:vAlign w:val="top"/>
          </w:tcPr>
          <w:p w14:paraId="670E7462">
            <w:pPr>
              <w:spacing w:line="250" w:lineRule="auto"/>
              <w:rPr>
                <w:rFonts w:ascii="Arial"/>
                <w:sz w:val="21"/>
              </w:rPr>
            </w:pPr>
          </w:p>
          <w:p w14:paraId="6306A509">
            <w:pPr>
              <w:spacing w:line="250" w:lineRule="auto"/>
              <w:rPr>
                <w:rFonts w:ascii="Arial"/>
                <w:sz w:val="21"/>
              </w:rPr>
            </w:pPr>
          </w:p>
          <w:p w14:paraId="765EE983">
            <w:pPr>
              <w:spacing w:line="251" w:lineRule="auto"/>
              <w:rPr>
                <w:rFonts w:ascii="Arial"/>
                <w:sz w:val="21"/>
              </w:rPr>
            </w:pPr>
          </w:p>
          <w:p w14:paraId="38843D5D">
            <w:pPr>
              <w:spacing w:line="251" w:lineRule="auto"/>
              <w:rPr>
                <w:rFonts w:ascii="Arial"/>
                <w:sz w:val="21"/>
              </w:rPr>
            </w:pPr>
          </w:p>
          <w:p w14:paraId="59D57A05">
            <w:pPr>
              <w:spacing w:line="251" w:lineRule="auto"/>
              <w:rPr>
                <w:rFonts w:ascii="Arial"/>
                <w:sz w:val="21"/>
              </w:rPr>
            </w:pPr>
          </w:p>
          <w:p w14:paraId="62130569">
            <w:pPr>
              <w:spacing w:line="251" w:lineRule="auto"/>
              <w:rPr>
                <w:rFonts w:ascii="Arial"/>
                <w:sz w:val="21"/>
              </w:rPr>
            </w:pPr>
          </w:p>
          <w:p w14:paraId="2C427695">
            <w:pPr>
              <w:pStyle w:val="8"/>
              <w:spacing w:before="58" w:line="243" w:lineRule="auto"/>
              <w:ind w:left="18" w:right="20"/>
              <w:jc w:val="both"/>
            </w:pPr>
            <w:r>
              <w:rPr>
                <w:spacing w:val="-6"/>
              </w:rPr>
              <w:t>对拒绝、阻碍</w:t>
            </w:r>
            <w:r>
              <w:rPr>
                <w:spacing w:val="2"/>
              </w:rPr>
              <w:t xml:space="preserve"> </w:t>
            </w:r>
            <w:r>
              <w:rPr>
                <w:spacing w:val="-6"/>
              </w:rPr>
              <w:t>道路运输管理</w:t>
            </w:r>
            <w:r>
              <w:rPr>
                <w:spacing w:val="2"/>
              </w:rPr>
              <w:t xml:space="preserve"> </w:t>
            </w:r>
            <w:r>
              <w:rPr>
                <w:spacing w:val="-6"/>
              </w:rPr>
              <w:t>机构依法履行</w:t>
            </w:r>
            <w:r>
              <w:rPr>
                <w:spacing w:val="2"/>
              </w:rPr>
              <w:t xml:space="preserve"> </w:t>
            </w:r>
            <w:r>
              <w:rPr>
                <w:spacing w:val="-6"/>
              </w:rPr>
              <w:t>放射性物品运</w:t>
            </w:r>
            <w:r>
              <w:rPr>
                <w:spacing w:val="2"/>
              </w:rPr>
              <w:t xml:space="preserve"> </w:t>
            </w:r>
            <w:r>
              <w:rPr>
                <w:spacing w:val="-6"/>
              </w:rPr>
              <w:t>输安全监督检</w:t>
            </w:r>
            <w:r>
              <w:rPr>
                <w:spacing w:val="2"/>
              </w:rPr>
              <w:t xml:space="preserve"> </w:t>
            </w:r>
            <w:r>
              <w:rPr>
                <w:spacing w:val="-6"/>
              </w:rPr>
              <w:t>查，或者在接</w:t>
            </w:r>
            <w:r>
              <w:rPr>
                <w:spacing w:val="2"/>
              </w:rPr>
              <w:t xml:space="preserve"> </w:t>
            </w:r>
            <w:r>
              <w:rPr>
                <w:spacing w:val="-6"/>
              </w:rPr>
              <w:t>受监督检查时</w:t>
            </w:r>
            <w:r>
              <w:rPr>
                <w:spacing w:val="2"/>
              </w:rPr>
              <w:t xml:space="preserve"> </w:t>
            </w:r>
            <w:r>
              <w:rPr>
                <w:spacing w:val="-6"/>
              </w:rPr>
              <w:t>弄虚作假行为</w:t>
            </w:r>
            <w:r>
              <w:rPr>
                <w:spacing w:val="2"/>
              </w:rPr>
              <w:t xml:space="preserve"> </w:t>
            </w:r>
            <w:r>
              <w:rPr>
                <w:spacing w:val="-7"/>
              </w:rPr>
              <w:t>的行政处罚</w:t>
            </w:r>
          </w:p>
        </w:tc>
        <w:tc>
          <w:tcPr>
            <w:tcW w:w="1101" w:type="dxa"/>
            <w:vAlign w:val="top"/>
          </w:tcPr>
          <w:p w14:paraId="1B2CB14A">
            <w:pPr>
              <w:spacing w:line="259" w:lineRule="auto"/>
              <w:rPr>
                <w:rFonts w:ascii="Arial"/>
                <w:sz w:val="21"/>
              </w:rPr>
            </w:pPr>
          </w:p>
          <w:p w14:paraId="20525BD6">
            <w:pPr>
              <w:spacing w:line="259" w:lineRule="auto"/>
              <w:rPr>
                <w:rFonts w:ascii="Arial"/>
                <w:sz w:val="21"/>
              </w:rPr>
            </w:pPr>
          </w:p>
          <w:p w14:paraId="10FA73EF">
            <w:pPr>
              <w:spacing w:line="259" w:lineRule="auto"/>
              <w:rPr>
                <w:rFonts w:ascii="Arial"/>
                <w:sz w:val="21"/>
              </w:rPr>
            </w:pPr>
          </w:p>
          <w:p w14:paraId="15B91242">
            <w:pPr>
              <w:spacing w:line="259" w:lineRule="auto"/>
              <w:rPr>
                <w:rFonts w:ascii="Arial"/>
                <w:sz w:val="21"/>
              </w:rPr>
            </w:pPr>
          </w:p>
          <w:p w14:paraId="079C1C8B">
            <w:pPr>
              <w:spacing w:line="260" w:lineRule="auto"/>
              <w:rPr>
                <w:rFonts w:ascii="Arial"/>
                <w:sz w:val="21"/>
              </w:rPr>
            </w:pPr>
          </w:p>
          <w:p w14:paraId="1342F8C6">
            <w:pPr>
              <w:spacing w:line="260" w:lineRule="auto"/>
              <w:rPr>
                <w:rFonts w:ascii="Arial"/>
                <w:sz w:val="21"/>
              </w:rPr>
            </w:pPr>
          </w:p>
          <w:p w14:paraId="2EA0BDED">
            <w:pPr>
              <w:spacing w:line="260" w:lineRule="auto"/>
              <w:rPr>
                <w:rFonts w:ascii="Arial"/>
                <w:sz w:val="21"/>
              </w:rPr>
            </w:pPr>
          </w:p>
          <w:p w14:paraId="0E73A0E3">
            <w:pPr>
              <w:spacing w:line="260" w:lineRule="auto"/>
              <w:rPr>
                <w:rFonts w:ascii="Arial"/>
                <w:sz w:val="21"/>
              </w:rPr>
            </w:pPr>
          </w:p>
          <w:p w14:paraId="4B894A43">
            <w:pPr>
              <w:spacing w:line="260" w:lineRule="auto"/>
              <w:rPr>
                <w:rFonts w:ascii="Arial"/>
                <w:sz w:val="21"/>
              </w:rPr>
            </w:pPr>
          </w:p>
          <w:p w14:paraId="4912201B">
            <w:pPr>
              <w:pStyle w:val="8"/>
              <w:spacing w:before="59" w:line="220" w:lineRule="auto"/>
              <w:ind w:left="25"/>
            </w:pPr>
            <w:r>
              <w:rPr>
                <w:spacing w:val="-7"/>
              </w:rPr>
              <w:t>行政处罚</w:t>
            </w:r>
          </w:p>
        </w:tc>
        <w:tc>
          <w:tcPr>
            <w:tcW w:w="8524" w:type="dxa"/>
            <w:vAlign w:val="top"/>
          </w:tcPr>
          <w:p w14:paraId="64CB6CD8">
            <w:pPr>
              <w:pStyle w:val="8"/>
              <w:spacing w:before="249" w:line="219" w:lineRule="auto"/>
              <w:ind w:left="458"/>
            </w:pPr>
            <w:r>
              <w:rPr>
                <w:b/>
                <w:bCs/>
                <w:spacing w:val="-10"/>
              </w:rPr>
              <w:t>1.《放射性物品运输安全管理条例》</w:t>
            </w:r>
          </w:p>
          <w:p w14:paraId="6E685698">
            <w:pPr>
              <w:pStyle w:val="8"/>
              <w:spacing w:before="25" w:line="233" w:lineRule="auto"/>
              <w:ind w:left="104" w:right="157" w:firstLine="341"/>
            </w:pPr>
            <w:r>
              <w:rPr>
                <w:spacing w:val="-8"/>
              </w:rPr>
              <w:t>第四十四条  国务院核安全监管部门和其他依法履行放射性物品运输安全监督管理职责的部门，应当依据</w:t>
            </w:r>
            <w:r>
              <w:t xml:space="preserve"> </w:t>
            </w:r>
            <w:r>
              <w:rPr>
                <w:spacing w:val="-8"/>
              </w:rPr>
              <w:t>各自职责对放射性物品运输安全实施监督检查。</w:t>
            </w:r>
          </w:p>
          <w:p w14:paraId="081323EA">
            <w:pPr>
              <w:pStyle w:val="8"/>
              <w:spacing w:before="25"/>
              <w:ind w:left="103" w:right="150" w:firstLine="359"/>
            </w:pPr>
            <w:r>
              <w:rPr>
                <w:spacing w:val="-8"/>
              </w:rPr>
              <w:t>国务院核安全监管部门应当将其已批准或者备案的一类、二类、</w:t>
            </w:r>
            <w:r>
              <w:rPr>
                <w:spacing w:val="-9"/>
              </w:rPr>
              <w:t>三类放射性物品运输容器的设计、制造情</w:t>
            </w:r>
            <w:r>
              <w:t xml:space="preserve"> </w:t>
            </w:r>
            <w:r>
              <w:rPr>
                <w:spacing w:val="-8"/>
              </w:rPr>
              <w:t>况和放射性物品运输情况通报设计、制造单位所在地和运输途经地的省、自治区、直辖市人民政府环境</w:t>
            </w:r>
            <w:r>
              <w:rPr>
                <w:spacing w:val="-9"/>
              </w:rPr>
              <w:t>保护主</w:t>
            </w:r>
            <w:r>
              <w:t xml:space="preserve"> </w:t>
            </w:r>
            <w:r>
              <w:rPr>
                <w:spacing w:val="-8"/>
              </w:rPr>
              <w:t>管部门。省、自治区、直辖市人民政府环境保护主管部门应当加强对本行政区域放射性物品运输安全的</w:t>
            </w:r>
            <w:r>
              <w:rPr>
                <w:spacing w:val="-9"/>
              </w:rPr>
              <w:t>监督检</w:t>
            </w:r>
            <w:r>
              <w:t xml:space="preserve"> </w:t>
            </w:r>
            <w:r>
              <w:rPr>
                <w:spacing w:val="-8"/>
              </w:rPr>
              <w:t>查和监督性监测。</w:t>
            </w:r>
          </w:p>
          <w:p w14:paraId="13E1A93B">
            <w:pPr>
              <w:pStyle w:val="8"/>
              <w:spacing w:before="24" w:line="219" w:lineRule="auto"/>
              <w:ind w:left="445"/>
            </w:pPr>
            <w:r>
              <w:rPr>
                <w:spacing w:val="-8"/>
              </w:rPr>
              <w:t>被检查单位应当予以配合，如实反映情况，提供必要的资料，不得拒绝和阻碍。</w:t>
            </w:r>
          </w:p>
          <w:p w14:paraId="2DB69C38">
            <w:pPr>
              <w:pStyle w:val="8"/>
              <w:spacing w:before="27" w:line="237" w:lineRule="auto"/>
              <w:ind w:left="102" w:right="150" w:firstLine="342"/>
            </w:pPr>
            <w:r>
              <w:rPr>
                <w:spacing w:val="-8"/>
              </w:rPr>
              <w:t>第六十六条</w:t>
            </w:r>
            <w:r>
              <w:rPr>
                <w:spacing w:val="74"/>
              </w:rPr>
              <w:t xml:space="preserve"> </w:t>
            </w:r>
            <w:r>
              <w:rPr>
                <w:spacing w:val="-8"/>
              </w:rPr>
              <w:t>拒绝、阻碍国务院核安全监督部门或者其他依法履行放射性物品运输安全监督管理职责的部</w:t>
            </w:r>
            <w:r>
              <w:t xml:space="preserve"> </w:t>
            </w:r>
            <w:r>
              <w:rPr>
                <w:spacing w:val="-8"/>
              </w:rPr>
              <w:t>门进行监督检查，或者在接受监督检查时弄虚作假的，由监督检查部门责令改正，处1万元以上2万元以下的罚</w:t>
            </w:r>
            <w:r>
              <w:rPr>
                <w:spacing w:val="6"/>
              </w:rPr>
              <w:t xml:space="preserve"> </w:t>
            </w:r>
            <w:r>
              <w:rPr>
                <w:spacing w:val="-8"/>
              </w:rPr>
              <w:t>款，构成违反治安管理行为的，由公安机关依法给予治安管理处罚，构成犯罪的，依法追究刑事责任。</w:t>
            </w:r>
          </w:p>
          <w:p w14:paraId="07F17138">
            <w:pPr>
              <w:pStyle w:val="8"/>
              <w:spacing w:before="26" w:line="219" w:lineRule="auto"/>
              <w:ind w:left="447"/>
            </w:pPr>
            <w:r>
              <w:rPr>
                <w:b/>
                <w:bCs/>
                <w:spacing w:val="-8"/>
              </w:rPr>
              <w:t>2.《放射性物品道路运输管理规定》(交通运输部令2023年第17号)</w:t>
            </w:r>
          </w:p>
          <w:p w14:paraId="2C1FAAA8">
            <w:pPr>
              <w:pStyle w:val="8"/>
              <w:spacing w:before="26" w:line="233" w:lineRule="auto"/>
              <w:ind w:left="102" w:right="157" w:firstLine="342"/>
            </w:pPr>
            <w:r>
              <w:rPr>
                <w:spacing w:val="-8"/>
              </w:rPr>
              <w:t>第三十六条</w:t>
            </w:r>
            <w:r>
              <w:rPr>
                <w:spacing w:val="77"/>
              </w:rPr>
              <w:t xml:space="preserve"> </w:t>
            </w:r>
            <w:r>
              <w:rPr>
                <w:spacing w:val="-8"/>
              </w:rPr>
              <w:t>交通运输主管部门应当督促放射性物品道路运输企业或者单位对专用车辆、设备及安</w:t>
            </w:r>
            <w:r>
              <w:rPr>
                <w:spacing w:val="-9"/>
              </w:rPr>
              <w:t>全生产</w:t>
            </w:r>
            <w:r>
              <w:t xml:space="preserve"> </w:t>
            </w:r>
            <w:r>
              <w:rPr>
                <w:spacing w:val="-8"/>
              </w:rPr>
              <w:t>制度等安全条件建立相应的自检制度，并加强监督检查。</w:t>
            </w:r>
          </w:p>
          <w:p w14:paraId="2B50F146">
            <w:pPr>
              <w:pStyle w:val="8"/>
              <w:spacing w:before="27" w:line="233" w:lineRule="auto"/>
              <w:ind w:left="105" w:right="150" w:firstLine="343"/>
            </w:pPr>
            <w:r>
              <w:rPr>
                <w:spacing w:val="-8"/>
              </w:rPr>
              <w:t>交通运输主管部门工作人员依法对放射性物品道路运输活动进行监督检查的，应当按照劳动保护</w:t>
            </w:r>
            <w:r>
              <w:rPr>
                <w:spacing w:val="-9"/>
              </w:rPr>
              <w:t>规定配备</w:t>
            </w:r>
            <w:r>
              <w:t xml:space="preserve"> </w:t>
            </w:r>
            <w:r>
              <w:rPr>
                <w:spacing w:val="-8"/>
              </w:rPr>
              <w:t>必要的安全防护设备。</w:t>
            </w:r>
          </w:p>
          <w:p w14:paraId="7C6FA981">
            <w:pPr>
              <w:pStyle w:val="8"/>
              <w:spacing w:before="25" w:line="237" w:lineRule="auto"/>
              <w:ind w:left="110" w:right="150" w:firstLine="334"/>
              <w:jc w:val="both"/>
            </w:pPr>
            <w:r>
              <w:rPr>
                <w:spacing w:val="-8"/>
              </w:rPr>
              <w:t>第三十七条</w:t>
            </w:r>
            <w:r>
              <w:rPr>
                <w:spacing w:val="74"/>
              </w:rPr>
              <w:t xml:space="preserve"> </w:t>
            </w:r>
            <w:r>
              <w:rPr>
                <w:spacing w:val="-8"/>
              </w:rPr>
              <w:t>拒绝、阻碍交通运输主管部门依法履行放射性物品运输安全监督检查，或者在接受监督检查</w:t>
            </w:r>
            <w:r>
              <w:t xml:space="preserve"> </w:t>
            </w:r>
            <w:r>
              <w:rPr>
                <w:spacing w:val="-8"/>
              </w:rPr>
              <w:t>时弄虚作假的，由交通运输主管部门责令改正，处1万元以上2万元以下的罚款；构成违反治安管理行为的</w:t>
            </w:r>
            <w:r>
              <w:rPr>
                <w:spacing w:val="-9"/>
              </w:rPr>
              <w:t>，交</w:t>
            </w:r>
            <w:r>
              <w:t xml:space="preserve"> </w:t>
            </w:r>
            <w:r>
              <w:rPr>
                <w:spacing w:val="-8"/>
              </w:rPr>
              <w:t>由公安机关依法给予治安管理处罚；构成犯罪的，依法追究刑事责</w:t>
            </w:r>
            <w:r>
              <w:rPr>
                <w:spacing w:val="-9"/>
              </w:rPr>
              <w:t>任。</w:t>
            </w:r>
          </w:p>
        </w:tc>
        <w:tc>
          <w:tcPr>
            <w:tcW w:w="1011" w:type="dxa"/>
            <w:vAlign w:val="top"/>
          </w:tcPr>
          <w:p w14:paraId="338DB4E9">
            <w:pPr>
              <w:spacing w:line="246" w:lineRule="auto"/>
              <w:rPr>
                <w:rFonts w:ascii="Arial"/>
                <w:sz w:val="21"/>
              </w:rPr>
            </w:pPr>
          </w:p>
          <w:p w14:paraId="5687B7A6">
            <w:pPr>
              <w:spacing w:line="246" w:lineRule="auto"/>
              <w:rPr>
                <w:rFonts w:ascii="Arial"/>
                <w:sz w:val="21"/>
              </w:rPr>
            </w:pPr>
          </w:p>
          <w:p w14:paraId="07B8C903">
            <w:pPr>
              <w:spacing w:line="246" w:lineRule="auto"/>
              <w:rPr>
                <w:rFonts w:ascii="Arial"/>
                <w:sz w:val="21"/>
              </w:rPr>
            </w:pPr>
          </w:p>
          <w:p w14:paraId="13F29BA7">
            <w:pPr>
              <w:spacing w:line="246" w:lineRule="auto"/>
              <w:rPr>
                <w:rFonts w:ascii="Arial"/>
                <w:sz w:val="21"/>
              </w:rPr>
            </w:pPr>
          </w:p>
          <w:p w14:paraId="55497EC0">
            <w:pPr>
              <w:spacing w:line="246" w:lineRule="auto"/>
              <w:rPr>
                <w:rFonts w:ascii="Arial"/>
                <w:sz w:val="21"/>
              </w:rPr>
            </w:pPr>
          </w:p>
          <w:p w14:paraId="664B5831">
            <w:pPr>
              <w:spacing w:line="246" w:lineRule="auto"/>
              <w:rPr>
                <w:rFonts w:ascii="Arial"/>
                <w:sz w:val="21"/>
              </w:rPr>
            </w:pPr>
          </w:p>
          <w:p w14:paraId="11D60532">
            <w:pPr>
              <w:spacing w:line="246" w:lineRule="auto"/>
              <w:rPr>
                <w:rFonts w:ascii="Arial"/>
                <w:sz w:val="21"/>
              </w:rPr>
            </w:pPr>
          </w:p>
          <w:p w14:paraId="1F615CAE">
            <w:pPr>
              <w:spacing w:line="247" w:lineRule="auto"/>
              <w:rPr>
                <w:rFonts w:ascii="Arial"/>
                <w:sz w:val="21"/>
              </w:rPr>
            </w:pPr>
          </w:p>
          <w:p w14:paraId="50946500">
            <w:pPr>
              <w:spacing w:line="247" w:lineRule="auto"/>
              <w:rPr>
                <w:rFonts w:ascii="Arial"/>
                <w:sz w:val="21"/>
              </w:rPr>
            </w:pPr>
          </w:p>
          <w:p w14:paraId="2A93ED45">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2D46AD68">
            <w:pPr>
              <w:spacing w:line="246" w:lineRule="auto"/>
              <w:rPr>
                <w:rFonts w:ascii="Arial"/>
                <w:sz w:val="21"/>
              </w:rPr>
            </w:pPr>
          </w:p>
          <w:p w14:paraId="1DBEF4B8">
            <w:pPr>
              <w:spacing w:line="246" w:lineRule="auto"/>
              <w:rPr>
                <w:rFonts w:ascii="Arial"/>
                <w:sz w:val="21"/>
              </w:rPr>
            </w:pPr>
          </w:p>
          <w:p w14:paraId="06EC749A">
            <w:pPr>
              <w:spacing w:line="246" w:lineRule="auto"/>
              <w:rPr>
                <w:rFonts w:ascii="Arial"/>
                <w:sz w:val="21"/>
              </w:rPr>
            </w:pPr>
          </w:p>
          <w:p w14:paraId="07765E9C">
            <w:pPr>
              <w:spacing w:line="246" w:lineRule="auto"/>
              <w:rPr>
                <w:rFonts w:ascii="Arial"/>
                <w:sz w:val="21"/>
              </w:rPr>
            </w:pPr>
          </w:p>
          <w:p w14:paraId="5CAD7C13">
            <w:pPr>
              <w:spacing w:line="246" w:lineRule="auto"/>
              <w:rPr>
                <w:rFonts w:ascii="Arial"/>
                <w:sz w:val="21"/>
              </w:rPr>
            </w:pPr>
          </w:p>
          <w:p w14:paraId="69C87D28">
            <w:pPr>
              <w:spacing w:line="246" w:lineRule="auto"/>
              <w:rPr>
                <w:rFonts w:ascii="Arial"/>
                <w:sz w:val="21"/>
              </w:rPr>
            </w:pPr>
          </w:p>
          <w:p w14:paraId="7E68D8F6">
            <w:pPr>
              <w:spacing w:line="247" w:lineRule="auto"/>
              <w:rPr>
                <w:rFonts w:ascii="Arial"/>
                <w:sz w:val="21"/>
              </w:rPr>
            </w:pPr>
          </w:p>
          <w:p w14:paraId="34CE4D6C">
            <w:pPr>
              <w:spacing w:line="247" w:lineRule="auto"/>
              <w:rPr>
                <w:rFonts w:ascii="Arial"/>
                <w:sz w:val="21"/>
              </w:rPr>
            </w:pPr>
          </w:p>
          <w:p w14:paraId="6385D62F">
            <w:pPr>
              <w:spacing w:line="247" w:lineRule="auto"/>
              <w:rPr>
                <w:rFonts w:ascii="Arial"/>
                <w:sz w:val="21"/>
              </w:rPr>
            </w:pPr>
          </w:p>
          <w:p w14:paraId="414D4BB2">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523D98B6">
            <w:pPr>
              <w:spacing w:line="247" w:lineRule="auto"/>
              <w:rPr>
                <w:rFonts w:ascii="Arial"/>
                <w:sz w:val="21"/>
              </w:rPr>
            </w:pPr>
          </w:p>
          <w:p w14:paraId="7CE0C5C8">
            <w:pPr>
              <w:spacing w:line="247" w:lineRule="auto"/>
              <w:rPr>
                <w:rFonts w:ascii="Arial"/>
                <w:sz w:val="21"/>
              </w:rPr>
            </w:pPr>
          </w:p>
          <w:p w14:paraId="6A253C8A">
            <w:pPr>
              <w:spacing w:line="247" w:lineRule="auto"/>
              <w:rPr>
                <w:rFonts w:ascii="Arial"/>
                <w:sz w:val="21"/>
              </w:rPr>
            </w:pPr>
          </w:p>
          <w:p w14:paraId="1263A0E0">
            <w:pPr>
              <w:spacing w:line="247" w:lineRule="auto"/>
              <w:rPr>
                <w:rFonts w:ascii="Arial"/>
                <w:sz w:val="21"/>
              </w:rPr>
            </w:pPr>
          </w:p>
          <w:p w14:paraId="12668A77">
            <w:pPr>
              <w:spacing w:line="247" w:lineRule="auto"/>
              <w:rPr>
                <w:rFonts w:ascii="Arial"/>
                <w:sz w:val="21"/>
              </w:rPr>
            </w:pPr>
          </w:p>
          <w:p w14:paraId="1697BECA">
            <w:pPr>
              <w:spacing w:line="248" w:lineRule="auto"/>
              <w:rPr>
                <w:rFonts w:ascii="Arial"/>
                <w:sz w:val="21"/>
              </w:rPr>
            </w:pPr>
          </w:p>
          <w:p w14:paraId="3DD62916">
            <w:pPr>
              <w:spacing w:line="248" w:lineRule="auto"/>
              <w:rPr>
                <w:rFonts w:ascii="Arial"/>
                <w:sz w:val="21"/>
              </w:rPr>
            </w:pPr>
          </w:p>
          <w:p w14:paraId="79E31489">
            <w:pPr>
              <w:spacing w:line="248" w:lineRule="auto"/>
              <w:rPr>
                <w:rFonts w:ascii="Arial"/>
                <w:sz w:val="21"/>
              </w:rPr>
            </w:pPr>
          </w:p>
          <w:p w14:paraId="7135B1E5">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68D3E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1" w:hRule="atLeast"/>
        </w:trPr>
        <w:tc>
          <w:tcPr>
            <w:tcW w:w="629" w:type="dxa"/>
            <w:vAlign w:val="top"/>
          </w:tcPr>
          <w:p w14:paraId="7BCF4BC0">
            <w:pPr>
              <w:spacing w:line="278" w:lineRule="auto"/>
              <w:rPr>
                <w:rFonts w:ascii="Arial"/>
                <w:sz w:val="21"/>
              </w:rPr>
            </w:pPr>
          </w:p>
          <w:p w14:paraId="25ED6A3E">
            <w:pPr>
              <w:spacing w:line="279" w:lineRule="auto"/>
              <w:rPr>
                <w:rFonts w:ascii="Arial"/>
                <w:sz w:val="21"/>
              </w:rPr>
            </w:pPr>
          </w:p>
          <w:p w14:paraId="2FB36408">
            <w:pPr>
              <w:spacing w:line="279" w:lineRule="auto"/>
              <w:rPr>
                <w:rFonts w:ascii="Arial"/>
                <w:sz w:val="21"/>
              </w:rPr>
            </w:pPr>
          </w:p>
          <w:p w14:paraId="72ED5432">
            <w:pPr>
              <w:spacing w:line="279" w:lineRule="auto"/>
              <w:rPr>
                <w:rFonts w:ascii="Arial"/>
                <w:sz w:val="21"/>
              </w:rPr>
            </w:pPr>
          </w:p>
          <w:p w14:paraId="1BD62C65">
            <w:pPr>
              <w:spacing w:line="279" w:lineRule="auto"/>
              <w:rPr>
                <w:rFonts w:ascii="Arial"/>
                <w:sz w:val="21"/>
              </w:rPr>
            </w:pPr>
          </w:p>
          <w:p w14:paraId="32AD3C8F">
            <w:pPr>
              <w:spacing w:line="279" w:lineRule="auto"/>
              <w:rPr>
                <w:rFonts w:ascii="Arial"/>
                <w:sz w:val="21"/>
              </w:rPr>
            </w:pPr>
          </w:p>
          <w:p w14:paraId="49AE94D7">
            <w:pPr>
              <w:pStyle w:val="8"/>
              <w:spacing w:before="58" w:line="184" w:lineRule="auto"/>
              <w:ind w:left="224"/>
              <w:rPr>
                <w:rFonts w:hint="eastAsia" w:eastAsia="宋体"/>
                <w:lang w:eastAsia="zh-CN"/>
              </w:rPr>
            </w:pPr>
            <w:r>
              <w:rPr>
                <w:spacing w:val="-5"/>
              </w:rPr>
              <w:t>3</w:t>
            </w:r>
            <w:r>
              <w:rPr>
                <w:rFonts w:hint="eastAsia"/>
                <w:spacing w:val="-5"/>
                <w:lang w:val="en-US" w:eastAsia="zh-CN"/>
              </w:rPr>
              <w:t>0</w:t>
            </w:r>
          </w:p>
        </w:tc>
        <w:tc>
          <w:tcPr>
            <w:tcW w:w="1101" w:type="dxa"/>
            <w:vAlign w:val="top"/>
          </w:tcPr>
          <w:p w14:paraId="50E3B6DD">
            <w:pPr>
              <w:spacing w:line="334" w:lineRule="auto"/>
              <w:rPr>
                <w:rFonts w:ascii="Arial"/>
                <w:sz w:val="21"/>
              </w:rPr>
            </w:pPr>
          </w:p>
          <w:p w14:paraId="52318B69">
            <w:pPr>
              <w:pStyle w:val="8"/>
              <w:spacing w:before="59" w:line="244" w:lineRule="auto"/>
              <w:ind w:left="18" w:right="20"/>
              <w:jc w:val="both"/>
            </w:pPr>
            <w:r>
              <w:rPr>
                <w:spacing w:val="-6"/>
              </w:rPr>
              <w:t>对道路危险货</w:t>
            </w:r>
            <w:r>
              <w:rPr>
                <w:spacing w:val="2"/>
              </w:rPr>
              <w:t xml:space="preserve"> </w:t>
            </w:r>
            <w:r>
              <w:rPr>
                <w:spacing w:val="-6"/>
              </w:rPr>
              <w:t>物运输企业或</w:t>
            </w:r>
            <w:r>
              <w:rPr>
                <w:spacing w:val="2"/>
              </w:rPr>
              <w:t xml:space="preserve"> </w:t>
            </w:r>
            <w:r>
              <w:rPr>
                <w:spacing w:val="-6"/>
              </w:rPr>
              <w:t>者单位以及托</w:t>
            </w:r>
            <w:r>
              <w:rPr>
                <w:spacing w:val="2"/>
              </w:rPr>
              <w:t xml:space="preserve"> </w:t>
            </w:r>
            <w:r>
              <w:rPr>
                <w:spacing w:val="-6"/>
              </w:rPr>
              <w:t>运人未根据危</w:t>
            </w:r>
            <w:r>
              <w:rPr>
                <w:spacing w:val="2"/>
              </w:rPr>
              <w:t xml:space="preserve"> </w:t>
            </w:r>
            <w:r>
              <w:rPr>
                <w:spacing w:val="-6"/>
              </w:rPr>
              <w:t>险化学品的危</w:t>
            </w:r>
            <w:r>
              <w:rPr>
                <w:spacing w:val="2"/>
              </w:rPr>
              <w:t xml:space="preserve"> </w:t>
            </w:r>
            <w:r>
              <w:rPr>
                <w:spacing w:val="-6"/>
              </w:rPr>
              <w:t>险特性采取相</w:t>
            </w:r>
            <w:r>
              <w:rPr>
                <w:spacing w:val="2"/>
              </w:rPr>
              <w:t xml:space="preserve"> </w:t>
            </w:r>
            <w:r>
              <w:rPr>
                <w:spacing w:val="-6"/>
              </w:rPr>
              <w:t>应的安全防护</w:t>
            </w:r>
            <w:r>
              <w:rPr>
                <w:spacing w:val="2"/>
              </w:rPr>
              <w:t xml:space="preserve"> </w:t>
            </w:r>
            <w:r>
              <w:rPr>
                <w:spacing w:val="-6"/>
              </w:rPr>
              <w:t>措施，或者未</w:t>
            </w:r>
            <w:r>
              <w:rPr>
                <w:spacing w:val="2"/>
              </w:rPr>
              <w:t xml:space="preserve"> </w:t>
            </w:r>
            <w:r>
              <w:rPr>
                <w:spacing w:val="-6"/>
              </w:rPr>
              <w:t>配备必要的防</w:t>
            </w:r>
            <w:r>
              <w:rPr>
                <w:spacing w:val="2"/>
              </w:rPr>
              <w:t xml:space="preserve"> </w:t>
            </w:r>
            <w:r>
              <w:rPr>
                <w:spacing w:val="-6"/>
              </w:rPr>
              <w:t>护用品和应急</w:t>
            </w:r>
            <w:r>
              <w:rPr>
                <w:spacing w:val="2"/>
              </w:rPr>
              <w:t xml:space="preserve"> </w:t>
            </w:r>
            <w:r>
              <w:rPr>
                <w:spacing w:val="-6"/>
              </w:rPr>
              <w:t>救援器材的行</w:t>
            </w:r>
            <w:r>
              <w:rPr>
                <w:spacing w:val="2"/>
              </w:rPr>
              <w:t xml:space="preserve"> </w:t>
            </w:r>
            <w:r>
              <w:rPr>
                <w:spacing w:val="-5"/>
              </w:rPr>
              <w:t>政处罚</w:t>
            </w:r>
          </w:p>
        </w:tc>
        <w:tc>
          <w:tcPr>
            <w:tcW w:w="1101" w:type="dxa"/>
            <w:vAlign w:val="top"/>
          </w:tcPr>
          <w:p w14:paraId="144BEF7F">
            <w:pPr>
              <w:spacing w:line="274" w:lineRule="auto"/>
              <w:rPr>
                <w:rFonts w:ascii="Arial"/>
                <w:sz w:val="21"/>
              </w:rPr>
            </w:pPr>
          </w:p>
          <w:p w14:paraId="0B9059CB">
            <w:pPr>
              <w:spacing w:line="274" w:lineRule="auto"/>
              <w:rPr>
                <w:rFonts w:ascii="Arial"/>
                <w:sz w:val="21"/>
              </w:rPr>
            </w:pPr>
          </w:p>
          <w:p w14:paraId="11E32061">
            <w:pPr>
              <w:spacing w:line="274" w:lineRule="auto"/>
              <w:rPr>
                <w:rFonts w:ascii="Arial"/>
                <w:sz w:val="21"/>
              </w:rPr>
            </w:pPr>
          </w:p>
          <w:p w14:paraId="088172D6">
            <w:pPr>
              <w:spacing w:line="274" w:lineRule="auto"/>
              <w:rPr>
                <w:rFonts w:ascii="Arial"/>
                <w:sz w:val="21"/>
              </w:rPr>
            </w:pPr>
          </w:p>
          <w:p w14:paraId="1062270E">
            <w:pPr>
              <w:spacing w:line="274" w:lineRule="auto"/>
              <w:rPr>
                <w:rFonts w:ascii="Arial"/>
                <w:sz w:val="21"/>
              </w:rPr>
            </w:pPr>
          </w:p>
          <w:p w14:paraId="7B9E152C">
            <w:pPr>
              <w:spacing w:line="275" w:lineRule="auto"/>
              <w:rPr>
                <w:rFonts w:ascii="Arial"/>
                <w:sz w:val="21"/>
              </w:rPr>
            </w:pPr>
          </w:p>
          <w:p w14:paraId="0BF50C27">
            <w:pPr>
              <w:pStyle w:val="8"/>
              <w:spacing w:before="59" w:line="220" w:lineRule="auto"/>
              <w:ind w:left="25"/>
            </w:pPr>
            <w:r>
              <w:rPr>
                <w:spacing w:val="-7"/>
              </w:rPr>
              <w:t>行政处罚</w:t>
            </w:r>
          </w:p>
        </w:tc>
        <w:tc>
          <w:tcPr>
            <w:tcW w:w="8524" w:type="dxa"/>
            <w:vAlign w:val="top"/>
          </w:tcPr>
          <w:p w14:paraId="1F34807C">
            <w:pPr>
              <w:spacing w:line="453" w:lineRule="auto"/>
              <w:rPr>
                <w:rFonts w:ascii="Arial"/>
                <w:sz w:val="21"/>
              </w:rPr>
            </w:pPr>
          </w:p>
          <w:p w14:paraId="615A6341">
            <w:pPr>
              <w:pStyle w:val="8"/>
              <w:spacing w:before="59" w:line="219" w:lineRule="auto"/>
              <w:ind w:left="458"/>
            </w:pPr>
            <w:r>
              <w:rPr>
                <w:b/>
                <w:bCs/>
                <w:spacing w:val="-9"/>
              </w:rPr>
              <w:t>1.《危险化学品安全管理条例》</w:t>
            </w:r>
          </w:p>
          <w:p w14:paraId="38499C54">
            <w:pPr>
              <w:pStyle w:val="8"/>
              <w:spacing w:before="26" w:line="237" w:lineRule="auto"/>
              <w:ind w:left="102" w:right="88" w:firstLine="342"/>
              <w:jc w:val="both"/>
            </w:pPr>
            <w:r>
              <w:rPr>
                <w:spacing w:val="-8"/>
              </w:rPr>
              <w:t>第八十六条第（二）项</w:t>
            </w:r>
            <w:r>
              <w:rPr>
                <w:spacing w:val="74"/>
              </w:rPr>
              <w:t xml:space="preserve"> </w:t>
            </w:r>
            <w:r>
              <w:rPr>
                <w:spacing w:val="-8"/>
              </w:rPr>
              <w:t>有下列情形之一的，由交通运输主管部门责令改正，处5万元以上10万元</w:t>
            </w:r>
            <w:r>
              <w:rPr>
                <w:spacing w:val="-9"/>
              </w:rPr>
              <w:t>以下的罚</w:t>
            </w:r>
            <w:r>
              <w:t xml:space="preserve"> </w:t>
            </w:r>
            <w:r>
              <w:rPr>
                <w:spacing w:val="-7"/>
              </w:rPr>
              <w:t>款；拒不改正的，责令停产停业整顿；构成犯罪的，依法</w:t>
            </w:r>
            <w:r>
              <w:rPr>
                <w:spacing w:val="-8"/>
              </w:rPr>
              <w:t>追究刑事责任</w:t>
            </w:r>
            <w:r>
              <w:rPr>
                <w:spacing w:val="-22"/>
              </w:rPr>
              <w:t>：（</w:t>
            </w:r>
            <w:r>
              <w:rPr>
                <w:spacing w:val="-8"/>
              </w:rPr>
              <w:t>二）运输危险化学品，未根据危险</w:t>
            </w:r>
            <w:r>
              <w:rPr>
                <w:spacing w:val="1"/>
              </w:rPr>
              <w:t xml:space="preserve"> </w:t>
            </w:r>
            <w:r>
              <w:rPr>
                <w:spacing w:val="-8"/>
              </w:rPr>
              <w:t>化学品的危险特性采取相应的安全防护措施，或者未配备必要的防护用品和应急救援器材的；</w:t>
            </w:r>
          </w:p>
          <w:p w14:paraId="355BAB58">
            <w:pPr>
              <w:pStyle w:val="8"/>
              <w:spacing w:before="26" w:line="219" w:lineRule="auto"/>
              <w:ind w:left="447"/>
            </w:pPr>
            <w:r>
              <w:rPr>
                <w:b/>
                <w:bCs/>
                <w:spacing w:val="-8"/>
              </w:rPr>
              <w:t>2.《道路危险货物运输管理规定》(交通运输部令2023年第13号)</w:t>
            </w:r>
          </w:p>
          <w:p w14:paraId="4E698D1C">
            <w:pPr>
              <w:pStyle w:val="8"/>
              <w:spacing w:before="27" w:line="233" w:lineRule="auto"/>
              <w:ind w:left="113" w:right="157" w:firstLine="331"/>
            </w:pPr>
            <w:r>
              <w:rPr>
                <w:spacing w:val="-8"/>
              </w:rPr>
              <w:t>第三十二条</w:t>
            </w:r>
            <w:r>
              <w:rPr>
                <w:spacing w:val="74"/>
              </w:rPr>
              <w:t xml:space="preserve"> </w:t>
            </w:r>
            <w:r>
              <w:rPr>
                <w:spacing w:val="-8"/>
              </w:rPr>
              <w:t>专用车辆应当配备符合有关国家标准以及与所载运的危险货物相适应的应急处理器材和安全</w:t>
            </w:r>
            <w:r>
              <w:t xml:space="preserve"> </w:t>
            </w:r>
            <w:r>
              <w:rPr>
                <w:spacing w:val="-9"/>
              </w:rPr>
              <w:t>防护设备。</w:t>
            </w:r>
          </w:p>
          <w:p w14:paraId="6569166C">
            <w:pPr>
              <w:pStyle w:val="8"/>
              <w:spacing w:before="26" w:line="239" w:lineRule="auto"/>
              <w:ind w:left="103" w:right="46" w:firstLine="341"/>
              <w:jc w:val="both"/>
            </w:pPr>
            <w:r>
              <w:rPr>
                <w:spacing w:val="-8"/>
              </w:rPr>
              <w:t>第五十八条第（三）项</w:t>
            </w:r>
            <w:r>
              <w:rPr>
                <w:spacing w:val="74"/>
              </w:rPr>
              <w:t xml:space="preserve"> </w:t>
            </w:r>
            <w:r>
              <w:rPr>
                <w:spacing w:val="-8"/>
              </w:rPr>
              <w:t>违反本规定，道路危险货物运输企业或者单位以及托运人有下列情形之一的，由</w:t>
            </w:r>
            <w:r>
              <w:t xml:space="preserve">  </w:t>
            </w:r>
            <w:r>
              <w:rPr>
                <w:spacing w:val="-11"/>
              </w:rPr>
              <w:t>交通运输主管部门责令改正，并处5万元以上10万元以下的罚款，拒不改正的，责令停产停业整顿；构成犯罪的，</w:t>
            </w:r>
            <w:r>
              <w:rPr>
                <w:spacing w:val="8"/>
              </w:rPr>
              <w:t xml:space="preserve"> </w:t>
            </w:r>
            <w:r>
              <w:rPr>
                <w:spacing w:val="-7"/>
              </w:rPr>
              <w:t>依法追究刑事责任</w:t>
            </w:r>
            <w:r>
              <w:rPr>
                <w:spacing w:val="-22"/>
              </w:rPr>
              <w:t>：（</w:t>
            </w:r>
            <w:r>
              <w:rPr>
                <w:spacing w:val="-7"/>
              </w:rPr>
              <w:t>三）未根据危险化学品的危险特性采</w:t>
            </w:r>
            <w:r>
              <w:rPr>
                <w:spacing w:val="-8"/>
              </w:rPr>
              <w:t>取相应的安全防护措施，或者未配备必要的防护用</w:t>
            </w:r>
            <w:r>
              <w:t xml:space="preserve">  </w:t>
            </w:r>
            <w:r>
              <w:rPr>
                <w:spacing w:val="-8"/>
              </w:rPr>
              <w:t>品和应急救援器材的；</w:t>
            </w:r>
          </w:p>
        </w:tc>
        <w:tc>
          <w:tcPr>
            <w:tcW w:w="1011" w:type="dxa"/>
            <w:vAlign w:val="top"/>
          </w:tcPr>
          <w:p w14:paraId="1922D74E">
            <w:pPr>
              <w:spacing w:line="254" w:lineRule="auto"/>
              <w:rPr>
                <w:rFonts w:ascii="Arial"/>
                <w:sz w:val="21"/>
              </w:rPr>
            </w:pPr>
          </w:p>
          <w:p w14:paraId="5994EB9A">
            <w:pPr>
              <w:spacing w:line="254" w:lineRule="auto"/>
              <w:rPr>
                <w:rFonts w:ascii="Arial"/>
                <w:sz w:val="21"/>
              </w:rPr>
            </w:pPr>
          </w:p>
          <w:p w14:paraId="350E139D">
            <w:pPr>
              <w:spacing w:line="254" w:lineRule="auto"/>
              <w:rPr>
                <w:rFonts w:ascii="Arial"/>
                <w:sz w:val="21"/>
              </w:rPr>
            </w:pPr>
          </w:p>
          <w:p w14:paraId="2740D906">
            <w:pPr>
              <w:spacing w:line="254" w:lineRule="auto"/>
              <w:rPr>
                <w:rFonts w:ascii="Arial"/>
                <w:sz w:val="21"/>
              </w:rPr>
            </w:pPr>
          </w:p>
          <w:p w14:paraId="13A1BE3D">
            <w:pPr>
              <w:spacing w:line="255" w:lineRule="auto"/>
              <w:rPr>
                <w:rFonts w:ascii="Arial"/>
                <w:sz w:val="21"/>
              </w:rPr>
            </w:pPr>
          </w:p>
          <w:p w14:paraId="7A20E1C8">
            <w:pPr>
              <w:spacing w:line="255" w:lineRule="auto"/>
              <w:rPr>
                <w:rFonts w:ascii="Arial"/>
                <w:sz w:val="21"/>
              </w:rPr>
            </w:pPr>
          </w:p>
          <w:p w14:paraId="4F320BAA">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2991304B">
            <w:pPr>
              <w:spacing w:line="254" w:lineRule="auto"/>
              <w:rPr>
                <w:rFonts w:ascii="Arial"/>
                <w:sz w:val="21"/>
              </w:rPr>
            </w:pPr>
          </w:p>
          <w:p w14:paraId="7DE6625B">
            <w:pPr>
              <w:spacing w:line="254" w:lineRule="auto"/>
              <w:rPr>
                <w:rFonts w:ascii="Arial"/>
                <w:sz w:val="21"/>
              </w:rPr>
            </w:pPr>
          </w:p>
          <w:p w14:paraId="58BF6359">
            <w:pPr>
              <w:spacing w:line="254" w:lineRule="auto"/>
              <w:rPr>
                <w:rFonts w:ascii="Arial"/>
                <w:sz w:val="21"/>
              </w:rPr>
            </w:pPr>
          </w:p>
          <w:p w14:paraId="7708F19E">
            <w:pPr>
              <w:spacing w:line="254" w:lineRule="auto"/>
              <w:rPr>
                <w:rFonts w:ascii="Arial"/>
                <w:sz w:val="21"/>
              </w:rPr>
            </w:pPr>
          </w:p>
          <w:p w14:paraId="095BECC6">
            <w:pPr>
              <w:spacing w:line="255" w:lineRule="auto"/>
              <w:rPr>
                <w:rFonts w:ascii="Arial"/>
                <w:sz w:val="21"/>
              </w:rPr>
            </w:pPr>
          </w:p>
          <w:p w14:paraId="397B5F70">
            <w:pPr>
              <w:spacing w:line="255" w:lineRule="auto"/>
              <w:rPr>
                <w:rFonts w:ascii="Arial"/>
                <w:sz w:val="21"/>
              </w:rPr>
            </w:pPr>
          </w:p>
          <w:p w14:paraId="5D5AA21D">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7803986">
            <w:pPr>
              <w:spacing w:line="257" w:lineRule="auto"/>
              <w:rPr>
                <w:rFonts w:ascii="Arial"/>
                <w:sz w:val="21"/>
              </w:rPr>
            </w:pPr>
          </w:p>
          <w:p w14:paraId="216E6F4E">
            <w:pPr>
              <w:spacing w:line="258" w:lineRule="auto"/>
              <w:rPr>
                <w:rFonts w:ascii="Arial"/>
                <w:sz w:val="21"/>
              </w:rPr>
            </w:pPr>
          </w:p>
          <w:p w14:paraId="2B688C6F">
            <w:pPr>
              <w:spacing w:line="258" w:lineRule="auto"/>
              <w:rPr>
                <w:rFonts w:ascii="Arial"/>
                <w:sz w:val="21"/>
              </w:rPr>
            </w:pPr>
          </w:p>
          <w:p w14:paraId="642FD200">
            <w:pPr>
              <w:spacing w:line="258" w:lineRule="auto"/>
              <w:rPr>
                <w:rFonts w:ascii="Arial"/>
                <w:sz w:val="21"/>
              </w:rPr>
            </w:pPr>
          </w:p>
          <w:p w14:paraId="6C71355E">
            <w:pPr>
              <w:spacing w:line="258" w:lineRule="auto"/>
              <w:rPr>
                <w:rFonts w:ascii="Arial"/>
                <w:sz w:val="21"/>
              </w:rPr>
            </w:pPr>
          </w:p>
          <w:p w14:paraId="06EC13C1">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1C384E14">
      <w:pPr>
        <w:pStyle w:val="2"/>
      </w:pPr>
    </w:p>
    <w:p w14:paraId="113D9EBA">
      <w:pPr>
        <w:sectPr>
          <w:footerReference r:id="rId40" w:type="default"/>
          <w:pgSz w:w="16839" w:h="11906"/>
          <w:pgMar w:top="1012" w:right="1016" w:bottom="966" w:left="1016" w:header="0" w:footer="768" w:gutter="0"/>
          <w:cols w:space="720" w:num="1"/>
        </w:sectPr>
      </w:pPr>
    </w:p>
    <w:p w14:paraId="0B313710">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34D98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649C57C0">
            <w:pPr>
              <w:pStyle w:val="8"/>
              <w:spacing w:before="273" w:line="221" w:lineRule="auto"/>
              <w:ind w:left="129"/>
            </w:pPr>
            <w:r>
              <w:rPr>
                <w:b/>
                <w:bCs/>
                <w:spacing w:val="-4"/>
              </w:rPr>
              <w:t>序号</w:t>
            </w:r>
          </w:p>
        </w:tc>
        <w:tc>
          <w:tcPr>
            <w:tcW w:w="1101" w:type="dxa"/>
            <w:vMerge w:val="restart"/>
            <w:tcBorders>
              <w:bottom w:val="nil"/>
            </w:tcBorders>
            <w:vAlign w:val="top"/>
          </w:tcPr>
          <w:p w14:paraId="1F3211DC">
            <w:pPr>
              <w:pStyle w:val="8"/>
              <w:spacing w:before="274" w:line="220" w:lineRule="auto"/>
              <w:ind w:left="182"/>
            </w:pPr>
            <w:r>
              <w:rPr>
                <w:b/>
                <w:bCs/>
                <w:spacing w:val="-4"/>
              </w:rPr>
              <w:t>事项名称</w:t>
            </w:r>
          </w:p>
        </w:tc>
        <w:tc>
          <w:tcPr>
            <w:tcW w:w="1101" w:type="dxa"/>
            <w:vMerge w:val="restart"/>
            <w:tcBorders>
              <w:bottom w:val="nil"/>
            </w:tcBorders>
            <w:vAlign w:val="top"/>
          </w:tcPr>
          <w:p w14:paraId="1DACFB4F">
            <w:pPr>
              <w:pStyle w:val="8"/>
              <w:spacing w:before="274" w:line="219" w:lineRule="auto"/>
              <w:ind w:left="183"/>
            </w:pPr>
            <w:r>
              <w:rPr>
                <w:b/>
                <w:bCs/>
                <w:spacing w:val="-4"/>
              </w:rPr>
              <w:t>职权类型</w:t>
            </w:r>
          </w:p>
        </w:tc>
        <w:tc>
          <w:tcPr>
            <w:tcW w:w="8524" w:type="dxa"/>
            <w:vMerge w:val="restart"/>
            <w:tcBorders>
              <w:bottom w:val="nil"/>
            </w:tcBorders>
            <w:vAlign w:val="top"/>
          </w:tcPr>
          <w:p w14:paraId="4BEC180C">
            <w:pPr>
              <w:pStyle w:val="8"/>
              <w:spacing w:before="273" w:line="219" w:lineRule="auto"/>
              <w:ind w:left="4083"/>
            </w:pPr>
            <w:r>
              <w:rPr>
                <w:b/>
                <w:bCs/>
                <w:spacing w:val="-5"/>
              </w:rPr>
              <w:t>实施依据</w:t>
            </w:r>
          </w:p>
        </w:tc>
        <w:tc>
          <w:tcPr>
            <w:tcW w:w="3435" w:type="dxa"/>
            <w:gridSpan w:val="3"/>
            <w:vAlign w:val="top"/>
          </w:tcPr>
          <w:p w14:paraId="7F1C348B">
            <w:pPr>
              <w:pStyle w:val="8"/>
              <w:spacing w:before="94" w:line="220" w:lineRule="auto"/>
              <w:ind w:left="1360"/>
            </w:pPr>
            <w:r>
              <w:rPr>
                <w:b/>
                <w:bCs/>
                <w:spacing w:val="-5"/>
              </w:rPr>
              <w:t>实施主体</w:t>
            </w:r>
          </w:p>
        </w:tc>
      </w:tr>
      <w:tr w14:paraId="45BA2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4BD3593D">
            <w:pPr>
              <w:rPr>
                <w:rFonts w:ascii="Arial"/>
                <w:sz w:val="21"/>
              </w:rPr>
            </w:pPr>
          </w:p>
        </w:tc>
        <w:tc>
          <w:tcPr>
            <w:tcW w:w="1101" w:type="dxa"/>
            <w:vMerge w:val="continue"/>
            <w:tcBorders>
              <w:top w:val="nil"/>
            </w:tcBorders>
            <w:vAlign w:val="top"/>
          </w:tcPr>
          <w:p w14:paraId="09D66656">
            <w:pPr>
              <w:rPr>
                <w:rFonts w:ascii="Arial"/>
                <w:sz w:val="21"/>
              </w:rPr>
            </w:pPr>
          </w:p>
        </w:tc>
        <w:tc>
          <w:tcPr>
            <w:tcW w:w="1101" w:type="dxa"/>
            <w:vMerge w:val="continue"/>
            <w:tcBorders>
              <w:top w:val="nil"/>
            </w:tcBorders>
            <w:vAlign w:val="top"/>
          </w:tcPr>
          <w:p w14:paraId="282712FE">
            <w:pPr>
              <w:rPr>
                <w:rFonts w:ascii="Arial"/>
                <w:sz w:val="21"/>
              </w:rPr>
            </w:pPr>
          </w:p>
        </w:tc>
        <w:tc>
          <w:tcPr>
            <w:tcW w:w="8524" w:type="dxa"/>
            <w:vMerge w:val="continue"/>
            <w:tcBorders>
              <w:top w:val="nil"/>
            </w:tcBorders>
            <w:vAlign w:val="top"/>
          </w:tcPr>
          <w:p w14:paraId="0EB8EC8C">
            <w:pPr>
              <w:rPr>
                <w:rFonts w:ascii="Arial"/>
                <w:sz w:val="21"/>
              </w:rPr>
            </w:pPr>
          </w:p>
        </w:tc>
        <w:tc>
          <w:tcPr>
            <w:tcW w:w="1011" w:type="dxa"/>
            <w:vAlign w:val="top"/>
          </w:tcPr>
          <w:p w14:paraId="69C436A4">
            <w:pPr>
              <w:pStyle w:val="8"/>
              <w:spacing w:before="85" w:line="219" w:lineRule="auto"/>
              <w:ind w:left="154"/>
            </w:pPr>
            <w:r>
              <w:rPr>
                <w:b/>
                <w:bCs/>
                <w:spacing w:val="-5"/>
              </w:rPr>
              <w:t>责任部门</w:t>
            </w:r>
          </w:p>
        </w:tc>
        <w:tc>
          <w:tcPr>
            <w:tcW w:w="1404" w:type="dxa"/>
            <w:vAlign w:val="top"/>
          </w:tcPr>
          <w:p w14:paraId="5A258F64">
            <w:pPr>
              <w:pStyle w:val="8"/>
              <w:spacing w:before="85" w:line="219" w:lineRule="auto"/>
              <w:ind w:left="164"/>
            </w:pPr>
            <w:r>
              <w:rPr>
                <w:b/>
                <w:bCs/>
                <w:spacing w:val="-3"/>
              </w:rPr>
              <w:t>第一责任层级</w:t>
            </w:r>
          </w:p>
        </w:tc>
        <w:tc>
          <w:tcPr>
            <w:tcW w:w="1020" w:type="dxa"/>
            <w:vAlign w:val="top"/>
          </w:tcPr>
          <w:p w14:paraId="789FB7A2">
            <w:pPr>
              <w:pStyle w:val="8"/>
              <w:spacing w:before="84" w:line="219" w:lineRule="auto"/>
              <w:ind w:left="114"/>
            </w:pPr>
            <w:r>
              <w:rPr>
                <w:b/>
                <w:bCs/>
                <w:spacing w:val="-4"/>
              </w:rPr>
              <w:t>承办机构</w:t>
            </w:r>
          </w:p>
        </w:tc>
      </w:tr>
      <w:tr w14:paraId="694D6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2" w:hRule="atLeast"/>
        </w:trPr>
        <w:tc>
          <w:tcPr>
            <w:tcW w:w="629" w:type="dxa"/>
            <w:vAlign w:val="top"/>
          </w:tcPr>
          <w:p w14:paraId="2784EB9C">
            <w:pPr>
              <w:spacing w:line="244" w:lineRule="auto"/>
              <w:rPr>
                <w:rFonts w:ascii="Arial"/>
                <w:sz w:val="21"/>
              </w:rPr>
            </w:pPr>
          </w:p>
          <w:p w14:paraId="212FDC86">
            <w:pPr>
              <w:spacing w:line="244" w:lineRule="auto"/>
              <w:rPr>
                <w:rFonts w:ascii="Arial"/>
                <w:sz w:val="21"/>
              </w:rPr>
            </w:pPr>
          </w:p>
          <w:p w14:paraId="3BBCB728">
            <w:pPr>
              <w:spacing w:line="244" w:lineRule="auto"/>
              <w:rPr>
                <w:rFonts w:ascii="Arial"/>
                <w:sz w:val="21"/>
              </w:rPr>
            </w:pPr>
          </w:p>
          <w:p w14:paraId="04BFCDF0">
            <w:pPr>
              <w:spacing w:line="244" w:lineRule="auto"/>
              <w:rPr>
                <w:rFonts w:ascii="Arial"/>
                <w:sz w:val="21"/>
              </w:rPr>
            </w:pPr>
          </w:p>
          <w:p w14:paraId="640C8493">
            <w:pPr>
              <w:spacing w:line="244" w:lineRule="auto"/>
              <w:rPr>
                <w:rFonts w:ascii="Arial"/>
                <w:sz w:val="21"/>
              </w:rPr>
            </w:pPr>
          </w:p>
          <w:p w14:paraId="2192BBC1">
            <w:pPr>
              <w:spacing w:line="244" w:lineRule="auto"/>
              <w:rPr>
                <w:rFonts w:ascii="Arial"/>
                <w:sz w:val="21"/>
              </w:rPr>
            </w:pPr>
          </w:p>
          <w:p w14:paraId="75E587C4">
            <w:pPr>
              <w:spacing w:line="244" w:lineRule="auto"/>
              <w:rPr>
                <w:rFonts w:ascii="Arial"/>
                <w:sz w:val="21"/>
              </w:rPr>
            </w:pPr>
          </w:p>
          <w:p w14:paraId="094307B5">
            <w:pPr>
              <w:spacing w:line="244" w:lineRule="auto"/>
              <w:rPr>
                <w:rFonts w:ascii="Arial"/>
                <w:sz w:val="21"/>
              </w:rPr>
            </w:pPr>
          </w:p>
          <w:p w14:paraId="774783A5">
            <w:pPr>
              <w:spacing w:line="245" w:lineRule="auto"/>
              <w:rPr>
                <w:rFonts w:ascii="Arial"/>
                <w:sz w:val="21"/>
              </w:rPr>
            </w:pPr>
          </w:p>
          <w:p w14:paraId="5B4D53E5">
            <w:pPr>
              <w:pStyle w:val="8"/>
              <w:spacing w:before="59" w:line="183" w:lineRule="auto"/>
              <w:ind w:left="224"/>
              <w:rPr>
                <w:rFonts w:hint="eastAsia" w:eastAsia="宋体"/>
                <w:lang w:val="en-US" w:eastAsia="zh-CN"/>
              </w:rPr>
            </w:pPr>
            <w:r>
              <w:rPr>
                <w:spacing w:val="-5"/>
              </w:rPr>
              <w:t>3</w:t>
            </w:r>
            <w:r>
              <w:rPr>
                <w:rFonts w:hint="eastAsia"/>
                <w:spacing w:val="-5"/>
                <w:lang w:val="en-US" w:eastAsia="zh-CN"/>
              </w:rPr>
              <w:t>1</w:t>
            </w:r>
          </w:p>
        </w:tc>
        <w:tc>
          <w:tcPr>
            <w:tcW w:w="1101" w:type="dxa"/>
            <w:vAlign w:val="top"/>
          </w:tcPr>
          <w:p w14:paraId="0909B9E5">
            <w:pPr>
              <w:spacing w:line="246" w:lineRule="auto"/>
              <w:rPr>
                <w:rFonts w:ascii="Arial"/>
                <w:sz w:val="21"/>
              </w:rPr>
            </w:pPr>
          </w:p>
          <w:p w14:paraId="421DB6CB">
            <w:pPr>
              <w:spacing w:line="247" w:lineRule="auto"/>
              <w:rPr>
                <w:rFonts w:ascii="Arial"/>
                <w:sz w:val="21"/>
              </w:rPr>
            </w:pPr>
          </w:p>
          <w:p w14:paraId="7D7AA023">
            <w:pPr>
              <w:spacing w:line="247" w:lineRule="auto"/>
              <w:rPr>
                <w:rFonts w:ascii="Arial"/>
                <w:sz w:val="21"/>
              </w:rPr>
            </w:pPr>
          </w:p>
          <w:p w14:paraId="452D970C">
            <w:pPr>
              <w:pStyle w:val="8"/>
              <w:spacing w:before="58" w:line="244" w:lineRule="auto"/>
              <w:ind w:left="17" w:right="20"/>
              <w:jc w:val="both"/>
            </w:pPr>
            <w:r>
              <w:rPr>
                <w:spacing w:val="-6"/>
              </w:rPr>
              <w:t>对危险化学品</w:t>
            </w:r>
            <w:r>
              <w:rPr>
                <w:spacing w:val="2"/>
              </w:rPr>
              <w:t xml:space="preserve"> </w:t>
            </w:r>
            <w:r>
              <w:rPr>
                <w:spacing w:val="-6"/>
              </w:rPr>
              <w:t>道路运输托运</w:t>
            </w:r>
            <w:r>
              <w:rPr>
                <w:spacing w:val="2"/>
              </w:rPr>
              <w:t xml:space="preserve"> </w:t>
            </w:r>
            <w:r>
              <w:rPr>
                <w:spacing w:val="-6"/>
              </w:rPr>
              <w:t>人不向承运人</w:t>
            </w:r>
            <w:r>
              <w:rPr>
                <w:spacing w:val="2"/>
              </w:rPr>
              <w:t xml:space="preserve"> </w:t>
            </w:r>
            <w:r>
              <w:rPr>
                <w:spacing w:val="-6"/>
              </w:rPr>
              <w:t>说明所托的危</w:t>
            </w:r>
            <w:r>
              <w:rPr>
                <w:spacing w:val="2"/>
              </w:rPr>
              <w:t xml:space="preserve"> </w:t>
            </w:r>
            <w:r>
              <w:rPr>
                <w:spacing w:val="-6"/>
              </w:rPr>
              <w:t>险化学品的基</w:t>
            </w:r>
            <w:r>
              <w:rPr>
                <w:spacing w:val="2"/>
              </w:rPr>
              <w:t xml:space="preserve"> </w:t>
            </w:r>
            <w:r>
              <w:rPr>
                <w:spacing w:val="-6"/>
              </w:rPr>
              <w:t>本情况及发生</w:t>
            </w:r>
            <w:r>
              <w:rPr>
                <w:spacing w:val="2"/>
              </w:rPr>
              <w:t xml:space="preserve"> </w:t>
            </w:r>
            <w:r>
              <w:rPr>
                <w:spacing w:val="-6"/>
              </w:rPr>
              <w:t>危险情况的应</w:t>
            </w:r>
            <w:r>
              <w:rPr>
                <w:spacing w:val="2"/>
              </w:rPr>
              <w:t xml:space="preserve"> </w:t>
            </w:r>
            <w:r>
              <w:rPr>
                <w:spacing w:val="-6"/>
              </w:rPr>
              <w:t>急处置措施或</w:t>
            </w:r>
            <w:r>
              <w:rPr>
                <w:spacing w:val="2"/>
              </w:rPr>
              <w:t xml:space="preserve"> </w:t>
            </w:r>
            <w:r>
              <w:rPr>
                <w:spacing w:val="-6"/>
              </w:rPr>
              <w:t>未按照规定包</w:t>
            </w:r>
            <w:r>
              <w:rPr>
                <w:spacing w:val="2"/>
              </w:rPr>
              <w:t xml:space="preserve"> </w:t>
            </w:r>
            <w:r>
              <w:rPr>
                <w:spacing w:val="-6"/>
              </w:rPr>
              <w:t>装危险化学品</w:t>
            </w:r>
            <w:r>
              <w:rPr>
                <w:spacing w:val="2"/>
              </w:rPr>
              <w:t xml:space="preserve"> </w:t>
            </w:r>
            <w:r>
              <w:rPr>
                <w:spacing w:val="-6"/>
              </w:rPr>
              <w:t>并在外包装设</w:t>
            </w:r>
            <w:r>
              <w:rPr>
                <w:spacing w:val="2"/>
              </w:rPr>
              <w:t xml:space="preserve"> </w:t>
            </w:r>
            <w:r>
              <w:rPr>
                <w:spacing w:val="-6"/>
              </w:rPr>
              <w:t>置相应标志的</w:t>
            </w:r>
            <w:r>
              <w:rPr>
                <w:spacing w:val="2"/>
              </w:rPr>
              <w:t xml:space="preserve"> </w:t>
            </w:r>
            <w:r>
              <w:rPr>
                <w:spacing w:val="-6"/>
              </w:rPr>
              <w:t>行政处罚</w:t>
            </w:r>
          </w:p>
        </w:tc>
        <w:tc>
          <w:tcPr>
            <w:tcW w:w="1101" w:type="dxa"/>
            <w:vAlign w:val="top"/>
          </w:tcPr>
          <w:p w14:paraId="601A86DD">
            <w:pPr>
              <w:spacing w:line="241" w:lineRule="auto"/>
              <w:rPr>
                <w:rFonts w:ascii="Arial"/>
                <w:sz w:val="21"/>
              </w:rPr>
            </w:pPr>
          </w:p>
          <w:p w14:paraId="6000DB51">
            <w:pPr>
              <w:spacing w:line="241" w:lineRule="auto"/>
              <w:rPr>
                <w:rFonts w:ascii="Arial"/>
                <w:sz w:val="21"/>
              </w:rPr>
            </w:pPr>
          </w:p>
          <w:p w14:paraId="37490000">
            <w:pPr>
              <w:spacing w:line="241" w:lineRule="auto"/>
              <w:rPr>
                <w:rFonts w:ascii="Arial"/>
                <w:sz w:val="21"/>
              </w:rPr>
            </w:pPr>
          </w:p>
          <w:p w14:paraId="717D0072">
            <w:pPr>
              <w:spacing w:line="241" w:lineRule="auto"/>
              <w:rPr>
                <w:rFonts w:ascii="Arial"/>
                <w:sz w:val="21"/>
              </w:rPr>
            </w:pPr>
          </w:p>
          <w:p w14:paraId="10AE1058">
            <w:pPr>
              <w:spacing w:line="241" w:lineRule="auto"/>
              <w:rPr>
                <w:rFonts w:ascii="Arial"/>
                <w:sz w:val="21"/>
              </w:rPr>
            </w:pPr>
          </w:p>
          <w:p w14:paraId="0FFA16A2">
            <w:pPr>
              <w:spacing w:line="241" w:lineRule="auto"/>
              <w:rPr>
                <w:rFonts w:ascii="Arial"/>
                <w:sz w:val="21"/>
              </w:rPr>
            </w:pPr>
          </w:p>
          <w:p w14:paraId="3E8289A2">
            <w:pPr>
              <w:spacing w:line="241" w:lineRule="auto"/>
              <w:rPr>
                <w:rFonts w:ascii="Arial"/>
                <w:sz w:val="21"/>
              </w:rPr>
            </w:pPr>
          </w:p>
          <w:p w14:paraId="1B4406E2">
            <w:pPr>
              <w:spacing w:line="241" w:lineRule="auto"/>
              <w:rPr>
                <w:rFonts w:ascii="Arial"/>
                <w:sz w:val="21"/>
              </w:rPr>
            </w:pPr>
          </w:p>
          <w:p w14:paraId="490F9BED">
            <w:pPr>
              <w:spacing w:line="241" w:lineRule="auto"/>
              <w:rPr>
                <w:rFonts w:ascii="Arial"/>
                <w:sz w:val="21"/>
              </w:rPr>
            </w:pPr>
          </w:p>
          <w:p w14:paraId="37426473">
            <w:pPr>
              <w:pStyle w:val="8"/>
              <w:spacing w:before="59" w:line="220" w:lineRule="auto"/>
              <w:ind w:left="25"/>
            </w:pPr>
            <w:r>
              <w:rPr>
                <w:spacing w:val="-7"/>
              </w:rPr>
              <w:t>行政处罚</w:t>
            </w:r>
          </w:p>
        </w:tc>
        <w:tc>
          <w:tcPr>
            <w:tcW w:w="8524" w:type="dxa"/>
            <w:vAlign w:val="top"/>
          </w:tcPr>
          <w:p w14:paraId="71E71AA1">
            <w:pPr>
              <w:pStyle w:val="8"/>
              <w:spacing w:before="81" w:line="219" w:lineRule="auto"/>
              <w:ind w:left="458"/>
            </w:pPr>
            <w:r>
              <w:rPr>
                <w:b/>
                <w:bCs/>
                <w:spacing w:val="-9"/>
              </w:rPr>
              <w:t>1.《危险化学品安全管理条例》</w:t>
            </w:r>
          </w:p>
          <w:p w14:paraId="7DC8CCB9">
            <w:pPr>
              <w:pStyle w:val="8"/>
              <w:spacing w:before="24" w:line="238" w:lineRule="auto"/>
              <w:ind w:left="105" w:right="150" w:firstLine="340"/>
              <w:jc w:val="both"/>
            </w:pPr>
            <w:r>
              <w:rPr>
                <w:spacing w:val="-8"/>
              </w:rPr>
              <w:t>第六十三条第一款</w:t>
            </w:r>
            <w:r>
              <w:rPr>
                <w:spacing w:val="74"/>
              </w:rPr>
              <w:t xml:space="preserve"> </w:t>
            </w:r>
            <w:r>
              <w:rPr>
                <w:spacing w:val="-8"/>
              </w:rPr>
              <w:t>托运危险化学品的，托运人应当向承运人说明所托运的危险化学品的种类、数量、危</w:t>
            </w:r>
            <w:r>
              <w:t xml:space="preserve"> </w:t>
            </w:r>
            <w:r>
              <w:rPr>
                <w:spacing w:val="-8"/>
              </w:rPr>
              <w:t>险特性以及发生危险情况的应急处置措施，并按照国家有关规定对所托运的危险化学品妥善包装，在</w:t>
            </w:r>
            <w:r>
              <w:rPr>
                <w:spacing w:val="-9"/>
              </w:rPr>
              <w:t>外包装上</w:t>
            </w:r>
            <w:r>
              <w:t xml:space="preserve"> </w:t>
            </w:r>
            <w:r>
              <w:rPr>
                <w:spacing w:val="-8"/>
              </w:rPr>
              <w:t>设置相应的标志。</w:t>
            </w:r>
          </w:p>
          <w:p w14:paraId="43652695">
            <w:pPr>
              <w:pStyle w:val="8"/>
              <w:spacing w:before="23"/>
              <w:ind w:left="102" w:right="88" w:firstLine="342"/>
              <w:jc w:val="both"/>
            </w:pPr>
            <w:r>
              <w:rPr>
                <w:spacing w:val="-8"/>
              </w:rPr>
              <w:t>第八十六条第（六）项</w:t>
            </w:r>
            <w:r>
              <w:rPr>
                <w:spacing w:val="74"/>
              </w:rPr>
              <w:t xml:space="preserve"> </w:t>
            </w:r>
            <w:r>
              <w:rPr>
                <w:spacing w:val="-8"/>
              </w:rPr>
              <w:t>有下列情形之一的，由交通运输主管部门责令改正，处5万元以上10万元</w:t>
            </w:r>
            <w:r>
              <w:rPr>
                <w:spacing w:val="-9"/>
              </w:rPr>
              <w:t>以下的罚</w:t>
            </w:r>
            <w:r>
              <w:t xml:space="preserve"> </w:t>
            </w:r>
            <w:r>
              <w:rPr>
                <w:spacing w:val="-7"/>
              </w:rPr>
              <w:t>款；拒不改正的，责令停产停业整顿；构成犯罪的，依法</w:t>
            </w:r>
            <w:r>
              <w:rPr>
                <w:spacing w:val="-8"/>
              </w:rPr>
              <w:t>追究刑事责任</w:t>
            </w:r>
            <w:r>
              <w:rPr>
                <w:spacing w:val="-22"/>
              </w:rPr>
              <w:t>：（</w:t>
            </w:r>
            <w:r>
              <w:rPr>
                <w:spacing w:val="-8"/>
              </w:rPr>
              <w:t>六）托运人不向承运人说明所托运</w:t>
            </w:r>
            <w:r>
              <w:rPr>
                <w:spacing w:val="1"/>
              </w:rPr>
              <w:t xml:space="preserve"> </w:t>
            </w:r>
            <w:r>
              <w:rPr>
                <w:spacing w:val="-8"/>
              </w:rPr>
              <w:t>的危险化学品的种类、数量、危险特性以及发生危险情况的应急处置措施，或者未按照国家有关规定对所</w:t>
            </w:r>
            <w:r>
              <w:rPr>
                <w:spacing w:val="-9"/>
              </w:rPr>
              <w:t>托运</w:t>
            </w:r>
            <w:r>
              <w:t xml:space="preserve"> </w:t>
            </w:r>
            <w:r>
              <w:rPr>
                <w:spacing w:val="-8"/>
              </w:rPr>
              <w:t>的危险化学品妥善包装并在外包装上设置相应标志的。</w:t>
            </w:r>
          </w:p>
          <w:p w14:paraId="1DD35124">
            <w:pPr>
              <w:pStyle w:val="8"/>
              <w:spacing w:before="25" w:line="219" w:lineRule="auto"/>
              <w:ind w:left="447"/>
            </w:pPr>
            <w:r>
              <w:rPr>
                <w:b/>
                <w:bCs/>
                <w:spacing w:val="-8"/>
              </w:rPr>
              <w:t>2.《危险货物道路运输安全管理办法》(交通运输部令2019年第29号)</w:t>
            </w:r>
          </w:p>
          <w:p w14:paraId="152A1B02">
            <w:pPr>
              <w:pStyle w:val="8"/>
              <w:spacing w:before="27" w:line="218" w:lineRule="auto"/>
              <w:ind w:left="445"/>
            </w:pPr>
            <w:r>
              <w:rPr>
                <w:spacing w:val="-7"/>
              </w:rPr>
              <w:t>第十二条</w:t>
            </w:r>
            <w:r>
              <w:rPr>
                <w:spacing w:val="73"/>
              </w:rPr>
              <w:t xml:space="preserve"> </w:t>
            </w:r>
            <w:r>
              <w:rPr>
                <w:spacing w:val="-7"/>
              </w:rPr>
              <w:t>托运人应当按照《危险货物道路运输</w:t>
            </w:r>
            <w:r>
              <w:rPr>
                <w:spacing w:val="-8"/>
              </w:rPr>
              <w:t>规则》（JT/T617）妥善包装危险货物，并在外包装设置相</w:t>
            </w:r>
          </w:p>
          <w:p w14:paraId="0E3C2C07">
            <w:pPr>
              <w:pStyle w:val="8"/>
              <w:spacing w:before="27" w:line="219" w:lineRule="auto"/>
              <w:ind w:left="102"/>
            </w:pPr>
            <w:r>
              <w:rPr>
                <w:spacing w:val="-7"/>
              </w:rPr>
              <w:t>应的危险货物标志。</w:t>
            </w:r>
          </w:p>
          <w:p w14:paraId="68E0E5BC">
            <w:pPr>
              <w:pStyle w:val="8"/>
              <w:spacing w:before="27" w:line="237" w:lineRule="auto"/>
              <w:ind w:left="102" w:right="88" w:firstLine="343"/>
              <w:jc w:val="both"/>
            </w:pPr>
            <w:r>
              <w:rPr>
                <w:spacing w:val="-8"/>
              </w:rPr>
              <w:t>第五十九条第（二）项</w:t>
            </w:r>
            <w:r>
              <w:rPr>
                <w:spacing w:val="77"/>
              </w:rPr>
              <w:t xml:space="preserve"> </w:t>
            </w:r>
            <w:r>
              <w:rPr>
                <w:spacing w:val="-8"/>
              </w:rPr>
              <w:t>交通运输主管部门对危险化学品托运人有下列情</w:t>
            </w:r>
            <w:r>
              <w:rPr>
                <w:spacing w:val="-9"/>
              </w:rPr>
              <w:t>形之一的，应当责令改正，处5万</w:t>
            </w:r>
            <w:r>
              <w:t xml:space="preserve"> </w:t>
            </w:r>
            <w:r>
              <w:rPr>
                <w:spacing w:val="-7"/>
              </w:rPr>
              <w:t>元以上10万元以下的罚款；拒不改正的，责令停产停业整顿</w:t>
            </w:r>
            <w:r>
              <w:rPr>
                <w:spacing w:val="-22"/>
              </w:rPr>
              <w:t>：（</w:t>
            </w:r>
            <w:r>
              <w:rPr>
                <w:spacing w:val="-7"/>
              </w:rPr>
              <w:t>二）违反本办法第十</w:t>
            </w:r>
            <w:r>
              <w:rPr>
                <w:spacing w:val="-8"/>
              </w:rPr>
              <w:t>二条，未按照要求对所托</w:t>
            </w:r>
            <w:r>
              <w:rPr>
                <w:spacing w:val="1"/>
              </w:rPr>
              <w:t xml:space="preserve"> </w:t>
            </w:r>
            <w:r>
              <w:rPr>
                <w:spacing w:val="-8"/>
              </w:rPr>
              <w:t>运的危险化学品妥善包装并在外包装设置相应标志的。</w:t>
            </w:r>
          </w:p>
          <w:p w14:paraId="24F873CA">
            <w:pPr>
              <w:pStyle w:val="8"/>
              <w:spacing w:before="26" w:line="219" w:lineRule="auto"/>
              <w:ind w:left="449"/>
            </w:pPr>
            <w:r>
              <w:rPr>
                <w:b/>
                <w:bCs/>
                <w:spacing w:val="-8"/>
              </w:rPr>
              <w:t>3.《道路危险货物运输管理规定》(交通运输部令2023年第13号)</w:t>
            </w:r>
          </w:p>
          <w:p w14:paraId="7B9E0560">
            <w:pPr>
              <w:pStyle w:val="8"/>
              <w:spacing w:before="25"/>
              <w:ind w:left="102" w:right="32" w:firstLine="342"/>
              <w:jc w:val="both"/>
            </w:pPr>
            <w:r>
              <w:rPr>
                <w:spacing w:val="-8"/>
              </w:rPr>
              <w:t>第五十八条第（二）项</w:t>
            </w:r>
            <w:r>
              <w:rPr>
                <w:spacing w:val="74"/>
              </w:rPr>
              <w:t xml:space="preserve"> </w:t>
            </w:r>
            <w:r>
              <w:rPr>
                <w:spacing w:val="-8"/>
              </w:rPr>
              <w:t>违反本规定，道路危险货物运输企业或者单位以及托运人有下列情形之一的，由</w:t>
            </w:r>
            <w:r>
              <w:t xml:space="preserve">  </w:t>
            </w:r>
            <w:r>
              <w:rPr>
                <w:spacing w:val="-10"/>
              </w:rPr>
              <w:t>交通运输主管部门责令改正，并处5万元以上10万</w:t>
            </w:r>
            <w:r>
              <w:rPr>
                <w:spacing w:val="-11"/>
              </w:rPr>
              <w:t>元以下的罚款，拒不改正的，责令停产停业整顿；构成犯罪的，</w:t>
            </w:r>
            <w:r>
              <w:t xml:space="preserve"> </w:t>
            </w:r>
            <w:r>
              <w:rPr>
                <w:spacing w:val="-7"/>
              </w:rPr>
              <w:t>依法追究刑事责任</w:t>
            </w:r>
            <w:r>
              <w:rPr>
                <w:spacing w:val="-22"/>
              </w:rPr>
              <w:t>：（</w:t>
            </w:r>
            <w:r>
              <w:rPr>
                <w:spacing w:val="-7"/>
              </w:rPr>
              <w:t>二）托运人不向承运人说明所托运的危</w:t>
            </w:r>
            <w:r>
              <w:rPr>
                <w:spacing w:val="-8"/>
              </w:rPr>
              <w:t>险化学品的种类、数量、危险特性以及发生危险</w:t>
            </w:r>
            <w:r>
              <w:t xml:space="preserve">  </w:t>
            </w:r>
            <w:r>
              <w:rPr>
                <w:spacing w:val="-9"/>
              </w:rPr>
              <w:t>情况的应急处置措施，或者未按照国家有关规定对所托运的危险化学品妥善包装并在外包装上设</w:t>
            </w:r>
            <w:r>
              <w:rPr>
                <w:spacing w:val="-10"/>
              </w:rPr>
              <w:t>置相应标志的。</w:t>
            </w:r>
          </w:p>
        </w:tc>
        <w:tc>
          <w:tcPr>
            <w:tcW w:w="1011" w:type="dxa"/>
            <w:vAlign w:val="top"/>
          </w:tcPr>
          <w:p w14:paraId="7DAD16EC">
            <w:pPr>
              <w:spacing w:line="256" w:lineRule="auto"/>
              <w:rPr>
                <w:rFonts w:ascii="Arial"/>
                <w:sz w:val="21"/>
              </w:rPr>
            </w:pPr>
          </w:p>
          <w:p w14:paraId="5C2246B2">
            <w:pPr>
              <w:spacing w:line="256" w:lineRule="auto"/>
              <w:rPr>
                <w:rFonts w:ascii="Arial"/>
                <w:sz w:val="21"/>
              </w:rPr>
            </w:pPr>
          </w:p>
          <w:p w14:paraId="6D66B1D5">
            <w:pPr>
              <w:spacing w:line="256" w:lineRule="auto"/>
              <w:rPr>
                <w:rFonts w:ascii="Arial"/>
                <w:sz w:val="21"/>
              </w:rPr>
            </w:pPr>
          </w:p>
          <w:p w14:paraId="171D08EE">
            <w:pPr>
              <w:spacing w:line="256" w:lineRule="auto"/>
              <w:rPr>
                <w:rFonts w:ascii="Arial"/>
                <w:sz w:val="21"/>
              </w:rPr>
            </w:pPr>
          </w:p>
          <w:p w14:paraId="32F75CDE">
            <w:pPr>
              <w:spacing w:line="256" w:lineRule="auto"/>
              <w:rPr>
                <w:rFonts w:ascii="Arial"/>
                <w:sz w:val="21"/>
              </w:rPr>
            </w:pPr>
          </w:p>
          <w:p w14:paraId="302E87F2">
            <w:pPr>
              <w:spacing w:line="256" w:lineRule="auto"/>
              <w:rPr>
                <w:rFonts w:ascii="Arial"/>
                <w:sz w:val="21"/>
              </w:rPr>
            </w:pPr>
          </w:p>
          <w:p w14:paraId="719F6251">
            <w:pPr>
              <w:spacing w:line="256" w:lineRule="auto"/>
              <w:rPr>
                <w:rFonts w:ascii="Arial"/>
                <w:sz w:val="21"/>
              </w:rPr>
            </w:pPr>
          </w:p>
          <w:p w14:paraId="0974E52A">
            <w:pPr>
              <w:spacing w:line="257" w:lineRule="auto"/>
              <w:rPr>
                <w:rFonts w:ascii="Arial"/>
                <w:sz w:val="21"/>
              </w:rPr>
            </w:pPr>
          </w:p>
          <w:p w14:paraId="47CA2E1B">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10690514">
            <w:pPr>
              <w:spacing w:line="256" w:lineRule="auto"/>
              <w:rPr>
                <w:rFonts w:ascii="Arial"/>
                <w:sz w:val="21"/>
              </w:rPr>
            </w:pPr>
          </w:p>
          <w:p w14:paraId="4FE17796">
            <w:pPr>
              <w:spacing w:line="256" w:lineRule="auto"/>
              <w:rPr>
                <w:rFonts w:ascii="Arial"/>
                <w:sz w:val="21"/>
              </w:rPr>
            </w:pPr>
          </w:p>
          <w:p w14:paraId="191559D9">
            <w:pPr>
              <w:spacing w:line="256" w:lineRule="auto"/>
              <w:rPr>
                <w:rFonts w:ascii="Arial"/>
                <w:sz w:val="21"/>
              </w:rPr>
            </w:pPr>
          </w:p>
          <w:p w14:paraId="42378FCB">
            <w:pPr>
              <w:spacing w:line="256" w:lineRule="auto"/>
              <w:rPr>
                <w:rFonts w:ascii="Arial"/>
                <w:sz w:val="21"/>
              </w:rPr>
            </w:pPr>
          </w:p>
          <w:p w14:paraId="155765FF">
            <w:pPr>
              <w:spacing w:line="256" w:lineRule="auto"/>
              <w:rPr>
                <w:rFonts w:ascii="Arial"/>
                <w:sz w:val="21"/>
              </w:rPr>
            </w:pPr>
          </w:p>
          <w:p w14:paraId="449D8AAC">
            <w:pPr>
              <w:spacing w:line="256" w:lineRule="auto"/>
              <w:rPr>
                <w:rFonts w:ascii="Arial"/>
                <w:sz w:val="21"/>
              </w:rPr>
            </w:pPr>
          </w:p>
          <w:p w14:paraId="1A479540">
            <w:pPr>
              <w:spacing w:line="257" w:lineRule="auto"/>
              <w:rPr>
                <w:rFonts w:ascii="Arial"/>
                <w:sz w:val="21"/>
              </w:rPr>
            </w:pPr>
          </w:p>
          <w:p w14:paraId="2211CB45">
            <w:pPr>
              <w:spacing w:line="257" w:lineRule="auto"/>
              <w:rPr>
                <w:rFonts w:ascii="Arial"/>
                <w:sz w:val="21"/>
              </w:rPr>
            </w:pPr>
          </w:p>
          <w:p w14:paraId="7752C385">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D19E980">
            <w:pPr>
              <w:spacing w:line="258" w:lineRule="auto"/>
              <w:rPr>
                <w:rFonts w:ascii="Arial"/>
                <w:sz w:val="21"/>
              </w:rPr>
            </w:pPr>
          </w:p>
          <w:p w14:paraId="19818639">
            <w:pPr>
              <w:spacing w:line="259" w:lineRule="auto"/>
              <w:rPr>
                <w:rFonts w:ascii="Arial"/>
                <w:sz w:val="21"/>
              </w:rPr>
            </w:pPr>
          </w:p>
          <w:p w14:paraId="21442728">
            <w:pPr>
              <w:spacing w:line="259" w:lineRule="auto"/>
              <w:rPr>
                <w:rFonts w:ascii="Arial"/>
                <w:sz w:val="21"/>
              </w:rPr>
            </w:pPr>
          </w:p>
          <w:p w14:paraId="6F338E21">
            <w:pPr>
              <w:spacing w:line="259" w:lineRule="auto"/>
              <w:rPr>
                <w:rFonts w:ascii="Arial"/>
                <w:sz w:val="21"/>
              </w:rPr>
            </w:pPr>
          </w:p>
          <w:p w14:paraId="23E20279">
            <w:pPr>
              <w:spacing w:line="259" w:lineRule="auto"/>
              <w:rPr>
                <w:rFonts w:ascii="Arial"/>
                <w:sz w:val="21"/>
              </w:rPr>
            </w:pPr>
          </w:p>
          <w:p w14:paraId="1E6344F3">
            <w:pPr>
              <w:spacing w:line="259" w:lineRule="auto"/>
              <w:rPr>
                <w:rFonts w:ascii="Arial"/>
                <w:sz w:val="21"/>
              </w:rPr>
            </w:pPr>
          </w:p>
          <w:p w14:paraId="3393D4D7">
            <w:pPr>
              <w:spacing w:line="259" w:lineRule="auto"/>
              <w:rPr>
                <w:rFonts w:ascii="Arial"/>
                <w:sz w:val="21"/>
              </w:rPr>
            </w:pPr>
          </w:p>
          <w:p w14:paraId="6BB566C7">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4A7D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6" w:hRule="atLeast"/>
        </w:trPr>
        <w:tc>
          <w:tcPr>
            <w:tcW w:w="629" w:type="dxa"/>
            <w:vAlign w:val="top"/>
          </w:tcPr>
          <w:p w14:paraId="4F940E82">
            <w:pPr>
              <w:spacing w:line="274" w:lineRule="auto"/>
              <w:rPr>
                <w:rFonts w:ascii="Arial"/>
                <w:sz w:val="21"/>
              </w:rPr>
            </w:pPr>
          </w:p>
          <w:p w14:paraId="4ACA5E44">
            <w:pPr>
              <w:spacing w:line="274" w:lineRule="auto"/>
              <w:rPr>
                <w:rFonts w:ascii="Arial"/>
                <w:sz w:val="21"/>
              </w:rPr>
            </w:pPr>
          </w:p>
          <w:p w14:paraId="51A42581">
            <w:pPr>
              <w:spacing w:line="274" w:lineRule="auto"/>
              <w:rPr>
                <w:rFonts w:ascii="Arial"/>
                <w:sz w:val="21"/>
              </w:rPr>
            </w:pPr>
          </w:p>
          <w:p w14:paraId="7854B476">
            <w:pPr>
              <w:spacing w:line="274" w:lineRule="auto"/>
              <w:rPr>
                <w:rFonts w:ascii="Arial"/>
                <w:sz w:val="21"/>
              </w:rPr>
            </w:pPr>
          </w:p>
          <w:p w14:paraId="1EC356D1">
            <w:pPr>
              <w:spacing w:line="274" w:lineRule="auto"/>
              <w:rPr>
                <w:rFonts w:ascii="Arial"/>
                <w:sz w:val="21"/>
              </w:rPr>
            </w:pPr>
          </w:p>
          <w:p w14:paraId="586E1A17">
            <w:pPr>
              <w:spacing w:line="274" w:lineRule="auto"/>
              <w:rPr>
                <w:rFonts w:ascii="Arial"/>
                <w:sz w:val="21"/>
              </w:rPr>
            </w:pPr>
          </w:p>
          <w:p w14:paraId="6B75B951">
            <w:pPr>
              <w:spacing w:line="275" w:lineRule="auto"/>
              <w:rPr>
                <w:rFonts w:ascii="Arial"/>
                <w:sz w:val="21"/>
              </w:rPr>
            </w:pPr>
          </w:p>
          <w:p w14:paraId="3783D6B3">
            <w:pPr>
              <w:pStyle w:val="8"/>
              <w:spacing w:before="59" w:line="183" w:lineRule="auto"/>
              <w:ind w:left="224"/>
              <w:rPr>
                <w:rFonts w:hint="eastAsia" w:eastAsia="宋体"/>
                <w:lang w:val="en-US" w:eastAsia="zh-CN"/>
              </w:rPr>
            </w:pPr>
            <w:r>
              <w:rPr>
                <w:spacing w:val="-5"/>
              </w:rPr>
              <w:t>3</w:t>
            </w:r>
            <w:r>
              <w:rPr>
                <w:rFonts w:hint="eastAsia"/>
                <w:spacing w:val="-5"/>
                <w:lang w:val="en-US" w:eastAsia="zh-CN"/>
              </w:rPr>
              <w:t>2</w:t>
            </w:r>
          </w:p>
        </w:tc>
        <w:tc>
          <w:tcPr>
            <w:tcW w:w="1101" w:type="dxa"/>
            <w:vAlign w:val="top"/>
          </w:tcPr>
          <w:p w14:paraId="33CD6D41">
            <w:pPr>
              <w:spacing w:line="293" w:lineRule="auto"/>
              <w:rPr>
                <w:rFonts w:ascii="Arial"/>
                <w:sz w:val="21"/>
              </w:rPr>
            </w:pPr>
          </w:p>
          <w:p w14:paraId="4269BBF2">
            <w:pPr>
              <w:spacing w:line="294" w:lineRule="auto"/>
              <w:rPr>
                <w:rFonts w:ascii="Arial"/>
                <w:sz w:val="21"/>
              </w:rPr>
            </w:pPr>
          </w:p>
          <w:p w14:paraId="7A6BE14E">
            <w:pPr>
              <w:spacing w:line="294" w:lineRule="auto"/>
              <w:rPr>
                <w:rFonts w:ascii="Arial"/>
                <w:sz w:val="21"/>
              </w:rPr>
            </w:pPr>
          </w:p>
          <w:p w14:paraId="2D771499">
            <w:pPr>
              <w:spacing w:line="294" w:lineRule="auto"/>
              <w:rPr>
                <w:rFonts w:ascii="Arial"/>
                <w:sz w:val="21"/>
              </w:rPr>
            </w:pPr>
          </w:p>
          <w:p w14:paraId="0AE26C34">
            <w:pPr>
              <w:pStyle w:val="8"/>
              <w:spacing w:before="58" w:line="243" w:lineRule="auto"/>
              <w:ind w:left="18" w:right="20"/>
              <w:jc w:val="both"/>
            </w:pPr>
            <w:r>
              <w:rPr>
                <w:spacing w:val="-6"/>
              </w:rPr>
              <w:t>对危险化学品</w:t>
            </w:r>
            <w:r>
              <w:rPr>
                <w:spacing w:val="2"/>
              </w:rPr>
              <w:t xml:space="preserve"> </w:t>
            </w:r>
            <w:r>
              <w:rPr>
                <w:spacing w:val="-6"/>
              </w:rPr>
              <w:t>道路运输托运</w:t>
            </w:r>
            <w:r>
              <w:rPr>
                <w:spacing w:val="2"/>
              </w:rPr>
              <w:t xml:space="preserve"> </w:t>
            </w:r>
            <w:r>
              <w:rPr>
                <w:spacing w:val="-6"/>
              </w:rPr>
              <w:t>人未按照规定</w:t>
            </w:r>
            <w:r>
              <w:rPr>
                <w:spacing w:val="2"/>
              </w:rPr>
              <w:t xml:space="preserve"> </w:t>
            </w:r>
            <w:r>
              <w:rPr>
                <w:spacing w:val="-6"/>
              </w:rPr>
              <w:t>添加抑制剂或</w:t>
            </w:r>
            <w:r>
              <w:rPr>
                <w:spacing w:val="2"/>
              </w:rPr>
              <w:t xml:space="preserve"> </w:t>
            </w:r>
            <w:r>
              <w:rPr>
                <w:spacing w:val="-6"/>
              </w:rPr>
              <w:t>者稳定剂，或</w:t>
            </w:r>
            <w:r>
              <w:rPr>
                <w:spacing w:val="2"/>
              </w:rPr>
              <w:t xml:space="preserve"> </w:t>
            </w:r>
            <w:r>
              <w:rPr>
                <w:spacing w:val="-6"/>
              </w:rPr>
              <w:t>者未将有关情</w:t>
            </w:r>
            <w:r>
              <w:rPr>
                <w:spacing w:val="2"/>
              </w:rPr>
              <w:t xml:space="preserve"> </w:t>
            </w:r>
            <w:r>
              <w:rPr>
                <w:spacing w:val="-6"/>
              </w:rPr>
              <w:t>况告知承运人</w:t>
            </w:r>
            <w:r>
              <w:rPr>
                <w:spacing w:val="2"/>
              </w:rPr>
              <w:t xml:space="preserve"> </w:t>
            </w:r>
            <w:r>
              <w:rPr>
                <w:spacing w:val="-7"/>
              </w:rPr>
              <w:t>的行政处罚</w:t>
            </w:r>
          </w:p>
        </w:tc>
        <w:tc>
          <w:tcPr>
            <w:tcW w:w="1101" w:type="dxa"/>
            <w:vAlign w:val="top"/>
          </w:tcPr>
          <w:p w14:paraId="28FBA690">
            <w:pPr>
              <w:spacing w:line="270" w:lineRule="auto"/>
              <w:rPr>
                <w:rFonts w:ascii="Arial"/>
                <w:sz w:val="21"/>
              </w:rPr>
            </w:pPr>
          </w:p>
          <w:p w14:paraId="34BEC18B">
            <w:pPr>
              <w:spacing w:line="270" w:lineRule="auto"/>
              <w:rPr>
                <w:rFonts w:ascii="Arial"/>
                <w:sz w:val="21"/>
              </w:rPr>
            </w:pPr>
          </w:p>
          <w:p w14:paraId="5077EDB3">
            <w:pPr>
              <w:spacing w:line="270" w:lineRule="auto"/>
              <w:rPr>
                <w:rFonts w:ascii="Arial"/>
                <w:sz w:val="21"/>
              </w:rPr>
            </w:pPr>
          </w:p>
          <w:p w14:paraId="77A87C76">
            <w:pPr>
              <w:spacing w:line="270" w:lineRule="auto"/>
              <w:rPr>
                <w:rFonts w:ascii="Arial"/>
                <w:sz w:val="21"/>
              </w:rPr>
            </w:pPr>
          </w:p>
          <w:p w14:paraId="7362208F">
            <w:pPr>
              <w:spacing w:line="270" w:lineRule="auto"/>
              <w:rPr>
                <w:rFonts w:ascii="Arial"/>
                <w:sz w:val="21"/>
              </w:rPr>
            </w:pPr>
          </w:p>
          <w:p w14:paraId="2A4315A3">
            <w:pPr>
              <w:spacing w:line="270" w:lineRule="auto"/>
              <w:rPr>
                <w:rFonts w:ascii="Arial"/>
                <w:sz w:val="21"/>
              </w:rPr>
            </w:pPr>
          </w:p>
          <w:p w14:paraId="6AB51D53">
            <w:pPr>
              <w:spacing w:line="271" w:lineRule="auto"/>
              <w:rPr>
                <w:rFonts w:ascii="Arial"/>
                <w:sz w:val="21"/>
              </w:rPr>
            </w:pPr>
          </w:p>
          <w:p w14:paraId="181FAB37">
            <w:pPr>
              <w:pStyle w:val="8"/>
              <w:spacing w:before="58" w:line="220" w:lineRule="auto"/>
              <w:ind w:left="25"/>
            </w:pPr>
            <w:r>
              <w:rPr>
                <w:spacing w:val="-7"/>
              </w:rPr>
              <w:t>行政处罚</w:t>
            </w:r>
          </w:p>
        </w:tc>
        <w:tc>
          <w:tcPr>
            <w:tcW w:w="8524" w:type="dxa"/>
            <w:vAlign w:val="top"/>
          </w:tcPr>
          <w:p w14:paraId="09E70DEE">
            <w:pPr>
              <w:pStyle w:val="8"/>
              <w:spacing w:before="41" w:line="219" w:lineRule="auto"/>
              <w:ind w:left="458"/>
            </w:pPr>
            <w:r>
              <w:rPr>
                <w:b/>
                <w:bCs/>
                <w:spacing w:val="-9"/>
              </w:rPr>
              <w:t>1.《危险化学品安全管理条例》</w:t>
            </w:r>
          </w:p>
          <w:p w14:paraId="62B2741F">
            <w:pPr>
              <w:pStyle w:val="8"/>
              <w:spacing w:before="25" w:line="233" w:lineRule="auto"/>
              <w:ind w:left="102" w:right="157" w:firstLine="343"/>
            </w:pPr>
            <w:r>
              <w:rPr>
                <w:spacing w:val="-8"/>
              </w:rPr>
              <w:t>第六十三条第二款</w:t>
            </w:r>
            <w:r>
              <w:rPr>
                <w:spacing w:val="74"/>
              </w:rPr>
              <w:t xml:space="preserve"> </w:t>
            </w:r>
            <w:r>
              <w:rPr>
                <w:spacing w:val="-8"/>
              </w:rPr>
              <w:t>运输危险化学品需要添加抑制剂或者稳定剂的，托运人应当添加，并将有关情况告知</w:t>
            </w:r>
            <w:r>
              <w:t xml:space="preserve"> </w:t>
            </w:r>
            <w:r>
              <w:rPr>
                <w:spacing w:val="-6"/>
              </w:rPr>
              <w:t>承运人。</w:t>
            </w:r>
          </w:p>
          <w:p w14:paraId="54743B36">
            <w:pPr>
              <w:pStyle w:val="8"/>
              <w:spacing w:before="25" w:line="237" w:lineRule="auto"/>
              <w:ind w:left="102" w:right="88" w:firstLine="342"/>
              <w:jc w:val="both"/>
            </w:pPr>
            <w:r>
              <w:rPr>
                <w:spacing w:val="-8"/>
              </w:rPr>
              <w:t>第八十六条第（七）项</w:t>
            </w:r>
            <w:r>
              <w:rPr>
                <w:spacing w:val="74"/>
              </w:rPr>
              <w:t xml:space="preserve"> </w:t>
            </w:r>
            <w:r>
              <w:rPr>
                <w:spacing w:val="-8"/>
              </w:rPr>
              <w:t>有下列情形之一的，由交通运输主管部门责令改正，处5万元以上10万元</w:t>
            </w:r>
            <w:r>
              <w:rPr>
                <w:spacing w:val="-9"/>
              </w:rPr>
              <w:t>以下的罚</w:t>
            </w:r>
            <w:r>
              <w:t xml:space="preserve"> </w:t>
            </w:r>
            <w:r>
              <w:rPr>
                <w:spacing w:val="-7"/>
              </w:rPr>
              <w:t>款；拒不改正的，责令停产停业整顿；构成犯罪的，依法</w:t>
            </w:r>
            <w:r>
              <w:rPr>
                <w:spacing w:val="-8"/>
              </w:rPr>
              <w:t>追究刑事责任</w:t>
            </w:r>
            <w:r>
              <w:rPr>
                <w:spacing w:val="-22"/>
              </w:rPr>
              <w:t>：（</w:t>
            </w:r>
            <w:r>
              <w:rPr>
                <w:spacing w:val="-8"/>
              </w:rPr>
              <w:t>七）运输危险化学品需要添加抑制</w:t>
            </w:r>
            <w:r>
              <w:rPr>
                <w:spacing w:val="1"/>
              </w:rPr>
              <w:t xml:space="preserve"> </w:t>
            </w:r>
            <w:r>
              <w:rPr>
                <w:spacing w:val="-8"/>
              </w:rPr>
              <w:t>剂或者稳定剂，托运人未添加或者未将有关情况告知承运人的。</w:t>
            </w:r>
          </w:p>
          <w:p w14:paraId="28EFC491">
            <w:pPr>
              <w:pStyle w:val="8"/>
              <w:spacing w:before="27" w:line="219" w:lineRule="auto"/>
              <w:ind w:left="447"/>
            </w:pPr>
            <w:r>
              <w:rPr>
                <w:b/>
                <w:bCs/>
                <w:spacing w:val="-8"/>
              </w:rPr>
              <w:t>2.《危险货物道路运输安全管理办法》(交通运输部令2019年第29号)</w:t>
            </w:r>
          </w:p>
          <w:p w14:paraId="6A8F5485">
            <w:pPr>
              <w:pStyle w:val="8"/>
              <w:spacing w:before="27" w:line="232" w:lineRule="auto"/>
              <w:ind w:left="101" w:right="32" w:firstLine="343"/>
            </w:pPr>
            <w:r>
              <w:rPr>
                <w:spacing w:val="-10"/>
              </w:rPr>
              <w:t>第十条</w:t>
            </w:r>
            <w:r>
              <w:rPr>
                <w:spacing w:val="75"/>
              </w:rPr>
              <w:t xml:space="preserve"> </w:t>
            </w:r>
            <w:r>
              <w:rPr>
                <w:spacing w:val="-10"/>
              </w:rPr>
              <w:t>托运人应当按照《危险货物道路运输规则》（JT/T617）确定危险货物的类别、项别、</w:t>
            </w:r>
            <w:r>
              <w:rPr>
                <w:spacing w:val="-11"/>
              </w:rPr>
              <w:t>品名、编号，</w:t>
            </w:r>
            <w:r>
              <w:t xml:space="preserve"> </w:t>
            </w:r>
            <w:r>
              <w:rPr>
                <w:spacing w:val="-9"/>
              </w:rPr>
              <w:t>遵守相关特殊规定要求。需要添加抑制剂或者稳定剂的，托运人应当按照规定添加，并将有关情况</w:t>
            </w:r>
            <w:r>
              <w:rPr>
                <w:spacing w:val="-10"/>
              </w:rPr>
              <w:t>告知承运人。</w:t>
            </w:r>
          </w:p>
          <w:p w14:paraId="1A14A2AF">
            <w:pPr>
              <w:pStyle w:val="8"/>
              <w:spacing w:before="26" w:line="237" w:lineRule="auto"/>
              <w:ind w:left="103" w:right="88" w:firstLine="341"/>
            </w:pPr>
            <w:r>
              <w:rPr>
                <w:spacing w:val="-8"/>
              </w:rPr>
              <w:t>第五十九条第（一）项</w:t>
            </w:r>
            <w:r>
              <w:rPr>
                <w:spacing w:val="77"/>
              </w:rPr>
              <w:t xml:space="preserve"> </w:t>
            </w:r>
            <w:r>
              <w:rPr>
                <w:spacing w:val="-8"/>
              </w:rPr>
              <w:t>交通运输主管部门对危险化学品托运人有下列情</w:t>
            </w:r>
            <w:r>
              <w:rPr>
                <w:spacing w:val="-9"/>
              </w:rPr>
              <w:t>形之一的，应当责令改正，处5万</w:t>
            </w:r>
            <w:r>
              <w:t xml:space="preserve"> </w:t>
            </w:r>
            <w:r>
              <w:rPr>
                <w:spacing w:val="-7"/>
              </w:rPr>
              <w:t>元以上10万元以下的罚款；拒不改正的，责令停产停业整顿</w:t>
            </w:r>
            <w:r>
              <w:rPr>
                <w:spacing w:val="-22"/>
              </w:rPr>
              <w:t>：（</w:t>
            </w:r>
            <w:r>
              <w:rPr>
                <w:spacing w:val="-7"/>
              </w:rPr>
              <w:t>一）违反本办法</w:t>
            </w:r>
            <w:r>
              <w:rPr>
                <w:spacing w:val="-8"/>
              </w:rPr>
              <w:t>第十条，运输危险化学品需要</w:t>
            </w:r>
            <w:r>
              <w:rPr>
                <w:spacing w:val="1"/>
              </w:rPr>
              <w:t xml:space="preserve"> </w:t>
            </w:r>
            <w:r>
              <w:rPr>
                <w:spacing w:val="-8"/>
              </w:rPr>
              <w:t>添加抑制剂或者稳定剂，托运人未添加或者未将有关情况告知承运人的。</w:t>
            </w:r>
          </w:p>
          <w:p w14:paraId="52ABE918">
            <w:pPr>
              <w:pStyle w:val="8"/>
              <w:spacing w:before="27" w:line="219" w:lineRule="auto"/>
              <w:ind w:left="449"/>
            </w:pPr>
            <w:r>
              <w:rPr>
                <w:b/>
                <w:bCs/>
                <w:spacing w:val="-8"/>
              </w:rPr>
              <w:t>3.《道路危险货物运输管理规定》(交通运输部令2023年第13号)</w:t>
            </w:r>
          </w:p>
          <w:p w14:paraId="3E4A7483">
            <w:pPr>
              <w:pStyle w:val="8"/>
              <w:spacing w:before="29" w:line="234" w:lineRule="auto"/>
              <w:ind w:left="102" w:right="46" w:firstLine="343"/>
              <w:jc w:val="both"/>
            </w:pPr>
            <w:r>
              <w:rPr>
                <w:spacing w:val="-8"/>
              </w:rPr>
              <w:t>第五十八条第（四）项</w:t>
            </w:r>
            <w:r>
              <w:rPr>
                <w:spacing w:val="74"/>
              </w:rPr>
              <w:t xml:space="preserve"> </w:t>
            </w:r>
            <w:r>
              <w:rPr>
                <w:spacing w:val="-8"/>
              </w:rPr>
              <w:t>违反本规定，道路危险货物运输企业或者单位以及托运人有下列情形之一的，由</w:t>
            </w:r>
            <w:r>
              <w:t xml:space="preserve">  </w:t>
            </w:r>
            <w:r>
              <w:rPr>
                <w:spacing w:val="-11"/>
              </w:rPr>
              <w:t>交通运输主管部门责令改正，并处5万元以上10万元以下的罚款，拒不改正的，责令停产停业整顿；构成犯罪的，</w:t>
            </w:r>
            <w:r>
              <w:rPr>
                <w:spacing w:val="9"/>
              </w:rPr>
              <w:t xml:space="preserve"> </w:t>
            </w:r>
            <w:r>
              <w:rPr>
                <w:spacing w:val="-7"/>
              </w:rPr>
              <w:t>依法追究刑事责任</w:t>
            </w:r>
            <w:r>
              <w:rPr>
                <w:spacing w:val="-22"/>
              </w:rPr>
              <w:t>：（</w:t>
            </w:r>
            <w:r>
              <w:rPr>
                <w:spacing w:val="-7"/>
              </w:rPr>
              <w:t>四）运输危险化学品需要添加抑制剂或</w:t>
            </w:r>
            <w:r>
              <w:rPr>
                <w:spacing w:val="-8"/>
              </w:rPr>
              <w:t>者稳定剂，托运人未添加或者未将有关情况告知</w:t>
            </w:r>
            <w:r>
              <w:t xml:space="preserve">  </w:t>
            </w:r>
            <w:r>
              <w:rPr>
                <w:spacing w:val="-7"/>
              </w:rPr>
              <w:t>承运人的。</w:t>
            </w:r>
          </w:p>
        </w:tc>
        <w:tc>
          <w:tcPr>
            <w:tcW w:w="1011" w:type="dxa"/>
            <w:vAlign w:val="top"/>
          </w:tcPr>
          <w:p w14:paraId="2F8B14B2">
            <w:pPr>
              <w:spacing w:line="253" w:lineRule="auto"/>
              <w:rPr>
                <w:rFonts w:ascii="Arial"/>
                <w:sz w:val="21"/>
              </w:rPr>
            </w:pPr>
          </w:p>
          <w:p w14:paraId="38B8FFF6">
            <w:pPr>
              <w:spacing w:line="253" w:lineRule="auto"/>
              <w:rPr>
                <w:rFonts w:ascii="Arial"/>
                <w:sz w:val="21"/>
              </w:rPr>
            </w:pPr>
          </w:p>
          <w:p w14:paraId="5B4F9172">
            <w:pPr>
              <w:spacing w:line="253" w:lineRule="auto"/>
              <w:rPr>
                <w:rFonts w:ascii="Arial"/>
                <w:sz w:val="21"/>
              </w:rPr>
            </w:pPr>
          </w:p>
          <w:p w14:paraId="2C0C4E10">
            <w:pPr>
              <w:spacing w:line="253" w:lineRule="auto"/>
              <w:rPr>
                <w:rFonts w:ascii="Arial"/>
                <w:sz w:val="21"/>
              </w:rPr>
            </w:pPr>
          </w:p>
          <w:p w14:paraId="480E33EF">
            <w:pPr>
              <w:spacing w:line="253" w:lineRule="auto"/>
              <w:rPr>
                <w:rFonts w:ascii="Arial"/>
                <w:sz w:val="21"/>
              </w:rPr>
            </w:pPr>
          </w:p>
          <w:p w14:paraId="49D610AF">
            <w:pPr>
              <w:spacing w:line="253" w:lineRule="auto"/>
              <w:rPr>
                <w:rFonts w:ascii="Arial"/>
                <w:sz w:val="21"/>
              </w:rPr>
            </w:pPr>
          </w:p>
          <w:p w14:paraId="41B912DF">
            <w:pPr>
              <w:spacing w:line="253" w:lineRule="auto"/>
              <w:rPr>
                <w:rFonts w:ascii="Arial"/>
                <w:sz w:val="21"/>
              </w:rPr>
            </w:pPr>
          </w:p>
          <w:p w14:paraId="2261200D">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52CA501E">
            <w:pPr>
              <w:spacing w:line="253" w:lineRule="auto"/>
              <w:rPr>
                <w:rFonts w:ascii="Arial"/>
                <w:sz w:val="21"/>
              </w:rPr>
            </w:pPr>
          </w:p>
          <w:p w14:paraId="6E83390D">
            <w:pPr>
              <w:spacing w:line="253" w:lineRule="auto"/>
              <w:rPr>
                <w:rFonts w:ascii="Arial"/>
                <w:sz w:val="21"/>
              </w:rPr>
            </w:pPr>
          </w:p>
          <w:p w14:paraId="42DB3236">
            <w:pPr>
              <w:spacing w:line="253" w:lineRule="auto"/>
              <w:rPr>
                <w:rFonts w:ascii="Arial"/>
                <w:sz w:val="21"/>
              </w:rPr>
            </w:pPr>
          </w:p>
          <w:p w14:paraId="625746B2">
            <w:pPr>
              <w:spacing w:line="253" w:lineRule="auto"/>
              <w:rPr>
                <w:rFonts w:ascii="Arial"/>
                <w:sz w:val="21"/>
              </w:rPr>
            </w:pPr>
          </w:p>
          <w:p w14:paraId="14299CA7">
            <w:pPr>
              <w:spacing w:line="253" w:lineRule="auto"/>
              <w:rPr>
                <w:rFonts w:ascii="Arial"/>
                <w:sz w:val="21"/>
              </w:rPr>
            </w:pPr>
          </w:p>
          <w:p w14:paraId="7EEE6CB6">
            <w:pPr>
              <w:spacing w:line="253" w:lineRule="auto"/>
              <w:rPr>
                <w:rFonts w:ascii="Arial"/>
                <w:sz w:val="21"/>
              </w:rPr>
            </w:pPr>
          </w:p>
          <w:p w14:paraId="138C95DE">
            <w:pPr>
              <w:spacing w:line="254" w:lineRule="auto"/>
              <w:rPr>
                <w:rFonts w:ascii="Arial"/>
                <w:sz w:val="21"/>
              </w:rPr>
            </w:pPr>
          </w:p>
          <w:p w14:paraId="703E9077">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5CFF149D">
            <w:pPr>
              <w:spacing w:line="255" w:lineRule="auto"/>
              <w:rPr>
                <w:rFonts w:ascii="Arial"/>
                <w:sz w:val="21"/>
              </w:rPr>
            </w:pPr>
          </w:p>
          <w:p w14:paraId="436CECC3">
            <w:pPr>
              <w:spacing w:line="255" w:lineRule="auto"/>
              <w:rPr>
                <w:rFonts w:ascii="Arial"/>
                <w:sz w:val="21"/>
              </w:rPr>
            </w:pPr>
          </w:p>
          <w:p w14:paraId="56D33573">
            <w:pPr>
              <w:spacing w:line="256" w:lineRule="auto"/>
              <w:rPr>
                <w:rFonts w:ascii="Arial"/>
                <w:sz w:val="21"/>
              </w:rPr>
            </w:pPr>
          </w:p>
          <w:p w14:paraId="0EF01A09">
            <w:pPr>
              <w:spacing w:line="256" w:lineRule="auto"/>
              <w:rPr>
                <w:rFonts w:ascii="Arial"/>
                <w:sz w:val="21"/>
              </w:rPr>
            </w:pPr>
          </w:p>
          <w:p w14:paraId="53EB2C1F">
            <w:pPr>
              <w:spacing w:line="256" w:lineRule="auto"/>
              <w:rPr>
                <w:rFonts w:ascii="Arial"/>
                <w:sz w:val="21"/>
              </w:rPr>
            </w:pPr>
          </w:p>
          <w:p w14:paraId="1582E8E0">
            <w:pPr>
              <w:spacing w:line="256" w:lineRule="auto"/>
              <w:rPr>
                <w:rFonts w:ascii="Arial"/>
                <w:sz w:val="21"/>
              </w:rPr>
            </w:pPr>
          </w:p>
          <w:p w14:paraId="73725BC4">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009823D3">
      <w:pPr>
        <w:pStyle w:val="2"/>
      </w:pPr>
    </w:p>
    <w:p w14:paraId="174F6991">
      <w:pPr>
        <w:sectPr>
          <w:footerReference r:id="rId41" w:type="default"/>
          <w:pgSz w:w="16839" w:h="11906"/>
          <w:pgMar w:top="1012" w:right="1016" w:bottom="966" w:left="1016" w:header="0" w:footer="768" w:gutter="0"/>
          <w:cols w:space="720" w:num="1"/>
        </w:sectPr>
      </w:pPr>
    </w:p>
    <w:p w14:paraId="6E9FD6DB">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7CE55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2BB8928F">
            <w:pPr>
              <w:pStyle w:val="8"/>
              <w:spacing w:before="273" w:line="221" w:lineRule="auto"/>
              <w:ind w:left="129"/>
            </w:pPr>
            <w:r>
              <w:rPr>
                <w:b/>
                <w:bCs/>
                <w:spacing w:val="-4"/>
              </w:rPr>
              <w:t>序号</w:t>
            </w:r>
          </w:p>
        </w:tc>
        <w:tc>
          <w:tcPr>
            <w:tcW w:w="1101" w:type="dxa"/>
            <w:vMerge w:val="restart"/>
            <w:tcBorders>
              <w:bottom w:val="nil"/>
            </w:tcBorders>
            <w:vAlign w:val="top"/>
          </w:tcPr>
          <w:p w14:paraId="352551A5">
            <w:pPr>
              <w:pStyle w:val="8"/>
              <w:spacing w:before="274" w:line="220" w:lineRule="auto"/>
              <w:ind w:left="182"/>
            </w:pPr>
            <w:r>
              <w:rPr>
                <w:b/>
                <w:bCs/>
                <w:spacing w:val="-4"/>
              </w:rPr>
              <w:t>事项名称</w:t>
            </w:r>
          </w:p>
        </w:tc>
        <w:tc>
          <w:tcPr>
            <w:tcW w:w="1101" w:type="dxa"/>
            <w:vMerge w:val="restart"/>
            <w:tcBorders>
              <w:bottom w:val="nil"/>
            </w:tcBorders>
            <w:vAlign w:val="top"/>
          </w:tcPr>
          <w:p w14:paraId="2010BA72">
            <w:pPr>
              <w:pStyle w:val="8"/>
              <w:spacing w:before="274" w:line="219" w:lineRule="auto"/>
              <w:ind w:left="183"/>
            </w:pPr>
            <w:r>
              <w:rPr>
                <w:b/>
                <w:bCs/>
                <w:spacing w:val="-4"/>
              </w:rPr>
              <w:t>职权类型</w:t>
            </w:r>
          </w:p>
        </w:tc>
        <w:tc>
          <w:tcPr>
            <w:tcW w:w="8524" w:type="dxa"/>
            <w:vMerge w:val="restart"/>
            <w:tcBorders>
              <w:bottom w:val="nil"/>
            </w:tcBorders>
            <w:vAlign w:val="top"/>
          </w:tcPr>
          <w:p w14:paraId="62001A51">
            <w:pPr>
              <w:pStyle w:val="8"/>
              <w:spacing w:before="273" w:line="219" w:lineRule="auto"/>
              <w:ind w:left="4083"/>
            </w:pPr>
            <w:r>
              <w:rPr>
                <w:b/>
                <w:bCs/>
                <w:spacing w:val="-5"/>
              </w:rPr>
              <w:t>实施依据</w:t>
            </w:r>
          </w:p>
        </w:tc>
        <w:tc>
          <w:tcPr>
            <w:tcW w:w="3435" w:type="dxa"/>
            <w:gridSpan w:val="3"/>
            <w:vAlign w:val="top"/>
          </w:tcPr>
          <w:p w14:paraId="360F74E9">
            <w:pPr>
              <w:pStyle w:val="8"/>
              <w:spacing w:before="94" w:line="220" w:lineRule="auto"/>
              <w:ind w:left="1360"/>
            </w:pPr>
            <w:r>
              <w:rPr>
                <w:b/>
                <w:bCs/>
                <w:spacing w:val="-5"/>
              </w:rPr>
              <w:t>实施主体</w:t>
            </w:r>
          </w:p>
        </w:tc>
      </w:tr>
      <w:tr w14:paraId="32714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6AEA32C3">
            <w:pPr>
              <w:rPr>
                <w:rFonts w:ascii="Arial"/>
                <w:sz w:val="21"/>
              </w:rPr>
            </w:pPr>
          </w:p>
        </w:tc>
        <w:tc>
          <w:tcPr>
            <w:tcW w:w="1101" w:type="dxa"/>
            <w:vMerge w:val="continue"/>
            <w:tcBorders>
              <w:top w:val="nil"/>
            </w:tcBorders>
            <w:vAlign w:val="top"/>
          </w:tcPr>
          <w:p w14:paraId="38B81ECF">
            <w:pPr>
              <w:rPr>
                <w:rFonts w:ascii="Arial"/>
                <w:sz w:val="21"/>
              </w:rPr>
            </w:pPr>
          </w:p>
        </w:tc>
        <w:tc>
          <w:tcPr>
            <w:tcW w:w="1101" w:type="dxa"/>
            <w:vMerge w:val="continue"/>
            <w:tcBorders>
              <w:top w:val="nil"/>
            </w:tcBorders>
            <w:vAlign w:val="top"/>
          </w:tcPr>
          <w:p w14:paraId="2764F6D2">
            <w:pPr>
              <w:rPr>
                <w:rFonts w:ascii="Arial"/>
                <w:sz w:val="21"/>
              </w:rPr>
            </w:pPr>
          </w:p>
        </w:tc>
        <w:tc>
          <w:tcPr>
            <w:tcW w:w="8524" w:type="dxa"/>
            <w:vMerge w:val="continue"/>
            <w:tcBorders>
              <w:top w:val="nil"/>
            </w:tcBorders>
            <w:vAlign w:val="top"/>
          </w:tcPr>
          <w:p w14:paraId="7DA48331">
            <w:pPr>
              <w:rPr>
                <w:rFonts w:ascii="Arial"/>
                <w:sz w:val="21"/>
              </w:rPr>
            </w:pPr>
          </w:p>
        </w:tc>
        <w:tc>
          <w:tcPr>
            <w:tcW w:w="1011" w:type="dxa"/>
            <w:vAlign w:val="top"/>
          </w:tcPr>
          <w:p w14:paraId="55ECA524">
            <w:pPr>
              <w:pStyle w:val="8"/>
              <w:spacing w:before="85" w:line="219" w:lineRule="auto"/>
              <w:ind w:left="154"/>
            </w:pPr>
            <w:r>
              <w:rPr>
                <w:b/>
                <w:bCs/>
                <w:spacing w:val="-5"/>
              </w:rPr>
              <w:t>责任部门</w:t>
            </w:r>
          </w:p>
        </w:tc>
        <w:tc>
          <w:tcPr>
            <w:tcW w:w="1404" w:type="dxa"/>
            <w:vAlign w:val="top"/>
          </w:tcPr>
          <w:p w14:paraId="020EC8C9">
            <w:pPr>
              <w:pStyle w:val="8"/>
              <w:spacing w:before="85" w:line="219" w:lineRule="auto"/>
              <w:ind w:left="164"/>
            </w:pPr>
            <w:r>
              <w:rPr>
                <w:b/>
                <w:bCs/>
                <w:spacing w:val="-3"/>
              </w:rPr>
              <w:t>第一责任层级</w:t>
            </w:r>
          </w:p>
        </w:tc>
        <w:tc>
          <w:tcPr>
            <w:tcW w:w="1020" w:type="dxa"/>
            <w:vAlign w:val="top"/>
          </w:tcPr>
          <w:p w14:paraId="2878F7AA">
            <w:pPr>
              <w:pStyle w:val="8"/>
              <w:spacing w:before="84" w:line="219" w:lineRule="auto"/>
              <w:ind w:left="114"/>
            </w:pPr>
            <w:r>
              <w:rPr>
                <w:b/>
                <w:bCs/>
                <w:spacing w:val="-4"/>
              </w:rPr>
              <w:t>承办机构</w:t>
            </w:r>
          </w:p>
        </w:tc>
      </w:tr>
      <w:tr w14:paraId="7CB96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8" w:hRule="atLeast"/>
        </w:trPr>
        <w:tc>
          <w:tcPr>
            <w:tcW w:w="629" w:type="dxa"/>
            <w:vAlign w:val="top"/>
          </w:tcPr>
          <w:p w14:paraId="4A588A8B">
            <w:pPr>
              <w:spacing w:line="263" w:lineRule="auto"/>
              <w:rPr>
                <w:rFonts w:ascii="Arial"/>
                <w:sz w:val="21"/>
              </w:rPr>
            </w:pPr>
          </w:p>
          <w:p w14:paraId="71A39E93">
            <w:pPr>
              <w:spacing w:line="263" w:lineRule="auto"/>
              <w:rPr>
                <w:rFonts w:ascii="Arial"/>
                <w:sz w:val="21"/>
              </w:rPr>
            </w:pPr>
          </w:p>
          <w:p w14:paraId="5638BB8E">
            <w:pPr>
              <w:spacing w:line="263" w:lineRule="auto"/>
              <w:rPr>
                <w:rFonts w:ascii="Arial"/>
                <w:sz w:val="21"/>
              </w:rPr>
            </w:pPr>
          </w:p>
          <w:p w14:paraId="0E9BA5B6">
            <w:pPr>
              <w:spacing w:line="263" w:lineRule="auto"/>
              <w:rPr>
                <w:rFonts w:ascii="Arial"/>
                <w:sz w:val="21"/>
              </w:rPr>
            </w:pPr>
          </w:p>
          <w:p w14:paraId="3D17A038">
            <w:pPr>
              <w:spacing w:line="263" w:lineRule="auto"/>
              <w:rPr>
                <w:rFonts w:ascii="Arial"/>
                <w:sz w:val="21"/>
              </w:rPr>
            </w:pPr>
          </w:p>
          <w:p w14:paraId="7CB43E05">
            <w:pPr>
              <w:spacing w:line="264" w:lineRule="auto"/>
              <w:rPr>
                <w:rFonts w:ascii="Arial"/>
                <w:sz w:val="21"/>
              </w:rPr>
            </w:pPr>
          </w:p>
          <w:p w14:paraId="72123392">
            <w:pPr>
              <w:spacing w:line="264" w:lineRule="auto"/>
              <w:rPr>
                <w:rFonts w:ascii="Arial"/>
                <w:sz w:val="21"/>
              </w:rPr>
            </w:pPr>
          </w:p>
          <w:p w14:paraId="5E8CBB3A">
            <w:pPr>
              <w:spacing w:line="264" w:lineRule="auto"/>
              <w:rPr>
                <w:rFonts w:ascii="Arial"/>
                <w:sz w:val="21"/>
              </w:rPr>
            </w:pPr>
          </w:p>
          <w:p w14:paraId="56DC62C0">
            <w:pPr>
              <w:pStyle w:val="8"/>
              <w:spacing w:before="58" w:line="183" w:lineRule="auto"/>
              <w:ind w:left="224"/>
              <w:rPr>
                <w:rFonts w:hint="default" w:eastAsia="宋体"/>
                <w:lang w:val="en-US" w:eastAsia="zh-CN"/>
              </w:rPr>
            </w:pPr>
            <w:r>
              <w:rPr>
                <w:rFonts w:hint="eastAsia"/>
                <w:spacing w:val="-5"/>
                <w:lang w:val="en-US" w:eastAsia="zh-CN"/>
              </w:rPr>
              <w:t>33</w:t>
            </w:r>
          </w:p>
        </w:tc>
        <w:tc>
          <w:tcPr>
            <w:tcW w:w="1101" w:type="dxa"/>
            <w:vAlign w:val="top"/>
          </w:tcPr>
          <w:p w14:paraId="2E2A6382">
            <w:pPr>
              <w:spacing w:line="246" w:lineRule="auto"/>
              <w:rPr>
                <w:rFonts w:ascii="Arial"/>
                <w:sz w:val="21"/>
              </w:rPr>
            </w:pPr>
          </w:p>
          <w:p w14:paraId="3AD65936">
            <w:pPr>
              <w:spacing w:line="247" w:lineRule="auto"/>
              <w:rPr>
                <w:rFonts w:ascii="Arial"/>
                <w:sz w:val="21"/>
              </w:rPr>
            </w:pPr>
          </w:p>
          <w:p w14:paraId="076894AF">
            <w:pPr>
              <w:spacing w:line="247" w:lineRule="auto"/>
              <w:rPr>
                <w:rFonts w:ascii="Arial"/>
                <w:sz w:val="21"/>
              </w:rPr>
            </w:pPr>
          </w:p>
          <w:p w14:paraId="05330EEE">
            <w:pPr>
              <w:spacing w:line="247" w:lineRule="auto"/>
              <w:rPr>
                <w:rFonts w:ascii="Arial"/>
                <w:sz w:val="21"/>
              </w:rPr>
            </w:pPr>
          </w:p>
          <w:p w14:paraId="524F617A">
            <w:pPr>
              <w:spacing w:line="247" w:lineRule="auto"/>
              <w:rPr>
                <w:rFonts w:ascii="Arial"/>
                <w:sz w:val="21"/>
              </w:rPr>
            </w:pPr>
          </w:p>
          <w:p w14:paraId="05042127">
            <w:pPr>
              <w:spacing w:line="247" w:lineRule="auto"/>
              <w:rPr>
                <w:rFonts w:ascii="Arial"/>
                <w:sz w:val="21"/>
              </w:rPr>
            </w:pPr>
          </w:p>
          <w:p w14:paraId="0BB564B5">
            <w:pPr>
              <w:pStyle w:val="8"/>
              <w:spacing w:before="59" w:line="242" w:lineRule="auto"/>
              <w:ind w:left="18" w:right="20"/>
              <w:jc w:val="both"/>
            </w:pPr>
            <w:r>
              <w:rPr>
                <w:spacing w:val="-6"/>
              </w:rPr>
              <w:t>对委托未依法</w:t>
            </w:r>
            <w:r>
              <w:rPr>
                <w:spacing w:val="2"/>
              </w:rPr>
              <w:t xml:space="preserve"> </w:t>
            </w:r>
            <w:r>
              <w:rPr>
                <w:spacing w:val="-6"/>
              </w:rPr>
              <w:t>取得危险货物</w:t>
            </w:r>
            <w:r>
              <w:rPr>
                <w:spacing w:val="2"/>
              </w:rPr>
              <w:t xml:space="preserve"> </w:t>
            </w:r>
            <w:r>
              <w:rPr>
                <w:spacing w:val="-6"/>
              </w:rPr>
              <w:t>道路运输许可</w:t>
            </w:r>
            <w:r>
              <w:rPr>
                <w:spacing w:val="2"/>
              </w:rPr>
              <w:t xml:space="preserve"> </w:t>
            </w:r>
            <w:r>
              <w:rPr>
                <w:spacing w:val="-6"/>
              </w:rPr>
              <w:t>的企业承运危</w:t>
            </w:r>
            <w:r>
              <w:rPr>
                <w:spacing w:val="2"/>
              </w:rPr>
              <w:t xml:space="preserve"> </w:t>
            </w:r>
            <w:r>
              <w:rPr>
                <w:spacing w:val="-6"/>
              </w:rPr>
              <w:t>险化学品等行</w:t>
            </w:r>
            <w:r>
              <w:rPr>
                <w:spacing w:val="2"/>
              </w:rPr>
              <w:t xml:space="preserve"> </w:t>
            </w:r>
            <w:r>
              <w:rPr>
                <w:spacing w:val="-7"/>
              </w:rPr>
              <w:t>为的行政处罚</w:t>
            </w:r>
          </w:p>
        </w:tc>
        <w:tc>
          <w:tcPr>
            <w:tcW w:w="1101" w:type="dxa"/>
            <w:vAlign w:val="top"/>
          </w:tcPr>
          <w:p w14:paraId="5413F0CB">
            <w:pPr>
              <w:spacing w:line="259" w:lineRule="auto"/>
              <w:rPr>
                <w:rFonts w:ascii="Arial"/>
                <w:sz w:val="21"/>
              </w:rPr>
            </w:pPr>
          </w:p>
          <w:p w14:paraId="0317341F">
            <w:pPr>
              <w:spacing w:line="259" w:lineRule="auto"/>
              <w:rPr>
                <w:rFonts w:ascii="Arial"/>
                <w:sz w:val="21"/>
              </w:rPr>
            </w:pPr>
          </w:p>
          <w:p w14:paraId="29E7805F">
            <w:pPr>
              <w:spacing w:line="260" w:lineRule="auto"/>
              <w:rPr>
                <w:rFonts w:ascii="Arial"/>
                <w:sz w:val="21"/>
              </w:rPr>
            </w:pPr>
          </w:p>
          <w:p w14:paraId="1DA44B21">
            <w:pPr>
              <w:spacing w:line="260" w:lineRule="auto"/>
              <w:rPr>
                <w:rFonts w:ascii="Arial"/>
                <w:sz w:val="21"/>
              </w:rPr>
            </w:pPr>
          </w:p>
          <w:p w14:paraId="336B9D7B">
            <w:pPr>
              <w:spacing w:line="260" w:lineRule="auto"/>
              <w:rPr>
                <w:rFonts w:ascii="Arial"/>
                <w:sz w:val="21"/>
              </w:rPr>
            </w:pPr>
          </w:p>
          <w:p w14:paraId="78D567C8">
            <w:pPr>
              <w:spacing w:line="260" w:lineRule="auto"/>
              <w:rPr>
                <w:rFonts w:ascii="Arial"/>
                <w:sz w:val="21"/>
              </w:rPr>
            </w:pPr>
          </w:p>
          <w:p w14:paraId="236316CB">
            <w:pPr>
              <w:spacing w:line="260" w:lineRule="auto"/>
              <w:rPr>
                <w:rFonts w:ascii="Arial"/>
                <w:sz w:val="21"/>
              </w:rPr>
            </w:pPr>
          </w:p>
          <w:p w14:paraId="23B0EA76">
            <w:pPr>
              <w:spacing w:line="260" w:lineRule="auto"/>
              <w:rPr>
                <w:rFonts w:ascii="Arial"/>
                <w:sz w:val="21"/>
              </w:rPr>
            </w:pPr>
          </w:p>
          <w:p w14:paraId="579AB4BA">
            <w:pPr>
              <w:pStyle w:val="8"/>
              <w:spacing w:before="59" w:line="220" w:lineRule="auto"/>
              <w:ind w:left="25"/>
            </w:pPr>
            <w:r>
              <w:rPr>
                <w:spacing w:val="-7"/>
              </w:rPr>
              <w:t>行政处罚</w:t>
            </w:r>
          </w:p>
        </w:tc>
        <w:tc>
          <w:tcPr>
            <w:tcW w:w="8524" w:type="dxa"/>
            <w:vAlign w:val="top"/>
          </w:tcPr>
          <w:p w14:paraId="7EB640DE">
            <w:pPr>
              <w:pStyle w:val="8"/>
              <w:spacing w:before="110" w:line="219" w:lineRule="auto"/>
              <w:ind w:left="458"/>
            </w:pPr>
            <w:r>
              <w:rPr>
                <w:b/>
                <w:bCs/>
                <w:spacing w:val="-9"/>
              </w:rPr>
              <w:t>1.《危险化学品安全管理条例》</w:t>
            </w:r>
          </w:p>
          <w:p w14:paraId="09CDF66A">
            <w:pPr>
              <w:pStyle w:val="8"/>
              <w:spacing w:before="25" w:line="219" w:lineRule="auto"/>
              <w:ind w:left="445"/>
            </w:pPr>
            <w:r>
              <w:rPr>
                <w:spacing w:val="-8"/>
              </w:rPr>
              <w:t>第四十六条</w:t>
            </w:r>
            <w:r>
              <w:rPr>
                <w:spacing w:val="81"/>
              </w:rPr>
              <w:t xml:space="preserve"> </w:t>
            </w:r>
            <w:r>
              <w:rPr>
                <w:spacing w:val="-8"/>
              </w:rPr>
              <w:t>通过道路运输危险化学品的，托运人应当委托依法取得危险货物道路运输许可的企业承运。</w:t>
            </w:r>
          </w:p>
          <w:p w14:paraId="6939D326">
            <w:pPr>
              <w:pStyle w:val="8"/>
              <w:spacing w:before="24" w:line="242" w:lineRule="auto"/>
              <w:ind w:left="102" w:right="46" w:firstLine="343"/>
            </w:pPr>
            <w:r>
              <w:rPr>
                <w:spacing w:val="-9"/>
              </w:rPr>
              <w:t>第八十七条第一款</w:t>
            </w:r>
            <w:r>
              <w:rPr>
                <w:spacing w:val="77"/>
              </w:rPr>
              <w:t xml:space="preserve"> </w:t>
            </w:r>
            <w:r>
              <w:rPr>
                <w:spacing w:val="-9"/>
              </w:rPr>
              <w:t>有下列情形之一的，由交通运输主管部门责令改正，处10万元以上20万元以下的罚款，</w:t>
            </w:r>
            <w:r>
              <w:t xml:space="preserve"> </w:t>
            </w:r>
            <w:r>
              <w:rPr>
                <w:spacing w:val="-7"/>
              </w:rPr>
              <w:t>有违法所得的，没收违法所得；拒不改正的，责令停产停</w:t>
            </w:r>
            <w:r>
              <w:rPr>
                <w:spacing w:val="-8"/>
              </w:rPr>
              <w:t>业整顿；构成犯罪的，依法追究刑事责任</w:t>
            </w:r>
            <w:r>
              <w:rPr>
                <w:spacing w:val="-22"/>
              </w:rPr>
              <w:t>：（</w:t>
            </w:r>
            <w:r>
              <w:rPr>
                <w:spacing w:val="-8"/>
              </w:rPr>
              <w:t>一）委</w:t>
            </w:r>
            <w:r>
              <w:t xml:space="preserve">  </w:t>
            </w:r>
            <w:r>
              <w:rPr>
                <w:spacing w:val="-7"/>
              </w:rPr>
              <w:t>托未依法取得危险货物道路运输许可、危险货物水路运输</w:t>
            </w:r>
            <w:r>
              <w:rPr>
                <w:spacing w:val="-8"/>
              </w:rPr>
              <w:t>许可的企业承运危险化学品的</w:t>
            </w:r>
            <w:r>
              <w:rPr>
                <w:spacing w:val="-22"/>
              </w:rPr>
              <w:t>；（</w:t>
            </w:r>
            <w:r>
              <w:rPr>
                <w:spacing w:val="-8"/>
              </w:rPr>
              <w:t>二）通过内河封闭</w:t>
            </w:r>
            <w:r>
              <w:t xml:space="preserve">  </w:t>
            </w:r>
            <w:r>
              <w:rPr>
                <w:spacing w:val="-7"/>
              </w:rPr>
              <w:t>水域运输剧毒化学品以及国家规定禁止通过内河运输的其</w:t>
            </w:r>
            <w:r>
              <w:rPr>
                <w:spacing w:val="-8"/>
              </w:rPr>
              <w:t>他危险化学品的</w:t>
            </w:r>
            <w:r>
              <w:rPr>
                <w:spacing w:val="-22"/>
              </w:rPr>
              <w:t>；（</w:t>
            </w:r>
            <w:r>
              <w:rPr>
                <w:spacing w:val="-8"/>
              </w:rPr>
              <w:t>三）通过内河运输国家规定禁止</w:t>
            </w:r>
            <w:r>
              <w:t xml:space="preserve">  </w:t>
            </w:r>
            <w:r>
              <w:rPr>
                <w:spacing w:val="-7"/>
              </w:rPr>
              <w:t>通过内河运输的剧毒化学品以及其他危险化学品的</w:t>
            </w:r>
            <w:r>
              <w:rPr>
                <w:spacing w:val="-22"/>
              </w:rPr>
              <w:t>；（</w:t>
            </w:r>
            <w:r>
              <w:rPr>
                <w:spacing w:val="-7"/>
              </w:rPr>
              <w:t>四）在</w:t>
            </w:r>
            <w:r>
              <w:rPr>
                <w:spacing w:val="-8"/>
              </w:rPr>
              <w:t>托运的普通货物中夹带危险化学品，或者将危险</w:t>
            </w:r>
            <w:r>
              <w:t xml:space="preserve">  </w:t>
            </w:r>
            <w:r>
              <w:rPr>
                <w:spacing w:val="-8"/>
              </w:rPr>
              <w:t>化学品谎报或者匿报为普通货物托运的。</w:t>
            </w:r>
          </w:p>
          <w:p w14:paraId="1526624B">
            <w:pPr>
              <w:pStyle w:val="8"/>
              <w:spacing w:before="26" w:line="219" w:lineRule="auto"/>
              <w:ind w:left="447"/>
            </w:pPr>
            <w:r>
              <w:rPr>
                <w:b/>
                <w:bCs/>
                <w:spacing w:val="-8"/>
              </w:rPr>
              <w:t>2.《道路危险货物运输管理规定》(交通运输部令2023年第13号)</w:t>
            </w:r>
          </w:p>
          <w:p w14:paraId="0AE247C1">
            <w:pPr>
              <w:pStyle w:val="8"/>
              <w:spacing w:before="28" w:line="239" w:lineRule="auto"/>
              <w:ind w:left="102" w:right="148" w:firstLine="343"/>
            </w:pPr>
            <w:r>
              <w:rPr>
                <w:spacing w:val="-8"/>
              </w:rPr>
              <w:t>第六十条</w:t>
            </w:r>
            <w:r>
              <w:rPr>
                <w:spacing w:val="81"/>
              </w:rPr>
              <w:t xml:space="preserve"> </w:t>
            </w:r>
            <w:r>
              <w:rPr>
                <w:spacing w:val="-8"/>
              </w:rPr>
              <w:t>违反本规定，道路危险化学品运输托运人有下列行为之一的，由交通运输主管部门责令改正，</w:t>
            </w:r>
            <w:r>
              <w:t xml:space="preserve"> </w:t>
            </w:r>
            <w:r>
              <w:rPr>
                <w:spacing w:val="-8"/>
              </w:rPr>
              <w:t>处10万元以上20万元以下的罚款，有违法所得的，没收违法所得；拒不改正的，责令停产停业整顿；构成犯罪</w:t>
            </w:r>
            <w:r>
              <w:rPr>
                <w:spacing w:val="17"/>
              </w:rPr>
              <w:t xml:space="preserve"> </w:t>
            </w:r>
            <w:r>
              <w:rPr>
                <w:spacing w:val="-7"/>
              </w:rPr>
              <w:t>的，依法追究刑事责任</w:t>
            </w:r>
            <w:r>
              <w:rPr>
                <w:spacing w:val="-20"/>
              </w:rPr>
              <w:t>：（</w:t>
            </w:r>
            <w:r>
              <w:rPr>
                <w:spacing w:val="-7"/>
              </w:rPr>
              <w:t>一）委托未依法取得危险货物道路运输许可的企业承运危险化学品的</w:t>
            </w:r>
            <w:r>
              <w:rPr>
                <w:spacing w:val="-20"/>
              </w:rPr>
              <w:t>；（</w:t>
            </w:r>
            <w:r>
              <w:rPr>
                <w:spacing w:val="-7"/>
              </w:rPr>
              <w:t>二）在托</w:t>
            </w:r>
            <w:r>
              <w:rPr>
                <w:spacing w:val="2"/>
              </w:rPr>
              <w:t xml:space="preserve"> </w:t>
            </w:r>
            <w:r>
              <w:rPr>
                <w:spacing w:val="-8"/>
              </w:rPr>
              <w:t>运的普通货物中夹带危险化学品，或者将危险化学品谎报或者匿报为普通货物托运的。</w:t>
            </w:r>
          </w:p>
          <w:p w14:paraId="3317C386">
            <w:pPr>
              <w:pStyle w:val="8"/>
              <w:spacing w:before="26" w:line="219" w:lineRule="auto"/>
              <w:ind w:left="449"/>
            </w:pPr>
            <w:r>
              <w:rPr>
                <w:b/>
                <w:bCs/>
                <w:spacing w:val="-8"/>
              </w:rPr>
              <w:t>3.《危险货物道路运输安全管理办法》(交通运输部令2019年第29号)</w:t>
            </w:r>
          </w:p>
          <w:p w14:paraId="223B191E">
            <w:pPr>
              <w:pStyle w:val="8"/>
              <w:spacing w:before="28" w:line="239" w:lineRule="auto"/>
              <w:ind w:left="102" w:right="150" w:firstLine="343"/>
              <w:jc w:val="both"/>
            </w:pPr>
            <w:r>
              <w:rPr>
                <w:spacing w:val="-8"/>
              </w:rPr>
              <w:t>第五十七条第一款</w:t>
            </w:r>
            <w:r>
              <w:rPr>
                <w:spacing w:val="82"/>
              </w:rPr>
              <w:t xml:space="preserve"> </w:t>
            </w:r>
            <w:r>
              <w:rPr>
                <w:spacing w:val="-8"/>
              </w:rPr>
              <w:t>交通运输主管部门对危险化学品托运人有下列情形之一的，应当责令改正，处10万元</w:t>
            </w:r>
            <w:r>
              <w:t xml:space="preserve"> </w:t>
            </w:r>
            <w:r>
              <w:rPr>
                <w:spacing w:val="-7"/>
              </w:rPr>
              <w:t>以上20万元以下的罚款，有违法所得的，没收违法所得；拒不改正的</w:t>
            </w:r>
            <w:r>
              <w:rPr>
                <w:spacing w:val="-8"/>
              </w:rPr>
              <w:t>，责令停产停业整顿</w:t>
            </w:r>
            <w:r>
              <w:rPr>
                <w:spacing w:val="-21"/>
              </w:rPr>
              <w:t>：（</w:t>
            </w:r>
            <w:r>
              <w:rPr>
                <w:spacing w:val="-8"/>
              </w:rPr>
              <w:t>一）违反本办法</w:t>
            </w:r>
            <w:r>
              <w:rPr>
                <w:spacing w:val="1"/>
              </w:rPr>
              <w:t xml:space="preserve"> </w:t>
            </w:r>
            <w:r>
              <w:rPr>
                <w:spacing w:val="-7"/>
              </w:rPr>
              <w:t>第九条，委托未依法取得危险货物道路运输资质的企业承</w:t>
            </w:r>
            <w:r>
              <w:rPr>
                <w:spacing w:val="-8"/>
              </w:rPr>
              <w:t>运危险化学品的</w:t>
            </w:r>
            <w:r>
              <w:rPr>
                <w:spacing w:val="-22"/>
              </w:rPr>
              <w:t>；（</w:t>
            </w:r>
            <w:r>
              <w:rPr>
                <w:spacing w:val="-8"/>
              </w:rPr>
              <w:t>二）违反本办法第十一条，在托</w:t>
            </w:r>
            <w:r>
              <w:rPr>
                <w:spacing w:val="1"/>
              </w:rPr>
              <w:t xml:space="preserve"> </w:t>
            </w:r>
            <w:r>
              <w:rPr>
                <w:spacing w:val="-8"/>
              </w:rPr>
              <w:t>运的普通货物中违规夹带危险化学品，或者将危险化学品匿报或者谎报为普通货物托运的。</w:t>
            </w:r>
          </w:p>
        </w:tc>
        <w:tc>
          <w:tcPr>
            <w:tcW w:w="1011" w:type="dxa"/>
            <w:vAlign w:val="top"/>
          </w:tcPr>
          <w:p w14:paraId="49D4523E">
            <w:pPr>
              <w:spacing w:line="244" w:lineRule="auto"/>
              <w:rPr>
                <w:rFonts w:ascii="Arial"/>
                <w:sz w:val="21"/>
              </w:rPr>
            </w:pPr>
          </w:p>
          <w:p w14:paraId="641B634E">
            <w:pPr>
              <w:spacing w:line="245" w:lineRule="auto"/>
              <w:rPr>
                <w:rFonts w:ascii="Arial"/>
                <w:sz w:val="21"/>
              </w:rPr>
            </w:pPr>
          </w:p>
          <w:p w14:paraId="6D46906E">
            <w:pPr>
              <w:spacing w:line="245" w:lineRule="auto"/>
              <w:rPr>
                <w:rFonts w:ascii="Arial"/>
                <w:sz w:val="21"/>
              </w:rPr>
            </w:pPr>
          </w:p>
          <w:p w14:paraId="3391AEA5">
            <w:pPr>
              <w:spacing w:line="245" w:lineRule="auto"/>
              <w:rPr>
                <w:rFonts w:ascii="Arial"/>
                <w:sz w:val="21"/>
              </w:rPr>
            </w:pPr>
          </w:p>
          <w:p w14:paraId="0649D85D">
            <w:pPr>
              <w:spacing w:line="245" w:lineRule="auto"/>
              <w:rPr>
                <w:rFonts w:ascii="Arial"/>
                <w:sz w:val="21"/>
              </w:rPr>
            </w:pPr>
          </w:p>
          <w:p w14:paraId="6AEB4F99">
            <w:pPr>
              <w:spacing w:line="245" w:lineRule="auto"/>
              <w:rPr>
                <w:rFonts w:ascii="Arial"/>
                <w:sz w:val="21"/>
              </w:rPr>
            </w:pPr>
          </w:p>
          <w:p w14:paraId="359A3692">
            <w:pPr>
              <w:spacing w:line="245" w:lineRule="auto"/>
              <w:rPr>
                <w:rFonts w:ascii="Arial"/>
                <w:sz w:val="21"/>
              </w:rPr>
            </w:pPr>
          </w:p>
          <w:p w14:paraId="507FF3DB">
            <w:pPr>
              <w:spacing w:line="245" w:lineRule="auto"/>
              <w:rPr>
                <w:rFonts w:ascii="Arial"/>
                <w:sz w:val="21"/>
              </w:rPr>
            </w:pPr>
          </w:p>
          <w:p w14:paraId="43CD27AA">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088A6E14">
            <w:pPr>
              <w:spacing w:line="244" w:lineRule="auto"/>
              <w:rPr>
                <w:rFonts w:ascii="Arial"/>
                <w:sz w:val="21"/>
              </w:rPr>
            </w:pPr>
          </w:p>
          <w:p w14:paraId="589B4C48">
            <w:pPr>
              <w:spacing w:line="245" w:lineRule="auto"/>
              <w:rPr>
                <w:rFonts w:ascii="Arial"/>
                <w:sz w:val="21"/>
              </w:rPr>
            </w:pPr>
          </w:p>
          <w:p w14:paraId="3DD8D87A">
            <w:pPr>
              <w:spacing w:line="245" w:lineRule="auto"/>
              <w:rPr>
                <w:rFonts w:ascii="Arial"/>
                <w:sz w:val="21"/>
              </w:rPr>
            </w:pPr>
          </w:p>
          <w:p w14:paraId="42CD3D63">
            <w:pPr>
              <w:spacing w:line="245" w:lineRule="auto"/>
              <w:rPr>
                <w:rFonts w:ascii="Arial"/>
                <w:sz w:val="21"/>
              </w:rPr>
            </w:pPr>
          </w:p>
          <w:p w14:paraId="73E60B80">
            <w:pPr>
              <w:spacing w:line="245" w:lineRule="auto"/>
              <w:rPr>
                <w:rFonts w:ascii="Arial"/>
                <w:sz w:val="21"/>
              </w:rPr>
            </w:pPr>
          </w:p>
          <w:p w14:paraId="2DDEA16F">
            <w:pPr>
              <w:spacing w:line="245" w:lineRule="auto"/>
              <w:rPr>
                <w:rFonts w:ascii="Arial"/>
                <w:sz w:val="21"/>
              </w:rPr>
            </w:pPr>
          </w:p>
          <w:p w14:paraId="1B8ECED7">
            <w:pPr>
              <w:spacing w:line="245" w:lineRule="auto"/>
              <w:rPr>
                <w:rFonts w:ascii="Arial"/>
                <w:sz w:val="21"/>
              </w:rPr>
            </w:pPr>
          </w:p>
          <w:p w14:paraId="653C3DA6">
            <w:pPr>
              <w:spacing w:line="245" w:lineRule="auto"/>
              <w:rPr>
                <w:rFonts w:ascii="Arial"/>
                <w:sz w:val="21"/>
              </w:rPr>
            </w:pPr>
          </w:p>
          <w:p w14:paraId="5755828C">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0F2BB1FD">
            <w:pPr>
              <w:spacing w:line="246" w:lineRule="auto"/>
              <w:rPr>
                <w:rFonts w:ascii="Arial"/>
                <w:sz w:val="21"/>
              </w:rPr>
            </w:pPr>
          </w:p>
          <w:p w14:paraId="4952DEE5">
            <w:pPr>
              <w:spacing w:line="246" w:lineRule="auto"/>
              <w:rPr>
                <w:rFonts w:ascii="Arial"/>
                <w:sz w:val="21"/>
              </w:rPr>
            </w:pPr>
          </w:p>
          <w:p w14:paraId="72CD227F">
            <w:pPr>
              <w:spacing w:line="246" w:lineRule="auto"/>
              <w:rPr>
                <w:rFonts w:ascii="Arial"/>
                <w:sz w:val="21"/>
              </w:rPr>
            </w:pPr>
          </w:p>
          <w:p w14:paraId="7D4CCA57">
            <w:pPr>
              <w:spacing w:line="246" w:lineRule="auto"/>
              <w:rPr>
                <w:rFonts w:ascii="Arial"/>
                <w:sz w:val="21"/>
              </w:rPr>
            </w:pPr>
          </w:p>
          <w:p w14:paraId="68113023">
            <w:pPr>
              <w:spacing w:line="246" w:lineRule="auto"/>
              <w:rPr>
                <w:rFonts w:ascii="Arial"/>
                <w:sz w:val="21"/>
              </w:rPr>
            </w:pPr>
          </w:p>
          <w:p w14:paraId="40AAE5AA">
            <w:pPr>
              <w:spacing w:line="246" w:lineRule="auto"/>
              <w:rPr>
                <w:rFonts w:ascii="Arial"/>
                <w:sz w:val="21"/>
              </w:rPr>
            </w:pPr>
          </w:p>
          <w:p w14:paraId="38B7EE8D">
            <w:pPr>
              <w:spacing w:line="246" w:lineRule="auto"/>
              <w:rPr>
                <w:rFonts w:ascii="Arial"/>
                <w:sz w:val="21"/>
              </w:rPr>
            </w:pPr>
          </w:p>
          <w:p w14:paraId="27F43CAA">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9563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1" w:hRule="atLeast"/>
        </w:trPr>
        <w:tc>
          <w:tcPr>
            <w:tcW w:w="629" w:type="dxa"/>
            <w:vAlign w:val="top"/>
          </w:tcPr>
          <w:p w14:paraId="2109C691">
            <w:pPr>
              <w:spacing w:line="358" w:lineRule="auto"/>
              <w:rPr>
                <w:rFonts w:ascii="Arial"/>
                <w:sz w:val="21"/>
              </w:rPr>
            </w:pPr>
          </w:p>
          <w:p w14:paraId="2F00005B">
            <w:pPr>
              <w:spacing w:line="358" w:lineRule="auto"/>
              <w:rPr>
                <w:rFonts w:ascii="Arial"/>
                <w:sz w:val="21"/>
              </w:rPr>
            </w:pPr>
          </w:p>
          <w:p w14:paraId="4442DBCD">
            <w:pPr>
              <w:pStyle w:val="8"/>
              <w:spacing w:before="59" w:line="183" w:lineRule="auto"/>
              <w:ind w:left="224"/>
              <w:rPr>
                <w:rFonts w:hint="eastAsia" w:eastAsia="宋体"/>
                <w:lang w:eastAsia="zh-CN"/>
              </w:rPr>
            </w:pPr>
            <w:r>
              <w:rPr>
                <w:spacing w:val="-5"/>
              </w:rPr>
              <w:t>3</w:t>
            </w:r>
            <w:r>
              <w:rPr>
                <w:rFonts w:hint="eastAsia"/>
                <w:spacing w:val="-5"/>
                <w:lang w:val="en-US" w:eastAsia="zh-CN"/>
              </w:rPr>
              <w:t>4</w:t>
            </w:r>
          </w:p>
        </w:tc>
        <w:tc>
          <w:tcPr>
            <w:tcW w:w="1101" w:type="dxa"/>
            <w:vAlign w:val="top"/>
          </w:tcPr>
          <w:p w14:paraId="63838797">
            <w:pPr>
              <w:spacing w:line="448" w:lineRule="auto"/>
              <w:rPr>
                <w:rFonts w:ascii="Arial"/>
                <w:sz w:val="21"/>
              </w:rPr>
            </w:pPr>
          </w:p>
          <w:p w14:paraId="705E6DA5">
            <w:pPr>
              <w:pStyle w:val="8"/>
              <w:spacing w:before="59"/>
              <w:ind w:left="18" w:right="20"/>
              <w:jc w:val="both"/>
            </w:pPr>
            <w:r>
              <w:rPr>
                <w:spacing w:val="-6"/>
              </w:rPr>
              <w:t>对违反规定运</w:t>
            </w:r>
            <w:r>
              <w:rPr>
                <w:spacing w:val="2"/>
              </w:rPr>
              <w:t xml:space="preserve"> </w:t>
            </w:r>
            <w:r>
              <w:rPr>
                <w:spacing w:val="-6"/>
              </w:rPr>
              <w:t>输麻醉药品和</w:t>
            </w:r>
            <w:r>
              <w:rPr>
                <w:spacing w:val="2"/>
              </w:rPr>
              <w:t xml:space="preserve"> </w:t>
            </w:r>
            <w:r>
              <w:rPr>
                <w:spacing w:val="-6"/>
              </w:rPr>
              <w:t>精神药品行为</w:t>
            </w:r>
            <w:r>
              <w:rPr>
                <w:spacing w:val="2"/>
              </w:rPr>
              <w:t xml:space="preserve"> </w:t>
            </w:r>
            <w:r>
              <w:rPr>
                <w:spacing w:val="-7"/>
              </w:rPr>
              <w:t>的行政处罚</w:t>
            </w:r>
          </w:p>
        </w:tc>
        <w:tc>
          <w:tcPr>
            <w:tcW w:w="1101" w:type="dxa"/>
            <w:vAlign w:val="top"/>
          </w:tcPr>
          <w:p w14:paraId="604539EB">
            <w:pPr>
              <w:spacing w:line="344" w:lineRule="auto"/>
              <w:rPr>
                <w:rFonts w:ascii="Arial"/>
                <w:sz w:val="21"/>
              </w:rPr>
            </w:pPr>
          </w:p>
          <w:p w14:paraId="17707C43">
            <w:pPr>
              <w:spacing w:line="344" w:lineRule="auto"/>
              <w:rPr>
                <w:rFonts w:ascii="Arial"/>
                <w:sz w:val="21"/>
              </w:rPr>
            </w:pPr>
          </w:p>
          <w:p w14:paraId="0A63A7F1">
            <w:pPr>
              <w:pStyle w:val="8"/>
              <w:spacing w:before="58" w:line="220" w:lineRule="auto"/>
              <w:ind w:left="25"/>
            </w:pPr>
            <w:r>
              <w:rPr>
                <w:spacing w:val="-7"/>
              </w:rPr>
              <w:t>行政处罚</w:t>
            </w:r>
          </w:p>
        </w:tc>
        <w:tc>
          <w:tcPr>
            <w:tcW w:w="8524" w:type="dxa"/>
            <w:vAlign w:val="top"/>
          </w:tcPr>
          <w:p w14:paraId="22C46841">
            <w:pPr>
              <w:pStyle w:val="8"/>
              <w:spacing w:before="150" w:line="219" w:lineRule="auto"/>
              <w:ind w:left="451"/>
            </w:pPr>
            <w:r>
              <w:rPr>
                <w:b/>
                <w:bCs/>
                <w:spacing w:val="-10"/>
              </w:rPr>
              <w:t>《麻醉药品和精神药品管理条例》</w:t>
            </w:r>
          </w:p>
          <w:p w14:paraId="78032CD3">
            <w:pPr>
              <w:pStyle w:val="8"/>
              <w:spacing w:before="25" w:line="233" w:lineRule="auto"/>
              <w:ind w:left="102" w:right="32" w:firstLine="343"/>
            </w:pPr>
            <w:r>
              <w:rPr>
                <w:spacing w:val="-8"/>
              </w:rPr>
              <w:t>第五十三条</w:t>
            </w:r>
            <w:r>
              <w:rPr>
                <w:spacing w:val="74"/>
              </w:rPr>
              <w:t xml:space="preserve"> </w:t>
            </w:r>
            <w:r>
              <w:rPr>
                <w:spacing w:val="-8"/>
              </w:rPr>
              <w:t>托运人办理麻醉药品和第一类精神药品运输手续，应当将运输证明副本交付承运人。承运人</w:t>
            </w:r>
            <w:r>
              <w:t xml:space="preserve">  </w:t>
            </w:r>
            <w:r>
              <w:rPr>
                <w:spacing w:val="-9"/>
              </w:rPr>
              <w:t>应当查验、收存运输证明副本，并检查货物包装。没有运输证明或者货物包装不符合规定的，承</w:t>
            </w:r>
            <w:r>
              <w:rPr>
                <w:spacing w:val="-10"/>
              </w:rPr>
              <w:t>运人不得承运。</w:t>
            </w:r>
          </w:p>
          <w:p w14:paraId="3048D0DD">
            <w:pPr>
              <w:pStyle w:val="8"/>
              <w:spacing w:before="26" w:line="219" w:lineRule="auto"/>
              <w:ind w:left="445"/>
            </w:pPr>
            <w:r>
              <w:rPr>
                <w:spacing w:val="-8"/>
              </w:rPr>
              <w:t>承运人在运输过程中应当携带运输证明副本，以备查验。</w:t>
            </w:r>
          </w:p>
          <w:p w14:paraId="4CBF7313">
            <w:pPr>
              <w:pStyle w:val="8"/>
              <w:spacing w:before="27" w:line="232" w:lineRule="auto"/>
              <w:ind w:left="103" w:right="157" w:firstLine="341"/>
            </w:pPr>
            <w:r>
              <w:rPr>
                <w:spacing w:val="-8"/>
              </w:rPr>
              <w:t>第七十四条第一款</w:t>
            </w:r>
            <w:r>
              <w:rPr>
                <w:spacing w:val="74"/>
              </w:rPr>
              <w:t xml:space="preserve"> </w:t>
            </w:r>
            <w:r>
              <w:rPr>
                <w:spacing w:val="-8"/>
              </w:rPr>
              <w:t>违反本条例的规定运输麻醉药品和精神药品的，由药品监督管理部门和运输管理部门</w:t>
            </w:r>
            <w:r>
              <w:t xml:space="preserve"> </w:t>
            </w:r>
            <w:r>
              <w:rPr>
                <w:spacing w:val="-8"/>
              </w:rPr>
              <w:t>依照各自职责，责令改正，给予警告，处2万元以上5万元以下罚款。</w:t>
            </w:r>
          </w:p>
        </w:tc>
        <w:tc>
          <w:tcPr>
            <w:tcW w:w="1011" w:type="dxa"/>
            <w:vAlign w:val="top"/>
          </w:tcPr>
          <w:p w14:paraId="5925A3D5">
            <w:pPr>
              <w:spacing w:line="284" w:lineRule="auto"/>
              <w:rPr>
                <w:rFonts w:ascii="Arial"/>
                <w:sz w:val="21"/>
              </w:rPr>
            </w:pPr>
          </w:p>
          <w:p w14:paraId="25396186">
            <w:pPr>
              <w:spacing w:line="284" w:lineRule="auto"/>
              <w:rPr>
                <w:rFonts w:ascii="Arial"/>
                <w:sz w:val="21"/>
              </w:rPr>
            </w:pPr>
          </w:p>
          <w:p w14:paraId="7B55C695">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4FD9E8B0">
            <w:pPr>
              <w:spacing w:line="284" w:lineRule="auto"/>
              <w:rPr>
                <w:rFonts w:ascii="Arial"/>
                <w:sz w:val="21"/>
              </w:rPr>
            </w:pPr>
          </w:p>
          <w:p w14:paraId="29A0FFE8">
            <w:pPr>
              <w:spacing w:line="285" w:lineRule="auto"/>
              <w:rPr>
                <w:rFonts w:ascii="Arial"/>
                <w:sz w:val="21"/>
              </w:rPr>
            </w:pPr>
          </w:p>
          <w:p w14:paraId="032FC716">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8995AB9">
            <w:pPr>
              <w:spacing w:line="331" w:lineRule="auto"/>
              <w:rPr>
                <w:rFonts w:ascii="Arial"/>
                <w:sz w:val="21"/>
              </w:rPr>
            </w:pPr>
          </w:p>
          <w:p w14:paraId="4EF7C37A">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1935D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6" w:hRule="atLeast"/>
        </w:trPr>
        <w:tc>
          <w:tcPr>
            <w:tcW w:w="629" w:type="dxa"/>
            <w:vAlign w:val="top"/>
          </w:tcPr>
          <w:p w14:paraId="35490941">
            <w:pPr>
              <w:spacing w:line="282" w:lineRule="auto"/>
              <w:rPr>
                <w:rFonts w:ascii="Arial"/>
                <w:sz w:val="21"/>
              </w:rPr>
            </w:pPr>
          </w:p>
          <w:p w14:paraId="362D4483">
            <w:pPr>
              <w:spacing w:line="282" w:lineRule="auto"/>
              <w:rPr>
                <w:rFonts w:ascii="Arial"/>
                <w:sz w:val="21"/>
              </w:rPr>
            </w:pPr>
          </w:p>
          <w:p w14:paraId="6C9B5CF7">
            <w:pPr>
              <w:spacing w:line="283" w:lineRule="auto"/>
              <w:rPr>
                <w:rFonts w:ascii="Arial"/>
                <w:sz w:val="21"/>
              </w:rPr>
            </w:pPr>
          </w:p>
          <w:p w14:paraId="5B034E8D">
            <w:pPr>
              <w:spacing w:line="283" w:lineRule="auto"/>
              <w:rPr>
                <w:rFonts w:ascii="Arial"/>
                <w:sz w:val="21"/>
              </w:rPr>
            </w:pPr>
          </w:p>
          <w:p w14:paraId="3ADA12F8">
            <w:pPr>
              <w:pStyle w:val="8"/>
              <w:spacing w:before="59" w:line="183" w:lineRule="auto"/>
              <w:ind w:left="224"/>
              <w:rPr>
                <w:rFonts w:hint="eastAsia" w:eastAsia="宋体"/>
                <w:lang w:eastAsia="zh-CN"/>
              </w:rPr>
            </w:pPr>
            <w:r>
              <w:rPr>
                <w:spacing w:val="-5"/>
              </w:rPr>
              <w:t>3</w:t>
            </w:r>
            <w:r>
              <w:rPr>
                <w:rFonts w:hint="eastAsia"/>
                <w:spacing w:val="-5"/>
                <w:lang w:val="en-US" w:eastAsia="zh-CN"/>
              </w:rPr>
              <w:t>5</w:t>
            </w:r>
          </w:p>
        </w:tc>
        <w:tc>
          <w:tcPr>
            <w:tcW w:w="1101" w:type="dxa"/>
            <w:vAlign w:val="top"/>
          </w:tcPr>
          <w:p w14:paraId="3FF4CFF9">
            <w:pPr>
              <w:spacing w:line="390" w:lineRule="auto"/>
              <w:rPr>
                <w:rFonts w:ascii="Arial"/>
                <w:sz w:val="21"/>
              </w:rPr>
            </w:pPr>
          </w:p>
          <w:p w14:paraId="593A9614">
            <w:pPr>
              <w:pStyle w:val="8"/>
              <w:spacing w:before="58" w:line="242" w:lineRule="auto"/>
              <w:ind w:left="18" w:right="20"/>
              <w:jc w:val="both"/>
            </w:pPr>
            <w:r>
              <w:rPr>
                <w:spacing w:val="-6"/>
              </w:rPr>
              <w:t>对城市公共交</w:t>
            </w:r>
            <w:r>
              <w:rPr>
                <w:spacing w:val="2"/>
              </w:rPr>
              <w:t xml:space="preserve"> </w:t>
            </w:r>
            <w:r>
              <w:rPr>
                <w:spacing w:val="-6"/>
              </w:rPr>
              <w:t>通企业以外的</w:t>
            </w:r>
            <w:r>
              <w:rPr>
                <w:spacing w:val="1"/>
              </w:rPr>
              <w:t xml:space="preserve"> </w:t>
            </w:r>
            <w:r>
              <w:rPr>
                <w:spacing w:val="-6"/>
              </w:rPr>
              <w:t>单位或者个人</w:t>
            </w:r>
            <w:r>
              <w:rPr>
                <w:spacing w:val="1"/>
              </w:rPr>
              <w:t xml:space="preserve"> </w:t>
            </w:r>
            <w:r>
              <w:rPr>
                <w:spacing w:val="-6"/>
              </w:rPr>
              <w:t>擅自从事城市</w:t>
            </w:r>
            <w:r>
              <w:rPr>
                <w:spacing w:val="1"/>
              </w:rPr>
              <w:t xml:space="preserve"> </w:t>
            </w:r>
            <w:r>
              <w:rPr>
                <w:spacing w:val="-6"/>
              </w:rPr>
              <w:t>公共交通线路</w:t>
            </w:r>
            <w:r>
              <w:rPr>
                <w:spacing w:val="1"/>
              </w:rPr>
              <w:t xml:space="preserve"> </w:t>
            </w:r>
            <w:r>
              <w:rPr>
                <w:spacing w:val="-6"/>
              </w:rPr>
              <w:t>运营等行为的</w:t>
            </w:r>
            <w:r>
              <w:rPr>
                <w:spacing w:val="1"/>
              </w:rPr>
              <w:t xml:space="preserve"> </w:t>
            </w:r>
            <w:r>
              <w:rPr>
                <w:spacing w:val="-6"/>
              </w:rPr>
              <w:t>行政处罚</w:t>
            </w:r>
          </w:p>
        </w:tc>
        <w:tc>
          <w:tcPr>
            <w:tcW w:w="1101" w:type="dxa"/>
            <w:vAlign w:val="top"/>
          </w:tcPr>
          <w:p w14:paraId="7B3C71C9">
            <w:pPr>
              <w:spacing w:line="275" w:lineRule="auto"/>
              <w:rPr>
                <w:rFonts w:ascii="Arial"/>
                <w:sz w:val="21"/>
              </w:rPr>
            </w:pPr>
          </w:p>
          <w:p w14:paraId="04BFE096">
            <w:pPr>
              <w:spacing w:line="275" w:lineRule="auto"/>
              <w:rPr>
                <w:rFonts w:ascii="Arial"/>
                <w:sz w:val="21"/>
              </w:rPr>
            </w:pPr>
          </w:p>
          <w:p w14:paraId="290D6E37">
            <w:pPr>
              <w:spacing w:line="276" w:lineRule="auto"/>
              <w:rPr>
                <w:rFonts w:ascii="Arial"/>
                <w:sz w:val="21"/>
              </w:rPr>
            </w:pPr>
          </w:p>
          <w:p w14:paraId="361337E0">
            <w:pPr>
              <w:spacing w:line="276" w:lineRule="auto"/>
              <w:rPr>
                <w:rFonts w:ascii="Arial"/>
                <w:sz w:val="21"/>
              </w:rPr>
            </w:pPr>
          </w:p>
          <w:p w14:paraId="3A2F73C0">
            <w:pPr>
              <w:pStyle w:val="8"/>
              <w:spacing w:before="59" w:line="220" w:lineRule="auto"/>
              <w:ind w:left="25"/>
            </w:pPr>
            <w:r>
              <w:rPr>
                <w:spacing w:val="-7"/>
              </w:rPr>
              <w:t>行政处罚</w:t>
            </w:r>
          </w:p>
        </w:tc>
        <w:tc>
          <w:tcPr>
            <w:tcW w:w="8524" w:type="dxa"/>
            <w:vAlign w:val="top"/>
          </w:tcPr>
          <w:p w14:paraId="12F9D137">
            <w:pPr>
              <w:pStyle w:val="8"/>
              <w:spacing w:before="208" w:line="219" w:lineRule="auto"/>
              <w:ind w:left="451"/>
            </w:pPr>
            <w:r>
              <w:rPr>
                <w:b/>
                <w:bCs/>
                <w:spacing w:val="-9"/>
              </w:rPr>
              <w:t>《城市公共交通条例》</w:t>
            </w:r>
          </w:p>
          <w:p w14:paraId="056C63AA">
            <w:pPr>
              <w:pStyle w:val="8"/>
              <w:spacing w:before="26" w:line="232" w:lineRule="auto"/>
              <w:ind w:left="103" w:right="150" w:firstLine="341"/>
            </w:pPr>
            <w:r>
              <w:rPr>
                <w:spacing w:val="-8"/>
              </w:rPr>
              <w:t>第十八条第一款、第三款</w:t>
            </w:r>
            <w:r>
              <w:rPr>
                <w:spacing w:val="81"/>
              </w:rPr>
              <w:t xml:space="preserve"> </w:t>
            </w:r>
            <w:r>
              <w:rPr>
                <w:spacing w:val="-8"/>
              </w:rPr>
              <w:t>城市人民政府城市公共交通主管部门应当通过与城市公共交通企业签订运营服</w:t>
            </w:r>
            <w:r>
              <w:t xml:space="preserve"> </w:t>
            </w:r>
            <w:r>
              <w:rPr>
                <w:spacing w:val="-8"/>
              </w:rPr>
              <w:t>务协议等方式，明确城市公共交通运营有关服务标准、规范、要求以及运营服务质量评价等事项。</w:t>
            </w:r>
          </w:p>
          <w:p w14:paraId="4A22273C">
            <w:pPr>
              <w:pStyle w:val="8"/>
              <w:spacing w:before="27" w:line="219" w:lineRule="auto"/>
              <w:ind w:left="445"/>
            </w:pPr>
            <w:r>
              <w:rPr>
                <w:spacing w:val="-8"/>
              </w:rPr>
              <w:t>城市公共交通企业不得将其运营的城市公共交通线路转让、出租或者变相转让、出租给他人运营。</w:t>
            </w:r>
          </w:p>
          <w:p w14:paraId="25CFAECC">
            <w:pPr>
              <w:pStyle w:val="8"/>
              <w:spacing w:before="27" w:line="237" w:lineRule="auto"/>
              <w:ind w:left="102" w:right="148" w:firstLine="343"/>
            </w:pPr>
            <w:r>
              <w:rPr>
                <w:spacing w:val="-8"/>
              </w:rPr>
              <w:t>第四十五条</w:t>
            </w:r>
            <w:r>
              <w:rPr>
                <w:spacing w:val="81"/>
              </w:rPr>
              <w:t xml:space="preserve"> </w:t>
            </w:r>
            <w:r>
              <w:rPr>
                <w:spacing w:val="-8"/>
              </w:rPr>
              <w:t>城市公共交通企业以外的单位或者个人擅自从事城市公共交通线路运营的，由城市人民政府</w:t>
            </w:r>
            <w:r>
              <w:t xml:space="preserve"> </w:t>
            </w:r>
            <w:r>
              <w:rPr>
                <w:spacing w:val="-8"/>
              </w:rPr>
              <w:t>城市公共交通主管部门责令停止运营，没收违法所得，并处违法所得1倍以上5倍以下的罚款；没有违法所得或</w:t>
            </w:r>
            <w:r>
              <w:rPr>
                <w:spacing w:val="9"/>
              </w:rPr>
              <w:t xml:space="preserve"> </w:t>
            </w:r>
            <w:r>
              <w:rPr>
                <w:spacing w:val="-7"/>
              </w:rPr>
              <w:t>者违法所得不足1万元的，处1万元以上5</w:t>
            </w:r>
            <w:r>
              <w:rPr>
                <w:spacing w:val="-8"/>
              </w:rPr>
              <w:t>万元以下的罚款。</w:t>
            </w:r>
          </w:p>
          <w:p w14:paraId="7FBC99B3">
            <w:pPr>
              <w:pStyle w:val="8"/>
              <w:spacing w:before="24" w:line="233" w:lineRule="auto"/>
              <w:ind w:left="119" w:right="150" w:firstLine="325"/>
            </w:pPr>
            <w:r>
              <w:rPr>
                <w:spacing w:val="-8"/>
              </w:rPr>
              <w:t>城市公共交通企业将其运营的城市公共交通线路转让、出租或者变相转让、出租给他人运营的，由城市</w:t>
            </w:r>
            <w:r>
              <w:rPr>
                <w:rFonts w:hint="eastAsia"/>
                <w:spacing w:val="-8"/>
                <w:lang w:eastAsia="zh-CN"/>
              </w:rPr>
              <w:t>人民政府</w:t>
            </w:r>
            <w:r>
              <w:rPr>
                <w:spacing w:val="-9"/>
              </w:rPr>
              <w:t>城市公共交通主管部门责令改正，并依照前款规定处罚。</w:t>
            </w:r>
          </w:p>
        </w:tc>
        <w:tc>
          <w:tcPr>
            <w:tcW w:w="1011" w:type="dxa"/>
            <w:vAlign w:val="top"/>
          </w:tcPr>
          <w:p w14:paraId="798A640C">
            <w:pPr>
              <w:spacing w:line="245" w:lineRule="auto"/>
              <w:rPr>
                <w:rFonts w:ascii="Arial"/>
                <w:sz w:val="21"/>
              </w:rPr>
            </w:pPr>
          </w:p>
          <w:p w14:paraId="1D96EDFD">
            <w:pPr>
              <w:spacing w:line="246" w:lineRule="auto"/>
              <w:rPr>
                <w:rFonts w:ascii="Arial"/>
                <w:sz w:val="21"/>
              </w:rPr>
            </w:pPr>
          </w:p>
          <w:p w14:paraId="1697DF4F">
            <w:pPr>
              <w:spacing w:line="246" w:lineRule="auto"/>
              <w:rPr>
                <w:rFonts w:ascii="Arial"/>
                <w:sz w:val="21"/>
              </w:rPr>
            </w:pPr>
          </w:p>
          <w:p w14:paraId="3991C9B7">
            <w:pPr>
              <w:spacing w:line="246" w:lineRule="auto"/>
              <w:rPr>
                <w:rFonts w:ascii="Arial"/>
                <w:sz w:val="21"/>
              </w:rPr>
            </w:pPr>
          </w:p>
          <w:p w14:paraId="6536C61B">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5DFEEBC7">
            <w:pPr>
              <w:spacing w:line="245" w:lineRule="auto"/>
              <w:rPr>
                <w:rFonts w:ascii="Arial"/>
                <w:sz w:val="21"/>
              </w:rPr>
            </w:pPr>
          </w:p>
          <w:p w14:paraId="25A0A8EC">
            <w:pPr>
              <w:spacing w:line="246" w:lineRule="auto"/>
              <w:rPr>
                <w:rFonts w:ascii="Arial"/>
                <w:sz w:val="21"/>
              </w:rPr>
            </w:pPr>
          </w:p>
          <w:p w14:paraId="4BF1BDCD">
            <w:pPr>
              <w:spacing w:line="246" w:lineRule="auto"/>
              <w:rPr>
                <w:rFonts w:ascii="Arial"/>
                <w:sz w:val="21"/>
              </w:rPr>
            </w:pPr>
          </w:p>
          <w:p w14:paraId="70374150">
            <w:pPr>
              <w:spacing w:line="246" w:lineRule="auto"/>
              <w:rPr>
                <w:rFonts w:ascii="Arial"/>
                <w:sz w:val="21"/>
              </w:rPr>
            </w:pPr>
          </w:p>
          <w:p w14:paraId="3FF16CE5">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4DDB6BB">
            <w:pPr>
              <w:spacing w:line="248" w:lineRule="auto"/>
              <w:rPr>
                <w:rFonts w:ascii="Arial"/>
                <w:sz w:val="21"/>
              </w:rPr>
            </w:pPr>
          </w:p>
          <w:p w14:paraId="310B7D6F">
            <w:pPr>
              <w:spacing w:line="249" w:lineRule="auto"/>
              <w:rPr>
                <w:rFonts w:ascii="Arial"/>
                <w:sz w:val="21"/>
              </w:rPr>
            </w:pPr>
          </w:p>
          <w:p w14:paraId="5F6B507C">
            <w:pPr>
              <w:spacing w:line="249" w:lineRule="auto"/>
              <w:rPr>
                <w:rFonts w:ascii="Arial"/>
                <w:sz w:val="21"/>
              </w:rPr>
            </w:pPr>
          </w:p>
          <w:p w14:paraId="536B77D7">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4DAF69BD">
      <w:pPr>
        <w:pStyle w:val="2"/>
      </w:pPr>
    </w:p>
    <w:p w14:paraId="3A031185">
      <w:pPr>
        <w:sectPr>
          <w:footerReference r:id="rId42" w:type="default"/>
          <w:pgSz w:w="16839" w:h="11906"/>
          <w:pgMar w:top="1012" w:right="1016" w:bottom="966" w:left="1016" w:header="0" w:footer="768" w:gutter="0"/>
          <w:cols w:space="720" w:num="1"/>
        </w:sectPr>
      </w:pPr>
    </w:p>
    <w:p w14:paraId="48B5504C">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5E6A2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4833EF80">
            <w:pPr>
              <w:pStyle w:val="8"/>
              <w:spacing w:before="273" w:line="221" w:lineRule="auto"/>
              <w:ind w:left="129"/>
            </w:pPr>
            <w:r>
              <w:rPr>
                <w:b/>
                <w:bCs/>
                <w:spacing w:val="-4"/>
              </w:rPr>
              <w:t>序号</w:t>
            </w:r>
          </w:p>
        </w:tc>
        <w:tc>
          <w:tcPr>
            <w:tcW w:w="1101" w:type="dxa"/>
            <w:vMerge w:val="restart"/>
            <w:tcBorders>
              <w:bottom w:val="nil"/>
            </w:tcBorders>
            <w:vAlign w:val="top"/>
          </w:tcPr>
          <w:p w14:paraId="41C077B1">
            <w:pPr>
              <w:pStyle w:val="8"/>
              <w:spacing w:before="274" w:line="220" w:lineRule="auto"/>
              <w:ind w:left="182"/>
            </w:pPr>
            <w:r>
              <w:rPr>
                <w:b/>
                <w:bCs/>
                <w:spacing w:val="-4"/>
              </w:rPr>
              <w:t>事项名称</w:t>
            </w:r>
          </w:p>
        </w:tc>
        <w:tc>
          <w:tcPr>
            <w:tcW w:w="1101" w:type="dxa"/>
            <w:vMerge w:val="restart"/>
            <w:tcBorders>
              <w:bottom w:val="nil"/>
            </w:tcBorders>
            <w:vAlign w:val="top"/>
          </w:tcPr>
          <w:p w14:paraId="59811A9D">
            <w:pPr>
              <w:pStyle w:val="8"/>
              <w:spacing w:before="274" w:line="219" w:lineRule="auto"/>
              <w:ind w:left="183"/>
            </w:pPr>
            <w:r>
              <w:rPr>
                <w:b/>
                <w:bCs/>
                <w:spacing w:val="-4"/>
              </w:rPr>
              <w:t>职权类型</w:t>
            </w:r>
          </w:p>
        </w:tc>
        <w:tc>
          <w:tcPr>
            <w:tcW w:w="8524" w:type="dxa"/>
            <w:vMerge w:val="restart"/>
            <w:tcBorders>
              <w:bottom w:val="nil"/>
            </w:tcBorders>
            <w:vAlign w:val="top"/>
          </w:tcPr>
          <w:p w14:paraId="2860D5BB">
            <w:pPr>
              <w:pStyle w:val="8"/>
              <w:spacing w:before="273" w:line="219" w:lineRule="auto"/>
              <w:ind w:left="4083"/>
            </w:pPr>
            <w:r>
              <w:rPr>
                <w:b/>
                <w:bCs/>
                <w:spacing w:val="-5"/>
              </w:rPr>
              <w:t>实施依据</w:t>
            </w:r>
          </w:p>
        </w:tc>
        <w:tc>
          <w:tcPr>
            <w:tcW w:w="3435" w:type="dxa"/>
            <w:gridSpan w:val="3"/>
            <w:vAlign w:val="top"/>
          </w:tcPr>
          <w:p w14:paraId="46ACFD41">
            <w:pPr>
              <w:pStyle w:val="8"/>
              <w:spacing w:before="94" w:line="220" w:lineRule="auto"/>
              <w:ind w:left="1360"/>
            </w:pPr>
            <w:r>
              <w:rPr>
                <w:b/>
                <w:bCs/>
                <w:spacing w:val="-5"/>
              </w:rPr>
              <w:t>实施主体</w:t>
            </w:r>
          </w:p>
        </w:tc>
      </w:tr>
      <w:tr w14:paraId="42301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158046A6">
            <w:pPr>
              <w:rPr>
                <w:rFonts w:ascii="Arial"/>
                <w:sz w:val="21"/>
              </w:rPr>
            </w:pPr>
          </w:p>
        </w:tc>
        <w:tc>
          <w:tcPr>
            <w:tcW w:w="1101" w:type="dxa"/>
            <w:vMerge w:val="continue"/>
            <w:tcBorders>
              <w:top w:val="nil"/>
            </w:tcBorders>
            <w:vAlign w:val="top"/>
          </w:tcPr>
          <w:p w14:paraId="39A32867">
            <w:pPr>
              <w:rPr>
                <w:rFonts w:ascii="Arial"/>
                <w:sz w:val="21"/>
              </w:rPr>
            </w:pPr>
          </w:p>
        </w:tc>
        <w:tc>
          <w:tcPr>
            <w:tcW w:w="1101" w:type="dxa"/>
            <w:vMerge w:val="continue"/>
            <w:tcBorders>
              <w:top w:val="nil"/>
            </w:tcBorders>
            <w:vAlign w:val="top"/>
          </w:tcPr>
          <w:p w14:paraId="31FC52FE">
            <w:pPr>
              <w:rPr>
                <w:rFonts w:ascii="Arial"/>
                <w:sz w:val="21"/>
              </w:rPr>
            </w:pPr>
          </w:p>
        </w:tc>
        <w:tc>
          <w:tcPr>
            <w:tcW w:w="8524" w:type="dxa"/>
            <w:vMerge w:val="continue"/>
            <w:tcBorders>
              <w:top w:val="nil"/>
            </w:tcBorders>
            <w:vAlign w:val="top"/>
          </w:tcPr>
          <w:p w14:paraId="4C981551">
            <w:pPr>
              <w:rPr>
                <w:rFonts w:ascii="Arial"/>
                <w:sz w:val="21"/>
              </w:rPr>
            </w:pPr>
          </w:p>
        </w:tc>
        <w:tc>
          <w:tcPr>
            <w:tcW w:w="1011" w:type="dxa"/>
            <w:vAlign w:val="top"/>
          </w:tcPr>
          <w:p w14:paraId="3C92555F">
            <w:pPr>
              <w:pStyle w:val="8"/>
              <w:spacing w:before="85" w:line="219" w:lineRule="auto"/>
              <w:ind w:left="154"/>
            </w:pPr>
            <w:r>
              <w:rPr>
                <w:b/>
                <w:bCs/>
                <w:spacing w:val="-5"/>
              </w:rPr>
              <w:t>责任部门</w:t>
            </w:r>
          </w:p>
        </w:tc>
        <w:tc>
          <w:tcPr>
            <w:tcW w:w="1404" w:type="dxa"/>
            <w:vAlign w:val="top"/>
          </w:tcPr>
          <w:p w14:paraId="3B34AF90">
            <w:pPr>
              <w:pStyle w:val="8"/>
              <w:spacing w:before="85" w:line="219" w:lineRule="auto"/>
              <w:ind w:left="164"/>
            </w:pPr>
            <w:r>
              <w:rPr>
                <w:b/>
                <w:bCs/>
                <w:spacing w:val="-3"/>
              </w:rPr>
              <w:t>第一责任层级</w:t>
            </w:r>
          </w:p>
        </w:tc>
        <w:tc>
          <w:tcPr>
            <w:tcW w:w="1020" w:type="dxa"/>
            <w:vAlign w:val="top"/>
          </w:tcPr>
          <w:p w14:paraId="161B1B72">
            <w:pPr>
              <w:pStyle w:val="8"/>
              <w:spacing w:before="84" w:line="219" w:lineRule="auto"/>
              <w:ind w:left="114"/>
            </w:pPr>
            <w:r>
              <w:rPr>
                <w:b/>
                <w:bCs/>
                <w:spacing w:val="-4"/>
              </w:rPr>
              <w:t>承办机构</w:t>
            </w:r>
          </w:p>
        </w:tc>
      </w:tr>
      <w:tr w14:paraId="409BE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1" w:hRule="atLeast"/>
        </w:trPr>
        <w:tc>
          <w:tcPr>
            <w:tcW w:w="629" w:type="dxa"/>
            <w:vAlign w:val="top"/>
          </w:tcPr>
          <w:p w14:paraId="0D59FEA7">
            <w:pPr>
              <w:spacing w:line="245" w:lineRule="auto"/>
              <w:rPr>
                <w:rFonts w:ascii="Arial"/>
                <w:sz w:val="21"/>
              </w:rPr>
            </w:pPr>
          </w:p>
          <w:p w14:paraId="2C10CD31">
            <w:pPr>
              <w:spacing w:line="245" w:lineRule="auto"/>
              <w:rPr>
                <w:rFonts w:ascii="Arial"/>
                <w:sz w:val="21"/>
              </w:rPr>
            </w:pPr>
          </w:p>
          <w:p w14:paraId="492EFB20">
            <w:pPr>
              <w:spacing w:line="245" w:lineRule="auto"/>
              <w:rPr>
                <w:rFonts w:ascii="Arial"/>
                <w:sz w:val="21"/>
              </w:rPr>
            </w:pPr>
          </w:p>
          <w:p w14:paraId="791F1568">
            <w:pPr>
              <w:spacing w:line="245" w:lineRule="auto"/>
              <w:rPr>
                <w:rFonts w:ascii="Arial"/>
                <w:sz w:val="21"/>
              </w:rPr>
            </w:pPr>
          </w:p>
          <w:p w14:paraId="7EDDDEBF">
            <w:pPr>
              <w:spacing w:line="246" w:lineRule="auto"/>
              <w:rPr>
                <w:rFonts w:ascii="Arial"/>
                <w:sz w:val="21"/>
              </w:rPr>
            </w:pPr>
          </w:p>
          <w:p w14:paraId="03BDAC24">
            <w:pPr>
              <w:pStyle w:val="8"/>
              <w:spacing w:before="59" w:line="183" w:lineRule="auto"/>
              <w:ind w:left="224"/>
              <w:rPr>
                <w:rFonts w:hint="eastAsia" w:eastAsia="宋体"/>
                <w:lang w:eastAsia="zh-CN"/>
              </w:rPr>
            </w:pPr>
            <w:r>
              <w:rPr>
                <w:spacing w:val="-5"/>
              </w:rPr>
              <w:t>3</w:t>
            </w:r>
            <w:r>
              <w:rPr>
                <w:rFonts w:hint="eastAsia"/>
                <w:spacing w:val="-5"/>
                <w:lang w:val="en-US" w:eastAsia="zh-CN"/>
              </w:rPr>
              <w:t>6</w:t>
            </w:r>
          </w:p>
        </w:tc>
        <w:tc>
          <w:tcPr>
            <w:tcW w:w="1101" w:type="dxa"/>
            <w:vAlign w:val="top"/>
          </w:tcPr>
          <w:p w14:paraId="7B0012AD">
            <w:pPr>
              <w:spacing w:line="243" w:lineRule="auto"/>
              <w:rPr>
                <w:rFonts w:ascii="Arial"/>
                <w:sz w:val="21"/>
              </w:rPr>
            </w:pPr>
          </w:p>
          <w:p w14:paraId="4AE13A5E">
            <w:pPr>
              <w:spacing w:line="243" w:lineRule="auto"/>
              <w:rPr>
                <w:rFonts w:ascii="Arial"/>
                <w:sz w:val="21"/>
              </w:rPr>
            </w:pPr>
          </w:p>
          <w:p w14:paraId="0EE6059F">
            <w:pPr>
              <w:pStyle w:val="8"/>
              <w:spacing w:before="58" w:line="242" w:lineRule="auto"/>
              <w:ind w:left="18" w:right="20"/>
            </w:pPr>
            <w:r>
              <w:rPr>
                <w:spacing w:val="-6"/>
              </w:rPr>
              <w:t>对城市公共交</w:t>
            </w:r>
            <w:r>
              <w:rPr>
                <w:spacing w:val="2"/>
              </w:rPr>
              <w:t xml:space="preserve"> </w:t>
            </w:r>
            <w:r>
              <w:rPr>
                <w:spacing w:val="-6"/>
              </w:rPr>
              <w:t>通企业未遵守</w:t>
            </w:r>
            <w:r>
              <w:rPr>
                <w:spacing w:val="1"/>
              </w:rPr>
              <w:t xml:space="preserve"> </w:t>
            </w:r>
            <w:r>
              <w:rPr>
                <w:spacing w:val="-6"/>
              </w:rPr>
              <w:t>城市公共交通</w:t>
            </w:r>
            <w:r>
              <w:rPr>
                <w:spacing w:val="1"/>
              </w:rPr>
              <w:t xml:space="preserve"> </w:t>
            </w:r>
            <w:r>
              <w:rPr>
                <w:spacing w:val="-6"/>
              </w:rPr>
              <w:t>运营有关服务</w:t>
            </w:r>
            <w:r>
              <w:rPr>
                <w:spacing w:val="1"/>
              </w:rPr>
              <w:t xml:space="preserve"> </w:t>
            </w:r>
            <w:r>
              <w:rPr>
                <w:spacing w:val="-7"/>
              </w:rPr>
              <w:t>标准、规范、</w:t>
            </w:r>
            <w:r>
              <w:rPr>
                <w:spacing w:val="2"/>
              </w:rPr>
              <w:t xml:space="preserve"> </w:t>
            </w:r>
            <w:r>
              <w:rPr>
                <w:spacing w:val="-6"/>
              </w:rPr>
              <w:t>要求等行为的</w:t>
            </w:r>
            <w:r>
              <w:rPr>
                <w:spacing w:val="1"/>
              </w:rPr>
              <w:t xml:space="preserve"> </w:t>
            </w:r>
            <w:r>
              <w:rPr>
                <w:spacing w:val="-6"/>
              </w:rPr>
              <w:t>行政处罚</w:t>
            </w:r>
          </w:p>
        </w:tc>
        <w:tc>
          <w:tcPr>
            <w:tcW w:w="1101" w:type="dxa"/>
            <w:vAlign w:val="top"/>
          </w:tcPr>
          <w:p w14:paraId="1D40ADA3">
            <w:pPr>
              <w:spacing w:line="299" w:lineRule="auto"/>
              <w:rPr>
                <w:rFonts w:ascii="Arial"/>
                <w:sz w:val="21"/>
              </w:rPr>
            </w:pPr>
          </w:p>
          <w:p w14:paraId="68F1244E">
            <w:pPr>
              <w:spacing w:line="299" w:lineRule="auto"/>
              <w:rPr>
                <w:rFonts w:ascii="Arial"/>
                <w:sz w:val="21"/>
              </w:rPr>
            </w:pPr>
          </w:p>
          <w:p w14:paraId="54A663DA">
            <w:pPr>
              <w:spacing w:line="300" w:lineRule="auto"/>
              <w:rPr>
                <w:rFonts w:ascii="Arial"/>
                <w:sz w:val="21"/>
              </w:rPr>
            </w:pPr>
          </w:p>
          <w:p w14:paraId="7EEC51F5">
            <w:pPr>
              <w:spacing w:line="300" w:lineRule="auto"/>
              <w:rPr>
                <w:rFonts w:ascii="Arial"/>
                <w:sz w:val="21"/>
              </w:rPr>
            </w:pPr>
          </w:p>
          <w:p w14:paraId="19C09B6F">
            <w:pPr>
              <w:pStyle w:val="8"/>
              <w:spacing w:before="59" w:line="220" w:lineRule="auto"/>
              <w:ind w:left="25"/>
            </w:pPr>
            <w:r>
              <w:rPr>
                <w:spacing w:val="-7"/>
              </w:rPr>
              <w:t>行政处罚</w:t>
            </w:r>
          </w:p>
        </w:tc>
        <w:tc>
          <w:tcPr>
            <w:tcW w:w="8524" w:type="dxa"/>
            <w:vAlign w:val="top"/>
          </w:tcPr>
          <w:p w14:paraId="4277BC88">
            <w:pPr>
              <w:pStyle w:val="8"/>
              <w:spacing w:before="50" w:line="219" w:lineRule="auto"/>
              <w:ind w:left="451"/>
            </w:pPr>
            <w:r>
              <w:rPr>
                <w:b/>
                <w:bCs/>
                <w:spacing w:val="-9"/>
              </w:rPr>
              <w:t>《城市公共交通条例》</w:t>
            </w:r>
          </w:p>
          <w:p w14:paraId="4B3F0935">
            <w:pPr>
              <w:pStyle w:val="8"/>
              <w:spacing w:before="4" w:line="223" w:lineRule="auto"/>
              <w:ind w:left="124" w:right="157" w:firstLine="321"/>
            </w:pPr>
            <w:r>
              <w:rPr>
                <w:spacing w:val="-8"/>
              </w:rPr>
              <w:t>第十八条第二款</w:t>
            </w:r>
            <w:r>
              <w:rPr>
                <w:spacing w:val="74"/>
              </w:rPr>
              <w:t xml:space="preserve"> </w:t>
            </w:r>
            <w:r>
              <w:rPr>
                <w:spacing w:val="-8"/>
              </w:rPr>
              <w:t>城市公共交通企业应当遵守城市公共交通运营有关服务标准、规范、要求等，加强企业</w:t>
            </w:r>
            <w:r>
              <w:t xml:space="preserve"> </w:t>
            </w:r>
            <w:r>
              <w:rPr>
                <w:spacing w:val="-9"/>
              </w:rPr>
              <w:t>内部管理，不断提高运营服务质量和效率。</w:t>
            </w:r>
          </w:p>
          <w:p w14:paraId="176456E9">
            <w:pPr>
              <w:pStyle w:val="8"/>
              <w:spacing w:before="6" w:line="222" w:lineRule="auto"/>
              <w:ind w:left="102" w:right="145" w:firstLine="343"/>
            </w:pPr>
            <w:r>
              <w:rPr>
                <w:spacing w:val="-8"/>
              </w:rPr>
              <w:t>第十九条  城市公共交通企业应当按照运营服务协议或者城市人民政府城市公共交通主管部门的要求配备</w:t>
            </w:r>
            <w:r>
              <w:rPr>
                <w:spacing w:val="12"/>
              </w:rPr>
              <w:t xml:space="preserve"> </w:t>
            </w:r>
            <w:r>
              <w:rPr>
                <w:spacing w:val="-8"/>
              </w:rPr>
              <w:t>城市公共交通车辆，并按照规定设置车辆运营服务标识。</w:t>
            </w:r>
          </w:p>
          <w:p w14:paraId="3704B6F7">
            <w:pPr>
              <w:pStyle w:val="8"/>
              <w:spacing w:before="7" w:line="223" w:lineRule="auto"/>
              <w:ind w:left="105" w:right="150" w:firstLine="340"/>
            </w:pPr>
            <w:r>
              <w:rPr>
                <w:spacing w:val="-8"/>
              </w:rPr>
              <w:t>第二十条</w:t>
            </w:r>
            <w:r>
              <w:rPr>
                <w:spacing w:val="81"/>
              </w:rPr>
              <w:t xml:space="preserve"> </w:t>
            </w:r>
            <w:r>
              <w:rPr>
                <w:spacing w:val="-8"/>
              </w:rPr>
              <w:t>城市公共交通企业应当通过便于公众知晓的方式，及时公开运营线路、停靠站点、运营时间、</w:t>
            </w:r>
            <w:r>
              <w:t xml:space="preserve"> </w:t>
            </w:r>
            <w:r>
              <w:rPr>
                <w:spacing w:val="-8"/>
              </w:rPr>
              <w:t>发车间隔、票价等信息。鼓励城市公共交通企业通过电子站牌、出行信息服务系统等信息化手段为公</w:t>
            </w:r>
            <w:r>
              <w:rPr>
                <w:spacing w:val="-9"/>
              </w:rPr>
              <w:t>众提供信</w:t>
            </w:r>
            <w:r>
              <w:t xml:space="preserve"> </w:t>
            </w:r>
            <w:r>
              <w:rPr>
                <w:spacing w:val="-7"/>
              </w:rPr>
              <w:t>息查询服务。</w:t>
            </w:r>
          </w:p>
          <w:p w14:paraId="1E980187">
            <w:pPr>
              <w:pStyle w:val="8"/>
              <w:spacing w:before="5" w:line="224" w:lineRule="auto"/>
              <w:ind w:left="105" w:right="18" w:firstLine="340"/>
              <w:jc w:val="both"/>
            </w:pPr>
            <w:r>
              <w:rPr>
                <w:spacing w:val="-8"/>
              </w:rPr>
              <w:t>第四十六条</w:t>
            </w:r>
            <w:r>
              <w:rPr>
                <w:spacing w:val="81"/>
              </w:rPr>
              <w:t xml:space="preserve"> </w:t>
            </w:r>
            <w:r>
              <w:rPr>
                <w:spacing w:val="-8"/>
              </w:rPr>
              <w:t>城市公共交通企业有下列行为之一的，由城市人民政府城市公共交通主管部门责令改正；拒</w:t>
            </w:r>
            <w:r>
              <w:t xml:space="preserve">  </w:t>
            </w:r>
            <w:r>
              <w:rPr>
                <w:spacing w:val="-7"/>
              </w:rPr>
              <w:t>不改正的，处1万元以上5万元以下的罚款</w:t>
            </w:r>
            <w:r>
              <w:rPr>
                <w:spacing w:val="-25"/>
              </w:rPr>
              <w:t>：（</w:t>
            </w:r>
            <w:r>
              <w:rPr>
                <w:spacing w:val="-7"/>
              </w:rPr>
              <w:t>一）未遵守城市公共交</w:t>
            </w:r>
            <w:r>
              <w:rPr>
                <w:spacing w:val="-8"/>
              </w:rPr>
              <w:t>通运营有关服务标准、规范、要求</w:t>
            </w:r>
            <w:r>
              <w:rPr>
                <w:spacing w:val="-25"/>
              </w:rPr>
              <w:t>；（</w:t>
            </w:r>
            <w:r>
              <w:rPr>
                <w:spacing w:val="-8"/>
              </w:rPr>
              <w:t>二）</w:t>
            </w:r>
            <w:r>
              <w:rPr>
                <w:spacing w:val="3"/>
              </w:rPr>
              <w:t xml:space="preserve"> </w:t>
            </w:r>
            <w:r>
              <w:rPr>
                <w:spacing w:val="-8"/>
              </w:rPr>
              <w:t>未按照规定配备城市公共交通车辆或者设置车辆运营服务标识</w:t>
            </w:r>
            <w:r>
              <w:rPr>
                <w:spacing w:val="-25"/>
              </w:rPr>
              <w:t>；（</w:t>
            </w:r>
            <w:r>
              <w:rPr>
                <w:spacing w:val="-8"/>
              </w:rPr>
              <w:t>三）未公开运营线路、</w:t>
            </w:r>
            <w:r>
              <w:rPr>
                <w:spacing w:val="-9"/>
              </w:rPr>
              <w:t>停靠站点、运营时间、</w:t>
            </w:r>
            <w:r>
              <w:t xml:space="preserve"> </w:t>
            </w:r>
            <w:r>
              <w:rPr>
                <w:spacing w:val="-8"/>
              </w:rPr>
              <w:t>发车间隔、票价等信息。</w:t>
            </w:r>
          </w:p>
        </w:tc>
        <w:tc>
          <w:tcPr>
            <w:tcW w:w="1011" w:type="dxa"/>
            <w:vAlign w:val="top"/>
          </w:tcPr>
          <w:p w14:paraId="15A054F0">
            <w:pPr>
              <w:spacing w:line="269" w:lineRule="auto"/>
              <w:rPr>
                <w:rFonts w:ascii="Arial"/>
                <w:sz w:val="21"/>
              </w:rPr>
            </w:pPr>
          </w:p>
          <w:p w14:paraId="0219D7F5">
            <w:pPr>
              <w:spacing w:line="270" w:lineRule="auto"/>
              <w:rPr>
                <w:rFonts w:ascii="Arial"/>
                <w:sz w:val="21"/>
              </w:rPr>
            </w:pPr>
          </w:p>
          <w:p w14:paraId="1DECD523">
            <w:pPr>
              <w:spacing w:line="270" w:lineRule="auto"/>
              <w:rPr>
                <w:rFonts w:ascii="Arial"/>
                <w:sz w:val="21"/>
              </w:rPr>
            </w:pPr>
          </w:p>
          <w:p w14:paraId="0E72B546">
            <w:pPr>
              <w:spacing w:line="270" w:lineRule="auto"/>
              <w:rPr>
                <w:rFonts w:ascii="Arial"/>
                <w:sz w:val="21"/>
              </w:rPr>
            </w:pPr>
          </w:p>
          <w:p w14:paraId="27823B9D">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6CB07642">
            <w:pPr>
              <w:spacing w:line="269" w:lineRule="auto"/>
              <w:rPr>
                <w:rFonts w:ascii="Arial"/>
                <w:sz w:val="21"/>
              </w:rPr>
            </w:pPr>
          </w:p>
          <w:p w14:paraId="7221A8E0">
            <w:pPr>
              <w:spacing w:line="270" w:lineRule="auto"/>
              <w:rPr>
                <w:rFonts w:ascii="Arial"/>
                <w:sz w:val="21"/>
              </w:rPr>
            </w:pPr>
          </w:p>
          <w:p w14:paraId="2990F81D">
            <w:pPr>
              <w:spacing w:line="270" w:lineRule="auto"/>
              <w:rPr>
                <w:rFonts w:ascii="Arial"/>
                <w:sz w:val="21"/>
              </w:rPr>
            </w:pPr>
          </w:p>
          <w:p w14:paraId="1F1CAEFB">
            <w:pPr>
              <w:spacing w:line="270" w:lineRule="auto"/>
              <w:rPr>
                <w:rFonts w:ascii="Arial"/>
                <w:sz w:val="21"/>
              </w:rPr>
            </w:pPr>
          </w:p>
          <w:p w14:paraId="10331079">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6F2E69A">
            <w:pPr>
              <w:spacing w:line="280" w:lineRule="auto"/>
              <w:rPr>
                <w:rFonts w:ascii="Arial"/>
                <w:sz w:val="21"/>
              </w:rPr>
            </w:pPr>
          </w:p>
          <w:p w14:paraId="781AA099">
            <w:pPr>
              <w:spacing w:line="281" w:lineRule="auto"/>
              <w:rPr>
                <w:rFonts w:ascii="Arial"/>
                <w:sz w:val="21"/>
              </w:rPr>
            </w:pPr>
          </w:p>
          <w:p w14:paraId="18EFA7FD">
            <w:pPr>
              <w:spacing w:line="281" w:lineRule="auto"/>
              <w:rPr>
                <w:rFonts w:ascii="Arial"/>
                <w:sz w:val="21"/>
              </w:rPr>
            </w:pPr>
          </w:p>
          <w:p w14:paraId="1B067712">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5D91F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7" w:hRule="atLeast"/>
        </w:trPr>
        <w:tc>
          <w:tcPr>
            <w:tcW w:w="629" w:type="dxa"/>
            <w:vAlign w:val="top"/>
          </w:tcPr>
          <w:p w14:paraId="55A9451B">
            <w:pPr>
              <w:spacing w:line="310" w:lineRule="auto"/>
              <w:rPr>
                <w:rFonts w:ascii="Arial"/>
                <w:sz w:val="21"/>
              </w:rPr>
            </w:pPr>
          </w:p>
          <w:p w14:paraId="15AC66C2">
            <w:pPr>
              <w:spacing w:line="311" w:lineRule="auto"/>
              <w:rPr>
                <w:rFonts w:ascii="Arial"/>
                <w:sz w:val="21"/>
              </w:rPr>
            </w:pPr>
          </w:p>
          <w:p w14:paraId="23F4C820">
            <w:pPr>
              <w:pStyle w:val="8"/>
              <w:spacing w:before="59" w:line="183" w:lineRule="auto"/>
              <w:ind w:left="224"/>
              <w:rPr>
                <w:rFonts w:hint="eastAsia" w:eastAsia="宋体"/>
                <w:lang w:eastAsia="zh-CN"/>
              </w:rPr>
            </w:pPr>
            <w:r>
              <w:rPr>
                <w:spacing w:val="-5"/>
              </w:rPr>
              <w:t>3</w:t>
            </w:r>
            <w:r>
              <w:rPr>
                <w:rFonts w:hint="eastAsia"/>
                <w:spacing w:val="-5"/>
                <w:lang w:val="en-US" w:eastAsia="zh-CN"/>
              </w:rPr>
              <w:t>7</w:t>
            </w:r>
          </w:p>
        </w:tc>
        <w:tc>
          <w:tcPr>
            <w:tcW w:w="1101" w:type="dxa"/>
            <w:vAlign w:val="top"/>
          </w:tcPr>
          <w:p w14:paraId="212AF3C4">
            <w:pPr>
              <w:pStyle w:val="8"/>
              <w:spacing w:before="57" w:line="241" w:lineRule="auto"/>
              <w:ind w:left="18" w:right="20"/>
            </w:pPr>
            <w:r>
              <w:rPr>
                <w:spacing w:val="-6"/>
              </w:rPr>
              <w:t>对城市公共交</w:t>
            </w:r>
            <w:r>
              <w:rPr>
                <w:spacing w:val="2"/>
              </w:rPr>
              <w:t xml:space="preserve"> </w:t>
            </w:r>
            <w:r>
              <w:rPr>
                <w:spacing w:val="-6"/>
              </w:rPr>
              <w:t>通企业擅自变</w:t>
            </w:r>
            <w:r>
              <w:rPr>
                <w:spacing w:val="1"/>
              </w:rPr>
              <w:t xml:space="preserve"> </w:t>
            </w:r>
            <w:r>
              <w:rPr>
                <w:spacing w:val="-6"/>
              </w:rPr>
              <w:t>更运营线路、</w:t>
            </w:r>
            <w:r>
              <w:rPr>
                <w:spacing w:val="1"/>
              </w:rPr>
              <w:t xml:space="preserve"> </w:t>
            </w:r>
            <w:r>
              <w:rPr>
                <w:spacing w:val="-6"/>
              </w:rPr>
              <w:t>停靠站点、运</w:t>
            </w:r>
            <w:r>
              <w:rPr>
                <w:spacing w:val="1"/>
              </w:rPr>
              <w:t xml:space="preserve"> </w:t>
            </w:r>
            <w:r>
              <w:rPr>
                <w:spacing w:val="-6"/>
              </w:rPr>
              <w:t>营时间的行政</w:t>
            </w:r>
            <w:r>
              <w:rPr>
                <w:spacing w:val="1"/>
              </w:rPr>
              <w:t xml:space="preserve"> </w:t>
            </w:r>
            <w:r>
              <w:rPr>
                <w:spacing w:val="-4"/>
              </w:rPr>
              <w:t>处罚</w:t>
            </w:r>
          </w:p>
        </w:tc>
        <w:tc>
          <w:tcPr>
            <w:tcW w:w="1101" w:type="dxa"/>
            <w:vAlign w:val="top"/>
          </w:tcPr>
          <w:p w14:paraId="341E402B">
            <w:pPr>
              <w:spacing w:line="296" w:lineRule="auto"/>
              <w:rPr>
                <w:rFonts w:ascii="Arial"/>
                <w:sz w:val="21"/>
              </w:rPr>
            </w:pPr>
          </w:p>
          <w:p w14:paraId="2AF4027C">
            <w:pPr>
              <w:spacing w:line="297" w:lineRule="auto"/>
              <w:rPr>
                <w:rFonts w:ascii="Arial"/>
                <w:sz w:val="21"/>
              </w:rPr>
            </w:pPr>
          </w:p>
          <w:p w14:paraId="78798F1A">
            <w:pPr>
              <w:pStyle w:val="8"/>
              <w:spacing w:before="59" w:line="220" w:lineRule="auto"/>
              <w:ind w:left="25"/>
            </w:pPr>
            <w:r>
              <w:rPr>
                <w:spacing w:val="-7"/>
              </w:rPr>
              <w:t>行政处罚</w:t>
            </w:r>
          </w:p>
        </w:tc>
        <w:tc>
          <w:tcPr>
            <w:tcW w:w="8524" w:type="dxa"/>
            <w:vAlign w:val="top"/>
          </w:tcPr>
          <w:p w14:paraId="5E72F416">
            <w:pPr>
              <w:pStyle w:val="8"/>
              <w:spacing w:before="56" w:line="219" w:lineRule="auto"/>
              <w:ind w:left="451"/>
            </w:pPr>
            <w:r>
              <w:rPr>
                <w:b/>
                <w:bCs/>
                <w:spacing w:val="-9"/>
              </w:rPr>
              <w:t>《城市公共交通条例》</w:t>
            </w:r>
          </w:p>
          <w:p w14:paraId="03093424">
            <w:pPr>
              <w:pStyle w:val="8"/>
              <w:spacing w:before="25" w:line="237" w:lineRule="auto"/>
              <w:ind w:left="105" w:right="150" w:firstLine="339"/>
              <w:jc w:val="both"/>
            </w:pPr>
            <w:r>
              <w:rPr>
                <w:spacing w:val="-8"/>
              </w:rPr>
              <w:t>第二十二条</w:t>
            </w:r>
            <w:r>
              <w:rPr>
                <w:spacing w:val="74"/>
              </w:rPr>
              <w:t xml:space="preserve"> </w:t>
            </w:r>
            <w:r>
              <w:rPr>
                <w:spacing w:val="-8"/>
              </w:rPr>
              <w:t>城市公共交通企业不得擅自变更运营线路、停靠站点、运营时间或者中断运营服务；因特殊</w:t>
            </w:r>
            <w:r>
              <w:t xml:space="preserve"> </w:t>
            </w:r>
            <w:r>
              <w:rPr>
                <w:spacing w:val="-8"/>
              </w:rPr>
              <w:t>原因需要临时变更运营线路、停靠站点、运营时间或者暂时中断运营服务的，除发生突发事件或者</w:t>
            </w:r>
            <w:r>
              <w:rPr>
                <w:spacing w:val="-9"/>
              </w:rPr>
              <w:t>为保障运营</w:t>
            </w:r>
            <w:r>
              <w:t xml:space="preserve"> </w:t>
            </w:r>
            <w:r>
              <w:rPr>
                <w:spacing w:val="-8"/>
              </w:rPr>
              <w:t>安全等采取紧急措施外，应当提前向社会公告，并向城市人民政府城市公共交通主管部门报告。</w:t>
            </w:r>
          </w:p>
          <w:p w14:paraId="7D6B496B">
            <w:pPr>
              <w:pStyle w:val="8"/>
              <w:spacing w:before="28" w:line="231" w:lineRule="auto"/>
              <w:ind w:left="107" w:right="150" w:firstLine="337"/>
              <w:jc w:val="both"/>
            </w:pPr>
            <w:r>
              <w:rPr>
                <w:spacing w:val="-8"/>
              </w:rPr>
              <w:t>第四十七条第一款</w:t>
            </w:r>
            <w:r>
              <w:rPr>
                <w:spacing w:val="81"/>
              </w:rPr>
              <w:t xml:space="preserve"> </w:t>
            </w:r>
            <w:r>
              <w:rPr>
                <w:spacing w:val="-8"/>
              </w:rPr>
              <w:t>城市公共交通企业擅自变更运营线路、停靠站点、运营时间的，由城市人民政府城市</w:t>
            </w:r>
            <w:r>
              <w:t xml:space="preserve"> </w:t>
            </w:r>
            <w:r>
              <w:rPr>
                <w:spacing w:val="-8"/>
              </w:rPr>
              <w:t>公共交通主管部门责令改正；拒不改正的，处1万元以上5万元以下的罚款。</w:t>
            </w:r>
          </w:p>
        </w:tc>
        <w:tc>
          <w:tcPr>
            <w:tcW w:w="1011" w:type="dxa"/>
            <w:vAlign w:val="top"/>
          </w:tcPr>
          <w:p w14:paraId="524A37AE">
            <w:pPr>
              <w:spacing w:line="474" w:lineRule="auto"/>
              <w:rPr>
                <w:rFonts w:ascii="Arial"/>
                <w:sz w:val="21"/>
              </w:rPr>
            </w:pPr>
          </w:p>
          <w:p w14:paraId="209234DC">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49DD0D5">
            <w:pPr>
              <w:spacing w:line="474" w:lineRule="auto"/>
              <w:rPr>
                <w:rFonts w:ascii="Arial"/>
                <w:sz w:val="21"/>
              </w:rPr>
            </w:pPr>
          </w:p>
          <w:p w14:paraId="177C9432">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392407CD">
            <w:pPr>
              <w:pStyle w:val="8"/>
              <w:spacing w:before="297"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9CAA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22" w:hRule="atLeast"/>
        </w:trPr>
        <w:tc>
          <w:tcPr>
            <w:tcW w:w="629" w:type="dxa"/>
            <w:vAlign w:val="top"/>
          </w:tcPr>
          <w:p w14:paraId="278A959B">
            <w:pPr>
              <w:spacing w:line="323" w:lineRule="auto"/>
              <w:rPr>
                <w:rFonts w:ascii="Arial"/>
                <w:sz w:val="21"/>
              </w:rPr>
            </w:pPr>
          </w:p>
          <w:p w14:paraId="65254227">
            <w:pPr>
              <w:spacing w:line="323" w:lineRule="auto"/>
              <w:rPr>
                <w:rFonts w:ascii="Arial"/>
                <w:sz w:val="21"/>
              </w:rPr>
            </w:pPr>
          </w:p>
          <w:p w14:paraId="5E009930">
            <w:pPr>
              <w:pStyle w:val="8"/>
              <w:spacing w:before="59" w:line="183" w:lineRule="auto"/>
              <w:ind w:left="224"/>
              <w:rPr>
                <w:rFonts w:hint="eastAsia" w:eastAsia="宋体"/>
                <w:lang w:eastAsia="zh-CN"/>
              </w:rPr>
            </w:pPr>
            <w:r>
              <w:rPr>
                <w:spacing w:val="-5"/>
              </w:rPr>
              <w:t>3</w:t>
            </w:r>
            <w:r>
              <w:rPr>
                <w:rFonts w:hint="eastAsia"/>
                <w:spacing w:val="-5"/>
                <w:lang w:val="en-US" w:eastAsia="zh-CN"/>
              </w:rPr>
              <w:t>8</w:t>
            </w:r>
          </w:p>
        </w:tc>
        <w:tc>
          <w:tcPr>
            <w:tcW w:w="1101" w:type="dxa"/>
            <w:vAlign w:val="top"/>
          </w:tcPr>
          <w:p w14:paraId="6D0FB1BD">
            <w:pPr>
              <w:spacing w:line="259" w:lineRule="auto"/>
              <w:rPr>
                <w:rFonts w:ascii="Arial"/>
                <w:sz w:val="21"/>
              </w:rPr>
            </w:pPr>
          </w:p>
          <w:p w14:paraId="4A1BFDDE">
            <w:pPr>
              <w:pStyle w:val="8"/>
              <w:spacing w:before="58"/>
              <w:ind w:left="18" w:right="20"/>
              <w:jc w:val="both"/>
            </w:pPr>
            <w:r>
              <w:rPr>
                <w:spacing w:val="-6"/>
              </w:rPr>
              <w:t>对城市公共交</w:t>
            </w:r>
            <w:r>
              <w:rPr>
                <w:spacing w:val="2"/>
              </w:rPr>
              <w:t xml:space="preserve"> </w:t>
            </w:r>
            <w:r>
              <w:rPr>
                <w:spacing w:val="-6"/>
              </w:rPr>
              <w:t>通企业擅自中</w:t>
            </w:r>
            <w:r>
              <w:rPr>
                <w:spacing w:val="1"/>
              </w:rPr>
              <w:t xml:space="preserve"> </w:t>
            </w:r>
            <w:r>
              <w:rPr>
                <w:spacing w:val="-6"/>
              </w:rPr>
              <w:t>断运营服务的</w:t>
            </w:r>
            <w:r>
              <w:rPr>
                <w:spacing w:val="1"/>
              </w:rPr>
              <w:t xml:space="preserve"> </w:t>
            </w:r>
            <w:r>
              <w:rPr>
                <w:spacing w:val="-6"/>
              </w:rPr>
              <w:t>行政处罚</w:t>
            </w:r>
          </w:p>
        </w:tc>
        <w:tc>
          <w:tcPr>
            <w:tcW w:w="1101" w:type="dxa"/>
            <w:vAlign w:val="top"/>
          </w:tcPr>
          <w:p w14:paraId="1E6D3C98">
            <w:pPr>
              <w:spacing w:line="309" w:lineRule="auto"/>
              <w:rPr>
                <w:rFonts w:ascii="Arial"/>
                <w:sz w:val="21"/>
              </w:rPr>
            </w:pPr>
          </w:p>
          <w:p w14:paraId="0931E0DA">
            <w:pPr>
              <w:spacing w:line="309" w:lineRule="auto"/>
              <w:rPr>
                <w:rFonts w:ascii="Arial"/>
                <w:sz w:val="21"/>
              </w:rPr>
            </w:pPr>
          </w:p>
          <w:p w14:paraId="7A0668CC">
            <w:pPr>
              <w:pStyle w:val="8"/>
              <w:spacing w:before="58" w:line="220" w:lineRule="auto"/>
              <w:ind w:left="25"/>
            </w:pPr>
            <w:r>
              <w:rPr>
                <w:spacing w:val="-7"/>
              </w:rPr>
              <w:t>行政处罚</w:t>
            </w:r>
          </w:p>
        </w:tc>
        <w:tc>
          <w:tcPr>
            <w:tcW w:w="8524" w:type="dxa"/>
            <w:vAlign w:val="top"/>
          </w:tcPr>
          <w:p w14:paraId="307AFA73">
            <w:pPr>
              <w:pStyle w:val="8"/>
              <w:spacing w:before="80" w:line="219" w:lineRule="auto"/>
              <w:ind w:left="451"/>
            </w:pPr>
            <w:r>
              <w:rPr>
                <w:b/>
                <w:bCs/>
                <w:spacing w:val="-9"/>
              </w:rPr>
              <w:t>《城市公共交通条例》</w:t>
            </w:r>
          </w:p>
          <w:p w14:paraId="1EB82D0D">
            <w:pPr>
              <w:pStyle w:val="8"/>
              <w:spacing w:before="25" w:line="237" w:lineRule="auto"/>
              <w:ind w:left="105" w:right="150" w:firstLine="339"/>
              <w:jc w:val="both"/>
            </w:pPr>
            <w:r>
              <w:rPr>
                <w:spacing w:val="-8"/>
              </w:rPr>
              <w:t>第二十二条</w:t>
            </w:r>
            <w:r>
              <w:rPr>
                <w:spacing w:val="74"/>
              </w:rPr>
              <w:t xml:space="preserve"> </w:t>
            </w:r>
            <w:r>
              <w:rPr>
                <w:spacing w:val="-8"/>
              </w:rPr>
              <w:t>城市公共交通企业不得擅自变更运营线路、停靠站点、运营时间或者中断运营服务；因特殊</w:t>
            </w:r>
            <w:r>
              <w:t xml:space="preserve"> </w:t>
            </w:r>
            <w:r>
              <w:rPr>
                <w:spacing w:val="-8"/>
              </w:rPr>
              <w:t>原因需要临时变更运营线路、停靠站点、运营时间或者暂时中断运营服务的，除发生突发事件或者</w:t>
            </w:r>
            <w:r>
              <w:rPr>
                <w:spacing w:val="-9"/>
              </w:rPr>
              <w:t>为保障运营</w:t>
            </w:r>
            <w:r>
              <w:t xml:space="preserve"> </w:t>
            </w:r>
            <w:r>
              <w:rPr>
                <w:spacing w:val="-8"/>
              </w:rPr>
              <w:t>安全等采取紧急措施外，应当提前向社会公告，并向城市人民政府城市公共交通主管部门报告。</w:t>
            </w:r>
          </w:p>
          <w:p w14:paraId="24C8EB38">
            <w:pPr>
              <w:pStyle w:val="8"/>
              <w:spacing w:before="27" w:line="233" w:lineRule="auto"/>
              <w:ind w:left="108" w:right="150" w:firstLine="336"/>
              <w:jc w:val="both"/>
            </w:pPr>
            <w:r>
              <w:rPr>
                <w:spacing w:val="-8"/>
              </w:rPr>
              <w:t>第四十七条第二款</w:t>
            </w:r>
            <w:r>
              <w:rPr>
                <w:spacing w:val="81"/>
              </w:rPr>
              <w:t xml:space="preserve"> </w:t>
            </w:r>
            <w:r>
              <w:rPr>
                <w:spacing w:val="-8"/>
              </w:rPr>
              <w:t>城市公共交通企业擅自中断运营服务的，由城市人民政府城市公共交通主管部门责令</w:t>
            </w:r>
            <w:r>
              <w:t xml:space="preserve"> </w:t>
            </w:r>
            <w:r>
              <w:rPr>
                <w:spacing w:val="-8"/>
              </w:rPr>
              <w:t>改正；拒不改正的，处5万元以上20万元以下的罚款。</w:t>
            </w:r>
          </w:p>
        </w:tc>
        <w:tc>
          <w:tcPr>
            <w:tcW w:w="1011" w:type="dxa"/>
            <w:vAlign w:val="top"/>
          </w:tcPr>
          <w:p w14:paraId="79B6D8C0">
            <w:pPr>
              <w:spacing w:line="249" w:lineRule="auto"/>
              <w:rPr>
                <w:rFonts w:ascii="Arial"/>
                <w:sz w:val="21"/>
              </w:rPr>
            </w:pPr>
          </w:p>
          <w:p w14:paraId="05D10CAF">
            <w:pPr>
              <w:spacing w:line="249" w:lineRule="auto"/>
              <w:rPr>
                <w:rFonts w:ascii="Arial"/>
                <w:sz w:val="21"/>
              </w:rPr>
            </w:pPr>
          </w:p>
          <w:p w14:paraId="62A12051">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1EE6A7A9">
            <w:pPr>
              <w:spacing w:line="249" w:lineRule="auto"/>
              <w:rPr>
                <w:rFonts w:ascii="Arial"/>
                <w:sz w:val="21"/>
              </w:rPr>
            </w:pPr>
          </w:p>
          <w:p w14:paraId="5A58A047">
            <w:pPr>
              <w:spacing w:line="249" w:lineRule="auto"/>
              <w:rPr>
                <w:rFonts w:ascii="Arial"/>
                <w:sz w:val="21"/>
              </w:rPr>
            </w:pPr>
          </w:p>
          <w:p w14:paraId="0BA3D3AD">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03F3D5CC">
            <w:pPr>
              <w:spacing w:line="261" w:lineRule="auto"/>
              <w:rPr>
                <w:rFonts w:ascii="Arial"/>
                <w:sz w:val="21"/>
              </w:rPr>
            </w:pPr>
          </w:p>
          <w:p w14:paraId="7291350F">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6D24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70" w:hRule="atLeast"/>
        </w:trPr>
        <w:tc>
          <w:tcPr>
            <w:tcW w:w="629" w:type="dxa"/>
            <w:vAlign w:val="top"/>
          </w:tcPr>
          <w:p w14:paraId="6815405F">
            <w:pPr>
              <w:spacing w:line="283" w:lineRule="auto"/>
              <w:rPr>
                <w:rFonts w:ascii="Arial"/>
                <w:sz w:val="21"/>
              </w:rPr>
            </w:pPr>
          </w:p>
          <w:p w14:paraId="131F8173">
            <w:pPr>
              <w:spacing w:line="283" w:lineRule="auto"/>
              <w:rPr>
                <w:rFonts w:ascii="Arial"/>
                <w:sz w:val="21"/>
              </w:rPr>
            </w:pPr>
          </w:p>
          <w:p w14:paraId="00FC948F">
            <w:pPr>
              <w:spacing w:line="283" w:lineRule="auto"/>
              <w:rPr>
                <w:rFonts w:ascii="Arial"/>
                <w:sz w:val="21"/>
              </w:rPr>
            </w:pPr>
          </w:p>
          <w:p w14:paraId="7BABE63B">
            <w:pPr>
              <w:spacing w:line="283" w:lineRule="auto"/>
              <w:rPr>
                <w:rFonts w:ascii="Arial"/>
                <w:sz w:val="21"/>
              </w:rPr>
            </w:pPr>
          </w:p>
          <w:p w14:paraId="39664A60">
            <w:pPr>
              <w:spacing w:line="284" w:lineRule="auto"/>
              <w:rPr>
                <w:rFonts w:ascii="Arial"/>
                <w:sz w:val="21"/>
              </w:rPr>
            </w:pPr>
          </w:p>
          <w:p w14:paraId="4A4A2548">
            <w:pPr>
              <w:pStyle w:val="8"/>
              <w:spacing w:before="58" w:line="183" w:lineRule="auto"/>
              <w:ind w:left="220"/>
              <w:rPr>
                <w:rFonts w:hint="default" w:eastAsia="宋体"/>
                <w:lang w:val="en-US" w:eastAsia="zh-CN"/>
              </w:rPr>
            </w:pPr>
            <w:r>
              <w:rPr>
                <w:rFonts w:hint="eastAsia"/>
                <w:spacing w:val="-3"/>
                <w:lang w:val="en-US" w:eastAsia="zh-CN"/>
              </w:rPr>
              <w:t>39</w:t>
            </w:r>
          </w:p>
        </w:tc>
        <w:tc>
          <w:tcPr>
            <w:tcW w:w="1101" w:type="dxa"/>
            <w:vAlign w:val="top"/>
          </w:tcPr>
          <w:p w14:paraId="41A8A13D">
            <w:pPr>
              <w:pStyle w:val="8"/>
              <w:spacing w:before="132" w:line="225" w:lineRule="auto"/>
              <w:ind w:left="18" w:right="20"/>
              <w:jc w:val="both"/>
            </w:pPr>
            <w:r>
              <w:rPr>
                <w:spacing w:val="-6"/>
              </w:rPr>
              <w:t>对城市公共交</w:t>
            </w:r>
            <w:r>
              <w:rPr>
                <w:spacing w:val="2"/>
              </w:rPr>
              <w:t xml:space="preserve"> </w:t>
            </w:r>
            <w:r>
              <w:rPr>
                <w:spacing w:val="-6"/>
              </w:rPr>
              <w:t>通企业因特殊</w:t>
            </w:r>
            <w:r>
              <w:rPr>
                <w:spacing w:val="2"/>
              </w:rPr>
              <w:t xml:space="preserve"> </w:t>
            </w:r>
            <w:r>
              <w:rPr>
                <w:spacing w:val="-6"/>
              </w:rPr>
              <w:t>原因变更运营</w:t>
            </w:r>
            <w:r>
              <w:rPr>
                <w:spacing w:val="2"/>
              </w:rPr>
              <w:t xml:space="preserve"> </w:t>
            </w:r>
            <w:r>
              <w:rPr>
                <w:spacing w:val="-6"/>
              </w:rPr>
              <w:t>线路、停靠站</w:t>
            </w:r>
            <w:r>
              <w:rPr>
                <w:spacing w:val="2"/>
              </w:rPr>
              <w:t xml:space="preserve"> </w:t>
            </w:r>
            <w:r>
              <w:rPr>
                <w:spacing w:val="-6"/>
              </w:rPr>
              <w:t>点、运营时间</w:t>
            </w:r>
            <w:r>
              <w:rPr>
                <w:spacing w:val="2"/>
              </w:rPr>
              <w:t xml:space="preserve"> </w:t>
            </w:r>
            <w:r>
              <w:rPr>
                <w:spacing w:val="-6"/>
              </w:rPr>
              <w:t>或者暂时中断</w:t>
            </w:r>
            <w:r>
              <w:rPr>
                <w:spacing w:val="2"/>
              </w:rPr>
              <w:t xml:space="preserve"> </w:t>
            </w:r>
            <w:r>
              <w:rPr>
                <w:spacing w:val="-6"/>
              </w:rPr>
              <w:t>运营服务，未</w:t>
            </w:r>
            <w:r>
              <w:rPr>
                <w:spacing w:val="2"/>
              </w:rPr>
              <w:t xml:space="preserve"> </w:t>
            </w:r>
            <w:r>
              <w:rPr>
                <w:spacing w:val="-6"/>
              </w:rPr>
              <w:t>按照规定向社</w:t>
            </w:r>
            <w:r>
              <w:rPr>
                <w:spacing w:val="2"/>
              </w:rPr>
              <w:t xml:space="preserve"> </w:t>
            </w:r>
            <w:r>
              <w:rPr>
                <w:spacing w:val="-6"/>
              </w:rPr>
              <w:t>会公告并向城</w:t>
            </w:r>
            <w:r>
              <w:rPr>
                <w:spacing w:val="2"/>
              </w:rPr>
              <w:t xml:space="preserve"> </w:t>
            </w:r>
            <w:r>
              <w:rPr>
                <w:spacing w:val="-6"/>
              </w:rPr>
              <w:t>市人民政府城</w:t>
            </w:r>
            <w:r>
              <w:rPr>
                <w:spacing w:val="2"/>
              </w:rPr>
              <w:t xml:space="preserve"> </w:t>
            </w:r>
            <w:r>
              <w:rPr>
                <w:spacing w:val="-6"/>
              </w:rPr>
              <w:t>市公共交通主</w:t>
            </w:r>
            <w:r>
              <w:rPr>
                <w:spacing w:val="2"/>
              </w:rPr>
              <w:t xml:space="preserve"> </w:t>
            </w:r>
            <w:r>
              <w:rPr>
                <w:spacing w:val="-6"/>
              </w:rPr>
              <w:t>管部门报告的</w:t>
            </w:r>
            <w:r>
              <w:rPr>
                <w:spacing w:val="2"/>
              </w:rPr>
              <w:t xml:space="preserve"> </w:t>
            </w:r>
            <w:r>
              <w:rPr>
                <w:spacing w:val="-6"/>
              </w:rPr>
              <w:t>行政处罚</w:t>
            </w:r>
          </w:p>
        </w:tc>
        <w:tc>
          <w:tcPr>
            <w:tcW w:w="1101" w:type="dxa"/>
            <w:vAlign w:val="top"/>
          </w:tcPr>
          <w:p w14:paraId="3E01F377">
            <w:pPr>
              <w:spacing w:line="277" w:lineRule="auto"/>
              <w:rPr>
                <w:rFonts w:ascii="Arial"/>
                <w:sz w:val="21"/>
              </w:rPr>
            </w:pPr>
          </w:p>
          <w:p w14:paraId="6C952091">
            <w:pPr>
              <w:spacing w:line="277" w:lineRule="auto"/>
              <w:rPr>
                <w:rFonts w:ascii="Arial"/>
                <w:sz w:val="21"/>
              </w:rPr>
            </w:pPr>
          </w:p>
          <w:p w14:paraId="59201BA2">
            <w:pPr>
              <w:spacing w:line="277" w:lineRule="auto"/>
              <w:rPr>
                <w:rFonts w:ascii="Arial"/>
                <w:sz w:val="21"/>
              </w:rPr>
            </w:pPr>
          </w:p>
          <w:p w14:paraId="249D32DD">
            <w:pPr>
              <w:spacing w:line="278" w:lineRule="auto"/>
              <w:rPr>
                <w:rFonts w:ascii="Arial"/>
                <w:sz w:val="21"/>
              </w:rPr>
            </w:pPr>
          </w:p>
          <w:p w14:paraId="74F57B6E">
            <w:pPr>
              <w:spacing w:line="278" w:lineRule="auto"/>
              <w:rPr>
                <w:rFonts w:ascii="Arial"/>
                <w:sz w:val="21"/>
              </w:rPr>
            </w:pPr>
          </w:p>
          <w:p w14:paraId="77410606">
            <w:pPr>
              <w:pStyle w:val="8"/>
              <w:spacing w:before="59" w:line="220" w:lineRule="auto"/>
              <w:ind w:left="25"/>
            </w:pPr>
            <w:r>
              <w:rPr>
                <w:spacing w:val="-7"/>
              </w:rPr>
              <w:t>行政处罚</w:t>
            </w:r>
          </w:p>
        </w:tc>
        <w:tc>
          <w:tcPr>
            <w:tcW w:w="8524" w:type="dxa"/>
            <w:vAlign w:val="top"/>
          </w:tcPr>
          <w:p w14:paraId="7BD77943">
            <w:pPr>
              <w:spacing w:line="336" w:lineRule="auto"/>
              <w:rPr>
                <w:rFonts w:ascii="Arial"/>
                <w:sz w:val="21"/>
              </w:rPr>
            </w:pPr>
          </w:p>
          <w:p w14:paraId="55D009B6">
            <w:pPr>
              <w:spacing w:line="336" w:lineRule="auto"/>
              <w:rPr>
                <w:rFonts w:ascii="Arial"/>
                <w:sz w:val="21"/>
              </w:rPr>
            </w:pPr>
          </w:p>
          <w:p w14:paraId="2F78F397">
            <w:pPr>
              <w:pStyle w:val="8"/>
              <w:spacing w:before="58" w:line="219" w:lineRule="auto"/>
              <w:ind w:left="451"/>
            </w:pPr>
            <w:r>
              <w:rPr>
                <w:b/>
                <w:bCs/>
                <w:spacing w:val="-9"/>
              </w:rPr>
              <w:t>《城市公共交通条例》</w:t>
            </w:r>
          </w:p>
          <w:p w14:paraId="1484492C">
            <w:pPr>
              <w:pStyle w:val="8"/>
              <w:spacing w:before="25" w:line="237" w:lineRule="auto"/>
              <w:ind w:left="105" w:right="150" w:firstLine="339"/>
              <w:jc w:val="both"/>
            </w:pPr>
            <w:r>
              <w:rPr>
                <w:spacing w:val="-8"/>
              </w:rPr>
              <w:t>第二十二条</w:t>
            </w:r>
            <w:r>
              <w:rPr>
                <w:spacing w:val="74"/>
              </w:rPr>
              <w:t xml:space="preserve"> </w:t>
            </w:r>
            <w:r>
              <w:rPr>
                <w:spacing w:val="-8"/>
              </w:rPr>
              <w:t>城市公共交通企业不得擅自变更运营线路、停靠站点、运营时间或者中断运营服务；因特殊</w:t>
            </w:r>
            <w:r>
              <w:t xml:space="preserve"> </w:t>
            </w:r>
            <w:r>
              <w:rPr>
                <w:spacing w:val="-8"/>
              </w:rPr>
              <w:t>原因需要临时变更运营线路、停靠站点、运营时间或者暂时中断运营服务的，除发生突发事件或者</w:t>
            </w:r>
            <w:r>
              <w:rPr>
                <w:spacing w:val="-9"/>
              </w:rPr>
              <w:t>为保障运营</w:t>
            </w:r>
            <w:r>
              <w:t xml:space="preserve"> </w:t>
            </w:r>
            <w:r>
              <w:rPr>
                <w:spacing w:val="-8"/>
              </w:rPr>
              <w:t>安全等采取紧急措施外，应当提前向社会公告，并向城市人民政府城市公共交通主管部门报告。</w:t>
            </w:r>
          </w:p>
          <w:p w14:paraId="27BD845D">
            <w:pPr>
              <w:pStyle w:val="8"/>
              <w:spacing w:before="27" w:line="237" w:lineRule="auto"/>
              <w:ind w:left="102" w:right="150" w:firstLine="343"/>
              <w:jc w:val="both"/>
            </w:pPr>
            <w:r>
              <w:rPr>
                <w:spacing w:val="-8"/>
              </w:rPr>
              <w:t>第四十七条第三款</w:t>
            </w:r>
            <w:r>
              <w:rPr>
                <w:spacing w:val="74"/>
              </w:rPr>
              <w:t xml:space="preserve"> </w:t>
            </w:r>
            <w:r>
              <w:rPr>
                <w:spacing w:val="-8"/>
              </w:rPr>
              <w:t>城市公共交通企业因特殊原因变更运营线路、停靠站点、运营时间或者暂时中断运营</w:t>
            </w:r>
            <w:r>
              <w:t xml:space="preserve"> </w:t>
            </w:r>
            <w:r>
              <w:rPr>
                <w:spacing w:val="-8"/>
              </w:rPr>
              <w:t>服务，未按照规定向社会公告并向城市人民政府城市公共交通主管部门报告的，由城市人民政府城市公共</w:t>
            </w:r>
            <w:r>
              <w:rPr>
                <w:spacing w:val="-9"/>
              </w:rPr>
              <w:t>交通</w:t>
            </w:r>
            <w:r>
              <w:t xml:space="preserve"> </w:t>
            </w:r>
            <w:r>
              <w:rPr>
                <w:spacing w:val="-8"/>
              </w:rPr>
              <w:t>主管部门责令改正，可以处1万元以下的罚款。</w:t>
            </w:r>
          </w:p>
        </w:tc>
        <w:tc>
          <w:tcPr>
            <w:tcW w:w="1011" w:type="dxa"/>
            <w:vAlign w:val="top"/>
          </w:tcPr>
          <w:p w14:paraId="1F666922">
            <w:pPr>
              <w:spacing w:line="253" w:lineRule="auto"/>
              <w:rPr>
                <w:rFonts w:ascii="Arial"/>
                <w:sz w:val="21"/>
              </w:rPr>
            </w:pPr>
          </w:p>
          <w:p w14:paraId="63098E13">
            <w:pPr>
              <w:spacing w:line="253" w:lineRule="auto"/>
              <w:rPr>
                <w:rFonts w:ascii="Arial"/>
                <w:sz w:val="21"/>
              </w:rPr>
            </w:pPr>
          </w:p>
          <w:p w14:paraId="5C0D6D45">
            <w:pPr>
              <w:spacing w:line="254" w:lineRule="auto"/>
              <w:rPr>
                <w:rFonts w:ascii="Arial"/>
                <w:sz w:val="21"/>
              </w:rPr>
            </w:pPr>
          </w:p>
          <w:p w14:paraId="2EB7E565">
            <w:pPr>
              <w:spacing w:line="254" w:lineRule="auto"/>
              <w:rPr>
                <w:rFonts w:ascii="Arial"/>
                <w:sz w:val="21"/>
              </w:rPr>
            </w:pPr>
          </w:p>
          <w:p w14:paraId="0EAD6C2F">
            <w:pPr>
              <w:spacing w:line="254" w:lineRule="auto"/>
              <w:rPr>
                <w:rFonts w:ascii="Arial"/>
                <w:sz w:val="21"/>
              </w:rPr>
            </w:pPr>
          </w:p>
          <w:p w14:paraId="7F6A6C11">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03C4184E">
            <w:pPr>
              <w:spacing w:line="253" w:lineRule="auto"/>
              <w:rPr>
                <w:rFonts w:ascii="Arial"/>
                <w:sz w:val="21"/>
              </w:rPr>
            </w:pPr>
          </w:p>
          <w:p w14:paraId="3E91A4F0">
            <w:pPr>
              <w:spacing w:line="253" w:lineRule="auto"/>
              <w:rPr>
                <w:rFonts w:ascii="Arial"/>
                <w:sz w:val="21"/>
              </w:rPr>
            </w:pPr>
          </w:p>
          <w:p w14:paraId="6F9988B6">
            <w:pPr>
              <w:spacing w:line="254" w:lineRule="auto"/>
              <w:rPr>
                <w:rFonts w:ascii="Arial"/>
                <w:sz w:val="21"/>
              </w:rPr>
            </w:pPr>
          </w:p>
          <w:p w14:paraId="5BE128C9">
            <w:pPr>
              <w:spacing w:line="254" w:lineRule="auto"/>
              <w:rPr>
                <w:rFonts w:ascii="Arial"/>
                <w:sz w:val="21"/>
              </w:rPr>
            </w:pPr>
          </w:p>
          <w:p w14:paraId="070AAE32">
            <w:pPr>
              <w:spacing w:line="254" w:lineRule="auto"/>
              <w:rPr>
                <w:rFonts w:ascii="Arial"/>
                <w:sz w:val="21"/>
              </w:rPr>
            </w:pPr>
          </w:p>
          <w:p w14:paraId="46F2FA6A">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FF38007">
            <w:pPr>
              <w:spacing w:line="257" w:lineRule="auto"/>
              <w:rPr>
                <w:rFonts w:ascii="Arial"/>
                <w:sz w:val="21"/>
              </w:rPr>
            </w:pPr>
          </w:p>
          <w:p w14:paraId="2AA62B54">
            <w:pPr>
              <w:spacing w:line="258" w:lineRule="auto"/>
              <w:rPr>
                <w:rFonts w:ascii="Arial"/>
                <w:sz w:val="21"/>
              </w:rPr>
            </w:pPr>
          </w:p>
          <w:p w14:paraId="6A06A7A3">
            <w:pPr>
              <w:spacing w:line="258" w:lineRule="auto"/>
              <w:rPr>
                <w:rFonts w:ascii="Arial"/>
                <w:sz w:val="21"/>
              </w:rPr>
            </w:pPr>
          </w:p>
          <w:p w14:paraId="493A5C28">
            <w:pPr>
              <w:spacing w:line="258" w:lineRule="auto"/>
              <w:rPr>
                <w:rFonts w:ascii="Arial"/>
                <w:sz w:val="21"/>
              </w:rPr>
            </w:pPr>
          </w:p>
          <w:p w14:paraId="77A529A6">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17BD2D50">
      <w:pPr>
        <w:pStyle w:val="2"/>
        <w:spacing w:line="221" w:lineRule="exact"/>
        <w:rPr>
          <w:sz w:val="19"/>
        </w:rPr>
      </w:pPr>
    </w:p>
    <w:p w14:paraId="46E7865B">
      <w:pPr>
        <w:spacing w:line="221" w:lineRule="exact"/>
        <w:rPr>
          <w:sz w:val="19"/>
          <w:szCs w:val="19"/>
        </w:rPr>
        <w:sectPr>
          <w:footerReference r:id="rId43" w:type="default"/>
          <w:pgSz w:w="16839" w:h="11906"/>
          <w:pgMar w:top="1012" w:right="1016" w:bottom="967" w:left="1016" w:header="0" w:footer="768" w:gutter="0"/>
          <w:cols w:space="720" w:num="1"/>
        </w:sectPr>
      </w:pPr>
    </w:p>
    <w:p w14:paraId="65E88263">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5B660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5969ADF5">
            <w:pPr>
              <w:pStyle w:val="8"/>
              <w:spacing w:before="273" w:line="221" w:lineRule="auto"/>
              <w:ind w:left="129"/>
            </w:pPr>
            <w:r>
              <w:rPr>
                <w:b/>
                <w:bCs/>
                <w:spacing w:val="-4"/>
              </w:rPr>
              <w:t>序号</w:t>
            </w:r>
          </w:p>
        </w:tc>
        <w:tc>
          <w:tcPr>
            <w:tcW w:w="1101" w:type="dxa"/>
            <w:vMerge w:val="restart"/>
            <w:tcBorders>
              <w:bottom w:val="nil"/>
            </w:tcBorders>
            <w:vAlign w:val="top"/>
          </w:tcPr>
          <w:p w14:paraId="2D42C390">
            <w:pPr>
              <w:pStyle w:val="8"/>
              <w:spacing w:before="274" w:line="220" w:lineRule="auto"/>
              <w:ind w:left="182"/>
            </w:pPr>
            <w:r>
              <w:rPr>
                <w:b/>
                <w:bCs/>
                <w:spacing w:val="-4"/>
              </w:rPr>
              <w:t>事项名称</w:t>
            </w:r>
          </w:p>
        </w:tc>
        <w:tc>
          <w:tcPr>
            <w:tcW w:w="1101" w:type="dxa"/>
            <w:vMerge w:val="restart"/>
            <w:tcBorders>
              <w:bottom w:val="nil"/>
            </w:tcBorders>
            <w:vAlign w:val="top"/>
          </w:tcPr>
          <w:p w14:paraId="32CE6F8C">
            <w:pPr>
              <w:pStyle w:val="8"/>
              <w:spacing w:before="274" w:line="219" w:lineRule="auto"/>
              <w:ind w:left="183"/>
            </w:pPr>
            <w:r>
              <w:rPr>
                <w:b/>
                <w:bCs/>
                <w:spacing w:val="-4"/>
              </w:rPr>
              <w:t>职权类型</w:t>
            </w:r>
          </w:p>
        </w:tc>
        <w:tc>
          <w:tcPr>
            <w:tcW w:w="8524" w:type="dxa"/>
            <w:vMerge w:val="restart"/>
            <w:tcBorders>
              <w:bottom w:val="nil"/>
            </w:tcBorders>
            <w:vAlign w:val="top"/>
          </w:tcPr>
          <w:p w14:paraId="54D267BF">
            <w:pPr>
              <w:pStyle w:val="8"/>
              <w:spacing w:before="273" w:line="219" w:lineRule="auto"/>
              <w:ind w:left="4083"/>
            </w:pPr>
            <w:r>
              <w:rPr>
                <w:b/>
                <w:bCs/>
                <w:spacing w:val="-5"/>
              </w:rPr>
              <w:t>实施依据</w:t>
            </w:r>
          </w:p>
        </w:tc>
        <w:tc>
          <w:tcPr>
            <w:tcW w:w="3435" w:type="dxa"/>
            <w:gridSpan w:val="3"/>
            <w:vAlign w:val="top"/>
          </w:tcPr>
          <w:p w14:paraId="2ADFF58B">
            <w:pPr>
              <w:pStyle w:val="8"/>
              <w:spacing w:before="94" w:line="220" w:lineRule="auto"/>
              <w:ind w:left="1360"/>
            </w:pPr>
            <w:r>
              <w:rPr>
                <w:b/>
                <w:bCs/>
                <w:spacing w:val="-5"/>
              </w:rPr>
              <w:t>实施主体</w:t>
            </w:r>
          </w:p>
        </w:tc>
      </w:tr>
      <w:tr w14:paraId="3D0F4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562A106">
            <w:pPr>
              <w:rPr>
                <w:rFonts w:ascii="Arial"/>
                <w:sz w:val="21"/>
              </w:rPr>
            </w:pPr>
          </w:p>
        </w:tc>
        <w:tc>
          <w:tcPr>
            <w:tcW w:w="1101" w:type="dxa"/>
            <w:vMerge w:val="continue"/>
            <w:tcBorders>
              <w:top w:val="nil"/>
            </w:tcBorders>
            <w:vAlign w:val="top"/>
          </w:tcPr>
          <w:p w14:paraId="499349F2">
            <w:pPr>
              <w:rPr>
                <w:rFonts w:ascii="Arial"/>
                <w:sz w:val="21"/>
              </w:rPr>
            </w:pPr>
          </w:p>
        </w:tc>
        <w:tc>
          <w:tcPr>
            <w:tcW w:w="1101" w:type="dxa"/>
            <w:vMerge w:val="continue"/>
            <w:tcBorders>
              <w:top w:val="nil"/>
            </w:tcBorders>
            <w:vAlign w:val="top"/>
          </w:tcPr>
          <w:p w14:paraId="6809CA03">
            <w:pPr>
              <w:rPr>
                <w:rFonts w:ascii="Arial"/>
                <w:sz w:val="21"/>
              </w:rPr>
            </w:pPr>
          </w:p>
        </w:tc>
        <w:tc>
          <w:tcPr>
            <w:tcW w:w="8524" w:type="dxa"/>
            <w:vMerge w:val="continue"/>
            <w:tcBorders>
              <w:top w:val="nil"/>
            </w:tcBorders>
            <w:vAlign w:val="top"/>
          </w:tcPr>
          <w:p w14:paraId="4450C364">
            <w:pPr>
              <w:rPr>
                <w:rFonts w:ascii="Arial"/>
                <w:sz w:val="21"/>
              </w:rPr>
            </w:pPr>
          </w:p>
        </w:tc>
        <w:tc>
          <w:tcPr>
            <w:tcW w:w="1011" w:type="dxa"/>
            <w:vAlign w:val="top"/>
          </w:tcPr>
          <w:p w14:paraId="219B10C9">
            <w:pPr>
              <w:pStyle w:val="8"/>
              <w:spacing w:before="85" w:line="219" w:lineRule="auto"/>
              <w:ind w:left="154"/>
            </w:pPr>
            <w:r>
              <w:rPr>
                <w:b/>
                <w:bCs/>
                <w:spacing w:val="-5"/>
              </w:rPr>
              <w:t>责任部门</w:t>
            </w:r>
          </w:p>
        </w:tc>
        <w:tc>
          <w:tcPr>
            <w:tcW w:w="1404" w:type="dxa"/>
            <w:vAlign w:val="top"/>
          </w:tcPr>
          <w:p w14:paraId="721D6241">
            <w:pPr>
              <w:pStyle w:val="8"/>
              <w:spacing w:before="85" w:line="219" w:lineRule="auto"/>
              <w:ind w:left="164"/>
            </w:pPr>
            <w:r>
              <w:rPr>
                <w:b/>
                <w:bCs/>
                <w:spacing w:val="-3"/>
              </w:rPr>
              <w:t>第一责任层级</w:t>
            </w:r>
          </w:p>
        </w:tc>
        <w:tc>
          <w:tcPr>
            <w:tcW w:w="1020" w:type="dxa"/>
            <w:vAlign w:val="top"/>
          </w:tcPr>
          <w:p w14:paraId="6B3E5D80">
            <w:pPr>
              <w:pStyle w:val="8"/>
              <w:spacing w:before="84" w:line="219" w:lineRule="auto"/>
              <w:ind w:left="114"/>
            </w:pPr>
            <w:r>
              <w:rPr>
                <w:b/>
                <w:bCs/>
                <w:spacing w:val="-4"/>
              </w:rPr>
              <w:t>承办机构</w:t>
            </w:r>
          </w:p>
        </w:tc>
      </w:tr>
      <w:tr w14:paraId="0F38E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82" w:hRule="atLeast"/>
        </w:trPr>
        <w:tc>
          <w:tcPr>
            <w:tcW w:w="629" w:type="dxa"/>
            <w:vAlign w:val="top"/>
          </w:tcPr>
          <w:p w14:paraId="25723F5E">
            <w:pPr>
              <w:rPr>
                <w:rFonts w:ascii="Arial"/>
                <w:sz w:val="21"/>
              </w:rPr>
            </w:pPr>
          </w:p>
          <w:p w14:paraId="32E6100D">
            <w:pPr>
              <w:rPr>
                <w:rFonts w:ascii="Arial"/>
                <w:sz w:val="21"/>
              </w:rPr>
            </w:pPr>
          </w:p>
          <w:p w14:paraId="4488E910">
            <w:pPr>
              <w:rPr>
                <w:rFonts w:ascii="Arial"/>
                <w:sz w:val="21"/>
              </w:rPr>
            </w:pPr>
          </w:p>
          <w:p w14:paraId="79113D13">
            <w:pPr>
              <w:pStyle w:val="8"/>
              <w:spacing w:before="58" w:line="184" w:lineRule="auto"/>
              <w:ind w:left="220"/>
              <w:rPr>
                <w:rFonts w:hint="eastAsia" w:eastAsia="宋体"/>
                <w:lang w:eastAsia="zh-CN"/>
              </w:rPr>
            </w:pPr>
            <w:r>
              <w:rPr>
                <w:spacing w:val="-3"/>
              </w:rPr>
              <w:t>4</w:t>
            </w:r>
            <w:r>
              <w:rPr>
                <w:rFonts w:hint="eastAsia"/>
                <w:spacing w:val="-3"/>
                <w:lang w:val="en-US" w:eastAsia="zh-CN"/>
              </w:rPr>
              <w:t>0</w:t>
            </w:r>
          </w:p>
        </w:tc>
        <w:tc>
          <w:tcPr>
            <w:tcW w:w="1101" w:type="dxa"/>
            <w:vAlign w:val="top"/>
          </w:tcPr>
          <w:p w14:paraId="73CD995A">
            <w:pPr>
              <w:pStyle w:val="8"/>
              <w:spacing w:before="274" w:line="241" w:lineRule="auto"/>
              <w:ind w:left="18" w:right="20"/>
              <w:jc w:val="both"/>
            </w:pPr>
            <w:r>
              <w:rPr>
                <w:spacing w:val="-6"/>
              </w:rPr>
              <w:t>对城市公共交</w:t>
            </w:r>
            <w:r>
              <w:rPr>
                <w:spacing w:val="2"/>
              </w:rPr>
              <w:t xml:space="preserve"> </w:t>
            </w:r>
            <w:r>
              <w:rPr>
                <w:spacing w:val="-6"/>
              </w:rPr>
              <w:t>通企业未经城</w:t>
            </w:r>
            <w:r>
              <w:rPr>
                <w:spacing w:val="1"/>
              </w:rPr>
              <w:t xml:space="preserve"> </w:t>
            </w:r>
            <w:r>
              <w:rPr>
                <w:spacing w:val="-6"/>
              </w:rPr>
              <w:t>市人民政府同</w:t>
            </w:r>
            <w:r>
              <w:rPr>
                <w:spacing w:val="1"/>
              </w:rPr>
              <w:t xml:space="preserve"> </w:t>
            </w:r>
            <w:r>
              <w:rPr>
                <w:spacing w:val="-6"/>
              </w:rPr>
              <w:t>意终止运营服</w:t>
            </w:r>
            <w:r>
              <w:rPr>
                <w:spacing w:val="1"/>
              </w:rPr>
              <w:t xml:space="preserve"> </w:t>
            </w:r>
            <w:r>
              <w:rPr>
                <w:spacing w:val="-7"/>
              </w:rPr>
              <w:t>务的行政处罚</w:t>
            </w:r>
          </w:p>
        </w:tc>
        <w:tc>
          <w:tcPr>
            <w:tcW w:w="1101" w:type="dxa"/>
            <w:vAlign w:val="top"/>
          </w:tcPr>
          <w:p w14:paraId="7EE9052B">
            <w:pPr>
              <w:spacing w:line="346" w:lineRule="auto"/>
              <w:rPr>
                <w:rFonts w:ascii="Arial"/>
                <w:sz w:val="21"/>
              </w:rPr>
            </w:pPr>
          </w:p>
          <w:p w14:paraId="3844D87A">
            <w:pPr>
              <w:spacing w:line="347" w:lineRule="auto"/>
              <w:rPr>
                <w:rFonts w:ascii="Arial"/>
                <w:sz w:val="21"/>
              </w:rPr>
            </w:pPr>
          </w:p>
          <w:p w14:paraId="5D2EF1E8">
            <w:pPr>
              <w:pStyle w:val="8"/>
              <w:spacing w:before="58" w:line="220" w:lineRule="auto"/>
              <w:ind w:left="25"/>
            </w:pPr>
            <w:r>
              <w:rPr>
                <w:spacing w:val="-7"/>
              </w:rPr>
              <w:t>行政处罚</w:t>
            </w:r>
          </w:p>
        </w:tc>
        <w:tc>
          <w:tcPr>
            <w:tcW w:w="8524" w:type="dxa"/>
            <w:vAlign w:val="top"/>
          </w:tcPr>
          <w:p w14:paraId="3A1ECFAF">
            <w:pPr>
              <w:pStyle w:val="8"/>
              <w:spacing w:before="36" w:line="219" w:lineRule="auto"/>
              <w:ind w:left="451"/>
            </w:pPr>
            <w:r>
              <w:rPr>
                <w:b/>
                <w:bCs/>
                <w:spacing w:val="-9"/>
              </w:rPr>
              <w:t>《城市公共交通条例》</w:t>
            </w:r>
          </w:p>
          <w:p w14:paraId="2500137B">
            <w:pPr>
              <w:pStyle w:val="8"/>
              <w:spacing w:before="27" w:line="239" w:lineRule="auto"/>
              <w:ind w:left="101" w:right="88" w:firstLine="343"/>
              <w:jc w:val="both"/>
            </w:pPr>
            <w:r>
              <w:rPr>
                <w:spacing w:val="-7"/>
              </w:rPr>
              <w:t>第二十七条</w:t>
            </w:r>
            <w:r>
              <w:rPr>
                <w:spacing w:val="96"/>
              </w:rPr>
              <w:t xml:space="preserve"> </w:t>
            </w:r>
            <w:r>
              <w:rPr>
                <w:spacing w:val="-7"/>
              </w:rPr>
              <w:t>未经城市人民政府同意，城市公共交通企业不得终止运营服务；因破产、解散终止运营服务</w:t>
            </w:r>
            <w:r>
              <w:t xml:space="preserve"> </w:t>
            </w:r>
            <w:r>
              <w:rPr>
                <w:spacing w:val="-6"/>
              </w:rPr>
              <w:t>的，应当提前30日向城市人民政府城市公共交</w:t>
            </w:r>
            <w:r>
              <w:rPr>
                <w:spacing w:val="-7"/>
              </w:rPr>
              <w:t>通主管部门报告，城市人民政府城市公共交通主管部门应当及时</w:t>
            </w:r>
            <w:r>
              <w:t xml:space="preserve"> </w:t>
            </w:r>
            <w:r>
              <w:rPr>
                <w:spacing w:val="-7"/>
              </w:rPr>
              <w:t>采取指定临时运营服务企业、调配运营车辆等措施，确保运营服务不中断；需要重新确定承担城市公共交通运</w:t>
            </w:r>
            <w:r>
              <w:rPr>
                <w:spacing w:val="14"/>
              </w:rPr>
              <w:t xml:space="preserve"> </w:t>
            </w:r>
            <w:r>
              <w:rPr>
                <w:spacing w:val="-8"/>
              </w:rPr>
              <w:t>营服务企业的，城市人民政府或者其城市公共交通主管部门应当按照规定及时确定。</w:t>
            </w:r>
          </w:p>
          <w:p w14:paraId="5DBEB17D">
            <w:pPr>
              <w:pStyle w:val="8"/>
              <w:spacing w:before="26" w:line="224" w:lineRule="auto"/>
              <w:ind w:left="101" w:right="88" w:firstLine="343"/>
              <w:jc w:val="both"/>
            </w:pPr>
            <w:r>
              <w:rPr>
                <w:spacing w:val="-6"/>
              </w:rPr>
              <w:t>第四十八条  城市公共交通企业违反本条例规定，</w:t>
            </w:r>
            <w:r>
              <w:rPr>
                <w:spacing w:val="-7"/>
              </w:rPr>
              <w:t>未经城市人民政府同意终止运营服务的，由城市</w:t>
            </w:r>
            <w:r>
              <w:rPr>
                <w:rFonts w:hint="eastAsia"/>
                <w:spacing w:val="-7"/>
                <w:lang w:eastAsia="zh-CN"/>
              </w:rPr>
              <w:t>人民政府</w:t>
            </w:r>
            <w:r>
              <w:rPr>
                <w:spacing w:val="-7"/>
              </w:rPr>
              <w:t>城市公共交通主管部门责令改正；拒不改正的，处</w:t>
            </w:r>
            <w:r>
              <w:rPr>
                <w:spacing w:val="-8"/>
              </w:rPr>
              <w:t>10万元以上50万元以下的罚款。</w:t>
            </w:r>
          </w:p>
        </w:tc>
        <w:tc>
          <w:tcPr>
            <w:tcW w:w="1011" w:type="dxa"/>
            <w:vAlign w:val="top"/>
          </w:tcPr>
          <w:p w14:paraId="6D11DE3E">
            <w:pPr>
              <w:spacing w:line="286" w:lineRule="auto"/>
              <w:rPr>
                <w:rFonts w:ascii="Arial"/>
                <w:sz w:val="21"/>
              </w:rPr>
            </w:pPr>
          </w:p>
          <w:p w14:paraId="1DBCBE10">
            <w:pPr>
              <w:spacing w:line="287" w:lineRule="auto"/>
              <w:rPr>
                <w:rFonts w:ascii="Arial"/>
                <w:sz w:val="21"/>
              </w:rPr>
            </w:pPr>
          </w:p>
          <w:p w14:paraId="67E73936">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69D2835F">
            <w:pPr>
              <w:spacing w:line="286" w:lineRule="auto"/>
              <w:rPr>
                <w:rFonts w:ascii="Arial"/>
                <w:sz w:val="21"/>
              </w:rPr>
            </w:pPr>
          </w:p>
          <w:p w14:paraId="73D2BE5C">
            <w:pPr>
              <w:spacing w:line="287" w:lineRule="auto"/>
              <w:rPr>
                <w:rFonts w:ascii="Arial"/>
                <w:sz w:val="21"/>
              </w:rPr>
            </w:pPr>
          </w:p>
          <w:p w14:paraId="6504C419">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5FBC9C5">
            <w:pPr>
              <w:spacing w:line="336" w:lineRule="auto"/>
              <w:rPr>
                <w:rFonts w:ascii="Arial"/>
                <w:sz w:val="21"/>
              </w:rPr>
            </w:pPr>
          </w:p>
          <w:p w14:paraId="38E3FF5C">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34BD6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2" w:hRule="atLeast"/>
        </w:trPr>
        <w:tc>
          <w:tcPr>
            <w:tcW w:w="629" w:type="dxa"/>
            <w:vAlign w:val="top"/>
          </w:tcPr>
          <w:p w14:paraId="12DD9139">
            <w:pPr>
              <w:spacing w:line="280" w:lineRule="auto"/>
              <w:rPr>
                <w:rFonts w:ascii="Arial"/>
                <w:sz w:val="21"/>
              </w:rPr>
            </w:pPr>
          </w:p>
          <w:p w14:paraId="334CFF83">
            <w:pPr>
              <w:spacing w:line="281" w:lineRule="auto"/>
              <w:rPr>
                <w:rFonts w:ascii="Arial"/>
                <w:sz w:val="21"/>
              </w:rPr>
            </w:pPr>
          </w:p>
          <w:p w14:paraId="19F4A271">
            <w:pPr>
              <w:spacing w:line="281" w:lineRule="auto"/>
              <w:rPr>
                <w:rFonts w:ascii="Arial"/>
                <w:sz w:val="21"/>
              </w:rPr>
            </w:pPr>
          </w:p>
          <w:p w14:paraId="0CE510A1">
            <w:pPr>
              <w:pStyle w:val="8"/>
              <w:spacing w:before="59" w:line="183" w:lineRule="auto"/>
              <w:ind w:left="220"/>
              <w:rPr>
                <w:rFonts w:hint="eastAsia" w:eastAsia="宋体"/>
                <w:lang w:eastAsia="zh-CN"/>
              </w:rPr>
            </w:pPr>
            <w:r>
              <w:rPr>
                <w:spacing w:val="-3"/>
              </w:rPr>
              <w:t>4</w:t>
            </w:r>
            <w:r>
              <w:rPr>
                <w:rFonts w:hint="eastAsia"/>
                <w:spacing w:val="-3"/>
                <w:lang w:val="en-US" w:eastAsia="zh-CN"/>
              </w:rPr>
              <w:t>1</w:t>
            </w:r>
          </w:p>
        </w:tc>
        <w:tc>
          <w:tcPr>
            <w:tcW w:w="1101" w:type="dxa"/>
            <w:vAlign w:val="top"/>
          </w:tcPr>
          <w:p w14:paraId="1D5D34EA">
            <w:pPr>
              <w:pStyle w:val="8"/>
              <w:spacing w:before="40"/>
              <w:ind w:left="18" w:right="20"/>
            </w:pPr>
            <w:r>
              <w:rPr>
                <w:spacing w:val="-6"/>
              </w:rPr>
              <w:t>对城市公共交</w:t>
            </w:r>
            <w:r>
              <w:rPr>
                <w:spacing w:val="2"/>
              </w:rPr>
              <w:t xml:space="preserve"> </w:t>
            </w:r>
            <w:r>
              <w:rPr>
                <w:spacing w:val="-6"/>
              </w:rPr>
              <w:t>通企业利用城</w:t>
            </w:r>
            <w:r>
              <w:rPr>
                <w:spacing w:val="2"/>
              </w:rPr>
              <w:t xml:space="preserve"> </w:t>
            </w:r>
            <w:r>
              <w:rPr>
                <w:spacing w:val="-6"/>
              </w:rPr>
              <w:t>市公共交通车</w:t>
            </w:r>
            <w:r>
              <w:rPr>
                <w:spacing w:val="2"/>
              </w:rPr>
              <w:t xml:space="preserve"> </w:t>
            </w:r>
            <w:r>
              <w:rPr>
                <w:spacing w:val="-6"/>
              </w:rPr>
              <w:t>辆或者设施设</w:t>
            </w:r>
            <w:r>
              <w:rPr>
                <w:spacing w:val="2"/>
              </w:rPr>
              <w:t xml:space="preserve"> </w:t>
            </w:r>
            <w:r>
              <w:rPr>
                <w:spacing w:val="-6"/>
              </w:rPr>
              <w:t>备设置广告，</w:t>
            </w:r>
            <w:r>
              <w:rPr>
                <w:spacing w:val="2"/>
              </w:rPr>
              <w:t xml:space="preserve"> </w:t>
            </w:r>
            <w:r>
              <w:rPr>
                <w:spacing w:val="-6"/>
              </w:rPr>
              <w:t>影响城市公共</w:t>
            </w:r>
            <w:r>
              <w:rPr>
                <w:spacing w:val="2"/>
              </w:rPr>
              <w:t xml:space="preserve"> </w:t>
            </w:r>
            <w:r>
              <w:rPr>
                <w:spacing w:val="-6"/>
              </w:rPr>
              <w:t>交通运营安全</w:t>
            </w:r>
            <w:r>
              <w:rPr>
                <w:spacing w:val="2"/>
              </w:rPr>
              <w:t xml:space="preserve"> </w:t>
            </w:r>
            <w:r>
              <w:rPr>
                <w:spacing w:val="-7"/>
              </w:rPr>
              <w:t>的行政处罚</w:t>
            </w:r>
          </w:p>
        </w:tc>
        <w:tc>
          <w:tcPr>
            <w:tcW w:w="1101" w:type="dxa"/>
            <w:vAlign w:val="top"/>
          </w:tcPr>
          <w:p w14:paraId="1F4C15FD">
            <w:pPr>
              <w:spacing w:line="271" w:lineRule="auto"/>
              <w:rPr>
                <w:rFonts w:ascii="Arial"/>
                <w:sz w:val="21"/>
              </w:rPr>
            </w:pPr>
          </w:p>
          <w:p w14:paraId="739DC06F">
            <w:pPr>
              <w:spacing w:line="271" w:lineRule="auto"/>
              <w:rPr>
                <w:rFonts w:ascii="Arial"/>
                <w:sz w:val="21"/>
              </w:rPr>
            </w:pPr>
          </w:p>
          <w:p w14:paraId="34F0C081">
            <w:pPr>
              <w:spacing w:line="272" w:lineRule="auto"/>
              <w:rPr>
                <w:rFonts w:ascii="Arial"/>
                <w:sz w:val="21"/>
              </w:rPr>
            </w:pPr>
          </w:p>
          <w:p w14:paraId="4468A463">
            <w:pPr>
              <w:pStyle w:val="8"/>
              <w:spacing w:before="59" w:line="220" w:lineRule="auto"/>
              <w:ind w:left="25"/>
            </w:pPr>
            <w:r>
              <w:rPr>
                <w:spacing w:val="-7"/>
              </w:rPr>
              <w:t>行政处罚</w:t>
            </w:r>
          </w:p>
        </w:tc>
        <w:tc>
          <w:tcPr>
            <w:tcW w:w="8524" w:type="dxa"/>
            <w:vAlign w:val="top"/>
          </w:tcPr>
          <w:p w14:paraId="4D09A984">
            <w:pPr>
              <w:pStyle w:val="8"/>
              <w:spacing w:before="278" w:line="219" w:lineRule="auto"/>
              <w:ind w:left="451"/>
            </w:pPr>
            <w:r>
              <w:rPr>
                <w:b/>
                <w:bCs/>
                <w:spacing w:val="-9"/>
              </w:rPr>
              <w:t>《城市公共交通条例》</w:t>
            </w:r>
          </w:p>
          <w:p w14:paraId="23013D7D">
            <w:pPr>
              <w:pStyle w:val="8"/>
              <w:spacing w:before="25" w:line="233" w:lineRule="auto"/>
              <w:ind w:left="105" w:right="46" w:firstLine="340"/>
            </w:pPr>
            <w:r>
              <w:rPr>
                <w:spacing w:val="-9"/>
              </w:rPr>
              <w:t>第三十条第三款</w:t>
            </w:r>
            <w:r>
              <w:rPr>
                <w:spacing w:val="74"/>
              </w:rPr>
              <w:t xml:space="preserve"> </w:t>
            </w:r>
            <w:r>
              <w:rPr>
                <w:spacing w:val="-9"/>
              </w:rPr>
              <w:t>利用城市公共交通车辆或者设施设备设置广告的，应当</w:t>
            </w:r>
            <w:r>
              <w:rPr>
                <w:spacing w:val="-10"/>
              </w:rPr>
              <w:t>遵守有关广告管理的法律、法规，</w:t>
            </w:r>
            <w:r>
              <w:t xml:space="preserve"> </w:t>
            </w:r>
            <w:r>
              <w:rPr>
                <w:spacing w:val="-8"/>
              </w:rPr>
              <w:t>不得影响城市公共交通运营安全。</w:t>
            </w:r>
          </w:p>
          <w:p w14:paraId="6FAF368B">
            <w:pPr>
              <w:pStyle w:val="8"/>
              <w:spacing w:before="25" w:line="237" w:lineRule="auto"/>
              <w:ind w:left="102" w:right="150" w:firstLine="342"/>
              <w:jc w:val="both"/>
            </w:pPr>
            <w:r>
              <w:rPr>
                <w:spacing w:val="-8"/>
              </w:rPr>
              <w:t>第四十九条第（一）项</w:t>
            </w:r>
            <w:r>
              <w:rPr>
                <w:spacing w:val="74"/>
              </w:rPr>
              <w:t xml:space="preserve"> </w:t>
            </w:r>
            <w:r>
              <w:rPr>
                <w:spacing w:val="-8"/>
              </w:rPr>
              <w:t>城市公共交通企业有下列行为之一的，由城市人民政府城市公共交通主管部门责</w:t>
            </w:r>
            <w:r>
              <w:t xml:space="preserve"> </w:t>
            </w:r>
            <w:r>
              <w:rPr>
                <w:spacing w:val="-8"/>
              </w:rPr>
              <w:t>令改正，可以处5万元以下的罚款，有违法所得的，没收违法所得；拒不改正的，处5万元以上20万元以下的罚</w:t>
            </w:r>
            <w:r>
              <w:rPr>
                <w:spacing w:val="14"/>
              </w:rPr>
              <w:t xml:space="preserve"> </w:t>
            </w:r>
            <w:r>
              <w:rPr>
                <w:spacing w:val="-7"/>
              </w:rPr>
              <w:t>款</w:t>
            </w:r>
            <w:r>
              <w:rPr>
                <w:spacing w:val="-22"/>
              </w:rPr>
              <w:t>：（</w:t>
            </w:r>
            <w:r>
              <w:rPr>
                <w:spacing w:val="-7"/>
              </w:rPr>
              <w:t>一）利用城市公共交通车辆或者设施设备设置广告，影响城市公共交通运营</w:t>
            </w:r>
            <w:r>
              <w:rPr>
                <w:spacing w:val="-8"/>
              </w:rPr>
              <w:t>安全。</w:t>
            </w:r>
          </w:p>
        </w:tc>
        <w:tc>
          <w:tcPr>
            <w:tcW w:w="1011" w:type="dxa"/>
            <w:vAlign w:val="top"/>
          </w:tcPr>
          <w:p w14:paraId="35EFE8B7">
            <w:pPr>
              <w:spacing w:line="347" w:lineRule="auto"/>
              <w:rPr>
                <w:rFonts w:ascii="Arial"/>
                <w:sz w:val="21"/>
              </w:rPr>
            </w:pPr>
          </w:p>
          <w:p w14:paraId="6384068D">
            <w:pPr>
              <w:spacing w:line="347" w:lineRule="auto"/>
              <w:rPr>
                <w:rFonts w:ascii="Arial"/>
                <w:sz w:val="21"/>
              </w:rPr>
            </w:pPr>
          </w:p>
          <w:p w14:paraId="05B4B100">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21CB7F33">
            <w:pPr>
              <w:spacing w:line="347" w:lineRule="auto"/>
              <w:rPr>
                <w:rFonts w:ascii="Arial"/>
                <w:sz w:val="21"/>
              </w:rPr>
            </w:pPr>
          </w:p>
          <w:p w14:paraId="46FE2F8E">
            <w:pPr>
              <w:spacing w:line="348" w:lineRule="auto"/>
              <w:rPr>
                <w:rFonts w:ascii="Arial"/>
                <w:sz w:val="21"/>
              </w:rPr>
            </w:pPr>
          </w:p>
          <w:p w14:paraId="4B254CB0">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7F7107A">
            <w:pPr>
              <w:spacing w:line="457" w:lineRule="auto"/>
              <w:rPr>
                <w:rFonts w:ascii="Arial"/>
                <w:sz w:val="21"/>
              </w:rPr>
            </w:pPr>
          </w:p>
          <w:p w14:paraId="5CF4B099">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2A2E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3" w:hRule="atLeast"/>
        </w:trPr>
        <w:tc>
          <w:tcPr>
            <w:tcW w:w="629" w:type="dxa"/>
            <w:vAlign w:val="top"/>
          </w:tcPr>
          <w:p w14:paraId="2371F99A">
            <w:pPr>
              <w:spacing w:line="247" w:lineRule="auto"/>
              <w:rPr>
                <w:rFonts w:ascii="Arial"/>
                <w:sz w:val="21"/>
              </w:rPr>
            </w:pPr>
          </w:p>
          <w:p w14:paraId="14F1C9EF">
            <w:pPr>
              <w:spacing w:line="247" w:lineRule="auto"/>
              <w:rPr>
                <w:rFonts w:ascii="Arial"/>
                <w:sz w:val="21"/>
              </w:rPr>
            </w:pPr>
          </w:p>
          <w:p w14:paraId="4369A268">
            <w:pPr>
              <w:spacing w:line="248" w:lineRule="auto"/>
              <w:rPr>
                <w:rFonts w:ascii="Arial"/>
                <w:sz w:val="21"/>
              </w:rPr>
            </w:pPr>
          </w:p>
          <w:p w14:paraId="0CFAA44A">
            <w:pPr>
              <w:spacing w:line="248" w:lineRule="auto"/>
              <w:rPr>
                <w:rFonts w:ascii="Arial"/>
                <w:sz w:val="21"/>
              </w:rPr>
            </w:pPr>
          </w:p>
          <w:p w14:paraId="57DE8532">
            <w:pPr>
              <w:spacing w:line="248" w:lineRule="auto"/>
              <w:rPr>
                <w:rFonts w:ascii="Arial"/>
                <w:sz w:val="21"/>
              </w:rPr>
            </w:pPr>
          </w:p>
          <w:p w14:paraId="1D33BF61">
            <w:pPr>
              <w:pStyle w:val="8"/>
              <w:spacing w:before="59" w:line="183" w:lineRule="auto"/>
              <w:ind w:left="220"/>
              <w:rPr>
                <w:rFonts w:hint="eastAsia" w:eastAsia="宋体"/>
                <w:lang w:eastAsia="zh-CN"/>
              </w:rPr>
            </w:pPr>
            <w:r>
              <w:rPr>
                <w:spacing w:val="-3"/>
              </w:rPr>
              <w:t>4</w:t>
            </w:r>
            <w:r>
              <w:rPr>
                <w:rFonts w:hint="eastAsia"/>
                <w:spacing w:val="-3"/>
                <w:lang w:val="en-US" w:eastAsia="zh-CN"/>
              </w:rPr>
              <w:t>2</w:t>
            </w:r>
          </w:p>
        </w:tc>
        <w:tc>
          <w:tcPr>
            <w:tcW w:w="1101" w:type="dxa"/>
            <w:vAlign w:val="top"/>
          </w:tcPr>
          <w:p w14:paraId="733521AA">
            <w:pPr>
              <w:spacing w:line="244" w:lineRule="auto"/>
              <w:rPr>
                <w:rFonts w:ascii="Arial"/>
                <w:sz w:val="21"/>
              </w:rPr>
            </w:pPr>
          </w:p>
          <w:p w14:paraId="16739F71">
            <w:pPr>
              <w:spacing w:line="244" w:lineRule="auto"/>
              <w:rPr>
                <w:rFonts w:ascii="Arial"/>
                <w:sz w:val="21"/>
              </w:rPr>
            </w:pPr>
          </w:p>
          <w:p w14:paraId="73DC7945">
            <w:pPr>
              <w:spacing w:line="245" w:lineRule="auto"/>
              <w:rPr>
                <w:rFonts w:ascii="Arial"/>
                <w:sz w:val="21"/>
              </w:rPr>
            </w:pPr>
          </w:p>
          <w:p w14:paraId="24BCF473">
            <w:pPr>
              <w:pStyle w:val="8"/>
              <w:spacing w:before="58" w:line="241" w:lineRule="auto"/>
              <w:ind w:left="18" w:right="20"/>
              <w:jc w:val="both"/>
            </w:pPr>
            <w:r>
              <w:rPr>
                <w:spacing w:val="-6"/>
              </w:rPr>
              <w:t>对城市公共交</w:t>
            </w:r>
            <w:r>
              <w:rPr>
                <w:spacing w:val="2"/>
              </w:rPr>
              <w:t xml:space="preserve"> </w:t>
            </w:r>
            <w:r>
              <w:rPr>
                <w:spacing w:val="-6"/>
              </w:rPr>
              <w:t>通企业重点岗</w:t>
            </w:r>
            <w:r>
              <w:rPr>
                <w:spacing w:val="1"/>
              </w:rPr>
              <w:t xml:space="preserve"> </w:t>
            </w:r>
            <w:r>
              <w:rPr>
                <w:spacing w:val="-6"/>
              </w:rPr>
              <w:t>位人员不符合</w:t>
            </w:r>
            <w:r>
              <w:rPr>
                <w:spacing w:val="1"/>
              </w:rPr>
              <w:t xml:space="preserve"> </w:t>
            </w:r>
            <w:r>
              <w:rPr>
                <w:spacing w:val="-6"/>
              </w:rPr>
              <w:t>规定条件等行</w:t>
            </w:r>
            <w:r>
              <w:rPr>
                <w:spacing w:val="1"/>
              </w:rPr>
              <w:t xml:space="preserve"> </w:t>
            </w:r>
            <w:r>
              <w:rPr>
                <w:spacing w:val="-7"/>
              </w:rPr>
              <w:t>为的行政处罚</w:t>
            </w:r>
          </w:p>
        </w:tc>
        <w:tc>
          <w:tcPr>
            <w:tcW w:w="1101" w:type="dxa"/>
            <w:vAlign w:val="top"/>
          </w:tcPr>
          <w:p w14:paraId="206E396E">
            <w:pPr>
              <w:spacing w:line="242" w:lineRule="auto"/>
              <w:rPr>
                <w:rFonts w:ascii="Arial"/>
                <w:sz w:val="21"/>
              </w:rPr>
            </w:pPr>
          </w:p>
          <w:p w14:paraId="359F721B">
            <w:pPr>
              <w:spacing w:line="242" w:lineRule="auto"/>
              <w:rPr>
                <w:rFonts w:ascii="Arial"/>
                <w:sz w:val="21"/>
              </w:rPr>
            </w:pPr>
          </w:p>
          <w:p w14:paraId="2934284E">
            <w:pPr>
              <w:spacing w:line="242" w:lineRule="auto"/>
              <w:rPr>
                <w:rFonts w:ascii="Arial"/>
                <w:sz w:val="21"/>
              </w:rPr>
            </w:pPr>
          </w:p>
          <w:p w14:paraId="04E7AEAB">
            <w:pPr>
              <w:spacing w:line="242" w:lineRule="auto"/>
              <w:rPr>
                <w:rFonts w:ascii="Arial"/>
                <w:sz w:val="21"/>
              </w:rPr>
            </w:pPr>
          </w:p>
          <w:p w14:paraId="0C48DEC2">
            <w:pPr>
              <w:spacing w:line="242" w:lineRule="auto"/>
              <w:rPr>
                <w:rFonts w:ascii="Arial"/>
                <w:sz w:val="21"/>
              </w:rPr>
            </w:pPr>
          </w:p>
          <w:p w14:paraId="3AC16348">
            <w:pPr>
              <w:pStyle w:val="8"/>
              <w:spacing w:before="58" w:line="220" w:lineRule="auto"/>
              <w:ind w:left="25"/>
            </w:pPr>
            <w:r>
              <w:rPr>
                <w:spacing w:val="-7"/>
              </w:rPr>
              <w:t>行政处罚</w:t>
            </w:r>
          </w:p>
        </w:tc>
        <w:tc>
          <w:tcPr>
            <w:tcW w:w="8524" w:type="dxa"/>
            <w:vAlign w:val="top"/>
          </w:tcPr>
          <w:p w14:paraId="28670D62">
            <w:pPr>
              <w:pStyle w:val="8"/>
              <w:spacing w:before="76" w:line="219" w:lineRule="auto"/>
              <w:ind w:left="451"/>
            </w:pPr>
            <w:r>
              <w:rPr>
                <w:b/>
                <w:bCs/>
                <w:spacing w:val="-9"/>
              </w:rPr>
              <w:t>《城市公共交通条例》</w:t>
            </w:r>
          </w:p>
          <w:p w14:paraId="6505AF09">
            <w:pPr>
              <w:pStyle w:val="8"/>
              <w:spacing w:before="26" w:line="219" w:lineRule="auto"/>
              <w:ind w:left="445"/>
            </w:pPr>
            <w:r>
              <w:rPr>
                <w:spacing w:val="-8"/>
              </w:rPr>
              <w:t>第三十一条第一款</w:t>
            </w:r>
            <w:r>
              <w:rPr>
                <w:spacing w:val="81"/>
              </w:rPr>
              <w:t xml:space="preserve"> </w:t>
            </w:r>
            <w:r>
              <w:rPr>
                <w:spacing w:val="-8"/>
              </w:rPr>
              <w:t>城市公共交通企业直接涉及运营安全的驾驶员、乘务员、调度员、值班员、信号工、</w:t>
            </w:r>
          </w:p>
          <w:p w14:paraId="3229EB97">
            <w:pPr>
              <w:pStyle w:val="8"/>
              <w:spacing w:before="27" w:line="237" w:lineRule="auto"/>
              <w:ind w:left="102" w:right="18"/>
            </w:pPr>
            <w:r>
              <w:rPr>
                <w:spacing w:val="-8"/>
              </w:rPr>
              <w:t>通信工等重点岗位人员（以下统称重点岗位人员</w:t>
            </w:r>
            <w:r>
              <w:rPr>
                <w:spacing w:val="-41"/>
              </w:rPr>
              <w:t>），</w:t>
            </w:r>
            <w:r>
              <w:rPr>
                <w:spacing w:val="-8"/>
              </w:rPr>
              <w:t>应当符合下列条件</w:t>
            </w:r>
            <w:r>
              <w:rPr>
                <w:spacing w:val="-41"/>
              </w:rPr>
              <w:t>：（</w:t>
            </w:r>
            <w:r>
              <w:rPr>
                <w:spacing w:val="-9"/>
              </w:rPr>
              <w:t>一）具有履行岗位职责的能力</w:t>
            </w:r>
            <w:r>
              <w:rPr>
                <w:spacing w:val="-41"/>
              </w:rPr>
              <w:t>；（</w:t>
            </w:r>
            <w:r>
              <w:rPr>
                <w:spacing w:val="-9"/>
              </w:rPr>
              <w:t>二）</w:t>
            </w:r>
            <w:r>
              <w:t xml:space="preserve"> </w:t>
            </w:r>
            <w:r>
              <w:rPr>
                <w:spacing w:val="-7"/>
              </w:rPr>
              <w:t>无可能危及运营安全的疾病</w:t>
            </w:r>
            <w:r>
              <w:rPr>
                <w:spacing w:val="-20"/>
              </w:rPr>
              <w:t>；（</w:t>
            </w:r>
            <w:r>
              <w:rPr>
                <w:spacing w:val="-7"/>
              </w:rPr>
              <w:t>三）无暴力犯罪和吸毒行为记录</w:t>
            </w:r>
            <w:r>
              <w:rPr>
                <w:spacing w:val="-20"/>
              </w:rPr>
              <w:t>；（</w:t>
            </w:r>
            <w:r>
              <w:rPr>
                <w:spacing w:val="-7"/>
              </w:rPr>
              <w:t>四）国务院城市公共交通主管部门规定的</w:t>
            </w:r>
            <w:r>
              <w:rPr>
                <w:spacing w:val="1"/>
              </w:rPr>
              <w:t xml:space="preserve">  </w:t>
            </w:r>
            <w:r>
              <w:rPr>
                <w:spacing w:val="-7"/>
              </w:rPr>
              <w:t>其他条件。</w:t>
            </w:r>
          </w:p>
          <w:p w14:paraId="05394AA1">
            <w:pPr>
              <w:pStyle w:val="8"/>
              <w:spacing w:before="24" w:line="233" w:lineRule="auto"/>
              <w:ind w:left="102" w:right="32" w:firstLine="343"/>
            </w:pPr>
            <w:r>
              <w:rPr>
                <w:spacing w:val="-8"/>
              </w:rPr>
              <w:t>第三十二条第一款</w:t>
            </w:r>
            <w:r>
              <w:rPr>
                <w:spacing w:val="74"/>
              </w:rPr>
              <w:t xml:space="preserve"> </w:t>
            </w:r>
            <w:r>
              <w:rPr>
                <w:spacing w:val="-8"/>
              </w:rPr>
              <w:t>城市公共交通企业应当定期对重点岗位人员进行岗位职责、操作规程、服务规范、安</w:t>
            </w:r>
            <w:r>
              <w:t xml:space="preserve">  </w:t>
            </w:r>
            <w:r>
              <w:rPr>
                <w:spacing w:val="-9"/>
              </w:rPr>
              <w:t>全防范和应急处置基本知识等方面的培训和考核，经考核合格的方可上岗作业。培训和考核情况</w:t>
            </w:r>
            <w:r>
              <w:rPr>
                <w:spacing w:val="-10"/>
              </w:rPr>
              <w:t>应当建档备查。</w:t>
            </w:r>
          </w:p>
          <w:p w14:paraId="7C8722CD">
            <w:pPr>
              <w:pStyle w:val="8"/>
              <w:spacing w:before="24"/>
              <w:ind w:left="102" w:right="150" w:firstLine="343"/>
            </w:pPr>
            <w:r>
              <w:rPr>
                <w:spacing w:val="-8"/>
              </w:rPr>
              <w:t>第四十九条第（二）项</w:t>
            </w:r>
            <w:r>
              <w:rPr>
                <w:spacing w:val="74"/>
              </w:rPr>
              <w:t xml:space="preserve"> </w:t>
            </w:r>
            <w:r>
              <w:rPr>
                <w:spacing w:val="-8"/>
              </w:rPr>
              <w:t>城市公共交通企业有下列行为之一的，由城市人民政府城市公共交通主管部门责</w:t>
            </w:r>
            <w:r>
              <w:t xml:space="preserve"> </w:t>
            </w:r>
            <w:r>
              <w:rPr>
                <w:spacing w:val="-8"/>
              </w:rPr>
              <w:t>令改正，可以处5万元以下的罚款，有违法所得的，没收违法所得；拒不改正的，处5万元以上20万元以下的罚</w:t>
            </w:r>
            <w:r>
              <w:rPr>
                <w:spacing w:val="15"/>
              </w:rPr>
              <w:t xml:space="preserve"> </w:t>
            </w:r>
            <w:r>
              <w:rPr>
                <w:spacing w:val="-7"/>
              </w:rPr>
              <w:t>款</w:t>
            </w:r>
            <w:r>
              <w:rPr>
                <w:spacing w:val="-22"/>
              </w:rPr>
              <w:t>：（</w:t>
            </w:r>
            <w:r>
              <w:rPr>
                <w:spacing w:val="-7"/>
              </w:rPr>
              <w:t>二）重点岗位人员不符合规定条件或者未按照规定对重</w:t>
            </w:r>
            <w:r>
              <w:rPr>
                <w:spacing w:val="-8"/>
              </w:rPr>
              <w:t>点岗位人员进行培训和考核，或者安排考核不合</w:t>
            </w:r>
            <w:r>
              <w:rPr>
                <w:spacing w:val="1"/>
              </w:rPr>
              <w:t xml:space="preserve"> </w:t>
            </w:r>
            <w:r>
              <w:rPr>
                <w:spacing w:val="-8"/>
              </w:rPr>
              <w:t>格的重点岗位人员上岗作业。</w:t>
            </w:r>
          </w:p>
        </w:tc>
        <w:tc>
          <w:tcPr>
            <w:tcW w:w="1011" w:type="dxa"/>
            <w:vAlign w:val="top"/>
          </w:tcPr>
          <w:p w14:paraId="3FE5F5EA">
            <w:pPr>
              <w:spacing w:line="272" w:lineRule="auto"/>
              <w:rPr>
                <w:rFonts w:ascii="Arial"/>
                <w:sz w:val="21"/>
              </w:rPr>
            </w:pPr>
          </w:p>
          <w:p w14:paraId="53E2F949">
            <w:pPr>
              <w:spacing w:line="272" w:lineRule="auto"/>
              <w:rPr>
                <w:rFonts w:ascii="Arial"/>
                <w:sz w:val="21"/>
              </w:rPr>
            </w:pPr>
          </w:p>
          <w:p w14:paraId="63E7A493">
            <w:pPr>
              <w:spacing w:line="273" w:lineRule="auto"/>
              <w:rPr>
                <w:rFonts w:ascii="Arial"/>
                <w:sz w:val="21"/>
              </w:rPr>
            </w:pPr>
          </w:p>
          <w:p w14:paraId="3BCE9F81">
            <w:pPr>
              <w:spacing w:line="273" w:lineRule="auto"/>
              <w:rPr>
                <w:rFonts w:ascii="Arial"/>
                <w:sz w:val="21"/>
              </w:rPr>
            </w:pPr>
          </w:p>
          <w:p w14:paraId="3B579342">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5F8EF0BA">
            <w:pPr>
              <w:spacing w:line="272" w:lineRule="auto"/>
              <w:rPr>
                <w:rFonts w:ascii="Arial"/>
                <w:sz w:val="21"/>
              </w:rPr>
            </w:pPr>
          </w:p>
          <w:p w14:paraId="7839598D">
            <w:pPr>
              <w:spacing w:line="272" w:lineRule="auto"/>
              <w:rPr>
                <w:rFonts w:ascii="Arial"/>
                <w:sz w:val="21"/>
              </w:rPr>
            </w:pPr>
          </w:p>
          <w:p w14:paraId="451FD0B7">
            <w:pPr>
              <w:spacing w:line="273" w:lineRule="auto"/>
              <w:rPr>
                <w:rFonts w:ascii="Arial"/>
                <w:sz w:val="21"/>
              </w:rPr>
            </w:pPr>
          </w:p>
          <w:p w14:paraId="2B047176">
            <w:pPr>
              <w:spacing w:line="273" w:lineRule="auto"/>
              <w:rPr>
                <w:rFonts w:ascii="Arial"/>
                <w:sz w:val="21"/>
              </w:rPr>
            </w:pPr>
          </w:p>
          <w:p w14:paraId="4E83D7C5">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BCE1F49">
            <w:pPr>
              <w:spacing w:line="284" w:lineRule="auto"/>
              <w:rPr>
                <w:rFonts w:ascii="Arial"/>
                <w:sz w:val="21"/>
              </w:rPr>
            </w:pPr>
          </w:p>
          <w:p w14:paraId="3D498C22">
            <w:pPr>
              <w:spacing w:line="284" w:lineRule="auto"/>
              <w:rPr>
                <w:rFonts w:ascii="Arial"/>
                <w:sz w:val="21"/>
              </w:rPr>
            </w:pPr>
          </w:p>
          <w:p w14:paraId="512528D1">
            <w:pPr>
              <w:spacing w:line="285" w:lineRule="auto"/>
              <w:rPr>
                <w:rFonts w:ascii="Arial"/>
                <w:sz w:val="21"/>
              </w:rPr>
            </w:pPr>
          </w:p>
          <w:p w14:paraId="535D596D">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C007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09" w:hRule="atLeast"/>
        </w:trPr>
        <w:tc>
          <w:tcPr>
            <w:tcW w:w="629" w:type="dxa"/>
            <w:vAlign w:val="top"/>
          </w:tcPr>
          <w:p w14:paraId="4DA9C89B">
            <w:pPr>
              <w:spacing w:line="272" w:lineRule="auto"/>
              <w:rPr>
                <w:rFonts w:ascii="Arial"/>
                <w:sz w:val="21"/>
              </w:rPr>
            </w:pPr>
          </w:p>
          <w:p w14:paraId="11384430">
            <w:pPr>
              <w:spacing w:line="272" w:lineRule="auto"/>
              <w:rPr>
                <w:rFonts w:ascii="Arial"/>
                <w:sz w:val="21"/>
              </w:rPr>
            </w:pPr>
          </w:p>
          <w:p w14:paraId="61954B40">
            <w:pPr>
              <w:spacing w:line="272" w:lineRule="auto"/>
              <w:rPr>
                <w:rFonts w:ascii="Arial"/>
                <w:sz w:val="21"/>
              </w:rPr>
            </w:pPr>
          </w:p>
          <w:p w14:paraId="415B1610">
            <w:pPr>
              <w:spacing w:line="272" w:lineRule="auto"/>
              <w:rPr>
                <w:rFonts w:ascii="Arial"/>
                <w:sz w:val="21"/>
              </w:rPr>
            </w:pPr>
          </w:p>
          <w:p w14:paraId="6009D229">
            <w:pPr>
              <w:pStyle w:val="8"/>
              <w:spacing w:before="59" w:line="183" w:lineRule="auto"/>
              <w:ind w:left="220"/>
              <w:rPr>
                <w:rFonts w:hint="eastAsia" w:eastAsia="宋体"/>
                <w:lang w:eastAsia="zh-CN"/>
              </w:rPr>
            </w:pPr>
            <w:r>
              <w:rPr>
                <w:spacing w:val="-3"/>
              </w:rPr>
              <w:t>4</w:t>
            </w:r>
            <w:r>
              <w:rPr>
                <w:rFonts w:hint="eastAsia"/>
                <w:spacing w:val="-3"/>
                <w:lang w:val="en-US" w:eastAsia="zh-CN"/>
              </w:rPr>
              <w:t>3</w:t>
            </w:r>
          </w:p>
        </w:tc>
        <w:tc>
          <w:tcPr>
            <w:tcW w:w="1101" w:type="dxa"/>
            <w:vAlign w:val="top"/>
          </w:tcPr>
          <w:p w14:paraId="11996447">
            <w:pPr>
              <w:pStyle w:val="8"/>
              <w:spacing w:before="284" w:line="241" w:lineRule="auto"/>
              <w:ind w:left="18" w:right="20"/>
              <w:jc w:val="both"/>
            </w:pPr>
            <w:r>
              <w:rPr>
                <w:spacing w:val="-6"/>
              </w:rPr>
              <w:t>对城市轨道交</w:t>
            </w:r>
            <w:r>
              <w:rPr>
                <w:spacing w:val="2"/>
              </w:rPr>
              <w:t xml:space="preserve"> </w:t>
            </w:r>
            <w:r>
              <w:rPr>
                <w:spacing w:val="-6"/>
              </w:rPr>
              <w:t>通线路安全保</w:t>
            </w:r>
            <w:r>
              <w:rPr>
                <w:spacing w:val="2"/>
              </w:rPr>
              <w:t xml:space="preserve"> </w:t>
            </w:r>
            <w:r>
              <w:rPr>
                <w:spacing w:val="-6"/>
              </w:rPr>
              <w:t>护区内进行作</w:t>
            </w:r>
            <w:r>
              <w:rPr>
                <w:spacing w:val="2"/>
              </w:rPr>
              <w:t xml:space="preserve"> </w:t>
            </w:r>
            <w:r>
              <w:rPr>
                <w:spacing w:val="-6"/>
              </w:rPr>
              <w:t>业的单位未征</w:t>
            </w:r>
            <w:r>
              <w:rPr>
                <w:spacing w:val="2"/>
              </w:rPr>
              <w:t xml:space="preserve"> </w:t>
            </w:r>
            <w:r>
              <w:rPr>
                <w:spacing w:val="-6"/>
              </w:rPr>
              <w:t>得城市轨道交</w:t>
            </w:r>
            <w:r>
              <w:rPr>
                <w:spacing w:val="2"/>
              </w:rPr>
              <w:t xml:space="preserve"> </w:t>
            </w:r>
            <w:r>
              <w:rPr>
                <w:spacing w:val="-6"/>
              </w:rPr>
              <w:t>通运营单位同</w:t>
            </w:r>
            <w:r>
              <w:rPr>
                <w:spacing w:val="2"/>
              </w:rPr>
              <w:t xml:space="preserve"> </w:t>
            </w:r>
            <w:r>
              <w:rPr>
                <w:spacing w:val="-6"/>
              </w:rPr>
              <w:t>意进行作业等</w:t>
            </w:r>
            <w:r>
              <w:rPr>
                <w:spacing w:val="2"/>
              </w:rPr>
              <w:t xml:space="preserve"> </w:t>
            </w:r>
            <w:r>
              <w:rPr>
                <w:spacing w:val="-6"/>
              </w:rPr>
              <w:t>行为的行政处</w:t>
            </w:r>
            <w:r>
              <w:rPr>
                <w:spacing w:val="2"/>
              </w:rPr>
              <w:t xml:space="preserve"> </w:t>
            </w:r>
            <w:r>
              <w:t>罚</w:t>
            </w:r>
          </w:p>
        </w:tc>
        <w:tc>
          <w:tcPr>
            <w:tcW w:w="1101" w:type="dxa"/>
            <w:vAlign w:val="top"/>
          </w:tcPr>
          <w:p w14:paraId="5D758B53">
            <w:pPr>
              <w:spacing w:line="265" w:lineRule="auto"/>
              <w:rPr>
                <w:rFonts w:ascii="Arial"/>
                <w:sz w:val="21"/>
              </w:rPr>
            </w:pPr>
          </w:p>
          <w:p w14:paraId="3D7D79AA">
            <w:pPr>
              <w:spacing w:line="265" w:lineRule="auto"/>
              <w:rPr>
                <w:rFonts w:ascii="Arial"/>
                <w:sz w:val="21"/>
              </w:rPr>
            </w:pPr>
          </w:p>
          <w:p w14:paraId="653FF8FD">
            <w:pPr>
              <w:spacing w:line="265" w:lineRule="auto"/>
              <w:rPr>
                <w:rFonts w:ascii="Arial"/>
                <w:sz w:val="21"/>
              </w:rPr>
            </w:pPr>
          </w:p>
          <w:p w14:paraId="1FD170B1">
            <w:pPr>
              <w:spacing w:line="265" w:lineRule="auto"/>
              <w:rPr>
                <w:rFonts w:ascii="Arial"/>
                <w:sz w:val="21"/>
              </w:rPr>
            </w:pPr>
          </w:p>
          <w:p w14:paraId="78EB0BB6">
            <w:pPr>
              <w:pStyle w:val="8"/>
              <w:spacing w:before="59" w:line="220" w:lineRule="auto"/>
              <w:ind w:left="25"/>
            </w:pPr>
            <w:r>
              <w:rPr>
                <w:spacing w:val="-7"/>
              </w:rPr>
              <w:t>行政处罚</w:t>
            </w:r>
          </w:p>
        </w:tc>
        <w:tc>
          <w:tcPr>
            <w:tcW w:w="8524" w:type="dxa"/>
            <w:vAlign w:val="top"/>
          </w:tcPr>
          <w:p w14:paraId="5ABD27EC">
            <w:pPr>
              <w:pStyle w:val="8"/>
              <w:spacing w:before="46" w:line="219" w:lineRule="auto"/>
              <w:ind w:left="451"/>
            </w:pPr>
            <w:r>
              <w:rPr>
                <w:b/>
                <w:bCs/>
                <w:spacing w:val="-9"/>
              </w:rPr>
              <w:t>《城市公共交通条例》</w:t>
            </w:r>
          </w:p>
          <w:p w14:paraId="2052EAFF">
            <w:pPr>
              <w:pStyle w:val="8"/>
              <w:spacing w:before="27" w:line="239" w:lineRule="auto"/>
              <w:ind w:left="102" w:right="32" w:firstLine="342"/>
              <w:jc w:val="both"/>
            </w:pPr>
            <w:r>
              <w:rPr>
                <w:spacing w:val="-9"/>
              </w:rPr>
              <w:t>第四十三条第二款</w:t>
            </w:r>
            <w:r>
              <w:rPr>
                <w:spacing w:val="73"/>
              </w:rPr>
              <w:t xml:space="preserve"> </w:t>
            </w:r>
            <w:r>
              <w:rPr>
                <w:spacing w:val="-9"/>
              </w:rPr>
              <w:t>在城市轨道交通线路安全保护区内进行作业的，应当征得城市轨道交通运营单位同意。</w:t>
            </w:r>
            <w:r>
              <w:t xml:space="preserve"> </w:t>
            </w:r>
            <w:r>
              <w:rPr>
                <w:spacing w:val="-8"/>
              </w:rPr>
              <w:t>作业单位应当制定和落实安全防护方案，并在作业过程中对作业影响区域进行动态监测，及时发现并消除</w:t>
            </w:r>
            <w:r>
              <w:rPr>
                <w:spacing w:val="-9"/>
              </w:rPr>
              <w:t>安全</w:t>
            </w:r>
            <w:r>
              <w:t xml:space="preserve">  </w:t>
            </w:r>
            <w:r>
              <w:rPr>
                <w:spacing w:val="-8"/>
              </w:rPr>
              <w:t>隐患。城市轨道交通运营单位可以进入作业现场进行巡查，发现作业危及或者可能危及城市轨道交通运营</w:t>
            </w:r>
            <w:r>
              <w:rPr>
                <w:spacing w:val="-9"/>
              </w:rPr>
              <w:t>安全</w:t>
            </w:r>
            <w:r>
              <w:t xml:space="preserve">  </w:t>
            </w:r>
            <w:r>
              <w:rPr>
                <w:spacing w:val="-8"/>
              </w:rPr>
              <w:t>的，应当要求作业单位采取措施消除安全隐患或者停止作业。</w:t>
            </w:r>
          </w:p>
          <w:p w14:paraId="7122412B">
            <w:pPr>
              <w:pStyle w:val="8"/>
              <w:spacing w:before="24" w:line="237" w:lineRule="auto"/>
              <w:ind w:left="101" w:right="48" w:firstLine="343"/>
              <w:jc w:val="both"/>
            </w:pPr>
            <w:r>
              <w:rPr>
                <w:spacing w:val="-8"/>
              </w:rPr>
              <w:t>第五十条</w:t>
            </w:r>
            <w:r>
              <w:rPr>
                <w:spacing w:val="74"/>
              </w:rPr>
              <w:t xml:space="preserve"> </w:t>
            </w:r>
            <w:r>
              <w:rPr>
                <w:spacing w:val="-8"/>
              </w:rPr>
              <w:t>在城市轨道交通线路安全保护区内进行作业的单位有下列行为之一的，由城市人民政府城市公</w:t>
            </w:r>
            <w:r>
              <w:t xml:space="preserve">  </w:t>
            </w:r>
            <w:r>
              <w:rPr>
                <w:spacing w:val="-8"/>
              </w:rPr>
              <w:t>共交通主管部门责令改正，暂时停止作业，可以处5万元以下的罚款；拒不改正的，责令停止作业，并处5万元</w:t>
            </w:r>
            <w:r>
              <w:rPr>
                <w:spacing w:val="5"/>
              </w:rPr>
              <w:t xml:space="preserve">  </w:t>
            </w:r>
            <w:r>
              <w:rPr>
                <w:spacing w:val="-10"/>
              </w:rPr>
              <w:t>以上20万元以下的罚款；造成城市轨道交通设施损坏或者影响运营安</w:t>
            </w:r>
            <w:r>
              <w:rPr>
                <w:spacing w:val="-11"/>
              </w:rPr>
              <w:t>全的，并处20万元以上100万元以下的罚款：</w:t>
            </w:r>
            <w:r>
              <w:t xml:space="preserve"> </w:t>
            </w:r>
            <w:r>
              <w:rPr>
                <w:spacing w:val="-7"/>
              </w:rPr>
              <w:t>（一）未征得城市轨道交通运营单位同意进行作业</w:t>
            </w:r>
            <w:r>
              <w:rPr>
                <w:spacing w:val="-20"/>
              </w:rPr>
              <w:t>；（</w:t>
            </w:r>
            <w:r>
              <w:rPr>
                <w:spacing w:val="-7"/>
              </w:rPr>
              <w:t>二）未制定和落实安全防护方案</w:t>
            </w:r>
            <w:r>
              <w:rPr>
                <w:spacing w:val="-20"/>
              </w:rPr>
              <w:t>；（</w:t>
            </w:r>
            <w:r>
              <w:rPr>
                <w:spacing w:val="-7"/>
              </w:rPr>
              <w:t>三）未在作业过程</w:t>
            </w:r>
            <w:r>
              <w:rPr>
                <w:spacing w:val="1"/>
              </w:rPr>
              <w:t xml:space="preserve">  </w:t>
            </w:r>
            <w:r>
              <w:rPr>
                <w:spacing w:val="-8"/>
              </w:rPr>
              <w:t>中对作业影响区域进行动态监测或者未及时消除发现的安全隐患。</w:t>
            </w:r>
          </w:p>
        </w:tc>
        <w:tc>
          <w:tcPr>
            <w:tcW w:w="1011" w:type="dxa"/>
            <w:vAlign w:val="top"/>
          </w:tcPr>
          <w:p w14:paraId="18813A00">
            <w:pPr>
              <w:spacing w:line="313" w:lineRule="auto"/>
              <w:rPr>
                <w:rFonts w:ascii="Arial"/>
                <w:sz w:val="21"/>
              </w:rPr>
            </w:pPr>
          </w:p>
          <w:p w14:paraId="75A5E95D">
            <w:pPr>
              <w:spacing w:line="314" w:lineRule="auto"/>
              <w:rPr>
                <w:rFonts w:ascii="Arial"/>
                <w:sz w:val="21"/>
              </w:rPr>
            </w:pPr>
          </w:p>
          <w:p w14:paraId="6D719CB5">
            <w:pPr>
              <w:spacing w:line="314" w:lineRule="auto"/>
              <w:rPr>
                <w:rFonts w:ascii="Arial"/>
                <w:sz w:val="21"/>
              </w:rPr>
            </w:pPr>
          </w:p>
          <w:p w14:paraId="11DEF240">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794130CD">
            <w:pPr>
              <w:spacing w:line="313" w:lineRule="auto"/>
              <w:rPr>
                <w:rFonts w:ascii="Arial"/>
                <w:sz w:val="21"/>
              </w:rPr>
            </w:pPr>
          </w:p>
          <w:p w14:paraId="080B45D7">
            <w:pPr>
              <w:spacing w:line="314" w:lineRule="auto"/>
              <w:rPr>
                <w:rFonts w:ascii="Arial"/>
                <w:sz w:val="21"/>
              </w:rPr>
            </w:pPr>
          </w:p>
          <w:p w14:paraId="329AC3FA">
            <w:pPr>
              <w:spacing w:line="314" w:lineRule="auto"/>
              <w:rPr>
                <w:rFonts w:ascii="Arial"/>
                <w:sz w:val="21"/>
              </w:rPr>
            </w:pPr>
          </w:p>
          <w:p w14:paraId="33445909">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757330F">
            <w:pPr>
              <w:spacing w:line="352" w:lineRule="auto"/>
              <w:rPr>
                <w:rFonts w:ascii="Arial"/>
                <w:sz w:val="21"/>
              </w:rPr>
            </w:pPr>
          </w:p>
          <w:p w14:paraId="3538D553">
            <w:pPr>
              <w:spacing w:line="352" w:lineRule="auto"/>
              <w:rPr>
                <w:rFonts w:ascii="Arial"/>
                <w:sz w:val="21"/>
              </w:rPr>
            </w:pPr>
          </w:p>
          <w:p w14:paraId="206DC3B5">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58FF5DD6">
      <w:pPr>
        <w:pStyle w:val="2"/>
      </w:pPr>
    </w:p>
    <w:p w14:paraId="04CF24C9">
      <w:pPr>
        <w:sectPr>
          <w:footerReference r:id="rId44" w:type="default"/>
          <w:pgSz w:w="16839" w:h="11906"/>
          <w:pgMar w:top="1012" w:right="1016" w:bottom="966" w:left="1016" w:header="0" w:footer="768" w:gutter="0"/>
          <w:cols w:space="720" w:num="1"/>
        </w:sectPr>
      </w:pPr>
    </w:p>
    <w:p w14:paraId="67B8D9F9">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17BE9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1E327362">
            <w:pPr>
              <w:pStyle w:val="8"/>
              <w:spacing w:before="273" w:line="221" w:lineRule="auto"/>
              <w:ind w:left="129"/>
            </w:pPr>
            <w:r>
              <w:rPr>
                <w:b/>
                <w:bCs/>
                <w:spacing w:val="-4"/>
              </w:rPr>
              <w:t>序号</w:t>
            </w:r>
          </w:p>
        </w:tc>
        <w:tc>
          <w:tcPr>
            <w:tcW w:w="1101" w:type="dxa"/>
            <w:vMerge w:val="restart"/>
            <w:tcBorders>
              <w:bottom w:val="nil"/>
            </w:tcBorders>
            <w:vAlign w:val="top"/>
          </w:tcPr>
          <w:p w14:paraId="1AFCC5D5">
            <w:pPr>
              <w:pStyle w:val="8"/>
              <w:spacing w:before="274" w:line="220" w:lineRule="auto"/>
              <w:ind w:left="182"/>
            </w:pPr>
            <w:r>
              <w:rPr>
                <w:b/>
                <w:bCs/>
                <w:spacing w:val="-4"/>
              </w:rPr>
              <w:t>事项名称</w:t>
            </w:r>
          </w:p>
        </w:tc>
        <w:tc>
          <w:tcPr>
            <w:tcW w:w="1101" w:type="dxa"/>
            <w:vMerge w:val="restart"/>
            <w:tcBorders>
              <w:bottom w:val="nil"/>
            </w:tcBorders>
            <w:vAlign w:val="top"/>
          </w:tcPr>
          <w:p w14:paraId="3044F856">
            <w:pPr>
              <w:pStyle w:val="8"/>
              <w:spacing w:before="274" w:line="219" w:lineRule="auto"/>
              <w:ind w:left="183"/>
            </w:pPr>
            <w:r>
              <w:rPr>
                <w:b/>
                <w:bCs/>
                <w:spacing w:val="-4"/>
              </w:rPr>
              <w:t>职权类型</w:t>
            </w:r>
          </w:p>
        </w:tc>
        <w:tc>
          <w:tcPr>
            <w:tcW w:w="8524" w:type="dxa"/>
            <w:vMerge w:val="restart"/>
            <w:tcBorders>
              <w:bottom w:val="nil"/>
            </w:tcBorders>
            <w:vAlign w:val="top"/>
          </w:tcPr>
          <w:p w14:paraId="11A8C769">
            <w:pPr>
              <w:pStyle w:val="8"/>
              <w:spacing w:before="273" w:line="219" w:lineRule="auto"/>
              <w:ind w:left="4083"/>
            </w:pPr>
            <w:r>
              <w:rPr>
                <w:b/>
                <w:bCs/>
                <w:spacing w:val="-5"/>
              </w:rPr>
              <w:t>实施依据</w:t>
            </w:r>
          </w:p>
        </w:tc>
        <w:tc>
          <w:tcPr>
            <w:tcW w:w="3435" w:type="dxa"/>
            <w:gridSpan w:val="3"/>
            <w:vAlign w:val="top"/>
          </w:tcPr>
          <w:p w14:paraId="21801256">
            <w:pPr>
              <w:pStyle w:val="8"/>
              <w:spacing w:before="94" w:line="220" w:lineRule="auto"/>
              <w:ind w:left="1360"/>
            </w:pPr>
            <w:r>
              <w:rPr>
                <w:b/>
                <w:bCs/>
                <w:spacing w:val="-5"/>
              </w:rPr>
              <w:t>实施主体</w:t>
            </w:r>
          </w:p>
        </w:tc>
      </w:tr>
      <w:tr w14:paraId="3358A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7A139F43">
            <w:pPr>
              <w:rPr>
                <w:rFonts w:ascii="Arial"/>
                <w:sz w:val="21"/>
              </w:rPr>
            </w:pPr>
          </w:p>
        </w:tc>
        <w:tc>
          <w:tcPr>
            <w:tcW w:w="1101" w:type="dxa"/>
            <w:vMerge w:val="continue"/>
            <w:tcBorders>
              <w:top w:val="nil"/>
            </w:tcBorders>
            <w:vAlign w:val="top"/>
          </w:tcPr>
          <w:p w14:paraId="4EE8092D">
            <w:pPr>
              <w:rPr>
                <w:rFonts w:ascii="Arial"/>
                <w:sz w:val="21"/>
              </w:rPr>
            </w:pPr>
          </w:p>
        </w:tc>
        <w:tc>
          <w:tcPr>
            <w:tcW w:w="1101" w:type="dxa"/>
            <w:vMerge w:val="continue"/>
            <w:tcBorders>
              <w:top w:val="nil"/>
            </w:tcBorders>
            <w:vAlign w:val="top"/>
          </w:tcPr>
          <w:p w14:paraId="66AB49EF">
            <w:pPr>
              <w:rPr>
                <w:rFonts w:ascii="Arial"/>
                <w:sz w:val="21"/>
              </w:rPr>
            </w:pPr>
          </w:p>
        </w:tc>
        <w:tc>
          <w:tcPr>
            <w:tcW w:w="8524" w:type="dxa"/>
            <w:vMerge w:val="continue"/>
            <w:tcBorders>
              <w:top w:val="nil"/>
            </w:tcBorders>
            <w:vAlign w:val="top"/>
          </w:tcPr>
          <w:p w14:paraId="696D43C9">
            <w:pPr>
              <w:rPr>
                <w:rFonts w:ascii="Arial"/>
                <w:sz w:val="21"/>
              </w:rPr>
            </w:pPr>
          </w:p>
        </w:tc>
        <w:tc>
          <w:tcPr>
            <w:tcW w:w="1011" w:type="dxa"/>
            <w:vAlign w:val="top"/>
          </w:tcPr>
          <w:p w14:paraId="459E6C8C">
            <w:pPr>
              <w:pStyle w:val="8"/>
              <w:spacing w:before="85" w:line="219" w:lineRule="auto"/>
              <w:ind w:left="154"/>
            </w:pPr>
            <w:r>
              <w:rPr>
                <w:b/>
                <w:bCs/>
                <w:spacing w:val="-5"/>
              </w:rPr>
              <w:t>责任部门</w:t>
            </w:r>
          </w:p>
        </w:tc>
        <w:tc>
          <w:tcPr>
            <w:tcW w:w="1404" w:type="dxa"/>
            <w:vAlign w:val="top"/>
          </w:tcPr>
          <w:p w14:paraId="03DF7DE9">
            <w:pPr>
              <w:pStyle w:val="8"/>
              <w:spacing w:before="85" w:line="219" w:lineRule="auto"/>
              <w:ind w:left="164"/>
            </w:pPr>
            <w:r>
              <w:rPr>
                <w:b/>
                <w:bCs/>
                <w:spacing w:val="-3"/>
              </w:rPr>
              <w:t>第一责任层级</w:t>
            </w:r>
          </w:p>
        </w:tc>
        <w:tc>
          <w:tcPr>
            <w:tcW w:w="1020" w:type="dxa"/>
            <w:vAlign w:val="top"/>
          </w:tcPr>
          <w:p w14:paraId="1B3FFE8E">
            <w:pPr>
              <w:pStyle w:val="8"/>
              <w:spacing w:before="84" w:line="219" w:lineRule="auto"/>
              <w:ind w:left="114"/>
            </w:pPr>
            <w:r>
              <w:rPr>
                <w:b/>
                <w:bCs/>
                <w:spacing w:val="-4"/>
              </w:rPr>
              <w:t>承办机构</w:t>
            </w:r>
          </w:p>
        </w:tc>
      </w:tr>
      <w:tr w14:paraId="0C20E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67" w:hRule="atLeast"/>
        </w:trPr>
        <w:tc>
          <w:tcPr>
            <w:tcW w:w="629" w:type="dxa"/>
            <w:vAlign w:val="top"/>
          </w:tcPr>
          <w:p w14:paraId="2D17670C">
            <w:pPr>
              <w:rPr>
                <w:rFonts w:ascii="Arial"/>
                <w:sz w:val="21"/>
              </w:rPr>
            </w:pPr>
          </w:p>
          <w:p w14:paraId="168EE53D">
            <w:pPr>
              <w:rPr>
                <w:rFonts w:ascii="Arial"/>
                <w:sz w:val="21"/>
              </w:rPr>
            </w:pPr>
          </w:p>
          <w:p w14:paraId="2319C54A">
            <w:pPr>
              <w:spacing w:line="241" w:lineRule="auto"/>
              <w:rPr>
                <w:rFonts w:ascii="Arial"/>
                <w:sz w:val="21"/>
              </w:rPr>
            </w:pPr>
          </w:p>
          <w:p w14:paraId="62A795D9">
            <w:pPr>
              <w:spacing w:line="241" w:lineRule="auto"/>
              <w:rPr>
                <w:rFonts w:ascii="Arial"/>
                <w:sz w:val="21"/>
              </w:rPr>
            </w:pPr>
          </w:p>
          <w:p w14:paraId="41A5E2CA">
            <w:pPr>
              <w:pStyle w:val="8"/>
              <w:spacing w:before="58" w:line="183" w:lineRule="auto"/>
              <w:ind w:left="220"/>
              <w:rPr>
                <w:rFonts w:hint="eastAsia" w:eastAsia="宋体"/>
                <w:lang w:eastAsia="zh-CN"/>
              </w:rPr>
            </w:pPr>
            <w:r>
              <w:rPr>
                <w:spacing w:val="-3"/>
              </w:rPr>
              <w:t>4</w:t>
            </w:r>
            <w:r>
              <w:rPr>
                <w:rFonts w:hint="eastAsia"/>
                <w:spacing w:val="-3"/>
                <w:lang w:val="en-US" w:eastAsia="zh-CN"/>
              </w:rPr>
              <w:t>4</w:t>
            </w:r>
          </w:p>
        </w:tc>
        <w:tc>
          <w:tcPr>
            <w:tcW w:w="1101" w:type="dxa"/>
            <w:vAlign w:val="top"/>
          </w:tcPr>
          <w:p w14:paraId="47B69181">
            <w:pPr>
              <w:spacing w:line="456" w:lineRule="auto"/>
              <w:rPr>
                <w:rFonts w:ascii="Arial"/>
                <w:sz w:val="21"/>
              </w:rPr>
            </w:pPr>
          </w:p>
          <w:p w14:paraId="06646AEA">
            <w:pPr>
              <w:pStyle w:val="8"/>
              <w:spacing w:before="58" w:line="241" w:lineRule="auto"/>
              <w:ind w:left="18" w:right="20"/>
              <w:jc w:val="both"/>
            </w:pPr>
            <w:r>
              <w:rPr>
                <w:spacing w:val="-6"/>
              </w:rPr>
              <w:t>对出租汽车客</w:t>
            </w:r>
            <w:r>
              <w:rPr>
                <w:spacing w:val="2"/>
              </w:rPr>
              <w:t xml:space="preserve"> </w:t>
            </w:r>
            <w:r>
              <w:rPr>
                <w:spacing w:val="-6"/>
              </w:rPr>
              <w:t>运经营者以预</w:t>
            </w:r>
            <w:r>
              <w:rPr>
                <w:spacing w:val="2"/>
              </w:rPr>
              <w:t xml:space="preserve"> </w:t>
            </w:r>
            <w:r>
              <w:rPr>
                <w:spacing w:val="-6"/>
              </w:rPr>
              <w:t>设目的地等方</w:t>
            </w:r>
            <w:r>
              <w:rPr>
                <w:spacing w:val="2"/>
              </w:rPr>
              <w:t xml:space="preserve"> </w:t>
            </w:r>
            <w:r>
              <w:rPr>
                <w:spacing w:val="-6"/>
              </w:rPr>
              <w:t>式从事定线运</w:t>
            </w:r>
            <w:r>
              <w:rPr>
                <w:spacing w:val="2"/>
              </w:rPr>
              <w:t xml:space="preserve"> </w:t>
            </w:r>
            <w:r>
              <w:rPr>
                <w:spacing w:val="-7"/>
              </w:rPr>
              <w:t>输的行政处罚</w:t>
            </w:r>
          </w:p>
        </w:tc>
        <w:tc>
          <w:tcPr>
            <w:tcW w:w="1101" w:type="dxa"/>
            <w:vAlign w:val="top"/>
          </w:tcPr>
          <w:p w14:paraId="0707E9D7">
            <w:pPr>
              <w:spacing w:line="311" w:lineRule="auto"/>
              <w:rPr>
                <w:rFonts w:ascii="Arial"/>
                <w:sz w:val="21"/>
              </w:rPr>
            </w:pPr>
          </w:p>
          <w:p w14:paraId="7F8E4358">
            <w:pPr>
              <w:spacing w:line="311" w:lineRule="auto"/>
              <w:rPr>
                <w:rFonts w:ascii="Arial"/>
                <w:sz w:val="21"/>
              </w:rPr>
            </w:pPr>
          </w:p>
          <w:p w14:paraId="203D82DE">
            <w:pPr>
              <w:spacing w:line="311" w:lineRule="auto"/>
              <w:rPr>
                <w:rFonts w:ascii="Arial"/>
                <w:sz w:val="21"/>
              </w:rPr>
            </w:pPr>
          </w:p>
          <w:p w14:paraId="56CFBF5D">
            <w:pPr>
              <w:pStyle w:val="8"/>
              <w:spacing w:before="59" w:line="220" w:lineRule="auto"/>
              <w:ind w:left="25"/>
            </w:pPr>
            <w:r>
              <w:rPr>
                <w:spacing w:val="-7"/>
              </w:rPr>
              <w:t>行政处罚</w:t>
            </w:r>
          </w:p>
        </w:tc>
        <w:tc>
          <w:tcPr>
            <w:tcW w:w="8524" w:type="dxa"/>
            <w:vAlign w:val="top"/>
          </w:tcPr>
          <w:p w14:paraId="7C867299">
            <w:pPr>
              <w:spacing w:line="337" w:lineRule="auto"/>
              <w:rPr>
                <w:rFonts w:ascii="Arial"/>
                <w:sz w:val="21"/>
              </w:rPr>
            </w:pPr>
          </w:p>
          <w:p w14:paraId="3669662C">
            <w:pPr>
              <w:pStyle w:val="8"/>
              <w:spacing w:before="59" w:line="219" w:lineRule="auto"/>
              <w:ind w:left="451"/>
            </w:pPr>
            <w:r>
              <w:rPr>
                <w:b/>
                <w:bCs/>
                <w:spacing w:val="-9"/>
              </w:rPr>
              <w:t>《湖南省道路运输条例》</w:t>
            </w:r>
          </w:p>
          <w:p w14:paraId="75E7DF60">
            <w:pPr>
              <w:pStyle w:val="8"/>
              <w:spacing w:before="25" w:line="233" w:lineRule="auto"/>
              <w:ind w:left="105" w:right="157" w:firstLine="339"/>
            </w:pPr>
            <w:r>
              <w:rPr>
                <w:spacing w:val="-8"/>
              </w:rPr>
              <w:t>第九条第一款  出租汽车客运实行区域经营。出租汽车客运经营者不得从事起点和终点均在许可经营区域</w:t>
            </w:r>
            <w:r>
              <w:t xml:space="preserve"> </w:t>
            </w:r>
            <w:r>
              <w:rPr>
                <w:spacing w:val="-8"/>
              </w:rPr>
              <w:t>外的载客业务，不得以预设目的地等方式从事定线运输。</w:t>
            </w:r>
          </w:p>
          <w:p w14:paraId="0AE92F14">
            <w:pPr>
              <w:pStyle w:val="8"/>
              <w:spacing w:before="26" w:line="237" w:lineRule="auto"/>
              <w:ind w:left="103" w:right="150" w:firstLine="341"/>
            </w:pPr>
            <w:r>
              <w:rPr>
                <w:spacing w:val="-8"/>
              </w:rPr>
              <w:t>第二十八条</w:t>
            </w:r>
            <w:r>
              <w:rPr>
                <w:spacing w:val="81"/>
              </w:rPr>
              <w:t xml:space="preserve"> </w:t>
            </w:r>
            <w:r>
              <w:rPr>
                <w:spacing w:val="-8"/>
              </w:rPr>
              <w:t>违反本条例第九条第一款规定，出租汽车客运经营者以预设目的地等方式从事定线运输的，</w:t>
            </w:r>
            <w:r>
              <w:t xml:space="preserve"> </w:t>
            </w:r>
            <w:r>
              <w:rPr>
                <w:spacing w:val="-8"/>
              </w:rPr>
              <w:t>由县级以上人民政府交通运输主管部门责令改正，没收违法所得，违法所得五千元以上的，处违法所得</w:t>
            </w:r>
            <w:r>
              <w:rPr>
                <w:spacing w:val="-9"/>
              </w:rPr>
              <w:t>一倍以</w:t>
            </w:r>
            <w:r>
              <w:t xml:space="preserve"> </w:t>
            </w:r>
            <w:r>
              <w:rPr>
                <w:spacing w:val="-8"/>
              </w:rPr>
              <w:t>上五倍以下罚款；没有违法所得或者违法所得不足五千元的，处三千元以上二万元以下罚款。</w:t>
            </w:r>
          </w:p>
        </w:tc>
        <w:tc>
          <w:tcPr>
            <w:tcW w:w="1011" w:type="dxa"/>
            <w:vAlign w:val="top"/>
          </w:tcPr>
          <w:p w14:paraId="3FF81F17">
            <w:pPr>
              <w:spacing w:line="271" w:lineRule="auto"/>
              <w:rPr>
                <w:rFonts w:ascii="Arial"/>
                <w:sz w:val="21"/>
              </w:rPr>
            </w:pPr>
          </w:p>
          <w:p w14:paraId="499837FD">
            <w:pPr>
              <w:spacing w:line="271" w:lineRule="auto"/>
              <w:rPr>
                <w:rFonts w:ascii="Arial"/>
                <w:sz w:val="21"/>
              </w:rPr>
            </w:pPr>
          </w:p>
          <w:p w14:paraId="0B386190">
            <w:pPr>
              <w:spacing w:line="272" w:lineRule="auto"/>
              <w:rPr>
                <w:rFonts w:ascii="Arial"/>
                <w:sz w:val="21"/>
              </w:rPr>
            </w:pPr>
          </w:p>
          <w:p w14:paraId="2F43AF01">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0B95BA0F">
            <w:pPr>
              <w:spacing w:line="271" w:lineRule="auto"/>
              <w:rPr>
                <w:rFonts w:ascii="Arial"/>
                <w:sz w:val="21"/>
              </w:rPr>
            </w:pPr>
          </w:p>
          <w:p w14:paraId="794826F8">
            <w:pPr>
              <w:spacing w:line="271" w:lineRule="auto"/>
              <w:rPr>
                <w:rFonts w:ascii="Arial"/>
                <w:sz w:val="21"/>
              </w:rPr>
            </w:pPr>
          </w:p>
          <w:p w14:paraId="492CFFDB">
            <w:pPr>
              <w:spacing w:line="272" w:lineRule="auto"/>
              <w:rPr>
                <w:rFonts w:ascii="Arial"/>
                <w:sz w:val="21"/>
              </w:rPr>
            </w:pPr>
          </w:p>
          <w:p w14:paraId="15B3B3CA">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781A3BC">
            <w:pPr>
              <w:spacing w:line="288" w:lineRule="auto"/>
              <w:rPr>
                <w:rFonts w:ascii="Arial"/>
                <w:sz w:val="21"/>
              </w:rPr>
            </w:pPr>
          </w:p>
          <w:p w14:paraId="3144D595">
            <w:pPr>
              <w:spacing w:line="289" w:lineRule="auto"/>
              <w:rPr>
                <w:rFonts w:ascii="Arial"/>
                <w:sz w:val="21"/>
              </w:rPr>
            </w:pPr>
          </w:p>
          <w:p w14:paraId="53DA20EA">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86E0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6" w:hRule="atLeast"/>
        </w:trPr>
        <w:tc>
          <w:tcPr>
            <w:tcW w:w="629" w:type="dxa"/>
            <w:vAlign w:val="top"/>
          </w:tcPr>
          <w:p w14:paraId="5487A583">
            <w:pPr>
              <w:spacing w:line="246" w:lineRule="auto"/>
              <w:rPr>
                <w:rFonts w:ascii="Arial"/>
                <w:sz w:val="21"/>
              </w:rPr>
            </w:pPr>
          </w:p>
          <w:p w14:paraId="2D459406">
            <w:pPr>
              <w:spacing w:line="246" w:lineRule="auto"/>
              <w:rPr>
                <w:rFonts w:ascii="Arial"/>
                <w:sz w:val="21"/>
              </w:rPr>
            </w:pPr>
          </w:p>
          <w:p w14:paraId="1EDADCF8">
            <w:pPr>
              <w:spacing w:line="246" w:lineRule="auto"/>
              <w:rPr>
                <w:rFonts w:ascii="Arial"/>
                <w:sz w:val="21"/>
              </w:rPr>
            </w:pPr>
          </w:p>
          <w:p w14:paraId="48751963">
            <w:pPr>
              <w:spacing w:line="246" w:lineRule="auto"/>
              <w:rPr>
                <w:rFonts w:ascii="Arial"/>
                <w:sz w:val="21"/>
              </w:rPr>
            </w:pPr>
          </w:p>
          <w:p w14:paraId="79AD8D98">
            <w:pPr>
              <w:spacing w:line="246" w:lineRule="auto"/>
              <w:rPr>
                <w:rFonts w:ascii="Arial"/>
                <w:sz w:val="21"/>
              </w:rPr>
            </w:pPr>
          </w:p>
          <w:p w14:paraId="2323E486">
            <w:pPr>
              <w:spacing w:line="247" w:lineRule="auto"/>
              <w:rPr>
                <w:rFonts w:ascii="Arial"/>
                <w:sz w:val="21"/>
              </w:rPr>
            </w:pPr>
          </w:p>
          <w:p w14:paraId="27EAACAC">
            <w:pPr>
              <w:pStyle w:val="8"/>
              <w:spacing w:before="58" w:line="183" w:lineRule="auto"/>
              <w:ind w:left="220"/>
              <w:rPr>
                <w:rFonts w:hint="eastAsia" w:eastAsia="宋体"/>
                <w:lang w:eastAsia="zh-CN"/>
              </w:rPr>
            </w:pPr>
            <w:r>
              <w:rPr>
                <w:spacing w:val="-3"/>
              </w:rPr>
              <w:t>4</w:t>
            </w:r>
            <w:r>
              <w:rPr>
                <w:rFonts w:hint="eastAsia"/>
                <w:spacing w:val="-3"/>
                <w:lang w:val="en-US" w:eastAsia="zh-CN"/>
              </w:rPr>
              <w:t>5</w:t>
            </w:r>
          </w:p>
        </w:tc>
        <w:tc>
          <w:tcPr>
            <w:tcW w:w="1101" w:type="dxa"/>
            <w:vAlign w:val="top"/>
          </w:tcPr>
          <w:p w14:paraId="6BB26754">
            <w:pPr>
              <w:spacing w:line="377" w:lineRule="auto"/>
              <w:rPr>
                <w:rFonts w:ascii="Arial"/>
                <w:sz w:val="21"/>
              </w:rPr>
            </w:pPr>
          </w:p>
          <w:p w14:paraId="715CF485">
            <w:pPr>
              <w:pStyle w:val="8"/>
              <w:spacing w:before="59" w:line="243" w:lineRule="auto"/>
              <w:ind w:left="18" w:right="20"/>
              <w:jc w:val="both"/>
            </w:pPr>
            <w:r>
              <w:rPr>
                <w:spacing w:val="-6"/>
              </w:rPr>
              <w:t>对客运经营者</w:t>
            </w:r>
            <w:r>
              <w:rPr>
                <w:spacing w:val="2"/>
              </w:rPr>
              <w:t xml:space="preserve"> </w:t>
            </w:r>
            <w:r>
              <w:rPr>
                <w:spacing w:val="-6"/>
              </w:rPr>
              <w:t>未持合法有效</w:t>
            </w:r>
            <w:r>
              <w:rPr>
                <w:spacing w:val="2"/>
              </w:rPr>
              <w:t xml:space="preserve"> </w:t>
            </w:r>
            <w:r>
              <w:rPr>
                <w:spacing w:val="16"/>
              </w:rPr>
              <w:t>《</w:t>
            </w:r>
            <w:r>
              <w:rPr>
                <w:spacing w:val="-24"/>
              </w:rPr>
              <w:t xml:space="preserve"> </w:t>
            </w:r>
            <w:r>
              <w:rPr>
                <w:spacing w:val="16"/>
              </w:rPr>
              <w:t>道路运输</w:t>
            </w:r>
            <w:r>
              <w:t xml:space="preserve"> </w:t>
            </w:r>
            <w:r>
              <w:rPr>
                <w:spacing w:val="-6"/>
              </w:rPr>
              <w:t>证》的车辆参</w:t>
            </w:r>
            <w:r>
              <w:rPr>
                <w:spacing w:val="2"/>
              </w:rPr>
              <w:t xml:space="preserve"> </w:t>
            </w:r>
            <w:r>
              <w:rPr>
                <w:spacing w:val="-6"/>
              </w:rPr>
              <w:t>加客运经营或</w:t>
            </w:r>
            <w:r>
              <w:rPr>
                <w:spacing w:val="2"/>
              </w:rPr>
              <w:t xml:space="preserve"> </w:t>
            </w:r>
            <w:r>
              <w:rPr>
                <w:spacing w:val="-6"/>
              </w:rPr>
              <w:t>聘用不具备从</w:t>
            </w:r>
            <w:r>
              <w:rPr>
                <w:spacing w:val="2"/>
              </w:rPr>
              <w:t xml:space="preserve"> </w:t>
            </w:r>
            <w:r>
              <w:rPr>
                <w:spacing w:val="-6"/>
              </w:rPr>
              <w:t>业资格的驾驶</w:t>
            </w:r>
            <w:r>
              <w:rPr>
                <w:spacing w:val="2"/>
              </w:rPr>
              <w:t xml:space="preserve"> </w:t>
            </w:r>
            <w:r>
              <w:rPr>
                <w:spacing w:val="-6"/>
              </w:rPr>
              <w:t>员参加客运经</w:t>
            </w:r>
            <w:r>
              <w:rPr>
                <w:spacing w:val="2"/>
              </w:rPr>
              <w:t xml:space="preserve"> </w:t>
            </w:r>
            <w:r>
              <w:rPr>
                <w:spacing w:val="-7"/>
              </w:rPr>
              <w:t>营的行政处罚</w:t>
            </w:r>
          </w:p>
        </w:tc>
        <w:tc>
          <w:tcPr>
            <w:tcW w:w="1101" w:type="dxa"/>
            <w:vAlign w:val="top"/>
          </w:tcPr>
          <w:p w14:paraId="6D3BB143">
            <w:pPr>
              <w:spacing w:line="241" w:lineRule="auto"/>
              <w:rPr>
                <w:rFonts w:ascii="Arial"/>
                <w:sz w:val="21"/>
              </w:rPr>
            </w:pPr>
          </w:p>
          <w:p w14:paraId="11AE8A9F">
            <w:pPr>
              <w:spacing w:line="241" w:lineRule="auto"/>
              <w:rPr>
                <w:rFonts w:ascii="Arial"/>
                <w:sz w:val="21"/>
              </w:rPr>
            </w:pPr>
          </w:p>
          <w:p w14:paraId="4DB9E8FE">
            <w:pPr>
              <w:spacing w:line="241" w:lineRule="auto"/>
              <w:rPr>
                <w:rFonts w:ascii="Arial"/>
                <w:sz w:val="21"/>
              </w:rPr>
            </w:pPr>
          </w:p>
          <w:p w14:paraId="266E1E36">
            <w:pPr>
              <w:spacing w:line="241" w:lineRule="auto"/>
              <w:rPr>
                <w:rFonts w:ascii="Arial"/>
                <w:sz w:val="21"/>
              </w:rPr>
            </w:pPr>
          </w:p>
          <w:p w14:paraId="11F12FAD">
            <w:pPr>
              <w:spacing w:line="242" w:lineRule="auto"/>
              <w:rPr>
                <w:rFonts w:ascii="Arial"/>
                <w:sz w:val="21"/>
              </w:rPr>
            </w:pPr>
          </w:p>
          <w:p w14:paraId="3D4D3973">
            <w:pPr>
              <w:spacing w:line="242" w:lineRule="auto"/>
              <w:rPr>
                <w:rFonts w:ascii="Arial"/>
                <w:sz w:val="21"/>
              </w:rPr>
            </w:pPr>
          </w:p>
          <w:p w14:paraId="666BE194">
            <w:pPr>
              <w:pStyle w:val="8"/>
              <w:spacing w:before="59" w:line="220" w:lineRule="auto"/>
              <w:ind w:left="25"/>
            </w:pPr>
            <w:r>
              <w:rPr>
                <w:spacing w:val="-7"/>
              </w:rPr>
              <w:t>行政处罚</w:t>
            </w:r>
          </w:p>
        </w:tc>
        <w:tc>
          <w:tcPr>
            <w:tcW w:w="8524" w:type="dxa"/>
            <w:vAlign w:val="top"/>
          </w:tcPr>
          <w:p w14:paraId="61CEC19B">
            <w:pPr>
              <w:spacing w:line="374" w:lineRule="auto"/>
              <w:rPr>
                <w:rFonts w:ascii="Arial"/>
                <w:sz w:val="21"/>
              </w:rPr>
            </w:pPr>
          </w:p>
          <w:p w14:paraId="0D42233A">
            <w:pPr>
              <w:pStyle w:val="8"/>
              <w:spacing w:before="59" w:line="219" w:lineRule="auto"/>
              <w:ind w:left="451"/>
            </w:pPr>
            <w:r>
              <w:rPr>
                <w:b/>
                <w:bCs/>
                <w:spacing w:val="-8"/>
              </w:rPr>
              <w:t>《道路旅客运输及客运站管理规定》(交通运输部</w:t>
            </w:r>
            <w:r>
              <w:rPr>
                <w:b/>
                <w:bCs/>
                <w:spacing w:val="-9"/>
              </w:rPr>
              <w:t>令2023年第12号)</w:t>
            </w:r>
          </w:p>
          <w:p w14:paraId="335D2F73">
            <w:pPr>
              <w:pStyle w:val="8"/>
              <w:spacing w:before="26" w:line="233" w:lineRule="auto"/>
              <w:ind w:left="102" w:right="157" w:firstLine="343"/>
            </w:pPr>
            <w:r>
              <w:rPr>
                <w:spacing w:val="-7"/>
              </w:rPr>
              <w:t>第十三条第一款第（四）项  申请从事道路客运经营的，应</w:t>
            </w:r>
            <w:r>
              <w:rPr>
                <w:spacing w:val="-8"/>
              </w:rPr>
              <w:t>当提供下列材料</w:t>
            </w:r>
            <w:r>
              <w:rPr>
                <w:spacing w:val="-22"/>
              </w:rPr>
              <w:t>：（</w:t>
            </w:r>
            <w:r>
              <w:rPr>
                <w:spacing w:val="-8"/>
              </w:rPr>
              <w:t>四）拟投入车辆和聘用驾</w:t>
            </w:r>
            <w:r>
              <w:rPr>
                <w:spacing w:val="1"/>
              </w:rPr>
              <w:t xml:space="preserve"> </w:t>
            </w:r>
            <w:r>
              <w:rPr>
                <w:spacing w:val="-8"/>
              </w:rPr>
              <w:t>驶员承诺，包括客车数量、类型等级、技术等级，聘用的驾驶员具备从业资格。</w:t>
            </w:r>
          </w:p>
          <w:p w14:paraId="7AA3DB11">
            <w:pPr>
              <w:pStyle w:val="8"/>
              <w:spacing w:before="26" w:line="237" w:lineRule="auto"/>
              <w:ind w:left="102" w:right="88" w:firstLine="343"/>
            </w:pPr>
            <w:r>
              <w:rPr>
                <w:spacing w:val="-8"/>
              </w:rPr>
              <w:t>第二十五条</w:t>
            </w:r>
            <w:r>
              <w:rPr>
                <w:spacing w:val="74"/>
              </w:rPr>
              <w:t xml:space="preserve"> </w:t>
            </w:r>
            <w:r>
              <w:rPr>
                <w:spacing w:val="-8"/>
              </w:rPr>
              <w:t>客运经营者应当按照确定的时间落实拟投入车辆和聘用驾驶员等承诺。交通运输主管部门核</w:t>
            </w:r>
            <w:r>
              <w:t xml:space="preserve"> </w:t>
            </w:r>
            <w:r>
              <w:rPr>
                <w:spacing w:val="-8"/>
              </w:rPr>
              <w:t>实后，应当为投入运输的客车配发《道路运输证》，注明经营范围。营运线路长度在</w:t>
            </w:r>
            <w:r>
              <w:rPr>
                <w:spacing w:val="-9"/>
              </w:rPr>
              <w:t>800公里以上的客运班线还</w:t>
            </w:r>
            <w:r>
              <w:t xml:space="preserve"> </w:t>
            </w:r>
            <w:r>
              <w:rPr>
                <w:spacing w:val="-8"/>
              </w:rPr>
              <w:t>应当注明客运班线和班车客运标志牌编号等信息。</w:t>
            </w:r>
          </w:p>
          <w:p w14:paraId="457FACD1">
            <w:pPr>
              <w:pStyle w:val="8"/>
              <w:spacing w:before="25" w:line="233" w:lineRule="auto"/>
              <w:ind w:left="102" w:right="157" w:firstLine="343"/>
            </w:pPr>
            <w:r>
              <w:rPr>
                <w:spacing w:val="-8"/>
              </w:rPr>
              <w:t>第五十四条</w:t>
            </w:r>
            <w:r>
              <w:rPr>
                <w:spacing w:val="74"/>
              </w:rPr>
              <w:t xml:space="preserve"> </w:t>
            </w:r>
            <w:r>
              <w:rPr>
                <w:spacing w:val="-8"/>
              </w:rPr>
              <w:t>客运车辆驾驶员应当随车携带《道路运输证》、从业资格证等有关证件，在规定位置放置客</w:t>
            </w:r>
            <w:r>
              <w:t xml:space="preserve"> </w:t>
            </w:r>
            <w:r>
              <w:rPr>
                <w:spacing w:val="-7"/>
              </w:rPr>
              <w:t>运标志牌。</w:t>
            </w:r>
          </w:p>
          <w:p w14:paraId="605848E2">
            <w:pPr>
              <w:pStyle w:val="8"/>
              <w:spacing w:before="25" w:line="233" w:lineRule="auto"/>
              <w:ind w:left="103" w:right="95" w:firstLine="341"/>
            </w:pPr>
            <w:r>
              <w:rPr>
                <w:spacing w:val="-8"/>
              </w:rPr>
              <w:t>第九十七条</w:t>
            </w:r>
            <w:r>
              <w:rPr>
                <w:spacing w:val="74"/>
              </w:rPr>
              <w:t xml:space="preserve"> </w:t>
            </w:r>
            <w:r>
              <w:rPr>
                <w:spacing w:val="-8"/>
              </w:rPr>
              <w:t>违反本规定，客运经营者使用未持合法有效《道路运输证》的车辆参加客运经营的，或者聘</w:t>
            </w:r>
            <w:r>
              <w:t xml:space="preserve"> </w:t>
            </w:r>
            <w:r>
              <w:rPr>
                <w:spacing w:val="-8"/>
              </w:rPr>
              <w:t>用不具备从业资格的驾驶员参加客运经营的，由交通运输主管部门责令改正，处300</w:t>
            </w:r>
            <w:r>
              <w:rPr>
                <w:spacing w:val="-9"/>
              </w:rPr>
              <w:t>0元以上1万元以下的罚款。</w:t>
            </w:r>
          </w:p>
        </w:tc>
        <w:tc>
          <w:tcPr>
            <w:tcW w:w="1011" w:type="dxa"/>
            <w:vAlign w:val="top"/>
          </w:tcPr>
          <w:p w14:paraId="1DB4E5A6">
            <w:pPr>
              <w:spacing w:line="265" w:lineRule="auto"/>
              <w:rPr>
                <w:rFonts w:ascii="Arial"/>
                <w:sz w:val="21"/>
              </w:rPr>
            </w:pPr>
          </w:p>
          <w:p w14:paraId="144846CC">
            <w:pPr>
              <w:spacing w:line="266" w:lineRule="auto"/>
              <w:rPr>
                <w:rFonts w:ascii="Arial"/>
                <w:sz w:val="21"/>
              </w:rPr>
            </w:pPr>
          </w:p>
          <w:p w14:paraId="22AC7E65">
            <w:pPr>
              <w:spacing w:line="266" w:lineRule="auto"/>
              <w:rPr>
                <w:rFonts w:ascii="Arial"/>
                <w:sz w:val="21"/>
              </w:rPr>
            </w:pPr>
          </w:p>
          <w:p w14:paraId="7F8B7E46">
            <w:pPr>
              <w:spacing w:line="266" w:lineRule="auto"/>
              <w:rPr>
                <w:rFonts w:ascii="Arial"/>
                <w:sz w:val="21"/>
              </w:rPr>
            </w:pPr>
          </w:p>
          <w:p w14:paraId="277DB62E">
            <w:pPr>
              <w:spacing w:line="266" w:lineRule="auto"/>
              <w:rPr>
                <w:rFonts w:ascii="Arial"/>
                <w:sz w:val="21"/>
              </w:rPr>
            </w:pPr>
          </w:p>
          <w:p w14:paraId="314ED923">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709B5CAF">
            <w:pPr>
              <w:spacing w:line="265" w:lineRule="auto"/>
              <w:rPr>
                <w:rFonts w:ascii="Arial"/>
                <w:sz w:val="21"/>
              </w:rPr>
            </w:pPr>
          </w:p>
          <w:p w14:paraId="78D0D1BD">
            <w:pPr>
              <w:spacing w:line="266" w:lineRule="auto"/>
              <w:rPr>
                <w:rFonts w:ascii="Arial"/>
                <w:sz w:val="21"/>
              </w:rPr>
            </w:pPr>
          </w:p>
          <w:p w14:paraId="60DE2ABA">
            <w:pPr>
              <w:spacing w:line="266" w:lineRule="auto"/>
              <w:rPr>
                <w:rFonts w:ascii="Arial"/>
                <w:sz w:val="21"/>
              </w:rPr>
            </w:pPr>
          </w:p>
          <w:p w14:paraId="1C883305">
            <w:pPr>
              <w:spacing w:line="266" w:lineRule="auto"/>
              <w:rPr>
                <w:rFonts w:ascii="Arial"/>
                <w:sz w:val="21"/>
              </w:rPr>
            </w:pPr>
          </w:p>
          <w:p w14:paraId="283E8EAE">
            <w:pPr>
              <w:spacing w:line="266" w:lineRule="auto"/>
              <w:rPr>
                <w:rFonts w:ascii="Arial"/>
                <w:sz w:val="21"/>
              </w:rPr>
            </w:pPr>
          </w:p>
          <w:p w14:paraId="01553B95">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3E937BC">
            <w:pPr>
              <w:spacing w:line="273" w:lineRule="auto"/>
              <w:rPr>
                <w:rFonts w:ascii="Arial"/>
                <w:sz w:val="21"/>
              </w:rPr>
            </w:pPr>
          </w:p>
          <w:p w14:paraId="6BA9AA52">
            <w:pPr>
              <w:spacing w:line="273" w:lineRule="auto"/>
              <w:rPr>
                <w:rFonts w:ascii="Arial"/>
                <w:sz w:val="21"/>
              </w:rPr>
            </w:pPr>
          </w:p>
          <w:p w14:paraId="74C2C3EB">
            <w:pPr>
              <w:spacing w:line="273" w:lineRule="auto"/>
              <w:rPr>
                <w:rFonts w:ascii="Arial"/>
                <w:sz w:val="21"/>
              </w:rPr>
            </w:pPr>
          </w:p>
          <w:p w14:paraId="67AB4AA9">
            <w:pPr>
              <w:spacing w:line="273" w:lineRule="auto"/>
              <w:rPr>
                <w:rFonts w:ascii="Arial"/>
                <w:sz w:val="21"/>
              </w:rPr>
            </w:pPr>
          </w:p>
          <w:p w14:paraId="487C5891">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390AE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2" w:hRule="atLeast"/>
        </w:trPr>
        <w:tc>
          <w:tcPr>
            <w:tcW w:w="629" w:type="dxa"/>
            <w:vAlign w:val="top"/>
          </w:tcPr>
          <w:p w14:paraId="62C9CE3C">
            <w:pPr>
              <w:spacing w:line="250" w:lineRule="auto"/>
              <w:rPr>
                <w:rFonts w:ascii="Arial"/>
                <w:sz w:val="21"/>
              </w:rPr>
            </w:pPr>
          </w:p>
          <w:p w14:paraId="3F4FC54D">
            <w:pPr>
              <w:spacing w:line="250" w:lineRule="auto"/>
              <w:rPr>
                <w:rFonts w:ascii="Arial"/>
                <w:sz w:val="21"/>
              </w:rPr>
            </w:pPr>
          </w:p>
          <w:p w14:paraId="2C639BEB">
            <w:pPr>
              <w:spacing w:line="250" w:lineRule="auto"/>
              <w:rPr>
                <w:rFonts w:ascii="Arial"/>
                <w:sz w:val="21"/>
              </w:rPr>
            </w:pPr>
          </w:p>
          <w:p w14:paraId="4DF86EE5">
            <w:pPr>
              <w:spacing w:line="250" w:lineRule="auto"/>
              <w:rPr>
                <w:rFonts w:ascii="Arial"/>
                <w:sz w:val="21"/>
              </w:rPr>
            </w:pPr>
          </w:p>
          <w:p w14:paraId="39E6449E">
            <w:pPr>
              <w:spacing w:line="250" w:lineRule="auto"/>
              <w:rPr>
                <w:rFonts w:ascii="Arial"/>
                <w:sz w:val="21"/>
              </w:rPr>
            </w:pPr>
          </w:p>
          <w:p w14:paraId="529B6932">
            <w:pPr>
              <w:spacing w:line="251" w:lineRule="auto"/>
              <w:rPr>
                <w:rFonts w:ascii="Arial"/>
                <w:sz w:val="21"/>
              </w:rPr>
            </w:pPr>
          </w:p>
          <w:p w14:paraId="7D024BCE">
            <w:pPr>
              <w:pStyle w:val="8"/>
              <w:spacing w:before="58" w:line="183" w:lineRule="auto"/>
              <w:ind w:left="220"/>
              <w:rPr>
                <w:rFonts w:hint="eastAsia" w:eastAsia="宋体"/>
                <w:lang w:eastAsia="zh-CN"/>
              </w:rPr>
            </w:pPr>
            <w:r>
              <w:rPr>
                <w:spacing w:val="-3"/>
              </w:rPr>
              <w:t>4</w:t>
            </w:r>
            <w:r>
              <w:rPr>
                <w:rFonts w:hint="eastAsia"/>
                <w:spacing w:val="-3"/>
                <w:lang w:val="en-US" w:eastAsia="zh-CN"/>
              </w:rPr>
              <w:t>6</w:t>
            </w:r>
          </w:p>
        </w:tc>
        <w:tc>
          <w:tcPr>
            <w:tcW w:w="1101" w:type="dxa"/>
            <w:vAlign w:val="top"/>
          </w:tcPr>
          <w:p w14:paraId="3169AA9E">
            <w:pPr>
              <w:spacing w:line="320" w:lineRule="auto"/>
              <w:rPr>
                <w:rFonts w:ascii="Arial"/>
                <w:sz w:val="21"/>
              </w:rPr>
            </w:pPr>
          </w:p>
          <w:p w14:paraId="63D679CC">
            <w:pPr>
              <w:spacing w:line="320" w:lineRule="auto"/>
              <w:rPr>
                <w:rFonts w:ascii="Arial"/>
                <w:sz w:val="21"/>
              </w:rPr>
            </w:pPr>
          </w:p>
          <w:p w14:paraId="1D12C57F">
            <w:pPr>
              <w:pStyle w:val="8"/>
              <w:spacing w:before="59" w:line="243" w:lineRule="auto"/>
              <w:ind w:left="18" w:right="20"/>
              <w:jc w:val="both"/>
            </w:pPr>
            <w:r>
              <w:rPr>
                <w:spacing w:val="-6"/>
              </w:rPr>
              <w:t>对网络平台发</w:t>
            </w:r>
            <w:r>
              <w:rPr>
                <w:spacing w:val="2"/>
              </w:rPr>
              <w:t xml:space="preserve"> </w:t>
            </w:r>
            <w:r>
              <w:rPr>
                <w:spacing w:val="-6"/>
              </w:rPr>
              <w:t>布的提供服务</w:t>
            </w:r>
            <w:r>
              <w:rPr>
                <w:spacing w:val="2"/>
              </w:rPr>
              <w:t xml:space="preserve"> </w:t>
            </w:r>
            <w:r>
              <w:rPr>
                <w:spacing w:val="-6"/>
              </w:rPr>
              <w:t>班车客运经营</w:t>
            </w:r>
            <w:r>
              <w:rPr>
                <w:spacing w:val="2"/>
              </w:rPr>
              <w:t xml:space="preserve"> </w:t>
            </w:r>
            <w:r>
              <w:rPr>
                <w:spacing w:val="-6"/>
              </w:rPr>
              <w:t>者与实际提供</w:t>
            </w:r>
            <w:r>
              <w:rPr>
                <w:spacing w:val="2"/>
              </w:rPr>
              <w:t xml:space="preserve"> </w:t>
            </w:r>
            <w:r>
              <w:rPr>
                <w:spacing w:val="-6"/>
              </w:rPr>
              <w:t>服务班车客运</w:t>
            </w:r>
            <w:r>
              <w:rPr>
                <w:spacing w:val="2"/>
              </w:rPr>
              <w:t xml:space="preserve"> </w:t>
            </w:r>
            <w:r>
              <w:rPr>
                <w:spacing w:val="-6"/>
              </w:rPr>
              <w:t>经营者不一致</w:t>
            </w:r>
            <w:r>
              <w:rPr>
                <w:spacing w:val="2"/>
              </w:rPr>
              <w:t xml:space="preserve"> </w:t>
            </w:r>
            <w:r>
              <w:rPr>
                <w:spacing w:val="-6"/>
              </w:rPr>
              <w:t>等行为的行政</w:t>
            </w:r>
            <w:r>
              <w:rPr>
                <w:spacing w:val="2"/>
              </w:rPr>
              <w:t xml:space="preserve"> </w:t>
            </w:r>
            <w:r>
              <w:rPr>
                <w:spacing w:val="-4"/>
              </w:rPr>
              <w:t>处罚</w:t>
            </w:r>
          </w:p>
        </w:tc>
        <w:tc>
          <w:tcPr>
            <w:tcW w:w="1101" w:type="dxa"/>
            <w:vAlign w:val="top"/>
          </w:tcPr>
          <w:p w14:paraId="5F4647DF">
            <w:pPr>
              <w:spacing w:line="245" w:lineRule="auto"/>
              <w:rPr>
                <w:rFonts w:ascii="Arial"/>
                <w:sz w:val="21"/>
              </w:rPr>
            </w:pPr>
          </w:p>
          <w:p w14:paraId="074AE700">
            <w:pPr>
              <w:spacing w:line="245" w:lineRule="auto"/>
              <w:rPr>
                <w:rFonts w:ascii="Arial"/>
                <w:sz w:val="21"/>
              </w:rPr>
            </w:pPr>
          </w:p>
          <w:p w14:paraId="49C6B6DD">
            <w:pPr>
              <w:spacing w:line="245" w:lineRule="auto"/>
              <w:rPr>
                <w:rFonts w:ascii="Arial"/>
                <w:sz w:val="21"/>
              </w:rPr>
            </w:pPr>
          </w:p>
          <w:p w14:paraId="572D5A7B">
            <w:pPr>
              <w:spacing w:line="245" w:lineRule="auto"/>
              <w:rPr>
                <w:rFonts w:ascii="Arial"/>
                <w:sz w:val="21"/>
              </w:rPr>
            </w:pPr>
          </w:p>
          <w:p w14:paraId="5DAA5AAB">
            <w:pPr>
              <w:spacing w:line="246" w:lineRule="auto"/>
              <w:rPr>
                <w:rFonts w:ascii="Arial"/>
                <w:sz w:val="21"/>
              </w:rPr>
            </w:pPr>
          </w:p>
          <w:p w14:paraId="46D54809">
            <w:pPr>
              <w:spacing w:line="246" w:lineRule="auto"/>
              <w:rPr>
                <w:rFonts w:ascii="Arial"/>
                <w:sz w:val="21"/>
              </w:rPr>
            </w:pPr>
          </w:p>
          <w:p w14:paraId="472C19CF">
            <w:pPr>
              <w:pStyle w:val="8"/>
              <w:spacing w:before="59" w:line="220" w:lineRule="auto"/>
              <w:ind w:left="25"/>
            </w:pPr>
            <w:r>
              <w:rPr>
                <w:spacing w:val="-7"/>
              </w:rPr>
              <w:t>行政处罚</w:t>
            </w:r>
          </w:p>
        </w:tc>
        <w:tc>
          <w:tcPr>
            <w:tcW w:w="8524" w:type="dxa"/>
            <w:vAlign w:val="top"/>
          </w:tcPr>
          <w:p w14:paraId="33FA1F4A">
            <w:pPr>
              <w:spacing w:line="279" w:lineRule="auto"/>
              <w:rPr>
                <w:rFonts w:ascii="Arial"/>
                <w:sz w:val="21"/>
              </w:rPr>
            </w:pPr>
          </w:p>
          <w:p w14:paraId="3BE35903">
            <w:pPr>
              <w:pStyle w:val="8"/>
              <w:spacing w:before="59" w:line="219" w:lineRule="auto"/>
              <w:ind w:left="451"/>
            </w:pPr>
            <w:r>
              <w:rPr>
                <w:b/>
                <w:bCs/>
                <w:spacing w:val="-8"/>
              </w:rPr>
              <w:t>《道路旅客运输及客运站管理规定》(交通运输部</w:t>
            </w:r>
            <w:r>
              <w:rPr>
                <w:b/>
                <w:bCs/>
                <w:spacing w:val="-9"/>
              </w:rPr>
              <w:t>令2023年第12号)</w:t>
            </w:r>
          </w:p>
          <w:p w14:paraId="3F99F5BC">
            <w:pPr>
              <w:pStyle w:val="8"/>
              <w:spacing w:before="27" w:line="219" w:lineRule="auto"/>
              <w:ind w:left="445"/>
            </w:pPr>
            <w:r>
              <w:rPr>
                <w:spacing w:val="-8"/>
              </w:rPr>
              <w:t>第六十五条第三款  网络平台不得超出班车客运经营者的许可范围开展定制客运服务。</w:t>
            </w:r>
          </w:p>
          <w:p w14:paraId="1A3309A7">
            <w:pPr>
              <w:pStyle w:val="8"/>
              <w:spacing w:before="27" w:line="237" w:lineRule="auto"/>
              <w:ind w:left="102" w:right="150" w:firstLine="343"/>
            </w:pPr>
            <w:r>
              <w:rPr>
                <w:spacing w:val="-8"/>
              </w:rPr>
              <w:t>第六十七条第一款  网络平台应当提前向旅客提供班车客运经营者、联系方式、车辆品牌、号牌等车辆信</w:t>
            </w:r>
            <w:r>
              <w:t xml:space="preserve"> </w:t>
            </w:r>
            <w:r>
              <w:rPr>
                <w:spacing w:val="-8"/>
              </w:rPr>
              <w:t>息以及乘车地点、时间，并确保发布的提供服务的经营者、车辆和驾驶员与实际提供服务的经营者、车辆</w:t>
            </w:r>
            <w:r>
              <w:rPr>
                <w:spacing w:val="-9"/>
              </w:rPr>
              <w:t>和驾</w:t>
            </w:r>
            <w:r>
              <w:t xml:space="preserve"> </w:t>
            </w:r>
            <w:r>
              <w:rPr>
                <w:spacing w:val="-7"/>
              </w:rPr>
              <w:t>驶员一致。</w:t>
            </w:r>
          </w:p>
          <w:p w14:paraId="5424FBC2">
            <w:pPr>
              <w:pStyle w:val="8"/>
              <w:spacing w:before="23"/>
              <w:ind w:left="102" w:right="91" w:firstLine="343"/>
              <w:jc w:val="both"/>
            </w:pPr>
            <w:r>
              <w:rPr>
                <w:spacing w:val="-8"/>
              </w:rPr>
              <w:t>第一百零三条</w:t>
            </w:r>
            <w:r>
              <w:rPr>
                <w:spacing w:val="75"/>
              </w:rPr>
              <w:t xml:space="preserve"> </w:t>
            </w:r>
            <w:r>
              <w:rPr>
                <w:spacing w:val="-8"/>
              </w:rPr>
              <w:t>违反本规定，网络平台有下列情形之一的，由交通运输主管部门责令改正，处3000元以上1</w:t>
            </w:r>
            <w:r>
              <w:t xml:space="preserve"> </w:t>
            </w:r>
            <w:r>
              <w:rPr>
                <w:spacing w:val="-7"/>
              </w:rPr>
              <w:t>万元以下的罚款</w:t>
            </w:r>
            <w:r>
              <w:rPr>
                <w:spacing w:val="-20"/>
              </w:rPr>
              <w:t>：（</w:t>
            </w:r>
            <w:r>
              <w:rPr>
                <w:spacing w:val="-7"/>
              </w:rPr>
              <w:t>一）发布的提供服务班车客运经营者与实际提供服务班车客运经营者不一致的</w:t>
            </w:r>
            <w:r>
              <w:rPr>
                <w:spacing w:val="-20"/>
              </w:rPr>
              <w:t>；（</w:t>
            </w:r>
            <w:r>
              <w:rPr>
                <w:spacing w:val="-7"/>
              </w:rPr>
              <w:t>二）发</w:t>
            </w:r>
            <w:r>
              <w:rPr>
                <w:spacing w:val="2"/>
              </w:rPr>
              <w:t xml:space="preserve"> </w:t>
            </w:r>
            <w:r>
              <w:rPr>
                <w:spacing w:val="-7"/>
              </w:rPr>
              <w:t>布的提供服务车辆与实际提供服务车辆不一致的</w:t>
            </w:r>
            <w:r>
              <w:rPr>
                <w:spacing w:val="-21"/>
              </w:rPr>
              <w:t>；（</w:t>
            </w:r>
            <w:r>
              <w:rPr>
                <w:spacing w:val="-7"/>
              </w:rPr>
              <w:t>三）</w:t>
            </w:r>
            <w:r>
              <w:rPr>
                <w:spacing w:val="-8"/>
              </w:rPr>
              <w:t>发布的提供服务驾驶员与实际提供服务驾驶员不一致</w:t>
            </w:r>
            <w:r>
              <w:rPr>
                <w:spacing w:val="1"/>
              </w:rPr>
              <w:t xml:space="preserve"> </w:t>
            </w:r>
            <w:r>
              <w:rPr>
                <w:spacing w:val="-7"/>
              </w:rPr>
              <w:t>的</w:t>
            </w:r>
            <w:r>
              <w:rPr>
                <w:spacing w:val="-17"/>
              </w:rPr>
              <w:t>；（</w:t>
            </w:r>
            <w:r>
              <w:rPr>
                <w:spacing w:val="-7"/>
              </w:rPr>
              <w:t>四）超出班车客运经营者许可范围开展定制客运的。</w:t>
            </w:r>
          </w:p>
          <w:p w14:paraId="11342681">
            <w:pPr>
              <w:pStyle w:val="8"/>
              <w:spacing w:before="24" w:line="233" w:lineRule="auto"/>
              <w:ind w:left="102" w:right="150" w:firstLine="357"/>
            </w:pPr>
            <w:r>
              <w:rPr>
                <w:spacing w:val="-8"/>
              </w:rPr>
              <w:t>网络平台接入或者使用不符合规定的班车客运经营者、车辆或者驾驶员</w:t>
            </w:r>
            <w:r>
              <w:rPr>
                <w:spacing w:val="-9"/>
              </w:rPr>
              <w:t>开展定制客运的，由县级以上道路</w:t>
            </w:r>
            <w:r>
              <w:t xml:space="preserve"> </w:t>
            </w:r>
            <w:r>
              <w:rPr>
                <w:spacing w:val="-8"/>
              </w:rPr>
              <w:t>运输管理机构责令改正，处1万元以上3万元以下的罚款。</w:t>
            </w:r>
          </w:p>
        </w:tc>
        <w:tc>
          <w:tcPr>
            <w:tcW w:w="1011" w:type="dxa"/>
            <w:vAlign w:val="top"/>
          </w:tcPr>
          <w:p w14:paraId="64924608">
            <w:pPr>
              <w:spacing w:line="270" w:lineRule="auto"/>
              <w:rPr>
                <w:rFonts w:ascii="Arial"/>
                <w:sz w:val="21"/>
              </w:rPr>
            </w:pPr>
          </w:p>
          <w:p w14:paraId="22065A00">
            <w:pPr>
              <w:spacing w:line="270" w:lineRule="auto"/>
              <w:rPr>
                <w:rFonts w:ascii="Arial"/>
                <w:sz w:val="21"/>
              </w:rPr>
            </w:pPr>
          </w:p>
          <w:p w14:paraId="4385FEF5">
            <w:pPr>
              <w:spacing w:line="271" w:lineRule="auto"/>
              <w:rPr>
                <w:rFonts w:ascii="Arial"/>
                <w:sz w:val="21"/>
              </w:rPr>
            </w:pPr>
          </w:p>
          <w:p w14:paraId="78A753AD">
            <w:pPr>
              <w:spacing w:line="271" w:lineRule="auto"/>
              <w:rPr>
                <w:rFonts w:ascii="Arial"/>
                <w:sz w:val="21"/>
              </w:rPr>
            </w:pPr>
          </w:p>
          <w:p w14:paraId="4D65EA1B">
            <w:pPr>
              <w:spacing w:line="271" w:lineRule="auto"/>
              <w:rPr>
                <w:rFonts w:ascii="Arial"/>
                <w:sz w:val="21"/>
              </w:rPr>
            </w:pPr>
          </w:p>
          <w:p w14:paraId="6FB5E587">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227F97A8">
            <w:pPr>
              <w:spacing w:line="270" w:lineRule="auto"/>
              <w:rPr>
                <w:rFonts w:ascii="Arial"/>
                <w:sz w:val="21"/>
              </w:rPr>
            </w:pPr>
          </w:p>
          <w:p w14:paraId="3F6C45A9">
            <w:pPr>
              <w:spacing w:line="270" w:lineRule="auto"/>
              <w:rPr>
                <w:rFonts w:ascii="Arial"/>
                <w:sz w:val="21"/>
              </w:rPr>
            </w:pPr>
          </w:p>
          <w:p w14:paraId="45EDFD30">
            <w:pPr>
              <w:spacing w:line="271" w:lineRule="auto"/>
              <w:rPr>
                <w:rFonts w:ascii="Arial"/>
                <w:sz w:val="21"/>
              </w:rPr>
            </w:pPr>
          </w:p>
          <w:p w14:paraId="2944FC25">
            <w:pPr>
              <w:spacing w:line="271" w:lineRule="auto"/>
              <w:rPr>
                <w:rFonts w:ascii="Arial"/>
                <w:sz w:val="21"/>
              </w:rPr>
            </w:pPr>
          </w:p>
          <w:p w14:paraId="149D6FE0">
            <w:pPr>
              <w:spacing w:line="271" w:lineRule="auto"/>
              <w:rPr>
                <w:rFonts w:ascii="Arial"/>
                <w:sz w:val="21"/>
              </w:rPr>
            </w:pPr>
          </w:p>
          <w:p w14:paraId="3805AC31">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0DD3E82D">
            <w:pPr>
              <w:spacing w:line="279" w:lineRule="auto"/>
              <w:rPr>
                <w:rFonts w:ascii="Arial"/>
                <w:sz w:val="21"/>
              </w:rPr>
            </w:pPr>
          </w:p>
          <w:p w14:paraId="0A52F7A8">
            <w:pPr>
              <w:spacing w:line="279" w:lineRule="auto"/>
              <w:rPr>
                <w:rFonts w:ascii="Arial"/>
                <w:sz w:val="21"/>
              </w:rPr>
            </w:pPr>
          </w:p>
          <w:p w14:paraId="2DA2D66D">
            <w:pPr>
              <w:spacing w:line="279" w:lineRule="auto"/>
              <w:rPr>
                <w:rFonts w:ascii="Arial"/>
                <w:sz w:val="21"/>
              </w:rPr>
            </w:pPr>
          </w:p>
          <w:p w14:paraId="50B2ECBF">
            <w:pPr>
              <w:spacing w:line="279" w:lineRule="auto"/>
              <w:rPr>
                <w:rFonts w:ascii="Arial"/>
                <w:sz w:val="21"/>
              </w:rPr>
            </w:pPr>
          </w:p>
          <w:p w14:paraId="69CED7E5">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41EDD45F">
      <w:pPr>
        <w:pStyle w:val="2"/>
      </w:pPr>
    </w:p>
    <w:p w14:paraId="4622E401">
      <w:pPr>
        <w:sectPr>
          <w:footerReference r:id="rId45" w:type="default"/>
          <w:pgSz w:w="16839" w:h="11906"/>
          <w:pgMar w:top="1012" w:right="1016" w:bottom="966" w:left="1016" w:header="0" w:footer="768" w:gutter="0"/>
          <w:cols w:space="720" w:num="1"/>
        </w:sectPr>
      </w:pPr>
    </w:p>
    <w:p w14:paraId="098F2A66">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09011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0B7A32EA">
            <w:pPr>
              <w:pStyle w:val="8"/>
              <w:spacing w:before="273" w:line="221" w:lineRule="auto"/>
              <w:ind w:left="129"/>
            </w:pPr>
            <w:r>
              <w:rPr>
                <w:b/>
                <w:bCs/>
                <w:spacing w:val="-4"/>
              </w:rPr>
              <w:t>序号</w:t>
            </w:r>
          </w:p>
        </w:tc>
        <w:tc>
          <w:tcPr>
            <w:tcW w:w="1101" w:type="dxa"/>
            <w:vMerge w:val="restart"/>
            <w:tcBorders>
              <w:bottom w:val="nil"/>
            </w:tcBorders>
            <w:vAlign w:val="top"/>
          </w:tcPr>
          <w:p w14:paraId="6CF950B7">
            <w:pPr>
              <w:pStyle w:val="8"/>
              <w:spacing w:before="274" w:line="220" w:lineRule="auto"/>
              <w:ind w:left="182"/>
            </w:pPr>
            <w:r>
              <w:rPr>
                <w:b/>
                <w:bCs/>
                <w:spacing w:val="-4"/>
              </w:rPr>
              <w:t>事项名称</w:t>
            </w:r>
          </w:p>
        </w:tc>
        <w:tc>
          <w:tcPr>
            <w:tcW w:w="1101" w:type="dxa"/>
            <w:vMerge w:val="restart"/>
            <w:tcBorders>
              <w:bottom w:val="nil"/>
            </w:tcBorders>
            <w:vAlign w:val="top"/>
          </w:tcPr>
          <w:p w14:paraId="2F38F54E">
            <w:pPr>
              <w:pStyle w:val="8"/>
              <w:spacing w:before="274" w:line="219" w:lineRule="auto"/>
              <w:ind w:left="183"/>
            </w:pPr>
            <w:r>
              <w:rPr>
                <w:b/>
                <w:bCs/>
                <w:spacing w:val="-4"/>
              </w:rPr>
              <w:t>职权类型</w:t>
            </w:r>
          </w:p>
        </w:tc>
        <w:tc>
          <w:tcPr>
            <w:tcW w:w="8524" w:type="dxa"/>
            <w:vMerge w:val="restart"/>
            <w:tcBorders>
              <w:bottom w:val="nil"/>
            </w:tcBorders>
            <w:vAlign w:val="top"/>
          </w:tcPr>
          <w:p w14:paraId="24481BDD">
            <w:pPr>
              <w:pStyle w:val="8"/>
              <w:spacing w:before="273" w:line="219" w:lineRule="auto"/>
              <w:ind w:left="4083"/>
            </w:pPr>
            <w:r>
              <w:rPr>
                <w:b/>
                <w:bCs/>
                <w:spacing w:val="-5"/>
              </w:rPr>
              <w:t>实施依据</w:t>
            </w:r>
          </w:p>
        </w:tc>
        <w:tc>
          <w:tcPr>
            <w:tcW w:w="3435" w:type="dxa"/>
            <w:gridSpan w:val="3"/>
            <w:vAlign w:val="top"/>
          </w:tcPr>
          <w:p w14:paraId="6AAE9E9C">
            <w:pPr>
              <w:pStyle w:val="8"/>
              <w:spacing w:before="94" w:line="220" w:lineRule="auto"/>
              <w:ind w:left="1360"/>
            </w:pPr>
            <w:r>
              <w:rPr>
                <w:b/>
                <w:bCs/>
                <w:spacing w:val="-5"/>
              </w:rPr>
              <w:t>实施主体</w:t>
            </w:r>
          </w:p>
        </w:tc>
      </w:tr>
      <w:tr w14:paraId="2B489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6F4F0FA9">
            <w:pPr>
              <w:rPr>
                <w:rFonts w:ascii="Arial"/>
                <w:sz w:val="21"/>
              </w:rPr>
            </w:pPr>
          </w:p>
        </w:tc>
        <w:tc>
          <w:tcPr>
            <w:tcW w:w="1101" w:type="dxa"/>
            <w:vMerge w:val="continue"/>
            <w:tcBorders>
              <w:top w:val="nil"/>
            </w:tcBorders>
            <w:vAlign w:val="top"/>
          </w:tcPr>
          <w:p w14:paraId="47AB75A9">
            <w:pPr>
              <w:rPr>
                <w:rFonts w:ascii="Arial"/>
                <w:sz w:val="21"/>
              </w:rPr>
            </w:pPr>
          </w:p>
        </w:tc>
        <w:tc>
          <w:tcPr>
            <w:tcW w:w="1101" w:type="dxa"/>
            <w:vMerge w:val="continue"/>
            <w:tcBorders>
              <w:top w:val="nil"/>
            </w:tcBorders>
            <w:vAlign w:val="top"/>
          </w:tcPr>
          <w:p w14:paraId="333130B5">
            <w:pPr>
              <w:rPr>
                <w:rFonts w:ascii="Arial"/>
                <w:sz w:val="21"/>
              </w:rPr>
            </w:pPr>
          </w:p>
        </w:tc>
        <w:tc>
          <w:tcPr>
            <w:tcW w:w="8524" w:type="dxa"/>
            <w:vMerge w:val="continue"/>
            <w:tcBorders>
              <w:top w:val="nil"/>
            </w:tcBorders>
            <w:vAlign w:val="top"/>
          </w:tcPr>
          <w:p w14:paraId="595B0969">
            <w:pPr>
              <w:rPr>
                <w:rFonts w:ascii="Arial"/>
                <w:sz w:val="21"/>
              </w:rPr>
            </w:pPr>
          </w:p>
        </w:tc>
        <w:tc>
          <w:tcPr>
            <w:tcW w:w="1011" w:type="dxa"/>
            <w:vAlign w:val="top"/>
          </w:tcPr>
          <w:p w14:paraId="4A63A422">
            <w:pPr>
              <w:pStyle w:val="8"/>
              <w:spacing w:before="85" w:line="219" w:lineRule="auto"/>
              <w:ind w:left="154"/>
            </w:pPr>
            <w:r>
              <w:rPr>
                <w:b/>
                <w:bCs/>
                <w:spacing w:val="-5"/>
              </w:rPr>
              <w:t>责任部门</w:t>
            </w:r>
          </w:p>
        </w:tc>
        <w:tc>
          <w:tcPr>
            <w:tcW w:w="1404" w:type="dxa"/>
            <w:vAlign w:val="top"/>
          </w:tcPr>
          <w:p w14:paraId="1B4A8F12">
            <w:pPr>
              <w:pStyle w:val="8"/>
              <w:spacing w:before="85" w:line="219" w:lineRule="auto"/>
              <w:ind w:left="164"/>
            </w:pPr>
            <w:r>
              <w:rPr>
                <w:b/>
                <w:bCs/>
                <w:spacing w:val="-3"/>
              </w:rPr>
              <w:t>第一责任层级</w:t>
            </w:r>
          </w:p>
        </w:tc>
        <w:tc>
          <w:tcPr>
            <w:tcW w:w="1020" w:type="dxa"/>
            <w:vAlign w:val="top"/>
          </w:tcPr>
          <w:p w14:paraId="4345C9F0">
            <w:pPr>
              <w:pStyle w:val="8"/>
              <w:spacing w:before="84" w:line="219" w:lineRule="auto"/>
              <w:ind w:left="114"/>
            </w:pPr>
            <w:r>
              <w:rPr>
                <w:b/>
                <w:bCs/>
                <w:spacing w:val="-4"/>
              </w:rPr>
              <w:t>承办机构</w:t>
            </w:r>
          </w:p>
        </w:tc>
      </w:tr>
      <w:tr w14:paraId="2C3DF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9" w:hRule="atLeast"/>
        </w:trPr>
        <w:tc>
          <w:tcPr>
            <w:tcW w:w="629" w:type="dxa"/>
            <w:vAlign w:val="top"/>
          </w:tcPr>
          <w:p w14:paraId="3F6A57ED">
            <w:pPr>
              <w:spacing w:line="287" w:lineRule="auto"/>
              <w:rPr>
                <w:rFonts w:ascii="Arial"/>
                <w:sz w:val="21"/>
              </w:rPr>
            </w:pPr>
          </w:p>
          <w:p w14:paraId="40D24F5C">
            <w:pPr>
              <w:spacing w:line="287" w:lineRule="auto"/>
              <w:rPr>
                <w:rFonts w:ascii="Arial"/>
                <w:sz w:val="21"/>
              </w:rPr>
            </w:pPr>
          </w:p>
          <w:p w14:paraId="57166A60">
            <w:pPr>
              <w:spacing w:line="288" w:lineRule="auto"/>
              <w:rPr>
                <w:rFonts w:ascii="Arial"/>
                <w:sz w:val="21"/>
              </w:rPr>
            </w:pPr>
          </w:p>
          <w:p w14:paraId="3F0520FB">
            <w:pPr>
              <w:pStyle w:val="8"/>
              <w:spacing w:before="58" w:line="183" w:lineRule="auto"/>
              <w:ind w:left="220"/>
              <w:rPr>
                <w:rFonts w:hint="eastAsia" w:eastAsia="宋体"/>
                <w:lang w:eastAsia="zh-CN"/>
              </w:rPr>
            </w:pPr>
            <w:r>
              <w:rPr>
                <w:spacing w:val="-3"/>
              </w:rPr>
              <w:t>4</w:t>
            </w:r>
            <w:r>
              <w:rPr>
                <w:rFonts w:hint="eastAsia"/>
                <w:spacing w:val="-3"/>
                <w:lang w:val="en-US" w:eastAsia="zh-CN"/>
              </w:rPr>
              <w:t>7</w:t>
            </w:r>
          </w:p>
        </w:tc>
        <w:tc>
          <w:tcPr>
            <w:tcW w:w="1101" w:type="dxa"/>
            <w:vAlign w:val="top"/>
          </w:tcPr>
          <w:p w14:paraId="7021F5CA">
            <w:pPr>
              <w:pStyle w:val="8"/>
              <w:spacing w:before="180" w:line="242" w:lineRule="auto"/>
              <w:ind w:left="18"/>
              <w:jc w:val="both"/>
            </w:pPr>
            <w:r>
              <w:rPr>
                <w:spacing w:val="-12"/>
              </w:rPr>
              <w:t>对普通货物运</w:t>
            </w:r>
            <w:r>
              <w:rPr>
                <w:spacing w:val="2"/>
              </w:rPr>
              <w:t xml:space="preserve"> </w:t>
            </w:r>
            <w:r>
              <w:rPr>
                <w:spacing w:val="-11"/>
              </w:rPr>
              <w:t>输经营者使用</w:t>
            </w:r>
            <w:r>
              <w:t xml:space="preserve"> </w:t>
            </w:r>
            <w:r>
              <w:rPr>
                <w:spacing w:val="-12"/>
              </w:rPr>
              <w:t>无《道路运输</w:t>
            </w:r>
            <w:r>
              <w:rPr>
                <w:spacing w:val="2"/>
              </w:rPr>
              <w:t xml:space="preserve"> </w:t>
            </w:r>
            <w:r>
              <w:rPr>
                <w:spacing w:val="-22"/>
                <w:w w:val="92"/>
              </w:rPr>
              <w:t>证》的车辆（超</w:t>
            </w:r>
            <w:r>
              <w:rPr>
                <w:spacing w:val="7"/>
              </w:rPr>
              <w:t xml:space="preserve"> </w:t>
            </w:r>
            <w:r>
              <w:rPr>
                <w:spacing w:val="-12"/>
              </w:rPr>
              <w:t>过</w:t>
            </w:r>
            <w:r>
              <w:rPr>
                <w:spacing w:val="-49"/>
              </w:rPr>
              <w:t xml:space="preserve"> </w:t>
            </w:r>
            <w:r>
              <w:rPr>
                <w:spacing w:val="-12"/>
              </w:rPr>
              <w:t>4500</w:t>
            </w:r>
            <w:r>
              <w:rPr>
                <w:spacing w:val="-49"/>
              </w:rPr>
              <w:t xml:space="preserve"> </w:t>
            </w:r>
            <w:r>
              <w:rPr>
                <w:spacing w:val="-12"/>
              </w:rPr>
              <w:t>千克）</w:t>
            </w:r>
            <w:r>
              <w:t xml:space="preserve"> </w:t>
            </w:r>
            <w:r>
              <w:rPr>
                <w:spacing w:val="-12"/>
              </w:rPr>
              <w:t>参加货物运输</w:t>
            </w:r>
            <w:r>
              <w:rPr>
                <w:spacing w:val="2"/>
              </w:rPr>
              <w:t xml:space="preserve"> </w:t>
            </w:r>
            <w:r>
              <w:rPr>
                <w:spacing w:val="-11"/>
              </w:rPr>
              <w:t>的行政处罚</w:t>
            </w:r>
          </w:p>
        </w:tc>
        <w:tc>
          <w:tcPr>
            <w:tcW w:w="1101" w:type="dxa"/>
            <w:vAlign w:val="top"/>
          </w:tcPr>
          <w:p w14:paraId="32D6518F">
            <w:pPr>
              <w:spacing w:line="277" w:lineRule="auto"/>
              <w:rPr>
                <w:rFonts w:ascii="Arial"/>
                <w:sz w:val="21"/>
              </w:rPr>
            </w:pPr>
          </w:p>
          <w:p w14:paraId="709A5A95">
            <w:pPr>
              <w:spacing w:line="278" w:lineRule="auto"/>
              <w:rPr>
                <w:rFonts w:ascii="Arial"/>
                <w:sz w:val="21"/>
              </w:rPr>
            </w:pPr>
          </w:p>
          <w:p w14:paraId="5A7E4B0C">
            <w:pPr>
              <w:spacing w:line="278" w:lineRule="auto"/>
              <w:rPr>
                <w:rFonts w:ascii="Arial"/>
                <w:sz w:val="21"/>
              </w:rPr>
            </w:pPr>
          </w:p>
          <w:p w14:paraId="7D4E3CB1">
            <w:pPr>
              <w:pStyle w:val="8"/>
              <w:spacing w:before="59" w:line="220" w:lineRule="auto"/>
              <w:ind w:left="25"/>
            </w:pPr>
            <w:r>
              <w:rPr>
                <w:spacing w:val="-7"/>
              </w:rPr>
              <w:t>行政处罚</w:t>
            </w:r>
          </w:p>
        </w:tc>
        <w:tc>
          <w:tcPr>
            <w:tcW w:w="8524" w:type="dxa"/>
            <w:vAlign w:val="top"/>
          </w:tcPr>
          <w:p w14:paraId="1638F535">
            <w:pPr>
              <w:pStyle w:val="8"/>
              <w:spacing w:before="177" w:line="219" w:lineRule="auto"/>
              <w:ind w:left="451"/>
            </w:pPr>
            <w:r>
              <w:rPr>
                <w:b/>
                <w:bCs/>
                <w:spacing w:val="-8"/>
              </w:rPr>
              <w:t>《道路货物运输及站场管理规定》(交通运输部令</w:t>
            </w:r>
            <w:r>
              <w:rPr>
                <w:b/>
                <w:bCs/>
                <w:spacing w:val="-9"/>
              </w:rPr>
              <w:t>2023年第12号)</w:t>
            </w:r>
          </w:p>
          <w:p w14:paraId="0D11C4C4">
            <w:pPr>
              <w:pStyle w:val="8"/>
              <w:spacing w:before="26" w:line="233" w:lineRule="auto"/>
              <w:ind w:left="106" w:right="157" w:firstLine="338"/>
            </w:pPr>
            <w:r>
              <w:rPr>
                <w:spacing w:val="-8"/>
              </w:rPr>
              <w:t>第十四条</w:t>
            </w:r>
            <w:r>
              <w:rPr>
                <w:spacing w:val="74"/>
              </w:rPr>
              <w:t xml:space="preserve"> </w:t>
            </w:r>
            <w:r>
              <w:rPr>
                <w:spacing w:val="-8"/>
              </w:rPr>
              <w:t>被许可人应当按照承诺书的要求投入运输车辆。购置车辆或者已有车辆经交通运输主管部门核</w:t>
            </w:r>
            <w:r>
              <w:t xml:space="preserve"> </w:t>
            </w:r>
            <w:r>
              <w:rPr>
                <w:spacing w:val="-9"/>
              </w:rPr>
              <w:t>实并符合条件的，交通运输主管部门向投入运输的车辆配发《道路运输证》。</w:t>
            </w:r>
          </w:p>
          <w:p w14:paraId="75AA28D3">
            <w:pPr>
              <w:pStyle w:val="8"/>
              <w:spacing w:before="25" w:line="233" w:lineRule="auto"/>
              <w:ind w:left="103" w:right="157" w:firstLine="341"/>
            </w:pPr>
            <w:r>
              <w:rPr>
                <w:spacing w:val="-8"/>
              </w:rPr>
              <w:t>第十五条</w:t>
            </w:r>
            <w:r>
              <w:rPr>
                <w:spacing w:val="90"/>
              </w:rPr>
              <w:t xml:space="preserve"> </w:t>
            </w:r>
            <w:r>
              <w:rPr>
                <w:spacing w:val="-8"/>
              </w:rPr>
              <w:t>使用总质量4500千克及以下普通货运车辆从事普通货运经营的，无需按照本规定申请取得《道</w:t>
            </w:r>
            <w:r>
              <w:t xml:space="preserve"> </w:t>
            </w:r>
            <w:r>
              <w:rPr>
                <w:spacing w:val="-10"/>
              </w:rPr>
              <w:t>路运输经营许可证》及《道路运输证》。</w:t>
            </w:r>
          </w:p>
          <w:p w14:paraId="1D8EAF25">
            <w:pPr>
              <w:pStyle w:val="8"/>
              <w:spacing w:before="24" w:line="233" w:lineRule="auto"/>
              <w:ind w:left="116" w:right="13" w:firstLine="328"/>
            </w:pPr>
            <w:r>
              <w:rPr>
                <w:spacing w:val="-8"/>
              </w:rPr>
              <w:t>第六十三条第一款</w:t>
            </w:r>
            <w:r>
              <w:rPr>
                <w:spacing w:val="73"/>
              </w:rPr>
              <w:t xml:space="preserve"> </w:t>
            </w:r>
            <w:r>
              <w:rPr>
                <w:spacing w:val="-8"/>
              </w:rPr>
              <w:t>违反本规定，取得道路货</w:t>
            </w:r>
            <w:r>
              <w:rPr>
                <w:spacing w:val="-9"/>
              </w:rPr>
              <w:t>物运输经营许可的道路货物运输经营者使用无《道路运输证》</w:t>
            </w:r>
            <w:r>
              <w:t xml:space="preserve"> </w:t>
            </w:r>
            <w:r>
              <w:rPr>
                <w:spacing w:val="-7"/>
              </w:rPr>
              <w:t>的车辆参加普通货物运输的，由交通运输主管部门责</w:t>
            </w:r>
            <w:r>
              <w:rPr>
                <w:spacing w:val="-8"/>
              </w:rPr>
              <w:t>令改正，处1000元以上3000元以下的罚款。</w:t>
            </w:r>
          </w:p>
        </w:tc>
        <w:tc>
          <w:tcPr>
            <w:tcW w:w="1011" w:type="dxa"/>
            <w:vAlign w:val="top"/>
          </w:tcPr>
          <w:p w14:paraId="6D6B29A5">
            <w:pPr>
              <w:spacing w:line="357" w:lineRule="auto"/>
              <w:rPr>
                <w:rFonts w:ascii="Arial"/>
                <w:sz w:val="21"/>
              </w:rPr>
            </w:pPr>
          </w:p>
          <w:p w14:paraId="06750A0E">
            <w:pPr>
              <w:spacing w:line="357" w:lineRule="auto"/>
              <w:rPr>
                <w:rFonts w:ascii="Arial"/>
                <w:sz w:val="21"/>
              </w:rPr>
            </w:pPr>
          </w:p>
          <w:p w14:paraId="79B07E76">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684B2A2E">
            <w:pPr>
              <w:spacing w:line="357" w:lineRule="auto"/>
              <w:rPr>
                <w:rFonts w:ascii="Arial"/>
                <w:sz w:val="21"/>
              </w:rPr>
            </w:pPr>
          </w:p>
          <w:p w14:paraId="377A20B0">
            <w:pPr>
              <w:spacing w:line="357" w:lineRule="auto"/>
              <w:rPr>
                <w:rFonts w:ascii="Arial"/>
                <w:sz w:val="21"/>
              </w:rPr>
            </w:pPr>
          </w:p>
          <w:p w14:paraId="4CC64D7D">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B58BC15">
            <w:pPr>
              <w:spacing w:line="477" w:lineRule="auto"/>
              <w:rPr>
                <w:rFonts w:ascii="Arial"/>
                <w:sz w:val="21"/>
              </w:rPr>
            </w:pPr>
          </w:p>
          <w:p w14:paraId="7AC35E93">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66A10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9" w:hRule="atLeast"/>
        </w:trPr>
        <w:tc>
          <w:tcPr>
            <w:tcW w:w="629" w:type="dxa"/>
            <w:vAlign w:val="top"/>
          </w:tcPr>
          <w:p w14:paraId="0D226023">
            <w:pPr>
              <w:spacing w:line="303" w:lineRule="auto"/>
              <w:rPr>
                <w:rFonts w:ascii="Arial"/>
                <w:sz w:val="21"/>
              </w:rPr>
            </w:pPr>
          </w:p>
          <w:p w14:paraId="2990A98A">
            <w:pPr>
              <w:spacing w:line="304" w:lineRule="auto"/>
              <w:rPr>
                <w:rFonts w:ascii="Arial"/>
                <w:sz w:val="21"/>
              </w:rPr>
            </w:pPr>
          </w:p>
          <w:p w14:paraId="3DA43BB6">
            <w:pPr>
              <w:pStyle w:val="8"/>
              <w:spacing w:before="59" w:line="183" w:lineRule="auto"/>
              <w:ind w:left="220"/>
              <w:rPr>
                <w:rFonts w:hint="eastAsia" w:eastAsia="宋体"/>
                <w:lang w:eastAsia="zh-CN"/>
              </w:rPr>
            </w:pPr>
            <w:r>
              <w:rPr>
                <w:spacing w:val="-3"/>
              </w:rPr>
              <w:t>4</w:t>
            </w:r>
            <w:r>
              <w:rPr>
                <w:rFonts w:hint="eastAsia"/>
                <w:spacing w:val="-3"/>
                <w:lang w:val="en-US" w:eastAsia="zh-CN"/>
              </w:rPr>
              <w:t>8</w:t>
            </w:r>
          </w:p>
        </w:tc>
        <w:tc>
          <w:tcPr>
            <w:tcW w:w="1101" w:type="dxa"/>
            <w:vAlign w:val="top"/>
          </w:tcPr>
          <w:p w14:paraId="3D071E7A">
            <w:pPr>
              <w:pStyle w:val="8"/>
              <w:spacing w:before="162" w:line="241" w:lineRule="auto"/>
              <w:ind w:left="18" w:right="20"/>
              <w:jc w:val="both"/>
            </w:pPr>
            <w:r>
              <w:rPr>
                <w:spacing w:val="-6"/>
              </w:rPr>
              <w:t>对使用无《道</w:t>
            </w:r>
            <w:r>
              <w:rPr>
                <w:spacing w:val="2"/>
              </w:rPr>
              <w:t xml:space="preserve"> </w:t>
            </w:r>
            <w:r>
              <w:rPr>
                <w:spacing w:val="-6"/>
              </w:rPr>
              <w:t>路运输证》的</w:t>
            </w:r>
            <w:r>
              <w:rPr>
                <w:spacing w:val="2"/>
              </w:rPr>
              <w:t xml:space="preserve"> </w:t>
            </w:r>
            <w:r>
              <w:rPr>
                <w:spacing w:val="-6"/>
              </w:rPr>
              <w:t>车辆参加危险</w:t>
            </w:r>
            <w:r>
              <w:rPr>
                <w:spacing w:val="2"/>
              </w:rPr>
              <w:t xml:space="preserve"> </w:t>
            </w:r>
            <w:r>
              <w:rPr>
                <w:spacing w:val="-6"/>
              </w:rPr>
              <w:t>货物运输的行</w:t>
            </w:r>
            <w:r>
              <w:rPr>
                <w:spacing w:val="2"/>
              </w:rPr>
              <w:t xml:space="preserve"> </w:t>
            </w:r>
            <w:r>
              <w:rPr>
                <w:spacing w:val="-5"/>
              </w:rPr>
              <w:t>政处罚</w:t>
            </w:r>
          </w:p>
        </w:tc>
        <w:tc>
          <w:tcPr>
            <w:tcW w:w="1101" w:type="dxa"/>
            <w:vAlign w:val="top"/>
          </w:tcPr>
          <w:p w14:paraId="29FF9EC5">
            <w:pPr>
              <w:spacing w:line="289" w:lineRule="auto"/>
              <w:rPr>
                <w:rFonts w:ascii="Arial"/>
                <w:sz w:val="21"/>
              </w:rPr>
            </w:pPr>
          </w:p>
          <w:p w14:paraId="3DEF3166">
            <w:pPr>
              <w:spacing w:line="290" w:lineRule="auto"/>
              <w:rPr>
                <w:rFonts w:ascii="Arial"/>
                <w:sz w:val="21"/>
              </w:rPr>
            </w:pPr>
          </w:p>
          <w:p w14:paraId="19325C10">
            <w:pPr>
              <w:pStyle w:val="8"/>
              <w:spacing w:before="58" w:line="220" w:lineRule="auto"/>
              <w:ind w:left="25"/>
            </w:pPr>
            <w:r>
              <w:rPr>
                <w:spacing w:val="-7"/>
              </w:rPr>
              <w:t>行政处罚</w:t>
            </w:r>
          </w:p>
        </w:tc>
        <w:tc>
          <w:tcPr>
            <w:tcW w:w="8524" w:type="dxa"/>
            <w:vAlign w:val="top"/>
          </w:tcPr>
          <w:p w14:paraId="430EE8F2">
            <w:pPr>
              <w:pStyle w:val="8"/>
              <w:spacing w:before="194" w:line="219" w:lineRule="auto"/>
              <w:ind w:left="451"/>
            </w:pPr>
            <w:r>
              <w:rPr>
                <w:b/>
                <w:bCs/>
                <w:spacing w:val="-8"/>
              </w:rPr>
              <w:t>《道路货物运输及站场管理规定》(交通运输部令</w:t>
            </w:r>
            <w:r>
              <w:rPr>
                <w:b/>
                <w:bCs/>
                <w:spacing w:val="-9"/>
              </w:rPr>
              <w:t>2023年第12号)</w:t>
            </w:r>
          </w:p>
          <w:p w14:paraId="6DBEB692">
            <w:pPr>
              <w:pStyle w:val="8"/>
              <w:spacing w:before="7" w:line="222" w:lineRule="auto"/>
              <w:ind w:left="106" w:right="157" w:firstLine="338"/>
            </w:pPr>
            <w:r>
              <w:rPr>
                <w:spacing w:val="-8"/>
              </w:rPr>
              <w:t>第十四条</w:t>
            </w:r>
            <w:r>
              <w:rPr>
                <w:spacing w:val="74"/>
              </w:rPr>
              <w:t xml:space="preserve"> </w:t>
            </w:r>
            <w:r>
              <w:rPr>
                <w:spacing w:val="-8"/>
              </w:rPr>
              <w:t>被许可人应当按照承诺书的要求投入运输车辆。购置车辆或者已有车辆经交通运输主管部门核</w:t>
            </w:r>
            <w:r>
              <w:t xml:space="preserve"> </w:t>
            </w:r>
            <w:r>
              <w:rPr>
                <w:spacing w:val="-9"/>
              </w:rPr>
              <w:t>实并符合条件的，交通运输主管部门向投入运输的车辆配发《道路运输证》。</w:t>
            </w:r>
          </w:p>
          <w:p w14:paraId="2CECBEB2">
            <w:pPr>
              <w:pStyle w:val="8"/>
              <w:spacing w:before="6" w:line="223" w:lineRule="auto"/>
              <w:ind w:left="122" w:right="157" w:firstLine="322"/>
            </w:pPr>
            <w:r>
              <w:rPr>
                <w:spacing w:val="-8"/>
              </w:rPr>
              <w:t>第六十三条第二款</w:t>
            </w:r>
            <w:r>
              <w:rPr>
                <w:spacing w:val="74"/>
              </w:rPr>
              <w:t xml:space="preserve"> </w:t>
            </w:r>
            <w:r>
              <w:rPr>
                <w:spacing w:val="-8"/>
              </w:rPr>
              <w:t>违反前款规定使用无《道路运输证》的车辆参加危险货物运输的，由交通运输主管部</w:t>
            </w:r>
            <w:r>
              <w:t xml:space="preserve"> </w:t>
            </w:r>
            <w:r>
              <w:rPr>
                <w:spacing w:val="-8"/>
              </w:rPr>
              <w:t>门责令改正，处3000元以上1万元以下的罚款。</w:t>
            </w:r>
          </w:p>
        </w:tc>
        <w:tc>
          <w:tcPr>
            <w:tcW w:w="1011" w:type="dxa"/>
            <w:vAlign w:val="top"/>
          </w:tcPr>
          <w:p w14:paraId="0F618B09">
            <w:pPr>
              <w:spacing w:line="459" w:lineRule="auto"/>
              <w:rPr>
                <w:rFonts w:ascii="Arial"/>
                <w:sz w:val="21"/>
              </w:rPr>
            </w:pPr>
          </w:p>
          <w:p w14:paraId="6AD06C4C">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4F70EDF7">
            <w:pPr>
              <w:spacing w:line="459" w:lineRule="auto"/>
              <w:rPr>
                <w:rFonts w:ascii="Arial"/>
                <w:sz w:val="21"/>
              </w:rPr>
            </w:pPr>
          </w:p>
          <w:p w14:paraId="1013D29B">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588660EF">
            <w:pPr>
              <w:pStyle w:val="8"/>
              <w:spacing w:before="282"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14A6B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5" w:hRule="atLeast"/>
        </w:trPr>
        <w:tc>
          <w:tcPr>
            <w:tcW w:w="629" w:type="dxa"/>
            <w:vAlign w:val="top"/>
          </w:tcPr>
          <w:p w14:paraId="290F86CD">
            <w:pPr>
              <w:spacing w:line="291" w:lineRule="auto"/>
              <w:rPr>
                <w:rFonts w:ascii="Arial"/>
                <w:sz w:val="21"/>
              </w:rPr>
            </w:pPr>
          </w:p>
          <w:p w14:paraId="1F61C778">
            <w:pPr>
              <w:spacing w:line="291" w:lineRule="auto"/>
              <w:rPr>
                <w:rFonts w:ascii="Arial"/>
                <w:sz w:val="21"/>
              </w:rPr>
            </w:pPr>
          </w:p>
          <w:p w14:paraId="19FBAA66">
            <w:pPr>
              <w:spacing w:line="291" w:lineRule="auto"/>
              <w:rPr>
                <w:rFonts w:ascii="Arial"/>
                <w:sz w:val="21"/>
              </w:rPr>
            </w:pPr>
          </w:p>
          <w:p w14:paraId="65A9584D">
            <w:pPr>
              <w:spacing w:line="292" w:lineRule="auto"/>
              <w:rPr>
                <w:rFonts w:ascii="Arial"/>
                <w:sz w:val="21"/>
              </w:rPr>
            </w:pPr>
          </w:p>
          <w:p w14:paraId="542238D4">
            <w:pPr>
              <w:pStyle w:val="8"/>
              <w:spacing w:before="59" w:line="183" w:lineRule="auto"/>
              <w:ind w:left="224"/>
              <w:rPr>
                <w:rFonts w:hint="default" w:eastAsia="宋体"/>
                <w:lang w:val="en-US" w:eastAsia="zh-CN"/>
              </w:rPr>
            </w:pPr>
            <w:r>
              <w:rPr>
                <w:rFonts w:hint="eastAsia"/>
                <w:spacing w:val="-5"/>
                <w:lang w:val="en-US" w:eastAsia="zh-CN"/>
              </w:rPr>
              <w:t>49</w:t>
            </w:r>
          </w:p>
        </w:tc>
        <w:tc>
          <w:tcPr>
            <w:tcW w:w="1101" w:type="dxa"/>
            <w:vAlign w:val="top"/>
          </w:tcPr>
          <w:p w14:paraId="097B1F52">
            <w:pPr>
              <w:spacing w:line="270" w:lineRule="auto"/>
              <w:rPr>
                <w:rFonts w:ascii="Arial"/>
                <w:sz w:val="21"/>
              </w:rPr>
            </w:pPr>
          </w:p>
          <w:p w14:paraId="66C74502">
            <w:pPr>
              <w:spacing w:line="270" w:lineRule="auto"/>
              <w:rPr>
                <w:rFonts w:ascii="Arial"/>
                <w:sz w:val="21"/>
              </w:rPr>
            </w:pPr>
          </w:p>
          <w:p w14:paraId="4A2A687F">
            <w:pPr>
              <w:pStyle w:val="8"/>
              <w:spacing w:before="58" w:line="242" w:lineRule="auto"/>
              <w:ind w:left="20" w:right="20" w:hanging="2"/>
              <w:jc w:val="both"/>
            </w:pPr>
            <w:r>
              <w:rPr>
                <w:spacing w:val="-6"/>
              </w:rPr>
              <w:t>对危险货物道</w:t>
            </w:r>
            <w:r>
              <w:rPr>
                <w:spacing w:val="2"/>
              </w:rPr>
              <w:t xml:space="preserve"> </w:t>
            </w:r>
            <w:r>
              <w:rPr>
                <w:spacing w:val="-6"/>
              </w:rPr>
              <w:t>路运输承运人</w:t>
            </w:r>
            <w:r>
              <w:t xml:space="preserve"> </w:t>
            </w:r>
            <w:r>
              <w:rPr>
                <w:spacing w:val="-6"/>
              </w:rPr>
              <w:t>未按照规定对</w:t>
            </w:r>
            <w:r>
              <w:t xml:space="preserve"> </w:t>
            </w:r>
            <w:r>
              <w:rPr>
                <w:spacing w:val="-6"/>
              </w:rPr>
              <w:t>从业人员进行</w:t>
            </w:r>
            <w:r>
              <w:t xml:space="preserve"> </w:t>
            </w:r>
            <w:r>
              <w:rPr>
                <w:spacing w:val="-6"/>
              </w:rPr>
              <w:t>安全教育和培</w:t>
            </w:r>
            <w:r>
              <w:t xml:space="preserve"> </w:t>
            </w:r>
            <w:r>
              <w:rPr>
                <w:spacing w:val="-7"/>
              </w:rPr>
              <w:t>训的行政处罚</w:t>
            </w:r>
          </w:p>
        </w:tc>
        <w:tc>
          <w:tcPr>
            <w:tcW w:w="1101" w:type="dxa"/>
            <w:vAlign w:val="top"/>
          </w:tcPr>
          <w:p w14:paraId="1D6E67E6">
            <w:pPr>
              <w:spacing w:line="284" w:lineRule="auto"/>
              <w:rPr>
                <w:rFonts w:ascii="Arial"/>
                <w:sz w:val="21"/>
              </w:rPr>
            </w:pPr>
          </w:p>
          <w:p w14:paraId="68CBCD94">
            <w:pPr>
              <w:spacing w:line="284" w:lineRule="auto"/>
              <w:rPr>
                <w:rFonts w:ascii="Arial"/>
                <w:sz w:val="21"/>
              </w:rPr>
            </w:pPr>
          </w:p>
          <w:p w14:paraId="43FF12E4">
            <w:pPr>
              <w:spacing w:line="284" w:lineRule="auto"/>
              <w:rPr>
                <w:rFonts w:ascii="Arial"/>
                <w:sz w:val="21"/>
              </w:rPr>
            </w:pPr>
          </w:p>
          <w:p w14:paraId="027F4845">
            <w:pPr>
              <w:spacing w:line="285" w:lineRule="auto"/>
              <w:rPr>
                <w:rFonts w:ascii="Arial"/>
                <w:sz w:val="21"/>
              </w:rPr>
            </w:pPr>
          </w:p>
          <w:p w14:paraId="03025035">
            <w:pPr>
              <w:pStyle w:val="8"/>
              <w:spacing w:before="59" w:line="220" w:lineRule="auto"/>
              <w:ind w:left="25"/>
            </w:pPr>
            <w:r>
              <w:rPr>
                <w:spacing w:val="-7"/>
              </w:rPr>
              <w:t>行政处罚</w:t>
            </w:r>
          </w:p>
        </w:tc>
        <w:tc>
          <w:tcPr>
            <w:tcW w:w="8524" w:type="dxa"/>
            <w:vAlign w:val="top"/>
          </w:tcPr>
          <w:p w14:paraId="568B53A7">
            <w:pPr>
              <w:pStyle w:val="8"/>
              <w:spacing w:before="122" w:line="219" w:lineRule="auto"/>
              <w:ind w:left="451"/>
            </w:pPr>
            <w:r>
              <w:rPr>
                <w:b/>
                <w:bCs/>
                <w:spacing w:val="-8"/>
              </w:rPr>
              <w:t>《危险货物道路运输安全管理办法》(交通运输部</w:t>
            </w:r>
            <w:r>
              <w:rPr>
                <w:b/>
                <w:bCs/>
                <w:spacing w:val="-9"/>
              </w:rPr>
              <w:t>令2019年第29号)</w:t>
            </w:r>
          </w:p>
          <w:p w14:paraId="3B347A0C">
            <w:pPr>
              <w:pStyle w:val="8"/>
              <w:spacing w:before="26" w:line="233" w:lineRule="auto"/>
              <w:ind w:left="104" w:right="158" w:firstLine="341"/>
            </w:pPr>
            <w:r>
              <w:rPr>
                <w:spacing w:val="-8"/>
              </w:rPr>
              <w:t>第七条</w:t>
            </w:r>
            <w:r>
              <w:rPr>
                <w:spacing w:val="75"/>
              </w:rPr>
              <w:t xml:space="preserve"> </w:t>
            </w:r>
            <w:r>
              <w:rPr>
                <w:spacing w:val="-8"/>
              </w:rPr>
              <w:t>托运人、承运人、装货人应当制定危险货物道路运输作业查验、记录制度，以及人员安全教育培</w:t>
            </w:r>
            <w:r>
              <w:t xml:space="preserve"> </w:t>
            </w:r>
            <w:r>
              <w:rPr>
                <w:spacing w:val="-8"/>
              </w:rPr>
              <w:t>训、设备管理和岗位操作规程等安全生产管理制度。</w:t>
            </w:r>
          </w:p>
          <w:p w14:paraId="15BC8DE4">
            <w:pPr>
              <w:pStyle w:val="8"/>
              <w:spacing w:before="25" w:line="233" w:lineRule="auto"/>
              <w:ind w:left="102" w:right="32" w:firstLine="343"/>
            </w:pPr>
            <w:r>
              <w:rPr>
                <w:spacing w:val="-8"/>
              </w:rPr>
              <w:t>托运人、承运人、装货人应当按照相关法律法规和《危险货物道路运输规则》（JT/T617）要求，对本单位</w:t>
            </w:r>
            <w:r>
              <w:rPr>
                <w:spacing w:val="4"/>
              </w:rPr>
              <w:t xml:space="preserve"> </w:t>
            </w:r>
            <w:r>
              <w:rPr>
                <w:spacing w:val="-9"/>
              </w:rPr>
              <w:t>相关从业人员进行岗前安全教育培训和定期安全教育。未经岗前安全教育培训考核合格的人员，</w:t>
            </w:r>
            <w:r>
              <w:rPr>
                <w:spacing w:val="-10"/>
              </w:rPr>
              <w:t>不得上岗作业。</w:t>
            </w:r>
          </w:p>
          <w:p w14:paraId="320EB8A8">
            <w:pPr>
              <w:pStyle w:val="8"/>
              <w:spacing w:before="25" w:line="233" w:lineRule="auto"/>
              <w:ind w:left="105" w:right="150" w:firstLine="340"/>
            </w:pPr>
            <w:r>
              <w:rPr>
                <w:spacing w:val="-8"/>
              </w:rPr>
              <w:t>托运人、承运人、装货人应当妥善保存安全教育培训及考核记录。岗前安全教育培训及考核记录保存至相</w:t>
            </w:r>
            <w:r>
              <w:t xml:space="preserve"> </w:t>
            </w:r>
            <w:r>
              <w:rPr>
                <w:spacing w:val="-7"/>
              </w:rPr>
              <w:t>关从业人员离职后12个月；定期安全教育记录</w:t>
            </w:r>
            <w:r>
              <w:rPr>
                <w:spacing w:val="-8"/>
              </w:rPr>
              <w:t>保存期限不得少于12个月。</w:t>
            </w:r>
          </w:p>
          <w:p w14:paraId="5007A87D">
            <w:pPr>
              <w:pStyle w:val="8"/>
              <w:spacing w:before="27" w:line="237" w:lineRule="auto"/>
              <w:ind w:left="116" w:right="148" w:firstLine="328"/>
            </w:pPr>
            <w:r>
              <w:rPr>
                <w:spacing w:val="-8"/>
              </w:rPr>
              <w:t>第五十六条</w:t>
            </w:r>
            <w:r>
              <w:rPr>
                <w:spacing w:val="77"/>
              </w:rPr>
              <w:t xml:space="preserve"> </w:t>
            </w:r>
            <w:r>
              <w:rPr>
                <w:spacing w:val="-8"/>
              </w:rPr>
              <w:t>交通运输主管部门对危险货物承运人违反本办法第七条，未对从业人员进行安全教育</w:t>
            </w:r>
            <w:r>
              <w:rPr>
                <w:spacing w:val="-9"/>
              </w:rPr>
              <w:t>和培训</w:t>
            </w:r>
            <w:r>
              <w:t xml:space="preserve"> </w:t>
            </w:r>
            <w:r>
              <w:rPr>
                <w:spacing w:val="-8"/>
              </w:rPr>
              <w:t>的，应当责令限期改正，可以处5万元以下的罚款，逾期未改正的，责令停产停业整顿，并处5万元以上10万元</w:t>
            </w:r>
            <w:r>
              <w:rPr>
                <w:spacing w:val="2"/>
              </w:rPr>
              <w:t xml:space="preserve"> </w:t>
            </w:r>
            <w:r>
              <w:rPr>
                <w:spacing w:val="-8"/>
              </w:rPr>
              <w:t>以下的罚款，对其直接负责的主管人员和其他直接责任人员处1万元以上2万元以下的罚款。</w:t>
            </w:r>
          </w:p>
        </w:tc>
        <w:tc>
          <w:tcPr>
            <w:tcW w:w="1011" w:type="dxa"/>
            <w:vAlign w:val="top"/>
          </w:tcPr>
          <w:p w14:paraId="48C71B4B">
            <w:pPr>
              <w:spacing w:line="254" w:lineRule="auto"/>
              <w:rPr>
                <w:rFonts w:ascii="Arial"/>
                <w:sz w:val="21"/>
              </w:rPr>
            </w:pPr>
          </w:p>
          <w:p w14:paraId="25917A2C">
            <w:pPr>
              <w:spacing w:line="254" w:lineRule="auto"/>
              <w:rPr>
                <w:rFonts w:ascii="Arial"/>
                <w:sz w:val="21"/>
              </w:rPr>
            </w:pPr>
          </w:p>
          <w:p w14:paraId="5C482945">
            <w:pPr>
              <w:spacing w:line="254" w:lineRule="auto"/>
              <w:rPr>
                <w:rFonts w:ascii="Arial"/>
                <w:sz w:val="21"/>
              </w:rPr>
            </w:pPr>
          </w:p>
          <w:p w14:paraId="5C334ABC">
            <w:pPr>
              <w:spacing w:line="255" w:lineRule="auto"/>
              <w:rPr>
                <w:rFonts w:ascii="Arial"/>
                <w:sz w:val="21"/>
              </w:rPr>
            </w:pPr>
          </w:p>
          <w:p w14:paraId="021A9214">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027434D4">
            <w:pPr>
              <w:spacing w:line="254" w:lineRule="auto"/>
              <w:rPr>
                <w:rFonts w:ascii="Arial"/>
                <w:sz w:val="21"/>
              </w:rPr>
            </w:pPr>
          </w:p>
          <w:p w14:paraId="42972F04">
            <w:pPr>
              <w:spacing w:line="254" w:lineRule="auto"/>
              <w:rPr>
                <w:rFonts w:ascii="Arial"/>
                <w:sz w:val="21"/>
              </w:rPr>
            </w:pPr>
          </w:p>
          <w:p w14:paraId="2BE30485">
            <w:pPr>
              <w:spacing w:line="255" w:lineRule="auto"/>
              <w:rPr>
                <w:rFonts w:ascii="Arial"/>
                <w:sz w:val="21"/>
              </w:rPr>
            </w:pPr>
          </w:p>
          <w:p w14:paraId="0376B01D">
            <w:pPr>
              <w:spacing w:line="255" w:lineRule="auto"/>
              <w:rPr>
                <w:rFonts w:ascii="Arial"/>
                <w:sz w:val="21"/>
              </w:rPr>
            </w:pPr>
          </w:p>
          <w:p w14:paraId="6F63BFE3">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3B98BB8">
            <w:pPr>
              <w:spacing w:line="260" w:lineRule="auto"/>
              <w:rPr>
                <w:rFonts w:ascii="Arial"/>
                <w:sz w:val="21"/>
              </w:rPr>
            </w:pPr>
          </w:p>
          <w:p w14:paraId="3B8864EC">
            <w:pPr>
              <w:spacing w:line="260" w:lineRule="auto"/>
              <w:rPr>
                <w:rFonts w:ascii="Arial"/>
                <w:sz w:val="21"/>
              </w:rPr>
            </w:pPr>
          </w:p>
          <w:p w14:paraId="4832E989">
            <w:pPr>
              <w:spacing w:line="260" w:lineRule="auto"/>
              <w:rPr>
                <w:rFonts w:ascii="Arial"/>
                <w:sz w:val="21"/>
              </w:rPr>
            </w:pPr>
          </w:p>
          <w:p w14:paraId="33E0031B">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3B9F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95" w:hRule="atLeast"/>
        </w:trPr>
        <w:tc>
          <w:tcPr>
            <w:tcW w:w="629" w:type="dxa"/>
            <w:vAlign w:val="top"/>
          </w:tcPr>
          <w:p w14:paraId="612C7166">
            <w:pPr>
              <w:spacing w:line="245" w:lineRule="auto"/>
              <w:rPr>
                <w:rFonts w:ascii="Arial"/>
                <w:sz w:val="21"/>
              </w:rPr>
            </w:pPr>
          </w:p>
          <w:p w14:paraId="512BA9A7">
            <w:pPr>
              <w:spacing w:line="245" w:lineRule="auto"/>
              <w:rPr>
                <w:rFonts w:ascii="Arial"/>
                <w:sz w:val="21"/>
              </w:rPr>
            </w:pPr>
          </w:p>
          <w:p w14:paraId="6A91ACCF">
            <w:pPr>
              <w:spacing w:line="245" w:lineRule="auto"/>
              <w:rPr>
                <w:rFonts w:ascii="Arial"/>
                <w:sz w:val="21"/>
              </w:rPr>
            </w:pPr>
          </w:p>
          <w:p w14:paraId="185661CC">
            <w:pPr>
              <w:spacing w:line="246" w:lineRule="auto"/>
              <w:rPr>
                <w:rFonts w:ascii="Arial"/>
                <w:sz w:val="21"/>
              </w:rPr>
            </w:pPr>
          </w:p>
          <w:p w14:paraId="77BC01DD">
            <w:pPr>
              <w:pStyle w:val="8"/>
              <w:spacing w:before="58" w:line="184" w:lineRule="auto"/>
              <w:ind w:left="224"/>
              <w:rPr>
                <w:rFonts w:hint="eastAsia" w:eastAsia="宋体"/>
                <w:lang w:eastAsia="zh-CN"/>
              </w:rPr>
            </w:pPr>
            <w:r>
              <w:rPr>
                <w:spacing w:val="-5"/>
              </w:rPr>
              <w:t>5</w:t>
            </w:r>
            <w:r>
              <w:rPr>
                <w:rFonts w:hint="eastAsia"/>
                <w:spacing w:val="-5"/>
                <w:lang w:val="en-US" w:eastAsia="zh-CN"/>
              </w:rPr>
              <w:t>0</w:t>
            </w:r>
          </w:p>
        </w:tc>
        <w:tc>
          <w:tcPr>
            <w:tcW w:w="1101" w:type="dxa"/>
            <w:vAlign w:val="top"/>
          </w:tcPr>
          <w:p w14:paraId="696FA598">
            <w:pPr>
              <w:pStyle w:val="8"/>
              <w:spacing w:before="181" w:line="243" w:lineRule="auto"/>
              <w:ind w:left="20" w:right="20" w:hanging="2"/>
            </w:pPr>
            <w:r>
              <w:rPr>
                <w:spacing w:val="-6"/>
              </w:rPr>
              <w:t>对危险货物道</w:t>
            </w:r>
            <w:r>
              <w:rPr>
                <w:spacing w:val="2"/>
              </w:rPr>
              <w:t xml:space="preserve"> </w:t>
            </w:r>
            <w:r>
              <w:rPr>
                <w:spacing w:val="-6"/>
              </w:rPr>
              <w:t>路运输托运人</w:t>
            </w:r>
            <w:r>
              <w:t xml:space="preserve"> </w:t>
            </w:r>
            <w:r>
              <w:rPr>
                <w:spacing w:val="-6"/>
              </w:rPr>
              <w:t>未按照相关标</w:t>
            </w:r>
            <w:r>
              <w:t xml:space="preserve"> </w:t>
            </w:r>
            <w:r>
              <w:rPr>
                <w:spacing w:val="-6"/>
              </w:rPr>
              <w:t>准要求确定危</w:t>
            </w:r>
            <w:r>
              <w:t xml:space="preserve"> </w:t>
            </w:r>
            <w:r>
              <w:rPr>
                <w:spacing w:val="-6"/>
              </w:rPr>
              <w:t>险货物类别、</w:t>
            </w:r>
            <w:r>
              <w:t xml:space="preserve"> </w:t>
            </w:r>
            <w:r>
              <w:rPr>
                <w:spacing w:val="-6"/>
              </w:rPr>
              <w:t>项别、品名、</w:t>
            </w:r>
            <w:r>
              <w:t xml:space="preserve"> </w:t>
            </w:r>
            <w:r>
              <w:rPr>
                <w:spacing w:val="-6"/>
              </w:rPr>
              <w:t>编号的行政处</w:t>
            </w:r>
            <w:r>
              <w:t xml:space="preserve"> 罚</w:t>
            </w:r>
          </w:p>
        </w:tc>
        <w:tc>
          <w:tcPr>
            <w:tcW w:w="1101" w:type="dxa"/>
            <w:vAlign w:val="top"/>
          </w:tcPr>
          <w:p w14:paraId="56DAD8FE">
            <w:pPr>
              <w:spacing w:line="317" w:lineRule="auto"/>
              <w:rPr>
                <w:rFonts w:ascii="Arial"/>
                <w:sz w:val="21"/>
              </w:rPr>
            </w:pPr>
          </w:p>
          <w:p w14:paraId="5ED83FE8">
            <w:pPr>
              <w:spacing w:line="318" w:lineRule="auto"/>
              <w:rPr>
                <w:rFonts w:ascii="Arial"/>
                <w:sz w:val="21"/>
              </w:rPr>
            </w:pPr>
          </w:p>
          <w:p w14:paraId="3EF07B32">
            <w:pPr>
              <w:spacing w:line="318" w:lineRule="auto"/>
              <w:rPr>
                <w:rFonts w:ascii="Arial"/>
                <w:sz w:val="21"/>
              </w:rPr>
            </w:pPr>
          </w:p>
          <w:p w14:paraId="3F879AED">
            <w:pPr>
              <w:pStyle w:val="8"/>
              <w:spacing w:before="59" w:line="220" w:lineRule="auto"/>
              <w:ind w:left="25"/>
            </w:pPr>
            <w:r>
              <w:rPr>
                <w:spacing w:val="-7"/>
              </w:rPr>
              <w:t>行政处罚</w:t>
            </w:r>
          </w:p>
        </w:tc>
        <w:tc>
          <w:tcPr>
            <w:tcW w:w="8524" w:type="dxa"/>
            <w:vAlign w:val="top"/>
          </w:tcPr>
          <w:p w14:paraId="271EE587">
            <w:pPr>
              <w:spacing w:line="357" w:lineRule="auto"/>
              <w:rPr>
                <w:rFonts w:ascii="Arial"/>
                <w:sz w:val="21"/>
              </w:rPr>
            </w:pPr>
          </w:p>
          <w:p w14:paraId="135E2837">
            <w:pPr>
              <w:pStyle w:val="8"/>
              <w:spacing w:before="58" w:line="219" w:lineRule="auto"/>
              <w:ind w:left="451"/>
            </w:pPr>
            <w:r>
              <w:rPr>
                <w:b/>
                <w:bCs/>
                <w:spacing w:val="-8"/>
              </w:rPr>
              <w:t>《危险货物道路运输安全管理办法》(交通运输部</w:t>
            </w:r>
            <w:r>
              <w:rPr>
                <w:b/>
                <w:bCs/>
                <w:spacing w:val="-9"/>
              </w:rPr>
              <w:t>令2019年第29号)</w:t>
            </w:r>
          </w:p>
          <w:p w14:paraId="3F8164F5">
            <w:pPr>
              <w:pStyle w:val="8"/>
              <w:spacing w:before="27" w:line="232" w:lineRule="auto"/>
              <w:ind w:left="101" w:right="32" w:firstLine="343"/>
            </w:pPr>
            <w:r>
              <w:rPr>
                <w:spacing w:val="-10"/>
              </w:rPr>
              <w:t>第十条</w:t>
            </w:r>
            <w:r>
              <w:rPr>
                <w:spacing w:val="75"/>
              </w:rPr>
              <w:t xml:space="preserve"> </w:t>
            </w:r>
            <w:r>
              <w:rPr>
                <w:spacing w:val="-10"/>
              </w:rPr>
              <w:t>托运人应当按照《危险货物道路运输规则》（JT/T617）确定危险货物的类别、项别、</w:t>
            </w:r>
            <w:r>
              <w:rPr>
                <w:spacing w:val="-11"/>
              </w:rPr>
              <w:t>品名、编号，</w:t>
            </w:r>
            <w:r>
              <w:t xml:space="preserve"> </w:t>
            </w:r>
            <w:r>
              <w:rPr>
                <w:spacing w:val="-9"/>
              </w:rPr>
              <w:t>遵守相关特殊规定要求。需要添加抑制剂或者稳定剂的，托运人应当按照规定添加，并将有关情况</w:t>
            </w:r>
            <w:r>
              <w:rPr>
                <w:spacing w:val="-10"/>
              </w:rPr>
              <w:t>告知承运人。</w:t>
            </w:r>
          </w:p>
          <w:p w14:paraId="5DF7312D">
            <w:pPr>
              <w:pStyle w:val="8"/>
              <w:spacing w:before="25" w:line="238" w:lineRule="auto"/>
              <w:ind w:left="103" w:right="88" w:firstLine="341"/>
            </w:pPr>
            <w:r>
              <w:rPr>
                <w:spacing w:val="-8"/>
              </w:rPr>
              <w:t>第五十八条</w:t>
            </w:r>
            <w:r>
              <w:rPr>
                <w:spacing w:val="77"/>
              </w:rPr>
              <w:t xml:space="preserve"> </w:t>
            </w:r>
            <w:r>
              <w:rPr>
                <w:spacing w:val="-8"/>
              </w:rPr>
              <w:t>交通运输主管部门对危险货物托运人违反本办法第十条，危险货物的类别、项别、品</w:t>
            </w:r>
            <w:r>
              <w:rPr>
                <w:spacing w:val="-9"/>
              </w:rPr>
              <w:t>名、编</w:t>
            </w:r>
            <w:r>
              <w:t xml:space="preserve"> </w:t>
            </w:r>
            <w:r>
              <w:rPr>
                <w:spacing w:val="-8"/>
              </w:rPr>
              <w:t>号不符合相关标准要求的，应当责令改正，属于非经营性的，处1000元以下的罚款；属于经营性的</w:t>
            </w:r>
            <w:r>
              <w:rPr>
                <w:spacing w:val="-9"/>
              </w:rPr>
              <w:t>，处1万元以</w:t>
            </w:r>
            <w:r>
              <w:t xml:space="preserve"> </w:t>
            </w:r>
            <w:r>
              <w:rPr>
                <w:spacing w:val="-7"/>
              </w:rPr>
              <w:t>上3万元以下的罚款。</w:t>
            </w:r>
          </w:p>
        </w:tc>
        <w:tc>
          <w:tcPr>
            <w:tcW w:w="1011" w:type="dxa"/>
            <w:vAlign w:val="top"/>
          </w:tcPr>
          <w:p w14:paraId="4FEA0B06">
            <w:pPr>
              <w:spacing w:line="278" w:lineRule="auto"/>
              <w:rPr>
                <w:rFonts w:ascii="Arial"/>
                <w:sz w:val="21"/>
              </w:rPr>
            </w:pPr>
          </w:p>
          <w:p w14:paraId="36BDE185">
            <w:pPr>
              <w:spacing w:line="278" w:lineRule="auto"/>
              <w:rPr>
                <w:rFonts w:ascii="Arial"/>
                <w:sz w:val="21"/>
              </w:rPr>
            </w:pPr>
          </w:p>
          <w:p w14:paraId="76A5A640">
            <w:pPr>
              <w:spacing w:line="278" w:lineRule="auto"/>
              <w:rPr>
                <w:rFonts w:ascii="Arial"/>
                <w:sz w:val="21"/>
              </w:rPr>
            </w:pPr>
          </w:p>
          <w:p w14:paraId="1B3EE5B4">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693A09C2">
            <w:pPr>
              <w:spacing w:line="278" w:lineRule="auto"/>
              <w:rPr>
                <w:rFonts w:ascii="Arial"/>
                <w:sz w:val="21"/>
              </w:rPr>
            </w:pPr>
          </w:p>
          <w:p w14:paraId="78A2D49E">
            <w:pPr>
              <w:spacing w:line="278" w:lineRule="auto"/>
              <w:rPr>
                <w:rFonts w:ascii="Arial"/>
                <w:sz w:val="21"/>
              </w:rPr>
            </w:pPr>
          </w:p>
          <w:p w14:paraId="3AD6B61C">
            <w:pPr>
              <w:spacing w:line="278" w:lineRule="auto"/>
              <w:rPr>
                <w:rFonts w:ascii="Arial"/>
                <w:sz w:val="21"/>
              </w:rPr>
            </w:pPr>
          </w:p>
          <w:p w14:paraId="0C34B545">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009C5F1">
            <w:pPr>
              <w:spacing w:line="298" w:lineRule="auto"/>
              <w:rPr>
                <w:rFonts w:ascii="Arial"/>
                <w:sz w:val="21"/>
              </w:rPr>
            </w:pPr>
          </w:p>
          <w:p w14:paraId="002A0BD2">
            <w:pPr>
              <w:spacing w:line="299" w:lineRule="auto"/>
              <w:rPr>
                <w:rFonts w:ascii="Arial"/>
                <w:sz w:val="21"/>
              </w:rPr>
            </w:pPr>
          </w:p>
          <w:p w14:paraId="1E75B819">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5F661E82">
      <w:pPr>
        <w:pStyle w:val="2"/>
      </w:pPr>
    </w:p>
    <w:p w14:paraId="452B6B6E">
      <w:pPr>
        <w:sectPr>
          <w:footerReference r:id="rId46" w:type="default"/>
          <w:pgSz w:w="16839" w:h="11906"/>
          <w:pgMar w:top="1012" w:right="1016" w:bottom="966" w:left="1016" w:header="0" w:footer="768" w:gutter="0"/>
          <w:cols w:space="720" w:num="1"/>
        </w:sectPr>
      </w:pPr>
    </w:p>
    <w:p w14:paraId="621E7432">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21080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101A6AFF">
            <w:pPr>
              <w:pStyle w:val="8"/>
              <w:spacing w:before="273" w:line="221" w:lineRule="auto"/>
              <w:ind w:left="129"/>
            </w:pPr>
            <w:r>
              <w:rPr>
                <w:b/>
                <w:bCs/>
                <w:spacing w:val="-4"/>
              </w:rPr>
              <w:t>序号</w:t>
            </w:r>
          </w:p>
        </w:tc>
        <w:tc>
          <w:tcPr>
            <w:tcW w:w="1101" w:type="dxa"/>
            <w:vMerge w:val="restart"/>
            <w:tcBorders>
              <w:bottom w:val="nil"/>
            </w:tcBorders>
            <w:vAlign w:val="top"/>
          </w:tcPr>
          <w:p w14:paraId="360DDAE0">
            <w:pPr>
              <w:pStyle w:val="8"/>
              <w:spacing w:before="274" w:line="220" w:lineRule="auto"/>
              <w:ind w:left="182"/>
            </w:pPr>
            <w:r>
              <w:rPr>
                <w:b/>
                <w:bCs/>
                <w:spacing w:val="-4"/>
              </w:rPr>
              <w:t>事项名称</w:t>
            </w:r>
          </w:p>
        </w:tc>
        <w:tc>
          <w:tcPr>
            <w:tcW w:w="1101" w:type="dxa"/>
            <w:vMerge w:val="restart"/>
            <w:tcBorders>
              <w:bottom w:val="nil"/>
            </w:tcBorders>
            <w:vAlign w:val="top"/>
          </w:tcPr>
          <w:p w14:paraId="6A66ACF6">
            <w:pPr>
              <w:pStyle w:val="8"/>
              <w:spacing w:before="274" w:line="219" w:lineRule="auto"/>
              <w:ind w:left="183"/>
            </w:pPr>
            <w:r>
              <w:rPr>
                <w:b/>
                <w:bCs/>
                <w:spacing w:val="-4"/>
              </w:rPr>
              <w:t>职权类型</w:t>
            </w:r>
          </w:p>
        </w:tc>
        <w:tc>
          <w:tcPr>
            <w:tcW w:w="8524" w:type="dxa"/>
            <w:vMerge w:val="restart"/>
            <w:tcBorders>
              <w:bottom w:val="nil"/>
            </w:tcBorders>
            <w:vAlign w:val="top"/>
          </w:tcPr>
          <w:p w14:paraId="4F4A1F56">
            <w:pPr>
              <w:pStyle w:val="8"/>
              <w:spacing w:before="273" w:line="219" w:lineRule="auto"/>
              <w:ind w:left="4083"/>
            </w:pPr>
            <w:r>
              <w:rPr>
                <w:b/>
                <w:bCs/>
                <w:spacing w:val="-5"/>
              </w:rPr>
              <w:t>实施依据</w:t>
            </w:r>
          </w:p>
        </w:tc>
        <w:tc>
          <w:tcPr>
            <w:tcW w:w="3435" w:type="dxa"/>
            <w:gridSpan w:val="3"/>
            <w:vAlign w:val="top"/>
          </w:tcPr>
          <w:p w14:paraId="243AD5AE">
            <w:pPr>
              <w:pStyle w:val="8"/>
              <w:spacing w:before="94" w:line="220" w:lineRule="auto"/>
              <w:ind w:left="1360"/>
            </w:pPr>
            <w:r>
              <w:rPr>
                <w:b/>
                <w:bCs/>
                <w:spacing w:val="-5"/>
              </w:rPr>
              <w:t>实施主体</w:t>
            </w:r>
          </w:p>
        </w:tc>
      </w:tr>
      <w:tr w14:paraId="31AB9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7216BE9F">
            <w:pPr>
              <w:rPr>
                <w:rFonts w:ascii="Arial"/>
                <w:sz w:val="21"/>
              </w:rPr>
            </w:pPr>
          </w:p>
        </w:tc>
        <w:tc>
          <w:tcPr>
            <w:tcW w:w="1101" w:type="dxa"/>
            <w:vMerge w:val="continue"/>
            <w:tcBorders>
              <w:top w:val="nil"/>
            </w:tcBorders>
            <w:vAlign w:val="top"/>
          </w:tcPr>
          <w:p w14:paraId="2EE49C92">
            <w:pPr>
              <w:rPr>
                <w:rFonts w:ascii="Arial"/>
                <w:sz w:val="21"/>
              </w:rPr>
            </w:pPr>
          </w:p>
        </w:tc>
        <w:tc>
          <w:tcPr>
            <w:tcW w:w="1101" w:type="dxa"/>
            <w:vMerge w:val="continue"/>
            <w:tcBorders>
              <w:top w:val="nil"/>
            </w:tcBorders>
            <w:vAlign w:val="top"/>
          </w:tcPr>
          <w:p w14:paraId="77B1B3E5">
            <w:pPr>
              <w:rPr>
                <w:rFonts w:ascii="Arial"/>
                <w:sz w:val="21"/>
              </w:rPr>
            </w:pPr>
          </w:p>
        </w:tc>
        <w:tc>
          <w:tcPr>
            <w:tcW w:w="8524" w:type="dxa"/>
            <w:vMerge w:val="continue"/>
            <w:tcBorders>
              <w:top w:val="nil"/>
            </w:tcBorders>
            <w:vAlign w:val="top"/>
          </w:tcPr>
          <w:p w14:paraId="2B03F26C">
            <w:pPr>
              <w:rPr>
                <w:rFonts w:ascii="Arial"/>
                <w:sz w:val="21"/>
              </w:rPr>
            </w:pPr>
          </w:p>
        </w:tc>
        <w:tc>
          <w:tcPr>
            <w:tcW w:w="1011" w:type="dxa"/>
            <w:vAlign w:val="top"/>
          </w:tcPr>
          <w:p w14:paraId="7F6A6B51">
            <w:pPr>
              <w:pStyle w:val="8"/>
              <w:spacing w:before="85" w:line="219" w:lineRule="auto"/>
              <w:ind w:left="154"/>
            </w:pPr>
            <w:r>
              <w:rPr>
                <w:b/>
                <w:bCs/>
                <w:spacing w:val="-5"/>
              </w:rPr>
              <w:t>责任部门</w:t>
            </w:r>
          </w:p>
        </w:tc>
        <w:tc>
          <w:tcPr>
            <w:tcW w:w="1404" w:type="dxa"/>
            <w:vAlign w:val="top"/>
          </w:tcPr>
          <w:p w14:paraId="35AB7CC7">
            <w:pPr>
              <w:pStyle w:val="8"/>
              <w:spacing w:before="85" w:line="219" w:lineRule="auto"/>
              <w:ind w:left="164"/>
            </w:pPr>
            <w:r>
              <w:rPr>
                <w:b/>
                <w:bCs/>
                <w:spacing w:val="-3"/>
              </w:rPr>
              <w:t>第一责任层级</w:t>
            </w:r>
          </w:p>
        </w:tc>
        <w:tc>
          <w:tcPr>
            <w:tcW w:w="1020" w:type="dxa"/>
            <w:vAlign w:val="top"/>
          </w:tcPr>
          <w:p w14:paraId="0289D7A3">
            <w:pPr>
              <w:pStyle w:val="8"/>
              <w:spacing w:before="84" w:line="219" w:lineRule="auto"/>
              <w:ind w:left="114"/>
            </w:pPr>
            <w:r>
              <w:rPr>
                <w:b/>
                <w:bCs/>
                <w:spacing w:val="-4"/>
              </w:rPr>
              <w:t>承办机构</w:t>
            </w:r>
          </w:p>
        </w:tc>
      </w:tr>
      <w:tr w14:paraId="6FA7D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04" w:hRule="atLeast"/>
        </w:trPr>
        <w:tc>
          <w:tcPr>
            <w:tcW w:w="629" w:type="dxa"/>
            <w:vAlign w:val="top"/>
          </w:tcPr>
          <w:p w14:paraId="605C3F82">
            <w:pPr>
              <w:spacing w:line="265" w:lineRule="auto"/>
              <w:rPr>
                <w:rFonts w:ascii="Arial"/>
                <w:sz w:val="21"/>
              </w:rPr>
            </w:pPr>
          </w:p>
          <w:p w14:paraId="73675F8B">
            <w:pPr>
              <w:spacing w:line="266" w:lineRule="auto"/>
              <w:rPr>
                <w:rFonts w:ascii="Arial"/>
                <w:sz w:val="21"/>
              </w:rPr>
            </w:pPr>
          </w:p>
          <w:p w14:paraId="363DB1DD">
            <w:pPr>
              <w:spacing w:line="266" w:lineRule="auto"/>
              <w:rPr>
                <w:rFonts w:ascii="Arial"/>
                <w:sz w:val="21"/>
              </w:rPr>
            </w:pPr>
          </w:p>
          <w:p w14:paraId="441BE7A1">
            <w:pPr>
              <w:spacing w:line="266" w:lineRule="auto"/>
              <w:rPr>
                <w:rFonts w:ascii="Arial"/>
                <w:sz w:val="21"/>
              </w:rPr>
            </w:pPr>
          </w:p>
          <w:p w14:paraId="24104A1E">
            <w:pPr>
              <w:spacing w:line="266" w:lineRule="auto"/>
              <w:rPr>
                <w:rFonts w:ascii="Arial"/>
                <w:sz w:val="21"/>
              </w:rPr>
            </w:pPr>
          </w:p>
          <w:p w14:paraId="1B440574">
            <w:pPr>
              <w:pStyle w:val="8"/>
              <w:spacing w:before="59" w:line="183" w:lineRule="auto"/>
              <w:ind w:left="224"/>
              <w:rPr>
                <w:rFonts w:hint="eastAsia" w:eastAsia="宋体"/>
                <w:lang w:eastAsia="zh-CN"/>
              </w:rPr>
            </w:pPr>
            <w:r>
              <w:rPr>
                <w:spacing w:val="-5"/>
              </w:rPr>
              <w:t>5</w:t>
            </w:r>
            <w:r>
              <w:rPr>
                <w:rFonts w:hint="eastAsia"/>
                <w:spacing w:val="-5"/>
                <w:lang w:val="en-US" w:eastAsia="zh-CN"/>
              </w:rPr>
              <w:t>1</w:t>
            </w:r>
          </w:p>
        </w:tc>
        <w:tc>
          <w:tcPr>
            <w:tcW w:w="1101" w:type="dxa"/>
            <w:vAlign w:val="top"/>
          </w:tcPr>
          <w:p w14:paraId="79BF8177">
            <w:pPr>
              <w:spacing w:line="353" w:lineRule="auto"/>
              <w:rPr>
                <w:rFonts w:ascii="Arial"/>
                <w:sz w:val="21"/>
              </w:rPr>
            </w:pPr>
          </w:p>
          <w:p w14:paraId="2004979A">
            <w:pPr>
              <w:spacing w:line="354" w:lineRule="auto"/>
              <w:rPr>
                <w:rFonts w:ascii="Arial"/>
                <w:sz w:val="21"/>
              </w:rPr>
            </w:pPr>
          </w:p>
          <w:p w14:paraId="5E8DD399">
            <w:pPr>
              <w:pStyle w:val="8"/>
              <w:spacing w:before="59" w:line="242" w:lineRule="auto"/>
              <w:ind w:left="18" w:right="20"/>
              <w:jc w:val="both"/>
            </w:pPr>
            <w:r>
              <w:rPr>
                <w:spacing w:val="-6"/>
              </w:rPr>
              <w:t>对危险货物道</w:t>
            </w:r>
            <w:r>
              <w:rPr>
                <w:spacing w:val="2"/>
              </w:rPr>
              <w:t xml:space="preserve"> </w:t>
            </w:r>
            <w:r>
              <w:rPr>
                <w:spacing w:val="-6"/>
              </w:rPr>
              <w:t>路运输承运人</w:t>
            </w:r>
            <w:r>
              <w:rPr>
                <w:spacing w:val="1"/>
              </w:rPr>
              <w:t xml:space="preserve"> </w:t>
            </w:r>
            <w:r>
              <w:rPr>
                <w:spacing w:val="-6"/>
              </w:rPr>
              <w:t>未按照规定范</w:t>
            </w:r>
            <w:r>
              <w:rPr>
                <w:spacing w:val="1"/>
              </w:rPr>
              <w:t xml:space="preserve"> </w:t>
            </w:r>
            <w:r>
              <w:rPr>
                <w:spacing w:val="-6"/>
              </w:rPr>
              <w:t>围承运危险货</w:t>
            </w:r>
            <w:r>
              <w:rPr>
                <w:spacing w:val="1"/>
              </w:rPr>
              <w:t xml:space="preserve"> </w:t>
            </w:r>
            <w:r>
              <w:rPr>
                <w:spacing w:val="-6"/>
              </w:rPr>
              <w:t>物行为的行政</w:t>
            </w:r>
            <w:r>
              <w:rPr>
                <w:spacing w:val="1"/>
              </w:rPr>
              <w:t xml:space="preserve"> </w:t>
            </w:r>
            <w:r>
              <w:rPr>
                <w:spacing w:val="-4"/>
              </w:rPr>
              <w:t>处罚</w:t>
            </w:r>
          </w:p>
        </w:tc>
        <w:tc>
          <w:tcPr>
            <w:tcW w:w="1101" w:type="dxa"/>
            <w:vAlign w:val="top"/>
          </w:tcPr>
          <w:p w14:paraId="09332A9D">
            <w:pPr>
              <w:spacing w:line="260" w:lineRule="auto"/>
              <w:rPr>
                <w:rFonts w:ascii="Arial"/>
                <w:sz w:val="21"/>
              </w:rPr>
            </w:pPr>
          </w:p>
          <w:p w14:paraId="18BC138D">
            <w:pPr>
              <w:spacing w:line="260" w:lineRule="auto"/>
              <w:rPr>
                <w:rFonts w:ascii="Arial"/>
                <w:sz w:val="21"/>
              </w:rPr>
            </w:pPr>
          </w:p>
          <w:p w14:paraId="08428192">
            <w:pPr>
              <w:spacing w:line="260" w:lineRule="auto"/>
              <w:rPr>
                <w:rFonts w:ascii="Arial"/>
                <w:sz w:val="21"/>
              </w:rPr>
            </w:pPr>
          </w:p>
          <w:p w14:paraId="2219FA63">
            <w:pPr>
              <w:spacing w:line="260" w:lineRule="auto"/>
              <w:rPr>
                <w:rFonts w:ascii="Arial"/>
                <w:sz w:val="21"/>
              </w:rPr>
            </w:pPr>
          </w:p>
          <w:p w14:paraId="4B35B2E7">
            <w:pPr>
              <w:spacing w:line="261" w:lineRule="auto"/>
              <w:rPr>
                <w:rFonts w:ascii="Arial"/>
                <w:sz w:val="21"/>
              </w:rPr>
            </w:pPr>
          </w:p>
          <w:p w14:paraId="7BB219B0">
            <w:pPr>
              <w:pStyle w:val="8"/>
              <w:spacing w:before="58" w:line="220" w:lineRule="auto"/>
              <w:ind w:left="25"/>
            </w:pPr>
            <w:r>
              <w:rPr>
                <w:spacing w:val="-7"/>
              </w:rPr>
              <w:t>行政处罚</w:t>
            </w:r>
          </w:p>
        </w:tc>
        <w:tc>
          <w:tcPr>
            <w:tcW w:w="8524" w:type="dxa"/>
            <w:vAlign w:val="top"/>
          </w:tcPr>
          <w:p w14:paraId="28F00CE1">
            <w:pPr>
              <w:spacing w:line="346" w:lineRule="auto"/>
              <w:rPr>
                <w:rFonts w:ascii="Arial"/>
                <w:sz w:val="21"/>
              </w:rPr>
            </w:pPr>
          </w:p>
          <w:p w14:paraId="76B19FBF">
            <w:pPr>
              <w:pStyle w:val="8"/>
              <w:spacing w:before="59" w:line="219" w:lineRule="auto"/>
              <w:ind w:left="451"/>
            </w:pPr>
            <w:r>
              <w:rPr>
                <w:b/>
                <w:bCs/>
                <w:spacing w:val="-8"/>
              </w:rPr>
              <w:t>《危险货物道路运输安全管理办法》(交通运输部</w:t>
            </w:r>
            <w:r>
              <w:rPr>
                <w:b/>
                <w:bCs/>
                <w:spacing w:val="-9"/>
              </w:rPr>
              <w:t>令2019年第29号)</w:t>
            </w:r>
          </w:p>
          <w:p w14:paraId="3A1A1692">
            <w:pPr>
              <w:pStyle w:val="8"/>
              <w:spacing w:before="26" w:line="233" w:lineRule="auto"/>
              <w:ind w:left="102" w:right="157" w:firstLine="343"/>
            </w:pPr>
            <w:r>
              <w:rPr>
                <w:spacing w:val="-8"/>
              </w:rPr>
              <w:t>第二十三条</w:t>
            </w:r>
            <w:r>
              <w:rPr>
                <w:spacing w:val="75"/>
              </w:rPr>
              <w:t xml:space="preserve"> </w:t>
            </w:r>
            <w:r>
              <w:rPr>
                <w:spacing w:val="-8"/>
              </w:rPr>
              <w:t>危险货物承运人应当使用安全技术条件符合国家标准要求且与承运危险货物性质、重量相匹</w:t>
            </w:r>
            <w:r>
              <w:t xml:space="preserve"> </w:t>
            </w:r>
            <w:r>
              <w:rPr>
                <w:spacing w:val="-8"/>
              </w:rPr>
              <w:t>配的车辆、设备进行运输。</w:t>
            </w:r>
          </w:p>
          <w:p w14:paraId="0B5E2BDD">
            <w:pPr>
              <w:pStyle w:val="8"/>
              <w:spacing w:before="24" w:line="233" w:lineRule="auto"/>
              <w:ind w:left="118" w:right="150" w:firstLine="329"/>
            </w:pPr>
            <w:r>
              <w:rPr>
                <w:spacing w:val="-8"/>
              </w:rPr>
              <w:t>危险货物承运人使用常压液体危险货物罐式车辆运输危险货物的，应当在罐式车辆罐体的适装介质</w:t>
            </w:r>
            <w:r>
              <w:rPr>
                <w:spacing w:val="-9"/>
              </w:rPr>
              <w:t>列表范</w:t>
            </w:r>
            <w:r>
              <w:t xml:space="preserve"> </w:t>
            </w:r>
            <w:r>
              <w:rPr>
                <w:spacing w:val="-8"/>
              </w:rPr>
              <w:t>围内承运；使用移动式压力容器运输危险货物的，应当按照移动式压力容器使用登记证</w:t>
            </w:r>
            <w:r>
              <w:rPr>
                <w:spacing w:val="-9"/>
              </w:rPr>
              <w:t>上限定的介质承运。</w:t>
            </w:r>
          </w:p>
          <w:p w14:paraId="4B740449">
            <w:pPr>
              <w:pStyle w:val="8"/>
              <w:spacing w:before="26" w:line="219" w:lineRule="auto"/>
              <w:ind w:left="447"/>
            </w:pPr>
            <w:r>
              <w:rPr>
                <w:spacing w:val="-8"/>
              </w:rPr>
              <w:t>危险货物承运人应当按照运输车辆的核定载质量装载危险货物，不得超载。</w:t>
            </w:r>
          </w:p>
          <w:p w14:paraId="5FC1D0AD">
            <w:pPr>
              <w:pStyle w:val="8"/>
              <w:spacing w:before="27" w:line="237" w:lineRule="auto"/>
              <w:ind w:left="102" w:right="155" w:firstLine="342"/>
            </w:pPr>
            <w:r>
              <w:rPr>
                <w:spacing w:val="-8"/>
              </w:rPr>
              <w:t>第六十条第（一）项</w:t>
            </w:r>
            <w:r>
              <w:rPr>
                <w:spacing w:val="90"/>
              </w:rPr>
              <w:t xml:space="preserve"> </w:t>
            </w:r>
            <w:r>
              <w:rPr>
                <w:spacing w:val="-8"/>
              </w:rPr>
              <w:t>交通运输主管部门对危险货物承运人有下列情形之一的，应当责令改正，处2000元</w:t>
            </w:r>
            <w:r>
              <w:t xml:space="preserve"> </w:t>
            </w:r>
            <w:r>
              <w:rPr>
                <w:spacing w:val="-7"/>
              </w:rPr>
              <w:t>以上5000元以下的罚款</w:t>
            </w:r>
            <w:r>
              <w:rPr>
                <w:spacing w:val="-21"/>
              </w:rPr>
              <w:t>：（</w:t>
            </w:r>
            <w:r>
              <w:rPr>
                <w:spacing w:val="-7"/>
              </w:rPr>
              <w:t>一）违反本办法第二十三条，未在罐式车辆罐体的</w:t>
            </w:r>
            <w:r>
              <w:rPr>
                <w:spacing w:val="-8"/>
              </w:rPr>
              <w:t>适装介质列表范围内或者移动式</w:t>
            </w:r>
            <w:r>
              <w:rPr>
                <w:spacing w:val="1"/>
              </w:rPr>
              <w:t xml:space="preserve"> </w:t>
            </w:r>
            <w:r>
              <w:rPr>
                <w:spacing w:val="-8"/>
              </w:rPr>
              <w:t>压力容器使用登记证上限定的介质承运危险货物的。</w:t>
            </w:r>
          </w:p>
        </w:tc>
        <w:tc>
          <w:tcPr>
            <w:tcW w:w="1011" w:type="dxa"/>
            <w:vAlign w:val="top"/>
          </w:tcPr>
          <w:p w14:paraId="101B57E7">
            <w:pPr>
              <w:spacing w:line="295" w:lineRule="auto"/>
              <w:rPr>
                <w:rFonts w:ascii="Arial"/>
                <w:sz w:val="21"/>
              </w:rPr>
            </w:pPr>
          </w:p>
          <w:p w14:paraId="3D0B57D7">
            <w:pPr>
              <w:spacing w:line="295" w:lineRule="auto"/>
              <w:rPr>
                <w:rFonts w:ascii="Arial"/>
                <w:sz w:val="21"/>
              </w:rPr>
            </w:pPr>
          </w:p>
          <w:p w14:paraId="62FDEA0A">
            <w:pPr>
              <w:spacing w:line="295" w:lineRule="auto"/>
              <w:rPr>
                <w:rFonts w:ascii="Arial"/>
                <w:sz w:val="21"/>
              </w:rPr>
            </w:pPr>
          </w:p>
          <w:p w14:paraId="7693E0A3">
            <w:pPr>
              <w:spacing w:line="296" w:lineRule="auto"/>
              <w:rPr>
                <w:rFonts w:ascii="Arial"/>
                <w:sz w:val="21"/>
              </w:rPr>
            </w:pPr>
          </w:p>
          <w:p w14:paraId="1E919113">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7383AEAF">
            <w:pPr>
              <w:spacing w:line="295" w:lineRule="auto"/>
              <w:rPr>
                <w:rFonts w:ascii="Arial"/>
                <w:sz w:val="21"/>
              </w:rPr>
            </w:pPr>
          </w:p>
          <w:p w14:paraId="642EE911">
            <w:pPr>
              <w:spacing w:line="295" w:lineRule="auto"/>
              <w:rPr>
                <w:rFonts w:ascii="Arial"/>
                <w:sz w:val="21"/>
              </w:rPr>
            </w:pPr>
          </w:p>
          <w:p w14:paraId="2544BDDF">
            <w:pPr>
              <w:spacing w:line="295" w:lineRule="auto"/>
              <w:rPr>
                <w:rFonts w:ascii="Arial"/>
                <w:sz w:val="21"/>
              </w:rPr>
            </w:pPr>
          </w:p>
          <w:p w14:paraId="3AD09F93">
            <w:pPr>
              <w:spacing w:line="296" w:lineRule="auto"/>
              <w:rPr>
                <w:rFonts w:ascii="Arial"/>
                <w:sz w:val="21"/>
              </w:rPr>
            </w:pPr>
          </w:p>
          <w:p w14:paraId="15FDD161">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09A71B2">
            <w:pPr>
              <w:spacing w:line="314" w:lineRule="auto"/>
              <w:rPr>
                <w:rFonts w:ascii="Arial"/>
                <w:sz w:val="21"/>
              </w:rPr>
            </w:pPr>
          </w:p>
          <w:p w14:paraId="3EF8A8BB">
            <w:pPr>
              <w:spacing w:line="315" w:lineRule="auto"/>
              <w:rPr>
                <w:rFonts w:ascii="Arial"/>
                <w:sz w:val="21"/>
              </w:rPr>
            </w:pPr>
          </w:p>
          <w:p w14:paraId="7F48A16D">
            <w:pPr>
              <w:spacing w:line="315" w:lineRule="auto"/>
              <w:rPr>
                <w:rFonts w:ascii="Arial"/>
                <w:sz w:val="21"/>
              </w:rPr>
            </w:pPr>
          </w:p>
          <w:p w14:paraId="373B95F0">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5B0EF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5" w:hRule="atLeast"/>
        </w:trPr>
        <w:tc>
          <w:tcPr>
            <w:tcW w:w="629" w:type="dxa"/>
            <w:vAlign w:val="top"/>
          </w:tcPr>
          <w:p w14:paraId="1BDA4CD2">
            <w:pPr>
              <w:spacing w:line="276" w:lineRule="auto"/>
              <w:rPr>
                <w:rFonts w:ascii="Arial"/>
                <w:sz w:val="21"/>
              </w:rPr>
            </w:pPr>
          </w:p>
          <w:p w14:paraId="61883FDF">
            <w:pPr>
              <w:spacing w:line="276" w:lineRule="auto"/>
              <w:rPr>
                <w:rFonts w:ascii="Arial"/>
                <w:sz w:val="21"/>
              </w:rPr>
            </w:pPr>
          </w:p>
          <w:p w14:paraId="6086DEF9">
            <w:pPr>
              <w:spacing w:line="276" w:lineRule="auto"/>
              <w:rPr>
                <w:rFonts w:ascii="Arial"/>
                <w:sz w:val="21"/>
              </w:rPr>
            </w:pPr>
          </w:p>
          <w:p w14:paraId="77D0AF36">
            <w:pPr>
              <w:spacing w:line="276" w:lineRule="auto"/>
              <w:rPr>
                <w:rFonts w:ascii="Arial"/>
                <w:sz w:val="21"/>
              </w:rPr>
            </w:pPr>
          </w:p>
          <w:p w14:paraId="28301536">
            <w:pPr>
              <w:pStyle w:val="8"/>
              <w:spacing w:before="59" w:line="183" w:lineRule="auto"/>
              <w:ind w:left="224"/>
              <w:rPr>
                <w:rFonts w:hint="eastAsia" w:eastAsia="宋体"/>
                <w:lang w:eastAsia="zh-CN"/>
              </w:rPr>
            </w:pPr>
            <w:r>
              <w:rPr>
                <w:spacing w:val="-5"/>
              </w:rPr>
              <w:t>5</w:t>
            </w:r>
            <w:r>
              <w:rPr>
                <w:rFonts w:hint="eastAsia"/>
                <w:spacing w:val="-5"/>
                <w:lang w:val="en-US" w:eastAsia="zh-CN"/>
              </w:rPr>
              <w:t>2</w:t>
            </w:r>
          </w:p>
        </w:tc>
        <w:tc>
          <w:tcPr>
            <w:tcW w:w="1101" w:type="dxa"/>
            <w:vAlign w:val="top"/>
          </w:tcPr>
          <w:p w14:paraId="1FE26688">
            <w:pPr>
              <w:spacing w:line="479" w:lineRule="auto"/>
              <w:rPr>
                <w:rFonts w:ascii="Arial"/>
                <w:sz w:val="21"/>
              </w:rPr>
            </w:pPr>
          </w:p>
          <w:p w14:paraId="02F14B9F">
            <w:pPr>
              <w:pStyle w:val="8"/>
              <w:spacing w:before="59" w:line="242" w:lineRule="auto"/>
              <w:ind w:left="18" w:right="20"/>
              <w:jc w:val="both"/>
            </w:pPr>
            <w:r>
              <w:rPr>
                <w:spacing w:val="-6"/>
              </w:rPr>
              <w:t>对危险货物道</w:t>
            </w:r>
            <w:r>
              <w:rPr>
                <w:spacing w:val="2"/>
              </w:rPr>
              <w:t xml:space="preserve"> </w:t>
            </w:r>
            <w:r>
              <w:rPr>
                <w:spacing w:val="-6"/>
              </w:rPr>
              <w:t>路运输承运人</w:t>
            </w:r>
            <w:r>
              <w:rPr>
                <w:spacing w:val="2"/>
              </w:rPr>
              <w:t xml:space="preserve"> </w:t>
            </w:r>
            <w:r>
              <w:rPr>
                <w:spacing w:val="-6"/>
              </w:rPr>
              <w:t>未按照规定制</w:t>
            </w:r>
            <w:r>
              <w:rPr>
                <w:spacing w:val="2"/>
              </w:rPr>
              <w:t xml:space="preserve"> </w:t>
            </w:r>
            <w:r>
              <w:rPr>
                <w:spacing w:val="-6"/>
              </w:rPr>
              <w:t>作和保存危险</w:t>
            </w:r>
            <w:r>
              <w:rPr>
                <w:spacing w:val="2"/>
              </w:rPr>
              <w:t xml:space="preserve"> </w:t>
            </w:r>
            <w:r>
              <w:rPr>
                <w:spacing w:val="-6"/>
              </w:rPr>
              <w:t>货物运单的行</w:t>
            </w:r>
            <w:r>
              <w:rPr>
                <w:spacing w:val="2"/>
              </w:rPr>
              <w:t xml:space="preserve"> </w:t>
            </w:r>
            <w:r>
              <w:rPr>
                <w:spacing w:val="-5"/>
              </w:rPr>
              <w:t>政处罚</w:t>
            </w:r>
          </w:p>
        </w:tc>
        <w:tc>
          <w:tcPr>
            <w:tcW w:w="1101" w:type="dxa"/>
            <w:vAlign w:val="top"/>
          </w:tcPr>
          <w:p w14:paraId="72A81A34">
            <w:pPr>
              <w:spacing w:line="269" w:lineRule="auto"/>
              <w:rPr>
                <w:rFonts w:ascii="Arial"/>
                <w:sz w:val="21"/>
              </w:rPr>
            </w:pPr>
          </w:p>
          <w:p w14:paraId="7E7CF291">
            <w:pPr>
              <w:spacing w:line="269" w:lineRule="auto"/>
              <w:rPr>
                <w:rFonts w:ascii="Arial"/>
                <w:sz w:val="21"/>
              </w:rPr>
            </w:pPr>
          </w:p>
          <w:p w14:paraId="0FBE2EC3">
            <w:pPr>
              <w:spacing w:line="269" w:lineRule="auto"/>
              <w:rPr>
                <w:rFonts w:ascii="Arial"/>
                <w:sz w:val="21"/>
              </w:rPr>
            </w:pPr>
          </w:p>
          <w:p w14:paraId="5CF790D7">
            <w:pPr>
              <w:spacing w:line="269" w:lineRule="auto"/>
              <w:rPr>
                <w:rFonts w:ascii="Arial"/>
                <w:sz w:val="21"/>
              </w:rPr>
            </w:pPr>
          </w:p>
          <w:p w14:paraId="6E0EF51F">
            <w:pPr>
              <w:pStyle w:val="8"/>
              <w:spacing w:before="58" w:line="220" w:lineRule="auto"/>
              <w:ind w:left="25"/>
            </w:pPr>
            <w:r>
              <w:rPr>
                <w:spacing w:val="-7"/>
              </w:rPr>
              <w:t>行政处罚</w:t>
            </w:r>
          </w:p>
        </w:tc>
        <w:tc>
          <w:tcPr>
            <w:tcW w:w="8524" w:type="dxa"/>
            <w:vAlign w:val="top"/>
          </w:tcPr>
          <w:p w14:paraId="78923DD3">
            <w:pPr>
              <w:spacing w:line="241" w:lineRule="auto"/>
              <w:rPr>
                <w:rFonts w:ascii="Arial"/>
                <w:sz w:val="21"/>
              </w:rPr>
            </w:pPr>
          </w:p>
          <w:p w14:paraId="0E9A9C23">
            <w:pPr>
              <w:pStyle w:val="8"/>
              <w:spacing w:before="58" w:line="219" w:lineRule="auto"/>
              <w:ind w:left="451"/>
            </w:pPr>
            <w:r>
              <w:rPr>
                <w:b/>
                <w:bCs/>
                <w:spacing w:val="-8"/>
              </w:rPr>
              <w:t>《危险货物道路运输安全管理办法》(交通运输部</w:t>
            </w:r>
            <w:r>
              <w:rPr>
                <w:b/>
                <w:bCs/>
                <w:spacing w:val="-9"/>
              </w:rPr>
              <w:t>令2019年第29号)</w:t>
            </w:r>
          </w:p>
          <w:p w14:paraId="155ABB0D">
            <w:pPr>
              <w:pStyle w:val="8"/>
              <w:spacing w:before="26" w:line="233" w:lineRule="auto"/>
              <w:ind w:left="101" w:right="157" w:firstLine="343"/>
            </w:pPr>
            <w:r>
              <w:rPr>
                <w:spacing w:val="-8"/>
              </w:rPr>
              <w:t>第二十四条</w:t>
            </w:r>
            <w:r>
              <w:rPr>
                <w:spacing w:val="75"/>
              </w:rPr>
              <w:t xml:space="preserve"> </w:t>
            </w:r>
            <w:r>
              <w:rPr>
                <w:spacing w:val="-8"/>
              </w:rPr>
              <w:t>危险货物承运人应当制作危险货物运单，并交由驾驶人随车携带。危险货物运单应当妥善保</w:t>
            </w:r>
            <w:r>
              <w:t xml:space="preserve"> </w:t>
            </w:r>
            <w:r>
              <w:rPr>
                <w:spacing w:val="-7"/>
              </w:rPr>
              <w:t>存，保存期限不得少于12个月。</w:t>
            </w:r>
          </w:p>
          <w:p w14:paraId="65A40583">
            <w:pPr>
              <w:pStyle w:val="8"/>
              <w:spacing w:before="25" w:line="233" w:lineRule="auto"/>
              <w:ind w:left="112" w:right="150" w:firstLine="335"/>
            </w:pPr>
            <w:r>
              <w:rPr>
                <w:spacing w:val="-8"/>
              </w:rPr>
              <w:t>危险货物运单格式由国务院交通运输主管部门统一制定。危险货物运单可以是电子或者纸质形式。</w:t>
            </w:r>
            <w:r>
              <w:rPr>
                <w:spacing w:val="-9"/>
              </w:rPr>
              <w:t>运输危</w:t>
            </w:r>
            <w:r>
              <w:t xml:space="preserve"> </w:t>
            </w:r>
            <w:r>
              <w:rPr>
                <w:spacing w:val="-8"/>
              </w:rPr>
              <w:t>险废物的企业还应当填写并随车携带电子或者纸质形式的危险废物转移</w:t>
            </w:r>
            <w:r>
              <w:rPr>
                <w:spacing w:val="-9"/>
              </w:rPr>
              <w:t>联单。</w:t>
            </w:r>
          </w:p>
          <w:p w14:paraId="29D60A47">
            <w:pPr>
              <w:pStyle w:val="8"/>
              <w:spacing w:before="25" w:line="238" w:lineRule="auto"/>
              <w:ind w:left="103" w:right="148" w:firstLine="341"/>
            </w:pPr>
            <w:r>
              <w:rPr>
                <w:spacing w:val="-8"/>
              </w:rPr>
              <w:t>第六十条第（二）项</w:t>
            </w:r>
            <w:r>
              <w:rPr>
                <w:spacing w:val="90"/>
              </w:rPr>
              <w:t xml:space="preserve"> </w:t>
            </w:r>
            <w:r>
              <w:rPr>
                <w:spacing w:val="-8"/>
              </w:rPr>
              <w:t>交通运输主管部门对危险货物承运人有下列情形之一的，应当责令改正，处2000元</w:t>
            </w:r>
            <w:r>
              <w:t xml:space="preserve"> </w:t>
            </w:r>
            <w:r>
              <w:rPr>
                <w:spacing w:val="-7"/>
              </w:rPr>
              <w:t>以上5000元以下的罚款</w:t>
            </w:r>
            <w:r>
              <w:rPr>
                <w:spacing w:val="-21"/>
              </w:rPr>
              <w:t>：（</w:t>
            </w:r>
            <w:r>
              <w:rPr>
                <w:spacing w:val="-7"/>
              </w:rPr>
              <w:t>二）违反本办法第二十四条，未按照规定制作危险货物运单或者</w:t>
            </w:r>
            <w:r>
              <w:rPr>
                <w:spacing w:val="-8"/>
              </w:rPr>
              <w:t>保存期限不符合要</w:t>
            </w:r>
            <w:r>
              <w:rPr>
                <w:spacing w:val="1"/>
              </w:rPr>
              <w:t xml:space="preserve"> </w:t>
            </w:r>
            <w:r>
              <w:rPr>
                <w:spacing w:val="-6"/>
              </w:rPr>
              <w:t>求的。</w:t>
            </w:r>
          </w:p>
        </w:tc>
        <w:tc>
          <w:tcPr>
            <w:tcW w:w="1011" w:type="dxa"/>
            <w:vAlign w:val="top"/>
          </w:tcPr>
          <w:p w14:paraId="075BC359">
            <w:pPr>
              <w:spacing w:line="318" w:lineRule="auto"/>
              <w:rPr>
                <w:rFonts w:ascii="Arial"/>
                <w:sz w:val="21"/>
              </w:rPr>
            </w:pPr>
          </w:p>
          <w:p w14:paraId="76E622CD">
            <w:pPr>
              <w:spacing w:line="319" w:lineRule="auto"/>
              <w:rPr>
                <w:rFonts w:ascii="Arial"/>
                <w:sz w:val="21"/>
              </w:rPr>
            </w:pPr>
          </w:p>
          <w:p w14:paraId="3BA92805">
            <w:pPr>
              <w:spacing w:line="319" w:lineRule="auto"/>
              <w:rPr>
                <w:rFonts w:ascii="Arial"/>
                <w:sz w:val="21"/>
              </w:rPr>
            </w:pPr>
          </w:p>
          <w:p w14:paraId="64F385DD">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2AD436DD">
            <w:pPr>
              <w:spacing w:line="319" w:lineRule="auto"/>
              <w:rPr>
                <w:rFonts w:ascii="Arial"/>
                <w:sz w:val="21"/>
              </w:rPr>
            </w:pPr>
          </w:p>
          <w:p w14:paraId="4CEEA195">
            <w:pPr>
              <w:spacing w:line="319" w:lineRule="auto"/>
              <w:rPr>
                <w:rFonts w:ascii="Arial"/>
                <w:sz w:val="21"/>
              </w:rPr>
            </w:pPr>
          </w:p>
          <w:p w14:paraId="31EE59C4">
            <w:pPr>
              <w:spacing w:line="319" w:lineRule="auto"/>
              <w:rPr>
                <w:rFonts w:ascii="Arial"/>
                <w:sz w:val="21"/>
              </w:rPr>
            </w:pPr>
          </w:p>
          <w:p w14:paraId="2D6870BC">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27299E6">
            <w:pPr>
              <w:spacing w:line="359" w:lineRule="auto"/>
              <w:rPr>
                <w:rFonts w:ascii="Arial"/>
                <w:sz w:val="21"/>
              </w:rPr>
            </w:pPr>
          </w:p>
          <w:p w14:paraId="67C257AE">
            <w:pPr>
              <w:spacing w:line="360" w:lineRule="auto"/>
              <w:rPr>
                <w:rFonts w:ascii="Arial"/>
                <w:sz w:val="21"/>
              </w:rPr>
            </w:pPr>
          </w:p>
          <w:p w14:paraId="5A1F83B8">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7B5BC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79" w:hRule="atLeast"/>
        </w:trPr>
        <w:tc>
          <w:tcPr>
            <w:tcW w:w="629" w:type="dxa"/>
            <w:vAlign w:val="top"/>
          </w:tcPr>
          <w:p w14:paraId="48FB40F4">
            <w:pPr>
              <w:spacing w:line="283" w:lineRule="auto"/>
              <w:rPr>
                <w:rFonts w:ascii="Arial"/>
                <w:sz w:val="21"/>
              </w:rPr>
            </w:pPr>
          </w:p>
          <w:p w14:paraId="7E9DA408">
            <w:pPr>
              <w:spacing w:line="284" w:lineRule="auto"/>
              <w:rPr>
                <w:rFonts w:ascii="Arial"/>
                <w:sz w:val="21"/>
              </w:rPr>
            </w:pPr>
          </w:p>
          <w:p w14:paraId="2ADA8245">
            <w:pPr>
              <w:spacing w:line="284" w:lineRule="auto"/>
              <w:rPr>
                <w:rFonts w:ascii="Arial"/>
                <w:sz w:val="21"/>
              </w:rPr>
            </w:pPr>
          </w:p>
          <w:p w14:paraId="3B296467">
            <w:pPr>
              <w:spacing w:line="284" w:lineRule="auto"/>
              <w:rPr>
                <w:rFonts w:ascii="Arial"/>
                <w:sz w:val="21"/>
              </w:rPr>
            </w:pPr>
          </w:p>
          <w:p w14:paraId="04DCA39B">
            <w:pPr>
              <w:spacing w:line="284" w:lineRule="auto"/>
              <w:rPr>
                <w:rFonts w:ascii="Arial"/>
                <w:sz w:val="21"/>
              </w:rPr>
            </w:pPr>
          </w:p>
          <w:p w14:paraId="698FEE53">
            <w:pPr>
              <w:pStyle w:val="8"/>
              <w:spacing w:before="59" w:line="183" w:lineRule="auto"/>
              <w:ind w:left="224"/>
              <w:rPr>
                <w:rFonts w:hint="default" w:eastAsia="宋体"/>
                <w:lang w:val="en-US" w:eastAsia="zh-CN"/>
              </w:rPr>
            </w:pPr>
            <w:r>
              <w:rPr>
                <w:rFonts w:hint="eastAsia"/>
                <w:spacing w:val="-5"/>
                <w:lang w:val="en-US" w:eastAsia="zh-CN"/>
              </w:rPr>
              <w:t>53</w:t>
            </w:r>
          </w:p>
        </w:tc>
        <w:tc>
          <w:tcPr>
            <w:tcW w:w="1101" w:type="dxa"/>
            <w:vAlign w:val="top"/>
          </w:tcPr>
          <w:p w14:paraId="452572FE">
            <w:pPr>
              <w:spacing w:line="434" w:lineRule="auto"/>
              <w:rPr>
                <w:rFonts w:ascii="Arial"/>
                <w:sz w:val="21"/>
              </w:rPr>
            </w:pPr>
          </w:p>
          <w:p w14:paraId="714DA866">
            <w:pPr>
              <w:pStyle w:val="8"/>
              <w:spacing w:before="58" w:line="244" w:lineRule="auto"/>
              <w:ind w:left="18" w:right="20"/>
              <w:jc w:val="both"/>
            </w:pPr>
            <w:r>
              <w:rPr>
                <w:spacing w:val="-6"/>
              </w:rPr>
              <w:t>对危险货物承</w:t>
            </w:r>
            <w:r>
              <w:rPr>
                <w:spacing w:val="2"/>
              </w:rPr>
              <w:t xml:space="preserve"> </w:t>
            </w:r>
            <w:r>
              <w:rPr>
                <w:spacing w:val="-6"/>
              </w:rPr>
              <w:t>运人未按照规</w:t>
            </w:r>
            <w:r>
              <w:rPr>
                <w:spacing w:val="2"/>
              </w:rPr>
              <w:t xml:space="preserve"> </w:t>
            </w:r>
            <w:r>
              <w:rPr>
                <w:spacing w:val="29"/>
              </w:rPr>
              <w:t>定对运输车</w:t>
            </w:r>
            <w:r>
              <w:rPr>
                <w:spacing w:val="1"/>
              </w:rPr>
              <w:t xml:space="preserve"> </w:t>
            </w:r>
            <w:r>
              <w:rPr>
                <w:spacing w:val="-6"/>
              </w:rPr>
              <w:t>辆、罐式车辆</w:t>
            </w:r>
            <w:r>
              <w:rPr>
                <w:spacing w:val="2"/>
              </w:rPr>
              <w:t xml:space="preserve"> </w:t>
            </w:r>
            <w:r>
              <w:rPr>
                <w:spacing w:val="-6"/>
              </w:rPr>
              <w:t>罐体、可移动</w:t>
            </w:r>
            <w:r>
              <w:rPr>
                <w:spacing w:val="2"/>
              </w:rPr>
              <w:t xml:space="preserve"> </w:t>
            </w:r>
            <w:r>
              <w:rPr>
                <w:spacing w:val="-6"/>
              </w:rPr>
              <w:t>罐柜、罐箱及</w:t>
            </w:r>
            <w:r>
              <w:rPr>
                <w:spacing w:val="2"/>
              </w:rPr>
              <w:t xml:space="preserve"> </w:t>
            </w:r>
            <w:r>
              <w:rPr>
                <w:spacing w:val="-6"/>
              </w:rPr>
              <w:t>设备进行检查</w:t>
            </w:r>
            <w:r>
              <w:rPr>
                <w:spacing w:val="2"/>
              </w:rPr>
              <w:t xml:space="preserve"> </w:t>
            </w:r>
            <w:r>
              <w:rPr>
                <w:spacing w:val="-6"/>
              </w:rPr>
              <w:t>和记录的行政</w:t>
            </w:r>
            <w:r>
              <w:rPr>
                <w:spacing w:val="2"/>
              </w:rPr>
              <w:t xml:space="preserve"> </w:t>
            </w:r>
            <w:r>
              <w:rPr>
                <w:spacing w:val="-4"/>
              </w:rPr>
              <w:t>处罚</w:t>
            </w:r>
          </w:p>
        </w:tc>
        <w:tc>
          <w:tcPr>
            <w:tcW w:w="1101" w:type="dxa"/>
            <w:vAlign w:val="top"/>
          </w:tcPr>
          <w:p w14:paraId="72371CB8">
            <w:pPr>
              <w:rPr>
                <w:rFonts w:ascii="Arial"/>
                <w:sz w:val="21"/>
              </w:rPr>
            </w:pPr>
          </w:p>
        </w:tc>
        <w:tc>
          <w:tcPr>
            <w:tcW w:w="8524" w:type="dxa"/>
            <w:vAlign w:val="top"/>
          </w:tcPr>
          <w:p w14:paraId="12765FBE">
            <w:pPr>
              <w:spacing w:line="337" w:lineRule="auto"/>
              <w:rPr>
                <w:rFonts w:ascii="Arial"/>
                <w:sz w:val="21"/>
              </w:rPr>
            </w:pPr>
          </w:p>
          <w:p w14:paraId="658FE072">
            <w:pPr>
              <w:spacing w:line="338" w:lineRule="auto"/>
              <w:rPr>
                <w:rFonts w:ascii="Arial"/>
                <w:sz w:val="21"/>
              </w:rPr>
            </w:pPr>
          </w:p>
          <w:p w14:paraId="1924C9C0">
            <w:pPr>
              <w:pStyle w:val="8"/>
              <w:spacing w:before="58" w:line="219" w:lineRule="auto"/>
              <w:ind w:left="451"/>
            </w:pPr>
            <w:r>
              <w:rPr>
                <w:b/>
                <w:bCs/>
                <w:spacing w:val="-8"/>
              </w:rPr>
              <w:t>《危险货物道路运输安全管理办法》(交通运输部</w:t>
            </w:r>
            <w:r>
              <w:rPr>
                <w:b/>
                <w:bCs/>
                <w:spacing w:val="-9"/>
              </w:rPr>
              <w:t>令2019年第29号)</w:t>
            </w:r>
          </w:p>
          <w:p w14:paraId="23C165BC">
            <w:pPr>
              <w:pStyle w:val="8"/>
              <w:spacing w:before="26" w:line="237" w:lineRule="auto"/>
              <w:ind w:left="105" w:right="150" w:firstLine="339"/>
              <w:jc w:val="both"/>
            </w:pPr>
            <w:r>
              <w:rPr>
                <w:spacing w:val="-8"/>
              </w:rPr>
              <w:t>第二十五条</w:t>
            </w:r>
            <w:r>
              <w:rPr>
                <w:spacing w:val="75"/>
              </w:rPr>
              <w:t xml:space="preserve"> </w:t>
            </w:r>
            <w:r>
              <w:rPr>
                <w:spacing w:val="-8"/>
              </w:rPr>
              <w:t>危险货物承运人在运输前，应当对运输车辆、罐式车辆罐体、可移动罐柜、罐式集装箱（以</w:t>
            </w:r>
            <w:r>
              <w:t xml:space="preserve"> </w:t>
            </w:r>
            <w:r>
              <w:rPr>
                <w:spacing w:val="-8"/>
              </w:rPr>
              <w:t>下简称罐箱）及相关设备的技术状况，以及卫星定位装置进行检查并做好记录，对驾驶人、押运人</w:t>
            </w:r>
            <w:r>
              <w:rPr>
                <w:spacing w:val="-9"/>
              </w:rPr>
              <w:t>员进行运输</w:t>
            </w:r>
            <w:r>
              <w:t xml:space="preserve"> </w:t>
            </w:r>
            <w:r>
              <w:rPr>
                <w:spacing w:val="-7"/>
              </w:rPr>
              <w:t>安全告知。</w:t>
            </w:r>
          </w:p>
          <w:p w14:paraId="205D8FBF">
            <w:pPr>
              <w:pStyle w:val="8"/>
              <w:spacing w:before="28" w:line="237" w:lineRule="auto"/>
              <w:ind w:left="103" w:right="32" w:firstLine="341"/>
              <w:jc w:val="both"/>
            </w:pPr>
            <w:r>
              <w:rPr>
                <w:spacing w:val="-8"/>
              </w:rPr>
              <w:t>第六十条第（三）项</w:t>
            </w:r>
            <w:r>
              <w:rPr>
                <w:spacing w:val="90"/>
              </w:rPr>
              <w:t xml:space="preserve"> </w:t>
            </w:r>
            <w:r>
              <w:rPr>
                <w:spacing w:val="-8"/>
              </w:rPr>
              <w:t>交通运输主管部门对危险货物承运人有下列情形之一的，应当责令改正，处2000元</w:t>
            </w:r>
            <w:r>
              <w:t xml:space="preserve">  </w:t>
            </w:r>
            <w:r>
              <w:rPr>
                <w:spacing w:val="-8"/>
              </w:rPr>
              <w:t>以上5000元以下的罚款</w:t>
            </w:r>
            <w:r>
              <w:rPr>
                <w:spacing w:val="-25"/>
              </w:rPr>
              <w:t>：（</w:t>
            </w:r>
            <w:r>
              <w:rPr>
                <w:spacing w:val="-8"/>
              </w:rPr>
              <w:t>三）违反本办法第二十五条，未按照要求对运输车辆、罐式车辆罐体</w:t>
            </w:r>
            <w:r>
              <w:rPr>
                <w:spacing w:val="-9"/>
              </w:rPr>
              <w:t>、可移动罐柜、</w:t>
            </w:r>
            <w:r>
              <w:t xml:space="preserve"> </w:t>
            </w:r>
            <w:r>
              <w:rPr>
                <w:spacing w:val="-8"/>
              </w:rPr>
              <w:t>罐箱及设备进行检查和记录的。</w:t>
            </w:r>
          </w:p>
        </w:tc>
        <w:tc>
          <w:tcPr>
            <w:tcW w:w="1011" w:type="dxa"/>
            <w:vAlign w:val="top"/>
          </w:tcPr>
          <w:p w14:paraId="6C4C1E95">
            <w:pPr>
              <w:spacing w:line="254" w:lineRule="auto"/>
              <w:rPr>
                <w:rFonts w:ascii="Arial"/>
                <w:sz w:val="21"/>
              </w:rPr>
            </w:pPr>
          </w:p>
          <w:p w14:paraId="724FD24F">
            <w:pPr>
              <w:spacing w:line="254" w:lineRule="auto"/>
              <w:rPr>
                <w:rFonts w:ascii="Arial"/>
                <w:sz w:val="21"/>
              </w:rPr>
            </w:pPr>
          </w:p>
          <w:p w14:paraId="0D1DFE7F">
            <w:pPr>
              <w:spacing w:line="254" w:lineRule="auto"/>
              <w:rPr>
                <w:rFonts w:ascii="Arial"/>
                <w:sz w:val="21"/>
              </w:rPr>
            </w:pPr>
          </w:p>
          <w:p w14:paraId="09E664A8">
            <w:pPr>
              <w:spacing w:line="254" w:lineRule="auto"/>
              <w:rPr>
                <w:rFonts w:ascii="Arial"/>
                <w:sz w:val="21"/>
              </w:rPr>
            </w:pPr>
          </w:p>
          <w:p w14:paraId="60936970">
            <w:pPr>
              <w:spacing w:line="255" w:lineRule="auto"/>
              <w:rPr>
                <w:rFonts w:ascii="Arial"/>
                <w:sz w:val="21"/>
              </w:rPr>
            </w:pPr>
          </w:p>
          <w:p w14:paraId="357FCFD8">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5AC6E1D6">
            <w:pPr>
              <w:spacing w:line="254" w:lineRule="auto"/>
              <w:rPr>
                <w:rFonts w:ascii="Arial"/>
                <w:sz w:val="21"/>
              </w:rPr>
            </w:pPr>
          </w:p>
          <w:p w14:paraId="33FB705A">
            <w:pPr>
              <w:spacing w:line="254" w:lineRule="auto"/>
              <w:rPr>
                <w:rFonts w:ascii="Arial"/>
                <w:sz w:val="21"/>
              </w:rPr>
            </w:pPr>
          </w:p>
          <w:p w14:paraId="7928E832">
            <w:pPr>
              <w:spacing w:line="254" w:lineRule="auto"/>
              <w:rPr>
                <w:rFonts w:ascii="Arial"/>
                <w:sz w:val="21"/>
              </w:rPr>
            </w:pPr>
          </w:p>
          <w:p w14:paraId="68B61950">
            <w:pPr>
              <w:spacing w:line="254" w:lineRule="auto"/>
              <w:rPr>
                <w:rFonts w:ascii="Arial"/>
                <w:sz w:val="21"/>
              </w:rPr>
            </w:pPr>
          </w:p>
          <w:p w14:paraId="1FDA0124">
            <w:pPr>
              <w:spacing w:line="255" w:lineRule="auto"/>
              <w:rPr>
                <w:rFonts w:ascii="Arial"/>
                <w:sz w:val="21"/>
              </w:rPr>
            </w:pPr>
          </w:p>
          <w:p w14:paraId="1B6D823C">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081B6A3">
            <w:pPr>
              <w:spacing w:line="258" w:lineRule="auto"/>
              <w:rPr>
                <w:rFonts w:ascii="Arial"/>
                <w:sz w:val="21"/>
              </w:rPr>
            </w:pPr>
          </w:p>
          <w:p w14:paraId="3A5D8931">
            <w:pPr>
              <w:spacing w:line="258" w:lineRule="auto"/>
              <w:rPr>
                <w:rFonts w:ascii="Arial"/>
                <w:sz w:val="21"/>
              </w:rPr>
            </w:pPr>
          </w:p>
          <w:p w14:paraId="54D5911D">
            <w:pPr>
              <w:spacing w:line="259" w:lineRule="auto"/>
              <w:rPr>
                <w:rFonts w:ascii="Arial"/>
                <w:sz w:val="21"/>
              </w:rPr>
            </w:pPr>
          </w:p>
          <w:p w14:paraId="3B639BFA">
            <w:pPr>
              <w:spacing w:line="259" w:lineRule="auto"/>
              <w:rPr>
                <w:rFonts w:ascii="Arial"/>
                <w:sz w:val="21"/>
              </w:rPr>
            </w:pPr>
          </w:p>
          <w:p w14:paraId="0F66F9FA">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13A29E5F">
      <w:pPr>
        <w:pStyle w:val="2"/>
      </w:pPr>
    </w:p>
    <w:p w14:paraId="09716E53">
      <w:pPr>
        <w:sectPr>
          <w:footerReference r:id="rId47" w:type="default"/>
          <w:pgSz w:w="16839" w:h="11906"/>
          <w:pgMar w:top="1012" w:right="1016" w:bottom="965" w:left="1016" w:header="0" w:footer="768" w:gutter="0"/>
          <w:cols w:space="720" w:num="1"/>
        </w:sectPr>
      </w:pPr>
    </w:p>
    <w:p w14:paraId="35C25341">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7547F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0598428D">
            <w:pPr>
              <w:pStyle w:val="8"/>
              <w:spacing w:before="273" w:line="221" w:lineRule="auto"/>
              <w:ind w:left="129"/>
            </w:pPr>
            <w:r>
              <w:rPr>
                <w:b/>
                <w:bCs/>
                <w:spacing w:val="-4"/>
              </w:rPr>
              <w:t>序号</w:t>
            </w:r>
          </w:p>
        </w:tc>
        <w:tc>
          <w:tcPr>
            <w:tcW w:w="1101" w:type="dxa"/>
            <w:vMerge w:val="restart"/>
            <w:tcBorders>
              <w:bottom w:val="nil"/>
            </w:tcBorders>
            <w:vAlign w:val="top"/>
          </w:tcPr>
          <w:p w14:paraId="70586FDA">
            <w:pPr>
              <w:pStyle w:val="8"/>
              <w:spacing w:before="274" w:line="220" w:lineRule="auto"/>
              <w:ind w:left="182"/>
            </w:pPr>
            <w:r>
              <w:rPr>
                <w:b/>
                <w:bCs/>
                <w:spacing w:val="-4"/>
              </w:rPr>
              <w:t>事项名称</w:t>
            </w:r>
          </w:p>
        </w:tc>
        <w:tc>
          <w:tcPr>
            <w:tcW w:w="1101" w:type="dxa"/>
            <w:vMerge w:val="restart"/>
            <w:tcBorders>
              <w:bottom w:val="nil"/>
            </w:tcBorders>
            <w:vAlign w:val="top"/>
          </w:tcPr>
          <w:p w14:paraId="4E945F9A">
            <w:pPr>
              <w:pStyle w:val="8"/>
              <w:spacing w:before="274" w:line="219" w:lineRule="auto"/>
              <w:ind w:left="183"/>
            </w:pPr>
            <w:r>
              <w:rPr>
                <w:b/>
                <w:bCs/>
                <w:spacing w:val="-4"/>
              </w:rPr>
              <w:t>职权类型</w:t>
            </w:r>
          </w:p>
        </w:tc>
        <w:tc>
          <w:tcPr>
            <w:tcW w:w="8524" w:type="dxa"/>
            <w:vMerge w:val="restart"/>
            <w:tcBorders>
              <w:bottom w:val="nil"/>
            </w:tcBorders>
            <w:vAlign w:val="top"/>
          </w:tcPr>
          <w:p w14:paraId="0B43FCB4">
            <w:pPr>
              <w:pStyle w:val="8"/>
              <w:spacing w:before="273" w:line="219" w:lineRule="auto"/>
              <w:ind w:left="4083"/>
            </w:pPr>
            <w:r>
              <w:rPr>
                <w:b/>
                <w:bCs/>
                <w:spacing w:val="-5"/>
              </w:rPr>
              <w:t>实施依据</w:t>
            </w:r>
          </w:p>
        </w:tc>
        <w:tc>
          <w:tcPr>
            <w:tcW w:w="3435" w:type="dxa"/>
            <w:gridSpan w:val="3"/>
            <w:vAlign w:val="top"/>
          </w:tcPr>
          <w:p w14:paraId="0BBAD7D4">
            <w:pPr>
              <w:pStyle w:val="8"/>
              <w:spacing w:before="94" w:line="220" w:lineRule="auto"/>
              <w:ind w:left="1360"/>
            </w:pPr>
            <w:r>
              <w:rPr>
                <w:b/>
                <w:bCs/>
                <w:spacing w:val="-5"/>
              </w:rPr>
              <w:t>实施主体</w:t>
            </w:r>
          </w:p>
        </w:tc>
      </w:tr>
      <w:tr w14:paraId="677F2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4F40B441">
            <w:pPr>
              <w:rPr>
                <w:rFonts w:ascii="Arial"/>
                <w:sz w:val="21"/>
              </w:rPr>
            </w:pPr>
          </w:p>
        </w:tc>
        <w:tc>
          <w:tcPr>
            <w:tcW w:w="1101" w:type="dxa"/>
            <w:vMerge w:val="continue"/>
            <w:tcBorders>
              <w:top w:val="nil"/>
            </w:tcBorders>
            <w:vAlign w:val="top"/>
          </w:tcPr>
          <w:p w14:paraId="12713DD4">
            <w:pPr>
              <w:rPr>
                <w:rFonts w:ascii="Arial"/>
                <w:sz w:val="21"/>
              </w:rPr>
            </w:pPr>
          </w:p>
        </w:tc>
        <w:tc>
          <w:tcPr>
            <w:tcW w:w="1101" w:type="dxa"/>
            <w:vMerge w:val="continue"/>
            <w:tcBorders>
              <w:top w:val="nil"/>
            </w:tcBorders>
            <w:vAlign w:val="top"/>
          </w:tcPr>
          <w:p w14:paraId="5C9B76D2">
            <w:pPr>
              <w:rPr>
                <w:rFonts w:ascii="Arial"/>
                <w:sz w:val="21"/>
              </w:rPr>
            </w:pPr>
          </w:p>
        </w:tc>
        <w:tc>
          <w:tcPr>
            <w:tcW w:w="8524" w:type="dxa"/>
            <w:vMerge w:val="continue"/>
            <w:tcBorders>
              <w:top w:val="nil"/>
            </w:tcBorders>
            <w:vAlign w:val="top"/>
          </w:tcPr>
          <w:p w14:paraId="20432572">
            <w:pPr>
              <w:rPr>
                <w:rFonts w:ascii="Arial"/>
                <w:sz w:val="21"/>
              </w:rPr>
            </w:pPr>
          </w:p>
        </w:tc>
        <w:tc>
          <w:tcPr>
            <w:tcW w:w="1011" w:type="dxa"/>
            <w:vAlign w:val="top"/>
          </w:tcPr>
          <w:p w14:paraId="5FC8243F">
            <w:pPr>
              <w:pStyle w:val="8"/>
              <w:spacing w:before="85" w:line="219" w:lineRule="auto"/>
              <w:ind w:left="154"/>
            </w:pPr>
            <w:r>
              <w:rPr>
                <w:b/>
                <w:bCs/>
                <w:spacing w:val="-5"/>
              </w:rPr>
              <w:t>责任部门</w:t>
            </w:r>
          </w:p>
        </w:tc>
        <w:tc>
          <w:tcPr>
            <w:tcW w:w="1404" w:type="dxa"/>
            <w:vAlign w:val="top"/>
          </w:tcPr>
          <w:p w14:paraId="5EA59405">
            <w:pPr>
              <w:pStyle w:val="8"/>
              <w:spacing w:before="85" w:line="219" w:lineRule="auto"/>
              <w:ind w:left="164"/>
            </w:pPr>
            <w:r>
              <w:rPr>
                <w:b/>
                <w:bCs/>
                <w:spacing w:val="-3"/>
              </w:rPr>
              <w:t>第一责任层级</w:t>
            </w:r>
          </w:p>
        </w:tc>
        <w:tc>
          <w:tcPr>
            <w:tcW w:w="1020" w:type="dxa"/>
            <w:vAlign w:val="top"/>
          </w:tcPr>
          <w:p w14:paraId="3E81BEAF">
            <w:pPr>
              <w:pStyle w:val="8"/>
              <w:spacing w:before="84" w:line="219" w:lineRule="auto"/>
              <w:ind w:left="114"/>
            </w:pPr>
            <w:r>
              <w:rPr>
                <w:b/>
                <w:bCs/>
                <w:spacing w:val="-4"/>
              </w:rPr>
              <w:t>承办机构</w:t>
            </w:r>
          </w:p>
        </w:tc>
      </w:tr>
      <w:tr w14:paraId="62ECC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55" w:hRule="atLeast"/>
        </w:trPr>
        <w:tc>
          <w:tcPr>
            <w:tcW w:w="629" w:type="dxa"/>
            <w:vAlign w:val="top"/>
          </w:tcPr>
          <w:p w14:paraId="74988C11">
            <w:pPr>
              <w:spacing w:line="276" w:lineRule="auto"/>
              <w:rPr>
                <w:rFonts w:ascii="Arial"/>
                <w:sz w:val="21"/>
              </w:rPr>
            </w:pPr>
          </w:p>
          <w:p w14:paraId="4F48A29B">
            <w:pPr>
              <w:spacing w:line="276" w:lineRule="auto"/>
              <w:rPr>
                <w:rFonts w:ascii="Arial"/>
                <w:sz w:val="21"/>
              </w:rPr>
            </w:pPr>
          </w:p>
          <w:p w14:paraId="4230EB33">
            <w:pPr>
              <w:spacing w:line="277" w:lineRule="auto"/>
              <w:rPr>
                <w:rFonts w:ascii="Arial"/>
                <w:sz w:val="21"/>
              </w:rPr>
            </w:pPr>
          </w:p>
          <w:p w14:paraId="71910184">
            <w:pPr>
              <w:spacing w:line="277" w:lineRule="auto"/>
              <w:rPr>
                <w:rFonts w:ascii="Arial"/>
                <w:sz w:val="21"/>
              </w:rPr>
            </w:pPr>
          </w:p>
          <w:p w14:paraId="1E22B99A">
            <w:pPr>
              <w:pStyle w:val="8"/>
              <w:spacing w:before="58" w:line="182" w:lineRule="auto"/>
              <w:ind w:left="224"/>
              <w:rPr>
                <w:rFonts w:hint="eastAsia" w:eastAsia="宋体"/>
                <w:lang w:eastAsia="zh-CN"/>
              </w:rPr>
            </w:pPr>
            <w:r>
              <w:rPr>
                <w:spacing w:val="-5"/>
              </w:rPr>
              <w:t>5</w:t>
            </w:r>
            <w:r>
              <w:rPr>
                <w:rFonts w:hint="eastAsia"/>
                <w:spacing w:val="-5"/>
                <w:lang w:val="en-US" w:eastAsia="zh-CN"/>
              </w:rPr>
              <w:t>4</w:t>
            </w:r>
          </w:p>
        </w:tc>
        <w:tc>
          <w:tcPr>
            <w:tcW w:w="1101" w:type="dxa"/>
            <w:vAlign w:val="top"/>
          </w:tcPr>
          <w:p w14:paraId="541F8353">
            <w:pPr>
              <w:spacing w:line="299" w:lineRule="auto"/>
              <w:rPr>
                <w:rFonts w:ascii="Arial"/>
                <w:sz w:val="21"/>
              </w:rPr>
            </w:pPr>
          </w:p>
          <w:p w14:paraId="3A26B7D0">
            <w:pPr>
              <w:spacing w:line="300" w:lineRule="auto"/>
              <w:rPr>
                <w:rFonts w:ascii="Arial"/>
                <w:sz w:val="21"/>
              </w:rPr>
            </w:pPr>
          </w:p>
          <w:p w14:paraId="2C804531">
            <w:pPr>
              <w:pStyle w:val="8"/>
              <w:spacing w:before="59" w:line="241" w:lineRule="auto"/>
              <w:ind w:left="18" w:right="20"/>
              <w:jc w:val="both"/>
            </w:pPr>
            <w:r>
              <w:rPr>
                <w:spacing w:val="-6"/>
              </w:rPr>
              <w:t>对未按照规定</w:t>
            </w:r>
            <w:r>
              <w:rPr>
                <w:spacing w:val="2"/>
              </w:rPr>
              <w:t xml:space="preserve"> </w:t>
            </w:r>
            <w:r>
              <w:rPr>
                <w:spacing w:val="-6"/>
              </w:rPr>
              <w:t>随车携带危险</w:t>
            </w:r>
            <w:r>
              <w:rPr>
                <w:spacing w:val="1"/>
              </w:rPr>
              <w:t xml:space="preserve"> </w:t>
            </w:r>
            <w:r>
              <w:rPr>
                <w:spacing w:val="-6"/>
              </w:rPr>
              <w:t>货物运单、安</w:t>
            </w:r>
            <w:r>
              <w:rPr>
                <w:spacing w:val="1"/>
              </w:rPr>
              <w:t xml:space="preserve"> </w:t>
            </w:r>
            <w:r>
              <w:rPr>
                <w:spacing w:val="-6"/>
              </w:rPr>
              <w:t>全卡等行为的</w:t>
            </w:r>
            <w:r>
              <w:rPr>
                <w:spacing w:val="1"/>
              </w:rPr>
              <w:t xml:space="preserve"> </w:t>
            </w:r>
            <w:r>
              <w:rPr>
                <w:spacing w:val="-6"/>
              </w:rPr>
              <w:t>行政处罚</w:t>
            </w:r>
          </w:p>
        </w:tc>
        <w:tc>
          <w:tcPr>
            <w:tcW w:w="1101" w:type="dxa"/>
            <w:vAlign w:val="top"/>
          </w:tcPr>
          <w:p w14:paraId="4D903CEA">
            <w:pPr>
              <w:spacing w:line="269" w:lineRule="auto"/>
              <w:rPr>
                <w:rFonts w:ascii="Arial"/>
                <w:sz w:val="21"/>
              </w:rPr>
            </w:pPr>
          </w:p>
          <w:p w14:paraId="57B86CE8">
            <w:pPr>
              <w:spacing w:line="269" w:lineRule="auto"/>
              <w:rPr>
                <w:rFonts w:ascii="Arial"/>
                <w:sz w:val="21"/>
              </w:rPr>
            </w:pPr>
          </w:p>
          <w:p w14:paraId="45103CFB">
            <w:pPr>
              <w:spacing w:line="269" w:lineRule="auto"/>
              <w:rPr>
                <w:rFonts w:ascii="Arial"/>
                <w:sz w:val="21"/>
              </w:rPr>
            </w:pPr>
          </w:p>
          <w:p w14:paraId="5F907720">
            <w:pPr>
              <w:spacing w:line="270" w:lineRule="auto"/>
              <w:rPr>
                <w:rFonts w:ascii="Arial"/>
                <w:sz w:val="21"/>
              </w:rPr>
            </w:pPr>
          </w:p>
          <w:p w14:paraId="27A59194">
            <w:pPr>
              <w:pStyle w:val="8"/>
              <w:spacing w:before="58" w:line="220" w:lineRule="auto"/>
              <w:ind w:left="25"/>
            </w:pPr>
            <w:r>
              <w:rPr>
                <w:spacing w:val="-7"/>
              </w:rPr>
              <w:t>行政处罚</w:t>
            </w:r>
          </w:p>
        </w:tc>
        <w:tc>
          <w:tcPr>
            <w:tcW w:w="8524" w:type="dxa"/>
            <w:vAlign w:val="top"/>
          </w:tcPr>
          <w:p w14:paraId="33A9C18A">
            <w:pPr>
              <w:rPr>
                <w:rFonts w:ascii="Arial"/>
                <w:sz w:val="21"/>
              </w:rPr>
            </w:pPr>
          </w:p>
          <w:p w14:paraId="76C0D514">
            <w:pPr>
              <w:rPr>
                <w:rFonts w:ascii="Arial"/>
                <w:sz w:val="21"/>
              </w:rPr>
            </w:pPr>
          </w:p>
          <w:p w14:paraId="20638D6F">
            <w:pPr>
              <w:pStyle w:val="8"/>
              <w:spacing w:before="58" w:line="219" w:lineRule="auto"/>
              <w:ind w:left="451"/>
            </w:pPr>
            <w:r>
              <w:rPr>
                <w:b/>
                <w:bCs/>
                <w:spacing w:val="-8"/>
              </w:rPr>
              <w:t>《危险货物道路运输安全管理办法》(交通运输部</w:t>
            </w:r>
            <w:r>
              <w:rPr>
                <w:b/>
                <w:bCs/>
                <w:spacing w:val="-9"/>
              </w:rPr>
              <w:t>令2019年第29号)</w:t>
            </w:r>
          </w:p>
          <w:p w14:paraId="091D05AD">
            <w:pPr>
              <w:pStyle w:val="8"/>
              <w:spacing w:before="26" w:line="219" w:lineRule="auto"/>
              <w:ind w:left="445"/>
            </w:pPr>
            <w:r>
              <w:rPr>
                <w:spacing w:val="-8"/>
              </w:rPr>
              <w:t>第二十二条</w:t>
            </w:r>
            <w:r>
              <w:rPr>
                <w:spacing w:val="83"/>
              </w:rPr>
              <w:t xml:space="preserve"> </w:t>
            </w:r>
            <w:r>
              <w:rPr>
                <w:spacing w:val="-8"/>
              </w:rPr>
              <w:t>危险货物承运人应当按照交通运输主管部门许可的经营范围承运危险货物。</w:t>
            </w:r>
          </w:p>
          <w:p w14:paraId="5F830086">
            <w:pPr>
              <w:pStyle w:val="8"/>
              <w:spacing w:before="27" w:line="219" w:lineRule="auto"/>
              <w:ind w:left="445"/>
            </w:pPr>
            <w:r>
              <w:rPr>
                <w:spacing w:val="-8"/>
              </w:rPr>
              <w:t>第二十四条第三款</w:t>
            </w:r>
            <w:r>
              <w:rPr>
                <w:spacing w:val="81"/>
              </w:rPr>
              <w:t xml:space="preserve"> </w:t>
            </w:r>
            <w:r>
              <w:rPr>
                <w:spacing w:val="-8"/>
              </w:rPr>
              <w:t>运输危险废物的企业还应当填写并随车携带电子或者纸质形式的危险废物转移联单。</w:t>
            </w:r>
          </w:p>
          <w:p w14:paraId="0F4DD55E">
            <w:pPr>
              <w:pStyle w:val="8"/>
              <w:spacing w:before="26" w:line="237" w:lineRule="auto"/>
              <w:ind w:left="102" w:right="157" w:firstLine="342"/>
            </w:pPr>
            <w:r>
              <w:rPr>
                <w:spacing w:val="-8"/>
              </w:rPr>
              <w:t>第六十一条第（一）项</w:t>
            </w:r>
            <w:r>
              <w:rPr>
                <w:spacing w:val="77"/>
              </w:rPr>
              <w:t xml:space="preserve"> </w:t>
            </w:r>
            <w:r>
              <w:rPr>
                <w:spacing w:val="-8"/>
              </w:rPr>
              <w:t>交通运输主管部门对危险货物道路运输车辆驾驶人具有下列情形之一的，</w:t>
            </w:r>
            <w:r>
              <w:rPr>
                <w:spacing w:val="-9"/>
              </w:rPr>
              <w:t>应当责</w:t>
            </w:r>
            <w:r>
              <w:t xml:space="preserve"> </w:t>
            </w:r>
            <w:r>
              <w:rPr>
                <w:spacing w:val="-7"/>
              </w:rPr>
              <w:t>令改正，处1000元以上3000元以下的罚款</w:t>
            </w:r>
            <w:r>
              <w:rPr>
                <w:spacing w:val="-20"/>
              </w:rPr>
              <w:t>：（</w:t>
            </w:r>
            <w:r>
              <w:rPr>
                <w:spacing w:val="-7"/>
              </w:rPr>
              <w:t>一）违反本办法第二十四条、第四十四条，未按照规定随</w:t>
            </w:r>
            <w:r>
              <w:rPr>
                <w:spacing w:val="-8"/>
              </w:rPr>
              <w:t>车携带</w:t>
            </w:r>
            <w:r>
              <w:t xml:space="preserve"> </w:t>
            </w:r>
            <w:r>
              <w:rPr>
                <w:spacing w:val="-8"/>
              </w:rPr>
              <w:t>危险货物运单、安全卡的。</w:t>
            </w:r>
          </w:p>
        </w:tc>
        <w:tc>
          <w:tcPr>
            <w:tcW w:w="1011" w:type="dxa"/>
            <w:vAlign w:val="top"/>
          </w:tcPr>
          <w:p w14:paraId="5089AB58">
            <w:pPr>
              <w:spacing w:line="319" w:lineRule="auto"/>
              <w:rPr>
                <w:rFonts w:ascii="Arial"/>
                <w:sz w:val="21"/>
              </w:rPr>
            </w:pPr>
          </w:p>
          <w:p w14:paraId="3D431957">
            <w:pPr>
              <w:spacing w:line="319" w:lineRule="auto"/>
              <w:rPr>
                <w:rFonts w:ascii="Arial"/>
                <w:sz w:val="21"/>
              </w:rPr>
            </w:pPr>
          </w:p>
          <w:p w14:paraId="4CF16B76">
            <w:pPr>
              <w:spacing w:line="319" w:lineRule="auto"/>
              <w:rPr>
                <w:rFonts w:ascii="Arial"/>
                <w:sz w:val="21"/>
              </w:rPr>
            </w:pPr>
          </w:p>
          <w:p w14:paraId="36FD1117">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088A4B67">
            <w:pPr>
              <w:spacing w:line="319" w:lineRule="auto"/>
              <w:rPr>
                <w:rFonts w:ascii="Arial"/>
                <w:sz w:val="21"/>
              </w:rPr>
            </w:pPr>
          </w:p>
          <w:p w14:paraId="00F0ADD1">
            <w:pPr>
              <w:spacing w:line="319" w:lineRule="auto"/>
              <w:rPr>
                <w:rFonts w:ascii="Arial"/>
                <w:sz w:val="21"/>
              </w:rPr>
            </w:pPr>
          </w:p>
          <w:p w14:paraId="1E9B2DF4">
            <w:pPr>
              <w:spacing w:line="319" w:lineRule="auto"/>
              <w:rPr>
                <w:rFonts w:ascii="Arial"/>
                <w:sz w:val="21"/>
              </w:rPr>
            </w:pPr>
          </w:p>
          <w:p w14:paraId="15EA316D">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02B91C6">
            <w:pPr>
              <w:rPr>
                <w:rFonts w:ascii="Arial"/>
                <w:sz w:val="21"/>
              </w:rPr>
            </w:pPr>
          </w:p>
          <w:p w14:paraId="7B933776">
            <w:pPr>
              <w:rPr>
                <w:rFonts w:ascii="Arial"/>
                <w:sz w:val="21"/>
              </w:rPr>
            </w:pPr>
          </w:p>
          <w:p w14:paraId="5EF78B16">
            <w:pPr>
              <w:rPr>
                <w:rFonts w:ascii="Arial"/>
                <w:sz w:val="21"/>
              </w:rPr>
            </w:pPr>
          </w:p>
          <w:p w14:paraId="5488C985">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50148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3" w:hRule="atLeast"/>
        </w:trPr>
        <w:tc>
          <w:tcPr>
            <w:tcW w:w="629" w:type="dxa"/>
            <w:vAlign w:val="top"/>
          </w:tcPr>
          <w:p w14:paraId="10DDB546">
            <w:pPr>
              <w:spacing w:line="263" w:lineRule="auto"/>
              <w:rPr>
                <w:rFonts w:ascii="Arial"/>
                <w:sz w:val="21"/>
              </w:rPr>
            </w:pPr>
          </w:p>
          <w:p w14:paraId="2A9C00BE">
            <w:pPr>
              <w:spacing w:line="263" w:lineRule="auto"/>
              <w:rPr>
                <w:rFonts w:ascii="Arial"/>
                <w:sz w:val="21"/>
              </w:rPr>
            </w:pPr>
          </w:p>
          <w:p w14:paraId="427B2D4E">
            <w:pPr>
              <w:spacing w:line="263" w:lineRule="auto"/>
              <w:rPr>
                <w:rFonts w:ascii="Arial"/>
                <w:sz w:val="21"/>
              </w:rPr>
            </w:pPr>
          </w:p>
          <w:p w14:paraId="31201037">
            <w:pPr>
              <w:spacing w:line="263" w:lineRule="auto"/>
              <w:rPr>
                <w:rFonts w:ascii="Arial"/>
                <w:sz w:val="21"/>
              </w:rPr>
            </w:pPr>
          </w:p>
          <w:p w14:paraId="797F75C3">
            <w:pPr>
              <w:spacing w:line="263" w:lineRule="auto"/>
              <w:rPr>
                <w:rFonts w:ascii="Arial"/>
                <w:sz w:val="21"/>
              </w:rPr>
            </w:pPr>
          </w:p>
          <w:p w14:paraId="3BB858FE">
            <w:pPr>
              <w:spacing w:line="264" w:lineRule="auto"/>
              <w:rPr>
                <w:rFonts w:ascii="Arial"/>
                <w:sz w:val="21"/>
              </w:rPr>
            </w:pPr>
          </w:p>
          <w:p w14:paraId="48FF1B2F">
            <w:pPr>
              <w:pStyle w:val="8"/>
              <w:spacing w:before="59" w:line="183" w:lineRule="auto"/>
              <w:ind w:left="224"/>
              <w:rPr>
                <w:rFonts w:hint="eastAsia" w:eastAsia="宋体"/>
                <w:lang w:eastAsia="zh-CN"/>
              </w:rPr>
            </w:pPr>
            <w:r>
              <w:rPr>
                <w:spacing w:val="-5"/>
              </w:rPr>
              <w:t>5</w:t>
            </w:r>
            <w:r>
              <w:rPr>
                <w:rFonts w:hint="eastAsia"/>
                <w:spacing w:val="-5"/>
                <w:lang w:val="en-US" w:eastAsia="zh-CN"/>
              </w:rPr>
              <w:t>5</w:t>
            </w:r>
          </w:p>
        </w:tc>
        <w:tc>
          <w:tcPr>
            <w:tcW w:w="1101" w:type="dxa"/>
            <w:vAlign w:val="top"/>
          </w:tcPr>
          <w:p w14:paraId="1B24E43F">
            <w:pPr>
              <w:spacing w:line="299" w:lineRule="auto"/>
              <w:rPr>
                <w:rFonts w:ascii="Arial"/>
                <w:sz w:val="21"/>
              </w:rPr>
            </w:pPr>
          </w:p>
          <w:p w14:paraId="3DEB217E">
            <w:pPr>
              <w:spacing w:line="300" w:lineRule="auto"/>
              <w:rPr>
                <w:rFonts w:ascii="Arial"/>
                <w:sz w:val="21"/>
              </w:rPr>
            </w:pPr>
          </w:p>
          <w:p w14:paraId="64C92662">
            <w:pPr>
              <w:pStyle w:val="8"/>
              <w:spacing w:before="59" w:line="243" w:lineRule="auto"/>
              <w:ind w:left="18" w:right="17"/>
              <w:jc w:val="both"/>
            </w:pPr>
            <w:r>
              <w:rPr>
                <w:spacing w:val="-6"/>
              </w:rPr>
              <w:t>对危险货物道</w:t>
            </w:r>
            <w:r>
              <w:rPr>
                <w:spacing w:val="2"/>
              </w:rPr>
              <w:t xml:space="preserve"> </w:t>
            </w:r>
            <w:r>
              <w:rPr>
                <w:spacing w:val="-6"/>
              </w:rPr>
              <w:t>路运输车辆驾</w:t>
            </w:r>
            <w:r>
              <w:rPr>
                <w:spacing w:val="2"/>
              </w:rPr>
              <w:t xml:space="preserve"> </w:t>
            </w:r>
            <w:r>
              <w:rPr>
                <w:spacing w:val="4"/>
              </w:rPr>
              <w:t>驶人罐</w:t>
            </w:r>
            <w:r>
              <w:rPr>
                <w:spacing w:val="36"/>
              </w:rPr>
              <w:t xml:space="preserve"> </w:t>
            </w:r>
            <w:r>
              <w:rPr>
                <w:spacing w:val="4"/>
              </w:rPr>
              <w:t>式车</w:t>
            </w:r>
            <w:r>
              <w:t xml:space="preserve"> </w:t>
            </w:r>
            <w:r>
              <w:rPr>
                <w:spacing w:val="-6"/>
              </w:rPr>
              <w:t>辆罐体、可移</w:t>
            </w:r>
            <w:r>
              <w:rPr>
                <w:spacing w:val="2"/>
              </w:rPr>
              <w:t xml:space="preserve"> </w:t>
            </w:r>
            <w:r>
              <w:rPr>
                <w:spacing w:val="-6"/>
              </w:rPr>
              <w:t>动罐柜、罐箱</w:t>
            </w:r>
            <w:r>
              <w:rPr>
                <w:spacing w:val="2"/>
              </w:rPr>
              <w:t xml:space="preserve"> </w:t>
            </w:r>
            <w:r>
              <w:rPr>
                <w:spacing w:val="-6"/>
              </w:rPr>
              <w:t>的关闭装置在</w:t>
            </w:r>
            <w:r>
              <w:rPr>
                <w:spacing w:val="2"/>
              </w:rPr>
              <w:t xml:space="preserve"> </w:t>
            </w:r>
            <w:r>
              <w:rPr>
                <w:spacing w:val="-6"/>
              </w:rPr>
              <w:t>运输过程中未</w:t>
            </w:r>
            <w:r>
              <w:rPr>
                <w:spacing w:val="2"/>
              </w:rPr>
              <w:t xml:space="preserve"> </w:t>
            </w:r>
            <w:r>
              <w:rPr>
                <w:spacing w:val="5"/>
              </w:rPr>
              <w:t>处于关闭</w:t>
            </w:r>
            <w:r>
              <w:rPr>
                <w:spacing w:val="34"/>
              </w:rPr>
              <w:t xml:space="preserve"> </w:t>
            </w:r>
            <w:r>
              <w:rPr>
                <w:spacing w:val="5"/>
              </w:rPr>
              <w:t>状</w:t>
            </w:r>
            <w:r>
              <w:t xml:space="preserve"> </w:t>
            </w:r>
            <w:r>
              <w:rPr>
                <w:spacing w:val="-7"/>
              </w:rPr>
              <w:t>态的行政处罚</w:t>
            </w:r>
          </w:p>
        </w:tc>
        <w:tc>
          <w:tcPr>
            <w:tcW w:w="1101" w:type="dxa"/>
            <w:vAlign w:val="top"/>
          </w:tcPr>
          <w:p w14:paraId="51EB7B9D">
            <w:pPr>
              <w:spacing w:line="258" w:lineRule="auto"/>
              <w:rPr>
                <w:rFonts w:ascii="Arial"/>
                <w:sz w:val="21"/>
              </w:rPr>
            </w:pPr>
          </w:p>
          <w:p w14:paraId="1987C426">
            <w:pPr>
              <w:spacing w:line="258" w:lineRule="auto"/>
              <w:rPr>
                <w:rFonts w:ascii="Arial"/>
                <w:sz w:val="21"/>
              </w:rPr>
            </w:pPr>
          </w:p>
          <w:p w14:paraId="00EF7749">
            <w:pPr>
              <w:spacing w:line="258" w:lineRule="auto"/>
              <w:rPr>
                <w:rFonts w:ascii="Arial"/>
                <w:sz w:val="21"/>
              </w:rPr>
            </w:pPr>
          </w:p>
          <w:p w14:paraId="58BA5F7E">
            <w:pPr>
              <w:spacing w:line="259" w:lineRule="auto"/>
              <w:rPr>
                <w:rFonts w:ascii="Arial"/>
                <w:sz w:val="21"/>
              </w:rPr>
            </w:pPr>
          </w:p>
          <w:p w14:paraId="2AD4ED19">
            <w:pPr>
              <w:spacing w:line="259" w:lineRule="auto"/>
              <w:rPr>
                <w:rFonts w:ascii="Arial"/>
                <w:sz w:val="21"/>
              </w:rPr>
            </w:pPr>
          </w:p>
          <w:p w14:paraId="36467A10">
            <w:pPr>
              <w:spacing w:line="259" w:lineRule="auto"/>
              <w:rPr>
                <w:rFonts w:ascii="Arial"/>
                <w:sz w:val="21"/>
              </w:rPr>
            </w:pPr>
          </w:p>
          <w:p w14:paraId="748BE55D">
            <w:pPr>
              <w:pStyle w:val="8"/>
              <w:spacing w:before="58" w:line="220" w:lineRule="auto"/>
              <w:ind w:left="25"/>
            </w:pPr>
            <w:r>
              <w:rPr>
                <w:spacing w:val="-7"/>
              </w:rPr>
              <w:t>行政处罚</w:t>
            </w:r>
          </w:p>
        </w:tc>
        <w:tc>
          <w:tcPr>
            <w:tcW w:w="8524" w:type="dxa"/>
            <w:vAlign w:val="top"/>
          </w:tcPr>
          <w:p w14:paraId="705B481E">
            <w:pPr>
              <w:spacing w:line="268" w:lineRule="auto"/>
              <w:rPr>
                <w:rFonts w:ascii="Arial"/>
                <w:sz w:val="21"/>
              </w:rPr>
            </w:pPr>
          </w:p>
          <w:p w14:paraId="5720E4FE">
            <w:pPr>
              <w:spacing w:line="268" w:lineRule="auto"/>
              <w:rPr>
                <w:rFonts w:ascii="Arial"/>
                <w:sz w:val="21"/>
              </w:rPr>
            </w:pPr>
          </w:p>
          <w:p w14:paraId="1B66CD00">
            <w:pPr>
              <w:spacing w:line="268" w:lineRule="auto"/>
              <w:rPr>
                <w:rFonts w:ascii="Arial"/>
                <w:sz w:val="21"/>
              </w:rPr>
            </w:pPr>
          </w:p>
          <w:p w14:paraId="0785E8AC">
            <w:pPr>
              <w:spacing w:line="269" w:lineRule="auto"/>
              <w:rPr>
                <w:rFonts w:ascii="Arial"/>
                <w:sz w:val="21"/>
              </w:rPr>
            </w:pPr>
          </w:p>
          <w:p w14:paraId="0C920DA3">
            <w:pPr>
              <w:pStyle w:val="8"/>
              <w:spacing w:before="59" w:line="219" w:lineRule="auto"/>
              <w:ind w:left="451"/>
            </w:pPr>
            <w:r>
              <w:rPr>
                <w:b/>
                <w:bCs/>
                <w:spacing w:val="-8"/>
              </w:rPr>
              <w:t>《危险货物道路运输安全管理办法》(交通运输部</w:t>
            </w:r>
            <w:r>
              <w:rPr>
                <w:b/>
                <w:bCs/>
                <w:spacing w:val="-9"/>
              </w:rPr>
              <w:t>令2019年第29号)</w:t>
            </w:r>
          </w:p>
          <w:p w14:paraId="76AB3C7B">
            <w:pPr>
              <w:pStyle w:val="8"/>
              <w:spacing w:before="27" w:line="219" w:lineRule="auto"/>
              <w:ind w:left="445"/>
            </w:pPr>
            <w:r>
              <w:rPr>
                <w:spacing w:val="-8"/>
              </w:rPr>
              <w:t>第四十七条</w:t>
            </w:r>
            <w:r>
              <w:rPr>
                <w:spacing w:val="81"/>
              </w:rPr>
              <w:t xml:space="preserve"> </w:t>
            </w:r>
            <w:r>
              <w:rPr>
                <w:spacing w:val="-8"/>
              </w:rPr>
              <w:t>驾驶人应当确保罐式车辆罐体、可移动罐柜、罐箱的关闭装置在运输过程中处于关闭状态。</w:t>
            </w:r>
          </w:p>
          <w:p w14:paraId="693181D1">
            <w:pPr>
              <w:pStyle w:val="8"/>
              <w:spacing w:before="27" w:line="237" w:lineRule="auto"/>
              <w:ind w:left="102" w:right="150" w:firstLine="342"/>
            </w:pPr>
            <w:r>
              <w:rPr>
                <w:spacing w:val="-8"/>
              </w:rPr>
              <w:t>第六十一条第（二）项</w:t>
            </w:r>
            <w:r>
              <w:rPr>
                <w:spacing w:val="77"/>
              </w:rPr>
              <w:t xml:space="preserve"> </w:t>
            </w:r>
            <w:r>
              <w:rPr>
                <w:spacing w:val="-8"/>
              </w:rPr>
              <w:t>交通运输主管部门对危险货物道路运输车辆驾驶人具有下列情形之一的，</w:t>
            </w:r>
            <w:r>
              <w:rPr>
                <w:spacing w:val="-9"/>
              </w:rPr>
              <w:t>应当责</w:t>
            </w:r>
            <w:r>
              <w:t xml:space="preserve"> </w:t>
            </w:r>
            <w:r>
              <w:rPr>
                <w:spacing w:val="-7"/>
              </w:rPr>
              <w:t>令改正，处1000元以上3000元以下的罚款</w:t>
            </w:r>
            <w:r>
              <w:rPr>
                <w:spacing w:val="-18"/>
              </w:rPr>
              <w:t>：（</w:t>
            </w:r>
            <w:r>
              <w:rPr>
                <w:spacing w:val="-7"/>
              </w:rPr>
              <w:t>二）违反本办法第四十七条，罐式车辆罐体、可移动罐柜、罐箱</w:t>
            </w:r>
            <w:r>
              <w:t xml:space="preserve"> </w:t>
            </w:r>
            <w:r>
              <w:rPr>
                <w:spacing w:val="-8"/>
              </w:rPr>
              <w:t>的关闭装置在运输过程中未处于关闭状态的。</w:t>
            </w:r>
          </w:p>
        </w:tc>
        <w:tc>
          <w:tcPr>
            <w:tcW w:w="1011" w:type="dxa"/>
            <w:vAlign w:val="top"/>
          </w:tcPr>
          <w:p w14:paraId="5674AD31">
            <w:pPr>
              <w:spacing w:line="286" w:lineRule="auto"/>
              <w:rPr>
                <w:rFonts w:ascii="Arial"/>
                <w:sz w:val="21"/>
              </w:rPr>
            </w:pPr>
          </w:p>
          <w:p w14:paraId="551754A3">
            <w:pPr>
              <w:spacing w:line="286" w:lineRule="auto"/>
              <w:rPr>
                <w:rFonts w:ascii="Arial"/>
                <w:sz w:val="21"/>
              </w:rPr>
            </w:pPr>
          </w:p>
          <w:p w14:paraId="1FB6B498">
            <w:pPr>
              <w:spacing w:line="286" w:lineRule="auto"/>
              <w:rPr>
                <w:rFonts w:ascii="Arial"/>
                <w:sz w:val="21"/>
              </w:rPr>
            </w:pPr>
          </w:p>
          <w:p w14:paraId="35311E81">
            <w:pPr>
              <w:spacing w:line="286" w:lineRule="auto"/>
              <w:rPr>
                <w:rFonts w:ascii="Arial"/>
                <w:sz w:val="21"/>
              </w:rPr>
            </w:pPr>
          </w:p>
          <w:p w14:paraId="09494520">
            <w:pPr>
              <w:spacing w:line="287" w:lineRule="auto"/>
              <w:rPr>
                <w:rFonts w:ascii="Arial"/>
                <w:sz w:val="21"/>
              </w:rPr>
            </w:pPr>
          </w:p>
          <w:p w14:paraId="00705BB1">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450123A2">
            <w:pPr>
              <w:spacing w:line="286" w:lineRule="auto"/>
              <w:rPr>
                <w:rFonts w:ascii="Arial"/>
                <w:sz w:val="21"/>
              </w:rPr>
            </w:pPr>
          </w:p>
          <w:p w14:paraId="059E44E1">
            <w:pPr>
              <w:spacing w:line="286" w:lineRule="auto"/>
              <w:rPr>
                <w:rFonts w:ascii="Arial"/>
                <w:sz w:val="21"/>
              </w:rPr>
            </w:pPr>
          </w:p>
          <w:p w14:paraId="5CC3375D">
            <w:pPr>
              <w:spacing w:line="286" w:lineRule="auto"/>
              <w:rPr>
                <w:rFonts w:ascii="Arial"/>
                <w:sz w:val="21"/>
              </w:rPr>
            </w:pPr>
          </w:p>
          <w:p w14:paraId="73AD68C7">
            <w:pPr>
              <w:spacing w:line="286" w:lineRule="auto"/>
              <w:rPr>
                <w:rFonts w:ascii="Arial"/>
                <w:sz w:val="21"/>
              </w:rPr>
            </w:pPr>
          </w:p>
          <w:p w14:paraId="0DB1D604">
            <w:pPr>
              <w:spacing w:line="287" w:lineRule="auto"/>
              <w:rPr>
                <w:rFonts w:ascii="Arial"/>
                <w:sz w:val="21"/>
              </w:rPr>
            </w:pPr>
          </w:p>
          <w:p w14:paraId="09429BBD">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FC16723">
            <w:pPr>
              <w:spacing w:line="298" w:lineRule="auto"/>
              <w:rPr>
                <w:rFonts w:ascii="Arial"/>
                <w:sz w:val="21"/>
              </w:rPr>
            </w:pPr>
          </w:p>
          <w:p w14:paraId="69AEC453">
            <w:pPr>
              <w:spacing w:line="298" w:lineRule="auto"/>
              <w:rPr>
                <w:rFonts w:ascii="Arial"/>
                <w:sz w:val="21"/>
              </w:rPr>
            </w:pPr>
          </w:p>
          <w:p w14:paraId="1F8CCBDB">
            <w:pPr>
              <w:spacing w:line="299" w:lineRule="auto"/>
              <w:rPr>
                <w:rFonts w:ascii="Arial"/>
                <w:sz w:val="21"/>
              </w:rPr>
            </w:pPr>
          </w:p>
          <w:p w14:paraId="51C131C7">
            <w:pPr>
              <w:spacing w:line="299" w:lineRule="auto"/>
              <w:rPr>
                <w:rFonts w:ascii="Arial"/>
                <w:sz w:val="21"/>
              </w:rPr>
            </w:pPr>
          </w:p>
          <w:p w14:paraId="0D80027F">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6DBAF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5" w:hRule="atLeast"/>
        </w:trPr>
        <w:tc>
          <w:tcPr>
            <w:tcW w:w="629" w:type="dxa"/>
            <w:vAlign w:val="top"/>
          </w:tcPr>
          <w:p w14:paraId="2A04B12E">
            <w:pPr>
              <w:spacing w:line="254" w:lineRule="auto"/>
              <w:rPr>
                <w:rFonts w:ascii="Arial"/>
                <w:sz w:val="21"/>
              </w:rPr>
            </w:pPr>
          </w:p>
          <w:p w14:paraId="0C443750">
            <w:pPr>
              <w:spacing w:line="255" w:lineRule="auto"/>
              <w:rPr>
                <w:rFonts w:ascii="Arial"/>
                <w:sz w:val="21"/>
              </w:rPr>
            </w:pPr>
          </w:p>
          <w:p w14:paraId="3BD21F8A">
            <w:pPr>
              <w:spacing w:line="255" w:lineRule="auto"/>
              <w:rPr>
                <w:rFonts w:ascii="Arial"/>
                <w:sz w:val="21"/>
              </w:rPr>
            </w:pPr>
          </w:p>
          <w:p w14:paraId="1558A5E3">
            <w:pPr>
              <w:spacing w:line="255" w:lineRule="auto"/>
              <w:rPr>
                <w:rFonts w:ascii="Arial"/>
                <w:sz w:val="21"/>
              </w:rPr>
            </w:pPr>
          </w:p>
          <w:p w14:paraId="108875B5">
            <w:pPr>
              <w:spacing w:line="255" w:lineRule="auto"/>
              <w:rPr>
                <w:rFonts w:ascii="Arial"/>
                <w:sz w:val="21"/>
              </w:rPr>
            </w:pPr>
          </w:p>
          <w:p w14:paraId="69A2B469">
            <w:pPr>
              <w:pStyle w:val="8"/>
              <w:spacing w:before="59" w:line="182" w:lineRule="auto"/>
              <w:ind w:left="224"/>
              <w:rPr>
                <w:rFonts w:hint="eastAsia" w:eastAsia="宋体"/>
                <w:lang w:eastAsia="zh-CN"/>
              </w:rPr>
            </w:pPr>
            <w:r>
              <w:rPr>
                <w:spacing w:val="-5"/>
              </w:rPr>
              <w:t>5</w:t>
            </w:r>
            <w:r>
              <w:rPr>
                <w:rFonts w:hint="eastAsia"/>
                <w:spacing w:val="-5"/>
                <w:lang w:val="en-US" w:eastAsia="zh-CN"/>
              </w:rPr>
              <w:t>6</w:t>
            </w:r>
          </w:p>
        </w:tc>
        <w:tc>
          <w:tcPr>
            <w:tcW w:w="1101" w:type="dxa"/>
            <w:vAlign w:val="top"/>
          </w:tcPr>
          <w:p w14:paraId="792C7926">
            <w:pPr>
              <w:spacing w:line="266" w:lineRule="auto"/>
              <w:rPr>
                <w:rFonts w:ascii="Arial"/>
                <w:sz w:val="21"/>
              </w:rPr>
            </w:pPr>
          </w:p>
          <w:p w14:paraId="21912EA0">
            <w:pPr>
              <w:spacing w:line="266" w:lineRule="auto"/>
              <w:rPr>
                <w:rFonts w:ascii="Arial"/>
                <w:sz w:val="21"/>
              </w:rPr>
            </w:pPr>
          </w:p>
          <w:p w14:paraId="522984AF">
            <w:pPr>
              <w:pStyle w:val="8"/>
              <w:spacing w:before="59" w:line="243" w:lineRule="auto"/>
              <w:ind w:left="18" w:right="20"/>
              <w:jc w:val="both"/>
            </w:pPr>
            <w:r>
              <w:rPr>
                <w:spacing w:val="-6"/>
              </w:rPr>
              <w:t>对道路运输企</w:t>
            </w:r>
            <w:r>
              <w:rPr>
                <w:spacing w:val="2"/>
              </w:rPr>
              <w:t xml:space="preserve"> </w:t>
            </w:r>
            <w:r>
              <w:rPr>
                <w:spacing w:val="-6"/>
              </w:rPr>
              <w:t>业未按照规定</w:t>
            </w:r>
            <w:r>
              <w:rPr>
                <w:spacing w:val="2"/>
              </w:rPr>
              <w:t xml:space="preserve"> </w:t>
            </w:r>
            <w:r>
              <w:rPr>
                <w:spacing w:val="-6"/>
              </w:rPr>
              <w:t>建立健全并严</w:t>
            </w:r>
            <w:r>
              <w:rPr>
                <w:spacing w:val="2"/>
              </w:rPr>
              <w:t xml:space="preserve"> </w:t>
            </w:r>
            <w:r>
              <w:rPr>
                <w:spacing w:val="-6"/>
              </w:rPr>
              <w:t>格执行危险货</w:t>
            </w:r>
            <w:r>
              <w:rPr>
                <w:spacing w:val="2"/>
              </w:rPr>
              <w:t xml:space="preserve"> </w:t>
            </w:r>
            <w:r>
              <w:rPr>
                <w:spacing w:val="-6"/>
              </w:rPr>
              <w:t>物充装或者装</w:t>
            </w:r>
            <w:r>
              <w:rPr>
                <w:spacing w:val="2"/>
              </w:rPr>
              <w:t xml:space="preserve"> </w:t>
            </w:r>
            <w:r>
              <w:rPr>
                <w:spacing w:val="-6"/>
              </w:rPr>
              <w:t>载查验、记录</w:t>
            </w:r>
            <w:r>
              <w:rPr>
                <w:spacing w:val="2"/>
              </w:rPr>
              <w:t xml:space="preserve"> </w:t>
            </w:r>
            <w:r>
              <w:rPr>
                <w:spacing w:val="-6"/>
              </w:rPr>
              <w:t>制度的行政处</w:t>
            </w:r>
            <w:r>
              <w:rPr>
                <w:spacing w:val="2"/>
              </w:rPr>
              <w:t xml:space="preserve"> </w:t>
            </w:r>
            <w:r>
              <w:t>罚</w:t>
            </w:r>
          </w:p>
        </w:tc>
        <w:tc>
          <w:tcPr>
            <w:tcW w:w="1101" w:type="dxa"/>
            <w:vAlign w:val="top"/>
          </w:tcPr>
          <w:p w14:paraId="23326713">
            <w:pPr>
              <w:spacing w:line="249" w:lineRule="auto"/>
              <w:rPr>
                <w:rFonts w:ascii="Arial"/>
                <w:sz w:val="21"/>
              </w:rPr>
            </w:pPr>
          </w:p>
          <w:p w14:paraId="5C69D469">
            <w:pPr>
              <w:spacing w:line="249" w:lineRule="auto"/>
              <w:rPr>
                <w:rFonts w:ascii="Arial"/>
                <w:sz w:val="21"/>
              </w:rPr>
            </w:pPr>
          </w:p>
          <w:p w14:paraId="643708EE">
            <w:pPr>
              <w:spacing w:line="249" w:lineRule="auto"/>
              <w:rPr>
                <w:rFonts w:ascii="Arial"/>
                <w:sz w:val="21"/>
              </w:rPr>
            </w:pPr>
          </w:p>
          <w:p w14:paraId="6DE71B51">
            <w:pPr>
              <w:spacing w:line="249" w:lineRule="auto"/>
              <w:rPr>
                <w:rFonts w:ascii="Arial"/>
                <w:sz w:val="21"/>
              </w:rPr>
            </w:pPr>
          </w:p>
          <w:p w14:paraId="50A607CF">
            <w:pPr>
              <w:spacing w:line="249" w:lineRule="auto"/>
              <w:rPr>
                <w:rFonts w:ascii="Arial"/>
                <w:sz w:val="21"/>
              </w:rPr>
            </w:pPr>
          </w:p>
          <w:p w14:paraId="052656CB">
            <w:pPr>
              <w:pStyle w:val="8"/>
              <w:spacing w:before="59" w:line="220" w:lineRule="auto"/>
              <w:ind w:left="25"/>
            </w:pPr>
            <w:r>
              <w:rPr>
                <w:spacing w:val="-7"/>
              </w:rPr>
              <w:t>行政处罚</w:t>
            </w:r>
          </w:p>
        </w:tc>
        <w:tc>
          <w:tcPr>
            <w:tcW w:w="8524" w:type="dxa"/>
            <w:vAlign w:val="top"/>
          </w:tcPr>
          <w:p w14:paraId="2EBF751D">
            <w:pPr>
              <w:spacing w:line="324" w:lineRule="auto"/>
              <w:rPr>
                <w:rFonts w:ascii="Arial"/>
                <w:sz w:val="21"/>
              </w:rPr>
            </w:pPr>
          </w:p>
          <w:p w14:paraId="3B430D17">
            <w:pPr>
              <w:spacing w:line="324" w:lineRule="auto"/>
              <w:rPr>
                <w:rFonts w:ascii="Arial"/>
                <w:sz w:val="21"/>
              </w:rPr>
            </w:pPr>
          </w:p>
          <w:p w14:paraId="6259D973">
            <w:pPr>
              <w:pStyle w:val="8"/>
              <w:spacing w:before="59" w:line="219" w:lineRule="auto"/>
              <w:ind w:left="451"/>
            </w:pPr>
            <w:r>
              <w:rPr>
                <w:b/>
                <w:bCs/>
                <w:spacing w:val="-8"/>
              </w:rPr>
              <w:t>《危险货物道路运输安全管理办法》(交通运输部</w:t>
            </w:r>
            <w:r>
              <w:rPr>
                <w:b/>
                <w:bCs/>
                <w:spacing w:val="-9"/>
              </w:rPr>
              <w:t>令2019年第29号)</w:t>
            </w:r>
          </w:p>
          <w:p w14:paraId="6C4C69B4">
            <w:pPr>
              <w:pStyle w:val="8"/>
              <w:spacing w:before="26" w:line="233" w:lineRule="auto"/>
              <w:ind w:left="102" w:right="157" w:firstLine="343"/>
            </w:pPr>
            <w:r>
              <w:rPr>
                <w:spacing w:val="-8"/>
              </w:rPr>
              <w:t>第三十二条</w:t>
            </w:r>
            <w:r>
              <w:rPr>
                <w:spacing w:val="75"/>
              </w:rPr>
              <w:t xml:space="preserve"> </w:t>
            </w:r>
            <w:r>
              <w:rPr>
                <w:spacing w:val="-8"/>
              </w:rPr>
              <w:t>充装或者装载危险化学品的生产、储存、运输、使用和经营企业，应当按照本办法要求建立</w:t>
            </w:r>
            <w:r>
              <w:t xml:space="preserve"> </w:t>
            </w:r>
            <w:r>
              <w:rPr>
                <w:spacing w:val="-8"/>
              </w:rPr>
              <w:t>健全并严格执行充装或者装载查验、记录制度。</w:t>
            </w:r>
          </w:p>
          <w:p w14:paraId="2417B536">
            <w:pPr>
              <w:pStyle w:val="8"/>
              <w:spacing w:before="26" w:line="237" w:lineRule="auto"/>
              <w:ind w:left="101" w:right="46" w:firstLine="343"/>
            </w:pPr>
            <w:r>
              <w:rPr>
                <w:spacing w:val="-8"/>
              </w:rPr>
              <w:t>第六十五条</w:t>
            </w:r>
            <w:r>
              <w:rPr>
                <w:spacing w:val="81"/>
              </w:rPr>
              <w:t xml:space="preserve"> </w:t>
            </w:r>
            <w:r>
              <w:rPr>
                <w:spacing w:val="-8"/>
              </w:rPr>
              <w:t>交通运输主管部门、应急管理部门和其他负有安全监督管理职责的部门对危险化学品生产、</w:t>
            </w:r>
            <w:r>
              <w:t xml:space="preserve">  </w:t>
            </w:r>
            <w:r>
              <w:rPr>
                <w:spacing w:val="-9"/>
              </w:rPr>
              <w:t>储存、运输、使用和经营企业违反本办法第三十二条，未建立健全</w:t>
            </w:r>
            <w:r>
              <w:rPr>
                <w:spacing w:val="-10"/>
              </w:rPr>
              <w:t>并严格执行充装或者装载查验、记录制度的，</w:t>
            </w:r>
            <w:r>
              <w:t xml:space="preserve"> </w:t>
            </w:r>
            <w:r>
              <w:rPr>
                <w:spacing w:val="-8"/>
              </w:rPr>
              <w:t>应当按照职责分工责令改正，处1万元以上3万元以下的罚款。</w:t>
            </w:r>
          </w:p>
        </w:tc>
        <w:tc>
          <w:tcPr>
            <w:tcW w:w="1011" w:type="dxa"/>
            <w:vAlign w:val="top"/>
          </w:tcPr>
          <w:p w14:paraId="4F6668D5">
            <w:pPr>
              <w:spacing w:line="281" w:lineRule="auto"/>
              <w:rPr>
                <w:rFonts w:ascii="Arial"/>
                <w:sz w:val="21"/>
              </w:rPr>
            </w:pPr>
          </w:p>
          <w:p w14:paraId="4F78F4B9">
            <w:pPr>
              <w:spacing w:line="281" w:lineRule="auto"/>
              <w:rPr>
                <w:rFonts w:ascii="Arial"/>
                <w:sz w:val="21"/>
              </w:rPr>
            </w:pPr>
          </w:p>
          <w:p w14:paraId="5DDA125A">
            <w:pPr>
              <w:spacing w:line="282" w:lineRule="auto"/>
              <w:rPr>
                <w:rFonts w:ascii="Arial"/>
                <w:sz w:val="21"/>
              </w:rPr>
            </w:pPr>
          </w:p>
          <w:p w14:paraId="6179A691">
            <w:pPr>
              <w:spacing w:line="282" w:lineRule="auto"/>
              <w:rPr>
                <w:rFonts w:ascii="Arial"/>
                <w:sz w:val="21"/>
              </w:rPr>
            </w:pPr>
          </w:p>
          <w:p w14:paraId="2C18585D">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5C9EC0FD">
            <w:pPr>
              <w:spacing w:line="281" w:lineRule="auto"/>
              <w:rPr>
                <w:rFonts w:ascii="Arial"/>
                <w:sz w:val="21"/>
              </w:rPr>
            </w:pPr>
          </w:p>
          <w:p w14:paraId="1971FBF0">
            <w:pPr>
              <w:spacing w:line="281" w:lineRule="auto"/>
              <w:rPr>
                <w:rFonts w:ascii="Arial"/>
                <w:sz w:val="21"/>
              </w:rPr>
            </w:pPr>
          </w:p>
          <w:p w14:paraId="6ACDA4BE">
            <w:pPr>
              <w:spacing w:line="282" w:lineRule="auto"/>
              <w:rPr>
                <w:rFonts w:ascii="Arial"/>
                <w:sz w:val="21"/>
              </w:rPr>
            </w:pPr>
          </w:p>
          <w:p w14:paraId="7CE5B19F">
            <w:pPr>
              <w:spacing w:line="282" w:lineRule="auto"/>
              <w:rPr>
                <w:rFonts w:ascii="Arial"/>
                <w:sz w:val="21"/>
              </w:rPr>
            </w:pPr>
          </w:p>
          <w:p w14:paraId="3F824FBE">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5AC66E03">
            <w:pPr>
              <w:spacing w:line="296" w:lineRule="auto"/>
              <w:rPr>
                <w:rFonts w:ascii="Arial"/>
                <w:sz w:val="21"/>
              </w:rPr>
            </w:pPr>
          </w:p>
          <w:p w14:paraId="3E3BC194">
            <w:pPr>
              <w:spacing w:line="296" w:lineRule="auto"/>
              <w:rPr>
                <w:rFonts w:ascii="Arial"/>
                <w:sz w:val="21"/>
              </w:rPr>
            </w:pPr>
          </w:p>
          <w:p w14:paraId="32681516">
            <w:pPr>
              <w:spacing w:line="297" w:lineRule="auto"/>
              <w:rPr>
                <w:rFonts w:ascii="Arial"/>
                <w:sz w:val="21"/>
              </w:rPr>
            </w:pPr>
          </w:p>
          <w:p w14:paraId="4851F251">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23CFA7E9">
      <w:pPr>
        <w:pStyle w:val="2"/>
      </w:pPr>
    </w:p>
    <w:p w14:paraId="04B0DCEE">
      <w:pPr>
        <w:sectPr>
          <w:footerReference r:id="rId48" w:type="default"/>
          <w:pgSz w:w="16839" w:h="11906"/>
          <w:pgMar w:top="1012" w:right="1016" w:bottom="966" w:left="1016" w:header="0" w:footer="768" w:gutter="0"/>
          <w:cols w:space="720" w:num="1"/>
        </w:sectPr>
      </w:pPr>
    </w:p>
    <w:p w14:paraId="11A36D25">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6C306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0898BDF1">
            <w:pPr>
              <w:pStyle w:val="8"/>
              <w:spacing w:before="273" w:line="221" w:lineRule="auto"/>
              <w:ind w:left="129"/>
            </w:pPr>
            <w:r>
              <w:rPr>
                <w:b/>
                <w:bCs/>
                <w:spacing w:val="-4"/>
              </w:rPr>
              <w:t>序号</w:t>
            </w:r>
          </w:p>
        </w:tc>
        <w:tc>
          <w:tcPr>
            <w:tcW w:w="1101" w:type="dxa"/>
            <w:vMerge w:val="restart"/>
            <w:tcBorders>
              <w:bottom w:val="nil"/>
            </w:tcBorders>
            <w:vAlign w:val="top"/>
          </w:tcPr>
          <w:p w14:paraId="145CC481">
            <w:pPr>
              <w:pStyle w:val="8"/>
              <w:spacing w:before="274" w:line="220" w:lineRule="auto"/>
              <w:ind w:left="182"/>
            </w:pPr>
            <w:r>
              <w:rPr>
                <w:b/>
                <w:bCs/>
                <w:spacing w:val="-4"/>
              </w:rPr>
              <w:t>事项名称</w:t>
            </w:r>
          </w:p>
        </w:tc>
        <w:tc>
          <w:tcPr>
            <w:tcW w:w="1101" w:type="dxa"/>
            <w:vMerge w:val="restart"/>
            <w:tcBorders>
              <w:bottom w:val="nil"/>
            </w:tcBorders>
            <w:vAlign w:val="top"/>
          </w:tcPr>
          <w:p w14:paraId="45182580">
            <w:pPr>
              <w:pStyle w:val="8"/>
              <w:spacing w:before="274" w:line="219" w:lineRule="auto"/>
              <w:ind w:left="183"/>
            </w:pPr>
            <w:r>
              <w:rPr>
                <w:b/>
                <w:bCs/>
                <w:spacing w:val="-4"/>
              </w:rPr>
              <w:t>职权类型</w:t>
            </w:r>
          </w:p>
        </w:tc>
        <w:tc>
          <w:tcPr>
            <w:tcW w:w="8524" w:type="dxa"/>
            <w:vMerge w:val="restart"/>
            <w:tcBorders>
              <w:bottom w:val="nil"/>
            </w:tcBorders>
            <w:vAlign w:val="top"/>
          </w:tcPr>
          <w:p w14:paraId="2F97BDC8">
            <w:pPr>
              <w:pStyle w:val="8"/>
              <w:spacing w:before="273" w:line="219" w:lineRule="auto"/>
              <w:ind w:left="4083"/>
            </w:pPr>
            <w:r>
              <w:rPr>
                <w:b/>
                <w:bCs/>
                <w:spacing w:val="-5"/>
              </w:rPr>
              <w:t>实施依据</w:t>
            </w:r>
          </w:p>
        </w:tc>
        <w:tc>
          <w:tcPr>
            <w:tcW w:w="3435" w:type="dxa"/>
            <w:gridSpan w:val="3"/>
            <w:vAlign w:val="top"/>
          </w:tcPr>
          <w:p w14:paraId="19E5B5BB">
            <w:pPr>
              <w:pStyle w:val="8"/>
              <w:spacing w:before="94" w:line="220" w:lineRule="auto"/>
              <w:ind w:left="1360"/>
            </w:pPr>
            <w:r>
              <w:rPr>
                <w:b/>
                <w:bCs/>
                <w:spacing w:val="-5"/>
              </w:rPr>
              <w:t>实施主体</w:t>
            </w:r>
          </w:p>
        </w:tc>
      </w:tr>
      <w:tr w14:paraId="42530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4A87A6AC">
            <w:pPr>
              <w:rPr>
                <w:rFonts w:ascii="Arial"/>
                <w:sz w:val="21"/>
              </w:rPr>
            </w:pPr>
          </w:p>
        </w:tc>
        <w:tc>
          <w:tcPr>
            <w:tcW w:w="1101" w:type="dxa"/>
            <w:vMerge w:val="continue"/>
            <w:tcBorders>
              <w:top w:val="nil"/>
            </w:tcBorders>
            <w:vAlign w:val="top"/>
          </w:tcPr>
          <w:p w14:paraId="54BBF58E">
            <w:pPr>
              <w:rPr>
                <w:rFonts w:ascii="Arial"/>
                <w:sz w:val="21"/>
              </w:rPr>
            </w:pPr>
          </w:p>
        </w:tc>
        <w:tc>
          <w:tcPr>
            <w:tcW w:w="1101" w:type="dxa"/>
            <w:vMerge w:val="continue"/>
            <w:tcBorders>
              <w:top w:val="nil"/>
            </w:tcBorders>
            <w:vAlign w:val="top"/>
          </w:tcPr>
          <w:p w14:paraId="1505A04C">
            <w:pPr>
              <w:rPr>
                <w:rFonts w:ascii="Arial"/>
                <w:sz w:val="21"/>
              </w:rPr>
            </w:pPr>
          </w:p>
        </w:tc>
        <w:tc>
          <w:tcPr>
            <w:tcW w:w="8524" w:type="dxa"/>
            <w:vMerge w:val="continue"/>
            <w:tcBorders>
              <w:top w:val="nil"/>
            </w:tcBorders>
            <w:vAlign w:val="top"/>
          </w:tcPr>
          <w:p w14:paraId="5E674C26">
            <w:pPr>
              <w:rPr>
                <w:rFonts w:ascii="Arial"/>
                <w:sz w:val="21"/>
              </w:rPr>
            </w:pPr>
          </w:p>
        </w:tc>
        <w:tc>
          <w:tcPr>
            <w:tcW w:w="1011" w:type="dxa"/>
            <w:vAlign w:val="top"/>
          </w:tcPr>
          <w:p w14:paraId="6E6F62E2">
            <w:pPr>
              <w:pStyle w:val="8"/>
              <w:spacing w:before="85" w:line="219" w:lineRule="auto"/>
              <w:ind w:left="154"/>
            </w:pPr>
            <w:r>
              <w:rPr>
                <w:b/>
                <w:bCs/>
                <w:spacing w:val="-5"/>
              </w:rPr>
              <w:t>责任部门</w:t>
            </w:r>
          </w:p>
        </w:tc>
        <w:tc>
          <w:tcPr>
            <w:tcW w:w="1404" w:type="dxa"/>
            <w:vAlign w:val="top"/>
          </w:tcPr>
          <w:p w14:paraId="5D36668A">
            <w:pPr>
              <w:pStyle w:val="8"/>
              <w:spacing w:before="85" w:line="219" w:lineRule="auto"/>
              <w:ind w:left="164"/>
            </w:pPr>
            <w:r>
              <w:rPr>
                <w:b/>
                <w:bCs/>
                <w:spacing w:val="-3"/>
              </w:rPr>
              <w:t>第一责任层级</w:t>
            </w:r>
          </w:p>
        </w:tc>
        <w:tc>
          <w:tcPr>
            <w:tcW w:w="1020" w:type="dxa"/>
            <w:vAlign w:val="top"/>
          </w:tcPr>
          <w:p w14:paraId="6A2CE0A5">
            <w:pPr>
              <w:pStyle w:val="8"/>
              <w:spacing w:before="84" w:line="219" w:lineRule="auto"/>
              <w:ind w:left="114"/>
            </w:pPr>
            <w:r>
              <w:rPr>
                <w:b/>
                <w:bCs/>
                <w:spacing w:val="-4"/>
              </w:rPr>
              <w:t>承办机构</w:t>
            </w:r>
          </w:p>
        </w:tc>
      </w:tr>
      <w:tr w14:paraId="7A27C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2" w:hRule="atLeast"/>
        </w:trPr>
        <w:tc>
          <w:tcPr>
            <w:tcW w:w="629" w:type="dxa"/>
            <w:vAlign w:val="top"/>
          </w:tcPr>
          <w:p w14:paraId="742972DE">
            <w:pPr>
              <w:spacing w:line="243" w:lineRule="auto"/>
              <w:rPr>
                <w:rFonts w:ascii="Arial"/>
                <w:sz w:val="21"/>
              </w:rPr>
            </w:pPr>
          </w:p>
          <w:p w14:paraId="56BB1597">
            <w:pPr>
              <w:spacing w:line="243" w:lineRule="auto"/>
              <w:rPr>
                <w:rFonts w:ascii="Arial"/>
                <w:sz w:val="21"/>
              </w:rPr>
            </w:pPr>
          </w:p>
          <w:p w14:paraId="77C3DBA0">
            <w:pPr>
              <w:spacing w:line="243" w:lineRule="auto"/>
              <w:rPr>
                <w:rFonts w:ascii="Arial"/>
                <w:sz w:val="21"/>
              </w:rPr>
            </w:pPr>
          </w:p>
          <w:p w14:paraId="58CF43E4">
            <w:pPr>
              <w:spacing w:line="243" w:lineRule="auto"/>
              <w:rPr>
                <w:rFonts w:ascii="Arial"/>
                <w:sz w:val="21"/>
              </w:rPr>
            </w:pPr>
          </w:p>
          <w:p w14:paraId="03DB87F1">
            <w:pPr>
              <w:spacing w:line="243" w:lineRule="auto"/>
              <w:rPr>
                <w:rFonts w:ascii="Arial"/>
                <w:sz w:val="21"/>
              </w:rPr>
            </w:pPr>
          </w:p>
          <w:p w14:paraId="342E3E78">
            <w:pPr>
              <w:spacing w:line="243" w:lineRule="auto"/>
              <w:rPr>
                <w:rFonts w:ascii="Arial"/>
                <w:sz w:val="21"/>
              </w:rPr>
            </w:pPr>
          </w:p>
          <w:p w14:paraId="57BE8385">
            <w:pPr>
              <w:spacing w:line="243" w:lineRule="auto"/>
              <w:rPr>
                <w:rFonts w:ascii="Arial"/>
                <w:sz w:val="21"/>
              </w:rPr>
            </w:pPr>
          </w:p>
          <w:p w14:paraId="5F6EF8D2">
            <w:pPr>
              <w:spacing w:line="243" w:lineRule="auto"/>
              <w:rPr>
                <w:rFonts w:ascii="Arial"/>
                <w:sz w:val="21"/>
              </w:rPr>
            </w:pPr>
          </w:p>
          <w:p w14:paraId="2DF6C45A">
            <w:pPr>
              <w:spacing w:line="243" w:lineRule="auto"/>
              <w:rPr>
                <w:rFonts w:ascii="Arial"/>
                <w:sz w:val="21"/>
              </w:rPr>
            </w:pPr>
          </w:p>
          <w:p w14:paraId="315A9D80">
            <w:pPr>
              <w:spacing w:line="243" w:lineRule="auto"/>
              <w:rPr>
                <w:rFonts w:ascii="Arial"/>
                <w:sz w:val="21"/>
              </w:rPr>
            </w:pPr>
          </w:p>
          <w:p w14:paraId="5A5D20E6">
            <w:pPr>
              <w:spacing w:line="243" w:lineRule="auto"/>
              <w:rPr>
                <w:rFonts w:ascii="Arial"/>
                <w:sz w:val="21"/>
              </w:rPr>
            </w:pPr>
          </w:p>
          <w:p w14:paraId="072E281B">
            <w:pPr>
              <w:spacing w:line="243" w:lineRule="auto"/>
              <w:rPr>
                <w:rFonts w:ascii="Arial"/>
                <w:sz w:val="21"/>
              </w:rPr>
            </w:pPr>
          </w:p>
          <w:p w14:paraId="7DF69256">
            <w:pPr>
              <w:spacing w:line="243" w:lineRule="auto"/>
              <w:rPr>
                <w:rFonts w:ascii="Arial"/>
                <w:sz w:val="21"/>
              </w:rPr>
            </w:pPr>
          </w:p>
          <w:p w14:paraId="219197EC">
            <w:pPr>
              <w:spacing w:line="243" w:lineRule="auto"/>
              <w:rPr>
                <w:rFonts w:ascii="Arial"/>
                <w:sz w:val="21"/>
              </w:rPr>
            </w:pPr>
          </w:p>
          <w:p w14:paraId="0FD6DCED">
            <w:pPr>
              <w:spacing w:line="244" w:lineRule="auto"/>
              <w:rPr>
                <w:rFonts w:ascii="Arial"/>
                <w:sz w:val="21"/>
              </w:rPr>
            </w:pPr>
          </w:p>
          <w:p w14:paraId="035F86B6">
            <w:pPr>
              <w:spacing w:line="244" w:lineRule="auto"/>
              <w:rPr>
                <w:rFonts w:ascii="Arial"/>
                <w:sz w:val="21"/>
              </w:rPr>
            </w:pPr>
          </w:p>
          <w:p w14:paraId="192E2617">
            <w:pPr>
              <w:spacing w:line="244" w:lineRule="auto"/>
              <w:rPr>
                <w:rFonts w:ascii="Arial"/>
                <w:sz w:val="21"/>
              </w:rPr>
            </w:pPr>
          </w:p>
          <w:p w14:paraId="757B7CB3">
            <w:pPr>
              <w:pStyle w:val="8"/>
              <w:spacing w:before="59" w:line="183" w:lineRule="auto"/>
              <w:ind w:left="224"/>
              <w:rPr>
                <w:rFonts w:hint="default" w:eastAsia="宋体"/>
                <w:lang w:val="en-US" w:eastAsia="zh-CN"/>
              </w:rPr>
            </w:pPr>
            <w:r>
              <w:rPr>
                <w:rFonts w:hint="eastAsia"/>
                <w:spacing w:val="-5"/>
                <w:lang w:val="en-US" w:eastAsia="zh-CN"/>
              </w:rPr>
              <w:t>57</w:t>
            </w:r>
          </w:p>
        </w:tc>
        <w:tc>
          <w:tcPr>
            <w:tcW w:w="1101" w:type="dxa"/>
            <w:vAlign w:val="top"/>
          </w:tcPr>
          <w:p w14:paraId="7F0B9457">
            <w:pPr>
              <w:spacing w:line="251" w:lineRule="auto"/>
              <w:rPr>
                <w:rFonts w:ascii="Arial"/>
                <w:sz w:val="21"/>
              </w:rPr>
            </w:pPr>
          </w:p>
          <w:p w14:paraId="1939A120">
            <w:pPr>
              <w:spacing w:line="251" w:lineRule="auto"/>
              <w:rPr>
                <w:rFonts w:ascii="Arial"/>
                <w:sz w:val="21"/>
              </w:rPr>
            </w:pPr>
          </w:p>
          <w:p w14:paraId="4CA006B3">
            <w:pPr>
              <w:spacing w:line="252" w:lineRule="auto"/>
              <w:rPr>
                <w:rFonts w:ascii="Arial"/>
                <w:sz w:val="21"/>
              </w:rPr>
            </w:pPr>
          </w:p>
          <w:p w14:paraId="337383DB">
            <w:pPr>
              <w:spacing w:line="252" w:lineRule="auto"/>
              <w:rPr>
                <w:rFonts w:ascii="Arial"/>
                <w:sz w:val="21"/>
              </w:rPr>
            </w:pPr>
          </w:p>
          <w:p w14:paraId="7949C1A8">
            <w:pPr>
              <w:spacing w:line="252" w:lineRule="auto"/>
              <w:rPr>
                <w:rFonts w:ascii="Arial"/>
                <w:sz w:val="21"/>
              </w:rPr>
            </w:pPr>
          </w:p>
          <w:p w14:paraId="0CC5DCA0">
            <w:pPr>
              <w:spacing w:line="252" w:lineRule="auto"/>
              <w:rPr>
                <w:rFonts w:ascii="Arial"/>
                <w:sz w:val="21"/>
              </w:rPr>
            </w:pPr>
          </w:p>
          <w:p w14:paraId="5C1CCFD2">
            <w:pPr>
              <w:spacing w:line="252" w:lineRule="auto"/>
              <w:rPr>
                <w:rFonts w:ascii="Arial"/>
                <w:sz w:val="21"/>
              </w:rPr>
            </w:pPr>
          </w:p>
          <w:p w14:paraId="7B7203D8">
            <w:pPr>
              <w:spacing w:line="252" w:lineRule="auto"/>
              <w:rPr>
                <w:rFonts w:ascii="Arial"/>
                <w:sz w:val="21"/>
              </w:rPr>
            </w:pPr>
          </w:p>
          <w:p w14:paraId="2A541E06">
            <w:pPr>
              <w:spacing w:line="252" w:lineRule="auto"/>
              <w:rPr>
                <w:rFonts w:ascii="Arial"/>
                <w:sz w:val="21"/>
              </w:rPr>
            </w:pPr>
          </w:p>
          <w:p w14:paraId="20A6479D">
            <w:pPr>
              <w:spacing w:line="252" w:lineRule="auto"/>
              <w:rPr>
                <w:rFonts w:ascii="Arial"/>
                <w:sz w:val="21"/>
              </w:rPr>
            </w:pPr>
          </w:p>
          <w:p w14:paraId="6BCBCF96">
            <w:pPr>
              <w:spacing w:line="252" w:lineRule="auto"/>
              <w:rPr>
                <w:rFonts w:ascii="Arial"/>
                <w:sz w:val="21"/>
              </w:rPr>
            </w:pPr>
          </w:p>
          <w:p w14:paraId="598A457F">
            <w:pPr>
              <w:spacing w:line="252" w:lineRule="auto"/>
              <w:rPr>
                <w:rFonts w:ascii="Arial"/>
                <w:sz w:val="21"/>
              </w:rPr>
            </w:pPr>
          </w:p>
          <w:p w14:paraId="14A23033">
            <w:pPr>
              <w:spacing w:line="252" w:lineRule="auto"/>
              <w:rPr>
                <w:rFonts w:ascii="Arial"/>
                <w:sz w:val="21"/>
              </w:rPr>
            </w:pPr>
          </w:p>
          <w:p w14:paraId="68A9C6D5">
            <w:pPr>
              <w:pStyle w:val="8"/>
              <w:spacing w:before="59" w:line="242" w:lineRule="auto"/>
              <w:ind w:left="18"/>
              <w:jc w:val="both"/>
            </w:pPr>
            <w:r>
              <w:rPr>
                <w:spacing w:val="-12"/>
              </w:rPr>
              <w:t>对未在经营场</w:t>
            </w:r>
            <w:r>
              <w:rPr>
                <w:spacing w:val="4"/>
              </w:rPr>
              <w:t xml:space="preserve"> </w:t>
            </w:r>
            <w:r>
              <w:rPr>
                <w:spacing w:val="-12"/>
              </w:rPr>
              <w:t>所的醒目位置</w:t>
            </w:r>
            <w:r>
              <w:rPr>
                <w:spacing w:val="4"/>
              </w:rPr>
              <w:t xml:space="preserve"> </w:t>
            </w:r>
            <w:r>
              <w:rPr>
                <w:spacing w:val="-12"/>
              </w:rPr>
              <w:t>公示其经营项</w:t>
            </w:r>
            <w:r>
              <w:rPr>
                <w:spacing w:val="4"/>
              </w:rPr>
              <w:t xml:space="preserve"> </w:t>
            </w:r>
            <w:r>
              <w:rPr>
                <w:spacing w:val="-28"/>
              </w:rPr>
              <w:t>目、培训能力、</w:t>
            </w:r>
            <w:r>
              <w:rPr>
                <w:spacing w:val="1"/>
              </w:rPr>
              <w:t xml:space="preserve"> </w:t>
            </w:r>
            <w:r>
              <w:rPr>
                <w:spacing w:val="-12"/>
              </w:rPr>
              <w:t>培训车型等相</w:t>
            </w:r>
            <w:r>
              <w:rPr>
                <w:spacing w:val="4"/>
              </w:rPr>
              <w:t xml:space="preserve"> </w:t>
            </w:r>
            <w:r>
              <w:rPr>
                <w:spacing w:val="-12"/>
              </w:rPr>
              <w:t>关情况等行为</w:t>
            </w:r>
            <w:r>
              <w:rPr>
                <w:spacing w:val="4"/>
              </w:rPr>
              <w:t xml:space="preserve"> </w:t>
            </w:r>
            <w:r>
              <w:rPr>
                <w:spacing w:val="-11"/>
              </w:rPr>
              <w:t>的行政处罚</w:t>
            </w:r>
          </w:p>
        </w:tc>
        <w:tc>
          <w:tcPr>
            <w:tcW w:w="1101" w:type="dxa"/>
            <w:vAlign w:val="top"/>
          </w:tcPr>
          <w:p w14:paraId="21AB5EDF">
            <w:pPr>
              <w:spacing w:line="241" w:lineRule="auto"/>
              <w:rPr>
                <w:rFonts w:ascii="Arial"/>
                <w:sz w:val="21"/>
              </w:rPr>
            </w:pPr>
          </w:p>
          <w:p w14:paraId="5E508908">
            <w:pPr>
              <w:spacing w:line="241" w:lineRule="auto"/>
              <w:rPr>
                <w:rFonts w:ascii="Arial"/>
                <w:sz w:val="21"/>
              </w:rPr>
            </w:pPr>
          </w:p>
          <w:p w14:paraId="6349DC34">
            <w:pPr>
              <w:spacing w:line="241" w:lineRule="auto"/>
              <w:rPr>
                <w:rFonts w:ascii="Arial"/>
                <w:sz w:val="21"/>
              </w:rPr>
            </w:pPr>
          </w:p>
          <w:p w14:paraId="1A9F24E8">
            <w:pPr>
              <w:spacing w:line="241" w:lineRule="auto"/>
              <w:rPr>
                <w:rFonts w:ascii="Arial"/>
                <w:sz w:val="21"/>
              </w:rPr>
            </w:pPr>
          </w:p>
          <w:p w14:paraId="47B1F5F2">
            <w:pPr>
              <w:spacing w:line="241" w:lineRule="auto"/>
              <w:rPr>
                <w:rFonts w:ascii="Arial"/>
                <w:sz w:val="21"/>
              </w:rPr>
            </w:pPr>
          </w:p>
          <w:p w14:paraId="412B2100">
            <w:pPr>
              <w:spacing w:line="241" w:lineRule="auto"/>
              <w:rPr>
                <w:rFonts w:ascii="Arial"/>
                <w:sz w:val="21"/>
              </w:rPr>
            </w:pPr>
          </w:p>
          <w:p w14:paraId="26744334">
            <w:pPr>
              <w:spacing w:line="241" w:lineRule="auto"/>
              <w:rPr>
                <w:rFonts w:ascii="Arial"/>
                <w:sz w:val="21"/>
              </w:rPr>
            </w:pPr>
          </w:p>
          <w:p w14:paraId="3763A862">
            <w:pPr>
              <w:spacing w:line="241" w:lineRule="auto"/>
              <w:rPr>
                <w:rFonts w:ascii="Arial"/>
                <w:sz w:val="21"/>
              </w:rPr>
            </w:pPr>
          </w:p>
          <w:p w14:paraId="1F51C323">
            <w:pPr>
              <w:spacing w:line="242" w:lineRule="auto"/>
              <w:rPr>
                <w:rFonts w:ascii="Arial"/>
                <w:sz w:val="21"/>
              </w:rPr>
            </w:pPr>
          </w:p>
          <w:p w14:paraId="3FF71544">
            <w:pPr>
              <w:spacing w:line="242" w:lineRule="auto"/>
              <w:rPr>
                <w:rFonts w:ascii="Arial"/>
                <w:sz w:val="21"/>
              </w:rPr>
            </w:pPr>
          </w:p>
          <w:p w14:paraId="080D46F5">
            <w:pPr>
              <w:spacing w:line="242" w:lineRule="auto"/>
              <w:rPr>
                <w:rFonts w:ascii="Arial"/>
                <w:sz w:val="21"/>
              </w:rPr>
            </w:pPr>
          </w:p>
          <w:p w14:paraId="29315E3E">
            <w:pPr>
              <w:spacing w:line="242" w:lineRule="auto"/>
              <w:rPr>
                <w:rFonts w:ascii="Arial"/>
                <w:sz w:val="21"/>
              </w:rPr>
            </w:pPr>
          </w:p>
          <w:p w14:paraId="5C130E2D">
            <w:pPr>
              <w:spacing w:line="242" w:lineRule="auto"/>
              <w:rPr>
                <w:rFonts w:ascii="Arial"/>
                <w:sz w:val="21"/>
              </w:rPr>
            </w:pPr>
          </w:p>
          <w:p w14:paraId="0B4530EF">
            <w:pPr>
              <w:spacing w:line="242" w:lineRule="auto"/>
              <w:rPr>
                <w:rFonts w:ascii="Arial"/>
                <w:sz w:val="21"/>
              </w:rPr>
            </w:pPr>
          </w:p>
          <w:p w14:paraId="70C62A3C">
            <w:pPr>
              <w:spacing w:line="242" w:lineRule="auto"/>
              <w:rPr>
                <w:rFonts w:ascii="Arial"/>
                <w:sz w:val="21"/>
              </w:rPr>
            </w:pPr>
          </w:p>
          <w:p w14:paraId="1AFAC304">
            <w:pPr>
              <w:spacing w:line="242" w:lineRule="auto"/>
              <w:rPr>
                <w:rFonts w:ascii="Arial"/>
                <w:sz w:val="21"/>
              </w:rPr>
            </w:pPr>
          </w:p>
          <w:p w14:paraId="4E956CFE">
            <w:pPr>
              <w:spacing w:line="242" w:lineRule="auto"/>
              <w:rPr>
                <w:rFonts w:ascii="Arial"/>
                <w:sz w:val="21"/>
              </w:rPr>
            </w:pPr>
          </w:p>
          <w:p w14:paraId="72CF960E">
            <w:pPr>
              <w:pStyle w:val="8"/>
              <w:spacing w:before="58" w:line="220" w:lineRule="auto"/>
              <w:ind w:left="25"/>
            </w:pPr>
            <w:r>
              <w:rPr>
                <w:spacing w:val="-7"/>
              </w:rPr>
              <w:t>行政处罚</w:t>
            </w:r>
          </w:p>
        </w:tc>
        <w:tc>
          <w:tcPr>
            <w:tcW w:w="8524" w:type="dxa"/>
            <w:vAlign w:val="top"/>
          </w:tcPr>
          <w:p w14:paraId="200E39AA">
            <w:pPr>
              <w:spacing w:line="326" w:lineRule="auto"/>
              <w:rPr>
                <w:rFonts w:ascii="Arial"/>
                <w:sz w:val="21"/>
              </w:rPr>
            </w:pPr>
          </w:p>
          <w:p w14:paraId="041A8B57">
            <w:pPr>
              <w:spacing w:line="326" w:lineRule="auto"/>
              <w:rPr>
                <w:rFonts w:ascii="Arial"/>
                <w:sz w:val="21"/>
              </w:rPr>
            </w:pPr>
          </w:p>
          <w:p w14:paraId="1F564452">
            <w:pPr>
              <w:pStyle w:val="8"/>
              <w:spacing w:before="58" w:line="219" w:lineRule="auto"/>
              <w:ind w:left="451"/>
            </w:pPr>
            <w:r>
              <w:rPr>
                <w:b/>
                <w:bCs/>
                <w:spacing w:val="-8"/>
              </w:rPr>
              <w:t>《机动车驾驶员培训管理规定》(交通运输部令20</w:t>
            </w:r>
            <w:r>
              <w:rPr>
                <w:b/>
                <w:bCs/>
                <w:spacing w:val="-9"/>
              </w:rPr>
              <w:t>22年第32号)</w:t>
            </w:r>
          </w:p>
          <w:p w14:paraId="767C145C">
            <w:pPr>
              <w:pStyle w:val="8"/>
              <w:spacing w:before="15" w:line="229" w:lineRule="auto"/>
              <w:ind w:left="101" w:right="32" w:firstLine="343"/>
            </w:pPr>
            <w:r>
              <w:rPr>
                <w:spacing w:val="-7"/>
              </w:rPr>
              <w:t>第十条</w:t>
            </w:r>
            <w:r>
              <w:rPr>
                <w:spacing w:val="79"/>
              </w:rPr>
              <w:t xml:space="preserve"> </w:t>
            </w:r>
            <w:r>
              <w:rPr>
                <w:spacing w:val="-7"/>
              </w:rPr>
              <w:t>从事普通机动车驾驶员培训业务的，应当</w:t>
            </w:r>
            <w:r>
              <w:rPr>
                <w:spacing w:val="-8"/>
              </w:rPr>
              <w:t>具备下列条件</w:t>
            </w:r>
            <w:r>
              <w:rPr>
                <w:spacing w:val="-21"/>
              </w:rPr>
              <w:t>：（</w:t>
            </w:r>
            <w:r>
              <w:rPr>
                <w:spacing w:val="-8"/>
              </w:rPr>
              <w:t>一）取得企业法人资格。（二）有健</w:t>
            </w:r>
            <w:r>
              <w:t xml:space="preserve">  </w:t>
            </w:r>
            <w:r>
              <w:rPr>
                <w:spacing w:val="-9"/>
              </w:rPr>
              <w:t>全的组织机构。包括教学、教练员、学员、质量、安全、结业考核和设施设备管理等组织机构，并</w:t>
            </w:r>
            <w:r>
              <w:rPr>
                <w:spacing w:val="-10"/>
              </w:rPr>
              <w:t>明确负责人、</w:t>
            </w:r>
            <w:r>
              <w:t xml:space="preserve"> </w:t>
            </w:r>
            <w:r>
              <w:rPr>
                <w:spacing w:val="-8"/>
              </w:rPr>
              <w:t>管理人员、教练员和其他人员的岗位职责。具体要求按照有关国家标准执行。（三）有健全的管理制度。包括</w:t>
            </w:r>
            <w:r>
              <w:t xml:space="preserve">  </w:t>
            </w:r>
            <w:r>
              <w:rPr>
                <w:spacing w:val="-8"/>
              </w:rPr>
              <w:t>安全管理制度、教练员管理制度、学员管理制度、培训质量管理制度、结业考核制度、教学车辆管理制度、教</w:t>
            </w:r>
            <w:r>
              <w:t xml:space="preserve">  </w:t>
            </w:r>
            <w:r>
              <w:rPr>
                <w:spacing w:val="-8"/>
              </w:rPr>
              <w:t>学设施设备管理制度、教练场地管理制度、档案管理制度等。具体要求按照有关国家标准执行。（四）有与培</w:t>
            </w:r>
            <w:r>
              <w:t xml:space="preserve">  </w:t>
            </w:r>
            <w:r>
              <w:rPr>
                <w:spacing w:val="-8"/>
              </w:rPr>
              <w:t>训业务相适应的教学人员。1.有与培训业务相适应的理论教练员。机动车驾驶员培训机构聘用的理论教练员应</w:t>
            </w:r>
            <w:r>
              <w:rPr>
                <w:spacing w:val="5"/>
              </w:rPr>
              <w:t xml:space="preserve">  </w:t>
            </w:r>
            <w:r>
              <w:rPr>
                <w:spacing w:val="-8"/>
              </w:rPr>
              <w:t>当具备以下条件：持有机动车驾驶证，具有汽车及相关专业中专以上学历或者汽车及相关专业中级以上技术职</w:t>
            </w:r>
            <w:r>
              <w:t xml:space="preserve">  </w:t>
            </w:r>
            <w:r>
              <w:rPr>
                <w:spacing w:val="-8"/>
              </w:rPr>
              <w:t>称，具有2年以上安全驾驶经历，掌握道路交通安全法规、</w:t>
            </w:r>
            <w:r>
              <w:rPr>
                <w:spacing w:val="-9"/>
              </w:rPr>
              <w:t>驾驶理论、机动车构造、交通安全心理学、常用伤员</w:t>
            </w:r>
            <w:r>
              <w:t xml:space="preserve"> </w:t>
            </w:r>
            <w:r>
              <w:rPr>
                <w:spacing w:val="-8"/>
              </w:rPr>
              <w:t>急救等安全驾驶知识，了解车辆环保和节约能源的有关知识，了解教育学、教育心理学的基本教学知识，具备</w:t>
            </w:r>
            <w:r>
              <w:t xml:space="preserve">  </w:t>
            </w:r>
            <w:r>
              <w:rPr>
                <w:spacing w:val="-8"/>
              </w:rPr>
              <w:t>编写教案、规范讲解的授课能力。2.有与培训业务相适应的驾驶操作教练员。机动车驾驶员培训机构聘用的驾</w:t>
            </w:r>
            <w:r>
              <w:rPr>
                <w:spacing w:val="5"/>
              </w:rPr>
              <w:t xml:space="preserve">  </w:t>
            </w:r>
            <w:r>
              <w:rPr>
                <w:spacing w:val="-8"/>
              </w:rPr>
              <w:t>驶操作教练员应当具备以下条件：持有相应的机动车驾驶证，年龄不超过60周岁，符合一定的安全驾驶经历和</w:t>
            </w:r>
            <w:r>
              <w:rPr>
                <w:spacing w:val="3"/>
              </w:rPr>
              <w:t xml:space="preserve">  </w:t>
            </w:r>
            <w:r>
              <w:rPr>
                <w:spacing w:val="-9"/>
              </w:rPr>
              <w:t>相应车型驾驶经历，熟悉道路交通安全法规、驾驶理论、机动车构造、交通安全心理学和应急驾驶</w:t>
            </w:r>
            <w:r>
              <w:rPr>
                <w:spacing w:val="-10"/>
              </w:rPr>
              <w:t>的基本知识，</w:t>
            </w:r>
            <w:r>
              <w:t xml:space="preserve"> </w:t>
            </w:r>
            <w:r>
              <w:rPr>
                <w:spacing w:val="-8"/>
              </w:rPr>
              <w:t>了解车辆维护和常见故障诊断等有关知识，具备驾驶要领讲解、驾驶动作示范、指导驾驶的教学能力。3.所配</w:t>
            </w:r>
            <w:r>
              <w:rPr>
                <w:spacing w:val="5"/>
              </w:rPr>
              <w:t xml:space="preserve">  </w:t>
            </w:r>
            <w:r>
              <w:rPr>
                <w:spacing w:val="-8"/>
              </w:rPr>
              <w:t>备的理论教练员数量要求及每种车型所配备的驾驶操作教练员数量要求应当按照有关国家标准执行。（五）有</w:t>
            </w:r>
            <w:r>
              <w:t xml:space="preserve">  </w:t>
            </w:r>
            <w:r>
              <w:rPr>
                <w:spacing w:val="-8"/>
              </w:rPr>
              <w:t>与培训业务相适应的管理人员。管理人员包括理论教学负责人、驾驶操作训练负责人、教学车辆管理人员、结</w:t>
            </w:r>
            <w:r>
              <w:t xml:space="preserve">  </w:t>
            </w:r>
            <w:r>
              <w:rPr>
                <w:spacing w:val="-8"/>
              </w:rPr>
              <w:t>业考核人员和计算机管理人员等。具体要求按照有关国家标准执行。（六）有必要的教学车辆。1.所配备的教</w:t>
            </w:r>
            <w:r>
              <w:rPr>
                <w:spacing w:val="5"/>
              </w:rPr>
              <w:t xml:space="preserve">  </w:t>
            </w:r>
            <w:r>
              <w:rPr>
                <w:spacing w:val="-8"/>
              </w:rPr>
              <w:t>学车辆应当符合国家有关技术标准要求，并装有副后视镜、副制动踏板、灭火器及其他安全防护装置。具体要</w:t>
            </w:r>
            <w:r>
              <w:t xml:space="preserve">  </w:t>
            </w:r>
            <w:r>
              <w:rPr>
                <w:spacing w:val="-8"/>
              </w:rPr>
              <w:t>求按照有关国家标准执行。2.从事一级普通机动车驾驶员培训的，所配备的教学车辆不少于80辆；从事二级普</w:t>
            </w:r>
            <w:r>
              <w:rPr>
                <w:spacing w:val="7"/>
              </w:rPr>
              <w:t xml:space="preserve">  </w:t>
            </w:r>
            <w:r>
              <w:rPr>
                <w:spacing w:val="-8"/>
              </w:rPr>
              <w:t>通机动车驾驶员培训的，所配备的教学车辆不少于40辆；从事三级普通机动车驾驶员培训的，所配备的教学车</w:t>
            </w:r>
            <w:r>
              <w:rPr>
                <w:spacing w:val="3"/>
              </w:rPr>
              <w:t xml:space="preserve">  </w:t>
            </w:r>
            <w:r>
              <w:rPr>
                <w:spacing w:val="-8"/>
              </w:rPr>
              <w:t>辆不少于20辆。具体要求按照有关国家标准执行。（七）有必要的教学设施、设备和场地。具体要求按照有关</w:t>
            </w:r>
            <w:r>
              <w:rPr>
                <w:spacing w:val="3"/>
              </w:rPr>
              <w:t xml:space="preserve">  </w:t>
            </w:r>
            <w:r>
              <w:rPr>
                <w:spacing w:val="-8"/>
              </w:rPr>
              <w:t>国家标准执行。租用教练场地的，还应当持有书面租赁合同和出租方土地使用证明，租赁期限不得少于3年。</w:t>
            </w:r>
          </w:p>
          <w:p w14:paraId="75E2324B">
            <w:pPr>
              <w:pStyle w:val="8"/>
              <w:spacing w:before="10" w:line="223" w:lineRule="auto"/>
              <w:ind w:left="102" w:right="189" w:firstLine="342"/>
            </w:pPr>
            <w:r>
              <w:rPr>
                <w:spacing w:val="-9"/>
              </w:rPr>
              <w:t>第二十六条</w:t>
            </w:r>
            <w:r>
              <w:rPr>
                <w:spacing w:val="88"/>
              </w:rPr>
              <w:t xml:space="preserve"> </w:t>
            </w:r>
            <w:r>
              <w:rPr>
                <w:spacing w:val="-9"/>
              </w:rPr>
              <w:t>机动车驾驶员培训机构应当在经营场所的醒目位置公示其经营项目、培训能力、培训车型、</w:t>
            </w:r>
            <w:r>
              <w:t xml:space="preserve"> </w:t>
            </w:r>
            <w:r>
              <w:rPr>
                <w:spacing w:val="-8"/>
              </w:rPr>
              <w:t>培训内容、收费项目、收费标准、教练员、教学场地、投诉方式、学员满意度评价参与方式等情况。</w:t>
            </w:r>
          </w:p>
          <w:p w14:paraId="77DE7C24">
            <w:pPr>
              <w:pStyle w:val="8"/>
              <w:spacing w:before="15" w:line="228" w:lineRule="auto"/>
              <w:ind w:left="100" w:right="150" w:firstLine="344"/>
            </w:pPr>
            <w:r>
              <w:rPr>
                <w:spacing w:val="-8"/>
              </w:rPr>
              <w:t>第五十条</w:t>
            </w:r>
            <w:r>
              <w:rPr>
                <w:spacing w:val="81"/>
              </w:rPr>
              <w:t xml:space="preserve"> </w:t>
            </w:r>
            <w:r>
              <w:rPr>
                <w:spacing w:val="-8"/>
              </w:rPr>
              <w:t>违反本规定，机动车驾驶员培训机构有下列情形之一的，由交通运输主管部门责令限期整改，</w:t>
            </w:r>
            <w:r>
              <w:t xml:space="preserve"> </w:t>
            </w:r>
            <w:r>
              <w:rPr>
                <w:spacing w:val="-7"/>
              </w:rPr>
              <w:t>逾期整改不合格的，予以通报批评</w:t>
            </w:r>
            <w:r>
              <w:rPr>
                <w:spacing w:val="-20"/>
              </w:rPr>
              <w:t>：（</w:t>
            </w:r>
            <w:r>
              <w:rPr>
                <w:spacing w:val="-7"/>
              </w:rPr>
              <w:t>一）未在经营场所的</w:t>
            </w:r>
            <w:r>
              <w:rPr>
                <w:spacing w:val="-8"/>
              </w:rPr>
              <w:t>醒目位置公示其经营项目、培训能力、培训车型、</w:t>
            </w:r>
            <w:r>
              <w:t xml:space="preserve"> </w:t>
            </w:r>
            <w:r>
              <w:rPr>
                <w:spacing w:val="-8"/>
              </w:rPr>
              <w:t>培训内容、收费项目、收费标准、教练员、教学场地、投诉方式、学员满意度评价参与方式等情况的</w:t>
            </w:r>
            <w:r>
              <w:rPr>
                <w:spacing w:val="-14"/>
              </w:rPr>
              <w:t>；（</w:t>
            </w:r>
            <w:r>
              <w:rPr>
                <w:spacing w:val="-8"/>
              </w:rPr>
              <w:t>二）</w:t>
            </w:r>
            <w:r>
              <w:t xml:space="preserve"> </w:t>
            </w:r>
            <w:r>
              <w:rPr>
                <w:spacing w:val="-7"/>
              </w:rPr>
              <w:t>未按规定聘用教学人员的</w:t>
            </w:r>
            <w:r>
              <w:rPr>
                <w:spacing w:val="-19"/>
              </w:rPr>
              <w:t>；（</w:t>
            </w:r>
            <w:r>
              <w:rPr>
                <w:spacing w:val="-7"/>
              </w:rPr>
              <w:t>三）未按规定建立教练员档案、学员档案、教学车辆档案的</w:t>
            </w:r>
            <w:r>
              <w:rPr>
                <w:spacing w:val="-19"/>
              </w:rPr>
              <w:t>；（</w:t>
            </w:r>
            <w:r>
              <w:rPr>
                <w:spacing w:val="-7"/>
              </w:rPr>
              <w:t>四）未按规定报</w:t>
            </w:r>
            <w:r>
              <w:t xml:space="preserve"> </w:t>
            </w:r>
            <w:r>
              <w:rPr>
                <w:spacing w:val="-7"/>
              </w:rPr>
              <w:t>送《培训记录》、教练员档案主要信息和有关统计资料等信息</w:t>
            </w:r>
            <w:r>
              <w:rPr>
                <w:spacing w:val="-8"/>
              </w:rPr>
              <w:t>的</w:t>
            </w:r>
            <w:r>
              <w:rPr>
                <w:spacing w:val="-22"/>
              </w:rPr>
              <w:t>；（</w:t>
            </w:r>
            <w:r>
              <w:rPr>
                <w:spacing w:val="-8"/>
              </w:rPr>
              <w:t>五）使用不符合规定的车辆及设施、设备</w:t>
            </w:r>
            <w:r>
              <w:rPr>
                <w:spacing w:val="1"/>
              </w:rPr>
              <w:t xml:space="preserve"> </w:t>
            </w:r>
            <w:r>
              <w:rPr>
                <w:spacing w:val="-7"/>
              </w:rPr>
              <w:t>从事教学活动的</w:t>
            </w:r>
            <w:r>
              <w:rPr>
                <w:spacing w:val="-19"/>
              </w:rPr>
              <w:t>；（</w:t>
            </w:r>
            <w:r>
              <w:rPr>
                <w:spacing w:val="-7"/>
              </w:rPr>
              <w:t>六）存在索取、收受学员财物或者谋取其他利益等不良行为的</w:t>
            </w:r>
            <w:r>
              <w:rPr>
                <w:spacing w:val="-19"/>
              </w:rPr>
              <w:t>；（</w:t>
            </w:r>
            <w:r>
              <w:rPr>
                <w:spacing w:val="-7"/>
              </w:rPr>
              <w:t>七）未按规定与学员签</w:t>
            </w:r>
            <w:r>
              <w:t xml:space="preserve"> </w:t>
            </w:r>
            <w:r>
              <w:rPr>
                <w:spacing w:val="-7"/>
              </w:rPr>
              <w:t>订培训合同的</w:t>
            </w:r>
            <w:r>
              <w:rPr>
                <w:spacing w:val="-19"/>
              </w:rPr>
              <w:t>；（</w:t>
            </w:r>
            <w:r>
              <w:rPr>
                <w:spacing w:val="-7"/>
              </w:rPr>
              <w:t>八）未按规定开展教练员岗前培训或者再教育的</w:t>
            </w:r>
            <w:r>
              <w:rPr>
                <w:spacing w:val="-19"/>
              </w:rPr>
              <w:t>；（</w:t>
            </w:r>
            <w:r>
              <w:rPr>
                <w:spacing w:val="-7"/>
              </w:rPr>
              <w:t>九）未定期开展教练员教学质量信誉考</w:t>
            </w:r>
            <w:r>
              <w:t xml:space="preserve"> </w:t>
            </w:r>
            <w:r>
              <w:rPr>
                <w:spacing w:val="-8"/>
              </w:rPr>
              <w:t>核或者未公布考核结果的。</w:t>
            </w:r>
          </w:p>
        </w:tc>
        <w:tc>
          <w:tcPr>
            <w:tcW w:w="1011" w:type="dxa"/>
            <w:vAlign w:val="top"/>
          </w:tcPr>
          <w:p w14:paraId="3F5A7CCB">
            <w:pPr>
              <w:spacing w:line="249" w:lineRule="auto"/>
              <w:rPr>
                <w:rFonts w:ascii="Arial"/>
                <w:sz w:val="21"/>
              </w:rPr>
            </w:pPr>
          </w:p>
          <w:p w14:paraId="477B1B3F">
            <w:pPr>
              <w:spacing w:line="249" w:lineRule="auto"/>
              <w:rPr>
                <w:rFonts w:ascii="Arial"/>
                <w:sz w:val="21"/>
              </w:rPr>
            </w:pPr>
          </w:p>
          <w:p w14:paraId="4FEC0EB6">
            <w:pPr>
              <w:spacing w:line="249" w:lineRule="auto"/>
              <w:rPr>
                <w:rFonts w:ascii="Arial"/>
                <w:sz w:val="21"/>
              </w:rPr>
            </w:pPr>
          </w:p>
          <w:p w14:paraId="0F961B06">
            <w:pPr>
              <w:spacing w:line="249" w:lineRule="auto"/>
              <w:rPr>
                <w:rFonts w:ascii="Arial"/>
                <w:sz w:val="21"/>
              </w:rPr>
            </w:pPr>
          </w:p>
          <w:p w14:paraId="562A22C9">
            <w:pPr>
              <w:spacing w:line="249" w:lineRule="auto"/>
              <w:rPr>
                <w:rFonts w:ascii="Arial"/>
                <w:sz w:val="21"/>
              </w:rPr>
            </w:pPr>
          </w:p>
          <w:p w14:paraId="7F4DE26B">
            <w:pPr>
              <w:spacing w:line="249" w:lineRule="auto"/>
              <w:rPr>
                <w:rFonts w:ascii="Arial"/>
                <w:sz w:val="21"/>
              </w:rPr>
            </w:pPr>
          </w:p>
          <w:p w14:paraId="3F07B6CE">
            <w:pPr>
              <w:spacing w:line="249" w:lineRule="auto"/>
              <w:rPr>
                <w:rFonts w:ascii="Arial"/>
                <w:sz w:val="21"/>
              </w:rPr>
            </w:pPr>
          </w:p>
          <w:p w14:paraId="070A33E7">
            <w:pPr>
              <w:spacing w:line="249" w:lineRule="auto"/>
              <w:rPr>
                <w:rFonts w:ascii="Arial"/>
                <w:sz w:val="21"/>
              </w:rPr>
            </w:pPr>
          </w:p>
          <w:p w14:paraId="35ED1B98">
            <w:pPr>
              <w:spacing w:line="249" w:lineRule="auto"/>
              <w:rPr>
                <w:rFonts w:ascii="Arial"/>
                <w:sz w:val="21"/>
              </w:rPr>
            </w:pPr>
          </w:p>
          <w:p w14:paraId="2D965B68">
            <w:pPr>
              <w:spacing w:line="249" w:lineRule="auto"/>
              <w:rPr>
                <w:rFonts w:ascii="Arial"/>
                <w:sz w:val="21"/>
              </w:rPr>
            </w:pPr>
          </w:p>
          <w:p w14:paraId="14232CEA">
            <w:pPr>
              <w:spacing w:line="249" w:lineRule="auto"/>
              <w:rPr>
                <w:rFonts w:ascii="Arial"/>
                <w:sz w:val="21"/>
              </w:rPr>
            </w:pPr>
          </w:p>
          <w:p w14:paraId="2E637050">
            <w:pPr>
              <w:spacing w:line="249" w:lineRule="auto"/>
              <w:rPr>
                <w:rFonts w:ascii="Arial"/>
                <w:sz w:val="21"/>
              </w:rPr>
            </w:pPr>
          </w:p>
          <w:p w14:paraId="54B1A1AA">
            <w:pPr>
              <w:spacing w:line="249" w:lineRule="auto"/>
              <w:rPr>
                <w:rFonts w:ascii="Arial"/>
                <w:sz w:val="21"/>
              </w:rPr>
            </w:pPr>
          </w:p>
          <w:p w14:paraId="15B5D1BE">
            <w:pPr>
              <w:spacing w:line="249" w:lineRule="auto"/>
              <w:rPr>
                <w:rFonts w:ascii="Arial"/>
                <w:sz w:val="21"/>
              </w:rPr>
            </w:pPr>
          </w:p>
          <w:p w14:paraId="561FA05C">
            <w:pPr>
              <w:spacing w:line="250" w:lineRule="auto"/>
              <w:rPr>
                <w:rFonts w:ascii="Arial"/>
                <w:sz w:val="21"/>
              </w:rPr>
            </w:pPr>
          </w:p>
          <w:p w14:paraId="75FD9FB1">
            <w:pPr>
              <w:spacing w:line="250" w:lineRule="auto"/>
              <w:rPr>
                <w:rFonts w:ascii="Arial"/>
                <w:sz w:val="21"/>
              </w:rPr>
            </w:pPr>
          </w:p>
          <w:p w14:paraId="63288CE5">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1C77F435">
            <w:pPr>
              <w:spacing w:line="249" w:lineRule="auto"/>
              <w:rPr>
                <w:rFonts w:ascii="Arial"/>
                <w:sz w:val="21"/>
              </w:rPr>
            </w:pPr>
          </w:p>
          <w:p w14:paraId="0777A889">
            <w:pPr>
              <w:spacing w:line="249" w:lineRule="auto"/>
              <w:rPr>
                <w:rFonts w:ascii="Arial"/>
                <w:sz w:val="21"/>
              </w:rPr>
            </w:pPr>
          </w:p>
          <w:p w14:paraId="4FB1C786">
            <w:pPr>
              <w:spacing w:line="249" w:lineRule="auto"/>
              <w:rPr>
                <w:rFonts w:ascii="Arial"/>
                <w:sz w:val="21"/>
              </w:rPr>
            </w:pPr>
          </w:p>
          <w:p w14:paraId="15DE6F06">
            <w:pPr>
              <w:spacing w:line="249" w:lineRule="auto"/>
              <w:rPr>
                <w:rFonts w:ascii="Arial"/>
                <w:sz w:val="21"/>
              </w:rPr>
            </w:pPr>
          </w:p>
          <w:p w14:paraId="2EFCBC58">
            <w:pPr>
              <w:spacing w:line="249" w:lineRule="auto"/>
              <w:rPr>
                <w:rFonts w:ascii="Arial"/>
                <w:sz w:val="21"/>
              </w:rPr>
            </w:pPr>
          </w:p>
          <w:p w14:paraId="650993E6">
            <w:pPr>
              <w:spacing w:line="249" w:lineRule="auto"/>
              <w:rPr>
                <w:rFonts w:ascii="Arial"/>
                <w:sz w:val="21"/>
              </w:rPr>
            </w:pPr>
          </w:p>
          <w:p w14:paraId="273EDF01">
            <w:pPr>
              <w:spacing w:line="249" w:lineRule="auto"/>
              <w:rPr>
                <w:rFonts w:ascii="Arial"/>
                <w:sz w:val="21"/>
              </w:rPr>
            </w:pPr>
          </w:p>
          <w:p w14:paraId="0320744F">
            <w:pPr>
              <w:spacing w:line="249" w:lineRule="auto"/>
              <w:rPr>
                <w:rFonts w:ascii="Arial"/>
                <w:sz w:val="21"/>
              </w:rPr>
            </w:pPr>
          </w:p>
          <w:p w14:paraId="542F29C7">
            <w:pPr>
              <w:spacing w:line="249" w:lineRule="auto"/>
              <w:rPr>
                <w:rFonts w:ascii="Arial"/>
                <w:sz w:val="21"/>
              </w:rPr>
            </w:pPr>
          </w:p>
          <w:p w14:paraId="7F7ABC75">
            <w:pPr>
              <w:spacing w:line="249" w:lineRule="auto"/>
              <w:rPr>
                <w:rFonts w:ascii="Arial"/>
                <w:sz w:val="21"/>
              </w:rPr>
            </w:pPr>
          </w:p>
          <w:p w14:paraId="7237C048">
            <w:pPr>
              <w:spacing w:line="249" w:lineRule="auto"/>
              <w:rPr>
                <w:rFonts w:ascii="Arial"/>
                <w:sz w:val="21"/>
              </w:rPr>
            </w:pPr>
          </w:p>
          <w:p w14:paraId="28B49CF0">
            <w:pPr>
              <w:spacing w:line="249" w:lineRule="auto"/>
              <w:rPr>
                <w:rFonts w:ascii="Arial"/>
                <w:sz w:val="21"/>
              </w:rPr>
            </w:pPr>
          </w:p>
          <w:p w14:paraId="280F0D3C">
            <w:pPr>
              <w:spacing w:line="249" w:lineRule="auto"/>
              <w:rPr>
                <w:rFonts w:ascii="Arial"/>
                <w:sz w:val="21"/>
              </w:rPr>
            </w:pPr>
          </w:p>
          <w:p w14:paraId="6646527A">
            <w:pPr>
              <w:spacing w:line="250" w:lineRule="auto"/>
              <w:rPr>
                <w:rFonts w:ascii="Arial"/>
                <w:sz w:val="21"/>
              </w:rPr>
            </w:pPr>
          </w:p>
          <w:p w14:paraId="32482C5B">
            <w:pPr>
              <w:spacing w:line="250" w:lineRule="auto"/>
              <w:rPr>
                <w:rFonts w:ascii="Arial"/>
                <w:sz w:val="21"/>
              </w:rPr>
            </w:pPr>
          </w:p>
          <w:p w14:paraId="681563A9">
            <w:pPr>
              <w:spacing w:line="250" w:lineRule="auto"/>
              <w:rPr>
                <w:rFonts w:ascii="Arial"/>
                <w:sz w:val="21"/>
              </w:rPr>
            </w:pPr>
          </w:p>
          <w:p w14:paraId="2063578C">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8468B65">
            <w:pPr>
              <w:spacing w:line="249" w:lineRule="auto"/>
              <w:rPr>
                <w:rFonts w:ascii="Arial"/>
                <w:sz w:val="21"/>
              </w:rPr>
            </w:pPr>
          </w:p>
          <w:p w14:paraId="629C36B9">
            <w:pPr>
              <w:spacing w:line="250" w:lineRule="auto"/>
              <w:rPr>
                <w:rFonts w:ascii="Arial"/>
                <w:sz w:val="21"/>
              </w:rPr>
            </w:pPr>
          </w:p>
          <w:p w14:paraId="6AFDD5CA">
            <w:pPr>
              <w:spacing w:line="250" w:lineRule="auto"/>
              <w:rPr>
                <w:rFonts w:ascii="Arial"/>
                <w:sz w:val="21"/>
              </w:rPr>
            </w:pPr>
          </w:p>
          <w:p w14:paraId="32F31D64">
            <w:pPr>
              <w:spacing w:line="250" w:lineRule="auto"/>
              <w:rPr>
                <w:rFonts w:ascii="Arial"/>
                <w:sz w:val="21"/>
              </w:rPr>
            </w:pPr>
          </w:p>
          <w:p w14:paraId="768C4C4E">
            <w:pPr>
              <w:spacing w:line="250" w:lineRule="auto"/>
              <w:rPr>
                <w:rFonts w:ascii="Arial"/>
                <w:sz w:val="21"/>
              </w:rPr>
            </w:pPr>
          </w:p>
          <w:p w14:paraId="25738F81">
            <w:pPr>
              <w:spacing w:line="250" w:lineRule="auto"/>
              <w:rPr>
                <w:rFonts w:ascii="Arial"/>
                <w:sz w:val="21"/>
              </w:rPr>
            </w:pPr>
          </w:p>
          <w:p w14:paraId="69DE8928">
            <w:pPr>
              <w:spacing w:line="250" w:lineRule="auto"/>
              <w:rPr>
                <w:rFonts w:ascii="Arial"/>
                <w:sz w:val="21"/>
              </w:rPr>
            </w:pPr>
          </w:p>
          <w:p w14:paraId="789559A9">
            <w:pPr>
              <w:spacing w:line="250" w:lineRule="auto"/>
              <w:rPr>
                <w:rFonts w:ascii="Arial"/>
                <w:sz w:val="21"/>
              </w:rPr>
            </w:pPr>
          </w:p>
          <w:p w14:paraId="559E6424">
            <w:pPr>
              <w:spacing w:line="250" w:lineRule="auto"/>
              <w:rPr>
                <w:rFonts w:ascii="Arial"/>
                <w:sz w:val="21"/>
              </w:rPr>
            </w:pPr>
          </w:p>
          <w:p w14:paraId="37C6ACD1">
            <w:pPr>
              <w:spacing w:line="250" w:lineRule="auto"/>
              <w:rPr>
                <w:rFonts w:ascii="Arial"/>
                <w:sz w:val="21"/>
              </w:rPr>
            </w:pPr>
          </w:p>
          <w:p w14:paraId="316548BE">
            <w:pPr>
              <w:spacing w:line="250" w:lineRule="auto"/>
              <w:rPr>
                <w:rFonts w:ascii="Arial"/>
                <w:sz w:val="21"/>
              </w:rPr>
            </w:pPr>
          </w:p>
          <w:p w14:paraId="6EB1A518">
            <w:pPr>
              <w:spacing w:line="250" w:lineRule="auto"/>
              <w:rPr>
                <w:rFonts w:ascii="Arial"/>
                <w:sz w:val="21"/>
              </w:rPr>
            </w:pPr>
          </w:p>
          <w:p w14:paraId="3270E3CC">
            <w:pPr>
              <w:spacing w:line="250" w:lineRule="auto"/>
              <w:rPr>
                <w:rFonts w:ascii="Arial"/>
                <w:sz w:val="21"/>
              </w:rPr>
            </w:pPr>
          </w:p>
          <w:p w14:paraId="7DEDE22B">
            <w:pPr>
              <w:spacing w:line="250" w:lineRule="auto"/>
              <w:rPr>
                <w:rFonts w:ascii="Arial"/>
                <w:sz w:val="21"/>
              </w:rPr>
            </w:pPr>
          </w:p>
          <w:p w14:paraId="74CA2B7B">
            <w:pPr>
              <w:spacing w:line="250" w:lineRule="auto"/>
              <w:rPr>
                <w:rFonts w:ascii="Arial"/>
                <w:sz w:val="21"/>
              </w:rPr>
            </w:pPr>
          </w:p>
          <w:p w14:paraId="6C2C986F">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0D7796E6">
      <w:pPr>
        <w:pStyle w:val="2"/>
      </w:pPr>
    </w:p>
    <w:p w14:paraId="000994F0">
      <w:pPr>
        <w:sectPr>
          <w:footerReference r:id="rId49" w:type="default"/>
          <w:pgSz w:w="16839" w:h="11906"/>
          <w:pgMar w:top="1012" w:right="1016" w:bottom="965" w:left="1016" w:header="0" w:footer="768" w:gutter="0"/>
          <w:cols w:space="720" w:num="1"/>
        </w:sectPr>
      </w:pPr>
    </w:p>
    <w:p w14:paraId="18418EF2">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7DE70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34611A00">
            <w:pPr>
              <w:pStyle w:val="8"/>
              <w:spacing w:before="273" w:line="221" w:lineRule="auto"/>
              <w:ind w:left="129"/>
            </w:pPr>
            <w:r>
              <w:rPr>
                <w:b/>
                <w:bCs/>
                <w:spacing w:val="-4"/>
              </w:rPr>
              <w:t>序号</w:t>
            </w:r>
          </w:p>
        </w:tc>
        <w:tc>
          <w:tcPr>
            <w:tcW w:w="1101" w:type="dxa"/>
            <w:vMerge w:val="restart"/>
            <w:tcBorders>
              <w:bottom w:val="nil"/>
            </w:tcBorders>
            <w:vAlign w:val="top"/>
          </w:tcPr>
          <w:p w14:paraId="45885EA2">
            <w:pPr>
              <w:pStyle w:val="8"/>
              <w:spacing w:before="274" w:line="220" w:lineRule="auto"/>
              <w:ind w:left="182"/>
            </w:pPr>
            <w:r>
              <w:rPr>
                <w:b/>
                <w:bCs/>
                <w:spacing w:val="-4"/>
              </w:rPr>
              <w:t>事项名称</w:t>
            </w:r>
          </w:p>
        </w:tc>
        <w:tc>
          <w:tcPr>
            <w:tcW w:w="1101" w:type="dxa"/>
            <w:vMerge w:val="restart"/>
            <w:tcBorders>
              <w:bottom w:val="nil"/>
            </w:tcBorders>
            <w:vAlign w:val="top"/>
          </w:tcPr>
          <w:p w14:paraId="40F7BDE2">
            <w:pPr>
              <w:pStyle w:val="8"/>
              <w:spacing w:before="274" w:line="219" w:lineRule="auto"/>
              <w:ind w:left="183"/>
            </w:pPr>
            <w:r>
              <w:rPr>
                <w:b/>
                <w:bCs/>
                <w:spacing w:val="-4"/>
              </w:rPr>
              <w:t>职权类型</w:t>
            </w:r>
          </w:p>
        </w:tc>
        <w:tc>
          <w:tcPr>
            <w:tcW w:w="8524" w:type="dxa"/>
            <w:vMerge w:val="restart"/>
            <w:tcBorders>
              <w:bottom w:val="nil"/>
            </w:tcBorders>
            <w:vAlign w:val="top"/>
          </w:tcPr>
          <w:p w14:paraId="43979528">
            <w:pPr>
              <w:pStyle w:val="8"/>
              <w:spacing w:before="273" w:line="219" w:lineRule="auto"/>
              <w:ind w:left="4083"/>
            </w:pPr>
            <w:r>
              <w:rPr>
                <w:b/>
                <w:bCs/>
                <w:spacing w:val="-5"/>
              </w:rPr>
              <w:t>实施依据</w:t>
            </w:r>
          </w:p>
        </w:tc>
        <w:tc>
          <w:tcPr>
            <w:tcW w:w="3435" w:type="dxa"/>
            <w:gridSpan w:val="3"/>
            <w:vAlign w:val="top"/>
          </w:tcPr>
          <w:p w14:paraId="02E2780E">
            <w:pPr>
              <w:pStyle w:val="8"/>
              <w:spacing w:before="94" w:line="220" w:lineRule="auto"/>
              <w:ind w:left="1360"/>
            </w:pPr>
            <w:r>
              <w:rPr>
                <w:b/>
                <w:bCs/>
                <w:spacing w:val="-5"/>
              </w:rPr>
              <w:t>实施主体</w:t>
            </w:r>
          </w:p>
        </w:tc>
      </w:tr>
      <w:tr w14:paraId="0AA99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1AAFDCB3">
            <w:pPr>
              <w:rPr>
                <w:rFonts w:ascii="Arial"/>
                <w:sz w:val="21"/>
              </w:rPr>
            </w:pPr>
          </w:p>
        </w:tc>
        <w:tc>
          <w:tcPr>
            <w:tcW w:w="1101" w:type="dxa"/>
            <w:vMerge w:val="continue"/>
            <w:tcBorders>
              <w:top w:val="nil"/>
            </w:tcBorders>
            <w:vAlign w:val="top"/>
          </w:tcPr>
          <w:p w14:paraId="5EBE726D">
            <w:pPr>
              <w:rPr>
                <w:rFonts w:ascii="Arial"/>
                <w:sz w:val="21"/>
              </w:rPr>
            </w:pPr>
          </w:p>
        </w:tc>
        <w:tc>
          <w:tcPr>
            <w:tcW w:w="1101" w:type="dxa"/>
            <w:vMerge w:val="continue"/>
            <w:tcBorders>
              <w:top w:val="nil"/>
            </w:tcBorders>
            <w:vAlign w:val="top"/>
          </w:tcPr>
          <w:p w14:paraId="783BBD52">
            <w:pPr>
              <w:rPr>
                <w:rFonts w:ascii="Arial"/>
                <w:sz w:val="21"/>
              </w:rPr>
            </w:pPr>
          </w:p>
        </w:tc>
        <w:tc>
          <w:tcPr>
            <w:tcW w:w="8524" w:type="dxa"/>
            <w:vMerge w:val="continue"/>
            <w:tcBorders>
              <w:top w:val="nil"/>
            </w:tcBorders>
            <w:vAlign w:val="top"/>
          </w:tcPr>
          <w:p w14:paraId="60389B59">
            <w:pPr>
              <w:rPr>
                <w:rFonts w:ascii="Arial"/>
                <w:sz w:val="21"/>
              </w:rPr>
            </w:pPr>
          </w:p>
        </w:tc>
        <w:tc>
          <w:tcPr>
            <w:tcW w:w="1011" w:type="dxa"/>
            <w:vAlign w:val="top"/>
          </w:tcPr>
          <w:p w14:paraId="3FFB855B">
            <w:pPr>
              <w:pStyle w:val="8"/>
              <w:spacing w:before="85" w:line="219" w:lineRule="auto"/>
              <w:ind w:left="154"/>
            </w:pPr>
            <w:r>
              <w:rPr>
                <w:b/>
                <w:bCs/>
                <w:spacing w:val="-5"/>
              </w:rPr>
              <w:t>责任部门</w:t>
            </w:r>
          </w:p>
        </w:tc>
        <w:tc>
          <w:tcPr>
            <w:tcW w:w="1404" w:type="dxa"/>
            <w:vAlign w:val="top"/>
          </w:tcPr>
          <w:p w14:paraId="3DDA36D9">
            <w:pPr>
              <w:pStyle w:val="8"/>
              <w:spacing w:before="85" w:line="219" w:lineRule="auto"/>
              <w:ind w:left="164"/>
            </w:pPr>
            <w:r>
              <w:rPr>
                <w:b/>
                <w:bCs/>
                <w:spacing w:val="-3"/>
              </w:rPr>
              <w:t>第一责任层级</w:t>
            </w:r>
          </w:p>
        </w:tc>
        <w:tc>
          <w:tcPr>
            <w:tcW w:w="1020" w:type="dxa"/>
            <w:vAlign w:val="top"/>
          </w:tcPr>
          <w:p w14:paraId="712FA7DD">
            <w:pPr>
              <w:pStyle w:val="8"/>
              <w:spacing w:before="84" w:line="219" w:lineRule="auto"/>
              <w:ind w:left="114"/>
            </w:pPr>
            <w:r>
              <w:rPr>
                <w:b/>
                <w:bCs/>
                <w:spacing w:val="-4"/>
              </w:rPr>
              <w:t>承办机构</w:t>
            </w:r>
          </w:p>
        </w:tc>
      </w:tr>
      <w:tr w14:paraId="133EB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09" w:hRule="atLeast"/>
        </w:trPr>
        <w:tc>
          <w:tcPr>
            <w:tcW w:w="629" w:type="dxa"/>
            <w:vAlign w:val="top"/>
          </w:tcPr>
          <w:p w14:paraId="2CFE4A1A">
            <w:pPr>
              <w:spacing w:line="270" w:lineRule="auto"/>
              <w:rPr>
                <w:rFonts w:ascii="Arial"/>
                <w:sz w:val="21"/>
              </w:rPr>
            </w:pPr>
          </w:p>
          <w:p w14:paraId="29513FE8">
            <w:pPr>
              <w:spacing w:line="270" w:lineRule="auto"/>
              <w:rPr>
                <w:rFonts w:ascii="Arial"/>
                <w:sz w:val="21"/>
              </w:rPr>
            </w:pPr>
          </w:p>
          <w:p w14:paraId="41E2B481">
            <w:pPr>
              <w:spacing w:line="270" w:lineRule="auto"/>
              <w:rPr>
                <w:rFonts w:ascii="Arial"/>
                <w:sz w:val="21"/>
              </w:rPr>
            </w:pPr>
          </w:p>
          <w:p w14:paraId="4FC36BAC">
            <w:pPr>
              <w:spacing w:line="271" w:lineRule="auto"/>
              <w:rPr>
                <w:rFonts w:ascii="Arial"/>
                <w:sz w:val="21"/>
              </w:rPr>
            </w:pPr>
          </w:p>
          <w:p w14:paraId="2F7F1FB9">
            <w:pPr>
              <w:pStyle w:val="8"/>
              <w:spacing w:before="58" w:line="183" w:lineRule="auto"/>
              <w:ind w:left="224"/>
              <w:rPr>
                <w:rFonts w:hint="eastAsia" w:eastAsia="宋体"/>
                <w:lang w:eastAsia="zh-CN"/>
              </w:rPr>
            </w:pPr>
            <w:r>
              <w:rPr>
                <w:spacing w:val="-5"/>
              </w:rPr>
              <w:t>5</w:t>
            </w:r>
            <w:r>
              <w:rPr>
                <w:rFonts w:hint="eastAsia"/>
                <w:spacing w:val="-5"/>
                <w:lang w:val="en-US" w:eastAsia="zh-CN"/>
              </w:rPr>
              <w:t>8</w:t>
            </w:r>
          </w:p>
        </w:tc>
        <w:tc>
          <w:tcPr>
            <w:tcW w:w="1101" w:type="dxa"/>
            <w:vAlign w:val="top"/>
          </w:tcPr>
          <w:p w14:paraId="068F0287">
            <w:pPr>
              <w:spacing w:line="455" w:lineRule="auto"/>
              <w:rPr>
                <w:rFonts w:ascii="Arial"/>
                <w:sz w:val="21"/>
              </w:rPr>
            </w:pPr>
          </w:p>
          <w:p w14:paraId="14DC88FD">
            <w:pPr>
              <w:pStyle w:val="8"/>
              <w:spacing w:before="59" w:line="242" w:lineRule="auto"/>
              <w:ind w:left="19" w:right="20" w:hanging="1"/>
              <w:jc w:val="both"/>
            </w:pPr>
            <w:r>
              <w:rPr>
                <w:spacing w:val="-6"/>
              </w:rPr>
              <w:t>对机动车驾驶</w:t>
            </w:r>
            <w:r>
              <w:rPr>
                <w:spacing w:val="2"/>
              </w:rPr>
              <w:t xml:space="preserve"> </w:t>
            </w:r>
            <w:r>
              <w:rPr>
                <w:spacing w:val="-6"/>
              </w:rPr>
              <w:t>培训教练员未</w:t>
            </w:r>
            <w:r>
              <w:t xml:space="preserve"> </w:t>
            </w:r>
            <w:r>
              <w:rPr>
                <w:spacing w:val="-6"/>
              </w:rPr>
              <w:t>按照全国统一</w:t>
            </w:r>
            <w:r>
              <w:t xml:space="preserve"> </w:t>
            </w:r>
            <w:r>
              <w:rPr>
                <w:spacing w:val="-6"/>
              </w:rPr>
              <w:t>的教学大纲进</w:t>
            </w:r>
            <w:r>
              <w:t xml:space="preserve"> </w:t>
            </w:r>
            <w:r>
              <w:rPr>
                <w:spacing w:val="-6"/>
              </w:rPr>
              <w:t>行教学等行为</w:t>
            </w:r>
            <w:r>
              <w:t xml:space="preserve"> </w:t>
            </w:r>
            <w:r>
              <w:rPr>
                <w:spacing w:val="-7"/>
              </w:rPr>
              <w:t>的行政处罚</w:t>
            </w:r>
          </w:p>
        </w:tc>
        <w:tc>
          <w:tcPr>
            <w:tcW w:w="1101" w:type="dxa"/>
            <w:vAlign w:val="top"/>
          </w:tcPr>
          <w:p w14:paraId="3F45C1F1">
            <w:pPr>
              <w:spacing w:line="263" w:lineRule="auto"/>
              <w:rPr>
                <w:rFonts w:ascii="Arial"/>
                <w:sz w:val="21"/>
              </w:rPr>
            </w:pPr>
          </w:p>
          <w:p w14:paraId="7FF70E20">
            <w:pPr>
              <w:spacing w:line="263" w:lineRule="auto"/>
              <w:rPr>
                <w:rFonts w:ascii="Arial"/>
                <w:sz w:val="21"/>
              </w:rPr>
            </w:pPr>
          </w:p>
          <w:p w14:paraId="0B147A7A">
            <w:pPr>
              <w:spacing w:line="263" w:lineRule="auto"/>
              <w:rPr>
                <w:rFonts w:ascii="Arial"/>
                <w:sz w:val="21"/>
              </w:rPr>
            </w:pPr>
          </w:p>
          <w:p w14:paraId="3233E59F">
            <w:pPr>
              <w:spacing w:line="264" w:lineRule="auto"/>
              <w:rPr>
                <w:rFonts w:ascii="Arial"/>
                <w:sz w:val="21"/>
              </w:rPr>
            </w:pPr>
          </w:p>
          <w:p w14:paraId="458C6232">
            <w:pPr>
              <w:pStyle w:val="8"/>
              <w:spacing w:before="58" w:line="220" w:lineRule="auto"/>
              <w:ind w:left="25"/>
            </w:pPr>
            <w:r>
              <w:rPr>
                <w:spacing w:val="-7"/>
              </w:rPr>
              <w:t>行政处罚</w:t>
            </w:r>
          </w:p>
        </w:tc>
        <w:tc>
          <w:tcPr>
            <w:tcW w:w="8524" w:type="dxa"/>
            <w:vAlign w:val="top"/>
          </w:tcPr>
          <w:p w14:paraId="3DAFE101">
            <w:pPr>
              <w:pStyle w:val="8"/>
              <w:spacing w:before="196" w:line="219" w:lineRule="auto"/>
              <w:ind w:left="451"/>
            </w:pPr>
            <w:r>
              <w:rPr>
                <w:b/>
                <w:bCs/>
                <w:spacing w:val="-8"/>
              </w:rPr>
              <w:t>《机动车驾驶员培训管理规定》(交通运输部令20</w:t>
            </w:r>
            <w:r>
              <w:rPr>
                <w:b/>
                <w:bCs/>
                <w:spacing w:val="-9"/>
              </w:rPr>
              <w:t>22年第32号)</w:t>
            </w:r>
          </w:p>
          <w:p w14:paraId="5CB530C9">
            <w:pPr>
              <w:pStyle w:val="8"/>
              <w:spacing w:before="18" w:line="227" w:lineRule="auto"/>
              <w:ind w:left="102" w:right="157" w:firstLine="342"/>
            </w:pPr>
            <w:r>
              <w:rPr>
                <w:spacing w:val="-8"/>
              </w:rPr>
              <w:t>第二十条</w:t>
            </w:r>
            <w:r>
              <w:rPr>
                <w:spacing w:val="75"/>
              </w:rPr>
              <w:t xml:space="preserve"> </w:t>
            </w:r>
            <w:r>
              <w:rPr>
                <w:spacing w:val="-8"/>
              </w:rPr>
              <w:t>教练员应当按照统一的教学大纲规范施教，并如实填写《教学日志》和《机动车驾驶员培训记</w:t>
            </w:r>
            <w:r>
              <w:t xml:space="preserve"> </w:t>
            </w:r>
            <w:r>
              <w:rPr>
                <w:spacing w:val="-11"/>
              </w:rPr>
              <w:t>录》（以下简称《培训记录》， 式样见附件2）。</w:t>
            </w:r>
          </w:p>
          <w:p w14:paraId="251C76DE">
            <w:pPr>
              <w:pStyle w:val="8"/>
              <w:spacing w:before="15" w:line="219" w:lineRule="auto"/>
              <w:ind w:left="444"/>
            </w:pPr>
            <w:r>
              <w:rPr>
                <w:spacing w:val="-8"/>
              </w:rPr>
              <w:t>在教学过程中，教练员不得将教学车辆交给与教学无关人员驾驶。</w:t>
            </w:r>
          </w:p>
          <w:p w14:paraId="6574FE52">
            <w:pPr>
              <w:pStyle w:val="8"/>
              <w:spacing w:before="16" w:line="233" w:lineRule="auto"/>
              <w:ind w:left="101" w:right="150" w:firstLine="343"/>
            </w:pPr>
            <w:r>
              <w:rPr>
                <w:spacing w:val="-8"/>
              </w:rPr>
              <w:t>第五十一条</w:t>
            </w:r>
            <w:r>
              <w:rPr>
                <w:spacing w:val="74"/>
              </w:rPr>
              <w:t xml:space="preserve"> </w:t>
            </w:r>
            <w:r>
              <w:rPr>
                <w:spacing w:val="-8"/>
              </w:rPr>
              <w:t>违反本规定，教练员有下列情形之一的，由交通运输主管部门责令限期整改；逾期整改不合</w:t>
            </w:r>
            <w:r>
              <w:t xml:space="preserve"> </w:t>
            </w:r>
            <w:r>
              <w:rPr>
                <w:spacing w:val="-7"/>
              </w:rPr>
              <w:t>格的，予以通报批评</w:t>
            </w:r>
            <w:r>
              <w:rPr>
                <w:spacing w:val="-20"/>
              </w:rPr>
              <w:t>：（</w:t>
            </w:r>
            <w:r>
              <w:rPr>
                <w:spacing w:val="-7"/>
              </w:rPr>
              <w:t>一）未按全国统一的教学大纲进行教学的</w:t>
            </w:r>
            <w:r>
              <w:rPr>
                <w:spacing w:val="-20"/>
              </w:rPr>
              <w:t>；（</w:t>
            </w:r>
            <w:r>
              <w:rPr>
                <w:spacing w:val="-7"/>
              </w:rPr>
              <w:t>二）填写《教学日志》《培训记录》弄</w:t>
            </w:r>
            <w:r>
              <w:rPr>
                <w:spacing w:val="3"/>
              </w:rPr>
              <w:t xml:space="preserve"> </w:t>
            </w:r>
            <w:r>
              <w:rPr>
                <w:spacing w:val="-7"/>
              </w:rPr>
              <w:t>虚作假的</w:t>
            </w:r>
            <w:r>
              <w:rPr>
                <w:spacing w:val="-20"/>
              </w:rPr>
              <w:t>；（</w:t>
            </w:r>
            <w:r>
              <w:rPr>
                <w:spacing w:val="-7"/>
              </w:rPr>
              <w:t>三）教学过程中有道路交通安全违法行为或者造成交通事故的</w:t>
            </w:r>
            <w:r>
              <w:rPr>
                <w:spacing w:val="-20"/>
              </w:rPr>
              <w:t>；（</w:t>
            </w:r>
            <w:r>
              <w:rPr>
                <w:spacing w:val="-7"/>
              </w:rPr>
              <w:t>四）存在索取、收受学员财物</w:t>
            </w:r>
            <w:r>
              <w:rPr>
                <w:spacing w:val="3"/>
              </w:rPr>
              <w:t xml:space="preserve"> </w:t>
            </w:r>
            <w:r>
              <w:rPr>
                <w:spacing w:val="-7"/>
              </w:rPr>
              <w:t>或者谋取其他利益等不良行为的</w:t>
            </w:r>
            <w:r>
              <w:rPr>
                <w:spacing w:val="-20"/>
              </w:rPr>
              <w:t>；（</w:t>
            </w:r>
            <w:r>
              <w:rPr>
                <w:spacing w:val="-7"/>
              </w:rPr>
              <w:t>五）未按规定参加岗前培训或者再教育的</w:t>
            </w:r>
            <w:r>
              <w:rPr>
                <w:spacing w:val="-20"/>
              </w:rPr>
              <w:t>；（</w:t>
            </w:r>
            <w:r>
              <w:rPr>
                <w:spacing w:val="-7"/>
              </w:rPr>
              <w:t>六）在教学过程中将教学车</w:t>
            </w:r>
            <w:r>
              <w:rPr>
                <w:spacing w:val="3"/>
              </w:rPr>
              <w:t xml:space="preserve"> </w:t>
            </w:r>
            <w:r>
              <w:rPr>
                <w:spacing w:val="-8"/>
              </w:rPr>
              <w:t>辆交给与教学无关人员驾驶的。</w:t>
            </w:r>
          </w:p>
        </w:tc>
        <w:tc>
          <w:tcPr>
            <w:tcW w:w="1011" w:type="dxa"/>
            <w:vAlign w:val="top"/>
          </w:tcPr>
          <w:p w14:paraId="26212369">
            <w:pPr>
              <w:spacing w:line="311" w:lineRule="auto"/>
              <w:rPr>
                <w:rFonts w:ascii="Arial"/>
                <w:sz w:val="21"/>
              </w:rPr>
            </w:pPr>
          </w:p>
          <w:p w14:paraId="3879DFF5">
            <w:pPr>
              <w:spacing w:line="311" w:lineRule="auto"/>
              <w:rPr>
                <w:rFonts w:ascii="Arial"/>
                <w:sz w:val="21"/>
              </w:rPr>
            </w:pPr>
          </w:p>
          <w:p w14:paraId="6A73E72C">
            <w:pPr>
              <w:spacing w:line="311" w:lineRule="auto"/>
              <w:rPr>
                <w:rFonts w:ascii="Arial"/>
                <w:sz w:val="21"/>
              </w:rPr>
            </w:pPr>
          </w:p>
          <w:p w14:paraId="74B6D1FF">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4DBC7EF5">
            <w:pPr>
              <w:spacing w:line="311" w:lineRule="auto"/>
              <w:rPr>
                <w:rFonts w:ascii="Arial"/>
                <w:sz w:val="21"/>
              </w:rPr>
            </w:pPr>
          </w:p>
          <w:p w14:paraId="6EB87B1D">
            <w:pPr>
              <w:spacing w:line="311" w:lineRule="auto"/>
              <w:rPr>
                <w:rFonts w:ascii="Arial"/>
                <w:sz w:val="21"/>
              </w:rPr>
            </w:pPr>
          </w:p>
          <w:p w14:paraId="641AD99C">
            <w:pPr>
              <w:spacing w:line="311" w:lineRule="auto"/>
              <w:rPr>
                <w:rFonts w:ascii="Arial"/>
                <w:sz w:val="21"/>
              </w:rPr>
            </w:pPr>
          </w:p>
          <w:p w14:paraId="16D462A1">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34607BC2">
            <w:pPr>
              <w:spacing w:line="348" w:lineRule="auto"/>
              <w:rPr>
                <w:rFonts w:ascii="Arial"/>
                <w:sz w:val="21"/>
              </w:rPr>
            </w:pPr>
          </w:p>
          <w:p w14:paraId="68BF27DA">
            <w:pPr>
              <w:spacing w:line="348" w:lineRule="auto"/>
              <w:rPr>
                <w:rFonts w:ascii="Arial"/>
                <w:sz w:val="21"/>
              </w:rPr>
            </w:pPr>
          </w:p>
          <w:p w14:paraId="160299C3">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5F0A9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3" w:hRule="atLeast"/>
        </w:trPr>
        <w:tc>
          <w:tcPr>
            <w:tcW w:w="629" w:type="dxa"/>
            <w:vAlign w:val="top"/>
          </w:tcPr>
          <w:p w14:paraId="073B570E">
            <w:pPr>
              <w:spacing w:line="266" w:lineRule="auto"/>
              <w:rPr>
                <w:rFonts w:ascii="Arial"/>
                <w:sz w:val="21"/>
              </w:rPr>
            </w:pPr>
          </w:p>
          <w:p w14:paraId="17B7E1ED">
            <w:pPr>
              <w:spacing w:line="267" w:lineRule="auto"/>
              <w:rPr>
                <w:rFonts w:ascii="Arial"/>
                <w:sz w:val="21"/>
              </w:rPr>
            </w:pPr>
          </w:p>
          <w:p w14:paraId="66496466">
            <w:pPr>
              <w:spacing w:line="267" w:lineRule="auto"/>
              <w:rPr>
                <w:rFonts w:ascii="Arial"/>
                <w:sz w:val="21"/>
              </w:rPr>
            </w:pPr>
          </w:p>
          <w:p w14:paraId="6F1E5B29">
            <w:pPr>
              <w:spacing w:line="267" w:lineRule="auto"/>
              <w:rPr>
                <w:rFonts w:ascii="Arial"/>
                <w:sz w:val="21"/>
              </w:rPr>
            </w:pPr>
          </w:p>
          <w:p w14:paraId="09A9BA08">
            <w:pPr>
              <w:spacing w:line="267" w:lineRule="auto"/>
              <w:rPr>
                <w:rFonts w:ascii="Arial"/>
                <w:sz w:val="21"/>
              </w:rPr>
            </w:pPr>
          </w:p>
          <w:p w14:paraId="4939F390">
            <w:pPr>
              <w:spacing w:line="267" w:lineRule="auto"/>
              <w:rPr>
                <w:rFonts w:ascii="Arial"/>
                <w:sz w:val="21"/>
              </w:rPr>
            </w:pPr>
          </w:p>
          <w:p w14:paraId="7CAD099F">
            <w:pPr>
              <w:pStyle w:val="8"/>
              <w:spacing w:before="58" w:line="183" w:lineRule="auto"/>
              <w:ind w:left="222"/>
              <w:rPr>
                <w:rFonts w:hint="default" w:eastAsia="宋体"/>
                <w:lang w:val="en-US" w:eastAsia="zh-CN"/>
              </w:rPr>
            </w:pPr>
            <w:r>
              <w:rPr>
                <w:rFonts w:hint="eastAsia"/>
                <w:spacing w:val="-4"/>
                <w:lang w:val="en-US" w:eastAsia="zh-CN"/>
              </w:rPr>
              <w:t>59</w:t>
            </w:r>
          </w:p>
        </w:tc>
        <w:tc>
          <w:tcPr>
            <w:tcW w:w="1101" w:type="dxa"/>
            <w:vAlign w:val="top"/>
          </w:tcPr>
          <w:p w14:paraId="2C7A3323">
            <w:pPr>
              <w:spacing w:line="242" w:lineRule="auto"/>
              <w:rPr>
                <w:rFonts w:ascii="Arial"/>
                <w:sz w:val="21"/>
              </w:rPr>
            </w:pPr>
          </w:p>
          <w:p w14:paraId="35294370">
            <w:pPr>
              <w:spacing w:line="243" w:lineRule="auto"/>
              <w:rPr>
                <w:rFonts w:ascii="Arial"/>
                <w:sz w:val="21"/>
              </w:rPr>
            </w:pPr>
          </w:p>
          <w:p w14:paraId="1C2A0BCC">
            <w:pPr>
              <w:spacing w:line="243" w:lineRule="auto"/>
              <w:rPr>
                <w:rFonts w:ascii="Arial"/>
                <w:sz w:val="21"/>
              </w:rPr>
            </w:pPr>
          </w:p>
          <w:p w14:paraId="06BF8C12">
            <w:pPr>
              <w:spacing w:line="243" w:lineRule="auto"/>
              <w:rPr>
                <w:rFonts w:ascii="Arial"/>
                <w:sz w:val="21"/>
              </w:rPr>
            </w:pPr>
          </w:p>
          <w:p w14:paraId="03E4FA5A">
            <w:pPr>
              <w:spacing w:line="243" w:lineRule="auto"/>
              <w:rPr>
                <w:rFonts w:ascii="Arial"/>
                <w:sz w:val="21"/>
              </w:rPr>
            </w:pPr>
          </w:p>
          <w:p w14:paraId="08BF3223">
            <w:pPr>
              <w:pStyle w:val="8"/>
              <w:spacing w:before="58"/>
              <w:ind w:left="18" w:right="20"/>
              <w:jc w:val="both"/>
            </w:pPr>
            <w:r>
              <w:rPr>
                <w:spacing w:val="-6"/>
              </w:rPr>
              <w:t>对擅自从事巡</w:t>
            </w:r>
            <w:r>
              <w:rPr>
                <w:spacing w:val="2"/>
              </w:rPr>
              <w:t xml:space="preserve"> </w:t>
            </w:r>
            <w:r>
              <w:rPr>
                <w:spacing w:val="-6"/>
              </w:rPr>
              <w:t>游出租汽车经</w:t>
            </w:r>
            <w:r>
              <w:rPr>
                <w:spacing w:val="1"/>
              </w:rPr>
              <w:t xml:space="preserve"> </w:t>
            </w:r>
            <w:r>
              <w:rPr>
                <w:spacing w:val="-6"/>
              </w:rPr>
              <w:t>营活动行为的</w:t>
            </w:r>
            <w:r>
              <w:rPr>
                <w:spacing w:val="1"/>
              </w:rPr>
              <w:t xml:space="preserve"> </w:t>
            </w:r>
            <w:r>
              <w:rPr>
                <w:spacing w:val="-6"/>
              </w:rPr>
              <w:t>行政处罚</w:t>
            </w:r>
          </w:p>
        </w:tc>
        <w:tc>
          <w:tcPr>
            <w:tcW w:w="1101" w:type="dxa"/>
            <w:vAlign w:val="top"/>
          </w:tcPr>
          <w:p w14:paraId="62F585D0">
            <w:pPr>
              <w:spacing w:line="262" w:lineRule="auto"/>
              <w:rPr>
                <w:rFonts w:ascii="Arial"/>
                <w:sz w:val="21"/>
              </w:rPr>
            </w:pPr>
          </w:p>
          <w:p w14:paraId="04C4BD77">
            <w:pPr>
              <w:spacing w:line="262" w:lineRule="auto"/>
              <w:rPr>
                <w:rFonts w:ascii="Arial"/>
                <w:sz w:val="21"/>
              </w:rPr>
            </w:pPr>
          </w:p>
          <w:p w14:paraId="60FB1A4F">
            <w:pPr>
              <w:spacing w:line="262" w:lineRule="auto"/>
              <w:rPr>
                <w:rFonts w:ascii="Arial"/>
                <w:sz w:val="21"/>
              </w:rPr>
            </w:pPr>
          </w:p>
          <w:p w14:paraId="4CC2B76A">
            <w:pPr>
              <w:spacing w:line="262" w:lineRule="auto"/>
              <w:rPr>
                <w:rFonts w:ascii="Arial"/>
                <w:sz w:val="21"/>
              </w:rPr>
            </w:pPr>
          </w:p>
          <w:p w14:paraId="75436B46">
            <w:pPr>
              <w:spacing w:line="262" w:lineRule="auto"/>
              <w:rPr>
                <w:rFonts w:ascii="Arial"/>
                <w:sz w:val="21"/>
              </w:rPr>
            </w:pPr>
          </w:p>
          <w:p w14:paraId="6D501381">
            <w:pPr>
              <w:spacing w:line="263" w:lineRule="auto"/>
              <w:rPr>
                <w:rFonts w:ascii="Arial"/>
                <w:sz w:val="21"/>
              </w:rPr>
            </w:pPr>
          </w:p>
          <w:p w14:paraId="30C1A811">
            <w:pPr>
              <w:pStyle w:val="8"/>
              <w:spacing w:before="58" w:line="220" w:lineRule="auto"/>
              <w:ind w:left="25"/>
            </w:pPr>
            <w:r>
              <w:rPr>
                <w:spacing w:val="-7"/>
              </w:rPr>
              <w:t>行政处罚</w:t>
            </w:r>
          </w:p>
        </w:tc>
        <w:tc>
          <w:tcPr>
            <w:tcW w:w="8524" w:type="dxa"/>
            <w:vAlign w:val="top"/>
          </w:tcPr>
          <w:p w14:paraId="0DC4AECC">
            <w:pPr>
              <w:pStyle w:val="8"/>
              <w:spacing w:before="141" w:line="219" w:lineRule="auto"/>
              <w:ind w:left="458"/>
            </w:pPr>
            <w:r>
              <w:rPr>
                <w:b/>
                <w:bCs/>
                <w:spacing w:val="-8"/>
              </w:rPr>
              <w:t>1.《巡游出租汽车经营服务管理规定》(交通运输部</w:t>
            </w:r>
            <w:r>
              <w:rPr>
                <w:b/>
                <w:bCs/>
                <w:spacing w:val="-9"/>
              </w:rPr>
              <w:t>令2021年第16号)</w:t>
            </w:r>
          </w:p>
          <w:p w14:paraId="2E948967">
            <w:pPr>
              <w:pStyle w:val="8"/>
              <w:spacing w:before="16" w:line="233" w:lineRule="auto"/>
              <w:ind w:left="103" w:right="150" w:firstLine="341"/>
              <w:jc w:val="both"/>
            </w:pPr>
            <w:r>
              <w:rPr>
                <w:spacing w:val="-8"/>
              </w:rPr>
              <w:t>第八条  申请巡游出租汽车经营的，应当根据经营区域向相应的县级以上地方人民政府出租汽车行政主管</w:t>
            </w:r>
            <w:r>
              <w:t xml:space="preserve"> </w:t>
            </w:r>
            <w:r>
              <w:rPr>
                <w:spacing w:val="-7"/>
              </w:rPr>
              <w:t>部门提出申请，并符合下列条件</w:t>
            </w:r>
            <w:r>
              <w:rPr>
                <w:spacing w:val="-22"/>
              </w:rPr>
              <w:t>：（</w:t>
            </w:r>
            <w:r>
              <w:rPr>
                <w:spacing w:val="-7"/>
              </w:rPr>
              <w:t>一）有符合机动车管理</w:t>
            </w:r>
            <w:r>
              <w:rPr>
                <w:spacing w:val="-8"/>
              </w:rPr>
              <w:t>要求并满足以下条件的车辆或者提供保证满足以下</w:t>
            </w:r>
            <w:r>
              <w:rPr>
                <w:spacing w:val="1"/>
              </w:rPr>
              <w:t xml:space="preserve"> </w:t>
            </w:r>
            <w:r>
              <w:rPr>
                <w:spacing w:val="-8"/>
              </w:rPr>
              <w:t>条件的车辆承诺书：1.符合国家、地方规定的巡游出租汽车技术条件；2.有按照第十三条</w:t>
            </w:r>
            <w:r>
              <w:rPr>
                <w:spacing w:val="88"/>
              </w:rPr>
              <w:t xml:space="preserve"> </w:t>
            </w:r>
            <w:r>
              <w:rPr>
                <w:spacing w:val="-8"/>
              </w:rPr>
              <w:t>规定取得的巡游出</w:t>
            </w:r>
            <w:r>
              <w:t xml:space="preserve"> </w:t>
            </w:r>
            <w:r>
              <w:rPr>
                <w:spacing w:val="-7"/>
              </w:rPr>
              <w:t>租汽车车辆经营权。（二）有取得符合要求的从业资格</w:t>
            </w:r>
            <w:r>
              <w:rPr>
                <w:spacing w:val="-8"/>
              </w:rPr>
              <w:t>证件的驾驶人员</w:t>
            </w:r>
            <w:r>
              <w:rPr>
                <w:spacing w:val="-22"/>
              </w:rPr>
              <w:t>；（</w:t>
            </w:r>
            <w:r>
              <w:rPr>
                <w:spacing w:val="-8"/>
              </w:rPr>
              <w:t>三）有健全的经营管理制度、安全</w:t>
            </w:r>
            <w:r>
              <w:rPr>
                <w:spacing w:val="1"/>
              </w:rPr>
              <w:t xml:space="preserve"> </w:t>
            </w:r>
            <w:r>
              <w:rPr>
                <w:spacing w:val="-7"/>
              </w:rPr>
              <w:t>生产管理制度和服务质量保障制度</w:t>
            </w:r>
            <w:r>
              <w:rPr>
                <w:spacing w:val="-20"/>
              </w:rPr>
              <w:t>；（</w:t>
            </w:r>
            <w:r>
              <w:rPr>
                <w:spacing w:val="-7"/>
              </w:rPr>
              <w:t>四）有固定的经营场所和停车场地。</w:t>
            </w:r>
          </w:p>
          <w:p w14:paraId="7E0C6E64">
            <w:pPr>
              <w:pStyle w:val="8"/>
              <w:spacing w:before="13" w:line="231" w:lineRule="auto"/>
              <w:ind w:left="102" w:right="88" w:firstLine="343"/>
              <w:jc w:val="both"/>
            </w:pPr>
            <w:r>
              <w:rPr>
                <w:spacing w:val="-8"/>
              </w:rPr>
              <w:t>第四十五条</w:t>
            </w:r>
            <w:r>
              <w:rPr>
                <w:spacing w:val="74"/>
              </w:rPr>
              <w:t xml:space="preserve"> </w:t>
            </w:r>
            <w:r>
              <w:rPr>
                <w:spacing w:val="-8"/>
              </w:rPr>
              <w:t>违反本规定，未取得巡游出租汽车经营许可，擅自从事巡游出租汽车经营活动的，由县级以</w:t>
            </w:r>
            <w:r>
              <w:t xml:space="preserve"> </w:t>
            </w:r>
            <w:r>
              <w:rPr>
                <w:spacing w:val="-8"/>
              </w:rPr>
              <w:t>上地方人民政府出租汽车行政主管部门责令改正，并处以5000元以上2万元以下罚款。构成犯罪的，</w:t>
            </w:r>
            <w:r>
              <w:rPr>
                <w:spacing w:val="-9"/>
              </w:rPr>
              <w:t>依法追究刑</w:t>
            </w:r>
            <w:r>
              <w:t xml:space="preserve"> </w:t>
            </w:r>
            <w:r>
              <w:rPr>
                <w:spacing w:val="-6"/>
              </w:rPr>
              <w:t>事责任。</w:t>
            </w:r>
          </w:p>
          <w:p w14:paraId="5D40E307">
            <w:pPr>
              <w:pStyle w:val="8"/>
              <w:spacing w:before="16" w:line="219" w:lineRule="auto"/>
              <w:ind w:left="447"/>
            </w:pPr>
            <w:r>
              <w:rPr>
                <w:b/>
                <w:bCs/>
                <w:spacing w:val="-8"/>
              </w:rPr>
              <w:t>2.《小微型客车租赁经营服务管理办法》(交通运输部令2021年第1</w:t>
            </w:r>
            <w:r>
              <w:rPr>
                <w:b/>
                <w:bCs/>
                <w:spacing w:val="-9"/>
              </w:rPr>
              <w:t>7号)</w:t>
            </w:r>
          </w:p>
          <w:p w14:paraId="3B662636">
            <w:pPr>
              <w:pStyle w:val="8"/>
              <w:spacing w:before="15" w:line="232" w:lineRule="auto"/>
              <w:ind w:left="102" w:right="88" w:firstLine="343"/>
              <w:jc w:val="both"/>
            </w:pPr>
            <w:r>
              <w:rPr>
                <w:spacing w:val="-8"/>
              </w:rPr>
              <w:t>第二十五条第二款</w:t>
            </w:r>
            <w:r>
              <w:rPr>
                <w:spacing w:val="78"/>
              </w:rPr>
              <w:t xml:space="preserve"> </w:t>
            </w:r>
            <w:r>
              <w:rPr>
                <w:spacing w:val="-8"/>
              </w:rPr>
              <w:t>小微型客车租赁经营者未取得道路运输经营许可或者出租汽车经营许可，随</w:t>
            </w:r>
            <w:r>
              <w:rPr>
                <w:spacing w:val="-9"/>
              </w:rPr>
              <w:t>车提供驾</w:t>
            </w:r>
            <w:r>
              <w:t xml:space="preserve"> </w:t>
            </w:r>
            <w:r>
              <w:rPr>
                <w:spacing w:val="-8"/>
              </w:rPr>
              <w:t>驶劳务的，按照《中华人民共和国道路运输条例》《巡游出租汽车经营服务管理规定》(交通运输部令2</w:t>
            </w:r>
            <w:r>
              <w:rPr>
                <w:spacing w:val="-9"/>
              </w:rPr>
              <w:t>021年第</w:t>
            </w:r>
            <w:r>
              <w:t xml:space="preserve"> </w:t>
            </w:r>
            <w:r>
              <w:rPr>
                <w:spacing w:val="-7"/>
              </w:rPr>
              <w:t>16号)《网络预约出租汽车经营服务管理</w:t>
            </w:r>
            <w:r>
              <w:rPr>
                <w:spacing w:val="-8"/>
              </w:rPr>
              <w:t>暂行办法》(交通运输部令2022年第42号)中关于从事非法营运的规定进</w:t>
            </w:r>
            <w:r>
              <w:t xml:space="preserve"> </w:t>
            </w:r>
            <w:r>
              <w:rPr>
                <w:spacing w:val="-6"/>
              </w:rPr>
              <w:t>行处罚。</w:t>
            </w:r>
          </w:p>
        </w:tc>
        <w:tc>
          <w:tcPr>
            <w:tcW w:w="1011" w:type="dxa"/>
            <w:vAlign w:val="top"/>
          </w:tcPr>
          <w:p w14:paraId="7DBCA1B2">
            <w:pPr>
              <w:spacing w:line="242" w:lineRule="auto"/>
              <w:rPr>
                <w:rFonts w:ascii="Arial"/>
                <w:sz w:val="21"/>
              </w:rPr>
            </w:pPr>
          </w:p>
          <w:p w14:paraId="74A97E24">
            <w:pPr>
              <w:spacing w:line="242" w:lineRule="auto"/>
              <w:rPr>
                <w:rFonts w:ascii="Arial"/>
                <w:sz w:val="21"/>
              </w:rPr>
            </w:pPr>
          </w:p>
          <w:p w14:paraId="12F52AC2">
            <w:pPr>
              <w:spacing w:line="242" w:lineRule="auto"/>
              <w:rPr>
                <w:rFonts w:ascii="Arial"/>
                <w:sz w:val="21"/>
              </w:rPr>
            </w:pPr>
          </w:p>
          <w:p w14:paraId="3EA06675">
            <w:pPr>
              <w:spacing w:line="242" w:lineRule="auto"/>
              <w:rPr>
                <w:rFonts w:ascii="Arial"/>
                <w:sz w:val="21"/>
              </w:rPr>
            </w:pPr>
          </w:p>
          <w:p w14:paraId="5548DD6A">
            <w:pPr>
              <w:spacing w:line="242" w:lineRule="auto"/>
              <w:rPr>
                <w:rFonts w:ascii="Arial"/>
                <w:sz w:val="21"/>
              </w:rPr>
            </w:pPr>
          </w:p>
          <w:p w14:paraId="1C0B0667">
            <w:pPr>
              <w:spacing w:line="243" w:lineRule="auto"/>
              <w:rPr>
                <w:rFonts w:ascii="Arial"/>
                <w:sz w:val="21"/>
              </w:rPr>
            </w:pPr>
          </w:p>
          <w:p w14:paraId="619E5A30">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257B6CA9">
            <w:pPr>
              <w:spacing w:line="242" w:lineRule="auto"/>
              <w:rPr>
                <w:rFonts w:ascii="Arial"/>
                <w:sz w:val="21"/>
              </w:rPr>
            </w:pPr>
          </w:p>
          <w:p w14:paraId="55DCDA88">
            <w:pPr>
              <w:spacing w:line="242" w:lineRule="auto"/>
              <w:rPr>
                <w:rFonts w:ascii="Arial"/>
                <w:sz w:val="21"/>
              </w:rPr>
            </w:pPr>
          </w:p>
          <w:p w14:paraId="2D0AA929">
            <w:pPr>
              <w:spacing w:line="242" w:lineRule="auto"/>
              <w:rPr>
                <w:rFonts w:ascii="Arial"/>
                <w:sz w:val="21"/>
              </w:rPr>
            </w:pPr>
          </w:p>
          <w:p w14:paraId="7EA23AE1">
            <w:pPr>
              <w:spacing w:line="242" w:lineRule="auto"/>
              <w:rPr>
                <w:rFonts w:ascii="Arial"/>
                <w:sz w:val="21"/>
              </w:rPr>
            </w:pPr>
          </w:p>
          <w:p w14:paraId="62A8D274">
            <w:pPr>
              <w:spacing w:line="242" w:lineRule="auto"/>
              <w:rPr>
                <w:rFonts w:ascii="Arial"/>
                <w:sz w:val="21"/>
              </w:rPr>
            </w:pPr>
          </w:p>
          <w:p w14:paraId="0A5E1810">
            <w:pPr>
              <w:spacing w:line="243" w:lineRule="auto"/>
              <w:rPr>
                <w:rFonts w:ascii="Arial"/>
                <w:sz w:val="21"/>
              </w:rPr>
            </w:pPr>
          </w:p>
          <w:p w14:paraId="76EDB282">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801A4F5">
            <w:pPr>
              <w:spacing w:line="243" w:lineRule="auto"/>
              <w:rPr>
                <w:rFonts w:ascii="Arial"/>
                <w:sz w:val="21"/>
              </w:rPr>
            </w:pPr>
          </w:p>
          <w:p w14:paraId="5C067BE1">
            <w:pPr>
              <w:spacing w:line="243" w:lineRule="auto"/>
              <w:rPr>
                <w:rFonts w:ascii="Arial"/>
                <w:sz w:val="21"/>
              </w:rPr>
            </w:pPr>
          </w:p>
          <w:p w14:paraId="749C3304">
            <w:pPr>
              <w:spacing w:line="243" w:lineRule="auto"/>
              <w:rPr>
                <w:rFonts w:ascii="Arial"/>
                <w:sz w:val="21"/>
              </w:rPr>
            </w:pPr>
          </w:p>
          <w:p w14:paraId="59F88590">
            <w:pPr>
              <w:spacing w:line="243" w:lineRule="auto"/>
              <w:rPr>
                <w:rFonts w:ascii="Arial"/>
                <w:sz w:val="21"/>
              </w:rPr>
            </w:pPr>
          </w:p>
          <w:p w14:paraId="3891A993">
            <w:pPr>
              <w:spacing w:line="244" w:lineRule="auto"/>
              <w:rPr>
                <w:rFonts w:ascii="Arial"/>
                <w:sz w:val="21"/>
              </w:rPr>
            </w:pPr>
          </w:p>
          <w:p w14:paraId="740EDF48">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49729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7" w:hRule="atLeast"/>
        </w:trPr>
        <w:tc>
          <w:tcPr>
            <w:tcW w:w="629" w:type="dxa"/>
            <w:vAlign w:val="top"/>
          </w:tcPr>
          <w:p w14:paraId="1D7584F6">
            <w:pPr>
              <w:spacing w:line="251" w:lineRule="auto"/>
              <w:rPr>
                <w:rFonts w:ascii="Arial"/>
                <w:sz w:val="21"/>
              </w:rPr>
            </w:pPr>
          </w:p>
          <w:p w14:paraId="2B8ED34A">
            <w:pPr>
              <w:spacing w:line="252" w:lineRule="auto"/>
              <w:rPr>
                <w:rFonts w:ascii="Arial"/>
                <w:sz w:val="21"/>
              </w:rPr>
            </w:pPr>
          </w:p>
          <w:p w14:paraId="5B531E8B">
            <w:pPr>
              <w:spacing w:line="252" w:lineRule="auto"/>
              <w:rPr>
                <w:rFonts w:ascii="Arial"/>
                <w:sz w:val="21"/>
              </w:rPr>
            </w:pPr>
          </w:p>
          <w:p w14:paraId="4E409D29">
            <w:pPr>
              <w:spacing w:line="252" w:lineRule="auto"/>
              <w:rPr>
                <w:rFonts w:ascii="Arial"/>
                <w:sz w:val="21"/>
              </w:rPr>
            </w:pPr>
          </w:p>
          <w:p w14:paraId="5EFA1C77">
            <w:pPr>
              <w:spacing w:line="252" w:lineRule="auto"/>
              <w:rPr>
                <w:rFonts w:ascii="Arial"/>
                <w:sz w:val="21"/>
              </w:rPr>
            </w:pPr>
          </w:p>
          <w:p w14:paraId="0FA08E1D">
            <w:pPr>
              <w:pStyle w:val="8"/>
              <w:spacing w:before="59" w:line="184" w:lineRule="auto"/>
              <w:ind w:left="222"/>
              <w:rPr>
                <w:rFonts w:hint="default" w:eastAsia="宋体"/>
                <w:lang w:val="en-US" w:eastAsia="zh-CN"/>
              </w:rPr>
            </w:pPr>
            <w:r>
              <w:rPr>
                <w:rFonts w:hint="eastAsia"/>
                <w:spacing w:val="-4"/>
                <w:lang w:val="en-US" w:eastAsia="zh-CN"/>
              </w:rPr>
              <w:t>60</w:t>
            </w:r>
          </w:p>
        </w:tc>
        <w:tc>
          <w:tcPr>
            <w:tcW w:w="1101" w:type="dxa"/>
            <w:vAlign w:val="top"/>
          </w:tcPr>
          <w:p w14:paraId="2F76649B">
            <w:pPr>
              <w:spacing w:line="318" w:lineRule="auto"/>
              <w:rPr>
                <w:rFonts w:ascii="Arial"/>
                <w:sz w:val="21"/>
              </w:rPr>
            </w:pPr>
          </w:p>
          <w:p w14:paraId="0D493F39">
            <w:pPr>
              <w:spacing w:line="318" w:lineRule="auto"/>
              <w:rPr>
                <w:rFonts w:ascii="Arial"/>
                <w:sz w:val="21"/>
              </w:rPr>
            </w:pPr>
          </w:p>
          <w:p w14:paraId="0C9D2D6B">
            <w:pPr>
              <w:pStyle w:val="8"/>
              <w:spacing w:before="59" w:line="241" w:lineRule="auto"/>
              <w:ind w:left="18" w:right="20"/>
              <w:jc w:val="both"/>
            </w:pPr>
            <w:r>
              <w:rPr>
                <w:spacing w:val="-6"/>
              </w:rPr>
              <w:t>对巡游出租汽</w:t>
            </w:r>
            <w:r>
              <w:rPr>
                <w:spacing w:val="2"/>
              </w:rPr>
              <w:t xml:space="preserve"> </w:t>
            </w:r>
            <w:r>
              <w:rPr>
                <w:spacing w:val="-6"/>
              </w:rPr>
              <w:t>车经营者违反</w:t>
            </w:r>
            <w:r>
              <w:rPr>
                <w:spacing w:val="2"/>
              </w:rPr>
              <w:t xml:space="preserve"> </w:t>
            </w:r>
            <w:r>
              <w:rPr>
                <w:spacing w:val="-6"/>
              </w:rPr>
              <w:t>经营服务管理</w:t>
            </w:r>
            <w:r>
              <w:rPr>
                <w:spacing w:val="2"/>
              </w:rPr>
              <w:t xml:space="preserve"> </w:t>
            </w:r>
            <w:r>
              <w:rPr>
                <w:spacing w:val="-6"/>
              </w:rPr>
              <w:t>规定行为的行</w:t>
            </w:r>
            <w:r>
              <w:rPr>
                <w:spacing w:val="2"/>
              </w:rPr>
              <w:t xml:space="preserve"> </w:t>
            </w:r>
            <w:r>
              <w:rPr>
                <w:spacing w:val="-5"/>
              </w:rPr>
              <w:t>政处罚</w:t>
            </w:r>
          </w:p>
        </w:tc>
        <w:tc>
          <w:tcPr>
            <w:tcW w:w="1101" w:type="dxa"/>
            <w:vAlign w:val="top"/>
          </w:tcPr>
          <w:p w14:paraId="61D0D39D">
            <w:pPr>
              <w:spacing w:line="246" w:lineRule="auto"/>
              <w:rPr>
                <w:rFonts w:ascii="Arial"/>
                <w:sz w:val="21"/>
              </w:rPr>
            </w:pPr>
          </w:p>
          <w:p w14:paraId="1F923560">
            <w:pPr>
              <w:spacing w:line="246" w:lineRule="auto"/>
              <w:rPr>
                <w:rFonts w:ascii="Arial"/>
                <w:sz w:val="21"/>
              </w:rPr>
            </w:pPr>
          </w:p>
          <w:p w14:paraId="03100921">
            <w:pPr>
              <w:spacing w:line="246" w:lineRule="auto"/>
              <w:rPr>
                <w:rFonts w:ascii="Arial"/>
                <w:sz w:val="21"/>
              </w:rPr>
            </w:pPr>
          </w:p>
          <w:p w14:paraId="5362B796">
            <w:pPr>
              <w:spacing w:line="247" w:lineRule="auto"/>
              <w:rPr>
                <w:rFonts w:ascii="Arial"/>
                <w:sz w:val="21"/>
              </w:rPr>
            </w:pPr>
          </w:p>
          <w:p w14:paraId="08CC060F">
            <w:pPr>
              <w:spacing w:line="247" w:lineRule="auto"/>
              <w:rPr>
                <w:rFonts w:ascii="Arial"/>
                <w:sz w:val="21"/>
              </w:rPr>
            </w:pPr>
          </w:p>
          <w:p w14:paraId="4402917E">
            <w:pPr>
              <w:pStyle w:val="8"/>
              <w:spacing w:before="59" w:line="220" w:lineRule="auto"/>
              <w:ind w:left="25"/>
            </w:pPr>
            <w:r>
              <w:rPr>
                <w:spacing w:val="-7"/>
              </w:rPr>
              <w:t>行政处罚</w:t>
            </w:r>
          </w:p>
        </w:tc>
        <w:tc>
          <w:tcPr>
            <w:tcW w:w="8524" w:type="dxa"/>
            <w:vAlign w:val="top"/>
          </w:tcPr>
          <w:p w14:paraId="1FC23D49">
            <w:pPr>
              <w:spacing w:line="277" w:lineRule="auto"/>
              <w:rPr>
                <w:rFonts w:ascii="Arial"/>
                <w:sz w:val="21"/>
              </w:rPr>
            </w:pPr>
          </w:p>
          <w:p w14:paraId="1E051450">
            <w:pPr>
              <w:pStyle w:val="8"/>
              <w:spacing w:before="59" w:line="219" w:lineRule="auto"/>
              <w:ind w:left="451"/>
            </w:pPr>
            <w:r>
              <w:rPr>
                <w:b/>
                <w:bCs/>
                <w:spacing w:val="-8"/>
              </w:rPr>
              <w:t>《巡游出租汽车经营服务管理规定》(交通运输部</w:t>
            </w:r>
            <w:r>
              <w:rPr>
                <w:b/>
                <w:bCs/>
                <w:spacing w:val="-9"/>
              </w:rPr>
              <w:t>令2021年第16号)</w:t>
            </w:r>
          </w:p>
          <w:p w14:paraId="6EB02773">
            <w:pPr>
              <w:pStyle w:val="8"/>
              <w:spacing w:before="25" w:line="233" w:lineRule="auto"/>
              <w:ind w:left="102" w:right="32" w:firstLine="343"/>
            </w:pPr>
            <w:r>
              <w:rPr>
                <w:spacing w:val="-8"/>
              </w:rPr>
              <w:t>第十五条第一款</w:t>
            </w:r>
            <w:r>
              <w:rPr>
                <w:spacing w:val="74"/>
              </w:rPr>
              <w:t xml:space="preserve"> </w:t>
            </w:r>
            <w:r>
              <w:rPr>
                <w:spacing w:val="-8"/>
              </w:rPr>
              <w:t>被许可人应当按照《巡游出租汽车经营行政许可决定书》和经营协议，投入符合规定数</w:t>
            </w:r>
            <w:r>
              <w:t xml:space="preserve">  </w:t>
            </w:r>
            <w:r>
              <w:rPr>
                <w:spacing w:val="-9"/>
              </w:rPr>
              <w:t>量、座位数、类型及等级、技术等级等要求的车辆。原许可机关核实符合要求后，为车辆核发《</w:t>
            </w:r>
            <w:r>
              <w:rPr>
                <w:spacing w:val="-10"/>
              </w:rPr>
              <w:t>道路运输证》。</w:t>
            </w:r>
          </w:p>
          <w:p w14:paraId="46F15F8F">
            <w:pPr>
              <w:pStyle w:val="8"/>
              <w:spacing w:before="26" w:line="233" w:lineRule="auto"/>
              <w:ind w:left="102" w:right="164" w:firstLine="342"/>
            </w:pPr>
            <w:r>
              <w:rPr>
                <w:spacing w:val="-7"/>
              </w:rPr>
              <w:t>第二十一条第（一）项</w:t>
            </w:r>
            <w:r>
              <w:rPr>
                <w:spacing w:val="75"/>
              </w:rPr>
              <w:t xml:space="preserve"> </w:t>
            </w:r>
            <w:r>
              <w:rPr>
                <w:spacing w:val="-7"/>
              </w:rPr>
              <w:t>巡游出租汽车经营者应</w:t>
            </w:r>
            <w:r>
              <w:rPr>
                <w:spacing w:val="-8"/>
              </w:rPr>
              <w:t>当遵守下列规定</w:t>
            </w:r>
            <w:r>
              <w:rPr>
                <w:spacing w:val="-22"/>
              </w:rPr>
              <w:t>：（</w:t>
            </w:r>
            <w:r>
              <w:rPr>
                <w:spacing w:val="-8"/>
              </w:rPr>
              <w:t>一）在许可的经营区域内从事经营活</w:t>
            </w:r>
            <w:r>
              <w:t xml:space="preserve"> </w:t>
            </w:r>
            <w:r>
              <w:rPr>
                <w:spacing w:val="-8"/>
              </w:rPr>
              <w:t>动，超出许可的经营区域的，起讫点一端应当在许可的经营区域内。</w:t>
            </w:r>
          </w:p>
          <w:p w14:paraId="1470E8C8">
            <w:pPr>
              <w:pStyle w:val="8"/>
              <w:spacing w:before="26" w:line="237" w:lineRule="auto"/>
              <w:ind w:left="102" w:right="46" w:firstLine="342"/>
            </w:pPr>
            <w:r>
              <w:rPr>
                <w:spacing w:val="-9"/>
              </w:rPr>
              <w:t>第四十六条</w:t>
            </w:r>
            <w:r>
              <w:rPr>
                <w:spacing w:val="73"/>
              </w:rPr>
              <w:t xml:space="preserve"> </w:t>
            </w:r>
            <w:r>
              <w:rPr>
                <w:spacing w:val="-9"/>
              </w:rPr>
              <w:t>违反本规定，有下列行为之一的，由县级以上地方人民政府出</w:t>
            </w:r>
            <w:r>
              <w:rPr>
                <w:spacing w:val="-10"/>
              </w:rPr>
              <w:t>租汽车行政主管部门责令改正，</w:t>
            </w:r>
            <w:r>
              <w:t xml:space="preserve"> </w:t>
            </w:r>
            <w:r>
              <w:rPr>
                <w:spacing w:val="-7"/>
              </w:rPr>
              <w:t>并处以3000元以上1万元以下罚款。构成犯罪的，依法追究刑事责</w:t>
            </w:r>
            <w:r>
              <w:rPr>
                <w:spacing w:val="-8"/>
              </w:rPr>
              <w:t>任</w:t>
            </w:r>
            <w:r>
              <w:rPr>
                <w:spacing w:val="-27"/>
              </w:rPr>
              <w:t>：（</w:t>
            </w:r>
            <w:r>
              <w:rPr>
                <w:spacing w:val="-8"/>
              </w:rPr>
              <w:t>一）起讫点均不在许可的经营区域从事</w:t>
            </w:r>
            <w:r>
              <w:rPr>
                <w:spacing w:val="1"/>
              </w:rPr>
              <w:t xml:space="preserve"> </w:t>
            </w:r>
            <w:r>
              <w:rPr>
                <w:spacing w:val="-7"/>
              </w:rPr>
              <w:t>巡游出租汽车经营活动的</w:t>
            </w:r>
            <w:r>
              <w:rPr>
                <w:spacing w:val="-18"/>
              </w:rPr>
              <w:t>；（</w:t>
            </w:r>
            <w:r>
              <w:rPr>
                <w:spacing w:val="-7"/>
              </w:rPr>
              <w:t>二）使用未取得道路运输证的车辆，擅自从事巡游出租汽车经营活动的</w:t>
            </w:r>
            <w:r>
              <w:rPr>
                <w:spacing w:val="-18"/>
              </w:rPr>
              <w:t>；（</w:t>
            </w:r>
            <w:r>
              <w:rPr>
                <w:spacing w:val="-7"/>
              </w:rPr>
              <w:t>三）</w:t>
            </w:r>
          </w:p>
          <w:p w14:paraId="7E473C76">
            <w:pPr>
              <w:pStyle w:val="8"/>
              <w:spacing w:before="26" w:line="219" w:lineRule="auto"/>
              <w:ind w:left="102"/>
            </w:pPr>
            <w:r>
              <w:rPr>
                <w:spacing w:val="-8"/>
              </w:rPr>
              <w:t>使用失效、伪造、变造、被注销等无效道路运输证的车辆从事巡游出租汽车经营活动的。</w:t>
            </w:r>
          </w:p>
        </w:tc>
        <w:tc>
          <w:tcPr>
            <w:tcW w:w="1011" w:type="dxa"/>
            <w:vAlign w:val="top"/>
          </w:tcPr>
          <w:p w14:paraId="277893C1">
            <w:pPr>
              <w:spacing w:line="278" w:lineRule="auto"/>
              <w:rPr>
                <w:rFonts w:ascii="Arial"/>
                <w:sz w:val="21"/>
              </w:rPr>
            </w:pPr>
          </w:p>
          <w:p w14:paraId="1DD702F5">
            <w:pPr>
              <w:spacing w:line="278" w:lineRule="auto"/>
              <w:rPr>
                <w:rFonts w:ascii="Arial"/>
                <w:sz w:val="21"/>
              </w:rPr>
            </w:pPr>
          </w:p>
          <w:p w14:paraId="3B06AC86">
            <w:pPr>
              <w:spacing w:line="278" w:lineRule="auto"/>
              <w:rPr>
                <w:rFonts w:ascii="Arial"/>
                <w:sz w:val="21"/>
              </w:rPr>
            </w:pPr>
          </w:p>
          <w:p w14:paraId="6A307341">
            <w:pPr>
              <w:spacing w:line="278" w:lineRule="auto"/>
              <w:rPr>
                <w:rFonts w:ascii="Arial"/>
                <w:sz w:val="21"/>
              </w:rPr>
            </w:pPr>
          </w:p>
          <w:p w14:paraId="3B4AEFC3">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7A9129BE">
            <w:pPr>
              <w:spacing w:line="278" w:lineRule="auto"/>
              <w:rPr>
                <w:rFonts w:ascii="Arial"/>
                <w:sz w:val="21"/>
              </w:rPr>
            </w:pPr>
          </w:p>
          <w:p w14:paraId="04175EF2">
            <w:pPr>
              <w:spacing w:line="278" w:lineRule="auto"/>
              <w:rPr>
                <w:rFonts w:ascii="Arial"/>
                <w:sz w:val="21"/>
              </w:rPr>
            </w:pPr>
          </w:p>
          <w:p w14:paraId="196D9F48">
            <w:pPr>
              <w:spacing w:line="278" w:lineRule="auto"/>
              <w:rPr>
                <w:rFonts w:ascii="Arial"/>
                <w:sz w:val="21"/>
              </w:rPr>
            </w:pPr>
          </w:p>
          <w:p w14:paraId="6C92168D">
            <w:pPr>
              <w:spacing w:line="279" w:lineRule="auto"/>
              <w:rPr>
                <w:rFonts w:ascii="Arial"/>
                <w:sz w:val="21"/>
              </w:rPr>
            </w:pPr>
          </w:p>
          <w:p w14:paraId="7C88C2CB">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E6AEF7B">
            <w:pPr>
              <w:spacing w:line="291" w:lineRule="auto"/>
              <w:rPr>
                <w:rFonts w:ascii="Arial"/>
                <w:sz w:val="21"/>
              </w:rPr>
            </w:pPr>
          </w:p>
          <w:p w14:paraId="49E247B4">
            <w:pPr>
              <w:spacing w:line="292" w:lineRule="auto"/>
              <w:rPr>
                <w:rFonts w:ascii="Arial"/>
                <w:sz w:val="21"/>
              </w:rPr>
            </w:pPr>
          </w:p>
          <w:p w14:paraId="312B1A77">
            <w:pPr>
              <w:spacing w:line="292" w:lineRule="auto"/>
              <w:rPr>
                <w:rFonts w:ascii="Arial"/>
                <w:sz w:val="21"/>
              </w:rPr>
            </w:pPr>
          </w:p>
          <w:p w14:paraId="2C020F44">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5C4A51F5">
      <w:pPr>
        <w:pStyle w:val="2"/>
      </w:pPr>
    </w:p>
    <w:p w14:paraId="61EB3082">
      <w:pPr>
        <w:sectPr>
          <w:footerReference r:id="rId50" w:type="default"/>
          <w:pgSz w:w="16839" w:h="11906"/>
          <w:pgMar w:top="1012" w:right="1016" w:bottom="966" w:left="1016" w:header="0" w:footer="768" w:gutter="0"/>
          <w:cols w:space="720" w:num="1"/>
        </w:sectPr>
      </w:pPr>
    </w:p>
    <w:p w14:paraId="5D36C081">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6A930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3F76D342">
            <w:pPr>
              <w:pStyle w:val="8"/>
              <w:spacing w:before="273" w:line="221" w:lineRule="auto"/>
              <w:ind w:left="129"/>
            </w:pPr>
            <w:r>
              <w:rPr>
                <w:b/>
                <w:bCs/>
                <w:spacing w:val="-4"/>
              </w:rPr>
              <w:t>序号</w:t>
            </w:r>
          </w:p>
        </w:tc>
        <w:tc>
          <w:tcPr>
            <w:tcW w:w="1101" w:type="dxa"/>
            <w:vMerge w:val="restart"/>
            <w:tcBorders>
              <w:bottom w:val="nil"/>
            </w:tcBorders>
            <w:vAlign w:val="top"/>
          </w:tcPr>
          <w:p w14:paraId="15DB7F4E">
            <w:pPr>
              <w:pStyle w:val="8"/>
              <w:spacing w:before="274" w:line="220" w:lineRule="auto"/>
              <w:ind w:left="182"/>
            </w:pPr>
            <w:r>
              <w:rPr>
                <w:b/>
                <w:bCs/>
                <w:spacing w:val="-4"/>
              </w:rPr>
              <w:t>事项名称</w:t>
            </w:r>
          </w:p>
        </w:tc>
        <w:tc>
          <w:tcPr>
            <w:tcW w:w="1101" w:type="dxa"/>
            <w:vMerge w:val="restart"/>
            <w:tcBorders>
              <w:bottom w:val="nil"/>
            </w:tcBorders>
            <w:vAlign w:val="top"/>
          </w:tcPr>
          <w:p w14:paraId="5B7F7F6A">
            <w:pPr>
              <w:pStyle w:val="8"/>
              <w:spacing w:before="274" w:line="219" w:lineRule="auto"/>
              <w:ind w:left="183"/>
            </w:pPr>
            <w:r>
              <w:rPr>
                <w:b/>
                <w:bCs/>
                <w:spacing w:val="-4"/>
              </w:rPr>
              <w:t>职权类型</w:t>
            </w:r>
          </w:p>
        </w:tc>
        <w:tc>
          <w:tcPr>
            <w:tcW w:w="8524" w:type="dxa"/>
            <w:vMerge w:val="restart"/>
            <w:tcBorders>
              <w:bottom w:val="nil"/>
            </w:tcBorders>
            <w:vAlign w:val="top"/>
          </w:tcPr>
          <w:p w14:paraId="54D2E676">
            <w:pPr>
              <w:pStyle w:val="8"/>
              <w:spacing w:before="273" w:line="219" w:lineRule="auto"/>
              <w:ind w:left="4083"/>
            </w:pPr>
            <w:r>
              <w:rPr>
                <w:b/>
                <w:bCs/>
                <w:spacing w:val="-5"/>
              </w:rPr>
              <w:t>实施依据</w:t>
            </w:r>
          </w:p>
        </w:tc>
        <w:tc>
          <w:tcPr>
            <w:tcW w:w="3435" w:type="dxa"/>
            <w:gridSpan w:val="3"/>
            <w:vAlign w:val="top"/>
          </w:tcPr>
          <w:p w14:paraId="7EF9EE9C">
            <w:pPr>
              <w:pStyle w:val="8"/>
              <w:spacing w:before="94" w:line="220" w:lineRule="auto"/>
              <w:ind w:left="1360"/>
            </w:pPr>
            <w:r>
              <w:rPr>
                <w:b/>
                <w:bCs/>
                <w:spacing w:val="-5"/>
              </w:rPr>
              <w:t>实施主体</w:t>
            </w:r>
          </w:p>
        </w:tc>
      </w:tr>
      <w:tr w14:paraId="1995C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3D3D7F9">
            <w:pPr>
              <w:rPr>
                <w:rFonts w:ascii="Arial"/>
                <w:sz w:val="21"/>
              </w:rPr>
            </w:pPr>
          </w:p>
        </w:tc>
        <w:tc>
          <w:tcPr>
            <w:tcW w:w="1101" w:type="dxa"/>
            <w:vMerge w:val="continue"/>
            <w:tcBorders>
              <w:top w:val="nil"/>
            </w:tcBorders>
            <w:vAlign w:val="top"/>
          </w:tcPr>
          <w:p w14:paraId="7414CC91">
            <w:pPr>
              <w:rPr>
                <w:rFonts w:ascii="Arial"/>
                <w:sz w:val="21"/>
              </w:rPr>
            </w:pPr>
          </w:p>
        </w:tc>
        <w:tc>
          <w:tcPr>
            <w:tcW w:w="1101" w:type="dxa"/>
            <w:vMerge w:val="continue"/>
            <w:tcBorders>
              <w:top w:val="nil"/>
            </w:tcBorders>
            <w:vAlign w:val="top"/>
          </w:tcPr>
          <w:p w14:paraId="4145C2BC">
            <w:pPr>
              <w:rPr>
                <w:rFonts w:ascii="Arial"/>
                <w:sz w:val="21"/>
              </w:rPr>
            </w:pPr>
          </w:p>
        </w:tc>
        <w:tc>
          <w:tcPr>
            <w:tcW w:w="8524" w:type="dxa"/>
            <w:vMerge w:val="continue"/>
            <w:tcBorders>
              <w:top w:val="nil"/>
            </w:tcBorders>
            <w:vAlign w:val="top"/>
          </w:tcPr>
          <w:p w14:paraId="021CBE78">
            <w:pPr>
              <w:rPr>
                <w:rFonts w:ascii="Arial"/>
                <w:sz w:val="21"/>
              </w:rPr>
            </w:pPr>
          </w:p>
        </w:tc>
        <w:tc>
          <w:tcPr>
            <w:tcW w:w="1011" w:type="dxa"/>
            <w:vAlign w:val="top"/>
          </w:tcPr>
          <w:p w14:paraId="2DC64512">
            <w:pPr>
              <w:pStyle w:val="8"/>
              <w:spacing w:before="85" w:line="219" w:lineRule="auto"/>
              <w:ind w:left="154"/>
            </w:pPr>
            <w:r>
              <w:rPr>
                <w:b/>
                <w:bCs/>
                <w:spacing w:val="-5"/>
              </w:rPr>
              <w:t>责任部门</w:t>
            </w:r>
          </w:p>
        </w:tc>
        <w:tc>
          <w:tcPr>
            <w:tcW w:w="1404" w:type="dxa"/>
            <w:vAlign w:val="top"/>
          </w:tcPr>
          <w:p w14:paraId="3453BAE3">
            <w:pPr>
              <w:pStyle w:val="8"/>
              <w:spacing w:before="85" w:line="219" w:lineRule="auto"/>
              <w:ind w:left="164"/>
            </w:pPr>
            <w:r>
              <w:rPr>
                <w:b/>
                <w:bCs/>
                <w:spacing w:val="-3"/>
              </w:rPr>
              <w:t>第一责任层级</w:t>
            </w:r>
          </w:p>
        </w:tc>
        <w:tc>
          <w:tcPr>
            <w:tcW w:w="1020" w:type="dxa"/>
            <w:vAlign w:val="top"/>
          </w:tcPr>
          <w:p w14:paraId="2C0BDC89">
            <w:pPr>
              <w:pStyle w:val="8"/>
              <w:spacing w:before="84" w:line="219" w:lineRule="auto"/>
              <w:ind w:left="114"/>
            </w:pPr>
            <w:r>
              <w:rPr>
                <w:b/>
                <w:bCs/>
                <w:spacing w:val="-4"/>
              </w:rPr>
              <w:t>承办机构</w:t>
            </w:r>
          </w:p>
        </w:tc>
      </w:tr>
      <w:tr w14:paraId="4A561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2" w:hRule="atLeast"/>
        </w:trPr>
        <w:tc>
          <w:tcPr>
            <w:tcW w:w="629" w:type="dxa"/>
            <w:vAlign w:val="top"/>
          </w:tcPr>
          <w:p w14:paraId="419CBAA1">
            <w:pPr>
              <w:spacing w:line="251" w:lineRule="auto"/>
              <w:rPr>
                <w:rFonts w:ascii="Arial"/>
                <w:sz w:val="21"/>
              </w:rPr>
            </w:pPr>
          </w:p>
          <w:p w14:paraId="5943D844">
            <w:pPr>
              <w:spacing w:line="251" w:lineRule="auto"/>
              <w:rPr>
                <w:rFonts w:ascii="Arial"/>
                <w:sz w:val="21"/>
              </w:rPr>
            </w:pPr>
          </w:p>
          <w:p w14:paraId="1FC0E2B9">
            <w:pPr>
              <w:spacing w:line="251" w:lineRule="auto"/>
              <w:rPr>
                <w:rFonts w:ascii="Arial"/>
                <w:sz w:val="21"/>
              </w:rPr>
            </w:pPr>
          </w:p>
          <w:p w14:paraId="5A110E44">
            <w:pPr>
              <w:spacing w:line="251" w:lineRule="auto"/>
              <w:rPr>
                <w:rFonts w:ascii="Arial"/>
                <w:sz w:val="21"/>
              </w:rPr>
            </w:pPr>
          </w:p>
          <w:p w14:paraId="5C098DFD">
            <w:pPr>
              <w:spacing w:line="251" w:lineRule="auto"/>
              <w:rPr>
                <w:rFonts w:ascii="Arial"/>
                <w:sz w:val="21"/>
              </w:rPr>
            </w:pPr>
          </w:p>
          <w:p w14:paraId="7936F83C">
            <w:pPr>
              <w:spacing w:line="251" w:lineRule="auto"/>
              <w:rPr>
                <w:rFonts w:ascii="Arial"/>
                <w:sz w:val="21"/>
              </w:rPr>
            </w:pPr>
          </w:p>
          <w:p w14:paraId="49243E7F">
            <w:pPr>
              <w:pStyle w:val="8"/>
              <w:spacing w:before="58" w:line="183" w:lineRule="auto"/>
              <w:ind w:left="222"/>
              <w:rPr>
                <w:rFonts w:hint="eastAsia" w:eastAsia="宋体"/>
                <w:lang w:eastAsia="zh-CN"/>
              </w:rPr>
            </w:pPr>
            <w:r>
              <w:rPr>
                <w:spacing w:val="-4"/>
              </w:rPr>
              <w:t>6</w:t>
            </w:r>
            <w:r>
              <w:rPr>
                <w:rFonts w:hint="eastAsia"/>
                <w:spacing w:val="-4"/>
                <w:lang w:val="en-US" w:eastAsia="zh-CN"/>
              </w:rPr>
              <w:t>1</w:t>
            </w:r>
          </w:p>
        </w:tc>
        <w:tc>
          <w:tcPr>
            <w:tcW w:w="1101" w:type="dxa"/>
            <w:vAlign w:val="top"/>
          </w:tcPr>
          <w:p w14:paraId="5DAB377D">
            <w:pPr>
              <w:spacing w:line="250" w:lineRule="auto"/>
              <w:rPr>
                <w:rFonts w:ascii="Arial"/>
                <w:sz w:val="21"/>
              </w:rPr>
            </w:pPr>
          </w:p>
          <w:p w14:paraId="6C41CE18">
            <w:pPr>
              <w:spacing w:line="250" w:lineRule="auto"/>
              <w:rPr>
                <w:rFonts w:ascii="Arial"/>
                <w:sz w:val="21"/>
              </w:rPr>
            </w:pPr>
          </w:p>
          <w:p w14:paraId="6018693D">
            <w:pPr>
              <w:spacing w:line="250" w:lineRule="auto"/>
              <w:rPr>
                <w:rFonts w:ascii="Arial"/>
                <w:sz w:val="21"/>
              </w:rPr>
            </w:pPr>
          </w:p>
          <w:p w14:paraId="650421BC">
            <w:pPr>
              <w:spacing w:line="251" w:lineRule="auto"/>
              <w:rPr>
                <w:rFonts w:ascii="Arial"/>
                <w:sz w:val="21"/>
              </w:rPr>
            </w:pPr>
          </w:p>
          <w:p w14:paraId="565B6793">
            <w:pPr>
              <w:pStyle w:val="8"/>
              <w:spacing w:before="58" w:line="241" w:lineRule="auto"/>
              <w:ind w:left="18" w:right="20"/>
              <w:jc w:val="both"/>
            </w:pPr>
            <w:r>
              <w:rPr>
                <w:spacing w:val="-6"/>
              </w:rPr>
              <w:t>对巡游出租汽</w:t>
            </w:r>
            <w:r>
              <w:rPr>
                <w:spacing w:val="2"/>
              </w:rPr>
              <w:t xml:space="preserve"> </w:t>
            </w:r>
            <w:r>
              <w:rPr>
                <w:spacing w:val="-6"/>
              </w:rPr>
              <w:t>车经营者违反</w:t>
            </w:r>
            <w:r>
              <w:rPr>
                <w:spacing w:val="2"/>
              </w:rPr>
              <w:t xml:space="preserve"> </w:t>
            </w:r>
            <w:r>
              <w:rPr>
                <w:spacing w:val="-6"/>
              </w:rPr>
              <w:t>经营服务管理</w:t>
            </w:r>
            <w:r>
              <w:rPr>
                <w:spacing w:val="2"/>
              </w:rPr>
              <w:t xml:space="preserve"> </w:t>
            </w:r>
            <w:r>
              <w:rPr>
                <w:spacing w:val="-6"/>
              </w:rPr>
              <w:t>规定行为的行</w:t>
            </w:r>
            <w:r>
              <w:rPr>
                <w:spacing w:val="2"/>
              </w:rPr>
              <w:t xml:space="preserve"> </w:t>
            </w:r>
            <w:r>
              <w:rPr>
                <w:spacing w:val="-5"/>
              </w:rPr>
              <w:t>政处罚</w:t>
            </w:r>
          </w:p>
        </w:tc>
        <w:tc>
          <w:tcPr>
            <w:tcW w:w="1101" w:type="dxa"/>
            <w:vAlign w:val="top"/>
          </w:tcPr>
          <w:p w14:paraId="11F2979A">
            <w:pPr>
              <w:spacing w:line="246" w:lineRule="auto"/>
              <w:rPr>
                <w:rFonts w:ascii="Arial"/>
                <w:sz w:val="21"/>
              </w:rPr>
            </w:pPr>
          </w:p>
          <w:p w14:paraId="6A8C05CC">
            <w:pPr>
              <w:spacing w:line="246" w:lineRule="auto"/>
              <w:rPr>
                <w:rFonts w:ascii="Arial"/>
                <w:sz w:val="21"/>
              </w:rPr>
            </w:pPr>
          </w:p>
          <w:p w14:paraId="6529B1D9">
            <w:pPr>
              <w:spacing w:line="246" w:lineRule="auto"/>
              <w:rPr>
                <w:rFonts w:ascii="Arial"/>
                <w:sz w:val="21"/>
              </w:rPr>
            </w:pPr>
          </w:p>
          <w:p w14:paraId="3C820D41">
            <w:pPr>
              <w:spacing w:line="246" w:lineRule="auto"/>
              <w:rPr>
                <w:rFonts w:ascii="Arial"/>
                <w:sz w:val="21"/>
              </w:rPr>
            </w:pPr>
          </w:p>
          <w:p w14:paraId="39E9B742">
            <w:pPr>
              <w:spacing w:line="246" w:lineRule="auto"/>
              <w:rPr>
                <w:rFonts w:ascii="Arial"/>
                <w:sz w:val="21"/>
              </w:rPr>
            </w:pPr>
          </w:p>
          <w:p w14:paraId="12CCEDF5">
            <w:pPr>
              <w:spacing w:line="247" w:lineRule="auto"/>
              <w:rPr>
                <w:rFonts w:ascii="Arial"/>
                <w:sz w:val="21"/>
              </w:rPr>
            </w:pPr>
          </w:p>
          <w:p w14:paraId="0FB00FFE">
            <w:pPr>
              <w:pStyle w:val="8"/>
              <w:spacing w:before="59" w:line="220" w:lineRule="auto"/>
              <w:ind w:left="25"/>
            </w:pPr>
            <w:r>
              <w:rPr>
                <w:spacing w:val="-7"/>
              </w:rPr>
              <w:t>行政处罚</w:t>
            </w:r>
          </w:p>
        </w:tc>
        <w:tc>
          <w:tcPr>
            <w:tcW w:w="8524" w:type="dxa"/>
            <w:vAlign w:val="top"/>
          </w:tcPr>
          <w:p w14:paraId="3FBC840A">
            <w:pPr>
              <w:pStyle w:val="8"/>
              <w:spacing w:before="225" w:line="219" w:lineRule="auto"/>
              <w:ind w:left="451"/>
            </w:pPr>
            <w:r>
              <w:rPr>
                <w:b/>
                <w:bCs/>
                <w:spacing w:val="-8"/>
              </w:rPr>
              <w:t>《巡游出租汽车经营服务管理规定》(交通运输部</w:t>
            </w:r>
            <w:r>
              <w:rPr>
                <w:b/>
                <w:bCs/>
                <w:spacing w:val="-9"/>
              </w:rPr>
              <w:t>令2021年第16号)</w:t>
            </w:r>
          </w:p>
          <w:p w14:paraId="7CA0ED4D">
            <w:pPr>
              <w:pStyle w:val="8"/>
              <w:spacing w:before="27" w:line="237" w:lineRule="auto"/>
              <w:ind w:left="103" w:right="150" w:firstLine="341"/>
            </w:pPr>
            <w:r>
              <w:rPr>
                <w:spacing w:val="-8"/>
              </w:rPr>
              <w:t>第十八条</w:t>
            </w:r>
            <w:r>
              <w:rPr>
                <w:spacing w:val="74"/>
              </w:rPr>
              <w:t xml:space="preserve"> </w:t>
            </w:r>
            <w:r>
              <w:rPr>
                <w:spacing w:val="-8"/>
              </w:rPr>
              <w:t>巡游出租汽车经营者在车辆经营权期限内，不得擅自暂停或者终止经营。需要变更许可事项或</w:t>
            </w:r>
            <w:r>
              <w:t xml:space="preserve"> </w:t>
            </w:r>
            <w:r>
              <w:rPr>
                <w:spacing w:val="-8"/>
              </w:rPr>
              <w:t>者暂停、终止经营的，应当提前30日向原许可机关提出申请，依法办理相关手续。巡游出租汽车经营者终止经</w:t>
            </w:r>
            <w:r>
              <w:rPr>
                <w:spacing w:val="5"/>
              </w:rPr>
              <w:t xml:space="preserve"> </w:t>
            </w:r>
            <w:r>
              <w:rPr>
                <w:spacing w:val="-8"/>
              </w:rPr>
              <w:t>营的，应当将相关的《道路运输经营许可证》和《道路运输证》等交回原许可机关。</w:t>
            </w:r>
          </w:p>
          <w:p w14:paraId="70C2A7C4">
            <w:pPr>
              <w:pStyle w:val="8"/>
              <w:spacing w:before="25" w:line="233" w:lineRule="auto"/>
              <w:ind w:left="105" w:right="149" w:firstLine="340"/>
            </w:pPr>
            <w:r>
              <w:rPr>
                <w:spacing w:val="-7"/>
              </w:rPr>
              <w:t>巡游出租汽车经营者取得经营许可后无正当理由超过1</w:t>
            </w:r>
            <w:r>
              <w:rPr>
                <w:spacing w:val="-8"/>
              </w:rPr>
              <w:t>80天不投入符合要求的车辆运营或者运营后连续180</w:t>
            </w:r>
            <w:r>
              <w:t xml:space="preserve"> </w:t>
            </w:r>
            <w:r>
              <w:rPr>
                <w:spacing w:val="-8"/>
              </w:rPr>
              <w:t>天以上停运的，视为自动终止经营，由原许可机关收回相应的巡游出租汽车车辆经营权。</w:t>
            </w:r>
          </w:p>
          <w:p w14:paraId="26392EAA">
            <w:pPr>
              <w:pStyle w:val="8"/>
              <w:spacing w:before="26" w:line="219" w:lineRule="auto"/>
              <w:ind w:left="446"/>
            </w:pPr>
            <w:r>
              <w:rPr>
                <w:spacing w:val="-8"/>
              </w:rPr>
              <w:t>巡游出租汽车经营者合并、分立或者变更经营主体名称的，应当到原许可机关办理变更许可手续。</w:t>
            </w:r>
          </w:p>
          <w:p w14:paraId="352C73DD">
            <w:pPr>
              <w:pStyle w:val="8"/>
              <w:spacing w:before="25" w:line="241" w:lineRule="auto"/>
              <w:ind w:left="101" w:right="95" w:firstLine="343"/>
            </w:pPr>
            <w:r>
              <w:rPr>
                <w:spacing w:val="-8"/>
              </w:rPr>
              <w:t>第四十七条</w:t>
            </w:r>
            <w:r>
              <w:rPr>
                <w:spacing w:val="74"/>
              </w:rPr>
              <w:t xml:space="preserve"> </w:t>
            </w:r>
            <w:r>
              <w:rPr>
                <w:spacing w:val="-8"/>
              </w:rPr>
              <w:t>巡游出租汽车经营者违反本规定，有下列行为之一的，由县级以上地方人民政府出租汽车行</w:t>
            </w:r>
            <w:r>
              <w:t xml:space="preserve"> </w:t>
            </w:r>
            <w:r>
              <w:rPr>
                <w:spacing w:val="-8"/>
              </w:rPr>
              <w:t>政主管部门责令改正，并处以5000元以上1万元以下罚款。构成犯罪的，依法追究刑事责任</w:t>
            </w:r>
            <w:r>
              <w:rPr>
                <w:spacing w:val="-14"/>
              </w:rPr>
              <w:t>：（</w:t>
            </w:r>
            <w:r>
              <w:rPr>
                <w:spacing w:val="-8"/>
              </w:rPr>
              <w:t>一）擅自暂停、</w:t>
            </w:r>
            <w:r>
              <w:rPr>
                <w:spacing w:val="1"/>
              </w:rPr>
              <w:t xml:space="preserve"> </w:t>
            </w:r>
            <w:r>
              <w:rPr>
                <w:spacing w:val="-7"/>
              </w:rPr>
              <w:t>终止全部或者部分巡游出租汽车经营的</w:t>
            </w:r>
            <w:r>
              <w:rPr>
                <w:spacing w:val="-20"/>
              </w:rPr>
              <w:t>；（</w:t>
            </w:r>
            <w:r>
              <w:rPr>
                <w:spacing w:val="-7"/>
              </w:rPr>
              <w:t>二）出租或者擅自转让巡游出租汽车车辆经营权的</w:t>
            </w:r>
            <w:r>
              <w:rPr>
                <w:spacing w:val="-20"/>
              </w:rPr>
              <w:t>；（</w:t>
            </w:r>
            <w:r>
              <w:rPr>
                <w:spacing w:val="-7"/>
              </w:rPr>
              <w:t>三）巡游出</w:t>
            </w:r>
            <w:r>
              <w:rPr>
                <w:spacing w:val="3"/>
              </w:rPr>
              <w:t xml:space="preserve"> </w:t>
            </w:r>
            <w:r>
              <w:rPr>
                <w:spacing w:val="-7"/>
              </w:rPr>
              <w:t>租汽车驾驶员转包经营未及时纠正的</w:t>
            </w:r>
            <w:r>
              <w:rPr>
                <w:spacing w:val="-20"/>
              </w:rPr>
              <w:t>；（</w:t>
            </w:r>
            <w:r>
              <w:rPr>
                <w:spacing w:val="-7"/>
              </w:rPr>
              <w:t>四）不按照规定保证车辆技术状况良好的</w:t>
            </w:r>
            <w:r>
              <w:rPr>
                <w:spacing w:val="-20"/>
              </w:rPr>
              <w:t>；（</w:t>
            </w:r>
            <w:r>
              <w:rPr>
                <w:spacing w:val="-7"/>
              </w:rPr>
              <w:t>五）不按照规定配置巡</w:t>
            </w:r>
            <w:r>
              <w:rPr>
                <w:spacing w:val="3"/>
              </w:rPr>
              <w:t xml:space="preserve"> </w:t>
            </w:r>
            <w:r>
              <w:rPr>
                <w:spacing w:val="-7"/>
              </w:rPr>
              <w:t>游出租汽车相关设备的</w:t>
            </w:r>
            <w:r>
              <w:rPr>
                <w:spacing w:val="-19"/>
              </w:rPr>
              <w:t>；（</w:t>
            </w:r>
            <w:r>
              <w:rPr>
                <w:spacing w:val="-7"/>
              </w:rPr>
              <w:t>六）不按照规定建立并落实投诉举报制度的。</w:t>
            </w:r>
          </w:p>
        </w:tc>
        <w:tc>
          <w:tcPr>
            <w:tcW w:w="1011" w:type="dxa"/>
            <w:vAlign w:val="top"/>
          </w:tcPr>
          <w:p w14:paraId="7FA3506E">
            <w:pPr>
              <w:spacing w:line="271" w:lineRule="auto"/>
              <w:rPr>
                <w:rFonts w:ascii="Arial"/>
                <w:sz w:val="21"/>
              </w:rPr>
            </w:pPr>
          </w:p>
          <w:p w14:paraId="3EB22148">
            <w:pPr>
              <w:spacing w:line="271" w:lineRule="auto"/>
              <w:rPr>
                <w:rFonts w:ascii="Arial"/>
                <w:sz w:val="21"/>
              </w:rPr>
            </w:pPr>
          </w:p>
          <w:p w14:paraId="56A44596">
            <w:pPr>
              <w:spacing w:line="272" w:lineRule="auto"/>
              <w:rPr>
                <w:rFonts w:ascii="Arial"/>
                <w:sz w:val="21"/>
              </w:rPr>
            </w:pPr>
          </w:p>
          <w:p w14:paraId="1968D16A">
            <w:pPr>
              <w:spacing w:line="272" w:lineRule="auto"/>
              <w:rPr>
                <w:rFonts w:ascii="Arial"/>
                <w:sz w:val="21"/>
              </w:rPr>
            </w:pPr>
          </w:p>
          <w:p w14:paraId="18383E28">
            <w:pPr>
              <w:spacing w:line="272" w:lineRule="auto"/>
              <w:rPr>
                <w:rFonts w:ascii="Arial"/>
                <w:sz w:val="21"/>
              </w:rPr>
            </w:pPr>
          </w:p>
          <w:p w14:paraId="031EDB90">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6606DC3A">
            <w:pPr>
              <w:spacing w:line="271" w:lineRule="auto"/>
              <w:rPr>
                <w:rFonts w:ascii="Arial"/>
                <w:sz w:val="21"/>
              </w:rPr>
            </w:pPr>
          </w:p>
          <w:p w14:paraId="2AAB86CC">
            <w:pPr>
              <w:spacing w:line="271" w:lineRule="auto"/>
              <w:rPr>
                <w:rFonts w:ascii="Arial"/>
                <w:sz w:val="21"/>
              </w:rPr>
            </w:pPr>
          </w:p>
          <w:p w14:paraId="38A738AE">
            <w:pPr>
              <w:spacing w:line="272" w:lineRule="auto"/>
              <w:rPr>
                <w:rFonts w:ascii="Arial"/>
                <w:sz w:val="21"/>
              </w:rPr>
            </w:pPr>
          </w:p>
          <w:p w14:paraId="19C67DB3">
            <w:pPr>
              <w:spacing w:line="272" w:lineRule="auto"/>
              <w:rPr>
                <w:rFonts w:ascii="Arial"/>
                <w:sz w:val="21"/>
              </w:rPr>
            </w:pPr>
          </w:p>
          <w:p w14:paraId="18B3C98B">
            <w:pPr>
              <w:spacing w:line="272" w:lineRule="auto"/>
              <w:rPr>
                <w:rFonts w:ascii="Arial"/>
                <w:sz w:val="21"/>
              </w:rPr>
            </w:pPr>
          </w:p>
          <w:p w14:paraId="0F234CF1">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08B50CC">
            <w:pPr>
              <w:spacing w:line="280" w:lineRule="auto"/>
              <w:rPr>
                <w:rFonts w:ascii="Arial"/>
                <w:sz w:val="21"/>
              </w:rPr>
            </w:pPr>
          </w:p>
          <w:p w14:paraId="7C0335A3">
            <w:pPr>
              <w:spacing w:line="280" w:lineRule="auto"/>
              <w:rPr>
                <w:rFonts w:ascii="Arial"/>
                <w:sz w:val="21"/>
              </w:rPr>
            </w:pPr>
          </w:p>
          <w:p w14:paraId="18F75AB7">
            <w:pPr>
              <w:spacing w:line="280" w:lineRule="auto"/>
              <w:rPr>
                <w:rFonts w:ascii="Arial"/>
                <w:sz w:val="21"/>
              </w:rPr>
            </w:pPr>
          </w:p>
          <w:p w14:paraId="1EDA44F8">
            <w:pPr>
              <w:spacing w:line="281" w:lineRule="auto"/>
              <w:rPr>
                <w:rFonts w:ascii="Arial"/>
                <w:sz w:val="21"/>
              </w:rPr>
            </w:pPr>
          </w:p>
          <w:p w14:paraId="47AFC9DC">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628D0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5" w:hRule="atLeast"/>
        </w:trPr>
        <w:tc>
          <w:tcPr>
            <w:tcW w:w="629" w:type="dxa"/>
            <w:vAlign w:val="top"/>
          </w:tcPr>
          <w:p w14:paraId="2FFD9EC1">
            <w:pPr>
              <w:spacing w:line="254" w:lineRule="auto"/>
              <w:rPr>
                <w:rFonts w:ascii="Arial"/>
                <w:sz w:val="21"/>
              </w:rPr>
            </w:pPr>
          </w:p>
          <w:p w14:paraId="632BE35D">
            <w:pPr>
              <w:spacing w:line="254" w:lineRule="auto"/>
              <w:rPr>
                <w:rFonts w:ascii="Arial"/>
                <w:sz w:val="21"/>
              </w:rPr>
            </w:pPr>
          </w:p>
          <w:p w14:paraId="5414F914">
            <w:pPr>
              <w:spacing w:line="254" w:lineRule="auto"/>
              <w:rPr>
                <w:rFonts w:ascii="Arial"/>
                <w:sz w:val="21"/>
              </w:rPr>
            </w:pPr>
          </w:p>
          <w:p w14:paraId="20501712">
            <w:pPr>
              <w:spacing w:line="254" w:lineRule="auto"/>
              <w:rPr>
                <w:rFonts w:ascii="Arial"/>
                <w:sz w:val="21"/>
              </w:rPr>
            </w:pPr>
          </w:p>
          <w:p w14:paraId="30BE2A04">
            <w:pPr>
              <w:spacing w:line="254" w:lineRule="auto"/>
              <w:rPr>
                <w:rFonts w:ascii="Arial"/>
                <w:sz w:val="21"/>
              </w:rPr>
            </w:pPr>
          </w:p>
          <w:p w14:paraId="5B742733">
            <w:pPr>
              <w:spacing w:line="255" w:lineRule="auto"/>
              <w:rPr>
                <w:rFonts w:ascii="Arial"/>
                <w:sz w:val="21"/>
              </w:rPr>
            </w:pPr>
          </w:p>
          <w:p w14:paraId="28120F08">
            <w:pPr>
              <w:spacing w:line="255" w:lineRule="auto"/>
              <w:rPr>
                <w:rFonts w:ascii="Arial"/>
                <w:sz w:val="21"/>
              </w:rPr>
            </w:pPr>
          </w:p>
          <w:p w14:paraId="1372B27E">
            <w:pPr>
              <w:spacing w:line="255" w:lineRule="auto"/>
              <w:rPr>
                <w:rFonts w:ascii="Arial"/>
                <w:sz w:val="21"/>
              </w:rPr>
            </w:pPr>
          </w:p>
          <w:p w14:paraId="2C29EE7F">
            <w:pPr>
              <w:spacing w:line="255" w:lineRule="auto"/>
              <w:rPr>
                <w:rFonts w:ascii="Arial"/>
                <w:sz w:val="21"/>
              </w:rPr>
            </w:pPr>
          </w:p>
          <w:p w14:paraId="350A28EA">
            <w:pPr>
              <w:spacing w:line="255" w:lineRule="auto"/>
              <w:rPr>
                <w:rFonts w:ascii="Arial"/>
                <w:sz w:val="21"/>
              </w:rPr>
            </w:pPr>
          </w:p>
          <w:p w14:paraId="5D727502">
            <w:pPr>
              <w:pStyle w:val="8"/>
              <w:spacing w:before="58" w:line="183" w:lineRule="auto"/>
              <w:ind w:left="222"/>
              <w:rPr>
                <w:rFonts w:hint="eastAsia" w:eastAsia="宋体"/>
                <w:lang w:eastAsia="zh-CN"/>
              </w:rPr>
            </w:pPr>
            <w:r>
              <w:rPr>
                <w:spacing w:val="-4"/>
              </w:rPr>
              <w:t>6</w:t>
            </w:r>
            <w:r>
              <w:rPr>
                <w:rFonts w:hint="eastAsia"/>
                <w:spacing w:val="-4"/>
                <w:lang w:val="en-US" w:eastAsia="zh-CN"/>
              </w:rPr>
              <w:t>2</w:t>
            </w:r>
          </w:p>
        </w:tc>
        <w:tc>
          <w:tcPr>
            <w:tcW w:w="1101" w:type="dxa"/>
            <w:vAlign w:val="top"/>
          </w:tcPr>
          <w:p w14:paraId="7D4DDED7">
            <w:pPr>
              <w:spacing w:line="255" w:lineRule="auto"/>
              <w:rPr>
                <w:rFonts w:ascii="Arial"/>
                <w:sz w:val="21"/>
              </w:rPr>
            </w:pPr>
          </w:p>
          <w:p w14:paraId="1EB8F477">
            <w:pPr>
              <w:spacing w:line="255" w:lineRule="auto"/>
              <w:rPr>
                <w:rFonts w:ascii="Arial"/>
                <w:sz w:val="21"/>
              </w:rPr>
            </w:pPr>
          </w:p>
          <w:p w14:paraId="062448EB">
            <w:pPr>
              <w:spacing w:line="255" w:lineRule="auto"/>
              <w:rPr>
                <w:rFonts w:ascii="Arial"/>
                <w:sz w:val="21"/>
              </w:rPr>
            </w:pPr>
          </w:p>
          <w:p w14:paraId="74A67209">
            <w:pPr>
              <w:spacing w:line="255" w:lineRule="auto"/>
              <w:rPr>
                <w:rFonts w:ascii="Arial"/>
                <w:sz w:val="21"/>
              </w:rPr>
            </w:pPr>
          </w:p>
          <w:p w14:paraId="6F74F610">
            <w:pPr>
              <w:spacing w:line="255" w:lineRule="auto"/>
              <w:rPr>
                <w:rFonts w:ascii="Arial"/>
                <w:sz w:val="21"/>
              </w:rPr>
            </w:pPr>
          </w:p>
          <w:p w14:paraId="7629D917">
            <w:pPr>
              <w:spacing w:line="255" w:lineRule="auto"/>
              <w:rPr>
                <w:rFonts w:ascii="Arial"/>
                <w:sz w:val="21"/>
              </w:rPr>
            </w:pPr>
          </w:p>
          <w:p w14:paraId="02EC160E">
            <w:pPr>
              <w:spacing w:line="255" w:lineRule="auto"/>
              <w:rPr>
                <w:rFonts w:ascii="Arial"/>
                <w:sz w:val="21"/>
              </w:rPr>
            </w:pPr>
          </w:p>
          <w:p w14:paraId="6D06657B">
            <w:pPr>
              <w:spacing w:line="255" w:lineRule="auto"/>
              <w:rPr>
                <w:rFonts w:ascii="Arial"/>
                <w:sz w:val="21"/>
              </w:rPr>
            </w:pPr>
          </w:p>
          <w:p w14:paraId="57C14A32">
            <w:pPr>
              <w:pStyle w:val="8"/>
              <w:spacing w:before="58" w:line="241" w:lineRule="auto"/>
              <w:ind w:left="18" w:right="20"/>
              <w:jc w:val="both"/>
            </w:pPr>
            <w:r>
              <w:rPr>
                <w:spacing w:val="-6"/>
              </w:rPr>
              <w:t>对巡游出租汽</w:t>
            </w:r>
            <w:r>
              <w:rPr>
                <w:spacing w:val="2"/>
              </w:rPr>
              <w:t xml:space="preserve"> </w:t>
            </w:r>
            <w:r>
              <w:rPr>
                <w:spacing w:val="-6"/>
              </w:rPr>
              <w:t>车驾驶员违反</w:t>
            </w:r>
            <w:r>
              <w:rPr>
                <w:spacing w:val="2"/>
              </w:rPr>
              <w:t xml:space="preserve"> </w:t>
            </w:r>
            <w:r>
              <w:rPr>
                <w:spacing w:val="-6"/>
              </w:rPr>
              <w:t>经营服务管理</w:t>
            </w:r>
            <w:r>
              <w:rPr>
                <w:spacing w:val="2"/>
              </w:rPr>
              <w:t xml:space="preserve"> </w:t>
            </w:r>
            <w:r>
              <w:rPr>
                <w:spacing w:val="-6"/>
              </w:rPr>
              <w:t>规定行为的行</w:t>
            </w:r>
            <w:r>
              <w:rPr>
                <w:spacing w:val="2"/>
              </w:rPr>
              <w:t xml:space="preserve"> </w:t>
            </w:r>
            <w:r>
              <w:rPr>
                <w:spacing w:val="-5"/>
              </w:rPr>
              <w:t>政处罚</w:t>
            </w:r>
          </w:p>
        </w:tc>
        <w:tc>
          <w:tcPr>
            <w:tcW w:w="1101" w:type="dxa"/>
            <w:vAlign w:val="top"/>
          </w:tcPr>
          <w:p w14:paraId="1CA9BB6F">
            <w:pPr>
              <w:spacing w:line="251" w:lineRule="auto"/>
              <w:rPr>
                <w:rFonts w:ascii="Arial"/>
                <w:sz w:val="21"/>
              </w:rPr>
            </w:pPr>
          </w:p>
          <w:p w14:paraId="72747294">
            <w:pPr>
              <w:spacing w:line="251" w:lineRule="auto"/>
              <w:rPr>
                <w:rFonts w:ascii="Arial"/>
                <w:sz w:val="21"/>
              </w:rPr>
            </w:pPr>
          </w:p>
          <w:p w14:paraId="4F4F7034">
            <w:pPr>
              <w:spacing w:line="251" w:lineRule="auto"/>
              <w:rPr>
                <w:rFonts w:ascii="Arial"/>
                <w:sz w:val="21"/>
              </w:rPr>
            </w:pPr>
          </w:p>
          <w:p w14:paraId="2D939E41">
            <w:pPr>
              <w:spacing w:line="251" w:lineRule="auto"/>
              <w:rPr>
                <w:rFonts w:ascii="Arial"/>
                <w:sz w:val="21"/>
              </w:rPr>
            </w:pPr>
          </w:p>
          <w:p w14:paraId="70C3F097">
            <w:pPr>
              <w:spacing w:line="252" w:lineRule="auto"/>
              <w:rPr>
                <w:rFonts w:ascii="Arial"/>
                <w:sz w:val="21"/>
              </w:rPr>
            </w:pPr>
          </w:p>
          <w:p w14:paraId="64EFC324">
            <w:pPr>
              <w:spacing w:line="252" w:lineRule="auto"/>
              <w:rPr>
                <w:rFonts w:ascii="Arial"/>
                <w:sz w:val="21"/>
              </w:rPr>
            </w:pPr>
          </w:p>
          <w:p w14:paraId="0DD05E41">
            <w:pPr>
              <w:spacing w:line="252" w:lineRule="auto"/>
              <w:rPr>
                <w:rFonts w:ascii="Arial"/>
                <w:sz w:val="21"/>
              </w:rPr>
            </w:pPr>
          </w:p>
          <w:p w14:paraId="00E15614">
            <w:pPr>
              <w:spacing w:line="252" w:lineRule="auto"/>
              <w:rPr>
                <w:rFonts w:ascii="Arial"/>
                <w:sz w:val="21"/>
              </w:rPr>
            </w:pPr>
          </w:p>
          <w:p w14:paraId="00375C7F">
            <w:pPr>
              <w:spacing w:line="252" w:lineRule="auto"/>
              <w:rPr>
                <w:rFonts w:ascii="Arial"/>
                <w:sz w:val="21"/>
              </w:rPr>
            </w:pPr>
          </w:p>
          <w:p w14:paraId="55EB0CAE">
            <w:pPr>
              <w:spacing w:line="252" w:lineRule="auto"/>
              <w:rPr>
                <w:rFonts w:ascii="Arial"/>
                <w:sz w:val="21"/>
              </w:rPr>
            </w:pPr>
          </w:p>
          <w:p w14:paraId="5735CE6E">
            <w:pPr>
              <w:pStyle w:val="8"/>
              <w:spacing w:before="59" w:line="220" w:lineRule="auto"/>
              <w:ind w:left="25"/>
            </w:pPr>
            <w:r>
              <w:rPr>
                <w:spacing w:val="-7"/>
              </w:rPr>
              <w:t>行政处罚</w:t>
            </w:r>
          </w:p>
        </w:tc>
        <w:tc>
          <w:tcPr>
            <w:tcW w:w="8524" w:type="dxa"/>
            <w:vAlign w:val="top"/>
          </w:tcPr>
          <w:p w14:paraId="407E1100">
            <w:pPr>
              <w:pStyle w:val="8"/>
              <w:spacing w:before="70" w:line="219" w:lineRule="auto"/>
              <w:ind w:left="458"/>
            </w:pPr>
            <w:r>
              <w:rPr>
                <w:b/>
                <w:bCs/>
                <w:spacing w:val="-8"/>
              </w:rPr>
              <w:t>1.《巡游出租汽车经营服务管理规定》(交通运输部</w:t>
            </w:r>
            <w:r>
              <w:rPr>
                <w:b/>
                <w:bCs/>
                <w:spacing w:val="-9"/>
              </w:rPr>
              <w:t>令2021年第16号)</w:t>
            </w:r>
          </w:p>
          <w:p w14:paraId="48939280">
            <w:pPr>
              <w:pStyle w:val="8"/>
              <w:spacing w:before="28" w:line="243" w:lineRule="auto"/>
              <w:ind w:left="101" w:right="18" w:firstLine="343"/>
            </w:pPr>
            <w:r>
              <w:rPr>
                <w:spacing w:val="-7"/>
              </w:rPr>
              <w:t>第二十三条</w:t>
            </w:r>
            <w:r>
              <w:rPr>
                <w:spacing w:val="75"/>
              </w:rPr>
              <w:t xml:space="preserve"> </w:t>
            </w:r>
            <w:r>
              <w:rPr>
                <w:spacing w:val="-7"/>
              </w:rPr>
              <w:t>巡游出租汽车驾驶员应当按照国家出租汽车服务标</w:t>
            </w:r>
            <w:r>
              <w:rPr>
                <w:spacing w:val="-8"/>
              </w:rPr>
              <w:t>准提供服务，并遵守下列规定</w:t>
            </w:r>
            <w:r>
              <w:rPr>
                <w:spacing w:val="-22"/>
              </w:rPr>
              <w:t>：（</w:t>
            </w:r>
            <w:r>
              <w:rPr>
                <w:spacing w:val="-8"/>
              </w:rPr>
              <w:t>一）做</w:t>
            </w:r>
            <w:r>
              <w:t xml:space="preserve">  </w:t>
            </w:r>
            <w:r>
              <w:rPr>
                <w:spacing w:val="-8"/>
              </w:rPr>
              <w:t>好运营前例行检查，保持车辆设施、设备完好，车容整洁，备齐发票、备足零钱</w:t>
            </w:r>
            <w:r>
              <w:rPr>
                <w:spacing w:val="-24"/>
              </w:rPr>
              <w:t>；（</w:t>
            </w:r>
            <w:r>
              <w:rPr>
                <w:spacing w:val="-8"/>
              </w:rPr>
              <w:t>二）衣</w:t>
            </w:r>
            <w:r>
              <w:rPr>
                <w:spacing w:val="-9"/>
              </w:rPr>
              <w:t>着整洁，语言文明，</w:t>
            </w:r>
            <w:r>
              <w:t xml:space="preserve"> </w:t>
            </w:r>
            <w:r>
              <w:rPr>
                <w:spacing w:val="-9"/>
              </w:rPr>
              <w:t>主动问候，提醒乘客系好安全带</w:t>
            </w:r>
            <w:r>
              <w:rPr>
                <w:spacing w:val="-45"/>
              </w:rPr>
              <w:t>；（</w:t>
            </w:r>
            <w:r>
              <w:rPr>
                <w:spacing w:val="-9"/>
              </w:rPr>
              <w:t>三）根据乘客意愿升降</w:t>
            </w:r>
            <w:r>
              <w:rPr>
                <w:spacing w:val="-10"/>
              </w:rPr>
              <w:t>车窗玻璃及使用空调、音响、视频等服务设备</w:t>
            </w:r>
            <w:r>
              <w:rPr>
                <w:spacing w:val="-45"/>
              </w:rPr>
              <w:t>；（</w:t>
            </w:r>
            <w:r>
              <w:rPr>
                <w:spacing w:val="-10"/>
              </w:rPr>
              <w:t>四）</w:t>
            </w:r>
            <w:r>
              <w:rPr>
                <w:spacing w:val="3"/>
              </w:rPr>
              <w:t xml:space="preserve"> </w:t>
            </w:r>
            <w:r>
              <w:rPr>
                <w:spacing w:val="-7"/>
              </w:rPr>
              <w:t>乘客携带行李时，主动帮助乘客取放行李</w:t>
            </w:r>
            <w:r>
              <w:rPr>
                <w:spacing w:val="-20"/>
              </w:rPr>
              <w:t>；（</w:t>
            </w:r>
            <w:r>
              <w:rPr>
                <w:spacing w:val="-7"/>
              </w:rPr>
              <w:t>五）主动协助老、幼、病、残、孕等乘客上下车</w:t>
            </w:r>
            <w:r>
              <w:rPr>
                <w:spacing w:val="-20"/>
              </w:rPr>
              <w:t>；（</w:t>
            </w:r>
            <w:r>
              <w:rPr>
                <w:spacing w:val="-7"/>
              </w:rPr>
              <w:t>六）不得在</w:t>
            </w:r>
            <w:r>
              <w:rPr>
                <w:spacing w:val="1"/>
              </w:rPr>
              <w:t xml:space="preserve">  </w:t>
            </w:r>
            <w:r>
              <w:rPr>
                <w:spacing w:val="-7"/>
              </w:rPr>
              <w:t>车内吸烟，忌食有异味的食物</w:t>
            </w:r>
            <w:r>
              <w:rPr>
                <w:spacing w:val="-22"/>
              </w:rPr>
              <w:t>；（</w:t>
            </w:r>
            <w:r>
              <w:rPr>
                <w:spacing w:val="-7"/>
              </w:rPr>
              <w:t>七）随车携带道路运输证、从</w:t>
            </w:r>
            <w:r>
              <w:rPr>
                <w:spacing w:val="-8"/>
              </w:rPr>
              <w:t>业资格证，并按规定摆放、粘贴有关证件和标</w:t>
            </w:r>
            <w:r>
              <w:t xml:space="preserve">  </w:t>
            </w:r>
            <w:r>
              <w:rPr>
                <w:spacing w:val="-7"/>
              </w:rPr>
              <w:t>志</w:t>
            </w:r>
            <w:r>
              <w:rPr>
                <w:spacing w:val="-20"/>
              </w:rPr>
              <w:t>；（</w:t>
            </w:r>
            <w:r>
              <w:rPr>
                <w:spacing w:val="-7"/>
              </w:rPr>
              <w:t>八）按照乘客指定的目的地选择合理路线行驶，不得拒载、议价、途中甩客、故意绕道行驶</w:t>
            </w:r>
            <w:r>
              <w:rPr>
                <w:spacing w:val="-20"/>
              </w:rPr>
              <w:t>；（</w:t>
            </w:r>
            <w:r>
              <w:rPr>
                <w:spacing w:val="-7"/>
              </w:rPr>
              <w:t>九）在</w:t>
            </w:r>
            <w:r>
              <w:rPr>
                <w:spacing w:val="1"/>
              </w:rPr>
              <w:t xml:space="preserve">  </w:t>
            </w:r>
            <w:r>
              <w:rPr>
                <w:spacing w:val="-8"/>
              </w:rPr>
              <w:t>机场、火车站、汽车客运站、港口、公共交通枢纽等客流集散地载客时应当文明排队，服从调度，不得违反规</w:t>
            </w:r>
            <w:r>
              <w:t xml:space="preserve">  </w:t>
            </w:r>
            <w:r>
              <w:rPr>
                <w:spacing w:val="-7"/>
              </w:rPr>
              <w:t>定在非指定区域揽客</w:t>
            </w:r>
            <w:r>
              <w:rPr>
                <w:spacing w:val="-20"/>
              </w:rPr>
              <w:t>；（</w:t>
            </w:r>
            <w:r>
              <w:rPr>
                <w:spacing w:val="-7"/>
              </w:rPr>
              <w:t>十）未经乘客同意不得搭载其他乘客</w:t>
            </w:r>
            <w:r>
              <w:rPr>
                <w:spacing w:val="-20"/>
              </w:rPr>
              <w:t>；（</w:t>
            </w:r>
            <w:r>
              <w:rPr>
                <w:spacing w:val="-7"/>
              </w:rPr>
              <w:t>十一）按规定使用计程计价设备，执行收费</w:t>
            </w:r>
            <w:r>
              <w:rPr>
                <w:spacing w:val="1"/>
              </w:rPr>
              <w:t xml:space="preserve">  </w:t>
            </w:r>
            <w:r>
              <w:rPr>
                <w:spacing w:val="-7"/>
              </w:rPr>
              <w:t>标准并主动出具有效车费票据</w:t>
            </w:r>
            <w:r>
              <w:rPr>
                <w:spacing w:val="-21"/>
              </w:rPr>
              <w:t>；（</w:t>
            </w:r>
            <w:r>
              <w:rPr>
                <w:spacing w:val="-7"/>
              </w:rPr>
              <w:t>十二）遵守道路交通安全法规，文明礼让行车。</w:t>
            </w:r>
          </w:p>
          <w:p w14:paraId="1AA24AD8">
            <w:pPr>
              <w:pStyle w:val="8"/>
              <w:spacing w:before="28" w:line="242" w:lineRule="auto"/>
              <w:ind w:left="101" w:right="150" w:firstLine="343"/>
            </w:pPr>
            <w:r>
              <w:rPr>
                <w:spacing w:val="-8"/>
              </w:rPr>
              <w:t>第四十八条</w:t>
            </w:r>
            <w:r>
              <w:rPr>
                <w:spacing w:val="74"/>
              </w:rPr>
              <w:t xml:space="preserve"> </w:t>
            </w:r>
            <w:r>
              <w:rPr>
                <w:spacing w:val="-8"/>
              </w:rPr>
              <w:t>巡游出租汽车驾驶员违反本规定，有下列情形之一的，由县级以上地方人民政府出租汽车行</w:t>
            </w:r>
            <w:r>
              <w:t xml:space="preserve"> </w:t>
            </w:r>
            <w:r>
              <w:rPr>
                <w:spacing w:val="-7"/>
              </w:rPr>
              <w:t>政主管部门责令改正，并处以200元以上500元以下罚款</w:t>
            </w:r>
            <w:r>
              <w:rPr>
                <w:spacing w:val="-21"/>
              </w:rPr>
              <w:t>：（</w:t>
            </w:r>
            <w:r>
              <w:rPr>
                <w:spacing w:val="-7"/>
              </w:rPr>
              <w:t>一）拒载、议价、途中甩客或者故意绕道行驶的；</w:t>
            </w:r>
            <w:r>
              <w:t xml:space="preserve"> </w:t>
            </w:r>
            <w:r>
              <w:rPr>
                <w:spacing w:val="-7"/>
              </w:rPr>
              <w:t>（二）未经乘客同意搭载其他乘客的</w:t>
            </w:r>
            <w:r>
              <w:rPr>
                <w:spacing w:val="-20"/>
              </w:rPr>
              <w:t>；（</w:t>
            </w:r>
            <w:r>
              <w:rPr>
                <w:spacing w:val="-7"/>
              </w:rPr>
              <w:t>三）不按照规定使用计程计价设备、违规收费的</w:t>
            </w:r>
            <w:r>
              <w:rPr>
                <w:spacing w:val="-20"/>
              </w:rPr>
              <w:t>；（</w:t>
            </w:r>
            <w:r>
              <w:rPr>
                <w:spacing w:val="-7"/>
              </w:rPr>
              <w:t>四）不按照规定</w:t>
            </w:r>
            <w:r>
              <w:rPr>
                <w:spacing w:val="3"/>
              </w:rPr>
              <w:t xml:space="preserve"> </w:t>
            </w:r>
            <w:r>
              <w:rPr>
                <w:spacing w:val="-7"/>
              </w:rPr>
              <w:t>出具相应车费票据的</w:t>
            </w:r>
            <w:r>
              <w:rPr>
                <w:spacing w:val="-20"/>
              </w:rPr>
              <w:t>；（</w:t>
            </w:r>
            <w:r>
              <w:rPr>
                <w:spacing w:val="-7"/>
              </w:rPr>
              <w:t>五）不按照规定使用巡游出租汽车相关设备的</w:t>
            </w:r>
            <w:r>
              <w:rPr>
                <w:spacing w:val="-20"/>
              </w:rPr>
              <w:t>；（</w:t>
            </w:r>
            <w:r>
              <w:rPr>
                <w:spacing w:val="-7"/>
              </w:rPr>
              <w:t>六）接受巡游出租汽车电召任务后</w:t>
            </w:r>
            <w:r>
              <w:rPr>
                <w:spacing w:val="3"/>
              </w:rPr>
              <w:t xml:space="preserve"> </w:t>
            </w:r>
            <w:r>
              <w:rPr>
                <w:spacing w:val="-7"/>
              </w:rPr>
              <w:t>未履行约定的</w:t>
            </w:r>
            <w:r>
              <w:rPr>
                <w:spacing w:val="-20"/>
              </w:rPr>
              <w:t>；（</w:t>
            </w:r>
            <w:r>
              <w:rPr>
                <w:spacing w:val="-7"/>
              </w:rPr>
              <w:t>七）不按照规定使用文明用语，车容车貌不符合要求的</w:t>
            </w:r>
            <w:r>
              <w:rPr>
                <w:spacing w:val="-20"/>
              </w:rPr>
              <w:t>；（</w:t>
            </w:r>
            <w:r>
              <w:rPr>
                <w:spacing w:val="-7"/>
              </w:rPr>
              <w:t>八）在机场、火车站、汽车客运</w:t>
            </w:r>
            <w:r>
              <w:rPr>
                <w:spacing w:val="3"/>
              </w:rPr>
              <w:t xml:space="preserve"> </w:t>
            </w:r>
            <w:r>
              <w:rPr>
                <w:spacing w:val="-7"/>
              </w:rPr>
              <w:t>站、港口、公共交通枢纽等客流集散地不服从调度私自</w:t>
            </w:r>
            <w:r>
              <w:rPr>
                <w:spacing w:val="-8"/>
              </w:rPr>
              <w:t>揽客的</w:t>
            </w:r>
            <w:r>
              <w:rPr>
                <w:spacing w:val="-21"/>
              </w:rPr>
              <w:t>；（</w:t>
            </w:r>
            <w:r>
              <w:rPr>
                <w:spacing w:val="-8"/>
              </w:rPr>
              <w:t>九）转让、倒卖、伪造巡游出租汽车相关票</w:t>
            </w:r>
            <w:r>
              <w:rPr>
                <w:spacing w:val="1"/>
              </w:rPr>
              <w:t xml:space="preserve"> </w:t>
            </w:r>
            <w:r>
              <w:rPr>
                <w:spacing w:val="-5"/>
              </w:rPr>
              <w:t>据的。</w:t>
            </w:r>
          </w:p>
          <w:p w14:paraId="0B8BD62A">
            <w:pPr>
              <w:pStyle w:val="8"/>
              <w:spacing w:before="25" w:line="219" w:lineRule="auto"/>
              <w:ind w:left="447"/>
            </w:pPr>
            <w:r>
              <w:rPr>
                <w:b/>
                <w:bCs/>
                <w:spacing w:val="-8"/>
              </w:rPr>
              <w:t>2.《小微型客车租赁经营服务管理办法》(交通运输部令2021年第1</w:t>
            </w:r>
            <w:r>
              <w:rPr>
                <w:b/>
                <w:bCs/>
                <w:spacing w:val="-9"/>
              </w:rPr>
              <w:t>7号)</w:t>
            </w:r>
          </w:p>
          <w:p w14:paraId="38B0565E">
            <w:pPr>
              <w:pStyle w:val="8"/>
              <w:spacing w:before="25"/>
              <w:ind w:left="102" w:right="88" w:firstLine="343"/>
              <w:jc w:val="both"/>
            </w:pPr>
            <w:r>
              <w:rPr>
                <w:spacing w:val="-8"/>
              </w:rPr>
              <w:t>第二十五条第二款</w:t>
            </w:r>
            <w:r>
              <w:rPr>
                <w:spacing w:val="78"/>
              </w:rPr>
              <w:t xml:space="preserve"> </w:t>
            </w:r>
            <w:r>
              <w:rPr>
                <w:spacing w:val="-8"/>
              </w:rPr>
              <w:t>小微型客车租赁经营者未取得道路运输经营许可或者出租汽车经营许可，随</w:t>
            </w:r>
            <w:r>
              <w:rPr>
                <w:spacing w:val="-9"/>
              </w:rPr>
              <w:t>车提供驾</w:t>
            </w:r>
            <w:r>
              <w:t xml:space="preserve"> </w:t>
            </w:r>
            <w:r>
              <w:rPr>
                <w:spacing w:val="-8"/>
              </w:rPr>
              <w:t>驶劳务的，按照《中华人民共和国道路运输条例》《巡游出租汽车经营服务管理规定》(交通运输部令2</w:t>
            </w:r>
            <w:r>
              <w:rPr>
                <w:spacing w:val="-9"/>
              </w:rPr>
              <w:t>021年第</w:t>
            </w:r>
            <w:r>
              <w:t xml:space="preserve"> </w:t>
            </w:r>
            <w:r>
              <w:rPr>
                <w:spacing w:val="-7"/>
              </w:rPr>
              <w:t>16号)《网络预约出租汽车经营服务管理</w:t>
            </w:r>
            <w:r>
              <w:rPr>
                <w:spacing w:val="-8"/>
              </w:rPr>
              <w:t>暂行办法》(交通运输部令2022年第42号)中关于从事非法营运的规定进</w:t>
            </w:r>
            <w:r>
              <w:t xml:space="preserve"> </w:t>
            </w:r>
            <w:r>
              <w:rPr>
                <w:spacing w:val="-6"/>
              </w:rPr>
              <w:t>行处罚。</w:t>
            </w:r>
          </w:p>
        </w:tc>
        <w:tc>
          <w:tcPr>
            <w:tcW w:w="1011" w:type="dxa"/>
            <w:vAlign w:val="top"/>
          </w:tcPr>
          <w:p w14:paraId="712DDF24">
            <w:pPr>
              <w:spacing w:line="266" w:lineRule="auto"/>
              <w:rPr>
                <w:rFonts w:ascii="Arial"/>
                <w:sz w:val="21"/>
              </w:rPr>
            </w:pPr>
          </w:p>
          <w:p w14:paraId="02881046">
            <w:pPr>
              <w:spacing w:line="266" w:lineRule="auto"/>
              <w:rPr>
                <w:rFonts w:ascii="Arial"/>
                <w:sz w:val="21"/>
              </w:rPr>
            </w:pPr>
          </w:p>
          <w:p w14:paraId="7D321B6F">
            <w:pPr>
              <w:spacing w:line="266" w:lineRule="auto"/>
              <w:rPr>
                <w:rFonts w:ascii="Arial"/>
                <w:sz w:val="21"/>
              </w:rPr>
            </w:pPr>
          </w:p>
          <w:p w14:paraId="26C2FEBC">
            <w:pPr>
              <w:spacing w:line="266" w:lineRule="auto"/>
              <w:rPr>
                <w:rFonts w:ascii="Arial"/>
                <w:sz w:val="21"/>
              </w:rPr>
            </w:pPr>
          </w:p>
          <w:p w14:paraId="6C124E70">
            <w:pPr>
              <w:spacing w:line="266" w:lineRule="auto"/>
              <w:rPr>
                <w:rFonts w:ascii="Arial"/>
                <w:sz w:val="21"/>
              </w:rPr>
            </w:pPr>
          </w:p>
          <w:p w14:paraId="413D6F6C">
            <w:pPr>
              <w:spacing w:line="266" w:lineRule="auto"/>
              <w:rPr>
                <w:rFonts w:ascii="Arial"/>
                <w:sz w:val="21"/>
              </w:rPr>
            </w:pPr>
          </w:p>
          <w:p w14:paraId="297A4B28">
            <w:pPr>
              <w:spacing w:line="267" w:lineRule="auto"/>
              <w:rPr>
                <w:rFonts w:ascii="Arial"/>
                <w:sz w:val="21"/>
              </w:rPr>
            </w:pPr>
          </w:p>
          <w:p w14:paraId="7323CC67">
            <w:pPr>
              <w:spacing w:line="267" w:lineRule="auto"/>
              <w:rPr>
                <w:rFonts w:ascii="Arial"/>
                <w:sz w:val="21"/>
              </w:rPr>
            </w:pPr>
          </w:p>
          <w:p w14:paraId="5B7282A9">
            <w:pPr>
              <w:spacing w:line="267" w:lineRule="auto"/>
              <w:rPr>
                <w:rFonts w:ascii="Arial"/>
                <w:sz w:val="21"/>
              </w:rPr>
            </w:pPr>
          </w:p>
          <w:p w14:paraId="56C91613">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0A721085">
            <w:pPr>
              <w:spacing w:line="266" w:lineRule="auto"/>
              <w:rPr>
                <w:rFonts w:ascii="Arial"/>
                <w:sz w:val="21"/>
              </w:rPr>
            </w:pPr>
          </w:p>
          <w:p w14:paraId="4D77C577">
            <w:pPr>
              <w:spacing w:line="266" w:lineRule="auto"/>
              <w:rPr>
                <w:rFonts w:ascii="Arial"/>
                <w:sz w:val="21"/>
              </w:rPr>
            </w:pPr>
          </w:p>
          <w:p w14:paraId="12887740">
            <w:pPr>
              <w:spacing w:line="266" w:lineRule="auto"/>
              <w:rPr>
                <w:rFonts w:ascii="Arial"/>
                <w:sz w:val="21"/>
              </w:rPr>
            </w:pPr>
          </w:p>
          <w:p w14:paraId="32E3B25F">
            <w:pPr>
              <w:spacing w:line="266" w:lineRule="auto"/>
              <w:rPr>
                <w:rFonts w:ascii="Arial"/>
                <w:sz w:val="21"/>
              </w:rPr>
            </w:pPr>
          </w:p>
          <w:p w14:paraId="489B3A85">
            <w:pPr>
              <w:spacing w:line="266" w:lineRule="auto"/>
              <w:rPr>
                <w:rFonts w:ascii="Arial"/>
                <w:sz w:val="21"/>
              </w:rPr>
            </w:pPr>
          </w:p>
          <w:p w14:paraId="4EE64C80">
            <w:pPr>
              <w:spacing w:line="266" w:lineRule="auto"/>
              <w:rPr>
                <w:rFonts w:ascii="Arial"/>
                <w:sz w:val="21"/>
              </w:rPr>
            </w:pPr>
          </w:p>
          <w:p w14:paraId="6480EE0B">
            <w:pPr>
              <w:spacing w:line="267" w:lineRule="auto"/>
              <w:rPr>
                <w:rFonts w:ascii="Arial"/>
                <w:sz w:val="21"/>
              </w:rPr>
            </w:pPr>
          </w:p>
          <w:p w14:paraId="644141D1">
            <w:pPr>
              <w:spacing w:line="267" w:lineRule="auto"/>
              <w:rPr>
                <w:rFonts w:ascii="Arial"/>
                <w:sz w:val="21"/>
              </w:rPr>
            </w:pPr>
          </w:p>
          <w:p w14:paraId="407AC8C0">
            <w:pPr>
              <w:spacing w:line="267" w:lineRule="auto"/>
              <w:rPr>
                <w:rFonts w:ascii="Arial"/>
                <w:sz w:val="21"/>
              </w:rPr>
            </w:pPr>
          </w:p>
          <w:p w14:paraId="10E2B8E6">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00A514A9">
            <w:pPr>
              <w:rPr>
                <w:rFonts w:hint="eastAsia"/>
                <w:spacing w:val="-14"/>
                <w:lang w:eastAsia="zh-CN"/>
              </w:rPr>
            </w:pPr>
          </w:p>
          <w:p w14:paraId="1E238C86">
            <w:pPr>
              <w:rPr>
                <w:rFonts w:hint="eastAsia"/>
                <w:spacing w:val="-14"/>
                <w:lang w:eastAsia="zh-CN"/>
              </w:rPr>
            </w:pPr>
          </w:p>
          <w:p w14:paraId="3791634B">
            <w:pPr>
              <w:rPr>
                <w:rFonts w:hint="eastAsia"/>
                <w:spacing w:val="-14"/>
                <w:lang w:eastAsia="zh-CN"/>
              </w:rPr>
            </w:pPr>
          </w:p>
          <w:p w14:paraId="38CBC639">
            <w:pPr>
              <w:rPr>
                <w:rFonts w:hint="eastAsia"/>
                <w:spacing w:val="-14"/>
                <w:lang w:eastAsia="zh-CN"/>
              </w:rPr>
            </w:pPr>
          </w:p>
          <w:p w14:paraId="5CF14D90">
            <w:pPr>
              <w:rPr>
                <w:rFonts w:hint="eastAsia"/>
                <w:spacing w:val="-14"/>
                <w:lang w:eastAsia="zh-CN"/>
              </w:rPr>
            </w:pPr>
          </w:p>
          <w:p w14:paraId="39E2179F">
            <w:pPr>
              <w:rPr>
                <w:rFonts w:hint="eastAsia"/>
                <w:spacing w:val="-14"/>
                <w:lang w:eastAsia="zh-CN"/>
              </w:rPr>
            </w:pPr>
          </w:p>
          <w:p w14:paraId="687CFB14">
            <w:pPr>
              <w:rPr>
                <w:rFonts w:hint="eastAsia"/>
                <w:spacing w:val="-14"/>
                <w:lang w:eastAsia="zh-CN"/>
              </w:rPr>
            </w:pPr>
          </w:p>
          <w:p w14:paraId="14C7635F">
            <w:pPr>
              <w:rPr>
                <w:rFonts w:hint="eastAsia"/>
                <w:spacing w:val="-14"/>
                <w:lang w:eastAsia="zh-CN"/>
              </w:rPr>
            </w:pPr>
          </w:p>
          <w:p w14:paraId="083367F7">
            <w:pPr>
              <w:rPr>
                <w:rFonts w:hint="eastAsia"/>
                <w:spacing w:val="-14"/>
                <w:lang w:eastAsia="zh-CN"/>
              </w:rPr>
            </w:pPr>
          </w:p>
          <w:p w14:paraId="6C2149AC">
            <w:pPr>
              <w:rPr>
                <w:rFonts w:hint="eastAsia"/>
                <w:spacing w:val="-14"/>
                <w:lang w:eastAsia="zh-CN"/>
              </w:rPr>
            </w:pPr>
          </w:p>
          <w:p w14:paraId="1748DD86">
            <w:pPr>
              <w:pStyle w:val="8"/>
              <w:spacing w:before="58" w:line="239" w:lineRule="auto"/>
              <w:ind w:left="166" w:right="148" w:firstLine="22"/>
              <w:jc w:val="both"/>
              <w:rPr>
                <w:rFonts w:ascii="Arial"/>
                <w:sz w:val="21"/>
              </w:rPr>
            </w:pPr>
            <w:r>
              <w:rPr>
                <w:rFonts w:hint="eastAsia"/>
                <w:spacing w:val="-14"/>
                <w:lang w:eastAsia="zh-CN"/>
              </w:rPr>
              <w:t>津市市交通运输综合行政执法大队</w:t>
            </w:r>
          </w:p>
        </w:tc>
      </w:tr>
    </w:tbl>
    <w:p w14:paraId="188217C7">
      <w:pPr>
        <w:pStyle w:val="2"/>
      </w:pPr>
    </w:p>
    <w:p w14:paraId="5F7759BA">
      <w:pPr>
        <w:sectPr>
          <w:footerReference r:id="rId51" w:type="default"/>
          <w:pgSz w:w="16839" w:h="11906"/>
          <w:pgMar w:top="1012" w:right="1016" w:bottom="966" w:left="1016" w:header="0" w:footer="768" w:gutter="0"/>
          <w:cols w:space="720" w:num="1"/>
        </w:sectPr>
      </w:pPr>
    </w:p>
    <w:p w14:paraId="2D3CAA84">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2FEBD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06C1CECB">
            <w:pPr>
              <w:pStyle w:val="8"/>
              <w:spacing w:before="273" w:line="221" w:lineRule="auto"/>
              <w:ind w:left="129"/>
            </w:pPr>
            <w:r>
              <w:rPr>
                <w:b/>
                <w:bCs/>
                <w:spacing w:val="-4"/>
              </w:rPr>
              <w:t>序号</w:t>
            </w:r>
          </w:p>
        </w:tc>
        <w:tc>
          <w:tcPr>
            <w:tcW w:w="1101" w:type="dxa"/>
            <w:vMerge w:val="restart"/>
            <w:tcBorders>
              <w:bottom w:val="nil"/>
            </w:tcBorders>
            <w:vAlign w:val="top"/>
          </w:tcPr>
          <w:p w14:paraId="7768EE21">
            <w:pPr>
              <w:pStyle w:val="8"/>
              <w:spacing w:before="274" w:line="220" w:lineRule="auto"/>
              <w:ind w:left="182"/>
            </w:pPr>
            <w:r>
              <w:rPr>
                <w:b/>
                <w:bCs/>
                <w:spacing w:val="-4"/>
              </w:rPr>
              <w:t>事项名称</w:t>
            </w:r>
          </w:p>
        </w:tc>
        <w:tc>
          <w:tcPr>
            <w:tcW w:w="1101" w:type="dxa"/>
            <w:vMerge w:val="restart"/>
            <w:tcBorders>
              <w:bottom w:val="nil"/>
            </w:tcBorders>
            <w:vAlign w:val="top"/>
          </w:tcPr>
          <w:p w14:paraId="6AFF7D88">
            <w:pPr>
              <w:pStyle w:val="8"/>
              <w:spacing w:before="274" w:line="219" w:lineRule="auto"/>
              <w:ind w:left="183"/>
            </w:pPr>
            <w:r>
              <w:rPr>
                <w:b/>
                <w:bCs/>
                <w:spacing w:val="-4"/>
              </w:rPr>
              <w:t>职权类型</w:t>
            </w:r>
          </w:p>
        </w:tc>
        <w:tc>
          <w:tcPr>
            <w:tcW w:w="8524" w:type="dxa"/>
            <w:vMerge w:val="restart"/>
            <w:tcBorders>
              <w:bottom w:val="nil"/>
            </w:tcBorders>
            <w:vAlign w:val="top"/>
          </w:tcPr>
          <w:p w14:paraId="257E5A71">
            <w:pPr>
              <w:pStyle w:val="8"/>
              <w:spacing w:before="273" w:line="219" w:lineRule="auto"/>
              <w:ind w:left="4083"/>
            </w:pPr>
            <w:r>
              <w:rPr>
                <w:b/>
                <w:bCs/>
                <w:spacing w:val="-5"/>
              </w:rPr>
              <w:t>实施依据</w:t>
            </w:r>
          </w:p>
        </w:tc>
        <w:tc>
          <w:tcPr>
            <w:tcW w:w="3435" w:type="dxa"/>
            <w:gridSpan w:val="3"/>
            <w:vAlign w:val="top"/>
          </w:tcPr>
          <w:p w14:paraId="09F06444">
            <w:pPr>
              <w:pStyle w:val="8"/>
              <w:spacing w:before="94" w:line="220" w:lineRule="auto"/>
              <w:ind w:left="1360"/>
            </w:pPr>
            <w:r>
              <w:rPr>
                <w:b/>
                <w:bCs/>
                <w:spacing w:val="-5"/>
              </w:rPr>
              <w:t>实施主体</w:t>
            </w:r>
          </w:p>
        </w:tc>
      </w:tr>
      <w:tr w14:paraId="03394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4815E5F0">
            <w:pPr>
              <w:rPr>
                <w:rFonts w:ascii="Arial"/>
                <w:sz w:val="21"/>
              </w:rPr>
            </w:pPr>
          </w:p>
        </w:tc>
        <w:tc>
          <w:tcPr>
            <w:tcW w:w="1101" w:type="dxa"/>
            <w:vMerge w:val="continue"/>
            <w:tcBorders>
              <w:top w:val="nil"/>
            </w:tcBorders>
            <w:vAlign w:val="top"/>
          </w:tcPr>
          <w:p w14:paraId="3155C6AB">
            <w:pPr>
              <w:rPr>
                <w:rFonts w:ascii="Arial"/>
                <w:sz w:val="21"/>
              </w:rPr>
            </w:pPr>
          </w:p>
        </w:tc>
        <w:tc>
          <w:tcPr>
            <w:tcW w:w="1101" w:type="dxa"/>
            <w:vMerge w:val="continue"/>
            <w:tcBorders>
              <w:top w:val="nil"/>
            </w:tcBorders>
            <w:vAlign w:val="top"/>
          </w:tcPr>
          <w:p w14:paraId="4B32219D">
            <w:pPr>
              <w:rPr>
                <w:rFonts w:ascii="Arial"/>
                <w:sz w:val="21"/>
              </w:rPr>
            </w:pPr>
          </w:p>
        </w:tc>
        <w:tc>
          <w:tcPr>
            <w:tcW w:w="8524" w:type="dxa"/>
            <w:vMerge w:val="continue"/>
            <w:tcBorders>
              <w:top w:val="nil"/>
            </w:tcBorders>
            <w:vAlign w:val="top"/>
          </w:tcPr>
          <w:p w14:paraId="538EB1B1">
            <w:pPr>
              <w:rPr>
                <w:rFonts w:ascii="Arial"/>
                <w:sz w:val="21"/>
              </w:rPr>
            </w:pPr>
          </w:p>
        </w:tc>
        <w:tc>
          <w:tcPr>
            <w:tcW w:w="1011" w:type="dxa"/>
            <w:vAlign w:val="top"/>
          </w:tcPr>
          <w:p w14:paraId="4BFDB30A">
            <w:pPr>
              <w:pStyle w:val="8"/>
              <w:spacing w:before="85" w:line="219" w:lineRule="auto"/>
              <w:ind w:left="154"/>
            </w:pPr>
            <w:r>
              <w:rPr>
                <w:b/>
                <w:bCs/>
                <w:spacing w:val="-5"/>
              </w:rPr>
              <w:t>责任部门</w:t>
            </w:r>
          </w:p>
        </w:tc>
        <w:tc>
          <w:tcPr>
            <w:tcW w:w="1404" w:type="dxa"/>
            <w:vAlign w:val="top"/>
          </w:tcPr>
          <w:p w14:paraId="50D491AA">
            <w:pPr>
              <w:pStyle w:val="8"/>
              <w:spacing w:before="85" w:line="219" w:lineRule="auto"/>
              <w:ind w:left="164"/>
            </w:pPr>
            <w:r>
              <w:rPr>
                <w:b/>
                <w:bCs/>
                <w:spacing w:val="-3"/>
              </w:rPr>
              <w:t>第一责任层级</w:t>
            </w:r>
          </w:p>
        </w:tc>
        <w:tc>
          <w:tcPr>
            <w:tcW w:w="1020" w:type="dxa"/>
            <w:vAlign w:val="top"/>
          </w:tcPr>
          <w:p w14:paraId="70BDDEDE">
            <w:pPr>
              <w:pStyle w:val="8"/>
              <w:spacing w:before="84" w:line="219" w:lineRule="auto"/>
              <w:ind w:left="114"/>
            </w:pPr>
            <w:r>
              <w:rPr>
                <w:b/>
                <w:bCs/>
                <w:spacing w:val="-4"/>
              </w:rPr>
              <w:t>承办机构</w:t>
            </w:r>
          </w:p>
        </w:tc>
      </w:tr>
      <w:tr w14:paraId="31EFB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05" w:hRule="atLeast"/>
        </w:trPr>
        <w:tc>
          <w:tcPr>
            <w:tcW w:w="629" w:type="dxa"/>
            <w:vAlign w:val="top"/>
          </w:tcPr>
          <w:p w14:paraId="2565CDD6">
            <w:pPr>
              <w:spacing w:line="247" w:lineRule="auto"/>
              <w:rPr>
                <w:rFonts w:ascii="Arial"/>
                <w:sz w:val="21"/>
              </w:rPr>
            </w:pPr>
          </w:p>
          <w:p w14:paraId="0A8B87C1">
            <w:pPr>
              <w:spacing w:line="247" w:lineRule="auto"/>
              <w:rPr>
                <w:rFonts w:ascii="Arial"/>
                <w:sz w:val="21"/>
              </w:rPr>
            </w:pPr>
          </w:p>
          <w:p w14:paraId="7C5A0BE6">
            <w:pPr>
              <w:spacing w:line="247" w:lineRule="auto"/>
              <w:rPr>
                <w:rFonts w:ascii="Arial"/>
                <w:sz w:val="21"/>
              </w:rPr>
            </w:pPr>
          </w:p>
          <w:p w14:paraId="006169CA">
            <w:pPr>
              <w:spacing w:line="248" w:lineRule="auto"/>
              <w:rPr>
                <w:rFonts w:ascii="Arial"/>
                <w:sz w:val="21"/>
              </w:rPr>
            </w:pPr>
          </w:p>
          <w:p w14:paraId="3528412A">
            <w:pPr>
              <w:spacing w:line="248" w:lineRule="auto"/>
              <w:rPr>
                <w:rFonts w:ascii="Arial"/>
                <w:sz w:val="21"/>
              </w:rPr>
            </w:pPr>
          </w:p>
          <w:p w14:paraId="31ED64AA">
            <w:pPr>
              <w:spacing w:line="248" w:lineRule="auto"/>
              <w:rPr>
                <w:rFonts w:ascii="Arial"/>
                <w:sz w:val="21"/>
              </w:rPr>
            </w:pPr>
          </w:p>
          <w:p w14:paraId="0167A84F">
            <w:pPr>
              <w:spacing w:line="248" w:lineRule="auto"/>
              <w:rPr>
                <w:rFonts w:ascii="Arial"/>
                <w:sz w:val="21"/>
              </w:rPr>
            </w:pPr>
          </w:p>
          <w:p w14:paraId="53B54A32">
            <w:pPr>
              <w:spacing w:line="248" w:lineRule="auto"/>
              <w:rPr>
                <w:rFonts w:ascii="Arial"/>
                <w:sz w:val="21"/>
              </w:rPr>
            </w:pPr>
          </w:p>
          <w:p w14:paraId="2653E10B">
            <w:pPr>
              <w:spacing w:line="248" w:lineRule="auto"/>
              <w:rPr>
                <w:rFonts w:ascii="Arial"/>
                <w:sz w:val="21"/>
              </w:rPr>
            </w:pPr>
          </w:p>
          <w:p w14:paraId="46BFC2A2">
            <w:pPr>
              <w:spacing w:line="248" w:lineRule="auto"/>
              <w:rPr>
                <w:rFonts w:ascii="Arial"/>
                <w:sz w:val="21"/>
              </w:rPr>
            </w:pPr>
          </w:p>
          <w:p w14:paraId="445B7732">
            <w:pPr>
              <w:spacing w:line="248" w:lineRule="auto"/>
              <w:rPr>
                <w:rFonts w:ascii="Arial"/>
                <w:sz w:val="21"/>
              </w:rPr>
            </w:pPr>
          </w:p>
          <w:p w14:paraId="3B92C096">
            <w:pPr>
              <w:spacing w:line="248" w:lineRule="auto"/>
              <w:rPr>
                <w:rFonts w:ascii="Arial"/>
                <w:sz w:val="21"/>
              </w:rPr>
            </w:pPr>
          </w:p>
          <w:p w14:paraId="04973DCC">
            <w:pPr>
              <w:pStyle w:val="8"/>
              <w:spacing w:before="58" w:line="183" w:lineRule="auto"/>
              <w:ind w:left="222"/>
              <w:rPr>
                <w:rFonts w:hint="eastAsia" w:eastAsia="宋体"/>
                <w:lang w:eastAsia="zh-CN"/>
              </w:rPr>
            </w:pPr>
            <w:r>
              <w:rPr>
                <w:spacing w:val="-4"/>
              </w:rPr>
              <w:t>6</w:t>
            </w:r>
            <w:r>
              <w:rPr>
                <w:rFonts w:hint="eastAsia"/>
                <w:spacing w:val="-4"/>
                <w:lang w:val="en-US" w:eastAsia="zh-CN"/>
              </w:rPr>
              <w:t>3</w:t>
            </w:r>
          </w:p>
        </w:tc>
        <w:tc>
          <w:tcPr>
            <w:tcW w:w="1101" w:type="dxa"/>
            <w:vAlign w:val="top"/>
          </w:tcPr>
          <w:p w14:paraId="6195FE1A">
            <w:pPr>
              <w:spacing w:line="246" w:lineRule="auto"/>
              <w:rPr>
                <w:rFonts w:ascii="Arial"/>
                <w:sz w:val="21"/>
              </w:rPr>
            </w:pPr>
          </w:p>
          <w:p w14:paraId="7CE13C62">
            <w:pPr>
              <w:spacing w:line="246" w:lineRule="auto"/>
              <w:rPr>
                <w:rFonts w:ascii="Arial"/>
                <w:sz w:val="21"/>
              </w:rPr>
            </w:pPr>
          </w:p>
          <w:p w14:paraId="62945AEB">
            <w:pPr>
              <w:spacing w:line="246" w:lineRule="auto"/>
              <w:rPr>
                <w:rFonts w:ascii="Arial"/>
                <w:sz w:val="21"/>
              </w:rPr>
            </w:pPr>
          </w:p>
          <w:p w14:paraId="03DB94B2">
            <w:pPr>
              <w:spacing w:line="246" w:lineRule="auto"/>
              <w:rPr>
                <w:rFonts w:ascii="Arial"/>
                <w:sz w:val="21"/>
              </w:rPr>
            </w:pPr>
          </w:p>
          <w:p w14:paraId="01195524">
            <w:pPr>
              <w:spacing w:line="247" w:lineRule="auto"/>
              <w:rPr>
                <w:rFonts w:ascii="Arial"/>
                <w:sz w:val="21"/>
              </w:rPr>
            </w:pPr>
          </w:p>
          <w:p w14:paraId="4998582B">
            <w:pPr>
              <w:spacing w:line="247" w:lineRule="auto"/>
              <w:rPr>
                <w:rFonts w:ascii="Arial"/>
                <w:sz w:val="21"/>
              </w:rPr>
            </w:pPr>
          </w:p>
          <w:p w14:paraId="32AF5179">
            <w:pPr>
              <w:spacing w:line="247" w:lineRule="auto"/>
              <w:rPr>
                <w:rFonts w:ascii="Arial"/>
                <w:sz w:val="21"/>
              </w:rPr>
            </w:pPr>
          </w:p>
          <w:p w14:paraId="48BE2C8C">
            <w:pPr>
              <w:spacing w:line="247" w:lineRule="auto"/>
              <w:rPr>
                <w:rFonts w:ascii="Arial"/>
                <w:sz w:val="21"/>
              </w:rPr>
            </w:pPr>
          </w:p>
          <w:p w14:paraId="5FFC0AE5">
            <w:pPr>
              <w:spacing w:line="247" w:lineRule="auto"/>
              <w:rPr>
                <w:rFonts w:ascii="Arial"/>
                <w:sz w:val="21"/>
              </w:rPr>
            </w:pPr>
          </w:p>
          <w:p w14:paraId="25825008">
            <w:pPr>
              <w:spacing w:line="247" w:lineRule="auto"/>
              <w:rPr>
                <w:rFonts w:ascii="Arial"/>
                <w:sz w:val="21"/>
              </w:rPr>
            </w:pPr>
          </w:p>
          <w:p w14:paraId="4D175DAF">
            <w:pPr>
              <w:pStyle w:val="8"/>
              <w:spacing w:before="58" w:line="242" w:lineRule="auto"/>
              <w:ind w:left="20" w:right="20" w:hanging="2"/>
              <w:jc w:val="both"/>
            </w:pPr>
            <w:r>
              <w:rPr>
                <w:spacing w:val="-6"/>
              </w:rPr>
              <w:t>对擅自从事或</w:t>
            </w:r>
            <w:r>
              <w:rPr>
                <w:spacing w:val="2"/>
              </w:rPr>
              <w:t xml:space="preserve"> </w:t>
            </w:r>
            <w:r>
              <w:rPr>
                <w:spacing w:val="-6"/>
              </w:rPr>
              <w:t>者变相从事网</w:t>
            </w:r>
            <w:r>
              <w:t xml:space="preserve"> </w:t>
            </w:r>
            <w:r>
              <w:rPr>
                <w:spacing w:val="-6"/>
              </w:rPr>
              <w:t>约车经营活动</w:t>
            </w:r>
            <w:r>
              <w:t xml:space="preserve"> </w:t>
            </w:r>
            <w:r>
              <w:rPr>
                <w:spacing w:val="-6"/>
              </w:rPr>
              <w:t>等行为的行政</w:t>
            </w:r>
            <w:r>
              <w:t xml:space="preserve"> </w:t>
            </w:r>
            <w:r>
              <w:rPr>
                <w:spacing w:val="-5"/>
              </w:rPr>
              <w:t>处罚</w:t>
            </w:r>
          </w:p>
        </w:tc>
        <w:tc>
          <w:tcPr>
            <w:tcW w:w="1101" w:type="dxa"/>
            <w:vAlign w:val="top"/>
          </w:tcPr>
          <w:p w14:paraId="758FB511">
            <w:pPr>
              <w:spacing w:line="245" w:lineRule="auto"/>
              <w:rPr>
                <w:rFonts w:ascii="Arial"/>
                <w:sz w:val="21"/>
              </w:rPr>
            </w:pPr>
          </w:p>
          <w:p w14:paraId="750842C9">
            <w:pPr>
              <w:spacing w:line="245" w:lineRule="auto"/>
              <w:rPr>
                <w:rFonts w:ascii="Arial"/>
                <w:sz w:val="21"/>
              </w:rPr>
            </w:pPr>
          </w:p>
          <w:p w14:paraId="30F17A2E">
            <w:pPr>
              <w:spacing w:line="245" w:lineRule="auto"/>
              <w:rPr>
                <w:rFonts w:ascii="Arial"/>
                <w:sz w:val="21"/>
              </w:rPr>
            </w:pPr>
          </w:p>
          <w:p w14:paraId="56368FEB">
            <w:pPr>
              <w:spacing w:line="245" w:lineRule="auto"/>
              <w:rPr>
                <w:rFonts w:ascii="Arial"/>
                <w:sz w:val="21"/>
              </w:rPr>
            </w:pPr>
          </w:p>
          <w:p w14:paraId="0EA5BB36">
            <w:pPr>
              <w:spacing w:line="245" w:lineRule="auto"/>
              <w:rPr>
                <w:rFonts w:ascii="Arial"/>
                <w:sz w:val="21"/>
              </w:rPr>
            </w:pPr>
          </w:p>
          <w:p w14:paraId="53D93219">
            <w:pPr>
              <w:spacing w:line="245" w:lineRule="auto"/>
              <w:rPr>
                <w:rFonts w:ascii="Arial"/>
                <w:sz w:val="21"/>
              </w:rPr>
            </w:pPr>
          </w:p>
          <w:p w14:paraId="58E93679">
            <w:pPr>
              <w:spacing w:line="245" w:lineRule="auto"/>
              <w:rPr>
                <w:rFonts w:ascii="Arial"/>
                <w:sz w:val="21"/>
              </w:rPr>
            </w:pPr>
          </w:p>
          <w:p w14:paraId="19F49B91">
            <w:pPr>
              <w:spacing w:line="245" w:lineRule="auto"/>
              <w:rPr>
                <w:rFonts w:ascii="Arial"/>
                <w:sz w:val="21"/>
              </w:rPr>
            </w:pPr>
          </w:p>
          <w:p w14:paraId="6CED3F07">
            <w:pPr>
              <w:spacing w:line="246" w:lineRule="auto"/>
              <w:rPr>
                <w:rFonts w:ascii="Arial"/>
                <w:sz w:val="21"/>
              </w:rPr>
            </w:pPr>
          </w:p>
          <w:p w14:paraId="0A26CFFC">
            <w:pPr>
              <w:spacing w:line="246" w:lineRule="auto"/>
              <w:rPr>
                <w:rFonts w:ascii="Arial"/>
                <w:sz w:val="21"/>
              </w:rPr>
            </w:pPr>
          </w:p>
          <w:p w14:paraId="3FCEF7A4">
            <w:pPr>
              <w:spacing w:line="246" w:lineRule="auto"/>
              <w:rPr>
                <w:rFonts w:ascii="Arial"/>
                <w:sz w:val="21"/>
              </w:rPr>
            </w:pPr>
          </w:p>
          <w:p w14:paraId="613587BC">
            <w:pPr>
              <w:spacing w:line="246" w:lineRule="auto"/>
              <w:rPr>
                <w:rFonts w:ascii="Arial"/>
                <w:sz w:val="21"/>
              </w:rPr>
            </w:pPr>
          </w:p>
          <w:p w14:paraId="4687DA86">
            <w:pPr>
              <w:pStyle w:val="8"/>
              <w:spacing w:before="59" w:line="220" w:lineRule="auto"/>
              <w:ind w:left="25"/>
            </w:pPr>
            <w:r>
              <w:rPr>
                <w:spacing w:val="-7"/>
              </w:rPr>
              <w:t>行政处罚</w:t>
            </w:r>
          </w:p>
        </w:tc>
        <w:tc>
          <w:tcPr>
            <w:tcW w:w="8524" w:type="dxa"/>
            <w:vAlign w:val="top"/>
          </w:tcPr>
          <w:p w14:paraId="63C6CFE4">
            <w:pPr>
              <w:pStyle w:val="8"/>
              <w:spacing w:before="25" w:line="219" w:lineRule="auto"/>
              <w:ind w:left="451"/>
            </w:pPr>
            <w:r>
              <w:rPr>
                <w:b/>
                <w:bCs/>
                <w:spacing w:val="-8"/>
              </w:rPr>
              <w:t>《网络预约出租汽车经营服务管理暂行办法》(交</w:t>
            </w:r>
            <w:r>
              <w:rPr>
                <w:b/>
                <w:bCs/>
                <w:spacing w:val="-9"/>
              </w:rPr>
              <w:t>通运输部令2022年第42号)</w:t>
            </w:r>
          </w:p>
          <w:p w14:paraId="7DA6E447">
            <w:pPr>
              <w:pStyle w:val="8"/>
              <w:spacing w:before="15" w:line="234" w:lineRule="auto"/>
              <w:ind w:left="102" w:right="18" w:firstLine="343"/>
            </w:pPr>
            <w:r>
              <w:rPr>
                <w:spacing w:val="-8"/>
              </w:rPr>
              <w:t>第六条  申请从事网约车经营的，应当根据经营区域向相应的出租汽车行政主管部门提出申请，并提交以</w:t>
            </w:r>
            <w:r>
              <w:t xml:space="preserve">  </w:t>
            </w:r>
            <w:r>
              <w:rPr>
                <w:spacing w:val="-7"/>
              </w:rPr>
              <w:t>下材料</w:t>
            </w:r>
            <w:r>
              <w:rPr>
                <w:spacing w:val="-21"/>
              </w:rPr>
              <w:t>：（</w:t>
            </w:r>
            <w:r>
              <w:rPr>
                <w:spacing w:val="-7"/>
              </w:rPr>
              <w:t>一）网络预约出租汽车经营申请表（见附</w:t>
            </w:r>
            <w:r>
              <w:rPr>
                <w:spacing w:val="-8"/>
              </w:rPr>
              <w:t>件</w:t>
            </w:r>
            <w:r>
              <w:rPr>
                <w:spacing w:val="-21"/>
              </w:rPr>
              <w:t>）；（</w:t>
            </w:r>
            <w:r>
              <w:rPr>
                <w:spacing w:val="-8"/>
              </w:rPr>
              <w:t>二）投资人、负责人身份、资信证明及其复印件，</w:t>
            </w:r>
            <w:r>
              <w:rPr>
                <w:spacing w:val="3"/>
              </w:rPr>
              <w:t xml:space="preserve"> </w:t>
            </w:r>
            <w:r>
              <w:rPr>
                <w:spacing w:val="-9"/>
              </w:rPr>
              <w:t>经办人的身份证明及其复印件和委托书</w:t>
            </w:r>
            <w:r>
              <w:rPr>
                <w:spacing w:val="-47"/>
                <w:w w:val="98"/>
              </w:rPr>
              <w:t>；（</w:t>
            </w:r>
            <w:r>
              <w:rPr>
                <w:spacing w:val="-9"/>
              </w:rPr>
              <w:t>三）企业法人营业执照，属于分支机构的还应当提交营业执照</w:t>
            </w:r>
            <w:r>
              <w:rPr>
                <w:spacing w:val="-47"/>
                <w:w w:val="98"/>
              </w:rPr>
              <w:t>；（</w:t>
            </w:r>
            <w:r>
              <w:rPr>
                <w:spacing w:val="-9"/>
              </w:rPr>
              <w:t>四）</w:t>
            </w:r>
            <w:r>
              <w:rPr>
                <w:spacing w:val="3"/>
              </w:rPr>
              <w:t xml:space="preserve"> </w:t>
            </w:r>
            <w:r>
              <w:rPr>
                <w:spacing w:val="-7"/>
              </w:rPr>
              <w:t>服务所在地办公场所、负责人员和管理人员等信息</w:t>
            </w:r>
            <w:r>
              <w:rPr>
                <w:spacing w:val="-22"/>
              </w:rPr>
              <w:t>；（</w:t>
            </w:r>
            <w:r>
              <w:rPr>
                <w:spacing w:val="-7"/>
              </w:rPr>
              <w:t>五）具</w:t>
            </w:r>
            <w:r>
              <w:rPr>
                <w:spacing w:val="-8"/>
              </w:rPr>
              <w:t>备互联网平台和信息数据交互及处理能力的证明</w:t>
            </w:r>
            <w:r>
              <w:t xml:space="preserve">  </w:t>
            </w:r>
            <w:r>
              <w:rPr>
                <w:spacing w:val="-9"/>
              </w:rPr>
              <w:t>材料，具备供交通、通信、公安、税务、网信等相关监管部门依法调取查询相关网络数据信息条件的证明材料，</w:t>
            </w:r>
            <w:r>
              <w:rPr>
                <w:spacing w:val="8"/>
              </w:rPr>
              <w:t xml:space="preserve"> </w:t>
            </w:r>
            <w:r>
              <w:rPr>
                <w:spacing w:val="-8"/>
              </w:rPr>
              <w:t>数据库接入情况说明，服务器设置在中国内地的情况说明，依法建立并落实网络安全管理制度和安全保护</w:t>
            </w:r>
            <w:r>
              <w:rPr>
                <w:spacing w:val="-9"/>
              </w:rPr>
              <w:t>技术</w:t>
            </w:r>
            <w:r>
              <w:t xml:space="preserve">  </w:t>
            </w:r>
            <w:r>
              <w:rPr>
                <w:spacing w:val="-7"/>
              </w:rPr>
              <w:t>措施的证明材料</w:t>
            </w:r>
            <w:r>
              <w:rPr>
                <w:spacing w:val="-25"/>
              </w:rPr>
              <w:t>；（</w:t>
            </w:r>
            <w:r>
              <w:rPr>
                <w:spacing w:val="-7"/>
              </w:rPr>
              <w:t>六）使用电子支付的，应当提供与银行</w:t>
            </w:r>
            <w:r>
              <w:rPr>
                <w:spacing w:val="-8"/>
              </w:rPr>
              <w:t>、非银行支付机构签订的支付结算服务协议</w:t>
            </w:r>
            <w:r>
              <w:rPr>
                <w:spacing w:val="-25"/>
              </w:rPr>
              <w:t>；（</w:t>
            </w:r>
            <w:r>
              <w:rPr>
                <w:spacing w:val="-8"/>
              </w:rPr>
              <w:t>七）</w:t>
            </w:r>
            <w:r>
              <w:rPr>
                <w:spacing w:val="3"/>
              </w:rPr>
              <w:t xml:space="preserve"> </w:t>
            </w:r>
            <w:r>
              <w:rPr>
                <w:spacing w:val="-7"/>
              </w:rPr>
              <w:t>经营管理制度、安全生产管理制度和服务质量保障制度文本</w:t>
            </w:r>
            <w:r>
              <w:rPr>
                <w:spacing w:val="-22"/>
              </w:rPr>
              <w:t>；（</w:t>
            </w:r>
            <w:r>
              <w:rPr>
                <w:spacing w:val="-7"/>
              </w:rPr>
              <w:t>八）法律法规要求</w:t>
            </w:r>
            <w:r>
              <w:rPr>
                <w:spacing w:val="-8"/>
              </w:rPr>
              <w:t>提供的其他材料。</w:t>
            </w:r>
          </w:p>
          <w:p w14:paraId="2FE90183">
            <w:pPr>
              <w:pStyle w:val="8"/>
              <w:spacing w:before="19" w:line="231" w:lineRule="auto"/>
              <w:ind w:left="105" w:right="21" w:firstLine="343"/>
            </w:pPr>
            <w:r>
              <w:rPr>
                <w:spacing w:val="-9"/>
              </w:rPr>
              <w:t>首次从事网约车经营的，应当向企业注册地相应出租汽车行政主管部门提出申请，前款第（五）、第（六）</w:t>
            </w:r>
            <w:r>
              <w:rPr>
                <w:spacing w:val="1"/>
              </w:rPr>
              <w:t xml:space="preserve"> </w:t>
            </w:r>
            <w:r>
              <w:rPr>
                <w:spacing w:val="-8"/>
              </w:rPr>
              <w:t>项有关线上服务能力材料由网约车平台公司注册地省级交通运输主管部门商同级通信、公安、税务、</w:t>
            </w:r>
            <w:r>
              <w:rPr>
                <w:spacing w:val="-9"/>
              </w:rPr>
              <w:t>网信、人</w:t>
            </w:r>
            <w:r>
              <w:t xml:space="preserve">  </w:t>
            </w:r>
            <w:r>
              <w:rPr>
                <w:spacing w:val="-8"/>
              </w:rPr>
              <w:t>民银行等部门审核认定，并提供相应认定结果，认定结果全国有效。网约车平台公司在注册地以外申</w:t>
            </w:r>
            <w:r>
              <w:rPr>
                <w:spacing w:val="-9"/>
              </w:rPr>
              <w:t>请从事网</w:t>
            </w:r>
            <w:r>
              <w:t xml:space="preserve">  </w:t>
            </w:r>
            <w:r>
              <w:rPr>
                <w:spacing w:val="-8"/>
              </w:rPr>
              <w:t>约车经营的，应当提交前款第（五）、第（六）项有关线上服务能力认定结果。</w:t>
            </w:r>
          </w:p>
          <w:p w14:paraId="610B3D55">
            <w:pPr>
              <w:pStyle w:val="8"/>
              <w:spacing w:before="16" w:line="219" w:lineRule="auto"/>
              <w:ind w:left="446"/>
            </w:pPr>
            <w:r>
              <w:rPr>
                <w:spacing w:val="-8"/>
              </w:rPr>
              <w:t>其他线下服务能力材料，由受理申请的出租汽车行政主管部门进行审核。</w:t>
            </w:r>
          </w:p>
          <w:p w14:paraId="36D4790C">
            <w:pPr>
              <w:pStyle w:val="8"/>
              <w:spacing w:before="16" w:line="228" w:lineRule="auto"/>
              <w:ind w:left="103" w:right="32" w:firstLine="341"/>
            </w:pPr>
            <w:r>
              <w:rPr>
                <w:spacing w:val="-9"/>
              </w:rPr>
              <w:t>第八条  出租汽车行政主管部门对于网约车经营申请作出行政许可决定的，应当明确经营范围、经营区域、</w:t>
            </w:r>
            <w:r>
              <w:rPr>
                <w:spacing w:val="1"/>
              </w:rPr>
              <w:t xml:space="preserve"> </w:t>
            </w:r>
            <w:r>
              <w:rPr>
                <w:spacing w:val="-9"/>
              </w:rPr>
              <w:t>经营期限等，并发放《网络预约出租汽车经营许可</w:t>
            </w:r>
            <w:r>
              <w:rPr>
                <w:spacing w:val="-10"/>
              </w:rPr>
              <w:t>证》。</w:t>
            </w:r>
          </w:p>
          <w:p w14:paraId="306FCAD3">
            <w:pPr>
              <w:pStyle w:val="8"/>
              <w:spacing w:before="16" w:line="228" w:lineRule="auto"/>
              <w:ind w:left="102" w:right="157" w:firstLine="342"/>
            </w:pPr>
            <w:r>
              <w:rPr>
                <w:spacing w:val="-8"/>
              </w:rPr>
              <w:t>第十三条第一款</w:t>
            </w:r>
            <w:r>
              <w:rPr>
                <w:spacing w:val="74"/>
              </w:rPr>
              <w:t xml:space="preserve"> </w:t>
            </w:r>
            <w:r>
              <w:rPr>
                <w:spacing w:val="-8"/>
              </w:rPr>
              <w:t>服务所在地出租汽车行政主管部门依车辆所有人或者网约车平台公司申请，按第十二条</w:t>
            </w:r>
            <w:r>
              <w:t xml:space="preserve"> </w:t>
            </w:r>
            <w:r>
              <w:rPr>
                <w:spacing w:val="-9"/>
              </w:rPr>
              <w:t>规定的条件审核后，对符合条件并登记为预约出租客运的车辆，发放《网络预约出租汽车运输证》。</w:t>
            </w:r>
          </w:p>
          <w:p w14:paraId="0F3245F7">
            <w:pPr>
              <w:pStyle w:val="8"/>
              <w:spacing w:before="14" w:line="228" w:lineRule="auto"/>
              <w:ind w:left="102" w:right="157" w:firstLine="342"/>
            </w:pPr>
            <w:r>
              <w:rPr>
                <w:spacing w:val="-8"/>
              </w:rPr>
              <w:t>第十五条</w:t>
            </w:r>
            <w:r>
              <w:rPr>
                <w:spacing w:val="74"/>
              </w:rPr>
              <w:t xml:space="preserve"> </w:t>
            </w:r>
            <w:r>
              <w:rPr>
                <w:spacing w:val="-8"/>
              </w:rPr>
              <w:t>服务所在地设区的市级出租汽车行政主管部门依驾驶员或者网约车平台公司申请，按第十四条</w:t>
            </w:r>
            <w:r>
              <w:t xml:space="preserve"> </w:t>
            </w:r>
            <w:r>
              <w:rPr>
                <w:spacing w:val="-8"/>
              </w:rPr>
              <w:t>规定的条件核查并按规定考核后，为符合条件</w:t>
            </w:r>
            <w:r>
              <w:rPr>
                <w:spacing w:val="-9"/>
              </w:rPr>
              <w:t>且考核合格的驾驶员，发放《网络预约出租汽车驾驶员证》。</w:t>
            </w:r>
          </w:p>
          <w:p w14:paraId="6FE5D993">
            <w:pPr>
              <w:pStyle w:val="8"/>
              <w:spacing w:before="19" w:line="232" w:lineRule="auto"/>
              <w:ind w:left="102" w:right="18" w:firstLine="343"/>
            </w:pPr>
            <w:r>
              <w:rPr>
                <w:spacing w:val="-8"/>
              </w:rPr>
              <w:t>第三十四条</w:t>
            </w:r>
            <w:r>
              <w:rPr>
                <w:spacing w:val="74"/>
              </w:rPr>
              <w:t xml:space="preserve"> </w:t>
            </w:r>
            <w:r>
              <w:rPr>
                <w:spacing w:val="-8"/>
              </w:rPr>
              <w:t>违反本规定，擅自从事或者变相从事网约车经营活动，有下列行为之一的，由县级以上出租</w:t>
            </w:r>
            <w:r>
              <w:t xml:space="preserve">  </w:t>
            </w:r>
            <w:r>
              <w:rPr>
                <w:spacing w:val="-10"/>
              </w:rPr>
              <w:t>汽车行政主管部门责令改正，予以警告，并按照以</w:t>
            </w:r>
            <w:r>
              <w:rPr>
                <w:spacing w:val="-11"/>
              </w:rPr>
              <w:t>下规定分别予以罚款；构成犯罪的，依法追究刑事责任</w:t>
            </w:r>
            <w:r>
              <w:rPr>
                <w:spacing w:val="-46"/>
                <w:w w:val="95"/>
              </w:rPr>
              <w:t>：（</w:t>
            </w:r>
            <w:r>
              <w:rPr>
                <w:spacing w:val="-11"/>
              </w:rPr>
              <w:t>一）</w:t>
            </w:r>
            <w:r>
              <w:rPr>
                <w:spacing w:val="3"/>
              </w:rPr>
              <w:t xml:space="preserve"> </w:t>
            </w:r>
            <w:r>
              <w:rPr>
                <w:spacing w:val="-7"/>
              </w:rPr>
              <w:t>未取得《网络预约出租汽车经营许可证》的，对网约车平台公司处以10000元以上30000元以下罚款</w:t>
            </w:r>
            <w:r>
              <w:rPr>
                <w:spacing w:val="-14"/>
              </w:rPr>
              <w:t>；（</w:t>
            </w:r>
            <w:r>
              <w:rPr>
                <w:spacing w:val="-7"/>
              </w:rPr>
              <w:t>二）未</w:t>
            </w:r>
            <w:r>
              <w:t xml:space="preserve">  </w:t>
            </w:r>
            <w:r>
              <w:rPr>
                <w:spacing w:val="-7"/>
              </w:rPr>
              <w:t>取得《网络预约出租汽车运输证》的，对当事人处以3000元以上10000元以下罚款</w:t>
            </w:r>
            <w:r>
              <w:rPr>
                <w:spacing w:val="-25"/>
              </w:rPr>
              <w:t>；（</w:t>
            </w:r>
            <w:r>
              <w:rPr>
                <w:spacing w:val="-7"/>
              </w:rPr>
              <w:t>三）未取得</w:t>
            </w:r>
            <w:r>
              <w:rPr>
                <w:spacing w:val="-8"/>
              </w:rPr>
              <w:t>《网络预约出</w:t>
            </w:r>
            <w:r>
              <w:t xml:space="preserve"> </w:t>
            </w:r>
            <w:r>
              <w:rPr>
                <w:spacing w:val="-7"/>
              </w:rPr>
              <w:t>租汽车驾驶员证》的，对当事人处以200元以上2000元以下罚款。</w:t>
            </w:r>
          </w:p>
          <w:p w14:paraId="3F55C5CC">
            <w:pPr>
              <w:pStyle w:val="8"/>
              <w:spacing w:before="15" w:line="215" w:lineRule="auto"/>
              <w:ind w:left="102" w:right="150" w:firstLine="343"/>
            </w:pPr>
            <w:r>
              <w:rPr>
                <w:spacing w:val="-8"/>
              </w:rPr>
              <w:t>伪造、变造或者使用伪造、变造、失效的《网络预约出租汽车运输证》《网络预约出租汽车驾驶员证》从</w:t>
            </w:r>
            <w:r>
              <w:t xml:space="preserve"> </w:t>
            </w:r>
            <w:r>
              <w:rPr>
                <w:spacing w:val="-8"/>
              </w:rPr>
              <w:t>事网约车经营活动的，分别按照前款第（二）项、第（三）项的规定予以罚款。</w:t>
            </w:r>
          </w:p>
        </w:tc>
        <w:tc>
          <w:tcPr>
            <w:tcW w:w="1011" w:type="dxa"/>
            <w:vAlign w:val="top"/>
          </w:tcPr>
          <w:p w14:paraId="18853DCC">
            <w:pPr>
              <w:spacing w:line="256" w:lineRule="auto"/>
              <w:rPr>
                <w:rFonts w:ascii="Arial"/>
                <w:sz w:val="21"/>
              </w:rPr>
            </w:pPr>
          </w:p>
          <w:p w14:paraId="70925CF2">
            <w:pPr>
              <w:spacing w:line="256" w:lineRule="auto"/>
              <w:rPr>
                <w:rFonts w:ascii="Arial"/>
                <w:sz w:val="21"/>
              </w:rPr>
            </w:pPr>
          </w:p>
          <w:p w14:paraId="1D51D974">
            <w:pPr>
              <w:spacing w:line="257" w:lineRule="auto"/>
              <w:rPr>
                <w:rFonts w:ascii="Arial"/>
                <w:sz w:val="21"/>
              </w:rPr>
            </w:pPr>
          </w:p>
          <w:p w14:paraId="57ED99D5">
            <w:pPr>
              <w:spacing w:line="257" w:lineRule="auto"/>
              <w:rPr>
                <w:rFonts w:ascii="Arial"/>
                <w:sz w:val="21"/>
              </w:rPr>
            </w:pPr>
          </w:p>
          <w:p w14:paraId="23864256">
            <w:pPr>
              <w:spacing w:line="257" w:lineRule="auto"/>
              <w:rPr>
                <w:rFonts w:ascii="Arial"/>
                <w:sz w:val="21"/>
              </w:rPr>
            </w:pPr>
          </w:p>
          <w:p w14:paraId="40C2CC10">
            <w:pPr>
              <w:spacing w:line="257" w:lineRule="auto"/>
              <w:rPr>
                <w:rFonts w:ascii="Arial"/>
                <w:sz w:val="21"/>
              </w:rPr>
            </w:pPr>
          </w:p>
          <w:p w14:paraId="2C383032">
            <w:pPr>
              <w:spacing w:line="257" w:lineRule="auto"/>
              <w:rPr>
                <w:rFonts w:ascii="Arial"/>
                <w:sz w:val="21"/>
              </w:rPr>
            </w:pPr>
          </w:p>
          <w:p w14:paraId="1BEFE5BF">
            <w:pPr>
              <w:spacing w:line="257" w:lineRule="auto"/>
              <w:rPr>
                <w:rFonts w:ascii="Arial"/>
                <w:sz w:val="21"/>
              </w:rPr>
            </w:pPr>
          </w:p>
          <w:p w14:paraId="4CC582F0">
            <w:pPr>
              <w:spacing w:line="257" w:lineRule="auto"/>
              <w:rPr>
                <w:rFonts w:ascii="Arial"/>
                <w:sz w:val="21"/>
              </w:rPr>
            </w:pPr>
          </w:p>
          <w:p w14:paraId="71948619">
            <w:pPr>
              <w:spacing w:line="257" w:lineRule="auto"/>
              <w:rPr>
                <w:rFonts w:ascii="Arial"/>
                <w:sz w:val="21"/>
              </w:rPr>
            </w:pPr>
          </w:p>
          <w:p w14:paraId="7A76119F">
            <w:pPr>
              <w:spacing w:line="257" w:lineRule="auto"/>
              <w:rPr>
                <w:rFonts w:ascii="Arial"/>
                <w:sz w:val="21"/>
              </w:rPr>
            </w:pPr>
          </w:p>
          <w:p w14:paraId="0C92DEE3">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D753245">
            <w:pPr>
              <w:spacing w:line="256" w:lineRule="auto"/>
              <w:rPr>
                <w:rFonts w:ascii="Arial"/>
                <w:sz w:val="21"/>
              </w:rPr>
            </w:pPr>
          </w:p>
          <w:p w14:paraId="25B080E1">
            <w:pPr>
              <w:spacing w:line="256" w:lineRule="auto"/>
              <w:rPr>
                <w:rFonts w:ascii="Arial"/>
                <w:sz w:val="21"/>
              </w:rPr>
            </w:pPr>
          </w:p>
          <w:p w14:paraId="15D878B3">
            <w:pPr>
              <w:spacing w:line="257" w:lineRule="auto"/>
              <w:rPr>
                <w:rFonts w:ascii="Arial"/>
                <w:sz w:val="21"/>
              </w:rPr>
            </w:pPr>
          </w:p>
          <w:p w14:paraId="289E9FFA">
            <w:pPr>
              <w:spacing w:line="257" w:lineRule="auto"/>
              <w:rPr>
                <w:rFonts w:ascii="Arial"/>
                <w:sz w:val="21"/>
              </w:rPr>
            </w:pPr>
          </w:p>
          <w:p w14:paraId="21F09223">
            <w:pPr>
              <w:spacing w:line="257" w:lineRule="auto"/>
              <w:rPr>
                <w:rFonts w:ascii="Arial"/>
                <w:sz w:val="21"/>
              </w:rPr>
            </w:pPr>
          </w:p>
          <w:p w14:paraId="3736F081">
            <w:pPr>
              <w:spacing w:line="257" w:lineRule="auto"/>
              <w:rPr>
                <w:rFonts w:ascii="Arial"/>
                <w:sz w:val="21"/>
              </w:rPr>
            </w:pPr>
          </w:p>
          <w:p w14:paraId="0BA66748">
            <w:pPr>
              <w:spacing w:line="257" w:lineRule="auto"/>
              <w:rPr>
                <w:rFonts w:ascii="Arial"/>
                <w:sz w:val="21"/>
              </w:rPr>
            </w:pPr>
          </w:p>
          <w:p w14:paraId="5610F5BC">
            <w:pPr>
              <w:spacing w:line="257" w:lineRule="auto"/>
              <w:rPr>
                <w:rFonts w:ascii="Arial"/>
                <w:sz w:val="21"/>
              </w:rPr>
            </w:pPr>
          </w:p>
          <w:p w14:paraId="65ABCAEB">
            <w:pPr>
              <w:spacing w:line="257" w:lineRule="auto"/>
              <w:rPr>
                <w:rFonts w:ascii="Arial"/>
                <w:sz w:val="21"/>
              </w:rPr>
            </w:pPr>
          </w:p>
          <w:p w14:paraId="296309DA">
            <w:pPr>
              <w:spacing w:line="257" w:lineRule="auto"/>
              <w:rPr>
                <w:rFonts w:ascii="Arial"/>
                <w:sz w:val="21"/>
              </w:rPr>
            </w:pPr>
          </w:p>
          <w:p w14:paraId="275DB6D2">
            <w:pPr>
              <w:spacing w:line="257" w:lineRule="auto"/>
              <w:rPr>
                <w:rFonts w:ascii="Arial"/>
                <w:sz w:val="21"/>
              </w:rPr>
            </w:pPr>
          </w:p>
          <w:p w14:paraId="12961037">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E8BF2E5">
            <w:pPr>
              <w:spacing w:line="258" w:lineRule="auto"/>
              <w:rPr>
                <w:rFonts w:ascii="Arial"/>
                <w:sz w:val="21"/>
              </w:rPr>
            </w:pPr>
          </w:p>
          <w:p w14:paraId="7D982FB7">
            <w:pPr>
              <w:spacing w:line="258" w:lineRule="auto"/>
              <w:rPr>
                <w:rFonts w:ascii="Arial"/>
                <w:sz w:val="21"/>
              </w:rPr>
            </w:pPr>
          </w:p>
          <w:p w14:paraId="07904567">
            <w:pPr>
              <w:spacing w:line="259" w:lineRule="auto"/>
              <w:rPr>
                <w:rFonts w:ascii="Arial"/>
                <w:sz w:val="21"/>
              </w:rPr>
            </w:pPr>
          </w:p>
          <w:p w14:paraId="26406768">
            <w:pPr>
              <w:spacing w:line="259" w:lineRule="auto"/>
              <w:rPr>
                <w:rFonts w:ascii="Arial"/>
                <w:sz w:val="21"/>
              </w:rPr>
            </w:pPr>
          </w:p>
          <w:p w14:paraId="7DDD100D">
            <w:pPr>
              <w:spacing w:line="259" w:lineRule="auto"/>
              <w:rPr>
                <w:rFonts w:ascii="Arial"/>
                <w:sz w:val="21"/>
              </w:rPr>
            </w:pPr>
          </w:p>
          <w:p w14:paraId="3D625E9E">
            <w:pPr>
              <w:spacing w:line="259" w:lineRule="auto"/>
              <w:rPr>
                <w:rFonts w:ascii="Arial"/>
                <w:sz w:val="21"/>
              </w:rPr>
            </w:pPr>
          </w:p>
          <w:p w14:paraId="4E9DC12F">
            <w:pPr>
              <w:spacing w:line="259" w:lineRule="auto"/>
              <w:rPr>
                <w:rFonts w:ascii="Arial"/>
                <w:sz w:val="21"/>
              </w:rPr>
            </w:pPr>
          </w:p>
          <w:p w14:paraId="0BF34699">
            <w:pPr>
              <w:spacing w:line="259" w:lineRule="auto"/>
              <w:rPr>
                <w:rFonts w:ascii="Arial"/>
                <w:sz w:val="21"/>
              </w:rPr>
            </w:pPr>
          </w:p>
          <w:p w14:paraId="55A3BBFA">
            <w:pPr>
              <w:spacing w:line="259" w:lineRule="auto"/>
              <w:rPr>
                <w:rFonts w:ascii="Arial"/>
                <w:sz w:val="21"/>
              </w:rPr>
            </w:pPr>
          </w:p>
          <w:p w14:paraId="4EA2AA2F">
            <w:pPr>
              <w:spacing w:line="259" w:lineRule="auto"/>
              <w:rPr>
                <w:rFonts w:ascii="Arial"/>
                <w:sz w:val="21"/>
              </w:rPr>
            </w:pPr>
          </w:p>
          <w:p w14:paraId="2812A682">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374AD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49" w:hRule="atLeast"/>
        </w:trPr>
        <w:tc>
          <w:tcPr>
            <w:tcW w:w="629" w:type="dxa"/>
            <w:vAlign w:val="top"/>
          </w:tcPr>
          <w:p w14:paraId="41984C5E">
            <w:pPr>
              <w:spacing w:line="241" w:lineRule="auto"/>
              <w:rPr>
                <w:rFonts w:ascii="Arial"/>
                <w:sz w:val="21"/>
              </w:rPr>
            </w:pPr>
          </w:p>
          <w:p w14:paraId="07C4C20F">
            <w:pPr>
              <w:spacing w:line="241" w:lineRule="auto"/>
              <w:rPr>
                <w:rFonts w:ascii="Arial"/>
                <w:sz w:val="21"/>
              </w:rPr>
            </w:pPr>
          </w:p>
          <w:p w14:paraId="179A21B7">
            <w:pPr>
              <w:spacing w:line="242" w:lineRule="auto"/>
              <w:rPr>
                <w:rFonts w:ascii="Arial"/>
                <w:sz w:val="21"/>
              </w:rPr>
            </w:pPr>
          </w:p>
          <w:p w14:paraId="78DD1A50">
            <w:pPr>
              <w:spacing w:line="242" w:lineRule="auto"/>
              <w:rPr>
                <w:rFonts w:ascii="Arial"/>
                <w:sz w:val="21"/>
              </w:rPr>
            </w:pPr>
          </w:p>
          <w:p w14:paraId="2921264E">
            <w:pPr>
              <w:spacing w:line="242" w:lineRule="auto"/>
              <w:rPr>
                <w:rFonts w:ascii="Arial"/>
                <w:sz w:val="21"/>
              </w:rPr>
            </w:pPr>
          </w:p>
          <w:p w14:paraId="3C3C21BA">
            <w:pPr>
              <w:pStyle w:val="8"/>
              <w:spacing w:before="59" w:line="183" w:lineRule="auto"/>
              <w:ind w:left="222"/>
              <w:rPr>
                <w:rFonts w:hint="eastAsia" w:eastAsia="宋体"/>
                <w:lang w:eastAsia="zh-CN"/>
              </w:rPr>
            </w:pPr>
            <w:r>
              <w:rPr>
                <w:spacing w:val="-4"/>
              </w:rPr>
              <w:t>6</w:t>
            </w:r>
            <w:r>
              <w:rPr>
                <w:rFonts w:hint="eastAsia"/>
                <w:spacing w:val="-4"/>
                <w:lang w:val="en-US" w:eastAsia="zh-CN"/>
              </w:rPr>
              <w:t>4</w:t>
            </w:r>
          </w:p>
        </w:tc>
        <w:tc>
          <w:tcPr>
            <w:tcW w:w="1101" w:type="dxa"/>
            <w:vAlign w:val="top"/>
          </w:tcPr>
          <w:p w14:paraId="3D11F84C">
            <w:pPr>
              <w:spacing w:line="274" w:lineRule="auto"/>
              <w:rPr>
                <w:rFonts w:ascii="Arial"/>
                <w:sz w:val="21"/>
              </w:rPr>
            </w:pPr>
          </w:p>
          <w:p w14:paraId="50EF1593">
            <w:pPr>
              <w:spacing w:line="274" w:lineRule="auto"/>
              <w:rPr>
                <w:rFonts w:ascii="Arial"/>
                <w:sz w:val="21"/>
              </w:rPr>
            </w:pPr>
          </w:p>
          <w:p w14:paraId="7EA7572D">
            <w:pPr>
              <w:spacing w:line="274" w:lineRule="auto"/>
              <w:rPr>
                <w:rFonts w:ascii="Arial"/>
                <w:sz w:val="21"/>
              </w:rPr>
            </w:pPr>
          </w:p>
          <w:p w14:paraId="0615E9DF">
            <w:pPr>
              <w:pStyle w:val="8"/>
              <w:spacing w:before="58"/>
              <w:ind w:left="18" w:right="20"/>
              <w:jc w:val="both"/>
            </w:pPr>
            <w:r>
              <w:rPr>
                <w:spacing w:val="-6"/>
              </w:rPr>
              <w:t>对网约车平台</w:t>
            </w:r>
            <w:r>
              <w:rPr>
                <w:spacing w:val="2"/>
              </w:rPr>
              <w:t xml:space="preserve"> </w:t>
            </w:r>
            <w:r>
              <w:rPr>
                <w:spacing w:val="-6"/>
              </w:rPr>
              <w:t>公司违反管理</w:t>
            </w:r>
            <w:r>
              <w:rPr>
                <w:spacing w:val="2"/>
              </w:rPr>
              <w:t xml:space="preserve"> </w:t>
            </w:r>
            <w:r>
              <w:rPr>
                <w:spacing w:val="-6"/>
              </w:rPr>
              <w:t>规定行为的行</w:t>
            </w:r>
            <w:r>
              <w:rPr>
                <w:spacing w:val="2"/>
              </w:rPr>
              <w:t xml:space="preserve"> </w:t>
            </w:r>
            <w:r>
              <w:rPr>
                <w:spacing w:val="-5"/>
              </w:rPr>
              <w:t>政处罚</w:t>
            </w:r>
          </w:p>
        </w:tc>
        <w:tc>
          <w:tcPr>
            <w:tcW w:w="1101" w:type="dxa"/>
            <w:vAlign w:val="top"/>
          </w:tcPr>
          <w:p w14:paraId="2B0136B1">
            <w:pPr>
              <w:spacing w:line="295" w:lineRule="auto"/>
              <w:rPr>
                <w:rFonts w:ascii="Arial"/>
                <w:sz w:val="21"/>
              </w:rPr>
            </w:pPr>
          </w:p>
          <w:p w14:paraId="16A54104">
            <w:pPr>
              <w:spacing w:line="295" w:lineRule="auto"/>
              <w:rPr>
                <w:rFonts w:ascii="Arial"/>
                <w:sz w:val="21"/>
              </w:rPr>
            </w:pPr>
          </w:p>
          <w:p w14:paraId="130D90F0">
            <w:pPr>
              <w:spacing w:line="295" w:lineRule="auto"/>
              <w:rPr>
                <w:rFonts w:ascii="Arial"/>
                <w:sz w:val="21"/>
              </w:rPr>
            </w:pPr>
          </w:p>
          <w:p w14:paraId="21693D98">
            <w:pPr>
              <w:spacing w:line="295" w:lineRule="auto"/>
              <w:rPr>
                <w:rFonts w:ascii="Arial"/>
                <w:sz w:val="21"/>
              </w:rPr>
            </w:pPr>
          </w:p>
          <w:p w14:paraId="00B92CCB">
            <w:pPr>
              <w:pStyle w:val="8"/>
              <w:spacing w:before="58" w:line="220" w:lineRule="auto"/>
              <w:ind w:left="25"/>
            </w:pPr>
            <w:r>
              <w:rPr>
                <w:spacing w:val="-7"/>
              </w:rPr>
              <w:t>行政处罚</w:t>
            </w:r>
          </w:p>
        </w:tc>
        <w:tc>
          <w:tcPr>
            <w:tcW w:w="8524" w:type="dxa"/>
            <w:vAlign w:val="top"/>
          </w:tcPr>
          <w:p w14:paraId="503E89D2">
            <w:pPr>
              <w:pStyle w:val="8"/>
              <w:spacing w:before="45" w:line="219" w:lineRule="auto"/>
              <w:ind w:left="451"/>
            </w:pPr>
            <w:r>
              <w:rPr>
                <w:b/>
                <w:bCs/>
                <w:spacing w:val="-8"/>
              </w:rPr>
              <w:t>《网络预约出租汽车经营服务管理暂行办法》(交</w:t>
            </w:r>
            <w:r>
              <w:rPr>
                <w:b/>
                <w:bCs/>
                <w:spacing w:val="-9"/>
              </w:rPr>
              <w:t>通运输部令2022年第42号)</w:t>
            </w:r>
          </w:p>
          <w:p w14:paraId="501BEC19">
            <w:pPr>
              <w:pStyle w:val="8"/>
              <w:spacing w:before="27" w:line="237" w:lineRule="auto"/>
              <w:ind w:left="101" w:right="150" w:firstLine="343"/>
              <w:jc w:val="both"/>
            </w:pPr>
            <w:r>
              <w:rPr>
                <w:spacing w:val="-8"/>
              </w:rPr>
              <w:t>第十七条  网约车平台公司应当保证提供服务车辆具备合法营运资质，技术状况良好，安全性能可靠，具</w:t>
            </w:r>
            <w:r>
              <w:t xml:space="preserve"> </w:t>
            </w:r>
            <w:r>
              <w:rPr>
                <w:spacing w:val="-8"/>
              </w:rPr>
              <w:t>有营运车辆相关保险，保证线上提供服务的车辆与线下实际提供服务的车辆一致，并将车辆相关信息向服务所</w:t>
            </w:r>
            <w:r>
              <w:t xml:space="preserve"> </w:t>
            </w:r>
            <w:r>
              <w:rPr>
                <w:spacing w:val="-8"/>
              </w:rPr>
              <w:t>在地出租汽车行政主管部门报备。</w:t>
            </w:r>
          </w:p>
          <w:p w14:paraId="001048C1">
            <w:pPr>
              <w:pStyle w:val="8"/>
              <w:spacing w:before="25" w:line="241" w:lineRule="auto"/>
              <w:ind w:left="101" w:right="150" w:firstLine="343"/>
              <w:jc w:val="both"/>
            </w:pPr>
            <w:r>
              <w:rPr>
                <w:spacing w:val="-8"/>
              </w:rPr>
              <w:t>第十八条  网约车平台公司应当保证提供服务的驾驶员具有合法从业资格，按照有关法律法规规定，根据</w:t>
            </w:r>
            <w:r>
              <w:t xml:space="preserve"> </w:t>
            </w:r>
            <w:r>
              <w:rPr>
                <w:spacing w:val="-8"/>
              </w:rPr>
              <w:t>工作时长、服务频次等特点，与驾驶员签订多种形式的劳动合同或者协议，明确双方的权利和义务。网约车平</w:t>
            </w:r>
            <w:r>
              <w:t xml:space="preserve"> </w:t>
            </w:r>
            <w:r>
              <w:rPr>
                <w:spacing w:val="-8"/>
              </w:rPr>
              <w:t>台公司应当维护和保障驾驶员合法权益，开展有关法律法规、职业道德、服务规范、安全运营等方面的岗前培</w:t>
            </w:r>
            <w:r>
              <w:t xml:space="preserve"> </w:t>
            </w:r>
            <w:r>
              <w:rPr>
                <w:spacing w:val="-8"/>
              </w:rPr>
              <w:t>训和日常教育，保证线上提供服务的驾驶员与线下实际提供服务的驾驶员一致，并将驾驶员相关信息向服务所</w:t>
            </w:r>
            <w:r>
              <w:t xml:space="preserve"> </w:t>
            </w:r>
            <w:r>
              <w:rPr>
                <w:spacing w:val="-8"/>
              </w:rPr>
              <w:t>在地出租汽车行政主管部门报备。</w:t>
            </w:r>
          </w:p>
          <w:p w14:paraId="3E7FB2C4">
            <w:pPr>
              <w:pStyle w:val="8"/>
              <w:spacing w:before="25" w:line="222" w:lineRule="auto"/>
              <w:ind w:left="104" w:right="181" w:firstLine="355"/>
            </w:pPr>
            <w:r>
              <w:rPr>
                <w:spacing w:val="-9"/>
              </w:rPr>
              <w:t>网约车平台公司应当记录驾驶员、约车人在其服务平台发布的信息内容、用户注册信息、身份认证信息、</w:t>
            </w:r>
            <w:r>
              <w:t xml:space="preserve"> </w:t>
            </w:r>
            <w:r>
              <w:rPr>
                <w:spacing w:val="-8"/>
              </w:rPr>
              <w:t>订单日志、上网日志、网上交易日志、行驶轨迹日志等数据并备份。</w:t>
            </w:r>
          </w:p>
        </w:tc>
        <w:tc>
          <w:tcPr>
            <w:tcW w:w="1011" w:type="dxa"/>
            <w:vAlign w:val="top"/>
          </w:tcPr>
          <w:p w14:paraId="54CD36A5">
            <w:pPr>
              <w:spacing w:line="265" w:lineRule="auto"/>
              <w:rPr>
                <w:rFonts w:ascii="Arial"/>
                <w:sz w:val="21"/>
              </w:rPr>
            </w:pPr>
          </w:p>
          <w:p w14:paraId="112A8764">
            <w:pPr>
              <w:spacing w:line="265" w:lineRule="auto"/>
              <w:rPr>
                <w:rFonts w:ascii="Arial"/>
                <w:sz w:val="21"/>
              </w:rPr>
            </w:pPr>
          </w:p>
          <w:p w14:paraId="06B7F5AA">
            <w:pPr>
              <w:spacing w:line="265" w:lineRule="auto"/>
              <w:rPr>
                <w:rFonts w:ascii="Arial"/>
                <w:sz w:val="21"/>
              </w:rPr>
            </w:pPr>
          </w:p>
          <w:p w14:paraId="0CC2609F">
            <w:pPr>
              <w:spacing w:line="265" w:lineRule="auto"/>
              <w:rPr>
                <w:rFonts w:ascii="Arial"/>
                <w:sz w:val="21"/>
              </w:rPr>
            </w:pPr>
          </w:p>
          <w:p w14:paraId="3675F201">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5C801537">
            <w:pPr>
              <w:spacing w:line="265" w:lineRule="auto"/>
              <w:rPr>
                <w:rFonts w:ascii="Arial"/>
                <w:sz w:val="21"/>
              </w:rPr>
            </w:pPr>
          </w:p>
          <w:p w14:paraId="7BF9407F">
            <w:pPr>
              <w:spacing w:line="265" w:lineRule="auto"/>
              <w:rPr>
                <w:rFonts w:ascii="Arial"/>
                <w:sz w:val="21"/>
              </w:rPr>
            </w:pPr>
          </w:p>
          <w:p w14:paraId="22C78194">
            <w:pPr>
              <w:spacing w:line="265" w:lineRule="auto"/>
              <w:rPr>
                <w:rFonts w:ascii="Arial"/>
                <w:sz w:val="21"/>
              </w:rPr>
            </w:pPr>
          </w:p>
          <w:p w14:paraId="409C32AC">
            <w:pPr>
              <w:spacing w:line="266" w:lineRule="auto"/>
              <w:rPr>
                <w:rFonts w:ascii="Arial"/>
                <w:sz w:val="21"/>
              </w:rPr>
            </w:pPr>
          </w:p>
          <w:p w14:paraId="05603A94">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A79C339">
            <w:pPr>
              <w:spacing w:line="274" w:lineRule="auto"/>
              <w:rPr>
                <w:rFonts w:ascii="Arial"/>
                <w:sz w:val="21"/>
              </w:rPr>
            </w:pPr>
          </w:p>
          <w:p w14:paraId="61579C9B">
            <w:pPr>
              <w:spacing w:line="274" w:lineRule="auto"/>
              <w:rPr>
                <w:rFonts w:ascii="Arial"/>
                <w:sz w:val="21"/>
              </w:rPr>
            </w:pPr>
          </w:p>
          <w:p w14:paraId="595B6276">
            <w:pPr>
              <w:spacing w:line="275" w:lineRule="auto"/>
              <w:rPr>
                <w:rFonts w:ascii="Arial"/>
                <w:sz w:val="21"/>
              </w:rPr>
            </w:pPr>
          </w:p>
          <w:p w14:paraId="09E97343">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73DF73C8">
      <w:pPr>
        <w:pStyle w:val="2"/>
        <w:spacing w:line="168" w:lineRule="exact"/>
        <w:rPr>
          <w:sz w:val="14"/>
        </w:rPr>
      </w:pPr>
    </w:p>
    <w:p w14:paraId="5E738948">
      <w:pPr>
        <w:spacing w:line="168" w:lineRule="exact"/>
        <w:rPr>
          <w:sz w:val="14"/>
          <w:szCs w:val="14"/>
        </w:rPr>
        <w:sectPr>
          <w:footerReference r:id="rId52" w:type="default"/>
          <w:pgSz w:w="16839" w:h="11906"/>
          <w:pgMar w:top="1012" w:right="1016" w:bottom="966" w:left="1016" w:header="0" w:footer="768" w:gutter="0"/>
          <w:cols w:space="720" w:num="1"/>
        </w:sectPr>
      </w:pPr>
    </w:p>
    <w:p w14:paraId="25E088B8">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64D38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4EB4FD5A">
            <w:pPr>
              <w:pStyle w:val="8"/>
              <w:spacing w:before="273" w:line="221" w:lineRule="auto"/>
              <w:ind w:left="129"/>
            </w:pPr>
            <w:r>
              <w:rPr>
                <w:b/>
                <w:bCs/>
                <w:spacing w:val="-4"/>
              </w:rPr>
              <w:t>序号</w:t>
            </w:r>
          </w:p>
        </w:tc>
        <w:tc>
          <w:tcPr>
            <w:tcW w:w="1101" w:type="dxa"/>
            <w:vMerge w:val="restart"/>
            <w:tcBorders>
              <w:bottom w:val="nil"/>
            </w:tcBorders>
            <w:vAlign w:val="top"/>
          </w:tcPr>
          <w:p w14:paraId="7EE61732">
            <w:pPr>
              <w:pStyle w:val="8"/>
              <w:spacing w:before="274" w:line="220" w:lineRule="auto"/>
              <w:ind w:left="182"/>
            </w:pPr>
            <w:r>
              <w:rPr>
                <w:b/>
                <w:bCs/>
                <w:spacing w:val="-4"/>
              </w:rPr>
              <w:t>事项名称</w:t>
            </w:r>
          </w:p>
        </w:tc>
        <w:tc>
          <w:tcPr>
            <w:tcW w:w="1101" w:type="dxa"/>
            <w:vMerge w:val="restart"/>
            <w:tcBorders>
              <w:bottom w:val="nil"/>
            </w:tcBorders>
            <w:vAlign w:val="top"/>
          </w:tcPr>
          <w:p w14:paraId="1FB06256">
            <w:pPr>
              <w:pStyle w:val="8"/>
              <w:spacing w:before="274" w:line="219" w:lineRule="auto"/>
              <w:ind w:left="183"/>
            </w:pPr>
            <w:r>
              <w:rPr>
                <w:b/>
                <w:bCs/>
                <w:spacing w:val="-4"/>
              </w:rPr>
              <w:t>职权类型</w:t>
            </w:r>
          </w:p>
        </w:tc>
        <w:tc>
          <w:tcPr>
            <w:tcW w:w="8524" w:type="dxa"/>
            <w:vMerge w:val="restart"/>
            <w:tcBorders>
              <w:bottom w:val="nil"/>
            </w:tcBorders>
            <w:vAlign w:val="top"/>
          </w:tcPr>
          <w:p w14:paraId="6B1D1DD9">
            <w:pPr>
              <w:pStyle w:val="8"/>
              <w:spacing w:before="273" w:line="219" w:lineRule="auto"/>
              <w:ind w:left="4083"/>
            </w:pPr>
            <w:r>
              <w:rPr>
                <w:b/>
                <w:bCs/>
                <w:spacing w:val="-5"/>
              </w:rPr>
              <w:t>实施依据</w:t>
            </w:r>
          </w:p>
        </w:tc>
        <w:tc>
          <w:tcPr>
            <w:tcW w:w="3435" w:type="dxa"/>
            <w:gridSpan w:val="3"/>
            <w:vAlign w:val="top"/>
          </w:tcPr>
          <w:p w14:paraId="50FBAADE">
            <w:pPr>
              <w:pStyle w:val="8"/>
              <w:spacing w:before="94" w:line="220" w:lineRule="auto"/>
              <w:ind w:left="1360"/>
            </w:pPr>
            <w:r>
              <w:rPr>
                <w:b/>
                <w:bCs/>
                <w:spacing w:val="-5"/>
              </w:rPr>
              <w:t>实施主体</w:t>
            </w:r>
          </w:p>
        </w:tc>
      </w:tr>
      <w:tr w14:paraId="0EA57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7F7CF5F3">
            <w:pPr>
              <w:rPr>
                <w:rFonts w:ascii="Arial"/>
                <w:sz w:val="21"/>
              </w:rPr>
            </w:pPr>
          </w:p>
        </w:tc>
        <w:tc>
          <w:tcPr>
            <w:tcW w:w="1101" w:type="dxa"/>
            <w:vMerge w:val="continue"/>
            <w:tcBorders>
              <w:top w:val="nil"/>
            </w:tcBorders>
            <w:vAlign w:val="top"/>
          </w:tcPr>
          <w:p w14:paraId="76D14D5D">
            <w:pPr>
              <w:rPr>
                <w:rFonts w:ascii="Arial"/>
                <w:sz w:val="21"/>
              </w:rPr>
            </w:pPr>
          </w:p>
        </w:tc>
        <w:tc>
          <w:tcPr>
            <w:tcW w:w="1101" w:type="dxa"/>
            <w:vMerge w:val="continue"/>
            <w:tcBorders>
              <w:top w:val="nil"/>
            </w:tcBorders>
            <w:vAlign w:val="top"/>
          </w:tcPr>
          <w:p w14:paraId="439ABE25">
            <w:pPr>
              <w:rPr>
                <w:rFonts w:ascii="Arial"/>
                <w:sz w:val="21"/>
              </w:rPr>
            </w:pPr>
          </w:p>
        </w:tc>
        <w:tc>
          <w:tcPr>
            <w:tcW w:w="8524" w:type="dxa"/>
            <w:vMerge w:val="continue"/>
            <w:tcBorders>
              <w:top w:val="nil"/>
            </w:tcBorders>
            <w:vAlign w:val="top"/>
          </w:tcPr>
          <w:p w14:paraId="2E770568">
            <w:pPr>
              <w:rPr>
                <w:rFonts w:ascii="Arial"/>
                <w:sz w:val="21"/>
              </w:rPr>
            </w:pPr>
          </w:p>
        </w:tc>
        <w:tc>
          <w:tcPr>
            <w:tcW w:w="1011" w:type="dxa"/>
            <w:vAlign w:val="top"/>
          </w:tcPr>
          <w:p w14:paraId="42E6C243">
            <w:pPr>
              <w:pStyle w:val="8"/>
              <w:spacing w:before="85" w:line="219" w:lineRule="auto"/>
              <w:ind w:left="154"/>
            </w:pPr>
            <w:r>
              <w:rPr>
                <w:b/>
                <w:bCs/>
                <w:spacing w:val="-5"/>
              </w:rPr>
              <w:t>责任部门</w:t>
            </w:r>
          </w:p>
        </w:tc>
        <w:tc>
          <w:tcPr>
            <w:tcW w:w="1404" w:type="dxa"/>
            <w:vAlign w:val="top"/>
          </w:tcPr>
          <w:p w14:paraId="0F1A4E44">
            <w:pPr>
              <w:pStyle w:val="8"/>
              <w:spacing w:before="85" w:line="219" w:lineRule="auto"/>
              <w:ind w:left="164"/>
            </w:pPr>
            <w:r>
              <w:rPr>
                <w:b/>
                <w:bCs/>
                <w:spacing w:val="-3"/>
              </w:rPr>
              <w:t>第一责任层级</w:t>
            </w:r>
          </w:p>
        </w:tc>
        <w:tc>
          <w:tcPr>
            <w:tcW w:w="1020" w:type="dxa"/>
            <w:vAlign w:val="top"/>
          </w:tcPr>
          <w:p w14:paraId="2E2956B1">
            <w:pPr>
              <w:pStyle w:val="8"/>
              <w:spacing w:before="84" w:line="219" w:lineRule="auto"/>
              <w:ind w:left="114"/>
            </w:pPr>
            <w:r>
              <w:rPr>
                <w:b/>
                <w:bCs/>
                <w:spacing w:val="-4"/>
              </w:rPr>
              <w:t>承办机构</w:t>
            </w:r>
          </w:p>
        </w:tc>
      </w:tr>
      <w:tr w14:paraId="0FDD1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80" w:hRule="atLeast"/>
        </w:trPr>
        <w:tc>
          <w:tcPr>
            <w:tcW w:w="629" w:type="dxa"/>
            <w:vAlign w:val="top"/>
          </w:tcPr>
          <w:p w14:paraId="05FF24B1">
            <w:pPr>
              <w:rPr>
                <w:rFonts w:ascii="Arial"/>
                <w:sz w:val="21"/>
              </w:rPr>
            </w:pPr>
          </w:p>
        </w:tc>
        <w:tc>
          <w:tcPr>
            <w:tcW w:w="1101" w:type="dxa"/>
            <w:vAlign w:val="top"/>
          </w:tcPr>
          <w:p w14:paraId="42590B7B">
            <w:pPr>
              <w:rPr>
                <w:rFonts w:ascii="Arial"/>
                <w:sz w:val="21"/>
              </w:rPr>
            </w:pPr>
          </w:p>
        </w:tc>
        <w:tc>
          <w:tcPr>
            <w:tcW w:w="1101" w:type="dxa"/>
            <w:vAlign w:val="top"/>
          </w:tcPr>
          <w:p w14:paraId="6B634FE7">
            <w:pPr>
              <w:rPr>
                <w:rFonts w:ascii="Arial"/>
                <w:sz w:val="21"/>
              </w:rPr>
            </w:pPr>
          </w:p>
        </w:tc>
        <w:tc>
          <w:tcPr>
            <w:tcW w:w="8524" w:type="dxa"/>
            <w:vAlign w:val="top"/>
          </w:tcPr>
          <w:p w14:paraId="6E88634F">
            <w:pPr>
              <w:pStyle w:val="8"/>
              <w:spacing w:before="36" w:line="243" w:lineRule="auto"/>
              <w:ind w:left="101" w:right="21" w:firstLine="343"/>
              <w:jc w:val="both"/>
            </w:pPr>
            <w:r>
              <w:rPr>
                <w:spacing w:val="-8"/>
              </w:rPr>
              <w:t>第三十五条  网约车平台公司违反本规定，有下列行为之一的，由县级以上出租汽车行政主管部门和价格</w:t>
            </w:r>
            <w:r>
              <w:t xml:space="preserve">  </w:t>
            </w:r>
            <w:r>
              <w:rPr>
                <w:spacing w:val="-7"/>
              </w:rPr>
              <w:t>主管部门按照职责责令改正，对每次违法行为处以5000元以上10000元以下罚款；情节严重的，处以10000元以</w:t>
            </w:r>
            <w:r>
              <w:rPr>
                <w:spacing w:val="1"/>
              </w:rPr>
              <w:t xml:space="preserve">  </w:t>
            </w:r>
            <w:r>
              <w:rPr>
                <w:spacing w:val="-7"/>
              </w:rPr>
              <w:t>上30000元以下罚款</w:t>
            </w:r>
            <w:r>
              <w:rPr>
                <w:spacing w:val="-26"/>
              </w:rPr>
              <w:t>：（</w:t>
            </w:r>
            <w:r>
              <w:rPr>
                <w:spacing w:val="-7"/>
              </w:rPr>
              <w:t>一）提供服务车辆未取得《网络预约出租汽车运</w:t>
            </w:r>
            <w:r>
              <w:rPr>
                <w:spacing w:val="-8"/>
              </w:rPr>
              <w:t>输证》，或者线上提供服务车辆与线下</w:t>
            </w:r>
            <w:r>
              <w:t xml:space="preserve"> </w:t>
            </w:r>
            <w:r>
              <w:rPr>
                <w:spacing w:val="-9"/>
              </w:rPr>
              <w:t>实际提供服务车辆不一致的</w:t>
            </w:r>
            <w:r>
              <w:rPr>
                <w:spacing w:val="-21"/>
              </w:rPr>
              <w:t>；（</w:t>
            </w:r>
            <w:r>
              <w:rPr>
                <w:spacing w:val="-9"/>
              </w:rPr>
              <w:t>二）提供服务驾驶员未取得《网络预约出租汽车驾驶员</w:t>
            </w:r>
            <w:r>
              <w:rPr>
                <w:spacing w:val="-10"/>
              </w:rPr>
              <w:t>证》， 或者线上提供服</w:t>
            </w:r>
            <w:r>
              <w:t xml:space="preserve">  </w:t>
            </w:r>
            <w:r>
              <w:rPr>
                <w:spacing w:val="-7"/>
              </w:rPr>
              <w:t>务驾驶员与线下实际提供服务驾驶员不一致的</w:t>
            </w:r>
            <w:r>
              <w:rPr>
                <w:spacing w:val="-20"/>
              </w:rPr>
              <w:t>；（</w:t>
            </w:r>
            <w:r>
              <w:rPr>
                <w:spacing w:val="-7"/>
              </w:rPr>
              <w:t>三）未按照规定保证车辆技术状况良好的</w:t>
            </w:r>
            <w:r>
              <w:rPr>
                <w:spacing w:val="-20"/>
              </w:rPr>
              <w:t>；（</w:t>
            </w:r>
            <w:r>
              <w:rPr>
                <w:spacing w:val="-7"/>
              </w:rPr>
              <w:t>四）起讫点均</w:t>
            </w:r>
            <w:r>
              <w:rPr>
                <w:spacing w:val="1"/>
              </w:rPr>
              <w:t xml:space="preserve">  </w:t>
            </w:r>
            <w:r>
              <w:rPr>
                <w:spacing w:val="-7"/>
              </w:rPr>
              <w:t>不在许可的经营区域从事网约车经营活动的</w:t>
            </w:r>
            <w:r>
              <w:rPr>
                <w:spacing w:val="-22"/>
              </w:rPr>
              <w:t>；（</w:t>
            </w:r>
            <w:r>
              <w:rPr>
                <w:spacing w:val="-7"/>
              </w:rPr>
              <w:t>五）未按照规定</w:t>
            </w:r>
            <w:r>
              <w:rPr>
                <w:spacing w:val="-8"/>
              </w:rPr>
              <w:t>将提供服务的车辆、驾驶员相关信息向服务所</w:t>
            </w:r>
            <w:r>
              <w:t xml:space="preserve">  </w:t>
            </w:r>
            <w:r>
              <w:rPr>
                <w:spacing w:val="-7"/>
              </w:rPr>
              <w:t>在地出租汽车行政主管部门报备的</w:t>
            </w:r>
            <w:r>
              <w:rPr>
                <w:spacing w:val="-25"/>
              </w:rPr>
              <w:t>；（</w:t>
            </w:r>
            <w:r>
              <w:rPr>
                <w:spacing w:val="-7"/>
              </w:rPr>
              <w:t>六）未按照规定制定服</w:t>
            </w:r>
            <w:r>
              <w:rPr>
                <w:spacing w:val="-8"/>
              </w:rPr>
              <w:t>务质量标准、建立并落实投诉举报制度的</w:t>
            </w:r>
            <w:r>
              <w:rPr>
                <w:spacing w:val="-25"/>
              </w:rPr>
              <w:t>；（</w:t>
            </w:r>
            <w:r>
              <w:rPr>
                <w:spacing w:val="-8"/>
              </w:rPr>
              <w:t>七）</w:t>
            </w:r>
            <w:r>
              <w:t xml:space="preserve"> </w:t>
            </w:r>
            <w:r>
              <w:rPr>
                <w:spacing w:val="-7"/>
              </w:rPr>
              <w:t>未按照规定提供共享信息，或者不配合出租汽车行政主管部</w:t>
            </w:r>
            <w:r>
              <w:rPr>
                <w:spacing w:val="-8"/>
              </w:rPr>
              <w:t>门调取查阅相关数据信息的</w:t>
            </w:r>
            <w:r>
              <w:rPr>
                <w:spacing w:val="-22"/>
              </w:rPr>
              <w:t>；（</w:t>
            </w:r>
            <w:r>
              <w:rPr>
                <w:spacing w:val="-8"/>
              </w:rPr>
              <w:t>八）未履行管理责</w:t>
            </w:r>
            <w:r>
              <w:t xml:space="preserve">  </w:t>
            </w:r>
            <w:r>
              <w:rPr>
                <w:spacing w:val="-8"/>
              </w:rPr>
              <w:t>任，出现甩客、故意绕道、违规收费等严重违反国家相关运营服务标准行为的。</w:t>
            </w:r>
          </w:p>
          <w:p w14:paraId="6F416340">
            <w:pPr>
              <w:pStyle w:val="8"/>
              <w:spacing w:before="25" w:line="231" w:lineRule="auto"/>
              <w:ind w:left="101" w:right="148" w:firstLine="357"/>
              <w:jc w:val="both"/>
            </w:pPr>
            <w:r>
              <w:rPr>
                <w:spacing w:val="-8"/>
              </w:rPr>
              <w:t>网约车平台公司不再具备线上线下服务能力或者有严重违法行为的，由</w:t>
            </w:r>
            <w:r>
              <w:rPr>
                <w:spacing w:val="-9"/>
              </w:rPr>
              <w:t>县级以上出租汽车行政主管部门依</w:t>
            </w:r>
            <w:r>
              <w:t xml:space="preserve"> </w:t>
            </w:r>
            <w:r>
              <w:rPr>
                <w:spacing w:val="-8"/>
              </w:rPr>
              <w:t>据相关法律法规的有关规定责令停业整顿、吊销相关许可证件。（备注：“相关法律法规”目前主要指地方性</w:t>
            </w:r>
            <w:r>
              <w:rPr>
                <w:spacing w:val="2"/>
              </w:rPr>
              <w:t xml:space="preserve"> </w:t>
            </w:r>
            <w:r>
              <w:rPr>
                <w:spacing w:val="-11"/>
              </w:rPr>
              <w:t>法规。）</w:t>
            </w:r>
          </w:p>
        </w:tc>
        <w:tc>
          <w:tcPr>
            <w:tcW w:w="1011" w:type="dxa"/>
            <w:vAlign w:val="top"/>
          </w:tcPr>
          <w:p w14:paraId="3CD65DDD">
            <w:pPr>
              <w:rPr>
                <w:rFonts w:ascii="Arial"/>
                <w:sz w:val="21"/>
              </w:rPr>
            </w:pPr>
          </w:p>
        </w:tc>
        <w:tc>
          <w:tcPr>
            <w:tcW w:w="1404" w:type="dxa"/>
            <w:vAlign w:val="top"/>
          </w:tcPr>
          <w:p w14:paraId="485CB10A">
            <w:pPr>
              <w:rPr>
                <w:rFonts w:ascii="Arial"/>
                <w:sz w:val="21"/>
              </w:rPr>
            </w:pPr>
          </w:p>
        </w:tc>
        <w:tc>
          <w:tcPr>
            <w:tcW w:w="1020" w:type="dxa"/>
            <w:vAlign w:val="top"/>
          </w:tcPr>
          <w:p w14:paraId="5D7CF560">
            <w:pPr>
              <w:rPr>
                <w:rFonts w:ascii="Arial"/>
                <w:sz w:val="21"/>
              </w:rPr>
            </w:pPr>
          </w:p>
        </w:tc>
      </w:tr>
      <w:tr w14:paraId="323F7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5" w:hRule="atLeast"/>
        </w:trPr>
        <w:tc>
          <w:tcPr>
            <w:tcW w:w="629" w:type="dxa"/>
            <w:vAlign w:val="top"/>
          </w:tcPr>
          <w:p w14:paraId="240CA0C5">
            <w:pPr>
              <w:spacing w:line="252" w:lineRule="auto"/>
              <w:rPr>
                <w:rFonts w:ascii="Arial"/>
                <w:sz w:val="21"/>
              </w:rPr>
            </w:pPr>
          </w:p>
          <w:p w14:paraId="55894171">
            <w:pPr>
              <w:spacing w:line="253" w:lineRule="auto"/>
              <w:rPr>
                <w:rFonts w:ascii="Arial"/>
                <w:sz w:val="21"/>
              </w:rPr>
            </w:pPr>
          </w:p>
          <w:p w14:paraId="6D13125D">
            <w:pPr>
              <w:spacing w:line="253" w:lineRule="auto"/>
              <w:rPr>
                <w:rFonts w:ascii="Arial"/>
                <w:sz w:val="21"/>
              </w:rPr>
            </w:pPr>
          </w:p>
          <w:p w14:paraId="7090B0FB">
            <w:pPr>
              <w:spacing w:line="253" w:lineRule="auto"/>
              <w:rPr>
                <w:rFonts w:ascii="Arial"/>
                <w:sz w:val="21"/>
              </w:rPr>
            </w:pPr>
          </w:p>
          <w:p w14:paraId="57CEE67F">
            <w:pPr>
              <w:spacing w:line="253" w:lineRule="auto"/>
              <w:rPr>
                <w:rFonts w:ascii="Arial"/>
                <w:sz w:val="21"/>
              </w:rPr>
            </w:pPr>
          </w:p>
          <w:p w14:paraId="64B89D83">
            <w:pPr>
              <w:spacing w:line="253" w:lineRule="auto"/>
              <w:rPr>
                <w:rFonts w:ascii="Arial"/>
                <w:sz w:val="21"/>
              </w:rPr>
            </w:pPr>
          </w:p>
          <w:p w14:paraId="10821B63">
            <w:pPr>
              <w:spacing w:line="253" w:lineRule="auto"/>
              <w:rPr>
                <w:rFonts w:ascii="Arial"/>
                <w:sz w:val="21"/>
              </w:rPr>
            </w:pPr>
          </w:p>
          <w:p w14:paraId="12085BC3">
            <w:pPr>
              <w:spacing w:line="253" w:lineRule="auto"/>
              <w:rPr>
                <w:rFonts w:ascii="Arial"/>
                <w:sz w:val="21"/>
              </w:rPr>
            </w:pPr>
          </w:p>
          <w:p w14:paraId="73D806D3">
            <w:pPr>
              <w:spacing w:line="253" w:lineRule="auto"/>
              <w:rPr>
                <w:rFonts w:ascii="Arial"/>
                <w:sz w:val="21"/>
              </w:rPr>
            </w:pPr>
          </w:p>
          <w:p w14:paraId="6A08932E">
            <w:pPr>
              <w:spacing w:line="253" w:lineRule="auto"/>
              <w:rPr>
                <w:rFonts w:ascii="Arial"/>
                <w:sz w:val="21"/>
              </w:rPr>
            </w:pPr>
          </w:p>
          <w:p w14:paraId="5AB6B3C9">
            <w:pPr>
              <w:spacing w:line="253" w:lineRule="auto"/>
              <w:rPr>
                <w:rFonts w:ascii="Arial"/>
                <w:sz w:val="21"/>
              </w:rPr>
            </w:pPr>
          </w:p>
          <w:p w14:paraId="27EC8EDD">
            <w:pPr>
              <w:pStyle w:val="8"/>
              <w:spacing w:before="59" w:line="183" w:lineRule="auto"/>
              <w:ind w:left="222"/>
              <w:rPr>
                <w:rFonts w:hint="eastAsia" w:eastAsia="宋体"/>
                <w:lang w:eastAsia="zh-CN"/>
              </w:rPr>
            </w:pPr>
            <w:r>
              <w:rPr>
                <w:spacing w:val="-4"/>
              </w:rPr>
              <w:t>6</w:t>
            </w:r>
            <w:r>
              <w:rPr>
                <w:rFonts w:hint="eastAsia"/>
                <w:spacing w:val="-4"/>
                <w:lang w:val="en-US" w:eastAsia="zh-CN"/>
              </w:rPr>
              <w:t>5</w:t>
            </w:r>
          </w:p>
        </w:tc>
        <w:tc>
          <w:tcPr>
            <w:tcW w:w="1101" w:type="dxa"/>
            <w:vAlign w:val="top"/>
          </w:tcPr>
          <w:p w14:paraId="6C2BC8A6">
            <w:pPr>
              <w:spacing w:line="266" w:lineRule="auto"/>
              <w:rPr>
                <w:rFonts w:ascii="Arial"/>
                <w:sz w:val="21"/>
              </w:rPr>
            </w:pPr>
          </w:p>
          <w:p w14:paraId="022DC120">
            <w:pPr>
              <w:spacing w:line="266" w:lineRule="auto"/>
              <w:rPr>
                <w:rFonts w:ascii="Arial"/>
                <w:sz w:val="21"/>
              </w:rPr>
            </w:pPr>
          </w:p>
          <w:p w14:paraId="04023175">
            <w:pPr>
              <w:spacing w:line="266" w:lineRule="auto"/>
              <w:rPr>
                <w:rFonts w:ascii="Arial"/>
                <w:sz w:val="21"/>
              </w:rPr>
            </w:pPr>
          </w:p>
          <w:p w14:paraId="10C2963E">
            <w:pPr>
              <w:spacing w:line="266" w:lineRule="auto"/>
              <w:rPr>
                <w:rFonts w:ascii="Arial"/>
                <w:sz w:val="21"/>
              </w:rPr>
            </w:pPr>
          </w:p>
          <w:p w14:paraId="0AFCA6CC">
            <w:pPr>
              <w:spacing w:line="266" w:lineRule="auto"/>
              <w:rPr>
                <w:rFonts w:ascii="Arial"/>
                <w:sz w:val="21"/>
              </w:rPr>
            </w:pPr>
          </w:p>
          <w:p w14:paraId="574F76D4">
            <w:pPr>
              <w:spacing w:line="266" w:lineRule="auto"/>
              <w:rPr>
                <w:rFonts w:ascii="Arial"/>
                <w:sz w:val="21"/>
              </w:rPr>
            </w:pPr>
          </w:p>
          <w:p w14:paraId="2CD08591">
            <w:pPr>
              <w:spacing w:line="266" w:lineRule="auto"/>
              <w:rPr>
                <w:rFonts w:ascii="Arial"/>
                <w:sz w:val="21"/>
              </w:rPr>
            </w:pPr>
          </w:p>
          <w:p w14:paraId="5341D8E7">
            <w:pPr>
              <w:spacing w:line="266" w:lineRule="auto"/>
              <w:rPr>
                <w:rFonts w:ascii="Arial"/>
                <w:sz w:val="21"/>
              </w:rPr>
            </w:pPr>
          </w:p>
          <w:p w14:paraId="0798A7B9">
            <w:pPr>
              <w:spacing w:line="267" w:lineRule="auto"/>
              <w:rPr>
                <w:rFonts w:ascii="Arial"/>
                <w:sz w:val="21"/>
              </w:rPr>
            </w:pPr>
          </w:p>
          <w:p w14:paraId="7745B703">
            <w:pPr>
              <w:pStyle w:val="8"/>
              <w:spacing w:before="58" w:line="241" w:lineRule="auto"/>
              <w:ind w:left="22" w:right="20" w:hanging="4"/>
              <w:jc w:val="both"/>
            </w:pPr>
            <w:r>
              <w:rPr>
                <w:spacing w:val="-6"/>
              </w:rPr>
              <w:t>对网约车驾驶</w:t>
            </w:r>
            <w:r>
              <w:rPr>
                <w:spacing w:val="2"/>
              </w:rPr>
              <w:t xml:space="preserve"> </w:t>
            </w:r>
            <w:r>
              <w:rPr>
                <w:spacing w:val="-7"/>
              </w:rPr>
              <w:t>员违反管理规</w:t>
            </w:r>
            <w:r>
              <w:rPr>
                <w:spacing w:val="3"/>
              </w:rPr>
              <w:t xml:space="preserve"> </w:t>
            </w:r>
            <w:r>
              <w:rPr>
                <w:spacing w:val="-7"/>
              </w:rPr>
              <w:t>定行为的行政</w:t>
            </w:r>
            <w:r>
              <w:rPr>
                <w:spacing w:val="3"/>
              </w:rPr>
              <w:t xml:space="preserve"> </w:t>
            </w:r>
            <w:r>
              <w:rPr>
                <w:spacing w:val="-6"/>
              </w:rPr>
              <w:t>处罚</w:t>
            </w:r>
          </w:p>
        </w:tc>
        <w:tc>
          <w:tcPr>
            <w:tcW w:w="1101" w:type="dxa"/>
            <w:vAlign w:val="top"/>
          </w:tcPr>
          <w:p w14:paraId="31D256CC">
            <w:pPr>
              <w:spacing w:line="250" w:lineRule="auto"/>
              <w:rPr>
                <w:rFonts w:ascii="Arial"/>
                <w:sz w:val="21"/>
              </w:rPr>
            </w:pPr>
          </w:p>
          <w:p w14:paraId="50D3215B">
            <w:pPr>
              <w:spacing w:line="250" w:lineRule="auto"/>
              <w:rPr>
                <w:rFonts w:ascii="Arial"/>
                <w:sz w:val="21"/>
              </w:rPr>
            </w:pPr>
          </w:p>
          <w:p w14:paraId="57F702E0">
            <w:pPr>
              <w:spacing w:line="250" w:lineRule="auto"/>
              <w:rPr>
                <w:rFonts w:ascii="Arial"/>
                <w:sz w:val="21"/>
              </w:rPr>
            </w:pPr>
          </w:p>
          <w:p w14:paraId="08082507">
            <w:pPr>
              <w:spacing w:line="250" w:lineRule="auto"/>
              <w:rPr>
                <w:rFonts w:ascii="Arial"/>
                <w:sz w:val="21"/>
              </w:rPr>
            </w:pPr>
          </w:p>
          <w:p w14:paraId="72850960">
            <w:pPr>
              <w:spacing w:line="250" w:lineRule="auto"/>
              <w:rPr>
                <w:rFonts w:ascii="Arial"/>
                <w:sz w:val="21"/>
              </w:rPr>
            </w:pPr>
          </w:p>
          <w:p w14:paraId="5F65DBD0">
            <w:pPr>
              <w:spacing w:line="250" w:lineRule="auto"/>
              <w:rPr>
                <w:rFonts w:ascii="Arial"/>
                <w:sz w:val="21"/>
              </w:rPr>
            </w:pPr>
          </w:p>
          <w:p w14:paraId="341C9A28">
            <w:pPr>
              <w:spacing w:line="250" w:lineRule="auto"/>
              <w:rPr>
                <w:rFonts w:ascii="Arial"/>
                <w:sz w:val="21"/>
              </w:rPr>
            </w:pPr>
          </w:p>
          <w:p w14:paraId="2E8932C4">
            <w:pPr>
              <w:spacing w:line="251" w:lineRule="auto"/>
              <w:rPr>
                <w:rFonts w:ascii="Arial"/>
                <w:sz w:val="21"/>
              </w:rPr>
            </w:pPr>
          </w:p>
          <w:p w14:paraId="30EFC37F">
            <w:pPr>
              <w:spacing w:line="251" w:lineRule="auto"/>
              <w:rPr>
                <w:rFonts w:ascii="Arial"/>
                <w:sz w:val="21"/>
              </w:rPr>
            </w:pPr>
          </w:p>
          <w:p w14:paraId="76AB2ED6">
            <w:pPr>
              <w:spacing w:line="251" w:lineRule="auto"/>
              <w:rPr>
                <w:rFonts w:ascii="Arial"/>
                <w:sz w:val="21"/>
              </w:rPr>
            </w:pPr>
          </w:p>
          <w:p w14:paraId="5F6F7B7C">
            <w:pPr>
              <w:spacing w:line="251" w:lineRule="auto"/>
              <w:rPr>
                <w:rFonts w:ascii="Arial"/>
                <w:sz w:val="21"/>
              </w:rPr>
            </w:pPr>
          </w:p>
          <w:p w14:paraId="0AE48325">
            <w:pPr>
              <w:pStyle w:val="8"/>
              <w:spacing w:before="59" w:line="220" w:lineRule="auto"/>
              <w:ind w:left="25"/>
            </w:pPr>
            <w:r>
              <w:rPr>
                <w:spacing w:val="-7"/>
              </w:rPr>
              <w:t>行政处罚</w:t>
            </w:r>
          </w:p>
        </w:tc>
        <w:tc>
          <w:tcPr>
            <w:tcW w:w="8524" w:type="dxa"/>
            <w:vAlign w:val="top"/>
          </w:tcPr>
          <w:p w14:paraId="788F21CA">
            <w:pPr>
              <w:spacing w:line="303" w:lineRule="auto"/>
              <w:rPr>
                <w:rFonts w:ascii="Arial"/>
                <w:sz w:val="21"/>
              </w:rPr>
            </w:pPr>
          </w:p>
          <w:p w14:paraId="5FFAD16E">
            <w:pPr>
              <w:spacing w:line="304" w:lineRule="auto"/>
              <w:rPr>
                <w:rFonts w:ascii="Arial"/>
                <w:sz w:val="21"/>
              </w:rPr>
            </w:pPr>
          </w:p>
          <w:p w14:paraId="3FFF864C">
            <w:pPr>
              <w:pStyle w:val="8"/>
              <w:spacing w:before="59" w:line="219" w:lineRule="auto"/>
              <w:ind w:left="458"/>
            </w:pPr>
            <w:r>
              <w:rPr>
                <w:b/>
                <w:bCs/>
                <w:spacing w:val="-8"/>
              </w:rPr>
              <w:t>1.《网络预约出租汽车经营服务管理暂行办法</w:t>
            </w:r>
            <w:r>
              <w:rPr>
                <w:b/>
                <w:bCs/>
                <w:spacing w:val="-9"/>
              </w:rPr>
              <w:t>》(交通运输部令2022年第42号)</w:t>
            </w:r>
          </w:p>
          <w:p w14:paraId="62C36879">
            <w:pPr>
              <w:pStyle w:val="8"/>
              <w:spacing w:before="26" w:line="233" w:lineRule="auto"/>
              <w:ind w:left="103" w:right="157" w:firstLine="341"/>
            </w:pPr>
            <w:r>
              <w:rPr>
                <w:spacing w:val="-8"/>
              </w:rPr>
              <w:t>第十三条</w:t>
            </w:r>
            <w:r>
              <w:rPr>
                <w:spacing w:val="74"/>
              </w:rPr>
              <w:t xml:space="preserve"> </w:t>
            </w:r>
            <w:r>
              <w:rPr>
                <w:spacing w:val="-8"/>
              </w:rPr>
              <w:t>服务所在地出租汽车行政主管部门依车辆所有人或者网约车平台公司申请，按第十二条规定的</w:t>
            </w:r>
            <w:r>
              <w:t xml:space="preserve"> </w:t>
            </w:r>
            <w:r>
              <w:rPr>
                <w:spacing w:val="-9"/>
              </w:rPr>
              <w:t>条件审核后，对符合条件并登记为预约出租客运的车辆，发放《网络预约出租汽车运输证》。</w:t>
            </w:r>
          </w:p>
          <w:p w14:paraId="64A2C14A">
            <w:pPr>
              <w:pStyle w:val="8"/>
              <w:spacing w:before="25" w:line="219" w:lineRule="auto"/>
              <w:ind w:left="445"/>
            </w:pPr>
            <w:r>
              <w:rPr>
                <w:spacing w:val="-8"/>
              </w:rPr>
              <w:t>城市人民政府对网约车发放《网络预约出租汽车运输证》另有规定的，从其规定。</w:t>
            </w:r>
          </w:p>
          <w:p w14:paraId="2086071E">
            <w:pPr>
              <w:pStyle w:val="8"/>
              <w:spacing w:before="26" w:line="233" w:lineRule="auto"/>
              <w:ind w:left="102" w:right="157" w:firstLine="342"/>
            </w:pPr>
            <w:r>
              <w:rPr>
                <w:spacing w:val="-8"/>
              </w:rPr>
              <w:t>第十五条</w:t>
            </w:r>
            <w:r>
              <w:rPr>
                <w:spacing w:val="74"/>
              </w:rPr>
              <w:t xml:space="preserve"> </w:t>
            </w:r>
            <w:r>
              <w:rPr>
                <w:spacing w:val="-8"/>
              </w:rPr>
              <w:t>服务所在地设区的市级出租汽车行政主管部门依驾驶员或者网约车平台公司申请，按第十四条</w:t>
            </w:r>
            <w:r>
              <w:t xml:space="preserve"> </w:t>
            </w:r>
            <w:r>
              <w:rPr>
                <w:spacing w:val="-8"/>
              </w:rPr>
              <w:t>规定的条件核查并按规定考核后，为符合条件</w:t>
            </w:r>
            <w:r>
              <w:rPr>
                <w:spacing w:val="-9"/>
              </w:rPr>
              <w:t>且考核合格的驾驶员，发放《网络预约出租汽车驾驶员证》。</w:t>
            </w:r>
          </w:p>
          <w:p w14:paraId="34513AB6">
            <w:pPr>
              <w:pStyle w:val="8"/>
              <w:spacing w:before="25" w:line="237" w:lineRule="auto"/>
              <w:ind w:left="106" w:right="48" w:firstLine="338"/>
            </w:pPr>
            <w:r>
              <w:rPr>
                <w:spacing w:val="-8"/>
              </w:rPr>
              <w:t>第三十六条  网约车驾驶员违反本规定，有下列情形之一的，由县级以上出租汽车行政主管部门和价格主</w:t>
            </w:r>
            <w:r>
              <w:t xml:space="preserve">  </w:t>
            </w:r>
            <w:r>
              <w:rPr>
                <w:spacing w:val="-9"/>
              </w:rPr>
              <w:t>管部门按照职责责令改正，对每次违法行为处以50元以上200元以下罚款</w:t>
            </w:r>
            <w:r>
              <w:rPr>
                <w:spacing w:val="-48"/>
                <w:w w:val="99"/>
              </w:rPr>
              <w:t>：（</w:t>
            </w:r>
            <w:r>
              <w:rPr>
                <w:spacing w:val="-9"/>
              </w:rPr>
              <w:t>一）途中甩客</w:t>
            </w:r>
            <w:r>
              <w:rPr>
                <w:spacing w:val="-10"/>
              </w:rPr>
              <w:t>或者故意绕道行驶的；</w:t>
            </w:r>
            <w:r>
              <w:rPr>
                <w:spacing w:val="2"/>
              </w:rPr>
              <w:t xml:space="preserve"> </w:t>
            </w:r>
            <w:r>
              <w:rPr>
                <w:spacing w:val="-7"/>
              </w:rPr>
              <w:t>（二）违规收费的</w:t>
            </w:r>
            <w:r>
              <w:rPr>
                <w:spacing w:val="-22"/>
              </w:rPr>
              <w:t>；（</w:t>
            </w:r>
            <w:r>
              <w:rPr>
                <w:spacing w:val="-7"/>
              </w:rPr>
              <w:t>三）对举报、投诉其服务质量或者对其服务作出不</w:t>
            </w:r>
            <w:r>
              <w:rPr>
                <w:spacing w:val="-8"/>
              </w:rPr>
              <w:t>满意评价的乘客实施报复行为的。</w:t>
            </w:r>
          </w:p>
          <w:p w14:paraId="6E7D0AC0">
            <w:pPr>
              <w:pStyle w:val="8"/>
              <w:spacing w:before="27" w:line="233" w:lineRule="auto"/>
              <w:ind w:left="102" w:right="150" w:firstLine="356"/>
            </w:pPr>
            <w:r>
              <w:rPr>
                <w:spacing w:val="-8"/>
              </w:rPr>
              <w:t>网约车驾驶员不再具备从业条件或者有严重违法行为的，由县级以上出</w:t>
            </w:r>
            <w:r>
              <w:rPr>
                <w:spacing w:val="-9"/>
              </w:rPr>
              <w:t>租汽车行政主管部门依据相关法律</w:t>
            </w:r>
            <w:r>
              <w:t xml:space="preserve"> </w:t>
            </w:r>
            <w:r>
              <w:rPr>
                <w:spacing w:val="-8"/>
              </w:rPr>
              <w:t>法规的有关规定撤销或者吊销从业资格证件。（备注：“相关法律</w:t>
            </w:r>
            <w:r>
              <w:rPr>
                <w:spacing w:val="-9"/>
              </w:rPr>
              <w:t>法规”目前主要指地方性法规。）</w:t>
            </w:r>
          </w:p>
          <w:p w14:paraId="54CD73AD">
            <w:pPr>
              <w:pStyle w:val="8"/>
              <w:spacing w:before="26" w:line="219" w:lineRule="auto"/>
              <w:ind w:left="444"/>
            </w:pPr>
            <w:r>
              <w:rPr>
                <w:spacing w:val="-8"/>
              </w:rPr>
              <w:t>对网约车驾驶员的行政处罚信息计入驾驶员和网约车平台公司信用记录。</w:t>
            </w:r>
          </w:p>
          <w:p w14:paraId="752D2482">
            <w:pPr>
              <w:pStyle w:val="8"/>
              <w:spacing w:before="26" w:line="219" w:lineRule="auto"/>
              <w:ind w:left="447"/>
            </w:pPr>
            <w:r>
              <w:rPr>
                <w:b/>
                <w:bCs/>
                <w:spacing w:val="-8"/>
              </w:rPr>
              <w:t>2.《出租汽车驾驶员从业资格管理规定》(交通运输部令2021年第1</w:t>
            </w:r>
            <w:r>
              <w:rPr>
                <w:b/>
                <w:bCs/>
                <w:spacing w:val="-9"/>
              </w:rPr>
              <w:t>5号)</w:t>
            </w:r>
          </w:p>
          <w:p w14:paraId="7AB7107F">
            <w:pPr>
              <w:pStyle w:val="8"/>
              <w:spacing w:before="27" w:line="239" w:lineRule="auto"/>
              <w:ind w:left="102" w:right="150" w:firstLine="343"/>
              <w:jc w:val="both"/>
            </w:pPr>
            <w:r>
              <w:rPr>
                <w:spacing w:val="-8"/>
              </w:rPr>
              <w:t>第四十条  出租汽车驾驶员在运营过程中，应当遵守国家对驾驶员在法律法规、职业道德、服务规范、安</w:t>
            </w:r>
            <w:r>
              <w:t xml:space="preserve"> </w:t>
            </w:r>
            <w:r>
              <w:rPr>
                <w:spacing w:val="-7"/>
              </w:rPr>
              <w:t>全运营等方面的资格规定，文明行车、优质服务。出</w:t>
            </w:r>
            <w:r>
              <w:rPr>
                <w:spacing w:val="-8"/>
              </w:rPr>
              <w:t>租汽车驾驶员不得有下列行为</w:t>
            </w:r>
            <w:r>
              <w:rPr>
                <w:spacing w:val="-21"/>
              </w:rPr>
              <w:t>：（</w:t>
            </w:r>
            <w:r>
              <w:rPr>
                <w:spacing w:val="-8"/>
              </w:rPr>
              <w:t>一）途中甩客或者故意</w:t>
            </w:r>
            <w:r>
              <w:rPr>
                <w:spacing w:val="1"/>
              </w:rPr>
              <w:t xml:space="preserve"> </w:t>
            </w:r>
            <w:r>
              <w:rPr>
                <w:spacing w:val="-7"/>
              </w:rPr>
              <w:t>绕道行驶</w:t>
            </w:r>
            <w:r>
              <w:rPr>
                <w:spacing w:val="-22"/>
              </w:rPr>
              <w:t>；（</w:t>
            </w:r>
            <w:r>
              <w:rPr>
                <w:spacing w:val="-7"/>
              </w:rPr>
              <w:t>八）巡游出租汽车驾驶员不按照规定使用计程计</w:t>
            </w:r>
            <w:r>
              <w:rPr>
                <w:spacing w:val="-8"/>
              </w:rPr>
              <w:t>价设备、违规收费或者网络预约出租汽车驾驶员</w:t>
            </w:r>
            <w:r>
              <w:rPr>
                <w:spacing w:val="1"/>
              </w:rPr>
              <w:t xml:space="preserve"> </w:t>
            </w:r>
            <w:r>
              <w:rPr>
                <w:spacing w:val="-7"/>
              </w:rPr>
              <w:t>违规收费</w:t>
            </w:r>
            <w:r>
              <w:rPr>
                <w:spacing w:val="-22"/>
              </w:rPr>
              <w:t>；（</w:t>
            </w:r>
            <w:r>
              <w:rPr>
                <w:spacing w:val="-7"/>
              </w:rPr>
              <w:t>九）对举报、投诉其服务质量或者对其服务作出不满意评价的乘客</w:t>
            </w:r>
            <w:r>
              <w:rPr>
                <w:spacing w:val="-8"/>
              </w:rPr>
              <w:t>实施报复。</w:t>
            </w:r>
          </w:p>
          <w:p w14:paraId="5DC1F71F">
            <w:pPr>
              <w:pStyle w:val="8"/>
              <w:spacing w:before="28" w:line="233" w:lineRule="auto"/>
              <w:ind w:left="102" w:right="150" w:firstLine="357"/>
            </w:pPr>
            <w:r>
              <w:rPr>
                <w:spacing w:val="-8"/>
              </w:rPr>
              <w:t>出租汽车驾驶员有本条前款违法行为的，应当加强继续教育；情节严</w:t>
            </w:r>
            <w:r>
              <w:rPr>
                <w:spacing w:val="-9"/>
              </w:rPr>
              <w:t>重的，出租汽车行政主管部门应当对</w:t>
            </w:r>
            <w:r>
              <w:t xml:space="preserve"> </w:t>
            </w:r>
            <w:r>
              <w:rPr>
                <w:spacing w:val="-7"/>
              </w:rPr>
              <w:t>其延期注册。</w:t>
            </w:r>
          </w:p>
        </w:tc>
        <w:tc>
          <w:tcPr>
            <w:tcW w:w="1011" w:type="dxa"/>
            <w:vAlign w:val="top"/>
          </w:tcPr>
          <w:p w14:paraId="3B310D09">
            <w:pPr>
              <w:spacing w:line="263" w:lineRule="auto"/>
              <w:rPr>
                <w:rFonts w:ascii="Arial"/>
                <w:sz w:val="21"/>
              </w:rPr>
            </w:pPr>
          </w:p>
          <w:p w14:paraId="6FB31E4C">
            <w:pPr>
              <w:spacing w:line="263" w:lineRule="auto"/>
              <w:rPr>
                <w:rFonts w:ascii="Arial"/>
                <w:sz w:val="21"/>
              </w:rPr>
            </w:pPr>
          </w:p>
          <w:p w14:paraId="5F74C366">
            <w:pPr>
              <w:spacing w:line="263" w:lineRule="auto"/>
              <w:rPr>
                <w:rFonts w:ascii="Arial"/>
                <w:sz w:val="21"/>
              </w:rPr>
            </w:pPr>
          </w:p>
          <w:p w14:paraId="696E65B4">
            <w:pPr>
              <w:spacing w:line="263" w:lineRule="auto"/>
              <w:rPr>
                <w:rFonts w:ascii="Arial"/>
                <w:sz w:val="21"/>
              </w:rPr>
            </w:pPr>
          </w:p>
          <w:p w14:paraId="2AB99A9D">
            <w:pPr>
              <w:spacing w:line="263" w:lineRule="auto"/>
              <w:rPr>
                <w:rFonts w:ascii="Arial"/>
                <w:sz w:val="21"/>
              </w:rPr>
            </w:pPr>
          </w:p>
          <w:p w14:paraId="48108A0A">
            <w:pPr>
              <w:spacing w:line="264" w:lineRule="auto"/>
              <w:rPr>
                <w:rFonts w:ascii="Arial"/>
                <w:sz w:val="21"/>
              </w:rPr>
            </w:pPr>
          </w:p>
          <w:p w14:paraId="7B0B5AC3">
            <w:pPr>
              <w:spacing w:line="264" w:lineRule="auto"/>
              <w:rPr>
                <w:rFonts w:ascii="Arial"/>
                <w:sz w:val="21"/>
              </w:rPr>
            </w:pPr>
          </w:p>
          <w:p w14:paraId="062F707E">
            <w:pPr>
              <w:spacing w:line="264" w:lineRule="auto"/>
              <w:rPr>
                <w:rFonts w:ascii="Arial"/>
                <w:sz w:val="21"/>
              </w:rPr>
            </w:pPr>
          </w:p>
          <w:p w14:paraId="6B7D1114">
            <w:pPr>
              <w:spacing w:line="264" w:lineRule="auto"/>
              <w:rPr>
                <w:rFonts w:ascii="Arial"/>
                <w:sz w:val="21"/>
              </w:rPr>
            </w:pPr>
          </w:p>
          <w:p w14:paraId="6A2515EA">
            <w:pPr>
              <w:spacing w:line="264" w:lineRule="auto"/>
              <w:rPr>
                <w:rFonts w:ascii="Arial"/>
                <w:sz w:val="21"/>
              </w:rPr>
            </w:pPr>
          </w:p>
          <w:p w14:paraId="4179E11D">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6863311C">
            <w:pPr>
              <w:spacing w:line="263" w:lineRule="auto"/>
              <w:rPr>
                <w:rFonts w:ascii="Arial"/>
                <w:sz w:val="21"/>
              </w:rPr>
            </w:pPr>
          </w:p>
          <w:p w14:paraId="26D60513">
            <w:pPr>
              <w:spacing w:line="263" w:lineRule="auto"/>
              <w:rPr>
                <w:rFonts w:ascii="Arial"/>
                <w:sz w:val="21"/>
              </w:rPr>
            </w:pPr>
          </w:p>
          <w:p w14:paraId="6F7FFE32">
            <w:pPr>
              <w:spacing w:line="263" w:lineRule="auto"/>
              <w:rPr>
                <w:rFonts w:ascii="Arial"/>
                <w:sz w:val="21"/>
              </w:rPr>
            </w:pPr>
          </w:p>
          <w:p w14:paraId="6A59DC08">
            <w:pPr>
              <w:spacing w:line="263" w:lineRule="auto"/>
              <w:rPr>
                <w:rFonts w:ascii="Arial"/>
                <w:sz w:val="21"/>
              </w:rPr>
            </w:pPr>
          </w:p>
          <w:p w14:paraId="18F25A5D">
            <w:pPr>
              <w:spacing w:line="263" w:lineRule="auto"/>
              <w:rPr>
                <w:rFonts w:ascii="Arial"/>
                <w:sz w:val="21"/>
              </w:rPr>
            </w:pPr>
          </w:p>
          <w:p w14:paraId="26736CC7">
            <w:pPr>
              <w:spacing w:line="264" w:lineRule="auto"/>
              <w:rPr>
                <w:rFonts w:ascii="Arial"/>
                <w:sz w:val="21"/>
              </w:rPr>
            </w:pPr>
          </w:p>
          <w:p w14:paraId="214618A6">
            <w:pPr>
              <w:spacing w:line="264" w:lineRule="auto"/>
              <w:rPr>
                <w:rFonts w:ascii="Arial"/>
                <w:sz w:val="21"/>
              </w:rPr>
            </w:pPr>
          </w:p>
          <w:p w14:paraId="2DAB2F22">
            <w:pPr>
              <w:spacing w:line="264" w:lineRule="auto"/>
              <w:rPr>
                <w:rFonts w:ascii="Arial"/>
                <w:sz w:val="21"/>
              </w:rPr>
            </w:pPr>
          </w:p>
          <w:p w14:paraId="22014B1D">
            <w:pPr>
              <w:spacing w:line="264" w:lineRule="auto"/>
              <w:rPr>
                <w:rFonts w:ascii="Arial"/>
                <w:sz w:val="21"/>
              </w:rPr>
            </w:pPr>
          </w:p>
          <w:p w14:paraId="0DCD2BF9">
            <w:pPr>
              <w:spacing w:line="264" w:lineRule="auto"/>
              <w:rPr>
                <w:rFonts w:ascii="Arial"/>
                <w:sz w:val="21"/>
              </w:rPr>
            </w:pPr>
          </w:p>
          <w:p w14:paraId="5FA898F8">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BBEF46B">
            <w:pPr>
              <w:spacing w:line="266" w:lineRule="auto"/>
              <w:rPr>
                <w:rFonts w:ascii="Arial"/>
                <w:sz w:val="21"/>
              </w:rPr>
            </w:pPr>
          </w:p>
          <w:p w14:paraId="33D76BB6">
            <w:pPr>
              <w:spacing w:line="266" w:lineRule="auto"/>
              <w:rPr>
                <w:rFonts w:ascii="Arial"/>
                <w:sz w:val="21"/>
              </w:rPr>
            </w:pPr>
          </w:p>
          <w:p w14:paraId="6A3D20A8">
            <w:pPr>
              <w:spacing w:line="266" w:lineRule="auto"/>
              <w:rPr>
                <w:rFonts w:ascii="Arial"/>
                <w:sz w:val="21"/>
              </w:rPr>
            </w:pPr>
          </w:p>
          <w:p w14:paraId="729542BC">
            <w:pPr>
              <w:spacing w:line="266" w:lineRule="auto"/>
              <w:rPr>
                <w:rFonts w:ascii="Arial"/>
                <w:sz w:val="21"/>
              </w:rPr>
            </w:pPr>
          </w:p>
          <w:p w14:paraId="47B0898D">
            <w:pPr>
              <w:spacing w:line="266" w:lineRule="auto"/>
              <w:rPr>
                <w:rFonts w:ascii="Arial"/>
                <w:sz w:val="21"/>
              </w:rPr>
            </w:pPr>
          </w:p>
          <w:p w14:paraId="54048AB5">
            <w:pPr>
              <w:spacing w:line="267" w:lineRule="auto"/>
              <w:rPr>
                <w:rFonts w:ascii="Arial"/>
                <w:sz w:val="21"/>
              </w:rPr>
            </w:pPr>
          </w:p>
          <w:p w14:paraId="389418CC">
            <w:pPr>
              <w:spacing w:line="267" w:lineRule="auto"/>
              <w:rPr>
                <w:rFonts w:ascii="Arial"/>
                <w:sz w:val="21"/>
              </w:rPr>
            </w:pPr>
          </w:p>
          <w:p w14:paraId="565AB957">
            <w:pPr>
              <w:spacing w:line="267" w:lineRule="auto"/>
              <w:rPr>
                <w:rFonts w:ascii="Arial"/>
                <w:sz w:val="21"/>
              </w:rPr>
            </w:pPr>
          </w:p>
          <w:p w14:paraId="608521D9">
            <w:pPr>
              <w:spacing w:line="267" w:lineRule="auto"/>
              <w:rPr>
                <w:rFonts w:ascii="Arial"/>
                <w:sz w:val="21"/>
              </w:rPr>
            </w:pPr>
          </w:p>
          <w:p w14:paraId="7EB1420C">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703578C9">
      <w:pPr>
        <w:pStyle w:val="2"/>
      </w:pPr>
    </w:p>
    <w:p w14:paraId="7A42DF95">
      <w:pPr>
        <w:sectPr>
          <w:footerReference r:id="rId53" w:type="default"/>
          <w:pgSz w:w="16839" w:h="11906"/>
          <w:pgMar w:top="1012" w:right="1016" w:bottom="967" w:left="1016" w:header="0" w:footer="768" w:gutter="0"/>
          <w:cols w:space="720" w:num="1"/>
        </w:sectPr>
      </w:pPr>
    </w:p>
    <w:p w14:paraId="7A7E8CCF">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1567E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4E280314">
            <w:pPr>
              <w:pStyle w:val="8"/>
              <w:spacing w:before="273" w:line="221" w:lineRule="auto"/>
              <w:ind w:left="129"/>
            </w:pPr>
            <w:r>
              <w:rPr>
                <w:b/>
                <w:bCs/>
                <w:spacing w:val="-4"/>
              </w:rPr>
              <w:t>序号</w:t>
            </w:r>
          </w:p>
        </w:tc>
        <w:tc>
          <w:tcPr>
            <w:tcW w:w="1101" w:type="dxa"/>
            <w:vMerge w:val="restart"/>
            <w:tcBorders>
              <w:bottom w:val="nil"/>
            </w:tcBorders>
            <w:vAlign w:val="top"/>
          </w:tcPr>
          <w:p w14:paraId="768D0E53">
            <w:pPr>
              <w:pStyle w:val="8"/>
              <w:spacing w:before="274" w:line="220" w:lineRule="auto"/>
              <w:ind w:left="182"/>
            </w:pPr>
            <w:r>
              <w:rPr>
                <w:b/>
                <w:bCs/>
                <w:spacing w:val="-4"/>
              </w:rPr>
              <w:t>事项名称</w:t>
            </w:r>
          </w:p>
        </w:tc>
        <w:tc>
          <w:tcPr>
            <w:tcW w:w="1101" w:type="dxa"/>
            <w:vMerge w:val="restart"/>
            <w:tcBorders>
              <w:bottom w:val="nil"/>
            </w:tcBorders>
            <w:vAlign w:val="top"/>
          </w:tcPr>
          <w:p w14:paraId="356BA847">
            <w:pPr>
              <w:pStyle w:val="8"/>
              <w:spacing w:before="274" w:line="219" w:lineRule="auto"/>
              <w:ind w:left="183"/>
            </w:pPr>
            <w:r>
              <w:rPr>
                <w:b/>
                <w:bCs/>
                <w:spacing w:val="-4"/>
              </w:rPr>
              <w:t>职权类型</w:t>
            </w:r>
          </w:p>
        </w:tc>
        <w:tc>
          <w:tcPr>
            <w:tcW w:w="8524" w:type="dxa"/>
            <w:vMerge w:val="restart"/>
            <w:tcBorders>
              <w:bottom w:val="nil"/>
            </w:tcBorders>
            <w:vAlign w:val="top"/>
          </w:tcPr>
          <w:p w14:paraId="1496F03A">
            <w:pPr>
              <w:pStyle w:val="8"/>
              <w:spacing w:before="273" w:line="219" w:lineRule="auto"/>
              <w:ind w:left="4083"/>
            </w:pPr>
            <w:r>
              <w:rPr>
                <w:b/>
                <w:bCs/>
                <w:spacing w:val="-5"/>
              </w:rPr>
              <w:t>实施依据</w:t>
            </w:r>
          </w:p>
        </w:tc>
        <w:tc>
          <w:tcPr>
            <w:tcW w:w="3435" w:type="dxa"/>
            <w:gridSpan w:val="3"/>
            <w:vAlign w:val="top"/>
          </w:tcPr>
          <w:p w14:paraId="2C7BC4DB">
            <w:pPr>
              <w:pStyle w:val="8"/>
              <w:spacing w:before="94" w:line="220" w:lineRule="auto"/>
              <w:ind w:left="1360"/>
            </w:pPr>
            <w:r>
              <w:rPr>
                <w:b/>
                <w:bCs/>
                <w:spacing w:val="-5"/>
              </w:rPr>
              <w:t>实施主体</w:t>
            </w:r>
          </w:p>
        </w:tc>
      </w:tr>
      <w:tr w14:paraId="4A92F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0B1DB802">
            <w:pPr>
              <w:rPr>
                <w:rFonts w:ascii="Arial"/>
                <w:sz w:val="21"/>
              </w:rPr>
            </w:pPr>
          </w:p>
        </w:tc>
        <w:tc>
          <w:tcPr>
            <w:tcW w:w="1101" w:type="dxa"/>
            <w:vMerge w:val="continue"/>
            <w:tcBorders>
              <w:top w:val="nil"/>
            </w:tcBorders>
            <w:vAlign w:val="top"/>
          </w:tcPr>
          <w:p w14:paraId="6933870E">
            <w:pPr>
              <w:rPr>
                <w:rFonts w:ascii="Arial"/>
                <w:sz w:val="21"/>
              </w:rPr>
            </w:pPr>
          </w:p>
        </w:tc>
        <w:tc>
          <w:tcPr>
            <w:tcW w:w="1101" w:type="dxa"/>
            <w:vMerge w:val="continue"/>
            <w:tcBorders>
              <w:top w:val="nil"/>
            </w:tcBorders>
            <w:vAlign w:val="top"/>
          </w:tcPr>
          <w:p w14:paraId="194D552F">
            <w:pPr>
              <w:rPr>
                <w:rFonts w:ascii="Arial"/>
                <w:sz w:val="21"/>
              </w:rPr>
            </w:pPr>
          </w:p>
        </w:tc>
        <w:tc>
          <w:tcPr>
            <w:tcW w:w="8524" w:type="dxa"/>
            <w:vMerge w:val="continue"/>
            <w:tcBorders>
              <w:top w:val="nil"/>
            </w:tcBorders>
            <w:vAlign w:val="top"/>
          </w:tcPr>
          <w:p w14:paraId="4A59C555">
            <w:pPr>
              <w:rPr>
                <w:rFonts w:ascii="Arial"/>
                <w:sz w:val="21"/>
              </w:rPr>
            </w:pPr>
          </w:p>
        </w:tc>
        <w:tc>
          <w:tcPr>
            <w:tcW w:w="1011" w:type="dxa"/>
            <w:vAlign w:val="top"/>
          </w:tcPr>
          <w:p w14:paraId="1BBAF961">
            <w:pPr>
              <w:pStyle w:val="8"/>
              <w:spacing w:before="85" w:line="219" w:lineRule="auto"/>
              <w:ind w:left="154"/>
            </w:pPr>
            <w:r>
              <w:rPr>
                <w:b/>
                <w:bCs/>
                <w:spacing w:val="-5"/>
              </w:rPr>
              <w:t>责任部门</w:t>
            </w:r>
          </w:p>
        </w:tc>
        <w:tc>
          <w:tcPr>
            <w:tcW w:w="1404" w:type="dxa"/>
            <w:vAlign w:val="top"/>
          </w:tcPr>
          <w:p w14:paraId="07BBD393">
            <w:pPr>
              <w:pStyle w:val="8"/>
              <w:spacing w:before="85" w:line="219" w:lineRule="auto"/>
              <w:ind w:left="164"/>
            </w:pPr>
            <w:r>
              <w:rPr>
                <w:b/>
                <w:bCs/>
                <w:spacing w:val="-3"/>
              </w:rPr>
              <w:t>第一责任层级</w:t>
            </w:r>
          </w:p>
        </w:tc>
        <w:tc>
          <w:tcPr>
            <w:tcW w:w="1020" w:type="dxa"/>
            <w:vAlign w:val="top"/>
          </w:tcPr>
          <w:p w14:paraId="206C4D9F">
            <w:pPr>
              <w:pStyle w:val="8"/>
              <w:spacing w:before="84" w:line="219" w:lineRule="auto"/>
              <w:ind w:left="114"/>
            </w:pPr>
            <w:r>
              <w:rPr>
                <w:b/>
                <w:bCs/>
                <w:spacing w:val="-4"/>
              </w:rPr>
              <w:t>承办机构</w:t>
            </w:r>
          </w:p>
        </w:tc>
      </w:tr>
      <w:tr w14:paraId="14D6B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06" w:hRule="atLeast"/>
        </w:trPr>
        <w:tc>
          <w:tcPr>
            <w:tcW w:w="629" w:type="dxa"/>
            <w:vAlign w:val="top"/>
          </w:tcPr>
          <w:p w14:paraId="79CCBDE3">
            <w:pPr>
              <w:spacing w:line="310" w:lineRule="auto"/>
              <w:rPr>
                <w:rFonts w:ascii="Arial"/>
                <w:sz w:val="21"/>
              </w:rPr>
            </w:pPr>
          </w:p>
          <w:p w14:paraId="3F11E36B">
            <w:pPr>
              <w:spacing w:line="310" w:lineRule="auto"/>
              <w:rPr>
                <w:rFonts w:ascii="Arial"/>
                <w:sz w:val="21"/>
              </w:rPr>
            </w:pPr>
          </w:p>
          <w:p w14:paraId="13B00D06">
            <w:pPr>
              <w:spacing w:line="311" w:lineRule="auto"/>
              <w:rPr>
                <w:rFonts w:ascii="Arial"/>
                <w:sz w:val="21"/>
              </w:rPr>
            </w:pPr>
          </w:p>
          <w:p w14:paraId="1B4959A0">
            <w:pPr>
              <w:pStyle w:val="8"/>
              <w:spacing w:before="58" w:line="183" w:lineRule="auto"/>
              <w:ind w:left="222"/>
              <w:rPr>
                <w:rFonts w:hint="eastAsia" w:eastAsia="宋体"/>
                <w:lang w:eastAsia="zh-CN"/>
              </w:rPr>
            </w:pPr>
            <w:r>
              <w:rPr>
                <w:spacing w:val="-4"/>
              </w:rPr>
              <w:t>6</w:t>
            </w:r>
            <w:r>
              <w:rPr>
                <w:rFonts w:hint="eastAsia"/>
                <w:spacing w:val="-4"/>
                <w:lang w:val="en-US" w:eastAsia="zh-CN"/>
              </w:rPr>
              <w:t>6</w:t>
            </w:r>
          </w:p>
        </w:tc>
        <w:tc>
          <w:tcPr>
            <w:tcW w:w="1101" w:type="dxa"/>
            <w:vAlign w:val="top"/>
          </w:tcPr>
          <w:p w14:paraId="4B7DFDBE">
            <w:pPr>
              <w:pStyle w:val="8"/>
              <w:spacing w:before="129" w:line="243" w:lineRule="auto"/>
              <w:ind w:left="18" w:right="20"/>
              <w:jc w:val="both"/>
            </w:pPr>
            <w:r>
              <w:rPr>
                <w:spacing w:val="-6"/>
              </w:rPr>
              <w:t>对未取得从业</w:t>
            </w:r>
            <w:r>
              <w:rPr>
                <w:spacing w:val="2"/>
              </w:rPr>
              <w:t xml:space="preserve"> </w:t>
            </w:r>
            <w:r>
              <w:rPr>
                <w:spacing w:val="-6"/>
              </w:rPr>
              <w:t>资格证或者超</w:t>
            </w:r>
            <w:r>
              <w:rPr>
                <w:spacing w:val="2"/>
              </w:rPr>
              <w:t xml:space="preserve"> </w:t>
            </w:r>
            <w:r>
              <w:rPr>
                <w:spacing w:val="-6"/>
              </w:rPr>
              <w:t>越从业资格证</w:t>
            </w:r>
            <w:r>
              <w:rPr>
                <w:spacing w:val="2"/>
              </w:rPr>
              <w:t xml:space="preserve"> </w:t>
            </w:r>
            <w:r>
              <w:rPr>
                <w:spacing w:val="-6"/>
              </w:rPr>
              <w:t>核定范围，驾</w:t>
            </w:r>
            <w:r>
              <w:rPr>
                <w:spacing w:val="2"/>
              </w:rPr>
              <w:t xml:space="preserve"> </w:t>
            </w:r>
            <w:r>
              <w:rPr>
                <w:spacing w:val="-6"/>
              </w:rPr>
              <w:t>驶出租汽车从</w:t>
            </w:r>
            <w:r>
              <w:rPr>
                <w:spacing w:val="2"/>
              </w:rPr>
              <w:t xml:space="preserve"> </w:t>
            </w:r>
            <w:r>
              <w:rPr>
                <w:spacing w:val="-6"/>
              </w:rPr>
              <w:t>事经营活动等</w:t>
            </w:r>
            <w:r>
              <w:rPr>
                <w:spacing w:val="2"/>
              </w:rPr>
              <w:t xml:space="preserve"> </w:t>
            </w:r>
            <w:r>
              <w:rPr>
                <w:spacing w:val="-6"/>
              </w:rPr>
              <w:t>行为的行政处</w:t>
            </w:r>
            <w:r>
              <w:rPr>
                <w:spacing w:val="2"/>
              </w:rPr>
              <w:t xml:space="preserve"> </w:t>
            </w:r>
            <w:r>
              <w:t>罚</w:t>
            </w:r>
          </w:p>
        </w:tc>
        <w:tc>
          <w:tcPr>
            <w:tcW w:w="1101" w:type="dxa"/>
            <w:vAlign w:val="top"/>
          </w:tcPr>
          <w:p w14:paraId="28DB8AF8">
            <w:pPr>
              <w:spacing w:line="300" w:lineRule="auto"/>
              <w:rPr>
                <w:rFonts w:ascii="Arial"/>
                <w:sz w:val="21"/>
              </w:rPr>
            </w:pPr>
          </w:p>
          <w:p w14:paraId="042991DE">
            <w:pPr>
              <w:spacing w:line="301" w:lineRule="auto"/>
              <w:rPr>
                <w:rFonts w:ascii="Arial"/>
                <w:sz w:val="21"/>
              </w:rPr>
            </w:pPr>
          </w:p>
          <w:p w14:paraId="25B57047">
            <w:pPr>
              <w:spacing w:line="301" w:lineRule="auto"/>
              <w:rPr>
                <w:rFonts w:ascii="Arial"/>
                <w:sz w:val="21"/>
              </w:rPr>
            </w:pPr>
          </w:p>
          <w:p w14:paraId="623DCE9D">
            <w:pPr>
              <w:pStyle w:val="8"/>
              <w:spacing w:before="59" w:line="220" w:lineRule="auto"/>
              <w:ind w:left="25"/>
            </w:pPr>
            <w:r>
              <w:rPr>
                <w:spacing w:val="-7"/>
              </w:rPr>
              <w:t>行政处罚</w:t>
            </w:r>
          </w:p>
        </w:tc>
        <w:tc>
          <w:tcPr>
            <w:tcW w:w="8524" w:type="dxa"/>
            <w:vAlign w:val="top"/>
          </w:tcPr>
          <w:p w14:paraId="07D09F6E">
            <w:pPr>
              <w:pStyle w:val="8"/>
              <w:spacing w:before="246" w:line="219" w:lineRule="auto"/>
              <w:ind w:left="451"/>
            </w:pPr>
            <w:r>
              <w:rPr>
                <w:b/>
                <w:bCs/>
                <w:spacing w:val="-8"/>
              </w:rPr>
              <w:t>《出租汽车驾驶员从业资格管理规定》(交通运输</w:t>
            </w:r>
            <w:r>
              <w:rPr>
                <w:b/>
                <w:bCs/>
                <w:spacing w:val="-9"/>
              </w:rPr>
              <w:t>部令2021年第15号)</w:t>
            </w:r>
          </w:p>
          <w:p w14:paraId="15C71AAA">
            <w:pPr>
              <w:pStyle w:val="8"/>
              <w:spacing w:before="26" w:line="233" w:lineRule="auto"/>
              <w:ind w:left="120" w:right="116" w:firstLine="324"/>
            </w:pPr>
            <w:r>
              <w:rPr>
                <w:spacing w:val="-8"/>
              </w:rPr>
              <w:t>第九条</w:t>
            </w:r>
            <w:r>
              <w:rPr>
                <w:spacing w:val="76"/>
              </w:rPr>
              <w:t xml:space="preserve"> </w:t>
            </w:r>
            <w:r>
              <w:rPr>
                <w:spacing w:val="-8"/>
              </w:rPr>
              <w:t>拟从事出租汽车客运服务的，应当填写《出租汽车驾驶员从业资格证申请表》（式样见附</w:t>
            </w:r>
            <w:r>
              <w:rPr>
                <w:spacing w:val="-9"/>
              </w:rPr>
              <w:t>件1</w:t>
            </w:r>
            <w:r>
              <w:rPr>
                <w:spacing w:val="-28"/>
              </w:rPr>
              <w:t>），</w:t>
            </w:r>
            <w:r>
              <w:t xml:space="preserve"> </w:t>
            </w:r>
            <w:r>
              <w:rPr>
                <w:spacing w:val="-8"/>
              </w:rPr>
              <w:t>向所在地设区的市级出租汽车行政主管部门申请参加出租</w:t>
            </w:r>
            <w:r>
              <w:rPr>
                <w:spacing w:val="-9"/>
              </w:rPr>
              <w:t>汽车驾驶员从业资格考试。</w:t>
            </w:r>
          </w:p>
          <w:p w14:paraId="5F22316C">
            <w:pPr>
              <w:pStyle w:val="8"/>
              <w:spacing w:before="27" w:line="239" w:lineRule="auto"/>
              <w:ind w:left="103" w:right="89" w:firstLine="341"/>
            </w:pPr>
            <w:r>
              <w:rPr>
                <w:spacing w:val="-8"/>
              </w:rPr>
              <w:t>第四十一条</w:t>
            </w:r>
            <w:r>
              <w:rPr>
                <w:spacing w:val="73"/>
              </w:rPr>
              <w:t xml:space="preserve"> </w:t>
            </w:r>
            <w:r>
              <w:rPr>
                <w:spacing w:val="-8"/>
              </w:rPr>
              <w:t>违反本规定，有下列行为之一的人员，由县级以上出租汽车行政主管部门责令改正，并</w:t>
            </w:r>
            <w:r>
              <w:rPr>
                <w:spacing w:val="-9"/>
              </w:rPr>
              <w:t>处200</w:t>
            </w:r>
            <w:r>
              <w:t xml:space="preserve"> </w:t>
            </w:r>
            <w:r>
              <w:rPr>
                <w:spacing w:val="-7"/>
              </w:rPr>
              <w:t>元以上2000元以下的罚款；构成犯罪的，依法追究刑事责任</w:t>
            </w:r>
            <w:r>
              <w:rPr>
                <w:spacing w:val="-21"/>
              </w:rPr>
              <w:t>：（</w:t>
            </w:r>
            <w:r>
              <w:rPr>
                <w:spacing w:val="-7"/>
              </w:rPr>
              <w:t>一）未取得从业资格证</w:t>
            </w:r>
            <w:r>
              <w:rPr>
                <w:spacing w:val="-8"/>
              </w:rPr>
              <w:t>或者超越从业资格证核</w:t>
            </w:r>
            <w:r>
              <w:rPr>
                <w:spacing w:val="1"/>
              </w:rPr>
              <w:t xml:space="preserve"> </w:t>
            </w:r>
            <w:r>
              <w:rPr>
                <w:spacing w:val="-7"/>
              </w:rPr>
              <w:t>定范围，驾驶出租汽车从事经营活动的</w:t>
            </w:r>
            <w:r>
              <w:rPr>
                <w:spacing w:val="-22"/>
              </w:rPr>
              <w:t>；（</w:t>
            </w:r>
            <w:r>
              <w:rPr>
                <w:spacing w:val="-7"/>
              </w:rPr>
              <w:t>二）使用失效、</w:t>
            </w:r>
            <w:r>
              <w:rPr>
                <w:spacing w:val="-8"/>
              </w:rPr>
              <w:t>伪造、变造的从业资格证，驾驶出租汽车从事经营</w:t>
            </w:r>
            <w:r>
              <w:rPr>
                <w:spacing w:val="1"/>
              </w:rPr>
              <w:t xml:space="preserve"> </w:t>
            </w:r>
            <w:r>
              <w:rPr>
                <w:spacing w:val="-7"/>
              </w:rPr>
              <w:t>活动的</w:t>
            </w:r>
            <w:r>
              <w:rPr>
                <w:spacing w:val="-16"/>
              </w:rPr>
              <w:t>；（</w:t>
            </w:r>
            <w:r>
              <w:rPr>
                <w:spacing w:val="-7"/>
              </w:rPr>
              <w:t>三）转借、出租、涂改从业资格证的。</w:t>
            </w:r>
          </w:p>
        </w:tc>
        <w:tc>
          <w:tcPr>
            <w:tcW w:w="1011" w:type="dxa"/>
            <w:vAlign w:val="top"/>
          </w:tcPr>
          <w:p w14:paraId="188FD5C7">
            <w:pPr>
              <w:spacing w:line="261" w:lineRule="auto"/>
              <w:rPr>
                <w:rFonts w:ascii="Arial"/>
                <w:sz w:val="21"/>
              </w:rPr>
            </w:pPr>
          </w:p>
          <w:p w14:paraId="518F8925">
            <w:pPr>
              <w:spacing w:line="261" w:lineRule="auto"/>
              <w:rPr>
                <w:rFonts w:ascii="Arial"/>
                <w:sz w:val="21"/>
              </w:rPr>
            </w:pPr>
          </w:p>
          <w:p w14:paraId="0954A5C1">
            <w:pPr>
              <w:spacing w:line="261" w:lineRule="auto"/>
              <w:rPr>
                <w:rFonts w:ascii="Arial"/>
                <w:sz w:val="21"/>
              </w:rPr>
            </w:pPr>
          </w:p>
          <w:p w14:paraId="7A840A40">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6C1BCE64">
            <w:pPr>
              <w:spacing w:line="261" w:lineRule="auto"/>
              <w:rPr>
                <w:rFonts w:ascii="Arial"/>
                <w:sz w:val="21"/>
              </w:rPr>
            </w:pPr>
          </w:p>
          <w:p w14:paraId="48F53D2B">
            <w:pPr>
              <w:spacing w:line="261" w:lineRule="auto"/>
              <w:rPr>
                <w:rFonts w:ascii="Arial"/>
                <w:sz w:val="21"/>
              </w:rPr>
            </w:pPr>
          </w:p>
          <w:p w14:paraId="3EDF3392">
            <w:pPr>
              <w:spacing w:line="261" w:lineRule="auto"/>
              <w:rPr>
                <w:rFonts w:ascii="Arial"/>
                <w:sz w:val="21"/>
              </w:rPr>
            </w:pPr>
          </w:p>
          <w:p w14:paraId="0E7BB88F">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5610C88">
            <w:pPr>
              <w:spacing w:line="273" w:lineRule="auto"/>
              <w:rPr>
                <w:rFonts w:ascii="Arial"/>
                <w:sz w:val="21"/>
              </w:rPr>
            </w:pPr>
          </w:p>
          <w:p w14:paraId="4786652E">
            <w:pPr>
              <w:spacing w:line="273" w:lineRule="auto"/>
              <w:rPr>
                <w:rFonts w:ascii="Arial"/>
                <w:sz w:val="21"/>
              </w:rPr>
            </w:pPr>
          </w:p>
          <w:p w14:paraId="58B81FD3">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140D9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9" w:hRule="atLeast"/>
        </w:trPr>
        <w:tc>
          <w:tcPr>
            <w:tcW w:w="629" w:type="dxa"/>
            <w:vAlign w:val="top"/>
          </w:tcPr>
          <w:p w14:paraId="406A0F4E">
            <w:pPr>
              <w:spacing w:line="244" w:lineRule="auto"/>
              <w:rPr>
                <w:rFonts w:ascii="Arial"/>
                <w:sz w:val="21"/>
              </w:rPr>
            </w:pPr>
          </w:p>
          <w:p w14:paraId="44DEB838">
            <w:pPr>
              <w:spacing w:line="244" w:lineRule="auto"/>
              <w:rPr>
                <w:rFonts w:ascii="Arial"/>
                <w:sz w:val="21"/>
              </w:rPr>
            </w:pPr>
          </w:p>
          <w:p w14:paraId="5889EF16">
            <w:pPr>
              <w:spacing w:line="244" w:lineRule="auto"/>
              <w:rPr>
                <w:rFonts w:ascii="Arial"/>
                <w:sz w:val="21"/>
              </w:rPr>
            </w:pPr>
          </w:p>
          <w:p w14:paraId="4EA1117A">
            <w:pPr>
              <w:spacing w:line="244" w:lineRule="auto"/>
              <w:rPr>
                <w:rFonts w:ascii="Arial"/>
                <w:sz w:val="21"/>
              </w:rPr>
            </w:pPr>
          </w:p>
          <w:p w14:paraId="711C14A0">
            <w:pPr>
              <w:spacing w:line="244" w:lineRule="auto"/>
              <w:rPr>
                <w:rFonts w:ascii="Arial"/>
                <w:sz w:val="21"/>
              </w:rPr>
            </w:pPr>
          </w:p>
          <w:p w14:paraId="59B0907B">
            <w:pPr>
              <w:spacing w:line="245" w:lineRule="auto"/>
              <w:rPr>
                <w:rFonts w:ascii="Arial"/>
                <w:sz w:val="21"/>
              </w:rPr>
            </w:pPr>
          </w:p>
          <w:p w14:paraId="6F2E0589">
            <w:pPr>
              <w:spacing w:line="245" w:lineRule="auto"/>
              <w:rPr>
                <w:rFonts w:ascii="Arial"/>
                <w:sz w:val="21"/>
              </w:rPr>
            </w:pPr>
          </w:p>
          <w:p w14:paraId="4C3073A7">
            <w:pPr>
              <w:spacing w:line="245" w:lineRule="auto"/>
              <w:rPr>
                <w:rFonts w:ascii="Arial"/>
                <w:sz w:val="21"/>
              </w:rPr>
            </w:pPr>
          </w:p>
          <w:p w14:paraId="2BDE339B">
            <w:pPr>
              <w:pStyle w:val="8"/>
              <w:spacing w:before="58" w:line="183" w:lineRule="auto"/>
              <w:ind w:left="222"/>
              <w:rPr>
                <w:rFonts w:hint="eastAsia" w:eastAsia="宋体"/>
                <w:lang w:eastAsia="zh-CN"/>
              </w:rPr>
            </w:pPr>
            <w:r>
              <w:rPr>
                <w:spacing w:val="-4"/>
              </w:rPr>
              <w:t>6</w:t>
            </w:r>
            <w:r>
              <w:rPr>
                <w:rFonts w:hint="eastAsia"/>
                <w:spacing w:val="-4"/>
                <w:lang w:val="en-US" w:eastAsia="zh-CN"/>
              </w:rPr>
              <w:t>7</w:t>
            </w:r>
          </w:p>
        </w:tc>
        <w:tc>
          <w:tcPr>
            <w:tcW w:w="1101" w:type="dxa"/>
            <w:vAlign w:val="top"/>
          </w:tcPr>
          <w:p w14:paraId="761528D8">
            <w:pPr>
              <w:spacing w:line="241" w:lineRule="auto"/>
              <w:rPr>
                <w:rFonts w:ascii="Arial"/>
                <w:sz w:val="21"/>
              </w:rPr>
            </w:pPr>
          </w:p>
          <w:p w14:paraId="03BE0E2D">
            <w:pPr>
              <w:spacing w:line="241" w:lineRule="auto"/>
              <w:rPr>
                <w:rFonts w:ascii="Arial"/>
                <w:sz w:val="21"/>
              </w:rPr>
            </w:pPr>
          </w:p>
          <w:p w14:paraId="7798AB87">
            <w:pPr>
              <w:spacing w:line="241" w:lineRule="auto"/>
              <w:rPr>
                <w:rFonts w:ascii="Arial"/>
                <w:sz w:val="21"/>
              </w:rPr>
            </w:pPr>
          </w:p>
          <w:p w14:paraId="34437A3F">
            <w:pPr>
              <w:spacing w:line="241" w:lineRule="auto"/>
              <w:rPr>
                <w:rFonts w:ascii="Arial"/>
                <w:sz w:val="21"/>
              </w:rPr>
            </w:pPr>
          </w:p>
          <w:p w14:paraId="65C2C5FF">
            <w:pPr>
              <w:spacing w:line="242" w:lineRule="auto"/>
              <w:rPr>
                <w:rFonts w:ascii="Arial"/>
                <w:sz w:val="21"/>
              </w:rPr>
            </w:pPr>
          </w:p>
          <w:p w14:paraId="13135D8C">
            <w:pPr>
              <w:spacing w:line="242" w:lineRule="auto"/>
              <w:rPr>
                <w:rFonts w:ascii="Arial"/>
                <w:sz w:val="21"/>
              </w:rPr>
            </w:pPr>
          </w:p>
          <w:p w14:paraId="32E321F9">
            <w:pPr>
              <w:pStyle w:val="8"/>
              <w:spacing w:before="58" w:line="242" w:lineRule="auto"/>
              <w:ind w:left="18" w:right="20"/>
              <w:jc w:val="both"/>
            </w:pPr>
            <w:r>
              <w:rPr>
                <w:spacing w:val="-6"/>
              </w:rPr>
              <w:t>对出租汽车驾</w:t>
            </w:r>
            <w:r>
              <w:rPr>
                <w:spacing w:val="2"/>
              </w:rPr>
              <w:t xml:space="preserve"> </w:t>
            </w:r>
            <w:r>
              <w:rPr>
                <w:spacing w:val="-6"/>
              </w:rPr>
              <w:t>驶员违反从业</w:t>
            </w:r>
            <w:r>
              <w:rPr>
                <w:spacing w:val="1"/>
              </w:rPr>
              <w:t xml:space="preserve"> </w:t>
            </w:r>
            <w:r>
              <w:rPr>
                <w:spacing w:val="-6"/>
              </w:rPr>
              <w:t>资格管理规定</w:t>
            </w:r>
            <w:r>
              <w:rPr>
                <w:spacing w:val="1"/>
              </w:rPr>
              <w:t xml:space="preserve"> </w:t>
            </w:r>
            <w:r>
              <w:rPr>
                <w:spacing w:val="-6"/>
              </w:rPr>
              <w:t>行为的行政处</w:t>
            </w:r>
            <w:r>
              <w:rPr>
                <w:spacing w:val="1"/>
              </w:rPr>
              <w:t xml:space="preserve"> </w:t>
            </w:r>
            <w:r>
              <w:t>罚</w:t>
            </w:r>
          </w:p>
        </w:tc>
        <w:tc>
          <w:tcPr>
            <w:tcW w:w="1101" w:type="dxa"/>
            <w:vAlign w:val="top"/>
          </w:tcPr>
          <w:p w14:paraId="2CD4EA70">
            <w:pPr>
              <w:rPr>
                <w:rFonts w:ascii="Arial"/>
                <w:sz w:val="21"/>
              </w:rPr>
            </w:pPr>
          </w:p>
          <w:p w14:paraId="2D3C5FE3">
            <w:pPr>
              <w:rPr>
                <w:rFonts w:ascii="Arial"/>
                <w:sz w:val="21"/>
              </w:rPr>
            </w:pPr>
          </w:p>
          <w:p w14:paraId="03CD2BA0">
            <w:pPr>
              <w:spacing w:line="241" w:lineRule="auto"/>
              <w:rPr>
                <w:rFonts w:ascii="Arial"/>
                <w:sz w:val="21"/>
              </w:rPr>
            </w:pPr>
          </w:p>
          <w:p w14:paraId="05E77C12">
            <w:pPr>
              <w:spacing w:line="241" w:lineRule="auto"/>
              <w:rPr>
                <w:rFonts w:ascii="Arial"/>
                <w:sz w:val="21"/>
              </w:rPr>
            </w:pPr>
          </w:p>
          <w:p w14:paraId="0BE1B67B">
            <w:pPr>
              <w:spacing w:line="241" w:lineRule="auto"/>
              <w:rPr>
                <w:rFonts w:ascii="Arial"/>
                <w:sz w:val="21"/>
              </w:rPr>
            </w:pPr>
          </w:p>
          <w:p w14:paraId="2A883E4D">
            <w:pPr>
              <w:spacing w:line="241" w:lineRule="auto"/>
              <w:rPr>
                <w:rFonts w:ascii="Arial"/>
                <w:sz w:val="21"/>
              </w:rPr>
            </w:pPr>
          </w:p>
          <w:p w14:paraId="07A8D6FB">
            <w:pPr>
              <w:spacing w:line="241" w:lineRule="auto"/>
              <w:rPr>
                <w:rFonts w:ascii="Arial"/>
                <w:sz w:val="21"/>
              </w:rPr>
            </w:pPr>
          </w:p>
          <w:p w14:paraId="5C34BD82">
            <w:pPr>
              <w:spacing w:line="241" w:lineRule="auto"/>
              <w:rPr>
                <w:rFonts w:ascii="Arial"/>
                <w:sz w:val="21"/>
              </w:rPr>
            </w:pPr>
          </w:p>
          <w:p w14:paraId="7BD3B2B3">
            <w:pPr>
              <w:pStyle w:val="8"/>
              <w:spacing w:before="59" w:line="220" w:lineRule="auto"/>
              <w:ind w:left="25"/>
            </w:pPr>
            <w:r>
              <w:rPr>
                <w:spacing w:val="-7"/>
              </w:rPr>
              <w:t>行政处罚</w:t>
            </w:r>
          </w:p>
        </w:tc>
        <w:tc>
          <w:tcPr>
            <w:tcW w:w="8524" w:type="dxa"/>
            <w:vAlign w:val="top"/>
          </w:tcPr>
          <w:p w14:paraId="273ECF7A">
            <w:pPr>
              <w:pStyle w:val="8"/>
              <w:spacing w:before="196" w:line="219" w:lineRule="auto"/>
              <w:ind w:left="451"/>
            </w:pPr>
            <w:r>
              <w:rPr>
                <w:b/>
                <w:bCs/>
                <w:spacing w:val="-8"/>
              </w:rPr>
              <w:t>《出租汽车驾驶员从业资格管理规定》(交通运输</w:t>
            </w:r>
            <w:r>
              <w:rPr>
                <w:b/>
                <w:bCs/>
                <w:spacing w:val="-9"/>
              </w:rPr>
              <w:t>部令2021年第15号)</w:t>
            </w:r>
          </w:p>
          <w:p w14:paraId="3CD1386A">
            <w:pPr>
              <w:pStyle w:val="8"/>
              <w:spacing w:before="26" w:line="233" w:lineRule="auto"/>
              <w:ind w:left="117" w:right="157" w:firstLine="327"/>
            </w:pPr>
            <w:r>
              <w:rPr>
                <w:spacing w:val="-8"/>
              </w:rPr>
              <w:t>第十六条</w:t>
            </w:r>
            <w:r>
              <w:rPr>
                <w:spacing w:val="75"/>
              </w:rPr>
              <w:t xml:space="preserve"> </w:t>
            </w:r>
            <w:r>
              <w:rPr>
                <w:spacing w:val="-8"/>
              </w:rPr>
              <w:t>取得从业资格证的出租汽车驾驶员，应当经出租汽车行政主管部门从业资格注册后，方可从事</w:t>
            </w:r>
            <w:r>
              <w:t xml:space="preserve"> </w:t>
            </w:r>
            <w:r>
              <w:rPr>
                <w:spacing w:val="-9"/>
              </w:rPr>
              <w:t>出租汽车客运服务。</w:t>
            </w:r>
          </w:p>
          <w:p w14:paraId="536723A6">
            <w:pPr>
              <w:pStyle w:val="8"/>
              <w:spacing w:before="26" w:line="219" w:lineRule="auto"/>
              <w:ind w:left="460"/>
            </w:pPr>
            <w:r>
              <w:rPr>
                <w:spacing w:val="-9"/>
              </w:rPr>
              <w:t>出租汽车驾驶员从业资格注册有效期为3年。</w:t>
            </w:r>
          </w:p>
          <w:p w14:paraId="17581E1B">
            <w:pPr>
              <w:pStyle w:val="8"/>
              <w:spacing w:before="23" w:line="243" w:lineRule="auto"/>
              <w:ind w:left="102" w:right="48" w:firstLine="343"/>
            </w:pPr>
            <w:r>
              <w:rPr>
                <w:spacing w:val="-8"/>
              </w:rPr>
              <w:t>第四十条  出租汽车驾驶员在运营过程中，应当遵守国家对驾驶员在法律法规、职业道德、服务规范、安</w:t>
            </w:r>
            <w:r>
              <w:t xml:space="preserve">  </w:t>
            </w:r>
            <w:r>
              <w:rPr>
                <w:spacing w:val="-7"/>
              </w:rPr>
              <w:t>全运营等方面的资格规定，文明行车、优质服务。出</w:t>
            </w:r>
            <w:r>
              <w:rPr>
                <w:spacing w:val="-8"/>
              </w:rPr>
              <w:t>租汽车驾驶员不得有下列行为</w:t>
            </w:r>
            <w:r>
              <w:rPr>
                <w:spacing w:val="-21"/>
              </w:rPr>
              <w:t>：（</w:t>
            </w:r>
            <w:r>
              <w:rPr>
                <w:spacing w:val="-8"/>
              </w:rPr>
              <w:t>一）途中甩客或者故意</w:t>
            </w:r>
            <w:r>
              <w:t xml:space="preserve">  </w:t>
            </w:r>
            <w:r>
              <w:rPr>
                <w:spacing w:val="-8"/>
              </w:rPr>
              <w:t>绕道行驶</w:t>
            </w:r>
            <w:r>
              <w:rPr>
                <w:spacing w:val="-24"/>
              </w:rPr>
              <w:t>；（</w:t>
            </w:r>
            <w:r>
              <w:rPr>
                <w:spacing w:val="-8"/>
              </w:rPr>
              <w:t>二）不按照规定使用出租汽车相关设备</w:t>
            </w:r>
            <w:r>
              <w:rPr>
                <w:spacing w:val="-24"/>
              </w:rPr>
              <w:t>；（</w:t>
            </w:r>
            <w:r>
              <w:rPr>
                <w:spacing w:val="-8"/>
              </w:rPr>
              <w:t>三）不按照规定使用文明用语，车容</w:t>
            </w:r>
            <w:r>
              <w:rPr>
                <w:spacing w:val="-9"/>
              </w:rPr>
              <w:t>车貌不符合要求；</w:t>
            </w:r>
            <w:r>
              <w:t xml:space="preserve"> </w:t>
            </w:r>
            <w:r>
              <w:rPr>
                <w:spacing w:val="-7"/>
              </w:rPr>
              <w:t>（四）未经乘客同意搭载其他乘客</w:t>
            </w:r>
            <w:r>
              <w:rPr>
                <w:spacing w:val="-20"/>
              </w:rPr>
              <w:t>；（</w:t>
            </w:r>
            <w:r>
              <w:rPr>
                <w:spacing w:val="-7"/>
              </w:rPr>
              <w:t>五）不按照规定出具相应车费票据</w:t>
            </w:r>
            <w:r>
              <w:rPr>
                <w:spacing w:val="-20"/>
              </w:rPr>
              <w:t>；（</w:t>
            </w:r>
            <w:r>
              <w:rPr>
                <w:spacing w:val="-7"/>
              </w:rPr>
              <w:t>六）网络预约出租汽车驾驶员违</w:t>
            </w:r>
            <w:r>
              <w:rPr>
                <w:spacing w:val="1"/>
              </w:rPr>
              <w:t xml:space="preserve">  </w:t>
            </w:r>
            <w:r>
              <w:rPr>
                <w:spacing w:val="-7"/>
              </w:rPr>
              <w:t>反规定巡游揽客、站点候客</w:t>
            </w:r>
            <w:r>
              <w:rPr>
                <w:spacing w:val="-21"/>
              </w:rPr>
              <w:t>；（</w:t>
            </w:r>
            <w:r>
              <w:rPr>
                <w:spacing w:val="-7"/>
              </w:rPr>
              <w:t>七）巡游出租汽车驾驶员</w:t>
            </w:r>
            <w:r>
              <w:rPr>
                <w:spacing w:val="-8"/>
              </w:rPr>
              <w:t>拒载，或者未经约车人或乘客同意、网络预约出租汽</w:t>
            </w:r>
            <w:r>
              <w:t xml:space="preserve">  </w:t>
            </w:r>
            <w:r>
              <w:rPr>
                <w:spacing w:val="-7"/>
              </w:rPr>
              <w:t>车驾驶员无正当理由未按承诺到达约定地点提供预约服务</w:t>
            </w:r>
            <w:r>
              <w:rPr>
                <w:spacing w:val="-22"/>
              </w:rPr>
              <w:t>；（</w:t>
            </w:r>
            <w:r>
              <w:rPr>
                <w:spacing w:val="-8"/>
              </w:rPr>
              <w:t>八）巡游出租汽车驾驶员不按照规定使用计程计</w:t>
            </w:r>
            <w:r>
              <w:t xml:space="preserve">  </w:t>
            </w:r>
            <w:r>
              <w:rPr>
                <w:spacing w:val="-7"/>
              </w:rPr>
              <w:t>价设备、违规收费或者网络预约出租汽车驾驶员违规收费</w:t>
            </w:r>
            <w:r>
              <w:rPr>
                <w:spacing w:val="-22"/>
              </w:rPr>
              <w:t>；（</w:t>
            </w:r>
            <w:r>
              <w:rPr>
                <w:spacing w:val="-8"/>
              </w:rPr>
              <w:t>九）对举报、投诉其服务质量或者对其服务作出</w:t>
            </w:r>
            <w:r>
              <w:t xml:space="preserve">  </w:t>
            </w:r>
            <w:r>
              <w:rPr>
                <w:spacing w:val="-8"/>
              </w:rPr>
              <w:t>不满意评价的乘客实施报复。</w:t>
            </w:r>
          </w:p>
          <w:p w14:paraId="1289F895">
            <w:pPr>
              <w:pStyle w:val="8"/>
              <w:spacing w:before="27" w:line="233" w:lineRule="auto"/>
              <w:ind w:left="102" w:right="150" w:firstLine="357"/>
            </w:pPr>
            <w:r>
              <w:rPr>
                <w:spacing w:val="-8"/>
              </w:rPr>
              <w:t>出租汽车驾驶员有本条前款违法行为的，应当加强继续教育；情节严</w:t>
            </w:r>
            <w:r>
              <w:rPr>
                <w:spacing w:val="-9"/>
              </w:rPr>
              <w:t>重的，出租汽车行政主管部门应当对</w:t>
            </w:r>
            <w:r>
              <w:t xml:space="preserve"> </w:t>
            </w:r>
            <w:r>
              <w:rPr>
                <w:spacing w:val="-7"/>
              </w:rPr>
              <w:t>其延期注册。</w:t>
            </w:r>
          </w:p>
          <w:p w14:paraId="22EE4009">
            <w:pPr>
              <w:pStyle w:val="8"/>
              <w:spacing w:before="25" w:line="233" w:lineRule="auto"/>
              <w:ind w:left="105" w:right="157" w:firstLine="339"/>
            </w:pPr>
            <w:r>
              <w:rPr>
                <w:spacing w:val="-8"/>
              </w:rPr>
              <w:t>第四十二条  出租汽车驾驶员违反第十六条、第四十条规定的，由县级以上出租汽车行政主管部门责令改</w:t>
            </w:r>
            <w:r>
              <w:t xml:space="preserve"> </w:t>
            </w:r>
            <w:r>
              <w:rPr>
                <w:spacing w:val="-7"/>
              </w:rPr>
              <w:t>正，并处200元以上500元以下的罚款。</w:t>
            </w:r>
          </w:p>
        </w:tc>
        <w:tc>
          <w:tcPr>
            <w:tcW w:w="1011" w:type="dxa"/>
            <w:vAlign w:val="top"/>
          </w:tcPr>
          <w:p w14:paraId="0B1FD7C3">
            <w:pPr>
              <w:spacing w:line="258" w:lineRule="auto"/>
              <w:rPr>
                <w:rFonts w:ascii="Arial"/>
                <w:sz w:val="21"/>
              </w:rPr>
            </w:pPr>
          </w:p>
          <w:p w14:paraId="0F329C84">
            <w:pPr>
              <w:spacing w:line="258" w:lineRule="auto"/>
              <w:rPr>
                <w:rFonts w:ascii="Arial"/>
                <w:sz w:val="21"/>
              </w:rPr>
            </w:pPr>
          </w:p>
          <w:p w14:paraId="0472EBF7">
            <w:pPr>
              <w:spacing w:line="258" w:lineRule="auto"/>
              <w:rPr>
                <w:rFonts w:ascii="Arial"/>
                <w:sz w:val="21"/>
              </w:rPr>
            </w:pPr>
          </w:p>
          <w:p w14:paraId="0DEF8AAC">
            <w:pPr>
              <w:spacing w:line="258" w:lineRule="auto"/>
              <w:rPr>
                <w:rFonts w:ascii="Arial"/>
                <w:sz w:val="21"/>
              </w:rPr>
            </w:pPr>
          </w:p>
          <w:p w14:paraId="53C05F25">
            <w:pPr>
              <w:spacing w:line="258" w:lineRule="auto"/>
              <w:rPr>
                <w:rFonts w:ascii="Arial"/>
                <w:sz w:val="21"/>
              </w:rPr>
            </w:pPr>
          </w:p>
          <w:p w14:paraId="03BDEC7C">
            <w:pPr>
              <w:spacing w:line="258" w:lineRule="auto"/>
              <w:rPr>
                <w:rFonts w:ascii="Arial"/>
                <w:sz w:val="21"/>
              </w:rPr>
            </w:pPr>
          </w:p>
          <w:p w14:paraId="12447FA8">
            <w:pPr>
              <w:spacing w:line="259" w:lineRule="auto"/>
              <w:rPr>
                <w:rFonts w:ascii="Arial"/>
                <w:sz w:val="21"/>
              </w:rPr>
            </w:pPr>
          </w:p>
          <w:p w14:paraId="15EB2A8C">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09ECA1C6">
            <w:pPr>
              <w:spacing w:line="258" w:lineRule="auto"/>
              <w:rPr>
                <w:rFonts w:ascii="Arial"/>
                <w:sz w:val="21"/>
              </w:rPr>
            </w:pPr>
          </w:p>
          <w:p w14:paraId="58D4917F">
            <w:pPr>
              <w:spacing w:line="258" w:lineRule="auto"/>
              <w:rPr>
                <w:rFonts w:ascii="Arial"/>
                <w:sz w:val="21"/>
              </w:rPr>
            </w:pPr>
          </w:p>
          <w:p w14:paraId="56D7C9D0">
            <w:pPr>
              <w:spacing w:line="258" w:lineRule="auto"/>
              <w:rPr>
                <w:rFonts w:ascii="Arial"/>
                <w:sz w:val="21"/>
              </w:rPr>
            </w:pPr>
          </w:p>
          <w:p w14:paraId="21F5B038">
            <w:pPr>
              <w:spacing w:line="258" w:lineRule="auto"/>
              <w:rPr>
                <w:rFonts w:ascii="Arial"/>
                <w:sz w:val="21"/>
              </w:rPr>
            </w:pPr>
          </w:p>
          <w:p w14:paraId="63FC22A0">
            <w:pPr>
              <w:spacing w:line="258" w:lineRule="auto"/>
              <w:rPr>
                <w:rFonts w:ascii="Arial"/>
                <w:sz w:val="21"/>
              </w:rPr>
            </w:pPr>
          </w:p>
          <w:p w14:paraId="4A7F0D62">
            <w:pPr>
              <w:spacing w:line="258" w:lineRule="auto"/>
              <w:rPr>
                <w:rFonts w:ascii="Arial"/>
                <w:sz w:val="21"/>
              </w:rPr>
            </w:pPr>
          </w:p>
          <w:p w14:paraId="0F657BD7">
            <w:pPr>
              <w:spacing w:line="259" w:lineRule="auto"/>
              <w:rPr>
                <w:rFonts w:ascii="Arial"/>
                <w:sz w:val="21"/>
              </w:rPr>
            </w:pPr>
          </w:p>
          <w:p w14:paraId="6A9F6F89">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83D5C96">
            <w:pPr>
              <w:spacing w:line="261" w:lineRule="auto"/>
              <w:rPr>
                <w:rFonts w:ascii="Arial"/>
                <w:sz w:val="21"/>
              </w:rPr>
            </w:pPr>
          </w:p>
          <w:p w14:paraId="232E05A0">
            <w:pPr>
              <w:spacing w:line="261" w:lineRule="auto"/>
              <w:rPr>
                <w:rFonts w:ascii="Arial"/>
                <w:sz w:val="21"/>
              </w:rPr>
            </w:pPr>
          </w:p>
          <w:p w14:paraId="61E25CFC">
            <w:pPr>
              <w:spacing w:line="262" w:lineRule="auto"/>
              <w:rPr>
                <w:rFonts w:ascii="Arial"/>
                <w:sz w:val="21"/>
              </w:rPr>
            </w:pPr>
          </w:p>
          <w:p w14:paraId="52660F77">
            <w:pPr>
              <w:spacing w:line="262" w:lineRule="auto"/>
              <w:rPr>
                <w:rFonts w:ascii="Arial"/>
                <w:sz w:val="21"/>
              </w:rPr>
            </w:pPr>
          </w:p>
          <w:p w14:paraId="1140FA07">
            <w:pPr>
              <w:spacing w:line="262" w:lineRule="auto"/>
              <w:rPr>
                <w:rFonts w:ascii="Arial"/>
                <w:sz w:val="21"/>
              </w:rPr>
            </w:pPr>
          </w:p>
          <w:p w14:paraId="0DFC5015">
            <w:pPr>
              <w:spacing w:line="262" w:lineRule="auto"/>
              <w:rPr>
                <w:rFonts w:ascii="Arial"/>
                <w:sz w:val="21"/>
              </w:rPr>
            </w:pPr>
          </w:p>
          <w:p w14:paraId="6081AD11">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DC04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9" w:hRule="atLeast"/>
        </w:trPr>
        <w:tc>
          <w:tcPr>
            <w:tcW w:w="629" w:type="dxa"/>
            <w:vAlign w:val="top"/>
          </w:tcPr>
          <w:p w14:paraId="60FA3AD8">
            <w:pPr>
              <w:spacing w:line="289" w:lineRule="auto"/>
              <w:rPr>
                <w:rFonts w:ascii="Arial"/>
                <w:sz w:val="21"/>
              </w:rPr>
            </w:pPr>
          </w:p>
          <w:p w14:paraId="687489FC">
            <w:pPr>
              <w:spacing w:line="290" w:lineRule="auto"/>
              <w:rPr>
                <w:rFonts w:ascii="Arial"/>
                <w:sz w:val="21"/>
              </w:rPr>
            </w:pPr>
          </w:p>
          <w:p w14:paraId="2A4E1EBD">
            <w:pPr>
              <w:spacing w:line="290" w:lineRule="auto"/>
              <w:rPr>
                <w:rFonts w:ascii="Arial"/>
                <w:sz w:val="21"/>
              </w:rPr>
            </w:pPr>
          </w:p>
          <w:p w14:paraId="55D4DCFF">
            <w:pPr>
              <w:pStyle w:val="8"/>
              <w:spacing w:before="58" w:line="183" w:lineRule="auto"/>
              <w:ind w:left="222"/>
              <w:rPr>
                <w:rFonts w:hint="eastAsia" w:eastAsia="宋体"/>
                <w:lang w:eastAsia="zh-CN"/>
              </w:rPr>
            </w:pPr>
            <w:r>
              <w:rPr>
                <w:spacing w:val="-4"/>
              </w:rPr>
              <w:t>6</w:t>
            </w:r>
            <w:r>
              <w:rPr>
                <w:rFonts w:hint="eastAsia"/>
                <w:spacing w:val="-4"/>
                <w:lang w:val="en-US" w:eastAsia="zh-CN"/>
              </w:rPr>
              <w:t>8</w:t>
            </w:r>
          </w:p>
        </w:tc>
        <w:tc>
          <w:tcPr>
            <w:tcW w:w="1101" w:type="dxa"/>
            <w:vAlign w:val="top"/>
          </w:tcPr>
          <w:p w14:paraId="51D1E0C3">
            <w:pPr>
              <w:spacing w:line="243" w:lineRule="auto"/>
              <w:rPr>
                <w:rFonts w:ascii="Arial"/>
                <w:sz w:val="21"/>
              </w:rPr>
            </w:pPr>
          </w:p>
          <w:p w14:paraId="1F210D75">
            <w:pPr>
              <w:pStyle w:val="8"/>
              <w:spacing w:before="59" w:line="242" w:lineRule="auto"/>
              <w:ind w:left="20" w:right="20" w:hanging="2"/>
              <w:jc w:val="both"/>
            </w:pPr>
            <w:r>
              <w:rPr>
                <w:spacing w:val="-6"/>
              </w:rPr>
              <w:t>对聘用未取得</w:t>
            </w:r>
            <w:r>
              <w:rPr>
                <w:spacing w:val="2"/>
              </w:rPr>
              <w:t xml:space="preserve"> </w:t>
            </w:r>
            <w:r>
              <w:rPr>
                <w:spacing w:val="-6"/>
              </w:rPr>
              <w:t>从业资格证的</w:t>
            </w:r>
            <w:r>
              <w:t xml:space="preserve"> </w:t>
            </w:r>
            <w:r>
              <w:rPr>
                <w:spacing w:val="-6"/>
              </w:rPr>
              <w:t>人员，驾驶出</w:t>
            </w:r>
            <w:r>
              <w:t xml:space="preserve"> </w:t>
            </w:r>
            <w:r>
              <w:rPr>
                <w:spacing w:val="-6"/>
              </w:rPr>
              <w:t>租汽车从事经</w:t>
            </w:r>
            <w:r>
              <w:t xml:space="preserve"> </w:t>
            </w:r>
            <w:r>
              <w:rPr>
                <w:spacing w:val="-6"/>
              </w:rPr>
              <w:t>营活动行为的</w:t>
            </w:r>
            <w:r>
              <w:t xml:space="preserve"> </w:t>
            </w:r>
            <w:r>
              <w:rPr>
                <w:spacing w:val="-7"/>
              </w:rPr>
              <w:t>行政处罚</w:t>
            </w:r>
          </w:p>
        </w:tc>
        <w:tc>
          <w:tcPr>
            <w:tcW w:w="1101" w:type="dxa"/>
            <w:vAlign w:val="top"/>
          </w:tcPr>
          <w:p w14:paraId="71F1B3C0">
            <w:pPr>
              <w:spacing w:line="280" w:lineRule="auto"/>
              <w:rPr>
                <w:rFonts w:ascii="Arial"/>
                <w:sz w:val="21"/>
              </w:rPr>
            </w:pPr>
          </w:p>
          <w:p w14:paraId="015DB18B">
            <w:pPr>
              <w:spacing w:line="280" w:lineRule="auto"/>
              <w:rPr>
                <w:rFonts w:ascii="Arial"/>
                <w:sz w:val="21"/>
              </w:rPr>
            </w:pPr>
          </w:p>
          <w:p w14:paraId="28DC48BE">
            <w:pPr>
              <w:spacing w:line="281" w:lineRule="auto"/>
              <w:rPr>
                <w:rFonts w:ascii="Arial"/>
                <w:sz w:val="21"/>
              </w:rPr>
            </w:pPr>
          </w:p>
          <w:p w14:paraId="6D676575">
            <w:pPr>
              <w:pStyle w:val="8"/>
              <w:spacing w:before="58" w:line="220" w:lineRule="auto"/>
              <w:ind w:left="25"/>
            </w:pPr>
            <w:r>
              <w:rPr>
                <w:spacing w:val="-7"/>
              </w:rPr>
              <w:t>行政处罚</w:t>
            </w:r>
          </w:p>
        </w:tc>
        <w:tc>
          <w:tcPr>
            <w:tcW w:w="8524" w:type="dxa"/>
            <w:vAlign w:val="top"/>
          </w:tcPr>
          <w:p w14:paraId="34822CEF">
            <w:pPr>
              <w:spacing w:line="363" w:lineRule="auto"/>
              <w:rPr>
                <w:rFonts w:ascii="Arial"/>
                <w:sz w:val="21"/>
              </w:rPr>
            </w:pPr>
          </w:p>
          <w:p w14:paraId="0E5642D9">
            <w:pPr>
              <w:pStyle w:val="8"/>
              <w:spacing w:before="59" w:line="219" w:lineRule="auto"/>
              <w:ind w:left="451"/>
            </w:pPr>
            <w:r>
              <w:rPr>
                <w:b/>
                <w:bCs/>
                <w:spacing w:val="-8"/>
              </w:rPr>
              <w:t>《出租汽车驾驶员从业资格管理规定》(交通运输</w:t>
            </w:r>
            <w:r>
              <w:rPr>
                <w:b/>
                <w:bCs/>
                <w:spacing w:val="-9"/>
              </w:rPr>
              <w:t>部令2021年第15号)</w:t>
            </w:r>
          </w:p>
          <w:p w14:paraId="4C351294">
            <w:pPr>
              <w:pStyle w:val="8"/>
              <w:spacing w:before="26" w:line="233" w:lineRule="auto"/>
              <w:ind w:left="102" w:right="157" w:firstLine="343"/>
            </w:pPr>
            <w:r>
              <w:rPr>
                <w:spacing w:val="-8"/>
              </w:rPr>
              <w:t>第十七条  出租汽车经营者应当聘用取得从业资格证的出租汽车驾驶员，并在出租汽车驾驶员办理从业资</w:t>
            </w:r>
            <w:r>
              <w:t xml:space="preserve"> </w:t>
            </w:r>
            <w:r>
              <w:rPr>
                <w:spacing w:val="-8"/>
              </w:rPr>
              <w:t>格注册后再安排上岗。</w:t>
            </w:r>
          </w:p>
          <w:p w14:paraId="1F582870">
            <w:pPr>
              <w:pStyle w:val="8"/>
              <w:spacing w:before="24" w:line="233" w:lineRule="auto"/>
              <w:ind w:left="103" w:right="32" w:firstLine="341"/>
            </w:pPr>
            <w:r>
              <w:rPr>
                <w:spacing w:val="-8"/>
              </w:rPr>
              <w:t>第四十三条</w:t>
            </w:r>
            <w:r>
              <w:rPr>
                <w:spacing w:val="74"/>
              </w:rPr>
              <w:t xml:space="preserve"> </w:t>
            </w:r>
            <w:r>
              <w:rPr>
                <w:spacing w:val="-8"/>
              </w:rPr>
              <w:t>违反本规定，聘用未取得从业资格证的人员，驾驶出租汽车从事经营活动的，由县级以上出</w:t>
            </w:r>
            <w:r>
              <w:t xml:space="preserve">  </w:t>
            </w:r>
            <w:r>
              <w:rPr>
                <w:spacing w:val="-10"/>
              </w:rPr>
              <w:t>租汽车行政主管部门责令改正，并处3000元以上1万元以下的罚款；情节严重的，处1万元以上</w:t>
            </w:r>
            <w:r>
              <w:rPr>
                <w:spacing w:val="-11"/>
              </w:rPr>
              <w:t>3万元以下的罚款。</w:t>
            </w:r>
          </w:p>
        </w:tc>
        <w:tc>
          <w:tcPr>
            <w:tcW w:w="1011" w:type="dxa"/>
            <w:vAlign w:val="top"/>
          </w:tcPr>
          <w:p w14:paraId="43B198FA">
            <w:pPr>
              <w:rPr>
                <w:rFonts w:ascii="Arial"/>
                <w:sz w:val="21"/>
              </w:rPr>
            </w:pPr>
          </w:p>
          <w:p w14:paraId="2FFEB0E8">
            <w:pPr>
              <w:rPr>
                <w:rFonts w:ascii="Arial"/>
                <w:sz w:val="21"/>
              </w:rPr>
            </w:pPr>
          </w:p>
          <w:p w14:paraId="0A613FE8">
            <w:pPr>
              <w:spacing w:line="241" w:lineRule="auto"/>
              <w:rPr>
                <w:rFonts w:ascii="Arial"/>
                <w:sz w:val="21"/>
              </w:rPr>
            </w:pPr>
          </w:p>
          <w:p w14:paraId="2CF5D81E">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5864D128">
            <w:pPr>
              <w:rPr>
                <w:rFonts w:ascii="Arial"/>
                <w:sz w:val="21"/>
              </w:rPr>
            </w:pPr>
          </w:p>
          <w:p w14:paraId="49EC5B75">
            <w:pPr>
              <w:rPr>
                <w:rFonts w:ascii="Arial"/>
                <w:sz w:val="21"/>
              </w:rPr>
            </w:pPr>
          </w:p>
          <w:p w14:paraId="79FC3014">
            <w:pPr>
              <w:spacing w:line="241" w:lineRule="auto"/>
              <w:rPr>
                <w:rFonts w:ascii="Arial"/>
                <w:sz w:val="21"/>
              </w:rPr>
            </w:pPr>
          </w:p>
          <w:p w14:paraId="798D0C8D">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E796608">
            <w:pPr>
              <w:spacing w:line="242" w:lineRule="auto"/>
              <w:rPr>
                <w:rFonts w:ascii="Arial"/>
                <w:sz w:val="21"/>
              </w:rPr>
            </w:pPr>
          </w:p>
          <w:p w14:paraId="54FF34B8">
            <w:pPr>
              <w:spacing w:line="242" w:lineRule="auto"/>
              <w:rPr>
                <w:rFonts w:ascii="Arial"/>
                <w:sz w:val="21"/>
              </w:rPr>
            </w:pPr>
          </w:p>
          <w:p w14:paraId="105ECB25">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4813ACC8">
      <w:pPr>
        <w:pStyle w:val="2"/>
      </w:pPr>
    </w:p>
    <w:p w14:paraId="72C71415">
      <w:pPr>
        <w:sectPr>
          <w:footerReference r:id="rId54" w:type="default"/>
          <w:pgSz w:w="16839" w:h="11906"/>
          <w:pgMar w:top="1012" w:right="1016" w:bottom="966" w:left="1016" w:header="0" w:footer="768" w:gutter="0"/>
          <w:cols w:space="720" w:num="1"/>
        </w:sectPr>
      </w:pPr>
    </w:p>
    <w:p w14:paraId="02889D8B">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378A6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103037F3">
            <w:pPr>
              <w:pStyle w:val="8"/>
              <w:spacing w:before="273" w:line="221" w:lineRule="auto"/>
              <w:ind w:left="129"/>
            </w:pPr>
            <w:r>
              <w:rPr>
                <w:b/>
                <w:bCs/>
                <w:spacing w:val="-4"/>
              </w:rPr>
              <w:t>序号</w:t>
            </w:r>
          </w:p>
        </w:tc>
        <w:tc>
          <w:tcPr>
            <w:tcW w:w="1101" w:type="dxa"/>
            <w:vMerge w:val="restart"/>
            <w:tcBorders>
              <w:bottom w:val="nil"/>
            </w:tcBorders>
            <w:vAlign w:val="top"/>
          </w:tcPr>
          <w:p w14:paraId="5DF0A6BE">
            <w:pPr>
              <w:pStyle w:val="8"/>
              <w:spacing w:before="274" w:line="220" w:lineRule="auto"/>
              <w:ind w:left="182"/>
            </w:pPr>
            <w:r>
              <w:rPr>
                <w:b/>
                <w:bCs/>
                <w:spacing w:val="-4"/>
              </w:rPr>
              <w:t>事项名称</w:t>
            </w:r>
          </w:p>
        </w:tc>
        <w:tc>
          <w:tcPr>
            <w:tcW w:w="1101" w:type="dxa"/>
            <w:vMerge w:val="restart"/>
            <w:tcBorders>
              <w:bottom w:val="nil"/>
            </w:tcBorders>
            <w:vAlign w:val="top"/>
          </w:tcPr>
          <w:p w14:paraId="4A7E4841">
            <w:pPr>
              <w:pStyle w:val="8"/>
              <w:spacing w:before="274" w:line="219" w:lineRule="auto"/>
              <w:ind w:left="183"/>
            </w:pPr>
            <w:r>
              <w:rPr>
                <w:b/>
                <w:bCs/>
                <w:spacing w:val="-4"/>
              </w:rPr>
              <w:t>职权类型</w:t>
            </w:r>
          </w:p>
        </w:tc>
        <w:tc>
          <w:tcPr>
            <w:tcW w:w="8524" w:type="dxa"/>
            <w:vMerge w:val="restart"/>
            <w:tcBorders>
              <w:bottom w:val="nil"/>
            </w:tcBorders>
            <w:vAlign w:val="top"/>
          </w:tcPr>
          <w:p w14:paraId="1E2E30F6">
            <w:pPr>
              <w:pStyle w:val="8"/>
              <w:spacing w:before="273" w:line="219" w:lineRule="auto"/>
              <w:ind w:left="4083"/>
            </w:pPr>
            <w:r>
              <w:rPr>
                <w:b/>
                <w:bCs/>
                <w:spacing w:val="-5"/>
              </w:rPr>
              <w:t>实施依据</w:t>
            </w:r>
          </w:p>
        </w:tc>
        <w:tc>
          <w:tcPr>
            <w:tcW w:w="3435" w:type="dxa"/>
            <w:gridSpan w:val="3"/>
            <w:vAlign w:val="top"/>
          </w:tcPr>
          <w:p w14:paraId="60AC4CC1">
            <w:pPr>
              <w:pStyle w:val="8"/>
              <w:spacing w:before="94" w:line="220" w:lineRule="auto"/>
              <w:ind w:left="1360"/>
            </w:pPr>
            <w:r>
              <w:rPr>
                <w:b/>
                <w:bCs/>
                <w:spacing w:val="-5"/>
              </w:rPr>
              <w:t>实施主体</w:t>
            </w:r>
          </w:p>
        </w:tc>
      </w:tr>
      <w:tr w14:paraId="466F2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5B4025E0">
            <w:pPr>
              <w:rPr>
                <w:rFonts w:ascii="Arial"/>
                <w:sz w:val="21"/>
              </w:rPr>
            </w:pPr>
          </w:p>
        </w:tc>
        <w:tc>
          <w:tcPr>
            <w:tcW w:w="1101" w:type="dxa"/>
            <w:vMerge w:val="continue"/>
            <w:tcBorders>
              <w:top w:val="nil"/>
            </w:tcBorders>
            <w:vAlign w:val="top"/>
          </w:tcPr>
          <w:p w14:paraId="5C9E5B6D">
            <w:pPr>
              <w:rPr>
                <w:rFonts w:ascii="Arial"/>
                <w:sz w:val="21"/>
              </w:rPr>
            </w:pPr>
          </w:p>
        </w:tc>
        <w:tc>
          <w:tcPr>
            <w:tcW w:w="1101" w:type="dxa"/>
            <w:vMerge w:val="continue"/>
            <w:tcBorders>
              <w:top w:val="nil"/>
            </w:tcBorders>
            <w:vAlign w:val="top"/>
          </w:tcPr>
          <w:p w14:paraId="6CAE9103">
            <w:pPr>
              <w:rPr>
                <w:rFonts w:ascii="Arial"/>
                <w:sz w:val="21"/>
              </w:rPr>
            </w:pPr>
          </w:p>
        </w:tc>
        <w:tc>
          <w:tcPr>
            <w:tcW w:w="8524" w:type="dxa"/>
            <w:vMerge w:val="continue"/>
            <w:tcBorders>
              <w:top w:val="nil"/>
            </w:tcBorders>
            <w:vAlign w:val="top"/>
          </w:tcPr>
          <w:p w14:paraId="44DA7970">
            <w:pPr>
              <w:rPr>
                <w:rFonts w:ascii="Arial"/>
                <w:sz w:val="21"/>
              </w:rPr>
            </w:pPr>
          </w:p>
        </w:tc>
        <w:tc>
          <w:tcPr>
            <w:tcW w:w="1011" w:type="dxa"/>
            <w:vAlign w:val="top"/>
          </w:tcPr>
          <w:p w14:paraId="516D898D">
            <w:pPr>
              <w:pStyle w:val="8"/>
              <w:spacing w:before="85" w:line="219" w:lineRule="auto"/>
              <w:ind w:left="154"/>
            </w:pPr>
            <w:r>
              <w:rPr>
                <w:b/>
                <w:bCs/>
                <w:spacing w:val="-5"/>
              </w:rPr>
              <w:t>责任部门</w:t>
            </w:r>
          </w:p>
        </w:tc>
        <w:tc>
          <w:tcPr>
            <w:tcW w:w="1404" w:type="dxa"/>
            <w:vAlign w:val="top"/>
          </w:tcPr>
          <w:p w14:paraId="362BBBD5">
            <w:pPr>
              <w:pStyle w:val="8"/>
              <w:spacing w:before="85" w:line="219" w:lineRule="auto"/>
              <w:ind w:left="164"/>
            </w:pPr>
            <w:r>
              <w:rPr>
                <w:b/>
                <w:bCs/>
                <w:spacing w:val="-3"/>
              </w:rPr>
              <w:t>第一责任层级</w:t>
            </w:r>
          </w:p>
        </w:tc>
        <w:tc>
          <w:tcPr>
            <w:tcW w:w="1020" w:type="dxa"/>
            <w:vAlign w:val="top"/>
          </w:tcPr>
          <w:p w14:paraId="50C2FEF6">
            <w:pPr>
              <w:pStyle w:val="8"/>
              <w:spacing w:before="84" w:line="219" w:lineRule="auto"/>
              <w:ind w:left="114"/>
            </w:pPr>
            <w:r>
              <w:rPr>
                <w:b/>
                <w:bCs/>
                <w:spacing w:val="-4"/>
              </w:rPr>
              <w:t>承办机构</w:t>
            </w:r>
          </w:p>
        </w:tc>
      </w:tr>
      <w:tr w14:paraId="395C7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49" w:hRule="atLeast"/>
        </w:trPr>
        <w:tc>
          <w:tcPr>
            <w:tcW w:w="629" w:type="dxa"/>
            <w:vAlign w:val="top"/>
          </w:tcPr>
          <w:p w14:paraId="4A3D1969">
            <w:pPr>
              <w:spacing w:line="263" w:lineRule="auto"/>
              <w:rPr>
                <w:rFonts w:ascii="Arial"/>
                <w:sz w:val="21"/>
              </w:rPr>
            </w:pPr>
          </w:p>
          <w:p w14:paraId="4FB1B4A1">
            <w:pPr>
              <w:spacing w:line="263" w:lineRule="auto"/>
              <w:rPr>
                <w:rFonts w:ascii="Arial"/>
                <w:sz w:val="21"/>
              </w:rPr>
            </w:pPr>
          </w:p>
          <w:p w14:paraId="7BC798AE">
            <w:pPr>
              <w:spacing w:line="263" w:lineRule="auto"/>
              <w:rPr>
                <w:rFonts w:ascii="Arial"/>
                <w:sz w:val="21"/>
              </w:rPr>
            </w:pPr>
          </w:p>
          <w:p w14:paraId="4E6C86EF">
            <w:pPr>
              <w:spacing w:line="263" w:lineRule="auto"/>
              <w:rPr>
                <w:rFonts w:ascii="Arial"/>
                <w:sz w:val="21"/>
              </w:rPr>
            </w:pPr>
          </w:p>
          <w:p w14:paraId="35592D38">
            <w:pPr>
              <w:pStyle w:val="8"/>
              <w:spacing w:before="59" w:line="183" w:lineRule="auto"/>
              <w:ind w:left="225"/>
              <w:rPr>
                <w:rFonts w:hint="default" w:eastAsia="宋体"/>
                <w:lang w:val="en-US" w:eastAsia="zh-CN"/>
              </w:rPr>
            </w:pPr>
            <w:r>
              <w:rPr>
                <w:rFonts w:hint="eastAsia"/>
                <w:spacing w:val="-6"/>
                <w:lang w:val="en-US" w:eastAsia="zh-CN"/>
              </w:rPr>
              <w:t>69</w:t>
            </w:r>
          </w:p>
        </w:tc>
        <w:tc>
          <w:tcPr>
            <w:tcW w:w="1101" w:type="dxa"/>
            <w:vAlign w:val="top"/>
          </w:tcPr>
          <w:p w14:paraId="6B7D5C79">
            <w:pPr>
              <w:spacing w:line="308" w:lineRule="auto"/>
              <w:rPr>
                <w:rFonts w:ascii="Arial"/>
                <w:sz w:val="21"/>
              </w:rPr>
            </w:pPr>
          </w:p>
          <w:p w14:paraId="758936E9">
            <w:pPr>
              <w:pStyle w:val="8"/>
              <w:spacing w:before="59" w:line="243" w:lineRule="auto"/>
              <w:ind w:left="18" w:right="20"/>
              <w:jc w:val="both"/>
            </w:pPr>
            <w:r>
              <w:rPr>
                <w:spacing w:val="-6"/>
              </w:rPr>
              <w:t>对聘用未按规</w:t>
            </w:r>
            <w:r>
              <w:rPr>
                <w:spacing w:val="2"/>
              </w:rPr>
              <w:t xml:space="preserve"> </w:t>
            </w:r>
            <w:r>
              <w:rPr>
                <w:spacing w:val="-6"/>
              </w:rPr>
              <w:t>定办理注册手</w:t>
            </w:r>
            <w:r>
              <w:rPr>
                <w:spacing w:val="1"/>
              </w:rPr>
              <w:t xml:space="preserve"> </w:t>
            </w:r>
            <w:r>
              <w:rPr>
                <w:spacing w:val="-6"/>
              </w:rPr>
              <w:t>续的人员，驾</w:t>
            </w:r>
            <w:r>
              <w:rPr>
                <w:spacing w:val="1"/>
              </w:rPr>
              <w:t xml:space="preserve"> </w:t>
            </w:r>
            <w:r>
              <w:rPr>
                <w:spacing w:val="-6"/>
              </w:rPr>
              <w:t>驶出租汽车从</w:t>
            </w:r>
            <w:r>
              <w:rPr>
                <w:spacing w:val="1"/>
              </w:rPr>
              <w:t xml:space="preserve"> </w:t>
            </w:r>
            <w:r>
              <w:rPr>
                <w:spacing w:val="-6"/>
              </w:rPr>
              <w:t>事经营活动等</w:t>
            </w:r>
            <w:r>
              <w:rPr>
                <w:spacing w:val="1"/>
              </w:rPr>
              <w:t xml:space="preserve"> </w:t>
            </w:r>
            <w:r>
              <w:rPr>
                <w:spacing w:val="-6"/>
              </w:rPr>
              <w:t>行为的行政处</w:t>
            </w:r>
            <w:r>
              <w:rPr>
                <w:spacing w:val="1"/>
              </w:rPr>
              <w:t xml:space="preserve"> </w:t>
            </w:r>
            <w:r>
              <w:t>罚</w:t>
            </w:r>
          </w:p>
        </w:tc>
        <w:tc>
          <w:tcPr>
            <w:tcW w:w="1101" w:type="dxa"/>
            <w:vAlign w:val="top"/>
          </w:tcPr>
          <w:p w14:paraId="71CA422D">
            <w:pPr>
              <w:spacing w:line="256" w:lineRule="auto"/>
              <w:rPr>
                <w:rFonts w:ascii="Arial"/>
                <w:sz w:val="21"/>
              </w:rPr>
            </w:pPr>
          </w:p>
          <w:p w14:paraId="25BBF41B">
            <w:pPr>
              <w:spacing w:line="256" w:lineRule="auto"/>
              <w:rPr>
                <w:rFonts w:ascii="Arial"/>
                <w:sz w:val="21"/>
              </w:rPr>
            </w:pPr>
          </w:p>
          <w:p w14:paraId="54185DA3">
            <w:pPr>
              <w:spacing w:line="256" w:lineRule="auto"/>
              <w:rPr>
                <w:rFonts w:ascii="Arial"/>
                <w:sz w:val="21"/>
              </w:rPr>
            </w:pPr>
          </w:p>
          <w:p w14:paraId="541547EB">
            <w:pPr>
              <w:spacing w:line="256" w:lineRule="auto"/>
              <w:rPr>
                <w:rFonts w:ascii="Arial"/>
                <w:sz w:val="21"/>
              </w:rPr>
            </w:pPr>
          </w:p>
          <w:p w14:paraId="480C6CAA">
            <w:pPr>
              <w:pStyle w:val="8"/>
              <w:spacing w:before="59" w:line="220" w:lineRule="auto"/>
              <w:ind w:left="25"/>
            </w:pPr>
            <w:r>
              <w:rPr>
                <w:spacing w:val="-7"/>
              </w:rPr>
              <w:t>行政处罚</w:t>
            </w:r>
          </w:p>
        </w:tc>
        <w:tc>
          <w:tcPr>
            <w:tcW w:w="8524" w:type="dxa"/>
            <w:vAlign w:val="top"/>
          </w:tcPr>
          <w:p w14:paraId="0C4BDCA8">
            <w:pPr>
              <w:pStyle w:val="8"/>
              <w:spacing w:before="249" w:line="219" w:lineRule="auto"/>
              <w:ind w:left="451"/>
            </w:pPr>
            <w:r>
              <w:rPr>
                <w:b/>
                <w:bCs/>
                <w:spacing w:val="-8"/>
              </w:rPr>
              <w:t>《出租汽车驾驶员从业资格管理规定》(交通运输</w:t>
            </w:r>
            <w:r>
              <w:rPr>
                <w:b/>
                <w:bCs/>
                <w:spacing w:val="-9"/>
              </w:rPr>
              <w:t>部令2021年第15号)</w:t>
            </w:r>
          </w:p>
          <w:p w14:paraId="604D3979">
            <w:pPr>
              <w:pStyle w:val="8"/>
              <w:spacing w:before="26" w:line="233" w:lineRule="auto"/>
              <w:ind w:left="102" w:right="157" w:firstLine="343"/>
            </w:pPr>
            <w:r>
              <w:rPr>
                <w:spacing w:val="-8"/>
              </w:rPr>
              <w:t>第十七条  出租汽车经营者应当聘用取得从业资格证的出租汽车驾驶员，并在出租汽车驾驶员办理从业资</w:t>
            </w:r>
            <w:r>
              <w:t xml:space="preserve"> </w:t>
            </w:r>
            <w:r>
              <w:rPr>
                <w:spacing w:val="-8"/>
              </w:rPr>
              <w:t>格注册后再安排上岗。</w:t>
            </w:r>
          </w:p>
          <w:p w14:paraId="6672E280">
            <w:pPr>
              <w:pStyle w:val="8"/>
              <w:spacing w:before="26" w:line="219" w:lineRule="auto"/>
              <w:ind w:left="445"/>
            </w:pPr>
            <w:r>
              <w:rPr>
                <w:spacing w:val="-8"/>
              </w:rPr>
              <w:t>第二十四条  出租汽车驾驶员在注册期内应当按规定完成继续教育。</w:t>
            </w:r>
          </w:p>
          <w:p w14:paraId="3FB78382">
            <w:pPr>
              <w:pStyle w:val="8"/>
              <w:spacing w:before="26" w:line="219" w:lineRule="auto"/>
              <w:ind w:left="447"/>
            </w:pPr>
            <w:r>
              <w:rPr>
                <w:spacing w:val="-8"/>
              </w:rPr>
              <w:t>取得从业资格证超过3年未申请注册的，注册后上岗前应当完成不少于27学时的继续教育。</w:t>
            </w:r>
          </w:p>
          <w:p w14:paraId="6245BDA6">
            <w:pPr>
              <w:pStyle w:val="8"/>
              <w:spacing w:before="27" w:line="237" w:lineRule="auto"/>
              <w:ind w:left="102" w:right="157" w:firstLine="342"/>
            </w:pPr>
            <w:r>
              <w:rPr>
                <w:spacing w:val="-8"/>
              </w:rPr>
              <w:t>第四十四条</w:t>
            </w:r>
            <w:r>
              <w:rPr>
                <w:spacing w:val="74"/>
              </w:rPr>
              <w:t xml:space="preserve"> </w:t>
            </w:r>
            <w:r>
              <w:rPr>
                <w:spacing w:val="-8"/>
              </w:rPr>
              <w:t>违反本规定，有下列行为之一的出租汽车经营者，由县级以上出租汽车行政主管部门责令改</w:t>
            </w:r>
            <w:r>
              <w:t xml:space="preserve"> </w:t>
            </w:r>
            <w:r>
              <w:rPr>
                <w:spacing w:val="-7"/>
              </w:rPr>
              <w:t>正，并处1000元以上3000元以下的罚款</w:t>
            </w:r>
            <w:r>
              <w:rPr>
                <w:spacing w:val="-20"/>
              </w:rPr>
              <w:t>：（</w:t>
            </w:r>
            <w:r>
              <w:rPr>
                <w:spacing w:val="-7"/>
              </w:rPr>
              <w:t>一）聘用未按规定办理注册手续的人员，驾驶出租汽车从事</w:t>
            </w:r>
            <w:r>
              <w:rPr>
                <w:spacing w:val="-8"/>
              </w:rPr>
              <w:t>经营活</w:t>
            </w:r>
            <w:r>
              <w:t xml:space="preserve"> </w:t>
            </w:r>
            <w:r>
              <w:rPr>
                <w:spacing w:val="-7"/>
              </w:rPr>
              <w:t>动的</w:t>
            </w:r>
            <w:r>
              <w:rPr>
                <w:spacing w:val="-14"/>
              </w:rPr>
              <w:t>；（</w:t>
            </w:r>
            <w:r>
              <w:rPr>
                <w:spacing w:val="-7"/>
              </w:rPr>
              <w:t>二）不按照规定组织实施继续教育的。</w:t>
            </w:r>
          </w:p>
        </w:tc>
        <w:tc>
          <w:tcPr>
            <w:tcW w:w="1011" w:type="dxa"/>
            <w:vAlign w:val="top"/>
          </w:tcPr>
          <w:p w14:paraId="77A4911B">
            <w:pPr>
              <w:spacing w:line="301" w:lineRule="auto"/>
              <w:rPr>
                <w:rFonts w:ascii="Arial"/>
                <w:sz w:val="21"/>
              </w:rPr>
            </w:pPr>
          </w:p>
          <w:p w14:paraId="66FDFB95">
            <w:pPr>
              <w:spacing w:line="302" w:lineRule="auto"/>
              <w:rPr>
                <w:rFonts w:ascii="Arial"/>
                <w:sz w:val="21"/>
              </w:rPr>
            </w:pPr>
          </w:p>
          <w:p w14:paraId="7E6D56F8">
            <w:pPr>
              <w:spacing w:line="302" w:lineRule="auto"/>
              <w:rPr>
                <w:rFonts w:ascii="Arial"/>
                <w:sz w:val="21"/>
              </w:rPr>
            </w:pPr>
          </w:p>
          <w:p w14:paraId="1DDC7147">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75FAA5AE">
            <w:pPr>
              <w:spacing w:line="301" w:lineRule="auto"/>
              <w:rPr>
                <w:rFonts w:ascii="Arial"/>
                <w:sz w:val="21"/>
              </w:rPr>
            </w:pPr>
          </w:p>
          <w:p w14:paraId="68766679">
            <w:pPr>
              <w:spacing w:line="302" w:lineRule="auto"/>
              <w:rPr>
                <w:rFonts w:ascii="Arial"/>
                <w:sz w:val="21"/>
              </w:rPr>
            </w:pPr>
          </w:p>
          <w:p w14:paraId="4D6FFCB6">
            <w:pPr>
              <w:spacing w:line="302" w:lineRule="auto"/>
              <w:rPr>
                <w:rFonts w:ascii="Arial"/>
                <w:sz w:val="21"/>
              </w:rPr>
            </w:pPr>
          </w:p>
          <w:p w14:paraId="3526FFB8">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87C9AE6">
            <w:pPr>
              <w:spacing w:line="334" w:lineRule="auto"/>
              <w:rPr>
                <w:rFonts w:ascii="Arial"/>
                <w:sz w:val="21"/>
              </w:rPr>
            </w:pPr>
          </w:p>
          <w:p w14:paraId="3892F594">
            <w:pPr>
              <w:spacing w:line="334" w:lineRule="auto"/>
              <w:rPr>
                <w:rFonts w:ascii="Arial"/>
                <w:sz w:val="21"/>
              </w:rPr>
            </w:pPr>
          </w:p>
          <w:p w14:paraId="0E036C2A">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6C439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1" w:hRule="atLeast"/>
        </w:trPr>
        <w:tc>
          <w:tcPr>
            <w:tcW w:w="629" w:type="dxa"/>
            <w:vAlign w:val="top"/>
          </w:tcPr>
          <w:p w14:paraId="54198B89">
            <w:pPr>
              <w:spacing w:line="241" w:lineRule="auto"/>
              <w:rPr>
                <w:rFonts w:ascii="Arial"/>
                <w:sz w:val="21"/>
              </w:rPr>
            </w:pPr>
          </w:p>
          <w:p w14:paraId="1F083D02">
            <w:pPr>
              <w:spacing w:line="241" w:lineRule="auto"/>
              <w:rPr>
                <w:rFonts w:ascii="Arial"/>
                <w:sz w:val="21"/>
              </w:rPr>
            </w:pPr>
          </w:p>
          <w:p w14:paraId="45D3099D">
            <w:pPr>
              <w:spacing w:line="242" w:lineRule="auto"/>
              <w:rPr>
                <w:rFonts w:ascii="Arial"/>
                <w:sz w:val="21"/>
              </w:rPr>
            </w:pPr>
          </w:p>
          <w:p w14:paraId="0925B296">
            <w:pPr>
              <w:spacing w:line="242" w:lineRule="auto"/>
              <w:rPr>
                <w:rFonts w:ascii="Arial"/>
                <w:sz w:val="21"/>
              </w:rPr>
            </w:pPr>
          </w:p>
          <w:p w14:paraId="2EDE4FC1">
            <w:pPr>
              <w:spacing w:line="242" w:lineRule="auto"/>
              <w:rPr>
                <w:rFonts w:ascii="Arial"/>
                <w:sz w:val="21"/>
              </w:rPr>
            </w:pPr>
          </w:p>
          <w:p w14:paraId="1567F51E">
            <w:pPr>
              <w:spacing w:line="242" w:lineRule="auto"/>
              <w:rPr>
                <w:rFonts w:ascii="Arial"/>
                <w:sz w:val="21"/>
              </w:rPr>
            </w:pPr>
          </w:p>
          <w:p w14:paraId="4CB3691C">
            <w:pPr>
              <w:pStyle w:val="8"/>
              <w:spacing w:before="58" w:line="184" w:lineRule="auto"/>
              <w:ind w:left="225"/>
              <w:rPr>
                <w:rFonts w:hint="eastAsia" w:eastAsia="宋体"/>
                <w:lang w:eastAsia="zh-CN"/>
              </w:rPr>
            </w:pPr>
            <w:r>
              <w:rPr>
                <w:spacing w:val="-6"/>
              </w:rPr>
              <w:t>7</w:t>
            </w:r>
            <w:r>
              <w:rPr>
                <w:rFonts w:hint="eastAsia"/>
                <w:spacing w:val="-6"/>
                <w:lang w:val="en-US" w:eastAsia="zh-CN"/>
              </w:rPr>
              <w:t>0</w:t>
            </w:r>
          </w:p>
        </w:tc>
        <w:tc>
          <w:tcPr>
            <w:tcW w:w="1101" w:type="dxa"/>
            <w:vAlign w:val="top"/>
          </w:tcPr>
          <w:p w14:paraId="49EBC664">
            <w:pPr>
              <w:spacing w:line="345" w:lineRule="auto"/>
              <w:rPr>
                <w:rFonts w:ascii="Arial"/>
                <w:sz w:val="21"/>
              </w:rPr>
            </w:pPr>
          </w:p>
          <w:p w14:paraId="642F8E5E">
            <w:pPr>
              <w:pStyle w:val="8"/>
              <w:spacing w:before="58" w:line="244" w:lineRule="auto"/>
              <w:ind w:left="18" w:right="20"/>
              <w:jc w:val="both"/>
            </w:pPr>
            <w:r>
              <w:rPr>
                <w:spacing w:val="-6"/>
              </w:rPr>
              <w:t>对道路运输企</w:t>
            </w:r>
            <w:r>
              <w:rPr>
                <w:spacing w:val="2"/>
              </w:rPr>
              <w:t xml:space="preserve"> </w:t>
            </w:r>
            <w:r>
              <w:rPr>
                <w:spacing w:val="-6"/>
              </w:rPr>
              <w:t>业未使用符合</w:t>
            </w:r>
            <w:r>
              <w:rPr>
                <w:spacing w:val="2"/>
              </w:rPr>
              <w:t xml:space="preserve"> </w:t>
            </w:r>
            <w:r>
              <w:rPr>
                <w:spacing w:val="-6"/>
              </w:rPr>
              <w:t>标准的监控平</w:t>
            </w:r>
            <w:r>
              <w:rPr>
                <w:spacing w:val="2"/>
              </w:rPr>
              <w:t xml:space="preserve"> </w:t>
            </w:r>
            <w:r>
              <w:rPr>
                <w:spacing w:val="-6"/>
              </w:rPr>
              <w:t>台、监控平台</w:t>
            </w:r>
            <w:r>
              <w:rPr>
                <w:spacing w:val="2"/>
              </w:rPr>
              <w:t xml:space="preserve"> </w:t>
            </w:r>
            <w:r>
              <w:rPr>
                <w:spacing w:val="-6"/>
              </w:rPr>
              <w:t>未接入联网联</w:t>
            </w:r>
            <w:r>
              <w:rPr>
                <w:spacing w:val="2"/>
              </w:rPr>
              <w:t xml:space="preserve"> </w:t>
            </w:r>
            <w:r>
              <w:rPr>
                <w:spacing w:val="-6"/>
              </w:rPr>
              <w:t>控系统、未按</w:t>
            </w:r>
            <w:r>
              <w:rPr>
                <w:spacing w:val="2"/>
              </w:rPr>
              <w:t xml:space="preserve"> </w:t>
            </w:r>
            <w:r>
              <w:rPr>
                <w:spacing w:val="-6"/>
              </w:rPr>
              <w:t>规定上传道路</w:t>
            </w:r>
            <w:r>
              <w:rPr>
                <w:spacing w:val="2"/>
              </w:rPr>
              <w:t xml:space="preserve"> </w:t>
            </w:r>
            <w:r>
              <w:rPr>
                <w:spacing w:val="-6"/>
              </w:rPr>
              <w:t>运输车辆动态</w:t>
            </w:r>
            <w:r>
              <w:rPr>
                <w:spacing w:val="2"/>
              </w:rPr>
              <w:t xml:space="preserve"> </w:t>
            </w:r>
            <w:r>
              <w:rPr>
                <w:spacing w:val="-6"/>
              </w:rPr>
              <w:t>信息等行为的</w:t>
            </w:r>
            <w:r>
              <w:rPr>
                <w:spacing w:val="2"/>
              </w:rPr>
              <w:t xml:space="preserve"> </w:t>
            </w:r>
            <w:r>
              <w:rPr>
                <w:spacing w:val="-6"/>
              </w:rPr>
              <w:t>行政处罚</w:t>
            </w:r>
          </w:p>
        </w:tc>
        <w:tc>
          <w:tcPr>
            <w:tcW w:w="1101" w:type="dxa"/>
            <w:vAlign w:val="top"/>
          </w:tcPr>
          <w:p w14:paraId="530AD9A6">
            <w:pPr>
              <w:spacing w:line="284" w:lineRule="auto"/>
              <w:rPr>
                <w:rFonts w:ascii="Arial"/>
                <w:sz w:val="21"/>
              </w:rPr>
            </w:pPr>
          </w:p>
          <w:p w14:paraId="39389D41">
            <w:pPr>
              <w:spacing w:line="284" w:lineRule="auto"/>
              <w:rPr>
                <w:rFonts w:ascii="Arial"/>
                <w:sz w:val="21"/>
              </w:rPr>
            </w:pPr>
          </w:p>
          <w:p w14:paraId="590CAA37">
            <w:pPr>
              <w:spacing w:line="284" w:lineRule="auto"/>
              <w:rPr>
                <w:rFonts w:ascii="Arial"/>
                <w:sz w:val="21"/>
              </w:rPr>
            </w:pPr>
          </w:p>
          <w:p w14:paraId="450FC0C8">
            <w:pPr>
              <w:spacing w:line="285" w:lineRule="auto"/>
              <w:rPr>
                <w:rFonts w:ascii="Arial"/>
                <w:sz w:val="21"/>
              </w:rPr>
            </w:pPr>
          </w:p>
          <w:p w14:paraId="0D789759">
            <w:pPr>
              <w:spacing w:line="285" w:lineRule="auto"/>
              <w:rPr>
                <w:rFonts w:ascii="Arial"/>
                <w:sz w:val="21"/>
              </w:rPr>
            </w:pPr>
          </w:p>
          <w:p w14:paraId="567DC3C4">
            <w:pPr>
              <w:pStyle w:val="8"/>
              <w:spacing w:before="59" w:line="220" w:lineRule="auto"/>
              <w:ind w:left="25"/>
            </w:pPr>
            <w:r>
              <w:rPr>
                <w:spacing w:val="-7"/>
              </w:rPr>
              <w:t>行政处罚</w:t>
            </w:r>
          </w:p>
        </w:tc>
        <w:tc>
          <w:tcPr>
            <w:tcW w:w="8524" w:type="dxa"/>
            <w:vAlign w:val="top"/>
          </w:tcPr>
          <w:p w14:paraId="22C6824A">
            <w:pPr>
              <w:spacing w:line="468" w:lineRule="auto"/>
              <w:rPr>
                <w:rFonts w:ascii="Arial"/>
                <w:sz w:val="21"/>
              </w:rPr>
            </w:pPr>
          </w:p>
          <w:p w14:paraId="74484A72">
            <w:pPr>
              <w:pStyle w:val="8"/>
              <w:spacing w:before="58" w:line="219" w:lineRule="auto"/>
              <w:ind w:left="451"/>
            </w:pPr>
            <w:r>
              <w:rPr>
                <w:b/>
                <w:bCs/>
                <w:spacing w:val="-8"/>
              </w:rPr>
              <w:t>《道路运输车辆动态监督管理办法》(交通运输部</w:t>
            </w:r>
            <w:r>
              <w:rPr>
                <w:spacing w:val="-8"/>
              </w:rPr>
              <w:t xml:space="preserve"> </w:t>
            </w:r>
            <w:r>
              <w:rPr>
                <w:b/>
                <w:bCs/>
                <w:spacing w:val="-8"/>
              </w:rPr>
              <w:t>公安</w:t>
            </w:r>
            <w:r>
              <w:rPr>
                <w:b/>
                <w:bCs/>
                <w:spacing w:val="-9"/>
              </w:rPr>
              <w:t>部</w:t>
            </w:r>
            <w:r>
              <w:rPr>
                <w:spacing w:val="-9"/>
              </w:rPr>
              <w:t xml:space="preserve"> </w:t>
            </w:r>
            <w:r>
              <w:rPr>
                <w:b/>
                <w:bCs/>
                <w:spacing w:val="-9"/>
              </w:rPr>
              <w:t>应急管理部令2022年第10号)</w:t>
            </w:r>
          </w:p>
          <w:p w14:paraId="5F810022">
            <w:pPr>
              <w:pStyle w:val="8"/>
              <w:spacing w:before="27" w:line="237" w:lineRule="auto"/>
              <w:ind w:left="102" w:right="150" w:firstLine="343"/>
              <w:jc w:val="both"/>
            </w:pPr>
            <w:r>
              <w:rPr>
                <w:spacing w:val="-8"/>
              </w:rPr>
              <w:t>第八条</w:t>
            </w:r>
            <w:r>
              <w:rPr>
                <w:spacing w:val="82"/>
              </w:rPr>
              <w:t xml:space="preserve"> </w:t>
            </w:r>
            <w:r>
              <w:rPr>
                <w:spacing w:val="-8"/>
              </w:rPr>
              <w:t>道路旅客运输企业、道路危险货物运输企业和拥有50辆及以上重型载货汽车或者牵引车的道路货</w:t>
            </w:r>
            <w:r>
              <w:t xml:space="preserve"> </w:t>
            </w:r>
            <w:r>
              <w:rPr>
                <w:spacing w:val="-8"/>
              </w:rPr>
              <w:t>物运输企业应当按照标准建设道路运输车辆动态监控平台，或者使用符合条件的社会化卫星定位系统监控</w:t>
            </w:r>
            <w:r>
              <w:rPr>
                <w:spacing w:val="-9"/>
              </w:rPr>
              <w:t>平台</w:t>
            </w:r>
            <w:r>
              <w:t xml:space="preserve"> </w:t>
            </w:r>
            <w:r>
              <w:rPr>
                <w:spacing w:val="-8"/>
              </w:rPr>
              <w:t>（以下统称监控平台</w:t>
            </w:r>
            <w:r>
              <w:rPr>
                <w:spacing w:val="-5"/>
              </w:rPr>
              <w:t>），</w:t>
            </w:r>
            <w:r>
              <w:rPr>
                <w:spacing w:val="-8"/>
              </w:rPr>
              <w:t>对所属道路运输车辆和驾驶员运行过程进行实时监控和管理。</w:t>
            </w:r>
          </w:p>
          <w:p w14:paraId="43370683">
            <w:pPr>
              <w:pStyle w:val="8"/>
              <w:spacing w:before="25" w:line="241" w:lineRule="auto"/>
              <w:ind w:left="105" w:right="88" w:firstLine="340"/>
              <w:jc w:val="both"/>
            </w:pPr>
            <w:r>
              <w:rPr>
                <w:spacing w:val="-8"/>
              </w:rPr>
              <w:t>第三十五条</w:t>
            </w:r>
            <w:r>
              <w:rPr>
                <w:spacing w:val="74"/>
              </w:rPr>
              <w:t xml:space="preserve"> </w:t>
            </w:r>
            <w:r>
              <w:rPr>
                <w:spacing w:val="-8"/>
              </w:rPr>
              <w:t>违反本办法的规定，道路运输企业有下列情形之一的，由县级以上道路运输管理机构责令改</w:t>
            </w:r>
            <w:r>
              <w:t xml:space="preserve"> </w:t>
            </w:r>
            <w:r>
              <w:rPr>
                <w:spacing w:val="-7"/>
              </w:rPr>
              <w:t>正。拒不改正的，处1000元以上3000元以下罚款</w:t>
            </w:r>
            <w:r>
              <w:rPr>
                <w:spacing w:val="-18"/>
              </w:rPr>
              <w:t>：（</w:t>
            </w:r>
            <w:r>
              <w:rPr>
                <w:spacing w:val="-7"/>
              </w:rPr>
              <w:t>一）道路运输企业未使用符合标准的监控平台、监控平台</w:t>
            </w:r>
            <w:r>
              <w:t xml:space="preserve"> </w:t>
            </w:r>
            <w:r>
              <w:rPr>
                <w:spacing w:val="-7"/>
              </w:rPr>
              <w:t>未接入联网联控系统、未按规定上传道路运输</w:t>
            </w:r>
            <w:r>
              <w:rPr>
                <w:spacing w:val="-8"/>
              </w:rPr>
              <w:t>车辆动态信息的</w:t>
            </w:r>
            <w:r>
              <w:rPr>
                <w:spacing w:val="-20"/>
              </w:rPr>
              <w:t>；（</w:t>
            </w:r>
            <w:r>
              <w:rPr>
                <w:spacing w:val="-8"/>
              </w:rPr>
              <w:t>二）未建立或者未有效执行交通违法动态信</w:t>
            </w:r>
            <w:r>
              <w:t xml:space="preserve"> </w:t>
            </w:r>
            <w:r>
              <w:rPr>
                <w:spacing w:val="-7"/>
              </w:rPr>
              <w:t>息处理制度、对驾驶员交通违法处理率低于90</w:t>
            </w:r>
            <w:r>
              <w:rPr>
                <w:spacing w:val="-8"/>
              </w:rPr>
              <w:t>%的</w:t>
            </w:r>
            <w:r>
              <w:rPr>
                <w:spacing w:val="-27"/>
              </w:rPr>
              <w:t>；（</w:t>
            </w:r>
            <w:r>
              <w:rPr>
                <w:spacing w:val="-8"/>
              </w:rPr>
              <w:t>三）未按规定配备专职监控人员，或者监控人员未有效履</w:t>
            </w:r>
            <w:r>
              <w:rPr>
                <w:spacing w:val="1"/>
              </w:rPr>
              <w:t xml:space="preserve"> </w:t>
            </w:r>
            <w:r>
              <w:rPr>
                <w:spacing w:val="-8"/>
              </w:rPr>
              <w:t>行监控职责的。</w:t>
            </w:r>
          </w:p>
        </w:tc>
        <w:tc>
          <w:tcPr>
            <w:tcW w:w="1011" w:type="dxa"/>
            <w:vAlign w:val="top"/>
          </w:tcPr>
          <w:p w14:paraId="035FC582">
            <w:pPr>
              <w:spacing w:line="260" w:lineRule="auto"/>
              <w:rPr>
                <w:rFonts w:ascii="Arial"/>
                <w:sz w:val="21"/>
              </w:rPr>
            </w:pPr>
          </w:p>
          <w:p w14:paraId="49691AE2">
            <w:pPr>
              <w:spacing w:line="260" w:lineRule="auto"/>
              <w:rPr>
                <w:rFonts w:ascii="Arial"/>
                <w:sz w:val="21"/>
              </w:rPr>
            </w:pPr>
          </w:p>
          <w:p w14:paraId="593B1D36">
            <w:pPr>
              <w:spacing w:line="261" w:lineRule="auto"/>
              <w:rPr>
                <w:rFonts w:ascii="Arial"/>
                <w:sz w:val="21"/>
              </w:rPr>
            </w:pPr>
          </w:p>
          <w:p w14:paraId="5A962D95">
            <w:pPr>
              <w:spacing w:line="261" w:lineRule="auto"/>
              <w:rPr>
                <w:rFonts w:ascii="Arial"/>
                <w:sz w:val="21"/>
              </w:rPr>
            </w:pPr>
          </w:p>
          <w:p w14:paraId="6414DDD2">
            <w:pPr>
              <w:spacing w:line="261" w:lineRule="auto"/>
              <w:rPr>
                <w:rFonts w:ascii="Arial"/>
                <w:sz w:val="21"/>
              </w:rPr>
            </w:pPr>
          </w:p>
          <w:p w14:paraId="3A4D86C2">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77500592">
            <w:pPr>
              <w:spacing w:line="260" w:lineRule="auto"/>
              <w:rPr>
                <w:rFonts w:ascii="Arial"/>
                <w:sz w:val="21"/>
              </w:rPr>
            </w:pPr>
          </w:p>
          <w:p w14:paraId="3B672678">
            <w:pPr>
              <w:spacing w:line="260" w:lineRule="auto"/>
              <w:rPr>
                <w:rFonts w:ascii="Arial"/>
                <w:sz w:val="21"/>
              </w:rPr>
            </w:pPr>
          </w:p>
          <w:p w14:paraId="59897280">
            <w:pPr>
              <w:spacing w:line="261" w:lineRule="auto"/>
              <w:rPr>
                <w:rFonts w:ascii="Arial"/>
                <w:sz w:val="21"/>
              </w:rPr>
            </w:pPr>
          </w:p>
          <w:p w14:paraId="67D4DB17">
            <w:pPr>
              <w:spacing w:line="261" w:lineRule="auto"/>
              <w:rPr>
                <w:rFonts w:ascii="Arial"/>
                <w:sz w:val="21"/>
              </w:rPr>
            </w:pPr>
          </w:p>
          <w:p w14:paraId="41F539CA">
            <w:pPr>
              <w:spacing w:line="261" w:lineRule="auto"/>
              <w:rPr>
                <w:rFonts w:ascii="Arial"/>
                <w:sz w:val="21"/>
              </w:rPr>
            </w:pPr>
          </w:p>
          <w:p w14:paraId="5C7D446E">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0926E08">
            <w:pPr>
              <w:spacing w:line="266" w:lineRule="auto"/>
              <w:rPr>
                <w:rFonts w:ascii="Arial"/>
                <w:sz w:val="21"/>
              </w:rPr>
            </w:pPr>
          </w:p>
          <w:p w14:paraId="5FF9C124">
            <w:pPr>
              <w:spacing w:line="266" w:lineRule="auto"/>
              <w:rPr>
                <w:rFonts w:ascii="Arial"/>
                <w:sz w:val="21"/>
              </w:rPr>
            </w:pPr>
          </w:p>
          <w:p w14:paraId="1FDCE60C">
            <w:pPr>
              <w:spacing w:line="267" w:lineRule="auto"/>
              <w:rPr>
                <w:rFonts w:ascii="Arial"/>
                <w:sz w:val="21"/>
              </w:rPr>
            </w:pPr>
          </w:p>
          <w:p w14:paraId="2171BDC7">
            <w:pPr>
              <w:spacing w:line="267" w:lineRule="auto"/>
              <w:rPr>
                <w:rFonts w:ascii="Arial"/>
                <w:sz w:val="21"/>
              </w:rPr>
            </w:pPr>
          </w:p>
          <w:p w14:paraId="0713FEA2">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41D12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90" w:hRule="atLeast"/>
        </w:trPr>
        <w:tc>
          <w:tcPr>
            <w:tcW w:w="629" w:type="dxa"/>
            <w:vAlign w:val="top"/>
          </w:tcPr>
          <w:p w14:paraId="32D3A3F5">
            <w:pPr>
              <w:spacing w:line="245" w:lineRule="auto"/>
              <w:rPr>
                <w:rFonts w:ascii="Arial"/>
                <w:sz w:val="21"/>
              </w:rPr>
            </w:pPr>
          </w:p>
          <w:p w14:paraId="39BB4553">
            <w:pPr>
              <w:spacing w:line="245" w:lineRule="auto"/>
              <w:rPr>
                <w:rFonts w:ascii="Arial"/>
                <w:sz w:val="21"/>
              </w:rPr>
            </w:pPr>
          </w:p>
          <w:p w14:paraId="00443F96">
            <w:pPr>
              <w:spacing w:line="245" w:lineRule="auto"/>
              <w:rPr>
                <w:rFonts w:ascii="Arial"/>
                <w:sz w:val="21"/>
              </w:rPr>
            </w:pPr>
          </w:p>
          <w:p w14:paraId="5EF250A6">
            <w:pPr>
              <w:spacing w:line="245" w:lineRule="auto"/>
              <w:rPr>
                <w:rFonts w:ascii="Arial"/>
                <w:sz w:val="21"/>
              </w:rPr>
            </w:pPr>
          </w:p>
          <w:p w14:paraId="0D53AADC">
            <w:pPr>
              <w:spacing w:line="246" w:lineRule="auto"/>
              <w:rPr>
                <w:rFonts w:ascii="Arial"/>
                <w:sz w:val="21"/>
              </w:rPr>
            </w:pPr>
          </w:p>
          <w:p w14:paraId="63BB785E">
            <w:pPr>
              <w:pStyle w:val="8"/>
              <w:spacing w:before="59" w:line="183" w:lineRule="auto"/>
              <w:ind w:left="225"/>
              <w:rPr>
                <w:rFonts w:hint="eastAsia" w:eastAsia="宋体"/>
                <w:lang w:eastAsia="zh-CN"/>
              </w:rPr>
            </w:pPr>
            <w:r>
              <w:rPr>
                <w:spacing w:val="-6"/>
              </w:rPr>
              <w:t>7</w:t>
            </w:r>
            <w:r>
              <w:rPr>
                <w:rFonts w:hint="eastAsia"/>
                <w:spacing w:val="-6"/>
                <w:lang w:val="en-US" w:eastAsia="zh-CN"/>
              </w:rPr>
              <w:t>1</w:t>
            </w:r>
          </w:p>
        </w:tc>
        <w:tc>
          <w:tcPr>
            <w:tcW w:w="1101" w:type="dxa"/>
            <w:vAlign w:val="top"/>
          </w:tcPr>
          <w:p w14:paraId="38C3B90D">
            <w:pPr>
              <w:spacing w:line="366" w:lineRule="auto"/>
              <w:rPr>
                <w:rFonts w:ascii="Arial"/>
                <w:sz w:val="21"/>
              </w:rPr>
            </w:pPr>
          </w:p>
          <w:p w14:paraId="48EA9A8F">
            <w:pPr>
              <w:pStyle w:val="8"/>
              <w:spacing w:before="59" w:line="243" w:lineRule="auto"/>
              <w:ind w:left="18" w:right="20"/>
              <w:jc w:val="both"/>
            </w:pPr>
            <w:r>
              <w:rPr>
                <w:spacing w:val="-6"/>
              </w:rPr>
              <w:t>对道路运输经</w:t>
            </w:r>
            <w:r>
              <w:rPr>
                <w:spacing w:val="2"/>
              </w:rPr>
              <w:t xml:space="preserve"> </w:t>
            </w:r>
            <w:r>
              <w:rPr>
                <w:spacing w:val="-6"/>
              </w:rPr>
              <w:t>营者使用卫星</w:t>
            </w:r>
            <w:r>
              <w:rPr>
                <w:spacing w:val="2"/>
              </w:rPr>
              <w:t xml:space="preserve"> </w:t>
            </w:r>
            <w:r>
              <w:rPr>
                <w:spacing w:val="-6"/>
              </w:rPr>
              <w:t>定位装置出现</w:t>
            </w:r>
            <w:r>
              <w:rPr>
                <w:spacing w:val="2"/>
              </w:rPr>
              <w:t xml:space="preserve"> </w:t>
            </w:r>
            <w:r>
              <w:rPr>
                <w:spacing w:val="-6"/>
              </w:rPr>
              <w:t>故障不能保持</w:t>
            </w:r>
            <w:r>
              <w:rPr>
                <w:spacing w:val="2"/>
              </w:rPr>
              <w:t xml:space="preserve"> </w:t>
            </w:r>
            <w:r>
              <w:rPr>
                <w:spacing w:val="-6"/>
              </w:rPr>
              <w:t>在线的运输车</w:t>
            </w:r>
            <w:r>
              <w:rPr>
                <w:spacing w:val="2"/>
              </w:rPr>
              <w:t xml:space="preserve"> </w:t>
            </w:r>
            <w:r>
              <w:rPr>
                <w:spacing w:val="-6"/>
              </w:rPr>
              <w:t>辆从事经营活</w:t>
            </w:r>
            <w:r>
              <w:rPr>
                <w:spacing w:val="2"/>
              </w:rPr>
              <w:t xml:space="preserve"> </w:t>
            </w:r>
            <w:r>
              <w:rPr>
                <w:spacing w:val="-6"/>
              </w:rPr>
              <w:t>动行为的行政</w:t>
            </w:r>
            <w:r>
              <w:rPr>
                <w:spacing w:val="2"/>
              </w:rPr>
              <w:t xml:space="preserve"> </w:t>
            </w:r>
            <w:r>
              <w:rPr>
                <w:spacing w:val="-4"/>
              </w:rPr>
              <w:t>处罚</w:t>
            </w:r>
          </w:p>
        </w:tc>
        <w:tc>
          <w:tcPr>
            <w:tcW w:w="1101" w:type="dxa"/>
            <w:vAlign w:val="top"/>
          </w:tcPr>
          <w:p w14:paraId="5EE98F47">
            <w:pPr>
              <w:spacing w:line="299" w:lineRule="auto"/>
              <w:rPr>
                <w:rFonts w:ascii="Arial"/>
                <w:sz w:val="21"/>
              </w:rPr>
            </w:pPr>
          </w:p>
          <w:p w14:paraId="47D13633">
            <w:pPr>
              <w:spacing w:line="299" w:lineRule="auto"/>
              <w:rPr>
                <w:rFonts w:ascii="Arial"/>
                <w:sz w:val="21"/>
              </w:rPr>
            </w:pPr>
          </w:p>
          <w:p w14:paraId="50BF8AA5">
            <w:pPr>
              <w:spacing w:line="300" w:lineRule="auto"/>
              <w:rPr>
                <w:rFonts w:ascii="Arial"/>
                <w:sz w:val="21"/>
              </w:rPr>
            </w:pPr>
          </w:p>
          <w:p w14:paraId="25F3B999">
            <w:pPr>
              <w:spacing w:line="300" w:lineRule="auto"/>
              <w:rPr>
                <w:rFonts w:ascii="Arial"/>
                <w:sz w:val="21"/>
              </w:rPr>
            </w:pPr>
          </w:p>
          <w:p w14:paraId="2A915D9C">
            <w:pPr>
              <w:pStyle w:val="8"/>
              <w:spacing w:before="59" w:line="220" w:lineRule="auto"/>
              <w:ind w:left="25"/>
            </w:pPr>
            <w:r>
              <w:rPr>
                <w:spacing w:val="-7"/>
              </w:rPr>
              <w:t>行政处罚</w:t>
            </w:r>
          </w:p>
        </w:tc>
        <w:tc>
          <w:tcPr>
            <w:tcW w:w="8524" w:type="dxa"/>
            <w:vAlign w:val="top"/>
          </w:tcPr>
          <w:p w14:paraId="569B1D49">
            <w:pPr>
              <w:spacing w:line="300" w:lineRule="auto"/>
              <w:rPr>
                <w:rFonts w:ascii="Arial"/>
                <w:sz w:val="21"/>
              </w:rPr>
            </w:pPr>
          </w:p>
          <w:p w14:paraId="33B98772">
            <w:pPr>
              <w:spacing w:line="301" w:lineRule="auto"/>
              <w:rPr>
                <w:rFonts w:ascii="Arial"/>
                <w:sz w:val="21"/>
              </w:rPr>
            </w:pPr>
          </w:p>
          <w:p w14:paraId="5204300D">
            <w:pPr>
              <w:pStyle w:val="8"/>
              <w:spacing w:before="59" w:line="219" w:lineRule="auto"/>
              <w:ind w:left="451"/>
            </w:pPr>
            <w:r>
              <w:rPr>
                <w:b/>
                <w:bCs/>
                <w:spacing w:val="-8"/>
              </w:rPr>
              <w:t>《道路运输车辆动态监督管理办法》(交通运输部</w:t>
            </w:r>
            <w:r>
              <w:rPr>
                <w:spacing w:val="-8"/>
              </w:rPr>
              <w:t xml:space="preserve"> </w:t>
            </w:r>
            <w:r>
              <w:rPr>
                <w:b/>
                <w:bCs/>
                <w:spacing w:val="-8"/>
              </w:rPr>
              <w:t>公安</w:t>
            </w:r>
            <w:r>
              <w:rPr>
                <w:b/>
                <w:bCs/>
                <w:spacing w:val="-9"/>
              </w:rPr>
              <w:t>部</w:t>
            </w:r>
            <w:r>
              <w:rPr>
                <w:spacing w:val="-9"/>
              </w:rPr>
              <w:t xml:space="preserve"> </w:t>
            </w:r>
            <w:r>
              <w:rPr>
                <w:b/>
                <w:bCs/>
                <w:spacing w:val="-9"/>
              </w:rPr>
              <w:t>应急管理部令2022年第10号)</w:t>
            </w:r>
          </w:p>
          <w:p w14:paraId="0065D066">
            <w:pPr>
              <w:pStyle w:val="8"/>
              <w:spacing w:before="27" w:line="219" w:lineRule="auto"/>
              <w:ind w:left="445"/>
            </w:pPr>
            <w:r>
              <w:rPr>
                <w:spacing w:val="-8"/>
              </w:rPr>
              <w:t>第二十六条</w:t>
            </w:r>
            <w:r>
              <w:rPr>
                <w:spacing w:val="83"/>
              </w:rPr>
              <w:t xml:space="preserve"> </w:t>
            </w:r>
            <w:r>
              <w:rPr>
                <w:spacing w:val="-8"/>
              </w:rPr>
              <w:t>道路运输经营者应当确保卫星定位装置正常使用，保持车辆运行实时在线。</w:t>
            </w:r>
          </w:p>
          <w:p w14:paraId="0001A8F6">
            <w:pPr>
              <w:pStyle w:val="8"/>
              <w:spacing w:before="26" w:line="219" w:lineRule="auto"/>
              <w:jc w:val="right"/>
            </w:pPr>
            <w:r>
              <w:rPr>
                <w:spacing w:val="-9"/>
              </w:rPr>
              <w:t>卫星定位装置出现故障不能保持在线的道路运输车辆，道路运输经营者不得安排其从事</w:t>
            </w:r>
            <w:r>
              <w:rPr>
                <w:spacing w:val="-10"/>
              </w:rPr>
              <w:t>道路运输经营活动。</w:t>
            </w:r>
          </w:p>
          <w:p w14:paraId="6CD5E03F">
            <w:pPr>
              <w:pStyle w:val="8"/>
              <w:spacing w:before="24" w:line="238" w:lineRule="auto"/>
              <w:ind w:left="102" w:right="88" w:firstLine="342"/>
            </w:pPr>
            <w:r>
              <w:rPr>
                <w:spacing w:val="-7"/>
              </w:rPr>
              <w:t>第三十六条</w:t>
            </w:r>
            <w:r>
              <w:rPr>
                <w:spacing w:val="96"/>
              </w:rPr>
              <w:t xml:space="preserve"> </w:t>
            </w:r>
            <w:r>
              <w:rPr>
                <w:spacing w:val="-7"/>
              </w:rPr>
              <w:t>违反本办法的规定，道路运输经营者使用卫星定位装置不能保持在线的运输车辆从事经营活</w:t>
            </w:r>
            <w:r>
              <w:t xml:space="preserve"> </w:t>
            </w:r>
            <w:r>
              <w:rPr>
                <w:spacing w:val="-7"/>
              </w:rPr>
              <w:t>动的，由县级以上道路运输管理机构对其进行教育并责令改正，拒不改正或者改正后再次发生同类违反规定情</w:t>
            </w:r>
            <w:r>
              <w:rPr>
                <w:spacing w:val="12"/>
              </w:rPr>
              <w:t xml:space="preserve"> </w:t>
            </w:r>
            <w:r>
              <w:rPr>
                <w:spacing w:val="-7"/>
              </w:rPr>
              <w:t>形的，处200元以上800元以下罚款。</w:t>
            </w:r>
          </w:p>
        </w:tc>
        <w:tc>
          <w:tcPr>
            <w:tcW w:w="1011" w:type="dxa"/>
            <w:vAlign w:val="top"/>
          </w:tcPr>
          <w:p w14:paraId="00481FF0">
            <w:pPr>
              <w:spacing w:line="269" w:lineRule="auto"/>
              <w:rPr>
                <w:rFonts w:ascii="Arial"/>
                <w:sz w:val="21"/>
              </w:rPr>
            </w:pPr>
          </w:p>
          <w:p w14:paraId="57EDE156">
            <w:pPr>
              <w:spacing w:line="270" w:lineRule="auto"/>
              <w:rPr>
                <w:rFonts w:ascii="Arial"/>
                <w:sz w:val="21"/>
              </w:rPr>
            </w:pPr>
          </w:p>
          <w:p w14:paraId="1783E7ED">
            <w:pPr>
              <w:spacing w:line="270" w:lineRule="auto"/>
              <w:rPr>
                <w:rFonts w:ascii="Arial"/>
                <w:sz w:val="21"/>
              </w:rPr>
            </w:pPr>
          </w:p>
          <w:p w14:paraId="1ED1631E">
            <w:pPr>
              <w:spacing w:line="270" w:lineRule="auto"/>
              <w:rPr>
                <w:rFonts w:ascii="Arial"/>
                <w:sz w:val="21"/>
              </w:rPr>
            </w:pPr>
          </w:p>
          <w:p w14:paraId="4CCDF309">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7AD2A21">
            <w:pPr>
              <w:spacing w:line="269" w:lineRule="auto"/>
              <w:rPr>
                <w:rFonts w:ascii="Arial"/>
                <w:sz w:val="21"/>
              </w:rPr>
            </w:pPr>
          </w:p>
          <w:p w14:paraId="50E1D956">
            <w:pPr>
              <w:spacing w:line="270" w:lineRule="auto"/>
              <w:rPr>
                <w:rFonts w:ascii="Arial"/>
                <w:sz w:val="21"/>
              </w:rPr>
            </w:pPr>
          </w:p>
          <w:p w14:paraId="1E6697D1">
            <w:pPr>
              <w:spacing w:line="270" w:lineRule="auto"/>
              <w:rPr>
                <w:rFonts w:ascii="Arial"/>
                <w:sz w:val="21"/>
              </w:rPr>
            </w:pPr>
          </w:p>
          <w:p w14:paraId="40840C98">
            <w:pPr>
              <w:spacing w:line="270" w:lineRule="auto"/>
              <w:rPr>
                <w:rFonts w:ascii="Arial"/>
                <w:sz w:val="21"/>
              </w:rPr>
            </w:pPr>
          </w:p>
          <w:p w14:paraId="45036F5C">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B8622CD">
            <w:pPr>
              <w:spacing w:line="280" w:lineRule="auto"/>
              <w:rPr>
                <w:rFonts w:ascii="Arial"/>
                <w:sz w:val="21"/>
              </w:rPr>
            </w:pPr>
          </w:p>
          <w:p w14:paraId="79997A1D">
            <w:pPr>
              <w:spacing w:line="281" w:lineRule="auto"/>
              <w:rPr>
                <w:rFonts w:ascii="Arial"/>
                <w:sz w:val="21"/>
              </w:rPr>
            </w:pPr>
          </w:p>
          <w:p w14:paraId="53898B4A">
            <w:pPr>
              <w:spacing w:line="281" w:lineRule="auto"/>
              <w:rPr>
                <w:rFonts w:ascii="Arial"/>
                <w:sz w:val="21"/>
              </w:rPr>
            </w:pPr>
          </w:p>
          <w:p w14:paraId="26E58472">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7210735D">
      <w:pPr>
        <w:pStyle w:val="2"/>
      </w:pPr>
    </w:p>
    <w:p w14:paraId="4C7FAD5E">
      <w:pPr>
        <w:sectPr>
          <w:footerReference r:id="rId55" w:type="default"/>
          <w:pgSz w:w="16839" w:h="11906"/>
          <w:pgMar w:top="1012" w:right="1016" w:bottom="966" w:left="1016" w:header="0" w:footer="768" w:gutter="0"/>
          <w:cols w:space="720" w:num="1"/>
        </w:sectPr>
      </w:pPr>
    </w:p>
    <w:p w14:paraId="60F6F1B0">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670BC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4" w:hRule="atLeast"/>
        </w:trPr>
        <w:tc>
          <w:tcPr>
            <w:tcW w:w="629" w:type="dxa"/>
            <w:vMerge w:val="restart"/>
            <w:tcBorders>
              <w:bottom w:val="nil"/>
            </w:tcBorders>
            <w:vAlign w:val="top"/>
          </w:tcPr>
          <w:p w14:paraId="1BA73C13">
            <w:pPr>
              <w:pStyle w:val="8"/>
              <w:spacing w:before="273" w:line="221" w:lineRule="auto"/>
              <w:ind w:left="129"/>
            </w:pPr>
            <w:r>
              <w:rPr>
                <w:b/>
                <w:bCs/>
                <w:spacing w:val="-4"/>
              </w:rPr>
              <w:t>序号</w:t>
            </w:r>
          </w:p>
        </w:tc>
        <w:tc>
          <w:tcPr>
            <w:tcW w:w="1101" w:type="dxa"/>
            <w:vMerge w:val="restart"/>
            <w:tcBorders>
              <w:bottom w:val="nil"/>
            </w:tcBorders>
            <w:vAlign w:val="top"/>
          </w:tcPr>
          <w:p w14:paraId="345A4ADF">
            <w:pPr>
              <w:pStyle w:val="8"/>
              <w:spacing w:before="274" w:line="220" w:lineRule="auto"/>
              <w:ind w:left="182"/>
            </w:pPr>
            <w:r>
              <w:rPr>
                <w:b/>
                <w:bCs/>
                <w:spacing w:val="-4"/>
              </w:rPr>
              <w:t>事项名称</w:t>
            </w:r>
          </w:p>
        </w:tc>
        <w:tc>
          <w:tcPr>
            <w:tcW w:w="1101" w:type="dxa"/>
            <w:vMerge w:val="restart"/>
            <w:tcBorders>
              <w:bottom w:val="nil"/>
            </w:tcBorders>
            <w:vAlign w:val="top"/>
          </w:tcPr>
          <w:p w14:paraId="48346EFC">
            <w:pPr>
              <w:pStyle w:val="8"/>
              <w:spacing w:before="274" w:line="219" w:lineRule="auto"/>
              <w:ind w:left="183"/>
            </w:pPr>
            <w:r>
              <w:rPr>
                <w:b/>
                <w:bCs/>
                <w:spacing w:val="-4"/>
              </w:rPr>
              <w:t>职权类型</w:t>
            </w:r>
          </w:p>
        </w:tc>
        <w:tc>
          <w:tcPr>
            <w:tcW w:w="8524" w:type="dxa"/>
            <w:vMerge w:val="restart"/>
            <w:tcBorders>
              <w:bottom w:val="nil"/>
            </w:tcBorders>
            <w:vAlign w:val="top"/>
          </w:tcPr>
          <w:p w14:paraId="586E38B9">
            <w:pPr>
              <w:pStyle w:val="8"/>
              <w:spacing w:before="273" w:line="219" w:lineRule="auto"/>
              <w:ind w:left="4083"/>
            </w:pPr>
            <w:r>
              <w:rPr>
                <w:b/>
                <w:bCs/>
                <w:spacing w:val="-5"/>
              </w:rPr>
              <w:t>实施依据</w:t>
            </w:r>
          </w:p>
        </w:tc>
        <w:tc>
          <w:tcPr>
            <w:tcW w:w="3435" w:type="dxa"/>
            <w:gridSpan w:val="3"/>
            <w:vAlign w:val="top"/>
          </w:tcPr>
          <w:p w14:paraId="6EC52266">
            <w:pPr>
              <w:pStyle w:val="8"/>
              <w:spacing w:before="94" w:line="220" w:lineRule="auto"/>
              <w:ind w:left="1360"/>
            </w:pPr>
            <w:r>
              <w:rPr>
                <w:b/>
                <w:bCs/>
                <w:spacing w:val="-5"/>
              </w:rPr>
              <w:t>实施主体</w:t>
            </w:r>
          </w:p>
        </w:tc>
      </w:tr>
      <w:tr w14:paraId="12143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2A3B8C8B">
            <w:pPr>
              <w:rPr>
                <w:rFonts w:ascii="Arial"/>
                <w:sz w:val="21"/>
              </w:rPr>
            </w:pPr>
          </w:p>
        </w:tc>
        <w:tc>
          <w:tcPr>
            <w:tcW w:w="1101" w:type="dxa"/>
            <w:vMerge w:val="continue"/>
            <w:tcBorders>
              <w:top w:val="nil"/>
            </w:tcBorders>
            <w:vAlign w:val="top"/>
          </w:tcPr>
          <w:p w14:paraId="35A8D91C">
            <w:pPr>
              <w:rPr>
                <w:rFonts w:ascii="Arial"/>
                <w:sz w:val="21"/>
              </w:rPr>
            </w:pPr>
          </w:p>
        </w:tc>
        <w:tc>
          <w:tcPr>
            <w:tcW w:w="1101" w:type="dxa"/>
            <w:vMerge w:val="continue"/>
            <w:tcBorders>
              <w:top w:val="nil"/>
            </w:tcBorders>
            <w:vAlign w:val="top"/>
          </w:tcPr>
          <w:p w14:paraId="0C42D165">
            <w:pPr>
              <w:rPr>
                <w:rFonts w:ascii="Arial"/>
                <w:sz w:val="21"/>
              </w:rPr>
            </w:pPr>
          </w:p>
        </w:tc>
        <w:tc>
          <w:tcPr>
            <w:tcW w:w="8524" w:type="dxa"/>
            <w:vMerge w:val="continue"/>
            <w:tcBorders>
              <w:top w:val="nil"/>
            </w:tcBorders>
            <w:vAlign w:val="top"/>
          </w:tcPr>
          <w:p w14:paraId="74603EDE">
            <w:pPr>
              <w:rPr>
                <w:rFonts w:ascii="Arial"/>
                <w:sz w:val="21"/>
              </w:rPr>
            </w:pPr>
          </w:p>
        </w:tc>
        <w:tc>
          <w:tcPr>
            <w:tcW w:w="1011" w:type="dxa"/>
            <w:vAlign w:val="top"/>
          </w:tcPr>
          <w:p w14:paraId="020F5E8E">
            <w:pPr>
              <w:pStyle w:val="8"/>
              <w:spacing w:before="85" w:line="219" w:lineRule="auto"/>
              <w:ind w:left="154"/>
            </w:pPr>
            <w:r>
              <w:rPr>
                <w:b/>
                <w:bCs/>
                <w:spacing w:val="-5"/>
              </w:rPr>
              <w:t>责任部门</w:t>
            </w:r>
          </w:p>
        </w:tc>
        <w:tc>
          <w:tcPr>
            <w:tcW w:w="1404" w:type="dxa"/>
            <w:vAlign w:val="top"/>
          </w:tcPr>
          <w:p w14:paraId="1E045C39">
            <w:pPr>
              <w:pStyle w:val="8"/>
              <w:spacing w:before="85" w:line="219" w:lineRule="auto"/>
              <w:ind w:left="164"/>
            </w:pPr>
            <w:r>
              <w:rPr>
                <w:b/>
                <w:bCs/>
                <w:spacing w:val="-3"/>
              </w:rPr>
              <w:t>第一责任层级</w:t>
            </w:r>
          </w:p>
        </w:tc>
        <w:tc>
          <w:tcPr>
            <w:tcW w:w="1020" w:type="dxa"/>
            <w:vAlign w:val="top"/>
          </w:tcPr>
          <w:p w14:paraId="3D5878A8">
            <w:pPr>
              <w:pStyle w:val="8"/>
              <w:spacing w:before="84" w:line="219" w:lineRule="auto"/>
              <w:ind w:left="114"/>
            </w:pPr>
            <w:r>
              <w:rPr>
                <w:b/>
                <w:bCs/>
                <w:spacing w:val="-4"/>
              </w:rPr>
              <w:t>承办机构</w:t>
            </w:r>
          </w:p>
        </w:tc>
      </w:tr>
      <w:tr w14:paraId="23280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61" w:hRule="atLeast"/>
        </w:trPr>
        <w:tc>
          <w:tcPr>
            <w:tcW w:w="629" w:type="dxa"/>
            <w:vAlign w:val="top"/>
          </w:tcPr>
          <w:p w14:paraId="6830615C">
            <w:pPr>
              <w:spacing w:line="319" w:lineRule="auto"/>
              <w:rPr>
                <w:rFonts w:ascii="Arial"/>
                <w:sz w:val="21"/>
              </w:rPr>
            </w:pPr>
          </w:p>
          <w:p w14:paraId="4AEB302E">
            <w:pPr>
              <w:spacing w:line="320" w:lineRule="auto"/>
              <w:rPr>
                <w:rFonts w:ascii="Arial"/>
                <w:sz w:val="21"/>
              </w:rPr>
            </w:pPr>
          </w:p>
          <w:p w14:paraId="63191F1A">
            <w:pPr>
              <w:spacing w:line="320" w:lineRule="auto"/>
              <w:rPr>
                <w:rFonts w:ascii="Arial"/>
                <w:sz w:val="21"/>
              </w:rPr>
            </w:pPr>
          </w:p>
          <w:p w14:paraId="73781FB8">
            <w:pPr>
              <w:pStyle w:val="8"/>
              <w:spacing w:before="59" w:line="183" w:lineRule="auto"/>
              <w:ind w:left="225"/>
              <w:rPr>
                <w:rFonts w:hint="eastAsia" w:eastAsia="宋体"/>
                <w:lang w:eastAsia="zh-CN"/>
              </w:rPr>
            </w:pPr>
            <w:r>
              <w:rPr>
                <w:spacing w:val="-6"/>
              </w:rPr>
              <w:t>7</w:t>
            </w:r>
            <w:r>
              <w:rPr>
                <w:rFonts w:hint="eastAsia"/>
                <w:spacing w:val="-6"/>
                <w:lang w:val="en-US" w:eastAsia="zh-CN"/>
              </w:rPr>
              <w:t>2</w:t>
            </w:r>
          </w:p>
        </w:tc>
        <w:tc>
          <w:tcPr>
            <w:tcW w:w="1101" w:type="dxa"/>
            <w:vAlign w:val="top"/>
          </w:tcPr>
          <w:p w14:paraId="28BB1E81">
            <w:pPr>
              <w:pStyle w:val="8"/>
              <w:spacing w:before="36" w:line="241" w:lineRule="auto"/>
              <w:ind w:left="18" w:right="20"/>
              <w:jc w:val="both"/>
            </w:pPr>
            <w:r>
              <w:rPr>
                <w:spacing w:val="-6"/>
              </w:rPr>
              <w:t>对道路运输企</w:t>
            </w:r>
            <w:r>
              <w:rPr>
                <w:spacing w:val="2"/>
              </w:rPr>
              <w:t xml:space="preserve"> </w:t>
            </w:r>
            <w:r>
              <w:rPr>
                <w:spacing w:val="-6"/>
              </w:rPr>
              <w:t>业或者提供道</w:t>
            </w:r>
            <w:r>
              <w:rPr>
                <w:spacing w:val="2"/>
              </w:rPr>
              <w:t xml:space="preserve"> </w:t>
            </w:r>
            <w:r>
              <w:rPr>
                <w:spacing w:val="-6"/>
              </w:rPr>
              <w:t>路运输车辆动</w:t>
            </w:r>
            <w:r>
              <w:rPr>
                <w:spacing w:val="2"/>
              </w:rPr>
              <w:t xml:space="preserve"> </w:t>
            </w:r>
            <w:r>
              <w:rPr>
                <w:spacing w:val="-6"/>
              </w:rPr>
              <w:t>态监控社会化</w:t>
            </w:r>
            <w:r>
              <w:rPr>
                <w:spacing w:val="2"/>
              </w:rPr>
              <w:t xml:space="preserve"> </w:t>
            </w:r>
            <w:r>
              <w:rPr>
                <w:spacing w:val="-6"/>
              </w:rPr>
              <w:t>服务的单位伪</w:t>
            </w:r>
            <w:r>
              <w:rPr>
                <w:spacing w:val="2"/>
              </w:rPr>
              <w:t xml:space="preserve"> </w:t>
            </w:r>
            <w:r>
              <w:rPr>
                <w:spacing w:val="-6"/>
              </w:rPr>
              <w:t>造、篡改、删</w:t>
            </w:r>
            <w:r>
              <w:rPr>
                <w:spacing w:val="2"/>
              </w:rPr>
              <w:t xml:space="preserve"> </w:t>
            </w:r>
            <w:r>
              <w:rPr>
                <w:spacing w:val="-6"/>
              </w:rPr>
              <w:t>除车辆动态监</w:t>
            </w:r>
            <w:r>
              <w:rPr>
                <w:spacing w:val="2"/>
              </w:rPr>
              <w:t xml:space="preserve"> </w:t>
            </w:r>
            <w:r>
              <w:rPr>
                <w:spacing w:val="-6"/>
              </w:rPr>
              <w:t>控数据的行政</w:t>
            </w:r>
            <w:r>
              <w:rPr>
                <w:spacing w:val="2"/>
              </w:rPr>
              <w:t xml:space="preserve"> </w:t>
            </w:r>
            <w:r>
              <w:rPr>
                <w:spacing w:val="-4"/>
              </w:rPr>
              <w:t>处罚</w:t>
            </w:r>
          </w:p>
        </w:tc>
        <w:tc>
          <w:tcPr>
            <w:tcW w:w="1101" w:type="dxa"/>
            <w:vAlign w:val="top"/>
          </w:tcPr>
          <w:p w14:paraId="4DA0B3CC">
            <w:pPr>
              <w:spacing w:line="310" w:lineRule="auto"/>
              <w:rPr>
                <w:rFonts w:ascii="Arial"/>
                <w:sz w:val="21"/>
              </w:rPr>
            </w:pPr>
          </w:p>
          <w:p w14:paraId="3B22643B">
            <w:pPr>
              <w:spacing w:line="310" w:lineRule="auto"/>
              <w:rPr>
                <w:rFonts w:ascii="Arial"/>
                <w:sz w:val="21"/>
              </w:rPr>
            </w:pPr>
          </w:p>
          <w:p w14:paraId="30F48A35">
            <w:pPr>
              <w:spacing w:line="311" w:lineRule="auto"/>
              <w:rPr>
                <w:rFonts w:ascii="Arial"/>
                <w:sz w:val="21"/>
              </w:rPr>
            </w:pPr>
          </w:p>
          <w:p w14:paraId="25345FEB">
            <w:pPr>
              <w:pStyle w:val="8"/>
              <w:spacing w:before="59" w:line="220" w:lineRule="auto"/>
              <w:ind w:left="25"/>
            </w:pPr>
            <w:r>
              <w:rPr>
                <w:spacing w:val="-7"/>
              </w:rPr>
              <w:t>行政处罚</w:t>
            </w:r>
          </w:p>
        </w:tc>
        <w:tc>
          <w:tcPr>
            <w:tcW w:w="8524" w:type="dxa"/>
            <w:vAlign w:val="top"/>
          </w:tcPr>
          <w:p w14:paraId="636D342B">
            <w:pPr>
              <w:spacing w:line="454" w:lineRule="auto"/>
              <w:rPr>
                <w:rFonts w:ascii="Arial"/>
                <w:sz w:val="21"/>
              </w:rPr>
            </w:pPr>
          </w:p>
          <w:p w14:paraId="5E3361F0">
            <w:pPr>
              <w:pStyle w:val="8"/>
              <w:spacing w:before="58" w:line="219" w:lineRule="auto"/>
              <w:ind w:left="451"/>
            </w:pPr>
            <w:r>
              <w:rPr>
                <w:b/>
                <w:bCs/>
                <w:spacing w:val="-8"/>
              </w:rPr>
              <w:t>《道路运输车辆动态监督管理办法》(交通运输部</w:t>
            </w:r>
            <w:r>
              <w:rPr>
                <w:spacing w:val="-8"/>
              </w:rPr>
              <w:t xml:space="preserve"> </w:t>
            </w:r>
            <w:r>
              <w:rPr>
                <w:b/>
                <w:bCs/>
                <w:spacing w:val="-8"/>
              </w:rPr>
              <w:t>公安</w:t>
            </w:r>
            <w:r>
              <w:rPr>
                <w:b/>
                <w:bCs/>
                <w:spacing w:val="-9"/>
              </w:rPr>
              <w:t>部</w:t>
            </w:r>
            <w:r>
              <w:rPr>
                <w:spacing w:val="-9"/>
              </w:rPr>
              <w:t xml:space="preserve"> </w:t>
            </w:r>
            <w:r>
              <w:rPr>
                <w:b/>
                <w:bCs/>
                <w:spacing w:val="-9"/>
              </w:rPr>
              <w:t>应急管理部令2022年第10号)</w:t>
            </w:r>
          </w:p>
          <w:p w14:paraId="7E2B55B7">
            <w:pPr>
              <w:pStyle w:val="8"/>
              <w:spacing w:before="26" w:line="233" w:lineRule="auto"/>
              <w:ind w:left="108" w:right="90" w:firstLine="336"/>
            </w:pPr>
            <w:r>
              <w:rPr>
                <w:spacing w:val="-6"/>
              </w:rPr>
              <w:t>第二十七条</w:t>
            </w:r>
            <w:r>
              <w:rPr>
                <w:spacing w:val="77"/>
              </w:rPr>
              <w:t xml:space="preserve"> </w:t>
            </w:r>
            <w:r>
              <w:rPr>
                <w:spacing w:val="-6"/>
              </w:rPr>
              <w:t>任何单位和个人不得破坏卫星定</w:t>
            </w:r>
            <w:r>
              <w:rPr>
                <w:spacing w:val="-7"/>
              </w:rPr>
              <w:t>位装置以及恶意人为干扰、屏蔽卫星定位装置信号，不得篡</w:t>
            </w:r>
            <w:r>
              <w:t xml:space="preserve"> </w:t>
            </w:r>
            <w:r>
              <w:rPr>
                <w:spacing w:val="-8"/>
              </w:rPr>
              <w:t>改卫星定位装置数据。</w:t>
            </w:r>
          </w:p>
          <w:p w14:paraId="527FDC16">
            <w:pPr>
              <w:pStyle w:val="8"/>
              <w:spacing w:before="24" w:line="233" w:lineRule="auto"/>
              <w:ind w:left="101" w:right="121" w:firstLine="343"/>
            </w:pPr>
            <w:r>
              <w:rPr>
                <w:spacing w:val="-7"/>
              </w:rPr>
              <w:t>第三十七条</w:t>
            </w:r>
            <w:r>
              <w:rPr>
                <w:spacing w:val="78"/>
              </w:rPr>
              <w:t xml:space="preserve"> </w:t>
            </w:r>
            <w:r>
              <w:rPr>
                <w:spacing w:val="-7"/>
              </w:rPr>
              <w:t>违反本办法的规定，道路运输企业或者提供道路运输车辆动态</w:t>
            </w:r>
            <w:r>
              <w:rPr>
                <w:spacing w:val="-8"/>
              </w:rPr>
              <w:t>监控社会化服务的单位伪造、</w:t>
            </w:r>
            <w:r>
              <w:t xml:space="preserve"> </w:t>
            </w:r>
            <w:r>
              <w:rPr>
                <w:spacing w:val="-7"/>
              </w:rPr>
              <w:t>篡改、删除车辆动态监控数据的，由县级以上道路运输管理机构责令改正，处500元</w:t>
            </w:r>
            <w:r>
              <w:rPr>
                <w:spacing w:val="-8"/>
              </w:rPr>
              <w:t>以上2000元以下罚款。</w:t>
            </w:r>
          </w:p>
        </w:tc>
        <w:tc>
          <w:tcPr>
            <w:tcW w:w="1011" w:type="dxa"/>
            <w:vAlign w:val="top"/>
          </w:tcPr>
          <w:p w14:paraId="1935DDB6">
            <w:pPr>
              <w:spacing w:line="270" w:lineRule="auto"/>
              <w:rPr>
                <w:rFonts w:ascii="Arial"/>
                <w:sz w:val="21"/>
              </w:rPr>
            </w:pPr>
          </w:p>
          <w:p w14:paraId="60C5C160">
            <w:pPr>
              <w:spacing w:line="271" w:lineRule="auto"/>
              <w:rPr>
                <w:rFonts w:ascii="Arial"/>
                <w:sz w:val="21"/>
              </w:rPr>
            </w:pPr>
          </w:p>
          <w:p w14:paraId="2C32FBC9">
            <w:pPr>
              <w:spacing w:line="271" w:lineRule="auto"/>
              <w:rPr>
                <w:rFonts w:ascii="Arial"/>
                <w:sz w:val="21"/>
              </w:rPr>
            </w:pPr>
          </w:p>
          <w:p w14:paraId="57F8B984">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2E49AA2">
            <w:pPr>
              <w:spacing w:line="270" w:lineRule="auto"/>
              <w:rPr>
                <w:rFonts w:ascii="Arial"/>
                <w:sz w:val="21"/>
              </w:rPr>
            </w:pPr>
          </w:p>
          <w:p w14:paraId="7C554B98">
            <w:pPr>
              <w:spacing w:line="271" w:lineRule="auto"/>
              <w:rPr>
                <w:rFonts w:ascii="Arial"/>
                <w:sz w:val="21"/>
              </w:rPr>
            </w:pPr>
          </w:p>
          <w:p w14:paraId="67D5CADE">
            <w:pPr>
              <w:spacing w:line="271" w:lineRule="auto"/>
              <w:rPr>
                <w:rFonts w:ascii="Arial"/>
                <w:sz w:val="21"/>
              </w:rPr>
            </w:pPr>
          </w:p>
          <w:p w14:paraId="4F8F5FC4">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549FE081">
            <w:pPr>
              <w:spacing w:line="287" w:lineRule="auto"/>
              <w:rPr>
                <w:rFonts w:ascii="Arial"/>
                <w:sz w:val="21"/>
              </w:rPr>
            </w:pPr>
          </w:p>
          <w:p w14:paraId="31A81E39">
            <w:pPr>
              <w:spacing w:line="288" w:lineRule="auto"/>
              <w:rPr>
                <w:rFonts w:ascii="Arial"/>
                <w:sz w:val="21"/>
              </w:rPr>
            </w:pPr>
          </w:p>
          <w:p w14:paraId="09347966">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4C80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38" w:hRule="atLeast"/>
        </w:trPr>
        <w:tc>
          <w:tcPr>
            <w:tcW w:w="629" w:type="dxa"/>
            <w:vAlign w:val="top"/>
          </w:tcPr>
          <w:p w14:paraId="043C2FB9">
            <w:pPr>
              <w:spacing w:line="317" w:lineRule="auto"/>
              <w:rPr>
                <w:rFonts w:ascii="Arial"/>
                <w:sz w:val="21"/>
              </w:rPr>
            </w:pPr>
          </w:p>
          <w:p w14:paraId="6BFFD7F7">
            <w:pPr>
              <w:spacing w:line="317" w:lineRule="auto"/>
              <w:rPr>
                <w:rFonts w:ascii="Arial"/>
                <w:sz w:val="21"/>
              </w:rPr>
            </w:pPr>
          </w:p>
          <w:p w14:paraId="5281CF35">
            <w:pPr>
              <w:spacing w:line="317" w:lineRule="auto"/>
              <w:rPr>
                <w:rFonts w:ascii="Arial"/>
                <w:sz w:val="21"/>
              </w:rPr>
            </w:pPr>
          </w:p>
          <w:p w14:paraId="5042663E">
            <w:pPr>
              <w:pStyle w:val="8"/>
              <w:spacing w:before="58" w:line="183" w:lineRule="auto"/>
              <w:ind w:left="225"/>
              <w:rPr>
                <w:rFonts w:hint="eastAsia" w:eastAsia="宋体"/>
                <w:lang w:eastAsia="zh-CN"/>
              </w:rPr>
            </w:pPr>
            <w:r>
              <w:rPr>
                <w:spacing w:val="-6"/>
              </w:rPr>
              <w:t>7</w:t>
            </w:r>
            <w:r>
              <w:rPr>
                <w:rFonts w:hint="eastAsia"/>
                <w:spacing w:val="-6"/>
                <w:lang w:val="en-US" w:eastAsia="zh-CN"/>
              </w:rPr>
              <w:t>3</w:t>
            </w:r>
          </w:p>
        </w:tc>
        <w:tc>
          <w:tcPr>
            <w:tcW w:w="1101" w:type="dxa"/>
            <w:vAlign w:val="top"/>
          </w:tcPr>
          <w:p w14:paraId="3C0F7A80">
            <w:pPr>
              <w:pStyle w:val="8"/>
              <w:spacing w:before="147" w:line="243" w:lineRule="auto"/>
              <w:ind w:left="18" w:right="20"/>
              <w:jc w:val="both"/>
            </w:pPr>
            <w:r>
              <w:rPr>
                <w:spacing w:val="-6"/>
              </w:rPr>
              <w:t>对运营企业未</w:t>
            </w:r>
            <w:r>
              <w:rPr>
                <w:spacing w:val="2"/>
              </w:rPr>
              <w:t xml:space="preserve"> </w:t>
            </w:r>
            <w:r>
              <w:rPr>
                <w:spacing w:val="-6"/>
              </w:rPr>
              <w:t>定期对城市公</w:t>
            </w:r>
            <w:r>
              <w:rPr>
                <w:spacing w:val="2"/>
              </w:rPr>
              <w:t xml:space="preserve"> </w:t>
            </w:r>
            <w:r>
              <w:rPr>
                <w:spacing w:val="-6"/>
              </w:rPr>
              <w:t>共汽电车车辆</w:t>
            </w:r>
            <w:r>
              <w:rPr>
                <w:spacing w:val="2"/>
              </w:rPr>
              <w:t xml:space="preserve"> </w:t>
            </w:r>
            <w:r>
              <w:rPr>
                <w:spacing w:val="-6"/>
              </w:rPr>
              <w:t>及其安全设施</w:t>
            </w:r>
            <w:r>
              <w:rPr>
                <w:spacing w:val="2"/>
              </w:rPr>
              <w:t xml:space="preserve"> </w:t>
            </w:r>
            <w:r>
              <w:rPr>
                <w:spacing w:val="29"/>
              </w:rPr>
              <w:t>设备进行检</w:t>
            </w:r>
            <w:r>
              <w:rPr>
                <w:spacing w:val="1"/>
              </w:rPr>
              <w:t xml:space="preserve"> </w:t>
            </w:r>
            <w:r>
              <w:rPr>
                <w:spacing w:val="-6"/>
              </w:rPr>
              <w:t>测、维护、更</w:t>
            </w:r>
            <w:r>
              <w:rPr>
                <w:spacing w:val="2"/>
              </w:rPr>
              <w:t xml:space="preserve"> </w:t>
            </w:r>
            <w:r>
              <w:rPr>
                <w:spacing w:val="-6"/>
              </w:rPr>
              <w:t>新等行为的行</w:t>
            </w:r>
            <w:r>
              <w:rPr>
                <w:spacing w:val="2"/>
              </w:rPr>
              <w:t xml:space="preserve"> </w:t>
            </w:r>
            <w:r>
              <w:rPr>
                <w:spacing w:val="-5"/>
              </w:rPr>
              <w:t>政处罚</w:t>
            </w:r>
          </w:p>
        </w:tc>
        <w:tc>
          <w:tcPr>
            <w:tcW w:w="1101" w:type="dxa"/>
            <w:vAlign w:val="top"/>
          </w:tcPr>
          <w:p w14:paraId="47AA48ED">
            <w:pPr>
              <w:spacing w:line="307" w:lineRule="auto"/>
              <w:rPr>
                <w:rFonts w:ascii="Arial"/>
                <w:sz w:val="21"/>
              </w:rPr>
            </w:pPr>
          </w:p>
          <w:p w14:paraId="5124F946">
            <w:pPr>
              <w:spacing w:line="307" w:lineRule="auto"/>
              <w:rPr>
                <w:rFonts w:ascii="Arial"/>
                <w:sz w:val="21"/>
              </w:rPr>
            </w:pPr>
          </w:p>
          <w:p w14:paraId="279AD6FC">
            <w:pPr>
              <w:spacing w:line="308" w:lineRule="auto"/>
              <w:rPr>
                <w:rFonts w:ascii="Arial"/>
                <w:sz w:val="21"/>
              </w:rPr>
            </w:pPr>
          </w:p>
          <w:p w14:paraId="079BA3FB">
            <w:pPr>
              <w:pStyle w:val="8"/>
              <w:spacing w:before="59" w:line="220" w:lineRule="auto"/>
              <w:ind w:left="25"/>
            </w:pPr>
            <w:r>
              <w:rPr>
                <w:spacing w:val="-7"/>
              </w:rPr>
              <w:t>行政处罚</w:t>
            </w:r>
          </w:p>
        </w:tc>
        <w:tc>
          <w:tcPr>
            <w:tcW w:w="8524" w:type="dxa"/>
            <w:vAlign w:val="top"/>
          </w:tcPr>
          <w:p w14:paraId="0EC1F557">
            <w:pPr>
              <w:pStyle w:val="8"/>
              <w:spacing w:before="101" w:line="219" w:lineRule="auto"/>
              <w:ind w:left="451"/>
            </w:pPr>
            <w:r>
              <w:rPr>
                <w:b/>
                <w:bCs/>
                <w:spacing w:val="-8"/>
              </w:rPr>
              <w:t>《城市公共汽车和电车客运管理规定》(交</w:t>
            </w:r>
            <w:r>
              <w:rPr>
                <w:b/>
                <w:bCs/>
                <w:spacing w:val="-9"/>
              </w:rPr>
              <w:t>通运输部令2017年第5号)</w:t>
            </w:r>
          </w:p>
          <w:p w14:paraId="1C60245E">
            <w:pPr>
              <w:pStyle w:val="8"/>
              <w:spacing w:before="6" w:line="222" w:lineRule="auto"/>
              <w:ind w:left="105" w:right="32" w:firstLine="340"/>
            </w:pPr>
            <w:r>
              <w:rPr>
                <w:spacing w:val="-9"/>
              </w:rPr>
              <w:t>第四十七条</w:t>
            </w:r>
            <w:r>
              <w:rPr>
                <w:spacing w:val="73"/>
              </w:rPr>
              <w:t xml:space="preserve"> </w:t>
            </w:r>
            <w:r>
              <w:rPr>
                <w:spacing w:val="-9"/>
              </w:rPr>
              <w:t>运营企业应当建立城市公共汽电车车辆安全管理制度，定期对运营车辆及附属设备进行检测、</w:t>
            </w:r>
            <w:r>
              <w:t xml:space="preserve"> </w:t>
            </w:r>
            <w:r>
              <w:rPr>
                <w:spacing w:val="-8"/>
              </w:rPr>
              <w:t>维护、更新，保证其处于良好状态。不得将存在安全隐患的车辆投入运营。</w:t>
            </w:r>
          </w:p>
          <w:p w14:paraId="56788709">
            <w:pPr>
              <w:pStyle w:val="8"/>
              <w:spacing w:before="6" w:line="223" w:lineRule="auto"/>
              <w:ind w:left="106" w:right="46" w:firstLine="338"/>
            </w:pPr>
            <w:r>
              <w:rPr>
                <w:spacing w:val="-9"/>
              </w:rPr>
              <w:t>第四十八条</w:t>
            </w:r>
            <w:r>
              <w:rPr>
                <w:spacing w:val="73"/>
              </w:rPr>
              <w:t xml:space="preserve"> </w:t>
            </w:r>
            <w:r>
              <w:rPr>
                <w:spacing w:val="-9"/>
              </w:rPr>
              <w:t>运营企业应当在城市公共汽电车车辆和场站醒目位置设置安全</w:t>
            </w:r>
            <w:r>
              <w:rPr>
                <w:spacing w:val="-10"/>
              </w:rPr>
              <w:t>警示标志、安全疏散示意图等，</w:t>
            </w:r>
            <w:r>
              <w:t xml:space="preserve"> </w:t>
            </w:r>
            <w:r>
              <w:rPr>
                <w:spacing w:val="-8"/>
              </w:rPr>
              <w:t>并为车辆配备灭火器、安全锤等安全应急设备，保证安全应急设备处于良好状态。</w:t>
            </w:r>
          </w:p>
          <w:p w14:paraId="222F0FA0">
            <w:pPr>
              <w:pStyle w:val="8"/>
              <w:spacing w:before="6" w:line="224" w:lineRule="auto"/>
              <w:ind w:left="104" w:right="32" w:firstLine="341"/>
            </w:pPr>
            <w:r>
              <w:rPr>
                <w:spacing w:val="-6"/>
              </w:rPr>
              <w:t>第六十二条第（一</w:t>
            </w:r>
            <w:r>
              <w:rPr>
                <w:spacing w:val="-20"/>
              </w:rPr>
              <w:t>）（</w:t>
            </w:r>
            <w:r>
              <w:rPr>
                <w:spacing w:val="-6"/>
              </w:rPr>
              <w:t>二）项</w:t>
            </w:r>
            <w:r>
              <w:rPr>
                <w:spacing w:val="82"/>
              </w:rPr>
              <w:t xml:space="preserve"> </w:t>
            </w:r>
            <w:r>
              <w:rPr>
                <w:spacing w:val="-6"/>
              </w:rPr>
              <w:t>运营企业有下列行为之一的，由城市公共交通主管部门责令限期改正；逾</w:t>
            </w:r>
            <w:r>
              <w:t xml:space="preserve"> </w:t>
            </w:r>
            <w:r>
              <w:rPr>
                <w:spacing w:val="-9"/>
              </w:rPr>
              <w:t>期未改正的，处5000元以上1万元以下的罚款</w:t>
            </w:r>
            <w:r>
              <w:rPr>
                <w:spacing w:val="-45"/>
              </w:rPr>
              <w:t>：（</w:t>
            </w:r>
            <w:r>
              <w:rPr>
                <w:spacing w:val="-9"/>
              </w:rPr>
              <w:t>一）未定期对城市公共汽电车车辆及其安全设施设备进行检测、</w:t>
            </w:r>
            <w:r>
              <w:t xml:space="preserve"> </w:t>
            </w:r>
            <w:r>
              <w:rPr>
                <w:spacing w:val="-6"/>
              </w:rPr>
              <w:t>维护、更新的</w:t>
            </w:r>
            <w:r>
              <w:rPr>
                <w:spacing w:val="-20"/>
              </w:rPr>
              <w:t>；（</w:t>
            </w:r>
            <w:r>
              <w:rPr>
                <w:spacing w:val="-6"/>
              </w:rPr>
              <w:t>二）未在城市公共汽电车车辆和场站醒目位置设置安全警示标志、安全</w:t>
            </w:r>
            <w:r>
              <w:rPr>
                <w:spacing w:val="-7"/>
              </w:rPr>
              <w:t>疏散示意图和安全应</w:t>
            </w:r>
            <w:r>
              <w:t xml:space="preserve"> </w:t>
            </w:r>
            <w:r>
              <w:rPr>
                <w:spacing w:val="-7"/>
              </w:rPr>
              <w:t>急设备的；</w:t>
            </w:r>
          </w:p>
        </w:tc>
        <w:tc>
          <w:tcPr>
            <w:tcW w:w="1011" w:type="dxa"/>
            <w:vAlign w:val="top"/>
          </w:tcPr>
          <w:p w14:paraId="3A2E0D09">
            <w:pPr>
              <w:spacing w:line="267" w:lineRule="auto"/>
              <w:rPr>
                <w:rFonts w:ascii="Arial"/>
                <w:sz w:val="21"/>
              </w:rPr>
            </w:pPr>
          </w:p>
          <w:p w14:paraId="575EE9F9">
            <w:pPr>
              <w:spacing w:line="268" w:lineRule="auto"/>
              <w:rPr>
                <w:rFonts w:ascii="Arial"/>
                <w:sz w:val="21"/>
              </w:rPr>
            </w:pPr>
          </w:p>
          <w:p w14:paraId="0A0F078E">
            <w:pPr>
              <w:spacing w:line="268" w:lineRule="auto"/>
              <w:rPr>
                <w:rFonts w:ascii="Arial"/>
                <w:sz w:val="21"/>
              </w:rPr>
            </w:pPr>
          </w:p>
          <w:p w14:paraId="46C2CA35">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72BCEEC9">
            <w:pPr>
              <w:spacing w:line="267" w:lineRule="auto"/>
              <w:rPr>
                <w:rFonts w:ascii="Arial"/>
                <w:sz w:val="21"/>
              </w:rPr>
            </w:pPr>
          </w:p>
          <w:p w14:paraId="2919395F">
            <w:pPr>
              <w:spacing w:line="268" w:lineRule="auto"/>
              <w:rPr>
                <w:rFonts w:ascii="Arial"/>
                <w:sz w:val="21"/>
              </w:rPr>
            </w:pPr>
          </w:p>
          <w:p w14:paraId="10588B1B">
            <w:pPr>
              <w:spacing w:line="268" w:lineRule="auto"/>
              <w:rPr>
                <w:rFonts w:ascii="Arial"/>
                <w:sz w:val="21"/>
              </w:rPr>
            </w:pPr>
          </w:p>
          <w:p w14:paraId="66309759">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6570881F">
            <w:pPr>
              <w:spacing w:line="283" w:lineRule="auto"/>
              <w:rPr>
                <w:rFonts w:ascii="Arial"/>
                <w:sz w:val="21"/>
              </w:rPr>
            </w:pPr>
          </w:p>
          <w:p w14:paraId="0C6D508A">
            <w:pPr>
              <w:spacing w:line="283" w:lineRule="auto"/>
              <w:rPr>
                <w:rFonts w:ascii="Arial"/>
                <w:sz w:val="21"/>
              </w:rPr>
            </w:pPr>
          </w:p>
          <w:p w14:paraId="0281E81B">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59274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62" w:hRule="atLeast"/>
        </w:trPr>
        <w:tc>
          <w:tcPr>
            <w:tcW w:w="629" w:type="dxa"/>
            <w:vAlign w:val="top"/>
          </w:tcPr>
          <w:p w14:paraId="02510470">
            <w:pPr>
              <w:spacing w:line="241" w:lineRule="auto"/>
              <w:rPr>
                <w:rFonts w:ascii="Arial"/>
                <w:sz w:val="21"/>
              </w:rPr>
            </w:pPr>
          </w:p>
          <w:p w14:paraId="63651380">
            <w:pPr>
              <w:spacing w:line="241" w:lineRule="auto"/>
              <w:rPr>
                <w:rFonts w:ascii="Arial"/>
                <w:sz w:val="21"/>
              </w:rPr>
            </w:pPr>
          </w:p>
          <w:p w14:paraId="0F57B0E0">
            <w:pPr>
              <w:spacing w:line="242" w:lineRule="auto"/>
              <w:rPr>
                <w:rFonts w:ascii="Arial"/>
                <w:sz w:val="21"/>
              </w:rPr>
            </w:pPr>
          </w:p>
          <w:p w14:paraId="6E175871">
            <w:pPr>
              <w:spacing w:line="242" w:lineRule="auto"/>
              <w:rPr>
                <w:rFonts w:ascii="Arial"/>
                <w:sz w:val="21"/>
              </w:rPr>
            </w:pPr>
          </w:p>
          <w:p w14:paraId="4EF37F87">
            <w:pPr>
              <w:pStyle w:val="8"/>
              <w:spacing w:before="58" w:line="182" w:lineRule="auto"/>
              <w:ind w:left="225"/>
              <w:rPr>
                <w:rFonts w:hint="eastAsia" w:eastAsia="宋体"/>
                <w:lang w:eastAsia="zh-CN"/>
              </w:rPr>
            </w:pPr>
            <w:r>
              <w:rPr>
                <w:spacing w:val="-6"/>
              </w:rPr>
              <w:t>7</w:t>
            </w:r>
            <w:r>
              <w:rPr>
                <w:rFonts w:hint="eastAsia"/>
                <w:spacing w:val="-6"/>
                <w:lang w:val="en-US" w:eastAsia="zh-CN"/>
              </w:rPr>
              <w:t>4</w:t>
            </w:r>
          </w:p>
        </w:tc>
        <w:tc>
          <w:tcPr>
            <w:tcW w:w="1101" w:type="dxa"/>
            <w:vAlign w:val="top"/>
          </w:tcPr>
          <w:p w14:paraId="45CC8162">
            <w:pPr>
              <w:spacing w:line="339" w:lineRule="auto"/>
              <w:rPr>
                <w:rFonts w:ascii="Arial"/>
                <w:sz w:val="21"/>
              </w:rPr>
            </w:pPr>
          </w:p>
          <w:p w14:paraId="30F5B38C">
            <w:pPr>
              <w:pStyle w:val="8"/>
              <w:spacing w:before="59" w:line="242" w:lineRule="auto"/>
              <w:ind w:left="19" w:right="20" w:hanging="1"/>
              <w:jc w:val="both"/>
            </w:pPr>
            <w:r>
              <w:rPr>
                <w:spacing w:val="-6"/>
              </w:rPr>
              <w:t>对城市公共汽</w:t>
            </w:r>
            <w:r>
              <w:rPr>
                <w:spacing w:val="2"/>
              </w:rPr>
              <w:t xml:space="preserve"> </w:t>
            </w:r>
            <w:r>
              <w:rPr>
                <w:spacing w:val="-6"/>
              </w:rPr>
              <w:t>车和电车运营</w:t>
            </w:r>
            <w:r>
              <w:t xml:space="preserve"> </w:t>
            </w:r>
            <w:r>
              <w:rPr>
                <w:spacing w:val="-6"/>
              </w:rPr>
              <w:t>企业未制定应</w:t>
            </w:r>
            <w:r>
              <w:t xml:space="preserve"> </w:t>
            </w:r>
            <w:r>
              <w:rPr>
                <w:spacing w:val="-6"/>
              </w:rPr>
              <w:t>急预案并组织</w:t>
            </w:r>
            <w:r>
              <w:t xml:space="preserve"> </w:t>
            </w:r>
            <w:r>
              <w:rPr>
                <w:spacing w:val="-6"/>
              </w:rPr>
              <w:t>演练等行为的</w:t>
            </w:r>
            <w:r>
              <w:t xml:space="preserve"> </w:t>
            </w:r>
            <w:r>
              <w:rPr>
                <w:spacing w:val="-7"/>
              </w:rPr>
              <w:t>行政处罚</w:t>
            </w:r>
          </w:p>
        </w:tc>
        <w:tc>
          <w:tcPr>
            <w:tcW w:w="1101" w:type="dxa"/>
            <w:vAlign w:val="top"/>
          </w:tcPr>
          <w:p w14:paraId="30F7BF2F">
            <w:pPr>
              <w:spacing w:line="312" w:lineRule="auto"/>
              <w:rPr>
                <w:rFonts w:ascii="Arial"/>
                <w:sz w:val="21"/>
              </w:rPr>
            </w:pPr>
          </w:p>
          <w:p w14:paraId="73335FAF">
            <w:pPr>
              <w:spacing w:line="312" w:lineRule="auto"/>
              <w:rPr>
                <w:rFonts w:ascii="Arial"/>
                <w:sz w:val="21"/>
              </w:rPr>
            </w:pPr>
          </w:p>
          <w:p w14:paraId="552193F1">
            <w:pPr>
              <w:spacing w:line="312" w:lineRule="auto"/>
              <w:rPr>
                <w:rFonts w:ascii="Arial"/>
                <w:sz w:val="21"/>
              </w:rPr>
            </w:pPr>
          </w:p>
          <w:p w14:paraId="7FB14E10">
            <w:pPr>
              <w:pStyle w:val="8"/>
              <w:spacing w:before="59" w:line="220" w:lineRule="auto"/>
              <w:ind w:left="25"/>
            </w:pPr>
            <w:r>
              <w:rPr>
                <w:spacing w:val="-7"/>
              </w:rPr>
              <w:t>行政处罚</w:t>
            </w:r>
          </w:p>
        </w:tc>
        <w:tc>
          <w:tcPr>
            <w:tcW w:w="8524" w:type="dxa"/>
            <w:vAlign w:val="top"/>
          </w:tcPr>
          <w:p w14:paraId="75D0E4AE">
            <w:pPr>
              <w:pStyle w:val="8"/>
              <w:spacing w:before="40" w:line="219" w:lineRule="auto"/>
              <w:ind w:left="451"/>
            </w:pPr>
            <w:r>
              <w:rPr>
                <w:b/>
                <w:bCs/>
                <w:spacing w:val="-8"/>
              </w:rPr>
              <w:t>《城市公共汽车和电车客运管理规定》(交</w:t>
            </w:r>
            <w:r>
              <w:rPr>
                <w:b/>
                <w:bCs/>
                <w:spacing w:val="-9"/>
              </w:rPr>
              <w:t>通运输部令2017年第5号)</w:t>
            </w:r>
          </w:p>
          <w:p w14:paraId="1E6DC7BD">
            <w:pPr>
              <w:pStyle w:val="8"/>
              <w:spacing w:before="26" w:line="233" w:lineRule="auto"/>
              <w:ind w:left="106" w:right="203" w:firstLine="338"/>
            </w:pPr>
            <w:r>
              <w:rPr>
                <w:spacing w:val="-9"/>
              </w:rPr>
              <w:t>第五十二条第二款</w:t>
            </w:r>
            <w:r>
              <w:rPr>
                <w:spacing w:val="74"/>
              </w:rPr>
              <w:t xml:space="preserve"> </w:t>
            </w:r>
            <w:r>
              <w:rPr>
                <w:spacing w:val="-9"/>
              </w:rPr>
              <w:t>运营企业应当根据城市公共汽电车客运突发事件应急预案，制定本企业的应急预案，</w:t>
            </w:r>
            <w:r>
              <w:t xml:space="preserve"> </w:t>
            </w:r>
            <w:r>
              <w:rPr>
                <w:spacing w:val="-8"/>
              </w:rPr>
              <w:t>并定期演练。</w:t>
            </w:r>
          </w:p>
          <w:p w14:paraId="4FC87019">
            <w:pPr>
              <w:pStyle w:val="8"/>
              <w:spacing w:before="24" w:line="233" w:lineRule="auto"/>
              <w:ind w:left="106" w:right="157" w:firstLine="338"/>
            </w:pPr>
            <w:r>
              <w:rPr>
                <w:spacing w:val="-8"/>
              </w:rPr>
              <w:t>第五十二条第三款</w:t>
            </w:r>
            <w:r>
              <w:rPr>
                <w:spacing w:val="76"/>
              </w:rPr>
              <w:t xml:space="preserve"> </w:t>
            </w:r>
            <w:r>
              <w:rPr>
                <w:spacing w:val="-8"/>
              </w:rPr>
              <w:t>发生安全事故或者影响城市公共汽电车客运运营安全的突发事件时，城市公共交</w:t>
            </w:r>
            <w:r>
              <w:rPr>
                <w:spacing w:val="-9"/>
              </w:rPr>
              <w:t>通主</w:t>
            </w:r>
            <w:r>
              <w:t xml:space="preserve"> </w:t>
            </w:r>
            <w:r>
              <w:rPr>
                <w:spacing w:val="-8"/>
              </w:rPr>
              <w:t>管部门、运营企业等应当按照应急预案及时采取应急处置措施。</w:t>
            </w:r>
          </w:p>
          <w:p w14:paraId="58A04C96">
            <w:pPr>
              <w:pStyle w:val="8"/>
              <w:spacing w:before="26" w:line="234" w:lineRule="auto"/>
              <w:ind w:left="122" w:right="88" w:firstLine="322"/>
            </w:pPr>
            <w:r>
              <w:rPr>
                <w:spacing w:val="-8"/>
              </w:rPr>
              <w:t>第六十三条</w:t>
            </w:r>
            <w:r>
              <w:rPr>
                <w:spacing w:val="73"/>
              </w:rPr>
              <w:t xml:space="preserve"> </w:t>
            </w:r>
            <w:r>
              <w:rPr>
                <w:spacing w:val="-8"/>
              </w:rPr>
              <w:t>运营企业未制定应急预案并组织演练的，由城市公共交通主管部门责</w:t>
            </w:r>
            <w:r>
              <w:rPr>
                <w:spacing w:val="-9"/>
              </w:rPr>
              <w:t>令限期改正，并处1万元</w:t>
            </w:r>
            <w:r>
              <w:t xml:space="preserve"> </w:t>
            </w:r>
            <w:r>
              <w:rPr>
                <w:spacing w:val="-10"/>
              </w:rPr>
              <w:t>以下的罚款。</w:t>
            </w:r>
          </w:p>
          <w:p w14:paraId="651DB17D">
            <w:pPr>
              <w:pStyle w:val="8"/>
              <w:spacing w:before="24" w:line="221" w:lineRule="auto"/>
              <w:ind w:left="124" w:right="195" w:firstLine="324"/>
            </w:pPr>
            <w:r>
              <w:rPr>
                <w:spacing w:val="-9"/>
              </w:rPr>
              <w:t>发生影响运营安全的突发事件时，运营企业未按照应急预案的规定采取应急处置措施，造成严重后</w:t>
            </w:r>
            <w:r>
              <w:rPr>
                <w:spacing w:val="-10"/>
              </w:rPr>
              <w:t>果的，</w:t>
            </w:r>
            <w:r>
              <w:t xml:space="preserve"> </w:t>
            </w:r>
            <w:r>
              <w:rPr>
                <w:spacing w:val="-8"/>
              </w:rPr>
              <w:t>由城市公共交通主管部门处2万元以上3万</w:t>
            </w:r>
            <w:r>
              <w:rPr>
                <w:spacing w:val="-9"/>
              </w:rPr>
              <w:t>元以下的罚款。</w:t>
            </w:r>
          </w:p>
        </w:tc>
        <w:tc>
          <w:tcPr>
            <w:tcW w:w="1011" w:type="dxa"/>
            <w:vAlign w:val="top"/>
          </w:tcPr>
          <w:p w14:paraId="5BCE64AD">
            <w:pPr>
              <w:spacing w:line="272" w:lineRule="auto"/>
              <w:rPr>
                <w:rFonts w:ascii="Arial"/>
                <w:sz w:val="21"/>
              </w:rPr>
            </w:pPr>
          </w:p>
          <w:p w14:paraId="40FC9F55">
            <w:pPr>
              <w:spacing w:line="272" w:lineRule="auto"/>
              <w:rPr>
                <w:rFonts w:ascii="Arial"/>
                <w:sz w:val="21"/>
              </w:rPr>
            </w:pPr>
          </w:p>
          <w:p w14:paraId="6F44EF32">
            <w:pPr>
              <w:spacing w:line="273" w:lineRule="auto"/>
              <w:rPr>
                <w:rFonts w:ascii="Arial"/>
                <w:sz w:val="21"/>
              </w:rPr>
            </w:pPr>
          </w:p>
          <w:p w14:paraId="36BAF8CB">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2EE90CC7">
            <w:pPr>
              <w:spacing w:line="272" w:lineRule="auto"/>
              <w:rPr>
                <w:rFonts w:ascii="Arial"/>
                <w:sz w:val="21"/>
              </w:rPr>
            </w:pPr>
          </w:p>
          <w:p w14:paraId="36294576">
            <w:pPr>
              <w:spacing w:line="272" w:lineRule="auto"/>
              <w:rPr>
                <w:rFonts w:ascii="Arial"/>
                <w:sz w:val="21"/>
              </w:rPr>
            </w:pPr>
          </w:p>
          <w:p w14:paraId="6F46FDE5">
            <w:pPr>
              <w:spacing w:line="273" w:lineRule="auto"/>
              <w:rPr>
                <w:rFonts w:ascii="Arial"/>
                <w:sz w:val="21"/>
              </w:rPr>
            </w:pPr>
          </w:p>
          <w:p w14:paraId="4D16E0EF">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E31CF27">
            <w:pPr>
              <w:spacing w:line="290" w:lineRule="auto"/>
              <w:rPr>
                <w:rFonts w:ascii="Arial"/>
                <w:sz w:val="21"/>
              </w:rPr>
            </w:pPr>
          </w:p>
          <w:p w14:paraId="3EF23A1F">
            <w:pPr>
              <w:spacing w:line="290" w:lineRule="auto"/>
              <w:rPr>
                <w:rFonts w:ascii="Arial"/>
                <w:sz w:val="21"/>
              </w:rPr>
            </w:pPr>
          </w:p>
          <w:p w14:paraId="089F59C5">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666EC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52" w:hRule="atLeast"/>
        </w:trPr>
        <w:tc>
          <w:tcPr>
            <w:tcW w:w="629" w:type="dxa"/>
            <w:vAlign w:val="top"/>
          </w:tcPr>
          <w:p w14:paraId="55419C63">
            <w:pPr>
              <w:spacing w:line="286" w:lineRule="auto"/>
              <w:rPr>
                <w:rFonts w:ascii="Arial"/>
                <w:sz w:val="21"/>
              </w:rPr>
            </w:pPr>
          </w:p>
          <w:p w14:paraId="05D2B5A1">
            <w:pPr>
              <w:spacing w:line="287" w:lineRule="auto"/>
              <w:rPr>
                <w:rFonts w:ascii="Arial"/>
                <w:sz w:val="21"/>
              </w:rPr>
            </w:pPr>
          </w:p>
          <w:p w14:paraId="6140014A">
            <w:pPr>
              <w:spacing w:line="287" w:lineRule="auto"/>
              <w:rPr>
                <w:rFonts w:ascii="Arial"/>
                <w:sz w:val="21"/>
              </w:rPr>
            </w:pPr>
          </w:p>
          <w:p w14:paraId="778E7173">
            <w:pPr>
              <w:pStyle w:val="8"/>
              <w:spacing w:before="58" w:line="183" w:lineRule="auto"/>
              <w:ind w:left="225"/>
              <w:rPr>
                <w:rFonts w:hint="eastAsia" w:eastAsia="宋体"/>
                <w:lang w:eastAsia="zh-CN"/>
              </w:rPr>
            </w:pPr>
            <w:r>
              <w:rPr>
                <w:spacing w:val="-6"/>
              </w:rPr>
              <w:t>7</w:t>
            </w:r>
            <w:r>
              <w:rPr>
                <w:rFonts w:hint="eastAsia"/>
                <w:spacing w:val="-6"/>
                <w:lang w:val="en-US" w:eastAsia="zh-CN"/>
              </w:rPr>
              <w:t>5</w:t>
            </w:r>
          </w:p>
        </w:tc>
        <w:tc>
          <w:tcPr>
            <w:tcW w:w="1101" w:type="dxa"/>
            <w:vAlign w:val="top"/>
          </w:tcPr>
          <w:p w14:paraId="7DA5E72B">
            <w:pPr>
              <w:pStyle w:val="8"/>
              <w:spacing w:before="54" w:line="242" w:lineRule="auto"/>
              <w:ind w:left="17" w:right="20"/>
              <w:jc w:val="both"/>
            </w:pPr>
            <w:r>
              <w:rPr>
                <w:spacing w:val="-6"/>
              </w:rPr>
              <w:t>对城市公共汽</w:t>
            </w:r>
            <w:r>
              <w:rPr>
                <w:spacing w:val="2"/>
              </w:rPr>
              <w:t xml:space="preserve"> </w:t>
            </w:r>
            <w:r>
              <w:rPr>
                <w:spacing w:val="-6"/>
              </w:rPr>
              <w:t>电车客运场站</w:t>
            </w:r>
            <w:r>
              <w:rPr>
                <w:spacing w:val="2"/>
              </w:rPr>
              <w:t xml:space="preserve"> </w:t>
            </w:r>
            <w:r>
              <w:rPr>
                <w:spacing w:val="-6"/>
              </w:rPr>
              <w:t>和服务设施的</w:t>
            </w:r>
            <w:r>
              <w:rPr>
                <w:spacing w:val="2"/>
              </w:rPr>
              <w:t xml:space="preserve"> </w:t>
            </w:r>
            <w:r>
              <w:rPr>
                <w:spacing w:val="-6"/>
              </w:rPr>
              <w:t>日常管理单位</w:t>
            </w:r>
            <w:r>
              <w:rPr>
                <w:spacing w:val="2"/>
              </w:rPr>
              <w:t xml:space="preserve"> </w:t>
            </w:r>
            <w:r>
              <w:rPr>
                <w:spacing w:val="-6"/>
              </w:rPr>
              <w:t>未按照规定对</w:t>
            </w:r>
            <w:r>
              <w:rPr>
                <w:spacing w:val="2"/>
              </w:rPr>
              <w:t xml:space="preserve"> </w:t>
            </w:r>
            <w:r>
              <w:rPr>
                <w:spacing w:val="-6"/>
              </w:rPr>
              <w:t>有关场站设施</w:t>
            </w:r>
            <w:r>
              <w:rPr>
                <w:spacing w:val="2"/>
              </w:rPr>
              <w:t xml:space="preserve"> </w:t>
            </w:r>
            <w:r>
              <w:rPr>
                <w:spacing w:val="-6"/>
              </w:rPr>
              <w:t>进行管理和维</w:t>
            </w:r>
            <w:r>
              <w:rPr>
                <w:spacing w:val="2"/>
              </w:rPr>
              <w:t xml:space="preserve"> </w:t>
            </w:r>
            <w:r>
              <w:rPr>
                <w:spacing w:val="-7"/>
              </w:rPr>
              <w:t>护的行政处罚</w:t>
            </w:r>
          </w:p>
        </w:tc>
        <w:tc>
          <w:tcPr>
            <w:tcW w:w="1101" w:type="dxa"/>
            <w:vAlign w:val="top"/>
          </w:tcPr>
          <w:p w14:paraId="556A0260">
            <w:pPr>
              <w:spacing w:line="277" w:lineRule="auto"/>
              <w:rPr>
                <w:rFonts w:ascii="Arial"/>
                <w:sz w:val="21"/>
              </w:rPr>
            </w:pPr>
          </w:p>
          <w:p w14:paraId="6120E03C">
            <w:pPr>
              <w:spacing w:line="277" w:lineRule="auto"/>
              <w:rPr>
                <w:rFonts w:ascii="Arial"/>
                <w:sz w:val="21"/>
              </w:rPr>
            </w:pPr>
          </w:p>
          <w:p w14:paraId="17045C43">
            <w:pPr>
              <w:spacing w:line="277" w:lineRule="auto"/>
              <w:rPr>
                <w:rFonts w:ascii="Arial"/>
                <w:sz w:val="21"/>
              </w:rPr>
            </w:pPr>
          </w:p>
          <w:p w14:paraId="33B24E4C">
            <w:pPr>
              <w:pStyle w:val="8"/>
              <w:spacing w:before="59" w:line="220" w:lineRule="auto"/>
              <w:ind w:left="25"/>
            </w:pPr>
            <w:r>
              <w:rPr>
                <w:spacing w:val="-7"/>
              </w:rPr>
              <w:t>行政处罚</w:t>
            </w:r>
          </w:p>
        </w:tc>
        <w:tc>
          <w:tcPr>
            <w:tcW w:w="8524" w:type="dxa"/>
            <w:vAlign w:val="top"/>
          </w:tcPr>
          <w:p w14:paraId="1296AAA7">
            <w:pPr>
              <w:pStyle w:val="8"/>
              <w:spacing w:before="295" w:line="219" w:lineRule="auto"/>
              <w:ind w:left="451"/>
            </w:pPr>
            <w:r>
              <w:rPr>
                <w:b/>
                <w:bCs/>
                <w:spacing w:val="-8"/>
              </w:rPr>
              <w:t>《城市公共汽车和电车客运管理规定》(交</w:t>
            </w:r>
            <w:r>
              <w:rPr>
                <w:b/>
                <w:bCs/>
                <w:spacing w:val="-9"/>
              </w:rPr>
              <w:t>通运输部令2017年第5号)</w:t>
            </w:r>
          </w:p>
          <w:p w14:paraId="48D12650">
            <w:pPr>
              <w:pStyle w:val="8"/>
              <w:spacing w:before="26" w:line="238" w:lineRule="auto"/>
              <w:ind w:left="102" w:right="150" w:firstLine="343"/>
              <w:jc w:val="both"/>
            </w:pPr>
            <w:r>
              <w:rPr>
                <w:spacing w:val="-8"/>
              </w:rPr>
              <w:t>第三十六条</w:t>
            </w:r>
            <w:r>
              <w:rPr>
                <w:spacing w:val="74"/>
              </w:rPr>
              <w:t xml:space="preserve"> </w:t>
            </w:r>
            <w:r>
              <w:rPr>
                <w:spacing w:val="-8"/>
              </w:rPr>
              <w:t>城市公共汽电车客运场站等服务设施的日常管理单位应当按照有关标准和规定，对场站等服</w:t>
            </w:r>
            <w:r>
              <w:t xml:space="preserve"> </w:t>
            </w:r>
            <w:r>
              <w:rPr>
                <w:spacing w:val="-8"/>
              </w:rPr>
              <w:t>务设施进行日常管理，定期进行维修、保养，保持其技术状况、安全性能符合国家标准，维护场站的正常</w:t>
            </w:r>
            <w:r>
              <w:rPr>
                <w:spacing w:val="-9"/>
              </w:rPr>
              <w:t>运营</w:t>
            </w:r>
            <w:r>
              <w:t xml:space="preserve"> </w:t>
            </w:r>
            <w:r>
              <w:rPr>
                <w:spacing w:val="-5"/>
              </w:rPr>
              <w:t>秩序。</w:t>
            </w:r>
          </w:p>
          <w:p w14:paraId="59AD9FF5">
            <w:pPr>
              <w:pStyle w:val="8"/>
              <w:spacing w:before="23" w:line="233" w:lineRule="auto"/>
              <w:ind w:left="105" w:right="157" w:firstLine="340"/>
            </w:pPr>
            <w:r>
              <w:rPr>
                <w:spacing w:val="-8"/>
              </w:rPr>
              <w:t>第六十四条</w:t>
            </w:r>
            <w:r>
              <w:rPr>
                <w:spacing w:val="74"/>
              </w:rPr>
              <w:t xml:space="preserve"> </w:t>
            </w:r>
            <w:r>
              <w:rPr>
                <w:spacing w:val="-8"/>
              </w:rPr>
              <w:t>城市公共汽电车客运场站和服务设施的日常管理单位未按照规定对有关场站设施进行管理和</w:t>
            </w:r>
            <w:r>
              <w:t xml:space="preserve"> </w:t>
            </w:r>
            <w:r>
              <w:rPr>
                <w:spacing w:val="-8"/>
              </w:rPr>
              <w:t>维护的，由城市公共交通主管部门责令限期改正；逾期未改正的，处1万元以下的罚款。</w:t>
            </w:r>
          </w:p>
        </w:tc>
        <w:tc>
          <w:tcPr>
            <w:tcW w:w="1011" w:type="dxa"/>
            <w:vAlign w:val="top"/>
          </w:tcPr>
          <w:p w14:paraId="1B2E35F7">
            <w:pPr>
              <w:spacing w:line="356" w:lineRule="auto"/>
              <w:rPr>
                <w:rFonts w:ascii="Arial"/>
                <w:sz w:val="21"/>
              </w:rPr>
            </w:pPr>
          </w:p>
          <w:p w14:paraId="03AF1E48">
            <w:pPr>
              <w:spacing w:line="356" w:lineRule="auto"/>
              <w:rPr>
                <w:rFonts w:ascii="Arial"/>
                <w:sz w:val="21"/>
              </w:rPr>
            </w:pPr>
          </w:p>
          <w:p w14:paraId="6D705238">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70F256A1">
            <w:pPr>
              <w:spacing w:line="356" w:lineRule="auto"/>
              <w:rPr>
                <w:rFonts w:ascii="Arial"/>
                <w:sz w:val="21"/>
              </w:rPr>
            </w:pPr>
          </w:p>
          <w:p w14:paraId="3C972AEB">
            <w:pPr>
              <w:spacing w:line="356" w:lineRule="auto"/>
              <w:rPr>
                <w:rFonts w:ascii="Arial"/>
                <w:sz w:val="21"/>
              </w:rPr>
            </w:pPr>
          </w:p>
          <w:p w14:paraId="3AB15874">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27528AB0">
            <w:pPr>
              <w:spacing w:line="475" w:lineRule="auto"/>
              <w:rPr>
                <w:rFonts w:ascii="Arial"/>
                <w:sz w:val="21"/>
              </w:rPr>
            </w:pPr>
          </w:p>
          <w:p w14:paraId="591D2B30">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3DC4AFBC">
      <w:pPr>
        <w:pStyle w:val="2"/>
      </w:pPr>
    </w:p>
    <w:p w14:paraId="7DB7A007">
      <w:pPr>
        <w:sectPr>
          <w:footerReference r:id="rId56" w:type="default"/>
          <w:pgSz w:w="16839" w:h="11906"/>
          <w:pgMar w:top="1012" w:right="1016" w:bottom="966" w:left="1016" w:header="0" w:footer="768" w:gutter="0"/>
          <w:cols w:space="720" w:num="1"/>
        </w:sectPr>
      </w:pPr>
    </w:p>
    <w:p w14:paraId="38049490">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0AE54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4" w:hRule="atLeast"/>
        </w:trPr>
        <w:tc>
          <w:tcPr>
            <w:tcW w:w="629" w:type="dxa"/>
            <w:vMerge w:val="restart"/>
            <w:tcBorders>
              <w:bottom w:val="nil"/>
            </w:tcBorders>
            <w:vAlign w:val="top"/>
          </w:tcPr>
          <w:p w14:paraId="3D9FB9D9">
            <w:pPr>
              <w:pStyle w:val="8"/>
              <w:spacing w:before="273" w:line="221" w:lineRule="auto"/>
              <w:ind w:left="129"/>
            </w:pPr>
            <w:r>
              <w:rPr>
                <w:b/>
                <w:bCs/>
                <w:spacing w:val="-4"/>
              </w:rPr>
              <w:t>序号</w:t>
            </w:r>
          </w:p>
        </w:tc>
        <w:tc>
          <w:tcPr>
            <w:tcW w:w="1101" w:type="dxa"/>
            <w:vMerge w:val="restart"/>
            <w:tcBorders>
              <w:bottom w:val="nil"/>
            </w:tcBorders>
            <w:vAlign w:val="top"/>
          </w:tcPr>
          <w:p w14:paraId="4145688A">
            <w:pPr>
              <w:pStyle w:val="8"/>
              <w:spacing w:before="274" w:line="220" w:lineRule="auto"/>
              <w:ind w:left="182"/>
            </w:pPr>
            <w:r>
              <w:rPr>
                <w:b/>
                <w:bCs/>
                <w:spacing w:val="-4"/>
              </w:rPr>
              <w:t>事项名称</w:t>
            </w:r>
          </w:p>
        </w:tc>
        <w:tc>
          <w:tcPr>
            <w:tcW w:w="1101" w:type="dxa"/>
            <w:vMerge w:val="restart"/>
            <w:tcBorders>
              <w:bottom w:val="nil"/>
            </w:tcBorders>
            <w:vAlign w:val="top"/>
          </w:tcPr>
          <w:p w14:paraId="6AA7F09B">
            <w:pPr>
              <w:pStyle w:val="8"/>
              <w:spacing w:before="274" w:line="219" w:lineRule="auto"/>
              <w:ind w:left="183"/>
            </w:pPr>
            <w:r>
              <w:rPr>
                <w:b/>
                <w:bCs/>
                <w:spacing w:val="-4"/>
              </w:rPr>
              <w:t>职权类型</w:t>
            </w:r>
          </w:p>
        </w:tc>
        <w:tc>
          <w:tcPr>
            <w:tcW w:w="8524" w:type="dxa"/>
            <w:vMerge w:val="restart"/>
            <w:tcBorders>
              <w:bottom w:val="nil"/>
            </w:tcBorders>
            <w:vAlign w:val="top"/>
          </w:tcPr>
          <w:p w14:paraId="642765B0">
            <w:pPr>
              <w:pStyle w:val="8"/>
              <w:spacing w:before="273" w:line="219" w:lineRule="auto"/>
              <w:ind w:left="4083"/>
            </w:pPr>
            <w:r>
              <w:rPr>
                <w:b/>
                <w:bCs/>
                <w:spacing w:val="-5"/>
              </w:rPr>
              <w:t>实施依据</w:t>
            </w:r>
          </w:p>
        </w:tc>
        <w:tc>
          <w:tcPr>
            <w:tcW w:w="3435" w:type="dxa"/>
            <w:gridSpan w:val="3"/>
            <w:vAlign w:val="top"/>
          </w:tcPr>
          <w:p w14:paraId="71DF56C6">
            <w:pPr>
              <w:pStyle w:val="8"/>
              <w:spacing w:before="94" w:line="220" w:lineRule="auto"/>
              <w:ind w:left="1360"/>
            </w:pPr>
            <w:r>
              <w:rPr>
                <w:b/>
                <w:bCs/>
                <w:spacing w:val="-5"/>
              </w:rPr>
              <w:t>实施主体</w:t>
            </w:r>
          </w:p>
        </w:tc>
      </w:tr>
      <w:tr w14:paraId="50D87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6940AD65">
            <w:pPr>
              <w:rPr>
                <w:rFonts w:ascii="Arial"/>
                <w:sz w:val="21"/>
              </w:rPr>
            </w:pPr>
          </w:p>
        </w:tc>
        <w:tc>
          <w:tcPr>
            <w:tcW w:w="1101" w:type="dxa"/>
            <w:vMerge w:val="continue"/>
            <w:tcBorders>
              <w:top w:val="nil"/>
            </w:tcBorders>
            <w:vAlign w:val="top"/>
          </w:tcPr>
          <w:p w14:paraId="59596B59">
            <w:pPr>
              <w:rPr>
                <w:rFonts w:ascii="Arial"/>
                <w:sz w:val="21"/>
              </w:rPr>
            </w:pPr>
          </w:p>
        </w:tc>
        <w:tc>
          <w:tcPr>
            <w:tcW w:w="1101" w:type="dxa"/>
            <w:vMerge w:val="continue"/>
            <w:tcBorders>
              <w:top w:val="nil"/>
            </w:tcBorders>
            <w:vAlign w:val="top"/>
          </w:tcPr>
          <w:p w14:paraId="1F9999D5">
            <w:pPr>
              <w:rPr>
                <w:rFonts w:ascii="Arial"/>
                <w:sz w:val="21"/>
              </w:rPr>
            </w:pPr>
          </w:p>
        </w:tc>
        <w:tc>
          <w:tcPr>
            <w:tcW w:w="8524" w:type="dxa"/>
            <w:vMerge w:val="continue"/>
            <w:tcBorders>
              <w:top w:val="nil"/>
            </w:tcBorders>
            <w:vAlign w:val="top"/>
          </w:tcPr>
          <w:p w14:paraId="1DBF899B">
            <w:pPr>
              <w:rPr>
                <w:rFonts w:ascii="Arial"/>
                <w:sz w:val="21"/>
              </w:rPr>
            </w:pPr>
          </w:p>
        </w:tc>
        <w:tc>
          <w:tcPr>
            <w:tcW w:w="1011" w:type="dxa"/>
            <w:vAlign w:val="top"/>
          </w:tcPr>
          <w:p w14:paraId="126842C8">
            <w:pPr>
              <w:pStyle w:val="8"/>
              <w:spacing w:before="85" w:line="219" w:lineRule="auto"/>
              <w:ind w:left="154"/>
            </w:pPr>
            <w:r>
              <w:rPr>
                <w:b/>
                <w:bCs/>
                <w:spacing w:val="-5"/>
              </w:rPr>
              <w:t>责任部门</w:t>
            </w:r>
          </w:p>
        </w:tc>
        <w:tc>
          <w:tcPr>
            <w:tcW w:w="1404" w:type="dxa"/>
            <w:vAlign w:val="top"/>
          </w:tcPr>
          <w:p w14:paraId="6DE26A45">
            <w:pPr>
              <w:pStyle w:val="8"/>
              <w:spacing w:before="85" w:line="219" w:lineRule="auto"/>
              <w:ind w:left="164"/>
            </w:pPr>
            <w:r>
              <w:rPr>
                <w:b/>
                <w:bCs/>
                <w:spacing w:val="-3"/>
              </w:rPr>
              <w:t>第一责任层级</w:t>
            </w:r>
          </w:p>
        </w:tc>
        <w:tc>
          <w:tcPr>
            <w:tcW w:w="1020" w:type="dxa"/>
            <w:vAlign w:val="top"/>
          </w:tcPr>
          <w:p w14:paraId="083498AE">
            <w:pPr>
              <w:pStyle w:val="8"/>
              <w:spacing w:before="84" w:line="219" w:lineRule="auto"/>
              <w:ind w:left="114"/>
            </w:pPr>
            <w:r>
              <w:rPr>
                <w:b/>
                <w:bCs/>
                <w:spacing w:val="-4"/>
              </w:rPr>
              <w:t>承办机构</w:t>
            </w:r>
          </w:p>
        </w:tc>
      </w:tr>
      <w:tr w14:paraId="1E6F1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62" w:hRule="atLeast"/>
        </w:trPr>
        <w:tc>
          <w:tcPr>
            <w:tcW w:w="629" w:type="dxa"/>
            <w:vAlign w:val="top"/>
          </w:tcPr>
          <w:p w14:paraId="2A1E7180">
            <w:pPr>
              <w:rPr>
                <w:rFonts w:ascii="Arial"/>
                <w:sz w:val="21"/>
              </w:rPr>
            </w:pPr>
          </w:p>
          <w:p w14:paraId="38385639">
            <w:pPr>
              <w:rPr>
                <w:rFonts w:ascii="Arial"/>
                <w:sz w:val="21"/>
              </w:rPr>
            </w:pPr>
          </w:p>
          <w:p w14:paraId="0D82BECA">
            <w:pPr>
              <w:rPr>
                <w:rFonts w:ascii="Arial"/>
                <w:sz w:val="21"/>
              </w:rPr>
            </w:pPr>
          </w:p>
          <w:p w14:paraId="6F04B529">
            <w:pPr>
              <w:rPr>
                <w:rFonts w:ascii="Arial"/>
                <w:sz w:val="21"/>
              </w:rPr>
            </w:pPr>
          </w:p>
          <w:p w14:paraId="5982EB21">
            <w:pPr>
              <w:pStyle w:val="8"/>
              <w:spacing w:before="59" w:line="182" w:lineRule="auto"/>
              <w:ind w:left="225"/>
              <w:rPr>
                <w:rFonts w:hint="eastAsia" w:eastAsia="宋体"/>
                <w:lang w:eastAsia="zh-CN"/>
              </w:rPr>
            </w:pPr>
            <w:r>
              <w:rPr>
                <w:spacing w:val="-6"/>
              </w:rPr>
              <w:t>7</w:t>
            </w:r>
            <w:r>
              <w:rPr>
                <w:rFonts w:hint="eastAsia"/>
                <w:spacing w:val="-6"/>
                <w:lang w:val="en-US" w:eastAsia="zh-CN"/>
              </w:rPr>
              <w:t>6</w:t>
            </w:r>
          </w:p>
        </w:tc>
        <w:tc>
          <w:tcPr>
            <w:tcW w:w="1101" w:type="dxa"/>
            <w:vAlign w:val="top"/>
          </w:tcPr>
          <w:p w14:paraId="4B8FA350">
            <w:pPr>
              <w:spacing w:line="286" w:lineRule="auto"/>
              <w:rPr>
                <w:rFonts w:ascii="Arial"/>
                <w:sz w:val="21"/>
              </w:rPr>
            </w:pPr>
          </w:p>
          <w:p w14:paraId="2C240DAD">
            <w:pPr>
              <w:spacing w:line="286" w:lineRule="auto"/>
              <w:rPr>
                <w:rFonts w:ascii="Arial"/>
                <w:sz w:val="21"/>
              </w:rPr>
            </w:pPr>
          </w:p>
          <w:p w14:paraId="40AB6B5C">
            <w:pPr>
              <w:pStyle w:val="8"/>
              <w:spacing w:before="59"/>
              <w:ind w:left="18" w:right="20"/>
              <w:jc w:val="both"/>
            </w:pPr>
            <w:r>
              <w:rPr>
                <w:spacing w:val="-6"/>
              </w:rPr>
              <w:t>对危害城市公</w:t>
            </w:r>
            <w:r>
              <w:rPr>
                <w:spacing w:val="2"/>
              </w:rPr>
              <w:t xml:space="preserve"> </w:t>
            </w:r>
            <w:r>
              <w:rPr>
                <w:spacing w:val="-6"/>
              </w:rPr>
              <w:t>共汽电车客运</w:t>
            </w:r>
            <w:r>
              <w:rPr>
                <w:spacing w:val="2"/>
              </w:rPr>
              <w:t xml:space="preserve"> </w:t>
            </w:r>
            <w:r>
              <w:rPr>
                <w:spacing w:val="-6"/>
              </w:rPr>
              <w:t>服务设施行为</w:t>
            </w:r>
            <w:r>
              <w:rPr>
                <w:spacing w:val="2"/>
              </w:rPr>
              <w:t xml:space="preserve"> </w:t>
            </w:r>
            <w:r>
              <w:rPr>
                <w:spacing w:val="-7"/>
              </w:rPr>
              <w:t>的行政处罚</w:t>
            </w:r>
          </w:p>
        </w:tc>
        <w:tc>
          <w:tcPr>
            <w:tcW w:w="1101" w:type="dxa"/>
            <w:vAlign w:val="top"/>
          </w:tcPr>
          <w:p w14:paraId="740C4F85">
            <w:pPr>
              <w:spacing w:line="310" w:lineRule="auto"/>
              <w:rPr>
                <w:rFonts w:ascii="Arial"/>
                <w:sz w:val="21"/>
              </w:rPr>
            </w:pPr>
          </w:p>
          <w:p w14:paraId="283403FB">
            <w:pPr>
              <w:spacing w:line="310" w:lineRule="auto"/>
              <w:rPr>
                <w:rFonts w:ascii="Arial"/>
                <w:sz w:val="21"/>
              </w:rPr>
            </w:pPr>
          </w:p>
          <w:p w14:paraId="749109BC">
            <w:pPr>
              <w:spacing w:line="311" w:lineRule="auto"/>
              <w:rPr>
                <w:rFonts w:ascii="Arial"/>
                <w:sz w:val="21"/>
              </w:rPr>
            </w:pPr>
          </w:p>
          <w:p w14:paraId="3E20221D">
            <w:pPr>
              <w:pStyle w:val="8"/>
              <w:spacing w:before="59" w:line="220" w:lineRule="auto"/>
              <w:ind w:left="25"/>
            </w:pPr>
            <w:r>
              <w:rPr>
                <w:spacing w:val="-7"/>
              </w:rPr>
              <w:t>行政处罚</w:t>
            </w:r>
          </w:p>
        </w:tc>
        <w:tc>
          <w:tcPr>
            <w:tcW w:w="8524" w:type="dxa"/>
            <w:vAlign w:val="top"/>
          </w:tcPr>
          <w:p w14:paraId="5C454242">
            <w:pPr>
              <w:pStyle w:val="8"/>
              <w:spacing w:before="35" w:line="219" w:lineRule="auto"/>
              <w:ind w:left="451"/>
            </w:pPr>
            <w:r>
              <w:rPr>
                <w:b/>
                <w:bCs/>
                <w:spacing w:val="-8"/>
              </w:rPr>
              <w:t>《城市公共汽车和电车客运管理规定》(交</w:t>
            </w:r>
            <w:r>
              <w:rPr>
                <w:b/>
                <w:bCs/>
                <w:spacing w:val="-9"/>
              </w:rPr>
              <w:t>通运输部令2017年第5号)</w:t>
            </w:r>
          </w:p>
          <w:p w14:paraId="6A16A685">
            <w:pPr>
              <w:pStyle w:val="8"/>
              <w:spacing w:before="26" w:line="241" w:lineRule="auto"/>
              <w:ind w:left="102" w:right="150" w:firstLine="343"/>
              <w:jc w:val="both"/>
            </w:pPr>
            <w:r>
              <w:rPr>
                <w:spacing w:val="-7"/>
              </w:rPr>
              <w:t>第五十四条</w:t>
            </w:r>
            <w:r>
              <w:rPr>
                <w:spacing w:val="73"/>
              </w:rPr>
              <w:t xml:space="preserve"> </w:t>
            </w:r>
            <w:r>
              <w:rPr>
                <w:spacing w:val="-7"/>
              </w:rPr>
              <w:t>任何单位和个人都有保护城市公共汽电车客运服务设施</w:t>
            </w:r>
            <w:r>
              <w:rPr>
                <w:spacing w:val="-8"/>
              </w:rPr>
              <w:t>的义务，不得有下列行为</w:t>
            </w:r>
            <w:r>
              <w:rPr>
                <w:spacing w:val="-22"/>
              </w:rPr>
              <w:t>：（</w:t>
            </w:r>
            <w:r>
              <w:rPr>
                <w:spacing w:val="-8"/>
              </w:rPr>
              <w:t>一）破</w:t>
            </w:r>
            <w:r>
              <w:t xml:space="preserve"> </w:t>
            </w:r>
            <w:r>
              <w:rPr>
                <w:spacing w:val="-7"/>
              </w:rPr>
              <w:t>坏、盗窃城市公共汽电车车辆、设施设备</w:t>
            </w:r>
            <w:r>
              <w:rPr>
                <w:spacing w:val="-21"/>
              </w:rPr>
              <w:t>；（</w:t>
            </w:r>
            <w:r>
              <w:rPr>
                <w:spacing w:val="-7"/>
              </w:rPr>
              <w:t>二）擅自关</w:t>
            </w:r>
            <w:r>
              <w:rPr>
                <w:spacing w:val="-8"/>
              </w:rPr>
              <w:t>闭、侵占、拆除城市公共汽电车客运服务设施或者挪</w:t>
            </w:r>
            <w:r>
              <w:rPr>
                <w:spacing w:val="1"/>
              </w:rPr>
              <w:t xml:space="preserve"> </w:t>
            </w:r>
            <w:r>
              <w:rPr>
                <w:spacing w:val="-7"/>
              </w:rPr>
              <w:t>作他用</w:t>
            </w:r>
            <w:r>
              <w:rPr>
                <w:spacing w:val="-21"/>
              </w:rPr>
              <w:t>；（</w:t>
            </w:r>
            <w:r>
              <w:rPr>
                <w:spacing w:val="-7"/>
              </w:rPr>
              <w:t>三）损坏、覆盖电车供电设施及其保护标识，</w:t>
            </w:r>
            <w:r>
              <w:rPr>
                <w:spacing w:val="-8"/>
              </w:rPr>
              <w:t>在电车架线杆、馈线安全保护范围内修建建筑物、构</w:t>
            </w:r>
            <w:r>
              <w:rPr>
                <w:spacing w:val="1"/>
              </w:rPr>
              <w:t xml:space="preserve"> </w:t>
            </w:r>
            <w:r>
              <w:rPr>
                <w:spacing w:val="-7"/>
              </w:rPr>
              <w:t>筑物或者堆放、悬挂物品，搭设管线、电（光）缆等</w:t>
            </w:r>
            <w:r>
              <w:rPr>
                <w:spacing w:val="-22"/>
              </w:rPr>
              <w:t>；（</w:t>
            </w:r>
            <w:r>
              <w:rPr>
                <w:spacing w:val="-7"/>
              </w:rPr>
              <w:t>四）</w:t>
            </w:r>
            <w:r>
              <w:rPr>
                <w:spacing w:val="-8"/>
              </w:rPr>
              <w:t>擅自覆盖、涂改、污损、毁坏或者迁移、拆除站</w:t>
            </w:r>
            <w:r>
              <w:rPr>
                <w:spacing w:val="1"/>
              </w:rPr>
              <w:t xml:space="preserve"> </w:t>
            </w:r>
            <w:r>
              <w:rPr>
                <w:spacing w:val="-7"/>
              </w:rPr>
              <w:t>牌</w:t>
            </w:r>
            <w:r>
              <w:rPr>
                <w:spacing w:val="-19"/>
              </w:rPr>
              <w:t>；（</w:t>
            </w:r>
            <w:r>
              <w:rPr>
                <w:spacing w:val="-7"/>
              </w:rPr>
              <w:t>五）其他影响城市公共汽电车客运服务设施功能和安全的行为。</w:t>
            </w:r>
          </w:p>
          <w:p w14:paraId="4381E07A">
            <w:pPr>
              <w:pStyle w:val="8"/>
              <w:spacing w:before="26" w:line="231" w:lineRule="auto"/>
              <w:ind w:left="104" w:right="150" w:firstLine="341"/>
              <w:jc w:val="both"/>
            </w:pPr>
            <w:r>
              <w:rPr>
                <w:spacing w:val="-8"/>
              </w:rPr>
              <w:t>第六十六条</w:t>
            </w:r>
            <w:r>
              <w:rPr>
                <w:spacing w:val="74"/>
              </w:rPr>
              <w:t xml:space="preserve"> </w:t>
            </w:r>
            <w:r>
              <w:rPr>
                <w:spacing w:val="-8"/>
              </w:rPr>
              <w:t>违反本规定第五十四条，有危害城市公共汽电车客运服务设施行为的，由城市公共交通主管</w:t>
            </w:r>
            <w:r>
              <w:t xml:space="preserve"> </w:t>
            </w:r>
            <w:r>
              <w:rPr>
                <w:spacing w:val="-7"/>
              </w:rPr>
              <w:t>部门责令改正，对损坏的设施依法赔偿，并对个人处1000元</w:t>
            </w:r>
            <w:r>
              <w:rPr>
                <w:spacing w:val="-8"/>
              </w:rPr>
              <w:t>以下的罚款，对单位处5000以下的罚款。构成犯罪</w:t>
            </w:r>
            <w:r>
              <w:t xml:space="preserve"> </w:t>
            </w:r>
            <w:r>
              <w:rPr>
                <w:spacing w:val="-8"/>
              </w:rPr>
              <w:t>的，依法追究刑事责任。</w:t>
            </w:r>
          </w:p>
        </w:tc>
        <w:tc>
          <w:tcPr>
            <w:tcW w:w="1011" w:type="dxa"/>
            <w:vAlign w:val="top"/>
          </w:tcPr>
          <w:p w14:paraId="177DFC1A">
            <w:pPr>
              <w:spacing w:line="270" w:lineRule="auto"/>
              <w:rPr>
                <w:rFonts w:ascii="Arial"/>
                <w:sz w:val="21"/>
              </w:rPr>
            </w:pPr>
          </w:p>
          <w:p w14:paraId="017A75AD">
            <w:pPr>
              <w:spacing w:line="271" w:lineRule="auto"/>
              <w:rPr>
                <w:rFonts w:ascii="Arial"/>
                <w:sz w:val="21"/>
              </w:rPr>
            </w:pPr>
          </w:p>
          <w:p w14:paraId="367DEA9E">
            <w:pPr>
              <w:spacing w:line="271" w:lineRule="auto"/>
              <w:rPr>
                <w:rFonts w:ascii="Arial"/>
                <w:sz w:val="21"/>
              </w:rPr>
            </w:pPr>
          </w:p>
          <w:p w14:paraId="0553D2A5">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20598E26">
            <w:pPr>
              <w:spacing w:line="270" w:lineRule="auto"/>
              <w:rPr>
                <w:rFonts w:ascii="Arial"/>
                <w:sz w:val="21"/>
              </w:rPr>
            </w:pPr>
          </w:p>
          <w:p w14:paraId="0F18372B">
            <w:pPr>
              <w:spacing w:line="271" w:lineRule="auto"/>
              <w:rPr>
                <w:rFonts w:ascii="Arial"/>
                <w:sz w:val="21"/>
              </w:rPr>
            </w:pPr>
          </w:p>
          <w:p w14:paraId="1169354B">
            <w:pPr>
              <w:spacing w:line="271" w:lineRule="auto"/>
              <w:rPr>
                <w:rFonts w:ascii="Arial"/>
                <w:sz w:val="21"/>
              </w:rPr>
            </w:pPr>
          </w:p>
          <w:p w14:paraId="05AA50E1">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C750AD0">
            <w:pPr>
              <w:spacing w:line="287" w:lineRule="auto"/>
              <w:rPr>
                <w:rFonts w:ascii="Arial"/>
                <w:sz w:val="21"/>
              </w:rPr>
            </w:pPr>
          </w:p>
          <w:p w14:paraId="49C07061">
            <w:pPr>
              <w:spacing w:line="288" w:lineRule="auto"/>
              <w:rPr>
                <w:rFonts w:ascii="Arial"/>
                <w:sz w:val="21"/>
              </w:rPr>
            </w:pPr>
          </w:p>
          <w:p w14:paraId="4C5FA1CA">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43604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9" w:hRule="atLeast"/>
        </w:trPr>
        <w:tc>
          <w:tcPr>
            <w:tcW w:w="629" w:type="dxa"/>
            <w:vAlign w:val="top"/>
          </w:tcPr>
          <w:p w14:paraId="0DB4171B">
            <w:pPr>
              <w:spacing w:line="245" w:lineRule="auto"/>
              <w:rPr>
                <w:rFonts w:ascii="Arial"/>
                <w:sz w:val="21"/>
              </w:rPr>
            </w:pPr>
          </w:p>
          <w:p w14:paraId="076B2846">
            <w:pPr>
              <w:spacing w:line="245" w:lineRule="auto"/>
              <w:rPr>
                <w:rFonts w:ascii="Arial"/>
                <w:sz w:val="21"/>
              </w:rPr>
            </w:pPr>
          </w:p>
          <w:p w14:paraId="1D1C21A2">
            <w:pPr>
              <w:spacing w:line="245" w:lineRule="auto"/>
              <w:rPr>
                <w:rFonts w:ascii="Arial"/>
                <w:sz w:val="21"/>
              </w:rPr>
            </w:pPr>
          </w:p>
          <w:p w14:paraId="215F91D9">
            <w:pPr>
              <w:spacing w:line="245" w:lineRule="auto"/>
              <w:rPr>
                <w:rFonts w:ascii="Arial"/>
                <w:sz w:val="21"/>
              </w:rPr>
            </w:pPr>
          </w:p>
          <w:p w14:paraId="7C949DAB">
            <w:pPr>
              <w:spacing w:line="246" w:lineRule="auto"/>
              <w:rPr>
                <w:rFonts w:ascii="Arial"/>
                <w:sz w:val="21"/>
              </w:rPr>
            </w:pPr>
          </w:p>
          <w:p w14:paraId="34C6DF2E">
            <w:pPr>
              <w:spacing w:line="246" w:lineRule="auto"/>
              <w:rPr>
                <w:rFonts w:ascii="Arial"/>
                <w:sz w:val="21"/>
              </w:rPr>
            </w:pPr>
          </w:p>
          <w:p w14:paraId="7D09442E">
            <w:pPr>
              <w:spacing w:line="246" w:lineRule="auto"/>
              <w:rPr>
                <w:rFonts w:ascii="Arial"/>
                <w:sz w:val="21"/>
              </w:rPr>
            </w:pPr>
          </w:p>
          <w:p w14:paraId="6BBCD0AE">
            <w:pPr>
              <w:pStyle w:val="8"/>
              <w:spacing w:before="58" w:line="183" w:lineRule="auto"/>
              <w:ind w:left="225"/>
              <w:rPr>
                <w:rFonts w:hint="eastAsia" w:eastAsia="宋体"/>
                <w:lang w:eastAsia="zh-CN"/>
              </w:rPr>
            </w:pPr>
            <w:r>
              <w:rPr>
                <w:spacing w:val="-6"/>
              </w:rPr>
              <w:t>7</w:t>
            </w:r>
            <w:r>
              <w:rPr>
                <w:rFonts w:hint="eastAsia"/>
                <w:spacing w:val="-6"/>
                <w:lang w:val="en-US" w:eastAsia="zh-CN"/>
              </w:rPr>
              <w:t>7</w:t>
            </w:r>
          </w:p>
        </w:tc>
        <w:tc>
          <w:tcPr>
            <w:tcW w:w="1101" w:type="dxa"/>
            <w:vAlign w:val="top"/>
          </w:tcPr>
          <w:p w14:paraId="0CB1A1A6">
            <w:pPr>
              <w:spacing w:line="273" w:lineRule="auto"/>
              <w:rPr>
                <w:rFonts w:ascii="Arial"/>
                <w:sz w:val="21"/>
              </w:rPr>
            </w:pPr>
          </w:p>
          <w:p w14:paraId="60D28B05">
            <w:pPr>
              <w:spacing w:line="273" w:lineRule="auto"/>
              <w:rPr>
                <w:rFonts w:ascii="Arial"/>
                <w:sz w:val="21"/>
              </w:rPr>
            </w:pPr>
          </w:p>
          <w:p w14:paraId="5ED7F081">
            <w:pPr>
              <w:spacing w:line="273" w:lineRule="auto"/>
              <w:rPr>
                <w:rFonts w:ascii="Arial"/>
                <w:sz w:val="21"/>
              </w:rPr>
            </w:pPr>
          </w:p>
          <w:p w14:paraId="70627100">
            <w:pPr>
              <w:spacing w:line="273" w:lineRule="auto"/>
              <w:rPr>
                <w:rFonts w:ascii="Arial"/>
                <w:sz w:val="21"/>
              </w:rPr>
            </w:pPr>
          </w:p>
          <w:p w14:paraId="74D407CC">
            <w:pPr>
              <w:pStyle w:val="8"/>
              <w:spacing w:before="59" w:line="242" w:lineRule="auto"/>
              <w:ind w:left="18" w:right="20"/>
              <w:jc w:val="both"/>
            </w:pPr>
            <w:r>
              <w:rPr>
                <w:spacing w:val="-6"/>
              </w:rPr>
              <w:t>对城市轨道交</w:t>
            </w:r>
            <w:r>
              <w:rPr>
                <w:spacing w:val="2"/>
              </w:rPr>
              <w:t xml:space="preserve"> </w:t>
            </w:r>
            <w:r>
              <w:rPr>
                <w:spacing w:val="29"/>
              </w:rPr>
              <w:t>通工程项目</w:t>
            </w:r>
            <w:r>
              <w:rPr>
                <w:spacing w:val="1"/>
              </w:rPr>
              <w:t xml:space="preserve"> </w:t>
            </w:r>
            <w:r>
              <w:t>（含</w:t>
            </w:r>
            <w:r>
              <w:rPr>
                <w:spacing w:val="-40"/>
              </w:rPr>
              <w:t xml:space="preserve"> </w:t>
            </w:r>
            <w:r>
              <w:t>甩</w:t>
            </w:r>
            <w:r>
              <w:rPr>
                <w:spacing w:val="-42"/>
              </w:rPr>
              <w:t xml:space="preserve"> </w:t>
            </w:r>
            <w:r>
              <w:t>项</w:t>
            </w:r>
            <w:r>
              <w:rPr>
                <w:spacing w:val="-42"/>
              </w:rPr>
              <w:t xml:space="preserve"> </w:t>
            </w:r>
            <w:r>
              <w:t xml:space="preserve">工 </w:t>
            </w:r>
            <w:r>
              <w:rPr>
                <w:spacing w:val="-6"/>
              </w:rPr>
              <w:t>程）未经安全</w:t>
            </w:r>
            <w:r>
              <w:rPr>
                <w:spacing w:val="2"/>
              </w:rPr>
              <w:t xml:space="preserve"> </w:t>
            </w:r>
            <w:r>
              <w:rPr>
                <w:spacing w:val="-6"/>
              </w:rPr>
              <w:t>评估投入运营</w:t>
            </w:r>
            <w:r>
              <w:rPr>
                <w:spacing w:val="2"/>
              </w:rPr>
              <w:t xml:space="preserve"> </w:t>
            </w:r>
            <w:r>
              <w:rPr>
                <w:spacing w:val="-7"/>
              </w:rPr>
              <w:t>的行政处罚</w:t>
            </w:r>
          </w:p>
        </w:tc>
        <w:tc>
          <w:tcPr>
            <w:tcW w:w="1101" w:type="dxa"/>
            <w:vAlign w:val="top"/>
          </w:tcPr>
          <w:p w14:paraId="666DA074">
            <w:pPr>
              <w:spacing w:line="241" w:lineRule="auto"/>
              <w:rPr>
                <w:rFonts w:ascii="Arial"/>
                <w:sz w:val="21"/>
              </w:rPr>
            </w:pPr>
          </w:p>
          <w:p w14:paraId="74170D38">
            <w:pPr>
              <w:spacing w:line="241" w:lineRule="auto"/>
              <w:rPr>
                <w:rFonts w:ascii="Arial"/>
                <w:sz w:val="21"/>
              </w:rPr>
            </w:pPr>
          </w:p>
          <w:p w14:paraId="22E91966">
            <w:pPr>
              <w:spacing w:line="241" w:lineRule="auto"/>
              <w:rPr>
                <w:rFonts w:ascii="Arial"/>
                <w:sz w:val="21"/>
              </w:rPr>
            </w:pPr>
          </w:p>
          <w:p w14:paraId="0E2E776A">
            <w:pPr>
              <w:spacing w:line="241" w:lineRule="auto"/>
              <w:rPr>
                <w:rFonts w:ascii="Arial"/>
                <w:sz w:val="21"/>
              </w:rPr>
            </w:pPr>
          </w:p>
          <w:p w14:paraId="17F60713">
            <w:pPr>
              <w:spacing w:line="241" w:lineRule="auto"/>
              <w:rPr>
                <w:rFonts w:ascii="Arial"/>
                <w:sz w:val="21"/>
              </w:rPr>
            </w:pPr>
          </w:p>
          <w:p w14:paraId="06FB50DA">
            <w:pPr>
              <w:spacing w:line="242" w:lineRule="auto"/>
              <w:rPr>
                <w:rFonts w:ascii="Arial"/>
                <w:sz w:val="21"/>
              </w:rPr>
            </w:pPr>
          </w:p>
          <w:p w14:paraId="0A3AE951">
            <w:pPr>
              <w:spacing w:line="242" w:lineRule="auto"/>
              <w:rPr>
                <w:rFonts w:ascii="Arial"/>
                <w:sz w:val="21"/>
              </w:rPr>
            </w:pPr>
          </w:p>
          <w:p w14:paraId="628C9F62">
            <w:pPr>
              <w:pStyle w:val="8"/>
              <w:spacing w:before="59" w:line="220" w:lineRule="auto"/>
              <w:ind w:left="25"/>
            </w:pPr>
            <w:r>
              <w:rPr>
                <w:spacing w:val="-7"/>
              </w:rPr>
              <w:t>行政处罚</w:t>
            </w:r>
          </w:p>
        </w:tc>
        <w:tc>
          <w:tcPr>
            <w:tcW w:w="8524" w:type="dxa"/>
            <w:vAlign w:val="top"/>
          </w:tcPr>
          <w:p w14:paraId="0FD6A748">
            <w:pPr>
              <w:pStyle w:val="8"/>
              <w:spacing w:before="30" w:line="219" w:lineRule="auto"/>
              <w:ind w:left="451"/>
            </w:pPr>
            <w:r>
              <w:rPr>
                <w:b/>
                <w:bCs/>
                <w:spacing w:val="-8"/>
              </w:rPr>
              <w:t>《城市轨道交通运营管理规定》(交通运输</w:t>
            </w:r>
            <w:r>
              <w:rPr>
                <w:b/>
                <w:bCs/>
                <w:spacing w:val="-9"/>
              </w:rPr>
              <w:t>部令2018年第8号)</w:t>
            </w:r>
          </w:p>
          <w:p w14:paraId="4E278609">
            <w:pPr>
              <w:pStyle w:val="8"/>
              <w:spacing w:before="16" w:line="226" w:lineRule="auto"/>
              <w:ind w:left="102" w:right="158" w:firstLine="342"/>
            </w:pPr>
            <w:r>
              <w:rPr>
                <w:spacing w:val="-8"/>
              </w:rPr>
              <w:t>第十条</w:t>
            </w:r>
            <w:r>
              <w:rPr>
                <w:spacing w:val="75"/>
              </w:rPr>
              <w:t xml:space="preserve"> </w:t>
            </w:r>
            <w:r>
              <w:rPr>
                <w:spacing w:val="-8"/>
              </w:rPr>
              <w:t>城市轨道交通工程项目验收合格后，由城市轨道交通运营主管部门组织初期运营前安全评估。通</w:t>
            </w:r>
            <w:r>
              <w:t xml:space="preserve"> </w:t>
            </w:r>
            <w:r>
              <w:rPr>
                <w:spacing w:val="-8"/>
              </w:rPr>
              <w:t>过初期运营前安全评估的，方可依法办理初期运营手续。</w:t>
            </w:r>
          </w:p>
          <w:p w14:paraId="0667F9C5">
            <w:pPr>
              <w:pStyle w:val="8"/>
              <w:spacing w:before="17" w:line="228" w:lineRule="auto"/>
              <w:ind w:left="102" w:right="150" w:firstLine="341"/>
            </w:pPr>
            <w:r>
              <w:rPr>
                <w:spacing w:val="-8"/>
              </w:rPr>
              <w:t>初期运营期间，运营单位应当按照设计标准和技术规范，对土建工程、设施设备、系统集成的运行状况和</w:t>
            </w:r>
            <w:r>
              <w:t xml:space="preserve"> </w:t>
            </w:r>
            <w:r>
              <w:rPr>
                <w:spacing w:val="-8"/>
              </w:rPr>
              <w:t>质量进行监控，发现存在问题或者安全隐患的</w:t>
            </w:r>
            <w:r>
              <w:rPr>
                <w:spacing w:val="-9"/>
              </w:rPr>
              <w:t>，应当要求相关责任单位按照有关规定或者合同约定及时处理。</w:t>
            </w:r>
          </w:p>
          <w:p w14:paraId="7956F0AD">
            <w:pPr>
              <w:pStyle w:val="8"/>
              <w:spacing w:before="18" w:line="231" w:lineRule="auto"/>
              <w:ind w:left="102" w:right="150" w:firstLine="343"/>
            </w:pPr>
            <w:r>
              <w:rPr>
                <w:spacing w:val="-8"/>
              </w:rPr>
              <w:t>第十一条</w:t>
            </w:r>
            <w:r>
              <w:rPr>
                <w:spacing w:val="74"/>
              </w:rPr>
              <w:t xml:space="preserve"> </w:t>
            </w:r>
            <w:r>
              <w:rPr>
                <w:spacing w:val="-8"/>
              </w:rPr>
              <w:t>城市轨道交通线路初期运营期满一年，运营单位应当向城市轨道交通运营主管部门报送初期运</w:t>
            </w:r>
            <w:r>
              <w:t xml:space="preserve"> </w:t>
            </w:r>
            <w:r>
              <w:rPr>
                <w:spacing w:val="-8"/>
              </w:rPr>
              <w:t>营报告，并由城市轨道交通运营主管部门组织正式运营前安全评估。通过安全评估的，方可依法办理正式</w:t>
            </w:r>
            <w:r>
              <w:rPr>
                <w:spacing w:val="-9"/>
              </w:rPr>
              <w:t>运营</w:t>
            </w:r>
            <w:r>
              <w:t xml:space="preserve"> </w:t>
            </w:r>
            <w:r>
              <w:rPr>
                <w:spacing w:val="-8"/>
              </w:rPr>
              <w:t>手续。对安全评估中发现的问题，城市轨道交通运营主管部门应当报告城市人民政府，同时通告有关责任</w:t>
            </w:r>
            <w:r>
              <w:rPr>
                <w:spacing w:val="-9"/>
              </w:rPr>
              <w:t>单位</w:t>
            </w:r>
            <w:r>
              <w:t xml:space="preserve"> </w:t>
            </w:r>
            <w:r>
              <w:rPr>
                <w:spacing w:val="-7"/>
              </w:rPr>
              <w:t>要求限期整改。</w:t>
            </w:r>
          </w:p>
          <w:p w14:paraId="05ED2454">
            <w:pPr>
              <w:pStyle w:val="8"/>
              <w:spacing w:before="16" w:line="232" w:lineRule="auto"/>
              <w:ind w:left="102" w:right="150" w:firstLine="343"/>
              <w:jc w:val="both"/>
            </w:pPr>
            <w:r>
              <w:rPr>
                <w:spacing w:val="-8"/>
              </w:rPr>
              <w:t>开通初期运营的城市轨道交通线路有甩项工程的，甩项工程完工并验收合格后，应当通过城市轨道交通运</w:t>
            </w:r>
            <w:r>
              <w:t xml:space="preserve"> </w:t>
            </w:r>
            <w:r>
              <w:rPr>
                <w:spacing w:val="-8"/>
              </w:rPr>
              <w:t>营主管部门组织的安全评估，方可投入使用。受客观条件限制难以完成甩项工程的，运营单位应当督促建</w:t>
            </w:r>
            <w:r>
              <w:rPr>
                <w:spacing w:val="-9"/>
              </w:rPr>
              <w:t>设单</w:t>
            </w:r>
            <w:r>
              <w:t xml:space="preserve"> </w:t>
            </w:r>
            <w:r>
              <w:rPr>
                <w:spacing w:val="-8"/>
              </w:rPr>
              <w:t>位与设计单位履行设计变更手续。全部甩项工程投入使用或者履行设计变更手续后，城市轨道交通工程项</w:t>
            </w:r>
            <w:r>
              <w:rPr>
                <w:spacing w:val="-9"/>
              </w:rPr>
              <w:t>目方</w:t>
            </w:r>
            <w:r>
              <w:t xml:space="preserve"> </w:t>
            </w:r>
            <w:r>
              <w:rPr>
                <w:spacing w:val="-8"/>
              </w:rPr>
              <w:t>可依法办理正式运营手续。</w:t>
            </w:r>
          </w:p>
          <w:p w14:paraId="4D0866BC">
            <w:pPr>
              <w:pStyle w:val="8"/>
              <w:spacing w:before="19" w:line="221" w:lineRule="auto"/>
              <w:ind w:left="103" w:right="150" w:firstLine="341"/>
              <w:jc w:val="both"/>
            </w:pPr>
            <w:r>
              <w:rPr>
                <w:spacing w:val="-8"/>
              </w:rPr>
              <w:t>第四十八条</w:t>
            </w:r>
            <w:r>
              <w:rPr>
                <w:spacing w:val="74"/>
              </w:rPr>
              <w:t xml:space="preserve"> </w:t>
            </w:r>
            <w:r>
              <w:rPr>
                <w:spacing w:val="-8"/>
              </w:rPr>
              <w:t>违反本规定第十条、第十一条，城市轨道交通工程项目（含甩项工程）未经安全评估投入运</w:t>
            </w:r>
            <w:r>
              <w:t xml:space="preserve"> </w:t>
            </w:r>
            <w:r>
              <w:rPr>
                <w:spacing w:val="-8"/>
              </w:rPr>
              <w:t>营的，由城市轨道交通运营主管部门责令限期整改，并对运营单位处以2万元以上3万元以下的罚款，同时对其</w:t>
            </w:r>
            <w:r>
              <w:rPr>
                <w:spacing w:val="5"/>
              </w:rPr>
              <w:t xml:space="preserve"> </w:t>
            </w:r>
            <w:r>
              <w:rPr>
                <w:spacing w:val="-8"/>
              </w:rPr>
              <w:t>主要负责人处以1万元以下的罚款；有严重安全隐患的，城市轨道交通运营主管部门应当责令暂停运营。</w:t>
            </w:r>
          </w:p>
        </w:tc>
        <w:tc>
          <w:tcPr>
            <w:tcW w:w="1011" w:type="dxa"/>
            <w:vAlign w:val="top"/>
          </w:tcPr>
          <w:p w14:paraId="25EEE828">
            <w:pPr>
              <w:spacing w:line="261" w:lineRule="auto"/>
              <w:rPr>
                <w:rFonts w:ascii="Arial"/>
                <w:sz w:val="21"/>
              </w:rPr>
            </w:pPr>
          </w:p>
          <w:p w14:paraId="73690EFE">
            <w:pPr>
              <w:spacing w:line="261" w:lineRule="auto"/>
              <w:rPr>
                <w:rFonts w:ascii="Arial"/>
                <w:sz w:val="21"/>
              </w:rPr>
            </w:pPr>
          </w:p>
          <w:p w14:paraId="5DBC1D40">
            <w:pPr>
              <w:spacing w:line="262" w:lineRule="auto"/>
              <w:rPr>
                <w:rFonts w:ascii="Arial"/>
                <w:sz w:val="21"/>
              </w:rPr>
            </w:pPr>
          </w:p>
          <w:p w14:paraId="051F4BE6">
            <w:pPr>
              <w:spacing w:line="262" w:lineRule="auto"/>
              <w:rPr>
                <w:rFonts w:ascii="Arial"/>
                <w:sz w:val="21"/>
              </w:rPr>
            </w:pPr>
          </w:p>
          <w:p w14:paraId="007516E8">
            <w:pPr>
              <w:spacing w:line="262" w:lineRule="auto"/>
              <w:rPr>
                <w:rFonts w:ascii="Arial"/>
                <w:sz w:val="21"/>
              </w:rPr>
            </w:pPr>
          </w:p>
          <w:p w14:paraId="1BD32092">
            <w:pPr>
              <w:spacing w:line="262" w:lineRule="auto"/>
              <w:rPr>
                <w:rFonts w:ascii="Arial"/>
                <w:sz w:val="21"/>
              </w:rPr>
            </w:pPr>
          </w:p>
          <w:p w14:paraId="7730B52A">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5B5A998">
            <w:pPr>
              <w:spacing w:line="261" w:lineRule="auto"/>
              <w:rPr>
                <w:rFonts w:ascii="Arial"/>
                <w:sz w:val="21"/>
              </w:rPr>
            </w:pPr>
          </w:p>
          <w:p w14:paraId="69A9174F">
            <w:pPr>
              <w:spacing w:line="261" w:lineRule="auto"/>
              <w:rPr>
                <w:rFonts w:ascii="Arial"/>
                <w:sz w:val="21"/>
              </w:rPr>
            </w:pPr>
          </w:p>
          <w:p w14:paraId="08C7E6F6">
            <w:pPr>
              <w:spacing w:line="262" w:lineRule="auto"/>
              <w:rPr>
                <w:rFonts w:ascii="Arial"/>
                <w:sz w:val="21"/>
              </w:rPr>
            </w:pPr>
          </w:p>
          <w:p w14:paraId="4A238BE5">
            <w:pPr>
              <w:spacing w:line="262" w:lineRule="auto"/>
              <w:rPr>
                <w:rFonts w:ascii="Arial"/>
                <w:sz w:val="21"/>
              </w:rPr>
            </w:pPr>
          </w:p>
          <w:p w14:paraId="736C387D">
            <w:pPr>
              <w:spacing w:line="262" w:lineRule="auto"/>
              <w:rPr>
                <w:rFonts w:ascii="Arial"/>
                <w:sz w:val="21"/>
              </w:rPr>
            </w:pPr>
          </w:p>
          <w:p w14:paraId="01B94BD7">
            <w:pPr>
              <w:spacing w:line="262" w:lineRule="auto"/>
              <w:rPr>
                <w:rFonts w:ascii="Arial"/>
                <w:sz w:val="21"/>
              </w:rPr>
            </w:pPr>
          </w:p>
          <w:p w14:paraId="5F772AFF">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BB8C1A2">
            <w:pPr>
              <w:spacing w:line="266" w:lineRule="auto"/>
              <w:rPr>
                <w:rFonts w:ascii="Arial"/>
                <w:sz w:val="21"/>
              </w:rPr>
            </w:pPr>
          </w:p>
          <w:p w14:paraId="5E5BD286">
            <w:pPr>
              <w:spacing w:line="266" w:lineRule="auto"/>
              <w:rPr>
                <w:rFonts w:ascii="Arial"/>
                <w:sz w:val="21"/>
              </w:rPr>
            </w:pPr>
          </w:p>
          <w:p w14:paraId="679A0EA2">
            <w:pPr>
              <w:spacing w:line="267" w:lineRule="auto"/>
              <w:rPr>
                <w:rFonts w:ascii="Arial"/>
                <w:sz w:val="21"/>
              </w:rPr>
            </w:pPr>
          </w:p>
          <w:p w14:paraId="0CD92FF8">
            <w:pPr>
              <w:spacing w:line="267" w:lineRule="auto"/>
              <w:rPr>
                <w:rFonts w:ascii="Arial"/>
                <w:sz w:val="21"/>
              </w:rPr>
            </w:pPr>
          </w:p>
          <w:p w14:paraId="5C36321D">
            <w:pPr>
              <w:spacing w:line="267" w:lineRule="auto"/>
              <w:rPr>
                <w:rFonts w:ascii="Arial"/>
                <w:sz w:val="21"/>
              </w:rPr>
            </w:pPr>
          </w:p>
          <w:p w14:paraId="3319094D">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3DB7F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88" w:hRule="atLeast"/>
        </w:trPr>
        <w:tc>
          <w:tcPr>
            <w:tcW w:w="629" w:type="dxa"/>
            <w:vAlign w:val="top"/>
          </w:tcPr>
          <w:p w14:paraId="2149CF34">
            <w:pPr>
              <w:spacing w:line="265" w:lineRule="auto"/>
              <w:rPr>
                <w:rFonts w:ascii="Arial"/>
                <w:sz w:val="21"/>
              </w:rPr>
            </w:pPr>
          </w:p>
          <w:p w14:paraId="0DDB9ABF">
            <w:pPr>
              <w:spacing w:line="265" w:lineRule="auto"/>
              <w:rPr>
                <w:rFonts w:ascii="Arial"/>
                <w:sz w:val="21"/>
              </w:rPr>
            </w:pPr>
          </w:p>
          <w:p w14:paraId="48EAA259">
            <w:pPr>
              <w:spacing w:line="265" w:lineRule="auto"/>
              <w:rPr>
                <w:rFonts w:ascii="Arial"/>
                <w:sz w:val="21"/>
              </w:rPr>
            </w:pPr>
          </w:p>
          <w:p w14:paraId="6EE87028">
            <w:pPr>
              <w:spacing w:line="265" w:lineRule="auto"/>
              <w:rPr>
                <w:rFonts w:ascii="Arial"/>
                <w:sz w:val="21"/>
              </w:rPr>
            </w:pPr>
          </w:p>
          <w:p w14:paraId="2D4FDD5E">
            <w:pPr>
              <w:spacing w:line="266" w:lineRule="auto"/>
              <w:rPr>
                <w:rFonts w:ascii="Arial"/>
                <w:sz w:val="21"/>
              </w:rPr>
            </w:pPr>
          </w:p>
          <w:p w14:paraId="4D31C0E5">
            <w:pPr>
              <w:pStyle w:val="8"/>
              <w:spacing w:before="59" w:line="183" w:lineRule="auto"/>
              <w:ind w:left="225"/>
              <w:rPr>
                <w:rFonts w:hint="eastAsia" w:eastAsia="宋体"/>
                <w:lang w:eastAsia="zh-CN"/>
              </w:rPr>
            </w:pPr>
            <w:r>
              <w:rPr>
                <w:spacing w:val="-6"/>
              </w:rPr>
              <w:t>7</w:t>
            </w:r>
            <w:r>
              <w:rPr>
                <w:rFonts w:hint="eastAsia"/>
                <w:spacing w:val="-6"/>
                <w:lang w:val="en-US" w:eastAsia="zh-CN"/>
              </w:rPr>
              <w:t>8</w:t>
            </w:r>
          </w:p>
        </w:tc>
        <w:tc>
          <w:tcPr>
            <w:tcW w:w="1101" w:type="dxa"/>
            <w:vAlign w:val="top"/>
          </w:tcPr>
          <w:p w14:paraId="31A87FF7">
            <w:pPr>
              <w:spacing w:line="273" w:lineRule="auto"/>
              <w:rPr>
                <w:rFonts w:ascii="Arial"/>
                <w:sz w:val="21"/>
              </w:rPr>
            </w:pPr>
          </w:p>
          <w:p w14:paraId="0A5CDCE5">
            <w:pPr>
              <w:spacing w:line="274" w:lineRule="auto"/>
              <w:rPr>
                <w:rFonts w:ascii="Arial"/>
                <w:sz w:val="21"/>
              </w:rPr>
            </w:pPr>
          </w:p>
          <w:p w14:paraId="126D4FBD">
            <w:pPr>
              <w:spacing w:line="274" w:lineRule="auto"/>
              <w:rPr>
                <w:rFonts w:ascii="Arial"/>
                <w:sz w:val="21"/>
              </w:rPr>
            </w:pPr>
          </w:p>
          <w:p w14:paraId="2EB17617">
            <w:pPr>
              <w:pStyle w:val="8"/>
              <w:spacing w:before="59" w:line="241" w:lineRule="auto"/>
              <w:ind w:left="18" w:right="20"/>
              <w:jc w:val="both"/>
            </w:pPr>
            <w:r>
              <w:rPr>
                <w:spacing w:val="-6"/>
              </w:rPr>
              <w:t>对城市轨道交</w:t>
            </w:r>
            <w:r>
              <w:rPr>
                <w:spacing w:val="2"/>
              </w:rPr>
              <w:t xml:space="preserve"> </w:t>
            </w:r>
            <w:r>
              <w:rPr>
                <w:spacing w:val="-6"/>
              </w:rPr>
              <w:t>通运营单位未</w:t>
            </w:r>
            <w:r>
              <w:rPr>
                <w:spacing w:val="2"/>
              </w:rPr>
              <w:t xml:space="preserve"> </w:t>
            </w:r>
            <w:r>
              <w:rPr>
                <w:spacing w:val="-6"/>
              </w:rPr>
              <w:t>全程参与试运</w:t>
            </w:r>
            <w:r>
              <w:rPr>
                <w:spacing w:val="2"/>
              </w:rPr>
              <w:t xml:space="preserve"> </w:t>
            </w:r>
            <w:r>
              <w:rPr>
                <w:spacing w:val="-6"/>
              </w:rPr>
              <w:t>行等行为的行</w:t>
            </w:r>
            <w:r>
              <w:rPr>
                <w:spacing w:val="2"/>
              </w:rPr>
              <w:t xml:space="preserve"> </w:t>
            </w:r>
            <w:r>
              <w:rPr>
                <w:spacing w:val="-5"/>
              </w:rPr>
              <w:t>政处罚</w:t>
            </w:r>
          </w:p>
        </w:tc>
        <w:tc>
          <w:tcPr>
            <w:tcW w:w="1101" w:type="dxa"/>
            <w:vAlign w:val="top"/>
          </w:tcPr>
          <w:p w14:paraId="3C3BDF6F">
            <w:pPr>
              <w:spacing w:line="259" w:lineRule="auto"/>
              <w:rPr>
                <w:rFonts w:ascii="Arial"/>
                <w:sz w:val="21"/>
              </w:rPr>
            </w:pPr>
          </w:p>
          <w:p w14:paraId="32907807">
            <w:pPr>
              <w:spacing w:line="259" w:lineRule="auto"/>
              <w:rPr>
                <w:rFonts w:ascii="Arial"/>
                <w:sz w:val="21"/>
              </w:rPr>
            </w:pPr>
          </w:p>
          <w:p w14:paraId="029BA9ED">
            <w:pPr>
              <w:spacing w:line="260" w:lineRule="auto"/>
              <w:rPr>
                <w:rFonts w:ascii="Arial"/>
                <w:sz w:val="21"/>
              </w:rPr>
            </w:pPr>
          </w:p>
          <w:p w14:paraId="1A92FFC2">
            <w:pPr>
              <w:spacing w:line="260" w:lineRule="auto"/>
              <w:rPr>
                <w:rFonts w:ascii="Arial"/>
                <w:sz w:val="21"/>
              </w:rPr>
            </w:pPr>
          </w:p>
          <w:p w14:paraId="007AEDFA">
            <w:pPr>
              <w:spacing w:line="260" w:lineRule="auto"/>
              <w:rPr>
                <w:rFonts w:ascii="Arial"/>
                <w:sz w:val="21"/>
              </w:rPr>
            </w:pPr>
          </w:p>
          <w:p w14:paraId="34FFE80E">
            <w:pPr>
              <w:pStyle w:val="8"/>
              <w:spacing w:before="58" w:line="220" w:lineRule="auto"/>
              <w:ind w:left="25"/>
            </w:pPr>
            <w:r>
              <w:rPr>
                <w:spacing w:val="-7"/>
              </w:rPr>
              <w:t>行政处罚</w:t>
            </w:r>
          </w:p>
        </w:tc>
        <w:tc>
          <w:tcPr>
            <w:tcW w:w="8524" w:type="dxa"/>
            <w:vAlign w:val="top"/>
          </w:tcPr>
          <w:p w14:paraId="1E3D88C0">
            <w:pPr>
              <w:pStyle w:val="8"/>
              <w:spacing w:before="44" w:line="219" w:lineRule="auto"/>
              <w:ind w:left="451"/>
            </w:pPr>
            <w:r>
              <w:rPr>
                <w:b/>
                <w:bCs/>
                <w:spacing w:val="-9"/>
              </w:rPr>
              <w:t>《城市轨道交通运营管理规定》（交通运输部令2018年第8号）</w:t>
            </w:r>
          </w:p>
          <w:p w14:paraId="2561F6ED">
            <w:pPr>
              <w:pStyle w:val="8"/>
              <w:spacing w:before="25" w:line="238" w:lineRule="auto"/>
              <w:ind w:left="101" w:right="150" w:firstLine="343"/>
              <w:jc w:val="both"/>
            </w:pPr>
            <w:r>
              <w:rPr>
                <w:spacing w:val="-8"/>
              </w:rPr>
              <w:t>第九条</w:t>
            </w:r>
            <w:r>
              <w:rPr>
                <w:spacing w:val="75"/>
              </w:rPr>
              <w:t xml:space="preserve"> </w:t>
            </w:r>
            <w:r>
              <w:rPr>
                <w:spacing w:val="-8"/>
              </w:rPr>
              <w:t>运营单位应当全程参与城市轨道交通工程项目按照规定开展的不载客试运行，熟悉工程设备和标</w:t>
            </w:r>
            <w:r>
              <w:t xml:space="preserve"> </w:t>
            </w:r>
            <w:r>
              <w:rPr>
                <w:spacing w:val="-8"/>
              </w:rPr>
              <w:t>准，察看系统运行的安全可靠性，发现存在质量问题和安全隐患的，应当督促城市轨道交通建设单位（以下简</w:t>
            </w:r>
            <w:r>
              <w:t xml:space="preserve"> </w:t>
            </w:r>
            <w:r>
              <w:rPr>
                <w:spacing w:val="-8"/>
              </w:rPr>
              <w:t>称建设单位）及时处理。</w:t>
            </w:r>
          </w:p>
          <w:p w14:paraId="648AF57E">
            <w:pPr>
              <w:pStyle w:val="8"/>
              <w:spacing w:before="24" w:line="233" w:lineRule="auto"/>
              <w:ind w:left="101" w:right="150" w:firstLine="343"/>
            </w:pPr>
            <w:r>
              <w:rPr>
                <w:spacing w:val="-8"/>
              </w:rPr>
              <w:t>运营单位应当在运营接管协议中明确相关土建工程、设施设备、系统集成的保修范围、保修期限和保修责</w:t>
            </w:r>
            <w:r>
              <w:t xml:space="preserve"> </w:t>
            </w:r>
            <w:r>
              <w:rPr>
                <w:spacing w:val="-8"/>
              </w:rPr>
              <w:t>任，并督促建设单位将上述内容纳入建设工程质量保修书。</w:t>
            </w:r>
          </w:p>
          <w:p w14:paraId="2EF4187A">
            <w:pPr>
              <w:pStyle w:val="8"/>
              <w:spacing w:before="26" w:line="232" w:lineRule="auto"/>
              <w:ind w:left="102" w:right="157" w:firstLine="342"/>
            </w:pPr>
            <w:r>
              <w:rPr>
                <w:spacing w:val="-8"/>
              </w:rPr>
              <w:t>第十四条</w:t>
            </w:r>
            <w:r>
              <w:rPr>
                <w:spacing w:val="74"/>
              </w:rPr>
              <w:t xml:space="preserve"> </w:t>
            </w:r>
            <w:r>
              <w:rPr>
                <w:spacing w:val="-8"/>
              </w:rPr>
              <w:t>运营单位应当按照有关规定，完善风险分级管控和隐患排查治理双重预防制度，建立风险数据</w:t>
            </w:r>
            <w:r>
              <w:t xml:space="preserve"> </w:t>
            </w:r>
            <w:r>
              <w:rPr>
                <w:spacing w:val="-8"/>
              </w:rPr>
              <w:t>库和隐患排查手册，对于可能影响安全运营的风险隐患及时整改，并向城市轨道交通运营主管部门报告。</w:t>
            </w:r>
          </w:p>
          <w:p w14:paraId="5E00103C">
            <w:pPr>
              <w:pStyle w:val="8"/>
              <w:spacing w:before="27" w:line="232" w:lineRule="auto"/>
              <w:ind w:left="105" w:right="150" w:firstLine="339"/>
            </w:pPr>
            <w:r>
              <w:rPr>
                <w:spacing w:val="-8"/>
              </w:rPr>
              <w:t>城市轨道交通运营主管部门应当建立运营重大隐患治理督办制度，督促运营单位采取安全防护措施，尽快</w:t>
            </w:r>
            <w:r>
              <w:t xml:space="preserve"> </w:t>
            </w:r>
            <w:r>
              <w:rPr>
                <w:spacing w:val="-8"/>
              </w:rPr>
              <w:t>消除重大隐患；对非运营单位原因不能及时消除的，应当报告城市人民政府依法处理。</w:t>
            </w:r>
          </w:p>
          <w:p w14:paraId="09AA9FA8">
            <w:pPr>
              <w:pStyle w:val="8"/>
              <w:spacing w:before="28" w:line="222" w:lineRule="auto"/>
              <w:ind w:left="104" w:right="189" w:firstLine="341"/>
            </w:pPr>
            <w:r>
              <w:rPr>
                <w:spacing w:val="-9"/>
              </w:rPr>
              <w:t>第十五条</w:t>
            </w:r>
            <w:r>
              <w:rPr>
                <w:spacing w:val="88"/>
              </w:rPr>
              <w:t xml:space="preserve"> </w:t>
            </w:r>
            <w:r>
              <w:rPr>
                <w:spacing w:val="-9"/>
              </w:rPr>
              <w:t>运营单位应当建立健全本单位的城市轨道交通运营设施设备定期检查、检测评估、养护维修、</w:t>
            </w:r>
            <w:r>
              <w:t xml:space="preserve"> </w:t>
            </w:r>
            <w:r>
              <w:rPr>
                <w:spacing w:val="-8"/>
              </w:rPr>
              <w:t>更新改造制度和技术管理体系，并报城市轨道交通运营主管部门备案。</w:t>
            </w:r>
          </w:p>
        </w:tc>
        <w:tc>
          <w:tcPr>
            <w:tcW w:w="1011" w:type="dxa"/>
            <w:vAlign w:val="top"/>
          </w:tcPr>
          <w:p w14:paraId="0D7B8C3A">
            <w:pPr>
              <w:spacing w:line="294" w:lineRule="auto"/>
              <w:rPr>
                <w:rFonts w:ascii="Arial"/>
                <w:sz w:val="21"/>
              </w:rPr>
            </w:pPr>
          </w:p>
          <w:p w14:paraId="6C6FEE86">
            <w:pPr>
              <w:spacing w:line="294" w:lineRule="auto"/>
              <w:rPr>
                <w:rFonts w:ascii="Arial"/>
                <w:sz w:val="21"/>
              </w:rPr>
            </w:pPr>
          </w:p>
          <w:p w14:paraId="2F52C208">
            <w:pPr>
              <w:spacing w:line="295" w:lineRule="auto"/>
              <w:rPr>
                <w:rFonts w:ascii="Arial"/>
                <w:sz w:val="21"/>
              </w:rPr>
            </w:pPr>
          </w:p>
          <w:p w14:paraId="55D8033D">
            <w:pPr>
              <w:spacing w:line="295" w:lineRule="auto"/>
              <w:rPr>
                <w:rFonts w:ascii="Arial"/>
                <w:sz w:val="21"/>
              </w:rPr>
            </w:pPr>
          </w:p>
          <w:p w14:paraId="05FD9869">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2235ADB6">
            <w:pPr>
              <w:spacing w:line="294" w:lineRule="auto"/>
              <w:rPr>
                <w:rFonts w:ascii="Arial"/>
                <w:sz w:val="21"/>
              </w:rPr>
            </w:pPr>
          </w:p>
          <w:p w14:paraId="2FD5EAE2">
            <w:pPr>
              <w:spacing w:line="294" w:lineRule="auto"/>
              <w:rPr>
                <w:rFonts w:ascii="Arial"/>
                <w:sz w:val="21"/>
              </w:rPr>
            </w:pPr>
          </w:p>
          <w:p w14:paraId="64649036">
            <w:pPr>
              <w:spacing w:line="295" w:lineRule="auto"/>
              <w:rPr>
                <w:rFonts w:ascii="Arial"/>
                <w:sz w:val="21"/>
              </w:rPr>
            </w:pPr>
          </w:p>
          <w:p w14:paraId="2EB2AB22">
            <w:pPr>
              <w:spacing w:line="295" w:lineRule="auto"/>
              <w:rPr>
                <w:rFonts w:ascii="Arial"/>
                <w:sz w:val="21"/>
              </w:rPr>
            </w:pPr>
          </w:p>
          <w:p w14:paraId="3DFF3743">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2127512">
            <w:pPr>
              <w:spacing w:line="313" w:lineRule="auto"/>
              <w:rPr>
                <w:rFonts w:ascii="Arial"/>
                <w:sz w:val="21"/>
              </w:rPr>
            </w:pPr>
          </w:p>
          <w:p w14:paraId="545B58DA">
            <w:pPr>
              <w:spacing w:line="314" w:lineRule="auto"/>
              <w:rPr>
                <w:rFonts w:ascii="Arial"/>
                <w:sz w:val="21"/>
              </w:rPr>
            </w:pPr>
          </w:p>
          <w:p w14:paraId="694A7E67">
            <w:pPr>
              <w:spacing w:line="314" w:lineRule="auto"/>
              <w:rPr>
                <w:rFonts w:ascii="Arial"/>
                <w:sz w:val="21"/>
              </w:rPr>
            </w:pPr>
          </w:p>
          <w:p w14:paraId="206884CF">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55241F44">
      <w:pPr>
        <w:pStyle w:val="2"/>
      </w:pPr>
    </w:p>
    <w:p w14:paraId="27401D06">
      <w:pPr>
        <w:sectPr>
          <w:footerReference r:id="rId57" w:type="default"/>
          <w:pgSz w:w="16839" w:h="11906"/>
          <w:pgMar w:top="1012" w:right="1016" w:bottom="966" w:left="1016" w:header="0" w:footer="768" w:gutter="0"/>
          <w:cols w:space="720" w:num="1"/>
        </w:sectPr>
      </w:pPr>
    </w:p>
    <w:p w14:paraId="621213FB">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4F26B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384B9EE4">
            <w:pPr>
              <w:pStyle w:val="8"/>
              <w:spacing w:before="273" w:line="221" w:lineRule="auto"/>
              <w:ind w:left="129"/>
            </w:pPr>
            <w:r>
              <w:rPr>
                <w:b/>
                <w:bCs/>
                <w:spacing w:val="-4"/>
              </w:rPr>
              <w:t>序号</w:t>
            </w:r>
          </w:p>
        </w:tc>
        <w:tc>
          <w:tcPr>
            <w:tcW w:w="1101" w:type="dxa"/>
            <w:vMerge w:val="restart"/>
            <w:tcBorders>
              <w:bottom w:val="nil"/>
            </w:tcBorders>
            <w:vAlign w:val="top"/>
          </w:tcPr>
          <w:p w14:paraId="69A94B29">
            <w:pPr>
              <w:pStyle w:val="8"/>
              <w:spacing w:before="274" w:line="220" w:lineRule="auto"/>
              <w:ind w:left="182"/>
            </w:pPr>
            <w:r>
              <w:rPr>
                <w:b/>
                <w:bCs/>
                <w:spacing w:val="-4"/>
              </w:rPr>
              <w:t>事项名称</w:t>
            </w:r>
          </w:p>
        </w:tc>
        <w:tc>
          <w:tcPr>
            <w:tcW w:w="1101" w:type="dxa"/>
            <w:vMerge w:val="restart"/>
            <w:tcBorders>
              <w:bottom w:val="nil"/>
            </w:tcBorders>
            <w:vAlign w:val="top"/>
          </w:tcPr>
          <w:p w14:paraId="56F47829">
            <w:pPr>
              <w:pStyle w:val="8"/>
              <w:spacing w:before="274" w:line="219" w:lineRule="auto"/>
              <w:ind w:left="183"/>
            </w:pPr>
            <w:r>
              <w:rPr>
                <w:b/>
                <w:bCs/>
                <w:spacing w:val="-4"/>
              </w:rPr>
              <w:t>职权类型</w:t>
            </w:r>
          </w:p>
        </w:tc>
        <w:tc>
          <w:tcPr>
            <w:tcW w:w="8524" w:type="dxa"/>
            <w:vMerge w:val="restart"/>
            <w:tcBorders>
              <w:bottom w:val="nil"/>
            </w:tcBorders>
            <w:vAlign w:val="top"/>
          </w:tcPr>
          <w:p w14:paraId="226E283C">
            <w:pPr>
              <w:pStyle w:val="8"/>
              <w:spacing w:before="273" w:line="219" w:lineRule="auto"/>
              <w:ind w:left="4083"/>
            </w:pPr>
            <w:r>
              <w:rPr>
                <w:b/>
                <w:bCs/>
                <w:spacing w:val="-5"/>
              </w:rPr>
              <w:t>实施依据</w:t>
            </w:r>
          </w:p>
        </w:tc>
        <w:tc>
          <w:tcPr>
            <w:tcW w:w="3435" w:type="dxa"/>
            <w:gridSpan w:val="3"/>
            <w:vAlign w:val="top"/>
          </w:tcPr>
          <w:p w14:paraId="13ADB731">
            <w:pPr>
              <w:pStyle w:val="8"/>
              <w:spacing w:before="94" w:line="220" w:lineRule="auto"/>
              <w:ind w:left="1360"/>
            </w:pPr>
            <w:r>
              <w:rPr>
                <w:b/>
                <w:bCs/>
                <w:spacing w:val="-5"/>
              </w:rPr>
              <w:t>实施主体</w:t>
            </w:r>
          </w:p>
        </w:tc>
      </w:tr>
      <w:tr w14:paraId="507C7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7BCCBE0F">
            <w:pPr>
              <w:rPr>
                <w:rFonts w:ascii="Arial"/>
                <w:sz w:val="21"/>
              </w:rPr>
            </w:pPr>
          </w:p>
        </w:tc>
        <w:tc>
          <w:tcPr>
            <w:tcW w:w="1101" w:type="dxa"/>
            <w:vMerge w:val="continue"/>
            <w:tcBorders>
              <w:top w:val="nil"/>
            </w:tcBorders>
            <w:vAlign w:val="top"/>
          </w:tcPr>
          <w:p w14:paraId="19807359">
            <w:pPr>
              <w:rPr>
                <w:rFonts w:ascii="Arial"/>
                <w:sz w:val="21"/>
              </w:rPr>
            </w:pPr>
          </w:p>
        </w:tc>
        <w:tc>
          <w:tcPr>
            <w:tcW w:w="1101" w:type="dxa"/>
            <w:vMerge w:val="continue"/>
            <w:tcBorders>
              <w:top w:val="nil"/>
            </w:tcBorders>
            <w:vAlign w:val="top"/>
          </w:tcPr>
          <w:p w14:paraId="2E0B3F86">
            <w:pPr>
              <w:rPr>
                <w:rFonts w:ascii="Arial"/>
                <w:sz w:val="21"/>
              </w:rPr>
            </w:pPr>
          </w:p>
        </w:tc>
        <w:tc>
          <w:tcPr>
            <w:tcW w:w="8524" w:type="dxa"/>
            <w:vMerge w:val="continue"/>
            <w:tcBorders>
              <w:top w:val="nil"/>
            </w:tcBorders>
            <w:vAlign w:val="top"/>
          </w:tcPr>
          <w:p w14:paraId="079FF6B6">
            <w:pPr>
              <w:rPr>
                <w:rFonts w:ascii="Arial"/>
                <w:sz w:val="21"/>
              </w:rPr>
            </w:pPr>
          </w:p>
        </w:tc>
        <w:tc>
          <w:tcPr>
            <w:tcW w:w="1011" w:type="dxa"/>
            <w:vAlign w:val="top"/>
          </w:tcPr>
          <w:p w14:paraId="61CA3561">
            <w:pPr>
              <w:pStyle w:val="8"/>
              <w:spacing w:before="85" w:line="219" w:lineRule="auto"/>
              <w:ind w:left="154"/>
            </w:pPr>
            <w:r>
              <w:rPr>
                <w:b/>
                <w:bCs/>
                <w:spacing w:val="-5"/>
              </w:rPr>
              <w:t>责任部门</w:t>
            </w:r>
          </w:p>
        </w:tc>
        <w:tc>
          <w:tcPr>
            <w:tcW w:w="1404" w:type="dxa"/>
            <w:vAlign w:val="top"/>
          </w:tcPr>
          <w:p w14:paraId="0287D992">
            <w:pPr>
              <w:pStyle w:val="8"/>
              <w:spacing w:before="85" w:line="219" w:lineRule="auto"/>
              <w:ind w:left="164"/>
            </w:pPr>
            <w:r>
              <w:rPr>
                <w:b/>
                <w:bCs/>
                <w:spacing w:val="-3"/>
              </w:rPr>
              <w:t>第一责任层级</w:t>
            </w:r>
          </w:p>
        </w:tc>
        <w:tc>
          <w:tcPr>
            <w:tcW w:w="1020" w:type="dxa"/>
            <w:vAlign w:val="top"/>
          </w:tcPr>
          <w:p w14:paraId="54A75D47">
            <w:pPr>
              <w:pStyle w:val="8"/>
              <w:spacing w:before="84" w:line="219" w:lineRule="auto"/>
              <w:ind w:left="114"/>
            </w:pPr>
            <w:r>
              <w:rPr>
                <w:b/>
                <w:bCs/>
                <w:spacing w:val="-4"/>
              </w:rPr>
              <w:t>承办机构</w:t>
            </w:r>
          </w:p>
        </w:tc>
      </w:tr>
      <w:tr w14:paraId="0C35F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6" w:hRule="atLeast"/>
        </w:trPr>
        <w:tc>
          <w:tcPr>
            <w:tcW w:w="629" w:type="dxa"/>
            <w:vAlign w:val="top"/>
          </w:tcPr>
          <w:p w14:paraId="5757B696">
            <w:pPr>
              <w:rPr>
                <w:rFonts w:ascii="Arial"/>
                <w:sz w:val="21"/>
              </w:rPr>
            </w:pPr>
          </w:p>
        </w:tc>
        <w:tc>
          <w:tcPr>
            <w:tcW w:w="1101" w:type="dxa"/>
            <w:vAlign w:val="top"/>
          </w:tcPr>
          <w:p w14:paraId="512B7C73">
            <w:pPr>
              <w:rPr>
                <w:rFonts w:ascii="Arial"/>
                <w:sz w:val="21"/>
              </w:rPr>
            </w:pPr>
          </w:p>
        </w:tc>
        <w:tc>
          <w:tcPr>
            <w:tcW w:w="1101" w:type="dxa"/>
            <w:vAlign w:val="top"/>
          </w:tcPr>
          <w:p w14:paraId="06FD9D4E">
            <w:pPr>
              <w:rPr>
                <w:rFonts w:ascii="Arial"/>
                <w:sz w:val="21"/>
              </w:rPr>
            </w:pPr>
          </w:p>
        </w:tc>
        <w:tc>
          <w:tcPr>
            <w:tcW w:w="8524" w:type="dxa"/>
            <w:vAlign w:val="top"/>
          </w:tcPr>
          <w:p w14:paraId="40C8F1FA">
            <w:pPr>
              <w:pStyle w:val="8"/>
              <w:spacing w:before="35" w:line="218" w:lineRule="auto"/>
              <w:ind w:left="445"/>
            </w:pPr>
            <w:r>
              <w:rPr>
                <w:spacing w:val="-8"/>
              </w:rPr>
              <w:t>运营单位应当对设施设备进行定期检查、检测评估，及时养护维修和更新改造，并保存记录。</w:t>
            </w:r>
          </w:p>
          <w:p w14:paraId="2664F529">
            <w:pPr>
              <w:pStyle w:val="8"/>
              <w:spacing w:before="26" w:line="233" w:lineRule="auto"/>
              <w:ind w:left="102" w:right="157" w:firstLine="343"/>
            </w:pPr>
            <w:r>
              <w:rPr>
                <w:spacing w:val="-8"/>
              </w:rPr>
              <w:t>第四十条</w:t>
            </w:r>
            <w:r>
              <w:rPr>
                <w:spacing w:val="74"/>
              </w:rPr>
              <w:t xml:space="preserve"> </w:t>
            </w:r>
            <w:r>
              <w:rPr>
                <w:spacing w:val="-8"/>
              </w:rPr>
              <w:t>城市轨道交通所在地城市及以上地方各级人民政府应当建立运营突发事件处置工作机制，明确</w:t>
            </w:r>
            <w:r>
              <w:t xml:space="preserve"> </w:t>
            </w:r>
            <w:r>
              <w:rPr>
                <w:spacing w:val="-8"/>
              </w:rPr>
              <w:t>相关部门和单位的职责分工、工作机制和处置要求，制定完善运营突发事件应急预案。</w:t>
            </w:r>
          </w:p>
          <w:p w14:paraId="5C7B8987">
            <w:pPr>
              <w:pStyle w:val="8"/>
              <w:spacing w:before="27" w:line="233" w:lineRule="auto"/>
              <w:ind w:left="101" w:right="150" w:firstLine="343"/>
            </w:pPr>
            <w:r>
              <w:rPr>
                <w:spacing w:val="-8"/>
              </w:rPr>
              <w:t>运营单位应当按照有关法规要求建立运营突发事件应急预案体系，制定综合应急预案、专项应急预案和现</w:t>
            </w:r>
            <w:r>
              <w:t xml:space="preserve"> </w:t>
            </w:r>
            <w:r>
              <w:rPr>
                <w:spacing w:val="-8"/>
              </w:rPr>
              <w:t>场处置方案。运营单位应当组织专家对专项应急预案进行评审。</w:t>
            </w:r>
          </w:p>
          <w:p w14:paraId="5015793F">
            <w:pPr>
              <w:pStyle w:val="8"/>
              <w:spacing w:before="23" w:line="238" w:lineRule="auto"/>
              <w:ind w:left="105" w:right="150" w:firstLine="354"/>
            </w:pPr>
            <w:r>
              <w:rPr>
                <w:spacing w:val="-8"/>
              </w:rPr>
              <w:t>因地震、洪涝、气象灾害等自然灾害和恐怖袭击、刑事案件等社会安全</w:t>
            </w:r>
            <w:r>
              <w:rPr>
                <w:spacing w:val="-9"/>
              </w:rPr>
              <w:t>事件以及其他因素影响或者可能影</w:t>
            </w:r>
            <w:r>
              <w:t xml:space="preserve"> </w:t>
            </w:r>
            <w:r>
              <w:rPr>
                <w:spacing w:val="-8"/>
              </w:rPr>
              <w:t>响城市轨道交通正常运营时，参照运营突发事件应急预案做好监测预警、信息报告、应急响应、后期</w:t>
            </w:r>
            <w:r>
              <w:rPr>
                <w:spacing w:val="-9"/>
              </w:rPr>
              <w:t>处置等相</w:t>
            </w:r>
            <w:r>
              <w:t xml:space="preserve"> </w:t>
            </w:r>
            <w:r>
              <w:rPr>
                <w:spacing w:val="-7"/>
              </w:rPr>
              <w:t>关应对工作。</w:t>
            </w:r>
          </w:p>
          <w:p w14:paraId="028C5432">
            <w:pPr>
              <w:pStyle w:val="8"/>
              <w:spacing w:before="25" w:line="232" w:lineRule="auto"/>
              <w:ind w:left="103" w:right="157" w:firstLine="341"/>
            </w:pPr>
            <w:r>
              <w:rPr>
                <w:spacing w:val="-8"/>
              </w:rPr>
              <w:t>第四十一条</w:t>
            </w:r>
            <w:r>
              <w:rPr>
                <w:spacing w:val="74"/>
              </w:rPr>
              <w:t xml:space="preserve"> </w:t>
            </w:r>
            <w:r>
              <w:rPr>
                <w:spacing w:val="-8"/>
              </w:rPr>
              <w:t>运营单位应当储备必要的应急物资，配备专业应急救援装备，建立应急救援队伍，配齐应急</w:t>
            </w:r>
            <w:r>
              <w:t xml:space="preserve"> </w:t>
            </w:r>
            <w:r>
              <w:rPr>
                <w:spacing w:val="-8"/>
              </w:rPr>
              <w:t>人员，完善应急值守和报告制度，加强应急培训，提高应急救援能力。</w:t>
            </w:r>
          </w:p>
          <w:p w14:paraId="6848F26A">
            <w:pPr>
              <w:pStyle w:val="8"/>
              <w:spacing w:before="28" w:line="233" w:lineRule="auto"/>
              <w:ind w:left="104" w:right="157" w:firstLine="341"/>
            </w:pPr>
            <w:r>
              <w:rPr>
                <w:spacing w:val="-8"/>
              </w:rPr>
              <w:t>第四十二条</w:t>
            </w:r>
            <w:r>
              <w:rPr>
                <w:spacing w:val="74"/>
              </w:rPr>
              <w:t xml:space="preserve"> </w:t>
            </w:r>
            <w:r>
              <w:rPr>
                <w:spacing w:val="-8"/>
              </w:rPr>
              <w:t>城市轨道交通运营主管部门应当按照有关法规要求，在城市人民政府领导下会同有关部门定</w:t>
            </w:r>
            <w:r>
              <w:t xml:space="preserve"> </w:t>
            </w:r>
            <w:r>
              <w:rPr>
                <w:spacing w:val="-8"/>
              </w:rPr>
              <w:t>期组织开展联动应急演练。</w:t>
            </w:r>
          </w:p>
          <w:p w14:paraId="45535F97">
            <w:pPr>
              <w:pStyle w:val="8"/>
              <w:spacing w:before="25" w:line="237" w:lineRule="auto"/>
              <w:ind w:left="105" w:right="150" w:firstLine="340"/>
            </w:pPr>
            <w:r>
              <w:rPr>
                <w:spacing w:val="-8"/>
              </w:rPr>
              <w:t>运营单位应当定期组织运营突发事件应急演练，其中综合应急预案演练和专项应急预案演练每半年至少组</w:t>
            </w:r>
            <w:r>
              <w:t xml:space="preserve"> </w:t>
            </w:r>
            <w:r>
              <w:rPr>
                <w:spacing w:val="-8"/>
              </w:rPr>
              <w:t>织一次。现场处置方案演练应当纳入日常工作，开展常态化演练。运营单位应当组织社会公众参与应</w:t>
            </w:r>
            <w:r>
              <w:rPr>
                <w:spacing w:val="-9"/>
              </w:rPr>
              <w:t>急演练，</w:t>
            </w:r>
            <w:r>
              <w:t xml:space="preserve"> </w:t>
            </w:r>
            <w:r>
              <w:rPr>
                <w:spacing w:val="-8"/>
              </w:rPr>
              <w:t>引导社会公众正确应对突发事件。</w:t>
            </w:r>
          </w:p>
          <w:p w14:paraId="5173187A">
            <w:pPr>
              <w:pStyle w:val="8"/>
              <w:spacing w:before="25"/>
              <w:ind w:left="102" w:right="150" w:firstLine="343"/>
              <w:jc w:val="both"/>
            </w:pPr>
            <w:r>
              <w:rPr>
                <w:spacing w:val="-8"/>
              </w:rPr>
              <w:t>第四十九条第（一）、（五）至（十二）项</w:t>
            </w:r>
            <w:r>
              <w:rPr>
                <w:spacing w:val="74"/>
              </w:rPr>
              <w:t xml:space="preserve"> </w:t>
            </w:r>
            <w:r>
              <w:rPr>
                <w:spacing w:val="-8"/>
              </w:rPr>
              <w:t>违反本规定，运营单位有下列行为之一的，由城市轨道交通</w:t>
            </w:r>
            <w:r>
              <w:t xml:space="preserve"> </w:t>
            </w:r>
            <w:r>
              <w:rPr>
                <w:spacing w:val="-7"/>
              </w:rPr>
              <w:t>运营主管部门责令限期改正；逾期未改正的，处以5</w:t>
            </w:r>
            <w:r>
              <w:rPr>
                <w:spacing w:val="-8"/>
              </w:rPr>
              <w:t>000元以上3万元以下的罚款，并可对其主要负责人处以1万</w:t>
            </w:r>
            <w:r>
              <w:t xml:space="preserve"> </w:t>
            </w:r>
            <w:r>
              <w:rPr>
                <w:spacing w:val="-7"/>
              </w:rPr>
              <w:t>元以下的罚款</w:t>
            </w:r>
            <w:r>
              <w:rPr>
                <w:spacing w:val="-20"/>
              </w:rPr>
              <w:t>：（</w:t>
            </w:r>
            <w:r>
              <w:rPr>
                <w:spacing w:val="-7"/>
              </w:rPr>
              <w:t>一）未全程参与试运行</w:t>
            </w:r>
            <w:r>
              <w:rPr>
                <w:spacing w:val="-20"/>
              </w:rPr>
              <w:t>；（</w:t>
            </w:r>
            <w:r>
              <w:rPr>
                <w:spacing w:val="-7"/>
              </w:rPr>
              <w:t>五）未按照有关规定完善风险分级管控和隐患排查治理双重预防</w:t>
            </w:r>
            <w:r>
              <w:rPr>
                <w:spacing w:val="2"/>
              </w:rPr>
              <w:t xml:space="preserve"> </w:t>
            </w:r>
            <w:r>
              <w:rPr>
                <w:spacing w:val="-6"/>
              </w:rPr>
              <w:t>制度</w:t>
            </w:r>
            <w:r>
              <w:rPr>
                <w:spacing w:val="-22"/>
              </w:rPr>
              <w:t>；（</w:t>
            </w:r>
            <w:r>
              <w:rPr>
                <w:spacing w:val="-6"/>
              </w:rPr>
              <w:t>六）未建立风险数据库和隐患排查手册</w:t>
            </w:r>
            <w:r>
              <w:rPr>
                <w:spacing w:val="-22"/>
              </w:rPr>
              <w:t>；（</w:t>
            </w:r>
            <w:r>
              <w:rPr>
                <w:spacing w:val="-6"/>
              </w:rPr>
              <w:t>七）未按要求报告运营安全风险隐患</w:t>
            </w:r>
            <w:r>
              <w:rPr>
                <w:spacing w:val="-7"/>
              </w:rPr>
              <w:t>整改情况</w:t>
            </w:r>
            <w:r>
              <w:rPr>
                <w:spacing w:val="-22"/>
              </w:rPr>
              <w:t>；（</w:t>
            </w:r>
            <w:r>
              <w:rPr>
                <w:spacing w:val="-7"/>
              </w:rPr>
              <w:t>八）未</w:t>
            </w:r>
            <w:r>
              <w:rPr>
                <w:spacing w:val="5"/>
              </w:rPr>
              <w:t xml:space="preserve"> </w:t>
            </w:r>
            <w:r>
              <w:rPr>
                <w:spacing w:val="-7"/>
              </w:rPr>
              <w:t>建立设施设备检查、检测评估、养护维修、更新改造制度</w:t>
            </w:r>
            <w:r>
              <w:rPr>
                <w:spacing w:val="-8"/>
              </w:rPr>
              <w:t>和技术管理体系</w:t>
            </w:r>
            <w:r>
              <w:rPr>
                <w:spacing w:val="-22"/>
              </w:rPr>
              <w:t>；（</w:t>
            </w:r>
            <w:r>
              <w:rPr>
                <w:spacing w:val="-8"/>
              </w:rPr>
              <w:t>九）未对设施设备定期检查、检</w:t>
            </w:r>
            <w:r>
              <w:rPr>
                <w:spacing w:val="1"/>
              </w:rPr>
              <w:t xml:space="preserve"> </w:t>
            </w:r>
            <w:r>
              <w:rPr>
                <w:spacing w:val="-7"/>
              </w:rPr>
              <w:t>测评估和及时养护维修、更新改造</w:t>
            </w:r>
            <w:r>
              <w:rPr>
                <w:spacing w:val="-20"/>
              </w:rPr>
              <w:t>；（</w:t>
            </w:r>
            <w:r>
              <w:rPr>
                <w:spacing w:val="-7"/>
              </w:rPr>
              <w:t>十）未按照有关规定建立运营突发事件应急预案体系</w:t>
            </w:r>
            <w:r>
              <w:rPr>
                <w:spacing w:val="-20"/>
              </w:rPr>
              <w:t>；（</w:t>
            </w:r>
            <w:r>
              <w:rPr>
                <w:spacing w:val="-7"/>
              </w:rPr>
              <w:t>十一）储备的</w:t>
            </w:r>
            <w:r>
              <w:rPr>
                <w:spacing w:val="2"/>
              </w:rPr>
              <w:t xml:space="preserve"> </w:t>
            </w:r>
            <w:r>
              <w:rPr>
                <w:spacing w:val="-7"/>
              </w:rPr>
              <w:t>应急物资不满足需要，未配备专业应急救援装备，或者未</w:t>
            </w:r>
            <w:r>
              <w:rPr>
                <w:spacing w:val="-8"/>
              </w:rPr>
              <w:t>建立应急救援队伍、配齐应急人员</w:t>
            </w:r>
            <w:r>
              <w:rPr>
                <w:spacing w:val="-22"/>
              </w:rPr>
              <w:t>；（</w:t>
            </w:r>
            <w:r>
              <w:rPr>
                <w:spacing w:val="-8"/>
              </w:rPr>
              <w:t>十二）未按时</w:t>
            </w:r>
            <w:r>
              <w:rPr>
                <w:spacing w:val="1"/>
              </w:rPr>
              <w:t xml:space="preserve"> </w:t>
            </w:r>
            <w:r>
              <w:rPr>
                <w:spacing w:val="-8"/>
              </w:rPr>
              <w:t>组织运营突发事件应急演练。</w:t>
            </w:r>
          </w:p>
        </w:tc>
        <w:tc>
          <w:tcPr>
            <w:tcW w:w="1011" w:type="dxa"/>
            <w:vAlign w:val="top"/>
          </w:tcPr>
          <w:p w14:paraId="079CB901">
            <w:pPr>
              <w:rPr>
                <w:rFonts w:ascii="Arial"/>
                <w:sz w:val="21"/>
              </w:rPr>
            </w:pPr>
          </w:p>
        </w:tc>
        <w:tc>
          <w:tcPr>
            <w:tcW w:w="1404" w:type="dxa"/>
            <w:vAlign w:val="top"/>
          </w:tcPr>
          <w:p w14:paraId="0037191A">
            <w:pPr>
              <w:rPr>
                <w:rFonts w:ascii="Arial"/>
                <w:sz w:val="21"/>
              </w:rPr>
            </w:pPr>
          </w:p>
        </w:tc>
        <w:tc>
          <w:tcPr>
            <w:tcW w:w="1020" w:type="dxa"/>
            <w:vAlign w:val="top"/>
          </w:tcPr>
          <w:p w14:paraId="258C3504">
            <w:pPr>
              <w:rPr>
                <w:rFonts w:ascii="Arial"/>
                <w:sz w:val="21"/>
              </w:rPr>
            </w:pPr>
          </w:p>
        </w:tc>
      </w:tr>
      <w:tr w14:paraId="13735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6" w:hRule="atLeast"/>
        </w:trPr>
        <w:tc>
          <w:tcPr>
            <w:tcW w:w="629" w:type="dxa"/>
            <w:vAlign w:val="top"/>
          </w:tcPr>
          <w:p w14:paraId="3DD2DF11">
            <w:pPr>
              <w:spacing w:line="254" w:lineRule="auto"/>
              <w:rPr>
                <w:rFonts w:ascii="Arial"/>
                <w:sz w:val="21"/>
              </w:rPr>
            </w:pPr>
          </w:p>
          <w:p w14:paraId="5BCC2C39">
            <w:pPr>
              <w:spacing w:line="254" w:lineRule="auto"/>
              <w:rPr>
                <w:rFonts w:ascii="Arial"/>
                <w:sz w:val="21"/>
              </w:rPr>
            </w:pPr>
          </w:p>
          <w:p w14:paraId="17261036">
            <w:pPr>
              <w:spacing w:line="254" w:lineRule="auto"/>
              <w:rPr>
                <w:rFonts w:ascii="Arial"/>
                <w:sz w:val="21"/>
              </w:rPr>
            </w:pPr>
          </w:p>
          <w:p w14:paraId="5FD945F7">
            <w:pPr>
              <w:spacing w:line="254" w:lineRule="auto"/>
              <w:rPr>
                <w:rFonts w:ascii="Arial"/>
                <w:sz w:val="21"/>
              </w:rPr>
            </w:pPr>
          </w:p>
          <w:p w14:paraId="5473F746">
            <w:pPr>
              <w:spacing w:line="254" w:lineRule="auto"/>
              <w:rPr>
                <w:rFonts w:ascii="Arial"/>
                <w:sz w:val="21"/>
              </w:rPr>
            </w:pPr>
          </w:p>
          <w:p w14:paraId="10DE7E7E">
            <w:pPr>
              <w:pStyle w:val="8"/>
              <w:spacing w:before="59" w:line="183" w:lineRule="auto"/>
              <w:ind w:left="221"/>
              <w:rPr>
                <w:rFonts w:hint="default" w:eastAsia="宋体"/>
                <w:lang w:val="en-US" w:eastAsia="zh-CN"/>
              </w:rPr>
            </w:pPr>
            <w:r>
              <w:rPr>
                <w:rFonts w:hint="eastAsia"/>
                <w:spacing w:val="-4"/>
                <w:lang w:val="en-US" w:eastAsia="zh-CN"/>
              </w:rPr>
              <w:t>79</w:t>
            </w:r>
          </w:p>
        </w:tc>
        <w:tc>
          <w:tcPr>
            <w:tcW w:w="1101" w:type="dxa"/>
            <w:vAlign w:val="top"/>
          </w:tcPr>
          <w:p w14:paraId="31234816">
            <w:pPr>
              <w:spacing w:line="410" w:lineRule="auto"/>
              <w:rPr>
                <w:rFonts w:ascii="Arial"/>
                <w:sz w:val="21"/>
              </w:rPr>
            </w:pPr>
          </w:p>
          <w:p w14:paraId="450BEB58">
            <w:pPr>
              <w:pStyle w:val="8"/>
              <w:spacing w:before="59" w:line="243" w:lineRule="auto"/>
              <w:ind w:left="20" w:right="20" w:hanging="2"/>
              <w:jc w:val="both"/>
            </w:pPr>
            <w:r>
              <w:rPr>
                <w:spacing w:val="-6"/>
              </w:rPr>
              <w:t>对运营单位未</w:t>
            </w:r>
            <w:r>
              <w:rPr>
                <w:spacing w:val="2"/>
              </w:rPr>
              <w:t xml:space="preserve"> </w:t>
            </w:r>
            <w:r>
              <w:rPr>
                <w:spacing w:val="-6"/>
              </w:rPr>
              <w:t>按规定上报城</w:t>
            </w:r>
            <w:r>
              <w:t xml:space="preserve"> </w:t>
            </w:r>
            <w:r>
              <w:rPr>
                <w:spacing w:val="-6"/>
              </w:rPr>
              <w:t>市轨道交通运</w:t>
            </w:r>
            <w:r>
              <w:t xml:space="preserve"> </w:t>
            </w:r>
            <w:r>
              <w:rPr>
                <w:spacing w:val="-6"/>
              </w:rPr>
              <w:t>营相关信息或</w:t>
            </w:r>
            <w:r>
              <w:t xml:space="preserve"> </w:t>
            </w:r>
            <w:r>
              <w:rPr>
                <w:spacing w:val="-6"/>
              </w:rPr>
              <w:t>者运营安全重</w:t>
            </w:r>
            <w:r>
              <w:t xml:space="preserve"> </w:t>
            </w:r>
            <w:r>
              <w:rPr>
                <w:spacing w:val="-6"/>
              </w:rPr>
              <w:t>大故障和事故</w:t>
            </w:r>
            <w:r>
              <w:t xml:space="preserve"> </w:t>
            </w:r>
            <w:r>
              <w:rPr>
                <w:spacing w:val="-6"/>
              </w:rPr>
              <w:t>行为的行政处</w:t>
            </w:r>
            <w:r>
              <w:t xml:space="preserve"> 罚</w:t>
            </w:r>
          </w:p>
        </w:tc>
        <w:tc>
          <w:tcPr>
            <w:tcW w:w="1101" w:type="dxa"/>
            <w:vAlign w:val="top"/>
          </w:tcPr>
          <w:p w14:paraId="22EA5A30">
            <w:pPr>
              <w:spacing w:line="248" w:lineRule="auto"/>
              <w:rPr>
                <w:rFonts w:ascii="Arial"/>
                <w:sz w:val="21"/>
              </w:rPr>
            </w:pPr>
          </w:p>
          <w:p w14:paraId="6E8C253C">
            <w:pPr>
              <w:spacing w:line="248" w:lineRule="auto"/>
              <w:rPr>
                <w:rFonts w:ascii="Arial"/>
                <w:sz w:val="21"/>
              </w:rPr>
            </w:pPr>
          </w:p>
          <w:p w14:paraId="76B1FB54">
            <w:pPr>
              <w:spacing w:line="248" w:lineRule="auto"/>
              <w:rPr>
                <w:rFonts w:ascii="Arial"/>
                <w:sz w:val="21"/>
              </w:rPr>
            </w:pPr>
          </w:p>
          <w:p w14:paraId="07F381E0">
            <w:pPr>
              <w:spacing w:line="249" w:lineRule="auto"/>
              <w:rPr>
                <w:rFonts w:ascii="Arial"/>
                <w:sz w:val="21"/>
              </w:rPr>
            </w:pPr>
          </w:p>
          <w:p w14:paraId="71D6BF0B">
            <w:pPr>
              <w:spacing w:line="249" w:lineRule="auto"/>
              <w:rPr>
                <w:rFonts w:ascii="Arial"/>
                <w:sz w:val="21"/>
              </w:rPr>
            </w:pPr>
          </w:p>
          <w:p w14:paraId="39F3D15D">
            <w:pPr>
              <w:pStyle w:val="8"/>
              <w:spacing w:before="59" w:line="220" w:lineRule="auto"/>
              <w:ind w:left="25"/>
            </w:pPr>
            <w:r>
              <w:rPr>
                <w:spacing w:val="-7"/>
              </w:rPr>
              <w:t>行政处罚</w:t>
            </w:r>
          </w:p>
        </w:tc>
        <w:tc>
          <w:tcPr>
            <w:tcW w:w="8524" w:type="dxa"/>
            <w:vAlign w:val="top"/>
          </w:tcPr>
          <w:p w14:paraId="01C1B46F">
            <w:pPr>
              <w:pStyle w:val="8"/>
              <w:spacing w:before="228" w:line="219" w:lineRule="auto"/>
              <w:ind w:left="451"/>
            </w:pPr>
            <w:r>
              <w:rPr>
                <w:b/>
                <w:bCs/>
                <w:spacing w:val="-8"/>
              </w:rPr>
              <w:t>《城市轨道交通运营管理规定》(交通运输</w:t>
            </w:r>
            <w:r>
              <w:rPr>
                <w:b/>
                <w:bCs/>
                <w:spacing w:val="-9"/>
              </w:rPr>
              <w:t>部令2018年第8号)</w:t>
            </w:r>
          </w:p>
          <w:p w14:paraId="0C24AFD9">
            <w:pPr>
              <w:pStyle w:val="8"/>
              <w:spacing w:before="26" w:line="233" w:lineRule="auto"/>
              <w:ind w:left="102" w:right="157" w:firstLine="342"/>
            </w:pPr>
            <w:r>
              <w:rPr>
                <w:spacing w:val="-8"/>
              </w:rPr>
              <w:t>第十八条</w:t>
            </w:r>
            <w:r>
              <w:rPr>
                <w:spacing w:val="74"/>
              </w:rPr>
              <w:t xml:space="preserve"> </w:t>
            </w:r>
            <w:r>
              <w:rPr>
                <w:spacing w:val="-8"/>
              </w:rPr>
              <w:t>城市轨道交通运营主管部门和运营单位应当建立城市轨道交通运营信息统计分析制度，并按照</w:t>
            </w:r>
            <w:r>
              <w:t xml:space="preserve"> </w:t>
            </w:r>
            <w:r>
              <w:rPr>
                <w:spacing w:val="-8"/>
              </w:rPr>
              <w:t>有关规定及时报送相关信息。</w:t>
            </w:r>
          </w:p>
          <w:p w14:paraId="4FBADB03">
            <w:pPr>
              <w:pStyle w:val="8"/>
              <w:spacing w:before="26" w:line="233" w:lineRule="auto"/>
              <w:ind w:left="102" w:right="157" w:firstLine="342"/>
            </w:pPr>
            <w:r>
              <w:rPr>
                <w:spacing w:val="-8"/>
              </w:rPr>
              <w:t>第四十六条</w:t>
            </w:r>
            <w:r>
              <w:rPr>
                <w:spacing w:val="74"/>
              </w:rPr>
              <w:t xml:space="preserve"> </w:t>
            </w:r>
            <w:r>
              <w:rPr>
                <w:spacing w:val="-8"/>
              </w:rPr>
              <w:t>城市轨道交通运营主管部门和运营单位应当建立城市轨道交通运营安全重大故障和事故报送</w:t>
            </w:r>
            <w:r>
              <w:t xml:space="preserve"> </w:t>
            </w:r>
            <w:r>
              <w:rPr>
                <w:spacing w:val="-5"/>
              </w:rPr>
              <w:t>制度。</w:t>
            </w:r>
          </w:p>
          <w:p w14:paraId="7C6CBC98">
            <w:pPr>
              <w:pStyle w:val="8"/>
              <w:spacing w:before="24" w:line="233" w:lineRule="auto"/>
              <w:ind w:left="105" w:right="150" w:firstLine="339"/>
            </w:pPr>
            <w:r>
              <w:rPr>
                <w:spacing w:val="-8"/>
              </w:rPr>
              <w:t>城市轨道交通运营主管部门和运营单位应当定期组织对重大故障和事故原因进行分析，不断完善城市轨道</w:t>
            </w:r>
            <w:r>
              <w:t xml:space="preserve"> </w:t>
            </w:r>
            <w:r>
              <w:rPr>
                <w:spacing w:val="-8"/>
              </w:rPr>
              <w:t>交通运营安全管理制度以及安全防范和应急处置措施。</w:t>
            </w:r>
          </w:p>
          <w:p w14:paraId="797C229B">
            <w:pPr>
              <w:pStyle w:val="8"/>
              <w:spacing w:before="24" w:line="238" w:lineRule="auto"/>
              <w:ind w:left="102" w:right="88" w:firstLine="343"/>
              <w:jc w:val="both"/>
            </w:pPr>
            <w:r>
              <w:rPr>
                <w:spacing w:val="-8"/>
              </w:rPr>
              <w:t>第五十条</w:t>
            </w:r>
            <w:r>
              <w:rPr>
                <w:spacing w:val="74"/>
              </w:rPr>
              <w:t xml:space="preserve"> </w:t>
            </w:r>
            <w:r>
              <w:rPr>
                <w:spacing w:val="-8"/>
              </w:rPr>
              <w:t>违反本规定第十八条、第四十六条，运营单位未按照规定上报城市轨道交通运营相关信息或者</w:t>
            </w:r>
            <w:r>
              <w:t xml:space="preserve"> </w:t>
            </w:r>
            <w:r>
              <w:rPr>
                <w:spacing w:val="-8"/>
              </w:rPr>
              <w:t>运营安全重大故障和事故的，由城市轨道交通运营主管部门责令限期改正；逾期未改正的，处以5000</w:t>
            </w:r>
            <w:r>
              <w:rPr>
                <w:spacing w:val="-9"/>
              </w:rPr>
              <w:t>元以上3万</w:t>
            </w:r>
            <w:r>
              <w:t xml:space="preserve"> </w:t>
            </w:r>
            <w:r>
              <w:rPr>
                <w:spacing w:val="-7"/>
              </w:rPr>
              <w:t>元以下的罚款。</w:t>
            </w:r>
          </w:p>
        </w:tc>
        <w:tc>
          <w:tcPr>
            <w:tcW w:w="1011" w:type="dxa"/>
            <w:vAlign w:val="top"/>
          </w:tcPr>
          <w:p w14:paraId="39C94AE9">
            <w:pPr>
              <w:spacing w:line="280" w:lineRule="auto"/>
              <w:rPr>
                <w:rFonts w:ascii="Arial"/>
                <w:sz w:val="21"/>
              </w:rPr>
            </w:pPr>
          </w:p>
          <w:p w14:paraId="588784E7">
            <w:pPr>
              <w:spacing w:line="281" w:lineRule="auto"/>
              <w:rPr>
                <w:rFonts w:ascii="Arial"/>
                <w:sz w:val="21"/>
              </w:rPr>
            </w:pPr>
          </w:p>
          <w:p w14:paraId="264DF5B7">
            <w:pPr>
              <w:spacing w:line="281" w:lineRule="auto"/>
              <w:rPr>
                <w:rFonts w:ascii="Arial"/>
                <w:sz w:val="21"/>
              </w:rPr>
            </w:pPr>
          </w:p>
          <w:p w14:paraId="6546CFA3">
            <w:pPr>
              <w:spacing w:line="281" w:lineRule="auto"/>
              <w:rPr>
                <w:rFonts w:ascii="Arial"/>
                <w:sz w:val="21"/>
              </w:rPr>
            </w:pPr>
          </w:p>
          <w:p w14:paraId="5E9AF3E0">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579D3902">
            <w:pPr>
              <w:spacing w:line="280" w:lineRule="auto"/>
              <w:rPr>
                <w:rFonts w:ascii="Arial"/>
                <w:sz w:val="21"/>
              </w:rPr>
            </w:pPr>
          </w:p>
          <w:p w14:paraId="2E3A43AA">
            <w:pPr>
              <w:spacing w:line="281" w:lineRule="auto"/>
              <w:rPr>
                <w:rFonts w:ascii="Arial"/>
                <w:sz w:val="21"/>
              </w:rPr>
            </w:pPr>
          </w:p>
          <w:p w14:paraId="50CB48F5">
            <w:pPr>
              <w:spacing w:line="281" w:lineRule="auto"/>
              <w:rPr>
                <w:rFonts w:ascii="Arial"/>
                <w:sz w:val="21"/>
              </w:rPr>
            </w:pPr>
          </w:p>
          <w:p w14:paraId="2F016454">
            <w:pPr>
              <w:spacing w:line="281" w:lineRule="auto"/>
              <w:rPr>
                <w:rFonts w:ascii="Arial"/>
                <w:sz w:val="21"/>
              </w:rPr>
            </w:pPr>
          </w:p>
          <w:p w14:paraId="6BD53E94">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930F438">
            <w:pPr>
              <w:spacing w:line="295" w:lineRule="auto"/>
              <w:rPr>
                <w:rFonts w:ascii="Arial"/>
                <w:sz w:val="21"/>
              </w:rPr>
            </w:pPr>
          </w:p>
          <w:p w14:paraId="5A2675FA">
            <w:pPr>
              <w:spacing w:line="295" w:lineRule="auto"/>
              <w:rPr>
                <w:rFonts w:ascii="Arial"/>
                <w:sz w:val="21"/>
              </w:rPr>
            </w:pPr>
          </w:p>
          <w:p w14:paraId="648B3871">
            <w:pPr>
              <w:spacing w:line="296" w:lineRule="auto"/>
              <w:rPr>
                <w:rFonts w:ascii="Arial"/>
                <w:sz w:val="21"/>
              </w:rPr>
            </w:pPr>
          </w:p>
          <w:p w14:paraId="122AAC1F">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6BF636DA">
      <w:pPr>
        <w:pStyle w:val="2"/>
      </w:pPr>
    </w:p>
    <w:p w14:paraId="701E8EDA">
      <w:pPr>
        <w:sectPr>
          <w:footerReference r:id="rId58" w:type="default"/>
          <w:pgSz w:w="16839" w:h="11906"/>
          <w:pgMar w:top="1012" w:right="1016" w:bottom="966" w:left="1016" w:header="0" w:footer="768" w:gutter="0"/>
          <w:cols w:space="720" w:num="1"/>
        </w:sectPr>
      </w:pPr>
    </w:p>
    <w:p w14:paraId="35769625">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09A69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3AF6F41C">
            <w:pPr>
              <w:pStyle w:val="8"/>
              <w:spacing w:before="273" w:line="221" w:lineRule="auto"/>
              <w:ind w:left="129"/>
            </w:pPr>
            <w:r>
              <w:rPr>
                <w:b/>
                <w:bCs/>
                <w:spacing w:val="-4"/>
              </w:rPr>
              <w:t>序号</w:t>
            </w:r>
          </w:p>
        </w:tc>
        <w:tc>
          <w:tcPr>
            <w:tcW w:w="1101" w:type="dxa"/>
            <w:vMerge w:val="restart"/>
            <w:tcBorders>
              <w:bottom w:val="nil"/>
            </w:tcBorders>
            <w:vAlign w:val="top"/>
          </w:tcPr>
          <w:p w14:paraId="2CFDDFC1">
            <w:pPr>
              <w:pStyle w:val="8"/>
              <w:spacing w:before="274" w:line="220" w:lineRule="auto"/>
              <w:ind w:left="182"/>
            </w:pPr>
            <w:r>
              <w:rPr>
                <w:b/>
                <w:bCs/>
                <w:spacing w:val="-4"/>
              </w:rPr>
              <w:t>事项名称</w:t>
            </w:r>
          </w:p>
        </w:tc>
        <w:tc>
          <w:tcPr>
            <w:tcW w:w="1101" w:type="dxa"/>
            <w:vMerge w:val="restart"/>
            <w:tcBorders>
              <w:bottom w:val="nil"/>
            </w:tcBorders>
            <w:vAlign w:val="top"/>
          </w:tcPr>
          <w:p w14:paraId="7B75EB0D">
            <w:pPr>
              <w:pStyle w:val="8"/>
              <w:spacing w:before="274" w:line="219" w:lineRule="auto"/>
              <w:ind w:left="183"/>
            </w:pPr>
            <w:r>
              <w:rPr>
                <w:b/>
                <w:bCs/>
                <w:spacing w:val="-4"/>
              </w:rPr>
              <w:t>职权类型</w:t>
            </w:r>
          </w:p>
        </w:tc>
        <w:tc>
          <w:tcPr>
            <w:tcW w:w="8524" w:type="dxa"/>
            <w:vMerge w:val="restart"/>
            <w:tcBorders>
              <w:bottom w:val="nil"/>
            </w:tcBorders>
            <w:vAlign w:val="top"/>
          </w:tcPr>
          <w:p w14:paraId="46A466E3">
            <w:pPr>
              <w:pStyle w:val="8"/>
              <w:spacing w:before="273" w:line="219" w:lineRule="auto"/>
              <w:ind w:left="4083"/>
            </w:pPr>
            <w:r>
              <w:rPr>
                <w:b/>
                <w:bCs/>
                <w:spacing w:val="-5"/>
              </w:rPr>
              <w:t>实施依据</w:t>
            </w:r>
          </w:p>
        </w:tc>
        <w:tc>
          <w:tcPr>
            <w:tcW w:w="3435" w:type="dxa"/>
            <w:gridSpan w:val="3"/>
            <w:vAlign w:val="top"/>
          </w:tcPr>
          <w:p w14:paraId="6C42C08B">
            <w:pPr>
              <w:pStyle w:val="8"/>
              <w:spacing w:before="94" w:line="220" w:lineRule="auto"/>
              <w:ind w:left="1360"/>
            </w:pPr>
            <w:r>
              <w:rPr>
                <w:b/>
                <w:bCs/>
                <w:spacing w:val="-5"/>
              </w:rPr>
              <w:t>实施主体</w:t>
            </w:r>
          </w:p>
        </w:tc>
      </w:tr>
      <w:tr w14:paraId="33F83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4EB92D83">
            <w:pPr>
              <w:rPr>
                <w:rFonts w:ascii="Arial"/>
                <w:sz w:val="21"/>
              </w:rPr>
            </w:pPr>
          </w:p>
        </w:tc>
        <w:tc>
          <w:tcPr>
            <w:tcW w:w="1101" w:type="dxa"/>
            <w:vMerge w:val="continue"/>
            <w:tcBorders>
              <w:top w:val="nil"/>
            </w:tcBorders>
            <w:vAlign w:val="top"/>
          </w:tcPr>
          <w:p w14:paraId="08C0F561">
            <w:pPr>
              <w:rPr>
                <w:rFonts w:ascii="Arial"/>
                <w:sz w:val="21"/>
              </w:rPr>
            </w:pPr>
          </w:p>
        </w:tc>
        <w:tc>
          <w:tcPr>
            <w:tcW w:w="1101" w:type="dxa"/>
            <w:vMerge w:val="continue"/>
            <w:tcBorders>
              <w:top w:val="nil"/>
            </w:tcBorders>
            <w:vAlign w:val="top"/>
          </w:tcPr>
          <w:p w14:paraId="25976D7A">
            <w:pPr>
              <w:rPr>
                <w:rFonts w:ascii="Arial"/>
                <w:sz w:val="21"/>
              </w:rPr>
            </w:pPr>
          </w:p>
        </w:tc>
        <w:tc>
          <w:tcPr>
            <w:tcW w:w="8524" w:type="dxa"/>
            <w:vMerge w:val="continue"/>
            <w:tcBorders>
              <w:top w:val="nil"/>
            </w:tcBorders>
            <w:vAlign w:val="top"/>
          </w:tcPr>
          <w:p w14:paraId="48ECA7CA">
            <w:pPr>
              <w:rPr>
                <w:rFonts w:ascii="Arial"/>
                <w:sz w:val="21"/>
              </w:rPr>
            </w:pPr>
          </w:p>
        </w:tc>
        <w:tc>
          <w:tcPr>
            <w:tcW w:w="1011" w:type="dxa"/>
            <w:vAlign w:val="top"/>
          </w:tcPr>
          <w:p w14:paraId="315914C1">
            <w:pPr>
              <w:pStyle w:val="8"/>
              <w:spacing w:before="85" w:line="219" w:lineRule="auto"/>
              <w:ind w:left="154"/>
            </w:pPr>
            <w:r>
              <w:rPr>
                <w:b/>
                <w:bCs/>
                <w:spacing w:val="-5"/>
              </w:rPr>
              <w:t>责任部门</w:t>
            </w:r>
          </w:p>
        </w:tc>
        <w:tc>
          <w:tcPr>
            <w:tcW w:w="1404" w:type="dxa"/>
            <w:vAlign w:val="top"/>
          </w:tcPr>
          <w:p w14:paraId="5DE51023">
            <w:pPr>
              <w:pStyle w:val="8"/>
              <w:spacing w:before="85" w:line="219" w:lineRule="auto"/>
              <w:ind w:left="164"/>
            </w:pPr>
            <w:r>
              <w:rPr>
                <w:b/>
                <w:bCs/>
                <w:spacing w:val="-3"/>
              </w:rPr>
              <w:t>第一责任层级</w:t>
            </w:r>
          </w:p>
        </w:tc>
        <w:tc>
          <w:tcPr>
            <w:tcW w:w="1020" w:type="dxa"/>
            <w:vAlign w:val="top"/>
          </w:tcPr>
          <w:p w14:paraId="6293C7CC">
            <w:pPr>
              <w:pStyle w:val="8"/>
              <w:spacing w:before="84" w:line="219" w:lineRule="auto"/>
              <w:ind w:left="114"/>
            </w:pPr>
            <w:r>
              <w:rPr>
                <w:b/>
                <w:bCs/>
                <w:spacing w:val="-4"/>
              </w:rPr>
              <w:t>承办机构</w:t>
            </w:r>
          </w:p>
        </w:tc>
      </w:tr>
      <w:tr w14:paraId="347C0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6" w:hRule="atLeast"/>
        </w:trPr>
        <w:tc>
          <w:tcPr>
            <w:tcW w:w="629" w:type="dxa"/>
            <w:vAlign w:val="top"/>
          </w:tcPr>
          <w:p w14:paraId="0C6D5523">
            <w:pPr>
              <w:spacing w:line="257" w:lineRule="auto"/>
              <w:rPr>
                <w:rFonts w:ascii="Arial"/>
                <w:sz w:val="21"/>
              </w:rPr>
            </w:pPr>
          </w:p>
          <w:p w14:paraId="26D77896">
            <w:pPr>
              <w:spacing w:line="257" w:lineRule="auto"/>
              <w:rPr>
                <w:rFonts w:ascii="Arial"/>
                <w:sz w:val="21"/>
              </w:rPr>
            </w:pPr>
          </w:p>
          <w:p w14:paraId="44E6069E">
            <w:pPr>
              <w:spacing w:line="258" w:lineRule="auto"/>
              <w:rPr>
                <w:rFonts w:ascii="Arial"/>
                <w:sz w:val="21"/>
              </w:rPr>
            </w:pPr>
          </w:p>
          <w:p w14:paraId="589DF4AF">
            <w:pPr>
              <w:spacing w:line="258" w:lineRule="auto"/>
              <w:rPr>
                <w:rFonts w:ascii="Arial"/>
                <w:sz w:val="21"/>
              </w:rPr>
            </w:pPr>
          </w:p>
          <w:p w14:paraId="273E6C0A">
            <w:pPr>
              <w:spacing w:line="258" w:lineRule="auto"/>
              <w:rPr>
                <w:rFonts w:ascii="Arial"/>
                <w:sz w:val="21"/>
              </w:rPr>
            </w:pPr>
          </w:p>
          <w:p w14:paraId="64991D45">
            <w:pPr>
              <w:spacing w:line="258" w:lineRule="auto"/>
              <w:rPr>
                <w:rFonts w:ascii="Arial"/>
                <w:sz w:val="21"/>
              </w:rPr>
            </w:pPr>
          </w:p>
          <w:p w14:paraId="7BA37D9F">
            <w:pPr>
              <w:spacing w:line="258" w:lineRule="auto"/>
              <w:rPr>
                <w:rFonts w:ascii="Arial"/>
                <w:sz w:val="21"/>
              </w:rPr>
            </w:pPr>
          </w:p>
          <w:p w14:paraId="7721EE7A">
            <w:pPr>
              <w:spacing w:line="258" w:lineRule="auto"/>
              <w:rPr>
                <w:rFonts w:ascii="Arial"/>
                <w:sz w:val="21"/>
              </w:rPr>
            </w:pPr>
          </w:p>
          <w:p w14:paraId="64711844">
            <w:pPr>
              <w:spacing w:line="258" w:lineRule="auto"/>
              <w:rPr>
                <w:rFonts w:ascii="Arial"/>
                <w:sz w:val="21"/>
              </w:rPr>
            </w:pPr>
          </w:p>
          <w:p w14:paraId="785657A2">
            <w:pPr>
              <w:spacing w:line="258" w:lineRule="auto"/>
              <w:rPr>
                <w:rFonts w:ascii="Arial"/>
                <w:sz w:val="21"/>
              </w:rPr>
            </w:pPr>
          </w:p>
          <w:p w14:paraId="0BE1323A">
            <w:pPr>
              <w:pStyle w:val="8"/>
              <w:spacing w:before="58" w:line="184" w:lineRule="auto"/>
              <w:ind w:left="221"/>
              <w:rPr>
                <w:rFonts w:hint="eastAsia" w:eastAsia="宋体"/>
                <w:lang w:eastAsia="zh-CN"/>
              </w:rPr>
            </w:pPr>
            <w:r>
              <w:rPr>
                <w:spacing w:val="-4"/>
              </w:rPr>
              <w:t>8</w:t>
            </w:r>
            <w:r>
              <w:rPr>
                <w:rFonts w:hint="eastAsia"/>
                <w:spacing w:val="-4"/>
                <w:lang w:val="en-US" w:eastAsia="zh-CN"/>
              </w:rPr>
              <w:t>0</w:t>
            </w:r>
          </w:p>
        </w:tc>
        <w:tc>
          <w:tcPr>
            <w:tcW w:w="1101" w:type="dxa"/>
            <w:vAlign w:val="top"/>
          </w:tcPr>
          <w:p w14:paraId="33B170EA">
            <w:pPr>
              <w:spacing w:line="245" w:lineRule="auto"/>
              <w:rPr>
                <w:rFonts w:ascii="Arial"/>
                <w:sz w:val="21"/>
              </w:rPr>
            </w:pPr>
          </w:p>
          <w:p w14:paraId="62171997">
            <w:pPr>
              <w:spacing w:line="245" w:lineRule="auto"/>
              <w:rPr>
                <w:rFonts w:ascii="Arial"/>
                <w:sz w:val="21"/>
              </w:rPr>
            </w:pPr>
          </w:p>
          <w:p w14:paraId="4EB5D86D">
            <w:pPr>
              <w:spacing w:line="245" w:lineRule="auto"/>
              <w:rPr>
                <w:rFonts w:ascii="Arial"/>
                <w:sz w:val="21"/>
              </w:rPr>
            </w:pPr>
          </w:p>
          <w:p w14:paraId="67849902">
            <w:pPr>
              <w:spacing w:line="246" w:lineRule="auto"/>
              <w:rPr>
                <w:rFonts w:ascii="Arial"/>
                <w:sz w:val="21"/>
              </w:rPr>
            </w:pPr>
          </w:p>
          <w:p w14:paraId="0862F0F1">
            <w:pPr>
              <w:spacing w:line="246" w:lineRule="auto"/>
              <w:rPr>
                <w:rFonts w:ascii="Arial"/>
                <w:sz w:val="21"/>
              </w:rPr>
            </w:pPr>
          </w:p>
          <w:p w14:paraId="299AE2AA">
            <w:pPr>
              <w:spacing w:line="246" w:lineRule="auto"/>
              <w:rPr>
                <w:rFonts w:ascii="Arial"/>
                <w:sz w:val="21"/>
              </w:rPr>
            </w:pPr>
          </w:p>
          <w:p w14:paraId="1EFF610A">
            <w:pPr>
              <w:spacing w:line="246" w:lineRule="auto"/>
              <w:rPr>
                <w:rFonts w:ascii="Arial"/>
                <w:sz w:val="21"/>
              </w:rPr>
            </w:pPr>
          </w:p>
          <w:p w14:paraId="0C724FDA">
            <w:pPr>
              <w:pStyle w:val="8"/>
              <w:spacing w:before="58" w:line="243" w:lineRule="auto"/>
              <w:ind w:left="18" w:right="20"/>
              <w:jc w:val="both"/>
            </w:pPr>
            <w:r>
              <w:rPr>
                <w:spacing w:val="-6"/>
              </w:rPr>
              <w:t>对城市轨道交</w:t>
            </w:r>
            <w:r>
              <w:rPr>
                <w:spacing w:val="2"/>
              </w:rPr>
              <w:t xml:space="preserve"> </w:t>
            </w:r>
            <w:r>
              <w:rPr>
                <w:spacing w:val="-6"/>
              </w:rPr>
              <w:t>通运营单位未</w:t>
            </w:r>
            <w:r>
              <w:rPr>
                <w:spacing w:val="1"/>
              </w:rPr>
              <w:t xml:space="preserve"> </w:t>
            </w:r>
            <w:r>
              <w:rPr>
                <w:spacing w:val="-6"/>
              </w:rPr>
              <w:t>向社会公布运</w:t>
            </w:r>
            <w:r>
              <w:rPr>
                <w:spacing w:val="1"/>
              </w:rPr>
              <w:t xml:space="preserve"> </w:t>
            </w:r>
            <w:r>
              <w:rPr>
                <w:spacing w:val="-6"/>
              </w:rPr>
              <w:t>营服务质量承</w:t>
            </w:r>
            <w:r>
              <w:rPr>
                <w:spacing w:val="1"/>
              </w:rPr>
              <w:t xml:space="preserve"> </w:t>
            </w:r>
            <w:r>
              <w:rPr>
                <w:spacing w:val="-6"/>
              </w:rPr>
              <w:t>诺或者定期报</w:t>
            </w:r>
            <w:r>
              <w:rPr>
                <w:spacing w:val="1"/>
              </w:rPr>
              <w:t xml:space="preserve"> </w:t>
            </w:r>
            <w:r>
              <w:rPr>
                <w:spacing w:val="-6"/>
              </w:rPr>
              <w:t>告履行情况等</w:t>
            </w:r>
            <w:r>
              <w:rPr>
                <w:spacing w:val="1"/>
              </w:rPr>
              <w:t xml:space="preserve"> </w:t>
            </w:r>
            <w:r>
              <w:rPr>
                <w:spacing w:val="-6"/>
              </w:rPr>
              <w:t>行为的行政处</w:t>
            </w:r>
            <w:r>
              <w:rPr>
                <w:spacing w:val="1"/>
              </w:rPr>
              <w:t xml:space="preserve"> </w:t>
            </w:r>
            <w:r>
              <w:t>罚</w:t>
            </w:r>
          </w:p>
        </w:tc>
        <w:tc>
          <w:tcPr>
            <w:tcW w:w="1101" w:type="dxa"/>
            <w:vAlign w:val="top"/>
          </w:tcPr>
          <w:p w14:paraId="0F0A26BC">
            <w:pPr>
              <w:spacing w:line="255" w:lineRule="auto"/>
              <w:rPr>
                <w:rFonts w:ascii="Arial"/>
                <w:sz w:val="21"/>
              </w:rPr>
            </w:pPr>
          </w:p>
          <w:p w14:paraId="4AE964AC">
            <w:pPr>
              <w:spacing w:line="255" w:lineRule="auto"/>
              <w:rPr>
                <w:rFonts w:ascii="Arial"/>
                <w:sz w:val="21"/>
              </w:rPr>
            </w:pPr>
          </w:p>
          <w:p w14:paraId="3DD45A19">
            <w:pPr>
              <w:spacing w:line="255" w:lineRule="auto"/>
              <w:rPr>
                <w:rFonts w:ascii="Arial"/>
                <w:sz w:val="21"/>
              </w:rPr>
            </w:pPr>
          </w:p>
          <w:p w14:paraId="00FA6B3F">
            <w:pPr>
              <w:spacing w:line="255" w:lineRule="auto"/>
              <w:rPr>
                <w:rFonts w:ascii="Arial"/>
                <w:sz w:val="21"/>
              </w:rPr>
            </w:pPr>
          </w:p>
          <w:p w14:paraId="38F16348">
            <w:pPr>
              <w:spacing w:line="255" w:lineRule="auto"/>
              <w:rPr>
                <w:rFonts w:ascii="Arial"/>
                <w:sz w:val="21"/>
              </w:rPr>
            </w:pPr>
          </w:p>
          <w:p w14:paraId="4BA5BA5F">
            <w:pPr>
              <w:spacing w:line="255" w:lineRule="auto"/>
              <w:rPr>
                <w:rFonts w:ascii="Arial"/>
                <w:sz w:val="21"/>
              </w:rPr>
            </w:pPr>
          </w:p>
          <w:p w14:paraId="6BCCF886">
            <w:pPr>
              <w:spacing w:line="255" w:lineRule="auto"/>
              <w:rPr>
                <w:rFonts w:ascii="Arial"/>
                <w:sz w:val="21"/>
              </w:rPr>
            </w:pPr>
          </w:p>
          <w:p w14:paraId="272030D2">
            <w:pPr>
              <w:spacing w:line="255" w:lineRule="auto"/>
              <w:rPr>
                <w:rFonts w:ascii="Arial"/>
                <w:sz w:val="21"/>
              </w:rPr>
            </w:pPr>
          </w:p>
          <w:p w14:paraId="3E38D172">
            <w:pPr>
              <w:spacing w:line="255" w:lineRule="auto"/>
              <w:rPr>
                <w:rFonts w:ascii="Arial"/>
                <w:sz w:val="21"/>
              </w:rPr>
            </w:pPr>
          </w:p>
          <w:p w14:paraId="3A7B538E">
            <w:pPr>
              <w:spacing w:line="256" w:lineRule="auto"/>
              <w:rPr>
                <w:rFonts w:ascii="Arial"/>
                <w:sz w:val="21"/>
              </w:rPr>
            </w:pPr>
          </w:p>
          <w:p w14:paraId="3BC6D468">
            <w:pPr>
              <w:pStyle w:val="8"/>
              <w:spacing w:before="58" w:line="220" w:lineRule="auto"/>
              <w:ind w:left="25"/>
            </w:pPr>
            <w:r>
              <w:rPr>
                <w:spacing w:val="-7"/>
              </w:rPr>
              <w:t>行政处罚</w:t>
            </w:r>
          </w:p>
        </w:tc>
        <w:tc>
          <w:tcPr>
            <w:tcW w:w="8524" w:type="dxa"/>
            <w:vAlign w:val="top"/>
          </w:tcPr>
          <w:p w14:paraId="6E387B65">
            <w:pPr>
              <w:pStyle w:val="8"/>
              <w:spacing w:before="205" w:line="219" w:lineRule="auto"/>
              <w:ind w:left="451"/>
            </w:pPr>
            <w:r>
              <w:rPr>
                <w:b/>
                <w:bCs/>
                <w:spacing w:val="-8"/>
              </w:rPr>
              <w:t>《城市轨道交通运营管理规定》(交通运输</w:t>
            </w:r>
            <w:r>
              <w:rPr>
                <w:b/>
                <w:bCs/>
                <w:spacing w:val="-9"/>
              </w:rPr>
              <w:t>部令2018年第8号)</w:t>
            </w:r>
          </w:p>
          <w:p w14:paraId="0FF72FE3">
            <w:pPr>
              <w:pStyle w:val="8"/>
              <w:spacing w:before="17" w:line="227" w:lineRule="auto"/>
              <w:ind w:left="100" w:right="157" w:firstLine="344"/>
            </w:pPr>
            <w:r>
              <w:rPr>
                <w:spacing w:val="-8"/>
              </w:rPr>
              <w:t>第十九条第二款</w:t>
            </w:r>
            <w:r>
              <w:rPr>
                <w:spacing w:val="74"/>
              </w:rPr>
              <w:t xml:space="preserve"> </w:t>
            </w:r>
            <w:r>
              <w:rPr>
                <w:spacing w:val="-8"/>
              </w:rPr>
              <w:t>运营单位应当向社会公布运营服务质量承诺并报城市轨道交通运营主管部门备案，定期</w:t>
            </w:r>
            <w:r>
              <w:t xml:space="preserve"> </w:t>
            </w:r>
            <w:r>
              <w:rPr>
                <w:spacing w:val="-7"/>
              </w:rPr>
              <w:t>报告履行情况。</w:t>
            </w:r>
          </w:p>
          <w:p w14:paraId="16B7E246">
            <w:pPr>
              <w:pStyle w:val="8"/>
              <w:spacing w:before="17" w:line="228" w:lineRule="auto"/>
              <w:ind w:left="106" w:right="203" w:firstLine="338"/>
            </w:pPr>
            <w:r>
              <w:rPr>
                <w:spacing w:val="-9"/>
              </w:rPr>
              <w:t>第二十条</w:t>
            </w:r>
            <w:r>
              <w:rPr>
                <w:spacing w:val="74"/>
              </w:rPr>
              <w:t xml:space="preserve"> </w:t>
            </w:r>
            <w:r>
              <w:rPr>
                <w:spacing w:val="-9"/>
              </w:rPr>
              <w:t>运营单位应当根据城市轨道交通沿线乘客出行规律及网络化运输组织要求，合理编制运行图，</w:t>
            </w:r>
            <w:r>
              <w:t xml:space="preserve"> </w:t>
            </w:r>
            <w:r>
              <w:rPr>
                <w:spacing w:val="-8"/>
              </w:rPr>
              <w:t>并报城市轨道交通运营主管部门备案。</w:t>
            </w:r>
          </w:p>
          <w:p w14:paraId="6B055F8D">
            <w:pPr>
              <w:pStyle w:val="8"/>
              <w:spacing w:before="16" w:line="219" w:lineRule="auto"/>
              <w:ind w:left="445"/>
            </w:pPr>
            <w:r>
              <w:rPr>
                <w:spacing w:val="-8"/>
              </w:rPr>
              <w:t>运营单位调整运行图严重影响服务质量的，应当向城市轨道交通运营主管部门说明理由。</w:t>
            </w:r>
          </w:p>
          <w:p w14:paraId="2F097D17">
            <w:pPr>
              <w:pStyle w:val="8"/>
              <w:spacing w:before="17" w:line="233" w:lineRule="auto"/>
              <w:ind w:left="102" w:right="150" w:firstLine="343"/>
            </w:pPr>
            <w:r>
              <w:rPr>
                <w:spacing w:val="-8"/>
              </w:rPr>
              <w:t>第二十一条</w:t>
            </w:r>
            <w:r>
              <w:rPr>
                <w:spacing w:val="74"/>
              </w:rPr>
              <w:t xml:space="preserve"> </w:t>
            </w:r>
            <w:r>
              <w:rPr>
                <w:spacing w:val="-8"/>
              </w:rPr>
              <w:t>运营单位应当通过标识、广播、视频设备、网络等多种方式按照下列要求向乘客提供运营服</w:t>
            </w:r>
            <w:r>
              <w:t xml:space="preserve"> </w:t>
            </w:r>
            <w:r>
              <w:rPr>
                <w:spacing w:val="-7"/>
              </w:rPr>
              <w:t>务和安全应急等信息</w:t>
            </w:r>
            <w:r>
              <w:rPr>
                <w:spacing w:val="-21"/>
              </w:rPr>
              <w:t>：（</w:t>
            </w:r>
            <w:r>
              <w:rPr>
                <w:spacing w:val="-7"/>
              </w:rPr>
              <w:t>一）在车站醒目位置公布首末班</w:t>
            </w:r>
            <w:r>
              <w:rPr>
                <w:spacing w:val="-8"/>
              </w:rPr>
              <w:t>车时间、城市轨道交通线网示意图、进出站指示、换</w:t>
            </w:r>
            <w:r>
              <w:rPr>
                <w:spacing w:val="1"/>
              </w:rPr>
              <w:t xml:space="preserve"> </w:t>
            </w:r>
            <w:r>
              <w:rPr>
                <w:spacing w:val="-7"/>
              </w:rPr>
              <w:t>乘指示和票价信息</w:t>
            </w:r>
            <w:r>
              <w:rPr>
                <w:spacing w:val="-22"/>
              </w:rPr>
              <w:t>；（</w:t>
            </w:r>
            <w:r>
              <w:rPr>
                <w:spacing w:val="-7"/>
              </w:rPr>
              <w:t>二）在站厅或者站台提供列车到达、间</w:t>
            </w:r>
            <w:r>
              <w:rPr>
                <w:spacing w:val="-8"/>
              </w:rPr>
              <w:t>隔时间、方向提示、周边交通方式换乘、安全提</w:t>
            </w:r>
            <w:r>
              <w:rPr>
                <w:spacing w:val="1"/>
              </w:rPr>
              <w:t xml:space="preserve"> </w:t>
            </w:r>
            <w:r>
              <w:rPr>
                <w:spacing w:val="-7"/>
              </w:rPr>
              <w:t>示、无障碍出行等信息</w:t>
            </w:r>
            <w:r>
              <w:rPr>
                <w:spacing w:val="-22"/>
              </w:rPr>
              <w:t>；（</w:t>
            </w:r>
            <w:r>
              <w:rPr>
                <w:spacing w:val="-7"/>
              </w:rPr>
              <w:t>三）在车厢提供城市轨道交通线网</w:t>
            </w:r>
            <w:r>
              <w:rPr>
                <w:spacing w:val="-8"/>
              </w:rPr>
              <w:t>示意图、列车运行方向、到站、换乘、开关车门</w:t>
            </w:r>
            <w:r>
              <w:rPr>
                <w:spacing w:val="1"/>
              </w:rPr>
              <w:t xml:space="preserve"> </w:t>
            </w:r>
            <w:r>
              <w:rPr>
                <w:spacing w:val="-7"/>
              </w:rPr>
              <w:t>提示等信息</w:t>
            </w:r>
            <w:r>
              <w:rPr>
                <w:spacing w:val="-22"/>
              </w:rPr>
              <w:t>；（</w:t>
            </w:r>
            <w:r>
              <w:rPr>
                <w:spacing w:val="-7"/>
              </w:rPr>
              <w:t>四）首末班车时间调整、车站出入口封闭、设</w:t>
            </w:r>
            <w:r>
              <w:rPr>
                <w:spacing w:val="-8"/>
              </w:rPr>
              <w:t>施设备故障、限流、封站、甩站、暂停运营等非</w:t>
            </w:r>
            <w:r>
              <w:rPr>
                <w:spacing w:val="1"/>
              </w:rPr>
              <w:t xml:space="preserve"> </w:t>
            </w:r>
            <w:r>
              <w:rPr>
                <w:spacing w:val="-7"/>
              </w:rPr>
              <w:t>正常运营信息。</w:t>
            </w:r>
          </w:p>
          <w:p w14:paraId="1D51B25F">
            <w:pPr>
              <w:pStyle w:val="8"/>
              <w:spacing w:before="15" w:line="227" w:lineRule="auto"/>
              <w:ind w:left="101" w:right="157" w:firstLine="343"/>
            </w:pPr>
            <w:r>
              <w:rPr>
                <w:spacing w:val="-8"/>
              </w:rPr>
              <w:t>第二十五条</w:t>
            </w:r>
            <w:r>
              <w:rPr>
                <w:spacing w:val="74"/>
              </w:rPr>
              <w:t xml:space="preserve"> </w:t>
            </w:r>
            <w:r>
              <w:rPr>
                <w:spacing w:val="-8"/>
              </w:rPr>
              <w:t>城市轨道交通运营主管部门和运营单位应当分别建立投诉受理制度。接到乘客投诉后，应当</w:t>
            </w:r>
            <w:r>
              <w:t xml:space="preserve"> </w:t>
            </w:r>
            <w:r>
              <w:rPr>
                <w:spacing w:val="-8"/>
              </w:rPr>
              <w:t>及时处理，并将处理结果告知乘客。</w:t>
            </w:r>
          </w:p>
          <w:p w14:paraId="6D8958DA">
            <w:pPr>
              <w:pStyle w:val="8"/>
              <w:spacing w:before="18" w:line="227" w:lineRule="auto"/>
              <w:ind w:left="102" w:right="157" w:firstLine="343"/>
            </w:pPr>
            <w:r>
              <w:rPr>
                <w:spacing w:val="-8"/>
              </w:rPr>
              <w:t>第四十五条第三款</w:t>
            </w:r>
            <w:r>
              <w:rPr>
                <w:spacing w:val="74"/>
              </w:rPr>
              <w:t xml:space="preserve"> </w:t>
            </w:r>
            <w:r>
              <w:rPr>
                <w:spacing w:val="-8"/>
              </w:rPr>
              <w:t>运营单位采取限流、甩站、封站、暂停运营措施应当及时告知公众，其中封站、暂停</w:t>
            </w:r>
            <w:r>
              <w:t xml:space="preserve"> </w:t>
            </w:r>
            <w:r>
              <w:rPr>
                <w:spacing w:val="-8"/>
              </w:rPr>
              <w:t>运营措施还应当向城市轨道交通运营主管部门报告。</w:t>
            </w:r>
          </w:p>
          <w:p w14:paraId="08CA1258">
            <w:pPr>
              <w:pStyle w:val="8"/>
              <w:spacing w:before="17" w:line="233" w:lineRule="auto"/>
              <w:ind w:left="103" w:right="88" w:firstLine="341"/>
              <w:jc w:val="both"/>
            </w:pPr>
            <w:r>
              <w:rPr>
                <w:spacing w:val="-8"/>
              </w:rPr>
              <w:t>第五十一条</w:t>
            </w:r>
            <w:r>
              <w:rPr>
                <w:spacing w:val="74"/>
              </w:rPr>
              <w:t xml:space="preserve"> </w:t>
            </w:r>
            <w:r>
              <w:rPr>
                <w:spacing w:val="-8"/>
              </w:rPr>
              <w:t>违反本规定，运营单位有下列行为之一，由城市轨道交通运营主管部门责令限期改正；逾期</w:t>
            </w:r>
            <w:r>
              <w:t xml:space="preserve"> </w:t>
            </w:r>
            <w:r>
              <w:rPr>
                <w:spacing w:val="-7"/>
              </w:rPr>
              <w:t>未改正的，处以1万元以下的罚款</w:t>
            </w:r>
            <w:r>
              <w:rPr>
                <w:spacing w:val="-25"/>
              </w:rPr>
              <w:t>：（</w:t>
            </w:r>
            <w:r>
              <w:rPr>
                <w:spacing w:val="-7"/>
              </w:rPr>
              <w:t>一）未向社会公布运营服务质量承诺或者定期报告履行情况</w:t>
            </w:r>
            <w:r>
              <w:rPr>
                <w:spacing w:val="-25"/>
              </w:rPr>
              <w:t>；（</w:t>
            </w:r>
            <w:r>
              <w:rPr>
                <w:spacing w:val="-7"/>
              </w:rPr>
              <w:t>二）</w:t>
            </w:r>
            <w:r>
              <w:rPr>
                <w:spacing w:val="-8"/>
              </w:rPr>
              <w:t>运行</w:t>
            </w:r>
            <w:r>
              <w:rPr>
                <w:spacing w:val="3"/>
              </w:rPr>
              <w:t xml:space="preserve"> </w:t>
            </w:r>
            <w:r>
              <w:rPr>
                <w:spacing w:val="-8"/>
              </w:rPr>
              <w:t>图未报城市轨道交通运营主管部门备案或者调整运行图严重影响服务质量的，未向城市轨道交通运营主</w:t>
            </w:r>
            <w:r>
              <w:rPr>
                <w:spacing w:val="-9"/>
              </w:rPr>
              <w:t>管部门</w:t>
            </w:r>
            <w:r>
              <w:t xml:space="preserve"> </w:t>
            </w:r>
            <w:r>
              <w:rPr>
                <w:spacing w:val="-7"/>
              </w:rPr>
              <w:t>说明理由</w:t>
            </w:r>
            <w:r>
              <w:rPr>
                <w:spacing w:val="-20"/>
              </w:rPr>
              <w:t>；（</w:t>
            </w:r>
            <w:r>
              <w:rPr>
                <w:spacing w:val="-7"/>
              </w:rPr>
              <w:t>三）未按规定向乘客提供运营服务和安全应急等信息</w:t>
            </w:r>
            <w:r>
              <w:rPr>
                <w:spacing w:val="-20"/>
              </w:rPr>
              <w:t>；（</w:t>
            </w:r>
            <w:r>
              <w:rPr>
                <w:spacing w:val="-7"/>
              </w:rPr>
              <w:t>四）未建立投诉受理制度，或者未及时</w:t>
            </w:r>
            <w:r>
              <w:rPr>
                <w:spacing w:val="1"/>
              </w:rPr>
              <w:t xml:space="preserve"> </w:t>
            </w:r>
            <w:r>
              <w:rPr>
                <w:spacing w:val="-7"/>
              </w:rPr>
              <w:t>处理乘客投诉并将处理结果告知乘客</w:t>
            </w:r>
            <w:r>
              <w:rPr>
                <w:spacing w:val="-22"/>
              </w:rPr>
              <w:t>；（</w:t>
            </w:r>
            <w:r>
              <w:rPr>
                <w:spacing w:val="-7"/>
              </w:rPr>
              <w:t>五）采取的限流、</w:t>
            </w:r>
            <w:r>
              <w:rPr>
                <w:spacing w:val="-8"/>
              </w:rPr>
              <w:t>甩站、封站、暂停运营等措施，未及时告知公众或</w:t>
            </w:r>
            <w:r>
              <w:rPr>
                <w:spacing w:val="1"/>
              </w:rPr>
              <w:t xml:space="preserve"> </w:t>
            </w:r>
            <w:r>
              <w:rPr>
                <w:spacing w:val="-8"/>
              </w:rPr>
              <w:t>者封站、暂停运营等措施未向城市轨道交通运营主管部门报告。</w:t>
            </w:r>
          </w:p>
        </w:tc>
        <w:tc>
          <w:tcPr>
            <w:tcW w:w="1011" w:type="dxa"/>
            <w:vAlign w:val="top"/>
          </w:tcPr>
          <w:p w14:paraId="26714B99">
            <w:pPr>
              <w:spacing w:line="243" w:lineRule="auto"/>
              <w:rPr>
                <w:rFonts w:ascii="Arial"/>
                <w:sz w:val="21"/>
              </w:rPr>
            </w:pPr>
          </w:p>
          <w:p w14:paraId="023579F2">
            <w:pPr>
              <w:spacing w:line="243" w:lineRule="auto"/>
              <w:rPr>
                <w:rFonts w:ascii="Arial"/>
                <w:sz w:val="21"/>
              </w:rPr>
            </w:pPr>
          </w:p>
          <w:p w14:paraId="51C9FB0E">
            <w:pPr>
              <w:spacing w:line="243" w:lineRule="auto"/>
              <w:rPr>
                <w:rFonts w:ascii="Arial"/>
                <w:sz w:val="21"/>
              </w:rPr>
            </w:pPr>
          </w:p>
          <w:p w14:paraId="25D7EDA1">
            <w:pPr>
              <w:spacing w:line="243" w:lineRule="auto"/>
              <w:rPr>
                <w:rFonts w:ascii="Arial"/>
                <w:sz w:val="21"/>
              </w:rPr>
            </w:pPr>
          </w:p>
          <w:p w14:paraId="1598724C">
            <w:pPr>
              <w:spacing w:line="243" w:lineRule="auto"/>
              <w:rPr>
                <w:rFonts w:ascii="Arial"/>
                <w:sz w:val="21"/>
              </w:rPr>
            </w:pPr>
          </w:p>
          <w:p w14:paraId="09A96656">
            <w:pPr>
              <w:spacing w:line="243" w:lineRule="auto"/>
              <w:rPr>
                <w:rFonts w:ascii="Arial"/>
                <w:sz w:val="21"/>
              </w:rPr>
            </w:pPr>
          </w:p>
          <w:p w14:paraId="31DEF711">
            <w:pPr>
              <w:spacing w:line="243" w:lineRule="auto"/>
              <w:rPr>
                <w:rFonts w:ascii="Arial"/>
                <w:sz w:val="21"/>
              </w:rPr>
            </w:pPr>
          </w:p>
          <w:p w14:paraId="680C4085">
            <w:pPr>
              <w:spacing w:line="243" w:lineRule="auto"/>
              <w:rPr>
                <w:rFonts w:ascii="Arial"/>
                <w:sz w:val="21"/>
              </w:rPr>
            </w:pPr>
          </w:p>
          <w:p w14:paraId="55829706">
            <w:pPr>
              <w:spacing w:line="243" w:lineRule="auto"/>
              <w:rPr>
                <w:rFonts w:ascii="Arial"/>
                <w:sz w:val="21"/>
              </w:rPr>
            </w:pPr>
          </w:p>
          <w:p w14:paraId="163FDBFF">
            <w:pPr>
              <w:spacing w:line="244" w:lineRule="auto"/>
              <w:rPr>
                <w:rFonts w:ascii="Arial"/>
                <w:sz w:val="21"/>
              </w:rPr>
            </w:pPr>
          </w:p>
          <w:p w14:paraId="34E179FC">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1E6ED40D">
            <w:pPr>
              <w:spacing w:line="243" w:lineRule="auto"/>
              <w:rPr>
                <w:rFonts w:ascii="Arial"/>
                <w:sz w:val="21"/>
              </w:rPr>
            </w:pPr>
          </w:p>
          <w:p w14:paraId="2C1DE0CC">
            <w:pPr>
              <w:spacing w:line="243" w:lineRule="auto"/>
              <w:rPr>
                <w:rFonts w:ascii="Arial"/>
                <w:sz w:val="21"/>
              </w:rPr>
            </w:pPr>
          </w:p>
          <w:p w14:paraId="6FCB857A">
            <w:pPr>
              <w:spacing w:line="243" w:lineRule="auto"/>
              <w:rPr>
                <w:rFonts w:ascii="Arial"/>
                <w:sz w:val="21"/>
              </w:rPr>
            </w:pPr>
          </w:p>
          <w:p w14:paraId="487C9B93">
            <w:pPr>
              <w:spacing w:line="243" w:lineRule="auto"/>
              <w:rPr>
                <w:rFonts w:ascii="Arial"/>
                <w:sz w:val="21"/>
              </w:rPr>
            </w:pPr>
          </w:p>
          <w:p w14:paraId="49B43731">
            <w:pPr>
              <w:spacing w:line="243" w:lineRule="auto"/>
              <w:rPr>
                <w:rFonts w:ascii="Arial"/>
                <w:sz w:val="21"/>
              </w:rPr>
            </w:pPr>
          </w:p>
          <w:p w14:paraId="59ADB7A8">
            <w:pPr>
              <w:spacing w:line="243" w:lineRule="auto"/>
              <w:rPr>
                <w:rFonts w:ascii="Arial"/>
                <w:sz w:val="21"/>
              </w:rPr>
            </w:pPr>
          </w:p>
          <w:p w14:paraId="61CC818A">
            <w:pPr>
              <w:spacing w:line="243" w:lineRule="auto"/>
              <w:rPr>
                <w:rFonts w:ascii="Arial"/>
                <w:sz w:val="21"/>
              </w:rPr>
            </w:pPr>
          </w:p>
          <w:p w14:paraId="7E2CE101">
            <w:pPr>
              <w:spacing w:line="243" w:lineRule="auto"/>
              <w:rPr>
                <w:rFonts w:ascii="Arial"/>
                <w:sz w:val="21"/>
              </w:rPr>
            </w:pPr>
          </w:p>
          <w:p w14:paraId="5A494623">
            <w:pPr>
              <w:spacing w:line="243" w:lineRule="auto"/>
              <w:rPr>
                <w:rFonts w:ascii="Arial"/>
                <w:sz w:val="21"/>
              </w:rPr>
            </w:pPr>
          </w:p>
          <w:p w14:paraId="7CA380E3">
            <w:pPr>
              <w:spacing w:line="244" w:lineRule="auto"/>
              <w:rPr>
                <w:rFonts w:ascii="Arial"/>
                <w:sz w:val="21"/>
              </w:rPr>
            </w:pPr>
          </w:p>
          <w:p w14:paraId="21D535B0">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5CE9B587">
            <w:pPr>
              <w:spacing w:line="243" w:lineRule="auto"/>
              <w:rPr>
                <w:rFonts w:ascii="Arial"/>
                <w:sz w:val="21"/>
              </w:rPr>
            </w:pPr>
          </w:p>
          <w:p w14:paraId="6FE7EDCB">
            <w:pPr>
              <w:spacing w:line="243" w:lineRule="auto"/>
              <w:rPr>
                <w:rFonts w:ascii="Arial"/>
                <w:sz w:val="21"/>
              </w:rPr>
            </w:pPr>
          </w:p>
          <w:p w14:paraId="2A615BB7">
            <w:pPr>
              <w:spacing w:line="244" w:lineRule="auto"/>
              <w:rPr>
                <w:rFonts w:ascii="Arial"/>
                <w:sz w:val="21"/>
              </w:rPr>
            </w:pPr>
          </w:p>
          <w:p w14:paraId="2817C6DF">
            <w:pPr>
              <w:spacing w:line="244" w:lineRule="auto"/>
              <w:rPr>
                <w:rFonts w:ascii="Arial"/>
                <w:sz w:val="21"/>
              </w:rPr>
            </w:pPr>
          </w:p>
          <w:p w14:paraId="233CD313">
            <w:pPr>
              <w:spacing w:line="244" w:lineRule="auto"/>
              <w:rPr>
                <w:rFonts w:ascii="Arial"/>
                <w:sz w:val="21"/>
              </w:rPr>
            </w:pPr>
          </w:p>
          <w:p w14:paraId="2C1E18AF">
            <w:pPr>
              <w:spacing w:line="244" w:lineRule="auto"/>
              <w:rPr>
                <w:rFonts w:ascii="Arial"/>
                <w:sz w:val="21"/>
              </w:rPr>
            </w:pPr>
          </w:p>
          <w:p w14:paraId="01A0AED1">
            <w:pPr>
              <w:spacing w:line="244" w:lineRule="auto"/>
              <w:rPr>
                <w:rFonts w:ascii="Arial"/>
                <w:sz w:val="21"/>
              </w:rPr>
            </w:pPr>
          </w:p>
          <w:p w14:paraId="1A278E8A">
            <w:pPr>
              <w:spacing w:line="244" w:lineRule="auto"/>
              <w:rPr>
                <w:rFonts w:ascii="Arial"/>
                <w:sz w:val="21"/>
              </w:rPr>
            </w:pPr>
          </w:p>
          <w:p w14:paraId="03AAF0BB">
            <w:pPr>
              <w:spacing w:line="244" w:lineRule="auto"/>
              <w:rPr>
                <w:rFonts w:ascii="Arial"/>
                <w:sz w:val="21"/>
              </w:rPr>
            </w:pPr>
          </w:p>
          <w:p w14:paraId="54233EEC">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31EE8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0" w:hRule="atLeast"/>
        </w:trPr>
        <w:tc>
          <w:tcPr>
            <w:tcW w:w="629" w:type="dxa"/>
            <w:vAlign w:val="top"/>
          </w:tcPr>
          <w:p w14:paraId="21DE0505">
            <w:pPr>
              <w:spacing w:line="241" w:lineRule="auto"/>
              <w:rPr>
                <w:rFonts w:ascii="Arial"/>
                <w:sz w:val="21"/>
              </w:rPr>
            </w:pPr>
          </w:p>
          <w:p w14:paraId="792C0BA3">
            <w:pPr>
              <w:spacing w:line="241" w:lineRule="auto"/>
              <w:rPr>
                <w:rFonts w:ascii="Arial"/>
                <w:sz w:val="21"/>
              </w:rPr>
            </w:pPr>
          </w:p>
          <w:p w14:paraId="1963FFB0">
            <w:pPr>
              <w:spacing w:line="241" w:lineRule="auto"/>
              <w:rPr>
                <w:rFonts w:ascii="Arial"/>
                <w:sz w:val="21"/>
              </w:rPr>
            </w:pPr>
          </w:p>
          <w:p w14:paraId="72C8DFA5">
            <w:pPr>
              <w:spacing w:line="241" w:lineRule="auto"/>
              <w:rPr>
                <w:rFonts w:ascii="Arial"/>
                <w:sz w:val="21"/>
              </w:rPr>
            </w:pPr>
          </w:p>
          <w:p w14:paraId="3BEF61D9">
            <w:pPr>
              <w:spacing w:line="241" w:lineRule="auto"/>
              <w:rPr>
                <w:rFonts w:ascii="Arial"/>
                <w:sz w:val="21"/>
              </w:rPr>
            </w:pPr>
          </w:p>
          <w:p w14:paraId="310C753C">
            <w:pPr>
              <w:spacing w:line="241" w:lineRule="auto"/>
              <w:rPr>
                <w:rFonts w:ascii="Arial"/>
                <w:sz w:val="21"/>
              </w:rPr>
            </w:pPr>
          </w:p>
          <w:p w14:paraId="6DC056F8">
            <w:pPr>
              <w:pStyle w:val="8"/>
              <w:spacing w:before="59" w:line="183" w:lineRule="auto"/>
              <w:ind w:left="221"/>
              <w:rPr>
                <w:rFonts w:hint="eastAsia" w:eastAsia="宋体"/>
                <w:lang w:eastAsia="zh-CN"/>
              </w:rPr>
            </w:pPr>
            <w:r>
              <w:rPr>
                <w:spacing w:val="-4"/>
              </w:rPr>
              <w:t>8</w:t>
            </w:r>
            <w:r>
              <w:rPr>
                <w:rFonts w:hint="eastAsia"/>
                <w:spacing w:val="-4"/>
                <w:lang w:val="en-US" w:eastAsia="zh-CN"/>
              </w:rPr>
              <w:t>1</w:t>
            </w:r>
          </w:p>
        </w:tc>
        <w:tc>
          <w:tcPr>
            <w:tcW w:w="1101" w:type="dxa"/>
            <w:vAlign w:val="top"/>
          </w:tcPr>
          <w:p w14:paraId="120AD0CD">
            <w:pPr>
              <w:spacing w:line="273" w:lineRule="auto"/>
              <w:rPr>
                <w:rFonts w:ascii="Arial"/>
                <w:sz w:val="21"/>
              </w:rPr>
            </w:pPr>
          </w:p>
          <w:p w14:paraId="3BED82AE">
            <w:pPr>
              <w:spacing w:line="274" w:lineRule="auto"/>
              <w:rPr>
                <w:rFonts w:ascii="Arial"/>
                <w:sz w:val="21"/>
              </w:rPr>
            </w:pPr>
          </w:p>
          <w:p w14:paraId="3B4154B4">
            <w:pPr>
              <w:spacing w:line="274" w:lineRule="auto"/>
              <w:rPr>
                <w:rFonts w:ascii="Arial"/>
                <w:sz w:val="21"/>
              </w:rPr>
            </w:pPr>
          </w:p>
          <w:p w14:paraId="0CEE5AFA">
            <w:pPr>
              <w:pStyle w:val="8"/>
              <w:spacing w:before="58" w:line="242" w:lineRule="auto"/>
              <w:ind w:left="19" w:right="20" w:hanging="1"/>
              <w:jc w:val="both"/>
            </w:pPr>
            <w:r>
              <w:rPr>
                <w:spacing w:val="-6"/>
              </w:rPr>
              <w:t>对高架线路桥</w:t>
            </w:r>
            <w:r>
              <w:rPr>
                <w:spacing w:val="2"/>
              </w:rPr>
              <w:t xml:space="preserve"> </w:t>
            </w:r>
            <w:r>
              <w:rPr>
                <w:spacing w:val="-6"/>
              </w:rPr>
              <w:t>下的空间使用</w:t>
            </w:r>
            <w:r>
              <w:t xml:space="preserve"> </w:t>
            </w:r>
            <w:r>
              <w:rPr>
                <w:spacing w:val="-6"/>
              </w:rPr>
              <w:t>可能危害城市</w:t>
            </w:r>
            <w:r>
              <w:t xml:space="preserve"> </w:t>
            </w:r>
            <w:r>
              <w:rPr>
                <w:spacing w:val="-6"/>
              </w:rPr>
              <w:t>轨道交通运营</w:t>
            </w:r>
            <w:r>
              <w:t xml:space="preserve"> </w:t>
            </w:r>
            <w:r>
              <w:rPr>
                <w:spacing w:val="-6"/>
              </w:rPr>
              <w:t>安全等行为的</w:t>
            </w:r>
            <w:r>
              <w:t xml:space="preserve"> </w:t>
            </w:r>
            <w:r>
              <w:rPr>
                <w:spacing w:val="-7"/>
              </w:rPr>
              <w:t>行政处罚</w:t>
            </w:r>
          </w:p>
        </w:tc>
        <w:tc>
          <w:tcPr>
            <w:tcW w:w="1101" w:type="dxa"/>
            <w:vAlign w:val="top"/>
          </w:tcPr>
          <w:p w14:paraId="2CC6738D">
            <w:pPr>
              <w:spacing w:line="283" w:lineRule="auto"/>
              <w:rPr>
                <w:rFonts w:ascii="Arial"/>
                <w:sz w:val="21"/>
              </w:rPr>
            </w:pPr>
          </w:p>
          <w:p w14:paraId="5BC529F2">
            <w:pPr>
              <w:spacing w:line="283" w:lineRule="auto"/>
              <w:rPr>
                <w:rFonts w:ascii="Arial"/>
                <w:sz w:val="21"/>
              </w:rPr>
            </w:pPr>
          </w:p>
          <w:p w14:paraId="5F726B6B">
            <w:pPr>
              <w:spacing w:line="284" w:lineRule="auto"/>
              <w:rPr>
                <w:rFonts w:ascii="Arial"/>
                <w:sz w:val="21"/>
              </w:rPr>
            </w:pPr>
          </w:p>
          <w:p w14:paraId="3E54C609">
            <w:pPr>
              <w:spacing w:line="284" w:lineRule="auto"/>
              <w:rPr>
                <w:rFonts w:ascii="Arial"/>
                <w:sz w:val="21"/>
              </w:rPr>
            </w:pPr>
          </w:p>
          <w:p w14:paraId="7B7746CB">
            <w:pPr>
              <w:spacing w:line="284" w:lineRule="auto"/>
              <w:rPr>
                <w:rFonts w:ascii="Arial"/>
                <w:sz w:val="21"/>
              </w:rPr>
            </w:pPr>
          </w:p>
          <w:p w14:paraId="176FC87A">
            <w:pPr>
              <w:pStyle w:val="8"/>
              <w:spacing w:before="58" w:line="220" w:lineRule="auto"/>
              <w:ind w:left="25"/>
            </w:pPr>
            <w:r>
              <w:rPr>
                <w:spacing w:val="-7"/>
              </w:rPr>
              <w:t>行政处罚</w:t>
            </w:r>
          </w:p>
        </w:tc>
        <w:tc>
          <w:tcPr>
            <w:tcW w:w="8524" w:type="dxa"/>
            <w:vAlign w:val="top"/>
          </w:tcPr>
          <w:p w14:paraId="4E03A747">
            <w:pPr>
              <w:pStyle w:val="8"/>
              <w:spacing w:before="285" w:line="219" w:lineRule="auto"/>
              <w:ind w:left="451"/>
            </w:pPr>
            <w:r>
              <w:rPr>
                <w:b/>
                <w:bCs/>
                <w:spacing w:val="-8"/>
              </w:rPr>
              <w:t>《城市轨道交通运营管理规定》(交通运输</w:t>
            </w:r>
            <w:r>
              <w:rPr>
                <w:b/>
                <w:bCs/>
                <w:spacing w:val="-9"/>
              </w:rPr>
              <w:t>部令2018年第8号)</w:t>
            </w:r>
          </w:p>
          <w:p w14:paraId="5314EF7D">
            <w:pPr>
              <w:pStyle w:val="8"/>
              <w:spacing w:before="26" w:line="233" w:lineRule="auto"/>
              <w:ind w:left="102" w:right="32" w:firstLine="343"/>
            </w:pPr>
            <w:r>
              <w:rPr>
                <w:spacing w:val="-9"/>
              </w:rPr>
              <w:t>第三十二条</w:t>
            </w:r>
            <w:r>
              <w:rPr>
                <w:spacing w:val="73"/>
              </w:rPr>
              <w:t xml:space="preserve"> </w:t>
            </w:r>
            <w:r>
              <w:rPr>
                <w:spacing w:val="-9"/>
              </w:rPr>
              <w:t>使用高架线路桥下空间不得危害城市轨道交通运营安全，并预留高架线路桥梁设施日常检查、</w:t>
            </w:r>
            <w:r>
              <w:t xml:space="preserve"> </w:t>
            </w:r>
            <w:r>
              <w:rPr>
                <w:spacing w:val="-8"/>
              </w:rPr>
              <w:t>检测和养护维修条件。</w:t>
            </w:r>
          </w:p>
          <w:p w14:paraId="2982A238">
            <w:pPr>
              <w:pStyle w:val="8"/>
              <w:spacing w:before="24" w:line="241" w:lineRule="auto"/>
              <w:ind w:left="104" w:right="150" w:firstLine="341"/>
              <w:jc w:val="both"/>
            </w:pPr>
            <w:r>
              <w:rPr>
                <w:spacing w:val="-8"/>
              </w:rPr>
              <w:t>地面、高架线路沿线建（构）筑物或者植物不得妨碍行车瞭望，不得侵入城市轨道交通线路的限界。沿线</w:t>
            </w:r>
            <w:r>
              <w:t xml:space="preserve"> </w:t>
            </w:r>
            <w:r>
              <w:rPr>
                <w:spacing w:val="-8"/>
              </w:rPr>
              <w:t>建（构）筑物、植物可能妨碍行车瞭望或者侵入线路限界的，责任单位应当及时采取措施消除影响。</w:t>
            </w:r>
            <w:r>
              <w:rPr>
                <w:spacing w:val="-9"/>
              </w:rPr>
              <w:t>责任单位</w:t>
            </w:r>
            <w:r>
              <w:t xml:space="preserve"> </w:t>
            </w:r>
            <w:r>
              <w:rPr>
                <w:spacing w:val="-8"/>
              </w:rPr>
              <w:t>不能消除影响，危及城市轨道交通运营安全、情况紧急的，运营单位可以先行处置，并及时报告有关</w:t>
            </w:r>
            <w:r>
              <w:rPr>
                <w:spacing w:val="-9"/>
              </w:rPr>
              <w:t>部门依法</w:t>
            </w:r>
            <w:r>
              <w:t xml:space="preserve"> </w:t>
            </w:r>
            <w:r>
              <w:rPr>
                <w:spacing w:val="-6"/>
              </w:rPr>
              <w:t>处理。</w:t>
            </w:r>
          </w:p>
          <w:p w14:paraId="1DBC62BD">
            <w:pPr>
              <w:pStyle w:val="8"/>
              <w:spacing w:before="19"/>
              <w:ind w:left="101" w:right="111" w:firstLine="343"/>
              <w:jc w:val="both"/>
            </w:pPr>
            <w:r>
              <w:rPr>
                <w:spacing w:val="-8"/>
              </w:rPr>
              <w:t>第五十二条</w:t>
            </w:r>
            <w:r>
              <w:rPr>
                <w:spacing w:val="74"/>
              </w:rPr>
              <w:t xml:space="preserve"> </w:t>
            </w:r>
            <w:r>
              <w:rPr>
                <w:spacing w:val="-8"/>
              </w:rPr>
              <w:t>违反本规定第三十二条，有下列行为之一，由城市轨道交通运营主管部门责令相关责任人和</w:t>
            </w:r>
            <w:r>
              <w:t xml:space="preserve"> </w:t>
            </w:r>
            <w:r>
              <w:rPr>
                <w:spacing w:val="-8"/>
              </w:rPr>
              <w:t>单位限期改正、消除影响；逾期未改正的，可以对个人</w:t>
            </w:r>
            <w:r>
              <w:rPr>
                <w:spacing w:val="-9"/>
              </w:rPr>
              <w:t>处以5000元以下的罚款，对单位处以3万元以下的罚款；</w:t>
            </w:r>
            <w:r>
              <w:t xml:space="preserve"> </w:t>
            </w:r>
            <w:r>
              <w:rPr>
                <w:spacing w:val="-7"/>
              </w:rPr>
              <w:t>造成损失的，依法承担赔偿责任；情节严重构成犯罪的</w:t>
            </w:r>
            <w:r>
              <w:rPr>
                <w:spacing w:val="-8"/>
              </w:rPr>
              <w:t>，依法追究刑事责任</w:t>
            </w:r>
            <w:r>
              <w:rPr>
                <w:spacing w:val="-21"/>
              </w:rPr>
              <w:t>：（</w:t>
            </w:r>
            <w:r>
              <w:rPr>
                <w:spacing w:val="-8"/>
              </w:rPr>
              <w:t>一）高架线路桥下的空间使用</w:t>
            </w:r>
            <w:r>
              <w:rPr>
                <w:spacing w:val="1"/>
              </w:rPr>
              <w:t xml:space="preserve"> </w:t>
            </w:r>
            <w:r>
              <w:rPr>
                <w:spacing w:val="-7"/>
              </w:rPr>
              <w:t>可能危害运营安全的</w:t>
            </w:r>
            <w:r>
              <w:rPr>
                <w:spacing w:val="-20"/>
              </w:rPr>
              <w:t>；（</w:t>
            </w:r>
            <w:r>
              <w:rPr>
                <w:spacing w:val="-7"/>
              </w:rPr>
              <w:t>二）地面、高架线路沿线建（构）筑物或者植物妨碍行</w:t>
            </w:r>
            <w:r>
              <w:rPr>
                <w:spacing w:val="-8"/>
              </w:rPr>
              <w:t>车瞭望、侵入限界的。</w:t>
            </w:r>
          </w:p>
        </w:tc>
        <w:tc>
          <w:tcPr>
            <w:tcW w:w="1011" w:type="dxa"/>
            <w:vAlign w:val="top"/>
          </w:tcPr>
          <w:p w14:paraId="7740FAB8">
            <w:pPr>
              <w:spacing w:line="259" w:lineRule="auto"/>
              <w:rPr>
                <w:rFonts w:ascii="Arial"/>
                <w:sz w:val="21"/>
              </w:rPr>
            </w:pPr>
          </w:p>
          <w:p w14:paraId="0B97F8C5">
            <w:pPr>
              <w:spacing w:line="259" w:lineRule="auto"/>
              <w:rPr>
                <w:rFonts w:ascii="Arial"/>
                <w:sz w:val="21"/>
              </w:rPr>
            </w:pPr>
          </w:p>
          <w:p w14:paraId="48E1C53B">
            <w:pPr>
              <w:spacing w:line="260" w:lineRule="auto"/>
              <w:rPr>
                <w:rFonts w:ascii="Arial"/>
                <w:sz w:val="21"/>
              </w:rPr>
            </w:pPr>
          </w:p>
          <w:p w14:paraId="603D357D">
            <w:pPr>
              <w:spacing w:line="260" w:lineRule="auto"/>
              <w:rPr>
                <w:rFonts w:ascii="Arial"/>
                <w:sz w:val="21"/>
              </w:rPr>
            </w:pPr>
          </w:p>
          <w:p w14:paraId="1C28796C">
            <w:pPr>
              <w:spacing w:line="260" w:lineRule="auto"/>
              <w:rPr>
                <w:rFonts w:ascii="Arial"/>
                <w:sz w:val="21"/>
              </w:rPr>
            </w:pPr>
          </w:p>
          <w:p w14:paraId="6EA69B80">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655C2676">
            <w:pPr>
              <w:spacing w:line="259" w:lineRule="auto"/>
              <w:rPr>
                <w:rFonts w:ascii="Arial"/>
                <w:sz w:val="21"/>
              </w:rPr>
            </w:pPr>
          </w:p>
          <w:p w14:paraId="2862B53F">
            <w:pPr>
              <w:spacing w:line="259" w:lineRule="auto"/>
              <w:rPr>
                <w:rFonts w:ascii="Arial"/>
                <w:sz w:val="21"/>
              </w:rPr>
            </w:pPr>
          </w:p>
          <w:p w14:paraId="0BFDAB27">
            <w:pPr>
              <w:spacing w:line="260" w:lineRule="auto"/>
              <w:rPr>
                <w:rFonts w:ascii="Arial"/>
                <w:sz w:val="21"/>
              </w:rPr>
            </w:pPr>
          </w:p>
          <w:p w14:paraId="6F07FA5D">
            <w:pPr>
              <w:spacing w:line="260" w:lineRule="auto"/>
              <w:rPr>
                <w:rFonts w:ascii="Arial"/>
                <w:sz w:val="21"/>
              </w:rPr>
            </w:pPr>
          </w:p>
          <w:p w14:paraId="33030DCA">
            <w:pPr>
              <w:spacing w:line="260" w:lineRule="auto"/>
              <w:rPr>
                <w:rFonts w:ascii="Arial"/>
                <w:sz w:val="21"/>
              </w:rPr>
            </w:pPr>
          </w:p>
          <w:p w14:paraId="104E4118">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06CBDC70">
            <w:pPr>
              <w:spacing w:line="265" w:lineRule="auto"/>
              <w:rPr>
                <w:rFonts w:ascii="Arial"/>
                <w:sz w:val="21"/>
              </w:rPr>
            </w:pPr>
          </w:p>
          <w:p w14:paraId="6B68A04A">
            <w:pPr>
              <w:spacing w:line="265" w:lineRule="auto"/>
              <w:rPr>
                <w:rFonts w:ascii="Arial"/>
                <w:sz w:val="21"/>
              </w:rPr>
            </w:pPr>
          </w:p>
          <w:p w14:paraId="649FE692">
            <w:pPr>
              <w:spacing w:line="265" w:lineRule="auto"/>
              <w:rPr>
                <w:rFonts w:ascii="Arial"/>
                <w:sz w:val="21"/>
              </w:rPr>
            </w:pPr>
          </w:p>
          <w:p w14:paraId="0561853F">
            <w:pPr>
              <w:spacing w:line="266" w:lineRule="auto"/>
              <w:rPr>
                <w:rFonts w:ascii="Arial"/>
                <w:sz w:val="21"/>
              </w:rPr>
            </w:pPr>
          </w:p>
          <w:p w14:paraId="0573D949">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7A8DBCC1">
      <w:pPr>
        <w:pStyle w:val="2"/>
      </w:pPr>
    </w:p>
    <w:p w14:paraId="72CEE85F">
      <w:pPr>
        <w:sectPr>
          <w:footerReference r:id="rId59" w:type="default"/>
          <w:pgSz w:w="16839" w:h="11906"/>
          <w:pgMar w:top="1012" w:right="1016" w:bottom="966" w:left="1016" w:header="0" w:footer="768" w:gutter="0"/>
          <w:cols w:space="720" w:num="1"/>
        </w:sectPr>
      </w:pPr>
    </w:p>
    <w:p w14:paraId="78396D5F">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08843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629" w:type="dxa"/>
            <w:vMerge w:val="restart"/>
            <w:tcBorders>
              <w:bottom w:val="nil"/>
            </w:tcBorders>
            <w:vAlign w:val="top"/>
          </w:tcPr>
          <w:p w14:paraId="583E8648">
            <w:pPr>
              <w:pStyle w:val="8"/>
              <w:spacing w:before="273" w:line="221" w:lineRule="auto"/>
              <w:ind w:left="129"/>
            </w:pPr>
            <w:r>
              <w:rPr>
                <w:b/>
                <w:bCs/>
                <w:spacing w:val="-4"/>
              </w:rPr>
              <w:t>序号</w:t>
            </w:r>
          </w:p>
        </w:tc>
        <w:tc>
          <w:tcPr>
            <w:tcW w:w="1101" w:type="dxa"/>
            <w:vMerge w:val="restart"/>
            <w:tcBorders>
              <w:bottom w:val="nil"/>
            </w:tcBorders>
            <w:vAlign w:val="top"/>
          </w:tcPr>
          <w:p w14:paraId="2DEFD90A">
            <w:pPr>
              <w:pStyle w:val="8"/>
              <w:spacing w:before="274" w:line="220" w:lineRule="auto"/>
              <w:ind w:left="182"/>
            </w:pPr>
            <w:r>
              <w:rPr>
                <w:b/>
                <w:bCs/>
                <w:spacing w:val="-4"/>
              </w:rPr>
              <w:t>事项名称</w:t>
            </w:r>
          </w:p>
        </w:tc>
        <w:tc>
          <w:tcPr>
            <w:tcW w:w="1101" w:type="dxa"/>
            <w:vMerge w:val="restart"/>
            <w:tcBorders>
              <w:bottom w:val="nil"/>
            </w:tcBorders>
            <w:vAlign w:val="top"/>
          </w:tcPr>
          <w:p w14:paraId="2CA02E47">
            <w:pPr>
              <w:pStyle w:val="8"/>
              <w:spacing w:before="274" w:line="219" w:lineRule="auto"/>
              <w:ind w:left="183"/>
            </w:pPr>
            <w:r>
              <w:rPr>
                <w:b/>
                <w:bCs/>
                <w:spacing w:val="-4"/>
              </w:rPr>
              <w:t>职权类型</w:t>
            </w:r>
          </w:p>
        </w:tc>
        <w:tc>
          <w:tcPr>
            <w:tcW w:w="8524" w:type="dxa"/>
            <w:vMerge w:val="restart"/>
            <w:tcBorders>
              <w:bottom w:val="nil"/>
            </w:tcBorders>
            <w:vAlign w:val="top"/>
          </w:tcPr>
          <w:p w14:paraId="36BB6082">
            <w:pPr>
              <w:pStyle w:val="8"/>
              <w:spacing w:before="273" w:line="219" w:lineRule="auto"/>
              <w:ind w:left="4083"/>
            </w:pPr>
            <w:r>
              <w:rPr>
                <w:b/>
                <w:bCs/>
                <w:spacing w:val="-5"/>
              </w:rPr>
              <w:t>实施依据</w:t>
            </w:r>
          </w:p>
        </w:tc>
        <w:tc>
          <w:tcPr>
            <w:tcW w:w="3435" w:type="dxa"/>
            <w:gridSpan w:val="3"/>
            <w:vAlign w:val="top"/>
          </w:tcPr>
          <w:p w14:paraId="4B282ECC">
            <w:pPr>
              <w:pStyle w:val="8"/>
              <w:spacing w:before="94" w:line="220" w:lineRule="auto"/>
              <w:ind w:left="1360"/>
            </w:pPr>
            <w:r>
              <w:rPr>
                <w:b/>
                <w:bCs/>
                <w:spacing w:val="-5"/>
              </w:rPr>
              <w:t>实施主体</w:t>
            </w:r>
          </w:p>
        </w:tc>
      </w:tr>
      <w:tr w14:paraId="56384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383F04C3">
            <w:pPr>
              <w:rPr>
                <w:rFonts w:ascii="Arial"/>
                <w:sz w:val="21"/>
              </w:rPr>
            </w:pPr>
          </w:p>
        </w:tc>
        <w:tc>
          <w:tcPr>
            <w:tcW w:w="1101" w:type="dxa"/>
            <w:vMerge w:val="continue"/>
            <w:tcBorders>
              <w:top w:val="nil"/>
            </w:tcBorders>
            <w:vAlign w:val="top"/>
          </w:tcPr>
          <w:p w14:paraId="29D10049">
            <w:pPr>
              <w:rPr>
                <w:rFonts w:ascii="Arial"/>
                <w:sz w:val="21"/>
              </w:rPr>
            </w:pPr>
          </w:p>
        </w:tc>
        <w:tc>
          <w:tcPr>
            <w:tcW w:w="1101" w:type="dxa"/>
            <w:vMerge w:val="continue"/>
            <w:tcBorders>
              <w:top w:val="nil"/>
            </w:tcBorders>
            <w:vAlign w:val="top"/>
          </w:tcPr>
          <w:p w14:paraId="114B3786">
            <w:pPr>
              <w:rPr>
                <w:rFonts w:ascii="Arial"/>
                <w:sz w:val="21"/>
              </w:rPr>
            </w:pPr>
          </w:p>
        </w:tc>
        <w:tc>
          <w:tcPr>
            <w:tcW w:w="8524" w:type="dxa"/>
            <w:vMerge w:val="continue"/>
            <w:tcBorders>
              <w:top w:val="nil"/>
            </w:tcBorders>
            <w:vAlign w:val="top"/>
          </w:tcPr>
          <w:p w14:paraId="5B6ED169">
            <w:pPr>
              <w:rPr>
                <w:rFonts w:ascii="Arial"/>
                <w:sz w:val="21"/>
              </w:rPr>
            </w:pPr>
          </w:p>
        </w:tc>
        <w:tc>
          <w:tcPr>
            <w:tcW w:w="1011" w:type="dxa"/>
            <w:vAlign w:val="top"/>
          </w:tcPr>
          <w:p w14:paraId="1E9D6178">
            <w:pPr>
              <w:pStyle w:val="8"/>
              <w:spacing w:before="85" w:line="219" w:lineRule="auto"/>
              <w:ind w:left="154"/>
            </w:pPr>
            <w:r>
              <w:rPr>
                <w:b/>
                <w:bCs/>
                <w:spacing w:val="-5"/>
              </w:rPr>
              <w:t>责任部门</w:t>
            </w:r>
          </w:p>
        </w:tc>
        <w:tc>
          <w:tcPr>
            <w:tcW w:w="1404" w:type="dxa"/>
            <w:vAlign w:val="top"/>
          </w:tcPr>
          <w:p w14:paraId="06DB23C0">
            <w:pPr>
              <w:pStyle w:val="8"/>
              <w:spacing w:before="85" w:line="219" w:lineRule="auto"/>
              <w:ind w:left="164"/>
            </w:pPr>
            <w:r>
              <w:rPr>
                <w:b/>
                <w:bCs/>
                <w:spacing w:val="-3"/>
              </w:rPr>
              <w:t>第一责任层级</w:t>
            </w:r>
          </w:p>
        </w:tc>
        <w:tc>
          <w:tcPr>
            <w:tcW w:w="1020" w:type="dxa"/>
            <w:vAlign w:val="top"/>
          </w:tcPr>
          <w:p w14:paraId="526CF02F">
            <w:pPr>
              <w:pStyle w:val="8"/>
              <w:spacing w:before="84" w:line="219" w:lineRule="auto"/>
              <w:ind w:left="114"/>
            </w:pPr>
            <w:r>
              <w:rPr>
                <w:b/>
                <w:bCs/>
                <w:spacing w:val="-4"/>
              </w:rPr>
              <w:t>承办机构</w:t>
            </w:r>
          </w:p>
        </w:tc>
      </w:tr>
      <w:tr w14:paraId="7A682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7" w:hRule="atLeast"/>
        </w:trPr>
        <w:tc>
          <w:tcPr>
            <w:tcW w:w="629" w:type="dxa"/>
            <w:vAlign w:val="top"/>
          </w:tcPr>
          <w:p w14:paraId="075958DC">
            <w:pPr>
              <w:spacing w:line="248" w:lineRule="auto"/>
              <w:rPr>
                <w:rFonts w:ascii="Arial"/>
                <w:sz w:val="21"/>
              </w:rPr>
            </w:pPr>
          </w:p>
          <w:p w14:paraId="239DE164">
            <w:pPr>
              <w:spacing w:line="248" w:lineRule="auto"/>
              <w:rPr>
                <w:rFonts w:ascii="Arial"/>
                <w:sz w:val="21"/>
              </w:rPr>
            </w:pPr>
          </w:p>
          <w:p w14:paraId="748BBB40">
            <w:pPr>
              <w:spacing w:line="248" w:lineRule="auto"/>
              <w:rPr>
                <w:rFonts w:ascii="Arial"/>
                <w:sz w:val="21"/>
              </w:rPr>
            </w:pPr>
          </w:p>
          <w:p w14:paraId="7FCB4407">
            <w:pPr>
              <w:spacing w:line="249" w:lineRule="auto"/>
              <w:rPr>
                <w:rFonts w:ascii="Arial"/>
                <w:sz w:val="21"/>
              </w:rPr>
            </w:pPr>
          </w:p>
          <w:p w14:paraId="059D2553">
            <w:pPr>
              <w:pStyle w:val="8"/>
              <w:spacing w:before="58" w:line="183" w:lineRule="auto"/>
              <w:ind w:left="221"/>
              <w:rPr>
                <w:rFonts w:hint="eastAsia" w:eastAsia="宋体"/>
                <w:lang w:eastAsia="zh-CN"/>
              </w:rPr>
            </w:pPr>
            <w:r>
              <w:rPr>
                <w:spacing w:val="-4"/>
              </w:rPr>
              <w:t>8</w:t>
            </w:r>
            <w:r>
              <w:rPr>
                <w:rFonts w:hint="eastAsia"/>
                <w:spacing w:val="-4"/>
                <w:lang w:val="en-US" w:eastAsia="zh-CN"/>
              </w:rPr>
              <w:t>2</w:t>
            </w:r>
          </w:p>
        </w:tc>
        <w:tc>
          <w:tcPr>
            <w:tcW w:w="1101" w:type="dxa"/>
            <w:vAlign w:val="top"/>
          </w:tcPr>
          <w:p w14:paraId="1BEBDCA1">
            <w:pPr>
              <w:spacing w:line="367" w:lineRule="auto"/>
              <w:rPr>
                <w:rFonts w:ascii="Arial"/>
                <w:sz w:val="21"/>
              </w:rPr>
            </w:pPr>
          </w:p>
          <w:p w14:paraId="44848CAB">
            <w:pPr>
              <w:pStyle w:val="8"/>
              <w:spacing w:before="59" w:line="242" w:lineRule="auto"/>
              <w:ind w:left="19" w:right="20" w:hanging="1"/>
            </w:pPr>
            <w:r>
              <w:rPr>
                <w:spacing w:val="-6"/>
              </w:rPr>
              <w:t>对损坏隧道、</w:t>
            </w:r>
            <w:r>
              <w:rPr>
                <w:spacing w:val="2"/>
              </w:rPr>
              <w:t xml:space="preserve"> </w:t>
            </w:r>
            <w:r>
              <w:rPr>
                <w:spacing w:val="-6"/>
              </w:rPr>
              <w:t>轨道、路基等</w:t>
            </w:r>
            <w:r>
              <w:t xml:space="preserve"> </w:t>
            </w:r>
            <w:r>
              <w:rPr>
                <w:spacing w:val="-6"/>
              </w:rPr>
              <w:t>危害城市轨道</w:t>
            </w:r>
            <w:r>
              <w:t xml:space="preserve"> </w:t>
            </w:r>
            <w:r>
              <w:rPr>
                <w:spacing w:val="-6"/>
              </w:rPr>
              <w:t>交通运营设施</w:t>
            </w:r>
            <w:r>
              <w:t xml:space="preserve"> </w:t>
            </w:r>
            <w:r>
              <w:rPr>
                <w:spacing w:val="-6"/>
              </w:rPr>
              <w:t>设备安全等行</w:t>
            </w:r>
            <w:r>
              <w:t xml:space="preserve"> </w:t>
            </w:r>
            <w:r>
              <w:rPr>
                <w:spacing w:val="-7"/>
              </w:rPr>
              <w:t>为的行政处罚</w:t>
            </w:r>
          </w:p>
        </w:tc>
        <w:tc>
          <w:tcPr>
            <w:tcW w:w="1101" w:type="dxa"/>
            <w:vAlign w:val="top"/>
          </w:tcPr>
          <w:p w14:paraId="6ABC8872">
            <w:pPr>
              <w:spacing w:line="241" w:lineRule="auto"/>
              <w:rPr>
                <w:rFonts w:ascii="Arial"/>
                <w:sz w:val="21"/>
              </w:rPr>
            </w:pPr>
          </w:p>
          <w:p w14:paraId="206B943C">
            <w:pPr>
              <w:spacing w:line="241" w:lineRule="auto"/>
              <w:rPr>
                <w:rFonts w:ascii="Arial"/>
                <w:sz w:val="21"/>
              </w:rPr>
            </w:pPr>
          </w:p>
          <w:p w14:paraId="3ED025D8">
            <w:pPr>
              <w:spacing w:line="241" w:lineRule="auto"/>
              <w:rPr>
                <w:rFonts w:ascii="Arial"/>
                <w:sz w:val="21"/>
              </w:rPr>
            </w:pPr>
          </w:p>
          <w:p w14:paraId="29BBC651">
            <w:pPr>
              <w:spacing w:line="241" w:lineRule="auto"/>
              <w:rPr>
                <w:rFonts w:ascii="Arial"/>
                <w:sz w:val="21"/>
              </w:rPr>
            </w:pPr>
          </w:p>
          <w:p w14:paraId="4F087C5C">
            <w:pPr>
              <w:pStyle w:val="8"/>
              <w:spacing w:before="59" w:line="220" w:lineRule="auto"/>
              <w:ind w:left="25"/>
            </w:pPr>
            <w:r>
              <w:rPr>
                <w:spacing w:val="-7"/>
              </w:rPr>
              <w:t>行政处罚</w:t>
            </w:r>
          </w:p>
        </w:tc>
        <w:tc>
          <w:tcPr>
            <w:tcW w:w="8524" w:type="dxa"/>
            <w:vAlign w:val="top"/>
          </w:tcPr>
          <w:p w14:paraId="1448614A">
            <w:pPr>
              <w:pStyle w:val="8"/>
              <w:spacing w:before="189" w:line="219" w:lineRule="auto"/>
              <w:ind w:left="451"/>
            </w:pPr>
            <w:r>
              <w:rPr>
                <w:b/>
                <w:bCs/>
                <w:spacing w:val="-8"/>
              </w:rPr>
              <w:t>《城市轨道交通运营管理规定》(交通运输</w:t>
            </w:r>
            <w:r>
              <w:rPr>
                <w:b/>
                <w:bCs/>
                <w:spacing w:val="-9"/>
              </w:rPr>
              <w:t>部令2018年第8号)</w:t>
            </w:r>
          </w:p>
          <w:p w14:paraId="6E5546FA">
            <w:pPr>
              <w:pStyle w:val="8"/>
              <w:spacing w:before="28" w:line="239" w:lineRule="auto"/>
              <w:ind w:left="101" w:right="32" w:firstLine="343"/>
              <w:jc w:val="both"/>
            </w:pPr>
            <w:r>
              <w:rPr>
                <w:spacing w:val="-8"/>
              </w:rPr>
              <w:t>第三十三条</w:t>
            </w:r>
            <w:r>
              <w:rPr>
                <w:spacing w:val="73"/>
              </w:rPr>
              <w:t xml:space="preserve"> </w:t>
            </w:r>
            <w:r>
              <w:rPr>
                <w:spacing w:val="-8"/>
              </w:rPr>
              <w:t>禁止下列危害城市轨道交通运营设施设备安全的行为</w:t>
            </w:r>
            <w:r>
              <w:rPr>
                <w:spacing w:val="-24"/>
              </w:rPr>
              <w:t>：（</w:t>
            </w:r>
            <w:r>
              <w:rPr>
                <w:spacing w:val="-8"/>
              </w:rPr>
              <w:t>一）</w:t>
            </w:r>
            <w:r>
              <w:rPr>
                <w:spacing w:val="-9"/>
              </w:rPr>
              <w:t>损坏隧道、轨道、路基、高架、</w:t>
            </w:r>
            <w:r>
              <w:t xml:space="preserve"> </w:t>
            </w:r>
            <w:r>
              <w:rPr>
                <w:spacing w:val="-8"/>
              </w:rPr>
              <w:t>车站、通风亭、冷却塔、变电站、管线、护栏护</w:t>
            </w:r>
            <w:r>
              <w:rPr>
                <w:spacing w:val="-9"/>
              </w:rPr>
              <w:t>网等设施</w:t>
            </w:r>
            <w:r>
              <w:rPr>
                <w:spacing w:val="-23"/>
              </w:rPr>
              <w:t>；（</w:t>
            </w:r>
            <w:r>
              <w:rPr>
                <w:spacing w:val="-9"/>
              </w:rPr>
              <w:t>二）损坏车辆、机电、电缆、自动售检票等设备，</w:t>
            </w:r>
            <w:r>
              <w:rPr>
                <w:spacing w:val="1"/>
              </w:rPr>
              <w:t xml:space="preserve"> </w:t>
            </w:r>
            <w:r>
              <w:rPr>
                <w:spacing w:val="-7"/>
              </w:rPr>
              <w:t>干扰通信信号、视频监控设备等系统</w:t>
            </w:r>
            <w:r>
              <w:rPr>
                <w:spacing w:val="-22"/>
              </w:rPr>
              <w:t>；（</w:t>
            </w:r>
            <w:r>
              <w:rPr>
                <w:spacing w:val="-7"/>
              </w:rPr>
              <w:t>三）擅自在高架桥梁及</w:t>
            </w:r>
            <w:r>
              <w:rPr>
                <w:spacing w:val="-8"/>
              </w:rPr>
              <w:t>附属结构上钻孔打眼，搭设电线或者其他承力</w:t>
            </w:r>
            <w:r>
              <w:t xml:space="preserve">  </w:t>
            </w:r>
            <w:r>
              <w:rPr>
                <w:spacing w:val="-7"/>
              </w:rPr>
              <w:t>绳索，设置附着物</w:t>
            </w:r>
            <w:r>
              <w:rPr>
                <w:spacing w:val="-22"/>
              </w:rPr>
              <w:t>；（</w:t>
            </w:r>
            <w:r>
              <w:rPr>
                <w:spacing w:val="-7"/>
              </w:rPr>
              <w:t>四）损坏、移动、遮盖安全标志、监测设施以及安全防护设备。</w:t>
            </w:r>
          </w:p>
          <w:p w14:paraId="479F394B">
            <w:pPr>
              <w:pStyle w:val="8"/>
              <w:spacing w:before="26" w:line="237" w:lineRule="auto"/>
              <w:ind w:left="101" w:right="88" w:firstLine="343"/>
              <w:jc w:val="both"/>
            </w:pPr>
            <w:r>
              <w:rPr>
                <w:spacing w:val="-8"/>
              </w:rPr>
              <w:t>第五十三条</w:t>
            </w:r>
            <w:r>
              <w:rPr>
                <w:spacing w:val="74"/>
              </w:rPr>
              <w:t xml:space="preserve"> </w:t>
            </w:r>
            <w:r>
              <w:rPr>
                <w:spacing w:val="-8"/>
              </w:rPr>
              <w:t>违反本规定第三十三条、第三十四条，运营单位有权予以制止，并由城市轨道交通运营主管</w:t>
            </w:r>
            <w:r>
              <w:t xml:space="preserve"> </w:t>
            </w:r>
            <w:r>
              <w:rPr>
                <w:spacing w:val="-8"/>
              </w:rPr>
              <w:t>们责令改正，可以对个人处以5000元以下的罚款，对单位处以3万元以下的罚款；违反治安管理规定的</w:t>
            </w:r>
            <w:r>
              <w:rPr>
                <w:spacing w:val="-9"/>
              </w:rPr>
              <w:t>，由公安</w:t>
            </w:r>
            <w:r>
              <w:t xml:space="preserve"> </w:t>
            </w:r>
            <w:r>
              <w:rPr>
                <w:spacing w:val="-8"/>
              </w:rPr>
              <w:t>机关依法处理；构成犯罪的，依法追究刑事责任。</w:t>
            </w:r>
          </w:p>
        </w:tc>
        <w:tc>
          <w:tcPr>
            <w:tcW w:w="1011" w:type="dxa"/>
            <w:vAlign w:val="top"/>
          </w:tcPr>
          <w:p w14:paraId="45CAD16C">
            <w:pPr>
              <w:spacing w:line="281" w:lineRule="auto"/>
              <w:rPr>
                <w:rFonts w:ascii="Arial"/>
                <w:sz w:val="21"/>
              </w:rPr>
            </w:pPr>
          </w:p>
          <w:p w14:paraId="32211B17">
            <w:pPr>
              <w:spacing w:line="282" w:lineRule="auto"/>
              <w:rPr>
                <w:rFonts w:ascii="Arial"/>
                <w:sz w:val="21"/>
              </w:rPr>
            </w:pPr>
          </w:p>
          <w:p w14:paraId="0202BCC7">
            <w:pPr>
              <w:spacing w:line="282" w:lineRule="auto"/>
              <w:rPr>
                <w:rFonts w:ascii="Arial"/>
                <w:sz w:val="21"/>
              </w:rPr>
            </w:pPr>
          </w:p>
          <w:p w14:paraId="0C83C49B">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2F43431">
            <w:pPr>
              <w:spacing w:line="281" w:lineRule="auto"/>
              <w:rPr>
                <w:rFonts w:ascii="Arial"/>
                <w:sz w:val="21"/>
              </w:rPr>
            </w:pPr>
          </w:p>
          <w:p w14:paraId="182592ED">
            <w:pPr>
              <w:spacing w:line="282" w:lineRule="auto"/>
              <w:rPr>
                <w:rFonts w:ascii="Arial"/>
                <w:sz w:val="21"/>
              </w:rPr>
            </w:pPr>
          </w:p>
          <w:p w14:paraId="78DCF8DA">
            <w:pPr>
              <w:spacing w:line="282" w:lineRule="auto"/>
              <w:rPr>
                <w:rFonts w:ascii="Arial"/>
                <w:sz w:val="21"/>
              </w:rPr>
            </w:pPr>
          </w:p>
          <w:p w14:paraId="5095A586">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14F3F925">
            <w:pPr>
              <w:spacing w:line="304" w:lineRule="auto"/>
              <w:rPr>
                <w:rFonts w:ascii="Arial"/>
                <w:sz w:val="21"/>
              </w:rPr>
            </w:pPr>
          </w:p>
          <w:p w14:paraId="23C338DF">
            <w:pPr>
              <w:spacing w:line="304" w:lineRule="auto"/>
              <w:rPr>
                <w:rFonts w:ascii="Arial"/>
                <w:sz w:val="21"/>
              </w:rPr>
            </w:pPr>
          </w:p>
          <w:p w14:paraId="2178A5E6">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0A1D1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41" w:hRule="atLeast"/>
        </w:trPr>
        <w:tc>
          <w:tcPr>
            <w:tcW w:w="629" w:type="dxa"/>
            <w:vAlign w:val="top"/>
          </w:tcPr>
          <w:p w14:paraId="3331B621">
            <w:pPr>
              <w:rPr>
                <w:rFonts w:ascii="Arial"/>
                <w:sz w:val="21"/>
              </w:rPr>
            </w:pPr>
          </w:p>
          <w:p w14:paraId="44AB0003">
            <w:pPr>
              <w:rPr>
                <w:rFonts w:ascii="Arial"/>
                <w:sz w:val="21"/>
              </w:rPr>
            </w:pPr>
          </w:p>
          <w:p w14:paraId="7FD3302B">
            <w:pPr>
              <w:rPr>
                <w:rFonts w:ascii="Arial"/>
                <w:sz w:val="21"/>
              </w:rPr>
            </w:pPr>
          </w:p>
          <w:p w14:paraId="4576313E">
            <w:pPr>
              <w:spacing w:line="241" w:lineRule="auto"/>
              <w:rPr>
                <w:rFonts w:ascii="Arial"/>
                <w:sz w:val="21"/>
              </w:rPr>
            </w:pPr>
          </w:p>
          <w:p w14:paraId="11A46160">
            <w:pPr>
              <w:spacing w:line="241" w:lineRule="auto"/>
              <w:rPr>
                <w:rFonts w:ascii="Arial"/>
                <w:sz w:val="21"/>
              </w:rPr>
            </w:pPr>
          </w:p>
          <w:p w14:paraId="29AD7570">
            <w:pPr>
              <w:pStyle w:val="8"/>
              <w:spacing w:before="59" w:line="183" w:lineRule="auto"/>
              <w:ind w:left="221"/>
              <w:rPr>
                <w:rFonts w:hint="eastAsia" w:eastAsia="宋体"/>
                <w:lang w:eastAsia="zh-CN"/>
              </w:rPr>
            </w:pPr>
            <w:r>
              <w:rPr>
                <w:spacing w:val="-4"/>
              </w:rPr>
              <w:t>8</w:t>
            </w:r>
            <w:r>
              <w:rPr>
                <w:rFonts w:hint="eastAsia"/>
                <w:spacing w:val="-4"/>
                <w:lang w:val="en-US" w:eastAsia="zh-CN"/>
              </w:rPr>
              <w:t>3</w:t>
            </w:r>
          </w:p>
        </w:tc>
        <w:tc>
          <w:tcPr>
            <w:tcW w:w="1101" w:type="dxa"/>
            <w:vAlign w:val="top"/>
          </w:tcPr>
          <w:p w14:paraId="68ACEEC7">
            <w:pPr>
              <w:spacing w:line="458" w:lineRule="auto"/>
              <w:rPr>
                <w:rFonts w:ascii="Arial"/>
                <w:sz w:val="21"/>
              </w:rPr>
            </w:pPr>
          </w:p>
          <w:p w14:paraId="7D018677">
            <w:pPr>
              <w:pStyle w:val="8"/>
              <w:spacing w:before="59" w:line="243" w:lineRule="auto"/>
              <w:ind w:left="20" w:right="20" w:hanging="2"/>
            </w:pPr>
            <w:r>
              <w:rPr>
                <w:spacing w:val="-6"/>
              </w:rPr>
              <w:t>对拦截列车、</w:t>
            </w:r>
            <w:r>
              <w:rPr>
                <w:spacing w:val="2"/>
              </w:rPr>
              <w:t xml:space="preserve"> </w:t>
            </w:r>
            <w:r>
              <w:rPr>
                <w:spacing w:val="-6"/>
              </w:rPr>
              <w:t>强行上下车等</w:t>
            </w:r>
            <w:r>
              <w:t xml:space="preserve"> </w:t>
            </w:r>
            <w:r>
              <w:rPr>
                <w:spacing w:val="-6"/>
              </w:rPr>
              <w:t>危害或者可能</w:t>
            </w:r>
            <w:r>
              <w:t xml:space="preserve"> </w:t>
            </w:r>
            <w:r>
              <w:rPr>
                <w:spacing w:val="-6"/>
              </w:rPr>
              <w:t>危害城市轨道</w:t>
            </w:r>
            <w:r>
              <w:t xml:space="preserve"> </w:t>
            </w:r>
            <w:r>
              <w:rPr>
                <w:spacing w:val="-6"/>
              </w:rPr>
              <w:t>交通运营安全</w:t>
            </w:r>
            <w:r>
              <w:t xml:space="preserve"> </w:t>
            </w:r>
            <w:r>
              <w:rPr>
                <w:spacing w:val="-6"/>
              </w:rPr>
              <w:t>等行为的行政</w:t>
            </w:r>
            <w:r>
              <w:t xml:space="preserve"> </w:t>
            </w:r>
            <w:r>
              <w:rPr>
                <w:spacing w:val="-5"/>
              </w:rPr>
              <w:t>处罚</w:t>
            </w:r>
          </w:p>
        </w:tc>
        <w:tc>
          <w:tcPr>
            <w:tcW w:w="1101" w:type="dxa"/>
            <w:vAlign w:val="top"/>
          </w:tcPr>
          <w:p w14:paraId="685EA786">
            <w:pPr>
              <w:spacing w:line="293" w:lineRule="auto"/>
              <w:rPr>
                <w:rFonts w:ascii="Arial"/>
                <w:sz w:val="21"/>
              </w:rPr>
            </w:pPr>
          </w:p>
          <w:p w14:paraId="33D88933">
            <w:pPr>
              <w:spacing w:line="293" w:lineRule="auto"/>
              <w:rPr>
                <w:rFonts w:ascii="Arial"/>
                <w:sz w:val="21"/>
              </w:rPr>
            </w:pPr>
          </w:p>
          <w:p w14:paraId="70533F8E">
            <w:pPr>
              <w:spacing w:line="294" w:lineRule="auto"/>
              <w:rPr>
                <w:rFonts w:ascii="Arial"/>
                <w:sz w:val="21"/>
              </w:rPr>
            </w:pPr>
          </w:p>
          <w:p w14:paraId="4F4737BF">
            <w:pPr>
              <w:spacing w:line="294" w:lineRule="auto"/>
              <w:rPr>
                <w:rFonts w:ascii="Arial"/>
                <w:sz w:val="21"/>
              </w:rPr>
            </w:pPr>
          </w:p>
          <w:p w14:paraId="6FF7339C">
            <w:pPr>
              <w:pStyle w:val="8"/>
              <w:spacing w:before="58" w:line="220" w:lineRule="auto"/>
              <w:ind w:left="25"/>
            </w:pPr>
            <w:r>
              <w:rPr>
                <w:spacing w:val="-7"/>
              </w:rPr>
              <w:t>行政处罚</w:t>
            </w:r>
          </w:p>
        </w:tc>
        <w:tc>
          <w:tcPr>
            <w:tcW w:w="8524" w:type="dxa"/>
            <w:vAlign w:val="top"/>
          </w:tcPr>
          <w:p w14:paraId="598C2F1C">
            <w:pPr>
              <w:pStyle w:val="8"/>
              <w:spacing w:before="39" w:line="219" w:lineRule="auto"/>
              <w:ind w:left="451"/>
            </w:pPr>
            <w:r>
              <w:rPr>
                <w:b/>
                <w:bCs/>
                <w:spacing w:val="-8"/>
              </w:rPr>
              <w:t>《城市轨道交通运营管理规定》(交通运输</w:t>
            </w:r>
            <w:r>
              <w:rPr>
                <w:b/>
                <w:bCs/>
                <w:spacing w:val="-9"/>
              </w:rPr>
              <w:t>部令2018年第8号)</w:t>
            </w:r>
          </w:p>
          <w:p w14:paraId="2855493E">
            <w:pPr>
              <w:pStyle w:val="8"/>
              <w:spacing w:before="28" w:line="242" w:lineRule="auto"/>
              <w:ind w:left="101" w:right="18" w:firstLine="343"/>
              <w:jc w:val="both"/>
            </w:pPr>
            <w:r>
              <w:rPr>
                <w:spacing w:val="-7"/>
              </w:rPr>
              <w:t>第三十四条</w:t>
            </w:r>
            <w:r>
              <w:rPr>
                <w:spacing w:val="73"/>
              </w:rPr>
              <w:t xml:space="preserve"> </w:t>
            </w:r>
            <w:r>
              <w:rPr>
                <w:spacing w:val="-7"/>
              </w:rPr>
              <w:t>禁止下列危害或者可能危害城市轨道交通运营安全的行为</w:t>
            </w:r>
            <w:r>
              <w:rPr>
                <w:spacing w:val="-18"/>
              </w:rPr>
              <w:t>：（</w:t>
            </w:r>
            <w:r>
              <w:rPr>
                <w:spacing w:val="-7"/>
              </w:rPr>
              <w:t>一）拦截列车</w:t>
            </w:r>
            <w:r>
              <w:rPr>
                <w:spacing w:val="-18"/>
              </w:rPr>
              <w:t>；（</w:t>
            </w:r>
            <w:r>
              <w:rPr>
                <w:spacing w:val="-7"/>
              </w:rPr>
              <w:t>二）强行上</w:t>
            </w:r>
            <w:r>
              <w:t xml:space="preserve">  </w:t>
            </w:r>
            <w:r>
              <w:rPr>
                <w:spacing w:val="-7"/>
              </w:rPr>
              <w:t>下车</w:t>
            </w:r>
            <w:r>
              <w:rPr>
                <w:spacing w:val="-22"/>
              </w:rPr>
              <w:t>；（</w:t>
            </w:r>
            <w:r>
              <w:rPr>
                <w:spacing w:val="-7"/>
              </w:rPr>
              <w:t>三）擅自进入隧道、轨道或其他禁入区域</w:t>
            </w:r>
            <w:r>
              <w:rPr>
                <w:spacing w:val="-22"/>
              </w:rPr>
              <w:t>；（</w:t>
            </w:r>
            <w:r>
              <w:rPr>
                <w:spacing w:val="-7"/>
              </w:rPr>
              <w:t>四）攀爬或者跨越围栏、护栏、护网、站台门等</w:t>
            </w:r>
            <w:r>
              <w:rPr>
                <w:spacing w:val="-22"/>
              </w:rPr>
              <w:t>；（</w:t>
            </w:r>
            <w:r>
              <w:rPr>
                <w:spacing w:val="-7"/>
              </w:rPr>
              <w:t>五）</w:t>
            </w:r>
            <w:r>
              <w:t xml:space="preserve"> </w:t>
            </w:r>
            <w:r>
              <w:rPr>
                <w:spacing w:val="-7"/>
              </w:rPr>
              <w:t>擅自操作有警示标志的按钮和开关装置，在非紧急状态下动</w:t>
            </w:r>
            <w:r>
              <w:rPr>
                <w:spacing w:val="-8"/>
              </w:rPr>
              <w:t>用紧急或者安全装置</w:t>
            </w:r>
            <w:r>
              <w:rPr>
                <w:spacing w:val="-22"/>
              </w:rPr>
              <w:t>；（</w:t>
            </w:r>
            <w:r>
              <w:rPr>
                <w:spacing w:val="-8"/>
              </w:rPr>
              <w:t>六）在城市轨道交通车站</w:t>
            </w:r>
            <w:r>
              <w:t xml:space="preserve">  </w:t>
            </w:r>
            <w:r>
              <w:rPr>
                <w:spacing w:val="-7"/>
              </w:rPr>
              <w:t>出入口5米范围内停放车辆、乱设摊点等，</w:t>
            </w:r>
            <w:r>
              <w:rPr>
                <w:spacing w:val="-8"/>
              </w:rPr>
              <w:t>妨碍乘客通行和救援疏散</w:t>
            </w:r>
            <w:r>
              <w:rPr>
                <w:spacing w:val="-25"/>
              </w:rPr>
              <w:t>；（</w:t>
            </w:r>
            <w:r>
              <w:rPr>
                <w:spacing w:val="-8"/>
              </w:rPr>
              <w:t>七）在通风口、车站出入口50米范围内</w:t>
            </w:r>
            <w:r>
              <w:t xml:space="preserve">  </w:t>
            </w:r>
            <w:r>
              <w:rPr>
                <w:spacing w:val="-8"/>
              </w:rPr>
              <w:t>存放有毒、有害、易燃、易爆、放射性和腐蚀性等物品</w:t>
            </w:r>
            <w:r>
              <w:rPr>
                <w:spacing w:val="-29"/>
              </w:rPr>
              <w:t>；（</w:t>
            </w:r>
            <w:r>
              <w:rPr>
                <w:spacing w:val="-8"/>
              </w:rPr>
              <w:t>八）在出入口、通风亭、变电站、冷却塔周边躺卧、</w:t>
            </w:r>
            <w:r>
              <w:rPr>
                <w:spacing w:val="1"/>
              </w:rPr>
              <w:t xml:space="preserve"> </w:t>
            </w:r>
            <w:r>
              <w:rPr>
                <w:spacing w:val="-7"/>
              </w:rPr>
              <w:t>留宿、堆放和晾晒物品</w:t>
            </w:r>
            <w:r>
              <w:rPr>
                <w:spacing w:val="-34"/>
              </w:rPr>
              <w:t>；（</w:t>
            </w:r>
            <w:r>
              <w:rPr>
                <w:spacing w:val="-7"/>
              </w:rPr>
              <w:t>九）在地面或者高架线路两侧各100米范围内升放风筝、气球等低</w:t>
            </w:r>
            <w:r>
              <w:rPr>
                <w:spacing w:val="-8"/>
              </w:rPr>
              <w:t>空漂浮物体和无人</w:t>
            </w:r>
            <w:r>
              <w:t xml:space="preserve"> </w:t>
            </w:r>
            <w:r>
              <w:rPr>
                <w:spacing w:val="-7"/>
              </w:rPr>
              <w:t>机等低空飞行器。</w:t>
            </w:r>
          </w:p>
          <w:p w14:paraId="55878582">
            <w:pPr>
              <w:pStyle w:val="8"/>
              <w:spacing w:before="27" w:line="229" w:lineRule="auto"/>
              <w:ind w:left="101" w:right="88" w:firstLine="343"/>
              <w:jc w:val="both"/>
            </w:pPr>
            <w:r>
              <w:rPr>
                <w:spacing w:val="-8"/>
              </w:rPr>
              <w:t>第五十三条</w:t>
            </w:r>
            <w:r>
              <w:rPr>
                <w:spacing w:val="74"/>
              </w:rPr>
              <w:t xml:space="preserve"> </w:t>
            </w:r>
            <w:r>
              <w:rPr>
                <w:spacing w:val="-8"/>
              </w:rPr>
              <w:t>违反本规定第三十三条、第三十四条，运营单位有权予以制止，并由城市轨道交通运营主管</w:t>
            </w:r>
            <w:r>
              <w:t xml:space="preserve"> </w:t>
            </w:r>
            <w:r>
              <w:rPr>
                <w:spacing w:val="-8"/>
              </w:rPr>
              <w:t>们责令改正，可以对个人处以5000元以下的罚款，对单位处以3万元以下的罚款；违反治安管理规定的</w:t>
            </w:r>
            <w:r>
              <w:rPr>
                <w:spacing w:val="-9"/>
              </w:rPr>
              <w:t>，由公安</w:t>
            </w:r>
            <w:r>
              <w:t xml:space="preserve"> </w:t>
            </w:r>
            <w:r>
              <w:rPr>
                <w:spacing w:val="-8"/>
              </w:rPr>
              <w:t>机关依法处理；构成犯罪的，依法追究刑事责任。</w:t>
            </w:r>
          </w:p>
        </w:tc>
        <w:tc>
          <w:tcPr>
            <w:tcW w:w="1011" w:type="dxa"/>
            <w:vAlign w:val="top"/>
          </w:tcPr>
          <w:p w14:paraId="1AE144B4">
            <w:pPr>
              <w:spacing w:line="263" w:lineRule="auto"/>
              <w:rPr>
                <w:rFonts w:ascii="Arial"/>
                <w:sz w:val="21"/>
              </w:rPr>
            </w:pPr>
          </w:p>
          <w:p w14:paraId="274081D4">
            <w:pPr>
              <w:spacing w:line="263" w:lineRule="auto"/>
              <w:rPr>
                <w:rFonts w:ascii="Arial"/>
                <w:sz w:val="21"/>
              </w:rPr>
            </w:pPr>
          </w:p>
          <w:p w14:paraId="021DF364">
            <w:pPr>
              <w:spacing w:line="264" w:lineRule="auto"/>
              <w:rPr>
                <w:rFonts w:ascii="Arial"/>
                <w:sz w:val="21"/>
              </w:rPr>
            </w:pPr>
          </w:p>
          <w:p w14:paraId="1E0AC884">
            <w:pPr>
              <w:spacing w:line="264" w:lineRule="auto"/>
              <w:rPr>
                <w:rFonts w:ascii="Arial"/>
                <w:sz w:val="21"/>
              </w:rPr>
            </w:pPr>
          </w:p>
          <w:p w14:paraId="3EF3CAF5">
            <w:pPr>
              <w:pStyle w:val="8"/>
              <w:spacing w:before="59" w:line="233" w:lineRule="auto"/>
              <w:ind w:left="166" w:right="141" w:firstLine="2"/>
            </w:pPr>
            <w:r>
              <w:rPr>
                <w:spacing w:val="-9"/>
              </w:rPr>
              <w:t>交通运输</w:t>
            </w:r>
            <w:r>
              <w:t xml:space="preserve"> </w:t>
            </w:r>
            <w:r>
              <w:rPr>
                <w:spacing w:val="-9"/>
              </w:rPr>
              <w:t>主管部门</w:t>
            </w:r>
          </w:p>
        </w:tc>
        <w:tc>
          <w:tcPr>
            <w:tcW w:w="1404" w:type="dxa"/>
            <w:vAlign w:val="top"/>
          </w:tcPr>
          <w:p w14:paraId="1EE252ED">
            <w:pPr>
              <w:spacing w:line="263" w:lineRule="auto"/>
              <w:rPr>
                <w:rFonts w:ascii="Arial"/>
                <w:sz w:val="21"/>
              </w:rPr>
            </w:pPr>
          </w:p>
          <w:p w14:paraId="5EE2DC8F">
            <w:pPr>
              <w:spacing w:line="264" w:lineRule="auto"/>
              <w:rPr>
                <w:rFonts w:ascii="Arial"/>
                <w:sz w:val="21"/>
              </w:rPr>
            </w:pPr>
          </w:p>
          <w:p w14:paraId="7B92E81F">
            <w:pPr>
              <w:spacing w:line="264" w:lineRule="auto"/>
              <w:rPr>
                <w:rFonts w:ascii="Arial"/>
                <w:sz w:val="21"/>
              </w:rPr>
            </w:pPr>
          </w:p>
          <w:p w14:paraId="6CA9C7FC">
            <w:pPr>
              <w:spacing w:line="264" w:lineRule="auto"/>
              <w:rPr>
                <w:rFonts w:ascii="Arial"/>
                <w:sz w:val="21"/>
              </w:rPr>
            </w:pPr>
          </w:p>
          <w:p w14:paraId="1A72C35D">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EC92AE9">
            <w:pPr>
              <w:spacing w:line="272" w:lineRule="auto"/>
              <w:rPr>
                <w:rFonts w:ascii="Arial"/>
                <w:sz w:val="21"/>
              </w:rPr>
            </w:pPr>
          </w:p>
          <w:p w14:paraId="72E80986">
            <w:pPr>
              <w:spacing w:line="272" w:lineRule="auto"/>
              <w:rPr>
                <w:rFonts w:ascii="Arial"/>
                <w:sz w:val="21"/>
              </w:rPr>
            </w:pPr>
          </w:p>
          <w:p w14:paraId="0FA6E506">
            <w:pPr>
              <w:spacing w:line="273" w:lineRule="auto"/>
              <w:rPr>
                <w:rFonts w:ascii="Arial"/>
                <w:sz w:val="21"/>
              </w:rPr>
            </w:pPr>
          </w:p>
          <w:p w14:paraId="1F689FA8">
            <w:pPr>
              <w:pStyle w:val="8"/>
              <w:spacing w:before="59"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20D02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47" w:hRule="atLeast"/>
        </w:trPr>
        <w:tc>
          <w:tcPr>
            <w:tcW w:w="629" w:type="dxa"/>
            <w:vAlign w:val="top"/>
          </w:tcPr>
          <w:p w14:paraId="26ED46AB">
            <w:pPr>
              <w:spacing w:line="257" w:lineRule="auto"/>
              <w:rPr>
                <w:rFonts w:ascii="Arial"/>
                <w:sz w:val="21"/>
              </w:rPr>
            </w:pPr>
          </w:p>
          <w:p w14:paraId="0BDAC01C">
            <w:pPr>
              <w:spacing w:line="257" w:lineRule="auto"/>
              <w:rPr>
                <w:rFonts w:ascii="Arial"/>
                <w:sz w:val="21"/>
              </w:rPr>
            </w:pPr>
          </w:p>
          <w:p w14:paraId="21322401">
            <w:pPr>
              <w:spacing w:line="257" w:lineRule="auto"/>
              <w:rPr>
                <w:rFonts w:ascii="Arial"/>
                <w:sz w:val="21"/>
              </w:rPr>
            </w:pPr>
          </w:p>
          <w:p w14:paraId="231BAFCE">
            <w:pPr>
              <w:spacing w:line="257" w:lineRule="auto"/>
              <w:rPr>
                <w:rFonts w:ascii="Arial"/>
                <w:sz w:val="21"/>
              </w:rPr>
            </w:pPr>
          </w:p>
          <w:p w14:paraId="3EA1BFAF">
            <w:pPr>
              <w:spacing w:line="258" w:lineRule="auto"/>
              <w:rPr>
                <w:rFonts w:ascii="Arial"/>
                <w:sz w:val="21"/>
              </w:rPr>
            </w:pPr>
          </w:p>
          <w:p w14:paraId="70A11D2E">
            <w:pPr>
              <w:spacing w:line="258" w:lineRule="auto"/>
              <w:rPr>
                <w:rFonts w:ascii="Arial"/>
                <w:sz w:val="21"/>
              </w:rPr>
            </w:pPr>
          </w:p>
          <w:p w14:paraId="0D5C9DA1">
            <w:pPr>
              <w:spacing w:line="258" w:lineRule="auto"/>
              <w:rPr>
                <w:rFonts w:ascii="Arial"/>
                <w:sz w:val="21"/>
              </w:rPr>
            </w:pPr>
          </w:p>
          <w:p w14:paraId="41E062C1">
            <w:pPr>
              <w:pStyle w:val="8"/>
              <w:spacing w:before="58" w:line="183" w:lineRule="auto"/>
              <w:ind w:left="221"/>
              <w:rPr>
                <w:rFonts w:hint="eastAsia" w:eastAsia="宋体"/>
                <w:lang w:eastAsia="zh-CN"/>
              </w:rPr>
            </w:pPr>
            <w:r>
              <w:rPr>
                <w:spacing w:val="-4"/>
              </w:rPr>
              <w:t>8</w:t>
            </w:r>
            <w:r>
              <w:rPr>
                <w:rFonts w:hint="eastAsia"/>
                <w:spacing w:val="-4"/>
                <w:lang w:val="en-US" w:eastAsia="zh-CN"/>
              </w:rPr>
              <w:t>4</w:t>
            </w:r>
          </w:p>
        </w:tc>
        <w:tc>
          <w:tcPr>
            <w:tcW w:w="1101" w:type="dxa"/>
            <w:vAlign w:val="top"/>
          </w:tcPr>
          <w:p w14:paraId="243621D6">
            <w:pPr>
              <w:spacing w:line="294" w:lineRule="auto"/>
              <w:rPr>
                <w:rFonts w:ascii="Arial"/>
                <w:sz w:val="21"/>
              </w:rPr>
            </w:pPr>
          </w:p>
          <w:p w14:paraId="23D9A821">
            <w:pPr>
              <w:spacing w:line="294" w:lineRule="auto"/>
              <w:rPr>
                <w:rFonts w:ascii="Arial"/>
                <w:sz w:val="21"/>
              </w:rPr>
            </w:pPr>
          </w:p>
          <w:p w14:paraId="5DA671E9">
            <w:pPr>
              <w:spacing w:line="294" w:lineRule="auto"/>
              <w:rPr>
                <w:rFonts w:ascii="Arial"/>
                <w:sz w:val="21"/>
              </w:rPr>
            </w:pPr>
          </w:p>
          <w:p w14:paraId="052A4F75">
            <w:pPr>
              <w:spacing w:line="295" w:lineRule="auto"/>
              <w:rPr>
                <w:rFonts w:ascii="Arial"/>
                <w:sz w:val="21"/>
              </w:rPr>
            </w:pPr>
          </w:p>
          <w:p w14:paraId="1D1DE628">
            <w:pPr>
              <w:pStyle w:val="8"/>
              <w:spacing w:before="58" w:line="242" w:lineRule="auto"/>
              <w:ind w:left="18" w:right="20"/>
              <w:jc w:val="both"/>
            </w:pPr>
            <w:r>
              <w:rPr>
                <w:spacing w:val="-6"/>
              </w:rPr>
              <w:t>对小微型客车</w:t>
            </w:r>
            <w:r>
              <w:rPr>
                <w:spacing w:val="2"/>
              </w:rPr>
              <w:t xml:space="preserve"> </w:t>
            </w:r>
            <w:r>
              <w:rPr>
                <w:spacing w:val="-6"/>
              </w:rPr>
              <w:t>租赁经营者未</w:t>
            </w:r>
            <w:r>
              <w:rPr>
                <w:spacing w:val="2"/>
              </w:rPr>
              <w:t xml:space="preserve"> </w:t>
            </w:r>
            <w:r>
              <w:rPr>
                <w:spacing w:val="-6"/>
              </w:rPr>
              <w:t>按照规定办理</w:t>
            </w:r>
            <w:r>
              <w:rPr>
                <w:spacing w:val="2"/>
              </w:rPr>
              <w:t xml:space="preserve"> </w:t>
            </w:r>
            <w:r>
              <w:rPr>
                <w:spacing w:val="-6"/>
              </w:rPr>
              <w:t>备案或者变更</w:t>
            </w:r>
            <w:r>
              <w:rPr>
                <w:spacing w:val="2"/>
              </w:rPr>
              <w:t xml:space="preserve"> </w:t>
            </w:r>
            <w:r>
              <w:rPr>
                <w:spacing w:val="-6"/>
              </w:rPr>
              <w:t>备案行为的行</w:t>
            </w:r>
            <w:r>
              <w:rPr>
                <w:spacing w:val="2"/>
              </w:rPr>
              <w:t xml:space="preserve"> </w:t>
            </w:r>
            <w:r>
              <w:rPr>
                <w:spacing w:val="-5"/>
              </w:rPr>
              <w:t>政处罚</w:t>
            </w:r>
          </w:p>
        </w:tc>
        <w:tc>
          <w:tcPr>
            <w:tcW w:w="1101" w:type="dxa"/>
            <w:vAlign w:val="top"/>
          </w:tcPr>
          <w:p w14:paraId="20388D24">
            <w:pPr>
              <w:spacing w:line="253" w:lineRule="auto"/>
              <w:rPr>
                <w:rFonts w:ascii="Arial"/>
                <w:sz w:val="21"/>
              </w:rPr>
            </w:pPr>
          </w:p>
          <w:p w14:paraId="153C1A60">
            <w:pPr>
              <w:spacing w:line="253" w:lineRule="auto"/>
              <w:rPr>
                <w:rFonts w:ascii="Arial"/>
                <w:sz w:val="21"/>
              </w:rPr>
            </w:pPr>
          </w:p>
          <w:p w14:paraId="67F2D43C">
            <w:pPr>
              <w:spacing w:line="253" w:lineRule="auto"/>
              <w:rPr>
                <w:rFonts w:ascii="Arial"/>
                <w:sz w:val="21"/>
              </w:rPr>
            </w:pPr>
          </w:p>
          <w:p w14:paraId="39D6F876">
            <w:pPr>
              <w:spacing w:line="253" w:lineRule="auto"/>
              <w:rPr>
                <w:rFonts w:ascii="Arial"/>
                <w:sz w:val="21"/>
              </w:rPr>
            </w:pPr>
          </w:p>
          <w:p w14:paraId="5FFC2125">
            <w:pPr>
              <w:spacing w:line="253" w:lineRule="auto"/>
              <w:rPr>
                <w:rFonts w:ascii="Arial"/>
                <w:sz w:val="21"/>
              </w:rPr>
            </w:pPr>
          </w:p>
          <w:p w14:paraId="1FBD84FB">
            <w:pPr>
              <w:spacing w:line="254" w:lineRule="auto"/>
              <w:rPr>
                <w:rFonts w:ascii="Arial"/>
                <w:sz w:val="21"/>
              </w:rPr>
            </w:pPr>
          </w:p>
          <w:p w14:paraId="27CCBD45">
            <w:pPr>
              <w:spacing w:line="254" w:lineRule="auto"/>
              <w:rPr>
                <w:rFonts w:ascii="Arial"/>
                <w:sz w:val="21"/>
              </w:rPr>
            </w:pPr>
          </w:p>
          <w:p w14:paraId="31F23EDA">
            <w:pPr>
              <w:pStyle w:val="8"/>
              <w:spacing w:before="59" w:line="220" w:lineRule="auto"/>
              <w:ind w:left="25"/>
            </w:pPr>
            <w:r>
              <w:rPr>
                <w:spacing w:val="-7"/>
              </w:rPr>
              <w:t>行政处罚</w:t>
            </w:r>
          </w:p>
        </w:tc>
        <w:tc>
          <w:tcPr>
            <w:tcW w:w="8524" w:type="dxa"/>
            <w:vAlign w:val="top"/>
          </w:tcPr>
          <w:p w14:paraId="0084D77D">
            <w:pPr>
              <w:pStyle w:val="8"/>
              <w:spacing w:before="43" w:line="219" w:lineRule="auto"/>
              <w:ind w:left="451"/>
            </w:pPr>
            <w:r>
              <w:rPr>
                <w:b/>
                <w:bCs/>
                <w:spacing w:val="-8"/>
              </w:rPr>
              <w:t>《小微型客车租赁经营服务管理办法》(交通运输</w:t>
            </w:r>
            <w:r>
              <w:rPr>
                <w:b/>
                <w:bCs/>
                <w:spacing w:val="-9"/>
              </w:rPr>
              <w:t>部令2021年第17号)</w:t>
            </w:r>
          </w:p>
          <w:p w14:paraId="60AA58FE">
            <w:pPr>
              <w:pStyle w:val="8"/>
              <w:spacing w:before="27" w:line="237" w:lineRule="auto"/>
              <w:ind w:left="102" w:right="148" w:firstLine="343"/>
              <w:jc w:val="both"/>
            </w:pPr>
            <w:r>
              <w:rPr>
                <w:spacing w:val="-8"/>
              </w:rPr>
              <w:t>第七条</w:t>
            </w:r>
            <w:r>
              <w:rPr>
                <w:spacing w:val="78"/>
              </w:rPr>
              <w:t xml:space="preserve"> </w:t>
            </w:r>
            <w:r>
              <w:rPr>
                <w:spacing w:val="-8"/>
              </w:rPr>
              <w:t>从事小微型客车租赁经营的，应当在向市场监督管理部门办理有关登记手续或者新设服</w:t>
            </w:r>
            <w:r>
              <w:rPr>
                <w:spacing w:val="-9"/>
              </w:rPr>
              <w:t>务机构开</w:t>
            </w:r>
            <w:r>
              <w:t xml:space="preserve"> </w:t>
            </w:r>
            <w:r>
              <w:rPr>
                <w:spacing w:val="-8"/>
              </w:rPr>
              <w:t>展经营活动后60日内，就近向经营所在地市级或者县级小微型客车租赁行政主管部门办理备案，并附送本办法</w:t>
            </w:r>
            <w:r>
              <w:rPr>
                <w:spacing w:val="9"/>
              </w:rPr>
              <w:t xml:space="preserve"> </w:t>
            </w:r>
            <w:r>
              <w:rPr>
                <w:spacing w:val="-7"/>
              </w:rPr>
              <w:t>第六条相应的材料。</w:t>
            </w:r>
          </w:p>
          <w:p w14:paraId="4B6838ED">
            <w:pPr>
              <w:pStyle w:val="8"/>
              <w:spacing w:before="25" w:line="234" w:lineRule="auto"/>
              <w:ind w:left="103" w:right="150" w:firstLine="343"/>
            </w:pPr>
            <w:r>
              <w:rPr>
                <w:spacing w:val="-8"/>
              </w:rPr>
              <w:t>备案材料不完备或者不符合要求的，受理备案的小微型客车租赁行政主管部门应当书面通知备案人</w:t>
            </w:r>
            <w:r>
              <w:rPr>
                <w:spacing w:val="-9"/>
              </w:rPr>
              <w:t>补充完</w:t>
            </w:r>
            <w:r>
              <w:t xml:space="preserve"> </w:t>
            </w:r>
            <w:r>
              <w:rPr>
                <w:spacing w:val="-5"/>
              </w:rPr>
              <w:t>善。</w:t>
            </w:r>
          </w:p>
          <w:p w14:paraId="660F6519">
            <w:pPr>
              <w:pStyle w:val="8"/>
              <w:spacing w:before="23" w:line="241" w:lineRule="auto"/>
              <w:ind w:left="102" w:right="150" w:firstLine="343"/>
              <w:jc w:val="both"/>
            </w:pPr>
            <w:r>
              <w:rPr>
                <w:spacing w:val="-7"/>
              </w:rPr>
              <w:t>第十二条第（一）项、第（二）项、第（六）项</w:t>
            </w:r>
            <w:r>
              <w:rPr>
                <w:spacing w:val="81"/>
              </w:rPr>
              <w:t xml:space="preserve"> </w:t>
            </w:r>
            <w:r>
              <w:rPr>
                <w:spacing w:val="-8"/>
              </w:rPr>
              <w:t>小微型客车租赁经营者还应当遵守下列规定</w:t>
            </w:r>
            <w:r>
              <w:rPr>
                <w:spacing w:val="-22"/>
              </w:rPr>
              <w:t>：（</w:t>
            </w:r>
            <w:r>
              <w:rPr>
                <w:spacing w:val="-8"/>
              </w:rPr>
              <w:t>一）在</w:t>
            </w:r>
            <w:r>
              <w:t xml:space="preserve"> </w:t>
            </w:r>
            <w:r>
              <w:rPr>
                <w:spacing w:val="-8"/>
              </w:rPr>
              <w:t>经营场所或者服务平台以显著方式明示服务项目、租赁流程、租赁车辆类型、收费标准、押金收取与退还</w:t>
            </w:r>
            <w:r>
              <w:rPr>
                <w:spacing w:val="-9"/>
              </w:rPr>
              <w:t>、客</w:t>
            </w:r>
            <w:r>
              <w:t xml:space="preserve"> </w:t>
            </w:r>
            <w:r>
              <w:rPr>
                <w:spacing w:val="-7"/>
              </w:rPr>
              <w:t>服与监督电话等事项</w:t>
            </w:r>
            <w:r>
              <w:rPr>
                <w:spacing w:val="-21"/>
              </w:rPr>
              <w:t>；（</w:t>
            </w:r>
            <w:r>
              <w:rPr>
                <w:spacing w:val="-7"/>
              </w:rPr>
              <w:t>二）按照合同约定将租赁小微型</w:t>
            </w:r>
            <w:r>
              <w:rPr>
                <w:spacing w:val="-8"/>
              </w:rPr>
              <w:t>客车交付承租人，交付的租赁小微型客车在租赁期间</w:t>
            </w:r>
            <w:r>
              <w:rPr>
                <w:spacing w:val="1"/>
              </w:rPr>
              <w:t xml:space="preserve"> </w:t>
            </w:r>
            <w:r>
              <w:rPr>
                <w:spacing w:val="-8"/>
              </w:rPr>
              <w:t>应当符合《中华人民共和国道路交通安全法》规定的上路行驶条件，车内设施设备功能齐全正常，外观内</w:t>
            </w:r>
            <w:r>
              <w:rPr>
                <w:spacing w:val="-9"/>
              </w:rPr>
              <w:t>饰完</w:t>
            </w:r>
            <w:r>
              <w:t xml:space="preserve"> </w:t>
            </w:r>
            <w:r>
              <w:rPr>
                <w:spacing w:val="-7"/>
              </w:rPr>
              <w:t>好整洁</w:t>
            </w:r>
            <w:r>
              <w:rPr>
                <w:spacing w:val="-21"/>
              </w:rPr>
              <w:t>；（</w:t>
            </w:r>
            <w:r>
              <w:rPr>
                <w:spacing w:val="-7"/>
              </w:rPr>
              <w:t>六）建立租赁经营管理档案，保存租赁经营信息，并按照要求报送</w:t>
            </w:r>
            <w:r>
              <w:rPr>
                <w:spacing w:val="-8"/>
              </w:rPr>
              <w:t>相关数据信息。</w:t>
            </w:r>
          </w:p>
          <w:p w14:paraId="7879E458">
            <w:pPr>
              <w:pStyle w:val="8"/>
              <w:spacing w:before="24" w:line="237" w:lineRule="auto"/>
              <w:ind w:left="102" w:right="88" w:firstLine="343"/>
              <w:jc w:val="both"/>
            </w:pPr>
            <w:r>
              <w:rPr>
                <w:spacing w:val="-8"/>
              </w:rPr>
              <w:t>第二十五条第一款</w:t>
            </w:r>
            <w:r>
              <w:rPr>
                <w:spacing w:val="78"/>
              </w:rPr>
              <w:t xml:space="preserve"> </w:t>
            </w:r>
            <w:r>
              <w:rPr>
                <w:spacing w:val="-8"/>
              </w:rPr>
              <w:t>小微型客车租赁经营者违反本办法，有下列行为之一的，由小微型客车租赁</w:t>
            </w:r>
            <w:r>
              <w:rPr>
                <w:spacing w:val="-9"/>
              </w:rPr>
              <w:t>行政主管</w:t>
            </w:r>
            <w:r>
              <w:t xml:space="preserve"> </w:t>
            </w:r>
            <w:r>
              <w:rPr>
                <w:spacing w:val="-7"/>
              </w:rPr>
              <w:t>部门责令改正，并处3000元以上1万元以下罚款</w:t>
            </w:r>
            <w:r>
              <w:rPr>
                <w:spacing w:val="-21"/>
              </w:rPr>
              <w:t>：（</w:t>
            </w:r>
            <w:r>
              <w:rPr>
                <w:spacing w:val="-7"/>
              </w:rPr>
              <w:t>一）未按照规定办理备案或者变更备案的</w:t>
            </w:r>
            <w:r>
              <w:rPr>
                <w:spacing w:val="-21"/>
              </w:rPr>
              <w:t>；（</w:t>
            </w:r>
            <w:r>
              <w:rPr>
                <w:spacing w:val="-7"/>
              </w:rPr>
              <w:t>二）提供的租</w:t>
            </w:r>
            <w:r>
              <w:t xml:space="preserve"> </w:t>
            </w:r>
            <w:r>
              <w:rPr>
                <w:spacing w:val="-7"/>
              </w:rPr>
              <w:t>赁小微型客车不符合《中华人民共和国道路交通安全法》</w:t>
            </w:r>
            <w:r>
              <w:rPr>
                <w:spacing w:val="-8"/>
              </w:rPr>
              <w:t>规定的上路行驶条件的</w:t>
            </w:r>
            <w:r>
              <w:rPr>
                <w:spacing w:val="-22"/>
              </w:rPr>
              <w:t>；（</w:t>
            </w:r>
            <w:r>
              <w:rPr>
                <w:spacing w:val="-8"/>
              </w:rPr>
              <w:t>三）未建立小微型客车租</w:t>
            </w:r>
            <w:r>
              <w:rPr>
                <w:spacing w:val="1"/>
              </w:rPr>
              <w:t xml:space="preserve"> </w:t>
            </w:r>
            <w:r>
              <w:rPr>
                <w:spacing w:val="-7"/>
              </w:rPr>
              <w:t>赁经营管理档案或者未按照规定报送相关数据信息的</w:t>
            </w:r>
            <w:r>
              <w:rPr>
                <w:spacing w:val="-22"/>
              </w:rPr>
              <w:t>；（</w:t>
            </w:r>
            <w:r>
              <w:rPr>
                <w:spacing w:val="-7"/>
              </w:rPr>
              <w:t>四）</w:t>
            </w:r>
            <w:r>
              <w:rPr>
                <w:spacing w:val="-8"/>
              </w:rPr>
              <w:t>未在经营场所或者服务平台以显著方式明示服务</w:t>
            </w:r>
            <w:r>
              <w:rPr>
                <w:spacing w:val="1"/>
              </w:rPr>
              <w:t xml:space="preserve"> </w:t>
            </w:r>
            <w:r>
              <w:rPr>
                <w:spacing w:val="-8"/>
              </w:rPr>
              <w:t>项目、租赁流程、租赁车辆类型、收费标准、押金收取与退还、客服与监督电话等事项的。</w:t>
            </w:r>
          </w:p>
        </w:tc>
        <w:tc>
          <w:tcPr>
            <w:tcW w:w="1011" w:type="dxa"/>
            <w:vAlign w:val="top"/>
          </w:tcPr>
          <w:p w14:paraId="64A7528A">
            <w:pPr>
              <w:spacing w:line="275" w:lineRule="auto"/>
              <w:rPr>
                <w:rFonts w:ascii="Arial"/>
                <w:sz w:val="21"/>
              </w:rPr>
            </w:pPr>
          </w:p>
          <w:p w14:paraId="15A1A8FC">
            <w:pPr>
              <w:spacing w:line="275" w:lineRule="auto"/>
              <w:rPr>
                <w:rFonts w:ascii="Arial"/>
                <w:sz w:val="21"/>
              </w:rPr>
            </w:pPr>
          </w:p>
          <w:p w14:paraId="505FFA83">
            <w:pPr>
              <w:spacing w:line="276" w:lineRule="auto"/>
              <w:rPr>
                <w:rFonts w:ascii="Arial"/>
                <w:sz w:val="21"/>
              </w:rPr>
            </w:pPr>
          </w:p>
          <w:p w14:paraId="6ABBB9DB">
            <w:pPr>
              <w:spacing w:line="276" w:lineRule="auto"/>
              <w:rPr>
                <w:rFonts w:ascii="Arial"/>
                <w:sz w:val="21"/>
              </w:rPr>
            </w:pPr>
          </w:p>
          <w:p w14:paraId="3A0A4ABA">
            <w:pPr>
              <w:spacing w:line="276" w:lineRule="auto"/>
              <w:rPr>
                <w:rFonts w:ascii="Arial"/>
                <w:sz w:val="21"/>
              </w:rPr>
            </w:pPr>
          </w:p>
          <w:p w14:paraId="076DD1D7">
            <w:pPr>
              <w:spacing w:line="276" w:lineRule="auto"/>
              <w:rPr>
                <w:rFonts w:ascii="Arial"/>
                <w:sz w:val="21"/>
              </w:rPr>
            </w:pPr>
          </w:p>
          <w:p w14:paraId="4C772CDE">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4D56ABB2">
            <w:pPr>
              <w:spacing w:line="275" w:lineRule="auto"/>
              <w:rPr>
                <w:rFonts w:ascii="Arial"/>
                <w:sz w:val="21"/>
              </w:rPr>
            </w:pPr>
          </w:p>
          <w:p w14:paraId="3229599E">
            <w:pPr>
              <w:spacing w:line="275" w:lineRule="auto"/>
              <w:rPr>
                <w:rFonts w:ascii="Arial"/>
                <w:sz w:val="21"/>
              </w:rPr>
            </w:pPr>
          </w:p>
          <w:p w14:paraId="24457CE5">
            <w:pPr>
              <w:spacing w:line="276" w:lineRule="auto"/>
              <w:rPr>
                <w:rFonts w:ascii="Arial"/>
                <w:sz w:val="21"/>
              </w:rPr>
            </w:pPr>
          </w:p>
          <w:p w14:paraId="7C6825D2">
            <w:pPr>
              <w:spacing w:line="276" w:lineRule="auto"/>
              <w:rPr>
                <w:rFonts w:ascii="Arial"/>
                <w:sz w:val="21"/>
              </w:rPr>
            </w:pPr>
          </w:p>
          <w:p w14:paraId="4C838080">
            <w:pPr>
              <w:spacing w:line="276" w:lineRule="auto"/>
              <w:rPr>
                <w:rFonts w:ascii="Arial"/>
                <w:sz w:val="21"/>
              </w:rPr>
            </w:pPr>
          </w:p>
          <w:p w14:paraId="6EFED8A4">
            <w:pPr>
              <w:spacing w:line="276" w:lineRule="auto"/>
              <w:rPr>
                <w:rFonts w:ascii="Arial"/>
                <w:sz w:val="21"/>
              </w:rPr>
            </w:pPr>
          </w:p>
          <w:p w14:paraId="199756BB">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03DCEB9C">
            <w:pPr>
              <w:spacing w:line="283" w:lineRule="auto"/>
              <w:rPr>
                <w:rFonts w:ascii="Arial"/>
                <w:sz w:val="21"/>
              </w:rPr>
            </w:pPr>
          </w:p>
          <w:p w14:paraId="2DC0A7E7">
            <w:pPr>
              <w:spacing w:line="283" w:lineRule="auto"/>
              <w:rPr>
                <w:rFonts w:ascii="Arial"/>
                <w:sz w:val="21"/>
              </w:rPr>
            </w:pPr>
          </w:p>
          <w:p w14:paraId="2BA8B227">
            <w:pPr>
              <w:spacing w:line="283" w:lineRule="auto"/>
              <w:rPr>
                <w:rFonts w:ascii="Arial"/>
                <w:sz w:val="21"/>
              </w:rPr>
            </w:pPr>
          </w:p>
          <w:p w14:paraId="67311C0D">
            <w:pPr>
              <w:spacing w:line="284" w:lineRule="auto"/>
              <w:rPr>
                <w:rFonts w:ascii="Arial"/>
                <w:sz w:val="21"/>
              </w:rPr>
            </w:pPr>
          </w:p>
          <w:p w14:paraId="21E90154">
            <w:pPr>
              <w:spacing w:line="284" w:lineRule="auto"/>
              <w:rPr>
                <w:rFonts w:ascii="Arial"/>
                <w:sz w:val="21"/>
              </w:rPr>
            </w:pPr>
          </w:p>
          <w:p w14:paraId="21EEF593">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3276F17D">
      <w:pPr>
        <w:pStyle w:val="2"/>
      </w:pPr>
    </w:p>
    <w:p w14:paraId="025889B0">
      <w:pPr>
        <w:sectPr>
          <w:footerReference r:id="rId60" w:type="default"/>
          <w:pgSz w:w="16839" w:h="11906"/>
          <w:pgMar w:top="1012" w:right="1016" w:bottom="966" w:left="1016" w:header="0" w:footer="768" w:gutter="0"/>
          <w:cols w:space="720" w:num="1"/>
        </w:sectPr>
      </w:pPr>
    </w:p>
    <w:p w14:paraId="1E22B3E1">
      <w:pPr>
        <w:spacing w:line="121" w:lineRule="exact"/>
      </w:pPr>
    </w:p>
    <w:tbl>
      <w:tblPr>
        <w:tblStyle w:val="7"/>
        <w:tblW w:w="147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9"/>
        <w:gridCol w:w="1101"/>
        <w:gridCol w:w="1101"/>
        <w:gridCol w:w="8524"/>
        <w:gridCol w:w="1011"/>
        <w:gridCol w:w="1404"/>
        <w:gridCol w:w="1020"/>
      </w:tblGrid>
      <w:tr w14:paraId="29F3D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4" w:hRule="atLeast"/>
        </w:trPr>
        <w:tc>
          <w:tcPr>
            <w:tcW w:w="629" w:type="dxa"/>
            <w:vMerge w:val="restart"/>
            <w:tcBorders>
              <w:bottom w:val="nil"/>
            </w:tcBorders>
            <w:vAlign w:val="top"/>
          </w:tcPr>
          <w:p w14:paraId="26421A60">
            <w:pPr>
              <w:pStyle w:val="8"/>
              <w:spacing w:before="273" w:line="221" w:lineRule="auto"/>
              <w:ind w:left="129"/>
            </w:pPr>
            <w:r>
              <w:rPr>
                <w:b/>
                <w:bCs/>
                <w:spacing w:val="-4"/>
              </w:rPr>
              <w:t>序号</w:t>
            </w:r>
          </w:p>
        </w:tc>
        <w:tc>
          <w:tcPr>
            <w:tcW w:w="1101" w:type="dxa"/>
            <w:vMerge w:val="restart"/>
            <w:tcBorders>
              <w:bottom w:val="nil"/>
            </w:tcBorders>
            <w:vAlign w:val="top"/>
          </w:tcPr>
          <w:p w14:paraId="3AAF3876">
            <w:pPr>
              <w:pStyle w:val="8"/>
              <w:spacing w:before="274" w:line="220" w:lineRule="auto"/>
              <w:ind w:left="182"/>
            </w:pPr>
            <w:r>
              <w:rPr>
                <w:b/>
                <w:bCs/>
                <w:spacing w:val="-4"/>
              </w:rPr>
              <w:t>事项名称</w:t>
            </w:r>
          </w:p>
        </w:tc>
        <w:tc>
          <w:tcPr>
            <w:tcW w:w="1101" w:type="dxa"/>
            <w:vMerge w:val="restart"/>
            <w:tcBorders>
              <w:bottom w:val="nil"/>
            </w:tcBorders>
            <w:vAlign w:val="top"/>
          </w:tcPr>
          <w:p w14:paraId="5B34ADE4">
            <w:pPr>
              <w:pStyle w:val="8"/>
              <w:spacing w:before="274" w:line="219" w:lineRule="auto"/>
              <w:ind w:left="183"/>
            </w:pPr>
            <w:r>
              <w:rPr>
                <w:b/>
                <w:bCs/>
                <w:spacing w:val="-4"/>
              </w:rPr>
              <w:t>职权类型</w:t>
            </w:r>
          </w:p>
        </w:tc>
        <w:tc>
          <w:tcPr>
            <w:tcW w:w="8524" w:type="dxa"/>
            <w:vMerge w:val="restart"/>
            <w:tcBorders>
              <w:bottom w:val="nil"/>
            </w:tcBorders>
            <w:vAlign w:val="top"/>
          </w:tcPr>
          <w:p w14:paraId="35CAB1A7">
            <w:pPr>
              <w:pStyle w:val="8"/>
              <w:spacing w:before="273" w:line="219" w:lineRule="auto"/>
              <w:ind w:left="4083"/>
            </w:pPr>
            <w:r>
              <w:rPr>
                <w:b/>
                <w:bCs/>
                <w:spacing w:val="-5"/>
              </w:rPr>
              <w:t>实施依据</w:t>
            </w:r>
          </w:p>
        </w:tc>
        <w:tc>
          <w:tcPr>
            <w:tcW w:w="3435" w:type="dxa"/>
            <w:gridSpan w:val="3"/>
            <w:vAlign w:val="top"/>
          </w:tcPr>
          <w:p w14:paraId="2F8F1EE7">
            <w:pPr>
              <w:pStyle w:val="8"/>
              <w:spacing w:before="94" w:line="220" w:lineRule="auto"/>
              <w:ind w:left="1360"/>
            </w:pPr>
            <w:r>
              <w:rPr>
                <w:b/>
                <w:bCs/>
                <w:spacing w:val="-5"/>
              </w:rPr>
              <w:t>实施主体</w:t>
            </w:r>
          </w:p>
        </w:tc>
      </w:tr>
      <w:tr w14:paraId="3709C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629" w:type="dxa"/>
            <w:vMerge w:val="continue"/>
            <w:tcBorders>
              <w:top w:val="nil"/>
            </w:tcBorders>
            <w:vAlign w:val="top"/>
          </w:tcPr>
          <w:p w14:paraId="79404742">
            <w:pPr>
              <w:rPr>
                <w:rFonts w:ascii="Arial"/>
                <w:sz w:val="21"/>
              </w:rPr>
            </w:pPr>
          </w:p>
        </w:tc>
        <w:tc>
          <w:tcPr>
            <w:tcW w:w="1101" w:type="dxa"/>
            <w:vMerge w:val="continue"/>
            <w:tcBorders>
              <w:top w:val="nil"/>
            </w:tcBorders>
            <w:vAlign w:val="top"/>
          </w:tcPr>
          <w:p w14:paraId="250BCDDB">
            <w:pPr>
              <w:rPr>
                <w:rFonts w:ascii="Arial"/>
                <w:sz w:val="21"/>
              </w:rPr>
            </w:pPr>
          </w:p>
        </w:tc>
        <w:tc>
          <w:tcPr>
            <w:tcW w:w="1101" w:type="dxa"/>
            <w:vMerge w:val="continue"/>
            <w:tcBorders>
              <w:top w:val="nil"/>
            </w:tcBorders>
            <w:vAlign w:val="top"/>
          </w:tcPr>
          <w:p w14:paraId="648F2E56">
            <w:pPr>
              <w:rPr>
                <w:rFonts w:ascii="Arial"/>
                <w:sz w:val="21"/>
              </w:rPr>
            </w:pPr>
          </w:p>
        </w:tc>
        <w:tc>
          <w:tcPr>
            <w:tcW w:w="8524" w:type="dxa"/>
            <w:vMerge w:val="continue"/>
            <w:tcBorders>
              <w:top w:val="nil"/>
            </w:tcBorders>
            <w:vAlign w:val="top"/>
          </w:tcPr>
          <w:p w14:paraId="0C193BCF">
            <w:pPr>
              <w:rPr>
                <w:rFonts w:ascii="Arial"/>
                <w:sz w:val="21"/>
              </w:rPr>
            </w:pPr>
          </w:p>
        </w:tc>
        <w:tc>
          <w:tcPr>
            <w:tcW w:w="1011" w:type="dxa"/>
            <w:vAlign w:val="top"/>
          </w:tcPr>
          <w:p w14:paraId="55F6FEA2">
            <w:pPr>
              <w:pStyle w:val="8"/>
              <w:spacing w:before="85" w:line="219" w:lineRule="auto"/>
              <w:ind w:left="154"/>
            </w:pPr>
            <w:r>
              <w:rPr>
                <w:b/>
                <w:bCs/>
                <w:spacing w:val="-5"/>
              </w:rPr>
              <w:t>责任部门</w:t>
            </w:r>
          </w:p>
        </w:tc>
        <w:tc>
          <w:tcPr>
            <w:tcW w:w="1404" w:type="dxa"/>
            <w:vAlign w:val="top"/>
          </w:tcPr>
          <w:p w14:paraId="3F56C01A">
            <w:pPr>
              <w:pStyle w:val="8"/>
              <w:spacing w:before="85" w:line="219" w:lineRule="auto"/>
              <w:ind w:left="164"/>
            </w:pPr>
            <w:r>
              <w:rPr>
                <w:b/>
                <w:bCs/>
                <w:spacing w:val="-3"/>
              </w:rPr>
              <w:t>第一责任层级</w:t>
            </w:r>
          </w:p>
        </w:tc>
        <w:tc>
          <w:tcPr>
            <w:tcW w:w="1020" w:type="dxa"/>
            <w:vAlign w:val="top"/>
          </w:tcPr>
          <w:p w14:paraId="2FDD47CD">
            <w:pPr>
              <w:pStyle w:val="8"/>
              <w:spacing w:before="84" w:line="219" w:lineRule="auto"/>
              <w:ind w:left="114"/>
            </w:pPr>
            <w:r>
              <w:rPr>
                <w:b/>
                <w:bCs/>
                <w:spacing w:val="-4"/>
              </w:rPr>
              <w:t>承办机构</w:t>
            </w:r>
          </w:p>
        </w:tc>
      </w:tr>
      <w:tr w14:paraId="4D443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3" w:hRule="atLeast"/>
        </w:trPr>
        <w:tc>
          <w:tcPr>
            <w:tcW w:w="629" w:type="dxa"/>
            <w:vAlign w:val="top"/>
          </w:tcPr>
          <w:p w14:paraId="26304A4D">
            <w:pPr>
              <w:spacing w:line="283" w:lineRule="auto"/>
              <w:rPr>
                <w:rFonts w:ascii="Arial"/>
                <w:sz w:val="21"/>
              </w:rPr>
            </w:pPr>
          </w:p>
          <w:p w14:paraId="765001F7">
            <w:pPr>
              <w:spacing w:line="283" w:lineRule="auto"/>
              <w:rPr>
                <w:rFonts w:ascii="Arial"/>
                <w:sz w:val="21"/>
              </w:rPr>
            </w:pPr>
          </w:p>
          <w:p w14:paraId="0ACFA2D0">
            <w:pPr>
              <w:pStyle w:val="8"/>
              <w:spacing w:before="58" w:line="183" w:lineRule="auto"/>
              <w:ind w:left="221"/>
              <w:rPr>
                <w:rFonts w:hint="eastAsia" w:eastAsia="宋体"/>
                <w:lang w:eastAsia="zh-CN"/>
              </w:rPr>
            </w:pPr>
            <w:r>
              <w:rPr>
                <w:spacing w:val="-4"/>
              </w:rPr>
              <w:t>8</w:t>
            </w:r>
            <w:r>
              <w:rPr>
                <w:rFonts w:hint="eastAsia"/>
                <w:spacing w:val="-4"/>
                <w:lang w:val="en-US" w:eastAsia="zh-CN"/>
              </w:rPr>
              <w:t>5</w:t>
            </w:r>
          </w:p>
        </w:tc>
        <w:tc>
          <w:tcPr>
            <w:tcW w:w="1101" w:type="dxa"/>
            <w:vAlign w:val="top"/>
          </w:tcPr>
          <w:p w14:paraId="6DC42D7F">
            <w:pPr>
              <w:spacing w:line="298" w:lineRule="auto"/>
              <w:rPr>
                <w:rFonts w:ascii="Arial"/>
                <w:sz w:val="21"/>
              </w:rPr>
            </w:pPr>
          </w:p>
          <w:p w14:paraId="49C3A151">
            <w:pPr>
              <w:pStyle w:val="8"/>
              <w:spacing w:before="58" w:line="238" w:lineRule="auto"/>
              <w:ind w:left="18" w:right="20"/>
              <w:jc w:val="both"/>
            </w:pPr>
            <w:r>
              <w:rPr>
                <w:spacing w:val="-6"/>
              </w:rPr>
              <w:t>对车辆超载运</w:t>
            </w:r>
            <w:r>
              <w:rPr>
                <w:spacing w:val="2"/>
              </w:rPr>
              <w:t xml:space="preserve"> </w:t>
            </w:r>
            <w:r>
              <w:rPr>
                <w:spacing w:val="-6"/>
              </w:rPr>
              <w:t>输行为的行政</w:t>
            </w:r>
            <w:r>
              <w:rPr>
                <w:spacing w:val="2"/>
              </w:rPr>
              <w:t xml:space="preserve"> </w:t>
            </w:r>
            <w:r>
              <w:rPr>
                <w:spacing w:val="-4"/>
              </w:rPr>
              <w:t>强制</w:t>
            </w:r>
          </w:p>
        </w:tc>
        <w:tc>
          <w:tcPr>
            <w:tcW w:w="1101" w:type="dxa"/>
            <w:vAlign w:val="top"/>
          </w:tcPr>
          <w:p w14:paraId="07B612C1">
            <w:pPr>
              <w:spacing w:line="269" w:lineRule="auto"/>
              <w:rPr>
                <w:rFonts w:ascii="Arial"/>
                <w:sz w:val="21"/>
              </w:rPr>
            </w:pPr>
          </w:p>
          <w:p w14:paraId="6DAE7073">
            <w:pPr>
              <w:spacing w:line="269" w:lineRule="auto"/>
              <w:rPr>
                <w:rFonts w:ascii="Arial"/>
                <w:sz w:val="21"/>
              </w:rPr>
            </w:pPr>
          </w:p>
          <w:p w14:paraId="2B5C69E3">
            <w:pPr>
              <w:pStyle w:val="8"/>
              <w:spacing w:before="58" w:line="220" w:lineRule="auto"/>
              <w:ind w:left="25"/>
            </w:pPr>
            <w:r>
              <w:rPr>
                <w:spacing w:val="-7"/>
              </w:rPr>
              <w:t>行政强制</w:t>
            </w:r>
          </w:p>
        </w:tc>
        <w:tc>
          <w:tcPr>
            <w:tcW w:w="8524" w:type="dxa"/>
            <w:vAlign w:val="top"/>
          </w:tcPr>
          <w:p w14:paraId="6F5D7E71">
            <w:pPr>
              <w:pStyle w:val="8"/>
              <w:spacing w:before="120" w:line="219" w:lineRule="auto"/>
              <w:ind w:left="451"/>
            </w:pPr>
            <w:r>
              <w:rPr>
                <w:b/>
                <w:bCs/>
                <w:spacing w:val="-10"/>
              </w:rPr>
              <w:t>《中华人民共和国道路运输条例》</w:t>
            </w:r>
          </w:p>
          <w:p w14:paraId="0DE366D3">
            <w:pPr>
              <w:pStyle w:val="8"/>
              <w:spacing w:before="25" w:line="233" w:lineRule="auto"/>
              <w:ind w:left="105" w:right="203" w:firstLine="340"/>
            </w:pPr>
            <w:r>
              <w:rPr>
                <w:spacing w:val="-9"/>
              </w:rPr>
              <w:t>第三十四条第一款</w:t>
            </w:r>
            <w:r>
              <w:rPr>
                <w:spacing w:val="74"/>
              </w:rPr>
              <w:t xml:space="preserve"> </w:t>
            </w:r>
            <w:r>
              <w:rPr>
                <w:spacing w:val="-9"/>
              </w:rPr>
              <w:t>道路运输车辆运输旅客的，不得超过核定的人数，不得违反规定载货；运输货物的，</w:t>
            </w:r>
            <w:r>
              <w:t xml:space="preserve"> </w:t>
            </w:r>
            <w:r>
              <w:rPr>
                <w:spacing w:val="-8"/>
              </w:rPr>
              <w:t>不得运输旅客，运输的货物应当符合核定的载重量，严禁超载；载物的长、宽、高不得违反装载要求。</w:t>
            </w:r>
          </w:p>
          <w:p w14:paraId="65C38E39">
            <w:pPr>
              <w:pStyle w:val="8"/>
              <w:spacing w:before="25" w:line="233" w:lineRule="auto"/>
              <w:ind w:left="101" w:right="157" w:firstLine="343"/>
            </w:pPr>
            <w:r>
              <w:rPr>
                <w:spacing w:val="-8"/>
              </w:rPr>
              <w:t>第六十一条</w:t>
            </w:r>
            <w:r>
              <w:rPr>
                <w:spacing w:val="74"/>
              </w:rPr>
              <w:t xml:space="preserve"> </w:t>
            </w:r>
            <w:r>
              <w:rPr>
                <w:spacing w:val="-8"/>
              </w:rPr>
              <w:t>县级以上人民政府交通运输主管部门的工作人员在实施道路运输监督检查过程中，发现车辆</w:t>
            </w:r>
            <w:r>
              <w:t xml:space="preserve"> </w:t>
            </w:r>
            <w:r>
              <w:rPr>
                <w:spacing w:val="-8"/>
              </w:rPr>
              <w:t>超载行为的，应当立即予以制止，并采取相应措施安排旅客改乘或者强制卸货。</w:t>
            </w:r>
          </w:p>
        </w:tc>
        <w:tc>
          <w:tcPr>
            <w:tcW w:w="1011" w:type="dxa"/>
            <w:vAlign w:val="top"/>
          </w:tcPr>
          <w:p w14:paraId="6927DCF0">
            <w:pPr>
              <w:spacing w:line="418" w:lineRule="auto"/>
              <w:rPr>
                <w:rFonts w:ascii="Arial"/>
                <w:sz w:val="21"/>
              </w:rPr>
            </w:pPr>
          </w:p>
          <w:p w14:paraId="5FBA4D19">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5EADE076">
            <w:pPr>
              <w:spacing w:line="418" w:lineRule="auto"/>
              <w:rPr>
                <w:rFonts w:ascii="Arial"/>
                <w:sz w:val="21"/>
              </w:rPr>
            </w:pPr>
          </w:p>
          <w:p w14:paraId="542D91B1">
            <w:pPr>
              <w:pStyle w:val="8"/>
              <w:spacing w:before="59"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48B4761B">
            <w:pPr>
              <w:pStyle w:val="8"/>
              <w:spacing w:before="241"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r w14:paraId="12580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3" w:hRule="atLeast"/>
        </w:trPr>
        <w:tc>
          <w:tcPr>
            <w:tcW w:w="629" w:type="dxa"/>
            <w:vAlign w:val="top"/>
          </w:tcPr>
          <w:p w14:paraId="5D946F35">
            <w:pPr>
              <w:spacing w:line="245" w:lineRule="auto"/>
              <w:rPr>
                <w:rFonts w:ascii="Arial"/>
                <w:sz w:val="21"/>
              </w:rPr>
            </w:pPr>
          </w:p>
          <w:p w14:paraId="369CD7E7">
            <w:pPr>
              <w:spacing w:line="246" w:lineRule="auto"/>
              <w:rPr>
                <w:rFonts w:ascii="Arial"/>
                <w:sz w:val="21"/>
              </w:rPr>
            </w:pPr>
          </w:p>
          <w:p w14:paraId="715BF054">
            <w:pPr>
              <w:spacing w:line="246" w:lineRule="auto"/>
              <w:rPr>
                <w:rFonts w:ascii="Arial"/>
                <w:sz w:val="21"/>
              </w:rPr>
            </w:pPr>
          </w:p>
          <w:p w14:paraId="04E7468B">
            <w:pPr>
              <w:spacing w:line="246" w:lineRule="auto"/>
              <w:rPr>
                <w:rFonts w:ascii="Arial"/>
                <w:sz w:val="21"/>
              </w:rPr>
            </w:pPr>
          </w:p>
          <w:p w14:paraId="52261DF2">
            <w:pPr>
              <w:spacing w:line="246" w:lineRule="auto"/>
              <w:rPr>
                <w:rFonts w:ascii="Arial"/>
                <w:sz w:val="21"/>
              </w:rPr>
            </w:pPr>
          </w:p>
          <w:p w14:paraId="7958DC3A">
            <w:pPr>
              <w:spacing w:line="246" w:lineRule="auto"/>
              <w:rPr>
                <w:rFonts w:ascii="Arial"/>
                <w:sz w:val="21"/>
              </w:rPr>
            </w:pPr>
          </w:p>
          <w:p w14:paraId="4CF4007C">
            <w:pPr>
              <w:spacing w:line="246" w:lineRule="auto"/>
              <w:rPr>
                <w:rFonts w:ascii="Arial"/>
                <w:sz w:val="21"/>
              </w:rPr>
            </w:pPr>
          </w:p>
          <w:p w14:paraId="13A72E16">
            <w:pPr>
              <w:spacing w:line="246" w:lineRule="auto"/>
              <w:rPr>
                <w:rFonts w:ascii="Arial"/>
                <w:sz w:val="21"/>
              </w:rPr>
            </w:pPr>
          </w:p>
          <w:p w14:paraId="6DB1C647">
            <w:pPr>
              <w:spacing w:line="246" w:lineRule="auto"/>
              <w:rPr>
                <w:rFonts w:ascii="Arial"/>
                <w:sz w:val="21"/>
              </w:rPr>
            </w:pPr>
          </w:p>
          <w:p w14:paraId="5F2825CB">
            <w:pPr>
              <w:spacing w:line="246" w:lineRule="auto"/>
              <w:rPr>
                <w:rFonts w:ascii="Arial"/>
                <w:sz w:val="21"/>
              </w:rPr>
            </w:pPr>
          </w:p>
          <w:p w14:paraId="2DC2F92C">
            <w:pPr>
              <w:spacing w:line="246" w:lineRule="auto"/>
              <w:rPr>
                <w:rFonts w:ascii="Arial"/>
                <w:sz w:val="21"/>
              </w:rPr>
            </w:pPr>
          </w:p>
          <w:p w14:paraId="763CB410">
            <w:pPr>
              <w:pStyle w:val="8"/>
              <w:spacing w:before="58" w:line="183" w:lineRule="auto"/>
              <w:ind w:left="221"/>
              <w:rPr>
                <w:rFonts w:hint="eastAsia" w:eastAsia="宋体"/>
                <w:lang w:eastAsia="zh-CN"/>
              </w:rPr>
            </w:pPr>
            <w:r>
              <w:rPr>
                <w:spacing w:val="-4"/>
              </w:rPr>
              <w:t>8</w:t>
            </w:r>
            <w:r>
              <w:rPr>
                <w:rFonts w:hint="eastAsia"/>
                <w:spacing w:val="-4"/>
                <w:lang w:val="en-US" w:eastAsia="zh-CN"/>
              </w:rPr>
              <w:t>6</w:t>
            </w:r>
          </w:p>
        </w:tc>
        <w:tc>
          <w:tcPr>
            <w:tcW w:w="1101" w:type="dxa"/>
            <w:vAlign w:val="top"/>
          </w:tcPr>
          <w:p w14:paraId="28C67776">
            <w:pPr>
              <w:spacing w:line="259" w:lineRule="auto"/>
              <w:rPr>
                <w:rFonts w:ascii="Arial"/>
                <w:sz w:val="21"/>
              </w:rPr>
            </w:pPr>
          </w:p>
          <w:p w14:paraId="1C5CD095">
            <w:pPr>
              <w:spacing w:line="260" w:lineRule="auto"/>
              <w:rPr>
                <w:rFonts w:ascii="Arial"/>
                <w:sz w:val="21"/>
              </w:rPr>
            </w:pPr>
          </w:p>
          <w:p w14:paraId="32CCABB6">
            <w:pPr>
              <w:spacing w:line="260" w:lineRule="auto"/>
              <w:rPr>
                <w:rFonts w:ascii="Arial"/>
                <w:sz w:val="21"/>
              </w:rPr>
            </w:pPr>
          </w:p>
          <w:p w14:paraId="1DBE59BE">
            <w:pPr>
              <w:spacing w:line="260" w:lineRule="auto"/>
              <w:rPr>
                <w:rFonts w:ascii="Arial"/>
                <w:sz w:val="21"/>
              </w:rPr>
            </w:pPr>
          </w:p>
          <w:p w14:paraId="4B6BA5F9">
            <w:pPr>
              <w:spacing w:line="260" w:lineRule="auto"/>
              <w:rPr>
                <w:rFonts w:ascii="Arial"/>
                <w:sz w:val="21"/>
              </w:rPr>
            </w:pPr>
          </w:p>
          <w:p w14:paraId="46374F2C">
            <w:pPr>
              <w:spacing w:line="260" w:lineRule="auto"/>
              <w:rPr>
                <w:rFonts w:ascii="Arial"/>
                <w:sz w:val="21"/>
              </w:rPr>
            </w:pPr>
          </w:p>
          <w:p w14:paraId="4A5A18C8">
            <w:pPr>
              <w:spacing w:line="260" w:lineRule="auto"/>
              <w:rPr>
                <w:rFonts w:ascii="Arial"/>
                <w:sz w:val="21"/>
              </w:rPr>
            </w:pPr>
          </w:p>
          <w:p w14:paraId="0F60ED22">
            <w:pPr>
              <w:spacing w:line="260" w:lineRule="auto"/>
              <w:rPr>
                <w:rFonts w:ascii="Arial"/>
                <w:sz w:val="21"/>
              </w:rPr>
            </w:pPr>
          </w:p>
          <w:p w14:paraId="645FD914">
            <w:pPr>
              <w:pStyle w:val="8"/>
              <w:spacing w:before="59" w:line="242" w:lineRule="auto"/>
              <w:ind w:left="18" w:right="20"/>
              <w:jc w:val="both"/>
            </w:pPr>
            <w:r>
              <w:rPr>
                <w:spacing w:val="-6"/>
              </w:rPr>
              <w:t>对没有车辆营</w:t>
            </w:r>
            <w:r>
              <w:rPr>
                <w:spacing w:val="2"/>
              </w:rPr>
              <w:t xml:space="preserve"> </w:t>
            </w:r>
            <w:r>
              <w:rPr>
                <w:spacing w:val="-6"/>
              </w:rPr>
              <w:t>运证又无法当</w:t>
            </w:r>
            <w:r>
              <w:rPr>
                <w:spacing w:val="2"/>
              </w:rPr>
              <w:t xml:space="preserve"> </w:t>
            </w:r>
            <w:r>
              <w:rPr>
                <w:spacing w:val="-6"/>
              </w:rPr>
              <w:t>场提供其他有</w:t>
            </w:r>
            <w:r>
              <w:rPr>
                <w:spacing w:val="2"/>
              </w:rPr>
              <w:t xml:space="preserve"> </w:t>
            </w:r>
            <w:r>
              <w:rPr>
                <w:spacing w:val="-6"/>
              </w:rPr>
              <w:t>效证明的车辆</w:t>
            </w:r>
            <w:r>
              <w:rPr>
                <w:spacing w:val="2"/>
              </w:rPr>
              <w:t xml:space="preserve"> </w:t>
            </w:r>
            <w:r>
              <w:rPr>
                <w:spacing w:val="-6"/>
              </w:rPr>
              <w:t>实施的行政强</w:t>
            </w:r>
            <w:r>
              <w:rPr>
                <w:spacing w:val="2"/>
              </w:rPr>
              <w:t xml:space="preserve"> </w:t>
            </w:r>
            <w:r>
              <w:t>制</w:t>
            </w:r>
          </w:p>
        </w:tc>
        <w:tc>
          <w:tcPr>
            <w:tcW w:w="1101" w:type="dxa"/>
            <w:vAlign w:val="top"/>
          </w:tcPr>
          <w:p w14:paraId="06A030A7">
            <w:pPr>
              <w:spacing w:line="243" w:lineRule="auto"/>
              <w:rPr>
                <w:rFonts w:ascii="Arial"/>
                <w:sz w:val="21"/>
              </w:rPr>
            </w:pPr>
          </w:p>
          <w:p w14:paraId="1D2D7FB9">
            <w:pPr>
              <w:spacing w:line="243" w:lineRule="auto"/>
              <w:rPr>
                <w:rFonts w:ascii="Arial"/>
                <w:sz w:val="21"/>
              </w:rPr>
            </w:pPr>
          </w:p>
          <w:p w14:paraId="0462D351">
            <w:pPr>
              <w:spacing w:line="243" w:lineRule="auto"/>
              <w:rPr>
                <w:rFonts w:ascii="Arial"/>
                <w:sz w:val="21"/>
              </w:rPr>
            </w:pPr>
          </w:p>
          <w:p w14:paraId="6A2F36AB">
            <w:pPr>
              <w:spacing w:line="243" w:lineRule="auto"/>
              <w:rPr>
                <w:rFonts w:ascii="Arial"/>
                <w:sz w:val="21"/>
              </w:rPr>
            </w:pPr>
          </w:p>
          <w:p w14:paraId="6C344807">
            <w:pPr>
              <w:spacing w:line="243" w:lineRule="auto"/>
              <w:rPr>
                <w:rFonts w:ascii="Arial"/>
                <w:sz w:val="21"/>
              </w:rPr>
            </w:pPr>
          </w:p>
          <w:p w14:paraId="077EF406">
            <w:pPr>
              <w:spacing w:line="243" w:lineRule="auto"/>
              <w:rPr>
                <w:rFonts w:ascii="Arial"/>
                <w:sz w:val="21"/>
              </w:rPr>
            </w:pPr>
          </w:p>
          <w:p w14:paraId="73CFC8D1">
            <w:pPr>
              <w:spacing w:line="243" w:lineRule="auto"/>
              <w:rPr>
                <w:rFonts w:ascii="Arial"/>
                <w:sz w:val="21"/>
              </w:rPr>
            </w:pPr>
          </w:p>
          <w:p w14:paraId="1952C279">
            <w:pPr>
              <w:spacing w:line="243" w:lineRule="auto"/>
              <w:rPr>
                <w:rFonts w:ascii="Arial"/>
                <w:sz w:val="21"/>
              </w:rPr>
            </w:pPr>
          </w:p>
          <w:p w14:paraId="686332AD">
            <w:pPr>
              <w:spacing w:line="244" w:lineRule="auto"/>
              <w:rPr>
                <w:rFonts w:ascii="Arial"/>
                <w:sz w:val="21"/>
              </w:rPr>
            </w:pPr>
          </w:p>
          <w:p w14:paraId="3BA1B62C">
            <w:pPr>
              <w:spacing w:line="244" w:lineRule="auto"/>
              <w:rPr>
                <w:rFonts w:ascii="Arial"/>
                <w:sz w:val="21"/>
              </w:rPr>
            </w:pPr>
          </w:p>
          <w:p w14:paraId="6AAF12B6">
            <w:pPr>
              <w:spacing w:line="244" w:lineRule="auto"/>
              <w:rPr>
                <w:rFonts w:ascii="Arial"/>
                <w:sz w:val="21"/>
              </w:rPr>
            </w:pPr>
          </w:p>
          <w:p w14:paraId="5B545547">
            <w:pPr>
              <w:pStyle w:val="8"/>
              <w:spacing w:before="59" w:line="220" w:lineRule="auto"/>
              <w:ind w:left="25"/>
            </w:pPr>
            <w:r>
              <w:rPr>
                <w:spacing w:val="-7"/>
              </w:rPr>
              <w:t>行政强制</w:t>
            </w:r>
          </w:p>
        </w:tc>
        <w:tc>
          <w:tcPr>
            <w:tcW w:w="8524" w:type="dxa"/>
            <w:vAlign w:val="top"/>
          </w:tcPr>
          <w:p w14:paraId="0E09DEC0">
            <w:pPr>
              <w:pStyle w:val="8"/>
              <w:spacing w:before="112" w:line="219" w:lineRule="auto"/>
              <w:ind w:left="458"/>
            </w:pPr>
            <w:r>
              <w:rPr>
                <w:b/>
                <w:bCs/>
                <w:spacing w:val="-10"/>
              </w:rPr>
              <w:t>1.《中华人民共和国道路运输条例》</w:t>
            </w:r>
          </w:p>
          <w:p w14:paraId="67A6E45B">
            <w:pPr>
              <w:pStyle w:val="8"/>
              <w:spacing w:before="24" w:line="241" w:lineRule="auto"/>
              <w:ind w:left="100" w:right="46" w:firstLine="344"/>
            </w:pPr>
            <w:r>
              <w:rPr>
                <w:spacing w:val="-8"/>
              </w:rPr>
              <w:t>第十条  申请从事客运经营的，应当依法向工商行政管理机关办理有关登记手续后，按照下列规定提出申</w:t>
            </w:r>
            <w:r>
              <w:t xml:space="preserve">  </w:t>
            </w:r>
            <w:r>
              <w:rPr>
                <w:spacing w:val="-8"/>
              </w:rPr>
              <w:t>请并提交符合本条例第八条规定条件的相关材</w:t>
            </w:r>
            <w:r>
              <w:rPr>
                <w:spacing w:val="-9"/>
              </w:rPr>
              <w:t>料</w:t>
            </w:r>
            <w:r>
              <w:rPr>
                <w:spacing w:val="-29"/>
              </w:rPr>
              <w:t>：（</w:t>
            </w:r>
            <w:r>
              <w:rPr>
                <w:spacing w:val="-9"/>
              </w:rPr>
              <w:t>一）从事县级行政区域内和毗邻县行政区域间客运经营的，</w:t>
            </w:r>
            <w:r>
              <w:rPr>
                <w:spacing w:val="1"/>
              </w:rPr>
              <w:t xml:space="preserve"> </w:t>
            </w:r>
            <w:r>
              <w:rPr>
                <w:spacing w:val="-7"/>
              </w:rPr>
              <w:t>向所在地县级人民政府交通运输主管部门提出申请</w:t>
            </w:r>
            <w:r>
              <w:rPr>
                <w:spacing w:val="-22"/>
              </w:rPr>
              <w:t>；（</w:t>
            </w:r>
            <w:r>
              <w:rPr>
                <w:spacing w:val="-7"/>
              </w:rPr>
              <w:t>二）从事省际、市际、县际(</w:t>
            </w:r>
            <w:r>
              <w:rPr>
                <w:spacing w:val="-8"/>
              </w:rPr>
              <w:t>除毗邻县行政区域间外)客</w:t>
            </w:r>
            <w:r>
              <w:t xml:space="preserve">  </w:t>
            </w:r>
            <w:r>
              <w:rPr>
                <w:spacing w:val="-7"/>
              </w:rPr>
              <w:t>运经营的，向所在地设区的市级人民政府交通运输主管部门提出申请</w:t>
            </w:r>
            <w:r>
              <w:rPr>
                <w:spacing w:val="-21"/>
              </w:rPr>
              <w:t>；（</w:t>
            </w:r>
            <w:r>
              <w:rPr>
                <w:spacing w:val="-7"/>
              </w:rPr>
              <w:t>三）在直</w:t>
            </w:r>
            <w:r>
              <w:rPr>
                <w:spacing w:val="-8"/>
              </w:rPr>
              <w:t>辖市申请从事客运经营的，</w:t>
            </w:r>
            <w:r>
              <w:t xml:space="preserve">  </w:t>
            </w:r>
            <w:r>
              <w:rPr>
                <w:spacing w:val="-8"/>
              </w:rPr>
              <w:t>向直辖市人民政府确定的交通运输主管部门提出申请。</w:t>
            </w:r>
          </w:p>
          <w:p w14:paraId="3851D592">
            <w:pPr>
              <w:pStyle w:val="8"/>
              <w:spacing w:before="26" w:line="237" w:lineRule="auto"/>
              <w:ind w:left="102" w:right="150" w:firstLine="343"/>
            </w:pPr>
            <w:r>
              <w:rPr>
                <w:spacing w:val="-8"/>
              </w:rPr>
              <w:t>依照前款规定收到申请的交通运输主管部门，应当自受理申请之日起20日内审查完毕，作出许可或者不予</w:t>
            </w:r>
            <w:r>
              <w:rPr>
                <w:spacing w:val="6"/>
              </w:rPr>
              <w:t xml:space="preserve"> </w:t>
            </w:r>
            <w:r>
              <w:rPr>
                <w:spacing w:val="-8"/>
              </w:rPr>
              <w:t>许可的决定。予以许可的，向申请人颁发道路运输经营许可证，并向申请人投入运输的车辆配发车辆营运</w:t>
            </w:r>
            <w:r>
              <w:rPr>
                <w:spacing w:val="-9"/>
              </w:rPr>
              <w:t>证；</w:t>
            </w:r>
            <w:r>
              <w:t xml:space="preserve"> </w:t>
            </w:r>
            <w:r>
              <w:rPr>
                <w:spacing w:val="-8"/>
              </w:rPr>
              <w:t>不予许可的，应当书面通知申请人并说明理由。</w:t>
            </w:r>
          </w:p>
          <w:p w14:paraId="2D857D3B">
            <w:pPr>
              <w:pStyle w:val="8"/>
              <w:spacing w:before="27" w:line="239" w:lineRule="auto"/>
              <w:ind w:left="103" w:right="150" w:firstLine="341"/>
            </w:pPr>
            <w:r>
              <w:rPr>
                <w:spacing w:val="-8"/>
              </w:rPr>
              <w:t>对从事省际和市际客运经营的申请，收到申请的交通运输主管部门依照本条</w:t>
            </w:r>
            <w:r>
              <w:rPr>
                <w:spacing w:val="75"/>
              </w:rPr>
              <w:t xml:space="preserve"> </w:t>
            </w:r>
            <w:r>
              <w:rPr>
                <w:spacing w:val="-8"/>
              </w:rPr>
              <w:t>第二款规定颁发道路运输经</w:t>
            </w:r>
            <w:r>
              <w:t xml:space="preserve"> </w:t>
            </w:r>
            <w:r>
              <w:rPr>
                <w:spacing w:val="-8"/>
              </w:rPr>
              <w:t>营许可证前，应当与运输线路目的地的相应交通运输主管部门协商；协商不成的，应当按程序报省、自</w:t>
            </w:r>
            <w:r>
              <w:rPr>
                <w:spacing w:val="-9"/>
              </w:rPr>
              <w:t>治区、</w:t>
            </w:r>
            <w:r>
              <w:t xml:space="preserve"> </w:t>
            </w:r>
            <w:r>
              <w:rPr>
                <w:spacing w:val="-8"/>
              </w:rPr>
              <w:t>直辖市人民政府交通运输主管部门协商决定。对从事设区的市内毗邻县客运经营的申请，有关交通运输</w:t>
            </w:r>
            <w:r>
              <w:rPr>
                <w:spacing w:val="-9"/>
              </w:rPr>
              <w:t>主管部</w:t>
            </w:r>
            <w:r>
              <w:t xml:space="preserve"> </w:t>
            </w:r>
            <w:r>
              <w:rPr>
                <w:spacing w:val="-8"/>
              </w:rPr>
              <w:t>门应当进行协商，协商不成的，报所在地市级人民政府交通运输主管部门决定。</w:t>
            </w:r>
          </w:p>
          <w:p w14:paraId="68A92648">
            <w:pPr>
              <w:pStyle w:val="8"/>
              <w:spacing w:before="27" w:line="219" w:lineRule="auto"/>
              <w:ind w:left="445"/>
            </w:pPr>
            <w:r>
              <w:rPr>
                <w:spacing w:val="-8"/>
              </w:rPr>
              <w:t>第三十三条</w:t>
            </w:r>
            <w:r>
              <w:rPr>
                <w:spacing w:val="82"/>
              </w:rPr>
              <w:t xml:space="preserve"> </w:t>
            </w:r>
            <w:r>
              <w:rPr>
                <w:spacing w:val="-8"/>
              </w:rPr>
              <w:t>道路运输车辆应当随车携带车辆营运证，不得转让、出租。</w:t>
            </w:r>
          </w:p>
          <w:p w14:paraId="5AEBB849">
            <w:pPr>
              <w:pStyle w:val="8"/>
              <w:spacing w:before="27" w:line="237" w:lineRule="auto"/>
              <w:ind w:left="101" w:right="150" w:firstLine="343"/>
            </w:pPr>
            <w:r>
              <w:rPr>
                <w:spacing w:val="-8"/>
              </w:rPr>
              <w:t>第六十二条</w:t>
            </w:r>
            <w:r>
              <w:rPr>
                <w:spacing w:val="74"/>
              </w:rPr>
              <w:t xml:space="preserve"> </w:t>
            </w:r>
            <w:r>
              <w:rPr>
                <w:spacing w:val="-8"/>
              </w:rPr>
              <w:t>县级以上人民政府交通运输主管部门的工作人员在实施道路运输监督检查过程中，对没有车</w:t>
            </w:r>
            <w:r>
              <w:t xml:space="preserve"> </w:t>
            </w:r>
            <w:r>
              <w:rPr>
                <w:spacing w:val="-8"/>
              </w:rPr>
              <w:t>辆营运证又无法当场提供其他有效证明的车辆予以暂扣的，应当妥善保管，不得使用，不得收取或者变相收取</w:t>
            </w:r>
            <w:r>
              <w:t xml:space="preserve"> </w:t>
            </w:r>
            <w:r>
              <w:rPr>
                <w:spacing w:val="-7"/>
              </w:rPr>
              <w:t>保管费用。</w:t>
            </w:r>
          </w:p>
          <w:p w14:paraId="0FF967C6">
            <w:pPr>
              <w:pStyle w:val="8"/>
              <w:spacing w:before="26" w:line="219" w:lineRule="auto"/>
              <w:ind w:left="447"/>
            </w:pPr>
            <w:r>
              <w:rPr>
                <w:b/>
                <w:bCs/>
                <w:spacing w:val="-8"/>
              </w:rPr>
              <w:t>2.《湖南省道路运输条例》</w:t>
            </w:r>
          </w:p>
          <w:p w14:paraId="7000E571">
            <w:pPr>
              <w:pStyle w:val="8"/>
              <w:spacing w:before="25" w:line="233" w:lineRule="auto"/>
              <w:ind w:left="103" w:right="13" w:firstLine="341"/>
            </w:pPr>
            <w:r>
              <w:rPr>
                <w:spacing w:val="-8"/>
              </w:rPr>
              <w:t>第二十四条</w:t>
            </w:r>
            <w:r>
              <w:rPr>
                <w:spacing w:val="73"/>
              </w:rPr>
              <w:t xml:space="preserve"> </w:t>
            </w:r>
            <w:r>
              <w:rPr>
                <w:spacing w:val="-8"/>
              </w:rPr>
              <w:t>县级以上人民政府交通运输主管</w:t>
            </w:r>
            <w:r>
              <w:rPr>
                <w:spacing w:val="-9"/>
              </w:rPr>
              <w:t>部门在实施道路运输监督检查过程中，对没有《道路运输证》</w:t>
            </w:r>
            <w:r>
              <w:t xml:space="preserve"> </w:t>
            </w:r>
            <w:r>
              <w:rPr>
                <w:spacing w:val="-8"/>
              </w:rPr>
              <w:t>又无法当场提供其他有效证明的经营车辆予以暂扣，并依法作出行政处罚决定。</w:t>
            </w:r>
          </w:p>
          <w:p w14:paraId="6BE5C9BC">
            <w:pPr>
              <w:pStyle w:val="8"/>
              <w:spacing w:before="27" w:line="237" w:lineRule="auto"/>
              <w:ind w:left="102" w:right="150" w:firstLine="343"/>
            </w:pPr>
            <w:r>
              <w:rPr>
                <w:spacing w:val="-8"/>
              </w:rPr>
              <w:t>县级以上人民政府交通运输主管部门应当妥善保管暂扣车辆，不得使用暂扣车辆，不得收取或者变相收取</w:t>
            </w:r>
            <w:r>
              <w:t xml:space="preserve"> </w:t>
            </w:r>
            <w:r>
              <w:rPr>
                <w:spacing w:val="-8"/>
              </w:rPr>
              <w:t>保管、停车费用。车辆在暂扣期间因保管不善造成被盗、损坏、灭失的，县级以上人民政府交通运输主管</w:t>
            </w:r>
            <w:r>
              <w:rPr>
                <w:spacing w:val="-9"/>
              </w:rPr>
              <w:t>部门</w:t>
            </w:r>
            <w:r>
              <w:t xml:space="preserve"> </w:t>
            </w:r>
            <w:r>
              <w:rPr>
                <w:spacing w:val="-7"/>
              </w:rPr>
              <w:t>应当依法赔偿。</w:t>
            </w:r>
          </w:p>
        </w:tc>
        <w:tc>
          <w:tcPr>
            <w:tcW w:w="1011" w:type="dxa"/>
            <w:vAlign w:val="top"/>
          </w:tcPr>
          <w:p w14:paraId="32AE7254">
            <w:pPr>
              <w:spacing w:line="255" w:lineRule="auto"/>
              <w:rPr>
                <w:rFonts w:ascii="Arial"/>
                <w:sz w:val="21"/>
              </w:rPr>
            </w:pPr>
          </w:p>
          <w:p w14:paraId="7724BB52">
            <w:pPr>
              <w:spacing w:line="255" w:lineRule="auto"/>
              <w:rPr>
                <w:rFonts w:ascii="Arial"/>
                <w:sz w:val="21"/>
              </w:rPr>
            </w:pPr>
          </w:p>
          <w:p w14:paraId="0827E52C">
            <w:pPr>
              <w:spacing w:line="255" w:lineRule="auto"/>
              <w:rPr>
                <w:rFonts w:ascii="Arial"/>
                <w:sz w:val="21"/>
              </w:rPr>
            </w:pPr>
          </w:p>
          <w:p w14:paraId="49F7DE9C">
            <w:pPr>
              <w:spacing w:line="256" w:lineRule="auto"/>
              <w:rPr>
                <w:rFonts w:ascii="Arial"/>
                <w:sz w:val="21"/>
              </w:rPr>
            </w:pPr>
          </w:p>
          <w:p w14:paraId="254BD0AB">
            <w:pPr>
              <w:spacing w:line="256" w:lineRule="auto"/>
              <w:rPr>
                <w:rFonts w:ascii="Arial"/>
                <w:sz w:val="21"/>
              </w:rPr>
            </w:pPr>
          </w:p>
          <w:p w14:paraId="4FABEF0B">
            <w:pPr>
              <w:spacing w:line="256" w:lineRule="auto"/>
              <w:rPr>
                <w:rFonts w:ascii="Arial"/>
                <w:sz w:val="21"/>
              </w:rPr>
            </w:pPr>
          </w:p>
          <w:p w14:paraId="018B1832">
            <w:pPr>
              <w:spacing w:line="256" w:lineRule="auto"/>
              <w:rPr>
                <w:rFonts w:ascii="Arial"/>
                <w:sz w:val="21"/>
              </w:rPr>
            </w:pPr>
          </w:p>
          <w:p w14:paraId="5C33ABDF">
            <w:pPr>
              <w:spacing w:line="256" w:lineRule="auto"/>
              <w:rPr>
                <w:rFonts w:ascii="Arial"/>
                <w:sz w:val="21"/>
              </w:rPr>
            </w:pPr>
          </w:p>
          <w:p w14:paraId="1E062E71">
            <w:pPr>
              <w:spacing w:line="256" w:lineRule="auto"/>
              <w:rPr>
                <w:rFonts w:ascii="Arial"/>
                <w:sz w:val="21"/>
              </w:rPr>
            </w:pPr>
          </w:p>
          <w:p w14:paraId="71205118">
            <w:pPr>
              <w:spacing w:line="256" w:lineRule="auto"/>
              <w:rPr>
                <w:rFonts w:ascii="Arial"/>
                <w:sz w:val="21"/>
              </w:rPr>
            </w:pPr>
          </w:p>
          <w:p w14:paraId="3EECC035">
            <w:pPr>
              <w:pStyle w:val="8"/>
              <w:spacing w:before="58" w:line="233" w:lineRule="auto"/>
              <w:ind w:left="166" w:right="141" w:firstLine="2"/>
            </w:pPr>
            <w:r>
              <w:rPr>
                <w:spacing w:val="-9"/>
              </w:rPr>
              <w:t>交通运输</w:t>
            </w:r>
            <w:r>
              <w:t xml:space="preserve"> </w:t>
            </w:r>
            <w:r>
              <w:rPr>
                <w:spacing w:val="-9"/>
              </w:rPr>
              <w:t>主管部门</w:t>
            </w:r>
          </w:p>
        </w:tc>
        <w:tc>
          <w:tcPr>
            <w:tcW w:w="1404" w:type="dxa"/>
            <w:vAlign w:val="top"/>
          </w:tcPr>
          <w:p w14:paraId="3268F0C7">
            <w:pPr>
              <w:spacing w:line="255" w:lineRule="auto"/>
              <w:rPr>
                <w:rFonts w:ascii="Arial"/>
                <w:sz w:val="21"/>
              </w:rPr>
            </w:pPr>
          </w:p>
          <w:p w14:paraId="459D8B7B">
            <w:pPr>
              <w:spacing w:line="255" w:lineRule="auto"/>
              <w:rPr>
                <w:rFonts w:ascii="Arial"/>
                <w:sz w:val="21"/>
              </w:rPr>
            </w:pPr>
          </w:p>
          <w:p w14:paraId="39FDBE6A">
            <w:pPr>
              <w:spacing w:line="255" w:lineRule="auto"/>
              <w:rPr>
                <w:rFonts w:ascii="Arial"/>
                <w:sz w:val="21"/>
              </w:rPr>
            </w:pPr>
          </w:p>
          <w:p w14:paraId="58994DE0">
            <w:pPr>
              <w:spacing w:line="256" w:lineRule="auto"/>
              <w:rPr>
                <w:rFonts w:ascii="Arial"/>
                <w:sz w:val="21"/>
              </w:rPr>
            </w:pPr>
          </w:p>
          <w:p w14:paraId="4E760E61">
            <w:pPr>
              <w:spacing w:line="256" w:lineRule="auto"/>
              <w:rPr>
                <w:rFonts w:ascii="Arial"/>
                <w:sz w:val="21"/>
              </w:rPr>
            </w:pPr>
          </w:p>
          <w:p w14:paraId="26E97EDE">
            <w:pPr>
              <w:spacing w:line="256" w:lineRule="auto"/>
              <w:rPr>
                <w:rFonts w:ascii="Arial"/>
                <w:sz w:val="21"/>
              </w:rPr>
            </w:pPr>
          </w:p>
          <w:p w14:paraId="5D19A3DA">
            <w:pPr>
              <w:spacing w:line="256" w:lineRule="auto"/>
              <w:rPr>
                <w:rFonts w:ascii="Arial"/>
                <w:sz w:val="21"/>
              </w:rPr>
            </w:pPr>
          </w:p>
          <w:p w14:paraId="6C256333">
            <w:pPr>
              <w:spacing w:line="256" w:lineRule="auto"/>
              <w:rPr>
                <w:rFonts w:ascii="Arial"/>
                <w:sz w:val="21"/>
              </w:rPr>
            </w:pPr>
          </w:p>
          <w:p w14:paraId="0C6AC4EC">
            <w:pPr>
              <w:spacing w:line="256" w:lineRule="auto"/>
              <w:rPr>
                <w:rFonts w:ascii="Arial"/>
                <w:sz w:val="21"/>
              </w:rPr>
            </w:pPr>
          </w:p>
          <w:p w14:paraId="79B88F19">
            <w:pPr>
              <w:spacing w:line="256" w:lineRule="auto"/>
              <w:rPr>
                <w:rFonts w:ascii="Arial"/>
                <w:sz w:val="21"/>
              </w:rPr>
            </w:pPr>
          </w:p>
          <w:p w14:paraId="48ECE5A2">
            <w:pPr>
              <w:pStyle w:val="8"/>
              <w:spacing w:before="58" w:line="234" w:lineRule="auto"/>
              <w:ind w:left="449" w:right="338" w:hanging="85"/>
              <w:rPr>
                <w:rFonts w:hint="eastAsia" w:eastAsia="宋体"/>
                <w:lang w:eastAsia="zh-CN"/>
              </w:rPr>
            </w:pPr>
            <w:r>
              <w:rPr>
                <w:rFonts w:hint="eastAsia"/>
                <w:spacing w:val="-9"/>
                <w:lang w:eastAsia="zh-CN"/>
              </w:rPr>
              <w:t>津市市交通运输局</w:t>
            </w:r>
          </w:p>
        </w:tc>
        <w:tc>
          <w:tcPr>
            <w:tcW w:w="1020" w:type="dxa"/>
            <w:vAlign w:val="top"/>
          </w:tcPr>
          <w:p w14:paraId="7321F313">
            <w:pPr>
              <w:spacing w:line="257" w:lineRule="auto"/>
              <w:rPr>
                <w:rFonts w:ascii="Arial"/>
                <w:sz w:val="21"/>
              </w:rPr>
            </w:pPr>
          </w:p>
          <w:p w14:paraId="14171F99">
            <w:pPr>
              <w:spacing w:line="257" w:lineRule="auto"/>
              <w:rPr>
                <w:rFonts w:ascii="Arial"/>
                <w:sz w:val="21"/>
              </w:rPr>
            </w:pPr>
          </w:p>
          <w:p w14:paraId="5D04AD88">
            <w:pPr>
              <w:spacing w:line="258" w:lineRule="auto"/>
              <w:rPr>
                <w:rFonts w:ascii="Arial"/>
                <w:sz w:val="21"/>
              </w:rPr>
            </w:pPr>
          </w:p>
          <w:p w14:paraId="0110419A">
            <w:pPr>
              <w:spacing w:line="258" w:lineRule="auto"/>
              <w:rPr>
                <w:rFonts w:ascii="Arial"/>
                <w:sz w:val="21"/>
              </w:rPr>
            </w:pPr>
          </w:p>
          <w:p w14:paraId="7EA7C19B">
            <w:pPr>
              <w:spacing w:line="258" w:lineRule="auto"/>
              <w:rPr>
                <w:rFonts w:ascii="Arial"/>
                <w:sz w:val="21"/>
              </w:rPr>
            </w:pPr>
          </w:p>
          <w:p w14:paraId="2FAE9404">
            <w:pPr>
              <w:spacing w:line="258" w:lineRule="auto"/>
              <w:rPr>
                <w:rFonts w:ascii="Arial"/>
                <w:sz w:val="21"/>
              </w:rPr>
            </w:pPr>
          </w:p>
          <w:p w14:paraId="7860FC31">
            <w:pPr>
              <w:spacing w:line="258" w:lineRule="auto"/>
              <w:rPr>
                <w:rFonts w:ascii="Arial"/>
                <w:sz w:val="21"/>
              </w:rPr>
            </w:pPr>
          </w:p>
          <w:p w14:paraId="7E0506A5">
            <w:pPr>
              <w:spacing w:line="258" w:lineRule="auto"/>
              <w:rPr>
                <w:rFonts w:ascii="Arial"/>
                <w:sz w:val="21"/>
              </w:rPr>
            </w:pPr>
          </w:p>
          <w:p w14:paraId="1C428ABA">
            <w:pPr>
              <w:spacing w:line="258" w:lineRule="auto"/>
              <w:rPr>
                <w:rFonts w:ascii="Arial"/>
                <w:sz w:val="21"/>
              </w:rPr>
            </w:pPr>
          </w:p>
          <w:p w14:paraId="62C5806C">
            <w:pPr>
              <w:pStyle w:val="8"/>
              <w:spacing w:before="58" w:line="239" w:lineRule="auto"/>
              <w:ind w:left="166" w:right="148" w:firstLine="22"/>
              <w:jc w:val="both"/>
              <w:rPr>
                <w:rFonts w:hint="eastAsia" w:eastAsia="宋体"/>
                <w:lang w:eastAsia="zh-CN"/>
              </w:rPr>
            </w:pPr>
            <w:r>
              <w:rPr>
                <w:rFonts w:hint="eastAsia"/>
                <w:spacing w:val="-14"/>
                <w:lang w:eastAsia="zh-CN"/>
              </w:rPr>
              <w:t>津市市交通运输综合行政执法大队</w:t>
            </w:r>
          </w:p>
        </w:tc>
      </w:tr>
    </w:tbl>
    <w:p w14:paraId="3C85C7D8">
      <w:pPr>
        <w:pStyle w:val="2"/>
      </w:pPr>
    </w:p>
    <w:p w14:paraId="6E2ABB57">
      <w:pPr>
        <w:sectPr>
          <w:footerReference r:id="rId61" w:type="default"/>
          <w:pgSz w:w="16839" w:h="11906"/>
          <w:pgMar w:top="1012" w:right="1016" w:bottom="966" w:left="1016" w:header="0" w:footer="768" w:gutter="0"/>
          <w:cols w:space="720" w:num="1"/>
        </w:sectPr>
      </w:pPr>
    </w:p>
    <w:p w14:paraId="53EED8FB"/>
    <w:p w14:paraId="6BAEB928">
      <w:pPr>
        <w:spacing w:before="232" w:line="221" w:lineRule="auto"/>
        <w:ind w:left="3197"/>
        <w:outlineLvl w:val="0"/>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spacing w:val="8"/>
          <w:sz w:val="31"/>
          <w:szCs w:val="31"/>
          <w:lang w:eastAsia="zh-CN"/>
        </w:rPr>
        <w:t>津市市</w:t>
      </w:r>
      <w:r>
        <w:rPr>
          <w:rFonts w:ascii="方正小标宋简体" w:hAnsi="方正小标宋简体" w:eastAsia="方正小标宋简体" w:cs="方正小标宋简体"/>
          <w:spacing w:val="8"/>
          <w:sz w:val="31"/>
          <w:szCs w:val="31"/>
        </w:rPr>
        <w:t>交通运输综合行政执法事项指导目录（公路管理</w:t>
      </w:r>
      <w:r>
        <w:rPr>
          <w:rFonts w:hint="eastAsia" w:ascii="方正小标宋简体" w:hAnsi="方正小标宋简体" w:eastAsia="方正小标宋简体" w:cs="方正小标宋简体"/>
          <w:spacing w:val="8"/>
          <w:sz w:val="31"/>
          <w:szCs w:val="31"/>
          <w:lang w:val="en-US" w:eastAsia="zh-CN"/>
        </w:rPr>
        <w:t>35</w:t>
      </w:r>
      <w:r>
        <w:rPr>
          <w:rFonts w:ascii="方正小标宋简体" w:hAnsi="方正小标宋简体" w:eastAsia="方正小标宋简体" w:cs="方正小标宋简体"/>
          <w:spacing w:val="7"/>
          <w:sz w:val="31"/>
          <w:szCs w:val="31"/>
        </w:rPr>
        <w:t>项）</w:t>
      </w: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6B234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775F7ECF">
            <w:pPr>
              <w:pStyle w:val="8"/>
              <w:spacing w:before="258" w:line="221" w:lineRule="auto"/>
              <w:ind w:left="148"/>
            </w:pPr>
            <w:r>
              <w:rPr>
                <w:b/>
                <w:bCs/>
                <w:spacing w:val="-6"/>
              </w:rPr>
              <w:t>序号</w:t>
            </w:r>
          </w:p>
        </w:tc>
        <w:tc>
          <w:tcPr>
            <w:tcW w:w="1113" w:type="dxa"/>
            <w:vMerge w:val="restart"/>
            <w:tcBorders>
              <w:bottom w:val="nil"/>
            </w:tcBorders>
            <w:vAlign w:val="top"/>
          </w:tcPr>
          <w:p w14:paraId="7A28D4C0">
            <w:pPr>
              <w:pStyle w:val="8"/>
              <w:spacing w:before="259" w:line="220" w:lineRule="auto"/>
              <w:ind w:left="201"/>
            </w:pPr>
            <w:r>
              <w:rPr>
                <w:b/>
                <w:bCs/>
                <w:spacing w:val="-5"/>
              </w:rPr>
              <w:t>事项名称</w:t>
            </w:r>
          </w:p>
        </w:tc>
        <w:tc>
          <w:tcPr>
            <w:tcW w:w="1113" w:type="dxa"/>
            <w:vMerge w:val="restart"/>
            <w:tcBorders>
              <w:bottom w:val="nil"/>
            </w:tcBorders>
            <w:vAlign w:val="top"/>
          </w:tcPr>
          <w:p w14:paraId="51B26BD0">
            <w:pPr>
              <w:pStyle w:val="8"/>
              <w:spacing w:before="259" w:line="219" w:lineRule="auto"/>
              <w:ind w:left="202"/>
            </w:pPr>
            <w:r>
              <w:rPr>
                <w:b/>
                <w:bCs/>
                <w:spacing w:val="-5"/>
              </w:rPr>
              <w:t>职权类型</w:t>
            </w:r>
          </w:p>
        </w:tc>
        <w:tc>
          <w:tcPr>
            <w:tcW w:w="8631" w:type="dxa"/>
            <w:vMerge w:val="restart"/>
            <w:tcBorders>
              <w:bottom w:val="nil"/>
            </w:tcBorders>
            <w:vAlign w:val="top"/>
          </w:tcPr>
          <w:p w14:paraId="11F5A098">
            <w:pPr>
              <w:pStyle w:val="8"/>
              <w:spacing w:before="258" w:line="219" w:lineRule="auto"/>
              <w:ind w:left="3970"/>
            </w:pPr>
            <w:r>
              <w:rPr>
                <w:b/>
                <w:bCs/>
                <w:spacing w:val="-6"/>
              </w:rPr>
              <w:t>实施依据</w:t>
            </w:r>
          </w:p>
        </w:tc>
        <w:tc>
          <w:tcPr>
            <w:tcW w:w="3468" w:type="dxa"/>
            <w:gridSpan w:val="3"/>
            <w:vAlign w:val="top"/>
          </w:tcPr>
          <w:p w14:paraId="383F496C">
            <w:pPr>
              <w:pStyle w:val="8"/>
              <w:spacing w:before="81" w:line="220" w:lineRule="auto"/>
              <w:ind w:left="1389"/>
            </w:pPr>
            <w:r>
              <w:rPr>
                <w:b/>
                <w:bCs/>
                <w:spacing w:val="-6"/>
              </w:rPr>
              <w:t>实施主体</w:t>
            </w:r>
          </w:p>
        </w:tc>
      </w:tr>
      <w:tr w14:paraId="01D05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73BD3BB6">
            <w:pPr>
              <w:rPr>
                <w:rFonts w:ascii="Arial"/>
                <w:sz w:val="21"/>
              </w:rPr>
            </w:pPr>
          </w:p>
        </w:tc>
        <w:tc>
          <w:tcPr>
            <w:tcW w:w="1113" w:type="dxa"/>
            <w:vMerge w:val="continue"/>
            <w:tcBorders>
              <w:top w:val="nil"/>
            </w:tcBorders>
            <w:vAlign w:val="top"/>
          </w:tcPr>
          <w:p w14:paraId="7DA3FA39">
            <w:pPr>
              <w:rPr>
                <w:rFonts w:ascii="Arial"/>
                <w:sz w:val="21"/>
              </w:rPr>
            </w:pPr>
          </w:p>
        </w:tc>
        <w:tc>
          <w:tcPr>
            <w:tcW w:w="1113" w:type="dxa"/>
            <w:vMerge w:val="continue"/>
            <w:tcBorders>
              <w:top w:val="nil"/>
            </w:tcBorders>
            <w:vAlign w:val="top"/>
          </w:tcPr>
          <w:p w14:paraId="738C4DB0">
            <w:pPr>
              <w:rPr>
                <w:rFonts w:ascii="Arial"/>
                <w:sz w:val="21"/>
              </w:rPr>
            </w:pPr>
          </w:p>
        </w:tc>
        <w:tc>
          <w:tcPr>
            <w:tcW w:w="8631" w:type="dxa"/>
            <w:vMerge w:val="continue"/>
            <w:tcBorders>
              <w:top w:val="nil"/>
            </w:tcBorders>
            <w:vAlign w:val="top"/>
          </w:tcPr>
          <w:p w14:paraId="17D3F502">
            <w:pPr>
              <w:rPr>
                <w:rFonts w:ascii="Arial"/>
                <w:sz w:val="21"/>
              </w:rPr>
            </w:pPr>
          </w:p>
        </w:tc>
        <w:tc>
          <w:tcPr>
            <w:tcW w:w="1022" w:type="dxa"/>
            <w:vAlign w:val="top"/>
          </w:tcPr>
          <w:p w14:paraId="52BFE339">
            <w:pPr>
              <w:pStyle w:val="8"/>
              <w:spacing w:before="83" w:line="219" w:lineRule="auto"/>
              <w:ind w:left="170"/>
            </w:pPr>
            <w:r>
              <w:rPr>
                <w:b/>
                <w:bCs/>
                <w:spacing w:val="-6"/>
              </w:rPr>
              <w:t>责任部门</w:t>
            </w:r>
          </w:p>
        </w:tc>
        <w:tc>
          <w:tcPr>
            <w:tcW w:w="1419" w:type="dxa"/>
            <w:vAlign w:val="top"/>
          </w:tcPr>
          <w:p w14:paraId="2203697F">
            <w:pPr>
              <w:pStyle w:val="8"/>
              <w:spacing w:before="83" w:line="219" w:lineRule="auto"/>
              <w:ind w:left="183"/>
            </w:pPr>
            <w:r>
              <w:rPr>
                <w:b/>
                <w:bCs/>
                <w:spacing w:val="-4"/>
              </w:rPr>
              <w:t>第一责任层级</w:t>
            </w:r>
          </w:p>
        </w:tc>
        <w:tc>
          <w:tcPr>
            <w:tcW w:w="1027" w:type="dxa"/>
            <w:vAlign w:val="top"/>
          </w:tcPr>
          <w:p w14:paraId="722F5CA7">
            <w:pPr>
              <w:pStyle w:val="8"/>
              <w:spacing w:before="82" w:line="219" w:lineRule="auto"/>
              <w:ind w:left="161"/>
            </w:pPr>
            <w:r>
              <w:rPr>
                <w:b/>
                <w:bCs/>
                <w:spacing w:val="-5"/>
              </w:rPr>
              <w:t>承办机构</w:t>
            </w:r>
          </w:p>
        </w:tc>
      </w:tr>
      <w:tr w14:paraId="46E2C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5" w:hRule="atLeast"/>
        </w:trPr>
        <w:tc>
          <w:tcPr>
            <w:tcW w:w="629" w:type="dxa"/>
            <w:vAlign w:val="top"/>
          </w:tcPr>
          <w:p w14:paraId="7D1B7489">
            <w:pPr>
              <w:spacing w:line="245" w:lineRule="auto"/>
              <w:rPr>
                <w:rFonts w:ascii="Arial"/>
                <w:sz w:val="21"/>
              </w:rPr>
            </w:pPr>
          </w:p>
          <w:p w14:paraId="40A64E43">
            <w:pPr>
              <w:spacing w:line="245" w:lineRule="auto"/>
              <w:rPr>
                <w:rFonts w:ascii="Arial"/>
                <w:sz w:val="21"/>
              </w:rPr>
            </w:pPr>
          </w:p>
          <w:p w14:paraId="71A537BB">
            <w:pPr>
              <w:spacing w:line="245" w:lineRule="auto"/>
              <w:rPr>
                <w:rFonts w:ascii="Arial"/>
                <w:sz w:val="21"/>
              </w:rPr>
            </w:pPr>
          </w:p>
          <w:p w14:paraId="38FDF296">
            <w:pPr>
              <w:spacing w:line="246" w:lineRule="auto"/>
              <w:rPr>
                <w:rFonts w:ascii="Arial"/>
                <w:sz w:val="21"/>
              </w:rPr>
            </w:pPr>
          </w:p>
          <w:p w14:paraId="08BD0FB7">
            <w:pPr>
              <w:spacing w:line="246" w:lineRule="auto"/>
              <w:rPr>
                <w:rFonts w:ascii="Arial"/>
                <w:sz w:val="21"/>
              </w:rPr>
            </w:pPr>
          </w:p>
          <w:p w14:paraId="67D3B4E3">
            <w:pPr>
              <w:spacing w:line="246" w:lineRule="auto"/>
              <w:rPr>
                <w:rFonts w:ascii="Arial"/>
                <w:sz w:val="21"/>
              </w:rPr>
            </w:pPr>
          </w:p>
          <w:p w14:paraId="203F36CB">
            <w:pPr>
              <w:pStyle w:val="8"/>
              <w:spacing w:before="58" w:line="184" w:lineRule="auto"/>
              <w:ind w:left="287"/>
            </w:pPr>
            <w:r>
              <w:t>1</w:t>
            </w:r>
          </w:p>
        </w:tc>
        <w:tc>
          <w:tcPr>
            <w:tcW w:w="1113" w:type="dxa"/>
            <w:vAlign w:val="top"/>
          </w:tcPr>
          <w:p w14:paraId="510E563E">
            <w:pPr>
              <w:spacing w:line="357" w:lineRule="auto"/>
              <w:rPr>
                <w:rFonts w:ascii="Arial"/>
                <w:sz w:val="21"/>
              </w:rPr>
            </w:pPr>
          </w:p>
          <w:p w14:paraId="458B223F">
            <w:pPr>
              <w:spacing w:line="357" w:lineRule="auto"/>
              <w:rPr>
                <w:rFonts w:ascii="Arial"/>
                <w:sz w:val="21"/>
              </w:rPr>
            </w:pPr>
          </w:p>
          <w:p w14:paraId="25534757">
            <w:pPr>
              <w:pStyle w:val="8"/>
              <w:spacing w:before="58" w:line="245" w:lineRule="auto"/>
              <w:ind w:left="96" w:right="90" w:hanging="1"/>
            </w:pPr>
            <w:r>
              <w:rPr>
                <w:spacing w:val="4"/>
              </w:rPr>
              <w:t>对擅自在公</w:t>
            </w:r>
            <w:r>
              <w:rPr>
                <w:spacing w:val="1"/>
              </w:rPr>
              <w:t xml:space="preserve"> </w:t>
            </w:r>
            <w:r>
              <w:rPr>
                <w:spacing w:val="-2"/>
              </w:rPr>
              <w:t>路上设卡、</w:t>
            </w:r>
            <w:r>
              <w:rPr>
                <w:spacing w:val="3"/>
              </w:rPr>
              <w:t xml:space="preserve"> </w:t>
            </w:r>
            <w:r>
              <w:rPr>
                <w:spacing w:val="4"/>
              </w:rPr>
              <w:t>收费或者应</w:t>
            </w:r>
            <w:r>
              <w:t xml:space="preserve"> </w:t>
            </w:r>
            <w:r>
              <w:rPr>
                <w:spacing w:val="4"/>
              </w:rPr>
              <w:t>当终止收费</w:t>
            </w:r>
            <w:r>
              <w:t xml:space="preserve"> </w:t>
            </w:r>
            <w:r>
              <w:rPr>
                <w:spacing w:val="4"/>
              </w:rPr>
              <w:t>而不终止行</w:t>
            </w:r>
            <w:r>
              <w:t xml:space="preserve"> </w:t>
            </w:r>
            <w:r>
              <w:rPr>
                <w:spacing w:val="4"/>
              </w:rPr>
              <w:t>为的行政处</w:t>
            </w:r>
            <w:r>
              <w:t xml:space="preserve"> 罚</w:t>
            </w:r>
          </w:p>
        </w:tc>
        <w:tc>
          <w:tcPr>
            <w:tcW w:w="1113" w:type="dxa"/>
            <w:vAlign w:val="top"/>
          </w:tcPr>
          <w:p w14:paraId="4FA581A7">
            <w:pPr>
              <w:spacing w:line="286" w:lineRule="auto"/>
              <w:rPr>
                <w:rFonts w:ascii="Arial"/>
                <w:sz w:val="21"/>
              </w:rPr>
            </w:pPr>
          </w:p>
          <w:p w14:paraId="5995EC5B">
            <w:pPr>
              <w:spacing w:line="287" w:lineRule="auto"/>
              <w:rPr>
                <w:rFonts w:ascii="Arial"/>
                <w:sz w:val="21"/>
              </w:rPr>
            </w:pPr>
          </w:p>
          <w:p w14:paraId="487F9E64">
            <w:pPr>
              <w:spacing w:line="287" w:lineRule="auto"/>
              <w:rPr>
                <w:rFonts w:ascii="Arial"/>
                <w:sz w:val="21"/>
              </w:rPr>
            </w:pPr>
          </w:p>
          <w:p w14:paraId="4D6FCA88">
            <w:pPr>
              <w:spacing w:line="287" w:lineRule="auto"/>
              <w:rPr>
                <w:rFonts w:ascii="Arial"/>
                <w:sz w:val="21"/>
              </w:rPr>
            </w:pPr>
          </w:p>
          <w:p w14:paraId="5BFBE605">
            <w:pPr>
              <w:spacing w:line="287" w:lineRule="auto"/>
              <w:rPr>
                <w:rFonts w:ascii="Arial"/>
                <w:sz w:val="21"/>
              </w:rPr>
            </w:pPr>
          </w:p>
          <w:p w14:paraId="448C22C4">
            <w:pPr>
              <w:pStyle w:val="8"/>
              <w:spacing w:before="58" w:line="220" w:lineRule="auto"/>
              <w:ind w:left="10"/>
            </w:pPr>
            <w:r>
              <w:rPr>
                <w:spacing w:val="-2"/>
              </w:rPr>
              <w:t>行政处罚</w:t>
            </w:r>
          </w:p>
        </w:tc>
        <w:tc>
          <w:tcPr>
            <w:tcW w:w="8631" w:type="dxa"/>
            <w:vAlign w:val="top"/>
          </w:tcPr>
          <w:p w14:paraId="2CE7A693">
            <w:pPr>
              <w:pStyle w:val="8"/>
              <w:spacing w:before="37" w:line="219" w:lineRule="auto"/>
              <w:ind w:left="480"/>
            </w:pPr>
            <w:r>
              <w:rPr>
                <w:b/>
                <w:bCs/>
                <w:spacing w:val="-5"/>
              </w:rPr>
              <w:t>1.《中华人民共和国公路法》</w:t>
            </w:r>
          </w:p>
          <w:p w14:paraId="693A7FA3">
            <w:pPr>
              <w:pStyle w:val="8"/>
              <w:spacing w:before="26" w:line="219" w:lineRule="auto"/>
              <w:ind w:left="466"/>
            </w:pPr>
            <w:r>
              <w:rPr>
                <w:spacing w:val="-3"/>
              </w:rPr>
              <w:t>第九条  禁止任何单位和个人在公路上非法设卡、收费、罚款和拦截车辆。</w:t>
            </w:r>
          </w:p>
          <w:p w14:paraId="5B1CE025">
            <w:pPr>
              <w:pStyle w:val="8"/>
              <w:spacing w:before="25" w:line="203" w:lineRule="auto"/>
              <w:ind w:left="115" w:right="109" w:firstLine="351"/>
              <w:rPr>
                <w:rFonts w:ascii="微软雅黑" w:hAnsi="微软雅黑" w:eastAsia="微软雅黑" w:cs="微软雅黑"/>
              </w:rPr>
            </w:pPr>
            <w:r>
              <w:rPr>
                <w:spacing w:val="-1"/>
              </w:rPr>
              <w:t>第七十四条  违反法律或者国务院有关规定,擅自在公路上设卡</w:t>
            </w:r>
            <w:r>
              <w:rPr>
                <w:rFonts w:ascii="微软雅黑" w:hAnsi="微软雅黑" w:eastAsia="微软雅黑" w:cs="微软雅黑"/>
                <w:spacing w:val="-1"/>
              </w:rPr>
              <w:t>、</w:t>
            </w:r>
            <w:r>
              <w:rPr>
                <w:spacing w:val="-1"/>
              </w:rPr>
              <w:t>收费的,由交通主管部门责</w:t>
            </w:r>
            <w:r>
              <w:rPr>
                <w:spacing w:val="-2"/>
              </w:rPr>
              <w:t>令停止违法</w:t>
            </w:r>
            <w:r>
              <w:t xml:space="preserve"> </w:t>
            </w:r>
            <w:r>
              <w:rPr>
                <w:spacing w:val="-1"/>
              </w:rPr>
              <w:t>行为,没收违法所得,可以处违法所得三倍以下的罚款,没有违法所得的,可以处二</w:t>
            </w:r>
            <w:r>
              <w:rPr>
                <w:spacing w:val="-2"/>
              </w:rPr>
              <w:t>万元以下的罚款；对负有直</w:t>
            </w:r>
            <w:r>
              <w:t xml:space="preserve"> </w:t>
            </w:r>
            <w:r>
              <w:rPr>
                <w:spacing w:val="-2"/>
              </w:rPr>
              <w:t>接责任的主管人员和其他直接责任人员,依法给予</w:t>
            </w:r>
            <w:r>
              <w:rPr>
                <w:spacing w:val="-3"/>
              </w:rPr>
              <w:t>行政处分</w:t>
            </w:r>
            <w:r>
              <w:rPr>
                <w:rFonts w:ascii="微软雅黑" w:hAnsi="微软雅黑" w:eastAsia="微软雅黑" w:cs="微软雅黑"/>
                <w:spacing w:val="-3"/>
              </w:rPr>
              <w:t>｡</w:t>
            </w:r>
          </w:p>
          <w:p w14:paraId="090E65E1">
            <w:pPr>
              <w:pStyle w:val="8"/>
              <w:spacing w:line="219" w:lineRule="auto"/>
              <w:ind w:left="468"/>
            </w:pPr>
            <w:r>
              <w:rPr>
                <w:b/>
                <w:bCs/>
                <w:spacing w:val="-4"/>
              </w:rPr>
              <w:t>2.《收费公路管理条例》</w:t>
            </w:r>
          </w:p>
          <w:p w14:paraId="27ABE91D">
            <w:pPr>
              <w:pStyle w:val="8"/>
              <w:spacing w:before="26" w:line="233" w:lineRule="auto"/>
              <w:ind w:left="116" w:right="107" w:firstLine="350"/>
            </w:pPr>
            <w:r>
              <w:rPr>
                <w:spacing w:val="-1"/>
              </w:rPr>
              <w:t>第四十条  任何单位或者个人不得通过封堵非收费公路或者在非收费公路上设卡收费等方式，强</w:t>
            </w:r>
            <w:r>
              <w:rPr>
                <w:spacing w:val="-2"/>
              </w:rPr>
              <w:t>迫车辆</w:t>
            </w:r>
            <w:r>
              <w:t xml:space="preserve"> </w:t>
            </w:r>
            <w:r>
              <w:rPr>
                <w:spacing w:val="-3"/>
              </w:rPr>
              <w:t>通行收费公路。</w:t>
            </w:r>
          </w:p>
          <w:p w14:paraId="060148A9">
            <w:pPr>
              <w:pStyle w:val="8"/>
              <w:spacing w:before="25" w:line="241" w:lineRule="auto"/>
              <w:ind w:left="117" w:right="107" w:firstLine="349"/>
            </w:pPr>
            <w:r>
              <w:rPr>
                <w:spacing w:val="-1"/>
              </w:rPr>
              <w:t>第四十九条  违反本条例的规定，擅自在公路上设立收费站（卡）收取车辆通行费或者应</w:t>
            </w:r>
            <w:r>
              <w:rPr>
                <w:spacing w:val="-2"/>
              </w:rPr>
              <w:t>当终止收费而</w:t>
            </w:r>
            <w:r>
              <w:t xml:space="preserve"> </w:t>
            </w:r>
            <w:r>
              <w:rPr>
                <w:spacing w:val="-1"/>
              </w:rPr>
              <w:t>不终止的，由国务院交通主管部门或者省、自治区、直辖市人民政府交通主管</w:t>
            </w:r>
            <w:r>
              <w:rPr>
                <w:spacing w:val="-2"/>
              </w:rPr>
              <w:t>部门依据职权，责令改正，强</w:t>
            </w:r>
            <w:r>
              <w:t xml:space="preserve"> </w:t>
            </w:r>
            <w:r>
              <w:rPr>
                <w:spacing w:val="-1"/>
              </w:rPr>
              <w:t>制拆除收费设施；有违法所得的，没收违法所得，并处违法所得2倍以上5倍以下</w:t>
            </w:r>
            <w:r>
              <w:rPr>
                <w:spacing w:val="-2"/>
              </w:rPr>
              <w:t>的罚款；没有违法所得的，</w:t>
            </w:r>
            <w:r>
              <w:t xml:space="preserve"> </w:t>
            </w:r>
            <w:r>
              <w:rPr>
                <w:spacing w:val="-1"/>
              </w:rPr>
              <w:t>处1万元以上5万元以下的罚款；负有责任的主管人员和其他直接责任人员属</w:t>
            </w:r>
            <w:r>
              <w:rPr>
                <w:spacing w:val="-2"/>
              </w:rPr>
              <w:t>于国家工作人员的，依法给予记</w:t>
            </w:r>
            <w:r>
              <w:t xml:space="preserve"> </w:t>
            </w:r>
            <w:r>
              <w:rPr>
                <w:spacing w:val="-3"/>
              </w:rPr>
              <w:t>大过直至开除的行政处分。</w:t>
            </w:r>
          </w:p>
        </w:tc>
        <w:tc>
          <w:tcPr>
            <w:tcW w:w="1022" w:type="dxa"/>
            <w:vAlign w:val="top"/>
          </w:tcPr>
          <w:p w14:paraId="2BC47175">
            <w:pPr>
              <w:spacing w:line="262" w:lineRule="auto"/>
              <w:rPr>
                <w:rFonts w:ascii="Arial"/>
                <w:sz w:val="21"/>
              </w:rPr>
            </w:pPr>
          </w:p>
          <w:p w14:paraId="5412EC77">
            <w:pPr>
              <w:spacing w:line="262" w:lineRule="auto"/>
              <w:rPr>
                <w:rFonts w:ascii="Arial"/>
                <w:sz w:val="21"/>
              </w:rPr>
            </w:pPr>
          </w:p>
          <w:p w14:paraId="41C52428">
            <w:pPr>
              <w:spacing w:line="263" w:lineRule="auto"/>
              <w:rPr>
                <w:rFonts w:ascii="Arial"/>
                <w:sz w:val="21"/>
              </w:rPr>
            </w:pPr>
          </w:p>
          <w:p w14:paraId="4D5C4D23">
            <w:pPr>
              <w:spacing w:line="263" w:lineRule="auto"/>
              <w:rPr>
                <w:rFonts w:ascii="Arial"/>
                <w:sz w:val="21"/>
              </w:rPr>
            </w:pPr>
          </w:p>
          <w:p w14:paraId="00BBF978">
            <w:pPr>
              <w:spacing w:line="263" w:lineRule="auto"/>
              <w:rPr>
                <w:rFonts w:ascii="Arial"/>
                <w:sz w:val="21"/>
              </w:rPr>
            </w:pPr>
          </w:p>
          <w:p w14:paraId="62403571">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2C740438">
            <w:pPr>
              <w:spacing w:line="262" w:lineRule="auto"/>
              <w:rPr>
                <w:rFonts w:ascii="Arial"/>
                <w:sz w:val="21"/>
              </w:rPr>
            </w:pPr>
          </w:p>
          <w:p w14:paraId="489E5468">
            <w:pPr>
              <w:spacing w:line="262" w:lineRule="auto"/>
              <w:rPr>
                <w:rFonts w:ascii="Arial"/>
                <w:sz w:val="21"/>
              </w:rPr>
            </w:pPr>
          </w:p>
          <w:p w14:paraId="4031D70A">
            <w:pPr>
              <w:spacing w:line="263" w:lineRule="auto"/>
              <w:rPr>
                <w:rFonts w:ascii="Arial"/>
                <w:sz w:val="21"/>
              </w:rPr>
            </w:pPr>
          </w:p>
          <w:p w14:paraId="615F5E9A">
            <w:pPr>
              <w:spacing w:line="263" w:lineRule="auto"/>
              <w:rPr>
                <w:rFonts w:ascii="Arial"/>
                <w:sz w:val="21"/>
              </w:rPr>
            </w:pPr>
          </w:p>
          <w:p w14:paraId="5096E078">
            <w:pPr>
              <w:spacing w:line="263" w:lineRule="auto"/>
              <w:rPr>
                <w:rFonts w:ascii="Arial"/>
                <w:sz w:val="21"/>
              </w:rPr>
            </w:pPr>
          </w:p>
          <w:p w14:paraId="1D1D3C1F">
            <w:pPr>
              <w:pStyle w:val="8"/>
              <w:spacing w:before="58" w:line="236" w:lineRule="auto"/>
              <w:ind w:left="446" w:right="76" w:hanging="359"/>
            </w:pPr>
            <w:r>
              <w:rPr>
                <w:rFonts w:hint="eastAsia"/>
                <w:spacing w:val="-2"/>
                <w:lang w:eastAsia="zh-CN"/>
              </w:rPr>
              <w:t>津市市交通运输局</w:t>
            </w:r>
          </w:p>
        </w:tc>
        <w:tc>
          <w:tcPr>
            <w:tcW w:w="1027" w:type="dxa"/>
            <w:vAlign w:val="top"/>
          </w:tcPr>
          <w:p w14:paraId="14580DD8">
            <w:pPr>
              <w:spacing w:line="297" w:lineRule="auto"/>
              <w:rPr>
                <w:rFonts w:ascii="Arial"/>
                <w:sz w:val="21"/>
              </w:rPr>
            </w:pPr>
          </w:p>
          <w:p w14:paraId="2307864B">
            <w:pPr>
              <w:spacing w:line="298" w:lineRule="auto"/>
              <w:rPr>
                <w:rFonts w:ascii="Arial"/>
                <w:sz w:val="21"/>
              </w:rPr>
            </w:pPr>
          </w:p>
          <w:p w14:paraId="6B703254">
            <w:pPr>
              <w:spacing w:line="298" w:lineRule="auto"/>
              <w:rPr>
                <w:rFonts w:ascii="Arial"/>
                <w:sz w:val="21"/>
              </w:rPr>
            </w:pPr>
          </w:p>
          <w:p w14:paraId="5CCFBA0D">
            <w:pPr>
              <w:spacing w:line="298" w:lineRule="auto"/>
              <w:rPr>
                <w:rFonts w:ascii="Arial"/>
                <w:sz w:val="21"/>
              </w:rPr>
            </w:pPr>
          </w:p>
          <w:p w14:paraId="7EEED3A1">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r w14:paraId="1DDA9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5" w:hRule="atLeast"/>
        </w:trPr>
        <w:tc>
          <w:tcPr>
            <w:tcW w:w="629" w:type="dxa"/>
            <w:vAlign w:val="top"/>
          </w:tcPr>
          <w:p w14:paraId="39C2C1AB">
            <w:pPr>
              <w:rPr>
                <w:rFonts w:ascii="Arial"/>
                <w:sz w:val="21"/>
              </w:rPr>
            </w:pPr>
          </w:p>
          <w:p w14:paraId="6DEE04CC">
            <w:pPr>
              <w:rPr>
                <w:rFonts w:ascii="Arial"/>
                <w:sz w:val="21"/>
              </w:rPr>
            </w:pPr>
          </w:p>
          <w:p w14:paraId="1C4FAA70">
            <w:pPr>
              <w:rPr>
                <w:rFonts w:ascii="Arial"/>
                <w:sz w:val="21"/>
              </w:rPr>
            </w:pPr>
          </w:p>
          <w:p w14:paraId="7F35C80D">
            <w:pPr>
              <w:rPr>
                <w:rFonts w:ascii="Arial"/>
                <w:sz w:val="21"/>
              </w:rPr>
            </w:pPr>
          </w:p>
          <w:p w14:paraId="1C2D4DA4">
            <w:pPr>
              <w:spacing w:line="241" w:lineRule="auto"/>
              <w:rPr>
                <w:rFonts w:ascii="Arial"/>
                <w:sz w:val="21"/>
              </w:rPr>
            </w:pPr>
          </w:p>
          <w:p w14:paraId="781E9AA5">
            <w:pPr>
              <w:spacing w:line="241" w:lineRule="auto"/>
              <w:rPr>
                <w:rFonts w:ascii="Arial"/>
                <w:sz w:val="21"/>
              </w:rPr>
            </w:pPr>
          </w:p>
          <w:p w14:paraId="19497AC5">
            <w:pPr>
              <w:spacing w:line="241" w:lineRule="auto"/>
              <w:rPr>
                <w:rFonts w:ascii="Arial"/>
                <w:sz w:val="21"/>
              </w:rPr>
            </w:pPr>
          </w:p>
          <w:p w14:paraId="5F0AB977">
            <w:pPr>
              <w:spacing w:line="241" w:lineRule="auto"/>
              <w:rPr>
                <w:rFonts w:ascii="Arial"/>
                <w:sz w:val="21"/>
              </w:rPr>
            </w:pPr>
          </w:p>
          <w:p w14:paraId="096B75AB">
            <w:pPr>
              <w:spacing w:line="241" w:lineRule="auto"/>
              <w:rPr>
                <w:rFonts w:ascii="Arial"/>
                <w:sz w:val="21"/>
              </w:rPr>
            </w:pPr>
          </w:p>
          <w:p w14:paraId="41751014">
            <w:pPr>
              <w:spacing w:line="241" w:lineRule="auto"/>
              <w:rPr>
                <w:rFonts w:ascii="Arial"/>
                <w:sz w:val="21"/>
              </w:rPr>
            </w:pPr>
          </w:p>
          <w:p w14:paraId="341773D9">
            <w:pPr>
              <w:pStyle w:val="8"/>
              <w:spacing w:before="58" w:line="183" w:lineRule="auto"/>
              <w:ind w:left="275"/>
            </w:pPr>
            <w:r>
              <w:t>2</w:t>
            </w:r>
          </w:p>
        </w:tc>
        <w:tc>
          <w:tcPr>
            <w:tcW w:w="1113" w:type="dxa"/>
            <w:vAlign w:val="top"/>
          </w:tcPr>
          <w:p w14:paraId="385447DD">
            <w:pPr>
              <w:spacing w:line="250" w:lineRule="auto"/>
              <w:rPr>
                <w:rFonts w:ascii="Arial"/>
                <w:sz w:val="21"/>
              </w:rPr>
            </w:pPr>
          </w:p>
          <w:p w14:paraId="1A2DEA5A">
            <w:pPr>
              <w:spacing w:line="250" w:lineRule="auto"/>
              <w:rPr>
                <w:rFonts w:ascii="Arial"/>
                <w:sz w:val="21"/>
              </w:rPr>
            </w:pPr>
          </w:p>
          <w:p w14:paraId="24990C21">
            <w:pPr>
              <w:spacing w:line="250" w:lineRule="auto"/>
              <w:rPr>
                <w:rFonts w:ascii="Arial"/>
                <w:sz w:val="21"/>
              </w:rPr>
            </w:pPr>
          </w:p>
          <w:p w14:paraId="59F06A8A">
            <w:pPr>
              <w:spacing w:line="250" w:lineRule="auto"/>
              <w:rPr>
                <w:rFonts w:ascii="Arial"/>
                <w:sz w:val="21"/>
              </w:rPr>
            </w:pPr>
          </w:p>
          <w:p w14:paraId="265A0965">
            <w:pPr>
              <w:spacing w:line="251" w:lineRule="auto"/>
              <w:rPr>
                <w:rFonts w:ascii="Arial"/>
                <w:sz w:val="21"/>
              </w:rPr>
            </w:pPr>
          </w:p>
          <w:p w14:paraId="39ADCF62">
            <w:pPr>
              <w:spacing w:line="251" w:lineRule="auto"/>
              <w:rPr>
                <w:rFonts w:ascii="Arial"/>
                <w:sz w:val="21"/>
              </w:rPr>
            </w:pPr>
          </w:p>
          <w:p w14:paraId="67251D9F">
            <w:pPr>
              <w:spacing w:line="251" w:lineRule="auto"/>
              <w:rPr>
                <w:rFonts w:ascii="Arial"/>
                <w:sz w:val="21"/>
              </w:rPr>
            </w:pPr>
          </w:p>
          <w:p w14:paraId="72824512">
            <w:pPr>
              <w:spacing w:line="251" w:lineRule="auto"/>
              <w:rPr>
                <w:rFonts w:ascii="Arial"/>
                <w:sz w:val="21"/>
              </w:rPr>
            </w:pPr>
          </w:p>
          <w:p w14:paraId="0F1F768C">
            <w:pPr>
              <w:pStyle w:val="8"/>
              <w:spacing w:before="58" w:line="242" w:lineRule="auto"/>
              <w:ind w:left="97" w:right="90" w:hanging="2"/>
              <w:jc w:val="both"/>
            </w:pPr>
            <w:r>
              <w:rPr>
                <w:spacing w:val="4"/>
              </w:rPr>
              <w:t>对擅自进行</w:t>
            </w:r>
            <w:r>
              <w:rPr>
                <w:spacing w:val="1"/>
              </w:rPr>
              <w:t xml:space="preserve"> </w:t>
            </w:r>
            <w:r>
              <w:rPr>
                <w:spacing w:val="4"/>
              </w:rPr>
              <w:t>涉路施工等</w:t>
            </w:r>
            <w:r>
              <w:t xml:space="preserve"> </w:t>
            </w:r>
            <w:r>
              <w:rPr>
                <w:spacing w:val="4"/>
              </w:rPr>
              <w:t>行为的行政</w:t>
            </w:r>
            <w:r>
              <w:t xml:space="preserve"> </w:t>
            </w:r>
            <w:r>
              <w:rPr>
                <w:spacing w:val="-5"/>
              </w:rPr>
              <w:t>处罚</w:t>
            </w:r>
          </w:p>
        </w:tc>
        <w:tc>
          <w:tcPr>
            <w:tcW w:w="1113" w:type="dxa"/>
            <w:vAlign w:val="top"/>
          </w:tcPr>
          <w:p w14:paraId="1555A16B">
            <w:pPr>
              <w:spacing w:line="262" w:lineRule="auto"/>
              <w:rPr>
                <w:rFonts w:ascii="Arial"/>
                <w:sz w:val="21"/>
              </w:rPr>
            </w:pPr>
          </w:p>
          <w:p w14:paraId="74D9E934">
            <w:pPr>
              <w:spacing w:line="262" w:lineRule="auto"/>
              <w:rPr>
                <w:rFonts w:ascii="Arial"/>
                <w:sz w:val="21"/>
              </w:rPr>
            </w:pPr>
          </w:p>
          <w:p w14:paraId="7ECFBE37">
            <w:pPr>
              <w:spacing w:line="262" w:lineRule="auto"/>
              <w:rPr>
                <w:rFonts w:ascii="Arial"/>
                <w:sz w:val="21"/>
              </w:rPr>
            </w:pPr>
          </w:p>
          <w:p w14:paraId="36F0DB71">
            <w:pPr>
              <w:spacing w:line="262" w:lineRule="auto"/>
              <w:rPr>
                <w:rFonts w:ascii="Arial"/>
                <w:sz w:val="21"/>
              </w:rPr>
            </w:pPr>
          </w:p>
          <w:p w14:paraId="64B528A9">
            <w:pPr>
              <w:spacing w:line="263" w:lineRule="auto"/>
              <w:rPr>
                <w:rFonts w:ascii="Arial"/>
                <w:sz w:val="21"/>
              </w:rPr>
            </w:pPr>
          </w:p>
          <w:p w14:paraId="7DDCC84D">
            <w:pPr>
              <w:spacing w:line="263" w:lineRule="auto"/>
              <w:rPr>
                <w:rFonts w:ascii="Arial"/>
                <w:sz w:val="21"/>
              </w:rPr>
            </w:pPr>
          </w:p>
          <w:p w14:paraId="46A57646">
            <w:pPr>
              <w:spacing w:line="263" w:lineRule="auto"/>
              <w:rPr>
                <w:rFonts w:ascii="Arial"/>
                <w:sz w:val="21"/>
              </w:rPr>
            </w:pPr>
          </w:p>
          <w:p w14:paraId="13E3F11D">
            <w:pPr>
              <w:spacing w:line="263" w:lineRule="auto"/>
              <w:rPr>
                <w:rFonts w:ascii="Arial"/>
                <w:sz w:val="21"/>
              </w:rPr>
            </w:pPr>
          </w:p>
          <w:p w14:paraId="7C5BDA7B">
            <w:pPr>
              <w:spacing w:line="263" w:lineRule="auto"/>
              <w:rPr>
                <w:rFonts w:ascii="Arial"/>
                <w:sz w:val="21"/>
              </w:rPr>
            </w:pPr>
          </w:p>
          <w:p w14:paraId="6BD5A8CE">
            <w:pPr>
              <w:pStyle w:val="8"/>
              <w:spacing w:before="59" w:line="220" w:lineRule="auto"/>
              <w:ind w:left="10"/>
            </w:pPr>
            <w:r>
              <w:rPr>
                <w:spacing w:val="-2"/>
              </w:rPr>
              <w:t>行政处罚</w:t>
            </w:r>
          </w:p>
        </w:tc>
        <w:tc>
          <w:tcPr>
            <w:tcW w:w="8631" w:type="dxa"/>
            <w:vAlign w:val="top"/>
          </w:tcPr>
          <w:p w14:paraId="6948EC93">
            <w:pPr>
              <w:pStyle w:val="8"/>
              <w:spacing w:before="25" w:line="219" w:lineRule="auto"/>
              <w:ind w:left="480"/>
            </w:pPr>
            <w:r>
              <w:rPr>
                <w:b/>
                <w:bCs/>
                <w:spacing w:val="-5"/>
              </w:rPr>
              <w:t>1.《中华人民共和国公路法》</w:t>
            </w:r>
          </w:p>
          <w:p w14:paraId="74F59457">
            <w:pPr>
              <w:pStyle w:val="8"/>
              <w:spacing w:before="4" w:line="219" w:lineRule="auto"/>
              <w:ind w:left="466"/>
            </w:pPr>
            <w:r>
              <w:rPr>
                <w:spacing w:val="-2"/>
              </w:rPr>
              <w:t>第四十四条第一款  任何单位和个人不得擅自占用、挖掘</w:t>
            </w:r>
            <w:r>
              <w:rPr>
                <w:spacing w:val="-3"/>
              </w:rPr>
              <w:t>公路。</w:t>
            </w:r>
          </w:p>
          <w:p w14:paraId="7D097FF3">
            <w:pPr>
              <w:pStyle w:val="8"/>
              <w:spacing w:before="7" w:line="224" w:lineRule="auto"/>
              <w:ind w:left="116" w:right="107" w:firstLine="350"/>
            </w:pPr>
            <w:r>
              <w:rPr>
                <w:spacing w:val="-1"/>
              </w:rPr>
              <w:t>第四十五条  跨越、穿越公路修建桥梁、渡槽或者架设、埋设管线等设施的，以及在公路</w:t>
            </w:r>
            <w:r>
              <w:rPr>
                <w:spacing w:val="-2"/>
              </w:rPr>
              <w:t>用地范围内架</w:t>
            </w:r>
            <w:r>
              <w:t xml:space="preserve"> </w:t>
            </w:r>
            <w:r>
              <w:rPr>
                <w:spacing w:val="-1"/>
              </w:rPr>
              <w:t>设、埋设管线、电缆等设施的，应当事先经有关交通主管部门同意，影响交通安</w:t>
            </w:r>
            <w:r>
              <w:rPr>
                <w:spacing w:val="-2"/>
              </w:rPr>
              <w:t>全的，还须征得有关</w:t>
            </w:r>
            <w:r>
              <w:rPr>
                <w:rFonts w:hint="eastAsia"/>
                <w:spacing w:val="-2"/>
                <w:lang w:eastAsia="zh-CN"/>
              </w:rPr>
              <w:t>公安机关</w:t>
            </w:r>
            <w:r>
              <w:rPr>
                <w:spacing w:val="-1"/>
              </w:rPr>
              <w:t>的同意；所修建、架设或者埋设的设施应当符合公路工程技术标准的要求。对</w:t>
            </w:r>
            <w:r>
              <w:rPr>
                <w:spacing w:val="-2"/>
              </w:rPr>
              <w:t>公路造成损坏的，应当按照</w:t>
            </w:r>
            <w:r>
              <w:t xml:space="preserve"> </w:t>
            </w:r>
            <w:r>
              <w:rPr>
                <w:spacing w:val="-3"/>
              </w:rPr>
              <w:t>损坏程度给予补偿。</w:t>
            </w:r>
          </w:p>
          <w:p w14:paraId="39EB3BD8">
            <w:pPr>
              <w:pStyle w:val="8"/>
              <w:spacing w:before="6" w:line="219" w:lineRule="auto"/>
              <w:ind w:left="466"/>
            </w:pPr>
            <w:r>
              <w:rPr>
                <w:spacing w:val="-1"/>
              </w:rPr>
              <w:t>第五十五条  在公路上增设平面交叉道口，必须按照国家有关规定经过批准，并按照国家规定的</w:t>
            </w:r>
            <w:r>
              <w:rPr>
                <w:spacing w:val="-2"/>
              </w:rPr>
              <w:t>技术标</w:t>
            </w:r>
          </w:p>
          <w:p w14:paraId="2441CFC2">
            <w:pPr>
              <w:pStyle w:val="8"/>
              <w:spacing w:before="4" w:line="221" w:lineRule="auto"/>
              <w:ind w:left="117"/>
            </w:pPr>
            <w:r>
              <w:rPr>
                <w:spacing w:val="-4"/>
              </w:rPr>
              <w:t>准建设。</w:t>
            </w:r>
          </w:p>
          <w:p w14:paraId="54DAE789">
            <w:pPr>
              <w:pStyle w:val="8"/>
              <w:spacing w:before="5" w:line="225" w:lineRule="auto"/>
              <w:ind w:left="119" w:right="107" w:firstLine="347"/>
              <w:jc w:val="both"/>
            </w:pPr>
            <w:r>
              <w:rPr>
                <w:spacing w:val="-1"/>
              </w:rPr>
              <w:t>第七十六条第（一</w:t>
            </w:r>
            <w:r>
              <w:rPr>
                <w:spacing w:val="1"/>
              </w:rPr>
              <w:t>）（</w:t>
            </w:r>
            <w:r>
              <w:rPr>
                <w:spacing w:val="-1"/>
              </w:rPr>
              <w:t>二）项  有下列违法行为之一的，由交通主管部门责令停止违法</w:t>
            </w:r>
            <w:r>
              <w:rPr>
                <w:spacing w:val="-2"/>
              </w:rPr>
              <w:t>行为，可以处三</w:t>
            </w:r>
            <w:r>
              <w:t xml:space="preserve"> </w:t>
            </w:r>
            <w:r>
              <w:rPr>
                <w:spacing w:val="1"/>
              </w:rPr>
              <w:t>万元以下的罚款</w:t>
            </w:r>
            <w:r>
              <w:rPr>
                <w:spacing w:val="-9"/>
              </w:rPr>
              <w:t>：（</w:t>
            </w:r>
            <w:r>
              <w:rPr>
                <w:spacing w:val="1"/>
              </w:rPr>
              <w:t xml:space="preserve">一）违反本法第四十四条第一款规定，擅自占用、挖掘公路的;（二）违反本法第四十 </w:t>
            </w:r>
            <w:r>
              <w:rPr>
                <w:spacing w:val="-1"/>
              </w:rPr>
              <w:t>五条规定，未经同意或者未按照公路工程技术标准的要求修建桥梁、渡槽</w:t>
            </w:r>
            <w:r>
              <w:rPr>
                <w:spacing w:val="-2"/>
              </w:rPr>
              <w:t>或者架设、埋设管线、电缆等设施</w:t>
            </w:r>
            <w:r>
              <w:t xml:space="preserve"> </w:t>
            </w:r>
            <w:r>
              <w:rPr>
                <w:spacing w:val="-5"/>
              </w:rPr>
              <w:t>的。</w:t>
            </w:r>
          </w:p>
          <w:p w14:paraId="487EEC0A">
            <w:pPr>
              <w:pStyle w:val="8"/>
              <w:spacing w:before="3" w:line="222" w:lineRule="auto"/>
              <w:ind w:left="121" w:right="107" w:firstLine="345"/>
            </w:pPr>
            <w:r>
              <w:rPr>
                <w:spacing w:val="-1"/>
              </w:rPr>
              <w:t>第八十条  违反本法第五十五条规定，未经批准在公路上增设平面交叉道口的，由交通主管部门</w:t>
            </w:r>
            <w:r>
              <w:rPr>
                <w:spacing w:val="-2"/>
              </w:rPr>
              <w:t>责令恢</w:t>
            </w:r>
            <w:r>
              <w:t xml:space="preserve"> </w:t>
            </w:r>
            <w:r>
              <w:rPr>
                <w:spacing w:val="-3"/>
              </w:rPr>
              <w:t>复原状，处五万元以下的罚款。</w:t>
            </w:r>
          </w:p>
          <w:p w14:paraId="51B809C7">
            <w:pPr>
              <w:pStyle w:val="8"/>
              <w:spacing w:before="8" w:line="219" w:lineRule="auto"/>
              <w:ind w:left="468"/>
            </w:pPr>
            <w:r>
              <w:rPr>
                <w:b/>
                <w:bCs/>
                <w:spacing w:val="-4"/>
              </w:rPr>
              <w:t>2.《公路安全保护条例》</w:t>
            </w:r>
          </w:p>
          <w:p w14:paraId="48F2D98D">
            <w:pPr>
              <w:pStyle w:val="8"/>
              <w:spacing w:before="7" w:line="224" w:lineRule="auto"/>
              <w:ind w:left="115" w:right="107" w:firstLine="351"/>
            </w:pPr>
            <w:r>
              <w:rPr>
                <w:spacing w:val="-1"/>
              </w:rPr>
              <w:t>第二十七条  进行下列涉路施工活动，建设单位应当向公路管理机构提出申请</w:t>
            </w:r>
            <w:r>
              <w:rPr>
                <w:spacing w:val="-4"/>
              </w:rPr>
              <w:t>：（</w:t>
            </w:r>
            <w:r>
              <w:rPr>
                <w:spacing w:val="-1"/>
              </w:rPr>
              <w:t>一）因修建铁路、机</w:t>
            </w:r>
            <w:r>
              <w:t xml:space="preserve"> </w:t>
            </w:r>
            <w:r>
              <w:rPr>
                <w:spacing w:val="-1"/>
              </w:rPr>
              <w:t>场、供电、水利、通信等建设工程需要占用、挖掘公路、公路用地或者使公路改线</w:t>
            </w:r>
            <w:r>
              <w:rPr>
                <w:spacing w:val="-4"/>
              </w:rPr>
              <w:t>；（</w:t>
            </w:r>
            <w:r>
              <w:rPr>
                <w:spacing w:val="-1"/>
              </w:rPr>
              <w:t>二）跨</w:t>
            </w:r>
            <w:r>
              <w:rPr>
                <w:spacing w:val="-2"/>
              </w:rPr>
              <w:t>越、穿越公路</w:t>
            </w:r>
            <w:r>
              <w:rPr>
                <w:spacing w:val="1"/>
              </w:rPr>
              <w:t xml:space="preserve"> </w:t>
            </w:r>
            <w:r>
              <w:rPr>
                <w:spacing w:val="3"/>
              </w:rPr>
              <w:t>修建桥梁、渡槽或者架设、埋设管道、电缆等设施</w:t>
            </w:r>
            <w:r>
              <w:rPr>
                <w:spacing w:val="-6"/>
              </w:rPr>
              <w:t>；（</w:t>
            </w:r>
            <w:r>
              <w:rPr>
                <w:spacing w:val="3"/>
              </w:rPr>
              <w:t>三）在公路用地范围内架设、埋设管道、电缆等设</w:t>
            </w:r>
            <w:r>
              <w:rPr>
                <w:spacing w:val="1"/>
              </w:rPr>
              <w:t xml:space="preserve"> </w:t>
            </w:r>
            <w:r>
              <w:t>施</w:t>
            </w:r>
            <w:r>
              <w:rPr>
                <w:spacing w:val="-11"/>
              </w:rPr>
              <w:t>；（</w:t>
            </w:r>
            <w:r>
              <w:t>四）利用公路桥梁、公路隧道、涵洞铺设电缆等设施</w:t>
            </w:r>
            <w:r>
              <w:rPr>
                <w:spacing w:val="-11"/>
              </w:rPr>
              <w:t>；（</w:t>
            </w:r>
            <w:r>
              <w:t>五）利</w:t>
            </w:r>
            <w:r>
              <w:rPr>
                <w:spacing w:val="-1"/>
              </w:rPr>
              <w:t>用跨越公路的设施悬挂非公路标志；</w:t>
            </w:r>
            <w:r>
              <w:rPr>
                <w:spacing w:val="2"/>
              </w:rPr>
              <w:t xml:space="preserve"> </w:t>
            </w:r>
            <w:r>
              <w:rPr>
                <w:spacing w:val="-1"/>
              </w:rPr>
              <w:t>（六）在公路上增设或者改造平面交叉道口</w:t>
            </w:r>
            <w:r>
              <w:rPr>
                <w:spacing w:val="-16"/>
              </w:rPr>
              <w:t>；（</w:t>
            </w:r>
            <w:r>
              <w:rPr>
                <w:spacing w:val="-1"/>
              </w:rPr>
              <w:t>七）在公</w:t>
            </w:r>
            <w:r>
              <w:rPr>
                <w:spacing w:val="-2"/>
              </w:rPr>
              <w:t>路建筑控制区内埋设管道、电缆等设施。</w:t>
            </w:r>
          </w:p>
          <w:p w14:paraId="0544DCF2">
            <w:pPr>
              <w:pStyle w:val="8"/>
              <w:spacing w:before="6" w:line="216" w:lineRule="auto"/>
              <w:ind w:left="117" w:right="109" w:firstLine="348"/>
            </w:pPr>
            <w:r>
              <w:rPr>
                <w:spacing w:val="-1"/>
              </w:rPr>
              <w:t>第六十二条  违反本条例的规定，未经许可进行本条例第二十七条第一项至第五项规定的</w:t>
            </w:r>
            <w:r>
              <w:rPr>
                <w:spacing w:val="-2"/>
              </w:rPr>
              <w:t>涉路施工活动</w:t>
            </w:r>
            <w:r>
              <w:t xml:space="preserve"> </w:t>
            </w:r>
            <w:r>
              <w:rPr>
                <w:spacing w:val="1"/>
              </w:rPr>
              <w:t>的，由公路管理机构责令改正，可以处3万元以下的罚款；未</w:t>
            </w:r>
            <w:r>
              <w:t xml:space="preserve">经许可进行本条例第二十七条第六项规定的涉 </w:t>
            </w:r>
            <w:r>
              <w:rPr>
                <w:spacing w:val="-2"/>
              </w:rPr>
              <w:t>路施工活动的，由公路管理机构责令改正，处5万元</w:t>
            </w:r>
            <w:r>
              <w:rPr>
                <w:spacing w:val="-3"/>
              </w:rPr>
              <w:t>以下的罚款。</w:t>
            </w:r>
          </w:p>
        </w:tc>
        <w:tc>
          <w:tcPr>
            <w:tcW w:w="1022" w:type="dxa"/>
            <w:vAlign w:val="top"/>
          </w:tcPr>
          <w:p w14:paraId="1B721396">
            <w:pPr>
              <w:spacing w:line="249" w:lineRule="auto"/>
              <w:rPr>
                <w:rFonts w:ascii="Arial"/>
                <w:sz w:val="21"/>
              </w:rPr>
            </w:pPr>
          </w:p>
          <w:p w14:paraId="0F36B58E">
            <w:pPr>
              <w:spacing w:line="249" w:lineRule="auto"/>
              <w:rPr>
                <w:rFonts w:ascii="Arial"/>
                <w:sz w:val="21"/>
              </w:rPr>
            </w:pPr>
          </w:p>
          <w:p w14:paraId="0322629C">
            <w:pPr>
              <w:spacing w:line="249" w:lineRule="auto"/>
              <w:rPr>
                <w:rFonts w:ascii="Arial"/>
                <w:sz w:val="21"/>
              </w:rPr>
            </w:pPr>
          </w:p>
          <w:p w14:paraId="79BBC0DB">
            <w:pPr>
              <w:spacing w:line="249" w:lineRule="auto"/>
              <w:rPr>
                <w:rFonts w:ascii="Arial"/>
                <w:sz w:val="21"/>
              </w:rPr>
            </w:pPr>
          </w:p>
          <w:p w14:paraId="00C10A5C">
            <w:pPr>
              <w:spacing w:line="249" w:lineRule="auto"/>
              <w:rPr>
                <w:rFonts w:ascii="Arial"/>
                <w:sz w:val="21"/>
              </w:rPr>
            </w:pPr>
          </w:p>
          <w:p w14:paraId="30CABB65">
            <w:pPr>
              <w:spacing w:line="250" w:lineRule="auto"/>
              <w:rPr>
                <w:rFonts w:ascii="Arial"/>
                <w:sz w:val="21"/>
              </w:rPr>
            </w:pPr>
          </w:p>
          <w:p w14:paraId="42D45F71">
            <w:pPr>
              <w:spacing w:line="250" w:lineRule="auto"/>
              <w:rPr>
                <w:rFonts w:ascii="Arial"/>
                <w:sz w:val="21"/>
              </w:rPr>
            </w:pPr>
          </w:p>
          <w:p w14:paraId="62495595">
            <w:pPr>
              <w:spacing w:line="250" w:lineRule="auto"/>
              <w:rPr>
                <w:rFonts w:ascii="Arial"/>
                <w:sz w:val="21"/>
              </w:rPr>
            </w:pPr>
          </w:p>
          <w:p w14:paraId="186AFB65">
            <w:pPr>
              <w:spacing w:line="250" w:lineRule="auto"/>
              <w:rPr>
                <w:rFonts w:ascii="Arial"/>
                <w:sz w:val="21"/>
              </w:rPr>
            </w:pPr>
          </w:p>
          <w:p w14:paraId="6E7B4D6B">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1BAD3FE1">
            <w:pPr>
              <w:spacing w:line="262" w:lineRule="auto"/>
              <w:rPr>
                <w:rFonts w:ascii="Arial"/>
                <w:sz w:val="21"/>
              </w:rPr>
            </w:pPr>
          </w:p>
          <w:p w14:paraId="62379B76">
            <w:pPr>
              <w:spacing w:line="262" w:lineRule="auto"/>
              <w:rPr>
                <w:rFonts w:ascii="Arial"/>
                <w:sz w:val="21"/>
              </w:rPr>
            </w:pPr>
          </w:p>
          <w:p w14:paraId="690325DD">
            <w:pPr>
              <w:spacing w:line="262" w:lineRule="auto"/>
              <w:rPr>
                <w:rFonts w:ascii="Arial"/>
                <w:sz w:val="21"/>
              </w:rPr>
            </w:pPr>
          </w:p>
          <w:p w14:paraId="56943C47">
            <w:pPr>
              <w:spacing w:line="263" w:lineRule="auto"/>
              <w:rPr>
                <w:rFonts w:ascii="Arial"/>
                <w:sz w:val="21"/>
              </w:rPr>
            </w:pPr>
          </w:p>
          <w:p w14:paraId="6ADD0229">
            <w:pPr>
              <w:spacing w:line="263" w:lineRule="auto"/>
              <w:rPr>
                <w:rFonts w:ascii="Arial"/>
                <w:sz w:val="21"/>
              </w:rPr>
            </w:pPr>
          </w:p>
          <w:p w14:paraId="1C0C4E7F">
            <w:pPr>
              <w:spacing w:line="263" w:lineRule="auto"/>
              <w:rPr>
                <w:rFonts w:ascii="Arial"/>
                <w:sz w:val="21"/>
              </w:rPr>
            </w:pPr>
          </w:p>
          <w:p w14:paraId="2F7C2C9C">
            <w:pPr>
              <w:spacing w:line="263" w:lineRule="auto"/>
              <w:rPr>
                <w:rFonts w:ascii="Arial"/>
                <w:sz w:val="21"/>
              </w:rPr>
            </w:pPr>
          </w:p>
          <w:p w14:paraId="089FC23C">
            <w:pPr>
              <w:spacing w:line="263" w:lineRule="auto"/>
              <w:rPr>
                <w:rFonts w:ascii="Arial"/>
                <w:sz w:val="21"/>
              </w:rPr>
            </w:pPr>
          </w:p>
          <w:p w14:paraId="58F4FE3C">
            <w:pPr>
              <w:spacing w:line="263" w:lineRule="auto"/>
              <w:rPr>
                <w:rFonts w:ascii="Arial"/>
                <w:sz w:val="21"/>
              </w:rPr>
            </w:pPr>
          </w:p>
          <w:p w14:paraId="04D4D398">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6C8052A7">
            <w:pPr>
              <w:spacing w:line="265" w:lineRule="auto"/>
              <w:rPr>
                <w:rFonts w:ascii="Arial"/>
                <w:sz w:val="21"/>
              </w:rPr>
            </w:pPr>
          </w:p>
          <w:p w14:paraId="594D87DC">
            <w:pPr>
              <w:spacing w:line="265" w:lineRule="auto"/>
              <w:rPr>
                <w:rFonts w:ascii="Arial"/>
                <w:sz w:val="21"/>
              </w:rPr>
            </w:pPr>
          </w:p>
          <w:p w14:paraId="447CD82B">
            <w:pPr>
              <w:spacing w:line="265" w:lineRule="auto"/>
              <w:rPr>
                <w:rFonts w:ascii="Arial"/>
                <w:sz w:val="21"/>
              </w:rPr>
            </w:pPr>
          </w:p>
          <w:p w14:paraId="2089244C">
            <w:pPr>
              <w:spacing w:line="265" w:lineRule="auto"/>
              <w:rPr>
                <w:rFonts w:ascii="Arial"/>
                <w:sz w:val="21"/>
              </w:rPr>
            </w:pPr>
          </w:p>
          <w:p w14:paraId="3F41FF8F">
            <w:pPr>
              <w:spacing w:line="265" w:lineRule="auto"/>
              <w:rPr>
                <w:rFonts w:ascii="Arial"/>
                <w:sz w:val="21"/>
              </w:rPr>
            </w:pPr>
          </w:p>
          <w:p w14:paraId="2411D464">
            <w:pPr>
              <w:spacing w:line="265" w:lineRule="auto"/>
              <w:rPr>
                <w:rFonts w:ascii="Arial"/>
                <w:sz w:val="21"/>
              </w:rPr>
            </w:pPr>
          </w:p>
          <w:p w14:paraId="15DB3CAD">
            <w:pPr>
              <w:spacing w:line="265" w:lineRule="auto"/>
              <w:rPr>
                <w:rFonts w:ascii="Arial"/>
                <w:sz w:val="21"/>
              </w:rPr>
            </w:pPr>
          </w:p>
          <w:p w14:paraId="3D90537A">
            <w:pPr>
              <w:spacing w:line="266" w:lineRule="auto"/>
              <w:rPr>
                <w:rFonts w:ascii="Arial"/>
                <w:sz w:val="21"/>
              </w:rPr>
            </w:pPr>
          </w:p>
          <w:p w14:paraId="5BE1A294">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bl>
    <w:p w14:paraId="1BA7DC8D">
      <w:pPr>
        <w:sectPr>
          <w:footerReference r:id="rId62" w:type="default"/>
          <w:pgSz w:w="16840" w:h="11910"/>
          <w:pgMar w:top="1012" w:right="940" w:bottom="966" w:left="940" w:header="0" w:footer="768" w:gutter="0"/>
          <w:cols w:space="720" w:num="1"/>
        </w:sectPr>
      </w:pPr>
    </w:p>
    <w:p w14:paraId="3D936E78">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0732C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4066BBCF">
            <w:pPr>
              <w:pStyle w:val="8"/>
              <w:spacing w:before="259" w:line="221" w:lineRule="auto"/>
              <w:ind w:left="148"/>
            </w:pPr>
            <w:r>
              <w:rPr>
                <w:b/>
                <w:bCs/>
                <w:spacing w:val="-6"/>
              </w:rPr>
              <w:t>序号</w:t>
            </w:r>
          </w:p>
        </w:tc>
        <w:tc>
          <w:tcPr>
            <w:tcW w:w="1113" w:type="dxa"/>
            <w:vMerge w:val="restart"/>
            <w:tcBorders>
              <w:bottom w:val="nil"/>
            </w:tcBorders>
            <w:vAlign w:val="top"/>
          </w:tcPr>
          <w:p w14:paraId="001F391C">
            <w:pPr>
              <w:pStyle w:val="8"/>
              <w:spacing w:before="260" w:line="220" w:lineRule="auto"/>
              <w:ind w:left="201"/>
            </w:pPr>
            <w:r>
              <w:rPr>
                <w:b/>
                <w:bCs/>
                <w:spacing w:val="-5"/>
              </w:rPr>
              <w:t>事项名称</w:t>
            </w:r>
          </w:p>
        </w:tc>
        <w:tc>
          <w:tcPr>
            <w:tcW w:w="1113" w:type="dxa"/>
            <w:vMerge w:val="restart"/>
            <w:tcBorders>
              <w:bottom w:val="nil"/>
            </w:tcBorders>
            <w:vAlign w:val="top"/>
          </w:tcPr>
          <w:p w14:paraId="7E135AF6">
            <w:pPr>
              <w:pStyle w:val="8"/>
              <w:spacing w:before="260" w:line="219" w:lineRule="auto"/>
              <w:ind w:left="202"/>
            </w:pPr>
            <w:r>
              <w:rPr>
                <w:b/>
                <w:bCs/>
                <w:spacing w:val="-5"/>
              </w:rPr>
              <w:t>职权类型</w:t>
            </w:r>
          </w:p>
        </w:tc>
        <w:tc>
          <w:tcPr>
            <w:tcW w:w="8631" w:type="dxa"/>
            <w:vMerge w:val="restart"/>
            <w:tcBorders>
              <w:bottom w:val="nil"/>
            </w:tcBorders>
            <w:vAlign w:val="top"/>
          </w:tcPr>
          <w:p w14:paraId="0EBD67B3">
            <w:pPr>
              <w:pStyle w:val="8"/>
              <w:spacing w:before="259" w:line="219" w:lineRule="auto"/>
              <w:ind w:left="3970"/>
            </w:pPr>
            <w:r>
              <w:rPr>
                <w:b/>
                <w:bCs/>
                <w:spacing w:val="-6"/>
              </w:rPr>
              <w:t>实施依据</w:t>
            </w:r>
          </w:p>
        </w:tc>
        <w:tc>
          <w:tcPr>
            <w:tcW w:w="3468" w:type="dxa"/>
            <w:gridSpan w:val="3"/>
            <w:vAlign w:val="top"/>
          </w:tcPr>
          <w:p w14:paraId="75324285">
            <w:pPr>
              <w:pStyle w:val="8"/>
              <w:spacing w:before="82" w:line="220" w:lineRule="auto"/>
              <w:ind w:left="1389"/>
            </w:pPr>
            <w:r>
              <w:rPr>
                <w:b/>
                <w:bCs/>
                <w:spacing w:val="-6"/>
              </w:rPr>
              <w:t>实施主体</w:t>
            </w:r>
          </w:p>
        </w:tc>
      </w:tr>
      <w:tr w14:paraId="334C4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4CCC65FE">
            <w:pPr>
              <w:rPr>
                <w:rFonts w:ascii="Arial"/>
                <w:sz w:val="21"/>
              </w:rPr>
            </w:pPr>
          </w:p>
        </w:tc>
        <w:tc>
          <w:tcPr>
            <w:tcW w:w="1113" w:type="dxa"/>
            <w:vMerge w:val="continue"/>
            <w:tcBorders>
              <w:top w:val="nil"/>
            </w:tcBorders>
            <w:vAlign w:val="top"/>
          </w:tcPr>
          <w:p w14:paraId="55EEBE79">
            <w:pPr>
              <w:rPr>
                <w:rFonts w:ascii="Arial"/>
                <w:sz w:val="21"/>
              </w:rPr>
            </w:pPr>
          </w:p>
        </w:tc>
        <w:tc>
          <w:tcPr>
            <w:tcW w:w="1113" w:type="dxa"/>
            <w:vMerge w:val="continue"/>
            <w:tcBorders>
              <w:top w:val="nil"/>
            </w:tcBorders>
            <w:vAlign w:val="top"/>
          </w:tcPr>
          <w:p w14:paraId="08BE5ABB">
            <w:pPr>
              <w:rPr>
                <w:rFonts w:ascii="Arial"/>
                <w:sz w:val="21"/>
              </w:rPr>
            </w:pPr>
          </w:p>
        </w:tc>
        <w:tc>
          <w:tcPr>
            <w:tcW w:w="8631" w:type="dxa"/>
            <w:vMerge w:val="continue"/>
            <w:tcBorders>
              <w:top w:val="nil"/>
            </w:tcBorders>
            <w:vAlign w:val="top"/>
          </w:tcPr>
          <w:p w14:paraId="7EAA8BA5">
            <w:pPr>
              <w:rPr>
                <w:rFonts w:ascii="Arial"/>
                <w:sz w:val="21"/>
              </w:rPr>
            </w:pPr>
          </w:p>
        </w:tc>
        <w:tc>
          <w:tcPr>
            <w:tcW w:w="1022" w:type="dxa"/>
            <w:vAlign w:val="top"/>
          </w:tcPr>
          <w:p w14:paraId="4B46AD0F">
            <w:pPr>
              <w:pStyle w:val="8"/>
              <w:spacing w:before="84" w:line="219" w:lineRule="auto"/>
              <w:ind w:left="170"/>
            </w:pPr>
            <w:r>
              <w:rPr>
                <w:b/>
                <w:bCs/>
                <w:spacing w:val="-6"/>
              </w:rPr>
              <w:t>责任部门</w:t>
            </w:r>
          </w:p>
        </w:tc>
        <w:tc>
          <w:tcPr>
            <w:tcW w:w="1419" w:type="dxa"/>
            <w:vAlign w:val="top"/>
          </w:tcPr>
          <w:p w14:paraId="2426C994">
            <w:pPr>
              <w:pStyle w:val="8"/>
              <w:spacing w:before="84" w:line="219" w:lineRule="auto"/>
              <w:ind w:left="183"/>
            </w:pPr>
            <w:r>
              <w:rPr>
                <w:b/>
                <w:bCs/>
                <w:spacing w:val="-4"/>
              </w:rPr>
              <w:t>第一责任层级</w:t>
            </w:r>
          </w:p>
        </w:tc>
        <w:tc>
          <w:tcPr>
            <w:tcW w:w="1027" w:type="dxa"/>
            <w:vAlign w:val="top"/>
          </w:tcPr>
          <w:p w14:paraId="6C2D5DBC">
            <w:pPr>
              <w:pStyle w:val="8"/>
              <w:spacing w:before="83" w:line="219" w:lineRule="auto"/>
              <w:ind w:left="161"/>
            </w:pPr>
            <w:r>
              <w:rPr>
                <w:b/>
                <w:bCs/>
                <w:spacing w:val="-5"/>
              </w:rPr>
              <w:t>承办机构</w:t>
            </w:r>
          </w:p>
        </w:tc>
      </w:tr>
      <w:tr w14:paraId="5A0DC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trPr>
        <w:tc>
          <w:tcPr>
            <w:tcW w:w="629" w:type="dxa"/>
            <w:vAlign w:val="top"/>
          </w:tcPr>
          <w:p w14:paraId="194A220B">
            <w:pPr>
              <w:spacing w:line="311" w:lineRule="auto"/>
              <w:rPr>
                <w:rFonts w:ascii="Arial"/>
                <w:sz w:val="21"/>
              </w:rPr>
            </w:pPr>
          </w:p>
          <w:p w14:paraId="071BE831">
            <w:pPr>
              <w:spacing w:line="311" w:lineRule="auto"/>
              <w:rPr>
                <w:rFonts w:ascii="Arial"/>
                <w:sz w:val="21"/>
              </w:rPr>
            </w:pPr>
          </w:p>
          <w:p w14:paraId="1A650F48">
            <w:pPr>
              <w:spacing w:line="311" w:lineRule="auto"/>
              <w:rPr>
                <w:rFonts w:ascii="Arial"/>
                <w:sz w:val="21"/>
              </w:rPr>
            </w:pPr>
          </w:p>
          <w:p w14:paraId="1B808617">
            <w:pPr>
              <w:pStyle w:val="8"/>
              <w:spacing w:before="59" w:line="183" w:lineRule="auto"/>
              <w:ind w:left="277"/>
            </w:pPr>
            <w:r>
              <w:t>3</w:t>
            </w:r>
          </w:p>
        </w:tc>
        <w:tc>
          <w:tcPr>
            <w:tcW w:w="1113" w:type="dxa"/>
            <w:vAlign w:val="top"/>
          </w:tcPr>
          <w:p w14:paraId="00166DEF">
            <w:pPr>
              <w:pStyle w:val="8"/>
              <w:spacing w:before="227" w:line="245" w:lineRule="auto"/>
              <w:ind w:left="95" w:right="90"/>
              <w:jc w:val="both"/>
            </w:pPr>
            <w:r>
              <w:rPr>
                <w:spacing w:val="-8"/>
              </w:rPr>
              <w:t>对</w:t>
            </w:r>
            <w:r>
              <w:rPr>
                <w:spacing w:val="-10"/>
              </w:rPr>
              <w:t xml:space="preserve"> </w:t>
            </w:r>
            <w:r>
              <w:rPr>
                <w:spacing w:val="-8"/>
              </w:rPr>
              <w:t>从</w:t>
            </w:r>
            <w:r>
              <w:rPr>
                <w:spacing w:val="-13"/>
              </w:rPr>
              <w:t xml:space="preserve"> </w:t>
            </w:r>
            <w:r>
              <w:rPr>
                <w:spacing w:val="-8"/>
              </w:rPr>
              <w:t>事</w:t>
            </w:r>
            <w:r>
              <w:rPr>
                <w:spacing w:val="-14"/>
              </w:rPr>
              <w:t xml:space="preserve"> </w:t>
            </w:r>
            <w:r>
              <w:rPr>
                <w:spacing w:val="-8"/>
              </w:rPr>
              <w:t>挖</w:t>
            </w:r>
            <w:r>
              <w:t xml:space="preserve"> </w:t>
            </w:r>
            <w:r>
              <w:rPr>
                <w:spacing w:val="4"/>
              </w:rPr>
              <w:t>砂、爆破及</w:t>
            </w:r>
            <w:r>
              <w:rPr>
                <w:spacing w:val="1"/>
              </w:rPr>
              <w:t xml:space="preserve"> </w:t>
            </w:r>
            <w:r>
              <w:rPr>
                <w:spacing w:val="4"/>
              </w:rPr>
              <w:t>其他危及公</w:t>
            </w:r>
            <w:r>
              <w:rPr>
                <w:spacing w:val="1"/>
              </w:rPr>
              <w:t xml:space="preserve"> </w:t>
            </w:r>
            <w:r>
              <w:rPr>
                <w:spacing w:val="4"/>
              </w:rPr>
              <w:t>路、公路桥</w:t>
            </w:r>
            <w:r>
              <w:rPr>
                <w:spacing w:val="1"/>
              </w:rPr>
              <w:t xml:space="preserve"> </w:t>
            </w:r>
            <w:r>
              <w:rPr>
                <w:spacing w:val="4"/>
              </w:rPr>
              <w:t>梁等安全的</w:t>
            </w:r>
            <w:r>
              <w:rPr>
                <w:spacing w:val="1"/>
              </w:rPr>
              <w:t xml:space="preserve"> </w:t>
            </w:r>
            <w:r>
              <w:rPr>
                <w:spacing w:val="4"/>
              </w:rPr>
              <w:t>作业行为的</w:t>
            </w:r>
            <w:r>
              <w:rPr>
                <w:spacing w:val="1"/>
              </w:rPr>
              <w:t xml:space="preserve"> </w:t>
            </w:r>
            <w:r>
              <w:rPr>
                <w:spacing w:val="-3"/>
              </w:rPr>
              <w:t>行政处罚</w:t>
            </w:r>
          </w:p>
        </w:tc>
        <w:tc>
          <w:tcPr>
            <w:tcW w:w="1113" w:type="dxa"/>
            <w:vAlign w:val="top"/>
          </w:tcPr>
          <w:p w14:paraId="3C8F4142">
            <w:pPr>
              <w:spacing w:line="297" w:lineRule="auto"/>
              <w:rPr>
                <w:rFonts w:ascii="Arial"/>
                <w:sz w:val="21"/>
              </w:rPr>
            </w:pPr>
          </w:p>
          <w:p w14:paraId="1ABCD5EB">
            <w:pPr>
              <w:spacing w:line="297" w:lineRule="auto"/>
              <w:rPr>
                <w:rFonts w:ascii="Arial"/>
                <w:sz w:val="21"/>
              </w:rPr>
            </w:pPr>
          </w:p>
          <w:p w14:paraId="43DFB55B">
            <w:pPr>
              <w:spacing w:line="297" w:lineRule="auto"/>
              <w:rPr>
                <w:rFonts w:ascii="Arial"/>
                <w:sz w:val="21"/>
              </w:rPr>
            </w:pPr>
          </w:p>
          <w:p w14:paraId="25B9347E">
            <w:pPr>
              <w:pStyle w:val="8"/>
              <w:spacing w:before="58" w:line="220" w:lineRule="auto"/>
              <w:ind w:left="10"/>
            </w:pPr>
            <w:r>
              <w:rPr>
                <w:spacing w:val="-2"/>
              </w:rPr>
              <w:t>行政处罚</w:t>
            </w:r>
          </w:p>
        </w:tc>
        <w:tc>
          <w:tcPr>
            <w:tcW w:w="8631" w:type="dxa"/>
            <w:vAlign w:val="top"/>
          </w:tcPr>
          <w:p w14:paraId="2EFF0AB8">
            <w:pPr>
              <w:pStyle w:val="8"/>
              <w:spacing w:before="29" w:line="219" w:lineRule="auto"/>
              <w:ind w:left="477"/>
            </w:pPr>
            <w:r>
              <w:rPr>
                <w:b/>
                <w:bCs/>
                <w:spacing w:val="-5"/>
              </w:rPr>
              <w:t>《中华人民共和国公路法》</w:t>
            </w:r>
          </w:p>
          <w:p w14:paraId="25A6F323">
            <w:pPr>
              <w:pStyle w:val="8"/>
              <w:spacing w:before="19" w:line="232" w:lineRule="auto"/>
              <w:ind w:left="117" w:right="167" w:firstLine="358"/>
              <w:jc w:val="both"/>
            </w:pPr>
            <w:r>
              <w:t>第四十七条  在大中型公路桥梁和渡口周围二百米、公路隧道上方和洞口外一百</w:t>
            </w:r>
            <w:r>
              <w:rPr>
                <w:spacing w:val="-1"/>
              </w:rPr>
              <w:t>米范围内，以及在公</w:t>
            </w:r>
            <w:r>
              <w:t xml:space="preserve"> </w:t>
            </w:r>
            <w:r>
              <w:rPr>
                <w:spacing w:val="-2"/>
              </w:rPr>
              <w:t>路两侧一定距离内，不得挖砂、采石、取土、倾</w:t>
            </w:r>
            <w:r>
              <w:rPr>
                <w:spacing w:val="-3"/>
              </w:rPr>
              <w:t>倒废弃物，不得进行爆破作业及其他危及公路、公路桥梁、</w:t>
            </w:r>
            <w:r>
              <w:t xml:space="preserve"> </w:t>
            </w:r>
            <w:r>
              <w:rPr>
                <w:spacing w:val="-3"/>
              </w:rPr>
              <w:t>公路隧道、公路渡口安全的活动。</w:t>
            </w:r>
          </w:p>
          <w:p w14:paraId="701B0F54">
            <w:pPr>
              <w:pStyle w:val="8"/>
              <w:spacing w:before="19" w:line="233" w:lineRule="auto"/>
              <w:ind w:left="116" w:right="148" w:firstLine="349"/>
              <w:jc w:val="both"/>
            </w:pPr>
            <w:r>
              <w:rPr>
                <w:spacing w:val="-2"/>
              </w:rPr>
              <w:t>在前款范围内因抢险、防汛需要修筑堤坝、压缩或者拓宽河床的，应当事先报经省、自</w:t>
            </w:r>
            <w:r>
              <w:rPr>
                <w:spacing w:val="-3"/>
              </w:rPr>
              <w:t>治区、直辖市</w:t>
            </w:r>
            <w:r>
              <w:rPr>
                <w:rFonts w:hint="eastAsia"/>
                <w:spacing w:val="-3"/>
                <w:lang w:eastAsia="zh-CN"/>
              </w:rPr>
              <w:t>人民政府</w:t>
            </w:r>
            <w:r>
              <w:rPr>
                <w:spacing w:val="-2"/>
              </w:rPr>
              <w:t>交通主管部门会同水行政主管部门批准，并采取有效的保护有关的公路、公路桥梁、公</w:t>
            </w:r>
            <w:r>
              <w:rPr>
                <w:spacing w:val="-3"/>
              </w:rPr>
              <w:t>路隧道、公路</w:t>
            </w:r>
            <w:r>
              <w:t xml:space="preserve"> </w:t>
            </w:r>
            <w:r>
              <w:rPr>
                <w:spacing w:val="-3"/>
              </w:rPr>
              <w:t>渡口安全的措施。</w:t>
            </w:r>
          </w:p>
          <w:p w14:paraId="0B65B5D1">
            <w:pPr>
              <w:pStyle w:val="8"/>
              <w:spacing w:before="22" w:line="221" w:lineRule="auto"/>
              <w:ind w:left="136" w:right="272" w:firstLine="339"/>
            </w:pPr>
            <w:r>
              <w:rPr>
                <w:spacing w:val="-1"/>
              </w:rPr>
              <w:t>第七十六条第（三）项  有下列违法行为之一的，由交通主管部门责令停止违法行为，可以处三万元</w:t>
            </w:r>
            <w:r>
              <w:t xml:space="preserve"> </w:t>
            </w:r>
            <w:r>
              <w:rPr>
                <w:spacing w:val="-2"/>
              </w:rPr>
              <w:t>以下的罚款：（三）违反本法第四十七条规定，从事危及公路安全</w:t>
            </w:r>
            <w:r>
              <w:rPr>
                <w:spacing w:val="-3"/>
              </w:rPr>
              <w:t>的作业的。</w:t>
            </w:r>
          </w:p>
        </w:tc>
        <w:tc>
          <w:tcPr>
            <w:tcW w:w="1022" w:type="dxa"/>
            <w:vAlign w:val="top"/>
          </w:tcPr>
          <w:p w14:paraId="4AE0AED0">
            <w:pPr>
              <w:spacing w:line="257" w:lineRule="auto"/>
              <w:rPr>
                <w:rFonts w:ascii="Arial"/>
                <w:sz w:val="21"/>
              </w:rPr>
            </w:pPr>
          </w:p>
          <w:p w14:paraId="23B3E0F6">
            <w:pPr>
              <w:spacing w:line="257" w:lineRule="auto"/>
              <w:rPr>
                <w:rFonts w:ascii="Arial"/>
                <w:sz w:val="21"/>
              </w:rPr>
            </w:pPr>
          </w:p>
          <w:p w14:paraId="5D2EE20A">
            <w:pPr>
              <w:spacing w:line="258" w:lineRule="auto"/>
              <w:rPr>
                <w:rFonts w:ascii="Arial"/>
                <w:sz w:val="21"/>
              </w:rPr>
            </w:pPr>
          </w:p>
          <w:p w14:paraId="014DF743">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389EE999">
            <w:pPr>
              <w:spacing w:line="297" w:lineRule="auto"/>
              <w:rPr>
                <w:rFonts w:ascii="Arial"/>
                <w:sz w:val="21"/>
              </w:rPr>
            </w:pPr>
          </w:p>
          <w:p w14:paraId="515B62C5">
            <w:pPr>
              <w:spacing w:line="297" w:lineRule="auto"/>
              <w:rPr>
                <w:rFonts w:ascii="Arial"/>
                <w:sz w:val="21"/>
              </w:rPr>
            </w:pPr>
          </w:p>
          <w:p w14:paraId="31BB87B9">
            <w:pPr>
              <w:spacing w:line="297" w:lineRule="auto"/>
              <w:rPr>
                <w:rFonts w:ascii="Arial"/>
                <w:sz w:val="21"/>
              </w:rPr>
            </w:pPr>
          </w:p>
          <w:p w14:paraId="1EA8C9AD">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44B3BB43">
            <w:pPr>
              <w:spacing w:line="326" w:lineRule="auto"/>
              <w:rPr>
                <w:rFonts w:ascii="Arial"/>
                <w:sz w:val="21"/>
              </w:rPr>
            </w:pPr>
          </w:p>
          <w:p w14:paraId="43FD02AC">
            <w:pPr>
              <w:spacing w:line="327" w:lineRule="auto"/>
              <w:rPr>
                <w:rFonts w:ascii="Arial"/>
                <w:sz w:val="21"/>
              </w:rPr>
            </w:pPr>
          </w:p>
          <w:p w14:paraId="76449C1F">
            <w:pPr>
              <w:pStyle w:val="8"/>
              <w:spacing w:before="59"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r w14:paraId="581B2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9" w:type="dxa"/>
            <w:vAlign w:val="top"/>
          </w:tcPr>
          <w:p w14:paraId="7B2A1FC6">
            <w:pPr>
              <w:spacing w:line="241" w:lineRule="auto"/>
              <w:rPr>
                <w:rFonts w:ascii="Arial"/>
                <w:sz w:val="21"/>
              </w:rPr>
            </w:pPr>
          </w:p>
          <w:p w14:paraId="496F044F">
            <w:pPr>
              <w:spacing w:line="241" w:lineRule="auto"/>
              <w:rPr>
                <w:rFonts w:ascii="Arial"/>
                <w:sz w:val="21"/>
              </w:rPr>
            </w:pPr>
          </w:p>
          <w:p w14:paraId="05454F11">
            <w:pPr>
              <w:spacing w:line="241" w:lineRule="auto"/>
              <w:rPr>
                <w:rFonts w:ascii="Arial"/>
                <w:sz w:val="21"/>
              </w:rPr>
            </w:pPr>
          </w:p>
          <w:p w14:paraId="2934770A">
            <w:pPr>
              <w:pStyle w:val="8"/>
              <w:spacing w:before="59" w:line="183" w:lineRule="auto"/>
              <w:ind w:left="273"/>
            </w:pPr>
            <w:r>
              <w:t>4</w:t>
            </w:r>
          </w:p>
        </w:tc>
        <w:tc>
          <w:tcPr>
            <w:tcW w:w="1113" w:type="dxa"/>
            <w:vAlign w:val="top"/>
          </w:tcPr>
          <w:p w14:paraId="4F8A32CF">
            <w:pPr>
              <w:pStyle w:val="8"/>
              <w:spacing w:before="36"/>
              <w:ind w:left="95" w:right="90"/>
            </w:pPr>
            <w:r>
              <w:rPr>
                <w:spacing w:val="-1"/>
              </w:rPr>
              <w:t>对铁轮车、</w:t>
            </w:r>
            <w:r>
              <w:t xml:space="preserve"> </w:t>
            </w:r>
            <w:r>
              <w:rPr>
                <w:spacing w:val="4"/>
              </w:rPr>
              <w:t>履带车和其</w:t>
            </w:r>
            <w:r>
              <w:t xml:space="preserve"> </w:t>
            </w:r>
            <w:r>
              <w:rPr>
                <w:spacing w:val="4"/>
              </w:rPr>
              <w:t>他可能损害</w:t>
            </w:r>
            <w:r>
              <w:t xml:space="preserve"> </w:t>
            </w:r>
            <w:r>
              <w:rPr>
                <w:spacing w:val="4"/>
              </w:rPr>
              <w:t>路面的机具</w:t>
            </w:r>
            <w:r>
              <w:t xml:space="preserve"> </w:t>
            </w:r>
            <w:r>
              <w:rPr>
                <w:spacing w:val="4"/>
              </w:rPr>
              <w:t>擅自在公路</w:t>
            </w:r>
            <w:r>
              <w:t xml:space="preserve"> </w:t>
            </w:r>
            <w:r>
              <w:rPr>
                <w:spacing w:val="4"/>
              </w:rPr>
              <w:t>上行驶行为</w:t>
            </w:r>
            <w:r>
              <w:t xml:space="preserve"> </w:t>
            </w:r>
            <w:r>
              <w:rPr>
                <w:spacing w:val="-4"/>
              </w:rPr>
              <w:t>的行政处罚</w:t>
            </w:r>
          </w:p>
        </w:tc>
        <w:tc>
          <w:tcPr>
            <w:tcW w:w="1113" w:type="dxa"/>
            <w:vAlign w:val="top"/>
          </w:tcPr>
          <w:p w14:paraId="3A46DFCB">
            <w:pPr>
              <w:spacing w:line="345" w:lineRule="auto"/>
              <w:rPr>
                <w:rFonts w:ascii="Arial"/>
                <w:sz w:val="21"/>
              </w:rPr>
            </w:pPr>
          </w:p>
          <w:p w14:paraId="0AC398F7">
            <w:pPr>
              <w:spacing w:line="345" w:lineRule="auto"/>
              <w:rPr>
                <w:rFonts w:ascii="Arial"/>
                <w:sz w:val="21"/>
              </w:rPr>
            </w:pPr>
          </w:p>
          <w:p w14:paraId="2D458DC2">
            <w:pPr>
              <w:pStyle w:val="8"/>
              <w:spacing w:before="59" w:line="220" w:lineRule="auto"/>
              <w:ind w:left="10"/>
            </w:pPr>
            <w:r>
              <w:rPr>
                <w:spacing w:val="-2"/>
              </w:rPr>
              <w:t>行政处罚</w:t>
            </w:r>
          </w:p>
        </w:tc>
        <w:tc>
          <w:tcPr>
            <w:tcW w:w="8631" w:type="dxa"/>
            <w:vAlign w:val="top"/>
          </w:tcPr>
          <w:p w14:paraId="47C0186F">
            <w:pPr>
              <w:pStyle w:val="8"/>
              <w:spacing w:before="38" w:line="219" w:lineRule="auto"/>
              <w:ind w:left="472"/>
            </w:pPr>
            <w:r>
              <w:rPr>
                <w:b/>
                <w:bCs/>
                <w:spacing w:val="-4"/>
              </w:rPr>
              <w:t>《中华人民共和国公路法》</w:t>
            </w:r>
          </w:p>
          <w:p w14:paraId="5ED84901">
            <w:pPr>
              <w:pStyle w:val="8"/>
              <w:spacing w:before="25" w:line="219" w:lineRule="auto"/>
              <w:ind w:left="466"/>
            </w:pPr>
            <w:r>
              <w:rPr>
                <w:spacing w:val="-2"/>
              </w:rPr>
              <w:t>第四十八条  铁轮车、履带车和其他可能损害公路路面的机具，不得在公路上行</w:t>
            </w:r>
            <w:r>
              <w:rPr>
                <w:spacing w:val="-3"/>
              </w:rPr>
              <w:t>驶。</w:t>
            </w:r>
          </w:p>
          <w:p w14:paraId="6C556137">
            <w:pPr>
              <w:pStyle w:val="8"/>
              <w:spacing w:before="25" w:line="233" w:lineRule="auto"/>
              <w:ind w:left="120" w:right="109" w:firstLine="346"/>
            </w:pPr>
            <w:r>
              <w:rPr>
                <w:spacing w:val="-1"/>
              </w:rPr>
              <w:t>农业机械因当地田间作业需要在公路上短距离行驶或者军用车辆执行任务需要在公路上</w:t>
            </w:r>
            <w:r>
              <w:rPr>
                <w:spacing w:val="-2"/>
              </w:rPr>
              <w:t>行驶的，可以不</w:t>
            </w:r>
            <w:r>
              <w:t xml:space="preserve"> </w:t>
            </w:r>
            <w:r>
              <w:rPr>
                <w:spacing w:val="-2"/>
              </w:rPr>
              <w:t>受前款限制，但是应当采取安全保护措施。对</w:t>
            </w:r>
            <w:r>
              <w:rPr>
                <w:spacing w:val="-3"/>
              </w:rPr>
              <w:t>公路造成损坏的，应当按照损坏程度给予补偿。</w:t>
            </w:r>
          </w:p>
          <w:p w14:paraId="76CF6802">
            <w:pPr>
              <w:pStyle w:val="8"/>
              <w:spacing w:before="26" w:line="231" w:lineRule="auto"/>
              <w:ind w:left="122" w:right="107" w:firstLine="344"/>
            </w:pPr>
            <w:r>
              <w:rPr>
                <w:spacing w:val="-1"/>
              </w:rPr>
              <w:t>第七十六条第（四）项  有下列违法行为之一的，由交通主管部门责令停止违法行为，可</w:t>
            </w:r>
            <w:r>
              <w:rPr>
                <w:spacing w:val="-2"/>
              </w:rPr>
              <w:t>以处三万元以</w:t>
            </w:r>
            <w:r>
              <w:t xml:space="preserve"> </w:t>
            </w:r>
            <w:r>
              <w:rPr>
                <w:spacing w:val="-1"/>
              </w:rPr>
              <w:t>下的罚款</w:t>
            </w:r>
            <w:r>
              <w:rPr>
                <w:spacing w:val="-10"/>
              </w:rPr>
              <w:t>：（</w:t>
            </w:r>
            <w:r>
              <w:rPr>
                <w:spacing w:val="-1"/>
              </w:rPr>
              <w:t>四）违反本法第四十八条规定，铁轮车、履带车和其他可能损害路面的机具擅自在公路上行驶</w:t>
            </w:r>
            <w:r>
              <w:t xml:space="preserve"> </w:t>
            </w:r>
            <w:r>
              <w:rPr>
                <w:spacing w:val="-7"/>
              </w:rPr>
              <w:t>的。</w:t>
            </w:r>
          </w:p>
        </w:tc>
        <w:tc>
          <w:tcPr>
            <w:tcW w:w="1022" w:type="dxa"/>
            <w:vAlign w:val="top"/>
          </w:tcPr>
          <w:p w14:paraId="3EF4A88B">
            <w:pPr>
              <w:spacing w:line="281" w:lineRule="auto"/>
              <w:rPr>
                <w:rFonts w:ascii="Arial"/>
                <w:sz w:val="21"/>
              </w:rPr>
            </w:pPr>
          </w:p>
          <w:p w14:paraId="2AFA7905">
            <w:pPr>
              <w:spacing w:line="282" w:lineRule="auto"/>
              <w:rPr>
                <w:rFonts w:ascii="Arial"/>
                <w:sz w:val="21"/>
              </w:rPr>
            </w:pPr>
          </w:p>
          <w:p w14:paraId="7B58D64E">
            <w:pPr>
              <w:pStyle w:val="8"/>
              <w:spacing w:before="59" w:line="233" w:lineRule="auto"/>
              <w:ind w:left="158" w:right="147" w:firstLine="2"/>
            </w:pPr>
            <w:r>
              <w:rPr>
                <w:spacing w:val="-3"/>
              </w:rPr>
              <w:t>交通运输</w:t>
            </w:r>
            <w:r>
              <w:t xml:space="preserve"> </w:t>
            </w:r>
            <w:r>
              <w:rPr>
                <w:spacing w:val="-3"/>
              </w:rPr>
              <w:t>主管部门</w:t>
            </w:r>
          </w:p>
        </w:tc>
        <w:tc>
          <w:tcPr>
            <w:tcW w:w="1419" w:type="dxa"/>
            <w:vAlign w:val="top"/>
          </w:tcPr>
          <w:p w14:paraId="5A90A0B9">
            <w:pPr>
              <w:spacing w:line="341" w:lineRule="auto"/>
              <w:rPr>
                <w:rFonts w:ascii="Arial"/>
                <w:sz w:val="21"/>
              </w:rPr>
            </w:pPr>
          </w:p>
          <w:p w14:paraId="5B4A74BC">
            <w:pPr>
              <w:spacing w:line="342" w:lineRule="auto"/>
              <w:rPr>
                <w:rFonts w:ascii="Arial"/>
                <w:sz w:val="21"/>
              </w:rPr>
            </w:pPr>
          </w:p>
          <w:p w14:paraId="456420D3">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349A2814">
            <w:pPr>
              <w:spacing w:line="441" w:lineRule="auto"/>
              <w:rPr>
                <w:rFonts w:ascii="Arial"/>
                <w:sz w:val="21"/>
              </w:rPr>
            </w:pPr>
          </w:p>
          <w:p w14:paraId="4F5A797E">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r w14:paraId="2D102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5" w:hRule="atLeast"/>
        </w:trPr>
        <w:tc>
          <w:tcPr>
            <w:tcW w:w="629" w:type="dxa"/>
            <w:vAlign w:val="top"/>
          </w:tcPr>
          <w:p w14:paraId="1F516D5B">
            <w:pPr>
              <w:rPr>
                <w:rFonts w:ascii="Arial"/>
                <w:sz w:val="21"/>
              </w:rPr>
            </w:pPr>
          </w:p>
          <w:p w14:paraId="19C643C7">
            <w:pPr>
              <w:rPr>
                <w:rFonts w:ascii="Arial"/>
                <w:sz w:val="21"/>
              </w:rPr>
            </w:pPr>
          </w:p>
          <w:p w14:paraId="7D25FA5A">
            <w:pPr>
              <w:rPr>
                <w:rFonts w:ascii="Arial"/>
                <w:sz w:val="21"/>
              </w:rPr>
            </w:pPr>
          </w:p>
          <w:p w14:paraId="70156418">
            <w:pPr>
              <w:rPr>
                <w:rFonts w:ascii="Arial"/>
                <w:sz w:val="21"/>
              </w:rPr>
            </w:pPr>
          </w:p>
          <w:p w14:paraId="26E1FD54">
            <w:pPr>
              <w:spacing w:line="241" w:lineRule="auto"/>
              <w:rPr>
                <w:rFonts w:ascii="Arial"/>
                <w:sz w:val="21"/>
              </w:rPr>
            </w:pPr>
          </w:p>
          <w:p w14:paraId="25EFE172">
            <w:pPr>
              <w:spacing w:line="241" w:lineRule="auto"/>
              <w:rPr>
                <w:rFonts w:ascii="Arial"/>
                <w:sz w:val="21"/>
              </w:rPr>
            </w:pPr>
          </w:p>
          <w:p w14:paraId="2085D0FD">
            <w:pPr>
              <w:spacing w:line="241" w:lineRule="auto"/>
              <w:rPr>
                <w:rFonts w:ascii="Arial"/>
                <w:sz w:val="21"/>
              </w:rPr>
            </w:pPr>
          </w:p>
          <w:p w14:paraId="0930A214">
            <w:pPr>
              <w:spacing w:line="241" w:lineRule="auto"/>
              <w:rPr>
                <w:rFonts w:ascii="Arial"/>
                <w:sz w:val="21"/>
              </w:rPr>
            </w:pPr>
          </w:p>
          <w:p w14:paraId="7B3EA29A">
            <w:pPr>
              <w:spacing w:line="241" w:lineRule="auto"/>
              <w:rPr>
                <w:rFonts w:ascii="Arial"/>
                <w:sz w:val="21"/>
              </w:rPr>
            </w:pPr>
          </w:p>
          <w:p w14:paraId="5BD9E96E">
            <w:pPr>
              <w:spacing w:line="241" w:lineRule="auto"/>
              <w:rPr>
                <w:rFonts w:ascii="Arial"/>
                <w:sz w:val="21"/>
              </w:rPr>
            </w:pPr>
          </w:p>
          <w:p w14:paraId="3C85C8EF">
            <w:pPr>
              <w:pStyle w:val="8"/>
              <w:spacing w:before="59" w:line="182" w:lineRule="auto"/>
              <w:ind w:left="277"/>
            </w:pPr>
            <w:r>
              <w:t>5</w:t>
            </w:r>
          </w:p>
        </w:tc>
        <w:tc>
          <w:tcPr>
            <w:tcW w:w="1113" w:type="dxa"/>
            <w:vAlign w:val="top"/>
          </w:tcPr>
          <w:p w14:paraId="41E40F6A">
            <w:pPr>
              <w:spacing w:line="256" w:lineRule="auto"/>
              <w:rPr>
                <w:rFonts w:ascii="Arial"/>
                <w:sz w:val="21"/>
              </w:rPr>
            </w:pPr>
          </w:p>
          <w:p w14:paraId="6E4764D2">
            <w:pPr>
              <w:spacing w:line="256" w:lineRule="auto"/>
              <w:rPr>
                <w:rFonts w:ascii="Arial"/>
                <w:sz w:val="21"/>
              </w:rPr>
            </w:pPr>
          </w:p>
          <w:p w14:paraId="7D82ADE8">
            <w:pPr>
              <w:spacing w:line="257" w:lineRule="auto"/>
              <w:rPr>
                <w:rFonts w:ascii="Arial"/>
                <w:sz w:val="21"/>
              </w:rPr>
            </w:pPr>
          </w:p>
          <w:p w14:paraId="5B8A303E">
            <w:pPr>
              <w:spacing w:line="257" w:lineRule="auto"/>
              <w:rPr>
                <w:rFonts w:ascii="Arial"/>
                <w:sz w:val="21"/>
              </w:rPr>
            </w:pPr>
          </w:p>
          <w:p w14:paraId="7198EE4C">
            <w:pPr>
              <w:spacing w:line="257" w:lineRule="auto"/>
              <w:rPr>
                <w:rFonts w:ascii="Arial"/>
                <w:sz w:val="21"/>
              </w:rPr>
            </w:pPr>
          </w:p>
          <w:p w14:paraId="79EA0DA8">
            <w:pPr>
              <w:pStyle w:val="8"/>
              <w:spacing w:before="59" w:line="246" w:lineRule="auto"/>
              <w:ind w:left="96" w:right="87" w:hanging="1"/>
              <w:jc w:val="both"/>
            </w:pPr>
            <w:r>
              <w:rPr>
                <w:spacing w:val="4"/>
              </w:rPr>
              <w:t>对车货总体</w:t>
            </w:r>
            <w:r>
              <w:rPr>
                <w:spacing w:val="1"/>
              </w:rPr>
              <w:t xml:space="preserve"> </w:t>
            </w:r>
            <w:r>
              <w:rPr>
                <w:spacing w:val="-8"/>
              </w:rPr>
              <w:t>的</w:t>
            </w:r>
            <w:r>
              <w:rPr>
                <w:spacing w:val="-10"/>
              </w:rPr>
              <w:t xml:space="preserve"> </w:t>
            </w:r>
            <w:r>
              <w:rPr>
                <w:spacing w:val="-8"/>
              </w:rPr>
              <w:t>外</w:t>
            </w:r>
            <w:r>
              <w:rPr>
                <w:spacing w:val="-14"/>
              </w:rPr>
              <w:t xml:space="preserve"> </w:t>
            </w:r>
            <w:r>
              <w:rPr>
                <w:spacing w:val="-8"/>
              </w:rPr>
              <w:t>廓</w:t>
            </w:r>
            <w:r>
              <w:rPr>
                <w:spacing w:val="-14"/>
              </w:rPr>
              <w:t xml:space="preserve"> </w:t>
            </w:r>
            <w:r>
              <w:rPr>
                <w:spacing w:val="-8"/>
              </w:rPr>
              <w:t>尺</w:t>
            </w:r>
            <w:r>
              <w:t xml:space="preserve"> </w:t>
            </w:r>
            <w:r>
              <w:rPr>
                <w:spacing w:val="4"/>
              </w:rPr>
              <w:t>寸、轴荷或</w:t>
            </w:r>
            <w:r>
              <w:t xml:space="preserve"> </w:t>
            </w:r>
            <w:r>
              <w:rPr>
                <w:spacing w:val="4"/>
              </w:rPr>
              <w:t>者总质量超</w:t>
            </w:r>
            <w:r>
              <w:t xml:space="preserve"> </w:t>
            </w:r>
            <w:r>
              <w:rPr>
                <w:spacing w:val="4"/>
              </w:rPr>
              <w:t>过公路、公</w:t>
            </w:r>
            <w:r>
              <w:t xml:space="preserve"> </w:t>
            </w:r>
            <w:r>
              <w:rPr>
                <w:spacing w:val="4"/>
              </w:rPr>
              <w:t>路桥梁、公</w:t>
            </w:r>
            <w:r>
              <w:t xml:space="preserve"> </w:t>
            </w:r>
            <w:r>
              <w:rPr>
                <w:spacing w:val="4"/>
              </w:rPr>
              <w:t>路隧道、汽</w:t>
            </w:r>
            <w:r>
              <w:t xml:space="preserve"> </w:t>
            </w:r>
            <w:r>
              <w:rPr>
                <w:spacing w:val="4"/>
              </w:rPr>
              <w:t>车渡船限定</w:t>
            </w:r>
            <w:r>
              <w:t xml:space="preserve"> </w:t>
            </w:r>
            <w:r>
              <w:rPr>
                <w:spacing w:val="4"/>
              </w:rPr>
              <w:t>标准的行政</w:t>
            </w:r>
            <w:r>
              <w:rPr>
                <w:spacing w:val="2"/>
              </w:rPr>
              <w:t xml:space="preserve"> </w:t>
            </w:r>
            <w:r>
              <w:rPr>
                <w:spacing w:val="-4"/>
              </w:rPr>
              <w:t>处罚</w:t>
            </w:r>
          </w:p>
        </w:tc>
        <w:tc>
          <w:tcPr>
            <w:tcW w:w="1113" w:type="dxa"/>
            <w:vAlign w:val="top"/>
          </w:tcPr>
          <w:p w14:paraId="5E6F33D1">
            <w:pPr>
              <w:spacing w:line="262" w:lineRule="auto"/>
              <w:rPr>
                <w:rFonts w:ascii="Arial"/>
                <w:sz w:val="21"/>
              </w:rPr>
            </w:pPr>
          </w:p>
          <w:p w14:paraId="48303B1F">
            <w:pPr>
              <w:spacing w:line="262" w:lineRule="auto"/>
              <w:rPr>
                <w:rFonts w:ascii="Arial"/>
                <w:sz w:val="21"/>
              </w:rPr>
            </w:pPr>
          </w:p>
          <w:p w14:paraId="16B0FEB6">
            <w:pPr>
              <w:spacing w:line="262" w:lineRule="auto"/>
              <w:rPr>
                <w:rFonts w:ascii="Arial"/>
                <w:sz w:val="21"/>
              </w:rPr>
            </w:pPr>
          </w:p>
          <w:p w14:paraId="59DF00ED">
            <w:pPr>
              <w:spacing w:line="262" w:lineRule="auto"/>
              <w:rPr>
                <w:rFonts w:ascii="Arial"/>
                <w:sz w:val="21"/>
              </w:rPr>
            </w:pPr>
          </w:p>
          <w:p w14:paraId="73FB4457">
            <w:pPr>
              <w:spacing w:line="263" w:lineRule="auto"/>
              <w:rPr>
                <w:rFonts w:ascii="Arial"/>
                <w:sz w:val="21"/>
              </w:rPr>
            </w:pPr>
          </w:p>
          <w:p w14:paraId="6FDD2F85">
            <w:pPr>
              <w:spacing w:line="263" w:lineRule="auto"/>
              <w:rPr>
                <w:rFonts w:ascii="Arial"/>
                <w:sz w:val="21"/>
              </w:rPr>
            </w:pPr>
          </w:p>
          <w:p w14:paraId="56C223C7">
            <w:pPr>
              <w:spacing w:line="263" w:lineRule="auto"/>
              <w:rPr>
                <w:rFonts w:ascii="Arial"/>
                <w:sz w:val="21"/>
              </w:rPr>
            </w:pPr>
          </w:p>
          <w:p w14:paraId="120613F2">
            <w:pPr>
              <w:spacing w:line="263" w:lineRule="auto"/>
              <w:rPr>
                <w:rFonts w:ascii="Arial"/>
                <w:sz w:val="21"/>
              </w:rPr>
            </w:pPr>
          </w:p>
          <w:p w14:paraId="1978F46F">
            <w:pPr>
              <w:spacing w:line="263" w:lineRule="auto"/>
              <w:rPr>
                <w:rFonts w:ascii="Arial"/>
                <w:sz w:val="21"/>
              </w:rPr>
            </w:pPr>
          </w:p>
          <w:p w14:paraId="78AC45FD">
            <w:pPr>
              <w:pStyle w:val="8"/>
              <w:spacing w:before="58" w:line="220" w:lineRule="auto"/>
              <w:ind w:left="10"/>
            </w:pPr>
            <w:r>
              <w:rPr>
                <w:spacing w:val="-2"/>
              </w:rPr>
              <w:t>行政处罚</w:t>
            </w:r>
          </w:p>
        </w:tc>
        <w:tc>
          <w:tcPr>
            <w:tcW w:w="8631" w:type="dxa"/>
            <w:vAlign w:val="top"/>
          </w:tcPr>
          <w:p w14:paraId="593CEF13">
            <w:pPr>
              <w:pStyle w:val="8"/>
              <w:spacing w:before="31" w:line="219" w:lineRule="auto"/>
              <w:ind w:left="480"/>
            </w:pPr>
            <w:r>
              <w:rPr>
                <w:b/>
                <w:bCs/>
                <w:spacing w:val="-5"/>
              </w:rPr>
              <w:t>1.《中华人民共和国公路法》</w:t>
            </w:r>
          </w:p>
          <w:p w14:paraId="2901D6D6">
            <w:pPr>
              <w:pStyle w:val="8"/>
              <w:spacing w:before="16" w:line="219" w:lineRule="auto"/>
              <w:ind w:left="466"/>
            </w:pPr>
            <w:r>
              <w:rPr>
                <w:spacing w:val="-3"/>
              </w:rPr>
              <w:t>第四十九条  在公路上行驶的车辆的轴载质量应当符合公路工程技术标准要求。</w:t>
            </w:r>
          </w:p>
          <w:p w14:paraId="74FD9E97">
            <w:pPr>
              <w:pStyle w:val="8"/>
              <w:spacing w:before="19" w:line="231" w:lineRule="auto"/>
              <w:ind w:left="115" w:right="107" w:firstLine="351"/>
            </w:pPr>
            <w:r>
              <w:rPr>
                <w:spacing w:val="-1"/>
              </w:rPr>
              <w:t>第五十条  超过公路、公路桥梁、公路隧道或者汽车渡船的限载、限高、限宽、限长标准的车辆</w:t>
            </w:r>
            <w:r>
              <w:rPr>
                <w:spacing w:val="-2"/>
              </w:rPr>
              <w:t>，不得</w:t>
            </w:r>
            <w:r>
              <w:t xml:space="preserve"> </w:t>
            </w:r>
            <w:r>
              <w:rPr>
                <w:spacing w:val="-1"/>
              </w:rPr>
              <w:t>在有限定标准的公路、公路桥梁上或者公路隧道内行驶，不得使用汽车渡船。超过</w:t>
            </w:r>
            <w:r>
              <w:rPr>
                <w:spacing w:val="-2"/>
              </w:rPr>
              <w:t>公路或者公路桥梁限载标</w:t>
            </w:r>
            <w:r>
              <w:t xml:space="preserve"> </w:t>
            </w:r>
            <w:r>
              <w:rPr>
                <w:spacing w:val="-1"/>
              </w:rPr>
              <w:t>准确需行驶的，必须经县级以上地方人民政府交通主管部门批准，并按要求采取有</w:t>
            </w:r>
            <w:r>
              <w:rPr>
                <w:spacing w:val="-2"/>
              </w:rPr>
              <w:t>效的防护措施；运载不可</w:t>
            </w:r>
            <w:r>
              <w:t xml:space="preserve"> </w:t>
            </w:r>
            <w:r>
              <w:rPr>
                <w:spacing w:val="-3"/>
              </w:rPr>
              <w:t>解体的超限物品的，应当按照指定的时间、路线、时速行驶，并悬挂明显标志。</w:t>
            </w:r>
          </w:p>
          <w:p w14:paraId="2FDE20C6">
            <w:pPr>
              <w:pStyle w:val="8"/>
              <w:spacing w:before="16" w:line="228" w:lineRule="auto"/>
              <w:ind w:left="116" w:right="109" w:firstLine="350"/>
            </w:pPr>
            <w:r>
              <w:rPr>
                <w:spacing w:val="-1"/>
              </w:rPr>
              <w:t>运输单位不能按照前款规定采取防护措施的，由交通主管部门帮助其采取防护措施，所</w:t>
            </w:r>
            <w:r>
              <w:rPr>
                <w:spacing w:val="-2"/>
              </w:rPr>
              <w:t>需费用由运输单</w:t>
            </w:r>
            <w:r>
              <w:t xml:space="preserve"> </w:t>
            </w:r>
            <w:r>
              <w:rPr>
                <w:spacing w:val="-3"/>
              </w:rPr>
              <w:t>位承担。</w:t>
            </w:r>
          </w:p>
          <w:p w14:paraId="1C08AEE0">
            <w:pPr>
              <w:pStyle w:val="8"/>
              <w:spacing w:before="17" w:line="227" w:lineRule="auto"/>
              <w:ind w:left="122" w:right="109" w:firstLine="344"/>
            </w:pPr>
            <w:r>
              <w:rPr>
                <w:spacing w:val="-1"/>
              </w:rPr>
              <w:t>第七十六条第（五）项  有下列违法行为之一的，由交通主管部门责令停止违法行为，可</w:t>
            </w:r>
            <w:r>
              <w:rPr>
                <w:spacing w:val="-2"/>
              </w:rPr>
              <w:t>以处三万元以</w:t>
            </w:r>
            <w:r>
              <w:t xml:space="preserve"> </w:t>
            </w:r>
            <w:r>
              <w:rPr>
                <w:spacing w:val="-2"/>
              </w:rPr>
              <w:t>下的罚款</w:t>
            </w:r>
            <w:r>
              <w:rPr>
                <w:spacing w:val="-7"/>
              </w:rPr>
              <w:t>：（</w:t>
            </w:r>
            <w:r>
              <w:rPr>
                <w:spacing w:val="-2"/>
              </w:rPr>
              <w:t>五）违反本法第五十条规定，车辆超限使用汽车渡船或者在公路上擅自超限行驶的。</w:t>
            </w:r>
          </w:p>
          <w:p w14:paraId="73132C0A">
            <w:pPr>
              <w:pStyle w:val="8"/>
              <w:spacing w:before="17" w:line="219" w:lineRule="auto"/>
              <w:ind w:left="468"/>
            </w:pPr>
            <w:r>
              <w:rPr>
                <w:b/>
                <w:bCs/>
                <w:spacing w:val="-4"/>
              </w:rPr>
              <w:t>2.《公路安全保护条例》</w:t>
            </w:r>
          </w:p>
          <w:p w14:paraId="4C18555E">
            <w:pPr>
              <w:pStyle w:val="8"/>
              <w:spacing w:before="15" w:line="227" w:lineRule="auto"/>
              <w:ind w:left="117" w:right="109" w:firstLine="348"/>
            </w:pPr>
            <w:r>
              <w:rPr>
                <w:spacing w:val="-1"/>
              </w:rPr>
              <w:t>第六十四条  违反本条例的规定，在公路上行驶的车辆，车货总体的外廓尺寸、轴荷或者</w:t>
            </w:r>
            <w:r>
              <w:rPr>
                <w:spacing w:val="-2"/>
              </w:rPr>
              <w:t>总质量超过公</w:t>
            </w:r>
            <w:r>
              <w:t xml:space="preserve"> </w:t>
            </w:r>
            <w:r>
              <w:rPr>
                <w:spacing w:val="-2"/>
              </w:rPr>
              <w:t>路、公路桥梁、公路隧道、汽车渡船限定标准的，由公路管理机构责令改正，可以处3万元</w:t>
            </w:r>
            <w:r>
              <w:rPr>
                <w:spacing w:val="-3"/>
              </w:rPr>
              <w:t>以下的罚款。</w:t>
            </w:r>
          </w:p>
          <w:p w14:paraId="48668A95">
            <w:pPr>
              <w:pStyle w:val="8"/>
              <w:spacing w:before="17" w:line="219" w:lineRule="auto"/>
              <w:ind w:left="470"/>
            </w:pPr>
            <w:r>
              <w:rPr>
                <w:b/>
                <w:bCs/>
                <w:spacing w:val="-4"/>
              </w:rPr>
              <w:t>3.《湖南省实施〈中华人民共和国公路法〉办法》</w:t>
            </w:r>
          </w:p>
          <w:p w14:paraId="02AB2D70">
            <w:pPr>
              <w:pStyle w:val="8"/>
              <w:spacing w:before="17" w:line="233" w:lineRule="auto"/>
              <w:ind w:left="116" w:right="107" w:firstLine="350"/>
              <w:jc w:val="both"/>
            </w:pPr>
            <w:r>
              <w:rPr>
                <w:spacing w:val="-1"/>
              </w:rPr>
              <w:t>第二十条  超过公路及其桥梁、隧道或者汽车渡船的限高、限长、限宽、限载标准的车辆，不得</w:t>
            </w:r>
            <w:r>
              <w:rPr>
                <w:spacing w:val="-2"/>
              </w:rPr>
              <w:t>在有限</w:t>
            </w:r>
            <w:r>
              <w:t xml:space="preserve"> </w:t>
            </w:r>
            <w:r>
              <w:rPr>
                <w:spacing w:val="-1"/>
              </w:rPr>
              <w:t>定标准的公路及其桥梁上或者隧道内行驶，不得使用汽车渡船。运载不可解体的</w:t>
            </w:r>
            <w:r>
              <w:rPr>
                <w:spacing w:val="-2"/>
              </w:rPr>
              <w:t>物品等超过限定标准的车辆</w:t>
            </w:r>
            <w:r>
              <w:t xml:space="preserve"> </w:t>
            </w:r>
            <w:r>
              <w:rPr>
                <w:spacing w:val="3"/>
              </w:rPr>
              <w:t>确需在公路及其桥梁上行驶的，承运人应当在运输前，按照下列规</w:t>
            </w:r>
            <w:r>
              <w:rPr>
                <w:spacing w:val="2"/>
              </w:rPr>
              <w:t>定经公路管理机构批准；影响交通安全</w:t>
            </w:r>
            <w:r>
              <w:t xml:space="preserve"> </w:t>
            </w:r>
            <w:r>
              <w:rPr>
                <w:spacing w:val="-1"/>
              </w:rPr>
              <w:t>的，还须经同级公安机关批准</w:t>
            </w:r>
            <w:r>
              <w:rPr>
                <w:spacing w:val="-7"/>
              </w:rPr>
              <w:t>：（</w:t>
            </w:r>
            <w:r>
              <w:rPr>
                <w:spacing w:val="-1"/>
              </w:rPr>
              <w:t>一）跨省运输的，由省公路管理机构审批，必要时报国务院交通行政主管</w:t>
            </w:r>
            <w:r>
              <w:t xml:space="preserve"> 部门审批</w:t>
            </w:r>
            <w:r>
              <w:rPr>
                <w:spacing w:val="-12"/>
              </w:rPr>
              <w:t>；（</w:t>
            </w:r>
            <w:r>
              <w:t>二）跨设区的市、自治州运输的，由省公路管理机构审批</w:t>
            </w:r>
            <w:r>
              <w:rPr>
                <w:spacing w:val="-12"/>
              </w:rPr>
              <w:t>；（</w:t>
            </w:r>
            <w:r>
              <w:t>三）</w:t>
            </w:r>
            <w:r>
              <w:rPr>
                <w:spacing w:val="-1"/>
              </w:rPr>
              <w:t>在设区的市、自治州内运输</w:t>
            </w:r>
            <w:r>
              <w:rPr>
                <w:spacing w:val="1"/>
              </w:rPr>
              <w:t xml:space="preserve"> </w:t>
            </w:r>
            <w:r>
              <w:rPr>
                <w:spacing w:val="-3"/>
              </w:rPr>
              <w:t>的，由市（州）公路管理机构审批。</w:t>
            </w:r>
          </w:p>
          <w:p w14:paraId="453A3DCF">
            <w:pPr>
              <w:pStyle w:val="8"/>
              <w:spacing w:before="16" w:line="217" w:lineRule="auto"/>
              <w:ind w:left="117" w:right="109" w:firstLine="348"/>
            </w:pPr>
            <w:r>
              <w:rPr>
                <w:spacing w:val="-1"/>
              </w:rPr>
              <w:t>超限运输经批准后，承运人应当在行驶前按照要求采取有效防护措施；不能采取有效防护</w:t>
            </w:r>
            <w:r>
              <w:rPr>
                <w:spacing w:val="-2"/>
              </w:rPr>
              <w:t>措施的，由公</w:t>
            </w:r>
            <w:r>
              <w:t xml:space="preserve"> </w:t>
            </w:r>
            <w:r>
              <w:rPr>
                <w:spacing w:val="-2"/>
              </w:rPr>
              <w:t>路管理机构帮助其采取有效防护措施，所需费用</w:t>
            </w:r>
            <w:r>
              <w:rPr>
                <w:spacing w:val="-3"/>
              </w:rPr>
              <w:t>由承运人承担。</w:t>
            </w:r>
          </w:p>
        </w:tc>
        <w:tc>
          <w:tcPr>
            <w:tcW w:w="1022" w:type="dxa"/>
            <w:vAlign w:val="top"/>
          </w:tcPr>
          <w:p w14:paraId="5BEF13A2">
            <w:pPr>
              <w:spacing w:line="249" w:lineRule="auto"/>
              <w:rPr>
                <w:rFonts w:ascii="Arial"/>
                <w:sz w:val="21"/>
              </w:rPr>
            </w:pPr>
          </w:p>
          <w:p w14:paraId="07FA81A6">
            <w:pPr>
              <w:spacing w:line="249" w:lineRule="auto"/>
              <w:rPr>
                <w:rFonts w:ascii="Arial"/>
                <w:sz w:val="21"/>
              </w:rPr>
            </w:pPr>
          </w:p>
          <w:p w14:paraId="530C2E41">
            <w:pPr>
              <w:spacing w:line="249" w:lineRule="auto"/>
              <w:rPr>
                <w:rFonts w:ascii="Arial"/>
                <w:sz w:val="21"/>
              </w:rPr>
            </w:pPr>
          </w:p>
          <w:p w14:paraId="72AEFA0C">
            <w:pPr>
              <w:spacing w:line="249" w:lineRule="auto"/>
              <w:rPr>
                <w:rFonts w:ascii="Arial"/>
                <w:sz w:val="21"/>
              </w:rPr>
            </w:pPr>
          </w:p>
          <w:p w14:paraId="61BAD1DF">
            <w:pPr>
              <w:spacing w:line="249" w:lineRule="auto"/>
              <w:rPr>
                <w:rFonts w:ascii="Arial"/>
                <w:sz w:val="21"/>
              </w:rPr>
            </w:pPr>
          </w:p>
          <w:p w14:paraId="5802C05D">
            <w:pPr>
              <w:spacing w:line="249" w:lineRule="auto"/>
              <w:rPr>
                <w:rFonts w:ascii="Arial"/>
                <w:sz w:val="21"/>
              </w:rPr>
            </w:pPr>
          </w:p>
          <w:p w14:paraId="05759565">
            <w:pPr>
              <w:spacing w:line="250" w:lineRule="auto"/>
              <w:rPr>
                <w:rFonts w:ascii="Arial"/>
                <w:sz w:val="21"/>
              </w:rPr>
            </w:pPr>
          </w:p>
          <w:p w14:paraId="7478EC25">
            <w:pPr>
              <w:spacing w:line="250" w:lineRule="auto"/>
              <w:rPr>
                <w:rFonts w:ascii="Arial"/>
                <w:sz w:val="21"/>
              </w:rPr>
            </w:pPr>
          </w:p>
          <w:p w14:paraId="4DC280BF">
            <w:pPr>
              <w:spacing w:line="250" w:lineRule="auto"/>
              <w:rPr>
                <w:rFonts w:ascii="Arial"/>
                <w:sz w:val="21"/>
              </w:rPr>
            </w:pPr>
          </w:p>
          <w:p w14:paraId="53486777">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16903EED">
            <w:pPr>
              <w:spacing w:line="262" w:lineRule="auto"/>
              <w:rPr>
                <w:rFonts w:ascii="Arial"/>
                <w:sz w:val="21"/>
              </w:rPr>
            </w:pPr>
          </w:p>
          <w:p w14:paraId="052BF943">
            <w:pPr>
              <w:spacing w:line="262" w:lineRule="auto"/>
              <w:rPr>
                <w:rFonts w:ascii="Arial"/>
                <w:sz w:val="21"/>
              </w:rPr>
            </w:pPr>
          </w:p>
          <w:p w14:paraId="6AE92362">
            <w:pPr>
              <w:spacing w:line="262" w:lineRule="auto"/>
              <w:rPr>
                <w:rFonts w:ascii="Arial"/>
                <w:sz w:val="21"/>
              </w:rPr>
            </w:pPr>
          </w:p>
          <w:p w14:paraId="25F45FD0">
            <w:pPr>
              <w:spacing w:line="262" w:lineRule="auto"/>
              <w:rPr>
                <w:rFonts w:ascii="Arial"/>
                <w:sz w:val="21"/>
              </w:rPr>
            </w:pPr>
          </w:p>
          <w:p w14:paraId="0688023A">
            <w:pPr>
              <w:spacing w:line="263" w:lineRule="auto"/>
              <w:rPr>
                <w:rFonts w:ascii="Arial"/>
                <w:sz w:val="21"/>
              </w:rPr>
            </w:pPr>
          </w:p>
          <w:p w14:paraId="074AEE42">
            <w:pPr>
              <w:spacing w:line="263" w:lineRule="auto"/>
              <w:rPr>
                <w:rFonts w:ascii="Arial"/>
                <w:sz w:val="21"/>
              </w:rPr>
            </w:pPr>
          </w:p>
          <w:p w14:paraId="2A46B721">
            <w:pPr>
              <w:spacing w:line="263" w:lineRule="auto"/>
              <w:rPr>
                <w:rFonts w:ascii="Arial"/>
                <w:sz w:val="21"/>
              </w:rPr>
            </w:pPr>
          </w:p>
          <w:p w14:paraId="33AFD92D">
            <w:pPr>
              <w:spacing w:line="263" w:lineRule="auto"/>
              <w:rPr>
                <w:rFonts w:ascii="Arial"/>
                <w:sz w:val="21"/>
              </w:rPr>
            </w:pPr>
          </w:p>
          <w:p w14:paraId="47AC3407">
            <w:pPr>
              <w:spacing w:line="263" w:lineRule="auto"/>
              <w:rPr>
                <w:rFonts w:ascii="Arial"/>
                <w:sz w:val="21"/>
              </w:rPr>
            </w:pPr>
          </w:p>
          <w:p w14:paraId="55A4CEAA">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33D64988">
            <w:pPr>
              <w:spacing w:line="265" w:lineRule="auto"/>
              <w:rPr>
                <w:rFonts w:ascii="Arial"/>
                <w:sz w:val="21"/>
              </w:rPr>
            </w:pPr>
          </w:p>
          <w:p w14:paraId="6F513A40">
            <w:pPr>
              <w:spacing w:line="265" w:lineRule="auto"/>
              <w:rPr>
                <w:rFonts w:ascii="Arial"/>
                <w:sz w:val="21"/>
              </w:rPr>
            </w:pPr>
          </w:p>
          <w:p w14:paraId="02EE6ACB">
            <w:pPr>
              <w:spacing w:line="265" w:lineRule="auto"/>
              <w:rPr>
                <w:rFonts w:ascii="Arial"/>
                <w:sz w:val="21"/>
              </w:rPr>
            </w:pPr>
          </w:p>
          <w:p w14:paraId="73AF3C4F">
            <w:pPr>
              <w:spacing w:line="266" w:lineRule="auto"/>
              <w:rPr>
                <w:rFonts w:ascii="Arial"/>
                <w:sz w:val="21"/>
              </w:rPr>
            </w:pPr>
          </w:p>
          <w:p w14:paraId="149A9000">
            <w:pPr>
              <w:spacing w:line="266" w:lineRule="auto"/>
              <w:rPr>
                <w:rFonts w:ascii="Arial"/>
                <w:sz w:val="21"/>
              </w:rPr>
            </w:pPr>
          </w:p>
          <w:p w14:paraId="68EF61F4">
            <w:pPr>
              <w:spacing w:line="266" w:lineRule="auto"/>
              <w:rPr>
                <w:rFonts w:ascii="Arial"/>
                <w:sz w:val="21"/>
              </w:rPr>
            </w:pPr>
          </w:p>
          <w:p w14:paraId="311B2CD6">
            <w:pPr>
              <w:spacing w:line="266" w:lineRule="auto"/>
              <w:rPr>
                <w:rFonts w:ascii="Arial"/>
                <w:sz w:val="21"/>
              </w:rPr>
            </w:pPr>
          </w:p>
          <w:p w14:paraId="2F14E3B9">
            <w:pPr>
              <w:spacing w:line="266" w:lineRule="auto"/>
              <w:rPr>
                <w:rFonts w:ascii="Arial"/>
                <w:sz w:val="21"/>
              </w:rPr>
            </w:pPr>
          </w:p>
          <w:p w14:paraId="49A6C202">
            <w:pPr>
              <w:pStyle w:val="8"/>
              <w:spacing w:before="59"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bl>
    <w:p w14:paraId="0BAD2B5C">
      <w:pPr>
        <w:pStyle w:val="2"/>
        <w:spacing w:line="220" w:lineRule="exact"/>
        <w:rPr>
          <w:sz w:val="19"/>
        </w:rPr>
      </w:pPr>
    </w:p>
    <w:p w14:paraId="0C2E67D1">
      <w:pPr>
        <w:spacing w:line="220" w:lineRule="exact"/>
        <w:rPr>
          <w:sz w:val="19"/>
          <w:szCs w:val="19"/>
        </w:rPr>
        <w:sectPr>
          <w:footerReference r:id="rId63" w:type="default"/>
          <w:pgSz w:w="16840" w:h="11910"/>
          <w:pgMar w:top="1012" w:right="940" w:bottom="967" w:left="940" w:header="0" w:footer="768" w:gutter="0"/>
          <w:cols w:space="720" w:num="1"/>
        </w:sectPr>
      </w:pPr>
    </w:p>
    <w:p w14:paraId="0E6C9A6A">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37B80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37307DA0">
            <w:pPr>
              <w:pStyle w:val="8"/>
              <w:spacing w:before="259" w:line="221" w:lineRule="auto"/>
              <w:ind w:left="148"/>
            </w:pPr>
            <w:r>
              <w:rPr>
                <w:b/>
                <w:bCs/>
                <w:spacing w:val="-6"/>
              </w:rPr>
              <w:t>序号</w:t>
            </w:r>
          </w:p>
        </w:tc>
        <w:tc>
          <w:tcPr>
            <w:tcW w:w="1113" w:type="dxa"/>
            <w:vMerge w:val="restart"/>
            <w:tcBorders>
              <w:bottom w:val="nil"/>
            </w:tcBorders>
            <w:vAlign w:val="top"/>
          </w:tcPr>
          <w:p w14:paraId="6EABCF22">
            <w:pPr>
              <w:pStyle w:val="8"/>
              <w:spacing w:before="260" w:line="220" w:lineRule="auto"/>
              <w:ind w:left="201"/>
            </w:pPr>
            <w:r>
              <w:rPr>
                <w:b/>
                <w:bCs/>
                <w:spacing w:val="-5"/>
              </w:rPr>
              <w:t>事项名称</w:t>
            </w:r>
          </w:p>
        </w:tc>
        <w:tc>
          <w:tcPr>
            <w:tcW w:w="1113" w:type="dxa"/>
            <w:vMerge w:val="restart"/>
            <w:tcBorders>
              <w:bottom w:val="nil"/>
            </w:tcBorders>
            <w:vAlign w:val="top"/>
          </w:tcPr>
          <w:p w14:paraId="53EE5435">
            <w:pPr>
              <w:pStyle w:val="8"/>
              <w:spacing w:before="260" w:line="219" w:lineRule="auto"/>
              <w:ind w:left="202"/>
            </w:pPr>
            <w:r>
              <w:rPr>
                <w:b/>
                <w:bCs/>
                <w:spacing w:val="-5"/>
              </w:rPr>
              <w:t>职权类型</w:t>
            </w:r>
          </w:p>
        </w:tc>
        <w:tc>
          <w:tcPr>
            <w:tcW w:w="8631" w:type="dxa"/>
            <w:vMerge w:val="restart"/>
            <w:tcBorders>
              <w:bottom w:val="nil"/>
            </w:tcBorders>
            <w:vAlign w:val="top"/>
          </w:tcPr>
          <w:p w14:paraId="7D8C544E">
            <w:pPr>
              <w:pStyle w:val="8"/>
              <w:spacing w:before="259" w:line="219" w:lineRule="auto"/>
              <w:ind w:left="3970"/>
            </w:pPr>
            <w:r>
              <w:rPr>
                <w:b/>
                <w:bCs/>
                <w:spacing w:val="-6"/>
              </w:rPr>
              <w:t>实施依据</w:t>
            </w:r>
          </w:p>
        </w:tc>
        <w:tc>
          <w:tcPr>
            <w:tcW w:w="3468" w:type="dxa"/>
            <w:gridSpan w:val="3"/>
            <w:vAlign w:val="top"/>
          </w:tcPr>
          <w:p w14:paraId="66BF95D6">
            <w:pPr>
              <w:pStyle w:val="8"/>
              <w:spacing w:before="82" w:line="220" w:lineRule="auto"/>
              <w:ind w:left="1389"/>
            </w:pPr>
            <w:r>
              <w:rPr>
                <w:b/>
                <w:bCs/>
                <w:spacing w:val="-6"/>
              </w:rPr>
              <w:t>实施主体</w:t>
            </w:r>
          </w:p>
        </w:tc>
      </w:tr>
      <w:tr w14:paraId="7FD6C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55B06D71">
            <w:pPr>
              <w:rPr>
                <w:rFonts w:ascii="Arial"/>
                <w:sz w:val="21"/>
              </w:rPr>
            </w:pPr>
          </w:p>
        </w:tc>
        <w:tc>
          <w:tcPr>
            <w:tcW w:w="1113" w:type="dxa"/>
            <w:vMerge w:val="continue"/>
            <w:tcBorders>
              <w:top w:val="nil"/>
            </w:tcBorders>
            <w:vAlign w:val="top"/>
          </w:tcPr>
          <w:p w14:paraId="52F2E5F1">
            <w:pPr>
              <w:rPr>
                <w:rFonts w:ascii="Arial"/>
                <w:sz w:val="21"/>
              </w:rPr>
            </w:pPr>
          </w:p>
        </w:tc>
        <w:tc>
          <w:tcPr>
            <w:tcW w:w="1113" w:type="dxa"/>
            <w:vMerge w:val="continue"/>
            <w:tcBorders>
              <w:top w:val="nil"/>
            </w:tcBorders>
            <w:vAlign w:val="top"/>
          </w:tcPr>
          <w:p w14:paraId="57FF4B64">
            <w:pPr>
              <w:rPr>
                <w:rFonts w:ascii="Arial"/>
                <w:sz w:val="21"/>
              </w:rPr>
            </w:pPr>
          </w:p>
        </w:tc>
        <w:tc>
          <w:tcPr>
            <w:tcW w:w="8631" w:type="dxa"/>
            <w:vMerge w:val="continue"/>
            <w:tcBorders>
              <w:top w:val="nil"/>
            </w:tcBorders>
            <w:vAlign w:val="top"/>
          </w:tcPr>
          <w:p w14:paraId="2C666E3F">
            <w:pPr>
              <w:rPr>
                <w:rFonts w:ascii="Arial"/>
                <w:sz w:val="21"/>
              </w:rPr>
            </w:pPr>
          </w:p>
        </w:tc>
        <w:tc>
          <w:tcPr>
            <w:tcW w:w="1022" w:type="dxa"/>
            <w:vAlign w:val="top"/>
          </w:tcPr>
          <w:p w14:paraId="159004DC">
            <w:pPr>
              <w:pStyle w:val="8"/>
              <w:spacing w:before="84" w:line="219" w:lineRule="auto"/>
              <w:ind w:left="170"/>
            </w:pPr>
            <w:r>
              <w:rPr>
                <w:b/>
                <w:bCs/>
                <w:spacing w:val="-6"/>
              </w:rPr>
              <w:t>责任部门</w:t>
            </w:r>
          </w:p>
        </w:tc>
        <w:tc>
          <w:tcPr>
            <w:tcW w:w="1419" w:type="dxa"/>
            <w:vAlign w:val="top"/>
          </w:tcPr>
          <w:p w14:paraId="133C3C4B">
            <w:pPr>
              <w:pStyle w:val="8"/>
              <w:spacing w:before="84" w:line="219" w:lineRule="auto"/>
              <w:ind w:left="183"/>
            </w:pPr>
            <w:r>
              <w:rPr>
                <w:b/>
                <w:bCs/>
                <w:spacing w:val="-4"/>
              </w:rPr>
              <w:t>第一责任层级</w:t>
            </w:r>
          </w:p>
        </w:tc>
        <w:tc>
          <w:tcPr>
            <w:tcW w:w="1027" w:type="dxa"/>
            <w:vAlign w:val="top"/>
          </w:tcPr>
          <w:p w14:paraId="4B536E78">
            <w:pPr>
              <w:pStyle w:val="8"/>
              <w:spacing w:before="83" w:line="219" w:lineRule="auto"/>
              <w:ind w:left="161"/>
            </w:pPr>
            <w:r>
              <w:rPr>
                <w:b/>
                <w:bCs/>
                <w:spacing w:val="-5"/>
              </w:rPr>
              <w:t>承办机构</w:t>
            </w:r>
          </w:p>
        </w:tc>
      </w:tr>
      <w:tr w14:paraId="6B2C6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3" w:hRule="atLeast"/>
        </w:trPr>
        <w:tc>
          <w:tcPr>
            <w:tcW w:w="629" w:type="dxa"/>
            <w:vAlign w:val="top"/>
          </w:tcPr>
          <w:p w14:paraId="46D86C14">
            <w:pPr>
              <w:rPr>
                <w:rFonts w:ascii="Arial"/>
                <w:sz w:val="21"/>
              </w:rPr>
            </w:pPr>
          </w:p>
        </w:tc>
        <w:tc>
          <w:tcPr>
            <w:tcW w:w="1113" w:type="dxa"/>
            <w:vAlign w:val="top"/>
          </w:tcPr>
          <w:p w14:paraId="35EDB7A9">
            <w:pPr>
              <w:rPr>
                <w:rFonts w:ascii="Arial"/>
                <w:sz w:val="21"/>
              </w:rPr>
            </w:pPr>
          </w:p>
        </w:tc>
        <w:tc>
          <w:tcPr>
            <w:tcW w:w="1113" w:type="dxa"/>
            <w:vAlign w:val="top"/>
          </w:tcPr>
          <w:p w14:paraId="59631457">
            <w:pPr>
              <w:rPr>
                <w:rFonts w:ascii="Arial"/>
                <w:sz w:val="21"/>
              </w:rPr>
            </w:pPr>
          </w:p>
        </w:tc>
        <w:tc>
          <w:tcPr>
            <w:tcW w:w="8631" w:type="dxa"/>
            <w:vAlign w:val="top"/>
          </w:tcPr>
          <w:p w14:paraId="4F258A72">
            <w:pPr>
              <w:pStyle w:val="8"/>
              <w:spacing w:before="32" w:line="227" w:lineRule="auto"/>
              <w:ind w:left="117" w:right="109" w:firstLine="349"/>
            </w:pPr>
            <w:r>
              <w:rPr>
                <w:spacing w:val="-1"/>
              </w:rPr>
              <w:t>第三十三条  违反本办法第二十条规定，在公路上擅自超限运输的，由公路管理机构责令</w:t>
            </w:r>
            <w:r>
              <w:rPr>
                <w:spacing w:val="-2"/>
              </w:rPr>
              <w:t>承运人停止违</w:t>
            </w:r>
            <w:r>
              <w:t xml:space="preserve"> </w:t>
            </w:r>
            <w:r>
              <w:rPr>
                <w:spacing w:val="-3"/>
              </w:rPr>
              <w:t>法行为，并依照《公路法》第七十六条的规定处理。</w:t>
            </w:r>
          </w:p>
          <w:p w14:paraId="15314CD6">
            <w:pPr>
              <w:pStyle w:val="8"/>
              <w:spacing w:before="17" w:line="219" w:lineRule="auto"/>
              <w:ind w:left="466"/>
            </w:pPr>
            <w:r>
              <w:rPr>
                <w:spacing w:val="-2"/>
              </w:rPr>
              <w:t>对公路造成损害的，还应当按照公路赔偿标准予</w:t>
            </w:r>
            <w:r>
              <w:rPr>
                <w:spacing w:val="-3"/>
              </w:rPr>
              <w:t>以赔偿。</w:t>
            </w:r>
          </w:p>
          <w:p w14:paraId="62F2B1B5">
            <w:pPr>
              <w:pStyle w:val="8"/>
              <w:spacing w:before="13" w:line="219" w:lineRule="auto"/>
              <w:ind w:left="466"/>
            </w:pPr>
            <w:r>
              <w:rPr>
                <w:b/>
                <w:bCs/>
                <w:spacing w:val="-3"/>
              </w:rPr>
              <w:t>4.《超限运输车辆行驶公路管理规定》（交通运输</w:t>
            </w:r>
            <w:r>
              <w:rPr>
                <w:b/>
                <w:bCs/>
                <w:spacing w:val="-4"/>
              </w:rPr>
              <w:t>部令2021年第12号）</w:t>
            </w:r>
          </w:p>
          <w:p w14:paraId="47D0A039">
            <w:pPr>
              <w:pStyle w:val="8"/>
              <w:spacing w:before="17" w:line="233" w:lineRule="auto"/>
              <w:ind w:left="116" w:right="107" w:firstLine="350"/>
            </w:pPr>
            <w:r>
              <w:rPr>
                <w:spacing w:val="-1"/>
              </w:rPr>
              <w:t>第三条第一款第（四</w:t>
            </w:r>
            <w:r>
              <w:rPr>
                <w:spacing w:val="-2"/>
              </w:rPr>
              <w:t>）（</w:t>
            </w:r>
            <w:r>
              <w:rPr>
                <w:spacing w:val="-1"/>
              </w:rPr>
              <w:t>五</w:t>
            </w:r>
            <w:r>
              <w:rPr>
                <w:spacing w:val="-2"/>
              </w:rPr>
              <w:t>）（</w:t>
            </w:r>
            <w:r>
              <w:rPr>
                <w:spacing w:val="-1"/>
              </w:rPr>
              <w:t>六</w:t>
            </w:r>
            <w:r>
              <w:rPr>
                <w:spacing w:val="-2"/>
              </w:rPr>
              <w:t>）（</w:t>
            </w:r>
            <w:r>
              <w:rPr>
                <w:spacing w:val="-1"/>
              </w:rPr>
              <w:t>七</w:t>
            </w:r>
            <w:r>
              <w:rPr>
                <w:spacing w:val="-2"/>
              </w:rPr>
              <w:t>）（</w:t>
            </w:r>
            <w:r>
              <w:rPr>
                <w:spacing w:val="-1"/>
              </w:rPr>
              <w:t>八）项  本规定所称超限运输车辆，是指有下列情形之一</w:t>
            </w:r>
            <w:r>
              <w:rPr>
                <w:spacing w:val="2"/>
              </w:rPr>
              <w:t xml:space="preserve"> </w:t>
            </w:r>
            <w:r>
              <w:rPr>
                <w:spacing w:val="6"/>
              </w:rPr>
              <w:t>的货物运输车辆</w:t>
            </w:r>
            <w:r>
              <w:rPr>
                <w:spacing w:val="-7"/>
              </w:rPr>
              <w:t>：（</w:t>
            </w:r>
            <w:r>
              <w:rPr>
                <w:spacing w:val="6"/>
              </w:rPr>
              <w:t>四）二轴货车，其车货总质</w:t>
            </w:r>
            <w:r>
              <w:rPr>
                <w:spacing w:val="5"/>
              </w:rPr>
              <w:t>量超过18000千克</w:t>
            </w:r>
            <w:r>
              <w:rPr>
                <w:spacing w:val="-7"/>
              </w:rPr>
              <w:t>；（</w:t>
            </w:r>
            <w:r>
              <w:rPr>
                <w:spacing w:val="5"/>
              </w:rPr>
              <w:t>五）三轴货车，其车货总质量超过</w:t>
            </w:r>
            <w:r>
              <w:t xml:space="preserve"> </w:t>
            </w:r>
            <w:r>
              <w:rPr>
                <w:spacing w:val="5"/>
              </w:rPr>
              <w:t>25000千克；三轴汽车列车，其车货总</w:t>
            </w:r>
            <w:r>
              <w:rPr>
                <w:spacing w:val="4"/>
              </w:rPr>
              <w:t>质量超过27000千克</w:t>
            </w:r>
            <w:r>
              <w:rPr>
                <w:spacing w:val="-7"/>
              </w:rPr>
              <w:t>；（</w:t>
            </w:r>
            <w:r>
              <w:rPr>
                <w:spacing w:val="4"/>
              </w:rPr>
              <w:t>六）四轴货车，其车货总质量超过31000千</w:t>
            </w:r>
            <w:r>
              <w:t xml:space="preserve"> </w:t>
            </w:r>
            <w:r>
              <w:rPr>
                <w:spacing w:val="3"/>
              </w:rPr>
              <w:t>克；四轴汽车列车，其车货总质量超过36000千克</w:t>
            </w:r>
            <w:r>
              <w:rPr>
                <w:spacing w:val="-10"/>
              </w:rPr>
              <w:t>；（</w:t>
            </w:r>
            <w:r>
              <w:rPr>
                <w:spacing w:val="3"/>
              </w:rPr>
              <w:t>七）五轴汽车列车，其车货总</w:t>
            </w:r>
            <w:r>
              <w:rPr>
                <w:spacing w:val="2"/>
              </w:rPr>
              <w:t>质量超过43000千克；</w:t>
            </w:r>
            <w:r>
              <w:rPr>
                <w:spacing w:val="1"/>
              </w:rPr>
              <w:t xml:space="preserve"> （八）六轴及六轴以上汽车列车，其车货总质量超过49000千克，</w:t>
            </w:r>
            <w:r>
              <w:t xml:space="preserve">其中牵引车驱动轴为单轴的，其车货总质 </w:t>
            </w:r>
            <w:r>
              <w:rPr>
                <w:spacing w:val="-3"/>
              </w:rPr>
              <w:t>量超过46000千克。</w:t>
            </w:r>
          </w:p>
          <w:p w14:paraId="7CA1A7D9">
            <w:pPr>
              <w:pStyle w:val="8"/>
              <w:spacing w:before="17" w:line="233" w:lineRule="auto"/>
              <w:ind w:left="115" w:right="107" w:firstLine="351"/>
            </w:pPr>
            <w:r>
              <w:t>第二款  前款规定的限定标准的认定，还应当</w:t>
            </w:r>
            <w:r>
              <w:rPr>
                <w:spacing w:val="-1"/>
              </w:rPr>
              <w:t>遵守下列要求</w:t>
            </w:r>
            <w:r>
              <w:rPr>
                <w:spacing w:val="-15"/>
              </w:rPr>
              <w:t>：（</w:t>
            </w:r>
            <w:r>
              <w:rPr>
                <w:spacing w:val="-1"/>
              </w:rPr>
              <w:t>一）二轴组按照二个轴计算，三轴组按</w:t>
            </w:r>
            <w:r>
              <w:rPr>
                <w:spacing w:val="1"/>
              </w:rPr>
              <w:t xml:space="preserve"> </w:t>
            </w:r>
            <w:r>
              <w:rPr>
                <w:spacing w:val="-1"/>
              </w:rPr>
              <w:t>照三个轴计算</w:t>
            </w:r>
            <w:r>
              <w:rPr>
                <w:spacing w:val="-14"/>
              </w:rPr>
              <w:t>；（</w:t>
            </w:r>
            <w:r>
              <w:rPr>
                <w:spacing w:val="-1"/>
              </w:rPr>
              <w:t>二）</w:t>
            </w:r>
            <w:r>
              <w:rPr>
                <w:spacing w:val="-51"/>
              </w:rPr>
              <w:t xml:space="preserve"> </w:t>
            </w:r>
            <w:r>
              <w:rPr>
                <w:spacing w:val="-1"/>
              </w:rPr>
              <w:t>除驱动轴外，二轴组、三轴组</w:t>
            </w:r>
            <w:r>
              <w:rPr>
                <w:spacing w:val="-2"/>
              </w:rPr>
              <w:t>以及半挂车和全挂车的车轴每侧轮胎按照双轮胎计算，</w:t>
            </w:r>
            <w:r>
              <w:t xml:space="preserve"> </w:t>
            </w:r>
            <w:r>
              <w:rPr>
                <w:spacing w:val="-1"/>
              </w:rPr>
              <w:t>若每轴每侧轮胎为单轮胎，限定标准减少3000千克，但安装符合国家有关标准的加宽轮胎的除外</w:t>
            </w:r>
            <w:r>
              <w:rPr>
                <w:spacing w:val="-7"/>
              </w:rPr>
              <w:t>；（</w:t>
            </w:r>
            <w:r>
              <w:rPr>
                <w:spacing w:val="-1"/>
              </w:rPr>
              <w:t>三）车</w:t>
            </w:r>
            <w:r>
              <w:t xml:space="preserve"> </w:t>
            </w:r>
            <w:r>
              <w:rPr>
                <w:spacing w:val="-1"/>
              </w:rPr>
              <w:t>辆最大允许总质量不应超过各车轴最大允许轴荷之和</w:t>
            </w:r>
            <w:r>
              <w:rPr>
                <w:spacing w:val="-6"/>
              </w:rPr>
              <w:t>；（</w:t>
            </w:r>
            <w:r>
              <w:rPr>
                <w:spacing w:val="-1"/>
              </w:rPr>
              <w:t>四）拖拉机、农用车、低速货车，以行驶证核</w:t>
            </w:r>
            <w:r>
              <w:rPr>
                <w:spacing w:val="-2"/>
              </w:rPr>
              <w:t>定的</w:t>
            </w:r>
            <w:r>
              <w:rPr>
                <w:spacing w:val="1"/>
              </w:rPr>
              <w:t xml:space="preserve"> </w:t>
            </w:r>
            <w:r>
              <w:rPr>
                <w:spacing w:val="-1"/>
              </w:rPr>
              <w:t>总质量为限定标准</w:t>
            </w:r>
            <w:r>
              <w:rPr>
                <w:spacing w:val="-7"/>
              </w:rPr>
              <w:t>；（</w:t>
            </w:r>
            <w:r>
              <w:rPr>
                <w:spacing w:val="-1"/>
              </w:rPr>
              <w:t>五）符合《汽车、挂车及汽车列车外廓尺寸、轴荷及质量限值》（GB1589）规定的冷</w:t>
            </w:r>
            <w:r>
              <w:rPr>
                <w:spacing w:val="1"/>
              </w:rPr>
              <w:t xml:space="preserve"> </w:t>
            </w:r>
            <w:r>
              <w:rPr>
                <w:spacing w:val="-2"/>
              </w:rPr>
              <w:t>藏车、汽车列车、安装空气悬架的车辆，以及专用作业车，不认定为超限运</w:t>
            </w:r>
            <w:r>
              <w:rPr>
                <w:spacing w:val="-3"/>
              </w:rPr>
              <w:t>输车辆。</w:t>
            </w:r>
          </w:p>
          <w:p w14:paraId="5A53D84B">
            <w:pPr>
              <w:pStyle w:val="8"/>
              <w:spacing w:before="15" w:line="233" w:lineRule="auto"/>
              <w:ind w:left="117" w:right="105" w:firstLine="348"/>
            </w:pPr>
            <w:r>
              <w:rPr>
                <w:spacing w:val="-1"/>
              </w:rPr>
              <w:t>第四十三条  车辆违法超限运输的，由公路管理机构根据违法行为的性质、情节和危害程</w:t>
            </w:r>
            <w:r>
              <w:rPr>
                <w:spacing w:val="-2"/>
              </w:rPr>
              <w:t>度，按下列规</w:t>
            </w:r>
            <w:r>
              <w:t xml:space="preserve"> </w:t>
            </w:r>
            <w:r>
              <w:rPr>
                <w:spacing w:val="-1"/>
              </w:rPr>
              <w:t>定给予处罚</w:t>
            </w:r>
            <w:r>
              <w:rPr>
                <w:spacing w:val="-6"/>
              </w:rPr>
              <w:t>：（</w:t>
            </w:r>
            <w:r>
              <w:rPr>
                <w:spacing w:val="-1"/>
              </w:rPr>
              <w:t>一）车货总高度从地面算起未超过4.2米、总宽度未超过3米且总长度未超过20米的，可以处</w:t>
            </w:r>
            <w:r>
              <w:t xml:space="preserve"> </w:t>
            </w:r>
            <w:r>
              <w:rPr>
                <w:spacing w:val="-1"/>
              </w:rPr>
              <w:t>200 元以下罚款；车货总高度从地面算起未超过4.5米、总宽度未超过3.75米且总长度未超过28米的，</w:t>
            </w:r>
            <w:r>
              <w:rPr>
                <w:spacing w:val="-2"/>
              </w:rPr>
              <w:t>处200</w:t>
            </w:r>
            <w:r>
              <w:t xml:space="preserve"> </w:t>
            </w:r>
            <w:r>
              <w:rPr>
                <w:spacing w:val="1"/>
              </w:rPr>
              <w:t>元以上1000元以下罚款；车货总高度从地面算起超过4.5米、</w:t>
            </w:r>
            <w:r>
              <w:t xml:space="preserve">总宽度超过3.75米或者总长度超过28米的，处 </w:t>
            </w:r>
            <w:r>
              <w:rPr>
                <w:spacing w:val="3"/>
              </w:rPr>
              <w:t>1000元以上3000元以下的罚款</w:t>
            </w:r>
            <w:r>
              <w:rPr>
                <w:spacing w:val="-10"/>
              </w:rPr>
              <w:t>；（</w:t>
            </w:r>
            <w:r>
              <w:rPr>
                <w:spacing w:val="3"/>
              </w:rPr>
              <w:t>二）车货总质量超过本规定第三条第一款第四项至第</w:t>
            </w:r>
            <w:r>
              <w:rPr>
                <w:spacing w:val="2"/>
              </w:rPr>
              <w:t>八项规定的限定标</w:t>
            </w:r>
            <w:r>
              <w:rPr>
                <w:spacing w:val="1"/>
              </w:rPr>
              <w:t xml:space="preserve"> </w:t>
            </w:r>
            <w:r>
              <w:rPr>
                <w:spacing w:val="-2"/>
              </w:rPr>
              <w:t>准，但未超过1000千克的，予以警告；超过1000千克的，每超1000千克罚款500元，最高不得超过3</w:t>
            </w:r>
            <w:r>
              <w:rPr>
                <w:spacing w:val="-3"/>
              </w:rPr>
              <w:t>0000元。</w:t>
            </w:r>
          </w:p>
          <w:p w14:paraId="4CCAC92C">
            <w:pPr>
              <w:pStyle w:val="8"/>
              <w:spacing w:before="19" w:line="228" w:lineRule="auto"/>
              <w:ind w:left="117" w:right="105" w:firstLine="349"/>
            </w:pPr>
            <w:r>
              <w:rPr>
                <w:spacing w:val="1"/>
              </w:rPr>
              <w:t>有前款所列多项违法行为的，相应违法行为的罚款数额应当累计，但累计罚款数额最高不得超</w:t>
            </w:r>
            <w:r>
              <w:t xml:space="preserve">过30000 </w:t>
            </w:r>
            <w:r>
              <w:rPr>
                <w:spacing w:val="-5"/>
              </w:rPr>
              <w:t>元。</w:t>
            </w:r>
          </w:p>
          <w:p w14:paraId="66A1E278">
            <w:pPr>
              <w:pStyle w:val="8"/>
              <w:spacing w:before="17" w:line="230" w:lineRule="auto"/>
              <w:ind w:left="126" w:right="107" w:firstLine="340"/>
            </w:pPr>
            <w:r>
              <w:rPr>
                <w:spacing w:val="-1"/>
              </w:rPr>
              <w:t>第四十七条  大件运输车辆有下列情形之一的，视为违法超限运输</w:t>
            </w:r>
            <w:r>
              <w:rPr>
                <w:spacing w:val="-3"/>
              </w:rPr>
              <w:t>：（</w:t>
            </w:r>
            <w:r>
              <w:rPr>
                <w:spacing w:val="-1"/>
              </w:rPr>
              <w:t>一）未经许可擅自行驶公路的；</w:t>
            </w:r>
            <w:r>
              <w:t xml:space="preserve"> </w:t>
            </w:r>
            <w:r>
              <w:rPr>
                <w:spacing w:val="3"/>
              </w:rPr>
              <w:t>（二）车辆及装载物品的有关情况与《超限运输车辆通行证》记载的内容不一致的</w:t>
            </w:r>
            <w:r>
              <w:rPr>
                <w:spacing w:val="-10"/>
              </w:rPr>
              <w:t>；（</w:t>
            </w:r>
            <w:r>
              <w:rPr>
                <w:spacing w:val="3"/>
              </w:rPr>
              <w:t>三）未按许可</w:t>
            </w:r>
            <w:r>
              <w:rPr>
                <w:spacing w:val="2"/>
              </w:rPr>
              <w:t>的时</w:t>
            </w:r>
            <w:r>
              <w:rPr>
                <w:spacing w:val="1"/>
              </w:rPr>
              <w:t xml:space="preserve"> </w:t>
            </w:r>
            <w:r>
              <w:rPr>
                <w:spacing w:val="-2"/>
              </w:rPr>
              <w:t>间、路线、速度行驶公路的</w:t>
            </w:r>
            <w:r>
              <w:rPr>
                <w:spacing w:val="-10"/>
              </w:rPr>
              <w:t>；（</w:t>
            </w:r>
            <w:r>
              <w:rPr>
                <w:spacing w:val="-2"/>
              </w:rPr>
              <w:t>四）未按许可的护送方案采取护送措施的。</w:t>
            </w:r>
          </w:p>
          <w:p w14:paraId="236E2AD6">
            <w:pPr>
              <w:pStyle w:val="8"/>
              <w:spacing w:before="14" w:line="219" w:lineRule="auto"/>
              <w:ind w:left="470"/>
            </w:pPr>
            <w:r>
              <w:rPr>
                <w:b/>
                <w:bCs/>
                <w:spacing w:val="-4"/>
              </w:rPr>
              <w:t>5.《湖南省治理货物运输车辆超限超载条例》</w:t>
            </w:r>
          </w:p>
          <w:p w14:paraId="541394BC">
            <w:pPr>
              <w:pStyle w:val="8"/>
              <w:spacing w:before="16" w:line="231" w:lineRule="auto"/>
              <w:ind w:left="115" w:right="107" w:firstLine="351"/>
              <w:jc w:val="both"/>
            </w:pPr>
            <w:r>
              <w:rPr>
                <w:spacing w:val="-1"/>
              </w:rPr>
              <w:t>第五条第一款  县级以上人民政府交通运输主管部门和公安机关按照职责负责本行政区域内货运</w:t>
            </w:r>
            <w:r>
              <w:rPr>
                <w:spacing w:val="-2"/>
              </w:rPr>
              <w:t>车辆超</w:t>
            </w:r>
            <w:r>
              <w:t xml:space="preserve"> </w:t>
            </w:r>
            <w:r>
              <w:rPr>
                <w:spacing w:val="-1"/>
              </w:rPr>
              <w:t>限超载治理工作，交通运输主管部门所属的交通运输综合行政执法机构和公安机关</w:t>
            </w:r>
            <w:r>
              <w:rPr>
                <w:spacing w:val="-2"/>
              </w:rPr>
              <w:t>交通管理部门具体履行治</w:t>
            </w:r>
            <w:r>
              <w:t xml:space="preserve"> </w:t>
            </w:r>
            <w:r>
              <w:rPr>
                <w:spacing w:val="-3"/>
              </w:rPr>
              <w:t>超行政执法职责。</w:t>
            </w:r>
          </w:p>
          <w:p w14:paraId="7CE3E573">
            <w:pPr>
              <w:pStyle w:val="8"/>
              <w:spacing w:before="16" w:line="219" w:lineRule="auto"/>
              <w:ind w:left="466"/>
            </w:pPr>
            <w:r>
              <w:rPr>
                <w:spacing w:val="-2"/>
              </w:rPr>
              <w:t>第十七条第一款  禁止货运车辆超限超载运输，但获得许可载运不可解体物品的超限运输车辆</w:t>
            </w:r>
            <w:r>
              <w:rPr>
                <w:spacing w:val="-3"/>
              </w:rPr>
              <w:t>除外。</w:t>
            </w:r>
          </w:p>
          <w:p w14:paraId="58A1D23B">
            <w:pPr>
              <w:pStyle w:val="8"/>
              <w:spacing w:before="17" w:line="228" w:lineRule="auto"/>
              <w:ind w:left="116" w:right="107" w:firstLine="350"/>
            </w:pPr>
            <w:r>
              <w:rPr>
                <w:spacing w:val="-1"/>
              </w:rPr>
              <w:t>第三十一条  违反本条例第十七条第一款规定，货运车辆超限运输的，由县级以上人民政</w:t>
            </w:r>
            <w:r>
              <w:rPr>
                <w:spacing w:val="-2"/>
              </w:rPr>
              <w:t>府交通运输主</w:t>
            </w:r>
            <w:r>
              <w:t xml:space="preserve"> </w:t>
            </w:r>
            <w:r>
              <w:rPr>
                <w:spacing w:val="3"/>
              </w:rPr>
              <w:t>管部门按照下列规定处理</w:t>
            </w:r>
            <w:r>
              <w:rPr>
                <w:spacing w:val="-6"/>
              </w:rPr>
              <w:t>：（</w:t>
            </w:r>
            <w:r>
              <w:rPr>
                <w:spacing w:val="3"/>
              </w:rPr>
              <w:t>一）车货总质量未超过最高限值百分之十的，给予批评教育，可以不给予罚</w:t>
            </w:r>
            <w:r>
              <w:rPr>
                <w:spacing w:val="1"/>
              </w:rPr>
              <w:t xml:space="preserve"> </w:t>
            </w:r>
            <w:r>
              <w:rPr>
                <w:spacing w:val="-1"/>
              </w:rPr>
              <w:t>款</w:t>
            </w:r>
            <w:r>
              <w:rPr>
                <w:spacing w:val="-5"/>
              </w:rPr>
              <w:t>；（</w:t>
            </w:r>
            <w:r>
              <w:rPr>
                <w:spacing w:val="-1"/>
              </w:rPr>
              <w:t>二）车货总质量超过最高限值百分之十以上百分之五十以下的，对超过车货总质量最高限值</w:t>
            </w:r>
            <w:r>
              <w:rPr>
                <w:spacing w:val="-2"/>
              </w:rPr>
              <w:t>部分，处</w:t>
            </w:r>
            <w:r>
              <w:t xml:space="preserve"> </w:t>
            </w:r>
            <w:r>
              <w:rPr>
                <w:spacing w:val="-1"/>
              </w:rPr>
              <w:t>每吨三百元罚款</w:t>
            </w:r>
            <w:r>
              <w:rPr>
                <w:spacing w:val="-3"/>
              </w:rPr>
              <w:t>；（</w:t>
            </w:r>
            <w:r>
              <w:rPr>
                <w:spacing w:val="-1"/>
              </w:rPr>
              <w:t>三）车货总质量超过最高限值百分之五十的，对超过车货总质量最高</w:t>
            </w:r>
            <w:r>
              <w:rPr>
                <w:spacing w:val="-2"/>
              </w:rPr>
              <w:t>限值部分，处每吨</w:t>
            </w:r>
            <w:r>
              <w:t xml:space="preserve"> </w:t>
            </w:r>
            <w:r>
              <w:rPr>
                <w:spacing w:val="-3"/>
              </w:rPr>
              <w:t>五百元罚款，但最高不得超过三万元。</w:t>
            </w:r>
          </w:p>
        </w:tc>
        <w:tc>
          <w:tcPr>
            <w:tcW w:w="1022" w:type="dxa"/>
            <w:vAlign w:val="top"/>
          </w:tcPr>
          <w:p w14:paraId="605F9E46">
            <w:pPr>
              <w:rPr>
                <w:rFonts w:ascii="Arial"/>
                <w:sz w:val="21"/>
              </w:rPr>
            </w:pPr>
          </w:p>
        </w:tc>
        <w:tc>
          <w:tcPr>
            <w:tcW w:w="1419" w:type="dxa"/>
            <w:vAlign w:val="top"/>
          </w:tcPr>
          <w:p w14:paraId="79E7DC73">
            <w:pPr>
              <w:rPr>
                <w:rFonts w:ascii="Arial"/>
                <w:sz w:val="21"/>
              </w:rPr>
            </w:pPr>
          </w:p>
        </w:tc>
        <w:tc>
          <w:tcPr>
            <w:tcW w:w="1027" w:type="dxa"/>
            <w:vAlign w:val="top"/>
          </w:tcPr>
          <w:p w14:paraId="567F04E8">
            <w:pPr>
              <w:rPr>
                <w:rFonts w:ascii="Arial"/>
                <w:sz w:val="21"/>
              </w:rPr>
            </w:pPr>
          </w:p>
        </w:tc>
      </w:tr>
    </w:tbl>
    <w:p w14:paraId="7A87DC2A">
      <w:pPr>
        <w:pStyle w:val="2"/>
      </w:pPr>
    </w:p>
    <w:p w14:paraId="65835324">
      <w:pPr>
        <w:sectPr>
          <w:footerReference r:id="rId64" w:type="default"/>
          <w:pgSz w:w="16840" w:h="11910"/>
          <w:pgMar w:top="1012" w:right="940" w:bottom="966" w:left="940" w:header="0" w:footer="768" w:gutter="0"/>
          <w:cols w:space="720" w:num="1"/>
        </w:sectPr>
      </w:pPr>
    </w:p>
    <w:p w14:paraId="2D95BA62">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02C04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06CFFE2E">
            <w:pPr>
              <w:pStyle w:val="8"/>
              <w:spacing w:before="259" w:line="221" w:lineRule="auto"/>
              <w:ind w:left="148"/>
            </w:pPr>
            <w:r>
              <w:rPr>
                <w:b/>
                <w:bCs/>
                <w:spacing w:val="-6"/>
              </w:rPr>
              <w:t>序号</w:t>
            </w:r>
          </w:p>
        </w:tc>
        <w:tc>
          <w:tcPr>
            <w:tcW w:w="1113" w:type="dxa"/>
            <w:vMerge w:val="restart"/>
            <w:tcBorders>
              <w:bottom w:val="nil"/>
            </w:tcBorders>
            <w:vAlign w:val="top"/>
          </w:tcPr>
          <w:p w14:paraId="21B3C1FC">
            <w:pPr>
              <w:pStyle w:val="8"/>
              <w:spacing w:before="260" w:line="220" w:lineRule="auto"/>
              <w:ind w:left="201"/>
            </w:pPr>
            <w:r>
              <w:rPr>
                <w:b/>
                <w:bCs/>
                <w:spacing w:val="-5"/>
              </w:rPr>
              <w:t>事项名称</w:t>
            </w:r>
          </w:p>
        </w:tc>
        <w:tc>
          <w:tcPr>
            <w:tcW w:w="1113" w:type="dxa"/>
            <w:vMerge w:val="restart"/>
            <w:tcBorders>
              <w:bottom w:val="nil"/>
            </w:tcBorders>
            <w:vAlign w:val="top"/>
          </w:tcPr>
          <w:p w14:paraId="73BCB234">
            <w:pPr>
              <w:pStyle w:val="8"/>
              <w:spacing w:before="260" w:line="219" w:lineRule="auto"/>
              <w:ind w:left="202"/>
            </w:pPr>
            <w:r>
              <w:rPr>
                <w:b/>
                <w:bCs/>
                <w:spacing w:val="-5"/>
              </w:rPr>
              <w:t>职权类型</w:t>
            </w:r>
          </w:p>
        </w:tc>
        <w:tc>
          <w:tcPr>
            <w:tcW w:w="8631" w:type="dxa"/>
            <w:vMerge w:val="restart"/>
            <w:tcBorders>
              <w:bottom w:val="nil"/>
            </w:tcBorders>
            <w:vAlign w:val="top"/>
          </w:tcPr>
          <w:p w14:paraId="6B61F342">
            <w:pPr>
              <w:pStyle w:val="8"/>
              <w:spacing w:before="259" w:line="219" w:lineRule="auto"/>
              <w:ind w:left="3970"/>
            </w:pPr>
            <w:r>
              <w:rPr>
                <w:b/>
                <w:bCs/>
                <w:spacing w:val="-6"/>
              </w:rPr>
              <w:t>实施依据</w:t>
            </w:r>
          </w:p>
        </w:tc>
        <w:tc>
          <w:tcPr>
            <w:tcW w:w="3468" w:type="dxa"/>
            <w:gridSpan w:val="3"/>
            <w:vAlign w:val="top"/>
          </w:tcPr>
          <w:p w14:paraId="7900098E">
            <w:pPr>
              <w:pStyle w:val="8"/>
              <w:spacing w:before="82" w:line="220" w:lineRule="auto"/>
              <w:ind w:left="1389"/>
            </w:pPr>
            <w:r>
              <w:rPr>
                <w:b/>
                <w:bCs/>
                <w:spacing w:val="-6"/>
              </w:rPr>
              <w:t>实施主体</w:t>
            </w:r>
          </w:p>
        </w:tc>
      </w:tr>
      <w:tr w14:paraId="2EC12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2892CCF5">
            <w:pPr>
              <w:rPr>
                <w:rFonts w:ascii="Arial"/>
                <w:sz w:val="21"/>
              </w:rPr>
            </w:pPr>
          </w:p>
        </w:tc>
        <w:tc>
          <w:tcPr>
            <w:tcW w:w="1113" w:type="dxa"/>
            <w:vMerge w:val="continue"/>
            <w:tcBorders>
              <w:top w:val="nil"/>
            </w:tcBorders>
            <w:vAlign w:val="top"/>
          </w:tcPr>
          <w:p w14:paraId="40D76C3C">
            <w:pPr>
              <w:rPr>
                <w:rFonts w:ascii="Arial"/>
                <w:sz w:val="21"/>
              </w:rPr>
            </w:pPr>
          </w:p>
        </w:tc>
        <w:tc>
          <w:tcPr>
            <w:tcW w:w="1113" w:type="dxa"/>
            <w:vMerge w:val="continue"/>
            <w:tcBorders>
              <w:top w:val="nil"/>
            </w:tcBorders>
            <w:vAlign w:val="top"/>
          </w:tcPr>
          <w:p w14:paraId="5063B52A">
            <w:pPr>
              <w:rPr>
                <w:rFonts w:ascii="Arial"/>
                <w:sz w:val="21"/>
              </w:rPr>
            </w:pPr>
          </w:p>
        </w:tc>
        <w:tc>
          <w:tcPr>
            <w:tcW w:w="8631" w:type="dxa"/>
            <w:vMerge w:val="continue"/>
            <w:tcBorders>
              <w:top w:val="nil"/>
            </w:tcBorders>
            <w:vAlign w:val="top"/>
          </w:tcPr>
          <w:p w14:paraId="36E9B6B0">
            <w:pPr>
              <w:rPr>
                <w:rFonts w:ascii="Arial"/>
                <w:sz w:val="21"/>
              </w:rPr>
            </w:pPr>
          </w:p>
        </w:tc>
        <w:tc>
          <w:tcPr>
            <w:tcW w:w="1022" w:type="dxa"/>
            <w:vAlign w:val="top"/>
          </w:tcPr>
          <w:p w14:paraId="75EB5554">
            <w:pPr>
              <w:pStyle w:val="8"/>
              <w:spacing w:before="84" w:line="219" w:lineRule="auto"/>
              <w:ind w:left="170"/>
            </w:pPr>
            <w:r>
              <w:rPr>
                <w:b/>
                <w:bCs/>
                <w:spacing w:val="-6"/>
              </w:rPr>
              <w:t>责任部门</w:t>
            </w:r>
          </w:p>
        </w:tc>
        <w:tc>
          <w:tcPr>
            <w:tcW w:w="1419" w:type="dxa"/>
            <w:vAlign w:val="top"/>
          </w:tcPr>
          <w:p w14:paraId="305941DF">
            <w:pPr>
              <w:pStyle w:val="8"/>
              <w:spacing w:before="84" w:line="219" w:lineRule="auto"/>
              <w:ind w:left="183"/>
            </w:pPr>
            <w:r>
              <w:rPr>
                <w:b/>
                <w:bCs/>
                <w:spacing w:val="-4"/>
              </w:rPr>
              <w:t>第一责任层级</w:t>
            </w:r>
          </w:p>
        </w:tc>
        <w:tc>
          <w:tcPr>
            <w:tcW w:w="1027" w:type="dxa"/>
            <w:vAlign w:val="top"/>
          </w:tcPr>
          <w:p w14:paraId="449A362B">
            <w:pPr>
              <w:pStyle w:val="8"/>
              <w:spacing w:before="83" w:line="219" w:lineRule="auto"/>
              <w:ind w:left="161"/>
            </w:pPr>
            <w:r>
              <w:rPr>
                <w:b/>
                <w:bCs/>
                <w:spacing w:val="-5"/>
              </w:rPr>
              <w:t>承办机构</w:t>
            </w:r>
          </w:p>
        </w:tc>
      </w:tr>
      <w:tr w14:paraId="35212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0" w:hRule="atLeast"/>
        </w:trPr>
        <w:tc>
          <w:tcPr>
            <w:tcW w:w="629" w:type="dxa"/>
            <w:vAlign w:val="top"/>
          </w:tcPr>
          <w:p w14:paraId="5F373960">
            <w:pPr>
              <w:spacing w:line="254" w:lineRule="auto"/>
              <w:rPr>
                <w:rFonts w:ascii="Arial"/>
                <w:sz w:val="21"/>
              </w:rPr>
            </w:pPr>
          </w:p>
          <w:p w14:paraId="7CD79507">
            <w:pPr>
              <w:spacing w:line="254" w:lineRule="auto"/>
              <w:rPr>
                <w:rFonts w:ascii="Arial"/>
                <w:sz w:val="21"/>
              </w:rPr>
            </w:pPr>
          </w:p>
          <w:p w14:paraId="2CF93D2C">
            <w:pPr>
              <w:spacing w:line="254" w:lineRule="auto"/>
              <w:rPr>
                <w:rFonts w:ascii="Arial"/>
                <w:sz w:val="21"/>
              </w:rPr>
            </w:pPr>
          </w:p>
          <w:p w14:paraId="3CC4A2C5">
            <w:pPr>
              <w:spacing w:line="254" w:lineRule="auto"/>
              <w:rPr>
                <w:rFonts w:ascii="Arial"/>
                <w:sz w:val="21"/>
              </w:rPr>
            </w:pPr>
          </w:p>
          <w:p w14:paraId="04D7ECEC">
            <w:pPr>
              <w:spacing w:line="254" w:lineRule="auto"/>
              <w:rPr>
                <w:rFonts w:ascii="Arial"/>
                <w:sz w:val="21"/>
              </w:rPr>
            </w:pPr>
          </w:p>
          <w:p w14:paraId="26C13C74">
            <w:pPr>
              <w:spacing w:line="254" w:lineRule="auto"/>
              <w:rPr>
                <w:rFonts w:ascii="Arial"/>
                <w:sz w:val="21"/>
              </w:rPr>
            </w:pPr>
          </w:p>
          <w:p w14:paraId="0D319594">
            <w:pPr>
              <w:spacing w:line="254" w:lineRule="auto"/>
              <w:rPr>
                <w:rFonts w:ascii="Arial"/>
                <w:sz w:val="21"/>
              </w:rPr>
            </w:pPr>
          </w:p>
          <w:p w14:paraId="78733EE8">
            <w:pPr>
              <w:spacing w:line="255" w:lineRule="auto"/>
              <w:rPr>
                <w:rFonts w:ascii="Arial"/>
                <w:sz w:val="21"/>
              </w:rPr>
            </w:pPr>
          </w:p>
          <w:p w14:paraId="56F825DD">
            <w:pPr>
              <w:spacing w:line="255" w:lineRule="auto"/>
              <w:rPr>
                <w:rFonts w:ascii="Arial"/>
                <w:sz w:val="21"/>
              </w:rPr>
            </w:pPr>
          </w:p>
          <w:p w14:paraId="14FB4137">
            <w:pPr>
              <w:pStyle w:val="8"/>
              <w:spacing w:before="59" w:line="183" w:lineRule="auto"/>
              <w:ind w:left="275"/>
            </w:pPr>
            <w:r>
              <w:t>6</w:t>
            </w:r>
          </w:p>
        </w:tc>
        <w:tc>
          <w:tcPr>
            <w:tcW w:w="1113" w:type="dxa"/>
            <w:vAlign w:val="top"/>
          </w:tcPr>
          <w:p w14:paraId="03C5FF9E">
            <w:pPr>
              <w:spacing w:line="441" w:lineRule="auto"/>
              <w:rPr>
                <w:rFonts w:ascii="Arial"/>
                <w:sz w:val="21"/>
              </w:rPr>
            </w:pPr>
          </w:p>
          <w:p w14:paraId="116F557C">
            <w:pPr>
              <w:pStyle w:val="8"/>
              <w:spacing w:before="58" w:line="247" w:lineRule="auto"/>
              <w:ind w:left="96" w:right="90" w:hanging="1"/>
            </w:pPr>
            <w:r>
              <w:rPr>
                <w:spacing w:val="4"/>
              </w:rPr>
              <w:t>对损坏、擅</w:t>
            </w:r>
            <w:r>
              <w:rPr>
                <w:spacing w:val="1"/>
              </w:rPr>
              <w:t xml:space="preserve"> </w:t>
            </w:r>
            <w:r>
              <w:rPr>
                <w:spacing w:val="4"/>
              </w:rPr>
              <w:t>自移动、涂</w:t>
            </w:r>
            <w:r>
              <w:t xml:space="preserve"> </w:t>
            </w:r>
            <w:r>
              <w:rPr>
                <w:spacing w:val="4"/>
              </w:rPr>
              <w:t>改、遮挡公</w:t>
            </w:r>
            <w:r>
              <w:t xml:space="preserve"> </w:t>
            </w:r>
            <w:r>
              <w:rPr>
                <w:spacing w:val="4"/>
              </w:rPr>
              <w:t>路附属设施</w:t>
            </w:r>
            <w:r>
              <w:t xml:space="preserve"> </w:t>
            </w:r>
            <w:r>
              <w:rPr>
                <w:spacing w:val="4"/>
              </w:rPr>
              <w:t>或者利用公</w:t>
            </w:r>
            <w:r>
              <w:t xml:space="preserve"> </w:t>
            </w:r>
            <w:r>
              <w:rPr>
                <w:spacing w:val="4"/>
              </w:rPr>
              <w:t>路附属设施</w:t>
            </w:r>
            <w:r>
              <w:t xml:space="preserve"> </w:t>
            </w:r>
            <w:r>
              <w:rPr>
                <w:spacing w:val="-2"/>
              </w:rPr>
              <w:t>架设管道、</w:t>
            </w:r>
            <w:r>
              <w:rPr>
                <w:spacing w:val="3"/>
              </w:rPr>
              <w:t xml:space="preserve"> </w:t>
            </w:r>
            <w:r>
              <w:rPr>
                <w:spacing w:val="4"/>
              </w:rPr>
              <w:t>悬挂物品或</w:t>
            </w:r>
            <w:r>
              <w:t xml:space="preserve"> </w:t>
            </w:r>
            <w:r>
              <w:rPr>
                <w:spacing w:val="4"/>
              </w:rPr>
              <w:t>者损坏、擅</w:t>
            </w:r>
            <w:r>
              <w:t xml:space="preserve"> </w:t>
            </w:r>
            <w:r>
              <w:rPr>
                <w:spacing w:val="-8"/>
              </w:rPr>
              <w:t>自</w:t>
            </w:r>
            <w:r>
              <w:rPr>
                <w:spacing w:val="-15"/>
              </w:rPr>
              <w:t xml:space="preserve"> </w:t>
            </w:r>
            <w:r>
              <w:rPr>
                <w:spacing w:val="-8"/>
              </w:rPr>
              <w:t>挪</w:t>
            </w:r>
            <w:r>
              <w:rPr>
                <w:spacing w:val="-12"/>
              </w:rPr>
              <w:t xml:space="preserve"> </w:t>
            </w:r>
            <w:r>
              <w:rPr>
                <w:spacing w:val="-8"/>
              </w:rPr>
              <w:t>动</w:t>
            </w:r>
            <w:r>
              <w:rPr>
                <w:spacing w:val="-11"/>
              </w:rPr>
              <w:t xml:space="preserve"> </w:t>
            </w:r>
            <w:r>
              <w:rPr>
                <w:spacing w:val="-8"/>
              </w:rPr>
              <w:t>建</w:t>
            </w:r>
            <w:r>
              <w:t xml:space="preserve"> </w:t>
            </w:r>
            <w:r>
              <w:rPr>
                <w:spacing w:val="4"/>
              </w:rPr>
              <w:t>筑控制区的</w:t>
            </w:r>
            <w:r>
              <w:t xml:space="preserve"> </w:t>
            </w:r>
            <w:r>
              <w:rPr>
                <w:spacing w:val="4"/>
              </w:rPr>
              <w:t>标桩、界桩</w:t>
            </w:r>
            <w:r>
              <w:t xml:space="preserve"> </w:t>
            </w:r>
            <w:r>
              <w:rPr>
                <w:spacing w:val="4"/>
              </w:rPr>
              <w:t>等可能危及</w:t>
            </w:r>
            <w:r>
              <w:t xml:space="preserve"> </w:t>
            </w:r>
            <w:r>
              <w:rPr>
                <w:spacing w:val="4"/>
              </w:rPr>
              <w:t>公路安全等</w:t>
            </w:r>
            <w:r>
              <w:t xml:space="preserve"> </w:t>
            </w:r>
            <w:r>
              <w:rPr>
                <w:spacing w:val="4"/>
              </w:rPr>
              <w:t>行为的行政</w:t>
            </w:r>
            <w:r>
              <w:t xml:space="preserve"> </w:t>
            </w:r>
            <w:r>
              <w:rPr>
                <w:spacing w:val="-4"/>
              </w:rPr>
              <w:t>处罚</w:t>
            </w:r>
          </w:p>
        </w:tc>
        <w:tc>
          <w:tcPr>
            <w:tcW w:w="1113" w:type="dxa"/>
            <w:vAlign w:val="top"/>
          </w:tcPr>
          <w:p w14:paraId="4F897E6B">
            <w:pPr>
              <w:spacing w:line="249" w:lineRule="auto"/>
              <w:rPr>
                <w:rFonts w:ascii="Arial"/>
                <w:sz w:val="21"/>
              </w:rPr>
            </w:pPr>
          </w:p>
          <w:p w14:paraId="185CF61A">
            <w:pPr>
              <w:spacing w:line="249" w:lineRule="auto"/>
              <w:rPr>
                <w:rFonts w:ascii="Arial"/>
                <w:sz w:val="21"/>
              </w:rPr>
            </w:pPr>
          </w:p>
          <w:p w14:paraId="20145606">
            <w:pPr>
              <w:spacing w:line="250" w:lineRule="auto"/>
              <w:rPr>
                <w:rFonts w:ascii="Arial"/>
                <w:sz w:val="21"/>
              </w:rPr>
            </w:pPr>
          </w:p>
          <w:p w14:paraId="5A912259">
            <w:pPr>
              <w:spacing w:line="250" w:lineRule="auto"/>
              <w:rPr>
                <w:rFonts w:ascii="Arial"/>
                <w:sz w:val="21"/>
              </w:rPr>
            </w:pPr>
          </w:p>
          <w:p w14:paraId="182275A7">
            <w:pPr>
              <w:spacing w:line="250" w:lineRule="auto"/>
              <w:rPr>
                <w:rFonts w:ascii="Arial"/>
                <w:sz w:val="21"/>
              </w:rPr>
            </w:pPr>
          </w:p>
          <w:p w14:paraId="08C6481F">
            <w:pPr>
              <w:spacing w:line="250" w:lineRule="auto"/>
              <w:rPr>
                <w:rFonts w:ascii="Arial"/>
                <w:sz w:val="21"/>
              </w:rPr>
            </w:pPr>
          </w:p>
          <w:p w14:paraId="0426AE8D">
            <w:pPr>
              <w:spacing w:line="250" w:lineRule="auto"/>
              <w:rPr>
                <w:rFonts w:ascii="Arial"/>
                <w:sz w:val="21"/>
              </w:rPr>
            </w:pPr>
          </w:p>
          <w:p w14:paraId="2CB1224D">
            <w:pPr>
              <w:spacing w:line="250" w:lineRule="auto"/>
              <w:rPr>
                <w:rFonts w:ascii="Arial"/>
                <w:sz w:val="21"/>
              </w:rPr>
            </w:pPr>
          </w:p>
          <w:p w14:paraId="4003C799">
            <w:pPr>
              <w:spacing w:line="250" w:lineRule="auto"/>
              <w:rPr>
                <w:rFonts w:ascii="Arial"/>
                <w:sz w:val="21"/>
              </w:rPr>
            </w:pPr>
          </w:p>
          <w:p w14:paraId="4B1343B3">
            <w:pPr>
              <w:pStyle w:val="8"/>
              <w:spacing w:before="59" w:line="220" w:lineRule="auto"/>
              <w:ind w:left="10"/>
            </w:pPr>
            <w:r>
              <w:rPr>
                <w:spacing w:val="-2"/>
              </w:rPr>
              <w:t>行政处罚</w:t>
            </w:r>
          </w:p>
        </w:tc>
        <w:tc>
          <w:tcPr>
            <w:tcW w:w="8631" w:type="dxa"/>
            <w:vAlign w:val="top"/>
          </w:tcPr>
          <w:p w14:paraId="5A6B0690">
            <w:pPr>
              <w:pStyle w:val="8"/>
              <w:spacing w:before="173" w:line="219" w:lineRule="auto"/>
              <w:ind w:left="480"/>
            </w:pPr>
            <w:r>
              <w:rPr>
                <w:b/>
                <w:bCs/>
                <w:spacing w:val="-5"/>
              </w:rPr>
              <w:t>1.《中华人民共和国公路法》</w:t>
            </w:r>
          </w:p>
          <w:p w14:paraId="3BDC7F01">
            <w:pPr>
              <w:pStyle w:val="8"/>
              <w:spacing w:before="25" w:line="219" w:lineRule="auto"/>
              <w:ind w:left="466"/>
            </w:pPr>
            <w:r>
              <w:rPr>
                <w:spacing w:val="-2"/>
              </w:rPr>
              <w:t>第五十二条  任何单位和个人不得损坏、擅自移动、涂改公路附属</w:t>
            </w:r>
            <w:r>
              <w:rPr>
                <w:spacing w:val="-3"/>
              </w:rPr>
              <w:t>设施。</w:t>
            </w:r>
          </w:p>
          <w:p w14:paraId="5C2AF065">
            <w:pPr>
              <w:pStyle w:val="8"/>
              <w:spacing w:before="26" w:line="233" w:lineRule="auto"/>
              <w:ind w:left="118" w:right="109" w:firstLine="351"/>
            </w:pPr>
            <w:r>
              <w:rPr>
                <w:spacing w:val="3"/>
              </w:rPr>
              <w:t>前款公路附属设施，是指为保护、养护公路和保障公路安全畅通所设置的公路防护、</w:t>
            </w:r>
            <w:r>
              <w:rPr>
                <w:spacing w:val="2"/>
              </w:rPr>
              <w:t>排水、养护、管</w:t>
            </w:r>
            <w:r>
              <w:t xml:space="preserve"> </w:t>
            </w:r>
            <w:r>
              <w:rPr>
                <w:spacing w:val="-2"/>
              </w:rPr>
              <w:t>理、服务、交通安全、渡运、监控、通信、收费等设施、设备以及专用建</w:t>
            </w:r>
            <w:r>
              <w:rPr>
                <w:spacing w:val="-3"/>
              </w:rPr>
              <w:t>筑物、构筑物。</w:t>
            </w:r>
          </w:p>
          <w:p w14:paraId="31BF8062">
            <w:pPr>
              <w:pStyle w:val="8"/>
              <w:spacing w:before="24" w:line="233" w:lineRule="auto"/>
              <w:ind w:left="116" w:right="109" w:firstLine="350"/>
            </w:pPr>
            <w:r>
              <w:rPr>
                <w:spacing w:val="3"/>
              </w:rPr>
              <w:t>第五十六条  除公路防护、养护需要的以外，禁止在公路两侧的建筑控制区内修建建</w:t>
            </w:r>
            <w:r>
              <w:rPr>
                <w:spacing w:val="2"/>
              </w:rPr>
              <w:t>筑物和地面构筑</w:t>
            </w:r>
            <w:r>
              <w:t xml:space="preserve"> </w:t>
            </w:r>
            <w:r>
              <w:rPr>
                <w:spacing w:val="-2"/>
              </w:rPr>
              <w:t>物；需要在建筑控制区内埋设管线、电缆等设施的，应当事先经县</w:t>
            </w:r>
            <w:r>
              <w:rPr>
                <w:spacing w:val="-3"/>
              </w:rPr>
              <w:t>级以上地方人民政府交通主管部门批准。</w:t>
            </w:r>
          </w:p>
          <w:p w14:paraId="76114CB4">
            <w:pPr>
              <w:pStyle w:val="8"/>
              <w:spacing w:before="26" w:line="233" w:lineRule="auto"/>
              <w:ind w:left="122" w:right="109" w:firstLine="347"/>
            </w:pPr>
            <w:r>
              <w:rPr>
                <w:spacing w:val="-1"/>
              </w:rPr>
              <w:t>前款规定的建筑控制区的范围，由县级以上地方人民政府按照保障公路运行安全</w:t>
            </w:r>
            <w:r>
              <w:rPr>
                <w:spacing w:val="-2"/>
              </w:rPr>
              <w:t>和节约用地的原则，依</w:t>
            </w:r>
            <w:r>
              <w:t xml:space="preserve"> </w:t>
            </w:r>
            <w:r>
              <w:rPr>
                <w:spacing w:val="-3"/>
              </w:rPr>
              <w:t>照国务院的规定划定。</w:t>
            </w:r>
          </w:p>
          <w:p w14:paraId="343F15BC">
            <w:pPr>
              <w:pStyle w:val="8"/>
              <w:spacing w:before="26" w:line="233" w:lineRule="auto"/>
              <w:ind w:left="119" w:right="109" w:firstLine="349"/>
            </w:pPr>
            <w:r>
              <w:rPr>
                <w:spacing w:val="-1"/>
              </w:rPr>
              <w:t>建筑控制区范围经县级以上地方人民政府依照前款规定划定后，由县级以上地方人</w:t>
            </w:r>
            <w:r>
              <w:rPr>
                <w:spacing w:val="-2"/>
              </w:rPr>
              <w:t>民政府交通主管部门</w:t>
            </w:r>
            <w:r>
              <w:t xml:space="preserve"> </w:t>
            </w:r>
            <w:r>
              <w:rPr>
                <w:spacing w:val="-2"/>
              </w:rPr>
              <w:t>设置标桩、界桩。任何单位和个人不得损坏、擅自挪动</w:t>
            </w:r>
            <w:r>
              <w:rPr>
                <w:spacing w:val="-3"/>
              </w:rPr>
              <w:t>该标桩、界桩。</w:t>
            </w:r>
          </w:p>
          <w:p w14:paraId="24A327B2">
            <w:pPr>
              <w:pStyle w:val="8"/>
              <w:spacing w:before="27" w:line="237" w:lineRule="auto"/>
              <w:ind w:left="118" w:right="107" w:firstLine="348"/>
            </w:pPr>
            <w:r>
              <w:rPr>
                <w:spacing w:val="-1"/>
              </w:rPr>
              <w:t>第七十六条第（六）项  有下列违法行为之一的，由交通主管部门责令停止违法行为，可</w:t>
            </w:r>
            <w:r>
              <w:rPr>
                <w:spacing w:val="-2"/>
              </w:rPr>
              <w:t>以处三万元以</w:t>
            </w:r>
            <w:r>
              <w:t xml:space="preserve"> </w:t>
            </w:r>
            <w:r>
              <w:rPr>
                <w:spacing w:val="-1"/>
              </w:rPr>
              <w:t>下的罚款</w:t>
            </w:r>
            <w:r>
              <w:rPr>
                <w:spacing w:val="-8"/>
              </w:rPr>
              <w:t>：（</w:t>
            </w:r>
            <w:r>
              <w:rPr>
                <w:spacing w:val="-1"/>
              </w:rPr>
              <w:t>六）违反本法第五十二条、第五十六条规定，损坏、移动、涂改公路附属设施或者损坏、挪动</w:t>
            </w:r>
            <w:r>
              <w:t xml:space="preserve"> </w:t>
            </w:r>
            <w:r>
              <w:rPr>
                <w:spacing w:val="-3"/>
              </w:rPr>
              <w:t>建筑控制区的标桩、界桩，可能危及公路安全的。</w:t>
            </w:r>
          </w:p>
          <w:p w14:paraId="0F83EA10">
            <w:pPr>
              <w:pStyle w:val="8"/>
              <w:spacing w:before="26" w:line="219" w:lineRule="auto"/>
              <w:ind w:left="468"/>
            </w:pPr>
            <w:r>
              <w:rPr>
                <w:b/>
                <w:bCs/>
                <w:spacing w:val="-4"/>
              </w:rPr>
              <w:t>2.《公路安全保护条例》</w:t>
            </w:r>
          </w:p>
          <w:p w14:paraId="097F6559">
            <w:pPr>
              <w:pStyle w:val="8"/>
              <w:spacing w:before="26" w:line="219" w:lineRule="auto"/>
              <w:ind w:left="466"/>
            </w:pPr>
            <w:r>
              <w:rPr>
                <w:spacing w:val="-1"/>
              </w:rPr>
              <w:t>第二十五条  禁止损坏、擅自移动、涂改、遮挡公路附属设施或者利用公路附属设施架设</w:t>
            </w:r>
            <w:r>
              <w:rPr>
                <w:spacing w:val="-2"/>
              </w:rPr>
              <w:t>管道、悬挂物</w:t>
            </w:r>
          </w:p>
          <w:p w14:paraId="10451D08">
            <w:pPr>
              <w:pStyle w:val="8"/>
              <w:spacing w:before="26" w:line="224" w:lineRule="auto"/>
              <w:ind w:left="131"/>
            </w:pPr>
            <w:r>
              <w:rPr>
                <w:spacing w:val="-11"/>
              </w:rPr>
              <w:t>品。</w:t>
            </w:r>
          </w:p>
          <w:p w14:paraId="4C5C5349">
            <w:pPr>
              <w:pStyle w:val="8"/>
              <w:spacing w:before="23" w:line="237" w:lineRule="auto"/>
              <w:ind w:left="117" w:right="109" w:firstLine="348"/>
              <w:jc w:val="both"/>
            </w:pPr>
            <w:r>
              <w:rPr>
                <w:spacing w:val="1"/>
              </w:rPr>
              <w:t>第六十条第（一）项  违反本条例的规定，有下列行为之一的，由公路管理机构责令</w:t>
            </w:r>
            <w:r>
              <w:t xml:space="preserve">改正，可以处3万 </w:t>
            </w:r>
            <w:r>
              <w:rPr>
                <w:spacing w:val="-1"/>
              </w:rPr>
              <w:t>元以下的罚款</w:t>
            </w:r>
            <w:r>
              <w:rPr>
                <w:spacing w:val="-9"/>
              </w:rPr>
              <w:t>：（</w:t>
            </w:r>
            <w:r>
              <w:rPr>
                <w:spacing w:val="-1"/>
              </w:rPr>
              <w:t>一）损坏、擅自移动、涂改、遮挡公路附属设施或者利用公路附属设施架设管道、悬挂物</w:t>
            </w:r>
            <w:r>
              <w:t xml:space="preserve"> </w:t>
            </w:r>
            <w:r>
              <w:rPr>
                <w:spacing w:val="-3"/>
              </w:rPr>
              <w:t>品，可能危及公路安全的。</w:t>
            </w:r>
          </w:p>
        </w:tc>
        <w:tc>
          <w:tcPr>
            <w:tcW w:w="1022" w:type="dxa"/>
            <w:vAlign w:val="top"/>
          </w:tcPr>
          <w:p w14:paraId="32DD0CF8">
            <w:pPr>
              <w:spacing w:line="265" w:lineRule="auto"/>
              <w:rPr>
                <w:rFonts w:ascii="Arial"/>
                <w:sz w:val="21"/>
              </w:rPr>
            </w:pPr>
          </w:p>
          <w:p w14:paraId="4363844B">
            <w:pPr>
              <w:spacing w:line="266" w:lineRule="auto"/>
              <w:rPr>
                <w:rFonts w:ascii="Arial"/>
                <w:sz w:val="21"/>
              </w:rPr>
            </w:pPr>
          </w:p>
          <w:p w14:paraId="1E816F3D">
            <w:pPr>
              <w:spacing w:line="266" w:lineRule="auto"/>
              <w:rPr>
                <w:rFonts w:ascii="Arial"/>
                <w:sz w:val="21"/>
              </w:rPr>
            </w:pPr>
          </w:p>
          <w:p w14:paraId="0DCF0745">
            <w:pPr>
              <w:spacing w:line="266" w:lineRule="auto"/>
              <w:rPr>
                <w:rFonts w:ascii="Arial"/>
                <w:sz w:val="21"/>
              </w:rPr>
            </w:pPr>
          </w:p>
          <w:p w14:paraId="0ADB2C76">
            <w:pPr>
              <w:spacing w:line="266" w:lineRule="auto"/>
              <w:rPr>
                <w:rFonts w:ascii="Arial"/>
                <w:sz w:val="21"/>
              </w:rPr>
            </w:pPr>
          </w:p>
          <w:p w14:paraId="6B493771">
            <w:pPr>
              <w:spacing w:line="266" w:lineRule="auto"/>
              <w:rPr>
                <w:rFonts w:ascii="Arial"/>
                <w:sz w:val="21"/>
              </w:rPr>
            </w:pPr>
          </w:p>
          <w:p w14:paraId="4373D806">
            <w:pPr>
              <w:spacing w:line="266" w:lineRule="auto"/>
              <w:rPr>
                <w:rFonts w:ascii="Arial"/>
                <w:sz w:val="21"/>
              </w:rPr>
            </w:pPr>
          </w:p>
          <w:p w14:paraId="3FDEDE67">
            <w:pPr>
              <w:spacing w:line="266" w:lineRule="auto"/>
              <w:rPr>
                <w:rFonts w:ascii="Arial"/>
                <w:sz w:val="21"/>
              </w:rPr>
            </w:pPr>
          </w:p>
          <w:p w14:paraId="4B8AE5A4">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23A5843A">
            <w:pPr>
              <w:spacing w:line="249" w:lineRule="auto"/>
              <w:rPr>
                <w:rFonts w:ascii="Arial"/>
                <w:sz w:val="21"/>
              </w:rPr>
            </w:pPr>
          </w:p>
          <w:p w14:paraId="72D065F9">
            <w:pPr>
              <w:spacing w:line="249" w:lineRule="auto"/>
              <w:rPr>
                <w:rFonts w:ascii="Arial"/>
                <w:sz w:val="21"/>
              </w:rPr>
            </w:pPr>
          </w:p>
          <w:p w14:paraId="0CBD66D8">
            <w:pPr>
              <w:spacing w:line="250" w:lineRule="auto"/>
              <w:rPr>
                <w:rFonts w:ascii="Arial"/>
                <w:sz w:val="21"/>
              </w:rPr>
            </w:pPr>
          </w:p>
          <w:p w14:paraId="3734381F">
            <w:pPr>
              <w:spacing w:line="250" w:lineRule="auto"/>
              <w:rPr>
                <w:rFonts w:ascii="Arial"/>
                <w:sz w:val="21"/>
              </w:rPr>
            </w:pPr>
          </w:p>
          <w:p w14:paraId="4B3956D5">
            <w:pPr>
              <w:spacing w:line="250" w:lineRule="auto"/>
              <w:rPr>
                <w:rFonts w:ascii="Arial"/>
                <w:sz w:val="21"/>
              </w:rPr>
            </w:pPr>
          </w:p>
          <w:p w14:paraId="595A3838">
            <w:pPr>
              <w:spacing w:line="250" w:lineRule="auto"/>
              <w:rPr>
                <w:rFonts w:ascii="Arial"/>
                <w:sz w:val="21"/>
              </w:rPr>
            </w:pPr>
          </w:p>
          <w:p w14:paraId="18EF448E">
            <w:pPr>
              <w:spacing w:line="250" w:lineRule="auto"/>
              <w:rPr>
                <w:rFonts w:ascii="Arial"/>
                <w:sz w:val="21"/>
              </w:rPr>
            </w:pPr>
          </w:p>
          <w:p w14:paraId="181C9D1D">
            <w:pPr>
              <w:spacing w:line="250" w:lineRule="auto"/>
              <w:rPr>
                <w:rFonts w:ascii="Arial"/>
                <w:sz w:val="21"/>
              </w:rPr>
            </w:pPr>
          </w:p>
          <w:p w14:paraId="13B1F261">
            <w:pPr>
              <w:spacing w:line="250" w:lineRule="auto"/>
              <w:rPr>
                <w:rFonts w:ascii="Arial"/>
                <w:sz w:val="21"/>
              </w:rPr>
            </w:pPr>
          </w:p>
          <w:p w14:paraId="49232DC4">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4949AC69">
            <w:pPr>
              <w:spacing w:line="250" w:lineRule="auto"/>
              <w:rPr>
                <w:rFonts w:ascii="Arial"/>
                <w:sz w:val="21"/>
              </w:rPr>
            </w:pPr>
          </w:p>
          <w:p w14:paraId="60CAB601">
            <w:pPr>
              <w:spacing w:line="250" w:lineRule="auto"/>
              <w:rPr>
                <w:rFonts w:ascii="Arial"/>
                <w:sz w:val="21"/>
              </w:rPr>
            </w:pPr>
          </w:p>
          <w:p w14:paraId="471860AF">
            <w:pPr>
              <w:spacing w:line="251" w:lineRule="auto"/>
              <w:rPr>
                <w:rFonts w:ascii="Arial"/>
                <w:sz w:val="21"/>
              </w:rPr>
            </w:pPr>
          </w:p>
          <w:p w14:paraId="47AF9BD5">
            <w:pPr>
              <w:spacing w:line="251" w:lineRule="auto"/>
              <w:rPr>
                <w:rFonts w:ascii="Arial"/>
                <w:sz w:val="21"/>
              </w:rPr>
            </w:pPr>
          </w:p>
          <w:p w14:paraId="17C98DB7">
            <w:pPr>
              <w:spacing w:line="251" w:lineRule="auto"/>
              <w:rPr>
                <w:rFonts w:ascii="Arial"/>
                <w:sz w:val="21"/>
              </w:rPr>
            </w:pPr>
          </w:p>
          <w:p w14:paraId="4442C5F6">
            <w:pPr>
              <w:spacing w:line="251" w:lineRule="auto"/>
              <w:rPr>
                <w:rFonts w:ascii="Arial"/>
                <w:sz w:val="21"/>
              </w:rPr>
            </w:pPr>
          </w:p>
          <w:p w14:paraId="46185D51">
            <w:pPr>
              <w:spacing w:line="251" w:lineRule="auto"/>
              <w:rPr>
                <w:rFonts w:ascii="Arial"/>
                <w:sz w:val="21"/>
              </w:rPr>
            </w:pPr>
          </w:p>
          <w:p w14:paraId="63A26AEE">
            <w:pPr>
              <w:spacing w:line="251" w:lineRule="auto"/>
              <w:rPr>
                <w:rFonts w:ascii="Arial"/>
                <w:sz w:val="21"/>
              </w:rPr>
            </w:pPr>
          </w:p>
          <w:p w14:paraId="45FA9466">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r w14:paraId="01A42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7" w:hRule="atLeast"/>
        </w:trPr>
        <w:tc>
          <w:tcPr>
            <w:tcW w:w="629" w:type="dxa"/>
            <w:vAlign w:val="top"/>
          </w:tcPr>
          <w:p w14:paraId="6E8DD5D0">
            <w:pPr>
              <w:spacing w:line="269" w:lineRule="auto"/>
              <w:rPr>
                <w:rFonts w:ascii="Arial"/>
                <w:sz w:val="21"/>
              </w:rPr>
            </w:pPr>
          </w:p>
          <w:p w14:paraId="1F6A4A16">
            <w:pPr>
              <w:spacing w:line="269" w:lineRule="auto"/>
              <w:rPr>
                <w:rFonts w:ascii="Arial"/>
                <w:sz w:val="21"/>
              </w:rPr>
            </w:pPr>
          </w:p>
          <w:p w14:paraId="6319BB4C">
            <w:pPr>
              <w:spacing w:line="269" w:lineRule="auto"/>
              <w:rPr>
                <w:rFonts w:ascii="Arial"/>
                <w:sz w:val="21"/>
              </w:rPr>
            </w:pPr>
          </w:p>
          <w:p w14:paraId="289F47B4">
            <w:pPr>
              <w:spacing w:line="269" w:lineRule="auto"/>
              <w:rPr>
                <w:rFonts w:ascii="Arial"/>
                <w:sz w:val="21"/>
              </w:rPr>
            </w:pPr>
          </w:p>
          <w:p w14:paraId="70F9AE53">
            <w:pPr>
              <w:pStyle w:val="8"/>
              <w:spacing w:before="59" w:line="182" w:lineRule="auto"/>
              <w:ind w:left="278"/>
            </w:pPr>
            <w:r>
              <w:t>7</w:t>
            </w:r>
          </w:p>
        </w:tc>
        <w:tc>
          <w:tcPr>
            <w:tcW w:w="1113" w:type="dxa"/>
            <w:vAlign w:val="top"/>
          </w:tcPr>
          <w:p w14:paraId="00AE76A7">
            <w:pPr>
              <w:spacing w:line="436" w:lineRule="auto"/>
              <w:rPr>
                <w:rFonts w:ascii="Arial"/>
                <w:sz w:val="21"/>
              </w:rPr>
            </w:pPr>
          </w:p>
          <w:p w14:paraId="483B5AB0">
            <w:pPr>
              <w:pStyle w:val="8"/>
              <w:spacing w:before="59" w:line="244" w:lineRule="auto"/>
              <w:ind w:left="97" w:right="90" w:hanging="2"/>
            </w:pPr>
            <w:r>
              <w:rPr>
                <w:spacing w:val="4"/>
              </w:rPr>
              <w:t>对造成公路</w:t>
            </w:r>
            <w:r>
              <w:rPr>
                <w:spacing w:val="1"/>
              </w:rPr>
              <w:t xml:space="preserve"> </w:t>
            </w:r>
            <w:r>
              <w:rPr>
                <w:spacing w:val="-2"/>
              </w:rPr>
              <w:t>路面损坏、</w:t>
            </w:r>
            <w:r>
              <w:rPr>
                <w:spacing w:val="3"/>
              </w:rPr>
              <w:t xml:space="preserve"> </w:t>
            </w:r>
            <w:r>
              <w:rPr>
                <w:spacing w:val="4"/>
              </w:rPr>
              <w:t>污染或者影</w:t>
            </w:r>
            <w:r>
              <w:t xml:space="preserve"> </w:t>
            </w:r>
            <w:r>
              <w:rPr>
                <w:spacing w:val="4"/>
              </w:rPr>
              <w:t>响公路畅通</w:t>
            </w:r>
            <w:r>
              <w:t xml:space="preserve"> </w:t>
            </w:r>
            <w:r>
              <w:rPr>
                <w:spacing w:val="4"/>
              </w:rPr>
              <w:t>行为的行政</w:t>
            </w:r>
            <w:r>
              <w:t xml:space="preserve"> </w:t>
            </w:r>
            <w:r>
              <w:rPr>
                <w:spacing w:val="-5"/>
              </w:rPr>
              <w:t>处罚</w:t>
            </w:r>
          </w:p>
        </w:tc>
        <w:tc>
          <w:tcPr>
            <w:tcW w:w="1113" w:type="dxa"/>
            <w:vAlign w:val="top"/>
          </w:tcPr>
          <w:p w14:paraId="11DE13EA">
            <w:pPr>
              <w:spacing w:line="258" w:lineRule="auto"/>
              <w:rPr>
                <w:rFonts w:ascii="Arial"/>
                <w:sz w:val="21"/>
              </w:rPr>
            </w:pPr>
          </w:p>
          <w:p w14:paraId="6DD63CD6">
            <w:pPr>
              <w:spacing w:line="259" w:lineRule="auto"/>
              <w:rPr>
                <w:rFonts w:ascii="Arial"/>
                <w:sz w:val="21"/>
              </w:rPr>
            </w:pPr>
          </w:p>
          <w:p w14:paraId="662347E2">
            <w:pPr>
              <w:spacing w:line="259" w:lineRule="auto"/>
              <w:rPr>
                <w:rFonts w:ascii="Arial"/>
                <w:sz w:val="21"/>
              </w:rPr>
            </w:pPr>
          </w:p>
          <w:p w14:paraId="7497BBB1">
            <w:pPr>
              <w:spacing w:line="259" w:lineRule="auto"/>
              <w:rPr>
                <w:rFonts w:ascii="Arial"/>
                <w:sz w:val="21"/>
              </w:rPr>
            </w:pPr>
          </w:p>
          <w:p w14:paraId="28027CCB">
            <w:pPr>
              <w:pStyle w:val="8"/>
              <w:spacing w:before="59" w:line="220" w:lineRule="auto"/>
              <w:ind w:left="10"/>
            </w:pPr>
            <w:r>
              <w:rPr>
                <w:spacing w:val="-2"/>
              </w:rPr>
              <w:t>行政处罚</w:t>
            </w:r>
          </w:p>
        </w:tc>
        <w:tc>
          <w:tcPr>
            <w:tcW w:w="8631" w:type="dxa"/>
            <w:vAlign w:val="top"/>
          </w:tcPr>
          <w:p w14:paraId="039F29DE">
            <w:pPr>
              <w:pStyle w:val="8"/>
              <w:spacing w:before="152" w:line="219" w:lineRule="auto"/>
              <w:ind w:left="480"/>
            </w:pPr>
            <w:r>
              <w:rPr>
                <w:b/>
                <w:bCs/>
                <w:spacing w:val="-5"/>
              </w:rPr>
              <w:t>1.《中华人民共和国公路法》</w:t>
            </w:r>
          </w:p>
          <w:p w14:paraId="750185DD">
            <w:pPr>
              <w:pStyle w:val="8"/>
              <w:spacing w:before="25" w:line="233" w:lineRule="auto"/>
              <w:ind w:left="115" w:right="109" w:firstLine="351"/>
            </w:pPr>
            <w:r>
              <w:rPr>
                <w:spacing w:val="-1"/>
              </w:rPr>
              <w:t>第四十六条  任何单位和个人不得在公路上及公路用地范围内摆摊设点、堆放物品、倾倒</w:t>
            </w:r>
            <w:r>
              <w:rPr>
                <w:spacing w:val="-2"/>
              </w:rPr>
              <w:t>垃圾、设置障</w:t>
            </w:r>
            <w:r>
              <w:t xml:space="preserve"> </w:t>
            </w:r>
            <w:r>
              <w:rPr>
                <w:spacing w:val="-2"/>
              </w:rPr>
              <w:t>碍、挖沟引水、利用公路边沟排放污物或者进行其他损</w:t>
            </w:r>
            <w:r>
              <w:rPr>
                <w:spacing w:val="-3"/>
              </w:rPr>
              <w:t>坏、污染公路和影响公路畅通的活动。</w:t>
            </w:r>
          </w:p>
          <w:p w14:paraId="4536D68F">
            <w:pPr>
              <w:pStyle w:val="8"/>
              <w:spacing w:before="25" w:line="238" w:lineRule="auto"/>
              <w:ind w:left="117" w:right="107" w:firstLine="349"/>
            </w:pPr>
            <w:r>
              <w:rPr>
                <w:spacing w:val="-1"/>
              </w:rPr>
              <w:t>第七十七条  违反本法第四十六条的规定，造成公路路面损坏、污染或者影响公路畅通的</w:t>
            </w:r>
            <w:r>
              <w:rPr>
                <w:spacing w:val="-2"/>
              </w:rPr>
              <w:t>，或者违反本</w:t>
            </w:r>
            <w:r>
              <w:t xml:space="preserve"> </w:t>
            </w:r>
            <w:r>
              <w:rPr>
                <w:spacing w:val="3"/>
              </w:rPr>
              <w:t>法第五十一条规定，将公路作为试车场地的，由交通主管部门责</w:t>
            </w:r>
            <w:r>
              <w:rPr>
                <w:spacing w:val="2"/>
              </w:rPr>
              <w:t>令停止违法行为，可以处五千元以下的罚</w:t>
            </w:r>
            <w:r>
              <w:t xml:space="preserve"> </w:t>
            </w:r>
            <w:r>
              <w:rPr>
                <w:spacing w:val="-4"/>
              </w:rPr>
              <w:t>款。</w:t>
            </w:r>
          </w:p>
          <w:p w14:paraId="6CB877B9">
            <w:pPr>
              <w:pStyle w:val="8"/>
              <w:spacing w:before="24" w:line="219" w:lineRule="auto"/>
              <w:ind w:left="468"/>
            </w:pPr>
            <w:r>
              <w:rPr>
                <w:b/>
                <w:bCs/>
                <w:spacing w:val="-4"/>
              </w:rPr>
              <w:t>2.《公路安全保护条例》</w:t>
            </w:r>
          </w:p>
          <w:p w14:paraId="6C7BFAA9">
            <w:pPr>
              <w:pStyle w:val="8"/>
              <w:spacing w:before="25" w:line="233" w:lineRule="auto"/>
              <w:ind w:left="118" w:right="109" w:firstLine="348"/>
            </w:pPr>
            <w:r>
              <w:rPr>
                <w:spacing w:val="-1"/>
              </w:rPr>
              <w:t>第六十九条  车辆装载物触地拖行、掉落、遗洒或者飘散，造成公路路面损坏、污染的，</w:t>
            </w:r>
            <w:r>
              <w:rPr>
                <w:spacing w:val="-2"/>
              </w:rPr>
              <w:t>由公路管理机</w:t>
            </w:r>
            <w:r>
              <w:t xml:space="preserve"> </w:t>
            </w:r>
            <w:r>
              <w:rPr>
                <w:spacing w:val="-3"/>
              </w:rPr>
              <w:t>构责令改正，处5000元以下的罚款。</w:t>
            </w:r>
          </w:p>
        </w:tc>
        <w:tc>
          <w:tcPr>
            <w:tcW w:w="1022" w:type="dxa"/>
            <w:vAlign w:val="top"/>
          </w:tcPr>
          <w:p w14:paraId="4BF42748">
            <w:pPr>
              <w:spacing w:line="305" w:lineRule="auto"/>
              <w:rPr>
                <w:rFonts w:ascii="Arial"/>
                <w:sz w:val="21"/>
              </w:rPr>
            </w:pPr>
          </w:p>
          <w:p w14:paraId="20D7EB28">
            <w:pPr>
              <w:spacing w:line="305" w:lineRule="auto"/>
              <w:rPr>
                <w:rFonts w:ascii="Arial"/>
                <w:sz w:val="21"/>
              </w:rPr>
            </w:pPr>
          </w:p>
          <w:p w14:paraId="2BD972BF">
            <w:pPr>
              <w:spacing w:line="306" w:lineRule="auto"/>
              <w:rPr>
                <w:rFonts w:ascii="Arial"/>
                <w:sz w:val="21"/>
              </w:rPr>
            </w:pPr>
          </w:p>
          <w:p w14:paraId="71870968">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4F622215">
            <w:pPr>
              <w:spacing w:line="258" w:lineRule="auto"/>
              <w:rPr>
                <w:rFonts w:ascii="Arial"/>
                <w:sz w:val="21"/>
              </w:rPr>
            </w:pPr>
          </w:p>
          <w:p w14:paraId="31435367">
            <w:pPr>
              <w:spacing w:line="259" w:lineRule="auto"/>
              <w:rPr>
                <w:rFonts w:ascii="Arial"/>
                <w:sz w:val="21"/>
              </w:rPr>
            </w:pPr>
          </w:p>
          <w:p w14:paraId="190EA1DD">
            <w:pPr>
              <w:spacing w:line="259" w:lineRule="auto"/>
              <w:rPr>
                <w:rFonts w:ascii="Arial"/>
                <w:sz w:val="21"/>
              </w:rPr>
            </w:pPr>
          </w:p>
          <w:p w14:paraId="195351AF">
            <w:pPr>
              <w:spacing w:line="259" w:lineRule="auto"/>
              <w:rPr>
                <w:rFonts w:ascii="Arial"/>
                <w:sz w:val="21"/>
              </w:rPr>
            </w:pPr>
          </w:p>
          <w:p w14:paraId="37F968B4">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2393290C">
            <w:pPr>
              <w:spacing w:line="265" w:lineRule="auto"/>
              <w:rPr>
                <w:rFonts w:ascii="Arial"/>
                <w:sz w:val="21"/>
              </w:rPr>
            </w:pPr>
          </w:p>
          <w:p w14:paraId="3FDC7082">
            <w:pPr>
              <w:spacing w:line="266" w:lineRule="auto"/>
              <w:rPr>
                <w:rFonts w:ascii="Arial"/>
                <w:sz w:val="21"/>
              </w:rPr>
            </w:pPr>
          </w:p>
          <w:p w14:paraId="694C33F5">
            <w:pPr>
              <w:spacing w:line="266" w:lineRule="auto"/>
              <w:rPr>
                <w:rFonts w:ascii="Arial"/>
                <w:sz w:val="21"/>
              </w:rPr>
            </w:pPr>
          </w:p>
          <w:p w14:paraId="104EB547">
            <w:pPr>
              <w:pStyle w:val="8"/>
              <w:spacing w:before="59"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r w14:paraId="6B8DF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4" w:hRule="atLeast"/>
        </w:trPr>
        <w:tc>
          <w:tcPr>
            <w:tcW w:w="629" w:type="dxa"/>
            <w:vAlign w:val="top"/>
          </w:tcPr>
          <w:p w14:paraId="7051FF2F">
            <w:pPr>
              <w:spacing w:line="321" w:lineRule="auto"/>
              <w:rPr>
                <w:rFonts w:ascii="Arial"/>
                <w:sz w:val="21"/>
              </w:rPr>
            </w:pPr>
          </w:p>
          <w:p w14:paraId="569C61FF">
            <w:pPr>
              <w:spacing w:line="321" w:lineRule="auto"/>
              <w:rPr>
                <w:rFonts w:ascii="Arial"/>
                <w:sz w:val="21"/>
              </w:rPr>
            </w:pPr>
          </w:p>
          <w:p w14:paraId="4F929FC3">
            <w:pPr>
              <w:pStyle w:val="8"/>
              <w:spacing w:before="58" w:line="183" w:lineRule="auto"/>
              <w:ind w:left="274"/>
            </w:pPr>
            <w:r>
              <w:t>8</w:t>
            </w:r>
          </w:p>
        </w:tc>
        <w:tc>
          <w:tcPr>
            <w:tcW w:w="1113" w:type="dxa"/>
            <w:vAlign w:val="top"/>
          </w:tcPr>
          <w:p w14:paraId="6F942028">
            <w:pPr>
              <w:spacing w:line="242" w:lineRule="auto"/>
              <w:rPr>
                <w:rFonts w:ascii="Arial"/>
                <w:sz w:val="21"/>
              </w:rPr>
            </w:pPr>
          </w:p>
          <w:p w14:paraId="096AF962">
            <w:pPr>
              <w:pStyle w:val="8"/>
              <w:spacing w:before="59" w:line="242" w:lineRule="auto"/>
              <w:ind w:left="97" w:right="90" w:hanging="2"/>
              <w:jc w:val="both"/>
            </w:pPr>
            <w:r>
              <w:rPr>
                <w:spacing w:val="4"/>
              </w:rPr>
              <w:t>对将公路作</w:t>
            </w:r>
            <w:r>
              <w:rPr>
                <w:spacing w:val="1"/>
              </w:rPr>
              <w:t xml:space="preserve"> </w:t>
            </w:r>
            <w:r>
              <w:rPr>
                <w:spacing w:val="3"/>
              </w:rPr>
              <w:t xml:space="preserve">为试车场地 行为的行政 </w:t>
            </w:r>
            <w:r>
              <w:rPr>
                <w:spacing w:val="-5"/>
              </w:rPr>
              <w:t>处罚</w:t>
            </w:r>
          </w:p>
        </w:tc>
        <w:tc>
          <w:tcPr>
            <w:tcW w:w="1113" w:type="dxa"/>
            <w:vAlign w:val="top"/>
          </w:tcPr>
          <w:p w14:paraId="15302AFC">
            <w:pPr>
              <w:spacing w:line="301" w:lineRule="auto"/>
              <w:rPr>
                <w:rFonts w:ascii="Arial"/>
                <w:sz w:val="21"/>
              </w:rPr>
            </w:pPr>
          </w:p>
          <w:p w14:paraId="7DB60EE0">
            <w:pPr>
              <w:spacing w:line="301" w:lineRule="auto"/>
              <w:rPr>
                <w:rFonts w:ascii="Arial"/>
                <w:sz w:val="21"/>
              </w:rPr>
            </w:pPr>
          </w:p>
          <w:p w14:paraId="20E8D2E7">
            <w:pPr>
              <w:pStyle w:val="8"/>
              <w:spacing w:before="58" w:line="220" w:lineRule="auto"/>
              <w:ind w:left="10"/>
            </w:pPr>
            <w:r>
              <w:rPr>
                <w:spacing w:val="-2"/>
              </w:rPr>
              <w:t>行政处罚</w:t>
            </w:r>
          </w:p>
        </w:tc>
        <w:tc>
          <w:tcPr>
            <w:tcW w:w="8631" w:type="dxa"/>
            <w:vAlign w:val="top"/>
          </w:tcPr>
          <w:p w14:paraId="21EAEE1E">
            <w:pPr>
              <w:pStyle w:val="8"/>
              <w:spacing w:before="196" w:line="219" w:lineRule="auto"/>
              <w:ind w:left="472"/>
            </w:pPr>
            <w:r>
              <w:rPr>
                <w:b/>
                <w:bCs/>
                <w:spacing w:val="-4"/>
              </w:rPr>
              <w:t>《中华人民共和国公路法》</w:t>
            </w:r>
          </w:p>
          <w:p w14:paraId="61643C3E">
            <w:pPr>
              <w:pStyle w:val="8"/>
              <w:spacing w:before="25" w:line="219" w:lineRule="auto"/>
              <w:ind w:left="466"/>
            </w:pPr>
            <w:r>
              <w:rPr>
                <w:spacing w:val="-2"/>
              </w:rPr>
              <w:t>第五十一条  机动车制造厂和其他单位不得将公路作为检验机动车制动性能的试车</w:t>
            </w:r>
            <w:r>
              <w:rPr>
                <w:spacing w:val="-3"/>
              </w:rPr>
              <w:t>场地。</w:t>
            </w:r>
          </w:p>
          <w:p w14:paraId="426F83BD">
            <w:pPr>
              <w:pStyle w:val="8"/>
              <w:spacing w:before="26" w:line="238" w:lineRule="auto"/>
              <w:ind w:left="117" w:right="107" w:firstLine="349"/>
            </w:pPr>
            <w:r>
              <w:rPr>
                <w:spacing w:val="-1"/>
              </w:rPr>
              <w:t>第七十七条  违反本法第四十六条的规定，造成公路路面损坏、污染或者影响公路畅通的</w:t>
            </w:r>
            <w:r>
              <w:rPr>
                <w:spacing w:val="-2"/>
              </w:rPr>
              <w:t>，或者违反本</w:t>
            </w:r>
            <w:r>
              <w:t xml:space="preserve"> </w:t>
            </w:r>
            <w:r>
              <w:rPr>
                <w:spacing w:val="3"/>
              </w:rPr>
              <w:t>法第五十一条规定，将公路作为试车场地的，由交通主管部门责</w:t>
            </w:r>
            <w:r>
              <w:rPr>
                <w:spacing w:val="2"/>
              </w:rPr>
              <w:t>令停止违法行为，可以处五千元以下的罚</w:t>
            </w:r>
            <w:r>
              <w:t xml:space="preserve"> </w:t>
            </w:r>
            <w:r>
              <w:rPr>
                <w:spacing w:val="-4"/>
              </w:rPr>
              <w:t>款。</w:t>
            </w:r>
          </w:p>
        </w:tc>
        <w:tc>
          <w:tcPr>
            <w:tcW w:w="1022" w:type="dxa"/>
            <w:vAlign w:val="top"/>
          </w:tcPr>
          <w:p w14:paraId="7403191B">
            <w:pPr>
              <w:spacing w:line="241" w:lineRule="auto"/>
              <w:rPr>
                <w:rFonts w:ascii="Arial"/>
                <w:sz w:val="21"/>
              </w:rPr>
            </w:pPr>
          </w:p>
          <w:p w14:paraId="57BC373E">
            <w:pPr>
              <w:spacing w:line="241" w:lineRule="auto"/>
              <w:rPr>
                <w:rFonts w:ascii="Arial"/>
                <w:sz w:val="21"/>
              </w:rPr>
            </w:pPr>
          </w:p>
          <w:p w14:paraId="104ED1BC">
            <w:pPr>
              <w:pStyle w:val="8"/>
              <w:spacing w:before="59" w:line="233" w:lineRule="auto"/>
              <w:ind w:left="158" w:right="147" w:firstLine="2"/>
            </w:pPr>
            <w:r>
              <w:rPr>
                <w:spacing w:val="-3"/>
              </w:rPr>
              <w:t>交通运输</w:t>
            </w:r>
            <w:r>
              <w:t xml:space="preserve"> </w:t>
            </w:r>
            <w:r>
              <w:rPr>
                <w:spacing w:val="-3"/>
              </w:rPr>
              <w:t>主管部门</w:t>
            </w:r>
          </w:p>
        </w:tc>
        <w:tc>
          <w:tcPr>
            <w:tcW w:w="1419" w:type="dxa"/>
            <w:vAlign w:val="top"/>
          </w:tcPr>
          <w:p w14:paraId="71FA1137">
            <w:pPr>
              <w:spacing w:line="301" w:lineRule="auto"/>
              <w:rPr>
                <w:rFonts w:ascii="Arial"/>
                <w:sz w:val="21"/>
              </w:rPr>
            </w:pPr>
          </w:p>
          <w:p w14:paraId="4BC5AC79">
            <w:pPr>
              <w:spacing w:line="301" w:lineRule="auto"/>
              <w:rPr>
                <w:rFonts w:ascii="Arial"/>
                <w:sz w:val="21"/>
              </w:rPr>
            </w:pPr>
          </w:p>
          <w:p w14:paraId="0EE8B73F">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79448A8E">
            <w:pPr>
              <w:spacing w:line="359" w:lineRule="auto"/>
              <w:rPr>
                <w:rFonts w:ascii="Arial"/>
                <w:sz w:val="21"/>
              </w:rPr>
            </w:pPr>
          </w:p>
          <w:p w14:paraId="30CB32AF">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bl>
    <w:p w14:paraId="1B229FFC">
      <w:pPr>
        <w:pStyle w:val="2"/>
      </w:pPr>
    </w:p>
    <w:p w14:paraId="459B7BD7">
      <w:pPr>
        <w:sectPr>
          <w:footerReference r:id="rId65" w:type="default"/>
          <w:pgSz w:w="16840" w:h="11910"/>
          <w:pgMar w:top="1012" w:right="940" w:bottom="966" w:left="940" w:header="0" w:footer="768" w:gutter="0"/>
          <w:cols w:space="720" w:num="1"/>
        </w:sectPr>
      </w:pPr>
    </w:p>
    <w:p w14:paraId="51E6A9C7">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69AE6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18782217">
            <w:pPr>
              <w:pStyle w:val="8"/>
              <w:spacing w:before="259" w:line="221" w:lineRule="auto"/>
              <w:ind w:left="148"/>
            </w:pPr>
            <w:r>
              <w:rPr>
                <w:b/>
                <w:bCs/>
                <w:spacing w:val="-6"/>
              </w:rPr>
              <w:t>序号</w:t>
            </w:r>
          </w:p>
        </w:tc>
        <w:tc>
          <w:tcPr>
            <w:tcW w:w="1113" w:type="dxa"/>
            <w:vMerge w:val="restart"/>
            <w:tcBorders>
              <w:bottom w:val="nil"/>
            </w:tcBorders>
            <w:vAlign w:val="top"/>
          </w:tcPr>
          <w:p w14:paraId="53675FD4">
            <w:pPr>
              <w:pStyle w:val="8"/>
              <w:spacing w:before="260" w:line="220" w:lineRule="auto"/>
              <w:ind w:left="201"/>
            </w:pPr>
            <w:r>
              <w:rPr>
                <w:b/>
                <w:bCs/>
                <w:spacing w:val="-5"/>
              </w:rPr>
              <w:t>事项名称</w:t>
            </w:r>
          </w:p>
        </w:tc>
        <w:tc>
          <w:tcPr>
            <w:tcW w:w="1113" w:type="dxa"/>
            <w:vMerge w:val="restart"/>
            <w:tcBorders>
              <w:bottom w:val="nil"/>
            </w:tcBorders>
            <w:vAlign w:val="top"/>
          </w:tcPr>
          <w:p w14:paraId="14ACD066">
            <w:pPr>
              <w:pStyle w:val="8"/>
              <w:spacing w:before="260" w:line="219" w:lineRule="auto"/>
              <w:ind w:left="202"/>
            </w:pPr>
            <w:r>
              <w:rPr>
                <w:b/>
                <w:bCs/>
                <w:spacing w:val="-5"/>
              </w:rPr>
              <w:t>职权类型</w:t>
            </w:r>
          </w:p>
        </w:tc>
        <w:tc>
          <w:tcPr>
            <w:tcW w:w="8631" w:type="dxa"/>
            <w:vMerge w:val="restart"/>
            <w:tcBorders>
              <w:bottom w:val="nil"/>
            </w:tcBorders>
            <w:vAlign w:val="top"/>
          </w:tcPr>
          <w:p w14:paraId="3A86E488">
            <w:pPr>
              <w:pStyle w:val="8"/>
              <w:spacing w:before="259" w:line="219" w:lineRule="auto"/>
              <w:ind w:left="3970"/>
            </w:pPr>
            <w:r>
              <w:rPr>
                <w:b/>
                <w:bCs/>
                <w:spacing w:val="-6"/>
              </w:rPr>
              <w:t>实施依据</w:t>
            </w:r>
          </w:p>
        </w:tc>
        <w:tc>
          <w:tcPr>
            <w:tcW w:w="3468" w:type="dxa"/>
            <w:gridSpan w:val="3"/>
            <w:vAlign w:val="top"/>
          </w:tcPr>
          <w:p w14:paraId="7BA588B9">
            <w:pPr>
              <w:pStyle w:val="8"/>
              <w:spacing w:before="82" w:line="220" w:lineRule="auto"/>
              <w:ind w:left="1389"/>
            </w:pPr>
            <w:r>
              <w:rPr>
                <w:b/>
                <w:bCs/>
                <w:spacing w:val="-6"/>
              </w:rPr>
              <w:t>实施主体</w:t>
            </w:r>
          </w:p>
        </w:tc>
      </w:tr>
      <w:tr w14:paraId="12CD7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269CC725">
            <w:pPr>
              <w:rPr>
                <w:rFonts w:ascii="Arial"/>
                <w:sz w:val="21"/>
              </w:rPr>
            </w:pPr>
          </w:p>
        </w:tc>
        <w:tc>
          <w:tcPr>
            <w:tcW w:w="1113" w:type="dxa"/>
            <w:vMerge w:val="continue"/>
            <w:tcBorders>
              <w:top w:val="nil"/>
            </w:tcBorders>
            <w:vAlign w:val="top"/>
          </w:tcPr>
          <w:p w14:paraId="447D01B8">
            <w:pPr>
              <w:rPr>
                <w:rFonts w:ascii="Arial"/>
                <w:sz w:val="21"/>
              </w:rPr>
            </w:pPr>
          </w:p>
        </w:tc>
        <w:tc>
          <w:tcPr>
            <w:tcW w:w="1113" w:type="dxa"/>
            <w:vMerge w:val="continue"/>
            <w:tcBorders>
              <w:top w:val="nil"/>
            </w:tcBorders>
            <w:vAlign w:val="top"/>
          </w:tcPr>
          <w:p w14:paraId="09C42E6A">
            <w:pPr>
              <w:rPr>
                <w:rFonts w:ascii="Arial"/>
                <w:sz w:val="21"/>
              </w:rPr>
            </w:pPr>
          </w:p>
        </w:tc>
        <w:tc>
          <w:tcPr>
            <w:tcW w:w="8631" w:type="dxa"/>
            <w:vMerge w:val="continue"/>
            <w:tcBorders>
              <w:top w:val="nil"/>
            </w:tcBorders>
            <w:vAlign w:val="top"/>
          </w:tcPr>
          <w:p w14:paraId="0E1084C0">
            <w:pPr>
              <w:rPr>
                <w:rFonts w:ascii="Arial"/>
                <w:sz w:val="21"/>
              </w:rPr>
            </w:pPr>
          </w:p>
        </w:tc>
        <w:tc>
          <w:tcPr>
            <w:tcW w:w="1022" w:type="dxa"/>
            <w:vAlign w:val="top"/>
          </w:tcPr>
          <w:p w14:paraId="526BAED5">
            <w:pPr>
              <w:pStyle w:val="8"/>
              <w:spacing w:before="84" w:line="219" w:lineRule="auto"/>
              <w:ind w:left="170"/>
            </w:pPr>
            <w:r>
              <w:rPr>
                <w:b/>
                <w:bCs/>
                <w:spacing w:val="-6"/>
              </w:rPr>
              <w:t>责任部门</w:t>
            </w:r>
          </w:p>
        </w:tc>
        <w:tc>
          <w:tcPr>
            <w:tcW w:w="1419" w:type="dxa"/>
            <w:vAlign w:val="top"/>
          </w:tcPr>
          <w:p w14:paraId="704918ED">
            <w:pPr>
              <w:pStyle w:val="8"/>
              <w:spacing w:before="84" w:line="219" w:lineRule="auto"/>
              <w:ind w:left="183"/>
            </w:pPr>
            <w:r>
              <w:rPr>
                <w:b/>
                <w:bCs/>
                <w:spacing w:val="-4"/>
              </w:rPr>
              <w:t>第一责任层级</w:t>
            </w:r>
          </w:p>
        </w:tc>
        <w:tc>
          <w:tcPr>
            <w:tcW w:w="1027" w:type="dxa"/>
            <w:vAlign w:val="top"/>
          </w:tcPr>
          <w:p w14:paraId="5EB40DC1">
            <w:pPr>
              <w:pStyle w:val="8"/>
              <w:spacing w:before="83" w:line="219" w:lineRule="auto"/>
              <w:ind w:left="161"/>
            </w:pPr>
            <w:r>
              <w:rPr>
                <w:b/>
                <w:bCs/>
                <w:spacing w:val="-5"/>
              </w:rPr>
              <w:t>承办机构</w:t>
            </w:r>
          </w:p>
        </w:tc>
      </w:tr>
      <w:tr w14:paraId="43543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trPr>
        <w:tc>
          <w:tcPr>
            <w:tcW w:w="629" w:type="dxa"/>
            <w:vAlign w:val="top"/>
          </w:tcPr>
          <w:p w14:paraId="46BD4BF5">
            <w:pPr>
              <w:spacing w:line="452" w:lineRule="auto"/>
              <w:rPr>
                <w:rFonts w:ascii="Arial"/>
                <w:sz w:val="21"/>
              </w:rPr>
            </w:pPr>
          </w:p>
          <w:p w14:paraId="4C5A7D9F">
            <w:pPr>
              <w:pStyle w:val="8"/>
              <w:spacing w:before="58" w:line="183" w:lineRule="auto"/>
              <w:ind w:left="274"/>
            </w:pPr>
            <w:r>
              <w:t>9</w:t>
            </w:r>
          </w:p>
        </w:tc>
        <w:tc>
          <w:tcPr>
            <w:tcW w:w="1113" w:type="dxa"/>
            <w:vAlign w:val="top"/>
          </w:tcPr>
          <w:p w14:paraId="1EAF2631">
            <w:pPr>
              <w:pStyle w:val="8"/>
              <w:spacing w:before="111" w:line="242" w:lineRule="auto"/>
              <w:ind w:left="95" w:right="90"/>
              <w:jc w:val="both"/>
            </w:pPr>
            <w:r>
              <w:rPr>
                <w:spacing w:val="4"/>
              </w:rPr>
              <w:t>对造成公路</w:t>
            </w:r>
            <w:r>
              <w:rPr>
                <w:spacing w:val="1"/>
              </w:rPr>
              <w:t xml:space="preserve"> </w:t>
            </w:r>
            <w:r>
              <w:rPr>
                <w:spacing w:val="4"/>
              </w:rPr>
              <w:t>损坏未报告</w:t>
            </w:r>
            <w:r>
              <w:t xml:space="preserve"> </w:t>
            </w:r>
            <w:r>
              <w:rPr>
                <w:spacing w:val="4"/>
              </w:rPr>
              <w:t>行为的行政</w:t>
            </w:r>
            <w:r>
              <w:t xml:space="preserve"> </w:t>
            </w:r>
            <w:r>
              <w:rPr>
                <w:spacing w:val="-4"/>
              </w:rPr>
              <w:t>处罚</w:t>
            </w:r>
          </w:p>
        </w:tc>
        <w:tc>
          <w:tcPr>
            <w:tcW w:w="1113" w:type="dxa"/>
            <w:vAlign w:val="top"/>
          </w:tcPr>
          <w:p w14:paraId="4B696C8D">
            <w:pPr>
              <w:spacing w:line="411" w:lineRule="auto"/>
              <w:rPr>
                <w:rFonts w:ascii="Arial"/>
                <w:sz w:val="21"/>
              </w:rPr>
            </w:pPr>
          </w:p>
          <w:p w14:paraId="083EEEED">
            <w:pPr>
              <w:pStyle w:val="8"/>
              <w:spacing w:before="59" w:line="220" w:lineRule="auto"/>
              <w:ind w:left="10"/>
            </w:pPr>
            <w:r>
              <w:rPr>
                <w:spacing w:val="-2"/>
              </w:rPr>
              <w:t>行政处罚</w:t>
            </w:r>
          </w:p>
        </w:tc>
        <w:tc>
          <w:tcPr>
            <w:tcW w:w="8631" w:type="dxa"/>
            <w:vAlign w:val="top"/>
          </w:tcPr>
          <w:p w14:paraId="105B249D">
            <w:pPr>
              <w:pStyle w:val="8"/>
              <w:spacing w:before="125" w:line="219" w:lineRule="auto"/>
              <w:ind w:left="472"/>
            </w:pPr>
            <w:r>
              <w:rPr>
                <w:b/>
                <w:bCs/>
                <w:spacing w:val="-4"/>
              </w:rPr>
              <w:t>《中华人民共和国公路法》</w:t>
            </w:r>
          </w:p>
          <w:p w14:paraId="17607EDA">
            <w:pPr>
              <w:pStyle w:val="8"/>
              <w:spacing w:before="26" w:line="218" w:lineRule="auto"/>
              <w:ind w:left="466"/>
            </w:pPr>
            <w:r>
              <w:rPr>
                <w:spacing w:val="-2"/>
              </w:rPr>
              <w:t>第五十三条  造成公路损坏的，责任者应当及时报告公路管理机构，并接受公路管理机构的现场</w:t>
            </w:r>
            <w:r>
              <w:rPr>
                <w:spacing w:val="-3"/>
              </w:rPr>
              <w:t>调查。</w:t>
            </w:r>
          </w:p>
          <w:p w14:paraId="22F78C6A">
            <w:pPr>
              <w:pStyle w:val="8"/>
              <w:spacing w:before="26" w:line="234" w:lineRule="auto"/>
              <w:ind w:left="117" w:right="109" w:firstLine="349"/>
            </w:pPr>
            <w:r>
              <w:rPr>
                <w:spacing w:val="-1"/>
              </w:rPr>
              <w:t>第七十八条  违反本法第五十三条规定，造成公路损坏，未报告的，由交通主管部门处一</w:t>
            </w:r>
            <w:r>
              <w:rPr>
                <w:spacing w:val="-2"/>
              </w:rPr>
              <w:t>千元以下的罚</w:t>
            </w:r>
            <w:r>
              <w:t xml:space="preserve"> </w:t>
            </w:r>
            <w:r>
              <w:rPr>
                <w:spacing w:val="-4"/>
              </w:rPr>
              <w:t>款。</w:t>
            </w:r>
          </w:p>
        </w:tc>
        <w:tc>
          <w:tcPr>
            <w:tcW w:w="1022" w:type="dxa"/>
            <w:vAlign w:val="top"/>
          </w:tcPr>
          <w:p w14:paraId="65561013">
            <w:pPr>
              <w:spacing w:line="293" w:lineRule="auto"/>
              <w:rPr>
                <w:rFonts w:ascii="Arial"/>
                <w:sz w:val="21"/>
              </w:rPr>
            </w:pPr>
          </w:p>
          <w:p w14:paraId="2BBA51EB">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1E0A6C46">
            <w:pPr>
              <w:spacing w:line="412" w:lineRule="auto"/>
              <w:rPr>
                <w:rFonts w:ascii="Arial"/>
                <w:sz w:val="21"/>
              </w:rPr>
            </w:pPr>
          </w:p>
          <w:p w14:paraId="2AF28496">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74805607">
            <w:pPr>
              <w:pStyle w:val="8"/>
              <w:spacing w:before="229"/>
              <w:ind w:left="68" w:right="61" w:firstLine="21"/>
              <w:jc w:val="both"/>
              <w:rPr>
                <w:rFonts w:hint="eastAsia" w:eastAsia="宋体"/>
                <w:lang w:eastAsia="zh-CN"/>
              </w:rPr>
            </w:pPr>
            <w:r>
              <w:rPr>
                <w:rFonts w:hint="eastAsia"/>
                <w:spacing w:val="-6"/>
                <w:lang w:eastAsia="zh-CN"/>
              </w:rPr>
              <w:t>津市市交通运输综合行政执法大队</w:t>
            </w:r>
          </w:p>
        </w:tc>
      </w:tr>
      <w:tr w14:paraId="6B4C6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9" w:hRule="atLeast"/>
        </w:trPr>
        <w:tc>
          <w:tcPr>
            <w:tcW w:w="629" w:type="dxa"/>
            <w:vAlign w:val="top"/>
          </w:tcPr>
          <w:p w14:paraId="2FE560C5">
            <w:pPr>
              <w:spacing w:line="243" w:lineRule="auto"/>
              <w:rPr>
                <w:rFonts w:ascii="Arial"/>
                <w:sz w:val="21"/>
              </w:rPr>
            </w:pPr>
          </w:p>
          <w:p w14:paraId="79C1DA71">
            <w:pPr>
              <w:spacing w:line="243" w:lineRule="auto"/>
              <w:rPr>
                <w:rFonts w:ascii="Arial"/>
                <w:sz w:val="21"/>
              </w:rPr>
            </w:pPr>
          </w:p>
          <w:p w14:paraId="19149325">
            <w:pPr>
              <w:spacing w:line="244" w:lineRule="auto"/>
              <w:rPr>
                <w:rFonts w:ascii="Arial"/>
                <w:sz w:val="21"/>
              </w:rPr>
            </w:pPr>
          </w:p>
          <w:p w14:paraId="247C2CC5">
            <w:pPr>
              <w:pStyle w:val="8"/>
              <w:spacing w:before="59" w:line="184" w:lineRule="auto"/>
              <w:ind w:left="246"/>
            </w:pPr>
            <w:r>
              <w:rPr>
                <w:spacing w:val="-11"/>
              </w:rPr>
              <w:t>10</w:t>
            </w:r>
          </w:p>
        </w:tc>
        <w:tc>
          <w:tcPr>
            <w:tcW w:w="1113" w:type="dxa"/>
            <w:vAlign w:val="top"/>
          </w:tcPr>
          <w:p w14:paraId="45C288DE">
            <w:pPr>
              <w:pStyle w:val="8"/>
              <w:spacing w:before="30" w:line="243" w:lineRule="auto"/>
              <w:ind w:left="96" w:right="90" w:hanging="1"/>
              <w:jc w:val="both"/>
            </w:pPr>
            <w:r>
              <w:rPr>
                <w:spacing w:val="4"/>
              </w:rPr>
              <w:t>对擅自在公</w:t>
            </w:r>
            <w:r>
              <w:rPr>
                <w:spacing w:val="1"/>
              </w:rPr>
              <w:t xml:space="preserve"> </w:t>
            </w:r>
            <w:r>
              <w:rPr>
                <w:spacing w:val="4"/>
              </w:rPr>
              <w:t>路用地范围</w:t>
            </w:r>
            <w:r>
              <w:t xml:space="preserve"> </w:t>
            </w:r>
            <w:r>
              <w:rPr>
                <w:spacing w:val="4"/>
              </w:rPr>
              <w:t>内设置公路</w:t>
            </w:r>
            <w:r>
              <w:t xml:space="preserve"> </w:t>
            </w:r>
            <w:r>
              <w:rPr>
                <w:spacing w:val="4"/>
              </w:rPr>
              <w:t>标志以外的</w:t>
            </w:r>
            <w:r>
              <w:t xml:space="preserve"> </w:t>
            </w:r>
            <w:r>
              <w:rPr>
                <w:spacing w:val="4"/>
              </w:rPr>
              <w:t>其他标志行</w:t>
            </w:r>
            <w:r>
              <w:t xml:space="preserve"> </w:t>
            </w:r>
            <w:r>
              <w:rPr>
                <w:spacing w:val="4"/>
              </w:rPr>
              <w:t>为的行政处</w:t>
            </w:r>
            <w:r>
              <w:t xml:space="preserve"> 罚</w:t>
            </w:r>
          </w:p>
        </w:tc>
        <w:tc>
          <w:tcPr>
            <w:tcW w:w="1113" w:type="dxa"/>
            <w:vAlign w:val="top"/>
          </w:tcPr>
          <w:p w14:paraId="612A0779">
            <w:pPr>
              <w:spacing w:line="345" w:lineRule="auto"/>
              <w:rPr>
                <w:rFonts w:ascii="Arial"/>
                <w:sz w:val="21"/>
              </w:rPr>
            </w:pPr>
          </w:p>
          <w:p w14:paraId="5BED404A">
            <w:pPr>
              <w:spacing w:line="346" w:lineRule="auto"/>
              <w:rPr>
                <w:rFonts w:ascii="Arial"/>
                <w:sz w:val="21"/>
              </w:rPr>
            </w:pPr>
          </w:p>
          <w:p w14:paraId="158DB0F1">
            <w:pPr>
              <w:pStyle w:val="8"/>
              <w:spacing w:before="58" w:line="220" w:lineRule="auto"/>
              <w:ind w:left="10"/>
            </w:pPr>
            <w:r>
              <w:rPr>
                <w:spacing w:val="-2"/>
              </w:rPr>
              <w:t>行政处罚</w:t>
            </w:r>
          </w:p>
        </w:tc>
        <w:tc>
          <w:tcPr>
            <w:tcW w:w="8631" w:type="dxa"/>
            <w:vAlign w:val="top"/>
          </w:tcPr>
          <w:p w14:paraId="41998A27">
            <w:pPr>
              <w:pStyle w:val="8"/>
              <w:spacing w:before="166" w:line="219" w:lineRule="auto"/>
              <w:ind w:left="472"/>
            </w:pPr>
            <w:r>
              <w:rPr>
                <w:b/>
                <w:bCs/>
                <w:spacing w:val="-4"/>
              </w:rPr>
              <w:t>《中华人民共和国公路法》</w:t>
            </w:r>
          </w:p>
          <w:p w14:paraId="12D04146">
            <w:pPr>
              <w:pStyle w:val="8"/>
              <w:spacing w:before="25" w:line="233" w:lineRule="auto"/>
              <w:ind w:left="114" w:right="109" w:firstLine="351"/>
            </w:pPr>
            <w:r>
              <w:rPr>
                <w:spacing w:val="-1"/>
              </w:rPr>
              <w:t>第五十四条  任何单位和个人未经县级以上地方人民政府交通主管部门批准，不得在公路</w:t>
            </w:r>
            <w:r>
              <w:rPr>
                <w:spacing w:val="-2"/>
              </w:rPr>
              <w:t>用地范围内设</w:t>
            </w:r>
            <w:r>
              <w:t xml:space="preserve"> </w:t>
            </w:r>
            <w:r>
              <w:rPr>
                <w:spacing w:val="-3"/>
              </w:rPr>
              <w:t>置公路标志以外的其他标志。</w:t>
            </w:r>
          </w:p>
          <w:p w14:paraId="3CFDC466">
            <w:pPr>
              <w:pStyle w:val="8"/>
              <w:spacing w:before="26" w:line="237" w:lineRule="auto"/>
              <w:ind w:left="120" w:right="107" w:firstLine="346"/>
              <w:jc w:val="both"/>
            </w:pPr>
            <w:r>
              <w:rPr>
                <w:spacing w:val="-1"/>
              </w:rPr>
              <w:t>第七十九条  违反本法第五十四条规定，在公路用地范围内设置公路标志以外的其他标志</w:t>
            </w:r>
            <w:r>
              <w:rPr>
                <w:spacing w:val="-2"/>
              </w:rPr>
              <w:t>的，由交通主</w:t>
            </w:r>
            <w:r>
              <w:t xml:space="preserve"> </w:t>
            </w:r>
            <w:r>
              <w:rPr>
                <w:spacing w:val="-1"/>
              </w:rPr>
              <w:t>管部门责令限期拆除，可以处二万元以下的罚款；逾期不拆除的，由交</w:t>
            </w:r>
            <w:r>
              <w:rPr>
                <w:spacing w:val="-2"/>
              </w:rPr>
              <w:t>通主管部门拆除，有关费用由设置者</w:t>
            </w:r>
            <w:r>
              <w:t xml:space="preserve"> </w:t>
            </w:r>
            <w:r>
              <w:rPr>
                <w:spacing w:val="-5"/>
              </w:rPr>
              <w:t>负担。</w:t>
            </w:r>
          </w:p>
        </w:tc>
        <w:tc>
          <w:tcPr>
            <w:tcW w:w="1022" w:type="dxa"/>
            <w:vAlign w:val="top"/>
          </w:tcPr>
          <w:p w14:paraId="4DC86863">
            <w:pPr>
              <w:spacing w:line="286" w:lineRule="auto"/>
              <w:rPr>
                <w:rFonts w:ascii="Arial"/>
                <w:sz w:val="21"/>
              </w:rPr>
            </w:pPr>
          </w:p>
          <w:p w14:paraId="5A46800E">
            <w:pPr>
              <w:spacing w:line="286" w:lineRule="auto"/>
              <w:rPr>
                <w:rFonts w:ascii="Arial"/>
                <w:sz w:val="21"/>
              </w:rPr>
            </w:pPr>
          </w:p>
          <w:p w14:paraId="01E28F89">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3E1B7675">
            <w:pPr>
              <w:spacing w:line="345" w:lineRule="auto"/>
              <w:rPr>
                <w:rFonts w:ascii="Arial"/>
                <w:sz w:val="21"/>
              </w:rPr>
            </w:pPr>
          </w:p>
          <w:p w14:paraId="67775438">
            <w:pPr>
              <w:spacing w:line="346" w:lineRule="auto"/>
              <w:rPr>
                <w:rFonts w:ascii="Arial"/>
                <w:sz w:val="21"/>
              </w:rPr>
            </w:pPr>
          </w:p>
          <w:p w14:paraId="295222F2">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78DC5E9E">
            <w:pPr>
              <w:spacing w:line="453" w:lineRule="auto"/>
              <w:rPr>
                <w:rFonts w:ascii="Arial"/>
                <w:sz w:val="21"/>
              </w:rPr>
            </w:pPr>
          </w:p>
          <w:p w14:paraId="6D5D6A97">
            <w:pPr>
              <w:pStyle w:val="8"/>
              <w:spacing w:before="59"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r w14:paraId="28279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4" w:hRule="atLeast"/>
        </w:trPr>
        <w:tc>
          <w:tcPr>
            <w:tcW w:w="629" w:type="dxa"/>
            <w:vAlign w:val="top"/>
          </w:tcPr>
          <w:p w14:paraId="6F7084BD">
            <w:pPr>
              <w:spacing w:line="254" w:lineRule="auto"/>
              <w:rPr>
                <w:rFonts w:ascii="Arial"/>
                <w:sz w:val="21"/>
              </w:rPr>
            </w:pPr>
          </w:p>
          <w:p w14:paraId="6D3B73F5">
            <w:pPr>
              <w:spacing w:line="254" w:lineRule="auto"/>
              <w:rPr>
                <w:rFonts w:ascii="Arial"/>
                <w:sz w:val="21"/>
              </w:rPr>
            </w:pPr>
          </w:p>
          <w:p w14:paraId="6B141078">
            <w:pPr>
              <w:spacing w:line="254" w:lineRule="auto"/>
              <w:rPr>
                <w:rFonts w:ascii="Arial"/>
                <w:sz w:val="21"/>
              </w:rPr>
            </w:pPr>
          </w:p>
          <w:p w14:paraId="4EFC7587">
            <w:pPr>
              <w:spacing w:line="254" w:lineRule="auto"/>
              <w:rPr>
                <w:rFonts w:ascii="Arial"/>
                <w:sz w:val="21"/>
              </w:rPr>
            </w:pPr>
          </w:p>
          <w:p w14:paraId="3AC9F1D7">
            <w:pPr>
              <w:spacing w:line="255" w:lineRule="auto"/>
              <w:rPr>
                <w:rFonts w:ascii="Arial"/>
                <w:sz w:val="21"/>
              </w:rPr>
            </w:pPr>
          </w:p>
          <w:p w14:paraId="4A539C62">
            <w:pPr>
              <w:spacing w:line="255" w:lineRule="auto"/>
              <w:rPr>
                <w:rFonts w:ascii="Arial"/>
                <w:sz w:val="21"/>
              </w:rPr>
            </w:pPr>
          </w:p>
          <w:p w14:paraId="3BDE0E34">
            <w:pPr>
              <w:spacing w:line="255" w:lineRule="auto"/>
              <w:rPr>
                <w:rFonts w:ascii="Arial"/>
                <w:sz w:val="21"/>
              </w:rPr>
            </w:pPr>
          </w:p>
          <w:p w14:paraId="611E463F">
            <w:pPr>
              <w:spacing w:line="255" w:lineRule="auto"/>
              <w:rPr>
                <w:rFonts w:ascii="Arial"/>
                <w:sz w:val="21"/>
              </w:rPr>
            </w:pPr>
          </w:p>
          <w:p w14:paraId="7CF6C162">
            <w:pPr>
              <w:spacing w:line="255" w:lineRule="auto"/>
              <w:rPr>
                <w:rFonts w:ascii="Arial"/>
                <w:sz w:val="21"/>
              </w:rPr>
            </w:pPr>
          </w:p>
          <w:p w14:paraId="66C93A61">
            <w:pPr>
              <w:spacing w:line="255" w:lineRule="auto"/>
              <w:rPr>
                <w:rFonts w:ascii="Arial"/>
                <w:sz w:val="21"/>
              </w:rPr>
            </w:pPr>
          </w:p>
          <w:p w14:paraId="55ACACE8">
            <w:pPr>
              <w:spacing w:line="255" w:lineRule="auto"/>
              <w:rPr>
                <w:rFonts w:ascii="Arial"/>
                <w:sz w:val="21"/>
              </w:rPr>
            </w:pPr>
          </w:p>
          <w:p w14:paraId="0B5CBCA7">
            <w:pPr>
              <w:pStyle w:val="8"/>
              <w:spacing w:before="58" w:line="184" w:lineRule="auto"/>
              <w:ind w:left="246"/>
            </w:pPr>
            <w:r>
              <w:rPr>
                <w:spacing w:val="-11"/>
              </w:rPr>
              <w:t>11</w:t>
            </w:r>
          </w:p>
        </w:tc>
        <w:tc>
          <w:tcPr>
            <w:tcW w:w="1113" w:type="dxa"/>
            <w:vAlign w:val="top"/>
          </w:tcPr>
          <w:p w14:paraId="54FE3A66">
            <w:pPr>
              <w:spacing w:line="274" w:lineRule="auto"/>
              <w:rPr>
                <w:rFonts w:ascii="Arial"/>
                <w:sz w:val="21"/>
              </w:rPr>
            </w:pPr>
          </w:p>
          <w:p w14:paraId="19C19CD8">
            <w:pPr>
              <w:spacing w:line="274" w:lineRule="auto"/>
              <w:rPr>
                <w:rFonts w:ascii="Arial"/>
                <w:sz w:val="21"/>
              </w:rPr>
            </w:pPr>
          </w:p>
          <w:p w14:paraId="14EB1D6E">
            <w:pPr>
              <w:spacing w:line="274" w:lineRule="auto"/>
              <w:rPr>
                <w:rFonts w:ascii="Arial"/>
                <w:sz w:val="21"/>
              </w:rPr>
            </w:pPr>
          </w:p>
          <w:p w14:paraId="1ACEC38A">
            <w:pPr>
              <w:spacing w:line="274" w:lineRule="auto"/>
              <w:rPr>
                <w:rFonts w:ascii="Arial"/>
                <w:sz w:val="21"/>
              </w:rPr>
            </w:pPr>
          </w:p>
          <w:p w14:paraId="2C7B47DA">
            <w:pPr>
              <w:spacing w:line="274" w:lineRule="auto"/>
              <w:rPr>
                <w:rFonts w:ascii="Arial"/>
                <w:sz w:val="21"/>
              </w:rPr>
            </w:pPr>
          </w:p>
          <w:p w14:paraId="033CF6C8">
            <w:pPr>
              <w:spacing w:line="274" w:lineRule="auto"/>
              <w:rPr>
                <w:rFonts w:ascii="Arial"/>
                <w:sz w:val="21"/>
              </w:rPr>
            </w:pPr>
          </w:p>
          <w:p w14:paraId="68422B0D">
            <w:pPr>
              <w:spacing w:line="274" w:lineRule="auto"/>
              <w:rPr>
                <w:rFonts w:ascii="Arial"/>
                <w:sz w:val="21"/>
              </w:rPr>
            </w:pPr>
          </w:p>
          <w:p w14:paraId="4BD47E8B">
            <w:pPr>
              <w:pStyle w:val="8"/>
              <w:spacing w:before="59" w:line="245" w:lineRule="auto"/>
              <w:ind w:left="95" w:right="90"/>
              <w:jc w:val="both"/>
            </w:pPr>
            <w:r>
              <w:rPr>
                <w:spacing w:val="4"/>
              </w:rPr>
              <w:t>对在公路建</w:t>
            </w:r>
            <w:r>
              <w:rPr>
                <w:spacing w:val="1"/>
              </w:rPr>
              <w:t xml:space="preserve"> </w:t>
            </w:r>
            <w:r>
              <w:rPr>
                <w:spacing w:val="4"/>
              </w:rPr>
              <w:t>筑控制区内</w:t>
            </w:r>
            <w:r>
              <w:rPr>
                <w:spacing w:val="1"/>
              </w:rPr>
              <w:t xml:space="preserve"> </w:t>
            </w:r>
            <w:r>
              <w:rPr>
                <w:spacing w:val="4"/>
              </w:rPr>
              <w:t>修建、扩建</w:t>
            </w:r>
            <w:r>
              <w:rPr>
                <w:spacing w:val="1"/>
              </w:rPr>
              <w:t xml:space="preserve"> </w:t>
            </w:r>
            <w:r>
              <w:rPr>
                <w:spacing w:val="4"/>
              </w:rPr>
              <w:t>建筑物、地</w:t>
            </w:r>
            <w:r>
              <w:rPr>
                <w:spacing w:val="1"/>
              </w:rPr>
              <w:t xml:space="preserve"> </w:t>
            </w:r>
            <w:r>
              <w:rPr>
                <w:spacing w:val="4"/>
              </w:rPr>
              <w:t>面构筑物或</w:t>
            </w:r>
            <w:r>
              <w:rPr>
                <w:spacing w:val="1"/>
              </w:rPr>
              <w:t xml:space="preserve"> </w:t>
            </w:r>
            <w:r>
              <w:rPr>
                <w:spacing w:val="4"/>
              </w:rPr>
              <w:t>擅自埋设管</w:t>
            </w:r>
            <w:r>
              <w:rPr>
                <w:spacing w:val="1"/>
              </w:rPr>
              <w:t xml:space="preserve"> </w:t>
            </w:r>
            <w:r>
              <w:rPr>
                <w:spacing w:val="4"/>
              </w:rPr>
              <w:t>道、电缆等</w:t>
            </w:r>
            <w:r>
              <w:rPr>
                <w:spacing w:val="1"/>
              </w:rPr>
              <w:t xml:space="preserve"> </w:t>
            </w:r>
            <w:r>
              <w:rPr>
                <w:spacing w:val="4"/>
              </w:rPr>
              <w:t>设施行为的</w:t>
            </w:r>
            <w:r>
              <w:rPr>
                <w:spacing w:val="1"/>
              </w:rPr>
              <w:t xml:space="preserve"> </w:t>
            </w:r>
            <w:r>
              <w:rPr>
                <w:spacing w:val="-4"/>
              </w:rPr>
              <w:t>行政处罚</w:t>
            </w:r>
          </w:p>
        </w:tc>
        <w:tc>
          <w:tcPr>
            <w:tcW w:w="1113" w:type="dxa"/>
            <w:vAlign w:val="top"/>
          </w:tcPr>
          <w:p w14:paraId="26480F17">
            <w:pPr>
              <w:spacing w:line="251" w:lineRule="auto"/>
              <w:rPr>
                <w:rFonts w:ascii="Arial"/>
                <w:sz w:val="21"/>
              </w:rPr>
            </w:pPr>
          </w:p>
          <w:p w14:paraId="3096ACA7">
            <w:pPr>
              <w:spacing w:line="251" w:lineRule="auto"/>
              <w:rPr>
                <w:rFonts w:ascii="Arial"/>
                <w:sz w:val="21"/>
              </w:rPr>
            </w:pPr>
          </w:p>
          <w:p w14:paraId="78043DF5">
            <w:pPr>
              <w:spacing w:line="251" w:lineRule="auto"/>
              <w:rPr>
                <w:rFonts w:ascii="Arial"/>
                <w:sz w:val="21"/>
              </w:rPr>
            </w:pPr>
          </w:p>
          <w:p w14:paraId="0CDD5FFE">
            <w:pPr>
              <w:spacing w:line="251" w:lineRule="auto"/>
              <w:rPr>
                <w:rFonts w:ascii="Arial"/>
                <w:sz w:val="21"/>
              </w:rPr>
            </w:pPr>
          </w:p>
          <w:p w14:paraId="013D94CB">
            <w:pPr>
              <w:spacing w:line="251" w:lineRule="auto"/>
              <w:rPr>
                <w:rFonts w:ascii="Arial"/>
                <w:sz w:val="21"/>
              </w:rPr>
            </w:pPr>
          </w:p>
          <w:p w14:paraId="6F82CB55">
            <w:pPr>
              <w:spacing w:line="251" w:lineRule="auto"/>
              <w:rPr>
                <w:rFonts w:ascii="Arial"/>
                <w:sz w:val="21"/>
              </w:rPr>
            </w:pPr>
          </w:p>
          <w:p w14:paraId="1947A36B">
            <w:pPr>
              <w:spacing w:line="251" w:lineRule="auto"/>
              <w:rPr>
                <w:rFonts w:ascii="Arial"/>
                <w:sz w:val="21"/>
              </w:rPr>
            </w:pPr>
          </w:p>
          <w:p w14:paraId="7A79844E">
            <w:pPr>
              <w:spacing w:line="251" w:lineRule="auto"/>
              <w:rPr>
                <w:rFonts w:ascii="Arial"/>
                <w:sz w:val="21"/>
              </w:rPr>
            </w:pPr>
          </w:p>
          <w:p w14:paraId="79FE4A7F">
            <w:pPr>
              <w:spacing w:line="251" w:lineRule="auto"/>
              <w:rPr>
                <w:rFonts w:ascii="Arial"/>
                <w:sz w:val="21"/>
              </w:rPr>
            </w:pPr>
          </w:p>
          <w:p w14:paraId="7B281C6D">
            <w:pPr>
              <w:spacing w:line="251" w:lineRule="auto"/>
              <w:rPr>
                <w:rFonts w:ascii="Arial"/>
                <w:sz w:val="21"/>
              </w:rPr>
            </w:pPr>
          </w:p>
          <w:p w14:paraId="5CCE9D41">
            <w:pPr>
              <w:spacing w:line="251" w:lineRule="auto"/>
              <w:rPr>
                <w:rFonts w:ascii="Arial"/>
                <w:sz w:val="21"/>
              </w:rPr>
            </w:pPr>
          </w:p>
          <w:p w14:paraId="255C857E">
            <w:pPr>
              <w:pStyle w:val="8"/>
              <w:spacing w:before="59" w:line="220" w:lineRule="auto"/>
              <w:ind w:left="10"/>
            </w:pPr>
            <w:r>
              <w:rPr>
                <w:spacing w:val="-2"/>
              </w:rPr>
              <w:t>行政处罚</w:t>
            </w:r>
          </w:p>
        </w:tc>
        <w:tc>
          <w:tcPr>
            <w:tcW w:w="8631" w:type="dxa"/>
            <w:vAlign w:val="top"/>
          </w:tcPr>
          <w:p w14:paraId="1611ACBE">
            <w:pPr>
              <w:pStyle w:val="8"/>
              <w:spacing w:before="89" w:line="219" w:lineRule="auto"/>
              <w:ind w:left="480"/>
            </w:pPr>
            <w:r>
              <w:rPr>
                <w:b/>
                <w:bCs/>
                <w:spacing w:val="-5"/>
              </w:rPr>
              <w:t>1.《中华人民共和国公路法》</w:t>
            </w:r>
          </w:p>
          <w:p w14:paraId="291F9A49">
            <w:pPr>
              <w:pStyle w:val="8"/>
              <w:spacing w:before="25" w:line="233" w:lineRule="auto"/>
              <w:ind w:left="116" w:right="109" w:firstLine="350"/>
            </w:pPr>
            <w:r>
              <w:rPr>
                <w:spacing w:val="3"/>
              </w:rPr>
              <w:t>第五十六条  除公路防护、养护需要的以外，禁止在公路两侧的建筑控制区内修建建</w:t>
            </w:r>
            <w:r>
              <w:rPr>
                <w:spacing w:val="2"/>
              </w:rPr>
              <w:t>筑物和地面构筑</w:t>
            </w:r>
            <w:r>
              <w:t xml:space="preserve"> </w:t>
            </w:r>
            <w:r>
              <w:rPr>
                <w:spacing w:val="-2"/>
              </w:rPr>
              <w:t>物；需要在建筑控制区内增设管线、电缆等设施的，应当事先经县</w:t>
            </w:r>
            <w:r>
              <w:rPr>
                <w:spacing w:val="-3"/>
              </w:rPr>
              <w:t>级以上地方人民政府交通主管部门批准。</w:t>
            </w:r>
          </w:p>
          <w:p w14:paraId="11E9A4A5">
            <w:pPr>
              <w:pStyle w:val="8"/>
              <w:spacing w:before="27" w:line="237" w:lineRule="auto"/>
              <w:ind w:left="118" w:right="107" w:firstLine="348"/>
            </w:pPr>
            <w:r>
              <w:rPr>
                <w:spacing w:val="-1"/>
              </w:rPr>
              <w:t>第八十一条  违反本法第五十六条规定，在公路建筑控制区内修建建筑物、地面构筑物或</w:t>
            </w:r>
            <w:r>
              <w:rPr>
                <w:spacing w:val="-2"/>
              </w:rPr>
              <w:t>者擅自埋设管</w:t>
            </w:r>
            <w:r>
              <w:t xml:space="preserve"> </w:t>
            </w:r>
            <w:r>
              <w:rPr>
                <w:spacing w:val="-1"/>
              </w:rPr>
              <w:t>线、电缆等设施的，由交通主管部门责令限期拆除，并可以处五万元以下的</w:t>
            </w:r>
            <w:r>
              <w:rPr>
                <w:spacing w:val="-2"/>
              </w:rPr>
              <w:t>罚款。逾期不拆除的，由交通主</w:t>
            </w:r>
            <w:r>
              <w:t xml:space="preserve"> </w:t>
            </w:r>
            <w:r>
              <w:rPr>
                <w:spacing w:val="-3"/>
              </w:rPr>
              <w:t>管部门拆除，有关费用由建筑者、构筑者承担。</w:t>
            </w:r>
          </w:p>
          <w:p w14:paraId="450B0D38">
            <w:pPr>
              <w:pStyle w:val="8"/>
              <w:spacing w:before="26" w:line="219" w:lineRule="auto"/>
              <w:ind w:left="468"/>
            </w:pPr>
            <w:r>
              <w:rPr>
                <w:b/>
                <w:bCs/>
                <w:spacing w:val="-4"/>
              </w:rPr>
              <w:t>2.《公路安全保护条例》</w:t>
            </w:r>
          </w:p>
          <w:p w14:paraId="342F6001">
            <w:pPr>
              <w:pStyle w:val="8"/>
              <w:spacing w:before="27" w:line="237" w:lineRule="auto"/>
              <w:ind w:left="117" w:right="109" w:firstLine="348"/>
              <w:jc w:val="both"/>
            </w:pPr>
            <w:r>
              <w:rPr>
                <w:spacing w:val="-1"/>
              </w:rPr>
              <w:t>第五十六条第（一）项  违反本条例的规定，有下列情形之一的，由公路管理机构责令限</w:t>
            </w:r>
            <w:r>
              <w:rPr>
                <w:spacing w:val="-2"/>
              </w:rPr>
              <w:t>期拆除，可以</w:t>
            </w:r>
            <w:r>
              <w:t xml:space="preserve"> </w:t>
            </w:r>
            <w:r>
              <w:rPr>
                <w:spacing w:val="-1"/>
              </w:rPr>
              <w:t>处 5万元以下的罚款。逾期不拆除的，由公路管理机构拆除，有关费用由违法行为人承担</w:t>
            </w:r>
            <w:r>
              <w:rPr>
                <w:spacing w:val="-9"/>
              </w:rPr>
              <w:t>：（</w:t>
            </w:r>
            <w:r>
              <w:rPr>
                <w:spacing w:val="-1"/>
              </w:rPr>
              <w:t>一）在公路建</w:t>
            </w:r>
            <w:r>
              <w:rPr>
                <w:spacing w:val="1"/>
              </w:rPr>
              <w:t xml:space="preserve"> </w:t>
            </w:r>
            <w:r>
              <w:rPr>
                <w:spacing w:val="-2"/>
              </w:rPr>
              <w:t>筑控制区内修建、扩建建筑物、地面构筑物或者未经许可埋设管道、电</w:t>
            </w:r>
            <w:r>
              <w:rPr>
                <w:spacing w:val="-3"/>
              </w:rPr>
              <w:t>缆等设施的。</w:t>
            </w:r>
          </w:p>
          <w:p w14:paraId="43C04306">
            <w:pPr>
              <w:pStyle w:val="8"/>
              <w:spacing w:before="26" w:line="219" w:lineRule="auto"/>
              <w:ind w:left="470"/>
            </w:pPr>
            <w:r>
              <w:rPr>
                <w:b/>
                <w:bCs/>
                <w:spacing w:val="-4"/>
              </w:rPr>
              <w:t>3.《湖南省实施〈中华人民共和国公路法〉办法》</w:t>
            </w:r>
          </w:p>
          <w:p w14:paraId="5FDF2DF4">
            <w:pPr>
              <w:pStyle w:val="8"/>
              <w:spacing w:before="27" w:line="237" w:lineRule="auto"/>
              <w:ind w:left="117" w:right="107" w:firstLine="348"/>
              <w:jc w:val="both"/>
            </w:pPr>
            <w:r>
              <w:rPr>
                <w:spacing w:val="-1"/>
              </w:rPr>
              <w:t>第七条第二款  经批准的公路建设工程施工图设计公告后，任何单位和个人不得在公路征地红线</w:t>
            </w:r>
            <w:r>
              <w:rPr>
                <w:spacing w:val="-2"/>
              </w:rPr>
              <w:t>内及建</w:t>
            </w:r>
            <w:r>
              <w:t xml:space="preserve"> </w:t>
            </w:r>
            <w:r>
              <w:rPr>
                <w:spacing w:val="-1"/>
              </w:rPr>
              <w:t>筑控制区新建、改建、扩建建筑物或者构筑物。公路管理机构应当加强对设计</w:t>
            </w:r>
            <w:r>
              <w:rPr>
                <w:spacing w:val="-2"/>
              </w:rPr>
              <w:t>的公路征地红线内及建筑控制</w:t>
            </w:r>
            <w:r>
              <w:t xml:space="preserve"> </w:t>
            </w:r>
            <w:r>
              <w:rPr>
                <w:spacing w:val="-6"/>
              </w:rPr>
              <w:t>区的管理。</w:t>
            </w:r>
          </w:p>
          <w:p w14:paraId="2BBC5C22">
            <w:pPr>
              <w:pStyle w:val="8"/>
              <w:spacing w:before="26" w:line="237" w:lineRule="auto"/>
              <w:ind w:left="121" w:right="123" w:firstLine="345"/>
            </w:pPr>
            <w:r>
              <w:rPr>
                <w:spacing w:val="3"/>
              </w:rPr>
              <w:t>第十七条  公路两侧边沟（截水沟、坡脚护坡道，下</w:t>
            </w:r>
            <w:r>
              <w:rPr>
                <w:spacing w:val="2"/>
              </w:rPr>
              <w:t>同）外缘起的下列范围以内为公路建筑控制区：</w:t>
            </w:r>
            <w:r>
              <w:t xml:space="preserve"> </w:t>
            </w:r>
            <w:r>
              <w:rPr>
                <w:spacing w:val="1"/>
              </w:rPr>
              <w:t>（一）国道不少于20米</w:t>
            </w:r>
            <w:r>
              <w:rPr>
                <w:spacing w:val="-3"/>
              </w:rPr>
              <w:t>；（</w:t>
            </w:r>
            <w:r>
              <w:rPr>
                <w:spacing w:val="1"/>
              </w:rPr>
              <w:t>二）省道不少于15米</w:t>
            </w:r>
            <w:r>
              <w:rPr>
                <w:spacing w:val="-3"/>
              </w:rPr>
              <w:t>；（</w:t>
            </w:r>
            <w:r>
              <w:rPr>
                <w:spacing w:val="1"/>
              </w:rPr>
              <w:t>三）县道不</w:t>
            </w:r>
            <w:r>
              <w:t>少于10米</w:t>
            </w:r>
            <w:r>
              <w:rPr>
                <w:spacing w:val="-3"/>
              </w:rPr>
              <w:t>；（</w:t>
            </w:r>
            <w:r>
              <w:t>四）乡道不少于5米</w:t>
            </w:r>
            <w:r>
              <w:rPr>
                <w:spacing w:val="-3"/>
              </w:rPr>
              <w:t>；（</w:t>
            </w:r>
            <w:r>
              <w:t>五）</w:t>
            </w:r>
            <w:r>
              <w:rPr>
                <w:spacing w:val="7"/>
              </w:rPr>
              <w:t xml:space="preserve"> </w:t>
            </w:r>
            <w:r>
              <w:rPr>
                <w:spacing w:val="-2"/>
              </w:rPr>
              <w:t>高速公路（含匝道）不少于30米，高速公路的连</w:t>
            </w:r>
            <w:r>
              <w:rPr>
                <w:spacing w:val="-3"/>
              </w:rPr>
              <w:t>接道不少于20米。</w:t>
            </w:r>
          </w:p>
          <w:p w14:paraId="0DDDACB4">
            <w:pPr>
              <w:pStyle w:val="8"/>
              <w:spacing w:before="26" w:line="219" w:lineRule="auto"/>
              <w:ind w:left="466"/>
            </w:pPr>
            <w:r>
              <w:rPr>
                <w:spacing w:val="-2"/>
              </w:rPr>
              <w:t>在公路建筑控制区内，除公路防护、养护需要以外，不得新建、改建、扩建建筑物或者构</w:t>
            </w:r>
            <w:r>
              <w:rPr>
                <w:spacing w:val="-3"/>
              </w:rPr>
              <w:t>筑物。</w:t>
            </w:r>
          </w:p>
          <w:p w14:paraId="7400A71A">
            <w:pPr>
              <w:pStyle w:val="8"/>
              <w:spacing w:before="27" w:line="237" w:lineRule="auto"/>
              <w:ind w:left="116" w:right="107" w:firstLine="350"/>
            </w:pPr>
            <w:r>
              <w:rPr>
                <w:spacing w:val="3"/>
              </w:rPr>
              <w:t>第十九条第（三）项  进行下列作业，必须事先经公路管理机构同意；影响交通安全的，</w:t>
            </w:r>
            <w:r>
              <w:rPr>
                <w:spacing w:val="2"/>
              </w:rPr>
              <w:t>应当依据法</w:t>
            </w:r>
            <w:r>
              <w:t xml:space="preserve"> </w:t>
            </w:r>
            <w:r>
              <w:rPr>
                <w:spacing w:val="-1"/>
              </w:rPr>
              <w:t>律、行政法规的规定征得有关公安机关的同意：（三）在公路建筑控制区或者</w:t>
            </w:r>
            <w:r>
              <w:rPr>
                <w:spacing w:val="-2"/>
              </w:rPr>
              <w:t>公路用地范围内架设、埋设管</w:t>
            </w:r>
            <w:r>
              <w:rPr>
                <w:spacing w:val="1"/>
              </w:rPr>
              <w:t xml:space="preserve"> </w:t>
            </w:r>
            <w:r>
              <w:rPr>
                <w:spacing w:val="-3"/>
              </w:rPr>
              <w:t>线或者电缆等设施；</w:t>
            </w:r>
          </w:p>
          <w:p w14:paraId="10605EE9">
            <w:pPr>
              <w:pStyle w:val="8"/>
              <w:spacing w:before="25" w:line="233" w:lineRule="auto"/>
              <w:ind w:left="116" w:right="109" w:firstLine="350"/>
            </w:pPr>
            <w:r>
              <w:rPr>
                <w:spacing w:val="-1"/>
              </w:rPr>
              <w:t>第三十二条  违反本办法第七条第二款、第十七条和第十九条第（三）项规定，新建、改</w:t>
            </w:r>
            <w:r>
              <w:rPr>
                <w:spacing w:val="-2"/>
              </w:rPr>
              <w:t>建、扩建建筑</w:t>
            </w:r>
            <w:r>
              <w:t xml:space="preserve"> </w:t>
            </w:r>
            <w:r>
              <w:rPr>
                <w:spacing w:val="-2"/>
              </w:rPr>
              <w:t>物或者构筑物，擅自架设、埋设管线或者电缆等设施的，依照《公路法》第八十一条的规</w:t>
            </w:r>
            <w:r>
              <w:rPr>
                <w:spacing w:val="-3"/>
              </w:rPr>
              <w:t>定处理。</w:t>
            </w:r>
          </w:p>
          <w:p w14:paraId="796717ED">
            <w:pPr>
              <w:pStyle w:val="8"/>
              <w:spacing w:before="27" w:line="219" w:lineRule="auto"/>
              <w:ind w:left="466"/>
            </w:pPr>
            <w:r>
              <w:rPr>
                <w:spacing w:val="-2"/>
              </w:rPr>
              <w:t>违法批准建设的，其批准文件无效；给当事人造成损失的，由批准机关依法</w:t>
            </w:r>
            <w:r>
              <w:rPr>
                <w:spacing w:val="-3"/>
              </w:rPr>
              <w:t>承担责任。</w:t>
            </w:r>
          </w:p>
        </w:tc>
        <w:tc>
          <w:tcPr>
            <w:tcW w:w="1022" w:type="dxa"/>
            <w:vAlign w:val="top"/>
          </w:tcPr>
          <w:p w14:paraId="56AC7817">
            <w:pPr>
              <w:rPr>
                <w:rFonts w:ascii="Arial"/>
                <w:sz w:val="21"/>
              </w:rPr>
            </w:pPr>
          </w:p>
          <w:p w14:paraId="27388A36">
            <w:pPr>
              <w:rPr>
                <w:rFonts w:ascii="Arial"/>
                <w:sz w:val="21"/>
              </w:rPr>
            </w:pPr>
          </w:p>
          <w:p w14:paraId="533BE20A">
            <w:pPr>
              <w:rPr>
                <w:rFonts w:ascii="Arial"/>
                <w:sz w:val="21"/>
              </w:rPr>
            </w:pPr>
          </w:p>
          <w:p w14:paraId="5ACCB4A3">
            <w:pPr>
              <w:rPr>
                <w:rFonts w:ascii="Arial"/>
                <w:sz w:val="21"/>
              </w:rPr>
            </w:pPr>
          </w:p>
          <w:p w14:paraId="68A13AF9">
            <w:pPr>
              <w:rPr>
                <w:rFonts w:ascii="Arial"/>
                <w:sz w:val="21"/>
              </w:rPr>
            </w:pPr>
          </w:p>
          <w:p w14:paraId="3562F4A0">
            <w:pPr>
              <w:rPr>
                <w:rFonts w:ascii="Arial"/>
                <w:sz w:val="21"/>
              </w:rPr>
            </w:pPr>
          </w:p>
          <w:p w14:paraId="74C7BE19">
            <w:pPr>
              <w:rPr>
                <w:rFonts w:ascii="Arial"/>
                <w:sz w:val="21"/>
              </w:rPr>
            </w:pPr>
          </w:p>
          <w:p w14:paraId="21DBDE50">
            <w:pPr>
              <w:rPr>
                <w:rFonts w:ascii="Arial"/>
                <w:sz w:val="21"/>
              </w:rPr>
            </w:pPr>
          </w:p>
          <w:p w14:paraId="5791AA38">
            <w:pPr>
              <w:spacing w:line="241" w:lineRule="auto"/>
              <w:rPr>
                <w:rFonts w:ascii="Arial"/>
                <w:sz w:val="21"/>
              </w:rPr>
            </w:pPr>
          </w:p>
          <w:p w14:paraId="2616BCC3">
            <w:pPr>
              <w:spacing w:line="241" w:lineRule="auto"/>
              <w:rPr>
                <w:rFonts w:ascii="Arial"/>
                <w:sz w:val="21"/>
              </w:rPr>
            </w:pPr>
          </w:p>
          <w:p w14:paraId="50311F30">
            <w:pPr>
              <w:spacing w:line="241" w:lineRule="auto"/>
              <w:rPr>
                <w:rFonts w:ascii="Arial"/>
                <w:sz w:val="21"/>
              </w:rPr>
            </w:pPr>
          </w:p>
          <w:p w14:paraId="5CF53ECC">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79F5C987">
            <w:pPr>
              <w:spacing w:line="251" w:lineRule="auto"/>
              <w:rPr>
                <w:rFonts w:ascii="Arial"/>
                <w:sz w:val="21"/>
              </w:rPr>
            </w:pPr>
          </w:p>
          <w:p w14:paraId="48A1CBF2">
            <w:pPr>
              <w:spacing w:line="251" w:lineRule="auto"/>
              <w:rPr>
                <w:rFonts w:ascii="Arial"/>
                <w:sz w:val="21"/>
              </w:rPr>
            </w:pPr>
          </w:p>
          <w:p w14:paraId="059BB8AF">
            <w:pPr>
              <w:spacing w:line="251" w:lineRule="auto"/>
              <w:rPr>
                <w:rFonts w:ascii="Arial"/>
                <w:sz w:val="21"/>
              </w:rPr>
            </w:pPr>
          </w:p>
          <w:p w14:paraId="33D7C541">
            <w:pPr>
              <w:spacing w:line="251" w:lineRule="auto"/>
              <w:rPr>
                <w:rFonts w:ascii="Arial"/>
                <w:sz w:val="21"/>
              </w:rPr>
            </w:pPr>
          </w:p>
          <w:p w14:paraId="55B347A8">
            <w:pPr>
              <w:spacing w:line="251" w:lineRule="auto"/>
              <w:rPr>
                <w:rFonts w:ascii="Arial"/>
                <w:sz w:val="21"/>
              </w:rPr>
            </w:pPr>
          </w:p>
          <w:p w14:paraId="509BD790">
            <w:pPr>
              <w:spacing w:line="251" w:lineRule="auto"/>
              <w:rPr>
                <w:rFonts w:ascii="Arial"/>
                <w:sz w:val="21"/>
              </w:rPr>
            </w:pPr>
          </w:p>
          <w:p w14:paraId="19FB7D58">
            <w:pPr>
              <w:spacing w:line="251" w:lineRule="auto"/>
              <w:rPr>
                <w:rFonts w:ascii="Arial"/>
                <w:sz w:val="21"/>
              </w:rPr>
            </w:pPr>
          </w:p>
          <w:p w14:paraId="278B39C0">
            <w:pPr>
              <w:spacing w:line="251" w:lineRule="auto"/>
              <w:rPr>
                <w:rFonts w:ascii="Arial"/>
                <w:sz w:val="21"/>
              </w:rPr>
            </w:pPr>
          </w:p>
          <w:p w14:paraId="730834B3">
            <w:pPr>
              <w:spacing w:line="251" w:lineRule="auto"/>
              <w:rPr>
                <w:rFonts w:ascii="Arial"/>
                <w:sz w:val="21"/>
              </w:rPr>
            </w:pPr>
          </w:p>
          <w:p w14:paraId="00E58BC6">
            <w:pPr>
              <w:spacing w:line="251" w:lineRule="auto"/>
              <w:rPr>
                <w:rFonts w:ascii="Arial"/>
                <w:sz w:val="21"/>
              </w:rPr>
            </w:pPr>
          </w:p>
          <w:p w14:paraId="53819453">
            <w:pPr>
              <w:spacing w:line="252" w:lineRule="auto"/>
              <w:rPr>
                <w:rFonts w:ascii="Arial"/>
                <w:sz w:val="21"/>
              </w:rPr>
            </w:pPr>
          </w:p>
          <w:p w14:paraId="42ADCEDD">
            <w:pPr>
              <w:pStyle w:val="8"/>
              <w:spacing w:before="58" w:line="219" w:lineRule="auto"/>
              <w:ind w:left="13"/>
              <w:rPr>
                <w:rFonts w:hint="eastAsia" w:eastAsia="宋体"/>
                <w:lang w:eastAsia="zh-CN"/>
              </w:rPr>
            </w:pPr>
            <w:r>
              <w:rPr>
                <w:rFonts w:hint="eastAsia"/>
                <w:spacing w:val="-2"/>
                <w:lang w:eastAsia="zh-CN"/>
              </w:rPr>
              <w:t>津市市交通运输局</w:t>
            </w:r>
          </w:p>
        </w:tc>
        <w:tc>
          <w:tcPr>
            <w:tcW w:w="1027" w:type="dxa"/>
            <w:vAlign w:val="top"/>
          </w:tcPr>
          <w:p w14:paraId="1555684E">
            <w:pPr>
              <w:spacing w:line="252" w:lineRule="auto"/>
              <w:rPr>
                <w:rFonts w:ascii="Arial"/>
                <w:sz w:val="21"/>
              </w:rPr>
            </w:pPr>
          </w:p>
          <w:p w14:paraId="0AE9C738">
            <w:pPr>
              <w:spacing w:line="252" w:lineRule="auto"/>
              <w:rPr>
                <w:rFonts w:ascii="Arial"/>
                <w:sz w:val="21"/>
              </w:rPr>
            </w:pPr>
          </w:p>
          <w:p w14:paraId="7FC16826">
            <w:pPr>
              <w:spacing w:line="252" w:lineRule="auto"/>
              <w:rPr>
                <w:rFonts w:ascii="Arial"/>
                <w:sz w:val="21"/>
              </w:rPr>
            </w:pPr>
          </w:p>
          <w:p w14:paraId="4597E434">
            <w:pPr>
              <w:spacing w:line="252" w:lineRule="auto"/>
              <w:rPr>
                <w:rFonts w:ascii="Arial"/>
                <w:sz w:val="21"/>
              </w:rPr>
            </w:pPr>
          </w:p>
          <w:p w14:paraId="18B26799">
            <w:pPr>
              <w:spacing w:line="252" w:lineRule="auto"/>
              <w:rPr>
                <w:rFonts w:ascii="Arial"/>
                <w:sz w:val="21"/>
              </w:rPr>
            </w:pPr>
          </w:p>
          <w:p w14:paraId="15FBD163">
            <w:pPr>
              <w:spacing w:line="252" w:lineRule="auto"/>
              <w:rPr>
                <w:rFonts w:ascii="Arial"/>
                <w:sz w:val="21"/>
              </w:rPr>
            </w:pPr>
          </w:p>
          <w:p w14:paraId="3F2F63C6">
            <w:pPr>
              <w:spacing w:line="253" w:lineRule="auto"/>
              <w:rPr>
                <w:rFonts w:ascii="Arial"/>
                <w:sz w:val="21"/>
              </w:rPr>
            </w:pPr>
          </w:p>
          <w:p w14:paraId="038BCCF2">
            <w:pPr>
              <w:spacing w:line="253" w:lineRule="auto"/>
              <w:rPr>
                <w:rFonts w:ascii="Arial"/>
                <w:sz w:val="21"/>
              </w:rPr>
            </w:pPr>
          </w:p>
          <w:p w14:paraId="40F87011">
            <w:pPr>
              <w:spacing w:line="253" w:lineRule="auto"/>
              <w:rPr>
                <w:rFonts w:ascii="Arial"/>
                <w:sz w:val="21"/>
              </w:rPr>
            </w:pPr>
          </w:p>
          <w:p w14:paraId="1111BFE1">
            <w:pPr>
              <w:spacing w:line="253" w:lineRule="auto"/>
              <w:rPr>
                <w:rFonts w:ascii="Arial"/>
                <w:sz w:val="21"/>
              </w:rPr>
            </w:pPr>
          </w:p>
          <w:p w14:paraId="177C5B35">
            <w:pPr>
              <w:pStyle w:val="8"/>
              <w:spacing w:before="58"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bl>
    <w:p w14:paraId="5F72E6C1">
      <w:pPr>
        <w:pStyle w:val="2"/>
      </w:pPr>
    </w:p>
    <w:p w14:paraId="46E48A18">
      <w:pPr>
        <w:sectPr>
          <w:footerReference r:id="rId66" w:type="default"/>
          <w:pgSz w:w="16840" w:h="11910"/>
          <w:pgMar w:top="1012" w:right="940" w:bottom="966" w:left="940" w:header="0" w:footer="768" w:gutter="0"/>
          <w:cols w:space="720" w:num="1"/>
        </w:sectPr>
      </w:pPr>
    </w:p>
    <w:p w14:paraId="666E4E3B">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2435B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40873CEC">
            <w:pPr>
              <w:pStyle w:val="8"/>
              <w:spacing w:before="259" w:line="221" w:lineRule="auto"/>
              <w:ind w:left="148"/>
            </w:pPr>
            <w:r>
              <w:rPr>
                <w:b/>
                <w:bCs/>
                <w:spacing w:val="-6"/>
              </w:rPr>
              <w:t>序号</w:t>
            </w:r>
          </w:p>
        </w:tc>
        <w:tc>
          <w:tcPr>
            <w:tcW w:w="1113" w:type="dxa"/>
            <w:vMerge w:val="restart"/>
            <w:tcBorders>
              <w:bottom w:val="nil"/>
            </w:tcBorders>
            <w:vAlign w:val="top"/>
          </w:tcPr>
          <w:p w14:paraId="332E13AA">
            <w:pPr>
              <w:pStyle w:val="8"/>
              <w:spacing w:before="260" w:line="220" w:lineRule="auto"/>
              <w:ind w:left="201"/>
            </w:pPr>
            <w:r>
              <w:rPr>
                <w:b/>
                <w:bCs/>
                <w:spacing w:val="-5"/>
              </w:rPr>
              <w:t>事项名称</w:t>
            </w:r>
          </w:p>
        </w:tc>
        <w:tc>
          <w:tcPr>
            <w:tcW w:w="1113" w:type="dxa"/>
            <w:vMerge w:val="restart"/>
            <w:tcBorders>
              <w:bottom w:val="nil"/>
            </w:tcBorders>
            <w:vAlign w:val="top"/>
          </w:tcPr>
          <w:p w14:paraId="67FF3A51">
            <w:pPr>
              <w:pStyle w:val="8"/>
              <w:spacing w:before="260" w:line="219" w:lineRule="auto"/>
              <w:ind w:left="202"/>
            </w:pPr>
            <w:r>
              <w:rPr>
                <w:b/>
                <w:bCs/>
                <w:spacing w:val="-5"/>
              </w:rPr>
              <w:t>职权类型</w:t>
            </w:r>
          </w:p>
        </w:tc>
        <w:tc>
          <w:tcPr>
            <w:tcW w:w="8631" w:type="dxa"/>
            <w:vMerge w:val="restart"/>
            <w:tcBorders>
              <w:bottom w:val="nil"/>
            </w:tcBorders>
            <w:vAlign w:val="top"/>
          </w:tcPr>
          <w:p w14:paraId="1EF00BFD">
            <w:pPr>
              <w:pStyle w:val="8"/>
              <w:spacing w:before="259" w:line="219" w:lineRule="auto"/>
              <w:ind w:left="3970"/>
            </w:pPr>
            <w:r>
              <w:rPr>
                <w:b/>
                <w:bCs/>
                <w:spacing w:val="-6"/>
              </w:rPr>
              <w:t>实施依据</w:t>
            </w:r>
          </w:p>
        </w:tc>
        <w:tc>
          <w:tcPr>
            <w:tcW w:w="3468" w:type="dxa"/>
            <w:gridSpan w:val="3"/>
            <w:vAlign w:val="top"/>
          </w:tcPr>
          <w:p w14:paraId="2C9CF988">
            <w:pPr>
              <w:pStyle w:val="8"/>
              <w:spacing w:before="82" w:line="220" w:lineRule="auto"/>
              <w:ind w:left="1389"/>
            </w:pPr>
            <w:r>
              <w:rPr>
                <w:b/>
                <w:bCs/>
                <w:spacing w:val="-6"/>
              </w:rPr>
              <w:t>实施主体</w:t>
            </w:r>
          </w:p>
        </w:tc>
      </w:tr>
      <w:tr w14:paraId="723CA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7835F4E5">
            <w:pPr>
              <w:rPr>
                <w:rFonts w:ascii="Arial"/>
                <w:sz w:val="21"/>
              </w:rPr>
            </w:pPr>
          </w:p>
        </w:tc>
        <w:tc>
          <w:tcPr>
            <w:tcW w:w="1113" w:type="dxa"/>
            <w:vMerge w:val="continue"/>
            <w:tcBorders>
              <w:top w:val="nil"/>
            </w:tcBorders>
            <w:vAlign w:val="top"/>
          </w:tcPr>
          <w:p w14:paraId="72E5FFD5">
            <w:pPr>
              <w:rPr>
                <w:rFonts w:ascii="Arial"/>
                <w:sz w:val="21"/>
              </w:rPr>
            </w:pPr>
          </w:p>
        </w:tc>
        <w:tc>
          <w:tcPr>
            <w:tcW w:w="1113" w:type="dxa"/>
            <w:vMerge w:val="continue"/>
            <w:tcBorders>
              <w:top w:val="nil"/>
            </w:tcBorders>
            <w:vAlign w:val="top"/>
          </w:tcPr>
          <w:p w14:paraId="1B8A920A">
            <w:pPr>
              <w:rPr>
                <w:rFonts w:ascii="Arial"/>
                <w:sz w:val="21"/>
              </w:rPr>
            </w:pPr>
          </w:p>
        </w:tc>
        <w:tc>
          <w:tcPr>
            <w:tcW w:w="8631" w:type="dxa"/>
            <w:vMerge w:val="continue"/>
            <w:tcBorders>
              <w:top w:val="nil"/>
            </w:tcBorders>
            <w:vAlign w:val="top"/>
          </w:tcPr>
          <w:p w14:paraId="7687CF3A">
            <w:pPr>
              <w:rPr>
                <w:rFonts w:ascii="Arial"/>
                <w:sz w:val="21"/>
              </w:rPr>
            </w:pPr>
          </w:p>
        </w:tc>
        <w:tc>
          <w:tcPr>
            <w:tcW w:w="1022" w:type="dxa"/>
            <w:vAlign w:val="top"/>
          </w:tcPr>
          <w:p w14:paraId="53D999DC">
            <w:pPr>
              <w:pStyle w:val="8"/>
              <w:spacing w:before="84" w:line="219" w:lineRule="auto"/>
              <w:ind w:left="170"/>
            </w:pPr>
            <w:r>
              <w:rPr>
                <w:b/>
                <w:bCs/>
                <w:spacing w:val="-6"/>
              </w:rPr>
              <w:t>责任部门</w:t>
            </w:r>
          </w:p>
        </w:tc>
        <w:tc>
          <w:tcPr>
            <w:tcW w:w="1419" w:type="dxa"/>
            <w:vAlign w:val="top"/>
          </w:tcPr>
          <w:p w14:paraId="1AF097F7">
            <w:pPr>
              <w:pStyle w:val="8"/>
              <w:spacing w:before="84" w:line="219" w:lineRule="auto"/>
              <w:ind w:left="183"/>
            </w:pPr>
            <w:r>
              <w:rPr>
                <w:b/>
                <w:bCs/>
                <w:spacing w:val="-4"/>
              </w:rPr>
              <w:t>第一责任层级</w:t>
            </w:r>
          </w:p>
        </w:tc>
        <w:tc>
          <w:tcPr>
            <w:tcW w:w="1027" w:type="dxa"/>
            <w:vAlign w:val="top"/>
          </w:tcPr>
          <w:p w14:paraId="012F1F60">
            <w:pPr>
              <w:pStyle w:val="8"/>
              <w:spacing w:before="83" w:line="219" w:lineRule="auto"/>
              <w:ind w:left="161"/>
            </w:pPr>
            <w:r>
              <w:rPr>
                <w:b/>
                <w:bCs/>
                <w:spacing w:val="-5"/>
              </w:rPr>
              <w:t>承办机构</w:t>
            </w:r>
          </w:p>
        </w:tc>
      </w:tr>
      <w:tr w14:paraId="036CF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629" w:type="dxa"/>
            <w:vAlign w:val="top"/>
          </w:tcPr>
          <w:p w14:paraId="716E147E">
            <w:pPr>
              <w:spacing w:line="245" w:lineRule="auto"/>
              <w:rPr>
                <w:rFonts w:ascii="Arial"/>
                <w:sz w:val="21"/>
              </w:rPr>
            </w:pPr>
          </w:p>
          <w:p w14:paraId="2F6DD926">
            <w:pPr>
              <w:spacing w:line="246" w:lineRule="auto"/>
              <w:rPr>
                <w:rFonts w:ascii="Arial"/>
                <w:sz w:val="21"/>
              </w:rPr>
            </w:pPr>
          </w:p>
          <w:p w14:paraId="46FBC445">
            <w:pPr>
              <w:spacing w:line="246" w:lineRule="auto"/>
              <w:rPr>
                <w:rFonts w:ascii="Arial"/>
                <w:sz w:val="21"/>
              </w:rPr>
            </w:pPr>
          </w:p>
          <w:p w14:paraId="51EDE3EE">
            <w:pPr>
              <w:spacing w:line="246" w:lineRule="auto"/>
              <w:rPr>
                <w:rFonts w:ascii="Arial"/>
                <w:sz w:val="21"/>
              </w:rPr>
            </w:pPr>
          </w:p>
          <w:p w14:paraId="291CF99C">
            <w:pPr>
              <w:pStyle w:val="8"/>
              <w:spacing w:before="58" w:line="184" w:lineRule="auto"/>
              <w:ind w:left="246"/>
            </w:pPr>
            <w:r>
              <w:rPr>
                <w:spacing w:val="-11"/>
              </w:rPr>
              <w:t>12</w:t>
            </w:r>
          </w:p>
        </w:tc>
        <w:tc>
          <w:tcPr>
            <w:tcW w:w="1113" w:type="dxa"/>
            <w:vAlign w:val="top"/>
          </w:tcPr>
          <w:p w14:paraId="1C281B69">
            <w:pPr>
              <w:pStyle w:val="8"/>
              <w:spacing w:before="19" w:line="223" w:lineRule="auto"/>
              <w:ind w:left="95" w:right="90"/>
              <w:jc w:val="both"/>
            </w:pPr>
            <w:r>
              <w:rPr>
                <w:spacing w:val="4"/>
              </w:rPr>
              <w:t>对在公路建</w:t>
            </w:r>
            <w:r>
              <w:rPr>
                <w:spacing w:val="1"/>
              </w:rPr>
              <w:t xml:space="preserve"> </w:t>
            </w:r>
            <w:r>
              <w:rPr>
                <w:spacing w:val="4"/>
              </w:rPr>
              <w:t>筑控制区外</w:t>
            </w:r>
            <w:r>
              <w:rPr>
                <w:spacing w:val="1"/>
              </w:rPr>
              <w:t xml:space="preserve"> </w:t>
            </w:r>
            <w:r>
              <w:rPr>
                <w:spacing w:val="4"/>
              </w:rPr>
              <w:t>修建的建筑</w:t>
            </w:r>
            <w:r>
              <w:rPr>
                <w:spacing w:val="1"/>
              </w:rPr>
              <w:t xml:space="preserve"> </w:t>
            </w:r>
            <w:r>
              <w:rPr>
                <w:spacing w:val="4"/>
              </w:rPr>
              <w:t>物、地面构</w:t>
            </w:r>
            <w:r>
              <w:rPr>
                <w:spacing w:val="1"/>
              </w:rPr>
              <w:t xml:space="preserve"> </w:t>
            </w:r>
            <w:r>
              <w:rPr>
                <w:spacing w:val="4"/>
              </w:rPr>
              <w:t>筑物以及其</w:t>
            </w:r>
            <w:r>
              <w:rPr>
                <w:spacing w:val="1"/>
              </w:rPr>
              <w:t xml:space="preserve"> </w:t>
            </w:r>
            <w:r>
              <w:rPr>
                <w:spacing w:val="4"/>
              </w:rPr>
              <w:t>他设施遮挡</w:t>
            </w:r>
            <w:r>
              <w:rPr>
                <w:spacing w:val="1"/>
              </w:rPr>
              <w:t xml:space="preserve"> </w:t>
            </w:r>
            <w:r>
              <w:rPr>
                <w:spacing w:val="4"/>
              </w:rPr>
              <w:t>公路标志或</w:t>
            </w:r>
            <w:r>
              <w:rPr>
                <w:spacing w:val="1"/>
              </w:rPr>
              <w:t xml:space="preserve"> </w:t>
            </w:r>
            <w:r>
              <w:rPr>
                <w:spacing w:val="4"/>
              </w:rPr>
              <w:t>者妨碍安全</w:t>
            </w:r>
            <w:r>
              <w:rPr>
                <w:spacing w:val="1"/>
              </w:rPr>
              <w:t xml:space="preserve"> </w:t>
            </w:r>
            <w:r>
              <w:rPr>
                <w:spacing w:val="4"/>
              </w:rPr>
              <w:t>视距行为的</w:t>
            </w:r>
            <w:r>
              <w:rPr>
                <w:spacing w:val="1"/>
              </w:rPr>
              <w:t xml:space="preserve"> </w:t>
            </w:r>
            <w:r>
              <w:rPr>
                <w:spacing w:val="-4"/>
              </w:rPr>
              <w:t>行政处罚</w:t>
            </w:r>
          </w:p>
        </w:tc>
        <w:tc>
          <w:tcPr>
            <w:tcW w:w="1113" w:type="dxa"/>
            <w:vAlign w:val="top"/>
          </w:tcPr>
          <w:p w14:paraId="0BBFEA3F">
            <w:pPr>
              <w:spacing w:line="317" w:lineRule="auto"/>
              <w:rPr>
                <w:rFonts w:ascii="Arial"/>
                <w:sz w:val="21"/>
              </w:rPr>
            </w:pPr>
          </w:p>
          <w:p w14:paraId="0D84B75C">
            <w:pPr>
              <w:spacing w:line="317" w:lineRule="auto"/>
              <w:rPr>
                <w:rFonts w:ascii="Arial"/>
                <w:sz w:val="21"/>
              </w:rPr>
            </w:pPr>
          </w:p>
          <w:p w14:paraId="160D9697">
            <w:pPr>
              <w:spacing w:line="317" w:lineRule="auto"/>
              <w:rPr>
                <w:rFonts w:ascii="Arial"/>
                <w:sz w:val="21"/>
              </w:rPr>
            </w:pPr>
          </w:p>
          <w:p w14:paraId="32D4E850">
            <w:pPr>
              <w:pStyle w:val="8"/>
              <w:spacing w:before="58" w:line="220" w:lineRule="auto"/>
              <w:ind w:left="10"/>
            </w:pPr>
            <w:r>
              <w:rPr>
                <w:spacing w:val="-2"/>
              </w:rPr>
              <w:t>行政处罚</w:t>
            </w:r>
          </w:p>
        </w:tc>
        <w:tc>
          <w:tcPr>
            <w:tcW w:w="8631" w:type="dxa"/>
            <w:vAlign w:val="top"/>
          </w:tcPr>
          <w:p w14:paraId="4C401E51">
            <w:pPr>
              <w:rPr>
                <w:rFonts w:ascii="Arial"/>
                <w:sz w:val="21"/>
              </w:rPr>
            </w:pPr>
          </w:p>
          <w:p w14:paraId="3B0BA1EC">
            <w:pPr>
              <w:pStyle w:val="8"/>
              <w:spacing w:before="59" w:line="219" w:lineRule="auto"/>
              <w:ind w:left="472"/>
            </w:pPr>
            <w:r>
              <w:rPr>
                <w:b/>
                <w:bCs/>
                <w:spacing w:val="-5"/>
              </w:rPr>
              <w:t>《公路安全保护条例》</w:t>
            </w:r>
          </w:p>
          <w:p w14:paraId="6E73E31C">
            <w:pPr>
              <w:pStyle w:val="8"/>
              <w:spacing w:before="25" w:line="233" w:lineRule="auto"/>
              <w:ind w:left="115" w:right="107" w:firstLine="351"/>
            </w:pPr>
            <w:r>
              <w:rPr>
                <w:spacing w:val="-1"/>
              </w:rPr>
              <w:t>第十三条  在公路建筑控制区内，除公路保护需要外，禁止修建建筑物和地面构筑物；公路建筑</w:t>
            </w:r>
            <w:r>
              <w:rPr>
                <w:spacing w:val="-2"/>
              </w:rPr>
              <w:t>控制区</w:t>
            </w:r>
            <w:r>
              <w:t xml:space="preserve"> </w:t>
            </w:r>
            <w:r>
              <w:rPr>
                <w:spacing w:val="-2"/>
              </w:rPr>
              <w:t>划定前已经合法修建的不得扩建，因公路建设或者保障公路运行安全</w:t>
            </w:r>
            <w:r>
              <w:rPr>
                <w:spacing w:val="-3"/>
              </w:rPr>
              <w:t>等原因需要拆除的应当依法给予补偿。</w:t>
            </w:r>
          </w:p>
          <w:p w14:paraId="230D46DE">
            <w:pPr>
              <w:pStyle w:val="8"/>
              <w:spacing w:before="26" w:line="219" w:lineRule="auto"/>
              <w:ind w:left="466"/>
            </w:pPr>
            <w:r>
              <w:rPr>
                <w:spacing w:val="-2"/>
              </w:rPr>
              <w:t>在公路建筑控制区外修建的建筑物、地面构筑物以及其他设施不得遮挡公路标志，不得妨碍安</w:t>
            </w:r>
            <w:r>
              <w:rPr>
                <w:spacing w:val="-3"/>
              </w:rPr>
              <w:t>全视距。</w:t>
            </w:r>
          </w:p>
          <w:p w14:paraId="4CAA8304">
            <w:pPr>
              <w:pStyle w:val="8"/>
              <w:spacing w:before="27" w:line="237" w:lineRule="auto"/>
              <w:ind w:left="117" w:right="107" w:firstLine="348"/>
            </w:pPr>
            <w:r>
              <w:rPr>
                <w:spacing w:val="-1"/>
              </w:rPr>
              <w:t>第五十六条第（二）项  违反本条例的规定，有下列情形之一的，由公路管理机构责令限</w:t>
            </w:r>
            <w:r>
              <w:rPr>
                <w:spacing w:val="-2"/>
              </w:rPr>
              <w:t>期拆除，可以</w:t>
            </w:r>
            <w:r>
              <w:t xml:space="preserve"> </w:t>
            </w:r>
            <w:r>
              <w:rPr>
                <w:spacing w:val="1"/>
              </w:rPr>
              <w:t>处5万元以下的罚款。逾期不拆除的，由公路管理机构拆</w:t>
            </w:r>
            <w:r>
              <w:t>除，有关费用由违法行为人承担</w:t>
            </w:r>
            <w:r>
              <w:rPr>
                <w:spacing w:val="2"/>
              </w:rPr>
              <w:t>：（</w:t>
            </w:r>
            <w:r>
              <w:t xml:space="preserve">二）在公路建 </w:t>
            </w:r>
            <w:r>
              <w:rPr>
                <w:spacing w:val="-2"/>
              </w:rPr>
              <w:t>筑控制区外修建的建筑物、地面构筑物以及其他设施遮挡公路标志或者妨</w:t>
            </w:r>
            <w:r>
              <w:rPr>
                <w:spacing w:val="-3"/>
              </w:rPr>
              <w:t>碍安全视距的。</w:t>
            </w:r>
          </w:p>
        </w:tc>
        <w:tc>
          <w:tcPr>
            <w:tcW w:w="1022" w:type="dxa"/>
            <w:vAlign w:val="top"/>
          </w:tcPr>
          <w:p w14:paraId="15B279A1">
            <w:pPr>
              <w:spacing w:line="274" w:lineRule="auto"/>
              <w:rPr>
                <w:rFonts w:ascii="Arial"/>
                <w:sz w:val="21"/>
              </w:rPr>
            </w:pPr>
          </w:p>
          <w:p w14:paraId="0FDDF4F3">
            <w:pPr>
              <w:spacing w:line="274" w:lineRule="auto"/>
              <w:rPr>
                <w:rFonts w:ascii="Arial"/>
                <w:sz w:val="21"/>
              </w:rPr>
            </w:pPr>
          </w:p>
          <w:p w14:paraId="3CFD0450">
            <w:pPr>
              <w:spacing w:line="274" w:lineRule="auto"/>
              <w:rPr>
                <w:rFonts w:ascii="Arial"/>
                <w:sz w:val="21"/>
              </w:rPr>
            </w:pPr>
          </w:p>
          <w:p w14:paraId="2F979C67">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190C13D5">
            <w:pPr>
              <w:spacing w:line="313" w:lineRule="auto"/>
              <w:rPr>
                <w:rFonts w:ascii="Arial"/>
                <w:sz w:val="21"/>
              </w:rPr>
            </w:pPr>
          </w:p>
          <w:p w14:paraId="7EA22D1E">
            <w:pPr>
              <w:spacing w:line="314" w:lineRule="auto"/>
              <w:rPr>
                <w:rFonts w:ascii="Arial"/>
                <w:sz w:val="21"/>
              </w:rPr>
            </w:pPr>
          </w:p>
          <w:p w14:paraId="5B1B8CE4">
            <w:pPr>
              <w:spacing w:line="314" w:lineRule="auto"/>
              <w:rPr>
                <w:rFonts w:ascii="Arial"/>
                <w:sz w:val="21"/>
              </w:rPr>
            </w:pPr>
          </w:p>
          <w:p w14:paraId="50883531">
            <w:pPr>
              <w:pStyle w:val="8"/>
              <w:spacing w:before="59" w:line="219" w:lineRule="auto"/>
              <w:ind w:left="13"/>
              <w:rPr>
                <w:rFonts w:hint="eastAsia" w:eastAsia="宋体"/>
                <w:lang w:eastAsia="zh-CN"/>
              </w:rPr>
            </w:pPr>
            <w:r>
              <w:rPr>
                <w:rFonts w:hint="eastAsia"/>
                <w:spacing w:val="-2"/>
                <w:lang w:eastAsia="zh-CN"/>
              </w:rPr>
              <w:t>津市市交通运输局</w:t>
            </w:r>
          </w:p>
        </w:tc>
        <w:tc>
          <w:tcPr>
            <w:tcW w:w="1027" w:type="dxa"/>
            <w:vAlign w:val="top"/>
          </w:tcPr>
          <w:p w14:paraId="30DA25B2">
            <w:pPr>
              <w:spacing w:line="349" w:lineRule="auto"/>
              <w:rPr>
                <w:rFonts w:ascii="Arial"/>
                <w:sz w:val="21"/>
              </w:rPr>
            </w:pPr>
          </w:p>
          <w:p w14:paraId="203F97B9">
            <w:pPr>
              <w:spacing w:line="350" w:lineRule="auto"/>
              <w:rPr>
                <w:rFonts w:ascii="Arial"/>
                <w:sz w:val="21"/>
              </w:rPr>
            </w:pPr>
          </w:p>
          <w:p w14:paraId="7439768A">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r w14:paraId="3B488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9" w:type="dxa"/>
            <w:vAlign w:val="top"/>
          </w:tcPr>
          <w:p w14:paraId="09CFD157">
            <w:pPr>
              <w:spacing w:line="241" w:lineRule="auto"/>
              <w:rPr>
                <w:rFonts w:ascii="Arial"/>
                <w:sz w:val="21"/>
              </w:rPr>
            </w:pPr>
          </w:p>
          <w:p w14:paraId="0E6DF908">
            <w:pPr>
              <w:spacing w:line="241" w:lineRule="auto"/>
              <w:rPr>
                <w:rFonts w:ascii="Arial"/>
                <w:sz w:val="21"/>
              </w:rPr>
            </w:pPr>
          </w:p>
          <w:p w14:paraId="63F94F36">
            <w:pPr>
              <w:spacing w:line="242" w:lineRule="auto"/>
              <w:rPr>
                <w:rFonts w:ascii="Arial"/>
                <w:sz w:val="21"/>
              </w:rPr>
            </w:pPr>
          </w:p>
          <w:p w14:paraId="459EE325">
            <w:pPr>
              <w:pStyle w:val="8"/>
              <w:spacing w:before="59" w:line="184" w:lineRule="auto"/>
              <w:ind w:left="246"/>
            </w:pPr>
            <w:r>
              <w:rPr>
                <w:spacing w:val="-11"/>
              </w:rPr>
              <w:t>13</w:t>
            </w:r>
          </w:p>
        </w:tc>
        <w:tc>
          <w:tcPr>
            <w:tcW w:w="1113" w:type="dxa"/>
            <w:vAlign w:val="top"/>
          </w:tcPr>
          <w:p w14:paraId="2B3D7A8F">
            <w:pPr>
              <w:pStyle w:val="8"/>
              <w:spacing w:before="36"/>
              <w:ind w:left="95" w:right="90"/>
              <w:jc w:val="both"/>
            </w:pPr>
            <w:r>
              <w:rPr>
                <w:spacing w:val="4"/>
              </w:rPr>
              <w:t>对利用公路</w:t>
            </w:r>
            <w:r>
              <w:rPr>
                <w:spacing w:val="1"/>
              </w:rPr>
              <w:t xml:space="preserve"> </w:t>
            </w:r>
            <w:r>
              <w:rPr>
                <w:spacing w:val="4"/>
              </w:rPr>
              <w:t>桥梁进行牵</w:t>
            </w:r>
            <w:r>
              <w:t xml:space="preserve"> </w:t>
            </w:r>
            <w:r>
              <w:rPr>
                <w:spacing w:val="4"/>
              </w:rPr>
              <w:t>拉、吊装等</w:t>
            </w:r>
            <w:r>
              <w:t xml:space="preserve"> </w:t>
            </w:r>
            <w:r>
              <w:rPr>
                <w:spacing w:val="4"/>
              </w:rPr>
              <w:t>危及公路桥</w:t>
            </w:r>
            <w:r>
              <w:t xml:space="preserve"> </w:t>
            </w:r>
            <w:r>
              <w:rPr>
                <w:spacing w:val="4"/>
              </w:rPr>
              <w:t>梁安全的施</w:t>
            </w:r>
            <w:r>
              <w:t xml:space="preserve"> </w:t>
            </w:r>
            <w:r>
              <w:rPr>
                <w:spacing w:val="4"/>
              </w:rPr>
              <w:t>工作业行为</w:t>
            </w:r>
            <w:r>
              <w:t xml:space="preserve"> </w:t>
            </w:r>
            <w:r>
              <w:rPr>
                <w:spacing w:val="-4"/>
              </w:rPr>
              <w:t>的行政处罚</w:t>
            </w:r>
          </w:p>
        </w:tc>
        <w:tc>
          <w:tcPr>
            <w:tcW w:w="1113" w:type="dxa"/>
            <w:vAlign w:val="top"/>
          </w:tcPr>
          <w:p w14:paraId="0297B6AF">
            <w:pPr>
              <w:spacing w:line="346" w:lineRule="auto"/>
              <w:rPr>
                <w:rFonts w:ascii="Arial"/>
                <w:sz w:val="21"/>
              </w:rPr>
            </w:pPr>
          </w:p>
          <w:p w14:paraId="58D7CC5E">
            <w:pPr>
              <w:spacing w:line="346" w:lineRule="auto"/>
              <w:rPr>
                <w:rFonts w:ascii="Arial"/>
                <w:sz w:val="21"/>
              </w:rPr>
            </w:pPr>
          </w:p>
          <w:p w14:paraId="3CFF6D78">
            <w:pPr>
              <w:pStyle w:val="8"/>
              <w:spacing w:before="58" w:line="220" w:lineRule="auto"/>
              <w:ind w:left="10"/>
            </w:pPr>
            <w:r>
              <w:rPr>
                <w:spacing w:val="-2"/>
              </w:rPr>
              <w:t>行政处罚</w:t>
            </w:r>
          </w:p>
        </w:tc>
        <w:tc>
          <w:tcPr>
            <w:tcW w:w="8631" w:type="dxa"/>
            <w:vAlign w:val="top"/>
          </w:tcPr>
          <w:p w14:paraId="0EBAB098">
            <w:pPr>
              <w:spacing w:line="339" w:lineRule="auto"/>
              <w:rPr>
                <w:rFonts w:ascii="Arial"/>
                <w:sz w:val="21"/>
              </w:rPr>
            </w:pPr>
          </w:p>
          <w:p w14:paraId="0E8F37CE">
            <w:pPr>
              <w:pStyle w:val="8"/>
              <w:spacing w:before="59" w:line="219" w:lineRule="auto"/>
              <w:ind w:left="472"/>
            </w:pPr>
            <w:r>
              <w:rPr>
                <w:b/>
                <w:bCs/>
                <w:spacing w:val="-5"/>
              </w:rPr>
              <w:t>《公路安全保护条例》</w:t>
            </w:r>
          </w:p>
          <w:p w14:paraId="416B31C0">
            <w:pPr>
              <w:pStyle w:val="8"/>
              <w:spacing w:before="25" w:line="219" w:lineRule="auto"/>
              <w:ind w:left="466"/>
            </w:pPr>
            <w:r>
              <w:rPr>
                <w:spacing w:val="-2"/>
              </w:rPr>
              <w:t>第二十二条第一款  禁止利用公路桥梁进行牵拉、吊装等危及公路桥梁安全的施工</w:t>
            </w:r>
            <w:r>
              <w:rPr>
                <w:spacing w:val="-3"/>
              </w:rPr>
              <w:t>作业。</w:t>
            </w:r>
          </w:p>
          <w:p w14:paraId="3C9C61AD">
            <w:pPr>
              <w:pStyle w:val="8"/>
              <w:spacing w:before="26" w:line="234" w:lineRule="auto"/>
              <w:ind w:left="117" w:right="109" w:firstLine="349"/>
            </w:pPr>
            <w:r>
              <w:rPr>
                <w:spacing w:val="1"/>
              </w:rPr>
              <w:t>第五十九条  违反本条例第二十二条规定的，由公路管理机构责令改正，处2万元以</w:t>
            </w:r>
            <w:r>
              <w:t xml:space="preserve">上10万元以下的罚 </w:t>
            </w:r>
            <w:r>
              <w:rPr>
                <w:spacing w:val="-4"/>
              </w:rPr>
              <w:t>款。</w:t>
            </w:r>
          </w:p>
        </w:tc>
        <w:tc>
          <w:tcPr>
            <w:tcW w:w="1022" w:type="dxa"/>
            <w:vAlign w:val="top"/>
          </w:tcPr>
          <w:p w14:paraId="16CDB1A9">
            <w:pPr>
              <w:spacing w:line="282" w:lineRule="auto"/>
              <w:rPr>
                <w:rFonts w:ascii="Arial"/>
                <w:sz w:val="21"/>
              </w:rPr>
            </w:pPr>
          </w:p>
          <w:p w14:paraId="1A09929A">
            <w:pPr>
              <w:spacing w:line="282" w:lineRule="auto"/>
              <w:rPr>
                <w:rFonts w:ascii="Arial"/>
                <w:sz w:val="21"/>
              </w:rPr>
            </w:pPr>
          </w:p>
          <w:p w14:paraId="3C8668BC">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23B8402B">
            <w:pPr>
              <w:spacing w:line="342" w:lineRule="auto"/>
              <w:rPr>
                <w:rFonts w:ascii="Arial"/>
                <w:sz w:val="21"/>
              </w:rPr>
            </w:pPr>
          </w:p>
          <w:p w14:paraId="3D828DC7">
            <w:pPr>
              <w:spacing w:line="343" w:lineRule="auto"/>
              <w:rPr>
                <w:rFonts w:ascii="Arial"/>
                <w:sz w:val="21"/>
              </w:rPr>
            </w:pPr>
          </w:p>
          <w:p w14:paraId="032E2C86">
            <w:pPr>
              <w:pStyle w:val="8"/>
              <w:spacing w:before="59" w:line="219" w:lineRule="auto"/>
              <w:ind w:left="13"/>
              <w:rPr>
                <w:rFonts w:hint="eastAsia" w:eastAsia="宋体"/>
                <w:lang w:eastAsia="zh-CN"/>
              </w:rPr>
            </w:pPr>
            <w:r>
              <w:rPr>
                <w:rFonts w:hint="eastAsia"/>
                <w:spacing w:val="-2"/>
                <w:lang w:eastAsia="zh-CN"/>
              </w:rPr>
              <w:t>津市市交通运输局</w:t>
            </w:r>
          </w:p>
        </w:tc>
        <w:tc>
          <w:tcPr>
            <w:tcW w:w="1027" w:type="dxa"/>
            <w:vAlign w:val="top"/>
          </w:tcPr>
          <w:p w14:paraId="28A58D14">
            <w:pPr>
              <w:spacing w:line="442" w:lineRule="auto"/>
              <w:rPr>
                <w:rFonts w:ascii="Arial"/>
                <w:sz w:val="21"/>
              </w:rPr>
            </w:pPr>
          </w:p>
          <w:p w14:paraId="6541A818">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r w14:paraId="7941C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4" w:hRule="atLeast"/>
        </w:trPr>
        <w:tc>
          <w:tcPr>
            <w:tcW w:w="629" w:type="dxa"/>
            <w:vAlign w:val="top"/>
          </w:tcPr>
          <w:p w14:paraId="59B14DD3">
            <w:pPr>
              <w:spacing w:line="262" w:lineRule="auto"/>
              <w:rPr>
                <w:rFonts w:ascii="Arial"/>
                <w:sz w:val="21"/>
              </w:rPr>
            </w:pPr>
          </w:p>
          <w:p w14:paraId="3C8EDDE1">
            <w:pPr>
              <w:spacing w:line="262" w:lineRule="auto"/>
              <w:rPr>
                <w:rFonts w:ascii="Arial"/>
                <w:sz w:val="21"/>
              </w:rPr>
            </w:pPr>
          </w:p>
          <w:p w14:paraId="116AF1D9">
            <w:pPr>
              <w:spacing w:line="263" w:lineRule="auto"/>
              <w:rPr>
                <w:rFonts w:ascii="Arial"/>
                <w:sz w:val="21"/>
              </w:rPr>
            </w:pPr>
          </w:p>
          <w:p w14:paraId="098A743A">
            <w:pPr>
              <w:spacing w:line="263" w:lineRule="auto"/>
              <w:rPr>
                <w:rFonts w:ascii="Arial"/>
                <w:sz w:val="21"/>
              </w:rPr>
            </w:pPr>
          </w:p>
          <w:p w14:paraId="17E93B0E">
            <w:pPr>
              <w:spacing w:line="263" w:lineRule="auto"/>
              <w:rPr>
                <w:rFonts w:ascii="Arial"/>
                <w:sz w:val="21"/>
              </w:rPr>
            </w:pPr>
          </w:p>
          <w:p w14:paraId="7982B478">
            <w:pPr>
              <w:spacing w:line="263" w:lineRule="auto"/>
              <w:rPr>
                <w:rFonts w:ascii="Arial"/>
                <w:sz w:val="21"/>
              </w:rPr>
            </w:pPr>
          </w:p>
          <w:p w14:paraId="11E31214">
            <w:pPr>
              <w:pStyle w:val="8"/>
              <w:spacing w:before="59" w:line="184" w:lineRule="auto"/>
              <w:ind w:left="246"/>
            </w:pPr>
            <w:r>
              <w:rPr>
                <w:spacing w:val="-11"/>
              </w:rPr>
              <w:t>14</w:t>
            </w:r>
          </w:p>
        </w:tc>
        <w:tc>
          <w:tcPr>
            <w:tcW w:w="1113" w:type="dxa"/>
            <w:vAlign w:val="top"/>
          </w:tcPr>
          <w:p w14:paraId="099D2712">
            <w:pPr>
              <w:pStyle w:val="8"/>
              <w:spacing w:before="26" w:line="246" w:lineRule="auto"/>
              <w:ind w:left="95" w:right="90"/>
            </w:pPr>
            <w:r>
              <w:rPr>
                <w:spacing w:val="4"/>
              </w:rPr>
              <w:t>对利用公路</w:t>
            </w:r>
            <w:r>
              <w:rPr>
                <w:spacing w:val="1"/>
              </w:rPr>
              <w:t xml:space="preserve"> </w:t>
            </w:r>
            <w:r>
              <w:rPr>
                <w:spacing w:val="4"/>
              </w:rPr>
              <w:t>桥梁（含桥</w:t>
            </w:r>
            <w:r>
              <w:rPr>
                <w:spacing w:val="1"/>
              </w:rPr>
              <w:t xml:space="preserve"> </w:t>
            </w:r>
            <w:r>
              <w:rPr>
                <w:spacing w:val="4"/>
              </w:rPr>
              <w:t>下空间）、</w:t>
            </w:r>
            <w:r>
              <w:rPr>
                <w:spacing w:val="1"/>
              </w:rPr>
              <w:t xml:space="preserve"> </w:t>
            </w:r>
            <w:r>
              <w:rPr>
                <w:spacing w:val="-1"/>
              </w:rPr>
              <w:t>公路隧道、</w:t>
            </w:r>
            <w:r>
              <w:t xml:space="preserve"> </w:t>
            </w:r>
            <w:r>
              <w:rPr>
                <w:spacing w:val="4"/>
              </w:rPr>
              <w:t>涵洞堆放物</w:t>
            </w:r>
            <w:r>
              <w:rPr>
                <w:spacing w:val="1"/>
              </w:rPr>
              <w:t xml:space="preserve"> </w:t>
            </w:r>
            <w:r>
              <w:rPr>
                <w:spacing w:val="4"/>
              </w:rPr>
              <w:t>品，搭建设</w:t>
            </w:r>
            <w:r>
              <w:rPr>
                <w:spacing w:val="1"/>
              </w:rPr>
              <w:t xml:space="preserve"> </w:t>
            </w:r>
            <w:r>
              <w:rPr>
                <w:spacing w:val="4"/>
              </w:rPr>
              <w:t>施以及铺设</w:t>
            </w:r>
            <w:r>
              <w:rPr>
                <w:spacing w:val="1"/>
              </w:rPr>
              <w:t xml:space="preserve"> </w:t>
            </w:r>
            <w:r>
              <w:rPr>
                <w:spacing w:val="4"/>
              </w:rPr>
              <w:t>高压电线和</w:t>
            </w:r>
            <w:r>
              <w:rPr>
                <w:spacing w:val="1"/>
              </w:rPr>
              <w:t xml:space="preserve"> </w:t>
            </w:r>
            <w:r>
              <w:rPr>
                <w:spacing w:val="-1"/>
              </w:rPr>
              <w:t>输送易燃、</w:t>
            </w:r>
            <w:r>
              <w:t xml:space="preserve"> </w:t>
            </w:r>
            <w:r>
              <w:rPr>
                <w:spacing w:val="4"/>
              </w:rPr>
              <w:t>易爆或者其</w:t>
            </w:r>
            <w:r>
              <w:rPr>
                <w:spacing w:val="1"/>
              </w:rPr>
              <w:t xml:space="preserve"> </w:t>
            </w:r>
            <w:r>
              <w:rPr>
                <w:spacing w:val="4"/>
              </w:rPr>
              <w:t>他有毒有害</w:t>
            </w:r>
            <w:r>
              <w:rPr>
                <w:spacing w:val="1"/>
              </w:rPr>
              <w:t xml:space="preserve"> </w:t>
            </w:r>
            <w:r>
              <w:rPr>
                <w:spacing w:val="4"/>
              </w:rPr>
              <w:t>气体、液体</w:t>
            </w:r>
            <w:r>
              <w:rPr>
                <w:spacing w:val="1"/>
              </w:rPr>
              <w:t xml:space="preserve"> </w:t>
            </w:r>
            <w:r>
              <w:rPr>
                <w:spacing w:val="4"/>
              </w:rPr>
              <w:t>的管道行为</w:t>
            </w:r>
            <w:r>
              <w:rPr>
                <w:spacing w:val="1"/>
              </w:rPr>
              <w:t xml:space="preserve"> </w:t>
            </w:r>
            <w:r>
              <w:rPr>
                <w:spacing w:val="-4"/>
              </w:rPr>
              <w:t>的行政处罚</w:t>
            </w:r>
          </w:p>
        </w:tc>
        <w:tc>
          <w:tcPr>
            <w:tcW w:w="1113" w:type="dxa"/>
            <w:vAlign w:val="top"/>
          </w:tcPr>
          <w:p w14:paraId="3D245139">
            <w:pPr>
              <w:spacing w:line="270" w:lineRule="auto"/>
              <w:rPr>
                <w:rFonts w:ascii="Arial"/>
                <w:sz w:val="21"/>
              </w:rPr>
            </w:pPr>
          </w:p>
          <w:p w14:paraId="0F53684A">
            <w:pPr>
              <w:spacing w:line="271" w:lineRule="auto"/>
              <w:rPr>
                <w:rFonts w:ascii="Arial"/>
                <w:sz w:val="21"/>
              </w:rPr>
            </w:pPr>
          </w:p>
          <w:p w14:paraId="5B7DC975">
            <w:pPr>
              <w:spacing w:line="271" w:lineRule="auto"/>
              <w:rPr>
                <w:rFonts w:ascii="Arial"/>
                <w:sz w:val="21"/>
              </w:rPr>
            </w:pPr>
          </w:p>
          <w:p w14:paraId="2D7AC32F">
            <w:pPr>
              <w:spacing w:line="271" w:lineRule="auto"/>
              <w:rPr>
                <w:rFonts w:ascii="Arial"/>
                <w:sz w:val="21"/>
              </w:rPr>
            </w:pPr>
          </w:p>
          <w:p w14:paraId="3F50E09A">
            <w:pPr>
              <w:spacing w:line="271" w:lineRule="auto"/>
              <w:rPr>
                <w:rFonts w:ascii="Arial"/>
                <w:sz w:val="21"/>
              </w:rPr>
            </w:pPr>
          </w:p>
          <w:p w14:paraId="66447F13">
            <w:pPr>
              <w:spacing w:line="271" w:lineRule="auto"/>
              <w:rPr>
                <w:rFonts w:ascii="Arial"/>
                <w:sz w:val="21"/>
              </w:rPr>
            </w:pPr>
          </w:p>
          <w:p w14:paraId="314F0A97">
            <w:pPr>
              <w:pStyle w:val="8"/>
              <w:spacing w:before="59" w:line="220" w:lineRule="auto"/>
              <w:ind w:left="10"/>
            </w:pPr>
            <w:r>
              <w:rPr>
                <w:spacing w:val="-2"/>
              </w:rPr>
              <w:t>行政处罚</w:t>
            </w:r>
          </w:p>
        </w:tc>
        <w:tc>
          <w:tcPr>
            <w:tcW w:w="8631" w:type="dxa"/>
            <w:vAlign w:val="top"/>
          </w:tcPr>
          <w:p w14:paraId="153D61B1">
            <w:pPr>
              <w:spacing w:line="357" w:lineRule="auto"/>
              <w:rPr>
                <w:rFonts w:ascii="Arial"/>
                <w:sz w:val="21"/>
              </w:rPr>
            </w:pPr>
          </w:p>
          <w:p w14:paraId="02437FFC">
            <w:pPr>
              <w:spacing w:line="357" w:lineRule="auto"/>
              <w:rPr>
                <w:rFonts w:ascii="Arial"/>
                <w:sz w:val="21"/>
              </w:rPr>
            </w:pPr>
          </w:p>
          <w:p w14:paraId="79C1A72C">
            <w:pPr>
              <w:pStyle w:val="8"/>
              <w:spacing w:before="59" w:line="219" w:lineRule="auto"/>
              <w:ind w:left="480"/>
            </w:pPr>
            <w:r>
              <w:rPr>
                <w:b/>
                <w:bCs/>
                <w:spacing w:val="-5"/>
              </w:rPr>
              <w:t>1.《公路安全保护条例》</w:t>
            </w:r>
          </w:p>
          <w:p w14:paraId="4A740D84">
            <w:pPr>
              <w:pStyle w:val="8"/>
              <w:spacing w:before="26" w:line="232" w:lineRule="auto"/>
              <w:ind w:left="121" w:right="109" w:firstLine="345"/>
            </w:pPr>
            <w:r>
              <w:rPr>
                <w:spacing w:val="-1"/>
              </w:rPr>
              <w:t>第二十二条第二款  禁止利用公路桥梁（含桥下空间）、公路隧道、涵洞堆放物品，搭建</w:t>
            </w:r>
            <w:r>
              <w:rPr>
                <w:spacing w:val="-2"/>
              </w:rPr>
              <w:t>设施以及铺设</w:t>
            </w:r>
            <w:r>
              <w:t xml:space="preserve"> </w:t>
            </w:r>
            <w:r>
              <w:rPr>
                <w:spacing w:val="-3"/>
              </w:rPr>
              <w:t>高压电线和输送易燃、易爆或者其他有毒有害气体、液体的管道。</w:t>
            </w:r>
          </w:p>
          <w:p w14:paraId="323FE25C">
            <w:pPr>
              <w:pStyle w:val="8"/>
              <w:spacing w:before="26" w:line="234" w:lineRule="auto"/>
              <w:ind w:left="117" w:right="109" w:firstLine="349"/>
            </w:pPr>
            <w:r>
              <w:rPr>
                <w:spacing w:val="1"/>
              </w:rPr>
              <w:t>第五十九条  违反本条例第二十二条规定的，由公路管理机构责令改正，处2万元以</w:t>
            </w:r>
            <w:r>
              <w:t xml:space="preserve">上10万元以下的罚 </w:t>
            </w:r>
            <w:r>
              <w:rPr>
                <w:spacing w:val="-4"/>
              </w:rPr>
              <w:t>款。</w:t>
            </w:r>
          </w:p>
          <w:p w14:paraId="7F9DC8FD">
            <w:pPr>
              <w:pStyle w:val="8"/>
              <w:spacing w:before="24" w:line="219" w:lineRule="auto"/>
              <w:ind w:left="468"/>
            </w:pPr>
            <w:r>
              <w:rPr>
                <w:b/>
                <w:bCs/>
                <w:spacing w:val="-4"/>
              </w:rPr>
              <w:t>2.《湖南省实施〈中华人民共和国公路法〉办法》</w:t>
            </w:r>
          </w:p>
          <w:p w14:paraId="7156EEA8">
            <w:pPr>
              <w:pStyle w:val="8"/>
              <w:spacing w:before="26" w:line="232" w:lineRule="auto"/>
              <w:ind w:left="117" w:right="131" w:firstLine="349"/>
            </w:pPr>
            <w:r>
              <w:rPr>
                <w:spacing w:val="-1"/>
              </w:rPr>
              <w:t>第十六条第一项  禁止下列损坏公路、危害公路安全或者影响公路畅通的行为</w:t>
            </w:r>
            <w:r>
              <w:rPr>
                <w:spacing w:val="-15"/>
              </w:rPr>
              <w:t>：（</w:t>
            </w:r>
            <w:r>
              <w:rPr>
                <w:spacing w:val="-1"/>
              </w:rPr>
              <w:t>一）在公路桥梁孔内</w:t>
            </w:r>
            <w:r>
              <w:t xml:space="preserve"> </w:t>
            </w:r>
            <w:r>
              <w:rPr>
                <w:spacing w:val="-3"/>
              </w:rPr>
              <w:t>堆放易燃易爆物品、进行明火作业、搭建设施；</w:t>
            </w:r>
          </w:p>
        </w:tc>
        <w:tc>
          <w:tcPr>
            <w:tcW w:w="1022" w:type="dxa"/>
            <w:vAlign w:val="top"/>
          </w:tcPr>
          <w:p w14:paraId="36C1AFF5">
            <w:pPr>
              <w:spacing w:line="283" w:lineRule="auto"/>
              <w:rPr>
                <w:rFonts w:ascii="Arial"/>
                <w:sz w:val="21"/>
              </w:rPr>
            </w:pPr>
          </w:p>
          <w:p w14:paraId="79310569">
            <w:pPr>
              <w:spacing w:line="283" w:lineRule="auto"/>
              <w:rPr>
                <w:rFonts w:ascii="Arial"/>
                <w:sz w:val="21"/>
              </w:rPr>
            </w:pPr>
          </w:p>
          <w:p w14:paraId="6CF40B85">
            <w:pPr>
              <w:spacing w:line="283" w:lineRule="auto"/>
              <w:rPr>
                <w:rFonts w:ascii="Arial"/>
                <w:sz w:val="21"/>
              </w:rPr>
            </w:pPr>
          </w:p>
          <w:p w14:paraId="2B63EA32">
            <w:pPr>
              <w:spacing w:line="283" w:lineRule="auto"/>
              <w:rPr>
                <w:rFonts w:ascii="Arial"/>
                <w:sz w:val="21"/>
              </w:rPr>
            </w:pPr>
          </w:p>
          <w:p w14:paraId="4D927215">
            <w:pPr>
              <w:spacing w:line="284" w:lineRule="auto"/>
              <w:rPr>
                <w:rFonts w:ascii="Arial"/>
                <w:sz w:val="21"/>
              </w:rPr>
            </w:pPr>
          </w:p>
          <w:p w14:paraId="48093515">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72297DA1">
            <w:pPr>
              <w:spacing w:line="255" w:lineRule="auto"/>
              <w:rPr>
                <w:rFonts w:ascii="Arial"/>
                <w:sz w:val="21"/>
              </w:rPr>
            </w:pPr>
          </w:p>
          <w:p w14:paraId="0445B322">
            <w:pPr>
              <w:spacing w:line="256" w:lineRule="auto"/>
              <w:rPr>
                <w:rFonts w:ascii="Arial"/>
                <w:sz w:val="21"/>
              </w:rPr>
            </w:pPr>
          </w:p>
          <w:p w14:paraId="40D19658">
            <w:pPr>
              <w:spacing w:line="256" w:lineRule="auto"/>
              <w:rPr>
                <w:rFonts w:ascii="Arial"/>
                <w:sz w:val="21"/>
              </w:rPr>
            </w:pPr>
          </w:p>
          <w:p w14:paraId="118FA7B7">
            <w:pPr>
              <w:spacing w:line="256" w:lineRule="auto"/>
              <w:rPr>
                <w:rFonts w:ascii="Arial"/>
                <w:sz w:val="21"/>
              </w:rPr>
            </w:pPr>
          </w:p>
          <w:p w14:paraId="7D8C3F50">
            <w:pPr>
              <w:spacing w:line="256" w:lineRule="auto"/>
              <w:rPr>
                <w:rFonts w:ascii="Arial"/>
                <w:sz w:val="21"/>
              </w:rPr>
            </w:pPr>
          </w:p>
          <w:p w14:paraId="00FA30D3">
            <w:pPr>
              <w:spacing w:line="256" w:lineRule="auto"/>
              <w:rPr>
                <w:rFonts w:ascii="Arial"/>
                <w:sz w:val="21"/>
              </w:rPr>
            </w:pPr>
          </w:p>
          <w:p w14:paraId="53B83541">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1F8C01F0">
            <w:pPr>
              <w:spacing w:line="258" w:lineRule="auto"/>
              <w:rPr>
                <w:rFonts w:ascii="Arial"/>
                <w:sz w:val="21"/>
              </w:rPr>
            </w:pPr>
          </w:p>
          <w:p w14:paraId="3ADB8848">
            <w:pPr>
              <w:spacing w:line="258" w:lineRule="auto"/>
              <w:rPr>
                <w:rFonts w:ascii="Arial"/>
                <w:sz w:val="21"/>
              </w:rPr>
            </w:pPr>
          </w:p>
          <w:p w14:paraId="00CAB4E4">
            <w:pPr>
              <w:spacing w:line="258" w:lineRule="auto"/>
              <w:rPr>
                <w:rFonts w:ascii="Arial"/>
                <w:sz w:val="21"/>
              </w:rPr>
            </w:pPr>
          </w:p>
          <w:p w14:paraId="02768D69">
            <w:pPr>
              <w:spacing w:line="259" w:lineRule="auto"/>
              <w:rPr>
                <w:rFonts w:ascii="Arial"/>
                <w:sz w:val="21"/>
              </w:rPr>
            </w:pPr>
          </w:p>
          <w:p w14:paraId="14950607">
            <w:pPr>
              <w:spacing w:line="259" w:lineRule="auto"/>
              <w:rPr>
                <w:rFonts w:ascii="Arial"/>
                <w:sz w:val="21"/>
              </w:rPr>
            </w:pPr>
          </w:p>
          <w:p w14:paraId="41C394CE">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r w14:paraId="5C769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629" w:type="dxa"/>
            <w:vAlign w:val="top"/>
          </w:tcPr>
          <w:p w14:paraId="00F7FAD8">
            <w:pPr>
              <w:spacing w:line="303" w:lineRule="auto"/>
              <w:rPr>
                <w:rFonts w:ascii="Arial"/>
                <w:sz w:val="21"/>
              </w:rPr>
            </w:pPr>
          </w:p>
          <w:p w14:paraId="271B67CC">
            <w:pPr>
              <w:spacing w:line="304" w:lineRule="auto"/>
              <w:rPr>
                <w:rFonts w:ascii="Arial"/>
                <w:sz w:val="21"/>
              </w:rPr>
            </w:pPr>
          </w:p>
          <w:p w14:paraId="76800CA5">
            <w:pPr>
              <w:pStyle w:val="8"/>
              <w:spacing w:before="59" w:line="184" w:lineRule="auto"/>
              <w:ind w:left="246"/>
            </w:pPr>
            <w:r>
              <w:rPr>
                <w:spacing w:val="-11"/>
              </w:rPr>
              <w:t>15</w:t>
            </w:r>
          </w:p>
        </w:tc>
        <w:tc>
          <w:tcPr>
            <w:tcW w:w="1113" w:type="dxa"/>
            <w:vAlign w:val="top"/>
          </w:tcPr>
          <w:p w14:paraId="15AC1FBC">
            <w:pPr>
              <w:pStyle w:val="8"/>
              <w:spacing w:before="265" w:line="243" w:lineRule="auto"/>
              <w:ind w:left="95" w:right="90"/>
              <w:jc w:val="both"/>
            </w:pPr>
            <w:r>
              <w:rPr>
                <w:spacing w:val="4"/>
              </w:rPr>
              <w:t>对擅自更新</w:t>
            </w:r>
            <w:r>
              <w:rPr>
                <w:spacing w:val="1"/>
              </w:rPr>
              <w:t xml:space="preserve"> </w:t>
            </w:r>
            <w:r>
              <w:rPr>
                <w:spacing w:val="4"/>
              </w:rPr>
              <w:t>采伐护路林</w:t>
            </w:r>
            <w:r>
              <w:rPr>
                <w:spacing w:val="1"/>
              </w:rPr>
              <w:t xml:space="preserve"> </w:t>
            </w:r>
            <w:r>
              <w:rPr>
                <w:spacing w:val="4"/>
              </w:rPr>
              <w:t>行为的行政</w:t>
            </w:r>
            <w:r>
              <w:rPr>
                <w:spacing w:val="1"/>
              </w:rPr>
              <w:t xml:space="preserve"> </w:t>
            </w:r>
            <w:r>
              <w:rPr>
                <w:spacing w:val="-4"/>
              </w:rPr>
              <w:t>处罚</w:t>
            </w:r>
          </w:p>
        </w:tc>
        <w:tc>
          <w:tcPr>
            <w:tcW w:w="1113" w:type="dxa"/>
            <w:vAlign w:val="top"/>
          </w:tcPr>
          <w:p w14:paraId="32D24641">
            <w:pPr>
              <w:spacing w:line="284" w:lineRule="auto"/>
              <w:rPr>
                <w:rFonts w:ascii="Arial"/>
                <w:sz w:val="21"/>
              </w:rPr>
            </w:pPr>
          </w:p>
          <w:p w14:paraId="76628F61">
            <w:pPr>
              <w:spacing w:line="284" w:lineRule="auto"/>
              <w:rPr>
                <w:rFonts w:ascii="Arial"/>
                <w:sz w:val="21"/>
              </w:rPr>
            </w:pPr>
          </w:p>
          <w:p w14:paraId="658E89CE">
            <w:pPr>
              <w:pStyle w:val="8"/>
              <w:spacing w:before="58" w:line="220" w:lineRule="auto"/>
              <w:ind w:left="10"/>
            </w:pPr>
            <w:r>
              <w:rPr>
                <w:spacing w:val="-2"/>
              </w:rPr>
              <w:t>行政处罚</w:t>
            </w:r>
          </w:p>
        </w:tc>
        <w:tc>
          <w:tcPr>
            <w:tcW w:w="8631" w:type="dxa"/>
            <w:vAlign w:val="top"/>
          </w:tcPr>
          <w:p w14:paraId="759FB358">
            <w:pPr>
              <w:pStyle w:val="8"/>
              <w:spacing w:before="42" w:line="219" w:lineRule="auto"/>
              <w:ind w:left="472"/>
            </w:pPr>
            <w:r>
              <w:rPr>
                <w:b/>
                <w:bCs/>
                <w:spacing w:val="-5"/>
              </w:rPr>
              <w:t>《公路安全保护条例》</w:t>
            </w:r>
          </w:p>
          <w:p w14:paraId="6A571D04">
            <w:pPr>
              <w:pStyle w:val="8"/>
              <w:spacing w:before="27" w:line="237" w:lineRule="auto"/>
              <w:ind w:left="115" w:right="107" w:firstLine="351"/>
              <w:jc w:val="both"/>
            </w:pPr>
            <w:r>
              <w:rPr>
                <w:spacing w:val="-1"/>
              </w:rPr>
              <w:t>第二十六条  禁止破坏公路、公路用地范围内的绿化物。需要更新采伐护路林的，应当向</w:t>
            </w:r>
            <w:r>
              <w:rPr>
                <w:spacing w:val="-2"/>
              </w:rPr>
              <w:t>公路管理机构</w:t>
            </w:r>
            <w:r>
              <w:t xml:space="preserve"> </w:t>
            </w:r>
            <w:r>
              <w:rPr>
                <w:spacing w:val="-1"/>
              </w:rPr>
              <w:t>提出申请，经批准方可更新采伐，并及时补种；不能及时补种的，应当交纳补种所</w:t>
            </w:r>
            <w:r>
              <w:rPr>
                <w:spacing w:val="-2"/>
              </w:rPr>
              <w:t>需费用，由公路管理机构</w:t>
            </w:r>
            <w:r>
              <w:t xml:space="preserve"> </w:t>
            </w:r>
            <w:r>
              <w:rPr>
                <w:spacing w:val="-6"/>
              </w:rPr>
              <w:t>代为补种。</w:t>
            </w:r>
          </w:p>
          <w:p w14:paraId="12606580">
            <w:pPr>
              <w:pStyle w:val="8"/>
              <w:spacing w:before="25" w:line="223" w:lineRule="auto"/>
              <w:ind w:left="117" w:right="109" w:firstLine="349"/>
            </w:pPr>
            <w:r>
              <w:rPr>
                <w:spacing w:val="-1"/>
              </w:rPr>
              <w:t>第六十一条  违反本条例的规定，未经批准更新采伐护路林的，由公路管理机构责令补种</w:t>
            </w:r>
            <w:r>
              <w:rPr>
                <w:spacing w:val="-2"/>
              </w:rPr>
              <w:t>，没收违法所</w:t>
            </w:r>
            <w:r>
              <w:t xml:space="preserve"> </w:t>
            </w:r>
            <w:r>
              <w:rPr>
                <w:spacing w:val="-3"/>
              </w:rPr>
              <w:t>得，并处采伐林木价值3倍以上5倍以下的罚款。</w:t>
            </w:r>
          </w:p>
        </w:tc>
        <w:tc>
          <w:tcPr>
            <w:tcW w:w="1022" w:type="dxa"/>
            <w:vAlign w:val="top"/>
          </w:tcPr>
          <w:p w14:paraId="50773A4B">
            <w:pPr>
              <w:spacing w:line="447" w:lineRule="auto"/>
              <w:rPr>
                <w:rFonts w:ascii="Arial"/>
                <w:sz w:val="21"/>
              </w:rPr>
            </w:pPr>
          </w:p>
          <w:p w14:paraId="4B8DBFE6">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0B008EC2">
            <w:pPr>
              <w:spacing w:line="284" w:lineRule="auto"/>
              <w:rPr>
                <w:rFonts w:ascii="Arial"/>
                <w:sz w:val="21"/>
              </w:rPr>
            </w:pPr>
          </w:p>
          <w:p w14:paraId="36980C33">
            <w:pPr>
              <w:spacing w:line="284" w:lineRule="auto"/>
              <w:rPr>
                <w:rFonts w:ascii="Arial"/>
                <w:sz w:val="21"/>
              </w:rPr>
            </w:pPr>
          </w:p>
          <w:p w14:paraId="0E09A349">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7B5852BB">
            <w:pPr>
              <w:spacing w:line="328" w:lineRule="auto"/>
              <w:rPr>
                <w:rFonts w:ascii="Arial"/>
                <w:sz w:val="21"/>
              </w:rPr>
            </w:pPr>
          </w:p>
          <w:p w14:paraId="061D9009">
            <w:pPr>
              <w:pStyle w:val="8"/>
              <w:spacing w:before="58"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bl>
    <w:p w14:paraId="20382E51">
      <w:pPr>
        <w:pStyle w:val="2"/>
      </w:pPr>
    </w:p>
    <w:p w14:paraId="4D51456B">
      <w:pPr>
        <w:sectPr>
          <w:footerReference r:id="rId67" w:type="default"/>
          <w:pgSz w:w="16840" w:h="11910"/>
          <w:pgMar w:top="1012" w:right="940" w:bottom="965" w:left="940" w:header="0" w:footer="768" w:gutter="0"/>
          <w:cols w:space="720" w:num="1"/>
        </w:sectPr>
      </w:pPr>
    </w:p>
    <w:p w14:paraId="29194C65">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23D5B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2F140A81">
            <w:pPr>
              <w:pStyle w:val="8"/>
              <w:spacing w:before="259" w:line="221" w:lineRule="auto"/>
              <w:ind w:left="148"/>
            </w:pPr>
            <w:r>
              <w:rPr>
                <w:b/>
                <w:bCs/>
                <w:spacing w:val="-6"/>
              </w:rPr>
              <w:t>序号</w:t>
            </w:r>
          </w:p>
        </w:tc>
        <w:tc>
          <w:tcPr>
            <w:tcW w:w="1113" w:type="dxa"/>
            <w:vMerge w:val="restart"/>
            <w:tcBorders>
              <w:bottom w:val="nil"/>
            </w:tcBorders>
            <w:vAlign w:val="top"/>
          </w:tcPr>
          <w:p w14:paraId="42CF7692">
            <w:pPr>
              <w:pStyle w:val="8"/>
              <w:spacing w:before="260" w:line="220" w:lineRule="auto"/>
              <w:ind w:left="201"/>
            </w:pPr>
            <w:r>
              <w:rPr>
                <w:b/>
                <w:bCs/>
                <w:spacing w:val="-5"/>
              </w:rPr>
              <w:t>事项名称</w:t>
            </w:r>
          </w:p>
        </w:tc>
        <w:tc>
          <w:tcPr>
            <w:tcW w:w="1113" w:type="dxa"/>
            <w:vMerge w:val="restart"/>
            <w:tcBorders>
              <w:bottom w:val="nil"/>
            </w:tcBorders>
            <w:vAlign w:val="top"/>
          </w:tcPr>
          <w:p w14:paraId="36938D1A">
            <w:pPr>
              <w:pStyle w:val="8"/>
              <w:spacing w:before="260" w:line="219" w:lineRule="auto"/>
              <w:ind w:left="202"/>
            </w:pPr>
            <w:r>
              <w:rPr>
                <w:b/>
                <w:bCs/>
                <w:spacing w:val="-5"/>
              </w:rPr>
              <w:t>职权类型</w:t>
            </w:r>
          </w:p>
        </w:tc>
        <w:tc>
          <w:tcPr>
            <w:tcW w:w="8631" w:type="dxa"/>
            <w:vMerge w:val="restart"/>
            <w:tcBorders>
              <w:bottom w:val="nil"/>
            </w:tcBorders>
            <w:vAlign w:val="top"/>
          </w:tcPr>
          <w:p w14:paraId="0FD25705">
            <w:pPr>
              <w:pStyle w:val="8"/>
              <w:spacing w:before="259" w:line="219" w:lineRule="auto"/>
              <w:ind w:left="3970"/>
            </w:pPr>
            <w:r>
              <w:rPr>
                <w:b/>
                <w:bCs/>
                <w:spacing w:val="-6"/>
              </w:rPr>
              <w:t>实施依据</w:t>
            </w:r>
          </w:p>
        </w:tc>
        <w:tc>
          <w:tcPr>
            <w:tcW w:w="3468" w:type="dxa"/>
            <w:gridSpan w:val="3"/>
            <w:vAlign w:val="top"/>
          </w:tcPr>
          <w:p w14:paraId="6D804C1E">
            <w:pPr>
              <w:pStyle w:val="8"/>
              <w:spacing w:before="82" w:line="220" w:lineRule="auto"/>
              <w:ind w:left="1389"/>
            </w:pPr>
            <w:r>
              <w:rPr>
                <w:b/>
                <w:bCs/>
                <w:spacing w:val="-6"/>
              </w:rPr>
              <w:t>实施主体</w:t>
            </w:r>
          </w:p>
        </w:tc>
      </w:tr>
      <w:tr w14:paraId="45CCF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4C781D7B">
            <w:pPr>
              <w:rPr>
                <w:rFonts w:ascii="Arial"/>
                <w:sz w:val="21"/>
              </w:rPr>
            </w:pPr>
          </w:p>
        </w:tc>
        <w:tc>
          <w:tcPr>
            <w:tcW w:w="1113" w:type="dxa"/>
            <w:vMerge w:val="continue"/>
            <w:tcBorders>
              <w:top w:val="nil"/>
            </w:tcBorders>
            <w:vAlign w:val="top"/>
          </w:tcPr>
          <w:p w14:paraId="58787049">
            <w:pPr>
              <w:rPr>
                <w:rFonts w:ascii="Arial"/>
                <w:sz w:val="21"/>
              </w:rPr>
            </w:pPr>
          </w:p>
        </w:tc>
        <w:tc>
          <w:tcPr>
            <w:tcW w:w="1113" w:type="dxa"/>
            <w:vMerge w:val="continue"/>
            <w:tcBorders>
              <w:top w:val="nil"/>
            </w:tcBorders>
            <w:vAlign w:val="top"/>
          </w:tcPr>
          <w:p w14:paraId="7619DF99">
            <w:pPr>
              <w:rPr>
                <w:rFonts w:ascii="Arial"/>
                <w:sz w:val="21"/>
              </w:rPr>
            </w:pPr>
          </w:p>
        </w:tc>
        <w:tc>
          <w:tcPr>
            <w:tcW w:w="8631" w:type="dxa"/>
            <w:vMerge w:val="continue"/>
            <w:tcBorders>
              <w:top w:val="nil"/>
            </w:tcBorders>
            <w:vAlign w:val="top"/>
          </w:tcPr>
          <w:p w14:paraId="748657B0">
            <w:pPr>
              <w:rPr>
                <w:rFonts w:ascii="Arial"/>
                <w:sz w:val="21"/>
              </w:rPr>
            </w:pPr>
          </w:p>
        </w:tc>
        <w:tc>
          <w:tcPr>
            <w:tcW w:w="1022" w:type="dxa"/>
            <w:vAlign w:val="top"/>
          </w:tcPr>
          <w:p w14:paraId="56920419">
            <w:pPr>
              <w:pStyle w:val="8"/>
              <w:spacing w:before="84" w:line="219" w:lineRule="auto"/>
              <w:ind w:left="170"/>
            </w:pPr>
            <w:r>
              <w:rPr>
                <w:b/>
                <w:bCs/>
                <w:spacing w:val="-6"/>
              </w:rPr>
              <w:t>责任部门</w:t>
            </w:r>
          </w:p>
        </w:tc>
        <w:tc>
          <w:tcPr>
            <w:tcW w:w="1419" w:type="dxa"/>
            <w:vAlign w:val="top"/>
          </w:tcPr>
          <w:p w14:paraId="701D6947">
            <w:pPr>
              <w:pStyle w:val="8"/>
              <w:spacing w:before="84" w:line="219" w:lineRule="auto"/>
              <w:ind w:left="183"/>
            </w:pPr>
            <w:r>
              <w:rPr>
                <w:b/>
                <w:bCs/>
                <w:spacing w:val="-4"/>
              </w:rPr>
              <w:t>第一责任层级</w:t>
            </w:r>
          </w:p>
        </w:tc>
        <w:tc>
          <w:tcPr>
            <w:tcW w:w="1027" w:type="dxa"/>
            <w:vAlign w:val="top"/>
          </w:tcPr>
          <w:p w14:paraId="308E5669">
            <w:pPr>
              <w:pStyle w:val="8"/>
              <w:spacing w:before="83" w:line="219" w:lineRule="auto"/>
              <w:ind w:left="161"/>
            </w:pPr>
            <w:r>
              <w:rPr>
                <w:b/>
                <w:bCs/>
                <w:spacing w:val="-5"/>
              </w:rPr>
              <w:t>承办机构</w:t>
            </w:r>
          </w:p>
        </w:tc>
      </w:tr>
      <w:tr w14:paraId="3230B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629" w:type="dxa"/>
            <w:vAlign w:val="top"/>
          </w:tcPr>
          <w:p w14:paraId="54643C3D">
            <w:pPr>
              <w:rPr>
                <w:rFonts w:ascii="Arial"/>
                <w:sz w:val="21"/>
              </w:rPr>
            </w:pPr>
          </w:p>
          <w:p w14:paraId="76DCD3C1">
            <w:pPr>
              <w:rPr>
                <w:rFonts w:ascii="Arial"/>
                <w:sz w:val="21"/>
              </w:rPr>
            </w:pPr>
          </w:p>
          <w:p w14:paraId="61450D3D">
            <w:pPr>
              <w:rPr>
                <w:rFonts w:ascii="Arial"/>
                <w:sz w:val="21"/>
              </w:rPr>
            </w:pPr>
          </w:p>
          <w:p w14:paraId="3B15A5DD">
            <w:pPr>
              <w:spacing w:line="241" w:lineRule="auto"/>
              <w:rPr>
                <w:rFonts w:ascii="Arial"/>
                <w:sz w:val="21"/>
              </w:rPr>
            </w:pPr>
          </w:p>
          <w:p w14:paraId="1139B757">
            <w:pPr>
              <w:pStyle w:val="8"/>
              <w:spacing w:before="59" w:line="184" w:lineRule="auto"/>
              <w:ind w:left="246"/>
            </w:pPr>
            <w:r>
              <w:rPr>
                <w:spacing w:val="-11"/>
              </w:rPr>
              <w:t>16</w:t>
            </w:r>
          </w:p>
        </w:tc>
        <w:tc>
          <w:tcPr>
            <w:tcW w:w="1113" w:type="dxa"/>
            <w:vAlign w:val="top"/>
          </w:tcPr>
          <w:p w14:paraId="038B50E6">
            <w:pPr>
              <w:spacing w:line="442" w:lineRule="auto"/>
              <w:rPr>
                <w:rFonts w:ascii="Arial"/>
                <w:sz w:val="21"/>
              </w:rPr>
            </w:pPr>
          </w:p>
          <w:p w14:paraId="45B58D66">
            <w:pPr>
              <w:pStyle w:val="8"/>
              <w:spacing w:before="59" w:line="243" w:lineRule="auto"/>
              <w:ind w:left="95" w:right="90"/>
              <w:jc w:val="both"/>
            </w:pPr>
            <w:r>
              <w:rPr>
                <w:spacing w:val="4"/>
              </w:rPr>
              <w:t>对涉路工程</w:t>
            </w:r>
            <w:r>
              <w:rPr>
                <w:spacing w:val="1"/>
              </w:rPr>
              <w:t xml:space="preserve"> </w:t>
            </w:r>
            <w:r>
              <w:rPr>
                <w:spacing w:val="4"/>
              </w:rPr>
              <w:t>设施影响公</w:t>
            </w:r>
            <w:r>
              <w:t xml:space="preserve"> </w:t>
            </w:r>
            <w:r>
              <w:rPr>
                <w:spacing w:val="4"/>
              </w:rPr>
              <w:t>路完好、安</w:t>
            </w:r>
            <w:r>
              <w:t xml:space="preserve"> </w:t>
            </w:r>
            <w:r>
              <w:rPr>
                <w:spacing w:val="4"/>
              </w:rPr>
              <w:t>全和畅通的</w:t>
            </w:r>
            <w:r>
              <w:t xml:space="preserve"> </w:t>
            </w:r>
            <w:r>
              <w:rPr>
                <w:spacing w:val="-4"/>
              </w:rPr>
              <w:t>行政处罚</w:t>
            </w:r>
          </w:p>
        </w:tc>
        <w:tc>
          <w:tcPr>
            <w:tcW w:w="1113" w:type="dxa"/>
            <w:vAlign w:val="top"/>
          </w:tcPr>
          <w:p w14:paraId="5D6FC8F9">
            <w:pPr>
              <w:spacing w:line="307" w:lineRule="auto"/>
              <w:rPr>
                <w:rFonts w:ascii="Arial"/>
                <w:sz w:val="21"/>
              </w:rPr>
            </w:pPr>
          </w:p>
          <w:p w14:paraId="7574AC78">
            <w:pPr>
              <w:spacing w:line="307" w:lineRule="auto"/>
              <w:rPr>
                <w:rFonts w:ascii="Arial"/>
                <w:sz w:val="21"/>
              </w:rPr>
            </w:pPr>
          </w:p>
          <w:p w14:paraId="668D22CA">
            <w:pPr>
              <w:spacing w:line="308" w:lineRule="auto"/>
              <w:rPr>
                <w:rFonts w:ascii="Arial"/>
                <w:sz w:val="21"/>
              </w:rPr>
            </w:pPr>
          </w:p>
          <w:p w14:paraId="01D9578C">
            <w:pPr>
              <w:pStyle w:val="8"/>
              <w:spacing w:before="58" w:line="220" w:lineRule="auto"/>
              <w:ind w:left="10"/>
            </w:pPr>
            <w:r>
              <w:rPr>
                <w:spacing w:val="-2"/>
              </w:rPr>
              <w:t>行政处罚</w:t>
            </w:r>
          </w:p>
        </w:tc>
        <w:tc>
          <w:tcPr>
            <w:tcW w:w="8631" w:type="dxa"/>
            <w:vAlign w:val="top"/>
          </w:tcPr>
          <w:p w14:paraId="124C2DC7">
            <w:pPr>
              <w:pStyle w:val="8"/>
              <w:spacing w:before="38" w:line="219" w:lineRule="auto"/>
              <w:ind w:left="480"/>
            </w:pPr>
            <w:r>
              <w:rPr>
                <w:b/>
                <w:bCs/>
                <w:spacing w:val="-5"/>
              </w:rPr>
              <w:t>1.《公路安全保护条例》</w:t>
            </w:r>
          </w:p>
          <w:p w14:paraId="2BE2FB43">
            <w:pPr>
              <w:pStyle w:val="8"/>
              <w:spacing w:before="26" w:line="219" w:lineRule="auto"/>
              <w:ind w:left="466"/>
            </w:pPr>
            <w:r>
              <w:rPr>
                <w:spacing w:val="-1"/>
              </w:rPr>
              <w:t>第二十九条第三款  涉路工程设施的所有人、管理人应当加强维护和管理，确保工程设施不影响</w:t>
            </w:r>
            <w:r>
              <w:rPr>
                <w:spacing w:val="-2"/>
              </w:rPr>
              <w:t>公路的</w:t>
            </w:r>
          </w:p>
          <w:p w14:paraId="47164543">
            <w:pPr>
              <w:pStyle w:val="8"/>
              <w:spacing w:before="26" w:line="219" w:lineRule="auto"/>
              <w:ind w:left="117"/>
            </w:pPr>
            <w:r>
              <w:rPr>
                <w:spacing w:val="-3"/>
              </w:rPr>
              <w:t>完好、安全和畅通。</w:t>
            </w:r>
          </w:p>
          <w:p w14:paraId="28E8600E">
            <w:pPr>
              <w:pStyle w:val="8"/>
              <w:spacing w:before="25" w:line="233" w:lineRule="auto"/>
              <w:ind w:left="117" w:right="109" w:firstLine="348"/>
            </w:pPr>
            <w:r>
              <w:t>第六十条第（二）</w:t>
            </w:r>
            <w:r>
              <w:rPr>
                <w:spacing w:val="-49"/>
              </w:rPr>
              <w:t xml:space="preserve"> </w:t>
            </w:r>
            <w:r>
              <w:t>项  违反本条例的规定，有下列行为之一的，由公路管理机构责令改正，可以</w:t>
            </w:r>
            <w:r>
              <w:rPr>
                <w:spacing w:val="-1"/>
              </w:rPr>
              <w:t>处3万</w:t>
            </w:r>
            <w:r>
              <w:t xml:space="preserve"> </w:t>
            </w:r>
            <w:r>
              <w:rPr>
                <w:spacing w:val="-1"/>
              </w:rPr>
              <w:t>元以下的罚款</w:t>
            </w:r>
            <w:r>
              <w:rPr>
                <w:spacing w:val="-16"/>
              </w:rPr>
              <w:t>：（</w:t>
            </w:r>
            <w:r>
              <w:rPr>
                <w:spacing w:val="-1"/>
              </w:rPr>
              <w:t>二）涉路工程设施影响公路完好、安</w:t>
            </w:r>
            <w:r>
              <w:rPr>
                <w:spacing w:val="-2"/>
              </w:rPr>
              <w:t>全和畅通的。</w:t>
            </w:r>
          </w:p>
          <w:p w14:paraId="6541DF3C">
            <w:pPr>
              <w:pStyle w:val="8"/>
              <w:spacing w:before="26" w:line="219" w:lineRule="auto"/>
              <w:ind w:left="468"/>
            </w:pPr>
            <w:r>
              <w:rPr>
                <w:b/>
                <w:bCs/>
                <w:spacing w:val="-4"/>
              </w:rPr>
              <w:t>2.《湖南省实施〈中华人民共和国公路法〉办法》</w:t>
            </w:r>
          </w:p>
          <w:p w14:paraId="39BB3CAD">
            <w:pPr>
              <w:pStyle w:val="8"/>
              <w:spacing w:before="26" w:line="231" w:lineRule="auto"/>
              <w:ind w:left="117" w:right="107" w:firstLine="348"/>
              <w:jc w:val="both"/>
            </w:pPr>
            <w:r>
              <w:rPr>
                <w:spacing w:val="-1"/>
              </w:rPr>
              <w:t>第十四条第一款  改建公路和公路养护施工作业，施工单位应当按照规定设置明显的施工标志和</w:t>
            </w:r>
            <w:r>
              <w:rPr>
                <w:spacing w:val="-2"/>
              </w:rPr>
              <w:t>安全标</w:t>
            </w:r>
            <w:r>
              <w:t xml:space="preserve"> </w:t>
            </w:r>
            <w:r>
              <w:rPr>
                <w:spacing w:val="-1"/>
              </w:rPr>
              <w:t>志，采取相应的安全措施，保障公路畅通；影响公路畅通的，应当尽量避开交</w:t>
            </w:r>
            <w:r>
              <w:rPr>
                <w:spacing w:val="-2"/>
              </w:rPr>
              <w:t>通高峰时段。进行公路大修或</w:t>
            </w:r>
            <w:r>
              <w:t xml:space="preserve"> </w:t>
            </w:r>
            <w:r>
              <w:rPr>
                <w:spacing w:val="-2"/>
              </w:rPr>
              <w:t>者改造、改建施工不能通行的，施工单位应当事先在绕行路</w:t>
            </w:r>
            <w:r>
              <w:rPr>
                <w:spacing w:val="-3"/>
              </w:rPr>
              <w:t>口予以公告。</w:t>
            </w:r>
          </w:p>
        </w:tc>
        <w:tc>
          <w:tcPr>
            <w:tcW w:w="1022" w:type="dxa"/>
            <w:vAlign w:val="top"/>
          </w:tcPr>
          <w:p w14:paraId="61C2C744">
            <w:pPr>
              <w:spacing w:line="267" w:lineRule="auto"/>
              <w:rPr>
                <w:rFonts w:ascii="Arial"/>
                <w:sz w:val="21"/>
              </w:rPr>
            </w:pPr>
          </w:p>
          <w:p w14:paraId="6CF346EE">
            <w:pPr>
              <w:spacing w:line="267" w:lineRule="auto"/>
              <w:rPr>
                <w:rFonts w:ascii="Arial"/>
                <w:sz w:val="21"/>
              </w:rPr>
            </w:pPr>
          </w:p>
          <w:p w14:paraId="06491F57">
            <w:pPr>
              <w:spacing w:line="267" w:lineRule="auto"/>
              <w:rPr>
                <w:rFonts w:ascii="Arial"/>
                <w:sz w:val="21"/>
              </w:rPr>
            </w:pPr>
          </w:p>
          <w:p w14:paraId="192AC39D">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535B7AB4">
            <w:pPr>
              <w:spacing w:line="307" w:lineRule="auto"/>
              <w:rPr>
                <w:rFonts w:ascii="Arial"/>
                <w:sz w:val="21"/>
              </w:rPr>
            </w:pPr>
          </w:p>
          <w:p w14:paraId="12A572B5">
            <w:pPr>
              <w:spacing w:line="307" w:lineRule="auto"/>
              <w:rPr>
                <w:rFonts w:ascii="Arial"/>
                <w:sz w:val="21"/>
              </w:rPr>
            </w:pPr>
          </w:p>
          <w:p w14:paraId="3D987727">
            <w:pPr>
              <w:spacing w:line="308" w:lineRule="auto"/>
              <w:rPr>
                <w:rFonts w:ascii="Arial"/>
                <w:sz w:val="21"/>
              </w:rPr>
            </w:pPr>
          </w:p>
          <w:p w14:paraId="3BF0F7D4">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63961B9B">
            <w:pPr>
              <w:spacing w:line="340" w:lineRule="auto"/>
              <w:rPr>
                <w:rFonts w:ascii="Arial"/>
                <w:sz w:val="21"/>
              </w:rPr>
            </w:pPr>
          </w:p>
          <w:p w14:paraId="0F389992">
            <w:pPr>
              <w:spacing w:line="340" w:lineRule="auto"/>
              <w:rPr>
                <w:rFonts w:ascii="Arial"/>
                <w:sz w:val="21"/>
              </w:rPr>
            </w:pPr>
          </w:p>
          <w:p w14:paraId="2C4ED21F">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r w14:paraId="52868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3" w:hRule="atLeast"/>
        </w:trPr>
        <w:tc>
          <w:tcPr>
            <w:tcW w:w="629" w:type="dxa"/>
            <w:vAlign w:val="top"/>
          </w:tcPr>
          <w:p w14:paraId="0DBBFB3D">
            <w:pPr>
              <w:spacing w:line="243" w:lineRule="auto"/>
              <w:rPr>
                <w:rFonts w:ascii="Arial"/>
                <w:sz w:val="21"/>
              </w:rPr>
            </w:pPr>
          </w:p>
          <w:p w14:paraId="6336ECE0">
            <w:pPr>
              <w:spacing w:line="243" w:lineRule="auto"/>
              <w:rPr>
                <w:rFonts w:ascii="Arial"/>
                <w:sz w:val="21"/>
              </w:rPr>
            </w:pPr>
          </w:p>
          <w:p w14:paraId="46BE124F">
            <w:pPr>
              <w:spacing w:line="243" w:lineRule="auto"/>
              <w:rPr>
                <w:rFonts w:ascii="Arial"/>
                <w:sz w:val="21"/>
              </w:rPr>
            </w:pPr>
          </w:p>
          <w:p w14:paraId="6EDE3271">
            <w:pPr>
              <w:spacing w:line="243" w:lineRule="auto"/>
              <w:rPr>
                <w:rFonts w:ascii="Arial"/>
                <w:sz w:val="21"/>
              </w:rPr>
            </w:pPr>
          </w:p>
          <w:p w14:paraId="1413E65E">
            <w:pPr>
              <w:spacing w:line="243" w:lineRule="auto"/>
              <w:rPr>
                <w:rFonts w:ascii="Arial"/>
                <w:sz w:val="21"/>
              </w:rPr>
            </w:pPr>
          </w:p>
          <w:p w14:paraId="4F30BF4D">
            <w:pPr>
              <w:spacing w:line="244" w:lineRule="auto"/>
              <w:rPr>
                <w:rFonts w:ascii="Arial"/>
                <w:sz w:val="21"/>
              </w:rPr>
            </w:pPr>
          </w:p>
          <w:p w14:paraId="44D81B39">
            <w:pPr>
              <w:spacing w:line="244" w:lineRule="auto"/>
              <w:rPr>
                <w:rFonts w:ascii="Arial"/>
                <w:sz w:val="21"/>
              </w:rPr>
            </w:pPr>
          </w:p>
          <w:p w14:paraId="67D5ECAA">
            <w:pPr>
              <w:spacing w:line="244" w:lineRule="auto"/>
              <w:rPr>
                <w:rFonts w:ascii="Arial"/>
                <w:sz w:val="21"/>
              </w:rPr>
            </w:pPr>
          </w:p>
          <w:p w14:paraId="2F5300B3">
            <w:pPr>
              <w:pStyle w:val="8"/>
              <w:spacing w:before="58" w:line="184" w:lineRule="auto"/>
              <w:ind w:left="246"/>
            </w:pPr>
            <w:r>
              <w:rPr>
                <w:spacing w:val="-11"/>
              </w:rPr>
              <w:t>17</w:t>
            </w:r>
          </w:p>
        </w:tc>
        <w:tc>
          <w:tcPr>
            <w:tcW w:w="1113" w:type="dxa"/>
            <w:vAlign w:val="top"/>
          </w:tcPr>
          <w:p w14:paraId="6DD9292F">
            <w:pPr>
              <w:spacing w:line="314" w:lineRule="auto"/>
              <w:rPr>
                <w:rFonts w:ascii="Arial"/>
                <w:sz w:val="21"/>
              </w:rPr>
            </w:pPr>
          </w:p>
          <w:p w14:paraId="3349CE34">
            <w:pPr>
              <w:spacing w:line="314" w:lineRule="auto"/>
              <w:rPr>
                <w:rFonts w:ascii="Arial"/>
                <w:sz w:val="21"/>
              </w:rPr>
            </w:pPr>
          </w:p>
          <w:p w14:paraId="36B195CF">
            <w:pPr>
              <w:spacing w:line="315" w:lineRule="auto"/>
              <w:rPr>
                <w:rFonts w:ascii="Arial"/>
                <w:sz w:val="21"/>
              </w:rPr>
            </w:pPr>
          </w:p>
          <w:p w14:paraId="3A79873C">
            <w:pPr>
              <w:pStyle w:val="8"/>
              <w:spacing w:before="58" w:line="246" w:lineRule="auto"/>
              <w:ind w:left="95" w:right="87"/>
              <w:jc w:val="both"/>
            </w:pPr>
            <w:r>
              <w:rPr>
                <w:spacing w:val="4"/>
              </w:rPr>
              <w:t>对租借、转</w:t>
            </w:r>
            <w:r>
              <w:rPr>
                <w:spacing w:val="1"/>
              </w:rPr>
              <w:t xml:space="preserve"> </w:t>
            </w:r>
            <w:r>
              <w:rPr>
                <w:spacing w:val="4"/>
              </w:rPr>
              <w:t>让超限运输</w:t>
            </w:r>
            <w:r>
              <w:rPr>
                <w:spacing w:val="1"/>
              </w:rPr>
              <w:t xml:space="preserve"> </w:t>
            </w:r>
            <w:r>
              <w:rPr>
                <w:spacing w:val="4"/>
              </w:rPr>
              <w:t>车辆通行证</w:t>
            </w:r>
            <w:r>
              <w:rPr>
                <w:spacing w:val="1"/>
              </w:rPr>
              <w:t xml:space="preserve"> </w:t>
            </w:r>
            <w:r>
              <w:rPr>
                <w:spacing w:val="4"/>
              </w:rPr>
              <w:t>或者使用伪</w:t>
            </w:r>
            <w:r>
              <w:rPr>
                <w:spacing w:val="1"/>
              </w:rPr>
              <w:t xml:space="preserve"> </w:t>
            </w:r>
            <w:r>
              <w:rPr>
                <w:spacing w:val="4"/>
              </w:rPr>
              <w:t>造、变造的</w:t>
            </w:r>
            <w:r>
              <w:rPr>
                <w:spacing w:val="1"/>
              </w:rPr>
              <w:t xml:space="preserve"> </w:t>
            </w:r>
            <w:r>
              <w:rPr>
                <w:spacing w:val="4"/>
              </w:rPr>
              <w:t>超限运输车</w:t>
            </w:r>
            <w:r>
              <w:rPr>
                <w:spacing w:val="1"/>
              </w:rPr>
              <w:t xml:space="preserve"> </w:t>
            </w:r>
            <w:r>
              <w:rPr>
                <w:spacing w:val="4"/>
              </w:rPr>
              <w:t>辆通行证行</w:t>
            </w:r>
            <w:r>
              <w:rPr>
                <w:spacing w:val="1"/>
              </w:rPr>
              <w:t xml:space="preserve"> </w:t>
            </w:r>
            <w:r>
              <w:rPr>
                <w:spacing w:val="4"/>
              </w:rPr>
              <w:t>为的行政处</w:t>
            </w:r>
            <w:r>
              <w:rPr>
                <w:spacing w:val="3"/>
              </w:rPr>
              <w:t xml:space="preserve"> </w:t>
            </w:r>
            <w:r>
              <w:t>罚</w:t>
            </w:r>
          </w:p>
        </w:tc>
        <w:tc>
          <w:tcPr>
            <w:tcW w:w="1113" w:type="dxa"/>
            <w:vAlign w:val="top"/>
          </w:tcPr>
          <w:p w14:paraId="6ED852F4">
            <w:pPr>
              <w:spacing w:line="272" w:lineRule="auto"/>
              <w:rPr>
                <w:rFonts w:ascii="Arial"/>
                <w:sz w:val="21"/>
              </w:rPr>
            </w:pPr>
          </w:p>
          <w:p w14:paraId="1BF48EAB">
            <w:pPr>
              <w:spacing w:line="272" w:lineRule="auto"/>
              <w:rPr>
                <w:rFonts w:ascii="Arial"/>
                <w:sz w:val="21"/>
              </w:rPr>
            </w:pPr>
          </w:p>
          <w:p w14:paraId="22903907">
            <w:pPr>
              <w:spacing w:line="272" w:lineRule="auto"/>
              <w:rPr>
                <w:rFonts w:ascii="Arial"/>
                <w:sz w:val="21"/>
              </w:rPr>
            </w:pPr>
          </w:p>
          <w:p w14:paraId="3243C025">
            <w:pPr>
              <w:spacing w:line="273" w:lineRule="auto"/>
              <w:rPr>
                <w:rFonts w:ascii="Arial"/>
                <w:sz w:val="21"/>
              </w:rPr>
            </w:pPr>
          </w:p>
          <w:p w14:paraId="0B6F5496">
            <w:pPr>
              <w:spacing w:line="273" w:lineRule="auto"/>
              <w:rPr>
                <w:rFonts w:ascii="Arial"/>
                <w:sz w:val="21"/>
              </w:rPr>
            </w:pPr>
          </w:p>
          <w:p w14:paraId="57D231EE">
            <w:pPr>
              <w:spacing w:line="273" w:lineRule="auto"/>
              <w:rPr>
                <w:rFonts w:ascii="Arial"/>
                <w:sz w:val="21"/>
              </w:rPr>
            </w:pPr>
          </w:p>
          <w:p w14:paraId="5DAE6A48">
            <w:pPr>
              <w:spacing w:line="273" w:lineRule="auto"/>
              <w:rPr>
                <w:rFonts w:ascii="Arial"/>
                <w:sz w:val="21"/>
              </w:rPr>
            </w:pPr>
          </w:p>
          <w:p w14:paraId="7364C2BB">
            <w:pPr>
              <w:pStyle w:val="8"/>
              <w:spacing w:before="58" w:line="220" w:lineRule="auto"/>
              <w:ind w:left="10"/>
            </w:pPr>
            <w:r>
              <w:rPr>
                <w:spacing w:val="-2"/>
              </w:rPr>
              <w:t>行政处罚</w:t>
            </w:r>
          </w:p>
        </w:tc>
        <w:tc>
          <w:tcPr>
            <w:tcW w:w="8631" w:type="dxa"/>
            <w:vAlign w:val="top"/>
          </w:tcPr>
          <w:p w14:paraId="4CC2E512">
            <w:pPr>
              <w:pStyle w:val="8"/>
              <w:spacing w:before="32" w:line="219" w:lineRule="auto"/>
              <w:ind w:left="480"/>
            </w:pPr>
            <w:r>
              <w:rPr>
                <w:b/>
                <w:bCs/>
                <w:spacing w:val="-5"/>
              </w:rPr>
              <w:t>1.《公路安全保护条例》</w:t>
            </w:r>
          </w:p>
          <w:p w14:paraId="2F85F95F">
            <w:pPr>
              <w:pStyle w:val="8"/>
              <w:spacing w:before="16" w:line="228" w:lineRule="auto"/>
              <w:ind w:left="120" w:right="109" w:firstLine="346"/>
            </w:pPr>
            <w:r>
              <w:rPr>
                <w:spacing w:val="-1"/>
              </w:rPr>
              <w:t>第三十八条  公路管理机构批准超限运输申请的，应当为超限运输车辆配发国务院交通运</w:t>
            </w:r>
            <w:r>
              <w:rPr>
                <w:spacing w:val="-2"/>
              </w:rPr>
              <w:t>输主管部门规</w:t>
            </w:r>
            <w:r>
              <w:t xml:space="preserve"> </w:t>
            </w:r>
            <w:r>
              <w:rPr>
                <w:spacing w:val="-3"/>
              </w:rPr>
              <w:t>定式样的超限运输车辆通行证。</w:t>
            </w:r>
          </w:p>
          <w:p w14:paraId="3F00B706">
            <w:pPr>
              <w:pStyle w:val="8"/>
              <w:spacing w:before="15" w:line="227" w:lineRule="auto"/>
              <w:ind w:left="120" w:right="154" w:firstLine="347"/>
            </w:pPr>
            <w:r>
              <w:rPr>
                <w:spacing w:val="-2"/>
              </w:rPr>
              <w:t>经批准进行超限运输的车辆，应当随车携带超限运输车辆通行证，按照指定的时间、</w:t>
            </w:r>
            <w:r>
              <w:rPr>
                <w:spacing w:val="-3"/>
              </w:rPr>
              <w:t>路线和速度行驶，</w:t>
            </w:r>
            <w:r>
              <w:t xml:space="preserve"> </w:t>
            </w:r>
            <w:r>
              <w:rPr>
                <w:spacing w:val="-3"/>
              </w:rPr>
              <w:t>并悬挂明显标志。</w:t>
            </w:r>
          </w:p>
          <w:p w14:paraId="0636477D">
            <w:pPr>
              <w:pStyle w:val="8"/>
              <w:spacing w:before="16" w:line="219" w:lineRule="auto"/>
              <w:ind w:left="466"/>
            </w:pPr>
            <w:r>
              <w:rPr>
                <w:spacing w:val="-2"/>
              </w:rPr>
              <w:t>禁止租借、转让超限运输车辆通行证。禁止使用伪造、变造的超限运输车辆</w:t>
            </w:r>
            <w:r>
              <w:rPr>
                <w:spacing w:val="-3"/>
              </w:rPr>
              <w:t>通行证。</w:t>
            </w:r>
          </w:p>
          <w:p w14:paraId="0ACB3686">
            <w:pPr>
              <w:pStyle w:val="8"/>
              <w:spacing w:before="16" w:line="231" w:lineRule="auto"/>
              <w:ind w:left="136" w:right="107" w:firstLine="330"/>
            </w:pPr>
            <w:r>
              <w:rPr>
                <w:spacing w:val="-1"/>
              </w:rPr>
              <w:t>第六十五条  违反本条例的规定，经批准进行超限运输的车辆，未按照指定时间、路线和速度行</w:t>
            </w:r>
            <w:r>
              <w:rPr>
                <w:spacing w:val="-2"/>
              </w:rPr>
              <w:t>驶的，</w:t>
            </w:r>
            <w:r>
              <w:t xml:space="preserve"> </w:t>
            </w:r>
            <w:r>
              <w:rPr>
                <w:spacing w:val="-2"/>
              </w:rPr>
              <w:t>由公路管理机构或者公安机关交通管理部门责令改正；拒不改正的，公路管理机构或者公安机关交通管理部</w:t>
            </w:r>
            <w:r>
              <w:rPr>
                <w:spacing w:val="15"/>
              </w:rPr>
              <w:t xml:space="preserve"> </w:t>
            </w:r>
            <w:r>
              <w:rPr>
                <w:spacing w:val="-5"/>
              </w:rPr>
              <w:t>门可以扣留车辆。</w:t>
            </w:r>
          </w:p>
          <w:p w14:paraId="5D6D3E9F">
            <w:pPr>
              <w:pStyle w:val="8"/>
              <w:spacing w:before="15" w:line="227" w:lineRule="auto"/>
              <w:ind w:left="116" w:right="109" w:firstLine="353"/>
            </w:pPr>
            <w:r>
              <w:rPr>
                <w:spacing w:val="-1"/>
              </w:rPr>
              <w:t>未随车携带超限运输车辆通行证的，由公路管理机构扣留车辆，责令车辆驾驶人</w:t>
            </w:r>
            <w:r>
              <w:rPr>
                <w:spacing w:val="-2"/>
              </w:rPr>
              <w:t>提供超限运输车辆通行</w:t>
            </w:r>
            <w:r>
              <w:t xml:space="preserve"> </w:t>
            </w:r>
            <w:r>
              <w:rPr>
                <w:spacing w:val="-3"/>
              </w:rPr>
              <w:t>证或者相应的证明。</w:t>
            </w:r>
          </w:p>
          <w:p w14:paraId="79244AF6">
            <w:pPr>
              <w:pStyle w:val="8"/>
              <w:spacing w:before="16" w:line="229" w:lineRule="auto"/>
              <w:ind w:left="122" w:right="107" w:firstLine="346"/>
            </w:pPr>
            <w:r>
              <w:rPr>
                <w:spacing w:val="-1"/>
              </w:rPr>
              <w:t>租借、转让超限运输车辆通行证的，由公路管理机构没收超限运输车辆通行证，处1000元以上5000</w:t>
            </w:r>
            <w:r>
              <w:rPr>
                <w:spacing w:val="-2"/>
              </w:rPr>
              <w:t>元以</w:t>
            </w:r>
            <w:r>
              <w:t xml:space="preserve"> </w:t>
            </w:r>
            <w:r>
              <w:rPr>
                <w:spacing w:val="-7"/>
              </w:rPr>
              <w:t>下的罚款。</w:t>
            </w:r>
          </w:p>
          <w:p w14:paraId="40233055">
            <w:pPr>
              <w:pStyle w:val="8"/>
              <w:spacing w:before="15" w:line="228" w:lineRule="auto"/>
              <w:ind w:left="120" w:right="109" w:firstLine="347"/>
            </w:pPr>
            <w:r>
              <w:rPr>
                <w:spacing w:val="-1"/>
              </w:rPr>
              <w:t>使用伪造、变造的超限运输车辆通行证的，由公路管理机构没收伪造、变造的超限运</w:t>
            </w:r>
            <w:r>
              <w:rPr>
                <w:spacing w:val="-2"/>
              </w:rPr>
              <w:t>输车辆通行证，处</w:t>
            </w:r>
            <w:r>
              <w:t xml:space="preserve"> </w:t>
            </w:r>
            <w:r>
              <w:rPr>
                <w:spacing w:val="-3"/>
              </w:rPr>
              <w:t>3万元以下的罚款。</w:t>
            </w:r>
          </w:p>
          <w:p w14:paraId="239E7EF2">
            <w:pPr>
              <w:pStyle w:val="8"/>
              <w:spacing w:before="16" w:line="219" w:lineRule="auto"/>
              <w:ind w:left="468"/>
            </w:pPr>
            <w:r>
              <w:rPr>
                <w:b/>
                <w:bCs/>
                <w:spacing w:val="-3"/>
              </w:rPr>
              <w:t>2.《超限运输车辆行驶公路管理规定》（交</w:t>
            </w:r>
            <w:r>
              <w:rPr>
                <w:b/>
                <w:bCs/>
                <w:spacing w:val="-4"/>
              </w:rPr>
              <w:t>通运输部令2021年第12号）</w:t>
            </w:r>
          </w:p>
          <w:p w14:paraId="39031250">
            <w:pPr>
              <w:pStyle w:val="8"/>
              <w:spacing w:before="15" w:line="216" w:lineRule="auto"/>
              <w:ind w:left="122" w:right="109" w:firstLine="344"/>
            </w:pPr>
            <w:r>
              <w:rPr>
                <w:spacing w:val="-1"/>
              </w:rPr>
              <w:t>第二十一条第三款  任何单位和个人不得租借、转让《超限运输车辆通行证》，不得使用</w:t>
            </w:r>
            <w:r>
              <w:rPr>
                <w:spacing w:val="-2"/>
              </w:rPr>
              <w:t>伪造、变造的</w:t>
            </w:r>
            <w:r>
              <w:t xml:space="preserve"> </w:t>
            </w:r>
            <w:r>
              <w:rPr>
                <w:spacing w:val="-6"/>
              </w:rPr>
              <w:t>《超限运输车辆通行证》。</w:t>
            </w:r>
          </w:p>
        </w:tc>
        <w:tc>
          <w:tcPr>
            <w:tcW w:w="1022" w:type="dxa"/>
            <w:vAlign w:val="top"/>
          </w:tcPr>
          <w:p w14:paraId="2E611F4A">
            <w:pPr>
              <w:spacing w:line="255" w:lineRule="auto"/>
              <w:rPr>
                <w:rFonts w:ascii="Arial"/>
                <w:sz w:val="21"/>
              </w:rPr>
            </w:pPr>
          </w:p>
          <w:p w14:paraId="16DC80F8">
            <w:pPr>
              <w:spacing w:line="255" w:lineRule="auto"/>
              <w:rPr>
                <w:rFonts w:ascii="Arial"/>
                <w:sz w:val="21"/>
              </w:rPr>
            </w:pPr>
          </w:p>
          <w:p w14:paraId="16042A07">
            <w:pPr>
              <w:spacing w:line="255" w:lineRule="auto"/>
              <w:rPr>
                <w:rFonts w:ascii="Arial"/>
                <w:sz w:val="21"/>
              </w:rPr>
            </w:pPr>
          </w:p>
          <w:p w14:paraId="7A96DF38">
            <w:pPr>
              <w:spacing w:line="255" w:lineRule="auto"/>
              <w:rPr>
                <w:rFonts w:ascii="Arial"/>
                <w:sz w:val="21"/>
              </w:rPr>
            </w:pPr>
          </w:p>
          <w:p w14:paraId="7F472AA6">
            <w:pPr>
              <w:spacing w:line="255" w:lineRule="auto"/>
              <w:rPr>
                <w:rFonts w:ascii="Arial"/>
                <w:sz w:val="21"/>
              </w:rPr>
            </w:pPr>
          </w:p>
          <w:p w14:paraId="2D2810B4">
            <w:pPr>
              <w:spacing w:line="256" w:lineRule="auto"/>
              <w:rPr>
                <w:rFonts w:ascii="Arial"/>
                <w:sz w:val="21"/>
              </w:rPr>
            </w:pPr>
          </w:p>
          <w:p w14:paraId="2E7BE00A">
            <w:pPr>
              <w:spacing w:line="256" w:lineRule="auto"/>
              <w:rPr>
                <w:rFonts w:ascii="Arial"/>
                <w:sz w:val="21"/>
              </w:rPr>
            </w:pPr>
          </w:p>
          <w:p w14:paraId="610D4D0E">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636E1B1A">
            <w:pPr>
              <w:spacing w:line="272" w:lineRule="auto"/>
              <w:rPr>
                <w:rFonts w:ascii="Arial"/>
                <w:sz w:val="21"/>
              </w:rPr>
            </w:pPr>
          </w:p>
          <w:p w14:paraId="7A2D77EB">
            <w:pPr>
              <w:spacing w:line="272" w:lineRule="auto"/>
              <w:rPr>
                <w:rFonts w:ascii="Arial"/>
                <w:sz w:val="21"/>
              </w:rPr>
            </w:pPr>
          </w:p>
          <w:p w14:paraId="155CBBBE">
            <w:pPr>
              <w:spacing w:line="272" w:lineRule="auto"/>
              <w:rPr>
                <w:rFonts w:ascii="Arial"/>
                <w:sz w:val="21"/>
              </w:rPr>
            </w:pPr>
          </w:p>
          <w:p w14:paraId="4CAC0EC1">
            <w:pPr>
              <w:spacing w:line="273" w:lineRule="auto"/>
              <w:rPr>
                <w:rFonts w:ascii="Arial"/>
                <w:sz w:val="21"/>
              </w:rPr>
            </w:pPr>
          </w:p>
          <w:p w14:paraId="4919818C">
            <w:pPr>
              <w:spacing w:line="273" w:lineRule="auto"/>
              <w:rPr>
                <w:rFonts w:ascii="Arial"/>
                <w:sz w:val="21"/>
              </w:rPr>
            </w:pPr>
          </w:p>
          <w:p w14:paraId="48B52450">
            <w:pPr>
              <w:spacing w:line="273" w:lineRule="auto"/>
              <w:rPr>
                <w:rFonts w:ascii="Arial"/>
                <w:sz w:val="21"/>
              </w:rPr>
            </w:pPr>
          </w:p>
          <w:p w14:paraId="2163D742">
            <w:pPr>
              <w:spacing w:line="273" w:lineRule="auto"/>
              <w:rPr>
                <w:rFonts w:ascii="Arial"/>
                <w:sz w:val="21"/>
              </w:rPr>
            </w:pPr>
          </w:p>
          <w:p w14:paraId="3082FE51">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2A19EB58">
            <w:pPr>
              <w:spacing w:line="278" w:lineRule="auto"/>
              <w:rPr>
                <w:rFonts w:ascii="Arial"/>
                <w:sz w:val="21"/>
              </w:rPr>
            </w:pPr>
          </w:p>
          <w:p w14:paraId="38F6614D">
            <w:pPr>
              <w:spacing w:line="278" w:lineRule="auto"/>
              <w:rPr>
                <w:rFonts w:ascii="Arial"/>
                <w:sz w:val="21"/>
              </w:rPr>
            </w:pPr>
          </w:p>
          <w:p w14:paraId="4308ECA0">
            <w:pPr>
              <w:spacing w:line="278" w:lineRule="auto"/>
              <w:rPr>
                <w:rFonts w:ascii="Arial"/>
                <w:sz w:val="21"/>
              </w:rPr>
            </w:pPr>
          </w:p>
          <w:p w14:paraId="4EB1C9E1">
            <w:pPr>
              <w:spacing w:line="278" w:lineRule="auto"/>
              <w:rPr>
                <w:rFonts w:ascii="Arial"/>
                <w:sz w:val="21"/>
              </w:rPr>
            </w:pPr>
          </w:p>
          <w:p w14:paraId="6A97D5BA">
            <w:pPr>
              <w:spacing w:line="278" w:lineRule="auto"/>
              <w:rPr>
                <w:rFonts w:ascii="Arial"/>
                <w:sz w:val="21"/>
              </w:rPr>
            </w:pPr>
          </w:p>
          <w:p w14:paraId="098DCAFF">
            <w:pPr>
              <w:spacing w:line="278" w:lineRule="auto"/>
              <w:rPr>
                <w:rFonts w:ascii="Arial"/>
                <w:sz w:val="21"/>
              </w:rPr>
            </w:pPr>
          </w:p>
          <w:p w14:paraId="5A714C93">
            <w:pPr>
              <w:pStyle w:val="8"/>
              <w:spacing w:before="58"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r w14:paraId="7802F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6" w:hRule="atLeast"/>
        </w:trPr>
        <w:tc>
          <w:tcPr>
            <w:tcW w:w="629" w:type="dxa"/>
            <w:vAlign w:val="top"/>
          </w:tcPr>
          <w:p w14:paraId="20D429D7">
            <w:pPr>
              <w:spacing w:line="273" w:lineRule="auto"/>
              <w:rPr>
                <w:rFonts w:ascii="Arial"/>
                <w:sz w:val="21"/>
              </w:rPr>
            </w:pPr>
          </w:p>
          <w:p w14:paraId="4C8218D9">
            <w:pPr>
              <w:spacing w:line="274" w:lineRule="auto"/>
              <w:rPr>
                <w:rFonts w:ascii="Arial"/>
                <w:sz w:val="21"/>
              </w:rPr>
            </w:pPr>
          </w:p>
          <w:p w14:paraId="0913665E">
            <w:pPr>
              <w:spacing w:line="274" w:lineRule="auto"/>
              <w:rPr>
                <w:rFonts w:ascii="Arial"/>
                <w:sz w:val="21"/>
              </w:rPr>
            </w:pPr>
          </w:p>
          <w:p w14:paraId="6A317415">
            <w:pPr>
              <w:spacing w:line="274" w:lineRule="auto"/>
              <w:rPr>
                <w:rFonts w:ascii="Arial"/>
                <w:sz w:val="21"/>
              </w:rPr>
            </w:pPr>
          </w:p>
          <w:p w14:paraId="17CB0D2A">
            <w:pPr>
              <w:pStyle w:val="8"/>
              <w:spacing w:before="58" w:line="184" w:lineRule="auto"/>
              <w:ind w:left="246"/>
            </w:pPr>
            <w:r>
              <w:rPr>
                <w:spacing w:val="-11"/>
              </w:rPr>
              <w:t>18</w:t>
            </w:r>
          </w:p>
        </w:tc>
        <w:tc>
          <w:tcPr>
            <w:tcW w:w="1113" w:type="dxa"/>
            <w:vAlign w:val="top"/>
          </w:tcPr>
          <w:p w14:paraId="3535DF66">
            <w:pPr>
              <w:pStyle w:val="8"/>
              <w:spacing w:before="24" w:line="223" w:lineRule="auto"/>
              <w:ind w:left="95" w:right="90"/>
            </w:pPr>
            <w:r>
              <w:rPr>
                <w:spacing w:val="4"/>
              </w:rPr>
              <w:t>对采取故意</w:t>
            </w:r>
            <w:r>
              <w:rPr>
                <w:spacing w:val="1"/>
              </w:rPr>
              <w:t xml:space="preserve"> </w:t>
            </w:r>
            <w:r>
              <w:rPr>
                <w:spacing w:val="4"/>
              </w:rPr>
              <w:t>堵塞固定超</w:t>
            </w:r>
            <w:r>
              <w:t xml:space="preserve"> </w:t>
            </w:r>
            <w:r>
              <w:rPr>
                <w:spacing w:val="4"/>
              </w:rPr>
              <w:t>限检测站点</w:t>
            </w:r>
            <w:r>
              <w:t xml:space="preserve"> </w:t>
            </w:r>
            <w:r>
              <w:rPr>
                <w:spacing w:val="-1"/>
              </w:rPr>
              <w:t>通行车道、</w:t>
            </w:r>
            <w:r>
              <w:t xml:space="preserve"> </w:t>
            </w:r>
            <w:r>
              <w:rPr>
                <w:spacing w:val="4"/>
              </w:rPr>
              <w:t>强行通过固</w:t>
            </w:r>
            <w:r>
              <w:t xml:space="preserve"> </w:t>
            </w:r>
            <w:r>
              <w:rPr>
                <w:spacing w:val="4"/>
              </w:rPr>
              <w:t>定超限检测</w:t>
            </w:r>
            <w:r>
              <w:t xml:space="preserve"> </w:t>
            </w:r>
            <w:r>
              <w:rPr>
                <w:spacing w:val="4"/>
              </w:rPr>
              <w:t>站点等方式</w:t>
            </w:r>
            <w:r>
              <w:t xml:space="preserve"> </w:t>
            </w:r>
            <w:r>
              <w:rPr>
                <w:spacing w:val="4"/>
              </w:rPr>
              <w:t>扰乱超限检</w:t>
            </w:r>
            <w:r>
              <w:t xml:space="preserve"> </w:t>
            </w:r>
            <w:r>
              <w:rPr>
                <w:spacing w:val="4"/>
              </w:rPr>
              <w:t>测秩序等行</w:t>
            </w:r>
            <w:r>
              <w:t xml:space="preserve"> </w:t>
            </w:r>
            <w:r>
              <w:rPr>
                <w:spacing w:val="4"/>
              </w:rPr>
              <w:t>为的行政处</w:t>
            </w:r>
            <w:r>
              <w:t xml:space="preserve"> 罚</w:t>
            </w:r>
          </w:p>
        </w:tc>
        <w:tc>
          <w:tcPr>
            <w:tcW w:w="1113" w:type="dxa"/>
            <w:vAlign w:val="top"/>
          </w:tcPr>
          <w:p w14:paraId="7BEC17C7">
            <w:pPr>
              <w:spacing w:line="263" w:lineRule="auto"/>
              <w:rPr>
                <w:rFonts w:ascii="Arial"/>
                <w:sz w:val="21"/>
              </w:rPr>
            </w:pPr>
          </w:p>
          <w:p w14:paraId="20C7540A">
            <w:pPr>
              <w:spacing w:line="263" w:lineRule="auto"/>
              <w:rPr>
                <w:rFonts w:ascii="Arial"/>
                <w:sz w:val="21"/>
              </w:rPr>
            </w:pPr>
          </w:p>
          <w:p w14:paraId="4699C727">
            <w:pPr>
              <w:spacing w:line="263" w:lineRule="auto"/>
              <w:rPr>
                <w:rFonts w:ascii="Arial"/>
                <w:sz w:val="21"/>
              </w:rPr>
            </w:pPr>
          </w:p>
          <w:p w14:paraId="22F468CB">
            <w:pPr>
              <w:spacing w:line="264" w:lineRule="auto"/>
              <w:rPr>
                <w:rFonts w:ascii="Arial"/>
                <w:sz w:val="21"/>
              </w:rPr>
            </w:pPr>
          </w:p>
          <w:p w14:paraId="2959CAB7">
            <w:pPr>
              <w:pStyle w:val="8"/>
              <w:spacing w:before="58" w:line="220" w:lineRule="auto"/>
              <w:ind w:left="10"/>
            </w:pPr>
            <w:r>
              <w:rPr>
                <w:spacing w:val="-2"/>
              </w:rPr>
              <w:t>行政处罚</w:t>
            </w:r>
          </w:p>
        </w:tc>
        <w:tc>
          <w:tcPr>
            <w:tcW w:w="8631" w:type="dxa"/>
            <w:vAlign w:val="top"/>
          </w:tcPr>
          <w:p w14:paraId="6A438730">
            <w:pPr>
              <w:pStyle w:val="8"/>
              <w:spacing w:before="33" w:line="219" w:lineRule="auto"/>
              <w:ind w:left="472"/>
            </w:pPr>
            <w:r>
              <w:rPr>
                <w:b/>
                <w:bCs/>
                <w:spacing w:val="-5"/>
              </w:rPr>
              <w:t>《公路安全保护条例》</w:t>
            </w:r>
          </w:p>
          <w:p w14:paraId="024752A6">
            <w:pPr>
              <w:pStyle w:val="8"/>
              <w:spacing w:before="16" w:line="228" w:lineRule="auto"/>
              <w:ind w:left="129" w:right="188" w:firstLine="337"/>
            </w:pPr>
            <w:r>
              <w:rPr>
                <w:spacing w:val="-3"/>
              </w:rPr>
              <w:t>第四十条  公路管理机构在监督检查中发现车辆超过公路、公路桥梁、公路隧道或者汽车渡船的限载、</w:t>
            </w:r>
            <w:r>
              <w:rPr>
                <w:spacing w:val="7"/>
              </w:rPr>
              <w:t xml:space="preserve"> </w:t>
            </w:r>
            <w:r>
              <w:rPr>
                <w:spacing w:val="-3"/>
              </w:rPr>
              <w:t>限高、限宽、限长标准的，应当就近引导至固定超限检测站点进行处理。</w:t>
            </w:r>
          </w:p>
          <w:p w14:paraId="3D862832">
            <w:pPr>
              <w:pStyle w:val="8"/>
              <w:spacing w:before="16" w:line="230" w:lineRule="auto"/>
              <w:ind w:left="117" w:right="148" w:firstLine="351"/>
            </w:pPr>
            <w:r>
              <w:rPr>
                <w:spacing w:val="-2"/>
              </w:rPr>
              <w:t>车辆应当按照超限检测指示标志或者公路管理机构监督检查人员的指挥接受超限检</w:t>
            </w:r>
            <w:r>
              <w:rPr>
                <w:spacing w:val="-3"/>
              </w:rPr>
              <w:t>测，不得故意堵塞固</w:t>
            </w:r>
            <w:r>
              <w:t xml:space="preserve"> </w:t>
            </w:r>
            <w:r>
              <w:rPr>
                <w:spacing w:val="-2"/>
              </w:rPr>
              <w:t>定超限检测站点通行车道、强行通过固定超限检测站点或者以其他方式扰乱超限检测秩序，</w:t>
            </w:r>
            <w:r>
              <w:rPr>
                <w:spacing w:val="-3"/>
              </w:rPr>
              <w:t>不得采取短途驳</w:t>
            </w:r>
            <w:r>
              <w:t xml:space="preserve"> </w:t>
            </w:r>
            <w:r>
              <w:rPr>
                <w:spacing w:val="-4"/>
              </w:rPr>
              <w:t>载等方式逃避超限检测。</w:t>
            </w:r>
          </w:p>
          <w:p w14:paraId="0436BE51">
            <w:pPr>
              <w:pStyle w:val="8"/>
              <w:spacing w:before="16" w:line="219" w:lineRule="auto"/>
              <w:ind w:left="466"/>
            </w:pPr>
            <w:r>
              <w:rPr>
                <w:spacing w:val="-2"/>
              </w:rPr>
              <w:t>禁止通过引路绕行等方式为不符合国家有关载运标准的车辆逃避超限检测提</w:t>
            </w:r>
            <w:r>
              <w:rPr>
                <w:spacing w:val="-3"/>
              </w:rPr>
              <w:t>供便利。</w:t>
            </w:r>
          </w:p>
          <w:p w14:paraId="21F2F559">
            <w:pPr>
              <w:pStyle w:val="8"/>
              <w:spacing w:before="18" w:line="230" w:lineRule="auto"/>
              <w:ind w:left="117" w:right="155" w:firstLine="348"/>
            </w:pPr>
            <w:r>
              <w:rPr>
                <w:spacing w:val="-2"/>
              </w:rPr>
              <w:t>第六十七条  违反本条例的规定，有下列行为之一的，由公路管理机构强制拖离或者扣</w:t>
            </w:r>
            <w:r>
              <w:rPr>
                <w:spacing w:val="-3"/>
              </w:rPr>
              <w:t>留车辆，处3万</w:t>
            </w:r>
            <w:r>
              <w:t xml:space="preserve">  </w:t>
            </w:r>
            <w:r>
              <w:rPr>
                <w:spacing w:val="-2"/>
              </w:rPr>
              <w:t>元以下的罚款</w:t>
            </w:r>
            <w:r>
              <w:rPr>
                <w:spacing w:val="-10"/>
              </w:rPr>
              <w:t>：（</w:t>
            </w:r>
            <w:r>
              <w:rPr>
                <w:spacing w:val="-2"/>
              </w:rPr>
              <w:t>一）采取故意堵塞固定超限检测站点通行车道、强行通过固定超限检测站点等方式扰乱超</w:t>
            </w:r>
            <w:r>
              <w:rPr>
                <w:spacing w:val="1"/>
              </w:rPr>
              <w:t xml:space="preserve"> </w:t>
            </w:r>
            <w:r>
              <w:rPr>
                <w:spacing w:val="-1"/>
              </w:rPr>
              <w:t>限检测秩序的</w:t>
            </w:r>
            <w:r>
              <w:rPr>
                <w:spacing w:val="-15"/>
              </w:rPr>
              <w:t>；（</w:t>
            </w:r>
            <w:r>
              <w:rPr>
                <w:spacing w:val="-1"/>
              </w:rPr>
              <w:t>二）采取短途驳载等方式逃避超</w:t>
            </w:r>
            <w:r>
              <w:rPr>
                <w:spacing w:val="-2"/>
              </w:rPr>
              <w:t>限检测的。</w:t>
            </w:r>
          </w:p>
        </w:tc>
        <w:tc>
          <w:tcPr>
            <w:tcW w:w="1022" w:type="dxa"/>
            <w:vAlign w:val="top"/>
          </w:tcPr>
          <w:p w14:paraId="61077907">
            <w:pPr>
              <w:spacing w:line="311" w:lineRule="auto"/>
              <w:rPr>
                <w:rFonts w:ascii="Arial"/>
                <w:sz w:val="21"/>
              </w:rPr>
            </w:pPr>
          </w:p>
          <w:p w14:paraId="64DA0C74">
            <w:pPr>
              <w:spacing w:line="311" w:lineRule="auto"/>
              <w:rPr>
                <w:rFonts w:ascii="Arial"/>
                <w:sz w:val="21"/>
              </w:rPr>
            </w:pPr>
          </w:p>
          <w:p w14:paraId="7D21CCF9">
            <w:pPr>
              <w:spacing w:line="312" w:lineRule="auto"/>
              <w:rPr>
                <w:rFonts w:ascii="Arial"/>
                <w:sz w:val="21"/>
              </w:rPr>
            </w:pPr>
          </w:p>
          <w:p w14:paraId="6E0F0586">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64432C2D">
            <w:pPr>
              <w:spacing w:line="263" w:lineRule="auto"/>
              <w:rPr>
                <w:rFonts w:ascii="Arial"/>
                <w:sz w:val="21"/>
              </w:rPr>
            </w:pPr>
          </w:p>
          <w:p w14:paraId="58D8E369">
            <w:pPr>
              <w:spacing w:line="263" w:lineRule="auto"/>
              <w:rPr>
                <w:rFonts w:ascii="Arial"/>
                <w:sz w:val="21"/>
              </w:rPr>
            </w:pPr>
          </w:p>
          <w:p w14:paraId="059FF25F">
            <w:pPr>
              <w:spacing w:line="263" w:lineRule="auto"/>
              <w:rPr>
                <w:rFonts w:ascii="Arial"/>
                <w:sz w:val="21"/>
              </w:rPr>
            </w:pPr>
          </w:p>
          <w:p w14:paraId="6A703FBA">
            <w:pPr>
              <w:spacing w:line="264" w:lineRule="auto"/>
              <w:rPr>
                <w:rFonts w:ascii="Arial"/>
                <w:sz w:val="21"/>
              </w:rPr>
            </w:pPr>
          </w:p>
          <w:p w14:paraId="79DE4AB3">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05215E91">
            <w:pPr>
              <w:spacing w:line="271" w:lineRule="auto"/>
              <w:rPr>
                <w:rFonts w:ascii="Arial"/>
                <w:sz w:val="21"/>
              </w:rPr>
            </w:pPr>
          </w:p>
          <w:p w14:paraId="2A7DBB70">
            <w:pPr>
              <w:spacing w:line="272" w:lineRule="auto"/>
              <w:rPr>
                <w:rFonts w:ascii="Arial"/>
                <w:sz w:val="21"/>
              </w:rPr>
            </w:pPr>
          </w:p>
          <w:p w14:paraId="4975599F">
            <w:pPr>
              <w:spacing w:line="272" w:lineRule="auto"/>
              <w:rPr>
                <w:rFonts w:ascii="Arial"/>
                <w:sz w:val="21"/>
              </w:rPr>
            </w:pPr>
          </w:p>
          <w:p w14:paraId="0A8B09D8">
            <w:pPr>
              <w:pStyle w:val="8"/>
              <w:spacing w:before="59"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bl>
    <w:p w14:paraId="2CFF0921">
      <w:pPr>
        <w:pStyle w:val="2"/>
      </w:pPr>
    </w:p>
    <w:p w14:paraId="2D6D1B87">
      <w:pPr>
        <w:sectPr>
          <w:footerReference r:id="rId68" w:type="default"/>
          <w:pgSz w:w="16840" w:h="11910"/>
          <w:pgMar w:top="1012" w:right="940" w:bottom="966" w:left="940" w:header="0" w:footer="768" w:gutter="0"/>
          <w:cols w:space="720" w:num="1"/>
        </w:sectPr>
      </w:pPr>
    </w:p>
    <w:p w14:paraId="3272B58B">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1DAB0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643B324E">
            <w:pPr>
              <w:pStyle w:val="8"/>
              <w:spacing w:before="259" w:line="221" w:lineRule="auto"/>
              <w:ind w:left="148"/>
            </w:pPr>
            <w:r>
              <w:rPr>
                <w:b/>
                <w:bCs/>
                <w:spacing w:val="-6"/>
              </w:rPr>
              <w:t>序号</w:t>
            </w:r>
          </w:p>
        </w:tc>
        <w:tc>
          <w:tcPr>
            <w:tcW w:w="1113" w:type="dxa"/>
            <w:vMerge w:val="restart"/>
            <w:tcBorders>
              <w:bottom w:val="nil"/>
            </w:tcBorders>
            <w:vAlign w:val="top"/>
          </w:tcPr>
          <w:p w14:paraId="51E01CC2">
            <w:pPr>
              <w:pStyle w:val="8"/>
              <w:spacing w:before="260" w:line="220" w:lineRule="auto"/>
              <w:ind w:left="201"/>
            </w:pPr>
            <w:r>
              <w:rPr>
                <w:b/>
                <w:bCs/>
                <w:spacing w:val="-5"/>
              </w:rPr>
              <w:t>事项名称</w:t>
            </w:r>
          </w:p>
        </w:tc>
        <w:tc>
          <w:tcPr>
            <w:tcW w:w="1113" w:type="dxa"/>
            <w:vMerge w:val="restart"/>
            <w:tcBorders>
              <w:bottom w:val="nil"/>
            </w:tcBorders>
            <w:vAlign w:val="top"/>
          </w:tcPr>
          <w:p w14:paraId="2ACB9340">
            <w:pPr>
              <w:pStyle w:val="8"/>
              <w:spacing w:before="260" w:line="219" w:lineRule="auto"/>
              <w:ind w:left="202"/>
            </w:pPr>
            <w:r>
              <w:rPr>
                <w:b/>
                <w:bCs/>
                <w:spacing w:val="-5"/>
              </w:rPr>
              <w:t>职权类型</w:t>
            </w:r>
          </w:p>
        </w:tc>
        <w:tc>
          <w:tcPr>
            <w:tcW w:w="8631" w:type="dxa"/>
            <w:vMerge w:val="restart"/>
            <w:tcBorders>
              <w:bottom w:val="nil"/>
            </w:tcBorders>
            <w:vAlign w:val="top"/>
          </w:tcPr>
          <w:p w14:paraId="3828AA12">
            <w:pPr>
              <w:pStyle w:val="8"/>
              <w:spacing w:before="259" w:line="219" w:lineRule="auto"/>
              <w:ind w:left="3970"/>
            </w:pPr>
            <w:r>
              <w:rPr>
                <w:b/>
                <w:bCs/>
                <w:spacing w:val="-6"/>
              </w:rPr>
              <w:t>实施依据</w:t>
            </w:r>
          </w:p>
        </w:tc>
        <w:tc>
          <w:tcPr>
            <w:tcW w:w="3468" w:type="dxa"/>
            <w:gridSpan w:val="3"/>
            <w:vAlign w:val="top"/>
          </w:tcPr>
          <w:p w14:paraId="5B5F0D8B">
            <w:pPr>
              <w:pStyle w:val="8"/>
              <w:spacing w:before="82" w:line="220" w:lineRule="auto"/>
              <w:ind w:left="1389"/>
            </w:pPr>
            <w:r>
              <w:rPr>
                <w:b/>
                <w:bCs/>
                <w:spacing w:val="-6"/>
              </w:rPr>
              <w:t>实施主体</w:t>
            </w:r>
          </w:p>
        </w:tc>
      </w:tr>
      <w:tr w14:paraId="678B6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0320D328">
            <w:pPr>
              <w:rPr>
                <w:rFonts w:ascii="Arial"/>
                <w:sz w:val="21"/>
              </w:rPr>
            </w:pPr>
          </w:p>
        </w:tc>
        <w:tc>
          <w:tcPr>
            <w:tcW w:w="1113" w:type="dxa"/>
            <w:vMerge w:val="continue"/>
            <w:tcBorders>
              <w:top w:val="nil"/>
            </w:tcBorders>
            <w:vAlign w:val="top"/>
          </w:tcPr>
          <w:p w14:paraId="2CF4B118">
            <w:pPr>
              <w:rPr>
                <w:rFonts w:ascii="Arial"/>
                <w:sz w:val="21"/>
              </w:rPr>
            </w:pPr>
          </w:p>
        </w:tc>
        <w:tc>
          <w:tcPr>
            <w:tcW w:w="1113" w:type="dxa"/>
            <w:vMerge w:val="continue"/>
            <w:tcBorders>
              <w:top w:val="nil"/>
            </w:tcBorders>
            <w:vAlign w:val="top"/>
          </w:tcPr>
          <w:p w14:paraId="40949FA5">
            <w:pPr>
              <w:rPr>
                <w:rFonts w:ascii="Arial"/>
                <w:sz w:val="21"/>
              </w:rPr>
            </w:pPr>
          </w:p>
        </w:tc>
        <w:tc>
          <w:tcPr>
            <w:tcW w:w="8631" w:type="dxa"/>
            <w:vMerge w:val="continue"/>
            <w:tcBorders>
              <w:top w:val="nil"/>
            </w:tcBorders>
            <w:vAlign w:val="top"/>
          </w:tcPr>
          <w:p w14:paraId="2638A90F">
            <w:pPr>
              <w:rPr>
                <w:rFonts w:ascii="Arial"/>
                <w:sz w:val="21"/>
              </w:rPr>
            </w:pPr>
          </w:p>
        </w:tc>
        <w:tc>
          <w:tcPr>
            <w:tcW w:w="1022" w:type="dxa"/>
            <w:vAlign w:val="top"/>
          </w:tcPr>
          <w:p w14:paraId="4F24D100">
            <w:pPr>
              <w:pStyle w:val="8"/>
              <w:spacing w:before="84" w:line="219" w:lineRule="auto"/>
              <w:ind w:left="170"/>
            </w:pPr>
            <w:r>
              <w:rPr>
                <w:b/>
                <w:bCs/>
                <w:spacing w:val="-6"/>
              </w:rPr>
              <w:t>责任部门</w:t>
            </w:r>
          </w:p>
        </w:tc>
        <w:tc>
          <w:tcPr>
            <w:tcW w:w="1419" w:type="dxa"/>
            <w:vAlign w:val="top"/>
          </w:tcPr>
          <w:p w14:paraId="6A834AF4">
            <w:pPr>
              <w:pStyle w:val="8"/>
              <w:spacing w:before="84" w:line="219" w:lineRule="auto"/>
              <w:ind w:left="183"/>
            </w:pPr>
            <w:r>
              <w:rPr>
                <w:b/>
                <w:bCs/>
                <w:spacing w:val="-4"/>
              </w:rPr>
              <w:t>第一责任层级</w:t>
            </w:r>
          </w:p>
        </w:tc>
        <w:tc>
          <w:tcPr>
            <w:tcW w:w="1027" w:type="dxa"/>
            <w:vAlign w:val="top"/>
          </w:tcPr>
          <w:p w14:paraId="76C31427">
            <w:pPr>
              <w:pStyle w:val="8"/>
              <w:spacing w:before="83" w:line="219" w:lineRule="auto"/>
              <w:ind w:left="161"/>
            </w:pPr>
            <w:r>
              <w:rPr>
                <w:b/>
                <w:bCs/>
                <w:spacing w:val="-5"/>
              </w:rPr>
              <w:t>承办机构</w:t>
            </w:r>
          </w:p>
        </w:tc>
      </w:tr>
      <w:tr w14:paraId="119B2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2" w:hRule="atLeast"/>
        </w:trPr>
        <w:tc>
          <w:tcPr>
            <w:tcW w:w="629" w:type="dxa"/>
            <w:vAlign w:val="top"/>
          </w:tcPr>
          <w:p w14:paraId="1BE627B2">
            <w:pPr>
              <w:spacing w:line="269" w:lineRule="auto"/>
              <w:rPr>
                <w:rFonts w:ascii="Arial"/>
                <w:sz w:val="21"/>
              </w:rPr>
            </w:pPr>
          </w:p>
          <w:p w14:paraId="55BBECD7">
            <w:pPr>
              <w:spacing w:line="269" w:lineRule="auto"/>
              <w:rPr>
                <w:rFonts w:ascii="Arial"/>
                <w:sz w:val="21"/>
              </w:rPr>
            </w:pPr>
          </w:p>
          <w:p w14:paraId="49416F7C">
            <w:pPr>
              <w:spacing w:line="269" w:lineRule="auto"/>
              <w:rPr>
                <w:rFonts w:ascii="Arial"/>
                <w:sz w:val="21"/>
              </w:rPr>
            </w:pPr>
          </w:p>
          <w:p w14:paraId="26242F1F">
            <w:pPr>
              <w:spacing w:line="269" w:lineRule="auto"/>
              <w:rPr>
                <w:rFonts w:ascii="Arial"/>
                <w:sz w:val="21"/>
              </w:rPr>
            </w:pPr>
          </w:p>
          <w:p w14:paraId="1EBF0617">
            <w:pPr>
              <w:spacing w:line="269" w:lineRule="auto"/>
              <w:rPr>
                <w:rFonts w:ascii="Arial"/>
                <w:sz w:val="21"/>
              </w:rPr>
            </w:pPr>
          </w:p>
          <w:p w14:paraId="7ACE4C06">
            <w:pPr>
              <w:spacing w:line="269" w:lineRule="auto"/>
              <w:rPr>
                <w:rFonts w:ascii="Arial"/>
                <w:sz w:val="21"/>
              </w:rPr>
            </w:pPr>
          </w:p>
          <w:p w14:paraId="7A1183EC">
            <w:pPr>
              <w:spacing w:line="270" w:lineRule="auto"/>
              <w:rPr>
                <w:rFonts w:ascii="Arial"/>
                <w:sz w:val="21"/>
              </w:rPr>
            </w:pPr>
          </w:p>
          <w:p w14:paraId="21319916">
            <w:pPr>
              <w:spacing w:line="270" w:lineRule="auto"/>
              <w:rPr>
                <w:rFonts w:ascii="Arial"/>
                <w:sz w:val="21"/>
              </w:rPr>
            </w:pPr>
          </w:p>
          <w:p w14:paraId="40AEF62A">
            <w:pPr>
              <w:pStyle w:val="8"/>
              <w:spacing w:before="58" w:line="184" w:lineRule="auto"/>
              <w:ind w:left="246"/>
            </w:pPr>
            <w:r>
              <w:rPr>
                <w:spacing w:val="-11"/>
              </w:rPr>
              <w:t>19</w:t>
            </w:r>
          </w:p>
        </w:tc>
        <w:tc>
          <w:tcPr>
            <w:tcW w:w="1113" w:type="dxa"/>
            <w:vAlign w:val="top"/>
          </w:tcPr>
          <w:p w14:paraId="0278A71E">
            <w:pPr>
              <w:spacing w:line="252" w:lineRule="auto"/>
              <w:rPr>
                <w:rFonts w:ascii="Arial"/>
                <w:sz w:val="21"/>
              </w:rPr>
            </w:pPr>
          </w:p>
          <w:p w14:paraId="45C24C02">
            <w:pPr>
              <w:spacing w:line="252" w:lineRule="auto"/>
              <w:rPr>
                <w:rFonts w:ascii="Arial"/>
                <w:sz w:val="21"/>
              </w:rPr>
            </w:pPr>
          </w:p>
          <w:p w14:paraId="14A9A5CD">
            <w:pPr>
              <w:spacing w:line="252" w:lineRule="auto"/>
              <w:rPr>
                <w:rFonts w:ascii="Arial"/>
                <w:sz w:val="21"/>
              </w:rPr>
            </w:pPr>
          </w:p>
          <w:p w14:paraId="378E0A29">
            <w:pPr>
              <w:spacing w:line="252" w:lineRule="auto"/>
              <w:rPr>
                <w:rFonts w:ascii="Arial"/>
                <w:sz w:val="21"/>
              </w:rPr>
            </w:pPr>
          </w:p>
          <w:p w14:paraId="623D4722">
            <w:pPr>
              <w:spacing w:line="252" w:lineRule="auto"/>
              <w:rPr>
                <w:rFonts w:ascii="Arial"/>
                <w:sz w:val="21"/>
              </w:rPr>
            </w:pPr>
          </w:p>
          <w:p w14:paraId="71274D95">
            <w:pPr>
              <w:spacing w:line="253" w:lineRule="auto"/>
              <w:rPr>
                <w:rFonts w:ascii="Arial"/>
                <w:sz w:val="21"/>
              </w:rPr>
            </w:pPr>
          </w:p>
          <w:p w14:paraId="460575BD">
            <w:pPr>
              <w:pStyle w:val="8"/>
              <w:spacing w:before="59" w:line="244" w:lineRule="auto"/>
              <w:ind w:left="95" w:right="90"/>
              <w:jc w:val="both"/>
            </w:pPr>
            <w:r>
              <w:rPr>
                <w:spacing w:val="4"/>
              </w:rPr>
              <w:t>对多次、严</w:t>
            </w:r>
            <w:r>
              <w:rPr>
                <w:spacing w:val="1"/>
              </w:rPr>
              <w:t xml:space="preserve"> </w:t>
            </w:r>
            <w:r>
              <w:rPr>
                <w:spacing w:val="4"/>
              </w:rPr>
              <w:t>重违法超限</w:t>
            </w:r>
            <w:r>
              <w:rPr>
                <w:spacing w:val="1"/>
              </w:rPr>
              <w:t xml:space="preserve"> </w:t>
            </w:r>
            <w:r>
              <w:rPr>
                <w:spacing w:val="-9"/>
              </w:rPr>
              <w:t>运</w:t>
            </w:r>
            <w:r>
              <w:rPr>
                <w:spacing w:val="-15"/>
              </w:rPr>
              <w:t xml:space="preserve"> </w:t>
            </w:r>
            <w:r>
              <w:rPr>
                <w:spacing w:val="-9"/>
              </w:rPr>
              <w:t>输 的 车</w:t>
            </w:r>
            <w:r>
              <w:t xml:space="preserve"> </w:t>
            </w:r>
            <w:r>
              <w:rPr>
                <w:spacing w:val="4"/>
              </w:rPr>
              <w:t>辆、驾驶人</w:t>
            </w:r>
            <w:r>
              <w:rPr>
                <w:spacing w:val="1"/>
              </w:rPr>
              <w:t xml:space="preserve"> </w:t>
            </w:r>
            <w:r>
              <w:rPr>
                <w:spacing w:val="4"/>
              </w:rPr>
              <w:t>和企业的行</w:t>
            </w:r>
            <w:r>
              <w:rPr>
                <w:spacing w:val="1"/>
              </w:rPr>
              <w:t xml:space="preserve"> </w:t>
            </w:r>
            <w:r>
              <w:rPr>
                <w:spacing w:val="-3"/>
              </w:rPr>
              <w:t>政处罚</w:t>
            </w:r>
          </w:p>
        </w:tc>
        <w:tc>
          <w:tcPr>
            <w:tcW w:w="1113" w:type="dxa"/>
            <w:vAlign w:val="top"/>
          </w:tcPr>
          <w:p w14:paraId="38CA3AE4">
            <w:pPr>
              <w:spacing w:line="264" w:lineRule="auto"/>
              <w:rPr>
                <w:rFonts w:ascii="Arial"/>
                <w:sz w:val="21"/>
              </w:rPr>
            </w:pPr>
          </w:p>
          <w:p w14:paraId="2A2FAC64">
            <w:pPr>
              <w:spacing w:line="264" w:lineRule="auto"/>
              <w:rPr>
                <w:rFonts w:ascii="Arial"/>
                <w:sz w:val="21"/>
              </w:rPr>
            </w:pPr>
          </w:p>
          <w:p w14:paraId="7F1F0B14">
            <w:pPr>
              <w:spacing w:line="264" w:lineRule="auto"/>
              <w:rPr>
                <w:rFonts w:ascii="Arial"/>
                <w:sz w:val="21"/>
              </w:rPr>
            </w:pPr>
          </w:p>
          <w:p w14:paraId="4A3FE022">
            <w:pPr>
              <w:spacing w:line="264" w:lineRule="auto"/>
              <w:rPr>
                <w:rFonts w:ascii="Arial"/>
                <w:sz w:val="21"/>
              </w:rPr>
            </w:pPr>
          </w:p>
          <w:p w14:paraId="5A6B1EE3">
            <w:pPr>
              <w:spacing w:line="264" w:lineRule="auto"/>
              <w:rPr>
                <w:rFonts w:ascii="Arial"/>
                <w:sz w:val="21"/>
              </w:rPr>
            </w:pPr>
          </w:p>
          <w:p w14:paraId="32D2BDEA">
            <w:pPr>
              <w:spacing w:line="265" w:lineRule="auto"/>
              <w:rPr>
                <w:rFonts w:ascii="Arial"/>
                <w:sz w:val="21"/>
              </w:rPr>
            </w:pPr>
          </w:p>
          <w:p w14:paraId="0CCF9868">
            <w:pPr>
              <w:spacing w:line="265" w:lineRule="auto"/>
              <w:rPr>
                <w:rFonts w:ascii="Arial"/>
                <w:sz w:val="21"/>
              </w:rPr>
            </w:pPr>
          </w:p>
          <w:p w14:paraId="2F1CDA43">
            <w:pPr>
              <w:spacing w:line="265" w:lineRule="auto"/>
              <w:rPr>
                <w:rFonts w:ascii="Arial"/>
                <w:sz w:val="21"/>
              </w:rPr>
            </w:pPr>
          </w:p>
          <w:p w14:paraId="5DF4EFA2">
            <w:pPr>
              <w:pStyle w:val="8"/>
              <w:spacing w:before="58" w:line="220" w:lineRule="auto"/>
              <w:ind w:left="10"/>
            </w:pPr>
            <w:r>
              <w:rPr>
                <w:spacing w:val="-2"/>
              </w:rPr>
              <w:t>行政处罚</w:t>
            </w:r>
          </w:p>
        </w:tc>
        <w:tc>
          <w:tcPr>
            <w:tcW w:w="8631" w:type="dxa"/>
            <w:vAlign w:val="top"/>
          </w:tcPr>
          <w:p w14:paraId="6C1CD754">
            <w:pPr>
              <w:pStyle w:val="8"/>
              <w:spacing w:before="38" w:line="219" w:lineRule="auto"/>
              <w:ind w:left="480"/>
            </w:pPr>
            <w:r>
              <w:rPr>
                <w:b/>
                <w:bCs/>
                <w:spacing w:val="-5"/>
              </w:rPr>
              <w:t>1.《公路安全保护条例》</w:t>
            </w:r>
          </w:p>
          <w:p w14:paraId="60B11572">
            <w:pPr>
              <w:pStyle w:val="8"/>
              <w:spacing w:before="26" w:line="239" w:lineRule="auto"/>
              <w:ind w:left="117" w:right="109" w:firstLine="349"/>
              <w:jc w:val="both"/>
            </w:pPr>
            <w:r>
              <w:rPr>
                <w:spacing w:val="-1"/>
              </w:rPr>
              <w:t>第六十六条  对1年内违法超限运输超过 3 次的货运车辆，由道路运输管理机构吊</w:t>
            </w:r>
            <w:r>
              <w:rPr>
                <w:spacing w:val="-2"/>
              </w:rPr>
              <w:t>销其车辆营运证；对</w:t>
            </w:r>
            <w:r>
              <w:t xml:space="preserve"> </w:t>
            </w:r>
            <w:r>
              <w:rPr>
                <w:spacing w:val="-1"/>
              </w:rPr>
              <w:t>1年内违法超限运输超过3次的货运车辆驾驶人，由道路运输管理机构责令其</w:t>
            </w:r>
            <w:r>
              <w:rPr>
                <w:spacing w:val="-2"/>
              </w:rPr>
              <w:t>停止从事营业性运输；道路运输</w:t>
            </w:r>
            <w:r>
              <w:t xml:space="preserve"> </w:t>
            </w:r>
            <w:r>
              <w:rPr>
                <w:spacing w:val="-1"/>
              </w:rPr>
              <w:t>企业1年内违法超限运输的货运车辆超过本单位货运车辆总数10%的，由道路运</w:t>
            </w:r>
            <w:r>
              <w:rPr>
                <w:spacing w:val="-2"/>
              </w:rPr>
              <w:t>输管理机构责令道路运输企业</w:t>
            </w:r>
            <w:r>
              <w:t xml:space="preserve"> </w:t>
            </w:r>
            <w:r>
              <w:rPr>
                <w:spacing w:val="-2"/>
              </w:rPr>
              <w:t>停业整顿；情节严重的，吊销其道路运输经营许可证，并向</w:t>
            </w:r>
            <w:r>
              <w:rPr>
                <w:spacing w:val="-3"/>
              </w:rPr>
              <w:t>社会公告。</w:t>
            </w:r>
          </w:p>
          <w:p w14:paraId="6C03F1A9">
            <w:pPr>
              <w:pStyle w:val="8"/>
              <w:spacing w:before="26" w:line="219" w:lineRule="auto"/>
              <w:ind w:left="468"/>
            </w:pPr>
            <w:r>
              <w:rPr>
                <w:b/>
                <w:bCs/>
                <w:spacing w:val="-3"/>
              </w:rPr>
              <w:t>2.《超限运输车辆行驶公路管理规定》（交</w:t>
            </w:r>
            <w:r>
              <w:rPr>
                <w:b/>
                <w:bCs/>
                <w:spacing w:val="-4"/>
              </w:rPr>
              <w:t>通运输部令2021年第12号）</w:t>
            </w:r>
          </w:p>
          <w:p w14:paraId="622AA530">
            <w:pPr>
              <w:pStyle w:val="8"/>
              <w:spacing w:before="26" w:line="241" w:lineRule="auto"/>
              <w:ind w:left="117" w:right="107" w:firstLine="348"/>
              <w:jc w:val="both"/>
            </w:pPr>
            <w:r>
              <w:rPr>
                <w:spacing w:val="-1"/>
              </w:rPr>
              <w:t>第四十六条  对1年内违法超限运输超过3次的货运车辆和驾驶人，以及违法超限运输的货运</w:t>
            </w:r>
            <w:r>
              <w:rPr>
                <w:spacing w:val="-2"/>
              </w:rPr>
              <w:t>车辆超过本</w:t>
            </w:r>
            <w:r>
              <w:t xml:space="preserve"> </w:t>
            </w:r>
            <w:r>
              <w:rPr>
                <w:spacing w:val="1"/>
              </w:rPr>
              <w:t>单位货运车辆总数10%的道路运输企业，由道路运输管理机构依</w:t>
            </w:r>
            <w:r>
              <w:t xml:space="preserve">照《公路安全保护条例》第六十六条予以处 </w:t>
            </w:r>
            <w:r>
              <w:rPr>
                <w:spacing w:val="-5"/>
              </w:rPr>
              <w:t>理。</w:t>
            </w:r>
          </w:p>
          <w:p w14:paraId="424ADF97">
            <w:pPr>
              <w:pStyle w:val="8"/>
              <w:spacing w:before="16" w:line="233" w:lineRule="auto"/>
              <w:ind w:left="116" w:right="109" w:firstLine="353"/>
            </w:pPr>
            <w:r>
              <w:rPr>
                <w:spacing w:val="-1"/>
              </w:rPr>
              <w:t>前款规定的违法超限运输记录累计计算周期，从初次领取《道路运输证》、道路</w:t>
            </w:r>
            <w:r>
              <w:rPr>
                <w:spacing w:val="-2"/>
              </w:rPr>
              <w:t>运输从业人员从业资格</w:t>
            </w:r>
            <w:r>
              <w:t xml:space="preserve"> </w:t>
            </w:r>
            <w:r>
              <w:rPr>
                <w:spacing w:val="-3"/>
              </w:rPr>
              <w:t>证、道路运输经营许可证之日算起，可跨自然年度。</w:t>
            </w:r>
          </w:p>
          <w:p w14:paraId="166DF437">
            <w:pPr>
              <w:pStyle w:val="8"/>
              <w:spacing w:before="25" w:line="219" w:lineRule="auto"/>
              <w:ind w:left="470"/>
            </w:pPr>
            <w:r>
              <w:rPr>
                <w:b/>
                <w:bCs/>
                <w:spacing w:val="-4"/>
              </w:rPr>
              <w:t>3.《湖南省治理货物运输车辆超限超载条例》</w:t>
            </w:r>
          </w:p>
          <w:p w14:paraId="73A2763E">
            <w:pPr>
              <w:pStyle w:val="8"/>
              <w:spacing w:before="28" w:line="239" w:lineRule="auto"/>
              <w:ind w:left="117" w:right="107" w:firstLine="349"/>
              <w:jc w:val="both"/>
            </w:pPr>
            <w:r>
              <w:rPr>
                <w:spacing w:val="-1"/>
              </w:rPr>
              <w:t>第三十三条  货运车辆一年内违法超限运输超过三次的，由县级以上人民政府交通运输主</w:t>
            </w:r>
            <w:r>
              <w:rPr>
                <w:spacing w:val="-2"/>
              </w:rPr>
              <w:t>管部门依法吊</w:t>
            </w:r>
            <w:r>
              <w:t xml:space="preserve"> </w:t>
            </w:r>
            <w:r>
              <w:rPr>
                <w:spacing w:val="-1"/>
              </w:rPr>
              <w:t>销该车辆的车辆营运证；货运车辆驾驶人一年内违法超限运输超过三次的，责</w:t>
            </w:r>
            <w:r>
              <w:rPr>
                <w:spacing w:val="-2"/>
              </w:rPr>
              <w:t>令其停止从事营业性运输；道</w:t>
            </w:r>
            <w:r>
              <w:t xml:space="preserve"> </w:t>
            </w:r>
            <w:r>
              <w:rPr>
                <w:spacing w:val="-1"/>
              </w:rPr>
              <w:t>路运输企业一年内违法超限运输的货运车辆超过本单位货运车辆总数百分之十</w:t>
            </w:r>
            <w:r>
              <w:rPr>
                <w:spacing w:val="-2"/>
              </w:rPr>
              <w:t>的，责令停业整顿；情节严重</w:t>
            </w:r>
            <w:r>
              <w:t xml:space="preserve"> </w:t>
            </w:r>
            <w:r>
              <w:rPr>
                <w:spacing w:val="-2"/>
              </w:rPr>
              <w:t>的，依法吊销其道路运输经营许可证，并向</w:t>
            </w:r>
            <w:r>
              <w:rPr>
                <w:spacing w:val="-3"/>
              </w:rPr>
              <w:t>社会公告。</w:t>
            </w:r>
          </w:p>
          <w:p w14:paraId="7D66C394">
            <w:pPr>
              <w:pStyle w:val="8"/>
              <w:spacing w:before="27" w:line="233" w:lineRule="auto"/>
              <w:ind w:left="120" w:right="109" w:firstLine="360"/>
            </w:pPr>
            <w:r>
              <w:rPr>
                <w:spacing w:val="-1"/>
              </w:rPr>
              <w:t>因违法超限运输被吊销车辆营运证、道路运输经营许可</w:t>
            </w:r>
            <w:r>
              <w:rPr>
                <w:spacing w:val="-2"/>
              </w:rPr>
              <w:t>证件的，货运车辆、道路运输企业在处罚执行完</w:t>
            </w:r>
            <w:r>
              <w:t xml:space="preserve"> </w:t>
            </w:r>
            <w:r>
              <w:rPr>
                <w:spacing w:val="-3"/>
              </w:rPr>
              <w:t>毕之日起一年内禁止申领相关证件。</w:t>
            </w:r>
          </w:p>
          <w:p w14:paraId="66088F8A">
            <w:pPr>
              <w:pStyle w:val="8"/>
              <w:spacing w:before="26" w:line="198" w:lineRule="auto"/>
              <w:ind w:left="467"/>
            </w:pPr>
            <w:r>
              <w:rPr>
                <w:spacing w:val="-2"/>
              </w:rPr>
              <w:t>本条第一款规定的违法超限运输，是指货运车辆车货总质量超过最高限值百分之十的超限</w:t>
            </w:r>
            <w:r>
              <w:rPr>
                <w:spacing w:val="-3"/>
              </w:rPr>
              <w:t>运输行为。</w:t>
            </w:r>
          </w:p>
        </w:tc>
        <w:tc>
          <w:tcPr>
            <w:tcW w:w="1022" w:type="dxa"/>
            <w:vAlign w:val="top"/>
          </w:tcPr>
          <w:p w14:paraId="006F4AA1">
            <w:pPr>
              <w:spacing w:line="249" w:lineRule="auto"/>
              <w:rPr>
                <w:rFonts w:ascii="Arial"/>
                <w:sz w:val="21"/>
              </w:rPr>
            </w:pPr>
          </w:p>
          <w:p w14:paraId="34441A3C">
            <w:pPr>
              <w:spacing w:line="249" w:lineRule="auto"/>
              <w:rPr>
                <w:rFonts w:ascii="Arial"/>
                <w:sz w:val="21"/>
              </w:rPr>
            </w:pPr>
          </w:p>
          <w:p w14:paraId="038EC37A">
            <w:pPr>
              <w:spacing w:line="249" w:lineRule="auto"/>
              <w:rPr>
                <w:rFonts w:ascii="Arial"/>
                <w:sz w:val="21"/>
              </w:rPr>
            </w:pPr>
          </w:p>
          <w:p w14:paraId="7C36E2E7">
            <w:pPr>
              <w:spacing w:line="249" w:lineRule="auto"/>
              <w:rPr>
                <w:rFonts w:ascii="Arial"/>
                <w:sz w:val="21"/>
              </w:rPr>
            </w:pPr>
          </w:p>
          <w:p w14:paraId="25C6774A">
            <w:pPr>
              <w:spacing w:line="249" w:lineRule="auto"/>
              <w:rPr>
                <w:rFonts w:ascii="Arial"/>
                <w:sz w:val="21"/>
              </w:rPr>
            </w:pPr>
          </w:p>
          <w:p w14:paraId="4D8F90CD">
            <w:pPr>
              <w:spacing w:line="249" w:lineRule="auto"/>
              <w:rPr>
                <w:rFonts w:ascii="Arial"/>
                <w:sz w:val="21"/>
              </w:rPr>
            </w:pPr>
          </w:p>
          <w:p w14:paraId="09818918">
            <w:pPr>
              <w:spacing w:line="249" w:lineRule="auto"/>
              <w:rPr>
                <w:rFonts w:ascii="Arial"/>
                <w:sz w:val="21"/>
              </w:rPr>
            </w:pPr>
          </w:p>
          <w:p w14:paraId="01EFBAA4">
            <w:pPr>
              <w:spacing w:line="250" w:lineRule="auto"/>
              <w:rPr>
                <w:rFonts w:ascii="Arial"/>
                <w:sz w:val="21"/>
              </w:rPr>
            </w:pPr>
          </w:p>
          <w:p w14:paraId="1106A987">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271D48AB">
            <w:pPr>
              <w:spacing w:line="264" w:lineRule="auto"/>
              <w:rPr>
                <w:rFonts w:ascii="Arial"/>
                <w:sz w:val="21"/>
              </w:rPr>
            </w:pPr>
          </w:p>
          <w:p w14:paraId="5282D57B">
            <w:pPr>
              <w:spacing w:line="264" w:lineRule="auto"/>
              <w:rPr>
                <w:rFonts w:ascii="Arial"/>
                <w:sz w:val="21"/>
              </w:rPr>
            </w:pPr>
          </w:p>
          <w:p w14:paraId="4A8DCD51">
            <w:pPr>
              <w:spacing w:line="264" w:lineRule="auto"/>
              <w:rPr>
                <w:rFonts w:ascii="Arial"/>
                <w:sz w:val="21"/>
              </w:rPr>
            </w:pPr>
          </w:p>
          <w:p w14:paraId="62611EB9">
            <w:pPr>
              <w:spacing w:line="264" w:lineRule="auto"/>
              <w:rPr>
                <w:rFonts w:ascii="Arial"/>
                <w:sz w:val="21"/>
              </w:rPr>
            </w:pPr>
          </w:p>
          <w:p w14:paraId="50DB7FBB">
            <w:pPr>
              <w:spacing w:line="264" w:lineRule="auto"/>
              <w:rPr>
                <w:rFonts w:ascii="Arial"/>
                <w:sz w:val="21"/>
              </w:rPr>
            </w:pPr>
          </w:p>
          <w:p w14:paraId="08DEF730">
            <w:pPr>
              <w:spacing w:line="265" w:lineRule="auto"/>
              <w:rPr>
                <w:rFonts w:ascii="Arial"/>
                <w:sz w:val="21"/>
              </w:rPr>
            </w:pPr>
          </w:p>
          <w:p w14:paraId="53FD6CEE">
            <w:pPr>
              <w:spacing w:line="265" w:lineRule="auto"/>
              <w:rPr>
                <w:rFonts w:ascii="Arial"/>
                <w:sz w:val="21"/>
              </w:rPr>
            </w:pPr>
          </w:p>
          <w:p w14:paraId="3573940E">
            <w:pPr>
              <w:spacing w:line="265" w:lineRule="auto"/>
              <w:rPr>
                <w:rFonts w:ascii="Arial"/>
                <w:sz w:val="21"/>
              </w:rPr>
            </w:pPr>
          </w:p>
          <w:p w14:paraId="277F0A30">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28ADE1AD">
            <w:pPr>
              <w:spacing w:line="267" w:lineRule="auto"/>
              <w:rPr>
                <w:rFonts w:ascii="Arial"/>
                <w:sz w:val="21"/>
              </w:rPr>
            </w:pPr>
          </w:p>
          <w:p w14:paraId="6536D32B">
            <w:pPr>
              <w:spacing w:line="267" w:lineRule="auto"/>
              <w:rPr>
                <w:rFonts w:ascii="Arial"/>
                <w:sz w:val="21"/>
              </w:rPr>
            </w:pPr>
          </w:p>
          <w:p w14:paraId="3AB39BDB">
            <w:pPr>
              <w:spacing w:line="267" w:lineRule="auto"/>
              <w:rPr>
                <w:rFonts w:ascii="Arial"/>
                <w:sz w:val="21"/>
              </w:rPr>
            </w:pPr>
          </w:p>
          <w:p w14:paraId="33BA2E04">
            <w:pPr>
              <w:spacing w:line="267" w:lineRule="auto"/>
              <w:rPr>
                <w:rFonts w:ascii="Arial"/>
                <w:sz w:val="21"/>
              </w:rPr>
            </w:pPr>
          </w:p>
          <w:p w14:paraId="35383F0A">
            <w:pPr>
              <w:spacing w:line="268" w:lineRule="auto"/>
              <w:rPr>
                <w:rFonts w:ascii="Arial"/>
                <w:sz w:val="21"/>
              </w:rPr>
            </w:pPr>
          </w:p>
          <w:p w14:paraId="4BCDC88D">
            <w:pPr>
              <w:spacing w:line="268" w:lineRule="auto"/>
              <w:rPr>
                <w:rFonts w:ascii="Arial"/>
                <w:sz w:val="21"/>
              </w:rPr>
            </w:pPr>
          </w:p>
          <w:p w14:paraId="5AACEBD6">
            <w:pPr>
              <w:spacing w:line="268" w:lineRule="auto"/>
              <w:rPr>
                <w:rFonts w:ascii="Arial"/>
                <w:sz w:val="21"/>
              </w:rPr>
            </w:pPr>
          </w:p>
          <w:p w14:paraId="00D9F4A5">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r w14:paraId="448A6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2" w:hRule="atLeast"/>
        </w:trPr>
        <w:tc>
          <w:tcPr>
            <w:tcW w:w="629" w:type="dxa"/>
            <w:vAlign w:val="top"/>
          </w:tcPr>
          <w:p w14:paraId="07839807">
            <w:pPr>
              <w:spacing w:line="278" w:lineRule="auto"/>
              <w:rPr>
                <w:rFonts w:ascii="Arial"/>
                <w:sz w:val="21"/>
              </w:rPr>
            </w:pPr>
          </w:p>
          <w:p w14:paraId="59B9EC76">
            <w:pPr>
              <w:spacing w:line="279" w:lineRule="auto"/>
              <w:rPr>
                <w:rFonts w:ascii="Arial"/>
                <w:sz w:val="21"/>
              </w:rPr>
            </w:pPr>
          </w:p>
          <w:p w14:paraId="283188BF">
            <w:pPr>
              <w:spacing w:line="279" w:lineRule="auto"/>
              <w:rPr>
                <w:rFonts w:ascii="Arial"/>
                <w:sz w:val="21"/>
              </w:rPr>
            </w:pPr>
          </w:p>
          <w:p w14:paraId="337682E0">
            <w:pPr>
              <w:spacing w:line="279" w:lineRule="auto"/>
              <w:rPr>
                <w:rFonts w:ascii="Arial"/>
                <w:sz w:val="21"/>
              </w:rPr>
            </w:pPr>
          </w:p>
          <w:p w14:paraId="084110C4">
            <w:pPr>
              <w:pStyle w:val="8"/>
              <w:spacing w:before="58" w:line="183" w:lineRule="auto"/>
              <w:ind w:left="235"/>
            </w:pPr>
            <w:r>
              <w:rPr>
                <w:spacing w:val="-5"/>
              </w:rPr>
              <w:t>20</w:t>
            </w:r>
          </w:p>
        </w:tc>
        <w:tc>
          <w:tcPr>
            <w:tcW w:w="1113" w:type="dxa"/>
            <w:vAlign w:val="top"/>
          </w:tcPr>
          <w:p w14:paraId="7675E27C">
            <w:pPr>
              <w:spacing w:line="296" w:lineRule="auto"/>
              <w:rPr>
                <w:rFonts w:ascii="Arial"/>
                <w:sz w:val="21"/>
              </w:rPr>
            </w:pPr>
          </w:p>
          <w:p w14:paraId="6545B9E9">
            <w:pPr>
              <w:spacing w:line="297" w:lineRule="auto"/>
              <w:rPr>
                <w:rFonts w:ascii="Arial"/>
                <w:sz w:val="21"/>
              </w:rPr>
            </w:pPr>
          </w:p>
          <w:p w14:paraId="18620BA2">
            <w:pPr>
              <w:pStyle w:val="8"/>
              <w:spacing w:before="58" w:line="243" w:lineRule="auto"/>
              <w:ind w:left="96" w:right="90" w:hanging="1"/>
              <w:jc w:val="both"/>
            </w:pPr>
            <w:r>
              <w:rPr>
                <w:spacing w:val="4"/>
              </w:rPr>
              <w:t>对指使、强</w:t>
            </w:r>
            <w:r>
              <w:rPr>
                <w:spacing w:val="1"/>
              </w:rPr>
              <w:t xml:space="preserve"> </w:t>
            </w:r>
            <w:r>
              <w:rPr>
                <w:spacing w:val="4"/>
              </w:rPr>
              <w:t>令车辆驾驶</w:t>
            </w:r>
            <w:r>
              <w:t xml:space="preserve"> </w:t>
            </w:r>
            <w:r>
              <w:rPr>
                <w:spacing w:val="4"/>
              </w:rPr>
              <w:t>人超限运输</w:t>
            </w:r>
            <w:r>
              <w:t xml:space="preserve"> </w:t>
            </w:r>
            <w:r>
              <w:rPr>
                <w:spacing w:val="4"/>
              </w:rPr>
              <w:t>货物行为的</w:t>
            </w:r>
            <w:r>
              <w:t xml:space="preserve"> </w:t>
            </w:r>
            <w:r>
              <w:rPr>
                <w:spacing w:val="-4"/>
              </w:rPr>
              <w:t>行政处罚</w:t>
            </w:r>
          </w:p>
        </w:tc>
        <w:tc>
          <w:tcPr>
            <w:tcW w:w="1113" w:type="dxa"/>
            <w:vAlign w:val="top"/>
          </w:tcPr>
          <w:p w14:paraId="1673055E">
            <w:pPr>
              <w:spacing w:line="268" w:lineRule="auto"/>
              <w:rPr>
                <w:rFonts w:ascii="Arial"/>
                <w:sz w:val="21"/>
              </w:rPr>
            </w:pPr>
          </w:p>
          <w:p w14:paraId="1A19C089">
            <w:pPr>
              <w:spacing w:line="268" w:lineRule="auto"/>
              <w:rPr>
                <w:rFonts w:ascii="Arial"/>
                <w:sz w:val="21"/>
              </w:rPr>
            </w:pPr>
          </w:p>
          <w:p w14:paraId="6657505D">
            <w:pPr>
              <w:spacing w:line="268" w:lineRule="auto"/>
              <w:rPr>
                <w:rFonts w:ascii="Arial"/>
                <w:sz w:val="21"/>
              </w:rPr>
            </w:pPr>
          </w:p>
          <w:p w14:paraId="024F35EF">
            <w:pPr>
              <w:spacing w:line="268" w:lineRule="auto"/>
              <w:rPr>
                <w:rFonts w:ascii="Arial"/>
                <w:sz w:val="21"/>
              </w:rPr>
            </w:pPr>
          </w:p>
          <w:p w14:paraId="79F5E696">
            <w:pPr>
              <w:pStyle w:val="8"/>
              <w:spacing w:before="59" w:line="220" w:lineRule="auto"/>
              <w:ind w:left="10"/>
            </w:pPr>
            <w:r>
              <w:rPr>
                <w:spacing w:val="-2"/>
              </w:rPr>
              <w:t>行政处罚</w:t>
            </w:r>
          </w:p>
        </w:tc>
        <w:tc>
          <w:tcPr>
            <w:tcW w:w="8631" w:type="dxa"/>
            <w:vAlign w:val="top"/>
          </w:tcPr>
          <w:p w14:paraId="62C1AA62">
            <w:pPr>
              <w:pStyle w:val="8"/>
              <w:spacing w:before="72" w:line="219" w:lineRule="auto"/>
              <w:ind w:left="480"/>
            </w:pPr>
            <w:r>
              <w:rPr>
                <w:b/>
                <w:bCs/>
                <w:spacing w:val="-5"/>
              </w:rPr>
              <w:t>1.《公路安全保护条例》</w:t>
            </w:r>
          </w:p>
          <w:p w14:paraId="629CD8F0">
            <w:pPr>
              <w:pStyle w:val="8"/>
              <w:spacing w:before="26" w:line="233" w:lineRule="auto"/>
              <w:ind w:left="120" w:right="109" w:firstLine="346"/>
            </w:pPr>
            <w:r>
              <w:rPr>
                <w:spacing w:val="-1"/>
              </w:rPr>
              <w:t>第六十八条  违反本条例的规定，指使、强令车辆驾驶人超限运输货物的，由道路运输管</w:t>
            </w:r>
            <w:r>
              <w:rPr>
                <w:spacing w:val="-2"/>
              </w:rPr>
              <w:t>理机构责令改</w:t>
            </w:r>
            <w:r>
              <w:t xml:space="preserve"> </w:t>
            </w:r>
            <w:r>
              <w:rPr>
                <w:spacing w:val="-3"/>
              </w:rPr>
              <w:t>正，处3万元以下的罚款。</w:t>
            </w:r>
          </w:p>
          <w:p w14:paraId="6C1F68B8">
            <w:pPr>
              <w:pStyle w:val="8"/>
              <w:spacing w:before="24" w:line="219" w:lineRule="auto"/>
              <w:ind w:left="468"/>
            </w:pPr>
            <w:r>
              <w:rPr>
                <w:b/>
                <w:bCs/>
                <w:spacing w:val="-3"/>
              </w:rPr>
              <w:t>2.《超限运输车辆行驶公路管理规定》（交</w:t>
            </w:r>
            <w:r>
              <w:rPr>
                <w:b/>
                <w:bCs/>
                <w:spacing w:val="-4"/>
              </w:rPr>
              <w:t>通运输部令2021年第12号）</w:t>
            </w:r>
          </w:p>
          <w:p w14:paraId="77AF2590">
            <w:pPr>
              <w:pStyle w:val="8"/>
              <w:spacing w:before="27" w:line="233" w:lineRule="auto"/>
              <w:ind w:left="120" w:right="109" w:firstLine="346"/>
            </w:pPr>
            <w:r>
              <w:rPr>
                <w:spacing w:val="-1"/>
              </w:rPr>
              <w:t>第四十九条  违反本规定，指使、强令车辆驾驶人超限运输货物的，由道路运输管理机构</w:t>
            </w:r>
            <w:r>
              <w:rPr>
                <w:spacing w:val="-2"/>
              </w:rPr>
              <w:t>责令改正，处</w:t>
            </w:r>
            <w:r>
              <w:t xml:space="preserve"> </w:t>
            </w:r>
            <w:r>
              <w:rPr>
                <w:spacing w:val="-3"/>
              </w:rPr>
              <w:t>30000元以下罚款。</w:t>
            </w:r>
          </w:p>
          <w:p w14:paraId="1C163D5D">
            <w:pPr>
              <w:pStyle w:val="8"/>
              <w:spacing w:before="25" w:line="219" w:lineRule="auto"/>
              <w:ind w:left="470"/>
            </w:pPr>
            <w:r>
              <w:rPr>
                <w:b/>
                <w:bCs/>
                <w:spacing w:val="-4"/>
              </w:rPr>
              <w:t>3.《湖南省治理货物运输车辆超限超载条例》</w:t>
            </w:r>
          </w:p>
          <w:p w14:paraId="4C2D0ED0">
            <w:pPr>
              <w:pStyle w:val="8"/>
              <w:spacing w:before="26" w:line="219" w:lineRule="auto"/>
              <w:ind w:left="466"/>
            </w:pPr>
            <w:r>
              <w:rPr>
                <w:spacing w:val="-2"/>
              </w:rPr>
              <w:t>第十三条第二款  任何单位和个人不得指使、强令货运车辆驾驶人违法超限超载</w:t>
            </w:r>
            <w:r>
              <w:rPr>
                <w:spacing w:val="-3"/>
              </w:rPr>
              <w:t>运输。</w:t>
            </w:r>
          </w:p>
          <w:p w14:paraId="357F4B1C">
            <w:pPr>
              <w:pStyle w:val="8"/>
              <w:spacing w:before="27" w:line="233" w:lineRule="auto"/>
              <w:ind w:left="122" w:right="107" w:firstLine="344"/>
            </w:pPr>
            <w:r>
              <w:rPr>
                <w:spacing w:val="-1"/>
              </w:rPr>
              <w:t>第三十条  违反本条例第十三条规定的，由县级以上人民政府交通运输主管部门责令限期改正；</w:t>
            </w:r>
            <w:r>
              <w:rPr>
                <w:spacing w:val="-2"/>
              </w:rPr>
              <w:t>逾期不</w:t>
            </w:r>
            <w:r>
              <w:t xml:space="preserve"> </w:t>
            </w:r>
            <w:r>
              <w:rPr>
                <w:spacing w:val="-3"/>
              </w:rPr>
              <w:t>改正的，处一万元以上三万元以下罚款。</w:t>
            </w:r>
          </w:p>
        </w:tc>
        <w:tc>
          <w:tcPr>
            <w:tcW w:w="1022" w:type="dxa"/>
            <w:vAlign w:val="top"/>
          </w:tcPr>
          <w:p w14:paraId="4BC5397D">
            <w:pPr>
              <w:spacing w:line="318" w:lineRule="auto"/>
              <w:rPr>
                <w:rFonts w:ascii="Arial"/>
                <w:sz w:val="21"/>
              </w:rPr>
            </w:pPr>
          </w:p>
          <w:p w14:paraId="2B91E1A8">
            <w:pPr>
              <w:spacing w:line="318" w:lineRule="auto"/>
              <w:rPr>
                <w:rFonts w:ascii="Arial"/>
                <w:sz w:val="21"/>
              </w:rPr>
            </w:pPr>
          </w:p>
          <w:p w14:paraId="79C44A08">
            <w:pPr>
              <w:spacing w:line="318" w:lineRule="auto"/>
              <w:rPr>
                <w:rFonts w:ascii="Arial"/>
                <w:sz w:val="21"/>
              </w:rPr>
            </w:pPr>
          </w:p>
          <w:p w14:paraId="015350EB">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632B21B0">
            <w:pPr>
              <w:spacing w:line="268" w:lineRule="auto"/>
              <w:rPr>
                <w:rFonts w:ascii="Arial"/>
                <w:sz w:val="21"/>
              </w:rPr>
            </w:pPr>
          </w:p>
          <w:p w14:paraId="441BEDD6">
            <w:pPr>
              <w:spacing w:line="268" w:lineRule="auto"/>
              <w:rPr>
                <w:rFonts w:ascii="Arial"/>
                <w:sz w:val="21"/>
              </w:rPr>
            </w:pPr>
          </w:p>
          <w:p w14:paraId="5DAD3AAE">
            <w:pPr>
              <w:spacing w:line="268" w:lineRule="auto"/>
              <w:rPr>
                <w:rFonts w:ascii="Arial"/>
                <w:sz w:val="21"/>
              </w:rPr>
            </w:pPr>
          </w:p>
          <w:p w14:paraId="175B6042">
            <w:pPr>
              <w:spacing w:line="269" w:lineRule="auto"/>
              <w:rPr>
                <w:rFonts w:ascii="Arial"/>
                <w:sz w:val="21"/>
              </w:rPr>
            </w:pPr>
          </w:p>
          <w:p w14:paraId="1234A4CF">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3FFCA9ED">
            <w:pPr>
              <w:spacing w:line="276" w:lineRule="auto"/>
              <w:rPr>
                <w:rFonts w:ascii="Arial"/>
                <w:sz w:val="21"/>
              </w:rPr>
            </w:pPr>
          </w:p>
          <w:p w14:paraId="208526F6">
            <w:pPr>
              <w:spacing w:line="277" w:lineRule="auto"/>
              <w:rPr>
                <w:rFonts w:ascii="Arial"/>
                <w:sz w:val="21"/>
              </w:rPr>
            </w:pPr>
          </w:p>
          <w:p w14:paraId="2C0B5060">
            <w:pPr>
              <w:spacing w:line="277" w:lineRule="auto"/>
              <w:rPr>
                <w:rFonts w:ascii="Arial"/>
                <w:sz w:val="21"/>
              </w:rPr>
            </w:pPr>
          </w:p>
          <w:p w14:paraId="1668B1FD">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r w14:paraId="560AB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2" w:hRule="atLeast"/>
        </w:trPr>
        <w:tc>
          <w:tcPr>
            <w:tcW w:w="629" w:type="dxa"/>
            <w:vAlign w:val="top"/>
          </w:tcPr>
          <w:p w14:paraId="02CF6667">
            <w:pPr>
              <w:spacing w:line="245" w:lineRule="auto"/>
              <w:rPr>
                <w:rFonts w:ascii="Arial"/>
                <w:sz w:val="21"/>
              </w:rPr>
            </w:pPr>
          </w:p>
          <w:p w14:paraId="14B3FB84">
            <w:pPr>
              <w:spacing w:line="245" w:lineRule="auto"/>
              <w:rPr>
                <w:rFonts w:ascii="Arial"/>
                <w:sz w:val="21"/>
              </w:rPr>
            </w:pPr>
          </w:p>
          <w:p w14:paraId="05DFA0E4">
            <w:pPr>
              <w:spacing w:line="245" w:lineRule="auto"/>
              <w:rPr>
                <w:rFonts w:ascii="Arial"/>
                <w:sz w:val="21"/>
              </w:rPr>
            </w:pPr>
          </w:p>
          <w:p w14:paraId="2D20CFD0">
            <w:pPr>
              <w:pStyle w:val="8"/>
              <w:spacing w:before="58" w:line="184" w:lineRule="auto"/>
              <w:ind w:left="235"/>
            </w:pPr>
            <w:r>
              <w:rPr>
                <w:spacing w:val="-5"/>
              </w:rPr>
              <w:t>21</w:t>
            </w:r>
          </w:p>
        </w:tc>
        <w:tc>
          <w:tcPr>
            <w:tcW w:w="1113" w:type="dxa"/>
            <w:vAlign w:val="top"/>
          </w:tcPr>
          <w:p w14:paraId="550F6CA8">
            <w:pPr>
              <w:pStyle w:val="8"/>
              <w:spacing w:before="33" w:line="243" w:lineRule="auto"/>
              <w:ind w:left="94" w:right="90"/>
              <w:jc w:val="both"/>
            </w:pPr>
            <w:r>
              <w:rPr>
                <w:spacing w:val="4"/>
              </w:rPr>
              <w:t>对公路养护</w:t>
            </w:r>
            <w:r>
              <w:rPr>
                <w:spacing w:val="1"/>
              </w:rPr>
              <w:t xml:space="preserve"> </w:t>
            </w:r>
            <w:r>
              <w:rPr>
                <w:spacing w:val="4"/>
              </w:rPr>
              <w:t>作业单位未</w:t>
            </w:r>
            <w:r>
              <w:rPr>
                <w:spacing w:val="2"/>
              </w:rPr>
              <w:t xml:space="preserve"> </w:t>
            </w:r>
            <w:r>
              <w:rPr>
                <w:spacing w:val="4"/>
              </w:rPr>
              <w:t>按技术规范</w:t>
            </w:r>
            <w:r>
              <w:rPr>
                <w:spacing w:val="2"/>
              </w:rPr>
              <w:t xml:space="preserve"> </w:t>
            </w:r>
            <w:r>
              <w:rPr>
                <w:spacing w:val="4"/>
              </w:rPr>
              <w:t>和操作规程</w:t>
            </w:r>
            <w:r>
              <w:rPr>
                <w:spacing w:val="2"/>
              </w:rPr>
              <w:t xml:space="preserve"> </w:t>
            </w:r>
            <w:r>
              <w:rPr>
                <w:spacing w:val="4"/>
              </w:rPr>
              <w:t>进行公路养</w:t>
            </w:r>
            <w:r>
              <w:rPr>
                <w:spacing w:val="2"/>
              </w:rPr>
              <w:t xml:space="preserve"> </w:t>
            </w:r>
            <w:r>
              <w:rPr>
                <w:spacing w:val="4"/>
              </w:rPr>
              <w:t>护作业行为</w:t>
            </w:r>
            <w:r>
              <w:rPr>
                <w:spacing w:val="2"/>
              </w:rPr>
              <w:t xml:space="preserve"> </w:t>
            </w:r>
            <w:r>
              <w:rPr>
                <w:spacing w:val="-3"/>
              </w:rPr>
              <w:t>的行政处罚</w:t>
            </w:r>
          </w:p>
        </w:tc>
        <w:tc>
          <w:tcPr>
            <w:tcW w:w="1113" w:type="dxa"/>
            <w:vAlign w:val="top"/>
          </w:tcPr>
          <w:p w14:paraId="27B17448">
            <w:pPr>
              <w:spacing w:line="348" w:lineRule="auto"/>
              <w:rPr>
                <w:rFonts w:ascii="Arial"/>
                <w:sz w:val="21"/>
              </w:rPr>
            </w:pPr>
          </w:p>
          <w:p w14:paraId="48C9AAAA">
            <w:pPr>
              <w:spacing w:line="348" w:lineRule="auto"/>
              <w:rPr>
                <w:rFonts w:ascii="Arial"/>
                <w:sz w:val="21"/>
              </w:rPr>
            </w:pPr>
          </w:p>
          <w:p w14:paraId="786DA186">
            <w:pPr>
              <w:pStyle w:val="8"/>
              <w:spacing w:before="58" w:line="220" w:lineRule="auto"/>
              <w:ind w:left="10"/>
            </w:pPr>
            <w:r>
              <w:rPr>
                <w:spacing w:val="-2"/>
              </w:rPr>
              <w:t>行政处罚</w:t>
            </w:r>
          </w:p>
        </w:tc>
        <w:tc>
          <w:tcPr>
            <w:tcW w:w="8631" w:type="dxa"/>
            <w:vAlign w:val="top"/>
          </w:tcPr>
          <w:p w14:paraId="3DD90EC9">
            <w:pPr>
              <w:pStyle w:val="8"/>
              <w:spacing w:before="291" w:line="219" w:lineRule="auto"/>
              <w:ind w:left="472"/>
            </w:pPr>
            <w:r>
              <w:rPr>
                <w:b/>
                <w:bCs/>
                <w:spacing w:val="-5"/>
              </w:rPr>
              <w:t>《公路安全保护条例》</w:t>
            </w:r>
          </w:p>
          <w:p w14:paraId="20760BCC">
            <w:pPr>
              <w:pStyle w:val="8"/>
              <w:spacing w:before="26" w:line="219" w:lineRule="auto"/>
              <w:ind w:left="466"/>
            </w:pPr>
            <w:r>
              <w:rPr>
                <w:spacing w:val="-2"/>
              </w:rPr>
              <w:t>第四十五条  公路养护应当按照国务院交通运输主管部门规定的技术规范和操作规程实施作</w:t>
            </w:r>
            <w:r>
              <w:rPr>
                <w:spacing w:val="-3"/>
              </w:rPr>
              <w:t>业。</w:t>
            </w:r>
          </w:p>
          <w:p w14:paraId="0DC5B6CB">
            <w:pPr>
              <w:pStyle w:val="8"/>
              <w:spacing w:before="26" w:line="237" w:lineRule="auto"/>
              <w:ind w:left="117" w:right="152" w:firstLine="349"/>
            </w:pPr>
            <w:r>
              <w:rPr>
                <w:spacing w:val="-2"/>
              </w:rPr>
              <w:t>第七十条  违反本条例的规定，公路养护作业单位未按照国务院交通运输主管部门规</w:t>
            </w:r>
            <w:r>
              <w:rPr>
                <w:spacing w:val="-3"/>
              </w:rPr>
              <w:t>定的技术规范和操</w:t>
            </w:r>
            <w:r>
              <w:t xml:space="preserve"> </w:t>
            </w:r>
            <w:r>
              <w:rPr>
                <w:spacing w:val="-2"/>
              </w:rPr>
              <w:t>作规程进行公路养护作业的，由公路管理机构责令改正，处1万元以上5万元以下的罚款</w:t>
            </w:r>
            <w:r>
              <w:rPr>
                <w:spacing w:val="-3"/>
              </w:rPr>
              <w:t>；拒不改正的，吊销</w:t>
            </w:r>
            <w:r>
              <w:t xml:space="preserve"> </w:t>
            </w:r>
            <w:r>
              <w:rPr>
                <w:spacing w:val="-3"/>
              </w:rPr>
              <w:t>其资质证书。</w:t>
            </w:r>
          </w:p>
        </w:tc>
        <w:tc>
          <w:tcPr>
            <w:tcW w:w="1022" w:type="dxa"/>
            <w:vAlign w:val="top"/>
          </w:tcPr>
          <w:p w14:paraId="55791257">
            <w:pPr>
              <w:spacing w:line="287" w:lineRule="auto"/>
              <w:rPr>
                <w:rFonts w:ascii="Arial"/>
                <w:sz w:val="21"/>
              </w:rPr>
            </w:pPr>
          </w:p>
          <w:p w14:paraId="74E7070F">
            <w:pPr>
              <w:spacing w:line="288" w:lineRule="auto"/>
              <w:rPr>
                <w:rFonts w:ascii="Arial"/>
                <w:sz w:val="21"/>
              </w:rPr>
            </w:pPr>
          </w:p>
          <w:p w14:paraId="631CC14B">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0CD64A4B">
            <w:pPr>
              <w:spacing w:line="348" w:lineRule="auto"/>
              <w:rPr>
                <w:rFonts w:ascii="Arial"/>
                <w:sz w:val="21"/>
              </w:rPr>
            </w:pPr>
          </w:p>
          <w:p w14:paraId="3C529B66">
            <w:pPr>
              <w:spacing w:line="348" w:lineRule="auto"/>
              <w:rPr>
                <w:rFonts w:ascii="Arial"/>
                <w:sz w:val="21"/>
              </w:rPr>
            </w:pPr>
          </w:p>
          <w:p w14:paraId="067DFF9E">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28BD5D85">
            <w:pPr>
              <w:spacing w:line="453" w:lineRule="auto"/>
              <w:rPr>
                <w:rFonts w:ascii="Arial"/>
                <w:sz w:val="21"/>
              </w:rPr>
            </w:pPr>
          </w:p>
          <w:p w14:paraId="0D7F5DBE">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bl>
    <w:p w14:paraId="0FE0718E">
      <w:pPr>
        <w:pStyle w:val="2"/>
      </w:pPr>
    </w:p>
    <w:p w14:paraId="20B732A6">
      <w:pPr>
        <w:sectPr>
          <w:footerReference r:id="rId69" w:type="default"/>
          <w:pgSz w:w="16840" w:h="11910"/>
          <w:pgMar w:top="1012" w:right="940" w:bottom="965" w:left="940" w:header="0" w:footer="768" w:gutter="0"/>
          <w:cols w:space="720" w:num="1"/>
        </w:sectPr>
      </w:pPr>
    </w:p>
    <w:p w14:paraId="45A21ED6">
      <w:pPr>
        <w:spacing w:line="121" w:lineRule="exact"/>
      </w:pPr>
    </w:p>
    <w:p w14:paraId="37B09413">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7AA21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9" w:type="dxa"/>
            <w:vMerge w:val="restart"/>
            <w:tcBorders>
              <w:bottom w:val="nil"/>
            </w:tcBorders>
            <w:vAlign w:val="top"/>
          </w:tcPr>
          <w:p w14:paraId="27285873">
            <w:pPr>
              <w:pStyle w:val="8"/>
              <w:spacing w:before="259" w:line="221" w:lineRule="auto"/>
              <w:ind w:left="148"/>
            </w:pPr>
            <w:r>
              <w:rPr>
                <w:b/>
                <w:bCs/>
                <w:spacing w:val="-6"/>
              </w:rPr>
              <w:t>序号</w:t>
            </w:r>
          </w:p>
        </w:tc>
        <w:tc>
          <w:tcPr>
            <w:tcW w:w="1113" w:type="dxa"/>
            <w:vMerge w:val="restart"/>
            <w:tcBorders>
              <w:bottom w:val="nil"/>
            </w:tcBorders>
            <w:vAlign w:val="top"/>
          </w:tcPr>
          <w:p w14:paraId="52651BBD">
            <w:pPr>
              <w:pStyle w:val="8"/>
              <w:spacing w:before="260" w:line="220" w:lineRule="auto"/>
              <w:ind w:left="201"/>
            </w:pPr>
            <w:r>
              <w:rPr>
                <w:b/>
                <w:bCs/>
                <w:spacing w:val="-5"/>
              </w:rPr>
              <w:t>事项名称</w:t>
            </w:r>
          </w:p>
        </w:tc>
        <w:tc>
          <w:tcPr>
            <w:tcW w:w="1113" w:type="dxa"/>
            <w:vMerge w:val="restart"/>
            <w:tcBorders>
              <w:bottom w:val="nil"/>
            </w:tcBorders>
            <w:vAlign w:val="top"/>
          </w:tcPr>
          <w:p w14:paraId="29602C80">
            <w:pPr>
              <w:pStyle w:val="8"/>
              <w:spacing w:before="260" w:line="219" w:lineRule="auto"/>
              <w:ind w:left="202"/>
            </w:pPr>
            <w:r>
              <w:rPr>
                <w:b/>
                <w:bCs/>
                <w:spacing w:val="-5"/>
              </w:rPr>
              <w:t>职权类型</w:t>
            </w:r>
          </w:p>
        </w:tc>
        <w:tc>
          <w:tcPr>
            <w:tcW w:w="8631" w:type="dxa"/>
            <w:vMerge w:val="restart"/>
            <w:tcBorders>
              <w:bottom w:val="nil"/>
            </w:tcBorders>
            <w:vAlign w:val="top"/>
          </w:tcPr>
          <w:p w14:paraId="090BCFA0">
            <w:pPr>
              <w:pStyle w:val="8"/>
              <w:spacing w:before="259" w:line="219" w:lineRule="auto"/>
              <w:ind w:left="3970"/>
            </w:pPr>
            <w:r>
              <w:rPr>
                <w:b/>
                <w:bCs/>
                <w:spacing w:val="-6"/>
              </w:rPr>
              <w:t>实施依据</w:t>
            </w:r>
          </w:p>
        </w:tc>
        <w:tc>
          <w:tcPr>
            <w:tcW w:w="3468" w:type="dxa"/>
            <w:gridSpan w:val="3"/>
            <w:vAlign w:val="top"/>
          </w:tcPr>
          <w:p w14:paraId="5C3D16EC">
            <w:pPr>
              <w:pStyle w:val="8"/>
              <w:spacing w:before="82" w:line="220" w:lineRule="auto"/>
              <w:ind w:left="1389"/>
            </w:pPr>
            <w:r>
              <w:rPr>
                <w:b/>
                <w:bCs/>
                <w:spacing w:val="-6"/>
              </w:rPr>
              <w:t>实施主体</w:t>
            </w:r>
          </w:p>
        </w:tc>
      </w:tr>
      <w:tr w14:paraId="2A857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1FC953D1">
            <w:pPr>
              <w:rPr>
                <w:rFonts w:ascii="Arial"/>
                <w:sz w:val="21"/>
              </w:rPr>
            </w:pPr>
          </w:p>
        </w:tc>
        <w:tc>
          <w:tcPr>
            <w:tcW w:w="1113" w:type="dxa"/>
            <w:vMerge w:val="continue"/>
            <w:tcBorders>
              <w:top w:val="nil"/>
            </w:tcBorders>
            <w:vAlign w:val="top"/>
          </w:tcPr>
          <w:p w14:paraId="1751575F">
            <w:pPr>
              <w:rPr>
                <w:rFonts w:ascii="Arial"/>
                <w:sz w:val="21"/>
              </w:rPr>
            </w:pPr>
          </w:p>
        </w:tc>
        <w:tc>
          <w:tcPr>
            <w:tcW w:w="1113" w:type="dxa"/>
            <w:vMerge w:val="continue"/>
            <w:tcBorders>
              <w:top w:val="nil"/>
            </w:tcBorders>
            <w:vAlign w:val="top"/>
          </w:tcPr>
          <w:p w14:paraId="420FBC13">
            <w:pPr>
              <w:rPr>
                <w:rFonts w:ascii="Arial"/>
                <w:sz w:val="21"/>
              </w:rPr>
            </w:pPr>
          </w:p>
        </w:tc>
        <w:tc>
          <w:tcPr>
            <w:tcW w:w="8631" w:type="dxa"/>
            <w:vMerge w:val="continue"/>
            <w:tcBorders>
              <w:top w:val="nil"/>
            </w:tcBorders>
            <w:vAlign w:val="top"/>
          </w:tcPr>
          <w:p w14:paraId="131A4FD4">
            <w:pPr>
              <w:rPr>
                <w:rFonts w:ascii="Arial"/>
                <w:sz w:val="21"/>
              </w:rPr>
            </w:pPr>
          </w:p>
        </w:tc>
        <w:tc>
          <w:tcPr>
            <w:tcW w:w="1022" w:type="dxa"/>
            <w:vAlign w:val="top"/>
          </w:tcPr>
          <w:p w14:paraId="41E09FED">
            <w:pPr>
              <w:pStyle w:val="8"/>
              <w:spacing w:before="83" w:line="219" w:lineRule="auto"/>
              <w:ind w:left="170"/>
            </w:pPr>
            <w:r>
              <w:rPr>
                <w:b/>
                <w:bCs/>
                <w:spacing w:val="-6"/>
              </w:rPr>
              <w:t>责任部门</w:t>
            </w:r>
          </w:p>
        </w:tc>
        <w:tc>
          <w:tcPr>
            <w:tcW w:w="1419" w:type="dxa"/>
            <w:vAlign w:val="top"/>
          </w:tcPr>
          <w:p w14:paraId="6D5DB5D1">
            <w:pPr>
              <w:pStyle w:val="8"/>
              <w:spacing w:before="83" w:line="219" w:lineRule="auto"/>
              <w:ind w:left="183"/>
            </w:pPr>
            <w:r>
              <w:rPr>
                <w:b/>
                <w:bCs/>
                <w:spacing w:val="-4"/>
              </w:rPr>
              <w:t>第一责任层级</w:t>
            </w:r>
          </w:p>
        </w:tc>
        <w:tc>
          <w:tcPr>
            <w:tcW w:w="1027" w:type="dxa"/>
            <w:vAlign w:val="top"/>
          </w:tcPr>
          <w:p w14:paraId="6DD7804E">
            <w:pPr>
              <w:pStyle w:val="8"/>
              <w:spacing w:before="82" w:line="219" w:lineRule="auto"/>
              <w:ind w:left="161"/>
            </w:pPr>
            <w:r>
              <w:rPr>
                <w:b/>
                <w:bCs/>
                <w:spacing w:val="-5"/>
              </w:rPr>
              <w:t>承办机构</w:t>
            </w:r>
          </w:p>
        </w:tc>
      </w:tr>
      <w:tr w14:paraId="399C9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8" w:hRule="atLeast"/>
        </w:trPr>
        <w:tc>
          <w:tcPr>
            <w:tcW w:w="629" w:type="dxa"/>
            <w:vAlign w:val="top"/>
          </w:tcPr>
          <w:p w14:paraId="181CE3FB">
            <w:pPr>
              <w:rPr>
                <w:rFonts w:ascii="Arial"/>
                <w:sz w:val="21"/>
              </w:rPr>
            </w:pPr>
          </w:p>
        </w:tc>
        <w:tc>
          <w:tcPr>
            <w:tcW w:w="1113" w:type="dxa"/>
            <w:vAlign w:val="top"/>
          </w:tcPr>
          <w:p w14:paraId="2EDE6ECF">
            <w:pPr>
              <w:rPr>
                <w:rFonts w:ascii="Arial"/>
                <w:sz w:val="21"/>
              </w:rPr>
            </w:pPr>
          </w:p>
        </w:tc>
        <w:tc>
          <w:tcPr>
            <w:tcW w:w="1113" w:type="dxa"/>
            <w:vAlign w:val="top"/>
          </w:tcPr>
          <w:p w14:paraId="60E6EDCA">
            <w:pPr>
              <w:rPr>
                <w:rFonts w:ascii="Arial"/>
                <w:sz w:val="21"/>
              </w:rPr>
            </w:pPr>
          </w:p>
        </w:tc>
        <w:tc>
          <w:tcPr>
            <w:tcW w:w="8631" w:type="dxa"/>
            <w:vAlign w:val="top"/>
          </w:tcPr>
          <w:p w14:paraId="2EC10875">
            <w:pPr>
              <w:pStyle w:val="8"/>
              <w:spacing w:before="37" w:line="233" w:lineRule="auto"/>
              <w:ind w:left="116" w:right="107"/>
            </w:pPr>
            <w:r>
              <w:rPr>
                <w:spacing w:val="-1"/>
              </w:rPr>
              <w:t>运输主管部门规定的技术规范和操作规程编制高速公路中长期养护计划和年度养</w:t>
            </w:r>
            <w:r>
              <w:rPr>
                <w:spacing w:val="-2"/>
              </w:rPr>
              <w:t>护计划，报省人民政府交通</w:t>
            </w:r>
            <w:r>
              <w:t xml:space="preserve"> </w:t>
            </w:r>
            <w:r>
              <w:rPr>
                <w:spacing w:val="-3"/>
              </w:rPr>
              <w:t>运输主管部门备案。</w:t>
            </w:r>
          </w:p>
          <w:p w14:paraId="5BCA6737">
            <w:pPr>
              <w:pStyle w:val="8"/>
              <w:spacing w:before="24" w:line="233" w:lineRule="auto"/>
              <w:ind w:left="117" w:right="154" w:firstLine="354"/>
            </w:pPr>
            <w:r>
              <w:rPr>
                <w:spacing w:val="-2"/>
              </w:rPr>
              <w:t>高速公路经营管理者应当科学调度、统筹安排，确定合理的施工时间和工期</w:t>
            </w:r>
            <w:r>
              <w:rPr>
                <w:spacing w:val="-3"/>
              </w:rPr>
              <w:t>，减少对车辆运行的影响，</w:t>
            </w:r>
            <w:r>
              <w:t xml:space="preserve"> </w:t>
            </w:r>
            <w:r>
              <w:rPr>
                <w:spacing w:val="-3"/>
              </w:rPr>
              <w:t>保证高速公路及其附属设施处于良好的技术状态。</w:t>
            </w:r>
          </w:p>
          <w:p w14:paraId="19A1E020">
            <w:pPr>
              <w:pStyle w:val="8"/>
              <w:spacing w:before="27" w:line="237" w:lineRule="auto"/>
              <w:ind w:left="117" w:right="107" w:firstLine="349"/>
              <w:jc w:val="both"/>
            </w:pPr>
            <w:r>
              <w:rPr>
                <w:spacing w:val="-1"/>
              </w:rPr>
              <w:t>第五十条  违反本条例第十八条规定，高速公路经营管理者未按照国务院交通运输主管部门规定</w:t>
            </w:r>
            <w:r>
              <w:rPr>
                <w:spacing w:val="-2"/>
              </w:rPr>
              <w:t>的技术</w:t>
            </w:r>
            <w:r>
              <w:t xml:space="preserve"> </w:t>
            </w:r>
            <w:r>
              <w:rPr>
                <w:spacing w:val="-1"/>
              </w:rPr>
              <w:t>规范和操作规程进行养护的，由省高速公路管理机构责令限期改正；拒不改正</w:t>
            </w:r>
            <w:r>
              <w:rPr>
                <w:spacing w:val="-2"/>
              </w:rPr>
              <w:t>的，由省高速公路管理机构指</w:t>
            </w:r>
            <w:r>
              <w:t xml:space="preserve"> </w:t>
            </w:r>
            <w:r>
              <w:rPr>
                <w:spacing w:val="-3"/>
              </w:rPr>
              <w:t>定其他具有相应资质的单位进行养护，养护费用由原高速公路经营管理者承担。</w:t>
            </w:r>
          </w:p>
        </w:tc>
        <w:tc>
          <w:tcPr>
            <w:tcW w:w="1022" w:type="dxa"/>
            <w:vAlign w:val="top"/>
          </w:tcPr>
          <w:p w14:paraId="608EBBBB">
            <w:pPr>
              <w:rPr>
                <w:rFonts w:ascii="Arial"/>
                <w:sz w:val="21"/>
              </w:rPr>
            </w:pPr>
          </w:p>
        </w:tc>
        <w:tc>
          <w:tcPr>
            <w:tcW w:w="1419" w:type="dxa"/>
            <w:vAlign w:val="top"/>
          </w:tcPr>
          <w:p w14:paraId="3CACEEDE">
            <w:pPr>
              <w:rPr>
                <w:rFonts w:ascii="Arial"/>
                <w:sz w:val="21"/>
              </w:rPr>
            </w:pPr>
          </w:p>
        </w:tc>
        <w:tc>
          <w:tcPr>
            <w:tcW w:w="1027" w:type="dxa"/>
            <w:vAlign w:val="top"/>
          </w:tcPr>
          <w:p w14:paraId="021AD74B">
            <w:pPr>
              <w:rPr>
                <w:rFonts w:ascii="Arial"/>
                <w:sz w:val="21"/>
              </w:rPr>
            </w:pPr>
          </w:p>
        </w:tc>
      </w:tr>
      <w:tr w14:paraId="457B2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3" w:hRule="atLeast"/>
        </w:trPr>
        <w:tc>
          <w:tcPr>
            <w:tcW w:w="629" w:type="dxa"/>
            <w:vAlign w:val="top"/>
          </w:tcPr>
          <w:p w14:paraId="340F09C7">
            <w:pPr>
              <w:rPr>
                <w:rFonts w:ascii="Arial"/>
                <w:sz w:val="21"/>
              </w:rPr>
            </w:pPr>
          </w:p>
          <w:p w14:paraId="31A41159">
            <w:pPr>
              <w:rPr>
                <w:rFonts w:ascii="Arial"/>
                <w:sz w:val="21"/>
              </w:rPr>
            </w:pPr>
          </w:p>
          <w:p w14:paraId="28066C95">
            <w:pPr>
              <w:spacing w:line="241" w:lineRule="auto"/>
              <w:rPr>
                <w:rFonts w:ascii="Arial"/>
                <w:sz w:val="21"/>
              </w:rPr>
            </w:pPr>
          </w:p>
          <w:p w14:paraId="23CDFD8C">
            <w:pPr>
              <w:spacing w:line="241" w:lineRule="auto"/>
              <w:rPr>
                <w:rFonts w:ascii="Arial"/>
                <w:sz w:val="21"/>
              </w:rPr>
            </w:pPr>
          </w:p>
          <w:p w14:paraId="2D7F12BD">
            <w:pPr>
              <w:spacing w:line="241" w:lineRule="auto"/>
              <w:rPr>
                <w:rFonts w:ascii="Arial"/>
                <w:sz w:val="21"/>
              </w:rPr>
            </w:pPr>
          </w:p>
          <w:p w14:paraId="30FC9CD1">
            <w:pPr>
              <w:pStyle w:val="8"/>
              <w:spacing w:before="59" w:line="183" w:lineRule="auto"/>
              <w:ind w:left="235"/>
              <w:rPr>
                <w:rFonts w:hint="eastAsia" w:eastAsia="宋体"/>
                <w:lang w:eastAsia="zh-CN"/>
              </w:rPr>
            </w:pPr>
            <w:r>
              <w:rPr>
                <w:spacing w:val="-5"/>
              </w:rPr>
              <w:t>2</w:t>
            </w:r>
            <w:r>
              <w:rPr>
                <w:rFonts w:hint="eastAsia"/>
                <w:spacing w:val="-5"/>
                <w:lang w:val="en-US" w:eastAsia="zh-CN"/>
              </w:rPr>
              <w:t>2</w:t>
            </w:r>
          </w:p>
        </w:tc>
        <w:tc>
          <w:tcPr>
            <w:tcW w:w="1113" w:type="dxa"/>
            <w:vAlign w:val="top"/>
          </w:tcPr>
          <w:p w14:paraId="6BBD13E0">
            <w:pPr>
              <w:spacing w:line="402" w:lineRule="auto"/>
              <w:rPr>
                <w:rFonts w:ascii="Arial"/>
                <w:sz w:val="21"/>
              </w:rPr>
            </w:pPr>
          </w:p>
          <w:p w14:paraId="542CC6C9">
            <w:pPr>
              <w:pStyle w:val="8"/>
              <w:spacing w:before="59" w:line="225" w:lineRule="auto"/>
              <w:ind w:left="96" w:right="90" w:hanging="1"/>
              <w:jc w:val="both"/>
            </w:pPr>
            <w:r>
              <w:rPr>
                <w:spacing w:val="4"/>
              </w:rPr>
              <w:t>对货运源头</w:t>
            </w:r>
            <w:r>
              <w:rPr>
                <w:spacing w:val="1"/>
              </w:rPr>
              <w:t xml:space="preserve"> </w:t>
            </w:r>
            <w:r>
              <w:rPr>
                <w:spacing w:val="4"/>
              </w:rPr>
              <w:t>单位未按照</w:t>
            </w:r>
            <w:r>
              <w:t xml:space="preserve"> </w:t>
            </w:r>
            <w:r>
              <w:rPr>
                <w:spacing w:val="4"/>
              </w:rPr>
              <w:t>规定安装符</w:t>
            </w:r>
            <w:r>
              <w:t xml:space="preserve"> </w:t>
            </w:r>
            <w:r>
              <w:rPr>
                <w:spacing w:val="4"/>
              </w:rPr>
              <w:t>合国家标准</w:t>
            </w:r>
            <w:r>
              <w:t xml:space="preserve"> </w:t>
            </w:r>
            <w:r>
              <w:rPr>
                <w:spacing w:val="4"/>
              </w:rPr>
              <w:t>的称重设备</w:t>
            </w:r>
            <w:r>
              <w:t xml:space="preserve"> </w:t>
            </w:r>
            <w:r>
              <w:rPr>
                <w:spacing w:val="4"/>
              </w:rPr>
              <w:t>并确保计量</w:t>
            </w:r>
            <w:r>
              <w:t xml:space="preserve"> </w:t>
            </w:r>
            <w:r>
              <w:rPr>
                <w:spacing w:val="4"/>
              </w:rPr>
              <w:t>准确等行为</w:t>
            </w:r>
            <w:r>
              <w:t xml:space="preserve"> </w:t>
            </w:r>
            <w:r>
              <w:rPr>
                <w:spacing w:val="-3"/>
              </w:rPr>
              <w:t>的行政处罚</w:t>
            </w:r>
          </w:p>
        </w:tc>
        <w:tc>
          <w:tcPr>
            <w:tcW w:w="1113" w:type="dxa"/>
            <w:vAlign w:val="top"/>
          </w:tcPr>
          <w:p w14:paraId="71B6ABC5">
            <w:pPr>
              <w:spacing w:line="292" w:lineRule="auto"/>
              <w:rPr>
                <w:rFonts w:ascii="Arial"/>
                <w:sz w:val="21"/>
              </w:rPr>
            </w:pPr>
          </w:p>
          <w:p w14:paraId="1BF861E2">
            <w:pPr>
              <w:spacing w:line="292" w:lineRule="auto"/>
              <w:rPr>
                <w:rFonts w:ascii="Arial"/>
                <w:sz w:val="21"/>
              </w:rPr>
            </w:pPr>
          </w:p>
          <w:p w14:paraId="73E40496">
            <w:pPr>
              <w:spacing w:line="293" w:lineRule="auto"/>
              <w:rPr>
                <w:rFonts w:ascii="Arial"/>
                <w:sz w:val="21"/>
              </w:rPr>
            </w:pPr>
          </w:p>
          <w:p w14:paraId="406F5EB1">
            <w:pPr>
              <w:spacing w:line="293" w:lineRule="auto"/>
              <w:rPr>
                <w:rFonts w:ascii="Arial"/>
                <w:sz w:val="21"/>
              </w:rPr>
            </w:pPr>
          </w:p>
          <w:p w14:paraId="0C5469B7">
            <w:pPr>
              <w:pStyle w:val="8"/>
              <w:spacing w:before="59" w:line="220" w:lineRule="auto"/>
              <w:ind w:left="10"/>
            </w:pPr>
            <w:r>
              <w:rPr>
                <w:spacing w:val="-2"/>
              </w:rPr>
              <w:t>行政处罚</w:t>
            </w:r>
          </w:p>
        </w:tc>
        <w:tc>
          <w:tcPr>
            <w:tcW w:w="8631" w:type="dxa"/>
            <w:vAlign w:val="top"/>
          </w:tcPr>
          <w:p w14:paraId="2BCB255B">
            <w:pPr>
              <w:pStyle w:val="8"/>
              <w:spacing w:before="40" w:line="219" w:lineRule="auto"/>
              <w:ind w:left="472"/>
            </w:pPr>
            <w:r>
              <w:rPr>
                <w:b/>
                <w:bCs/>
                <w:spacing w:val="-4"/>
              </w:rPr>
              <w:t>《湖南省治理货物运输车辆超限超载条例》</w:t>
            </w:r>
          </w:p>
          <w:p w14:paraId="0F4EB2E2">
            <w:pPr>
              <w:pStyle w:val="8"/>
              <w:spacing w:before="28" w:line="242" w:lineRule="auto"/>
              <w:ind w:left="115" w:right="107" w:firstLine="351"/>
            </w:pPr>
            <w:r>
              <w:rPr>
                <w:spacing w:val="-1"/>
              </w:rPr>
              <w:t>第十二条  煤炭、钢材、水泥、混凝土、砂石、土方等货物装载地以及物流园区、货运站（场）</w:t>
            </w:r>
            <w:r>
              <w:rPr>
                <w:spacing w:val="-2"/>
              </w:rPr>
              <w:t>、港口</w:t>
            </w:r>
            <w:r>
              <w:t xml:space="preserve"> </w:t>
            </w:r>
            <w:r>
              <w:rPr>
                <w:spacing w:val="-1"/>
              </w:rPr>
              <w:t>码头的规模化经营者（以下统称货运源头单位）应当遵守下列规定</w:t>
            </w:r>
            <w:r>
              <w:rPr>
                <w:spacing w:val="-7"/>
              </w:rPr>
              <w:t>：（</w:t>
            </w:r>
            <w:r>
              <w:rPr>
                <w:spacing w:val="-1"/>
              </w:rPr>
              <w:t>一）明确本单位有关从业人员职责，</w:t>
            </w:r>
            <w:r>
              <w:rPr>
                <w:spacing w:val="1"/>
              </w:rPr>
              <w:t xml:space="preserve"> </w:t>
            </w:r>
            <w:r>
              <w:t>建立并落实责任追究制度</w:t>
            </w:r>
            <w:r>
              <w:rPr>
                <w:spacing w:val="-12"/>
              </w:rPr>
              <w:t>；（</w:t>
            </w:r>
            <w:r>
              <w:t>二）按照规定安装符合国家标准的称重设备并确</w:t>
            </w:r>
            <w:r>
              <w:rPr>
                <w:spacing w:val="-1"/>
              </w:rPr>
              <w:t>保计量准确</w:t>
            </w:r>
            <w:r>
              <w:rPr>
                <w:spacing w:val="-12"/>
              </w:rPr>
              <w:t>；（</w:t>
            </w:r>
            <w:r>
              <w:rPr>
                <w:spacing w:val="-1"/>
              </w:rPr>
              <w:t>三）按照规定</w:t>
            </w:r>
            <w:r>
              <w:rPr>
                <w:spacing w:val="1"/>
              </w:rPr>
              <w:t xml:space="preserve"> </w:t>
            </w:r>
            <w:r>
              <w:rPr>
                <w:spacing w:val="-1"/>
              </w:rPr>
              <w:t>配置符合国家标准的监控设备并保持正常运行</w:t>
            </w:r>
            <w:r>
              <w:t>；（</w:t>
            </w:r>
            <w:r>
              <w:rPr>
                <w:spacing w:val="-1"/>
              </w:rPr>
              <w:t>四）按照货运车辆装载要求</w:t>
            </w:r>
            <w:r>
              <w:rPr>
                <w:spacing w:val="-2"/>
              </w:rPr>
              <w:t>装载、配载货物，如实计重、</w:t>
            </w:r>
            <w:r>
              <w:t xml:space="preserve"> </w:t>
            </w:r>
            <w:r>
              <w:rPr>
                <w:spacing w:val="3"/>
              </w:rPr>
              <w:t>开票，出具装载、配载证明，并由货运车辆驾驶人随车携带</w:t>
            </w:r>
            <w:r>
              <w:rPr>
                <w:spacing w:val="-6"/>
              </w:rPr>
              <w:t>；（</w:t>
            </w:r>
            <w:r>
              <w:rPr>
                <w:spacing w:val="3"/>
              </w:rPr>
              <w:t>五）对货运车辆、驾驶人和货物名称、重</w:t>
            </w:r>
            <w:r>
              <w:rPr>
                <w:spacing w:val="1"/>
              </w:rPr>
              <w:t xml:space="preserve"> </w:t>
            </w:r>
            <w:r>
              <w:rPr>
                <w:spacing w:val="-1"/>
              </w:rPr>
              <w:t>量、尺寸等货物装载、配载信息进行登记、保存，并实时、准确传输至省货运车辆治超信息平台</w:t>
            </w:r>
            <w:r>
              <w:rPr>
                <w:spacing w:val="-7"/>
              </w:rPr>
              <w:t>；（</w:t>
            </w:r>
            <w:r>
              <w:rPr>
                <w:spacing w:val="-1"/>
              </w:rPr>
              <w:t>六）接</w:t>
            </w:r>
            <w:r>
              <w:rPr>
                <w:spacing w:val="1"/>
              </w:rPr>
              <w:t xml:space="preserve"> </w:t>
            </w:r>
            <w:r>
              <w:rPr>
                <w:spacing w:val="-3"/>
              </w:rPr>
              <w:t>受监管部门的监督检查，如实提供相关资料。</w:t>
            </w:r>
          </w:p>
          <w:p w14:paraId="44858DB5">
            <w:pPr>
              <w:pStyle w:val="8"/>
              <w:spacing w:before="26" w:line="219" w:lineRule="auto"/>
              <w:ind w:left="467"/>
            </w:pPr>
            <w:r>
              <w:rPr>
                <w:spacing w:val="-2"/>
              </w:rPr>
              <w:t>县级以上人民政府应当按照有关规定公布货运源头单位，并</w:t>
            </w:r>
            <w:r>
              <w:rPr>
                <w:spacing w:val="-3"/>
              </w:rPr>
              <w:t>定期更新。</w:t>
            </w:r>
          </w:p>
          <w:p w14:paraId="4A79AB3B">
            <w:pPr>
              <w:pStyle w:val="8"/>
              <w:spacing w:before="25" w:line="222" w:lineRule="auto"/>
              <w:ind w:left="118" w:right="109" w:firstLine="348"/>
            </w:pPr>
            <w:r>
              <w:rPr>
                <w:spacing w:val="-1"/>
              </w:rPr>
              <w:t>第二十九条  货运源头单位违反本条例第十二条规定的，由县级以上人民政府交通运输主</w:t>
            </w:r>
            <w:r>
              <w:rPr>
                <w:spacing w:val="-2"/>
              </w:rPr>
              <w:t>管部门责令限</w:t>
            </w:r>
            <w:r>
              <w:t xml:space="preserve"> </w:t>
            </w:r>
            <w:r>
              <w:rPr>
                <w:spacing w:val="-2"/>
              </w:rPr>
              <w:t>期改正；其中，违反第二项至第四项规定，逾期不改正的，处一千元以上</w:t>
            </w:r>
            <w:r>
              <w:rPr>
                <w:spacing w:val="-3"/>
              </w:rPr>
              <w:t>五千元以下罚款。</w:t>
            </w:r>
          </w:p>
        </w:tc>
        <w:tc>
          <w:tcPr>
            <w:tcW w:w="1022" w:type="dxa"/>
            <w:vAlign w:val="top"/>
          </w:tcPr>
          <w:p w14:paraId="7E983ACD">
            <w:pPr>
              <w:spacing w:line="265" w:lineRule="auto"/>
              <w:rPr>
                <w:rFonts w:ascii="Arial"/>
                <w:sz w:val="21"/>
              </w:rPr>
            </w:pPr>
          </w:p>
          <w:p w14:paraId="5FFA87CD">
            <w:pPr>
              <w:spacing w:line="265" w:lineRule="auto"/>
              <w:rPr>
                <w:rFonts w:ascii="Arial"/>
                <w:sz w:val="21"/>
              </w:rPr>
            </w:pPr>
          </w:p>
          <w:p w14:paraId="792EC4B7">
            <w:pPr>
              <w:spacing w:line="265" w:lineRule="auto"/>
              <w:rPr>
                <w:rFonts w:ascii="Arial"/>
                <w:sz w:val="21"/>
              </w:rPr>
            </w:pPr>
          </w:p>
          <w:p w14:paraId="3EB74DE4">
            <w:pPr>
              <w:spacing w:line="265" w:lineRule="auto"/>
              <w:rPr>
                <w:rFonts w:ascii="Arial"/>
                <w:sz w:val="21"/>
              </w:rPr>
            </w:pPr>
          </w:p>
          <w:p w14:paraId="7D4B6517">
            <w:pPr>
              <w:pStyle w:val="8"/>
              <w:spacing w:before="58" w:line="222" w:lineRule="auto"/>
              <w:ind w:left="158" w:right="147" w:firstLine="2"/>
            </w:pPr>
            <w:r>
              <w:rPr>
                <w:spacing w:val="-3"/>
              </w:rPr>
              <w:t>交通运输</w:t>
            </w:r>
            <w:r>
              <w:t xml:space="preserve"> </w:t>
            </w:r>
            <w:r>
              <w:rPr>
                <w:spacing w:val="-3"/>
              </w:rPr>
              <w:t>主管部门</w:t>
            </w:r>
          </w:p>
        </w:tc>
        <w:tc>
          <w:tcPr>
            <w:tcW w:w="1419" w:type="dxa"/>
            <w:vAlign w:val="top"/>
          </w:tcPr>
          <w:p w14:paraId="0D1B84AF">
            <w:pPr>
              <w:spacing w:line="292" w:lineRule="auto"/>
              <w:rPr>
                <w:rFonts w:ascii="Arial"/>
                <w:sz w:val="21"/>
              </w:rPr>
            </w:pPr>
          </w:p>
          <w:p w14:paraId="6888D3B5">
            <w:pPr>
              <w:spacing w:line="292" w:lineRule="auto"/>
              <w:rPr>
                <w:rFonts w:ascii="Arial"/>
                <w:sz w:val="21"/>
              </w:rPr>
            </w:pPr>
          </w:p>
          <w:p w14:paraId="071B6C9D">
            <w:pPr>
              <w:spacing w:line="293" w:lineRule="auto"/>
              <w:rPr>
                <w:rFonts w:ascii="Arial"/>
                <w:sz w:val="21"/>
              </w:rPr>
            </w:pPr>
          </w:p>
          <w:p w14:paraId="77979C48">
            <w:pPr>
              <w:spacing w:line="293" w:lineRule="auto"/>
              <w:rPr>
                <w:rFonts w:ascii="Arial"/>
                <w:sz w:val="21"/>
              </w:rPr>
            </w:pPr>
          </w:p>
          <w:p w14:paraId="2E77750C">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4D1B7EB6">
            <w:pPr>
              <w:spacing w:line="317" w:lineRule="auto"/>
              <w:rPr>
                <w:rFonts w:ascii="Arial"/>
                <w:sz w:val="21"/>
              </w:rPr>
            </w:pPr>
          </w:p>
          <w:p w14:paraId="7C4009AC">
            <w:pPr>
              <w:spacing w:line="317" w:lineRule="auto"/>
              <w:rPr>
                <w:rFonts w:ascii="Arial"/>
                <w:sz w:val="21"/>
              </w:rPr>
            </w:pPr>
          </w:p>
          <w:p w14:paraId="3F6C127A">
            <w:pPr>
              <w:spacing w:line="317" w:lineRule="auto"/>
              <w:rPr>
                <w:rFonts w:ascii="Arial"/>
                <w:sz w:val="21"/>
              </w:rPr>
            </w:pPr>
          </w:p>
          <w:p w14:paraId="30AFF666">
            <w:pPr>
              <w:pStyle w:val="8"/>
              <w:spacing w:before="58" w:line="223" w:lineRule="auto"/>
              <w:ind w:left="68" w:right="61" w:firstLine="21"/>
              <w:jc w:val="both"/>
              <w:rPr>
                <w:rFonts w:hint="eastAsia" w:eastAsia="宋体"/>
                <w:lang w:eastAsia="zh-CN"/>
              </w:rPr>
            </w:pPr>
            <w:r>
              <w:rPr>
                <w:rFonts w:hint="eastAsia"/>
                <w:spacing w:val="-6"/>
                <w:lang w:eastAsia="zh-CN"/>
              </w:rPr>
              <w:t>津市市交通运输综合行政执法大队</w:t>
            </w:r>
          </w:p>
        </w:tc>
      </w:tr>
      <w:tr w14:paraId="1BFEF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0" w:hRule="atLeast"/>
        </w:trPr>
        <w:tc>
          <w:tcPr>
            <w:tcW w:w="629" w:type="dxa"/>
            <w:vAlign w:val="top"/>
          </w:tcPr>
          <w:p w14:paraId="04983D30">
            <w:pPr>
              <w:spacing w:line="329" w:lineRule="auto"/>
              <w:rPr>
                <w:rFonts w:ascii="Arial"/>
                <w:sz w:val="21"/>
              </w:rPr>
            </w:pPr>
          </w:p>
          <w:p w14:paraId="2314AD57">
            <w:pPr>
              <w:spacing w:line="329" w:lineRule="auto"/>
              <w:rPr>
                <w:rFonts w:ascii="Arial"/>
                <w:sz w:val="21"/>
              </w:rPr>
            </w:pPr>
          </w:p>
          <w:p w14:paraId="244AD4CC">
            <w:pPr>
              <w:pStyle w:val="8"/>
              <w:spacing w:before="59" w:line="183" w:lineRule="auto"/>
              <w:ind w:left="235"/>
              <w:rPr>
                <w:rFonts w:hint="eastAsia" w:eastAsia="宋体"/>
                <w:lang w:eastAsia="zh-CN"/>
              </w:rPr>
            </w:pPr>
            <w:r>
              <w:rPr>
                <w:spacing w:val="-5"/>
              </w:rPr>
              <w:t>2</w:t>
            </w:r>
            <w:r>
              <w:rPr>
                <w:rFonts w:hint="eastAsia"/>
                <w:spacing w:val="-5"/>
                <w:lang w:val="en-US" w:eastAsia="zh-CN"/>
              </w:rPr>
              <w:t>3</w:t>
            </w:r>
          </w:p>
        </w:tc>
        <w:tc>
          <w:tcPr>
            <w:tcW w:w="1113" w:type="dxa"/>
            <w:vAlign w:val="top"/>
          </w:tcPr>
          <w:p w14:paraId="4C1F440F">
            <w:pPr>
              <w:pStyle w:val="8"/>
              <w:spacing w:before="28" w:line="221" w:lineRule="auto"/>
              <w:ind w:left="95" w:right="90"/>
              <w:jc w:val="both"/>
            </w:pPr>
            <w:r>
              <w:rPr>
                <w:spacing w:val="4"/>
              </w:rPr>
              <w:t>对货物单位</w:t>
            </w:r>
            <w:r>
              <w:rPr>
                <w:spacing w:val="1"/>
              </w:rPr>
              <w:t xml:space="preserve"> </w:t>
            </w:r>
            <w:r>
              <w:rPr>
                <w:spacing w:val="4"/>
              </w:rPr>
              <w:t>为无车辆营</w:t>
            </w:r>
            <w:r>
              <w:rPr>
                <w:spacing w:val="1"/>
              </w:rPr>
              <w:t xml:space="preserve"> </w:t>
            </w:r>
            <w:r>
              <w:rPr>
                <w:spacing w:val="4"/>
              </w:rPr>
              <w:t>运证（总质</w:t>
            </w:r>
            <w:r>
              <w:rPr>
                <w:spacing w:val="1"/>
              </w:rPr>
              <w:t xml:space="preserve"> </w:t>
            </w:r>
            <w:r>
              <w:rPr>
                <w:spacing w:val="4"/>
              </w:rPr>
              <w:t>量四千五百</w:t>
            </w:r>
            <w:r>
              <w:rPr>
                <w:spacing w:val="1"/>
              </w:rPr>
              <w:t xml:space="preserve"> </w:t>
            </w:r>
            <w:r>
              <w:rPr>
                <w:spacing w:val="4"/>
              </w:rPr>
              <w:t>千克及以下</w:t>
            </w:r>
            <w:r>
              <w:rPr>
                <w:spacing w:val="1"/>
              </w:rPr>
              <w:t xml:space="preserve"> </w:t>
            </w:r>
            <w:r>
              <w:rPr>
                <w:spacing w:val="4"/>
              </w:rPr>
              <w:t>普通货运车</w:t>
            </w:r>
            <w:r>
              <w:rPr>
                <w:spacing w:val="1"/>
              </w:rPr>
              <w:t xml:space="preserve"> 辆除外）、</w:t>
            </w:r>
            <w:r>
              <w:rPr>
                <w:spacing w:val="4"/>
              </w:rPr>
              <w:t>无号牌、无</w:t>
            </w:r>
            <w:r>
              <w:t xml:space="preserve"> </w:t>
            </w:r>
            <w:r>
              <w:rPr>
                <w:spacing w:val="4"/>
              </w:rPr>
              <w:t>车辆行驶证</w:t>
            </w:r>
            <w:r>
              <w:rPr>
                <w:spacing w:val="1"/>
              </w:rPr>
              <w:t xml:space="preserve"> </w:t>
            </w:r>
            <w:r>
              <w:rPr>
                <w:spacing w:val="4"/>
              </w:rPr>
              <w:t>以及拼装或</w:t>
            </w:r>
            <w:r>
              <w:rPr>
                <w:spacing w:val="1"/>
              </w:rPr>
              <w:t xml:space="preserve"> </w:t>
            </w:r>
            <w:r>
              <w:rPr>
                <w:spacing w:val="4"/>
              </w:rPr>
              <w:t>者擅自改装</w:t>
            </w:r>
            <w:r>
              <w:rPr>
                <w:spacing w:val="1"/>
              </w:rPr>
              <w:t xml:space="preserve"> </w:t>
            </w:r>
            <w:r>
              <w:rPr>
                <w:spacing w:val="4"/>
              </w:rPr>
              <w:t>的货运车辆</w:t>
            </w:r>
            <w:r>
              <w:rPr>
                <w:spacing w:val="1"/>
              </w:rPr>
              <w:t xml:space="preserve"> </w:t>
            </w:r>
            <w:r>
              <w:rPr>
                <w:spacing w:val="4"/>
              </w:rPr>
              <w:t>装载、配载</w:t>
            </w:r>
            <w:r>
              <w:rPr>
                <w:spacing w:val="1"/>
              </w:rPr>
              <w:t xml:space="preserve"> </w:t>
            </w:r>
            <w:r>
              <w:rPr>
                <w:spacing w:val="-8"/>
              </w:rPr>
              <w:t>货</w:t>
            </w:r>
            <w:r>
              <w:rPr>
                <w:spacing w:val="-14"/>
              </w:rPr>
              <w:t xml:space="preserve"> </w:t>
            </w:r>
            <w:r>
              <w:rPr>
                <w:spacing w:val="-8"/>
              </w:rPr>
              <w:t>物</w:t>
            </w:r>
            <w:r>
              <w:rPr>
                <w:spacing w:val="-11"/>
              </w:rPr>
              <w:t xml:space="preserve"> </w:t>
            </w:r>
            <w:r>
              <w:rPr>
                <w:spacing w:val="-8"/>
              </w:rPr>
              <w:t>或</w:t>
            </w:r>
            <w:r>
              <w:rPr>
                <w:spacing w:val="-12"/>
              </w:rPr>
              <w:t xml:space="preserve"> </w:t>
            </w:r>
            <w:r>
              <w:rPr>
                <w:spacing w:val="-8"/>
              </w:rPr>
              <w:t>者</w:t>
            </w:r>
            <w:r>
              <w:t xml:space="preserve"> </w:t>
            </w:r>
            <w:r>
              <w:rPr>
                <w:spacing w:val="4"/>
              </w:rPr>
              <w:t>放行超限超</w:t>
            </w:r>
            <w:r>
              <w:rPr>
                <w:spacing w:val="1"/>
              </w:rPr>
              <w:t xml:space="preserve"> </w:t>
            </w:r>
            <w:r>
              <w:rPr>
                <w:spacing w:val="4"/>
              </w:rPr>
              <w:t>载车辆出站</w:t>
            </w:r>
            <w:r>
              <w:rPr>
                <w:spacing w:val="1"/>
              </w:rPr>
              <w:t xml:space="preserve"> </w:t>
            </w:r>
            <w:r>
              <w:rPr>
                <w:spacing w:val="-3"/>
              </w:rPr>
              <w:t>（场）</w:t>
            </w:r>
            <w:r>
              <w:rPr>
                <w:spacing w:val="-54"/>
              </w:rPr>
              <w:t xml:space="preserve"> </w:t>
            </w:r>
            <w:r>
              <w:rPr>
                <w:spacing w:val="-3"/>
              </w:rPr>
              <w:t>的行</w:t>
            </w:r>
            <w:r>
              <w:t xml:space="preserve"> </w:t>
            </w:r>
            <w:r>
              <w:rPr>
                <w:spacing w:val="-3"/>
              </w:rPr>
              <w:t>政处罚</w:t>
            </w:r>
          </w:p>
        </w:tc>
        <w:tc>
          <w:tcPr>
            <w:tcW w:w="1113" w:type="dxa"/>
            <w:vAlign w:val="top"/>
          </w:tcPr>
          <w:p w14:paraId="050B4572">
            <w:pPr>
              <w:spacing w:line="315" w:lineRule="auto"/>
              <w:rPr>
                <w:rFonts w:ascii="Arial"/>
                <w:sz w:val="21"/>
              </w:rPr>
            </w:pPr>
          </w:p>
          <w:p w14:paraId="54BEB508">
            <w:pPr>
              <w:spacing w:line="315" w:lineRule="auto"/>
              <w:rPr>
                <w:rFonts w:ascii="Arial"/>
                <w:sz w:val="21"/>
              </w:rPr>
            </w:pPr>
          </w:p>
          <w:p w14:paraId="67438C23">
            <w:pPr>
              <w:pStyle w:val="8"/>
              <w:spacing w:before="59" w:line="220" w:lineRule="auto"/>
              <w:ind w:left="10"/>
            </w:pPr>
            <w:r>
              <w:rPr>
                <w:spacing w:val="-4"/>
              </w:rPr>
              <w:t>行政处罚</w:t>
            </w:r>
          </w:p>
        </w:tc>
        <w:tc>
          <w:tcPr>
            <w:tcW w:w="8631" w:type="dxa"/>
            <w:vAlign w:val="top"/>
          </w:tcPr>
          <w:p w14:paraId="597E3178">
            <w:pPr>
              <w:pStyle w:val="8"/>
              <w:spacing w:before="42" w:line="219" w:lineRule="auto"/>
              <w:ind w:left="472"/>
            </w:pPr>
            <w:r>
              <w:rPr>
                <w:b/>
                <w:bCs/>
                <w:spacing w:val="-4"/>
              </w:rPr>
              <w:t>《湖南省治理货物运输车辆超限超载条例》</w:t>
            </w:r>
          </w:p>
          <w:p w14:paraId="7BC4F193">
            <w:pPr>
              <w:pStyle w:val="8"/>
              <w:spacing w:before="25" w:line="238" w:lineRule="auto"/>
              <w:ind w:left="117" w:right="107" w:firstLine="349"/>
              <w:jc w:val="both"/>
            </w:pPr>
            <w:r>
              <w:rPr>
                <w:spacing w:val="7"/>
              </w:rPr>
              <w:t>第十三条第一款  货运源头单位不得为无车辆营运证（总质量四千五百千克及以下普通货运车辆除</w:t>
            </w:r>
            <w:r>
              <w:rPr>
                <w:spacing w:val="2"/>
              </w:rPr>
              <w:t xml:space="preserve"> </w:t>
            </w:r>
            <w:r>
              <w:rPr>
                <w:spacing w:val="-1"/>
              </w:rPr>
              <w:t>外）、无号牌、无车辆行驶证以及拼装或者擅自改装的货运车辆装载、配载货</w:t>
            </w:r>
            <w:r>
              <w:rPr>
                <w:spacing w:val="-2"/>
              </w:rPr>
              <w:t>物；不得放行超限超载车辆出</w:t>
            </w:r>
            <w:r>
              <w:t xml:space="preserve"> </w:t>
            </w:r>
            <w:r>
              <w:rPr>
                <w:spacing w:val="-6"/>
              </w:rPr>
              <w:t>站（场）。</w:t>
            </w:r>
          </w:p>
          <w:p w14:paraId="231EB382">
            <w:pPr>
              <w:pStyle w:val="8"/>
              <w:spacing w:before="24" w:line="233" w:lineRule="auto"/>
              <w:ind w:left="122" w:right="107" w:firstLine="344"/>
            </w:pPr>
            <w:r>
              <w:rPr>
                <w:spacing w:val="-1"/>
              </w:rPr>
              <w:t>第三十条  违反本条例第十三条规定的，由县级以上人民政府交通运输主管部门责令限期改正；</w:t>
            </w:r>
            <w:r>
              <w:rPr>
                <w:spacing w:val="-2"/>
              </w:rPr>
              <w:t>逾期不</w:t>
            </w:r>
            <w:r>
              <w:t xml:space="preserve"> </w:t>
            </w:r>
            <w:r>
              <w:rPr>
                <w:spacing w:val="-3"/>
              </w:rPr>
              <w:t>改正的，处一万元以上三万元以下罚款。</w:t>
            </w:r>
          </w:p>
        </w:tc>
        <w:tc>
          <w:tcPr>
            <w:tcW w:w="1022" w:type="dxa"/>
            <w:vAlign w:val="top"/>
          </w:tcPr>
          <w:p w14:paraId="21819441">
            <w:pPr>
              <w:spacing w:line="248" w:lineRule="auto"/>
              <w:rPr>
                <w:rFonts w:ascii="Arial"/>
                <w:sz w:val="21"/>
              </w:rPr>
            </w:pPr>
          </w:p>
          <w:p w14:paraId="4003EEB6">
            <w:pPr>
              <w:spacing w:line="249" w:lineRule="auto"/>
              <w:rPr>
                <w:rFonts w:ascii="Arial"/>
                <w:sz w:val="21"/>
              </w:rPr>
            </w:pPr>
          </w:p>
          <w:p w14:paraId="7BFB97D8">
            <w:pPr>
              <w:pStyle w:val="8"/>
              <w:spacing w:before="59" w:line="235" w:lineRule="auto"/>
              <w:ind w:left="11" w:right="293" w:firstLine="2"/>
            </w:pPr>
            <w:r>
              <w:rPr>
                <w:spacing w:val="-3"/>
              </w:rPr>
              <w:t>交通运输</w:t>
            </w:r>
            <w:r>
              <w:t xml:space="preserve"> </w:t>
            </w:r>
            <w:r>
              <w:rPr>
                <w:spacing w:val="-3"/>
              </w:rPr>
              <w:t>主管部门</w:t>
            </w:r>
          </w:p>
        </w:tc>
        <w:tc>
          <w:tcPr>
            <w:tcW w:w="1419" w:type="dxa"/>
            <w:vAlign w:val="top"/>
          </w:tcPr>
          <w:p w14:paraId="6B00C9AA">
            <w:pPr>
              <w:spacing w:line="309" w:lineRule="auto"/>
              <w:rPr>
                <w:rFonts w:ascii="Arial"/>
                <w:sz w:val="21"/>
              </w:rPr>
            </w:pPr>
          </w:p>
          <w:p w14:paraId="7E6B9B0E">
            <w:pPr>
              <w:spacing w:line="309" w:lineRule="auto"/>
              <w:rPr>
                <w:rFonts w:ascii="Arial"/>
                <w:sz w:val="21"/>
              </w:rPr>
            </w:pPr>
          </w:p>
          <w:p w14:paraId="2EDA1BE5">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543F9E38">
            <w:pPr>
              <w:spacing w:line="376" w:lineRule="auto"/>
              <w:rPr>
                <w:rFonts w:ascii="Arial"/>
                <w:sz w:val="21"/>
              </w:rPr>
            </w:pPr>
          </w:p>
          <w:p w14:paraId="73735AF7">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bl>
    <w:p w14:paraId="1A01DFA5">
      <w:pPr>
        <w:pStyle w:val="2"/>
      </w:pPr>
    </w:p>
    <w:p w14:paraId="3E30E0F3">
      <w:pPr>
        <w:sectPr>
          <w:footerReference r:id="rId70" w:type="default"/>
          <w:pgSz w:w="16840" w:h="11910"/>
          <w:pgMar w:top="1012" w:right="940" w:bottom="966" w:left="940" w:header="0" w:footer="768" w:gutter="0"/>
          <w:cols w:space="720" w:num="1"/>
        </w:sectPr>
      </w:pPr>
    </w:p>
    <w:p w14:paraId="209AE862">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7A799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793028B2">
            <w:pPr>
              <w:pStyle w:val="8"/>
              <w:spacing w:before="259" w:line="221" w:lineRule="auto"/>
              <w:ind w:left="148"/>
            </w:pPr>
            <w:r>
              <w:rPr>
                <w:b/>
                <w:bCs/>
                <w:spacing w:val="-6"/>
              </w:rPr>
              <w:t>序号</w:t>
            </w:r>
          </w:p>
        </w:tc>
        <w:tc>
          <w:tcPr>
            <w:tcW w:w="1113" w:type="dxa"/>
            <w:vMerge w:val="restart"/>
            <w:tcBorders>
              <w:bottom w:val="nil"/>
            </w:tcBorders>
            <w:vAlign w:val="top"/>
          </w:tcPr>
          <w:p w14:paraId="0C3317D5">
            <w:pPr>
              <w:pStyle w:val="8"/>
              <w:spacing w:before="260" w:line="220" w:lineRule="auto"/>
              <w:ind w:left="201"/>
            </w:pPr>
            <w:r>
              <w:rPr>
                <w:b/>
                <w:bCs/>
                <w:spacing w:val="-5"/>
              </w:rPr>
              <w:t>事项名称</w:t>
            </w:r>
          </w:p>
        </w:tc>
        <w:tc>
          <w:tcPr>
            <w:tcW w:w="1113" w:type="dxa"/>
            <w:vMerge w:val="restart"/>
            <w:tcBorders>
              <w:bottom w:val="nil"/>
            </w:tcBorders>
            <w:vAlign w:val="top"/>
          </w:tcPr>
          <w:p w14:paraId="6D6CFD9F">
            <w:pPr>
              <w:pStyle w:val="8"/>
              <w:spacing w:before="260" w:line="219" w:lineRule="auto"/>
              <w:ind w:left="202"/>
            </w:pPr>
            <w:r>
              <w:rPr>
                <w:b/>
                <w:bCs/>
                <w:spacing w:val="-5"/>
              </w:rPr>
              <w:t>职权类型</w:t>
            </w:r>
          </w:p>
        </w:tc>
        <w:tc>
          <w:tcPr>
            <w:tcW w:w="8631" w:type="dxa"/>
            <w:vMerge w:val="restart"/>
            <w:tcBorders>
              <w:bottom w:val="nil"/>
            </w:tcBorders>
            <w:vAlign w:val="top"/>
          </w:tcPr>
          <w:p w14:paraId="6849A798">
            <w:pPr>
              <w:pStyle w:val="8"/>
              <w:spacing w:before="259" w:line="219" w:lineRule="auto"/>
              <w:ind w:left="3970"/>
            </w:pPr>
            <w:r>
              <w:rPr>
                <w:b/>
                <w:bCs/>
                <w:spacing w:val="-6"/>
              </w:rPr>
              <w:t>实施依据</w:t>
            </w:r>
          </w:p>
        </w:tc>
        <w:tc>
          <w:tcPr>
            <w:tcW w:w="3468" w:type="dxa"/>
            <w:gridSpan w:val="3"/>
            <w:vAlign w:val="top"/>
          </w:tcPr>
          <w:p w14:paraId="60C1BF7E">
            <w:pPr>
              <w:pStyle w:val="8"/>
              <w:spacing w:before="82" w:line="220" w:lineRule="auto"/>
              <w:ind w:left="1389"/>
            </w:pPr>
            <w:r>
              <w:rPr>
                <w:b/>
                <w:bCs/>
                <w:spacing w:val="-6"/>
              </w:rPr>
              <w:t>实施主体</w:t>
            </w:r>
          </w:p>
        </w:tc>
      </w:tr>
      <w:tr w14:paraId="028BA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1479B8FA">
            <w:pPr>
              <w:rPr>
                <w:rFonts w:ascii="Arial"/>
                <w:sz w:val="21"/>
              </w:rPr>
            </w:pPr>
          </w:p>
        </w:tc>
        <w:tc>
          <w:tcPr>
            <w:tcW w:w="1113" w:type="dxa"/>
            <w:vMerge w:val="continue"/>
            <w:tcBorders>
              <w:top w:val="nil"/>
            </w:tcBorders>
            <w:vAlign w:val="top"/>
          </w:tcPr>
          <w:p w14:paraId="43F8875E">
            <w:pPr>
              <w:rPr>
                <w:rFonts w:ascii="Arial"/>
                <w:sz w:val="21"/>
              </w:rPr>
            </w:pPr>
          </w:p>
        </w:tc>
        <w:tc>
          <w:tcPr>
            <w:tcW w:w="1113" w:type="dxa"/>
            <w:vMerge w:val="continue"/>
            <w:tcBorders>
              <w:top w:val="nil"/>
            </w:tcBorders>
            <w:vAlign w:val="top"/>
          </w:tcPr>
          <w:p w14:paraId="2E09E349">
            <w:pPr>
              <w:rPr>
                <w:rFonts w:ascii="Arial"/>
                <w:sz w:val="21"/>
              </w:rPr>
            </w:pPr>
          </w:p>
        </w:tc>
        <w:tc>
          <w:tcPr>
            <w:tcW w:w="8631" w:type="dxa"/>
            <w:vMerge w:val="continue"/>
            <w:tcBorders>
              <w:top w:val="nil"/>
            </w:tcBorders>
            <w:vAlign w:val="top"/>
          </w:tcPr>
          <w:p w14:paraId="69AEC58C">
            <w:pPr>
              <w:rPr>
                <w:rFonts w:ascii="Arial"/>
                <w:sz w:val="21"/>
              </w:rPr>
            </w:pPr>
          </w:p>
        </w:tc>
        <w:tc>
          <w:tcPr>
            <w:tcW w:w="1022" w:type="dxa"/>
            <w:vAlign w:val="top"/>
          </w:tcPr>
          <w:p w14:paraId="3858FC2C">
            <w:pPr>
              <w:pStyle w:val="8"/>
              <w:spacing w:before="84" w:line="219" w:lineRule="auto"/>
              <w:ind w:left="170"/>
            </w:pPr>
            <w:r>
              <w:rPr>
                <w:b/>
                <w:bCs/>
                <w:spacing w:val="-6"/>
              </w:rPr>
              <w:t>责任部门</w:t>
            </w:r>
          </w:p>
        </w:tc>
        <w:tc>
          <w:tcPr>
            <w:tcW w:w="1419" w:type="dxa"/>
            <w:vAlign w:val="top"/>
          </w:tcPr>
          <w:p w14:paraId="2E0177A3">
            <w:pPr>
              <w:pStyle w:val="8"/>
              <w:spacing w:before="84" w:line="219" w:lineRule="auto"/>
              <w:ind w:left="183"/>
            </w:pPr>
            <w:r>
              <w:rPr>
                <w:b/>
                <w:bCs/>
                <w:spacing w:val="-4"/>
              </w:rPr>
              <w:t>第一责任层级</w:t>
            </w:r>
          </w:p>
        </w:tc>
        <w:tc>
          <w:tcPr>
            <w:tcW w:w="1027" w:type="dxa"/>
            <w:vAlign w:val="top"/>
          </w:tcPr>
          <w:p w14:paraId="747BFF34">
            <w:pPr>
              <w:pStyle w:val="8"/>
              <w:spacing w:before="83" w:line="219" w:lineRule="auto"/>
              <w:ind w:left="161"/>
            </w:pPr>
            <w:r>
              <w:rPr>
                <w:b/>
                <w:bCs/>
                <w:spacing w:val="-5"/>
              </w:rPr>
              <w:t>承办机构</w:t>
            </w:r>
          </w:p>
        </w:tc>
      </w:tr>
      <w:tr w14:paraId="67F48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629" w:type="dxa"/>
            <w:vAlign w:val="top"/>
          </w:tcPr>
          <w:p w14:paraId="7D6D35E5">
            <w:pPr>
              <w:spacing w:line="251" w:lineRule="auto"/>
              <w:rPr>
                <w:rFonts w:ascii="Arial"/>
                <w:sz w:val="21"/>
              </w:rPr>
            </w:pPr>
          </w:p>
          <w:p w14:paraId="31B9ECAD">
            <w:pPr>
              <w:spacing w:line="251" w:lineRule="auto"/>
              <w:rPr>
                <w:rFonts w:ascii="Arial"/>
                <w:sz w:val="21"/>
              </w:rPr>
            </w:pPr>
          </w:p>
          <w:p w14:paraId="6F095503">
            <w:pPr>
              <w:pStyle w:val="8"/>
              <w:spacing w:before="58" w:line="183" w:lineRule="auto"/>
              <w:ind w:left="235"/>
              <w:rPr>
                <w:rFonts w:hint="eastAsia" w:eastAsia="宋体"/>
                <w:lang w:eastAsia="zh-CN"/>
              </w:rPr>
            </w:pPr>
            <w:r>
              <w:rPr>
                <w:spacing w:val="-5"/>
              </w:rPr>
              <w:t>2</w:t>
            </w:r>
            <w:r>
              <w:rPr>
                <w:rFonts w:hint="eastAsia"/>
                <w:spacing w:val="-5"/>
                <w:lang w:val="en-US" w:eastAsia="zh-CN"/>
              </w:rPr>
              <w:t>4</w:t>
            </w:r>
          </w:p>
        </w:tc>
        <w:tc>
          <w:tcPr>
            <w:tcW w:w="1113" w:type="dxa"/>
            <w:vAlign w:val="top"/>
          </w:tcPr>
          <w:p w14:paraId="39AF12A5">
            <w:pPr>
              <w:pStyle w:val="8"/>
              <w:spacing w:before="87" w:line="225" w:lineRule="auto"/>
              <w:ind w:left="95" w:right="90"/>
              <w:jc w:val="both"/>
            </w:pPr>
            <w:r>
              <w:rPr>
                <w:spacing w:val="4"/>
              </w:rPr>
              <w:t>对损坏、擅</w:t>
            </w:r>
            <w:r>
              <w:rPr>
                <w:spacing w:val="1"/>
              </w:rPr>
              <w:t xml:space="preserve"> </w:t>
            </w:r>
            <w:r>
              <w:rPr>
                <w:spacing w:val="4"/>
              </w:rPr>
              <w:t>自移动或者</w:t>
            </w:r>
            <w:r>
              <w:rPr>
                <w:spacing w:val="1"/>
              </w:rPr>
              <w:t xml:space="preserve"> </w:t>
            </w:r>
            <w:r>
              <w:rPr>
                <w:spacing w:val="4"/>
              </w:rPr>
              <w:t>拆除检测监</w:t>
            </w:r>
            <w:r>
              <w:rPr>
                <w:spacing w:val="1"/>
              </w:rPr>
              <w:t xml:space="preserve"> </w:t>
            </w:r>
            <w:r>
              <w:rPr>
                <w:spacing w:val="4"/>
              </w:rPr>
              <w:t>控设备的行</w:t>
            </w:r>
            <w:r>
              <w:rPr>
                <w:spacing w:val="1"/>
              </w:rPr>
              <w:t xml:space="preserve"> </w:t>
            </w:r>
            <w:r>
              <w:rPr>
                <w:spacing w:val="-3"/>
              </w:rPr>
              <w:t>政处罚</w:t>
            </w:r>
          </w:p>
        </w:tc>
        <w:tc>
          <w:tcPr>
            <w:tcW w:w="1113" w:type="dxa"/>
            <w:vAlign w:val="top"/>
          </w:tcPr>
          <w:p w14:paraId="0EB21B35">
            <w:pPr>
              <w:spacing w:line="469" w:lineRule="auto"/>
              <w:rPr>
                <w:rFonts w:ascii="Arial"/>
                <w:sz w:val="21"/>
              </w:rPr>
            </w:pPr>
          </w:p>
          <w:p w14:paraId="232D1281">
            <w:pPr>
              <w:pStyle w:val="8"/>
              <w:spacing w:before="58" w:line="220" w:lineRule="auto"/>
              <w:ind w:left="10"/>
            </w:pPr>
            <w:r>
              <w:rPr>
                <w:spacing w:val="-4"/>
              </w:rPr>
              <w:t>行政处罚</w:t>
            </w:r>
          </w:p>
        </w:tc>
        <w:tc>
          <w:tcPr>
            <w:tcW w:w="8631" w:type="dxa"/>
            <w:vAlign w:val="top"/>
          </w:tcPr>
          <w:p w14:paraId="6C5894B0">
            <w:pPr>
              <w:pStyle w:val="8"/>
              <w:spacing w:before="54" w:line="219" w:lineRule="auto"/>
              <w:ind w:left="472"/>
            </w:pPr>
            <w:r>
              <w:rPr>
                <w:b/>
                <w:bCs/>
                <w:spacing w:val="-4"/>
              </w:rPr>
              <w:t>《湖南省治理货物运输车辆超限超载条例》</w:t>
            </w:r>
          </w:p>
          <w:p w14:paraId="580B6C52">
            <w:pPr>
              <w:pStyle w:val="8"/>
              <w:spacing w:before="27" w:line="219" w:lineRule="auto"/>
              <w:ind w:left="466"/>
            </w:pPr>
            <w:r>
              <w:rPr>
                <w:spacing w:val="-2"/>
              </w:rPr>
              <w:t>第二十七条第二款  任何单位和个人不得损坏、擅自移动或者拆除检测监</w:t>
            </w:r>
            <w:r>
              <w:rPr>
                <w:spacing w:val="-3"/>
              </w:rPr>
              <w:t>控设备。</w:t>
            </w:r>
          </w:p>
          <w:p w14:paraId="1849717B">
            <w:pPr>
              <w:pStyle w:val="8"/>
              <w:spacing w:before="27" w:line="235" w:lineRule="auto"/>
              <w:ind w:left="122" w:right="107" w:firstLine="344"/>
            </w:pPr>
            <w:r>
              <w:rPr>
                <w:spacing w:val="-1"/>
              </w:rPr>
              <w:t>第三十二条  单位和个人违反本条例第二十七条第二款规定的，由县级以上人民政府交通</w:t>
            </w:r>
            <w:r>
              <w:rPr>
                <w:spacing w:val="-2"/>
              </w:rPr>
              <w:t>运输主管部门</w:t>
            </w:r>
            <w:r>
              <w:t xml:space="preserve"> </w:t>
            </w:r>
            <w:r>
              <w:rPr>
                <w:spacing w:val="-1"/>
              </w:rPr>
              <w:t>责令改正，处五千元以下罚款；情节严重的，处五千元以上三万元</w:t>
            </w:r>
            <w:r>
              <w:rPr>
                <w:spacing w:val="-2"/>
              </w:rPr>
              <w:t>以下罚款。造成检测监控设备损坏的，应</w:t>
            </w:r>
            <w:r>
              <w:t xml:space="preserve"> </w:t>
            </w:r>
            <w:r>
              <w:rPr>
                <w:spacing w:val="-4"/>
              </w:rPr>
              <w:t>当依法赔偿。</w:t>
            </w:r>
          </w:p>
        </w:tc>
        <w:tc>
          <w:tcPr>
            <w:tcW w:w="1022" w:type="dxa"/>
            <w:vAlign w:val="top"/>
          </w:tcPr>
          <w:p w14:paraId="3AB63986">
            <w:pPr>
              <w:spacing w:line="358" w:lineRule="auto"/>
              <w:rPr>
                <w:rFonts w:ascii="Arial"/>
                <w:sz w:val="21"/>
              </w:rPr>
            </w:pPr>
          </w:p>
          <w:p w14:paraId="23612E3C">
            <w:pPr>
              <w:pStyle w:val="8"/>
              <w:spacing w:before="59" w:line="222" w:lineRule="auto"/>
              <w:ind w:left="158" w:right="147" w:firstLine="2"/>
            </w:pPr>
            <w:r>
              <w:rPr>
                <w:spacing w:val="-3"/>
              </w:rPr>
              <w:t>交通运输</w:t>
            </w:r>
            <w:r>
              <w:t xml:space="preserve"> </w:t>
            </w:r>
            <w:r>
              <w:rPr>
                <w:spacing w:val="-3"/>
              </w:rPr>
              <w:t>主管部门</w:t>
            </w:r>
          </w:p>
        </w:tc>
        <w:tc>
          <w:tcPr>
            <w:tcW w:w="1419" w:type="dxa"/>
            <w:vAlign w:val="top"/>
          </w:tcPr>
          <w:p w14:paraId="34B22853">
            <w:pPr>
              <w:spacing w:line="469" w:lineRule="auto"/>
              <w:rPr>
                <w:rFonts w:ascii="Arial"/>
                <w:sz w:val="21"/>
              </w:rPr>
            </w:pPr>
          </w:p>
          <w:p w14:paraId="633378CC">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5C32E31F">
            <w:pPr>
              <w:spacing w:line="249" w:lineRule="auto"/>
              <w:rPr>
                <w:rFonts w:ascii="Arial"/>
                <w:sz w:val="21"/>
              </w:rPr>
            </w:pPr>
          </w:p>
          <w:p w14:paraId="0ADA0477">
            <w:pPr>
              <w:pStyle w:val="8"/>
              <w:spacing w:before="59" w:line="223" w:lineRule="auto"/>
              <w:ind w:left="68" w:right="61" w:firstLine="21"/>
              <w:jc w:val="both"/>
              <w:rPr>
                <w:rFonts w:hint="eastAsia" w:eastAsia="宋体"/>
                <w:lang w:eastAsia="zh-CN"/>
              </w:rPr>
            </w:pPr>
            <w:r>
              <w:rPr>
                <w:rFonts w:hint="eastAsia"/>
                <w:spacing w:val="-6"/>
                <w:lang w:eastAsia="zh-CN"/>
              </w:rPr>
              <w:t>津市市交通运输综合行政执法大队</w:t>
            </w:r>
          </w:p>
        </w:tc>
      </w:tr>
      <w:tr w14:paraId="4DBEB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3" w:hRule="atLeast"/>
        </w:trPr>
        <w:tc>
          <w:tcPr>
            <w:tcW w:w="629" w:type="dxa"/>
            <w:vAlign w:val="top"/>
          </w:tcPr>
          <w:p w14:paraId="79F16C8C">
            <w:pPr>
              <w:spacing w:line="262" w:lineRule="auto"/>
              <w:rPr>
                <w:rFonts w:ascii="Arial"/>
                <w:sz w:val="21"/>
              </w:rPr>
            </w:pPr>
          </w:p>
          <w:p w14:paraId="5C6161B3">
            <w:pPr>
              <w:spacing w:line="263" w:lineRule="auto"/>
              <w:rPr>
                <w:rFonts w:ascii="Arial"/>
                <w:sz w:val="21"/>
              </w:rPr>
            </w:pPr>
          </w:p>
          <w:p w14:paraId="0B077696">
            <w:pPr>
              <w:spacing w:line="263" w:lineRule="auto"/>
              <w:rPr>
                <w:rFonts w:ascii="Arial"/>
                <w:sz w:val="21"/>
              </w:rPr>
            </w:pPr>
          </w:p>
          <w:p w14:paraId="4E371DA8">
            <w:pPr>
              <w:spacing w:line="263" w:lineRule="auto"/>
              <w:rPr>
                <w:rFonts w:ascii="Arial"/>
                <w:sz w:val="21"/>
              </w:rPr>
            </w:pPr>
          </w:p>
          <w:p w14:paraId="53F3C659">
            <w:pPr>
              <w:spacing w:line="263" w:lineRule="auto"/>
              <w:rPr>
                <w:rFonts w:ascii="Arial"/>
                <w:sz w:val="21"/>
              </w:rPr>
            </w:pPr>
          </w:p>
          <w:p w14:paraId="1D6D54DE">
            <w:pPr>
              <w:spacing w:line="263" w:lineRule="auto"/>
              <w:rPr>
                <w:rFonts w:ascii="Arial"/>
                <w:sz w:val="21"/>
              </w:rPr>
            </w:pPr>
          </w:p>
          <w:p w14:paraId="3F54A20B">
            <w:pPr>
              <w:pStyle w:val="8"/>
              <w:spacing w:before="58" w:line="183" w:lineRule="auto"/>
              <w:ind w:left="235"/>
              <w:rPr>
                <w:rFonts w:hint="eastAsia" w:eastAsia="宋体"/>
                <w:lang w:val="en-US" w:eastAsia="zh-CN"/>
              </w:rPr>
            </w:pPr>
            <w:r>
              <w:rPr>
                <w:spacing w:val="-5"/>
              </w:rPr>
              <w:t>2</w:t>
            </w:r>
            <w:r>
              <w:rPr>
                <w:rFonts w:hint="eastAsia"/>
                <w:spacing w:val="-5"/>
                <w:lang w:val="en-US" w:eastAsia="zh-CN"/>
              </w:rPr>
              <w:t>5</w:t>
            </w:r>
          </w:p>
        </w:tc>
        <w:tc>
          <w:tcPr>
            <w:tcW w:w="1113" w:type="dxa"/>
            <w:vAlign w:val="top"/>
          </w:tcPr>
          <w:p w14:paraId="136FF82B">
            <w:pPr>
              <w:pStyle w:val="8"/>
              <w:spacing w:before="52" w:line="244" w:lineRule="auto"/>
              <w:ind w:left="95" w:right="90"/>
            </w:pPr>
            <w:r>
              <w:rPr>
                <w:spacing w:val="4"/>
              </w:rPr>
              <w:t>对逾期不履</w:t>
            </w:r>
            <w:r>
              <w:rPr>
                <w:spacing w:val="1"/>
              </w:rPr>
              <w:t xml:space="preserve"> </w:t>
            </w:r>
            <w:r>
              <w:rPr>
                <w:spacing w:val="4"/>
              </w:rPr>
              <w:t>行交通运输</w:t>
            </w:r>
            <w:r>
              <w:rPr>
                <w:spacing w:val="1"/>
              </w:rPr>
              <w:t xml:space="preserve"> </w:t>
            </w:r>
            <w:r>
              <w:rPr>
                <w:spacing w:val="4"/>
              </w:rPr>
              <w:t>领域排除妨</w:t>
            </w:r>
            <w:r>
              <w:rPr>
                <w:spacing w:val="1"/>
              </w:rPr>
              <w:t xml:space="preserve"> </w:t>
            </w:r>
            <w:r>
              <w:rPr>
                <w:spacing w:val="4"/>
              </w:rPr>
              <w:t>碍、恢复原</w:t>
            </w:r>
            <w:r>
              <w:rPr>
                <w:spacing w:val="1"/>
              </w:rPr>
              <w:t xml:space="preserve"> </w:t>
            </w:r>
            <w:r>
              <w:rPr>
                <w:spacing w:val="4"/>
              </w:rPr>
              <w:t>状等义务的</w:t>
            </w:r>
            <w:r>
              <w:rPr>
                <w:spacing w:val="1"/>
              </w:rPr>
              <w:t xml:space="preserve"> </w:t>
            </w:r>
            <w:r>
              <w:rPr>
                <w:spacing w:val="3"/>
              </w:rPr>
              <w:t>行政决定，</w:t>
            </w:r>
            <w:r>
              <w:t xml:space="preserve"> </w:t>
            </w:r>
            <w:r>
              <w:rPr>
                <w:spacing w:val="4"/>
              </w:rPr>
              <w:t>其后果已经</w:t>
            </w:r>
            <w:r>
              <w:rPr>
                <w:spacing w:val="1"/>
              </w:rPr>
              <w:t xml:space="preserve"> </w:t>
            </w:r>
            <w:r>
              <w:rPr>
                <w:spacing w:val="4"/>
              </w:rPr>
              <w:t>或将危害交</w:t>
            </w:r>
            <w:r>
              <w:rPr>
                <w:spacing w:val="1"/>
              </w:rPr>
              <w:t xml:space="preserve"> </w:t>
            </w:r>
            <w:r>
              <w:rPr>
                <w:spacing w:val="4"/>
              </w:rPr>
              <w:t>通安全、造</w:t>
            </w:r>
            <w:r>
              <w:rPr>
                <w:spacing w:val="1"/>
              </w:rPr>
              <w:t xml:space="preserve"> </w:t>
            </w:r>
            <w:r>
              <w:rPr>
                <w:spacing w:val="4"/>
              </w:rPr>
              <w:t>成环境污染</w:t>
            </w:r>
            <w:r>
              <w:rPr>
                <w:spacing w:val="1"/>
              </w:rPr>
              <w:t xml:space="preserve"> </w:t>
            </w:r>
            <w:r>
              <w:rPr>
                <w:spacing w:val="4"/>
              </w:rPr>
              <w:t>或者破坏自</w:t>
            </w:r>
            <w:r>
              <w:rPr>
                <w:spacing w:val="1"/>
              </w:rPr>
              <w:t xml:space="preserve"> </w:t>
            </w:r>
            <w:r>
              <w:rPr>
                <w:spacing w:val="4"/>
              </w:rPr>
              <w:t>然资源等行</w:t>
            </w:r>
            <w:r>
              <w:rPr>
                <w:spacing w:val="1"/>
              </w:rPr>
              <w:t xml:space="preserve"> </w:t>
            </w:r>
            <w:r>
              <w:rPr>
                <w:spacing w:val="4"/>
              </w:rPr>
              <w:t>为的行政强</w:t>
            </w:r>
            <w:r>
              <w:rPr>
                <w:spacing w:val="1"/>
              </w:rPr>
              <w:t xml:space="preserve"> </w:t>
            </w:r>
            <w:r>
              <w:t>制</w:t>
            </w:r>
          </w:p>
        </w:tc>
        <w:tc>
          <w:tcPr>
            <w:tcW w:w="1113" w:type="dxa"/>
            <w:vAlign w:val="top"/>
          </w:tcPr>
          <w:p w14:paraId="33FA9D4F">
            <w:pPr>
              <w:spacing w:line="256" w:lineRule="auto"/>
              <w:rPr>
                <w:rFonts w:ascii="Arial"/>
                <w:sz w:val="21"/>
              </w:rPr>
            </w:pPr>
          </w:p>
          <w:p w14:paraId="7AA70760">
            <w:pPr>
              <w:spacing w:line="257" w:lineRule="auto"/>
              <w:rPr>
                <w:rFonts w:ascii="Arial"/>
                <w:sz w:val="21"/>
              </w:rPr>
            </w:pPr>
          </w:p>
          <w:p w14:paraId="69049D4D">
            <w:pPr>
              <w:spacing w:line="257" w:lineRule="auto"/>
              <w:rPr>
                <w:rFonts w:ascii="Arial"/>
                <w:sz w:val="21"/>
              </w:rPr>
            </w:pPr>
          </w:p>
          <w:p w14:paraId="00AED721">
            <w:pPr>
              <w:spacing w:line="257" w:lineRule="auto"/>
              <w:rPr>
                <w:rFonts w:ascii="Arial"/>
                <w:sz w:val="21"/>
              </w:rPr>
            </w:pPr>
          </w:p>
          <w:p w14:paraId="03395AFE">
            <w:pPr>
              <w:spacing w:line="257" w:lineRule="auto"/>
              <w:rPr>
                <w:rFonts w:ascii="Arial"/>
                <w:sz w:val="21"/>
              </w:rPr>
            </w:pPr>
          </w:p>
          <w:p w14:paraId="4B79A171">
            <w:pPr>
              <w:spacing w:line="257" w:lineRule="auto"/>
              <w:rPr>
                <w:rFonts w:ascii="Arial"/>
                <w:sz w:val="21"/>
              </w:rPr>
            </w:pPr>
          </w:p>
          <w:p w14:paraId="4C93BF5D">
            <w:pPr>
              <w:pStyle w:val="8"/>
              <w:spacing w:before="59" w:line="220" w:lineRule="auto"/>
              <w:ind w:left="10"/>
            </w:pPr>
            <w:r>
              <w:rPr>
                <w:spacing w:val="-4"/>
              </w:rPr>
              <w:t>行政强制</w:t>
            </w:r>
          </w:p>
        </w:tc>
        <w:tc>
          <w:tcPr>
            <w:tcW w:w="8631" w:type="dxa"/>
            <w:vAlign w:val="top"/>
          </w:tcPr>
          <w:p w14:paraId="109389A8">
            <w:pPr>
              <w:spacing w:line="297" w:lineRule="auto"/>
              <w:rPr>
                <w:rFonts w:ascii="Arial"/>
                <w:sz w:val="21"/>
              </w:rPr>
            </w:pPr>
          </w:p>
          <w:p w14:paraId="0C157103">
            <w:pPr>
              <w:spacing w:line="298" w:lineRule="auto"/>
              <w:rPr>
                <w:rFonts w:ascii="Arial"/>
                <w:sz w:val="21"/>
              </w:rPr>
            </w:pPr>
          </w:p>
          <w:p w14:paraId="591760E6">
            <w:pPr>
              <w:spacing w:line="298" w:lineRule="auto"/>
              <w:rPr>
                <w:rFonts w:ascii="Arial"/>
                <w:sz w:val="21"/>
              </w:rPr>
            </w:pPr>
          </w:p>
          <w:p w14:paraId="02CC1872">
            <w:pPr>
              <w:spacing w:line="298" w:lineRule="auto"/>
              <w:rPr>
                <w:rFonts w:ascii="Arial"/>
                <w:sz w:val="21"/>
              </w:rPr>
            </w:pPr>
          </w:p>
          <w:p w14:paraId="029F4A26">
            <w:pPr>
              <w:pStyle w:val="8"/>
              <w:spacing w:before="58" w:line="219" w:lineRule="auto"/>
              <w:ind w:left="472"/>
            </w:pPr>
            <w:r>
              <w:rPr>
                <w:b/>
                <w:bCs/>
                <w:spacing w:val="-4"/>
              </w:rPr>
              <w:t>《中华人民共和国行政强制法》</w:t>
            </w:r>
          </w:p>
          <w:p w14:paraId="63CE2795">
            <w:pPr>
              <w:pStyle w:val="8"/>
              <w:spacing w:before="27" w:line="237" w:lineRule="auto"/>
              <w:ind w:left="115" w:right="107" w:firstLine="351"/>
              <w:jc w:val="both"/>
            </w:pPr>
            <w:r>
              <w:rPr>
                <w:spacing w:val="-1"/>
              </w:rPr>
              <w:t>第五十条  行政机关依法作出要求当事人履行排除妨碍、恢复原状等义务的行政决定，当事人逾</w:t>
            </w:r>
            <w:r>
              <w:rPr>
                <w:spacing w:val="-2"/>
              </w:rPr>
              <w:t>期不履</w:t>
            </w:r>
            <w:r>
              <w:t xml:space="preserve"> </w:t>
            </w:r>
            <w:r>
              <w:rPr>
                <w:spacing w:val="-1"/>
              </w:rPr>
              <w:t>行，经催告仍不履行，其后果已经或者将危害交通安全、造成环境污染或者破坏自</w:t>
            </w:r>
            <w:r>
              <w:rPr>
                <w:spacing w:val="-2"/>
              </w:rPr>
              <w:t>然资源的，行政机关可以</w:t>
            </w:r>
            <w:r>
              <w:t xml:space="preserve"> </w:t>
            </w:r>
            <w:r>
              <w:rPr>
                <w:spacing w:val="-3"/>
              </w:rPr>
              <w:t>代履行，或者委托没有利害关系的第三人代履行。</w:t>
            </w:r>
          </w:p>
        </w:tc>
        <w:tc>
          <w:tcPr>
            <w:tcW w:w="1022" w:type="dxa"/>
            <w:vAlign w:val="top"/>
          </w:tcPr>
          <w:p w14:paraId="4483BC44">
            <w:pPr>
              <w:spacing w:line="286" w:lineRule="auto"/>
              <w:rPr>
                <w:rFonts w:ascii="Arial"/>
                <w:sz w:val="21"/>
              </w:rPr>
            </w:pPr>
          </w:p>
          <w:p w14:paraId="0A96F8A1">
            <w:pPr>
              <w:spacing w:line="286" w:lineRule="auto"/>
              <w:rPr>
                <w:rFonts w:ascii="Arial"/>
                <w:sz w:val="21"/>
              </w:rPr>
            </w:pPr>
          </w:p>
          <w:p w14:paraId="4A696CE1">
            <w:pPr>
              <w:spacing w:line="286" w:lineRule="auto"/>
              <w:rPr>
                <w:rFonts w:ascii="Arial"/>
                <w:sz w:val="21"/>
              </w:rPr>
            </w:pPr>
          </w:p>
          <w:p w14:paraId="569C991D">
            <w:pPr>
              <w:spacing w:line="286" w:lineRule="auto"/>
              <w:rPr>
                <w:rFonts w:ascii="Arial"/>
                <w:sz w:val="21"/>
              </w:rPr>
            </w:pPr>
          </w:p>
          <w:p w14:paraId="43495432">
            <w:pPr>
              <w:spacing w:line="287" w:lineRule="auto"/>
              <w:rPr>
                <w:rFonts w:ascii="Arial"/>
                <w:sz w:val="21"/>
              </w:rPr>
            </w:pPr>
          </w:p>
          <w:p w14:paraId="1BA011D3">
            <w:pPr>
              <w:pStyle w:val="8"/>
              <w:spacing w:before="59" w:line="223" w:lineRule="auto"/>
              <w:ind w:left="158" w:right="147" w:firstLine="2"/>
            </w:pPr>
            <w:r>
              <w:rPr>
                <w:spacing w:val="-3"/>
              </w:rPr>
              <w:t>交通运输</w:t>
            </w:r>
            <w:r>
              <w:t xml:space="preserve"> </w:t>
            </w:r>
            <w:r>
              <w:rPr>
                <w:spacing w:val="-3"/>
              </w:rPr>
              <w:t>主管部门</w:t>
            </w:r>
          </w:p>
        </w:tc>
        <w:tc>
          <w:tcPr>
            <w:tcW w:w="1419" w:type="dxa"/>
            <w:vAlign w:val="top"/>
          </w:tcPr>
          <w:p w14:paraId="76FA3097">
            <w:pPr>
              <w:spacing w:line="257" w:lineRule="auto"/>
              <w:rPr>
                <w:rFonts w:ascii="Arial"/>
                <w:sz w:val="21"/>
              </w:rPr>
            </w:pPr>
          </w:p>
          <w:p w14:paraId="23FA0BFD">
            <w:pPr>
              <w:spacing w:line="257" w:lineRule="auto"/>
              <w:rPr>
                <w:rFonts w:ascii="Arial"/>
                <w:sz w:val="21"/>
              </w:rPr>
            </w:pPr>
          </w:p>
          <w:p w14:paraId="06765E24">
            <w:pPr>
              <w:spacing w:line="257" w:lineRule="auto"/>
              <w:rPr>
                <w:rFonts w:ascii="Arial"/>
                <w:sz w:val="21"/>
              </w:rPr>
            </w:pPr>
          </w:p>
          <w:p w14:paraId="6EECFDF1">
            <w:pPr>
              <w:spacing w:line="257" w:lineRule="auto"/>
              <w:rPr>
                <w:rFonts w:ascii="Arial"/>
                <w:sz w:val="21"/>
              </w:rPr>
            </w:pPr>
          </w:p>
          <w:p w14:paraId="6F071F73">
            <w:pPr>
              <w:spacing w:line="257" w:lineRule="auto"/>
              <w:rPr>
                <w:rFonts w:ascii="Arial"/>
                <w:sz w:val="21"/>
              </w:rPr>
            </w:pPr>
          </w:p>
          <w:p w14:paraId="7E37F165">
            <w:pPr>
              <w:spacing w:line="257" w:lineRule="auto"/>
              <w:rPr>
                <w:rFonts w:ascii="Arial"/>
                <w:sz w:val="21"/>
              </w:rPr>
            </w:pPr>
          </w:p>
          <w:p w14:paraId="17481236">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65F9C3E7">
            <w:pPr>
              <w:spacing w:line="264" w:lineRule="auto"/>
              <w:rPr>
                <w:rFonts w:ascii="Arial"/>
                <w:sz w:val="21"/>
              </w:rPr>
            </w:pPr>
          </w:p>
          <w:p w14:paraId="021C0E29">
            <w:pPr>
              <w:spacing w:line="265" w:lineRule="auto"/>
              <w:rPr>
                <w:rFonts w:ascii="Arial"/>
                <w:sz w:val="21"/>
              </w:rPr>
            </w:pPr>
          </w:p>
          <w:p w14:paraId="66CFA834">
            <w:pPr>
              <w:spacing w:line="265" w:lineRule="auto"/>
              <w:rPr>
                <w:rFonts w:ascii="Arial"/>
                <w:sz w:val="21"/>
              </w:rPr>
            </w:pPr>
          </w:p>
          <w:p w14:paraId="108864DC">
            <w:pPr>
              <w:spacing w:line="265" w:lineRule="auto"/>
              <w:rPr>
                <w:rFonts w:ascii="Arial"/>
                <w:sz w:val="21"/>
              </w:rPr>
            </w:pPr>
          </w:p>
          <w:p w14:paraId="1A8EBC74">
            <w:pPr>
              <w:spacing w:line="265" w:lineRule="auto"/>
              <w:rPr>
                <w:rFonts w:ascii="Arial"/>
                <w:sz w:val="21"/>
              </w:rPr>
            </w:pPr>
          </w:p>
          <w:p w14:paraId="4E127776">
            <w:pPr>
              <w:pStyle w:val="8"/>
              <w:spacing w:before="59" w:line="223" w:lineRule="auto"/>
              <w:ind w:left="68" w:right="61" w:firstLine="21"/>
              <w:jc w:val="both"/>
              <w:rPr>
                <w:rFonts w:hint="eastAsia" w:eastAsia="宋体"/>
                <w:lang w:eastAsia="zh-CN"/>
              </w:rPr>
            </w:pPr>
            <w:r>
              <w:rPr>
                <w:rFonts w:hint="eastAsia"/>
                <w:spacing w:val="-6"/>
                <w:lang w:eastAsia="zh-CN"/>
              </w:rPr>
              <w:t>津市市交通运输综合行政执法大队</w:t>
            </w:r>
          </w:p>
        </w:tc>
      </w:tr>
      <w:tr w14:paraId="064DA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7" w:hRule="atLeast"/>
        </w:trPr>
        <w:tc>
          <w:tcPr>
            <w:tcW w:w="629" w:type="dxa"/>
            <w:vAlign w:val="top"/>
          </w:tcPr>
          <w:p w14:paraId="1E1B6AE7">
            <w:pPr>
              <w:spacing w:line="256" w:lineRule="auto"/>
              <w:rPr>
                <w:rFonts w:ascii="Arial"/>
                <w:sz w:val="21"/>
              </w:rPr>
            </w:pPr>
          </w:p>
          <w:p w14:paraId="5D1EC944">
            <w:pPr>
              <w:spacing w:line="256" w:lineRule="auto"/>
              <w:rPr>
                <w:rFonts w:ascii="Arial"/>
                <w:sz w:val="21"/>
              </w:rPr>
            </w:pPr>
          </w:p>
          <w:p w14:paraId="560CD98E">
            <w:pPr>
              <w:spacing w:line="256" w:lineRule="auto"/>
              <w:rPr>
                <w:rFonts w:ascii="Arial"/>
                <w:sz w:val="21"/>
              </w:rPr>
            </w:pPr>
          </w:p>
          <w:p w14:paraId="6086EB3F">
            <w:pPr>
              <w:pStyle w:val="8"/>
              <w:spacing w:before="59" w:line="183" w:lineRule="auto"/>
              <w:ind w:left="235"/>
              <w:rPr>
                <w:rFonts w:hint="eastAsia" w:eastAsia="宋体"/>
                <w:lang w:eastAsia="zh-CN"/>
              </w:rPr>
            </w:pPr>
            <w:r>
              <w:rPr>
                <w:spacing w:val="-5"/>
              </w:rPr>
              <w:t>2</w:t>
            </w:r>
            <w:r>
              <w:rPr>
                <w:rFonts w:hint="eastAsia"/>
                <w:spacing w:val="-5"/>
                <w:lang w:val="en-US" w:eastAsia="zh-CN"/>
              </w:rPr>
              <w:t>6</w:t>
            </w:r>
          </w:p>
        </w:tc>
        <w:tc>
          <w:tcPr>
            <w:tcW w:w="1113" w:type="dxa"/>
            <w:vAlign w:val="top"/>
          </w:tcPr>
          <w:p w14:paraId="2AD99C0F">
            <w:pPr>
              <w:pStyle w:val="8"/>
              <w:spacing w:before="25" w:line="222" w:lineRule="auto"/>
              <w:ind w:left="95" w:right="90"/>
            </w:pPr>
            <w:r>
              <w:rPr>
                <w:spacing w:val="4"/>
              </w:rPr>
              <w:t>对需要立即</w:t>
            </w:r>
            <w:r>
              <w:rPr>
                <w:spacing w:val="1"/>
              </w:rPr>
              <w:t xml:space="preserve"> </w:t>
            </w:r>
            <w:r>
              <w:rPr>
                <w:spacing w:val="-1"/>
              </w:rPr>
              <w:t>清除道路、</w:t>
            </w:r>
            <w:r>
              <w:t xml:space="preserve"> </w:t>
            </w:r>
            <w:r>
              <w:rPr>
                <w:spacing w:val="-8"/>
              </w:rPr>
              <w:t>航</w:t>
            </w:r>
            <w:r>
              <w:rPr>
                <w:spacing w:val="-12"/>
              </w:rPr>
              <w:t xml:space="preserve"> </w:t>
            </w:r>
            <w:r>
              <w:rPr>
                <w:spacing w:val="-8"/>
              </w:rPr>
              <w:t>道</w:t>
            </w:r>
            <w:r>
              <w:rPr>
                <w:spacing w:val="-15"/>
              </w:rPr>
              <w:t xml:space="preserve"> </w:t>
            </w:r>
            <w:r>
              <w:rPr>
                <w:spacing w:val="-8"/>
              </w:rPr>
              <w:t>遗</w:t>
            </w:r>
            <w:r>
              <w:rPr>
                <w:spacing w:val="-11"/>
              </w:rPr>
              <w:t xml:space="preserve"> </w:t>
            </w:r>
            <w:r>
              <w:rPr>
                <w:spacing w:val="-8"/>
              </w:rPr>
              <w:t>洒</w:t>
            </w:r>
            <w:r>
              <w:t xml:space="preserve"> </w:t>
            </w:r>
            <w:r>
              <w:rPr>
                <w:spacing w:val="4"/>
              </w:rPr>
              <w:t>物、障碍物</w:t>
            </w:r>
            <w:r>
              <w:t xml:space="preserve"> </w:t>
            </w:r>
            <w:r>
              <w:rPr>
                <w:spacing w:val="-9"/>
              </w:rPr>
              <w:t>或</w:t>
            </w:r>
            <w:r>
              <w:rPr>
                <w:spacing w:val="-11"/>
              </w:rPr>
              <w:t xml:space="preserve"> </w:t>
            </w:r>
            <w:r>
              <w:rPr>
                <w:spacing w:val="-9"/>
              </w:rPr>
              <w:t>者</w:t>
            </w:r>
            <w:r>
              <w:rPr>
                <w:spacing w:val="-12"/>
              </w:rPr>
              <w:t xml:space="preserve"> </w:t>
            </w:r>
            <w:r>
              <w:rPr>
                <w:spacing w:val="-9"/>
              </w:rPr>
              <w:t>污</w:t>
            </w:r>
            <w:r>
              <w:rPr>
                <w:spacing w:val="-11"/>
              </w:rPr>
              <w:t xml:space="preserve"> </w:t>
            </w:r>
            <w:r>
              <w:rPr>
                <w:spacing w:val="-9"/>
              </w:rPr>
              <w:t>染</w:t>
            </w:r>
            <w:r>
              <w:t xml:space="preserve"> </w:t>
            </w:r>
            <w:r>
              <w:rPr>
                <w:spacing w:val="4"/>
              </w:rPr>
              <w:t>物，当事人</w:t>
            </w:r>
            <w:r>
              <w:t xml:space="preserve"> </w:t>
            </w:r>
            <w:r>
              <w:rPr>
                <w:spacing w:val="4"/>
              </w:rPr>
              <w:t>不能清除的</w:t>
            </w:r>
            <w:r>
              <w:t xml:space="preserve"> </w:t>
            </w:r>
            <w:r>
              <w:rPr>
                <w:spacing w:val="-3"/>
              </w:rPr>
              <w:t>行政强制</w:t>
            </w:r>
          </w:p>
        </w:tc>
        <w:tc>
          <w:tcPr>
            <w:tcW w:w="1113" w:type="dxa"/>
            <w:vAlign w:val="top"/>
          </w:tcPr>
          <w:p w14:paraId="1DEF8ABE">
            <w:pPr>
              <w:spacing w:line="246" w:lineRule="auto"/>
              <w:rPr>
                <w:rFonts w:ascii="Arial"/>
                <w:sz w:val="21"/>
              </w:rPr>
            </w:pPr>
          </w:p>
          <w:p w14:paraId="0C2F9321">
            <w:pPr>
              <w:spacing w:line="247" w:lineRule="auto"/>
              <w:rPr>
                <w:rFonts w:ascii="Arial"/>
                <w:sz w:val="21"/>
              </w:rPr>
            </w:pPr>
          </w:p>
          <w:p w14:paraId="2FA5694F">
            <w:pPr>
              <w:spacing w:line="247" w:lineRule="auto"/>
              <w:rPr>
                <w:rFonts w:ascii="Arial"/>
                <w:sz w:val="21"/>
              </w:rPr>
            </w:pPr>
          </w:p>
          <w:p w14:paraId="2B991738">
            <w:pPr>
              <w:pStyle w:val="8"/>
              <w:spacing w:before="59" w:line="220" w:lineRule="auto"/>
              <w:ind w:left="10"/>
            </w:pPr>
            <w:r>
              <w:rPr>
                <w:spacing w:val="-4"/>
              </w:rPr>
              <w:t>行政强制</w:t>
            </w:r>
          </w:p>
        </w:tc>
        <w:tc>
          <w:tcPr>
            <w:tcW w:w="8631" w:type="dxa"/>
            <w:vAlign w:val="top"/>
          </w:tcPr>
          <w:p w14:paraId="593C89B6">
            <w:pPr>
              <w:pStyle w:val="8"/>
              <w:spacing w:before="26" w:line="219" w:lineRule="auto"/>
              <w:ind w:left="480"/>
            </w:pPr>
            <w:r>
              <w:rPr>
                <w:b/>
                <w:bCs/>
                <w:spacing w:val="-5"/>
              </w:rPr>
              <w:t>1.《中华人民共和国行政强制法》</w:t>
            </w:r>
          </w:p>
          <w:p w14:paraId="5B90D3EC">
            <w:pPr>
              <w:pStyle w:val="8"/>
              <w:spacing w:before="5" w:line="224" w:lineRule="auto"/>
              <w:ind w:left="116" w:right="107" w:firstLine="350"/>
              <w:jc w:val="both"/>
            </w:pPr>
            <w:r>
              <w:rPr>
                <w:spacing w:val="-1"/>
              </w:rPr>
              <w:t>第五十二条  需要立即清除道路、河道、航道或者公共场所的遗洒物、障碍物或者污染物</w:t>
            </w:r>
            <w:r>
              <w:rPr>
                <w:spacing w:val="-2"/>
              </w:rPr>
              <w:t>，当事人不能</w:t>
            </w:r>
            <w:r>
              <w:t xml:space="preserve"> </w:t>
            </w:r>
            <w:r>
              <w:rPr>
                <w:spacing w:val="-1"/>
              </w:rPr>
              <w:t>清除的，行政机关可以决定立即实施代履行；当事人不在场的，行政机关应当在</w:t>
            </w:r>
            <w:r>
              <w:rPr>
                <w:spacing w:val="-2"/>
              </w:rPr>
              <w:t>事后立即通知当事人，并依</w:t>
            </w:r>
            <w:r>
              <w:t xml:space="preserve"> </w:t>
            </w:r>
            <w:r>
              <w:rPr>
                <w:spacing w:val="-3"/>
              </w:rPr>
              <w:t>法作出处理。</w:t>
            </w:r>
          </w:p>
          <w:p w14:paraId="69CAE19A">
            <w:pPr>
              <w:pStyle w:val="8"/>
              <w:spacing w:before="6" w:line="219" w:lineRule="auto"/>
              <w:ind w:left="468"/>
            </w:pPr>
            <w:r>
              <w:rPr>
                <w:b/>
                <w:bCs/>
                <w:spacing w:val="-4"/>
              </w:rPr>
              <w:t>2.《湖南省实施</w:t>
            </w:r>
            <w:r>
              <w:rPr>
                <w:rFonts w:hint="eastAsia"/>
                <w:b/>
                <w:bCs/>
                <w:spacing w:val="-4"/>
                <w:lang w:eastAsia="zh-CN"/>
              </w:rPr>
              <w:t>〈</w:t>
            </w:r>
            <w:r>
              <w:rPr>
                <w:b/>
                <w:bCs/>
                <w:spacing w:val="-4"/>
              </w:rPr>
              <w:t>中华人民共和国公路法</w:t>
            </w:r>
            <w:r>
              <w:rPr>
                <w:rFonts w:hint="eastAsia"/>
                <w:b/>
                <w:bCs/>
                <w:spacing w:val="-4"/>
                <w:lang w:eastAsia="zh-CN"/>
              </w:rPr>
              <w:t>〉</w:t>
            </w:r>
            <w:r>
              <w:rPr>
                <w:b/>
                <w:bCs/>
                <w:spacing w:val="-4"/>
              </w:rPr>
              <w:t>办法》</w:t>
            </w:r>
          </w:p>
          <w:p w14:paraId="347569F4">
            <w:pPr>
              <w:pStyle w:val="8"/>
              <w:spacing w:before="7" w:line="215" w:lineRule="auto"/>
              <w:ind w:left="117" w:right="107" w:firstLine="348"/>
              <w:jc w:val="both"/>
            </w:pPr>
            <w:r>
              <w:rPr>
                <w:spacing w:val="-1"/>
              </w:rPr>
              <w:t>第三十条  在高速公路上阻碍交通的滞留车辆、抛洒物或者公路设施、路面构造物毁损等障碍，</w:t>
            </w:r>
            <w:r>
              <w:rPr>
                <w:spacing w:val="-2"/>
              </w:rPr>
              <w:t>高速公</w:t>
            </w:r>
            <w:r>
              <w:t xml:space="preserve"> </w:t>
            </w:r>
            <w:r>
              <w:rPr>
                <w:spacing w:val="-1"/>
              </w:rPr>
              <w:t>路管理机构应当组织清除，保障高速公路运行安全和畅通。发生交通安全事故</w:t>
            </w:r>
            <w:r>
              <w:rPr>
                <w:spacing w:val="-2"/>
              </w:rPr>
              <w:t>的，由公安交通管理部门按照</w:t>
            </w:r>
            <w:r>
              <w:t xml:space="preserve"> </w:t>
            </w:r>
            <w:r>
              <w:rPr>
                <w:spacing w:val="-3"/>
              </w:rPr>
              <w:t>国家法律、行政法规的规定处理。</w:t>
            </w:r>
          </w:p>
        </w:tc>
        <w:tc>
          <w:tcPr>
            <w:tcW w:w="1022" w:type="dxa"/>
            <w:vAlign w:val="top"/>
          </w:tcPr>
          <w:p w14:paraId="6D7F86AF">
            <w:pPr>
              <w:spacing w:line="303" w:lineRule="auto"/>
              <w:rPr>
                <w:rFonts w:ascii="Arial"/>
                <w:sz w:val="21"/>
              </w:rPr>
            </w:pPr>
          </w:p>
          <w:p w14:paraId="0B32E1C2">
            <w:pPr>
              <w:spacing w:line="304" w:lineRule="auto"/>
              <w:rPr>
                <w:rFonts w:ascii="Arial"/>
                <w:sz w:val="21"/>
              </w:rPr>
            </w:pPr>
          </w:p>
          <w:p w14:paraId="48FB7B63">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4D177F54">
            <w:pPr>
              <w:spacing w:line="242" w:lineRule="auto"/>
              <w:rPr>
                <w:rFonts w:ascii="Arial"/>
                <w:sz w:val="21"/>
              </w:rPr>
            </w:pPr>
          </w:p>
          <w:p w14:paraId="71EEFBA0">
            <w:pPr>
              <w:spacing w:line="242" w:lineRule="auto"/>
              <w:rPr>
                <w:rFonts w:ascii="Arial"/>
                <w:sz w:val="21"/>
              </w:rPr>
            </w:pPr>
          </w:p>
          <w:p w14:paraId="5D7B36A3">
            <w:pPr>
              <w:spacing w:line="242" w:lineRule="auto"/>
              <w:rPr>
                <w:rFonts w:ascii="Arial"/>
                <w:sz w:val="21"/>
              </w:rPr>
            </w:pPr>
          </w:p>
          <w:p w14:paraId="143DA95C">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272921FC">
            <w:pPr>
              <w:spacing w:line="244" w:lineRule="auto"/>
              <w:rPr>
                <w:rFonts w:ascii="Arial"/>
                <w:sz w:val="21"/>
              </w:rPr>
            </w:pPr>
          </w:p>
          <w:p w14:paraId="700BDEC1">
            <w:pPr>
              <w:spacing w:line="244" w:lineRule="auto"/>
              <w:rPr>
                <w:rFonts w:ascii="Arial"/>
                <w:sz w:val="21"/>
              </w:rPr>
            </w:pPr>
          </w:p>
          <w:p w14:paraId="2C3D892F">
            <w:pPr>
              <w:pStyle w:val="8"/>
              <w:spacing w:before="59"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bl>
    <w:p w14:paraId="60B8FE2C">
      <w:pPr>
        <w:pStyle w:val="2"/>
      </w:pPr>
    </w:p>
    <w:p w14:paraId="70BD1CE4">
      <w:pPr>
        <w:sectPr>
          <w:footerReference r:id="rId71" w:type="default"/>
          <w:pgSz w:w="16840" w:h="11910"/>
          <w:pgMar w:top="1012" w:right="940" w:bottom="966" w:left="940" w:header="0" w:footer="768" w:gutter="0"/>
          <w:cols w:space="720" w:num="1"/>
        </w:sectPr>
      </w:pPr>
    </w:p>
    <w:p w14:paraId="69265D87">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3B6DF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6EE3F101">
            <w:pPr>
              <w:pStyle w:val="8"/>
              <w:spacing w:before="259" w:line="221" w:lineRule="auto"/>
              <w:ind w:left="148"/>
            </w:pPr>
            <w:r>
              <w:rPr>
                <w:b/>
                <w:bCs/>
                <w:spacing w:val="-6"/>
              </w:rPr>
              <w:t>序号</w:t>
            </w:r>
          </w:p>
        </w:tc>
        <w:tc>
          <w:tcPr>
            <w:tcW w:w="1113" w:type="dxa"/>
            <w:vMerge w:val="restart"/>
            <w:tcBorders>
              <w:bottom w:val="nil"/>
            </w:tcBorders>
            <w:vAlign w:val="top"/>
          </w:tcPr>
          <w:p w14:paraId="74572287">
            <w:pPr>
              <w:pStyle w:val="8"/>
              <w:spacing w:before="260" w:line="220" w:lineRule="auto"/>
              <w:ind w:left="201"/>
            </w:pPr>
            <w:r>
              <w:rPr>
                <w:b/>
                <w:bCs/>
                <w:spacing w:val="-5"/>
              </w:rPr>
              <w:t>事项名称</w:t>
            </w:r>
          </w:p>
        </w:tc>
        <w:tc>
          <w:tcPr>
            <w:tcW w:w="1113" w:type="dxa"/>
            <w:vMerge w:val="restart"/>
            <w:tcBorders>
              <w:bottom w:val="nil"/>
            </w:tcBorders>
            <w:vAlign w:val="top"/>
          </w:tcPr>
          <w:p w14:paraId="3E0364C6">
            <w:pPr>
              <w:pStyle w:val="8"/>
              <w:spacing w:before="260" w:line="219" w:lineRule="auto"/>
              <w:ind w:left="202"/>
            </w:pPr>
            <w:r>
              <w:rPr>
                <w:b/>
                <w:bCs/>
                <w:spacing w:val="-5"/>
              </w:rPr>
              <w:t>职权类型</w:t>
            </w:r>
          </w:p>
        </w:tc>
        <w:tc>
          <w:tcPr>
            <w:tcW w:w="8631" w:type="dxa"/>
            <w:vMerge w:val="restart"/>
            <w:tcBorders>
              <w:bottom w:val="nil"/>
            </w:tcBorders>
            <w:vAlign w:val="top"/>
          </w:tcPr>
          <w:p w14:paraId="581D736B">
            <w:pPr>
              <w:pStyle w:val="8"/>
              <w:spacing w:before="259" w:line="219" w:lineRule="auto"/>
              <w:ind w:left="3970"/>
            </w:pPr>
            <w:r>
              <w:rPr>
                <w:b/>
                <w:bCs/>
                <w:spacing w:val="-6"/>
              </w:rPr>
              <w:t>实施依据</w:t>
            </w:r>
          </w:p>
        </w:tc>
        <w:tc>
          <w:tcPr>
            <w:tcW w:w="3468" w:type="dxa"/>
            <w:gridSpan w:val="3"/>
            <w:vAlign w:val="top"/>
          </w:tcPr>
          <w:p w14:paraId="7E667068">
            <w:pPr>
              <w:pStyle w:val="8"/>
              <w:spacing w:before="82" w:line="220" w:lineRule="auto"/>
              <w:ind w:left="1389"/>
            </w:pPr>
            <w:r>
              <w:rPr>
                <w:b/>
                <w:bCs/>
                <w:spacing w:val="-6"/>
              </w:rPr>
              <w:t>实施主体</w:t>
            </w:r>
          </w:p>
        </w:tc>
      </w:tr>
      <w:tr w14:paraId="6622E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28B796D2">
            <w:pPr>
              <w:rPr>
                <w:rFonts w:ascii="Arial"/>
                <w:sz w:val="21"/>
              </w:rPr>
            </w:pPr>
          </w:p>
        </w:tc>
        <w:tc>
          <w:tcPr>
            <w:tcW w:w="1113" w:type="dxa"/>
            <w:vMerge w:val="continue"/>
            <w:tcBorders>
              <w:top w:val="nil"/>
            </w:tcBorders>
            <w:vAlign w:val="top"/>
          </w:tcPr>
          <w:p w14:paraId="48CA8F32">
            <w:pPr>
              <w:rPr>
                <w:rFonts w:ascii="Arial"/>
                <w:sz w:val="21"/>
              </w:rPr>
            </w:pPr>
          </w:p>
        </w:tc>
        <w:tc>
          <w:tcPr>
            <w:tcW w:w="1113" w:type="dxa"/>
            <w:vMerge w:val="continue"/>
            <w:tcBorders>
              <w:top w:val="nil"/>
            </w:tcBorders>
            <w:vAlign w:val="top"/>
          </w:tcPr>
          <w:p w14:paraId="39E76D2C">
            <w:pPr>
              <w:rPr>
                <w:rFonts w:ascii="Arial"/>
                <w:sz w:val="21"/>
              </w:rPr>
            </w:pPr>
          </w:p>
        </w:tc>
        <w:tc>
          <w:tcPr>
            <w:tcW w:w="8631" w:type="dxa"/>
            <w:vMerge w:val="continue"/>
            <w:tcBorders>
              <w:top w:val="nil"/>
            </w:tcBorders>
            <w:vAlign w:val="top"/>
          </w:tcPr>
          <w:p w14:paraId="03495D48">
            <w:pPr>
              <w:rPr>
                <w:rFonts w:ascii="Arial"/>
                <w:sz w:val="21"/>
              </w:rPr>
            </w:pPr>
          </w:p>
        </w:tc>
        <w:tc>
          <w:tcPr>
            <w:tcW w:w="1022" w:type="dxa"/>
            <w:vAlign w:val="top"/>
          </w:tcPr>
          <w:p w14:paraId="3B1EFF1E">
            <w:pPr>
              <w:pStyle w:val="8"/>
              <w:spacing w:before="84" w:line="219" w:lineRule="auto"/>
              <w:ind w:left="170"/>
            </w:pPr>
            <w:r>
              <w:rPr>
                <w:b/>
                <w:bCs/>
                <w:spacing w:val="-6"/>
              </w:rPr>
              <w:t>责任部门</w:t>
            </w:r>
          </w:p>
        </w:tc>
        <w:tc>
          <w:tcPr>
            <w:tcW w:w="1419" w:type="dxa"/>
            <w:vAlign w:val="top"/>
          </w:tcPr>
          <w:p w14:paraId="48633CD6">
            <w:pPr>
              <w:pStyle w:val="8"/>
              <w:spacing w:before="84" w:line="219" w:lineRule="auto"/>
              <w:ind w:left="183"/>
            </w:pPr>
            <w:r>
              <w:rPr>
                <w:b/>
                <w:bCs/>
                <w:spacing w:val="-4"/>
              </w:rPr>
              <w:t>第一责任层级</w:t>
            </w:r>
          </w:p>
        </w:tc>
        <w:tc>
          <w:tcPr>
            <w:tcW w:w="1027" w:type="dxa"/>
            <w:vAlign w:val="top"/>
          </w:tcPr>
          <w:p w14:paraId="3C0AE3E1">
            <w:pPr>
              <w:pStyle w:val="8"/>
              <w:spacing w:before="83" w:line="219" w:lineRule="auto"/>
              <w:ind w:left="161"/>
            </w:pPr>
            <w:r>
              <w:rPr>
                <w:b/>
                <w:bCs/>
                <w:spacing w:val="-5"/>
              </w:rPr>
              <w:t>承办机构</w:t>
            </w:r>
          </w:p>
        </w:tc>
      </w:tr>
      <w:tr w14:paraId="15F63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629" w:type="dxa"/>
            <w:vAlign w:val="top"/>
          </w:tcPr>
          <w:p w14:paraId="1436FF1C">
            <w:pPr>
              <w:spacing w:line="279" w:lineRule="auto"/>
              <w:rPr>
                <w:rFonts w:ascii="Arial"/>
                <w:sz w:val="21"/>
              </w:rPr>
            </w:pPr>
          </w:p>
          <w:p w14:paraId="4CBEB18C">
            <w:pPr>
              <w:spacing w:line="279" w:lineRule="auto"/>
              <w:rPr>
                <w:rFonts w:ascii="Arial"/>
                <w:sz w:val="21"/>
              </w:rPr>
            </w:pPr>
          </w:p>
          <w:p w14:paraId="3206B9C9">
            <w:pPr>
              <w:spacing w:line="280" w:lineRule="auto"/>
              <w:rPr>
                <w:rFonts w:ascii="Arial"/>
                <w:sz w:val="21"/>
              </w:rPr>
            </w:pPr>
          </w:p>
          <w:p w14:paraId="78F07C64">
            <w:pPr>
              <w:spacing w:line="280" w:lineRule="auto"/>
              <w:rPr>
                <w:rFonts w:ascii="Arial"/>
                <w:sz w:val="21"/>
              </w:rPr>
            </w:pPr>
          </w:p>
          <w:p w14:paraId="5B775EA9">
            <w:pPr>
              <w:spacing w:line="280" w:lineRule="auto"/>
              <w:rPr>
                <w:rFonts w:ascii="Arial"/>
                <w:sz w:val="21"/>
              </w:rPr>
            </w:pPr>
          </w:p>
          <w:p w14:paraId="44B01DB4">
            <w:pPr>
              <w:spacing w:line="280" w:lineRule="auto"/>
              <w:rPr>
                <w:rFonts w:ascii="Arial"/>
                <w:sz w:val="21"/>
              </w:rPr>
            </w:pPr>
          </w:p>
          <w:p w14:paraId="4C557B82">
            <w:pPr>
              <w:pStyle w:val="8"/>
              <w:spacing w:before="58" w:line="183" w:lineRule="auto"/>
              <w:ind w:left="236"/>
              <w:rPr>
                <w:rFonts w:hint="default" w:eastAsia="宋体"/>
                <w:lang w:val="en-US" w:eastAsia="zh-CN"/>
              </w:rPr>
            </w:pPr>
            <w:r>
              <w:rPr>
                <w:rFonts w:hint="eastAsia"/>
                <w:spacing w:val="-6"/>
                <w:lang w:val="en-US" w:eastAsia="zh-CN"/>
              </w:rPr>
              <w:t>27</w:t>
            </w:r>
          </w:p>
        </w:tc>
        <w:tc>
          <w:tcPr>
            <w:tcW w:w="1113" w:type="dxa"/>
            <w:vAlign w:val="top"/>
          </w:tcPr>
          <w:p w14:paraId="6E0BD4C3">
            <w:pPr>
              <w:spacing w:line="271" w:lineRule="auto"/>
              <w:rPr>
                <w:rFonts w:ascii="Arial"/>
                <w:sz w:val="21"/>
              </w:rPr>
            </w:pPr>
          </w:p>
          <w:p w14:paraId="1AC9466F">
            <w:pPr>
              <w:spacing w:line="271" w:lineRule="auto"/>
              <w:rPr>
                <w:rFonts w:ascii="Arial"/>
                <w:sz w:val="21"/>
              </w:rPr>
            </w:pPr>
          </w:p>
          <w:p w14:paraId="23EF605E">
            <w:pPr>
              <w:spacing w:line="272" w:lineRule="auto"/>
              <w:rPr>
                <w:rFonts w:ascii="Arial"/>
                <w:sz w:val="21"/>
              </w:rPr>
            </w:pPr>
          </w:p>
          <w:p w14:paraId="5E299479">
            <w:pPr>
              <w:pStyle w:val="8"/>
              <w:spacing w:before="58" w:line="243" w:lineRule="auto"/>
              <w:ind w:left="95" w:right="90"/>
              <w:jc w:val="both"/>
            </w:pPr>
            <w:r>
              <w:rPr>
                <w:spacing w:val="-9"/>
              </w:rPr>
              <w:t>对</w:t>
            </w:r>
            <w:r>
              <w:rPr>
                <w:spacing w:val="-12"/>
              </w:rPr>
              <w:t xml:space="preserve"> </w:t>
            </w:r>
            <w:r>
              <w:rPr>
                <w:spacing w:val="-9"/>
              </w:rPr>
              <w:t>造</w:t>
            </w:r>
            <w:r>
              <w:rPr>
                <w:spacing w:val="-12"/>
              </w:rPr>
              <w:t xml:space="preserve"> </w:t>
            </w:r>
            <w:r>
              <w:rPr>
                <w:spacing w:val="-9"/>
              </w:rPr>
              <w:t>成 公</w:t>
            </w:r>
            <w:r>
              <w:t xml:space="preserve"> </w:t>
            </w:r>
            <w:r>
              <w:rPr>
                <w:spacing w:val="4"/>
              </w:rPr>
              <w:t>路、公路附</w:t>
            </w:r>
            <w:r>
              <w:rPr>
                <w:spacing w:val="1"/>
              </w:rPr>
              <w:t xml:space="preserve"> </w:t>
            </w:r>
            <w:r>
              <w:rPr>
                <w:spacing w:val="-8"/>
              </w:rPr>
              <w:t>属</w:t>
            </w:r>
            <w:r>
              <w:rPr>
                <w:spacing w:val="-10"/>
              </w:rPr>
              <w:t xml:space="preserve"> </w:t>
            </w:r>
            <w:r>
              <w:rPr>
                <w:spacing w:val="-8"/>
              </w:rPr>
              <w:t>设</w:t>
            </w:r>
            <w:r>
              <w:rPr>
                <w:spacing w:val="-14"/>
              </w:rPr>
              <w:t xml:space="preserve"> </w:t>
            </w:r>
            <w:r>
              <w:rPr>
                <w:spacing w:val="-8"/>
              </w:rPr>
              <w:t>施</w:t>
            </w:r>
            <w:r>
              <w:rPr>
                <w:spacing w:val="-13"/>
              </w:rPr>
              <w:t xml:space="preserve"> </w:t>
            </w:r>
            <w:r>
              <w:rPr>
                <w:spacing w:val="-8"/>
              </w:rPr>
              <w:t>损</w:t>
            </w:r>
            <w:r>
              <w:t xml:space="preserve"> </w:t>
            </w:r>
            <w:r>
              <w:rPr>
                <w:spacing w:val="4"/>
              </w:rPr>
              <w:t>坏，拒不接</w:t>
            </w:r>
            <w:r>
              <w:rPr>
                <w:spacing w:val="1"/>
              </w:rPr>
              <w:t xml:space="preserve"> </w:t>
            </w:r>
            <w:r>
              <w:rPr>
                <w:spacing w:val="4"/>
              </w:rPr>
              <w:t>受公路管理</w:t>
            </w:r>
            <w:r>
              <w:rPr>
                <w:spacing w:val="1"/>
              </w:rPr>
              <w:t xml:space="preserve"> </w:t>
            </w:r>
            <w:r>
              <w:rPr>
                <w:spacing w:val="4"/>
              </w:rPr>
              <w:t>机构现场调</w:t>
            </w:r>
            <w:r>
              <w:rPr>
                <w:spacing w:val="1"/>
              </w:rPr>
              <w:t xml:space="preserve"> </w:t>
            </w:r>
            <w:r>
              <w:rPr>
                <w:spacing w:val="4"/>
              </w:rPr>
              <w:t>查处理行为</w:t>
            </w:r>
            <w:r>
              <w:rPr>
                <w:spacing w:val="1"/>
              </w:rPr>
              <w:t xml:space="preserve"> </w:t>
            </w:r>
            <w:r>
              <w:rPr>
                <w:spacing w:val="-3"/>
              </w:rPr>
              <w:t>的行政强制</w:t>
            </w:r>
          </w:p>
        </w:tc>
        <w:tc>
          <w:tcPr>
            <w:tcW w:w="1113" w:type="dxa"/>
            <w:vAlign w:val="top"/>
          </w:tcPr>
          <w:p w14:paraId="3B5AD7AC">
            <w:pPr>
              <w:spacing w:line="255" w:lineRule="auto"/>
              <w:rPr>
                <w:rFonts w:ascii="Arial"/>
                <w:sz w:val="21"/>
              </w:rPr>
            </w:pPr>
          </w:p>
          <w:p w14:paraId="363A2F6A">
            <w:pPr>
              <w:spacing w:line="255" w:lineRule="auto"/>
              <w:rPr>
                <w:rFonts w:ascii="Arial"/>
                <w:sz w:val="21"/>
              </w:rPr>
            </w:pPr>
          </w:p>
          <w:p w14:paraId="601B2566">
            <w:pPr>
              <w:spacing w:line="255" w:lineRule="auto"/>
              <w:rPr>
                <w:rFonts w:ascii="Arial"/>
                <w:sz w:val="21"/>
              </w:rPr>
            </w:pPr>
          </w:p>
          <w:p w14:paraId="6FD9CC89">
            <w:pPr>
              <w:spacing w:line="255" w:lineRule="auto"/>
              <w:rPr>
                <w:rFonts w:ascii="Arial"/>
                <w:sz w:val="21"/>
              </w:rPr>
            </w:pPr>
          </w:p>
          <w:p w14:paraId="06268F4C">
            <w:pPr>
              <w:spacing w:line="255" w:lineRule="auto"/>
              <w:rPr>
                <w:rFonts w:ascii="Arial"/>
                <w:sz w:val="21"/>
              </w:rPr>
            </w:pPr>
          </w:p>
          <w:p w14:paraId="787B1443">
            <w:pPr>
              <w:spacing w:line="255" w:lineRule="auto"/>
              <w:rPr>
                <w:rFonts w:ascii="Arial"/>
                <w:sz w:val="21"/>
              </w:rPr>
            </w:pPr>
          </w:p>
          <w:p w14:paraId="3507D2F7">
            <w:pPr>
              <w:pStyle w:val="8"/>
              <w:spacing w:before="59" w:line="220" w:lineRule="auto"/>
              <w:ind w:left="10"/>
            </w:pPr>
            <w:r>
              <w:rPr>
                <w:spacing w:val="-4"/>
              </w:rPr>
              <w:t>行政强制</w:t>
            </w:r>
          </w:p>
        </w:tc>
        <w:tc>
          <w:tcPr>
            <w:tcW w:w="8631" w:type="dxa"/>
            <w:vAlign w:val="top"/>
          </w:tcPr>
          <w:p w14:paraId="33223297">
            <w:pPr>
              <w:pStyle w:val="8"/>
              <w:spacing w:before="38" w:line="219" w:lineRule="auto"/>
              <w:ind w:left="480"/>
            </w:pPr>
            <w:r>
              <w:rPr>
                <w:b/>
                <w:bCs/>
                <w:spacing w:val="-5"/>
              </w:rPr>
              <w:t>1.《中华人民共和国公路法》</w:t>
            </w:r>
          </w:p>
          <w:p w14:paraId="4E9C3B32">
            <w:pPr>
              <w:pStyle w:val="8"/>
              <w:spacing w:before="25" w:line="219" w:lineRule="auto"/>
              <w:ind w:left="466"/>
            </w:pPr>
            <w:r>
              <w:rPr>
                <w:spacing w:val="-1"/>
              </w:rPr>
              <w:t>第七条  公路受国家保护，任何单位和个人不得破坏、损坏或者非法占用公路、公路用地及公路</w:t>
            </w:r>
            <w:r>
              <w:rPr>
                <w:spacing w:val="-2"/>
              </w:rPr>
              <w:t>附属设</w:t>
            </w:r>
          </w:p>
          <w:p w14:paraId="4EE9BB88">
            <w:pPr>
              <w:pStyle w:val="8"/>
              <w:spacing w:before="27" w:line="222" w:lineRule="auto"/>
              <w:ind w:left="115"/>
            </w:pPr>
            <w:r>
              <w:rPr>
                <w:spacing w:val="-4"/>
              </w:rPr>
              <w:t>施。</w:t>
            </w:r>
          </w:p>
          <w:p w14:paraId="15EC1D09">
            <w:pPr>
              <w:pStyle w:val="8"/>
              <w:spacing w:before="22" w:line="233" w:lineRule="auto"/>
              <w:ind w:left="117" w:right="109" w:firstLine="348"/>
            </w:pPr>
            <w:r>
              <w:rPr>
                <w:spacing w:val="-1"/>
              </w:rPr>
              <w:t>任何单位和个人都有爱护公路、公路用地及公路附属设施的义务，有权检举和控告破坏、</w:t>
            </w:r>
            <w:r>
              <w:rPr>
                <w:spacing w:val="-2"/>
              </w:rPr>
              <w:t>损坏公路、公</w:t>
            </w:r>
            <w:r>
              <w:t xml:space="preserve"> </w:t>
            </w:r>
            <w:r>
              <w:rPr>
                <w:spacing w:val="-3"/>
              </w:rPr>
              <w:t>路用地、公路附属设施和影响公路安全的行为。</w:t>
            </w:r>
          </w:p>
          <w:p w14:paraId="196719D5">
            <w:pPr>
              <w:pStyle w:val="8"/>
              <w:spacing w:before="26" w:line="218" w:lineRule="auto"/>
              <w:ind w:left="466"/>
            </w:pPr>
            <w:r>
              <w:rPr>
                <w:spacing w:val="-2"/>
              </w:rPr>
              <w:t>第五十三条  造成公路损坏的，责任者应当及时报告公路管理机构，并接受公路管理机构的现场</w:t>
            </w:r>
            <w:r>
              <w:rPr>
                <w:spacing w:val="-3"/>
              </w:rPr>
              <w:t>调查。</w:t>
            </w:r>
          </w:p>
          <w:p w14:paraId="3FBF049D">
            <w:pPr>
              <w:pStyle w:val="8"/>
              <w:spacing w:before="28" w:line="219" w:lineRule="auto"/>
              <w:ind w:left="468"/>
            </w:pPr>
            <w:r>
              <w:rPr>
                <w:b/>
                <w:bCs/>
                <w:spacing w:val="-4"/>
              </w:rPr>
              <w:t>2.《公路安全保护条例》</w:t>
            </w:r>
          </w:p>
          <w:p w14:paraId="51454605">
            <w:pPr>
              <w:pStyle w:val="8"/>
              <w:spacing w:before="26" w:line="219" w:lineRule="auto"/>
              <w:ind w:left="466"/>
            </w:pPr>
            <w:r>
              <w:rPr>
                <w:spacing w:val="-2"/>
              </w:rPr>
              <w:t>第九条  任何单位和个人不得破坏、损坏、非法占用或者非法利用公路、公路用地和公路</w:t>
            </w:r>
            <w:r>
              <w:rPr>
                <w:spacing w:val="-3"/>
              </w:rPr>
              <w:t>附属设施。</w:t>
            </w:r>
          </w:p>
          <w:p w14:paraId="00013F1C">
            <w:pPr>
              <w:pStyle w:val="8"/>
              <w:spacing w:before="27" w:line="237" w:lineRule="auto"/>
              <w:ind w:left="118" w:right="107" w:firstLine="348"/>
            </w:pPr>
            <w:r>
              <w:rPr>
                <w:spacing w:val="-1"/>
              </w:rPr>
              <w:t>第七十一条  造成公路、公路附属设施损坏的单位和个人应当立即报告公路管理机构，接</w:t>
            </w:r>
            <w:r>
              <w:rPr>
                <w:spacing w:val="-2"/>
              </w:rPr>
              <w:t>受公路管理机</w:t>
            </w:r>
            <w:r>
              <w:t xml:space="preserve"> </w:t>
            </w:r>
            <w:r>
              <w:rPr>
                <w:spacing w:val="-1"/>
              </w:rPr>
              <w:t>构的现场调查处理；危及交通安全的，还应当设置警示标志或者采取其他安</w:t>
            </w:r>
            <w:r>
              <w:rPr>
                <w:spacing w:val="-2"/>
              </w:rPr>
              <w:t>全防护措施，并迅速报告</w:t>
            </w:r>
            <w:r>
              <w:rPr>
                <w:rFonts w:hint="eastAsia"/>
                <w:spacing w:val="-2"/>
                <w:lang w:eastAsia="zh-CN"/>
              </w:rPr>
              <w:t>公安机关</w:t>
            </w:r>
            <w:r>
              <w:rPr>
                <w:spacing w:val="-3"/>
              </w:rPr>
              <w:t>交通管理部门。</w:t>
            </w:r>
          </w:p>
          <w:p w14:paraId="48A5DD77">
            <w:pPr>
              <w:pStyle w:val="8"/>
              <w:spacing w:before="25" w:line="233" w:lineRule="auto"/>
              <w:ind w:left="117" w:right="109" w:firstLine="352"/>
            </w:pPr>
            <w:r>
              <w:rPr>
                <w:spacing w:val="-1"/>
              </w:rPr>
              <w:t>发生交通事故造成公路、公路附属设施损坏的，公安机关交通管理部门在处理交</w:t>
            </w:r>
            <w:r>
              <w:rPr>
                <w:spacing w:val="-2"/>
              </w:rPr>
              <w:t>通事故时应当及时通知</w:t>
            </w:r>
            <w:r>
              <w:t xml:space="preserve"> </w:t>
            </w:r>
            <w:r>
              <w:rPr>
                <w:spacing w:val="-3"/>
              </w:rPr>
              <w:t>有关公路管理机构到场调查处理。</w:t>
            </w:r>
          </w:p>
          <w:p w14:paraId="38012FB5">
            <w:pPr>
              <w:pStyle w:val="8"/>
              <w:spacing w:before="27" w:line="223" w:lineRule="auto"/>
              <w:ind w:left="136" w:right="109" w:firstLine="330"/>
            </w:pPr>
            <w:r>
              <w:rPr>
                <w:spacing w:val="-1"/>
              </w:rPr>
              <w:t>第七十二条  造成公路、公路附属设施损坏，拒不接受公路管理机构现场调查处理的，公</w:t>
            </w:r>
            <w:r>
              <w:rPr>
                <w:spacing w:val="-2"/>
              </w:rPr>
              <w:t>路管理机构可</w:t>
            </w:r>
            <w:r>
              <w:t xml:space="preserve"> </w:t>
            </w:r>
            <w:r>
              <w:rPr>
                <w:spacing w:val="-5"/>
              </w:rPr>
              <w:t>以扣留车辆、工具。</w:t>
            </w:r>
          </w:p>
        </w:tc>
        <w:tc>
          <w:tcPr>
            <w:tcW w:w="1022" w:type="dxa"/>
            <w:vAlign w:val="top"/>
          </w:tcPr>
          <w:p w14:paraId="39740449">
            <w:pPr>
              <w:spacing w:line="252" w:lineRule="auto"/>
              <w:rPr>
                <w:rFonts w:ascii="Arial"/>
                <w:sz w:val="21"/>
              </w:rPr>
            </w:pPr>
          </w:p>
          <w:p w14:paraId="652387AC">
            <w:pPr>
              <w:spacing w:line="252" w:lineRule="auto"/>
              <w:rPr>
                <w:rFonts w:ascii="Arial"/>
                <w:sz w:val="21"/>
              </w:rPr>
            </w:pPr>
          </w:p>
          <w:p w14:paraId="24E3B3B4">
            <w:pPr>
              <w:spacing w:line="253" w:lineRule="auto"/>
              <w:rPr>
                <w:rFonts w:ascii="Arial"/>
                <w:sz w:val="21"/>
              </w:rPr>
            </w:pPr>
          </w:p>
          <w:p w14:paraId="1710E810">
            <w:pPr>
              <w:spacing w:line="253" w:lineRule="auto"/>
              <w:rPr>
                <w:rFonts w:ascii="Arial"/>
                <w:sz w:val="21"/>
              </w:rPr>
            </w:pPr>
          </w:p>
          <w:p w14:paraId="4D8B3512">
            <w:pPr>
              <w:spacing w:line="253" w:lineRule="auto"/>
              <w:rPr>
                <w:rFonts w:ascii="Arial"/>
                <w:sz w:val="21"/>
              </w:rPr>
            </w:pPr>
          </w:p>
          <w:p w14:paraId="367C4D85">
            <w:pPr>
              <w:spacing w:line="253" w:lineRule="auto"/>
              <w:rPr>
                <w:rFonts w:ascii="Arial"/>
                <w:sz w:val="21"/>
              </w:rPr>
            </w:pPr>
          </w:p>
          <w:p w14:paraId="2BA8B7E1">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3121658F">
            <w:pPr>
              <w:spacing w:line="273" w:lineRule="auto"/>
              <w:rPr>
                <w:rFonts w:ascii="Arial"/>
                <w:sz w:val="21"/>
              </w:rPr>
            </w:pPr>
          </w:p>
          <w:p w14:paraId="70F6DF89">
            <w:pPr>
              <w:spacing w:line="273" w:lineRule="auto"/>
              <w:rPr>
                <w:rFonts w:ascii="Arial"/>
                <w:sz w:val="21"/>
              </w:rPr>
            </w:pPr>
          </w:p>
          <w:p w14:paraId="308F9576">
            <w:pPr>
              <w:spacing w:line="273" w:lineRule="auto"/>
              <w:rPr>
                <w:rFonts w:ascii="Arial"/>
                <w:sz w:val="21"/>
              </w:rPr>
            </w:pPr>
          </w:p>
          <w:p w14:paraId="4A72748C">
            <w:pPr>
              <w:spacing w:line="273" w:lineRule="auto"/>
              <w:rPr>
                <w:rFonts w:ascii="Arial"/>
                <w:sz w:val="21"/>
              </w:rPr>
            </w:pPr>
          </w:p>
          <w:p w14:paraId="712C2E25">
            <w:pPr>
              <w:spacing w:line="273" w:lineRule="auto"/>
              <w:rPr>
                <w:rFonts w:ascii="Arial"/>
                <w:sz w:val="21"/>
              </w:rPr>
            </w:pPr>
          </w:p>
          <w:p w14:paraId="4F13FE0E">
            <w:pPr>
              <w:spacing w:line="273" w:lineRule="auto"/>
              <w:rPr>
                <w:rFonts w:ascii="Arial"/>
                <w:sz w:val="21"/>
              </w:rPr>
            </w:pPr>
          </w:p>
          <w:p w14:paraId="1A795BF1">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617D1A51">
            <w:pPr>
              <w:spacing w:line="279" w:lineRule="auto"/>
              <w:rPr>
                <w:rFonts w:ascii="Arial"/>
                <w:sz w:val="21"/>
              </w:rPr>
            </w:pPr>
          </w:p>
          <w:p w14:paraId="1E4B631C">
            <w:pPr>
              <w:spacing w:line="279" w:lineRule="auto"/>
              <w:rPr>
                <w:rFonts w:ascii="Arial"/>
                <w:sz w:val="21"/>
              </w:rPr>
            </w:pPr>
          </w:p>
          <w:p w14:paraId="2B4625F6">
            <w:pPr>
              <w:spacing w:line="279" w:lineRule="auto"/>
              <w:rPr>
                <w:rFonts w:ascii="Arial"/>
                <w:sz w:val="21"/>
              </w:rPr>
            </w:pPr>
          </w:p>
          <w:p w14:paraId="68C904AF">
            <w:pPr>
              <w:spacing w:line="279" w:lineRule="auto"/>
              <w:rPr>
                <w:rFonts w:ascii="Arial"/>
                <w:sz w:val="21"/>
              </w:rPr>
            </w:pPr>
          </w:p>
          <w:p w14:paraId="7B353F39">
            <w:pPr>
              <w:spacing w:line="279" w:lineRule="auto"/>
              <w:rPr>
                <w:rFonts w:ascii="Arial"/>
                <w:sz w:val="21"/>
              </w:rPr>
            </w:pPr>
          </w:p>
          <w:p w14:paraId="4B754E59">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r w14:paraId="5B6F4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0" w:hRule="atLeast"/>
        </w:trPr>
        <w:tc>
          <w:tcPr>
            <w:tcW w:w="629" w:type="dxa"/>
            <w:vAlign w:val="top"/>
          </w:tcPr>
          <w:p w14:paraId="0DB27EB3">
            <w:pPr>
              <w:spacing w:line="354" w:lineRule="auto"/>
              <w:rPr>
                <w:rFonts w:ascii="Arial"/>
                <w:sz w:val="21"/>
              </w:rPr>
            </w:pPr>
          </w:p>
          <w:p w14:paraId="283F292A">
            <w:pPr>
              <w:spacing w:line="354" w:lineRule="auto"/>
              <w:rPr>
                <w:rFonts w:ascii="Arial"/>
                <w:sz w:val="21"/>
              </w:rPr>
            </w:pPr>
          </w:p>
          <w:p w14:paraId="391B6E2C">
            <w:pPr>
              <w:pStyle w:val="8"/>
              <w:spacing w:before="58" w:line="184" w:lineRule="auto"/>
              <w:ind w:left="236"/>
              <w:rPr>
                <w:rFonts w:hint="default" w:eastAsia="宋体"/>
                <w:lang w:val="en-US" w:eastAsia="zh-CN"/>
              </w:rPr>
            </w:pPr>
            <w:r>
              <w:rPr>
                <w:rFonts w:hint="eastAsia"/>
                <w:spacing w:val="-6"/>
                <w:lang w:val="en-US" w:eastAsia="zh-CN"/>
              </w:rPr>
              <w:t>28</w:t>
            </w:r>
          </w:p>
        </w:tc>
        <w:tc>
          <w:tcPr>
            <w:tcW w:w="1113" w:type="dxa"/>
            <w:vAlign w:val="top"/>
          </w:tcPr>
          <w:p w14:paraId="7E304D6E">
            <w:pPr>
              <w:pStyle w:val="8"/>
              <w:spacing w:before="142" w:line="242" w:lineRule="auto"/>
              <w:ind w:left="94" w:right="90"/>
              <w:jc w:val="both"/>
            </w:pPr>
            <w:r>
              <w:rPr>
                <w:spacing w:val="4"/>
              </w:rPr>
              <w:t>对在公路用</w:t>
            </w:r>
            <w:r>
              <w:rPr>
                <w:spacing w:val="1"/>
              </w:rPr>
              <w:t xml:space="preserve"> </w:t>
            </w:r>
            <w:r>
              <w:rPr>
                <w:spacing w:val="4"/>
              </w:rPr>
              <w:t>地范围内设</w:t>
            </w:r>
            <w:r>
              <w:rPr>
                <w:spacing w:val="2"/>
              </w:rPr>
              <w:t xml:space="preserve"> </w:t>
            </w:r>
            <w:r>
              <w:rPr>
                <w:spacing w:val="4"/>
              </w:rPr>
              <w:t>置公路标志</w:t>
            </w:r>
            <w:r>
              <w:rPr>
                <w:spacing w:val="2"/>
              </w:rPr>
              <w:t xml:space="preserve"> </w:t>
            </w:r>
            <w:r>
              <w:rPr>
                <w:spacing w:val="4"/>
              </w:rPr>
              <w:t>以外的其他</w:t>
            </w:r>
            <w:r>
              <w:rPr>
                <w:spacing w:val="2"/>
              </w:rPr>
              <w:t xml:space="preserve"> </w:t>
            </w:r>
            <w:r>
              <w:rPr>
                <w:spacing w:val="4"/>
              </w:rPr>
              <w:t>标志行为的</w:t>
            </w:r>
            <w:r>
              <w:rPr>
                <w:spacing w:val="2"/>
              </w:rPr>
              <w:t xml:space="preserve"> </w:t>
            </w:r>
            <w:r>
              <w:rPr>
                <w:spacing w:val="-3"/>
              </w:rPr>
              <w:t>行政强制</w:t>
            </w:r>
          </w:p>
        </w:tc>
        <w:tc>
          <w:tcPr>
            <w:tcW w:w="1113" w:type="dxa"/>
            <w:vAlign w:val="top"/>
          </w:tcPr>
          <w:p w14:paraId="1A1CFDF4">
            <w:pPr>
              <w:spacing w:line="340" w:lineRule="auto"/>
              <w:rPr>
                <w:rFonts w:ascii="Arial"/>
                <w:sz w:val="21"/>
              </w:rPr>
            </w:pPr>
          </w:p>
          <w:p w14:paraId="743F83DB">
            <w:pPr>
              <w:spacing w:line="340" w:lineRule="auto"/>
              <w:rPr>
                <w:rFonts w:ascii="Arial"/>
                <w:sz w:val="21"/>
              </w:rPr>
            </w:pPr>
          </w:p>
          <w:p w14:paraId="31A8B857">
            <w:pPr>
              <w:pStyle w:val="8"/>
              <w:spacing w:before="59" w:line="220" w:lineRule="auto"/>
              <w:ind w:left="10"/>
            </w:pPr>
            <w:r>
              <w:rPr>
                <w:spacing w:val="-4"/>
              </w:rPr>
              <w:t>行政强制</w:t>
            </w:r>
          </w:p>
        </w:tc>
        <w:tc>
          <w:tcPr>
            <w:tcW w:w="8631" w:type="dxa"/>
            <w:vAlign w:val="top"/>
          </w:tcPr>
          <w:p w14:paraId="364F82D7">
            <w:pPr>
              <w:pStyle w:val="8"/>
              <w:spacing w:before="143" w:line="219" w:lineRule="auto"/>
              <w:ind w:left="472"/>
            </w:pPr>
            <w:r>
              <w:rPr>
                <w:b/>
                <w:bCs/>
                <w:spacing w:val="-4"/>
              </w:rPr>
              <w:t>《中华人民共和国公路法》</w:t>
            </w:r>
          </w:p>
          <w:p w14:paraId="59523003">
            <w:pPr>
              <w:pStyle w:val="8"/>
              <w:spacing w:before="25" w:line="233" w:lineRule="auto"/>
              <w:ind w:left="114" w:right="109" w:firstLine="351"/>
            </w:pPr>
            <w:r>
              <w:rPr>
                <w:spacing w:val="-1"/>
              </w:rPr>
              <w:t>第五十四条  任何单位和个人未经县级以上地方人民政府交通主管部门批准，不得在公路</w:t>
            </w:r>
            <w:r>
              <w:rPr>
                <w:spacing w:val="-2"/>
              </w:rPr>
              <w:t>用地范围内设</w:t>
            </w:r>
            <w:r>
              <w:t xml:space="preserve"> </w:t>
            </w:r>
            <w:r>
              <w:rPr>
                <w:spacing w:val="-3"/>
              </w:rPr>
              <w:t>置公路标志以外的其他标志。</w:t>
            </w:r>
          </w:p>
          <w:p w14:paraId="6F109688">
            <w:pPr>
              <w:pStyle w:val="8"/>
              <w:spacing w:before="26" w:line="237" w:lineRule="auto"/>
              <w:ind w:left="120" w:right="107" w:firstLine="346"/>
              <w:jc w:val="both"/>
            </w:pPr>
            <w:r>
              <w:rPr>
                <w:spacing w:val="-1"/>
              </w:rPr>
              <w:t>第七十九条  违反本法第五十四条规定，在公路用地范围内设置公路标志以外的其他标志</w:t>
            </w:r>
            <w:r>
              <w:rPr>
                <w:spacing w:val="-2"/>
              </w:rPr>
              <w:t>的，由交通主</w:t>
            </w:r>
            <w:r>
              <w:t xml:space="preserve"> </w:t>
            </w:r>
            <w:r>
              <w:rPr>
                <w:spacing w:val="-1"/>
              </w:rPr>
              <w:t>管部门责令限期拆除，可以处二万元以下的罚款；逾期不拆除的，由交</w:t>
            </w:r>
            <w:r>
              <w:rPr>
                <w:spacing w:val="-2"/>
              </w:rPr>
              <w:t>通主管部门拆除，有关费用由设置者</w:t>
            </w:r>
            <w:r>
              <w:t xml:space="preserve"> </w:t>
            </w:r>
            <w:r>
              <w:rPr>
                <w:spacing w:val="-5"/>
              </w:rPr>
              <w:t>负担。</w:t>
            </w:r>
          </w:p>
        </w:tc>
        <w:tc>
          <w:tcPr>
            <w:tcW w:w="1022" w:type="dxa"/>
            <w:vAlign w:val="top"/>
          </w:tcPr>
          <w:p w14:paraId="5B6543ED">
            <w:pPr>
              <w:spacing w:line="274" w:lineRule="auto"/>
              <w:rPr>
                <w:rFonts w:ascii="Arial"/>
                <w:sz w:val="21"/>
              </w:rPr>
            </w:pPr>
          </w:p>
          <w:p w14:paraId="52B38D83">
            <w:pPr>
              <w:spacing w:line="275" w:lineRule="auto"/>
              <w:rPr>
                <w:rFonts w:ascii="Arial"/>
                <w:sz w:val="21"/>
              </w:rPr>
            </w:pPr>
          </w:p>
          <w:p w14:paraId="29824AF7">
            <w:pPr>
              <w:pStyle w:val="8"/>
              <w:spacing w:before="58" w:line="233" w:lineRule="auto"/>
              <w:ind w:left="158" w:right="147" w:firstLine="2"/>
            </w:pPr>
            <w:r>
              <w:rPr>
                <w:spacing w:val="-3"/>
              </w:rPr>
              <w:t>交通运输</w:t>
            </w:r>
            <w:r>
              <w:t xml:space="preserve"> </w:t>
            </w:r>
            <w:r>
              <w:rPr>
                <w:spacing w:val="-3"/>
              </w:rPr>
              <w:t>主管部门</w:t>
            </w:r>
          </w:p>
        </w:tc>
        <w:tc>
          <w:tcPr>
            <w:tcW w:w="1419" w:type="dxa"/>
            <w:vAlign w:val="top"/>
          </w:tcPr>
          <w:p w14:paraId="3042A9ED">
            <w:pPr>
              <w:spacing w:line="334" w:lineRule="auto"/>
              <w:rPr>
                <w:rFonts w:ascii="Arial"/>
                <w:sz w:val="21"/>
              </w:rPr>
            </w:pPr>
          </w:p>
          <w:p w14:paraId="52175488">
            <w:pPr>
              <w:spacing w:line="335" w:lineRule="auto"/>
              <w:rPr>
                <w:rFonts w:ascii="Arial"/>
                <w:sz w:val="21"/>
              </w:rPr>
            </w:pPr>
          </w:p>
          <w:p w14:paraId="2CC9D98B">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4F0B75A7">
            <w:pPr>
              <w:spacing w:line="426" w:lineRule="auto"/>
              <w:rPr>
                <w:rFonts w:ascii="Arial"/>
                <w:sz w:val="21"/>
              </w:rPr>
            </w:pPr>
          </w:p>
          <w:p w14:paraId="0F80F86F">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r w14:paraId="4575C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6" w:hRule="atLeast"/>
        </w:trPr>
        <w:tc>
          <w:tcPr>
            <w:tcW w:w="629" w:type="dxa"/>
            <w:vAlign w:val="top"/>
          </w:tcPr>
          <w:p w14:paraId="06A26DCC">
            <w:pPr>
              <w:spacing w:line="260" w:lineRule="auto"/>
              <w:rPr>
                <w:rFonts w:ascii="Arial"/>
                <w:sz w:val="21"/>
              </w:rPr>
            </w:pPr>
          </w:p>
          <w:p w14:paraId="5F9A20A6">
            <w:pPr>
              <w:spacing w:line="260" w:lineRule="auto"/>
              <w:rPr>
                <w:rFonts w:ascii="Arial"/>
                <w:sz w:val="21"/>
              </w:rPr>
            </w:pPr>
          </w:p>
          <w:p w14:paraId="497F28DE">
            <w:pPr>
              <w:spacing w:line="260" w:lineRule="auto"/>
              <w:rPr>
                <w:rFonts w:ascii="Arial"/>
                <w:sz w:val="21"/>
              </w:rPr>
            </w:pPr>
          </w:p>
          <w:p w14:paraId="59587BD2">
            <w:pPr>
              <w:spacing w:line="260" w:lineRule="auto"/>
              <w:rPr>
                <w:rFonts w:ascii="Arial"/>
                <w:sz w:val="21"/>
              </w:rPr>
            </w:pPr>
          </w:p>
          <w:p w14:paraId="20374B1D">
            <w:pPr>
              <w:spacing w:line="260" w:lineRule="auto"/>
              <w:rPr>
                <w:rFonts w:ascii="Arial"/>
                <w:sz w:val="21"/>
              </w:rPr>
            </w:pPr>
          </w:p>
          <w:p w14:paraId="641D3B64">
            <w:pPr>
              <w:spacing w:line="261" w:lineRule="auto"/>
              <w:rPr>
                <w:rFonts w:ascii="Arial"/>
                <w:sz w:val="21"/>
              </w:rPr>
            </w:pPr>
          </w:p>
          <w:p w14:paraId="35BDD08F">
            <w:pPr>
              <w:pStyle w:val="8"/>
              <w:spacing w:before="59" w:line="183" w:lineRule="auto"/>
              <w:ind w:left="236"/>
              <w:rPr>
                <w:rFonts w:hint="default" w:eastAsia="宋体"/>
                <w:lang w:val="en-US" w:eastAsia="zh-CN"/>
              </w:rPr>
            </w:pPr>
            <w:r>
              <w:rPr>
                <w:rFonts w:hint="eastAsia"/>
                <w:spacing w:val="-6"/>
                <w:lang w:val="en-US" w:eastAsia="zh-CN"/>
              </w:rPr>
              <w:t>29</w:t>
            </w:r>
          </w:p>
        </w:tc>
        <w:tc>
          <w:tcPr>
            <w:tcW w:w="1113" w:type="dxa"/>
            <w:vAlign w:val="top"/>
          </w:tcPr>
          <w:p w14:paraId="0CCB8FD3">
            <w:pPr>
              <w:spacing w:line="338" w:lineRule="auto"/>
              <w:rPr>
                <w:rFonts w:ascii="Arial"/>
                <w:sz w:val="21"/>
              </w:rPr>
            </w:pPr>
          </w:p>
          <w:p w14:paraId="23AF8428">
            <w:pPr>
              <w:pStyle w:val="8"/>
              <w:spacing w:before="58" w:line="244" w:lineRule="auto"/>
              <w:ind w:left="94" w:right="90"/>
            </w:pPr>
            <w:r>
              <w:rPr>
                <w:spacing w:val="4"/>
              </w:rPr>
              <w:t>对在公路建</w:t>
            </w:r>
            <w:r>
              <w:rPr>
                <w:spacing w:val="1"/>
              </w:rPr>
              <w:t xml:space="preserve"> </w:t>
            </w:r>
            <w:r>
              <w:rPr>
                <w:spacing w:val="4"/>
              </w:rPr>
              <w:t>筑控制区内</w:t>
            </w:r>
            <w:r>
              <w:rPr>
                <w:spacing w:val="2"/>
              </w:rPr>
              <w:t xml:space="preserve"> </w:t>
            </w:r>
            <w:r>
              <w:rPr>
                <w:spacing w:val="4"/>
              </w:rPr>
              <w:t>修建、扩建</w:t>
            </w:r>
            <w:r>
              <w:rPr>
                <w:spacing w:val="2"/>
              </w:rPr>
              <w:t xml:space="preserve"> </w:t>
            </w:r>
            <w:r>
              <w:rPr>
                <w:spacing w:val="4"/>
              </w:rPr>
              <w:t>建筑物、地</w:t>
            </w:r>
            <w:r>
              <w:rPr>
                <w:spacing w:val="2"/>
              </w:rPr>
              <w:t xml:space="preserve"> </w:t>
            </w:r>
            <w:r>
              <w:rPr>
                <w:spacing w:val="4"/>
              </w:rPr>
              <w:t>面构筑物或</w:t>
            </w:r>
            <w:r>
              <w:rPr>
                <w:spacing w:val="2"/>
              </w:rPr>
              <w:t xml:space="preserve"> </w:t>
            </w:r>
            <w:r>
              <w:rPr>
                <w:spacing w:val="4"/>
              </w:rPr>
              <w:t>者未经许可</w:t>
            </w:r>
            <w:r>
              <w:rPr>
                <w:spacing w:val="2"/>
              </w:rPr>
              <w:t xml:space="preserve"> </w:t>
            </w:r>
            <w:r>
              <w:rPr>
                <w:spacing w:val="-1"/>
              </w:rPr>
              <w:t>埋设管道、</w:t>
            </w:r>
            <w:r>
              <w:rPr>
                <w:spacing w:val="1"/>
              </w:rPr>
              <w:t xml:space="preserve"> </w:t>
            </w:r>
            <w:r>
              <w:rPr>
                <w:spacing w:val="4"/>
              </w:rPr>
              <w:t>电缆等设施</w:t>
            </w:r>
            <w:r>
              <w:rPr>
                <w:spacing w:val="2"/>
              </w:rPr>
              <w:t xml:space="preserve"> </w:t>
            </w:r>
            <w:r>
              <w:rPr>
                <w:spacing w:val="4"/>
              </w:rPr>
              <w:t>逾期不拆除</w:t>
            </w:r>
            <w:r>
              <w:rPr>
                <w:spacing w:val="2"/>
              </w:rPr>
              <w:t xml:space="preserve"> </w:t>
            </w:r>
            <w:r>
              <w:rPr>
                <w:spacing w:val="4"/>
              </w:rPr>
              <w:t>行为的行政</w:t>
            </w:r>
            <w:r>
              <w:rPr>
                <w:spacing w:val="2"/>
              </w:rPr>
              <w:t xml:space="preserve"> </w:t>
            </w:r>
            <w:r>
              <w:rPr>
                <w:spacing w:val="-3"/>
              </w:rPr>
              <w:t>强制</w:t>
            </w:r>
          </w:p>
        </w:tc>
        <w:tc>
          <w:tcPr>
            <w:tcW w:w="1113" w:type="dxa"/>
            <w:vAlign w:val="top"/>
          </w:tcPr>
          <w:p w14:paraId="3BC67501">
            <w:pPr>
              <w:spacing w:line="255" w:lineRule="auto"/>
              <w:rPr>
                <w:rFonts w:ascii="Arial"/>
                <w:sz w:val="21"/>
              </w:rPr>
            </w:pPr>
          </w:p>
          <w:p w14:paraId="52792E9A">
            <w:pPr>
              <w:spacing w:line="255" w:lineRule="auto"/>
              <w:rPr>
                <w:rFonts w:ascii="Arial"/>
                <w:sz w:val="21"/>
              </w:rPr>
            </w:pPr>
          </w:p>
          <w:p w14:paraId="0225D498">
            <w:pPr>
              <w:spacing w:line="255" w:lineRule="auto"/>
              <w:rPr>
                <w:rFonts w:ascii="Arial"/>
                <w:sz w:val="21"/>
              </w:rPr>
            </w:pPr>
          </w:p>
          <w:p w14:paraId="4A683F26">
            <w:pPr>
              <w:spacing w:line="256" w:lineRule="auto"/>
              <w:rPr>
                <w:rFonts w:ascii="Arial"/>
                <w:sz w:val="21"/>
              </w:rPr>
            </w:pPr>
          </w:p>
          <w:p w14:paraId="7C5BF8B3">
            <w:pPr>
              <w:spacing w:line="256" w:lineRule="auto"/>
              <w:rPr>
                <w:rFonts w:ascii="Arial"/>
                <w:sz w:val="21"/>
              </w:rPr>
            </w:pPr>
          </w:p>
          <w:p w14:paraId="6328627D">
            <w:pPr>
              <w:spacing w:line="256" w:lineRule="auto"/>
              <w:rPr>
                <w:rFonts w:ascii="Arial"/>
                <w:sz w:val="21"/>
              </w:rPr>
            </w:pPr>
          </w:p>
          <w:p w14:paraId="0760D000">
            <w:pPr>
              <w:pStyle w:val="8"/>
              <w:spacing w:before="58" w:line="220" w:lineRule="auto"/>
              <w:ind w:left="10"/>
            </w:pPr>
            <w:r>
              <w:rPr>
                <w:spacing w:val="-4"/>
              </w:rPr>
              <w:t>行政强制</w:t>
            </w:r>
          </w:p>
        </w:tc>
        <w:tc>
          <w:tcPr>
            <w:tcW w:w="8631" w:type="dxa"/>
            <w:vAlign w:val="top"/>
          </w:tcPr>
          <w:p w14:paraId="7072B9D5">
            <w:pPr>
              <w:pStyle w:val="8"/>
              <w:spacing w:before="41" w:line="219" w:lineRule="auto"/>
              <w:ind w:left="480"/>
            </w:pPr>
            <w:r>
              <w:rPr>
                <w:b/>
                <w:bCs/>
                <w:spacing w:val="-5"/>
              </w:rPr>
              <w:t>1.《中华人民共和国公路法》</w:t>
            </w:r>
          </w:p>
          <w:p w14:paraId="01759392">
            <w:pPr>
              <w:pStyle w:val="8"/>
              <w:spacing w:before="25" w:line="233" w:lineRule="auto"/>
              <w:ind w:left="116" w:right="109" w:firstLine="350"/>
            </w:pPr>
            <w:r>
              <w:rPr>
                <w:spacing w:val="3"/>
              </w:rPr>
              <w:t>第五十六条  除公路防护、养护需要的以外，禁止在公路两侧的建筑控制区内修建建</w:t>
            </w:r>
            <w:r>
              <w:rPr>
                <w:spacing w:val="2"/>
              </w:rPr>
              <w:t>筑物和地面构筑</w:t>
            </w:r>
            <w:r>
              <w:t xml:space="preserve"> </w:t>
            </w:r>
            <w:r>
              <w:rPr>
                <w:spacing w:val="-2"/>
              </w:rPr>
              <w:t>物；需要在建筑控制区内埋设管线、电缆等设施的，应当事先经县</w:t>
            </w:r>
            <w:r>
              <w:rPr>
                <w:spacing w:val="-3"/>
              </w:rPr>
              <w:t>级以上地方人民政府交通主管部门批准。</w:t>
            </w:r>
          </w:p>
          <w:p w14:paraId="2D3FDD85">
            <w:pPr>
              <w:pStyle w:val="8"/>
              <w:spacing w:before="27" w:line="237" w:lineRule="auto"/>
              <w:ind w:left="118" w:right="107" w:firstLine="348"/>
            </w:pPr>
            <w:r>
              <w:rPr>
                <w:spacing w:val="-1"/>
              </w:rPr>
              <w:t>第八十一条  违反本法第五十六条规定，在公路建筑控制区内修建建筑物、地面构筑物或</w:t>
            </w:r>
            <w:r>
              <w:rPr>
                <w:spacing w:val="-2"/>
              </w:rPr>
              <w:t>者擅自埋设管</w:t>
            </w:r>
            <w:r>
              <w:t xml:space="preserve"> </w:t>
            </w:r>
            <w:r>
              <w:rPr>
                <w:spacing w:val="-1"/>
              </w:rPr>
              <w:t>线、电缆等设施的，由交通主管部门责令限期拆除，并可以处五万元以下的</w:t>
            </w:r>
            <w:r>
              <w:rPr>
                <w:spacing w:val="-2"/>
              </w:rPr>
              <w:t>罚款。逾期不拆除的，由交通主</w:t>
            </w:r>
            <w:r>
              <w:t xml:space="preserve"> </w:t>
            </w:r>
            <w:r>
              <w:rPr>
                <w:spacing w:val="-3"/>
              </w:rPr>
              <w:t>管部门拆除，有关费用由建筑者、构筑者承担。</w:t>
            </w:r>
          </w:p>
          <w:p w14:paraId="4BE2D3C5">
            <w:pPr>
              <w:pStyle w:val="8"/>
              <w:spacing w:before="26" w:line="219" w:lineRule="auto"/>
              <w:ind w:left="468"/>
            </w:pPr>
            <w:r>
              <w:rPr>
                <w:b/>
                <w:bCs/>
                <w:spacing w:val="-4"/>
              </w:rPr>
              <w:t>2.《公路安全保护条例》</w:t>
            </w:r>
          </w:p>
          <w:p w14:paraId="3F46E942">
            <w:pPr>
              <w:pStyle w:val="8"/>
              <w:spacing w:before="25" w:line="233" w:lineRule="auto"/>
              <w:ind w:left="115" w:right="107" w:firstLine="351"/>
            </w:pPr>
            <w:r>
              <w:rPr>
                <w:spacing w:val="-1"/>
              </w:rPr>
              <w:t>第十三条  在公路建筑控制区内，除公路保护需要外，禁止修建建筑物和地面构筑物；公路建筑</w:t>
            </w:r>
            <w:r>
              <w:rPr>
                <w:spacing w:val="-2"/>
              </w:rPr>
              <w:t>控制区</w:t>
            </w:r>
            <w:r>
              <w:t xml:space="preserve"> </w:t>
            </w:r>
            <w:r>
              <w:rPr>
                <w:spacing w:val="-2"/>
              </w:rPr>
              <w:t>划定前已经合法修建的不得扩建，因公路建设或者保障公路运行安全</w:t>
            </w:r>
            <w:r>
              <w:rPr>
                <w:spacing w:val="-3"/>
              </w:rPr>
              <w:t>等原因需要拆除的应当依法给予补偿。</w:t>
            </w:r>
          </w:p>
          <w:p w14:paraId="3CB9B8D5">
            <w:pPr>
              <w:pStyle w:val="8"/>
              <w:spacing w:before="26" w:line="219" w:lineRule="auto"/>
              <w:ind w:left="466"/>
            </w:pPr>
            <w:r>
              <w:rPr>
                <w:spacing w:val="-2"/>
              </w:rPr>
              <w:t>在公路建筑控制区外修建的建筑物、地面构筑物以及其他设施不得遮挡公路标志，不得妨碍安</w:t>
            </w:r>
            <w:r>
              <w:rPr>
                <w:spacing w:val="-3"/>
              </w:rPr>
              <w:t>全视距。</w:t>
            </w:r>
          </w:p>
          <w:p w14:paraId="5854B76C">
            <w:pPr>
              <w:pStyle w:val="8"/>
              <w:spacing w:before="24" w:line="235" w:lineRule="auto"/>
              <w:ind w:left="116" w:right="107" w:firstLine="350"/>
            </w:pPr>
            <w:r>
              <w:rPr>
                <w:spacing w:val="1"/>
              </w:rPr>
              <w:t>第五十六条  违反本条例的规定，有下列情形之一的，由公路管理机构责令限期拆除，可以</w:t>
            </w:r>
            <w:r>
              <w:t xml:space="preserve">处5万元以 </w:t>
            </w:r>
            <w:r>
              <w:rPr>
                <w:spacing w:val="-1"/>
              </w:rPr>
              <w:t>下的罚款。逾期不拆除的，由公路管理机构拆除，有关费用由违法行为人承担</w:t>
            </w:r>
            <w:r>
              <w:rPr>
                <w:spacing w:val="-7"/>
              </w:rPr>
              <w:t>：（</w:t>
            </w:r>
            <w:r>
              <w:rPr>
                <w:spacing w:val="-1"/>
              </w:rPr>
              <w:t>一）在公路建筑控制区内</w:t>
            </w:r>
            <w:r>
              <w:t xml:space="preserve"> </w:t>
            </w:r>
            <w:r>
              <w:rPr>
                <w:spacing w:val="-1"/>
              </w:rPr>
              <w:t>修建、扩建建筑物、地面构筑物或者未经许可埋设管道、电缆等设施的</w:t>
            </w:r>
            <w:r>
              <w:rPr>
                <w:spacing w:val="-7"/>
              </w:rPr>
              <w:t>；（</w:t>
            </w:r>
            <w:r>
              <w:rPr>
                <w:spacing w:val="-1"/>
              </w:rPr>
              <w:t>二）在公路建筑控制区外修建的</w:t>
            </w:r>
            <w:r>
              <w:t xml:space="preserve"> </w:t>
            </w:r>
            <w:r>
              <w:rPr>
                <w:spacing w:val="-2"/>
              </w:rPr>
              <w:t>建筑物、地面构筑物以及其他设施遮挡公路标志或者妨碍安全</w:t>
            </w:r>
            <w:r>
              <w:rPr>
                <w:spacing w:val="-3"/>
              </w:rPr>
              <w:t>视距的。</w:t>
            </w:r>
          </w:p>
        </w:tc>
        <w:tc>
          <w:tcPr>
            <w:tcW w:w="1022" w:type="dxa"/>
            <w:vAlign w:val="top"/>
          </w:tcPr>
          <w:p w14:paraId="312F28AB">
            <w:pPr>
              <w:spacing w:line="280" w:lineRule="auto"/>
              <w:rPr>
                <w:rFonts w:ascii="Arial"/>
                <w:sz w:val="21"/>
              </w:rPr>
            </w:pPr>
          </w:p>
          <w:p w14:paraId="4795233E">
            <w:pPr>
              <w:spacing w:line="280" w:lineRule="auto"/>
              <w:rPr>
                <w:rFonts w:ascii="Arial"/>
                <w:sz w:val="21"/>
              </w:rPr>
            </w:pPr>
          </w:p>
          <w:p w14:paraId="5775FFD4">
            <w:pPr>
              <w:spacing w:line="280" w:lineRule="auto"/>
              <w:rPr>
                <w:rFonts w:ascii="Arial"/>
                <w:sz w:val="21"/>
              </w:rPr>
            </w:pPr>
          </w:p>
          <w:p w14:paraId="717043C0">
            <w:pPr>
              <w:spacing w:line="280" w:lineRule="auto"/>
              <w:rPr>
                <w:rFonts w:ascii="Arial"/>
                <w:sz w:val="21"/>
              </w:rPr>
            </w:pPr>
          </w:p>
          <w:p w14:paraId="790DC6D2">
            <w:pPr>
              <w:spacing w:line="281" w:lineRule="auto"/>
              <w:rPr>
                <w:rFonts w:ascii="Arial"/>
                <w:sz w:val="21"/>
              </w:rPr>
            </w:pPr>
          </w:p>
          <w:p w14:paraId="7B261BA5">
            <w:pPr>
              <w:pStyle w:val="8"/>
              <w:spacing w:before="59" w:line="233" w:lineRule="auto"/>
              <w:ind w:left="158" w:right="147" w:firstLine="2"/>
            </w:pPr>
            <w:r>
              <w:rPr>
                <w:spacing w:val="-3"/>
              </w:rPr>
              <w:t>交通运输</w:t>
            </w:r>
            <w:r>
              <w:t xml:space="preserve"> </w:t>
            </w:r>
            <w:r>
              <w:rPr>
                <w:spacing w:val="-3"/>
              </w:rPr>
              <w:t>主管部门</w:t>
            </w:r>
          </w:p>
        </w:tc>
        <w:tc>
          <w:tcPr>
            <w:tcW w:w="1419" w:type="dxa"/>
            <w:vAlign w:val="top"/>
          </w:tcPr>
          <w:p w14:paraId="128EA5E2">
            <w:pPr>
              <w:spacing w:line="253" w:lineRule="auto"/>
              <w:rPr>
                <w:rFonts w:ascii="Arial"/>
                <w:sz w:val="21"/>
              </w:rPr>
            </w:pPr>
          </w:p>
          <w:p w14:paraId="30CEEB14">
            <w:pPr>
              <w:spacing w:line="253" w:lineRule="auto"/>
              <w:rPr>
                <w:rFonts w:ascii="Arial"/>
                <w:sz w:val="21"/>
              </w:rPr>
            </w:pPr>
          </w:p>
          <w:p w14:paraId="53C4C3B5">
            <w:pPr>
              <w:spacing w:line="253" w:lineRule="auto"/>
              <w:rPr>
                <w:rFonts w:ascii="Arial"/>
                <w:sz w:val="21"/>
              </w:rPr>
            </w:pPr>
          </w:p>
          <w:p w14:paraId="591FBEF8">
            <w:pPr>
              <w:spacing w:line="254" w:lineRule="auto"/>
              <w:rPr>
                <w:rFonts w:ascii="Arial"/>
                <w:sz w:val="21"/>
              </w:rPr>
            </w:pPr>
          </w:p>
          <w:p w14:paraId="4D97D76B">
            <w:pPr>
              <w:spacing w:line="254" w:lineRule="auto"/>
              <w:rPr>
                <w:rFonts w:ascii="Arial"/>
                <w:sz w:val="21"/>
              </w:rPr>
            </w:pPr>
          </w:p>
          <w:p w14:paraId="0623749E">
            <w:pPr>
              <w:spacing w:line="254" w:lineRule="auto"/>
              <w:rPr>
                <w:rFonts w:ascii="Arial"/>
                <w:sz w:val="21"/>
              </w:rPr>
            </w:pPr>
          </w:p>
          <w:p w14:paraId="06D71EC4">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07432437">
            <w:pPr>
              <w:spacing w:line="255" w:lineRule="auto"/>
              <w:rPr>
                <w:rFonts w:ascii="Arial"/>
                <w:sz w:val="21"/>
              </w:rPr>
            </w:pPr>
          </w:p>
          <w:p w14:paraId="4BC59E44">
            <w:pPr>
              <w:spacing w:line="255" w:lineRule="auto"/>
              <w:rPr>
                <w:rFonts w:ascii="Arial"/>
                <w:sz w:val="21"/>
              </w:rPr>
            </w:pPr>
          </w:p>
          <w:p w14:paraId="2592EAE1">
            <w:pPr>
              <w:spacing w:line="256" w:lineRule="auto"/>
              <w:rPr>
                <w:rFonts w:ascii="Arial"/>
                <w:sz w:val="21"/>
              </w:rPr>
            </w:pPr>
          </w:p>
          <w:p w14:paraId="08274DBE">
            <w:pPr>
              <w:spacing w:line="256" w:lineRule="auto"/>
              <w:rPr>
                <w:rFonts w:ascii="Arial"/>
                <w:sz w:val="21"/>
              </w:rPr>
            </w:pPr>
          </w:p>
          <w:p w14:paraId="2039CFA9">
            <w:pPr>
              <w:spacing w:line="256" w:lineRule="auto"/>
              <w:rPr>
                <w:rFonts w:ascii="Arial"/>
                <w:sz w:val="21"/>
              </w:rPr>
            </w:pPr>
          </w:p>
          <w:p w14:paraId="7DAFAC87">
            <w:pPr>
              <w:pStyle w:val="8"/>
              <w:spacing w:before="59"/>
              <w:ind w:left="68" w:right="61" w:firstLine="21"/>
              <w:jc w:val="both"/>
              <w:rPr>
                <w:rFonts w:hint="eastAsia" w:eastAsia="宋体"/>
                <w:lang w:eastAsia="zh-CN"/>
              </w:rPr>
            </w:pPr>
            <w:r>
              <w:rPr>
                <w:rFonts w:hint="eastAsia"/>
                <w:spacing w:val="-6"/>
                <w:lang w:eastAsia="zh-CN"/>
              </w:rPr>
              <w:t>津市市交通运输综合行政执法大队</w:t>
            </w:r>
          </w:p>
        </w:tc>
      </w:tr>
    </w:tbl>
    <w:p w14:paraId="43301FD7">
      <w:pPr>
        <w:pStyle w:val="2"/>
      </w:pPr>
    </w:p>
    <w:p w14:paraId="23F35E61">
      <w:pPr>
        <w:sectPr>
          <w:footerReference r:id="rId72" w:type="default"/>
          <w:pgSz w:w="16840" w:h="11910"/>
          <w:pgMar w:top="1012" w:right="940" w:bottom="967" w:left="940" w:header="0" w:footer="768" w:gutter="0"/>
          <w:cols w:space="720" w:num="1"/>
        </w:sectPr>
      </w:pPr>
    </w:p>
    <w:p w14:paraId="57DE1010">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0AC9D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50E08069">
            <w:pPr>
              <w:pStyle w:val="8"/>
              <w:spacing w:before="259" w:line="221" w:lineRule="auto"/>
              <w:ind w:left="148"/>
            </w:pPr>
            <w:r>
              <w:rPr>
                <w:b/>
                <w:bCs/>
                <w:spacing w:val="-6"/>
              </w:rPr>
              <w:t>序号</w:t>
            </w:r>
          </w:p>
        </w:tc>
        <w:tc>
          <w:tcPr>
            <w:tcW w:w="1113" w:type="dxa"/>
            <w:vMerge w:val="restart"/>
            <w:tcBorders>
              <w:bottom w:val="nil"/>
            </w:tcBorders>
            <w:vAlign w:val="top"/>
          </w:tcPr>
          <w:p w14:paraId="0F0DBCB4">
            <w:pPr>
              <w:pStyle w:val="8"/>
              <w:spacing w:before="260" w:line="220" w:lineRule="auto"/>
              <w:ind w:left="201"/>
            </w:pPr>
            <w:r>
              <w:rPr>
                <w:b/>
                <w:bCs/>
                <w:spacing w:val="-5"/>
              </w:rPr>
              <w:t>事项名称</w:t>
            </w:r>
          </w:p>
        </w:tc>
        <w:tc>
          <w:tcPr>
            <w:tcW w:w="1113" w:type="dxa"/>
            <w:vMerge w:val="restart"/>
            <w:tcBorders>
              <w:bottom w:val="nil"/>
            </w:tcBorders>
            <w:vAlign w:val="top"/>
          </w:tcPr>
          <w:p w14:paraId="74D1577D">
            <w:pPr>
              <w:pStyle w:val="8"/>
              <w:spacing w:before="260" w:line="219" w:lineRule="auto"/>
              <w:ind w:left="202"/>
            </w:pPr>
            <w:r>
              <w:rPr>
                <w:b/>
                <w:bCs/>
                <w:spacing w:val="-5"/>
              </w:rPr>
              <w:t>职权类型</w:t>
            </w:r>
          </w:p>
        </w:tc>
        <w:tc>
          <w:tcPr>
            <w:tcW w:w="8631" w:type="dxa"/>
            <w:vMerge w:val="restart"/>
            <w:tcBorders>
              <w:bottom w:val="nil"/>
            </w:tcBorders>
            <w:vAlign w:val="top"/>
          </w:tcPr>
          <w:p w14:paraId="3F2D07B8">
            <w:pPr>
              <w:pStyle w:val="8"/>
              <w:spacing w:before="259" w:line="219" w:lineRule="auto"/>
              <w:ind w:left="3970"/>
            </w:pPr>
            <w:r>
              <w:rPr>
                <w:b/>
                <w:bCs/>
                <w:spacing w:val="-6"/>
              </w:rPr>
              <w:t>实施依据</w:t>
            </w:r>
          </w:p>
        </w:tc>
        <w:tc>
          <w:tcPr>
            <w:tcW w:w="3468" w:type="dxa"/>
            <w:gridSpan w:val="3"/>
            <w:vAlign w:val="top"/>
          </w:tcPr>
          <w:p w14:paraId="1690B5AB">
            <w:pPr>
              <w:pStyle w:val="8"/>
              <w:spacing w:before="82" w:line="220" w:lineRule="auto"/>
              <w:ind w:left="1389"/>
            </w:pPr>
            <w:r>
              <w:rPr>
                <w:b/>
                <w:bCs/>
                <w:spacing w:val="-6"/>
              </w:rPr>
              <w:t>实施主体</w:t>
            </w:r>
          </w:p>
        </w:tc>
      </w:tr>
      <w:tr w14:paraId="1EF3C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359FF105">
            <w:pPr>
              <w:rPr>
                <w:rFonts w:ascii="Arial"/>
                <w:sz w:val="21"/>
              </w:rPr>
            </w:pPr>
          </w:p>
        </w:tc>
        <w:tc>
          <w:tcPr>
            <w:tcW w:w="1113" w:type="dxa"/>
            <w:vMerge w:val="continue"/>
            <w:tcBorders>
              <w:top w:val="nil"/>
            </w:tcBorders>
            <w:vAlign w:val="top"/>
          </w:tcPr>
          <w:p w14:paraId="4B9C50B9">
            <w:pPr>
              <w:rPr>
                <w:rFonts w:ascii="Arial"/>
                <w:sz w:val="21"/>
              </w:rPr>
            </w:pPr>
          </w:p>
        </w:tc>
        <w:tc>
          <w:tcPr>
            <w:tcW w:w="1113" w:type="dxa"/>
            <w:vMerge w:val="continue"/>
            <w:tcBorders>
              <w:top w:val="nil"/>
            </w:tcBorders>
            <w:vAlign w:val="top"/>
          </w:tcPr>
          <w:p w14:paraId="46DB919E">
            <w:pPr>
              <w:rPr>
                <w:rFonts w:ascii="Arial"/>
                <w:sz w:val="21"/>
              </w:rPr>
            </w:pPr>
          </w:p>
        </w:tc>
        <w:tc>
          <w:tcPr>
            <w:tcW w:w="8631" w:type="dxa"/>
            <w:vMerge w:val="continue"/>
            <w:tcBorders>
              <w:top w:val="nil"/>
            </w:tcBorders>
            <w:vAlign w:val="top"/>
          </w:tcPr>
          <w:p w14:paraId="6D4F3801">
            <w:pPr>
              <w:rPr>
                <w:rFonts w:ascii="Arial"/>
                <w:sz w:val="21"/>
              </w:rPr>
            </w:pPr>
          </w:p>
        </w:tc>
        <w:tc>
          <w:tcPr>
            <w:tcW w:w="1022" w:type="dxa"/>
            <w:vAlign w:val="top"/>
          </w:tcPr>
          <w:p w14:paraId="6A012991">
            <w:pPr>
              <w:pStyle w:val="8"/>
              <w:spacing w:before="84" w:line="219" w:lineRule="auto"/>
              <w:ind w:left="170"/>
            </w:pPr>
            <w:r>
              <w:rPr>
                <w:b/>
                <w:bCs/>
                <w:spacing w:val="-6"/>
              </w:rPr>
              <w:t>责任部门</w:t>
            </w:r>
          </w:p>
        </w:tc>
        <w:tc>
          <w:tcPr>
            <w:tcW w:w="1419" w:type="dxa"/>
            <w:vAlign w:val="top"/>
          </w:tcPr>
          <w:p w14:paraId="35983CB5">
            <w:pPr>
              <w:pStyle w:val="8"/>
              <w:spacing w:before="84" w:line="219" w:lineRule="auto"/>
              <w:ind w:left="183"/>
            </w:pPr>
            <w:r>
              <w:rPr>
                <w:b/>
                <w:bCs/>
                <w:spacing w:val="-4"/>
              </w:rPr>
              <w:t>第一责任层级</w:t>
            </w:r>
          </w:p>
        </w:tc>
        <w:tc>
          <w:tcPr>
            <w:tcW w:w="1027" w:type="dxa"/>
            <w:vAlign w:val="top"/>
          </w:tcPr>
          <w:p w14:paraId="5F524E6C">
            <w:pPr>
              <w:pStyle w:val="8"/>
              <w:spacing w:before="83" w:line="219" w:lineRule="auto"/>
              <w:ind w:left="161"/>
            </w:pPr>
            <w:r>
              <w:rPr>
                <w:b/>
                <w:bCs/>
                <w:spacing w:val="-5"/>
              </w:rPr>
              <w:t>承办机构</w:t>
            </w:r>
          </w:p>
        </w:tc>
      </w:tr>
      <w:tr w14:paraId="12433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1" w:hRule="atLeast"/>
        </w:trPr>
        <w:tc>
          <w:tcPr>
            <w:tcW w:w="629" w:type="dxa"/>
            <w:vAlign w:val="top"/>
          </w:tcPr>
          <w:p w14:paraId="5F6E6076">
            <w:pPr>
              <w:spacing w:line="259" w:lineRule="auto"/>
              <w:rPr>
                <w:rFonts w:ascii="Arial"/>
                <w:sz w:val="21"/>
              </w:rPr>
            </w:pPr>
          </w:p>
          <w:p w14:paraId="626FAF70">
            <w:pPr>
              <w:spacing w:line="259" w:lineRule="auto"/>
              <w:rPr>
                <w:rFonts w:ascii="Arial"/>
                <w:sz w:val="21"/>
              </w:rPr>
            </w:pPr>
          </w:p>
          <w:p w14:paraId="41B7E0DD">
            <w:pPr>
              <w:spacing w:line="260" w:lineRule="auto"/>
              <w:rPr>
                <w:rFonts w:ascii="Arial"/>
                <w:sz w:val="21"/>
              </w:rPr>
            </w:pPr>
          </w:p>
          <w:p w14:paraId="564B9071">
            <w:pPr>
              <w:spacing w:line="260" w:lineRule="auto"/>
              <w:rPr>
                <w:rFonts w:ascii="Arial"/>
                <w:sz w:val="21"/>
              </w:rPr>
            </w:pPr>
          </w:p>
          <w:p w14:paraId="6CEFCFD8">
            <w:pPr>
              <w:spacing w:line="260" w:lineRule="auto"/>
              <w:rPr>
                <w:rFonts w:ascii="Arial"/>
                <w:sz w:val="21"/>
              </w:rPr>
            </w:pPr>
          </w:p>
          <w:p w14:paraId="24ECC224">
            <w:pPr>
              <w:spacing w:line="260" w:lineRule="auto"/>
              <w:rPr>
                <w:rFonts w:ascii="Arial"/>
                <w:sz w:val="21"/>
              </w:rPr>
            </w:pPr>
          </w:p>
          <w:p w14:paraId="278F5B43">
            <w:pPr>
              <w:pStyle w:val="8"/>
              <w:spacing w:before="59" w:line="183" w:lineRule="auto"/>
              <w:ind w:left="236"/>
              <w:rPr>
                <w:rFonts w:hint="eastAsia" w:eastAsia="宋体"/>
                <w:lang w:eastAsia="zh-CN"/>
              </w:rPr>
            </w:pPr>
            <w:r>
              <w:rPr>
                <w:spacing w:val="-6"/>
              </w:rPr>
              <w:t>3</w:t>
            </w:r>
            <w:r>
              <w:rPr>
                <w:rFonts w:hint="eastAsia"/>
                <w:spacing w:val="-6"/>
                <w:lang w:val="en-US" w:eastAsia="zh-CN"/>
              </w:rPr>
              <w:t>0</w:t>
            </w:r>
          </w:p>
        </w:tc>
        <w:tc>
          <w:tcPr>
            <w:tcW w:w="1113" w:type="dxa"/>
            <w:vAlign w:val="top"/>
          </w:tcPr>
          <w:p w14:paraId="03354A58">
            <w:pPr>
              <w:spacing w:line="314" w:lineRule="auto"/>
              <w:rPr>
                <w:rFonts w:ascii="Arial"/>
                <w:sz w:val="21"/>
              </w:rPr>
            </w:pPr>
          </w:p>
          <w:p w14:paraId="25B2D6C7">
            <w:pPr>
              <w:pStyle w:val="8"/>
              <w:spacing w:before="58" w:line="246" w:lineRule="auto"/>
              <w:ind w:left="95" w:right="90"/>
              <w:jc w:val="both"/>
            </w:pPr>
            <w:r>
              <w:rPr>
                <w:spacing w:val="4"/>
              </w:rPr>
              <w:t>对在公路建</w:t>
            </w:r>
            <w:r>
              <w:rPr>
                <w:spacing w:val="1"/>
              </w:rPr>
              <w:t xml:space="preserve"> </w:t>
            </w:r>
            <w:r>
              <w:rPr>
                <w:spacing w:val="4"/>
              </w:rPr>
              <w:t>筑控制区外</w:t>
            </w:r>
            <w:r>
              <w:t xml:space="preserve"> </w:t>
            </w:r>
            <w:r>
              <w:rPr>
                <w:spacing w:val="4"/>
              </w:rPr>
              <w:t>修建的建筑</w:t>
            </w:r>
            <w:r>
              <w:t xml:space="preserve"> </w:t>
            </w:r>
            <w:r>
              <w:rPr>
                <w:spacing w:val="4"/>
              </w:rPr>
              <w:t>物、地面构</w:t>
            </w:r>
            <w:r>
              <w:t xml:space="preserve"> </w:t>
            </w:r>
            <w:r>
              <w:rPr>
                <w:spacing w:val="4"/>
              </w:rPr>
              <w:t>筑物以及其</w:t>
            </w:r>
            <w:r>
              <w:t xml:space="preserve"> </w:t>
            </w:r>
            <w:r>
              <w:rPr>
                <w:spacing w:val="4"/>
              </w:rPr>
              <w:t>他设施遮挡</w:t>
            </w:r>
            <w:r>
              <w:t xml:space="preserve"> </w:t>
            </w:r>
            <w:r>
              <w:rPr>
                <w:spacing w:val="4"/>
              </w:rPr>
              <w:t>公路标志或</w:t>
            </w:r>
            <w:r>
              <w:t xml:space="preserve"> </w:t>
            </w:r>
            <w:r>
              <w:rPr>
                <w:spacing w:val="1"/>
              </w:rPr>
              <w:t>者</w:t>
            </w:r>
            <w:r>
              <w:rPr>
                <w:spacing w:val="65"/>
              </w:rPr>
              <w:t xml:space="preserve"> </w:t>
            </w:r>
            <w:r>
              <w:rPr>
                <w:spacing w:val="1"/>
              </w:rPr>
              <w:t>妨碍</w:t>
            </w:r>
            <w:r>
              <w:rPr>
                <w:spacing w:val="-49"/>
              </w:rPr>
              <w:t xml:space="preserve"> </w:t>
            </w:r>
            <w:r>
              <w:rPr>
                <w:spacing w:val="1"/>
              </w:rPr>
              <w:t>安</w:t>
            </w:r>
            <w:r>
              <w:t xml:space="preserve"> </w:t>
            </w:r>
            <w:r>
              <w:rPr>
                <w:spacing w:val="4"/>
              </w:rPr>
              <w:t>全视距逾期</w:t>
            </w:r>
            <w:r>
              <w:t xml:space="preserve"> </w:t>
            </w:r>
            <w:r>
              <w:rPr>
                <w:spacing w:val="4"/>
              </w:rPr>
              <w:t>不拆除行为</w:t>
            </w:r>
            <w:r>
              <w:t xml:space="preserve"> </w:t>
            </w:r>
            <w:r>
              <w:rPr>
                <w:spacing w:val="-3"/>
              </w:rPr>
              <w:t>的行政强制</w:t>
            </w:r>
          </w:p>
        </w:tc>
        <w:tc>
          <w:tcPr>
            <w:tcW w:w="1113" w:type="dxa"/>
            <w:vAlign w:val="top"/>
          </w:tcPr>
          <w:p w14:paraId="636F4D6C">
            <w:pPr>
              <w:spacing w:line="252" w:lineRule="auto"/>
              <w:rPr>
                <w:rFonts w:ascii="Arial"/>
                <w:sz w:val="21"/>
              </w:rPr>
            </w:pPr>
          </w:p>
          <w:p w14:paraId="330D9EE3">
            <w:pPr>
              <w:spacing w:line="252" w:lineRule="auto"/>
              <w:rPr>
                <w:rFonts w:ascii="Arial"/>
                <w:sz w:val="21"/>
              </w:rPr>
            </w:pPr>
          </w:p>
          <w:p w14:paraId="624A086A">
            <w:pPr>
              <w:spacing w:line="253" w:lineRule="auto"/>
              <w:rPr>
                <w:rFonts w:ascii="Arial"/>
                <w:sz w:val="21"/>
              </w:rPr>
            </w:pPr>
          </w:p>
          <w:p w14:paraId="4AA23D98">
            <w:pPr>
              <w:spacing w:line="253" w:lineRule="auto"/>
              <w:rPr>
                <w:rFonts w:ascii="Arial"/>
                <w:sz w:val="21"/>
              </w:rPr>
            </w:pPr>
          </w:p>
          <w:p w14:paraId="0B1B73A5">
            <w:pPr>
              <w:spacing w:line="253" w:lineRule="auto"/>
              <w:rPr>
                <w:rFonts w:ascii="Arial"/>
                <w:sz w:val="21"/>
              </w:rPr>
            </w:pPr>
          </w:p>
          <w:p w14:paraId="2B86D317">
            <w:pPr>
              <w:spacing w:line="253" w:lineRule="auto"/>
              <w:rPr>
                <w:rFonts w:ascii="Arial"/>
                <w:sz w:val="21"/>
              </w:rPr>
            </w:pPr>
          </w:p>
          <w:p w14:paraId="5B77C94F">
            <w:pPr>
              <w:pStyle w:val="8"/>
              <w:spacing w:before="58" w:line="220" w:lineRule="auto"/>
              <w:ind w:left="10"/>
            </w:pPr>
            <w:r>
              <w:rPr>
                <w:spacing w:val="-2"/>
              </w:rPr>
              <w:t>行政强制</w:t>
            </w:r>
          </w:p>
        </w:tc>
        <w:tc>
          <w:tcPr>
            <w:tcW w:w="8631" w:type="dxa"/>
            <w:vAlign w:val="top"/>
          </w:tcPr>
          <w:p w14:paraId="39FC2F4C">
            <w:pPr>
              <w:spacing w:line="338" w:lineRule="auto"/>
              <w:rPr>
                <w:rFonts w:ascii="Arial"/>
                <w:sz w:val="21"/>
              </w:rPr>
            </w:pPr>
          </w:p>
          <w:p w14:paraId="504D6233">
            <w:pPr>
              <w:pStyle w:val="8"/>
              <w:spacing w:before="58" w:line="219" w:lineRule="auto"/>
              <w:ind w:left="480"/>
            </w:pPr>
            <w:r>
              <w:rPr>
                <w:b/>
                <w:bCs/>
                <w:spacing w:val="-5"/>
              </w:rPr>
              <w:t>1.《中华人民共和国公路法》</w:t>
            </w:r>
          </w:p>
          <w:p w14:paraId="4091C4C6">
            <w:pPr>
              <w:pStyle w:val="8"/>
              <w:spacing w:before="25" w:line="233" w:lineRule="auto"/>
              <w:ind w:left="116" w:right="109" w:firstLine="350"/>
            </w:pPr>
            <w:r>
              <w:rPr>
                <w:spacing w:val="3"/>
              </w:rPr>
              <w:t>第五十六条  除公路防护、养护需要的以外，禁止在公路两侧的建筑控制区内修建建</w:t>
            </w:r>
            <w:r>
              <w:rPr>
                <w:spacing w:val="2"/>
              </w:rPr>
              <w:t>筑物和地面构筑</w:t>
            </w:r>
            <w:r>
              <w:t xml:space="preserve"> </w:t>
            </w:r>
            <w:r>
              <w:rPr>
                <w:spacing w:val="-2"/>
              </w:rPr>
              <w:t>物；需要在建筑控制区内增设管线、电缆等设施的，应当事先经县</w:t>
            </w:r>
            <w:r>
              <w:rPr>
                <w:spacing w:val="-3"/>
              </w:rPr>
              <w:t>级以上地方人民政府交通主管部门批准。</w:t>
            </w:r>
          </w:p>
          <w:p w14:paraId="12D51CE1">
            <w:pPr>
              <w:pStyle w:val="8"/>
              <w:spacing w:before="27" w:line="237" w:lineRule="auto"/>
              <w:ind w:left="118" w:right="107" w:firstLine="348"/>
            </w:pPr>
            <w:r>
              <w:rPr>
                <w:spacing w:val="-1"/>
              </w:rPr>
              <w:t>第八十一条  违反本法第五十六条规定，在公路建筑控制区内修建建筑物、地面构筑物或</w:t>
            </w:r>
            <w:r>
              <w:rPr>
                <w:spacing w:val="-2"/>
              </w:rPr>
              <w:t>者擅自埋设管</w:t>
            </w:r>
            <w:r>
              <w:t xml:space="preserve"> </w:t>
            </w:r>
            <w:r>
              <w:rPr>
                <w:spacing w:val="-1"/>
              </w:rPr>
              <w:t>线、电缆等设施的，由交通主管部门责令限期拆除，并可以处五万元以下的</w:t>
            </w:r>
            <w:r>
              <w:rPr>
                <w:spacing w:val="-2"/>
              </w:rPr>
              <w:t>罚款。逾期不拆除的，由交通主</w:t>
            </w:r>
            <w:r>
              <w:t xml:space="preserve"> </w:t>
            </w:r>
            <w:r>
              <w:rPr>
                <w:spacing w:val="-3"/>
              </w:rPr>
              <w:t>管部门拆除，有关费用由建筑者、构筑者承担。</w:t>
            </w:r>
          </w:p>
          <w:p w14:paraId="7533CE86">
            <w:pPr>
              <w:pStyle w:val="8"/>
              <w:spacing w:before="26" w:line="219" w:lineRule="auto"/>
              <w:ind w:left="468"/>
            </w:pPr>
            <w:r>
              <w:rPr>
                <w:b/>
                <w:bCs/>
                <w:spacing w:val="-4"/>
              </w:rPr>
              <w:t>2.《公路安全保护条例》</w:t>
            </w:r>
          </w:p>
          <w:p w14:paraId="1DC20AEB">
            <w:pPr>
              <w:pStyle w:val="8"/>
              <w:spacing w:before="24"/>
              <w:ind w:left="116" w:right="107" w:firstLine="350"/>
              <w:jc w:val="both"/>
            </w:pPr>
            <w:r>
              <w:rPr>
                <w:spacing w:val="1"/>
              </w:rPr>
              <w:t>第五十六条  违反本条例的规定，有下列情形之一的，由公路管理机构责令限期拆除，可以</w:t>
            </w:r>
            <w:r>
              <w:t xml:space="preserve">处5万元以 </w:t>
            </w:r>
            <w:r>
              <w:rPr>
                <w:spacing w:val="-1"/>
              </w:rPr>
              <w:t>下的罚款。逾期不拆除的，由公路管理机构拆除，有关费用由违法行为人承担</w:t>
            </w:r>
            <w:r>
              <w:rPr>
                <w:spacing w:val="-7"/>
              </w:rPr>
              <w:t>：（</w:t>
            </w:r>
            <w:r>
              <w:rPr>
                <w:spacing w:val="-1"/>
              </w:rPr>
              <w:t>一）在公路建筑控制区内</w:t>
            </w:r>
            <w:r>
              <w:t xml:space="preserve"> </w:t>
            </w:r>
            <w:r>
              <w:rPr>
                <w:spacing w:val="-1"/>
              </w:rPr>
              <w:t>修建、扩建建筑物、地面构筑物或者未经许可埋设管道、电缆等设施的</w:t>
            </w:r>
            <w:r>
              <w:rPr>
                <w:spacing w:val="-7"/>
              </w:rPr>
              <w:t>；（</w:t>
            </w:r>
            <w:r>
              <w:rPr>
                <w:spacing w:val="-1"/>
              </w:rPr>
              <w:t>二）在公路建筑控制区外修建的</w:t>
            </w:r>
            <w:r>
              <w:t xml:space="preserve"> </w:t>
            </w:r>
            <w:r>
              <w:rPr>
                <w:spacing w:val="-2"/>
              </w:rPr>
              <w:t>建筑物、地面构筑物以及其他设施遮挡公路标志或者妨碍安全</w:t>
            </w:r>
            <w:r>
              <w:rPr>
                <w:spacing w:val="-3"/>
              </w:rPr>
              <w:t>视距的。</w:t>
            </w:r>
          </w:p>
        </w:tc>
        <w:tc>
          <w:tcPr>
            <w:tcW w:w="1022" w:type="dxa"/>
            <w:vAlign w:val="top"/>
          </w:tcPr>
          <w:p w14:paraId="4B1C04EE">
            <w:pPr>
              <w:spacing w:line="279" w:lineRule="auto"/>
              <w:rPr>
                <w:rFonts w:ascii="Arial"/>
                <w:sz w:val="21"/>
              </w:rPr>
            </w:pPr>
          </w:p>
          <w:p w14:paraId="52E4D7EF">
            <w:pPr>
              <w:spacing w:line="279" w:lineRule="auto"/>
              <w:rPr>
                <w:rFonts w:ascii="Arial"/>
                <w:sz w:val="21"/>
              </w:rPr>
            </w:pPr>
          </w:p>
          <w:p w14:paraId="59833CCA">
            <w:pPr>
              <w:spacing w:line="279" w:lineRule="auto"/>
              <w:rPr>
                <w:rFonts w:ascii="Arial"/>
                <w:sz w:val="21"/>
              </w:rPr>
            </w:pPr>
          </w:p>
          <w:p w14:paraId="2D2F9A55">
            <w:pPr>
              <w:spacing w:line="280" w:lineRule="auto"/>
              <w:rPr>
                <w:rFonts w:ascii="Arial"/>
                <w:sz w:val="21"/>
              </w:rPr>
            </w:pPr>
          </w:p>
          <w:p w14:paraId="38188F5E">
            <w:pPr>
              <w:spacing w:line="280" w:lineRule="auto"/>
              <w:rPr>
                <w:rFonts w:ascii="Arial"/>
                <w:sz w:val="21"/>
              </w:rPr>
            </w:pPr>
          </w:p>
          <w:p w14:paraId="5EBF001A">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71071723">
            <w:pPr>
              <w:spacing w:line="252" w:lineRule="auto"/>
              <w:rPr>
                <w:rFonts w:ascii="Arial"/>
                <w:sz w:val="21"/>
              </w:rPr>
            </w:pPr>
          </w:p>
          <w:p w14:paraId="45739CDC">
            <w:pPr>
              <w:spacing w:line="252" w:lineRule="auto"/>
              <w:rPr>
                <w:rFonts w:ascii="Arial"/>
                <w:sz w:val="21"/>
              </w:rPr>
            </w:pPr>
          </w:p>
          <w:p w14:paraId="7788743C">
            <w:pPr>
              <w:spacing w:line="253" w:lineRule="auto"/>
              <w:rPr>
                <w:rFonts w:ascii="Arial"/>
                <w:sz w:val="21"/>
              </w:rPr>
            </w:pPr>
          </w:p>
          <w:p w14:paraId="1FC8819E">
            <w:pPr>
              <w:spacing w:line="253" w:lineRule="auto"/>
              <w:rPr>
                <w:rFonts w:ascii="Arial"/>
                <w:sz w:val="21"/>
              </w:rPr>
            </w:pPr>
          </w:p>
          <w:p w14:paraId="246CDCD5">
            <w:pPr>
              <w:spacing w:line="253" w:lineRule="auto"/>
              <w:rPr>
                <w:rFonts w:ascii="Arial"/>
                <w:sz w:val="21"/>
              </w:rPr>
            </w:pPr>
          </w:p>
          <w:p w14:paraId="6248FA45">
            <w:pPr>
              <w:spacing w:line="253" w:lineRule="auto"/>
              <w:rPr>
                <w:rFonts w:ascii="Arial"/>
                <w:sz w:val="21"/>
              </w:rPr>
            </w:pPr>
          </w:p>
          <w:p w14:paraId="610F2CB1">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602937E8">
            <w:pPr>
              <w:spacing w:line="255" w:lineRule="auto"/>
              <w:rPr>
                <w:rFonts w:ascii="Arial"/>
                <w:sz w:val="21"/>
              </w:rPr>
            </w:pPr>
          </w:p>
          <w:p w14:paraId="5E00E325">
            <w:pPr>
              <w:spacing w:line="255" w:lineRule="auto"/>
              <w:rPr>
                <w:rFonts w:ascii="Arial"/>
                <w:sz w:val="21"/>
              </w:rPr>
            </w:pPr>
          </w:p>
          <w:p w14:paraId="6C15C640">
            <w:pPr>
              <w:spacing w:line="256" w:lineRule="auto"/>
              <w:rPr>
                <w:rFonts w:ascii="Arial"/>
                <w:sz w:val="21"/>
              </w:rPr>
            </w:pPr>
          </w:p>
          <w:p w14:paraId="506AF6E3">
            <w:pPr>
              <w:spacing w:line="256" w:lineRule="auto"/>
              <w:rPr>
                <w:rFonts w:ascii="Arial"/>
                <w:sz w:val="21"/>
              </w:rPr>
            </w:pPr>
          </w:p>
          <w:p w14:paraId="11EBA34B">
            <w:pPr>
              <w:spacing w:line="256" w:lineRule="auto"/>
              <w:rPr>
                <w:rFonts w:ascii="Arial"/>
                <w:sz w:val="21"/>
              </w:rPr>
            </w:pPr>
          </w:p>
          <w:p w14:paraId="36FBAE84">
            <w:pPr>
              <w:pStyle w:val="8"/>
              <w:spacing w:before="59"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r w14:paraId="29F05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1" w:hRule="atLeast"/>
        </w:trPr>
        <w:tc>
          <w:tcPr>
            <w:tcW w:w="629" w:type="dxa"/>
            <w:shd w:val="clear" w:color="auto" w:fill="auto"/>
            <w:vAlign w:val="top"/>
          </w:tcPr>
          <w:p w14:paraId="1BB3C93D">
            <w:pPr>
              <w:spacing w:line="241" w:lineRule="auto"/>
              <w:rPr>
                <w:rFonts w:ascii="Arial"/>
                <w:sz w:val="21"/>
              </w:rPr>
            </w:pPr>
          </w:p>
          <w:p w14:paraId="559DBD57">
            <w:pPr>
              <w:spacing w:line="241" w:lineRule="auto"/>
              <w:rPr>
                <w:rFonts w:ascii="Arial"/>
                <w:sz w:val="21"/>
              </w:rPr>
            </w:pPr>
          </w:p>
          <w:p w14:paraId="63EB78B8">
            <w:pPr>
              <w:spacing w:line="241" w:lineRule="auto"/>
              <w:rPr>
                <w:rFonts w:ascii="Arial"/>
                <w:sz w:val="21"/>
              </w:rPr>
            </w:pPr>
          </w:p>
          <w:p w14:paraId="55E65447">
            <w:pPr>
              <w:spacing w:line="242" w:lineRule="auto"/>
              <w:rPr>
                <w:rFonts w:ascii="Arial"/>
                <w:sz w:val="21"/>
              </w:rPr>
            </w:pPr>
          </w:p>
          <w:p w14:paraId="01D302C7">
            <w:pPr>
              <w:spacing w:line="242" w:lineRule="auto"/>
              <w:rPr>
                <w:rFonts w:ascii="Arial"/>
                <w:sz w:val="21"/>
              </w:rPr>
            </w:pPr>
          </w:p>
          <w:p w14:paraId="6A333D64">
            <w:pPr>
              <w:spacing w:line="242" w:lineRule="auto"/>
              <w:rPr>
                <w:rFonts w:ascii="Arial"/>
                <w:sz w:val="21"/>
              </w:rPr>
            </w:pPr>
          </w:p>
          <w:p w14:paraId="411CC0F0">
            <w:pPr>
              <w:spacing w:line="242" w:lineRule="auto"/>
              <w:rPr>
                <w:rFonts w:ascii="Arial"/>
                <w:sz w:val="21"/>
              </w:rPr>
            </w:pPr>
          </w:p>
          <w:p w14:paraId="674F78AE">
            <w:pPr>
              <w:spacing w:line="242" w:lineRule="auto"/>
              <w:rPr>
                <w:rFonts w:ascii="Arial"/>
                <w:sz w:val="21"/>
              </w:rPr>
            </w:pPr>
          </w:p>
          <w:p w14:paraId="726C2A67">
            <w:pPr>
              <w:spacing w:line="242" w:lineRule="auto"/>
              <w:rPr>
                <w:rFonts w:ascii="Arial"/>
                <w:sz w:val="21"/>
              </w:rPr>
            </w:pPr>
          </w:p>
          <w:p w14:paraId="0E25A543">
            <w:pPr>
              <w:spacing w:line="242" w:lineRule="auto"/>
              <w:rPr>
                <w:rFonts w:ascii="Arial"/>
                <w:sz w:val="21"/>
              </w:rPr>
            </w:pPr>
          </w:p>
          <w:p w14:paraId="12F4D86D">
            <w:pPr>
              <w:spacing w:line="242" w:lineRule="auto"/>
              <w:rPr>
                <w:rFonts w:ascii="Arial"/>
                <w:sz w:val="21"/>
              </w:rPr>
            </w:pPr>
          </w:p>
          <w:p w14:paraId="3D4D7AD5">
            <w:pPr>
              <w:pStyle w:val="8"/>
              <w:spacing w:before="58" w:line="183" w:lineRule="auto"/>
              <w:ind w:left="236" w:leftChars="0"/>
              <w:rPr>
                <w:rFonts w:hint="eastAsia" w:ascii="宋体" w:hAnsi="宋体" w:eastAsia="宋体" w:cs="宋体"/>
                <w:snapToGrid w:val="0"/>
                <w:color w:val="000000"/>
                <w:kern w:val="0"/>
                <w:sz w:val="18"/>
                <w:szCs w:val="18"/>
                <w:lang w:val="en-US" w:eastAsia="zh-CN" w:bidi="ar-SA"/>
              </w:rPr>
            </w:pPr>
            <w:r>
              <w:rPr>
                <w:spacing w:val="-6"/>
              </w:rPr>
              <w:t>3</w:t>
            </w:r>
            <w:r>
              <w:rPr>
                <w:rFonts w:hint="eastAsia"/>
                <w:spacing w:val="-6"/>
                <w:lang w:val="en-US" w:eastAsia="zh-CN"/>
              </w:rPr>
              <w:t>1</w:t>
            </w:r>
          </w:p>
        </w:tc>
        <w:tc>
          <w:tcPr>
            <w:tcW w:w="1113" w:type="dxa"/>
            <w:shd w:val="clear" w:color="auto" w:fill="auto"/>
            <w:vAlign w:val="top"/>
          </w:tcPr>
          <w:p w14:paraId="3BE89973">
            <w:pPr>
              <w:spacing w:line="253" w:lineRule="auto"/>
              <w:rPr>
                <w:rFonts w:ascii="Arial"/>
                <w:sz w:val="21"/>
              </w:rPr>
            </w:pPr>
          </w:p>
          <w:p w14:paraId="442B6C42">
            <w:pPr>
              <w:spacing w:line="254" w:lineRule="auto"/>
              <w:rPr>
                <w:rFonts w:ascii="Arial"/>
                <w:sz w:val="21"/>
              </w:rPr>
            </w:pPr>
          </w:p>
          <w:p w14:paraId="1B6CFF52">
            <w:pPr>
              <w:spacing w:line="254" w:lineRule="auto"/>
              <w:rPr>
                <w:rFonts w:ascii="Arial"/>
                <w:sz w:val="21"/>
              </w:rPr>
            </w:pPr>
          </w:p>
          <w:p w14:paraId="69E57E25">
            <w:pPr>
              <w:spacing w:line="254" w:lineRule="auto"/>
              <w:rPr>
                <w:rFonts w:ascii="Arial"/>
                <w:sz w:val="21"/>
              </w:rPr>
            </w:pPr>
          </w:p>
          <w:p w14:paraId="00226A84">
            <w:pPr>
              <w:spacing w:line="254" w:lineRule="auto"/>
              <w:rPr>
                <w:rFonts w:ascii="Arial"/>
                <w:sz w:val="21"/>
              </w:rPr>
            </w:pPr>
          </w:p>
          <w:p w14:paraId="71731637">
            <w:pPr>
              <w:spacing w:line="254" w:lineRule="auto"/>
              <w:rPr>
                <w:rFonts w:ascii="Arial"/>
                <w:sz w:val="21"/>
              </w:rPr>
            </w:pPr>
          </w:p>
          <w:p w14:paraId="4E0FEA67">
            <w:pPr>
              <w:spacing w:line="254" w:lineRule="auto"/>
              <w:rPr>
                <w:rFonts w:ascii="Arial"/>
                <w:sz w:val="21"/>
              </w:rPr>
            </w:pPr>
          </w:p>
          <w:p w14:paraId="5DD8D9BF">
            <w:pPr>
              <w:pStyle w:val="8"/>
              <w:spacing w:before="58" w:line="245" w:lineRule="auto"/>
              <w:ind w:left="95" w:leftChars="0" w:right="90" w:rightChars="0"/>
              <w:jc w:val="both"/>
              <w:rPr>
                <w:rFonts w:ascii="宋体" w:hAnsi="宋体" w:eastAsia="宋体" w:cs="宋体"/>
                <w:snapToGrid w:val="0"/>
                <w:color w:val="000000"/>
                <w:kern w:val="0"/>
                <w:sz w:val="18"/>
                <w:szCs w:val="18"/>
                <w:lang w:val="en-US" w:eastAsia="en-US" w:bidi="ar-SA"/>
              </w:rPr>
            </w:pPr>
            <w:r>
              <w:rPr>
                <w:spacing w:val="4"/>
              </w:rPr>
              <w:t>对经批准进</w:t>
            </w:r>
            <w:r>
              <w:rPr>
                <w:spacing w:val="1"/>
              </w:rPr>
              <w:t xml:space="preserve"> </w:t>
            </w:r>
            <w:r>
              <w:rPr>
                <w:spacing w:val="4"/>
              </w:rPr>
              <w:t>行超限运输</w:t>
            </w:r>
            <w:r>
              <w:rPr>
                <w:spacing w:val="1"/>
              </w:rPr>
              <w:t xml:space="preserve"> </w:t>
            </w:r>
            <w:r>
              <w:rPr>
                <w:spacing w:val="4"/>
              </w:rPr>
              <w:t>的车辆，未</w:t>
            </w:r>
            <w:r>
              <w:rPr>
                <w:spacing w:val="1"/>
              </w:rPr>
              <w:t xml:space="preserve"> </w:t>
            </w:r>
            <w:r>
              <w:rPr>
                <w:spacing w:val="4"/>
              </w:rPr>
              <w:t>按照指定时</w:t>
            </w:r>
            <w:r>
              <w:rPr>
                <w:spacing w:val="1"/>
              </w:rPr>
              <w:t xml:space="preserve"> </w:t>
            </w:r>
            <w:r>
              <w:rPr>
                <w:spacing w:val="4"/>
              </w:rPr>
              <w:t>间、路线和</w:t>
            </w:r>
            <w:r>
              <w:rPr>
                <w:spacing w:val="1"/>
              </w:rPr>
              <w:t xml:space="preserve"> </w:t>
            </w:r>
            <w:r>
              <w:rPr>
                <w:spacing w:val="4"/>
              </w:rPr>
              <w:t>速度行驶拒</w:t>
            </w:r>
            <w:r>
              <w:rPr>
                <w:spacing w:val="1"/>
              </w:rPr>
              <w:t xml:space="preserve"> </w:t>
            </w:r>
            <w:r>
              <w:rPr>
                <w:spacing w:val="4"/>
              </w:rPr>
              <w:t>不改正行为</w:t>
            </w:r>
            <w:r>
              <w:rPr>
                <w:spacing w:val="1"/>
              </w:rPr>
              <w:t xml:space="preserve"> </w:t>
            </w:r>
            <w:r>
              <w:rPr>
                <w:spacing w:val="-4"/>
              </w:rPr>
              <w:t>的行政强制</w:t>
            </w:r>
          </w:p>
        </w:tc>
        <w:tc>
          <w:tcPr>
            <w:tcW w:w="1113" w:type="dxa"/>
            <w:shd w:val="clear" w:color="auto" w:fill="auto"/>
            <w:vAlign w:val="top"/>
          </w:tcPr>
          <w:p w14:paraId="49FCFB03">
            <w:pPr>
              <w:spacing w:line="261" w:lineRule="auto"/>
              <w:rPr>
                <w:rFonts w:ascii="Arial"/>
                <w:sz w:val="21"/>
              </w:rPr>
            </w:pPr>
          </w:p>
          <w:p w14:paraId="0C12C72B">
            <w:pPr>
              <w:spacing w:line="262" w:lineRule="auto"/>
              <w:rPr>
                <w:rFonts w:ascii="Arial"/>
                <w:sz w:val="21"/>
              </w:rPr>
            </w:pPr>
          </w:p>
          <w:p w14:paraId="4496C56E">
            <w:pPr>
              <w:spacing w:line="262" w:lineRule="auto"/>
              <w:rPr>
                <w:rFonts w:ascii="Arial"/>
                <w:sz w:val="21"/>
              </w:rPr>
            </w:pPr>
          </w:p>
          <w:p w14:paraId="34A604CD">
            <w:pPr>
              <w:spacing w:line="262" w:lineRule="auto"/>
              <w:rPr>
                <w:rFonts w:ascii="Arial"/>
                <w:sz w:val="21"/>
              </w:rPr>
            </w:pPr>
          </w:p>
          <w:p w14:paraId="6694E46F">
            <w:pPr>
              <w:spacing w:line="262" w:lineRule="auto"/>
              <w:rPr>
                <w:rFonts w:ascii="Arial"/>
                <w:sz w:val="21"/>
              </w:rPr>
            </w:pPr>
          </w:p>
          <w:p w14:paraId="20BB4511">
            <w:pPr>
              <w:spacing w:line="262" w:lineRule="auto"/>
              <w:rPr>
                <w:rFonts w:ascii="Arial"/>
                <w:sz w:val="21"/>
              </w:rPr>
            </w:pPr>
          </w:p>
          <w:p w14:paraId="63944B3D">
            <w:pPr>
              <w:spacing w:line="262" w:lineRule="auto"/>
              <w:rPr>
                <w:rFonts w:ascii="Arial"/>
                <w:sz w:val="21"/>
              </w:rPr>
            </w:pPr>
          </w:p>
          <w:p w14:paraId="53BFF315">
            <w:pPr>
              <w:spacing w:line="262" w:lineRule="auto"/>
              <w:rPr>
                <w:rFonts w:ascii="Arial"/>
                <w:sz w:val="21"/>
              </w:rPr>
            </w:pPr>
          </w:p>
          <w:p w14:paraId="2B31253B">
            <w:pPr>
              <w:spacing w:line="262" w:lineRule="auto"/>
              <w:rPr>
                <w:rFonts w:ascii="Arial"/>
                <w:sz w:val="21"/>
              </w:rPr>
            </w:pPr>
          </w:p>
          <w:p w14:paraId="37A985C0">
            <w:pPr>
              <w:spacing w:line="262" w:lineRule="auto"/>
              <w:rPr>
                <w:rFonts w:ascii="Arial"/>
                <w:sz w:val="21"/>
              </w:rPr>
            </w:pPr>
          </w:p>
          <w:p w14:paraId="0CD20659">
            <w:pPr>
              <w:pStyle w:val="8"/>
              <w:spacing w:before="58" w:line="220" w:lineRule="auto"/>
              <w:ind w:left="10" w:leftChars="0"/>
              <w:rPr>
                <w:rFonts w:ascii="宋体" w:hAnsi="宋体" w:eastAsia="宋体" w:cs="宋体"/>
                <w:snapToGrid w:val="0"/>
                <w:color w:val="000000"/>
                <w:kern w:val="0"/>
                <w:sz w:val="18"/>
                <w:szCs w:val="18"/>
                <w:lang w:val="en-US" w:eastAsia="en-US" w:bidi="ar-SA"/>
              </w:rPr>
            </w:pPr>
            <w:r>
              <w:rPr>
                <w:spacing w:val="-2"/>
              </w:rPr>
              <w:t>行政强制</w:t>
            </w:r>
          </w:p>
        </w:tc>
        <w:tc>
          <w:tcPr>
            <w:tcW w:w="8631" w:type="dxa"/>
            <w:shd w:val="clear" w:color="auto" w:fill="auto"/>
            <w:vAlign w:val="top"/>
          </w:tcPr>
          <w:p w14:paraId="349D8833">
            <w:pPr>
              <w:spacing w:line="246" w:lineRule="auto"/>
              <w:rPr>
                <w:rFonts w:ascii="Arial"/>
                <w:sz w:val="21"/>
              </w:rPr>
            </w:pPr>
          </w:p>
          <w:p w14:paraId="6DCB890E">
            <w:pPr>
              <w:pStyle w:val="8"/>
              <w:spacing w:before="58" w:line="219" w:lineRule="auto"/>
              <w:ind w:left="480"/>
            </w:pPr>
            <w:r>
              <w:rPr>
                <w:b/>
                <w:bCs/>
                <w:spacing w:val="-5"/>
              </w:rPr>
              <w:t>1.《公路安全保护条例》</w:t>
            </w:r>
          </w:p>
          <w:p w14:paraId="10B9209C">
            <w:pPr>
              <w:pStyle w:val="8"/>
              <w:spacing w:before="25" w:line="233" w:lineRule="auto"/>
              <w:ind w:left="130" w:right="109" w:firstLine="336"/>
            </w:pPr>
            <w:r>
              <w:rPr>
                <w:spacing w:val="3"/>
              </w:rPr>
              <w:t>第三十八条第二款  经批准进行超限运输的车辆，应当随车携带超限运输车辆通行证</w:t>
            </w:r>
            <w:r>
              <w:rPr>
                <w:spacing w:val="2"/>
              </w:rPr>
              <w:t>，按照指定的时</w:t>
            </w:r>
            <w:r>
              <w:t xml:space="preserve"> </w:t>
            </w:r>
            <w:r>
              <w:rPr>
                <w:spacing w:val="-3"/>
              </w:rPr>
              <w:t>间、路线和速度行驶，并悬挂明显标志。</w:t>
            </w:r>
          </w:p>
          <w:p w14:paraId="3F7956B2">
            <w:pPr>
              <w:pStyle w:val="8"/>
              <w:spacing w:before="26" w:line="237" w:lineRule="auto"/>
              <w:ind w:left="116" w:right="107" w:firstLine="350"/>
              <w:jc w:val="both"/>
            </w:pPr>
            <w:r>
              <w:rPr>
                <w:spacing w:val="-1"/>
              </w:rPr>
              <w:t>第六十五条第一款  违反本条例的规定，经批准进行超限运输的车辆，未按照指定时间、</w:t>
            </w:r>
            <w:r>
              <w:rPr>
                <w:spacing w:val="-2"/>
              </w:rPr>
              <w:t>路线和速度行</w:t>
            </w:r>
            <w:r>
              <w:t xml:space="preserve"> </w:t>
            </w:r>
            <w:r>
              <w:rPr>
                <w:spacing w:val="-1"/>
              </w:rPr>
              <w:t>驶的，由公路管理机构或者公安机关交通管理部门责令改正；拒不改正的，公路</w:t>
            </w:r>
            <w:r>
              <w:rPr>
                <w:spacing w:val="-2"/>
              </w:rPr>
              <w:t>管理机构或者公安机关交通</w:t>
            </w:r>
            <w:r>
              <w:t xml:space="preserve"> </w:t>
            </w:r>
            <w:r>
              <w:rPr>
                <w:spacing w:val="-4"/>
              </w:rPr>
              <w:t>管理部门可以扣留车辆。</w:t>
            </w:r>
          </w:p>
          <w:p w14:paraId="0A1A66B9">
            <w:pPr>
              <w:pStyle w:val="8"/>
              <w:spacing w:before="25" w:line="219" w:lineRule="auto"/>
              <w:ind w:left="468"/>
            </w:pPr>
            <w:r>
              <w:rPr>
                <w:b/>
                <w:bCs/>
                <w:spacing w:val="-3"/>
              </w:rPr>
              <w:t>2.《超限运输车辆行驶公路管理规定》（交</w:t>
            </w:r>
            <w:r>
              <w:rPr>
                <w:b/>
                <w:bCs/>
                <w:spacing w:val="-4"/>
              </w:rPr>
              <w:t>通运输部令2021年第12号）</w:t>
            </w:r>
          </w:p>
          <w:p w14:paraId="1DA98F1F">
            <w:pPr>
              <w:pStyle w:val="8"/>
              <w:spacing w:before="27" w:line="233" w:lineRule="auto"/>
              <w:ind w:left="120" w:right="109" w:firstLine="346"/>
            </w:pPr>
            <w:r>
              <w:rPr>
                <w:spacing w:val="-1"/>
              </w:rPr>
              <w:t>第六条  载运不可解体物品的超限运输（以下称大件运输）车辆，应当依法办理有关许可</w:t>
            </w:r>
            <w:r>
              <w:rPr>
                <w:spacing w:val="-2"/>
              </w:rPr>
              <w:t>手续，采取有</w:t>
            </w:r>
            <w:r>
              <w:t xml:space="preserve"> </w:t>
            </w:r>
            <w:r>
              <w:rPr>
                <w:spacing w:val="-2"/>
              </w:rPr>
              <w:t>效措施后，按照指定的时间、路线、速度行驶公路。未经许可，</w:t>
            </w:r>
            <w:r>
              <w:rPr>
                <w:spacing w:val="-3"/>
              </w:rPr>
              <w:t>不得擅自行驶公路。</w:t>
            </w:r>
          </w:p>
          <w:p w14:paraId="024E5BE2">
            <w:pPr>
              <w:pStyle w:val="8"/>
              <w:spacing w:before="28" w:line="243" w:lineRule="auto"/>
              <w:ind w:left="116" w:right="107" w:firstLine="350"/>
            </w:pPr>
            <w:r>
              <w:rPr>
                <w:spacing w:val="4"/>
              </w:rPr>
              <w:t>第二十条  经批准进行大件运输的车辆，行驶公路</w:t>
            </w:r>
            <w:r>
              <w:rPr>
                <w:spacing w:val="3"/>
              </w:rPr>
              <w:t>时应当遵守下列规定</w:t>
            </w:r>
            <w:r>
              <w:rPr>
                <w:spacing w:val="-11"/>
              </w:rPr>
              <w:t>：（</w:t>
            </w:r>
            <w:r>
              <w:rPr>
                <w:spacing w:val="3"/>
              </w:rPr>
              <w:t>一）采取有效措施固定货</w:t>
            </w:r>
            <w:r>
              <w:t xml:space="preserve"> </w:t>
            </w:r>
            <w:r>
              <w:rPr>
                <w:spacing w:val="7"/>
              </w:rPr>
              <w:t>物，按照有关要求在车辆上悬挂明显标志，保证运输安全</w:t>
            </w:r>
            <w:r>
              <w:rPr>
                <w:spacing w:val="-4"/>
              </w:rPr>
              <w:t>；（</w:t>
            </w:r>
            <w:r>
              <w:rPr>
                <w:spacing w:val="7"/>
              </w:rPr>
              <w:t>二）按照指定的时间、路线和速度行驶；</w:t>
            </w:r>
            <w:r>
              <w:t xml:space="preserve"> </w:t>
            </w:r>
            <w:r>
              <w:rPr>
                <w:spacing w:val="-1"/>
              </w:rPr>
              <w:t>（三）车货总质量超限的车辆通行公路桥梁，应当匀速居中行驶，避免</w:t>
            </w:r>
            <w:r>
              <w:rPr>
                <w:spacing w:val="-2"/>
              </w:rPr>
              <w:t>在桥上制动、变速或者停驶</w:t>
            </w:r>
            <w:r>
              <w:rPr>
                <w:spacing w:val="-6"/>
              </w:rPr>
              <w:t>；（</w:t>
            </w:r>
            <w:r>
              <w:rPr>
                <w:spacing w:val="-2"/>
              </w:rPr>
              <w:t>四）</w:t>
            </w:r>
            <w:r>
              <w:t xml:space="preserve"> </w:t>
            </w:r>
            <w:r>
              <w:rPr>
                <w:spacing w:val="-1"/>
              </w:rPr>
              <w:t>需要在公路上临时停车的，除遵守有关道路交通安全规定外，还应当在车辆周边</w:t>
            </w:r>
            <w:r>
              <w:rPr>
                <w:spacing w:val="-2"/>
              </w:rPr>
              <w:t>设置警告标志，并采取相应</w:t>
            </w:r>
            <w:r>
              <w:t xml:space="preserve"> </w:t>
            </w:r>
            <w:r>
              <w:rPr>
                <w:spacing w:val="-1"/>
              </w:rPr>
              <w:t>的安全防范措施；需要较长时间停车或者遇有恶劣天气的</w:t>
            </w:r>
            <w:r>
              <w:rPr>
                <w:spacing w:val="-2"/>
              </w:rPr>
              <w:t>，应当驶离公路，就近选择安全区域停靠</w:t>
            </w:r>
            <w:r>
              <w:rPr>
                <w:spacing w:val="-3"/>
              </w:rPr>
              <w:t>；（</w:t>
            </w:r>
            <w:r>
              <w:rPr>
                <w:spacing w:val="-2"/>
              </w:rPr>
              <w:t>五）</w:t>
            </w:r>
            <w:r>
              <w:t xml:space="preserve"> </w:t>
            </w:r>
            <w:r>
              <w:rPr>
                <w:spacing w:val="-1"/>
              </w:rPr>
              <w:t>通行采取加固、改造措施的公路设施，承运人应当提前通知该公路设施的养护管</w:t>
            </w:r>
            <w:r>
              <w:rPr>
                <w:spacing w:val="-2"/>
              </w:rPr>
              <w:t>理单位，由其加强现场管理</w:t>
            </w:r>
            <w:r>
              <w:t xml:space="preserve"> </w:t>
            </w:r>
            <w:r>
              <w:rPr>
                <w:spacing w:val="-1"/>
              </w:rPr>
              <w:t>和指导</w:t>
            </w:r>
            <w:r>
              <w:rPr>
                <w:spacing w:val="-3"/>
              </w:rPr>
              <w:t>；（</w:t>
            </w:r>
            <w:r>
              <w:rPr>
                <w:spacing w:val="-1"/>
              </w:rPr>
              <w:t>六）因自然灾害或者其他不可预见因素而出现公路通行状况异常致使大件运输</w:t>
            </w:r>
            <w:r>
              <w:rPr>
                <w:spacing w:val="-2"/>
              </w:rPr>
              <w:t>车辆无法继续行驶</w:t>
            </w:r>
            <w:r>
              <w:t xml:space="preserve"> </w:t>
            </w:r>
            <w:r>
              <w:rPr>
                <w:spacing w:val="-1"/>
              </w:rPr>
              <w:t>的，承运人应当服从现场管理并及时告知作出行政许可决定的公路管理机构，由</w:t>
            </w:r>
            <w:r>
              <w:rPr>
                <w:spacing w:val="-2"/>
              </w:rPr>
              <w:t>其协调当地公路管理机构采</w:t>
            </w:r>
            <w:r>
              <w:t xml:space="preserve"> </w:t>
            </w:r>
            <w:r>
              <w:rPr>
                <w:spacing w:val="-4"/>
              </w:rPr>
              <w:t>取相关措施后继续行驶。</w:t>
            </w:r>
          </w:p>
          <w:p w14:paraId="5019EE12">
            <w:pPr>
              <w:pStyle w:val="8"/>
              <w:spacing w:before="26" w:line="237" w:lineRule="auto"/>
              <w:ind w:left="126" w:leftChars="0" w:right="107" w:rightChars="0" w:firstLine="340" w:firstLineChars="0"/>
              <w:rPr>
                <w:rFonts w:ascii="宋体" w:hAnsi="宋体" w:eastAsia="宋体" w:cs="宋体"/>
                <w:snapToGrid w:val="0"/>
                <w:color w:val="000000"/>
                <w:kern w:val="0"/>
                <w:sz w:val="18"/>
                <w:szCs w:val="18"/>
                <w:lang w:val="en-US" w:eastAsia="en-US" w:bidi="ar-SA"/>
              </w:rPr>
            </w:pPr>
            <w:r>
              <w:rPr>
                <w:spacing w:val="-1"/>
              </w:rPr>
              <w:t>第四十七条  大件运输车辆有下列情形之一的，视为违法超限运输</w:t>
            </w:r>
            <w:r>
              <w:rPr>
                <w:spacing w:val="-3"/>
              </w:rPr>
              <w:t>：（</w:t>
            </w:r>
            <w:r>
              <w:rPr>
                <w:spacing w:val="-1"/>
              </w:rPr>
              <w:t>一）未经许可擅自行驶公路的；</w:t>
            </w:r>
            <w:r>
              <w:t xml:space="preserve"> </w:t>
            </w:r>
            <w:r>
              <w:rPr>
                <w:spacing w:val="3"/>
              </w:rPr>
              <w:t>（二）车辆及装载物品的有关情况与《超限运输车辆通行证》记载的内容不一致的</w:t>
            </w:r>
            <w:r>
              <w:rPr>
                <w:spacing w:val="-10"/>
              </w:rPr>
              <w:t>；（</w:t>
            </w:r>
            <w:r>
              <w:rPr>
                <w:spacing w:val="3"/>
              </w:rPr>
              <w:t>三）未按许可</w:t>
            </w:r>
            <w:r>
              <w:rPr>
                <w:spacing w:val="2"/>
              </w:rPr>
              <w:t>的时</w:t>
            </w:r>
            <w:r>
              <w:rPr>
                <w:spacing w:val="1"/>
              </w:rPr>
              <w:t xml:space="preserve"> </w:t>
            </w:r>
            <w:r>
              <w:rPr>
                <w:spacing w:val="-2"/>
              </w:rPr>
              <w:t>间、路线、速度行驶公路的</w:t>
            </w:r>
            <w:r>
              <w:rPr>
                <w:spacing w:val="-10"/>
              </w:rPr>
              <w:t>；（</w:t>
            </w:r>
            <w:r>
              <w:rPr>
                <w:spacing w:val="-2"/>
              </w:rPr>
              <w:t>四）未按许可的护送方案采取护送措施的。</w:t>
            </w:r>
          </w:p>
        </w:tc>
        <w:tc>
          <w:tcPr>
            <w:tcW w:w="1022" w:type="dxa"/>
            <w:shd w:val="clear" w:color="auto" w:fill="auto"/>
            <w:vAlign w:val="top"/>
          </w:tcPr>
          <w:p w14:paraId="03E41288">
            <w:pPr>
              <w:spacing w:line="249" w:lineRule="auto"/>
              <w:rPr>
                <w:rFonts w:ascii="Arial"/>
                <w:sz w:val="21"/>
              </w:rPr>
            </w:pPr>
          </w:p>
          <w:p w14:paraId="4F2F607F">
            <w:pPr>
              <w:spacing w:line="249" w:lineRule="auto"/>
              <w:rPr>
                <w:rFonts w:ascii="Arial"/>
                <w:sz w:val="21"/>
              </w:rPr>
            </w:pPr>
          </w:p>
          <w:p w14:paraId="7501B5E7">
            <w:pPr>
              <w:spacing w:line="250" w:lineRule="auto"/>
              <w:rPr>
                <w:rFonts w:ascii="Arial"/>
                <w:sz w:val="21"/>
              </w:rPr>
            </w:pPr>
          </w:p>
          <w:p w14:paraId="1035B8C9">
            <w:pPr>
              <w:spacing w:line="250" w:lineRule="auto"/>
              <w:rPr>
                <w:rFonts w:ascii="Arial"/>
                <w:sz w:val="21"/>
              </w:rPr>
            </w:pPr>
          </w:p>
          <w:p w14:paraId="612671FA">
            <w:pPr>
              <w:spacing w:line="250" w:lineRule="auto"/>
              <w:rPr>
                <w:rFonts w:ascii="Arial"/>
                <w:sz w:val="21"/>
              </w:rPr>
            </w:pPr>
          </w:p>
          <w:p w14:paraId="16CED9E5">
            <w:pPr>
              <w:spacing w:line="250" w:lineRule="auto"/>
              <w:rPr>
                <w:rFonts w:ascii="Arial"/>
                <w:sz w:val="21"/>
              </w:rPr>
            </w:pPr>
          </w:p>
          <w:p w14:paraId="6A849359">
            <w:pPr>
              <w:spacing w:line="250" w:lineRule="auto"/>
              <w:rPr>
                <w:rFonts w:ascii="Arial"/>
                <w:sz w:val="21"/>
              </w:rPr>
            </w:pPr>
          </w:p>
          <w:p w14:paraId="746BBF4F">
            <w:pPr>
              <w:spacing w:line="250" w:lineRule="auto"/>
              <w:rPr>
                <w:rFonts w:ascii="Arial"/>
                <w:sz w:val="21"/>
              </w:rPr>
            </w:pPr>
          </w:p>
          <w:p w14:paraId="2B61A029">
            <w:pPr>
              <w:spacing w:line="250" w:lineRule="auto"/>
              <w:rPr>
                <w:rFonts w:ascii="Arial"/>
                <w:sz w:val="21"/>
              </w:rPr>
            </w:pPr>
          </w:p>
          <w:p w14:paraId="4D1297ED">
            <w:pPr>
              <w:spacing w:line="250" w:lineRule="auto"/>
              <w:rPr>
                <w:rFonts w:ascii="Arial"/>
                <w:sz w:val="21"/>
              </w:rPr>
            </w:pPr>
          </w:p>
          <w:p w14:paraId="130281CA">
            <w:pPr>
              <w:pStyle w:val="8"/>
              <w:spacing w:before="58" w:line="235" w:lineRule="auto"/>
              <w:ind w:left="158" w:leftChars="0" w:right="147" w:rightChars="0" w:firstLine="2" w:firstLineChars="0"/>
              <w:rPr>
                <w:rFonts w:ascii="宋体" w:hAnsi="宋体" w:eastAsia="宋体" w:cs="宋体"/>
                <w:snapToGrid w:val="0"/>
                <w:color w:val="000000"/>
                <w:kern w:val="0"/>
                <w:sz w:val="18"/>
                <w:szCs w:val="18"/>
                <w:lang w:val="en-US" w:eastAsia="en-US" w:bidi="ar-SA"/>
              </w:rPr>
            </w:pPr>
            <w:r>
              <w:rPr>
                <w:spacing w:val="-3"/>
              </w:rPr>
              <w:t>交通运输</w:t>
            </w:r>
            <w:r>
              <w:t xml:space="preserve"> </w:t>
            </w:r>
            <w:r>
              <w:rPr>
                <w:spacing w:val="-3"/>
              </w:rPr>
              <w:t>主管部门</w:t>
            </w:r>
          </w:p>
        </w:tc>
        <w:tc>
          <w:tcPr>
            <w:tcW w:w="1419" w:type="dxa"/>
            <w:shd w:val="clear" w:color="auto" w:fill="auto"/>
            <w:vAlign w:val="top"/>
          </w:tcPr>
          <w:p w14:paraId="1F8CAE0B">
            <w:pPr>
              <w:spacing w:line="261" w:lineRule="auto"/>
              <w:rPr>
                <w:rFonts w:ascii="Arial"/>
                <w:sz w:val="21"/>
              </w:rPr>
            </w:pPr>
          </w:p>
          <w:p w14:paraId="1A3365A4">
            <w:pPr>
              <w:spacing w:line="262" w:lineRule="auto"/>
              <w:rPr>
                <w:rFonts w:ascii="Arial"/>
                <w:sz w:val="21"/>
              </w:rPr>
            </w:pPr>
          </w:p>
          <w:p w14:paraId="46710E97">
            <w:pPr>
              <w:spacing w:line="262" w:lineRule="auto"/>
              <w:rPr>
                <w:rFonts w:ascii="Arial"/>
                <w:sz w:val="21"/>
              </w:rPr>
            </w:pPr>
          </w:p>
          <w:p w14:paraId="3AFA4205">
            <w:pPr>
              <w:spacing w:line="262" w:lineRule="auto"/>
              <w:rPr>
                <w:rFonts w:ascii="Arial"/>
                <w:sz w:val="21"/>
              </w:rPr>
            </w:pPr>
          </w:p>
          <w:p w14:paraId="641C7094">
            <w:pPr>
              <w:spacing w:line="262" w:lineRule="auto"/>
              <w:rPr>
                <w:rFonts w:ascii="Arial"/>
                <w:sz w:val="21"/>
              </w:rPr>
            </w:pPr>
          </w:p>
          <w:p w14:paraId="00A88B9B">
            <w:pPr>
              <w:spacing w:line="262" w:lineRule="auto"/>
              <w:rPr>
                <w:rFonts w:ascii="Arial"/>
                <w:sz w:val="21"/>
              </w:rPr>
            </w:pPr>
          </w:p>
          <w:p w14:paraId="21C79605">
            <w:pPr>
              <w:spacing w:line="262" w:lineRule="auto"/>
              <w:rPr>
                <w:rFonts w:ascii="Arial"/>
                <w:sz w:val="21"/>
              </w:rPr>
            </w:pPr>
          </w:p>
          <w:p w14:paraId="50B57CE1">
            <w:pPr>
              <w:spacing w:line="262" w:lineRule="auto"/>
              <w:rPr>
                <w:rFonts w:ascii="Arial"/>
                <w:sz w:val="21"/>
              </w:rPr>
            </w:pPr>
          </w:p>
          <w:p w14:paraId="2C5CB033">
            <w:pPr>
              <w:spacing w:line="262" w:lineRule="auto"/>
              <w:rPr>
                <w:rFonts w:ascii="Arial"/>
                <w:sz w:val="21"/>
              </w:rPr>
            </w:pPr>
          </w:p>
          <w:p w14:paraId="37E47F50">
            <w:pPr>
              <w:spacing w:line="262" w:lineRule="auto"/>
              <w:rPr>
                <w:rFonts w:ascii="Arial"/>
                <w:sz w:val="21"/>
              </w:rPr>
            </w:pPr>
          </w:p>
          <w:p w14:paraId="021B5828">
            <w:pPr>
              <w:pStyle w:val="8"/>
              <w:spacing w:before="58" w:line="219" w:lineRule="auto"/>
              <w:ind w:left="87" w:leftChars="0"/>
              <w:rPr>
                <w:rFonts w:hint="eastAsia" w:ascii="宋体" w:hAnsi="宋体" w:eastAsia="宋体" w:cs="宋体"/>
                <w:snapToGrid w:val="0"/>
                <w:color w:val="000000"/>
                <w:kern w:val="0"/>
                <w:sz w:val="18"/>
                <w:szCs w:val="18"/>
                <w:lang w:val="en-US" w:eastAsia="zh-CN" w:bidi="ar-SA"/>
              </w:rPr>
            </w:pPr>
            <w:r>
              <w:rPr>
                <w:rFonts w:hint="eastAsia"/>
                <w:spacing w:val="-2"/>
                <w:lang w:eastAsia="zh-CN"/>
              </w:rPr>
              <w:t>津市市交通运输局</w:t>
            </w:r>
          </w:p>
        </w:tc>
        <w:tc>
          <w:tcPr>
            <w:tcW w:w="1027" w:type="dxa"/>
            <w:shd w:val="clear" w:color="auto" w:fill="auto"/>
            <w:vAlign w:val="top"/>
          </w:tcPr>
          <w:p w14:paraId="0269C335">
            <w:pPr>
              <w:spacing w:line="264" w:lineRule="auto"/>
              <w:rPr>
                <w:rFonts w:ascii="Arial"/>
                <w:sz w:val="21"/>
              </w:rPr>
            </w:pPr>
          </w:p>
          <w:p w14:paraId="6CC8D427">
            <w:pPr>
              <w:spacing w:line="264" w:lineRule="auto"/>
              <w:rPr>
                <w:rFonts w:ascii="Arial"/>
                <w:sz w:val="21"/>
              </w:rPr>
            </w:pPr>
          </w:p>
          <w:p w14:paraId="1C52A388">
            <w:pPr>
              <w:spacing w:line="264" w:lineRule="auto"/>
              <w:rPr>
                <w:rFonts w:ascii="Arial"/>
                <w:sz w:val="21"/>
              </w:rPr>
            </w:pPr>
          </w:p>
          <w:p w14:paraId="50C80D6F">
            <w:pPr>
              <w:spacing w:line="264" w:lineRule="auto"/>
              <w:rPr>
                <w:rFonts w:ascii="Arial"/>
                <w:sz w:val="21"/>
              </w:rPr>
            </w:pPr>
          </w:p>
          <w:p w14:paraId="2A2AAED8">
            <w:pPr>
              <w:spacing w:line="264" w:lineRule="auto"/>
              <w:rPr>
                <w:rFonts w:ascii="Arial"/>
                <w:sz w:val="21"/>
              </w:rPr>
            </w:pPr>
          </w:p>
          <w:p w14:paraId="46E1A8EF">
            <w:pPr>
              <w:spacing w:line="264" w:lineRule="auto"/>
              <w:rPr>
                <w:rFonts w:ascii="Arial"/>
                <w:sz w:val="21"/>
              </w:rPr>
            </w:pPr>
          </w:p>
          <w:p w14:paraId="3F254FF6">
            <w:pPr>
              <w:spacing w:line="264" w:lineRule="auto"/>
              <w:rPr>
                <w:rFonts w:ascii="Arial"/>
                <w:sz w:val="21"/>
              </w:rPr>
            </w:pPr>
          </w:p>
          <w:p w14:paraId="025D0D41">
            <w:pPr>
              <w:spacing w:line="264" w:lineRule="auto"/>
              <w:rPr>
                <w:rFonts w:ascii="Arial"/>
                <w:sz w:val="21"/>
              </w:rPr>
            </w:pPr>
          </w:p>
          <w:p w14:paraId="08F66C11">
            <w:pPr>
              <w:spacing w:line="264" w:lineRule="auto"/>
              <w:rPr>
                <w:rFonts w:ascii="Arial"/>
                <w:sz w:val="21"/>
              </w:rPr>
            </w:pPr>
          </w:p>
          <w:p w14:paraId="4BA82133">
            <w:pPr>
              <w:pStyle w:val="8"/>
              <w:spacing w:before="59"/>
              <w:ind w:left="68" w:leftChars="0" w:right="61" w:rightChars="0" w:firstLine="21" w:firstLineChars="0"/>
              <w:jc w:val="both"/>
              <w:rPr>
                <w:rFonts w:hint="eastAsia" w:ascii="宋体" w:hAnsi="宋体" w:eastAsia="宋体" w:cs="宋体"/>
                <w:snapToGrid w:val="0"/>
                <w:color w:val="000000"/>
                <w:kern w:val="0"/>
                <w:sz w:val="18"/>
                <w:szCs w:val="18"/>
                <w:lang w:val="en-US" w:eastAsia="zh-CN" w:bidi="ar-SA"/>
              </w:rPr>
            </w:pPr>
            <w:r>
              <w:rPr>
                <w:rFonts w:hint="eastAsia"/>
                <w:spacing w:val="-6"/>
                <w:lang w:eastAsia="zh-CN"/>
              </w:rPr>
              <w:t>津市市交通运输综合行政执法大队</w:t>
            </w:r>
          </w:p>
        </w:tc>
      </w:tr>
    </w:tbl>
    <w:p w14:paraId="7999CC6A">
      <w:pPr>
        <w:pStyle w:val="2"/>
      </w:pPr>
    </w:p>
    <w:p w14:paraId="24F5FBE4">
      <w:pPr>
        <w:sectPr>
          <w:footerReference r:id="rId73" w:type="default"/>
          <w:pgSz w:w="16840" w:h="11910"/>
          <w:pgMar w:top="1012" w:right="940" w:bottom="966" w:left="940" w:header="0" w:footer="768" w:gutter="0"/>
          <w:cols w:space="720" w:num="1"/>
        </w:sectPr>
      </w:pPr>
    </w:p>
    <w:p w14:paraId="5A51C9A8">
      <w:pPr>
        <w:spacing w:line="121" w:lineRule="exact"/>
      </w:pPr>
    </w:p>
    <w:p w14:paraId="451E4D97">
      <w:pPr>
        <w:pStyle w:val="2"/>
      </w:pPr>
    </w:p>
    <w:p w14:paraId="26B8A3E2">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364F8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9" w:type="dxa"/>
            <w:vMerge w:val="restart"/>
            <w:tcBorders>
              <w:bottom w:val="nil"/>
            </w:tcBorders>
            <w:vAlign w:val="top"/>
          </w:tcPr>
          <w:p w14:paraId="2B543DEF">
            <w:pPr>
              <w:pStyle w:val="8"/>
              <w:spacing w:before="259" w:line="221" w:lineRule="auto"/>
              <w:ind w:left="148"/>
            </w:pPr>
            <w:r>
              <w:rPr>
                <w:b/>
                <w:bCs/>
                <w:spacing w:val="-6"/>
              </w:rPr>
              <w:t>序号</w:t>
            </w:r>
          </w:p>
        </w:tc>
        <w:tc>
          <w:tcPr>
            <w:tcW w:w="1113" w:type="dxa"/>
            <w:vMerge w:val="restart"/>
            <w:tcBorders>
              <w:bottom w:val="nil"/>
            </w:tcBorders>
            <w:vAlign w:val="top"/>
          </w:tcPr>
          <w:p w14:paraId="17976641">
            <w:pPr>
              <w:pStyle w:val="8"/>
              <w:spacing w:before="260" w:line="220" w:lineRule="auto"/>
              <w:ind w:left="201"/>
            </w:pPr>
            <w:r>
              <w:rPr>
                <w:b/>
                <w:bCs/>
                <w:spacing w:val="-5"/>
              </w:rPr>
              <w:t>事项名称</w:t>
            </w:r>
          </w:p>
        </w:tc>
        <w:tc>
          <w:tcPr>
            <w:tcW w:w="1113" w:type="dxa"/>
            <w:vMerge w:val="restart"/>
            <w:tcBorders>
              <w:bottom w:val="nil"/>
            </w:tcBorders>
            <w:vAlign w:val="top"/>
          </w:tcPr>
          <w:p w14:paraId="2A911A32">
            <w:pPr>
              <w:pStyle w:val="8"/>
              <w:spacing w:before="260" w:line="219" w:lineRule="auto"/>
              <w:ind w:left="202"/>
            </w:pPr>
            <w:r>
              <w:rPr>
                <w:b/>
                <w:bCs/>
                <w:spacing w:val="-5"/>
              </w:rPr>
              <w:t>职权类型</w:t>
            </w:r>
          </w:p>
        </w:tc>
        <w:tc>
          <w:tcPr>
            <w:tcW w:w="8631" w:type="dxa"/>
            <w:vMerge w:val="restart"/>
            <w:tcBorders>
              <w:bottom w:val="nil"/>
            </w:tcBorders>
            <w:vAlign w:val="top"/>
          </w:tcPr>
          <w:p w14:paraId="33936E81">
            <w:pPr>
              <w:pStyle w:val="8"/>
              <w:spacing w:before="259" w:line="219" w:lineRule="auto"/>
              <w:ind w:left="3970"/>
            </w:pPr>
            <w:r>
              <w:rPr>
                <w:b/>
                <w:bCs/>
                <w:spacing w:val="-6"/>
              </w:rPr>
              <w:t>实施依据</w:t>
            </w:r>
          </w:p>
        </w:tc>
        <w:tc>
          <w:tcPr>
            <w:tcW w:w="3468" w:type="dxa"/>
            <w:gridSpan w:val="3"/>
            <w:vAlign w:val="top"/>
          </w:tcPr>
          <w:p w14:paraId="36E92673">
            <w:pPr>
              <w:pStyle w:val="8"/>
              <w:spacing w:before="82" w:line="220" w:lineRule="auto"/>
              <w:ind w:left="1389"/>
            </w:pPr>
            <w:r>
              <w:rPr>
                <w:b/>
                <w:bCs/>
                <w:spacing w:val="-6"/>
              </w:rPr>
              <w:t>实施主体</w:t>
            </w:r>
          </w:p>
        </w:tc>
      </w:tr>
      <w:tr w14:paraId="1A30C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51D2500E">
            <w:pPr>
              <w:rPr>
                <w:rFonts w:ascii="Arial"/>
                <w:sz w:val="21"/>
              </w:rPr>
            </w:pPr>
          </w:p>
        </w:tc>
        <w:tc>
          <w:tcPr>
            <w:tcW w:w="1113" w:type="dxa"/>
            <w:vMerge w:val="continue"/>
            <w:tcBorders>
              <w:top w:val="nil"/>
            </w:tcBorders>
            <w:vAlign w:val="top"/>
          </w:tcPr>
          <w:p w14:paraId="5E15A5D8">
            <w:pPr>
              <w:rPr>
                <w:rFonts w:ascii="Arial"/>
                <w:sz w:val="21"/>
              </w:rPr>
            </w:pPr>
          </w:p>
        </w:tc>
        <w:tc>
          <w:tcPr>
            <w:tcW w:w="1113" w:type="dxa"/>
            <w:vMerge w:val="continue"/>
            <w:tcBorders>
              <w:top w:val="nil"/>
            </w:tcBorders>
            <w:vAlign w:val="top"/>
          </w:tcPr>
          <w:p w14:paraId="5DBDE140">
            <w:pPr>
              <w:rPr>
                <w:rFonts w:ascii="Arial"/>
                <w:sz w:val="21"/>
              </w:rPr>
            </w:pPr>
          </w:p>
        </w:tc>
        <w:tc>
          <w:tcPr>
            <w:tcW w:w="8631" w:type="dxa"/>
            <w:vMerge w:val="continue"/>
            <w:tcBorders>
              <w:top w:val="nil"/>
            </w:tcBorders>
            <w:vAlign w:val="top"/>
          </w:tcPr>
          <w:p w14:paraId="6D28D7F7">
            <w:pPr>
              <w:rPr>
                <w:rFonts w:ascii="Arial"/>
                <w:sz w:val="21"/>
              </w:rPr>
            </w:pPr>
          </w:p>
        </w:tc>
        <w:tc>
          <w:tcPr>
            <w:tcW w:w="1022" w:type="dxa"/>
            <w:vAlign w:val="top"/>
          </w:tcPr>
          <w:p w14:paraId="216E0104">
            <w:pPr>
              <w:pStyle w:val="8"/>
              <w:spacing w:before="83" w:line="219" w:lineRule="auto"/>
              <w:ind w:left="170"/>
            </w:pPr>
            <w:r>
              <w:rPr>
                <w:b/>
                <w:bCs/>
                <w:spacing w:val="-6"/>
              </w:rPr>
              <w:t>责任部门</w:t>
            </w:r>
          </w:p>
        </w:tc>
        <w:tc>
          <w:tcPr>
            <w:tcW w:w="1419" w:type="dxa"/>
            <w:vAlign w:val="top"/>
          </w:tcPr>
          <w:p w14:paraId="3B717100">
            <w:pPr>
              <w:pStyle w:val="8"/>
              <w:spacing w:before="83" w:line="219" w:lineRule="auto"/>
              <w:ind w:left="183"/>
            </w:pPr>
            <w:r>
              <w:rPr>
                <w:b/>
                <w:bCs/>
                <w:spacing w:val="-4"/>
              </w:rPr>
              <w:t>第一责任层级</w:t>
            </w:r>
          </w:p>
        </w:tc>
        <w:tc>
          <w:tcPr>
            <w:tcW w:w="1027" w:type="dxa"/>
            <w:vAlign w:val="top"/>
          </w:tcPr>
          <w:p w14:paraId="7E17FFF0">
            <w:pPr>
              <w:pStyle w:val="8"/>
              <w:spacing w:before="82" w:line="219" w:lineRule="auto"/>
              <w:ind w:left="161"/>
            </w:pPr>
            <w:r>
              <w:rPr>
                <w:b/>
                <w:bCs/>
                <w:spacing w:val="-5"/>
              </w:rPr>
              <w:t>承办机构</w:t>
            </w:r>
          </w:p>
        </w:tc>
      </w:tr>
      <w:tr w14:paraId="04A65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2" w:hRule="atLeast"/>
        </w:trPr>
        <w:tc>
          <w:tcPr>
            <w:tcW w:w="629" w:type="dxa"/>
            <w:vAlign w:val="top"/>
          </w:tcPr>
          <w:p w14:paraId="64B8CC2F">
            <w:pPr>
              <w:spacing w:line="261" w:lineRule="auto"/>
              <w:rPr>
                <w:rFonts w:ascii="Arial"/>
                <w:sz w:val="21"/>
              </w:rPr>
            </w:pPr>
          </w:p>
          <w:p w14:paraId="752B9253">
            <w:pPr>
              <w:spacing w:line="262" w:lineRule="auto"/>
              <w:rPr>
                <w:rFonts w:ascii="Arial"/>
                <w:sz w:val="21"/>
              </w:rPr>
            </w:pPr>
          </w:p>
          <w:p w14:paraId="3C7B8E1C">
            <w:pPr>
              <w:spacing w:line="262" w:lineRule="auto"/>
              <w:rPr>
                <w:rFonts w:ascii="Arial"/>
                <w:sz w:val="21"/>
              </w:rPr>
            </w:pPr>
          </w:p>
          <w:p w14:paraId="3B4E6F6C">
            <w:pPr>
              <w:spacing w:line="262" w:lineRule="auto"/>
              <w:rPr>
                <w:rFonts w:ascii="Arial"/>
                <w:sz w:val="21"/>
              </w:rPr>
            </w:pPr>
          </w:p>
          <w:p w14:paraId="59CB7169">
            <w:pPr>
              <w:spacing w:line="262" w:lineRule="auto"/>
              <w:rPr>
                <w:rFonts w:ascii="Arial"/>
                <w:sz w:val="21"/>
              </w:rPr>
            </w:pPr>
          </w:p>
          <w:p w14:paraId="022A174A">
            <w:pPr>
              <w:pStyle w:val="8"/>
              <w:spacing w:before="59" w:line="183" w:lineRule="auto"/>
              <w:ind w:left="236"/>
              <w:rPr>
                <w:rFonts w:hint="eastAsia" w:eastAsia="宋体"/>
                <w:lang w:eastAsia="zh-CN"/>
              </w:rPr>
            </w:pPr>
            <w:r>
              <w:rPr>
                <w:spacing w:val="-6"/>
              </w:rPr>
              <w:t>3</w:t>
            </w:r>
            <w:r>
              <w:rPr>
                <w:rFonts w:hint="eastAsia"/>
                <w:spacing w:val="-6"/>
                <w:lang w:val="en-US" w:eastAsia="zh-CN"/>
              </w:rPr>
              <w:t>2</w:t>
            </w:r>
          </w:p>
        </w:tc>
        <w:tc>
          <w:tcPr>
            <w:tcW w:w="1113" w:type="dxa"/>
            <w:vAlign w:val="top"/>
          </w:tcPr>
          <w:p w14:paraId="7993F99C">
            <w:pPr>
              <w:spacing w:line="262" w:lineRule="auto"/>
              <w:rPr>
                <w:rFonts w:ascii="Arial"/>
                <w:sz w:val="21"/>
              </w:rPr>
            </w:pPr>
          </w:p>
          <w:p w14:paraId="285EFAE4">
            <w:pPr>
              <w:spacing w:line="262" w:lineRule="auto"/>
              <w:rPr>
                <w:rFonts w:ascii="Arial"/>
                <w:sz w:val="21"/>
              </w:rPr>
            </w:pPr>
          </w:p>
          <w:p w14:paraId="79510ED0">
            <w:pPr>
              <w:spacing w:line="262" w:lineRule="auto"/>
              <w:rPr>
                <w:rFonts w:ascii="Arial"/>
                <w:sz w:val="21"/>
              </w:rPr>
            </w:pPr>
          </w:p>
          <w:p w14:paraId="181C6B9C">
            <w:pPr>
              <w:pStyle w:val="8"/>
              <w:spacing w:before="59" w:line="243" w:lineRule="auto"/>
              <w:ind w:left="97" w:right="90" w:hanging="2"/>
              <w:jc w:val="both"/>
            </w:pPr>
            <w:r>
              <w:rPr>
                <w:spacing w:val="4"/>
              </w:rPr>
              <w:t>对未随车携</w:t>
            </w:r>
            <w:r>
              <w:rPr>
                <w:spacing w:val="1"/>
              </w:rPr>
              <w:t xml:space="preserve"> </w:t>
            </w:r>
            <w:r>
              <w:rPr>
                <w:spacing w:val="4"/>
              </w:rPr>
              <w:t>带超限运输</w:t>
            </w:r>
            <w:r>
              <w:t xml:space="preserve"> </w:t>
            </w:r>
            <w:r>
              <w:rPr>
                <w:spacing w:val="4"/>
              </w:rPr>
              <w:t>车辆通行证</w:t>
            </w:r>
            <w:r>
              <w:t xml:space="preserve"> </w:t>
            </w:r>
            <w:r>
              <w:rPr>
                <w:spacing w:val="4"/>
              </w:rPr>
              <w:t>行为的行政</w:t>
            </w:r>
            <w:r>
              <w:t xml:space="preserve"> </w:t>
            </w:r>
            <w:r>
              <w:rPr>
                <w:spacing w:val="-5"/>
              </w:rPr>
              <w:t>强制</w:t>
            </w:r>
          </w:p>
        </w:tc>
        <w:tc>
          <w:tcPr>
            <w:tcW w:w="1113" w:type="dxa"/>
            <w:vAlign w:val="top"/>
          </w:tcPr>
          <w:p w14:paraId="0A454FBE">
            <w:pPr>
              <w:spacing w:line="253" w:lineRule="auto"/>
              <w:rPr>
                <w:rFonts w:ascii="Arial"/>
                <w:sz w:val="21"/>
              </w:rPr>
            </w:pPr>
          </w:p>
          <w:p w14:paraId="4BDD65A5">
            <w:pPr>
              <w:spacing w:line="254" w:lineRule="auto"/>
              <w:rPr>
                <w:rFonts w:ascii="Arial"/>
                <w:sz w:val="21"/>
              </w:rPr>
            </w:pPr>
          </w:p>
          <w:p w14:paraId="1BA1B330">
            <w:pPr>
              <w:spacing w:line="254" w:lineRule="auto"/>
              <w:rPr>
                <w:rFonts w:ascii="Arial"/>
                <w:sz w:val="21"/>
              </w:rPr>
            </w:pPr>
          </w:p>
          <w:p w14:paraId="1D7F3769">
            <w:pPr>
              <w:spacing w:line="254" w:lineRule="auto"/>
              <w:rPr>
                <w:rFonts w:ascii="Arial"/>
                <w:sz w:val="21"/>
              </w:rPr>
            </w:pPr>
          </w:p>
          <w:p w14:paraId="5F4EB720">
            <w:pPr>
              <w:spacing w:line="254" w:lineRule="auto"/>
              <w:rPr>
                <w:rFonts w:ascii="Arial"/>
                <w:sz w:val="21"/>
              </w:rPr>
            </w:pPr>
          </w:p>
          <w:p w14:paraId="7490B3A1">
            <w:pPr>
              <w:pStyle w:val="8"/>
              <w:spacing w:before="59" w:line="220" w:lineRule="auto"/>
              <w:ind w:left="10"/>
            </w:pPr>
            <w:r>
              <w:rPr>
                <w:spacing w:val="-2"/>
              </w:rPr>
              <w:t>行政强制</w:t>
            </w:r>
          </w:p>
        </w:tc>
        <w:tc>
          <w:tcPr>
            <w:tcW w:w="8631" w:type="dxa"/>
            <w:vAlign w:val="top"/>
          </w:tcPr>
          <w:p w14:paraId="1032444A">
            <w:pPr>
              <w:pStyle w:val="8"/>
              <w:spacing w:before="148" w:line="219" w:lineRule="auto"/>
              <w:ind w:left="480"/>
            </w:pPr>
            <w:r>
              <w:rPr>
                <w:b/>
                <w:bCs/>
                <w:spacing w:val="-5"/>
              </w:rPr>
              <w:t>1.《公路安全保护条例》</w:t>
            </w:r>
          </w:p>
          <w:p w14:paraId="3A6B289D">
            <w:pPr>
              <w:pStyle w:val="8"/>
              <w:spacing w:before="25" w:line="233" w:lineRule="auto"/>
              <w:ind w:left="130" w:right="109" w:firstLine="336"/>
            </w:pPr>
            <w:r>
              <w:rPr>
                <w:spacing w:val="3"/>
              </w:rPr>
              <w:t>第三十八条第二款  经批准进行超限运输的车辆，应当随车携带超限运输车辆通行证</w:t>
            </w:r>
            <w:r>
              <w:rPr>
                <w:spacing w:val="2"/>
              </w:rPr>
              <w:t>，按照指定的时</w:t>
            </w:r>
            <w:r>
              <w:t xml:space="preserve"> </w:t>
            </w:r>
            <w:r>
              <w:rPr>
                <w:spacing w:val="-3"/>
              </w:rPr>
              <w:t>间、路线和速度行驶，并悬挂明显标志。</w:t>
            </w:r>
          </w:p>
          <w:p w14:paraId="1AC880A3">
            <w:pPr>
              <w:pStyle w:val="8"/>
              <w:spacing w:before="24" w:line="233" w:lineRule="auto"/>
              <w:ind w:left="116" w:right="109" w:firstLine="350"/>
            </w:pPr>
            <w:r>
              <w:rPr>
                <w:spacing w:val="-1"/>
              </w:rPr>
              <w:t>第六十五条第二款  未随车携带超限运输车辆通行证的，由公路管理机构扣留车辆，责令</w:t>
            </w:r>
            <w:r>
              <w:rPr>
                <w:spacing w:val="-2"/>
              </w:rPr>
              <w:t>车辆驾驶人提</w:t>
            </w:r>
            <w:r>
              <w:t xml:space="preserve"> </w:t>
            </w:r>
            <w:r>
              <w:rPr>
                <w:spacing w:val="-3"/>
              </w:rPr>
              <w:t>供超限运输车辆通行证或者相应的证明。</w:t>
            </w:r>
          </w:p>
          <w:p w14:paraId="0F778A5E">
            <w:pPr>
              <w:pStyle w:val="8"/>
              <w:spacing w:before="26" w:line="219" w:lineRule="auto"/>
              <w:ind w:left="468"/>
            </w:pPr>
            <w:r>
              <w:rPr>
                <w:b/>
                <w:bCs/>
                <w:spacing w:val="-3"/>
              </w:rPr>
              <w:t>2.《超限运输车辆行驶公路管理规定》（交</w:t>
            </w:r>
            <w:r>
              <w:rPr>
                <w:b/>
                <w:bCs/>
                <w:spacing w:val="-4"/>
              </w:rPr>
              <w:t>通运输部令2021年第12号）</w:t>
            </w:r>
          </w:p>
          <w:p w14:paraId="1F3E250E">
            <w:pPr>
              <w:pStyle w:val="8"/>
              <w:spacing w:before="26" w:line="219" w:lineRule="auto"/>
              <w:ind w:left="466"/>
            </w:pPr>
            <w:r>
              <w:rPr>
                <w:spacing w:val="-1"/>
              </w:rPr>
              <w:t>第二十一条第一款  大件运输车辆应当随车携带有效的《超限运输车辆通行证》，主动接受公路</w:t>
            </w:r>
            <w:r>
              <w:rPr>
                <w:spacing w:val="-2"/>
              </w:rPr>
              <w:t>管理机</w:t>
            </w:r>
          </w:p>
          <w:p w14:paraId="0678BF55">
            <w:pPr>
              <w:pStyle w:val="8"/>
              <w:spacing w:before="28" w:line="219" w:lineRule="auto"/>
              <w:ind w:left="118"/>
            </w:pPr>
            <w:r>
              <w:rPr>
                <w:spacing w:val="-3"/>
              </w:rPr>
              <w:t>构的监督检查。</w:t>
            </w:r>
          </w:p>
          <w:p w14:paraId="2EF29AC9">
            <w:pPr>
              <w:pStyle w:val="8"/>
              <w:spacing w:before="26" w:line="237" w:lineRule="auto"/>
              <w:ind w:left="126" w:right="107" w:firstLine="340"/>
            </w:pPr>
            <w:r>
              <w:rPr>
                <w:spacing w:val="-1"/>
              </w:rPr>
              <w:t>第四十七条  大件运输车辆有下列情形之一的，视为违法超限运输</w:t>
            </w:r>
            <w:r>
              <w:rPr>
                <w:spacing w:val="-3"/>
              </w:rPr>
              <w:t>：（</w:t>
            </w:r>
            <w:r>
              <w:rPr>
                <w:spacing w:val="-1"/>
              </w:rPr>
              <w:t>一）未经许可擅自行驶公路的；</w:t>
            </w:r>
            <w:r>
              <w:t xml:space="preserve"> </w:t>
            </w:r>
            <w:r>
              <w:rPr>
                <w:spacing w:val="3"/>
              </w:rPr>
              <w:t>（二）车辆及装载物品的有关情况与《超限运输车辆通行证》记载的内容不一致的</w:t>
            </w:r>
            <w:r>
              <w:rPr>
                <w:spacing w:val="-10"/>
              </w:rPr>
              <w:t>；（</w:t>
            </w:r>
            <w:r>
              <w:rPr>
                <w:spacing w:val="3"/>
              </w:rPr>
              <w:t>三）未按许可</w:t>
            </w:r>
            <w:r>
              <w:rPr>
                <w:spacing w:val="2"/>
              </w:rPr>
              <w:t>的时</w:t>
            </w:r>
            <w:r>
              <w:rPr>
                <w:spacing w:val="1"/>
              </w:rPr>
              <w:t xml:space="preserve"> </w:t>
            </w:r>
            <w:r>
              <w:rPr>
                <w:spacing w:val="-2"/>
              </w:rPr>
              <w:t>间、路线、速度行驶公路的</w:t>
            </w:r>
            <w:r>
              <w:rPr>
                <w:spacing w:val="-10"/>
              </w:rPr>
              <w:t>；（</w:t>
            </w:r>
            <w:r>
              <w:rPr>
                <w:spacing w:val="-2"/>
              </w:rPr>
              <w:t>四）未按许可的护送方案采取护送措施的。</w:t>
            </w:r>
          </w:p>
        </w:tc>
        <w:tc>
          <w:tcPr>
            <w:tcW w:w="1022" w:type="dxa"/>
            <w:vAlign w:val="top"/>
          </w:tcPr>
          <w:p w14:paraId="3C204E0C">
            <w:pPr>
              <w:spacing w:line="287" w:lineRule="auto"/>
              <w:rPr>
                <w:rFonts w:ascii="Arial"/>
                <w:sz w:val="21"/>
              </w:rPr>
            </w:pPr>
          </w:p>
          <w:p w14:paraId="6870627D">
            <w:pPr>
              <w:spacing w:line="287" w:lineRule="auto"/>
              <w:rPr>
                <w:rFonts w:ascii="Arial"/>
                <w:sz w:val="21"/>
              </w:rPr>
            </w:pPr>
          </w:p>
          <w:p w14:paraId="1D2CC376">
            <w:pPr>
              <w:spacing w:line="287" w:lineRule="auto"/>
              <w:rPr>
                <w:rFonts w:ascii="Arial"/>
                <w:sz w:val="21"/>
              </w:rPr>
            </w:pPr>
          </w:p>
          <w:p w14:paraId="07BD6EA3">
            <w:pPr>
              <w:spacing w:line="287" w:lineRule="auto"/>
              <w:rPr>
                <w:rFonts w:ascii="Arial"/>
                <w:sz w:val="21"/>
              </w:rPr>
            </w:pPr>
          </w:p>
          <w:p w14:paraId="3FB41DA6">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24278C43">
            <w:pPr>
              <w:spacing w:line="253" w:lineRule="auto"/>
              <w:rPr>
                <w:rFonts w:ascii="Arial"/>
                <w:sz w:val="21"/>
              </w:rPr>
            </w:pPr>
          </w:p>
          <w:p w14:paraId="6509E8ED">
            <w:pPr>
              <w:spacing w:line="254" w:lineRule="auto"/>
              <w:rPr>
                <w:rFonts w:ascii="Arial"/>
                <w:sz w:val="21"/>
              </w:rPr>
            </w:pPr>
          </w:p>
          <w:p w14:paraId="5AF936E1">
            <w:pPr>
              <w:spacing w:line="254" w:lineRule="auto"/>
              <w:rPr>
                <w:rFonts w:ascii="Arial"/>
                <w:sz w:val="21"/>
              </w:rPr>
            </w:pPr>
          </w:p>
          <w:p w14:paraId="224199ED">
            <w:pPr>
              <w:spacing w:line="254" w:lineRule="auto"/>
              <w:rPr>
                <w:rFonts w:ascii="Arial"/>
                <w:sz w:val="21"/>
              </w:rPr>
            </w:pPr>
          </w:p>
          <w:p w14:paraId="4F8ECD5C">
            <w:pPr>
              <w:spacing w:line="254" w:lineRule="auto"/>
              <w:rPr>
                <w:rFonts w:ascii="Arial"/>
                <w:sz w:val="21"/>
              </w:rPr>
            </w:pPr>
          </w:p>
          <w:p w14:paraId="059423C9">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5FC193A5">
            <w:pPr>
              <w:spacing w:line="256" w:lineRule="auto"/>
              <w:rPr>
                <w:rFonts w:ascii="Arial"/>
                <w:sz w:val="21"/>
              </w:rPr>
            </w:pPr>
          </w:p>
          <w:p w14:paraId="06F166C7">
            <w:pPr>
              <w:spacing w:line="257" w:lineRule="auto"/>
              <w:rPr>
                <w:rFonts w:ascii="Arial"/>
                <w:sz w:val="21"/>
              </w:rPr>
            </w:pPr>
          </w:p>
          <w:p w14:paraId="5BFF3BDC">
            <w:pPr>
              <w:spacing w:line="257" w:lineRule="auto"/>
              <w:rPr>
                <w:rFonts w:ascii="Arial"/>
                <w:sz w:val="21"/>
              </w:rPr>
            </w:pPr>
          </w:p>
          <w:p w14:paraId="6E28BDA5">
            <w:pPr>
              <w:spacing w:line="257" w:lineRule="auto"/>
              <w:rPr>
                <w:rFonts w:ascii="Arial"/>
                <w:sz w:val="21"/>
              </w:rPr>
            </w:pPr>
          </w:p>
          <w:p w14:paraId="200FD65E">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r w14:paraId="0CDEC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4" w:hRule="atLeast"/>
        </w:trPr>
        <w:tc>
          <w:tcPr>
            <w:tcW w:w="629" w:type="dxa"/>
            <w:vAlign w:val="top"/>
          </w:tcPr>
          <w:p w14:paraId="38E30193">
            <w:pPr>
              <w:spacing w:line="258" w:lineRule="auto"/>
              <w:rPr>
                <w:rFonts w:ascii="Arial"/>
                <w:sz w:val="21"/>
              </w:rPr>
            </w:pPr>
          </w:p>
          <w:p w14:paraId="159E1F39">
            <w:pPr>
              <w:spacing w:line="258" w:lineRule="auto"/>
              <w:rPr>
                <w:rFonts w:ascii="Arial"/>
                <w:sz w:val="21"/>
              </w:rPr>
            </w:pPr>
          </w:p>
          <w:p w14:paraId="2804C78E">
            <w:pPr>
              <w:spacing w:line="258" w:lineRule="auto"/>
              <w:rPr>
                <w:rFonts w:ascii="Arial"/>
                <w:sz w:val="21"/>
              </w:rPr>
            </w:pPr>
          </w:p>
          <w:p w14:paraId="0D5A0276">
            <w:pPr>
              <w:spacing w:line="258" w:lineRule="auto"/>
              <w:rPr>
                <w:rFonts w:ascii="Arial"/>
                <w:sz w:val="21"/>
              </w:rPr>
            </w:pPr>
          </w:p>
          <w:p w14:paraId="76991C73">
            <w:pPr>
              <w:spacing w:line="259" w:lineRule="auto"/>
              <w:rPr>
                <w:rFonts w:ascii="Arial"/>
                <w:sz w:val="21"/>
              </w:rPr>
            </w:pPr>
          </w:p>
          <w:p w14:paraId="6C558EC8">
            <w:pPr>
              <w:pStyle w:val="8"/>
              <w:spacing w:before="59" w:line="183" w:lineRule="auto"/>
              <w:ind w:left="236"/>
              <w:rPr>
                <w:rFonts w:hint="eastAsia" w:eastAsia="宋体"/>
                <w:lang w:eastAsia="zh-CN"/>
              </w:rPr>
            </w:pPr>
            <w:r>
              <w:rPr>
                <w:spacing w:val="-6"/>
              </w:rPr>
              <w:t>3</w:t>
            </w:r>
            <w:r>
              <w:rPr>
                <w:rFonts w:hint="eastAsia"/>
                <w:spacing w:val="-6"/>
                <w:lang w:val="en-US" w:eastAsia="zh-CN"/>
              </w:rPr>
              <w:t>3</w:t>
            </w:r>
          </w:p>
        </w:tc>
        <w:tc>
          <w:tcPr>
            <w:tcW w:w="1113" w:type="dxa"/>
            <w:vAlign w:val="top"/>
          </w:tcPr>
          <w:p w14:paraId="12743CBC">
            <w:pPr>
              <w:pStyle w:val="8"/>
              <w:spacing w:before="105" w:line="246" w:lineRule="auto"/>
              <w:ind w:left="95" w:right="90"/>
            </w:pPr>
            <w:r>
              <w:rPr>
                <w:spacing w:val="4"/>
              </w:rPr>
              <w:t>对采取故意</w:t>
            </w:r>
            <w:r>
              <w:rPr>
                <w:spacing w:val="1"/>
              </w:rPr>
              <w:t xml:space="preserve"> </w:t>
            </w:r>
            <w:r>
              <w:rPr>
                <w:spacing w:val="4"/>
              </w:rPr>
              <w:t>堵塞固定超</w:t>
            </w:r>
            <w:r>
              <w:t xml:space="preserve"> </w:t>
            </w:r>
            <w:r>
              <w:rPr>
                <w:spacing w:val="4"/>
              </w:rPr>
              <w:t>限检测站点</w:t>
            </w:r>
            <w:r>
              <w:t xml:space="preserve"> </w:t>
            </w:r>
            <w:r>
              <w:rPr>
                <w:spacing w:val="-1"/>
              </w:rPr>
              <w:t>通行车道、</w:t>
            </w:r>
            <w:r>
              <w:t xml:space="preserve"> </w:t>
            </w:r>
            <w:r>
              <w:rPr>
                <w:spacing w:val="4"/>
              </w:rPr>
              <w:t>强行通过固</w:t>
            </w:r>
            <w:r>
              <w:t xml:space="preserve"> </w:t>
            </w:r>
            <w:r>
              <w:rPr>
                <w:spacing w:val="4"/>
              </w:rPr>
              <w:t>定超限检测</w:t>
            </w:r>
            <w:r>
              <w:t xml:space="preserve"> </w:t>
            </w:r>
            <w:r>
              <w:rPr>
                <w:spacing w:val="4"/>
              </w:rPr>
              <w:t>站点等方式</w:t>
            </w:r>
            <w:r>
              <w:t xml:space="preserve"> </w:t>
            </w:r>
            <w:r>
              <w:rPr>
                <w:spacing w:val="4"/>
              </w:rPr>
              <w:t>扰乱超限检</w:t>
            </w:r>
            <w:r>
              <w:t xml:space="preserve"> </w:t>
            </w:r>
            <w:r>
              <w:rPr>
                <w:spacing w:val="4"/>
              </w:rPr>
              <w:t>测秩序等行</w:t>
            </w:r>
            <w:r>
              <w:t xml:space="preserve"> </w:t>
            </w:r>
            <w:r>
              <w:rPr>
                <w:spacing w:val="4"/>
              </w:rPr>
              <w:t>为的行政强</w:t>
            </w:r>
            <w:r>
              <w:t xml:space="preserve"> 制</w:t>
            </w:r>
          </w:p>
        </w:tc>
        <w:tc>
          <w:tcPr>
            <w:tcW w:w="1113" w:type="dxa"/>
            <w:vAlign w:val="top"/>
          </w:tcPr>
          <w:p w14:paraId="78662E40">
            <w:pPr>
              <w:spacing w:line="252" w:lineRule="auto"/>
              <w:rPr>
                <w:rFonts w:ascii="Arial"/>
                <w:sz w:val="21"/>
              </w:rPr>
            </w:pPr>
          </w:p>
          <w:p w14:paraId="7A6C34FD">
            <w:pPr>
              <w:spacing w:line="252" w:lineRule="auto"/>
              <w:rPr>
                <w:rFonts w:ascii="Arial"/>
                <w:sz w:val="21"/>
              </w:rPr>
            </w:pPr>
          </w:p>
          <w:p w14:paraId="2329F17F">
            <w:pPr>
              <w:spacing w:line="253" w:lineRule="auto"/>
              <w:rPr>
                <w:rFonts w:ascii="Arial"/>
                <w:sz w:val="21"/>
              </w:rPr>
            </w:pPr>
          </w:p>
          <w:p w14:paraId="28B702B4">
            <w:pPr>
              <w:spacing w:line="253" w:lineRule="auto"/>
              <w:rPr>
                <w:rFonts w:ascii="Arial"/>
                <w:sz w:val="21"/>
              </w:rPr>
            </w:pPr>
          </w:p>
          <w:p w14:paraId="31B43611">
            <w:pPr>
              <w:spacing w:line="253" w:lineRule="auto"/>
              <w:rPr>
                <w:rFonts w:ascii="Arial"/>
                <w:sz w:val="21"/>
              </w:rPr>
            </w:pPr>
          </w:p>
          <w:p w14:paraId="7D856451">
            <w:pPr>
              <w:pStyle w:val="8"/>
              <w:spacing w:before="59" w:line="220" w:lineRule="auto"/>
              <w:ind w:left="10"/>
            </w:pPr>
            <w:r>
              <w:rPr>
                <w:spacing w:val="-2"/>
              </w:rPr>
              <w:t>行政强制</w:t>
            </w:r>
          </w:p>
        </w:tc>
        <w:tc>
          <w:tcPr>
            <w:tcW w:w="8631" w:type="dxa"/>
            <w:vAlign w:val="top"/>
          </w:tcPr>
          <w:p w14:paraId="193743AB">
            <w:pPr>
              <w:spacing w:line="274" w:lineRule="auto"/>
              <w:rPr>
                <w:rFonts w:ascii="Arial"/>
                <w:sz w:val="21"/>
              </w:rPr>
            </w:pPr>
          </w:p>
          <w:p w14:paraId="37AB1649">
            <w:pPr>
              <w:spacing w:line="274" w:lineRule="auto"/>
              <w:rPr>
                <w:rFonts w:ascii="Arial"/>
                <w:sz w:val="21"/>
              </w:rPr>
            </w:pPr>
          </w:p>
          <w:p w14:paraId="2DCD53E6">
            <w:pPr>
              <w:pStyle w:val="8"/>
              <w:spacing w:before="58" w:line="219" w:lineRule="auto"/>
              <w:ind w:left="472"/>
            </w:pPr>
            <w:r>
              <w:rPr>
                <w:b/>
                <w:bCs/>
                <w:spacing w:val="-5"/>
              </w:rPr>
              <w:t>《公路安全保护条例》</w:t>
            </w:r>
          </w:p>
          <w:p w14:paraId="71D8A1FC">
            <w:pPr>
              <w:pStyle w:val="8"/>
              <w:spacing w:before="26" w:line="237" w:lineRule="auto"/>
              <w:ind w:left="115" w:right="107" w:firstLine="351"/>
              <w:jc w:val="both"/>
            </w:pPr>
            <w:r>
              <w:rPr>
                <w:spacing w:val="3"/>
              </w:rPr>
              <w:t>第四十条第二款  车辆应当按照超限检测指示标志或者公路管理机构监督检查人员的指挥</w:t>
            </w:r>
            <w:r>
              <w:rPr>
                <w:spacing w:val="2"/>
              </w:rPr>
              <w:t>接受超限检</w:t>
            </w:r>
            <w:r>
              <w:t xml:space="preserve"> </w:t>
            </w:r>
            <w:r>
              <w:rPr>
                <w:spacing w:val="-1"/>
              </w:rPr>
              <w:t>测，不得故意堵塞固定超限检测站点通行车道、强行通过固定超限检测站点或者以</w:t>
            </w:r>
            <w:r>
              <w:rPr>
                <w:spacing w:val="-2"/>
              </w:rPr>
              <w:t>其他方式扰乱超限检测秩</w:t>
            </w:r>
            <w:r>
              <w:t xml:space="preserve"> </w:t>
            </w:r>
            <w:r>
              <w:rPr>
                <w:spacing w:val="-3"/>
              </w:rPr>
              <w:t>序，不得采取短途驳载等方式逃避超限检测。</w:t>
            </w:r>
          </w:p>
          <w:p w14:paraId="4F550944">
            <w:pPr>
              <w:pStyle w:val="8"/>
              <w:spacing w:before="26" w:line="237" w:lineRule="auto"/>
              <w:ind w:left="117" w:right="109" w:firstLine="348"/>
              <w:jc w:val="both"/>
            </w:pPr>
            <w:r>
              <w:rPr>
                <w:spacing w:val="1"/>
              </w:rPr>
              <w:t>第六十七条  违反本条例的规定，有下列行为之一的，由公路管理机构强制拖离或者</w:t>
            </w:r>
            <w:r>
              <w:t xml:space="preserve">扣留车辆，处3万 </w:t>
            </w:r>
            <w:r>
              <w:rPr>
                <w:spacing w:val="-1"/>
              </w:rPr>
              <w:t>元以下的罚款</w:t>
            </w:r>
            <w:r>
              <w:rPr>
                <w:spacing w:val="-9"/>
              </w:rPr>
              <w:t>：（</w:t>
            </w:r>
            <w:r>
              <w:rPr>
                <w:spacing w:val="-1"/>
              </w:rPr>
              <w:t>一）采取故意堵塞固定超限检测站点通行车道、强行通过固定超限检测站点等方式扰乱超</w:t>
            </w:r>
            <w:r>
              <w:t xml:space="preserve"> </w:t>
            </w:r>
            <w:r>
              <w:rPr>
                <w:spacing w:val="-1"/>
              </w:rPr>
              <w:t>限检测秩序的</w:t>
            </w:r>
            <w:r>
              <w:rPr>
                <w:spacing w:val="-15"/>
              </w:rPr>
              <w:t>；（</w:t>
            </w:r>
            <w:r>
              <w:rPr>
                <w:spacing w:val="-1"/>
              </w:rPr>
              <w:t>二）采取短途驳载等方式逃避超</w:t>
            </w:r>
            <w:r>
              <w:rPr>
                <w:spacing w:val="-2"/>
              </w:rPr>
              <w:t>限检测的。</w:t>
            </w:r>
          </w:p>
        </w:tc>
        <w:tc>
          <w:tcPr>
            <w:tcW w:w="1022" w:type="dxa"/>
            <w:vAlign w:val="top"/>
          </w:tcPr>
          <w:p w14:paraId="24C5E8AE">
            <w:pPr>
              <w:spacing w:line="283" w:lineRule="auto"/>
              <w:rPr>
                <w:rFonts w:ascii="Arial"/>
                <w:sz w:val="21"/>
              </w:rPr>
            </w:pPr>
          </w:p>
          <w:p w14:paraId="366FE4B5">
            <w:pPr>
              <w:spacing w:line="283" w:lineRule="auto"/>
              <w:rPr>
                <w:rFonts w:ascii="Arial"/>
                <w:sz w:val="21"/>
              </w:rPr>
            </w:pPr>
          </w:p>
          <w:p w14:paraId="240D8534">
            <w:pPr>
              <w:spacing w:line="283" w:lineRule="auto"/>
              <w:rPr>
                <w:rFonts w:ascii="Arial"/>
                <w:sz w:val="21"/>
              </w:rPr>
            </w:pPr>
          </w:p>
          <w:p w14:paraId="241C55C0">
            <w:pPr>
              <w:spacing w:line="283" w:lineRule="auto"/>
              <w:rPr>
                <w:rFonts w:ascii="Arial"/>
                <w:sz w:val="21"/>
              </w:rPr>
            </w:pPr>
          </w:p>
          <w:p w14:paraId="336B320D">
            <w:pPr>
              <w:pStyle w:val="8"/>
              <w:spacing w:before="59" w:line="235" w:lineRule="auto"/>
              <w:ind w:left="158" w:right="147" w:firstLine="2"/>
            </w:pPr>
            <w:r>
              <w:rPr>
                <w:spacing w:val="-3"/>
              </w:rPr>
              <w:t>交通运输</w:t>
            </w:r>
            <w:r>
              <w:t xml:space="preserve"> </w:t>
            </w:r>
            <w:r>
              <w:rPr>
                <w:spacing w:val="-3"/>
              </w:rPr>
              <w:t>主管部门</w:t>
            </w:r>
          </w:p>
        </w:tc>
        <w:tc>
          <w:tcPr>
            <w:tcW w:w="1419" w:type="dxa"/>
            <w:vAlign w:val="top"/>
          </w:tcPr>
          <w:p w14:paraId="1BE4A673">
            <w:pPr>
              <w:spacing w:line="250" w:lineRule="auto"/>
              <w:rPr>
                <w:rFonts w:ascii="Arial"/>
                <w:sz w:val="21"/>
              </w:rPr>
            </w:pPr>
          </w:p>
          <w:p w14:paraId="3EEA53C3">
            <w:pPr>
              <w:spacing w:line="250" w:lineRule="auto"/>
              <w:rPr>
                <w:rFonts w:ascii="Arial"/>
                <w:sz w:val="21"/>
              </w:rPr>
            </w:pPr>
          </w:p>
          <w:p w14:paraId="179B62D9">
            <w:pPr>
              <w:spacing w:line="250" w:lineRule="auto"/>
              <w:rPr>
                <w:rFonts w:ascii="Arial"/>
                <w:sz w:val="21"/>
              </w:rPr>
            </w:pPr>
          </w:p>
          <w:p w14:paraId="5B9368F8">
            <w:pPr>
              <w:spacing w:line="250" w:lineRule="auto"/>
              <w:rPr>
                <w:rFonts w:ascii="Arial"/>
                <w:sz w:val="21"/>
              </w:rPr>
            </w:pPr>
          </w:p>
          <w:p w14:paraId="46D2C287">
            <w:pPr>
              <w:spacing w:line="251" w:lineRule="auto"/>
              <w:rPr>
                <w:rFonts w:ascii="Arial"/>
                <w:sz w:val="21"/>
              </w:rPr>
            </w:pPr>
          </w:p>
          <w:p w14:paraId="4353B968">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7FB35172">
            <w:pPr>
              <w:spacing w:line="252" w:lineRule="auto"/>
              <w:rPr>
                <w:rFonts w:ascii="Arial"/>
                <w:sz w:val="21"/>
              </w:rPr>
            </w:pPr>
          </w:p>
          <w:p w14:paraId="5172E658">
            <w:pPr>
              <w:spacing w:line="252" w:lineRule="auto"/>
              <w:rPr>
                <w:rFonts w:ascii="Arial"/>
                <w:sz w:val="21"/>
              </w:rPr>
            </w:pPr>
          </w:p>
          <w:p w14:paraId="2605E2BE">
            <w:pPr>
              <w:spacing w:line="252" w:lineRule="auto"/>
              <w:rPr>
                <w:rFonts w:ascii="Arial"/>
                <w:sz w:val="21"/>
              </w:rPr>
            </w:pPr>
          </w:p>
          <w:p w14:paraId="4344AC65">
            <w:pPr>
              <w:spacing w:line="253" w:lineRule="auto"/>
              <w:rPr>
                <w:rFonts w:ascii="Arial"/>
                <w:sz w:val="21"/>
              </w:rPr>
            </w:pPr>
          </w:p>
          <w:p w14:paraId="48E4D063">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r w14:paraId="656FE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2" w:hRule="atLeast"/>
        </w:trPr>
        <w:tc>
          <w:tcPr>
            <w:tcW w:w="629" w:type="dxa"/>
            <w:vAlign w:val="top"/>
          </w:tcPr>
          <w:p w14:paraId="21416E7C">
            <w:pPr>
              <w:spacing w:line="257" w:lineRule="auto"/>
              <w:rPr>
                <w:rFonts w:ascii="Arial"/>
                <w:sz w:val="21"/>
              </w:rPr>
            </w:pPr>
          </w:p>
          <w:p w14:paraId="7ED7C9B3">
            <w:pPr>
              <w:spacing w:line="257" w:lineRule="auto"/>
              <w:rPr>
                <w:rFonts w:ascii="Arial"/>
                <w:sz w:val="21"/>
              </w:rPr>
            </w:pPr>
          </w:p>
          <w:p w14:paraId="64303BC7">
            <w:pPr>
              <w:spacing w:line="257" w:lineRule="auto"/>
              <w:rPr>
                <w:rFonts w:ascii="Arial"/>
                <w:sz w:val="21"/>
              </w:rPr>
            </w:pPr>
          </w:p>
          <w:p w14:paraId="045B6C75">
            <w:pPr>
              <w:spacing w:line="258" w:lineRule="auto"/>
              <w:rPr>
                <w:rFonts w:ascii="Arial"/>
                <w:sz w:val="21"/>
              </w:rPr>
            </w:pPr>
          </w:p>
          <w:p w14:paraId="528A9E9E">
            <w:pPr>
              <w:spacing w:line="258" w:lineRule="auto"/>
              <w:rPr>
                <w:rFonts w:ascii="Arial"/>
                <w:sz w:val="21"/>
              </w:rPr>
            </w:pPr>
          </w:p>
          <w:p w14:paraId="6A2794E0">
            <w:pPr>
              <w:pStyle w:val="8"/>
              <w:spacing w:before="59" w:line="183" w:lineRule="auto"/>
              <w:ind w:left="232"/>
              <w:rPr>
                <w:rFonts w:hint="default" w:eastAsia="宋体"/>
                <w:lang w:val="en-US" w:eastAsia="zh-CN"/>
              </w:rPr>
            </w:pPr>
            <w:r>
              <w:rPr>
                <w:rFonts w:hint="eastAsia"/>
                <w:spacing w:val="-4"/>
                <w:lang w:val="en-US" w:eastAsia="zh-CN"/>
              </w:rPr>
              <w:t>34</w:t>
            </w:r>
          </w:p>
        </w:tc>
        <w:tc>
          <w:tcPr>
            <w:tcW w:w="1113" w:type="dxa"/>
            <w:vAlign w:val="top"/>
          </w:tcPr>
          <w:p w14:paraId="23264233">
            <w:pPr>
              <w:spacing w:line="287" w:lineRule="auto"/>
              <w:rPr>
                <w:rFonts w:ascii="Arial"/>
                <w:sz w:val="21"/>
              </w:rPr>
            </w:pPr>
          </w:p>
          <w:p w14:paraId="38AB9F81">
            <w:pPr>
              <w:pStyle w:val="8"/>
              <w:spacing w:before="59" w:line="245" w:lineRule="auto"/>
              <w:ind w:left="95" w:right="90"/>
            </w:pPr>
            <w:r>
              <w:rPr>
                <w:spacing w:val="-9"/>
              </w:rPr>
              <w:t>对</w:t>
            </w:r>
            <w:r>
              <w:rPr>
                <w:spacing w:val="-12"/>
              </w:rPr>
              <w:t xml:space="preserve"> </w:t>
            </w:r>
            <w:r>
              <w:rPr>
                <w:spacing w:val="-9"/>
              </w:rPr>
              <w:t>造</w:t>
            </w:r>
            <w:r>
              <w:rPr>
                <w:spacing w:val="-12"/>
              </w:rPr>
              <w:t xml:space="preserve"> </w:t>
            </w:r>
            <w:r>
              <w:rPr>
                <w:spacing w:val="-9"/>
              </w:rPr>
              <w:t>成 公</w:t>
            </w:r>
            <w:r>
              <w:t xml:space="preserve"> </w:t>
            </w:r>
            <w:r>
              <w:rPr>
                <w:spacing w:val="4"/>
              </w:rPr>
              <w:t>路、公路附</w:t>
            </w:r>
            <w:r>
              <w:rPr>
                <w:spacing w:val="1"/>
              </w:rPr>
              <w:t xml:space="preserve"> </w:t>
            </w:r>
            <w:r>
              <w:rPr>
                <w:spacing w:val="-8"/>
              </w:rPr>
              <w:t>属</w:t>
            </w:r>
            <w:r>
              <w:rPr>
                <w:spacing w:val="-10"/>
              </w:rPr>
              <w:t xml:space="preserve"> </w:t>
            </w:r>
            <w:r>
              <w:rPr>
                <w:spacing w:val="-8"/>
              </w:rPr>
              <w:t>设</w:t>
            </w:r>
            <w:r>
              <w:rPr>
                <w:spacing w:val="-14"/>
              </w:rPr>
              <w:t xml:space="preserve"> </w:t>
            </w:r>
            <w:r>
              <w:rPr>
                <w:spacing w:val="-8"/>
              </w:rPr>
              <w:t>施</w:t>
            </w:r>
            <w:r>
              <w:rPr>
                <w:spacing w:val="-13"/>
              </w:rPr>
              <w:t xml:space="preserve"> </w:t>
            </w:r>
            <w:r>
              <w:rPr>
                <w:spacing w:val="-8"/>
              </w:rPr>
              <w:t>损</w:t>
            </w:r>
            <w:r>
              <w:t xml:space="preserve"> </w:t>
            </w:r>
            <w:r>
              <w:rPr>
                <w:spacing w:val="4"/>
              </w:rPr>
              <w:t>坏，逾期不</w:t>
            </w:r>
            <w:r>
              <w:rPr>
                <w:spacing w:val="1"/>
              </w:rPr>
              <w:t xml:space="preserve"> </w:t>
            </w:r>
            <w:r>
              <w:rPr>
                <w:spacing w:val="3"/>
              </w:rPr>
              <w:t>接受处理，</w:t>
            </w:r>
            <w:r>
              <w:t xml:space="preserve"> </w:t>
            </w:r>
            <w:r>
              <w:rPr>
                <w:spacing w:val="4"/>
              </w:rPr>
              <w:t>并且经公告</w:t>
            </w:r>
            <w:r>
              <w:rPr>
                <w:spacing w:val="1"/>
              </w:rPr>
              <w:t xml:space="preserve"> </w:t>
            </w:r>
            <w:r>
              <w:rPr>
                <w:spacing w:val="-9"/>
              </w:rPr>
              <w:t>3</w:t>
            </w:r>
            <w:r>
              <w:rPr>
                <w:spacing w:val="-56"/>
              </w:rPr>
              <w:t xml:space="preserve"> </w:t>
            </w:r>
            <w:r>
              <w:rPr>
                <w:spacing w:val="-9"/>
              </w:rPr>
              <w:t>个</w:t>
            </w:r>
            <w:r>
              <w:rPr>
                <w:spacing w:val="-49"/>
              </w:rPr>
              <w:t xml:space="preserve"> </w:t>
            </w:r>
            <w:r>
              <w:rPr>
                <w:spacing w:val="-9"/>
              </w:rPr>
              <w:t>月</w:t>
            </w:r>
            <w:r>
              <w:rPr>
                <w:spacing w:val="-50"/>
              </w:rPr>
              <w:t xml:space="preserve"> </w:t>
            </w:r>
            <w:r>
              <w:rPr>
                <w:spacing w:val="-9"/>
              </w:rPr>
              <w:t>仍</w:t>
            </w:r>
            <w:r>
              <w:rPr>
                <w:spacing w:val="-51"/>
              </w:rPr>
              <w:t xml:space="preserve"> </w:t>
            </w:r>
            <w:r>
              <w:rPr>
                <w:spacing w:val="-9"/>
              </w:rPr>
              <w:t>不</w:t>
            </w:r>
            <w:r>
              <w:t xml:space="preserve"> </w:t>
            </w:r>
            <w:r>
              <w:rPr>
                <w:spacing w:val="4"/>
              </w:rPr>
              <w:t>来接受处理</w:t>
            </w:r>
            <w:r>
              <w:rPr>
                <w:spacing w:val="1"/>
              </w:rPr>
              <w:t xml:space="preserve"> </w:t>
            </w:r>
            <w:r>
              <w:rPr>
                <w:spacing w:val="-3"/>
              </w:rPr>
              <w:t>的行政强制</w:t>
            </w:r>
          </w:p>
        </w:tc>
        <w:tc>
          <w:tcPr>
            <w:tcW w:w="1113" w:type="dxa"/>
            <w:vAlign w:val="top"/>
          </w:tcPr>
          <w:p w14:paraId="423E0241">
            <w:pPr>
              <w:spacing w:line="251" w:lineRule="auto"/>
              <w:rPr>
                <w:rFonts w:ascii="Arial"/>
                <w:sz w:val="21"/>
              </w:rPr>
            </w:pPr>
          </w:p>
          <w:p w14:paraId="12E8D005">
            <w:pPr>
              <w:spacing w:line="252" w:lineRule="auto"/>
              <w:rPr>
                <w:rFonts w:ascii="Arial"/>
                <w:sz w:val="21"/>
              </w:rPr>
            </w:pPr>
          </w:p>
          <w:p w14:paraId="2F59B538">
            <w:pPr>
              <w:spacing w:line="252" w:lineRule="auto"/>
              <w:rPr>
                <w:rFonts w:ascii="Arial"/>
                <w:sz w:val="21"/>
              </w:rPr>
            </w:pPr>
          </w:p>
          <w:p w14:paraId="6CA50B12">
            <w:pPr>
              <w:spacing w:line="252" w:lineRule="auto"/>
              <w:rPr>
                <w:rFonts w:ascii="Arial"/>
                <w:sz w:val="21"/>
              </w:rPr>
            </w:pPr>
          </w:p>
          <w:p w14:paraId="1F2882CB">
            <w:pPr>
              <w:spacing w:line="252" w:lineRule="auto"/>
              <w:rPr>
                <w:rFonts w:ascii="Arial"/>
                <w:sz w:val="21"/>
              </w:rPr>
            </w:pPr>
          </w:p>
          <w:p w14:paraId="3EB1B8EC">
            <w:pPr>
              <w:pStyle w:val="8"/>
              <w:spacing w:before="58" w:line="220" w:lineRule="auto"/>
              <w:ind w:left="10"/>
            </w:pPr>
            <w:r>
              <w:rPr>
                <w:spacing w:val="-2"/>
              </w:rPr>
              <w:t>行政强制</w:t>
            </w:r>
          </w:p>
        </w:tc>
        <w:tc>
          <w:tcPr>
            <w:tcW w:w="8631" w:type="dxa"/>
            <w:vAlign w:val="top"/>
          </w:tcPr>
          <w:p w14:paraId="23D235B2">
            <w:pPr>
              <w:pStyle w:val="8"/>
              <w:spacing w:before="245" w:line="219" w:lineRule="auto"/>
              <w:ind w:left="472"/>
            </w:pPr>
            <w:r>
              <w:rPr>
                <w:b/>
                <w:bCs/>
                <w:spacing w:val="-5"/>
              </w:rPr>
              <w:t>《公路安全保护条例》</w:t>
            </w:r>
          </w:p>
          <w:p w14:paraId="67C206B4">
            <w:pPr>
              <w:pStyle w:val="8"/>
              <w:spacing w:before="26" w:line="237" w:lineRule="auto"/>
              <w:ind w:left="120" w:right="107" w:firstLine="346"/>
              <w:jc w:val="both"/>
            </w:pPr>
            <w:r>
              <w:rPr>
                <w:spacing w:val="-1"/>
              </w:rPr>
              <w:t>第七十一条第一款  造成公路、公路附属设施损坏的单位和个人应当立即报告公路管理机</w:t>
            </w:r>
            <w:r>
              <w:rPr>
                <w:spacing w:val="-2"/>
              </w:rPr>
              <w:t>构，接受公路</w:t>
            </w:r>
            <w:r>
              <w:t xml:space="preserve"> </w:t>
            </w:r>
            <w:r>
              <w:rPr>
                <w:spacing w:val="-1"/>
              </w:rPr>
              <w:t>管理机构的现场调查处理；危及交通安全的，还应当设置警示标志或者</w:t>
            </w:r>
            <w:r>
              <w:rPr>
                <w:spacing w:val="-2"/>
              </w:rPr>
              <w:t>采取其他安全防护措施，并迅速报告</w:t>
            </w:r>
            <w:r>
              <w:t xml:space="preserve"> </w:t>
            </w:r>
            <w:r>
              <w:rPr>
                <w:spacing w:val="-4"/>
              </w:rPr>
              <w:t>公安机关交通管理部门。</w:t>
            </w:r>
          </w:p>
          <w:p w14:paraId="74599C9D">
            <w:pPr>
              <w:pStyle w:val="8"/>
              <w:spacing w:before="26" w:line="233" w:lineRule="auto"/>
              <w:ind w:left="136" w:right="109" w:firstLine="330"/>
            </w:pPr>
            <w:r>
              <w:rPr>
                <w:spacing w:val="-1"/>
              </w:rPr>
              <w:t>第七十二条  造成公路、公路附属设施损坏，拒不接受公路管理机构现场调查处理的，公</w:t>
            </w:r>
            <w:r>
              <w:rPr>
                <w:spacing w:val="-2"/>
              </w:rPr>
              <w:t>路管理机构可</w:t>
            </w:r>
            <w:r>
              <w:t xml:space="preserve"> </w:t>
            </w:r>
            <w:r>
              <w:rPr>
                <w:spacing w:val="-5"/>
              </w:rPr>
              <w:t>以扣留车辆、工具。</w:t>
            </w:r>
          </w:p>
          <w:p w14:paraId="569C2CE1">
            <w:pPr>
              <w:pStyle w:val="8"/>
              <w:spacing w:before="25" w:line="239" w:lineRule="auto"/>
              <w:ind w:left="120" w:right="107" w:firstLine="352"/>
              <w:jc w:val="both"/>
            </w:pPr>
            <w:r>
              <w:rPr>
                <w:spacing w:val="-1"/>
              </w:rPr>
              <w:t>公路管理机构扣留车辆、工具的，应当当场出具凭证，并告知当事人在规定</w:t>
            </w:r>
            <w:r>
              <w:rPr>
                <w:spacing w:val="-2"/>
              </w:rPr>
              <w:t>期限内到公路管理机构接受</w:t>
            </w:r>
            <w:r>
              <w:t xml:space="preserve"> </w:t>
            </w:r>
            <w:r>
              <w:rPr>
                <w:spacing w:val="-3"/>
              </w:rPr>
              <w:t>处理。逾期不接受处理，并且经公告3个月仍不来接受处理的，对扣留的车辆、工具，</w:t>
            </w:r>
            <w:r>
              <w:rPr>
                <w:spacing w:val="78"/>
              </w:rPr>
              <w:t xml:space="preserve"> </w:t>
            </w:r>
            <w:r>
              <w:rPr>
                <w:spacing w:val="-3"/>
              </w:rPr>
              <w:t>由公路管理机构依法</w:t>
            </w:r>
            <w:r>
              <w:t xml:space="preserve"> </w:t>
            </w:r>
            <w:r>
              <w:rPr>
                <w:spacing w:val="-5"/>
              </w:rPr>
              <w:t>处理。</w:t>
            </w:r>
          </w:p>
          <w:p w14:paraId="61D84949">
            <w:pPr>
              <w:pStyle w:val="8"/>
              <w:spacing w:before="21" w:line="219" w:lineRule="auto"/>
              <w:ind w:left="472"/>
            </w:pPr>
            <w:r>
              <w:rPr>
                <w:spacing w:val="-3"/>
              </w:rPr>
              <w:t>公路管理机构对被扣留的车辆、工具应当妥善保管，不得使用。</w:t>
            </w:r>
          </w:p>
        </w:tc>
        <w:tc>
          <w:tcPr>
            <w:tcW w:w="1022" w:type="dxa"/>
            <w:vAlign w:val="top"/>
          </w:tcPr>
          <w:p w14:paraId="2FEB65A8">
            <w:pPr>
              <w:spacing w:line="281" w:lineRule="auto"/>
              <w:rPr>
                <w:rFonts w:ascii="Arial"/>
                <w:sz w:val="21"/>
              </w:rPr>
            </w:pPr>
          </w:p>
          <w:p w14:paraId="35F25271">
            <w:pPr>
              <w:spacing w:line="281" w:lineRule="auto"/>
              <w:rPr>
                <w:rFonts w:ascii="Arial"/>
                <w:sz w:val="21"/>
              </w:rPr>
            </w:pPr>
          </w:p>
          <w:p w14:paraId="72623909">
            <w:pPr>
              <w:spacing w:line="282" w:lineRule="auto"/>
              <w:rPr>
                <w:rFonts w:ascii="Arial"/>
                <w:sz w:val="21"/>
              </w:rPr>
            </w:pPr>
          </w:p>
          <w:p w14:paraId="22A4590D">
            <w:pPr>
              <w:spacing w:line="282" w:lineRule="auto"/>
              <w:rPr>
                <w:rFonts w:ascii="Arial"/>
                <w:sz w:val="21"/>
              </w:rPr>
            </w:pPr>
          </w:p>
          <w:p w14:paraId="636C9B36">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6742070E">
            <w:pPr>
              <w:spacing w:line="249" w:lineRule="auto"/>
              <w:rPr>
                <w:rFonts w:ascii="Arial"/>
                <w:sz w:val="21"/>
              </w:rPr>
            </w:pPr>
          </w:p>
          <w:p w14:paraId="59D5F83C">
            <w:pPr>
              <w:spacing w:line="249" w:lineRule="auto"/>
              <w:rPr>
                <w:rFonts w:ascii="Arial"/>
                <w:sz w:val="21"/>
              </w:rPr>
            </w:pPr>
          </w:p>
          <w:p w14:paraId="3DA90547">
            <w:pPr>
              <w:spacing w:line="249" w:lineRule="auto"/>
              <w:rPr>
                <w:rFonts w:ascii="Arial"/>
                <w:sz w:val="21"/>
              </w:rPr>
            </w:pPr>
          </w:p>
          <w:p w14:paraId="0579817D">
            <w:pPr>
              <w:spacing w:line="249" w:lineRule="auto"/>
              <w:rPr>
                <w:rFonts w:ascii="Arial"/>
                <w:sz w:val="21"/>
              </w:rPr>
            </w:pPr>
          </w:p>
          <w:p w14:paraId="145877F9">
            <w:pPr>
              <w:spacing w:line="249" w:lineRule="auto"/>
              <w:rPr>
                <w:rFonts w:ascii="Arial"/>
                <w:sz w:val="21"/>
              </w:rPr>
            </w:pPr>
          </w:p>
          <w:p w14:paraId="5EBD2934">
            <w:pPr>
              <w:pStyle w:val="8"/>
              <w:spacing w:before="58"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57263EEF">
            <w:pPr>
              <w:spacing w:line="251" w:lineRule="auto"/>
              <w:rPr>
                <w:rFonts w:ascii="Arial"/>
                <w:sz w:val="21"/>
              </w:rPr>
            </w:pPr>
          </w:p>
          <w:p w14:paraId="6A8FB2CE">
            <w:pPr>
              <w:spacing w:line="252" w:lineRule="auto"/>
              <w:rPr>
                <w:rFonts w:ascii="Arial"/>
                <w:sz w:val="21"/>
              </w:rPr>
            </w:pPr>
          </w:p>
          <w:p w14:paraId="3978BB86">
            <w:pPr>
              <w:spacing w:line="252" w:lineRule="auto"/>
              <w:rPr>
                <w:rFonts w:ascii="Arial"/>
                <w:sz w:val="21"/>
              </w:rPr>
            </w:pPr>
          </w:p>
          <w:p w14:paraId="059C3288">
            <w:pPr>
              <w:spacing w:line="252" w:lineRule="auto"/>
              <w:rPr>
                <w:rFonts w:ascii="Arial"/>
                <w:sz w:val="21"/>
              </w:rPr>
            </w:pPr>
          </w:p>
          <w:p w14:paraId="216F5364">
            <w:pPr>
              <w:pStyle w:val="8"/>
              <w:spacing w:before="58" w:line="238" w:lineRule="auto"/>
              <w:ind w:left="68" w:right="61" w:firstLine="21"/>
              <w:jc w:val="both"/>
              <w:rPr>
                <w:rFonts w:hint="eastAsia" w:eastAsia="宋体"/>
                <w:lang w:eastAsia="zh-CN"/>
              </w:rPr>
            </w:pPr>
            <w:r>
              <w:rPr>
                <w:rFonts w:hint="eastAsia"/>
                <w:spacing w:val="-6"/>
                <w:lang w:eastAsia="zh-CN"/>
              </w:rPr>
              <w:t>津市市交通运输综合行政执法大队</w:t>
            </w:r>
          </w:p>
        </w:tc>
      </w:tr>
    </w:tbl>
    <w:p w14:paraId="0B52EB90">
      <w:pPr>
        <w:sectPr>
          <w:footerReference r:id="rId74" w:type="default"/>
          <w:pgSz w:w="16840" w:h="11910"/>
          <w:pgMar w:top="1012" w:right="940" w:bottom="966" w:left="940" w:header="0" w:footer="768" w:gutter="0"/>
          <w:cols w:space="720" w:num="1"/>
        </w:sectPr>
      </w:pPr>
    </w:p>
    <w:p w14:paraId="1E1C740C">
      <w:pPr>
        <w:spacing w:line="121" w:lineRule="exact"/>
      </w:pPr>
    </w:p>
    <w:tbl>
      <w:tblPr>
        <w:tblStyle w:val="7"/>
        <w:tblW w:w="149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113"/>
        <w:gridCol w:w="1113"/>
        <w:gridCol w:w="8631"/>
        <w:gridCol w:w="1022"/>
        <w:gridCol w:w="1419"/>
        <w:gridCol w:w="1027"/>
      </w:tblGrid>
      <w:tr w14:paraId="4ACB7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9" w:type="dxa"/>
            <w:vMerge w:val="restart"/>
            <w:tcBorders>
              <w:bottom w:val="nil"/>
            </w:tcBorders>
            <w:vAlign w:val="top"/>
          </w:tcPr>
          <w:p w14:paraId="68F56780">
            <w:pPr>
              <w:pStyle w:val="8"/>
              <w:spacing w:before="259" w:line="221" w:lineRule="auto"/>
              <w:ind w:left="148"/>
            </w:pPr>
            <w:r>
              <w:rPr>
                <w:b/>
                <w:bCs/>
                <w:spacing w:val="-6"/>
              </w:rPr>
              <w:t>序号</w:t>
            </w:r>
          </w:p>
        </w:tc>
        <w:tc>
          <w:tcPr>
            <w:tcW w:w="1113" w:type="dxa"/>
            <w:vMerge w:val="restart"/>
            <w:tcBorders>
              <w:bottom w:val="nil"/>
            </w:tcBorders>
            <w:vAlign w:val="top"/>
          </w:tcPr>
          <w:p w14:paraId="1B34528A">
            <w:pPr>
              <w:pStyle w:val="8"/>
              <w:spacing w:before="260" w:line="220" w:lineRule="auto"/>
              <w:ind w:left="201"/>
            </w:pPr>
            <w:r>
              <w:rPr>
                <w:b/>
                <w:bCs/>
                <w:spacing w:val="-5"/>
              </w:rPr>
              <w:t>事项名称</w:t>
            </w:r>
          </w:p>
        </w:tc>
        <w:tc>
          <w:tcPr>
            <w:tcW w:w="1113" w:type="dxa"/>
            <w:vMerge w:val="restart"/>
            <w:tcBorders>
              <w:bottom w:val="nil"/>
            </w:tcBorders>
            <w:vAlign w:val="top"/>
          </w:tcPr>
          <w:p w14:paraId="742B6F4C">
            <w:pPr>
              <w:pStyle w:val="8"/>
              <w:spacing w:before="260" w:line="219" w:lineRule="auto"/>
              <w:ind w:left="202"/>
            </w:pPr>
            <w:r>
              <w:rPr>
                <w:b/>
                <w:bCs/>
                <w:spacing w:val="-5"/>
              </w:rPr>
              <w:t>职权类型</w:t>
            </w:r>
          </w:p>
        </w:tc>
        <w:tc>
          <w:tcPr>
            <w:tcW w:w="8631" w:type="dxa"/>
            <w:vMerge w:val="restart"/>
            <w:tcBorders>
              <w:bottom w:val="nil"/>
            </w:tcBorders>
            <w:vAlign w:val="top"/>
          </w:tcPr>
          <w:p w14:paraId="754FEDD1">
            <w:pPr>
              <w:pStyle w:val="8"/>
              <w:spacing w:before="259" w:line="219" w:lineRule="auto"/>
              <w:ind w:left="3970"/>
            </w:pPr>
            <w:r>
              <w:rPr>
                <w:b/>
                <w:bCs/>
                <w:spacing w:val="-6"/>
              </w:rPr>
              <w:t>实施依据</w:t>
            </w:r>
          </w:p>
        </w:tc>
        <w:tc>
          <w:tcPr>
            <w:tcW w:w="3468" w:type="dxa"/>
            <w:gridSpan w:val="3"/>
            <w:vAlign w:val="top"/>
          </w:tcPr>
          <w:p w14:paraId="5E4AC55A">
            <w:pPr>
              <w:pStyle w:val="8"/>
              <w:spacing w:before="82" w:line="220" w:lineRule="auto"/>
              <w:ind w:left="1389"/>
            </w:pPr>
            <w:r>
              <w:rPr>
                <w:b/>
                <w:bCs/>
                <w:spacing w:val="-6"/>
              </w:rPr>
              <w:t>实施主体</w:t>
            </w:r>
          </w:p>
        </w:tc>
      </w:tr>
      <w:tr w14:paraId="4B67F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9" w:type="dxa"/>
            <w:vMerge w:val="continue"/>
            <w:tcBorders>
              <w:top w:val="nil"/>
            </w:tcBorders>
            <w:vAlign w:val="top"/>
          </w:tcPr>
          <w:p w14:paraId="755D7714">
            <w:pPr>
              <w:rPr>
                <w:rFonts w:ascii="Arial"/>
                <w:sz w:val="21"/>
              </w:rPr>
            </w:pPr>
          </w:p>
        </w:tc>
        <w:tc>
          <w:tcPr>
            <w:tcW w:w="1113" w:type="dxa"/>
            <w:vMerge w:val="continue"/>
            <w:tcBorders>
              <w:top w:val="nil"/>
            </w:tcBorders>
            <w:vAlign w:val="top"/>
          </w:tcPr>
          <w:p w14:paraId="50EFCE06">
            <w:pPr>
              <w:rPr>
                <w:rFonts w:ascii="Arial"/>
                <w:sz w:val="21"/>
              </w:rPr>
            </w:pPr>
          </w:p>
        </w:tc>
        <w:tc>
          <w:tcPr>
            <w:tcW w:w="1113" w:type="dxa"/>
            <w:vMerge w:val="continue"/>
            <w:tcBorders>
              <w:top w:val="nil"/>
            </w:tcBorders>
            <w:vAlign w:val="top"/>
          </w:tcPr>
          <w:p w14:paraId="1BB7477C">
            <w:pPr>
              <w:rPr>
                <w:rFonts w:ascii="Arial"/>
                <w:sz w:val="21"/>
              </w:rPr>
            </w:pPr>
          </w:p>
        </w:tc>
        <w:tc>
          <w:tcPr>
            <w:tcW w:w="8631" w:type="dxa"/>
            <w:vMerge w:val="continue"/>
            <w:tcBorders>
              <w:top w:val="nil"/>
            </w:tcBorders>
            <w:vAlign w:val="top"/>
          </w:tcPr>
          <w:p w14:paraId="68BC229F">
            <w:pPr>
              <w:rPr>
                <w:rFonts w:ascii="Arial"/>
                <w:sz w:val="21"/>
              </w:rPr>
            </w:pPr>
          </w:p>
        </w:tc>
        <w:tc>
          <w:tcPr>
            <w:tcW w:w="1022" w:type="dxa"/>
            <w:vAlign w:val="top"/>
          </w:tcPr>
          <w:p w14:paraId="2DFEB71F">
            <w:pPr>
              <w:pStyle w:val="8"/>
              <w:spacing w:before="84" w:line="219" w:lineRule="auto"/>
              <w:ind w:left="170"/>
            </w:pPr>
            <w:r>
              <w:rPr>
                <w:b/>
                <w:bCs/>
                <w:spacing w:val="-6"/>
              </w:rPr>
              <w:t>责任部门</w:t>
            </w:r>
          </w:p>
        </w:tc>
        <w:tc>
          <w:tcPr>
            <w:tcW w:w="1419" w:type="dxa"/>
            <w:vAlign w:val="top"/>
          </w:tcPr>
          <w:p w14:paraId="35BF6E16">
            <w:pPr>
              <w:pStyle w:val="8"/>
              <w:spacing w:before="84" w:line="219" w:lineRule="auto"/>
              <w:ind w:left="183"/>
            </w:pPr>
            <w:r>
              <w:rPr>
                <w:b/>
                <w:bCs/>
                <w:spacing w:val="-4"/>
              </w:rPr>
              <w:t>第一责任层级</w:t>
            </w:r>
          </w:p>
        </w:tc>
        <w:tc>
          <w:tcPr>
            <w:tcW w:w="1027" w:type="dxa"/>
            <w:vAlign w:val="top"/>
          </w:tcPr>
          <w:p w14:paraId="352EE7CC">
            <w:pPr>
              <w:pStyle w:val="8"/>
              <w:spacing w:before="83" w:line="219" w:lineRule="auto"/>
              <w:ind w:left="161"/>
            </w:pPr>
            <w:r>
              <w:rPr>
                <w:b/>
                <w:bCs/>
                <w:spacing w:val="-5"/>
              </w:rPr>
              <w:t>承办机构</w:t>
            </w:r>
          </w:p>
        </w:tc>
      </w:tr>
      <w:tr w14:paraId="7DBAD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3" w:hRule="atLeast"/>
        </w:trPr>
        <w:tc>
          <w:tcPr>
            <w:tcW w:w="629" w:type="dxa"/>
            <w:vAlign w:val="top"/>
          </w:tcPr>
          <w:p w14:paraId="07F84F76">
            <w:pPr>
              <w:spacing w:line="244" w:lineRule="auto"/>
              <w:rPr>
                <w:rFonts w:ascii="Arial"/>
                <w:sz w:val="21"/>
              </w:rPr>
            </w:pPr>
          </w:p>
          <w:p w14:paraId="371CF721">
            <w:pPr>
              <w:spacing w:line="245" w:lineRule="auto"/>
              <w:rPr>
                <w:rFonts w:ascii="Arial"/>
                <w:sz w:val="21"/>
              </w:rPr>
            </w:pPr>
          </w:p>
          <w:p w14:paraId="1B5937CC">
            <w:pPr>
              <w:spacing w:line="245" w:lineRule="auto"/>
              <w:rPr>
                <w:rFonts w:ascii="Arial"/>
                <w:sz w:val="21"/>
              </w:rPr>
            </w:pPr>
          </w:p>
          <w:p w14:paraId="46BFBAF8">
            <w:pPr>
              <w:spacing w:line="245" w:lineRule="auto"/>
              <w:rPr>
                <w:rFonts w:ascii="Arial"/>
                <w:sz w:val="21"/>
              </w:rPr>
            </w:pPr>
          </w:p>
          <w:p w14:paraId="143B4380">
            <w:pPr>
              <w:spacing w:line="245" w:lineRule="auto"/>
              <w:rPr>
                <w:rFonts w:ascii="Arial"/>
                <w:sz w:val="21"/>
              </w:rPr>
            </w:pPr>
          </w:p>
          <w:p w14:paraId="560C6D6B">
            <w:pPr>
              <w:spacing w:line="245" w:lineRule="auto"/>
              <w:rPr>
                <w:rFonts w:ascii="Arial"/>
                <w:sz w:val="21"/>
              </w:rPr>
            </w:pPr>
          </w:p>
          <w:p w14:paraId="3BD649D0">
            <w:pPr>
              <w:pStyle w:val="8"/>
              <w:spacing w:before="59" w:line="184" w:lineRule="auto"/>
              <w:ind w:left="232"/>
              <w:rPr>
                <w:rFonts w:hint="default" w:eastAsia="宋体"/>
                <w:lang w:val="en-US" w:eastAsia="zh-CN"/>
              </w:rPr>
            </w:pPr>
            <w:r>
              <w:rPr>
                <w:rFonts w:hint="eastAsia"/>
                <w:spacing w:val="-4"/>
                <w:lang w:val="en-US" w:eastAsia="zh-CN"/>
              </w:rPr>
              <w:t>35</w:t>
            </w:r>
          </w:p>
        </w:tc>
        <w:tc>
          <w:tcPr>
            <w:tcW w:w="1113" w:type="dxa"/>
            <w:vAlign w:val="top"/>
          </w:tcPr>
          <w:p w14:paraId="67B3DF4B">
            <w:pPr>
              <w:spacing w:line="315" w:lineRule="auto"/>
              <w:rPr>
                <w:rFonts w:ascii="Arial"/>
                <w:sz w:val="21"/>
              </w:rPr>
            </w:pPr>
          </w:p>
          <w:p w14:paraId="67554F2B">
            <w:pPr>
              <w:spacing w:line="316" w:lineRule="auto"/>
              <w:rPr>
                <w:rFonts w:ascii="Arial"/>
                <w:sz w:val="21"/>
              </w:rPr>
            </w:pPr>
          </w:p>
          <w:p w14:paraId="082803B3">
            <w:pPr>
              <w:spacing w:line="316" w:lineRule="auto"/>
              <w:rPr>
                <w:rFonts w:ascii="Arial"/>
                <w:sz w:val="21"/>
              </w:rPr>
            </w:pPr>
          </w:p>
          <w:p w14:paraId="6F836AC6">
            <w:pPr>
              <w:pStyle w:val="8"/>
              <w:spacing w:before="59" w:line="243" w:lineRule="auto"/>
              <w:ind w:left="95" w:right="90"/>
              <w:jc w:val="both"/>
            </w:pPr>
            <w:r>
              <w:rPr>
                <w:spacing w:val="4"/>
              </w:rPr>
              <w:t>对故意堵塞</w:t>
            </w:r>
            <w:r>
              <w:rPr>
                <w:spacing w:val="1"/>
              </w:rPr>
              <w:t xml:space="preserve"> </w:t>
            </w:r>
            <w:r>
              <w:rPr>
                <w:spacing w:val="4"/>
              </w:rPr>
              <w:t>车道妨碍车</w:t>
            </w:r>
            <w:r>
              <w:rPr>
                <w:spacing w:val="1"/>
              </w:rPr>
              <w:t xml:space="preserve"> </w:t>
            </w:r>
            <w:r>
              <w:rPr>
                <w:spacing w:val="4"/>
              </w:rPr>
              <w:t>辆正常通行</w:t>
            </w:r>
            <w:r>
              <w:rPr>
                <w:spacing w:val="1"/>
              </w:rPr>
              <w:t xml:space="preserve"> </w:t>
            </w:r>
            <w:r>
              <w:rPr>
                <w:spacing w:val="4"/>
              </w:rPr>
              <w:t>车辆的行政</w:t>
            </w:r>
            <w:r>
              <w:rPr>
                <w:spacing w:val="1"/>
              </w:rPr>
              <w:t xml:space="preserve"> </w:t>
            </w:r>
            <w:r>
              <w:rPr>
                <w:spacing w:val="-4"/>
              </w:rPr>
              <w:t>强制</w:t>
            </w:r>
          </w:p>
        </w:tc>
        <w:tc>
          <w:tcPr>
            <w:tcW w:w="1113" w:type="dxa"/>
            <w:vAlign w:val="top"/>
          </w:tcPr>
          <w:p w14:paraId="18BF9B2F">
            <w:pPr>
              <w:rPr>
                <w:rFonts w:ascii="Arial"/>
                <w:sz w:val="21"/>
              </w:rPr>
            </w:pPr>
          </w:p>
          <w:p w14:paraId="34A3B203">
            <w:pPr>
              <w:rPr>
                <w:rFonts w:ascii="Arial"/>
                <w:sz w:val="21"/>
              </w:rPr>
            </w:pPr>
          </w:p>
          <w:p w14:paraId="341F0BE0">
            <w:pPr>
              <w:rPr>
                <w:rFonts w:ascii="Arial"/>
                <w:sz w:val="21"/>
              </w:rPr>
            </w:pPr>
          </w:p>
          <w:p w14:paraId="3C8BC5D7">
            <w:pPr>
              <w:rPr>
                <w:rFonts w:ascii="Arial"/>
                <w:sz w:val="21"/>
              </w:rPr>
            </w:pPr>
          </w:p>
          <w:p w14:paraId="00C116D4">
            <w:pPr>
              <w:spacing w:line="241" w:lineRule="auto"/>
              <w:rPr>
                <w:rFonts w:ascii="Arial"/>
                <w:sz w:val="21"/>
              </w:rPr>
            </w:pPr>
          </w:p>
          <w:p w14:paraId="39AD629A">
            <w:pPr>
              <w:spacing w:line="241" w:lineRule="auto"/>
              <w:rPr>
                <w:rFonts w:ascii="Arial"/>
                <w:sz w:val="21"/>
              </w:rPr>
            </w:pPr>
          </w:p>
          <w:p w14:paraId="716F4727">
            <w:pPr>
              <w:pStyle w:val="8"/>
              <w:spacing w:before="58" w:line="220" w:lineRule="auto"/>
              <w:ind w:left="10"/>
            </w:pPr>
            <w:r>
              <w:rPr>
                <w:spacing w:val="-2"/>
              </w:rPr>
              <w:t>行政强制</w:t>
            </w:r>
          </w:p>
        </w:tc>
        <w:tc>
          <w:tcPr>
            <w:tcW w:w="8631" w:type="dxa"/>
            <w:vAlign w:val="top"/>
          </w:tcPr>
          <w:p w14:paraId="3787B142">
            <w:pPr>
              <w:pStyle w:val="8"/>
              <w:spacing w:before="70" w:line="219" w:lineRule="auto"/>
              <w:ind w:left="480"/>
            </w:pPr>
            <w:r>
              <w:rPr>
                <w:b/>
                <w:bCs/>
                <w:spacing w:val="-4"/>
              </w:rPr>
              <w:t>1.《湖南省实施〈中华人民共和国公路法〉办法》</w:t>
            </w:r>
          </w:p>
          <w:p w14:paraId="4DA5C6CA">
            <w:pPr>
              <w:pStyle w:val="8"/>
              <w:spacing w:before="26" w:line="219" w:lineRule="auto"/>
              <w:ind w:left="466"/>
            </w:pPr>
            <w:r>
              <w:rPr>
                <w:spacing w:val="-2"/>
              </w:rPr>
              <w:t>第二十八条  车辆进入车辆通行收费站站区，驾驶员</w:t>
            </w:r>
            <w:r>
              <w:rPr>
                <w:spacing w:val="-3"/>
              </w:rPr>
              <w:t>应当主动缴纳车辆通行费或者接受查验。</w:t>
            </w:r>
          </w:p>
          <w:p w14:paraId="7859E025">
            <w:pPr>
              <w:pStyle w:val="8"/>
              <w:spacing w:before="25" w:line="219" w:lineRule="auto"/>
              <w:ind w:left="466"/>
            </w:pPr>
            <w:r>
              <w:rPr>
                <w:spacing w:val="-2"/>
              </w:rPr>
              <w:t>禁止强行通过或者故意堵塞车辆通行收费站车道；禁止在车辆通行收费站站区上下旅客或者</w:t>
            </w:r>
            <w:r>
              <w:rPr>
                <w:spacing w:val="-3"/>
              </w:rPr>
              <w:t>装卸货物。</w:t>
            </w:r>
          </w:p>
          <w:p w14:paraId="607E7DAB">
            <w:pPr>
              <w:pStyle w:val="8"/>
              <w:spacing w:before="25" w:line="233" w:lineRule="auto"/>
              <w:ind w:left="121" w:right="109" w:firstLine="345"/>
            </w:pPr>
            <w:r>
              <w:rPr>
                <w:spacing w:val="-1"/>
              </w:rPr>
              <w:t>第三十六条  违反本办法规定，拒缴、逃缴车辆通行费的，由公路管理机构责令补缴车辆</w:t>
            </w:r>
            <w:r>
              <w:rPr>
                <w:spacing w:val="-2"/>
              </w:rPr>
              <w:t>通行费；对故</w:t>
            </w:r>
            <w:r>
              <w:t xml:space="preserve"> </w:t>
            </w:r>
            <w:r>
              <w:rPr>
                <w:spacing w:val="-2"/>
              </w:rPr>
              <w:t>意堵塞车道妨碍车辆正常通行的，公路管理机构可以将车辆强制停放至指定</w:t>
            </w:r>
            <w:r>
              <w:rPr>
                <w:spacing w:val="-3"/>
              </w:rPr>
              <w:t>地点依法进行处理。</w:t>
            </w:r>
          </w:p>
          <w:p w14:paraId="0DE98036">
            <w:pPr>
              <w:pStyle w:val="8"/>
              <w:spacing w:before="27" w:line="219" w:lineRule="auto"/>
              <w:ind w:left="468"/>
            </w:pPr>
            <w:r>
              <w:rPr>
                <w:b/>
                <w:bCs/>
                <w:spacing w:val="-5"/>
              </w:rPr>
              <w:t>2.《湖南省高速公路条例》</w:t>
            </w:r>
          </w:p>
          <w:p w14:paraId="7AA428FE">
            <w:pPr>
              <w:pStyle w:val="8"/>
              <w:spacing w:before="26" w:line="233" w:lineRule="auto"/>
              <w:ind w:left="117" w:right="109" w:firstLine="349"/>
            </w:pPr>
            <w:r>
              <w:rPr>
                <w:spacing w:val="-1"/>
              </w:rPr>
              <w:t>第二十八条  机动车通过高速公路收费站时，驾驶员应当主动交纳车辆通行费；符合国家</w:t>
            </w:r>
            <w:r>
              <w:rPr>
                <w:spacing w:val="-2"/>
              </w:rPr>
              <w:t>和省人民政府</w:t>
            </w:r>
            <w:r>
              <w:t xml:space="preserve"> </w:t>
            </w:r>
            <w:r>
              <w:rPr>
                <w:spacing w:val="-2"/>
              </w:rPr>
              <w:t>规定的减免条件的，驾驶员应当主动出示相关证件</w:t>
            </w:r>
            <w:r>
              <w:rPr>
                <w:spacing w:val="-3"/>
              </w:rPr>
              <w:t>，交付查验。</w:t>
            </w:r>
          </w:p>
          <w:p w14:paraId="40EABFF5">
            <w:pPr>
              <w:pStyle w:val="8"/>
              <w:spacing w:before="26" w:line="219" w:lineRule="auto"/>
              <w:ind w:left="466"/>
            </w:pPr>
            <w:r>
              <w:rPr>
                <w:spacing w:val="-3"/>
              </w:rPr>
              <w:t>禁止车辆强行通过或者故意堵塞收费车道。</w:t>
            </w:r>
          </w:p>
          <w:p w14:paraId="7261A7D1">
            <w:pPr>
              <w:pStyle w:val="8"/>
              <w:spacing w:before="27" w:line="239" w:lineRule="auto"/>
              <w:ind w:left="115" w:right="107" w:firstLine="351"/>
            </w:pPr>
            <w:r>
              <w:rPr>
                <w:spacing w:val="-1"/>
              </w:rPr>
              <w:t>第五十一条  违反本条例第二十八条规定，拒交、逃交车辆通行费的，高速公路经营管理</w:t>
            </w:r>
            <w:r>
              <w:rPr>
                <w:spacing w:val="-2"/>
              </w:rPr>
              <w:t>者有权要求其</w:t>
            </w:r>
            <w:r>
              <w:t xml:space="preserve"> </w:t>
            </w:r>
            <w:r>
              <w:rPr>
                <w:spacing w:val="-1"/>
              </w:rPr>
              <w:t>补交应当交纳的车辆通行费；对为拒交、逃交车辆通行费而故意堵塞收费道口妨碍</w:t>
            </w:r>
            <w:r>
              <w:rPr>
                <w:spacing w:val="-2"/>
              </w:rPr>
              <w:t>车辆正常通行的，高速公</w:t>
            </w:r>
            <w:r>
              <w:t xml:space="preserve"> </w:t>
            </w:r>
            <w:r>
              <w:rPr>
                <w:spacing w:val="-1"/>
              </w:rPr>
              <w:t>路管理机构可以将车辆强制停放至指定地点依法进行处理；对强行冲卡、破坏收费</w:t>
            </w:r>
            <w:r>
              <w:rPr>
                <w:spacing w:val="-2"/>
              </w:rPr>
              <w:t>设施或者从事其他扰乱高</w:t>
            </w:r>
            <w:r>
              <w:t xml:space="preserve"> </w:t>
            </w:r>
            <w:r>
              <w:rPr>
                <w:spacing w:val="-2"/>
              </w:rPr>
              <w:t>速公路经营管理秩序活动，违反《中华人民共和国治安管理处罚法》的，由公安机关依法予</w:t>
            </w:r>
            <w:r>
              <w:rPr>
                <w:spacing w:val="-3"/>
              </w:rPr>
              <w:t>以处罚。</w:t>
            </w:r>
          </w:p>
        </w:tc>
        <w:tc>
          <w:tcPr>
            <w:tcW w:w="1022" w:type="dxa"/>
            <w:vAlign w:val="top"/>
          </w:tcPr>
          <w:p w14:paraId="5CACC362">
            <w:pPr>
              <w:spacing w:line="261" w:lineRule="auto"/>
              <w:rPr>
                <w:rFonts w:ascii="Arial"/>
                <w:sz w:val="21"/>
              </w:rPr>
            </w:pPr>
          </w:p>
          <w:p w14:paraId="47637487">
            <w:pPr>
              <w:spacing w:line="262" w:lineRule="auto"/>
              <w:rPr>
                <w:rFonts w:ascii="Arial"/>
                <w:sz w:val="21"/>
              </w:rPr>
            </w:pPr>
          </w:p>
          <w:p w14:paraId="6FE7F33C">
            <w:pPr>
              <w:spacing w:line="262" w:lineRule="auto"/>
              <w:rPr>
                <w:rFonts w:ascii="Arial"/>
                <w:sz w:val="21"/>
              </w:rPr>
            </w:pPr>
          </w:p>
          <w:p w14:paraId="56B676F4">
            <w:pPr>
              <w:spacing w:line="262" w:lineRule="auto"/>
              <w:rPr>
                <w:rFonts w:ascii="Arial"/>
                <w:sz w:val="21"/>
              </w:rPr>
            </w:pPr>
          </w:p>
          <w:p w14:paraId="7AF87FEB">
            <w:pPr>
              <w:spacing w:line="262" w:lineRule="auto"/>
              <w:rPr>
                <w:rFonts w:ascii="Arial"/>
                <w:sz w:val="21"/>
              </w:rPr>
            </w:pPr>
          </w:p>
          <w:p w14:paraId="294A935A">
            <w:pPr>
              <w:pStyle w:val="8"/>
              <w:spacing w:before="58" w:line="235" w:lineRule="auto"/>
              <w:ind w:left="158" w:right="147" w:firstLine="2"/>
            </w:pPr>
            <w:r>
              <w:rPr>
                <w:spacing w:val="-3"/>
              </w:rPr>
              <w:t>交通运输</w:t>
            </w:r>
            <w:r>
              <w:t xml:space="preserve"> </w:t>
            </w:r>
            <w:r>
              <w:rPr>
                <w:spacing w:val="-3"/>
              </w:rPr>
              <w:t>主管部门</w:t>
            </w:r>
          </w:p>
        </w:tc>
        <w:tc>
          <w:tcPr>
            <w:tcW w:w="1419" w:type="dxa"/>
            <w:vAlign w:val="top"/>
          </w:tcPr>
          <w:p w14:paraId="61D3B86C">
            <w:pPr>
              <w:spacing w:line="286" w:lineRule="auto"/>
              <w:rPr>
                <w:rFonts w:ascii="Arial"/>
                <w:sz w:val="21"/>
              </w:rPr>
            </w:pPr>
          </w:p>
          <w:p w14:paraId="07435156">
            <w:pPr>
              <w:spacing w:line="286" w:lineRule="auto"/>
              <w:rPr>
                <w:rFonts w:ascii="Arial"/>
                <w:sz w:val="21"/>
              </w:rPr>
            </w:pPr>
          </w:p>
          <w:p w14:paraId="7352C7AE">
            <w:pPr>
              <w:spacing w:line="286" w:lineRule="auto"/>
              <w:rPr>
                <w:rFonts w:ascii="Arial"/>
                <w:sz w:val="21"/>
              </w:rPr>
            </w:pPr>
          </w:p>
          <w:p w14:paraId="272C7A5D">
            <w:pPr>
              <w:spacing w:line="286" w:lineRule="auto"/>
              <w:rPr>
                <w:rFonts w:ascii="Arial"/>
                <w:sz w:val="21"/>
              </w:rPr>
            </w:pPr>
          </w:p>
          <w:p w14:paraId="09603515">
            <w:pPr>
              <w:spacing w:line="286" w:lineRule="auto"/>
              <w:rPr>
                <w:rFonts w:ascii="Arial"/>
                <w:sz w:val="21"/>
              </w:rPr>
            </w:pPr>
          </w:p>
          <w:p w14:paraId="22DA9C22">
            <w:pPr>
              <w:pStyle w:val="8"/>
              <w:spacing w:before="59" w:line="219" w:lineRule="auto"/>
              <w:ind w:left="87"/>
              <w:rPr>
                <w:rFonts w:hint="eastAsia" w:eastAsia="宋体"/>
                <w:lang w:eastAsia="zh-CN"/>
              </w:rPr>
            </w:pPr>
            <w:r>
              <w:rPr>
                <w:rFonts w:hint="eastAsia"/>
                <w:spacing w:val="-2"/>
                <w:lang w:eastAsia="zh-CN"/>
              </w:rPr>
              <w:t>津市市交通运输局</w:t>
            </w:r>
          </w:p>
        </w:tc>
        <w:tc>
          <w:tcPr>
            <w:tcW w:w="1027" w:type="dxa"/>
            <w:vAlign w:val="top"/>
          </w:tcPr>
          <w:p w14:paraId="79349CF0">
            <w:pPr>
              <w:spacing w:line="297" w:lineRule="auto"/>
              <w:rPr>
                <w:rFonts w:ascii="Arial"/>
                <w:sz w:val="21"/>
              </w:rPr>
            </w:pPr>
          </w:p>
          <w:p w14:paraId="782E4CDF">
            <w:pPr>
              <w:spacing w:line="297" w:lineRule="auto"/>
              <w:rPr>
                <w:rFonts w:ascii="Arial"/>
                <w:sz w:val="21"/>
              </w:rPr>
            </w:pPr>
          </w:p>
          <w:p w14:paraId="18CF2F80">
            <w:pPr>
              <w:spacing w:line="297" w:lineRule="auto"/>
              <w:rPr>
                <w:rFonts w:ascii="Arial"/>
                <w:sz w:val="21"/>
              </w:rPr>
            </w:pPr>
          </w:p>
          <w:p w14:paraId="2AAD691F">
            <w:pPr>
              <w:spacing w:line="297" w:lineRule="auto"/>
              <w:rPr>
                <w:rFonts w:ascii="Arial"/>
                <w:sz w:val="21"/>
              </w:rPr>
            </w:pPr>
          </w:p>
          <w:p w14:paraId="3C069D73">
            <w:pPr>
              <w:pStyle w:val="8"/>
              <w:spacing w:before="58"/>
              <w:ind w:left="68" w:right="61" w:firstLine="21"/>
              <w:jc w:val="both"/>
              <w:rPr>
                <w:rFonts w:hint="eastAsia" w:eastAsia="宋体"/>
                <w:lang w:eastAsia="zh-CN"/>
              </w:rPr>
            </w:pPr>
            <w:r>
              <w:rPr>
                <w:rFonts w:hint="eastAsia"/>
                <w:spacing w:val="-6"/>
                <w:lang w:eastAsia="zh-CN"/>
              </w:rPr>
              <w:t>津市市交通运输综合行政执法大队</w:t>
            </w:r>
          </w:p>
        </w:tc>
      </w:tr>
      <w:tr w14:paraId="1DEB5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4954" w:type="dxa"/>
            <w:gridSpan w:val="7"/>
            <w:vAlign w:val="top"/>
          </w:tcPr>
          <w:p w14:paraId="7BA52987">
            <w:pPr>
              <w:pStyle w:val="8"/>
              <w:spacing w:before="134" w:line="219" w:lineRule="auto"/>
              <w:ind w:left="12"/>
            </w:pPr>
            <w:r>
              <w:rPr>
                <w:spacing w:val="-1"/>
              </w:rPr>
              <w:t>注：高速公路路政执法第一层级为：设区的市级</w:t>
            </w:r>
          </w:p>
        </w:tc>
      </w:tr>
    </w:tbl>
    <w:p w14:paraId="676ACBA9">
      <w:pPr>
        <w:pStyle w:val="2"/>
      </w:pPr>
    </w:p>
    <w:p w14:paraId="79AFECE9">
      <w:pPr>
        <w:sectPr>
          <w:footerReference r:id="rId75" w:type="default"/>
          <w:pgSz w:w="16840" w:h="11910"/>
          <w:pgMar w:top="1012" w:right="940" w:bottom="966" w:left="940" w:header="0" w:footer="768" w:gutter="0"/>
          <w:cols w:space="720" w:num="1"/>
        </w:sectPr>
      </w:pPr>
    </w:p>
    <w:p w14:paraId="08DFE829"/>
    <w:p w14:paraId="139F632E">
      <w:pPr>
        <w:spacing w:before="240" w:line="241" w:lineRule="auto"/>
        <w:ind w:left="1496"/>
        <w:outlineLvl w:val="0"/>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spacing w:val="17"/>
          <w:sz w:val="31"/>
          <w:szCs w:val="31"/>
          <w:lang w:eastAsia="zh-CN"/>
        </w:rPr>
        <w:t>津市市</w:t>
      </w:r>
      <w:r>
        <w:rPr>
          <w:rFonts w:ascii="方正小标宋简体" w:hAnsi="方正小标宋简体" w:eastAsia="方正小标宋简体" w:cs="方正小标宋简体"/>
          <w:spacing w:val="17"/>
          <w:sz w:val="31"/>
          <w:szCs w:val="31"/>
        </w:rPr>
        <w:t>交通运输综合行政执法事项指导目录（交</w:t>
      </w:r>
      <w:r>
        <w:rPr>
          <w:rFonts w:ascii="方正小标宋简体" w:hAnsi="方正小标宋简体" w:eastAsia="方正小标宋简体" w:cs="方正小标宋简体"/>
          <w:spacing w:val="16"/>
          <w:sz w:val="31"/>
          <w:szCs w:val="31"/>
        </w:rPr>
        <w:t>通建设工程质量安全监督 10</w:t>
      </w:r>
      <w:r>
        <w:rPr>
          <w:rFonts w:hint="eastAsia" w:ascii="方正小标宋简体" w:hAnsi="方正小标宋简体" w:eastAsia="方正小标宋简体" w:cs="方正小标宋简体"/>
          <w:spacing w:val="16"/>
          <w:sz w:val="31"/>
          <w:szCs w:val="31"/>
          <w:lang w:val="en-US" w:eastAsia="zh-CN"/>
        </w:rPr>
        <w:t>1</w:t>
      </w:r>
      <w:r>
        <w:rPr>
          <w:rFonts w:ascii="方正小标宋简体" w:hAnsi="方正小标宋简体" w:eastAsia="方正小标宋简体" w:cs="方正小标宋简体"/>
          <w:spacing w:val="16"/>
          <w:sz w:val="31"/>
          <w:szCs w:val="31"/>
        </w:rPr>
        <w:t>项）</w:t>
      </w:r>
    </w:p>
    <w:p w14:paraId="2746E9FF">
      <w:pPr>
        <w:spacing w:line="23"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1D106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6891072C">
            <w:pPr>
              <w:pStyle w:val="8"/>
              <w:spacing w:before="267" w:line="221" w:lineRule="auto"/>
              <w:ind w:left="134"/>
            </w:pPr>
            <w:r>
              <w:rPr>
                <w:b/>
                <w:bCs/>
                <w:spacing w:val="-4"/>
              </w:rPr>
              <w:t>序号</w:t>
            </w:r>
          </w:p>
        </w:tc>
        <w:tc>
          <w:tcPr>
            <w:tcW w:w="1104" w:type="dxa"/>
            <w:vMerge w:val="restart"/>
            <w:tcBorders>
              <w:bottom w:val="nil"/>
            </w:tcBorders>
            <w:vAlign w:val="top"/>
          </w:tcPr>
          <w:p w14:paraId="443546BF">
            <w:pPr>
              <w:pStyle w:val="8"/>
              <w:spacing w:before="260" w:line="220" w:lineRule="auto"/>
              <w:ind w:left="192"/>
            </w:pPr>
            <w:r>
              <w:rPr>
                <w:b/>
                <w:bCs/>
                <w:spacing w:val="-4"/>
              </w:rPr>
              <w:t>事项名称</w:t>
            </w:r>
          </w:p>
        </w:tc>
        <w:tc>
          <w:tcPr>
            <w:tcW w:w="1104" w:type="dxa"/>
            <w:vMerge w:val="restart"/>
            <w:tcBorders>
              <w:bottom w:val="nil"/>
            </w:tcBorders>
            <w:vAlign w:val="top"/>
          </w:tcPr>
          <w:p w14:paraId="5F627BE7">
            <w:pPr>
              <w:pStyle w:val="8"/>
              <w:spacing w:before="260" w:line="219" w:lineRule="auto"/>
              <w:ind w:left="193"/>
            </w:pPr>
            <w:r>
              <w:rPr>
                <w:b/>
                <w:bCs/>
                <w:spacing w:val="-4"/>
              </w:rPr>
              <w:t>职权类型</w:t>
            </w:r>
          </w:p>
        </w:tc>
        <w:tc>
          <w:tcPr>
            <w:tcW w:w="8549" w:type="dxa"/>
            <w:vMerge w:val="restart"/>
            <w:tcBorders>
              <w:bottom w:val="nil"/>
            </w:tcBorders>
            <w:vAlign w:val="top"/>
          </w:tcPr>
          <w:p w14:paraId="6DB120EE">
            <w:pPr>
              <w:pStyle w:val="8"/>
              <w:spacing w:before="259" w:line="219" w:lineRule="auto"/>
              <w:ind w:left="3921"/>
            </w:pPr>
            <w:r>
              <w:rPr>
                <w:b/>
                <w:bCs/>
                <w:spacing w:val="-5"/>
              </w:rPr>
              <w:t>实施依据</w:t>
            </w:r>
          </w:p>
        </w:tc>
        <w:tc>
          <w:tcPr>
            <w:tcW w:w="3439" w:type="dxa"/>
            <w:gridSpan w:val="3"/>
            <w:vAlign w:val="top"/>
          </w:tcPr>
          <w:p w14:paraId="16C6DD75">
            <w:pPr>
              <w:pStyle w:val="8"/>
              <w:spacing w:before="85" w:line="220" w:lineRule="auto"/>
              <w:ind w:left="1365"/>
            </w:pPr>
            <w:r>
              <w:rPr>
                <w:b/>
                <w:bCs/>
                <w:spacing w:val="-5"/>
              </w:rPr>
              <w:t>实施主体</w:t>
            </w:r>
          </w:p>
        </w:tc>
      </w:tr>
      <w:tr w14:paraId="68730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1CD70DF8">
            <w:pPr>
              <w:rPr>
                <w:rFonts w:ascii="Arial"/>
                <w:sz w:val="21"/>
              </w:rPr>
            </w:pPr>
          </w:p>
        </w:tc>
        <w:tc>
          <w:tcPr>
            <w:tcW w:w="1104" w:type="dxa"/>
            <w:vMerge w:val="continue"/>
            <w:tcBorders>
              <w:top w:val="nil"/>
            </w:tcBorders>
            <w:vAlign w:val="top"/>
          </w:tcPr>
          <w:p w14:paraId="12DCEF63">
            <w:pPr>
              <w:rPr>
                <w:rFonts w:ascii="Arial"/>
                <w:sz w:val="21"/>
              </w:rPr>
            </w:pPr>
          </w:p>
        </w:tc>
        <w:tc>
          <w:tcPr>
            <w:tcW w:w="1104" w:type="dxa"/>
            <w:vMerge w:val="continue"/>
            <w:tcBorders>
              <w:top w:val="nil"/>
            </w:tcBorders>
            <w:vAlign w:val="top"/>
          </w:tcPr>
          <w:p w14:paraId="59639EF5">
            <w:pPr>
              <w:rPr>
                <w:rFonts w:ascii="Arial"/>
                <w:sz w:val="21"/>
              </w:rPr>
            </w:pPr>
          </w:p>
        </w:tc>
        <w:tc>
          <w:tcPr>
            <w:tcW w:w="8549" w:type="dxa"/>
            <w:vMerge w:val="continue"/>
            <w:tcBorders>
              <w:top w:val="nil"/>
            </w:tcBorders>
            <w:vAlign w:val="top"/>
          </w:tcPr>
          <w:p w14:paraId="0DF198BC">
            <w:pPr>
              <w:rPr>
                <w:rFonts w:ascii="Arial"/>
                <w:sz w:val="21"/>
              </w:rPr>
            </w:pPr>
          </w:p>
        </w:tc>
        <w:tc>
          <w:tcPr>
            <w:tcW w:w="1014" w:type="dxa"/>
            <w:vAlign w:val="top"/>
          </w:tcPr>
          <w:p w14:paraId="6A196F9D">
            <w:pPr>
              <w:pStyle w:val="8"/>
              <w:spacing w:before="81" w:line="219" w:lineRule="auto"/>
              <w:ind w:left="158"/>
            </w:pPr>
            <w:r>
              <w:rPr>
                <w:b/>
                <w:bCs/>
                <w:spacing w:val="-5"/>
              </w:rPr>
              <w:t>责任部门</w:t>
            </w:r>
          </w:p>
        </w:tc>
        <w:tc>
          <w:tcPr>
            <w:tcW w:w="1407" w:type="dxa"/>
            <w:vAlign w:val="top"/>
          </w:tcPr>
          <w:p w14:paraId="795D467F">
            <w:pPr>
              <w:pStyle w:val="8"/>
              <w:spacing w:before="81" w:line="219" w:lineRule="auto"/>
              <w:ind w:left="167"/>
            </w:pPr>
            <w:r>
              <w:rPr>
                <w:b/>
                <w:bCs/>
                <w:spacing w:val="-3"/>
              </w:rPr>
              <w:t>第一责任层级</w:t>
            </w:r>
          </w:p>
        </w:tc>
        <w:tc>
          <w:tcPr>
            <w:tcW w:w="1018" w:type="dxa"/>
            <w:vAlign w:val="top"/>
          </w:tcPr>
          <w:p w14:paraId="64BED825">
            <w:pPr>
              <w:pStyle w:val="8"/>
              <w:spacing w:before="81" w:line="219" w:lineRule="auto"/>
              <w:ind w:left="152"/>
            </w:pPr>
            <w:r>
              <w:rPr>
                <w:b/>
                <w:bCs/>
                <w:spacing w:val="-4"/>
              </w:rPr>
              <w:t>承办机构</w:t>
            </w:r>
          </w:p>
        </w:tc>
      </w:tr>
      <w:tr w14:paraId="2370F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3" w:hRule="atLeast"/>
        </w:trPr>
        <w:tc>
          <w:tcPr>
            <w:tcW w:w="624" w:type="dxa"/>
            <w:vAlign w:val="top"/>
          </w:tcPr>
          <w:p w14:paraId="34A29E1E">
            <w:pPr>
              <w:spacing w:line="259" w:lineRule="auto"/>
              <w:rPr>
                <w:rFonts w:ascii="Arial"/>
                <w:sz w:val="21"/>
              </w:rPr>
            </w:pPr>
          </w:p>
          <w:p w14:paraId="7B816FEE">
            <w:pPr>
              <w:spacing w:line="259" w:lineRule="auto"/>
              <w:rPr>
                <w:rFonts w:ascii="Arial"/>
                <w:sz w:val="21"/>
              </w:rPr>
            </w:pPr>
          </w:p>
          <w:p w14:paraId="5CC839EB">
            <w:pPr>
              <w:spacing w:line="259" w:lineRule="auto"/>
              <w:rPr>
                <w:rFonts w:ascii="Arial"/>
                <w:sz w:val="21"/>
              </w:rPr>
            </w:pPr>
          </w:p>
          <w:p w14:paraId="584F8FB0">
            <w:pPr>
              <w:spacing w:line="260" w:lineRule="auto"/>
              <w:rPr>
                <w:rFonts w:ascii="Arial"/>
                <w:sz w:val="21"/>
              </w:rPr>
            </w:pPr>
          </w:p>
          <w:p w14:paraId="6CA0E0D1">
            <w:pPr>
              <w:spacing w:line="260" w:lineRule="auto"/>
              <w:rPr>
                <w:rFonts w:ascii="Arial"/>
                <w:sz w:val="21"/>
              </w:rPr>
            </w:pPr>
          </w:p>
          <w:p w14:paraId="059A73EA">
            <w:pPr>
              <w:spacing w:line="260" w:lineRule="auto"/>
              <w:rPr>
                <w:rFonts w:ascii="Arial"/>
                <w:sz w:val="21"/>
              </w:rPr>
            </w:pPr>
          </w:p>
          <w:p w14:paraId="742F9BB8">
            <w:pPr>
              <w:spacing w:line="260" w:lineRule="auto"/>
              <w:rPr>
                <w:rFonts w:ascii="Arial"/>
                <w:sz w:val="21"/>
              </w:rPr>
            </w:pPr>
          </w:p>
          <w:p w14:paraId="41591AFA">
            <w:pPr>
              <w:spacing w:line="260" w:lineRule="auto"/>
              <w:rPr>
                <w:rFonts w:ascii="Arial"/>
                <w:sz w:val="21"/>
              </w:rPr>
            </w:pPr>
          </w:p>
          <w:p w14:paraId="2FD4DF8F">
            <w:pPr>
              <w:spacing w:line="260" w:lineRule="auto"/>
              <w:rPr>
                <w:rFonts w:ascii="Arial"/>
                <w:sz w:val="21"/>
              </w:rPr>
            </w:pPr>
          </w:p>
          <w:p w14:paraId="5E307C51">
            <w:pPr>
              <w:spacing w:line="260" w:lineRule="auto"/>
              <w:rPr>
                <w:rFonts w:ascii="Arial"/>
                <w:sz w:val="21"/>
              </w:rPr>
            </w:pPr>
          </w:p>
          <w:p w14:paraId="4A402B58">
            <w:pPr>
              <w:pStyle w:val="8"/>
              <w:spacing w:before="59" w:line="184" w:lineRule="auto"/>
              <w:ind w:left="287"/>
            </w:pPr>
            <w:r>
              <w:t>1</w:t>
            </w:r>
          </w:p>
        </w:tc>
        <w:tc>
          <w:tcPr>
            <w:tcW w:w="1104" w:type="dxa"/>
            <w:vAlign w:val="top"/>
          </w:tcPr>
          <w:p w14:paraId="57984EC4">
            <w:pPr>
              <w:spacing w:line="261" w:lineRule="auto"/>
              <w:rPr>
                <w:rFonts w:ascii="Arial"/>
                <w:sz w:val="21"/>
              </w:rPr>
            </w:pPr>
          </w:p>
          <w:p w14:paraId="48DC0306">
            <w:pPr>
              <w:spacing w:line="261" w:lineRule="auto"/>
              <w:rPr>
                <w:rFonts w:ascii="Arial"/>
                <w:sz w:val="21"/>
              </w:rPr>
            </w:pPr>
          </w:p>
          <w:p w14:paraId="5D180574">
            <w:pPr>
              <w:spacing w:line="261" w:lineRule="auto"/>
              <w:rPr>
                <w:rFonts w:ascii="Arial"/>
                <w:sz w:val="21"/>
              </w:rPr>
            </w:pPr>
          </w:p>
          <w:p w14:paraId="67938EBC">
            <w:pPr>
              <w:spacing w:line="261" w:lineRule="auto"/>
              <w:rPr>
                <w:rFonts w:ascii="Arial"/>
                <w:sz w:val="21"/>
              </w:rPr>
            </w:pPr>
          </w:p>
          <w:p w14:paraId="730FBF56">
            <w:pPr>
              <w:spacing w:line="262" w:lineRule="auto"/>
              <w:rPr>
                <w:rFonts w:ascii="Arial"/>
                <w:sz w:val="21"/>
              </w:rPr>
            </w:pPr>
          </w:p>
          <w:p w14:paraId="6BFCEE2C">
            <w:pPr>
              <w:spacing w:line="262" w:lineRule="auto"/>
              <w:rPr>
                <w:rFonts w:ascii="Arial"/>
                <w:sz w:val="21"/>
              </w:rPr>
            </w:pPr>
          </w:p>
          <w:p w14:paraId="58340ECD">
            <w:pPr>
              <w:spacing w:line="262" w:lineRule="auto"/>
              <w:rPr>
                <w:rFonts w:ascii="Arial"/>
                <w:sz w:val="21"/>
              </w:rPr>
            </w:pPr>
          </w:p>
          <w:p w14:paraId="434E90B4">
            <w:pPr>
              <w:spacing w:line="262" w:lineRule="auto"/>
              <w:rPr>
                <w:rFonts w:ascii="Arial"/>
                <w:sz w:val="21"/>
              </w:rPr>
            </w:pPr>
          </w:p>
          <w:p w14:paraId="295C097F">
            <w:pPr>
              <w:pStyle w:val="8"/>
              <w:spacing w:before="58" w:line="242" w:lineRule="auto"/>
              <w:ind w:left="62" w:right="56" w:hanging="2"/>
              <w:jc w:val="both"/>
            </w:pPr>
            <w:r>
              <w:rPr>
                <w:spacing w:val="4"/>
              </w:rPr>
              <w:t>对擅</w:t>
            </w:r>
            <w:r>
              <w:rPr>
                <w:spacing w:val="-29"/>
              </w:rPr>
              <w:t xml:space="preserve"> </w:t>
            </w:r>
            <w:r>
              <w:rPr>
                <w:spacing w:val="4"/>
              </w:rPr>
              <w:t>自进行</w:t>
            </w:r>
            <w:r>
              <w:t xml:space="preserve"> </w:t>
            </w:r>
            <w:r>
              <w:rPr>
                <w:spacing w:val="15"/>
              </w:rPr>
              <w:t>公路建设项</w:t>
            </w:r>
            <w:r>
              <w:rPr>
                <w:spacing w:val="3"/>
              </w:rPr>
              <w:t xml:space="preserve"> </w:t>
            </w:r>
            <w:r>
              <w:rPr>
                <w:spacing w:val="15"/>
              </w:rPr>
              <w:t>目施工等行</w:t>
            </w:r>
            <w:r>
              <w:rPr>
                <w:spacing w:val="3"/>
              </w:rPr>
              <w:t xml:space="preserve"> </w:t>
            </w:r>
            <w:r>
              <w:rPr>
                <w:spacing w:val="15"/>
              </w:rPr>
              <w:t>为的行政处</w:t>
            </w:r>
            <w:r>
              <w:rPr>
                <w:spacing w:val="3"/>
              </w:rPr>
              <w:t xml:space="preserve"> </w:t>
            </w:r>
            <w:r>
              <w:t>罚</w:t>
            </w:r>
          </w:p>
        </w:tc>
        <w:tc>
          <w:tcPr>
            <w:tcW w:w="1104" w:type="dxa"/>
            <w:vAlign w:val="top"/>
          </w:tcPr>
          <w:p w14:paraId="4487BB78">
            <w:pPr>
              <w:spacing w:line="257" w:lineRule="auto"/>
              <w:rPr>
                <w:rFonts w:ascii="Arial"/>
                <w:sz w:val="21"/>
              </w:rPr>
            </w:pPr>
          </w:p>
          <w:p w14:paraId="59C0558C">
            <w:pPr>
              <w:spacing w:line="257" w:lineRule="auto"/>
              <w:rPr>
                <w:rFonts w:ascii="Arial"/>
                <w:sz w:val="21"/>
              </w:rPr>
            </w:pPr>
          </w:p>
          <w:p w14:paraId="1462FE05">
            <w:pPr>
              <w:spacing w:line="257" w:lineRule="auto"/>
              <w:rPr>
                <w:rFonts w:ascii="Arial"/>
                <w:sz w:val="21"/>
              </w:rPr>
            </w:pPr>
          </w:p>
          <w:p w14:paraId="496133A1">
            <w:pPr>
              <w:spacing w:line="257" w:lineRule="auto"/>
              <w:rPr>
                <w:rFonts w:ascii="Arial"/>
                <w:sz w:val="21"/>
              </w:rPr>
            </w:pPr>
          </w:p>
          <w:p w14:paraId="519ED452">
            <w:pPr>
              <w:spacing w:line="257" w:lineRule="auto"/>
              <w:rPr>
                <w:rFonts w:ascii="Arial"/>
                <w:sz w:val="21"/>
              </w:rPr>
            </w:pPr>
          </w:p>
          <w:p w14:paraId="26952447">
            <w:pPr>
              <w:spacing w:line="257" w:lineRule="auto"/>
              <w:rPr>
                <w:rFonts w:ascii="Arial"/>
                <w:sz w:val="21"/>
              </w:rPr>
            </w:pPr>
          </w:p>
          <w:p w14:paraId="43679190">
            <w:pPr>
              <w:spacing w:line="257" w:lineRule="auto"/>
              <w:rPr>
                <w:rFonts w:ascii="Arial"/>
                <w:sz w:val="21"/>
              </w:rPr>
            </w:pPr>
          </w:p>
          <w:p w14:paraId="37B85B47">
            <w:pPr>
              <w:spacing w:line="257" w:lineRule="auto"/>
              <w:rPr>
                <w:rFonts w:ascii="Arial"/>
                <w:sz w:val="21"/>
              </w:rPr>
            </w:pPr>
          </w:p>
          <w:p w14:paraId="06000E05">
            <w:pPr>
              <w:spacing w:line="257" w:lineRule="auto"/>
              <w:rPr>
                <w:rFonts w:ascii="Arial"/>
                <w:sz w:val="21"/>
              </w:rPr>
            </w:pPr>
          </w:p>
          <w:p w14:paraId="3A2219E5">
            <w:pPr>
              <w:spacing w:line="257" w:lineRule="auto"/>
              <w:rPr>
                <w:rFonts w:ascii="Arial"/>
                <w:sz w:val="21"/>
              </w:rPr>
            </w:pPr>
          </w:p>
          <w:p w14:paraId="6C4E6F89">
            <w:pPr>
              <w:pStyle w:val="8"/>
              <w:spacing w:before="59" w:line="220" w:lineRule="auto"/>
              <w:ind w:left="10"/>
            </w:pPr>
            <w:r>
              <w:rPr>
                <w:spacing w:val="-2"/>
              </w:rPr>
              <w:t>行政处罚</w:t>
            </w:r>
          </w:p>
        </w:tc>
        <w:tc>
          <w:tcPr>
            <w:tcW w:w="8549" w:type="dxa"/>
            <w:vAlign w:val="top"/>
          </w:tcPr>
          <w:p w14:paraId="290C4CF5">
            <w:pPr>
              <w:pStyle w:val="8"/>
              <w:spacing w:before="125" w:line="219" w:lineRule="auto"/>
              <w:ind w:left="484"/>
            </w:pPr>
            <w:r>
              <w:rPr>
                <w:b/>
                <w:bCs/>
                <w:spacing w:val="-4"/>
              </w:rPr>
              <w:t>1.《中华人民共和国公路法》</w:t>
            </w:r>
          </w:p>
          <w:p w14:paraId="28BCA626">
            <w:pPr>
              <w:pStyle w:val="8"/>
              <w:spacing w:before="25" w:line="219" w:lineRule="auto"/>
              <w:ind w:left="471"/>
            </w:pPr>
            <w:r>
              <w:rPr>
                <w:spacing w:val="1"/>
              </w:rPr>
              <w:t>第二十五条  公路建设项目的施工，须按国务院交通主管部门的规定报请县级以上地方人民政府交通</w:t>
            </w:r>
          </w:p>
          <w:p w14:paraId="0AEE01F0">
            <w:pPr>
              <w:pStyle w:val="8"/>
              <w:spacing w:before="27" w:line="219" w:lineRule="auto"/>
              <w:ind w:left="112"/>
            </w:pPr>
            <w:r>
              <w:rPr>
                <w:spacing w:val="-5"/>
              </w:rPr>
              <w:t>主管部门批准。</w:t>
            </w:r>
          </w:p>
          <w:p w14:paraId="0525460E">
            <w:pPr>
              <w:pStyle w:val="8"/>
              <w:spacing w:before="25" w:line="233" w:lineRule="auto"/>
              <w:ind w:left="117" w:right="104" w:firstLine="353"/>
              <w:rPr>
                <w:rFonts w:ascii="MS PGothic" w:hAnsi="MS PGothic" w:eastAsia="MS PGothic" w:cs="MS PGothic"/>
              </w:rPr>
            </w:pPr>
            <w:r>
              <w:rPr>
                <w:spacing w:val="1"/>
              </w:rPr>
              <w:t xml:space="preserve">第七十五条  违反本法第二十五条规定，未经有关交通主管部门批准擅自施工的，交通主管部门可以 </w:t>
            </w:r>
            <w:r>
              <w:rPr>
                <w:spacing w:val="-1"/>
              </w:rPr>
              <w:t>责令停止施工，并可以处五万元以下的罚款</w:t>
            </w:r>
            <w:r>
              <w:rPr>
                <w:rFonts w:ascii="MS PGothic" w:hAnsi="MS PGothic" w:eastAsia="MS PGothic" w:cs="MS PGothic"/>
                <w:spacing w:val="-1"/>
              </w:rPr>
              <w:t>｡</w:t>
            </w:r>
          </w:p>
          <w:p w14:paraId="39EAD3B9">
            <w:pPr>
              <w:pStyle w:val="8"/>
              <w:spacing w:before="26" w:line="219" w:lineRule="auto"/>
              <w:ind w:left="473"/>
            </w:pPr>
            <w:r>
              <w:rPr>
                <w:b/>
                <w:bCs/>
                <w:spacing w:val="-3"/>
              </w:rPr>
              <w:t>2.《建设工程质量管理条例》</w:t>
            </w:r>
          </w:p>
          <w:p w14:paraId="5004EAA4">
            <w:pPr>
              <w:pStyle w:val="8"/>
              <w:spacing w:before="26" w:line="219" w:lineRule="auto"/>
              <w:ind w:left="471"/>
            </w:pPr>
            <w:r>
              <w:rPr>
                <w:spacing w:val="-1"/>
              </w:rPr>
              <w:t>第七条第一款  建设单位应当将工程发包给具有相应资质</w:t>
            </w:r>
            <w:r>
              <w:rPr>
                <w:spacing w:val="-2"/>
              </w:rPr>
              <w:t>等级的单位。</w:t>
            </w:r>
          </w:p>
          <w:p w14:paraId="08468B09">
            <w:pPr>
              <w:pStyle w:val="8"/>
              <w:spacing w:before="25" w:line="238" w:lineRule="auto"/>
              <w:ind w:left="113" w:right="104" w:firstLine="357"/>
            </w:pPr>
            <w:r>
              <w:rPr>
                <w:spacing w:val="1"/>
              </w:rPr>
              <w:t>第十二条第一款  实行监理的建设工程，建设单位应当委托具有相应资质等级的工程监理单位进行监</w:t>
            </w:r>
            <w:r>
              <w:rPr>
                <w:spacing w:val="2"/>
              </w:rPr>
              <w:t xml:space="preserve"> </w:t>
            </w:r>
            <w:r>
              <w:rPr>
                <w:spacing w:val="1"/>
              </w:rPr>
              <w:t>理，也可以委托具有工程监理相应资质等级并与被监理工程的施工承包单位没有隶属关系或者其他利</w:t>
            </w:r>
            <w:r>
              <w:t xml:space="preserve">害关 </w:t>
            </w:r>
            <w:r>
              <w:rPr>
                <w:spacing w:val="-3"/>
              </w:rPr>
              <w:t>系的该工程的设计单位进行监理。</w:t>
            </w:r>
          </w:p>
          <w:p w14:paraId="2FF95648">
            <w:pPr>
              <w:pStyle w:val="8"/>
              <w:spacing w:before="26" w:line="232" w:lineRule="auto"/>
              <w:ind w:left="131" w:right="104" w:firstLine="339"/>
            </w:pPr>
            <w:r>
              <w:rPr>
                <w:spacing w:val="1"/>
              </w:rPr>
              <w:t xml:space="preserve">第十三条  建设单位在开工前，应当按照国家有关规定办理工程质量监督手续，工程质量监督手续可 </w:t>
            </w:r>
            <w:r>
              <w:rPr>
                <w:spacing w:val="-3"/>
              </w:rPr>
              <w:t>以与施工许可证或者开工报告合并办理。</w:t>
            </w:r>
          </w:p>
          <w:p w14:paraId="15193440">
            <w:pPr>
              <w:pStyle w:val="8"/>
              <w:spacing w:before="26" w:line="233" w:lineRule="auto"/>
              <w:ind w:left="112" w:right="104" w:firstLine="358"/>
            </w:pPr>
            <w:r>
              <w:rPr>
                <w:spacing w:val="1"/>
              </w:rPr>
              <w:t xml:space="preserve">第五十四条  违反本条例规定，建设单位将建设工程发包给不具有相应资质等级的勘察、设计、施工 </w:t>
            </w:r>
            <w:r>
              <w:rPr>
                <w:spacing w:val="-1"/>
              </w:rPr>
              <w:t>单位或者委托给不具有相应资质等级的工程监理单位的，责令改正，处50万元以上100万元以下的罚款。</w:t>
            </w:r>
          </w:p>
          <w:p w14:paraId="129F6DEB">
            <w:pPr>
              <w:pStyle w:val="8"/>
              <w:spacing w:before="27" w:line="232" w:lineRule="auto"/>
              <w:ind w:left="111" w:right="104" w:firstLine="359"/>
            </w:pPr>
            <w:r>
              <w:rPr>
                <w:spacing w:val="1"/>
              </w:rPr>
              <w:t xml:space="preserve">第五十七条  违反本条例规定，建设单位未取得施工许可证或者开工报告未经批准，擅自施工的，责 </w:t>
            </w:r>
            <w:r>
              <w:rPr>
                <w:spacing w:val="-1"/>
              </w:rPr>
              <w:t>令停止施工，限期改正，处工程合同价款百分之一以上百分之二以下的罚款。</w:t>
            </w:r>
          </w:p>
          <w:p w14:paraId="252C106F">
            <w:pPr>
              <w:pStyle w:val="8"/>
              <w:spacing w:before="27" w:line="219" w:lineRule="auto"/>
              <w:ind w:left="474"/>
            </w:pPr>
            <w:r>
              <w:rPr>
                <w:b/>
                <w:bCs/>
                <w:spacing w:val="-2"/>
              </w:rPr>
              <w:t>3.《公路建设监督管理办法》（交通运输部令2021年第11号）</w:t>
            </w:r>
          </w:p>
          <w:p w14:paraId="72F846A6">
            <w:pPr>
              <w:pStyle w:val="8"/>
              <w:spacing w:before="27" w:line="232" w:lineRule="auto"/>
              <w:ind w:left="114" w:right="104" w:firstLine="357"/>
            </w:pPr>
            <w:r>
              <w:rPr>
                <w:spacing w:val="1"/>
              </w:rPr>
              <w:t xml:space="preserve">第十二条  公路建设项目法人应当依法选择勘察、设计、施工、咨询、监理单位，采购与工程建设有 </w:t>
            </w:r>
            <w:r>
              <w:rPr>
                <w:spacing w:val="-1"/>
              </w:rPr>
              <w:t>关的重要设备、材料，办理施工许可，组织项目实施，组织项目交工验收，准备项目竣工验收和后评价。</w:t>
            </w:r>
          </w:p>
          <w:p w14:paraId="162EB954">
            <w:pPr>
              <w:pStyle w:val="8"/>
              <w:spacing w:before="27" w:line="237" w:lineRule="auto"/>
              <w:ind w:left="110" w:right="104" w:firstLine="360"/>
            </w:pPr>
            <w:r>
              <w:rPr>
                <w:spacing w:val="1"/>
              </w:rPr>
              <w:t>第三十八条  违反本办法第十二条规定，项</w:t>
            </w:r>
            <w:r>
              <w:t xml:space="preserve">目法人将工程发包给不具有相应资质等级的勘察、设计、 </w:t>
            </w:r>
            <w:r>
              <w:rPr>
                <w:spacing w:val="-1"/>
              </w:rPr>
              <w:t>施工和监理单位的，责令改正，处50万元以上100万元以下的罚款；未按规定办理施工许可擅自施工的，责</w:t>
            </w:r>
            <w:r>
              <w:rPr>
                <w:spacing w:val="6"/>
              </w:rPr>
              <w:t xml:space="preserve"> </w:t>
            </w:r>
            <w:r>
              <w:rPr>
                <w:spacing w:val="-1"/>
              </w:rPr>
              <w:t>令停止施工、限期改正，视情节可处工程合同价款1%以上2%以下罚款。</w:t>
            </w:r>
          </w:p>
        </w:tc>
        <w:tc>
          <w:tcPr>
            <w:tcW w:w="1014" w:type="dxa"/>
            <w:vAlign w:val="top"/>
          </w:tcPr>
          <w:p w14:paraId="3784EC5F">
            <w:pPr>
              <w:spacing w:line="245" w:lineRule="auto"/>
              <w:rPr>
                <w:rFonts w:ascii="Arial"/>
                <w:sz w:val="21"/>
              </w:rPr>
            </w:pPr>
          </w:p>
          <w:p w14:paraId="3611E07C">
            <w:pPr>
              <w:spacing w:line="245" w:lineRule="auto"/>
              <w:rPr>
                <w:rFonts w:ascii="Arial"/>
                <w:sz w:val="21"/>
              </w:rPr>
            </w:pPr>
          </w:p>
          <w:p w14:paraId="7BADE69F">
            <w:pPr>
              <w:spacing w:line="245" w:lineRule="auto"/>
              <w:rPr>
                <w:rFonts w:ascii="Arial"/>
                <w:sz w:val="21"/>
              </w:rPr>
            </w:pPr>
          </w:p>
          <w:p w14:paraId="0ED78C03">
            <w:pPr>
              <w:spacing w:line="245" w:lineRule="auto"/>
              <w:rPr>
                <w:rFonts w:ascii="Arial"/>
                <w:sz w:val="21"/>
              </w:rPr>
            </w:pPr>
          </w:p>
          <w:p w14:paraId="67AC239F">
            <w:pPr>
              <w:spacing w:line="245" w:lineRule="auto"/>
              <w:rPr>
                <w:rFonts w:ascii="Arial"/>
                <w:sz w:val="21"/>
              </w:rPr>
            </w:pPr>
          </w:p>
          <w:p w14:paraId="5FC4BC72">
            <w:pPr>
              <w:spacing w:line="245" w:lineRule="auto"/>
              <w:rPr>
                <w:rFonts w:ascii="Arial"/>
                <w:sz w:val="21"/>
              </w:rPr>
            </w:pPr>
          </w:p>
          <w:p w14:paraId="4B54A6D8">
            <w:pPr>
              <w:spacing w:line="245" w:lineRule="auto"/>
              <w:rPr>
                <w:rFonts w:ascii="Arial"/>
                <w:sz w:val="21"/>
              </w:rPr>
            </w:pPr>
          </w:p>
          <w:p w14:paraId="335586BC">
            <w:pPr>
              <w:spacing w:line="245" w:lineRule="auto"/>
              <w:rPr>
                <w:rFonts w:ascii="Arial"/>
                <w:sz w:val="21"/>
              </w:rPr>
            </w:pPr>
          </w:p>
          <w:p w14:paraId="2A768769">
            <w:pPr>
              <w:spacing w:line="245" w:lineRule="auto"/>
              <w:rPr>
                <w:rFonts w:ascii="Arial"/>
                <w:sz w:val="21"/>
              </w:rPr>
            </w:pPr>
          </w:p>
          <w:p w14:paraId="52BB317C">
            <w:pPr>
              <w:spacing w:line="246" w:lineRule="auto"/>
              <w:rPr>
                <w:rFonts w:ascii="Arial"/>
                <w:sz w:val="21"/>
              </w:rPr>
            </w:pPr>
          </w:p>
          <w:p w14:paraId="743A5B28">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1C6C1599">
            <w:pPr>
              <w:spacing w:line="245" w:lineRule="auto"/>
              <w:rPr>
                <w:rFonts w:ascii="Arial"/>
                <w:sz w:val="21"/>
              </w:rPr>
            </w:pPr>
          </w:p>
          <w:p w14:paraId="1FA14769">
            <w:pPr>
              <w:spacing w:line="245" w:lineRule="auto"/>
              <w:rPr>
                <w:rFonts w:ascii="Arial"/>
                <w:sz w:val="21"/>
              </w:rPr>
            </w:pPr>
          </w:p>
          <w:p w14:paraId="7A4C2318">
            <w:pPr>
              <w:spacing w:line="245" w:lineRule="auto"/>
              <w:rPr>
                <w:rFonts w:ascii="Arial"/>
                <w:sz w:val="21"/>
              </w:rPr>
            </w:pPr>
          </w:p>
          <w:p w14:paraId="71241573">
            <w:pPr>
              <w:spacing w:line="245" w:lineRule="auto"/>
              <w:rPr>
                <w:rFonts w:ascii="Arial"/>
                <w:sz w:val="21"/>
              </w:rPr>
            </w:pPr>
          </w:p>
          <w:p w14:paraId="64793F92">
            <w:pPr>
              <w:spacing w:line="245" w:lineRule="auto"/>
              <w:rPr>
                <w:rFonts w:ascii="Arial"/>
                <w:sz w:val="21"/>
              </w:rPr>
            </w:pPr>
          </w:p>
          <w:p w14:paraId="0B42BC2F">
            <w:pPr>
              <w:spacing w:line="245" w:lineRule="auto"/>
              <w:rPr>
                <w:rFonts w:ascii="Arial"/>
                <w:sz w:val="21"/>
              </w:rPr>
            </w:pPr>
          </w:p>
          <w:p w14:paraId="2267E64B">
            <w:pPr>
              <w:spacing w:line="245" w:lineRule="auto"/>
              <w:rPr>
                <w:rFonts w:ascii="Arial"/>
                <w:sz w:val="21"/>
              </w:rPr>
            </w:pPr>
          </w:p>
          <w:p w14:paraId="7BD68C98">
            <w:pPr>
              <w:spacing w:line="245" w:lineRule="auto"/>
              <w:rPr>
                <w:rFonts w:ascii="Arial"/>
                <w:sz w:val="21"/>
              </w:rPr>
            </w:pPr>
          </w:p>
          <w:p w14:paraId="5F8DD54E">
            <w:pPr>
              <w:spacing w:line="245" w:lineRule="auto"/>
              <w:rPr>
                <w:rFonts w:ascii="Arial"/>
                <w:sz w:val="21"/>
              </w:rPr>
            </w:pPr>
          </w:p>
          <w:p w14:paraId="5E7C52E6">
            <w:pPr>
              <w:spacing w:line="246" w:lineRule="auto"/>
              <w:rPr>
                <w:rFonts w:ascii="Arial"/>
                <w:sz w:val="21"/>
              </w:rPr>
            </w:pPr>
          </w:p>
          <w:p w14:paraId="6AAD5F8D">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337D2BC">
            <w:pPr>
              <w:spacing w:line="259" w:lineRule="auto"/>
              <w:rPr>
                <w:rFonts w:ascii="Arial"/>
                <w:sz w:val="21"/>
              </w:rPr>
            </w:pPr>
          </w:p>
          <w:p w14:paraId="37EF6B16">
            <w:pPr>
              <w:spacing w:line="259" w:lineRule="auto"/>
              <w:rPr>
                <w:rFonts w:ascii="Arial"/>
                <w:sz w:val="21"/>
              </w:rPr>
            </w:pPr>
          </w:p>
          <w:p w14:paraId="422D6A53">
            <w:pPr>
              <w:spacing w:line="259" w:lineRule="auto"/>
              <w:rPr>
                <w:rFonts w:ascii="Arial"/>
                <w:sz w:val="21"/>
              </w:rPr>
            </w:pPr>
          </w:p>
          <w:p w14:paraId="4B1C0DCB">
            <w:pPr>
              <w:spacing w:line="259" w:lineRule="auto"/>
              <w:rPr>
                <w:rFonts w:ascii="Arial"/>
                <w:sz w:val="21"/>
              </w:rPr>
            </w:pPr>
          </w:p>
          <w:p w14:paraId="522C79B1">
            <w:pPr>
              <w:spacing w:line="259" w:lineRule="auto"/>
              <w:rPr>
                <w:rFonts w:ascii="Arial"/>
                <w:sz w:val="21"/>
              </w:rPr>
            </w:pPr>
          </w:p>
          <w:p w14:paraId="2C68F7F0">
            <w:pPr>
              <w:spacing w:line="259" w:lineRule="auto"/>
              <w:rPr>
                <w:rFonts w:ascii="Arial"/>
                <w:sz w:val="21"/>
              </w:rPr>
            </w:pPr>
          </w:p>
          <w:p w14:paraId="409A33F8">
            <w:pPr>
              <w:spacing w:line="259" w:lineRule="auto"/>
              <w:rPr>
                <w:rFonts w:ascii="Arial"/>
                <w:sz w:val="21"/>
              </w:rPr>
            </w:pPr>
          </w:p>
          <w:p w14:paraId="5D0A7683">
            <w:pPr>
              <w:spacing w:line="259" w:lineRule="auto"/>
              <w:rPr>
                <w:rFonts w:ascii="Arial"/>
                <w:sz w:val="21"/>
              </w:rPr>
            </w:pPr>
          </w:p>
          <w:p w14:paraId="1A9FFE11">
            <w:pPr>
              <w:spacing w:line="260" w:lineRule="auto"/>
              <w:rPr>
                <w:rFonts w:ascii="Arial"/>
                <w:sz w:val="21"/>
              </w:rPr>
            </w:pPr>
          </w:p>
          <w:p w14:paraId="0438DAE7">
            <w:pPr>
              <w:pStyle w:val="8"/>
              <w:spacing w:before="58" w:line="237" w:lineRule="auto"/>
              <w:ind w:left="83" w:right="68" w:firstLine="21"/>
              <w:jc w:val="both"/>
              <w:rPr>
                <w:rFonts w:hint="eastAsia" w:eastAsia="宋体"/>
                <w:lang w:eastAsia="zh-CN"/>
              </w:rPr>
            </w:pPr>
            <w:r>
              <w:rPr>
                <w:rFonts w:hint="eastAsia"/>
                <w:spacing w:val="-13"/>
                <w:lang w:eastAsia="zh-CN"/>
              </w:rPr>
              <w:t>津市市交通运输综合行政执法大队</w:t>
            </w:r>
          </w:p>
        </w:tc>
      </w:tr>
      <w:tr w14:paraId="18021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6" w:hRule="atLeast"/>
        </w:trPr>
        <w:tc>
          <w:tcPr>
            <w:tcW w:w="624" w:type="dxa"/>
            <w:vAlign w:val="top"/>
          </w:tcPr>
          <w:p w14:paraId="77A8CEF1">
            <w:pPr>
              <w:spacing w:line="241" w:lineRule="auto"/>
              <w:rPr>
                <w:rFonts w:ascii="Arial"/>
                <w:sz w:val="21"/>
              </w:rPr>
            </w:pPr>
          </w:p>
          <w:p w14:paraId="0CD97FFF">
            <w:pPr>
              <w:spacing w:line="241" w:lineRule="auto"/>
              <w:rPr>
                <w:rFonts w:ascii="Arial"/>
                <w:sz w:val="21"/>
              </w:rPr>
            </w:pPr>
          </w:p>
          <w:p w14:paraId="6564BAE6">
            <w:pPr>
              <w:spacing w:line="241" w:lineRule="auto"/>
              <w:rPr>
                <w:rFonts w:ascii="Arial"/>
                <w:sz w:val="21"/>
              </w:rPr>
            </w:pPr>
          </w:p>
          <w:p w14:paraId="123D3DF1">
            <w:pPr>
              <w:spacing w:line="241" w:lineRule="auto"/>
              <w:rPr>
                <w:rFonts w:ascii="Arial"/>
                <w:sz w:val="21"/>
              </w:rPr>
            </w:pPr>
          </w:p>
          <w:p w14:paraId="5D103F38">
            <w:pPr>
              <w:spacing w:line="241" w:lineRule="auto"/>
              <w:rPr>
                <w:rFonts w:ascii="Arial"/>
                <w:sz w:val="21"/>
              </w:rPr>
            </w:pPr>
          </w:p>
          <w:p w14:paraId="2241D1FA">
            <w:pPr>
              <w:pStyle w:val="8"/>
              <w:spacing w:before="58" w:line="183" w:lineRule="auto"/>
              <w:ind w:left="276"/>
            </w:pPr>
            <w:r>
              <w:t>2</w:t>
            </w:r>
          </w:p>
        </w:tc>
        <w:tc>
          <w:tcPr>
            <w:tcW w:w="1104" w:type="dxa"/>
            <w:vAlign w:val="top"/>
          </w:tcPr>
          <w:p w14:paraId="638B52ED">
            <w:pPr>
              <w:spacing w:line="350" w:lineRule="auto"/>
              <w:rPr>
                <w:rFonts w:ascii="Arial"/>
                <w:sz w:val="21"/>
              </w:rPr>
            </w:pPr>
          </w:p>
          <w:p w14:paraId="62016E3F">
            <w:pPr>
              <w:spacing w:line="350" w:lineRule="auto"/>
              <w:rPr>
                <w:rFonts w:ascii="Arial"/>
                <w:sz w:val="21"/>
              </w:rPr>
            </w:pPr>
          </w:p>
          <w:p w14:paraId="23F42541">
            <w:pPr>
              <w:pStyle w:val="8"/>
              <w:spacing w:before="59" w:line="241" w:lineRule="auto"/>
              <w:ind w:left="60" w:right="56"/>
              <w:jc w:val="both"/>
            </w:pPr>
            <w:r>
              <w:rPr>
                <w:spacing w:val="4"/>
              </w:rPr>
              <w:t>对擅</w:t>
            </w:r>
            <w:r>
              <w:rPr>
                <w:spacing w:val="-29"/>
              </w:rPr>
              <w:t xml:space="preserve"> </w:t>
            </w:r>
            <w:r>
              <w:rPr>
                <w:spacing w:val="4"/>
              </w:rPr>
              <w:t>自进行</w:t>
            </w:r>
            <w:r>
              <w:t xml:space="preserve"> </w:t>
            </w:r>
            <w:r>
              <w:rPr>
                <w:spacing w:val="16"/>
              </w:rPr>
              <w:t>港口设施建</w:t>
            </w:r>
            <w:r>
              <w:rPr>
                <w:spacing w:val="1"/>
              </w:rPr>
              <w:t xml:space="preserve"> </w:t>
            </w:r>
            <w:r>
              <w:rPr>
                <w:spacing w:val="3"/>
              </w:rPr>
              <w:t>设项</w:t>
            </w:r>
            <w:r>
              <w:rPr>
                <w:spacing w:val="-24"/>
              </w:rPr>
              <w:t xml:space="preserve"> </w:t>
            </w:r>
            <w:r>
              <w:rPr>
                <w:spacing w:val="3"/>
              </w:rPr>
              <w:t>目施工</w:t>
            </w:r>
            <w:r>
              <w:t xml:space="preserve"> </w:t>
            </w:r>
            <w:r>
              <w:rPr>
                <w:spacing w:val="16"/>
              </w:rPr>
              <w:t>等行为的行</w:t>
            </w:r>
            <w:r>
              <w:rPr>
                <w:spacing w:val="1"/>
              </w:rPr>
              <w:t xml:space="preserve"> </w:t>
            </w:r>
            <w:r>
              <w:rPr>
                <w:spacing w:val="-2"/>
              </w:rPr>
              <w:t>政处罚</w:t>
            </w:r>
          </w:p>
        </w:tc>
        <w:tc>
          <w:tcPr>
            <w:tcW w:w="1104" w:type="dxa"/>
            <w:vAlign w:val="top"/>
          </w:tcPr>
          <w:p w14:paraId="51FA45C3">
            <w:pPr>
              <w:spacing w:line="294" w:lineRule="auto"/>
              <w:rPr>
                <w:rFonts w:ascii="Arial"/>
                <w:sz w:val="21"/>
              </w:rPr>
            </w:pPr>
          </w:p>
          <w:p w14:paraId="4A066055">
            <w:pPr>
              <w:spacing w:line="294" w:lineRule="auto"/>
              <w:rPr>
                <w:rFonts w:ascii="Arial"/>
                <w:sz w:val="21"/>
              </w:rPr>
            </w:pPr>
          </w:p>
          <w:p w14:paraId="5197ADA9">
            <w:pPr>
              <w:spacing w:line="294" w:lineRule="auto"/>
              <w:rPr>
                <w:rFonts w:ascii="Arial"/>
                <w:sz w:val="21"/>
              </w:rPr>
            </w:pPr>
          </w:p>
          <w:p w14:paraId="0375CBF4">
            <w:pPr>
              <w:spacing w:line="295" w:lineRule="auto"/>
              <w:rPr>
                <w:rFonts w:ascii="Arial"/>
                <w:sz w:val="21"/>
              </w:rPr>
            </w:pPr>
          </w:p>
          <w:p w14:paraId="5016CA2B">
            <w:pPr>
              <w:pStyle w:val="8"/>
              <w:spacing w:before="58" w:line="220" w:lineRule="auto"/>
              <w:ind w:left="10"/>
            </w:pPr>
            <w:r>
              <w:rPr>
                <w:spacing w:val="-2"/>
              </w:rPr>
              <w:t>行政处罚</w:t>
            </w:r>
          </w:p>
        </w:tc>
        <w:tc>
          <w:tcPr>
            <w:tcW w:w="8549" w:type="dxa"/>
            <w:vAlign w:val="top"/>
          </w:tcPr>
          <w:p w14:paraId="62C58F09">
            <w:pPr>
              <w:pStyle w:val="8"/>
              <w:spacing w:before="43" w:line="219" w:lineRule="auto"/>
              <w:ind w:left="484"/>
            </w:pPr>
            <w:r>
              <w:rPr>
                <w:b/>
                <w:bCs/>
                <w:spacing w:val="-4"/>
              </w:rPr>
              <w:t>1.《建设工程质量管理条例》</w:t>
            </w:r>
          </w:p>
          <w:p w14:paraId="4A5BB70C">
            <w:pPr>
              <w:pStyle w:val="8"/>
              <w:spacing w:before="26" w:line="219" w:lineRule="auto"/>
              <w:ind w:left="471"/>
            </w:pPr>
            <w:r>
              <w:rPr>
                <w:spacing w:val="-1"/>
              </w:rPr>
              <w:t>第七条第一款  建设单位应当将工程发包给具有相应资质</w:t>
            </w:r>
            <w:r>
              <w:rPr>
                <w:spacing w:val="-2"/>
              </w:rPr>
              <w:t>等级的单位。</w:t>
            </w:r>
          </w:p>
          <w:p w14:paraId="55192D45">
            <w:pPr>
              <w:pStyle w:val="8"/>
              <w:spacing w:before="24" w:line="238" w:lineRule="auto"/>
              <w:ind w:left="113" w:right="159" w:firstLine="357"/>
            </w:pPr>
            <w:r>
              <w:t>第十二条第一款  实行监理的建设工程，建设单位应当委托具有相应资质等级的</w:t>
            </w:r>
            <w:r>
              <w:rPr>
                <w:spacing w:val="-1"/>
              </w:rPr>
              <w:t>工程监理单位进行监</w:t>
            </w:r>
            <w:r>
              <w:t xml:space="preserve"> 理，也可以委托具有工程监理相应资质等级并与被监理工程的施工承包单位没有</w:t>
            </w:r>
            <w:r>
              <w:rPr>
                <w:spacing w:val="-1"/>
              </w:rPr>
              <w:t>隶属关系或者其他利害关</w:t>
            </w:r>
            <w:r>
              <w:t xml:space="preserve"> </w:t>
            </w:r>
            <w:r>
              <w:rPr>
                <w:spacing w:val="-3"/>
              </w:rPr>
              <w:t>系的该工程的设计单位进行监理。</w:t>
            </w:r>
          </w:p>
          <w:p w14:paraId="5453F629">
            <w:pPr>
              <w:pStyle w:val="8"/>
              <w:spacing w:before="25" w:line="232" w:lineRule="auto"/>
              <w:ind w:left="131" w:right="159" w:firstLine="339"/>
            </w:pPr>
            <w:r>
              <w:t>第十三条  建设单位在开工前，应当按照国家有关规定办理工程质量监督手续，</w:t>
            </w:r>
            <w:r>
              <w:rPr>
                <w:spacing w:val="-1"/>
              </w:rPr>
              <w:t>工程质量监督手续可</w:t>
            </w:r>
            <w:r>
              <w:t xml:space="preserve"> </w:t>
            </w:r>
            <w:r>
              <w:rPr>
                <w:spacing w:val="-3"/>
              </w:rPr>
              <w:t>以与施工许可证或者开工报告合并办理。</w:t>
            </w:r>
          </w:p>
          <w:p w14:paraId="5D01F2DE">
            <w:pPr>
              <w:pStyle w:val="8"/>
              <w:spacing w:before="26" w:line="233" w:lineRule="auto"/>
              <w:ind w:left="112" w:right="159" w:firstLine="358"/>
            </w:pPr>
            <w:r>
              <w:t>第五十四条  违反本条例规定，建设单位将建设工程发包给不具有相应资质等级</w:t>
            </w:r>
            <w:r>
              <w:rPr>
                <w:spacing w:val="-1"/>
              </w:rPr>
              <w:t>的勘察、设计、施工</w:t>
            </w:r>
            <w:r>
              <w:t xml:space="preserve"> </w:t>
            </w:r>
            <w:r>
              <w:rPr>
                <w:spacing w:val="-1"/>
              </w:rPr>
              <w:t>单位或者委托给不具有相应资质等级的工程监理单位的，责令改正，处50万元以上100万元以下的罚款。</w:t>
            </w:r>
          </w:p>
          <w:p w14:paraId="607032BD">
            <w:pPr>
              <w:pStyle w:val="8"/>
              <w:spacing w:before="27" w:line="222" w:lineRule="auto"/>
              <w:ind w:left="111" w:right="159" w:firstLine="359"/>
            </w:pPr>
            <w:r>
              <w:t>第五十七条  违反本条例规定，建设单位未取得施工许可证或者开工报告未经批</w:t>
            </w:r>
            <w:r>
              <w:rPr>
                <w:spacing w:val="-1"/>
              </w:rPr>
              <w:t>准，擅自施工的，责</w:t>
            </w:r>
            <w:r>
              <w:t xml:space="preserve"> </w:t>
            </w:r>
            <w:r>
              <w:rPr>
                <w:spacing w:val="-1"/>
              </w:rPr>
              <w:t>令停止施工，限期改正，处工程合同价款百分之一以上百分之二以下的罚款。</w:t>
            </w:r>
          </w:p>
        </w:tc>
        <w:tc>
          <w:tcPr>
            <w:tcW w:w="1014" w:type="dxa"/>
            <w:vAlign w:val="top"/>
          </w:tcPr>
          <w:p w14:paraId="3168F7AF">
            <w:pPr>
              <w:spacing w:line="264" w:lineRule="auto"/>
              <w:rPr>
                <w:rFonts w:ascii="Arial"/>
                <w:sz w:val="21"/>
              </w:rPr>
            </w:pPr>
          </w:p>
          <w:p w14:paraId="06FD2D25">
            <w:pPr>
              <w:spacing w:line="264" w:lineRule="auto"/>
              <w:rPr>
                <w:rFonts w:ascii="Arial"/>
                <w:sz w:val="21"/>
              </w:rPr>
            </w:pPr>
          </w:p>
          <w:p w14:paraId="04F47D4E">
            <w:pPr>
              <w:spacing w:line="264" w:lineRule="auto"/>
              <w:rPr>
                <w:rFonts w:ascii="Arial"/>
                <w:sz w:val="21"/>
              </w:rPr>
            </w:pPr>
          </w:p>
          <w:p w14:paraId="591F5DE2">
            <w:pPr>
              <w:spacing w:line="265" w:lineRule="auto"/>
              <w:rPr>
                <w:rFonts w:ascii="Arial"/>
                <w:sz w:val="21"/>
              </w:rPr>
            </w:pPr>
          </w:p>
          <w:p w14:paraId="67ABA0CD">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912F43D">
            <w:pPr>
              <w:spacing w:line="264" w:lineRule="auto"/>
              <w:rPr>
                <w:rFonts w:ascii="Arial"/>
                <w:sz w:val="21"/>
              </w:rPr>
            </w:pPr>
          </w:p>
          <w:p w14:paraId="34C3B373">
            <w:pPr>
              <w:spacing w:line="264" w:lineRule="auto"/>
              <w:rPr>
                <w:rFonts w:ascii="Arial"/>
                <w:sz w:val="21"/>
              </w:rPr>
            </w:pPr>
          </w:p>
          <w:p w14:paraId="7FAAC067">
            <w:pPr>
              <w:spacing w:line="264" w:lineRule="auto"/>
              <w:rPr>
                <w:rFonts w:ascii="Arial"/>
                <w:sz w:val="21"/>
              </w:rPr>
            </w:pPr>
          </w:p>
          <w:p w14:paraId="18D672CF">
            <w:pPr>
              <w:spacing w:line="265" w:lineRule="auto"/>
              <w:rPr>
                <w:rFonts w:ascii="Arial"/>
                <w:sz w:val="21"/>
              </w:rPr>
            </w:pPr>
          </w:p>
          <w:p w14:paraId="7DB7221E">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37752C72">
            <w:pPr>
              <w:spacing w:line="273" w:lineRule="auto"/>
              <w:rPr>
                <w:rFonts w:ascii="Arial"/>
                <w:sz w:val="21"/>
              </w:rPr>
            </w:pPr>
          </w:p>
          <w:p w14:paraId="0108B11A">
            <w:pPr>
              <w:spacing w:line="273" w:lineRule="auto"/>
              <w:rPr>
                <w:rFonts w:ascii="Arial"/>
                <w:sz w:val="21"/>
              </w:rPr>
            </w:pPr>
          </w:p>
          <w:p w14:paraId="0188BC6A">
            <w:pPr>
              <w:spacing w:line="274" w:lineRule="auto"/>
              <w:rPr>
                <w:rFonts w:ascii="Arial"/>
                <w:sz w:val="21"/>
              </w:rPr>
            </w:pPr>
          </w:p>
          <w:p w14:paraId="679D9A5C">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23992DE">
      <w:pPr>
        <w:sectPr>
          <w:footerReference r:id="rId76" w:type="default"/>
          <w:pgSz w:w="16839" w:h="11906"/>
          <w:pgMar w:top="1012" w:right="991" w:bottom="966" w:left="1021" w:header="0" w:footer="768" w:gutter="0"/>
          <w:cols w:space="720" w:num="1"/>
        </w:sectPr>
      </w:pPr>
    </w:p>
    <w:p w14:paraId="4CB489CB">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7C56E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376FB747">
            <w:pPr>
              <w:pStyle w:val="8"/>
              <w:spacing w:before="267" w:line="221" w:lineRule="auto"/>
              <w:ind w:left="134"/>
            </w:pPr>
            <w:r>
              <w:rPr>
                <w:b/>
                <w:bCs/>
                <w:spacing w:val="-4"/>
              </w:rPr>
              <w:t>序号</w:t>
            </w:r>
          </w:p>
        </w:tc>
        <w:tc>
          <w:tcPr>
            <w:tcW w:w="1104" w:type="dxa"/>
            <w:vMerge w:val="restart"/>
            <w:tcBorders>
              <w:bottom w:val="nil"/>
            </w:tcBorders>
            <w:vAlign w:val="top"/>
          </w:tcPr>
          <w:p w14:paraId="7C5FDA8C">
            <w:pPr>
              <w:pStyle w:val="8"/>
              <w:spacing w:before="260" w:line="220" w:lineRule="auto"/>
              <w:ind w:left="192"/>
            </w:pPr>
            <w:r>
              <w:rPr>
                <w:b/>
                <w:bCs/>
                <w:spacing w:val="-4"/>
              </w:rPr>
              <w:t>事项名称</w:t>
            </w:r>
          </w:p>
        </w:tc>
        <w:tc>
          <w:tcPr>
            <w:tcW w:w="1104" w:type="dxa"/>
            <w:vMerge w:val="restart"/>
            <w:tcBorders>
              <w:bottom w:val="nil"/>
            </w:tcBorders>
            <w:vAlign w:val="top"/>
          </w:tcPr>
          <w:p w14:paraId="2E2D4265">
            <w:pPr>
              <w:pStyle w:val="8"/>
              <w:spacing w:before="260" w:line="219" w:lineRule="auto"/>
              <w:ind w:left="193"/>
            </w:pPr>
            <w:r>
              <w:rPr>
                <w:b/>
                <w:bCs/>
                <w:spacing w:val="-4"/>
              </w:rPr>
              <w:t>职权类型</w:t>
            </w:r>
          </w:p>
        </w:tc>
        <w:tc>
          <w:tcPr>
            <w:tcW w:w="8549" w:type="dxa"/>
            <w:vMerge w:val="restart"/>
            <w:tcBorders>
              <w:bottom w:val="nil"/>
            </w:tcBorders>
            <w:vAlign w:val="top"/>
          </w:tcPr>
          <w:p w14:paraId="167ECAA0">
            <w:pPr>
              <w:pStyle w:val="8"/>
              <w:spacing w:before="259" w:line="219" w:lineRule="auto"/>
              <w:ind w:left="3921"/>
            </w:pPr>
            <w:r>
              <w:rPr>
                <w:b/>
                <w:bCs/>
                <w:spacing w:val="-5"/>
              </w:rPr>
              <w:t>实施依据</w:t>
            </w:r>
          </w:p>
        </w:tc>
        <w:tc>
          <w:tcPr>
            <w:tcW w:w="3439" w:type="dxa"/>
            <w:gridSpan w:val="3"/>
            <w:vAlign w:val="top"/>
          </w:tcPr>
          <w:p w14:paraId="46AC8D64">
            <w:pPr>
              <w:pStyle w:val="8"/>
              <w:spacing w:before="85" w:line="220" w:lineRule="auto"/>
              <w:ind w:left="1365"/>
            </w:pPr>
            <w:r>
              <w:rPr>
                <w:b/>
                <w:bCs/>
                <w:spacing w:val="-5"/>
              </w:rPr>
              <w:t>实施主体</w:t>
            </w:r>
          </w:p>
        </w:tc>
      </w:tr>
      <w:tr w14:paraId="4ED44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CAE9AF2">
            <w:pPr>
              <w:rPr>
                <w:rFonts w:ascii="Arial"/>
                <w:sz w:val="21"/>
              </w:rPr>
            </w:pPr>
          </w:p>
        </w:tc>
        <w:tc>
          <w:tcPr>
            <w:tcW w:w="1104" w:type="dxa"/>
            <w:vMerge w:val="continue"/>
            <w:tcBorders>
              <w:top w:val="nil"/>
            </w:tcBorders>
            <w:vAlign w:val="top"/>
          </w:tcPr>
          <w:p w14:paraId="4B08A16A">
            <w:pPr>
              <w:rPr>
                <w:rFonts w:ascii="Arial"/>
                <w:sz w:val="21"/>
              </w:rPr>
            </w:pPr>
          </w:p>
        </w:tc>
        <w:tc>
          <w:tcPr>
            <w:tcW w:w="1104" w:type="dxa"/>
            <w:vMerge w:val="continue"/>
            <w:tcBorders>
              <w:top w:val="nil"/>
            </w:tcBorders>
            <w:vAlign w:val="top"/>
          </w:tcPr>
          <w:p w14:paraId="1BFEC2CD">
            <w:pPr>
              <w:rPr>
                <w:rFonts w:ascii="Arial"/>
                <w:sz w:val="21"/>
              </w:rPr>
            </w:pPr>
          </w:p>
        </w:tc>
        <w:tc>
          <w:tcPr>
            <w:tcW w:w="8549" w:type="dxa"/>
            <w:vMerge w:val="continue"/>
            <w:tcBorders>
              <w:top w:val="nil"/>
            </w:tcBorders>
            <w:vAlign w:val="top"/>
          </w:tcPr>
          <w:p w14:paraId="117DA09E">
            <w:pPr>
              <w:rPr>
                <w:rFonts w:ascii="Arial"/>
                <w:sz w:val="21"/>
              </w:rPr>
            </w:pPr>
          </w:p>
        </w:tc>
        <w:tc>
          <w:tcPr>
            <w:tcW w:w="1014" w:type="dxa"/>
            <w:vAlign w:val="top"/>
          </w:tcPr>
          <w:p w14:paraId="53A6D1BB">
            <w:pPr>
              <w:pStyle w:val="8"/>
              <w:spacing w:before="81" w:line="219" w:lineRule="auto"/>
              <w:ind w:left="158"/>
            </w:pPr>
            <w:r>
              <w:rPr>
                <w:b/>
                <w:bCs/>
                <w:spacing w:val="-5"/>
              </w:rPr>
              <w:t>责任部门</w:t>
            </w:r>
          </w:p>
        </w:tc>
        <w:tc>
          <w:tcPr>
            <w:tcW w:w="1407" w:type="dxa"/>
            <w:vAlign w:val="top"/>
          </w:tcPr>
          <w:p w14:paraId="63E8F2D5">
            <w:pPr>
              <w:pStyle w:val="8"/>
              <w:spacing w:before="81" w:line="219" w:lineRule="auto"/>
              <w:ind w:left="167"/>
            </w:pPr>
            <w:r>
              <w:rPr>
                <w:b/>
                <w:bCs/>
                <w:spacing w:val="-3"/>
              </w:rPr>
              <w:t>第一责任层级</w:t>
            </w:r>
          </w:p>
        </w:tc>
        <w:tc>
          <w:tcPr>
            <w:tcW w:w="1018" w:type="dxa"/>
            <w:vAlign w:val="top"/>
          </w:tcPr>
          <w:p w14:paraId="60182EE3">
            <w:pPr>
              <w:pStyle w:val="8"/>
              <w:spacing w:before="81" w:line="219" w:lineRule="auto"/>
              <w:ind w:left="152"/>
            </w:pPr>
            <w:r>
              <w:rPr>
                <w:b/>
                <w:bCs/>
                <w:spacing w:val="-4"/>
              </w:rPr>
              <w:t>承办机构</w:t>
            </w:r>
          </w:p>
        </w:tc>
      </w:tr>
      <w:tr w14:paraId="138D0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624" w:type="dxa"/>
            <w:vAlign w:val="top"/>
          </w:tcPr>
          <w:p w14:paraId="7CEF39DF">
            <w:pPr>
              <w:rPr>
                <w:rFonts w:ascii="Arial"/>
                <w:sz w:val="21"/>
              </w:rPr>
            </w:pPr>
          </w:p>
        </w:tc>
        <w:tc>
          <w:tcPr>
            <w:tcW w:w="1104" w:type="dxa"/>
            <w:vAlign w:val="top"/>
          </w:tcPr>
          <w:p w14:paraId="7BF48EFA">
            <w:pPr>
              <w:rPr>
                <w:rFonts w:ascii="Arial"/>
                <w:sz w:val="21"/>
              </w:rPr>
            </w:pPr>
          </w:p>
        </w:tc>
        <w:tc>
          <w:tcPr>
            <w:tcW w:w="1104" w:type="dxa"/>
            <w:vAlign w:val="top"/>
          </w:tcPr>
          <w:p w14:paraId="596782E2">
            <w:pPr>
              <w:rPr>
                <w:rFonts w:ascii="Arial"/>
                <w:sz w:val="21"/>
              </w:rPr>
            </w:pPr>
          </w:p>
        </w:tc>
        <w:tc>
          <w:tcPr>
            <w:tcW w:w="8549" w:type="dxa"/>
            <w:vAlign w:val="top"/>
          </w:tcPr>
          <w:p w14:paraId="119CE3F1">
            <w:pPr>
              <w:pStyle w:val="8"/>
              <w:spacing w:before="38" w:line="219" w:lineRule="auto"/>
              <w:ind w:left="473"/>
            </w:pPr>
            <w:r>
              <w:rPr>
                <w:b/>
                <w:bCs/>
                <w:spacing w:val="-2"/>
              </w:rPr>
              <w:t>2.《湖南省实施〈中华人民共和国港口法〉办法》</w:t>
            </w:r>
          </w:p>
          <w:p w14:paraId="5D8EBB1F">
            <w:pPr>
              <w:pStyle w:val="8"/>
              <w:spacing w:before="25" w:line="233" w:lineRule="auto"/>
              <w:ind w:left="131" w:right="159" w:firstLine="339"/>
            </w:pPr>
            <w:r>
              <w:t>第十五条  港口设施建设工程必须具备国务院交通行政主管部门规定的施工条件</w:t>
            </w:r>
            <w:r>
              <w:rPr>
                <w:spacing w:val="-1"/>
              </w:rPr>
              <w:t>，由建设单位向县级</w:t>
            </w:r>
            <w:r>
              <w:t xml:space="preserve"> </w:t>
            </w:r>
            <w:r>
              <w:rPr>
                <w:spacing w:val="-2"/>
              </w:rPr>
              <w:t>以上人民政府交通行政主管部门申请办理施工许可后，方可进行施工。</w:t>
            </w:r>
          </w:p>
          <w:p w14:paraId="3A2BF7B5">
            <w:pPr>
              <w:pStyle w:val="8"/>
              <w:spacing w:before="26" w:line="219" w:lineRule="auto"/>
              <w:ind w:left="474"/>
            </w:pPr>
            <w:r>
              <w:rPr>
                <w:b/>
                <w:bCs/>
                <w:spacing w:val="-2"/>
              </w:rPr>
              <w:t>3.《水运建设市场监督管理办法》（交通运输部令2016年第74号</w:t>
            </w:r>
          </w:p>
          <w:p w14:paraId="1F934D39">
            <w:pPr>
              <w:pStyle w:val="8"/>
              <w:spacing w:before="26" w:line="241" w:lineRule="auto"/>
              <w:ind w:left="110" w:right="30" w:firstLine="360"/>
              <w:jc w:val="both"/>
            </w:pPr>
            <w:r>
              <w:t>第三十六条  违反本办法规定，项目单位将工程发包给不具有相应资质等级的勘</w:t>
            </w:r>
            <w:r>
              <w:rPr>
                <w:spacing w:val="-1"/>
              </w:rPr>
              <w:t>察、设计、施工、工</w:t>
            </w:r>
            <w:r>
              <w:t xml:space="preserve">  </w:t>
            </w:r>
            <w:r>
              <w:rPr>
                <w:spacing w:val="-3"/>
              </w:rPr>
              <w:t>程监理单位的，依照《建设工程质量管理条例》第五十四条规定，责令改正</w:t>
            </w:r>
            <w:r>
              <w:rPr>
                <w:spacing w:val="-4"/>
              </w:rPr>
              <w:t>，按照以下标准处以罚款</w:t>
            </w:r>
            <w:r>
              <w:rPr>
                <w:spacing w:val="-44"/>
              </w:rPr>
              <w:t>：（</w:t>
            </w:r>
            <w:r>
              <w:rPr>
                <w:spacing w:val="-4"/>
              </w:rPr>
              <w:t>一）</w:t>
            </w:r>
            <w:r>
              <w:rPr>
                <w:spacing w:val="1"/>
              </w:rPr>
              <w:t xml:space="preserve"> </w:t>
            </w:r>
            <w:r>
              <w:t>项目单位选择超越资质等级的勘察、设计、施工、工程监理单位进行工程建设的，处50万</w:t>
            </w:r>
            <w:r>
              <w:rPr>
                <w:spacing w:val="-1"/>
              </w:rPr>
              <w:t>元以上80万元以</w:t>
            </w:r>
            <w:r>
              <w:t xml:space="preserve">  下的罚款；（二）项目单位选择无资质的勘察、设计、施工、工程监理单位进行工程建设</w:t>
            </w:r>
            <w:r>
              <w:rPr>
                <w:spacing w:val="-1"/>
              </w:rPr>
              <w:t>的，处80万元以</w:t>
            </w:r>
            <w:r>
              <w:t xml:space="preserve">  </w:t>
            </w:r>
            <w:r>
              <w:rPr>
                <w:spacing w:val="-3"/>
              </w:rPr>
              <w:t>上100万元以下的罚款。</w:t>
            </w:r>
          </w:p>
          <w:p w14:paraId="2727D9A0">
            <w:pPr>
              <w:pStyle w:val="8"/>
              <w:spacing w:before="24" w:line="237" w:lineRule="auto"/>
              <w:ind w:left="110" w:right="159" w:firstLine="360"/>
              <w:jc w:val="both"/>
            </w:pPr>
            <w:r>
              <w:t>第三十九条  违反国家关于基本建设程序相关规定，项目单位未取得施工许可证</w:t>
            </w:r>
            <w:r>
              <w:rPr>
                <w:spacing w:val="-1"/>
              </w:rPr>
              <w:t>或者开工报告未经批</w:t>
            </w:r>
            <w:r>
              <w:t xml:space="preserve"> 准，擅自施工的，依据《建设工程质量管理条例》第五十七条规定，责令停止施工，限</w:t>
            </w:r>
            <w:r>
              <w:rPr>
                <w:spacing w:val="-1"/>
              </w:rPr>
              <w:t>期改正，按照以下</w:t>
            </w:r>
            <w:r>
              <w:t xml:space="preserve"> 标准处以罚款</w:t>
            </w:r>
            <w:r>
              <w:rPr>
                <w:spacing w:val="-4"/>
              </w:rPr>
              <w:t>：（</w:t>
            </w:r>
            <w:r>
              <w:t>一）已通过项目审批、核准或者设计审批手续，但是未取得施工许</w:t>
            </w:r>
            <w:r>
              <w:rPr>
                <w:spacing w:val="-1"/>
              </w:rPr>
              <w:t>可证或者开工报告未</w:t>
            </w:r>
            <w:r>
              <w:t xml:space="preserve"> 经批准，擅自施工的，处工程合同价款1%以上1.5%以下的罚款；（二）未取得项目审批</w:t>
            </w:r>
            <w:r>
              <w:rPr>
                <w:spacing w:val="-1"/>
              </w:rPr>
              <w:t>、核准或者设计审</w:t>
            </w:r>
            <w:r>
              <w:t xml:space="preserve"> </w:t>
            </w:r>
            <w:r>
              <w:rPr>
                <w:spacing w:val="-1"/>
              </w:rPr>
              <w:t>批，擅自施工的，处工程合同价款1.5%以上2%以下的罚款。</w:t>
            </w:r>
          </w:p>
        </w:tc>
        <w:tc>
          <w:tcPr>
            <w:tcW w:w="1014" w:type="dxa"/>
            <w:vAlign w:val="top"/>
          </w:tcPr>
          <w:p w14:paraId="76396BAA">
            <w:pPr>
              <w:rPr>
                <w:rFonts w:ascii="Arial"/>
                <w:sz w:val="21"/>
              </w:rPr>
            </w:pPr>
          </w:p>
        </w:tc>
        <w:tc>
          <w:tcPr>
            <w:tcW w:w="1407" w:type="dxa"/>
            <w:vAlign w:val="top"/>
          </w:tcPr>
          <w:p w14:paraId="0FB52D5D">
            <w:pPr>
              <w:rPr>
                <w:rFonts w:ascii="Arial"/>
                <w:sz w:val="21"/>
              </w:rPr>
            </w:pPr>
          </w:p>
        </w:tc>
        <w:tc>
          <w:tcPr>
            <w:tcW w:w="1018" w:type="dxa"/>
            <w:vAlign w:val="top"/>
          </w:tcPr>
          <w:p w14:paraId="1FE71ED5">
            <w:pPr>
              <w:rPr>
                <w:rFonts w:ascii="Arial"/>
                <w:sz w:val="21"/>
              </w:rPr>
            </w:pPr>
          </w:p>
        </w:tc>
      </w:tr>
      <w:tr w14:paraId="5ECC8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5" w:hRule="atLeast"/>
        </w:trPr>
        <w:tc>
          <w:tcPr>
            <w:tcW w:w="624" w:type="dxa"/>
            <w:vAlign w:val="top"/>
          </w:tcPr>
          <w:p w14:paraId="5AD7CB2E">
            <w:pPr>
              <w:spacing w:line="262" w:lineRule="auto"/>
              <w:rPr>
                <w:rFonts w:ascii="Arial"/>
                <w:sz w:val="21"/>
              </w:rPr>
            </w:pPr>
          </w:p>
          <w:p w14:paraId="37641717">
            <w:pPr>
              <w:spacing w:line="262" w:lineRule="auto"/>
              <w:rPr>
                <w:rFonts w:ascii="Arial"/>
                <w:sz w:val="21"/>
              </w:rPr>
            </w:pPr>
          </w:p>
          <w:p w14:paraId="05C8B7A3">
            <w:pPr>
              <w:spacing w:line="262" w:lineRule="auto"/>
              <w:rPr>
                <w:rFonts w:ascii="Arial"/>
                <w:sz w:val="21"/>
              </w:rPr>
            </w:pPr>
          </w:p>
          <w:p w14:paraId="4C88D835">
            <w:pPr>
              <w:spacing w:line="262" w:lineRule="auto"/>
              <w:rPr>
                <w:rFonts w:ascii="Arial"/>
                <w:sz w:val="21"/>
              </w:rPr>
            </w:pPr>
          </w:p>
          <w:p w14:paraId="47769AAA">
            <w:pPr>
              <w:spacing w:line="262" w:lineRule="auto"/>
              <w:rPr>
                <w:rFonts w:ascii="Arial"/>
                <w:sz w:val="21"/>
              </w:rPr>
            </w:pPr>
          </w:p>
          <w:p w14:paraId="06D042AF">
            <w:pPr>
              <w:spacing w:line="262" w:lineRule="auto"/>
              <w:rPr>
                <w:rFonts w:ascii="Arial"/>
                <w:sz w:val="21"/>
              </w:rPr>
            </w:pPr>
          </w:p>
          <w:p w14:paraId="5CE5C590">
            <w:pPr>
              <w:spacing w:line="263" w:lineRule="auto"/>
              <w:rPr>
                <w:rFonts w:ascii="Arial"/>
                <w:sz w:val="21"/>
              </w:rPr>
            </w:pPr>
          </w:p>
          <w:p w14:paraId="322EC320">
            <w:pPr>
              <w:spacing w:line="263" w:lineRule="auto"/>
              <w:rPr>
                <w:rFonts w:ascii="Arial"/>
                <w:sz w:val="21"/>
              </w:rPr>
            </w:pPr>
          </w:p>
          <w:p w14:paraId="0DADC729">
            <w:pPr>
              <w:spacing w:line="263" w:lineRule="auto"/>
              <w:rPr>
                <w:rFonts w:ascii="Arial"/>
                <w:sz w:val="21"/>
              </w:rPr>
            </w:pPr>
          </w:p>
          <w:p w14:paraId="538FFA6A">
            <w:pPr>
              <w:spacing w:line="263" w:lineRule="auto"/>
              <w:rPr>
                <w:rFonts w:ascii="Arial"/>
                <w:sz w:val="21"/>
              </w:rPr>
            </w:pPr>
          </w:p>
          <w:p w14:paraId="25763C64">
            <w:pPr>
              <w:pStyle w:val="8"/>
              <w:spacing w:before="58" w:line="183" w:lineRule="auto"/>
              <w:ind w:left="278"/>
            </w:pPr>
            <w:r>
              <w:t>3</w:t>
            </w:r>
          </w:p>
        </w:tc>
        <w:tc>
          <w:tcPr>
            <w:tcW w:w="1104" w:type="dxa"/>
            <w:vAlign w:val="top"/>
          </w:tcPr>
          <w:p w14:paraId="24D50C71">
            <w:pPr>
              <w:spacing w:line="251" w:lineRule="auto"/>
              <w:rPr>
                <w:rFonts w:ascii="Arial"/>
                <w:sz w:val="21"/>
              </w:rPr>
            </w:pPr>
          </w:p>
          <w:p w14:paraId="2DD32A16">
            <w:pPr>
              <w:spacing w:line="251" w:lineRule="auto"/>
              <w:rPr>
                <w:rFonts w:ascii="Arial"/>
                <w:sz w:val="21"/>
              </w:rPr>
            </w:pPr>
          </w:p>
          <w:p w14:paraId="18992E11">
            <w:pPr>
              <w:spacing w:line="251" w:lineRule="auto"/>
              <w:rPr>
                <w:rFonts w:ascii="Arial"/>
                <w:sz w:val="21"/>
              </w:rPr>
            </w:pPr>
          </w:p>
          <w:p w14:paraId="23C5DEE9">
            <w:pPr>
              <w:spacing w:line="252" w:lineRule="auto"/>
              <w:rPr>
                <w:rFonts w:ascii="Arial"/>
                <w:sz w:val="21"/>
              </w:rPr>
            </w:pPr>
          </w:p>
          <w:p w14:paraId="2768E775">
            <w:pPr>
              <w:spacing w:line="252" w:lineRule="auto"/>
              <w:rPr>
                <w:rFonts w:ascii="Arial"/>
                <w:sz w:val="21"/>
              </w:rPr>
            </w:pPr>
          </w:p>
          <w:p w14:paraId="66E3E0F2">
            <w:pPr>
              <w:spacing w:line="252" w:lineRule="auto"/>
              <w:rPr>
                <w:rFonts w:ascii="Arial"/>
                <w:sz w:val="21"/>
              </w:rPr>
            </w:pPr>
          </w:p>
          <w:p w14:paraId="46AA145C">
            <w:pPr>
              <w:spacing w:line="252" w:lineRule="auto"/>
              <w:rPr>
                <w:rFonts w:ascii="Arial"/>
                <w:sz w:val="21"/>
              </w:rPr>
            </w:pPr>
          </w:p>
          <w:p w14:paraId="2A21E013">
            <w:pPr>
              <w:pStyle w:val="8"/>
              <w:spacing w:before="58" w:line="242" w:lineRule="auto"/>
              <w:ind w:left="60" w:right="56"/>
              <w:jc w:val="both"/>
            </w:pPr>
            <w:r>
              <w:rPr>
                <w:spacing w:val="16"/>
              </w:rPr>
              <w:t>对公路工程</w:t>
            </w:r>
            <w:r>
              <w:rPr>
                <w:spacing w:val="1"/>
              </w:rPr>
              <w:t xml:space="preserve"> </w:t>
            </w:r>
            <w:r>
              <w:rPr>
                <w:spacing w:val="16"/>
              </w:rPr>
              <w:t>施工单位违</w:t>
            </w:r>
            <w:r>
              <w:rPr>
                <w:spacing w:val="1"/>
              </w:rPr>
              <w:t xml:space="preserve"> </w:t>
            </w:r>
            <w:r>
              <w:rPr>
                <w:spacing w:val="16"/>
              </w:rPr>
              <w:t>反工程建设</w:t>
            </w:r>
            <w:r>
              <w:rPr>
                <w:spacing w:val="1"/>
              </w:rPr>
              <w:t xml:space="preserve"> </w:t>
            </w:r>
            <w:r>
              <w:rPr>
                <w:spacing w:val="16"/>
              </w:rPr>
              <w:t>强制性标准</w:t>
            </w:r>
            <w:r>
              <w:rPr>
                <w:spacing w:val="1"/>
              </w:rPr>
              <w:t xml:space="preserve"> </w:t>
            </w:r>
            <w:r>
              <w:rPr>
                <w:spacing w:val="16"/>
              </w:rPr>
              <w:t>等行为的行</w:t>
            </w:r>
            <w:r>
              <w:rPr>
                <w:spacing w:val="1"/>
              </w:rPr>
              <w:t xml:space="preserve"> </w:t>
            </w:r>
            <w:r>
              <w:rPr>
                <w:spacing w:val="-2"/>
              </w:rPr>
              <w:t>政处罚</w:t>
            </w:r>
          </w:p>
        </w:tc>
        <w:tc>
          <w:tcPr>
            <w:tcW w:w="1104" w:type="dxa"/>
            <w:vAlign w:val="top"/>
          </w:tcPr>
          <w:p w14:paraId="154492CB">
            <w:pPr>
              <w:spacing w:line="259" w:lineRule="auto"/>
              <w:rPr>
                <w:rFonts w:ascii="Arial"/>
                <w:sz w:val="21"/>
              </w:rPr>
            </w:pPr>
          </w:p>
          <w:p w14:paraId="56D64951">
            <w:pPr>
              <w:spacing w:line="259" w:lineRule="auto"/>
              <w:rPr>
                <w:rFonts w:ascii="Arial"/>
                <w:sz w:val="21"/>
              </w:rPr>
            </w:pPr>
          </w:p>
          <w:p w14:paraId="5E5E1224">
            <w:pPr>
              <w:spacing w:line="259" w:lineRule="auto"/>
              <w:rPr>
                <w:rFonts w:ascii="Arial"/>
                <w:sz w:val="21"/>
              </w:rPr>
            </w:pPr>
          </w:p>
          <w:p w14:paraId="40484854">
            <w:pPr>
              <w:spacing w:line="259" w:lineRule="auto"/>
              <w:rPr>
                <w:rFonts w:ascii="Arial"/>
                <w:sz w:val="21"/>
              </w:rPr>
            </w:pPr>
          </w:p>
          <w:p w14:paraId="04F4FD60">
            <w:pPr>
              <w:spacing w:line="260" w:lineRule="auto"/>
              <w:rPr>
                <w:rFonts w:ascii="Arial"/>
                <w:sz w:val="21"/>
              </w:rPr>
            </w:pPr>
          </w:p>
          <w:p w14:paraId="0ECCF9DE">
            <w:pPr>
              <w:spacing w:line="260" w:lineRule="auto"/>
              <w:rPr>
                <w:rFonts w:ascii="Arial"/>
                <w:sz w:val="21"/>
              </w:rPr>
            </w:pPr>
          </w:p>
          <w:p w14:paraId="306BA944">
            <w:pPr>
              <w:spacing w:line="260" w:lineRule="auto"/>
              <w:rPr>
                <w:rFonts w:ascii="Arial"/>
                <w:sz w:val="21"/>
              </w:rPr>
            </w:pPr>
          </w:p>
          <w:p w14:paraId="08C00A51">
            <w:pPr>
              <w:spacing w:line="260" w:lineRule="auto"/>
              <w:rPr>
                <w:rFonts w:ascii="Arial"/>
                <w:sz w:val="21"/>
              </w:rPr>
            </w:pPr>
          </w:p>
          <w:p w14:paraId="727A5D45">
            <w:pPr>
              <w:spacing w:line="260" w:lineRule="auto"/>
              <w:rPr>
                <w:rFonts w:ascii="Arial"/>
                <w:sz w:val="21"/>
              </w:rPr>
            </w:pPr>
          </w:p>
          <w:p w14:paraId="60075298">
            <w:pPr>
              <w:spacing w:line="260" w:lineRule="auto"/>
              <w:rPr>
                <w:rFonts w:ascii="Arial"/>
                <w:sz w:val="21"/>
              </w:rPr>
            </w:pPr>
          </w:p>
          <w:p w14:paraId="548036A9">
            <w:pPr>
              <w:pStyle w:val="8"/>
              <w:spacing w:before="58" w:line="220" w:lineRule="auto"/>
              <w:ind w:left="10"/>
            </w:pPr>
            <w:r>
              <w:rPr>
                <w:spacing w:val="-2"/>
              </w:rPr>
              <w:t>行政处罚</w:t>
            </w:r>
          </w:p>
        </w:tc>
        <w:tc>
          <w:tcPr>
            <w:tcW w:w="8549" w:type="dxa"/>
            <w:vAlign w:val="top"/>
          </w:tcPr>
          <w:p w14:paraId="602155A7">
            <w:pPr>
              <w:pStyle w:val="8"/>
              <w:spacing w:before="26" w:line="219" w:lineRule="auto"/>
              <w:ind w:left="484"/>
            </w:pPr>
            <w:r>
              <w:rPr>
                <w:b/>
                <w:bCs/>
                <w:spacing w:val="-3"/>
              </w:rPr>
              <w:t>1.《中华人民共和国标准化法》</w:t>
            </w:r>
          </w:p>
          <w:p w14:paraId="71F1475A">
            <w:pPr>
              <w:pStyle w:val="8"/>
              <w:spacing w:before="4" w:line="219" w:lineRule="auto"/>
              <w:ind w:left="471"/>
            </w:pPr>
            <w:r>
              <w:rPr>
                <w:spacing w:val="1"/>
              </w:rPr>
              <w:t>第二条  本法所称标准（含标准样品），是指农业、工业、服务业以及社会事业等领域需要统一的技</w:t>
            </w:r>
          </w:p>
          <w:p w14:paraId="4540592E">
            <w:pPr>
              <w:pStyle w:val="8"/>
              <w:spacing w:before="7" w:line="219" w:lineRule="auto"/>
              <w:ind w:left="112"/>
            </w:pPr>
            <w:r>
              <w:rPr>
                <w:spacing w:val="-8"/>
              </w:rPr>
              <w:t>术要求。</w:t>
            </w:r>
          </w:p>
          <w:p w14:paraId="6F81207E">
            <w:pPr>
              <w:pStyle w:val="8"/>
              <w:spacing w:before="7" w:line="221" w:lineRule="auto"/>
              <w:ind w:left="111" w:right="104" w:firstLine="360"/>
            </w:pPr>
            <w:r>
              <w:rPr>
                <w:spacing w:val="1"/>
              </w:rPr>
              <w:t>标准包括国家标准、行业标准、地方标准和团体标准、企业标准。国家标准分为强制性标准、推荐性</w:t>
            </w:r>
            <w:r>
              <w:rPr>
                <w:spacing w:val="2"/>
              </w:rPr>
              <w:t xml:space="preserve"> </w:t>
            </w:r>
            <w:r>
              <w:rPr>
                <w:spacing w:val="-2"/>
              </w:rPr>
              <w:t>标准，行业标准、地方标准是推荐性标准。</w:t>
            </w:r>
          </w:p>
          <w:p w14:paraId="43D3D308">
            <w:pPr>
              <w:pStyle w:val="8"/>
              <w:spacing w:before="7" w:line="219" w:lineRule="auto"/>
              <w:ind w:left="475"/>
            </w:pPr>
            <w:r>
              <w:rPr>
                <w:spacing w:val="-2"/>
              </w:rPr>
              <w:t>强制性标准必须执行。国家鼓励采用推荐性标准。</w:t>
            </w:r>
          </w:p>
          <w:p w14:paraId="697C1971">
            <w:pPr>
              <w:pStyle w:val="8"/>
              <w:spacing w:before="8" w:line="219" w:lineRule="auto"/>
              <w:ind w:left="473"/>
            </w:pPr>
            <w:r>
              <w:rPr>
                <w:b/>
                <w:bCs/>
                <w:spacing w:val="-3"/>
              </w:rPr>
              <w:t>2.《中华人民共和国公路法》</w:t>
            </w:r>
          </w:p>
          <w:p w14:paraId="66F0BB6E">
            <w:pPr>
              <w:pStyle w:val="8"/>
              <w:spacing w:before="4" w:line="219" w:lineRule="auto"/>
              <w:ind w:left="471"/>
            </w:pPr>
            <w:r>
              <w:rPr>
                <w:spacing w:val="-1"/>
              </w:rPr>
              <w:t>第二十二条  公路建设应当按照国家规定的基本建设程序和有关规</w:t>
            </w:r>
            <w:r>
              <w:rPr>
                <w:spacing w:val="-2"/>
              </w:rPr>
              <w:t>定进行。</w:t>
            </w:r>
          </w:p>
          <w:p w14:paraId="0AD4C456">
            <w:pPr>
              <w:pStyle w:val="8"/>
              <w:spacing w:before="8" w:line="219" w:lineRule="auto"/>
              <w:ind w:left="471"/>
            </w:pPr>
            <w:r>
              <w:rPr>
                <w:spacing w:val="-2"/>
              </w:rPr>
              <w:t>第二十六条  公路建设必须符合公路工程技术标准。</w:t>
            </w:r>
          </w:p>
          <w:p w14:paraId="2E5C872F">
            <w:pPr>
              <w:pStyle w:val="8"/>
              <w:spacing w:before="7" w:line="223" w:lineRule="auto"/>
              <w:ind w:left="110" w:right="44" w:firstLine="360"/>
            </w:pPr>
            <w:r>
              <w:rPr>
                <w:spacing w:val="1"/>
              </w:rPr>
              <w:t>承担公路建设项目的设计单位、施工单位和工程监理单位，应当按照国家有关规定建立健全质量保证</w:t>
            </w:r>
            <w:r>
              <w:rPr>
                <w:spacing w:val="2"/>
              </w:rPr>
              <w:t xml:space="preserve"> </w:t>
            </w:r>
            <w:r>
              <w:rPr>
                <w:spacing w:val="-1"/>
              </w:rPr>
              <w:t>体系，落实岗位责任制，并依照有关法律、法规、</w:t>
            </w:r>
            <w:r>
              <w:rPr>
                <w:spacing w:val="-2"/>
              </w:rPr>
              <w:t>规章以及公路工程技术标准的要求和合同约定进行设计、</w:t>
            </w:r>
            <w:r>
              <w:t xml:space="preserve"> </w:t>
            </w:r>
            <w:r>
              <w:rPr>
                <w:spacing w:val="-3"/>
              </w:rPr>
              <w:t>施工和监理，保证公路工程质量。</w:t>
            </w:r>
          </w:p>
          <w:p w14:paraId="6DA7E510">
            <w:pPr>
              <w:pStyle w:val="8"/>
              <w:spacing w:before="8" w:line="219" w:lineRule="auto"/>
              <w:ind w:left="474"/>
            </w:pPr>
            <w:r>
              <w:rPr>
                <w:b/>
                <w:bCs/>
                <w:spacing w:val="-3"/>
              </w:rPr>
              <w:t>3.《建设工程质量管理条例》</w:t>
            </w:r>
          </w:p>
          <w:p w14:paraId="36C55B55">
            <w:pPr>
              <w:pStyle w:val="8"/>
              <w:spacing w:before="5" w:line="219" w:lineRule="auto"/>
              <w:ind w:left="471"/>
            </w:pPr>
            <w:r>
              <w:rPr>
                <w:spacing w:val="1"/>
              </w:rPr>
              <w:t>第十九条第一款  勘察、设计单位必须按照工程建设强制性标准进行勘察、设计，并对其勘察、设计</w:t>
            </w:r>
          </w:p>
          <w:p w14:paraId="5DCD46DC">
            <w:pPr>
              <w:pStyle w:val="8"/>
              <w:spacing w:before="7" w:line="219" w:lineRule="auto"/>
              <w:ind w:left="125"/>
            </w:pPr>
            <w:r>
              <w:rPr>
                <w:spacing w:val="-8"/>
              </w:rPr>
              <w:t>的质量负责。</w:t>
            </w:r>
          </w:p>
          <w:p w14:paraId="47C4669F">
            <w:pPr>
              <w:pStyle w:val="8"/>
              <w:spacing w:before="7" w:line="219" w:lineRule="auto"/>
              <w:ind w:left="471"/>
            </w:pPr>
            <w:r>
              <w:rPr>
                <w:spacing w:val="1"/>
              </w:rPr>
              <w:t>第二十八条第一款  施工单位必须按照工程设计图纸和施工技术标准施工、不得擅自修改工程设计，</w:t>
            </w:r>
          </w:p>
          <w:p w14:paraId="404323BD">
            <w:pPr>
              <w:pStyle w:val="8"/>
              <w:spacing w:before="5" w:line="219" w:lineRule="auto"/>
              <w:ind w:left="114"/>
            </w:pPr>
            <w:r>
              <w:rPr>
                <w:spacing w:val="-6"/>
              </w:rPr>
              <w:t>不得偷工减料。</w:t>
            </w:r>
          </w:p>
          <w:p w14:paraId="72E07D8F">
            <w:pPr>
              <w:pStyle w:val="8"/>
              <w:spacing w:before="7" w:line="223" w:lineRule="auto"/>
              <w:ind w:left="110" w:right="104" w:firstLine="360"/>
            </w:pPr>
            <w:r>
              <w:rPr>
                <w:spacing w:val="1"/>
              </w:rPr>
              <w:t xml:space="preserve">第四十四条  国务院建设行政主管部门和国务院铁路、交通、水利等有关部门应当加强对有关建设工 </w:t>
            </w:r>
            <w:r>
              <w:rPr>
                <w:spacing w:val="-2"/>
              </w:rPr>
              <w:t>程质量的法律、法规和强制性标准执行情况的监督检查。</w:t>
            </w:r>
          </w:p>
          <w:p w14:paraId="03ED7DF5">
            <w:pPr>
              <w:pStyle w:val="8"/>
              <w:spacing w:before="4" w:line="224" w:lineRule="auto"/>
              <w:ind w:left="110" w:right="104" w:firstLine="360"/>
            </w:pPr>
            <w:r>
              <w:rPr>
                <w:spacing w:val="1"/>
              </w:rPr>
              <w:t xml:space="preserve">第六十四条  违反本条例规定，施工单位在施工中偷工减料的，使用不合格的建筑材料、建筑构配件 和设备的，或者有不按照工程设计图纸或者施工技术标准施工的其他行为的，责令改正，处工程合同价款 百分之二以上百分之四以下的罚款；造成建设工程质量不符合规定的质量标准的，负责返工、修理，并赔 </w:t>
            </w:r>
            <w:r>
              <w:rPr>
                <w:spacing w:val="-1"/>
              </w:rPr>
              <w:t>偿因此造成的损失；情节严重的，责令停业整顿，降低资质等级或者吊销资质证书。</w:t>
            </w:r>
          </w:p>
          <w:p w14:paraId="432CA67D">
            <w:pPr>
              <w:pStyle w:val="8"/>
              <w:spacing w:before="8" w:line="210" w:lineRule="auto"/>
              <w:ind w:left="113" w:right="104" w:firstLine="357"/>
            </w:pPr>
            <w:r>
              <w:rPr>
                <w:spacing w:val="1"/>
              </w:rPr>
              <w:t>第六十五条  违反本条例规定，施工单位未对建筑材料、建筑构配件、设备和商品混凝土进行检验，</w:t>
            </w:r>
            <w:r>
              <w:t xml:space="preserve"> 或者未对涉及结构安全的试块、试件以及有关材料取样检测的，责</w:t>
            </w:r>
            <w:r>
              <w:rPr>
                <w:spacing w:val="-1"/>
              </w:rPr>
              <w:t>令改正，处</w:t>
            </w:r>
            <w:r>
              <w:rPr>
                <w:spacing w:val="-16"/>
              </w:rPr>
              <w:t xml:space="preserve"> </w:t>
            </w:r>
            <w:r>
              <w:rPr>
                <w:spacing w:val="-1"/>
              </w:rPr>
              <w:t>10</w:t>
            </w:r>
            <w:r>
              <w:rPr>
                <w:spacing w:val="-32"/>
              </w:rPr>
              <w:t xml:space="preserve"> </w:t>
            </w:r>
            <w:r>
              <w:rPr>
                <w:spacing w:val="-1"/>
              </w:rPr>
              <w:t>万元以上</w:t>
            </w:r>
            <w:r>
              <w:rPr>
                <w:spacing w:val="-38"/>
              </w:rPr>
              <w:t xml:space="preserve"> </w:t>
            </w:r>
            <w:r>
              <w:rPr>
                <w:spacing w:val="-1"/>
              </w:rPr>
              <w:t>20</w:t>
            </w:r>
            <w:r>
              <w:rPr>
                <w:spacing w:val="-32"/>
              </w:rPr>
              <w:t xml:space="preserve"> </w:t>
            </w:r>
            <w:r>
              <w:rPr>
                <w:spacing w:val="-1"/>
              </w:rPr>
              <w:t>万元以下的</w:t>
            </w:r>
          </w:p>
        </w:tc>
        <w:tc>
          <w:tcPr>
            <w:tcW w:w="1014" w:type="dxa"/>
            <w:vAlign w:val="top"/>
          </w:tcPr>
          <w:p w14:paraId="1D8B8286">
            <w:pPr>
              <w:spacing w:line="247" w:lineRule="auto"/>
              <w:rPr>
                <w:rFonts w:ascii="Arial"/>
                <w:sz w:val="21"/>
              </w:rPr>
            </w:pPr>
          </w:p>
          <w:p w14:paraId="6C335156">
            <w:pPr>
              <w:spacing w:line="247" w:lineRule="auto"/>
              <w:rPr>
                <w:rFonts w:ascii="Arial"/>
                <w:sz w:val="21"/>
              </w:rPr>
            </w:pPr>
          </w:p>
          <w:p w14:paraId="36B38DF1">
            <w:pPr>
              <w:spacing w:line="247" w:lineRule="auto"/>
              <w:rPr>
                <w:rFonts w:ascii="Arial"/>
                <w:sz w:val="21"/>
              </w:rPr>
            </w:pPr>
          </w:p>
          <w:p w14:paraId="0BD49B3E">
            <w:pPr>
              <w:spacing w:line="247" w:lineRule="auto"/>
              <w:rPr>
                <w:rFonts w:ascii="Arial"/>
                <w:sz w:val="21"/>
              </w:rPr>
            </w:pPr>
          </w:p>
          <w:p w14:paraId="681A70BB">
            <w:pPr>
              <w:spacing w:line="248" w:lineRule="auto"/>
              <w:rPr>
                <w:rFonts w:ascii="Arial"/>
                <w:sz w:val="21"/>
              </w:rPr>
            </w:pPr>
          </w:p>
          <w:p w14:paraId="794BC4BA">
            <w:pPr>
              <w:spacing w:line="248" w:lineRule="auto"/>
              <w:rPr>
                <w:rFonts w:ascii="Arial"/>
                <w:sz w:val="21"/>
              </w:rPr>
            </w:pPr>
          </w:p>
          <w:p w14:paraId="5F7389F6">
            <w:pPr>
              <w:spacing w:line="248" w:lineRule="auto"/>
              <w:rPr>
                <w:rFonts w:ascii="Arial"/>
                <w:sz w:val="21"/>
              </w:rPr>
            </w:pPr>
          </w:p>
          <w:p w14:paraId="3C2AEA38">
            <w:pPr>
              <w:spacing w:line="248" w:lineRule="auto"/>
              <w:rPr>
                <w:rFonts w:ascii="Arial"/>
                <w:sz w:val="21"/>
              </w:rPr>
            </w:pPr>
          </w:p>
          <w:p w14:paraId="65ECECB2">
            <w:pPr>
              <w:spacing w:line="248" w:lineRule="auto"/>
              <w:rPr>
                <w:rFonts w:ascii="Arial"/>
                <w:sz w:val="21"/>
              </w:rPr>
            </w:pPr>
          </w:p>
          <w:p w14:paraId="121E7C39">
            <w:pPr>
              <w:spacing w:line="248" w:lineRule="auto"/>
              <w:rPr>
                <w:rFonts w:ascii="Arial"/>
                <w:sz w:val="21"/>
              </w:rPr>
            </w:pPr>
          </w:p>
          <w:p w14:paraId="4A0DFBFB">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17691F93">
            <w:pPr>
              <w:spacing w:line="247" w:lineRule="auto"/>
              <w:rPr>
                <w:rFonts w:ascii="Arial"/>
                <w:sz w:val="21"/>
              </w:rPr>
            </w:pPr>
          </w:p>
          <w:p w14:paraId="0262F9A7">
            <w:pPr>
              <w:spacing w:line="247" w:lineRule="auto"/>
              <w:rPr>
                <w:rFonts w:ascii="Arial"/>
                <w:sz w:val="21"/>
              </w:rPr>
            </w:pPr>
          </w:p>
          <w:p w14:paraId="50527E28">
            <w:pPr>
              <w:spacing w:line="247" w:lineRule="auto"/>
              <w:rPr>
                <w:rFonts w:ascii="Arial"/>
                <w:sz w:val="21"/>
              </w:rPr>
            </w:pPr>
          </w:p>
          <w:p w14:paraId="282BA5BD">
            <w:pPr>
              <w:spacing w:line="247" w:lineRule="auto"/>
              <w:rPr>
                <w:rFonts w:ascii="Arial"/>
                <w:sz w:val="21"/>
              </w:rPr>
            </w:pPr>
          </w:p>
          <w:p w14:paraId="07902959">
            <w:pPr>
              <w:spacing w:line="248" w:lineRule="auto"/>
              <w:rPr>
                <w:rFonts w:ascii="Arial"/>
                <w:sz w:val="21"/>
              </w:rPr>
            </w:pPr>
          </w:p>
          <w:p w14:paraId="6257A724">
            <w:pPr>
              <w:spacing w:line="248" w:lineRule="auto"/>
              <w:rPr>
                <w:rFonts w:ascii="Arial"/>
                <w:sz w:val="21"/>
              </w:rPr>
            </w:pPr>
          </w:p>
          <w:p w14:paraId="59AD6BB9">
            <w:pPr>
              <w:spacing w:line="248" w:lineRule="auto"/>
              <w:rPr>
                <w:rFonts w:ascii="Arial"/>
                <w:sz w:val="21"/>
              </w:rPr>
            </w:pPr>
          </w:p>
          <w:p w14:paraId="57A92A21">
            <w:pPr>
              <w:spacing w:line="248" w:lineRule="auto"/>
              <w:rPr>
                <w:rFonts w:ascii="Arial"/>
                <w:sz w:val="21"/>
              </w:rPr>
            </w:pPr>
          </w:p>
          <w:p w14:paraId="081C4D48">
            <w:pPr>
              <w:spacing w:line="248" w:lineRule="auto"/>
              <w:rPr>
                <w:rFonts w:ascii="Arial"/>
                <w:sz w:val="21"/>
              </w:rPr>
            </w:pPr>
          </w:p>
          <w:p w14:paraId="17FE7DD5">
            <w:pPr>
              <w:spacing w:line="248" w:lineRule="auto"/>
              <w:rPr>
                <w:rFonts w:ascii="Arial"/>
                <w:sz w:val="21"/>
              </w:rPr>
            </w:pPr>
          </w:p>
          <w:p w14:paraId="0748F416">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A31F719">
            <w:pPr>
              <w:spacing w:line="248" w:lineRule="auto"/>
              <w:rPr>
                <w:rFonts w:ascii="Arial"/>
                <w:sz w:val="21"/>
              </w:rPr>
            </w:pPr>
          </w:p>
          <w:p w14:paraId="71015ED5">
            <w:pPr>
              <w:spacing w:line="248" w:lineRule="auto"/>
              <w:rPr>
                <w:rFonts w:ascii="Arial"/>
                <w:sz w:val="21"/>
              </w:rPr>
            </w:pPr>
          </w:p>
          <w:p w14:paraId="11FC8597">
            <w:pPr>
              <w:spacing w:line="249" w:lineRule="auto"/>
              <w:rPr>
                <w:rFonts w:ascii="Arial"/>
                <w:sz w:val="21"/>
              </w:rPr>
            </w:pPr>
          </w:p>
          <w:p w14:paraId="5365B48E">
            <w:pPr>
              <w:spacing w:line="249" w:lineRule="auto"/>
              <w:rPr>
                <w:rFonts w:ascii="Arial"/>
                <w:sz w:val="21"/>
              </w:rPr>
            </w:pPr>
          </w:p>
          <w:p w14:paraId="19751EDE">
            <w:pPr>
              <w:spacing w:line="249" w:lineRule="auto"/>
              <w:rPr>
                <w:rFonts w:ascii="Arial"/>
                <w:sz w:val="21"/>
              </w:rPr>
            </w:pPr>
          </w:p>
          <w:p w14:paraId="06997EC4">
            <w:pPr>
              <w:spacing w:line="249" w:lineRule="auto"/>
              <w:rPr>
                <w:rFonts w:ascii="Arial"/>
                <w:sz w:val="21"/>
              </w:rPr>
            </w:pPr>
          </w:p>
          <w:p w14:paraId="5AA15D0B">
            <w:pPr>
              <w:spacing w:line="249" w:lineRule="auto"/>
              <w:rPr>
                <w:rFonts w:ascii="Arial"/>
                <w:sz w:val="21"/>
              </w:rPr>
            </w:pPr>
          </w:p>
          <w:p w14:paraId="264F32A4">
            <w:pPr>
              <w:spacing w:line="249" w:lineRule="auto"/>
              <w:rPr>
                <w:rFonts w:ascii="Arial"/>
                <w:sz w:val="21"/>
              </w:rPr>
            </w:pPr>
          </w:p>
          <w:p w14:paraId="24BEF344">
            <w:pPr>
              <w:spacing w:line="249" w:lineRule="auto"/>
              <w:rPr>
                <w:rFonts w:ascii="Arial"/>
                <w:sz w:val="21"/>
              </w:rPr>
            </w:pPr>
          </w:p>
          <w:p w14:paraId="60079B82">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0C4B9AAE">
      <w:pPr>
        <w:pStyle w:val="2"/>
        <w:spacing w:line="207" w:lineRule="exact"/>
        <w:rPr>
          <w:sz w:val="18"/>
        </w:rPr>
      </w:pPr>
    </w:p>
    <w:p w14:paraId="18FE6761">
      <w:pPr>
        <w:spacing w:line="207" w:lineRule="exact"/>
        <w:rPr>
          <w:sz w:val="18"/>
          <w:szCs w:val="18"/>
        </w:rPr>
        <w:sectPr>
          <w:footerReference r:id="rId77" w:type="default"/>
          <w:pgSz w:w="16839" w:h="11906"/>
          <w:pgMar w:top="1012" w:right="991" w:bottom="966" w:left="1021" w:header="0" w:footer="768" w:gutter="0"/>
          <w:cols w:space="720" w:num="1"/>
        </w:sectPr>
      </w:pPr>
    </w:p>
    <w:p w14:paraId="2A397B56">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47412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7AC5DADF">
            <w:pPr>
              <w:pStyle w:val="8"/>
              <w:spacing w:before="267" w:line="221" w:lineRule="auto"/>
              <w:ind w:left="134"/>
            </w:pPr>
            <w:r>
              <w:rPr>
                <w:b/>
                <w:bCs/>
                <w:spacing w:val="-4"/>
              </w:rPr>
              <w:t>序号</w:t>
            </w:r>
          </w:p>
        </w:tc>
        <w:tc>
          <w:tcPr>
            <w:tcW w:w="1104" w:type="dxa"/>
            <w:vMerge w:val="restart"/>
            <w:tcBorders>
              <w:bottom w:val="nil"/>
            </w:tcBorders>
            <w:vAlign w:val="top"/>
          </w:tcPr>
          <w:p w14:paraId="27A9CC8A">
            <w:pPr>
              <w:pStyle w:val="8"/>
              <w:spacing w:before="260" w:line="220" w:lineRule="auto"/>
              <w:ind w:left="192"/>
            </w:pPr>
            <w:r>
              <w:rPr>
                <w:b/>
                <w:bCs/>
                <w:spacing w:val="-4"/>
              </w:rPr>
              <w:t>事项名称</w:t>
            </w:r>
          </w:p>
        </w:tc>
        <w:tc>
          <w:tcPr>
            <w:tcW w:w="1104" w:type="dxa"/>
            <w:vMerge w:val="restart"/>
            <w:tcBorders>
              <w:bottom w:val="nil"/>
            </w:tcBorders>
            <w:vAlign w:val="top"/>
          </w:tcPr>
          <w:p w14:paraId="3DFC375C">
            <w:pPr>
              <w:pStyle w:val="8"/>
              <w:spacing w:before="260" w:line="219" w:lineRule="auto"/>
              <w:ind w:left="193"/>
            </w:pPr>
            <w:r>
              <w:rPr>
                <w:b/>
                <w:bCs/>
                <w:spacing w:val="-4"/>
              </w:rPr>
              <w:t>职权类型</w:t>
            </w:r>
          </w:p>
        </w:tc>
        <w:tc>
          <w:tcPr>
            <w:tcW w:w="8549" w:type="dxa"/>
            <w:vMerge w:val="restart"/>
            <w:tcBorders>
              <w:bottom w:val="nil"/>
            </w:tcBorders>
            <w:vAlign w:val="top"/>
          </w:tcPr>
          <w:p w14:paraId="2EDD2DE1">
            <w:pPr>
              <w:pStyle w:val="8"/>
              <w:spacing w:before="259" w:line="219" w:lineRule="auto"/>
              <w:ind w:left="3921"/>
            </w:pPr>
            <w:r>
              <w:rPr>
                <w:b/>
                <w:bCs/>
                <w:spacing w:val="-5"/>
              </w:rPr>
              <w:t>实施依据</w:t>
            </w:r>
          </w:p>
        </w:tc>
        <w:tc>
          <w:tcPr>
            <w:tcW w:w="3439" w:type="dxa"/>
            <w:gridSpan w:val="3"/>
            <w:vAlign w:val="top"/>
          </w:tcPr>
          <w:p w14:paraId="686DED3B">
            <w:pPr>
              <w:pStyle w:val="8"/>
              <w:spacing w:before="85" w:line="220" w:lineRule="auto"/>
              <w:ind w:left="1365"/>
            </w:pPr>
            <w:r>
              <w:rPr>
                <w:b/>
                <w:bCs/>
                <w:spacing w:val="-5"/>
              </w:rPr>
              <w:t>实施主体</w:t>
            </w:r>
          </w:p>
        </w:tc>
      </w:tr>
      <w:tr w14:paraId="61288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77724E38">
            <w:pPr>
              <w:rPr>
                <w:rFonts w:ascii="Arial"/>
                <w:sz w:val="21"/>
              </w:rPr>
            </w:pPr>
          </w:p>
        </w:tc>
        <w:tc>
          <w:tcPr>
            <w:tcW w:w="1104" w:type="dxa"/>
            <w:vMerge w:val="continue"/>
            <w:tcBorders>
              <w:top w:val="nil"/>
            </w:tcBorders>
            <w:vAlign w:val="top"/>
          </w:tcPr>
          <w:p w14:paraId="7DA56D64">
            <w:pPr>
              <w:rPr>
                <w:rFonts w:ascii="Arial"/>
                <w:sz w:val="21"/>
              </w:rPr>
            </w:pPr>
          </w:p>
        </w:tc>
        <w:tc>
          <w:tcPr>
            <w:tcW w:w="1104" w:type="dxa"/>
            <w:vMerge w:val="continue"/>
            <w:tcBorders>
              <w:top w:val="nil"/>
            </w:tcBorders>
            <w:vAlign w:val="top"/>
          </w:tcPr>
          <w:p w14:paraId="37FF6B9B">
            <w:pPr>
              <w:rPr>
                <w:rFonts w:ascii="Arial"/>
                <w:sz w:val="21"/>
              </w:rPr>
            </w:pPr>
          </w:p>
        </w:tc>
        <w:tc>
          <w:tcPr>
            <w:tcW w:w="8549" w:type="dxa"/>
            <w:vMerge w:val="continue"/>
            <w:tcBorders>
              <w:top w:val="nil"/>
            </w:tcBorders>
            <w:vAlign w:val="top"/>
          </w:tcPr>
          <w:p w14:paraId="5F840F23">
            <w:pPr>
              <w:rPr>
                <w:rFonts w:ascii="Arial"/>
                <w:sz w:val="21"/>
              </w:rPr>
            </w:pPr>
          </w:p>
        </w:tc>
        <w:tc>
          <w:tcPr>
            <w:tcW w:w="1014" w:type="dxa"/>
            <w:vAlign w:val="top"/>
          </w:tcPr>
          <w:p w14:paraId="4B4A6423">
            <w:pPr>
              <w:pStyle w:val="8"/>
              <w:spacing w:before="81" w:line="219" w:lineRule="auto"/>
              <w:ind w:left="158"/>
            </w:pPr>
            <w:r>
              <w:rPr>
                <w:b/>
                <w:bCs/>
                <w:spacing w:val="-5"/>
              </w:rPr>
              <w:t>责任部门</w:t>
            </w:r>
          </w:p>
        </w:tc>
        <w:tc>
          <w:tcPr>
            <w:tcW w:w="1407" w:type="dxa"/>
            <w:vAlign w:val="top"/>
          </w:tcPr>
          <w:p w14:paraId="30835ADC">
            <w:pPr>
              <w:pStyle w:val="8"/>
              <w:spacing w:before="81" w:line="219" w:lineRule="auto"/>
              <w:ind w:left="167"/>
            </w:pPr>
            <w:r>
              <w:rPr>
                <w:b/>
                <w:bCs/>
                <w:spacing w:val="-3"/>
              </w:rPr>
              <w:t>第一责任层级</w:t>
            </w:r>
          </w:p>
        </w:tc>
        <w:tc>
          <w:tcPr>
            <w:tcW w:w="1018" w:type="dxa"/>
            <w:vAlign w:val="top"/>
          </w:tcPr>
          <w:p w14:paraId="45AD1B2D">
            <w:pPr>
              <w:pStyle w:val="8"/>
              <w:spacing w:before="81" w:line="219" w:lineRule="auto"/>
              <w:ind w:left="152"/>
            </w:pPr>
            <w:r>
              <w:rPr>
                <w:b/>
                <w:bCs/>
                <w:spacing w:val="-4"/>
              </w:rPr>
              <w:t>承办机构</w:t>
            </w:r>
          </w:p>
        </w:tc>
      </w:tr>
      <w:tr w14:paraId="06F8C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624" w:type="dxa"/>
            <w:vAlign w:val="top"/>
          </w:tcPr>
          <w:p w14:paraId="1E86D5E7">
            <w:pPr>
              <w:rPr>
                <w:rFonts w:ascii="Arial"/>
                <w:sz w:val="21"/>
              </w:rPr>
            </w:pPr>
          </w:p>
        </w:tc>
        <w:tc>
          <w:tcPr>
            <w:tcW w:w="1104" w:type="dxa"/>
            <w:vAlign w:val="top"/>
          </w:tcPr>
          <w:p w14:paraId="76F5310C">
            <w:pPr>
              <w:rPr>
                <w:rFonts w:ascii="Arial"/>
                <w:sz w:val="21"/>
              </w:rPr>
            </w:pPr>
          </w:p>
        </w:tc>
        <w:tc>
          <w:tcPr>
            <w:tcW w:w="1104" w:type="dxa"/>
            <w:vAlign w:val="top"/>
          </w:tcPr>
          <w:p w14:paraId="5D4526FB">
            <w:pPr>
              <w:rPr>
                <w:rFonts w:ascii="Arial"/>
                <w:sz w:val="21"/>
              </w:rPr>
            </w:pPr>
          </w:p>
        </w:tc>
        <w:tc>
          <w:tcPr>
            <w:tcW w:w="8549" w:type="dxa"/>
            <w:vAlign w:val="top"/>
          </w:tcPr>
          <w:p w14:paraId="23D2EB73">
            <w:pPr>
              <w:pStyle w:val="8"/>
              <w:spacing w:before="23" w:line="219" w:lineRule="auto"/>
              <w:ind w:left="118"/>
            </w:pPr>
            <w:r>
              <w:rPr>
                <w:spacing w:val="-1"/>
              </w:rPr>
              <w:t>罚款；情节严重的，责令停业整顿，降低资质等级或者吊销资质证书；造成损失的，依法承担赔偿责任。</w:t>
            </w:r>
          </w:p>
          <w:p w14:paraId="050884EB">
            <w:pPr>
              <w:pStyle w:val="8"/>
              <w:spacing w:before="4" w:line="219" w:lineRule="auto"/>
              <w:ind w:left="471"/>
            </w:pPr>
            <w:r>
              <w:rPr>
                <w:spacing w:val="1"/>
              </w:rPr>
              <w:t>第七十五条  本条例规定的责令停业整顿，降低资质等级和吊销资质证书的行政处罚，由颁发资质证</w:t>
            </w:r>
          </w:p>
          <w:p w14:paraId="127A4648">
            <w:pPr>
              <w:pStyle w:val="8"/>
              <w:spacing w:before="6" w:line="223" w:lineRule="auto"/>
              <w:ind w:left="471" w:right="1270" w:hanging="357"/>
            </w:pPr>
            <w:r>
              <w:rPr>
                <w:spacing w:val="-1"/>
              </w:rPr>
              <w:t>书的机关决定；其他行政处罚，由建设行政主管部门或者其他有关部门依照法定职权</w:t>
            </w:r>
            <w:r>
              <w:rPr>
                <w:spacing w:val="-2"/>
              </w:rPr>
              <w:t>决定。</w:t>
            </w:r>
            <w:r>
              <w:t xml:space="preserve"> </w:t>
            </w:r>
            <w:r>
              <w:rPr>
                <w:spacing w:val="-1"/>
              </w:rPr>
              <w:t>依照本条例规定被吊销资质证书的，由工商行政管理部门吊销其营业执</w:t>
            </w:r>
            <w:r>
              <w:rPr>
                <w:spacing w:val="-2"/>
              </w:rPr>
              <w:t>照。</w:t>
            </w:r>
          </w:p>
          <w:p w14:paraId="1F6AAA16">
            <w:pPr>
              <w:pStyle w:val="8"/>
              <w:spacing w:before="5" w:line="219" w:lineRule="auto"/>
              <w:ind w:left="470"/>
            </w:pPr>
            <w:r>
              <w:rPr>
                <w:b/>
                <w:bCs/>
                <w:spacing w:val="-2"/>
              </w:rPr>
              <w:t>4.《实施工程建设强制性标准监督规定》（中华人民共和国住房和城乡建设部令第</w:t>
            </w:r>
            <w:r>
              <w:rPr>
                <w:spacing w:val="-34"/>
              </w:rPr>
              <w:t xml:space="preserve"> </w:t>
            </w:r>
            <w:r>
              <w:rPr>
                <w:b/>
                <w:bCs/>
                <w:spacing w:val="-2"/>
              </w:rPr>
              <w:t>5</w:t>
            </w:r>
            <w:r>
              <w:rPr>
                <w:b/>
                <w:bCs/>
                <w:spacing w:val="-3"/>
              </w:rPr>
              <w:t>2</w:t>
            </w:r>
            <w:r>
              <w:rPr>
                <w:spacing w:val="-31"/>
              </w:rPr>
              <w:t xml:space="preserve"> </w:t>
            </w:r>
            <w:r>
              <w:rPr>
                <w:b/>
                <w:bCs/>
                <w:spacing w:val="-3"/>
              </w:rPr>
              <w:t>号）</w:t>
            </w:r>
          </w:p>
          <w:p w14:paraId="7439E49F">
            <w:pPr>
              <w:pStyle w:val="8"/>
              <w:spacing w:before="8" w:line="219" w:lineRule="auto"/>
              <w:ind w:left="471"/>
            </w:pPr>
            <w:r>
              <w:rPr>
                <w:spacing w:val="1"/>
              </w:rPr>
              <w:t>第二条  在中华人民共和国境内从事新建、扩建、改建等工程建设活动，必须执行工程建设强制性标</w:t>
            </w:r>
          </w:p>
          <w:p w14:paraId="0B1E441C">
            <w:pPr>
              <w:pStyle w:val="8"/>
              <w:spacing w:before="7" w:line="221" w:lineRule="auto"/>
              <w:ind w:left="112"/>
            </w:pPr>
            <w:r>
              <w:rPr>
                <w:spacing w:val="-10"/>
              </w:rPr>
              <w:t>准。</w:t>
            </w:r>
          </w:p>
          <w:p w14:paraId="6536D3DB">
            <w:pPr>
              <w:pStyle w:val="8"/>
              <w:spacing w:before="2" w:line="216" w:lineRule="auto"/>
              <w:ind w:left="110" w:right="116" w:firstLine="360"/>
            </w:pPr>
            <w:r>
              <w:rPr>
                <w:spacing w:val="-1"/>
              </w:rPr>
              <w:t>第十八条  施工单位违反工程建设强制性标准的，责</w:t>
            </w:r>
            <w:r>
              <w:rPr>
                <w:spacing w:val="-2"/>
              </w:rPr>
              <w:t>令改正，处工程合同价款</w:t>
            </w:r>
            <w:r>
              <w:rPr>
                <w:spacing w:val="-35"/>
              </w:rPr>
              <w:t xml:space="preserve"> </w:t>
            </w:r>
            <w:r>
              <w:rPr>
                <w:spacing w:val="-2"/>
              </w:rPr>
              <w:t>2%以上</w:t>
            </w:r>
            <w:r>
              <w:rPr>
                <w:spacing w:val="-40"/>
              </w:rPr>
              <w:t xml:space="preserve"> </w:t>
            </w:r>
            <w:r>
              <w:rPr>
                <w:spacing w:val="-2"/>
              </w:rPr>
              <w:t>4%以下的罚款；</w:t>
            </w:r>
            <w:r>
              <w:t xml:space="preserve"> </w:t>
            </w:r>
            <w:r>
              <w:rPr>
                <w:spacing w:val="1"/>
              </w:rPr>
              <w:t>造成建设工程质量不符合规定的质量标准的，负责返工、修理，并赔偿因此造成</w:t>
            </w:r>
            <w:r>
              <w:t xml:space="preserve">的损失；情节严重的，责 </w:t>
            </w:r>
            <w:r>
              <w:rPr>
                <w:spacing w:val="-2"/>
              </w:rPr>
              <w:t>令停业整顿，降低资质等级或者吊销资质证书。</w:t>
            </w:r>
          </w:p>
        </w:tc>
        <w:tc>
          <w:tcPr>
            <w:tcW w:w="1014" w:type="dxa"/>
            <w:vAlign w:val="top"/>
          </w:tcPr>
          <w:p w14:paraId="353BA586">
            <w:pPr>
              <w:rPr>
                <w:rFonts w:ascii="Arial"/>
                <w:sz w:val="21"/>
              </w:rPr>
            </w:pPr>
          </w:p>
        </w:tc>
        <w:tc>
          <w:tcPr>
            <w:tcW w:w="1407" w:type="dxa"/>
            <w:vAlign w:val="top"/>
          </w:tcPr>
          <w:p w14:paraId="0BE59873">
            <w:pPr>
              <w:rPr>
                <w:rFonts w:ascii="Arial"/>
                <w:sz w:val="21"/>
              </w:rPr>
            </w:pPr>
          </w:p>
        </w:tc>
        <w:tc>
          <w:tcPr>
            <w:tcW w:w="1018" w:type="dxa"/>
            <w:vAlign w:val="top"/>
          </w:tcPr>
          <w:p w14:paraId="163047B8">
            <w:pPr>
              <w:rPr>
                <w:rFonts w:ascii="Arial"/>
                <w:sz w:val="21"/>
              </w:rPr>
            </w:pPr>
          </w:p>
        </w:tc>
      </w:tr>
      <w:tr w14:paraId="457BD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3" w:hRule="atLeast"/>
        </w:trPr>
        <w:tc>
          <w:tcPr>
            <w:tcW w:w="624" w:type="dxa"/>
            <w:vAlign w:val="top"/>
          </w:tcPr>
          <w:p w14:paraId="535A22D9">
            <w:pPr>
              <w:spacing w:line="262" w:lineRule="auto"/>
              <w:rPr>
                <w:rFonts w:ascii="Arial"/>
                <w:sz w:val="21"/>
              </w:rPr>
            </w:pPr>
          </w:p>
          <w:p w14:paraId="072B5B43">
            <w:pPr>
              <w:spacing w:line="262" w:lineRule="auto"/>
              <w:rPr>
                <w:rFonts w:ascii="Arial"/>
                <w:sz w:val="21"/>
              </w:rPr>
            </w:pPr>
          </w:p>
          <w:p w14:paraId="130FC2D4">
            <w:pPr>
              <w:spacing w:line="262" w:lineRule="auto"/>
              <w:rPr>
                <w:rFonts w:ascii="Arial"/>
                <w:sz w:val="21"/>
              </w:rPr>
            </w:pPr>
          </w:p>
          <w:p w14:paraId="64376793">
            <w:pPr>
              <w:spacing w:line="263" w:lineRule="auto"/>
              <w:rPr>
                <w:rFonts w:ascii="Arial"/>
                <w:sz w:val="21"/>
              </w:rPr>
            </w:pPr>
          </w:p>
          <w:p w14:paraId="1B37FA8A">
            <w:pPr>
              <w:spacing w:line="263" w:lineRule="auto"/>
              <w:rPr>
                <w:rFonts w:ascii="Arial"/>
                <w:sz w:val="21"/>
              </w:rPr>
            </w:pPr>
          </w:p>
          <w:p w14:paraId="1924DA01">
            <w:pPr>
              <w:pStyle w:val="8"/>
              <w:spacing w:before="58" w:line="183" w:lineRule="auto"/>
              <w:ind w:left="273"/>
            </w:pPr>
            <w:r>
              <w:t>4</w:t>
            </w:r>
          </w:p>
        </w:tc>
        <w:tc>
          <w:tcPr>
            <w:tcW w:w="1104" w:type="dxa"/>
            <w:vAlign w:val="top"/>
          </w:tcPr>
          <w:p w14:paraId="0BFFCCAC">
            <w:pPr>
              <w:spacing w:line="472" w:lineRule="auto"/>
              <w:rPr>
                <w:rFonts w:ascii="Arial"/>
                <w:sz w:val="21"/>
              </w:rPr>
            </w:pPr>
          </w:p>
          <w:p w14:paraId="4B0F070A">
            <w:pPr>
              <w:pStyle w:val="8"/>
              <w:spacing w:before="59" w:line="242"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目必须</w:t>
            </w:r>
            <w:r>
              <w:t xml:space="preserve"> </w:t>
            </w:r>
            <w:r>
              <w:rPr>
                <w:spacing w:val="16"/>
              </w:rPr>
              <w:t>招标而不招</w:t>
            </w:r>
            <w:r>
              <w:rPr>
                <w:spacing w:val="1"/>
              </w:rPr>
              <w:t xml:space="preserve"> </w:t>
            </w:r>
            <w:r>
              <w:rPr>
                <w:spacing w:val="16"/>
              </w:rPr>
              <w:t>标行为的行</w:t>
            </w:r>
            <w:r>
              <w:rPr>
                <w:spacing w:val="1"/>
              </w:rPr>
              <w:t xml:space="preserve"> </w:t>
            </w:r>
            <w:r>
              <w:rPr>
                <w:spacing w:val="-2"/>
              </w:rPr>
              <w:t>政处罚</w:t>
            </w:r>
          </w:p>
        </w:tc>
        <w:tc>
          <w:tcPr>
            <w:tcW w:w="1104" w:type="dxa"/>
            <w:vAlign w:val="top"/>
          </w:tcPr>
          <w:p w14:paraId="1C9D9F93">
            <w:pPr>
              <w:spacing w:line="256" w:lineRule="auto"/>
              <w:rPr>
                <w:rFonts w:ascii="Arial"/>
                <w:sz w:val="21"/>
              </w:rPr>
            </w:pPr>
          </w:p>
          <w:p w14:paraId="35C57B7E">
            <w:pPr>
              <w:spacing w:line="257" w:lineRule="auto"/>
              <w:rPr>
                <w:rFonts w:ascii="Arial"/>
                <w:sz w:val="21"/>
              </w:rPr>
            </w:pPr>
          </w:p>
          <w:p w14:paraId="2867B93B">
            <w:pPr>
              <w:spacing w:line="257" w:lineRule="auto"/>
              <w:rPr>
                <w:rFonts w:ascii="Arial"/>
                <w:sz w:val="21"/>
              </w:rPr>
            </w:pPr>
          </w:p>
          <w:p w14:paraId="6B875FF2">
            <w:pPr>
              <w:spacing w:line="257" w:lineRule="auto"/>
              <w:rPr>
                <w:rFonts w:ascii="Arial"/>
                <w:sz w:val="21"/>
              </w:rPr>
            </w:pPr>
          </w:p>
          <w:p w14:paraId="7EEF97B5">
            <w:pPr>
              <w:spacing w:line="257" w:lineRule="auto"/>
              <w:rPr>
                <w:rFonts w:ascii="Arial"/>
                <w:sz w:val="21"/>
              </w:rPr>
            </w:pPr>
          </w:p>
          <w:p w14:paraId="3EE396ED">
            <w:pPr>
              <w:pStyle w:val="8"/>
              <w:spacing w:before="58" w:line="220" w:lineRule="auto"/>
              <w:ind w:left="10"/>
            </w:pPr>
            <w:r>
              <w:rPr>
                <w:spacing w:val="-2"/>
              </w:rPr>
              <w:t>行政处罚</w:t>
            </w:r>
          </w:p>
        </w:tc>
        <w:tc>
          <w:tcPr>
            <w:tcW w:w="8549" w:type="dxa"/>
            <w:vAlign w:val="top"/>
          </w:tcPr>
          <w:p w14:paraId="35806093">
            <w:pPr>
              <w:pStyle w:val="8"/>
              <w:spacing w:before="23" w:line="219" w:lineRule="auto"/>
              <w:ind w:left="476"/>
            </w:pPr>
            <w:r>
              <w:rPr>
                <w:b/>
                <w:bCs/>
                <w:spacing w:val="-3"/>
              </w:rPr>
              <w:t>《中华人民共和国招标投标法》</w:t>
            </w:r>
          </w:p>
          <w:p w14:paraId="5BFF5602">
            <w:pPr>
              <w:pStyle w:val="8"/>
              <w:spacing w:before="6" w:line="223" w:lineRule="auto"/>
              <w:ind w:left="110" w:right="159" w:firstLine="360"/>
            </w:pPr>
            <w:r>
              <w:t>第三条  在中华人民共和国境内进行下列工程建设项目包括项目的勘察、设计、</w:t>
            </w:r>
            <w:r>
              <w:rPr>
                <w:spacing w:val="-1"/>
              </w:rPr>
              <w:t>施工、监理以及与工</w:t>
            </w:r>
            <w:r>
              <w:t xml:space="preserve"> </w:t>
            </w:r>
            <w:r>
              <w:rPr>
                <w:spacing w:val="-2"/>
              </w:rPr>
              <w:t>程建设有关的重要设备、材料等的采购，必须进行招标：</w:t>
            </w:r>
          </w:p>
          <w:p w14:paraId="2671C0FC">
            <w:pPr>
              <w:pStyle w:val="8"/>
              <w:spacing w:before="4" w:line="219" w:lineRule="auto"/>
              <w:ind w:left="481"/>
            </w:pPr>
            <w:r>
              <w:rPr>
                <w:spacing w:val="-2"/>
              </w:rPr>
              <w:t>（一）大型基础设施、公用事业等关系社会公共利益、公众安全的项目；</w:t>
            </w:r>
          </w:p>
          <w:p w14:paraId="713A3FBE">
            <w:pPr>
              <w:pStyle w:val="8"/>
              <w:spacing w:before="7" w:line="219" w:lineRule="auto"/>
              <w:ind w:left="481"/>
            </w:pPr>
            <w:r>
              <w:rPr>
                <w:spacing w:val="-3"/>
              </w:rPr>
              <w:t>（二）全部或者部分使用国有资金投资或者国家融资的项目；</w:t>
            </w:r>
          </w:p>
          <w:p w14:paraId="40C411A2">
            <w:pPr>
              <w:pStyle w:val="8"/>
              <w:spacing w:before="6" w:line="219" w:lineRule="auto"/>
              <w:ind w:left="481"/>
            </w:pPr>
            <w:r>
              <w:rPr>
                <w:spacing w:val="-2"/>
              </w:rPr>
              <w:t>（三）使用国际组织或者外国政府贷款、援助资金的项目。</w:t>
            </w:r>
          </w:p>
          <w:p w14:paraId="1F6364BD">
            <w:pPr>
              <w:pStyle w:val="8"/>
              <w:spacing w:before="5" w:line="224" w:lineRule="auto"/>
              <w:ind w:left="112" w:right="159" w:firstLine="361"/>
            </w:pPr>
            <w:r>
              <w:t>前款所列项目的具体范围和规模标准，由国务院发展计划部门会同国务院有</w:t>
            </w:r>
            <w:r>
              <w:rPr>
                <w:spacing w:val="-1"/>
              </w:rPr>
              <w:t>关部门制订，报国务院批</w:t>
            </w:r>
            <w:r>
              <w:t xml:space="preserve"> </w:t>
            </w:r>
            <w:r>
              <w:rPr>
                <w:spacing w:val="-9"/>
              </w:rPr>
              <w:t>准。</w:t>
            </w:r>
          </w:p>
          <w:p w14:paraId="58F73C17">
            <w:pPr>
              <w:pStyle w:val="8"/>
              <w:spacing w:before="5" w:line="219" w:lineRule="auto"/>
              <w:ind w:left="471"/>
            </w:pPr>
            <w:r>
              <w:rPr>
                <w:spacing w:val="-1"/>
              </w:rPr>
              <w:t>法律或者国务院对必须进行招标的其他项目的范围有规定的，</w:t>
            </w:r>
            <w:r>
              <w:rPr>
                <w:spacing w:val="-2"/>
              </w:rPr>
              <w:t>依照其规定。</w:t>
            </w:r>
          </w:p>
          <w:p w14:paraId="6537E839">
            <w:pPr>
              <w:pStyle w:val="8"/>
              <w:spacing w:before="5" w:line="218" w:lineRule="auto"/>
              <w:ind w:left="111" w:right="159" w:firstLine="360"/>
            </w:pPr>
            <w:r>
              <w:t>第四十九条  违反本法规定，必须进行招标的项目而不招标的，将必须进行招标</w:t>
            </w:r>
            <w:r>
              <w:rPr>
                <w:spacing w:val="-1"/>
              </w:rPr>
              <w:t>的项目化整为零或者</w:t>
            </w:r>
            <w:r>
              <w:t xml:space="preserve"> 以其他任何方式规避招标的，责令限期改正，可以处项目合同金额千分之五以上千分</w:t>
            </w:r>
            <w:r>
              <w:rPr>
                <w:spacing w:val="-1"/>
              </w:rPr>
              <w:t>之十以下的罚款；对</w:t>
            </w:r>
            <w:r>
              <w:t xml:space="preserve"> 全部或者部分使用国有资金的项目，可以暂停项目执行或者暂停资金拨付；对单位直</w:t>
            </w:r>
            <w:r>
              <w:rPr>
                <w:spacing w:val="-1"/>
              </w:rPr>
              <w:t>接负责的主管人员和</w:t>
            </w:r>
            <w:r>
              <w:t xml:space="preserve"> </w:t>
            </w:r>
            <w:r>
              <w:rPr>
                <w:spacing w:val="-3"/>
              </w:rPr>
              <w:t>其他直接责任人员依法给予处分。</w:t>
            </w:r>
          </w:p>
        </w:tc>
        <w:tc>
          <w:tcPr>
            <w:tcW w:w="1014" w:type="dxa"/>
            <w:vAlign w:val="top"/>
          </w:tcPr>
          <w:p w14:paraId="236F8B99">
            <w:pPr>
              <w:spacing w:line="291" w:lineRule="auto"/>
              <w:rPr>
                <w:rFonts w:ascii="Arial"/>
                <w:sz w:val="21"/>
              </w:rPr>
            </w:pPr>
          </w:p>
          <w:p w14:paraId="182F6978">
            <w:pPr>
              <w:spacing w:line="291" w:lineRule="auto"/>
              <w:rPr>
                <w:rFonts w:ascii="Arial"/>
                <w:sz w:val="21"/>
              </w:rPr>
            </w:pPr>
          </w:p>
          <w:p w14:paraId="1328FC5C">
            <w:pPr>
              <w:spacing w:line="291" w:lineRule="auto"/>
              <w:rPr>
                <w:rFonts w:ascii="Arial"/>
                <w:sz w:val="21"/>
              </w:rPr>
            </w:pPr>
          </w:p>
          <w:p w14:paraId="681235B5">
            <w:pPr>
              <w:spacing w:line="291" w:lineRule="auto"/>
              <w:rPr>
                <w:rFonts w:ascii="Arial"/>
                <w:sz w:val="21"/>
              </w:rPr>
            </w:pPr>
          </w:p>
          <w:p w14:paraId="59C7AD62">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40A9624D">
            <w:pPr>
              <w:spacing w:line="291" w:lineRule="auto"/>
              <w:rPr>
                <w:rFonts w:ascii="Arial"/>
                <w:sz w:val="21"/>
              </w:rPr>
            </w:pPr>
          </w:p>
          <w:p w14:paraId="4B8F481B">
            <w:pPr>
              <w:spacing w:line="291" w:lineRule="auto"/>
              <w:rPr>
                <w:rFonts w:ascii="Arial"/>
                <w:sz w:val="21"/>
              </w:rPr>
            </w:pPr>
          </w:p>
          <w:p w14:paraId="0E754796">
            <w:pPr>
              <w:spacing w:line="291" w:lineRule="auto"/>
              <w:rPr>
                <w:rFonts w:ascii="Arial"/>
                <w:sz w:val="21"/>
              </w:rPr>
            </w:pPr>
          </w:p>
          <w:p w14:paraId="446E3309">
            <w:pPr>
              <w:spacing w:line="291" w:lineRule="auto"/>
              <w:rPr>
                <w:rFonts w:ascii="Arial"/>
                <w:sz w:val="21"/>
              </w:rPr>
            </w:pPr>
          </w:p>
          <w:p w14:paraId="278A0B5A">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9315B69">
            <w:pPr>
              <w:spacing w:line="309" w:lineRule="auto"/>
              <w:rPr>
                <w:rFonts w:ascii="Arial"/>
                <w:sz w:val="21"/>
              </w:rPr>
            </w:pPr>
          </w:p>
          <w:p w14:paraId="1B67FC48">
            <w:pPr>
              <w:spacing w:line="309" w:lineRule="auto"/>
              <w:rPr>
                <w:rFonts w:ascii="Arial"/>
                <w:sz w:val="21"/>
              </w:rPr>
            </w:pPr>
          </w:p>
          <w:p w14:paraId="07E82DCD">
            <w:pPr>
              <w:spacing w:line="309" w:lineRule="auto"/>
              <w:rPr>
                <w:rFonts w:ascii="Arial"/>
                <w:sz w:val="21"/>
              </w:rPr>
            </w:pPr>
          </w:p>
          <w:p w14:paraId="0CD27D7D">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1279C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624" w:type="dxa"/>
            <w:vAlign w:val="top"/>
          </w:tcPr>
          <w:p w14:paraId="0C44D53A">
            <w:pPr>
              <w:rPr>
                <w:rFonts w:ascii="Arial"/>
                <w:sz w:val="21"/>
              </w:rPr>
            </w:pPr>
          </w:p>
          <w:p w14:paraId="2960DA1B">
            <w:pPr>
              <w:rPr>
                <w:rFonts w:ascii="Arial"/>
                <w:sz w:val="21"/>
              </w:rPr>
            </w:pPr>
          </w:p>
          <w:p w14:paraId="21BAC69C">
            <w:pPr>
              <w:rPr>
                <w:rFonts w:ascii="Arial"/>
                <w:sz w:val="21"/>
              </w:rPr>
            </w:pPr>
          </w:p>
          <w:p w14:paraId="487CE1BC">
            <w:pPr>
              <w:rPr>
                <w:rFonts w:ascii="Arial"/>
                <w:sz w:val="21"/>
              </w:rPr>
            </w:pPr>
          </w:p>
          <w:p w14:paraId="01BCFFC6">
            <w:pPr>
              <w:rPr>
                <w:rFonts w:ascii="Arial"/>
                <w:sz w:val="21"/>
              </w:rPr>
            </w:pPr>
          </w:p>
          <w:p w14:paraId="2E993942">
            <w:pPr>
              <w:spacing w:line="241" w:lineRule="auto"/>
              <w:rPr>
                <w:rFonts w:ascii="Arial"/>
                <w:sz w:val="21"/>
              </w:rPr>
            </w:pPr>
          </w:p>
          <w:p w14:paraId="09A6B17C">
            <w:pPr>
              <w:spacing w:line="241" w:lineRule="auto"/>
              <w:rPr>
                <w:rFonts w:ascii="Arial"/>
                <w:sz w:val="21"/>
              </w:rPr>
            </w:pPr>
          </w:p>
          <w:p w14:paraId="269C95FC">
            <w:pPr>
              <w:pStyle w:val="8"/>
              <w:spacing w:before="59" w:line="182" w:lineRule="auto"/>
              <w:ind w:left="278"/>
            </w:pPr>
            <w:r>
              <w:t>5</w:t>
            </w:r>
          </w:p>
        </w:tc>
        <w:tc>
          <w:tcPr>
            <w:tcW w:w="1104" w:type="dxa"/>
            <w:vAlign w:val="top"/>
          </w:tcPr>
          <w:p w14:paraId="24BEDF5C">
            <w:pPr>
              <w:spacing w:line="264" w:lineRule="auto"/>
              <w:rPr>
                <w:rFonts w:ascii="Arial"/>
                <w:sz w:val="21"/>
              </w:rPr>
            </w:pPr>
          </w:p>
          <w:p w14:paraId="05F948C7">
            <w:pPr>
              <w:spacing w:line="264" w:lineRule="auto"/>
              <w:rPr>
                <w:rFonts w:ascii="Arial"/>
                <w:sz w:val="21"/>
              </w:rPr>
            </w:pPr>
          </w:p>
          <w:p w14:paraId="59461125">
            <w:pPr>
              <w:spacing w:line="264" w:lineRule="auto"/>
              <w:rPr>
                <w:rFonts w:ascii="Arial"/>
                <w:sz w:val="21"/>
              </w:rPr>
            </w:pPr>
          </w:p>
          <w:p w14:paraId="07E4B3AC">
            <w:pPr>
              <w:spacing w:line="265" w:lineRule="auto"/>
              <w:rPr>
                <w:rFonts w:ascii="Arial"/>
                <w:sz w:val="21"/>
              </w:rPr>
            </w:pPr>
          </w:p>
          <w:p w14:paraId="1DB40674">
            <w:pPr>
              <w:pStyle w:val="8"/>
              <w:spacing w:before="58" w:line="241"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目肢解</w:t>
            </w:r>
            <w:r>
              <w:t xml:space="preserve"> </w:t>
            </w:r>
            <w:r>
              <w:rPr>
                <w:spacing w:val="16"/>
              </w:rPr>
              <w:t>发包行为的</w:t>
            </w:r>
            <w:r>
              <w:rPr>
                <w:spacing w:val="1"/>
              </w:rPr>
              <w:t xml:space="preserve"> </w:t>
            </w:r>
            <w:r>
              <w:rPr>
                <w:spacing w:val="-2"/>
              </w:rPr>
              <w:t>行政处罚</w:t>
            </w:r>
          </w:p>
        </w:tc>
        <w:tc>
          <w:tcPr>
            <w:tcW w:w="1104" w:type="dxa"/>
            <w:vAlign w:val="top"/>
          </w:tcPr>
          <w:p w14:paraId="5F618107">
            <w:pPr>
              <w:spacing w:line="275" w:lineRule="auto"/>
              <w:rPr>
                <w:rFonts w:ascii="Arial"/>
                <w:sz w:val="21"/>
              </w:rPr>
            </w:pPr>
          </w:p>
          <w:p w14:paraId="4749FAB0">
            <w:pPr>
              <w:spacing w:line="275" w:lineRule="auto"/>
              <w:rPr>
                <w:rFonts w:ascii="Arial"/>
                <w:sz w:val="21"/>
              </w:rPr>
            </w:pPr>
          </w:p>
          <w:p w14:paraId="3FCBB963">
            <w:pPr>
              <w:spacing w:line="275" w:lineRule="auto"/>
              <w:rPr>
                <w:rFonts w:ascii="Arial"/>
                <w:sz w:val="21"/>
              </w:rPr>
            </w:pPr>
          </w:p>
          <w:p w14:paraId="0EB0D0E6">
            <w:pPr>
              <w:spacing w:line="276" w:lineRule="auto"/>
              <w:rPr>
                <w:rFonts w:ascii="Arial"/>
                <w:sz w:val="21"/>
              </w:rPr>
            </w:pPr>
          </w:p>
          <w:p w14:paraId="39F597B8">
            <w:pPr>
              <w:spacing w:line="276" w:lineRule="auto"/>
              <w:rPr>
                <w:rFonts w:ascii="Arial"/>
                <w:sz w:val="21"/>
              </w:rPr>
            </w:pPr>
          </w:p>
          <w:p w14:paraId="6736C288">
            <w:pPr>
              <w:spacing w:line="276" w:lineRule="auto"/>
              <w:rPr>
                <w:rFonts w:ascii="Arial"/>
                <w:sz w:val="21"/>
              </w:rPr>
            </w:pPr>
          </w:p>
          <w:p w14:paraId="0B205ED3">
            <w:pPr>
              <w:pStyle w:val="8"/>
              <w:spacing w:before="59" w:line="220" w:lineRule="auto"/>
              <w:ind w:left="10"/>
            </w:pPr>
            <w:r>
              <w:rPr>
                <w:spacing w:val="-2"/>
              </w:rPr>
              <w:t>行政处罚</w:t>
            </w:r>
          </w:p>
        </w:tc>
        <w:tc>
          <w:tcPr>
            <w:tcW w:w="8549" w:type="dxa"/>
            <w:vAlign w:val="top"/>
          </w:tcPr>
          <w:p w14:paraId="3637743D">
            <w:pPr>
              <w:pStyle w:val="8"/>
              <w:spacing w:before="42" w:line="219" w:lineRule="auto"/>
              <w:ind w:left="484"/>
            </w:pPr>
            <w:r>
              <w:rPr>
                <w:b/>
                <w:bCs/>
                <w:spacing w:val="-4"/>
              </w:rPr>
              <w:t>1.《中华人民共和国招标投标法》</w:t>
            </w:r>
          </w:p>
          <w:p w14:paraId="1F22EA91">
            <w:pPr>
              <w:pStyle w:val="8"/>
              <w:spacing w:before="25" w:line="219" w:lineRule="auto"/>
              <w:ind w:left="471"/>
            </w:pPr>
            <w:r>
              <w:rPr>
                <w:spacing w:val="-1"/>
              </w:rPr>
              <w:t>第四条  任何单位和个人不得将依法必须进行招标的项目化整为零或者以其他任何方式规避招标。</w:t>
            </w:r>
          </w:p>
          <w:p w14:paraId="2874A204">
            <w:pPr>
              <w:pStyle w:val="8"/>
              <w:spacing w:before="28" w:line="239" w:lineRule="auto"/>
              <w:ind w:left="111" w:right="159" w:firstLine="360"/>
            </w:pPr>
            <w:r>
              <w:t>第四十九条  违反本法规定，必须进行招标的项目而不招标的，将必须进行招标</w:t>
            </w:r>
            <w:r>
              <w:rPr>
                <w:spacing w:val="-1"/>
              </w:rPr>
              <w:t>的项目化整为零或者</w:t>
            </w:r>
            <w:r>
              <w:t xml:space="preserve"> 以其他任何方式规避招标的，责令限期改正，可以处项目合同金额千分之五以上千分</w:t>
            </w:r>
            <w:r>
              <w:rPr>
                <w:spacing w:val="-1"/>
              </w:rPr>
              <w:t>之十以下的罚款；对</w:t>
            </w:r>
            <w:r>
              <w:t xml:space="preserve"> 全部或者部分使用国有资金的项目，可以暂停项目执行或者暂停资金拨付；对单位直</w:t>
            </w:r>
            <w:r>
              <w:rPr>
                <w:spacing w:val="-1"/>
              </w:rPr>
              <w:t>接负责的主管人员和</w:t>
            </w:r>
            <w:r>
              <w:t xml:space="preserve"> </w:t>
            </w:r>
            <w:r>
              <w:rPr>
                <w:spacing w:val="-3"/>
              </w:rPr>
              <w:t>其他直接责任人员依法给予处分。</w:t>
            </w:r>
          </w:p>
          <w:p w14:paraId="7B1B95A6">
            <w:pPr>
              <w:pStyle w:val="8"/>
              <w:spacing w:before="26" w:line="219" w:lineRule="auto"/>
              <w:ind w:left="473"/>
            </w:pPr>
            <w:r>
              <w:rPr>
                <w:b/>
                <w:bCs/>
                <w:spacing w:val="-3"/>
              </w:rPr>
              <w:t>2.《中华人民共和国招标投标法实施条例》</w:t>
            </w:r>
          </w:p>
          <w:p w14:paraId="4AB6A1AB">
            <w:pPr>
              <w:pStyle w:val="8"/>
              <w:spacing w:before="26" w:line="233" w:lineRule="auto"/>
              <w:ind w:left="114" w:right="204" w:firstLine="356"/>
            </w:pPr>
            <w:r>
              <w:rPr>
                <w:spacing w:val="-1"/>
              </w:rPr>
              <w:t>第五十九条  中标人应当按照合同约定履行义务，完成中标项目。中标人不得向</w:t>
            </w:r>
            <w:r>
              <w:rPr>
                <w:spacing w:val="-2"/>
              </w:rPr>
              <w:t>他人转让中标项目，</w:t>
            </w:r>
            <w:r>
              <w:t xml:space="preserve"> </w:t>
            </w:r>
            <w:r>
              <w:rPr>
                <w:spacing w:val="-2"/>
              </w:rPr>
              <w:t>也不得将中标项目肢解后分别向他人转让。</w:t>
            </w:r>
          </w:p>
          <w:p w14:paraId="78E9D4F4">
            <w:pPr>
              <w:pStyle w:val="8"/>
              <w:spacing w:before="26" w:line="233" w:lineRule="auto"/>
              <w:ind w:left="112" w:right="159" w:firstLine="375"/>
            </w:pPr>
            <w:r>
              <w:t>中标人按照合同约定或者经招标人同意，可</w:t>
            </w:r>
            <w:r>
              <w:rPr>
                <w:spacing w:val="-1"/>
              </w:rPr>
              <w:t>以将中标项目的部分非主体、非关键性工作分包给他人完</w:t>
            </w:r>
            <w:r>
              <w:t xml:space="preserve"> </w:t>
            </w:r>
            <w:r>
              <w:rPr>
                <w:spacing w:val="-1"/>
              </w:rPr>
              <w:t>成。接受分包的人应当具备相应的资格条件，并</w:t>
            </w:r>
            <w:r>
              <w:rPr>
                <w:spacing w:val="-2"/>
              </w:rPr>
              <w:t>不得再次分包。</w:t>
            </w:r>
          </w:p>
          <w:p w14:paraId="4BC8CD5E">
            <w:pPr>
              <w:pStyle w:val="8"/>
              <w:spacing w:before="26" w:line="219" w:lineRule="auto"/>
              <w:ind w:left="488"/>
            </w:pPr>
            <w:r>
              <w:rPr>
                <w:spacing w:val="-2"/>
              </w:rPr>
              <w:t>中标人应当就分包项目向招标人负责，接受分包的人就分包项目承担连带责任。</w:t>
            </w:r>
          </w:p>
          <w:p w14:paraId="497A8702">
            <w:pPr>
              <w:pStyle w:val="8"/>
              <w:spacing w:before="27" w:line="230" w:lineRule="auto"/>
              <w:ind w:left="111" w:right="159" w:firstLine="359"/>
            </w:pPr>
            <w:r>
              <w:t>第七十六条  中标人将中标项目转让给他人的，将中标项目肢解后分别转让给他</w:t>
            </w:r>
            <w:r>
              <w:rPr>
                <w:spacing w:val="-1"/>
              </w:rPr>
              <w:t>人的，违反招标投标</w:t>
            </w:r>
            <w:r>
              <w:t xml:space="preserve"> 法和本条例规定将中标项目的部分主体、关键性工作分包给他人的，或者分包人再次</w:t>
            </w:r>
            <w:r>
              <w:rPr>
                <w:spacing w:val="-1"/>
              </w:rPr>
              <w:t>分包的，转让、分包</w:t>
            </w:r>
            <w:r>
              <w:t xml:space="preserve"> </w:t>
            </w:r>
            <w:r>
              <w:rPr>
                <w:spacing w:val="-1"/>
              </w:rPr>
              <w:t>无效，处转让、分包项目金额</w:t>
            </w:r>
            <w:r>
              <w:rPr>
                <w:spacing w:val="-28"/>
              </w:rPr>
              <w:t xml:space="preserve"> </w:t>
            </w:r>
            <w:r>
              <w:rPr>
                <w:spacing w:val="-1"/>
              </w:rPr>
              <w:t>5‰以上</w:t>
            </w:r>
            <w:r>
              <w:rPr>
                <w:spacing w:val="-24"/>
              </w:rPr>
              <w:t xml:space="preserve"> </w:t>
            </w:r>
            <w:r>
              <w:rPr>
                <w:spacing w:val="-1"/>
              </w:rPr>
              <w:t>10‰以下的罚款；有违法所得的，并处没收违法所得；可以责令停</w:t>
            </w:r>
          </w:p>
        </w:tc>
        <w:tc>
          <w:tcPr>
            <w:tcW w:w="1014" w:type="dxa"/>
            <w:vAlign w:val="top"/>
          </w:tcPr>
          <w:p w14:paraId="32A70BAB">
            <w:pPr>
              <w:spacing w:line="255" w:lineRule="auto"/>
              <w:rPr>
                <w:rFonts w:ascii="Arial"/>
                <w:sz w:val="21"/>
              </w:rPr>
            </w:pPr>
          </w:p>
          <w:p w14:paraId="37E39717">
            <w:pPr>
              <w:spacing w:line="255" w:lineRule="auto"/>
              <w:rPr>
                <w:rFonts w:ascii="Arial"/>
                <w:sz w:val="21"/>
              </w:rPr>
            </w:pPr>
          </w:p>
          <w:p w14:paraId="1CAAA179">
            <w:pPr>
              <w:spacing w:line="256" w:lineRule="auto"/>
              <w:rPr>
                <w:rFonts w:ascii="Arial"/>
                <w:sz w:val="21"/>
              </w:rPr>
            </w:pPr>
          </w:p>
          <w:p w14:paraId="1CC79B96">
            <w:pPr>
              <w:spacing w:line="256" w:lineRule="auto"/>
              <w:rPr>
                <w:rFonts w:ascii="Arial"/>
                <w:sz w:val="21"/>
              </w:rPr>
            </w:pPr>
          </w:p>
          <w:p w14:paraId="0F5E29B1">
            <w:pPr>
              <w:spacing w:line="256" w:lineRule="auto"/>
              <w:rPr>
                <w:rFonts w:ascii="Arial"/>
                <w:sz w:val="21"/>
              </w:rPr>
            </w:pPr>
          </w:p>
          <w:p w14:paraId="2A07A84C">
            <w:pPr>
              <w:spacing w:line="256" w:lineRule="auto"/>
              <w:rPr>
                <w:rFonts w:ascii="Arial"/>
                <w:sz w:val="21"/>
              </w:rPr>
            </w:pPr>
          </w:p>
          <w:p w14:paraId="62B73181">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C7313C8">
            <w:pPr>
              <w:spacing w:line="255" w:lineRule="auto"/>
              <w:rPr>
                <w:rFonts w:ascii="Arial"/>
                <w:sz w:val="21"/>
              </w:rPr>
            </w:pPr>
          </w:p>
          <w:p w14:paraId="2DF4BE24">
            <w:pPr>
              <w:spacing w:line="255" w:lineRule="auto"/>
              <w:rPr>
                <w:rFonts w:ascii="Arial"/>
                <w:sz w:val="21"/>
              </w:rPr>
            </w:pPr>
          </w:p>
          <w:p w14:paraId="72310CEF">
            <w:pPr>
              <w:spacing w:line="256" w:lineRule="auto"/>
              <w:rPr>
                <w:rFonts w:ascii="Arial"/>
                <w:sz w:val="21"/>
              </w:rPr>
            </w:pPr>
          </w:p>
          <w:p w14:paraId="2039B0EC">
            <w:pPr>
              <w:spacing w:line="256" w:lineRule="auto"/>
              <w:rPr>
                <w:rFonts w:ascii="Arial"/>
                <w:sz w:val="21"/>
              </w:rPr>
            </w:pPr>
          </w:p>
          <w:p w14:paraId="0F321C92">
            <w:pPr>
              <w:spacing w:line="256" w:lineRule="auto"/>
              <w:rPr>
                <w:rFonts w:ascii="Arial"/>
                <w:sz w:val="21"/>
              </w:rPr>
            </w:pPr>
          </w:p>
          <w:p w14:paraId="3DC34405">
            <w:pPr>
              <w:spacing w:line="256" w:lineRule="auto"/>
              <w:rPr>
                <w:rFonts w:ascii="Arial"/>
                <w:sz w:val="21"/>
              </w:rPr>
            </w:pPr>
          </w:p>
          <w:p w14:paraId="5404B92B">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2AF5EC4">
            <w:pPr>
              <w:spacing w:line="259" w:lineRule="auto"/>
              <w:rPr>
                <w:rFonts w:ascii="Arial"/>
                <w:sz w:val="21"/>
              </w:rPr>
            </w:pPr>
          </w:p>
          <w:p w14:paraId="21E6F3D7">
            <w:pPr>
              <w:spacing w:line="259" w:lineRule="auto"/>
              <w:rPr>
                <w:rFonts w:ascii="Arial"/>
                <w:sz w:val="21"/>
              </w:rPr>
            </w:pPr>
          </w:p>
          <w:p w14:paraId="0F77BC61">
            <w:pPr>
              <w:spacing w:line="259" w:lineRule="auto"/>
              <w:rPr>
                <w:rFonts w:ascii="Arial"/>
                <w:sz w:val="21"/>
              </w:rPr>
            </w:pPr>
          </w:p>
          <w:p w14:paraId="3DC27F72">
            <w:pPr>
              <w:spacing w:line="260" w:lineRule="auto"/>
              <w:rPr>
                <w:rFonts w:ascii="Arial"/>
                <w:sz w:val="21"/>
              </w:rPr>
            </w:pPr>
          </w:p>
          <w:p w14:paraId="166C4DEE">
            <w:pPr>
              <w:spacing w:line="260" w:lineRule="auto"/>
              <w:rPr>
                <w:rFonts w:ascii="Arial"/>
                <w:sz w:val="21"/>
              </w:rPr>
            </w:pPr>
          </w:p>
          <w:p w14:paraId="7128505E">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09556122">
      <w:pPr>
        <w:pStyle w:val="2"/>
      </w:pPr>
    </w:p>
    <w:p w14:paraId="0C652E56">
      <w:pPr>
        <w:sectPr>
          <w:footerReference r:id="rId78" w:type="default"/>
          <w:pgSz w:w="16839" w:h="11906"/>
          <w:pgMar w:top="1012" w:right="991" w:bottom="966" w:left="1021" w:header="0" w:footer="768" w:gutter="0"/>
          <w:cols w:space="720" w:num="1"/>
        </w:sectPr>
      </w:pPr>
    </w:p>
    <w:p w14:paraId="41116E9D">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31B3F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42FC789F">
            <w:pPr>
              <w:pStyle w:val="8"/>
              <w:spacing w:before="267" w:line="221" w:lineRule="auto"/>
              <w:ind w:left="134"/>
            </w:pPr>
            <w:r>
              <w:rPr>
                <w:b/>
                <w:bCs/>
                <w:spacing w:val="-4"/>
              </w:rPr>
              <w:t>序号</w:t>
            </w:r>
          </w:p>
        </w:tc>
        <w:tc>
          <w:tcPr>
            <w:tcW w:w="1104" w:type="dxa"/>
            <w:vMerge w:val="restart"/>
            <w:tcBorders>
              <w:bottom w:val="nil"/>
            </w:tcBorders>
            <w:vAlign w:val="top"/>
          </w:tcPr>
          <w:p w14:paraId="36C09625">
            <w:pPr>
              <w:pStyle w:val="8"/>
              <w:spacing w:before="260" w:line="220" w:lineRule="auto"/>
              <w:ind w:left="192"/>
            </w:pPr>
            <w:r>
              <w:rPr>
                <w:b/>
                <w:bCs/>
                <w:spacing w:val="-4"/>
              </w:rPr>
              <w:t>事项名称</w:t>
            </w:r>
          </w:p>
        </w:tc>
        <w:tc>
          <w:tcPr>
            <w:tcW w:w="1104" w:type="dxa"/>
            <w:vMerge w:val="restart"/>
            <w:tcBorders>
              <w:bottom w:val="nil"/>
            </w:tcBorders>
            <w:vAlign w:val="top"/>
          </w:tcPr>
          <w:p w14:paraId="3BE47883">
            <w:pPr>
              <w:pStyle w:val="8"/>
              <w:spacing w:before="260" w:line="219" w:lineRule="auto"/>
              <w:ind w:left="193"/>
            </w:pPr>
            <w:r>
              <w:rPr>
                <w:b/>
                <w:bCs/>
                <w:spacing w:val="-4"/>
              </w:rPr>
              <w:t>职权类型</w:t>
            </w:r>
          </w:p>
        </w:tc>
        <w:tc>
          <w:tcPr>
            <w:tcW w:w="8549" w:type="dxa"/>
            <w:vMerge w:val="restart"/>
            <w:tcBorders>
              <w:bottom w:val="nil"/>
            </w:tcBorders>
            <w:vAlign w:val="top"/>
          </w:tcPr>
          <w:p w14:paraId="2EFC825D">
            <w:pPr>
              <w:pStyle w:val="8"/>
              <w:spacing w:before="259" w:line="219" w:lineRule="auto"/>
              <w:ind w:left="3921"/>
            </w:pPr>
            <w:r>
              <w:rPr>
                <w:b/>
                <w:bCs/>
                <w:spacing w:val="-5"/>
              </w:rPr>
              <w:t>实施依据</w:t>
            </w:r>
          </w:p>
        </w:tc>
        <w:tc>
          <w:tcPr>
            <w:tcW w:w="3439" w:type="dxa"/>
            <w:gridSpan w:val="3"/>
            <w:vAlign w:val="top"/>
          </w:tcPr>
          <w:p w14:paraId="107D0A9B">
            <w:pPr>
              <w:pStyle w:val="8"/>
              <w:spacing w:before="85" w:line="220" w:lineRule="auto"/>
              <w:ind w:left="1365"/>
            </w:pPr>
            <w:r>
              <w:rPr>
                <w:b/>
                <w:bCs/>
                <w:spacing w:val="-5"/>
              </w:rPr>
              <w:t>实施主体</w:t>
            </w:r>
          </w:p>
        </w:tc>
      </w:tr>
      <w:tr w14:paraId="3CDDD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2308B27A">
            <w:pPr>
              <w:rPr>
                <w:rFonts w:ascii="Arial"/>
                <w:sz w:val="21"/>
              </w:rPr>
            </w:pPr>
          </w:p>
        </w:tc>
        <w:tc>
          <w:tcPr>
            <w:tcW w:w="1104" w:type="dxa"/>
            <w:vMerge w:val="continue"/>
            <w:tcBorders>
              <w:top w:val="nil"/>
            </w:tcBorders>
            <w:vAlign w:val="top"/>
          </w:tcPr>
          <w:p w14:paraId="36F1E4B2">
            <w:pPr>
              <w:rPr>
                <w:rFonts w:ascii="Arial"/>
                <w:sz w:val="21"/>
              </w:rPr>
            </w:pPr>
          </w:p>
        </w:tc>
        <w:tc>
          <w:tcPr>
            <w:tcW w:w="1104" w:type="dxa"/>
            <w:vMerge w:val="continue"/>
            <w:tcBorders>
              <w:top w:val="nil"/>
            </w:tcBorders>
            <w:vAlign w:val="top"/>
          </w:tcPr>
          <w:p w14:paraId="2C46E885">
            <w:pPr>
              <w:rPr>
                <w:rFonts w:ascii="Arial"/>
                <w:sz w:val="21"/>
              </w:rPr>
            </w:pPr>
          </w:p>
        </w:tc>
        <w:tc>
          <w:tcPr>
            <w:tcW w:w="8549" w:type="dxa"/>
            <w:vMerge w:val="continue"/>
            <w:tcBorders>
              <w:top w:val="nil"/>
            </w:tcBorders>
            <w:vAlign w:val="top"/>
          </w:tcPr>
          <w:p w14:paraId="6AD4ADEC">
            <w:pPr>
              <w:rPr>
                <w:rFonts w:ascii="Arial"/>
                <w:sz w:val="21"/>
              </w:rPr>
            </w:pPr>
          </w:p>
        </w:tc>
        <w:tc>
          <w:tcPr>
            <w:tcW w:w="1014" w:type="dxa"/>
            <w:vAlign w:val="top"/>
          </w:tcPr>
          <w:p w14:paraId="1A8B52F4">
            <w:pPr>
              <w:pStyle w:val="8"/>
              <w:spacing w:before="81" w:line="219" w:lineRule="auto"/>
              <w:ind w:left="158"/>
            </w:pPr>
            <w:r>
              <w:rPr>
                <w:b/>
                <w:bCs/>
                <w:spacing w:val="-5"/>
              </w:rPr>
              <w:t>责任部门</w:t>
            </w:r>
          </w:p>
        </w:tc>
        <w:tc>
          <w:tcPr>
            <w:tcW w:w="1407" w:type="dxa"/>
            <w:vAlign w:val="top"/>
          </w:tcPr>
          <w:p w14:paraId="77512D42">
            <w:pPr>
              <w:pStyle w:val="8"/>
              <w:spacing w:before="81" w:line="219" w:lineRule="auto"/>
              <w:ind w:left="167"/>
            </w:pPr>
            <w:r>
              <w:rPr>
                <w:b/>
                <w:bCs/>
                <w:spacing w:val="-3"/>
              </w:rPr>
              <w:t>第一责任层级</w:t>
            </w:r>
          </w:p>
        </w:tc>
        <w:tc>
          <w:tcPr>
            <w:tcW w:w="1018" w:type="dxa"/>
            <w:vAlign w:val="top"/>
          </w:tcPr>
          <w:p w14:paraId="4B042D02">
            <w:pPr>
              <w:pStyle w:val="8"/>
              <w:spacing w:before="81" w:line="219" w:lineRule="auto"/>
              <w:ind w:left="152"/>
            </w:pPr>
            <w:r>
              <w:rPr>
                <w:b/>
                <w:bCs/>
                <w:spacing w:val="-4"/>
              </w:rPr>
              <w:t>承办机构</w:t>
            </w:r>
          </w:p>
        </w:tc>
      </w:tr>
      <w:tr w14:paraId="4DC65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24" w:type="dxa"/>
            <w:vAlign w:val="top"/>
          </w:tcPr>
          <w:p w14:paraId="0F0B7192">
            <w:pPr>
              <w:rPr>
                <w:rFonts w:ascii="Arial"/>
                <w:sz w:val="21"/>
              </w:rPr>
            </w:pPr>
          </w:p>
        </w:tc>
        <w:tc>
          <w:tcPr>
            <w:tcW w:w="1104" w:type="dxa"/>
            <w:vAlign w:val="top"/>
          </w:tcPr>
          <w:p w14:paraId="7A6BAF5E">
            <w:pPr>
              <w:rPr>
                <w:rFonts w:ascii="Arial"/>
                <w:sz w:val="21"/>
              </w:rPr>
            </w:pPr>
          </w:p>
        </w:tc>
        <w:tc>
          <w:tcPr>
            <w:tcW w:w="1104" w:type="dxa"/>
            <w:vAlign w:val="top"/>
          </w:tcPr>
          <w:p w14:paraId="14E80733">
            <w:pPr>
              <w:rPr>
                <w:rFonts w:ascii="Arial"/>
                <w:sz w:val="21"/>
              </w:rPr>
            </w:pPr>
          </w:p>
        </w:tc>
        <w:tc>
          <w:tcPr>
            <w:tcW w:w="8549" w:type="dxa"/>
            <w:vAlign w:val="top"/>
          </w:tcPr>
          <w:p w14:paraId="5442A892">
            <w:pPr>
              <w:pStyle w:val="8"/>
              <w:spacing w:before="38" w:line="219" w:lineRule="auto"/>
              <w:ind w:left="110"/>
            </w:pPr>
            <w:r>
              <w:rPr>
                <w:spacing w:val="-2"/>
              </w:rPr>
              <w:t>业整顿；情节严重的，由工商行政管理机关吊销营业执照。</w:t>
            </w:r>
          </w:p>
          <w:p w14:paraId="09746B27">
            <w:pPr>
              <w:pStyle w:val="8"/>
              <w:spacing w:before="27" w:line="219" w:lineRule="auto"/>
              <w:ind w:left="474"/>
            </w:pPr>
            <w:r>
              <w:rPr>
                <w:b/>
                <w:bCs/>
                <w:spacing w:val="-3"/>
              </w:rPr>
              <w:t>3.《建设工程质量管理条例》</w:t>
            </w:r>
          </w:p>
          <w:p w14:paraId="17E865BF">
            <w:pPr>
              <w:pStyle w:val="8"/>
              <w:spacing w:before="26" w:line="219" w:lineRule="auto"/>
              <w:ind w:left="471"/>
            </w:pPr>
            <w:r>
              <w:rPr>
                <w:spacing w:val="-2"/>
              </w:rPr>
              <w:t>第七条第二款  建设单位不得将建设工程肢解发包。</w:t>
            </w:r>
          </w:p>
          <w:p w14:paraId="08721DE8">
            <w:pPr>
              <w:pStyle w:val="8"/>
              <w:spacing w:before="25" w:line="231" w:lineRule="auto"/>
              <w:ind w:left="111" w:right="159" w:firstLine="359"/>
            </w:pPr>
            <w:r>
              <w:t>第五十五条  违反本条例规定，建设单位将建设工程肢解发包的，责令改正，处</w:t>
            </w:r>
            <w:r>
              <w:rPr>
                <w:spacing w:val="-1"/>
              </w:rPr>
              <w:t>工程合同价款百分之</w:t>
            </w:r>
            <w:r>
              <w:t xml:space="preserve"> 零点五以上百分之一以下的罚款；对全部或者部分使用国有资金的项目，并可以暂停</w:t>
            </w:r>
            <w:r>
              <w:rPr>
                <w:spacing w:val="-1"/>
              </w:rPr>
              <w:t>项目执行或者暂停资</w:t>
            </w:r>
            <w:r>
              <w:t xml:space="preserve"> </w:t>
            </w:r>
            <w:r>
              <w:rPr>
                <w:spacing w:val="-7"/>
              </w:rPr>
              <w:t>金拨付。</w:t>
            </w:r>
          </w:p>
        </w:tc>
        <w:tc>
          <w:tcPr>
            <w:tcW w:w="1014" w:type="dxa"/>
            <w:vAlign w:val="top"/>
          </w:tcPr>
          <w:p w14:paraId="7D18205F">
            <w:pPr>
              <w:rPr>
                <w:rFonts w:ascii="Arial"/>
                <w:sz w:val="21"/>
              </w:rPr>
            </w:pPr>
          </w:p>
        </w:tc>
        <w:tc>
          <w:tcPr>
            <w:tcW w:w="1407" w:type="dxa"/>
            <w:vAlign w:val="top"/>
          </w:tcPr>
          <w:p w14:paraId="51B9BA56">
            <w:pPr>
              <w:rPr>
                <w:rFonts w:ascii="Arial"/>
                <w:sz w:val="21"/>
              </w:rPr>
            </w:pPr>
          </w:p>
        </w:tc>
        <w:tc>
          <w:tcPr>
            <w:tcW w:w="1018" w:type="dxa"/>
            <w:vAlign w:val="top"/>
          </w:tcPr>
          <w:p w14:paraId="1ACE5154">
            <w:pPr>
              <w:rPr>
                <w:rFonts w:ascii="Arial"/>
                <w:sz w:val="21"/>
              </w:rPr>
            </w:pPr>
          </w:p>
        </w:tc>
      </w:tr>
      <w:tr w14:paraId="160F3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4" w:hRule="atLeast"/>
        </w:trPr>
        <w:tc>
          <w:tcPr>
            <w:tcW w:w="624" w:type="dxa"/>
            <w:vAlign w:val="top"/>
          </w:tcPr>
          <w:p w14:paraId="300DA24D">
            <w:pPr>
              <w:spacing w:line="246" w:lineRule="auto"/>
              <w:rPr>
                <w:rFonts w:ascii="Arial"/>
                <w:sz w:val="21"/>
              </w:rPr>
            </w:pPr>
          </w:p>
          <w:p w14:paraId="4B61ACCD">
            <w:pPr>
              <w:spacing w:line="247" w:lineRule="auto"/>
              <w:rPr>
                <w:rFonts w:ascii="Arial"/>
                <w:sz w:val="21"/>
              </w:rPr>
            </w:pPr>
          </w:p>
          <w:p w14:paraId="4B45854F">
            <w:pPr>
              <w:spacing w:line="247" w:lineRule="auto"/>
              <w:rPr>
                <w:rFonts w:ascii="Arial"/>
                <w:sz w:val="21"/>
              </w:rPr>
            </w:pPr>
          </w:p>
          <w:p w14:paraId="0A00DE99">
            <w:pPr>
              <w:spacing w:line="247" w:lineRule="auto"/>
              <w:rPr>
                <w:rFonts w:ascii="Arial"/>
                <w:sz w:val="21"/>
              </w:rPr>
            </w:pPr>
          </w:p>
          <w:p w14:paraId="1C448D3C">
            <w:pPr>
              <w:spacing w:line="247" w:lineRule="auto"/>
              <w:rPr>
                <w:rFonts w:ascii="Arial"/>
                <w:sz w:val="21"/>
              </w:rPr>
            </w:pPr>
          </w:p>
          <w:p w14:paraId="5E079ED4">
            <w:pPr>
              <w:spacing w:line="247" w:lineRule="auto"/>
              <w:rPr>
                <w:rFonts w:ascii="Arial"/>
                <w:sz w:val="21"/>
              </w:rPr>
            </w:pPr>
          </w:p>
          <w:p w14:paraId="1B0E3960">
            <w:pPr>
              <w:spacing w:line="247" w:lineRule="auto"/>
              <w:rPr>
                <w:rFonts w:ascii="Arial"/>
                <w:sz w:val="21"/>
              </w:rPr>
            </w:pPr>
          </w:p>
          <w:p w14:paraId="0BE0A45F">
            <w:pPr>
              <w:spacing w:line="247" w:lineRule="auto"/>
              <w:rPr>
                <w:rFonts w:ascii="Arial"/>
                <w:sz w:val="21"/>
              </w:rPr>
            </w:pPr>
          </w:p>
          <w:p w14:paraId="0730FA62">
            <w:pPr>
              <w:spacing w:line="247" w:lineRule="auto"/>
              <w:rPr>
                <w:rFonts w:ascii="Arial"/>
                <w:sz w:val="21"/>
              </w:rPr>
            </w:pPr>
          </w:p>
          <w:p w14:paraId="21AA10E0">
            <w:pPr>
              <w:spacing w:line="247" w:lineRule="auto"/>
              <w:rPr>
                <w:rFonts w:ascii="Arial"/>
                <w:sz w:val="21"/>
              </w:rPr>
            </w:pPr>
          </w:p>
          <w:p w14:paraId="457BF0EB">
            <w:pPr>
              <w:spacing w:line="247" w:lineRule="auto"/>
              <w:rPr>
                <w:rFonts w:ascii="Arial"/>
                <w:sz w:val="21"/>
              </w:rPr>
            </w:pPr>
          </w:p>
          <w:p w14:paraId="6B976924">
            <w:pPr>
              <w:spacing w:line="247" w:lineRule="auto"/>
              <w:rPr>
                <w:rFonts w:ascii="Arial"/>
                <w:sz w:val="21"/>
              </w:rPr>
            </w:pPr>
          </w:p>
          <w:p w14:paraId="3ACAAB97">
            <w:pPr>
              <w:spacing w:line="247" w:lineRule="auto"/>
              <w:rPr>
                <w:rFonts w:ascii="Arial"/>
                <w:sz w:val="21"/>
              </w:rPr>
            </w:pPr>
          </w:p>
          <w:p w14:paraId="46D280D0">
            <w:pPr>
              <w:pStyle w:val="8"/>
              <w:spacing w:before="58" w:line="183" w:lineRule="auto"/>
              <w:ind w:left="275"/>
            </w:pPr>
            <w:r>
              <w:t>6</w:t>
            </w:r>
          </w:p>
        </w:tc>
        <w:tc>
          <w:tcPr>
            <w:tcW w:w="1104" w:type="dxa"/>
            <w:vAlign w:val="top"/>
          </w:tcPr>
          <w:p w14:paraId="2E18E049">
            <w:pPr>
              <w:spacing w:line="263" w:lineRule="auto"/>
              <w:rPr>
                <w:rFonts w:ascii="Arial"/>
                <w:sz w:val="21"/>
              </w:rPr>
            </w:pPr>
          </w:p>
          <w:p w14:paraId="155667F7">
            <w:pPr>
              <w:spacing w:line="263" w:lineRule="auto"/>
              <w:rPr>
                <w:rFonts w:ascii="Arial"/>
                <w:sz w:val="21"/>
              </w:rPr>
            </w:pPr>
          </w:p>
          <w:p w14:paraId="1286CA3D">
            <w:pPr>
              <w:spacing w:line="263" w:lineRule="auto"/>
              <w:rPr>
                <w:rFonts w:ascii="Arial"/>
                <w:sz w:val="21"/>
              </w:rPr>
            </w:pPr>
          </w:p>
          <w:p w14:paraId="624E624F">
            <w:pPr>
              <w:spacing w:line="263" w:lineRule="auto"/>
              <w:rPr>
                <w:rFonts w:ascii="Arial"/>
                <w:sz w:val="21"/>
              </w:rPr>
            </w:pPr>
          </w:p>
          <w:p w14:paraId="220B6B8F">
            <w:pPr>
              <w:spacing w:line="263" w:lineRule="auto"/>
              <w:rPr>
                <w:rFonts w:ascii="Arial"/>
                <w:sz w:val="21"/>
              </w:rPr>
            </w:pPr>
          </w:p>
          <w:p w14:paraId="3958BFAC">
            <w:pPr>
              <w:spacing w:line="264" w:lineRule="auto"/>
              <w:rPr>
                <w:rFonts w:ascii="Arial"/>
                <w:sz w:val="21"/>
              </w:rPr>
            </w:pPr>
          </w:p>
          <w:p w14:paraId="5337AA36">
            <w:pPr>
              <w:spacing w:line="264" w:lineRule="auto"/>
              <w:rPr>
                <w:rFonts w:ascii="Arial"/>
                <w:sz w:val="21"/>
              </w:rPr>
            </w:pPr>
          </w:p>
          <w:p w14:paraId="276B0EE9">
            <w:pPr>
              <w:spacing w:line="264" w:lineRule="auto"/>
              <w:rPr>
                <w:rFonts w:ascii="Arial"/>
                <w:sz w:val="21"/>
              </w:rPr>
            </w:pPr>
          </w:p>
          <w:p w14:paraId="68DB9B16">
            <w:pPr>
              <w:pStyle w:val="8"/>
              <w:spacing w:before="59" w:line="243"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目不按</w:t>
            </w:r>
            <w:r>
              <w:t xml:space="preserve"> </w:t>
            </w:r>
            <w:r>
              <w:rPr>
                <w:spacing w:val="16"/>
              </w:rPr>
              <w:t>照规定发布</w:t>
            </w:r>
            <w:r>
              <w:rPr>
                <w:spacing w:val="1"/>
              </w:rPr>
              <w:t xml:space="preserve"> </w:t>
            </w:r>
            <w:r>
              <w:rPr>
                <w:spacing w:val="16"/>
              </w:rPr>
              <w:t>资格预审公</w:t>
            </w:r>
            <w:r>
              <w:rPr>
                <w:spacing w:val="1"/>
              </w:rPr>
              <w:t xml:space="preserve"> </w:t>
            </w:r>
            <w:r>
              <w:rPr>
                <w:spacing w:val="16"/>
              </w:rPr>
              <w:t>告或者招标</w:t>
            </w:r>
            <w:r>
              <w:rPr>
                <w:spacing w:val="1"/>
              </w:rPr>
              <w:t xml:space="preserve"> </w:t>
            </w:r>
            <w:r>
              <w:rPr>
                <w:spacing w:val="16"/>
              </w:rPr>
              <w:t>公告等行为</w:t>
            </w:r>
            <w:r>
              <w:rPr>
                <w:spacing w:val="1"/>
              </w:rPr>
              <w:t xml:space="preserve"> </w:t>
            </w:r>
            <w:r>
              <w:rPr>
                <w:spacing w:val="-2"/>
              </w:rPr>
              <w:t>的行政处罚</w:t>
            </w:r>
          </w:p>
        </w:tc>
        <w:tc>
          <w:tcPr>
            <w:tcW w:w="1104" w:type="dxa"/>
            <w:vAlign w:val="top"/>
          </w:tcPr>
          <w:p w14:paraId="2765C556">
            <w:pPr>
              <w:spacing w:line="244" w:lineRule="auto"/>
              <w:rPr>
                <w:rFonts w:ascii="Arial"/>
                <w:sz w:val="21"/>
              </w:rPr>
            </w:pPr>
          </w:p>
          <w:p w14:paraId="2C0AAA49">
            <w:pPr>
              <w:spacing w:line="244" w:lineRule="auto"/>
              <w:rPr>
                <w:rFonts w:ascii="Arial"/>
                <w:sz w:val="21"/>
              </w:rPr>
            </w:pPr>
          </w:p>
          <w:p w14:paraId="165C0B6E">
            <w:pPr>
              <w:spacing w:line="244" w:lineRule="auto"/>
              <w:rPr>
                <w:rFonts w:ascii="Arial"/>
                <w:sz w:val="21"/>
              </w:rPr>
            </w:pPr>
          </w:p>
          <w:p w14:paraId="253960A6">
            <w:pPr>
              <w:spacing w:line="244" w:lineRule="auto"/>
              <w:rPr>
                <w:rFonts w:ascii="Arial"/>
                <w:sz w:val="21"/>
              </w:rPr>
            </w:pPr>
          </w:p>
          <w:p w14:paraId="25873BAD">
            <w:pPr>
              <w:spacing w:line="245" w:lineRule="auto"/>
              <w:rPr>
                <w:rFonts w:ascii="Arial"/>
                <w:sz w:val="21"/>
              </w:rPr>
            </w:pPr>
          </w:p>
          <w:p w14:paraId="371432ED">
            <w:pPr>
              <w:spacing w:line="245" w:lineRule="auto"/>
              <w:rPr>
                <w:rFonts w:ascii="Arial"/>
                <w:sz w:val="21"/>
              </w:rPr>
            </w:pPr>
          </w:p>
          <w:p w14:paraId="0DAAE750">
            <w:pPr>
              <w:spacing w:line="245" w:lineRule="auto"/>
              <w:rPr>
                <w:rFonts w:ascii="Arial"/>
                <w:sz w:val="21"/>
              </w:rPr>
            </w:pPr>
          </w:p>
          <w:p w14:paraId="2109A056">
            <w:pPr>
              <w:spacing w:line="245" w:lineRule="auto"/>
              <w:rPr>
                <w:rFonts w:ascii="Arial"/>
                <w:sz w:val="21"/>
              </w:rPr>
            </w:pPr>
          </w:p>
          <w:p w14:paraId="263EF601">
            <w:pPr>
              <w:spacing w:line="245" w:lineRule="auto"/>
              <w:rPr>
                <w:rFonts w:ascii="Arial"/>
                <w:sz w:val="21"/>
              </w:rPr>
            </w:pPr>
          </w:p>
          <w:p w14:paraId="1206643C">
            <w:pPr>
              <w:spacing w:line="245" w:lineRule="auto"/>
              <w:rPr>
                <w:rFonts w:ascii="Arial"/>
                <w:sz w:val="21"/>
              </w:rPr>
            </w:pPr>
          </w:p>
          <w:p w14:paraId="6AE7B98B">
            <w:pPr>
              <w:spacing w:line="245" w:lineRule="auto"/>
              <w:rPr>
                <w:rFonts w:ascii="Arial"/>
                <w:sz w:val="21"/>
              </w:rPr>
            </w:pPr>
          </w:p>
          <w:p w14:paraId="5640A911">
            <w:pPr>
              <w:spacing w:line="245" w:lineRule="auto"/>
              <w:rPr>
                <w:rFonts w:ascii="Arial"/>
                <w:sz w:val="21"/>
              </w:rPr>
            </w:pPr>
          </w:p>
          <w:p w14:paraId="157B7326">
            <w:pPr>
              <w:spacing w:line="245" w:lineRule="auto"/>
              <w:rPr>
                <w:rFonts w:ascii="Arial"/>
                <w:sz w:val="21"/>
              </w:rPr>
            </w:pPr>
          </w:p>
          <w:p w14:paraId="688D7011">
            <w:pPr>
              <w:pStyle w:val="8"/>
              <w:spacing w:before="59" w:line="220" w:lineRule="auto"/>
              <w:ind w:left="10"/>
            </w:pPr>
            <w:r>
              <w:rPr>
                <w:spacing w:val="-2"/>
              </w:rPr>
              <w:t>行政处罚</w:t>
            </w:r>
          </w:p>
        </w:tc>
        <w:tc>
          <w:tcPr>
            <w:tcW w:w="8549" w:type="dxa"/>
            <w:vAlign w:val="top"/>
          </w:tcPr>
          <w:p w14:paraId="4F67F25E">
            <w:pPr>
              <w:pStyle w:val="8"/>
              <w:spacing w:before="260" w:line="219" w:lineRule="auto"/>
              <w:ind w:left="484"/>
            </w:pPr>
            <w:r>
              <w:rPr>
                <w:b/>
                <w:bCs/>
                <w:spacing w:val="-4"/>
              </w:rPr>
              <w:t>1.《中华人民共和国招标投标法》</w:t>
            </w:r>
          </w:p>
          <w:p w14:paraId="3EBFD261">
            <w:pPr>
              <w:pStyle w:val="8"/>
              <w:spacing w:before="25" w:line="233" w:lineRule="auto"/>
              <w:ind w:left="111" w:right="149" w:firstLine="360"/>
            </w:pPr>
            <w:r>
              <w:t>第十六条  招标人采用公开招标方式的，应当发布招标公告。依法必须进行招标的项目的招标公告，</w:t>
            </w:r>
            <w:r>
              <w:rPr>
                <w:spacing w:val="1"/>
              </w:rPr>
              <w:t xml:space="preserve"> </w:t>
            </w:r>
            <w:r>
              <w:rPr>
                <w:spacing w:val="-2"/>
              </w:rPr>
              <w:t>应当通过国家指定的报刊、信息网络或者其他媒介发布。</w:t>
            </w:r>
          </w:p>
          <w:p w14:paraId="165B47A7">
            <w:pPr>
              <w:pStyle w:val="8"/>
              <w:spacing w:before="26" w:line="233" w:lineRule="auto"/>
              <w:ind w:left="125" w:right="104" w:firstLine="348"/>
            </w:pPr>
            <w:r>
              <w:rPr>
                <w:spacing w:val="1"/>
              </w:rPr>
              <w:t>招标公告应当载明招标人的名称和地址、招标项目的性质、数量、实施地点和时间以及获取招标文件</w:t>
            </w:r>
            <w:r>
              <w:t xml:space="preserve"> </w:t>
            </w:r>
            <w:r>
              <w:rPr>
                <w:spacing w:val="-6"/>
              </w:rPr>
              <w:t>的办法等事项。</w:t>
            </w:r>
          </w:p>
          <w:p w14:paraId="3902889C">
            <w:pPr>
              <w:pStyle w:val="8"/>
              <w:spacing w:before="27" w:line="239" w:lineRule="auto"/>
              <w:ind w:left="111" w:right="104" w:firstLine="360"/>
              <w:jc w:val="both"/>
            </w:pPr>
            <w:r>
              <w:rPr>
                <w:spacing w:val="1"/>
              </w:rPr>
              <w:t>第四十九条  违反本法规定，必须进行招标的项目而不招标的，将必须进行招标的项目化整为零或者 以其他任何方式规避招标的，责令限期改正，可以处项目合同金额千分之五以上千分之十</w:t>
            </w:r>
            <w:r>
              <w:t xml:space="preserve">以下的罚款；对 </w:t>
            </w:r>
            <w:r>
              <w:rPr>
                <w:spacing w:val="1"/>
              </w:rPr>
              <w:t>全部或者部分使用国有资金的项目，可以暂停项目执行或者暂停资金拨付；对单位直接负责的主管人员和</w:t>
            </w:r>
            <w:r>
              <w:t xml:space="preserve"> </w:t>
            </w:r>
            <w:r>
              <w:rPr>
                <w:spacing w:val="-3"/>
              </w:rPr>
              <w:t>其他直接责任人员依法给予处分。</w:t>
            </w:r>
          </w:p>
          <w:p w14:paraId="484150D5">
            <w:pPr>
              <w:pStyle w:val="8"/>
              <w:spacing w:before="25" w:line="238" w:lineRule="auto"/>
              <w:ind w:left="111" w:right="104" w:firstLine="359"/>
              <w:jc w:val="both"/>
            </w:pPr>
            <w:r>
              <w:rPr>
                <w:spacing w:val="1"/>
              </w:rPr>
              <w:t>第五十一条  招标人以不合理的条件限制或者排斥潜在投标人的，对潜在投标人实行歧视待遇的，强 制要求投标人组成联合体共同投标的，或者限制投标人之间竞争的，责令改正，可以处一万元以上五万元</w:t>
            </w:r>
            <w:r>
              <w:t xml:space="preserve"> </w:t>
            </w:r>
            <w:r>
              <w:rPr>
                <w:spacing w:val="-5"/>
              </w:rPr>
              <w:t>以下的罚款。</w:t>
            </w:r>
          </w:p>
          <w:p w14:paraId="6E741E95">
            <w:pPr>
              <w:pStyle w:val="8"/>
              <w:spacing w:before="24" w:line="219" w:lineRule="auto"/>
              <w:ind w:left="473"/>
            </w:pPr>
            <w:r>
              <w:rPr>
                <w:b/>
                <w:bCs/>
                <w:spacing w:val="-3"/>
              </w:rPr>
              <w:t>2.《中华人民共和国招标投标法实施条例》</w:t>
            </w:r>
          </w:p>
          <w:p w14:paraId="1257EDAF">
            <w:pPr>
              <w:pStyle w:val="8"/>
              <w:spacing w:before="26" w:line="218" w:lineRule="auto"/>
              <w:ind w:left="471"/>
            </w:pPr>
            <w:r>
              <w:rPr>
                <w:spacing w:val="-1"/>
              </w:rPr>
              <w:t>第十五条  公开招标的项目，应当依照招标投标法和本条例的规定发布招标公告、编制招标文件。</w:t>
            </w:r>
          </w:p>
          <w:p w14:paraId="09D1A477">
            <w:pPr>
              <w:pStyle w:val="8"/>
              <w:spacing w:before="28" w:line="218" w:lineRule="auto"/>
              <w:ind w:left="471"/>
            </w:pPr>
            <w:r>
              <w:rPr>
                <w:spacing w:val="-1"/>
              </w:rPr>
              <w:t>招标人采用资格预审办法对潜在投标人进行资</w:t>
            </w:r>
            <w:r>
              <w:rPr>
                <w:spacing w:val="-2"/>
              </w:rPr>
              <w:t>格审查的，应当发布资格预审公告、编制资格预审文件。</w:t>
            </w:r>
          </w:p>
          <w:p w14:paraId="0A0130C5">
            <w:pPr>
              <w:pStyle w:val="8"/>
              <w:spacing w:before="27" w:line="237" w:lineRule="auto"/>
              <w:ind w:left="111" w:right="104" w:firstLine="363"/>
              <w:jc w:val="both"/>
            </w:pPr>
            <w:r>
              <w:rPr>
                <w:spacing w:val="1"/>
              </w:rPr>
              <w:t>依法必须进行招标的项目的资格预审公告和招标公告，应当在国务院发展改革部门依法指定的媒介发</w:t>
            </w:r>
            <w:r>
              <w:t xml:space="preserve"> </w:t>
            </w:r>
            <w:r>
              <w:rPr>
                <w:spacing w:val="1"/>
              </w:rPr>
              <w:t>布。在不同媒介发布的同一招标项目的资格预审公告或者招标公告的内容应当一致。指定媒介发布依法必</w:t>
            </w:r>
            <w:r>
              <w:t xml:space="preserve"> </w:t>
            </w:r>
            <w:r>
              <w:rPr>
                <w:spacing w:val="-1"/>
              </w:rPr>
              <w:t>须进行招标的项目的境内资格预审公告、招标公告，不得收</w:t>
            </w:r>
            <w:r>
              <w:rPr>
                <w:spacing w:val="-2"/>
              </w:rPr>
              <w:t>取费用。</w:t>
            </w:r>
          </w:p>
          <w:p w14:paraId="6C884540">
            <w:pPr>
              <w:pStyle w:val="8"/>
              <w:spacing w:before="26" w:line="233" w:lineRule="auto"/>
              <w:ind w:left="110" w:right="104" w:firstLine="364"/>
            </w:pPr>
            <w:r>
              <w:rPr>
                <w:spacing w:val="1"/>
              </w:rPr>
              <w:t>编制依法必须进行招标的项目的资格预审文件和招标文件，应当使用国务院发展改革部门会同有关行</w:t>
            </w:r>
            <w:r>
              <w:t xml:space="preserve"> </w:t>
            </w:r>
            <w:r>
              <w:rPr>
                <w:spacing w:val="-3"/>
              </w:rPr>
              <w:t>政监督部门制定的标准文本。</w:t>
            </w:r>
          </w:p>
          <w:p w14:paraId="7CDD465C">
            <w:pPr>
              <w:pStyle w:val="8"/>
              <w:spacing w:before="25"/>
              <w:ind w:left="111" w:right="104" w:firstLine="359"/>
              <w:jc w:val="both"/>
            </w:pPr>
            <w:r>
              <w:rPr>
                <w:spacing w:val="1"/>
              </w:rPr>
              <w:t xml:space="preserve">第六十三条  招标人有下列限制或者排斥潜在投标人行为之一的，由有关行政监督部门依照招标投标 </w:t>
            </w:r>
            <w:r>
              <w:rPr>
                <w:spacing w:val="2"/>
              </w:rPr>
              <w:t>法第五十一条的规定处罚</w:t>
            </w:r>
            <w:r>
              <w:rPr>
                <w:spacing w:val="-11"/>
              </w:rPr>
              <w:t>：（</w:t>
            </w:r>
            <w:r>
              <w:rPr>
                <w:spacing w:val="2"/>
              </w:rPr>
              <w:t>一）依法应当公开招标的项</w:t>
            </w:r>
            <w:r>
              <w:rPr>
                <w:spacing w:val="1"/>
              </w:rPr>
              <w:t>目不按照规定在指定媒介发布资格预审公告或者 招标公告</w:t>
            </w:r>
            <w:r>
              <w:rPr>
                <w:spacing w:val="-18"/>
              </w:rPr>
              <w:t>；（</w:t>
            </w:r>
            <w:r>
              <w:rPr>
                <w:spacing w:val="1"/>
              </w:rPr>
              <w:t>二）</w:t>
            </w:r>
            <w:r>
              <w:rPr>
                <w:spacing w:val="-52"/>
              </w:rPr>
              <w:t xml:space="preserve"> </w:t>
            </w:r>
            <w:r>
              <w:rPr>
                <w:spacing w:val="1"/>
              </w:rPr>
              <w:t>在不同媒介发布的同一招标项目的资格预审公告或者招标公告的内容不一致，影响潜在</w:t>
            </w:r>
            <w:r>
              <w:t xml:space="preserve"> </w:t>
            </w:r>
            <w:r>
              <w:rPr>
                <w:spacing w:val="-3"/>
              </w:rPr>
              <w:t>投标人申请资格预审或者投标。</w:t>
            </w:r>
          </w:p>
          <w:p w14:paraId="7B13D535">
            <w:pPr>
              <w:pStyle w:val="8"/>
              <w:spacing w:before="26" w:line="233" w:lineRule="auto"/>
              <w:ind w:left="116" w:right="115" w:firstLine="355"/>
            </w:pPr>
            <w:r>
              <w:rPr>
                <w:spacing w:val="1"/>
              </w:rPr>
              <w:t>依法必须进行招标的项目的招标人不按照规定发布资格预审公告或者招标公告</w:t>
            </w:r>
            <w:r>
              <w:t xml:space="preserve">，构成规避招标的，依 </w:t>
            </w:r>
            <w:r>
              <w:rPr>
                <w:spacing w:val="-3"/>
              </w:rPr>
              <w:t>照招标投标法第四十九条的规定处罚。</w:t>
            </w:r>
          </w:p>
        </w:tc>
        <w:tc>
          <w:tcPr>
            <w:tcW w:w="1014" w:type="dxa"/>
            <w:vAlign w:val="top"/>
          </w:tcPr>
          <w:p w14:paraId="7CCF4227">
            <w:pPr>
              <w:spacing w:line="255" w:lineRule="auto"/>
              <w:rPr>
                <w:rFonts w:ascii="Arial"/>
                <w:sz w:val="21"/>
              </w:rPr>
            </w:pPr>
          </w:p>
          <w:p w14:paraId="2BF27959">
            <w:pPr>
              <w:spacing w:line="255" w:lineRule="auto"/>
              <w:rPr>
                <w:rFonts w:ascii="Arial"/>
                <w:sz w:val="21"/>
              </w:rPr>
            </w:pPr>
          </w:p>
          <w:p w14:paraId="6EDEC806">
            <w:pPr>
              <w:spacing w:line="255" w:lineRule="auto"/>
              <w:rPr>
                <w:rFonts w:ascii="Arial"/>
                <w:sz w:val="21"/>
              </w:rPr>
            </w:pPr>
          </w:p>
          <w:p w14:paraId="7346C7B0">
            <w:pPr>
              <w:spacing w:line="255" w:lineRule="auto"/>
              <w:rPr>
                <w:rFonts w:ascii="Arial"/>
                <w:sz w:val="21"/>
              </w:rPr>
            </w:pPr>
          </w:p>
          <w:p w14:paraId="727B4000">
            <w:pPr>
              <w:spacing w:line="255" w:lineRule="auto"/>
              <w:rPr>
                <w:rFonts w:ascii="Arial"/>
                <w:sz w:val="21"/>
              </w:rPr>
            </w:pPr>
          </w:p>
          <w:p w14:paraId="11807161">
            <w:pPr>
              <w:spacing w:line="255" w:lineRule="auto"/>
              <w:rPr>
                <w:rFonts w:ascii="Arial"/>
                <w:sz w:val="21"/>
              </w:rPr>
            </w:pPr>
          </w:p>
          <w:p w14:paraId="43909A27">
            <w:pPr>
              <w:spacing w:line="255" w:lineRule="auto"/>
              <w:rPr>
                <w:rFonts w:ascii="Arial"/>
                <w:sz w:val="21"/>
              </w:rPr>
            </w:pPr>
          </w:p>
          <w:p w14:paraId="15CD427B">
            <w:pPr>
              <w:spacing w:line="255" w:lineRule="auto"/>
              <w:rPr>
                <w:rFonts w:ascii="Arial"/>
                <w:sz w:val="21"/>
              </w:rPr>
            </w:pPr>
          </w:p>
          <w:p w14:paraId="366E8708">
            <w:pPr>
              <w:spacing w:line="255" w:lineRule="auto"/>
              <w:rPr>
                <w:rFonts w:ascii="Arial"/>
                <w:sz w:val="21"/>
              </w:rPr>
            </w:pPr>
          </w:p>
          <w:p w14:paraId="6E39A575">
            <w:pPr>
              <w:spacing w:line="255" w:lineRule="auto"/>
              <w:rPr>
                <w:rFonts w:ascii="Arial"/>
                <w:sz w:val="21"/>
              </w:rPr>
            </w:pPr>
          </w:p>
          <w:p w14:paraId="538ECB9C">
            <w:pPr>
              <w:spacing w:line="256" w:lineRule="auto"/>
              <w:rPr>
                <w:rFonts w:ascii="Arial"/>
                <w:sz w:val="21"/>
              </w:rPr>
            </w:pPr>
          </w:p>
          <w:p w14:paraId="5AB8CD41">
            <w:pPr>
              <w:spacing w:line="256" w:lineRule="auto"/>
              <w:rPr>
                <w:rFonts w:ascii="Arial"/>
                <w:sz w:val="21"/>
              </w:rPr>
            </w:pPr>
          </w:p>
          <w:p w14:paraId="23DC4A38">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1D3042F4">
            <w:pPr>
              <w:spacing w:line="255" w:lineRule="auto"/>
              <w:rPr>
                <w:rFonts w:ascii="Arial"/>
                <w:sz w:val="21"/>
              </w:rPr>
            </w:pPr>
          </w:p>
          <w:p w14:paraId="3F00C396">
            <w:pPr>
              <w:spacing w:line="255" w:lineRule="auto"/>
              <w:rPr>
                <w:rFonts w:ascii="Arial"/>
                <w:sz w:val="21"/>
              </w:rPr>
            </w:pPr>
          </w:p>
          <w:p w14:paraId="664CF959">
            <w:pPr>
              <w:spacing w:line="255" w:lineRule="auto"/>
              <w:rPr>
                <w:rFonts w:ascii="Arial"/>
                <w:sz w:val="21"/>
              </w:rPr>
            </w:pPr>
          </w:p>
          <w:p w14:paraId="688D9631">
            <w:pPr>
              <w:spacing w:line="255" w:lineRule="auto"/>
              <w:rPr>
                <w:rFonts w:ascii="Arial"/>
                <w:sz w:val="21"/>
              </w:rPr>
            </w:pPr>
          </w:p>
          <w:p w14:paraId="3A78EB62">
            <w:pPr>
              <w:spacing w:line="255" w:lineRule="auto"/>
              <w:rPr>
                <w:rFonts w:ascii="Arial"/>
                <w:sz w:val="21"/>
              </w:rPr>
            </w:pPr>
          </w:p>
          <w:p w14:paraId="02F84FB5">
            <w:pPr>
              <w:spacing w:line="255" w:lineRule="auto"/>
              <w:rPr>
                <w:rFonts w:ascii="Arial"/>
                <w:sz w:val="21"/>
              </w:rPr>
            </w:pPr>
          </w:p>
          <w:p w14:paraId="5FC35402">
            <w:pPr>
              <w:spacing w:line="255" w:lineRule="auto"/>
              <w:rPr>
                <w:rFonts w:ascii="Arial"/>
                <w:sz w:val="21"/>
              </w:rPr>
            </w:pPr>
          </w:p>
          <w:p w14:paraId="1C9E6C4C">
            <w:pPr>
              <w:spacing w:line="255" w:lineRule="auto"/>
              <w:rPr>
                <w:rFonts w:ascii="Arial"/>
                <w:sz w:val="21"/>
              </w:rPr>
            </w:pPr>
          </w:p>
          <w:p w14:paraId="01046A51">
            <w:pPr>
              <w:spacing w:line="255" w:lineRule="auto"/>
              <w:rPr>
                <w:rFonts w:ascii="Arial"/>
                <w:sz w:val="21"/>
              </w:rPr>
            </w:pPr>
          </w:p>
          <w:p w14:paraId="3CFB521B">
            <w:pPr>
              <w:spacing w:line="255" w:lineRule="auto"/>
              <w:rPr>
                <w:rFonts w:ascii="Arial"/>
                <w:sz w:val="21"/>
              </w:rPr>
            </w:pPr>
          </w:p>
          <w:p w14:paraId="6850E382">
            <w:pPr>
              <w:spacing w:line="256" w:lineRule="auto"/>
              <w:rPr>
                <w:rFonts w:ascii="Arial"/>
                <w:sz w:val="21"/>
              </w:rPr>
            </w:pPr>
          </w:p>
          <w:p w14:paraId="4D0B4151">
            <w:pPr>
              <w:spacing w:line="256" w:lineRule="auto"/>
              <w:rPr>
                <w:rFonts w:ascii="Arial"/>
                <w:sz w:val="21"/>
              </w:rPr>
            </w:pPr>
          </w:p>
          <w:p w14:paraId="580E3C95">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1C094E90">
            <w:pPr>
              <w:spacing w:line="256" w:lineRule="auto"/>
              <w:rPr>
                <w:rFonts w:ascii="Arial"/>
                <w:sz w:val="21"/>
              </w:rPr>
            </w:pPr>
          </w:p>
          <w:p w14:paraId="3161643C">
            <w:pPr>
              <w:spacing w:line="256" w:lineRule="auto"/>
              <w:rPr>
                <w:rFonts w:ascii="Arial"/>
                <w:sz w:val="21"/>
              </w:rPr>
            </w:pPr>
          </w:p>
          <w:p w14:paraId="54FF977E">
            <w:pPr>
              <w:spacing w:line="257" w:lineRule="auto"/>
              <w:rPr>
                <w:rFonts w:ascii="Arial"/>
                <w:sz w:val="21"/>
              </w:rPr>
            </w:pPr>
          </w:p>
          <w:p w14:paraId="19020D4D">
            <w:pPr>
              <w:spacing w:line="257" w:lineRule="auto"/>
              <w:rPr>
                <w:rFonts w:ascii="Arial"/>
                <w:sz w:val="21"/>
              </w:rPr>
            </w:pPr>
          </w:p>
          <w:p w14:paraId="775C58BE">
            <w:pPr>
              <w:spacing w:line="257" w:lineRule="auto"/>
              <w:rPr>
                <w:rFonts w:ascii="Arial"/>
                <w:sz w:val="21"/>
              </w:rPr>
            </w:pPr>
          </w:p>
          <w:p w14:paraId="444C3346">
            <w:pPr>
              <w:spacing w:line="257" w:lineRule="auto"/>
              <w:rPr>
                <w:rFonts w:ascii="Arial"/>
                <w:sz w:val="21"/>
              </w:rPr>
            </w:pPr>
          </w:p>
          <w:p w14:paraId="2E39668E">
            <w:pPr>
              <w:spacing w:line="257" w:lineRule="auto"/>
              <w:rPr>
                <w:rFonts w:ascii="Arial"/>
                <w:sz w:val="21"/>
              </w:rPr>
            </w:pPr>
          </w:p>
          <w:p w14:paraId="54E4E11B">
            <w:pPr>
              <w:spacing w:line="257" w:lineRule="auto"/>
              <w:rPr>
                <w:rFonts w:ascii="Arial"/>
                <w:sz w:val="21"/>
              </w:rPr>
            </w:pPr>
          </w:p>
          <w:p w14:paraId="14DA937D">
            <w:pPr>
              <w:spacing w:line="257" w:lineRule="auto"/>
              <w:rPr>
                <w:rFonts w:ascii="Arial"/>
                <w:sz w:val="21"/>
              </w:rPr>
            </w:pPr>
          </w:p>
          <w:p w14:paraId="3DB12BA1">
            <w:pPr>
              <w:spacing w:line="257" w:lineRule="auto"/>
              <w:rPr>
                <w:rFonts w:ascii="Arial"/>
                <w:sz w:val="21"/>
              </w:rPr>
            </w:pPr>
          </w:p>
          <w:p w14:paraId="47755A13">
            <w:pPr>
              <w:spacing w:line="257" w:lineRule="auto"/>
              <w:rPr>
                <w:rFonts w:ascii="Arial"/>
                <w:sz w:val="21"/>
              </w:rPr>
            </w:pPr>
          </w:p>
          <w:p w14:paraId="611910BF">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423DEDF0">
      <w:pPr>
        <w:pStyle w:val="2"/>
      </w:pPr>
    </w:p>
    <w:p w14:paraId="15ECCD36">
      <w:pPr>
        <w:sectPr>
          <w:footerReference r:id="rId79" w:type="default"/>
          <w:pgSz w:w="16839" w:h="11906"/>
          <w:pgMar w:top="1012" w:right="991" w:bottom="966" w:left="1021" w:header="0" w:footer="768" w:gutter="0"/>
          <w:cols w:space="720" w:num="1"/>
        </w:sectPr>
      </w:pPr>
    </w:p>
    <w:p w14:paraId="675A7862">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2C8DE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20A5EF64">
            <w:pPr>
              <w:pStyle w:val="8"/>
              <w:spacing w:before="267" w:line="221" w:lineRule="auto"/>
              <w:ind w:left="134"/>
            </w:pPr>
            <w:r>
              <w:rPr>
                <w:b/>
                <w:bCs/>
                <w:spacing w:val="-4"/>
              </w:rPr>
              <w:t>序号</w:t>
            </w:r>
          </w:p>
        </w:tc>
        <w:tc>
          <w:tcPr>
            <w:tcW w:w="1104" w:type="dxa"/>
            <w:vMerge w:val="restart"/>
            <w:tcBorders>
              <w:bottom w:val="nil"/>
            </w:tcBorders>
            <w:vAlign w:val="top"/>
          </w:tcPr>
          <w:p w14:paraId="50F630CF">
            <w:pPr>
              <w:pStyle w:val="8"/>
              <w:spacing w:before="260" w:line="220" w:lineRule="auto"/>
              <w:ind w:left="192"/>
            </w:pPr>
            <w:r>
              <w:rPr>
                <w:b/>
                <w:bCs/>
                <w:spacing w:val="-4"/>
              </w:rPr>
              <w:t>事项名称</w:t>
            </w:r>
          </w:p>
        </w:tc>
        <w:tc>
          <w:tcPr>
            <w:tcW w:w="1104" w:type="dxa"/>
            <w:vMerge w:val="restart"/>
            <w:tcBorders>
              <w:bottom w:val="nil"/>
            </w:tcBorders>
            <w:vAlign w:val="top"/>
          </w:tcPr>
          <w:p w14:paraId="70633CB9">
            <w:pPr>
              <w:pStyle w:val="8"/>
              <w:spacing w:before="260" w:line="219" w:lineRule="auto"/>
              <w:ind w:left="193"/>
            </w:pPr>
            <w:r>
              <w:rPr>
                <w:b/>
                <w:bCs/>
                <w:spacing w:val="-4"/>
              </w:rPr>
              <w:t>职权类型</w:t>
            </w:r>
          </w:p>
        </w:tc>
        <w:tc>
          <w:tcPr>
            <w:tcW w:w="8549" w:type="dxa"/>
            <w:vMerge w:val="restart"/>
            <w:tcBorders>
              <w:bottom w:val="nil"/>
            </w:tcBorders>
            <w:vAlign w:val="top"/>
          </w:tcPr>
          <w:p w14:paraId="17ACB537">
            <w:pPr>
              <w:pStyle w:val="8"/>
              <w:spacing w:before="259" w:line="219" w:lineRule="auto"/>
              <w:ind w:left="3921"/>
            </w:pPr>
            <w:r>
              <w:rPr>
                <w:b/>
                <w:bCs/>
                <w:spacing w:val="-5"/>
              </w:rPr>
              <w:t>实施依据</w:t>
            </w:r>
          </w:p>
        </w:tc>
        <w:tc>
          <w:tcPr>
            <w:tcW w:w="3439" w:type="dxa"/>
            <w:gridSpan w:val="3"/>
            <w:vAlign w:val="top"/>
          </w:tcPr>
          <w:p w14:paraId="77415FF2">
            <w:pPr>
              <w:pStyle w:val="8"/>
              <w:spacing w:before="85" w:line="220" w:lineRule="auto"/>
              <w:ind w:left="1365"/>
            </w:pPr>
            <w:r>
              <w:rPr>
                <w:b/>
                <w:bCs/>
                <w:spacing w:val="-5"/>
              </w:rPr>
              <w:t>实施主体</w:t>
            </w:r>
          </w:p>
        </w:tc>
      </w:tr>
      <w:tr w14:paraId="49AC2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0D7CB171">
            <w:pPr>
              <w:rPr>
                <w:rFonts w:ascii="Arial"/>
                <w:sz w:val="21"/>
              </w:rPr>
            </w:pPr>
          </w:p>
        </w:tc>
        <w:tc>
          <w:tcPr>
            <w:tcW w:w="1104" w:type="dxa"/>
            <w:vMerge w:val="continue"/>
            <w:tcBorders>
              <w:top w:val="nil"/>
            </w:tcBorders>
            <w:vAlign w:val="top"/>
          </w:tcPr>
          <w:p w14:paraId="54859842">
            <w:pPr>
              <w:rPr>
                <w:rFonts w:ascii="Arial"/>
                <w:sz w:val="21"/>
              </w:rPr>
            </w:pPr>
          </w:p>
        </w:tc>
        <w:tc>
          <w:tcPr>
            <w:tcW w:w="1104" w:type="dxa"/>
            <w:vMerge w:val="continue"/>
            <w:tcBorders>
              <w:top w:val="nil"/>
            </w:tcBorders>
            <w:vAlign w:val="top"/>
          </w:tcPr>
          <w:p w14:paraId="3A2B855D">
            <w:pPr>
              <w:rPr>
                <w:rFonts w:ascii="Arial"/>
                <w:sz w:val="21"/>
              </w:rPr>
            </w:pPr>
          </w:p>
        </w:tc>
        <w:tc>
          <w:tcPr>
            <w:tcW w:w="8549" w:type="dxa"/>
            <w:vMerge w:val="continue"/>
            <w:tcBorders>
              <w:top w:val="nil"/>
            </w:tcBorders>
            <w:vAlign w:val="top"/>
          </w:tcPr>
          <w:p w14:paraId="03521DA3">
            <w:pPr>
              <w:rPr>
                <w:rFonts w:ascii="Arial"/>
                <w:sz w:val="21"/>
              </w:rPr>
            </w:pPr>
          </w:p>
        </w:tc>
        <w:tc>
          <w:tcPr>
            <w:tcW w:w="1014" w:type="dxa"/>
            <w:vAlign w:val="top"/>
          </w:tcPr>
          <w:p w14:paraId="0C52E292">
            <w:pPr>
              <w:pStyle w:val="8"/>
              <w:spacing w:before="81" w:line="219" w:lineRule="auto"/>
              <w:ind w:left="158"/>
            </w:pPr>
            <w:r>
              <w:rPr>
                <w:b/>
                <w:bCs/>
                <w:spacing w:val="-5"/>
              </w:rPr>
              <w:t>责任部门</w:t>
            </w:r>
          </w:p>
        </w:tc>
        <w:tc>
          <w:tcPr>
            <w:tcW w:w="1407" w:type="dxa"/>
            <w:vAlign w:val="top"/>
          </w:tcPr>
          <w:p w14:paraId="349E8CB0">
            <w:pPr>
              <w:pStyle w:val="8"/>
              <w:spacing w:before="81" w:line="219" w:lineRule="auto"/>
              <w:ind w:left="167"/>
            </w:pPr>
            <w:r>
              <w:rPr>
                <w:b/>
                <w:bCs/>
                <w:spacing w:val="-3"/>
              </w:rPr>
              <w:t>第一责任层级</w:t>
            </w:r>
          </w:p>
        </w:tc>
        <w:tc>
          <w:tcPr>
            <w:tcW w:w="1018" w:type="dxa"/>
            <w:vAlign w:val="top"/>
          </w:tcPr>
          <w:p w14:paraId="22B35D1E">
            <w:pPr>
              <w:pStyle w:val="8"/>
              <w:spacing w:before="81" w:line="219" w:lineRule="auto"/>
              <w:ind w:left="152"/>
            </w:pPr>
            <w:r>
              <w:rPr>
                <w:b/>
                <w:bCs/>
                <w:spacing w:val="-4"/>
              </w:rPr>
              <w:t>承办机构</w:t>
            </w:r>
          </w:p>
        </w:tc>
      </w:tr>
      <w:tr w14:paraId="4CA01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1" w:hRule="atLeast"/>
        </w:trPr>
        <w:tc>
          <w:tcPr>
            <w:tcW w:w="624" w:type="dxa"/>
            <w:vAlign w:val="top"/>
          </w:tcPr>
          <w:p w14:paraId="7D25C68C">
            <w:pPr>
              <w:spacing w:line="262" w:lineRule="auto"/>
              <w:rPr>
                <w:rFonts w:ascii="Arial"/>
                <w:sz w:val="21"/>
              </w:rPr>
            </w:pPr>
          </w:p>
          <w:p w14:paraId="48E9AD40">
            <w:pPr>
              <w:spacing w:line="262" w:lineRule="auto"/>
              <w:rPr>
                <w:rFonts w:ascii="Arial"/>
                <w:sz w:val="21"/>
              </w:rPr>
            </w:pPr>
          </w:p>
          <w:p w14:paraId="3AE75364">
            <w:pPr>
              <w:spacing w:line="262" w:lineRule="auto"/>
              <w:rPr>
                <w:rFonts w:ascii="Arial"/>
                <w:sz w:val="21"/>
              </w:rPr>
            </w:pPr>
          </w:p>
          <w:p w14:paraId="481B97C9">
            <w:pPr>
              <w:spacing w:line="263" w:lineRule="auto"/>
              <w:rPr>
                <w:rFonts w:ascii="Arial"/>
                <w:sz w:val="21"/>
              </w:rPr>
            </w:pPr>
          </w:p>
          <w:p w14:paraId="4E53C163">
            <w:pPr>
              <w:spacing w:line="263" w:lineRule="auto"/>
              <w:rPr>
                <w:rFonts w:ascii="Arial"/>
                <w:sz w:val="21"/>
              </w:rPr>
            </w:pPr>
          </w:p>
          <w:p w14:paraId="775FE735">
            <w:pPr>
              <w:spacing w:line="263" w:lineRule="auto"/>
              <w:rPr>
                <w:rFonts w:ascii="Arial"/>
                <w:sz w:val="21"/>
              </w:rPr>
            </w:pPr>
          </w:p>
          <w:p w14:paraId="0846A659">
            <w:pPr>
              <w:spacing w:line="263" w:lineRule="auto"/>
              <w:rPr>
                <w:rFonts w:ascii="Arial"/>
                <w:sz w:val="21"/>
              </w:rPr>
            </w:pPr>
          </w:p>
          <w:p w14:paraId="119D31A9">
            <w:pPr>
              <w:pStyle w:val="8"/>
              <w:spacing w:before="59" w:line="182" w:lineRule="auto"/>
              <w:ind w:left="278"/>
            </w:pPr>
            <w:r>
              <w:t>7</w:t>
            </w:r>
          </w:p>
        </w:tc>
        <w:tc>
          <w:tcPr>
            <w:tcW w:w="1104" w:type="dxa"/>
            <w:vAlign w:val="top"/>
          </w:tcPr>
          <w:p w14:paraId="7F4E91AA">
            <w:pPr>
              <w:spacing w:line="310" w:lineRule="auto"/>
              <w:rPr>
                <w:rFonts w:ascii="Arial"/>
                <w:sz w:val="21"/>
              </w:rPr>
            </w:pPr>
          </w:p>
          <w:p w14:paraId="761F0235">
            <w:pPr>
              <w:spacing w:line="310" w:lineRule="auto"/>
              <w:rPr>
                <w:rFonts w:ascii="Arial"/>
                <w:sz w:val="21"/>
              </w:rPr>
            </w:pPr>
          </w:p>
          <w:p w14:paraId="43905ECF">
            <w:pPr>
              <w:pStyle w:val="8"/>
              <w:spacing w:before="58" w:line="243" w:lineRule="auto"/>
              <w:ind w:left="60" w:right="56"/>
              <w:jc w:val="both"/>
            </w:pPr>
            <w:r>
              <w:rPr>
                <w:spacing w:val="16"/>
              </w:rPr>
              <w:t>对泄露应当</w:t>
            </w:r>
            <w:r>
              <w:rPr>
                <w:spacing w:val="1"/>
              </w:rPr>
              <w:t xml:space="preserve"> </w:t>
            </w:r>
            <w:r>
              <w:rPr>
                <w:spacing w:val="7"/>
              </w:rPr>
              <w:t>保密</w:t>
            </w:r>
            <w:r>
              <w:rPr>
                <w:spacing w:val="-44"/>
              </w:rPr>
              <w:t xml:space="preserve"> </w:t>
            </w:r>
            <w:r>
              <w:rPr>
                <w:spacing w:val="7"/>
              </w:rPr>
              <w:t>的与交</w:t>
            </w:r>
            <w:r>
              <w:t xml:space="preserve"> </w:t>
            </w:r>
            <w:r>
              <w:rPr>
                <w:spacing w:val="16"/>
              </w:rPr>
              <w:t>通运输领域</w:t>
            </w:r>
            <w:r>
              <w:rPr>
                <w:spacing w:val="1"/>
              </w:rPr>
              <w:t xml:space="preserve"> </w:t>
            </w:r>
            <w:r>
              <w:rPr>
                <w:spacing w:val="16"/>
              </w:rPr>
              <w:t>建设工程项</w:t>
            </w:r>
            <w:r>
              <w:rPr>
                <w:spacing w:val="1"/>
              </w:rPr>
              <w:t xml:space="preserve"> </w:t>
            </w:r>
            <w:r>
              <w:rPr>
                <w:spacing w:val="16"/>
              </w:rPr>
              <w:t>目招标投标</w:t>
            </w:r>
            <w:r>
              <w:rPr>
                <w:spacing w:val="1"/>
              </w:rPr>
              <w:t xml:space="preserve"> </w:t>
            </w:r>
            <w:r>
              <w:rPr>
                <w:spacing w:val="16"/>
              </w:rPr>
              <w:t>活动有关的</w:t>
            </w:r>
            <w:r>
              <w:rPr>
                <w:spacing w:val="1"/>
              </w:rPr>
              <w:t xml:space="preserve"> </w:t>
            </w:r>
            <w:r>
              <w:rPr>
                <w:spacing w:val="16"/>
              </w:rPr>
              <w:t>情况和资料</w:t>
            </w:r>
            <w:r>
              <w:rPr>
                <w:spacing w:val="1"/>
              </w:rPr>
              <w:t xml:space="preserve"> </w:t>
            </w:r>
            <w:r>
              <w:rPr>
                <w:spacing w:val="16"/>
              </w:rPr>
              <w:t>等行为的行</w:t>
            </w:r>
            <w:r>
              <w:rPr>
                <w:spacing w:val="1"/>
              </w:rPr>
              <w:t xml:space="preserve"> </w:t>
            </w:r>
            <w:r>
              <w:rPr>
                <w:spacing w:val="-2"/>
              </w:rPr>
              <w:t>政处罚</w:t>
            </w:r>
          </w:p>
        </w:tc>
        <w:tc>
          <w:tcPr>
            <w:tcW w:w="1104" w:type="dxa"/>
            <w:vAlign w:val="top"/>
          </w:tcPr>
          <w:p w14:paraId="3F9C3EC1">
            <w:pPr>
              <w:spacing w:line="258" w:lineRule="auto"/>
              <w:rPr>
                <w:rFonts w:ascii="Arial"/>
                <w:sz w:val="21"/>
              </w:rPr>
            </w:pPr>
          </w:p>
          <w:p w14:paraId="24341329">
            <w:pPr>
              <w:spacing w:line="258" w:lineRule="auto"/>
              <w:rPr>
                <w:rFonts w:ascii="Arial"/>
                <w:sz w:val="21"/>
              </w:rPr>
            </w:pPr>
          </w:p>
          <w:p w14:paraId="4212DEC4">
            <w:pPr>
              <w:spacing w:line="258" w:lineRule="auto"/>
              <w:rPr>
                <w:rFonts w:ascii="Arial"/>
                <w:sz w:val="21"/>
              </w:rPr>
            </w:pPr>
          </w:p>
          <w:p w14:paraId="1E0C1E25">
            <w:pPr>
              <w:spacing w:line="258" w:lineRule="auto"/>
              <w:rPr>
                <w:rFonts w:ascii="Arial"/>
                <w:sz w:val="21"/>
              </w:rPr>
            </w:pPr>
          </w:p>
          <w:p w14:paraId="501CF296">
            <w:pPr>
              <w:spacing w:line="259" w:lineRule="auto"/>
              <w:rPr>
                <w:rFonts w:ascii="Arial"/>
                <w:sz w:val="21"/>
              </w:rPr>
            </w:pPr>
          </w:p>
          <w:p w14:paraId="6D81A9C1">
            <w:pPr>
              <w:spacing w:line="259" w:lineRule="auto"/>
              <w:rPr>
                <w:rFonts w:ascii="Arial"/>
                <w:sz w:val="21"/>
              </w:rPr>
            </w:pPr>
          </w:p>
          <w:p w14:paraId="784F2959">
            <w:pPr>
              <w:spacing w:line="259" w:lineRule="auto"/>
              <w:rPr>
                <w:rFonts w:ascii="Arial"/>
                <w:sz w:val="21"/>
              </w:rPr>
            </w:pPr>
          </w:p>
          <w:p w14:paraId="68B261A9">
            <w:pPr>
              <w:pStyle w:val="8"/>
              <w:spacing w:before="59" w:line="220" w:lineRule="auto"/>
              <w:ind w:left="10"/>
            </w:pPr>
            <w:r>
              <w:rPr>
                <w:spacing w:val="-2"/>
              </w:rPr>
              <w:t>行政处罚</w:t>
            </w:r>
          </w:p>
        </w:tc>
        <w:tc>
          <w:tcPr>
            <w:tcW w:w="8549" w:type="dxa"/>
            <w:vAlign w:val="top"/>
          </w:tcPr>
          <w:p w14:paraId="6E03B17E">
            <w:pPr>
              <w:pStyle w:val="8"/>
              <w:spacing w:before="199" w:line="219" w:lineRule="auto"/>
              <w:ind w:left="484"/>
            </w:pPr>
            <w:r>
              <w:rPr>
                <w:b/>
                <w:bCs/>
                <w:spacing w:val="-4"/>
              </w:rPr>
              <w:t>1.《中华人民共和国招标投标法》</w:t>
            </w:r>
          </w:p>
          <w:p w14:paraId="25D06E70">
            <w:pPr>
              <w:pStyle w:val="8"/>
              <w:spacing w:before="25" w:line="219" w:lineRule="auto"/>
              <w:ind w:left="471"/>
            </w:pPr>
            <w:r>
              <w:rPr>
                <w:spacing w:val="-1"/>
              </w:rPr>
              <w:t>第十五条  招标代理机构应当在招标人委托的范围内办理招标事宜，并遵守本法关于招标人的规定。</w:t>
            </w:r>
          </w:p>
          <w:p w14:paraId="57B9A5BD">
            <w:pPr>
              <w:pStyle w:val="8"/>
              <w:spacing w:before="26" w:line="233" w:lineRule="auto"/>
              <w:ind w:left="114" w:right="159" w:firstLine="356"/>
            </w:pPr>
            <w:r>
              <w:t>第二十二条  招标人不得向他人透露已获取招标文件的潜在投标人的名称、数量</w:t>
            </w:r>
            <w:r>
              <w:rPr>
                <w:spacing w:val="-1"/>
              </w:rPr>
              <w:t>以及可能影响公平竞</w:t>
            </w:r>
            <w:r>
              <w:t xml:space="preserve"> </w:t>
            </w:r>
            <w:r>
              <w:rPr>
                <w:spacing w:val="-3"/>
              </w:rPr>
              <w:t>争的有关招标投标的其他情况。</w:t>
            </w:r>
          </w:p>
          <w:p w14:paraId="2F1C4FE0">
            <w:pPr>
              <w:pStyle w:val="8"/>
              <w:spacing w:before="26" w:line="220" w:lineRule="auto"/>
              <w:ind w:left="471"/>
            </w:pPr>
            <w:r>
              <w:rPr>
                <w:spacing w:val="-3"/>
              </w:rPr>
              <w:t>招标人设有标底的，标底必须保密。</w:t>
            </w:r>
          </w:p>
          <w:p w14:paraId="7536D95E">
            <w:pPr>
              <w:pStyle w:val="8"/>
              <w:spacing w:before="23" w:line="242" w:lineRule="auto"/>
              <w:ind w:left="111" w:right="159" w:firstLine="359"/>
            </w:pPr>
            <w:r>
              <w:t>第五十条  招标代理机构违反本法规定，泄露应当保密的与招标投标活动有关的</w:t>
            </w:r>
            <w:r>
              <w:rPr>
                <w:spacing w:val="-1"/>
              </w:rPr>
              <w:t>情况和资料的，或者</w:t>
            </w:r>
            <w:r>
              <w:t xml:space="preserve"> 与招标人、投标人串通损害国家利益、社会公共利益或者他人合法权益的，处五万元</w:t>
            </w:r>
            <w:r>
              <w:rPr>
                <w:spacing w:val="-1"/>
              </w:rPr>
              <w:t>以上二十五万元以下</w:t>
            </w:r>
            <w:r>
              <w:t xml:space="preserve"> 的罚款，对单位直接负责的主管人员和其他直接责任人员处单位罚款数额百分之五以</w:t>
            </w:r>
            <w:r>
              <w:rPr>
                <w:spacing w:val="-1"/>
              </w:rPr>
              <w:t>上百分之十以下的罚</w:t>
            </w:r>
            <w:r>
              <w:t xml:space="preserve"> 款；有违法所得的，并处没收违法所得；情节严重的，禁止其一年至二年内代理依法</w:t>
            </w:r>
            <w:r>
              <w:rPr>
                <w:spacing w:val="-1"/>
              </w:rPr>
              <w:t>必须进行招标的项目</w:t>
            </w:r>
            <w:r>
              <w:t xml:space="preserve"> 并予以公告，直至由工商行政管理机关吊销营业执照；构成犯罪的，依法追究刑事责</w:t>
            </w:r>
            <w:r>
              <w:rPr>
                <w:spacing w:val="-1"/>
              </w:rPr>
              <w:t>任。给他人造成损失</w:t>
            </w:r>
            <w:r>
              <w:t xml:space="preserve"> </w:t>
            </w:r>
            <w:r>
              <w:rPr>
                <w:spacing w:val="-3"/>
              </w:rPr>
              <w:t>的，依法承担赔偿责任。</w:t>
            </w:r>
          </w:p>
          <w:p w14:paraId="0DE8090D">
            <w:pPr>
              <w:pStyle w:val="8"/>
              <w:spacing w:before="26" w:line="220" w:lineRule="auto"/>
              <w:ind w:left="474"/>
            </w:pPr>
            <w:r>
              <w:rPr>
                <w:spacing w:val="-3"/>
              </w:rPr>
              <w:t>前款所列行为影响中标结果的，中标无效。</w:t>
            </w:r>
          </w:p>
          <w:p w14:paraId="3FFB51B3">
            <w:pPr>
              <w:pStyle w:val="8"/>
              <w:spacing w:before="26" w:line="219" w:lineRule="auto"/>
              <w:ind w:left="473"/>
            </w:pPr>
            <w:r>
              <w:rPr>
                <w:b/>
                <w:bCs/>
                <w:spacing w:val="-3"/>
              </w:rPr>
              <w:t>2.《中华人民共和国招标投标法实施条例》</w:t>
            </w:r>
          </w:p>
          <w:p w14:paraId="2AB5709A">
            <w:pPr>
              <w:pStyle w:val="8"/>
              <w:spacing w:before="25" w:line="233" w:lineRule="auto"/>
              <w:ind w:left="111" w:right="44" w:firstLine="359"/>
            </w:pPr>
            <w:r>
              <w:t>第十三条第二款  招标代理机构代理招标业务，应当遵守招标投标法和本条例关</w:t>
            </w:r>
            <w:r>
              <w:rPr>
                <w:spacing w:val="-1"/>
              </w:rPr>
              <w:t>于招标人的规定。招</w:t>
            </w:r>
            <w:r>
              <w:t xml:space="preserve">  </w:t>
            </w:r>
            <w:r>
              <w:rPr>
                <w:spacing w:val="-1"/>
              </w:rPr>
              <w:t>标代理机构不得在所代理的招标项目中投标或</w:t>
            </w:r>
            <w:r>
              <w:rPr>
                <w:spacing w:val="-2"/>
              </w:rPr>
              <w:t>者代理投标，也不得为所代理的招标项目的投标人提供咨询。</w:t>
            </w:r>
          </w:p>
        </w:tc>
        <w:tc>
          <w:tcPr>
            <w:tcW w:w="1014" w:type="dxa"/>
            <w:vAlign w:val="top"/>
          </w:tcPr>
          <w:p w14:paraId="7B3AB41D">
            <w:pPr>
              <w:spacing w:line="241" w:lineRule="auto"/>
              <w:rPr>
                <w:rFonts w:ascii="Arial"/>
                <w:sz w:val="21"/>
              </w:rPr>
            </w:pPr>
          </w:p>
          <w:p w14:paraId="1217B2AB">
            <w:pPr>
              <w:spacing w:line="241" w:lineRule="auto"/>
              <w:rPr>
                <w:rFonts w:ascii="Arial"/>
                <w:sz w:val="21"/>
              </w:rPr>
            </w:pPr>
          </w:p>
          <w:p w14:paraId="61EBE1D5">
            <w:pPr>
              <w:spacing w:line="241" w:lineRule="auto"/>
              <w:rPr>
                <w:rFonts w:ascii="Arial"/>
                <w:sz w:val="21"/>
              </w:rPr>
            </w:pPr>
          </w:p>
          <w:p w14:paraId="6FBE7516">
            <w:pPr>
              <w:spacing w:line="241" w:lineRule="auto"/>
              <w:rPr>
                <w:rFonts w:ascii="Arial"/>
                <w:sz w:val="21"/>
              </w:rPr>
            </w:pPr>
          </w:p>
          <w:p w14:paraId="57305082">
            <w:pPr>
              <w:spacing w:line="242" w:lineRule="auto"/>
              <w:rPr>
                <w:rFonts w:ascii="Arial"/>
                <w:sz w:val="21"/>
              </w:rPr>
            </w:pPr>
          </w:p>
          <w:p w14:paraId="3335D148">
            <w:pPr>
              <w:spacing w:line="242" w:lineRule="auto"/>
              <w:rPr>
                <w:rFonts w:ascii="Arial"/>
                <w:sz w:val="21"/>
              </w:rPr>
            </w:pPr>
          </w:p>
          <w:p w14:paraId="3585F2BC">
            <w:pPr>
              <w:spacing w:line="242" w:lineRule="auto"/>
              <w:rPr>
                <w:rFonts w:ascii="Arial"/>
                <w:sz w:val="21"/>
              </w:rPr>
            </w:pPr>
          </w:p>
          <w:p w14:paraId="7755B010">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06EF4593">
            <w:pPr>
              <w:spacing w:line="241" w:lineRule="auto"/>
              <w:rPr>
                <w:rFonts w:ascii="Arial"/>
                <w:sz w:val="21"/>
              </w:rPr>
            </w:pPr>
          </w:p>
          <w:p w14:paraId="76DC49CE">
            <w:pPr>
              <w:spacing w:line="241" w:lineRule="auto"/>
              <w:rPr>
                <w:rFonts w:ascii="Arial"/>
                <w:sz w:val="21"/>
              </w:rPr>
            </w:pPr>
          </w:p>
          <w:p w14:paraId="0F109920">
            <w:pPr>
              <w:spacing w:line="241" w:lineRule="auto"/>
              <w:rPr>
                <w:rFonts w:ascii="Arial"/>
                <w:sz w:val="21"/>
              </w:rPr>
            </w:pPr>
          </w:p>
          <w:p w14:paraId="309906D6">
            <w:pPr>
              <w:spacing w:line="241" w:lineRule="auto"/>
              <w:rPr>
                <w:rFonts w:ascii="Arial"/>
                <w:sz w:val="21"/>
              </w:rPr>
            </w:pPr>
          </w:p>
          <w:p w14:paraId="41A534C0">
            <w:pPr>
              <w:spacing w:line="242" w:lineRule="auto"/>
              <w:rPr>
                <w:rFonts w:ascii="Arial"/>
                <w:sz w:val="21"/>
              </w:rPr>
            </w:pPr>
          </w:p>
          <w:p w14:paraId="48F85E35">
            <w:pPr>
              <w:spacing w:line="242" w:lineRule="auto"/>
              <w:rPr>
                <w:rFonts w:ascii="Arial"/>
                <w:sz w:val="21"/>
              </w:rPr>
            </w:pPr>
          </w:p>
          <w:p w14:paraId="36A29C4F">
            <w:pPr>
              <w:spacing w:line="242" w:lineRule="auto"/>
              <w:rPr>
                <w:rFonts w:ascii="Arial"/>
                <w:sz w:val="21"/>
              </w:rPr>
            </w:pPr>
          </w:p>
          <w:p w14:paraId="1B303147">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DF3822A">
            <w:pPr>
              <w:spacing w:line="242" w:lineRule="auto"/>
              <w:rPr>
                <w:rFonts w:ascii="Arial"/>
                <w:sz w:val="21"/>
              </w:rPr>
            </w:pPr>
          </w:p>
          <w:p w14:paraId="62D2D8B2">
            <w:pPr>
              <w:spacing w:line="242" w:lineRule="auto"/>
              <w:rPr>
                <w:rFonts w:ascii="Arial"/>
                <w:sz w:val="21"/>
              </w:rPr>
            </w:pPr>
          </w:p>
          <w:p w14:paraId="49599CBF">
            <w:pPr>
              <w:spacing w:line="242" w:lineRule="auto"/>
              <w:rPr>
                <w:rFonts w:ascii="Arial"/>
                <w:sz w:val="21"/>
              </w:rPr>
            </w:pPr>
          </w:p>
          <w:p w14:paraId="19902439">
            <w:pPr>
              <w:spacing w:line="242" w:lineRule="auto"/>
              <w:rPr>
                <w:rFonts w:ascii="Arial"/>
                <w:sz w:val="21"/>
              </w:rPr>
            </w:pPr>
          </w:p>
          <w:p w14:paraId="1A9EC91E">
            <w:pPr>
              <w:spacing w:line="242" w:lineRule="auto"/>
              <w:rPr>
                <w:rFonts w:ascii="Arial"/>
                <w:sz w:val="21"/>
              </w:rPr>
            </w:pPr>
          </w:p>
          <w:p w14:paraId="61B4E1F6">
            <w:pPr>
              <w:spacing w:line="243" w:lineRule="auto"/>
              <w:rPr>
                <w:rFonts w:ascii="Arial"/>
                <w:sz w:val="21"/>
              </w:rPr>
            </w:pPr>
          </w:p>
          <w:p w14:paraId="236C690E">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44FC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0" w:hRule="atLeast"/>
        </w:trPr>
        <w:tc>
          <w:tcPr>
            <w:tcW w:w="624" w:type="dxa"/>
            <w:vAlign w:val="top"/>
          </w:tcPr>
          <w:p w14:paraId="676F016E">
            <w:pPr>
              <w:spacing w:line="246" w:lineRule="auto"/>
              <w:rPr>
                <w:rFonts w:ascii="Arial"/>
                <w:sz w:val="21"/>
              </w:rPr>
            </w:pPr>
          </w:p>
          <w:p w14:paraId="2B2E84DA">
            <w:pPr>
              <w:spacing w:line="246" w:lineRule="auto"/>
              <w:rPr>
                <w:rFonts w:ascii="Arial"/>
                <w:sz w:val="21"/>
              </w:rPr>
            </w:pPr>
          </w:p>
          <w:p w14:paraId="31E3B089">
            <w:pPr>
              <w:spacing w:line="246" w:lineRule="auto"/>
              <w:rPr>
                <w:rFonts w:ascii="Arial"/>
                <w:sz w:val="21"/>
              </w:rPr>
            </w:pPr>
          </w:p>
          <w:p w14:paraId="26A3EDCE">
            <w:pPr>
              <w:spacing w:line="246" w:lineRule="auto"/>
              <w:rPr>
                <w:rFonts w:ascii="Arial"/>
                <w:sz w:val="21"/>
              </w:rPr>
            </w:pPr>
          </w:p>
          <w:p w14:paraId="4C1F0AE9">
            <w:pPr>
              <w:spacing w:line="246" w:lineRule="auto"/>
              <w:rPr>
                <w:rFonts w:ascii="Arial"/>
                <w:sz w:val="21"/>
              </w:rPr>
            </w:pPr>
          </w:p>
          <w:p w14:paraId="5D31447A">
            <w:pPr>
              <w:spacing w:line="246" w:lineRule="auto"/>
              <w:rPr>
                <w:rFonts w:ascii="Arial"/>
                <w:sz w:val="21"/>
              </w:rPr>
            </w:pPr>
          </w:p>
          <w:p w14:paraId="54B7F871">
            <w:pPr>
              <w:spacing w:line="246" w:lineRule="auto"/>
              <w:rPr>
                <w:rFonts w:ascii="Arial"/>
                <w:sz w:val="21"/>
              </w:rPr>
            </w:pPr>
          </w:p>
          <w:p w14:paraId="405B9CC0">
            <w:pPr>
              <w:spacing w:line="246" w:lineRule="auto"/>
              <w:rPr>
                <w:rFonts w:ascii="Arial"/>
                <w:sz w:val="21"/>
              </w:rPr>
            </w:pPr>
          </w:p>
          <w:p w14:paraId="0D1B58C5">
            <w:pPr>
              <w:spacing w:line="247" w:lineRule="auto"/>
              <w:rPr>
                <w:rFonts w:ascii="Arial"/>
                <w:sz w:val="21"/>
              </w:rPr>
            </w:pPr>
          </w:p>
          <w:p w14:paraId="7D4651DD">
            <w:pPr>
              <w:pStyle w:val="8"/>
              <w:spacing w:before="58" w:line="183" w:lineRule="auto"/>
              <w:ind w:left="275"/>
            </w:pPr>
            <w:r>
              <w:t>8</w:t>
            </w:r>
          </w:p>
        </w:tc>
        <w:tc>
          <w:tcPr>
            <w:tcW w:w="1104" w:type="dxa"/>
            <w:vAlign w:val="top"/>
          </w:tcPr>
          <w:p w14:paraId="4DA1EF44">
            <w:pPr>
              <w:spacing w:line="246" w:lineRule="auto"/>
              <w:rPr>
                <w:rFonts w:ascii="Arial"/>
                <w:sz w:val="21"/>
              </w:rPr>
            </w:pPr>
          </w:p>
          <w:p w14:paraId="1A0CF498">
            <w:pPr>
              <w:spacing w:line="246" w:lineRule="auto"/>
              <w:rPr>
                <w:rFonts w:ascii="Arial"/>
                <w:sz w:val="21"/>
              </w:rPr>
            </w:pPr>
          </w:p>
          <w:p w14:paraId="7145D5B2">
            <w:pPr>
              <w:spacing w:line="246" w:lineRule="auto"/>
              <w:rPr>
                <w:rFonts w:ascii="Arial"/>
                <w:sz w:val="21"/>
              </w:rPr>
            </w:pPr>
          </w:p>
          <w:p w14:paraId="08A0016D">
            <w:pPr>
              <w:spacing w:line="247" w:lineRule="auto"/>
              <w:rPr>
                <w:rFonts w:ascii="Arial"/>
                <w:sz w:val="21"/>
              </w:rPr>
            </w:pPr>
          </w:p>
          <w:p w14:paraId="66027CE9">
            <w:pPr>
              <w:spacing w:line="247" w:lineRule="auto"/>
              <w:rPr>
                <w:rFonts w:ascii="Arial"/>
                <w:sz w:val="21"/>
              </w:rPr>
            </w:pPr>
          </w:p>
          <w:p w14:paraId="49AB04CF">
            <w:pPr>
              <w:pStyle w:val="8"/>
              <w:spacing w:before="59" w:line="243"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16"/>
              </w:rPr>
              <w:t>中介机构与</w:t>
            </w:r>
            <w:r>
              <w:rPr>
                <w:spacing w:val="1"/>
              </w:rPr>
              <w:t xml:space="preserve"> </w:t>
            </w:r>
            <w:r>
              <w:rPr>
                <w:spacing w:val="7"/>
              </w:rPr>
              <w:t>他人</w:t>
            </w:r>
            <w:r>
              <w:rPr>
                <w:spacing w:val="-43"/>
              </w:rPr>
              <w:t xml:space="preserve"> </w:t>
            </w:r>
            <w:r>
              <w:rPr>
                <w:spacing w:val="7"/>
              </w:rPr>
              <w:t>串通行</w:t>
            </w:r>
            <w:r>
              <w:t xml:space="preserve"> </w:t>
            </w:r>
            <w:r>
              <w:rPr>
                <w:spacing w:val="16"/>
              </w:rPr>
              <w:t>为的行政处</w:t>
            </w:r>
            <w:r>
              <w:rPr>
                <w:spacing w:val="1"/>
              </w:rPr>
              <w:t xml:space="preserve"> </w:t>
            </w:r>
            <w:r>
              <w:t>罚</w:t>
            </w:r>
          </w:p>
        </w:tc>
        <w:tc>
          <w:tcPr>
            <w:tcW w:w="1104" w:type="dxa"/>
            <w:vAlign w:val="top"/>
          </w:tcPr>
          <w:p w14:paraId="404033A7">
            <w:pPr>
              <w:spacing w:line="243" w:lineRule="auto"/>
              <w:rPr>
                <w:rFonts w:ascii="Arial"/>
                <w:sz w:val="21"/>
              </w:rPr>
            </w:pPr>
          </w:p>
          <w:p w14:paraId="544561E0">
            <w:pPr>
              <w:spacing w:line="243" w:lineRule="auto"/>
              <w:rPr>
                <w:rFonts w:ascii="Arial"/>
                <w:sz w:val="21"/>
              </w:rPr>
            </w:pPr>
          </w:p>
          <w:p w14:paraId="3D3EA10D">
            <w:pPr>
              <w:spacing w:line="243" w:lineRule="auto"/>
              <w:rPr>
                <w:rFonts w:ascii="Arial"/>
                <w:sz w:val="21"/>
              </w:rPr>
            </w:pPr>
          </w:p>
          <w:p w14:paraId="0E6D7701">
            <w:pPr>
              <w:spacing w:line="243" w:lineRule="auto"/>
              <w:rPr>
                <w:rFonts w:ascii="Arial"/>
                <w:sz w:val="21"/>
              </w:rPr>
            </w:pPr>
          </w:p>
          <w:p w14:paraId="305C66AD">
            <w:pPr>
              <w:spacing w:line="243" w:lineRule="auto"/>
              <w:rPr>
                <w:rFonts w:ascii="Arial"/>
                <w:sz w:val="21"/>
              </w:rPr>
            </w:pPr>
          </w:p>
          <w:p w14:paraId="0153E006">
            <w:pPr>
              <w:spacing w:line="243" w:lineRule="auto"/>
              <w:rPr>
                <w:rFonts w:ascii="Arial"/>
                <w:sz w:val="21"/>
              </w:rPr>
            </w:pPr>
          </w:p>
          <w:p w14:paraId="687944ED">
            <w:pPr>
              <w:spacing w:line="243" w:lineRule="auto"/>
              <w:rPr>
                <w:rFonts w:ascii="Arial"/>
                <w:sz w:val="21"/>
              </w:rPr>
            </w:pPr>
          </w:p>
          <w:p w14:paraId="6CECCE99">
            <w:pPr>
              <w:spacing w:line="243" w:lineRule="auto"/>
              <w:rPr>
                <w:rFonts w:ascii="Arial"/>
                <w:sz w:val="21"/>
              </w:rPr>
            </w:pPr>
          </w:p>
          <w:p w14:paraId="0D052BA1">
            <w:pPr>
              <w:spacing w:line="243" w:lineRule="auto"/>
              <w:rPr>
                <w:rFonts w:ascii="Arial"/>
                <w:sz w:val="21"/>
              </w:rPr>
            </w:pPr>
          </w:p>
          <w:p w14:paraId="32C16710">
            <w:pPr>
              <w:pStyle w:val="8"/>
              <w:spacing w:before="58" w:line="220" w:lineRule="auto"/>
              <w:ind w:left="10"/>
            </w:pPr>
            <w:r>
              <w:rPr>
                <w:spacing w:val="-2"/>
              </w:rPr>
              <w:t>行政处罚</w:t>
            </w:r>
          </w:p>
        </w:tc>
        <w:tc>
          <w:tcPr>
            <w:tcW w:w="8549" w:type="dxa"/>
            <w:vAlign w:val="top"/>
          </w:tcPr>
          <w:p w14:paraId="701F5044">
            <w:pPr>
              <w:pStyle w:val="8"/>
              <w:spacing w:before="219" w:line="219" w:lineRule="auto"/>
              <w:ind w:left="484"/>
            </w:pPr>
            <w:r>
              <w:rPr>
                <w:b/>
                <w:bCs/>
                <w:spacing w:val="-4"/>
              </w:rPr>
              <w:t>1.《中华人民共和国招标投标法》</w:t>
            </w:r>
          </w:p>
          <w:p w14:paraId="71F889DE">
            <w:pPr>
              <w:pStyle w:val="8"/>
              <w:spacing w:before="25" w:line="233" w:lineRule="auto"/>
              <w:ind w:left="113" w:right="159" w:firstLine="357"/>
            </w:pPr>
            <w:r>
              <w:t>第三十二条  投标人不得相互串通投标报价，不得排挤其他投标人的公平竞争，</w:t>
            </w:r>
            <w:r>
              <w:rPr>
                <w:spacing w:val="-1"/>
              </w:rPr>
              <w:t>损害招标人或者其他</w:t>
            </w:r>
            <w:r>
              <w:t xml:space="preserve"> </w:t>
            </w:r>
            <w:r>
              <w:rPr>
                <w:spacing w:val="-4"/>
              </w:rPr>
              <w:t>投标人的合法权益。</w:t>
            </w:r>
          </w:p>
          <w:p w14:paraId="1E8C0A09">
            <w:pPr>
              <w:pStyle w:val="8"/>
              <w:spacing w:before="25" w:line="219" w:lineRule="auto"/>
              <w:ind w:left="473"/>
            </w:pPr>
            <w:r>
              <w:rPr>
                <w:spacing w:val="-1"/>
              </w:rPr>
              <w:t>投标人不得与招标人串通投标，损害国家利益、社会公共利益或者他人的合</w:t>
            </w:r>
            <w:r>
              <w:rPr>
                <w:spacing w:val="-2"/>
              </w:rPr>
              <w:t>法权益。</w:t>
            </w:r>
          </w:p>
          <w:p w14:paraId="6CA41E1A">
            <w:pPr>
              <w:pStyle w:val="8"/>
              <w:spacing w:before="26" w:line="219" w:lineRule="auto"/>
              <w:ind w:left="471"/>
            </w:pPr>
            <w:r>
              <w:rPr>
                <w:spacing w:val="-1"/>
              </w:rPr>
              <w:t>禁止投标人以向招标人或者评标委员会成员行</w:t>
            </w:r>
            <w:r>
              <w:rPr>
                <w:spacing w:val="-2"/>
              </w:rPr>
              <w:t>贿的手段谋取中标。</w:t>
            </w:r>
          </w:p>
          <w:p w14:paraId="6A936347">
            <w:pPr>
              <w:pStyle w:val="8"/>
              <w:spacing w:before="24" w:line="242" w:lineRule="auto"/>
              <w:ind w:left="111" w:right="159" w:firstLine="359"/>
            </w:pPr>
            <w:r>
              <w:t>第五十条  招标代理机构违反本法规定，泄露应当保密的与招标投标活动有关的</w:t>
            </w:r>
            <w:r>
              <w:rPr>
                <w:spacing w:val="-1"/>
              </w:rPr>
              <w:t>情况和资料的，或者</w:t>
            </w:r>
            <w:r>
              <w:t xml:space="preserve"> 与招标人、投标人串通损害国家利益、社会公共利益或者他人合法权益的，处五万元</w:t>
            </w:r>
            <w:r>
              <w:rPr>
                <w:spacing w:val="-1"/>
              </w:rPr>
              <w:t>以上二十五万元以下</w:t>
            </w:r>
            <w:r>
              <w:t xml:space="preserve"> 的罚款，对单位直接负责的主管人员和其他直接责任人员处单位罚款数额百分之五以</w:t>
            </w:r>
            <w:r>
              <w:rPr>
                <w:spacing w:val="-1"/>
              </w:rPr>
              <w:t>上百分之十以下的罚</w:t>
            </w:r>
            <w:r>
              <w:t xml:space="preserve"> 款；有违法所得的，并处没收违法所得；情节严重的，禁止其一年至二年内代理依法</w:t>
            </w:r>
            <w:r>
              <w:rPr>
                <w:spacing w:val="-1"/>
              </w:rPr>
              <w:t>必须进行招标的项目</w:t>
            </w:r>
            <w:r>
              <w:t xml:space="preserve"> 并予以公告，直至由工商行政管理机关吊销营业执照；构成犯罪的，依法追究刑事责</w:t>
            </w:r>
            <w:r>
              <w:rPr>
                <w:spacing w:val="-1"/>
              </w:rPr>
              <w:t>任。给他人造成损失</w:t>
            </w:r>
            <w:r>
              <w:t xml:space="preserve"> </w:t>
            </w:r>
            <w:r>
              <w:rPr>
                <w:spacing w:val="-3"/>
              </w:rPr>
              <w:t>的，依法承担赔偿责任。</w:t>
            </w:r>
          </w:p>
          <w:p w14:paraId="507BD92F">
            <w:pPr>
              <w:pStyle w:val="8"/>
              <w:spacing w:before="27" w:line="220" w:lineRule="auto"/>
              <w:ind w:left="474"/>
            </w:pPr>
            <w:r>
              <w:rPr>
                <w:spacing w:val="-3"/>
              </w:rPr>
              <w:t>前款所列行为影响中标结果的，中标无效。</w:t>
            </w:r>
          </w:p>
          <w:p w14:paraId="51518AA0">
            <w:pPr>
              <w:pStyle w:val="8"/>
              <w:spacing w:before="26" w:line="219" w:lineRule="auto"/>
              <w:ind w:left="473"/>
            </w:pPr>
            <w:r>
              <w:rPr>
                <w:b/>
                <w:bCs/>
                <w:spacing w:val="-3"/>
              </w:rPr>
              <w:t>2.《中华人民共和国招标投标法实施条例》</w:t>
            </w:r>
          </w:p>
          <w:p w14:paraId="3509D218">
            <w:pPr>
              <w:pStyle w:val="8"/>
              <w:spacing w:before="25" w:line="233" w:lineRule="auto"/>
              <w:ind w:left="110" w:right="159" w:firstLine="360"/>
            </w:pPr>
            <w:r>
              <w:t>第十三条  招标代理机构代理招标业务，应当遵守招标投标法和本条例关于招标</w:t>
            </w:r>
            <w:r>
              <w:rPr>
                <w:spacing w:val="-1"/>
              </w:rPr>
              <w:t>人的规定。招标代理</w:t>
            </w:r>
            <w:r>
              <w:t xml:space="preserve"> </w:t>
            </w:r>
            <w:r>
              <w:rPr>
                <w:spacing w:val="-1"/>
              </w:rPr>
              <w:t>机构不得在所代理的招标项目中投标或者代理投标，也不得为所代理的招标项目的投标人提供咨询。</w:t>
            </w:r>
          </w:p>
          <w:p w14:paraId="5E2BA303">
            <w:pPr>
              <w:pStyle w:val="8"/>
              <w:spacing w:before="27" w:line="237" w:lineRule="auto"/>
              <w:ind w:left="110" w:right="159" w:firstLine="360"/>
            </w:pPr>
            <w:r>
              <w:t>第六十五条  招标代理机构在所代理的招标项目中投标、代理投标或者向该项目</w:t>
            </w:r>
            <w:r>
              <w:rPr>
                <w:spacing w:val="-1"/>
              </w:rPr>
              <w:t>投标人提供咨询的，</w:t>
            </w:r>
            <w:r>
              <w:t xml:space="preserve"> 接受委托编制标底的中介机构参加受托编制标底项目的投标或者为该项目的投标人编制</w:t>
            </w:r>
            <w:r>
              <w:rPr>
                <w:spacing w:val="-1"/>
              </w:rPr>
              <w:t>投标文件、提供咨</w:t>
            </w:r>
            <w:r>
              <w:t xml:space="preserve"> </w:t>
            </w:r>
            <w:r>
              <w:rPr>
                <w:spacing w:val="-2"/>
              </w:rPr>
              <w:t>询的，依照招标投标法第五十条的规定追究法律责任。</w:t>
            </w:r>
          </w:p>
        </w:tc>
        <w:tc>
          <w:tcPr>
            <w:tcW w:w="1014" w:type="dxa"/>
            <w:vAlign w:val="top"/>
          </w:tcPr>
          <w:p w14:paraId="096AA4B5">
            <w:pPr>
              <w:spacing w:line="258" w:lineRule="auto"/>
              <w:rPr>
                <w:rFonts w:ascii="Arial"/>
                <w:sz w:val="21"/>
              </w:rPr>
            </w:pPr>
          </w:p>
          <w:p w14:paraId="4714D2D5">
            <w:pPr>
              <w:spacing w:line="258" w:lineRule="auto"/>
              <w:rPr>
                <w:rFonts w:ascii="Arial"/>
                <w:sz w:val="21"/>
              </w:rPr>
            </w:pPr>
          </w:p>
          <w:p w14:paraId="7D803A89">
            <w:pPr>
              <w:spacing w:line="258" w:lineRule="auto"/>
              <w:rPr>
                <w:rFonts w:ascii="Arial"/>
                <w:sz w:val="21"/>
              </w:rPr>
            </w:pPr>
          </w:p>
          <w:p w14:paraId="5C0B0D7F">
            <w:pPr>
              <w:spacing w:line="258" w:lineRule="auto"/>
              <w:rPr>
                <w:rFonts w:ascii="Arial"/>
                <w:sz w:val="21"/>
              </w:rPr>
            </w:pPr>
          </w:p>
          <w:p w14:paraId="18159492">
            <w:pPr>
              <w:spacing w:line="258" w:lineRule="auto"/>
              <w:rPr>
                <w:rFonts w:ascii="Arial"/>
                <w:sz w:val="21"/>
              </w:rPr>
            </w:pPr>
          </w:p>
          <w:p w14:paraId="5D4C96EE">
            <w:pPr>
              <w:spacing w:line="259" w:lineRule="auto"/>
              <w:rPr>
                <w:rFonts w:ascii="Arial"/>
                <w:sz w:val="21"/>
              </w:rPr>
            </w:pPr>
          </w:p>
          <w:p w14:paraId="1B9C924B">
            <w:pPr>
              <w:spacing w:line="259" w:lineRule="auto"/>
              <w:rPr>
                <w:rFonts w:ascii="Arial"/>
                <w:sz w:val="21"/>
              </w:rPr>
            </w:pPr>
          </w:p>
          <w:p w14:paraId="4360335C">
            <w:pPr>
              <w:spacing w:line="259" w:lineRule="auto"/>
              <w:rPr>
                <w:rFonts w:ascii="Arial"/>
                <w:sz w:val="21"/>
              </w:rPr>
            </w:pPr>
          </w:p>
          <w:p w14:paraId="0A9B6660">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6530E24">
            <w:pPr>
              <w:spacing w:line="258" w:lineRule="auto"/>
              <w:rPr>
                <w:rFonts w:ascii="Arial"/>
                <w:sz w:val="21"/>
              </w:rPr>
            </w:pPr>
          </w:p>
          <w:p w14:paraId="01DD6AF1">
            <w:pPr>
              <w:spacing w:line="258" w:lineRule="auto"/>
              <w:rPr>
                <w:rFonts w:ascii="Arial"/>
                <w:sz w:val="21"/>
              </w:rPr>
            </w:pPr>
          </w:p>
          <w:p w14:paraId="776E4366">
            <w:pPr>
              <w:spacing w:line="258" w:lineRule="auto"/>
              <w:rPr>
                <w:rFonts w:ascii="Arial"/>
                <w:sz w:val="21"/>
              </w:rPr>
            </w:pPr>
          </w:p>
          <w:p w14:paraId="4EC87BDE">
            <w:pPr>
              <w:spacing w:line="258" w:lineRule="auto"/>
              <w:rPr>
                <w:rFonts w:ascii="Arial"/>
                <w:sz w:val="21"/>
              </w:rPr>
            </w:pPr>
          </w:p>
          <w:p w14:paraId="68A0E274">
            <w:pPr>
              <w:spacing w:line="258" w:lineRule="auto"/>
              <w:rPr>
                <w:rFonts w:ascii="Arial"/>
                <w:sz w:val="21"/>
              </w:rPr>
            </w:pPr>
          </w:p>
          <w:p w14:paraId="28A92DA5">
            <w:pPr>
              <w:spacing w:line="259" w:lineRule="auto"/>
              <w:rPr>
                <w:rFonts w:ascii="Arial"/>
                <w:sz w:val="21"/>
              </w:rPr>
            </w:pPr>
          </w:p>
          <w:p w14:paraId="51430709">
            <w:pPr>
              <w:spacing w:line="259" w:lineRule="auto"/>
              <w:rPr>
                <w:rFonts w:ascii="Arial"/>
                <w:sz w:val="21"/>
              </w:rPr>
            </w:pPr>
          </w:p>
          <w:p w14:paraId="5AF53CA3">
            <w:pPr>
              <w:spacing w:line="259" w:lineRule="auto"/>
              <w:rPr>
                <w:rFonts w:ascii="Arial"/>
                <w:sz w:val="21"/>
              </w:rPr>
            </w:pPr>
          </w:p>
          <w:p w14:paraId="04576711">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E48A4B5">
            <w:pPr>
              <w:spacing w:line="261" w:lineRule="auto"/>
              <w:rPr>
                <w:rFonts w:ascii="Arial"/>
                <w:sz w:val="21"/>
              </w:rPr>
            </w:pPr>
          </w:p>
          <w:p w14:paraId="5F2CBA60">
            <w:pPr>
              <w:spacing w:line="261" w:lineRule="auto"/>
              <w:rPr>
                <w:rFonts w:ascii="Arial"/>
                <w:sz w:val="21"/>
              </w:rPr>
            </w:pPr>
          </w:p>
          <w:p w14:paraId="627E906B">
            <w:pPr>
              <w:spacing w:line="261" w:lineRule="auto"/>
              <w:rPr>
                <w:rFonts w:ascii="Arial"/>
                <w:sz w:val="21"/>
              </w:rPr>
            </w:pPr>
          </w:p>
          <w:p w14:paraId="76092AFC">
            <w:pPr>
              <w:spacing w:line="261" w:lineRule="auto"/>
              <w:rPr>
                <w:rFonts w:ascii="Arial"/>
                <w:sz w:val="21"/>
              </w:rPr>
            </w:pPr>
          </w:p>
          <w:p w14:paraId="644D70FA">
            <w:pPr>
              <w:spacing w:line="262" w:lineRule="auto"/>
              <w:rPr>
                <w:rFonts w:ascii="Arial"/>
                <w:sz w:val="21"/>
              </w:rPr>
            </w:pPr>
          </w:p>
          <w:p w14:paraId="51CC48E4">
            <w:pPr>
              <w:spacing w:line="262" w:lineRule="auto"/>
              <w:rPr>
                <w:rFonts w:ascii="Arial"/>
                <w:sz w:val="21"/>
              </w:rPr>
            </w:pPr>
          </w:p>
          <w:p w14:paraId="3C143F5A">
            <w:pPr>
              <w:spacing w:line="262" w:lineRule="auto"/>
              <w:rPr>
                <w:rFonts w:ascii="Arial"/>
                <w:sz w:val="21"/>
              </w:rPr>
            </w:pPr>
          </w:p>
          <w:p w14:paraId="47E4AEF5">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211CD571">
      <w:pPr>
        <w:pStyle w:val="2"/>
      </w:pPr>
    </w:p>
    <w:p w14:paraId="5B1E9F52">
      <w:pPr>
        <w:sectPr>
          <w:footerReference r:id="rId80" w:type="default"/>
          <w:pgSz w:w="16839" w:h="11906"/>
          <w:pgMar w:top="1012" w:right="991" w:bottom="966" w:left="1021" w:header="0" w:footer="768" w:gutter="0"/>
          <w:cols w:space="720" w:num="1"/>
        </w:sectPr>
      </w:pPr>
    </w:p>
    <w:p w14:paraId="42AA8A5E">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37EA0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2F5C04CD">
            <w:pPr>
              <w:pStyle w:val="8"/>
              <w:spacing w:before="267" w:line="221" w:lineRule="auto"/>
              <w:ind w:left="134"/>
            </w:pPr>
            <w:r>
              <w:rPr>
                <w:b/>
                <w:bCs/>
                <w:spacing w:val="-4"/>
              </w:rPr>
              <w:t>序号</w:t>
            </w:r>
          </w:p>
        </w:tc>
        <w:tc>
          <w:tcPr>
            <w:tcW w:w="1104" w:type="dxa"/>
            <w:vMerge w:val="restart"/>
            <w:tcBorders>
              <w:bottom w:val="nil"/>
            </w:tcBorders>
            <w:vAlign w:val="top"/>
          </w:tcPr>
          <w:p w14:paraId="4DD2EAD9">
            <w:pPr>
              <w:pStyle w:val="8"/>
              <w:spacing w:before="260" w:line="220" w:lineRule="auto"/>
              <w:ind w:left="192"/>
            </w:pPr>
            <w:r>
              <w:rPr>
                <w:b/>
                <w:bCs/>
                <w:spacing w:val="-4"/>
              </w:rPr>
              <w:t>事项名称</w:t>
            </w:r>
          </w:p>
        </w:tc>
        <w:tc>
          <w:tcPr>
            <w:tcW w:w="1104" w:type="dxa"/>
            <w:vMerge w:val="restart"/>
            <w:tcBorders>
              <w:bottom w:val="nil"/>
            </w:tcBorders>
            <w:vAlign w:val="top"/>
          </w:tcPr>
          <w:p w14:paraId="45BEABA7">
            <w:pPr>
              <w:pStyle w:val="8"/>
              <w:spacing w:before="260" w:line="219" w:lineRule="auto"/>
              <w:ind w:left="193"/>
            </w:pPr>
            <w:r>
              <w:rPr>
                <w:b/>
                <w:bCs/>
                <w:spacing w:val="-4"/>
              </w:rPr>
              <w:t>职权类型</w:t>
            </w:r>
          </w:p>
        </w:tc>
        <w:tc>
          <w:tcPr>
            <w:tcW w:w="8549" w:type="dxa"/>
            <w:vMerge w:val="restart"/>
            <w:tcBorders>
              <w:bottom w:val="nil"/>
            </w:tcBorders>
            <w:vAlign w:val="top"/>
          </w:tcPr>
          <w:p w14:paraId="3FD15995">
            <w:pPr>
              <w:pStyle w:val="8"/>
              <w:spacing w:before="259" w:line="219" w:lineRule="auto"/>
              <w:ind w:left="3921"/>
            </w:pPr>
            <w:r>
              <w:rPr>
                <w:b/>
                <w:bCs/>
                <w:spacing w:val="-5"/>
              </w:rPr>
              <w:t>实施依据</w:t>
            </w:r>
          </w:p>
        </w:tc>
        <w:tc>
          <w:tcPr>
            <w:tcW w:w="3439" w:type="dxa"/>
            <w:gridSpan w:val="3"/>
            <w:vAlign w:val="top"/>
          </w:tcPr>
          <w:p w14:paraId="08B2BC7A">
            <w:pPr>
              <w:pStyle w:val="8"/>
              <w:spacing w:before="85" w:line="220" w:lineRule="auto"/>
              <w:ind w:left="1365"/>
            </w:pPr>
            <w:r>
              <w:rPr>
                <w:b/>
                <w:bCs/>
                <w:spacing w:val="-5"/>
              </w:rPr>
              <w:t>实施主体</w:t>
            </w:r>
          </w:p>
        </w:tc>
      </w:tr>
      <w:tr w14:paraId="337B6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1223DCE5">
            <w:pPr>
              <w:rPr>
                <w:rFonts w:ascii="Arial"/>
                <w:sz w:val="21"/>
              </w:rPr>
            </w:pPr>
          </w:p>
        </w:tc>
        <w:tc>
          <w:tcPr>
            <w:tcW w:w="1104" w:type="dxa"/>
            <w:vMerge w:val="continue"/>
            <w:tcBorders>
              <w:top w:val="nil"/>
            </w:tcBorders>
            <w:vAlign w:val="top"/>
          </w:tcPr>
          <w:p w14:paraId="61960647">
            <w:pPr>
              <w:rPr>
                <w:rFonts w:ascii="Arial"/>
                <w:sz w:val="21"/>
              </w:rPr>
            </w:pPr>
          </w:p>
        </w:tc>
        <w:tc>
          <w:tcPr>
            <w:tcW w:w="1104" w:type="dxa"/>
            <w:vMerge w:val="continue"/>
            <w:tcBorders>
              <w:top w:val="nil"/>
            </w:tcBorders>
            <w:vAlign w:val="top"/>
          </w:tcPr>
          <w:p w14:paraId="2C2225CB">
            <w:pPr>
              <w:rPr>
                <w:rFonts w:ascii="Arial"/>
                <w:sz w:val="21"/>
              </w:rPr>
            </w:pPr>
          </w:p>
        </w:tc>
        <w:tc>
          <w:tcPr>
            <w:tcW w:w="8549" w:type="dxa"/>
            <w:vMerge w:val="continue"/>
            <w:tcBorders>
              <w:top w:val="nil"/>
            </w:tcBorders>
            <w:vAlign w:val="top"/>
          </w:tcPr>
          <w:p w14:paraId="672B5E68">
            <w:pPr>
              <w:rPr>
                <w:rFonts w:ascii="Arial"/>
                <w:sz w:val="21"/>
              </w:rPr>
            </w:pPr>
          </w:p>
        </w:tc>
        <w:tc>
          <w:tcPr>
            <w:tcW w:w="1014" w:type="dxa"/>
            <w:vAlign w:val="top"/>
          </w:tcPr>
          <w:p w14:paraId="6BAC8244">
            <w:pPr>
              <w:pStyle w:val="8"/>
              <w:spacing w:before="81" w:line="219" w:lineRule="auto"/>
              <w:ind w:left="158"/>
            </w:pPr>
            <w:r>
              <w:rPr>
                <w:b/>
                <w:bCs/>
                <w:spacing w:val="-5"/>
              </w:rPr>
              <w:t>责任部门</w:t>
            </w:r>
          </w:p>
        </w:tc>
        <w:tc>
          <w:tcPr>
            <w:tcW w:w="1407" w:type="dxa"/>
            <w:vAlign w:val="top"/>
          </w:tcPr>
          <w:p w14:paraId="0FEFE750">
            <w:pPr>
              <w:pStyle w:val="8"/>
              <w:spacing w:before="81" w:line="219" w:lineRule="auto"/>
              <w:ind w:left="167"/>
            </w:pPr>
            <w:r>
              <w:rPr>
                <w:b/>
                <w:bCs/>
                <w:spacing w:val="-3"/>
              </w:rPr>
              <w:t>第一责任层级</w:t>
            </w:r>
          </w:p>
        </w:tc>
        <w:tc>
          <w:tcPr>
            <w:tcW w:w="1018" w:type="dxa"/>
            <w:vAlign w:val="top"/>
          </w:tcPr>
          <w:p w14:paraId="7DC76AEB">
            <w:pPr>
              <w:pStyle w:val="8"/>
              <w:spacing w:before="81" w:line="219" w:lineRule="auto"/>
              <w:ind w:left="152"/>
            </w:pPr>
            <w:r>
              <w:rPr>
                <w:b/>
                <w:bCs/>
                <w:spacing w:val="-4"/>
              </w:rPr>
              <w:t>承办机构</w:t>
            </w:r>
          </w:p>
        </w:tc>
      </w:tr>
      <w:tr w14:paraId="72DF3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24" w:type="dxa"/>
            <w:vAlign w:val="top"/>
          </w:tcPr>
          <w:p w14:paraId="194C74E0">
            <w:pPr>
              <w:spacing w:line="270" w:lineRule="auto"/>
              <w:rPr>
                <w:rFonts w:ascii="Arial"/>
                <w:sz w:val="21"/>
              </w:rPr>
            </w:pPr>
          </w:p>
          <w:p w14:paraId="6B29FA3A">
            <w:pPr>
              <w:spacing w:line="270" w:lineRule="auto"/>
              <w:rPr>
                <w:rFonts w:ascii="Arial"/>
                <w:sz w:val="21"/>
              </w:rPr>
            </w:pPr>
          </w:p>
          <w:p w14:paraId="2A96A41B">
            <w:pPr>
              <w:spacing w:line="270" w:lineRule="auto"/>
              <w:rPr>
                <w:rFonts w:ascii="Arial"/>
                <w:sz w:val="21"/>
              </w:rPr>
            </w:pPr>
          </w:p>
          <w:p w14:paraId="29A4C4BD">
            <w:pPr>
              <w:spacing w:line="271" w:lineRule="auto"/>
              <w:rPr>
                <w:rFonts w:ascii="Arial"/>
                <w:sz w:val="21"/>
              </w:rPr>
            </w:pPr>
          </w:p>
          <w:p w14:paraId="2FE945C7">
            <w:pPr>
              <w:pStyle w:val="8"/>
              <w:spacing w:before="59" w:line="183" w:lineRule="auto"/>
              <w:ind w:left="275"/>
            </w:pPr>
            <w:r>
              <w:t>9</w:t>
            </w:r>
          </w:p>
        </w:tc>
        <w:tc>
          <w:tcPr>
            <w:tcW w:w="1104" w:type="dxa"/>
            <w:vAlign w:val="top"/>
          </w:tcPr>
          <w:p w14:paraId="10AA65BE">
            <w:pPr>
              <w:spacing w:line="335" w:lineRule="auto"/>
              <w:rPr>
                <w:rFonts w:ascii="Arial"/>
                <w:sz w:val="21"/>
              </w:rPr>
            </w:pPr>
          </w:p>
          <w:p w14:paraId="18CBD962">
            <w:pPr>
              <w:pStyle w:val="8"/>
              <w:spacing w:before="58" w:line="243"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16"/>
              </w:rPr>
              <w:t>人限制或排</w:t>
            </w:r>
            <w:r>
              <w:rPr>
                <w:spacing w:val="1"/>
              </w:rPr>
              <w:t xml:space="preserve"> </w:t>
            </w:r>
            <w:r>
              <w:rPr>
                <w:spacing w:val="16"/>
              </w:rPr>
              <w:t>斥潜在投标</w:t>
            </w:r>
            <w:r>
              <w:rPr>
                <w:spacing w:val="1"/>
              </w:rPr>
              <w:t xml:space="preserve"> </w:t>
            </w:r>
            <w:r>
              <w:rPr>
                <w:spacing w:val="16"/>
              </w:rPr>
              <w:t>人行为的行</w:t>
            </w:r>
            <w:r>
              <w:rPr>
                <w:spacing w:val="1"/>
              </w:rPr>
              <w:t xml:space="preserve"> </w:t>
            </w:r>
            <w:r>
              <w:rPr>
                <w:spacing w:val="-2"/>
              </w:rPr>
              <w:t>政处罚</w:t>
            </w:r>
          </w:p>
        </w:tc>
        <w:tc>
          <w:tcPr>
            <w:tcW w:w="1104" w:type="dxa"/>
            <w:vAlign w:val="top"/>
          </w:tcPr>
          <w:p w14:paraId="142F54D0">
            <w:pPr>
              <w:spacing w:line="263" w:lineRule="auto"/>
              <w:rPr>
                <w:rFonts w:ascii="Arial"/>
                <w:sz w:val="21"/>
              </w:rPr>
            </w:pPr>
          </w:p>
          <w:p w14:paraId="70DE301C">
            <w:pPr>
              <w:spacing w:line="263" w:lineRule="auto"/>
              <w:rPr>
                <w:rFonts w:ascii="Arial"/>
                <w:sz w:val="21"/>
              </w:rPr>
            </w:pPr>
          </w:p>
          <w:p w14:paraId="602822A1">
            <w:pPr>
              <w:spacing w:line="263" w:lineRule="auto"/>
              <w:rPr>
                <w:rFonts w:ascii="Arial"/>
                <w:sz w:val="21"/>
              </w:rPr>
            </w:pPr>
          </w:p>
          <w:p w14:paraId="33D67F1A">
            <w:pPr>
              <w:spacing w:line="264" w:lineRule="auto"/>
              <w:rPr>
                <w:rFonts w:ascii="Arial"/>
                <w:sz w:val="21"/>
              </w:rPr>
            </w:pPr>
          </w:p>
          <w:p w14:paraId="49B91747">
            <w:pPr>
              <w:pStyle w:val="8"/>
              <w:spacing w:before="59" w:line="220" w:lineRule="auto"/>
              <w:ind w:left="10"/>
            </w:pPr>
            <w:r>
              <w:rPr>
                <w:spacing w:val="-2"/>
              </w:rPr>
              <w:t>行政处罚</w:t>
            </w:r>
          </w:p>
        </w:tc>
        <w:tc>
          <w:tcPr>
            <w:tcW w:w="8549" w:type="dxa"/>
            <w:vAlign w:val="top"/>
          </w:tcPr>
          <w:p w14:paraId="28197D1F">
            <w:pPr>
              <w:pStyle w:val="8"/>
              <w:spacing w:before="38" w:line="219" w:lineRule="auto"/>
              <w:ind w:left="476"/>
            </w:pPr>
            <w:r>
              <w:rPr>
                <w:b/>
                <w:bCs/>
                <w:spacing w:val="-3"/>
              </w:rPr>
              <w:t>《中华人民共和国招标投标法》</w:t>
            </w:r>
          </w:p>
          <w:p w14:paraId="3DBCFB35">
            <w:pPr>
              <w:pStyle w:val="8"/>
              <w:spacing w:before="24" w:line="238" w:lineRule="auto"/>
              <w:ind w:left="111" w:right="159" w:firstLine="360"/>
              <w:jc w:val="both"/>
            </w:pPr>
            <w:r>
              <w:t>第六条  依法必须进行招标的项目，其招标投标活动不受地区或者部门的限制。</w:t>
            </w:r>
            <w:r>
              <w:rPr>
                <w:spacing w:val="-1"/>
              </w:rPr>
              <w:t>任何单位和个人不得</w:t>
            </w:r>
            <w:r>
              <w:t xml:space="preserve"> 违法限制或者排斥本地区、本系统以外的法人或者其他组织参加投标，不得以任何方</w:t>
            </w:r>
            <w:r>
              <w:rPr>
                <w:spacing w:val="-1"/>
              </w:rPr>
              <w:t>式非法干涉招标投标</w:t>
            </w:r>
            <w:r>
              <w:t xml:space="preserve"> </w:t>
            </w:r>
            <w:r>
              <w:rPr>
                <w:spacing w:val="-8"/>
              </w:rPr>
              <w:t>活动。</w:t>
            </w:r>
          </w:p>
          <w:p w14:paraId="1F896185">
            <w:pPr>
              <w:pStyle w:val="8"/>
              <w:spacing w:before="25" w:line="219" w:lineRule="auto"/>
              <w:ind w:left="471"/>
            </w:pPr>
            <w:r>
              <w:t>第十八条第二款  招标人不得以不合理的条件限制或者排斥潜在投标人，不得对潜</w:t>
            </w:r>
            <w:r>
              <w:rPr>
                <w:spacing w:val="-1"/>
              </w:rPr>
              <w:t>在投标人实行歧视</w:t>
            </w:r>
          </w:p>
          <w:p w14:paraId="3A917206">
            <w:pPr>
              <w:pStyle w:val="8"/>
              <w:spacing w:before="26" w:line="219" w:lineRule="auto"/>
              <w:ind w:left="112"/>
            </w:pPr>
            <w:r>
              <w:rPr>
                <w:spacing w:val="-9"/>
              </w:rPr>
              <w:t>待遇。</w:t>
            </w:r>
          </w:p>
          <w:p w14:paraId="678B2C65">
            <w:pPr>
              <w:pStyle w:val="8"/>
              <w:spacing w:before="27" w:line="219" w:lineRule="auto"/>
              <w:ind w:left="471"/>
            </w:pPr>
            <w:r>
              <w:rPr>
                <w:spacing w:val="-1"/>
              </w:rPr>
              <w:t>第三十一条第四款  招标人不得强制投标人组成联合体共同投标，不得限制投标人之间的竞争。</w:t>
            </w:r>
          </w:p>
          <w:p w14:paraId="6D0EE42C">
            <w:pPr>
              <w:pStyle w:val="8"/>
              <w:spacing w:before="26" w:line="231" w:lineRule="auto"/>
              <w:ind w:left="111" w:right="159" w:firstLine="359"/>
            </w:pPr>
            <w:r>
              <w:t>第五十一条  招标人以不合理的条件限制或者排斥潜在投标人的，对潜在投标人</w:t>
            </w:r>
            <w:r>
              <w:rPr>
                <w:spacing w:val="-1"/>
              </w:rPr>
              <w:t>实行歧视待遇的，强</w:t>
            </w:r>
            <w:r>
              <w:t xml:space="preserve"> 制要求投标人组成联合体共同投标的，或者限制投标人之间竞争的，责令改正，可以</w:t>
            </w:r>
            <w:r>
              <w:rPr>
                <w:spacing w:val="-1"/>
              </w:rPr>
              <w:t>处一万元以上五万元</w:t>
            </w:r>
            <w:r>
              <w:t xml:space="preserve"> </w:t>
            </w:r>
            <w:r>
              <w:rPr>
                <w:spacing w:val="-5"/>
              </w:rPr>
              <w:t>以下的罚款。</w:t>
            </w:r>
          </w:p>
        </w:tc>
        <w:tc>
          <w:tcPr>
            <w:tcW w:w="1014" w:type="dxa"/>
            <w:vAlign w:val="top"/>
          </w:tcPr>
          <w:p w14:paraId="64FFA049">
            <w:pPr>
              <w:spacing w:line="311" w:lineRule="auto"/>
              <w:rPr>
                <w:rFonts w:ascii="Arial"/>
                <w:sz w:val="21"/>
              </w:rPr>
            </w:pPr>
          </w:p>
          <w:p w14:paraId="45A4026A">
            <w:pPr>
              <w:spacing w:line="311" w:lineRule="auto"/>
              <w:rPr>
                <w:rFonts w:ascii="Arial"/>
                <w:sz w:val="21"/>
              </w:rPr>
            </w:pPr>
          </w:p>
          <w:p w14:paraId="48AEA18F">
            <w:pPr>
              <w:spacing w:line="312" w:lineRule="auto"/>
              <w:rPr>
                <w:rFonts w:ascii="Arial"/>
                <w:sz w:val="21"/>
              </w:rPr>
            </w:pPr>
          </w:p>
          <w:p w14:paraId="5B3B082F">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37B0EC44">
            <w:pPr>
              <w:spacing w:line="311" w:lineRule="auto"/>
              <w:rPr>
                <w:rFonts w:ascii="Arial"/>
                <w:sz w:val="21"/>
              </w:rPr>
            </w:pPr>
          </w:p>
          <w:p w14:paraId="514664F2">
            <w:pPr>
              <w:spacing w:line="311" w:lineRule="auto"/>
              <w:rPr>
                <w:rFonts w:ascii="Arial"/>
                <w:sz w:val="21"/>
              </w:rPr>
            </w:pPr>
          </w:p>
          <w:p w14:paraId="611F2121">
            <w:pPr>
              <w:spacing w:line="312" w:lineRule="auto"/>
              <w:rPr>
                <w:rFonts w:ascii="Arial"/>
                <w:sz w:val="21"/>
              </w:rPr>
            </w:pPr>
          </w:p>
          <w:p w14:paraId="51394712">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1A55B44">
            <w:pPr>
              <w:spacing w:line="348" w:lineRule="auto"/>
              <w:rPr>
                <w:rFonts w:ascii="Arial"/>
                <w:sz w:val="21"/>
              </w:rPr>
            </w:pPr>
          </w:p>
          <w:p w14:paraId="75A349F3">
            <w:pPr>
              <w:spacing w:line="349" w:lineRule="auto"/>
              <w:rPr>
                <w:rFonts w:ascii="Arial"/>
                <w:sz w:val="21"/>
              </w:rPr>
            </w:pPr>
          </w:p>
          <w:p w14:paraId="3142C02D">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1C7DA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5" w:hRule="atLeast"/>
        </w:trPr>
        <w:tc>
          <w:tcPr>
            <w:tcW w:w="624" w:type="dxa"/>
            <w:vAlign w:val="top"/>
          </w:tcPr>
          <w:p w14:paraId="43C90C2D">
            <w:pPr>
              <w:spacing w:line="249" w:lineRule="auto"/>
              <w:rPr>
                <w:rFonts w:ascii="Arial"/>
                <w:sz w:val="21"/>
              </w:rPr>
            </w:pPr>
          </w:p>
          <w:p w14:paraId="139FDB28">
            <w:pPr>
              <w:spacing w:line="249" w:lineRule="auto"/>
              <w:rPr>
                <w:rFonts w:ascii="Arial"/>
                <w:sz w:val="21"/>
              </w:rPr>
            </w:pPr>
          </w:p>
          <w:p w14:paraId="269D56B5">
            <w:pPr>
              <w:spacing w:line="250" w:lineRule="auto"/>
              <w:rPr>
                <w:rFonts w:ascii="Arial"/>
                <w:sz w:val="21"/>
              </w:rPr>
            </w:pPr>
          </w:p>
          <w:p w14:paraId="1FFDE7CC">
            <w:pPr>
              <w:spacing w:line="250" w:lineRule="auto"/>
              <w:rPr>
                <w:rFonts w:ascii="Arial"/>
                <w:sz w:val="21"/>
              </w:rPr>
            </w:pPr>
          </w:p>
          <w:p w14:paraId="14C76FAE">
            <w:pPr>
              <w:spacing w:line="250" w:lineRule="auto"/>
              <w:rPr>
                <w:rFonts w:ascii="Arial"/>
                <w:sz w:val="21"/>
              </w:rPr>
            </w:pPr>
          </w:p>
          <w:p w14:paraId="3E75A5A0">
            <w:pPr>
              <w:pStyle w:val="8"/>
              <w:spacing w:before="58" w:line="184" w:lineRule="auto"/>
              <w:ind w:left="244"/>
            </w:pPr>
            <w:r>
              <w:rPr>
                <w:spacing w:val="-11"/>
              </w:rPr>
              <w:t>10</w:t>
            </w:r>
          </w:p>
        </w:tc>
        <w:tc>
          <w:tcPr>
            <w:tcW w:w="1104" w:type="dxa"/>
            <w:vAlign w:val="top"/>
          </w:tcPr>
          <w:p w14:paraId="772C576F">
            <w:pPr>
              <w:pStyle w:val="8"/>
              <w:spacing w:before="88" w:line="244"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16"/>
              </w:rPr>
              <w:t>人向他人透</w:t>
            </w:r>
            <w:r>
              <w:rPr>
                <w:spacing w:val="1"/>
              </w:rPr>
              <w:t xml:space="preserve"> </w:t>
            </w:r>
            <w:r>
              <w:rPr>
                <w:spacing w:val="8"/>
              </w:rPr>
              <w:t>露可</w:t>
            </w:r>
            <w:r>
              <w:rPr>
                <w:spacing w:val="-49"/>
              </w:rPr>
              <w:t xml:space="preserve"> </w:t>
            </w:r>
            <w:r>
              <w:rPr>
                <w:spacing w:val="8"/>
              </w:rPr>
              <w:t>能影响</w:t>
            </w:r>
            <w:r>
              <w:t xml:space="preserve"> </w:t>
            </w:r>
            <w:r>
              <w:rPr>
                <w:spacing w:val="16"/>
              </w:rPr>
              <w:t>公平竞争的</w:t>
            </w:r>
            <w:r>
              <w:rPr>
                <w:spacing w:val="1"/>
              </w:rPr>
              <w:t xml:space="preserve"> </w:t>
            </w:r>
            <w:r>
              <w:rPr>
                <w:spacing w:val="16"/>
              </w:rPr>
              <w:t>有关招标投</w:t>
            </w:r>
            <w:r>
              <w:rPr>
                <w:spacing w:val="1"/>
              </w:rPr>
              <w:t xml:space="preserve"> </w:t>
            </w:r>
            <w:r>
              <w:rPr>
                <w:spacing w:val="16"/>
              </w:rPr>
              <w:t>标情况或者</w:t>
            </w:r>
            <w:r>
              <w:rPr>
                <w:spacing w:val="1"/>
              </w:rPr>
              <w:t xml:space="preserve"> </w:t>
            </w:r>
            <w:r>
              <w:rPr>
                <w:spacing w:val="16"/>
              </w:rPr>
              <w:t>泄露标底行</w:t>
            </w:r>
            <w:r>
              <w:rPr>
                <w:spacing w:val="1"/>
              </w:rPr>
              <w:t xml:space="preserve"> </w:t>
            </w:r>
            <w:r>
              <w:rPr>
                <w:spacing w:val="16"/>
              </w:rPr>
              <w:t>为的行政处</w:t>
            </w:r>
            <w:r>
              <w:rPr>
                <w:spacing w:val="1"/>
              </w:rPr>
              <w:t xml:space="preserve"> </w:t>
            </w:r>
            <w:r>
              <w:t>罚</w:t>
            </w:r>
          </w:p>
        </w:tc>
        <w:tc>
          <w:tcPr>
            <w:tcW w:w="1104" w:type="dxa"/>
            <w:vAlign w:val="top"/>
          </w:tcPr>
          <w:p w14:paraId="21834794">
            <w:pPr>
              <w:spacing w:line="244" w:lineRule="auto"/>
              <w:rPr>
                <w:rFonts w:ascii="Arial"/>
                <w:sz w:val="21"/>
              </w:rPr>
            </w:pPr>
          </w:p>
          <w:p w14:paraId="760902E7">
            <w:pPr>
              <w:spacing w:line="244" w:lineRule="auto"/>
              <w:rPr>
                <w:rFonts w:ascii="Arial"/>
                <w:sz w:val="21"/>
              </w:rPr>
            </w:pPr>
          </w:p>
          <w:p w14:paraId="2AD339DF">
            <w:pPr>
              <w:spacing w:line="244" w:lineRule="auto"/>
              <w:rPr>
                <w:rFonts w:ascii="Arial"/>
                <w:sz w:val="21"/>
              </w:rPr>
            </w:pPr>
          </w:p>
          <w:p w14:paraId="1FC5216F">
            <w:pPr>
              <w:spacing w:line="244" w:lineRule="auto"/>
              <w:rPr>
                <w:rFonts w:ascii="Arial"/>
                <w:sz w:val="21"/>
              </w:rPr>
            </w:pPr>
          </w:p>
          <w:p w14:paraId="3D2266D6">
            <w:pPr>
              <w:spacing w:line="245" w:lineRule="auto"/>
              <w:rPr>
                <w:rFonts w:ascii="Arial"/>
                <w:sz w:val="21"/>
              </w:rPr>
            </w:pPr>
          </w:p>
          <w:p w14:paraId="10E07A69">
            <w:pPr>
              <w:pStyle w:val="8"/>
              <w:spacing w:before="58" w:line="220" w:lineRule="auto"/>
              <w:ind w:left="10"/>
            </w:pPr>
            <w:r>
              <w:rPr>
                <w:spacing w:val="-2"/>
              </w:rPr>
              <w:t>行政处罚</w:t>
            </w:r>
          </w:p>
        </w:tc>
        <w:tc>
          <w:tcPr>
            <w:tcW w:w="8549" w:type="dxa"/>
            <w:vAlign w:val="top"/>
          </w:tcPr>
          <w:p w14:paraId="37724759">
            <w:pPr>
              <w:pStyle w:val="8"/>
              <w:spacing w:before="87" w:line="219" w:lineRule="auto"/>
              <w:ind w:left="476"/>
            </w:pPr>
            <w:r>
              <w:rPr>
                <w:b/>
                <w:bCs/>
                <w:spacing w:val="-3"/>
              </w:rPr>
              <w:t>《中华人民共和国招标投标法》</w:t>
            </w:r>
          </w:p>
          <w:p w14:paraId="6F129711">
            <w:pPr>
              <w:pStyle w:val="8"/>
              <w:spacing w:before="25" w:line="233" w:lineRule="auto"/>
              <w:ind w:left="114" w:right="104" w:firstLine="356"/>
            </w:pPr>
            <w:r>
              <w:rPr>
                <w:spacing w:val="1"/>
              </w:rPr>
              <w:t xml:space="preserve">第二十二条  招标人不得向他人透露已获取招标文件的潜在投标人的名称、数量以及可能影响公平竞 </w:t>
            </w:r>
            <w:r>
              <w:rPr>
                <w:spacing w:val="-3"/>
              </w:rPr>
              <w:t>争的有关招标投标的其他情况。</w:t>
            </w:r>
          </w:p>
          <w:p w14:paraId="5C4B3771">
            <w:pPr>
              <w:pStyle w:val="8"/>
              <w:spacing w:before="25" w:line="220" w:lineRule="auto"/>
              <w:ind w:left="471"/>
            </w:pPr>
            <w:r>
              <w:rPr>
                <w:spacing w:val="-3"/>
              </w:rPr>
              <w:t>招标人设有标底的，标底必须保密。</w:t>
            </w:r>
          </w:p>
          <w:p w14:paraId="28C412B0">
            <w:pPr>
              <w:pStyle w:val="8"/>
              <w:spacing w:before="24" w:line="233" w:lineRule="auto"/>
              <w:ind w:left="128" w:right="135" w:firstLine="343"/>
            </w:pPr>
            <w:r>
              <w:t>第四十四条第三款  评标委员会成员和参与评标的有关工作人员不得透露对投标文件的评审和比较、</w:t>
            </w:r>
            <w:r>
              <w:rPr>
                <w:spacing w:val="15"/>
              </w:rPr>
              <w:t xml:space="preserve"> </w:t>
            </w:r>
            <w:r>
              <w:rPr>
                <w:spacing w:val="-2"/>
              </w:rPr>
              <w:t>中标候选人的推荐情况以及与评标有关的其他</w:t>
            </w:r>
            <w:r>
              <w:rPr>
                <w:spacing w:val="-3"/>
              </w:rPr>
              <w:t>情况。</w:t>
            </w:r>
          </w:p>
          <w:p w14:paraId="45992434">
            <w:pPr>
              <w:pStyle w:val="8"/>
              <w:spacing w:before="28" w:line="239" w:lineRule="auto"/>
              <w:ind w:left="111" w:right="104" w:firstLine="360"/>
              <w:jc w:val="both"/>
            </w:pPr>
            <w:r>
              <w:rPr>
                <w:spacing w:val="1"/>
              </w:rPr>
              <w:t>第五十二条  依法必须进行招标的项目的招标人向他人透露已获取招标文件的潜在投标人的名称、数 量或者可能影响公平竞争的有关招标投标的其他情况的，或者泄露标底的，给予警告，可以并处一万元以</w:t>
            </w:r>
            <w:r>
              <w:t xml:space="preserve"> </w:t>
            </w:r>
            <w:r>
              <w:rPr>
                <w:spacing w:val="1"/>
              </w:rPr>
              <w:t>上十万元以下的罚款；对单位直接负责的主管人员和其他直接责任人员依法给予处分；构成犯罪的，依法</w:t>
            </w:r>
            <w:r>
              <w:t xml:space="preserve"> </w:t>
            </w:r>
            <w:r>
              <w:rPr>
                <w:spacing w:val="-5"/>
              </w:rPr>
              <w:t>追究刑事责任。</w:t>
            </w:r>
          </w:p>
          <w:p w14:paraId="63B7014B">
            <w:pPr>
              <w:pStyle w:val="8"/>
              <w:spacing w:before="27" w:line="220" w:lineRule="auto"/>
              <w:ind w:left="474"/>
            </w:pPr>
            <w:r>
              <w:rPr>
                <w:spacing w:val="-3"/>
              </w:rPr>
              <w:t>前款所列行为影响中标结果的，中标无效。</w:t>
            </w:r>
          </w:p>
        </w:tc>
        <w:tc>
          <w:tcPr>
            <w:tcW w:w="1014" w:type="dxa"/>
            <w:vAlign w:val="top"/>
          </w:tcPr>
          <w:p w14:paraId="74B5D0DB">
            <w:pPr>
              <w:spacing w:line="275" w:lineRule="auto"/>
              <w:rPr>
                <w:rFonts w:ascii="Arial"/>
                <w:sz w:val="21"/>
              </w:rPr>
            </w:pPr>
          </w:p>
          <w:p w14:paraId="22A22A4E">
            <w:pPr>
              <w:spacing w:line="275" w:lineRule="auto"/>
              <w:rPr>
                <w:rFonts w:ascii="Arial"/>
                <w:sz w:val="21"/>
              </w:rPr>
            </w:pPr>
          </w:p>
          <w:p w14:paraId="6F40A400">
            <w:pPr>
              <w:spacing w:line="275" w:lineRule="auto"/>
              <w:rPr>
                <w:rFonts w:ascii="Arial"/>
                <w:sz w:val="21"/>
              </w:rPr>
            </w:pPr>
          </w:p>
          <w:p w14:paraId="0BCDF1E8">
            <w:pPr>
              <w:spacing w:line="276" w:lineRule="auto"/>
              <w:rPr>
                <w:rFonts w:ascii="Arial"/>
                <w:sz w:val="21"/>
              </w:rPr>
            </w:pPr>
          </w:p>
          <w:p w14:paraId="3A1D361F">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F35220A">
            <w:pPr>
              <w:spacing w:line="275" w:lineRule="auto"/>
              <w:rPr>
                <w:rFonts w:ascii="Arial"/>
                <w:sz w:val="21"/>
              </w:rPr>
            </w:pPr>
          </w:p>
          <w:p w14:paraId="05373F25">
            <w:pPr>
              <w:spacing w:line="275" w:lineRule="auto"/>
              <w:rPr>
                <w:rFonts w:ascii="Arial"/>
                <w:sz w:val="21"/>
              </w:rPr>
            </w:pPr>
          </w:p>
          <w:p w14:paraId="4711548F">
            <w:pPr>
              <w:spacing w:line="275" w:lineRule="auto"/>
              <w:rPr>
                <w:rFonts w:ascii="Arial"/>
                <w:sz w:val="21"/>
              </w:rPr>
            </w:pPr>
          </w:p>
          <w:p w14:paraId="3FBB96A6">
            <w:pPr>
              <w:spacing w:line="276" w:lineRule="auto"/>
              <w:rPr>
                <w:rFonts w:ascii="Arial"/>
                <w:sz w:val="21"/>
              </w:rPr>
            </w:pPr>
          </w:p>
          <w:p w14:paraId="1128BFB3">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31E6E30D">
            <w:pPr>
              <w:spacing w:line="288" w:lineRule="auto"/>
              <w:rPr>
                <w:rFonts w:ascii="Arial"/>
                <w:sz w:val="21"/>
              </w:rPr>
            </w:pPr>
          </w:p>
          <w:p w14:paraId="352F539D">
            <w:pPr>
              <w:spacing w:line="288" w:lineRule="auto"/>
              <w:rPr>
                <w:rFonts w:ascii="Arial"/>
                <w:sz w:val="21"/>
              </w:rPr>
            </w:pPr>
          </w:p>
          <w:p w14:paraId="2E8CB15B">
            <w:pPr>
              <w:spacing w:line="288" w:lineRule="auto"/>
              <w:rPr>
                <w:rFonts w:ascii="Arial"/>
                <w:sz w:val="21"/>
              </w:rPr>
            </w:pPr>
          </w:p>
          <w:p w14:paraId="2ED2FA64">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5A39E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624" w:type="dxa"/>
            <w:vAlign w:val="top"/>
          </w:tcPr>
          <w:p w14:paraId="0C937F1A">
            <w:pPr>
              <w:rPr>
                <w:rFonts w:ascii="Arial"/>
                <w:sz w:val="21"/>
              </w:rPr>
            </w:pPr>
          </w:p>
          <w:p w14:paraId="3F0B31E4">
            <w:pPr>
              <w:rPr>
                <w:rFonts w:ascii="Arial"/>
                <w:sz w:val="21"/>
              </w:rPr>
            </w:pPr>
          </w:p>
          <w:p w14:paraId="5561D95A">
            <w:pPr>
              <w:rPr>
                <w:rFonts w:ascii="Arial"/>
                <w:sz w:val="21"/>
              </w:rPr>
            </w:pPr>
          </w:p>
          <w:p w14:paraId="067D3B60">
            <w:pPr>
              <w:rPr>
                <w:rFonts w:ascii="Arial"/>
                <w:sz w:val="21"/>
              </w:rPr>
            </w:pPr>
          </w:p>
          <w:p w14:paraId="2D75DB61">
            <w:pPr>
              <w:rPr>
                <w:rFonts w:ascii="Arial"/>
                <w:sz w:val="21"/>
              </w:rPr>
            </w:pPr>
          </w:p>
          <w:p w14:paraId="00D76069">
            <w:pPr>
              <w:rPr>
                <w:rFonts w:ascii="Arial"/>
                <w:sz w:val="21"/>
              </w:rPr>
            </w:pPr>
          </w:p>
          <w:p w14:paraId="3F154EEB">
            <w:pPr>
              <w:rPr>
                <w:rFonts w:ascii="Arial"/>
                <w:sz w:val="21"/>
              </w:rPr>
            </w:pPr>
          </w:p>
          <w:p w14:paraId="079E9B92">
            <w:pPr>
              <w:pStyle w:val="8"/>
              <w:spacing w:before="59" w:line="184" w:lineRule="auto"/>
              <w:ind w:left="244"/>
            </w:pPr>
            <w:r>
              <w:rPr>
                <w:spacing w:val="-11"/>
              </w:rPr>
              <w:t>11</w:t>
            </w:r>
          </w:p>
        </w:tc>
        <w:tc>
          <w:tcPr>
            <w:tcW w:w="1104" w:type="dxa"/>
            <w:vAlign w:val="top"/>
          </w:tcPr>
          <w:p w14:paraId="7F79A3DF">
            <w:pPr>
              <w:spacing w:line="349" w:lineRule="auto"/>
              <w:rPr>
                <w:rFonts w:ascii="Arial"/>
                <w:sz w:val="21"/>
              </w:rPr>
            </w:pPr>
          </w:p>
          <w:p w14:paraId="55494288">
            <w:pPr>
              <w:spacing w:line="349" w:lineRule="auto"/>
              <w:rPr>
                <w:rFonts w:ascii="Arial"/>
                <w:sz w:val="21"/>
              </w:rPr>
            </w:pPr>
          </w:p>
          <w:p w14:paraId="198FE92C">
            <w:pPr>
              <w:pStyle w:val="8"/>
              <w:spacing w:before="59" w:line="243"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目投标</w:t>
            </w:r>
            <w:r>
              <w:t xml:space="preserve"> </w:t>
            </w:r>
            <w:r>
              <w:rPr>
                <w:spacing w:val="16"/>
              </w:rPr>
              <w:t>人与他人串</w:t>
            </w:r>
            <w:r>
              <w:rPr>
                <w:spacing w:val="1"/>
              </w:rPr>
              <w:t xml:space="preserve"> </w:t>
            </w:r>
            <w:r>
              <w:rPr>
                <w:spacing w:val="16"/>
              </w:rPr>
              <w:t>通投标或者</w:t>
            </w:r>
            <w:r>
              <w:rPr>
                <w:spacing w:val="1"/>
              </w:rPr>
              <w:t xml:space="preserve"> </w:t>
            </w:r>
            <w:r>
              <w:rPr>
                <w:spacing w:val="16"/>
              </w:rPr>
              <w:t>以行贿手段</w:t>
            </w:r>
            <w:r>
              <w:rPr>
                <w:spacing w:val="1"/>
              </w:rPr>
              <w:t xml:space="preserve"> </w:t>
            </w:r>
            <w:r>
              <w:rPr>
                <w:spacing w:val="16"/>
              </w:rPr>
              <w:t>中标等行为</w:t>
            </w:r>
            <w:r>
              <w:rPr>
                <w:spacing w:val="1"/>
              </w:rPr>
              <w:t xml:space="preserve"> </w:t>
            </w:r>
            <w:r>
              <w:rPr>
                <w:spacing w:val="-2"/>
              </w:rPr>
              <w:t>的行政处罚</w:t>
            </w:r>
          </w:p>
        </w:tc>
        <w:tc>
          <w:tcPr>
            <w:tcW w:w="1104" w:type="dxa"/>
            <w:vAlign w:val="top"/>
          </w:tcPr>
          <w:p w14:paraId="7F69F94E">
            <w:pPr>
              <w:spacing w:line="275" w:lineRule="auto"/>
              <w:rPr>
                <w:rFonts w:ascii="Arial"/>
                <w:sz w:val="21"/>
              </w:rPr>
            </w:pPr>
          </w:p>
          <w:p w14:paraId="166F06EC">
            <w:pPr>
              <w:spacing w:line="275" w:lineRule="auto"/>
              <w:rPr>
                <w:rFonts w:ascii="Arial"/>
                <w:sz w:val="21"/>
              </w:rPr>
            </w:pPr>
          </w:p>
          <w:p w14:paraId="48306DEC">
            <w:pPr>
              <w:spacing w:line="275" w:lineRule="auto"/>
              <w:rPr>
                <w:rFonts w:ascii="Arial"/>
                <w:sz w:val="21"/>
              </w:rPr>
            </w:pPr>
          </w:p>
          <w:p w14:paraId="235FEC32">
            <w:pPr>
              <w:spacing w:line="276" w:lineRule="auto"/>
              <w:rPr>
                <w:rFonts w:ascii="Arial"/>
                <w:sz w:val="21"/>
              </w:rPr>
            </w:pPr>
          </w:p>
          <w:p w14:paraId="0CE1A49E">
            <w:pPr>
              <w:spacing w:line="276" w:lineRule="auto"/>
              <w:rPr>
                <w:rFonts w:ascii="Arial"/>
                <w:sz w:val="21"/>
              </w:rPr>
            </w:pPr>
          </w:p>
          <w:p w14:paraId="2BB2E7EA">
            <w:pPr>
              <w:spacing w:line="276" w:lineRule="auto"/>
              <w:rPr>
                <w:rFonts w:ascii="Arial"/>
                <w:sz w:val="21"/>
              </w:rPr>
            </w:pPr>
          </w:p>
          <w:p w14:paraId="42ABD285">
            <w:pPr>
              <w:pStyle w:val="8"/>
              <w:spacing w:before="59" w:line="220" w:lineRule="auto"/>
              <w:ind w:left="10"/>
            </w:pPr>
            <w:r>
              <w:rPr>
                <w:spacing w:val="-2"/>
              </w:rPr>
              <w:t>行政处罚</w:t>
            </w:r>
          </w:p>
        </w:tc>
        <w:tc>
          <w:tcPr>
            <w:tcW w:w="8549" w:type="dxa"/>
            <w:vAlign w:val="top"/>
          </w:tcPr>
          <w:p w14:paraId="2159AAAC">
            <w:pPr>
              <w:pStyle w:val="8"/>
              <w:spacing w:before="42" w:line="219" w:lineRule="auto"/>
              <w:ind w:left="484"/>
            </w:pPr>
            <w:r>
              <w:rPr>
                <w:b/>
                <w:bCs/>
                <w:spacing w:val="-4"/>
              </w:rPr>
              <w:t>1.《中华人民共和国招标投标法》</w:t>
            </w:r>
          </w:p>
          <w:p w14:paraId="0E664BCE">
            <w:pPr>
              <w:pStyle w:val="8"/>
              <w:spacing w:before="25" w:line="233" w:lineRule="auto"/>
              <w:ind w:left="113" w:right="159" w:firstLine="357"/>
            </w:pPr>
            <w:r>
              <w:t>第三十二条  投标人不得相互串通投标报价，不得排挤其他投标人的公平竞争，</w:t>
            </w:r>
            <w:r>
              <w:rPr>
                <w:spacing w:val="-1"/>
              </w:rPr>
              <w:t>损害招标人或者其他</w:t>
            </w:r>
            <w:r>
              <w:t xml:space="preserve"> </w:t>
            </w:r>
            <w:r>
              <w:rPr>
                <w:spacing w:val="-4"/>
              </w:rPr>
              <w:t>投标人的合法权益。</w:t>
            </w:r>
          </w:p>
          <w:p w14:paraId="012802A6">
            <w:pPr>
              <w:pStyle w:val="8"/>
              <w:spacing w:before="24" w:line="233" w:lineRule="auto"/>
              <w:ind w:left="471" w:right="1450" w:firstLine="2"/>
            </w:pPr>
            <w:r>
              <w:rPr>
                <w:spacing w:val="-1"/>
              </w:rPr>
              <w:t>投标人不得与招标人串通投标，损害国家利益、社会公共利益或者他人的</w:t>
            </w:r>
            <w:r>
              <w:rPr>
                <w:spacing w:val="-2"/>
              </w:rPr>
              <w:t>合法权益。</w:t>
            </w:r>
            <w:r>
              <w:t xml:space="preserve"> </w:t>
            </w:r>
            <w:r>
              <w:rPr>
                <w:spacing w:val="-1"/>
              </w:rPr>
              <w:t>禁止投标人以向招标人或者评标委员会成员行贿的手段谋</w:t>
            </w:r>
            <w:r>
              <w:rPr>
                <w:spacing w:val="-2"/>
              </w:rPr>
              <w:t>取中标。</w:t>
            </w:r>
          </w:p>
          <w:p w14:paraId="0671E7FE">
            <w:pPr>
              <w:pStyle w:val="8"/>
              <w:spacing w:before="25" w:line="242" w:lineRule="auto"/>
              <w:ind w:left="111" w:right="159" w:firstLine="360"/>
            </w:pPr>
            <w:r>
              <w:t>第五十三条  投标人相互串通投标或者与招标人串通投标的，投标人以向招标人</w:t>
            </w:r>
            <w:r>
              <w:rPr>
                <w:spacing w:val="-1"/>
              </w:rPr>
              <w:t>或者评标委员会成员</w:t>
            </w:r>
            <w:r>
              <w:t xml:space="preserve"> 行贿的手段谋取中标的，中标无效，处中标项目金额千分之五以上千分之十以下的罚</w:t>
            </w:r>
            <w:r>
              <w:rPr>
                <w:spacing w:val="-1"/>
              </w:rPr>
              <w:t>款，对单位直接负责</w:t>
            </w:r>
            <w:r>
              <w:t xml:space="preserve"> 的主管人员和其他直接责任人员处单位罚款数额百分之五以上百分之十以下的罚款；</w:t>
            </w:r>
            <w:r>
              <w:rPr>
                <w:spacing w:val="-1"/>
              </w:rPr>
              <w:t>有违法所得的，并处</w:t>
            </w:r>
            <w:r>
              <w:t xml:space="preserve"> 没收违法所得；情节严重的，取消其一年至二年内参加依法必须进行招标的项目的投</w:t>
            </w:r>
            <w:r>
              <w:rPr>
                <w:spacing w:val="-1"/>
              </w:rPr>
              <w:t>标资格并予以公告，</w:t>
            </w:r>
            <w:r>
              <w:t xml:space="preserve"> 直至由工商行政管理机关吊销营业执照；构成犯罪的，依法追究刑事责任。给他人造</w:t>
            </w:r>
            <w:r>
              <w:rPr>
                <w:spacing w:val="-1"/>
              </w:rPr>
              <w:t>成损失的，依法承担</w:t>
            </w:r>
            <w:r>
              <w:t xml:space="preserve"> </w:t>
            </w:r>
            <w:r>
              <w:rPr>
                <w:spacing w:val="-6"/>
              </w:rPr>
              <w:t>赔偿责任。</w:t>
            </w:r>
          </w:p>
          <w:p w14:paraId="006C7F5F">
            <w:pPr>
              <w:pStyle w:val="8"/>
              <w:spacing w:before="26" w:line="219" w:lineRule="auto"/>
              <w:ind w:left="473"/>
            </w:pPr>
            <w:r>
              <w:rPr>
                <w:b/>
                <w:bCs/>
                <w:spacing w:val="-3"/>
              </w:rPr>
              <w:t>2.《中华人民共和国招标投标法实施条例》</w:t>
            </w:r>
          </w:p>
          <w:p w14:paraId="5C8970CB">
            <w:pPr>
              <w:pStyle w:val="8"/>
              <w:spacing w:before="27" w:line="219" w:lineRule="auto"/>
              <w:ind w:left="471"/>
            </w:pPr>
            <w:r>
              <w:rPr>
                <w:spacing w:val="-2"/>
              </w:rPr>
              <w:t>第三十九条第一款  禁止投标人相互串通投标。</w:t>
            </w:r>
          </w:p>
          <w:p w14:paraId="65FD26FE">
            <w:pPr>
              <w:pStyle w:val="8"/>
              <w:spacing w:before="26" w:line="219" w:lineRule="auto"/>
              <w:ind w:left="471"/>
            </w:pPr>
            <w:r>
              <w:rPr>
                <w:spacing w:val="-1"/>
              </w:rPr>
              <w:t>第五十一条第（七）项  有下列情形之一的，</w:t>
            </w:r>
            <w:r>
              <w:rPr>
                <w:spacing w:val="-2"/>
              </w:rPr>
              <w:t>评标委员会应当否决其投标：（七）投标人有串通投标、</w:t>
            </w:r>
          </w:p>
          <w:p w14:paraId="292A1A43">
            <w:pPr>
              <w:pStyle w:val="8"/>
              <w:spacing w:before="26" w:line="199" w:lineRule="auto"/>
              <w:ind w:left="114"/>
            </w:pPr>
            <w:r>
              <w:rPr>
                <w:spacing w:val="-3"/>
              </w:rPr>
              <w:t>弄虚作假、行贿等违法行为。</w:t>
            </w:r>
          </w:p>
        </w:tc>
        <w:tc>
          <w:tcPr>
            <w:tcW w:w="1014" w:type="dxa"/>
            <w:vAlign w:val="top"/>
          </w:tcPr>
          <w:p w14:paraId="7EC31AE7">
            <w:pPr>
              <w:spacing w:line="255" w:lineRule="auto"/>
              <w:rPr>
                <w:rFonts w:ascii="Arial"/>
                <w:sz w:val="21"/>
              </w:rPr>
            </w:pPr>
          </w:p>
          <w:p w14:paraId="5166A171">
            <w:pPr>
              <w:spacing w:line="255" w:lineRule="auto"/>
              <w:rPr>
                <w:rFonts w:ascii="Arial"/>
                <w:sz w:val="21"/>
              </w:rPr>
            </w:pPr>
          </w:p>
          <w:p w14:paraId="53F055F8">
            <w:pPr>
              <w:spacing w:line="256" w:lineRule="auto"/>
              <w:rPr>
                <w:rFonts w:ascii="Arial"/>
                <w:sz w:val="21"/>
              </w:rPr>
            </w:pPr>
          </w:p>
          <w:p w14:paraId="063BF66C">
            <w:pPr>
              <w:spacing w:line="256" w:lineRule="auto"/>
              <w:rPr>
                <w:rFonts w:ascii="Arial"/>
                <w:sz w:val="21"/>
              </w:rPr>
            </w:pPr>
          </w:p>
          <w:p w14:paraId="081CD9A4">
            <w:pPr>
              <w:spacing w:line="256" w:lineRule="auto"/>
              <w:rPr>
                <w:rFonts w:ascii="Arial"/>
                <w:sz w:val="21"/>
              </w:rPr>
            </w:pPr>
          </w:p>
          <w:p w14:paraId="59BE143C">
            <w:pPr>
              <w:spacing w:line="256" w:lineRule="auto"/>
              <w:rPr>
                <w:rFonts w:ascii="Arial"/>
                <w:sz w:val="21"/>
              </w:rPr>
            </w:pPr>
          </w:p>
          <w:p w14:paraId="53C41246">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B08F0AF">
            <w:pPr>
              <w:spacing w:line="255" w:lineRule="auto"/>
              <w:rPr>
                <w:rFonts w:ascii="Arial"/>
                <w:sz w:val="21"/>
              </w:rPr>
            </w:pPr>
          </w:p>
          <w:p w14:paraId="237FAE41">
            <w:pPr>
              <w:spacing w:line="255" w:lineRule="auto"/>
              <w:rPr>
                <w:rFonts w:ascii="Arial"/>
                <w:sz w:val="21"/>
              </w:rPr>
            </w:pPr>
          </w:p>
          <w:p w14:paraId="55415474">
            <w:pPr>
              <w:spacing w:line="256" w:lineRule="auto"/>
              <w:rPr>
                <w:rFonts w:ascii="Arial"/>
                <w:sz w:val="21"/>
              </w:rPr>
            </w:pPr>
          </w:p>
          <w:p w14:paraId="6EC41E83">
            <w:pPr>
              <w:spacing w:line="256" w:lineRule="auto"/>
              <w:rPr>
                <w:rFonts w:ascii="Arial"/>
                <w:sz w:val="21"/>
              </w:rPr>
            </w:pPr>
          </w:p>
          <w:p w14:paraId="737CD2F2">
            <w:pPr>
              <w:spacing w:line="256" w:lineRule="auto"/>
              <w:rPr>
                <w:rFonts w:ascii="Arial"/>
                <w:sz w:val="21"/>
              </w:rPr>
            </w:pPr>
          </w:p>
          <w:p w14:paraId="5347810A">
            <w:pPr>
              <w:spacing w:line="256" w:lineRule="auto"/>
              <w:rPr>
                <w:rFonts w:ascii="Arial"/>
                <w:sz w:val="21"/>
              </w:rPr>
            </w:pPr>
          </w:p>
          <w:p w14:paraId="3E078AE4">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47F87D7">
            <w:pPr>
              <w:spacing w:line="259" w:lineRule="auto"/>
              <w:rPr>
                <w:rFonts w:ascii="Arial"/>
                <w:sz w:val="21"/>
              </w:rPr>
            </w:pPr>
          </w:p>
          <w:p w14:paraId="149AE0CB">
            <w:pPr>
              <w:spacing w:line="259" w:lineRule="auto"/>
              <w:rPr>
                <w:rFonts w:ascii="Arial"/>
                <w:sz w:val="21"/>
              </w:rPr>
            </w:pPr>
          </w:p>
          <w:p w14:paraId="705ED0AC">
            <w:pPr>
              <w:spacing w:line="259" w:lineRule="auto"/>
              <w:rPr>
                <w:rFonts w:ascii="Arial"/>
                <w:sz w:val="21"/>
              </w:rPr>
            </w:pPr>
          </w:p>
          <w:p w14:paraId="39571E01">
            <w:pPr>
              <w:spacing w:line="260" w:lineRule="auto"/>
              <w:rPr>
                <w:rFonts w:ascii="Arial"/>
                <w:sz w:val="21"/>
              </w:rPr>
            </w:pPr>
          </w:p>
          <w:p w14:paraId="187167BE">
            <w:pPr>
              <w:spacing w:line="260" w:lineRule="auto"/>
              <w:rPr>
                <w:rFonts w:ascii="Arial"/>
                <w:sz w:val="21"/>
              </w:rPr>
            </w:pPr>
          </w:p>
          <w:p w14:paraId="4C60693B">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7C22DB72">
      <w:pPr>
        <w:pStyle w:val="2"/>
      </w:pPr>
    </w:p>
    <w:p w14:paraId="1B04562C">
      <w:pPr>
        <w:sectPr>
          <w:footerReference r:id="rId81" w:type="default"/>
          <w:pgSz w:w="16839" w:h="11906"/>
          <w:pgMar w:top="1012" w:right="991" w:bottom="967" w:left="1021" w:header="0" w:footer="768" w:gutter="0"/>
          <w:cols w:space="720" w:num="1"/>
        </w:sectPr>
      </w:pPr>
    </w:p>
    <w:p w14:paraId="44860781">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6676F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3CB1234B">
            <w:pPr>
              <w:pStyle w:val="8"/>
              <w:spacing w:before="267" w:line="221" w:lineRule="auto"/>
              <w:ind w:left="134"/>
            </w:pPr>
            <w:r>
              <w:rPr>
                <w:b/>
                <w:bCs/>
                <w:spacing w:val="-4"/>
              </w:rPr>
              <w:t>序号</w:t>
            </w:r>
          </w:p>
        </w:tc>
        <w:tc>
          <w:tcPr>
            <w:tcW w:w="1104" w:type="dxa"/>
            <w:vMerge w:val="restart"/>
            <w:tcBorders>
              <w:bottom w:val="nil"/>
            </w:tcBorders>
            <w:vAlign w:val="top"/>
          </w:tcPr>
          <w:p w14:paraId="7ED9C08E">
            <w:pPr>
              <w:pStyle w:val="8"/>
              <w:spacing w:before="260" w:line="220" w:lineRule="auto"/>
              <w:ind w:left="192"/>
            </w:pPr>
            <w:r>
              <w:rPr>
                <w:b/>
                <w:bCs/>
                <w:spacing w:val="-4"/>
              </w:rPr>
              <w:t>事项名称</w:t>
            </w:r>
          </w:p>
        </w:tc>
        <w:tc>
          <w:tcPr>
            <w:tcW w:w="1104" w:type="dxa"/>
            <w:vMerge w:val="restart"/>
            <w:tcBorders>
              <w:bottom w:val="nil"/>
            </w:tcBorders>
            <w:vAlign w:val="top"/>
          </w:tcPr>
          <w:p w14:paraId="5C09C149">
            <w:pPr>
              <w:pStyle w:val="8"/>
              <w:spacing w:before="260" w:line="219" w:lineRule="auto"/>
              <w:ind w:left="193"/>
            </w:pPr>
            <w:r>
              <w:rPr>
                <w:b/>
                <w:bCs/>
                <w:spacing w:val="-4"/>
              </w:rPr>
              <w:t>职权类型</w:t>
            </w:r>
          </w:p>
        </w:tc>
        <w:tc>
          <w:tcPr>
            <w:tcW w:w="8549" w:type="dxa"/>
            <w:vMerge w:val="restart"/>
            <w:tcBorders>
              <w:bottom w:val="nil"/>
            </w:tcBorders>
            <w:vAlign w:val="top"/>
          </w:tcPr>
          <w:p w14:paraId="36CF72C6">
            <w:pPr>
              <w:pStyle w:val="8"/>
              <w:spacing w:before="259" w:line="219" w:lineRule="auto"/>
              <w:ind w:left="3921"/>
            </w:pPr>
            <w:r>
              <w:rPr>
                <w:b/>
                <w:bCs/>
                <w:spacing w:val="-5"/>
              </w:rPr>
              <w:t>实施依据</w:t>
            </w:r>
          </w:p>
        </w:tc>
        <w:tc>
          <w:tcPr>
            <w:tcW w:w="3439" w:type="dxa"/>
            <w:gridSpan w:val="3"/>
            <w:vAlign w:val="top"/>
          </w:tcPr>
          <w:p w14:paraId="00727AB4">
            <w:pPr>
              <w:pStyle w:val="8"/>
              <w:spacing w:before="85" w:line="220" w:lineRule="auto"/>
              <w:ind w:left="1365"/>
            </w:pPr>
            <w:r>
              <w:rPr>
                <w:b/>
                <w:bCs/>
                <w:spacing w:val="-5"/>
              </w:rPr>
              <w:t>实施主体</w:t>
            </w:r>
          </w:p>
        </w:tc>
      </w:tr>
      <w:tr w14:paraId="2336C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3AA616C">
            <w:pPr>
              <w:rPr>
                <w:rFonts w:ascii="Arial"/>
                <w:sz w:val="21"/>
              </w:rPr>
            </w:pPr>
          </w:p>
        </w:tc>
        <w:tc>
          <w:tcPr>
            <w:tcW w:w="1104" w:type="dxa"/>
            <w:vMerge w:val="continue"/>
            <w:tcBorders>
              <w:top w:val="nil"/>
            </w:tcBorders>
            <w:vAlign w:val="top"/>
          </w:tcPr>
          <w:p w14:paraId="3424F513">
            <w:pPr>
              <w:rPr>
                <w:rFonts w:ascii="Arial"/>
                <w:sz w:val="21"/>
              </w:rPr>
            </w:pPr>
          </w:p>
        </w:tc>
        <w:tc>
          <w:tcPr>
            <w:tcW w:w="1104" w:type="dxa"/>
            <w:vMerge w:val="continue"/>
            <w:tcBorders>
              <w:top w:val="nil"/>
            </w:tcBorders>
            <w:vAlign w:val="top"/>
          </w:tcPr>
          <w:p w14:paraId="4B319727">
            <w:pPr>
              <w:rPr>
                <w:rFonts w:ascii="Arial"/>
                <w:sz w:val="21"/>
              </w:rPr>
            </w:pPr>
          </w:p>
        </w:tc>
        <w:tc>
          <w:tcPr>
            <w:tcW w:w="8549" w:type="dxa"/>
            <w:vMerge w:val="continue"/>
            <w:tcBorders>
              <w:top w:val="nil"/>
            </w:tcBorders>
            <w:vAlign w:val="top"/>
          </w:tcPr>
          <w:p w14:paraId="11D5D774">
            <w:pPr>
              <w:rPr>
                <w:rFonts w:ascii="Arial"/>
                <w:sz w:val="21"/>
              </w:rPr>
            </w:pPr>
          </w:p>
        </w:tc>
        <w:tc>
          <w:tcPr>
            <w:tcW w:w="1014" w:type="dxa"/>
            <w:vAlign w:val="top"/>
          </w:tcPr>
          <w:p w14:paraId="70A1E59B">
            <w:pPr>
              <w:pStyle w:val="8"/>
              <w:spacing w:before="81" w:line="219" w:lineRule="auto"/>
              <w:ind w:left="158"/>
            </w:pPr>
            <w:r>
              <w:rPr>
                <w:b/>
                <w:bCs/>
                <w:spacing w:val="-5"/>
              </w:rPr>
              <w:t>责任部门</w:t>
            </w:r>
          </w:p>
        </w:tc>
        <w:tc>
          <w:tcPr>
            <w:tcW w:w="1407" w:type="dxa"/>
            <w:vAlign w:val="top"/>
          </w:tcPr>
          <w:p w14:paraId="6EAB48D6">
            <w:pPr>
              <w:pStyle w:val="8"/>
              <w:spacing w:before="81" w:line="219" w:lineRule="auto"/>
              <w:ind w:left="167"/>
            </w:pPr>
            <w:r>
              <w:rPr>
                <w:b/>
                <w:bCs/>
                <w:spacing w:val="-3"/>
              </w:rPr>
              <w:t>第一责任层级</w:t>
            </w:r>
          </w:p>
        </w:tc>
        <w:tc>
          <w:tcPr>
            <w:tcW w:w="1018" w:type="dxa"/>
            <w:vAlign w:val="top"/>
          </w:tcPr>
          <w:p w14:paraId="78C217C3">
            <w:pPr>
              <w:pStyle w:val="8"/>
              <w:spacing w:before="81" w:line="219" w:lineRule="auto"/>
              <w:ind w:left="152"/>
            </w:pPr>
            <w:r>
              <w:rPr>
                <w:b/>
                <w:bCs/>
                <w:spacing w:val="-4"/>
              </w:rPr>
              <w:t>承办机构</w:t>
            </w:r>
          </w:p>
        </w:tc>
      </w:tr>
      <w:tr w14:paraId="04862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3" w:hRule="atLeast"/>
        </w:trPr>
        <w:tc>
          <w:tcPr>
            <w:tcW w:w="624" w:type="dxa"/>
            <w:vAlign w:val="top"/>
          </w:tcPr>
          <w:p w14:paraId="2BE96B4E">
            <w:pPr>
              <w:rPr>
                <w:rFonts w:ascii="Arial"/>
                <w:sz w:val="21"/>
              </w:rPr>
            </w:pPr>
          </w:p>
        </w:tc>
        <w:tc>
          <w:tcPr>
            <w:tcW w:w="1104" w:type="dxa"/>
            <w:vAlign w:val="top"/>
          </w:tcPr>
          <w:p w14:paraId="74CFF47D">
            <w:pPr>
              <w:rPr>
                <w:rFonts w:ascii="Arial"/>
                <w:sz w:val="21"/>
              </w:rPr>
            </w:pPr>
          </w:p>
        </w:tc>
        <w:tc>
          <w:tcPr>
            <w:tcW w:w="1104" w:type="dxa"/>
            <w:vAlign w:val="top"/>
          </w:tcPr>
          <w:p w14:paraId="228DF95F">
            <w:pPr>
              <w:rPr>
                <w:rFonts w:ascii="Arial"/>
                <w:sz w:val="21"/>
              </w:rPr>
            </w:pPr>
          </w:p>
        </w:tc>
        <w:tc>
          <w:tcPr>
            <w:tcW w:w="8549" w:type="dxa"/>
            <w:vAlign w:val="top"/>
          </w:tcPr>
          <w:p w14:paraId="2B5623A7">
            <w:pPr>
              <w:pStyle w:val="8"/>
              <w:spacing w:before="36"/>
              <w:ind w:left="110" w:right="159" w:firstLine="360"/>
              <w:jc w:val="both"/>
            </w:pPr>
            <w:r>
              <w:t>第六十七条  投标人相互串通投标或者与招标人串通投标的，投标人向招标人或</w:t>
            </w:r>
            <w:r>
              <w:rPr>
                <w:spacing w:val="-1"/>
              </w:rPr>
              <w:t>者评标委员会成员行</w:t>
            </w:r>
            <w:r>
              <w:t xml:space="preserve"> 贿谋取中标的，中标无效；构成犯罪的，依法追究刑事责任；尚不构成犯罪的，依照招</w:t>
            </w:r>
            <w:r>
              <w:rPr>
                <w:spacing w:val="-1"/>
              </w:rPr>
              <w:t>标投标法第五十三</w:t>
            </w:r>
            <w:r>
              <w:t xml:space="preserve"> 条的规定处罚。投标人未中标的，对单位的罚款金额按照招标项目合同金额依照招标投</w:t>
            </w:r>
            <w:r>
              <w:rPr>
                <w:spacing w:val="-1"/>
              </w:rPr>
              <w:t>标法规定的比例计</w:t>
            </w:r>
            <w:r>
              <w:t xml:space="preserve"> </w:t>
            </w:r>
            <w:r>
              <w:rPr>
                <w:spacing w:val="-9"/>
              </w:rPr>
              <w:t>算。</w:t>
            </w:r>
          </w:p>
          <w:p w14:paraId="51D5848B">
            <w:pPr>
              <w:pStyle w:val="8"/>
              <w:spacing w:before="24"/>
              <w:ind w:left="110" w:right="114" w:firstLine="362"/>
            </w:pPr>
            <w:r>
              <w:t>投标人有下列行为之一的，属于招标投标法第五十三条规定的情节严重行为</w:t>
            </w:r>
            <w:r>
              <w:rPr>
                <w:spacing w:val="-1"/>
              </w:rPr>
              <w:t>，由有关行政监督部门取</w:t>
            </w:r>
            <w:r>
              <w:t xml:space="preserve"> </w:t>
            </w:r>
            <w:r>
              <w:rPr>
                <w:spacing w:val="-2"/>
              </w:rPr>
              <w:t>消其</w:t>
            </w:r>
            <w:r>
              <w:rPr>
                <w:spacing w:val="-21"/>
              </w:rPr>
              <w:t xml:space="preserve"> </w:t>
            </w:r>
            <w:r>
              <w:rPr>
                <w:spacing w:val="-2"/>
              </w:rPr>
              <w:t>1</w:t>
            </w:r>
            <w:r>
              <w:rPr>
                <w:spacing w:val="-38"/>
              </w:rPr>
              <w:t xml:space="preserve"> </w:t>
            </w:r>
            <w:r>
              <w:rPr>
                <w:spacing w:val="-2"/>
              </w:rPr>
              <w:t>年至</w:t>
            </w:r>
            <w:r>
              <w:rPr>
                <w:spacing w:val="-35"/>
              </w:rPr>
              <w:t xml:space="preserve"> </w:t>
            </w:r>
            <w:r>
              <w:rPr>
                <w:spacing w:val="-2"/>
              </w:rPr>
              <w:t>2</w:t>
            </w:r>
            <w:r>
              <w:rPr>
                <w:spacing w:val="-38"/>
              </w:rPr>
              <w:t xml:space="preserve"> </w:t>
            </w:r>
            <w:r>
              <w:rPr>
                <w:spacing w:val="-2"/>
              </w:rPr>
              <w:t>年内参加依法必须进行招标的项目的投标资格</w:t>
            </w:r>
            <w:r>
              <w:rPr>
                <w:spacing w:val="-3"/>
              </w:rPr>
              <w:t>：（</w:t>
            </w:r>
            <w:r>
              <w:rPr>
                <w:spacing w:val="-2"/>
              </w:rPr>
              <w:t>一）以行贿谋取中标</w:t>
            </w:r>
            <w:r>
              <w:rPr>
                <w:spacing w:val="-3"/>
              </w:rPr>
              <w:t>；</w:t>
            </w:r>
            <w:r>
              <w:rPr>
                <w:spacing w:val="-1"/>
              </w:rPr>
              <w:t xml:space="preserve"> </w:t>
            </w:r>
            <w:r>
              <w:rPr>
                <w:spacing w:val="-3"/>
              </w:rPr>
              <w:t>（</w:t>
            </w:r>
            <w:r>
              <w:rPr>
                <w:spacing w:val="-2"/>
              </w:rPr>
              <w:t>二）3</w:t>
            </w:r>
            <w:r>
              <w:rPr>
                <w:spacing w:val="-24"/>
              </w:rPr>
              <w:t xml:space="preserve"> </w:t>
            </w:r>
            <w:r>
              <w:rPr>
                <w:spacing w:val="-2"/>
              </w:rPr>
              <w:t>年内</w:t>
            </w:r>
            <w:r>
              <w:rPr>
                <w:spacing w:val="-38"/>
              </w:rPr>
              <w:t xml:space="preserve"> </w:t>
            </w:r>
            <w:r>
              <w:rPr>
                <w:spacing w:val="-2"/>
              </w:rPr>
              <w:t>2</w:t>
            </w:r>
            <w:r>
              <w:rPr>
                <w:spacing w:val="-31"/>
              </w:rPr>
              <w:t xml:space="preserve"> </w:t>
            </w:r>
            <w:r>
              <w:rPr>
                <w:spacing w:val="-2"/>
              </w:rPr>
              <w:t>次</w:t>
            </w:r>
            <w:r>
              <w:t xml:space="preserve"> 以上串通投标；（三）串通投标行为损害招标人、其他投标人或者国家、集体、公民的</w:t>
            </w:r>
            <w:r>
              <w:rPr>
                <w:spacing w:val="-1"/>
              </w:rPr>
              <w:t>合法利益，造成直</w:t>
            </w:r>
            <w:r>
              <w:t xml:space="preserve"> </w:t>
            </w:r>
            <w:r>
              <w:rPr>
                <w:spacing w:val="-2"/>
              </w:rPr>
              <w:t>接经济损失</w:t>
            </w:r>
            <w:r>
              <w:rPr>
                <w:spacing w:val="-33"/>
              </w:rPr>
              <w:t xml:space="preserve"> </w:t>
            </w:r>
            <w:r>
              <w:rPr>
                <w:spacing w:val="-2"/>
              </w:rPr>
              <w:t>30</w:t>
            </w:r>
            <w:r>
              <w:rPr>
                <w:spacing w:val="-36"/>
              </w:rPr>
              <w:t xml:space="preserve"> </w:t>
            </w:r>
            <w:r>
              <w:rPr>
                <w:spacing w:val="-2"/>
              </w:rPr>
              <w:t>万元以上</w:t>
            </w:r>
            <w:r>
              <w:t>；（</w:t>
            </w:r>
            <w:r>
              <w:rPr>
                <w:spacing w:val="-2"/>
              </w:rPr>
              <w:t>四）其他串通投标情节严重的行为。</w:t>
            </w:r>
          </w:p>
          <w:p w14:paraId="3BB9C2FA">
            <w:pPr>
              <w:pStyle w:val="8"/>
              <w:spacing w:before="24" w:line="233" w:lineRule="auto"/>
              <w:ind w:left="113" w:right="159" w:firstLine="360"/>
            </w:pPr>
            <w:r>
              <w:rPr>
                <w:spacing w:val="-1"/>
              </w:rPr>
              <w:t>投标人自本条第二款规定的处罚执行期限届满之日起</w:t>
            </w:r>
            <w:r>
              <w:rPr>
                <w:spacing w:val="-19"/>
              </w:rPr>
              <w:t xml:space="preserve"> </w:t>
            </w:r>
            <w:r>
              <w:rPr>
                <w:spacing w:val="-1"/>
              </w:rPr>
              <w:t>3</w:t>
            </w:r>
            <w:r>
              <w:rPr>
                <w:spacing w:val="-38"/>
              </w:rPr>
              <w:t xml:space="preserve"> </w:t>
            </w:r>
            <w:r>
              <w:rPr>
                <w:spacing w:val="-1"/>
              </w:rPr>
              <w:t>年内又有该款所列违法行为之一的，或者串通</w:t>
            </w:r>
            <w:r>
              <w:t xml:space="preserve"> </w:t>
            </w:r>
            <w:r>
              <w:rPr>
                <w:spacing w:val="-1"/>
              </w:rPr>
              <w:t>投标、以行贿谋取中标情节特别严重的，由工商行政管理机关吊销营业执</w:t>
            </w:r>
            <w:r>
              <w:rPr>
                <w:spacing w:val="-2"/>
              </w:rPr>
              <w:t>照。</w:t>
            </w:r>
          </w:p>
          <w:p w14:paraId="6CA0042E">
            <w:pPr>
              <w:pStyle w:val="8"/>
              <w:spacing w:before="26" w:line="218" w:lineRule="auto"/>
              <w:ind w:left="471"/>
            </w:pPr>
            <w:r>
              <w:rPr>
                <w:spacing w:val="-1"/>
              </w:rPr>
              <w:t>法律、行政法规对串通投标报价行为的处罚另有</w:t>
            </w:r>
            <w:r>
              <w:rPr>
                <w:spacing w:val="-2"/>
              </w:rPr>
              <w:t>规定的，从其规定。</w:t>
            </w:r>
          </w:p>
          <w:p w14:paraId="0D227773">
            <w:pPr>
              <w:pStyle w:val="8"/>
              <w:spacing w:before="27" w:line="219" w:lineRule="auto"/>
              <w:ind w:left="474"/>
            </w:pPr>
            <w:r>
              <w:rPr>
                <w:b/>
                <w:bCs/>
                <w:spacing w:val="-3"/>
              </w:rPr>
              <w:t>3.《公路建设市场管理办法》（交通运输</w:t>
            </w:r>
            <w:r>
              <w:rPr>
                <w:b/>
                <w:bCs/>
                <w:spacing w:val="-4"/>
              </w:rPr>
              <w:t>部令</w:t>
            </w:r>
            <w:r>
              <w:rPr>
                <w:spacing w:val="-36"/>
              </w:rPr>
              <w:t xml:space="preserve"> </w:t>
            </w:r>
            <w:r>
              <w:rPr>
                <w:b/>
                <w:bCs/>
                <w:spacing w:val="-4"/>
              </w:rPr>
              <w:t>2015</w:t>
            </w:r>
            <w:r>
              <w:rPr>
                <w:spacing w:val="-37"/>
              </w:rPr>
              <w:t xml:space="preserve"> </w:t>
            </w:r>
            <w:r>
              <w:rPr>
                <w:b/>
                <w:bCs/>
                <w:spacing w:val="-4"/>
              </w:rPr>
              <w:t>年第</w:t>
            </w:r>
            <w:r>
              <w:rPr>
                <w:spacing w:val="-22"/>
              </w:rPr>
              <w:t xml:space="preserve"> </w:t>
            </w:r>
            <w:r>
              <w:rPr>
                <w:b/>
                <w:bCs/>
                <w:spacing w:val="-4"/>
              </w:rPr>
              <w:t>11</w:t>
            </w:r>
            <w:r>
              <w:rPr>
                <w:spacing w:val="-34"/>
              </w:rPr>
              <w:t xml:space="preserve"> </w:t>
            </w:r>
            <w:r>
              <w:rPr>
                <w:b/>
                <w:bCs/>
                <w:spacing w:val="-4"/>
              </w:rPr>
              <w:t>号）</w:t>
            </w:r>
          </w:p>
          <w:p w14:paraId="5ADF19EB">
            <w:pPr>
              <w:pStyle w:val="8"/>
              <w:spacing w:before="26" w:line="233" w:lineRule="auto"/>
              <w:ind w:left="111" w:right="159" w:firstLine="359"/>
            </w:pPr>
            <w:r>
              <w:t>第二十二条  公路工程的勘察、设计、施工、监理单位和设备、材料供应单位应</w:t>
            </w:r>
            <w:r>
              <w:rPr>
                <w:spacing w:val="-1"/>
              </w:rPr>
              <w:t>当依法投标，不得弄</w:t>
            </w:r>
            <w:r>
              <w:t xml:space="preserve"> </w:t>
            </w:r>
            <w:r>
              <w:rPr>
                <w:spacing w:val="-1"/>
              </w:rPr>
              <w:t>虚作假，不得串通投标，不得以行贿等不合法</w:t>
            </w:r>
            <w:r>
              <w:rPr>
                <w:spacing w:val="-2"/>
              </w:rPr>
              <w:t>手段谋取中标。</w:t>
            </w:r>
          </w:p>
          <w:p w14:paraId="5C509B49">
            <w:pPr>
              <w:pStyle w:val="8"/>
              <w:spacing w:before="25" w:line="237" w:lineRule="auto"/>
              <w:ind w:left="111" w:right="159" w:firstLine="359"/>
            </w:pPr>
            <w:r>
              <w:t>第四十九条  投标人相互串通投标或者与招标人串通投标的，投标人以向招标人</w:t>
            </w:r>
            <w:r>
              <w:rPr>
                <w:spacing w:val="-1"/>
              </w:rPr>
              <w:t>或者评标委员会成员</w:t>
            </w:r>
            <w:r>
              <w:t xml:space="preserve"> </w:t>
            </w:r>
            <w:r>
              <w:rPr>
                <w:spacing w:val="-1"/>
              </w:rPr>
              <w:t>行贿的手段谋取中标的，中标无效，处中标项目金额</w:t>
            </w:r>
            <w:r>
              <w:rPr>
                <w:spacing w:val="-28"/>
              </w:rPr>
              <w:t xml:space="preserve"> </w:t>
            </w:r>
            <w:r>
              <w:rPr>
                <w:spacing w:val="-1"/>
              </w:rPr>
              <w:t>5‰以上</w:t>
            </w:r>
            <w:r>
              <w:rPr>
                <w:spacing w:val="-24"/>
              </w:rPr>
              <w:t xml:space="preserve"> </w:t>
            </w:r>
            <w:r>
              <w:rPr>
                <w:spacing w:val="-1"/>
              </w:rPr>
              <w:t>10‰以下的罚款，对单位直接负责的主管人</w:t>
            </w:r>
            <w:r>
              <w:t xml:space="preserve"> </w:t>
            </w:r>
            <w:r>
              <w:rPr>
                <w:spacing w:val="-1"/>
              </w:rPr>
              <w:t>员和其他直接责任人员处单位罚款数额</w:t>
            </w:r>
            <w:r>
              <w:rPr>
                <w:spacing w:val="-25"/>
              </w:rPr>
              <w:t xml:space="preserve"> </w:t>
            </w:r>
            <w:r>
              <w:rPr>
                <w:spacing w:val="-1"/>
              </w:rPr>
              <w:t>5%以上</w:t>
            </w:r>
            <w:r>
              <w:rPr>
                <w:spacing w:val="-26"/>
              </w:rPr>
              <w:t xml:space="preserve"> </w:t>
            </w:r>
            <w:r>
              <w:rPr>
                <w:spacing w:val="-1"/>
              </w:rPr>
              <w:t>10%以下的罚款；有违法所得的，并处没收违法所得；情节</w:t>
            </w:r>
            <w:r>
              <w:t xml:space="preserve"> </w:t>
            </w:r>
            <w:r>
              <w:rPr>
                <w:spacing w:val="-1"/>
              </w:rPr>
              <w:t>严重的，取消其</w:t>
            </w:r>
            <w:r>
              <w:rPr>
                <w:spacing w:val="-24"/>
              </w:rPr>
              <w:t xml:space="preserve"> </w:t>
            </w:r>
            <w:r>
              <w:rPr>
                <w:spacing w:val="-1"/>
              </w:rPr>
              <w:t>1</w:t>
            </w:r>
            <w:r>
              <w:rPr>
                <w:spacing w:val="-38"/>
              </w:rPr>
              <w:t xml:space="preserve"> </w:t>
            </w:r>
            <w:r>
              <w:rPr>
                <w:spacing w:val="-1"/>
              </w:rPr>
              <w:t>年至</w:t>
            </w:r>
            <w:r>
              <w:rPr>
                <w:spacing w:val="-35"/>
              </w:rPr>
              <w:t xml:space="preserve"> </w:t>
            </w:r>
            <w:r>
              <w:rPr>
                <w:spacing w:val="-1"/>
              </w:rPr>
              <w:t>2</w:t>
            </w:r>
            <w:r>
              <w:rPr>
                <w:spacing w:val="-38"/>
              </w:rPr>
              <w:t xml:space="preserve"> </w:t>
            </w:r>
            <w:r>
              <w:rPr>
                <w:spacing w:val="-1"/>
              </w:rPr>
              <w:t>年内参加依法必须进行招标的项目的投标资格并予以公告；构</w:t>
            </w:r>
            <w:r>
              <w:rPr>
                <w:spacing w:val="-2"/>
              </w:rPr>
              <w:t>成犯罪的，依法追</w:t>
            </w:r>
            <w:r>
              <w:t xml:space="preserve"> </w:t>
            </w:r>
            <w:r>
              <w:rPr>
                <w:spacing w:val="-2"/>
              </w:rPr>
              <w:t>究刑事责任。给他人造成损失的，依法承担赔偿责任。</w:t>
            </w:r>
          </w:p>
        </w:tc>
        <w:tc>
          <w:tcPr>
            <w:tcW w:w="1014" w:type="dxa"/>
            <w:vAlign w:val="top"/>
          </w:tcPr>
          <w:p w14:paraId="3FE824AB">
            <w:pPr>
              <w:rPr>
                <w:rFonts w:ascii="Arial"/>
                <w:sz w:val="21"/>
              </w:rPr>
            </w:pPr>
          </w:p>
        </w:tc>
        <w:tc>
          <w:tcPr>
            <w:tcW w:w="1407" w:type="dxa"/>
            <w:vAlign w:val="top"/>
          </w:tcPr>
          <w:p w14:paraId="2B8D9881">
            <w:pPr>
              <w:rPr>
                <w:rFonts w:ascii="Arial"/>
                <w:sz w:val="21"/>
              </w:rPr>
            </w:pPr>
          </w:p>
        </w:tc>
        <w:tc>
          <w:tcPr>
            <w:tcW w:w="1018" w:type="dxa"/>
            <w:vAlign w:val="top"/>
          </w:tcPr>
          <w:p w14:paraId="37F996CC">
            <w:pPr>
              <w:rPr>
                <w:rFonts w:ascii="Arial"/>
                <w:sz w:val="21"/>
              </w:rPr>
            </w:pPr>
          </w:p>
        </w:tc>
      </w:tr>
      <w:tr w14:paraId="2BB40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5" w:hRule="atLeast"/>
        </w:trPr>
        <w:tc>
          <w:tcPr>
            <w:tcW w:w="624" w:type="dxa"/>
            <w:vAlign w:val="top"/>
          </w:tcPr>
          <w:p w14:paraId="6B90EC63">
            <w:pPr>
              <w:spacing w:line="254" w:lineRule="auto"/>
              <w:rPr>
                <w:rFonts w:ascii="Arial"/>
                <w:sz w:val="21"/>
              </w:rPr>
            </w:pPr>
          </w:p>
          <w:p w14:paraId="5E9D7B66">
            <w:pPr>
              <w:spacing w:line="254" w:lineRule="auto"/>
              <w:rPr>
                <w:rFonts w:ascii="Arial"/>
                <w:sz w:val="21"/>
              </w:rPr>
            </w:pPr>
          </w:p>
          <w:p w14:paraId="501DB790">
            <w:pPr>
              <w:spacing w:line="254" w:lineRule="auto"/>
              <w:rPr>
                <w:rFonts w:ascii="Arial"/>
                <w:sz w:val="21"/>
              </w:rPr>
            </w:pPr>
          </w:p>
          <w:p w14:paraId="5DEB3612">
            <w:pPr>
              <w:spacing w:line="254" w:lineRule="auto"/>
              <w:rPr>
                <w:rFonts w:ascii="Arial"/>
                <w:sz w:val="21"/>
              </w:rPr>
            </w:pPr>
          </w:p>
          <w:p w14:paraId="2D5F2A11">
            <w:pPr>
              <w:spacing w:line="255" w:lineRule="auto"/>
              <w:rPr>
                <w:rFonts w:ascii="Arial"/>
                <w:sz w:val="21"/>
              </w:rPr>
            </w:pPr>
          </w:p>
          <w:p w14:paraId="005DDF1E">
            <w:pPr>
              <w:spacing w:line="255" w:lineRule="auto"/>
              <w:rPr>
                <w:rFonts w:ascii="Arial"/>
                <w:sz w:val="21"/>
              </w:rPr>
            </w:pPr>
          </w:p>
          <w:p w14:paraId="09320E05">
            <w:pPr>
              <w:spacing w:line="255" w:lineRule="auto"/>
              <w:rPr>
                <w:rFonts w:ascii="Arial"/>
                <w:sz w:val="21"/>
              </w:rPr>
            </w:pPr>
          </w:p>
          <w:p w14:paraId="5CF78E60">
            <w:pPr>
              <w:spacing w:line="255" w:lineRule="auto"/>
              <w:rPr>
                <w:rFonts w:ascii="Arial"/>
                <w:sz w:val="21"/>
              </w:rPr>
            </w:pPr>
          </w:p>
          <w:p w14:paraId="1A4D7ED9">
            <w:pPr>
              <w:pStyle w:val="8"/>
              <w:spacing w:before="59" w:line="184" w:lineRule="auto"/>
              <w:ind w:left="244"/>
            </w:pPr>
            <w:r>
              <w:rPr>
                <w:spacing w:val="-11"/>
              </w:rPr>
              <w:t>12</w:t>
            </w:r>
          </w:p>
        </w:tc>
        <w:tc>
          <w:tcPr>
            <w:tcW w:w="1104" w:type="dxa"/>
            <w:vAlign w:val="top"/>
          </w:tcPr>
          <w:p w14:paraId="6CCDCD38">
            <w:pPr>
              <w:spacing w:line="259" w:lineRule="auto"/>
              <w:rPr>
                <w:rFonts w:ascii="Arial"/>
                <w:sz w:val="21"/>
              </w:rPr>
            </w:pPr>
          </w:p>
          <w:p w14:paraId="448BFBE6">
            <w:pPr>
              <w:spacing w:line="259" w:lineRule="auto"/>
              <w:rPr>
                <w:rFonts w:ascii="Arial"/>
                <w:sz w:val="21"/>
              </w:rPr>
            </w:pPr>
          </w:p>
          <w:p w14:paraId="0AD843A9">
            <w:pPr>
              <w:spacing w:line="259" w:lineRule="auto"/>
              <w:rPr>
                <w:rFonts w:ascii="Arial"/>
                <w:sz w:val="21"/>
              </w:rPr>
            </w:pPr>
          </w:p>
          <w:p w14:paraId="09C0BABC">
            <w:pPr>
              <w:spacing w:line="259" w:lineRule="auto"/>
              <w:rPr>
                <w:rFonts w:ascii="Arial"/>
                <w:sz w:val="21"/>
              </w:rPr>
            </w:pPr>
          </w:p>
          <w:p w14:paraId="5220CA14">
            <w:pPr>
              <w:spacing w:line="260" w:lineRule="auto"/>
              <w:rPr>
                <w:rFonts w:ascii="Arial"/>
                <w:sz w:val="21"/>
              </w:rPr>
            </w:pPr>
          </w:p>
          <w:p w14:paraId="67D824D2">
            <w:pPr>
              <w:pStyle w:val="8"/>
              <w:spacing w:before="59" w:line="242" w:lineRule="auto"/>
              <w:ind w:left="60" w:right="56"/>
              <w:jc w:val="both"/>
            </w:pPr>
            <w:r>
              <w:rPr>
                <w:spacing w:val="16"/>
              </w:rPr>
              <w:t>对交通运输</w:t>
            </w:r>
            <w:r>
              <w:rPr>
                <w:spacing w:val="1"/>
              </w:rPr>
              <w:t xml:space="preserve"> </w:t>
            </w:r>
            <w:r>
              <w:rPr>
                <w:spacing w:val="16"/>
              </w:rPr>
              <w:t>领域必须招</w:t>
            </w:r>
            <w:r>
              <w:t xml:space="preserve"> </w:t>
            </w:r>
            <w:r>
              <w:rPr>
                <w:spacing w:val="16"/>
              </w:rPr>
              <w:t>标的项目建</w:t>
            </w:r>
            <w:r>
              <w:t xml:space="preserve"> </w:t>
            </w:r>
            <w:r>
              <w:rPr>
                <w:spacing w:val="16"/>
              </w:rPr>
              <w:t>设工程单位</w:t>
            </w:r>
            <w:r>
              <w:t xml:space="preserve"> </w:t>
            </w:r>
            <w:r>
              <w:rPr>
                <w:spacing w:val="16"/>
              </w:rPr>
              <w:t>弄虚作假骗</w:t>
            </w:r>
            <w:r>
              <w:t xml:space="preserve"> </w:t>
            </w:r>
            <w:r>
              <w:rPr>
                <w:spacing w:val="16"/>
              </w:rPr>
              <w:t>取中标行为</w:t>
            </w:r>
            <w:r>
              <w:t xml:space="preserve"> </w:t>
            </w:r>
            <w:r>
              <w:rPr>
                <w:spacing w:val="-2"/>
              </w:rPr>
              <w:t>的行政处罚</w:t>
            </w:r>
          </w:p>
        </w:tc>
        <w:tc>
          <w:tcPr>
            <w:tcW w:w="1104" w:type="dxa"/>
            <w:vAlign w:val="top"/>
          </w:tcPr>
          <w:p w14:paraId="77A80A38">
            <w:pPr>
              <w:spacing w:line="251" w:lineRule="auto"/>
              <w:rPr>
                <w:rFonts w:ascii="Arial"/>
                <w:sz w:val="21"/>
              </w:rPr>
            </w:pPr>
          </w:p>
          <w:p w14:paraId="7CA2DADA">
            <w:pPr>
              <w:spacing w:line="251" w:lineRule="auto"/>
              <w:rPr>
                <w:rFonts w:ascii="Arial"/>
                <w:sz w:val="21"/>
              </w:rPr>
            </w:pPr>
          </w:p>
          <w:p w14:paraId="3F38CCAA">
            <w:pPr>
              <w:spacing w:line="251" w:lineRule="auto"/>
              <w:rPr>
                <w:rFonts w:ascii="Arial"/>
                <w:sz w:val="21"/>
              </w:rPr>
            </w:pPr>
          </w:p>
          <w:p w14:paraId="639F0D96">
            <w:pPr>
              <w:spacing w:line="251" w:lineRule="auto"/>
              <w:rPr>
                <w:rFonts w:ascii="Arial"/>
                <w:sz w:val="21"/>
              </w:rPr>
            </w:pPr>
          </w:p>
          <w:p w14:paraId="66BBA5AA">
            <w:pPr>
              <w:spacing w:line="251" w:lineRule="auto"/>
              <w:rPr>
                <w:rFonts w:ascii="Arial"/>
                <w:sz w:val="21"/>
              </w:rPr>
            </w:pPr>
          </w:p>
          <w:p w14:paraId="10DE910E">
            <w:pPr>
              <w:spacing w:line="251" w:lineRule="auto"/>
              <w:rPr>
                <w:rFonts w:ascii="Arial"/>
                <w:sz w:val="21"/>
              </w:rPr>
            </w:pPr>
          </w:p>
          <w:p w14:paraId="67DE9306">
            <w:pPr>
              <w:spacing w:line="251" w:lineRule="auto"/>
              <w:rPr>
                <w:rFonts w:ascii="Arial"/>
                <w:sz w:val="21"/>
              </w:rPr>
            </w:pPr>
          </w:p>
          <w:p w14:paraId="0637F3DE">
            <w:pPr>
              <w:spacing w:line="252" w:lineRule="auto"/>
              <w:rPr>
                <w:rFonts w:ascii="Arial"/>
                <w:sz w:val="21"/>
              </w:rPr>
            </w:pPr>
          </w:p>
          <w:p w14:paraId="508B8477">
            <w:pPr>
              <w:pStyle w:val="8"/>
              <w:spacing w:before="58" w:line="220" w:lineRule="auto"/>
              <w:ind w:left="10"/>
            </w:pPr>
            <w:r>
              <w:rPr>
                <w:spacing w:val="-2"/>
              </w:rPr>
              <w:t>行政处罚</w:t>
            </w:r>
          </w:p>
        </w:tc>
        <w:tc>
          <w:tcPr>
            <w:tcW w:w="8549" w:type="dxa"/>
            <w:vAlign w:val="top"/>
          </w:tcPr>
          <w:p w14:paraId="054D62DF">
            <w:pPr>
              <w:pStyle w:val="8"/>
              <w:spacing w:before="40" w:line="219" w:lineRule="auto"/>
              <w:ind w:left="573"/>
            </w:pPr>
            <w:r>
              <w:rPr>
                <w:b/>
                <w:bCs/>
                <w:spacing w:val="-3"/>
              </w:rPr>
              <w:t>1.《中华人民共和国招标投标法》</w:t>
            </w:r>
          </w:p>
          <w:p w14:paraId="1D1ED763">
            <w:pPr>
              <w:pStyle w:val="8"/>
              <w:spacing w:before="25" w:line="233" w:lineRule="auto"/>
              <w:ind w:left="112" w:right="159" w:firstLine="358"/>
            </w:pPr>
            <w:r>
              <w:t>第五十四条  投标人以他人名义投标或者以其他方式弄虚作假，骗取中标的，中</w:t>
            </w:r>
            <w:r>
              <w:rPr>
                <w:spacing w:val="-1"/>
              </w:rPr>
              <w:t>标无效，给招标人造</w:t>
            </w:r>
            <w:r>
              <w:t xml:space="preserve"> </w:t>
            </w:r>
            <w:r>
              <w:rPr>
                <w:spacing w:val="-1"/>
              </w:rPr>
              <w:t>成损失的，依法承担赔偿责任；构成犯罪的，依法追</w:t>
            </w:r>
            <w:r>
              <w:rPr>
                <w:spacing w:val="-2"/>
              </w:rPr>
              <w:t>究刑事责任。</w:t>
            </w:r>
          </w:p>
          <w:p w14:paraId="6D4C6FD4">
            <w:pPr>
              <w:pStyle w:val="8"/>
              <w:spacing w:before="27" w:line="239" w:lineRule="auto"/>
              <w:ind w:left="111" w:right="159" w:firstLine="360"/>
            </w:pPr>
            <w:r>
              <w:t>依法必须进行招标的项目的投标人有前款所列行为尚未构成犯罪的，处中标项</w:t>
            </w:r>
            <w:r>
              <w:rPr>
                <w:spacing w:val="-1"/>
              </w:rPr>
              <w:t>目金额千分之五以上千</w:t>
            </w:r>
            <w:r>
              <w:t xml:space="preserve"> 分之十以下的罚款，对单位直接负责的主管人员和其他直接责任人员处单位罚款数额</w:t>
            </w:r>
            <w:r>
              <w:rPr>
                <w:spacing w:val="-1"/>
              </w:rPr>
              <w:t>百分之五以上百分之</w:t>
            </w:r>
            <w:r>
              <w:t xml:space="preserve"> 十以下的罚款；有违法所得的，并处没收违法所得；情节严重的，取消其一年至三年</w:t>
            </w:r>
            <w:r>
              <w:rPr>
                <w:spacing w:val="-1"/>
              </w:rPr>
              <w:t>内参加依法必须进行</w:t>
            </w:r>
            <w:r>
              <w:t xml:space="preserve"> </w:t>
            </w:r>
            <w:r>
              <w:rPr>
                <w:spacing w:val="-1"/>
              </w:rPr>
              <w:t>招标的项目的投标资格并予以公告，直至由工商行政管理机关吊销营业执照。</w:t>
            </w:r>
          </w:p>
          <w:p w14:paraId="69F214D2">
            <w:pPr>
              <w:pStyle w:val="8"/>
              <w:spacing w:before="27" w:line="219" w:lineRule="auto"/>
              <w:ind w:left="473"/>
            </w:pPr>
            <w:r>
              <w:rPr>
                <w:b/>
                <w:bCs/>
                <w:spacing w:val="-3"/>
              </w:rPr>
              <w:t>2.《中华人民共和国招标投标法实施条例》</w:t>
            </w:r>
          </w:p>
          <w:p w14:paraId="23B6510D">
            <w:pPr>
              <w:pStyle w:val="8"/>
              <w:spacing w:before="26" w:line="237" w:lineRule="auto"/>
              <w:ind w:left="112" w:right="159" w:firstLine="358"/>
            </w:pPr>
            <w:r>
              <w:t>第六十八条  投标人以他人名义投标或者以其他方式弄虚作假骗取中标的，中标</w:t>
            </w:r>
            <w:r>
              <w:rPr>
                <w:spacing w:val="-1"/>
              </w:rPr>
              <w:t>无效；构成犯罪的，</w:t>
            </w:r>
            <w:r>
              <w:t xml:space="preserve"> 依法追究刑事责任；尚不构成犯罪的，依照招标投标法第五十四条的规定处罚。依</w:t>
            </w:r>
            <w:r>
              <w:rPr>
                <w:spacing w:val="-1"/>
              </w:rPr>
              <w:t>法必须进行招标的项目</w:t>
            </w:r>
            <w:r>
              <w:t xml:space="preserve"> </w:t>
            </w:r>
            <w:r>
              <w:rPr>
                <w:spacing w:val="-1"/>
              </w:rPr>
              <w:t>的投标人未中标的，对单位的罚款金额按照招标项目合同金额依照  招标投标法规定的比例计算。</w:t>
            </w:r>
          </w:p>
          <w:p w14:paraId="08E02529">
            <w:pPr>
              <w:pStyle w:val="8"/>
              <w:spacing w:before="27" w:line="239" w:lineRule="auto"/>
              <w:ind w:left="111" w:right="104" w:firstLine="361"/>
            </w:pPr>
            <w:r>
              <w:t>投标人有下列行为之一的，属于招标投标法第五十四条规定的情节严重行为</w:t>
            </w:r>
            <w:r>
              <w:rPr>
                <w:spacing w:val="-1"/>
              </w:rPr>
              <w:t>，由有关行政监督部门取</w:t>
            </w:r>
            <w:r>
              <w:t xml:space="preserve"> </w:t>
            </w:r>
            <w:r>
              <w:rPr>
                <w:spacing w:val="-1"/>
              </w:rPr>
              <w:t>消其</w:t>
            </w:r>
            <w:r>
              <w:rPr>
                <w:spacing w:val="-23"/>
              </w:rPr>
              <w:t xml:space="preserve"> </w:t>
            </w:r>
            <w:r>
              <w:rPr>
                <w:spacing w:val="-1"/>
              </w:rPr>
              <w:t>1</w:t>
            </w:r>
            <w:r>
              <w:rPr>
                <w:spacing w:val="-38"/>
              </w:rPr>
              <w:t xml:space="preserve"> </w:t>
            </w:r>
            <w:r>
              <w:rPr>
                <w:spacing w:val="-1"/>
              </w:rPr>
              <w:t>年至</w:t>
            </w:r>
            <w:r>
              <w:rPr>
                <w:spacing w:val="-33"/>
              </w:rPr>
              <w:t xml:space="preserve"> </w:t>
            </w:r>
            <w:r>
              <w:rPr>
                <w:spacing w:val="-1"/>
              </w:rPr>
              <w:t>3</w:t>
            </w:r>
            <w:r>
              <w:rPr>
                <w:spacing w:val="-38"/>
              </w:rPr>
              <w:t xml:space="preserve"> </w:t>
            </w:r>
            <w:r>
              <w:rPr>
                <w:spacing w:val="-1"/>
              </w:rPr>
              <w:t>年内参加依法必须进行招标的项目的投标资格</w:t>
            </w:r>
            <w:r>
              <w:rPr>
                <w:spacing w:val="-2"/>
              </w:rPr>
              <w:t>：（</w:t>
            </w:r>
            <w:r>
              <w:rPr>
                <w:spacing w:val="-1"/>
              </w:rPr>
              <w:t>一）</w:t>
            </w:r>
            <w:r>
              <w:rPr>
                <w:spacing w:val="-2"/>
              </w:rPr>
              <w:t>伪造、变造资格、资质证书或者其他</w:t>
            </w:r>
            <w:r>
              <w:t xml:space="preserve"> </w:t>
            </w:r>
            <w:r>
              <w:rPr>
                <w:spacing w:val="-2"/>
              </w:rPr>
              <w:t>许可证件骗取中标</w:t>
            </w:r>
            <w:r>
              <w:rPr>
                <w:spacing w:val="-6"/>
              </w:rPr>
              <w:t>；（</w:t>
            </w:r>
            <w:r>
              <w:rPr>
                <w:spacing w:val="-2"/>
              </w:rPr>
              <w:t>二）3</w:t>
            </w:r>
            <w:r>
              <w:rPr>
                <w:spacing w:val="-35"/>
              </w:rPr>
              <w:t xml:space="preserve"> </w:t>
            </w:r>
            <w:r>
              <w:rPr>
                <w:spacing w:val="-2"/>
              </w:rPr>
              <w:t>年内</w:t>
            </w:r>
            <w:r>
              <w:rPr>
                <w:spacing w:val="-35"/>
              </w:rPr>
              <w:t xml:space="preserve"> </w:t>
            </w:r>
            <w:r>
              <w:rPr>
                <w:spacing w:val="-2"/>
              </w:rPr>
              <w:t>2</w:t>
            </w:r>
            <w:r>
              <w:rPr>
                <w:spacing w:val="-34"/>
              </w:rPr>
              <w:t xml:space="preserve"> </w:t>
            </w:r>
            <w:r>
              <w:rPr>
                <w:spacing w:val="-2"/>
              </w:rPr>
              <w:t>次以上使用他人名义投标</w:t>
            </w:r>
            <w:r>
              <w:rPr>
                <w:spacing w:val="-6"/>
              </w:rPr>
              <w:t>；（</w:t>
            </w:r>
            <w:r>
              <w:rPr>
                <w:spacing w:val="-2"/>
              </w:rPr>
              <w:t>三）弄虚作假骗取</w:t>
            </w:r>
            <w:r>
              <w:rPr>
                <w:spacing w:val="-3"/>
              </w:rPr>
              <w:t>中标给招标人造成直接</w:t>
            </w:r>
            <w:r>
              <w:t xml:space="preserve"> </w:t>
            </w:r>
            <w:r>
              <w:rPr>
                <w:spacing w:val="-2"/>
              </w:rPr>
              <w:t>经济损失</w:t>
            </w:r>
            <w:r>
              <w:rPr>
                <w:spacing w:val="-32"/>
              </w:rPr>
              <w:t xml:space="preserve"> </w:t>
            </w:r>
            <w:r>
              <w:rPr>
                <w:spacing w:val="-2"/>
              </w:rPr>
              <w:t>30</w:t>
            </w:r>
            <w:r>
              <w:rPr>
                <w:spacing w:val="-37"/>
              </w:rPr>
              <w:t xml:space="preserve"> </w:t>
            </w:r>
            <w:r>
              <w:rPr>
                <w:spacing w:val="-2"/>
              </w:rPr>
              <w:t>万元以上</w:t>
            </w:r>
            <w:r>
              <w:rPr>
                <w:spacing w:val="2"/>
              </w:rPr>
              <w:t>；（</w:t>
            </w:r>
            <w:r>
              <w:rPr>
                <w:spacing w:val="-2"/>
              </w:rPr>
              <w:t>四）其他弄虚作假骗取中标情节严重的行为。</w:t>
            </w:r>
          </w:p>
          <w:p w14:paraId="06F2C01D">
            <w:pPr>
              <w:pStyle w:val="8"/>
              <w:spacing w:before="26" w:line="233" w:lineRule="auto"/>
              <w:ind w:left="111" w:right="159" w:firstLine="361"/>
            </w:pPr>
            <w:r>
              <w:rPr>
                <w:spacing w:val="-1"/>
              </w:rPr>
              <w:t>投标人自本条第二款规定的处罚执行期限届满之日起</w:t>
            </w:r>
            <w:r>
              <w:rPr>
                <w:spacing w:val="-19"/>
              </w:rPr>
              <w:t xml:space="preserve"> </w:t>
            </w:r>
            <w:r>
              <w:rPr>
                <w:spacing w:val="-1"/>
              </w:rPr>
              <w:t>3</w:t>
            </w:r>
            <w:r>
              <w:rPr>
                <w:spacing w:val="-38"/>
              </w:rPr>
              <w:t xml:space="preserve"> </w:t>
            </w:r>
            <w:r>
              <w:rPr>
                <w:spacing w:val="-1"/>
              </w:rPr>
              <w:t>年内又有该款所列违法行为之一的，或者弄虚</w:t>
            </w:r>
            <w:r>
              <w:t xml:space="preserve"> </w:t>
            </w:r>
            <w:r>
              <w:rPr>
                <w:spacing w:val="-1"/>
              </w:rPr>
              <w:t>作假骗取中标情节特别严重的，由工商行政管理机关吊销营</w:t>
            </w:r>
            <w:r>
              <w:rPr>
                <w:spacing w:val="-2"/>
              </w:rPr>
              <w:t>业执照。</w:t>
            </w:r>
          </w:p>
        </w:tc>
        <w:tc>
          <w:tcPr>
            <w:tcW w:w="1014" w:type="dxa"/>
            <w:vAlign w:val="top"/>
          </w:tcPr>
          <w:p w14:paraId="63D76BCD">
            <w:pPr>
              <w:spacing w:line="269" w:lineRule="auto"/>
              <w:rPr>
                <w:rFonts w:ascii="Arial"/>
                <w:sz w:val="21"/>
              </w:rPr>
            </w:pPr>
          </w:p>
          <w:p w14:paraId="0CE068C8">
            <w:pPr>
              <w:spacing w:line="270" w:lineRule="auto"/>
              <w:rPr>
                <w:rFonts w:ascii="Arial"/>
                <w:sz w:val="21"/>
              </w:rPr>
            </w:pPr>
          </w:p>
          <w:p w14:paraId="29E1B716">
            <w:pPr>
              <w:spacing w:line="270" w:lineRule="auto"/>
              <w:rPr>
                <w:rFonts w:ascii="Arial"/>
                <w:sz w:val="21"/>
              </w:rPr>
            </w:pPr>
          </w:p>
          <w:p w14:paraId="1812D0EB">
            <w:pPr>
              <w:spacing w:line="270" w:lineRule="auto"/>
              <w:rPr>
                <w:rFonts w:ascii="Arial"/>
                <w:sz w:val="21"/>
              </w:rPr>
            </w:pPr>
          </w:p>
          <w:p w14:paraId="1A3613FE">
            <w:pPr>
              <w:spacing w:line="270" w:lineRule="auto"/>
              <w:rPr>
                <w:rFonts w:ascii="Arial"/>
                <w:sz w:val="21"/>
              </w:rPr>
            </w:pPr>
          </w:p>
          <w:p w14:paraId="629A4DE3">
            <w:pPr>
              <w:spacing w:line="270" w:lineRule="auto"/>
              <w:rPr>
                <w:rFonts w:ascii="Arial"/>
                <w:sz w:val="21"/>
              </w:rPr>
            </w:pPr>
          </w:p>
          <w:p w14:paraId="7716B352">
            <w:pPr>
              <w:spacing w:line="270" w:lineRule="auto"/>
              <w:rPr>
                <w:rFonts w:ascii="Arial"/>
                <w:sz w:val="21"/>
              </w:rPr>
            </w:pPr>
          </w:p>
          <w:p w14:paraId="4EC50BC0">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3F91D3E6">
            <w:pPr>
              <w:spacing w:line="269" w:lineRule="auto"/>
              <w:rPr>
                <w:rFonts w:ascii="Arial"/>
                <w:sz w:val="21"/>
              </w:rPr>
            </w:pPr>
          </w:p>
          <w:p w14:paraId="71F7558C">
            <w:pPr>
              <w:spacing w:line="270" w:lineRule="auto"/>
              <w:rPr>
                <w:rFonts w:ascii="Arial"/>
                <w:sz w:val="21"/>
              </w:rPr>
            </w:pPr>
          </w:p>
          <w:p w14:paraId="636AA1BB">
            <w:pPr>
              <w:spacing w:line="270" w:lineRule="auto"/>
              <w:rPr>
                <w:rFonts w:ascii="Arial"/>
                <w:sz w:val="21"/>
              </w:rPr>
            </w:pPr>
          </w:p>
          <w:p w14:paraId="25310C8F">
            <w:pPr>
              <w:spacing w:line="270" w:lineRule="auto"/>
              <w:rPr>
                <w:rFonts w:ascii="Arial"/>
                <w:sz w:val="21"/>
              </w:rPr>
            </w:pPr>
          </w:p>
          <w:p w14:paraId="205C55D4">
            <w:pPr>
              <w:spacing w:line="270" w:lineRule="auto"/>
              <w:rPr>
                <w:rFonts w:ascii="Arial"/>
                <w:sz w:val="21"/>
              </w:rPr>
            </w:pPr>
          </w:p>
          <w:p w14:paraId="3D440420">
            <w:pPr>
              <w:spacing w:line="270" w:lineRule="auto"/>
              <w:rPr>
                <w:rFonts w:ascii="Arial"/>
                <w:sz w:val="21"/>
              </w:rPr>
            </w:pPr>
          </w:p>
          <w:p w14:paraId="5066B76C">
            <w:pPr>
              <w:spacing w:line="270" w:lineRule="auto"/>
              <w:rPr>
                <w:rFonts w:ascii="Arial"/>
                <w:sz w:val="21"/>
              </w:rPr>
            </w:pPr>
          </w:p>
          <w:p w14:paraId="3063F3E2">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3763B8C">
            <w:pPr>
              <w:spacing w:line="275" w:lineRule="auto"/>
              <w:rPr>
                <w:rFonts w:ascii="Arial"/>
                <w:sz w:val="21"/>
              </w:rPr>
            </w:pPr>
          </w:p>
          <w:p w14:paraId="0E54FB42">
            <w:pPr>
              <w:spacing w:line="275" w:lineRule="auto"/>
              <w:rPr>
                <w:rFonts w:ascii="Arial"/>
                <w:sz w:val="21"/>
              </w:rPr>
            </w:pPr>
          </w:p>
          <w:p w14:paraId="19EF8302">
            <w:pPr>
              <w:spacing w:line="275" w:lineRule="auto"/>
              <w:rPr>
                <w:rFonts w:ascii="Arial"/>
                <w:sz w:val="21"/>
              </w:rPr>
            </w:pPr>
          </w:p>
          <w:p w14:paraId="27FCDDD4">
            <w:pPr>
              <w:spacing w:line="275" w:lineRule="auto"/>
              <w:rPr>
                <w:rFonts w:ascii="Arial"/>
                <w:sz w:val="21"/>
              </w:rPr>
            </w:pPr>
          </w:p>
          <w:p w14:paraId="506C4A31">
            <w:pPr>
              <w:spacing w:line="276" w:lineRule="auto"/>
              <w:rPr>
                <w:rFonts w:ascii="Arial"/>
                <w:sz w:val="21"/>
              </w:rPr>
            </w:pPr>
          </w:p>
          <w:p w14:paraId="2A6A2F0D">
            <w:pPr>
              <w:spacing w:line="276" w:lineRule="auto"/>
              <w:rPr>
                <w:rFonts w:ascii="Arial"/>
                <w:sz w:val="21"/>
              </w:rPr>
            </w:pPr>
          </w:p>
          <w:p w14:paraId="602D5DCD">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3A5BC84D">
      <w:pPr>
        <w:pStyle w:val="2"/>
        <w:spacing w:line="187" w:lineRule="exact"/>
        <w:rPr>
          <w:sz w:val="16"/>
        </w:rPr>
      </w:pPr>
    </w:p>
    <w:p w14:paraId="2DC64E98">
      <w:pPr>
        <w:spacing w:line="187" w:lineRule="exact"/>
        <w:rPr>
          <w:sz w:val="16"/>
          <w:szCs w:val="16"/>
        </w:rPr>
        <w:sectPr>
          <w:footerReference r:id="rId82" w:type="default"/>
          <w:pgSz w:w="16839" w:h="11906"/>
          <w:pgMar w:top="1012" w:right="991" w:bottom="966" w:left="1021" w:header="0" w:footer="768" w:gutter="0"/>
          <w:cols w:space="720" w:num="1"/>
        </w:sectPr>
      </w:pPr>
    </w:p>
    <w:p w14:paraId="3FEC6D73">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477A1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529412B5">
            <w:pPr>
              <w:pStyle w:val="8"/>
              <w:spacing w:before="267" w:line="221" w:lineRule="auto"/>
              <w:ind w:left="134"/>
            </w:pPr>
            <w:r>
              <w:rPr>
                <w:b/>
                <w:bCs/>
                <w:spacing w:val="-4"/>
              </w:rPr>
              <w:t>序号</w:t>
            </w:r>
          </w:p>
        </w:tc>
        <w:tc>
          <w:tcPr>
            <w:tcW w:w="1104" w:type="dxa"/>
            <w:vMerge w:val="restart"/>
            <w:tcBorders>
              <w:bottom w:val="nil"/>
            </w:tcBorders>
            <w:vAlign w:val="top"/>
          </w:tcPr>
          <w:p w14:paraId="7FCA7049">
            <w:pPr>
              <w:pStyle w:val="8"/>
              <w:spacing w:before="260" w:line="220" w:lineRule="auto"/>
              <w:ind w:left="192"/>
            </w:pPr>
            <w:r>
              <w:rPr>
                <w:b/>
                <w:bCs/>
                <w:spacing w:val="-4"/>
              </w:rPr>
              <w:t>事项名称</w:t>
            </w:r>
          </w:p>
        </w:tc>
        <w:tc>
          <w:tcPr>
            <w:tcW w:w="1104" w:type="dxa"/>
            <w:vMerge w:val="restart"/>
            <w:tcBorders>
              <w:bottom w:val="nil"/>
            </w:tcBorders>
            <w:vAlign w:val="top"/>
          </w:tcPr>
          <w:p w14:paraId="346A2654">
            <w:pPr>
              <w:pStyle w:val="8"/>
              <w:spacing w:before="260" w:line="219" w:lineRule="auto"/>
              <w:ind w:left="193"/>
            </w:pPr>
            <w:r>
              <w:rPr>
                <w:b/>
                <w:bCs/>
                <w:spacing w:val="-4"/>
              </w:rPr>
              <w:t>职权类型</w:t>
            </w:r>
          </w:p>
        </w:tc>
        <w:tc>
          <w:tcPr>
            <w:tcW w:w="8549" w:type="dxa"/>
            <w:vMerge w:val="restart"/>
            <w:tcBorders>
              <w:bottom w:val="nil"/>
            </w:tcBorders>
            <w:vAlign w:val="top"/>
          </w:tcPr>
          <w:p w14:paraId="04EFA1C3">
            <w:pPr>
              <w:pStyle w:val="8"/>
              <w:spacing w:before="259" w:line="219" w:lineRule="auto"/>
              <w:ind w:left="3921"/>
            </w:pPr>
            <w:r>
              <w:rPr>
                <w:b/>
                <w:bCs/>
                <w:spacing w:val="-5"/>
              </w:rPr>
              <w:t>实施依据</w:t>
            </w:r>
          </w:p>
        </w:tc>
        <w:tc>
          <w:tcPr>
            <w:tcW w:w="3439" w:type="dxa"/>
            <w:gridSpan w:val="3"/>
            <w:vAlign w:val="top"/>
          </w:tcPr>
          <w:p w14:paraId="0C8E0C16">
            <w:pPr>
              <w:pStyle w:val="8"/>
              <w:spacing w:before="85" w:line="220" w:lineRule="auto"/>
              <w:ind w:left="1365"/>
            </w:pPr>
            <w:r>
              <w:rPr>
                <w:b/>
                <w:bCs/>
                <w:spacing w:val="-5"/>
              </w:rPr>
              <w:t>实施主体</w:t>
            </w:r>
          </w:p>
        </w:tc>
      </w:tr>
      <w:tr w14:paraId="0F4FF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71228B54">
            <w:pPr>
              <w:rPr>
                <w:rFonts w:ascii="Arial"/>
                <w:sz w:val="21"/>
              </w:rPr>
            </w:pPr>
          </w:p>
        </w:tc>
        <w:tc>
          <w:tcPr>
            <w:tcW w:w="1104" w:type="dxa"/>
            <w:vMerge w:val="continue"/>
            <w:tcBorders>
              <w:top w:val="nil"/>
            </w:tcBorders>
            <w:vAlign w:val="top"/>
          </w:tcPr>
          <w:p w14:paraId="101CCC7A">
            <w:pPr>
              <w:rPr>
                <w:rFonts w:ascii="Arial"/>
                <w:sz w:val="21"/>
              </w:rPr>
            </w:pPr>
          </w:p>
        </w:tc>
        <w:tc>
          <w:tcPr>
            <w:tcW w:w="1104" w:type="dxa"/>
            <w:vMerge w:val="continue"/>
            <w:tcBorders>
              <w:top w:val="nil"/>
            </w:tcBorders>
            <w:vAlign w:val="top"/>
          </w:tcPr>
          <w:p w14:paraId="2D92C838">
            <w:pPr>
              <w:rPr>
                <w:rFonts w:ascii="Arial"/>
                <w:sz w:val="21"/>
              </w:rPr>
            </w:pPr>
          </w:p>
        </w:tc>
        <w:tc>
          <w:tcPr>
            <w:tcW w:w="8549" w:type="dxa"/>
            <w:vMerge w:val="continue"/>
            <w:tcBorders>
              <w:top w:val="nil"/>
            </w:tcBorders>
            <w:vAlign w:val="top"/>
          </w:tcPr>
          <w:p w14:paraId="172EF3A4">
            <w:pPr>
              <w:rPr>
                <w:rFonts w:ascii="Arial"/>
                <w:sz w:val="21"/>
              </w:rPr>
            </w:pPr>
          </w:p>
        </w:tc>
        <w:tc>
          <w:tcPr>
            <w:tcW w:w="1014" w:type="dxa"/>
            <w:vAlign w:val="top"/>
          </w:tcPr>
          <w:p w14:paraId="47FBC021">
            <w:pPr>
              <w:pStyle w:val="8"/>
              <w:spacing w:before="81" w:line="219" w:lineRule="auto"/>
              <w:ind w:left="158"/>
            </w:pPr>
            <w:r>
              <w:rPr>
                <w:b/>
                <w:bCs/>
                <w:spacing w:val="-5"/>
              </w:rPr>
              <w:t>责任部门</w:t>
            </w:r>
          </w:p>
        </w:tc>
        <w:tc>
          <w:tcPr>
            <w:tcW w:w="1407" w:type="dxa"/>
            <w:vAlign w:val="top"/>
          </w:tcPr>
          <w:p w14:paraId="136091AE">
            <w:pPr>
              <w:pStyle w:val="8"/>
              <w:spacing w:before="81" w:line="219" w:lineRule="auto"/>
              <w:ind w:left="167"/>
            </w:pPr>
            <w:r>
              <w:rPr>
                <w:b/>
                <w:bCs/>
                <w:spacing w:val="-3"/>
              </w:rPr>
              <w:t>第一责任层级</w:t>
            </w:r>
          </w:p>
        </w:tc>
        <w:tc>
          <w:tcPr>
            <w:tcW w:w="1018" w:type="dxa"/>
            <w:vAlign w:val="top"/>
          </w:tcPr>
          <w:p w14:paraId="3AB82E41">
            <w:pPr>
              <w:pStyle w:val="8"/>
              <w:spacing w:before="81" w:line="219" w:lineRule="auto"/>
              <w:ind w:left="152"/>
            </w:pPr>
            <w:r>
              <w:rPr>
                <w:b/>
                <w:bCs/>
                <w:spacing w:val="-4"/>
              </w:rPr>
              <w:t>承办机构</w:t>
            </w:r>
          </w:p>
        </w:tc>
      </w:tr>
      <w:tr w14:paraId="348B3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4" w:type="dxa"/>
            <w:vAlign w:val="top"/>
          </w:tcPr>
          <w:p w14:paraId="78C92315">
            <w:pPr>
              <w:rPr>
                <w:rFonts w:ascii="Arial"/>
                <w:sz w:val="21"/>
              </w:rPr>
            </w:pPr>
          </w:p>
        </w:tc>
        <w:tc>
          <w:tcPr>
            <w:tcW w:w="1104" w:type="dxa"/>
            <w:vAlign w:val="top"/>
          </w:tcPr>
          <w:p w14:paraId="4C8CA827">
            <w:pPr>
              <w:rPr>
                <w:rFonts w:ascii="Arial"/>
                <w:sz w:val="21"/>
              </w:rPr>
            </w:pPr>
          </w:p>
        </w:tc>
        <w:tc>
          <w:tcPr>
            <w:tcW w:w="1104" w:type="dxa"/>
            <w:vAlign w:val="top"/>
          </w:tcPr>
          <w:p w14:paraId="2A40AFA3">
            <w:pPr>
              <w:rPr>
                <w:rFonts w:ascii="Arial"/>
                <w:sz w:val="21"/>
              </w:rPr>
            </w:pPr>
          </w:p>
        </w:tc>
        <w:tc>
          <w:tcPr>
            <w:tcW w:w="8549" w:type="dxa"/>
            <w:vAlign w:val="top"/>
          </w:tcPr>
          <w:p w14:paraId="07C05322">
            <w:pPr>
              <w:pStyle w:val="8"/>
              <w:spacing w:before="38" w:line="219" w:lineRule="auto"/>
              <w:ind w:left="563"/>
            </w:pPr>
            <w:r>
              <w:rPr>
                <w:b/>
                <w:bCs/>
                <w:spacing w:val="-3"/>
              </w:rPr>
              <w:t>3.《公路建设市场管理办法》（交通运输部令</w:t>
            </w:r>
            <w:r>
              <w:rPr>
                <w:spacing w:val="-35"/>
              </w:rPr>
              <w:t xml:space="preserve"> </w:t>
            </w:r>
            <w:r>
              <w:rPr>
                <w:b/>
                <w:bCs/>
                <w:spacing w:val="-4"/>
              </w:rPr>
              <w:t>2015</w:t>
            </w:r>
            <w:r>
              <w:rPr>
                <w:spacing w:val="-38"/>
              </w:rPr>
              <w:t xml:space="preserve"> </w:t>
            </w:r>
            <w:r>
              <w:rPr>
                <w:b/>
                <w:bCs/>
                <w:spacing w:val="-4"/>
              </w:rPr>
              <w:t>年第</w:t>
            </w:r>
            <w:r>
              <w:rPr>
                <w:spacing w:val="-24"/>
              </w:rPr>
              <w:t xml:space="preserve"> </w:t>
            </w:r>
            <w:r>
              <w:rPr>
                <w:b/>
                <w:bCs/>
                <w:spacing w:val="-4"/>
              </w:rPr>
              <w:t>11</w:t>
            </w:r>
            <w:r>
              <w:rPr>
                <w:spacing w:val="-32"/>
              </w:rPr>
              <w:t xml:space="preserve"> </w:t>
            </w:r>
            <w:r>
              <w:rPr>
                <w:b/>
                <w:bCs/>
                <w:spacing w:val="-4"/>
              </w:rPr>
              <w:t>号）</w:t>
            </w:r>
          </w:p>
          <w:p w14:paraId="11682888">
            <w:pPr>
              <w:pStyle w:val="8"/>
              <w:spacing w:before="25" w:line="233" w:lineRule="auto"/>
              <w:ind w:left="111" w:right="159" w:firstLine="360"/>
            </w:pPr>
            <w:r>
              <w:t>第五十条  投标人以他人名义投标或者以其他方式弄虚作假，骗取中标的，中标</w:t>
            </w:r>
            <w:r>
              <w:rPr>
                <w:spacing w:val="-1"/>
              </w:rPr>
              <w:t>无效，给招标人造成</w:t>
            </w:r>
            <w:r>
              <w:t xml:space="preserve"> </w:t>
            </w:r>
            <w:r>
              <w:rPr>
                <w:spacing w:val="-1"/>
              </w:rPr>
              <w:t>损失的，依法承担赔偿责任；构成犯罪的，依法追究</w:t>
            </w:r>
            <w:r>
              <w:rPr>
                <w:spacing w:val="-2"/>
              </w:rPr>
              <w:t>刑事责任。</w:t>
            </w:r>
          </w:p>
          <w:p w14:paraId="573DA107">
            <w:pPr>
              <w:pStyle w:val="8"/>
              <w:spacing w:before="25" w:line="235" w:lineRule="auto"/>
              <w:ind w:left="111" w:right="159" w:firstLine="361"/>
            </w:pPr>
            <w:r>
              <w:rPr>
                <w:spacing w:val="-1"/>
              </w:rPr>
              <w:t>依法必须进行招标的项目的投标人有前款所列行为尚未构成犯罪的，处中标项目金额</w:t>
            </w:r>
            <w:r>
              <w:rPr>
                <w:spacing w:val="-31"/>
              </w:rPr>
              <w:t xml:space="preserve"> </w:t>
            </w:r>
            <w:r>
              <w:rPr>
                <w:spacing w:val="-1"/>
              </w:rPr>
              <w:t>5‰以上</w:t>
            </w:r>
            <w:r>
              <w:rPr>
                <w:spacing w:val="-24"/>
              </w:rPr>
              <w:t xml:space="preserve"> </w:t>
            </w:r>
            <w:r>
              <w:rPr>
                <w:spacing w:val="-1"/>
              </w:rPr>
              <w:t>10‰以</w:t>
            </w:r>
            <w:r>
              <w:t xml:space="preserve"> </w:t>
            </w:r>
            <w:r>
              <w:rPr>
                <w:spacing w:val="-1"/>
              </w:rPr>
              <w:t>下的罚款，对单位直接负责的主管人员和其他直接责任人员处单位罚款数额</w:t>
            </w:r>
            <w:r>
              <w:rPr>
                <w:spacing w:val="-24"/>
              </w:rPr>
              <w:t xml:space="preserve"> </w:t>
            </w:r>
            <w:r>
              <w:rPr>
                <w:spacing w:val="-1"/>
              </w:rPr>
              <w:t>5%以上</w:t>
            </w:r>
            <w:r>
              <w:rPr>
                <w:spacing w:val="-27"/>
              </w:rPr>
              <w:t xml:space="preserve"> </w:t>
            </w:r>
            <w:r>
              <w:rPr>
                <w:spacing w:val="-1"/>
              </w:rPr>
              <w:t>10%以下的罚款；有违</w:t>
            </w:r>
            <w:r>
              <w:t xml:space="preserve"> </w:t>
            </w:r>
            <w:r>
              <w:rPr>
                <w:spacing w:val="-1"/>
              </w:rPr>
              <w:t>法所得的，并处没收违法所得；情节严重的，取消其</w:t>
            </w:r>
            <w:r>
              <w:rPr>
                <w:spacing w:val="-24"/>
              </w:rPr>
              <w:t xml:space="preserve"> </w:t>
            </w:r>
            <w:r>
              <w:rPr>
                <w:spacing w:val="-1"/>
              </w:rPr>
              <w:t>1</w:t>
            </w:r>
            <w:r>
              <w:rPr>
                <w:spacing w:val="-38"/>
              </w:rPr>
              <w:t xml:space="preserve"> </w:t>
            </w:r>
            <w:r>
              <w:rPr>
                <w:spacing w:val="-1"/>
              </w:rPr>
              <w:t>年至</w:t>
            </w:r>
            <w:r>
              <w:rPr>
                <w:spacing w:val="-34"/>
              </w:rPr>
              <w:t xml:space="preserve"> </w:t>
            </w:r>
            <w:r>
              <w:rPr>
                <w:spacing w:val="-1"/>
              </w:rPr>
              <w:t>3</w:t>
            </w:r>
            <w:r>
              <w:rPr>
                <w:spacing w:val="-38"/>
              </w:rPr>
              <w:t xml:space="preserve"> </w:t>
            </w:r>
            <w:r>
              <w:rPr>
                <w:spacing w:val="-1"/>
              </w:rPr>
              <w:t>年内参加依法必须进行</w:t>
            </w:r>
            <w:r>
              <w:rPr>
                <w:spacing w:val="-2"/>
              </w:rPr>
              <w:t>招标的项目的投标资</w:t>
            </w:r>
            <w:r>
              <w:t xml:space="preserve"> </w:t>
            </w:r>
            <w:r>
              <w:rPr>
                <w:spacing w:val="-5"/>
              </w:rPr>
              <w:t>格并予以公告。</w:t>
            </w:r>
          </w:p>
        </w:tc>
        <w:tc>
          <w:tcPr>
            <w:tcW w:w="1014" w:type="dxa"/>
            <w:vAlign w:val="top"/>
          </w:tcPr>
          <w:p w14:paraId="27489BAA">
            <w:pPr>
              <w:rPr>
                <w:rFonts w:ascii="Arial"/>
                <w:sz w:val="21"/>
              </w:rPr>
            </w:pPr>
          </w:p>
        </w:tc>
        <w:tc>
          <w:tcPr>
            <w:tcW w:w="1407" w:type="dxa"/>
            <w:vAlign w:val="top"/>
          </w:tcPr>
          <w:p w14:paraId="07116973">
            <w:pPr>
              <w:rPr>
                <w:rFonts w:ascii="Arial"/>
                <w:sz w:val="21"/>
              </w:rPr>
            </w:pPr>
          </w:p>
        </w:tc>
        <w:tc>
          <w:tcPr>
            <w:tcW w:w="1018" w:type="dxa"/>
            <w:vAlign w:val="top"/>
          </w:tcPr>
          <w:p w14:paraId="07D596AF">
            <w:pPr>
              <w:rPr>
                <w:rFonts w:ascii="Arial"/>
                <w:sz w:val="21"/>
              </w:rPr>
            </w:pPr>
          </w:p>
        </w:tc>
      </w:tr>
      <w:tr w14:paraId="6D7EA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4" w:hRule="atLeast"/>
        </w:trPr>
        <w:tc>
          <w:tcPr>
            <w:tcW w:w="624" w:type="dxa"/>
            <w:vAlign w:val="top"/>
          </w:tcPr>
          <w:p w14:paraId="7F6D885D">
            <w:pPr>
              <w:spacing w:line="294" w:lineRule="auto"/>
              <w:rPr>
                <w:rFonts w:ascii="Arial"/>
                <w:sz w:val="21"/>
              </w:rPr>
            </w:pPr>
          </w:p>
          <w:p w14:paraId="7D53189B">
            <w:pPr>
              <w:spacing w:line="294" w:lineRule="auto"/>
              <w:rPr>
                <w:rFonts w:ascii="Arial"/>
                <w:sz w:val="21"/>
              </w:rPr>
            </w:pPr>
          </w:p>
          <w:p w14:paraId="443999B1">
            <w:pPr>
              <w:spacing w:line="294" w:lineRule="auto"/>
              <w:rPr>
                <w:rFonts w:ascii="Arial"/>
                <w:sz w:val="21"/>
              </w:rPr>
            </w:pPr>
          </w:p>
          <w:p w14:paraId="1EDB3A81">
            <w:pPr>
              <w:spacing w:line="294" w:lineRule="auto"/>
              <w:rPr>
                <w:rFonts w:ascii="Arial"/>
                <w:sz w:val="21"/>
              </w:rPr>
            </w:pPr>
          </w:p>
          <w:p w14:paraId="651E5101">
            <w:pPr>
              <w:pStyle w:val="8"/>
              <w:spacing w:before="59" w:line="184" w:lineRule="auto"/>
              <w:ind w:left="244"/>
            </w:pPr>
            <w:r>
              <w:rPr>
                <w:spacing w:val="-11"/>
              </w:rPr>
              <w:t>13</w:t>
            </w:r>
          </w:p>
        </w:tc>
        <w:tc>
          <w:tcPr>
            <w:tcW w:w="1104" w:type="dxa"/>
            <w:vAlign w:val="top"/>
          </w:tcPr>
          <w:p w14:paraId="0D58B0B0">
            <w:pPr>
              <w:pStyle w:val="8"/>
              <w:spacing w:before="257" w:line="243" w:lineRule="auto"/>
              <w:ind w:left="60" w:right="10"/>
              <w:jc w:val="both"/>
            </w:pPr>
            <w:r>
              <w:rPr>
                <w:spacing w:val="16"/>
              </w:rPr>
              <w:t>对交通运输</w:t>
            </w:r>
            <w:r>
              <w:rPr>
                <w:spacing w:val="1"/>
              </w:rPr>
              <w:t xml:space="preserve"> </w:t>
            </w:r>
            <w:r>
              <w:rPr>
                <w:spacing w:val="16"/>
              </w:rPr>
              <w:t>领域依法必</w:t>
            </w:r>
            <w:r>
              <w:t xml:space="preserve"> </w:t>
            </w:r>
            <w:r>
              <w:rPr>
                <w:spacing w:val="16"/>
              </w:rPr>
              <w:t>须进行招标</w:t>
            </w:r>
            <w:r>
              <w:t xml:space="preserve"> </w:t>
            </w:r>
            <w:r>
              <w:rPr>
                <w:spacing w:val="-17"/>
              </w:rPr>
              <w:t>的项目，招标</w:t>
            </w:r>
            <w:r>
              <w:rPr>
                <w:spacing w:val="2"/>
              </w:rPr>
              <w:t xml:space="preserve"> </w:t>
            </w:r>
            <w:r>
              <w:rPr>
                <w:spacing w:val="-9"/>
              </w:rPr>
              <w:t>人违反规定，</w:t>
            </w:r>
            <w:r>
              <w:t xml:space="preserve"> </w:t>
            </w:r>
            <w:r>
              <w:rPr>
                <w:spacing w:val="16"/>
              </w:rPr>
              <w:t>与投标人就</w:t>
            </w:r>
            <w:r>
              <w:t xml:space="preserve"> </w:t>
            </w:r>
            <w:r>
              <w:rPr>
                <w:spacing w:val="5"/>
              </w:rPr>
              <w:t>实质</w:t>
            </w:r>
            <w:r>
              <w:rPr>
                <w:spacing w:val="-35"/>
              </w:rPr>
              <w:t xml:space="preserve"> </w:t>
            </w:r>
            <w:r>
              <w:rPr>
                <w:spacing w:val="5"/>
              </w:rPr>
              <w:t>内容进</w:t>
            </w:r>
            <w:r>
              <w:t xml:space="preserve"> </w:t>
            </w:r>
            <w:r>
              <w:rPr>
                <w:spacing w:val="16"/>
              </w:rPr>
              <w:t>行谈判行为</w:t>
            </w:r>
            <w:r>
              <w:t xml:space="preserve"> </w:t>
            </w:r>
            <w:r>
              <w:rPr>
                <w:spacing w:val="-2"/>
              </w:rPr>
              <w:t>的行政处罚</w:t>
            </w:r>
          </w:p>
        </w:tc>
        <w:tc>
          <w:tcPr>
            <w:tcW w:w="1104" w:type="dxa"/>
            <w:vAlign w:val="top"/>
          </w:tcPr>
          <w:p w14:paraId="63FC007B">
            <w:pPr>
              <w:spacing w:line="287" w:lineRule="auto"/>
              <w:rPr>
                <w:rFonts w:ascii="Arial"/>
                <w:sz w:val="21"/>
              </w:rPr>
            </w:pPr>
          </w:p>
          <w:p w14:paraId="6EA97225">
            <w:pPr>
              <w:spacing w:line="287" w:lineRule="auto"/>
              <w:rPr>
                <w:rFonts w:ascii="Arial"/>
                <w:sz w:val="21"/>
              </w:rPr>
            </w:pPr>
          </w:p>
          <w:p w14:paraId="310DACB8">
            <w:pPr>
              <w:spacing w:line="287" w:lineRule="auto"/>
              <w:rPr>
                <w:rFonts w:ascii="Arial"/>
                <w:sz w:val="21"/>
              </w:rPr>
            </w:pPr>
          </w:p>
          <w:p w14:paraId="66443C55">
            <w:pPr>
              <w:spacing w:line="288" w:lineRule="auto"/>
              <w:rPr>
                <w:rFonts w:ascii="Arial"/>
                <w:sz w:val="21"/>
              </w:rPr>
            </w:pPr>
          </w:p>
          <w:p w14:paraId="4896B51A">
            <w:pPr>
              <w:pStyle w:val="8"/>
              <w:spacing w:before="59" w:line="220" w:lineRule="auto"/>
              <w:ind w:left="10"/>
            </w:pPr>
            <w:r>
              <w:rPr>
                <w:spacing w:val="-2"/>
              </w:rPr>
              <w:t>行政处罚</w:t>
            </w:r>
          </w:p>
        </w:tc>
        <w:tc>
          <w:tcPr>
            <w:tcW w:w="8549" w:type="dxa"/>
            <w:vAlign w:val="top"/>
          </w:tcPr>
          <w:p w14:paraId="5FFDF4E4">
            <w:pPr>
              <w:spacing w:line="336" w:lineRule="auto"/>
              <w:rPr>
                <w:rFonts w:ascii="Arial"/>
                <w:sz w:val="21"/>
              </w:rPr>
            </w:pPr>
          </w:p>
          <w:p w14:paraId="2E3F0B04">
            <w:pPr>
              <w:spacing w:line="336" w:lineRule="auto"/>
              <w:rPr>
                <w:rFonts w:ascii="Arial"/>
                <w:sz w:val="21"/>
              </w:rPr>
            </w:pPr>
          </w:p>
          <w:p w14:paraId="3886833A">
            <w:pPr>
              <w:pStyle w:val="8"/>
              <w:spacing w:before="59" w:line="219" w:lineRule="auto"/>
              <w:ind w:left="476"/>
            </w:pPr>
            <w:r>
              <w:rPr>
                <w:b/>
                <w:bCs/>
                <w:spacing w:val="-3"/>
              </w:rPr>
              <w:t>《中华人民共和国招标投标法》</w:t>
            </w:r>
          </w:p>
          <w:p w14:paraId="661CE5DC">
            <w:pPr>
              <w:pStyle w:val="8"/>
              <w:spacing w:before="26" w:line="218" w:lineRule="auto"/>
              <w:ind w:left="471"/>
            </w:pPr>
            <w:r>
              <w:rPr>
                <w:spacing w:val="-1"/>
              </w:rPr>
              <w:t>第四十三条  在确定中标人前，招标人不得与投标人就投标价格、投标方案等实质性内容进行谈判。</w:t>
            </w:r>
          </w:p>
          <w:p w14:paraId="0FDF8CE7">
            <w:pPr>
              <w:pStyle w:val="8"/>
              <w:spacing w:before="27" w:line="232" w:lineRule="auto"/>
              <w:ind w:left="111" w:right="159" w:firstLine="359"/>
            </w:pPr>
            <w:r>
              <w:t>第五十五条  依法必须进行招标的项目，招标人违反本法规定，与投标人就投标</w:t>
            </w:r>
            <w:r>
              <w:rPr>
                <w:spacing w:val="-1"/>
              </w:rPr>
              <w:t>价格、投标方案等实</w:t>
            </w:r>
            <w:r>
              <w:t xml:space="preserve"> </w:t>
            </w:r>
            <w:r>
              <w:rPr>
                <w:spacing w:val="-1"/>
              </w:rPr>
              <w:t>质性内容进行谈判的，给予警告，对单位直接负责的主管人员和其他直接责任人员依法给予处分。</w:t>
            </w:r>
          </w:p>
          <w:p w14:paraId="6A83521C">
            <w:pPr>
              <w:pStyle w:val="8"/>
              <w:spacing w:before="27" w:line="220" w:lineRule="auto"/>
              <w:ind w:left="474"/>
            </w:pPr>
            <w:r>
              <w:rPr>
                <w:spacing w:val="-3"/>
              </w:rPr>
              <w:t>前款所列行为影响中标结果的，中标无效。</w:t>
            </w:r>
          </w:p>
        </w:tc>
        <w:tc>
          <w:tcPr>
            <w:tcW w:w="1014" w:type="dxa"/>
            <w:vAlign w:val="top"/>
          </w:tcPr>
          <w:p w14:paraId="3E615335">
            <w:pPr>
              <w:spacing w:line="257" w:lineRule="auto"/>
              <w:rPr>
                <w:rFonts w:ascii="Arial"/>
                <w:sz w:val="21"/>
              </w:rPr>
            </w:pPr>
          </w:p>
          <w:p w14:paraId="029E99F5">
            <w:pPr>
              <w:spacing w:line="257" w:lineRule="auto"/>
              <w:rPr>
                <w:rFonts w:ascii="Arial"/>
                <w:sz w:val="21"/>
              </w:rPr>
            </w:pPr>
          </w:p>
          <w:p w14:paraId="40561075">
            <w:pPr>
              <w:spacing w:line="258" w:lineRule="auto"/>
              <w:rPr>
                <w:rFonts w:ascii="Arial"/>
                <w:sz w:val="21"/>
              </w:rPr>
            </w:pPr>
          </w:p>
          <w:p w14:paraId="65A0A9C7">
            <w:pPr>
              <w:spacing w:line="258" w:lineRule="auto"/>
              <w:rPr>
                <w:rFonts w:ascii="Arial"/>
                <w:sz w:val="21"/>
              </w:rPr>
            </w:pPr>
          </w:p>
          <w:p w14:paraId="31279A1B">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689A4047">
            <w:pPr>
              <w:spacing w:line="257" w:lineRule="auto"/>
              <w:rPr>
                <w:rFonts w:ascii="Arial"/>
                <w:sz w:val="21"/>
              </w:rPr>
            </w:pPr>
          </w:p>
          <w:p w14:paraId="4B357131">
            <w:pPr>
              <w:spacing w:line="257" w:lineRule="auto"/>
              <w:rPr>
                <w:rFonts w:ascii="Arial"/>
                <w:sz w:val="21"/>
              </w:rPr>
            </w:pPr>
          </w:p>
          <w:p w14:paraId="254959EC">
            <w:pPr>
              <w:spacing w:line="258" w:lineRule="auto"/>
              <w:rPr>
                <w:rFonts w:ascii="Arial"/>
                <w:sz w:val="21"/>
              </w:rPr>
            </w:pPr>
          </w:p>
          <w:p w14:paraId="038BFE1F">
            <w:pPr>
              <w:spacing w:line="258" w:lineRule="auto"/>
              <w:rPr>
                <w:rFonts w:ascii="Arial"/>
                <w:sz w:val="21"/>
              </w:rPr>
            </w:pPr>
          </w:p>
          <w:p w14:paraId="733C2FC9">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D589777">
            <w:pPr>
              <w:spacing w:line="264" w:lineRule="auto"/>
              <w:rPr>
                <w:rFonts w:ascii="Arial"/>
                <w:sz w:val="21"/>
              </w:rPr>
            </w:pPr>
          </w:p>
          <w:p w14:paraId="5A7FFB07">
            <w:pPr>
              <w:spacing w:line="264" w:lineRule="auto"/>
              <w:rPr>
                <w:rFonts w:ascii="Arial"/>
                <w:sz w:val="21"/>
              </w:rPr>
            </w:pPr>
          </w:p>
          <w:p w14:paraId="6299EA7B">
            <w:pPr>
              <w:spacing w:line="265" w:lineRule="auto"/>
              <w:rPr>
                <w:rFonts w:ascii="Arial"/>
                <w:sz w:val="21"/>
              </w:rPr>
            </w:pPr>
          </w:p>
          <w:p w14:paraId="06D5398C">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5782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8" w:hRule="atLeast"/>
        </w:trPr>
        <w:tc>
          <w:tcPr>
            <w:tcW w:w="624" w:type="dxa"/>
            <w:vAlign w:val="top"/>
          </w:tcPr>
          <w:p w14:paraId="23C74CE8">
            <w:pPr>
              <w:spacing w:line="243" w:lineRule="auto"/>
              <w:rPr>
                <w:rFonts w:ascii="Arial"/>
                <w:sz w:val="21"/>
              </w:rPr>
            </w:pPr>
          </w:p>
          <w:p w14:paraId="4D08B721">
            <w:pPr>
              <w:spacing w:line="243" w:lineRule="auto"/>
              <w:rPr>
                <w:rFonts w:ascii="Arial"/>
                <w:sz w:val="21"/>
              </w:rPr>
            </w:pPr>
          </w:p>
          <w:p w14:paraId="3F36FC90">
            <w:pPr>
              <w:spacing w:line="243" w:lineRule="auto"/>
              <w:rPr>
                <w:rFonts w:ascii="Arial"/>
                <w:sz w:val="21"/>
              </w:rPr>
            </w:pPr>
          </w:p>
          <w:p w14:paraId="7BFF7FC1">
            <w:pPr>
              <w:spacing w:line="243" w:lineRule="auto"/>
              <w:rPr>
                <w:rFonts w:ascii="Arial"/>
                <w:sz w:val="21"/>
              </w:rPr>
            </w:pPr>
          </w:p>
          <w:p w14:paraId="3F389F5E">
            <w:pPr>
              <w:spacing w:line="243" w:lineRule="auto"/>
              <w:rPr>
                <w:rFonts w:ascii="Arial"/>
                <w:sz w:val="21"/>
              </w:rPr>
            </w:pPr>
          </w:p>
          <w:p w14:paraId="31AA5BD8">
            <w:pPr>
              <w:spacing w:line="243" w:lineRule="auto"/>
              <w:rPr>
                <w:rFonts w:ascii="Arial"/>
                <w:sz w:val="21"/>
              </w:rPr>
            </w:pPr>
          </w:p>
          <w:p w14:paraId="04349A4D">
            <w:pPr>
              <w:spacing w:line="243" w:lineRule="auto"/>
              <w:rPr>
                <w:rFonts w:ascii="Arial"/>
                <w:sz w:val="21"/>
              </w:rPr>
            </w:pPr>
          </w:p>
          <w:p w14:paraId="04613C30">
            <w:pPr>
              <w:spacing w:line="243" w:lineRule="auto"/>
              <w:rPr>
                <w:rFonts w:ascii="Arial"/>
                <w:sz w:val="21"/>
              </w:rPr>
            </w:pPr>
          </w:p>
          <w:p w14:paraId="79292F7F">
            <w:pPr>
              <w:spacing w:line="244" w:lineRule="auto"/>
              <w:rPr>
                <w:rFonts w:ascii="Arial"/>
                <w:sz w:val="21"/>
              </w:rPr>
            </w:pPr>
          </w:p>
          <w:p w14:paraId="5727B496">
            <w:pPr>
              <w:pStyle w:val="8"/>
              <w:spacing w:before="58" w:line="184" w:lineRule="auto"/>
              <w:ind w:left="244"/>
            </w:pPr>
            <w:r>
              <w:rPr>
                <w:spacing w:val="-11"/>
              </w:rPr>
              <w:t>14</w:t>
            </w:r>
          </w:p>
        </w:tc>
        <w:tc>
          <w:tcPr>
            <w:tcW w:w="1104" w:type="dxa"/>
            <w:vAlign w:val="top"/>
          </w:tcPr>
          <w:p w14:paraId="6B497232">
            <w:pPr>
              <w:spacing w:line="241" w:lineRule="auto"/>
              <w:rPr>
                <w:rFonts w:ascii="Arial"/>
                <w:sz w:val="21"/>
              </w:rPr>
            </w:pPr>
          </w:p>
          <w:p w14:paraId="4AF22535">
            <w:pPr>
              <w:spacing w:line="241" w:lineRule="auto"/>
              <w:rPr>
                <w:rFonts w:ascii="Arial"/>
                <w:sz w:val="21"/>
              </w:rPr>
            </w:pPr>
          </w:p>
          <w:p w14:paraId="6676C441">
            <w:pPr>
              <w:spacing w:line="241" w:lineRule="auto"/>
              <w:rPr>
                <w:rFonts w:ascii="Arial"/>
                <w:sz w:val="21"/>
              </w:rPr>
            </w:pPr>
          </w:p>
          <w:p w14:paraId="3667FC20">
            <w:pPr>
              <w:spacing w:line="241" w:lineRule="auto"/>
              <w:rPr>
                <w:rFonts w:ascii="Arial"/>
                <w:sz w:val="21"/>
              </w:rPr>
            </w:pPr>
          </w:p>
          <w:p w14:paraId="7435D648">
            <w:pPr>
              <w:spacing w:line="242" w:lineRule="auto"/>
              <w:rPr>
                <w:rFonts w:ascii="Arial"/>
                <w:sz w:val="21"/>
              </w:rPr>
            </w:pPr>
          </w:p>
          <w:p w14:paraId="0E58C849">
            <w:pPr>
              <w:pStyle w:val="8"/>
              <w:spacing w:before="59" w:line="243" w:lineRule="auto"/>
              <w:ind w:left="60" w:right="10"/>
              <w:jc w:val="both"/>
            </w:pPr>
            <w:r>
              <w:rPr>
                <w:spacing w:val="16"/>
              </w:rPr>
              <w:t>对收受交通</w:t>
            </w:r>
            <w:r>
              <w:rPr>
                <w:spacing w:val="1"/>
              </w:rPr>
              <w:t xml:space="preserve"> </w:t>
            </w:r>
            <w:r>
              <w:rPr>
                <w:spacing w:val="16"/>
              </w:rPr>
              <w:t>运输领域建</w:t>
            </w:r>
            <w:r>
              <w:t xml:space="preserve"> </w:t>
            </w:r>
            <w:r>
              <w:rPr>
                <w:spacing w:val="16"/>
              </w:rPr>
              <w:t>设工程项目</w:t>
            </w:r>
            <w:r>
              <w:t xml:space="preserve"> </w:t>
            </w:r>
            <w:r>
              <w:rPr>
                <w:spacing w:val="-9"/>
              </w:rPr>
              <w:t>投标人好处，</w:t>
            </w:r>
            <w:r>
              <w:t xml:space="preserve"> </w:t>
            </w:r>
            <w:r>
              <w:rPr>
                <w:spacing w:val="16"/>
              </w:rPr>
              <w:t>或透露信息</w:t>
            </w:r>
            <w:r>
              <w:t xml:space="preserve"> </w:t>
            </w:r>
            <w:r>
              <w:rPr>
                <w:spacing w:val="7"/>
              </w:rPr>
              <w:t>行为</w:t>
            </w:r>
            <w:r>
              <w:rPr>
                <w:spacing w:val="-45"/>
              </w:rPr>
              <w:t xml:space="preserve"> </w:t>
            </w:r>
            <w:r>
              <w:rPr>
                <w:spacing w:val="7"/>
              </w:rPr>
              <w:t>的行政</w:t>
            </w:r>
            <w:r>
              <w:t xml:space="preserve"> </w:t>
            </w:r>
            <w:r>
              <w:rPr>
                <w:spacing w:val="-2"/>
              </w:rPr>
              <w:t>处罚</w:t>
            </w:r>
          </w:p>
        </w:tc>
        <w:tc>
          <w:tcPr>
            <w:tcW w:w="1104" w:type="dxa"/>
            <w:vAlign w:val="top"/>
          </w:tcPr>
          <w:p w14:paraId="4D9767B5">
            <w:pPr>
              <w:rPr>
                <w:rFonts w:ascii="Arial"/>
                <w:sz w:val="21"/>
              </w:rPr>
            </w:pPr>
          </w:p>
          <w:p w14:paraId="3EA9A4AF">
            <w:pPr>
              <w:rPr>
                <w:rFonts w:ascii="Arial"/>
                <w:sz w:val="21"/>
              </w:rPr>
            </w:pPr>
          </w:p>
          <w:p w14:paraId="0F8F5FEF">
            <w:pPr>
              <w:rPr>
                <w:rFonts w:ascii="Arial"/>
                <w:sz w:val="21"/>
              </w:rPr>
            </w:pPr>
          </w:p>
          <w:p w14:paraId="68184C5F">
            <w:pPr>
              <w:rPr>
                <w:rFonts w:ascii="Arial"/>
                <w:sz w:val="21"/>
              </w:rPr>
            </w:pPr>
          </w:p>
          <w:p w14:paraId="487DF38C">
            <w:pPr>
              <w:rPr>
                <w:rFonts w:ascii="Arial"/>
                <w:sz w:val="21"/>
              </w:rPr>
            </w:pPr>
          </w:p>
          <w:p w14:paraId="6A4A2BE5">
            <w:pPr>
              <w:rPr>
                <w:rFonts w:ascii="Arial"/>
                <w:sz w:val="21"/>
              </w:rPr>
            </w:pPr>
          </w:p>
          <w:p w14:paraId="1F757CE6">
            <w:pPr>
              <w:rPr>
                <w:rFonts w:ascii="Arial"/>
                <w:sz w:val="21"/>
              </w:rPr>
            </w:pPr>
          </w:p>
          <w:p w14:paraId="61FB6708">
            <w:pPr>
              <w:rPr>
                <w:rFonts w:ascii="Arial"/>
                <w:sz w:val="21"/>
              </w:rPr>
            </w:pPr>
          </w:p>
          <w:p w14:paraId="70A26875">
            <w:pPr>
              <w:spacing w:line="241" w:lineRule="auto"/>
              <w:rPr>
                <w:rFonts w:ascii="Arial"/>
                <w:sz w:val="21"/>
              </w:rPr>
            </w:pPr>
          </w:p>
          <w:p w14:paraId="30E86100">
            <w:pPr>
              <w:pStyle w:val="8"/>
              <w:spacing w:before="58" w:line="220" w:lineRule="auto"/>
              <w:ind w:left="10"/>
            </w:pPr>
            <w:r>
              <w:rPr>
                <w:spacing w:val="-2"/>
              </w:rPr>
              <w:t>行政处罚</w:t>
            </w:r>
          </w:p>
        </w:tc>
        <w:tc>
          <w:tcPr>
            <w:tcW w:w="8549" w:type="dxa"/>
            <w:vAlign w:val="top"/>
          </w:tcPr>
          <w:p w14:paraId="55255A54">
            <w:pPr>
              <w:pStyle w:val="8"/>
              <w:spacing w:before="193" w:line="219" w:lineRule="auto"/>
              <w:ind w:left="484"/>
            </w:pPr>
            <w:r>
              <w:rPr>
                <w:b/>
                <w:bCs/>
                <w:spacing w:val="-4"/>
              </w:rPr>
              <w:t>1.《中华人民共和国招标投标法》</w:t>
            </w:r>
          </w:p>
          <w:p w14:paraId="7FB03968">
            <w:pPr>
              <w:pStyle w:val="8"/>
              <w:spacing w:before="25" w:line="233" w:lineRule="auto"/>
              <w:ind w:left="111" w:right="159" w:firstLine="360"/>
            </w:pPr>
            <w:r>
              <w:t>第四十四条  评标委员会成员应当客观、公正地履行职务，遵守职业道德，对所</w:t>
            </w:r>
            <w:r>
              <w:rPr>
                <w:spacing w:val="-1"/>
              </w:rPr>
              <w:t>提出的评审意见承担</w:t>
            </w:r>
            <w:r>
              <w:t xml:space="preserve"> </w:t>
            </w:r>
            <w:r>
              <w:rPr>
                <w:spacing w:val="-6"/>
              </w:rPr>
              <w:t>个人责任。</w:t>
            </w:r>
          </w:p>
          <w:p w14:paraId="5CD884E4">
            <w:pPr>
              <w:pStyle w:val="8"/>
              <w:spacing w:before="25" w:line="219" w:lineRule="auto"/>
              <w:ind w:left="470"/>
            </w:pPr>
            <w:r>
              <w:rPr>
                <w:spacing w:val="-1"/>
              </w:rPr>
              <w:t>评标委员会成员不得私下接触投标人，不得收受投标人的财物或者其</w:t>
            </w:r>
            <w:r>
              <w:rPr>
                <w:spacing w:val="-2"/>
              </w:rPr>
              <w:t>他好处。</w:t>
            </w:r>
          </w:p>
          <w:p w14:paraId="21400394">
            <w:pPr>
              <w:pStyle w:val="8"/>
              <w:spacing w:before="27" w:line="233" w:lineRule="auto"/>
              <w:ind w:left="112" w:right="159" w:firstLine="357"/>
            </w:pPr>
            <w:r>
              <w:t>评标委员会成员和参与评标的有关工作人员不得透露对投标文件的评审和比较、中</w:t>
            </w:r>
            <w:r>
              <w:rPr>
                <w:spacing w:val="-1"/>
              </w:rPr>
              <w:t>标候选人的推荐情</w:t>
            </w:r>
            <w:r>
              <w:t xml:space="preserve"> </w:t>
            </w:r>
            <w:r>
              <w:rPr>
                <w:spacing w:val="-3"/>
              </w:rPr>
              <w:t>况以及与评标有关的其他情况。</w:t>
            </w:r>
          </w:p>
          <w:p w14:paraId="1ED1D83F">
            <w:pPr>
              <w:pStyle w:val="8"/>
              <w:spacing w:before="24" w:line="241" w:lineRule="auto"/>
              <w:ind w:left="112" w:right="159" w:firstLine="358"/>
              <w:jc w:val="both"/>
            </w:pPr>
            <w:r>
              <w:t>第五十六条  评标委员会成员收受投标人的财物或者其他好处的，评标委员会成</w:t>
            </w:r>
            <w:r>
              <w:rPr>
                <w:spacing w:val="-1"/>
              </w:rPr>
              <w:t>员或者参加评标的有</w:t>
            </w:r>
            <w:r>
              <w:t xml:space="preserve"> 关工作人员向他人透露对投标文件的评审和比较、中标候选人的推荐以及与评标有</w:t>
            </w:r>
            <w:r>
              <w:rPr>
                <w:spacing w:val="-1"/>
              </w:rPr>
              <w:t>关的其他情况的，给予</w:t>
            </w:r>
            <w:r>
              <w:t xml:space="preserve"> 警告，没收收受的财物，可以并处三千元以上五万元以下的罚款，对有所列违法行</w:t>
            </w:r>
            <w:r>
              <w:rPr>
                <w:spacing w:val="-1"/>
              </w:rPr>
              <w:t>为的评标委员会成员取</w:t>
            </w:r>
            <w:r>
              <w:t xml:space="preserve"> 消担任评标委员会成员的资格，不得再参加任何依法必须进行招标的项目的评标；</w:t>
            </w:r>
            <w:r>
              <w:rPr>
                <w:spacing w:val="-1"/>
              </w:rPr>
              <w:t>构成犯罪的，依法追究</w:t>
            </w:r>
            <w:r>
              <w:t xml:space="preserve"> </w:t>
            </w:r>
            <w:r>
              <w:rPr>
                <w:spacing w:val="-6"/>
              </w:rPr>
              <w:t>刑事责任。</w:t>
            </w:r>
          </w:p>
          <w:p w14:paraId="39880838">
            <w:pPr>
              <w:pStyle w:val="8"/>
              <w:spacing w:before="26" w:line="219" w:lineRule="auto"/>
              <w:ind w:left="473"/>
            </w:pPr>
            <w:r>
              <w:rPr>
                <w:b/>
                <w:bCs/>
                <w:spacing w:val="-3"/>
              </w:rPr>
              <w:t>2.《中华人民共和国招标投标法实施条例》</w:t>
            </w:r>
          </w:p>
          <w:p w14:paraId="50C89666">
            <w:pPr>
              <w:pStyle w:val="8"/>
              <w:spacing w:before="27" w:line="237" w:lineRule="auto"/>
              <w:ind w:left="113" w:right="58" w:firstLine="357"/>
              <w:jc w:val="both"/>
            </w:pPr>
            <w:r>
              <w:rPr>
                <w:spacing w:val="-2"/>
              </w:rPr>
              <w:t>第四十九条第二款  评标委员会成员不得私下接触投标人，不得收受投标人给予的财物或者其他好处，</w:t>
            </w:r>
            <w:r>
              <w:rPr>
                <w:spacing w:val="5"/>
              </w:rPr>
              <w:t xml:space="preserve"> </w:t>
            </w:r>
            <w:r>
              <w:t>不得向招标人征询确定中标人的意向，不得接受任何单位或者个人明示或者暗示</w:t>
            </w:r>
            <w:r>
              <w:rPr>
                <w:spacing w:val="-1"/>
              </w:rPr>
              <w:t>提出的倾向或者排斥特定</w:t>
            </w:r>
            <w:r>
              <w:t xml:space="preserve">  </w:t>
            </w:r>
            <w:r>
              <w:rPr>
                <w:spacing w:val="-1"/>
              </w:rPr>
              <w:t>投标人的要求，不得有其他不客观、不公正</w:t>
            </w:r>
            <w:r>
              <w:rPr>
                <w:spacing w:val="-2"/>
              </w:rPr>
              <w:t>履行职务的行为。</w:t>
            </w:r>
          </w:p>
          <w:p w14:paraId="0B656993">
            <w:pPr>
              <w:pStyle w:val="8"/>
              <w:spacing w:before="26" w:line="237" w:lineRule="auto"/>
              <w:ind w:left="114" w:right="115" w:firstLine="357"/>
              <w:jc w:val="both"/>
            </w:pPr>
            <w:r>
              <w:rPr>
                <w:spacing w:val="-1"/>
              </w:rPr>
              <w:t>第七十二条  评标委员会成员收受投标人的财物或者其他好处的，没收收受的财物，处</w:t>
            </w:r>
            <w:r>
              <w:rPr>
                <w:spacing w:val="-24"/>
              </w:rPr>
              <w:t xml:space="preserve"> </w:t>
            </w:r>
            <w:r>
              <w:rPr>
                <w:spacing w:val="-1"/>
              </w:rPr>
              <w:t>3000</w:t>
            </w:r>
            <w:r>
              <w:rPr>
                <w:spacing w:val="-39"/>
              </w:rPr>
              <w:t xml:space="preserve"> </w:t>
            </w:r>
            <w:r>
              <w:rPr>
                <w:spacing w:val="-1"/>
              </w:rPr>
              <w:t>元以上</w:t>
            </w:r>
            <w:r>
              <w:rPr>
                <w:spacing w:val="-34"/>
              </w:rPr>
              <w:t xml:space="preserve"> </w:t>
            </w:r>
            <w:r>
              <w:rPr>
                <w:spacing w:val="-1"/>
              </w:rPr>
              <w:t>5</w:t>
            </w:r>
            <w:r>
              <w:t xml:space="preserve"> 万元以下的罚款，取消担任评标委员会成员的资格，不得再参加依法必须进行招</w:t>
            </w:r>
            <w:r>
              <w:rPr>
                <w:spacing w:val="-1"/>
              </w:rPr>
              <w:t>标的项目的评标；构成犯</w:t>
            </w:r>
            <w:r>
              <w:t xml:space="preserve"> </w:t>
            </w:r>
            <w:r>
              <w:rPr>
                <w:spacing w:val="-3"/>
              </w:rPr>
              <w:t>罪的，依法追究刑事责任。</w:t>
            </w:r>
          </w:p>
        </w:tc>
        <w:tc>
          <w:tcPr>
            <w:tcW w:w="1014" w:type="dxa"/>
            <w:vAlign w:val="top"/>
          </w:tcPr>
          <w:p w14:paraId="2727ABB0">
            <w:pPr>
              <w:spacing w:line="255" w:lineRule="auto"/>
              <w:rPr>
                <w:rFonts w:ascii="Arial"/>
                <w:sz w:val="21"/>
              </w:rPr>
            </w:pPr>
          </w:p>
          <w:p w14:paraId="191B9FDA">
            <w:pPr>
              <w:spacing w:line="255" w:lineRule="auto"/>
              <w:rPr>
                <w:rFonts w:ascii="Arial"/>
                <w:sz w:val="21"/>
              </w:rPr>
            </w:pPr>
          </w:p>
          <w:p w14:paraId="7E465B24">
            <w:pPr>
              <w:spacing w:line="255" w:lineRule="auto"/>
              <w:rPr>
                <w:rFonts w:ascii="Arial"/>
                <w:sz w:val="21"/>
              </w:rPr>
            </w:pPr>
          </w:p>
          <w:p w14:paraId="07AAFDFE">
            <w:pPr>
              <w:spacing w:line="255" w:lineRule="auto"/>
              <w:rPr>
                <w:rFonts w:ascii="Arial"/>
                <w:sz w:val="21"/>
              </w:rPr>
            </w:pPr>
          </w:p>
          <w:p w14:paraId="78C393C5">
            <w:pPr>
              <w:spacing w:line="255" w:lineRule="auto"/>
              <w:rPr>
                <w:rFonts w:ascii="Arial"/>
                <w:sz w:val="21"/>
              </w:rPr>
            </w:pPr>
          </w:p>
          <w:p w14:paraId="01A19239">
            <w:pPr>
              <w:spacing w:line="255" w:lineRule="auto"/>
              <w:rPr>
                <w:rFonts w:ascii="Arial"/>
                <w:sz w:val="21"/>
              </w:rPr>
            </w:pPr>
          </w:p>
          <w:p w14:paraId="619E87DC">
            <w:pPr>
              <w:spacing w:line="255" w:lineRule="auto"/>
              <w:rPr>
                <w:rFonts w:ascii="Arial"/>
                <w:sz w:val="21"/>
              </w:rPr>
            </w:pPr>
          </w:p>
          <w:p w14:paraId="32BE4EF8">
            <w:pPr>
              <w:spacing w:line="256" w:lineRule="auto"/>
              <w:rPr>
                <w:rFonts w:ascii="Arial"/>
                <w:sz w:val="21"/>
              </w:rPr>
            </w:pPr>
          </w:p>
          <w:p w14:paraId="22B8A992">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0B52E74B">
            <w:pPr>
              <w:spacing w:line="255" w:lineRule="auto"/>
              <w:rPr>
                <w:rFonts w:ascii="Arial"/>
                <w:sz w:val="21"/>
              </w:rPr>
            </w:pPr>
          </w:p>
          <w:p w14:paraId="10C582C7">
            <w:pPr>
              <w:spacing w:line="255" w:lineRule="auto"/>
              <w:rPr>
                <w:rFonts w:ascii="Arial"/>
                <w:sz w:val="21"/>
              </w:rPr>
            </w:pPr>
          </w:p>
          <w:p w14:paraId="0148E1A4">
            <w:pPr>
              <w:spacing w:line="255" w:lineRule="auto"/>
              <w:rPr>
                <w:rFonts w:ascii="Arial"/>
                <w:sz w:val="21"/>
              </w:rPr>
            </w:pPr>
          </w:p>
          <w:p w14:paraId="34EAF4E1">
            <w:pPr>
              <w:spacing w:line="255" w:lineRule="auto"/>
              <w:rPr>
                <w:rFonts w:ascii="Arial"/>
                <w:sz w:val="21"/>
              </w:rPr>
            </w:pPr>
          </w:p>
          <w:p w14:paraId="6B836163">
            <w:pPr>
              <w:spacing w:line="255" w:lineRule="auto"/>
              <w:rPr>
                <w:rFonts w:ascii="Arial"/>
                <w:sz w:val="21"/>
              </w:rPr>
            </w:pPr>
          </w:p>
          <w:p w14:paraId="29F78307">
            <w:pPr>
              <w:spacing w:line="255" w:lineRule="auto"/>
              <w:rPr>
                <w:rFonts w:ascii="Arial"/>
                <w:sz w:val="21"/>
              </w:rPr>
            </w:pPr>
          </w:p>
          <w:p w14:paraId="43D35FF0">
            <w:pPr>
              <w:spacing w:line="255" w:lineRule="auto"/>
              <w:rPr>
                <w:rFonts w:ascii="Arial"/>
                <w:sz w:val="21"/>
              </w:rPr>
            </w:pPr>
          </w:p>
          <w:p w14:paraId="2B035B53">
            <w:pPr>
              <w:spacing w:line="256" w:lineRule="auto"/>
              <w:rPr>
                <w:rFonts w:ascii="Arial"/>
                <w:sz w:val="21"/>
              </w:rPr>
            </w:pPr>
          </w:p>
          <w:p w14:paraId="6F6EC863">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4FFDC3C">
            <w:pPr>
              <w:spacing w:line="257" w:lineRule="auto"/>
              <w:rPr>
                <w:rFonts w:ascii="Arial"/>
                <w:sz w:val="21"/>
              </w:rPr>
            </w:pPr>
          </w:p>
          <w:p w14:paraId="2FAD0F40">
            <w:pPr>
              <w:spacing w:line="257" w:lineRule="auto"/>
              <w:rPr>
                <w:rFonts w:ascii="Arial"/>
                <w:sz w:val="21"/>
              </w:rPr>
            </w:pPr>
          </w:p>
          <w:p w14:paraId="1F31574C">
            <w:pPr>
              <w:spacing w:line="258" w:lineRule="auto"/>
              <w:rPr>
                <w:rFonts w:ascii="Arial"/>
                <w:sz w:val="21"/>
              </w:rPr>
            </w:pPr>
          </w:p>
          <w:p w14:paraId="2CF4D4FE">
            <w:pPr>
              <w:spacing w:line="258" w:lineRule="auto"/>
              <w:rPr>
                <w:rFonts w:ascii="Arial"/>
                <w:sz w:val="21"/>
              </w:rPr>
            </w:pPr>
          </w:p>
          <w:p w14:paraId="060A2BA8">
            <w:pPr>
              <w:spacing w:line="258" w:lineRule="auto"/>
              <w:rPr>
                <w:rFonts w:ascii="Arial"/>
                <w:sz w:val="21"/>
              </w:rPr>
            </w:pPr>
          </w:p>
          <w:p w14:paraId="65341B32">
            <w:pPr>
              <w:spacing w:line="258" w:lineRule="auto"/>
              <w:rPr>
                <w:rFonts w:ascii="Arial"/>
                <w:sz w:val="21"/>
              </w:rPr>
            </w:pPr>
          </w:p>
          <w:p w14:paraId="023CFAD7">
            <w:pPr>
              <w:spacing w:line="258" w:lineRule="auto"/>
              <w:rPr>
                <w:rFonts w:ascii="Arial"/>
                <w:sz w:val="21"/>
              </w:rPr>
            </w:pPr>
          </w:p>
          <w:p w14:paraId="0BE31091">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0B12FA42">
      <w:pPr>
        <w:pStyle w:val="2"/>
        <w:spacing w:line="164" w:lineRule="exact"/>
        <w:rPr>
          <w:sz w:val="14"/>
        </w:rPr>
      </w:pPr>
    </w:p>
    <w:p w14:paraId="60FE80FF">
      <w:pPr>
        <w:spacing w:line="164" w:lineRule="exact"/>
        <w:rPr>
          <w:sz w:val="14"/>
          <w:szCs w:val="14"/>
        </w:rPr>
        <w:sectPr>
          <w:footerReference r:id="rId83" w:type="default"/>
          <w:pgSz w:w="16839" w:h="11906"/>
          <w:pgMar w:top="1012" w:right="991" w:bottom="966" w:left="1021" w:header="0" w:footer="768" w:gutter="0"/>
          <w:cols w:space="720" w:num="1"/>
        </w:sectPr>
      </w:pPr>
    </w:p>
    <w:p w14:paraId="46640C6A">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2AA11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2FA5F3F5">
            <w:pPr>
              <w:pStyle w:val="8"/>
              <w:spacing w:before="267" w:line="221" w:lineRule="auto"/>
              <w:ind w:left="134"/>
            </w:pPr>
            <w:r>
              <w:rPr>
                <w:b/>
                <w:bCs/>
                <w:spacing w:val="-4"/>
              </w:rPr>
              <w:t>序号</w:t>
            </w:r>
          </w:p>
        </w:tc>
        <w:tc>
          <w:tcPr>
            <w:tcW w:w="1104" w:type="dxa"/>
            <w:vMerge w:val="restart"/>
            <w:tcBorders>
              <w:bottom w:val="nil"/>
            </w:tcBorders>
            <w:vAlign w:val="top"/>
          </w:tcPr>
          <w:p w14:paraId="42E3C662">
            <w:pPr>
              <w:pStyle w:val="8"/>
              <w:spacing w:before="260" w:line="220" w:lineRule="auto"/>
              <w:ind w:left="192"/>
            </w:pPr>
            <w:r>
              <w:rPr>
                <w:b/>
                <w:bCs/>
                <w:spacing w:val="-4"/>
              </w:rPr>
              <w:t>事项名称</w:t>
            </w:r>
          </w:p>
        </w:tc>
        <w:tc>
          <w:tcPr>
            <w:tcW w:w="1104" w:type="dxa"/>
            <w:vMerge w:val="restart"/>
            <w:tcBorders>
              <w:bottom w:val="nil"/>
            </w:tcBorders>
            <w:vAlign w:val="top"/>
          </w:tcPr>
          <w:p w14:paraId="3B8F15B0">
            <w:pPr>
              <w:pStyle w:val="8"/>
              <w:spacing w:before="260" w:line="219" w:lineRule="auto"/>
              <w:ind w:left="193"/>
            </w:pPr>
            <w:r>
              <w:rPr>
                <w:b/>
                <w:bCs/>
                <w:spacing w:val="-4"/>
              </w:rPr>
              <w:t>职权类型</w:t>
            </w:r>
          </w:p>
        </w:tc>
        <w:tc>
          <w:tcPr>
            <w:tcW w:w="8549" w:type="dxa"/>
            <w:vMerge w:val="restart"/>
            <w:tcBorders>
              <w:bottom w:val="nil"/>
            </w:tcBorders>
            <w:vAlign w:val="top"/>
          </w:tcPr>
          <w:p w14:paraId="0886118D">
            <w:pPr>
              <w:pStyle w:val="8"/>
              <w:spacing w:before="259" w:line="219" w:lineRule="auto"/>
              <w:ind w:left="3921"/>
            </w:pPr>
            <w:r>
              <w:rPr>
                <w:b/>
                <w:bCs/>
                <w:spacing w:val="-5"/>
              </w:rPr>
              <w:t>实施依据</w:t>
            </w:r>
          </w:p>
        </w:tc>
        <w:tc>
          <w:tcPr>
            <w:tcW w:w="3439" w:type="dxa"/>
            <w:gridSpan w:val="3"/>
            <w:vAlign w:val="top"/>
          </w:tcPr>
          <w:p w14:paraId="661D6BEE">
            <w:pPr>
              <w:pStyle w:val="8"/>
              <w:spacing w:before="85" w:line="220" w:lineRule="auto"/>
              <w:ind w:left="1365"/>
            </w:pPr>
            <w:r>
              <w:rPr>
                <w:b/>
                <w:bCs/>
                <w:spacing w:val="-5"/>
              </w:rPr>
              <w:t>实施主体</w:t>
            </w:r>
          </w:p>
        </w:tc>
      </w:tr>
      <w:tr w14:paraId="6016C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745E5C29">
            <w:pPr>
              <w:rPr>
                <w:rFonts w:ascii="Arial"/>
                <w:sz w:val="21"/>
              </w:rPr>
            </w:pPr>
          </w:p>
        </w:tc>
        <w:tc>
          <w:tcPr>
            <w:tcW w:w="1104" w:type="dxa"/>
            <w:vMerge w:val="continue"/>
            <w:tcBorders>
              <w:top w:val="nil"/>
            </w:tcBorders>
            <w:vAlign w:val="top"/>
          </w:tcPr>
          <w:p w14:paraId="2567CE1B">
            <w:pPr>
              <w:rPr>
                <w:rFonts w:ascii="Arial"/>
                <w:sz w:val="21"/>
              </w:rPr>
            </w:pPr>
          </w:p>
        </w:tc>
        <w:tc>
          <w:tcPr>
            <w:tcW w:w="1104" w:type="dxa"/>
            <w:vMerge w:val="continue"/>
            <w:tcBorders>
              <w:top w:val="nil"/>
            </w:tcBorders>
            <w:vAlign w:val="top"/>
          </w:tcPr>
          <w:p w14:paraId="1489236D">
            <w:pPr>
              <w:rPr>
                <w:rFonts w:ascii="Arial"/>
                <w:sz w:val="21"/>
              </w:rPr>
            </w:pPr>
          </w:p>
        </w:tc>
        <w:tc>
          <w:tcPr>
            <w:tcW w:w="8549" w:type="dxa"/>
            <w:vMerge w:val="continue"/>
            <w:tcBorders>
              <w:top w:val="nil"/>
            </w:tcBorders>
            <w:vAlign w:val="top"/>
          </w:tcPr>
          <w:p w14:paraId="694D7D77">
            <w:pPr>
              <w:rPr>
                <w:rFonts w:ascii="Arial"/>
                <w:sz w:val="21"/>
              </w:rPr>
            </w:pPr>
          </w:p>
        </w:tc>
        <w:tc>
          <w:tcPr>
            <w:tcW w:w="1014" w:type="dxa"/>
            <w:vAlign w:val="top"/>
          </w:tcPr>
          <w:p w14:paraId="57CD85D5">
            <w:pPr>
              <w:pStyle w:val="8"/>
              <w:spacing w:before="81" w:line="219" w:lineRule="auto"/>
              <w:ind w:left="158"/>
            </w:pPr>
            <w:r>
              <w:rPr>
                <w:b/>
                <w:bCs/>
                <w:spacing w:val="-5"/>
              </w:rPr>
              <w:t>责任部门</w:t>
            </w:r>
          </w:p>
        </w:tc>
        <w:tc>
          <w:tcPr>
            <w:tcW w:w="1407" w:type="dxa"/>
            <w:vAlign w:val="top"/>
          </w:tcPr>
          <w:p w14:paraId="754E00FE">
            <w:pPr>
              <w:pStyle w:val="8"/>
              <w:spacing w:before="81" w:line="219" w:lineRule="auto"/>
              <w:ind w:left="167"/>
            </w:pPr>
            <w:r>
              <w:rPr>
                <w:b/>
                <w:bCs/>
                <w:spacing w:val="-3"/>
              </w:rPr>
              <w:t>第一责任层级</w:t>
            </w:r>
          </w:p>
        </w:tc>
        <w:tc>
          <w:tcPr>
            <w:tcW w:w="1018" w:type="dxa"/>
            <w:vAlign w:val="top"/>
          </w:tcPr>
          <w:p w14:paraId="78F8229D">
            <w:pPr>
              <w:pStyle w:val="8"/>
              <w:spacing w:before="81" w:line="219" w:lineRule="auto"/>
              <w:ind w:left="152"/>
            </w:pPr>
            <w:r>
              <w:rPr>
                <w:b/>
                <w:bCs/>
                <w:spacing w:val="-4"/>
              </w:rPr>
              <w:t>承办机构</w:t>
            </w:r>
          </w:p>
        </w:tc>
      </w:tr>
      <w:tr w14:paraId="03261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24" w:type="dxa"/>
            <w:vAlign w:val="top"/>
          </w:tcPr>
          <w:p w14:paraId="42774313">
            <w:pPr>
              <w:spacing w:line="270" w:lineRule="auto"/>
              <w:rPr>
                <w:rFonts w:ascii="Arial"/>
                <w:sz w:val="21"/>
              </w:rPr>
            </w:pPr>
          </w:p>
          <w:p w14:paraId="521B1CB1">
            <w:pPr>
              <w:spacing w:line="270" w:lineRule="auto"/>
              <w:rPr>
                <w:rFonts w:ascii="Arial"/>
                <w:sz w:val="21"/>
              </w:rPr>
            </w:pPr>
          </w:p>
          <w:p w14:paraId="6B88F38C">
            <w:pPr>
              <w:spacing w:line="270" w:lineRule="auto"/>
              <w:rPr>
                <w:rFonts w:ascii="Arial"/>
                <w:sz w:val="21"/>
              </w:rPr>
            </w:pPr>
          </w:p>
          <w:p w14:paraId="289B8E72">
            <w:pPr>
              <w:spacing w:line="270" w:lineRule="auto"/>
              <w:rPr>
                <w:rFonts w:ascii="Arial"/>
                <w:sz w:val="21"/>
              </w:rPr>
            </w:pPr>
          </w:p>
          <w:p w14:paraId="5A28FEAA">
            <w:pPr>
              <w:pStyle w:val="8"/>
              <w:spacing w:before="59" w:line="184" w:lineRule="auto"/>
              <w:ind w:left="244"/>
            </w:pPr>
            <w:r>
              <w:rPr>
                <w:spacing w:val="-11"/>
              </w:rPr>
              <w:t>15</w:t>
            </w:r>
          </w:p>
        </w:tc>
        <w:tc>
          <w:tcPr>
            <w:tcW w:w="1104" w:type="dxa"/>
            <w:vAlign w:val="top"/>
          </w:tcPr>
          <w:p w14:paraId="43735EE3">
            <w:pPr>
              <w:pStyle w:val="8"/>
              <w:spacing w:before="34" w:line="242"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16"/>
              </w:rPr>
              <w:t>人在评标委</w:t>
            </w:r>
            <w:r>
              <w:rPr>
                <w:spacing w:val="1"/>
              </w:rPr>
              <w:t xml:space="preserve"> </w:t>
            </w:r>
            <w:r>
              <w:rPr>
                <w:spacing w:val="16"/>
              </w:rPr>
              <w:t>员会依法推</w:t>
            </w:r>
            <w:r>
              <w:rPr>
                <w:spacing w:val="1"/>
              </w:rPr>
              <w:t xml:space="preserve"> </w:t>
            </w:r>
            <w:r>
              <w:rPr>
                <w:spacing w:val="6"/>
              </w:rPr>
              <w:t>荐的</w:t>
            </w:r>
            <w:r>
              <w:rPr>
                <w:spacing w:val="-39"/>
              </w:rPr>
              <w:t xml:space="preserve"> </w:t>
            </w:r>
            <w:r>
              <w:rPr>
                <w:spacing w:val="6"/>
              </w:rPr>
              <w:t>中标候</w:t>
            </w:r>
            <w:r>
              <w:t xml:space="preserve"> </w:t>
            </w:r>
            <w:r>
              <w:rPr>
                <w:spacing w:val="6"/>
              </w:rPr>
              <w:t>选人</w:t>
            </w:r>
            <w:r>
              <w:rPr>
                <w:spacing w:val="-39"/>
              </w:rPr>
              <w:t xml:space="preserve"> </w:t>
            </w:r>
            <w:r>
              <w:rPr>
                <w:spacing w:val="6"/>
              </w:rPr>
              <w:t>以外确</w:t>
            </w:r>
            <w:r>
              <w:t xml:space="preserve"> </w:t>
            </w:r>
            <w:r>
              <w:rPr>
                <w:spacing w:val="16"/>
              </w:rPr>
              <w:t>定中标人等</w:t>
            </w:r>
            <w:r>
              <w:rPr>
                <w:spacing w:val="1"/>
              </w:rPr>
              <w:t xml:space="preserve"> </w:t>
            </w:r>
            <w:r>
              <w:rPr>
                <w:spacing w:val="7"/>
              </w:rPr>
              <w:t>行为</w:t>
            </w:r>
            <w:r>
              <w:rPr>
                <w:spacing w:val="-44"/>
              </w:rPr>
              <w:t xml:space="preserve"> </w:t>
            </w:r>
            <w:r>
              <w:rPr>
                <w:spacing w:val="7"/>
              </w:rPr>
              <w:t>的行政</w:t>
            </w:r>
            <w:r>
              <w:t xml:space="preserve"> </w:t>
            </w:r>
            <w:r>
              <w:rPr>
                <w:spacing w:val="-2"/>
              </w:rPr>
              <w:t>处罚</w:t>
            </w:r>
          </w:p>
        </w:tc>
        <w:tc>
          <w:tcPr>
            <w:tcW w:w="1104" w:type="dxa"/>
            <w:vAlign w:val="top"/>
          </w:tcPr>
          <w:p w14:paraId="0CEBAD08">
            <w:pPr>
              <w:spacing w:line="263" w:lineRule="auto"/>
              <w:rPr>
                <w:rFonts w:ascii="Arial"/>
                <w:sz w:val="21"/>
              </w:rPr>
            </w:pPr>
          </w:p>
          <w:p w14:paraId="590F5DA0">
            <w:pPr>
              <w:spacing w:line="263" w:lineRule="auto"/>
              <w:rPr>
                <w:rFonts w:ascii="Arial"/>
                <w:sz w:val="21"/>
              </w:rPr>
            </w:pPr>
          </w:p>
          <w:p w14:paraId="76A5F4E1">
            <w:pPr>
              <w:spacing w:line="263" w:lineRule="auto"/>
              <w:rPr>
                <w:rFonts w:ascii="Arial"/>
                <w:sz w:val="21"/>
              </w:rPr>
            </w:pPr>
          </w:p>
          <w:p w14:paraId="4ACB1B0E">
            <w:pPr>
              <w:spacing w:line="264" w:lineRule="auto"/>
              <w:rPr>
                <w:rFonts w:ascii="Arial"/>
                <w:sz w:val="21"/>
              </w:rPr>
            </w:pPr>
          </w:p>
          <w:p w14:paraId="485BEFDD">
            <w:pPr>
              <w:pStyle w:val="8"/>
              <w:spacing w:before="59" w:line="220" w:lineRule="auto"/>
              <w:ind w:left="10"/>
            </w:pPr>
            <w:r>
              <w:rPr>
                <w:spacing w:val="-2"/>
              </w:rPr>
              <w:t>行政处罚</w:t>
            </w:r>
          </w:p>
        </w:tc>
        <w:tc>
          <w:tcPr>
            <w:tcW w:w="8549" w:type="dxa"/>
            <w:vAlign w:val="top"/>
          </w:tcPr>
          <w:p w14:paraId="76B34449">
            <w:pPr>
              <w:pStyle w:val="8"/>
              <w:spacing w:before="158" w:line="219" w:lineRule="auto"/>
              <w:ind w:left="476"/>
            </w:pPr>
            <w:r>
              <w:rPr>
                <w:b/>
                <w:bCs/>
                <w:spacing w:val="-3"/>
              </w:rPr>
              <w:t>《中华人民共和国招标投标法》</w:t>
            </w:r>
          </w:p>
          <w:p w14:paraId="4A439281">
            <w:pPr>
              <w:pStyle w:val="8"/>
              <w:spacing w:before="27" w:line="237" w:lineRule="auto"/>
              <w:ind w:left="111" w:right="159" w:firstLine="360"/>
              <w:jc w:val="both"/>
            </w:pPr>
            <w:r>
              <w:t>第四十条第一、二款  评标委员会应当按照招标文件确定的评标标准和方法，对</w:t>
            </w:r>
            <w:r>
              <w:rPr>
                <w:spacing w:val="-1"/>
              </w:rPr>
              <w:t>投标文件进行评审和</w:t>
            </w:r>
            <w:r>
              <w:t xml:space="preserve"> 比较；设有标底的，应当参考标底。评标委员会完成评标后，应当向招标人提出书面</w:t>
            </w:r>
            <w:r>
              <w:rPr>
                <w:spacing w:val="-1"/>
              </w:rPr>
              <w:t>评标报告，并推荐合</w:t>
            </w:r>
            <w:r>
              <w:t xml:space="preserve"> </w:t>
            </w:r>
            <w:r>
              <w:rPr>
                <w:spacing w:val="-4"/>
              </w:rPr>
              <w:t>格的中标候选人。</w:t>
            </w:r>
          </w:p>
          <w:p w14:paraId="0FEF6591">
            <w:pPr>
              <w:pStyle w:val="8"/>
              <w:spacing w:before="24" w:line="233" w:lineRule="auto"/>
              <w:ind w:left="110" w:right="159" w:firstLine="361"/>
            </w:pPr>
            <w:r>
              <w:t>招标人根据评标委员会提出的书面评标报告和推荐的中标候选人确定中标人。招</w:t>
            </w:r>
            <w:r>
              <w:rPr>
                <w:spacing w:val="-1"/>
              </w:rPr>
              <w:t>标人也可以授权评标</w:t>
            </w:r>
            <w:r>
              <w:t xml:space="preserve"> </w:t>
            </w:r>
            <w:r>
              <w:rPr>
                <w:spacing w:val="-3"/>
              </w:rPr>
              <w:t>委员会直接确定中标人。</w:t>
            </w:r>
          </w:p>
          <w:p w14:paraId="689C4515">
            <w:pPr>
              <w:pStyle w:val="8"/>
              <w:spacing w:before="26" w:line="237" w:lineRule="auto"/>
              <w:ind w:left="114" w:right="159" w:firstLine="357"/>
              <w:jc w:val="both"/>
            </w:pPr>
            <w:r>
              <w:t>第五十七条  招标人在评标委员会依法推荐的中标候选人以外确定中标人的，依</w:t>
            </w:r>
            <w:r>
              <w:rPr>
                <w:spacing w:val="-1"/>
              </w:rPr>
              <w:t>法必须进行招标的项</w:t>
            </w:r>
            <w:r>
              <w:t xml:space="preserve"> 目在所有投标被评标委员会否决后自行确定中标人的，中标无效。责令改正，可</w:t>
            </w:r>
            <w:r>
              <w:rPr>
                <w:spacing w:val="-1"/>
              </w:rPr>
              <w:t>以处中标项目金额千分之</w:t>
            </w:r>
            <w:r>
              <w:t xml:space="preserve"> </w:t>
            </w:r>
            <w:r>
              <w:rPr>
                <w:spacing w:val="-1"/>
              </w:rPr>
              <w:t>五以上千分之十以下的罚款；对单位直接负责的主管人员和其他直接责任人员依法给予处分。</w:t>
            </w:r>
          </w:p>
        </w:tc>
        <w:tc>
          <w:tcPr>
            <w:tcW w:w="1014" w:type="dxa"/>
            <w:vAlign w:val="top"/>
          </w:tcPr>
          <w:p w14:paraId="70D43734">
            <w:pPr>
              <w:spacing w:line="311" w:lineRule="auto"/>
              <w:rPr>
                <w:rFonts w:ascii="Arial"/>
                <w:sz w:val="21"/>
              </w:rPr>
            </w:pPr>
          </w:p>
          <w:p w14:paraId="287F40C8">
            <w:pPr>
              <w:spacing w:line="311" w:lineRule="auto"/>
              <w:rPr>
                <w:rFonts w:ascii="Arial"/>
                <w:sz w:val="21"/>
              </w:rPr>
            </w:pPr>
          </w:p>
          <w:p w14:paraId="201B720C">
            <w:pPr>
              <w:spacing w:line="312" w:lineRule="auto"/>
              <w:rPr>
                <w:rFonts w:ascii="Arial"/>
                <w:sz w:val="21"/>
              </w:rPr>
            </w:pPr>
          </w:p>
          <w:p w14:paraId="3321E44D">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DCE484A">
            <w:pPr>
              <w:spacing w:line="311" w:lineRule="auto"/>
              <w:rPr>
                <w:rFonts w:ascii="Arial"/>
                <w:sz w:val="21"/>
              </w:rPr>
            </w:pPr>
          </w:p>
          <w:p w14:paraId="7E5F8B34">
            <w:pPr>
              <w:spacing w:line="311" w:lineRule="auto"/>
              <w:rPr>
                <w:rFonts w:ascii="Arial"/>
                <w:sz w:val="21"/>
              </w:rPr>
            </w:pPr>
          </w:p>
          <w:p w14:paraId="56431D52">
            <w:pPr>
              <w:spacing w:line="312" w:lineRule="auto"/>
              <w:rPr>
                <w:rFonts w:ascii="Arial"/>
                <w:sz w:val="21"/>
              </w:rPr>
            </w:pPr>
          </w:p>
          <w:p w14:paraId="6F7C87BE">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738FEEC">
            <w:pPr>
              <w:spacing w:line="348" w:lineRule="auto"/>
              <w:rPr>
                <w:rFonts w:ascii="Arial"/>
                <w:sz w:val="21"/>
              </w:rPr>
            </w:pPr>
          </w:p>
          <w:p w14:paraId="75964697">
            <w:pPr>
              <w:spacing w:line="349" w:lineRule="auto"/>
              <w:rPr>
                <w:rFonts w:ascii="Arial"/>
                <w:sz w:val="21"/>
              </w:rPr>
            </w:pPr>
          </w:p>
          <w:p w14:paraId="2ACA52CB">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6992C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4" w:hRule="atLeast"/>
        </w:trPr>
        <w:tc>
          <w:tcPr>
            <w:tcW w:w="624" w:type="dxa"/>
            <w:vAlign w:val="top"/>
          </w:tcPr>
          <w:p w14:paraId="05B8B205">
            <w:pPr>
              <w:spacing w:line="259" w:lineRule="auto"/>
              <w:rPr>
                <w:rFonts w:ascii="Arial"/>
                <w:sz w:val="21"/>
              </w:rPr>
            </w:pPr>
          </w:p>
          <w:p w14:paraId="414C3DF5">
            <w:pPr>
              <w:spacing w:line="259" w:lineRule="auto"/>
              <w:rPr>
                <w:rFonts w:ascii="Arial"/>
                <w:sz w:val="21"/>
              </w:rPr>
            </w:pPr>
          </w:p>
          <w:p w14:paraId="7936441B">
            <w:pPr>
              <w:spacing w:line="259" w:lineRule="auto"/>
              <w:rPr>
                <w:rFonts w:ascii="Arial"/>
                <w:sz w:val="21"/>
              </w:rPr>
            </w:pPr>
          </w:p>
          <w:p w14:paraId="721AE9E4">
            <w:pPr>
              <w:spacing w:line="259" w:lineRule="auto"/>
              <w:rPr>
                <w:rFonts w:ascii="Arial"/>
                <w:sz w:val="21"/>
              </w:rPr>
            </w:pPr>
          </w:p>
          <w:p w14:paraId="07D4263A">
            <w:pPr>
              <w:spacing w:line="259" w:lineRule="auto"/>
              <w:rPr>
                <w:rFonts w:ascii="Arial"/>
                <w:sz w:val="21"/>
              </w:rPr>
            </w:pPr>
          </w:p>
          <w:p w14:paraId="54E9F063">
            <w:pPr>
              <w:spacing w:line="259" w:lineRule="auto"/>
              <w:rPr>
                <w:rFonts w:ascii="Arial"/>
                <w:sz w:val="21"/>
              </w:rPr>
            </w:pPr>
          </w:p>
          <w:p w14:paraId="5A0FAF9F">
            <w:pPr>
              <w:spacing w:line="259" w:lineRule="auto"/>
              <w:rPr>
                <w:rFonts w:ascii="Arial"/>
                <w:sz w:val="21"/>
              </w:rPr>
            </w:pPr>
          </w:p>
          <w:p w14:paraId="49569C90">
            <w:pPr>
              <w:spacing w:line="259" w:lineRule="auto"/>
              <w:rPr>
                <w:rFonts w:ascii="Arial"/>
                <w:sz w:val="21"/>
              </w:rPr>
            </w:pPr>
          </w:p>
          <w:p w14:paraId="0095712D">
            <w:pPr>
              <w:spacing w:line="259" w:lineRule="auto"/>
              <w:rPr>
                <w:rFonts w:ascii="Arial"/>
                <w:sz w:val="21"/>
              </w:rPr>
            </w:pPr>
          </w:p>
          <w:p w14:paraId="23F276C2">
            <w:pPr>
              <w:spacing w:line="259" w:lineRule="auto"/>
              <w:rPr>
                <w:rFonts w:ascii="Arial"/>
                <w:sz w:val="21"/>
              </w:rPr>
            </w:pPr>
          </w:p>
          <w:p w14:paraId="0D91D1DA">
            <w:pPr>
              <w:spacing w:line="259" w:lineRule="auto"/>
              <w:rPr>
                <w:rFonts w:ascii="Arial"/>
                <w:sz w:val="21"/>
              </w:rPr>
            </w:pPr>
          </w:p>
          <w:p w14:paraId="2DF1FE8D">
            <w:pPr>
              <w:spacing w:line="260" w:lineRule="auto"/>
              <w:rPr>
                <w:rFonts w:ascii="Arial"/>
                <w:sz w:val="21"/>
              </w:rPr>
            </w:pPr>
          </w:p>
          <w:p w14:paraId="1686FA6B">
            <w:pPr>
              <w:pStyle w:val="8"/>
              <w:spacing w:before="58" w:line="184" w:lineRule="auto"/>
              <w:ind w:left="244"/>
            </w:pPr>
            <w:r>
              <w:rPr>
                <w:spacing w:val="-11"/>
              </w:rPr>
              <w:t>16</w:t>
            </w:r>
          </w:p>
        </w:tc>
        <w:tc>
          <w:tcPr>
            <w:tcW w:w="1104" w:type="dxa"/>
            <w:vAlign w:val="top"/>
          </w:tcPr>
          <w:p w14:paraId="4D241A40">
            <w:pPr>
              <w:spacing w:line="262" w:lineRule="auto"/>
              <w:rPr>
                <w:rFonts w:ascii="Arial"/>
                <w:sz w:val="21"/>
              </w:rPr>
            </w:pPr>
          </w:p>
          <w:p w14:paraId="2063039F">
            <w:pPr>
              <w:spacing w:line="262" w:lineRule="auto"/>
              <w:rPr>
                <w:rFonts w:ascii="Arial"/>
                <w:sz w:val="21"/>
              </w:rPr>
            </w:pPr>
          </w:p>
          <w:p w14:paraId="6A4CC64C">
            <w:pPr>
              <w:spacing w:line="263" w:lineRule="auto"/>
              <w:rPr>
                <w:rFonts w:ascii="Arial"/>
                <w:sz w:val="21"/>
              </w:rPr>
            </w:pPr>
          </w:p>
          <w:p w14:paraId="4BB3CA5B">
            <w:pPr>
              <w:spacing w:line="263" w:lineRule="auto"/>
              <w:rPr>
                <w:rFonts w:ascii="Arial"/>
                <w:sz w:val="21"/>
              </w:rPr>
            </w:pPr>
          </w:p>
          <w:p w14:paraId="037F5C90">
            <w:pPr>
              <w:spacing w:line="263" w:lineRule="auto"/>
              <w:rPr>
                <w:rFonts w:ascii="Arial"/>
                <w:sz w:val="21"/>
              </w:rPr>
            </w:pPr>
          </w:p>
          <w:p w14:paraId="2CC44F2B">
            <w:pPr>
              <w:spacing w:line="263" w:lineRule="auto"/>
              <w:rPr>
                <w:rFonts w:ascii="Arial"/>
                <w:sz w:val="21"/>
              </w:rPr>
            </w:pPr>
          </w:p>
          <w:p w14:paraId="2AFE12D9">
            <w:pPr>
              <w:spacing w:line="263" w:lineRule="auto"/>
              <w:rPr>
                <w:rFonts w:ascii="Arial"/>
                <w:sz w:val="21"/>
              </w:rPr>
            </w:pPr>
          </w:p>
          <w:p w14:paraId="1D937D4A">
            <w:pPr>
              <w:spacing w:line="263" w:lineRule="auto"/>
              <w:rPr>
                <w:rFonts w:ascii="Arial"/>
                <w:sz w:val="21"/>
              </w:rPr>
            </w:pPr>
          </w:p>
          <w:p w14:paraId="5D789D9B">
            <w:pPr>
              <w:spacing w:line="263" w:lineRule="auto"/>
              <w:rPr>
                <w:rFonts w:ascii="Arial"/>
                <w:sz w:val="21"/>
              </w:rPr>
            </w:pPr>
          </w:p>
          <w:p w14:paraId="6868617A">
            <w:pPr>
              <w:pStyle w:val="8"/>
              <w:spacing w:before="59" w:line="242"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16"/>
              </w:rPr>
              <w:t>程从业单位</w:t>
            </w:r>
            <w:r>
              <w:rPr>
                <w:spacing w:val="1"/>
              </w:rPr>
              <w:t xml:space="preserve"> </w:t>
            </w:r>
            <w:r>
              <w:rPr>
                <w:spacing w:val="16"/>
              </w:rPr>
              <w:t>违法转分包</w:t>
            </w:r>
            <w:r>
              <w:rPr>
                <w:spacing w:val="1"/>
              </w:rPr>
              <w:t xml:space="preserve"> </w:t>
            </w:r>
            <w:r>
              <w:rPr>
                <w:spacing w:val="16"/>
              </w:rPr>
              <w:t>等行为的行</w:t>
            </w:r>
            <w:r>
              <w:rPr>
                <w:spacing w:val="1"/>
              </w:rPr>
              <w:t xml:space="preserve"> </w:t>
            </w:r>
            <w:r>
              <w:rPr>
                <w:spacing w:val="-2"/>
              </w:rPr>
              <w:t>政处罚</w:t>
            </w:r>
          </w:p>
        </w:tc>
        <w:tc>
          <w:tcPr>
            <w:tcW w:w="1104" w:type="dxa"/>
            <w:vAlign w:val="top"/>
          </w:tcPr>
          <w:p w14:paraId="5FFAC5B1">
            <w:pPr>
              <w:spacing w:line="256" w:lineRule="auto"/>
              <w:rPr>
                <w:rFonts w:ascii="Arial"/>
                <w:sz w:val="21"/>
              </w:rPr>
            </w:pPr>
          </w:p>
          <w:p w14:paraId="4FFB097F">
            <w:pPr>
              <w:spacing w:line="256" w:lineRule="auto"/>
              <w:rPr>
                <w:rFonts w:ascii="Arial"/>
                <w:sz w:val="21"/>
              </w:rPr>
            </w:pPr>
          </w:p>
          <w:p w14:paraId="7860E2CF">
            <w:pPr>
              <w:spacing w:line="256" w:lineRule="auto"/>
              <w:rPr>
                <w:rFonts w:ascii="Arial"/>
                <w:sz w:val="21"/>
              </w:rPr>
            </w:pPr>
          </w:p>
          <w:p w14:paraId="38B0BFDC">
            <w:pPr>
              <w:spacing w:line="257" w:lineRule="auto"/>
              <w:rPr>
                <w:rFonts w:ascii="Arial"/>
                <w:sz w:val="21"/>
              </w:rPr>
            </w:pPr>
          </w:p>
          <w:p w14:paraId="4E6A1998">
            <w:pPr>
              <w:spacing w:line="257" w:lineRule="auto"/>
              <w:rPr>
                <w:rFonts w:ascii="Arial"/>
                <w:sz w:val="21"/>
              </w:rPr>
            </w:pPr>
          </w:p>
          <w:p w14:paraId="15C42654">
            <w:pPr>
              <w:spacing w:line="257" w:lineRule="auto"/>
              <w:rPr>
                <w:rFonts w:ascii="Arial"/>
                <w:sz w:val="21"/>
              </w:rPr>
            </w:pPr>
          </w:p>
          <w:p w14:paraId="4CFBF3FE">
            <w:pPr>
              <w:spacing w:line="257" w:lineRule="auto"/>
              <w:rPr>
                <w:rFonts w:ascii="Arial"/>
                <w:sz w:val="21"/>
              </w:rPr>
            </w:pPr>
          </w:p>
          <w:p w14:paraId="75DA80C5">
            <w:pPr>
              <w:spacing w:line="257" w:lineRule="auto"/>
              <w:rPr>
                <w:rFonts w:ascii="Arial"/>
                <w:sz w:val="21"/>
              </w:rPr>
            </w:pPr>
          </w:p>
          <w:p w14:paraId="607F9790">
            <w:pPr>
              <w:spacing w:line="257" w:lineRule="auto"/>
              <w:rPr>
                <w:rFonts w:ascii="Arial"/>
                <w:sz w:val="21"/>
              </w:rPr>
            </w:pPr>
          </w:p>
          <w:p w14:paraId="66D9F816">
            <w:pPr>
              <w:spacing w:line="257" w:lineRule="auto"/>
              <w:rPr>
                <w:rFonts w:ascii="Arial"/>
                <w:sz w:val="21"/>
              </w:rPr>
            </w:pPr>
          </w:p>
          <w:p w14:paraId="7F7F027D">
            <w:pPr>
              <w:spacing w:line="257" w:lineRule="auto"/>
              <w:rPr>
                <w:rFonts w:ascii="Arial"/>
                <w:sz w:val="21"/>
              </w:rPr>
            </w:pPr>
          </w:p>
          <w:p w14:paraId="143ECB5C">
            <w:pPr>
              <w:spacing w:line="257" w:lineRule="auto"/>
              <w:rPr>
                <w:rFonts w:ascii="Arial"/>
                <w:sz w:val="21"/>
              </w:rPr>
            </w:pPr>
          </w:p>
          <w:p w14:paraId="2733CE52">
            <w:pPr>
              <w:pStyle w:val="8"/>
              <w:spacing w:before="59" w:line="220" w:lineRule="auto"/>
              <w:ind w:left="10"/>
            </w:pPr>
            <w:r>
              <w:rPr>
                <w:spacing w:val="-2"/>
              </w:rPr>
              <w:t>行政处罚</w:t>
            </w:r>
          </w:p>
        </w:tc>
        <w:tc>
          <w:tcPr>
            <w:tcW w:w="8549" w:type="dxa"/>
            <w:vAlign w:val="top"/>
          </w:tcPr>
          <w:p w14:paraId="5344095E">
            <w:pPr>
              <w:pStyle w:val="8"/>
              <w:spacing w:before="39" w:line="219" w:lineRule="auto"/>
              <w:ind w:left="484"/>
            </w:pPr>
            <w:r>
              <w:rPr>
                <w:b/>
                <w:bCs/>
                <w:spacing w:val="-4"/>
              </w:rPr>
              <w:t>1.《中华人民共和国招标投标法》</w:t>
            </w:r>
          </w:p>
          <w:p w14:paraId="6DF5E6BD">
            <w:pPr>
              <w:pStyle w:val="8"/>
              <w:spacing w:before="25" w:line="233" w:lineRule="auto"/>
              <w:ind w:left="112" w:right="159" w:firstLine="358"/>
            </w:pPr>
            <w:r>
              <w:t>第四十八条第一款第二款  中标人应当按照合同约定履行义务，完成中标项目。</w:t>
            </w:r>
            <w:r>
              <w:rPr>
                <w:spacing w:val="-1"/>
              </w:rPr>
              <w:t>中标人不得向他人转</w:t>
            </w:r>
            <w:r>
              <w:t xml:space="preserve"> </w:t>
            </w:r>
            <w:r>
              <w:rPr>
                <w:spacing w:val="-2"/>
              </w:rPr>
              <w:t>让中标项目，也不得将中标项目肢解后分别向他人转让。</w:t>
            </w:r>
          </w:p>
          <w:p w14:paraId="6572D1DD">
            <w:pPr>
              <w:pStyle w:val="8"/>
              <w:spacing w:before="25" w:line="233" w:lineRule="auto"/>
              <w:ind w:left="112" w:right="159" w:firstLine="375"/>
            </w:pPr>
            <w:r>
              <w:t>中标人按照合同约定或者经招标人同意，可</w:t>
            </w:r>
            <w:r>
              <w:rPr>
                <w:spacing w:val="-1"/>
              </w:rPr>
              <w:t>以将中标项目的部分非主体、非关键性工作分包给他人完</w:t>
            </w:r>
            <w:r>
              <w:t xml:space="preserve"> </w:t>
            </w:r>
            <w:r>
              <w:rPr>
                <w:spacing w:val="-1"/>
              </w:rPr>
              <w:t>成。接受分包的人应当具备相应的资格条件，并</w:t>
            </w:r>
            <w:r>
              <w:rPr>
                <w:spacing w:val="-2"/>
              </w:rPr>
              <w:t>不得再次分包。</w:t>
            </w:r>
          </w:p>
          <w:p w14:paraId="4A08129F">
            <w:pPr>
              <w:pStyle w:val="8"/>
              <w:spacing w:before="27" w:line="239" w:lineRule="auto"/>
              <w:ind w:left="109" w:right="60" w:firstLine="361"/>
            </w:pPr>
            <w:r>
              <w:t>第五十八条  中标人将中标项目转让给他人的，将中标项目肢解后分别转让给他</w:t>
            </w:r>
            <w:r>
              <w:rPr>
                <w:spacing w:val="-1"/>
              </w:rPr>
              <w:t>人的，违反本法规定</w:t>
            </w:r>
            <w:r>
              <w:t xml:space="preserve">  将中标项目的部分主体、关键性工作分包给他人的，或者分包人再次分包的，转让、分包无效，处转</w:t>
            </w:r>
            <w:r>
              <w:rPr>
                <w:spacing w:val="-1"/>
              </w:rPr>
              <w:t>让、</w:t>
            </w:r>
            <w:r>
              <w:t xml:space="preserve">  </w:t>
            </w:r>
            <w:r>
              <w:rPr>
                <w:spacing w:val="-2"/>
              </w:rPr>
              <w:t>分包项目金额千分之五以上千分之十以下的罚款；有违法所得的，并处没收违法所得；可以责令停业整顿；</w:t>
            </w:r>
            <w:r>
              <w:rPr>
                <w:spacing w:val="6"/>
              </w:rPr>
              <w:t xml:space="preserve"> </w:t>
            </w:r>
            <w:r>
              <w:rPr>
                <w:spacing w:val="-2"/>
              </w:rPr>
              <w:t>情节严重的，由工商行政管理机关吊销营业执照。</w:t>
            </w:r>
          </w:p>
          <w:p w14:paraId="49248DD9">
            <w:pPr>
              <w:pStyle w:val="8"/>
              <w:spacing w:before="27" w:line="219" w:lineRule="auto"/>
              <w:ind w:left="473"/>
            </w:pPr>
            <w:r>
              <w:rPr>
                <w:b/>
                <w:bCs/>
                <w:spacing w:val="-3"/>
              </w:rPr>
              <w:t>2.《建设工程质量管理条例》</w:t>
            </w:r>
          </w:p>
          <w:p w14:paraId="2EAB5F7F">
            <w:pPr>
              <w:pStyle w:val="8"/>
              <w:spacing w:before="26" w:line="233" w:lineRule="auto"/>
              <w:ind w:left="114" w:right="204" w:firstLine="356"/>
            </w:pPr>
            <w:r>
              <w:rPr>
                <w:spacing w:val="-1"/>
              </w:rPr>
              <w:t>第五十九条  中标人应当按照合同约定履行义务，完成中标项目。中标人不得向</w:t>
            </w:r>
            <w:r>
              <w:rPr>
                <w:spacing w:val="-2"/>
              </w:rPr>
              <w:t>他人转让中标项目，</w:t>
            </w:r>
            <w:r>
              <w:t xml:space="preserve"> </w:t>
            </w:r>
            <w:r>
              <w:rPr>
                <w:spacing w:val="-2"/>
              </w:rPr>
              <w:t>也不得将中标项目肢解后分别向他人转让。</w:t>
            </w:r>
          </w:p>
          <w:p w14:paraId="66CF5E95">
            <w:pPr>
              <w:pStyle w:val="8"/>
              <w:spacing w:before="25" w:line="233" w:lineRule="auto"/>
              <w:ind w:left="112" w:right="159" w:firstLine="375"/>
            </w:pPr>
            <w:r>
              <w:t>中标人按照合同约定或者经招标人同意，可</w:t>
            </w:r>
            <w:r>
              <w:rPr>
                <w:spacing w:val="-1"/>
              </w:rPr>
              <w:t>以将中标项目的部分非主体、非关键性工作分包给他人完</w:t>
            </w:r>
            <w:r>
              <w:t xml:space="preserve"> </w:t>
            </w:r>
            <w:r>
              <w:rPr>
                <w:spacing w:val="-1"/>
              </w:rPr>
              <w:t>成。接受分包的人应当具备相应的资格条件，并</w:t>
            </w:r>
            <w:r>
              <w:rPr>
                <w:spacing w:val="-2"/>
              </w:rPr>
              <w:t>不得再次分包。</w:t>
            </w:r>
          </w:p>
          <w:p w14:paraId="117E2564">
            <w:pPr>
              <w:pStyle w:val="8"/>
              <w:spacing w:before="26" w:line="219" w:lineRule="auto"/>
              <w:ind w:left="488"/>
            </w:pPr>
            <w:r>
              <w:rPr>
                <w:spacing w:val="-2"/>
              </w:rPr>
              <w:t>中标人应当就分包项目向招标人负责，接受分包的人就分包项目承担连带责任。</w:t>
            </w:r>
          </w:p>
          <w:p w14:paraId="0893E562">
            <w:pPr>
              <w:pStyle w:val="8"/>
              <w:spacing w:before="28" w:line="239" w:lineRule="auto"/>
              <w:ind w:left="110" w:right="159" w:firstLine="360"/>
            </w:pPr>
            <w:r>
              <w:t>第六十二条第一款  违反本条例规定，承包单位将承包的工程转包或者违法分包</w:t>
            </w:r>
            <w:r>
              <w:rPr>
                <w:spacing w:val="-1"/>
              </w:rPr>
              <w:t>的，责令改正，没收</w:t>
            </w:r>
            <w:r>
              <w:t xml:space="preserve"> 违法所得，对勘察、设计单位处合同约定的勘察费、设计费百分之二十五以上百分之五</w:t>
            </w:r>
            <w:r>
              <w:rPr>
                <w:spacing w:val="-1"/>
              </w:rPr>
              <w:t>十以下的罚款；对</w:t>
            </w:r>
            <w:r>
              <w:t xml:space="preserve"> 施工单位处工程合同价款百分之零点五以上百分之一以下的罚款；可以责令停业整顿，</w:t>
            </w:r>
            <w:r>
              <w:rPr>
                <w:spacing w:val="-1"/>
              </w:rPr>
              <w:t>降低资质等级；情</w:t>
            </w:r>
            <w:r>
              <w:t xml:space="preserve"> </w:t>
            </w:r>
            <w:r>
              <w:rPr>
                <w:spacing w:val="-3"/>
              </w:rPr>
              <w:t>节严重的，吊销资质证书。</w:t>
            </w:r>
          </w:p>
          <w:p w14:paraId="3B229B3D">
            <w:pPr>
              <w:pStyle w:val="8"/>
              <w:spacing w:before="27" w:line="219" w:lineRule="auto"/>
              <w:ind w:left="474"/>
            </w:pPr>
            <w:r>
              <w:rPr>
                <w:b/>
                <w:bCs/>
                <w:spacing w:val="-3"/>
              </w:rPr>
              <w:t>3.《建设工程勘察设计管理条例》</w:t>
            </w:r>
          </w:p>
          <w:p w14:paraId="6687730B">
            <w:pPr>
              <w:pStyle w:val="8"/>
              <w:spacing w:before="26" w:line="219" w:lineRule="auto"/>
              <w:ind w:left="471"/>
            </w:pPr>
            <w:r>
              <w:rPr>
                <w:spacing w:val="-1"/>
              </w:rPr>
              <w:t>第二十条  建设工程勘察、设计单位不得将所承揽的建设工程勘察、设计转</w:t>
            </w:r>
            <w:r>
              <w:rPr>
                <w:spacing w:val="-2"/>
              </w:rPr>
              <w:t>包。</w:t>
            </w:r>
          </w:p>
          <w:p w14:paraId="2156D49A">
            <w:pPr>
              <w:pStyle w:val="8"/>
              <w:spacing w:before="27" w:line="237" w:lineRule="auto"/>
              <w:ind w:left="110" w:right="104" w:firstLine="360"/>
            </w:pPr>
            <w:r>
              <w:t>第三十九条  违反本条例规定，建设工程勘察、设计单位将所承揽的建设工程勘</w:t>
            </w:r>
            <w:r>
              <w:rPr>
                <w:spacing w:val="-1"/>
              </w:rPr>
              <w:t>察、设计转包的，责</w:t>
            </w:r>
            <w:r>
              <w:t xml:space="preserve"> </w:t>
            </w:r>
            <w:r>
              <w:rPr>
                <w:spacing w:val="-1"/>
              </w:rPr>
              <w:t>令改正，没收违法所得，处合同约定的勘察费、设计费</w:t>
            </w:r>
            <w:r>
              <w:rPr>
                <w:spacing w:val="-36"/>
              </w:rPr>
              <w:t xml:space="preserve"> </w:t>
            </w:r>
            <w:r>
              <w:rPr>
                <w:spacing w:val="-1"/>
              </w:rPr>
              <w:t>2</w:t>
            </w:r>
            <w:r>
              <w:rPr>
                <w:spacing w:val="-2"/>
              </w:rPr>
              <w:t>5％以上</w:t>
            </w:r>
            <w:r>
              <w:rPr>
                <w:spacing w:val="-26"/>
              </w:rPr>
              <w:t xml:space="preserve"> </w:t>
            </w:r>
            <w:r>
              <w:rPr>
                <w:spacing w:val="-2"/>
              </w:rPr>
              <w:t>50％以下的罚款，可以责令停业整顿，降</w:t>
            </w:r>
            <w:r>
              <w:t xml:space="preserve"> </w:t>
            </w:r>
            <w:r>
              <w:rPr>
                <w:spacing w:val="-2"/>
              </w:rPr>
              <w:t>低资质等级；情节严重的，吊销资质证书。</w:t>
            </w:r>
          </w:p>
          <w:p w14:paraId="62E063F4">
            <w:pPr>
              <w:pStyle w:val="8"/>
              <w:spacing w:before="26" w:line="219" w:lineRule="auto"/>
              <w:ind w:left="470"/>
            </w:pPr>
            <w:r>
              <w:rPr>
                <w:b/>
                <w:bCs/>
                <w:spacing w:val="-3"/>
              </w:rPr>
              <w:t>4.《公路建设市场管理办法》（交通运输部令</w:t>
            </w:r>
            <w:r>
              <w:rPr>
                <w:spacing w:val="-33"/>
              </w:rPr>
              <w:t xml:space="preserve"> </w:t>
            </w:r>
            <w:r>
              <w:rPr>
                <w:b/>
                <w:bCs/>
                <w:spacing w:val="-3"/>
              </w:rPr>
              <w:t>20</w:t>
            </w:r>
            <w:r>
              <w:rPr>
                <w:b/>
                <w:bCs/>
                <w:spacing w:val="-4"/>
              </w:rPr>
              <w:t>15</w:t>
            </w:r>
            <w:r>
              <w:rPr>
                <w:spacing w:val="-40"/>
              </w:rPr>
              <w:t xml:space="preserve"> </w:t>
            </w:r>
            <w:r>
              <w:rPr>
                <w:b/>
                <w:bCs/>
                <w:spacing w:val="-4"/>
              </w:rPr>
              <w:t>年第</w:t>
            </w:r>
            <w:r>
              <w:rPr>
                <w:spacing w:val="-22"/>
              </w:rPr>
              <w:t xml:space="preserve"> </w:t>
            </w:r>
            <w:r>
              <w:rPr>
                <w:b/>
                <w:bCs/>
                <w:spacing w:val="-4"/>
              </w:rPr>
              <w:t>11</w:t>
            </w:r>
            <w:r>
              <w:rPr>
                <w:spacing w:val="-34"/>
              </w:rPr>
              <w:t xml:space="preserve"> </w:t>
            </w:r>
            <w:r>
              <w:rPr>
                <w:b/>
                <w:bCs/>
                <w:spacing w:val="-4"/>
              </w:rPr>
              <w:t>号）</w:t>
            </w:r>
          </w:p>
          <w:p w14:paraId="121FA4F2">
            <w:pPr>
              <w:pStyle w:val="8"/>
              <w:spacing w:before="27" w:line="223" w:lineRule="auto"/>
              <w:ind w:left="111" w:right="159" w:firstLine="360"/>
            </w:pPr>
            <w:r>
              <w:t>第三十七条  勘察、设计单位经项目法人批准，可以将工程设计中跨专业或者有</w:t>
            </w:r>
            <w:r>
              <w:rPr>
                <w:spacing w:val="-1"/>
              </w:rPr>
              <w:t>特殊要求的勘察、设</w:t>
            </w:r>
            <w:r>
              <w:t xml:space="preserve"> </w:t>
            </w:r>
            <w:r>
              <w:rPr>
                <w:spacing w:val="-1"/>
              </w:rPr>
              <w:t>计工作委托给有相应资质条件的单位，但不得转包或者二</w:t>
            </w:r>
            <w:r>
              <w:rPr>
                <w:spacing w:val="-2"/>
              </w:rPr>
              <w:t>次分包。</w:t>
            </w:r>
          </w:p>
        </w:tc>
        <w:tc>
          <w:tcPr>
            <w:tcW w:w="1014" w:type="dxa"/>
            <w:vAlign w:val="top"/>
          </w:tcPr>
          <w:p w14:paraId="2745BEDB">
            <w:pPr>
              <w:spacing w:line="246" w:lineRule="auto"/>
              <w:rPr>
                <w:rFonts w:ascii="Arial"/>
                <w:sz w:val="21"/>
              </w:rPr>
            </w:pPr>
          </w:p>
          <w:p w14:paraId="0BF923C0">
            <w:pPr>
              <w:spacing w:line="246" w:lineRule="auto"/>
              <w:rPr>
                <w:rFonts w:ascii="Arial"/>
                <w:sz w:val="21"/>
              </w:rPr>
            </w:pPr>
          </w:p>
          <w:p w14:paraId="12D16CA4">
            <w:pPr>
              <w:spacing w:line="247" w:lineRule="auto"/>
              <w:rPr>
                <w:rFonts w:ascii="Arial"/>
                <w:sz w:val="21"/>
              </w:rPr>
            </w:pPr>
          </w:p>
          <w:p w14:paraId="696B3B1D">
            <w:pPr>
              <w:spacing w:line="247" w:lineRule="auto"/>
              <w:rPr>
                <w:rFonts w:ascii="Arial"/>
                <w:sz w:val="21"/>
              </w:rPr>
            </w:pPr>
          </w:p>
          <w:p w14:paraId="737A8070">
            <w:pPr>
              <w:spacing w:line="247" w:lineRule="auto"/>
              <w:rPr>
                <w:rFonts w:ascii="Arial"/>
                <w:sz w:val="21"/>
              </w:rPr>
            </w:pPr>
          </w:p>
          <w:p w14:paraId="48C39E24">
            <w:pPr>
              <w:spacing w:line="247" w:lineRule="auto"/>
              <w:rPr>
                <w:rFonts w:ascii="Arial"/>
                <w:sz w:val="21"/>
              </w:rPr>
            </w:pPr>
          </w:p>
          <w:p w14:paraId="00DE0AE9">
            <w:pPr>
              <w:spacing w:line="247" w:lineRule="auto"/>
              <w:rPr>
                <w:rFonts w:ascii="Arial"/>
                <w:sz w:val="21"/>
              </w:rPr>
            </w:pPr>
          </w:p>
          <w:p w14:paraId="4C2BAA9C">
            <w:pPr>
              <w:spacing w:line="247" w:lineRule="auto"/>
              <w:rPr>
                <w:rFonts w:ascii="Arial"/>
                <w:sz w:val="21"/>
              </w:rPr>
            </w:pPr>
          </w:p>
          <w:p w14:paraId="583B7593">
            <w:pPr>
              <w:spacing w:line="247" w:lineRule="auto"/>
              <w:rPr>
                <w:rFonts w:ascii="Arial"/>
                <w:sz w:val="21"/>
              </w:rPr>
            </w:pPr>
          </w:p>
          <w:p w14:paraId="7615A331">
            <w:pPr>
              <w:spacing w:line="247" w:lineRule="auto"/>
              <w:rPr>
                <w:rFonts w:ascii="Arial"/>
                <w:sz w:val="21"/>
              </w:rPr>
            </w:pPr>
          </w:p>
          <w:p w14:paraId="376BCB9F">
            <w:pPr>
              <w:spacing w:line="247" w:lineRule="auto"/>
              <w:rPr>
                <w:rFonts w:ascii="Arial"/>
                <w:sz w:val="21"/>
              </w:rPr>
            </w:pPr>
          </w:p>
          <w:p w14:paraId="6B943C32">
            <w:pPr>
              <w:spacing w:line="247" w:lineRule="auto"/>
              <w:rPr>
                <w:rFonts w:ascii="Arial"/>
                <w:sz w:val="21"/>
              </w:rPr>
            </w:pPr>
          </w:p>
          <w:p w14:paraId="20C8261B">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41709BE1">
            <w:pPr>
              <w:spacing w:line="246" w:lineRule="auto"/>
              <w:rPr>
                <w:rFonts w:ascii="Arial"/>
                <w:sz w:val="21"/>
              </w:rPr>
            </w:pPr>
          </w:p>
          <w:p w14:paraId="06458F58">
            <w:pPr>
              <w:spacing w:line="246" w:lineRule="auto"/>
              <w:rPr>
                <w:rFonts w:ascii="Arial"/>
                <w:sz w:val="21"/>
              </w:rPr>
            </w:pPr>
          </w:p>
          <w:p w14:paraId="25E8639C">
            <w:pPr>
              <w:spacing w:line="247" w:lineRule="auto"/>
              <w:rPr>
                <w:rFonts w:ascii="Arial"/>
                <w:sz w:val="21"/>
              </w:rPr>
            </w:pPr>
          </w:p>
          <w:p w14:paraId="130462F6">
            <w:pPr>
              <w:spacing w:line="247" w:lineRule="auto"/>
              <w:rPr>
                <w:rFonts w:ascii="Arial"/>
                <w:sz w:val="21"/>
              </w:rPr>
            </w:pPr>
          </w:p>
          <w:p w14:paraId="10FF2C82">
            <w:pPr>
              <w:spacing w:line="247" w:lineRule="auto"/>
              <w:rPr>
                <w:rFonts w:ascii="Arial"/>
                <w:sz w:val="21"/>
              </w:rPr>
            </w:pPr>
          </w:p>
          <w:p w14:paraId="0E2E9BC9">
            <w:pPr>
              <w:spacing w:line="247" w:lineRule="auto"/>
              <w:rPr>
                <w:rFonts w:ascii="Arial"/>
                <w:sz w:val="21"/>
              </w:rPr>
            </w:pPr>
          </w:p>
          <w:p w14:paraId="634185F1">
            <w:pPr>
              <w:spacing w:line="247" w:lineRule="auto"/>
              <w:rPr>
                <w:rFonts w:ascii="Arial"/>
                <w:sz w:val="21"/>
              </w:rPr>
            </w:pPr>
          </w:p>
          <w:p w14:paraId="27A8D350">
            <w:pPr>
              <w:spacing w:line="247" w:lineRule="auto"/>
              <w:rPr>
                <w:rFonts w:ascii="Arial"/>
                <w:sz w:val="21"/>
              </w:rPr>
            </w:pPr>
          </w:p>
          <w:p w14:paraId="2DE55FB2">
            <w:pPr>
              <w:spacing w:line="247" w:lineRule="auto"/>
              <w:rPr>
                <w:rFonts w:ascii="Arial"/>
                <w:sz w:val="21"/>
              </w:rPr>
            </w:pPr>
          </w:p>
          <w:p w14:paraId="2D8685BA">
            <w:pPr>
              <w:spacing w:line="247" w:lineRule="auto"/>
              <w:rPr>
                <w:rFonts w:ascii="Arial"/>
                <w:sz w:val="21"/>
              </w:rPr>
            </w:pPr>
          </w:p>
          <w:p w14:paraId="736E40D0">
            <w:pPr>
              <w:spacing w:line="247" w:lineRule="auto"/>
              <w:rPr>
                <w:rFonts w:ascii="Arial"/>
                <w:sz w:val="21"/>
              </w:rPr>
            </w:pPr>
          </w:p>
          <w:p w14:paraId="0995EF25">
            <w:pPr>
              <w:spacing w:line="247" w:lineRule="auto"/>
              <w:rPr>
                <w:rFonts w:ascii="Arial"/>
                <w:sz w:val="21"/>
              </w:rPr>
            </w:pPr>
          </w:p>
          <w:p w14:paraId="0771D8B8">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495FEEA">
            <w:pPr>
              <w:spacing w:line="247" w:lineRule="auto"/>
              <w:rPr>
                <w:rFonts w:ascii="Arial"/>
                <w:sz w:val="21"/>
              </w:rPr>
            </w:pPr>
          </w:p>
          <w:p w14:paraId="3F86E631">
            <w:pPr>
              <w:spacing w:line="247" w:lineRule="auto"/>
              <w:rPr>
                <w:rFonts w:ascii="Arial"/>
                <w:sz w:val="21"/>
              </w:rPr>
            </w:pPr>
          </w:p>
          <w:p w14:paraId="6F50F03A">
            <w:pPr>
              <w:spacing w:line="247" w:lineRule="auto"/>
              <w:rPr>
                <w:rFonts w:ascii="Arial"/>
                <w:sz w:val="21"/>
              </w:rPr>
            </w:pPr>
          </w:p>
          <w:p w14:paraId="605FE521">
            <w:pPr>
              <w:spacing w:line="248" w:lineRule="auto"/>
              <w:rPr>
                <w:rFonts w:ascii="Arial"/>
                <w:sz w:val="21"/>
              </w:rPr>
            </w:pPr>
          </w:p>
          <w:p w14:paraId="4ABCCFE9">
            <w:pPr>
              <w:spacing w:line="248" w:lineRule="auto"/>
              <w:rPr>
                <w:rFonts w:ascii="Arial"/>
                <w:sz w:val="21"/>
              </w:rPr>
            </w:pPr>
          </w:p>
          <w:p w14:paraId="1BB5A841">
            <w:pPr>
              <w:spacing w:line="248" w:lineRule="auto"/>
              <w:rPr>
                <w:rFonts w:ascii="Arial"/>
                <w:sz w:val="21"/>
              </w:rPr>
            </w:pPr>
          </w:p>
          <w:p w14:paraId="5B68866F">
            <w:pPr>
              <w:spacing w:line="248" w:lineRule="auto"/>
              <w:rPr>
                <w:rFonts w:ascii="Arial"/>
                <w:sz w:val="21"/>
              </w:rPr>
            </w:pPr>
          </w:p>
          <w:p w14:paraId="5CA1AE9B">
            <w:pPr>
              <w:spacing w:line="248" w:lineRule="auto"/>
              <w:rPr>
                <w:rFonts w:ascii="Arial"/>
                <w:sz w:val="21"/>
              </w:rPr>
            </w:pPr>
          </w:p>
          <w:p w14:paraId="79374A45">
            <w:pPr>
              <w:spacing w:line="248" w:lineRule="auto"/>
              <w:rPr>
                <w:rFonts w:ascii="Arial"/>
                <w:sz w:val="21"/>
              </w:rPr>
            </w:pPr>
          </w:p>
          <w:p w14:paraId="6422C917">
            <w:pPr>
              <w:spacing w:line="248" w:lineRule="auto"/>
              <w:rPr>
                <w:rFonts w:ascii="Arial"/>
                <w:sz w:val="21"/>
              </w:rPr>
            </w:pPr>
          </w:p>
          <w:p w14:paraId="064FDB88">
            <w:pPr>
              <w:spacing w:line="248" w:lineRule="auto"/>
              <w:rPr>
                <w:rFonts w:ascii="Arial"/>
                <w:sz w:val="21"/>
              </w:rPr>
            </w:pPr>
          </w:p>
          <w:p w14:paraId="3A5566B1">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48D1AD89">
      <w:pPr>
        <w:pStyle w:val="2"/>
        <w:spacing w:line="187" w:lineRule="exact"/>
        <w:rPr>
          <w:sz w:val="16"/>
        </w:rPr>
      </w:pPr>
    </w:p>
    <w:p w14:paraId="70D6CB39">
      <w:pPr>
        <w:spacing w:line="187" w:lineRule="exact"/>
        <w:rPr>
          <w:sz w:val="16"/>
          <w:szCs w:val="16"/>
        </w:rPr>
        <w:sectPr>
          <w:footerReference r:id="rId84" w:type="default"/>
          <w:pgSz w:w="16839" w:h="11906"/>
          <w:pgMar w:top="1012" w:right="991" w:bottom="966" w:left="1021" w:header="0" w:footer="768" w:gutter="0"/>
          <w:cols w:space="720" w:num="1"/>
        </w:sectPr>
      </w:pPr>
    </w:p>
    <w:p w14:paraId="189766E7">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7387F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474A1A57">
            <w:pPr>
              <w:pStyle w:val="8"/>
              <w:spacing w:before="267" w:line="221" w:lineRule="auto"/>
              <w:ind w:left="134"/>
            </w:pPr>
            <w:r>
              <w:rPr>
                <w:b/>
                <w:bCs/>
                <w:spacing w:val="-4"/>
              </w:rPr>
              <w:t>序号</w:t>
            </w:r>
          </w:p>
        </w:tc>
        <w:tc>
          <w:tcPr>
            <w:tcW w:w="1104" w:type="dxa"/>
            <w:vMerge w:val="restart"/>
            <w:tcBorders>
              <w:bottom w:val="nil"/>
            </w:tcBorders>
            <w:vAlign w:val="top"/>
          </w:tcPr>
          <w:p w14:paraId="07B38FAC">
            <w:pPr>
              <w:pStyle w:val="8"/>
              <w:spacing w:before="260" w:line="220" w:lineRule="auto"/>
              <w:ind w:left="192"/>
            </w:pPr>
            <w:r>
              <w:rPr>
                <w:b/>
                <w:bCs/>
                <w:spacing w:val="-4"/>
              </w:rPr>
              <w:t>事项名称</w:t>
            </w:r>
          </w:p>
        </w:tc>
        <w:tc>
          <w:tcPr>
            <w:tcW w:w="1104" w:type="dxa"/>
            <w:vMerge w:val="restart"/>
            <w:tcBorders>
              <w:bottom w:val="nil"/>
            </w:tcBorders>
            <w:vAlign w:val="top"/>
          </w:tcPr>
          <w:p w14:paraId="6D28F51D">
            <w:pPr>
              <w:pStyle w:val="8"/>
              <w:spacing w:before="260" w:line="219" w:lineRule="auto"/>
              <w:ind w:left="193"/>
            </w:pPr>
            <w:r>
              <w:rPr>
                <w:b/>
                <w:bCs/>
                <w:spacing w:val="-4"/>
              </w:rPr>
              <w:t>职权类型</w:t>
            </w:r>
          </w:p>
        </w:tc>
        <w:tc>
          <w:tcPr>
            <w:tcW w:w="8549" w:type="dxa"/>
            <w:vMerge w:val="restart"/>
            <w:tcBorders>
              <w:bottom w:val="nil"/>
            </w:tcBorders>
            <w:vAlign w:val="top"/>
          </w:tcPr>
          <w:p w14:paraId="1C5B86C2">
            <w:pPr>
              <w:pStyle w:val="8"/>
              <w:spacing w:before="259" w:line="219" w:lineRule="auto"/>
              <w:ind w:left="3921"/>
            </w:pPr>
            <w:r>
              <w:rPr>
                <w:b/>
                <w:bCs/>
                <w:spacing w:val="-5"/>
              </w:rPr>
              <w:t>实施依据</w:t>
            </w:r>
          </w:p>
        </w:tc>
        <w:tc>
          <w:tcPr>
            <w:tcW w:w="3439" w:type="dxa"/>
            <w:gridSpan w:val="3"/>
            <w:vAlign w:val="top"/>
          </w:tcPr>
          <w:p w14:paraId="23DCDBAE">
            <w:pPr>
              <w:pStyle w:val="8"/>
              <w:spacing w:before="85" w:line="220" w:lineRule="auto"/>
              <w:ind w:left="1365"/>
            </w:pPr>
            <w:r>
              <w:rPr>
                <w:b/>
                <w:bCs/>
                <w:spacing w:val="-5"/>
              </w:rPr>
              <w:t>实施主体</w:t>
            </w:r>
          </w:p>
        </w:tc>
      </w:tr>
      <w:tr w14:paraId="21531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6AF0CA74">
            <w:pPr>
              <w:rPr>
                <w:rFonts w:ascii="Arial"/>
                <w:sz w:val="21"/>
              </w:rPr>
            </w:pPr>
          </w:p>
        </w:tc>
        <w:tc>
          <w:tcPr>
            <w:tcW w:w="1104" w:type="dxa"/>
            <w:vMerge w:val="continue"/>
            <w:tcBorders>
              <w:top w:val="nil"/>
            </w:tcBorders>
            <w:vAlign w:val="top"/>
          </w:tcPr>
          <w:p w14:paraId="736568EA">
            <w:pPr>
              <w:rPr>
                <w:rFonts w:ascii="Arial"/>
                <w:sz w:val="21"/>
              </w:rPr>
            </w:pPr>
          </w:p>
        </w:tc>
        <w:tc>
          <w:tcPr>
            <w:tcW w:w="1104" w:type="dxa"/>
            <w:vMerge w:val="continue"/>
            <w:tcBorders>
              <w:top w:val="nil"/>
            </w:tcBorders>
            <w:vAlign w:val="top"/>
          </w:tcPr>
          <w:p w14:paraId="192C3E7E">
            <w:pPr>
              <w:rPr>
                <w:rFonts w:ascii="Arial"/>
                <w:sz w:val="21"/>
              </w:rPr>
            </w:pPr>
          </w:p>
        </w:tc>
        <w:tc>
          <w:tcPr>
            <w:tcW w:w="8549" w:type="dxa"/>
            <w:vMerge w:val="continue"/>
            <w:tcBorders>
              <w:top w:val="nil"/>
            </w:tcBorders>
            <w:vAlign w:val="top"/>
          </w:tcPr>
          <w:p w14:paraId="0FA8053E">
            <w:pPr>
              <w:rPr>
                <w:rFonts w:ascii="Arial"/>
                <w:sz w:val="21"/>
              </w:rPr>
            </w:pPr>
          </w:p>
        </w:tc>
        <w:tc>
          <w:tcPr>
            <w:tcW w:w="1014" w:type="dxa"/>
            <w:vAlign w:val="top"/>
          </w:tcPr>
          <w:p w14:paraId="4BDE9574">
            <w:pPr>
              <w:pStyle w:val="8"/>
              <w:spacing w:before="81" w:line="219" w:lineRule="auto"/>
              <w:ind w:left="158"/>
            </w:pPr>
            <w:r>
              <w:rPr>
                <w:b/>
                <w:bCs/>
                <w:spacing w:val="-5"/>
              </w:rPr>
              <w:t>责任部门</w:t>
            </w:r>
          </w:p>
        </w:tc>
        <w:tc>
          <w:tcPr>
            <w:tcW w:w="1407" w:type="dxa"/>
            <w:vAlign w:val="top"/>
          </w:tcPr>
          <w:p w14:paraId="5A0DE9F3">
            <w:pPr>
              <w:pStyle w:val="8"/>
              <w:spacing w:before="81" w:line="219" w:lineRule="auto"/>
              <w:ind w:left="167"/>
            </w:pPr>
            <w:r>
              <w:rPr>
                <w:b/>
                <w:bCs/>
                <w:spacing w:val="-3"/>
              </w:rPr>
              <w:t>第一责任层级</w:t>
            </w:r>
          </w:p>
        </w:tc>
        <w:tc>
          <w:tcPr>
            <w:tcW w:w="1018" w:type="dxa"/>
            <w:vAlign w:val="top"/>
          </w:tcPr>
          <w:p w14:paraId="3C9D661F">
            <w:pPr>
              <w:pStyle w:val="8"/>
              <w:spacing w:before="81" w:line="219" w:lineRule="auto"/>
              <w:ind w:left="152"/>
            </w:pPr>
            <w:r>
              <w:rPr>
                <w:b/>
                <w:bCs/>
                <w:spacing w:val="-4"/>
              </w:rPr>
              <w:t>承办机构</w:t>
            </w:r>
          </w:p>
        </w:tc>
      </w:tr>
      <w:tr w14:paraId="3272D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24" w:type="dxa"/>
            <w:vAlign w:val="top"/>
          </w:tcPr>
          <w:p w14:paraId="027D8883">
            <w:pPr>
              <w:rPr>
                <w:rFonts w:ascii="Arial"/>
                <w:sz w:val="21"/>
              </w:rPr>
            </w:pPr>
          </w:p>
        </w:tc>
        <w:tc>
          <w:tcPr>
            <w:tcW w:w="1104" w:type="dxa"/>
            <w:vAlign w:val="top"/>
          </w:tcPr>
          <w:p w14:paraId="5B5DDABB">
            <w:pPr>
              <w:rPr>
                <w:rFonts w:ascii="Arial"/>
                <w:sz w:val="21"/>
              </w:rPr>
            </w:pPr>
          </w:p>
        </w:tc>
        <w:tc>
          <w:tcPr>
            <w:tcW w:w="1104" w:type="dxa"/>
            <w:vAlign w:val="top"/>
          </w:tcPr>
          <w:p w14:paraId="66E2E168">
            <w:pPr>
              <w:rPr>
                <w:rFonts w:ascii="Arial"/>
                <w:sz w:val="21"/>
              </w:rPr>
            </w:pPr>
          </w:p>
        </w:tc>
        <w:tc>
          <w:tcPr>
            <w:tcW w:w="8549" w:type="dxa"/>
            <w:vAlign w:val="top"/>
          </w:tcPr>
          <w:p w14:paraId="2AA567BD">
            <w:pPr>
              <w:pStyle w:val="8"/>
              <w:spacing w:before="38" w:line="219" w:lineRule="auto"/>
              <w:ind w:left="471"/>
            </w:pPr>
            <w:r>
              <w:rPr>
                <w:spacing w:val="-3"/>
              </w:rPr>
              <w:t>监理工作不得分包或者转包。</w:t>
            </w:r>
          </w:p>
          <w:p w14:paraId="48A878BD">
            <w:pPr>
              <w:pStyle w:val="8"/>
              <w:spacing w:before="26" w:line="237" w:lineRule="auto"/>
              <w:ind w:left="111" w:right="104" w:firstLine="359"/>
            </w:pPr>
            <w:r>
              <w:t>第五十四条  违反本办法规定，承包单位将承包的工程转包或者违法分包的，责</w:t>
            </w:r>
            <w:r>
              <w:rPr>
                <w:spacing w:val="-1"/>
              </w:rPr>
              <w:t>令改正，没收违法所</w:t>
            </w:r>
            <w:r>
              <w:t xml:space="preserve"> </w:t>
            </w:r>
            <w:r>
              <w:rPr>
                <w:spacing w:val="-1"/>
              </w:rPr>
              <w:t>得，对勘察、设计单位处合同约定的勘察费、设计费</w:t>
            </w:r>
            <w:r>
              <w:rPr>
                <w:spacing w:val="-35"/>
              </w:rPr>
              <w:t xml:space="preserve"> </w:t>
            </w:r>
            <w:r>
              <w:rPr>
                <w:spacing w:val="-1"/>
              </w:rPr>
              <w:t>25%以上</w:t>
            </w:r>
            <w:r>
              <w:rPr>
                <w:spacing w:val="-34"/>
              </w:rPr>
              <w:t xml:space="preserve"> </w:t>
            </w:r>
            <w:r>
              <w:rPr>
                <w:spacing w:val="-1"/>
              </w:rPr>
              <w:t>50%以下</w:t>
            </w:r>
            <w:r>
              <w:rPr>
                <w:spacing w:val="-2"/>
              </w:rPr>
              <w:t>的罚款；对施工单位处工程合同价款</w:t>
            </w:r>
            <w:r>
              <w:t xml:space="preserve"> </w:t>
            </w:r>
            <w:r>
              <w:rPr>
                <w:spacing w:val="-1"/>
              </w:rPr>
              <w:t>5‰以上</w:t>
            </w:r>
            <w:r>
              <w:rPr>
                <w:spacing w:val="-24"/>
              </w:rPr>
              <w:t xml:space="preserve"> </w:t>
            </w:r>
            <w:r>
              <w:rPr>
                <w:spacing w:val="-1"/>
              </w:rPr>
              <w:t>10‰以下的罚款；可以责令停业整顿，降低资质等级</w:t>
            </w:r>
            <w:r>
              <w:rPr>
                <w:spacing w:val="-2"/>
              </w:rPr>
              <w:t>；情节严重的，吊销资质证书。</w:t>
            </w:r>
          </w:p>
          <w:p w14:paraId="1F95B6AD">
            <w:pPr>
              <w:pStyle w:val="8"/>
              <w:spacing w:before="27" w:line="223" w:lineRule="auto"/>
              <w:ind w:left="116" w:right="104" w:firstLine="356"/>
            </w:pPr>
            <w:r>
              <w:rPr>
                <w:spacing w:val="-1"/>
              </w:rPr>
              <w:t>工程监理单位转让工程监理业务的，责令改正，没收违法所得，处合</w:t>
            </w:r>
            <w:r>
              <w:rPr>
                <w:spacing w:val="-2"/>
              </w:rPr>
              <w:t>同约定的监理酬金</w:t>
            </w:r>
            <w:r>
              <w:rPr>
                <w:spacing w:val="-38"/>
              </w:rPr>
              <w:t xml:space="preserve"> </w:t>
            </w:r>
            <w:r>
              <w:rPr>
                <w:spacing w:val="-2"/>
              </w:rPr>
              <w:t>25%以上</w:t>
            </w:r>
            <w:r>
              <w:rPr>
                <w:spacing w:val="-33"/>
              </w:rPr>
              <w:t xml:space="preserve"> </w:t>
            </w:r>
            <w:r>
              <w:rPr>
                <w:spacing w:val="-2"/>
              </w:rPr>
              <w:t>50%以</w:t>
            </w:r>
            <w:r>
              <w:t xml:space="preserve"> </w:t>
            </w:r>
            <w:r>
              <w:rPr>
                <w:spacing w:val="-1"/>
              </w:rPr>
              <w:t>下的罚款；可以责令停业整顿，降低资质等级；情节严重的，吊销</w:t>
            </w:r>
            <w:r>
              <w:rPr>
                <w:spacing w:val="-2"/>
              </w:rPr>
              <w:t>资质证书。</w:t>
            </w:r>
          </w:p>
        </w:tc>
        <w:tc>
          <w:tcPr>
            <w:tcW w:w="1014" w:type="dxa"/>
            <w:vAlign w:val="top"/>
          </w:tcPr>
          <w:p w14:paraId="47CFC3AB">
            <w:pPr>
              <w:rPr>
                <w:rFonts w:ascii="Arial"/>
                <w:sz w:val="21"/>
              </w:rPr>
            </w:pPr>
          </w:p>
        </w:tc>
        <w:tc>
          <w:tcPr>
            <w:tcW w:w="1407" w:type="dxa"/>
            <w:vAlign w:val="top"/>
          </w:tcPr>
          <w:p w14:paraId="4E50F54C">
            <w:pPr>
              <w:rPr>
                <w:rFonts w:ascii="Arial"/>
                <w:sz w:val="21"/>
              </w:rPr>
            </w:pPr>
          </w:p>
        </w:tc>
        <w:tc>
          <w:tcPr>
            <w:tcW w:w="1018" w:type="dxa"/>
            <w:vAlign w:val="top"/>
          </w:tcPr>
          <w:p w14:paraId="6A5B368E">
            <w:pPr>
              <w:rPr>
                <w:rFonts w:ascii="Arial"/>
                <w:sz w:val="21"/>
              </w:rPr>
            </w:pPr>
          </w:p>
        </w:tc>
      </w:tr>
      <w:tr w14:paraId="6DB78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3" w:hRule="atLeast"/>
        </w:trPr>
        <w:tc>
          <w:tcPr>
            <w:tcW w:w="624" w:type="dxa"/>
            <w:vAlign w:val="top"/>
          </w:tcPr>
          <w:p w14:paraId="61299B5D">
            <w:pPr>
              <w:spacing w:line="278" w:lineRule="auto"/>
              <w:rPr>
                <w:rFonts w:ascii="Arial"/>
                <w:sz w:val="21"/>
              </w:rPr>
            </w:pPr>
          </w:p>
          <w:p w14:paraId="42DE22A1">
            <w:pPr>
              <w:spacing w:line="278" w:lineRule="auto"/>
              <w:rPr>
                <w:rFonts w:ascii="Arial"/>
                <w:sz w:val="21"/>
              </w:rPr>
            </w:pPr>
          </w:p>
          <w:p w14:paraId="7C762DD6">
            <w:pPr>
              <w:spacing w:line="278" w:lineRule="auto"/>
              <w:rPr>
                <w:rFonts w:ascii="Arial"/>
                <w:sz w:val="21"/>
              </w:rPr>
            </w:pPr>
          </w:p>
          <w:p w14:paraId="178625BA">
            <w:pPr>
              <w:spacing w:line="278" w:lineRule="auto"/>
              <w:rPr>
                <w:rFonts w:ascii="Arial"/>
                <w:sz w:val="21"/>
              </w:rPr>
            </w:pPr>
          </w:p>
          <w:p w14:paraId="1F866ACC">
            <w:pPr>
              <w:spacing w:line="279" w:lineRule="auto"/>
              <w:rPr>
                <w:rFonts w:ascii="Arial"/>
                <w:sz w:val="21"/>
              </w:rPr>
            </w:pPr>
          </w:p>
          <w:p w14:paraId="479BE7DA">
            <w:pPr>
              <w:pStyle w:val="8"/>
              <w:spacing w:before="59" w:line="184" w:lineRule="auto"/>
              <w:ind w:left="244"/>
            </w:pPr>
            <w:r>
              <w:rPr>
                <w:spacing w:val="-11"/>
              </w:rPr>
              <w:t>17</w:t>
            </w:r>
          </w:p>
        </w:tc>
        <w:tc>
          <w:tcPr>
            <w:tcW w:w="1104" w:type="dxa"/>
            <w:vAlign w:val="top"/>
          </w:tcPr>
          <w:p w14:paraId="69D1432F">
            <w:pPr>
              <w:spacing w:line="286" w:lineRule="auto"/>
              <w:rPr>
                <w:rFonts w:ascii="Arial"/>
                <w:sz w:val="21"/>
              </w:rPr>
            </w:pPr>
          </w:p>
          <w:p w14:paraId="5A989BB9">
            <w:pPr>
              <w:pStyle w:val="8"/>
              <w:spacing w:before="59" w:line="244"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16"/>
              </w:rPr>
              <w:t>程中不按招</w:t>
            </w:r>
            <w:r>
              <w:rPr>
                <w:spacing w:val="1"/>
              </w:rPr>
              <w:t xml:space="preserve"> </w:t>
            </w:r>
            <w:r>
              <w:rPr>
                <w:spacing w:val="16"/>
              </w:rPr>
              <w:t>标文件和投</w:t>
            </w:r>
            <w:r>
              <w:rPr>
                <w:spacing w:val="1"/>
              </w:rPr>
              <w:t xml:space="preserve"> </w:t>
            </w:r>
            <w:r>
              <w:rPr>
                <w:spacing w:val="16"/>
              </w:rPr>
              <w:t>标文件订立</w:t>
            </w:r>
            <w:r>
              <w:rPr>
                <w:spacing w:val="1"/>
              </w:rPr>
              <w:t xml:space="preserve"> </w:t>
            </w:r>
            <w:r>
              <w:rPr>
                <w:spacing w:val="16"/>
              </w:rPr>
              <w:t>合同或订立</w:t>
            </w:r>
            <w:r>
              <w:rPr>
                <w:spacing w:val="1"/>
              </w:rPr>
              <w:t xml:space="preserve"> </w:t>
            </w:r>
            <w:r>
              <w:rPr>
                <w:spacing w:val="16"/>
              </w:rPr>
              <w:t>背离合同实</w:t>
            </w:r>
            <w:r>
              <w:rPr>
                <w:spacing w:val="1"/>
              </w:rPr>
              <w:t xml:space="preserve"> </w:t>
            </w:r>
            <w:r>
              <w:rPr>
                <w:spacing w:val="5"/>
              </w:rPr>
              <w:t>质性</w:t>
            </w:r>
            <w:r>
              <w:rPr>
                <w:spacing w:val="-34"/>
              </w:rPr>
              <w:t xml:space="preserve"> </w:t>
            </w:r>
            <w:r>
              <w:rPr>
                <w:spacing w:val="5"/>
              </w:rPr>
              <w:t>内容的</w:t>
            </w:r>
            <w:r>
              <w:t xml:space="preserve"> </w:t>
            </w:r>
            <w:r>
              <w:rPr>
                <w:spacing w:val="16"/>
              </w:rPr>
              <w:t>协议行为的</w:t>
            </w:r>
            <w:r>
              <w:rPr>
                <w:spacing w:val="1"/>
              </w:rPr>
              <w:t xml:space="preserve"> </w:t>
            </w:r>
            <w:r>
              <w:rPr>
                <w:spacing w:val="-2"/>
              </w:rPr>
              <w:t>行政处罚</w:t>
            </w:r>
          </w:p>
        </w:tc>
        <w:tc>
          <w:tcPr>
            <w:tcW w:w="1104" w:type="dxa"/>
            <w:vAlign w:val="top"/>
          </w:tcPr>
          <w:p w14:paraId="29C13F8E">
            <w:pPr>
              <w:spacing w:line="272" w:lineRule="auto"/>
              <w:rPr>
                <w:rFonts w:ascii="Arial"/>
                <w:sz w:val="21"/>
              </w:rPr>
            </w:pPr>
          </w:p>
          <w:p w14:paraId="17B441F3">
            <w:pPr>
              <w:spacing w:line="273" w:lineRule="auto"/>
              <w:rPr>
                <w:rFonts w:ascii="Arial"/>
                <w:sz w:val="21"/>
              </w:rPr>
            </w:pPr>
          </w:p>
          <w:p w14:paraId="7D5BB319">
            <w:pPr>
              <w:spacing w:line="273" w:lineRule="auto"/>
              <w:rPr>
                <w:rFonts w:ascii="Arial"/>
                <w:sz w:val="21"/>
              </w:rPr>
            </w:pPr>
          </w:p>
          <w:p w14:paraId="20D8D1F5">
            <w:pPr>
              <w:spacing w:line="273" w:lineRule="auto"/>
              <w:rPr>
                <w:rFonts w:ascii="Arial"/>
                <w:sz w:val="21"/>
              </w:rPr>
            </w:pPr>
          </w:p>
          <w:p w14:paraId="2291643F">
            <w:pPr>
              <w:spacing w:line="273" w:lineRule="auto"/>
              <w:rPr>
                <w:rFonts w:ascii="Arial"/>
                <w:sz w:val="21"/>
              </w:rPr>
            </w:pPr>
          </w:p>
          <w:p w14:paraId="434EFCA3">
            <w:pPr>
              <w:pStyle w:val="8"/>
              <w:spacing w:before="58" w:line="220" w:lineRule="auto"/>
              <w:ind w:left="10"/>
            </w:pPr>
            <w:r>
              <w:rPr>
                <w:spacing w:val="-2"/>
              </w:rPr>
              <w:t>行政处罚</w:t>
            </w:r>
          </w:p>
        </w:tc>
        <w:tc>
          <w:tcPr>
            <w:tcW w:w="8549" w:type="dxa"/>
            <w:vAlign w:val="top"/>
          </w:tcPr>
          <w:p w14:paraId="04180FF6">
            <w:pPr>
              <w:pStyle w:val="8"/>
              <w:spacing w:before="111" w:line="219" w:lineRule="auto"/>
              <w:ind w:left="484"/>
            </w:pPr>
            <w:r>
              <w:rPr>
                <w:b/>
                <w:bCs/>
                <w:spacing w:val="-4"/>
              </w:rPr>
              <w:t>1.《中华人民共和国招标投标法》</w:t>
            </w:r>
          </w:p>
          <w:p w14:paraId="1442C893">
            <w:pPr>
              <w:pStyle w:val="8"/>
              <w:spacing w:before="25" w:line="233" w:lineRule="auto"/>
              <w:ind w:left="125" w:right="159" w:firstLine="345"/>
            </w:pPr>
            <w:r>
              <w:t>第四十六条第一款  招标人和中标人应当自中标通知书发出之日起三十日内，按</w:t>
            </w:r>
            <w:r>
              <w:rPr>
                <w:spacing w:val="-1"/>
              </w:rPr>
              <w:t>照招标文件和中标人</w:t>
            </w:r>
            <w:r>
              <w:t xml:space="preserve"> </w:t>
            </w:r>
            <w:r>
              <w:rPr>
                <w:spacing w:val="-1"/>
              </w:rPr>
              <w:t>的投标文件订立书面合同。招标人和中标人不得再行订立背离合同实质性</w:t>
            </w:r>
            <w:r>
              <w:rPr>
                <w:spacing w:val="-2"/>
              </w:rPr>
              <w:t>内容的其他协议。</w:t>
            </w:r>
          </w:p>
          <w:p w14:paraId="61C46496">
            <w:pPr>
              <w:pStyle w:val="8"/>
              <w:spacing w:before="25" w:line="233" w:lineRule="auto"/>
              <w:ind w:left="113" w:right="159" w:firstLine="357"/>
            </w:pPr>
            <w:r>
              <w:t>第五十九条  招标人与中标人不按照招标文件和中标人的投标文件订立合同的，</w:t>
            </w:r>
            <w:r>
              <w:rPr>
                <w:spacing w:val="-1"/>
              </w:rPr>
              <w:t>或者招标人、中标人</w:t>
            </w:r>
            <w:r>
              <w:t xml:space="preserve"> </w:t>
            </w:r>
            <w:r>
              <w:rPr>
                <w:spacing w:val="-1"/>
              </w:rPr>
              <w:t>订立背离合同实质性内容的协议的，责令改正；可以处中标项目金额千分之五以上千分之十以下的罚款。</w:t>
            </w:r>
          </w:p>
          <w:p w14:paraId="6B73B1EE">
            <w:pPr>
              <w:pStyle w:val="8"/>
              <w:spacing w:before="26" w:line="219" w:lineRule="auto"/>
              <w:ind w:left="473"/>
            </w:pPr>
            <w:r>
              <w:rPr>
                <w:b/>
                <w:bCs/>
                <w:spacing w:val="-3"/>
              </w:rPr>
              <w:t>2.《中华人民共和国招标投标法实施条例》</w:t>
            </w:r>
          </w:p>
          <w:p w14:paraId="33483245">
            <w:pPr>
              <w:pStyle w:val="8"/>
              <w:spacing w:before="27" w:line="237" w:lineRule="auto"/>
              <w:ind w:left="111" w:right="44" w:firstLine="360"/>
              <w:jc w:val="both"/>
            </w:pPr>
            <w:r>
              <w:rPr>
                <w:spacing w:val="-1"/>
              </w:rPr>
              <w:t>第五十七条  招标人和中标人应当依照招</w:t>
            </w:r>
            <w:r>
              <w:rPr>
                <w:spacing w:val="-2"/>
              </w:rPr>
              <w:t>标投标法和本条例的规定签订书面合同，合同的标的、价款、</w:t>
            </w:r>
            <w:r>
              <w:t xml:space="preserve"> 质量、履行期限等主要条款应当与招标文件和中标人的投标文件的内容一致。招标人</w:t>
            </w:r>
            <w:r>
              <w:rPr>
                <w:spacing w:val="-1"/>
              </w:rPr>
              <w:t>和中标人不得再行订</w:t>
            </w:r>
            <w:r>
              <w:t xml:space="preserve">  </w:t>
            </w:r>
            <w:r>
              <w:rPr>
                <w:spacing w:val="-2"/>
              </w:rPr>
              <w:t>立背离合同实质性内容的其他协议。</w:t>
            </w:r>
          </w:p>
          <w:p w14:paraId="71A65B81">
            <w:pPr>
              <w:pStyle w:val="8"/>
              <w:spacing w:before="26" w:line="237" w:lineRule="auto"/>
              <w:ind w:left="112" w:right="159" w:firstLine="358"/>
              <w:jc w:val="both"/>
            </w:pPr>
            <w:r>
              <w:t>第七十五条  招标人和中标人不按照招标文件和中标人的投标文件订立合同，合</w:t>
            </w:r>
            <w:r>
              <w:rPr>
                <w:spacing w:val="-1"/>
              </w:rPr>
              <w:t>同的主要条款与招标</w:t>
            </w:r>
            <w:r>
              <w:t xml:space="preserve"> 文件、中标人的投标文件的内容不一致，或者招标人、中标人订立背离合同实质性</w:t>
            </w:r>
            <w:r>
              <w:rPr>
                <w:spacing w:val="-1"/>
              </w:rPr>
              <w:t>内容的协议的，由有关</w:t>
            </w:r>
            <w:r>
              <w:t xml:space="preserve"> </w:t>
            </w:r>
            <w:r>
              <w:rPr>
                <w:spacing w:val="-2"/>
              </w:rPr>
              <w:t>行政监督部门责令改正，可以处中标项目金额</w:t>
            </w:r>
            <w:r>
              <w:rPr>
                <w:spacing w:val="-32"/>
              </w:rPr>
              <w:t xml:space="preserve"> </w:t>
            </w:r>
            <w:r>
              <w:rPr>
                <w:spacing w:val="-2"/>
              </w:rPr>
              <w:t>5‰以上</w:t>
            </w:r>
            <w:r>
              <w:rPr>
                <w:spacing w:val="-24"/>
              </w:rPr>
              <w:t xml:space="preserve"> </w:t>
            </w:r>
            <w:r>
              <w:rPr>
                <w:spacing w:val="-2"/>
              </w:rPr>
              <w:t>10‰以下的罚款。</w:t>
            </w:r>
          </w:p>
        </w:tc>
        <w:tc>
          <w:tcPr>
            <w:tcW w:w="1014" w:type="dxa"/>
            <w:vAlign w:val="top"/>
          </w:tcPr>
          <w:p w14:paraId="04B631A6">
            <w:pPr>
              <w:spacing w:line="248" w:lineRule="auto"/>
              <w:rPr>
                <w:rFonts w:ascii="Arial"/>
                <w:sz w:val="21"/>
              </w:rPr>
            </w:pPr>
          </w:p>
          <w:p w14:paraId="7DFDFC0A">
            <w:pPr>
              <w:spacing w:line="249" w:lineRule="auto"/>
              <w:rPr>
                <w:rFonts w:ascii="Arial"/>
                <w:sz w:val="21"/>
              </w:rPr>
            </w:pPr>
          </w:p>
          <w:p w14:paraId="4C0173F4">
            <w:pPr>
              <w:spacing w:line="249" w:lineRule="auto"/>
              <w:rPr>
                <w:rFonts w:ascii="Arial"/>
                <w:sz w:val="21"/>
              </w:rPr>
            </w:pPr>
          </w:p>
          <w:p w14:paraId="5000FEE6">
            <w:pPr>
              <w:spacing w:line="249" w:lineRule="auto"/>
              <w:rPr>
                <w:rFonts w:ascii="Arial"/>
                <w:sz w:val="21"/>
              </w:rPr>
            </w:pPr>
          </w:p>
          <w:p w14:paraId="352167F1">
            <w:pPr>
              <w:spacing w:line="249" w:lineRule="auto"/>
              <w:rPr>
                <w:rFonts w:ascii="Arial"/>
                <w:sz w:val="21"/>
              </w:rPr>
            </w:pPr>
          </w:p>
          <w:p w14:paraId="21D2A821">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17D791C9">
            <w:pPr>
              <w:spacing w:line="248" w:lineRule="auto"/>
              <w:rPr>
                <w:rFonts w:ascii="Arial"/>
                <w:sz w:val="21"/>
              </w:rPr>
            </w:pPr>
          </w:p>
          <w:p w14:paraId="30DAAEB5">
            <w:pPr>
              <w:spacing w:line="249" w:lineRule="auto"/>
              <w:rPr>
                <w:rFonts w:ascii="Arial"/>
                <w:sz w:val="21"/>
              </w:rPr>
            </w:pPr>
          </w:p>
          <w:p w14:paraId="11621313">
            <w:pPr>
              <w:spacing w:line="249" w:lineRule="auto"/>
              <w:rPr>
                <w:rFonts w:ascii="Arial"/>
                <w:sz w:val="21"/>
              </w:rPr>
            </w:pPr>
          </w:p>
          <w:p w14:paraId="25BADD8B">
            <w:pPr>
              <w:spacing w:line="249" w:lineRule="auto"/>
              <w:rPr>
                <w:rFonts w:ascii="Arial"/>
                <w:sz w:val="21"/>
              </w:rPr>
            </w:pPr>
          </w:p>
          <w:p w14:paraId="08F3D7F1">
            <w:pPr>
              <w:spacing w:line="249" w:lineRule="auto"/>
              <w:rPr>
                <w:rFonts w:ascii="Arial"/>
                <w:sz w:val="21"/>
              </w:rPr>
            </w:pPr>
          </w:p>
          <w:p w14:paraId="4CACF435">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3C941FF5">
            <w:pPr>
              <w:spacing w:line="251" w:lineRule="auto"/>
              <w:rPr>
                <w:rFonts w:ascii="Arial"/>
                <w:sz w:val="21"/>
              </w:rPr>
            </w:pPr>
          </w:p>
          <w:p w14:paraId="3F958E1E">
            <w:pPr>
              <w:spacing w:line="252" w:lineRule="auto"/>
              <w:rPr>
                <w:rFonts w:ascii="Arial"/>
                <w:sz w:val="21"/>
              </w:rPr>
            </w:pPr>
          </w:p>
          <w:p w14:paraId="37F8BBA5">
            <w:pPr>
              <w:spacing w:line="252" w:lineRule="auto"/>
              <w:rPr>
                <w:rFonts w:ascii="Arial"/>
                <w:sz w:val="21"/>
              </w:rPr>
            </w:pPr>
          </w:p>
          <w:p w14:paraId="39DA102A">
            <w:pPr>
              <w:spacing w:line="252" w:lineRule="auto"/>
              <w:rPr>
                <w:rFonts w:ascii="Arial"/>
                <w:sz w:val="21"/>
              </w:rPr>
            </w:pPr>
          </w:p>
          <w:p w14:paraId="518363B8">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52CA6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4" w:hRule="atLeast"/>
        </w:trPr>
        <w:tc>
          <w:tcPr>
            <w:tcW w:w="624" w:type="dxa"/>
            <w:vAlign w:val="top"/>
          </w:tcPr>
          <w:p w14:paraId="486F333E">
            <w:pPr>
              <w:spacing w:line="257" w:lineRule="auto"/>
              <w:rPr>
                <w:rFonts w:ascii="Arial"/>
                <w:sz w:val="21"/>
              </w:rPr>
            </w:pPr>
          </w:p>
          <w:p w14:paraId="4B6C51C8">
            <w:pPr>
              <w:spacing w:line="257" w:lineRule="auto"/>
              <w:rPr>
                <w:rFonts w:ascii="Arial"/>
                <w:sz w:val="21"/>
              </w:rPr>
            </w:pPr>
          </w:p>
          <w:p w14:paraId="4EA974EB">
            <w:pPr>
              <w:spacing w:line="258" w:lineRule="auto"/>
              <w:rPr>
                <w:rFonts w:ascii="Arial"/>
                <w:sz w:val="21"/>
              </w:rPr>
            </w:pPr>
          </w:p>
          <w:p w14:paraId="084CEE52">
            <w:pPr>
              <w:pStyle w:val="8"/>
              <w:spacing w:before="58" w:line="184" w:lineRule="auto"/>
              <w:ind w:left="244"/>
            </w:pPr>
            <w:r>
              <w:rPr>
                <w:spacing w:val="-11"/>
              </w:rPr>
              <w:t>18</w:t>
            </w:r>
          </w:p>
        </w:tc>
        <w:tc>
          <w:tcPr>
            <w:tcW w:w="1104" w:type="dxa"/>
            <w:vAlign w:val="top"/>
          </w:tcPr>
          <w:p w14:paraId="32B945B1">
            <w:pPr>
              <w:pStyle w:val="8"/>
              <w:spacing w:before="91" w:line="242"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16"/>
              </w:rPr>
              <w:t>程中不按照</w:t>
            </w:r>
            <w:r>
              <w:rPr>
                <w:spacing w:val="1"/>
              </w:rPr>
              <w:t xml:space="preserve"> </w:t>
            </w:r>
            <w:r>
              <w:rPr>
                <w:spacing w:val="16"/>
              </w:rPr>
              <w:t>合同履行义</w:t>
            </w:r>
            <w:r>
              <w:rPr>
                <w:spacing w:val="1"/>
              </w:rPr>
              <w:t xml:space="preserve"> </w:t>
            </w:r>
            <w:r>
              <w:rPr>
                <w:spacing w:val="-17"/>
              </w:rPr>
              <w:t>务，情节较为</w:t>
            </w:r>
            <w:r>
              <w:rPr>
                <w:spacing w:val="3"/>
              </w:rPr>
              <w:t xml:space="preserve"> </w:t>
            </w:r>
            <w:r>
              <w:rPr>
                <w:spacing w:val="16"/>
              </w:rPr>
              <w:t>严重行为的</w:t>
            </w:r>
            <w:r>
              <w:rPr>
                <w:spacing w:val="1"/>
              </w:rPr>
              <w:t xml:space="preserve"> </w:t>
            </w:r>
            <w:r>
              <w:rPr>
                <w:spacing w:val="-2"/>
              </w:rPr>
              <w:t>行政处罚</w:t>
            </w:r>
          </w:p>
        </w:tc>
        <w:tc>
          <w:tcPr>
            <w:tcW w:w="1104" w:type="dxa"/>
            <w:vAlign w:val="top"/>
          </w:tcPr>
          <w:p w14:paraId="4B0B287B">
            <w:pPr>
              <w:spacing w:line="248" w:lineRule="auto"/>
              <w:rPr>
                <w:rFonts w:ascii="Arial"/>
                <w:sz w:val="21"/>
              </w:rPr>
            </w:pPr>
          </w:p>
          <w:p w14:paraId="19245DA2">
            <w:pPr>
              <w:spacing w:line="248" w:lineRule="auto"/>
              <w:rPr>
                <w:rFonts w:ascii="Arial"/>
                <w:sz w:val="21"/>
              </w:rPr>
            </w:pPr>
          </w:p>
          <w:p w14:paraId="198F62A9">
            <w:pPr>
              <w:spacing w:line="248" w:lineRule="auto"/>
              <w:rPr>
                <w:rFonts w:ascii="Arial"/>
                <w:sz w:val="21"/>
              </w:rPr>
            </w:pPr>
          </w:p>
          <w:p w14:paraId="48945533">
            <w:pPr>
              <w:pStyle w:val="8"/>
              <w:spacing w:before="59" w:line="220" w:lineRule="auto"/>
              <w:ind w:left="10"/>
            </w:pPr>
            <w:r>
              <w:rPr>
                <w:spacing w:val="-2"/>
              </w:rPr>
              <w:t>行政处罚</w:t>
            </w:r>
          </w:p>
        </w:tc>
        <w:tc>
          <w:tcPr>
            <w:tcW w:w="8549" w:type="dxa"/>
            <w:vAlign w:val="top"/>
          </w:tcPr>
          <w:p w14:paraId="5148B1D7">
            <w:pPr>
              <w:spacing w:line="268" w:lineRule="auto"/>
              <w:rPr>
                <w:rFonts w:ascii="Arial"/>
                <w:sz w:val="21"/>
              </w:rPr>
            </w:pPr>
          </w:p>
          <w:p w14:paraId="68DFA305">
            <w:pPr>
              <w:pStyle w:val="8"/>
              <w:spacing w:before="58" w:line="219" w:lineRule="auto"/>
              <w:ind w:left="476"/>
            </w:pPr>
            <w:r>
              <w:rPr>
                <w:b/>
                <w:bCs/>
                <w:spacing w:val="-3"/>
              </w:rPr>
              <w:t>《中华人民共和国招标投标法》</w:t>
            </w:r>
          </w:p>
          <w:p w14:paraId="7312A932">
            <w:pPr>
              <w:pStyle w:val="8"/>
              <w:spacing w:before="25" w:line="233" w:lineRule="auto"/>
              <w:ind w:left="114" w:right="159" w:firstLine="357"/>
            </w:pPr>
            <w:r>
              <w:t>第四十八条第一款  中标人应当按照合同约定履行义务，完成中标项目。中标人</w:t>
            </w:r>
            <w:r>
              <w:rPr>
                <w:spacing w:val="-1"/>
              </w:rPr>
              <w:t>不得向他人转让中标</w:t>
            </w:r>
            <w:r>
              <w:t xml:space="preserve"> </w:t>
            </w:r>
            <w:r>
              <w:rPr>
                <w:spacing w:val="-2"/>
              </w:rPr>
              <w:t>项目，也不得将中标项目肢解后分别向他人转让。</w:t>
            </w:r>
          </w:p>
          <w:p w14:paraId="1B6233D6">
            <w:pPr>
              <w:pStyle w:val="8"/>
              <w:spacing w:before="26" w:line="232" w:lineRule="auto"/>
              <w:ind w:left="133" w:right="159" w:firstLine="338"/>
            </w:pPr>
            <w:r>
              <w:t>第六十条第二款  中标人不按照与招标人订立的合同履行义务，情节较为严重的</w:t>
            </w:r>
            <w:r>
              <w:rPr>
                <w:spacing w:val="-1"/>
              </w:rPr>
              <w:t>，取消其二年至五年</w:t>
            </w:r>
            <w:r>
              <w:t xml:space="preserve"> </w:t>
            </w:r>
            <w:r>
              <w:rPr>
                <w:spacing w:val="-1"/>
              </w:rPr>
              <w:t>内参加依法必须进行招标的项目的投标资格并予以公告，直至由工商行</w:t>
            </w:r>
            <w:r>
              <w:rPr>
                <w:spacing w:val="-2"/>
              </w:rPr>
              <w:t>政管理机关吊销营业执照。</w:t>
            </w:r>
          </w:p>
        </w:tc>
        <w:tc>
          <w:tcPr>
            <w:tcW w:w="1014" w:type="dxa"/>
            <w:vAlign w:val="top"/>
          </w:tcPr>
          <w:p w14:paraId="7918C3F7">
            <w:pPr>
              <w:spacing w:line="312" w:lineRule="auto"/>
              <w:rPr>
                <w:rFonts w:ascii="Arial"/>
                <w:sz w:val="21"/>
              </w:rPr>
            </w:pPr>
          </w:p>
          <w:p w14:paraId="6C1B803B">
            <w:pPr>
              <w:spacing w:line="313" w:lineRule="auto"/>
              <w:rPr>
                <w:rFonts w:ascii="Arial"/>
                <w:sz w:val="21"/>
              </w:rPr>
            </w:pPr>
          </w:p>
          <w:p w14:paraId="1D588566">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3C3F6E34">
            <w:pPr>
              <w:spacing w:line="312" w:lineRule="auto"/>
              <w:rPr>
                <w:rFonts w:ascii="Arial"/>
                <w:sz w:val="21"/>
              </w:rPr>
            </w:pPr>
          </w:p>
          <w:p w14:paraId="2EEEA643">
            <w:pPr>
              <w:spacing w:line="313" w:lineRule="auto"/>
              <w:rPr>
                <w:rFonts w:ascii="Arial"/>
                <w:sz w:val="21"/>
              </w:rPr>
            </w:pPr>
          </w:p>
          <w:p w14:paraId="466243DB">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652EE98">
            <w:pPr>
              <w:spacing w:line="388" w:lineRule="auto"/>
              <w:rPr>
                <w:rFonts w:ascii="Arial"/>
                <w:sz w:val="21"/>
              </w:rPr>
            </w:pPr>
          </w:p>
          <w:p w14:paraId="0A607055">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4D71B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trPr>
        <w:tc>
          <w:tcPr>
            <w:tcW w:w="624" w:type="dxa"/>
            <w:vAlign w:val="top"/>
          </w:tcPr>
          <w:p w14:paraId="7B3DE4D5">
            <w:pPr>
              <w:spacing w:line="241" w:lineRule="auto"/>
              <w:rPr>
                <w:rFonts w:ascii="Arial"/>
                <w:sz w:val="21"/>
              </w:rPr>
            </w:pPr>
          </w:p>
          <w:p w14:paraId="2C1235FF">
            <w:pPr>
              <w:spacing w:line="242" w:lineRule="auto"/>
              <w:rPr>
                <w:rFonts w:ascii="Arial"/>
                <w:sz w:val="21"/>
              </w:rPr>
            </w:pPr>
          </w:p>
          <w:p w14:paraId="5E378B3D">
            <w:pPr>
              <w:spacing w:line="242" w:lineRule="auto"/>
              <w:rPr>
                <w:rFonts w:ascii="Arial"/>
                <w:sz w:val="21"/>
              </w:rPr>
            </w:pPr>
          </w:p>
          <w:p w14:paraId="3AFDD65E">
            <w:pPr>
              <w:spacing w:line="242" w:lineRule="auto"/>
              <w:rPr>
                <w:rFonts w:ascii="Arial"/>
                <w:sz w:val="21"/>
              </w:rPr>
            </w:pPr>
          </w:p>
          <w:p w14:paraId="59EBCE68">
            <w:pPr>
              <w:pStyle w:val="8"/>
              <w:spacing w:before="58" w:line="184" w:lineRule="auto"/>
              <w:ind w:left="244"/>
            </w:pPr>
            <w:r>
              <w:rPr>
                <w:spacing w:val="-11"/>
              </w:rPr>
              <w:t>19</w:t>
            </w:r>
          </w:p>
        </w:tc>
        <w:tc>
          <w:tcPr>
            <w:tcW w:w="1104" w:type="dxa"/>
            <w:vAlign w:val="top"/>
          </w:tcPr>
          <w:p w14:paraId="0F2B4198">
            <w:pPr>
              <w:pStyle w:val="8"/>
              <w:spacing w:before="287" w:line="242" w:lineRule="auto"/>
              <w:ind w:left="59" w:right="56"/>
              <w:jc w:val="both"/>
            </w:pPr>
            <w:r>
              <w:rPr>
                <w:spacing w:val="16"/>
              </w:rPr>
              <w:t>对交通运输</w:t>
            </w:r>
            <w:r>
              <w:rPr>
                <w:spacing w:val="1"/>
              </w:rPr>
              <w:t xml:space="preserve"> </w:t>
            </w:r>
            <w:r>
              <w:rPr>
                <w:spacing w:val="16"/>
              </w:rPr>
              <w:t>领域建设工</w:t>
            </w:r>
            <w:r>
              <w:rPr>
                <w:spacing w:val="2"/>
              </w:rPr>
              <w:t xml:space="preserve"> </w:t>
            </w:r>
            <w:r>
              <w:rPr>
                <w:spacing w:val="3"/>
              </w:rPr>
              <w:t>程项</w:t>
            </w:r>
            <w:r>
              <w:rPr>
                <w:spacing w:val="-23"/>
              </w:rPr>
              <w:t xml:space="preserve"> </w:t>
            </w:r>
            <w:r>
              <w:rPr>
                <w:spacing w:val="3"/>
              </w:rPr>
              <w:t>目依法</w:t>
            </w:r>
            <w:r>
              <w:t xml:space="preserve"> </w:t>
            </w:r>
            <w:r>
              <w:rPr>
                <w:spacing w:val="9"/>
              </w:rPr>
              <w:t>应当</w:t>
            </w:r>
            <w:r>
              <w:rPr>
                <w:spacing w:val="-53"/>
              </w:rPr>
              <w:t xml:space="preserve"> </w:t>
            </w:r>
            <w:r>
              <w:rPr>
                <w:spacing w:val="9"/>
              </w:rPr>
              <w:t>公开招</w:t>
            </w:r>
            <w:r>
              <w:t xml:space="preserve"> </w:t>
            </w:r>
            <w:r>
              <w:rPr>
                <w:spacing w:val="16"/>
              </w:rPr>
              <w:t>标而采用邀</w:t>
            </w:r>
            <w:r>
              <w:rPr>
                <w:spacing w:val="2"/>
              </w:rPr>
              <w:t xml:space="preserve"> </w:t>
            </w:r>
            <w:r>
              <w:rPr>
                <w:spacing w:val="16"/>
              </w:rPr>
              <w:t>请招标行为</w:t>
            </w:r>
            <w:r>
              <w:rPr>
                <w:spacing w:val="2"/>
              </w:rPr>
              <w:t xml:space="preserve"> </w:t>
            </w:r>
            <w:r>
              <w:rPr>
                <w:spacing w:val="-1"/>
              </w:rPr>
              <w:t>的行政处罚</w:t>
            </w:r>
          </w:p>
        </w:tc>
        <w:tc>
          <w:tcPr>
            <w:tcW w:w="1104" w:type="dxa"/>
            <w:vAlign w:val="top"/>
          </w:tcPr>
          <w:p w14:paraId="4B1E6BD3">
            <w:pPr>
              <w:spacing w:line="313" w:lineRule="auto"/>
              <w:rPr>
                <w:rFonts w:ascii="Arial"/>
                <w:sz w:val="21"/>
              </w:rPr>
            </w:pPr>
          </w:p>
          <w:p w14:paraId="6613C0B7">
            <w:pPr>
              <w:spacing w:line="313" w:lineRule="auto"/>
              <w:rPr>
                <w:rFonts w:ascii="Arial"/>
                <w:sz w:val="21"/>
              </w:rPr>
            </w:pPr>
          </w:p>
          <w:p w14:paraId="7AF75C91">
            <w:pPr>
              <w:spacing w:line="313" w:lineRule="auto"/>
              <w:rPr>
                <w:rFonts w:ascii="Arial"/>
                <w:sz w:val="21"/>
              </w:rPr>
            </w:pPr>
          </w:p>
          <w:p w14:paraId="2FBA3575">
            <w:pPr>
              <w:pStyle w:val="8"/>
              <w:spacing w:before="59" w:line="220" w:lineRule="auto"/>
              <w:ind w:left="10"/>
            </w:pPr>
            <w:r>
              <w:rPr>
                <w:spacing w:val="-2"/>
              </w:rPr>
              <w:t>行政处罚</w:t>
            </w:r>
          </w:p>
        </w:tc>
        <w:tc>
          <w:tcPr>
            <w:tcW w:w="8549" w:type="dxa"/>
            <w:vAlign w:val="top"/>
          </w:tcPr>
          <w:p w14:paraId="0D0B6189">
            <w:pPr>
              <w:pStyle w:val="8"/>
              <w:spacing w:before="44" w:line="219" w:lineRule="auto"/>
              <w:ind w:left="476"/>
            </w:pPr>
            <w:r>
              <w:rPr>
                <w:b/>
                <w:bCs/>
                <w:spacing w:val="-3"/>
              </w:rPr>
              <w:t>《中华人民共和国招标投标法实施条例》</w:t>
            </w:r>
          </w:p>
          <w:p w14:paraId="5A7E5F5B">
            <w:pPr>
              <w:pStyle w:val="8"/>
              <w:spacing w:before="26" w:line="233" w:lineRule="auto"/>
              <w:ind w:left="114" w:right="159" w:firstLine="357"/>
            </w:pPr>
            <w:r>
              <w:t>第八条  国有资金占控股或者主导地位的依法必须进行招标的项目，应当公开招</w:t>
            </w:r>
            <w:r>
              <w:rPr>
                <w:spacing w:val="-1"/>
              </w:rPr>
              <w:t>标；但有下列情形之</w:t>
            </w:r>
            <w:r>
              <w:t xml:space="preserve"> </w:t>
            </w:r>
            <w:r>
              <w:rPr>
                <w:spacing w:val="-5"/>
              </w:rPr>
              <w:t>一的，可以邀请招标：</w:t>
            </w:r>
          </w:p>
          <w:p w14:paraId="42BF4655">
            <w:pPr>
              <w:pStyle w:val="8"/>
              <w:spacing w:before="24" w:line="219" w:lineRule="auto"/>
              <w:ind w:left="481"/>
            </w:pPr>
            <w:r>
              <w:rPr>
                <w:spacing w:val="-2"/>
              </w:rPr>
              <w:t>（一）技术复杂、有特殊要求或者受自然环境限制，只有少量潜在投标人可供选择；</w:t>
            </w:r>
          </w:p>
          <w:p w14:paraId="4E29906A">
            <w:pPr>
              <w:pStyle w:val="8"/>
              <w:spacing w:before="26" w:line="219" w:lineRule="auto"/>
              <w:ind w:left="481"/>
            </w:pPr>
            <w:r>
              <w:rPr>
                <w:spacing w:val="-2"/>
              </w:rPr>
              <w:t>（二）采用公开招标方式的费用占项目合同金额的比例过大。</w:t>
            </w:r>
          </w:p>
          <w:p w14:paraId="255756DF">
            <w:pPr>
              <w:pStyle w:val="8"/>
              <w:spacing w:before="26" w:line="233" w:lineRule="auto"/>
              <w:ind w:left="111" w:right="159" w:firstLine="360"/>
            </w:pPr>
            <w:r>
              <w:t>有前款第二项所列情形，属于本条例第七条规定的项目，由项目审批、核准部门</w:t>
            </w:r>
            <w:r>
              <w:rPr>
                <w:spacing w:val="-1"/>
              </w:rPr>
              <w:t>在审批、核准项目时</w:t>
            </w:r>
            <w:r>
              <w:t xml:space="preserve"> </w:t>
            </w:r>
            <w:r>
              <w:rPr>
                <w:spacing w:val="-1"/>
              </w:rPr>
              <w:t>作出认定；其他项目由招标人申请有关行政监督部</w:t>
            </w:r>
            <w:r>
              <w:rPr>
                <w:spacing w:val="-2"/>
              </w:rPr>
              <w:t>门作出认定。</w:t>
            </w:r>
          </w:p>
          <w:p w14:paraId="4EA805AD">
            <w:pPr>
              <w:pStyle w:val="8"/>
              <w:spacing w:before="26" w:line="222" w:lineRule="auto"/>
              <w:ind w:left="116" w:right="104" w:firstLine="354"/>
            </w:pPr>
            <w:r>
              <w:rPr>
                <w:spacing w:val="-1"/>
              </w:rPr>
              <w:t>第六十四条第（一）项  招标人有下列情</w:t>
            </w:r>
            <w:r>
              <w:rPr>
                <w:spacing w:val="-2"/>
              </w:rPr>
              <w:t>形之一的，由有关行政监督部门责令改正，可以处</w:t>
            </w:r>
            <w:r>
              <w:rPr>
                <w:spacing w:val="-26"/>
              </w:rPr>
              <w:t xml:space="preserve"> </w:t>
            </w:r>
            <w:r>
              <w:rPr>
                <w:spacing w:val="-2"/>
              </w:rPr>
              <w:t>10</w:t>
            </w:r>
            <w:r>
              <w:rPr>
                <w:spacing w:val="-34"/>
              </w:rPr>
              <w:t xml:space="preserve"> </w:t>
            </w:r>
            <w:r>
              <w:rPr>
                <w:spacing w:val="-2"/>
              </w:rPr>
              <w:t>万元以</w:t>
            </w:r>
            <w:r>
              <w:t xml:space="preserve"> </w:t>
            </w:r>
            <w:r>
              <w:rPr>
                <w:spacing w:val="-2"/>
              </w:rPr>
              <w:t>下的罚款</w:t>
            </w:r>
            <w:r>
              <w:rPr>
                <w:spacing w:val="2"/>
              </w:rPr>
              <w:t>：（</w:t>
            </w:r>
            <w:r>
              <w:rPr>
                <w:spacing w:val="-2"/>
              </w:rPr>
              <w:t>一）依法应当公开招标而采用邀请招标。</w:t>
            </w:r>
          </w:p>
        </w:tc>
        <w:tc>
          <w:tcPr>
            <w:tcW w:w="1014" w:type="dxa"/>
            <w:vAlign w:val="top"/>
          </w:tcPr>
          <w:p w14:paraId="127C8EE3">
            <w:pPr>
              <w:spacing w:line="273" w:lineRule="auto"/>
              <w:rPr>
                <w:rFonts w:ascii="Arial"/>
                <w:sz w:val="21"/>
              </w:rPr>
            </w:pPr>
          </w:p>
          <w:p w14:paraId="213D4B00">
            <w:pPr>
              <w:spacing w:line="273" w:lineRule="auto"/>
              <w:rPr>
                <w:rFonts w:ascii="Arial"/>
                <w:sz w:val="21"/>
              </w:rPr>
            </w:pPr>
          </w:p>
          <w:p w14:paraId="543A6138">
            <w:pPr>
              <w:spacing w:line="274" w:lineRule="auto"/>
              <w:rPr>
                <w:rFonts w:ascii="Arial"/>
                <w:sz w:val="21"/>
              </w:rPr>
            </w:pPr>
          </w:p>
          <w:p w14:paraId="102CF8E9">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017E30E2">
            <w:pPr>
              <w:spacing w:line="273" w:lineRule="auto"/>
              <w:rPr>
                <w:rFonts w:ascii="Arial"/>
                <w:sz w:val="21"/>
              </w:rPr>
            </w:pPr>
          </w:p>
          <w:p w14:paraId="72B59E5C">
            <w:pPr>
              <w:spacing w:line="273" w:lineRule="auto"/>
              <w:rPr>
                <w:rFonts w:ascii="Arial"/>
                <w:sz w:val="21"/>
              </w:rPr>
            </w:pPr>
          </w:p>
          <w:p w14:paraId="7FDEDD64">
            <w:pPr>
              <w:spacing w:line="274" w:lineRule="auto"/>
              <w:rPr>
                <w:rFonts w:ascii="Arial"/>
                <w:sz w:val="21"/>
              </w:rPr>
            </w:pPr>
          </w:p>
          <w:p w14:paraId="16693A82">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3B858BCB">
            <w:pPr>
              <w:spacing w:line="291" w:lineRule="auto"/>
              <w:rPr>
                <w:rFonts w:ascii="Arial"/>
                <w:sz w:val="21"/>
              </w:rPr>
            </w:pPr>
          </w:p>
          <w:p w14:paraId="11F5CEB7">
            <w:pPr>
              <w:spacing w:line="292" w:lineRule="auto"/>
              <w:rPr>
                <w:rFonts w:ascii="Arial"/>
                <w:sz w:val="21"/>
              </w:rPr>
            </w:pPr>
          </w:p>
          <w:p w14:paraId="7A7D2062">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3CEFAA8C">
      <w:pPr>
        <w:pStyle w:val="2"/>
      </w:pPr>
    </w:p>
    <w:p w14:paraId="456C3BBE">
      <w:pPr>
        <w:sectPr>
          <w:footerReference r:id="rId85" w:type="default"/>
          <w:pgSz w:w="16839" w:h="11906"/>
          <w:pgMar w:top="1012" w:right="991" w:bottom="966" w:left="1021" w:header="0" w:footer="768" w:gutter="0"/>
          <w:cols w:space="720" w:num="1"/>
        </w:sectPr>
      </w:pPr>
    </w:p>
    <w:p w14:paraId="74FA0D76">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5690F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10607A79">
            <w:pPr>
              <w:pStyle w:val="8"/>
              <w:spacing w:before="267" w:line="221" w:lineRule="auto"/>
              <w:ind w:left="134"/>
            </w:pPr>
            <w:r>
              <w:rPr>
                <w:b/>
                <w:bCs/>
                <w:spacing w:val="-4"/>
              </w:rPr>
              <w:t>序号</w:t>
            </w:r>
          </w:p>
        </w:tc>
        <w:tc>
          <w:tcPr>
            <w:tcW w:w="1104" w:type="dxa"/>
            <w:vMerge w:val="restart"/>
            <w:tcBorders>
              <w:bottom w:val="nil"/>
            </w:tcBorders>
            <w:vAlign w:val="top"/>
          </w:tcPr>
          <w:p w14:paraId="79A0F660">
            <w:pPr>
              <w:pStyle w:val="8"/>
              <w:spacing w:before="260" w:line="220" w:lineRule="auto"/>
              <w:ind w:left="192"/>
            </w:pPr>
            <w:r>
              <w:rPr>
                <w:b/>
                <w:bCs/>
                <w:spacing w:val="-4"/>
              </w:rPr>
              <w:t>事项名称</w:t>
            </w:r>
          </w:p>
        </w:tc>
        <w:tc>
          <w:tcPr>
            <w:tcW w:w="1104" w:type="dxa"/>
            <w:vMerge w:val="restart"/>
            <w:tcBorders>
              <w:bottom w:val="nil"/>
            </w:tcBorders>
            <w:vAlign w:val="top"/>
          </w:tcPr>
          <w:p w14:paraId="444D848B">
            <w:pPr>
              <w:pStyle w:val="8"/>
              <w:spacing w:before="260" w:line="219" w:lineRule="auto"/>
              <w:ind w:left="193"/>
            </w:pPr>
            <w:r>
              <w:rPr>
                <w:b/>
                <w:bCs/>
                <w:spacing w:val="-4"/>
              </w:rPr>
              <w:t>职权类型</w:t>
            </w:r>
          </w:p>
        </w:tc>
        <w:tc>
          <w:tcPr>
            <w:tcW w:w="8549" w:type="dxa"/>
            <w:vMerge w:val="restart"/>
            <w:tcBorders>
              <w:bottom w:val="nil"/>
            </w:tcBorders>
            <w:vAlign w:val="top"/>
          </w:tcPr>
          <w:p w14:paraId="7A9C1B36">
            <w:pPr>
              <w:pStyle w:val="8"/>
              <w:spacing w:before="259" w:line="219" w:lineRule="auto"/>
              <w:ind w:left="3921"/>
            </w:pPr>
            <w:r>
              <w:rPr>
                <w:b/>
                <w:bCs/>
                <w:spacing w:val="-5"/>
              </w:rPr>
              <w:t>实施依据</w:t>
            </w:r>
          </w:p>
        </w:tc>
        <w:tc>
          <w:tcPr>
            <w:tcW w:w="3439" w:type="dxa"/>
            <w:gridSpan w:val="3"/>
            <w:vAlign w:val="top"/>
          </w:tcPr>
          <w:p w14:paraId="0D504964">
            <w:pPr>
              <w:pStyle w:val="8"/>
              <w:spacing w:before="85" w:line="220" w:lineRule="auto"/>
              <w:ind w:left="1365"/>
            </w:pPr>
            <w:r>
              <w:rPr>
                <w:b/>
                <w:bCs/>
                <w:spacing w:val="-5"/>
              </w:rPr>
              <w:t>实施主体</w:t>
            </w:r>
          </w:p>
        </w:tc>
      </w:tr>
      <w:tr w14:paraId="1FC60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AB65690">
            <w:pPr>
              <w:rPr>
                <w:rFonts w:ascii="Arial"/>
                <w:sz w:val="21"/>
              </w:rPr>
            </w:pPr>
          </w:p>
        </w:tc>
        <w:tc>
          <w:tcPr>
            <w:tcW w:w="1104" w:type="dxa"/>
            <w:vMerge w:val="continue"/>
            <w:tcBorders>
              <w:top w:val="nil"/>
            </w:tcBorders>
            <w:vAlign w:val="top"/>
          </w:tcPr>
          <w:p w14:paraId="3289419F">
            <w:pPr>
              <w:rPr>
                <w:rFonts w:ascii="Arial"/>
                <w:sz w:val="21"/>
              </w:rPr>
            </w:pPr>
          </w:p>
        </w:tc>
        <w:tc>
          <w:tcPr>
            <w:tcW w:w="1104" w:type="dxa"/>
            <w:vMerge w:val="continue"/>
            <w:tcBorders>
              <w:top w:val="nil"/>
            </w:tcBorders>
            <w:vAlign w:val="top"/>
          </w:tcPr>
          <w:p w14:paraId="449E48F7">
            <w:pPr>
              <w:rPr>
                <w:rFonts w:ascii="Arial"/>
                <w:sz w:val="21"/>
              </w:rPr>
            </w:pPr>
          </w:p>
        </w:tc>
        <w:tc>
          <w:tcPr>
            <w:tcW w:w="8549" w:type="dxa"/>
            <w:vMerge w:val="continue"/>
            <w:tcBorders>
              <w:top w:val="nil"/>
            </w:tcBorders>
            <w:vAlign w:val="top"/>
          </w:tcPr>
          <w:p w14:paraId="37E32CC1">
            <w:pPr>
              <w:rPr>
                <w:rFonts w:ascii="Arial"/>
                <w:sz w:val="21"/>
              </w:rPr>
            </w:pPr>
          </w:p>
        </w:tc>
        <w:tc>
          <w:tcPr>
            <w:tcW w:w="1014" w:type="dxa"/>
            <w:vAlign w:val="top"/>
          </w:tcPr>
          <w:p w14:paraId="29F5CFD2">
            <w:pPr>
              <w:pStyle w:val="8"/>
              <w:spacing w:before="81" w:line="219" w:lineRule="auto"/>
              <w:ind w:left="158"/>
            </w:pPr>
            <w:r>
              <w:rPr>
                <w:b/>
                <w:bCs/>
                <w:spacing w:val="-5"/>
              </w:rPr>
              <w:t>责任部门</w:t>
            </w:r>
          </w:p>
        </w:tc>
        <w:tc>
          <w:tcPr>
            <w:tcW w:w="1407" w:type="dxa"/>
            <w:vAlign w:val="top"/>
          </w:tcPr>
          <w:p w14:paraId="0E77B8E9">
            <w:pPr>
              <w:pStyle w:val="8"/>
              <w:spacing w:before="81" w:line="219" w:lineRule="auto"/>
              <w:ind w:left="167"/>
            </w:pPr>
            <w:r>
              <w:rPr>
                <w:b/>
                <w:bCs/>
                <w:spacing w:val="-3"/>
              </w:rPr>
              <w:t>第一责任层级</w:t>
            </w:r>
          </w:p>
        </w:tc>
        <w:tc>
          <w:tcPr>
            <w:tcW w:w="1018" w:type="dxa"/>
            <w:vAlign w:val="top"/>
          </w:tcPr>
          <w:p w14:paraId="3CAE05D5">
            <w:pPr>
              <w:pStyle w:val="8"/>
              <w:spacing w:before="81" w:line="219" w:lineRule="auto"/>
              <w:ind w:left="152"/>
            </w:pPr>
            <w:r>
              <w:rPr>
                <w:b/>
                <w:bCs/>
                <w:spacing w:val="-4"/>
              </w:rPr>
              <w:t>承办机构</w:t>
            </w:r>
          </w:p>
        </w:tc>
      </w:tr>
      <w:tr w14:paraId="0179D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9" w:hRule="atLeast"/>
        </w:trPr>
        <w:tc>
          <w:tcPr>
            <w:tcW w:w="624" w:type="dxa"/>
            <w:vAlign w:val="top"/>
          </w:tcPr>
          <w:p w14:paraId="6034DA7E">
            <w:pPr>
              <w:spacing w:line="255" w:lineRule="auto"/>
              <w:rPr>
                <w:rFonts w:ascii="Arial"/>
                <w:sz w:val="21"/>
              </w:rPr>
            </w:pPr>
          </w:p>
          <w:p w14:paraId="2F00D41B">
            <w:pPr>
              <w:spacing w:line="256" w:lineRule="auto"/>
              <w:rPr>
                <w:rFonts w:ascii="Arial"/>
                <w:sz w:val="21"/>
              </w:rPr>
            </w:pPr>
          </w:p>
          <w:p w14:paraId="5E90A203">
            <w:pPr>
              <w:spacing w:line="256" w:lineRule="auto"/>
              <w:rPr>
                <w:rFonts w:ascii="Arial"/>
                <w:sz w:val="21"/>
              </w:rPr>
            </w:pPr>
          </w:p>
          <w:p w14:paraId="72525C72">
            <w:pPr>
              <w:pStyle w:val="8"/>
              <w:spacing w:before="58" w:line="183" w:lineRule="auto"/>
              <w:ind w:left="233"/>
            </w:pPr>
            <w:r>
              <w:rPr>
                <w:spacing w:val="-5"/>
              </w:rPr>
              <w:t>20</w:t>
            </w:r>
          </w:p>
        </w:tc>
        <w:tc>
          <w:tcPr>
            <w:tcW w:w="1104" w:type="dxa"/>
            <w:vAlign w:val="top"/>
          </w:tcPr>
          <w:p w14:paraId="0D6D7483">
            <w:pPr>
              <w:pStyle w:val="8"/>
              <w:spacing w:before="200" w:line="242"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8"/>
              </w:rPr>
              <w:t>资料</w:t>
            </w:r>
            <w:r>
              <w:rPr>
                <w:spacing w:val="-49"/>
              </w:rPr>
              <w:t xml:space="preserve"> </w:t>
            </w:r>
            <w:r>
              <w:rPr>
                <w:spacing w:val="8"/>
              </w:rPr>
              <w:t>时限不</w:t>
            </w:r>
            <w:r>
              <w:t xml:space="preserve"> </w:t>
            </w:r>
            <w:r>
              <w:rPr>
                <w:spacing w:val="16"/>
              </w:rPr>
              <w:t>符合规定的</w:t>
            </w:r>
            <w:r>
              <w:rPr>
                <w:spacing w:val="1"/>
              </w:rPr>
              <w:t xml:space="preserve"> </w:t>
            </w:r>
            <w:r>
              <w:rPr>
                <w:spacing w:val="-2"/>
              </w:rPr>
              <w:t>行政处罚</w:t>
            </w:r>
          </w:p>
        </w:tc>
        <w:tc>
          <w:tcPr>
            <w:tcW w:w="1104" w:type="dxa"/>
            <w:vAlign w:val="top"/>
          </w:tcPr>
          <w:p w14:paraId="0FF14042">
            <w:pPr>
              <w:spacing w:line="246" w:lineRule="auto"/>
              <w:rPr>
                <w:rFonts w:ascii="Arial"/>
                <w:sz w:val="21"/>
              </w:rPr>
            </w:pPr>
          </w:p>
          <w:p w14:paraId="14C1B6F3">
            <w:pPr>
              <w:spacing w:line="246" w:lineRule="auto"/>
              <w:rPr>
                <w:rFonts w:ascii="Arial"/>
                <w:sz w:val="21"/>
              </w:rPr>
            </w:pPr>
          </w:p>
          <w:p w14:paraId="461B25D2">
            <w:pPr>
              <w:spacing w:line="246" w:lineRule="auto"/>
              <w:rPr>
                <w:rFonts w:ascii="Arial"/>
                <w:sz w:val="21"/>
              </w:rPr>
            </w:pPr>
          </w:p>
          <w:p w14:paraId="34052B5D">
            <w:pPr>
              <w:pStyle w:val="8"/>
              <w:spacing w:before="59" w:line="220" w:lineRule="auto"/>
              <w:ind w:left="10"/>
            </w:pPr>
            <w:r>
              <w:rPr>
                <w:spacing w:val="-2"/>
              </w:rPr>
              <w:t>行政处罚</w:t>
            </w:r>
          </w:p>
        </w:tc>
        <w:tc>
          <w:tcPr>
            <w:tcW w:w="8549" w:type="dxa"/>
            <w:vAlign w:val="top"/>
          </w:tcPr>
          <w:p w14:paraId="72C76B11">
            <w:pPr>
              <w:pStyle w:val="8"/>
              <w:spacing w:before="202" w:line="219" w:lineRule="auto"/>
              <w:ind w:left="476"/>
            </w:pPr>
            <w:r>
              <w:rPr>
                <w:b/>
                <w:bCs/>
                <w:spacing w:val="-3"/>
              </w:rPr>
              <w:t>《中华人民共和国招标投标法实施条例》</w:t>
            </w:r>
          </w:p>
          <w:p w14:paraId="7D939D39">
            <w:pPr>
              <w:pStyle w:val="8"/>
              <w:spacing w:before="25" w:line="233" w:lineRule="auto"/>
              <w:ind w:left="111" w:right="159" w:firstLine="360"/>
            </w:pPr>
            <w:r>
              <w:t>第十六条第一款  招标人应当按照资格预审公告、招标公告或者投标邀请书规定</w:t>
            </w:r>
            <w:r>
              <w:rPr>
                <w:spacing w:val="-1"/>
              </w:rPr>
              <w:t>的时间、地点发售资</w:t>
            </w:r>
            <w:r>
              <w:t xml:space="preserve"> </w:t>
            </w:r>
            <w:r>
              <w:rPr>
                <w:spacing w:val="-2"/>
              </w:rPr>
              <w:t>格预审文件或者招标文件。资格预审文件或者招标文件的发售期不得少于</w:t>
            </w:r>
            <w:r>
              <w:rPr>
                <w:spacing w:val="-21"/>
              </w:rPr>
              <w:t xml:space="preserve"> </w:t>
            </w:r>
            <w:r>
              <w:rPr>
                <w:spacing w:val="-2"/>
              </w:rPr>
              <w:t>5 日。</w:t>
            </w:r>
          </w:p>
          <w:p w14:paraId="3ADDB598">
            <w:pPr>
              <w:pStyle w:val="8"/>
              <w:spacing w:before="26" w:line="237" w:lineRule="auto"/>
              <w:ind w:left="110" w:right="104" w:firstLine="360"/>
            </w:pPr>
            <w:r>
              <w:rPr>
                <w:spacing w:val="-1"/>
              </w:rPr>
              <w:t>第六十四条第（二）项  招标人有下列情</w:t>
            </w:r>
            <w:r>
              <w:rPr>
                <w:spacing w:val="-2"/>
              </w:rPr>
              <w:t>形之一的，由有关行政监督部门责令改正，可以处</w:t>
            </w:r>
            <w:r>
              <w:rPr>
                <w:spacing w:val="-26"/>
              </w:rPr>
              <w:t xml:space="preserve"> </w:t>
            </w:r>
            <w:r>
              <w:rPr>
                <w:spacing w:val="-2"/>
              </w:rPr>
              <w:t>10</w:t>
            </w:r>
            <w:r>
              <w:rPr>
                <w:spacing w:val="-34"/>
              </w:rPr>
              <w:t xml:space="preserve"> </w:t>
            </w:r>
            <w:r>
              <w:rPr>
                <w:spacing w:val="-2"/>
              </w:rPr>
              <w:t>万元以</w:t>
            </w:r>
            <w:r>
              <w:t xml:space="preserve"> 下的罚款：（二）招标文件、资格预审文件的发售、澄清、修改的时限，或者确定的提</w:t>
            </w:r>
            <w:r>
              <w:rPr>
                <w:spacing w:val="-1"/>
              </w:rPr>
              <w:t>交资格预审申请文</w:t>
            </w:r>
            <w:r>
              <w:t xml:space="preserve"> </w:t>
            </w:r>
            <w:r>
              <w:rPr>
                <w:spacing w:val="-2"/>
              </w:rPr>
              <w:t>件、投标文件的时限不符合招标投标法和本条例规定。</w:t>
            </w:r>
          </w:p>
        </w:tc>
        <w:tc>
          <w:tcPr>
            <w:tcW w:w="1014" w:type="dxa"/>
            <w:vAlign w:val="top"/>
          </w:tcPr>
          <w:p w14:paraId="0A12C45D">
            <w:pPr>
              <w:spacing w:line="309" w:lineRule="auto"/>
              <w:rPr>
                <w:rFonts w:ascii="Arial"/>
                <w:sz w:val="21"/>
              </w:rPr>
            </w:pPr>
          </w:p>
          <w:p w14:paraId="622CD34A">
            <w:pPr>
              <w:spacing w:line="310" w:lineRule="auto"/>
              <w:rPr>
                <w:rFonts w:ascii="Arial"/>
                <w:sz w:val="21"/>
              </w:rPr>
            </w:pPr>
          </w:p>
          <w:p w14:paraId="1EFCFF7B">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43B17531">
            <w:pPr>
              <w:spacing w:line="309" w:lineRule="auto"/>
              <w:rPr>
                <w:rFonts w:ascii="Arial"/>
                <w:sz w:val="21"/>
              </w:rPr>
            </w:pPr>
          </w:p>
          <w:p w14:paraId="708962F9">
            <w:pPr>
              <w:spacing w:line="310" w:lineRule="auto"/>
              <w:rPr>
                <w:rFonts w:ascii="Arial"/>
                <w:sz w:val="21"/>
              </w:rPr>
            </w:pPr>
          </w:p>
          <w:p w14:paraId="57CCB9FB">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20CA185">
            <w:pPr>
              <w:spacing w:line="382" w:lineRule="auto"/>
              <w:rPr>
                <w:rFonts w:ascii="Arial"/>
                <w:sz w:val="21"/>
              </w:rPr>
            </w:pPr>
          </w:p>
          <w:p w14:paraId="34CD1F6E">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42767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trPr>
        <w:tc>
          <w:tcPr>
            <w:tcW w:w="624" w:type="dxa"/>
            <w:vAlign w:val="top"/>
          </w:tcPr>
          <w:p w14:paraId="5C63251E">
            <w:pPr>
              <w:spacing w:line="279" w:lineRule="auto"/>
              <w:rPr>
                <w:rFonts w:ascii="Arial"/>
                <w:sz w:val="21"/>
              </w:rPr>
            </w:pPr>
          </w:p>
          <w:p w14:paraId="29CE69E7">
            <w:pPr>
              <w:spacing w:line="279" w:lineRule="auto"/>
              <w:rPr>
                <w:rFonts w:ascii="Arial"/>
                <w:sz w:val="21"/>
              </w:rPr>
            </w:pPr>
          </w:p>
          <w:p w14:paraId="3CEED413">
            <w:pPr>
              <w:spacing w:line="279" w:lineRule="auto"/>
              <w:rPr>
                <w:rFonts w:ascii="Arial"/>
                <w:sz w:val="21"/>
              </w:rPr>
            </w:pPr>
          </w:p>
          <w:p w14:paraId="36313F93">
            <w:pPr>
              <w:spacing w:line="279" w:lineRule="auto"/>
              <w:rPr>
                <w:rFonts w:ascii="Arial"/>
                <w:sz w:val="21"/>
              </w:rPr>
            </w:pPr>
          </w:p>
          <w:p w14:paraId="29BD56BF">
            <w:pPr>
              <w:pStyle w:val="8"/>
              <w:spacing w:before="58" w:line="184" w:lineRule="auto"/>
              <w:ind w:left="233"/>
            </w:pPr>
            <w:r>
              <w:rPr>
                <w:spacing w:val="-5"/>
              </w:rPr>
              <w:t>21</w:t>
            </w:r>
          </w:p>
        </w:tc>
        <w:tc>
          <w:tcPr>
            <w:tcW w:w="1104" w:type="dxa"/>
            <w:vAlign w:val="top"/>
          </w:tcPr>
          <w:p w14:paraId="7F7DA1BE">
            <w:pPr>
              <w:pStyle w:val="8"/>
              <w:spacing w:before="197" w:line="243"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16"/>
              </w:rPr>
              <w:t>人接受未通</w:t>
            </w:r>
            <w:r>
              <w:rPr>
                <w:spacing w:val="1"/>
              </w:rPr>
              <w:t xml:space="preserve"> </w:t>
            </w:r>
            <w:r>
              <w:rPr>
                <w:spacing w:val="16"/>
              </w:rPr>
              <w:t>过资格预审</w:t>
            </w:r>
            <w:r>
              <w:rPr>
                <w:spacing w:val="1"/>
              </w:rPr>
              <w:t xml:space="preserve"> </w:t>
            </w:r>
            <w:r>
              <w:rPr>
                <w:spacing w:val="16"/>
              </w:rPr>
              <w:t>的单位或者</w:t>
            </w:r>
            <w:r>
              <w:rPr>
                <w:spacing w:val="1"/>
              </w:rPr>
              <w:t xml:space="preserve"> </w:t>
            </w:r>
            <w:r>
              <w:rPr>
                <w:spacing w:val="16"/>
              </w:rPr>
              <w:t>个人参加投</w:t>
            </w:r>
            <w:r>
              <w:rPr>
                <w:spacing w:val="1"/>
              </w:rPr>
              <w:t xml:space="preserve"> </w:t>
            </w:r>
            <w:r>
              <w:rPr>
                <w:spacing w:val="16"/>
              </w:rPr>
              <w:t>标行为的行</w:t>
            </w:r>
            <w:r>
              <w:rPr>
                <w:spacing w:val="1"/>
              </w:rPr>
              <w:t xml:space="preserve"> </w:t>
            </w:r>
            <w:r>
              <w:rPr>
                <w:spacing w:val="-2"/>
              </w:rPr>
              <w:t>政处罚</w:t>
            </w:r>
          </w:p>
        </w:tc>
        <w:tc>
          <w:tcPr>
            <w:tcW w:w="1104" w:type="dxa"/>
            <w:vAlign w:val="top"/>
          </w:tcPr>
          <w:p w14:paraId="54A27357">
            <w:pPr>
              <w:spacing w:line="272" w:lineRule="auto"/>
              <w:rPr>
                <w:rFonts w:ascii="Arial"/>
                <w:sz w:val="21"/>
              </w:rPr>
            </w:pPr>
          </w:p>
          <w:p w14:paraId="13B91EE9">
            <w:pPr>
              <w:spacing w:line="272" w:lineRule="auto"/>
              <w:rPr>
                <w:rFonts w:ascii="Arial"/>
                <w:sz w:val="21"/>
              </w:rPr>
            </w:pPr>
          </w:p>
          <w:p w14:paraId="70F9A718">
            <w:pPr>
              <w:spacing w:line="272" w:lineRule="auto"/>
              <w:rPr>
                <w:rFonts w:ascii="Arial"/>
                <w:sz w:val="21"/>
              </w:rPr>
            </w:pPr>
          </w:p>
          <w:p w14:paraId="24C5720E">
            <w:pPr>
              <w:spacing w:line="273" w:lineRule="auto"/>
              <w:rPr>
                <w:rFonts w:ascii="Arial"/>
                <w:sz w:val="21"/>
              </w:rPr>
            </w:pPr>
          </w:p>
          <w:p w14:paraId="4D626839">
            <w:pPr>
              <w:pStyle w:val="8"/>
              <w:spacing w:before="58" w:line="220" w:lineRule="auto"/>
              <w:ind w:left="10"/>
            </w:pPr>
            <w:r>
              <w:rPr>
                <w:spacing w:val="-2"/>
              </w:rPr>
              <w:t>行政处罚</w:t>
            </w:r>
          </w:p>
        </w:tc>
        <w:tc>
          <w:tcPr>
            <w:tcW w:w="8549" w:type="dxa"/>
            <w:vAlign w:val="top"/>
          </w:tcPr>
          <w:p w14:paraId="1DA6F8F4">
            <w:pPr>
              <w:spacing w:line="306" w:lineRule="auto"/>
              <w:rPr>
                <w:rFonts w:ascii="Arial"/>
                <w:sz w:val="21"/>
              </w:rPr>
            </w:pPr>
          </w:p>
          <w:p w14:paraId="76547754">
            <w:pPr>
              <w:spacing w:line="306" w:lineRule="auto"/>
              <w:rPr>
                <w:rFonts w:ascii="Arial"/>
                <w:sz w:val="21"/>
              </w:rPr>
            </w:pPr>
          </w:p>
          <w:p w14:paraId="2673E80F">
            <w:pPr>
              <w:pStyle w:val="8"/>
              <w:spacing w:before="58" w:line="219" w:lineRule="auto"/>
              <w:ind w:left="476"/>
            </w:pPr>
            <w:r>
              <w:rPr>
                <w:b/>
                <w:bCs/>
                <w:spacing w:val="-3"/>
              </w:rPr>
              <w:t>《中华人民共和国招标投标法实施条例》</w:t>
            </w:r>
          </w:p>
          <w:p w14:paraId="65C678BB">
            <w:pPr>
              <w:pStyle w:val="8"/>
              <w:spacing w:before="25" w:line="233" w:lineRule="auto"/>
              <w:ind w:left="111" w:right="104" w:firstLine="360"/>
            </w:pPr>
            <w:r>
              <w:rPr>
                <w:spacing w:val="1"/>
              </w:rPr>
              <w:t>第十九条第一款  资格预审结束后，招标人应当及时向资格预审申请人发出资格预审结果通知书。未</w:t>
            </w:r>
            <w:r>
              <w:rPr>
                <w:spacing w:val="2"/>
              </w:rPr>
              <w:t xml:space="preserve"> </w:t>
            </w:r>
            <w:r>
              <w:rPr>
                <w:spacing w:val="-2"/>
              </w:rPr>
              <w:t>通过资格预审的申请人不具有投标资格。</w:t>
            </w:r>
          </w:p>
          <w:p w14:paraId="11C7DBA8">
            <w:pPr>
              <w:pStyle w:val="8"/>
              <w:spacing w:before="25" w:line="233" w:lineRule="auto"/>
              <w:ind w:left="116" w:right="104" w:firstLine="354"/>
            </w:pPr>
            <w:r>
              <w:rPr>
                <w:spacing w:val="-1"/>
              </w:rPr>
              <w:t>第六十四条第（三）项  招标人有下列情</w:t>
            </w:r>
            <w:r>
              <w:rPr>
                <w:spacing w:val="-2"/>
              </w:rPr>
              <w:t>形之一的，由有关行政监督部门责令改正，可以处</w:t>
            </w:r>
            <w:r>
              <w:rPr>
                <w:spacing w:val="-26"/>
              </w:rPr>
              <w:t xml:space="preserve"> </w:t>
            </w:r>
            <w:r>
              <w:rPr>
                <w:spacing w:val="-2"/>
              </w:rPr>
              <w:t>10</w:t>
            </w:r>
            <w:r>
              <w:rPr>
                <w:spacing w:val="-34"/>
              </w:rPr>
              <w:t xml:space="preserve"> </w:t>
            </w:r>
            <w:r>
              <w:rPr>
                <w:spacing w:val="-2"/>
              </w:rPr>
              <w:t>万元以</w:t>
            </w:r>
            <w:r>
              <w:t xml:space="preserve"> </w:t>
            </w:r>
            <w:r>
              <w:rPr>
                <w:spacing w:val="-2"/>
              </w:rPr>
              <w:t>下的罚款</w:t>
            </w:r>
            <w:r>
              <w:rPr>
                <w:spacing w:val="7"/>
              </w:rPr>
              <w:t>：（</w:t>
            </w:r>
            <w:r>
              <w:rPr>
                <w:spacing w:val="-2"/>
              </w:rPr>
              <w:t>三）接受未通过资格预审的单位或者个人参加投标。</w:t>
            </w:r>
          </w:p>
        </w:tc>
        <w:tc>
          <w:tcPr>
            <w:tcW w:w="1014" w:type="dxa"/>
            <w:vAlign w:val="top"/>
          </w:tcPr>
          <w:p w14:paraId="319C5FB4">
            <w:pPr>
              <w:spacing w:line="242" w:lineRule="auto"/>
              <w:rPr>
                <w:rFonts w:ascii="Arial"/>
                <w:sz w:val="21"/>
              </w:rPr>
            </w:pPr>
          </w:p>
          <w:p w14:paraId="581772A3">
            <w:pPr>
              <w:spacing w:line="242" w:lineRule="auto"/>
              <w:rPr>
                <w:rFonts w:ascii="Arial"/>
                <w:sz w:val="21"/>
              </w:rPr>
            </w:pPr>
          </w:p>
          <w:p w14:paraId="26A95CD6">
            <w:pPr>
              <w:spacing w:line="242" w:lineRule="auto"/>
              <w:rPr>
                <w:rFonts w:ascii="Arial"/>
                <w:sz w:val="21"/>
              </w:rPr>
            </w:pPr>
          </w:p>
          <w:p w14:paraId="606AD220">
            <w:pPr>
              <w:spacing w:line="243" w:lineRule="auto"/>
              <w:rPr>
                <w:rFonts w:ascii="Arial"/>
                <w:sz w:val="21"/>
              </w:rPr>
            </w:pPr>
          </w:p>
          <w:p w14:paraId="47280D34">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DB903E7">
            <w:pPr>
              <w:spacing w:line="242" w:lineRule="auto"/>
              <w:rPr>
                <w:rFonts w:ascii="Arial"/>
                <w:sz w:val="21"/>
              </w:rPr>
            </w:pPr>
          </w:p>
          <w:p w14:paraId="1F465EFE">
            <w:pPr>
              <w:spacing w:line="242" w:lineRule="auto"/>
              <w:rPr>
                <w:rFonts w:ascii="Arial"/>
                <w:sz w:val="21"/>
              </w:rPr>
            </w:pPr>
          </w:p>
          <w:p w14:paraId="029D34C4">
            <w:pPr>
              <w:spacing w:line="242" w:lineRule="auto"/>
              <w:rPr>
                <w:rFonts w:ascii="Arial"/>
                <w:sz w:val="21"/>
              </w:rPr>
            </w:pPr>
          </w:p>
          <w:p w14:paraId="4A71B5BD">
            <w:pPr>
              <w:spacing w:line="243" w:lineRule="auto"/>
              <w:rPr>
                <w:rFonts w:ascii="Arial"/>
                <w:sz w:val="21"/>
              </w:rPr>
            </w:pPr>
          </w:p>
          <w:p w14:paraId="399DA648">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B881E44">
            <w:pPr>
              <w:spacing w:line="244" w:lineRule="auto"/>
              <w:rPr>
                <w:rFonts w:ascii="Arial"/>
                <w:sz w:val="21"/>
              </w:rPr>
            </w:pPr>
          </w:p>
          <w:p w14:paraId="2B82DCEF">
            <w:pPr>
              <w:spacing w:line="244" w:lineRule="auto"/>
              <w:rPr>
                <w:rFonts w:ascii="Arial"/>
                <w:sz w:val="21"/>
              </w:rPr>
            </w:pPr>
          </w:p>
          <w:p w14:paraId="72E572B5">
            <w:pPr>
              <w:spacing w:line="244" w:lineRule="auto"/>
              <w:rPr>
                <w:rFonts w:ascii="Arial"/>
                <w:sz w:val="21"/>
              </w:rPr>
            </w:pPr>
          </w:p>
          <w:p w14:paraId="050374F7">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17BD3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4" w:hRule="atLeast"/>
        </w:trPr>
        <w:tc>
          <w:tcPr>
            <w:tcW w:w="624" w:type="dxa"/>
            <w:vAlign w:val="top"/>
          </w:tcPr>
          <w:p w14:paraId="32BAB1F6">
            <w:pPr>
              <w:spacing w:line="303" w:lineRule="auto"/>
              <w:rPr>
                <w:rFonts w:ascii="Arial"/>
                <w:sz w:val="21"/>
              </w:rPr>
            </w:pPr>
          </w:p>
          <w:p w14:paraId="74FC409B">
            <w:pPr>
              <w:spacing w:line="303" w:lineRule="auto"/>
              <w:rPr>
                <w:rFonts w:ascii="Arial"/>
                <w:sz w:val="21"/>
              </w:rPr>
            </w:pPr>
          </w:p>
          <w:p w14:paraId="4EB85221">
            <w:pPr>
              <w:spacing w:line="303" w:lineRule="auto"/>
              <w:rPr>
                <w:rFonts w:ascii="Arial"/>
                <w:sz w:val="21"/>
              </w:rPr>
            </w:pPr>
          </w:p>
          <w:p w14:paraId="2572455C">
            <w:pPr>
              <w:pStyle w:val="8"/>
              <w:spacing w:before="59" w:line="183" w:lineRule="auto"/>
              <w:ind w:left="233"/>
            </w:pPr>
            <w:r>
              <w:rPr>
                <w:spacing w:val="-5"/>
              </w:rPr>
              <w:t>22</w:t>
            </w:r>
          </w:p>
        </w:tc>
        <w:tc>
          <w:tcPr>
            <w:tcW w:w="1104" w:type="dxa"/>
            <w:vAlign w:val="top"/>
          </w:tcPr>
          <w:p w14:paraId="33FAF82C">
            <w:pPr>
              <w:pStyle w:val="8"/>
              <w:spacing w:before="228" w:line="242"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16"/>
              </w:rPr>
              <w:t>人接受应当</w:t>
            </w:r>
            <w:r>
              <w:rPr>
                <w:spacing w:val="1"/>
              </w:rPr>
              <w:t xml:space="preserve"> </w:t>
            </w:r>
            <w:r>
              <w:rPr>
                <w:spacing w:val="7"/>
              </w:rPr>
              <w:t>拒收</w:t>
            </w:r>
            <w:r>
              <w:rPr>
                <w:spacing w:val="-44"/>
              </w:rPr>
              <w:t xml:space="preserve"> </w:t>
            </w:r>
            <w:r>
              <w:rPr>
                <w:spacing w:val="7"/>
              </w:rPr>
              <w:t>的投标</w:t>
            </w:r>
            <w:r>
              <w:t xml:space="preserve"> </w:t>
            </w:r>
            <w:r>
              <w:rPr>
                <w:spacing w:val="16"/>
              </w:rPr>
              <w:t>文件行为的</w:t>
            </w:r>
            <w:r>
              <w:rPr>
                <w:spacing w:val="1"/>
              </w:rPr>
              <w:t xml:space="preserve"> </w:t>
            </w:r>
            <w:r>
              <w:rPr>
                <w:spacing w:val="-2"/>
              </w:rPr>
              <w:t>行政处罚</w:t>
            </w:r>
          </w:p>
        </w:tc>
        <w:tc>
          <w:tcPr>
            <w:tcW w:w="1104" w:type="dxa"/>
            <w:vAlign w:val="top"/>
          </w:tcPr>
          <w:p w14:paraId="2905D05F">
            <w:pPr>
              <w:spacing w:line="293" w:lineRule="auto"/>
              <w:rPr>
                <w:rFonts w:ascii="Arial"/>
                <w:sz w:val="21"/>
              </w:rPr>
            </w:pPr>
          </w:p>
          <w:p w14:paraId="17C9BA8C">
            <w:pPr>
              <w:spacing w:line="294" w:lineRule="auto"/>
              <w:rPr>
                <w:rFonts w:ascii="Arial"/>
                <w:sz w:val="21"/>
              </w:rPr>
            </w:pPr>
          </w:p>
          <w:p w14:paraId="778F35E8">
            <w:pPr>
              <w:spacing w:line="294" w:lineRule="auto"/>
              <w:rPr>
                <w:rFonts w:ascii="Arial"/>
                <w:sz w:val="21"/>
              </w:rPr>
            </w:pPr>
          </w:p>
          <w:p w14:paraId="05FBAE60">
            <w:pPr>
              <w:pStyle w:val="8"/>
              <w:spacing w:before="59" w:line="220" w:lineRule="auto"/>
              <w:ind w:left="10"/>
            </w:pPr>
            <w:r>
              <w:rPr>
                <w:spacing w:val="-2"/>
              </w:rPr>
              <w:t>行政处罚</w:t>
            </w:r>
          </w:p>
        </w:tc>
        <w:tc>
          <w:tcPr>
            <w:tcW w:w="8549" w:type="dxa"/>
            <w:vAlign w:val="top"/>
          </w:tcPr>
          <w:p w14:paraId="5F662EE9">
            <w:pPr>
              <w:spacing w:line="404" w:lineRule="auto"/>
              <w:rPr>
                <w:rFonts w:ascii="Arial"/>
                <w:sz w:val="21"/>
              </w:rPr>
            </w:pPr>
          </w:p>
          <w:p w14:paraId="5CA21493">
            <w:pPr>
              <w:pStyle w:val="8"/>
              <w:spacing w:before="59" w:line="219" w:lineRule="auto"/>
              <w:ind w:left="476"/>
            </w:pPr>
            <w:r>
              <w:rPr>
                <w:b/>
                <w:bCs/>
                <w:spacing w:val="-3"/>
              </w:rPr>
              <w:t>《中华人民共和国招标投标法实施条例》</w:t>
            </w:r>
          </w:p>
          <w:p w14:paraId="059752EE">
            <w:pPr>
              <w:pStyle w:val="8"/>
              <w:spacing w:before="25" w:line="233" w:lineRule="auto"/>
              <w:ind w:left="112" w:right="159" w:firstLine="358"/>
            </w:pPr>
            <w:r>
              <w:t>第三十六条第一款  未通过资格预审的申请人提交的投标文件，以及逾期送达或</w:t>
            </w:r>
            <w:r>
              <w:rPr>
                <w:spacing w:val="-1"/>
              </w:rPr>
              <w:t>者不按照招标文件要</w:t>
            </w:r>
            <w:r>
              <w:t xml:space="preserve"> </w:t>
            </w:r>
            <w:r>
              <w:rPr>
                <w:spacing w:val="-2"/>
              </w:rPr>
              <w:t>求密封的投标文件，招标人应当拒收。</w:t>
            </w:r>
          </w:p>
          <w:p w14:paraId="6CB0B234">
            <w:pPr>
              <w:pStyle w:val="8"/>
              <w:spacing w:before="25" w:line="233" w:lineRule="auto"/>
              <w:ind w:left="116" w:right="104" w:firstLine="354"/>
            </w:pPr>
            <w:r>
              <w:rPr>
                <w:spacing w:val="-1"/>
              </w:rPr>
              <w:t>第六十四条第（四）项  招标人有下列情</w:t>
            </w:r>
            <w:r>
              <w:rPr>
                <w:spacing w:val="-2"/>
              </w:rPr>
              <w:t>形之一的，由有关行政监督部门责令改正，可以处</w:t>
            </w:r>
            <w:r>
              <w:rPr>
                <w:spacing w:val="-26"/>
              </w:rPr>
              <w:t xml:space="preserve"> </w:t>
            </w:r>
            <w:r>
              <w:rPr>
                <w:spacing w:val="-2"/>
              </w:rPr>
              <w:t>10</w:t>
            </w:r>
            <w:r>
              <w:rPr>
                <w:spacing w:val="-34"/>
              </w:rPr>
              <w:t xml:space="preserve"> </w:t>
            </w:r>
            <w:r>
              <w:rPr>
                <w:spacing w:val="-2"/>
              </w:rPr>
              <w:t>万元以</w:t>
            </w:r>
            <w:r>
              <w:t xml:space="preserve"> </w:t>
            </w:r>
            <w:r>
              <w:rPr>
                <w:spacing w:val="-2"/>
              </w:rPr>
              <w:t>下的罚款</w:t>
            </w:r>
            <w:r>
              <w:rPr>
                <w:spacing w:val="-1"/>
              </w:rPr>
              <w:t>：（</w:t>
            </w:r>
            <w:r>
              <w:rPr>
                <w:spacing w:val="-2"/>
              </w:rPr>
              <w:t>四）接受应当拒收的投标文件。</w:t>
            </w:r>
          </w:p>
        </w:tc>
        <w:tc>
          <w:tcPr>
            <w:tcW w:w="1014" w:type="dxa"/>
            <w:vAlign w:val="top"/>
          </w:tcPr>
          <w:p w14:paraId="5A44311D">
            <w:pPr>
              <w:spacing w:line="254" w:lineRule="auto"/>
              <w:rPr>
                <w:rFonts w:ascii="Arial"/>
                <w:sz w:val="21"/>
              </w:rPr>
            </w:pPr>
          </w:p>
          <w:p w14:paraId="400DD3E4">
            <w:pPr>
              <w:spacing w:line="254" w:lineRule="auto"/>
              <w:rPr>
                <w:rFonts w:ascii="Arial"/>
                <w:sz w:val="21"/>
              </w:rPr>
            </w:pPr>
          </w:p>
          <w:p w14:paraId="4D64C327">
            <w:pPr>
              <w:spacing w:line="254" w:lineRule="auto"/>
              <w:rPr>
                <w:rFonts w:ascii="Arial"/>
                <w:sz w:val="21"/>
              </w:rPr>
            </w:pPr>
          </w:p>
          <w:p w14:paraId="5A6B700D">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71E4E7E1">
            <w:pPr>
              <w:spacing w:line="254" w:lineRule="auto"/>
              <w:rPr>
                <w:rFonts w:ascii="Arial"/>
                <w:sz w:val="21"/>
              </w:rPr>
            </w:pPr>
          </w:p>
          <w:p w14:paraId="3719D765">
            <w:pPr>
              <w:spacing w:line="254" w:lineRule="auto"/>
              <w:rPr>
                <w:rFonts w:ascii="Arial"/>
                <w:sz w:val="21"/>
              </w:rPr>
            </w:pPr>
          </w:p>
          <w:p w14:paraId="5773F978">
            <w:pPr>
              <w:spacing w:line="254" w:lineRule="auto"/>
              <w:rPr>
                <w:rFonts w:ascii="Arial"/>
                <w:sz w:val="21"/>
              </w:rPr>
            </w:pPr>
          </w:p>
          <w:p w14:paraId="17BF5904">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6300F86">
            <w:pPr>
              <w:spacing w:line="262" w:lineRule="auto"/>
              <w:rPr>
                <w:rFonts w:ascii="Arial"/>
                <w:sz w:val="21"/>
              </w:rPr>
            </w:pPr>
          </w:p>
          <w:p w14:paraId="0B99F771">
            <w:pPr>
              <w:spacing w:line="263" w:lineRule="auto"/>
              <w:rPr>
                <w:rFonts w:ascii="Arial"/>
                <w:sz w:val="21"/>
              </w:rPr>
            </w:pPr>
          </w:p>
          <w:p w14:paraId="758E1844">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0098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6" w:hRule="atLeast"/>
        </w:trPr>
        <w:tc>
          <w:tcPr>
            <w:tcW w:w="624" w:type="dxa"/>
            <w:vAlign w:val="top"/>
          </w:tcPr>
          <w:p w14:paraId="6FDD7AA7">
            <w:pPr>
              <w:spacing w:line="292" w:lineRule="auto"/>
              <w:rPr>
                <w:rFonts w:ascii="Arial"/>
                <w:sz w:val="21"/>
              </w:rPr>
            </w:pPr>
          </w:p>
          <w:p w14:paraId="67146057">
            <w:pPr>
              <w:spacing w:line="292" w:lineRule="auto"/>
              <w:rPr>
                <w:rFonts w:ascii="Arial"/>
                <w:sz w:val="21"/>
              </w:rPr>
            </w:pPr>
          </w:p>
          <w:p w14:paraId="242CFA45">
            <w:pPr>
              <w:spacing w:line="293" w:lineRule="auto"/>
              <w:rPr>
                <w:rFonts w:ascii="Arial"/>
                <w:sz w:val="21"/>
              </w:rPr>
            </w:pPr>
          </w:p>
          <w:p w14:paraId="2A8C31C2">
            <w:pPr>
              <w:spacing w:line="293" w:lineRule="auto"/>
              <w:rPr>
                <w:rFonts w:ascii="Arial"/>
                <w:sz w:val="21"/>
              </w:rPr>
            </w:pPr>
          </w:p>
          <w:p w14:paraId="79E7398B">
            <w:pPr>
              <w:pStyle w:val="8"/>
              <w:spacing w:before="58" w:line="183" w:lineRule="auto"/>
              <w:ind w:left="233"/>
            </w:pPr>
            <w:r>
              <w:rPr>
                <w:spacing w:val="-5"/>
              </w:rPr>
              <w:t>23</w:t>
            </w:r>
          </w:p>
        </w:tc>
        <w:tc>
          <w:tcPr>
            <w:tcW w:w="1104" w:type="dxa"/>
            <w:vAlign w:val="top"/>
          </w:tcPr>
          <w:p w14:paraId="78B17562">
            <w:pPr>
              <w:pStyle w:val="8"/>
              <w:spacing w:before="249" w:line="243"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16"/>
              </w:rPr>
              <w:t>人超额收取</w:t>
            </w:r>
            <w:r>
              <w:rPr>
                <w:spacing w:val="1"/>
              </w:rPr>
              <w:t xml:space="preserve"> </w:t>
            </w:r>
            <w:r>
              <w:rPr>
                <w:spacing w:val="16"/>
              </w:rPr>
              <w:t>保证金或者</w:t>
            </w:r>
            <w:r>
              <w:rPr>
                <w:spacing w:val="1"/>
              </w:rPr>
              <w:t xml:space="preserve"> </w:t>
            </w:r>
            <w:r>
              <w:rPr>
                <w:spacing w:val="16"/>
              </w:rPr>
              <w:t>不按规定退</w:t>
            </w:r>
            <w:r>
              <w:rPr>
                <w:spacing w:val="1"/>
              </w:rPr>
              <w:t xml:space="preserve"> </w:t>
            </w:r>
            <w:r>
              <w:rPr>
                <w:spacing w:val="16"/>
              </w:rPr>
              <w:t>还保证金及</w:t>
            </w:r>
            <w:r>
              <w:rPr>
                <w:spacing w:val="1"/>
              </w:rPr>
              <w:t xml:space="preserve"> </w:t>
            </w:r>
            <w:r>
              <w:rPr>
                <w:spacing w:val="16"/>
              </w:rPr>
              <w:t>利息行为的</w:t>
            </w:r>
            <w:r>
              <w:rPr>
                <w:spacing w:val="1"/>
              </w:rPr>
              <w:t xml:space="preserve"> </w:t>
            </w:r>
            <w:r>
              <w:rPr>
                <w:spacing w:val="-2"/>
              </w:rPr>
              <w:t>行政处罚</w:t>
            </w:r>
          </w:p>
        </w:tc>
        <w:tc>
          <w:tcPr>
            <w:tcW w:w="1104" w:type="dxa"/>
            <w:vAlign w:val="top"/>
          </w:tcPr>
          <w:p w14:paraId="1CAF9E14">
            <w:pPr>
              <w:spacing w:line="285" w:lineRule="auto"/>
              <w:rPr>
                <w:rFonts w:ascii="Arial"/>
                <w:sz w:val="21"/>
              </w:rPr>
            </w:pPr>
          </w:p>
          <w:p w14:paraId="62FBF0BB">
            <w:pPr>
              <w:spacing w:line="285" w:lineRule="auto"/>
              <w:rPr>
                <w:rFonts w:ascii="Arial"/>
                <w:sz w:val="21"/>
              </w:rPr>
            </w:pPr>
          </w:p>
          <w:p w14:paraId="7BEA4AAF">
            <w:pPr>
              <w:spacing w:line="285" w:lineRule="auto"/>
              <w:rPr>
                <w:rFonts w:ascii="Arial"/>
                <w:sz w:val="21"/>
              </w:rPr>
            </w:pPr>
          </w:p>
          <w:p w14:paraId="7F4AE681">
            <w:pPr>
              <w:spacing w:line="286" w:lineRule="auto"/>
              <w:rPr>
                <w:rFonts w:ascii="Arial"/>
                <w:sz w:val="21"/>
              </w:rPr>
            </w:pPr>
          </w:p>
          <w:p w14:paraId="70CD4AE7">
            <w:pPr>
              <w:pStyle w:val="8"/>
              <w:spacing w:before="59" w:line="220" w:lineRule="auto"/>
              <w:ind w:left="10"/>
            </w:pPr>
            <w:r>
              <w:rPr>
                <w:spacing w:val="-2"/>
              </w:rPr>
              <w:t>行政处罚</w:t>
            </w:r>
          </w:p>
        </w:tc>
        <w:tc>
          <w:tcPr>
            <w:tcW w:w="8549" w:type="dxa"/>
            <w:vAlign w:val="top"/>
          </w:tcPr>
          <w:p w14:paraId="227B09BB">
            <w:pPr>
              <w:pStyle w:val="8"/>
              <w:spacing w:before="127" w:line="219" w:lineRule="auto"/>
              <w:ind w:left="476"/>
            </w:pPr>
            <w:r>
              <w:rPr>
                <w:b/>
                <w:bCs/>
                <w:spacing w:val="-3"/>
              </w:rPr>
              <w:t>《中华人民共和国招标投标法实施条例》</w:t>
            </w:r>
          </w:p>
          <w:p w14:paraId="7FAFA83A">
            <w:pPr>
              <w:pStyle w:val="8"/>
              <w:spacing w:before="26" w:line="232" w:lineRule="auto"/>
              <w:ind w:left="145" w:right="159" w:firstLine="325"/>
            </w:pPr>
            <w:r>
              <w:t>第二十六条第一款  招标人在招标文件中要求投标人提交投标保证金的，投标保</w:t>
            </w:r>
            <w:r>
              <w:rPr>
                <w:spacing w:val="-1"/>
              </w:rPr>
              <w:t>证金不得超过招标项</w:t>
            </w:r>
            <w:r>
              <w:t xml:space="preserve"> </w:t>
            </w:r>
            <w:r>
              <w:rPr>
                <w:spacing w:val="-3"/>
              </w:rPr>
              <w:t>目估算价的</w:t>
            </w:r>
            <w:r>
              <w:rPr>
                <w:spacing w:val="-19"/>
              </w:rPr>
              <w:t xml:space="preserve"> </w:t>
            </w:r>
            <w:r>
              <w:rPr>
                <w:spacing w:val="-3"/>
              </w:rPr>
              <w:t>2%。投标保证金有效期应当与投标有效期一致。</w:t>
            </w:r>
          </w:p>
          <w:p w14:paraId="36DCC662">
            <w:pPr>
              <w:pStyle w:val="8"/>
              <w:spacing w:before="29" w:line="241" w:lineRule="auto"/>
              <w:ind w:left="111" w:right="159" w:firstLine="360"/>
            </w:pPr>
            <w:r>
              <w:t>第三十一条  招标人终止招标的，应当及时发布公告，或者以书面形式通知被邀</w:t>
            </w:r>
            <w:r>
              <w:rPr>
                <w:spacing w:val="-1"/>
              </w:rPr>
              <w:t>请的或者已经获取资</w:t>
            </w:r>
            <w:r>
              <w:t xml:space="preserve"> 格预审文件、招标文件的潜在投标人。已经发售资格预审文件、招标文件或者已经收</w:t>
            </w:r>
            <w:r>
              <w:rPr>
                <w:spacing w:val="-1"/>
              </w:rPr>
              <w:t>取投标保证金的，招</w:t>
            </w:r>
            <w:r>
              <w:t xml:space="preserve"> 标人应当及时退还所收取的资格预审文件、招标文件的费用，以及所收取的投标保证</w:t>
            </w:r>
            <w:r>
              <w:rPr>
                <w:spacing w:val="-1"/>
              </w:rPr>
              <w:t>金及银行同期存款利</w:t>
            </w:r>
            <w:r>
              <w:t xml:space="preserve"> </w:t>
            </w:r>
            <w:r>
              <w:rPr>
                <w:spacing w:val="-9"/>
              </w:rPr>
              <w:t>息。</w:t>
            </w:r>
          </w:p>
          <w:p w14:paraId="1BC00B2B">
            <w:pPr>
              <w:pStyle w:val="8"/>
              <w:spacing w:before="18" w:line="237" w:lineRule="auto"/>
              <w:ind w:left="111" w:right="159" w:firstLine="360"/>
              <w:jc w:val="both"/>
            </w:pPr>
            <w:r>
              <w:t>第六十六条  招标人超过本条例规定的比例收取投标保证金、履约保证金或者不</w:t>
            </w:r>
            <w:r>
              <w:rPr>
                <w:spacing w:val="-1"/>
              </w:rPr>
              <w:t>按照规定退还投标保</w:t>
            </w:r>
            <w:r>
              <w:t xml:space="preserve"> </w:t>
            </w:r>
            <w:r>
              <w:rPr>
                <w:spacing w:val="-1"/>
              </w:rPr>
              <w:t>证金及银行同期存款利息的，由有关行政监督部门责令改正，可以处</w:t>
            </w:r>
            <w:r>
              <w:rPr>
                <w:spacing w:val="-18"/>
              </w:rPr>
              <w:t xml:space="preserve"> </w:t>
            </w:r>
            <w:r>
              <w:rPr>
                <w:spacing w:val="-1"/>
              </w:rPr>
              <w:t>5</w:t>
            </w:r>
            <w:r>
              <w:rPr>
                <w:spacing w:val="-35"/>
              </w:rPr>
              <w:t xml:space="preserve"> </w:t>
            </w:r>
            <w:r>
              <w:rPr>
                <w:spacing w:val="-1"/>
              </w:rPr>
              <w:t>万元以下的罚款；给他人造成损失</w:t>
            </w:r>
            <w:r>
              <w:t xml:space="preserve"> </w:t>
            </w:r>
            <w:r>
              <w:rPr>
                <w:spacing w:val="-3"/>
              </w:rPr>
              <w:t>的，依法承担赔偿责任。</w:t>
            </w:r>
          </w:p>
        </w:tc>
        <w:tc>
          <w:tcPr>
            <w:tcW w:w="1014" w:type="dxa"/>
            <w:vAlign w:val="top"/>
          </w:tcPr>
          <w:p w14:paraId="64C2AA00">
            <w:pPr>
              <w:spacing w:line="255" w:lineRule="auto"/>
              <w:rPr>
                <w:rFonts w:ascii="Arial"/>
                <w:sz w:val="21"/>
              </w:rPr>
            </w:pPr>
          </w:p>
          <w:p w14:paraId="30019D21">
            <w:pPr>
              <w:spacing w:line="255" w:lineRule="auto"/>
              <w:rPr>
                <w:rFonts w:ascii="Arial"/>
                <w:sz w:val="21"/>
              </w:rPr>
            </w:pPr>
          </w:p>
          <w:p w14:paraId="78A59C0A">
            <w:pPr>
              <w:spacing w:line="256" w:lineRule="auto"/>
              <w:rPr>
                <w:rFonts w:ascii="Arial"/>
                <w:sz w:val="21"/>
              </w:rPr>
            </w:pPr>
          </w:p>
          <w:p w14:paraId="7992E937">
            <w:pPr>
              <w:spacing w:line="256" w:lineRule="auto"/>
              <w:rPr>
                <w:rFonts w:ascii="Arial"/>
                <w:sz w:val="21"/>
              </w:rPr>
            </w:pPr>
          </w:p>
          <w:p w14:paraId="2067D9EF">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6959C450">
            <w:pPr>
              <w:spacing w:line="255" w:lineRule="auto"/>
              <w:rPr>
                <w:rFonts w:ascii="Arial"/>
                <w:sz w:val="21"/>
              </w:rPr>
            </w:pPr>
          </w:p>
          <w:p w14:paraId="48057929">
            <w:pPr>
              <w:spacing w:line="255" w:lineRule="auto"/>
              <w:rPr>
                <w:rFonts w:ascii="Arial"/>
                <w:sz w:val="21"/>
              </w:rPr>
            </w:pPr>
          </w:p>
          <w:p w14:paraId="14B43E53">
            <w:pPr>
              <w:spacing w:line="256" w:lineRule="auto"/>
              <w:rPr>
                <w:rFonts w:ascii="Arial"/>
                <w:sz w:val="21"/>
              </w:rPr>
            </w:pPr>
          </w:p>
          <w:p w14:paraId="04603AF8">
            <w:pPr>
              <w:spacing w:line="256" w:lineRule="auto"/>
              <w:rPr>
                <w:rFonts w:ascii="Arial"/>
                <w:sz w:val="21"/>
              </w:rPr>
            </w:pPr>
          </w:p>
          <w:p w14:paraId="1A1F9EE4">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E0724E5">
            <w:pPr>
              <w:spacing w:line="261" w:lineRule="auto"/>
              <w:rPr>
                <w:rFonts w:ascii="Arial"/>
                <w:sz w:val="21"/>
              </w:rPr>
            </w:pPr>
          </w:p>
          <w:p w14:paraId="75E4A51A">
            <w:pPr>
              <w:spacing w:line="262" w:lineRule="auto"/>
              <w:rPr>
                <w:rFonts w:ascii="Arial"/>
                <w:sz w:val="21"/>
              </w:rPr>
            </w:pPr>
          </w:p>
          <w:p w14:paraId="1E0EC4B8">
            <w:pPr>
              <w:spacing w:line="262" w:lineRule="auto"/>
              <w:rPr>
                <w:rFonts w:ascii="Arial"/>
                <w:sz w:val="21"/>
              </w:rPr>
            </w:pPr>
          </w:p>
          <w:p w14:paraId="530F3B96">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2B74610">
      <w:pPr>
        <w:pStyle w:val="2"/>
        <w:spacing w:line="192" w:lineRule="exact"/>
        <w:rPr>
          <w:sz w:val="16"/>
        </w:rPr>
      </w:pPr>
    </w:p>
    <w:p w14:paraId="1F7E5371">
      <w:pPr>
        <w:spacing w:line="192" w:lineRule="exact"/>
        <w:rPr>
          <w:sz w:val="16"/>
          <w:szCs w:val="16"/>
        </w:rPr>
        <w:sectPr>
          <w:footerReference r:id="rId86" w:type="default"/>
          <w:pgSz w:w="16839" w:h="11906"/>
          <w:pgMar w:top="1012" w:right="991" w:bottom="966" w:left="1021" w:header="0" w:footer="768" w:gutter="0"/>
          <w:cols w:space="720" w:num="1"/>
        </w:sectPr>
      </w:pPr>
    </w:p>
    <w:p w14:paraId="0BBEB0ED">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0DE7C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4" w:type="dxa"/>
            <w:vMerge w:val="restart"/>
            <w:tcBorders>
              <w:bottom w:val="nil"/>
            </w:tcBorders>
            <w:vAlign w:val="top"/>
          </w:tcPr>
          <w:p w14:paraId="06017240">
            <w:pPr>
              <w:pStyle w:val="8"/>
              <w:spacing w:before="267" w:line="221" w:lineRule="auto"/>
              <w:ind w:left="134"/>
            </w:pPr>
            <w:r>
              <w:rPr>
                <w:b/>
                <w:bCs/>
                <w:spacing w:val="-4"/>
              </w:rPr>
              <w:t>序号</w:t>
            </w:r>
          </w:p>
        </w:tc>
        <w:tc>
          <w:tcPr>
            <w:tcW w:w="1104" w:type="dxa"/>
            <w:vMerge w:val="restart"/>
            <w:tcBorders>
              <w:bottom w:val="nil"/>
            </w:tcBorders>
            <w:vAlign w:val="top"/>
          </w:tcPr>
          <w:p w14:paraId="4B34C35C">
            <w:pPr>
              <w:pStyle w:val="8"/>
              <w:spacing w:before="260" w:line="220" w:lineRule="auto"/>
              <w:ind w:left="192"/>
            </w:pPr>
            <w:r>
              <w:rPr>
                <w:b/>
                <w:bCs/>
                <w:spacing w:val="-4"/>
              </w:rPr>
              <w:t>事项名称</w:t>
            </w:r>
          </w:p>
        </w:tc>
        <w:tc>
          <w:tcPr>
            <w:tcW w:w="1104" w:type="dxa"/>
            <w:vMerge w:val="restart"/>
            <w:tcBorders>
              <w:bottom w:val="nil"/>
            </w:tcBorders>
            <w:vAlign w:val="top"/>
          </w:tcPr>
          <w:p w14:paraId="20233E63">
            <w:pPr>
              <w:pStyle w:val="8"/>
              <w:spacing w:before="260" w:line="219" w:lineRule="auto"/>
              <w:ind w:left="193"/>
            </w:pPr>
            <w:r>
              <w:rPr>
                <w:b/>
                <w:bCs/>
                <w:spacing w:val="-4"/>
              </w:rPr>
              <w:t>职权类型</w:t>
            </w:r>
          </w:p>
        </w:tc>
        <w:tc>
          <w:tcPr>
            <w:tcW w:w="8549" w:type="dxa"/>
            <w:vMerge w:val="restart"/>
            <w:tcBorders>
              <w:bottom w:val="nil"/>
            </w:tcBorders>
            <w:vAlign w:val="top"/>
          </w:tcPr>
          <w:p w14:paraId="28DC5967">
            <w:pPr>
              <w:pStyle w:val="8"/>
              <w:spacing w:before="259" w:line="219" w:lineRule="auto"/>
              <w:ind w:left="3921"/>
            </w:pPr>
            <w:r>
              <w:rPr>
                <w:b/>
                <w:bCs/>
                <w:spacing w:val="-5"/>
              </w:rPr>
              <w:t>实施依据</w:t>
            </w:r>
          </w:p>
        </w:tc>
        <w:tc>
          <w:tcPr>
            <w:tcW w:w="3439" w:type="dxa"/>
            <w:gridSpan w:val="3"/>
            <w:vAlign w:val="top"/>
          </w:tcPr>
          <w:p w14:paraId="20A5F355">
            <w:pPr>
              <w:pStyle w:val="8"/>
              <w:spacing w:before="85" w:line="220" w:lineRule="auto"/>
              <w:ind w:left="1365"/>
            </w:pPr>
            <w:r>
              <w:rPr>
                <w:b/>
                <w:bCs/>
                <w:spacing w:val="-5"/>
              </w:rPr>
              <w:t>实施主体</w:t>
            </w:r>
          </w:p>
        </w:tc>
      </w:tr>
      <w:tr w14:paraId="12B6A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102BEEF2">
            <w:pPr>
              <w:rPr>
                <w:rFonts w:ascii="Arial"/>
                <w:sz w:val="21"/>
              </w:rPr>
            </w:pPr>
          </w:p>
        </w:tc>
        <w:tc>
          <w:tcPr>
            <w:tcW w:w="1104" w:type="dxa"/>
            <w:vMerge w:val="continue"/>
            <w:tcBorders>
              <w:top w:val="nil"/>
            </w:tcBorders>
            <w:vAlign w:val="top"/>
          </w:tcPr>
          <w:p w14:paraId="7367D59C">
            <w:pPr>
              <w:rPr>
                <w:rFonts w:ascii="Arial"/>
                <w:sz w:val="21"/>
              </w:rPr>
            </w:pPr>
          </w:p>
        </w:tc>
        <w:tc>
          <w:tcPr>
            <w:tcW w:w="1104" w:type="dxa"/>
            <w:vMerge w:val="continue"/>
            <w:tcBorders>
              <w:top w:val="nil"/>
            </w:tcBorders>
            <w:vAlign w:val="top"/>
          </w:tcPr>
          <w:p w14:paraId="31E8B624">
            <w:pPr>
              <w:rPr>
                <w:rFonts w:ascii="Arial"/>
                <w:sz w:val="21"/>
              </w:rPr>
            </w:pPr>
          </w:p>
        </w:tc>
        <w:tc>
          <w:tcPr>
            <w:tcW w:w="8549" w:type="dxa"/>
            <w:vMerge w:val="continue"/>
            <w:tcBorders>
              <w:top w:val="nil"/>
            </w:tcBorders>
            <w:vAlign w:val="top"/>
          </w:tcPr>
          <w:p w14:paraId="61738935">
            <w:pPr>
              <w:rPr>
                <w:rFonts w:ascii="Arial"/>
                <w:sz w:val="21"/>
              </w:rPr>
            </w:pPr>
          </w:p>
        </w:tc>
        <w:tc>
          <w:tcPr>
            <w:tcW w:w="1014" w:type="dxa"/>
            <w:vAlign w:val="top"/>
          </w:tcPr>
          <w:p w14:paraId="36003508">
            <w:pPr>
              <w:pStyle w:val="8"/>
              <w:spacing w:before="80" w:line="219" w:lineRule="auto"/>
              <w:ind w:left="158"/>
            </w:pPr>
            <w:r>
              <w:rPr>
                <w:b/>
                <w:bCs/>
                <w:spacing w:val="-5"/>
              </w:rPr>
              <w:t>责任部门</w:t>
            </w:r>
          </w:p>
        </w:tc>
        <w:tc>
          <w:tcPr>
            <w:tcW w:w="1407" w:type="dxa"/>
            <w:vAlign w:val="top"/>
          </w:tcPr>
          <w:p w14:paraId="37CFC11B">
            <w:pPr>
              <w:pStyle w:val="8"/>
              <w:spacing w:before="80" w:line="219" w:lineRule="auto"/>
              <w:ind w:left="167"/>
            </w:pPr>
            <w:r>
              <w:rPr>
                <w:b/>
                <w:bCs/>
                <w:spacing w:val="-3"/>
              </w:rPr>
              <w:t>第一责任层级</w:t>
            </w:r>
          </w:p>
        </w:tc>
        <w:tc>
          <w:tcPr>
            <w:tcW w:w="1018" w:type="dxa"/>
            <w:vAlign w:val="top"/>
          </w:tcPr>
          <w:p w14:paraId="0B6EE646">
            <w:pPr>
              <w:pStyle w:val="8"/>
              <w:spacing w:before="80" w:line="219" w:lineRule="auto"/>
              <w:ind w:left="152"/>
            </w:pPr>
            <w:r>
              <w:rPr>
                <w:b/>
                <w:bCs/>
                <w:spacing w:val="-4"/>
              </w:rPr>
              <w:t>承办机构</w:t>
            </w:r>
          </w:p>
        </w:tc>
      </w:tr>
      <w:tr w14:paraId="3F146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1" w:hRule="atLeast"/>
        </w:trPr>
        <w:tc>
          <w:tcPr>
            <w:tcW w:w="624" w:type="dxa"/>
            <w:vAlign w:val="top"/>
          </w:tcPr>
          <w:p w14:paraId="0A603603">
            <w:pPr>
              <w:spacing w:line="269" w:lineRule="auto"/>
              <w:rPr>
                <w:rFonts w:ascii="Arial"/>
                <w:sz w:val="21"/>
              </w:rPr>
            </w:pPr>
          </w:p>
          <w:p w14:paraId="03E831DB">
            <w:pPr>
              <w:spacing w:line="269" w:lineRule="auto"/>
              <w:rPr>
                <w:rFonts w:ascii="Arial"/>
                <w:sz w:val="21"/>
              </w:rPr>
            </w:pPr>
          </w:p>
          <w:p w14:paraId="3892F380">
            <w:pPr>
              <w:spacing w:line="270" w:lineRule="auto"/>
              <w:rPr>
                <w:rFonts w:ascii="Arial"/>
                <w:sz w:val="21"/>
              </w:rPr>
            </w:pPr>
          </w:p>
          <w:p w14:paraId="19A1AFD4">
            <w:pPr>
              <w:spacing w:line="270" w:lineRule="auto"/>
              <w:rPr>
                <w:rFonts w:ascii="Arial"/>
                <w:sz w:val="21"/>
              </w:rPr>
            </w:pPr>
          </w:p>
          <w:p w14:paraId="25EF67DA">
            <w:pPr>
              <w:spacing w:line="270" w:lineRule="auto"/>
              <w:rPr>
                <w:rFonts w:ascii="Arial"/>
                <w:sz w:val="21"/>
              </w:rPr>
            </w:pPr>
          </w:p>
          <w:p w14:paraId="48EAB358">
            <w:pPr>
              <w:pStyle w:val="8"/>
              <w:spacing w:before="58" w:line="183" w:lineRule="auto"/>
              <w:ind w:left="233"/>
            </w:pPr>
            <w:r>
              <w:rPr>
                <w:spacing w:val="-5"/>
              </w:rPr>
              <w:t>24</w:t>
            </w:r>
          </w:p>
        </w:tc>
        <w:tc>
          <w:tcPr>
            <w:tcW w:w="1104" w:type="dxa"/>
            <w:vAlign w:val="top"/>
          </w:tcPr>
          <w:p w14:paraId="2B1F624A">
            <w:pPr>
              <w:spacing w:line="242" w:lineRule="auto"/>
              <w:rPr>
                <w:rFonts w:ascii="Arial"/>
                <w:sz w:val="21"/>
              </w:rPr>
            </w:pPr>
          </w:p>
          <w:p w14:paraId="5B4D40D4">
            <w:pPr>
              <w:pStyle w:val="8"/>
              <w:spacing w:before="58" w:line="244"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目招标</w:t>
            </w:r>
            <w:r>
              <w:t xml:space="preserve"> </w:t>
            </w:r>
            <w:r>
              <w:rPr>
                <w:spacing w:val="16"/>
              </w:rPr>
              <w:t>人不按照规</w:t>
            </w:r>
            <w:r>
              <w:rPr>
                <w:spacing w:val="1"/>
              </w:rPr>
              <w:t xml:space="preserve"> </w:t>
            </w:r>
            <w:r>
              <w:rPr>
                <w:spacing w:val="16"/>
              </w:rPr>
              <w:t>定组建评标</w:t>
            </w:r>
            <w:r>
              <w:rPr>
                <w:spacing w:val="1"/>
              </w:rPr>
              <w:t xml:space="preserve"> </w:t>
            </w:r>
            <w:r>
              <w:rPr>
                <w:spacing w:val="-17"/>
              </w:rPr>
              <w:t>委员会，或者</w:t>
            </w:r>
            <w:r>
              <w:rPr>
                <w:spacing w:val="3"/>
              </w:rPr>
              <w:t xml:space="preserve"> </w:t>
            </w:r>
            <w:r>
              <w:rPr>
                <w:spacing w:val="-17"/>
              </w:rPr>
              <w:t>违法确定、更</w:t>
            </w:r>
            <w:r>
              <w:rPr>
                <w:spacing w:val="3"/>
              </w:rPr>
              <w:t xml:space="preserve"> </w:t>
            </w:r>
            <w:r>
              <w:rPr>
                <w:spacing w:val="16"/>
              </w:rPr>
              <w:t>换评标委员</w:t>
            </w:r>
            <w:r>
              <w:rPr>
                <w:spacing w:val="1"/>
              </w:rPr>
              <w:t xml:space="preserve"> </w:t>
            </w:r>
            <w:r>
              <w:rPr>
                <w:spacing w:val="8"/>
              </w:rPr>
              <w:t>会成</w:t>
            </w:r>
            <w:r>
              <w:rPr>
                <w:spacing w:val="-49"/>
              </w:rPr>
              <w:t xml:space="preserve"> </w:t>
            </w:r>
            <w:r>
              <w:rPr>
                <w:spacing w:val="8"/>
              </w:rPr>
              <w:t>员行为</w:t>
            </w:r>
            <w:r>
              <w:t xml:space="preserve"> </w:t>
            </w:r>
            <w:r>
              <w:rPr>
                <w:spacing w:val="-2"/>
              </w:rPr>
              <w:t>的行政处罚</w:t>
            </w:r>
          </w:p>
        </w:tc>
        <w:tc>
          <w:tcPr>
            <w:tcW w:w="1104" w:type="dxa"/>
            <w:vAlign w:val="top"/>
          </w:tcPr>
          <w:p w14:paraId="72222165">
            <w:pPr>
              <w:spacing w:line="263" w:lineRule="auto"/>
              <w:rPr>
                <w:rFonts w:ascii="Arial"/>
                <w:sz w:val="21"/>
              </w:rPr>
            </w:pPr>
          </w:p>
          <w:p w14:paraId="7CFFB911">
            <w:pPr>
              <w:spacing w:line="264" w:lineRule="auto"/>
              <w:rPr>
                <w:rFonts w:ascii="Arial"/>
                <w:sz w:val="21"/>
              </w:rPr>
            </w:pPr>
          </w:p>
          <w:p w14:paraId="3353A0A4">
            <w:pPr>
              <w:spacing w:line="264" w:lineRule="auto"/>
              <w:rPr>
                <w:rFonts w:ascii="Arial"/>
                <w:sz w:val="21"/>
              </w:rPr>
            </w:pPr>
          </w:p>
          <w:p w14:paraId="47C30E60">
            <w:pPr>
              <w:spacing w:line="264" w:lineRule="auto"/>
              <w:rPr>
                <w:rFonts w:ascii="Arial"/>
                <w:sz w:val="21"/>
              </w:rPr>
            </w:pPr>
          </w:p>
          <w:p w14:paraId="54B61363">
            <w:pPr>
              <w:spacing w:line="264" w:lineRule="auto"/>
              <w:rPr>
                <w:rFonts w:ascii="Arial"/>
                <w:sz w:val="21"/>
              </w:rPr>
            </w:pPr>
          </w:p>
          <w:p w14:paraId="013F8671">
            <w:pPr>
              <w:pStyle w:val="8"/>
              <w:spacing w:before="59" w:line="220" w:lineRule="auto"/>
              <w:ind w:left="10"/>
            </w:pPr>
            <w:r>
              <w:rPr>
                <w:spacing w:val="-2"/>
              </w:rPr>
              <w:t>行政处罚</w:t>
            </w:r>
          </w:p>
        </w:tc>
        <w:tc>
          <w:tcPr>
            <w:tcW w:w="8549" w:type="dxa"/>
            <w:vAlign w:val="top"/>
          </w:tcPr>
          <w:p w14:paraId="51EBA3B9">
            <w:pPr>
              <w:pStyle w:val="8"/>
              <w:spacing w:before="25" w:line="219" w:lineRule="auto"/>
              <w:ind w:left="476"/>
            </w:pPr>
            <w:r>
              <w:rPr>
                <w:b/>
                <w:bCs/>
                <w:spacing w:val="-3"/>
              </w:rPr>
              <w:t>《中华人民共和国招标投标法实施条例》</w:t>
            </w:r>
          </w:p>
          <w:p w14:paraId="7BC2563D">
            <w:pPr>
              <w:pStyle w:val="8"/>
              <w:spacing w:before="11" w:line="228" w:lineRule="auto"/>
              <w:ind w:left="110" w:right="159" w:firstLine="360"/>
            </w:pPr>
            <w:r>
              <w:t>第四十六条  除招标投标法第三十七条第三款规定的特殊招标项目外，依法必须</w:t>
            </w:r>
            <w:r>
              <w:rPr>
                <w:spacing w:val="-1"/>
              </w:rPr>
              <w:t>进行招标的项目，其</w:t>
            </w:r>
            <w:r>
              <w:t xml:space="preserve"> 评标委员会的专家成员应当从评标专家库内相关专业的专家名单中以随机抽取方式确定</w:t>
            </w:r>
            <w:r>
              <w:rPr>
                <w:spacing w:val="-1"/>
              </w:rPr>
              <w:t>。任何单位和个人</w:t>
            </w:r>
            <w:r>
              <w:t xml:space="preserve"> </w:t>
            </w:r>
            <w:r>
              <w:rPr>
                <w:spacing w:val="-1"/>
              </w:rPr>
              <w:t>不得以明示、暗示等任何方式指定或者变相指定参加评标委员会的专家成员。</w:t>
            </w:r>
          </w:p>
          <w:p w14:paraId="09A020C6">
            <w:pPr>
              <w:pStyle w:val="8"/>
              <w:spacing w:before="12" w:line="225" w:lineRule="auto"/>
              <w:ind w:left="118" w:right="159" w:firstLine="354"/>
            </w:pPr>
            <w:r>
              <w:t>依法必须进行招标的项目的招标人非因招标投标法和本条例规定的事由，不得</w:t>
            </w:r>
            <w:r>
              <w:rPr>
                <w:spacing w:val="-1"/>
              </w:rPr>
              <w:t>更换依法确定的评标委</w:t>
            </w:r>
            <w:r>
              <w:t xml:space="preserve"> </w:t>
            </w:r>
            <w:r>
              <w:rPr>
                <w:spacing w:val="-2"/>
              </w:rPr>
              <w:t>员会成员。更换评标委员会的专家成员应当依照前款规定进行。</w:t>
            </w:r>
          </w:p>
          <w:p w14:paraId="2BEDD518">
            <w:pPr>
              <w:pStyle w:val="8"/>
              <w:spacing w:before="12" w:line="219" w:lineRule="auto"/>
              <w:ind w:left="470"/>
            </w:pPr>
            <w:r>
              <w:rPr>
                <w:spacing w:val="-2"/>
              </w:rPr>
              <w:t>评标委员会成员与投标人有利害关系的，应当主动回避。</w:t>
            </w:r>
          </w:p>
          <w:p w14:paraId="7B983C71">
            <w:pPr>
              <w:pStyle w:val="8"/>
              <w:spacing w:before="12" w:line="226" w:lineRule="auto"/>
              <w:ind w:left="114" w:right="159" w:firstLine="357"/>
            </w:pPr>
            <w:r>
              <w:t>有关行政监督部门应当按照规定的职责分工，对评标委员会成员的确定方式、评</w:t>
            </w:r>
            <w:r>
              <w:rPr>
                <w:spacing w:val="-1"/>
              </w:rPr>
              <w:t>标专家的抽取和评标</w:t>
            </w:r>
            <w:r>
              <w:t xml:space="preserve"> </w:t>
            </w:r>
            <w:r>
              <w:rPr>
                <w:spacing w:val="-1"/>
              </w:rPr>
              <w:t>活动进行监督。行政监督部门的工作人员不得担任本部门负责监督项目的评标委员会成员。</w:t>
            </w:r>
          </w:p>
          <w:p w14:paraId="39BEA703">
            <w:pPr>
              <w:pStyle w:val="8"/>
              <w:spacing w:before="13" w:line="223" w:lineRule="auto"/>
              <w:ind w:left="110" w:right="58" w:firstLine="360"/>
            </w:pPr>
            <w:r>
              <w:t>第七十条第一款  依法必须进行招标的项目的招标人不按照规定组建评标委员会</w:t>
            </w:r>
            <w:r>
              <w:rPr>
                <w:spacing w:val="-1"/>
              </w:rPr>
              <w:t>，或者确定、更换评</w:t>
            </w:r>
            <w:r>
              <w:t xml:space="preserve">  </w:t>
            </w:r>
            <w:r>
              <w:rPr>
                <w:spacing w:val="-4"/>
              </w:rPr>
              <w:t>标委员会成员违反招标投标法和本条例规定的，由有关行政监督部门责令</w:t>
            </w:r>
            <w:r>
              <w:rPr>
                <w:spacing w:val="-5"/>
              </w:rPr>
              <w:t>改正，可以处</w:t>
            </w:r>
            <w:r>
              <w:rPr>
                <w:spacing w:val="-24"/>
              </w:rPr>
              <w:t xml:space="preserve"> </w:t>
            </w:r>
            <w:r>
              <w:rPr>
                <w:spacing w:val="-5"/>
              </w:rPr>
              <w:t>10</w:t>
            </w:r>
            <w:r>
              <w:rPr>
                <w:spacing w:val="-35"/>
              </w:rPr>
              <w:t xml:space="preserve"> </w:t>
            </w:r>
            <w:r>
              <w:rPr>
                <w:spacing w:val="-5"/>
              </w:rPr>
              <w:t>万元以下的罚款，</w:t>
            </w:r>
            <w:r>
              <w:t xml:space="preserve"> 对单位直接负责的主管人员和其他直接责任人员依法给予处分；违法确定或者更换的评</w:t>
            </w:r>
            <w:r>
              <w:rPr>
                <w:spacing w:val="-1"/>
              </w:rPr>
              <w:t>标委员会成员作出</w:t>
            </w:r>
            <w:r>
              <w:t xml:space="preserve">  </w:t>
            </w:r>
            <w:r>
              <w:rPr>
                <w:spacing w:val="-2"/>
              </w:rPr>
              <w:t>的评审结论无效，依法重新进行评审。</w:t>
            </w:r>
          </w:p>
        </w:tc>
        <w:tc>
          <w:tcPr>
            <w:tcW w:w="1014" w:type="dxa"/>
            <w:vAlign w:val="top"/>
          </w:tcPr>
          <w:p w14:paraId="523B0109">
            <w:pPr>
              <w:rPr>
                <w:rFonts w:ascii="Arial"/>
                <w:sz w:val="21"/>
              </w:rPr>
            </w:pPr>
          </w:p>
          <w:p w14:paraId="46857486">
            <w:pPr>
              <w:rPr>
                <w:rFonts w:ascii="Arial"/>
                <w:sz w:val="21"/>
              </w:rPr>
            </w:pPr>
          </w:p>
          <w:p w14:paraId="6B98CCBA">
            <w:pPr>
              <w:rPr>
                <w:rFonts w:ascii="Arial"/>
                <w:sz w:val="21"/>
              </w:rPr>
            </w:pPr>
          </w:p>
          <w:p w14:paraId="00A4BB4C">
            <w:pPr>
              <w:rPr>
                <w:rFonts w:ascii="Arial"/>
                <w:sz w:val="21"/>
              </w:rPr>
            </w:pPr>
          </w:p>
          <w:p w14:paraId="20B7FD9A">
            <w:pPr>
              <w:rPr>
                <w:rFonts w:ascii="Arial"/>
                <w:sz w:val="21"/>
              </w:rPr>
            </w:pPr>
          </w:p>
          <w:p w14:paraId="4216907E">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605E8D89">
            <w:pPr>
              <w:rPr>
                <w:rFonts w:ascii="Arial"/>
                <w:sz w:val="21"/>
              </w:rPr>
            </w:pPr>
          </w:p>
          <w:p w14:paraId="7C7CC16B">
            <w:pPr>
              <w:rPr>
                <w:rFonts w:ascii="Arial"/>
                <w:sz w:val="21"/>
              </w:rPr>
            </w:pPr>
          </w:p>
          <w:p w14:paraId="0B06695D">
            <w:pPr>
              <w:rPr>
                <w:rFonts w:ascii="Arial"/>
                <w:sz w:val="21"/>
              </w:rPr>
            </w:pPr>
          </w:p>
          <w:p w14:paraId="574461B3">
            <w:pPr>
              <w:rPr>
                <w:rFonts w:ascii="Arial"/>
                <w:sz w:val="21"/>
              </w:rPr>
            </w:pPr>
          </w:p>
          <w:p w14:paraId="22A9E4FD">
            <w:pPr>
              <w:rPr>
                <w:rFonts w:ascii="Arial"/>
                <w:sz w:val="21"/>
              </w:rPr>
            </w:pPr>
          </w:p>
          <w:p w14:paraId="2AC4BE07">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C311737">
            <w:pPr>
              <w:rPr>
                <w:rFonts w:ascii="Arial"/>
                <w:sz w:val="21"/>
              </w:rPr>
            </w:pPr>
          </w:p>
          <w:p w14:paraId="44ADB4DD">
            <w:pPr>
              <w:spacing w:line="241" w:lineRule="auto"/>
              <w:rPr>
                <w:rFonts w:ascii="Arial"/>
                <w:sz w:val="21"/>
              </w:rPr>
            </w:pPr>
          </w:p>
          <w:p w14:paraId="76EAD2F9">
            <w:pPr>
              <w:spacing w:line="241" w:lineRule="auto"/>
              <w:rPr>
                <w:rFonts w:ascii="Arial"/>
                <w:sz w:val="21"/>
              </w:rPr>
            </w:pPr>
          </w:p>
          <w:p w14:paraId="6A779F25">
            <w:pPr>
              <w:spacing w:line="241" w:lineRule="auto"/>
              <w:rPr>
                <w:rFonts w:ascii="Arial"/>
                <w:sz w:val="21"/>
              </w:rPr>
            </w:pPr>
          </w:p>
          <w:p w14:paraId="28FCE95E">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640A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5" w:hRule="atLeast"/>
        </w:trPr>
        <w:tc>
          <w:tcPr>
            <w:tcW w:w="624" w:type="dxa"/>
            <w:vAlign w:val="top"/>
          </w:tcPr>
          <w:p w14:paraId="179A47F9">
            <w:pPr>
              <w:spacing w:line="247" w:lineRule="auto"/>
              <w:rPr>
                <w:rFonts w:ascii="Arial"/>
                <w:sz w:val="21"/>
              </w:rPr>
            </w:pPr>
          </w:p>
          <w:p w14:paraId="5669083B">
            <w:pPr>
              <w:spacing w:line="248" w:lineRule="auto"/>
              <w:rPr>
                <w:rFonts w:ascii="Arial"/>
                <w:sz w:val="21"/>
              </w:rPr>
            </w:pPr>
          </w:p>
          <w:p w14:paraId="5C1E922C">
            <w:pPr>
              <w:spacing w:line="248" w:lineRule="auto"/>
              <w:rPr>
                <w:rFonts w:ascii="Arial"/>
                <w:sz w:val="21"/>
              </w:rPr>
            </w:pPr>
          </w:p>
          <w:p w14:paraId="53EAA6D0">
            <w:pPr>
              <w:spacing w:line="248" w:lineRule="auto"/>
              <w:rPr>
                <w:rFonts w:ascii="Arial"/>
                <w:sz w:val="21"/>
              </w:rPr>
            </w:pPr>
          </w:p>
          <w:p w14:paraId="315F1F37">
            <w:pPr>
              <w:spacing w:line="248" w:lineRule="auto"/>
              <w:rPr>
                <w:rFonts w:ascii="Arial"/>
                <w:sz w:val="21"/>
              </w:rPr>
            </w:pPr>
          </w:p>
          <w:p w14:paraId="37E07D7F">
            <w:pPr>
              <w:pStyle w:val="8"/>
              <w:spacing w:before="59" w:line="183" w:lineRule="auto"/>
              <w:ind w:left="233"/>
            </w:pPr>
            <w:r>
              <w:rPr>
                <w:spacing w:val="-5"/>
              </w:rPr>
              <w:t>25</w:t>
            </w:r>
          </w:p>
        </w:tc>
        <w:tc>
          <w:tcPr>
            <w:tcW w:w="1104" w:type="dxa"/>
            <w:vAlign w:val="top"/>
          </w:tcPr>
          <w:p w14:paraId="4AD89097">
            <w:pPr>
              <w:spacing w:line="376" w:lineRule="auto"/>
              <w:rPr>
                <w:rFonts w:ascii="Arial"/>
                <w:sz w:val="21"/>
              </w:rPr>
            </w:pPr>
          </w:p>
          <w:p w14:paraId="2C09FE8E">
            <w:pPr>
              <w:pStyle w:val="8"/>
              <w:spacing w:before="58" w:line="243"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目评标</w:t>
            </w:r>
            <w:r>
              <w:t xml:space="preserve"> </w:t>
            </w:r>
            <w:r>
              <w:rPr>
                <w:spacing w:val="16"/>
              </w:rPr>
              <w:t>委员会委员</w:t>
            </w:r>
            <w:r>
              <w:rPr>
                <w:spacing w:val="1"/>
              </w:rPr>
              <w:t xml:space="preserve"> </w:t>
            </w:r>
            <w:r>
              <w:rPr>
                <w:spacing w:val="-2"/>
              </w:rPr>
              <w:t>不客观、不</w:t>
            </w:r>
            <w:r>
              <w:rPr>
                <w:spacing w:val="1"/>
              </w:rPr>
              <w:t xml:space="preserve">  </w:t>
            </w:r>
            <w:r>
              <w:rPr>
                <w:spacing w:val="16"/>
              </w:rPr>
              <w:t>公正履行职</w:t>
            </w:r>
            <w:r>
              <w:rPr>
                <w:spacing w:val="1"/>
              </w:rPr>
              <w:t xml:space="preserve"> </w:t>
            </w:r>
            <w:r>
              <w:rPr>
                <w:spacing w:val="16"/>
              </w:rPr>
              <w:t>务行为的行</w:t>
            </w:r>
            <w:r>
              <w:rPr>
                <w:spacing w:val="1"/>
              </w:rPr>
              <w:t xml:space="preserve"> </w:t>
            </w:r>
            <w:r>
              <w:rPr>
                <w:spacing w:val="-2"/>
              </w:rPr>
              <w:t>政处罚</w:t>
            </w:r>
          </w:p>
        </w:tc>
        <w:tc>
          <w:tcPr>
            <w:tcW w:w="1104" w:type="dxa"/>
            <w:vAlign w:val="top"/>
          </w:tcPr>
          <w:p w14:paraId="66726307">
            <w:pPr>
              <w:spacing w:line="242" w:lineRule="auto"/>
              <w:rPr>
                <w:rFonts w:ascii="Arial"/>
                <w:sz w:val="21"/>
              </w:rPr>
            </w:pPr>
          </w:p>
          <w:p w14:paraId="0C400FD9">
            <w:pPr>
              <w:spacing w:line="242" w:lineRule="auto"/>
              <w:rPr>
                <w:rFonts w:ascii="Arial"/>
                <w:sz w:val="21"/>
              </w:rPr>
            </w:pPr>
          </w:p>
          <w:p w14:paraId="4771ACA8">
            <w:pPr>
              <w:spacing w:line="242" w:lineRule="auto"/>
              <w:rPr>
                <w:rFonts w:ascii="Arial"/>
                <w:sz w:val="21"/>
              </w:rPr>
            </w:pPr>
          </w:p>
          <w:p w14:paraId="6DE4572A">
            <w:pPr>
              <w:spacing w:line="242" w:lineRule="auto"/>
              <w:rPr>
                <w:rFonts w:ascii="Arial"/>
                <w:sz w:val="21"/>
              </w:rPr>
            </w:pPr>
          </w:p>
          <w:p w14:paraId="67F5AD66">
            <w:pPr>
              <w:spacing w:line="243" w:lineRule="auto"/>
              <w:rPr>
                <w:rFonts w:ascii="Arial"/>
                <w:sz w:val="21"/>
              </w:rPr>
            </w:pPr>
          </w:p>
          <w:p w14:paraId="14460DEA">
            <w:pPr>
              <w:pStyle w:val="8"/>
              <w:spacing w:before="58" w:line="220" w:lineRule="auto"/>
              <w:ind w:left="10"/>
            </w:pPr>
            <w:r>
              <w:rPr>
                <w:spacing w:val="-2"/>
              </w:rPr>
              <w:t>行政处罚</w:t>
            </w:r>
          </w:p>
        </w:tc>
        <w:tc>
          <w:tcPr>
            <w:tcW w:w="8549" w:type="dxa"/>
            <w:vAlign w:val="top"/>
          </w:tcPr>
          <w:p w14:paraId="4EC1E5C1">
            <w:pPr>
              <w:pStyle w:val="8"/>
              <w:spacing w:before="29" w:line="219" w:lineRule="auto"/>
              <w:ind w:left="385"/>
            </w:pPr>
            <w:r>
              <w:rPr>
                <w:b/>
                <w:bCs/>
                <w:spacing w:val="-3"/>
              </w:rPr>
              <w:t>《中华人民共和国招标投标法实施条例》</w:t>
            </w:r>
          </w:p>
          <w:p w14:paraId="174B72B0">
            <w:pPr>
              <w:pStyle w:val="8"/>
              <w:spacing w:before="11" w:line="225" w:lineRule="auto"/>
              <w:ind w:left="111" w:right="44" w:firstLine="359"/>
            </w:pPr>
            <w:r>
              <w:t>第四十九条  评标委员会成员应当依照招标投标法和本条例的规定，按照招标文</w:t>
            </w:r>
            <w:r>
              <w:rPr>
                <w:spacing w:val="-1"/>
              </w:rPr>
              <w:t>件规定的评标标准和</w:t>
            </w:r>
            <w:r>
              <w:t xml:space="preserve">  </w:t>
            </w:r>
            <w:r>
              <w:rPr>
                <w:spacing w:val="-1"/>
              </w:rPr>
              <w:t>方法，客观、公正地对投标文件提出评审意见</w:t>
            </w:r>
            <w:r>
              <w:rPr>
                <w:spacing w:val="-2"/>
              </w:rPr>
              <w:t>。招标文件没有规定的评标标准和方法不得作为评标的依据。</w:t>
            </w:r>
          </w:p>
          <w:p w14:paraId="7E6DB444">
            <w:pPr>
              <w:pStyle w:val="8"/>
              <w:spacing w:before="13" w:line="227" w:lineRule="auto"/>
              <w:ind w:left="111" w:right="159" w:firstLine="359"/>
            </w:pPr>
            <w:r>
              <w:t>评标委员会成员不得私下接触投标人，不得收受投标人给予的财物或者其他好处，</w:t>
            </w:r>
            <w:r>
              <w:rPr>
                <w:spacing w:val="-1"/>
              </w:rPr>
              <w:t>不得向招标人征询</w:t>
            </w:r>
            <w:r>
              <w:t xml:space="preserve"> 确定中标人的意向，不得接受任何单位或者个人明示或者暗示提出的倾向或者排斥特</w:t>
            </w:r>
            <w:r>
              <w:rPr>
                <w:spacing w:val="-1"/>
              </w:rPr>
              <w:t>定投标人的要求，不</w:t>
            </w:r>
            <w:r>
              <w:t xml:space="preserve"> </w:t>
            </w:r>
            <w:r>
              <w:rPr>
                <w:spacing w:val="-2"/>
              </w:rPr>
              <w:t>得有其他不客观、不公正履行职务的行为。</w:t>
            </w:r>
          </w:p>
          <w:p w14:paraId="752A28ED">
            <w:pPr>
              <w:pStyle w:val="8"/>
              <w:spacing w:before="11" w:line="226" w:lineRule="auto"/>
              <w:ind w:left="111" w:right="30" w:firstLine="360"/>
              <w:jc w:val="both"/>
            </w:pPr>
            <w:r>
              <w:t>第七十一条  评标委员会成员有下列行为之一的，由有关行政监督部门责令改正</w:t>
            </w:r>
            <w:r>
              <w:rPr>
                <w:spacing w:val="-1"/>
              </w:rPr>
              <w:t>；情节严重的，禁止</w:t>
            </w:r>
            <w:r>
              <w:t xml:space="preserve">  其在一定期限内参加依法必须进行招标的项目的评标；情节特别严重的，取消其担任</w:t>
            </w:r>
            <w:r>
              <w:rPr>
                <w:spacing w:val="-1"/>
              </w:rPr>
              <w:t>评标委员会成员的资</w:t>
            </w:r>
            <w:r>
              <w:t xml:space="preserve">  </w:t>
            </w:r>
            <w:r>
              <w:rPr>
                <w:spacing w:val="-3"/>
              </w:rPr>
              <w:t>格</w:t>
            </w:r>
            <w:r>
              <w:rPr>
                <w:spacing w:val="-15"/>
              </w:rPr>
              <w:t>：（</w:t>
            </w:r>
            <w:r>
              <w:rPr>
                <w:spacing w:val="-3"/>
              </w:rPr>
              <w:t>一）应当回避而不回避</w:t>
            </w:r>
            <w:r>
              <w:rPr>
                <w:spacing w:val="-15"/>
              </w:rPr>
              <w:t>；（</w:t>
            </w:r>
            <w:r>
              <w:rPr>
                <w:spacing w:val="-3"/>
              </w:rPr>
              <w:t>二）擅离职守</w:t>
            </w:r>
            <w:r>
              <w:rPr>
                <w:spacing w:val="-15"/>
              </w:rPr>
              <w:t>；（</w:t>
            </w:r>
            <w:r>
              <w:rPr>
                <w:spacing w:val="-3"/>
              </w:rPr>
              <w:t>三）不按照招标文件规定的评标标准和方法评标</w:t>
            </w:r>
            <w:r>
              <w:rPr>
                <w:spacing w:val="-15"/>
              </w:rPr>
              <w:t>；（</w:t>
            </w:r>
            <w:r>
              <w:rPr>
                <w:spacing w:val="-3"/>
              </w:rPr>
              <w:t>四）</w:t>
            </w:r>
            <w:r>
              <w:rPr>
                <w:spacing w:val="1"/>
              </w:rPr>
              <w:t xml:space="preserve"> </w:t>
            </w:r>
            <w:r>
              <w:t>私下接触投标人</w:t>
            </w:r>
            <w:r>
              <w:rPr>
                <w:spacing w:val="-1"/>
              </w:rPr>
              <w:t>；（</w:t>
            </w:r>
            <w:r>
              <w:t>五）向招标人征询确定中标人的意向或者接受任何单位或者个人明</w:t>
            </w:r>
            <w:r>
              <w:rPr>
                <w:spacing w:val="-1"/>
              </w:rPr>
              <w:t>示或者暗示提出的</w:t>
            </w:r>
            <w:r>
              <w:t xml:space="preserve">  倾向或者排斥特定投标人的要求</w:t>
            </w:r>
            <w:r>
              <w:rPr>
                <w:spacing w:val="-1"/>
              </w:rPr>
              <w:t>；（</w:t>
            </w:r>
            <w:r>
              <w:t>六）对依法应当否决的投标不提出否决意见</w:t>
            </w:r>
            <w:r>
              <w:rPr>
                <w:spacing w:val="-1"/>
              </w:rPr>
              <w:t>；（</w:t>
            </w:r>
            <w:r>
              <w:t>七</w:t>
            </w:r>
            <w:r>
              <w:rPr>
                <w:spacing w:val="-1"/>
              </w:rPr>
              <w:t>）暗示或者诱导投</w:t>
            </w:r>
            <w:r>
              <w:rPr>
                <w:spacing w:val="1"/>
              </w:rPr>
              <w:t xml:space="preserve">  </w:t>
            </w:r>
            <w:r>
              <w:rPr>
                <w:spacing w:val="-1"/>
              </w:rPr>
              <w:t>标人作出澄清、说明或者接受投标人主动提出的澄清、说明</w:t>
            </w:r>
            <w:r>
              <w:rPr>
                <w:spacing w:val="-11"/>
              </w:rPr>
              <w:t>；（</w:t>
            </w:r>
            <w:r>
              <w:rPr>
                <w:spacing w:val="-1"/>
              </w:rPr>
              <w:t>八）其他不客观、不公正履行职务的行为。</w:t>
            </w:r>
          </w:p>
        </w:tc>
        <w:tc>
          <w:tcPr>
            <w:tcW w:w="1014" w:type="dxa"/>
            <w:vAlign w:val="top"/>
          </w:tcPr>
          <w:p w14:paraId="316FA011">
            <w:pPr>
              <w:spacing w:line="272" w:lineRule="auto"/>
              <w:rPr>
                <w:rFonts w:ascii="Arial"/>
                <w:sz w:val="21"/>
              </w:rPr>
            </w:pPr>
          </w:p>
          <w:p w14:paraId="37353DAB">
            <w:pPr>
              <w:spacing w:line="273" w:lineRule="auto"/>
              <w:rPr>
                <w:rFonts w:ascii="Arial"/>
                <w:sz w:val="21"/>
              </w:rPr>
            </w:pPr>
          </w:p>
          <w:p w14:paraId="6D1DA45E">
            <w:pPr>
              <w:spacing w:line="273" w:lineRule="auto"/>
              <w:rPr>
                <w:rFonts w:ascii="Arial"/>
                <w:sz w:val="21"/>
              </w:rPr>
            </w:pPr>
          </w:p>
          <w:p w14:paraId="63D91F69">
            <w:pPr>
              <w:spacing w:line="273" w:lineRule="auto"/>
              <w:rPr>
                <w:rFonts w:ascii="Arial"/>
                <w:sz w:val="21"/>
              </w:rPr>
            </w:pPr>
          </w:p>
          <w:p w14:paraId="660BEDE4">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1ED5C3D5">
            <w:pPr>
              <w:spacing w:line="272" w:lineRule="auto"/>
              <w:rPr>
                <w:rFonts w:ascii="Arial"/>
                <w:sz w:val="21"/>
              </w:rPr>
            </w:pPr>
          </w:p>
          <w:p w14:paraId="61752F7E">
            <w:pPr>
              <w:spacing w:line="273" w:lineRule="auto"/>
              <w:rPr>
                <w:rFonts w:ascii="Arial"/>
                <w:sz w:val="21"/>
              </w:rPr>
            </w:pPr>
          </w:p>
          <w:p w14:paraId="21B38DEE">
            <w:pPr>
              <w:spacing w:line="273" w:lineRule="auto"/>
              <w:rPr>
                <w:rFonts w:ascii="Arial"/>
                <w:sz w:val="21"/>
              </w:rPr>
            </w:pPr>
          </w:p>
          <w:p w14:paraId="54ABA376">
            <w:pPr>
              <w:spacing w:line="273" w:lineRule="auto"/>
              <w:rPr>
                <w:rFonts w:ascii="Arial"/>
                <w:sz w:val="21"/>
              </w:rPr>
            </w:pPr>
          </w:p>
          <w:p w14:paraId="3A7F4470">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4D3A735">
            <w:pPr>
              <w:spacing w:line="284" w:lineRule="auto"/>
              <w:rPr>
                <w:rFonts w:ascii="Arial"/>
                <w:sz w:val="21"/>
              </w:rPr>
            </w:pPr>
          </w:p>
          <w:p w14:paraId="5C62BEA3">
            <w:pPr>
              <w:spacing w:line="285" w:lineRule="auto"/>
              <w:rPr>
                <w:rFonts w:ascii="Arial"/>
                <w:sz w:val="21"/>
              </w:rPr>
            </w:pPr>
          </w:p>
          <w:p w14:paraId="56DA6001">
            <w:pPr>
              <w:spacing w:line="285" w:lineRule="auto"/>
              <w:rPr>
                <w:rFonts w:ascii="Arial"/>
                <w:sz w:val="21"/>
              </w:rPr>
            </w:pPr>
          </w:p>
          <w:p w14:paraId="77002247">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1D155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0" w:hRule="atLeast"/>
        </w:trPr>
        <w:tc>
          <w:tcPr>
            <w:tcW w:w="624" w:type="dxa"/>
            <w:vAlign w:val="top"/>
          </w:tcPr>
          <w:p w14:paraId="632F2A06">
            <w:pPr>
              <w:spacing w:line="244" w:lineRule="auto"/>
              <w:rPr>
                <w:rFonts w:ascii="Arial"/>
                <w:sz w:val="21"/>
              </w:rPr>
            </w:pPr>
          </w:p>
          <w:p w14:paraId="09803906">
            <w:pPr>
              <w:spacing w:line="244" w:lineRule="auto"/>
              <w:rPr>
                <w:rFonts w:ascii="Arial"/>
                <w:sz w:val="21"/>
              </w:rPr>
            </w:pPr>
          </w:p>
          <w:p w14:paraId="537635C7">
            <w:pPr>
              <w:spacing w:line="244" w:lineRule="auto"/>
              <w:rPr>
                <w:rFonts w:ascii="Arial"/>
                <w:sz w:val="21"/>
              </w:rPr>
            </w:pPr>
          </w:p>
          <w:p w14:paraId="427A9764">
            <w:pPr>
              <w:spacing w:line="244" w:lineRule="auto"/>
              <w:rPr>
                <w:rFonts w:ascii="Arial"/>
                <w:sz w:val="21"/>
              </w:rPr>
            </w:pPr>
          </w:p>
          <w:p w14:paraId="07D1B5A9">
            <w:pPr>
              <w:spacing w:line="244" w:lineRule="auto"/>
              <w:rPr>
                <w:rFonts w:ascii="Arial"/>
                <w:sz w:val="21"/>
              </w:rPr>
            </w:pPr>
          </w:p>
          <w:p w14:paraId="1802CAC0">
            <w:pPr>
              <w:spacing w:line="245" w:lineRule="auto"/>
              <w:rPr>
                <w:rFonts w:ascii="Arial"/>
                <w:sz w:val="21"/>
              </w:rPr>
            </w:pPr>
          </w:p>
          <w:p w14:paraId="0408B147">
            <w:pPr>
              <w:pStyle w:val="8"/>
              <w:spacing w:before="58" w:line="183" w:lineRule="auto"/>
              <w:ind w:left="233"/>
            </w:pPr>
            <w:r>
              <w:rPr>
                <w:spacing w:val="-5"/>
              </w:rPr>
              <w:t>26</w:t>
            </w:r>
          </w:p>
        </w:tc>
        <w:tc>
          <w:tcPr>
            <w:tcW w:w="1104" w:type="dxa"/>
            <w:vAlign w:val="top"/>
          </w:tcPr>
          <w:p w14:paraId="536EAD66">
            <w:pPr>
              <w:spacing w:line="301" w:lineRule="auto"/>
              <w:rPr>
                <w:rFonts w:ascii="Arial"/>
                <w:sz w:val="21"/>
              </w:rPr>
            </w:pPr>
          </w:p>
          <w:p w14:paraId="34395174">
            <w:pPr>
              <w:spacing w:line="301" w:lineRule="auto"/>
              <w:rPr>
                <w:rFonts w:ascii="Arial"/>
                <w:sz w:val="21"/>
              </w:rPr>
            </w:pPr>
          </w:p>
          <w:p w14:paraId="1C553AC7">
            <w:pPr>
              <w:pStyle w:val="8"/>
              <w:spacing w:before="58" w:line="243"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3"/>
              </w:rPr>
              <w:t>程项</w:t>
            </w:r>
            <w:r>
              <w:rPr>
                <w:spacing w:val="-24"/>
              </w:rPr>
              <w:t xml:space="preserve"> </w:t>
            </w:r>
            <w:r>
              <w:rPr>
                <w:spacing w:val="3"/>
              </w:rPr>
              <w:t>目的招</w:t>
            </w:r>
            <w:r>
              <w:t xml:space="preserve"> </w:t>
            </w:r>
            <w:r>
              <w:rPr>
                <w:spacing w:val="16"/>
              </w:rPr>
              <w:t>标人无正当</w:t>
            </w:r>
            <w:r>
              <w:rPr>
                <w:spacing w:val="1"/>
              </w:rPr>
              <w:t xml:space="preserve"> </w:t>
            </w:r>
            <w:r>
              <w:rPr>
                <w:spacing w:val="16"/>
              </w:rPr>
              <w:t>理由不发出</w:t>
            </w:r>
            <w:r>
              <w:rPr>
                <w:spacing w:val="1"/>
              </w:rPr>
              <w:t xml:space="preserve"> </w:t>
            </w:r>
            <w:r>
              <w:rPr>
                <w:spacing w:val="16"/>
              </w:rPr>
              <w:t>中标通知书</w:t>
            </w:r>
            <w:r>
              <w:rPr>
                <w:spacing w:val="1"/>
              </w:rPr>
              <w:t xml:space="preserve"> </w:t>
            </w:r>
            <w:r>
              <w:rPr>
                <w:spacing w:val="16"/>
              </w:rPr>
              <w:t>等行为的行</w:t>
            </w:r>
            <w:r>
              <w:rPr>
                <w:spacing w:val="1"/>
              </w:rPr>
              <w:t xml:space="preserve"> </w:t>
            </w:r>
            <w:r>
              <w:rPr>
                <w:spacing w:val="-2"/>
              </w:rPr>
              <w:t>政处罚</w:t>
            </w:r>
          </w:p>
        </w:tc>
        <w:tc>
          <w:tcPr>
            <w:tcW w:w="1104" w:type="dxa"/>
            <w:vAlign w:val="top"/>
          </w:tcPr>
          <w:p w14:paraId="33296BDD">
            <w:pPr>
              <w:spacing w:line="287" w:lineRule="auto"/>
              <w:rPr>
                <w:rFonts w:ascii="Arial"/>
                <w:sz w:val="21"/>
              </w:rPr>
            </w:pPr>
          </w:p>
          <w:p w14:paraId="27B35C50">
            <w:pPr>
              <w:spacing w:line="287" w:lineRule="auto"/>
              <w:rPr>
                <w:rFonts w:ascii="Arial"/>
                <w:sz w:val="21"/>
              </w:rPr>
            </w:pPr>
          </w:p>
          <w:p w14:paraId="77AB3478">
            <w:pPr>
              <w:spacing w:line="287" w:lineRule="auto"/>
              <w:rPr>
                <w:rFonts w:ascii="Arial"/>
                <w:sz w:val="21"/>
              </w:rPr>
            </w:pPr>
          </w:p>
          <w:p w14:paraId="46CDF336">
            <w:pPr>
              <w:spacing w:line="288" w:lineRule="auto"/>
              <w:rPr>
                <w:rFonts w:ascii="Arial"/>
                <w:sz w:val="21"/>
              </w:rPr>
            </w:pPr>
          </w:p>
          <w:p w14:paraId="5F80A35A">
            <w:pPr>
              <w:spacing w:line="288" w:lineRule="auto"/>
              <w:rPr>
                <w:rFonts w:ascii="Arial"/>
                <w:sz w:val="21"/>
              </w:rPr>
            </w:pPr>
          </w:p>
          <w:p w14:paraId="68E02B73">
            <w:pPr>
              <w:pStyle w:val="8"/>
              <w:spacing w:before="58" w:line="220" w:lineRule="auto"/>
              <w:ind w:left="10"/>
            </w:pPr>
            <w:r>
              <w:rPr>
                <w:spacing w:val="-2"/>
              </w:rPr>
              <w:t>行政处罚</w:t>
            </w:r>
          </w:p>
        </w:tc>
        <w:tc>
          <w:tcPr>
            <w:tcW w:w="8549" w:type="dxa"/>
            <w:vAlign w:val="top"/>
          </w:tcPr>
          <w:p w14:paraId="0BD43BC9">
            <w:pPr>
              <w:pStyle w:val="8"/>
              <w:spacing w:before="31" w:line="219" w:lineRule="auto"/>
              <w:ind w:left="484"/>
            </w:pPr>
            <w:r>
              <w:rPr>
                <w:b/>
                <w:bCs/>
                <w:spacing w:val="-4"/>
              </w:rPr>
              <w:t>1.《中华人民共和国招标投标法》</w:t>
            </w:r>
          </w:p>
          <w:p w14:paraId="63C37C0A">
            <w:pPr>
              <w:pStyle w:val="8"/>
              <w:spacing w:before="11" w:line="219" w:lineRule="auto"/>
              <w:ind w:left="471"/>
            </w:pPr>
            <w:r>
              <w:t>第四十五条  中标人确定后，招标人应当向中标人发出中标通知书，并同时将中标</w:t>
            </w:r>
            <w:r>
              <w:rPr>
                <w:spacing w:val="-1"/>
              </w:rPr>
              <w:t>结果通知所有未中</w:t>
            </w:r>
          </w:p>
          <w:p w14:paraId="28339426">
            <w:pPr>
              <w:pStyle w:val="8"/>
              <w:spacing w:before="12" w:line="220" w:lineRule="auto"/>
              <w:ind w:left="111"/>
            </w:pPr>
            <w:r>
              <w:rPr>
                <w:spacing w:val="-6"/>
              </w:rPr>
              <w:t>标的投标人。</w:t>
            </w:r>
          </w:p>
          <w:p w14:paraId="0FE81C3E">
            <w:pPr>
              <w:pStyle w:val="8"/>
              <w:spacing w:before="11" w:line="225" w:lineRule="auto"/>
              <w:ind w:left="112" w:right="159" w:firstLine="375"/>
            </w:pPr>
            <w:r>
              <w:t>中标通知书对招标人和中标人具有法律效力</w:t>
            </w:r>
            <w:r>
              <w:rPr>
                <w:spacing w:val="-1"/>
              </w:rPr>
              <w:t>。中标通知书发出后，招标人改变中标结果的，或者中标</w:t>
            </w:r>
            <w:r>
              <w:t xml:space="preserve"> </w:t>
            </w:r>
            <w:r>
              <w:rPr>
                <w:spacing w:val="-2"/>
              </w:rPr>
              <w:t>人放弃中标项目的，应当依法承担法律责任。</w:t>
            </w:r>
          </w:p>
          <w:p w14:paraId="322DB1EC">
            <w:pPr>
              <w:pStyle w:val="8"/>
              <w:spacing w:before="15" w:line="219" w:lineRule="auto"/>
              <w:ind w:left="473"/>
            </w:pPr>
            <w:r>
              <w:rPr>
                <w:b/>
                <w:bCs/>
                <w:spacing w:val="-3"/>
              </w:rPr>
              <w:t>2.《中华人民共和国招标投标法实施条例》</w:t>
            </w:r>
          </w:p>
          <w:p w14:paraId="45B89894">
            <w:pPr>
              <w:pStyle w:val="8"/>
              <w:spacing w:before="11" w:line="219" w:lineRule="auto"/>
              <w:ind w:left="471"/>
            </w:pPr>
            <w:r>
              <w:rPr>
                <w:spacing w:val="-1"/>
              </w:rPr>
              <w:t>第七十三条  依法必须进行招标的项目的招标人有下列情形之一的，由有关行政监督部</w:t>
            </w:r>
            <w:r>
              <w:rPr>
                <w:spacing w:val="-2"/>
              </w:rPr>
              <w:t>门责令改正，</w:t>
            </w:r>
          </w:p>
          <w:p w14:paraId="49B47D1D">
            <w:pPr>
              <w:pStyle w:val="8"/>
              <w:spacing w:before="13" w:line="228" w:lineRule="auto"/>
              <w:ind w:left="110" w:right="114" w:firstLine="2"/>
            </w:pPr>
            <w:r>
              <w:rPr>
                <w:spacing w:val="-1"/>
              </w:rPr>
              <w:t>可以处中标项目金额</w:t>
            </w:r>
            <w:r>
              <w:rPr>
                <w:spacing w:val="-7"/>
              </w:rPr>
              <w:t xml:space="preserve"> </w:t>
            </w:r>
            <w:r>
              <w:rPr>
                <w:spacing w:val="-1"/>
              </w:rPr>
              <w:t>10‰以下的罚款；给他人造成损失的，依法承担赔偿责任；对单位直接负责的主管人</w:t>
            </w:r>
            <w:r>
              <w:t xml:space="preserve"> 员和其他直接责任人员依法给予处分</w:t>
            </w:r>
            <w:r>
              <w:rPr>
                <w:spacing w:val="-1"/>
              </w:rPr>
              <w:t>：（</w:t>
            </w:r>
            <w:r>
              <w:t>一）无正当理由不发出中标通知书</w:t>
            </w:r>
            <w:r>
              <w:rPr>
                <w:spacing w:val="-1"/>
              </w:rPr>
              <w:t>；（二）不按照规定确定中标</w:t>
            </w:r>
            <w:r>
              <w:t xml:space="preserve"> 人</w:t>
            </w:r>
            <w:r>
              <w:rPr>
                <w:spacing w:val="-1"/>
              </w:rPr>
              <w:t>；（</w:t>
            </w:r>
            <w:r>
              <w:t>三）中标通知书发出后无正当理由改变中标结果</w:t>
            </w:r>
            <w:r>
              <w:rPr>
                <w:spacing w:val="-1"/>
              </w:rPr>
              <w:t>；（</w:t>
            </w:r>
            <w:r>
              <w:t>四</w:t>
            </w:r>
            <w:r>
              <w:rPr>
                <w:spacing w:val="-1"/>
              </w:rPr>
              <w:t>）无正当理由不与中标人订立合同；（五）</w:t>
            </w:r>
            <w:r>
              <w:rPr>
                <w:spacing w:val="3"/>
              </w:rPr>
              <w:t xml:space="preserve"> </w:t>
            </w:r>
            <w:r>
              <w:rPr>
                <w:spacing w:val="-2"/>
              </w:rPr>
              <w:t>在订立合同时向中标人提出附加条件。</w:t>
            </w:r>
          </w:p>
          <w:p w14:paraId="3491DC4D">
            <w:pPr>
              <w:pStyle w:val="8"/>
              <w:spacing w:before="14" w:line="220" w:lineRule="auto"/>
              <w:ind w:left="112" w:right="159" w:firstLine="358"/>
              <w:jc w:val="both"/>
            </w:pPr>
            <w:r>
              <w:t>第七十四条  中标人无正当理由不与招标人订立合同，在签订合同时向招标人提</w:t>
            </w:r>
            <w:r>
              <w:rPr>
                <w:spacing w:val="-1"/>
              </w:rPr>
              <w:t>出附加条件，或者不</w:t>
            </w:r>
            <w:r>
              <w:t xml:space="preserve"> 按照招标文件要求提交履约保证金的，取消其中标资格，投标保证金不予退还。对</w:t>
            </w:r>
            <w:r>
              <w:rPr>
                <w:spacing w:val="-1"/>
              </w:rPr>
              <w:t>依法必须进行招标的项</w:t>
            </w:r>
            <w:r>
              <w:t xml:space="preserve"> </w:t>
            </w:r>
            <w:r>
              <w:rPr>
                <w:spacing w:val="-1"/>
              </w:rPr>
              <w:t>目的中标人，由有关行政监督部门责令改正，可以处</w:t>
            </w:r>
            <w:r>
              <w:rPr>
                <w:spacing w:val="-2"/>
              </w:rPr>
              <w:t>中标项目金额</w:t>
            </w:r>
            <w:r>
              <w:rPr>
                <w:spacing w:val="-24"/>
              </w:rPr>
              <w:t xml:space="preserve"> </w:t>
            </w:r>
            <w:r>
              <w:rPr>
                <w:spacing w:val="-2"/>
              </w:rPr>
              <w:t>10‰以下的罚款。</w:t>
            </w:r>
          </w:p>
        </w:tc>
        <w:tc>
          <w:tcPr>
            <w:tcW w:w="1014" w:type="dxa"/>
            <w:vAlign w:val="top"/>
          </w:tcPr>
          <w:p w14:paraId="48A71E2B">
            <w:pPr>
              <w:spacing w:line="263" w:lineRule="auto"/>
              <w:rPr>
                <w:rFonts w:ascii="Arial"/>
                <w:sz w:val="21"/>
              </w:rPr>
            </w:pPr>
          </w:p>
          <w:p w14:paraId="3C7E3856">
            <w:pPr>
              <w:spacing w:line="263" w:lineRule="auto"/>
              <w:rPr>
                <w:rFonts w:ascii="Arial"/>
                <w:sz w:val="21"/>
              </w:rPr>
            </w:pPr>
          </w:p>
          <w:p w14:paraId="64DE45BB">
            <w:pPr>
              <w:spacing w:line="263" w:lineRule="auto"/>
              <w:rPr>
                <w:rFonts w:ascii="Arial"/>
                <w:sz w:val="21"/>
              </w:rPr>
            </w:pPr>
          </w:p>
          <w:p w14:paraId="796B20A1">
            <w:pPr>
              <w:spacing w:line="264" w:lineRule="auto"/>
              <w:rPr>
                <w:rFonts w:ascii="Arial"/>
                <w:sz w:val="21"/>
              </w:rPr>
            </w:pPr>
          </w:p>
          <w:p w14:paraId="5C28D14F">
            <w:pPr>
              <w:spacing w:line="264" w:lineRule="auto"/>
              <w:rPr>
                <w:rFonts w:ascii="Arial"/>
                <w:sz w:val="21"/>
              </w:rPr>
            </w:pPr>
          </w:p>
          <w:p w14:paraId="0159DC0A">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4D5F7395">
            <w:pPr>
              <w:spacing w:line="263" w:lineRule="auto"/>
              <w:rPr>
                <w:rFonts w:ascii="Arial"/>
                <w:sz w:val="21"/>
              </w:rPr>
            </w:pPr>
          </w:p>
          <w:p w14:paraId="570EE71D">
            <w:pPr>
              <w:spacing w:line="263" w:lineRule="auto"/>
              <w:rPr>
                <w:rFonts w:ascii="Arial"/>
                <w:sz w:val="21"/>
              </w:rPr>
            </w:pPr>
          </w:p>
          <w:p w14:paraId="31AA3BEF">
            <w:pPr>
              <w:spacing w:line="263" w:lineRule="auto"/>
              <w:rPr>
                <w:rFonts w:ascii="Arial"/>
                <w:sz w:val="21"/>
              </w:rPr>
            </w:pPr>
          </w:p>
          <w:p w14:paraId="282B7810">
            <w:pPr>
              <w:spacing w:line="264" w:lineRule="auto"/>
              <w:rPr>
                <w:rFonts w:ascii="Arial"/>
                <w:sz w:val="21"/>
              </w:rPr>
            </w:pPr>
          </w:p>
          <w:p w14:paraId="7BC6B562">
            <w:pPr>
              <w:spacing w:line="264" w:lineRule="auto"/>
              <w:rPr>
                <w:rFonts w:ascii="Arial"/>
                <w:sz w:val="21"/>
              </w:rPr>
            </w:pPr>
          </w:p>
          <w:p w14:paraId="16051E65">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12CEFA0">
            <w:pPr>
              <w:spacing w:line="270" w:lineRule="auto"/>
              <w:rPr>
                <w:rFonts w:ascii="Arial"/>
                <w:sz w:val="21"/>
              </w:rPr>
            </w:pPr>
          </w:p>
          <w:p w14:paraId="58964607">
            <w:pPr>
              <w:spacing w:line="270" w:lineRule="auto"/>
              <w:rPr>
                <w:rFonts w:ascii="Arial"/>
                <w:sz w:val="21"/>
              </w:rPr>
            </w:pPr>
          </w:p>
          <w:p w14:paraId="7FF1CF8A">
            <w:pPr>
              <w:spacing w:line="270" w:lineRule="auto"/>
              <w:rPr>
                <w:rFonts w:ascii="Arial"/>
                <w:sz w:val="21"/>
              </w:rPr>
            </w:pPr>
          </w:p>
          <w:p w14:paraId="1A9E41EE">
            <w:pPr>
              <w:spacing w:line="270" w:lineRule="auto"/>
              <w:rPr>
                <w:rFonts w:ascii="Arial"/>
                <w:sz w:val="21"/>
              </w:rPr>
            </w:pPr>
          </w:p>
          <w:p w14:paraId="767A2D73">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5913CF78">
      <w:pPr>
        <w:pStyle w:val="2"/>
      </w:pPr>
    </w:p>
    <w:p w14:paraId="6335097A">
      <w:pPr>
        <w:sectPr>
          <w:footerReference r:id="rId87" w:type="default"/>
          <w:pgSz w:w="16839" w:h="11906"/>
          <w:pgMar w:top="1012" w:right="991" w:bottom="966" w:left="1021" w:header="0" w:footer="768" w:gutter="0"/>
          <w:cols w:space="720" w:num="1"/>
        </w:sectPr>
      </w:pPr>
    </w:p>
    <w:p w14:paraId="2065684D">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4E963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27BE6F26">
            <w:pPr>
              <w:pStyle w:val="8"/>
              <w:spacing w:before="267" w:line="221" w:lineRule="auto"/>
              <w:ind w:left="134"/>
            </w:pPr>
            <w:r>
              <w:rPr>
                <w:b/>
                <w:bCs/>
                <w:spacing w:val="-4"/>
              </w:rPr>
              <w:t>序号</w:t>
            </w:r>
          </w:p>
        </w:tc>
        <w:tc>
          <w:tcPr>
            <w:tcW w:w="1104" w:type="dxa"/>
            <w:vMerge w:val="restart"/>
            <w:tcBorders>
              <w:bottom w:val="nil"/>
            </w:tcBorders>
            <w:vAlign w:val="top"/>
          </w:tcPr>
          <w:p w14:paraId="3F83E0A2">
            <w:pPr>
              <w:pStyle w:val="8"/>
              <w:spacing w:before="260" w:line="220" w:lineRule="auto"/>
              <w:ind w:left="192"/>
            </w:pPr>
            <w:r>
              <w:rPr>
                <w:b/>
                <w:bCs/>
                <w:spacing w:val="-4"/>
              </w:rPr>
              <w:t>事项名称</w:t>
            </w:r>
          </w:p>
        </w:tc>
        <w:tc>
          <w:tcPr>
            <w:tcW w:w="1104" w:type="dxa"/>
            <w:vMerge w:val="restart"/>
            <w:tcBorders>
              <w:bottom w:val="nil"/>
            </w:tcBorders>
            <w:vAlign w:val="top"/>
          </w:tcPr>
          <w:p w14:paraId="0C146C1F">
            <w:pPr>
              <w:pStyle w:val="8"/>
              <w:spacing w:before="260" w:line="219" w:lineRule="auto"/>
              <w:ind w:left="193"/>
            </w:pPr>
            <w:r>
              <w:rPr>
                <w:b/>
                <w:bCs/>
                <w:spacing w:val="-4"/>
              </w:rPr>
              <w:t>职权类型</w:t>
            </w:r>
          </w:p>
        </w:tc>
        <w:tc>
          <w:tcPr>
            <w:tcW w:w="8549" w:type="dxa"/>
            <w:vMerge w:val="restart"/>
            <w:tcBorders>
              <w:bottom w:val="nil"/>
            </w:tcBorders>
            <w:vAlign w:val="top"/>
          </w:tcPr>
          <w:p w14:paraId="418285CD">
            <w:pPr>
              <w:pStyle w:val="8"/>
              <w:spacing w:before="259" w:line="219" w:lineRule="auto"/>
              <w:ind w:left="3921"/>
            </w:pPr>
            <w:r>
              <w:rPr>
                <w:b/>
                <w:bCs/>
                <w:spacing w:val="-5"/>
              </w:rPr>
              <w:t>实施依据</w:t>
            </w:r>
          </w:p>
        </w:tc>
        <w:tc>
          <w:tcPr>
            <w:tcW w:w="3439" w:type="dxa"/>
            <w:gridSpan w:val="3"/>
            <w:vAlign w:val="top"/>
          </w:tcPr>
          <w:p w14:paraId="31759AC5">
            <w:pPr>
              <w:pStyle w:val="8"/>
              <w:spacing w:before="85" w:line="220" w:lineRule="auto"/>
              <w:ind w:left="1365"/>
            </w:pPr>
            <w:r>
              <w:rPr>
                <w:b/>
                <w:bCs/>
                <w:spacing w:val="-5"/>
              </w:rPr>
              <w:t>实施主体</w:t>
            </w:r>
          </w:p>
        </w:tc>
      </w:tr>
      <w:tr w14:paraId="53A22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768930F">
            <w:pPr>
              <w:rPr>
                <w:rFonts w:ascii="Arial"/>
                <w:sz w:val="21"/>
              </w:rPr>
            </w:pPr>
          </w:p>
        </w:tc>
        <w:tc>
          <w:tcPr>
            <w:tcW w:w="1104" w:type="dxa"/>
            <w:vMerge w:val="continue"/>
            <w:tcBorders>
              <w:top w:val="nil"/>
            </w:tcBorders>
            <w:vAlign w:val="top"/>
          </w:tcPr>
          <w:p w14:paraId="184369EF">
            <w:pPr>
              <w:rPr>
                <w:rFonts w:ascii="Arial"/>
                <w:sz w:val="21"/>
              </w:rPr>
            </w:pPr>
          </w:p>
        </w:tc>
        <w:tc>
          <w:tcPr>
            <w:tcW w:w="1104" w:type="dxa"/>
            <w:vMerge w:val="continue"/>
            <w:tcBorders>
              <w:top w:val="nil"/>
            </w:tcBorders>
            <w:vAlign w:val="top"/>
          </w:tcPr>
          <w:p w14:paraId="146715F5">
            <w:pPr>
              <w:rPr>
                <w:rFonts w:ascii="Arial"/>
                <w:sz w:val="21"/>
              </w:rPr>
            </w:pPr>
          </w:p>
        </w:tc>
        <w:tc>
          <w:tcPr>
            <w:tcW w:w="8549" w:type="dxa"/>
            <w:vMerge w:val="continue"/>
            <w:tcBorders>
              <w:top w:val="nil"/>
            </w:tcBorders>
            <w:vAlign w:val="top"/>
          </w:tcPr>
          <w:p w14:paraId="4139BADB">
            <w:pPr>
              <w:rPr>
                <w:rFonts w:ascii="Arial"/>
                <w:sz w:val="21"/>
              </w:rPr>
            </w:pPr>
          </w:p>
        </w:tc>
        <w:tc>
          <w:tcPr>
            <w:tcW w:w="1014" w:type="dxa"/>
            <w:vAlign w:val="top"/>
          </w:tcPr>
          <w:p w14:paraId="43FD5F53">
            <w:pPr>
              <w:pStyle w:val="8"/>
              <w:spacing w:before="81" w:line="219" w:lineRule="auto"/>
              <w:ind w:left="158"/>
            </w:pPr>
            <w:r>
              <w:rPr>
                <w:b/>
                <w:bCs/>
                <w:spacing w:val="-5"/>
              </w:rPr>
              <w:t>责任部门</w:t>
            </w:r>
          </w:p>
        </w:tc>
        <w:tc>
          <w:tcPr>
            <w:tcW w:w="1407" w:type="dxa"/>
            <w:vAlign w:val="top"/>
          </w:tcPr>
          <w:p w14:paraId="115972AD">
            <w:pPr>
              <w:pStyle w:val="8"/>
              <w:spacing w:before="81" w:line="219" w:lineRule="auto"/>
              <w:ind w:left="167"/>
            </w:pPr>
            <w:r>
              <w:rPr>
                <w:b/>
                <w:bCs/>
                <w:spacing w:val="-3"/>
              </w:rPr>
              <w:t>第一责任层级</w:t>
            </w:r>
          </w:p>
        </w:tc>
        <w:tc>
          <w:tcPr>
            <w:tcW w:w="1018" w:type="dxa"/>
            <w:vAlign w:val="top"/>
          </w:tcPr>
          <w:p w14:paraId="00C57D6F">
            <w:pPr>
              <w:pStyle w:val="8"/>
              <w:spacing w:before="81" w:line="219" w:lineRule="auto"/>
              <w:ind w:left="152"/>
            </w:pPr>
            <w:r>
              <w:rPr>
                <w:b/>
                <w:bCs/>
                <w:spacing w:val="-4"/>
              </w:rPr>
              <w:t>承办机构</w:t>
            </w:r>
          </w:p>
        </w:tc>
      </w:tr>
      <w:tr w14:paraId="6F28C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3" w:hRule="atLeast"/>
        </w:trPr>
        <w:tc>
          <w:tcPr>
            <w:tcW w:w="624" w:type="dxa"/>
            <w:vAlign w:val="top"/>
          </w:tcPr>
          <w:p w14:paraId="3A11D783">
            <w:pPr>
              <w:spacing w:line="273" w:lineRule="auto"/>
              <w:rPr>
                <w:rFonts w:ascii="Arial"/>
                <w:sz w:val="21"/>
              </w:rPr>
            </w:pPr>
          </w:p>
          <w:p w14:paraId="7F61C4BD">
            <w:pPr>
              <w:spacing w:line="273" w:lineRule="auto"/>
              <w:rPr>
                <w:rFonts w:ascii="Arial"/>
                <w:sz w:val="21"/>
              </w:rPr>
            </w:pPr>
          </w:p>
          <w:p w14:paraId="37A3A34D">
            <w:pPr>
              <w:spacing w:line="274" w:lineRule="auto"/>
              <w:rPr>
                <w:rFonts w:ascii="Arial"/>
                <w:sz w:val="21"/>
              </w:rPr>
            </w:pPr>
          </w:p>
          <w:p w14:paraId="4D31E926">
            <w:pPr>
              <w:spacing w:line="274" w:lineRule="auto"/>
              <w:rPr>
                <w:rFonts w:ascii="Arial"/>
                <w:sz w:val="21"/>
              </w:rPr>
            </w:pPr>
          </w:p>
          <w:p w14:paraId="2AA34781">
            <w:pPr>
              <w:spacing w:line="274" w:lineRule="auto"/>
              <w:rPr>
                <w:rFonts w:ascii="Arial"/>
                <w:sz w:val="21"/>
              </w:rPr>
            </w:pPr>
          </w:p>
          <w:p w14:paraId="7BC7B1DB">
            <w:pPr>
              <w:spacing w:line="274" w:lineRule="auto"/>
              <w:rPr>
                <w:rFonts w:ascii="Arial"/>
                <w:sz w:val="21"/>
              </w:rPr>
            </w:pPr>
          </w:p>
          <w:p w14:paraId="20776043">
            <w:pPr>
              <w:spacing w:line="274" w:lineRule="auto"/>
              <w:rPr>
                <w:rFonts w:ascii="Arial"/>
                <w:sz w:val="21"/>
              </w:rPr>
            </w:pPr>
          </w:p>
          <w:p w14:paraId="4F9A46EA">
            <w:pPr>
              <w:pStyle w:val="8"/>
              <w:spacing w:before="59" w:line="183" w:lineRule="auto"/>
              <w:ind w:left="233"/>
            </w:pPr>
            <w:r>
              <w:rPr>
                <w:spacing w:val="-5"/>
              </w:rPr>
              <w:t>27</w:t>
            </w:r>
          </w:p>
        </w:tc>
        <w:tc>
          <w:tcPr>
            <w:tcW w:w="1104" w:type="dxa"/>
            <w:vAlign w:val="top"/>
          </w:tcPr>
          <w:p w14:paraId="1575C1D8">
            <w:pPr>
              <w:spacing w:line="292" w:lineRule="auto"/>
              <w:rPr>
                <w:rFonts w:ascii="Arial"/>
                <w:sz w:val="21"/>
              </w:rPr>
            </w:pPr>
          </w:p>
          <w:p w14:paraId="3D377494">
            <w:pPr>
              <w:spacing w:line="292" w:lineRule="auto"/>
              <w:rPr>
                <w:rFonts w:ascii="Arial"/>
                <w:sz w:val="21"/>
              </w:rPr>
            </w:pPr>
          </w:p>
          <w:p w14:paraId="6A231C33">
            <w:pPr>
              <w:spacing w:line="292" w:lineRule="auto"/>
              <w:rPr>
                <w:rFonts w:ascii="Arial"/>
                <w:sz w:val="21"/>
              </w:rPr>
            </w:pPr>
          </w:p>
          <w:p w14:paraId="6FCBC983">
            <w:pPr>
              <w:spacing w:line="293" w:lineRule="auto"/>
              <w:rPr>
                <w:rFonts w:ascii="Arial"/>
                <w:sz w:val="21"/>
              </w:rPr>
            </w:pPr>
          </w:p>
          <w:p w14:paraId="315C13F1">
            <w:pPr>
              <w:pStyle w:val="8"/>
              <w:spacing w:before="59" w:line="243" w:lineRule="auto"/>
              <w:ind w:left="60" w:right="56"/>
              <w:jc w:val="both"/>
            </w:pPr>
            <w:r>
              <w:rPr>
                <w:spacing w:val="16"/>
              </w:rPr>
              <w:t>对水运工程</w:t>
            </w:r>
            <w:r>
              <w:rPr>
                <w:spacing w:val="1"/>
              </w:rPr>
              <w:t xml:space="preserve"> </w:t>
            </w:r>
            <w:r>
              <w:rPr>
                <w:spacing w:val="16"/>
              </w:rPr>
              <w:t>建设项目未</w:t>
            </w:r>
            <w:r>
              <w:rPr>
                <w:spacing w:val="1"/>
              </w:rPr>
              <w:t xml:space="preserve"> </w:t>
            </w:r>
            <w:r>
              <w:rPr>
                <w:spacing w:val="16"/>
              </w:rPr>
              <w:t>履行相关审</w:t>
            </w:r>
            <w:r>
              <w:rPr>
                <w:spacing w:val="1"/>
              </w:rPr>
              <w:t xml:space="preserve"> </w:t>
            </w:r>
            <w:r>
              <w:rPr>
                <w:spacing w:val="-17"/>
              </w:rPr>
              <w:t>批、核准手续</w:t>
            </w:r>
            <w:r>
              <w:rPr>
                <w:spacing w:val="3"/>
              </w:rPr>
              <w:t xml:space="preserve"> </w:t>
            </w:r>
            <w:r>
              <w:rPr>
                <w:spacing w:val="16"/>
              </w:rPr>
              <w:t>开展招标活</w:t>
            </w:r>
            <w:r>
              <w:rPr>
                <w:spacing w:val="1"/>
              </w:rPr>
              <w:t xml:space="preserve"> </w:t>
            </w:r>
            <w:r>
              <w:rPr>
                <w:spacing w:val="16"/>
              </w:rPr>
              <w:t>动行为的行</w:t>
            </w:r>
            <w:r>
              <w:rPr>
                <w:spacing w:val="1"/>
              </w:rPr>
              <w:t xml:space="preserve"> </w:t>
            </w:r>
            <w:r>
              <w:rPr>
                <w:spacing w:val="-2"/>
              </w:rPr>
              <w:t>政处罚</w:t>
            </w:r>
          </w:p>
        </w:tc>
        <w:tc>
          <w:tcPr>
            <w:tcW w:w="1104" w:type="dxa"/>
            <w:vAlign w:val="top"/>
          </w:tcPr>
          <w:p w14:paraId="74493246">
            <w:pPr>
              <w:spacing w:line="269" w:lineRule="auto"/>
              <w:rPr>
                <w:rFonts w:ascii="Arial"/>
                <w:sz w:val="21"/>
              </w:rPr>
            </w:pPr>
          </w:p>
          <w:p w14:paraId="5D01DA77">
            <w:pPr>
              <w:spacing w:line="269" w:lineRule="auto"/>
              <w:rPr>
                <w:rFonts w:ascii="Arial"/>
                <w:sz w:val="21"/>
              </w:rPr>
            </w:pPr>
          </w:p>
          <w:p w14:paraId="21763108">
            <w:pPr>
              <w:spacing w:line="270" w:lineRule="auto"/>
              <w:rPr>
                <w:rFonts w:ascii="Arial"/>
                <w:sz w:val="21"/>
              </w:rPr>
            </w:pPr>
          </w:p>
          <w:p w14:paraId="0920E44C">
            <w:pPr>
              <w:spacing w:line="270" w:lineRule="auto"/>
              <w:rPr>
                <w:rFonts w:ascii="Arial"/>
                <w:sz w:val="21"/>
              </w:rPr>
            </w:pPr>
          </w:p>
          <w:p w14:paraId="56B2C853">
            <w:pPr>
              <w:spacing w:line="270" w:lineRule="auto"/>
              <w:rPr>
                <w:rFonts w:ascii="Arial"/>
                <w:sz w:val="21"/>
              </w:rPr>
            </w:pPr>
          </w:p>
          <w:p w14:paraId="4CC15F8D">
            <w:pPr>
              <w:spacing w:line="270" w:lineRule="auto"/>
              <w:rPr>
                <w:rFonts w:ascii="Arial"/>
                <w:sz w:val="21"/>
              </w:rPr>
            </w:pPr>
          </w:p>
          <w:p w14:paraId="69B80491">
            <w:pPr>
              <w:spacing w:line="270" w:lineRule="auto"/>
              <w:rPr>
                <w:rFonts w:ascii="Arial"/>
                <w:sz w:val="21"/>
              </w:rPr>
            </w:pPr>
          </w:p>
          <w:p w14:paraId="016B52A8">
            <w:pPr>
              <w:pStyle w:val="8"/>
              <w:spacing w:before="58" w:line="220" w:lineRule="auto"/>
              <w:ind w:left="10"/>
            </w:pPr>
            <w:r>
              <w:rPr>
                <w:spacing w:val="-2"/>
              </w:rPr>
              <w:t>行政处罚</w:t>
            </w:r>
          </w:p>
        </w:tc>
        <w:tc>
          <w:tcPr>
            <w:tcW w:w="8549" w:type="dxa"/>
            <w:vAlign w:val="top"/>
          </w:tcPr>
          <w:p w14:paraId="4993E715">
            <w:pPr>
              <w:pStyle w:val="8"/>
              <w:spacing w:before="38" w:line="219" w:lineRule="auto"/>
              <w:ind w:left="484"/>
            </w:pPr>
            <w:r>
              <w:rPr>
                <w:b/>
                <w:bCs/>
                <w:spacing w:val="-3"/>
              </w:rPr>
              <w:t>1.《中华人民共和国招标投标法实施条例》</w:t>
            </w:r>
          </w:p>
          <w:p w14:paraId="2BCD2BB6">
            <w:pPr>
              <w:pStyle w:val="8"/>
              <w:spacing w:before="27" w:line="237" w:lineRule="auto"/>
              <w:ind w:left="111" w:right="190" w:firstLine="359"/>
            </w:pPr>
            <w:r>
              <w:rPr>
                <w:spacing w:val="-1"/>
              </w:rPr>
              <w:t>第七条  按照国家有关规定需要履行项目审批、核准手续的依法必须进行招标的项目，其招标范围、</w:t>
            </w:r>
            <w:r>
              <w:rPr>
                <w:spacing w:val="5"/>
              </w:rPr>
              <w:t xml:space="preserve"> </w:t>
            </w:r>
            <w:r>
              <w:rPr>
                <w:spacing w:val="-1"/>
              </w:rPr>
              <w:t>招标方式、招标组织形式应当报项目审批、核准部门审批、核准。项目审批、核准部门应当及时将审批、</w:t>
            </w:r>
            <w:r>
              <w:rPr>
                <w:spacing w:val="6"/>
              </w:rPr>
              <w:t xml:space="preserve"> </w:t>
            </w:r>
            <w:r>
              <w:rPr>
                <w:spacing w:val="-1"/>
              </w:rPr>
              <w:t>核准确定的招标范围、招标方式、招标组织形式通报有关行政监督部</w:t>
            </w:r>
            <w:r>
              <w:rPr>
                <w:spacing w:val="-2"/>
              </w:rPr>
              <w:t>门。</w:t>
            </w:r>
          </w:p>
          <w:p w14:paraId="2E97939F">
            <w:pPr>
              <w:pStyle w:val="8"/>
              <w:spacing w:before="24" w:line="233" w:lineRule="auto"/>
              <w:ind w:left="112" w:right="159" w:firstLine="358"/>
            </w:pPr>
            <w:r>
              <w:t>第七十九条  项目审批、核准部门不依法审批、核准项目招标范围、招标方式、</w:t>
            </w:r>
            <w:r>
              <w:rPr>
                <w:spacing w:val="-1"/>
              </w:rPr>
              <w:t>招标组织形式的，对</w:t>
            </w:r>
            <w:r>
              <w:t xml:space="preserve"> </w:t>
            </w:r>
            <w:r>
              <w:rPr>
                <w:spacing w:val="-1"/>
              </w:rPr>
              <w:t>单位直接负责的主管人员和其他直接责任人</w:t>
            </w:r>
            <w:r>
              <w:rPr>
                <w:spacing w:val="-2"/>
              </w:rPr>
              <w:t>员依法给予处分。</w:t>
            </w:r>
          </w:p>
          <w:p w14:paraId="03A0EAE0">
            <w:pPr>
              <w:pStyle w:val="8"/>
              <w:spacing w:before="26" w:line="237" w:lineRule="auto"/>
              <w:ind w:left="111" w:right="159" w:firstLine="360"/>
            </w:pPr>
            <w:r>
              <w:t>有关行政监督部门不依法履行职责，对违反招标投标法和本条例规定的行为不依</w:t>
            </w:r>
            <w:r>
              <w:rPr>
                <w:spacing w:val="-1"/>
              </w:rPr>
              <w:t>法查处，或者不按照</w:t>
            </w:r>
            <w:r>
              <w:t xml:space="preserve"> 规定处理投诉、不依法公告对招标投标当事人违法行为的行政处理决定的，对直接负</w:t>
            </w:r>
            <w:r>
              <w:rPr>
                <w:spacing w:val="-1"/>
              </w:rPr>
              <w:t>责的主管人员和其他</w:t>
            </w:r>
            <w:r>
              <w:t xml:space="preserve"> </w:t>
            </w:r>
            <w:r>
              <w:rPr>
                <w:spacing w:val="-3"/>
              </w:rPr>
              <w:t>直接责任人员依法给予处分。</w:t>
            </w:r>
          </w:p>
          <w:p w14:paraId="0467EE87">
            <w:pPr>
              <w:pStyle w:val="8"/>
              <w:spacing w:before="26" w:line="233" w:lineRule="auto"/>
              <w:ind w:left="112" w:right="204" w:firstLine="361"/>
            </w:pPr>
            <w:r>
              <w:rPr>
                <w:spacing w:val="-1"/>
              </w:rPr>
              <w:t>项目审批、核准部门和有关行政监督部门的工作人员徇私舞弊、滥用职</w:t>
            </w:r>
            <w:r>
              <w:rPr>
                <w:spacing w:val="-2"/>
              </w:rPr>
              <w:t>权、玩忽职守，构成犯罪的，</w:t>
            </w:r>
            <w:r>
              <w:t xml:space="preserve"> </w:t>
            </w:r>
            <w:r>
              <w:rPr>
                <w:spacing w:val="-4"/>
              </w:rPr>
              <w:t>依法追究刑事责任。</w:t>
            </w:r>
          </w:p>
          <w:p w14:paraId="190B25DE">
            <w:pPr>
              <w:pStyle w:val="8"/>
              <w:spacing w:before="26" w:line="219" w:lineRule="auto"/>
              <w:ind w:left="473"/>
            </w:pPr>
            <w:r>
              <w:rPr>
                <w:b/>
                <w:bCs/>
                <w:spacing w:val="-3"/>
              </w:rPr>
              <w:t>2.《水运工程建设项目招标投标管理办法》（交通运输部令</w:t>
            </w:r>
            <w:r>
              <w:rPr>
                <w:spacing w:val="-32"/>
              </w:rPr>
              <w:t xml:space="preserve"> </w:t>
            </w:r>
            <w:r>
              <w:rPr>
                <w:b/>
                <w:bCs/>
                <w:spacing w:val="-3"/>
              </w:rPr>
              <w:t>2021</w:t>
            </w:r>
            <w:r>
              <w:rPr>
                <w:spacing w:val="-38"/>
              </w:rPr>
              <w:t xml:space="preserve"> </w:t>
            </w:r>
            <w:r>
              <w:rPr>
                <w:b/>
                <w:bCs/>
                <w:spacing w:val="-3"/>
              </w:rPr>
              <w:t>年第</w:t>
            </w:r>
            <w:r>
              <w:rPr>
                <w:spacing w:val="-21"/>
              </w:rPr>
              <w:t xml:space="preserve"> </w:t>
            </w:r>
            <w:r>
              <w:rPr>
                <w:b/>
                <w:bCs/>
                <w:spacing w:val="-3"/>
              </w:rPr>
              <w:t>14</w:t>
            </w:r>
            <w:r>
              <w:rPr>
                <w:spacing w:val="-35"/>
              </w:rPr>
              <w:t xml:space="preserve"> </w:t>
            </w:r>
            <w:r>
              <w:rPr>
                <w:b/>
                <w:bCs/>
                <w:spacing w:val="-3"/>
              </w:rPr>
              <w:t>号）</w:t>
            </w:r>
          </w:p>
          <w:p w14:paraId="511CEB49">
            <w:pPr>
              <w:pStyle w:val="8"/>
              <w:spacing w:before="27" w:line="233" w:lineRule="auto"/>
              <w:ind w:left="112" w:right="159" w:firstLine="358"/>
            </w:pPr>
            <w:r>
              <w:t>第九条  按照国家有关规定需要履行项目立项审批、核准手续的水运工程建设项</w:t>
            </w:r>
            <w:r>
              <w:rPr>
                <w:spacing w:val="-1"/>
              </w:rPr>
              <w:t>目，在取得批准后方</w:t>
            </w:r>
            <w:r>
              <w:t xml:space="preserve"> </w:t>
            </w:r>
            <w:r>
              <w:rPr>
                <w:spacing w:val="-3"/>
              </w:rPr>
              <w:t>可开展勘察、设计招标。</w:t>
            </w:r>
          </w:p>
          <w:p w14:paraId="4FA38D5B">
            <w:pPr>
              <w:pStyle w:val="8"/>
              <w:spacing w:before="25" w:line="219" w:lineRule="auto"/>
              <w:ind w:left="473"/>
            </w:pPr>
            <w:r>
              <w:rPr>
                <w:spacing w:val="-1"/>
              </w:rPr>
              <w:t>水运工程建设项目通过初步设计审批后，方可开展监理、施工、设备、材料</w:t>
            </w:r>
            <w:r>
              <w:rPr>
                <w:spacing w:val="-2"/>
              </w:rPr>
              <w:t>等招标。</w:t>
            </w:r>
          </w:p>
          <w:p w14:paraId="70225D44">
            <w:pPr>
              <w:pStyle w:val="8"/>
              <w:spacing w:before="27" w:line="223" w:lineRule="auto"/>
              <w:ind w:left="133" w:right="58" w:firstLine="338"/>
            </w:pPr>
            <w:r>
              <w:rPr>
                <w:spacing w:val="-2"/>
              </w:rPr>
              <w:t>第六十六条  违反本办法第九条规定，水运工程建设项目未履行相关审批、核准手续开展招标活动的，</w:t>
            </w:r>
            <w:r>
              <w:rPr>
                <w:spacing w:val="5"/>
              </w:rPr>
              <w:t xml:space="preserve"> </w:t>
            </w:r>
            <w:r>
              <w:rPr>
                <w:spacing w:val="-3"/>
              </w:rPr>
              <w:t>由交通运输主管部门责令改正，可处三万元以下罚款。</w:t>
            </w:r>
          </w:p>
        </w:tc>
        <w:tc>
          <w:tcPr>
            <w:tcW w:w="1014" w:type="dxa"/>
            <w:vAlign w:val="top"/>
          </w:tcPr>
          <w:p w14:paraId="49947F03">
            <w:pPr>
              <w:spacing w:line="252" w:lineRule="auto"/>
              <w:rPr>
                <w:rFonts w:ascii="Arial"/>
                <w:sz w:val="21"/>
              </w:rPr>
            </w:pPr>
          </w:p>
          <w:p w14:paraId="60AE3E09">
            <w:pPr>
              <w:spacing w:line="252" w:lineRule="auto"/>
              <w:rPr>
                <w:rFonts w:ascii="Arial"/>
                <w:sz w:val="21"/>
              </w:rPr>
            </w:pPr>
          </w:p>
          <w:p w14:paraId="04EA4C6E">
            <w:pPr>
              <w:spacing w:line="252" w:lineRule="auto"/>
              <w:rPr>
                <w:rFonts w:ascii="Arial"/>
                <w:sz w:val="21"/>
              </w:rPr>
            </w:pPr>
          </w:p>
          <w:p w14:paraId="56BE191A">
            <w:pPr>
              <w:spacing w:line="253" w:lineRule="auto"/>
              <w:rPr>
                <w:rFonts w:ascii="Arial"/>
                <w:sz w:val="21"/>
              </w:rPr>
            </w:pPr>
          </w:p>
          <w:p w14:paraId="3F28ABE3">
            <w:pPr>
              <w:spacing w:line="253" w:lineRule="auto"/>
              <w:rPr>
                <w:rFonts w:ascii="Arial"/>
                <w:sz w:val="21"/>
              </w:rPr>
            </w:pPr>
          </w:p>
          <w:p w14:paraId="0DCE9AD1">
            <w:pPr>
              <w:spacing w:line="253" w:lineRule="auto"/>
              <w:rPr>
                <w:rFonts w:ascii="Arial"/>
                <w:sz w:val="21"/>
              </w:rPr>
            </w:pPr>
          </w:p>
          <w:p w14:paraId="5EE6950F">
            <w:pPr>
              <w:spacing w:line="253" w:lineRule="auto"/>
              <w:rPr>
                <w:rFonts w:ascii="Arial"/>
                <w:sz w:val="21"/>
              </w:rPr>
            </w:pPr>
          </w:p>
          <w:p w14:paraId="1F92E016">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32DEC1AA">
            <w:pPr>
              <w:spacing w:line="252" w:lineRule="auto"/>
              <w:rPr>
                <w:rFonts w:ascii="Arial"/>
                <w:sz w:val="21"/>
              </w:rPr>
            </w:pPr>
          </w:p>
          <w:p w14:paraId="09246F0D">
            <w:pPr>
              <w:spacing w:line="252" w:lineRule="auto"/>
              <w:rPr>
                <w:rFonts w:ascii="Arial"/>
                <w:sz w:val="21"/>
              </w:rPr>
            </w:pPr>
          </w:p>
          <w:p w14:paraId="7E0AF09A">
            <w:pPr>
              <w:spacing w:line="253" w:lineRule="auto"/>
              <w:rPr>
                <w:rFonts w:ascii="Arial"/>
                <w:sz w:val="21"/>
              </w:rPr>
            </w:pPr>
          </w:p>
          <w:p w14:paraId="3AFD5938">
            <w:pPr>
              <w:spacing w:line="253" w:lineRule="auto"/>
              <w:rPr>
                <w:rFonts w:ascii="Arial"/>
                <w:sz w:val="21"/>
              </w:rPr>
            </w:pPr>
          </w:p>
          <w:p w14:paraId="42573BCA">
            <w:pPr>
              <w:spacing w:line="253" w:lineRule="auto"/>
              <w:rPr>
                <w:rFonts w:ascii="Arial"/>
                <w:sz w:val="21"/>
              </w:rPr>
            </w:pPr>
          </w:p>
          <w:p w14:paraId="6387B8E0">
            <w:pPr>
              <w:spacing w:line="253" w:lineRule="auto"/>
              <w:rPr>
                <w:rFonts w:ascii="Arial"/>
                <w:sz w:val="21"/>
              </w:rPr>
            </w:pPr>
          </w:p>
          <w:p w14:paraId="7D9381FF">
            <w:pPr>
              <w:spacing w:line="253" w:lineRule="auto"/>
              <w:rPr>
                <w:rFonts w:ascii="Arial"/>
                <w:sz w:val="21"/>
              </w:rPr>
            </w:pPr>
          </w:p>
          <w:p w14:paraId="6F520F21">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0791B22">
            <w:pPr>
              <w:spacing w:line="255" w:lineRule="auto"/>
              <w:rPr>
                <w:rFonts w:ascii="Arial"/>
                <w:sz w:val="21"/>
              </w:rPr>
            </w:pPr>
          </w:p>
          <w:p w14:paraId="2F4987A2">
            <w:pPr>
              <w:spacing w:line="255" w:lineRule="auto"/>
              <w:rPr>
                <w:rFonts w:ascii="Arial"/>
                <w:sz w:val="21"/>
              </w:rPr>
            </w:pPr>
          </w:p>
          <w:p w14:paraId="64ED3794">
            <w:pPr>
              <w:spacing w:line="255" w:lineRule="auto"/>
              <w:rPr>
                <w:rFonts w:ascii="Arial"/>
                <w:sz w:val="21"/>
              </w:rPr>
            </w:pPr>
          </w:p>
          <w:p w14:paraId="34625AF5">
            <w:pPr>
              <w:spacing w:line="255" w:lineRule="auto"/>
              <w:rPr>
                <w:rFonts w:ascii="Arial"/>
                <w:sz w:val="21"/>
              </w:rPr>
            </w:pPr>
          </w:p>
          <w:p w14:paraId="3062EB2E">
            <w:pPr>
              <w:spacing w:line="255" w:lineRule="auto"/>
              <w:rPr>
                <w:rFonts w:ascii="Arial"/>
                <w:sz w:val="21"/>
              </w:rPr>
            </w:pPr>
          </w:p>
          <w:p w14:paraId="4E09FA6E">
            <w:pPr>
              <w:spacing w:line="256" w:lineRule="auto"/>
              <w:rPr>
                <w:rFonts w:ascii="Arial"/>
                <w:sz w:val="21"/>
              </w:rPr>
            </w:pPr>
          </w:p>
          <w:p w14:paraId="4EE2F8A7">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1EFC8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5" w:hRule="atLeast"/>
        </w:trPr>
        <w:tc>
          <w:tcPr>
            <w:tcW w:w="624" w:type="dxa"/>
            <w:vAlign w:val="top"/>
          </w:tcPr>
          <w:p w14:paraId="6395CD77">
            <w:pPr>
              <w:spacing w:line="252" w:lineRule="auto"/>
              <w:rPr>
                <w:rFonts w:ascii="Arial"/>
                <w:sz w:val="21"/>
              </w:rPr>
            </w:pPr>
          </w:p>
          <w:p w14:paraId="75DB5855">
            <w:pPr>
              <w:spacing w:line="253" w:lineRule="auto"/>
              <w:rPr>
                <w:rFonts w:ascii="Arial"/>
                <w:sz w:val="21"/>
              </w:rPr>
            </w:pPr>
          </w:p>
          <w:p w14:paraId="3385E02B">
            <w:pPr>
              <w:spacing w:line="253" w:lineRule="auto"/>
              <w:rPr>
                <w:rFonts w:ascii="Arial"/>
                <w:sz w:val="21"/>
              </w:rPr>
            </w:pPr>
          </w:p>
          <w:p w14:paraId="5387E79D">
            <w:pPr>
              <w:spacing w:line="253" w:lineRule="auto"/>
              <w:rPr>
                <w:rFonts w:ascii="Arial"/>
                <w:sz w:val="21"/>
              </w:rPr>
            </w:pPr>
          </w:p>
          <w:p w14:paraId="7D03C644">
            <w:pPr>
              <w:spacing w:line="253" w:lineRule="auto"/>
              <w:rPr>
                <w:rFonts w:ascii="Arial"/>
                <w:sz w:val="21"/>
              </w:rPr>
            </w:pPr>
          </w:p>
          <w:p w14:paraId="680945FF">
            <w:pPr>
              <w:spacing w:line="253" w:lineRule="auto"/>
              <w:rPr>
                <w:rFonts w:ascii="Arial"/>
                <w:sz w:val="21"/>
              </w:rPr>
            </w:pPr>
          </w:p>
          <w:p w14:paraId="342EC5E1">
            <w:pPr>
              <w:spacing w:line="253" w:lineRule="auto"/>
              <w:rPr>
                <w:rFonts w:ascii="Arial"/>
                <w:sz w:val="21"/>
              </w:rPr>
            </w:pPr>
          </w:p>
          <w:p w14:paraId="63BABE9E">
            <w:pPr>
              <w:spacing w:line="253" w:lineRule="auto"/>
              <w:rPr>
                <w:rFonts w:ascii="Arial"/>
                <w:sz w:val="21"/>
              </w:rPr>
            </w:pPr>
          </w:p>
          <w:p w14:paraId="28A4EFBD">
            <w:pPr>
              <w:spacing w:line="253" w:lineRule="auto"/>
              <w:rPr>
                <w:rFonts w:ascii="Arial"/>
                <w:sz w:val="21"/>
              </w:rPr>
            </w:pPr>
          </w:p>
          <w:p w14:paraId="3A40D8DE">
            <w:pPr>
              <w:pStyle w:val="8"/>
              <w:spacing w:before="58" w:line="183" w:lineRule="auto"/>
              <w:ind w:left="233"/>
            </w:pPr>
            <w:r>
              <w:rPr>
                <w:spacing w:val="-5"/>
              </w:rPr>
              <w:t>28</w:t>
            </w:r>
          </w:p>
        </w:tc>
        <w:tc>
          <w:tcPr>
            <w:tcW w:w="1104" w:type="dxa"/>
            <w:vAlign w:val="top"/>
          </w:tcPr>
          <w:p w14:paraId="4A1C32B4">
            <w:pPr>
              <w:spacing w:line="282" w:lineRule="auto"/>
              <w:rPr>
                <w:rFonts w:ascii="Arial"/>
                <w:sz w:val="21"/>
              </w:rPr>
            </w:pPr>
          </w:p>
          <w:p w14:paraId="77274A60">
            <w:pPr>
              <w:spacing w:line="282" w:lineRule="auto"/>
              <w:rPr>
                <w:rFonts w:ascii="Arial"/>
                <w:sz w:val="21"/>
              </w:rPr>
            </w:pPr>
          </w:p>
          <w:p w14:paraId="3C4012F3">
            <w:pPr>
              <w:spacing w:line="282" w:lineRule="auto"/>
              <w:rPr>
                <w:rFonts w:ascii="Arial"/>
                <w:sz w:val="21"/>
              </w:rPr>
            </w:pPr>
          </w:p>
          <w:p w14:paraId="0940196A">
            <w:pPr>
              <w:spacing w:line="283" w:lineRule="auto"/>
              <w:rPr>
                <w:rFonts w:ascii="Arial"/>
                <w:sz w:val="21"/>
              </w:rPr>
            </w:pPr>
          </w:p>
          <w:p w14:paraId="35D65F4F">
            <w:pPr>
              <w:spacing w:line="283" w:lineRule="auto"/>
              <w:rPr>
                <w:rFonts w:ascii="Arial"/>
                <w:sz w:val="21"/>
              </w:rPr>
            </w:pPr>
          </w:p>
          <w:p w14:paraId="3ABBC210">
            <w:pPr>
              <w:pStyle w:val="8"/>
              <w:spacing w:before="58" w:line="242" w:lineRule="auto"/>
              <w:ind w:left="60" w:right="56"/>
              <w:jc w:val="both"/>
            </w:pPr>
            <w:r>
              <w:rPr>
                <w:spacing w:val="16"/>
              </w:rPr>
              <w:t>对公路工程</w:t>
            </w:r>
            <w:r>
              <w:rPr>
                <w:spacing w:val="1"/>
              </w:rPr>
              <w:t xml:space="preserve"> </w:t>
            </w:r>
            <w:r>
              <w:rPr>
                <w:spacing w:val="16"/>
              </w:rPr>
              <w:t>建设项目不</w:t>
            </w:r>
            <w:r>
              <w:rPr>
                <w:spacing w:val="1"/>
              </w:rPr>
              <w:t xml:space="preserve"> </w:t>
            </w:r>
            <w:r>
              <w:rPr>
                <w:spacing w:val="16"/>
              </w:rPr>
              <w:t>具备招标条</w:t>
            </w:r>
            <w:r>
              <w:rPr>
                <w:spacing w:val="1"/>
              </w:rPr>
              <w:t xml:space="preserve"> </w:t>
            </w:r>
            <w:r>
              <w:rPr>
                <w:spacing w:val="16"/>
              </w:rPr>
              <w:t>件而进行招</w:t>
            </w:r>
            <w:r>
              <w:rPr>
                <w:spacing w:val="1"/>
              </w:rPr>
              <w:t xml:space="preserve"> </w:t>
            </w:r>
            <w:r>
              <w:rPr>
                <w:spacing w:val="16"/>
              </w:rPr>
              <w:t>标等行为的</w:t>
            </w:r>
            <w:r>
              <w:rPr>
                <w:spacing w:val="1"/>
              </w:rPr>
              <w:t xml:space="preserve"> </w:t>
            </w:r>
            <w:r>
              <w:rPr>
                <w:spacing w:val="-2"/>
              </w:rPr>
              <w:t>行政处罚</w:t>
            </w:r>
          </w:p>
        </w:tc>
        <w:tc>
          <w:tcPr>
            <w:tcW w:w="1104" w:type="dxa"/>
            <w:vAlign w:val="top"/>
          </w:tcPr>
          <w:p w14:paraId="7A528D7E">
            <w:pPr>
              <w:spacing w:line="249" w:lineRule="auto"/>
              <w:rPr>
                <w:rFonts w:ascii="Arial"/>
                <w:sz w:val="21"/>
              </w:rPr>
            </w:pPr>
          </w:p>
          <w:p w14:paraId="76AFC169">
            <w:pPr>
              <w:spacing w:line="249" w:lineRule="auto"/>
              <w:rPr>
                <w:rFonts w:ascii="Arial"/>
                <w:sz w:val="21"/>
              </w:rPr>
            </w:pPr>
          </w:p>
          <w:p w14:paraId="4F460559">
            <w:pPr>
              <w:spacing w:line="249" w:lineRule="auto"/>
              <w:rPr>
                <w:rFonts w:ascii="Arial"/>
                <w:sz w:val="21"/>
              </w:rPr>
            </w:pPr>
          </w:p>
          <w:p w14:paraId="32469433">
            <w:pPr>
              <w:spacing w:line="250" w:lineRule="auto"/>
              <w:rPr>
                <w:rFonts w:ascii="Arial"/>
                <w:sz w:val="21"/>
              </w:rPr>
            </w:pPr>
          </w:p>
          <w:p w14:paraId="02AF9F81">
            <w:pPr>
              <w:spacing w:line="250" w:lineRule="auto"/>
              <w:rPr>
                <w:rFonts w:ascii="Arial"/>
                <w:sz w:val="21"/>
              </w:rPr>
            </w:pPr>
          </w:p>
          <w:p w14:paraId="3D282184">
            <w:pPr>
              <w:spacing w:line="250" w:lineRule="auto"/>
              <w:rPr>
                <w:rFonts w:ascii="Arial"/>
                <w:sz w:val="21"/>
              </w:rPr>
            </w:pPr>
          </w:p>
          <w:p w14:paraId="7CAF26BC">
            <w:pPr>
              <w:spacing w:line="250" w:lineRule="auto"/>
              <w:rPr>
                <w:rFonts w:ascii="Arial"/>
                <w:sz w:val="21"/>
              </w:rPr>
            </w:pPr>
          </w:p>
          <w:p w14:paraId="476CF4A4">
            <w:pPr>
              <w:spacing w:line="250" w:lineRule="auto"/>
              <w:rPr>
                <w:rFonts w:ascii="Arial"/>
                <w:sz w:val="21"/>
              </w:rPr>
            </w:pPr>
          </w:p>
          <w:p w14:paraId="539365AB">
            <w:pPr>
              <w:spacing w:line="250" w:lineRule="auto"/>
              <w:rPr>
                <w:rFonts w:ascii="Arial"/>
                <w:sz w:val="21"/>
              </w:rPr>
            </w:pPr>
          </w:p>
          <w:p w14:paraId="2ED7CAA8">
            <w:pPr>
              <w:pStyle w:val="8"/>
              <w:spacing w:before="59" w:line="220" w:lineRule="auto"/>
              <w:ind w:left="10"/>
            </w:pPr>
            <w:r>
              <w:rPr>
                <w:spacing w:val="-2"/>
              </w:rPr>
              <w:t>行政处罚</w:t>
            </w:r>
          </w:p>
        </w:tc>
        <w:tc>
          <w:tcPr>
            <w:tcW w:w="8549" w:type="dxa"/>
            <w:vAlign w:val="top"/>
          </w:tcPr>
          <w:p w14:paraId="54C41558">
            <w:pPr>
              <w:pStyle w:val="8"/>
              <w:spacing w:before="39" w:line="219" w:lineRule="auto"/>
              <w:ind w:left="476"/>
            </w:pPr>
            <w:r>
              <w:rPr>
                <w:b/>
                <w:bCs/>
                <w:spacing w:val="-3"/>
              </w:rPr>
              <w:t>《公路工程建设项目招标投标管理办法》</w:t>
            </w:r>
            <w:r>
              <w:rPr>
                <w:spacing w:val="-3"/>
              </w:rPr>
              <w:t xml:space="preserve"> </w:t>
            </w:r>
            <w:r>
              <w:rPr>
                <w:b/>
                <w:bCs/>
                <w:spacing w:val="-3"/>
              </w:rPr>
              <w:t>（交通运输部令</w:t>
            </w:r>
            <w:r>
              <w:rPr>
                <w:spacing w:val="-27"/>
              </w:rPr>
              <w:t xml:space="preserve"> </w:t>
            </w:r>
            <w:r>
              <w:rPr>
                <w:b/>
                <w:bCs/>
                <w:spacing w:val="-3"/>
              </w:rPr>
              <w:t>2015</w:t>
            </w:r>
            <w:r>
              <w:rPr>
                <w:spacing w:val="-38"/>
              </w:rPr>
              <w:t xml:space="preserve"> </w:t>
            </w:r>
            <w:r>
              <w:rPr>
                <w:b/>
                <w:bCs/>
                <w:spacing w:val="-3"/>
              </w:rPr>
              <w:t>年第</w:t>
            </w:r>
            <w:r>
              <w:rPr>
                <w:spacing w:val="-33"/>
              </w:rPr>
              <w:t xml:space="preserve"> </w:t>
            </w:r>
            <w:r>
              <w:rPr>
                <w:b/>
                <w:bCs/>
                <w:spacing w:val="-3"/>
              </w:rPr>
              <w:t>24</w:t>
            </w:r>
            <w:r>
              <w:rPr>
                <w:spacing w:val="-34"/>
              </w:rPr>
              <w:t xml:space="preserve"> </w:t>
            </w:r>
            <w:r>
              <w:rPr>
                <w:b/>
                <w:bCs/>
                <w:spacing w:val="-3"/>
              </w:rPr>
              <w:t>号）</w:t>
            </w:r>
          </w:p>
          <w:p w14:paraId="34DA9D88">
            <w:pPr>
              <w:pStyle w:val="8"/>
              <w:spacing w:before="26" w:line="233" w:lineRule="auto"/>
              <w:ind w:left="145" w:right="159" w:firstLine="325"/>
            </w:pPr>
            <w:r>
              <w:t>第八条  对于按照国家有关规定需要履行项目审批、核准手续的依法必须进行招</w:t>
            </w:r>
            <w:r>
              <w:rPr>
                <w:spacing w:val="-1"/>
              </w:rPr>
              <w:t>标的公路工程建设项</w:t>
            </w:r>
            <w:r>
              <w:t xml:space="preserve"> </w:t>
            </w:r>
            <w:r>
              <w:rPr>
                <w:spacing w:val="-2"/>
              </w:rPr>
              <w:t>目，招标人应当按照项目审批、核准部门确定的招标范围、招标方式、招标组织形式开展招标。</w:t>
            </w:r>
          </w:p>
          <w:p w14:paraId="363AA63E">
            <w:pPr>
              <w:pStyle w:val="8"/>
              <w:spacing w:before="25" w:line="233" w:lineRule="auto"/>
              <w:ind w:left="112" w:right="159" w:firstLine="364"/>
            </w:pPr>
            <w:r>
              <w:t>公路工程建设项目履行项目审批或者核准手续后，方可开展勘察设计</w:t>
            </w:r>
            <w:r>
              <w:rPr>
                <w:spacing w:val="-1"/>
              </w:rPr>
              <w:t>招标；初步设计文件批准后，方</w:t>
            </w:r>
            <w:r>
              <w:t xml:space="preserve"> </w:t>
            </w:r>
            <w:r>
              <w:rPr>
                <w:spacing w:val="-1"/>
              </w:rPr>
              <w:t>可开展施工监理、设计施工总承包招标；施工图设计文件批准后，方可开展施工招标。</w:t>
            </w:r>
          </w:p>
          <w:p w14:paraId="0159F5DB">
            <w:pPr>
              <w:pStyle w:val="8"/>
              <w:spacing w:before="25" w:line="219" w:lineRule="auto"/>
              <w:ind w:left="470"/>
            </w:pPr>
            <w:r>
              <w:rPr>
                <w:spacing w:val="-1"/>
              </w:rPr>
              <w:t>施工招标采用资格预审方式的，在初步设计文件批准后，可以进行资</w:t>
            </w:r>
            <w:r>
              <w:rPr>
                <w:spacing w:val="-2"/>
              </w:rPr>
              <w:t>格预审。</w:t>
            </w:r>
          </w:p>
          <w:p w14:paraId="140AC991">
            <w:pPr>
              <w:pStyle w:val="8"/>
              <w:spacing w:before="27" w:line="233" w:lineRule="auto"/>
              <w:ind w:left="115" w:right="204" w:firstLine="355"/>
            </w:pPr>
            <w:r>
              <w:rPr>
                <w:spacing w:val="-1"/>
              </w:rPr>
              <w:t>第十六条  对依法必须进行招标的公路工程建设项目，招标人应当根据交通运输</w:t>
            </w:r>
            <w:r>
              <w:rPr>
                <w:spacing w:val="-2"/>
              </w:rPr>
              <w:t>部制定的标准文本，</w:t>
            </w:r>
            <w:r>
              <w:t xml:space="preserve"> </w:t>
            </w:r>
            <w:r>
              <w:rPr>
                <w:spacing w:val="-1"/>
              </w:rPr>
              <w:t>结合招标项目具体特点和实际需要，编制资格预审</w:t>
            </w:r>
            <w:r>
              <w:rPr>
                <w:spacing w:val="-2"/>
              </w:rPr>
              <w:t>文件和招标文件。</w:t>
            </w:r>
          </w:p>
          <w:p w14:paraId="05CEA1D0">
            <w:pPr>
              <w:pStyle w:val="8"/>
              <w:spacing w:before="25" w:line="233" w:lineRule="auto"/>
              <w:ind w:left="111" w:right="58" w:firstLine="359"/>
            </w:pPr>
            <w:r>
              <w:rPr>
                <w:spacing w:val="-2"/>
              </w:rPr>
              <w:t>第十七条  招标人应当按照省级人民政府交通运输主管部门的规定，将资格预审文件及其澄清、修改，</w:t>
            </w:r>
            <w:r>
              <w:rPr>
                <w:spacing w:val="5"/>
              </w:rPr>
              <w:t xml:space="preserve"> </w:t>
            </w:r>
            <w:r>
              <w:rPr>
                <w:spacing w:val="-2"/>
              </w:rPr>
              <w:t>招标文件及其澄清、修改报相应的交通运输主管部门备案。</w:t>
            </w:r>
          </w:p>
          <w:p w14:paraId="0D663129">
            <w:pPr>
              <w:pStyle w:val="8"/>
              <w:spacing w:before="24"/>
              <w:ind w:left="109" w:right="159" w:firstLine="361"/>
            </w:pPr>
            <w:r>
              <w:t>第十八条  招标人应当自资格预审文件或者招标文件开始发售之日起，将其关键</w:t>
            </w:r>
            <w:r>
              <w:rPr>
                <w:spacing w:val="-1"/>
              </w:rPr>
              <w:t>内容上传至具有招标</w:t>
            </w:r>
            <w:r>
              <w:t xml:space="preserve"> 监督职责的交通运输主管部门政府网站或者其指定的其他网站上进行公开，公开内容包括</w:t>
            </w:r>
            <w:r>
              <w:rPr>
                <w:spacing w:val="-1"/>
              </w:rPr>
              <w:t>项目概况、对申</w:t>
            </w:r>
            <w:r>
              <w:t xml:space="preserve"> 请人或者投标人的资格条件要求、资格审查办法、评标办法、招标人联系方式等，公开时</w:t>
            </w:r>
            <w:r>
              <w:rPr>
                <w:spacing w:val="-1"/>
              </w:rPr>
              <w:t>间至提交资格预</w:t>
            </w:r>
            <w:r>
              <w:t xml:space="preserve"> </w:t>
            </w:r>
            <w:r>
              <w:rPr>
                <w:spacing w:val="-5"/>
              </w:rPr>
              <w:t>审申请文件截止时间</w:t>
            </w:r>
            <w:r>
              <w:rPr>
                <w:spacing w:val="-33"/>
              </w:rPr>
              <w:t xml:space="preserve"> </w:t>
            </w:r>
            <w:r>
              <w:rPr>
                <w:spacing w:val="-5"/>
              </w:rPr>
              <w:t>2 日前或者投标截止时间</w:t>
            </w:r>
            <w:r>
              <w:rPr>
                <w:spacing w:val="-24"/>
              </w:rPr>
              <w:t xml:space="preserve"> </w:t>
            </w:r>
            <w:r>
              <w:rPr>
                <w:spacing w:val="-5"/>
              </w:rPr>
              <w:t>10 日前结束。</w:t>
            </w:r>
          </w:p>
          <w:p w14:paraId="691A7F43">
            <w:pPr>
              <w:pStyle w:val="8"/>
              <w:spacing w:before="25" w:line="233" w:lineRule="auto"/>
              <w:ind w:left="110" w:right="159" w:firstLine="361"/>
            </w:pPr>
            <w:r>
              <w:t>招标人发出的资格预审文件或者招标文件的澄清或者修改涉及到前款规定的公开</w:t>
            </w:r>
            <w:r>
              <w:rPr>
                <w:spacing w:val="-1"/>
              </w:rPr>
              <w:t>内容的，招标人应当</w:t>
            </w:r>
            <w:r>
              <w:t xml:space="preserve"> </w:t>
            </w:r>
            <w:r>
              <w:rPr>
                <w:spacing w:val="-1"/>
              </w:rPr>
              <w:t>在向交通运输主管部门备案的同时，将澄清或者修改的内容上传至前款规定的网站。</w:t>
            </w:r>
          </w:p>
          <w:p w14:paraId="59008428">
            <w:pPr>
              <w:pStyle w:val="8"/>
              <w:spacing w:before="27" w:line="233" w:lineRule="auto"/>
              <w:ind w:left="128" w:right="159" w:firstLine="343"/>
            </w:pPr>
            <w:r>
              <w:t>第二十四条  招标人应当严格遵守有关法律、行政法规关于各类保证金收取的规</w:t>
            </w:r>
            <w:r>
              <w:rPr>
                <w:spacing w:val="-1"/>
              </w:rPr>
              <w:t>定，在招标文件中载</w:t>
            </w:r>
            <w:r>
              <w:t xml:space="preserve"> </w:t>
            </w:r>
            <w:r>
              <w:rPr>
                <w:spacing w:val="-3"/>
              </w:rPr>
              <w:t>明保证金收取的形式、金额以及返还时间。</w:t>
            </w:r>
          </w:p>
          <w:p w14:paraId="377F405F">
            <w:pPr>
              <w:pStyle w:val="8"/>
              <w:spacing w:before="25" w:line="223" w:lineRule="auto"/>
              <w:ind w:left="131" w:right="159" w:firstLine="340"/>
            </w:pPr>
            <w:r>
              <w:t>招标人不得以任何名义增设或者变相增设保证金或者随意更改招标文件载明的保</w:t>
            </w:r>
            <w:r>
              <w:rPr>
                <w:spacing w:val="-1"/>
              </w:rPr>
              <w:t>证金收取形式、金额</w:t>
            </w:r>
            <w:r>
              <w:t xml:space="preserve"> </w:t>
            </w:r>
            <w:r>
              <w:rPr>
                <w:spacing w:val="-2"/>
              </w:rPr>
              <w:t>以及返还时间。招标人不得在资格预审期间收取任何形式的保证金。</w:t>
            </w:r>
          </w:p>
        </w:tc>
        <w:tc>
          <w:tcPr>
            <w:tcW w:w="1014" w:type="dxa"/>
            <w:vAlign w:val="top"/>
          </w:tcPr>
          <w:p w14:paraId="01CE6426">
            <w:pPr>
              <w:spacing w:line="266" w:lineRule="auto"/>
              <w:rPr>
                <w:rFonts w:ascii="Arial"/>
                <w:sz w:val="21"/>
              </w:rPr>
            </w:pPr>
          </w:p>
          <w:p w14:paraId="0228B1D3">
            <w:pPr>
              <w:spacing w:line="266" w:lineRule="auto"/>
              <w:rPr>
                <w:rFonts w:ascii="Arial"/>
                <w:sz w:val="21"/>
              </w:rPr>
            </w:pPr>
          </w:p>
          <w:p w14:paraId="138E3A06">
            <w:pPr>
              <w:spacing w:line="266" w:lineRule="auto"/>
              <w:rPr>
                <w:rFonts w:ascii="Arial"/>
                <w:sz w:val="21"/>
              </w:rPr>
            </w:pPr>
          </w:p>
          <w:p w14:paraId="118044F3">
            <w:pPr>
              <w:spacing w:line="266" w:lineRule="auto"/>
              <w:rPr>
                <w:rFonts w:ascii="Arial"/>
                <w:sz w:val="21"/>
              </w:rPr>
            </w:pPr>
          </w:p>
          <w:p w14:paraId="49040770">
            <w:pPr>
              <w:spacing w:line="266" w:lineRule="auto"/>
              <w:rPr>
                <w:rFonts w:ascii="Arial"/>
                <w:sz w:val="21"/>
              </w:rPr>
            </w:pPr>
          </w:p>
          <w:p w14:paraId="3EA68268">
            <w:pPr>
              <w:spacing w:line="266" w:lineRule="auto"/>
              <w:rPr>
                <w:rFonts w:ascii="Arial"/>
                <w:sz w:val="21"/>
              </w:rPr>
            </w:pPr>
          </w:p>
          <w:p w14:paraId="64C214F7">
            <w:pPr>
              <w:spacing w:line="266" w:lineRule="auto"/>
              <w:rPr>
                <w:rFonts w:ascii="Arial"/>
                <w:sz w:val="21"/>
              </w:rPr>
            </w:pPr>
          </w:p>
          <w:p w14:paraId="66EC34B5">
            <w:pPr>
              <w:spacing w:line="266" w:lineRule="auto"/>
              <w:rPr>
                <w:rFonts w:ascii="Arial"/>
                <w:sz w:val="21"/>
              </w:rPr>
            </w:pPr>
          </w:p>
          <w:p w14:paraId="3A02DF55">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3F589AA5">
            <w:pPr>
              <w:spacing w:line="266" w:lineRule="auto"/>
              <w:rPr>
                <w:rFonts w:ascii="Arial"/>
                <w:sz w:val="21"/>
              </w:rPr>
            </w:pPr>
          </w:p>
          <w:p w14:paraId="00CD491B">
            <w:pPr>
              <w:spacing w:line="266" w:lineRule="auto"/>
              <w:rPr>
                <w:rFonts w:ascii="Arial"/>
                <w:sz w:val="21"/>
              </w:rPr>
            </w:pPr>
          </w:p>
          <w:p w14:paraId="431BB68D">
            <w:pPr>
              <w:spacing w:line="266" w:lineRule="auto"/>
              <w:rPr>
                <w:rFonts w:ascii="Arial"/>
                <w:sz w:val="21"/>
              </w:rPr>
            </w:pPr>
          </w:p>
          <w:p w14:paraId="08CB080F">
            <w:pPr>
              <w:spacing w:line="266" w:lineRule="auto"/>
              <w:rPr>
                <w:rFonts w:ascii="Arial"/>
                <w:sz w:val="21"/>
              </w:rPr>
            </w:pPr>
          </w:p>
          <w:p w14:paraId="6895F7AE">
            <w:pPr>
              <w:spacing w:line="266" w:lineRule="auto"/>
              <w:rPr>
                <w:rFonts w:ascii="Arial"/>
                <w:sz w:val="21"/>
              </w:rPr>
            </w:pPr>
          </w:p>
          <w:p w14:paraId="736FA4C0">
            <w:pPr>
              <w:spacing w:line="266" w:lineRule="auto"/>
              <w:rPr>
                <w:rFonts w:ascii="Arial"/>
                <w:sz w:val="21"/>
              </w:rPr>
            </w:pPr>
          </w:p>
          <w:p w14:paraId="468B2B8C">
            <w:pPr>
              <w:spacing w:line="266" w:lineRule="auto"/>
              <w:rPr>
                <w:rFonts w:ascii="Arial"/>
                <w:sz w:val="21"/>
              </w:rPr>
            </w:pPr>
          </w:p>
          <w:p w14:paraId="2236AABC">
            <w:pPr>
              <w:spacing w:line="266" w:lineRule="auto"/>
              <w:rPr>
                <w:rFonts w:ascii="Arial"/>
                <w:sz w:val="21"/>
              </w:rPr>
            </w:pPr>
          </w:p>
          <w:p w14:paraId="15CC44E1">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5F7EFA9">
            <w:pPr>
              <w:spacing w:line="270" w:lineRule="auto"/>
              <w:rPr>
                <w:rFonts w:ascii="Arial"/>
                <w:sz w:val="21"/>
              </w:rPr>
            </w:pPr>
          </w:p>
          <w:p w14:paraId="7422F04F">
            <w:pPr>
              <w:spacing w:line="270" w:lineRule="auto"/>
              <w:rPr>
                <w:rFonts w:ascii="Arial"/>
                <w:sz w:val="21"/>
              </w:rPr>
            </w:pPr>
          </w:p>
          <w:p w14:paraId="73B6C8CB">
            <w:pPr>
              <w:spacing w:line="270" w:lineRule="auto"/>
              <w:rPr>
                <w:rFonts w:ascii="Arial"/>
                <w:sz w:val="21"/>
              </w:rPr>
            </w:pPr>
          </w:p>
          <w:p w14:paraId="093300B0">
            <w:pPr>
              <w:spacing w:line="270" w:lineRule="auto"/>
              <w:rPr>
                <w:rFonts w:ascii="Arial"/>
                <w:sz w:val="21"/>
              </w:rPr>
            </w:pPr>
          </w:p>
          <w:p w14:paraId="3D5D4259">
            <w:pPr>
              <w:spacing w:line="270" w:lineRule="auto"/>
              <w:rPr>
                <w:rFonts w:ascii="Arial"/>
                <w:sz w:val="21"/>
              </w:rPr>
            </w:pPr>
          </w:p>
          <w:p w14:paraId="73D4EBAC">
            <w:pPr>
              <w:spacing w:line="270" w:lineRule="auto"/>
              <w:rPr>
                <w:rFonts w:ascii="Arial"/>
                <w:sz w:val="21"/>
              </w:rPr>
            </w:pPr>
          </w:p>
          <w:p w14:paraId="6AEB284A">
            <w:pPr>
              <w:spacing w:line="271" w:lineRule="auto"/>
              <w:rPr>
                <w:rFonts w:ascii="Arial"/>
                <w:sz w:val="21"/>
              </w:rPr>
            </w:pPr>
          </w:p>
          <w:p w14:paraId="42E757C5">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4272540">
      <w:pPr>
        <w:pStyle w:val="2"/>
        <w:spacing w:line="187" w:lineRule="exact"/>
        <w:rPr>
          <w:sz w:val="16"/>
        </w:rPr>
      </w:pPr>
    </w:p>
    <w:p w14:paraId="73346FA0">
      <w:pPr>
        <w:spacing w:line="187" w:lineRule="exact"/>
        <w:rPr>
          <w:sz w:val="16"/>
          <w:szCs w:val="16"/>
        </w:rPr>
        <w:sectPr>
          <w:footerReference r:id="rId88" w:type="default"/>
          <w:pgSz w:w="16839" w:h="11906"/>
          <w:pgMar w:top="1012" w:right="991" w:bottom="966" w:left="1021" w:header="0" w:footer="768" w:gutter="0"/>
          <w:cols w:space="720" w:num="1"/>
        </w:sectPr>
      </w:pPr>
    </w:p>
    <w:p w14:paraId="0F5018B5">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12010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3766AEC6">
            <w:pPr>
              <w:pStyle w:val="8"/>
              <w:spacing w:before="267" w:line="221" w:lineRule="auto"/>
              <w:ind w:left="134"/>
            </w:pPr>
            <w:r>
              <w:rPr>
                <w:b/>
                <w:bCs/>
                <w:spacing w:val="-4"/>
              </w:rPr>
              <w:t>序号</w:t>
            </w:r>
          </w:p>
        </w:tc>
        <w:tc>
          <w:tcPr>
            <w:tcW w:w="1104" w:type="dxa"/>
            <w:vMerge w:val="restart"/>
            <w:tcBorders>
              <w:bottom w:val="nil"/>
            </w:tcBorders>
            <w:vAlign w:val="top"/>
          </w:tcPr>
          <w:p w14:paraId="30DF527D">
            <w:pPr>
              <w:pStyle w:val="8"/>
              <w:spacing w:before="260" w:line="220" w:lineRule="auto"/>
              <w:ind w:left="192"/>
            </w:pPr>
            <w:r>
              <w:rPr>
                <w:b/>
                <w:bCs/>
                <w:spacing w:val="-4"/>
              </w:rPr>
              <w:t>事项名称</w:t>
            </w:r>
          </w:p>
        </w:tc>
        <w:tc>
          <w:tcPr>
            <w:tcW w:w="1104" w:type="dxa"/>
            <w:vMerge w:val="restart"/>
            <w:tcBorders>
              <w:bottom w:val="nil"/>
            </w:tcBorders>
            <w:vAlign w:val="top"/>
          </w:tcPr>
          <w:p w14:paraId="5561080A">
            <w:pPr>
              <w:pStyle w:val="8"/>
              <w:spacing w:before="260" w:line="219" w:lineRule="auto"/>
              <w:ind w:left="193"/>
            </w:pPr>
            <w:r>
              <w:rPr>
                <w:b/>
                <w:bCs/>
                <w:spacing w:val="-4"/>
              </w:rPr>
              <w:t>职权类型</w:t>
            </w:r>
          </w:p>
        </w:tc>
        <w:tc>
          <w:tcPr>
            <w:tcW w:w="8549" w:type="dxa"/>
            <w:vMerge w:val="restart"/>
            <w:tcBorders>
              <w:bottom w:val="nil"/>
            </w:tcBorders>
            <w:vAlign w:val="top"/>
          </w:tcPr>
          <w:p w14:paraId="37DFEF5F">
            <w:pPr>
              <w:pStyle w:val="8"/>
              <w:spacing w:before="259" w:line="219" w:lineRule="auto"/>
              <w:ind w:left="3921"/>
            </w:pPr>
            <w:r>
              <w:rPr>
                <w:b/>
                <w:bCs/>
                <w:spacing w:val="-5"/>
              </w:rPr>
              <w:t>实施依据</w:t>
            </w:r>
          </w:p>
        </w:tc>
        <w:tc>
          <w:tcPr>
            <w:tcW w:w="3439" w:type="dxa"/>
            <w:gridSpan w:val="3"/>
            <w:vAlign w:val="top"/>
          </w:tcPr>
          <w:p w14:paraId="74BEE742">
            <w:pPr>
              <w:pStyle w:val="8"/>
              <w:spacing w:before="85" w:line="220" w:lineRule="auto"/>
              <w:ind w:left="1365"/>
            </w:pPr>
            <w:r>
              <w:rPr>
                <w:b/>
                <w:bCs/>
                <w:spacing w:val="-5"/>
              </w:rPr>
              <w:t>实施主体</w:t>
            </w:r>
          </w:p>
        </w:tc>
      </w:tr>
      <w:tr w14:paraId="12DA8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C34C72E">
            <w:pPr>
              <w:rPr>
                <w:rFonts w:ascii="Arial"/>
                <w:sz w:val="21"/>
              </w:rPr>
            </w:pPr>
          </w:p>
        </w:tc>
        <w:tc>
          <w:tcPr>
            <w:tcW w:w="1104" w:type="dxa"/>
            <w:vMerge w:val="continue"/>
            <w:tcBorders>
              <w:top w:val="nil"/>
            </w:tcBorders>
            <w:vAlign w:val="top"/>
          </w:tcPr>
          <w:p w14:paraId="4573A654">
            <w:pPr>
              <w:rPr>
                <w:rFonts w:ascii="Arial"/>
                <w:sz w:val="21"/>
              </w:rPr>
            </w:pPr>
          </w:p>
        </w:tc>
        <w:tc>
          <w:tcPr>
            <w:tcW w:w="1104" w:type="dxa"/>
            <w:vMerge w:val="continue"/>
            <w:tcBorders>
              <w:top w:val="nil"/>
            </w:tcBorders>
            <w:vAlign w:val="top"/>
          </w:tcPr>
          <w:p w14:paraId="65BABEC3">
            <w:pPr>
              <w:rPr>
                <w:rFonts w:ascii="Arial"/>
                <w:sz w:val="21"/>
              </w:rPr>
            </w:pPr>
          </w:p>
        </w:tc>
        <w:tc>
          <w:tcPr>
            <w:tcW w:w="8549" w:type="dxa"/>
            <w:vMerge w:val="continue"/>
            <w:tcBorders>
              <w:top w:val="nil"/>
            </w:tcBorders>
            <w:vAlign w:val="top"/>
          </w:tcPr>
          <w:p w14:paraId="4E6FC672">
            <w:pPr>
              <w:rPr>
                <w:rFonts w:ascii="Arial"/>
                <w:sz w:val="21"/>
              </w:rPr>
            </w:pPr>
          </w:p>
        </w:tc>
        <w:tc>
          <w:tcPr>
            <w:tcW w:w="1014" w:type="dxa"/>
            <w:vAlign w:val="top"/>
          </w:tcPr>
          <w:p w14:paraId="652FDA33">
            <w:pPr>
              <w:pStyle w:val="8"/>
              <w:spacing w:before="81" w:line="219" w:lineRule="auto"/>
              <w:ind w:left="158"/>
            </w:pPr>
            <w:r>
              <w:rPr>
                <w:b/>
                <w:bCs/>
                <w:spacing w:val="-5"/>
              </w:rPr>
              <w:t>责任部门</w:t>
            </w:r>
          </w:p>
        </w:tc>
        <w:tc>
          <w:tcPr>
            <w:tcW w:w="1407" w:type="dxa"/>
            <w:vAlign w:val="top"/>
          </w:tcPr>
          <w:p w14:paraId="3F86DC3B">
            <w:pPr>
              <w:pStyle w:val="8"/>
              <w:spacing w:before="81" w:line="219" w:lineRule="auto"/>
              <w:ind w:left="167"/>
            </w:pPr>
            <w:r>
              <w:rPr>
                <w:b/>
                <w:bCs/>
                <w:spacing w:val="-3"/>
              </w:rPr>
              <w:t>第一责任层级</w:t>
            </w:r>
          </w:p>
        </w:tc>
        <w:tc>
          <w:tcPr>
            <w:tcW w:w="1018" w:type="dxa"/>
            <w:vAlign w:val="top"/>
          </w:tcPr>
          <w:p w14:paraId="368C5A1D">
            <w:pPr>
              <w:pStyle w:val="8"/>
              <w:spacing w:before="81" w:line="219" w:lineRule="auto"/>
              <w:ind w:left="152"/>
            </w:pPr>
            <w:r>
              <w:rPr>
                <w:b/>
                <w:bCs/>
                <w:spacing w:val="-4"/>
              </w:rPr>
              <w:t>承办机构</w:t>
            </w:r>
          </w:p>
        </w:tc>
      </w:tr>
      <w:tr w14:paraId="5873C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2" w:hRule="atLeast"/>
        </w:trPr>
        <w:tc>
          <w:tcPr>
            <w:tcW w:w="624" w:type="dxa"/>
            <w:vAlign w:val="top"/>
          </w:tcPr>
          <w:p w14:paraId="143DB1D1">
            <w:pPr>
              <w:rPr>
                <w:rFonts w:ascii="Arial"/>
                <w:sz w:val="21"/>
              </w:rPr>
            </w:pPr>
          </w:p>
        </w:tc>
        <w:tc>
          <w:tcPr>
            <w:tcW w:w="1104" w:type="dxa"/>
            <w:vAlign w:val="top"/>
          </w:tcPr>
          <w:p w14:paraId="3337FDBA">
            <w:pPr>
              <w:rPr>
                <w:rFonts w:ascii="Arial"/>
                <w:sz w:val="21"/>
              </w:rPr>
            </w:pPr>
          </w:p>
        </w:tc>
        <w:tc>
          <w:tcPr>
            <w:tcW w:w="1104" w:type="dxa"/>
            <w:vAlign w:val="top"/>
          </w:tcPr>
          <w:p w14:paraId="0091E6C2">
            <w:pPr>
              <w:rPr>
                <w:rFonts w:ascii="Arial"/>
                <w:sz w:val="21"/>
              </w:rPr>
            </w:pPr>
          </w:p>
        </w:tc>
        <w:tc>
          <w:tcPr>
            <w:tcW w:w="8549" w:type="dxa"/>
            <w:vAlign w:val="top"/>
          </w:tcPr>
          <w:p w14:paraId="69D3F734">
            <w:pPr>
              <w:pStyle w:val="8"/>
              <w:spacing w:before="38" w:line="219" w:lineRule="auto"/>
              <w:ind w:left="471"/>
            </w:pPr>
            <w:r>
              <w:t>第四十一条  招标人应当向评标委员会提供评标所必需的信息，但不得明示或者暗</w:t>
            </w:r>
            <w:r>
              <w:rPr>
                <w:spacing w:val="-1"/>
              </w:rPr>
              <w:t>示其倾向或者排斥</w:t>
            </w:r>
          </w:p>
          <w:p w14:paraId="0220F521">
            <w:pPr>
              <w:pStyle w:val="8"/>
              <w:spacing w:before="27" w:line="219" w:lineRule="auto"/>
              <w:ind w:left="111"/>
            </w:pPr>
            <w:r>
              <w:rPr>
                <w:spacing w:val="-6"/>
              </w:rPr>
              <w:t>特定投标人。</w:t>
            </w:r>
          </w:p>
          <w:p w14:paraId="1F9602D5">
            <w:pPr>
              <w:pStyle w:val="8"/>
              <w:spacing w:before="25" w:line="241" w:lineRule="auto"/>
              <w:ind w:left="110" w:right="44" w:firstLine="360"/>
              <w:jc w:val="both"/>
            </w:pPr>
            <w:r>
              <w:t>评标所必需的信息主要包括招标文件、招标文件的澄清或者修改、开标记录、投标</w:t>
            </w:r>
            <w:r>
              <w:rPr>
                <w:spacing w:val="-1"/>
              </w:rPr>
              <w:t>文件、资格预审文</w:t>
            </w:r>
            <w:r>
              <w:t xml:space="preserve">  件。招标人可以协助评标委员会开展下列工作并提供相</w:t>
            </w:r>
            <w:r>
              <w:rPr>
                <w:spacing w:val="-1"/>
              </w:rPr>
              <w:t>关信息</w:t>
            </w:r>
            <w:r>
              <w:rPr>
                <w:spacing w:val="-2"/>
              </w:rPr>
              <w:t>：（</w:t>
            </w:r>
            <w:r>
              <w:rPr>
                <w:spacing w:val="-1"/>
              </w:rPr>
              <w:t>一）根据招标文件，编制评标使用的相</w:t>
            </w:r>
            <w:r>
              <w:t xml:space="preserve">  应表格</w:t>
            </w:r>
            <w:r>
              <w:rPr>
                <w:spacing w:val="-1"/>
              </w:rPr>
              <w:t>；（</w:t>
            </w:r>
            <w:r>
              <w:t>二）对投标报价进行算术性校核</w:t>
            </w:r>
            <w:r>
              <w:rPr>
                <w:spacing w:val="-1"/>
              </w:rPr>
              <w:t>；（</w:t>
            </w:r>
            <w:r>
              <w:t>三）以评标标准和方法为依据，列出投标</w:t>
            </w:r>
            <w:r>
              <w:rPr>
                <w:spacing w:val="-1"/>
              </w:rPr>
              <w:t>文件相对于招标</w:t>
            </w:r>
            <w:r>
              <w:rPr>
                <w:spacing w:val="1"/>
              </w:rPr>
              <w:t xml:space="preserve">  </w:t>
            </w:r>
            <w:r>
              <w:rPr>
                <w:spacing w:val="-1"/>
              </w:rPr>
              <w:t>文件的所有偏差，并进行归类汇总</w:t>
            </w:r>
            <w:r>
              <w:rPr>
                <w:spacing w:val="-2"/>
              </w:rPr>
              <w:t>；（</w:t>
            </w:r>
            <w:r>
              <w:rPr>
                <w:spacing w:val="-1"/>
              </w:rPr>
              <w:t>四）查询公路</w:t>
            </w:r>
            <w:r>
              <w:rPr>
                <w:spacing w:val="-2"/>
              </w:rPr>
              <w:t>建设市场信用信息管理系统，对投标人的资质、业绩、</w:t>
            </w:r>
            <w:r>
              <w:rPr>
                <w:spacing w:val="1"/>
              </w:rPr>
              <w:t xml:space="preserve"> </w:t>
            </w:r>
            <w:r>
              <w:rPr>
                <w:spacing w:val="-2"/>
              </w:rPr>
              <w:t>主要人员资历和目前在岗情况、信用等级进行核实。</w:t>
            </w:r>
          </w:p>
          <w:p w14:paraId="186E0C63">
            <w:pPr>
              <w:pStyle w:val="8"/>
              <w:spacing w:before="25" w:line="233" w:lineRule="auto"/>
              <w:ind w:left="113" w:right="159" w:firstLine="358"/>
            </w:pPr>
            <w:r>
              <w:t>招标人不得对投标文件作出任何评价，不得故意遗漏或者片面摘录，不得在评标</w:t>
            </w:r>
            <w:r>
              <w:rPr>
                <w:spacing w:val="-1"/>
              </w:rPr>
              <w:t>委员会对所有偏差定</w:t>
            </w:r>
            <w:r>
              <w:t xml:space="preserve"> </w:t>
            </w:r>
            <w:r>
              <w:rPr>
                <w:spacing w:val="-3"/>
              </w:rPr>
              <w:t>性之前透露存有偏差的投标人名称。</w:t>
            </w:r>
          </w:p>
          <w:p w14:paraId="470478FC">
            <w:pPr>
              <w:pStyle w:val="8"/>
              <w:spacing w:before="25" w:line="233" w:lineRule="auto"/>
              <w:ind w:left="114" w:right="104" w:firstLine="265"/>
            </w:pPr>
            <w:r>
              <w:rPr>
                <w:spacing w:val="-1"/>
              </w:rPr>
              <w:t>评标委员会应当根据招标文件规定，全面、独立评审所有投标文件，并对招标人提供的上述相关信息进</w:t>
            </w:r>
            <w:r>
              <w:rPr>
                <w:spacing w:val="4"/>
              </w:rPr>
              <w:t xml:space="preserve"> </w:t>
            </w:r>
            <w:r>
              <w:rPr>
                <w:spacing w:val="-2"/>
              </w:rPr>
              <w:t>行核查，发现错误或者遗漏的，应当进行修正。</w:t>
            </w:r>
          </w:p>
          <w:p w14:paraId="0E468390">
            <w:pPr>
              <w:pStyle w:val="8"/>
              <w:spacing w:before="24" w:line="241" w:lineRule="auto"/>
              <w:ind w:left="110" w:right="159" w:firstLine="360"/>
            </w:pPr>
            <w:r>
              <w:rPr>
                <w:spacing w:val="-1"/>
              </w:rPr>
              <w:t>第五十三条  依法必须进行招标的公路工程建设项目，招标</w:t>
            </w:r>
            <w:r>
              <w:rPr>
                <w:spacing w:val="-2"/>
              </w:rPr>
              <w:t>人应当自收到评标报告之日起</w:t>
            </w:r>
            <w:r>
              <w:rPr>
                <w:spacing w:val="-34"/>
              </w:rPr>
              <w:t xml:space="preserve"> </w:t>
            </w:r>
            <w:r>
              <w:rPr>
                <w:spacing w:val="-2"/>
              </w:rPr>
              <w:t>3 日内，在</w:t>
            </w:r>
            <w:r>
              <w:t xml:space="preserve"> 对该项目具有招标监督职责的交通运输主管部门政府网站或者其指定的其他网站上公示</w:t>
            </w:r>
            <w:r>
              <w:rPr>
                <w:spacing w:val="-1"/>
              </w:rPr>
              <w:t>中标候选人，公示</w:t>
            </w:r>
            <w:r>
              <w:t xml:space="preserve"> </w:t>
            </w:r>
            <w:r>
              <w:rPr>
                <w:spacing w:val="-1"/>
              </w:rPr>
              <w:t>期不得少于</w:t>
            </w:r>
            <w:r>
              <w:rPr>
                <w:spacing w:val="-32"/>
              </w:rPr>
              <w:t xml:space="preserve"> </w:t>
            </w:r>
            <w:r>
              <w:rPr>
                <w:spacing w:val="-1"/>
              </w:rPr>
              <w:t>3 日，公示内容包括</w:t>
            </w:r>
            <w:r>
              <w:rPr>
                <w:spacing w:val="-4"/>
              </w:rPr>
              <w:t>：（</w:t>
            </w:r>
            <w:r>
              <w:rPr>
                <w:spacing w:val="-1"/>
              </w:rPr>
              <w:t>一）中标候选人排序、名</w:t>
            </w:r>
            <w:r>
              <w:rPr>
                <w:spacing w:val="-2"/>
              </w:rPr>
              <w:t>称、投标报价</w:t>
            </w:r>
            <w:r>
              <w:rPr>
                <w:spacing w:val="-4"/>
              </w:rPr>
              <w:t>；（</w:t>
            </w:r>
            <w:r>
              <w:rPr>
                <w:spacing w:val="-2"/>
              </w:rPr>
              <w:t>二）中标候选人在投标文</w:t>
            </w:r>
            <w:r>
              <w:t xml:space="preserve"> 件中承诺的主要人员姓名、个人业绩、相关证书编号；（三）中标候选人在投标文件中</w:t>
            </w:r>
            <w:r>
              <w:rPr>
                <w:spacing w:val="-1"/>
              </w:rPr>
              <w:t>填报的项目业绩；</w:t>
            </w:r>
            <w:r>
              <w:t xml:space="preserve"> </w:t>
            </w:r>
            <w:r>
              <w:rPr>
                <w:spacing w:val="-1"/>
              </w:rPr>
              <w:t>（四）被否决投标的投标人名称、否决依据和原因</w:t>
            </w:r>
            <w:r>
              <w:rPr>
                <w:spacing w:val="2"/>
              </w:rPr>
              <w:t>；（</w:t>
            </w:r>
            <w:r>
              <w:rPr>
                <w:spacing w:val="-1"/>
              </w:rPr>
              <w:t>五）招标文件规定公示的其他内容。</w:t>
            </w:r>
          </w:p>
          <w:p w14:paraId="58E03D0F">
            <w:pPr>
              <w:pStyle w:val="8"/>
              <w:spacing w:before="25" w:line="238" w:lineRule="auto"/>
              <w:ind w:left="111" w:right="159" w:firstLine="361"/>
            </w:pPr>
            <w:r>
              <w:t>投标人或者其他利害关系人对依法必须进行招标的公路工程建设项目的评标</w:t>
            </w:r>
            <w:r>
              <w:rPr>
                <w:spacing w:val="-1"/>
              </w:rPr>
              <w:t>结果有异议的，应当在中</w:t>
            </w:r>
            <w:r>
              <w:t xml:space="preserve"> </w:t>
            </w:r>
            <w:r>
              <w:rPr>
                <w:spacing w:val="-1"/>
              </w:rPr>
              <w:t>标候选人公示期间提出。招标人应当自收到异议之日起</w:t>
            </w:r>
            <w:r>
              <w:rPr>
                <w:spacing w:val="-34"/>
              </w:rPr>
              <w:t xml:space="preserve"> </w:t>
            </w:r>
            <w:r>
              <w:rPr>
                <w:spacing w:val="-1"/>
              </w:rPr>
              <w:t>3 日内作</w:t>
            </w:r>
            <w:r>
              <w:rPr>
                <w:spacing w:val="-2"/>
              </w:rPr>
              <w:t>出答复；作出答复前，应当暂停招标投标</w:t>
            </w:r>
            <w:r>
              <w:t xml:space="preserve"> </w:t>
            </w:r>
            <w:r>
              <w:rPr>
                <w:spacing w:val="-8"/>
              </w:rPr>
              <w:t>活动。</w:t>
            </w:r>
          </w:p>
          <w:p w14:paraId="77685A36">
            <w:pPr>
              <w:pStyle w:val="8"/>
              <w:spacing w:before="25" w:line="219" w:lineRule="auto"/>
              <w:ind w:left="471"/>
            </w:pPr>
            <w:r>
              <w:rPr>
                <w:spacing w:val="-1"/>
              </w:rPr>
              <w:t>第六十八条  招标人有下列情形之一的，由交通运输主管部门责令改正，可以处三</w:t>
            </w:r>
            <w:r>
              <w:rPr>
                <w:spacing w:val="-2"/>
              </w:rPr>
              <w:t>万元以下的罚款：</w:t>
            </w:r>
          </w:p>
          <w:p w14:paraId="16A61013">
            <w:pPr>
              <w:pStyle w:val="8"/>
              <w:spacing w:before="29" w:line="239" w:lineRule="auto"/>
              <w:ind w:left="110" w:right="30" w:firstLine="10"/>
            </w:pPr>
            <w:r>
              <w:rPr>
                <w:spacing w:val="-1"/>
              </w:rPr>
              <w:t>（一）不满足本办法第八条规定的条件而进行招标的</w:t>
            </w:r>
            <w:r>
              <w:rPr>
                <w:spacing w:val="8"/>
              </w:rPr>
              <w:t>；（</w:t>
            </w:r>
            <w:r>
              <w:rPr>
                <w:spacing w:val="-1"/>
              </w:rPr>
              <w:t>二）不按照本办法规定将资格预审文件、招标文</w:t>
            </w:r>
            <w:r>
              <w:t xml:space="preserve">  </w:t>
            </w:r>
            <w:r>
              <w:rPr>
                <w:spacing w:val="-1"/>
              </w:rPr>
              <w:t>件和招标投标情况的书面报告备案的</w:t>
            </w:r>
            <w:r>
              <w:rPr>
                <w:spacing w:val="-2"/>
              </w:rPr>
              <w:t>；（</w:t>
            </w:r>
            <w:r>
              <w:rPr>
                <w:spacing w:val="-1"/>
              </w:rPr>
              <w:t>三）邀请招标不依法发出投标邀请书的</w:t>
            </w:r>
            <w:r>
              <w:rPr>
                <w:spacing w:val="-2"/>
              </w:rPr>
              <w:t>；（</w:t>
            </w:r>
            <w:r>
              <w:rPr>
                <w:spacing w:val="-1"/>
              </w:rPr>
              <w:t>四）</w:t>
            </w:r>
            <w:r>
              <w:rPr>
                <w:spacing w:val="-2"/>
              </w:rPr>
              <w:t>不按照项目审批、</w:t>
            </w:r>
            <w:r>
              <w:rPr>
                <w:spacing w:val="1"/>
              </w:rPr>
              <w:t xml:space="preserve"> </w:t>
            </w:r>
            <w:r>
              <w:t>核准部门确定的招标范围、招标方式、招标组织形式进行招标的；（五）不按照本办法</w:t>
            </w:r>
            <w:r>
              <w:rPr>
                <w:spacing w:val="-1"/>
              </w:rPr>
              <w:t>规定编制资格预审</w:t>
            </w:r>
            <w:r>
              <w:t xml:space="preserve">  </w:t>
            </w:r>
            <w:r>
              <w:rPr>
                <w:spacing w:val="-2"/>
              </w:rPr>
              <w:t>文件或者招标文件的</w:t>
            </w:r>
            <w:r>
              <w:rPr>
                <w:spacing w:val="-38"/>
              </w:rPr>
              <w:t>；（</w:t>
            </w:r>
            <w:r>
              <w:rPr>
                <w:spacing w:val="-2"/>
              </w:rPr>
              <w:t>六）由于招标人原因导致资格审查报告存在重大偏差且影响资格预审结果的</w:t>
            </w:r>
            <w:r>
              <w:rPr>
                <w:spacing w:val="-38"/>
              </w:rPr>
              <w:t>；（</w:t>
            </w:r>
            <w:r>
              <w:rPr>
                <w:spacing w:val="-2"/>
              </w:rPr>
              <w:t>七）</w:t>
            </w:r>
            <w:r>
              <w:rPr>
                <w:spacing w:val="2"/>
              </w:rPr>
              <w:t xml:space="preserve"> </w:t>
            </w:r>
            <w:r>
              <w:t>挪用投标保证金，增设或者变相增设保证金的</w:t>
            </w:r>
            <w:r>
              <w:rPr>
                <w:spacing w:val="-1"/>
              </w:rPr>
              <w:t>；（</w:t>
            </w:r>
            <w:r>
              <w:t>八）投标</w:t>
            </w:r>
            <w:r>
              <w:rPr>
                <w:spacing w:val="-1"/>
              </w:rPr>
              <w:t>人数量不符合法定要求不重新招标的；（九）</w:t>
            </w:r>
            <w:r>
              <w:rPr>
                <w:spacing w:val="1"/>
              </w:rPr>
              <w:t xml:space="preserve">  </w:t>
            </w:r>
            <w:r>
              <w:rPr>
                <w:spacing w:val="-1"/>
              </w:rPr>
              <w:t>向评标委员会提供的评标信息不符合本办法规定的</w:t>
            </w:r>
            <w:r>
              <w:rPr>
                <w:spacing w:val="-4"/>
              </w:rPr>
              <w:t>；（</w:t>
            </w:r>
            <w:r>
              <w:rPr>
                <w:spacing w:val="-1"/>
              </w:rPr>
              <w:t>十）不按照本办法规定公示中标候选人的</w:t>
            </w:r>
            <w:r>
              <w:rPr>
                <w:spacing w:val="-4"/>
              </w:rPr>
              <w:t>；（</w:t>
            </w:r>
            <w:r>
              <w:rPr>
                <w:spacing w:val="-1"/>
              </w:rPr>
              <w:t>十一）</w:t>
            </w:r>
            <w:r>
              <w:rPr>
                <w:spacing w:val="1"/>
              </w:rPr>
              <w:t xml:space="preserve"> </w:t>
            </w:r>
            <w:r>
              <w:rPr>
                <w:spacing w:val="-1"/>
              </w:rPr>
              <w:t>招标文件中规定的履约保证金的金额、支付形式不符合本办法规定</w:t>
            </w:r>
            <w:r>
              <w:rPr>
                <w:spacing w:val="-2"/>
              </w:rPr>
              <w:t>的。</w:t>
            </w:r>
          </w:p>
        </w:tc>
        <w:tc>
          <w:tcPr>
            <w:tcW w:w="1014" w:type="dxa"/>
            <w:vAlign w:val="top"/>
          </w:tcPr>
          <w:p w14:paraId="0C635AE7">
            <w:pPr>
              <w:rPr>
                <w:rFonts w:ascii="Arial"/>
                <w:sz w:val="21"/>
              </w:rPr>
            </w:pPr>
          </w:p>
        </w:tc>
        <w:tc>
          <w:tcPr>
            <w:tcW w:w="1407" w:type="dxa"/>
            <w:vAlign w:val="top"/>
          </w:tcPr>
          <w:p w14:paraId="79E45DC2">
            <w:pPr>
              <w:rPr>
                <w:rFonts w:ascii="Arial"/>
                <w:sz w:val="21"/>
              </w:rPr>
            </w:pPr>
          </w:p>
        </w:tc>
        <w:tc>
          <w:tcPr>
            <w:tcW w:w="1018" w:type="dxa"/>
            <w:vAlign w:val="top"/>
          </w:tcPr>
          <w:p w14:paraId="6FBDF7B6">
            <w:pPr>
              <w:rPr>
                <w:rFonts w:ascii="Arial"/>
                <w:sz w:val="21"/>
              </w:rPr>
            </w:pPr>
          </w:p>
        </w:tc>
      </w:tr>
      <w:tr w14:paraId="1F8B5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6" w:hRule="atLeast"/>
        </w:trPr>
        <w:tc>
          <w:tcPr>
            <w:tcW w:w="624" w:type="dxa"/>
            <w:vAlign w:val="top"/>
          </w:tcPr>
          <w:p w14:paraId="28C1DAAE">
            <w:pPr>
              <w:spacing w:line="274" w:lineRule="auto"/>
              <w:rPr>
                <w:rFonts w:ascii="Arial"/>
                <w:sz w:val="21"/>
              </w:rPr>
            </w:pPr>
          </w:p>
          <w:p w14:paraId="1E1384AE">
            <w:pPr>
              <w:spacing w:line="274" w:lineRule="auto"/>
              <w:rPr>
                <w:rFonts w:ascii="Arial"/>
                <w:sz w:val="21"/>
              </w:rPr>
            </w:pPr>
          </w:p>
          <w:p w14:paraId="5FAB42B8">
            <w:pPr>
              <w:spacing w:line="274" w:lineRule="auto"/>
              <w:rPr>
                <w:rFonts w:ascii="Arial"/>
                <w:sz w:val="21"/>
              </w:rPr>
            </w:pPr>
          </w:p>
          <w:p w14:paraId="6078F350">
            <w:pPr>
              <w:spacing w:line="274" w:lineRule="auto"/>
              <w:rPr>
                <w:rFonts w:ascii="Arial"/>
                <w:sz w:val="21"/>
              </w:rPr>
            </w:pPr>
          </w:p>
          <w:p w14:paraId="6CFB59EE">
            <w:pPr>
              <w:pStyle w:val="8"/>
              <w:spacing w:before="58" w:line="183" w:lineRule="auto"/>
              <w:ind w:left="233"/>
            </w:pPr>
            <w:r>
              <w:rPr>
                <w:spacing w:val="-5"/>
              </w:rPr>
              <w:t>29</w:t>
            </w:r>
          </w:p>
        </w:tc>
        <w:tc>
          <w:tcPr>
            <w:tcW w:w="1104" w:type="dxa"/>
            <w:vAlign w:val="top"/>
          </w:tcPr>
          <w:p w14:paraId="71A0A651">
            <w:pPr>
              <w:pStyle w:val="8"/>
              <w:spacing w:before="24" w:line="223"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域建设单位</w:t>
            </w:r>
            <w:r>
              <w:rPr>
                <w:spacing w:val="1"/>
              </w:rPr>
              <w:t xml:space="preserve"> </w:t>
            </w:r>
            <w:r>
              <w:rPr>
                <w:spacing w:val="16"/>
              </w:rPr>
              <w:t>未将保证安</w:t>
            </w:r>
            <w:r>
              <w:rPr>
                <w:spacing w:val="1"/>
              </w:rPr>
              <w:t xml:space="preserve"> </w:t>
            </w:r>
            <w:r>
              <w:rPr>
                <w:spacing w:val="16"/>
              </w:rPr>
              <w:t>全施工的措</w:t>
            </w:r>
            <w:r>
              <w:rPr>
                <w:spacing w:val="1"/>
              </w:rPr>
              <w:t xml:space="preserve"> </w:t>
            </w:r>
            <w:r>
              <w:rPr>
                <w:spacing w:val="16"/>
              </w:rPr>
              <w:t>施或者拆除</w:t>
            </w:r>
            <w:r>
              <w:rPr>
                <w:spacing w:val="1"/>
              </w:rPr>
              <w:t xml:space="preserve"> </w:t>
            </w:r>
            <w:r>
              <w:rPr>
                <w:spacing w:val="7"/>
              </w:rPr>
              <w:t>工程</w:t>
            </w:r>
            <w:r>
              <w:rPr>
                <w:spacing w:val="-44"/>
              </w:rPr>
              <w:t xml:space="preserve"> </w:t>
            </w:r>
            <w:r>
              <w:rPr>
                <w:spacing w:val="7"/>
              </w:rPr>
              <w:t>的有关</w:t>
            </w:r>
            <w:r>
              <w:t xml:space="preserve"> </w:t>
            </w:r>
            <w:r>
              <w:rPr>
                <w:spacing w:val="16"/>
              </w:rPr>
              <w:t>资料报送有</w:t>
            </w:r>
            <w:r>
              <w:rPr>
                <w:spacing w:val="1"/>
              </w:rPr>
              <w:t xml:space="preserve"> </w:t>
            </w:r>
            <w:r>
              <w:rPr>
                <w:spacing w:val="6"/>
              </w:rPr>
              <w:t>关部</w:t>
            </w:r>
            <w:r>
              <w:rPr>
                <w:spacing w:val="-39"/>
              </w:rPr>
              <w:t xml:space="preserve"> </w:t>
            </w:r>
            <w:r>
              <w:rPr>
                <w:spacing w:val="6"/>
              </w:rPr>
              <w:t>门备案</w:t>
            </w:r>
            <w:r>
              <w:t xml:space="preserve"> </w:t>
            </w:r>
            <w:r>
              <w:rPr>
                <w:spacing w:val="7"/>
              </w:rPr>
              <w:t>行为</w:t>
            </w:r>
            <w:r>
              <w:rPr>
                <w:spacing w:val="-44"/>
              </w:rPr>
              <w:t xml:space="preserve"> </w:t>
            </w:r>
            <w:r>
              <w:rPr>
                <w:spacing w:val="7"/>
              </w:rPr>
              <w:t>的行政</w:t>
            </w:r>
            <w:r>
              <w:t xml:space="preserve"> </w:t>
            </w:r>
            <w:r>
              <w:rPr>
                <w:spacing w:val="-2"/>
              </w:rPr>
              <w:t>处罚</w:t>
            </w:r>
          </w:p>
        </w:tc>
        <w:tc>
          <w:tcPr>
            <w:tcW w:w="1104" w:type="dxa"/>
            <w:vAlign w:val="top"/>
          </w:tcPr>
          <w:p w14:paraId="283ABF40">
            <w:pPr>
              <w:spacing w:line="267" w:lineRule="auto"/>
              <w:rPr>
                <w:rFonts w:ascii="Arial"/>
                <w:sz w:val="21"/>
              </w:rPr>
            </w:pPr>
          </w:p>
          <w:p w14:paraId="2AFB7A1C">
            <w:pPr>
              <w:spacing w:line="267" w:lineRule="auto"/>
              <w:rPr>
                <w:rFonts w:ascii="Arial"/>
                <w:sz w:val="21"/>
              </w:rPr>
            </w:pPr>
          </w:p>
          <w:p w14:paraId="1133478E">
            <w:pPr>
              <w:spacing w:line="267" w:lineRule="auto"/>
              <w:rPr>
                <w:rFonts w:ascii="Arial"/>
                <w:sz w:val="21"/>
              </w:rPr>
            </w:pPr>
          </w:p>
          <w:p w14:paraId="2889C597">
            <w:pPr>
              <w:spacing w:line="267" w:lineRule="auto"/>
              <w:rPr>
                <w:rFonts w:ascii="Arial"/>
                <w:sz w:val="21"/>
              </w:rPr>
            </w:pPr>
          </w:p>
          <w:p w14:paraId="34B9146B">
            <w:pPr>
              <w:pStyle w:val="8"/>
              <w:spacing w:before="58" w:line="220" w:lineRule="auto"/>
              <w:ind w:left="10"/>
            </w:pPr>
            <w:r>
              <w:rPr>
                <w:spacing w:val="-2"/>
              </w:rPr>
              <w:t>行政处罚</w:t>
            </w:r>
          </w:p>
        </w:tc>
        <w:tc>
          <w:tcPr>
            <w:tcW w:w="8549" w:type="dxa"/>
            <w:vAlign w:val="top"/>
          </w:tcPr>
          <w:p w14:paraId="0946289E">
            <w:pPr>
              <w:spacing w:line="472" w:lineRule="auto"/>
              <w:rPr>
                <w:rFonts w:ascii="Arial"/>
                <w:sz w:val="21"/>
              </w:rPr>
            </w:pPr>
          </w:p>
          <w:p w14:paraId="668344FD">
            <w:pPr>
              <w:pStyle w:val="8"/>
              <w:spacing w:before="58" w:line="219" w:lineRule="auto"/>
              <w:ind w:left="476"/>
            </w:pPr>
            <w:r>
              <w:rPr>
                <w:b/>
                <w:bCs/>
                <w:spacing w:val="-3"/>
              </w:rPr>
              <w:t>《建设工程安全生产管理条例》</w:t>
            </w:r>
          </w:p>
          <w:p w14:paraId="4BD178DB">
            <w:pPr>
              <w:pStyle w:val="8"/>
              <w:spacing w:before="25" w:line="219" w:lineRule="auto"/>
              <w:ind w:left="471"/>
            </w:pPr>
            <w:r>
              <w:rPr>
                <w:spacing w:val="-1"/>
              </w:rPr>
              <w:t>第十条  建设单位在申请领取施工许可证时，应当提供建设工程有关安全施工措施的资料。</w:t>
            </w:r>
          </w:p>
          <w:p w14:paraId="485A66D0">
            <w:pPr>
              <w:pStyle w:val="8"/>
              <w:spacing w:before="25" w:line="233" w:lineRule="auto"/>
              <w:ind w:left="109" w:right="104" w:firstLine="362"/>
            </w:pPr>
            <w:r>
              <w:rPr>
                <w:spacing w:val="-2"/>
              </w:rPr>
              <w:t>依法批准开工报告的建设工程，建设单位应当自开工报告批准之日起</w:t>
            </w:r>
            <w:r>
              <w:rPr>
                <w:spacing w:val="-27"/>
              </w:rPr>
              <w:t xml:space="preserve"> </w:t>
            </w:r>
            <w:r>
              <w:rPr>
                <w:spacing w:val="-3"/>
              </w:rPr>
              <w:t>15 日内，将保证安全施工的措施</w:t>
            </w:r>
            <w:r>
              <w:t xml:space="preserve"> </w:t>
            </w:r>
            <w:r>
              <w:rPr>
                <w:spacing w:val="-1"/>
              </w:rPr>
              <w:t>报送建设工程所在地的县级以上地方人民政府建设行政主管部门或者其他有关部门备案。</w:t>
            </w:r>
          </w:p>
          <w:p w14:paraId="78DCBF53">
            <w:pPr>
              <w:pStyle w:val="8"/>
              <w:spacing w:before="27" w:line="232" w:lineRule="auto"/>
              <w:ind w:left="125" w:right="107" w:firstLine="345"/>
            </w:pPr>
            <w:r>
              <w:rPr>
                <w:spacing w:val="5"/>
              </w:rPr>
              <w:t>第五十四条第二款  建设单位未将保证安全施工的措施或者拆除工程的有关资料报送有关部门备案</w:t>
            </w:r>
            <w:r>
              <w:rPr>
                <w:spacing w:val="4"/>
              </w:rPr>
              <w:t xml:space="preserve"> </w:t>
            </w:r>
            <w:r>
              <w:rPr>
                <w:spacing w:val="-4"/>
              </w:rPr>
              <w:t>的，责令限期改正，给予警告。</w:t>
            </w:r>
          </w:p>
        </w:tc>
        <w:tc>
          <w:tcPr>
            <w:tcW w:w="1014" w:type="dxa"/>
            <w:vAlign w:val="top"/>
          </w:tcPr>
          <w:p w14:paraId="5539FF77">
            <w:pPr>
              <w:spacing w:line="316" w:lineRule="auto"/>
              <w:rPr>
                <w:rFonts w:ascii="Arial"/>
                <w:sz w:val="21"/>
              </w:rPr>
            </w:pPr>
          </w:p>
          <w:p w14:paraId="668E6A5F">
            <w:pPr>
              <w:spacing w:line="316" w:lineRule="auto"/>
              <w:rPr>
                <w:rFonts w:ascii="Arial"/>
                <w:sz w:val="21"/>
              </w:rPr>
            </w:pPr>
          </w:p>
          <w:p w14:paraId="6D5240C8">
            <w:pPr>
              <w:spacing w:line="316" w:lineRule="auto"/>
              <w:rPr>
                <w:rFonts w:ascii="Arial"/>
                <w:sz w:val="21"/>
              </w:rPr>
            </w:pPr>
          </w:p>
          <w:p w14:paraId="66CAF7E0">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6A3B1DB1">
            <w:pPr>
              <w:spacing w:line="316" w:lineRule="auto"/>
              <w:rPr>
                <w:rFonts w:ascii="Arial"/>
                <w:sz w:val="21"/>
              </w:rPr>
            </w:pPr>
          </w:p>
          <w:p w14:paraId="4109D08A">
            <w:pPr>
              <w:spacing w:line="316" w:lineRule="auto"/>
              <w:rPr>
                <w:rFonts w:ascii="Arial"/>
                <w:sz w:val="21"/>
              </w:rPr>
            </w:pPr>
          </w:p>
          <w:p w14:paraId="234CBB85">
            <w:pPr>
              <w:spacing w:line="316" w:lineRule="auto"/>
              <w:rPr>
                <w:rFonts w:ascii="Arial"/>
                <w:sz w:val="21"/>
              </w:rPr>
            </w:pPr>
          </w:p>
          <w:p w14:paraId="52C9A2E6">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625C525">
            <w:pPr>
              <w:spacing w:line="355" w:lineRule="auto"/>
              <w:rPr>
                <w:rFonts w:ascii="Arial"/>
                <w:sz w:val="21"/>
              </w:rPr>
            </w:pPr>
          </w:p>
          <w:p w14:paraId="25CCD784">
            <w:pPr>
              <w:spacing w:line="356" w:lineRule="auto"/>
              <w:rPr>
                <w:rFonts w:ascii="Arial"/>
                <w:sz w:val="21"/>
              </w:rPr>
            </w:pPr>
          </w:p>
          <w:p w14:paraId="6DFBD2FA">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64A7A9E0">
      <w:pPr>
        <w:pStyle w:val="2"/>
        <w:spacing w:line="167" w:lineRule="exact"/>
        <w:rPr>
          <w:sz w:val="14"/>
        </w:rPr>
      </w:pPr>
    </w:p>
    <w:p w14:paraId="40B76EA7">
      <w:pPr>
        <w:spacing w:line="167" w:lineRule="exact"/>
        <w:rPr>
          <w:sz w:val="14"/>
          <w:szCs w:val="14"/>
        </w:rPr>
        <w:sectPr>
          <w:footerReference r:id="rId89" w:type="default"/>
          <w:pgSz w:w="16839" w:h="11906"/>
          <w:pgMar w:top="1012" w:right="991" w:bottom="966" w:left="1021" w:header="0" w:footer="768" w:gutter="0"/>
          <w:cols w:space="720" w:num="1"/>
        </w:sectPr>
      </w:pPr>
    </w:p>
    <w:p w14:paraId="17176B69">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10D6C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010209FF">
            <w:pPr>
              <w:pStyle w:val="8"/>
              <w:spacing w:before="267" w:line="221" w:lineRule="auto"/>
              <w:ind w:left="134"/>
            </w:pPr>
            <w:r>
              <w:rPr>
                <w:b/>
                <w:bCs/>
                <w:spacing w:val="-4"/>
              </w:rPr>
              <w:t>序号</w:t>
            </w:r>
          </w:p>
        </w:tc>
        <w:tc>
          <w:tcPr>
            <w:tcW w:w="1104" w:type="dxa"/>
            <w:vMerge w:val="restart"/>
            <w:tcBorders>
              <w:bottom w:val="nil"/>
            </w:tcBorders>
            <w:vAlign w:val="top"/>
          </w:tcPr>
          <w:p w14:paraId="6B4614CD">
            <w:pPr>
              <w:pStyle w:val="8"/>
              <w:spacing w:before="260" w:line="220" w:lineRule="auto"/>
              <w:ind w:left="192"/>
            </w:pPr>
            <w:r>
              <w:rPr>
                <w:b/>
                <w:bCs/>
                <w:spacing w:val="-4"/>
              </w:rPr>
              <w:t>事项名称</w:t>
            </w:r>
          </w:p>
        </w:tc>
        <w:tc>
          <w:tcPr>
            <w:tcW w:w="1104" w:type="dxa"/>
            <w:vMerge w:val="restart"/>
            <w:tcBorders>
              <w:bottom w:val="nil"/>
            </w:tcBorders>
            <w:vAlign w:val="top"/>
          </w:tcPr>
          <w:p w14:paraId="30B661D4">
            <w:pPr>
              <w:pStyle w:val="8"/>
              <w:spacing w:before="260" w:line="219" w:lineRule="auto"/>
              <w:ind w:left="193"/>
            </w:pPr>
            <w:r>
              <w:rPr>
                <w:b/>
                <w:bCs/>
                <w:spacing w:val="-4"/>
              </w:rPr>
              <w:t>职权类型</w:t>
            </w:r>
          </w:p>
        </w:tc>
        <w:tc>
          <w:tcPr>
            <w:tcW w:w="8549" w:type="dxa"/>
            <w:vMerge w:val="restart"/>
            <w:tcBorders>
              <w:bottom w:val="nil"/>
            </w:tcBorders>
            <w:vAlign w:val="top"/>
          </w:tcPr>
          <w:p w14:paraId="5B71F3DC">
            <w:pPr>
              <w:pStyle w:val="8"/>
              <w:spacing w:before="259" w:line="219" w:lineRule="auto"/>
              <w:ind w:left="3921"/>
            </w:pPr>
            <w:r>
              <w:rPr>
                <w:b/>
                <w:bCs/>
                <w:spacing w:val="-5"/>
              </w:rPr>
              <w:t>实施依据</w:t>
            </w:r>
          </w:p>
        </w:tc>
        <w:tc>
          <w:tcPr>
            <w:tcW w:w="3439" w:type="dxa"/>
            <w:gridSpan w:val="3"/>
            <w:vAlign w:val="top"/>
          </w:tcPr>
          <w:p w14:paraId="70FA88BF">
            <w:pPr>
              <w:pStyle w:val="8"/>
              <w:spacing w:before="85" w:line="220" w:lineRule="auto"/>
              <w:ind w:left="1365"/>
            </w:pPr>
            <w:r>
              <w:rPr>
                <w:b/>
                <w:bCs/>
                <w:spacing w:val="-5"/>
              </w:rPr>
              <w:t>实施主体</w:t>
            </w:r>
          </w:p>
        </w:tc>
      </w:tr>
      <w:tr w14:paraId="7AB62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001C06B0">
            <w:pPr>
              <w:rPr>
                <w:rFonts w:ascii="Arial"/>
                <w:sz w:val="21"/>
              </w:rPr>
            </w:pPr>
          </w:p>
        </w:tc>
        <w:tc>
          <w:tcPr>
            <w:tcW w:w="1104" w:type="dxa"/>
            <w:vMerge w:val="continue"/>
            <w:tcBorders>
              <w:top w:val="nil"/>
            </w:tcBorders>
            <w:vAlign w:val="top"/>
          </w:tcPr>
          <w:p w14:paraId="4B840F68">
            <w:pPr>
              <w:rPr>
                <w:rFonts w:ascii="Arial"/>
                <w:sz w:val="21"/>
              </w:rPr>
            </w:pPr>
          </w:p>
        </w:tc>
        <w:tc>
          <w:tcPr>
            <w:tcW w:w="1104" w:type="dxa"/>
            <w:vMerge w:val="continue"/>
            <w:tcBorders>
              <w:top w:val="nil"/>
            </w:tcBorders>
            <w:vAlign w:val="top"/>
          </w:tcPr>
          <w:p w14:paraId="1586DF6E">
            <w:pPr>
              <w:rPr>
                <w:rFonts w:ascii="Arial"/>
                <w:sz w:val="21"/>
              </w:rPr>
            </w:pPr>
          </w:p>
        </w:tc>
        <w:tc>
          <w:tcPr>
            <w:tcW w:w="8549" w:type="dxa"/>
            <w:vMerge w:val="continue"/>
            <w:tcBorders>
              <w:top w:val="nil"/>
            </w:tcBorders>
            <w:vAlign w:val="top"/>
          </w:tcPr>
          <w:p w14:paraId="3FB9DAD8">
            <w:pPr>
              <w:rPr>
                <w:rFonts w:ascii="Arial"/>
                <w:sz w:val="21"/>
              </w:rPr>
            </w:pPr>
          </w:p>
        </w:tc>
        <w:tc>
          <w:tcPr>
            <w:tcW w:w="1014" w:type="dxa"/>
            <w:vAlign w:val="top"/>
          </w:tcPr>
          <w:p w14:paraId="6FCFD169">
            <w:pPr>
              <w:pStyle w:val="8"/>
              <w:spacing w:before="81" w:line="219" w:lineRule="auto"/>
              <w:ind w:left="158"/>
            </w:pPr>
            <w:r>
              <w:rPr>
                <w:b/>
                <w:bCs/>
                <w:spacing w:val="-5"/>
              </w:rPr>
              <w:t>责任部门</w:t>
            </w:r>
          </w:p>
        </w:tc>
        <w:tc>
          <w:tcPr>
            <w:tcW w:w="1407" w:type="dxa"/>
            <w:vAlign w:val="top"/>
          </w:tcPr>
          <w:p w14:paraId="2C72CA5D">
            <w:pPr>
              <w:pStyle w:val="8"/>
              <w:spacing w:before="81" w:line="219" w:lineRule="auto"/>
              <w:ind w:left="167"/>
            </w:pPr>
            <w:r>
              <w:rPr>
                <w:b/>
                <w:bCs/>
                <w:spacing w:val="-3"/>
              </w:rPr>
              <w:t>第一责任层级</w:t>
            </w:r>
          </w:p>
        </w:tc>
        <w:tc>
          <w:tcPr>
            <w:tcW w:w="1018" w:type="dxa"/>
            <w:vAlign w:val="top"/>
          </w:tcPr>
          <w:p w14:paraId="243F66BE">
            <w:pPr>
              <w:pStyle w:val="8"/>
              <w:spacing w:before="81" w:line="219" w:lineRule="auto"/>
              <w:ind w:left="152"/>
            </w:pPr>
            <w:r>
              <w:rPr>
                <w:b/>
                <w:bCs/>
                <w:spacing w:val="-4"/>
              </w:rPr>
              <w:t>承办机构</w:t>
            </w:r>
          </w:p>
        </w:tc>
      </w:tr>
      <w:tr w14:paraId="4FDE9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5" w:hRule="atLeast"/>
        </w:trPr>
        <w:tc>
          <w:tcPr>
            <w:tcW w:w="624" w:type="dxa"/>
            <w:vAlign w:val="top"/>
          </w:tcPr>
          <w:p w14:paraId="59035035">
            <w:pPr>
              <w:spacing w:line="279" w:lineRule="auto"/>
              <w:rPr>
                <w:rFonts w:ascii="Arial"/>
                <w:sz w:val="21"/>
              </w:rPr>
            </w:pPr>
          </w:p>
          <w:p w14:paraId="265D90DE">
            <w:pPr>
              <w:spacing w:line="279" w:lineRule="auto"/>
              <w:rPr>
                <w:rFonts w:ascii="Arial"/>
                <w:sz w:val="21"/>
              </w:rPr>
            </w:pPr>
          </w:p>
          <w:p w14:paraId="7593782B">
            <w:pPr>
              <w:spacing w:line="279" w:lineRule="auto"/>
              <w:rPr>
                <w:rFonts w:ascii="Arial"/>
                <w:sz w:val="21"/>
              </w:rPr>
            </w:pPr>
          </w:p>
          <w:p w14:paraId="2BAAC70A">
            <w:pPr>
              <w:spacing w:line="279" w:lineRule="auto"/>
              <w:rPr>
                <w:rFonts w:ascii="Arial"/>
                <w:sz w:val="21"/>
              </w:rPr>
            </w:pPr>
          </w:p>
          <w:p w14:paraId="25487164">
            <w:pPr>
              <w:spacing w:line="280" w:lineRule="auto"/>
              <w:rPr>
                <w:rFonts w:ascii="Arial"/>
                <w:sz w:val="21"/>
              </w:rPr>
            </w:pPr>
          </w:p>
          <w:p w14:paraId="03DD9F2C">
            <w:pPr>
              <w:pStyle w:val="8"/>
              <w:spacing w:before="59" w:line="183" w:lineRule="auto"/>
              <w:ind w:left="234"/>
            </w:pPr>
            <w:r>
              <w:rPr>
                <w:spacing w:val="-6"/>
              </w:rPr>
              <w:t>30</w:t>
            </w:r>
          </w:p>
        </w:tc>
        <w:tc>
          <w:tcPr>
            <w:tcW w:w="1104" w:type="dxa"/>
            <w:vAlign w:val="top"/>
          </w:tcPr>
          <w:p w14:paraId="20653B0B">
            <w:pPr>
              <w:pStyle w:val="8"/>
              <w:spacing w:before="233" w:line="244"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域建设单位</w:t>
            </w:r>
            <w:r>
              <w:rPr>
                <w:spacing w:val="1"/>
              </w:rPr>
              <w:t xml:space="preserve"> </w:t>
            </w:r>
            <w:r>
              <w:rPr>
                <w:spacing w:val="16"/>
              </w:rPr>
              <w:t>对其他从业</w:t>
            </w:r>
            <w:r>
              <w:rPr>
                <w:spacing w:val="1"/>
              </w:rPr>
              <w:t xml:space="preserve"> </w:t>
            </w:r>
            <w:r>
              <w:rPr>
                <w:spacing w:val="16"/>
              </w:rPr>
              <w:t>单位提出不</w:t>
            </w:r>
            <w:r>
              <w:rPr>
                <w:spacing w:val="1"/>
              </w:rPr>
              <w:t xml:space="preserve"> </w:t>
            </w:r>
            <w:r>
              <w:rPr>
                <w:spacing w:val="16"/>
              </w:rPr>
              <w:t>符合安全生</w:t>
            </w:r>
            <w:r>
              <w:rPr>
                <w:spacing w:val="1"/>
              </w:rPr>
              <w:t xml:space="preserve"> </w:t>
            </w:r>
            <w:r>
              <w:rPr>
                <w:spacing w:val="-17"/>
              </w:rPr>
              <w:t>产法律、法规</w:t>
            </w:r>
            <w:r>
              <w:rPr>
                <w:spacing w:val="3"/>
              </w:rPr>
              <w:t xml:space="preserve"> </w:t>
            </w:r>
            <w:r>
              <w:rPr>
                <w:spacing w:val="16"/>
              </w:rPr>
              <w:t>和强制性标</w:t>
            </w:r>
            <w:r>
              <w:rPr>
                <w:spacing w:val="1"/>
              </w:rPr>
              <w:t xml:space="preserve"> </w:t>
            </w:r>
            <w:r>
              <w:rPr>
                <w:spacing w:val="16"/>
              </w:rPr>
              <w:t>准规定的要</w:t>
            </w:r>
            <w:r>
              <w:rPr>
                <w:spacing w:val="1"/>
              </w:rPr>
              <w:t xml:space="preserve"> </w:t>
            </w:r>
            <w:r>
              <w:rPr>
                <w:spacing w:val="16"/>
              </w:rPr>
              <w:t>求行为的行</w:t>
            </w:r>
            <w:r>
              <w:rPr>
                <w:spacing w:val="1"/>
              </w:rPr>
              <w:t xml:space="preserve"> </w:t>
            </w:r>
            <w:r>
              <w:rPr>
                <w:spacing w:val="-2"/>
              </w:rPr>
              <w:t>政处罚</w:t>
            </w:r>
          </w:p>
        </w:tc>
        <w:tc>
          <w:tcPr>
            <w:tcW w:w="1104" w:type="dxa"/>
            <w:vAlign w:val="top"/>
          </w:tcPr>
          <w:p w14:paraId="7FD9ACF8">
            <w:pPr>
              <w:spacing w:line="273" w:lineRule="auto"/>
              <w:rPr>
                <w:rFonts w:ascii="Arial"/>
                <w:sz w:val="21"/>
              </w:rPr>
            </w:pPr>
          </w:p>
          <w:p w14:paraId="1F3C005A">
            <w:pPr>
              <w:spacing w:line="273" w:lineRule="auto"/>
              <w:rPr>
                <w:rFonts w:ascii="Arial"/>
                <w:sz w:val="21"/>
              </w:rPr>
            </w:pPr>
          </w:p>
          <w:p w14:paraId="76973FD0">
            <w:pPr>
              <w:spacing w:line="274" w:lineRule="auto"/>
              <w:rPr>
                <w:rFonts w:ascii="Arial"/>
                <w:sz w:val="21"/>
              </w:rPr>
            </w:pPr>
          </w:p>
          <w:p w14:paraId="628CBE89">
            <w:pPr>
              <w:spacing w:line="274" w:lineRule="auto"/>
              <w:rPr>
                <w:rFonts w:ascii="Arial"/>
                <w:sz w:val="21"/>
              </w:rPr>
            </w:pPr>
          </w:p>
          <w:p w14:paraId="1294F112">
            <w:pPr>
              <w:spacing w:line="274" w:lineRule="auto"/>
              <w:rPr>
                <w:rFonts w:ascii="Arial"/>
                <w:sz w:val="21"/>
              </w:rPr>
            </w:pPr>
          </w:p>
          <w:p w14:paraId="68D3A90C">
            <w:pPr>
              <w:pStyle w:val="8"/>
              <w:spacing w:before="59" w:line="220" w:lineRule="auto"/>
              <w:ind w:left="10"/>
            </w:pPr>
            <w:r>
              <w:rPr>
                <w:spacing w:val="-2"/>
              </w:rPr>
              <w:t>行政处罚</w:t>
            </w:r>
          </w:p>
        </w:tc>
        <w:tc>
          <w:tcPr>
            <w:tcW w:w="8549" w:type="dxa"/>
            <w:vAlign w:val="top"/>
          </w:tcPr>
          <w:p w14:paraId="1E4682D2">
            <w:pPr>
              <w:spacing w:line="326" w:lineRule="auto"/>
              <w:rPr>
                <w:rFonts w:ascii="Arial"/>
                <w:sz w:val="21"/>
              </w:rPr>
            </w:pPr>
          </w:p>
          <w:p w14:paraId="71F8A4E5">
            <w:pPr>
              <w:spacing w:line="327" w:lineRule="auto"/>
              <w:rPr>
                <w:rFonts w:ascii="Arial"/>
                <w:sz w:val="21"/>
              </w:rPr>
            </w:pPr>
          </w:p>
          <w:p w14:paraId="464CD28D">
            <w:pPr>
              <w:pStyle w:val="8"/>
              <w:spacing w:before="58" w:line="219" w:lineRule="auto"/>
              <w:ind w:left="476"/>
            </w:pPr>
            <w:r>
              <w:rPr>
                <w:b/>
                <w:bCs/>
                <w:spacing w:val="-3"/>
              </w:rPr>
              <w:t>《建设工程安全生产管理条例》</w:t>
            </w:r>
          </w:p>
          <w:p w14:paraId="4836100D">
            <w:pPr>
              <w:pStyle w:val="8"/>
              <w:spacing w:before="25" w:line="233" w:lineRule="auto"/>
              <w:ind w:left="111" w:right="159" w:firstLine="359"/>
            </w:pPr>
            <w:r>
              <w:t>第七条  建设单位不得对勘察、设计、施工、工程监理等单位提出不符合建设工</w:t>
            </w:r>
            <w:r>
              <w:rPr>
                <w:spacing w:val="-1"/>
              </w:rPr>
              <w:t>程安全生产法律、法</w:t>
            </w:r>
            <w:r>
              <w:t xml:space="preserve"> </w:t>
            </w:r>
            <w:r>
              <w:rPr>
                <w:spacing w:val="-2"/>
              </w:rPr>
              <w:t>规和强制性标准规定的要求，不得压缩合同约定的工期。</w:t>
            </w:r>
          </w:p>
          <w:p w14:paraId="00C1415C">
            <w:pPr>
              <w:pStyle w:val="8"/>
              <w:spacing w:before="24"/>
              <w:ind w:left="111" w:right="104" w:firstLine="360"/>
            </w:pPr>
            <w:r>
              <w:rPr>
                <w:spacing w:val="-1"/>
              </w:rPr>
              <w:t>第五十五条第（一）项  违反本条例的规定，建设单位有下列行为之</w:t>
            </w:r>
            <w:r>
              <w:rPr>
                <w:spacing w:val="-2"/>
              </w:rPr>
              <w:t>一的，责令限期改正，处</w:t>
            </w:r>
            <w:r>
              <w:rPr>
                <w:spacing w:val="-38"/>
              </w:rPr>
              <w:t xml:space="preserve"> </w:t>
            </w:r>
            <w:r>
              <w:rPr>
                <w:spacing w:val="-2"/>
              </w:rPr>
              <w:t>20</w:t>
            </w:r>
            <w:r>
              <w:rPr>
                <w:spacing w:val="-34"/>
              </w:rPr>
              <w:t xml:space="preserve"> </w:t>
            </w:r>
            <w:r>
              <w:rPr>
                <w:spacing w:val="-2"/>
              </w:rPr>
              <w:t>万元</w:t>
            </w:r>
            <w:r>
              <w:t xml:space="preserve"> </w:t>
            </w:r>
            <w:r>
              <w:rPr>
                <w:spacing w:val="-1"/>
              </w:rPr>
              <w:t>以上</w:t>
            </w:r>
            <w:r>
              <w:rPr>
                <w:spacing w:val="-34"/>
              </w:rPr>
              <w:t xml:space="preserve"> </w:t>
            </w:r>
            <w:r>
              <w:rPr>
                <w:spacing w:val="-1"/>
              </w:rPr>
              <w:t>50</w:t>
            </w:r>
            <w:r>
              <w:rPr>
                <w:spacing w:val="-36"/>
              </w:rPr>
              <w:t xml:space="preserve"> </w:t>
            </w:r>
            <w:r>
              <w:rPr>
                <w:spacing w:val="-1"/>
              </w:rPr>
              <w:t>万元以下的罚款；造成重大安全事故，构成犯罪的，对直接责</w:t>
            </w:r>
            <w:r>
              <w:rPr>
                <w:spacing w:val="-2"/>
              </w:rPr>
              <w:t>任人员，依照刑法有关规定追究刑事</w:t>
            </w:r>
            <w:r>
              <w:t xml:space="preserve"> 责任；造成损失的，依法承担赔偿责任</w:t>
            </w:r>
            <w:r>
              <w:rPr>
                <w:spacing w:val="-2"/>
              </w:rPr>
              <w:t>：（</w:t>
            </w:r>
            <w:r>
              <w:t>一）对勘察、设计、施工、工程</w:t>
            </w:r>
            <w:r>
              <w:rPr>
                <w:spacing w:val="-1"/>
              </w:rPr>
              <w:t>监理等单位提出不符合安全生</w:t>
            </w:r>
            <w:r>
              <w:t xml:space="preserve"> </w:t>
            </w:r>
            <w:r>
              <w:rPr>
                <w:spacing w:val="-2"/>
              </w:rPr>
              <w:t>产法律、法规和强制性标准规定的要求的。</w:t>
            </w:r>
          </w:p>
        </w:tc>
        <w:tc>
          <w:tcPr>
            <w:tcW w:w="1014" w:type="dxa"/>
            <w:vAlign w:val="top"/>
          </w:tcPr>
          <w:p w14:paraId="1D60BEB0">
            <w:pPr>
              <w:spacing w:line="249" w:lineRule="auto"/>
              <w:rPr>
                <w:rFonts w:ascii="Arial"/>
                <w:sz w:val="21"/>
              </w:rPr>
            </w:pPr>
          </w:p>
          <w:p w14:paraId="702FD349">
            <w:pPr>
              <w:spacing w:line="249" w:lineRule="auto"/>
              <w:rPr>
                <w:rFonts w:ascii="Arial"/>
                <w:sz w:val="21"/>
              </w:rPr>
            </w:pPr>
          </w:p>
          <w:p w14:paraId="60A9B717">
            <w:pPr>
              <w:spacing w:line="250" w:lineRule="auto"/>
              <w:rPr>
                <w:rFonts w:ascii="Arial"/>
                <w:sz w:val="21"/>
              </w:rPr>
            </w:pPr>
          </w:p>
          <w:p w14:paraId="0FB1A690">
            <w:pPr>
              <w:spacing w:line="250" w:lineRule="auto"/>
              <w:rPr>
                <w:rFonts w:ascii="Arial"/>
                <w:sz w:val="21"/>
              </w:rPr>
            </w:pPr>
          </w:p>
          <w:p w14:paraId="60049771">
            <w:pPr>
              <w:spacing w:line="250" w:lineRule="auto"/>
              <w:rPr>
                <w:rFonts w:ascii="Arial"/>
                <w:sz w:val="21"/>
              </w:rPr>
            </w:pPr>
          </w:p>
          <w:p w14:paraId="10A009E8">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71BECE25">
            <w:pPr>
              <w:spacing w:line="249" w:lineRule="auto"/>
              <w:rPr>
                <w:rFonts w:ascii="Arial"/>
                <w:sz w:val="21"/>
              </w:rPr>
            </w:pPr>
          </w:p>
          <w:p w14:paraId="0B39EA0C">
            <w:pPr>
              <w:spacing w:line="250" w:lineRule="auto"/>
              <w:rPr>
                <w:rFonts w:ascii="Arial"/>
                <w:sz w:val="21"/>
              </w:rPr>
            </w:pPr>
          </w:p>
          <w:p w14:paraId="01AA91A5">
            <w:pPr>
              <w:spacing w:line="250" w:lineRule="auto"/>
              <w:rPr>
                <w:rFonts w:ascii="Arial"/>
                <w:sz w:val="21"/>
              </w:rPr>
            </w:pPr>
          </w:p>
          <w:p w14:paraId="66E0BBA4">
            <w:pPr>
              <w:spacing w:line="250" w:lineRule="auto"/>
              <w:rPr>
                <w:rFonts w:ascii="Arial"/>
                <w:sz w:val="21"/>
              </w:rPr>
            </w:pPr>
          </w:p>
          <w:p w14:paraId="0F73374A">
            <w:pPr>
              <w:spacing w:line="250" w:lineRule="auto"/>
              <w:rPr>
                <w:rFonts w:ascii="Arial"/>
                <w:sz w:val="21"/>
              </w:rPr>
            </w:pPr>
          </w:p>
          <w:p w14:paraId="56EA0724">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4735EAC">
            <w:pPr>
              <w:spacing w:line="252" w:lineRule="auto"/>
              <w:rPr>
                <w:rFonts w:ascii="Arial"/>
                <w:sz w:val="21"/>
              </w:rPr>
            </w:pPr>
          </w:p>
          <w:p w14:paraId="2AF3D94F">
            <w:pPr>
              <w:spacing w:line="253" w:lineRule="auto"/>
              <w:rPr>
                <w:rFonts w:ascii="Arial"/>
                <w:sz w:val="21"/>
              </w:rPr>
            </w:pPr>
          </w:p>
          <w:p w14:paraId="5EFF206D">
            <w:pPr>
              <w:spacing w:line="253" w:lineRule="auto"/>
              <w:rPr>
                <w:rFonts w:ascii="Arial"/>
                <w:sz w:val="21"/>
              </w:rPr>
            </w:pPr>
          </w:p>
          <w:p w14:paraId="78281122">
            <w:pPr>
              <w:spacing w:line="253" w:lineRule="auto"/>
              <w:rPr>
                <w:rFonts w:ascii="Arial"/>
                <w:sz w:val="21"/>
              </w:rPr>
            </w:pPr>
          </w:p>
          <w:p w14:paraId="0734B921">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0FB9A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8" w:hRule="atLeast"/>
        </w:trPr>
        <w:tc>
          <w:tcPr>
            <w:tcW w:w="624" w:type="dxa"/>
            <w:vAlign w:val="top"/>
          </w:tcPr>
          <w:p w14:paraId="5339E958">
            <w:pPr>
              <w:spacing w:line="258" w:lineRule="auto"/>
              <w:rPr>
                <w:rFonts w:ascii="Arial"/>
                <w:sz w:val="21"/>
              </w:rPr>
            </w:pPr>
          </w:p>
          <w:p w14:paraId="7829BA4C">
            <w:pPr>
              <w:spacing w:line="259" w:lineRule="auto"/>
              <w:rPr>
                <w:rFonts w:ascii="Arial"/>
                <w:sz w:val="21"/>
              </w:rPr>
            </w:pPr>
          </w:p>
          <w:p w14:paraId="41C509BB">
            <w:pPr>
              <w:spacing w:line="259" w:lineRule="auto"/>
              <w:rPr>
                <w:rFonts w:ascii="Arial"/>
                <w:sz w:val="21"/>
              </w:rPr>
            </w:pPr>
          </w:p>
          <w:p w14:paraId="32FA13F1">
            <w:pPr>
              <w:spacing w:line="259" w:lineRule="auto"/>
              <w:rPr>
                <w:rFonts w:ascii="Arial"/>
                <w:sz w:val="21"/>
              </w:rPr>
            </w:pPr>
          </w:p>
          <w:p w14:paraId="1274212F">
            <w:pPr>
              <w:spacing w:line="259" w:lineRule="auto"/>
              <w:rPr>
                <w:rFonts w:ascii="Arial"/>
                <w:sz w:val="21"/>
              </w:rPr>
            </w:pPr>
          </w:p>
          <w:p w14:paraId="445175E3">
            <w:pPr>
              <w:spacing w:line="259" w:lineRule="auto"/>
              <w:rPr>
                <w:rFonts w:ascii="Arial"/>
                <w:sz w:val="21"/>
              </w:rPr>
            </w:pPr>
          </w:p>
          <w:p w14:paraId="30903D0A">
            <w:pPr>
              <w:spacing w:line="259" w:lineRule="auto"/>
              <w:rPr>
                <w:rFonts w:ascii="Arial"/>
                <w:sz w:val="21"/>
              </w:rPr>
            </w:pPr>
          </w:p>
          <w:p w14:paraId="0DF908A1">
            <w:pPr>
              <w:spacing w:line="259" w:lineRule="auto"/>
              <w:rPr>
                <w:rFonts w:ascii="Arial"/>
                <w:sz w:val="21"/>
              </w:rPr>
            </w:pPr>
          </w:p>
          <w:p w14:paraId="77D9B01D">
            <w:pPr>
              <w:spacing w:line="259" w:lineRule="auto"/>
              <w:rPr>
                <w:rFonts w:ascii="Arial"/>
                <w:sz w:val="21"/>
              </w:rPr>
            </w:pPr>
          </w:p>
          <w:p w14:paraId="0B51039D">
            <w:pPr>
              <w:spacing w:line="259" w:lineRule="auto"/>
              <w:rPr>
                <w:rFonts w:ascii="Arial"/>
                <w:sz w:val="21"/>
              </w:rPr>
            </w:pPr>
          </w:p>
          <w:p w14:paraId="61C3AD2A">
            <w:pPr>
              <w:pStyle w:val="8"/>
              <w:spacing w:before="58" w:line="184" w:lineRule="auto"/>
              <w:ind w:left="234"/>
            </w:pPr>
            <w:r>
              <w:rPr>
                <w:spacing w:val="-6"/>
              </w:rPr>
              <w:t>31</w:t>
            </w:r>
          </w:p>
        </w:tc>
        <w:tc>
          <w:tcPr>
            <w:tcW w:w="1104" w:type="dxa"/>
            <w:vAlign w:val="top"/>
          </w:tcPr>
          <w:p w14:paraId="4AEEFA2F">
            <w:pPr>
              <w:spacing w:line="273" w:lineRule="auto"/>
              <w:rPr>
                <w:rFonts w:ascii="Arial"/>
                <w:sz w:val="21"/>
              </w:rPr>
            </w:pPr>
          </w:p>
          <w:p w14:paraId="7178A17A">
            <w:pPr>
              <w:spacing w:line="273" w:lineRule="auto"/>
              <w:rPr>
                <w:rFonts w:ascii="Arial"/>
                <w:sz w:val="21"/>
              </w:rPr>
            </w:pPr>
          </w:p>
          <w:p w14:paraId="731D081C">
            <w:pPr>
              <w:spacing w:line="273" w:lineRule="auto"/>
              <w:rPr>
                <w:rFonts w:ascii="Arial"/>
                <w:sz w:val="21"/>
              </w:rPr>
            </w:pPr>
          </w:p>
          <w:p w14:paraId="71438F70">
            <w:pPr>
              <w:spacing w:line="273" w:lineRule="auto"/>
              <w:rPr>
                <w:rFonts w:ascii="Arial"/>
                <w:sz w:val="21"/>
              </w:rPr>
            </w:pPr>
          </w:p>
          <w:p w14:paraId="765962B5">
            <w:pPr>
              <w:spacing w:line="273" w:lineRule="auto"/>
              <w:rPr>
                <w:rFonts w:ascii="Arial"/>
                <w:sz w:val="21"/>
              </w:rPr>
            </w:pPr>
          </w:p>
          <w:p w14:paraId="3D63D5EC">
            <w:pPr>
              <w:pStyle w:val="8"/>
              <w:spacing w:before="58" w:line="244" w:lineRule="auto"/>
              <w:ind w:left="60"/>
              <w:jc w:val="both"/>
            </w:pPr>
            <w:r>
              <w:rPr>
                <w:spacing w:val="15"/>
              </w:rPr>
              <w:t>对交通运输</w:t>
            </w:r>
            <w:r>
              <w:rPr>
                <w:spacing w:val="2"/>
              </w:rPr>
              <w:t xml:space="preserve"> </w:t>
            </w:r>
            <w:r>
              <w:rPr>
                <w:spacing w:val="15"/>
              </w:rPr>
              <w:t>领域建设工</w:t>
            </w:r>
            <w:r>
              <w:rPr>
                <w:spacing w:val="2"/>
              </w:rPr>
              <w:t xml:space="preserve"> </w:t>
            </w:r>
            <w:r>
              <w:rPr>
                <w:spacing w:val="-7"/>
              </w:rPr>
              <w:t>程勘察单位、</w:t>
            </w:r>
            <w:r>
              <w:t xml:space="preserve"> </w:t>
            </w:r>
            <w:r>
              <w:rPr>
                <w:spacing w:val="15"/>
              </w:rPr>
              <w:t>设计单位未</w:t>
            </w:r>
            <w:r>
              <w:rPr>
                <w:spacing w:val="2"/>
              </w:rPr>
              <w:t xml:space="preserve"> </w:t>
            </w:r>
            <w:r>
              <w:rPr>
                <w:spacing w:val="-17"/>
              </w:rPr>
              <w:t>按照法律、法</w:t>
            </w:r>
            <w:r>
              <w:t xml:space="preserve"> </w:t>
            </w:r>
            <w:r>
              <w:rPr>
                <w:spacing w:val="15"/>
              </w:rPr>
              <w:t>规和工程建</w:t>
            </w:r>
            <w:r>
              <w:rPr>
                <w:spacing w:val="2"/>
              </w:rPr>
              <w:t xml:space="preserve"> </w:t>
            </w:r>
            <w:r>
              <w:rPr>
                <w:spacing w:val="15"/>
              </w:rPr>
              <w:t>设强制性标</w:t>
            </w:r>
            <w:r>
              <w:rPr>
                <w:spacing w:val="2"/>
              </w:rPr>
              <w:t xml:space="preserve"> </w:t>
            </w:r>
            <w:r>
              <w:rPr>
                <w:spacing w:val="-7"/>
              </w:rPr>
              <w:t>准进行勘察、</w:t>
            </w:r>
            <w:r>
              <w:t xml:space="preserve"> </w:t>
            </w:r>
            <w:r>
              <w:rPr>
                <w:spacing w:val="15"/>
              </w:rPr>
              <w:t>设计等行为</w:t>
            </w:r>
            <w:r>
              <w:rPr>
                <w:spacing w:val="2"/>
              </w:rPr>
              <w:t xml:space="preserve"> </w:t>
            </w:r>
            <w:r>
              <w:rPr>
                <w:spacing w:val="-2"/>
              </w:rPr>
              <w:t>的行政处罚</w:t>
            </w:r>
          </w:p>
        </w:tc>
        <w:tc>
          <w:tcPr>
            <w:tcW w:w="1104" w:type="dxa"/>
            <w:vAlign w:val="top"/>
          </w:tcPr>
          <w:p w14:paraId="01DB45CE">
            <w:pPr>
              <w:spacing w:line="256" w:lineRule="auto"/>
              <w:rPr>
                <w:rFonts w:ascii="Arial"/>
                <w:sz w:val="21"/>
              </w:rPr>
            </w:pPr>
          </w:p>
          <w:p w14:paraId="047EE1B7">
            <w:pPr>
              <w:spacing w:line="256" w:lineRule="auto"/>
              <w:rPr>
                <w:rFonts w:ascii="Arial"/>
                <w:sz w:val="21"/>
              </w:rPr>
            </w:pPr>
          </w:p>
          <w:p w14:paraId="0442CCF9">
            <w:pPr>
              <w:spacing w:line="256" w:lineRule="auto"/>
              <w:rPr>
                <w:rFonts w:ascii="Arial"/>
                <w:sz w:val="21"/>
              </w:rPr>
            </w:pPr>
          </w:p>
          <w:p w14:paraId="7B51072D">
            <w:pPr>
              <w:spacing w:line="256" w:lineRule="auto"/>
              <w:rPr>
                <w:rFonts w:ascii="Arial"/>
                <w:sz w:val="21"/>
              </w:rPr>
            </w:pPr>
          </w:p>
          <w:p w14:paraId="45EC830B">
            <w:pPr>
              <w:spacing w:line="256" w:lineRule="auto"/>
              <w:rPr>
                <w:rFonts w:ascii="Arial"/>
                <w:sz w:val="21"/>
              </w:rPr>
            </w:pPr>
          </w:p>
          <w:p w14:paraId="3E46F6FD">
            <w:pPr>
              <w:spacing w:line="256" w:lineRule="auto"/>
              <w:rPr>
                <w:rFonts w:ascii="Arial"/>
                <w:sz w:val="21"/>
              </w:rPr>
            </w:pPr>
          </w:p>
          <w:p w14:paraId="5BACB199">
            <w:pPr>
              <w:spacing w:line="256" w:lineRule="auto"/>
              <w:rPr>
                <w:rFonts w:ascii="Arial"/>
                <w:sz w:val="21"/>
              </w:rPr>
            </w:pPr>
          </w:p>
          <w:p w14:paraId="6395F2AF">
            <w:pPr>
              <w:spacing w:line="256" w:lineRule="auto"/>
              <w:rPr>
                <w:rFonts w:ascii="Arial"/>
                <w:sz w:val="21"/>
              </w:rPr>
            </w:pPr>
          </w:p>
          <w:p w14:paraId="2D8ECC6A">
            <w:pPr>
              <w:spacing w:line="256" w:lineRule="auto"/>
              <w:rPr>
                <w:rFonts w:ascii="Arial"/>
                <w:sz w:val="21"/>
              </w:rPr>
            </w:pPr>
          </w:p>
          <w:p w14:paraId="050DC0B6">
            <w:pPr>
              <w:spacing w:line="257" w:lineRule="auto"/>
              <w:rPr>
                <w:rFonts w:ascii="Arial"/>
                <w:sz w:val="21"/>
              </w:rPr>
            </w:pPr>
          </w:p>
          <w:p w14:paraId="3D76DD58">
            <w:pPr>
              <w:pStyle w:val="8"/>
              <w:spacing w:before="59" w:line="220" w:lineRule="auto"/>
              <w:ind w:left="10"/>
            </w:pPr>
            <w:r>
              <w:rPr>
                <w:spacing w:val="-2"/>
              </w:rPr>
              <w:t>行政处罚</w:t>
            </w:r>
          </w:p>
        </w:tc>
        <w:tc>
          <w:tcPr>
            <w:tcW w:w="8549" w:type="dxa"/>
            <w:vAlign w:val="top"/>
          </w:tcPr>
          <w:p w14:paraId="1AE89813">
            <w:pPr>
              <w:spacing w:line="296" w:lineRule="auto"/>
              <w:rPr>
                <w:rFonts w:ascii="Arial"/>
                <w:sz w:val="21"/>
              </w:rPr>
            </w:pPr>
          </w:p>
          <w:p w14:paraId="443F102B">
            <w:pPr>
              <w:pStyle w:val="8"/>
              <w:spacing w:before="58" w:line="219" w:lineRule="auto"/>
              <w:ind w:left="476"/>
            </w:pPr>
            <w:r>
              <w:rPr>
                <w:b/>
                <w:bCs/>
                <w:spacing w:val="-3"/>
              </w:rPr>
              <w:t>《建设工程安全生产管理条例》</w:t>
            </w:r>
          </w:p>
          <w:p w14:paraId="3A9B1B19">
            <w:pPr>
              <w:pStyle w:val="8"/>
              <w:spacing w:before="25" w:line="233" w:lineRule="auto"/>
              <w:ind w:left="111" w:right="159"/>
            </w:pPr>
            <w:r>
              <w:t>第四条  建设单位、勘察单位、设计单位、施工单位、工程监理单位及其他与建设工</w:t>
            </w:r>
            <w:r>
              <w:rPr>
                <w:spacing w:val="-1"/>
              </w:rPr>
              <w:t>程安全生产有关的单</w:t>
            </w:r>
            <w:r>
              <w:t xml:space="preserve"> </w:t>
            </w:r>
            <w:r>
              <w:rPr>
                <w:spacing w:val="-1"/>
              </w:rPr>
              <w:t>位，必须遵守安全生产法律、法规的规定，保证建设工程安全生产，依法承担建设工程安全生产责任。</w:t>
            </w:r>
          </w:p>
          <w:p w14:paraId="3E5CDAA7">
            <w:pPr>
              <w:pStyle w:val="8"/>
              <w:spacing w:before="26" w:line="233" w:lineRule="auto"/>
              <w:ind w:left="112" w:right="44" w:firstLine="358"/>
            </w:pPr>
            <w:r>
              <w:rPr>
                <w:spacing w:val="-1"/>
              </w:rPr>
              <w:t>第十二条  勘察单位应当按照法律、法规</w:t>
            </w:r>
            <w:r>
              <w:rPr>
                <w:spacing w:val="-2"/>
              </w:rPr>
              <w:t>和工程建设强制性标准进行勘察，提供的勘察文件应当真实、</w:t>
            </w:r>
            <w:r>
              <w:t xml:space="preserve"> </w:t>
            </w:r>
            <w:r>
              <w:rPr>
                <w:spacing w:val="-2"/>
              </w:rPr>
              <w:t>准确，满足建设工程安全生产的需要。</w:t>
            </w:r>
          </w:p>
          <w:p w14:paraId="3F000C33">
            <w:pPr>
              <w:pStyle w:val="8"/>
              <w:spacing w:before="25" w:line="234" w:lineRule="auto"/>
              <w:ind w:left="111" w:right="159" w:firstLine="359"/>
            </w:pPr>
            <w:r>
              <w:t>勘察单位在勘察作业时，应当严格执行操作规程，采取措施保证各类管线、设施和</w:t>
            </w:r>
            <w:r>
              <w:rPr>
                <w:spacing w:val="-1"/>
              </w:rPr>
              <w:t>周边建筑物、构筑</w:t>
            </w:r>
            <w:r>
              <w:t xml:space="preserve"> </w:t>
            </w:r>
            <w:r>
              <w:rPr>
                <w:spacing w:val="-6"/>
              </w:rPr>
              <w:t>物的安全。</w:t>
            </w:r>
          </w:p>
          <w:p w14:paraId="0F50284B">
            <w:pPr>
              <w:pStyle w:val="8"/>
              <w:spacing w:before="24" w:line="233" w:lineRule="auto"/>
              <w:ind w:left="111" w:right="159" w:firstLine="360"/>
            </w:pPr>
            <w:r>
              <w:t>第十三条  设计单位应当按照法律、法规和工程建设强制性标准进行设计，防止</w:t>
            </w:r>
            <w:r>
              <w:rPr>
                <w:spacing w:val="-1"/>
              </w:rPr>
              <w:t>因设计不合理导致生</w:t>
            </w:r>
            <w:r>
              <w:t xml:space="preserve"> </w:t>
            </w:r>
            <w:r>
              <w:rPr>
                <w:spacing w:val="-4"/>
              </w:rPr>
              <w:t>产安全事故的发生。</w:t>
            </w:r>
          </w:p>
          <w:p w14:paraId="25C2E93D">
            <w:pPr>
              <w:pStyle w:val="8"/>
              <w:spacing w:before="25" w:line="233" w:lineRule="auto"/>
              <w:ind w:left="115" w:right="58" w:firstLine="358"/>
            </w:pPr>
            <w:r>
              <w:rPr>
                <w:spacing w:val="-2"/>
              </w:rPr>
              <w:t>设计单位应当考虑施工安全操作和防护的需要，对涉及施工安全的重点部位和环节在设计文件中注明，</w:t>
            </w:r>
            <w:r>
              <w:t xml:space="preserve"> </w:t>
            </w:r>
            <w:r>
              <w:rPr>
                <w:spacing w:val="-3"/>
              </w:rPr>
              <w:t>并对防范生产安全事故提出指导意见。</w:t>
            </w:r>
          </w:p>
          <w:p w14:paraId="4B526F0A">
            <w:pPr>
              <w:pStyle w:val="8"/>
              <w:spacing w:before="25" w:line="233" w:lineRule="auto"/>
              <w:ind w:left="113" w:right="159" w:firstLine="357"/>
            </w:pPr>
            <w:r>
              <w:t>采用新结构、新材料、新工艺的建设工程和特殊结构的建设工程，设计单位应当在</w:t>
            </w:r>
            <w:r>
              <w:rPr>
                <w:spacing w:val="-1"/>
              </w:rPr>
              <w:t>设计中提出保障施</w:t>
            </w:r>
            <w:r>
              <w:t xml:space="preserve"> </w:t>
            </w:r>
            <w:r>
              <w:rPr>
                <w:spacing w:val="-2"/>
              </w:rPr>
              <w:t>工作业人员安全和预防生产安全事故的措施建议。</w:t>
            </w:r>
          </w:p>
          <w:p w14:paraId="38AD9452">
            <w:pPr>
              <w:pStyle w:val="8"/>
              <w:spacing w:before="27" w:line="219" w:lineRule="auto"/>
              <w:ind w:left="474"/>
            </w:pPr>
            <w:r>
              <w:rPr>
                <w:spacing w:val="-2"/>
              </w:rPr>
              <w:t>设计单位和注册建筑师等注册执业人员应当对其设计负责。</w:t>
            </w:r>
          </w:p>
          <w:p w14:paraId="20452BBB">
            <w:pPr>
              <w:pStyle w:val="8"/>
              <w:spacing w:before="25" w:line="242" w:lineRule="auto"/>
              <w:ind w:left="111" w:right="59" w:firstLine="360"/>
            </w:pPr>
            <w:r>
              <w:rPr>
                <w:spacing w:val="-1"/>
              </w:rPr>
              <w:t>第五十六条  违反本条例的规定，勘察单</w:t>
            </w:r>
            <w:r>
              <w:rPr>
                <w:spacing w:val="-2"/>
              </w:rPr>
              <w:t>位、设计单位有下列行为之一的，责令限期改正，处</w:t>
            </w:r>
            <w:r>
              <w:rPr>
                <w:spacing w:val="-26"/>
              </w:rPr>
              <w:t xml:space="preserve"> </w:t>
            </w:r>
            <w:r>
              <w:rPr>
                <w:spacing w:val="-2"/>
              </w:rPr>
              <w:t>10</w:t>
            </w:r>
            <w:r>
              <w:rPr>
                <w:spacing w:val="-34"/>
              </w:rPr>
              <w:t xml:space="preserve"> </w:t>
            </w:r>
            <w:r>
              <w:rPr>
                <w:spacing w:val="-2"/>
              </w:rPr>
              <w:t>万元</w:t>
            </w:r>
            <w:r>
              <w:t xml:space="preserve"> </w:t>
            </w:r>
            <w:r>
              <w:rPr>
                <w:spacing w:val="-1"/>
              </w:rPr>
              <w:t>以上</w:t>
            </w:r>
            <w:r>
              <w:rPr>
                <w:spacing w:val="-34"/>
              </w:rPr>
              <w:t xml:space="preserve"> </w:t>
            </w:r>
            <w:r>
              <w:rPr>
                <w:spacing w:val="-1"/>
              </w:rPr>
              <w:t>30</w:t>
            </w:r>
            <w:r>
              <w:rPr>
                <w:spacing w:val="-36"/>
              </w:rPr>
              <w:t xml:space="preserve"> </w:t>
            </w:r>
            <w:r>
              <w:rPr>
                <w:spacing w:val="-1"/>
              </w:rPr>
              <w:t>万元以下的罚款；情节严重的，责令停业整顿，降低资质等级</w:t>
            </w:r>
            <w:r>
              <w:rPr>
                <w:spacing w:val="-2"/>
              </w:rPr>
              <w:t>，直至吊销资质证书；造成重大安全</w:t>
            </w:r>
            <w:r>
              <w:t xml:space="preserve"> </w:t>
            </w:r>
            <w:r>
              <w:rPr>
                <w:spacing w:val="-2"/>
              </w:rPr>
              <w:t>事故，构成犯罪的，对直接责任人员，依照刑法有关规定追究刑事责任；造成损失的，依法承担赔偿责任：</w:t>
            </w:r>
            <w:r>
              <w:rPr>
                <w:spacing w:val="5"/>
              </w:rPr>
              <w:t xml:space="preserve"> </w:t>
            </w:r>
            <w:r>
              <w:t>（一）未按照法律、法规和工程建设强制性标准进行勘察</w:t>
            </w:r>
            <w:r>
              <w:rPr>
                <w:spacing w:val="-1"/>
              </w:rPr>
              <w:t>、设计的；（二）采用新结构、新材料、新工艺</w:t>
            </w:r>
            <w:r>
              <w:t xml:space="preserve">  的建设工程和特殊结构的建设工程，设计单位未在设计中提出保障施工作业人员安全</w:t>
            </w:r>
            <w:r>
              <w:rPr>
                <w:spacing w:val="-1"/>
              </w:rPr>
              <w:t>和预防生产安全事故</w:t>
            </w:r>
            <w:r>
              <w:t xml:space="preserve">  </w:t>
            </w:r>
            <w:r>
              <w:rPr>
                <w:spacing w:val="-5"/>
              </w:rPr>
              <w:t>的措施建议的。</w:t>
            </w:r>
          </w:p>
        </w:tc>
        <w:tc>
          <w:tcPr>
            <w:tcW w:w="1014" w:type="dxa"/>
            <w:vAlign w:val="top"/>
          </w:tcPr>
          <w:p w14:paraId="1A9859A7">
            <w:pPr>
              <w:spacing w:line="244" w:lineRule="auto"/>
              <w:rPr>
                <w:rFonts w:ascii="Arial"/>
                <w:sz w:val="21"/>
              </w:rPr>
            </w:pPr>
          </w:p>
          <w:p w14:paraId="08C7A248">
            <w:pPr>
              <w:spacing w:line="244" w:lineRule="auto"/>
              <w:rPr>
                <w:rFonts w:ascii="Arial"/>
                <w:sz w:val="21"/>
              </w:rPr>
            </w:pPr>
          </w:p>
          <w:p w14:paraId="337D689C">
            <w:pPr>
              <w:spacing w:line="244" w:lineRule="auto"/>
              <w:rPr>
                <w:rFonts w:ascii="Arial"/>
                <w:sz w:val="21"/>
              </w:rPr>
            </w:pPr>
          </w:p>
          <w:p w14:paraId="2AC3890F">
            <w:pPr>
              <w:spacing w:line="244" w:lineRule="auto"/>
              <w:rPr>
                <w:rFonts w:ascii="Arial"/>
                <w:sz w:val="21"/>
              </w:rPr>
            </w:pPr>
          </w:p>
          <w:p w14:paraId="7655AEBC">
            <w:pPr>
              <w:spacing w:line="244" w:lineRule="auto"/>
              <w:rPr>
                <w:rFonts w:ascii="Arial"/>
                <w:sz w:val="21"/>
              </w:rPr>
            </w:pPr>
          </w:p>
          <w:p w14:paraId="41E407F2">
            <w:pPr>
              <w:spacing w:line="244" w:lineRule="auto"/>
              <w:rPr>
                <w:rFonts w:ascii="Arial"/>
                <w:sz w:val="21"/>
              </w:rPr>
            </w:pPr>
          </w:p>
          <w:p w14:paraId="12AC7018">
            <w:pPr>
              <w:spacing w:line="244" w:lineRule="auto"/>
              <w:rPr>
                <w:rFonts w:ascii="Arial"/>
                <w:sz w:val="21"/>
              </w:rPr>
            </w:pPr>
          </w:p>
          <w:p w14:paraId="20069F22">
            <w:pPr>
              <w:spacing w:line="244" w:lineRule="auto"/>
              <w:rPr>
                <w:rFonts w:ascii="Arial"/>
                <w:sz w:val="21"/>
              </w:rPr>
            </w:pPr>
          </w:p>
          <w:p w14:paraId="51B2CCD8">
            <w:pPr>
              <w:spacing w:line="245" w:lineRule="auto"/>
              <w:rPr>
                <w:rFonts w:ascii="Arial"/>
                <w:sz w:val="21"/>
              </w:rPr>
            </w:pPr>
          </w:p>
          <w:p w14:paraId="60F50100">
            <w:pPr>
              <w:spacing w:line="245" w:lineRule="auto"/>
              <w:rPr>
                <w:rFonts w:ascii="Arial"/>
                <w:sz w:val="21"/>
              </w:rPr>
            </w:pPr>
          </w:p>
          <w:p w14:paraId="704B18F8">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3634CC0D">
            <w:pPr>
              <w:spacing w:line="244" w:lineRule="auto"/>
              <w:rPr>
                <w:rFonts w:ascii="Arial"/>
                <w:sz w:val="21"/>
              </w:rPr>
            </w:pPr>
          </w:p>
          <w:p w14:paraId="2DD77ED6">
            <w:pPr>
              <w:spacing w:line="244" w:lineRule="auto"/>
              <w:rPr>
                <w:rFonts w:ascii="Arial"/>
                <w:sz w:val="21"/>
              </w:rPr>
            </w:pPr>
          </w:p>
          <w:p w14:paraId="7C888BC2">
            <w:pPr>
              <w:spacing w:line="244" w:lineRule="auto"/>
              <w:rPr>
                <w:rFonts w:ascii="Arial"/>
                <w:sz w:val="21"/>
              </w:rPr>
            </w:pPr>
          </w:p>
          <w:p w14:paraId="5C3837CB">
            <w:pPr>
              <w:spacing w:line="244" w:lineRule="auto"/>
              <w:rPr>
                <w:rFonts w:ascii="Arial"/>
                <w:sz w:val="21"/>
              </w:rPr>
            </w:pPr>
          </w:p>
          <w:p w14:paraId="49A3AAD6">
            <w:pPr>
              <w:spacing w:line="244" w:lineRule="auto"/>
              <w:rPr>
                <w:rFonts w:ascii="Arial"/>
                <w:sz w:val="21"/>
              </w:rPr>
            </w:pPr>
          </w:p>
          <w:p w14:paraId="37909962">
            <w:pPr>
              <w:spacing w:line="244" w:lineRule="auto"/>
              <w:rPr>
                <w:rFonts w:ascii="Arial"/>
                <w:sz w:val="21"/>
              </w:rPr>
            </w:pPr>
          </w:p>
          <w:p w14:paraId="7579000E">
            <w:pPr>
              <w:spacing w:line="244" w:lineRule="auto"/>
              <w:rPr>
                <w:rFonts w:ascii="Arial"/>
                <w:sz w:val="21"/>
              </w:rPr>
            </w:pPr>
          </w:p>
          <w:p w14:paraId="0BA8B17F">
            <w:pPr>
              <w:spacing w:line="244" w:lineRule="auto"/>
              <w:rPr>
                <w:rFonts w:ascii="Arial"/>
                <w:sz w:val="21"/>
              </w:rPr>
            </w:pPr>
          </w:p>
          <w:p w14:paraId="1C2ECC1C">
            <w:pPr>
              <w:spacing w:line="245" w:lineRule="auto"/>
              <w:rPr>
                <w:rFonts w:ascii="Arial"/>
                <w:sz w:val="21"/>
              </w:rPr>
            </w:pPr>
          </w:p>
          <w:p w14:paraId="021CE108">
            <w:pPr>
              <w:spacing w:line="245" w:lineRule="auto"/>
              <w:rPr>
                <w:rFonts w:ascii="Arial"/>
                <w:sz w:val="21"/>
              </w:rPr>
            </w:pPr>
          </w:p>
          <w:p w14:paraId="78610206">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5B5C964">
            <w:pPr>
              <w:spacing w:line="245" w:lineRule="auto"/>
              <w:rPr>
                <w:rFonts w:ascii="Arial"/>
                <w:sz w:val="21"/>
              </w:rPr>
            </w:pPr>
          </w:p>
          <w:p w14:paraId="15C6AD69">
            <w:pPr>
              <w:spacing w:line="245" w:lineRule="auto"/>
              <w:rPr>
                <w:rFonts w:ascii="Arial"/>
                <w:sz w:val="21"/>
              </w:rPr>
            </w:pPr>
          </w:p>
          <w:p w14:paraId="23220956">
            <w:pPr>
              <w:spacing w:line="245" w:lineRule="auto"/>
              <w:rPr>
                <w:rFonts w:ascii="Arial"/>
                <w:sz w:val="21"/>
              </w:rPr>
            </w:pPr>
          </w:p>
          <w:p w14:paraId="24353067">
            <w:pPr>
              <w:spacing w:line="245" w:lineRule="auto"/>
              <w:rPr>
                <w:rFonts w:ascii="Arial"/>
                <w:sz w:val="21"/>
              </w:rPr>
            </w:pPr>
          </w:p>
          <w:p w14:paraId="527B0085">
            <w:pPr>
              <w:spacing w:line="245" w:lineRule="auto"/>
              <w:rPr>
                <w:rFonts w:ascii="Arial"/>
                <w:sz w:val="21"/>
              </w:rPr>
            </w:pPr>
          </w:p>
          <w:p w14:paraId="0242C2C3">
            <w:pPr>
              <w:spacing w:line="245" w:lineRule="auto"/>
              <w:rPr>
                <w:rFonts w:ascii="Arial"/>
                <w:sz w:val="21"/>
              </w:rPr>
            </w:pPr>
          </w:p>
          <w:p w14:paraId="67653B71">
            <w:pPr>
              <w:spacing w:line="245" w:lineRule="auto"/>
              <w:rPr>
                <w:rFonts w:ascii="Arial"/>
                <w:sz w:val="21"/>
              </w:rPr>
            </w:pPr>
          </w:p>
          <w:p w14:paraId="382FA10E">
            <w:pPr>
              <w:spacing w:line="245" w:lineRule="auto"/>
              <w:rPr>
                <w:rFonts w:ascii="Arial"/>
                <w:sz w:val="21"/>
              </w:rPr>
            </w:pPr>
          </w:p>
          <w:p w14:paraId="41E69FC2">
            <w:pPr>
              <w:spacing w:line="245" w:lineRule="auto"/>
              <w:rPr>
                <w:rFonts w:ascii="Arial"/>
                <w:sz w:val="21"/>
              </w:rPr>
            </w:pPr>
          </w:p>
          <w:p w14:paraId="726F5F91">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2B33941F">
      <w:pPr>
        <w:pStyle w:val="2"/>
      </w:pPr>
    </w:p>
    <w:p w14:paraId="1B54A47D">
      <w:pPr>
        <w:sectPr>
          <w:footerReference r:id="rId90" w:type="default"/>
          <w:pgSz w:w="16839" w:h="11906"/>
          <w:pgMar w:top="1012" w:right="991" w:bottom="967" w:left="1021" w:header="0" w:footer="768" w:gutter="0"/>
          <w:cols w:space="720" w:num="1"/>
        </w:sectPr>
      </w:pPr>
    </w:p>
    <w:p w14:paraId="67CA9636">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78A2A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4" w:type="dxa"/>
            <w:vMerge w:val="restart"/>
            <w:tcBorders>
              <w:bottom w:val="nil"/>
            </w:tcBorders>
            <w:vAlign w:val="top"/>
          </w:tcPr>
          <w:p w14:paraId="3227EA11">
            <w:pPr>
              <w:pStyle w:val="8"/>
              <w:spacing w:before="267" w:line="221" w:lineRule="auto"/>
              <w:ind w:left="134"/>
            </w:pPr>
            <w:r>
              <w:rPr>
                <w:b/>
                <w:bCs/>
                <w:spacing w:val="-4"/>
              </w:rPr>
              <w:t>序号</w:t>
            </w:r>
          </w:p>
        </w:tc>
        <w:tc>
          <w:tcPr>
            <w:tcW w:w="1104" w:type="dxa"/>
            <w:vMerge w:val="restart"/>
            <w:tcBorders>
              <w:bottom w:val="nil"/>
            </w:tcBorders>
            <w:vAlign w:val="top"/>
          </w:tcPr>
          <w:p w14:paraId="232F50F1">
            <w:pPr>
              <w:pStyle w:val="8"/>
              <w:spacing w:before="260" w:line="220" w:lineRule="auto"/>
              <w:ind w:left="192"/>
            </w:pPr>
            <w:r>
              <w:rPr>
                <w:b/>
                <w:bCs/>
                <w:spacing w:val="-4"/>
              </w:rPr>
              <w:t>事项名称</w:t>
            </w:r>
          </w:p>
        </w:tc>
        <w:tc>
          <w:tcPr>
            <w:tcW w:w="1104" w:type="dxa"/>
            <w:vMerge w:val="restart"/>
            <w:tcBorders>
              <w:bottom w:val="nil"/>
            </w:tcBorders>
            <w:vAlign w:val="top"/>
          </w:tcPr>
          <w:p w14:paraId="6C96D697">
            <w:pPr>
              <w:pStyle w:val="8"/>
              <w:spacing w:before="260" w:line="219" w:lineRule="auto"/>
              <w:ind w:left="193"/>
            </w:pPr>
            <w:r>
              <w:rPr>
                <w:b/>
                <w:bCs/>
                <w:spacing w:val="-4"/>
              </w:rPr>
              <w:t>职权类型</w:t>
            </w:r>
          </w:p>
        </w:tc>
        <w:tc>
          <w:tcPr>
            <w:tcW w:w="8549" w:type="dxa"/>
            <w:vMerge w:val="restart"/>
            <w:tcBorders>
              <w:bottom w:val="nil"/>
            </w:tcBorders>
            <w:vAlign w:val="top"/>
          </w:tcPr>
          <w:p w14:paraId="44BD74D4">
            <w:pPr>
              <w:pStyle w:val="8"/>
              <w:spacing w:before="259" w:line="219" w:lineRule="auto"/>
              <w:ind w:left="3921"/>
            </w:pPr>
            <w:r>
              <w:rPr>
                <w:b/>
                <w:bCs/>
                <w:spacing w:val="-5"/>
              </w:rPr>
              <w:t>实施依据</w:t>
            </w:r>
          </w:p>
        </w:tc>
        <w:tc>
          <w:tcPr>
            <w:tcW w:w="3439" w:type="dxa"/>
            <w:gridSpan w:val="3"/>
            <w:vAlign w:val="top"/>
          </w:tcPr>
          <w:p w14:paraId="3746BC76">
            <w:pPr>
              <w:pStyle w:val="8"/>
              <w:spacing w:before="85" w:line="220" w:lineRule="auto"/>
              <w:ind w:left="1365"/>
            </w:pPr>
            <w:r>
              <w:rPr>
                <w:b/>
                <w:bCs/>
                <w:spacing w:val="-5"/>
              </w:rPr>
              <w:t>实施主体</w:t>
            </w:r>
          </w:p>
        </w:tc>
      </w:tr>
      <w:tr w14:paraId="05D71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4D55960">
            <w:pPr>
              <w:rPr>
                <w:rFonts w:ascii="Arial"/>
                <w:sz w:val="21"/>
              </w:rPr>
            </w:pPr>
          </w:p>
        </w:tc>
        <w:tc>
          <w:tcPr>
            <w:tcW w:w="1104" w:type="dxa"/>
            <w:vMerge w:val="continue"/>
            <w:tcBorders>
              <w:top w:val="nil"/>
            </w:tcBorders>
            <w:vAlign w:val="top"/>
          </w:tcPr>
          <w:p w14:paraId="004B1577">
            <w:pPr>
              <w:rPr>
                <w:rFonts w:ascii="Arial"/>
                <w:sz w:val="21"/>
              </w:rPr>
            </w:pPr>
          </w:p>
        </w:tc>
        <w:tc>
          <w:tcPr>
            <w:tcW w:w="1104" w:type="dxa"/>
            <w:vMerge w:val="continue"/>
            <w:tcBorders>
              <w:top w:val="nil"/>
            </w:tcBorders>
            <w:vAlign w:val="top"/>
          </w:tcPr>
          <w:p w14:paraId="21997383">
            <w:pPr>
              <w:rPr>
                <w:rFonts w:ascii="Arial"/>
                <w:sz w:val="21"/>
              </w:rPr>
            </w:pPr>
          </w:p>
        </w:tc>
        <w:tc>
          <w:tcPr>
            <w:tcW w:w="8549" w:type="dxa"/>
            <w:vMerge w:val="continue"/>
            <w:tcBorders>
              <w:top w:val="nil"/>
            </w:tcBorders>
            <w:vAlign w:val="top"/>
          </w:tcPr>
          <w:p w14:paraId="16A7226A">
            <w:pPr>
              <w:rPr>
                <w:rFonts w:ascii="Arial"/>
                <w:sz w:val="21"/>
              </w:rPr>
            </w:pPr>
          </w:p>
        </w:tc>
        <w:tc>
          <w:tcPr>
            <w:tcW w:w="1014" w:type="dxa"/>
            <w:vAlign w:val="top"/>
          </w:tcPr>
          <w:p w14:paraId="4135E6B3">
            <w:pPr>
              <w:pStyle w:val="8"/>
              <w:spacing w:before="80" w:line="219" w:lineRule="auto"/>
              <w:ind w:left="158"/>
            </w:pPr>
            <w:r>
              <w:rPr>
                <w:b/>
                <w:bCs/>
                <w:spacing w:val="-5"/>
              </w:rPr>
              <w:t>责任部门</w:t>
            </w:r>
          </w:p>
        </w:tc>
        <w:tc>
          <w:tcPr>
            <w:tcW w:w="1407" w:type="dxa"/>
            <w:vAlign w:val="top"/>
          </w:tcPr>
          <w:p w14:paraId="5CFEE9C5">
            <w:pPr>
              <w:pStyle w:val="8"/>
              <w:spacing w:before="80" w:line="219" w:lineRule="auto"/>
              <w:ind w:left="167"/>
            </w:pPr>
            <w:r>
              <w:rPr>
                <w:b/>
                <w:bCs/>
                <w:spacing w:val="-3"/>
              </w:rPr>
              <w:t>第一责任层级</w:t>
            </w:r>
          </w:p>
        </w:tc>
        <w:tc>
          <w:tcPr>
            <w:tcW w:w="1018" w:type="dxa"/>
            <w:vAlign w:val="top"/>
          </w:tcPr>
          <w:p w14:paraId="27C75735">
            <w:pPr>
              <w:pStyle w:val="8"/>
              <w:spacing w:before="80" w:line="219" w:lineRule="auto"/>
              <w:ind w:left="152"/>
            </w:pPr>
            <w:r>
              <w:rPr>
                <w:b/>
                <w:bCs/>
                <w:spacing w:val="-4"/>
              </w:rPr>
              <w:t>承办机构</w:t>
            </w:r>
          </w:p>
        </w:tc>
      </w:tr>
      <w:tr w14:paraId="02AFD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0" w:hRule="atLeast"/>
        </w:trPr>
        <w:tc>
          <w:tcPr>
            <w:tcW w:w="624" w:type="dxa"/>
            <w:vAlign w:val="top"/>
          </w:tcPr>
          <w:p w14:paraId="50AEA918">
            <w:pPr>
              <w:spacing w:line="257" w:lineRule="auto"/>
              <w:rPr>
                <w:rFonts w:ascii="Arial"/>
                <w:sz w:val="21"/>
              </w:rPr>
            </w:pPr>
          </w:p>
          <w:p w14:paraId="6E3B5332">
            <w:pPr>
              <w:spacing w:line="257" w:lineRule="auto"/>
              <w:rPr>
                <w:rFonts w:ascii="Arial"/>
                <w:sz w:val="21"/>
              </w:rPr>
            </w:pPr>
          </w:p>
          <w:p w14:paraId="10BA8ED1">
            <w:pPr>
              <w:spacing w:line="258" w:lineRule="auto"/>
              <w:rPr>
                <w:rFonts w:ascii="Arial"/>
                <w:sz w:val="21"/>
              </w:rPr>
            </w:pPr>
          </w:p>
          <w:p w14:paraId="66507313">
            <w:pPr>
              <w:spacing w:line="258" w:lineRule="auto"/>
              <w:rPr>
                <w:rFonts w:ascii="Arial"/>
                <w:sz w:val="21"/>
              </w:rPr>
            </w:pPr>
          </w:p>
          <w:p w14:paraId="1D4A9E9C">
            <w:pPr>
              <w:spacing w:line="258" w:lineRule="auto"/>
              <w:rPr>
                <w:rFonts w:ascii="Arial"/>
                <w:sz w:val="21"/>
              </w:rPr>
            </w:pPr>
          </w:p>
          <w:p w14:paraId="4BAC988D">
            <w:pPr>
              <w:pStyle w:val="8"/>
              <w:spacing w:before="58" w:line="183" w:lineRule="auto"/>
              <w:ind w:left="234"/>
            </w:pPr>
            <w:r>
              <w:rPr>
                <w:spacing w:val="-6"/>
              </w:rPr>
              <w:t>32</w:t>
            </w:r>
          </w:p>
        </w:tc>
        <w:tc>
          <w:tcPr>
            <w:tcW w:w="1104" w:type="dxa"/>
            <w:vAlign w:val="top"/>
          </w:tcPr>
          <w:p w14:paraId="5A6D0A49">
            <w:pPr>
              <w:pStyle w:val="8"/>
              <w:spacing w:before="127" w:line="244" w:lineRule="auto"/>
              <w:ind w:left="60" w:right="56"/>
              <w:jc w:val="both"/>
            </w:pPr>
            <w:r>
              <w:rPr>
                <w:spacing w:val="16"/>
              </w:rPr>
              <w:t>对交通运输</w:t>
            </w:r>
            <w:r>
              <w:rPr>
                <w:spacing w:val="1"/>
              </w:rPr>
              <w:t xml:space="preserve"> </w:t>
            </w:r>
            <w:r>
              <w:rPr>
                <w:spacing w:val="16"/>
              </w:rPr>
              <w:t>领域建设工</w:t>
            </w:r>
            <w:r>
              <w:rPr>
                <w:spacing w:val="1"/>
              </w:rPr>
              <w:t xml:space="preserve"> </w:t>
            </w:r>
            <w:r>
              <w:rPr>
                <w:spacing w:val="16"/>
              </w:rPr>
              <w:t>程监理单位</w:t>
            </w:r>
            <w:r>
              <w:rPr>
                <w:spacing w:val="1"/>
              </w:rPr>
              <w:t xml:space="preserve"> </w:t>
            </w:r>
            <w:r>
              <w:rPr>
                <w:spacing w:val="16"/>
              </w:rPr>
              <w:t>未对施工组</w:t>
            </w:r>
            <w:r>
              <w:rPr>
                <w:spacing w:val="1"/>
              </w:rPr>
              <w:t xml:space="preserve"> </w:t>
            </w:r>
            <w:r>
              <w:rPr>
                <w:spacing w:val="16"/>
              </w:rPr>
              <w:t>织设计中的</w:t>
            </w:r>
            <w:r>
              <w:rPr>
                <w:spacing w:val="1"/>
              </w:rPr>
              <w:t xml:space="preserve"> </w:t>
            </w:r>
            <w:r>
              <w:rPr>
                <w:spacing w:val="16"/>
              </w:rPr>
              <w:t>安全技术措</w:t>
            </w:r>
            <w:r>
              <w:rPr>
                <w:spacing w:val="1"/>
              </w:rPr>
              <w:t xml:space="preserve"> </w:t>
            </w:r>
            <w:r>
              <w:rPr>
                <w:spacing w:val="16"/>
              </w:rPr>
              <w:t>施或者专项</w:t>
            </w:r>
            <w:r>
              <w:rPr>
                <w:spacing w:val="1"/>
              </w:rPr>
              <w:t xml:space="preserve"> </w:t>
            </w:r>
            <w:r>
              <w:rPr>
                <w:spacing w:val="16"/>
              </w:rPr>
              <w:t>施工方案进</w:t>
            </w:r>
            <w:r>
              <w:rPr>
                <w:spacing w:val="1"/>
              </w:rPr>
              <w:t xml:space="preserve"> </w:t>
            </w:r>
            <w:r>
              <w:rPr>
                <w:spacing w:val="16"/>
              </w:rPr>
              <w:t>行审查等行</w:t>
            </w:r>
            <w:r>
              <w:rPr>
                <w:spacing w:val="1"/>
              </w:rPr>
              <w:t xml:space="preserve"> </w:t>
            </w:r>
            <w:r>
              <w:rPr>
                <w:spacing w:val="16"/>
              </w:rPr>
              <w:t>为的行政处</w:t>
            </w:r>
            <w:r>
              <w:rPr>
                <w:spacing w:val="1"/>
              </w:rPr>
              <w:t xml:space="preserve"> </w:t>
            </w:r>
            <w:r>
              <w:t>罚</w:t>
            </w:r>
          </w:p>
        </w:tc>
        <w:tc>
          <w:tcPr>
            <w:tcW w:w="1104" w:type="dxa"/>
            <w:vAlign w:val="top"/>
          </w:tcPr>
          <w:p w14:paraId="5EAB9440">
            <w:pPr>
              <w:spacing w:line="252" w:lineRule="auto"/>
              <w:rPr>
                <w:rFonts w:ascii="Arial"/>
                <w:sz w:val="21"/>
              </w:rPr>
            </w:pPr>
          </w:p>
          <w:p w14:paraId="562E9262">
            <w:pPr>
              <w:spacing w:line="252" w:lineRule="auto"/>
              <w:rPr>
                <w:rFonts w:ascii="Arial"/>
                <w:sz w:val="21"/>
              </w:rPr>
            </w:pPr>
          </w:p>
          <w:p w14:paraId="6790F23E">
            <w:pPr>
              <w:spacing w:line="252" w:lineRule="auto"/>
              <w:rPr>
                <w:rFonts w:ascii="Arial"/>
                <w:sz w:val="21"/>
              </w:rPr>
            </w:pPr>
          </w:p>
          <w:p w14:paraId="69A9CF09">
            <w:pPr>
              <w:spacing w:line="252" w:lineRule="auto"/>
              <w:rPr>
                <w:rFonts w:ascii="Arial"/>
                <w:sz w:val="21"/>
              </w:rPr>
            </w:pPr>
          </w:p>
          <w:p w14:paraId="4EE7CF89">
            <w:pPr>
              <w:spacing w:line="252" w:lineRule="auto"/>
              <w:rPr>
                <w:rFonts w:ascii="Arial"/>
                <w:sz w:val="21"/>
              </w:rPr>
            </w:pPr>
          </w:p>
          <w:p w14:paraId="2044E72C">
            <w:pPr>
              <w:pStyle w:val="8"/>
              <w:spacing w:before="58" w:line="220" w:lineRule="auto"/>
              <w:ind w:left="10"/>
            </w:pPr>
            <w:r>
              <w:rPr>
                <w:spacing w:val="-2"/>
              </w:rPr>
              <w:t>行政处罚</w:t>
            </w:r>
          </w:p>
        </w:tc>
        <w:tc>
          <w:tcPr>
            <w:tcW w:w="8549" w:type="dxa"/>
            <w:vAlign w:val="top"/>
          </w:tcPr>
          <w:p w14:paraId="690F5024">
            <w:pPr>
              <w:spacing w:line="306" w:lineRule="auto"/>
              <w:rPr>
                <w:rFonts w:ascii="Arial"/>
                <w:sz w:val="21"/>
              </w:rPr>
            </w:pPr>
          </w:p>
          <w:p w14:paraId="60FFCE28">
            <w:pPr>
              <w:pStyle w:val="8"/>
              <w:spacing w:before="58" w:line="219" w:lineRule="auto"/>
              <w:ind w:left="476"/>
            </w:pPr>
            <w:r>
              <w:rPr>
                <w:b/>
                <w:bCs/>
                <w:spacing w:val="-3"/>
              </w:rPr>
              <w:t>《建设工程安全生产管理条例》</w:t>
            </w:r>
          </w:p>
          <w:p w14:paraId="38780CAB">
            <w:pPr>
              <w:pStyle w:val="8"/>
              <w:spacing w:before="26" w:line="233" w:lineRule="auto"/>
              <w:ind w:left="113" w:right="159" w:firstLine="357"/>
            </w:pPr>
            <w:r>
              <w:t>第十四条第一款  工程监理单位应当审查施工组织设计中的安全技术措施或者专</w:t>
            </w:r>
            <w:r>
              <w:rPr>
                <w:spacing w:val="-1"/>
              </w:rPr>
              <w:t>项施工方案是否符合</w:t>
            </w:r>
            <w:r>
              <w:t xml:space="preserve"> </w:t>
            </w:r>
            <w:r>
              <w:rPr>
                <w:spacing w:val="-4"/>
              </w:rPr>
              <w:t>工程建设强制性标准。</w:t>
            </w:r>
          </w:p>
          <w:p w14:paraId="69E965C2">
            <w:pPr>
              <w:pStyle w:val="8"/>
              <w:spacing w:before="28" w:line="241" w:lineRule="auto"/>
              <w:ind w:left="110" w:right="159" w:firstLine="360"/>
            </w:pPr>
            <w:r>
              <w:t>第五十七条  违反本条例的规定，工程监理单位有下列行为之一的，责令限期改</w:t>
            </w:r>
            <w:r>
              <w:rPr>
                <w:spacing w:val="-1"/>
              </w:rPr>
              <w:t>正；逾期未改正的，</w:t>
            </w:r>
            <w:r>
              <w:t xml:space="preserve"> </w:t>
            </w:r>
            <w:r>
              <w:rPr>
                <w:spacing w:val="-2"/>
              </w:rPr>
              <w:t>责令停业整顿，并处 10</w:t>
            </w:r>
            <w:r>
              <w:rPr>
                <w:spacing w:val="-24"/>
              </w:rPr>
              <w:t xml:space="preserve"> </w:t>
            </w:r>
            <w:r>
              <w:rPr>
                <w:spacing w:val="-2"/>
              </w:rPr>
              <w:t>万元以上</w:t>
            </w:r>
            <w:r>
              <w:rPr>
                <w:spacing w:val="-34"/>
              </w:rPr>
              <w:t xml:space="preserve"> </w:t>
            </w:r>
            <w:r>
              <w:rPr>
                <w:spacing w:val="-2"/>
              </w:rPr>
              <w:t>30</w:t>
            </w:r>
            <w:r>
              <w:rPr>
                <w:spacing w:val="-34"/>
              </w:rPr>
              <w:t xml:space="preserve"> </w:t>
            </w:r>
            <w:r>
              <w:rPr>
                <w:spacing w:val="-2"/>
              </w:rPr>
              <w:t>万元以下的罚款；情节严重的，降低资质等级，直至吊销资质证书；</w:t>
            </w:r>
            <w:r>
              <w:t xml:space="preserve"> 造成重大安全事故，构成犯罪的，对直接责任人员，依照刑法有关规定追究刑事责任；</w:t>
            </w:r>
            <w:r>
              <w:rPr>
                <w:spacing w:val="-1"/>
              </w:rPr>
              <w:t>造成损失的，依法</w:t>
            </w:r>
            <w:r>
              <w:t xml:space="preserve"> 承担赔偿责任</w:t>
            </w:r>
            <w:r>
              <w:rPr>
                <w:spacing w:val="-2"/>
              </w:rPr>
              <w:t>：（</w:t>
            </w:r>
            <w:r>
              <w:t>一）未对施工组织设计中的安全技术措施或者专项施工方案</w:t>
            </w:r>
            <w:r>
              <w:rPr>
                <w:spacing w:val="-1"/>
              </w:rPr>
              <w:t>进行审查的</w:t>
            </w:r>
            <w:r>
              <w:rPr>
                <w:spacing w:val="-2"/>
              </w:rPr>
              <w:t>；（</w:t>
            </w:r>
            <w:r>
              <w:rPr>
                <w:spacing w:val="-1"/>
              </w:rPr>
              <w:t>二）发现安</w:t>
            </w:r>
            <w:r>
              <w:t xml:space="preserve"> 全事故隐患未及时要求施工单位整改或者暂时停止施工的；（三）施工单位拒不整改或</w:t>
            </w:r>
            <w:r>
              <w:rPr>
                <w:spacing w:val="-1"/>
              </w:rPr>
              <w:t>者不停止施工，未</w:t>
            </w:r>
            <w:r>
              <w:t xml:space="preserve"> </w:t>
            </w:r>
            <w:r>
              <w:rPr>
                <w:spacing w:val="-1"/>
              </w:rPr>
              <w:t>及时向有关主管部门报告的</w:t>
            </w:r>
            <w:r>
              <w:rPr>
                <w:spacing w:val="2"/>
              </w:rPr>
              <w:t>；（</w:t>
            </w:r>
            <w:r>
              <w:rPr>
                <w:spacing w:val="-1"/>
              </w:rPr>
              <w:t>四）未依照法律、法规和工程建设强制性标准实施监理的。</w:t>
            </w:r>
          </w:p>
        </w:tc>
        <w:tc>
          <w:tcPr>
            <w:tcW w:w="1014" w:type="dxa"/>
            <w:vAlign w:val="top"/>
          </w:tcPr>
          <w:p w14:paraId="0919AC2B">
            <w:pPr>
              <w:spacing w:line="285" w:lineRule="auto"/>
              <w:rPr>
                <w:rFonts w:ascii="Arial"/>
                <w:sz w:val="21"/>
              </w:rPr>
            </w:pPr>
          </w:p>
          <w:p w14:paraId="2CEE16D4">
            <w:pPr>
              <w:spacing w:line="285" w:lineRule="auto"/>
              <w:rPr>
                <w:rFonts w:ascii="Arial"/>
                <w:sz w:val="21"/>
              </w:rPr>
            </w:pPr>
          </w:p>
          <w:p w14:paraId="58B0ACEA">
            <w:pPr>
              <w:spacing w:line="285" w:lineRule="auto"/>
              <w:rPr>
                <w:rFonts w:ascii="Arial"/>
                <w:sz w:val="21"/>
              </w:rPr>
            </w:pPr>
          </w:p>
          <w:p w14:paraId="3223B8C5">
            <w:pPr>
              <w:spacing w:line="285" w:lineRule="auto"/>
              <w:rPr>
                <w:rFonts w:ascii="Arial"/>
                <w:sz w:val="21"/>
              </w:rPr>
            </w:pPr>
          </w:p>
          <w:p w14:paraId="7FC0ECF6">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0E3CEEB1">
            <w:pPr>
              <w:spacing w:line="285" w:lineRule="auto"/>
              <w:rPr>
                <w:rFonts w:ascii="Arial"/>
                <w:sz w:val="21"/>
              </w:rPr>
            </w:pPr>
          </w:p>
          <w:p w14:paraId="30127B3D">
            <w:pPr>
              <w:spacing w:line="285" w:lineRule="auto"/>
              <w:rPr>
                <w:rFonts w:ascii="Arial"/>
                <w:sz w:val="21"/>
              </w:rPr>
            </w:pPr>
          </w:p>
          <w:p w14:paraId="0F4DB1DD">
            <w:pPr>
              <w:spacing w:line="285" w:lineRule="auto"/>
              <w:rPr>
                <w:rFonts w:ascii="Arial"/>
                <w:sz w:val="21"/>
              </w:rPr>
            </w:pPr>
          </w:p>
          <w:p w14:paraId="21A1529D">
            <w:pPr>
              <w:spacing w:line="285" w:lineRule="auto"/>
              <w:rPr>
                <w:rFonts w:ascii="Arial"/>
                <w:sz w:val="21"/>
              </w:rPr>
            </w:pPr>
          </w:p>
          <w:p w14:paraId="7A89B4FA">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5C8D8AB">
            <w:pPr>
              <w:spacing w:line="301" w:lineRule="auto"/>
              <w:rPr>
                <w:rFonts w:ascii="Arial"/>
                <w:sz w:val="21"/>
              </w:rPr>
            </w:pPr>
          </w:p>
          <w:p w14:paraId="3AF45BEB">
            <w:pPr>
              <w:spacing w:line="301" w:lineRule="auto"/>
              <w:rPr>
                <w:rFonts w:ascii="Arial"/>
                <w:sz w:val="21"/>
              </w:rPr>
            </w:pPr>
          </w:p>
          <w:p w14:paraId="1AD22763">
            <w:pPr>
              <w:spacing w:line="301" w:lineRule="auto"/>
              <w:rPr>
                <w:rFonts w:ascii="Arial"/>
                <w:sz w:val="21"/>
              </w:rPr>
            </w:pPr>
          </w:p>
          <w:p w14:paraId="7C841E31">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216F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5" w:hRule="atLeast"/>
        </w:trPr>
        <w:tc>
          <w:tcPr>
            <w:tcW w:w="624" w:type="dxa"/>
            <w:vAlign w:val="top"/>
          </w:tcPr>
          <w:p w14:paraId="52B59B9E">
            <w:pPr>
              <w:spacing w:line="260" w:lineRule="auto"/>
              <w:rPr>
                <w:rFonts w:ascii="Arial"/>
                <w:sz w:val="21"/>
              </w:rPr>
            </w:pPr>
          </w:p>
          <w:p w14:paraId="29AD6589">
            <w:pPr>
              <w:spacing w:line="260" w:lineRule="auto"/>
              <w:rPr>
                <w:rFonts w:ascii="Arial"/>
                <w:sz w:val="21"/>
              </w:rPr>
            </w:pPr>
          </w:p>
          <w:p w14:paraId="1CF38FB8">
            <w:pPr>
              <w:spacing w:line="260" w:lineRule="auto"/>
              <w:rPr>
                <w:rFonts w:ascii="Arial"/>
                <w:sz w:val="21"/>
              </w:rPr>
            </w:pPr>
          </w:p>
          <w:p w14:paraId="42AA354A">
            <w:pPr>
              <w:spacing w:line="261" w:lineRule="auto"/>
              <w:rPr>
                <w:rFonts w:ascii="Arial"/>
                <w:sz w:val="21"/>
              </w:rPr>
            </w:pPr>
          </w:p>
          <w:p w14:paraId="3AEADB1C">
            <w:pPr>
              <w:spacing w:line="261" w:lineRule="auto"/>
              <w:rPr>
                <w:rFonts w:ascii="Arial"/>
                <w:sz w:val="21"/>
              </w:rPr>
            </w:pPr>
          </w:p>
          <w:p w14:paraId="0D3D2116">
            <w:pPr>
              <w:pStyle w:val="8"/>
              <w:spacing w:before="59" w:line="183" w:lineRule="auto"/>
              <w:ind w:left="234"/>
            </w:pPr>
            <w:r>
              <w:rPr>
                <w:spacing w:val="-6"/>
              </w:rPr>
              <w:t>33</w:t>
            </w:r>
          </w:p>
        </w:tc>
        <w:tc>
          <w:tcPr>
            <w:tcW w:w="1104" w:type="dxa"/>
            <w:vAlign w:val="top"/>
          </w:tcPr>
          <w:p w14:paraId="27A440E0">
            <w:pPr>
              <w:spacing w:line="442" w:lineRule="auto"/>
              <w:rPr>
                <w:rFonts w:ascii="Arial"/>
                <w:sz w:val="21"/>
              </w:rPr>
            </w:pPr>
          </w:p>
          <w:p w14:paraId="08947474">
            <w:pPr>
              <w:pStyle w:val="8"/>
              <w:spacing w:before="58" w:line="243" w:lineRule="auto"/>
              <w:ind w:left="60" w:right="56"/>
              <w:jc w:val="both"/>
            </w:pPr>
            <w:r>
              <w:rPr>
                <w:spacing w:val="16"/>
              </w:rPr>
              <w:t>对交通运输</w:t>
            </w:r>
            <w:r>
              <w:rPr>
                <w:spacing w:val="1"/>
              </w:rPr>
              <w:t xml:space="preserve"> </w:t>
            </w:r>
            <w:r>
              <w:rPr>
                <w:spacing w:val="16"/>
              </w:rPr>
              <w:t>领域注册执</w:t>
            </w:r>
            <w:r>
              <w:rPr>
                <w:spacing w:val="1"/>
              </w:rPr>
              <w:t xml:space="preserve"> </w:t>
            </w:r>
            <w:r>
              <w:rPr>
                <w:spacing w:val="8"/>
              </w:rPr>
              <w:t>业人</w:t>
            </w:r>
            <w:r>
              <w:rPr>
                <w:spacing w:val="-49"/>
              </w:rPr>
              <w:t xml:space="preserve"> </w:t>
            </w:r>
            <w:r>
              <w:rPr>
                <w:spacing w:val="8"/>
              </w:rPr>
              <w:t>员未执</w:t>
            </w:r>
            <w:r>
              <w:t xml:space="preserve"> </w:t>
            </w:r>
            <w:r>
              <w:rPr>
                <w:spacing w:val="-17"/>
              </w:rPr>
              <w:t>行法律、法规</w:t>
            </w:r>
            <w:r>
              <w:rPr>
                <w:spacing w:val="3"/>
              </w:rPr>
              <w:t xml:space="preserve"> </w:t>
            </w:r>
            <w:r>
              <w:rPr>
                <w:spacing w:val="16"/>
              </w:rPr>
              <w:t>和工程建设</w:t>
            </w:r>
            <w:r>
              <w:rPr>
                <w:spacing w:val="1"/>
              </w:rPr>
              <w:t xml:space="preserve"> </w:t>
            </w:r>
            <w:r>
              <w:rPr>
                <w:spacing w:val="16"/>
              </w:rPr>
              <w:t>强制性标准</w:t>
            </w:r>
            <w:r>
              <w:rPr>
                <w:spacing w:val="1"/>
              </w:rPr>
              <w:t xml:space="preserve"> </w:t>
            </w:r>
            <w:r>
              <w:rPr>
                <w:spacing w:val="7"/>
              </w:rPr>
              <w:t>行为</w:t>
            </w:r>
            <w:r>
              <w:rPr>
                <w:spacing w:val="-44"/>
              </w:rPr>
              <w:t xml:space="preserve"> </w:t>
            </w:r>
            <w:r>
              <w:rPr>
                <w:spacing w:val="7"/>
              </w:rPr>
              <w:t>的行政</w:t>
            </w:r>
            <w:r>
              <w:t xml:space="preserve"> </w:t>
            </w:r>
            <w:r>
              <w:rPr>
                <w:spacing w:val="-2"/>
              </w:rPr>
              <w:t>处罚</w:t>
            </w:r>
          </w:p>
        </w:tc>
        <w:tc>
          <w:tcPr>
            <w:tcW w:w="1104" w:type="dxa"/>
            <w:vAlign w:val="top"/>
          </w:tcPr>
          <w:p w14:paraId="15FF281D">
            <w:pPr>
              <w:spacing w:line="254" w:lineRule="auto"/>
              <w:rPr>
                <w:rFonts w:ascii="Arial"/>
                <w:sz w:val="21"/>
              </w:rPr>
            </w:pPr>
          </w:p>
          <w:p w14:paraId="630FC413">
            <w:pPr>
              <w:spacing w:line="255" w:lineRule="auto"/>
              <w:rPr>
                <w:rFonts w:ascii="Arial"/>
                <w:sz w:val="21"/>
              </w:rPr>
            </w:pPr>
          </w:p>
          <w:p w14:paraId="1F32785F">
            <w:pPr>
              <w:spacing w:line="255" w:lineRule="auto"/>
              <w:rPr>
                <w:rFonts w:ascii="Arial"/>
                <w:sz w:val="21"/>
              </w:rPr>
            </w:pPr>
          </w:p>
          <w:p w14:paraId="7766ED21">
            <w:pPr>
              <w:spacing w:line="255" w:lineRule="auto"/>
              <w:rPr>
                <w:rFonts w:ascii="Arial"/>
                <w:sz w:val="21"/>
              </w:rPr>
            </w:pPr>
          </w:p>
          <w:p w14:paraId="3A1B1806">
            <w:pPr>
              <w:spacing w:line="255" w:lineRule="auto"/>
              <w:rPr>
                <w:rFonts w:ascii="Arial"/>
                <w:sz w:val="21"/>
              </w:rPr>
            </w:pPr>
          </w:p>
          <w:p w14:paraId="39937D90">
            <w:pPr>
              <w:pStyle w:val="8"/>
              <w:spacing w:before="58" w:line="220" w:lineRule="auto"/>
              <w:ind w:left="10"/>
            </w:pPr>
            <w:r>
              <w:rPr>
                <w:spacing w:val="-2"/>
              </w:rPr>
              <w:t>行政处罚</w:t>
            </w:r>
          </w:p>
        </w:tc>
        <w:tc>
          <w:tcPr>
            <w:tcW w:w="8549" w:type="dxa"/>
            <w:vAlign w:val="top"/>
          </w:tcPr>
          <w:p w14:paraId="2F32A40F">
            <w:pPr>
              <w:pStyle w:val="8"/>
              <w:spacing w:before="140" w:line="219" w:lineRule="auto"/>
              <w:ind w:left="476"/>
            </w:pPr>
            <w:r>
              <w:rPr>
                <w:b/>
                <w:bCs/>
                <w:spacing w:val="-3"/>
              </w:rPr>
              <w:t>《建设工程安全生产管理条例》</w:t>
            </w:r>
          </w:p>
          <w:p w14:paraId="52B8B11E">
            <w:pPr>
              <w:pStyle w:val="8"/>
              <w:spacing w:before="25" w:line="233" w:lineRule="auto"/>
              <w:ind w:left="114" w:right="159" w:firstLine="357"/>
            </w:pPr>
            <w:r>
              <w:t>第十三条第一款第四款  设计单位应当按照法律、法规和工程建设强制性标准进</w:t>
            </w:r>
            <w:r>
              <w:rPr>
                <w:spacing w:val="-1"/>
              </w:rPr>
              <w:t>行设计，防止因设计</w:t>
            </w:r>
            <w:r>
              <w:t xml:space="preserve"> </w:t>
            </w:r>
            <w:r>
              <w:rPr>
                <w:spacing w:val="-3"/>
              </w:rPr>
              <w:t>不合理导致生产安全事故的发生。</w:t>
            </w:r>
          </w:p>
          <w:p w14:paraId="7FA6F502">
            <w:pPr>
              <w:pStyle w:val="8"/>
              <w:spacing w:before="26" w:line="219" w:lineRule="auto"/>
              <w:ind w:left="474"/>
            </w:pPr>
            <w:r>
              <w:rPr>
                <w:spacing w:val="-2"/>
              </w:rPr>
              <w:t>设计单位和注册建筑师等注册执业人员应当对其设计负责。</w:t>
            </w:r>
          </w:p>
          <w:p w14:paraId="69E33CBA">
            <w:pPr>
              <w:pStyle w:val="8"/>
              <w:spacing w:before="25" w:line="233" w:lineRule="auto"/>
              <w:ind w:left="116" w:right="159" w:firstLine="354"/>
            </w:pPr>
            <w:r>
              <w:t>第十四条第一款第三款  工程监理单位应当审查施工组织设计中的安全技术措施</w:t>
            </w:r>
            <w:r>
              <w:rPr>
                <w:spacing w:val="-1"/>
              </w:rPr>
              <w:t>或者专项施工方案是</w:t>
            </w:r>
            <w:r>
              <w:t xml:space="preserve"> </w:t>
            </w:r>
            <w:r>
              <w:rPr>
                <w:spacing w:val="-3"/>
              </w:rPr>
              <w:t>否符合工程建设强制性标准。</w:t>
            </w:r>
          </w:p>
          <w:p w14:paraId="7CBF0634">
            <w:pPr>
              <w:pStyle w:val="8"/>
              <w:spacing w:before="26" w:line="233" w:lineRule="auto"/>
              <w:ind w:left="112" w:right="159" w:firstLine="360"/>
            </w:pPr>
            <w:r>
              <w:t>工程监理单位和监理工程师应当按照法律、法规和工程建设强制性标准实施</w:t>
            </w:r>
            <w:r>
              <w:rPr>
                <w:spacing w:val="-1"/>
              </w:rPr>
              <w:t>监理，并对建设工程安全</w:t>
            </w:r>
            <w:r>
              <w:t xml:space="preserve"> </w:t>
            </w:r>
            <w:r>
              <w:rPr>
                <w:spacing w:val="-4"/>
              </w:rPr>
              <w:t>生产承担监理责任。</w:t>
            </w:r>
          </w:p>
          <w:p w14:paraId="4127EAD1">
            <w:pPr>
              <w:pStyle w:val="8"/>
              <w:spacing w:before="26" w:line="237" w:lineRule="auto"/>
              <w:ind w:left="111" w:right="104" w:firstLine="359"/>
            </w:pPr>
            <w:r>
              <w:rPr>
                <w:spacing w:val="-1"/>
              </w:rPr>
              <w:t>第五十八条  注册执业人员未执行法律、法规和工程建设强制性标准的，责令停止执业</w:t>
            </w:r>
            <w:r>
              <w:rPr>
                <w:spacing w:val="-33"/>
              </w:rPr>
              <w:t xml:space="preserve"> </w:t>
            </w:r>
            <w:r>
              <w:rPr>
                <w:spacing w:val="-1"/>
              </w:rPr>
              <w:t>3</w:t>
            </w:r>
            <w:r>
              <w:rPr>
                <w:spacing w:val="-39"/>
              </w:rPr>
              <w:t xml:space="preserve"> </w:t>
            </w:r>
            <w:r>
              <w:rPr>
                <w:spacing w:val="-1"/>
              </w:rPr>
              <w:t>个月以</w:t>
            </w:r>
            <w:r>
              <w:rPr>
                <w:spacing w:val="-2"/>
              </w:rPr>
              <w:t>上</w:t>
            </w:r>
            <w:r>
              <w:rPr>
                <w:spacing w:val="-24"/>
              </w:rPr>
              <w:t xml:space="preserve"> </w:t>
            </w:r>
            <w:r>
              <w:rPr>
                <w:spacing w:val="-2"/>
              </w:rPr>
              <w:t>1</w:t>
            </w:r>
            <w:r>
              <w:t xml:space="preserve">  </w:t>
            </w:r>
            <w:r>
              <w:rPr>
                <w:spacing w:val="-2"/>
              </w:rPr>
              <w:t>年以下；情节严重的，吊销执业资格证书，5</w:t>
            </w:r>
            <w:r>
              <w:rPr>
                <w:spacing w:val="-38"/>
              </w:rPr>
              <w:t xml:space="preserve"> </w:t>
            </w:r>
            <w:r>
              <w:rPr>
                <w:spacing w:val="-2"/>
              </w:rPr>
              <w:t>年内不予注册；造成重大安全事故的，终身不予注册；构</w:t>
            </w:r>
            <w:r>
              <w:rPr>
                <w:spacing w:val="-3"/>
              </w:rPr>
              <w:t>成犯</w:t>
            </w:r>
            <w:r>
              <w:t xml:space="preserve"> </w:t>
            </w:r>
            <w:r>
              <w:rPr>
                <w:spacing w:val="-2"/>
              </w:rPr>
              <w:t>罪的，依照刑法有关规定追究刑事责任。</w:t>
            </w:r>
          </w:p>
        </w:tc>
        <w:tc>
          <w:tcPr>
            <w:tcW w:w="1014" w:type="dxa"/>
            <w:vAlign w:val="top"/>
          </w:tcPr>
          <w:p w14:paraId="0149695D">
            <w:pPr>
              <w:spacing w:line="288" w:lineRule="auto"/>
              <w:rPr>
                <w:rFonts w:ascii="Arial"/>
                <w:sz w:val="21"/>
              </w:rPr>
            </w:pPr>
          </w:p>
          <w:p w14:paraId="605CED20">
            <w:pPr>
              <w:spacing w:line="288" w:lineRule="auto"/>
              <w:rPr>
                <w:rFonts w:ascii="Arial"/>
                <w:sz w:val="21"/>
              </w:rPr>
            </w:pPr>
          </w:p>
          <w:p w14:paraId="719AD087">
            <w:pPr>
              <w:spacing w:line="289" w:lineRule="auto"/>
              <w:rPr>
                <w:rFonts w:ascii="Arial"/>
                <w:sz w:val="21"/>
              </w:rPr>
            </w:pPr>
          </w:p>
          <w:p w14:paraId="23264B05">
            <w:pPr>
              <w:spacing w:line="289" w:lineRule="auto"/>
              <w:rPr>
                <w:rFonts w:ascii="Arial"/>
                <w:sz w:val="21"/>
              </w:rPr>
            </w:pPr>
          </w:p>
          <w:p w14:paraId="21095CF1">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0451B1C1">
            <w:pPr>
              <w:spacing w:line="288" w:lineRule="auto"/>
              <w:rPr>
                <w:rFonts w:ascii="Arial"/>
                <w:sz w:val="21"/>
              </w:rPr>
            </w:pPr>
          </w:p>
          <w:p w14:paraId="76A2DFF8">
            <w:pPr>
              <w:spacing w:line="288" w:lineRule="auto"/>
              <w:rPr>
                <w:rFonts w:ascii="Arial"/>
                <w:sz w:val="21"/>
              </w:rPr>
            </w:pPr>
          </w:p>
          <w:p w14:paraId="2FE0ACE7">
            <w:pPr>
              <w:spacing w:line="289" w:lineRule="auto"/>
              <w:rPr>
                <w:rFonts w:ascii="Arial"/>
                <w:sz w:val="21"/>
              </w:rPr>
            </w:pPr>
          </w:p>
          <w:p w14:paraId="4AC7FE6C">
            <w:pPr>
              <w:spacing w:line="289" w:lineRule="auto"/>
              <w:rPr>
                <w:rFonts w:ascii="Arial"/>
                <w:sz w:val="21"/>
              </w:rPr>
            </w:pPr>
          </w:p>
          <w:p w14:paraId="4B9D6B80">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31BCE81">
            <w:pPr>
              <w:spacing w:line="305" w:lineRule="auto"/>
              <w:rPr>
                <w:rFonts w:ascii="Arial"/>
                <w:sz w:val="21"/>
              </w:rPr>
            </w:pPr>
          </w:p>
          <w:p w14:paraId="58BBB4BB">
            <w:pPr>
              <w:spacing w:line="306" w:lineRule="auto"/>
              <w:rPr>
                <w:rFonts w:ascii="Arial"/>
                <w:sz w:val="21"/>
              </w:rPr>
            </w:pPr>
          </w:p>
          <w:p w14:paraId="13A2471F">
            <w:pPr>
              <w:spacing w:line="306" w:lineRule="auto"/>
              <w:rPr>
                <w:rFonts w:ascii="Arial"/>
                <w:sz w:val="21"/>
              </w:rPr>
            </w:pPr>
          </w:p>
          <w:p w14:paraId="53D8C613">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7C4C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6" w:hRule="atLeast"/>
        </w:trPr>
        <w:tc>
          <w:tcPr>
            <w:tcW w:w="624" w:type="dxa"/>
            <w:vAlign w:val="top"/>
          </w:tcPr>
          <w:p w14:paraId="59F65B86">
            <w:pPr>
              <w:spacing w:line="283" w:lineRule="auto"/>
              <w:rPr>
                <w:rFonts w:ascii="Arial"/>
                <w:sz w:val="21"/>
              </w:rPr>
            </w:pPr>
          </w:p>
          <w:p w14:paraId="68FCCF96">
            <w:pPr>
              <w:spacing w:line="283" w:lineRule="auto"/>
              <w:rPr>
                <w:rFonts w:ascii="Arial"/>
                <w:sz w:val="21"/>
              </w:rPr>
            </w:pPr>
          </w:p>
          <w:p w14:paraId="6F15C669">
            <w:pPr>
              <w:spacing w:line="284" w:lineRule="auto"/>
              <w:rPr>
                <w:rFonts w:ascii="Arial"/>
                <w:sz w:val="21"/>
              </w:rPr>
            </w:pPr>
          </w:p>
          <w:p w14:paraId="662AEB6B">
            <w:pPr>
              <w:spacing w:line="284" w:lineRule="auto"/>
              <w:rPr>
                <w:rFonts w:ascii="Arial"/>
                <w:sz w:val="21"/>
              </w:rPr>
            </w:pPr>
          </w:p>
          <w:p w14:paraId="111EE4FC">
            <w:pPr>
              <w:spacing w:line="284" w:lineRule="auto"/>
              <w:rPr>
                <w:rFonts w:ascii="Arial"/>
                <w:sz w:val="21"/>
              </w:rPr>
            </w:pPr>
          </w:p>
          <w:p w14:paraId="4A022AE6">
            <w:pPr>
              <w:pStyle w:val="8"/>
              <w:spacing w:before="58" w:line="183" w:lineRule="auto"/>
              <w:ind w:left="234"/>
            </w:pPr>
            <w:r>
              <w:rPr>
                <w:spacing w:val="-6"/>
              </w:rPr>
              <w:t>34</w:t>
            </w:r>
          </w:p>
        </w:tc>
        <w:tc>
          <w:tcPr>
            <w:tcW w:w="1104" w:type="dxa"/>
            <w:vAlign w:val="top"/>
          </w:tcPr>
          <w:p w14:paraId="6E1C7B2A">
            <w:pPr>
              <w:pStyle w:val="8"/>
              <w:spacing w:before="140" w:line="244"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域建设工程</w:t>
            </w:r>
            <w:r>
              <w:rPr>
                <w:spacing w:val="1"/>
              </w:rPr>
              <w:t xml:space="preserve"> </w:t>
            </w:r>
            <w:r>
              <w:rPr>
                <w:spacing w:val="16"/>
              </w:rPr>
              <w:t>施工单位挪</w:t>
            </w:r>
            <w:r>
              <w:rPr>
                <w:spacing w:val="1"/>
              </w:rPr>
              <w:t xml:space="preserve"> </w:t>
            </w:r>
            <w:r>
              <w:rPr>
                <w:spacing w:val="16"/>
              </w:rPr>
              <w:t>用列入建设</w:t>
            </w:r>
            <w:r>
              <w:rPr>
                <w:spacing w:val="1"/>
              </w:rPr>
              <w:t xml:space="preserve"> </w:t>
            </w:r>
            <w:r>
              <w:rPr>
                <w:spacing w:val="16"/>
              </w:rPr>
              <w:t>工程概算的</w:t>
            </w:r>
            <w:r>
              <w:rPr>
                <w:spacing w:val="1"/>
              </w:rPr>
              <w:t xml:space="preserve"> </w:t>
            </w:r>
            <w:r>
              <w:rPr>
                <w:spacing w:val="16"/>
              </w:rPr>
              <w:t>安全生产作</w:t>
            </w:r>
            <w:r>
              <w:rPr>
                <w:spacing w:val="1"/>
              </w:rPr>
              <w:t xml:space="preserve"> </w:t>
            </w:r>
            <w:r>
              <w:rPr>
                <w:spacing w:val="16"/>
              </w:rPr>
              <w:t>业环境及安</w:t>
            </w:r>
            <w:r>
              <w:rPr>
                <w:spacing w:val="1"/>
              </w:rPr>
              <w:t xml:space="preserve"> </w:t>
            </w:r>
            <w:r>
              <w:rPr>
                <w:spacing w:val="16"/>
              </w:rPr>
              <w:t>全施工措施</w:t>
            </w:r>
            <w:r>
              <w:rPr>
                <w:spacing w:val="1"/>
              </w:rPr>
              <w:t xml:space="preserve"> </w:t>
            </w:r>
            <w:r>
              <w:rPr>
                <w:spacing w:val="8"/>
              </w:rPr>
              <w:t>所需</w:t>
            </w:r>
            <w:r>
              <w:rPr>
                <w:spacing w:val="-49"/>
              </w:rPr>
              <w:t xml:space="preserve"> </w:t>
            </w:r>
            <w:r>
              <w:rPr>
                <w:spacing w:val="8"/>
              </w:rPr>
              <w:t>费用行</w:t>
            </w:r>
            <w:r>
              <w:t xml:space="preserve"> </w:t>
            </w:r>
            <w:r>
              <w:rPr>
                <w:spacing w:val="16"/>
              </w:rPr>
              <w:t>为的行政处</w:t>
            </w:r>
            <w:r>
              <w:rPr>
                <w:spacing w:val="1"/>
              </w:rPr>
              <w:t xml:space="preserve"> </w:t>
            </w:r>
            <w:r>
              <w:t>罚</w:t>
            </w:r>
          </w:p>
        </w:tc>
        <w:tc>
          <w:tcPr>
            <w:tcW w:w="1104" w:type="dxa"/>
            <w:vAlign w:val="top"/>
          </w:tcPr>
          <w:p w14:paraId="4B6EE095">
            <w:pPr>
              <w:spacing w:line="277" w:lineRule="auto"/>
              <w:rPr>
                <w:rFonts w:ascii="Arial"/>
                <w:sz w:val="21"/>
              </w:rPr>
            </w:pPr>
          </w:p>
          <w:p w14:paraId="2186475D">
            <w:pPr>
              <w:spacing w:line="278" w:lineRule="auto"/>
              <w:rPr>
                <w:rFonts w:ascii="Arial"/>
                <w:sz w:val="21"/>
              </w:rPr>
            </w:pPr>
          </w:p>
          <w:p w14:paraId="0B633FE8">
            <w:pPr>
              <w:spacing w:line="278" w:lineRule="auto"/>
              <w:rPr>
                <w:rFonts w:ascii="Arial"/>
                <w:sz w:val="21"/>
              </w:rPr>
            </w:pPr>
          </w:p>
          <w:p w14:paraId="3BF6DFD7">
            <w:pPr>
              <w:spacing w:line="278" w:lineRule="auto"/>
              <w:rPr>
                <w:rFonts w:ascii="Arial"/>
                <w:sz w:val="21"/>
              </w:rPr>
            </w:pPr>
          </w:p>
          <w:p w14:paraId="06DAA29E">
            <w:pPr>
              <w:spacing w:line="278" w:lineRule="auto"/>
              <w:rPr>
                <w:rFonts w:ascii="Arial"/>
                <w:sz w:val="21"/>
              </w:rPr>
            </w:pPr>
          </w:p>
          <w:p w14:paraId="2F9C2FB5">
            <w:pPr>
              <w:pStyle w:val="8"/>
              <w:spacing w:before="59" w:line="220" w:lineRule="auto"/>
              <w:ind w:left="10"/>
            </w:pPr>
            <w:r>
              <w:rPr>
                <w:spacing w:val="-2"/>
              </w:rPr>
              <w:t>行政处罚</w:t>
            </w:r>
          </w:p>
        </w:tc>
        <w:tc>
          <w:tcPr>
            <w:tcW w:w="8549" w:type="dxa"/>
            <w:vAlign w:val="top"/>
          </w:tcPr>
          <w:p w14:paraId="1C09AE48">
            <w:pPr>
              <w:spacing w:line="264" w:lineRule="auto"/>
              <w:rPr>
                <w:rFonts w:ascii="Arial"/>
                <w:sz w:val="21"/>
              </w:rPr>
            </w:pPr>
          </w:p>
          <w:p w14:paraId="4BF0C9CB">
            <w:pPr>
              <w:spacing w:line="264" w:lineRule="auto"/>
              <w:rPr>
                <w:rFonts w:ascii="Arial"/>
                <w:sz w:val="21"/>
              </w:rPr>
            </w:pPr>
          </w:p>
          <w:p w14:paraId="3E818347">
            <w:pPr>
              <w:spacing w:line="265" w:lineRule="auto"/>
              <w:rPr>
                <w:rFonts w:ascii="Arial"/>
                <w:sz w:val="21"/>
              </w:rPr>
            </w:pPr>
          </w:p>
          <w:p w14:paraId="717153CA">
            <w:pPr>
              <w:pStyle w:val="8"/>
              <w:spacing w:before="59" w:line="219" w:lineRule="auto"/>
              <w:ind w:left="476"/>
            </w:pPr>
            <w:r>
              <w:rPr>
                <w:b/>
                <w:bCs/>
                <w:spacing w:val="-3"/>
              </w:rPr>
              <w:t>《建设工程安全生产管理条例》</w:t>
            </w:r>
          </w:p>
          <w:p w14:paraId="219B169C">
            <w:pPr>
              <w:pStyle w:val="8"/>
              <w:spacing w:before="26" w:line="219" w:lineRule="auto"/>
              <w:ind w:left="471"/>
            </w:pPr>
            <w:r>
              <w:rPr>
                <w:spacing w:val="-1"/>
              </w:rPr>
              <w:t>第八条  建设单位在编制工程概算时，应当确定建设工程安全作业环境及安全施工措施所需费用。</w:t>
            </w:r>
          </w:p>
          <w:p w14:paraId="6F6745D2">
            <w:pPr>
              <w:pStyle w:val="8"/>
              <w:spacing w:before="25" w:line="233" w:lineRule="auto"/>
              <w:ind w:left="114" w:right="159" w:firstLine="356"/>
            </w:pPr>
            <w:r>
              <w:t>第二十二条  施工单位对列入建设工程概算的安全作业环境及安全施工措施所需</w:t>
            </w:r>
            <w:r>
              <w:rPr>
                <w:spacing w:val="-1"/>
              </w:rPr>
              <w:t>费用，应当用于施工</w:t>
            </w:r>
            <w:r>
              <w:t xml:space="preserve"> </w:t>
            </w:r>
            <w:r>
              <w:rPr>
                <w:spacing w:val="-1"/>
              </w:rPr>
              <w:t>安全防护用具及设施的采购和更新、安全施工措施的落实、安全生产条件的改善，不得挪作他用。</w:t>
            </w:r>
          </w:p>
          <w:p w14:paraId="5792EF19">
            <w:pPr>
              <w:pStyle w:val="8"/>
              <w:spacing w:before="25" w:line="233" w:lineRule="auto"/>
              <w:ind w:left="110" w:right="159" w:firstLine="360"/>
            </w:pPr>
            <w:r>
              <w:t>第六十三条  违反本条例的规定，施工单位挪用列入建设工程概算的安全生产作</w:t>
            </w:r>
            <w:r>
              <w:rPr>
                <w:spacing w:val="-1"/>
              </w:rPr>
              <w:t>业环境及安全施工措</w:t>
            </w:r>
            <w:r>
              <w:t xml:space="preserve"> </w:t>
            </w:r>
            <w:r>
              <w:rPr>
                <w:spacing w:val="-1"/>
              </w:rPr>
              <w:t>施所需费用的，责令限期改正，处挪用费用</w:t>
            </w:r>
            <w:r>
              <w:rPr>
                <w:spacing w:val="-35"/>
              </w:rPr>
              <w:t xml:space="preserve"> </w:t>
            </w:r>
            <w:r>
              <w:rPr>
                <w:spacing w:val="-1"/>
              </w:rPr>
              <w:t>20%以上</w:t>
            </w:r>
            <w:r>
              <w:rPr>
                <w:spacing w:val="-34"/>
              </w:rPr>
              <w:t xml:space="preserve"> </w:t>
            </w:r>
            <w:r>
              <w:rPr>
                <w:spacing w:val="-1"/>
              </w:rPr>
              <w:t>50%以下的罚款；造成损失的，依法</w:t>
            </w:r>
            <w:r>
              <w:rPr>
                <w:spacing w:val="-2"/>
              </w:rPr>
              <w:t>承担赔偿责任。</w:t>
            </w:r>
          </w:p>
        </w:tc>
        <w:tc>
          <w:tcPr>
            <w:tcW w:w="1014" w:type="dxa"/>
            <w:vAlign w:val="top"/>
          </w:tcPr>
          <w:p w14:paraId="53788C2F">
            <w:pPr>
              <w:spacing w:line="254" w:lineRule="auto"/>
              <w:rPr>
                <w:rFonts w:ascii="Arial"/>
                <w:sz w:val="21"/>
              </w:rPr>
            </w:pPr>
          </w:p>
          <w:p w14:paraId="1E38140F">
            <w:pPr>
              <w:spacing w:line="254" w:lineRule="auto"/>
              <w:rPr>
                <w:rFonts w:ascii="Arial"/>
                <w:sz w:val="21"/>
              </w:rPr>
            </w:pPr>
          </w:p>
          <w:p w14:paraId="2DE9D384">
            <w:pPr>
              <w:spacing w:line="254" w:lineRule="auto"/>
              <w:rPr>
                <w:rFonts w:ascii="Arial"/>
                <w:sz w:val="21"/>
              </w:rPr>
            </w:pPr>
          </w:p>
          <w:p w14:paraId="5B0C0A28">
            <w:pPr>
              <w:spacing w:line="254" w:lineRule="auto"/>
              <w:rPr>
                <w:rFonts w:ascii="Arial"/>
                <w:sz w:val="21"/>
              </w:rPr>
            </w:pPr>
          </w:p>
          <w:p w14:paraId="66C57320">
            <w:pPr>
              <w:spacing w:line="254" w:lineRule="auto"/>
              <w:rPr>
                <w:rFonts w:ascii="Arial"/>
                <w:sz w:val="21"/>
              </w:rPr>
            </w:pPr>
          </w:p>
          <w:p w14:paraId="45BCDDD9">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0C588EAF">
            <w:pPr>
              <w:spacing w:line="254" w:lineRule="auto"/>
              <w:rPr>
                <w:rFonts w:ascii="Arial"/>
                <w:sz w:val="21"/>
              </w:rPr>
            </w:pPr>
          </w:p>
          <w:p w14:paraId="5DCB2A45">
            <w:pPr>
              <w:spacing w:line="254" w:lineRule="auto"/>
              <w:rPr>
                <w:rFonts w:ascii="Arial"/>
                <w:sz w:val="21"/>
              </w:rPr>
            </w:pPr>
          </w:p>
          <w:p w14:paraId="3A9C2D46">
            <w:pPr>
              <w:spacing w:line="254" w:lineRule="auto"/>
              <w:rPr>
                <w:rFonts w:ascii="Arial"/>
                <w:sz w:val="21"/>
              </w:rPr>
            </w:pPr>
          </w:p>
          <w:p w14:paraId="5ECA9D1E">
            <w:pPr>
              <w:spacing w:line="254" w:lineRule="auto"/>
              <w:rPr>
                <w:rFonts w:ascii="Arial"/>
                <w:sz w:val="21"/>
              </w:rPr>
            </w:pPr>
          </w:p>
          <w:p w14:paraId="59F55C23">
            <w:pPr>
              <w:spacing w:line="254" w:lineRule="auto"/>
              <w:rPr>
                <w:rFonts w:ascii="Arial"/>
                <w:sz w:val="21"/>
              </w:rPr>
            </w:pPr>
          </w:p>
          <w:p w14:paraId="63E1B145">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EBD8935">
            <w:pPr>
              <w:spacing w:line="258" w:lineRule="auto"/>
              <w:rPr>
                <w:rFonts w:ascii="Arial"/>
                <w:sz w:val="21"/>
              </w:rPr>
            </w:pPr>
          </w:p>
          <w:p w14:paraId="619764E9">
            <w:pPr>
              <w:spacing w:line="258" w:lineRule="auto"/>
              <w:rPr>
                <w:rFonts w:ascii="Arial"/>
                <w:sz w:val="21"/>
              </w:rPr>
            </w:pPr>
          </w:p>
          <w:p w14:paraId="2AF4268B">
            <w:pPr>
              <w:spacing w:line="258" w:lineRule="auto"/>
              <w:rPr>
                <w:rFonts w:ascii="Arial"/>
                <w:sz w:val="21"/>
              </w:rPr>
            </w:pPr>
          </w:p>
          <w:p w14:paraId="576DF06B">
            <w:pPr>
              <w:spacing w:line="259" w:lineRule="auto"/>
              <w:rPr>
                <w:rFonts w:ascii="Arial"/>
                <w:sz w:val="21"/>
              </w:rPr>
            </w:pPr>
          </w:p>
          <w:p w14:paraId="381F87E7">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7D37F593">
      <w:pPr>
        <w:pStyle w:val="2"/>
      </w:pPr>
    </w:p>
    <w:p w14:paraId="4BC1374A">
      <w:pPr>
        <w:sectPr>
          <w:footerReference r:id="rId91" w:type="default"/>
          <w:pgSz w:w="16839" w:h="11906"/>
          <w:pgMar w:top="1012" w:right="991" w:bottom="967" w:left="1021" w:header="0" w:footer="768" w:gutter="0"/>
          <w:cols w:space="720" w:num="1"/>
        </w:sectPr>
      </w:pPr>
    </w:p>
    <w:p w14:paraId="0C6759D6">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11C6B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178CAC5F">
            <w:pPr>
              <w:pStyle w:val="8"/>
              <w:spacing w:before="267" w:line="221" w:lineRule="auto"/>
              <w:ind w:left="134"/>
            </w:pPr>
            <w:r>
              <w:rPr>
                <w:b/>
                <w:bCs/>
                <w:spacing w:val="-4"/>
              </w:rPr>
              <w:t>序号</w:t>
            </w:r>
          </w:p>
        </w:tc>
        <w:tc>
          <w:tcPr>
            <w:tcW w:w="1104" w:type="dxa"/>
            <w:vMerge w:val="restart"/>
            <w:tcBorders>
              <w:bottom w:val="nil"/>
            </w:tcBorders>
            <w:vAlign w:val="top"/>
          </w:tcPr>
          <w:p w14:paraId="30AC6A97">
            <w:pPr>
              <w:pStyle w:val="8"/>
              <w:spacing w:before="260" w:line="220" w:lineRule="auto"/>
              <w:ind w:left="192"/>
            </w:pPr>
            <w:r>
              <w:rPr>
                <w:b/>
                <w:bCs/>
                <w:spacing w:val="-4"/>
              </w:rPr>
              <w:t>事项名称</w:t>
            </w:r>
          </w:p>
        </w:tc>
        <w:tc>
          <w:tcPr>
            <w:tcW w:w="1104" w:type="dxa"/>
            <w:vMerge w:val="restart"/>
            <w:tcBorders>
              <w:bottom w:val="nil"/>
            </w:tcBorders>
            <w:vAlign w:val="top"/>
          </w:tcPr>
          <w:p w14:paraId="5E38E071">
            <w:pPr>
              <w:pStyle w:val="8"/>
              <w:spacing w:before="260" w:line="219" w:lineRule="auto"/>
              <w:ind w:left="193"/>
            </w:pPr>
            <w:r>
              <w:rPr>
                <w:b/>
                <w:bCs/>
                <w:spacing w:val="-4"/>
              </w:rPr>
              <w:t>职权类型</w:t>
            </w:r>
          </w:p>
        </w:tc>
        <w:tc>
          <w:tcPr>
            <w:tcW w:w="8549" w:type="dxa"/>
            <w:vMerge w:val="restart"/>
            <w:tcBorders>
              <w:bottom w:val="nil"/>
            </w:tcBorders>
            <w:vAlign w:val="top"/>
          </w:tcPr>
          <w:p w14:paraId="4900B162">
            <w:pPr>
              <w:pStyle w:val="8"/>
              <w:spacing w:before="259" w:line="219" w:lineRule="auto"/>
              <w:ind w:left="3921"/>
            </w:pPr>
            <w:r>
              <w:rPr>
                <w:b/>
                <w:bCs/>
                <w:spacing w:val="-5"/>
              </w:rPr>
              <w:t>实施依据</w:t>
            </w:r>
          </w:p>
        </w:tc>
        <w:tc>
          <w:tcPr>
            <w:tcW w:w="3439" w:type="dxa"/>
            <w:gridSpan w:val="3"/>
            <w:vAlign w:val="top"/>
          </w:tcPr>
          <w:p w14:paraId="0C6E8E7E">
            <w:pPr>
              <w:pStyle w:val="8"/>
              <w:spacing w:before="85" w:line="220" w:lineRule="auto"/>
              <w:ind w:left="1365"/>
            </w:pPr>
            <w:r>
              <w:rPr>
                <w:b/>
                <w:bCs/>
                <w:spacing w:val="-5"/>
              </w:rPr>
              <w:t>实施主体</w:t>
            </w:r>
          </w:p>
        </w:tc>
      </w:tr>
      <w:tr w14:paraId="096A9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09E3034">
            <w:pPr>
              <w:rPr>
                <w:rFonts w:ascii="Arial"/>
                <w:sz w:val="21"/>
              </w:rPr>
            </w:pPr>
          </w:p>
        </w:tc>
        <w:tc>
          <w:tcPr>
            <w:tcW w:w="1104" w:type="dxa"/>
            <w:vMerge w:val="continue"/>
            <w:tcBorders>
              <w:top w:val="nil"/>
            </w:tcBorders>
            <w:vAlign w:val="top"/>
          </w:tcPr>
          <w:p w14:paraId="5754F41E">
            <w:pPr>
              <w:rPr>
                <w:rFonts w:ascii="Arial"/>
                <w:sz w:val="21"/>
              </w:rPr>
            </w:pPr>
          </w:p>
        </w:tc>
        <w:tc>
          <w:tcPr>
            <w:tcW w:w="1104" w:type="dxa"/>
            <w:vMerge w:val="continue"/>
            <w:tcBorders>
              <w:top w:val="nil"/>
            </w:tcBorders>
            <w:vAlign w:val="top"/>
          </w:tcPr>
          <w:p w14:paraId="66C43C69">
            <w:pPr>
              <w:rPr>
                <w:rFonts w:ascii="Arial"/>
                <w:sz w:val="21"/>
              </w:rPr>
            </w:pPr>
          </w:p>
        </w:tc>
        <w:tc>
          <w:tcPr>
            <w:tcW w:w="8549" w:type="dxa"/>
            <w:vMerge w:val="continue"/>
            <w:tcBorders>
              <w:top w:val="nil"/>
            </w:tcBorders>
            <w:vAlign w:val="top"/>
          </w:tcPr>
          <w:p w14:paraId="0B016AC1">
            <w:pPr>
              <w:rPr>
                <w:rFonts w:ascii="Arial"/>
                <w:sz w:val="21"/>
              </w:rPr>
            </w:pPr>
          </w:p>
        </w:tc>
        <w:tc>
          <w:tcPr>
            <w:tcW w:w="1014" w:type="dxa"/>
            <w:vAlign w:val="top"/>
          </w:tcPr>
          <w:p w14:paraId="1E17E7E4">
            <w:pPr>
              <w:pStyle w:val="8"/>
              <w:spacing w:before="81" w:line="219" w:lineRule="auto"/>
              <w:ind w:left="158"/>
            </w:pPr>
            <w:r>
              <w:rPr>
                <w:b/>
                <w:bCs/>
                <w:spacing w:val="-5"/>
              </w:rPr>
              <w:t>责任部门</w:t>
            </w:r>
          </w:p>
        </w:tc>
        <w:tc>
          <w:tcPr>
            <w:tcW w:w="1407" w:type="dxa"/>
            <w:vAlign w:val="top"/>
          </w:tcPr>
          <w:p w14:paraId="4E61A604">
            <w:pPr>
              <w:pStyle w:val="8"/>
              <w:spacing w:before="81" w:line="219" w:lineRule="auto"/>
              <w:ind w:left="167"/>
            </w:pPr>
            <w:r>
              <w:rPr>
                <w:b/>
                <w:bCs/>
                <w:spacing w:val="-3"/>
              </w:rPr>
              <w:t>第一责任层级</w:t>
            </w:r>
          </w:p>
        </w:tc>
        <w:tc>
          <w:tcPr>
            <w:tcW w:w="1018" w:type="dxa"/>
            <w:vAlign w:val="top"/>
          </w:tcPr>
          <w:p w14:paraId="1E40D5F7">
            <w:pPr>
              <w:pStyle w:val="8"/>
              <w:spacing w:before="81" w:line="219" w:lineRule="auto"/>
              <w:ind w:left="152"/>
            </w:pPr>
            <w:r>
              <w:rPr>
                <w:b/>
                <w:bCs/>
                <w:spacing w:val="-4"/>
              </w:rPr>
              <w:t>承办机构</w:t>
            </w:r>
          </w:p>
        </w:tc>
      </w:tr>
      <w:tr w14:paraId="62E5E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624" w:type="dxa"/>
            <w:vAlign w:val="top"/>
          </w:tcPr>
          <w:p w14:paraId="5C9133DC">
            <w:pPr>
              <w:rPr>
                <w:rFonts w:ascii="Arial"/>
                <w:sz w:val="21"/>
              </w:rPr>
            </w:pPr>
          </w:p>
          <w:p w14:paraId="07057B8E">
            <w:pPr>
              <w:rPr>
                <w:rFonts w:ascii="Arial"/>
                <w:sz w:val="21"/>
              </w:rPr>
            </w:pPr>
          </w:p>
          <w:p w14:paraId="35EAECEB">
            <w:pPr>
              <w:rPr>
                <w:rFonts w:ascii="Arial"/>
                <w:sz w:val="21"/>
              </w:rPr>
            </w:pPr>
          </w:p>
          <w:p w14:paraId="69FE9052">
            <w:pPr>
              <w:rPr>
                <w:rFonts w:ascii="Arial"/>
                <w:sz w:val="21"/>
              </w:rPr>
            </w:pPr>
          </w:p>
          <w:p w14:paraId="4DCC1966">
            <w:pPr>
              <w:spacing w:line="241" w:lineRule="auto"/>
              <w:rPr>
                <w:rFonts w:ascii="Arial"/>
                <w:sz w:val="21"/>
              </w:rPr>
            </w:pPr>
          </w:p>
          <w:p w14:paraId="4171AA77">
            <w:pPr>
              <w:pStyle w:val="8"/>
              <w:spacing w:before="58" w:line="183" w:lineRule="auto"/>
              <w:ind w:left="234"/>
            </w:pPr>
            <w:r>
              <w:rPr>
                <w:spacing w:val="-6"/>
              </w:rPr>
              <w:t>35</w:t>
            </w:r>
          </w:p>
        </w:tc>
        <w:tc>
          <w:tcPr>
            <w:tcW w:w="1104" w:type="dxa"/>
            <w:vAlign w:val="top"/>
          </w:tcPr>
          <w:p w14:paraId="1408B0F0">
            <w:pPr>
              <w:pStyle w:val="8"/>
              <w:spacing w:before="281" w:line="243"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域施工单位</w:t>
            </w:r>
            <w:r>
              <w:rPr>
                <w:spacing w:val="1"/>
              </w:rPr>
              <w:t xml:space="preserve"> </w:t>
            </w:r>
            <w:r>
              <w:rPr>
                <w:spacing w:val="16"/>
              </w:rPr>
              <w:t>施工前未对</w:t>
            </w:r>
            <w:r>
              <w:rPr>
                <w:spacing w:val="1"/>
              </w:rPr>
              <w:t xml:space="preserve"> </w:t>
            </w:r>
            <w:r>
              <w:rPr>
                <w:spacing w:val="16"/>
              </w:rPr>
              <w:t>有关安全施</w:t>
            </w:r>
            <w:r>
              <w:rPr>
                <w:spacing w:val="1"/>
              </w:rPr>
              <w:t xml:space="preserve"> </w:t>
            </w:r>
            <w:r>
              <w:rPr>
                <w:spacing w:val="16"/>
              </w:rPr>
              <w:t>工的技术要</w:t>
            </w:r>
            <w:r>
              <w:rPr>
                <w:spacing w:val="1"/>
              </w:rPr>
              <w:t xml:space="preserve"> </w:t>
            </w:r>
            <w:r>
              <w:rPr>
                <w:spacing w:val="16"/>
              </w:rPr>
              <w:t>求作详细说</w:t>
            </w:r>
            <w:r>
              <w:rPr>
                <w:spacing w:val="1"/>
              </w:rPr>
              <w:t xml:space="preserve"> </w:t>
            </w:r>
            <w:r>
              <w:rPr>
                <w:spacing w:val="16"/>
              </w:rPr>
              <w:t>明等行为的</w:t>
            </w:r>
            <w:r>
              <w:rPr>
                <w:spacing w:val="1"/>
              </w:rPr>
              <w:t xml:space="preserve"> </w:t>
            </w:r>
            <w:r>
              <w:rPr>
                <w:spacing w:val="-2"/>
              </w:rPr>
              <w:t>行政处罚</w:t>
            </w:r>
          </w:p>
        </w:tc>
        <w:tc>
          <w:tcPr>
            <w:tcW w:w="1104" w:type="dxa"/>
            <w:vAlign w:val="top"/>
          </w:tcPr>
          <w:p w14:paraId="16CFC68A">
            <w:pPr>
              <w:spacing w:line="293" w:lineRule="auto"/>
              <w:rPr>
                <w:rFonts w:ascii="Arial"/>
                <w:sz w:val="21"/>
              </w:rPr>
            </w:pPr>
          </w:p>
          <w:p w14:paraId="1A412A19">
            <w:pPr>
              <w:spacing w:line="293" w:lineRule="auto"/>
              <w:rPr>
                <w:rFonts w:ascii="Arial"/>
                <w:sz w:val="21"/>
              </w:rPr>
            </w:pPr>
          </w:p>
          <w:p w14:paraId="6947C8F0">
            <w:pPr>
              <w:spacing w:line="293" w:lineRule="auto"/>
              <w:rPr>
                <w:rFonts w:ascii="Arial"/>
                <w:sz w:val="21"/>
              </w:rPr>
            </w:pPr>
          </w:p>
          <w:p w14:paraId="266C60FB">
            <w:pPr>
              <w:spacing w:line="293" w:lineRule="auto"/>
              <w:rPr>
                <w:rFonts w:ascii="Arial"/>
                <w:sz w:val="21"/>
              </w:rPr>
            </w:pPr>
          </w:p>
          <w:p w14:paraId="2CCCA92B">
            <w:pPr>
              <w:pStyle w:val="8"/>
              <w:spacing w:before="59" w:line="220" w:lineRule="auto"/>
              <w:ind w:left="10"/>
            </w:pPr>
            <w:r>
              <w:rPr>
                <w:spacing w:val="-2"/>
              </w:rPr>
              <w:t>行政处罚</w:t>
            </w:r>
          </w:p>
        </w:tc>
        <w:tc>
          <w:tcPr>
            <w:tcW w:w="8549" w:type="dxa"/>
            <w:vAlign w:val="top"/>
          </w:tcPr>
          <w:p w14:paraId="1C7B1861">
            <w:pPr>
              <w:pStyle w:val="8"/>
              <w:spacing w:before="38" w:line="219" w:lineRule="auto"/>
              <w:ind w:left="476"/>
            </w:pPr>
            <w:r>
              <w:rPr>
                <w:b/>
                <w:bCs/>
                <w:spacing w:val="-3"/>
              </w:rPr>
              <w:t>《建设工程安全生产管理条例》</w:t>
            </w:r>
          </w:p>
          <w:p w14:paraId="4CEF8CD9">
            <w:pPr>
              <w:pStyle w:val="8"/>
              <w:spacing w:before="25" w:line="233" w:lineRule="auto"/>
              <w:ind w:left="110" w:right="159" w:firstLine="360"/>
            </w:pPr>
            <w:r>
              <w:t>第二十七条  建设工程施工前，施工单位负责项目管理的技术人员应当对有关安</w:t>
            </w:r>
            <w:r>
              <w:rPr>
                <w:spacing w:val="-1"/>
              </w:rPr>
              <w:t>全施工的技术要求向</w:t>
            </w:r>
            <w:r>
              <w:t xml:space="preserve"> </w:t>
            </w:r>
            <w:r>
              <w:rPr>
                <w:spacing w:val="-1"/>
              </w:rPr>
              <w:t>施工作业班组、作业人员作出详细说明，并由双</w:t>
            </w:r>
            <w:r>
              <w:rPr>
                <w:spacing w:val="-2"/>
              </w:rPr>
              <w:t>方签字确认。</w:t>
            </w:r>
          </w:p>
          <w:p w14:paraId="0FB2466A">
            <w:pPr>
              <w:pStyle w:val="8"/>
              <w:spacing w:before="27" w:line="242" w:lineRule="auto"/>
              <w:ind w:left="110" w:right="104" w:firstLine="360"/>
            </w:pPr>
            <w:r>
              <w:t>第六十四条  违反本条例的规定，施工单位有下列行为之一的，责令限期改正；</w:t>
            </w:r>
            <w:r>
              <w:rPr>
                <w:spacing w:val="-1"/>
              </w:rPr>
              <w:t>逾期未改正的，责令</w:t>
            </w:r>
            <w:r>
              <w:t xml:space="preserve"> </w:t>
            </w:r>
            <w:r>
              <w:rPr>
                <w:spacing w:val="-2"/>
              </w:rPr>
              <w:t>停业整顿，并处</w:t>
            </w:r>
            <w:r>
              <w:rPr>
                <w:spacing w:val="-34"/>
              </w:rPr>
              <w:t xml:space="preserve"> </w:t>
            </w:r>
            <w:r>
              <w:rPr>
                <w:spacing w:val="-2"/>
              </w:rPr>
              <w:t>5</w:t>
            </w:r>
            <w:r>
              <w:rPr>
                <w:spacing w:val="-34"/>
              </w:rPr>
              <w:t xml:space="preserve"> </w:t>
            </w:r>
            <w:r>
              <w:rPr>
                <w:spacing w:val="-2"/>
              </w:rPr>
              <w:t>万元以上</w:t>
            </w:r>
            <w:r>
              <w:rPr>
                <w:spacing w:val="-24"/>
              </w:rPr>
              <w:t xml:space="preserve"> </w:t>
            </w:r>
            <w:r>
              <w:rPr>
                <w:spacing w:val="-2"/>
              </w:rPr>
              <w:t>10</w:t>
            </w:r>
            <w:r>
              <w:rPr>
                <w:spacing w:val="-37"/>
              </w:rPr>
              <w:t xml:space="preserve"> </w:t>
            </w:r>
            <w:r>
              <w:rPr>
                <w:spacing w:val="-2"/>
              </w:rPr>
              <w:t>万元以下的罚款；造成重大安全事故，构成犯罪的，对直接责任人员，依照</w:t>
            </w:r>
            <w:r>
              <w:t xml:space="preserve"> 刑法有关规定追究刑事责任</w:t>
            </w:r>
            <w:r>
              <w:rPr>
                <w:spacing w:val="-2"/>
              </w:rPr>
              <w:t>：（</w:t>
            </w:r>
            <w:r>
              <w:t>一）施工前未对有关安全施工的技术要</w:t>
            </w:r>
            <w:r>
              <w:rPr>
                <w:spacing w:val="-1"/>
              </w:rPr>
              <w:t>求作出详细说明的</w:t>
            </w:r>
            <w:r>
              <w:rPr>
                <w:spacing w:val="-2"/>
              </w:rPr>
              <w:t>；（</w:t>
            </w:r>
            <w:r>
              <w:rPr>
                <w:spacing w:val="-1"/>
              </w:rPr>
              <w:t>二）未根据</w:t>
            </w:r>
            <w:r>
              <w:rPr>
                <w:spacing w:val="3"/>
              </w:rPr>
              <w:t xml:space="preserve"> </w:t>
            </w:r>
            <w:r>
              <w:t>不同施工阶段和周围环境及季节、气候的变化，在施工现场采取相应的安全施工措施，</w:t>
            </w:r>
            <w:r>
              <w:rPr>
                <w:spacing w:val="-1"/>
              </w:rPr>
              <w:t>或者在城市市区内</w:t>
            </w:r>
            <w:r>
              <w:t xml:space="preserve"> 的建设工程的施工现场未实行封闭围挡的</w:t>
            </w:r>
            <w:r>
              <w:rPr>
                <w:spacing w:val="-1"/>
              </w:rPr>
              <w:t>；（</w:t>
            </w:r>
            <w:r>
              <w:t>三）在尚未竣工的建筑物内设置集体宿</w:t>
            </w:r>
            <w:r>
              <w:rPr>
                <w:spacing w:val="-1"/>
              </w:rPr>
              <w:t>舍的；（四）施工现</w:t>
            </w:r>
            <w:r>
              <w:rPr>
                <w:spacing w:val="3"/>
              </w:rPr>
              <w:t xml:space="preserve"> </w:t>
            </w:r>
            <w:r>
              <w:t>场临时搭建的建筑物不符合安全使用要求的；（五）未对因建设工程施工可能造成损害</w:t>
            </w:r>
            <w:r>
              <w:rPr>
                <w:spacing w:val="-1"/>
              </w:rPr>
              <w:t>的毗邻建筑物、构</w:t>
            </w:r>
            <w:r>
              <w:t xml:space="preserve"> </w:t>
            </w:r>
            <w:r>
              <w:rPr>
                <w:spacing w:val="-2"/>
              </w:rPr>
              <w:t>筑物和地下管线等采取专项防护措施的。</w:t>
            </w:r>
          </w:p>
          <w:p w14:paraId="5B07297E">
            <w:pPr>
              <w:pStyle w:val="8"/>
              <w:spacing w:before="27" w:line="200" w:lineRule="auto"/>
              <w:ind w:left="470"/>
            </w:pPr>
            <w:r>
              <w:rPr>
                <w:spacing w:val="-1"/>
              </w:rPr>
              <w:t>施工单位有前款规定第（四）项、第（五）项行为，造成损失的，依法承担责</w:t>
            </w:r>
            <w:r>
              <w:rPr>
                <w:spacing w:val="-2"/>
              </w:rPr>
              <w:t>任。</w:t>
            </w:r>
          </w:p>
        </w:tc>
        <w:tc>
          <w:tcPr>
            <w:tcW w:w="1014" w:type="dxa"/>
            <w:vAlign w:val="top"/>
          </w:tcPr>
          <w:p w14:paraId="379059F4">
            <w:pPr>
              <w:spacing w:line="263" w:lineRule="auto"/>
              <w:rPr>
                <w:rFonts w:ascii="Arial"/>
                <w:sz w:val="21"/>
              </w:rPr>
            </w:pPr>
          </w:p>
          <w:p w14:paraId="0F159977">
            <w:pPr>
              <w:spacing w:line="263" w:lineRule="auto"/>
              <w:rPr>
                <w:rFonts w:ascii="Arial"/>
                <w:sz w:val="21"/>
              </w:rPr>
            </w:pPr>
          </w:p>
          <w:p w14:paraId="7AF5EBB6">
            <w:pPr>
              <w:spacing w:line="263" w:lineRule="auto"/>
              <w:rPr>
                <w:rFonts w:ascii="Arial"/>
                <w:sz w:val="21"/>
              </w:rPr>
            </w:pPr>
          </w:p>
          <w:p w14:paraId="01D66567">
            <w:pPr>
              <w:spacing w:line="264" w:lineRule="auto"/>
              <w:rPr>
                <w:rFonts w:ascii="Arial"/>
                <w:sz w:val="21"/>
              </w:rPr>
            </w:pPr>
          </w:p>
          <w:p w14:paraId="6AACBECB">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44CBA599">
            <w:pPr>
              <w:spacing w:line="263" w:lineRule="auto"/>
              <w:rPr>
                <w:rFonts w:ascii="Arial"/>
                <w:sz w:val="21"/>
              </w:rPr>
            </w:pPr>
          </w:p>
          <w:p w14:paraId="6E1B88AA">
            <w:pPr>
              <w:spacing w:line="263" w:lineRule="auto"/>
              <w:rPr>
                <w:rFonts w:ascii="Arial"/>
                <w:sz w:val="21"/>
              </w:rPr>
            </w:pPr>
          </w:p>
          <w:p w14:paraId="17344493">
            <w:pPr>
              <w:spacing w:line="263" w:lineRule="auto"/>
              <w:rPr>
                <w:rFonts w:ascii="Arial"/>
                <w:sz w:val="21"/>
              </w:rPr>
            </w:pPr>
          </w:p>
          <w:p w14:paraId="6C22FD87">
            <w:pPr>
              <w:spacing w:line="264" w:lineRule="auto"/>
              <w:rPr>
                <w:rFonts w:ascii="Arial"/>
                <w:sz w:val="21"/>
              </w:rPr>
            </w:pPr>
          </w:p>
          <w:p w14:paraId="4AE72013">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B4E5078">
            <w:pPr>
              <w:spacing w:line="272" w:lineRule="auto"/>
              <w:rPr>
                <w:rFonts w:ascii="Arial"/>
                <w:sz w:val="21"/>
              </w:rPr>
            </w:pPr>
          </w:p>
          <w:p w14:paraId="1CB61184">
            <w:pPr>
              <w:spacing w:line="272" w:lineRule="auto"/>
              <w:rPr>
                <w:rFonts w:ascii="Arial"/>
                <w:sz w:val="21"/>
              </w:rPr>
            </w:pPr>
          </w:p>
          <w:p w14:paraId="640C6FA1">
            <w:pPr>
              <w:spacing w:line="272" w:lineRule="auto"/>
              <w:rPr>
                <w:rFonts w:ascii="Arial"/>
                <w:sz w:val="21"/>
              </w:rPr>
            </w:pPr>
          </w:p>
          <w:p w14:paraId="296AE95E">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137D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624" w:type="dxa"/>
            <w:vAlign w:val="top"/>
          </w:tcPr>
          <w:p w14:paraId="62805D90">
            <w:pPr>
              <w:rPr>
                <w:rFonts w:ascii="Arial"/>
                <w:sz w:val="21"/>
              </w:rPr>
            </w:pPr>
          </w:p>
          <w:p w14:paraId="272805DB">
            <w:pPr>
              <w:rPr>
                <w:rFonts w:ascii="Arial"/>
                <w:sz w:val="21"/>
              </w:rPr>
            </w:pPr>
          </w:p>
          <w:p w14:paraId="4143196E">
            <w:pPr>
              <w:rPr>
                <w:rFonts w:ascii="Arial"/>
                <w:sz w:val="21"/>
              </w:rPr>
            </w:pPr>
          </w:p>
          <w:p w14:paraId="413B6409">
            <w:pPr>
              <w:rPr>
                <w:rFonts w:ascii="Arial"/>
                <w:sz w:val="21"/>
              </w:rPr>
            </w:pPr>
          </w:p>
          <w:p w14:paraId="4A64BE57">
            <w:pPr>
              <w:rPr>
                <w:rFonts w:ascii="Arial"/>
                <w:sz w:val="21"/>
              </w:rPr>
            </w:pPr>
          </w:p>
          <w:p w14:paraId="6821BEEC">
            <w:pPr>
              <w:rPr>
                <w:rFonts w:ascii="Arial"/>
                <w:sz w:val="21"/>
              </w:rPr>
            </w:pPr>
          </w:p>
          <w:p w14:paraId="3FF3C6D4">
            <w:pPr>
              <w:pStyle w:val="8"/>
              <w:spacing w:before="58" w:line="183" w:lineRule="auto"/>
              <w:ind w:left="234"/>
            </w:pPr>
            <w:r>
              <w:rPr>
                <w:spacing w:val="-6"/>
              </w:rPr>
              <w:t>36</w:t>
            </w:r>
          </w:p>
        </w:tc>
        <w:tc>
          <w:tcPr>
            <w:tcW w:w="1104" w:type="dxa"/>
            <w:vAlign w:val="top"/>
          </w:tcPr>
          <w:p w14:paraId="0D4F02CB">
            <w:pPr>
              <w:pStyle w:val="8"/>
              <w:spacing w:before="280" w:line="244"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域施工单位</w:t>
            </w:r>
            <w:r>
              <w:rPr>
                <w:spacing w:val="1"/>
              </w:rPr>
              <w:t xml:space="preserve"> </w:t>
            </w:r>
            <w:r>
              <w:rPr>
                <w:spacing w:val="8"/>
              </w:rPr>
              <w:t>安全</w:t>
            </w:r>
            <w:r>
              <w:rPr>
                <w:spacing w:val="-48"/>
              </w:rPr>
              <w:t xml:space="preserve"> </w:t>
            </w:r>
            <w:r>
              <w:rPr>
                <w:spacing w:val="8"/>
              </w:rPr>
              <w:t>防护用</w:t>
            </w:r>
            <w:r>
              <w:t xml:space="preserve"> </w:t>
            </w:r>
            <w:r>
              <w:rPr>
                <w:spacing w:val="6"/>
              </w:rPr>
              <w:t>具、</w:t>
            </w:r>
            <w:r>
              <w:rPr>
                <w:spacing w:val="-39"/>
              </w:rPr>
              <w:t xml:space="preserve"> </w:t>
            </w:r>
            <w:r>
              <w:rPr>
                <w:spacing w:val="6"/>
              </w:rPr>
              <w:t>机械设</w:t>
            </w:r>
            <w:r>
              <w:t xml:space="preserve"> </w:t>
            </w:r>
            <w:r>
              <w:rPr>
                <w:spacing w:val="-17"/>
              </w:rPr>
              <w:t>备、施工机具</w:t>
            </w:r>
            <w:r>
              <w:rPr>
                <w:spacing w:val="3"/>
              </w:rPr>
              <w:t xml:space="preserve"> </w:t>
            </w:r>
            <w:r>
              <w:rPr>
                <w:spacing w:val="16"/>
              </w:rPr>
              <w:t>及配件未经</w:t>
            </w:r>
            <w:r>
              <w:rPr>
                <w:spacing w:val="1"/>
              </w:rPr>
              <w:t xml:space="preserve"> </w:t>
            </w:r>
            <w:r>
              <w:rPr>
                <w:spacing w:val="16"/>
              </w:rPr>
              <w:t>查验合格即</w:t>
            </w:r>
            <w:r>
              <w:rPr>
                <w:spacing w:val="1"/>
              </w:rPr>
              <w:t xml:space="preserve"> </w:t>
            </w:r>
            <w:r>
              <w:rPr>
                <w:spacing w:val="16"/>
              </w:rPr>
              <w:t>投入使用等</w:t>
            </w:r>
            <w:r>
              <w:rPr>
                <w:spacing w:val="1"/>
              </w:rPr>
              <w:t xml:space="preserve"> </w:t>
            </w:r>
            <w:r>
              <w:rPr>
                <w:spacing w:val="7"/>
              </w:rPr>
              <w:t>行为</w:t>
            </w:r>
            <w:r>
              <w:rPr>
                <w:spacing w:val="-44"/>
              </w:rPr>
              <w:t xml:space="preserve"> </w:t>
            </w:r>
            <w:r>
              <w:rPr>
                <w:spacing w:val="7"/>
              </w:rPr>
              <w:t>的行政</w:t>
            </w:r>
            <w:r>
              <w:t xml:space="preserve"> </w:t>
            </w:r>
            <w:r>
              <w:rPr>
                <w:spacing w:val="-2"/>
              </w:rPr>
              <w:t>处罚</w:t>
            </w:r>
          </w:p>
        </w:tc>
        <w:tc>
          <w:tcPr>
            <w:tcW w:w="1104" w:type="dxa"/>
            <w:vAlign w:val="top"/>
          </w:tcPr>
          <w:p w14:paraId="0DF13AB7">
            <w:pPr>
              <w:spacing w:line="282" w:lineRule="auto"/>
              <w:rPr>
                <w:rFonts w:ascii="Arial"/>
                <w:sz w:val="21"/>
              </w:rPr>
            </w:pPr>
          </w:p>
          <w:p w14:paraId="1D16AB00">
            <w:pPr>
              <w:spacing w:line="282" w:lineRule="auto"/>
              <w:rPr>
                <w:rFonts w:ascii="Arial"/>
                <w:sz w:val="21"/>
              </w:rPr>
            </w:pPr>
          </w:p>
          <w:p w14:paraId="5CE20761">
            <w:pPr>
              <w:spacing w:line="282" w:lineRule="auto"/>
              <w:rPr>
                <w:rFonts w:ascii="Arial"/>
                <w:sz w:val="21"/>
              </w:rPr>
            </w:pPr>
          </w:p>
          <w:p w14:paraId="68597671">
            <w:pPr>
              <w:spacing w:line="283" w:lineRule="auto"/>
              <w:rPr>
                <w:rFonts w:ascii="Arial"/>
                <w:sz w:val="21"/>
              </w:rPr>
            </w:pPr>
          </w:p>
          <w:p w14:paraId="0C196EB9">
            <w:pPr>
              <w:spacing w:line="283" w:lineRule="auto"/>
              <w:rPr>
                <w:rFonts w:ascii="Arial"/>
                <w:sz w:val="21"/>
              </w:rPr>
            </w:pPr>
          </w:p>
          <w:p w14:paraId="02D38CDF">
            <w:pPr>
              <w:pStyle w:val="8"/>
              <w:spacing w:before="58" w:line="220" w:lineRule="auto"/>
              <w:ind w:left="10"/>
            </w:pPr>
            <w:r>
              <w:rPr>
                <w:spacing w:val="-2"/>
              </w:rPr>
              <w:t>行政处罚</w:t>
            </w:r>
          </w:p>
        </w:tc>
        <w:tc>
          <w:tcPr>
            <w:tcW w:w="8549" w:type="dxa"/>
            <w:vAlign w:val="top"/>
          </w:tcPr>
          <w:p w14:paraId="53975E09">
            <w:pPr>
              <w:pStyle w:val="8"/>
              <w:spacing w:before="39" w:line="219" w:lineRule="auto"/>
              <w:ind w:left="476"/>
            </w:pPr>
            <w:r>
              <w:rPr>
                <w:b/>
                <w:bCs/>
                <w:spacing w:val="-3"/>
              </w:rPr>
              <w:t>《建设工程安全生产管理条例》</w:t>
            </w:r>
          </w:p>
          <w:p w14:paraId="7BCD0162">
            <w:pPr>
              <w:pStyle w:val="8"/>
              <w:spacing w:before="25" w:line="233" w:lineRule="auto"/>
              <w:ind w:left="110" w:right="159" w:firstLine="360"/>
            </w:pPr>
            <w:r>
              <w:t>第三十四条  施工单位采购、租赁的安全防护用具、机械设备、施工机具及配件</w:t>
            </w:r>
            <w:r>
              <w:rPr>
                <w:spacing w:val="-1"/>
              </w:rPr>
              <w:t>，应当具有生产（制</w:t>
            </w:r>
            <w:r>
              <w:t xml:space="preserve"> </w:t>
            </w:r>
            <w:r>
              <w:rPr>
                <w:spacing w:val="-1"/>
              </w:rPr>
              <w:t>造）许可证、产品合格证，并在进入施工现</w:t>
            </w:r>
            <w:r>
              <w:rPr>
                <w:spacing w:val="-2"/>
              </w:rPr>
              <w:t>场前进行查验。</w:t>
            </w:r>
          </w:p>
          <w:p w14:paraId="44A077E4">
            <w:pPr>
              <w:pStyle w:val="8"/>
              <w:spacing w:before="25" w:line="233" w:lineRule="auto"/>
              <w:ind w:left="113" w:right="58" w:firstLine="357"/>
            </w:pPr>
            <w:r>
              <w:rPr>
                <w:spacing w:val="-2"/>
              </w:rPr>
              <w:t>施工现场的安全防护用具、机械设备、施工机具及配件必须由专人管理，定期进行检查、维修和保养，</w:t>
            </w:r>
            <w:r>
              <w:rPr>
                <w:spacing w:val="3"/>
              </w:rPr>
              <w:t xml:space="preserve"> </w:t>
            </w:r>
            <w:r>
              <w:rPr>
                <w:spacing w:val="-2"/>
              </w:rPr>
              <w:t>建立相应的资料档案，并按照国家有关规定及时报废。</w:t>
            </w:r>
          </w:p>
          <w:p w14:paraId="25283581">
            <w:pPr>
              <w:pStyle w:val="8"/>
              <w:spacing w:before="27"/>
              <w:ind w:left="110" w:right="159" w:firstLine="360"/>
            </w:pPr>
            <w:r>
              <w:t>第六十五条  违反本条例的规定，施工单位有下列行为之一的，责令限期改正；</w:t>
            </w:r>
            <w:r>
              <w:rPr>
                <w:spacing w:val="-1"/>
              </w:rPr>
              <w:t>逾期未改正的，责令</w:t>
            </w:r>
            <w:r>
              <w:t xml:space="preserve"> </w:t>
            </w:r>
            <w:r>
              <w:rPr>
                <w:spacing w:val="-1"/>
              </w:rPr>
              <w:t>停业整顿，并处</w:t>
            </w:r>
            <w:r>
              <w:rPr>
                <w:spacing w:val="-24"/>
              </w:rPr>
              <w:t xml:space="preserve"> </w:t>
            </w:r>
            <w:r>
              <w:rPr>
                <w:spacing w:val="-1"/>
              </w:rPr>
              <w:t>10</w:t>
            </w:r>
            <w:r>
              <w:rPr>
                <w:spacing w:val="-37"/>
              </w:rPr>
              <w:t xml:space="preserve"> </w:t>
            </w:r>
            <w:r>
              <w:rPr>
                <w:spacing w:val="-1"/>
              </w:rPr>
              <w:t>万元以上</w:t>
            </w:r>
            <w:r>
              <w:rPr>
                <w:spacing w:val="-34"/>
              </w:rPr>
              <w:t xml:space="preserve"> </w:t>
            </w:r>
            <w:r>
              <w:rPr>
                <w:spacing w:val="-1"/>
              </w:rPr>
              <w:t>30</w:t>
            </w:r>
            <w:r>
              <w:rPr>
                <w:spacing w:val="-34"/>
              </w:rPr>
              <w:t xml:space="preserve"> </w:t>
            </w:r>
            <w:r>
              <w:rPr>
                <w:spacing w:val="-1"/>
              </w:rPr>
              <w:t>万元以下的罚款；情节严重的，降低资质等级</w:t>
            </w:r>
            <w:r>
              <w:rPr>
                <w:spacing w:val="-2"/>
              </w:rPr>
              <w:t>，直至吊销资质证书；造成</w:t>
            </w:r>
            <w:r>
              <w:t xml:space="preserve"> 重大安全事故，构成犯罪的，对直接责任人员，依照刑法有关规定追究刑事责任；造成</w:t>
            </w:r>
            <w:r>
              <w:rPr>
                <w:spacing w:val="-1"/>
              </w:rPr>
              <w:t>损失的，依法承担</w:t>
            </w:r>
            <w:r>
              <w:t xml:space="preserve"> 赔偿责任：(一)安全防护用具、机械设备、施工机具及配件在进入施工现场前未经查验</w:t>
            </w:r>
            <w:r>
              <w:rPr>
                <w:spacing w:val="-1"/>
              </w:rPr>
              <w:t>或者查验不合格即</w:t>
            </w:r>
            <w:r>
              <w:t xml:space="preserve"> 投入使用的；(二)使用未经验收或者验收不合格的施工起重机械和整体提升脚手架、模</w:t>
            </w:r>
            <w:r>
              <w:rPr>
                <w:spacing w:val="-1"/>
              </w:rPr>
              <w:t>板等自升式架设设</w:t>
            </w:r>
            <w:r>
              <w:t xml:space="preserve"> 施的；(三)委托不具有相应资质的单位承担施工现场安装、拆卸施工起重机械和整体提</w:t>
            </w:r>
            <w:r>
              <w:rPr>
                <w:spacing w:val="-1"/>
              </w:rPr>
              <w:t>升脚手架、模板等</w:t>
            </w:r>
            <w:r>
              <w:t xml:space="preserve"> 自升式架设设施的；(四)在施工组织设计中未编制安全技术措施、施工现场临时用电方</w:t>
            </w:r>
            <w:r>
              <w:rPr>
                <w:spacing w:val="-1"/>
              </w:rPr>
              <w:t>案或者专项施工方</w:t>
            </w:r>
            <w:r>
              <w:t xml:space="preserve"> </w:t>
            </w:r>
            <w:r>
              <w:rPr>
                <w:spacing w:val="-8"/>
              </w:rPr>
              <w:t>案的。</w:t>
            </w:r>
          </w:p>
        </w:tc>
        <w:tc>
          <w:tcPr>
            <w:tcW w:w="1014" w:type="dxa"/>
            <w:vAlign w:val="top"/>
          </w:tcPr>
          <w:p w14:paraId="1A887AC5">
            <w:pPr>
              <w:spacing w:line="258" w:lineRule="auto"/>
              <w:rPr>
                <w:rFonts w:ascii="Arial"/>
                <w:sz w:val="21"/>
              </w:rPr>
            </w:pPr>
          </w:p>
          <w:p w14:paraId="3DC44A4A">
            <w:pPr>
              <w:spacing w:line="258" w:lineRule="auto"/>
              <w:rPr>
                <w:rFonts w:ascii="Arial"/>
                <w:sz w:val="21"/>
              </w:rPr>
            </w:pPr>
          </w:p>
          <w:p w14:paraId="78AC1AB2">
            <w:pPr>
              <w:spacing w:line="258" w:lineRule="auto"/>
              <w:rPr>
                <w:rFonts w:ascii="Arial"/>
                <w:sz w:val="21"/>
              </w:rPr>
            </w:pPr>
          </w:p>
          <w:p w14:paraId="097E212F">
            <w:pPr>
              <w:spacing w:line="259" w:lineRule="auto"/>
              <w:rPr>
                <w:rFonts w:ascii="Arial"/>
                <w:sz w:val="21"/>
              </w:rPr>
            </w:pPr>
          </w:p>
          <w:p w14:paraId="0246FC24">
            <w:pPr>
              <w:spacing w:line="259" w:lineRule="auto"/>
              <w:rPr>
                <w:rFonts w:ascii="Arial"/>
                <w:sz w:val="21"/>
              </w:rPr>
            </w:pPr>
          </w:p>
          <w:p w14:paraId="27D16E33">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D2159BF">
            <w:pPr>
              <w:spacing w:line="258" w:lineRule="auto"/>
              <w:rPr>
                <w:rFonts w:ascii="Arial"/>
                <w:sz w:val="21"/>
              </w:rPr>
            </w:pPr>
          </w:p>
          <w:p w14:paraId="3B2259F3">
            <w:pPr>
              <w:spacing w:line="258" w:lineRule="auto"/>
              <w:rPr>
                <w:rFonts w:ascii="Arial"/>
                <w:sz w:val="21"/>
              </w:rPr>
            </w:pPr>
          </w:p>
          <w:p w14:paraId="228B94B9">
            <w:pPr>
              <w:spacing w:line="258" w:lineRule="auto"/>
              <w:rPr>
                <w:rFonts w:ascii="Arial"/>
                <w:sz w:val="21"/>
              </w:rPr>
            </w:pPr>
          </w:p>
          <w:p w14:paraId="4FDCF615">
            <w:pPr>
              <w:spacing w:line="259" w:lineRule="auto"/>
              <w:rPr>
                <w:rFonts w:ascii="Arial"/>
                <w:sz w:val="21"/>
              </w:rPr>
            </w:pPr>
          </w:p>
          <w:p w14:paraId="1F1C20D8">
            <w:pPr>
              <w:spacing w:line="259" w:lineRule="auto"/>
              <w:rPr>
                <w:rFonts w:ascii="Arial"/>
                <w:sz w:val="21"/>
              </w:rPr>
            </w:pPr>
          </w:p>
          <w:p w14:paraId="6512A108">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11BAD560">
            <w:pPr>
              <w:spacing w:line="263" w:lineRule="auto"/>
              <w:rPr>
                <w:rFonts w:ascii="Arial"/>
                <w:sz w:val="21"/>
              </w:rPr>
            </w:pPr>
          </w:p>
          <w:p w14:paraId="4F19303F">
            <w:pPr>
              <w:spacing w:line="264" w:lineRule="auto"/>
              <w:rPr>
                <w:rFonts w:ascii="Arial"/>
                <w:sz w:val="21"/>
              </w:rPr>
            </w:pPr>
          </w:p>
          <w:p w14:paraId="7FBB068C">
            <w:pPr>
              <w:spacing w:line="264" w:lineRule="auto"/>
              <w:rPr>
                <w:rFonts w:ascii="Arial"/>
                <w:sz w:val="21"/>
              </w:rPr>
            </w:pPr>
          </w:p>
          <w:p w14:paraId="0A5502A3">
            <w:pPr>
              <w:spacing w:line="264" w:lineRule="auto"/>
              <w:rPr>
                <w:rFonts w:ascii="Arial"/>
                <w:sz w:val="21"/>
              </w:rPr>
            </w:pPr>
          </w:p>
          <w:p w14:paraId="45C6FA87">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541FB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6" w:hRule="atLeast"/>
        </w:trPr>
        <w:tc>
          <w:tcPr>
            <w:tcW w:w="624" w:type="dxa"/>
            <w:vAlign w:val="top"/>
          </w:tcPr>
          <w:p w14:paraId="72B8E14C">
            <w:pPr>
              <w:spacing w:line="284" w:lineRule="auto"/>
              <w:rPr>
                <w:rFonts w:ascii="Arial"/>
                <w:sz w:val="21"/>
              </w:rPr>
            </w:pPr>
          </w:p>
          <w:p w14:paraId="49503DBA">
            <w:pPr>
              <w:spacing w:line="284" w:lineRule="auto"/>
              <w:rPr>
                <w:rFonts w:ascii="Arial"/>
                <w:sz w:val="21"/>
              </w:rPr>
            </w:pPr>
          </w:p>
          <w:p w14:paraId="1EBC2316">
            <w:pPr>
              <w:spacing w:line="284" w:lineRule="auto"/>
              <w:rPr>
                <w:rFonts w:ascii="Arial"/>
                <w:sz w:val="21"/>
              </w:rPr>
            </w:pPr>
          </w:p>
          <w:p w14:paraId="58F0FF0C">
            <w:pPr>
              <w:spacing w:line="285" w:lineRule="auto"/>
              <w:rPr>
                <w:rFonts w:ascii="Arial"/>
                <w:sz w:val="21"/>
              </w:rPr>
            </w:pPr>
          </w:p>
          <w:p w14:paraId="39AB75CD">
            <w:pPr>
              <w:spacing w:line="285" w:lineRule="auto"/>
              <w:rPr>
                <w:rFonts w:ascii="Arial"/>
                <w:sz w:val="21"/>
              </w:rPr>
            </w:pPr>
          </w:p>
          <w:p w14:paraId="6009A698">
            <w:pPr>
              <w:pStyle w:val="8"/>
              <w:spacing w:before="59" w:line="183" w:lineRule="auto"/>
              <w:ind w:left="234"/>
            </w:pPr>
            <w:r>
              <w:rPr>
                <w:spacing w:val="-6"/>
              </w:rPr>
              <w:t>37</w:t>
            </w:r>
          </w:p>
        </w:tc>
        <w:tc>
          <w:tcPr>
            <w:tcW w:w="1104" w:type="dxa"/>
            <w:vAlign w:val="top"/>
          </w:tcPr>
          <w:p w14:paraId="222623B6">
            <w:pPr>
              <w:spacing w:line="437" w:lineRule="auto"/>
              <w:rPr>
                <w:rFonts w:ascii="Arial"/>
                <w:sz w:val="21"/>
              </w:rPr>
            </w:pPr>
          </w:p>
          <w:p w14:paraId="69F97C0C">
            <w:pPr>
              <w:pStyle w:val="8"/>
              <w:spacing w:before="59" w:line="244" w:lineRule="auto"/>
              <w:ind w:left="60" w:right="56"/>
              <w:jc w:val="both"/>
            </w:pPr>
            <w:r>
              <w:rPr>
                <w:spacing w:val="16"/>
              </w:rPr>
              <w:t>对交通运输</w:t>
            </w:r>
            <w:r>
              <w:rPr>
                <w:spacing w:val="1"/>
              </w:rPr>
              <w:t xml:space="preserve"> </w:t>
            </w:r>
            <w:r>
              <w:rPr>
                <w:spacing w:val="16"/>
              </w:rPr>
              <w:t>领域建设单</w:t>
            </w:r>
            <w:r>
              <w:t xml:space="preserve"> </w:t>
            </w:r>
            <w:r>
              <w:rPr>
                <w:spacing w:val="16"/>
              </w:rPr>
              <w:t>位将工程业</w:t>
            </w:r>
            <w:r>
              <w:t xml:space="preserve"> </w:t>
            </w:r>
            <w:r>
              <w:rPr>
                <w:spacing w:val="16"/>
              </w:rPr>
              <w:t>务发包给不</w:t>
            </w:r>
            <w:r>
              <w:t xml:space="preserve"> </w:t>
            </w:r>
            <w:r>
              <w:rPr>
                <w:spacing w:val="-17"/>
              </w:rPr>
              <w:t>具有勘察、设</w:t>
            </w:r>
            <w:r>
              <w:rPr>
                <w:spacing w:val="2"/>
              </w:rPr>
              <w:t xml:space="preserve"> </w:t>
            </w:r>
            <w:r>
              <w:rPr>
                <w:spacing w:val="16"/>
              </w:rPr>
              <w:t>计资质等级</w:t>
            </w:r>
            <w:r>
              <w:t xml:space="preserve"> </w:t>
            </w:r>
            <w:r>
              <w:rPr>
                <w:spacing w:val="16"/>
              </w:rPr>
              <w:t>的单位等行</w:t>
            </w:r>
            <w:r>
              <w:t xml:space="preserve"> </w:t>
            </w:r>
            <w:r>
              <w:rPr>
                <w:spacing w:val="16"/>
              </w:rPr>
              <w:t>为的行政处</w:t>
            </w:r>
            <w:r>
              <w:t xml:space="preserve"> 罚</w:t>
            </w:r>
          </w:p>
        </w:tc>
        <w:tc>
          <w:tcPr>
            <w:tcW w:w="1104" w:type="dxa"/>
            <w:vAlign w:val="top"/>
          </w:tcPr>
          <w:p w14:paraId="50A6A1FA">
            <w:pPr>
              <w:spacing w:line="278" w:lineRule="auto"/>
              <w:rPr>
                <w:rFonts w:ascii="Arial"/>
                <w:sz w:val="21"/>
              </w:rPr>
            </w:pPr>
          </w:p>
          <w:p w14:paraId="2C88B680">
            <w:pPr>
              <w:spacing w:line="279" w:lineRule="auto"/>
              <w:rPr>
                <w:rFonts w:ascii="Arial"/>
                <w:sz w:val="21"/>
              </w:rPr>
            </w:pPr>
          </w:p>
          <w:p w14:paraId="0B130791">
            <w:pPr>
              <w:spacing w:line="279" w:lineRule="auto"/>
              <w:rPr>
                <w:rFonts w:ascii="Arial"/>
                <w:sz w:val="21"/>
              </w:rPr>
            </w:pPr>
          </w:p>
          <w:p w14:paraId="55C2B7A1">
            <w:pPr>
              <w:spacing w:line="279" w:lineRule="auto"/>
              <w:rPr>
                <w:rFonts w:ascii="Arial"/>
                <w:sz w:val="21"/>
              </w:rPr>
            </w:pPr>
          </w:p>
          <w:p w14:paraId="1C036069">
            <w:pPr>
              <w:spacing w:line="279" w:lineRule="auto"/>
              <w:rPr>
                <w:rFonts w:ascii="Arial"/>
                <w:sz w:val="21"/>
              </w:rPr>
            </w:pPr>
          </w:p>
          <w:p w14:paraId="674160D0">
            <w:pPr>
              <w:pStyle w:val="8"/>
              <w:spacing w:before="59" w:line="220" w:lineRule="auto"/>
              <w:ind w:left="10"/>
            </w:pPr>
            <w:r>
              <w:rPr>
                <w:spacing w:val="-2"/>
              </w:rPr>
              <w:t>行政处罚</w:t>
            </w:r>
          </w:p>
        </w:tc>
        <w:tc>
          <w:tcPr>
            <w:tcW w:w="8549" w:type="dxa"/>
            <w:vAlign w:val="top"/>
          </w:tcPr>
          <w:p w14:paraId="5BA4FDAA">
            <w:pPr>
              <w:pStyle w:val="8"/>
              <w:spacing w:before="26" w:line="219" w:lineRule="auto"/>
              <w:ind w:left="573"/>
            </w:pPr>
            <w:r>
              <w:rPr>
                <w:b/>
                <w:bCs/>
                <w:spacing w:val="-4"/>
              </w:rPr>
              <w:t>1.《建设工程质量管理条例》</w:t>
            </w:r>
          </w:p>
          <w:p w14:paraId="4DE3B3BD">
            <w:pPr>
              <w:pStyle w:val="8"/>
              <w:spacing w:before="7" w:line="219" w:lineRule="auto"/>
              <w:ind w:left="471"/>
            </w:pPr>
            <w:r>
              <w:rPr>
                <w:spacing w:val="-1"/>
              </w:rPr>
              <w:t>第七条第一款  建设单位应当将工程发包给具有相应资质</w:t>
            </w:r>
            <w:r>
              <w:rPr>
                <w:spacing w:val="-2"/>
              </w:rPr>
              <w:t>等级的单位。</w:t>
            </w:r>
          </w:p>
          <w:p w14:paraId="248C4A8F">
            <w:pPr>
              <w:pStyle w:val="8"/>
              <w:spacing w:before="5" w:line="224" w:lineRule="auto"/>
              <w:ind w:left="113" w:right="159" w:firstLine="357"/>
            </w:pPr>
            <w:r>
              <w:t>第十二条第一款  实行监理的建设工程，建设单位应当委托具有相应资质等级的</w:t>
            </w:r>
            <w:r>
              <w:rPr>
                <w:spacing w:val="-1"/>
              </w:rPr>
              <w:t>工程监理单位进行监</w:t>
            </w:r>
            <w:r>
              <w:t xml:space="preserve"> 理，也可以委托具有工程监理相应资质等级并与被监理工程的施工承包单位没有</w:t>
            </w:r>
            <w:r>
              <w:rPr>
                <w:spacing w:val="-1"/>
              </w:rPr>
              <w:t>隶属关系或者其他利害关</w:t>
            </w:r>
            <w:r>
              <w:t xml:space="preserve"> </w:t>
            </w:r>
            <w:r>
              <w:rPr>
                <w:spacing w:val="-3"/>
              </w:rPr>
              <w:t>系的该工程的设计单位进行监理。</w:t>
            </w:r>
          </w:p>
          <w:p w14:paraId="411ED03C">
            <w:pPr>
              <w:pStyle w:val="8"/>
              <w:spacing w:before="2" w:line="223" w:lineRule="auto"/>
              <w:ind w:left="112" w:right="102" w:firstLine="358"/>
            </w:pPr>
            <w:r>
              <w:t>第五十四条  违反本条例规定，建设单位将建设工程发包给不具有相应资质等级</w:t>
            </w:r>
            <w:r>
              <w:rPr>
                <w:spacing w:val="-1"/>
              </w:rPr>
              <w:t>的勘察、设计、施工</w:t>
            </w:r>
            <w:r>
              <w:t xml:space="preserve"> </w:t>
            </w:r>
            <w:r>
              <w:rPr>
                <w:spacing w:val="-2"/>
              </w:rPr>
              <w:t>单位或者委托给不具有相应资质等级的工程监理单位的，责令改正，处</w:t>
            </w:r>
            <w:r>
              <w:rPr>
                <w:spacing w:val="-31"/>
              </w:rPr>
              <w:t xml:space="preserve"> </w:t>
            </w:r>
            <w:r>
              <w:rPr>
                <w:spacing w:val="-2"/>
              </w:rPr>
              <w:t>50</w:t>
            </w:r>
            <w:r>
              <w:rPr>
                <w:spacing w:val="-37"/>
              </w:rPr>
              <w:t xml:space="preserve"> </w:t>
            </w:r>
            <w:r>
              <w:rPr>
                <w:spacing w:val="-2"/>
              </w:rPr>
              <w:t>万元以上</w:t>
            </w:r>
            <w:r>
              <w:rPr>
                <w:spacing w:val="-24"/>
              </w:rPr>
              <w:t xml:space="preserve"> </w:t>
            </w:r>
            <w:r>
              <w:rPr>
                <w:spacing w:val="-2"/>
              </w:rPr>
              <w:t>100</w:t>
            </w:r>
            <w:r>
              <w:rPr>
                <w:spacing w:val="-34"/>
              </w:rPr>
              <w:t xml:space="preserve"> </w:t>
            </w:r>
            <w:r>
              <w:rPr>
                <w:spacing w:val="-2"/>
              </w:rPr>
              <w:t>万元以下的罚款。</w:t>
            </w:r>
          </w:p>
          <w:p w14:paraId="4697CEF2">
            <w:pPr>
              <w:pStyle w:val="8"/>
              <w:spacing w:before="8" w:line="219" w:lineRule="auto"/>
              <w:ind w:left="473"/>
            </w:pPr>
            <w:r>
              <w:rPr>
                <w:b/>
                <w:bCs/>
                <w:spacing w:val="-3"/>
              </w:rPr>
              <w:t>2.《建设工程勘察设计管理条例》</w:t>
            </w:r>
          </w:p>
          <w:p w14:paraId="00FD7CC8">
            <w:pPr>
              <w:pStyle w:val="8"/>
              <w:spacing w:before="5" w:line="219" w:lineRule="auto"/>
              <w:ind w:left="471"/>
            </w:pPr>
            <w:r>
              <w:rPr>
                <w:spacing w:val="-1"/>
              </w:rPr>
              <w:t>第八条  建设工程勘察、设计单位应当在其资质等级许可的范围内承揽建设工程勘察、设计业务。</w:t>
            </w:r>
          </w:p>
          <w:p w14:paraId="5962ECD7">
            <w:pPr>
              <w:pStyle w:val="8"/>
              <w:spacing w:before="7" w:line="223" w:lineRule="auto"/>
              <w:ind w:left="111" w:right="159" w:firstLine="360"/>
            </w:pPr>
            <w:r>
              <w:t>禁止建设工程勘察、设计单位超越其资质等级许可的范围或者以其他建设工程勘</w:t>
            </w:r>
            <w:r>
              <w:rPr>
                <w:spacing w:val="-1"/>
              </w:rPr>
              <w:t>察、设计单位的名义</w:t>
            </w:r>
            <w:r>
              <w:t xml:space="preserve"> 承揽建设工程勘察、设计业务。禁止建设工程勘察、设计单位允许其他单位或者个人</w:t>
            </w:r>
            <w:r>
              <w:rPr>
                <w:spacing w:val="-1"/>
              </w:rPr>
              <w:t>以本单位的名义承揽</w:t>
            </w:r>
            <w:r>
              <w:t xml:space="preserve"> </w:t>
            </w:r>
            <w:r>
              <w:rPr>
                <w:spacing w:val="-3"/>
              </w:rPr>
              <w:t>建设工程勘察、设计业务。</w:t>
            </w:r>
          </w:p>
          <w:p w14:paraId="08F9F01A">
            <w:pPr>
              <w:pStyle w:val="8"/>
              <w:spacing w:before="8" w:line="210" w:lineRule="auto"/>
              <w:ind w:left="113" w:right="159" w:firstLine="357"/>
            </w:pPr>
            <w:r>
              <w:t>第三十八条  违反本条例规定，发包方将建设工程勘察、设计业务发包给不具有</w:t>
            </w:r>
            <w:r>
              <w:rPr>
                <w:spacing w:val="-1"/>
              </w:rPr>
              <w:t>相应资质等级的建设</w:t>
            </w:r>
            <w:r>
              <w:t xml:space="preserve"> </w:t>
            </w:r>
            <w:r>
              <w:rPr>
                <w:spacing w:val="-3"/>
              </w:rPr>
              <w:t>工程勘察、设计单位的，责令改正，处</w:t>
            </w:r>
            <w:r>
              <w:rPr>
                <w:spacing w:val="-16"/>
              </w:rPr>
              <w:t xml:space="preserve"> </w:t>
            </w:r>
            <w:r>
              <w:rPr>
                <w:spacing w:val="-3"/>
              </w:rPr>
              <w:t>50</w:t>
            </w:r>
            <w:r>
              <w:rPr>
                <w:spacing w:val="-37"/>
              </w:rPr>
              <w:t xml:space="preserve"> </w:t>
            </w:r>
            <w:r>
              <w:rPr>
                <w:spacing w:val="-3"/>
              </w:rPr>
              <w:t>万元以上</w:t>
            </w:r>
            <w:r>
              <w:rPr>
                <w:spacing w:val="-24"/>
              </w:rPr>
              <w:t xml:space="preserve"> </w:t>
            </w:r>
            <w:r>
              <w:rPr>
                <w:spacing w:val="-3"/>
              </w:rPr>
              <w:t>100</w:t>
            </w:r>
            <w:r>
              <w:rPr>
                <w:spacing w:val="-34"/>
              </w:rPr>
              <w:t xml:space="preserve"> </w:t>
            </w:r>
            <w:r>
              <w:rPr>
                <w:spacing w:val="-3"/>
              </w:rPr>
              <w:t>万元以下的罚款。</w:t>
            </w:r>
          </w:p>
        </w:tc>
        <w:tc>
          <w:tcPr>
            <w:tcW w:w="1014" w:type="dxa"/>
            <w:vAlign w:val="top"/>
          </w:tcPr>
          <w:p w14:paraId="58D1919E">
            <w:pPr>
              <w:spacing w:line="254" w:lineRule="auto"/>
              <w:rPr>
                <w:rFonts w:ascii="Arial"/>
                <w:sz w:val="21"/>
              </w:rPr>
            </w:pPr>
          </w:p>
          <w:p w14:paraId="14FE85FE">
            <w:pPr>
              <w:spacing w:line="255" w:lineRule="auto"/>
              <w:rPr>
                <w:rFonts w:ascii="Arial"/>
                <w:sz w:val="21"/>
              </w:rPr>
            </w:pPr>
          </w:p>
          <w:p w14:paraId="14DEB145">
            <w:pPr>
              <w:spacing w:line="255" w:lineRule="auto"/>
              <w:rPr>
                <w:rFonts w:ascii="Arial"/>
                <w:sz w:val="21"/>
              </w:rPr>
            </w:pPr>
          </w:p>
          <w:p w14:paraId="6F4C374E">
            <w:pPr>
              <w:spacing w:line="255" w:lineRule="auto"/>
              <w:rPr>
                <w:rFonts w:ascii="Arial"/>
                <w:sz w:val="21"/>
              </w:rPr>
            </w:pPr>
          </w:p>
          <w:p w14:paraId="04706A8A">
            <w:pPr>
              <w:spacing w:line="255" w:lineRule="auto"/>
              <w:rPr>
                <w:rFonts w:ascii="Arial"/>
                <w:sz w:val="21"/>
              </w:rPr>
            </w:pPr>
          </w:p>
          <w:p w14:paraId="34C7FC0C">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4FA9EB9E">
            <w:pPr>
              <w:spacing w:line="255" w:lineRule="auto"/>
              <w:rPr>
                <w:rFonts w:ascii="Arial"/>
                <w:sz w:val="21"/>
              </w:rPr>
            </w:pPr>
          </w:p>
          <w:p w14:paraId="6654D0EF">
            <w:pPr>
              <w:spacing w:line="255" w:lineRule="auto"/>
              <w:rPr>
                <w:rFonts w:ascii="Arial"/>
                <w:sz w:val="21"/>
              </w:rPr>
            </w:pPr>
          </w:p>
          <w:p w14:paraId="20259810">
            <w:pPr>
              <w:spacing w:line="255" w:lineRule="auto"/>
              <w:rPr>
                <w:rFonts w:ascii="Arial"/>
                <w:sz w:val="21"/>
              </w:rPr>
            </w:pPr>
          </w:p>
          <w:p w14:paraId="5F9E07D7">
            <w:pPr>
              <w:spacing w:line="255" w:lineRule="auto"/>
              <w:rPr>
                <w:rFonts w:ascii="Arial"/>
                <w:sz w:val="21"/>
              </w:rPr>
            </w:pPr>
          </w:p>
          <w:p w14:paraId="6134C93C">
            <w:pPr>
              <w:spacing w:line="255" w:lineRule="auto"/>
              <w:rPr>
                <w:rFonts w:ascii="Arial"/>
                <w:sz w:val="21"/>
              </w:rPr>
            </w:pPr>
          </w:p>
          <w:p w14:paraId="1F1BB2FC">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354455B2">
            <w:pPr>
              <w:spacing w:line="259" w:lineRule="auto"/>
              <w:rPr>
                <w:rFonts w:ascii="Arial"/>
                <w:sz w:val="21"/>
              </w:rPr>
            </w:pPr>
          </w:p>
          <w:p w14:paraId="2FECDCD6">
            <w:pPr>
              <w:spacing w:line="259" w:lineRule="auto"/>
              <w:rPr>
                <w:rFonts w:ascii="Arial"/>
                <w:sz w:val="21"/>
              </w:rPr>
            </w:pPr>
          </w:p>
          <w:p w14:paraId="5FBCECA4">
            <w:pPr>
              <w:spacing w:line="259" w:lineRule="auto"/>
              <w:rPr>
                <w:rFonts w:ascii="Arial"/>
                <w:sz w:val="21"/>
              </w:rPr>
            </w:pPr>
          </w:p>
          <w:p w14:paraId="6BDA48DE">
            <w:pPr>
              <w:spacing w:line="260" w:lineRule="auto"/>
              <w:rPr>
                <w:rFonts w:ascii="Arial"/>
                <w:sz w:val="21"/>
              </w:rPr>
            </w:pPr>
          </w:p>
          <w:p w14:paraId="76B3ACA1">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5BEDA9C2">
      <w:pPr>
        <w:pStyle w:val="2"/>
        <w:spacing w:line="217" w:lineRule="exact"/>
        <w:rPr>
          <w:sz w:val="18"/>
        </w:rPr>
      </w:pPr>
    </w:p>
    <w:p w14:paraId="174408D4">
      <w:pPr>
        <w:spacing w:line="217" w:lineRule="exact"/>
        <w:rPr>
          <w:sz w:val="18"/>
          <w:szCs w:val="18"/>
        </w:rPr>
        <w:sectPr>
          <w:footerReference r:id="rId92" w:type="default"/>
          <w:pgSz w:w="16839" w:h="11906"/>
          <w:pgMar w:top="1012" w:right="991" w:bottom="967" w:left="1021" w:header="0" w:footer="768" w:gutter="0"/>
          <w:cols w:space="720" w:num="1"/>
        </w:sectPr>
      </w:pPr>
    </w:p>
    <w:p w14:paraId="3CB409CE">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59171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0" w:hRule="atLeast"/>
        </w:trPr>
        <w:tc>
          <w:tcPr>
            <w:tcW w:w="624" w:type="dxa"/>
            <w:vMerge w:val="restart"/>
            <w:tcBorders>
              <w:bottom w:val="nil"/>
            </w:tcBorders>
            <w:vAlign w:val="top"/>
          </w:tcPr>
          <w:p w14:paraId="25BACA56">
            <w:pPr>
              <w:pStyle w:val="8"/>
              <w:spacing w:before="267" w:line="221" w:lineRule="auto"/>
              <w:ind w:left="134"/>
            </w:pPr>
            <w:r>
              <w:rPr>
                <w:b/>
                <w:bCs/>
                <w:spacing w:val="-4"/>
              </w:rPr>
              <w:t>序号</w:t>
            </w:r>
          </w:p>
        </w:tc>
        <w:tc>
          <w:tcPr>
            <w:tcW w:w="1104" w:type="dxa"/>
            <w:vMerge w:val="restart"/>
            <w:tcBorders>
              <w:bottom w:val="nil"/>
            </w:tcBorders>
            <w:vAlign w:val="top"/>
          </w:tcPr>
          <w:p w14:paraId="57CEEB19">
            <w:pPr>
              <w:pStyle w:val="8"/>
              <w:spacing w:before="260" w:line="220" w:lineRule="auto"/>
              <w:ind w:left="192"/>
            </w:pPr>
            <w:r>
              <w:rPr>
                <w:b/>
                <w:bCs/>
                <w:spacing w:val="-4"/>
              </w:rPr>
              <w:t>事项名称</w:t>
            </w:r>
          </w:p>
        </w:tc>
        <w:tc>
          <w:tcPr>
            <w:tcW w:w="1104" w:type="dxa"/>
            <w:vMerge w:val="restart"/>
            <w:tcBorders>
              <w:bottom w:val="nil"/>
            </w:tcBorders>
            <w:vAlign w:val="top"/>
          </w:tcPr>
          <w:p w14:paraId="0159FFD2">
            <w:pPr>
              <w:pStyle w:val="8"/>
              <w:spacing w:before="260" w:line="219" w:lineRule="auto"/>
              <w:ind w:left="193"/>
            </w:pPr>
            <w:r>
              <w:rPr>
                <w:b/>
                <w:bCs/>
                <w:spacing w:val="-4"/>
              </w:rPr>
              <w:t>职权类型</w:t>
            </w:r>
          </w:p>
        </w:tc>
        <w:tc>
          <w:tcPr>
            <w:tcW w:w="8549" w:type="dxa"/>
            <w:vMerge w:val="restart"/>
            <w:tcBorders>
              <w:bottom w:val="nil"/>
            </w:tcBorders>
            <w:vAlign w:val="top"/>
          </w:tcPr>
          <w:p w14:paraId="315A85EE">
            <w:pPr>
              <w:pStyle w:val="8"/>
              <w:spacing w:before="259" w:line="219" w:lineRule="auto"/>
              <w:ind w:left="3921"/>
            </w:pPr>
            <w:r>
              <w:rPr>
                <w:b/>
                <w:bCs/>
                <w:spacing w:val="-5"/>
              </w:rPr>
              <w:t>实施依据</w:t>
            </w:r>
          </w:p>
        </w:tc>
        <w:tc>
          <w:tcPr>
            <w:tcW w:w="3439" w:type="dxa"/>
            <w:gridSpan w:val="3"/>
            <w:vAlign w:val="top"/>
          </w:tcPr>
          <w:p w14:paraId="03BC54BF">
            <w:pPr>
              <w:pStyle w:val="8"/>
              <w:spacing w:before="85" w:line="220" w:lineRule="auto"/>
              <w:ind w:left="1365"/>
            </w:pPr>
            <w:r>
              <w:rPr>
                <w:b/>
                <w:bCs/>
                <w:spacing w:val="-5"/>
              </w:rPr>
              <w:t>实施主体</w:t>
            </w:r>
          </w:p>
        </w:tc>
      </w:tr>
      <w:tr w14:paraId="359B0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7DA9E2C1">
            <w:pPr>
              <w:rPr>
                <w:rFonts w:ascii="Arial"/>
                <w:sz w:val="21"/>
              </w:rPr>
            </w:pPr>
          </w:p>
        </w:tc>
        <w:tc>
          <w:tcPr>
            <w:tcW w:w="1104" w:type="dxa"/>
            <w:vMerge w:val="continue"/>
            <w:tcBorders>
              <w:top w:val="nil"/>
            </w:tcBorders>
            <w:vAlign w:val="top"/>
          </w:tcPr>
          <w:p w14:paraId="6CA525C4">
            <w:pPr>
              <w:rPr>
                <w:rFonts w:ascii="Arial"/>
                <w:sz w:val="21"/>
              </w:rPr>
            </w:pPr>
          </w:p>
        </w:tc>
        <w:tc>
          <w:tcPr>
            <w:tcW w:w="1104" w:type="dxa"/>
            <w:vMerge w:val="continue"/>
            <w:tcBorders>
              <w:top w:val="nil"/>
            </w:tcBorders>
            <w:vAlign w:val="top"/>
          </w:tcPr>
          <w:p w14:paraId="75E4D00D">
            <w:pPr>
              <w:rPr>
                <w:rFonts w:ascii="Arial"/>
                <w:sz w:val="21"/>
              </w:rPr>
            </w:pPr>
          </w:p>
        </w:tc>
        <w:tc>
          <w:tcPr>
            <w:tcW w:w="8549" w:type="dxa"/>
            <w:vMerge w:val="continue"/>
            <w:tcBorders>
              <w:top w:val="nil"/>
            </w:tcBorders>
            <w:vAlign w:val="top"/>
          </w:tcPr>
          <w:p w14:paraId="0856D373">
            <w:pPr>
              <w:rPr>
                <w:rFonts w:ascii="Arial"/>
                <w:sz w:val="21"/>
              </w:rPr>
            </w:pPr>
          </w:p>
        </w:tc>
        <w:tc>
          <w:tcPr>
            <w:tcW w:w="1014" w:type="dxa"/>
            <w:vAlign w:val="top"/>
          </w:tcPr>
          <w:p w14:paraId="07C2901D">
            <w:pPr>
              <w:pStyle w:val="8"/>
              <w:spacing w:before="80" w:line="219" w:lineRule="auto"/>
              <w:ind w:left="158"/>
            </w:pPr>
            <w:r>
              <w:rPr>
                <w:b/>
                <w:bCs/>
                <w:spacing w:val="-5"/>
              </w:rPr>
              <w:t>责任部门</w:t>
            </w:r>
          </w:p>
        </w:tc>
        <w:tc>
          <w:tcPr>
            <w:tcW w:w="1407" w:type="dxa"/>
            <w:vAlign w:val="top"/>
          </w:tcPr>
          <w:p w14:paraId="497A1708">
            <w:pPr>
              <w:pStyle w:val="8"/>
              <w:spacing w:before="80" w:line="219" w:lineRule="auto"/>
              <w:ind w:left="167"/>
            </w:pPr>
            <w:r>
              <w:rPr>
                <w:b/>
                <w:bCs/>
                <w:spacing w:val="-3"/>
              </w:rPr>
              <w:t>第一责任层级</w:t>
            </w:r>
          </w:p>
        </w:tc>
        <w:tc>
          <w:tcPr>
            <w:tcW w:w="1018" w:type="dxa"/>
            <w:vAlign w:val="top"/>
          </w:tcPr>
          <w:p w14:paraId="2D93C785">
            <w:pPr>
              <w:pStyle w:val="8"/>
              <w:spacing w:before="80" w:line="219" w:lineRule="auto"/>
              <w:ind w:left="152"/>
            </w:pPr>
            <w:r>
              <w:rPr>
                <w:b/>
                <w:bCs/>
                <w:spacing w:val="-4"/>
              </w:rPr>
              <w:t>承办机构</w:t>
            </w:r>
          </w:p>
        </w:tc>
      </w:tr>
      <w:tr w14:paraId="40326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24" w:type="dxa"/>
            <w:vAlign w:val="top"/>
          </w:tcPr>
          <w:p w14:paraId="1CB60544">
            <w:pPr>
              <w:rPr>
                <w:rFonts w:ascii="Arial"/>
                <w:sz w:val="21"/>
              </w:rPr>
            </w:pPr>
          </w:p>
        </w:tc>
        <w:tc>
          <w:tcPr>
            <w:tcW w:w="1104" w:type="dxa"/>
            <w:vAlign w:val="top"/>
          </w:tcPr>
          <w:p w14:paraId="02293592">
            <w:pPr>
              <w:rPr>
                <w:rFonts w:ascii="Arial"/>
                <w:sz w:val="21"/>
              </w:rPr>
            </w:pPr>
          </w:p>
        </w:tc>
        <w:tc>
          <w:tcPr>
            <w:tcW w:w="1104" w:type="dxa"/>
            <w:vAlign w:val="top"/>
          </w:tcPr>
          <w:p w14:paraId="0D2D8F65">
            <w:pPr>
              <w:rPr>
                <w:rFonts w:ascii="Arial"/>
                <w:sz w:val="21"/>
              </w:rPr>
            </w:pPr>
          </w:p>
        </w:tc>
        <w:tc>
          <w:tcPr>
            <w:tcW w:w="8549" w:type="dxa"/>
            <w:vAlign w:val="top"/>
          </w:tcPr>
          <w:p w14:paraId="08993EA8">
            <w:pPr>
              <w:pStyle w:val="8"/>
              <w:spacing w:before="22" w:line="219" w:lineRule="auto"/>
              <w:ind w:left="474"/>
            </w:pPr>
            <w:r>
              <w:rPr>
                <w:b/>
                <w:bCs/>
                <w:spacing w:val="-3"/>
              </w:rPr>
              <w:t>3.《公路建设监督管理办法》（交通运输</w:t>
            </w:r>
            <w:r>
              <w:rPr>
                <w:b/>
                <w:bCs/>
                <w:spacing w:val="-4"/>
              </w:rPr>
              <w:t>部令</w:t>
            </w:r>
            <w:r>
              <w:rPr>
                <w:spacing w:val="-36"/>
              </w:rPr>
              <w:t xml:space="preserve"> </w:t>
            </w:r>
            <w:r>
              <w:rPr>
                <w:b/>
                <w:bCs/>
                <w:spacing w:val="-4"/>
              </w:rPr>
              <w:t>2021</w:t>
            </w:r>
            <w:r>
              <w:rPr>
                <w:spacing w:val="-37"/>
              </w:rPr>
              <w:t xml:space="preserve"> </w:t>
            </w:r>
            <w:r>
              <w:rPr>
                <w:b/>
                <w:bCs/>
                <w:spacing w:val="-4"/>
              </w:rPr>
              <w:t>年第</w:t>
            </w:r>
            <w:r>
              <w:rPr>
                <w:spacing w:val="-22"/>
              </w:rPr>
              <w:t xml:space="preserve"> </w:t>
            </w:r>
            <w:r>
              <w:rPr>
                <w:b/>
                <w:bCs/>
                <w:spacing w:val="-4"/>
              </w:rPr>
              <w:t>11</w:t>
            </w:r>
            <w:r>
              <w:rPr>
                <w:spacing w:val="-34"/>
              </w:rPr>
              <w:t xml:space="preserve"> </w:t>
            </w:r>
            <w:r>
              <w:rPr>
                <w:b/>
                <w:bCs/>
                <w:spacing w:val="-4"/>
              </w:rPr>
              <w:t>号）</w:t>
            </w:r>
          </w:p>
          <w:p w14:paraId="7D68E1FC">
            <w:pPr>
              <w:pStyle w:val="8"/>
              <w:spacing w:before="5" w:line="222" w:lineRule="auto"/>
              <w:ind w:left="114" w:right="159" w:firstLine="357"/>
            </w:pPr>
            <w:r>
              <w:t>第十二条  公路建设项目法人应当依法选择勘察、设计、施工、咨询、监理单位</w:t>
            </w:r>
            <w:r>
              <w:rPr>
                <w:spacing w:val="-1"/>
              </w:rPr>
              <w:t>，采购与工程建设有</w:t>
            </w:r>
            <w:r>
              <w:t xml:space="preserve"> </w:t>
            </w:r>
            <w:r>
              <w:rPr>
                <w:spacing w:val="-1"/>
              </w:rPr>
              <w:t>关的重要设备、材料，办理施工许可，组织项目实施，组织项目交工验收，准备项目竣工验收和后评价。</w:t>
            </w:r>
          </w:p>
          <w:p w14:paraId="090DEB52">
            <w:pPr>
              <w:pStyle w:val="8"/>
              <w:spacing w:before="7" w:line="216" w:lineRule="auto"/>
              <w:ind w:left="110" w:right="116" w:firstLine="360"/>
            </w:pPr>
            <w:r>
              <w:t xml:space="preserve">第三十八条  违反本办法第十二条规定，项目法人将工程发包给不具有相应资质等级的勘察、设计、 </w:t>
            </w:r>
            <w:r>
              <w:rPr>
                <w:spacing w:val="-2"/>
              </w:rPr>
              <w:t>施工和监理单位的，责令改正，处</w:t>
            </w:r>
            <w:r>
              <w:rPr>
                <w:spacing w:val="-34"/>
              </w:rPr>
              <w:t xml:space="preserve"> </w:t>
            </w:r>
            <w:r>
              <w:rPr>
                <w:spacing w:val="-2"/>
              </w:rPr>
              <w:t>50</w:t>
            </w:r>
            <w:r>
              <w:rPr>
                <w:spacing w:val="-37"/>
              </w:rPr>
              <w:t xml:space="preserve"> </w:t>
            </w:r>
            <w:r>
              <w:rPr>
                <w:spacing w:val="-2"/>
              </w:rPr>
              <w:t>万元以上</w:t>
            </w:r>
            <w:r>
              <w:rPr>
                <w:spacing w:val="-24"/>
              </w:rPr>
              <w:t xml:space="preserve"> </w:t>
            </w:r>
            <w:r>
              <w:rPr>
                <w:spacing w:val="-2"/>
              </w:rPr>
              <w:t>100</w:t>
            </w:r>
            <w:r>
              <w:rPr>
                <w:spacing w:val="-34"/>
              </w:rPr>
              <w:t xml:space="preserve"> </w:t>
            </w:r>
            <w:r>
              <w:rPr>
                <w:spacing w:val="-2"/>
              </w:rPr>
              <w:t>万元以下的罚款；未按规定办理施</w:t>
            </w:r>
            <w:r>
              <w:rPr>
                <w:spacing w:val="-3"/>
              </w:rPr>
              <w:t>工许可擅自施工的，</w:t>
            </w:r>
            <w:r>
              <w:t xml:space="preserve"> </w:t>
            </w:r>
            <w:r>
              <w:rPr>
                <w:spacing w:val="-2"/>
              </w:rPr>
              <w:t>责令停止施工、限期改正，视情节可处工程合同价款</w:t>
            </w:r>
            <w:r>
              <w:rPr>
                <w:spacing w:val="-25"/>
              </w:rPr>
              <w:t xml:space="preserve"> </w:t>
            </w:r>
            <w:r>
              <w:rPr>
                <w:spacing w:val="-2"/>
              </w:rPr>
              <w:t>1％以上</w:t>
            </w:r>
            <w:r>
              <w:rPr>
                <w:spacing w:val="-28"/>
              </w:rPr>
              <w:t xml:space="preserve"> </w:t>
            </w:r>
            <w:r>
              <w:rPr>
                <w:spacing w:val="-2"/>
              </w:rPr>
              <w:t>2％以下罚款。</w:t>
            </w:r>
          </w:p>
        </w:tc>
        <w:tc>
          <w:tcPr>
            <w:tcW w:w="1014" w:type="dxa"/>
            <w:vAlign w:val="top"/>
          </w:tcPr>
          <w:p w14:paraId="3CD9188A">
            <w:pPr>
              <w:rPr>
                <w:rFonts w:ascii="Arial"/>
                <w:sz w:val="21"/>
              </w:rPr>
            </w:pPr>
          </w:p>
        </w:tc>
        <w:tc>
          <w:tcPr>
            <w:tcW w:w="1407" w:type="dxa"/>
            <w:vAlign w:val="top"/>
          </w:tcPr>
          <w:p w14:paraId="53FEDB94">
            <w:pPr>
              <w:rPr>
                <w:rFonts w:ascii="Arial"/>
                <w:sz w:val="21"/>
              </w:rPr>
            </w:pPr>
          </w:p>
        </w:tc>
        <w:tc>
          <w:tcPr>
            <w:tcW w:w="1018" w:type="dxa"/>
            <w:vAlign w:val="top"/>
          </w:tcPr>
          <w:p w14:paraId="4BB24077">
            <w:pPr>
              <w:rPr>
                <w:rFonts w:ascii="Arial"/>
                <w:sz w:val="21"/>
              </w:rPr>
            </w:pPr>
          </w:p>
        </w:tc>
      </w:tr>
      <w:tr w14:paraId="7A3BE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3" w:hRule="atLeast"/>
        </w:trPr>
        <w:tc>
          <w:tcPr>
            <w:tcW w:w="624" w:type="dxa"/>
            <w:vAlign w:val="top"/>
          </w:tcPr>
          <w:p w14:paraId="7C03EDE0">
            <w:pPr>
              <w:rPr>
                <w:rFonts w:ascii="Arial"/>
                <w:sz w:val="21"/>
              </w:rPr>
            </w:pPr>
          </w:p>
          <w:p w14:paraId="67B107ED">
            <w:pPr>
              <w:rPr>
                <w:rFonts w:ascii="Arial"/>
                <w:sz w:val="21"/>
              </w:rPr>
            </w:pPr>
          </w:p>
          <w:p w14:paraId="53E31E57">
            <w:pPr>
              <w:rPr>
                <w:rFonts w:ascii="Arial"/>
                <w:sz w:val="21"/>
              </w:rPr>
            </w:pPr>
          </w:p>
          <w:p w14:paraId="7798E9B9">
            <w:pPr>
              <w:rPr>
                <w:rFonts w:ascii="Arial"/>
                <w:sz w:val="21"/>
              </w:rPr>
            </w:pPr>
          </w:p>
          <w:p w14:paraId="56F743D4">
            <w:pPr>
              <w:rPr>
                <w:rFonts w:ascii="Arial"/>
                <w:sz w:val="21"/>
              </w:rPr>
            </w:pPr>
          </w:p>
          <w:p w14:paraId="44E4E319">
            <w:pPr>
              <w:pStyle w:val="8"/>
              <w:spacing w:before="59" w:line="183" w:lineRule="auto"/>
              <w:ind w:left="234"/>
            </w:pPr>
            <w:r>
              <w:rPr>
                <w:spacing w:val="-6"/>
              </w:rPr>
              <w:t>38</w:t>
            </w:r>
          </w:p>
        </w:tc>
        <w:tc>
          <w:tcPr>
            <w:tcW w:w="1104" w:type="dxa"/>
            <w:vAlign w:val="top"/>
          </w:tcPr>
          <w:p w14:paraId="47E07F7A">
            <w:pPr>
              <w:spacing w:line="453" w:lineRule="auto"/>
              <w:rPr>
                <w:rFonts w:ascii="Arial"/>
                <w:sz w:val="21"/>
              </w:rPr>
            </w:pPr>
          </w:p>
          <w:p w14:paraId="07D928DB">
            <w:pPr>
              <w:pStyle w:val="8"/>
              <w:spacing w:before="59" w:line="243" w:lineRule="auto"/>
              <w:ind w:left="60" w:right="10"/>
              <w:jc w:val="both"/>
            </w:pPr>
            <w:r>
              <w:rPr>
                <w:spacing w:val="16"/>
              </w:rPr>
              <w:t>对交通运输</w:t>
            </w:r>
            <w:r>
              <w:rPr>
                <w:spacing w:val="1"/>
              </w:rPr>
              <w:t xml:space="preserve"> </w:t>
            </w:r>
            <w:r>
              <w:rPr>
                <w:spacing w:val="16"/>
              </w:rPr>
              <w:t>建设工程领</w:t>
            </w:r>
            <w:r>
              <w:rPr>
                <w:spacing w:val="1"/>
              </w:rPr>
              <w:t xml:space="preserve"> </w:t>
            </w:r>
            <w:r>
              <w:rPr>
                <w:spacing w:val="16"/>
              </w:rPr>
              <w:t>域指定分包</w:t>
            </w:r>
            <w:r>
              <w:rPr>
                <w:spacing w:val="1"/>
              </w:rPr>
              <w:t xml:space="preserve"> </w:t>
            </w:r>
            <w:r>
              <w:rPr>
                <w:spacing w:val="-9"/>
              </w:rPr>
              <w:t>和指定采购，</w:t>
            </w:r>
            <w:r>
              <w:rPr>
                <w:spacing w:val="1"/>
              </w:rPr>
              <w:t xml:space="preserve"> </w:t>
            </w:r>
            <w:r>
              <w:rPr>
                <w:spacing w:val="16"/>
              </w:rPr>
              <w:t>随意压缩工</w:t>
            </w:r>
            <w:r>
              <w:rPr>
                <w:spacing w:val="1"/>
              </w:rPr>
              <w:t xml:space="preserve"> </w:t>
            </w:r>
            <w:r>
              <w:rPr>
                <w:spacing w:val="16"/>
              </w:rPr>
              <w:t>期行为的行</w:t>
            </w:r>
            <w:r>
              <w:rPr>
                <w:spacing w:val="1"/>
              </w:rPr>
              <w:t xml:space="preserve"> </w:t>
            </w:r>
            <w:r>
              <w:rPr>
                <w:spacing w:val="-2"/>
              </w:rPr>
              <w:t>政处罚</w:t>
            </w:r>
          </w:p>
        </w:tc>
        <w:tc>
          <w:tcPr>
            <w:tcW w:w="1104" w:type="dxa"/>
            <w:vAlign w:val="top"/>
          </w:tcPr>
          <w:p w14:paraId="68B7CEE7">
            <w:pPr>
              <w:spacing w:line="293" w:lineRule="auto"/>
              <w:rPr>
                <w:rFonts w:ascii="Arial"/>
                <w:sz w:val="21"/>
              </w:rPr>
            </w:pPr>
          </w:p>
          <w:p w14:paraId="62A05F61">
            <w:pPr>
              <w:spacing w:line="293" w:lineRule="auto"/>
              <w:rPr>
                <w:rFonts w:ascii="Arial"/>
                <w:sz w:val="21"/>
              </w:rPr>
            </w:pPr>
          </w:p>
          <w:p w14:paraId="47C31B4A">
            <w:pPr>
              <w:spacing w:line="293" w:lineRule="auto"/>
              <w:rPr>
                <w:rFonts w:ascii="Arial"/>
                <w:sz w:val="21"/>
              </w:rPr>
            </w:pPr>
          </w:p>
          <w:p w14:paraId="7447FBEF">
            <w:pPr>
              <w:spacing w:line="293" w:lineRule="auto"/>
              <w:rPr>
                <w:rFonts w:ascii="Arial"/>
                <w:sz w:val="21"/>
              </w:rPr>
            </w:pPr>
          </w:p>
          <w:p w14:paraId="273751AB">
            <w:pPr>
              <w:pStyle w:val="8"/>
              <w:spacing w:before="59" w:line="220" w:lineRule="auto"/>
              <w:ind w:left="10"/>
            </w:pPr>
            <w:r>
              <w:rPr>
                <w:spacing w:val="-2"/>
              </w:rPr>
              <w:t>行政处罚</w:t>
            </w:r>
          </w:p>
        </w:tc>
        <w:tc>
          <w:tcPr>
            <w:tcW w:w="8549" w:type="dxa"/>
            <w:vAlign w:val="top"/>
          </w:tcPr>
          <w:p w14:paraId="2EB7AF69">
            <w:pPr>
              <w:pStyle w:val="8"/>
              <w:spacing w:before="38" w:line="219" w:lineRule="auto"/>
              <w:ind w:left="484"/>
            </w:pPr>
            <w:r>
              <w:rPr>
                <w:b/>
                <w:bCs/>
                <w:spacing w:val="-4"/>
              </w:rPr>
              <w:t>1.《建设工程质量管理条例》</w:t>
            </w:r>
          </w:p>
          <w:p w14:paraId="102BF7D6">
            <w:pPr>
              <w:pStyle w:val="8"/>
              <w:spacing w:before="26" w:line="218" w:lineRule="auto"/>
              <w:ind w:left="471"/>
            </w:pPr>
            <w:r>
              <w:rPr>
                <w:spacing w:val="-1"/>
              </w:rPr>
              <w:t>第十条第一款  建设工程发包单位不得迫使承包方以低于成本的价格竞标，不得任意压缩合理工期。</w:t>
            </w:r>
          </w:p>
          <w:p w14:paraId="3600282A">
            <w:pPr>
              <w:pStyle w:val="8"/>
              <w:spacing w:before="26" w:line="233" w:lineRule="auto"/>
              <w:ind w:left="115" w:right="103" w:firstLine="355"/>
            </w:pPr>
            <w:r>
              <w:rPr>
                <w:spacing w:val="-2"/>
              </w:rPr>
              <w:t>第五十六条第（二）项  违反本条例规定，建设单位有</w:t>
            </w:r>
            <w:r>
              <w:rPr>
                <w:spacing w:val="-3"/>
              </w:rPr>
              <w:t>下列行为之一的，责令改正，处</w:t>
            </w:r>
            <w:r>
              <w:rPr>
                <w:spacing w:val="-36"/>
              </w:rPr>
              <w:t xml:space="preserve"> </w:t>
            </w:r>
            <w:r>
              <w:rPr>
                <w:spacing w:val="-3"/>
              </w:rPr>
              <w:t>20</w:t>
            </w:r>
            <w:r>
              <w:rPr>
                <w:spacing w:val="-36"/>
              </w:rPr>
              <w:t xml:space="preserve"> </w:t>
            </w:r>
            <w:r>
              <w:rPr>
                <w:spacing w:val="-3"/>
              </w:rPr>
              <w:t>万元以上</w:t>
            </w:r>
            <w:r>
              <w:rPr>
                <w:spacing w:val="-34"/>
              </w:rPr>
              <w:t xml:space="preserve"> </w:t>
            </w:r>
            <w:r>
              <w:rPr>
                <w:spacing w:val="-3"/>
              </w:rPr>
              <w:t>50</w:t>
            </w:r>
            <w:r>
              <w:t xml:space="preserve"> </w:t>
            </w:r>
            <w:r>
              <w:rPr>
                <w:spacing w:val="-2"/>
              </w:rPr>
              <w:t>万元以下的罚款</w:t>
            </w:r>
            <w:r>
              <w:t>：（</w:t>
            </w:r>
            <w:r>
              <w:rPr>
                <w:spacing w:val="-2"/>
              </w:rPr>
              <w:t>二）任意压缩合理工期的。</w:t>
            </w:r>
          </w:p>
          <w:p w14:paraId="5BB5CC3A">
            <w:pPr>
              <w:pStyle w:val="8"/>
              <w:spacing w:before="26" w:line="219" w:lineRule="auto"/>
              <w:ind w:left="473"/>
            </w:pPr>
            <w:r>
              <w:rPr>
                <w:b/>
                <w:bCs/>
                <w:spacing w:val="-3"/>
              </w:rPr>
              <w:t>2.《公路建设监督管理办法》（交通运输部令</w:t>
            </w:r>
            <w:r>
              <w:rPr>
                <w:spacing w:val="-35"/>
              </w:rPr>
              <w:t xml:space="preserve"> </w:t>
            </w:r>
            <w:r>
              <w:rPr>
                <w:b/>
                <w:bCs/>
                <w:spacing w:val="-3"/>
              </w:rPr>
              <w:t>2</w:t>
            </w:r>
            <w:r>
              <w:rPr>
                <w:b/>
                <w:bCs/>
                <w:spacing w:val="-4"/>
              </w:rPr>
              <w:t>021</w:t>
            </w:r>
            <w:r>
              <w:rPr>
                <w:spacing w:val="-38"/>
              </w:rPr>
              <w:t xml:space="preserve"> </w:t>
            </w:r>
            <w:r>
              <w:rPr>
                <w:b/>
                <w:bCs/>
                <w:spacing w:val="-4"/>
              </w:rPr>
              <w:t>年第</w:t>
            </w:r>
            <w:r>
              <w:rPr>
                <w:spacing w:val="-24"/>
              </w:rPr>
              <w:t xml:space="preserve"> </w:t>
            </w:r>
            <w:r>
              <w:rPr>
                <w:b/>
                <w:bCs/>
                <w:spacing w:val="-4"/>
              </w:rPr>
              <w:t>11</w:t>
            </w:r>
            <w:r>
              <w:rPr>
                <w:spacing w:val="-31"/>
              </w:rPr>
              <w:t xml:space="preserve"> </w:t>
            </w:r>
            <w:r>
              <w:rPr>
                <w:b/>
                <w:bCs/>
                <w:spacing w:val="-4"/>
              </w:rPr>
              <w:t>号）</w:t>
            </w:r>
          </w:p>
          <w:p w14:paraId="0059D3EA">
            <w:pPr>
              <w:pStyle w:val="8"/>
              <w:spacing w:before="27" w:line="219" w:lineRule="auto"/>
              <w:ind w:left="471"/>
            </w:pPr>
            <w:r>
              <w:rPr>
                <w:spacing w:val="-1"/>
              </w:rPr>
              <w:t>第十九条  公路建设项目法人应当承担公路建设相关</w:t>
            </w:r>
            <w:r>
              <w:rPr>
                <w:spacing w:val="-2"/>
              </w:rPr>
              <w:t>责任和义务，对建设项目质量、投资和工期负责。</w:t>
            </w:r>
          </w:p>
          <w:p w14:paraId="0953CCEC">
            <w:pPr>
              <w:pStyle w:val="8"/>
              <w:spacing w:before="25" w:line="233" w:lineRule="auto"/>
              <w:ind w:left="113" w:right="159" w:firstLine="363"/>
            </w:pPr>
            <w:r>
              <w:t>公路建设项目法人必须依法开展招标活动，不得接受投标人低于成本</w:t>
            </w:r>
            <w:r>
              <w:rPr>
                <w:spacing w:val="-1"/>
              </w:rPr>
              <w:t>价的投标，不得随意压缩建设工</w:t>
            </w:r>
            <w:r>
              <w:t xml:space="preserve"> </w:t>
            </w:r>
            <w:r>
              <w:rPr>
                <w:spacing w:val="-3"/>
              </w:rPr>
              <w:t>期，禁止指定分包和指定采购。</w:t>
            </w:r>
          </w:p>
          <w:p w14:paraId="093F859D">
            <w:pPr>
              <w:pStyle w:val="8"/>
              <w:spacing w:before="25" w:line="231" w:lineRule="auto"/>
              <w:ind w:left="111" w:right="159" w:firstLine="359"/>
              <w:jc w:val="both"/>
            </w:pPr>
            <w:r>
              <w:t>第四十一条  违反本办法第十九条规定，项目法人随意压缩工期，侵犯他人合法</w:t>
            </w:r>
            <w:r>
              <w:rPr>
                <w:spacing w:val="-1"/>
              </w:rPr>
              <w:t>权益的，责令限期改</w:t>
            </w:r>
            <w:r>
              <w:t xml:space="preserve"> </w:t>
            </w:r>
            <w:r>
              <w:rPr>
                <w:spacing w:val="-1"/>
              </w:rPr>
              <w:t>正，可处</w:t>
            </w:r>
            <w:r>
              <w:rPr>
                <w:spacing w:val="-36"/>
              </w:rPr>
              <w:t xml:space="preserve"> </w:t>
            </w:r>
            <w:r>
              <w:rPr>
                <w:spacing w:val="-1"/>
              </w:rPr>
              <w:t>20</w:t>
            </w:r>
            <w:r>
              <w:rPr>
                <w:spacing w:val="-36"/>
              </w:rPr>
              <w:t xml:space="preserve"> </w:t>
            </w:r>
            <w:r>
              <w:rPr>
                <w:spacing w:val="-1"/>
              </w:rPr>
              <w:t>万元以上</w:t>
            </w:r>
            <w:r>
              <w:rPr>
                <w:spacing w:val="-34"/>
              </w:rPr>
              <w:t xml:space="preserve"> </w:t>
            </w:r>
            <w:r>
              <w:rPr>
                <w:spacing w:val="-1"/>
              </w:rPr>
              <w:t>50</w:t>
            </w:r>
            <w:r>
              <w:rPr>
                <w:spacing w:val="-34"/>
              </w:rPr>
              <w:t xml:space="preserve"> </w:t>
            </w:r>
            <w:r>
              <w:rPr>
                <w:spacing w:val="-1"/>
              </w:rPr>
              <w:t>万元以下的罚款；造成严重后果的，对全部或部分使用财政性资金的项目，</w:t>
            </w:r>
            <w:r>
              <w:rPr>
                <w:spacing w:val="-2"/>
              </w:rPr>
              <w:t>可暂</w:t>
            </w:r>
            <w:r>
              <w:t xml:space="preserve"> </w:t>
            </w:r>
            <w:r>
              <w:rPr>
                <w:spacing w:val="-3"/>
              </w:rPr>
              <w:t>停项目执行或暂缓资金拨付。</w:t>
            </w:r>
          </w:p>
        </w:tc>
        <w:tc>
          <w:tcPr>
            <w:tcW w:w="1014" w:type="dxa"/>
            <w:vAlign w:val="top"/>
          </w:tcPr>
          <w:p w14:paraId="1F159316">
            <w:pPr>
              <w:spacing w:line="263" w:lineRule="auto"/>
              <w:rPr>
                <w:rFonts w:ascii="Arial"/>
                <w:sz w:val="21"/>
              </w:rPr>
            </w:pPr>
          </w:p>
          <w:p w14:paraId="2C483EE6">
            <w:pPr>
              <w:spacing w:line="263" w:lineRule="auto"/>
              <w:rPr>
                <w:rFonts w:ascii="Arial"/>
                <w:sz w:val="21"/>
              </w:rPr>
            </w:pPr>
          </w:p>
          <w:p w14:paraId="2ED0B7A1">
            <w:pPr>
              <w:spacing w:line="263" w:lineRule="auto"/>
              <w:rPr>
                <w:rFonts w:ascii="Arial"/>
                <w:sz w:val="21"/>
              </w:rPr>
            </w:pPr>
          </w:p>
          <w:p w14:paraId="4FB6837C">
            <w:pPr>
              <w:spacing w:line="263" w:lineRule="auto"/>
              <w:rPr>
                <w:rFonts w:ascii="Arial"/>
                <w:sz w:val="21"/>
              </w:rPr>
            </w:pPr>
          </w:p>
          <w:p w14:paraId="6453F1FE">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5CF8ED58">
            <w:pPr>
              <w:spacing w:line="263" w:lineRule="auto"/>
              <w:rPr>
                <w:rFonts w:ascii="Arial"/>
                <w:sz w:val="21"/>
              </w:rPr>
            </w:pPr>
          </w:p>
          <w:p w14:paraId="5EA5D84C">
            <w:pPr>
              <w:spacing w:line="263" w:lineRule="auto"/>
              <w:rPr>
                <w:rFonts w:ascii="Arial"/>
                <w:sz w:val="21"/>
              </w:rPr>
            </w:pPr>
          </w:p>
          <w:p w14:paraId="180871B4">
            <w:pPr>
              <w:spacing w:line="263" w:lineRule="auto"/>
              <w:rPr>
                <w:rFonts w:ascii="Arial"/>
                <w:sz w:val="21"/>
              </w:rPr>
            </w:pPr>
          </w:p>
          <w:p w14:paraId="1760B591">
            <w:pPr>
              <w:spacing w:line="264" w:lineRule="auto"/>
              <w:rPr>
                <w:rFonts w:ascii="Arial"/>
                <w:sz w:val="21"/>
              </w:rPr>
            </w:pPr>
          </w:p>
          <w:p w14:paraId="64B96721">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BAB1A35">
            <w:pPr>
              <w:spacing w:line="271" w:lineRule="auto"/>
              <w:rPr>
                <w:rFonts w:ascii="Arial"/>
                <w:sz w:val="21"/>
              </w:rPr>
            </w:pPr>
          </w:p>
          <w:p w14:paraId="712B65E3">
            <w:pPr>
              <w:spacing w:line="272" w:lineRule="auto"/>
              <w:rPr>
                <w:rFonts w:ascii="Arial"/>
                <w:sz w:val="21"/>
              </w:rPr>
            </w:pPr>
          </w:p>
          <w:p w14:paraId="07DCB91D">
            <w:pPr>
              <w:spacing w:line="272" w:lineRule="auto"/>
              <w:rPr>
                <w:rFonts w:ascii="Arial"/>
                <w:sz w:val="21"/>
              </w:rPr>
            </w:pPr>
          </w:p>
          <w:p w14:paraId="1E3983B1">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F74A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624" w:type="dxa"/>
            <w:vAlign w:val="top"/>
          </w:tcPr>
          <w:p w14:paraId="65228B30">
            <w:pPr>
              <w:rPr>
                <w:rFonts w:ascii="Arial"/>
                <w:sz w:val="21"/>
              </w:rPr>
            </w:pPr>
          </w:p>
          <w:p w14:paraId="66577905">
            <w:pPr>
              <w:rPr>
                <w:rFonts w:ascii="Arial"/>
                <w:sz w:val="21"/>
              </w:rPr>
            </w:pPr>
          </w:p>
          <w:p w14:paraId="6745BE1E">
            <w:pPr>
              <w:rPr>
                <w:rFonts w:ascii="Arial"/>
                <w:sz w:val="21"/>
              </w:rPr>
            </w:pPr>
          </w:p>
          <w:p w14:paraId="29AE9E16">
            <w:pPr>
              <w:spacing w:line="241" w:lineRule="auto"/>
              <w:rPr>
                <w:rFonts w:ascii="Arial"/>
                <w:sz w:val="21"/>
              </w:rPr>
            </w:pPr>
          </w:p>
          <w:p w14:paraId="3AAF1D23">
            <w:pPr>
              <w:spacing w:line="241" w:lineRule="auto"/>
              <w:rPr>
                <w:rFonts w:ascii="Arial"/>
                <w:sz w:val="21"/>
              </w:rPr>
            </w:pPr>
          </w:p>
          <w:p w14:paraId="7A8E5419">
            <w:pPr>
              <w:spacing w:line="241" w:lineRule="auto"/>
              <w:rPr>
                <w:rFonts w:ascii="Arial"/>
                <w:sz w:val="21"/>
              </w:rPr>
            </w:pPr>
          </w:p>
          <w:p w14:paraId="0E2A915A">
            <w:pPr>
              <w:pStyle w:val="8"/>
              <w:spacing w:before="58" w:line="183" w:lineRule="auto"/>
              <w:ind w:left="234"/>
            </w:pPr>
            <w:r>
              <w:rPr>
                <w:spacing w:val="-6"/>
              </w:rPr>
              <w:t>39</w:t>
            </w:r>
          </w:p>
        </w:tc>
        <w:tc>
          <w:tcPr>
            <w:tcW w:w="1104" w:type="dxa"/>
            <w:vAlign w:val="top"/>
          </w:tcPr>
          <w:p w14:paraId="26A2F9BB">
            <w:pPr>
              <w:spacing w:line="291" w:lineRule="auto"/>
              <w:rPr>
                <w:rFonts w:ascii="Arial"/>
                <w:sz w:val="21"/>
              </w:rPr>
            </w:pPr>
          </w:p>
          <w:p w14:paraId="28214ECB">
            <w:pPr>
              <w:spacing w:line="292" w:lineRule="auto"/>
              <w:rPr>
                <w:rFonts w:ascii="Arial"/>
                <w:sz w:val="21"/>
              </w:rPr>
            </w:pPr>
          </w:p>
          <w:p w14:paraId="7B38F783">
            <w:pPr>
              <w:pStyle w:val="8"/>
              <w:spacing w:before="58" w:line="242" w:lineRule="auto"/>
              <w:ind w:left="61" w:right="56" w:hanging="1"/>
              <w:jc w:val="both"/>
            </w:pPr>
            <w:r>
              <w:rPr>
                <w:spacing w:val="16"/>
              </w:rPr>
              <w:t>对公路水运</w:t>
            </w:r>
            <w:r>
              <w:rPr>
                <w:spacing w:val="1"/>
              </w:rPr>
              <w:t xml:space="preserve"> </w:t>
            </w:r>
            <w:r>
              <w:rPr>
                <w:spacing w:val="16"/>
              </w:rPr>
              <w:t>工程建设项</w:t>
            </w:r>
            <w:r>
              <w:t xml:space="preserve"> </w:t>
            </w:r>
            <w:r>
              <w:rPr>
                <w:spacing w:val="16"/>
              </w:rPr>
              <w:t>目必须实行</w:t>
            </w:r>
            <w:r>
              <w:t xml:space="preserve"> </w:t>
            </w:r>
            <w:r>
              <w:rPr>
                <w:spacing w:val="16"/>
              </w:rPr>
              <w:t>工程监理而</w:t>
            </w:r>
            <w:r>
              <w:t xml:space="preserve"> </w:t>
            </w:r>
            <w:r>
              <w:rPr>
                <w:spacing w:val="16"/>
              </w:rPr>
              <w:t>未实行工程</w:t>
            </w:r>
            <w:r>
              <w:t xml:space="preserve"> </w:t>
            </w:r>
            <w:r>
              <w:rPr>
                <w:spacing w:val="16"/>
              </w:rPr>
              <w:t>监理行为的</w:t>
            </w:r>
            <w:r>
              <w:t xml:space="preserve"> </w:t>
            </w:r>
            <w:r>
              <w:rPr>
                <w:spacing w:val="-2"/>
              </w:rPr>
              <w:t>行政处罚</w:t>
            </w:r>
          </w:p>
        </w:tc>
        <w:tc>
          <w:tcPr>
            <w:tcW w:w="1104" w:type="dxa"/>
            <w:vAlign w:val="top"/>
          </w:tcPr>
          <w:p w14:paraId="6E372A2C">
            <w:pPr>
              <w:spacing w:line="283" w:lineRule="auto"/>
              <w:rPr>
                <w:rFonts w:ascii="Arial"/>
                <w:sz w:val="21"/>
              </w:rPr>
            </w:pPr>
          </w:p>
          <w:p w14:paraId="6B066F1F">
            <w:pPr>
              <w:spacing w:line="283" w:lineRule="auto"/>
              <w:rPr>
                <w:rFonts w:ascii="Arial"/>
                <w:sz w:val="21"/>
              </w:rPr>
            </w:pPr>
          </w:p>
          <w:p w14:paraId="05C697BE">
            <w:pPr>
              <w:spacing w:line="283" w:lineRule="auto"/>
              <w:rPr>
                <w:rFonts w:ascii="Arial"/>
                <w:sz w:val="21"/>
              </w:rPr>
            </w:pPr>
          </w:p>
          <w:p w14:paraId="566CFF70">
            <w:pPr>
              <w:spacing w:line="283" w:lineRule="auto"/>
              <w:rPr>
                <w:rFonts w:ascii="Arial"/>
                <w:sz w:val="21"/>
              </w:rPr>
            </w:pPr>
          </w:p>
          <w:p w14:paraId="58F60084">
            <w:pPr>
              <w:spacing w:line="283" w:lineRule="auto"/>
              <w:rPr>
                <w:rFonts w:ascii="Arial"/>
                <w:sz w:val="21"/>
              </w:rPr>
            </w:pPr>
          </w:p>
          <w:p w14:paraId="2834CB19">
            <w:pPr>
              <w:pStyle w:val="8"/>
              <w:spacing w:before="58" w:line="220" w:lineRule="auto"/>
              <w:ind w:left="10"/>
            </w:pPr>
            <w:r>
              <w:rPr>
                <w:spacing w:val="-2"/>
              </w:rPr>
              <w:t>行政处罚</w:t>
            </w:r>
          </w:p>
        </w:tc>
        <w:tc>
          <w:tcPr>
            <w:tcW w:w="8549" w:type="dxa"/>
            <w:vAlign w:val="top"/>
          </w:tcPr>
          <w:p w14:paraId="4CE2EE66">
            <w:pPr>
              <w:pStyle w:val="8"/>
              <w:spacing w:before="42" w:line="219" w:lineRule="auto"/>
              <w:ind w:left="484"/>
            </w:pPr>
            <w:r>
              <w:rPr>
                <w:b/>
                <w:bCs/>
                <w:spacing w:val="-4"/>
              </w:rPr>
              <w:t>1.《建设工程质量管理条例》</w:t>
            </w:r>
          </w:p>
          <w:p w14:paraId="152679D0">
            <w:pPr>
              <w:pStyle w:val="8"/>
              <w:spacing w:before="24" w:line="238" w:lineRule="auto"/>
              <w:ind w:left="112" w:right="159" w:firstLine="358"/>
              <w:jc w:val="both"/>
            </w:pPr>
            <w:r>
              <w:t>第十二条  实行监理的建设工程，建设单位应当委托具有相应资质等级的工程监</w:t>
            </w:r>
            <w:r>
              <w:rPr>
                <w:spacing w:val="-1"/>
              </w:rPr>
              <w:t>理单位进行监理，也</w:t>
            </w:r>
            <w:r>
              <w:t xml:space="preserve"> 可以委托具有工程监理相应资质等级并与被监理工程的施工承包单位没有隶属关系</w:t>
            </w:r>
            <w:r>
              <w:rPr>
                <w:spacing w:val="-1"/>
              </w:rPr>
              <w:t>或者其他利害关系的该</w:t>
            </w:r>
            <w:r>
              <w:t xml:space="preserve"> </w:t>
            </w:r>
            <w:r>
              <w:rPr>
                <w:spacing w:val="-3"/>
              </w:rPr>
              <w:t>工程的设计单位进行监理。</w:t>
            </w:r>
          </w:p>
          <w:p w14:paraId="16C7437A">
            <w:pPr>
              <w:pStyle w:val="8"/>
              <w:spacing w:before="23" w:line="238" w:lineRule="auto"/>
              <w:ind w:left="114" w:right="159" w:firstLine="362"/>
              <w:jc w:val="both"/>
            </w:pPr>
            <w:r>
              <w:t>下列建设工程必须实行监理</w:t>
            </w:r>
            <w:r>
              <w:rPr>
                <w:spacing w:val="-2"/>
              </w:rPr>
              <w:t>：（</w:t>
            </w:r>
            <w:r>
              <w:t>一）国家重点建设工程</w:t>
            </w:r>
            <w:r>
              <w:rPr>
                <w:spacing w:val="-2"/>
              </w:rPr>
              <w:t>；（</w:t>
            </w:r>
            <w:r>
              <w:t>二</w:t>
            </w:r>
            <w:r>
              <w:rPr>
                <w:spacing w:val="-1"/>
              </w:rPr>
              <w:t>）大中型公用事业工程</w:t>
            </w:r>
            <w:r>
              <w:rPr>
                <w:spacing w:val="-2"/>
              </w:rPr>
              <w:t>；（</w:t>
            </w:r>
            <w:r>
              <w:rPr>
                <w:spacing w:val="-1"/>
              </w:rPr>
              <w:t>三）成片开</w:t>
            </w:r>
            <w:r>
              <w:rPr>
                <w:spacing w:val="5"/>
              </w:rPr>
              <w:t xml:space="preserve"> </w:t>
            </w:r>
            <w:r>
              <w:t>发建设的住宅小区工程；（四）利用外国政府或者国际组织贷款、援助资金</w:t>
            </w:r>
            <w:r>
              <w:rPr>
                <w:spacing w:val="-1"/>
              </w:rPr>
              <w:t>的工程</w:t>
            </w:r>
            <w:r>
              <w:t>；（</w:t>
            </w:r>
            <w:r>
              <w:rPr>
                <w:spacing w:val="-1"/>
              </w:rPr>
              <w:t>五）国家规定必须</w:t>
            </w:r>
            <w:r>
              <w:t xml:space="preserve"> </w:t>
            </w:r>
            <w:r>
              <w:rPr>
                <w:spacing w:val="-4"/>
              </w:rPr>
              <w:t>实行监理的其他工程。</w:t>
            </w:r>
          </w:p>
          <w:p w14:paraId="4B231D7E">
            <w:pPr>
              <w:pStyle w:val="8"/>
              <w:spacing w:before="25" w:line="233" w:lineRule="auto"/>
              <w:ind w:left="115" w:right="103" w:firstLine="355"/>
            </w:pPr>
            <w:r>
              <w:rPr>
                <w:spacing w:val="-2"/>
              </w:rPr>
              <w:t>第五十六条第（五）项  违反本条例规定，建设单位有</w:t>
            </w:r>
            <w:r>
              <w:rPr>
                <w:spacing w:val="-3"/>
              </w:rPr>
              <w:t>下列行为之一的，责令改正，处</w:t>
            </w:r>
            <w:r>
              <w:rPr>
                <w:spacing w:val="-36"/>
              </w:rPr>
              <w:t xml:space="preserve"> </w:t>
            </w:r>
            <w:r>
              <w:rPr>
                <w:spacing w:val="-3"/>
              </w:rPr>
              <w:t>20</w:t>
            </w:r>
            <w:r>
              <w:rPr>
                <w:spacing w:val="-36"/>
              </w:rPr>
              <w:t xml:space="preserve"> </w:t>
            </w:r>
            <w:r>
              <w:rPr>
                <w:spacing w:val="-3"/>
              </w:rPr>
              <w:t>万元以上</w:t>
            </w:r>
            <w:r>
              <w:rPr>
                <w:spacing w:val="-34"/>
              </w:rPr>
              <w:t xml:space="preserve"> </w:t>
            </w:r>
            <w:r>
              <w:rPr>
                <w:spacing w:val="-3"/>
              </w:rPr>
              <w:t>50</w:t>
            </w:r>
            <w:r>
              <w:t xml:space="preserve"> </w:t>
            </w:r>
            <w:r>
              <w:rPr>
                <w:spacing w:val="-1"/>
              </w:rPr>
              <w:t>万元以下的罚款：（五）建设项目必须实行工程监理而未实行工</w:t>
            </w:r>
            <w:r>
              <w:rPr>
                <w:spacing w:val="-2"/>
              </w:rPr>
              <w:t>程监理的。</w:t>
            </w:r>
          </w:p>
          <w:p w14:paraId="4D74519D">
            <w:pPr>
              <w:pStyle w:val="8"/>
              <w:spacing w:before="25" w:line="219" w:lineRule="auto"/>
              <w:ind w:left="473"/>
            </w:pPr>
            <w:r>
              <w:rPr>
                <w:b/>
                <w:bCs/>
                <w:spacing w:val="-3"/>
              </w:rPr>
              <w:t>2.《公路水运工程质量监督管理规定》（交通运输部令</w:t>
            </w:r>
            <w:r>
              <w:rPr>
                <w:spacing w:val="-26"/>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4"/>
              </w:rPr>
              <w:t xml:space="preserve"> </w:t>
            </w:r>
            <w:r>
              <w:rPr>
                <w:b/>
                <w:bCs/>
                <w:spacing w:val="-3"/>
              </w:rPr>
              <w:t>号）</w:t>
            </w:r>
          </w:p>
          <w:p w14:paraId="4B297D63">
            <w:pPr>
              <w:pStyle w:val="8"/>
              <w:spacing w:before="28" w:line="229" w:lineRule="auto"/>
              <w:ind w:left="110" w:right="159" w:firstLine="360"/>
              <w:jc w:val="both"/>
            </w:pPr>
            <w:r>
              <w:t>第八条  建设单位对工程质量负管理责任，应当科学组织管理，落实国家法律、</w:t>
            </w:r>
            <w:r>
              <w:rPr>
                <w:spacing w:val="-1"/>
              </w:rPr>
              <w:t>法规、工程建设强制</w:t>
            </w:r>
            <w:r>
              <w:t xml:space="preserve"> 性标准的规定，严格执行国家有关工程建设管理程序，建立健全项目管理责任机制，完</w:t>
            </w:r>
            <w:r>
              <w:rPr>
                <w:spacing w:val="-1"/>
              </w:rPr>
              <w:t>善工程项目管理制</w:t>
            </w:r>
            <w:r>
              <w:t xml:space="preserve"> </w:t>
            </w:r>
            <w:r>
              <w:rPr>
                <w:spacing w:val="-3"/>
              </w:rPr>
              <w:t>度，严格落实质量责任制。</w:t>
            </w:r>
          </w:p>
        </w:tc>
        <w:tc>
          <w:tcPr>
            <w:tcW w:w="1014" w:type="dxa"/>
            <w:vAlign w:val="top"/>
          </w:tcPr>
          <w:p w14:paraId="4CB69214">
            <w:pPr>
              <w:spacing w:line="259" w:lineRule="auto"/>
              <w:rPr>
                <w:rFonts w:ascii="Arial"/>
                <w:sz w:val="21"/>
              </w:rPr>
            </w:pPr>
          </w:p>
          <w:p w14:paraId="2F33779B">
            <w:pPr>
              <w:spacing w:line="259" w:lineRule="auto"/>
              <w:rPr>
                <w:rFonts w:ascii="Arial"/>
                <w:sz w:val="21"/>
              </w:rPr>
            </w:pPr>
          </w:p>
          <w:p w14:paraId="5A044EBB">
            <w:pPr>
              <w:spacing w:line="259" w:lineRule="auto"/>
              <w:rPr>
                <w:rFonts w:ascii="Arial"/>
                <w:sz w:val="21"/>
              </w:rPr>
            </w:pPr>
          </w:p>
          <w:p w14:paraId="187661D7">
            <w:pPr>
              <w:spacing w:line="259" w:lineRule="auto"/>
              <w:rPr>
                <w:rFonts w:ascii="Arial"/>
                <w:sz w:val="21"/>
              </w:rPr>
            </w:pPr>
          </w:p>
          <w:p w14:paraId="64551FD9">
            <w:pPr>
              <w:spacing w:line="259" w:lineRule="auto"/>
              <w:rPr>
                <w:rFonts w:ascii="Arial"/>
                <w:sz w:val="21"/>
              </w:rPr>
            </w:pPr>
          </w:p>
          <w:p w14:paraId="0B0837A4">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10D3D838">
            <w:pPr>
              <w:spacing w:line="259" w:lineRule="auto"/>
              <w:rPr>
                <w:rFonts w:ascii="Arial"/>
                <w:sz w:val="21"/>
              </w:rPr>
            </w:pPr>
          </w:p>
          <w:p w14:paraId="7E0D01BC">
            <w:pPr>
              <w:spacing w:line="259" w:lineRule="auto"/>
              <w:rPr>
                <w:rFonts w:ascii="Arial"/>
                <w:sz w:val="21"/>
              </w:rPr>
            </w:pPr>
          </w:p>
          <w:p w14:paraId="50B99519">
            <w:pPr>
              <w:spacing w:line="259" w:lineRule="auto"/>
              <w:rPr>
                <w:rFonts w:ascii="Arial"/>
                <w:sz w:val="21"/>
              </w:rPr>
            </w:pPr>
          </w:p>
          <w:p w14:paraId="517D60C1">
            <w:pPr>
              <w:spacing w:line="259" w:lineRule="auto"/>
              <w:rPr>
                <w:rFonts w:ascii="Arial"/>
                <w:sz w:val="21"/>
              </w:rPr>
            </w:pPr>
          </w:p>
          <w:p w14:paraId="43AEE63B">
            <w:pPr>
              <w:spacing w:line="259" w:lineRule="auto"/>
              <w:rPr>
                <w:rFonts w:ascii="Arial"/>
                <w:sz w:val="21"/>
              </w:rPr>
            </w:pPr>
          </w:p>
          <w:p w14:paraId="1371D30F">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AF59073">
            <w:pPr>
              <w:spacing w:line="264" w:lineRule="auto"/>
              <w:rPr>
                <w:rFonts w:ascii="Arial"/>
                <w:sz w:val="21"/>
              </w:rPr>
            </w:pPr>
          </w:p>
          <w:p w14:paraId="2EB8AFFF">
            <w:pPr>
              <w:spacing w:line="264" w:lineRule="auto"/>
              <w:rPr>
                <w:rFonts w:ascii="Arial"/>
                <w:sz w:val="21"/>
              </w:rPr>
            </w:pPr>
          </w:p>
          <w:p w14:paraId="2E746CB3">
            <w:pPr>
              <w:spacing w:line="265" w:lineRule="auto"/>
              <w:rPr>
                <w:rFonts w:ascii="Arial"/>
                <w:sz w:val="21"/>
              </w:rPr>
            </w:pPr>
          </w:p>
          <w:p w14:paraId="22D15700">
            <w:pPr>
              <w:spacing w:line="265" w:lineRule="auto"/>
              <w:rPr>
                <w:rFonts w:ascii="Arial"/>
                <w:sz w:val="21"/>
              </w:rPr>
            </w:pPr>
          </w:p>
          <w:p w14:paraId="3BC9B6FC">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5A0A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7" w:hRule="atLeast"/>
        </w:trPr>
        <w:tc>
          <w:tcPr>
            <w:tcW w:w="624" w:type="dxa"/>
            <w:vAlign w:val="top"/>
          </w:tcPr>
          <w:p w14:paraId="0A20682A">
            <w:pPr>
              <w:spacing w:line="243" w:lineRule="auto"/>
              <w:rPr>
                <w:rFonts w:ascii="Arial"/>
                <w:sz w:val="21"/>
              </w:rPr>
            </w:pPr>
          </w:p>
          <w:p w14:paraId="258A802C">
            <w:pPr>
              <w:spacing w:line="243" w:lineRule="auto"/>
              <w:rPr>
                <w:rFonts w:ascii="Arial"/>
                <w:sz w:val="21"/>
              </w:rPr>
            </w:pPr>
          </w:p>
          <w:p w14:paraId="279BF461">
            <w:pPr>
              <w:spacing w:line="243" w:lineRule="auto"/>
              <w:rPr>
                <w:rFonts w:ascii="Arial"/>
                <w:sz w:val="21"/>
              </w:rPr>
            </w:pPr>
          </w:p>
          <w:p w14:paraId="7AAB0E33">
            <w:pPr>
              <w:pStyle w:val="8"/>
              <w:spacing w:before="58" w:line="183" w:lineRule="auto"/>
              <w:ind w:left="230"/>
            </w:pPr>
            <w:r>
              <w:rPr>
                <w:spacing w:val="-4"/>
              </w:rPr>
              <w:t>40</w:t>
            </w:r>
          </w:p>
        </w:tc>
        <w:tc>
          <w:tcPr>
            <w:tcW w:w="1104" w:type="dxa"/>
            <w:vAlign w:val="top"/>
          </w:tcPr>
          <w:p w14:paraId="225A4524">
            <w:pPr>
              <w:pStyle w:val="8"/>
              <w:spacing w:before="45" w:line="239" w:lineRule="auto"/>
              <w:ind w:left="60" w:right="56"/>
              <w:jc w:val="both"/>
            </w:pPr>
            <w:r>
              <w:rPr>
                <w:spacing w:val="16"/>
              </w:rPr>
              <w:t>对交通运输</w:t>
            </w:r>
            <w:r>
              <w:rPr>
                <w:spacing w:val="1"/>
              </w:rPr>
              <w:t xml:space="preserve"> </w:t>
            </w:r>
            <w:r>
              <w:rPr>
                <w:spacing w:val="16"/>
              </w:rPr>
              <w:t>领域建设单</w:t>
            </w:r>
            <w:r>
              <w:rPr>
                <w:spacing w:val="1"/>
              </w:rPr>
              <w:t xml:space="preserve"> </w:t>
            </w:r>
            <w:r>
              <w:rPr>
                <w:spacing w:val="16"/>
              </w:rPr>
              <w:t>位未按照国</w:t>
            </w:r>
            <w:r>
              <w:rPr>
                <w:spacing w:val="1"/>
              </w:rPr>
              <w:t xml:space="preserve"> </w:t>
            </w:r>
            <w:r>
              <w:rPr>
                <w:spacing w:val="16"/>
              </w:rPr>
              <w:t>家规定办理</w:t>
            </w:r>
            <w:r>
              <w:rPr>
                <w:spacing w:val="1"/>
              </w:rPr>
              <w:t xml:space="preserve"> </w:t>
            </w:r>
            <w:r>
              <w:rPr>
                <w:spacing w:val="16"/>
              </w:rPr>
              <w:t>工程质量监</w:t>
            </w:r>
            <w:r>
              <w:rPr>
                <w:spacing w:val="1"/>
              </w:rPr>
              <w:t xml:space="preserve"> </w:t>
            </w:r>
            <w:r>
              <w:rPr>
                <w:spacing w:val="16"/>
              </w:rPr>
              <w:t>督手续的行</w:t>
            </w:r>
            <w:r>
              <w:rPr>
                <w:spacing w:val="1"/>
              </w:rPr>
              <w:t xml:space="preserve"> </w:t>
            </w:r>
            <w:r>
              <w:rPr>
                <w:spacing w:val="-2"/>
              </w:rPr>
              <w:t>政处罚</w:t>
            </w:r>
          </w:p>
        </w:tc>
        <w:tc>
          <w:tcPr>
            <w:tcW w:w="1104" w:type="dxa"/>
            <w:vAlign w:val="top"/>
          </w:tcPr>
          <w:p w14:paraId="7BB005A7">
            <w:pPr>
              <w:spacing w:line="350" w:lineRule="auto"/>
              <w:rPr>
                <w:rFonts w:ascii="Arial"/>
                <w:sz w:val="21"/>
              </w:rPr>
            </w:pPr>
          </w:p>
          <w:p w14:paraId="3B587CA5">
            <w:pPr>
              <w:spacing w:line="350" w:lineRule="auto"/>
              <w:rPr>
                <w:rFonts w:ascii="Arial"/>
                <w:sz w:val="21"/>
              </w:rPr>
            </w:pPr>
          </w:p>
          <w:p w14:paraId="43F115A7">
            <w:pPr>
              <w:pStyle w:val="8"/>
              <w:spacing w:before="59" w:line="220" w:lineRule="auto"/>
              <w:ind w:left="10"/>
            </w:pPr>
            <w:r>
              <w:rPr>
                <w:spacing w:val="-2"/>
              </w:rPr>
              <w:t>行政处罚</w:t>
            </w:r>
          </w:p>
        </w:tc>
        <w:tc>
          <w:tcPr>
            <w:tcW w:w="8549" w:type="dxa"/>
            <w:vAlign w:val="top"/>
          </w:tcPr>
          <w:p w14:paraId="4E96219D">
            <w:pPr>
              <w:pStyle w:val="8"/>
              <w:spacing w:before="44" w:line="219" w:lineRule="auto"/>
              <w:ind w:left="573"/>
            </w:pPr>
            <w:r>
              <w:rPr>
                <w:b/>
                <w:bCs/>
                <w:spacing w:val="-4"/>
              </w:rPr>
              <w:t>1.《建设工程质量管理条例》</w:t>
            </w:r>
          </w:p>
          <w:p w14:paraId="7B2D490E">
            <w:pPr>
              <w:pStyle w:val="8"/>
              <w:spacing w:before="26" w:line="232" w:lineRule="auto"/>
              <w:ind w:left="131" w:right="159" w:firstLine="339"/>
            </w:pPr>
            <w:r>
              <w:t>第十三条  建设单位在开工前，应当按照国家有关规定办理工程质量监督手续，</w:t>
            </w:r>
            <w:r>
              <w:rPr>
                <w:spacing w:val="-1"/>
              </w:rPr>
              <w:t>工程质量监督手续可</w:t>
            </w:r>
            <w:r>
              <w:t xml:space="preserve"> </w:t>
            </w:r>
            <w:r>
              <w:rPr>
                <w:spacing w:val="-3"/>
              </w:rPr>
              <w:t>以与施工许可证或者开工报告合并办理。</w:t>
            </w:r>
          </w:p>
          <w:p w14:paraId="35BC4D6A">
            <w:pPr>
              <w:pStyle w:val="8"/>
              <w:spacing w:before="27" w:line="233" w:lineRule="auto"/>
              <w:ind w:left="115" w:right="103" w:firstLine="355"/>
            </w:pPr>
            <w:r>
              <w:rPr>
                <w:spacing w:val="-2"/>
              </w:rPr>
              <w:t>第五十六条第（六）项  违反本条例规定，建设单位有</w:t>
            </w:r>
            <w:r>
              <w:rPr>
                <w:spacing w:val="-3"/>
              </w:rPr>
              <w:t>下列行为之一的，责令改正，处</w:t>
            </w:r>
            <w:r>
              <w:rPr>
                <w:spacing w:val="-36"/>
              </w:rPr>
              <w:t xml:space="preserve"> </w:t>
            </w:r>
            <w:r>
              <w:rPr>
                <w:spacing w:val="-3"/>
              </w:rPr>
              <w:t>20</w:t>
            </w:r>
            <w:r>
              <w:rPr>
                <w:spacing w:val="-36"/>
              </w:rPr>
              <w:t xml:space="preserve"> </w:t>
            </w:r>
            <w:r>
              <w:rPr>
                <w:spacing w:val="-3"/>
              </w:rPr>
              <w:t>万元以上</w:t>
            </w:r>
            <w:r>
              <w:rPr>
                <w:spacing w:val="-34"/>
              </w:rPr>
              <w:t xml:space="preserve"> </w:t>
            </w:r>
            <w:r>
              <w:rPr>
                <w:spacing w:val="-3"/>
              </w:rPr>
              <w:t>50</w:t>
            </w:r>
            <w:r>
              <w:t xml:space="preserve"> </w:t>
            </w:r>
            <w:r>
              <w:rPr>
                <w:spacing w:val="-1"/>
              </w:rPr>
              <w:t>万元以下的罚款</w:t>
            </w:r>
            <w:r>
              <w:rPr>
                <w:spacing w:val="-2"/>
              </w:rPr>
              <w:t>：（</w:t>
            </w:r>
            <w:r>
              <w:rPr>
                <w:spacing w:val="-1"/>
              </w:rPr>
              <w:t>六）未按照国家规定办理工程质</w:t>
            </w:r>
            <w:r>
              <w:rPr>
                <w:spacing w:val="-2"/>
              </w:rPr>
              <w:t>量监督手续的。</w:t>
            </w:r>
          </w:p>
          <w:p w14:paraId="723D02FB">
            <w:pPr>
              <w:pStyle w:val="8"/>
              <w:spacing w:before="25" w:line="219" w:lineRule="auto"/>
              <w:ind w:left="473"/>
            </w:pPr>
            <w:r>
              <w:rPr>
                <w:b/>
                <w:bCs/>
                <w:spacing w:val="-3"/>
              </w:rPr>
              <w:t>2.《公路水运工程质量监督管理规定》（交通运输部令</w:t>
            </w:r>
            <w:r>
              <w:rPr>
                <w:spacing w:val="-26"/>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4"/>
              </w:rPr>
              <w:t xml:space="preserve"> </w:t>
            </w:r>
            <w:r>
              <w:rPr>
                <w:b/>
                <w:bCs/>
                <w:spacing w:val="-3"/>
              </w:rPr>
              <w:t>号）</w:t>
            </w:r>
          </w:p>
          <w:p w14:paraId="124B23A3">
            <w:pPr>
              <w:pStyle w:val="8"/>
              <w:spacing w:before="27" w:line="198" w:lineRule="auto"/>
              <w:ind w:left="471"/>
            </w:pPr>
            <w:r>
              <w:t>第二十二条  交通运输主管部门或者其委托的建设工程质量监督机构依法要求建设</w:t>
            </w:r>
            <w:r>
              <w:rPr>
                <w:spacing w:val="-1"/>
              </w:rPr>
              <w:t>单位按规定办理质</w:t>
            </w:r>
          </w:p>
        </w:tc>
        <w:tc>
          <w:tcPr>
            <w:tcW w:w="1014" w:type="dxa"/>
            <w:vAlign w:val="top"/>
          </w:tcPr>
          <w:p w14:paraId="49622E4D">
            <w:pPr>
              <w:spacing w:line="290" w:lineRule="auto"/>
              <w:rPr>
                <w:rFonts w:ascii="Arial"/>
                <w:sz w:val="21"/>
              </w:rPr>
            </w:pPr>
          </w:p>
          <w:p w14:paraId="2931DD8B">
            <w:pPr>
              <w:spacing w:line="291" w:lineRule="auto"/>
              <w:rPr>
                <w:rFonts w:ascii="Arial"/>
                <w:sz w:val="21"/>
              </w:rPr>
            </w:pPr>
          </w:p>
          <w:p w14:paraId="22ECC539">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30C027B3">
            <w:pPr>
              <w:spacing w:line="290" w:lineRule="auto"/>
              <w:rPr>
                <w:rFonts w:ascii="Arial"/>
                <w:sz w:val="21"/>
              </w:rPr>
            </w:pPr>
          </w:p>
          <w:p w14:paraId="1DA71870">
            <w:pPr>
              <w:spacing w:line="291" w:lineRule="auto"/>
              <w:rPr>
                <w:rFonts w:ascii="Arial"/>
                <w:sz w:val="21"/>
              </w:rPr>
            </w:pPr>
          </w:p>
          <w:p w14:paraId="304BE06D">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BE85C5A">
            <w:pPr>
              <w:spacing w:line="344" w:lineRule="auto"/>
              <w:rPr>
                <w:rFonts w:ascii="Arial"/>
                <w:sz w:val="21"/>
              </w:rPr>
            </w:pPr>
          </w:p>
          <w:p w14:paraId="252D575D">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4C08C33E">
      <w:pPr>
        <w:pStyle w:val="2"/>
      </w:pPr>
    </w:p>
    <w:p w14:paraId="0CD9F7A0">
      <w:pPr>
        <w:sectPr>
          <w:footerReference r:id="rId93" w:type="default"/>
          <w:pgSz w:w="16839" w:h="11906"/>
          <w:pgMar w:top="1012" w:right="991" w:bottom="967" w:left="1021" w:header="0" w:footer="768" w:gutter="0"/>
          <w:cols w:space="720" w:num="1"/>
        </w:sectPr>
      </w:pPr>
    </w:p>
    <w:p w14:paraId="33BFAF95">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536F4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2C1D6B78">
            <w:pPr>
              <w:pStyle w:val="8"/>
              <w:spacing w:before="267" w:line="221" w:lineRule="auto"/>
              <w:ind w:left="134"/>
            </w:pPr>
            <w:r>
              <w:rPr>
                <w:b/>
                <w:bCs/>
                <w:spacing w:val="-4"/>
              </w:rPr>
              <w:t>序号</w:t>
            </w:r>
          </w:p>
        </w:tc>
        <w:tc>
          <w:tcPr>
            <w:tcW w:w="1104" w:type="dxa"/>
            <w:vMerge w:val="restart"/>
            <w:tcBorders>
              <w:bottom w:val="nil"/>
            </w:tcBorders>
            <w:vAlign w:val="top"/>
          </w:tcPr>
          <w:p w14:paraId="7469A74D">
            <w:pPr>
              <w:pStyle w:val="8"/>
              <w:spacing w:before="260" w:line="220" w:lineRule="auto"/>
              <w:ind w:left="192"/>
            </w:pPr>
            <w:r>
              <w:rPr>
                <w:b/>
                <w:bCs/>
                <w:spacing w:val="-4"/>
              </w:rPr>
              <w:t>事项名称</w:t>
            </w:r>
          </w:p>
        </w:tc>
        <w:tc>
          <w:tcPr>
            <w:tcW w:w="1104" w:type="dxa"/>
            <w:vMerge w:val="restart"/>
            <w:tcBorders>
              <w:bottom w:val="nil"/>
            </w:tcBorders>
            <w:vAlign w:val="top"/>
          </w:tcPr>
          <w:p w14:paraId="623F8792">
            <w:pPr>
              <w:pStyle w:val="8"/>
              <w:spacing w:before="260" w:line="219" w:lineRule="auto"/>
              <w:ind w:left="193"/>
            </w:pPr>
            <w:r>
              <w:rPr>
                <w:b/>
                <w:bCs/>
                <w:spacing w:val="-4"/>
              </w:rPr>
              <w:t>职权类型</w:t>
            </w:r>
          </w:p>
        </w:tc>
        <w:tc>
          <w:tcPr>
            <w:tcW w:w="8549" w:type="dxa"/>
            <w:vMerge w:val="restart"/>
            <w:tcBorders>
              <w:bottom w:val="nil"/>
            </w:tcBorders>
            <w:vAlign w:val="top"/>
          </w:tcPr>
          <w:p w14:paraId="580EC52A">
            <w:pPr>
              <w:pStyle w:val="8"/>
              <w:spacing w:before="259" w:line="219" w:lineRule="auto"/>
              <w:ind w:left="3921"/>
            </w:pPr>
            <w:r>
              <w:rPr>
                <w:b/>
                <w:bCs/>
                <w:spacing w:val="-5"/>
              </w:rPr>
              <w:t>实施依据</w:t>
            </w:r>
          </w:p>
        </w:tc>
        <w:tc>
          <w:tcPr>
            <w:tcW w:w="3439" w:type="dxa"/>
            <w:gridSpan w:val="3"/>
            <w:vAlign w:val="top"/>
          </w:tcPr>
          <w:p w14:paraId="5017299B">
            <w:pPr>
              <w:pStyle w:val="8"/>
              <w:spacing w:before="85" w:line="220" w:lineRule="auto"/>
              <w:ind w:left="1365"/>
            </w:pPr>
            <w:r>
              <w:rPr>
                <w:b/>
                <w:bCs/>
                <w:spacing w:val="-5"/>
              </w:rPr>
              <w:t>实施主体</w:t>
            </w:r>
          </w:p>
        </w:tc>
      </w:tr>
      <w:tr w14:paraId="66B52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B1FAD07">
            <w:pPr>
              <w:rPr>
                <w:rFonts w:ascii="Arial"/>
                <w:sz w:val="21"/>
              </w:rPr>
            </w:pPr>
          </w:p>
        </w:tc>
        <w:tc>
          <w:tcPr>
            <w:tcW w:w="1104" w:type="dxa"/>
            <w:vMerge w:val="continue"/>
            <w:tcBorders>
              <w:top w:val="nil"/>
            </w:tcBorders>
            <w:vAlign w:val="top"/>
          </w:tcPr>
          <w:p w14:paraId="79AA6B3E">
            <w:pPr>
              <w:rPr>
                <w:rFonts w:ascii="Arial"/>
                <w:sz w:val="21"/>
              </w:rPr>
            </w:pPr>
          </w:p>
        </w:tc>
        <w:tc>
          <w:tcPr>
            <w:tcW w:w="1104" w:type="dxa"/>
            <w:vMerge w:val="continue"/>
            <w:tcBorders>
              <w:top w:val="nil"/>
            </w:tcBorders>
            <w:vAlign w:val="top"/>
          </w:tcPr>
          <w:p w14:paraId="207DD594">
            <w:pPr>
              <w:rPr>
                <w:rFonts w:ascii="Arial"/>
                <w:sz w:val="21"/>
              </w:rPr>
            </w:pPr>
          </w:p>
        </w:tc>
        <w:tc>
          <w:tcPr>
            <w:tcW w:w="8549" w:type="dxa"/>
            <w:vMerge w:val="continue"/>
            <w:tcBorders>
              <w:top w:val="nil"/>
            </w:tcBorders>
            <w:vAlign w:val="top"/>
          </w:tcPr>
          <w:p w14:paraId="164AA178">
            <w:pPr>
              <w:rPr>
                <w:rFonts w:ascii="Arial"/>
                <w:sz w:val="21"/>
              </w:rPr>
            </w:pPr>
          </w:p>
        </w:tc>
        <w:tc>
          <w:tcPr>
            <w:tcW w:w="1014" w:type="dxa"/>
            <w:vAlign w:val="top"/>
          </w:tcPr>
          <w:p w14:paraId="2D332499">
            <w:pPr>
              <w:pStyle w:val="8"/>
              <w:spacing w:before="81" w:line="219" w:lineRule="auto"/>
              <w:ind w:left="158"/>
            </w:pPr>
            <w:r>
              <w:rPr>
                <w:b/>
                <w:bCs/>
                <w:spacing w:val="-5"/>
              </w:rPr>
              <w:t>责任部门</w:t>
            </w:r>
          </w:p>
        </w:tc>
        <w:tc>
          <w:tcPr>
            <w:tcW w:w="1407" w:type="dxa"/>
            <w:vAlign w:val="top"/>
          </w:tcPr>
          <w:p w14:paraId="6B4F8636">
            <w:pPr>
              <w:pStyle w:val="8"/>
              <w:spacing w:before="81" w:line="219" w:lineRule="auto"/>
              <w:ind w:left="167"/>
            </w:pPr>
            <w:r>
              <w:rPr>
                <w:b/>
                <w:bCs/>
                <w:spacing w:val="-3"/>
              </w:rPr>
              <w:t>第一责任层级</w:t>
            </w:r>
          </w:p>
        </w:tc>
        <w:tc>
          <w:tcPr>
            <w:tcW w:w="1018" w:type="dxa"/>
            <w:vAlign w:val="top"/>
          </w:tcPr>
          <w:p w14:paraId="528B3641">
            <w:pPr>
              <w:pStyle w:val="8"/>
              <w:spacing w:before="81" w:line="219" w:lineRule="auto"/>
              <w:ind w:left="152"/>
            </w:pPr>
            <w:r>
              <w:rPr>
                <w:b/>
                <w:bCs/>
                <w:spacing w:val="-4"/>
              </w:rPr>
              <w:t>承办机构</w:t>
            </w:r>
          </w:p>
        </w:tc>
      </w:tr>
      <w:tr w14:paraId="22DA9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3" w:hRule="atLeast"/>
        </w:trPr>
        <w:tc>
          <w:tcPr>
            <w:tcW w:w="624" w:type="dxa"/>
            <w:vAlign w:val="top"/>
          </w:tcPr>
          <w:p w14:paraId="36F9120F">
            <w:pPr>
              <w:rPr>
                <w:rFonts w:ascii="Arial"/>
                <w:sz w:val="21"/>
              </w:rPr>
            </w:pPr>
          </w:p>
        </w:tc>
        <w:tc>
          <w:tcPr>
            <w:tcW w:w="1104" w:type="dxa"/>
            <w:vAlign w:val="top"/>
          </w:tcPr>
          <w:p w14:paraId="7F414B8A">
            <w:pPr>
              <w:rPr>
                <w:rFonts w:ascii="Arial"/>
                <w:sz w:val="21"/>
              </w:rPr>
            </w:pPr>
          </w:p>
        </w:tc>
        <w:tc>
          <w:tcPr>
            <w:tcW w:w="1104" w:type="dxa"/>
            <w:vAlign w:val="top"/>
          </w:tcPr>
          <w:p w14:paraId="314EEB4D">
            <w:pPr>
              <w:rPr>
                <w:rFonts w:ascii="Arial"/>
                <w:sz w:val="21"/>
              </w:rPr>
            </w:pPr>
          </w:p>
        </w:tc>
        <w:tc>
          <w:tcPr>
            <w:tcW w:w="8549" w:type="dxa"/>
            <w:vAlign w:val="top"/>
          </w:tcPr>
          <w:p w14:paraId="689CE7AF">
            <w:pPr>
              <w:pStyle w:val="8"/>
              <w:spacing w:before="38" w:line="220" w:lineRule="auto"/>
              <w:ind w:left="111"/>
            </w:pPr>
            <w:r>
              <w:rPr>
                <w:spacing w:val="-6"/>
              </w:rPr>
              <w:t>量监督手续。</w:t>
            </w:r>
          </w:p>
          <w:p w14:paraId="78026215">
            <w:pPr>
              <w:pStyle w:val="8"/>
              <w:spacing w:before="23" w:line="241" w:lineRule="auto"/>
              <w:ind w:left="111" w:right="159" w:firstLine="361"/>
            </w:pPr>
            <w:r>
              <w:t>建设单位应当按照国家规定向交通运输主管部门或者其委托的建设工程质量</w:t>
            </w:r>
            <w:r>
              <w:rPr>
                <w:spacing w:val="-1"/>
              </w:rPr>
              <w:t>监督机构提交以下材料，</w:t>
            </w:r>
            <w:r>
              <w:t xml:space="preserve"> 办理工程质量监督手续</w:t>
            </w:r>
            <w:r>
              <w:rPr>
                <w:spacing w:val="-2"/>
              </w:rPr>
              <w:t>：（</w:t>
            </w:r>
            <w:r>
              <w:t>一）公路水运工程质量监督管理登记表</w:t>
            </w:r>
            <w:r>
              <w:rPr>
                <w:spacing w:val="-2"/>
              </w:rPr>
              <w:t>；（</w:t>
            </w:r>
            <w:r>
              <w:t>二）</w:t>
            </w:r>
            <w:r>
              <w:rPr>
                <w:spacing w:val="-1"/>
              </w:rPr>
              <w:t>交通运输主管部门批复的施工</w:t>
            </w:r>
            <w:r>
              <w:rPr>
                <w:spacing w:val="2"/>
              </w:rPr>
              <w:t xml:space="preserve"> </w:t>
            </w:r>
            <w:r>
              <w:t>图设计文件；（三）施工、监理合同及招投标文件；（四）建设单位现场管理机构、</w:t>
            </w:r>
            <w:r>
              <w:rPr>
                <w:spacing w:val="-1"/>
              </w:rPr>
              <w:t>人员、质量保证体系</w:t>
            </w:r>
            <w:r>
              <w:t xml:space="preserve"> 等文件；（五）本单位以及勘察、设计、施工、监理、试验检测等单位对其项目负责</w:t>
            </w:r>
            <w:r>
              <w:rPr>
                <w:spacing w:val="-1"/>
              </w:rPr>
              <w:t>人、质量负责人的书</w:t>
            </w:r>
            <w:r>
              <w:t xml:space="preserve"> </w:t>
            </w:r>
            <w:r>
              <w:rPr>
                <w:spacing w:val="-1"/>
              </w:rPr>
              <w:t>面授权委托书、质量保证体系等文件；（六）依法要求提供的其他相关材料。</w:t>
            </w:r>
          </w:p>
          <w:p w14:paraId="575CA045">
            <w:pPr>
              <w:pStyle w:val="8"/>
              <w:spacing w:before="24"/>
              <w:ind w:left="114" w:right="60" w:firstLine="357"/>
            </w:pPr>
            <w:r>
              <w:t>第四十五条  违反本规定第二十二条规定，建设单位未按照规定办理工程质量监</w:t>
            </w:r>
            <w:r>
              <w:rPr>
                <w:spacing w:val="-1"/>
              </w:rPr>
              <w:t>督手续的，依照《建</w:t>
            </w:r>
            <w:r>
              <w:t xml:space="preserve">  </w:t>
            </w:r>
            <w:r>
              <w:rPr>
                <w:spacing w:val="-1"/>
              </w:rPr>
              <w:t>设工程质量管理条例》第五十六条规定，责令改正，按以下标准处以罚款</w:t>
            </w:r>
            <w:r>
              <w:rPr>
                <w:spacing w:val="-20"/>
              </w:rPr>
              <w:t>：（</w:t>
            </w:r>
            <w:r>
              <w:rPr>
                <w:spacing w:val="-1"/>
              </w:rPr>
              <w:t>一）未造成</w:t>
            </w:r>
            <w:r>
              <w:rPr>
                <w:spacing w:val="-2"/>
              </w:rPr>
              <w:t>工程质量事故的，</w:t>
            </w:r>
            <w:r>
              <w:rPr>
                <w:spacing w:val="1"/>
              </w:rPr>
              <w:t xml:space="preserve"> </w:t>
            </w:r>
            <w:r>
              <w:rPr>
                <w:spacing w:val="-3"/>
              </w:rPr>
              <w:t>处</w:t>
            </w:r>
            <w:r>
              <w:rPr>
                <w:spacing w:val="-36"/>
              </w:rPr>
              <w:t xml:space="preserve"> </w:t>
            </w:r>
            <w:r>
              <w:rPr>
                <w:spacing w:val="-3"/>
              </w:rPr>
              <w:t>20</w:t>
            </w:r>
            <w:r>
              <w:rPr>
                <w:spacing w:val="-36"/>
              </w:rPr>
              <w:t xml:space="preserve"> </w:t>
            </w:r>
            <w:r>
              <w:rPr>
                <w:spacing w:val="-3"/>
              </w:rPr>
              <w:t>万元以上</w:t>
            </w:r>
            <w:r>
              <w:rPr>
                <w:spacing w:val="-34"/>
              </w:rPr>
              <w:t xml:space="preserve"> </w:t>
            </w:r>
            <w:r>
              <w:rPr>
                <w:spacing w:val="-3"/>
              </w:rPr>
              <w:t>30</w:t>
            </w:r>
            <w:r>
              <w:rPr>
                <w:spacing w:val="-34"/>
              </w:rPr>
              <w:t xml:space="preserve"> </w:t>
            </w:r>
            <w:r>
              <w:rPr>
                <w:spacing w:val="-3"/>
              </w:rPr>
              <w:t>万元以下的罚款</w:t>
            </w:r>
            <w:r>
              <w:rPr>
                <w:spacing w:val="-4"/>
              </w:rPr>
              <w:t>；（</w:t>
            </w:r>
            <w:r>
              <w:rPr>
                <w:spacing w:val="-3"/>
              </w:rPr>
              <w:t>二）造成工程质量一般事</w:t>
            </w:r>
            <w:r>
              <w:rPr>
                <w:spacing w:val="-4"/>
              </w:rPr>
              <w:t>故的，处</w:t>
            </w:r>
            <w:r>
              <w:rPr>
                <w:spacing w:val="-37"/>
              </w:rPr>
              <w:t xml:space="preserve"> </w:t>
            </w:r>
            <w:r>
              <w:rPr>
                <w:spacing w:val="-4"/>
              </w:rPr>
              <w:t>30</w:t>
            </w:r>
            <w:r>
              <w:rPr>
                <w:spacing w:val="-34"/>
              </w:rPr>
              <w:t xml:space="preserve"> </w:t>
            </w:r>
            <w:r>
              <w:rPr>
                <w:spacing w:val="-4"/>
              </w:rPr>
              <w:t>万元以上</w:t>
            </w:r>
            <w:r>
              <w:rPr>
                <w:spacing w:val="-38"/>
              </w:rPr>
              <w:t xml:space="preserve"> </w:t>
            </w:r>
            <w:r>
              <w:rPr>
                <w:spacing w:val="-4"/>
              </w:rPr>
              <w:t>40</w:t>
            </w:r>
            <w:r>
              <w:rPr>
                <w:spacing w:val="-34"/>
              </w:rPr>
              <w:t xml:space="preserve"> </w:t>
            </w:r>
            <w:r>
              <w:rPr>
                <w:spacing w:val="-4"/>
              </w:rPr>
              <w:t>万元以下的罚款；</w:t>
            </w:r>
            <w:r>
              <w:t xml:space="preserve"> </w:t>
            </w:r>
            <w:r>
              <w:rPr>
                <w:spacing w:val="-2"/>
              </w:rPr>
              <w:t>（三）造成工程质量较大及以上等级事故的，处</w:t>
            </w:r>
            <w:r>
              <w:rPr>
                <w:spacing w:val="-30"/>
              </w:rPr>
              <w:t xml:space="preserve"> </w:t>
            </w:r>
            <w:r>
              <w:rPr>
                <w:spacing w:val="-2"/>
              </w:rPr>
              <w:t>40</w:t>
            </w:r>
            <w:r>
              <w:rPr>
                <w:spacing w:val="-37"/>
              </w:rPr>
              <w:t xml:space="preserve"> </w:t>
            </w:r>
            <w:r>
              <w:rPr>
                <w:spacing w:val="-2"/>
              </w:rPr>
              <w:t>万元以上</w:t>
            </w:r>
            <w:r>
              <w:rPr>
                <w:spacing w:val="-34"/>
              </w:rPr>
              <w:t xml:space="preserve"> </w:t>
            </w:r>
            <w:r>
              <w:rPr>
                <w:spacing w:val="-2"/>
              </w:rPr>
              <w:t>50</w:t>
            </w:r>
            <w:r>
              <w:rPr>
                <w:spacing w:val="-34"/>
              </w:rPr>
              <w:t xml:space="preserve"> </w:t>
            </w:r>
            <w:r>
              <w:rPr>
                <w:spacing w:val="-2"/>
              </w:rPr>
              <w:t>万元以下</w:t>
            </w:r>
            <w:r>
              <w:rPr>
                <w:spacing w:val="-3"/>
              </w:rPr>
              <w:t>的罚款。</w:t>
            </w:r>
          </w:p>
          <w:p w14:paraId="54AEF47C">
            <w:pPr>
              <w:pStyle w:val="8"/>
              <w:spacing w:before="25" w:line="223" w:lineRule="auto"/>
              <w:ind w:left="111" w:right="159" w:firstLine="359"/>
            </w:pPr>
            <w:r>
              <w:t>第四十六条  依照《建设工程质量管理条例》规定给予单位罚款处罚的，对单位</w:t>
            </w:r>
            <w:r>
              <w:rPr>
                <w:spacing w:val="-1"/>
              </w:rPr>
              <w:t>直接负责的主管人员</w:t>
            </w:r>
            <w:r>
              <w:t xml:space="preserve"> </w:t>
            </w:r>
            <w:r>
              <w:rPr>
                <w:spacing w:val="-2"/>
              </w:rPr>
              <w:t>和其他直接责任人员处单位罚款数额</w:t>
            </w:r>
            <w:r>
              <w:rPr>
                <w:spacing w:val="-34"/>
              </w:rPr>
              <w:t xml:space="preserve"> </w:t>
            </w:r>
            <w:r>
              <w:rPr>
                <w:spacing w:val="-2"/>
              </w:rPr>
              <w:t>5%以上</w:t>
            </w:r>
            <w:r>
              <w:rPr>
                <w:spacing w:val="-26"/>
              </w:rPr>
              <w:t xml:space="preserve"> </w:t>
            </w:r>
            <w:r>
              <w:rPr>
                <w:spacing w:val="-2"/>
              </w:rPr>
              <w:t>10%以下的</w:t>
            </w:r>
            <w:r>
              <w:rPr>
                <w:spacing w:val="-3"/>
              </w:rPr>
              <w:t>罚款。</w:t>
            </w:r>
          </w:p>
        </w:tc>
        <w:tc>
          <w:tcPr>
            <w:tcW w:w="1014" w:type="dxa"/>
            <w:vAlign w:val="top"/>
          </w:tcPr>
          <w:p w14:paraId="68FC3956">
            <w:pPr>
              <w:rPr>
                <w:rFonts w:ascii="Arial"/>
                <w:sz w:val="21"/>
              </w:rPr>
            </w:pPr>
          </w:p>
        </w:tc>
        <w:tc>
          <w:tcPr>
            <w:tcW w:w="1407" w:type="dxa"/>
            <w:vAlign w:val="top"/>
          </w:tcPr>
          <w:p w14:paraId="4F9DBC8D">
            <w:pPr>
              <w:rPr>
                <w:rFonts w:ascii="Arial"/>
                <w:sz w:val="21"/>
              </w:rPr>
            </w:pPr>
          </w:p>
        </w:tc>
        <w:tc>
          <w:tcPr>
            <w:tcW w:w="1018" w:type="dxa"/>
            <w:vAlign w:val="top"/>
          </w:tcPr>
          <w:p w14:paraId="79D3D775">
            <w:pPr>
              <w:rPr>
                <w:rFonts w:ascii="Arial"/>
                <w:sz w:val="21"/>
              </w:rPr>
            </w:pPr>
          </w:p>
        </w:tc>
      </w:tr>
      <w:tr w14:paraId="64DC0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5" w:hRule="atLeast"/>
        </w:trPr>
        <w:tc>
          <w:tcPr>
            <w:tcW w:w="624" w:type="dxa"/>
            <w:vAlign w:val="top"/>
          </w:tcPr>
          <w:p w14:paraId="43F7CCC5">
            <w:pPr>
              <w:spacing w:line="261" w:lineRule="auto"/>
              <w:rPr>
                <w:rFonts w:ascii="Arial"/>
                <w:sz w:val="21"/>
              </w:rPr>
            </w:pPr>
          </w:p>
          <w:p w14:paraId="65D0E455">
            <w:pPr>
              <w:spacing w:line="261" w:lineRule="auto"/>
              <w:rPr>
                <w:rFonts w:ascii="Arial"/>
                <w:sz w:val="21"/>
              </w:rPr>
            </w:pPr>
          </w:p>
          <w:p w14:paraId="2375A8AC">
            <w:pPr>
              <w:spacing w:line="261" w:lineRule="auto"/>
              <w:rPr>
                <w:rFonts w:ascii="Arial"/>
                <w:sz w:val="21"/>
              </w:rPr>
            </w:pPr>
          </w:p>
          <w:p w14:paraId="334BD50C">
            <w:pPr>
              <w:spacing w:line="261" w:lineRule="auto"/>
              <w:rPr>
                <w:rFonts w:ascii="Arial"/>
                <w:sz w:val="21"/>
              </w:rPr>
            </w:pPr>
          </w:p>
          <w:p w14:paraId="431C5CA3">
            <w:pPr>
              <w:spacing w:line="261" w:lineRule="auto"/>
              <w:rPr>
                <w:rFonts w:ascii="Arial"/>
                <w:sz w:val="21"/>
              </w:rPr>
            </w:pPr>
          </w:p>
          <w:p w14:paraId="703BDBF2">
            <w:pPr>
              <w:spacing w:line="261" w:lineRule="auto"/>
              <w:rPr>
                <w:rFonts w:ascii="Arial"/>
                <w:sz w:val="21"/>
              </w:rPr>
            </w:pPr>
          </w:p>
          <w:p w14:paraId="14DE8A95">
            <w:pPr>
              <w:spacing w:line="261" w:lineRule="auto"/>
              <w:rPr>
                <w:rFonts w:ascii="Arial"/>
                <w:sz w:val="21"/>
              </w:rPr>
            </w:pPr>
          </w:p>
          <w:p w14:paraId="0C2FB449">
            <w:pPr>
              <w:spacing w:line="261" w:lineRule="auto"/>
              <w:rPr>
                <w:rFonts w:ascii="Arial"/>
                <w:sz w:val="21"/>
              </w:rPr>
            </w:pPr>
          </w:p>
          <w:p w14:paraId="34A33430">
            <w:pPr>
              <w:spacing w:line="261" w:lineRule="auto"/>
              <w:rPr>
                <w:rFonts w:ascii="Arial"/>
                <w:sz w:val="21"/>
              </w:rPr>
            </w:pPr>
          </w:p>
          <w:p w14:paraId="4C9A54AC">
            <w:pPr>
              <w:spacing w:line="261" w:lineRule="auto"/>
              <w:rPr>
                <w:rFonts w:ascii="Arial"/>
                <w:sz w:val="21"/>
              </w:rPr>
            </w:pPr>
          </w:p>
          <w:p w14:paraId="0583EB87">
            <w:pPr>
              <w:spacing w:line="261" w:lineRule="auto"/>
              <w:rPr>
                <w:rFonts w:ascii="Arial"/>
                <w:sz w:val="21"/>
              </w:rPr>
            </w:pPr>
          </w:p>
          <w:p w14:paraId="69931B2F">
            <w:pPr>
              <w:pStyle w:val="8"/>
              <w:spacing w:before="58" w:line="184" w:lineRule="auto"/>
              <w:ind w:left="230"/>
            </w:pPr>
            <w:r>
              <w:rPr>
                <w:spacing w:val="-4"/>
              </w:rPr>
              <w:t>41</w:t>
            </w:r>
          </w:p>
        </w:tc>
        <w:tc>
          <w:tcPr>
            <w:tcW w:w="1104" w:type="dxa"/>
            <w:vAlign w:val="top"/>
          </w:tcPr>
          <w:p w14:paraId="508709DB">
            <w:pPr>
              <w:spacing w:line="266" w:lineRule="auto"/>
              <w:rPr>
                <w:rFonts w:ascii="Arial"/>
                <w:sz w:val="21"/>
              </w:rPr>
            </w:pPr>
          </w:p>
          <w:p w14:paraId="7F7C487F">
            <w:pPr>
              <w:spacing w:line="266" w:lineRule="auto"/>
              <w:rPr>
                <w:rFonts w:ascii="Arial"/>
                <w:sz w:val="21"/>
              </w:rPr>
            </w:pPr>
          </w:p>
          <w:p w14:paraId="0A0DDF56">
            <w:pPr>
              <w:spacing w:line="266" w:lineRule="auto"/>
              <w:rPr>
                <w:rFonts w:ascii="Arial"/>
                <w:sz w:val="21"/>
              </w:rPr>
            </w:pPr>
          </w:p>
          <w:p w14:paraId="7FBFDA5D">
            <w:pPr>
              <w:spacing w:line="266" w:lineRule="auto"/>
              <w:rPr>
                <w:rFonts w:ascii="Arial"/>
                <w:sz w:val="21"/>
              </w:rPr>
            </w:pPr>
          </w:p>
          <w:p w14:paraId="1675EC21">
            <w:pPr>
              <w:spacing w:line="266" w:lineRule="auto"/>
              <w:rPr>
                <w:rFonts w:ascii="Arial"/>
                <w:sz w:val="21"/>
              </w:rPr>
            </w:pPr>
          </w:p>
          <w:p w14:paraId="4C05EEA0">
            <w:pPr>
              <w:spacing w:line="266" w:lineRule="auto"/>
              <w:rPr>
                <w:rFonts w:ascii="Arial"/>
                <w:sz w:val="21"/>
              </w:rPr>
            </w:pPr>
          </w:p>
          <w:p w14:paraId="272F0095">
            <w:pPr>
              <w:spacing w:line="266" w:lineRule="auto"/>
              <w:rPr>
                <w:rFonts w:ascii="Arial"/>
                <w:sz w:val="21"/>
              </w:rPr>
            </w:pPr>
          </w:p>
          <w:p w14:paraId="2DCA265E">
            <w:pPr>
              <w:spacing w:line="266" w:lineRule="auto"/>
              <w:rPr>
                <w:rFonts w:ascii="Arial"/>
                <w:sz w:val="21"/>
              </w:rPr>
            </w:pPr>
          </w:p>
          <w:p w14:paraId="704BC245">
            <w:pPr>
              <w:pStyle w:val="8"/>
              <w:spacing w:before="58" w:line="242" w:lineRule="auto"/>
              <w:ind w:left="60" w:right="56"/>
              <w:jc w:val="both"/>
            </w:pPr>
            <w:r>
              <w:rPr>
                <w:spacing w:val="16"/>
              </w:rPr>
              <w:t>对水运工程</w:t>
            </w:r>
            <w:r>
              <w:rPr>
                <w:spacing w:val="1"/>
              </w:rPr>
              <w:t xml:space="preserve"> </w:t>
            </w:r>
            <w:r>
              <w:rPr>
                <w:spacing w:val="6"/>
              </w:rPr>
              <w:t>施工</w:t>
            </w:r>
            <w:r>
              <w:rPr>
                <w:spacing w:val="-39"/>
              </w:rPr>
              <w:t xml:space="preserve"> </w:t>
            </w:r>
            <w:r>
              <w:rPr>
                <w:spacing w:val="6"/>
              </w:rPr>
              <w:t>图设计</w:t>
            </w:r>
            <w:r>
              <w:t xml:space="preserve"> </w:t>
            </w:r>
            <w:r>
              <w:rPr>
                <w:spacing w:val="-17"/>
              </w:rPr>
              <w:t>未经批准，擅</w:t>
            </w:r>
            <w:r>
              <w:rPr>
                <w:spacing w:val="3"/>
              </w:rPr>
              <w:t xml:space="preserve"> </w:t>
            </w:r>
            <w:r>
              <w:rPr>
                <w:spacing w:val="16"/>
              </w:rPr>
              <w:t>自开工建设</w:t>
            </w:r>
            <w:r>
              <w:rPr>
                <w:spacing w:val="1"/>
              </w:rPr>
              <w:t xml:space="preserve"> </w:t>
            </w:r>
            <w:r>
              <w:rPr>
                <w:spacing w:val="16"/>
              </w:rPr>
              <w:t>等行为的行</w:t>
            </w:r>
            <w:r>
              <w:rPr>
                <w:spacing w:val="1"/>
              </w:rPr>
              <w:t xml:space="preserve"> </w:t>
            </w:r>
            <w:r>
              <w:rPr>
                <w:spacing w:val="-2"/>
              </w:rPr>
              <w:t>政处罚</w:t>
            </w:r>
          </w:p>
        </w:tc>
        <w:tc>
          <w:tcPr>
            <w:tcW w:w="1104" w:type="dxa"/>
            <w:vAlign w:val="top"/>
          </w:tcPr>
          <w:p w14:paraId="01D61A9E">
            <w:pPr>
              <w:spacing w:line="258" w:lineRule="auto"/>
              <w:rPr>
                <w:rFonts w:ascii="Arial"/>
                <w:sz w:val="21"/>
              </w:rPr>
            </w:pPr>
          </w:p>
          <w:p w14:paraId="0F250E39">
            <w:pPr>
              <w:spacing w:line="258" w:lineRule="auto"/>
              <w:rPr>
                <w:rFonts w:ascii="Arial"/>
                <w:sz w:val="21"/>
              </w:rPr>
            </w:pPr>
          </w:p>
          <w:p w14:paraId="763099BA">
            <w:pPr>
              <w:spacing w:line="258" w:lineRule="auto"/>
              <w:rPr>
                <w:rFonts w:ascii="Arial"/>
                <w:sz w:val="21"/>
              </w:rPr>
            </w:pPr>
          </w:p>
          <w:p w14:paraId="6967BBFA">
            <w:pPr>
              <w:spacing w:line="258" w:lineRule="auto"/>
              <w:rPr>
                <w:rFonts w:ascii="Arial"/>
                <w:sz w:val="21"/>
              </w:rPr>
            </w:pPr>
          </w:p>
          <w:p w14:paraId="401F8268">
            <w:pPr>
              <w:spacing w:line="258" w:lineRule="auto"/>
              <w:rPr>
                <w:rFonts w:ascii="Arial"/>
                <w:sz w:val="21"/>
              </w:rPr>
            </w:pPr>
          </w:p>
          <w:p w14:paraId="7C04C491">
            <w:pPr>
              <w:spacing w:line="259" w:lineRule="auto"/>
              <w:rPr>
                <w:rFonts w:ascii="Arial"/>
                <w:sz w:val="21"/>
              </w:rPr>
            </w:pPr>
          </w:p>
          <w:p w14:paraId="3FBC735D">
            <w:pPr>
              <w:spacing w:line="259" w:lineRule="auto"/>
              <w:rPr>
                <w:rFonts w:ascii="Arial"/>
                <w:sz w:val="21"/>
              </w:rPr>
            </w:pPr>
          </w:p>
          <w:p w14:paraId="4B938BA1">
            <w:pPr>
              <w:spacing w:line="259" w:lineRule="auto"/>
              <w:rPr>
                <w:rFonts w:ascii="Arial"/>
                <w:sz w:val="21"/>
              </w:rPr>
            </w:pPr>
          </w:p>
          <w:p w14:paraId="25499F80">
            <w:pPr>
              <w:spacing w:line="259" w:lineRule="auto"/>
              <w:rPr>
                <w:rFonts w:ascii="Arial"/>
                <w:sz w:val="21"/>
              </w:rPr>
            </w:pPr>
          </w:p>
          <w:p w14:paraId="3277B070">
            <w:pPr>
              <w:spacing w:line="259" w:lineRule="auto"/>
              <w:rPr>
                <w:rFonts w:ascii="Arial"/>
                <w:sz w:val="21"/>
              </w:rPr>
            </w:pPr>
          </w:p>
          <w:p w14:paraId="3E6D874E">
            <w:pPr>
              <w:spacing w:line="259" w:lineRule="auto"/>
              <w:rPr>
                <w:rFonts w:ascii="Arial"/>
                <w:sz w:val="21"/>
              </w:rPr>
            </w:pPr>
          </w:p>
          <w:p w14:paraId="49637C1B">
            <w:pPr>
              <w:pStyle w:val="8"/>
              <w:spacing w:before="58" w:line="220" w:lineRule="auto"/>
              <w:ind w:left="10"/>
            </w:pPr>
            <w:r>
              <w:rPr>
                <w:spacing w:val="-2"/>
              </w:rPr>
              <w:t>行政处罚</w:t>
            </w:r>
          </w:p>
        </w:tc>
        <w:tc>
          <w:tcPr>
            <w:tcW w:w="8549" w:type="dxa"/>
            <w:vAlign w:val="top"/>
          </w:tcPr>
          <w:p w14:paraId="66277C2C">
            <w:pPr>
              <w:pStyle w:val="8"/>
              <w:spacing w:before="40" w:line="219" w:lineRule="auto"/>
              <w:ind w:left="484"/>
            </w:pPr>
            <w:r>
              <w:rPr>
                <w:b/>
                <w:bCs/>
                <w:spacing w:val="-4"/>
              </w:rPr>
              <w:t>1.《建设工程质量管理条例》</w:t>
            </w:r>
          </w:p>
          <w:p w14:paraId="029446B3">
            <w:pPr>
              <w:pStyle w:val="8"/>
              <w:spacing w:before="26" w:line="218" w:lineRule="auto"/>
              <w:ind w:left="471"/>
            </w:pPr>
            <w:r>
              <w:rPr>
                <w:spacing w:val="-1"/>
              </w:rPr>
              <w:t>第十条  建设工程发包单位不得迫使承包方以低于成本的价格竞标，不得任意压缩合理工期。</w:t>
            </w:r>
          </w:p>
          <w:p w14:paraId="47B4DCDF">
            <w:pPr>
              <w:pStyle w:val="8"/>
              <w:spacing w:before="27" w:line="219" w:lineRule="auto"/>
              <w:ind w:left="473"/>
            </w:pPr>
            <w:r>
              <w:rPr>
                <w:spacing w:val="-1"/>
              </w:rPr>
              <w:t>建设单位不得明示或者暗示设计单位或者施工单位违反工程建设强制性标准，降低建设工程质量。</w:t>
            </w:r>
          </w:p>
          <w:p w14:paraId="49002075">
            <w:pPr>
              <w:pStyle w:val="8"/>
              <w:spacing w:before="25" w:line="233" w:lineRule="auto"/>
              <w:ind w:left="470" w:right="44"/>
            </w:pPr>
            <w:r>
              <w:rPr>
                <w:spacing w:val="-1"/>
              </w:rPr>
              <w:t>第十一条  施工图设计文件审查的具体办</w:t>
            </w:r>
            <w:r>
              <w:rPr>
                <w:spacing w:val="-2"/>
              </w:rPr>
              <w:t>法，由国务院建设行政主管部门、国务院其他有关部门制定。</w:t>
            </w:r>
            <w:r>
              <w:t xml:space="preserve"> </w:t>
            </w:r>
            <w:r>
              <w:rPr>
                <w:spacing w:val="-2"/>
              </w:rPr>
              <w:t>施工图设计文件未经审查批准的，不得使用。</w:t>
            </w:r>
          </w:p>
          <w:p w14:paraId="6B33087F">
            <w:pPr>
              <w:pStyle w:val="8"/>
              <w:spacing w:before="24" w:line="238" w:lineRule="auto"/>
              <w:ind w:left="112" w:right="159" w:firstLine="358"/>
              <w:jc w:val="both"/>
            </w:pPr>
            <w:r>
              <w:t>第十二条  实行监理的建设工程，建设单位应当委托具有相应资质等级的工程监</w:t>
            </w:r>
            <w:r>
              <w:rPr>
                <w:spacing w:val="-1"/>
              </w:rPr>
              <w:t>理单位进行监理，也</w:t>
            </w:r>
            <w:r>
              <w:t xml:space="preserve"> 可以委托具有工程监理相应资质等级并与被监理工程的施工承包单位没有隶属关系</w:t>
            </w:r>
            <w:r>
              <w:rPr>
                <w:spacing w:val="-1"/>
              </w:rPr>
              <w:t>或者其他利害关系的该</w:t>
            </w:r>
            <w:r>
              <w:t xml:space="preserve"> </w:t>
            </w:r>
            <w:r>
              <w:rPr>
                <w:spacing w:val="-3"/>
              </w:rPr>
              <w:t>工程的设计单位进行监理。</w:t>
            </w:r>
          </w:p>
          <w:p w14:paraId="16BC5E5C">
            <w:pPr>
              <w:pStyle w:val="8"/>
              <w:spacing w:before="26" w:line="233" w:lineRule="auto"/>
              <w:ind w:left="114" w:right="167" w:firstLine="362"/>
            </w:pPr>
            <w:r>
              <w:t>下列建设工程必须实行监理</w:t>
            </w:r>
            <w:r>
              <w:rPr>
                <w:spacing w:val="-2"/>
              </w:rPr>
              <w:t>：（</w:t>
            </w:r>
            <w:r>
              <w:t>一）国家重点建设工程</w:t>
            </w:r>
            <w:r>
              <w:rPr>
                <w:spacing w:val="-2"/>
              </w:rPr>
              <w:t>；（</w:t>
            </w:r>
            <w:r>
              <w:t>二</w:t>
            </w:r>
            <w:r>
              <w:rPr>
                <w:spacing w:val="-1"/>
              </w:rPr>
              <w:t>）大中型公用事业工程</w:t>
            </w:r>
            <w:r>
              <w:rPr>
                <w:spacing w:val="-2"/>
              </w:rPr>
              <w:t>；（</w:t>
            </w:r>
            <w:r>
              <w:rPr>
                <w:spacing w:val="-1"/>
              </w:rPr>
              <w:t>三）成片开</w:t>
            </w:r>
            <w:r>
              <w:rPr>
                <w:spacing w:val="5"/>
              </w:rPr>
              <w:t xml:space="preserve"> </w:t>
            </w:r>
            <w:r>
              <w:rPr>
                <w:spacing w:val="-5"/>
              </w:rPr>
              <w:t>发建设的住宅小区工程；</w:t>
            </w:r>
          </w:p>
          <w:p w14:paraId="22A9ABDA">
            <w:pPr>
              <w:pStyle w:val="8"/>
              <w:spacing w:before="25" w:line="219" w:lineRule="auto"/>
              <w:ind w:left="121"/>
            </w:pPr>
            <w:r>
              <w:rPr>
                <w:spacing w:val="-1"/>
              </w:rPr>
              <w:t>（四）利用外国政府或者国际组织贷款、援助资金的工程；（五）国家规定必须实行监理的其他</w:t>
            </w:r>
            <w:r>
              <w:rPr>
                <w:spacing w:val="-2"/>
              </w:rPr>
              <w:t>工程。</w:t>
            </w:r>
          </w:p>
          <w:p w14:paraId="5BCD7FAC">
            <w:pPr>
              <w:pStyle w:val="8"/>
              <w:spacing w:before="27" w:line="232" w:lineRule="auto"/>
              <w:ind w:left="131" w:right="159" w:firstLine="339"/>
            </w:pPr>
            <w:r>
              <w:t>第十三条  建设单位在开工前，应当按照国家有关规定办理工程质量监督手续，</w:t>
            </w:r>
            <w:r>
              <w:rPr>
                <w:spacing w:val="-1"/>
              </w:rPr>
              <w:t>工程质量监督手续可</w:t>
            </w:r>
            <w:r>
              <w:t xml:space="preserve"> </w:t>
            </w:r>
            <w:r>
              <w:rPr>
                <w:spacing w:val="-3"/>
              </w:rPr>
              <w:t>以与施工许可证或者开工报告合并办理。</w:t>
            </w:r>
          </w:p>
          <w:p w14:paraId="261F75CB">
            <w:pPr>
              <w:pStyle w:val="8"/>
              <w:spacing w:before="26" w:line="233" w:lineRule="auto"/>
              <w:ind w:left="111" w:right="159" w:firstLine="360"/>
            </w:pPr>
            <w:r>
              <w:t>第十四条  按照合同约定，由建设单位采购建筑材料、建筑构配件和设备的，建</w:t>
            </w:r>
            <w:r>
              <w:rPr>
                <w:spacing w:val="-1"/>
              </w:rPr>
              <w:t>设单位应当保证建筑</w:t>
            </w:r>
            <w:r>
              <w:t xml:space="preserve"> </w:t>
            </w:r>
            <w:r>
              <w:rPr>
                <w:spacing w:val="-2"/>
              </w:rPr>
              <w:t>材料、建筑构配件和设备符合设计文件和合同要求。</w:t>
            </w:r>
          </w:p>
          <w:p w14:paraId="41B79B5C">
            <w:pPr>
              <w:pStyle w:val="8"/>
              <w:spacing w:before="27" w:line="219" w:lineRule="auto"/>
              <w:ind w:left="473"/>
            </w:pPr>
            <w:r>
              <w:rPr>
                <w:spacing w:val="-1"/>
              </w:rPr>
              <w:t>建设单位不得明示或者暗示施工单位使用不合格的建筑材料、建筑构配</w:t>
            </w:r>
            <w:r>
              <w:rPr>
                <w:spacing w:val="-2"/>
              </w:rPr>
              <w:t>件和设备。</w:t>
            </w:r>
          </w:p>
          <w:p w14:paraId="1E25050E">
            <w:pPr>
              <w:pStyle w:val="8"/>
              <w:spacing w:before="27" w:line="237" w:lineRule="auto"/>
              <w:ind w:left="111" w:right="159" w:firstLine="359"/>
            </w:pPr>
            <w:r>
              <w:t>第十七条  建设单位应当严格按照国家有关档案管理的规定，及时收集、整理建</w:t>
            </w:r>
            <w:r>
              <w:rPr>
                <w:spacing w:val="-1"/>
              </w:rPr>
              <w:t>设项目各环节的文件</w:t>
            </w:r>
            <w:r>
              <w:t xml:space="preserve"> 资料，建立、健全建设项目档案，并在建设工程竣工验收后，及时向建设行政主管部</w:t>
            </w:r>
            <w:r>
              <w:rPr>
                <w:spacing w:val="-1"/>
              </w:rPr>
              <w:t>门或者其他有关部门</w:t>
            </w:r>
            <w:r>
              <w:t xml:space="preserve"> </w:t>
            </w:r>
            <w:r>
              <w:rPr>
                <w:spacing w:val="-4"/>
              </w:rPr>
              <w:t>移交建设项目档案。</w:t>
            </w:r>
          </w:p>
          <w:p w14:paraId="2BB4D98D">
            <w:pPr>
              <w:pStyle w:val="8"/>
              <w:spacing w:before="25" w:line="241" w:lineRule="auto"/>
              <w:ind w:left="114" w:right="60" w:firstLine="357"/>
              <w:jc w:val="both"/>
            </w:pPr>
            <w:r>
              <w:rPr>
                <w:spacing w:val="-1"/>
              </w:rPr>
              <w:t>第五十六条  违反本条例规定，建设单位有下列行为之一的，责令改正，处</w:t>
            </w:r>
            <w:r>
              <w:rPr>
                <w:spacing w:val="-35"/>
              </w:rPr>
              <w:t xml:space="preserve"> </w:t>
            </w:r>
            <w:r>
              <w:rPr>
                <w:spacing w:val="-1"/>
              </w:rPr>
              <w:t>20</w:t>
            </w:r>
            <w:r>
              <w:rPr>
                <w:spacing w:val="-37"/>
              </w:rPr>
              <w:t xml:space="preserve"> </w:t>
            </w:r>
            <w:r>
              <w:rPr>
                <w:spacing w:val="-1"/>
              </w:rPr>
              <w:t>万元以上</w:t>
            </w:r>
            <w:r>
              <w:rPr>
                <w:spacing w:val="-33"/>
              </w:rPr>
              <w:t xml:space="preserve"> </w:t>
            </w:r>
            <w:r>
              <w:rPr>
                <w:spacing w:val="-1"/>
              </w:rPr>
              <w:t>50</w:t>
            </w:r>
            <w:r>
              <w:rPr>
                <w:spacing w:val="-35"/>
              </w:rPr>
              <w:t xml:space="preserve"> </w:t>
            </w:r>
            <w:r>
              <w:rPr>
                <w:spacing w:val="-1"/>
              </w:rPr>
              <w:t>万</w:t>
            </w:r>
            <w:r>
              <w:rPr>
                <w:spacing w:val="-2"/>
              </w:rPr>
              <w:t>元以下</w:t>
            </w:r>
            <w:r>
              <w:t xml:space="preserve">  的罚款</w:t>
            </w:r>
            <w:r>
              <w:rPr>
                <w:spacing w:val="-3"/>
              </w:rPr>
              <w:t>：（</w:t>
            </w:r>
            <w:r>
              <w:t>一）迫使承包方以低于成本的价格竞标的</w:t>
            </w:r>
            <w:r>
              <w:rPr>
                <w:spacing w:val="-3"/>
              </w:rPr>
              <w:t>；（</w:t>
            </w:r>
            <w:r>
              <w:t>二）任意压缩合理工期的</w:t>
            </w:r>
            <w:r>
              <w:rPr>
                <w:spacing w:val="-3"/>
              </w:rPr>
              <w:t>；（</w:t>
            </w:r>
            <w:r>
              <w:t>三）明示</w:t>
            </w:r>
            <w:r>
              <w:rPr>
                <w:spacing w:val="-1"/>
              </w:rPr>
              <w:t>或者暗示</w:t>
            </w:r>
            <w:r>
              <w:rPr>
                <w:spacing w:val="1"/>
              </w:rPr>
              <w:t xml:space="preserve">  </w:t>
            </w:r>
            <w:r>
              <w:t>设计单位或者施工单位违反工程建设强制性标准，降低工程质量的；（四）施工</w:t>
            </w:r>
            <w:r>
              <w:rPr>
                <w:spacing w:val="-1"/>
              </w:rPr>
              <w:t>图设计文件未经审查或者</w:t>
            </w:r>
            <w:r>
              <w:t xml:space="preserve">  审查不合格，擅自施工的；（五）建设项目必须实行工程监理而未实行工程</w:t>
            </w:r>
            <w:r>
              <w:rPr>
                <w:spacing w:val="-1"/>
              </w:rPr>
              <w:t>监理的</w:t>
            </w:r>
            <w:r>
              <w:t>；（</w:t>
            </w:r>
            <w:r>
              <w:rPr>
                <w:spacing w:val="-1"/>
              </w:rPr>
              <w:t>六）未按照国家规</w:t>
            </w:r>
            <w:r>
              <w:t xml:space="preserve">  </w:t>
            </w:r>
            <w:r>
              <w:rPr>
                <w:spacing w:val="-2"/>
              </w:rPr>
              <w:t>定办理工程质量监督手续的</w:t>
            </w:r>
            <w:r>
              <w:rPr>
                <w:spacing w:val="-1"/>
              </w:rPr>
              <w:t>；（</w:t>
            </w:r>
            <w:r>
              <w:rPr>
                <w:spacing w:val="-2"/>
              </w:rPr>
              <w:t>七）明示或者暗示施工单位使用不合格的建筑材料、建筑构配件和设备的；</w:t>
            </w:r>
          </w:p>
          <w:p w14:paraId="66F61394">
            <w:pPr>
              <w:pStyle w:val="8"/>
              <w:spacing w:before="26" w:line="200" w:lineRule="auto"/>
              <w:ind w:left="121"/>
            </w:pPr>
            <w:r>
              <w:rPr>
                <w:spacing w:val="-1"/>
              </w:rPr>
              <w:t>（八）未按照国家规定将竣工验收报告、有关认可文件或者准许</w:t>
            </w:r>
            <w:r>
              <w:rPr>
                <w:spacing w:val="-2"/>
              </w:rPr>
              <w:t>使用文件报送备案的。</w:t>
            </w:r>
          </w:p>
        </w:tc>
        <w:tc>
          <w:tcPr>
            <w:tcW w:w="1014" w:type="dxa"/>
            <w:vAlign w:val="top"/>
          </w:tcPr>
          <w:p w14:paraId="2BD76D89">
            <w:pPr>
              <w:spacing w:line="247" w:lineRule="auto"/>
              <w:rPr>
                <w:rFonts w:ascii="Arial"/>
                <w:sz w:val="21"/>
              </w:rPr>
            </w:pPr>
          </w:p>
          <w:p w14:paraId="2E793729">
            <w:pPr>
              <w:spacing w:line="247" w:lineRule="auto"/>
              <w:rPr>
                <w:rFonts w:ascii="Arial"/>
                <w:sz w:val="21"/>
              </w:rPr>
            </w:pPr>
          </w:p>
          <w:p w14:paraId="157D4783">
            <w:pPr>
              <w:spacing w:line="247" w:lineRule="auto"/>
              <w:rPr>
                <w:rFonts w:ascii="Arial"/>
                <w:sz w:val="21"/>
              </w:rPr>
            </w:pPr>
          </w:p>
          <w:p w14:paraId="4473133D">
            <w:pPr>
              <w:spacing w:line="247" w:lineRule="auto"/>
              <w:rPr>
                <w:rFonts w:ascii="Arial"/>
                <w:sz w:val="21"/>
              </w:rPr>
            </w:pPr>
          </w:p>
          <w:p w14:paraId="2A92ADA0">
            <w:pPr>
              <w:spacing w:line="248" w:lineRule="auto"/>
              <w:rPr>
                <w:rFonts w:ascii="Arial"/>
                <w:sz w:val="21"/>
              </w:rPr>
            </w:pPr>
          </w:p>
          <w:p w14:paraId="25044570">
            <w:pPr>
              <w:spacing w:line="248" w:lineRule="auto"/>
              <w:rPr>
                <w:rFonts w:ascii="Arial"/>
                <w:sz w:val="21"/>
              </w:rPr>
            </w:pPr>
          </w:p>
          <w:p w14:paraId="4A52AB12">
            <w:pPr>
              <w:spacing w:line="248" w:lineRule="auto"/>
              <w:rPr>
                <w:rFonts w:ascii="Arial"/>
                <w:sz w:val="21"/>
              </w:rPr>
            </w:pPr>
          </w:p>
          <w:p w14:paraId="2B2C271E">
            <w:pPr>
              <w:spacing w:line="248" w:lineRule="auto"/>
              <w:rPr>
                <w:rFonts w:ascii="Arial"/>
                <w:sz w:val="21"/>
              </w:rPr>
            </w:pPr>
          </w:p>
          <w:p w14:paraId="4B3BC0F2">
            <w:pPr>
              <w:spacing w:line="248" w:lineRule="auto"/>
              <w:rPr>
                <w:rFonts w:ascii="Arial"/>
                <w:sz w:val="21"/>
              </w:rPr>
            </w:pPr>
          </w:p>
          <w:p w14:paraId="4B2A17D3">
            <w:pPr>
              <w:spacing w:line="248" w:lineRule="auto"/>
              <w:rPr>
                <w:rFonts w:ascii="Arial"/>
                <w:sz w:val="21"/>
              </w:rPr>
            </w:pPr>
          </w:p>
          <w:p w14:paraId="1012BA60">
            <w:pPr>
              <w:spacing w:line="248" w:lineRule="auto"/>
              <w:rPr>
                <w:rFonts w:ascii="Arial"/>
                <w:sz w:val="21"/>
              </w:rPr>
            </w:pPr>
          </w:p>
          <w:p w14:paraId="7372FA55">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391671F4">
            <w:pPr>
              <w:spacing w:line="247" w:lineRule="auto"/>
              <w:rPr>
                <w:rFonts w:ascii="Arial"/>
                <w:sz w:val="21"/>
              </w:rPr>
            </w:pPr>
          </w:p>
          <w:p w14:paraId="7F7ABE50">
            <w:pPr>
              <w:spacing w:line="247" w:lineRule="auto"/>
              <w:rPr>
                <w:rFonts w:ascii="Arial"/>
                <w:sz w:val="21"/>
              </w:rPr>
            </w:pPr>
          </w:p>
          <w:p w14:paraId="0B7CEE7E">
            <w:pPr>
              <w:spacing w:line="247" w:lineRule="auto"/>
              <w:rPr>
                <w:rFonts w:ascii="Arial"/>
                <w:sz w:val="21"/>
              </w:rPr>
            </w:pPr>
          </w:p>
          <w:p w14:paraId="60B9B571">
            <w:pPr>
              <w:spacing w:line="247" w:lineRule="auto"/>
              <w:rPr>
                <w:rFonts w:ascii="Arial"/>
                <w:sz w:val="21"/>
              </w:rPr>
            </w:pPr>
          </w:p>
          <w:p w14:paraId="61D019B6">
            <w:pPr>
              <w:spacing w:line="248" w:lineRule="auto"/>
              <w:rPr>
                <w:rFonts w:ascii="Arial"/>
                <w:sz w:val="21"/>
              </w:rPr>
            </w:pPr>
          </w:p>
          <w:p w14:paraId="466C9DEB">
            <w:pPr>
              <w:spacing w:line="248" w:lineRule="auto"/>
              <w:rPr>
                <w:rFonts w:ascii="Arial"/>
                <w:sz w:val="21"/>
              </w:rPr>
            </w:pPr>
          </w:p>
          <w:p w14:paraId="0A5A061F">
            <w:pPr>
              <w:spacing w:line="248" w:lineRule="auto"/>
              <w:rPr>
                <w:rFonts w:ascii="Arial"/>
                <w:sz w:val="21"/>
              </w:rPr>
            </w:pPr>
          </w:p>
          <w:p w14:paraId="51983866">
            <w:pPr>
              <w:spacing w:line="248" w:lineRule="auto"/>
              <w:rPr>
                <w:rFonts w:ascii="Arial"/>
                <w:sz w:val="21"/>
              </w:rPr>
            </w:pPr>
          </w:p>
          <w:p w14:paraId="266F84CD">
            <w:pPr>
              <w:spacing w:line="248" w:lineRule="auto"/>
              <w:rPr>
                <w:rFonts w:ascii="Arial"/>
                <w:sz w:val="21"/>
              </w:rPr>
            </w:pPr>
          </w:p>
          <w:p w14:paraId="2737D4DE">
            <w:pPr>
              <w:spacing w:line="248" w:lineRule="auto"/>
              <w:rPr>
                <w:rFonts w:ascii="Arial"/>
                <w:sz w:val="21"/>
              </w:rPr>
            </w:pPr>
          </w:p>
          <w:p w14:paraId="68B3DDB5">
            <w:pPr>
              <w:spacing w:line="248" w:lineRule="auto"/>
              <w:rPr>
                <w:rFonts w:ascii="Arial"/>
                <w:sz w:val="21"/>
              </w:rPr>
            </w:pPr>
          </w:p>
          <w:p w14:paraId="35080543">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13B4769E">
            <w:pPr>
              <w:spacing w:line="248" w:lineRule="auto"/>
              <w:rPr>
                <w:rFonts w:ascii="Arial"/>
                <w:sz w:val="21"/>
              </w:rPr>
            </w:pPr>
          </w:p>
          <w:p w14:paraId="6CEF6080">
            <w:pPr>
              <w:spacing w:line="248" w:lineRule="auto"/>
              <w:rPr>
                <w:rFonts w:ascii="Arial"/>
                <w:sz w:val="21"/>
              </w:rPr>
            </w:pPr>
          </w:p>
          <w:p w14:paraId="7F9EC6EC">
            <w:pPr>
              <w:spacing w:line="248" w:lineRule="auto"/>
              <w:rPr>
                <w:rFonts w:ascii="Arial"/>
                <w:sz w:val="21"/>
              </w:rPr>
            </w:pPr>
          </w:p>
          <w:p w14:paraId="01028AB8">
            <w:pPr>
              <w:spacing w:line="249" w:lineRule="auto"/>
              <w:rPr>
                <w:rFonts w:ascii="Arial"/>
                <w:sz w:val="21"/>
              </w:rPr>
            </w:pPr>
          </w:p>
          <w:p w14:paraId="3E3A630E">
            <w:pPr>
              <w:spacing w:line="249" w:lineRule="auto"/>
              <w:rPr>
                <w:rFonts w:ascii="Arial"/>
                <w:sz w:val="21"/>
              </w:rPr>
            </w:pPr>
          </w:p>
          <w:p w14:paraId="3AC8BFE8">
            <w:pPr>
              <w:spacing w:line="249" w:lineRule="auto"/>
              <w:rPr>
                <w:rFonts w:ascii="Arial"/>
                <w:sz w:val="21"/>
              </w:rPr>
            </w:pPr>
          </w:p>
          <w:p w14:paraId="418FCEA0">
            <w:pPr>
              <w:spacing w:line="249" w:lineRule="auto"/>
              <w:rPr>
                <w:rFonts w:ascii="Arial"/>
                <w:sz w:val="21"/>
              </w:rPr>
            </w:pPr>
          </w:p>
          <w:p w14:paraId="343D83A2">
            <w:pPr>
              <w:spacing w:line="249" w:lineRule="auto"/>
              <w:rPr>
                <w:rFonts w:ascii="Arial"/>
                <w:sz w:val="21"/>
              </w:rPr>
            </w:pPr>
          </w:p>
          <w:p w14:paraId="001E623A">
            <w:pPr>
              <w:spacing w:line="249" w:lineRule="auto"/>
              <w:rPr>
                <w:rFonts w:ascii="Arial"/>
                <w:sz w:val="21"/>
              </w:rPr>
            </w:pPr>
          </w:p>
          <w:p w14:paraId="2A26765C">
            <w:pPr>
              <w:spacing w:line="249" w:lineRule="auto"/>
              <w:rPr>
                <w:rFonts w:ascii="Arial"/>
                <w:sz w:val="21"/>
              </w:rPr>
            </w:pPr>
          </w:p>
          <w:p w14:paraId="7E0061B4">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C5E2E20">
      <w:pPr>
        <w:pStyle w:val="2"/>
        <w:spacing w:line="187" w:lineRule="exact"/>
        <w:rPr>
          <w:sz w:val="16"/>
        </w:rPr>
      </w:pPr>
    </w:p>
    <w:p w14:paraId="70C06472">
      <w:pPr>
        <w:spacing w:line="187" w:lineRule="exact"/>
        <w:rPr>
          <w:sz w:val="16"/>
          <w:szCs w:val="16"/>
        </w:rPr>
        <w:sectPr>
          <w:footerReference r:id="rId94" w:type="default"/>
          <w:pgSz w:w="16839" w:h="11906"/>
          <w:pgMar w:top="1012" w:right="991" w:bottom="967" w:left="1021" w:header="0" w:footer="768" w:gutter="0"/>
          <w:cols w:space="720" w:num="1"/>
        </w:sectPr>
      </w:pPr>
    </w:p>
    <w:p w14:paraId="59B17DEB">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41F5D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624" w:type="dxa"/>
            <w:vMerge w:val="restart"/>
            <w:tcBorders>
              <w:bottom w:val="nil"/>
            </w:tcBorders>
            <w:vAlign w:val="top"/>
          </w:tcPr>
          <w:p w14:paraId="33F74FD2">
            <w:pPr>
              <w:pStyle w:val="8"/>
              <w:spacing w:before="267" w:line="221" w:lineRule="auto"/>
              <w:ind w:left="134"/>
            </w:pPr>
            <w:r>
              <w:rPr>
                <w:b/>
                <w:bCs/>
                <w:spacing w:val="-4"/>
              </w:rPr>
              <w:t>序号</w:t>
            </w:r>
          </w:p>
        </w:tc>
        <w:tc>
          <w:tcPr>
            <w:tcW w:w="1104" w:type="dxa"/>
            <w:vMerge w:val="restart"/>
            <w:tcBorders>
              <w:bottom w:val="nil"/>
            </w:tcBorders>
            <w:vAlign w:val="top"/>
          </w:tcPr>
          <w:p w14:paraId="43F5B7BE">
            <w:pPr>
              <w:pStyle w:val="8"/>
              <w:spacing w:before="260" w:line="220" w:lineRule="auto"/>
              <w:ind w:left="192"/>
            </w:pPr>
            <w:r>
              <w:rPr>
                <w:b/>
                <w:bCs/>
                <w:spacing w:val="-4"/>
              </w:rPr>
              <w:t>事项名称</w:t>
            </w:r>
          </w:p>
        </w:tc>
        <w:tc>
          <w:tcPr>
            <w:tcW w:w="1104" w:type="dxa"/>
            <w:vMerge w:val="restart"/>
            <w:tcBorders>
              <w:bottom w:val="nil"/>
            </w:tcBorders>
            <w:vAlign w:val="top"/>
          </w:tcPr>
          <w:p w14:paraId="3A0A7F12">
            <w:pPr>
              <w:pStyle w:val="8"/>
              <w:spacing w:before="260" w:line="219" w:lineRule="auto"/>
              <w:ind w:left="193"/>
            </w:pPr>
            <w:r>
              <w:rPr>
                <w:b/>
                <w:bCs/>
                <w:spacing w:val="-4"/>
              </w:rPr>
              <w:t>职权类型</w:t>
            </w:r>
          </w:p>
        </w:tc>
        <w:tc>
          <w:tcPr>
            <w:tcW w:w="8549" w:type="dxa"/>
            <w:vMerge w:val="restart"/>
            <w:tcBorders>
              <w:bottom w:val="nil"/>
            </w:tcBorders>
            <w:vAlign w:val="top"/>
          </w:tcPr>
          <w:p w14:paraId="7FD2DBA5">
            <w:pPr>
              <w:pStyle w:val="8"/>
              <w:spacing w:before="259" w:line="219" w:lineRule="auto"/>
              <w:ind w:left="3921"/>
            </w:pPr>
            <w:r>
              <w:rPr>
                <w:b/>
                <w:bCs/>
                <w:spacing w:val="-5"/>
              </w:rPr>
              <w:t>实施依据</w:t>
            </w:r>
          </w:p>
        </w:tc>
        <w:tc>
          <w:tcPr>
            <w:tcW w:w="3439" w:type="dxa"/>
            <w:gridSpan w:val="3"/>
            <w:vAlign w:val="top"/>
          </w:tcPr>
          <w:p w14:paraId="54ABAE6D">
            <w:pPr>
              <w:pStyle w:val="8"/>
              <w:spacing w:before="85" w:line="220" w:lineRule="auto"/>
              <w:ind w:left="1365"/>
            </w:pPr>
            <w:r>
              <w:rPr>
                <w:b/>
                <w:bCs/>
                <w:spacing w:val="-5"/>
              </w:rPr>
              <w:t>实施主体</w:t>
            </w:r>
          </w:p>
        </w:tc>
      </w:tr>
      <w:tr w14:paraId="1F047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7A358F7B">
            <w:pPr>
              <w:rPr>
                <w:rFonts w:ascii="Arial"/>
                <w:sz w:val="21"/>
              </w:rPr>
            </w:pPr>
          </w:p>
        </w:tc>
        <w:tc>
          <w:tcPr>
            <w:tcW w:w="1104" w:type="dxa"/>
            <w:vMerge w:val="continue"/>
            <w:tcBorders>
              <w:top w:val="nil"/>
            </w:tcBorders>
            <w:vAlign w:val="top"/>
          </w:tcPr>
          <w:p w14:paraId="333C903C">
            <w:pPr>
              <w:rPr>
                <w:rFonts w:ascii="Arial"/>
                <w:sz w:val="21"/>
              </w:rPr>
            </w:pPr>
          </w:p>
        </w:tc>
        <w:tc>
          <w:tcPr>
            <w:tcW w:w="1104" w:type="dxa"/>
            <w:vMerge w:val="continue"/>
            <w:tcBorders>
              <w:top w:val="nil"/>
            </w:tcBorders>
            <w:vAlign w:val="top"/>
          </w:tcPr>
          <w:p w14:paraId="22453736">
            <w:pPr>
              <w:rPr>
                <w:rFonts w:ascii="Arial"/>
                <w:sz w:val="21"/>
              </w:rPr>
            </w:pPr>
          </w:p>
        </w:tc>
        <w:tc>
          <w:tcPr>
            <w:tcW w:w="8549" w:type="dxa"/>
            <w:vMerge w:val="continue"/>
            <w:tcBorders>
              <w:top w:val="nil"/>
            </w:tcBorders>
            <w:vAlign w:val="top"/>
          </w:tcPr>
          <w:p w14:paraId="2E5AB1A9">
            <w:pPr>
              <w:rPr>
                <w:rFonts w:ascii="Arial"/>
                <w:sz w:val="21"/>
              </w:rPr>
            </w:pPr>
          </w:p>
        </w:tc>
        <w:tc>
          <w:tcPr>
            <w:tcW w:w="1014" w:type="dxa"/>
            <w:vAlign w:val="top"/>
          </w:tcPr>
          <w:p w14:paraId="7D6825BB">
            <w:pPr>
              <w:pStyle w:val="8"/>
              <w:spacing w:before="81" w:line="219" w:lineRule="auto"/>
              <w:ind w:left="158"/>
            </w:pPr>
            <w:r>
              <w:rPr>
                <w:b/>
                <w:bCs/>
                <w:spacing w:val="-5"/>
              </w:rPr>
              <w:t>责任部门</w:t>
            </w:r>
          </w:p>
        </w:tc>
        <w:tc>
          <w:tcPr>
            <w:tcW w:w="1407" w:type="dxa"/>
            <w:vAlign w:val="top"/>
          </w:tcPr>
          <w:p w14:paraId="70EB4D1B">
            <w:pPr>
              <w:pStyle w:val="8"/>
              <w:spacing w:before="81" w:line="219" w:lineRule="auto"/>
              <w:ind w:left="167"/>
            </w:pPr>
            <w:r>
              <w:rPr>
                <w:b/>
                <w:bCs/>
                <w:spacing w:val="-3"/>
              </w:rPr>
              <w:t>第一责任层级</w:t>
            </w:r>
          </w:p>
        </w:tc>
        <w:tc>
          <w:tcPr>
            <w:tcW w:w="1018" w:type="dxa"/>
            <w:vAlign w:val="top"/>
          </w:tcPr>
          <w:p w14:paraId="0911707C">
            <w:pPr>
              <w:pStyle w:val="8"/>
              <w:spacing w:before="81" w:line="219" w:lineRule="auto"/>
              <w:ind w:left="152"/>
            </w:pPr>
            <w:r>
              <w:rPr>
                <w:b/>
                <w:bCs/>
                <w:spacing w:val="-4"/>
              </w:rPr>
              <w:t>承办机构</w:t>
            </w:r>
          </w:p>
        </w:tc>
      </w:tr>
      <w:tr w14:paraId="264AD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624" w:type="dxa"/>
            <w:vAlign w:val="top"/>
          </w:tcPr>
          <w:p w14:paraId="753BE79C">
            <w:pPr>
              <w:rPr>
                <w:rFonts w:ascii="Arial"/>
                <w:sz w:val="21"/>
              </w:rPr>
            </w:pPr>
          </w:p>
        </w:tc>
        <w:tc>
          <w:tcPr>
            <w:tcW w:w="1104" w:type="dxa"/>
            <w:vAlign w:val="top"/>
          </w:tcPr>
          <w:p w14:paraId="2FADA808">
            <w:pPr>
              <w:rPr>
                <w:rFonts w:ascii="Arial"/>
                <w:sz w:val="21"/>
              </w:rPr>
            </w:pPr>
          </w:p>
        </w:tc>
        <w:tc>
          <w:tcPr>
            <w:tcW w:w="1104" w:type="dxa"/>
            <w:vAlign w:val="top"/>
          </w:tcPr>
          <w:p w14:paraId="103D5E5C">
            <w:pPr>
              <w:rPr>
                <w:rFonts w:ascii="Arial"/>
                <w:sz w:val="21"/>
              </w:rPr>
            </w:pPr>
          </w:p>
        </w:tc>
        <w:tc>
          <w:tcPr>
            <w:tcW w:w="8549" w:type="dxa"/>
            <w:vAlign w:val="top"/>
          </w:tcPr>
          <w:p w14:paraId="38AC9F26">
            <w:pPr>
              <w:pStyle w:val="8"/>
              <w:spacing w:before="38" w:line="219" w:lineRule="auto"/>
              <w:ind w:left="473"/>
            </w:pPr>
            <w:r>
              <w:rPr>
                <w:b/>
                <w:bCs/>
                <w:spacing w:val="-3"/>
              </w:rPr>
              <w:t>2.《港口工程建设管理规定》（交通运输部令</w:t>
            </w:r>
            <w:r>
              <w:rPr>
                <w:spacing w:val="-33"/>
              </w:rPr>
              <w:t xml:space="preserve"> </w:t>
            </w:r>
            <w:r>
              <w:rPr>
                <w:b/>
                <w:bCs/>
                <w:spacing w:val="-3"/>
              </w:rPr>
              <w:t>2019</w:t>
            </w:r>
            <w:r>
              <w:rPr>
                <w:spacing w:val="-41"/>
              </w:rPr>
              <w:t xml:space="preserve"> </w:t>
            </w:r>
            <w:r>
              <w:rPr>
                <w:b/>
                <w:bCs/>
                <w:spacing w:val="-3"/>
              </w:rPr>
              <w:t>年第</w:t>
            </w:r>
            <w:r>
              <w:rPr>
                <w:spacing w:val="-32"/>
              </w:rPr>
              <w:t xml:space="preserve"> </w:t>
            </w:r>
            <w:r>
              <w:rPr>
                <w:b/>
                <w:bCs/>
                <w:spacing w:val="-3"/>
              </w:rPr>
              <w:t>32</w:t>
            </w:r>
            <w:r>
              <w:rPr>
                <w:spacing w:val="-34"/>
              </w:rPr>
              <w:t xml:space="preserve"> </w:t>
            </w:r>
            <w:r>
              <w:rPr>
                <w:b/>
                <w:bCs/>
                <w:spacing w:val="-3"/>
              </w:rPr>
              <w:t>号）</w:t>
            </w:r>
          </w:p>
          <w:p w14:paraId="162B8DE9">
            <w:pPr>
              <w:pStyle w:val="8"/>
              <w:spacing w:before="27" w:line="219" w:lineRule="auto"/>
              <w:ind w:left="471"/>
            </w:pPr>
            <w:r>
              <w:rPr>
                <w:spacing w:val="-2"/>
              </w:rPr>
              <w:t>第二十二条  港口工程建设项目设计文件经批准后方可使用。</w:t>
            </w:r>
          </w:p>
          <w:p w14:paraId="15C4A813">
            <w:pPr>
              <w:pStyle w:val="8"/>
              <w:spacing w:before="26" w:line="239" w:lineRule="auto"/>
              <w:ind w:left="109" w:right="159" w:firstLine="361"/>
            </w:pPr>
            <w:r>
              <w:t>第三十一条  设计变更发生下列情形之一的，由原初步设计审批部门</w:t>
            </w:r>
            <w:r>
              <w:rPr>
                <w:spacing w:val="-1"/>
              </w:rPr>
              <w:t>审批</w:t>
            </w:r>
            <w:r>
              <w:rPr>
                <w:spacing w:val="-2"/>
              </w:rPr>
              <w:t>：（</w:t>
            </w:r>
            <w:r>
              <w:rPr>
                <w:spacing w:val="-1"/>
              </w:rPr>
              <w:t>一）对工程总平面布置</w:t>
            </w:r>
            <w:r>
              <w:rPr>
                <w:spacing w:val="1"/>
              </w:rPr>
              <w:t xml:space="preserve"> </w:t>
            </w:r>
            <w:r>
              <w:t>进行重大调整，主要包括水域设计水深、码头或者防波堤顶高程、陆域生产区主要布置形</w:t>
            </w:r>
            <w:r>
              <w:rPr>
                <w:spacing w:val="-1"/>
              </w:rPr>
              <w:t>式、防波堤轴向</w:t>
            </w:r>
            <w:r>
              <w:t xml:space="preserve"> 或者口门尺度等</w:t>
            </w:r>
            <w:r>
              <w:rPr>
                <w:spacing w:val="-1"/>
              </w:rPr>
              <w:t>；（</w:t>
            </w:r>
            <w:r>
              <w:t>二）改变主要水工建筑物结构型式</w:t>
            </w:r>
            <w:r>
              <w:rPr>
                <w:spacing w:val="-1"/>
              </w:rPr>
              <w:t>；（</w:t>
            </w:r>
            <w:r>
              <w:t>三）改变主要装卸工艺方案</w:t>
            </w:r>
            <w:r>
              <w:rPr>
                <w:spacing w:val="-1"/>
              </w:rPr>
              <w:t>；（四）政府投资</w:t>
            </w:r>
            <w:r>
              <w:rPr>
                <w:spacing w:val="5"/>
              </w:rPr>
              <w:t xml:space="preserve"> </w:t>
            </w:r>
            <w:r>
              <w:rPr>
                <w:spacing w:val="-1"/>
              </w:rPr>
              <w:t>港口工程建设项目超出初步设计批准总概算但在项目批准的</w:t>
            </w:r>
            <w:r>
              <w:rPr>
                <w:spacing w:val="-2"/>
              </w:rPr>
              <w:t>投资估算</w:t>
            </w:r>
            <w:r>
              <w:rPr>
                <w:spacing w:val="-24"/>
              </w:rPr>
              <w:t xml:space="preserve"> </w:t>
            </w:r>
            <w:r>
              <w:rPr>
                <w:spacing w:val="-2"/>
              </w:rPr>
              <w:t>10%以内。</w:t>
            </w:r>
          </w:p>
          <w:p w14:paraId="65FF610B">
            <w:pPr>
              <w:pStyle w:val="8"/>
              <w:spacing w:before="27" w:line="219" w:lineRule="auto"/>
              <w:ind w:left="474"/>
            </w:pPr>
            <w:r>
              <w:rPr>
                <w:spacing w:val="-1"/>
              </w:rPr>
              <w:t>前款规定的设计变更涉及施工图设计重大修改的，还应当由原施工图设计审批部门审</w:t>
            </w:r>
            <w:r>
              <w:rPr>
                <w:spacing w:val="-2"/>
              </w:rPr>
              <w:t>批。</w:t>
            </w:r>
          </w:p>
          <w:p w14:paraId="36CDB563">
            <w:pPr>
              <w:pStyle w:val="8"/>
              <w:spacing w:before="27" w:line="237" w:lineRule="auto"/>
              <w:ind w:left="109" w:right="159" w:firstLine="361"/>
            </w:pPr>
            <w:r>
              <w:t>第三十二条  设计变更发生下列情形之一的，由原施工图设计</w:t>
            </w:r>
            <w:r>
              <w:rPr>
                <w:spacing w:val="-1"/>
              </w:rPr>
              <w:t>审批部门审批</w:t>
            </w:r>
            <w:r>
              <w:rPr>
                <w:spacing w:val="-2"/>
              </w:rPr>
              <w:t>：（</w:t>
            </w:r>
            <w:r>
              <w:rPr>
                <w:spacing w:val="-1"/>
              </w:rPr>
              <w:t>一）对工程总平面布</w:t>
            </w:r>
            <w:r>
              <w:rPr>
                <w:spacing w:val="1"/>
              </w:rPr>
              <w:t xml:space="preserve"> </w:t>
            </w:r>
            <w:r>
              <w:t>置进行较大调整，主要包括水域主要布置形式、陆域辅助生产区主要布置形式等；（二）</w:t>
            </w:r>
            <w:r>
              <w:rPr>
                <w:spacing w:val="-1"/>
              </w:rPr>
              <w:t>调整主要生产建</w:t>
            </w:r>
            <w:r>
              <w:t xml:space="preserve"> </w:t>
            </w:r>
            <w:r>
              <w:rPr>
                <w:spacing w:val="-2"/>
              </w:rPr>
              <w:t>筑物结构型式</w:t>
            </w:r>
            <w:r>
              <w:rPr>
                <w:spacing w:val="7"/>
              </w:rPr>
              <w:t>；（</w:t>
            </w:r>
            <w:r>
              <w:rPr>
                <w:spacing w:val="-2"/>
              </w:rPr>
              <w:t>三）调整主要装卸工艺设备配置规模。</w:t>
            </w:r>
          </w:p>
          <w:p w14:paraId="1AAD619C">
            <w:pPr>
              <w:pStyle w:val="8"/>
              <w:spacing w:before="24" w:line="231" w:lineRule="auto"/>
              <w:ind w:left="111" w:right="159" w:firstLine="359"/>
            </w:pPr>
            <w:r>
              <w:rPr>
                <w:spacing w:val="-1"/>
              </w:rPr>
              <w:t>第六十九条  项目单位有下列行为之一的，由所在地港口行政管理部门责令改正，处</w:t>
            </w:r>
            <w:r>
              <w:rPr>
                <w:spacing w:val="-35"/>
              </w:rPr>
              <w:t xml:space="preserve"> </w:t>
            </w:r>
            <w:r>
              <w:rPr>
                <w:spacing w:val="-1"/>
              </w:rPr>
              <w:t>20</w:t>
            </w:r>
            <w:r>
              <w:rPr>
                <w:spacing w:val="-37"/>
              </w:rPr>
              <w:t xml:space="preserve"> </w:t>
            </w:r>
            <w:r>
              <w:rPr>
                <w:spacing w:val="-1"/>
              </w:rPr>
              <w:t>万以上</w:t>
            </w:r>
            <w:r>
              <w:rPr>
                <w:spacing w:val="-33"/>
              </w:rPr>
              <w:t xml:space="preserve"> </w:t>
            </w:r>
            <w:r>
              <w:rPr>
                <w:spacing w:val="-2"/>
              </w:rPr>
              <w:t>50</w:t>
            </w:r>
            <w:r>
              <w:rPr>
                <w:spacing w:val="-35"/>
              </w:rPr>
              <w:t xml:space="preserve"> </w:t>
            </w:r>
            <w:r>
              <w:rPr>
                <w:spacing w:val="-2"/>
              </w:rPr>
              <w:t>万</w:t>
            </w:r>
            <w:r>
              <w:t xml:space="preserve"> 以下的罚款</w:t>
            </w:r>
            <w:r>
              <w:rPr>
                <w:spacing w:val="-3"/>
              </w:rPr>
              <w:t>：（</w:t>
            </w:r>
            <w:r>
              <w:t>一）施工图设计未经批准，擅自开工建设的</w:t>
            </w:r>
            <w:r>
              <w:rPr>
                <w:spacing w:val="-3"/>
              </w:rPr>
              <w:t>；（</w:t>
            </w:r>
            <w:r>
              <w:t>二）施工图设计经批准后，</w:t>
            </w:r>
            <w:r>
              <w:rPr>
                <w:spacing w:val="-1"/>
              </w:rPr>
              <w:t>对本规定第三</w:t>
            </w:r>
            <w:r>
              <w:rPr>
                <w:spacing w:val="2"/>
              </w:rPr>
              <w:t xml:space="preserve"> </w:t>
            </w:r>
            <w:r>
              <w:rPr>
                <w:spacing w:val="-1"/>
              </w:rPr>
              <w:t>十一条、第三十二条规定的情形擅自作出变更或者采取肢解变更内容等方式规避审批并开工建设的。</w:t>
            </w:r>
          </w:p>
        </w:tc>
        <w:tc>
          <w:tcPr>
            <w:tcW w:w="1014" w:type="dxa"/>
            <w:vAlign w:val="top"/>
          </w:tcPr>
          <w:p w14:paraId="25D42C6F">
            <w:pPr>
              <w:rPr>
                <w:rFonts w:ascii="Arial"/>
                <w:sz w:val="21"/>
              </w:rPr>
            </w:pPr>
          </w:p>
        </w:tc>
        <w:tc>
          <w:tcPr>
            <w:tcW w:w="1407" w:type="dxa"/>
            <w:vAlign w:val="top"/>
          </w:tcPr>
          <w:p w14:paraId="21F8E476">
            <w:pPr>
              <w:rPr>
                <w:rFonts w:ascii="Arial"/>
                <w:sz w:val="21"/>
              </w:rPr>
            </w:pPr>
          </w:p>
        </w:tc>
        <w:tc>
          <w:tcPr>
            <w:tcW w:w="1018" w:type="dxa"/>
            <w:vAlign w:val="top"/>
          </w:tcPr>
          <w:p w14:paraId="4BF9C086">
            <w:pPr>
              <w:rPr>
                <w:rFonts w:ascii="Arial"/>
                <w:sz w:val="21"/>
              </w:rPr>
            </w:pPr>
          </w:p>
        </w:tc>
      </w:tr>
      <w:tr w14:paraId="3A42D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624" w:type="dxa"/>
            <w:vAlign w:val="top"/>
          </w:tcPr>
          <w:p w14:paraId="240DB994">
            <w:pPr>
              <w:rPr>
                <w:rFonts w:ascii="Arial"/>
                <w:sz w:val="21"/>
              </w:rPr>
            </w:pPr>
          </w:p>
          <w:p w14:paraId="3AF07371">
            <w:pPr>
              <w:rPr>
                <w:rFonts w:ascii="Arial"/>
                <w:sz w:val="21"/>
              </w:rPr>
            </w:pPr>
          </w:p>
          <w:p w14:paraId="0DB6766D">
            <w:pPr>
              <w:rPr>
                <w:rFonts w:ascii="Arial"/>
                <w:sz w:val="21"/>
              </w:rPr>
            </w:pPr>
          </w:p>
          <w:p w14:paraId="5F878D72">
            <w:pPr>
              <w:spacing w:line="241" w:lineRule="auto"/>
              <w:rPr>
                <w:rFonts w:ascii="Arial"/>
                <w:sz w:val="21"/>
              </w:rPr>
            </w:pPr>
          </w:p>
          <w:p w14:paraId="0399984F">
            <w:pPr>
              <w:spacing w:line="241" w:lineRule="auto"/>
              <w:rPr>
                <w:rFonts w:ascii="Arial"/>
                <w:sz w:val="21"/>
              </w:rPr>
            </w:pPr>
          </w:p>
          <w:p w14:paraId="10FDD0EA">
            <w:pPr>
              <w:pStyle w:val="8"/>
              <w:spacing w:before="59" w:line="183" w:lineRule="auto"/>
              <w:ind w:left="230"/>
            </w:pPr>
            <w:r>
              <w:rPr>
                <w:spacing w:val="-4"/>
              </w:rPr>
              <w:t>42</w:t>
            </w:r>
          </w:p>
        </w:tc>
        <w:tc>
          <w:tcPr>
            <w:tcW w:w="1104" w:type="dxa"/>
            <w:vAlign w:val="top"/>
          </w:tcPr>
          <w:p w14:paraId="3E6D1663">
            <w:pPr>
              <w:pStyle w:val="8"/>
              <w:spacing w:before="283" w:line="243" w:lineRule="auto"/>
              <w:ind w:left="62" w:right="56" w:hanging="2"/>
              <w:jc w:val="both"/>
            </w:pPr>
            <w:r>
              <w:rPr>
                <w:spacing w:val="16"/>
              </w:rPr>
              <w:t>对航道工程</w:t>
            </w:r>
            <w:r>
              <w:rPr>
                <w:spacing w:val="1"/>
              </w:rPr>
              <w:t xml:space="preserve"> </w:t>
            </w:r>
            <w:r>
              <w:rPr>
                <w:spacing w:val="15"/>
              </w:rPr>
              <w:t>建设项目未</w:t>
            </w:r>
            <w:r>
              <w:rPr>
                <w:spacing w:val="3"/>
              </w:rPr>
              <w:t xml:space="preserve"> </w:t>
            </w:r>
            <w:r>
              <w:rPr>
                <w:spacing w:val="15"/>
              </w:rPr>
              <w:t>组织竣工验</w:t>
            </w:r>
            <w:r>
              <w:rPr>
                <w:spacing w:val="3"/>
              </w:rPr>
              <w:t xml:space="preserve"> </w:t>
            </w:r>
            <w:r>
              <w:rPr>
                <w:spacing w:val="15"/>
              </w:rPr>
              <w:t>收或者验收</w:t>
            </w:r>
            <w:r>
              <w:rPr>
                <w:spacing w:val="3"/>
              </w:rPr>
              <w:t xml:space="preserve"> </w:t>
            </w:r>
            <w:r>
              <w:rPr>
                <w:spacing w:val="15"/>
              </w:rPr>
              <w:t>不合格擅自</w:t>
            </w:r>
            <w:r>
              <w:rPr>
                <w:spacing w:val="3"/>
              </w:rPr>
              <w:t xml:space="preserve"> </w:t>
            </w:r>
            <w:r>
              <w:rPr>
                <w:spacing w:val="15"/>
              </w:rPr>
              <w:t>交付使用等</w:t>
            </w:r>
            <w:r>
              <w:rPr>
                <w:spacing w:val="3"/>
              </w:rPr>
              <w:t xml:space="preserve"> </w:t>
            </w:r>
            <w:r>
              <w:rPr>
                <w:spacing w:val="6"/>
              </w:rPr>
              <w:t>行为</w:t>
            </w:r>
            <w:r>
              <w:rPr>
                <w:spacing w:val="-42"/>
              </w:rPr>
              <w:t xml:space="preserve"> </w:t>
            </w:r>
            <w:r>
              <w:rPr>
                <w:spacing w:val="6"/>
              </w:rPr>
              <w:t>的行政</w:t>
            </w:r>
            <w:r>
              <w:t xml:space="preserve"> </w:t>
            </w:r>
            <w:r>
              <w:rPr>
                <w:spacing w:val="-3"/>
              </w:rPr>
              <w:t>处罚</w:t>
            </w:r>
          </w:p>
        </w:tc>
        <w:tc>
          <w:tcPr>
            <w:tcW w:w="1104" w:type="dxa"/>
            <w:vAlign w:val="top"/>
          </w:tcPr>
          <w:p w14:paraId="2EE39EE0">
            <w:pPr>
              <w:spacing w:line="293" w:lineRule="auto"/>
              <w:rPr>
                <w:rFonts w:ascii="Arial"/>
                <w:sz w:val="21"/>
              </w:rPr>
            </w:pPr>
          </w:p>
          <w:p w14:paraId="1CEA8F6D">
            <w:pPr>
              <w:spacing w:line="293" w:lineRule="auto"/>
              <w:rPr>
                <w:rFonts w:ascii="Arial"/>
                <w:sz w:val="21"/>
              </w:rPr>
            </w:pPr>
          </w:p>
          <w:p w14:paraId="2607FCE6">
            <w:pPr>
              <w:spacing w:line="294" w:lineRule="auto"/>
              <w:rPr>
                <w:rFonts w:ascii="Arial"/>
                <w:sz w:val="21"/>
              </w:rPr>
            </w:pPr>
          </w:p>
          <w:p w14:paraId="1D968620">
            <w:pPr>
              <w:spacing w:line="294" w:lineRule="auto"/>
              <w:rPr>
                <w:rFonts w:ascii="Arial"/>
                <w:sz w:val="21"/>
              </w:rPr>
            </w:pPr>
          </w:p>
          <w:p w14:paraId="7F2F45A9">
            <w:pPr>
              <w:pStyle w:val="8"/>
              <w:spacing w:before="58" w:line="220" w:lineRule="auto"/>
              <w:ind w:left="10"/>
            </w:pPr>
            <w:r>
              <w:rPr>
                <w:spacing w:val="-2"/>
              </w:rPr>
              <w:t>行政处罚</w:t>
            </w:r>
          </w:p>
        </w:tc>
        <w:tc>
          <w:tcPr>
            <w:tcW w:w="8549" w:type="dxa"/>
            <w:vAlign w:val="top"/>
          </w:tcPr>
          <w:p w14:paraId="0C95B43E">
            <w:pPr>
              <w:pStyle w:val="8"/>
              <w:spacing w:before="40" w:line="219" w:lineRule="auto"/>
              <w:ind w:left="573"/>
            </w:pPr>
            <w:r>
              <w:rPr>
                <w:b/>
                <w:bCs/>
                <w:spacing w:val="-4"/>
              </w:rPr>
              <w:t>1.《建设工程质量管理条例》</w:t>
            </w:r>
          </w:p>
          <w:p w14:paraId="013C93F8">
            <w:pPr>
              <w:pStyle w:val="8"/>
              <w:spacing w:before="26" w:line="218" w:lineRule="auto"/>
              <w:ind w:left="471"/>
            </w:pPr>
            <w:r>
              <w:t>第十六条第一款  建设单位收到建设工程竣工报告后，应当组织设计、施工、工程</w:t>
            </w:r>
            <w:r>
              <w:rPr>
                <w:spacing w:val="-1"/>
              </w:rPr>
              <w:t>监理等有关单位进</w:t>
            </w:r>
          </w:p>
          <w:p w14:paraId="76BA0EBB">
            <w:pPr>
              <w:pStyle w:val="8"/>
              <w:spacing w:before="27" w:line="219" w:lineRule="auto"/>
              <w:ind w:left="114"/>
            </w:pPr>
            <w:r>
              <w:rPr>
                <w:spacing w:val="-6"/>
              </w:rPr>
              <w:t>行竣工验收。</w:t>
            </w:r>
          </w:p>
          <w:p w14:paraId="378063BD">
            <w:pPr>
              <w:pStyle w:val="8"/>
              <w:spacing w:before="27" w:line="237" w:lineRule="auto"/>
              <w:ind w:left="110" w:right="30" w:firstLine="360"/>
              <w:jc w:val="both"/>
            </w:pPr>
            <w:r>
              <w:t>第五十八条  违反本条例规定，建设单位有下列行为之一的，责令改正，处工程</w:t>
            </w:r>
            <w:r>
              <w:rPr>
                <w:spacing w:val="-1"/>
              </w:rPr>
              <w:t>合同价款百分之二以</w:t>
            </w:r>
            <w:r>
              <w:t xml:space="preserve">  </w:t>
            </w:r>
            <w:r>
              <w:rPr>
                <w:spacing w:val="-3"/>
              </w:rPr>
              <w:t>上百分之四以下的罚款；造成损失的，依法承担赔偿责任</w:t>
            </w:r>
            <w:r>
              <w:rPr>
                <w:spacing w:val="-26"/>
              </w:rPr>
              <w:t>；（</w:t>
            </w:r>
            <w:r>
              <w:rPr>
                <w:spacing w:val="-3"/>
              </w:rPr>
              <w:t>一）未组织竣工验收，擅自交付使用的</w:t>
            </w:r>
            <w:r>
              <w:rPr>
                <w:spacing w:val="-26"/>
              </w:rPr>
              <w:t>；（</w:t>
            </w:r>
            <w:r>
              <w:rPr>
                <w:spacing w:val="-4"/>
              </w:rPr>
              <w:t>二）</w:t>
            </w:r>
            <w:r>
              <w:t xml:space="preserve"> </w:t>
            </w:r>
            <w:r>
              <w:rPr>
                <w:spacing w:val="-1"/>
              </w:rPr>
              <w:t>验收不合格，擅自交付使用的</w:t>
            </w:r>
            <w:r>
              <w:t>；（</w:t>
            </w:r>
            <w:r>
              <w:rPr>
                <w:spacing w:val="-1"/>
              </w:rPr>
              <w:t>三）对不合格的建设工程按照合格工程验收的。</w:t>
            </w:r>
          </w:p>
          <w:p w14:paraId="0E27EB9F">
            <w:pPr>
              <w:pStyle w:val="8"/>
              <w:spacing w:before="25" w:line="219" w:lineRule="auto"/>
              <w:ind w:left="473"/>
            </w:pPr>
            <w:r>
              <w:rPr>
                <w:b/>
                <w:bCs/>
                <w:spacing w:val="-3"/>
              </w:rPr>
              <w:t>2.《航道工程建设管理规定》（交通运输部令</w:t>
            </w:r>
            <w:r>
              <w:rPr>
                <w:spacing w:val="-30"/>
              </w:rPr>
              <w:t xml:space="preserve"> </w:t>
            </w:r>
            <w:r>
              <w:rPr>
                <w:b/>
                <w:bCs/>
                <w:spacing w:val="-3"/>
              </w:rPr>
              <w:t>2019</w:t>
            </w:r>
            <w:r>
              <w:rPr>
                <w:spacing w:val="-37"/>
              </w:rPr>
              <w:t xml:space="preserve"> </w:t>
            </w:r>
            <w:r>
              <w:rPr>
                <w:b/>
                <w:bCs/>
                <w:spacing w:val="-3"/>
              </w:rPr>
              <w:t>年第</w:t>
            </w:r>
            <w:r>
              <w:rPr>
                <w:spacing w:val="-39"/>
              </w:rPr>
              <w:t xml:space="preserve"> </w:t>
            </w:r>
            <w:r>
              <w:rPr>
                <w:b/>
                <w:bCs/>
                <w:spacing w:val="-3"/>
              </w:rPr>
              <w:t>44</w:t>
            </w:r>
            <w:r>
              <w:rPr>
                <w:spacing w:val="-31"/>
              </w:rPr>
              <w:t xml:space="preserve"> </w:t>
            </w:r>
            <w:r>
              <w:rPr>
                <w:b/>
                <w:bCs/>
                <w:spacing w:val="-3"/>
              </w:rPr>
              <w:t>号）</w:t>
            </w:r>
          </w:p>
          <w:p w14:paraId="3398C049">
            <w:pPr>
              <w:pStyle w:val="8"/>
              <w:spacing w:before="26" w:line="233" w:lineRule="auto"/>
              <w:ind w:left="113" w:right="176" w:firstLine="357"/>
            </w:pPr>
            <w:r>
              <w:t>第七条第（八</w:t>
            </w:r>
            <w:r>
              <w:rPr>
                <w:spacing w:val="-1"/>
              </w:rPr>
              <w:t>）（</w:t>
            </w:r>
            <w:r>
              <w:t>九）项  政府投资的航道工</w:t>
            </w:r>
            <w:r>
              <w:rPr>
                <w:spacing w:val="-1"/>
              </w:rPr>
              <w:t>程建设项目，一般应当执行以下基本建设程序：（八）</w:t>
            </w:r>
            <w:r>
              <w:rPr>
                <w:spacing w:val="1"/>
              </w:rPr>
              <w:t xml:space="preserve"> </w:t>
            </w:r>
            <w:r>
              <w:rPr>
                <w:spacing w:val="-1"/>
              </w:rPr>
              <w:t>工程建成后，编制竣工资料，进行工程竣工验收的各项准备工作</w:t>
            </w:r>
            <w:r>
              <w:t>；（</w:t>
            </w:r>
            <w:r>
              <w:rPr>
                <w:spacing w:val="-1"/>
              </w:rPr>
              <w:t>九）组织竣工验收。</w:t>
            </w:r>
          </w:p>
          <w:p w14:paraId="02DA12AD">
            <w:pPr>
              <w:pStyle w:val="8"/>
              <w:spacing w:before="27" w:line="222" w:lineRule="auto"/>
              <w:ind w:left="118" w:right="159" w:firstLine="352"/>
            </w:pPr>
            <w:r>
              <w:t>第七十七条  航道工程建设项目未组织竣工验收或者验收不合格，项目单位擅自</w:t>
            </w:r>
            <w:r>
              <w:rPr>
                <w:spacing w:val="-1"/>
              </w:rPr>
              <w:t>交付使用的，由具体</w:t>
            </w:r>
            <w:r>
              <w:t xml:space="preserve"> </w:t>
            </w:r>
            <w:r>
              <w:rPr>
                <w:spacing w:val="-1"/>
              </w:rPr>
              <w:t>负责监督管理的交通运输主管部门责令改正，处工程合同</w:t>
            </w:r>
            <w:r>
              <w:rPr>
                <w:spacing w:val="-2"/>
              </w:rPr>
              <w:t>价款</w:t>
            </w:r>
            <w:r>
              <w:rPr>
                <w:spacing w:val="-35"/>
              </w:rPr>
              <w:t xml:space="preserve"> </w:t>
            </w:r>
            <w:r>
              <w:rPr>
                <w:spacing w:val="-2"/>
              </w:rPr>
              <w:t>2%以上</w:t>
            </w:r>
            <w:r>
              <w:rPr>
                <w:spacing w:val="-40"/>
              </w:rPr>
              <w:t xml:space="preserve"> </w:t>
            </w:r>
            <w:r>
              <w:rPr>
                <w:spacing w:val="-2"/>
              </w:rPr>
              <w:t>4%以下的罚款。</w:t>
            </w:r>
          </w:p>
        </w:tc>
        <w:tc>
          <w:tcPr>
            <w:tcW w:w="1014" w:type="dxa"/>
            <w:vAlign w:val="top"/>
          </w:tcPr>
          <w:p w14:paraId="5C60510A">
            <w:pPr>
              <w:spacing w:line="263" w:lineRule="auto"/>
              <w:rPr>
                <w:rFonts w:ascii="Arial"/>
                <w:sz w:val="21"/>
              </w:rPr>
            </w:pPr>
          </w:p>
          <w:p w14:paraId="6319B742">
            <w:pPr>
              <w:spacing w:line="263" w:lineRule="auto"/>
              <w:rPr>
                <w:rFonts w:ascii="Arial"/>
                <w:sz w:val="21"/>
              </w:rPr>
            </w:pPr>
          </w:p>
          <w:p w14:paraId="3AC13B82">
            <w:pPr>
              <w:spacing w:line="264" w:lineRule="auto"/>
              <w:rPr>
                <w:rFonts w:ascii="Arial"/>
                <w:sz w:val="21"/>
              </w:rPr>
            </w:pPr>
          </w:p>
          <w:p w14:paraId="2535AA0C">
            <w:pPr>
              <w:spacing w:line="264" w:lineRule="auto"/>
              <w:rPr>
                <w:rFonts w:ascii="Arial"/>
                <w:sz w:val="21"/>
              </w:rPr>
            </w:pPr>
          </w:p>
          <w:p w14:paraId="4FBE4819">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389439DD">
            <w:pPr>
              <w:spacing w:line="263" w:lineRule="auto"/>
              <w:rPr>
                <w:rFonts w:ascii="Arial"/>
                <w:sz w:val="21"/>
              </w:rPr>
            </w:pPr>
          </w:p>
          <w:p w14:paraId="32A24785">
            <w:pPr>
              <w:spacing w:line="264" w:lineRule="auto"/>
              <w:rPr>
                <w:rFonts w:ascii="Arial"/>
                <w:sz w:val="21"/>
              </w:rPr>
            </w:pPr>
          </w:p>
          <w:p w14:paraId="6ABACB4E">
            <w:pPr>
              <w:spacing w:line="264" w:lineRule="auto"/>
              <w:rPr>
                <w:rFonts w:ascii="Arial"/>
                <w:sz w:val="21"/>
              </w:rPr>
            </w:pPr>
          </w:p>
          <w:p w14:paraId="73094024">
            <w:pPr>
              <w:spacing w:line="264" w:lineRule="auto"/>
              <w:rPr>
                <w:rFonts w:ascii="Arial"/>
                <w:sz w:val="21"/>
              </w:rPr>
            </w:pPr>
          </w:p>
          <w:p w14:paraId="359B3079">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89CA251">
            <w:pPr>
              <w:spacing w:line="272" w:lineRule="auto"/>
              <w:rPr>
                <w:rFonts w:ascii="Arial"/>
                <w:sz w:val="21"/>
              </w:rPr>
            </w:pPr>
          </w:p>
          <w:p w14:paraId="14EB6C88">
            <w:pPr>
              <w:spacing w:line="272" w:lineRule="auto"/>
              <w:rPr>
                <w:rFonts w:ascii="Arial"/>
                <w:sz w:val="21"/>
              </w:rPr>
            </w:pPr>
          </w:p>
          <w:p w14:paraId="308356A9">
            <w:pPr>
              <w:spacing w:line="273" w:lineRule="auto"/>
              <w:rPr>
                <w:rFonts w:ascii="Arial"/>
                <w:sz w:val="21"/>
              </w:rPr>
            </w:pPr>
          </w:p>
          <w:p w14:paraId="00EE026D">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7E641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6" w:hRule="atLeast"/>
        </w:trPr>
        <w:tc>
          <w:tcPr>
            <w:tcW w:w="624" w:type="dxa"/>
            <w:vAlign w:val="top"/>
          </w:tcPr>
          <w:p w14:paraId="09B11277">
            <w:pPr>
              <w:rPr>
                <w:rFonts w:ascii="Arial"/>
                <w:sz w:val="21"/>
              </w:rPr>
            </w:pPr>
          </w:p>
          <w:p w14:paraId="02B11E71">
            <w:pPr>
              <w:rPr>
                <w:rFonts w:ascii="Arial"/>
                <w:sz w:val="21"/>
              </w:rPr>
            </w:pPr>
          </w:p>
          <w:p w14:paraId="6B0530CC">
            <w:pPr>
              <w:spacing w:line="241" w:lineRule="auto"/>
              <w:rPr>
                <w:rFonts w:ascii="Arial"/>
                <w:sz w:val="21"/>
              </w:rPr>
            </w:pPr>
          </w:p>
          <w:p w14:paraId="04081EF5">
            <w:pPr>
              <w:spacing w:line="241" w:lineRule="auto"/>
              <w:rPr>
                <w:rFonts w:ascii="Arial"/>
                <w:sz w:val="21"/>
              </w:rPr>
            </w:pPr>
          </w:p>
          <w:p w14:paraId="55B288C4">
            <w:pPr>
              <w:spacing w:line="241" w:lineRule="auto"/>
              <w:rPr>
                <w:rFonts w:ascii="Arial"/>
                <w:sz w:val="21"/>
              </w:rPr>
            </w:pPr>
          </w:p>
          <w:p w14:paraId="172AF677">
            <w:pPr>
              <w:spacing w:line="241" w:lineRule="auto"/>
              <w:rPr>
                <w:rFonts w:ascii="Arial"/>
                <w:sz w:val="21"/>
              </w:rPr>
            </w:pPr>
          </w:p>
          <w:p w14:paraId="175EBF13">
            <w:pPr>
              <w:pStyle w:val="8"/>
              <w:spacing w:before="58" w:line="183" w:lineRule="auto"/>
              <w:ind w:left="230"/>
            </w:pPr>
            <w:r>
              <w:rPr>
                <w:spacing w:val="-4"/>
              </w:rPr>
              <w:t>43</w:t>
            </w:r>
          </w:p>
        </w:tc>
        <w:tc>
          <w:tcPr>
            <w:tcW w:w="1104" w:type="dxa"/>
            <w:vAlign w:val="top"/>
          </w:tcPr>
          <w:p w14:paraId="09AFE784">
            <w:pPr>
              <w:spacing w:line="292" w:lineRule="auto"/>
              <w:rPr>
                <w:rFonts w:ascii="Arial"/>
                <w:sz w:val="21"/>
              </w:rPr>
            </w:pPr>
          </w:p>
          <w:p w14:paraId="596F4A57">
            <w:pPr>
              <w:spacing w:line="292" w:lineRule="auto"/>
              <w:rPr>
                <w:rFonts w:ascii="Arial"/>
                <w:sz w:val="21"/>
              </w:rPr>
            </w:pPr>
          </w:p>
          <w:p w14:paraId="0B976B42">
            <w:pPr>
              <w:pStyle w:val="8"/>
              <w:spacing w:before="58" w:line="242" w:lineRule="auto"/>
              <w:ind w:left="60" w:right="56"/>
              <w:jc w:val="both"/>
            </w:pPr>
            <w:r>
              <w:rPr>
                <w:spacing w:val="16"/>
              </w:rPr>
              <w:t>对码头或者</w:t>
            </w:r>
            <w:r>
              <w:rPr>
                <w:spacing w:val="1"/>
              </w:rPr>
              <w:t xml:space="preserve"> </w:t>
            </w:r>
            <w:r>
              <w:rPr>
                <w:spacing w:val="16"/>
              </w:rPr>
              <w:t>港口装卸设</w:t>
            </w:r>
            <w:r>
              <w:rPr>
                <w:spacing w:val="1"/>
              </w:rPr>
              <w:t xml:space="preserve"> </w:t>
            </w:r>
            <w:r>
              <w:rPr>
                <w:spacing w:val="-17"/>
              </w:rPr>
              <w:t>施、客运设施</w:t>
            </w:r>
            <w:r>
              <w:rPr>
                <w:spacing w:val="3"/>
              </w:rPr>
              <w:t xml:space="preserve"> </w:t>
            </w:r>
            <w:r>
              <w:rPr>
                <w:spacing w:val="16"/>
              </w:rPr>
              <w:t>未经验收合</w:t>
            </w:r>
            <w:r>
              <w:rPr>
                <w:spacing w:val="1"/>
              </w:rPr>
              <w:t xml:space="preserve"> </w:t>
            </w:r>
            <w:r>
              <w:rPr>
                <w:spacing w:val="-17"/>
              </w:rPr>
              <w:t>格，擅自投入</w:t>
            </w:r>
            <w:r>
              <w:rPr>
                <w:spacing w:val="3"/>
              </w:rPr>
              <w:t xml:space="preserve"> </w:t>
            </w:r>
            <w:r>
              <w:rPr>
                <w:spacing w:val="16"/>
              </w:rPr>
              <w:t>使用等行为</w:t>
            </w:r>
            <w:r>
              <w:rPr>
                <w:spacing w:val="1"/>
              </w:rPr>
              <w:t xml:space="preserve"> </w:t>
            </w:r>
            <w:r>
              <w:rPr>
                <w:spacing w:val="-2"/>
              </w:rPr>
              <w:t>的行政处罚</w:t>
            </w:r>
          </w:p>
        </w:tc>
        <w:tc>
          <w:tcPr>
            <w:tcW w:w="1104" w:type="dxa"/>
            <w:vAlign w:val="top"/>
          </w:tcPr>
          <w:p w14:paraId="7F384FB7">
            <w:pPr>
              <w:spacing w:line="283" w:lineRule="auto"/>
              <w:rPr>
                <w:rFonts w:ascii="Arial"/>
                <w:sz w:val="21"/>
              </w:rPr>
            </w:pPr>
          </w:p>
          <w:p w14:paraId="67BFC47F">
            <w:pPr>
              <w:spacing w:line="283" w:lineRule="auto"/>
              <w:rPr>
                <w:rFonts w:ascii="Arial"/>
                <w:sz w:val="21"/>
              </w:rPr>
            </w:pPr>
          </w:p>
          <w:p w14:paraId="2711BBD3">
            <w:pPr>
              <w:spacing w:line="283" w:lineRule="auto"/>
              <w:rPr>
                <w:rFonts w:ascii="Arial"/>
                <w:sz w:val="21"/>
              </w:rPr>
            </w:pPr>
          </w:p>
          <w:p w14:paraId="5510626E">
            <w:pPr>
              <w:spacing w:line="283" w:lineRule="auto"/>
              <w:rPr>
                <w:rFonts w:ascii="Arial"/>
                <w:sz w:val="21"/>
              </w:rPr>
            </w:pPr>
          </w:p>
          <w:p w14:paraId="2605AEA8">
            <w:pPr>
              <w:spacing w:line="284" w:lineRule="auto"/>
              <w:rPr>
                <w:rFonts w:ascii="Arial"/>
                <w:sz w:val="21"/>
              </w:rPr>
            </w:pPr>
          </w:p>
          <w:p w14:paraId="5AFA291B">
            <w:pPr>
              <w:pStyle w:val="8"/>
              <w:spacing w:before="58" w:line="220" w:lineRule="auto"/>
              <w:ind w:left="10"/>
            </w:pPr>
            <w:r>
              <w:rPr>
                <w:spacing w:val="-2"/>
              </w:rPr>
              <w:t>行政处罚</w:t>
            </w:r>
          </w:p>
        </w:tc>
        <w:tc>
          <w:tcPr>
            <w:tcW w:w="8549" w:type="dxa"/>
            <w:vAlign w:val="top"/>
          </w:tcPr>
          <w:p w14:paraId="64843FBA">
            <w:pPr>
              <w:pStyle w:val="8"/>
              <w:spacing w:before="43" w:line="219" w:lineRule="auto"/>
              <w:ind w:left="484"/>
            </w:pPr>
            <w:r>
              <w:rPr>
                <w:b/>
                <w:bCs/>
                <w:spacing w:val="-4"/>
              </w:rPr>
              <w:t>1.《中华人民共和国港口法》</w:t>
            </w:r>
          </w:p>
          <w:p w14:paraId="00F6DEF7">
            <w:pPr>
              <w:pStyle w:val="8"/>
              <w:spacing w:before="26" w:line="237" w:lineRule="auto"/>
              <w:ind w:left="111" w:right="159" w:firstLine="359"/>
            </w:pPr>
            <w:r>
              <w:t>第十七条  港口的危险货物作业场所、实施卫生除害处理的专用场所，应当符合</w:t>
            </w:r>
            <w:r>
              <w:rPr>
                <w:spacing w:val="-1"/>
              </w:rPr>
              <w:t>港口总体规划和国家</w:t>
            </w:r>
            <w:r>
              <w:t xml:space="preserve"> 有关安全生产、消防、检验检疫和环境保护的要求，其与人口密集区和港口客运设施</w:t>
            </w:r>
            <w:r>
              <w:rPr>
                <w:spacing w:val="-1"/>
              </w:rPr>
              <w:t>的距离应当符合国务</w:t>
            </w:r>
            <w:r>
              <w:t xml:space="preserve"> </w:t>
            </w:r>
            <w:r>
              <w:rPr>
                <w:spacing w:val="-2"/>
              </w:rPr>
              <w:t>院有关部门的规定；经依法办理有关手续后，方可建设。</w:t>
            </w:r>
          </w:p>
          <w:p w14:paraId="75632B61">
            <w:pPr>
              <w:pStyle w:val="8"/>
              <w:spacing w:before="26" w:line="219" w:lineRule="auto"/>
              <w:ind w:left="471"/>
            </w:pPr>
            <w:r>
              <w:rPr>
                <w:spacing w:val="-1"/>
              </w:rPr>
              <w:t>第十九条第一款  港口设施建设项目竣工后，应当按照国家有关规定经验收合格，方可投入使用。</w:t>
            </w:r>
          </w:p>
          <w:p w14:paraId="3A4A94F6">
            <w:pPr>
              <w:pStyle w:val="8"/>
              <w:spacing w:before="25" w:line="233" w:lineRule="auto"/>
              <w:ind w:left="131" w:right="159" w:firstLine="339"/>
            </w:pPr>
            <w:r>
              <w:t>第四十八条  码头或者港口装卸设施、客运设施未经验收合格，擅自投入使用的</w:t>
            </w:r>
            <w:r>
              <w:rPr>
                <w:spacing w:val="-1"/>
              </w:rPr>
              <w:t>，由港口行政管理部</w:t>
            </w:r>
            <w:r>
              <w:t xml:space="preserve"> </w:t>
            </w:r>
            <w:r>
              <w:rPr>
                <w:spacing w:val="-2"/>
              </w:rPr>
              <w:t>门责令停止使用，限期改正，可以处五万元</w:t>
            </w:r>
            <w:r>
              <w:rPr>
                <w:spacing w:val="-3"/>
              </w:rPr>
              <w:t>以下罚款。</w:t>
            </w:r>
          </w:p>
          <w:p w14:paraId="38FEBBC0">
            <w:pPr>
              <w:pStyle w:val="8"/>
              <w:spacing w:before="26" w:line="219" w:lineRule="auto"/>
              <w:ind w:left="473"/>
            </w:pPr>
            <w:r>
              <w:rPr>
                <w:b/>
                <w:bCs/>
                <w:spacing w:val="-3"/>
              </w:rPr>
              <w:t>2.《建设工程质量管理条例》</w:t>
            </w:r>
          </w:p>
          <w:p w14:paraId="6D70AF6E">
            <w:pPr>
              <w:pStyle w:val="8"/>
              <w:spacing w:before="26" w:line="218" w:lineRule="auto"/>
              <w:ind w:left="471"/>
            </w:pPr>
            <w:r>
              <w:t>第十六条第一款  建设单位收到建设工程竣工报告后，应当组织设计、施工、工程</w:t>
            </w:r>
            <w:r>
              <w:rPr>
                <w:spacing w:val="-1"/>
              </w:rPr>
              <w:t>监理等有关单位进</w:t>
            </w:r>
          </w:p>
          <w:p w14:paraId="5282C2DD">
            <w:pPr>
              <w:pStyle w:val="8"/>
              <w:spacing w:before="28" w:line="219" w:lineRule="auto"/>
              <w:ind w:left="114"/>
            </w:pPr>
            <w:r>
              <w:rPr>
                <w:spacing w:val="-6"/>
              </w:rPr>
              <w:t>行竣工验收。</w:t>
            </w:r>
          </w:p>
          <w:p w14:paraId="617E92DF">
            <w:pPr>
              <w:pStyle w:val="8"/>
              <w:spacing w:before="27" w:line="230" w:lineRule="auto"/>
              <w:ind w:left="110" w:right="30" w:firstLine="360"/>
              <w:jc w:val="both"/>
            </w:pPr>
            <w:r>
              <w:t>第五十八条  违反本条例规定，建设单位有下列行为之一的，责令改正，处工程</w:t>
            </w:r>
            <w:r>
              <w:rPr>
                <w:spacing w:val="-1"/>
              </w:rPr>
              <w:t>合同价款百分之二以</w:t>
            </w:r>
            <w:r>
              <w:t xml:space="preserve">  </w:t>
            </w:r>
            <w:r>
              <w:rPr>
                <w:spacing w:val="-3"/>
              </w:rPr>
              <w:t>上百分之四以下的罚款；造成损失的，依法承担赔偿责任</w:t>
            </w:r>
            <w:r>
              <w:rPr>
                <w:spacing w:val="-26"/>
              </w:rPr>
              <w:t>；（</w:t>
            </w:r>
            <w:r>
              <w:rPr>
                <w:spacing w:val="-3"/>
              </w:rPr>
              <w:t>一）未组织竣工验收，擅自交付使用的</w:t>
            </w:r>
            <w:r>
              <w:rPr>
                <w:spacing w:val="-26"/>
              </w:rPr>
              <w:t>；（</w:t>
            </w:r>
            <w:r>
              <w:rPr>
                <w:spacing w:val="-4"/>
              </w:rPr>
              <w:t>二）</w:t>
            </w:r>
            <w:r>
              <w:t xml:space="preserve"> </w:t>
            </w:r>
            <w:r>
              <w:rPr>
                <w:spacing w:val="-1"/>
              </w:rPr>
              <w:t>验收不合格，擅自交付使用的</w:t>
            </w:r>
            <w:r>
              <w:t>；（</w:t>
            </w:r>
            <w:r>
              <w:rPr>
                <w:spacing w:val="-1"/>
              </w:rPr>
              <w:t>三）对不合格的建设工程按照合格工程验收的。</w:t>
            </w:r>
          </w:p>
        </w:tc>
        <w:tc>
          <w:tcPr>
            <w:tcW w:w="1014" w:type="dxa"/>
            <w:vAlign w:val="top"/>
          </w:tcPr>
          <w:p w14:paraId="2B3BB5C6">
            <w:pPr>
              <w:spacing w:line="259" w:lineRule="auto"/>
              <w:rPr>
                <w:rFonts w:ascii="Arial"/>
                <w:sz w:val="21"/>
              </w:rPr>
            </w:pPr>
          </w:p>
          <w:p w14:paraId="5335FA0B">
            <w:pPr>
              <w:spacing w:line="259" w:lineRule="auto"/>
              <w:rPr>
                <w:rFonts w:ascii="Arial"/>
                <w:sz w:val="21"/>
              </w:rPr>
            </w:pPr>
          </w:p>
          <w:p w14:paraId="5FE665C8">
            <w:pPr>
              <w:spacing w:line="259" w:lineRule="auto"/>
              <w:rPr>
                <w:rFonts w:ascii="Arial"/>
                <w:sz w:val="21"/>
              </w:rPr>
            </w:pPr>
          </w:p>
          <w:p w14:paraId="1D2C4947">
            <w:pPr>
              <w:spacing w:line="259" w:lineRule="auto"/>
              <w:rPr>
                <w:rFonts w:ascii="Arial"/>
                <w:sz w:val="21"/>
              </w:rPr>
            </w:pPr>
          </w:p>
          <w:p w14:paraId="4DD99E76">
            <w:pPr>
              <w:spacing w:line="260" w:lineRule="auto"/>
              <w:rPr>
                <w:rFonts w:ascii="Arial"/>
                <w:sz w:val="21"/>
              </w:rPr>
            </w:pPr>
          </w:p>
          <w:p w14:paraId="535EB47B">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1233692C">
            <w:pPr>
              <w:spacing w:line="294" w:lineRule="auto"/>
              <w:rPr>
                <w:rFonts w:ascii="Arial"/>
                <w:sz w:val="21"/>
              </w:rPr>
            </w:pPr>
          </w:p>
          <w:p w14:paraId="725B007D">
            <w:pPr>
              <w:spacing w:line="294" w:lineRule="auto"/>
              <w:rPr>
                <w:rFonts w:ascii="Arial"/>
                <w:sz w:val="21"/>
              </w:rPr>
            </w:pPr>
          </w:p>
          <w:p w14:paraId="6494C5A0">
            <w:pPr>
              <w:spacing w:line="294" w:lineRule="auto"/>
              <w:rPr>
                <w:rFonts w:ascii="Arial"/>
                <w:sz w:val="21"/>
              </w:rPr>
            </w:pPr>
          </w:p>
          <w:p w14:paraId="41BF6934">
            <w:pPr>
              <w:spacing w:line="295" w:lineRule="auto"/>
              <w:rPr>
                <w:rFonts w:ascii="Arial"/>
                <w:sz w:val="21"/>
              </w:rPr>
            </w:pPr>
          </w:p>
          <w:p w14:paraId="593C74A6">
            <w:pPr>
              <w:pStyle w:val="8"/>
              <w:spacing w:before="26" w:line="221" w:lineRule="auto"/>
              <w:ind w:left="530"/>
            </w:pPr>
            <w:r>
              <w:rPr>
                <w:rFonts w:hint="eastAsia"/>
                <w:spacing w:val="-12"/>
                <w:lang w:eastAsia="zh-CN"/>
              </w:rPr>
              <w:t>津市市交通运输局</w:t>
            </w:r>
          </w:p>
        </w:tc>
        <w:tc>
          <w:tcPr>
            <w:tcW w:w="1018" w:type="dxa"/>
            <w:vAlign w:val="top"/>
          </w:tcPr>
          <w:p w14:paraId="06BF8E24">
            <w:pPr>
              <w:spacing w:line="264" w:lineRule="auto"/>
              <w:rPr>
                <w:rFonts w:ascii="Arial"/>
                <w:sz w:val="21"/>
              </w:rPr>
            </w:pPr>
          </w:p>
          <w:p w14:paraId="1B23F5CC">
            <w:pPr>
              <w:spacing w:line="265" w:lineRule="auto"/>
              <w:rPr>
                <w:rFonts w:ascii="Arial"/>
                <w:sz w:val="21"/>
              </w:rPr>
            </w:pPr>
          </w:p>
          <w:p w14:paraId="4AAB9ABE">
            <w:pPr>
              <w:spacing w:line="265" w:lineRule="auto"/>
              <w:rPr>
                <w:rFonts w:ascii="Arial"/>
                <w:sz w:val="21"/>
              </w:rPr>
            </w:pPr>
          </w:p>
          <w:p w14:paraId="41F9FDA0">
            <w:pPr>
              <w:spacing w:line="265" w:lineRule="auto"/>
              <w:rPr>
                <w:rFonts w:ascii="Arial"/>
                <w:sz w:val="21"/>
              </w:rPr>
            </w:pPr>
          </w:p>
          <w:p w14:paraId="55234815">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3F7F0D0C">
      <w:pPr>
        <w:pStyle w:val="2"/>
        <w:spacing w:line="177" w:lineRule="exact"/>
        <w:rPr>
          <w:sz w:val="15"/>
        </w:rPr>
      </w:pPr>
    </w:p>
    <w:p w14:paraId="2254A108">
      <w:pPr>
        <w:spacing w:line="177" w:lineRule="exact"/>
        <w:rPr>
          <w:sz w:val="15"/>
          <w:szCs w:val="15"/>
        </w:rPr>
        <w:sectPr>
          <w:footerReference r:id="rId95" w:type="default"/>
          <w:pgSz w:w="16839" w:h="11906"/>
          <w:pgMar w:top="1012" w:right="991" w:bottom="967" w:left="1021" w:header="0" w:footer="768" w:gutter="0"/>
          <w:cols w:space="720" w:num="1"/>
        </w:sectPr>
      </w:pPr>
    </w:p>
    <w:p w14:paraId="62B20FE1">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5E3AA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5DF7632C">
            <w:pPr>
              <w:pStyle w:val="8"/>
              <w:spacing w:before="267" w:line="221" w:lineRule="auto"/>
              <w:ind w:left="134"/>
            </w:pPr>
            <w:r>
              <w:rPr>
                <w:b/>
                <w:bCs/>
                <w:spacing w:val="-4"/>
              </w:rPr>
              <w:t>序号</w:t>
            </w:r>
          </w:p>
        </w:tc>
        <w:tc>
          <w:tcPr>
            <w:tcW w:w="1104" w:type="dxa"/>
            <w:vMerge w:val="restart"/>
            <w:tcBorders>
              <w:bottom w:val="nil"/>
            </w:tcBorders>
            <w:vAlign w:val="top"/>
          </w:tcPr>
          <w:p w14:paraId="47B94569">
            <w:pPr>
              <w:pStyle w:val="8"/>
              <w:spacing w:before="260" w:line="220" w:lineRule="auto"/>
              <w:ind w:left="192"/>
            </w:pPr>
            <w:r>
              <w:rPr>
                <w:b/>
                <w:bCs/>
                <w:spacing w:val="-4"/>
              </w:rPr>
              <w:t>事项名称</w:t>
            </w:r>
          </w:p>
        </w:tc>
        <w:tc>
          <w:tcPr>
            <w:tcW w:w="1104" w:type="dxa"/>
            <w:vMerge w:val="restart"/>
            <w:tcBorders>
              <w:bottom w:val="nil"/>
            </w:tcBorders>
            <w:vAlign w:val="top"/>
          </w:tcPr>
          <w:p w14:paraId="747DF46E">
            <w:pPr>
              <w:pStyle w:val="8"/>
              <w:spacing w:before="260" w:line="219" w:lineRule="auto"/>
              <w:ind w:left="193"/>
            </w:pPr>
            <w:r>
              <w:rPr>
                <w:b/>
                <w:bCs/>
                <w:spacing w:val="-4"/>
              </w:rPr>
              <w:t>职权类型</w:t>
            </w:r>
          </w:p>
        </w:tc>
        <w:tc>
          <w:tcPr>
            <w:tcW w:w="8549" w:type="dxa"/>
            <w:vMerge w:val="restart"/>
            <w:tcBorders>
              <w:bottom w:val="nil"/>
            </w:tcBorders>
            <w:vAlign w:val="top"/>
          </w:tcPr>
          <w:p w14:paraId="629303DF">
            <w:pPr>
              <w:pStyle w:val="8"/>
              <w:spacing w:before="259" w:line="219" w:lineRule="auto"/>
              <w:ind w:left="3921"/>
            </w:pPr>
            <w:r>
              <w:rPr>
                <w:b/>
                <w:bCs/>
                <w:spacing w:val="-5"/>
              </w:rPr>
              <w:t>实施依据</w:t>
            </w:r>
          </w:p>
        </w:tc>
        <w:tc>
          <w:tcPr>
            <w:tcW w:w="3439" w:type="dxa"/>
            <w:gridSpan w:val="3"/>
            <w:vAlign w:val="top"/>
          </w:tcPr>
          <w:p w14:paraId="7A0D944C">
            <w:pPr>
              <w:pStyle w:val="8"/>
              <w:spacing w:before="85" w:line="220" w:lineRule="auto"/>
              <w:ind w:left="1365"/>
            </w:pPr>
            <w:r>
              <w:rPr>
                <w:b/>
                <w:bCs/>
                <w:spacing w:val="-5"/>
              </w:rPr>
              <w:t>实施主体</w:t>
            </w:r>
          </w:p>
        </w:tc>
      </w:tr>
      <w:tr w14:paraId="0AA63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16DE1AD">
            <w:pPr>
              <w:rPr>
                <w:rFonts w:ascii="Arial"/>
                <w:sz w:val="21"/>
              </w:rPr>
            </w:pPr>
          </w:p>
        </w:tc>
        <w:tc>
          <w:tcPr>
            <w:tcW w:w="1104" w:type="dxa"/>
            <w:vMerge w:val="continue"/>
            <w:tcBorders>
              <w:top w:val="nil"/>
            </w:tcBorders>
            <w:vAlign w:val="top"/>
          </w:tcPr>
          <w:p w14:paraId="2D1EF74C">
            <w:pPr>
              <w:rPr>
                <w:rFonts w:ascii="Arial"/>
                <w:sz w:val="21"/>
              </w:rPr>
            </w:pPr>
          </w:p>
        </w:tc>
        <w:tc>
          <w:tcPr>
            <w:tcW w:w="1104" w:type="dxa"/>
            <w:vMerge w:val="continue"/>
            <w:tcBorders>
              <w:top w:val="nil"/>
            </w:tcBorders>
            <w:vAlign w:val="top"/>
          </w:tcPr>
          <w:p w14:paraId="61D810DB">
            <w:pPr>
              <w:rPr>
                <w:rFonts w:ascii="Arial"/>
                <w:sz w:val="21"/>
              </w:rPr>
            </w:pPr>
          </w:p>
        </w:tc>
        <w:tc>
          <w:tcPr>
            <w:tcW w:w="8549" w:type="dxa"/>
            <w:vMerge w:val="continue"/>
            <w:tcBorders>
              <w:top w:val="nil"/>
            </w:tcBorders>
            <w:vAlign w:val="top"/>
          </w:tcPr>
          <w:p w14:paraId="458E8B15">
            <w:pPr>
              <w:rPr>
                <w:rFonts w:ascii="Arial"/>
                <w:sz w:val="21"/>
              </w:rPr>
            </w:pPr>
          </w:p>
        </w:tc>
        <w:tc>
          <w:tcPr>
            <w:tcW w:w="1014" w:type="dxa"/>
            <w:vAlign w:val="top"/>
          </w:tcPr>
          <w:p w14:paraId="7D2872EA">
            <w:pPr>
              <w:pStyle w:val="8"/>
              <w:spacing w:before="81" w:line="219" w:lineRule="auto"/>
              <w:ind w:left="158"/>
            </w:pPr>
            <w:r>
              <w:rPr>
                <w:b/>
                <w:bCs/>
                <w:spacing w:val="-5"/>
              </w:rPr>
              <w:t>责任部门</w:t>
            </w:r>
          </w:p>
        </w:tc>
        <w:tc>
          <w:tcPr>
            <w:tcW w:w="1407" w:type="dxa"/>
            <w:vAlign w:val="top"/>
          </w:tcPr>
          <w:p w14:paraId="4EC2570B">
            <w:pPr>
              <w:pStyle w:val="8"/>
              <w:spacing w:before="81" w:line="219" w:lineRule="auto"/>
              <w:ind w:left="167"/>
            </w:pPr>
            <w:r>
              <w:rPr>
                <w:b/>
                <w:bCs/>
                <w:spacing w:val="-3"/>
              </w:rPr>
              <w:t>第一责任层级</w:t>
            </w:r>
          </w:p>
        </w:tc>
        <w:tc>
          <w:tcPr>
            <w:tcW w:w="1018" w:type="dxa"/>
            <w:vAlign w:val="top"/>
          </w:tcPr>
          <w:p w14:paraId="7CED9EB2">
            <w:pPr>
              <w:pStyle w:val="8"/>
              <w:spacing w:before="81" w:line="219" w:lineRule="auto"/>
              <w:ind w:left="152"/>
            </w:pPr>
            <w:r>
              <w:rPr>
                <w:b/>
                <w:bCs/>
                <w:spacing w:val="-4"/>
              </w:rPr>
              <w:t>承办机构</w:t>
            </w:r>
          </w:p>
        </w:tc>
      </w:tr>
      <w:tr w14:paraId="3B44A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24" w:type="dxa"/>
            <w:vAlign w:val="top"/>
          </w:tcPr>
          <w:p w14:paraId="1342AA9D">
            <w:pPr>
              <w:rPr>
                <w:rFonts w:ascii="Arial"/>
                <w:sz w:val="21"/>
              </w:rPr>
            </w:pPr>
          </w:p>
        </w:tc>
        <w:tc>
          <w:tcPr>
            <w:tcW w:w="1104" w:type="dxa"/>
            <w:vAlign w:val="top"/>
          </w:tcPr>
          <w:p w14:paraId="490FC70F">
            <w:pPr>
              <w:rPr>
                <w:rFonts w:ascii="Arial"/>
                <w:sz w:val="21"/>
              </w:rPr>
            </w:pPr>
          </w:p>
        </w:tc>
        <w:tc>
          <w:tcPr>
            <w:tcW w:w="1104" w:type="dxa"/>
            <w:vAlign w:val="top"/>
          </w:tcPr>
          <w:p w14:paraId="5083F6D6">
            <w:pPr>
              <w:rPr>
                <w:rFonts w:ascii="Arial"/>
                <w:sz w:val="21"/>
              </w:rPr>
            </w:pPr>
          </w:p>
        </w:tc>
        <w:tc>
          <w:tcPr>
            <w:tcW w:w="8549" w:type="dxa"/>
            <w:vAlign w:val="top"/>
          </w:tcPr>
          <w:p w14:paraId="56DF31ED">
            <w:pPr>
              <w:pStyle w:val="8"/>
              <w:spacing w:before="38" w:line="219" w:lineRule="auto"/>
              <w:ind w:left="474"/>
            </w:pPr>
            <w:r>
              <w:rPr>
                <w:b/>
                <w:bCs/>
                <w:spacing w:val="-3"/>
              </w:rPr>
              <w:t>3.《港口工程建设管理规定》（交通运输部令</w:t>
            </w:r>
            <w:r>
              <w:rPr>
                <w:spacing w:val="-32"/>
              </w:rPr>
              <w:t xml:space="preserve"> </w:t>
            </w:r>
            <w:r>
              <w:rPr>
                <w:b/>
                <w:bCs/>
                <w:spacing w:val="-3"/>
              </w:rPr>
              <w:t>2019</w:t>
            </w:r>
            <w:r>
              <w:rPr>
                <w:spacing w:val="-41"/>
              </w:rPr>
              <w:t xml:space="preserve"> </w:t>
            </w:r>
            <w:r>
              <w:rPr>
                <w:b/>
                <w:bCs/>
                <w:spacing w:val="-3"/>
              </w:rPr>
              <w:t>年第</w:t>
            </w:r>
            <w:r>
              <w:rPr>
                <w:spacing w:val="-31"/>
              </w:rPr>
              <w:t xml:space="preserve"> </w:t>
            </w:r>
            <w:r>
              <w:rPr>
                <w:b/>
                <w:bCs/>
                <w:spacing w:val="-3"/>
              </w:rPr>
              <w:t>3</w:t>
            </w:r>
            <w:r>
              <w:rPr>
                <w:b/>
                <w:bCs/>
                <w:spacing w:val="-4"/>
              </w:rPr>
              <w:t>2</w:t>
            </w:r>
            <w:r>
              <w:rPr>
                <w:spacing w:val="-34"/>
              </w:rPr>
              <w:t xml:space="preserve"> </w:t>
            </w:r>
            <w:r>
              <w:rPr>
                <w:b/>
                <w:bCs/>
                <w:spacing w:val="-4"/>
              </w:rPr>
              <w:t>号）</w:t>
            </w:r>
          </w:p>
          <w:p w14:paraId="424C44B0">
            <w:pPr>
              <w:pStyle w:val="8"/>
              <w:spacing w:before="25" w:line="233" w:lineRule="auto"/>
              <w:ind w:left="112" w:right="58" w:firstLine="358"/>
            </w:pPr>
            <w:r>
              <w:rPr>
                <w:spacing w:val="-1"/>
              </w:rPr>
              <w:t>第九条第（八</w:t>
            </w:r>
            <w:r>
              <w:rPr>
                <w:spacing w:val="-10"/>
              </w:rPr>
              <w:t>）（</w:t>
            </w:r>
            <w:r>
              <w:rPr>
                <w:spacing w:val="-1"/>
              </w:rPr>
              <w:t>九）款  政府投资的港口工程建设项目应当执行以下建设程序</w:t>
            </w:r>
            <w:r>
              <w:rPr>
                <w:spacing w:val="-10"/>
              </w:rPr>
              <w:t>：（</w:t>
            </w:r>
            <w:r>
              <w:rPr>
                <w:spacing w:val="-1"/>
              </w:rPr>
              <w:t>八</w:t>
            </w:r>
            <w:r>
              <w:rPr>
                <w:spacing w:val="-2"/>
              </w:rPr>
              <w:t>）工程完工后，</w:t>
            </w:r>
            <w:r>
              <w:rPr>
                <w:spacing w:val="2"/>
              </w:rPr>
              <w:t xml:space="preserve"> </w:t>
            </w:r>
            <w:r>
              <w:rPr>
                <w:spacing w:val="-1"/>
              </w:rPr>
              <w:t>编制竣工材料，进行工程竣工验收的各项准备工作；（九）组织竣工验</w:t>
            </w:r>
            <w:r>
              <w:rPr>
                <w:spacing w:val="-2"/>
              </w:rPr>
              <w:t>收。</w:t>
            </w:r>
          </w:p>
          <w:p w14:paraId="3460EB53">
            <w:pPr>
              <w:pStyle w:val="8"/>
              <w:spacing w:before="26" w:line="231" w:lineRule="auto"/>
              <w:ind w:left="112" w:right="121" w:firstLine="358"/>
            </w:pPr>
            <w:r>
              <w:t>第七十条  项目单位有下列行为之一，由所在地港口行政管理</w:t>
            </w:r>
            <w:r>
              <w:rPr>
                <w:spacing w:val="-1"/>
              </w:rPr>
              <w:t>部门责令停止使用，处工程合同价款</w:t>
            </w:r>
            <w:r>
              <w:t xml:space="preserve"> 2%以上</w:t>
            </w:r>
            <w:r>
              <w:rPr>
                <w:spacing w:val="-38"/>
              </w:rPr>
              <w:t xml:space="preserve"> </w:t>
            </w:r>
            <w:r>
              <w:t>4%以下的罚款</w:t>
            </w:r>
            <w:r>
              <w:rPr>
                <w:spacing w:val="-2"/>
              </w:rPr>
              <w:t>：（</w:t>
            </w:r>
            <w:r>
              <w:t>一）未组织竣工验收或验收不合格，擅自</w:t>
            </w:r>
            <w:r>
              <w:rPr>
                <w:spacing w:val="-1"/>
              </w:rPr>
              <w:t>交付使用的</w:t>
            </w:r>
            <w:r>
              <w:rPr>
                <w:spacing w:val="-2"/>
              </w:rPr>
              <w:t>；（</w:t>
            </w:r>
            <w:r>
              <w:rPr>
                <w:spacing w:val="-1"/>
              </w:rPr>
              <w:t>二）对不符合竣工验收</w:t>
            </w:r>
            <w:r>
              <w:t xml:space="preserve"> </w:t>
            </w:r>
            <w:r>
              <w:rPr>
                <w:spacing w:val="-2"/>
              </w:rPr>
              <w:t>条件和要求的项目按照合格项目验收的。</w:t>
            </w:r>
          </w:p>
        </w:tc>
        <w:tc>
          <w:tcPr>
            <w:tcW w:w="1014" w:type="dxa"/>
            <w:vAlign w:val="top"/>
          </w:tcPr>
          <w:p w14:paraId="1867CEF8">
            <w:pPr>
              <w:rPr>
                <w:rFonts w:ascii="Arial"/>
                <w:sz w:val="21"/>
              </w:rPr>
            </w:pPr>
          </w:p>
        </w:tc>
        <w:tc>
          <w:tcPr>
            <w:tcW w:w="1407" w:type="dxa"/>
            <w:vAlign w:val="top"/>
          </w:tcPr>
          <w:p w14:paraId="5F4E2258">
            <w:pPr>
              <w:rPr>
                <w:rFonts w:ascii="Arial"/>
                <w:sz w:val="21"/>
              </w:rPr>
            </w:pPr>
          </w:p>
        </w:tc>
        <w:tc>
          <w:tcPr>
            <w:tcW w:w="1018" w:type="dxa"/>
            <w:vAlign w:val="top"/>
          </w:tcPr>
          <w:p w14:paraId="3437B389">
            <w:pPr>
              <w:rPr>
                <w:rFonts w:ascii="Arial"/>
                <w:sz w:val="21"/>
              </w:rPr>
            </w:pPr>
          </w:p>
        </w:tc>
      </w:tr>
      <w:tr w14:paraId="594E9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4" w:type="dxa"/>
            <w:vAlign w:val="top"/>
          </w:tcPr>
          <w:p w14:paraId="10CF5004">
            <w:pPr>
              <w:spacing w:line="241" w:lineRule="auto"/>
              <w:rPr>
                <w:rFonts w:ascii="Arial"/>
                <w:sz w:val="21"/>
              </w:rPr>
            </w:pPr>
          </w:p>
          <w:p w14:paraId="3CA1A54C">
            <w:pPr>
              <w:spacing w:line="241" w:lineRule="auto"/>
              <w:rPr>
                <w:rFonts w:ascii="Arial"/>
                <w:sz w:val="21"/>
              </w:rPr>
            </w:pPr>
          </w:p>
          <w:p w14:paraId="63EFCAC1">
            <w:pPr>
              <w:spacing w:line="242" w:lineRule="auto"/>
              <w:rPr>
                <w:rFonts w:ascii="Arial"/>
                <w:sz w:val="21"/>
              </w:rPr>
            </w:pPr>
          </w:p>
          <w:p w14:paraId="7E305263">
            <w:pPr>
              <w:pStyle w:val="8"/>
              <w:spacing w:before="59" w:line="183" w:lineRule="auto"/>
              <w:ind w:left="230"/>
            </w:pPr>
            <w:r>
              <w:rPr>
                <w:spacing w:val="-4"/>
              </w:rPr>
              <w:t>44</w:t>
            </w:r>
          </w:p>
        </w:tc>
        <w:tc>
          <w:tcPr>
            <w:tcW w:w="1104" w:type="dxa"/>
            <w:vAlign w:val="top"/>
          </w:tcPr>
          <w:p w14:paraId="1DF3D23D">
            <w:pPr>
              <w:pStyle w:val="8"/>
              <w:spacing w:before="36"/>
              <w:ind w:left="61" w:right="56" w:hanging="1"/>
              <w:jc w:val="both"/>
            </w:pPr>
            <w:r>
              <w:rPr>
                <w:spacing w:val="16"/>
              </w:rPr>
              <w:t>对交通运输</w:t>
            </w:r>
            <w:r>
              <w:rPr>
                <w:spacing w:val="1"/>
              </w:rPr>
              <w:t xml:space="preserve"> </w:t>
            </w:r>
            <w:r>
              <w:rPr>
                <w:spacing w:val="16"/>
              </w:rPr>
              <w:t>建设工程领</w:t>
            </w:r>
            <w:r>
              <w:t xml:space="preserve"> </w:t>
            </w:r>
            <w:r>
              <w:rPr>
                <w:spacing w:val="16"/>
              </w:rPr>
              <w:t>域建设单位</w:t>
            </w:r>
            <w:r>
              <w:t xml:space="preserve"> </w:t>
            </w:r>
            <w:r>
              <w:rPr>
                <w:spacing w:val="16"/>
              </w:rPr>
              <w:t>未按规定移</w:t>
            </w:r>
            <w:r>
              <w:t xml:space="preserve"> </w:t>
            </w:r>
            <w:r>
              <w:rPr>
                <w:spacing w:val="16"/>
              </w:rPr>
              <w:t>交建设项目</w:t>
            </w:r>
            <w:r>
              <w:t xml:space="preserve"> </w:t>
            </w:r>
            <w:r>
              <w:rPr>
                <w:spacing w:val="16"/>
              </w:rPr>
              <w:t>档案行为的</w:t>
            </w:r>
            <w:r>
              <w:t xml:space="preserve"> </w:t>
            </w:r>
            <w:r>
              <w:rPr>
                <w:spacing w:val="-2"/>
              </w:rPr>
              <w:t>行政处罚</w:t>
            </w:r>
          </w:p>
        </w:tc>
        <w:tc>
          <w:tcPr>
            <w:tcW w:w="1104" w:type="dxa"/>
            <w:vAlign w:val="top"/>
          </w:tcPr>
          <w:p w14:paraId="05F27449">
            <w:pPr>
              <w:spacing w:line="348" w:lineRule="auto"/>
              <w:rPr>
                <w:rFonts w:ascii="Arial"/>
                <w:sz w:val="21"/>
              </w:rPr>
            </w:pPr>
          </w:p>
          <w:p w14:paraId="5AE8F91B">
            <w:pPr>
              <w:spacing w:line="348" w:lineRule="auto"/>
              <w:rPr>
                <w:rFonts w:ascii="Arial"/>
                <w:sz w:val="21"/>
              </w:rPr>
            </w:pPr>
          </w:p>
          <w:p w14:paraId="6ACB5EDC">
            <w:pPr>
              <w:pStyle w:val="8"/>
              <w:spacing w:before="58" w:line="220" w:lineRule="auto"/>
              <w:ind w:left="10"/>
            </w:pPr>
            <w:r>
              <w:rPr>
                <w:spacing w:val="-2"/>
              </w:rPr>
              <w:t>行政处罚</w:t>
            </w:r>
          </w:p>
        </w:tc>
        <w:tc>
          <w:tcPr>
            <w:tcW w:w="8549" w:type="dxa"/>
            <w:vAlign w:val="top"/>
          </w:tcPr>
          <w:p w14:paraId="4591BD56">
            <w:pPr>
              <w:pStyle w:val="8"/>
              <w:spacing w:before="159" w:line="219" w:lineRule="auto"/>
              <w:ind w:left="476"/>
            </w:pPr>
            <w:r>
              <w:rPr>
                <w:b/>
                <w:bCs/>
                <w:spacing w:val="-4"/>
              </w:rPr>
              <w:t>《建设工程质量管理条例》</w:t>
            </w:r>
          </w:p>
          <w:p w14:paraId="50279CE6">
            <w:pPr>
              <w:pStyle w:val="8"/>
              <w:spacing w:before="27" w:line="237" w:lineRule="auto"/>
              <w:ind w:left="111" w:right="159" w:firstLine="359"/>
              <w:jc w:val="both"/>
            </w:pPr>
            <w:r>
              <w:t>第十七条  建设单位应当严格按照国家有关档案管理的规定，及时收集、整理建</w:t>
            </w:r>
            <w:r>
              <w:rPr>
                <w:spacing w:val="-1"/>
              </w:rPr>
              <w:t>设项目各环节的文件</w:t>
            </w:r>
            <w:r>
              <w:t xml:space="preserve"> 资料，建立、健全建设项目档案，并在建设工程竣工验收后，及时向建设行政主管部</w:t>
            </w:r>
            <w:r>
              <w:rPr>
                <w:spacing w:val="-1"/>
              </w:rPr>
              <w:t>门或者其他有关部门</w:t>
            </w:r>
            <w:r>
              <w:t xml:space="preserve"> </w:t>
            </w:r>
            <w:r>
              <w:rPr>
                <w:spacing w:val="-4"/>
              </w:rPr>
              <w:t>移交建设项目档案。</w:t>
            </w:r>
          </w:p>
          <w:p w14:paraId="04C4A2A3">
            <w:pPr>
              <w:pStyle w:val="8"/>
              <w:spacing w:before="24" w:line="233" w:lineRule="auto"/>
              <w:ind w:left="113" w:right="159" w:firstLine="357"/>
            </w:pPr>
            <w:r>
              <w:t>第五十九条  违反本条例规定，建设工程竣工验收后，建设单位未向建设行政主</w:t>
            </w:r>
            <w:r>
              <w:rPr>
                <w:spacing w:val="-1"/>
              </w:rPr>
              <w:t>管部门或者其他有关</w:t>
            </w:r>
            <w:r>
              <w:t xml:space="preserve"> </w:t>
            </w:r>
            <w:r>
              <w:rPr>
                <w:spacing w:val="-3"/>
              </w:rPr>
              <w:t>部门移交建设项目档案的，责令改正，处</w:t>
            </w:r>
            <w:r>
              <w:rPr>
                <w:spacing w:val="-19"/>
              </w:rPr>
              <w:t xml:space="preserve"> </w:t>
            </w:r>
            <w:r>
              <w:rPr>
                <w:spacing w:val="-3"/>
              </w:rPr>
              <w:t>1</w:t>
            </w:r>
            <w:r>
              <w:rPr>
                <w:spacing w:val="-35"/>
              </w:rPr>
              <w:t xml:space="preserve"> </w:t>
            </w:r>
            <w:r>
              <w:rPr>
                <w:spacing w:val="-3"/>
              </w:rPr>
              <w:t>万元以上</w:t>
            </w:r>
            <w:r>
              <w:rPr>
                <w:spacing w:val="-24"/>
              </w:rPr>
              <w:t xml:space="preserve"> </w:t>
            </w:r>
            <w:r>
              <w:rPr>
                <w:spacing w:val="-3"/>
              </w:rPr>
              <w:t>10</w:t>
            </w:r>
            <w:r>
              <w:rPr>
                <w:spacing w:val="-36"/>
              </w:rPr>
              <w:t xml:space="preserve"> </w:t>
            </w:r>
            <w:r>
              <w:rPr>
                <w:spacing w:val="-3"/>
              </w:rPr>
              <w:t>万元以下的罚款。</w:t>
            </w:r>
          </w:p>
        </w:tc>
        <w:tc>
          <w:tcPr>
            <w:tcW w:w="1014" w:type="dxa"/>
            <w:vAlign w:val="top"/>
          </w:tcPr>
          <w:p w14:paraId="6A7DFDCD">
            <w:pPr>
              <w:spacing w:line="288" w:lineRule="auto"/>
              <w:rPr>
                <w:rFonts w:ascii="Arial"/>
                <w:sz w:val="21"/>
              </w:rPr>
            </w:pPr>
          </w:p>
          <w:p w14:paraId="6FAAF102">
            <w:pPr>
              <w:spacing w:line="288" w:lineRule="auto"/>
              <w:rPr>
                <w:rFonts w:ascii="Arial"/>
                <w:sz w:val="21"/>
              </w:rPr>
            </w:pPr>
          </w:p>
          <w:p w14:paraId="386EC211">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FF104FA">
            <w:pPr>
              <w:spacing w:line="288" w:lineRule="auto"/>
              <w:rPr>
                <w:rFonts w:ascii="Arial"/>
                <w:sz w:val="21"/>
              </w:rPr>
            </w:pPr>
          </w:p>
          <w:p w14:paraId="4744B395">
            <w:pPr>
              <w:spacing w:line="289" w:lineRule="auto"/>
              <w:rPr>
                <w:rFonts w:ascii="Arial"/>
                <w:sz w:val="21"/>
              </w:rPr>
            </w:pPr>
          </w:p>
          <w:p w14:paraId="2C1181F0">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090C70D">
            <w:pPr>
              <w:spacing w:line="339" w:lineRule="auto"/>
              <w:rPr>
                <w:rFonts w:ascii="Arial"/>
                <w:sz w:val="21"/>
              </w:rPr>
            </w:pPr>
          </w:p>
          <w:p w14:paraId="0C352711">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0E427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5" w:hRule="atLeast"/>
        </w:trPr>
        <w:tc>
          <w:tcPr>
            <w:tcW w:w="624" w:type="dxa"/>
            <w:vAlign w:val="top"/>
          </w:tcPr>
          <w:p w14:paraId="20B84BA2">
            <w:pPr>
              <w:spacing w:line="250" w:lineRule="auto"/>
              <w:rPr>
                <w:rFonts w:ascii="Arial"/>
                <w:sz w:val="21"/>
              </w:rPr>
            </w:pPr>
          </w:p>
          <w:p w14:paraId="16313935">
            <w:pPr>
              <w:spacing w:line="250" w:lineRule="auto"/>
              <w:rPr>
                <w:rFonts w:ascii="Arial"/>
                <w:sz w:val="21"/>
              </w:rPr>
            </w:pPr>
          </w:p>
          <w:p w14:paraId="5A78C020">
            <w:pPr>
              <w:spacing w:line="250" w:lineRule="auto"/>
              <w:rPr>
                <w:rFonts w:ascii="Arial"/>
                <w:sz w:val="21"/>
              </w:rPr>
            </w:pPr>
          </w:p>
          <w:p w14:paraId="722615E1">
            <w:pPr>
              <w:spacing w:line="250" w:lineRule="auto"/>
              <w:rPr>
                <w:rFonts w:ascii="Arial"/>
                <w:sz w:val="21"/>
              </w:rPr>
            </w:pPr>
          </w:p>
          <w:p w14:paraId="3BCF4D02">
            <w:pPr>
              <w:spacing w:line="250" w:lineRule="auto"/>
              <w:rPr>
                <w:rFonts w:ascii="Arial"/>
                <w:sz w:val="21"/>
              </w:rPr>
            </w:pPr>
          </w:p>
          <w:p w14:paraId="33701815">
            <w:pPr>
              <w:spacing w:line="250" w:lineRule="auto"/>
              <w:rPr>
                <w:rFonts w:ascii="Arial"/>
                <w:sz w:val="21"/>
              </w:rPr>
            </w:pPr>
          </w:p>
          <w:p w14:paraId="6DB6E7FC">
            <w:pPr>
              <w:spacing w:line="251" w:lineRule="auto"/>
              <w:rPr>
                <w:rFonts w:ascii="Arial"/>
                <w:sz w:val="21"/>
              </w:rPr>
            </w:pPr>
          </w:p>
          <w:p w14:paraId="4C2EDE3F">
            <w:pPr>
              <w:spacing w:line="251" w:lineRule="auto"/>
              <w:rPr>
                <w:rFonts w:ascii="Arial"/>
                <w:sz w:val="21"/>
              </w:rPr>
            </w:pPr>
          </w:p>
          <w:p w14:paraId="532A3C35">
            <w:pPr>
              <w:spacing w:line="251" w:lineRule="auto"/>
              <w:rPr>
                <w:rFonts w:ascii="Arial"/>
                <w:sz w:val="21"/>
              </w:rPr>
            </w:pPr>
          </w:p>
          <w:p w14:paraId="247FD9E1">
            <w:pPr>
              <w:spacing w:line="251" w:lineRule="auto"/>
              <w:rPr>
                <w:rFonts w:ascii="Arial"/>
                <w:sz w:val="21"/>
              </w:rPr>
            </w:pPr>
          </w:p>
          <w:p w14:paraId="596B374F">
            <w:pPr>
              <w:spacing w:line="251" w:lineRule="auto"/>
              <w:rPr>
                <w:rFonts w:ascii="Arial"/>
                <w:sz w:val="21"/>
              </w:rPr>
            </w:pPr>
          </w:p>
          <w:p w14:paraId="1CB748E0">
            <w:pPr>
              <w:pStyle w:val="8"/>
              <w:spacing w:before="58" w:line="183" w:lineRule="auto"/>
              <w:ind w:left="230"/>
            </w:pPr>
            <w:r>
              <w:rPr>
                <w:spacing w:val="-4"/>
              </w:rPr>
              <w:t>45</w:t>
            </w:r>
          </w:p>
        </w:tc>
        <w:tc>
          <w:tcPr>
            <w:tcW w:w="1104" w:type="dxa"/>
            <w:vAlign w:val="top"/>
          </w:tcPr>
          <w:p w14:paraId="4707A0E4">
            <w:pPr>
              <w:spacing w:line="255" w:lineRule="auto"/>
              <w:rPr>
                <w:rFonts w:ascii="Arial"/>
                <w:sz w:val="21"/>
              </w:rPr>
            </w:pPr>
          </w:p>
          <w:p w14:paraId="43664501">
            <w:pPr>
              <w:spacing w:line="255" w:lineRule="auto"/>
              <w:rPr>
                <w:rFonts w:ascii="Arial"/>
                <w:sz w:val="21"/>
              </w:rPr>
            </w:pPr>
          </w:p>
          <w:p w14:paraId="19ECF3AD">
            <w:pPr>
              <w:spacing w:line="255" w:lineRule="auto"/>
              <w:rPr>
                <w:rFonts w:ascii="Arial"/>
                <w:sz w:val="21"/>
              </w:rPr>
            </w:pPr>
          </w:p>
          <w:p w14:paraId="0100B3E5">
            <w:pPr>
              <w:spacing w:line="255" w:lineRule="auto"/>
              <w:rPr>
                <w:rFonts w:ascii="Arial"/>
                <w:sz w:val="21"/>
              </w:rPr>
            </w:pPr>
          </w:p>
          <w:p w14:paraId="476BEEF2">
            <w:pPr>
              <w:spacing w:line="255" w:lineRule="auto"/>
              <w:rPr>
                <w:rFonts w:ascii="Arial"/>
                <w:sz w:val="21"/>
              </w:rPr>
            </w:pPr>
          </w:p>
          <w:p w14:paraId="03777999">
            <w:pPr>
              <w:spacing w:line="256" w:lineRule="auto"/>
              <w:rPr>
                <w:rFonts w:ascii="Arial"/>
                <w:sz w:val="21"/>
              </w:rPr>
            </w:pPr>
          </w:p>
          <w:p w14:paraId="52F2EF27">
            <w:pPr>
              <w:pStyle w:val="8"/>
              <w:spacing w:before="58" w:line="244" w:lineRule="auto"/>
              <w:ind w:left="60" w:right="56"/>
              <w:jc w:val="both"/>
            </w:pPr>
            <w:r>
              <w:rPr>
                <w:spacing w:val="16"/>
              </w:rPr>
              <w:t>对交通运输</w:t>
            </w:r>
            <w:r>
              <w:rPr>
                <w:spacing w:val="1"/>
              </w:rPr>
              <w:t xml:space="preserve"> </w:t>
            </w:r>
            <w:r>
              <w:rPr>
                <w:spacing w:val="-17"/>
              </w:rPr>
              <w:t>领域勘察、设</w:t>
            </w:r>
            <w:r>
              <w:rPr>
                <w:spacing w:val="3"/>
              </w:rPr>
              <w:t xml:space="preserve"> </w:t>
            </w:r>
            <w:r>
              <w:rPr>
                <w:spacing w:val="-17"/>
              </w:rPr>
              <w:t>计、施工、工</w:t>
            </w:r>
            <w:r>
              <w:rPr>
                <w:spacing w:val="3"/>
              </w:rPr>
              <w:t xml:space="preserve"> </w:t>
            </w:r>
            <w:r>
              <w:rPr>
                <w:spacing w:val="16"/>
              </w:rPr>
              <w:t>程监理单位</w:t>
            </w:r>
            <w:r>
              <w:rPr>
                <w:spacing w:val="1"/>
              </w:rPr>
              <w:t xml:space="preserve"> </w:t>
            </w:r>
            <w:r>
              <w:rPr>
                <w:spacing w:val="16"/>
              </w:rPr>
              <w:t>超越本单位</w:t>
            </w:r>
            <w:r>
              <w:rPr>
                <w:spacing w:val="1"/>
              </w:rPr>
              <w:t xml:space="preserve"> </w:t>
            </w:r>
            <w:r>
              <w:rPr>
                <w:spacing w:val="16"/>
              </w:rPr>
              <w:t>资质等级承</w:t>
            </w:r>
            <w:r>
              <w:rPr>
                <w:spacing w:val="1"/>
              </w:rPr>
              <w:t xml:space="preserve"> </w:t>
            </w:r>
            <w:r>
              <w:rPr>
                <w:spacing w:val="16"/>
              </w:rPr>
              <w:t>揽工程等行</w:t>
            </w:r>
            <w:r>
              <w:rPr>
                <w:spacing w:val="1"/>
              </w:rPr>
              <w:t xml:space="preserve"> </w:t>
            </w:r>
            <w:r>
              <w:rPr>
                <w:spacing w:val="16"/>
              </w:rPr>
              <w:t>为的行政处</w:t>
            </w:r>
            <w:r>
              <w:rPr>
                <w:spacing w:val="1"/>
              </w:rPr>
              <w:t xml:space="preserve"> </w:t>
            </w:r>
            <w:r>
              <w:t>罚</w:t>
            </w:r>
          </w:p>
        </w:tc>
        <w:tc>
          <w:tcPr>
            <w:tcW w:w="1104" w:type="dxa"/>
            <w:vAlign w:val="top"/>
          </w:tcPr>
          <w:p w14:paraId="085B841F">
            <w:pPr>
              <w:spacing w:line="247" w:lineRule="auto"/>
              <w:rPr>
                <w:rFonts w:ascii="Arial"/>
                <w:sz w:val="21"/>
              </w:rPr>
            </w:pPr>
          </w:p>
          <w:p w14:paraId="66308A63">
            <w:pPr>
              <w:spacing w:line="247" w:lineRule="auto"/>
              <w:rPr>
                <w:rFonts w:ascii="Arial"/>
                <w:sz w:val="21"/>
              </w:rPr>
            </w:pPr>
          </w:p>
          <w:p w14:paraId="1D9F717C">
            <w:pPr>
              <w:spacing w:line="248" w:lineRule="auto"/>
              <w:rPr>
                <w:rFonts w:ascii="Arial"/>
                <w:sz w:val="21"/>
              </w:rPr>
            </w:pPr>
          </w:p>
          <w:p w14:paraId="297D8D5C">
            <w:pPr>
              <w:spacing w:line="248" w:lineRule="auto"/>
              <w:rPr>
                <w:rFonts w:ascii="Arial"/>
                <w:sz w:val="21"/>
              </w:rPr>
            </w:pPr>
          </w:p>
          <w:p w14:paraId="17D7BB31">
            <w:pPr>
              <w:spacing w:line="248" w:lineRule="auto"/>
              <w:rPr>
                <w:rFonts w:ascii="Arial"/>
                <w:sz w:val="21"/>
              </w:rPr>
            </w:pPr>
          </w:p>
          <w:p w14:paraId="0457D556">
            <w:pPr>
              <w:spacing w:line="248" w:lineRule="auto"/>
              <w:rPr>
                <w:rFonts w:ascii="Arial"/>
                <w:sz w:val="21"/>
              </w:rPr>
            </w:pPr>
          </w:p>
          <w:p w14:paraId="5ED9DB49">
            <w:pPr>
              <w:spacing w:line="248" w:lineRule="auto"/>
              <w:rPr>
                <w:rFonts w:ascii="Arial"/>
                <w:sz w:val="21"/>
              </w:rPr>
            </w:pPr>
          </w:p>
          <w:p w14:paraId="2534287D">
            <w:pPr>
              <w:spacing w:line="248" w:lineRule="auto"/>
              <w:rPr>
                <w:rFonts w:ascii="Arial"/>
                <w:sz w:val="21"/>
              </w:rPr>
            </w:pPr>
          </w:p>
          <w:p w14:paraId="46132AD2">
            <w:pPr>
              <w:spacing w:line="248" w:lineRule="auto"/>
              <w:rPr>
                <w:rFonts w:ascii="Arial"/>
                <w:sz w:val="21"/>
              </w:rPr>
            </w:pPr>
          </w:p>
          <w:p w14:paraId="50F45F98">
            <w:pPr>
              <w:spacing w:line="248" w:lineRule="auto"/>
              <w:rPr>
                <w:rFonts w:ascii="Arial"/>
                <w:sz w:val="21"/>
              </w:rPr>
            </w:pPr>
          </w:p>
          <w:p w14:paraId="4676F2AB">
            <w:pPr>
              <w:spacing w:line="248" w:lineRule="auto"/>
              <w:rPr>
                <w:rFonts w:ascii="Arial"/>
                <w:sz w:val="21"/>
              </w:rPr>
            </w:pPr>
          </w:p>
          <w:p w14:paraId="5E685C56">
            <w:pPr>
              <w:pStyle w:val="8"/>
              <w:spacing w:before="59" w:line="220" w:lineRule="auto"/>
              <w:ind w:left="10"/>
            </w:pPr>
            <w:r>
              <w:rPr>
                <w:spacing w:val="-2"/>
              </w:rPr>
              <w:t>行政处罚</w:t>
            </w:r>
          </w:p>
        </w:tc>
        <w:tc>
          <w:tcPr>
            <w:tcW w:w="8549" w:type="dxa"/>
            <w:vAlign w:val="top"/>
          </w:tcPr>
          <w:p w14:paraId="3E607526">
            <w:pPr>
              <w:pStyle w:val="8"/>
              <w:spacing w:before="42" w:line="219" w:lineRule="auto"/>
              <w:ind w:left="484"/>
            </w:pPr>
            <w:r>
              <w:rPr>
                <w:b/>
                <w:bCs/>
                <w:spacing w:val="-4"/>
              </w:rPr>
              <w:t>1.《建设工程质量管理条例》</w:t>
            </w:r>
          </w:p>
          <w:p w14:paraId="7906F7E9">
            <w:pPr>
              <w:pStyle w:val="8"/>
              <w:spacing w:before="25" w:line="233" w:lineRule="auto"/>
              <w:ind w:left="125" w:right="159" w:firstLine="345"/>
            </w:pPr>
            <w:r>
              <w:t>第十八条  从事建设工程勘察、设计的单位应当依法取得相应等级的资质证书，</w:t>
            </w:r>
            <w:r>
              <w:rPr>
                <w:spacing w:val="-1"/>
              </w:rPr>
              <w:t>并在其资质等级许可</w:t>
            </w:r>
            <w:r>
              <w:t xml:space="preserve"> </w:t>
            </w:r>
            <w:r>
              <w:rPr>
                <w:spacing w:val="-5"/>
              </w:rPr>
              <w:t>的范围内承揽工程。</w:t>
            </w:r>
          </w:p>
          <w:p w14:paraId="1903131E">
            <w:pPr>
              <w:pStyle w:val="8"/>
              <w:spacing w:before="24" w:line="233" w:lineRule="auto"/>
              <w:ind w:left="113" w:right="159" w:firstLine="357"/>
            </w:pPr>
            <w:r>
              <w:t>禁止勘察、设计单位超越其资质等级许可的范围或者以其他勘察、设计单位的名</w:t>
            </w:r>
            <w:r>
              <w:rPr>
                <w:spacing w:val="-1"/>
              </w:rPr>
              <w:t>义承揽工程。禁止勘</w:t>
            </w:r>
            <w:r>
              <w:t xml:space="preserve"> </w:t>
            </w:r>
            <w:r>
              <w:rPr>
                <w:spacing w:val="-1"/>
              </w:rPr>
              <w:t>察、设计单位允许其他单位或者个人以本单位</w:t>
            </w:r>
            <w:r>
              <w:rPr>
                <w:spacing w:val="-2"/>
              </w:rPr>
              <w:t>的名义承揽工程。</w:t>
            </w:r>
          </w:p>
          <w:p w14:paraId="668FFAD1">
            <w:pPr>
              <w:pStyle w:val="8"/>
              <w:spacing w:before="27" w:line="219" w:lineRule="auto"/>
              <w:ind w:left="470"/>
            </w:pPr>
            <w:r>
              <w:rPr>
                <w:spacing w:val="-2"/>
              </w:rPr>
              <w:t>勘察、设计单位不得转包或者违法分包所承揽的工程。</w:t>
            </w:r>
          </w:p>
          <w:p w14:paraId="6CE37DCB">
            <w:pPr>
              <w:pStyle w:val="8"/>
              <w:spacing w:before="27" w:line="239" w:lineRule="auto"/>
              <w:ind w:left="111" w:right="159" w:firstLine="359"/>
            </w:pPr>
            <w:r>
              <w:t>第六十条  违反本条例规定，勘察、设计、施工、工程监理单位超越本单位资质</w:t>
            </w:r>
            <w:r>
              <w:rPr>
                <w:spacing w:val="-1"/>
              </w:rPr>
              <w:t>等级承揽工程的，责</w:t>
            </w:r>
            <w:r>
              <w:t xml:space="preserve"> </w:t>
            </w:r>
            <w:r>
              <w:rPr>
                <w:spacing w:val="2"/>
              </w:rPr>
              <w:t>令停止违法行为，对勘察、设计单位或者工程监理单位处合同约定的勘察费、设</w:t>
            </w:r>
            <w:r>
              <w:rPr>
                <w:spacing w:val="1"/>
              </w:rPr>
              <w:t>计费或者监理酬金1倍以</w:t>
            </w:r>
            <w:r>
              <w:t xml:space="preserve"> 上</w:t>
            </w:r>
            <w:r>
              <w:rPr>
                <w:spacing w:val="-36"/>
              </w:rPr>
              <w:t xml:space="preserve"> </w:t>
            </w:r>
            <w:r>
              <w:t>2</w:t>
            </w:r>
            <w:r>
              <w:rPr>
                <w:spacing w:val="-38"/>
              </w:rPr>
              <w:t xml:space="preserve"> </w:t>
            </w:r>
            <w:r>
              <w:t>倍以下的罚款；对施工单位处工程合同价款</w:t>
            </w:r>
            <w:r>
              <w:rPr>
                <w:spacing w:val="-1"/>
              </w:rPr>
              <w:t>百分之二以上百分之四以下的罚款，可以责令停业整顿，</w:t>
            </w:r>
            <w:r>
              <w:t xml:space="preserve"> </w:t>
            </w:r>
            <w:r>
              <w:rPr>
                <w:spacing w:val="-1"/>
              </w:rPr>
              <w:t>降低资质等级；情节严重的，吊销资质证书；有违法所得的，予以没</w:t>
            </w:r>
            <w:r>
              <w:rPr>
                <w:spacing w:val="-2"/>
              </w:rPr>
              <w:t>收。</w:t>
            </w:r>
          </w:p>
          <w:p w14:paraId="00794E1F">
            <w:pPr>
              <w:pStyle w:val="8"/>
              <w:spacing w:before="26" w:line="219" w:lineRule="auto"/>
              <w:ind w:left="474"/>
            </w:pPr>
            <w:r>
              <w:rPr>
                <w:spacing w:val="-1"/>
              </w:rPr>
              <w:t>未取得资质证书承揽工程的，予以取缔，依照前款规定处以罚款；有违法所得的，予以没收。</w:t>
            </w:r>
          </w:p>
          <w:p w14:paraId="572B0FE3">
            <w:pPr>
              <w:pStyle w:val="8"/>
              <w:spacing w:before="27" w:line="233" w:lineRule="auto"/>
              <w:ind w:left="116" w:right="58" w:firstLine="374"/>
            </w:pPr>
            <w:r>
              <w:rPr>
                <w:spacing w:val="-2"/>
              </w:rPr>
              <w:t>以欺骗手段取得资质证书承揽工程的，吊销资质证书，依照本</w:t>
            </w:r>
            <w:r>
              <w:rPr>
                <w:spacing w:val="-3"/>
              </w:rPr>
              <w:t>条第一款规定处以罚款；有违法所得的，</w:t>
            </w:r>
            <w:r>
              <w:t xml:space="preserve"> </w:t>
            </w:r>
            <w:r>
              <w:rPr>
                <w:spacing w:val="-7"/>
              </w:rPr>
              <w:t>予以没收。</w:t>
            </w:r>
          </w:p>
          <w:p w14:paraId="16A8E156">
            <w:pPr>
              <w:pStyle w:val="8"/>
              <w:spacing w:before="26" w:line="219" w:lineRule="auto"/>
              <w:ind w:left="473"/>
            </w:pPr>
            <w:r>
              <w:rPr>
                <w:b/>
                <w:bCs/>
                <w:spacing w:val="-3"/>
              </w:rPr>
              <w:t>2.《建设工程勘察设计管理条例》</w:t>
            </w:r>
          </w:p>
          <w:p w14:paraId="58960CD7">
            <w:pPr>
              <w:pStyle w:val="8"/>
              <w:spacing w:before="27" w:line="219" w:lineRule="auto"/>
              <w:ind w:left="471"/>
            </w:pPr>
            <w:r>
              <w:rPr>
                <w:spacing w:val="-1"/>
              </w:rPr>
              <w:t>第八条  建设工程勘察、设计单位应当在其资质等级许可的范围内承揽建设工程勘察、设计业务。</w:t>
            </w:r>
          </w:p>
          <w:p w14:paraId="1D37BD82">
            <w:pPr>
              <w:pStyle w:val="8"/>
              <w:spacing w:before="27" w:line="237" w:lineRule="auto"/>
              <w:ind w:left="111" w:right="159" w:firstLine="360"/>
            </w:pPr>
            <w:r>
              <w:t>禁止建设工程勘察、设计单位超越其资质等级许可的范围或者以其他建设工程勘</w:t>
            </w:r>
            <w:r>
              <w:rPr>
                <w:spacing w:val="-1"/>
              </w:rPr>
              <w:t>察、设计单位的名义</w:t>
            </w:r>
            <w:r>
              <w:t xml:space="preserve"> 承揽建设工程勘察、设计业务。禁止建设工程勘察、设计单位允许其他单位或者个人</w:t>
            </w:r>
            <w:r>
              <w:rPr>
                <w:spacing w:val="-1"/>
              </w:rPr>
              <w:t>以本单位的名义承揽</w:t>
            </w:r>
            <w:r>
              <w:t xml:space="preserve"> </w:t>
            </w:r>
            <w:r>
              <w:rPr>
                <w:spacing w:val="-3"/>
              </w:rPr>
              <w:t>建设工程勘察、设计业务。</w:t>
            </w:r>
          </w:p>
          <w:p w14:paraId="30CEFE2D">
            <w:pPr>
              <w:pStyle w:val="8"/>
              <w:spacing w:before="26" w:line="237" w:lineRule="auto"/>
              <w:ind w:left="111" w:right="103" w:firstLine="360"/>
              <w:jc w:val="both"/>
            </w:pPr>
            <w:r>
              <w:rPr>
                <w:spacing w:val="-3"/>
              </w:rPr>
              <w:t>第三十五条  违反本条例第八条规定的，责令停止违法行为，处合同约定的勘察费、设计费</w:t>
            </w:r>
            <w:r>
              <w:rPr>
                <w:spacing w:val="-10"/>
              </w:rPr>
              <w:t xml:space="preserve"> </w:t>
            </w:r>
            <w:r>
              <w:rPr>
                <w:spacing w:val="-3"/>
              </w:rPr>
              <w:t>1</w:t>
            </w:r>
            <w:r>
              <w:rPr>
                <w:spacing w:val="-39"/>
              </w:rPr>
              <w:t xml:space="preserve"> </w:t>
            </w:r>
            <w:r>
              <w:rPr>
                <w:spacing w:val="-3"/>
              </w:rPr>
              <w:t>倍以上</w:t>
            </w:r>
            <w:r>
              <w:rPr>
                <w:spacing w:val="-35"/>
              </w:rPr>
              <w:t xml:space="preserve"> </w:t>
            </w:r>
            <w:r>
              <w:rPr>
                <w:spacing w:val="-3"/>
              </w:rPr>
              <w:t>2</w:t>
            </w:r>
            <w:r>
              <w:t xml:space="preserve"> 倍以下的罚款，有违法所得的，予以没收；可以责令停业整顿，降低资质等级；情节</w:t>
            </w:r>
            <w:r>
              <w:rPr>
                <w:spacing w:val="-1"/>
              </w:rPr>
              <w:t>严重的，吊销资质证</w:t>
            </w:r>
            <w:r>
              <w:t xml:space="preserve"> </w:t>
            </w:r>
            <w:r>
              <w:rPr>
                <w:spacing w:val="-9"/>
              </w:rPr>
              <w:t>书。</w:t>
            </w:r>
          </w:p>
          <w:p w14:paraId="7881EA86">
            <w:pPr>
              <w:pStyle w:val="8"/>
              <w:spacing w:before="26" w:line="219" w:lineRule="auto"/>
              <w:ind w:left="474"/>
            </w:pPr>
            <w:r>
              <w:rPr>
                <w:spacing w:val="-1"/>
              </w:rPr>
              <w:t>未取得资质证书承揽工程的，予以取缔，依照前款规定处以罚款；有违法所得的，予以没收。</w:t>
            </w:r>
          </w:p>
          <w:p w14:paraId="6E20C24B">
            <w:pPr>
              <w:pStyle w:val="8"/>
              <w:spacing w:before="27" w:line="222" w:lineRule="auto"/>
              <w:ind w:left="116" w:right="58" w:firstLine="374"/>
            </w:pPr>
            <w:r>
              <w:rPr>
                <w:spacing w:val="-2"/>
              </w:rPr>
              <w:t>以欺骗手段取得资质证书承揽工程的，吊销资质证书，依照本</w:t>
            </w:r>
            <w:r>
              <w:rPr>
                <w:spacing w:val="-3"/>
              </w:rPr>
              <w:t>条第一款规定处以罚款；有违法所得的，</w:t>
            </w:r>
            <w:r>
              <w:t xml:space="preserve"> </w:t>
            </w:r>
            <w:r>
              <w:rPr>
                <w:spacing w:val="-7"/>
              </w:rPr>
              <w:t>予以没收。</w:t>
            </w:r>
          </w:p>
        </w:tc>
        <w:tc>
          <w:tcPr>
            <w:tcW w:w="1014" w:type="dxa"/>
            <w:vAlign w:val="top"/>
          </w:tcPr>
          <w:p w14:paraId="06CA8F96">
            <w:pPr>
              <w:spacing w:line="260" w:lineRule="auto"/>
              <w:rPr>
                <w:rFonts w:ascii="Arial"/>
                <w:sz w:val="21"/>
              </w:rPr>
            </w:pPr>
          </w:p>
          <w:p w14:paraId="698B55CA">
            <w:pPr>
              <w:spacing w:line="260" w:lineRule="auto"/>
              <w:rPr>
                <w:rFonts w:ascii="Arial"/>
                <w:sz w:val="21"/>
              </w:rPr>
            </w:pPr>
          </w:p>
          <w:p w14:paraId="31786353">
            <w:pPr>
              <w:spacing w:line="260" w:lineRule="auto"/>
              <w:rPr>
                <w:rFonts w:ascii="Arial"/>
                <w:sz w:val="21"/>
              </w:rPr>
            </w:pPr>
          </w:p>
          <w:p w14:paraId="27D9EFDE">
            <w:pPr>
              <w:spacing w:line="261" w:lineRule="auto"/>
              <w:rPr>
                <w:rFonts w:ascii="Arial"/>
                <w:sz w:val="21"/>
              </w:rPr>
            </w:pPr>
          </w:p>
          <w:p w14:paraId="348D08B1">
            <w:pPr>
              <w:spacing w:line="261" w:lineRule="auto"/>
              <w:rPr>
                <w:rFonts w:ascii="Arial"/>
                <w:sz w:val="21"/>
              </w:rPr>
            </w:pPr>
          </w:p>
          <w:p w14:paraId="56CA56BD">
            <w:pPr>
              <w:spacing w:line="261" w:lineRule="auto"/>
              <w:rPr>
                <w:rFonts w:ascii="Arial"/>
                <w:sz w:val="21"/>
              </w:rPr>
            </w:pPr>
          </w:p>
          <w:p w14:paraId="15E9288F">
            <w:pPr>
              <w:spacing w:line="261" w:lineRule="auto"/>
              <w:rPr>
                <w:rFonts w:ascii="Arial"/>
                <w:sz w:val="21"/>
              </w:rPr>
            </w:pPr>
          </w:p>
          <w:p w14:paraId="62F83BDF">
            <w:pPr>
              <w:spacing w:line="261" w:lineRule="auto"/>
              <w:rPr>
                <w:rFonts w:ascii="Arial"/>
                <w:sz w:val="21"/>
              </w:rPr>
            </w:pPr>
          </w:p>
          <w:p w14:paraId="34234BD1">
            <w:pPr>
              <w:spacing w:line="261" w:lineRule="auto"/>
              <w:rPr>
                <w:rFonts w:ascii="Arial"/>
                <w:sz w:val="21"/>
              </w:rPr>
            </w:pPr>
          </w:p>
          <w:p w14:paraId="5D24600D">
            <w:pPr>
              <w:spacing w:line="261" w:lineRule="auto"/>
              <w:rPr>
                <w:rFonts w:ascii="Arial"/>
                <w:sz w:val="21"/>
              </w:rPr>
            </w:pPr>
          </w:p>
          <w:p w14:paraId="0A95EEE6">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12B33F98">
            <w:pPr>
              <w:spacing w:line="260" w:lineRule="auto"/>
              <w:rPr>
                <w:rFonts w:ascii="Arial"/>
                <w:sz w:val="21"/>
              </w:rPr>
            </w:pPr>
          </w:p>
          <w:p w14:paraId="3D6BF643">
            <w:pPr>
              <w:spacing w:line="260" w:lineRule="auto"/>
              <w:rPr>
                <w:rFonts w:ascii="Arial"/>
                <w:sz w:val="21"/>
              </w:rPr>
            </w:pPr>
          </w:p>
          <w:p w14:paraId="23B0DD61">
            <w:pPr>
              <w:spacing w:line="260" w:lineRule="auto"/>
              <w:rPr>
                <w:rFonts w:ascii="Arial"/>
                <w:sz w:val="21"/>
              </w:rPr>
            </w:pPr>
          </w:p>
          <w:p w14:paraId="4FA0AC3D">
            <w:pPr>
              <w:spacing w:line="261" w:lineRule="auto"/>
              <w:rPr>
                <w:rFonts w:ascii="Arial"/>
                <w:sz w:val="21"/>
              </w:rPr>
            </w:pPr>
          </w:p>
          <w:p w14:paraId="05B8D694">
            <w:pPr>
              <w:spacing w:line="261" w:lineRule="auto"/>
              <w:rPr>
                <w:rFonts w:ascii="Arial"/>
                <w:sz w:val="21"/>
              </w:rPr>
            </w:pPr>
          </w:p>
          <w:p w14:paraId="13B30DB6">
            <w:pPr>
              <w:spacing w:line="261" w:lineRule="auto"/>
              <w:rPr>
                <w:rFonts w:ascii="Arial"/>
                <w:sz w:val="21"/>
              </w:rPr>
            </w:pPr>
          </w:p>
          <w:p w14:paraId="724791BE">
            <w:pPr>
              <w:spacing w:line="261" w:lineRule="auto"/>
              <w:rPr>
                <w:rFonts w:ascii="Arial"/>
                <w:sz w:val="21"/>
              </w:rPr>
            </w:pPr>
          </w:p>
          <w:p w14:paraId="44315FBF">
            <w:pPr>
              <w:spacing w:line="261" w:lineRule="auto"/>
              <w:rPr>
                <w:rFonts w:ascii="Arial"/>
                <w:sz w:val="21"/>
              </w:rPr>
            </w:pPr>
          </w:p>
          <w:p w14:paraId="38EED46B">
            <w:pPr>
              <w:spacing w:line="261" w:lineRule="auto"/>
              <w:rPr>
                <w:rFonts w:ascii="Arial"/>
                <w:sz w:val="21"/>
              </w:rPr>
            </w:pPr>
          </w:p>
          <w:p w14:paraId="679010C1">
            <w:pPr>
              <w:spacing w:line="261" w:lineRule="auto"/>
              <w:rPr>
                <w:rFonts w:ascii="Arial"/>
                <w:sz w:val="21"/>
              </w:rPr>
            </w:pPr>
          </w:p>
          <w:p w14:paraId="30E54989">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8648CC1">
            <w:pPr>
              <w:spacing w:line="263" w:lineRule="auto"/>
              <w:rPr>
                <w:rFonts w:ascii="Arial"/>
                <w:sz w:val="21"/>
              </w:rPr>
            </w:pPr>
          </w:p>
          <w:p w14:paraId="2E71A71A">
            <w:pPr>
              <w:spacing w:line="263" w:lineRule="auto"/>
              <w:rPr>
                <w:rFonts w:ascii="Arial"/>
                <w:sz w:val="21"/>
              </w:rPr>
            </w:pPr>
          </w:p>
          <w:p w14:paraId="657B0E8A">
            <w:pPr>
              <w:spacing w:line="263" w:lineRule="auto"/>
              <w:rPr>
                <w:rFonts w:ascii="Arial"/>
                <w:sz w:val="21"/>
              </w:rPr>
            </w:pPr>
          </w:p>
          <w:p w14:paraId="183E57BA">
            <w:pPr>
              <w:spacing w:line="263" w:lineRule="auto"/>
              <w:rPr>
                <w:rFonts w:ascii="Arial"/>
                <w:sz w:val="21"/>
              </w:rPr>
            </w:pPr>
          </w:p>
          <w:p w14:paraId="00D0B40E">
            <w:pPr>
              <w:spacing w:line="263" w:lineRule="auto"/>
              <w:rPr>
                <w:rFonts w:ascii="Arial"/>
                <w:sz w:val="21"/>
              </w:rPr>
            </w:pPr>
          </w:p>
          <w:p w14:paraId="5C090188">
            <w:pPr>
              <w:spacing w:line="263" w:lineRule="auto"/>
              <w:rPr>
                <w:rFonts w:ascii="Arial"/>
                <w:sz w:val="21"/>
              </w:rPr>
            </w:pPr>
          </w:p>
          <w:p w14:paraId="59E3CCEC">
            <w:pPr>
              <w:spacing w:line="264" w:lineRule="auto"/>
              <w:rPr>
                <w:rFonts w:ascii="Arial"/>
                <w:sz w:val="21"/>
              </w:rPr>
            </w:pPr>
          </w:p>
          <w:p w14:paraId="3DC03B3C">
            <w:pPr>
              <w:spacing w:line="264" w:lineRule="auto"/>
              <w:rPr>
                <w:rFonts w:ascii="Arial"/>
                <w:sz w:val="21"/>
              </w:rPr>
            </w:pPr>
          </w:p>
          <w:p w14:paraId="3581315F">
            <w:pPr>
              <w:spacing w:line="264" w:lineRule="auto"/>
              <w:rPr>
                <w:rFonts w:ascii="Arial"/>
                <w:sz w:val="21"/>
              </w:rPr>
            </w:pPr>
          </w:p>
          <w:p w14:paraId="67235E31">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0641D3FC">
      <w:pPr>
        <w:pStyle w:val="2"/>
        <w:spacing w:line="177" w:lineRule="exact"/>
        <w:rPr>
          <w:sz w:val="15"/>
        </w:rPr>
      </w:pPr>
    </w:p>
    <w:p w14:paraId="257902DC">
      <w:pPr>
        <w:spacing w:line="177" w:lineRule="exact"/>
        <w:rPr>
          <w:sz w:val="15"/>
          <w:szCs w:val="15"/>
        </w:rPr>
        <w:sectPr>
          <w:footerReference r:id="rId96" w:type="default"/>
          <w:pgSz w:w="16839" w:h="11906"/>
          <w:pgMar w:top="1012" w:right="991" w:bottom="967" w:left="1021" w:header="0" w:footer="768" w:gutter="0"/>
          <w:cols w:space="720" w:num="1"/>
        </w:sectPr>
      </w:pPr>
    </w:p>
    <w:p w14:paraId="0DDC9E99">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24ECA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28FE0436">
            <w:pPr>
              <w:pStyle w:val="8"/>
              <w:spacing w:before="267" w:line="221" w:lineRule="auto"/>
              <w:ind w:left="134"/>
            </w:pPr>
            <w:r>
              <w:rPr>
                <w:b/>
                <w:bCs/>
                <w:spacing w:val="-4"/>
              </w:rPr>
              <w:t>序号</w:t>
            </w:r>
          </w:p>
        </w:tc>
        <w:tc>
          <w:tcPr>
            <w:tcW w:w="1104" w:type="dxa"/>
            <w:vMerge w:val="restart"/>
            <w:tcBorders>
              <w:bottom w:val="nil"/>
            </w:tcBorders>
            <w:vAlign w:val="top"/>
          </w:tcPr>
          <w:p w14:paraId="022376DB">
            <w:pPr>
              <w:pStyle w:val="8"/>
              <w:spacing w:before="260" w:line="220" w:lineRule="auto"/>
              <w:ind w:left="192"/>
            </w:pPr>
            <w:r>
              <w:rPr>
                <w:b/>
                <w:bCs/>
                <w:spacing w:val="-4"/>
              </w:rPr>
              <w:t>事项名称</w:t>
            </w:r>
          </w:p>
        </w:tc>
        <w:tc>
          <w:tcPr>
            <w:tcW w:w="1104" w:type="dxa"/>
            <w:vMerge w:val="restart"/>
            <w:tcBorders>
              <w:bottom w:val="nil"/>
            </w:tcBorders>
            <w:vAlign w:val="top"/>
          </w:tcPr>
          <w:p w14:paraId="46993421">
            <w:pPr>
              <w:pStyle w:val="8"/>
              <w:spacing w:before="260" w:line="219" w:lineRule="auto"/>
              <w:ind w:left="193"/>
            </w:pPr>
            <w:r>
              <w:rPr>
                <w:b/>
                <w:bCs/>
                <w:spacing w:val="-4"/>
              </w:rPr>
              <w:t>职权类型</w:t>
            </w:r>
          </w:p>
        </w:tc>
        <w:tc>
          <w:tcPr>
            <w:tcW w:w="8549" w:type="dxa"/>
            <w:vMerge w:val="restart"/>
            <w:tcBorders>
              <w:bottom w:val="nil"/>
            </w:tcBorders>
            <w:vAlign w:val="top"/>
          </w:tcPr>
          <w:p w14:paraId="27BC2524">
            <w:pPr>
              <w:pStyle w:val="8"/>
              <w:spacing w:before="259" w:line="219" w:lineRule="auto"/>
              <w:ind w:left="3921"/>
            </w:pPr>
            <w:r>
              <w:rPr>
                <w:b/>
                <w:bCs/>
                <w:spacing w:val="-5"/>
              </w:rPr>
              <w:t>实施依据</w:t>
            </w:r>
          </w:p>
        </w:tc>
        <w:tc>
          <w:tcPr>
            <w:tcW w:w="3439" w:type="dxa"/>
            <w:gridSpan w:val="3"/>
            <w:vAlign w:val="top"/>
          </w:tcPr>
          <w:p w14:paraId="28957F5F">
            <w:pPr>
              <w:pStyle w:val="8"/>
              <w:spacing w:before="85" w:line="220" w:lineRule="auto"/>
              <w:ind w:left="1365"/>
            </w:pPr>
            <w:r>
              <w:rPr>
                <w:b/>
                <w:bCs/>
                <w:spacing w:val="-5"/>
              </w:rPr>
              <w:t>实施主体</w:t>
            </w:r>
          </w:p>
        </w:tc>
      </w:tr>
      <w:tr w14:paraId="11746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8A3DB36">
            <w:pPr>
              <w:rPr>
                <w:rFonts w:ascii="Arial"/>
                <w:sz w:val="21"/>
              </w:rPr>
            </w:pPr>
          </w:p>
        </w:tc>
        <w:tc>
          <w:tcPr>
            <w:tcW w:w="1104" w:type="dxa"/>
            <w:vMerge w:val="continue"/>
            <w:tcBorders>
              <w:top w:val="nil"/>
            </w:tcBorders>
            <w:vAlign w:val="top"/>
          </w:tcPr>
          <w:p w14:paraId="2BBA1B63">
            <w:pPr>
              <w:rPr>
                <w:rFonts w:ascii="Arial"/>
                <w:sz w:val="21"/>
              </w:rPr>
            </w:pPr>
          </w:p>
        </w:tc>
        <w:tc>
          <w:tcPr>
            <w:tcW w:w="1104" w:type="dxa"/>
            <w:vMerge w:val="continue"/>
            <w:tcBorders>
              <w:top w:val="nil"/>
            </w:tcBorders>
            <w:vAlign w:val="top"/>
          </w:tcPr>
          <w:p w14:paraId="4DE08FCA">
            <w:pPr>
              <w:rPr>
                <w:rFonts w:ascii="Arial"/>
                <w:sz w:val="21"/>
              </w:rPr>
            </w:pPr>
          </w:p>
        </w:tc>
        <w:tc>
          <w:tcPr>
            <w:tcW w:w="8549" w:type="dxa"/>
            <w:vMerge w:val="continue"/>
            <w:tcBorders>
              <w:top w:val="nil"/>
            </w:tcBorders>
            <w:vAlign w:val="top"/>
          </w:tcPr>
          <w:p w14:paraId="453058EA">
            <w:pPr>
              <w:rPr>
                <w:rFonts w:ascii="Arial"/>
                <w:sz w:val="21"/>
              </w:rPr>
            </w:pPr>
          </w:p>
        </w:tc>
        <w:tc>
          <w:tcPr>
            <w:tcW w:w="1014" w:type="dxa"/>
            <w:vAlign w:val="top"/>
          </w:tcPr>
          <w:p w14:paraId="74FE2C51">
            <w:pPr>
              <w:pStyle w:val="8"/>
              <w:spacing w:before="81" w:line="219" w:lineRule="auto"/>
              <w:ind w:left="158"/>
            </w:pPr>
            <w:r>
              <w:rPr>
                <w:b/>
                <w:bCs/>
                <w:spacing w:val="-5"/>
              </w:rPr>
              <w:t>责任部门</w:t>
            </w:r>
          </w:p>
        </w:tc>
        <w:tc>
          <w:tcPr>
            <w:tcW w:w="1407" w:type="dxa"/>
            <w:vAlign w:val="top"/>
          </w:tcPr>
          <w:p w14:paraId="7073248D">
            <w:pPr>
              <w:pStyle w:val="8"/>
              <w:spacing w:before="81" w:line="219" w:lineRule="auto"/>
              <w:ind w:left="167"/>
            </w:pPr>
            <w:r>
              <w:rPr>
                <w:b/>
                <w:bCs/>
                <w:spacing w:val="-3"/>
              </w:rPr>
              <w:t>第一责任层级</w:t>
            </w:r>
          </w:p>
        </w:tc>
        <w:tc>
          <w:tcPr>
            <w:tcW w:w="1018" w:type="dxa"/>
            <w:vAlign w:val="top"/>
          </w:tcPr>
          <w:p w14:paraId="1D9C3E08">
            <w:pPr>
              <w:pStyle w:val="8"/>
              <w:spacing w:before="81" w:line="219" w:lineRule="auto"/>
              <w:ind w:left="152"/>
            </w:pPr>
            <w:r>
              <w:rPr>
                <w:b/>
                <w:bCs/>
                <w:spacing w:val="-4"/>
              </w:rPr>
              <w:t>承办机构</w:t>
            </w:r>
          </w:p>
        </w:tc>
      </w:tr>
      <w:tr w14:paraId="4501C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24" w:type="dxa"/>
            <w:vAlign w:val="top"/>
          </w:tcPr>
          <w:p w14:paraId="4E0E4D33">
            <w:pPr>
              <w:rPr>
                <w:rFonts w:ascii="Arial"/>
                <w:sz w:val="21"/>
              </w:rPr>
            </w:pPr>
          </w:p>
        </w:tc>
        <w:tc>
          <w:tcPr>
            <w:tcW w:w="1104" w:type="dxa"/>
            <w:vAlign w:val="top"/>
          </w:tcPr>
          <w:p w14:paraId="79081ACD">
            <w:pPr>
              <w:rPr>
                <w:rFonts w:ascii="Arial"/>
                <w:sz w:val="21"/>
              </w:rPr>
            </w:pPr>
          </w:p>
        </w:tc>
        <w:tc>
          <w:tcPr>
            <w:tcW w:w="1104" w:type="dxa"/>
            <w:vAlign w:val="top"/>
          </w:tcPr>
          <w:p w14:paraId="15AF87BE">
            <w:pPr>
              <w:rPr>
                <w:rFonts w:ascii="Arial"/>
                <w:sz w:val="21"/>
              </w:rPr>
            </w:pPr>
          </w:p>
        </w:tc>
        <w:tc>
          <w:tcPr>
            <w:tcW w:w="8549" w:type="dxa"/>
            <w:vAlign w:val="top"/>
          </w:tcPr>
          <w:p w14:paraId="40162C31">
            <w:pPr>
              <w:pStyle w:val="8"/>
              <w:spacing w:before="38" w:line="219" w:lineRule="auto"/>
              <w:ind w:left="474"/>
            </w:pPr>
            <w:r>
              <w:rPr>
                <w:b/>
                <w:bCs/>
                <w:spacing w:val="-3"/>
              </w:rPr>
              <w:t>3.《公路建设监督管理办法》（交通运输部令</w:t>
            </w:r>
            <w:r>
              <w:rPr>
                <w:spacing w:val="-35"/>
              </w:rPr>
              <w:t xml:space="preserve"> </w:t>
            </w:r>
            <w:r>
              <w:rPr>
                <w:b/>
                <w:bCs/>
                <w:spacing w:val="-4"/>
              </w:rPr>
              <w:t>2021</w:t>
            </w:r>
            <w:r>
              <w:rPr>
                <w:spacing w:val="-38"/>
              </w:rPr>
              <w:t xml:space="preserve"> </w:t>
            </w:r>
            <w:r>
              <w:rPr>
                <w:b/>
                <w:bCs/>
                <w:spacing w:val="-4"/>
              </w:rPr>
              <w:t>年第</w:t>
            </w:r>
            <w:r>
              <w:rPr>
                <w:spacing w:val="-24"/>
              </w:rPr>
              <w:t xml:space="preserve"> </w:t>
            </w:r>
            <w:r>
              <w:rPr>
                <w:b/>
                <w:bCs/>
                <w:spacing w:val="-4"/>
              </w:rPr>
              <w:t>11</w:t>
            </w:r>
            <w:r>
              <w:rPr>
                <w:spacing w:val="-32"/>
              </w:rPr>
              <w:t xml:space="preserve"> </w:t>
            </w:r>
            <w:r>
              <w:rPr>
                <w:b/>
                <w:bCs/>
                <w:spacing w:val="-4"/>
              </w:rPr>
              <w:t>号）</w:t>
            </w:r>
          </w:p>
          <w:p w14:paraId="5C7476DA">
            <w:pPr>
              <w:pStyle w:val="8"/>
              <w:spacing w:before="26" w:line="233" w:lineRule="auto"/>
              <w:ind w:left="110" w:right="159" w:firstLine="360"/>
            </w:pPr>
            <w:r>
              <w:t>第二十条  公路建设从业单位应当依法取得公路工程资质证书并按照资质管理有</w:t>
            </w:r>
            <w:r>
              <w:rPr>
                <w:spacing w:val="-1"/>
              </w:rPr>
              <w:t>关规定，在其核定的</w:t>
            </w:r>
            <w:r>
              <w:t xml:space="preserve"> </w:t>
            </w:r>
            <w:r>
              <w:rPr>
                <w:spacing w:val="-2"/>
              </w:rPr>
              <w:t>业务范围内承揽工程，禁止无证或越级承揽工程。</w:t>
            </w:r>
          </w:p>
          <w:p w14:paraId="1676F8ED">
            <w:pPr>
              <w:pStyle w:val="8"/>
              <w:spacing w:before="26" w:line="219" w:lineRule="auto"/>
              <w:ind w:left="476"/>
            </w:pPr>
            <w:r>
              <w:rPr>
                <w:spacing w:val="-2"/>
              </w:rPr>
              <w:t>公路建设从业单位必须按合同规定履行其义务，禁止转包或违法分包。</w:t>
            </w:r>
          </w:p>
          <w:p w14:paraId="02C8A9D2">
            <w:pPr>
              <w:pStyle w:val="8"/>
              <w:spacing w:before="23" w:line="239" w:lineRule="auto"/>
              <w:ind w:left="110" w:right="104" w:firstLine="360"/>
            </w:pPr>
            <w:r>
              <w:t>第四十二条  违反本办法第二十条规定，承包单位弄虚作假、无证或越级承揽工</w:t>
            </w:r>
            <w:r>
              <w:rPr>
                <w:spacing w:val="-1"/>
              </w:rPr>
              <w:t>程任务的，责令停止</w:t>
            </w:r>
            <w:r>
              <w:t xml:space="preserve"> </w:t>
            </w:r>
            <w:r>
              <w:rPr>
                <w:spacing w:val="-1"/>
              </w:rPr>
              <w:t>违法行为，对勘察、设计单位或工程监理单位处合同约定的勘察费、设计费或监理酬金</w:t>
            </w:r>
            <w:r>
              <w:rPr>
                <w:spacing w:val="-24"/>
              </w:rPr>
              <w:t xml:space="preserve"> </w:t>
            </w:r>
            <w:r>
              <w:rPr>
                <w:spacing w:val="-1"/>
              </w:rPr>
              <w:t>1</w:t>
            </w:r>
            <w:r>
              <w:rPr>
                <w:spacing w:val="-39"/>
              </w:rPr>
              <w:t xml:space="preserve"> </w:t>
            </w:r>
            <w:r>
              <w:rPr>
                <w:spacing w:val="-1"/>
              </w:rPr>
              <w:t>倍以</w:t>
            </w:r>
            <w:r>
              <w:rPr>
                <w:spacing w:val="-2"/>
              </w:rPr>
              <w:t>上</w:t>
            </w:r>
            <w:r>
              <w:rPr>
                <w:spacing w:val="-35"/>
              </w:rPr>
              <w:t xml:space="preserve"> </w:t>
            </w:r>
            <w:r>
              <w:rPr>
                <w:spacing w:val="-2"/>
              </w:rPr>
              <w:t>2</w:t>
            </w:r>
            <w:r>
              <w:rPr>
                <w:spacing w:val="-39"/>
              </w:rPr>
              <w:t xml:space="preserve"> </w:t>
            </w:r>
            <w:r>
              <w:rPr>
                <w:spacing w:val="-2"/>
              </w:rPr>
              <w:t>倍以下</w:t>
            </w:r>
            <w:r>
              <w:t xml:space="preserve"> </w:t>
            </w:r>
            <w:r>
              <w:rPr>
                <w:spacing w:val="-1"/>
              </w:rPr>
              <w:t>的罚款；对施工单位处工程合同价款</w:t>
            </w:r>
            <w:r>
              <w:rPr>
                <w:spacing w:val="-35"/>
              </w:rPr>
              <w:t xml:space="preserve"> </w:t>
            </w:r>
            <w:r>
              <w:rPr>
                <w:spacing w:val="-1"/>
              </w:rPr>
              <w:t>2％以上</w:t>
            </w:r>
            <w:r>
              <w:rPr>
                <w:spacing w:val="-31"/>
              </w:rPr>
              <w:t xml:space="preserve"> </w:t>
            </w:r>
            <w:r>
              <w:rPr>
                <w:spacing w:val="-1"/>
              </w:rPr>
              <w:t>4％以下的罚款</w:t>
            </w:r>
            <w:r>
              <w:rPr>
                <w:spacing w:val="-2"/>
              </w:rPr>
              <w:t>，可以责令停业整顿，降低资质等级；情节严</w:t>
            </w:r>
            <w:r>
              <w:t xml:space="preserve"> 重的，吊销资质证书；有违法所得的，予以没收。承包单位转包或违法分包工程的，责</w:t>
            </w:r>
            <w:r>
              <w:rPr>
                <w:spacing w:val="-1"/>
              </w:rPr>
              <w:t>令改正，没收违法</w:t>
            </w:r>
            <w:r>
              <w:t xml:space="preserve"> </w:t>
            </w:r>
            <w:r>
              <w:rPr>
                <w:spacing w:val="-1"/>
              </w:rPr>
              <w:t>所得，对勘察、设计、监理单位处合同约定的勘察费、设计费</w:t>
            </w:r>
            <w:r>
              <w:rPr>
                <w:spacing w:val="-2"/>
              </w:rPr>
              <w:t>、监理酬金的</w:t>
            </w:r>
            <w:r>
              <w:rPr>
                <w:spacing w:val="-38"/>
              </w:rPr>
              <w:t xml:space="preserve"> </w:t>
            </w:r>
            <w:r>
              <w:rPr>
                <w:spacing w:val="-2"/>
              </w:rPr>
              <w:t>25％以上</w:t>
            </w:r>
            <w:r>
              <w:rPr>
                <w:spacing w:val="-26"/>
              </w:rPr>
              <w:t xml:space="preserve"> </w:t>
            </w:r>
            <w:r>
              <w:rPr>
                <w:spacing w:val="-2"/>
              </w:rPr>
              <w:t>50％以下的罚款；对</w:t>
            </w:r>
            <w:r>
              <w:t xml:space="preserve"> </w:t>
            </w:r>
            <w:r>
              <w:rPr>
                <w:spacing w:val="-3"/>
              </w:rPr>
              <w:t>施工单位处工程合同价款</w:t>
            </w:r>
            <w:r>
              <w:rPr>
                <w:spacing w:val="-36"/>
              </w:rPr>
              <w:t xml:space="preserve"> </w:t>
            </w:r>
            <w:r>
              <w:rPr>
                <w:spacing w:val="-3"/>
              </w:rPr>
              <w:t>0.5％以上 1</w:t>
            </w:r>
            <w:r>
              <w:rPr>
                <w:spacing w:val="-4"/>
              </w:rPr>
              <w:t>％以下的罚款。</w:t>
            </w:r>
          </w:p>
        </w:tc>
        <w:tc>
          <w:tcPr>
            <w:tcW w:w="1014" w:type="dxa"/>
            <w:vAlign w:val="top"/>
          </w:tcPr>
          <w:p w14:paraId="0F09A873">
            <w:pPr>
              <w:rPr>
                <w:rFonts w:ascii="Arial"/>
                <w:sz w:val="21"/>
              </w:rPr>
            </w:pPr>
          </w:p>
        </w:tc>
        <w:tc>
          <w:tcPr>
            <w:tcW w:w="1407" w:type="dxa"/>
            <w:vAlign w:val="top"/>
          </w:tcPr>
          <w:p w14:paraId="2594A1DB">
            <w:pPr>
              <w:rPr>
                <w:rFonts w:ascii="Arial"/>
                <w:sz w:val="21"/>
              </w:rPr>
            </w:pPr>
          </w:p>
        </w:tc>
        <w:tc>
          <w:tcPr>
            <w:tcW w:w="1018" w:type="dxa"/>
            <w:vAlign w:val="top"/>
          </w:tcPr>
          <w:p w14:paraId="0819E6C3">
            <w:pPr>
              <w:rPr>
                <w:rFonts w:ascii="Arial"/>
                <w:sz w:val="21"/>
              </w:rPr>
            </w:pPr>
          </w:p>
        </w:tc>
      </w:tr>
      <w:tr w14:paraId="3D6D8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4" w:hRule="atLeast"/>
        </w:trPr>
        <w:tc>
          <w:tcPr>
            <w:tcW w:w="624" w:type="dxa"/>
            <w:vAlign w:val="top"/>
          </w:tcPr>
          <w:p w14:paraId="5AA7E07A">
            <w:pPr>
              <w:spacing w:line="259" w:lineRule="auto"/>
              <w:rPr>
                <w:rFonts w:ascii="Arial"/>
                <w:sz w:val="21"/>
              </w:rPr>
            </w:pPr>
          </w:p>
          <w:p w14:paraId="5FC5AE3A">
            <w:pPr>
              <w:spacing w:line="259" w:lineRule="auto"/>
              <w:rPr>
                <w:rFonts w:ascii="Arial"/>
                <w:sz w:val="21"/>
              </w:rPr>
            </w:pPr>
          </w:p>
          <w:p w14:paraId="20B43183">
            <w:pPr>
              <w:spacing w:line="259" w:lineRule="auto"/>
              <w:rPr>
                <w:rFonts w:ascii="Arial"/>
                <w:sz w:val="21"/>
              </w:rPr>
            </w:pPr>
          </w:p>
          <w:p w14:paraId="4C673A90">
            <w:pPr>
              <w:spacing w:line="259" w:lineRule="auto"/>
              <w:rPr>
                <w:rFonts w:ascii="Arial"/>
                <w:sz w:val="21"/>
              </w:rPr>
            </w:pPr>
          </w:p>
          <w:p w14:paraId="4B395213">
            <w:pPr>
              <w:spacing w:line="259" w:lineRule="auto"/>
              <w:rPr>
                <w:rFonts w:ascii="Arial"/>
                <w:sz w:val="21"/>
              </w:rPr>
            </w:pPr>
          </w:p>
          <w:p w14:paraId="74D4D495">
            <w:pPr>
              <w:spacing w:line="259" w:lineRule="auto"/>
              <w:rPr>
                <w:rFonts w:ascii="Arial"/>
                <w:sz w:val="21"/>
              </w:rPr>
            </w:pPr>
          </w:p>
          <w:p w14:paraId="589FCFA0">
            <w:pPr>
              <w:spacing w:line="259" w:lineRule="auto"/>
              <w:rPr>
                <w:rFonts w:ascii="Arial"/>
                <w:sz w:val="21"/>
              </w:rPr>
            </w:pPr>
          </w:p>
          <w:p w14:paraId="318B44F1">
            <w:pPr>
              <w:spacing w:line="259" w:lineRule="auto"/>
              <w:rPr>
                <w:rFonts w:ascii="Arial"/>
                <w:sz w:val="21"/>
              </w:rPr>
            </w:pPr>
          </w:p>
          <w:p w14:paraId="6BF57DFB">
            <w:pPr>
              <w:spacing w:line="259" w:lineRule="auto"/>
              <w:rPr>
                <w:rFonts w:ascii="Arial"/>
                <w:sz w:val="21"/>
              </w:rPr>
            </w:pPr>
          </w:p>
          <w:p w14:paraId="1F3E183C">
            <w:pPr>
              <w:spacing w:line="259" w:lineRule="auto"/>
              <w:rPr>
                <w:rFonts w:ascii="Arial"/>
                <w:sz w:val="21"/>
              </w:rPr>
            </w:pPr>
          </w:p>
          <w:p w14:paraId="71455BF7">
            <w:pPr>
              <w:spacing w:line="259" w:lineRule="auto"/>
              <w:rPr>
                <w:rFonts w:ascii="Arial"/>
                <w:sz w:val="21"/>
              </w:rPr>
            </w:pPr>
          </w:p>
          <w:p w14:paraId="4C77C1E8">
            <w:pPr>
              <w:spacing w:line="260" w:lineRule="auto"/>
              <w:rPr>
                <w:rFonts w:ascii="Arial"/>
                <w:sz w:val="21"/>
              </w:rPr>
            </w:pPr>
          </w:p>
          <w:p w14:paraId="0D032CEF">
            <w:pPr>
              <w:pStyle w:val="8"/>
              <w:spacing w:before="59" w:line="183" w:lineRule="auto"/>
              <w:ind w:left="230"/>
            </w:pPr>
            <w:r>
              <w:rPr>
                <w:spacing w:val="-4"/>
              </w:rPr>
              <w:t>46</w:t>
            </w:r>
          </w:p>
        </w:tc>
        <w:tc>
          <w:tcPr>
            <w:tcW w:w="1104" w:type="dxa"/>
            <w:vAlign w:val="top"/>
          </w:tcPr>
          <w:p w14:paraId="5DE2B2A7">
            <w:pPr>
              <w:spacing w:line="248" w:lineRule="auto"/>
              <w:rPr>
                <w:rFonts w:ascii="Arial"/>
                <w:sz w:val="21"/>
              </w:rPr>
            </w:pPr>
          </w:p>
          <w:p w14:paraId="5FBD855B">
            <w:pPr>
              <w:spacing w:line="248" w:lineRule="auto"/>
              <w:rPr>
                <w:rFonts w:ascii="Arial"/>
                <w:sz w:val="21"/>
              </w:rPr>
            </w:pPr>
          </w:p>
          <w:p w14:paraId="2A914C33">
            <w:pPr>
              <w:spacing w:line="248" w:lineRule="auto"/>
              <w:rPr>
                <w:rFonts w:ascii="Arial"/>
                <w:sz w:val="21"/>
              </w:rPr>
            </w:pPr>
          </w:p>
          <w:p w14:paraId="286D3DF8">
            <w:pPr>
              <w:spacing w:line="249" w:lineRule="auto"/>
              <w:rPr>
                <w:rFonts w:ascii="Arial"/>
                <w:sz w:val="21"/>
              </w:rPr>
            </w:pPr>
          </w:p>
          <w:p w14:paraId="1E81D14D">
            <w:pPr>
              <w:spacing w:line="249" w:lineRule="auto"/>
              <w:rPr>
                <w:rFonts w:ascii="Arial"/>
                <w:sz w:val="21"/>
              </w:rPr>
            </w:pPr>
          </w:p>
          <w:p w14:paraId="74AE6988">
            <w:pPr>
              <w:spacing w:line="249" w:lineRule="auto"/>
              <w:rPr>
                <w:rFonts w:ascii="Arial"/>
                <w:sz w:val="21"/>
              </w:rPr>
            </w:pPr>
          </w:p>
          <w:p w14:paraId="34874BCB">
            <w:pPr>
              <w:spacing w:line="249" w:lineRule="auto"/>
              <w:rPr>
                <w:rFonts w:ascii="Arial"/>
                <w:sz w:val="21"/>
              </w:rPr>
            </w:pPr>
          </w:p>
          <w:p w14:paraId="1120AE67">
            <w:pPr>
              <w:spacing w:line="249" w:lineRule="auto"/>
              <w:rPr>
                <w:rFonts w:ascii="Arial"/>
                <w:sz w:val="21"/>
              </w:rPr>
            </w:pPr>
          </w:p>
          <w:p w14:paraId="021B4B84">
            <w:pPr>
              <w:spacing w:line="249" w:lineRule="auto"/>
              <w:rPr>
                <w:rFonts w:ascii="Arial"/>
                <w:sz w:val="21"/>
              </w:rPr>
            </w:pPr>
          </w:p>
          <w:p w14:paraId="31B9057C">
            <w:pPr>
              <w:spacing w:line="249" w:lineRule="auto"/>
              <w:rPr>
                <w:rFonts w:ascii="Arial"/>
                <w:sz w:val="21"/>
              </w:rPr>
            </w:pPr>
          </w:p>
          <w:p w14:paraId="410B79A1">
            <w:pPr>
              <w:pStyle w:val="8"/>
              <w:spacing w:before="59" w:line="242" w:lineRule="auto"/>
              <w:ind w:left="61" w:right="56" w:hanging="1"/>
              <w:jc w:val="both"/>
            </w:pPr>
            <w:r>
              <w:rPr>
                <w:spacing w:val="16"/>
              </w:rPr>
              <w:t>对交通运输</w:t>
            </w:r>
            <w:r>
              <w:rPr>
                <w:spacing w:val="1"/>
              </w:rPr>
              <w:t xml:space="preserve"> </w:t>
            </w:r>
            <w:r>
              <w:rPr>
                <w:spacing w:val="16"/>
              </w:rPr>
              <w:t>建设工程领</w:t>
            </w:r>
            <w:r>
              <w:t xml:space="preserve"> </w:t>
            </w:r>
            <w:r>
              <w:rPr>
                <w:spacing w:val="16"/>
              </w:rPr>
              <w:t>域从业单位</w:t>
            </w:r>
            <w:r>
              <w:t xml:space="preserve"> </w:t>
            </w:r>
            <w:r>
              <w:rPr>
                <w:spacing w:val="8"/>
              </w:rPr>
              <w:t>出借</w:t>
            </w:r>
            <w:r>
              <w:rPr>
                <w:spacing w:val="-50"/>
              </w:rPr>
              <w:t xml:space="preserve"> </w:t>
            </w:r>
            <w:r>
              <w:rPr>
                <w:spacing w:val="8"/>
              </w:rPr>
              <w:t>资质行</w:t>
            </w:r>
            <w:r>
              <w:t xml:space="preserve"> </w:t>
            </w:r>
            <w:r>
              <w:rPr>
                <w:spacing w:val="16"/>
              </w:rPr>
              <w:t>为的行政处</w:t>
            </w:r>
            <w:r>
              <w:t xml:space="preserve"> 罚</w:t>
            </w:r>
          </w:p>
        </w:tc>
        <w:tc>
          <w:tcPr>
            <w:tcW w:w="1104" w:type="dxa"/>
            <w:vAlign w:val="top"/>
          </w:tcPr>
          <w:p w14:paraId="79B43434">
            <w:pPr>
              <w:spacing w:line="256" w:lineRule="auto"/>
              <w:rPr>
                <w:rFonts w:ascii="Arial"/>
                <w:sz w:val="21"/>
              </w:rPr>
            </w:pPr>
          </w:p>
          <w:p w14:paraId="7931A065">
            <w:pPr>
              <w:spacing w:line="256" w:lineRule="auto"/>
              <w:rPr>
                <w:rFonts w:ascii="Arial"/>
                <w:sz w:val="21"/>
              </w:rPr>
            </w:pPr>
          </w:p>
          <w:p w14:paraId="635A34E9">
            <w:pPr>
              <w:spacing w:line="256" w:lineRule="auto"/>
              <w:rPr>
                <w:rFonts w:ascii="Arial"/>
                <w:sz w:val="21"/>
              </w:rPr>
            </w:pPr>
          </w:p>
          <w:p w14:paraId="103FF0A5">
            <w:pPr>
              <w:spacing w:line="257" w:lineRule="auto"/>
              <w:rPr>
                <w:rFonts w:ascii="Arial"/>
                <w:sz w:val="21"/>
              </w:rPr>
            </w:pPr>
          </w:p>
          <w:p w14:paraId="70B019EA">
            <w:pPr>
              <w:spacing w:line="257" w:lineRule="auto"/>
              <w:rPr>
                <w:rFonts w:ascii="Arial"/>
                <w:sz w:val="21"/>
              </w:rPr>
            </w:pPr>
          </w:p>
          <w:p w14:paraId="54BF4500">
            <w:pPr>
              <w:spacing w:line="257" w:lineRule="auto"/>
              <w:rPr>
                <w:rFonts w:ascii="Arial"/>
                <w:sz w:val="21"/>
              </w:rPr>
            </w:pPr>
          </w:p>
          <w:p w14:paraId="24170EE8">
            <w:pPr>
              <w:spacing w:line="257" w:lineRule="auto"/>
              <w:rPr>
                <w:rFonts w:ascii="Arial"/>
                <w:sz w:val="21"/>
              </w:rPr>
            </w:pPr>
          </w:p>
          <w:p w14:paraId="6D57DADF">
            <w:pPr>
              <w:spacing w:line="257" w:lineRule="auto"/>
              <w:rPr>
                <w:rFonts w:ascii="Arial"/>
                <w:sz w:val="21"/>
              </w:rPr>
            </w:pPr>
          </w:p>
          <w:p w14:paraId="263615D1">
            <w:pPr>
              <w:spacing w:line="257" w:lineRule="auto"/>
              <w:rPr>
                <w:rFonts w:ascii="Arial"/>
                <w:sz w:val="21"/>
              </w:rPr>
            </w:pPr>
          </w:p>
          <w:p w14:paraId="53C65B30">
            <w:pPr>
              <w:spacing w:line="257" w:lineRule="auto"/>
              <w:rPr>
                <w:rFonts w:ascii="Arial"/>
                <w:sz w:val="21"/>
              </w:rPr>
            </w:pPr>
          </w:p>
          <w:p w14:paraId="7227FD95">
            <w:pPr>
              <w:spacing w:line="257" w:lineRule="auto"/>
              <w:rPr>
                <w:rFonts w:ascii="Arial"/>
                <w:sz w:val="21"/>
              </w:rPr>
            </w:pPr>
          </w:p>
          <w:p w14:paraId="61EC54FC">
            <w:pPr>
              <w:spacing w:line="257" w:lineRule="auto"/>
              <w:rPr>
                <w:rFonts w:ascii="Arial"/>
                <w:sz w:val="21"/>
              </w:rPr>
            </w:pPr>
          </w:p>
          <w:p w14:paraId="602C34BE">
            <w:pPr>
              <w:pStyle w:val="8"/>
              <w:spacing w:before="59" w:line="220" w:lineRule="auto"/>
              <w:ind w:left="10"/>
            </w:pPr>
            <w:r>
              <w:rPr>
                <w:spacing w:val="-2"/>
              </w:rPr>
              <w:t>行政处罚</w:t>
            </w:r>
          </w:p>
        </w:tc>
        <w:tc>
          <w:tcPr>
            <w:tcW w:w="8549" w:type="dxa"/>
            <w:vAlign w:val="top"/>
          </w:tcPr>
          <w:p w14:paraId="799A8F05">
            <w:pPr>
              <w:pStyle w:val="8"/>
              <w:spacing w:before="39" w:line="219" w:lineRule="auto"/>
              <w:ind w:left="484"/>
            </w:pPr>
            <w:r>
              <w:rPr>
                <w:spacing w:val="-4"/>
              </w:rPr>
              <w:t>1.</w:t>
            </w:r>
            <w:r>
              <w:rPr>
                <w:b/>
                <w:bCs/>
                <w:spacing w:val="-4"/>
              </w:rPr>
              <w:t>《建设工程质量管理条例》</w:t>
            </w:r>
          </w:p>
          <w:p w14:paraId="53449827">
            <w:pPr>
              <w:pStyle w:val="8"/>
              <w:spacing w:before="25" w:line="233" w:lineRule="auto"/>
              <w:ind w:left="111" w:right="159" w:firstLine="360"/>
            </w:pPr>
            <w:r>
              <w:t>第十八条第二款  禁止勘察、设计单位超越其资质等级许可的范围或者以其他勘</w:t>
            </w:r>
            <w:r>
              <w:rPr>
                <w:spacing w:val="-1"/>
              </w:rPr>
              <w:t>察、设计单位的名义</w:t>
            </w:r>
            <w:r>
              <w:t xml:space="preserve"> </w:t>
            </w:r>
            <w:r>
              <w:rPr>
                <w:spacing w:val="-1"/>
              </w:rPr>
              <w:t>承揽工程。禁止勘察、设计单位允许其他单位或者个人以本单位的名义承揽工程。</w:t>
            </w:r>
          </w:p>
          <w:p w14:paraId="459C942C">
            <w:pPr>
              <w:pStyle w:val="8"/>
              <w:spacing w:before="27" w:line="239" w:lineRule="auto"/>
              <w:ind w:left="112" w:right="159" w:firstLine="358"/>
            </w:pPr>
            <w:r>
              <w:t>第六十一条  违反本条例规定，勘察、设计、施工、工程监理单位允许其他单位</w:t>
            </w:r>
            <w:r>
              <w:rPr>
                <w:spacing w:val="-1"/>
              </w:rPr>
              <w:t>或者个人以本单位名</w:t>
            </w:r>
            <w:r>
              <w:t xml:space="preserve"> 义承揽工程的，责令改正，没收违法所得，对勘察、设计单位和工程监理单位处合</w:t>
            </w:r>
            <w:r>
              <w:rPr>
                <w:spacing w:val="-1"/>
              </w:rPr>
              <w:t>同约定的勘察费、设计</w:t>
            </w:r>
            <w:r>
              <w:t xml:space="preserve"> </w:t>
            </w:r>
            <w:r>
              <w:rPr>
                <w:spacing w:val="3"/>
              </w:rPr>
              <w:t>费和监理酬金1倍以上2倍以下的罚款；对施工单位处工程合同价款百分之二以上</w:t>
            </w:r>
            <w:r>
              <w:rPr>
                <w:spacing w:val="2"/>
              </w:rPr>
              <w:t>百分之四以下的罚款；</w:t>
            </w:r>
            <w:r>
              <w:t xml:space="preserve"> </w:t>
            </w:r>
            <w:r>
              <w:rPr>
                <w:spacing w:val="-1"/>
              </w:rPr>
              <w:t>可以责令停业整顿，降低资质等级；情节严重的，吊</w:t>
            </w:r>
            <w:r>
              <w:rPr>
                <w:spacing w:val="-2"/>
              </w:rPr>
              <w:t>销资质证书。</w:t>
            </w:r>
          </w:p>
          <w:p w14:paraId="2CBCA8D9">
            <w:pPr>
              <w:pStyle w:val="8"/>
              <w:spacing w:before="26" w:line="219" w:lineRule="auto"/>
              <w:ind w:left="473"/>
            </w:pPr>
            <w:r>
              <w:rPr>
                <w:b/>
                <w:bCs/>
                <w:spacing w:val="-3"/>
              </w:rPr>
              <w:t>2.《建设工程勘察设计管理条例》</w:t>
            </w:r>
          </w:p>
          <w:p w14:paraId="4E323ED8">
            <w:pPr>
              <w:pStyle w:val="8"/>
              <w:spacing w:before="27" w:line="219" w:lineRule="auto"/>
              <w:ind w:left="471"/>
            </w:pPr>
            <w:r>
              <w:rPr>
                <w:spacing w:val="-1"/>
              </w:rPr>
              <w:t>第八条  建设工程勘察、设计单位应当在其资质等级许可的范围内承揽建设工程勘察、设计业务。</w:t>
            </w:r>
          </w:p>
          <w:p w14:paraId="42D8D09C">
            <w:pPr>
              <w:pStyle w:val="8"/>
              <w:spacing w:before="27" w:line="237" w:lineRule="auto"/>
              <w:ind w:left="111" w:right="159" w:firstLine="360"/>
            </w:pPr>
            <w:r>
              <w:t>禁止建设工程勘察、设计单位超越其资质等级许可的范围或者以其他建设工程勘</w:t>
            </w:r>
            <w:r>
              <w:rPr>
                <w:spacing w:val="-1"/>
              </w:rPr>
              <w:t>察、设计单位的名义</w:t>
            </w:r>
            <w:r>
              <w:t xml:space="preserve"> 承揽建设工程勘察、设计业务。禁止建设工程勘察、设计单位允许其他单位或者个人</w:t>
            </w:r>
            <w:r>
              <w:rPr>
                <w:spacing w:val="-1"/>
              </w:rPr>
              <w:t>以本单位的名义承揽</w:t>
            </w:r>
            <w:r>
              <w:t xml:space="preserve"> </w:t>
            </w:r>
            <w:r>
              <w:rPr>
                <w:spacing w:val="-3"/>
              </w:rPr>
              <w:t>建设工程勘察、设计业务。</w:t>
            </w:r>
          </w:p>
          <w:p w14:paraId="610813C6">
            <w:pPr>
              <w:pStyle w:val="8"/>
              <w:spacing w:before="26" w:line="237" w:lineRule="auto"/>
              <w:ind w:left="111" w:right="159" w:firstLine="360"/>
              <w:jc w:val="both"/>
            </w:pPr>
            <w:r>
              <w:rPr>
                <w:spacing w:val="-1"/>
              </w:rPr>
              <w:t>第三十五条第一款  违反本条例第八条规定的，责令停止违法行为，处合同约定的勘察费、设计费</w:t>
            </w:r>
            <w:r>
              <w:rPr>
                <w:spacing w:val="-8"/>
              </w:rPr>
              <w:t xml:space="preserve"> </w:t>
            </w:r>
            <w:r>
              <w:rPr>
                <w:spacing w:val="-1"/>
              </w:rPr>
              <w:t>1</w:t>
            </w:r>
            <w:r>
              <w:t xml:space="preserve"> 倍以上</w:t>
            </w:r>
            <w:r>
              <w:rPr>
                <w:spacing w:val="-35"/>
              </w:rPr>
              <w:t xml:space="preserve"> </w:t>
            </w:r>
            <w:r>
              <w:t>2</w:t>
            </w:r>
            <w:r>
              <w:rPr>
                <w:spacing w:val="-39"/>
              </w:rPr>
              <w:t xml:space="preserve"> </w:t>
            </w:r>
            <w:r>
              <w:t>倍以下的罚款，有违法所得的，予以没</w:t>
            </w:r>
            <w:r>
              <w:rPr>
                <w:spacing w:val="-1"/>
              </w:rPr>
              <w:t>收；可以责令停业整顿，降低资质等级；情节严重的，吊</w:t>
            </w:r>
            <w:r>
              <w:t xml:space="preserve"> </w:t>
            </w:r>
            <w:r>
              <w:rPr>
                <w:spacing w:val="-5"/>
              </w:rPr>
              <w:t>销资质证书。</w:t>
            </w:r>
          </w:p>
          <w:p w14:paraId="3A7EBEB2">
            <w:pPr>
              <w:pStyle w:val="8"/>
              <w:spacing w:before="27" w:line="219" w:lineRule="auto"/>
              <w:ind w:left="474"/>
            </w:pPr>
            <w:r>
              <w:rPr>
                <w:b/>
                <w:bCs/>
                <w:spacing w:val="-3"/>
              </w:rPr>
              <w:t>3.《中华人民共和国招标投标法实施条例》</w:t>
            </w:r>
          </w:p>
          <w:p w14:paraId="777B4C03">
            <w:pPr>
              <w:pStyle w:val="8"/>
              <w:spacing w:before="25" w:line="233" w:lineRule="auto"/>
              <w:ind w:left="113" w:right="60" w:firstLine="357"/>
            </w:pPr>
            <w:r>
              <w:rPr>
                <w:spacing w:val="-2"/>
              </w:rPr>
              <w:t>第六十九条  出让或者出租资格、资质证书供他人投标的，依照法律、行政法规的规定给予行政处罚；</w:t>
            </w:r>
            <w:r>
              <w:rPr>
                <w:spacing w:val="3"/>
              </w:rPr>
              <w:t xml:space="preserve"> </w:t>
            </w:r>
            <w:r>
              <w:rPr>
                <w:spacing w:val="-3"/>
              </w:rPr>
              <w:t>构成犯罪的，依法追究刑事责任。</w:t>
            </w:r>
          </w:p>
          <w:p w14:paraId="3BA2DB64">
            <w:pPr>
              <w:pStyle w:val="8"/>
              <w:spacing w:before="26" w:line="219" w:lineRule="auto"/>
              <w:ind w:left="559"/>
            </w:pPr>
            <w:r>
              <w:rPr>
                <w:b/>
                <w:bCs/>
                <w:spacing w:val="-3"/>
              </w:rPr>
              <w:t>4.《水运建设市场监督管理办法》（交通运输部令</w:t>
            </w:r>
            <w:r>
              <w:rPr>
                <w:spacing w:val="-24"/>
              </w:rPr>
              <w:t xml:space="preserve"> </w:t>
            </w:r>
            <w:r>
              <w:rPr>
                <w:b/>
                <w:bCs/>
                <w:spacing w:val="-3"/>
              </w:rPr>
              <w:t>2016</w:t>
            </w:r>
            <w:r>
              <w:rPr>
                <w:spacing w:val="-38"/>
              </w:rPr>
              <w:t xml:space="preserve"> </w:t>
            </w:r>
            <w:r>
              <w:rPr>
                <w:b/>
                <w:bCs/>
                <w:spacing w:val="-3"/>
              </w:rPr>
              <w:t>年第</w:t>
            </w:r>
            <w:r>
              <w:rPr>
                <w:spacing w:val="-33"/>
              </w:rPr>
              <w:t xml:space="preserve"> </w:t>
            </w:r>
            <w:r>
              <w:rPr>
                <w:b/>
                <w:bCs/>
                <w:spacing w:val="-3"/>
              </w:rPr>
              <w:t>74</w:t>
            </w:r>
            <w:r>
              <w:rPr>
                <w:spacing w:val="-35"/>
              </w:rPr>
              <w:t xml:space="preserve"> </w:t>
            </w:r>
            <w:r>
              <w:rPr>
                <w:b/>
                <w:bCs/>
                <w:spacing w:val="-3"/>
              </w:rPr>
              <w:t>号）</w:t>
            </w:r>
          </w:p>
          <w:p w14:paraId="7E0C2295">
            <w:pPr>
              <w:pStyle w:val="8"/>
              <w:spacing w:before="30"/>
              <w:ind w:left="110" w:right="44" w:firstLine="449"/>
              <w:jc w:val="both"/>
            </w:pPr>
            <w:r>
              <w:rPr>
                <w:spacing w:val="-1"/>
              </w:rPr>
              <w:t>第三十八条  违反本办法规定，勘察、设计、施工、工程监理单位允许其他单位或者个人以本单位名</w:t>
            </w:r>
            <w:r>
              <w:rPr>
                <w:spacing w:val="3"/>
              </w:rPr>
              <w:t xml:space="preserve"> </w:t>
            </w:r>
            <w:r>
              <w:t>义承揽工程的，依照《建设工程质量管理条例》第六十一条规定，责令改正，没收违法</w:t>
            </w:r>
            <w:r>
              <w:rPr>
                <w:spacing w:val="-1"/>
              </w:rPr>
              <w:t>所得，按照以下标</w:t>
            </w:r>
            <w:r>
              <w:t xml:space="preserve">  准处以罚款</w:t>
            </w:r>
            <w:r>
              <w:rPr>
                <w:spacing w:val="-5"/>
              </w:rPr>
              <w:t>：（</w:t>
            </w:r>
            <w:r>
              <w:t>一）勘察、设计、施工、工程监理单位允许有相应资质并符合本工程建设</w:t>
            </w:r>
            <w:r>
              <w:rPr>
                <w:spacing w:val="-1"/>
              </w:rPr>
              <w:t>要求的单位或者</w:t>
            </w:r>
            <w:r>
              <w:t xml:space="preserve">  个人以本单位名义承揽工程的，对勘察、设计单位或者工程监理单位处合同约定的勘察</w:t>
            </w:r>
            <w:r>
              <w:rPr>
                <w:spacing w:val="-1"/>
              </w:rPr>
              <w:t>费、设计费或者监</w:t>
            </w:r>
            <w:r>
              <w:t xml:space="preserve">  </w:t>
            </w:r>
            <w:r>
              <w:rPr>
                <w:spacing w:val="-3"/>
              </w:rPr>
              <w:t>理酬金</w:t>
            </w:r>
            <w:r>
              <w:rPr>
                <w:spacing w:val="-24"/>
              </w:rPr>
              <w:t xml:space="preserve"> </w:t>
            </w:r>
            <w:r>
              <w:rPr>
                <w:spacing w:val="-3"/>
              </w:rPr>
              <w:t>1</w:t>
            </w:r>
            <w:r>
              <w:rPr>
                <w:spacing w:val="-39"/>
              </w:rPr>
              <w:t xml:space="preserve"> </w:t>
            </w:r>
            <w:r>
              <w:rPr>
                <w:spacing w:val="-3"/>
              </w:rPr>
              <w:t>倍以上</w:t>
            </w:r>
            <w:r>
              <w:rPr>
                <w:spacing w:val="-24"/>
              </w:rPr>
              <w:t xml:space="preserve"> </w:t>
            </w:r>
            <w:r>
              <w:rPr>
                <w:spacing w:val="-3"/>
              </w:rPr>
              <w:t>1.5</w:t>
            </w:r>
            <w:r>
              <w:rPr>
                <w:spacing w:val="-38"/>
              </w:rPr>
              <w:t xml:space="preserve"> </w:t>
            </w:r>
            <w:r>
              <w:rPr>
                <w:spacing w:val="-3"/>
              </w:rPr>
              <w:t>倍以下的罚款；对施工单位处工程合同价</w:t>
            </w:r>
            <w:r>
              <w:rPr>
                <w:spacing w:val="-4"/>
              </w:rPr>
              <w:t>款</w:t>
            </w:r>
            <w:r>
              <w:rPr>
                <w:spacing w:val="-36"/>
              </w:rPr>
              <w:t xml:space="preserve"> </w:t>
            </w:r>
            <w:r>
              <w:rPr>
                <w:spacing w:val="-4"/>
              </w:rPr>
              <w:t>2%以上</w:t>
            </w:r>
            <w:r>
              <w:rPr>
                <w:spacing w:val="-33"/>
              </w:rPr>
              <w:t xml:space="preserve"> </w:t>
            </w:r>
            <w:r>
              <w:rPr>
                <w:spacing w:val="-4"/>
              </w:rPr>
              <w:t>3%以下的罚款</w:t>
            </w:r>
            <w:r>
              <w:rPr>
                <w:spacing w:val="-37"/>
              </w:rPr>
              <w:t>；（</w:t>
            </w:r>
            <w:r>
              <w:rPr>
                <w:spacing w:val="-4"/>
              </w:rPr>
              <w:t>二）勘察、设计、</w:t>
            </w:r>
            <w:r>
              <w:t xml:space="preserve"> 施工、工程监理单位允许无相应资质的单位或者个人以本单位名义承揽工程的，对勘察</w:t>
            </w:r>
            <w:r>
              <w:rPr>
                <w:spacing w:val="-1"/>
              </w:rPr>
              <w:t>、设计单位或者工</w:t>
            </w:r>
            <w:r>
              <w:t xml:space="preserve">  </w:t>
            </w:r>
            <w:r>
              <w:rPr>
                <w:spacing w:val="-1"/>
              </w:rPr>
              <w:t>程监理单位处合同约定的勘察费、设计费或者监理酬金</w:t>
            </w:r>
            <w:r>
              <w:rPr>
                <w:spacing w:val="-24"/>
              </w:rPr>
              <w:t xml:space="preserve"> </w:t>
            </w:r>
            <w:r>
              <w:rPr>
                <w:spacing w:val="-1"/>
              </w:rPr>
              <w:t>1.5</w:t>
            </w:r>
            <w:r>
              <w:rPr>
                <w:spacing w:val="-39"/>
              </w:rPr>
              <w:t xml:space="preserve"> </w:t>
            </w:r>
            <w:r>
              <w:rPr>
                <w:spacing w:val="-1"/>
              </w:rPr>
              <w:t>倍以上</w:t>
            </w:r>
            <w:r>
              <w:rPr>
                <w:spacing w:val="-35"/>
              </w:rPr>
              <w:t xml:space="preserve"> </w:t>
            </w:r>
            <w:r>
              <w:rPr>
                <w:spacing w:val="-1"/>
              </w:rPr>
              <w:t>2</w:t>
            </w:r>
            <w:r>
              <w:rPr>
                <w:spacing w:val="-39"/>
              </w:rPr>
              <w:t xml:space="preserve"> </w:t>
            </w:r>
            <w:r>
              <w:rPr>
                <w:spacing w:val="-1"/>
              </w:rPr>
              <w:t>倍以下的罚款；对施工单位</w:t>
            </w:r>
            <w:r>
              <w:rPr>
                <w:spacing w:val="-2"/>
              </w:rPr>
              <w:t>处工程合</w:t>
            </w:r>
            <w:r>
              <w:t xml:space="preserve">  </w:t>
            </w:r>
            <w:r>
              <w:rPr>
                <w:spacing w:val="-3"/>
              </w:rPr>
              <w:t>同价款</w:t>
            </w:r>
            <w:r>
              <w:rPr>
                <w:spacing w:val="-34"/>
              </w:rPr>
              <w:t xml:space="preserve"> </w:t>
            </w:r>
            <w:r>
              <w:rPr>
                <w:spacing w:val="-3"/>
              </w:rPr>
              <w:t>3%以上</w:t>
            </w:r>
            <w:r>
              <w:rPr>
                <w:spacing w:val="-41"/>
              </w:rPr>
              <w:t xml:space="preserve"> </w:t>
            </w:r>
            <w:r>
              <w:rPr>
                <w:spacing w:val="-3"/>
              </w:rPr>
              <w:t>4%以下的罚款。</w:t>
            </w:r>
          </w:p>
        </w:tc>
        <w:tc>
          <w:tcPr>
            <w:tcW w:w="1014" w:type="dxa"/>
            <w:vAlign w:val="top"/>
          </w:tcPr>
          <w:p w14:paraId="54B02F9A">
            <w:pPr>
              <w:spacing w:line="246" w:lineRule="auto"/>
              <w:rPr>
                <w:rFonts w:ascii="Arial"/>
                <w:sz w:val="21"/>
              </w:rPr>
            </w:pPr>
          </w:p>
          <w:p w14:paraId="1724E95B">
            <w:pPr>
              <w:spacing w:line="246" w:lineRule="auto"/>
              <w:rPr>
                <w:rFonts w:ascii="Arial"/>
                <w:sz w:val="21"/>
              </w:rPr>
            </w:pPr>
          </w:p>
          <w:p w14:paraId="18532376">
            <w:pPr>
              <w:spacing w:line="247" w:lineRule="auto"/>
              <w:rPr>
                <w:rFonts w:ascii="Arial"/>
                <w:sz w:val="21"/>
              </w:rPr>
            </w:pPr>
          </w:p>
          <w:p w14:paraId="4674C7BE">
            <w:pPr>
              <w:spacing w:line="247" w:lineRule="auto"/>
              <w:rPr>
                <w:rFonts w:ascii="Arial"/>
                <w:sz w:val="21"/>
              </w:rPr>
            </w:pPr>
          </w:p>
          <w:p w14:paraId="2F5972BB">
            <w:pPr>
              <w:spacing w:line="247" w:lineRule="auto"/>
              <w:rPr>
                <w:rFonts w:ascii="Arial"/>
                <w:sz w:val="21"/>
              </w:rPr>
            </w:pPr>
          </w:p>
          <w:p w14:paraId="690EB18F">
            <w:pPr>
              <w:spacing w:line="247" w:lineRule="auto"/>
              <w:rPr>
                <w:rFonts w:ascii="Arial"/>
                <w:sz w:val="21"/>
              </w:rPr>
            </w:pPr>
          </w:p>
          <w:p w14:paraId="59981AB9">
            <w:pPr>
              <w:spacing w:line="247" w:lineRule="auto"/>
              <w:rPr>
                <w:rFonts w:ascii="Arial"/>
                <w:sz w:val="21"/>
              </w:rPr>
            </w:pPr>
          </w:p>
          <w:p w14:paraId="05750381">
            <w:pPr>
              <w:spacing w:line="247" w:lineRule="auto"/>
              <w:rPr>
                <w:rFonts w:ascii="Arial"/>
                <w:sz w:val="21"/>
              </w:rPr>
            </w:pPr>
          </w:p>
          <w:p w14:paraId="4873BB70">
            <w:pPr>
              <w:spacing w:line="247" w:lineRule="auto"/>
              <w:rPr>
                <w:rFonts w:ascii="Arial"/>
                <w:sz w:val="21"/>
              </w:rPr>
            </w:pPr>
          </w:p>
          <w:p w14:paraId="2239D973">
            <w:pPr>
              <w:spacing w:line="247" w:lineRule="auto"/>
              <w:rPr>
                <w:rFonts w:ascii="Arial"/>
                <w:sz w:val="21"/>
              </w:rPr>
            </w:pPr>
          </w:p>
          <w:p w14:paraId="221EC511">
            <w:pPr>
              <w:spacing w:line="247" w:lineRule="auto"/>
              <w:rPr>
                <w:rFonts w:ascii="Arial"/>
                <w:sz w:val="21"/>
              </w:rPr>
            </w:pPr>
          </w:p>
          <w:p w14:paraId="421BDBC8">
            <w:pPr>
              <w:spacing w:line="247" w:lineRule="auto"/>
              <w:rPr>
                <w:rFonts w:ascii="Arial"/>
                <w:sz w:val="21"/>
              </w:rPr>
            </w:pPr>
          </w:p>
          <w:p w14:paraId="6D16366C">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114A8C30">
            <w:pPr>
              <w:spacing w:line="246" w:lineRule="auto"/>
              <w:rPr>
                <w:rFonts w:ascii="Arial"/>
                <w:sz w:val="21"/>
              </w:rPr>
            </w:pPr>
          </w:p>
          <w:p w14:paraId="4AC333F4">
            <w:pPr>
              <w:spacing w:line="246" w:lineRule="auto"/>
              <w:rPr>
                <w:rFonts w:ascii="Arial"/>
                <w:sz w:val="21"/>
              </w:rPr>
            </w:pPr>
          </w:p>
          <w:p w14:paraId="7215951C">
            <w:pPr>
              <w:spacing w:line="247" w:lineRule="auto"/>
              <w:rPr>
                <w:rFonts w:ascii="Arial"/>
                <w:sz w:val="21"/>
              </w:rPr>
            </w:pPr>
          </w:p>
          <w:p w14:paraId="3EBAA695">
            <w:pPr>
              <w:spacing w:line="247" w:lineRule="auto"/>
              <w:rPr>
                <w:rFonts w:ascii="Arial"/>
                <w:sz w:val="21"/>
              </w:rPr>
            </w:pPr>
          </w:p>
          <w:p w14:paraId="54668EB7">
            <w:pPr>
              <w:spacing w:line="247" w:lineRule="auto"/>
              <w:rPr>
                <w:rFonts w:ascii="Arial"/>
                <w:sz w:val="21"/>
              </w:rPr>
            </w:pPr>
          </w:p>
          <w:p w14:paraId="793FD694">
            <w:pPr>
              <w:spacing w:line="247" w:lineRule="auto"/>
              <w:rPr>
                <w:rFonts w:ascii="Arial"/>
                <w:sz w:val="21"/>
              </w:rPr>
            </w:pPr>
          </w:p>
          <w:p w14:paraId="0D878E9F">
            <w:pPr>
              <w:spacing w:line="247" w:lineRule="auto"/>
              <w:rPr>
                <w:rFonts w:ascii="Arial"/>
                <w:sz w:val="21"/>
              </w:rPr>
            </w:pPr>
          </w:p>
          <w:p w14:paraId="1934E4A0">
            <w:pPr>
              <w:spacing w:line="247" w:lineRule="auto"/>
              <w:rPr>
                <w:rFonts w:ascii="Arial"/>
                <w:sz w:val="21"/>
              </w:rPr>
            </w:pPr>
          </w:p>
          <w:p w14:paraId="538AEC57">
            <w:pPr>
              <w:spacing w:line="247" w:lineRule="auto"/>
              <w:rPr>
                <w:rFonts w:ascii="Arial"/>
                <w:sz w:val="21"/>
              </w:rPr>
            </w:pPr>
          </w:p>
          <w:p w14:paraId="63E74225">
            <w:pPr>
              <w:spacing w:line="247" w:lineRule="auto"/>
              <w:rPr>
                <w:rFonts w:ascii="Arial"/>
                <w:sz w:val="21"/>
              </w:rPr>
            </w:pPr>
          </w:p>
          <w:p w14:paraId="4D9F5C02">
            <w:pPr>
              <w:spacing w:line="247" w:lineRule="auto"/>
              <w:rPr>
                <w:rFonts w:ascii="Arial"/>
                <w:sz w:val="21"/>
              </w:rPr>
            </w:pPr>
          </w:p>
          <w:p w14:paraId="052129E6">
            <w:pPr>
              <w:spacing w:line="247" w:lineRule="auto"/>
              <w:rPr>
                <w:rFonts w:ascii="Arial"/>
                <w:sz w:val="21"/>
              </w:rPr>
            </w:pPr>
          </w:p>
          <w:p w14:paraId="7AA5BEAF">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E79F384">
            <w:pPr>
              <w:spacing w:line="247" w:lineRule="auto"/>
              <w:rPr>
                <w:rFonts w:ascii="Arial"/>
                <w:sz w:val="21"/>
              </w:rPr>
            </w:pPr>
          </w:p>
          <w:p w14:paraId="150EDB20">
            <w:pPr>
              <w:spacing w:line="247" w:lineRule="auto"/>
              <w:rPr>
                <w:rFonts w:ascii="Arial"/>
                <w:sz w:val="21"/>
              </w:rPr>
            </w:pPr>
          </w:p>
          <w:p w14:paraId="5E27D8E3">
            <w:pPr>
              <w:spacing w:line="247" w:lineRule="auto"/>
              <w:rPr>
                <w:rFonts w:ascii="Arial"/>
                <w:sz w:val="21"/>
              </w:rPr>
            </w:pPr>
          </w:p>
          <w:p w14:paraId="72F8951C">
            <w:pPr>
              <w:spacing w:line="248" w:lineRule="auto"/>
              <w:rPr>
                <w:rFonts w:ascii="Arial"/>
                <w:sz w:val="21"/>
              </w:rPr>
            </w:pPr>
          </w:p>
          <w:p w14:paraId="64D7FA63">
            <w:pPr>
              <w:spacing w:line="248" w:lineRule="auto"/>
              <w:rPr>
                <w:rFonts w:ascii="Arial"/>
                <w:sz w:val="21"/>
              </w:rPr>
            </w:pPr>
          </w:p>
          <w:p w14:paraId="32BDEDB4">
            <w:pPr>
              <w:spacing w:line="248" w:lineRule="auto"/>
              <w:rPr>
                <w:rFonts w:ascii="Arial"/>
                <w:sz w:val="21"/>
              </w:rPr>
            </w:pPr>
          </w:p>
          <w:p w14:paraId="61767DBC">
            <w:pPr>
              <w:spacing w:line="248" w:lineRule="auto"/>
              <w:rPr>
                <w:rFonts w:ascii="Arial"/>
                <w:sz w:val="21"/>
              </w:rPr>
            </w:pPr>
          </w:p>
          <w:p w14:paraId="37EA79E0">
            <w:pPr>
              <w:spacing w:line="248" w:lineRule="auto"/>
              <w:rPr>
                <w:rFonts w:ascii="Arial"/>
                <w:sz w:val="21"/>
              </w:rPr>
            </w:pPr>
          </w:p>
          <w:p w14:paraId="55FC33E0">
            <w:pPr>
              <w:spacing w:line="248" w:lineRule="auto"/>
              <w:rPr>
                <w:rFonts w:ascii="Arial"/>
                <w:sz w:val="21"/>
              </w:rPr>
            </w:pPr>
          </w:p>
          <w:p w14:paraId="757F4B4B">
            <w:pPr>
              <w:spacing w:line="248" w:lineRule="auto"/>
              <w:rPr>
                <w:rFonts w:ascii="Arial"/>
                <w:sz w:val="21"/>
              </w:rPr>
            </w:pPr>
          </w:p>
          <w:p w14:paraId="02879CDD">
            <w:pPr>
              <w:spacing w:line="248" w:lineRule="auto"/>
              <w:rPr>
                <w:rFonts w:ascii="Arial"/>
                <w:sz w:val="21"/>
              </w:rPr>
            </w:pPr>
          </w:p>
          <w:p w14:paraId="088556D5">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7371FFF">
      <w:pPr>
        <w:pStyle w:val="2"/>
        <w:spacing w:line="187" w:lineRule="exact"/>
        <w:rPr>
          <w:sz w:val="16"/>
        </w:rPr>
      </w:pPr>
    </w:p>
    <w:p w14:paraId="5AA9A562">
      <w:pPr>
        <w:spacing w:line="187" w:lineRule="exact"/>
        <w:rPr>
          <w:sz w:val="16"/>
          <w:szCs w:val="16"/>
        </w:rPr>
        <w:sectPr>
          <w:footerReference r:id="rId97" w:type="default"/>
          <w:pgSz w:w="16839" w:h="11906"/>
          <w:pgMar w:top="1012" w:right="991" w:bottom="967" w:left="1021" w:header="0" w:footer="768" w:gutter="0"/>
          <w:cols w:space="720" w:num="1"/>
        </w:sectPr>
      </w:pPr>
    </w:p>
    <w:p w14:paraId="05D57E9A">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15483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01DB83AB">
            <w:pPr>
              <w:pStyle w:val="8"/>
              <w:spacing w:before="267" w:line="221" w:lineRule="auto"/>
              <w:ind w:left="134"/>
            </w:pPr>
            <w:r>
              <w:rPr>
                <w:b/>
                <w:bCs/>
                <w:spacing w:val="-4"/>
              </w:rPr>
              <w:t>序号</w:t>
            </w:r>
          </w:p>
        </w:tc>
        <w:tc>
          <w:tcPr>
            <w:tcW w:w="1104" w:type="dxa"/>
            <w:vMerge w:val="restart"/>
            <w:tcBorders>
              <w:bottom w:val="nil"/>
            </w:tcBorders>
            <w:vAlign w:val="top"/>
          </w:tcPr>
          <w:p w14:paraId="07C00D56">
            <w:pPr>
              <w:pStyle w:val="8"/>
              <w:spacing w:before="260" w:line="220" w:lineRule="auto"/>
              <w:ind w:left="192"/>
            </w:pPr>
            <w:r>
              <w:rPr>
                <w:b/>
                <w:bCs/>
                <w:spacing w:val="-4"/>
              </w:rPr>
              <w:t>事项名称</w:t>
            </w:r>
          </w:p>
        </w:tc>
        <w:tc>
          <w:tcPr>
            <w:tcW w:w="1104" w:type="dxa"/>
            <w:vMerge w:val="restart"/>
            <w:tcBorders>
              <w:bottom w:val="nil"/>
            </w:tcBorders>
            <w:vAlign w:val="top"/>
          </w:tcPr>
          <w:p w14:paraId="24405E80">
            <w:pPr>
              <w:pStyle w:val="8"/>
              <w:spacing w:before="260" w:line="219" w:lineRule="auto"/>
              <w:ind w:left="193"/>
            </w:pPr>
            <w:r>
              <w:rPr>
                <w:b/>
                <w:bCs/>
                <w:spacing w:val="-4"/>
              </w:rPr>
              <w:t>职权类型</w:t>
            </w:r>
          </w:p>
        </w:tc>
        <w:tc>
          <w:tcPr>
            <w:tcW w:w="8549" w:type="dxa"/>
            <w:vMerge w:val="restart"/>
            <w:tcBorders>
              <w:bottom w:val="nil"/>
            </w:tcBorders>
            <w:vAlign w:val="top"/>
          </w:tcPr>
          <w:p w14:paraId="20240E7D">
            <w:pPr>
              <w:pStyle w:val="8"/>
              <w:spacing w:before="259" w:line="219" w:lineRule="auto"/>
              <w:ind w:left="3921"/>
            </w:pPr>
            <w:r>
              <w:rPr>
                <w:b/>
                <w:bCs/>
                <w:spacing w:val="-5"/>
              </w:rPr>
              <w:t>实施依据</w:t>
            </w:r>
          </w:p>
        </w:tc>
        <w:tc>
          <w:tcPr>
            <w:tcW w:w="3439" w:type="dxa"/>
            <w:gridSpan w:val="3"/>
            <w:vAlign w:val="top"/>
          </w:tcPr>
          <w:p w14:paraId="67D3ED4A">
            <w:pPr>
              <w:pStyle w:val="8"/>
              <w:spacing w:before="85" w:line="220" w:lineRule="auto"/>
              <w:ind w:left="1365"/>
            </w:pPr>
            <w:r>
              <w:rPr>
                <w:b/>
                <w:bCs/>
                <w:spacing w:val="-5"/>
              </w:rPr>
              <w:t>实施主体</w:t>
            </w:r>
          </w:p>
        </w:tc>
      </w:tr>
      <w:tr w14:paraId="360E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5C1E14E">
            <w:pPr>
              <w:rPr>
                <w:rFonts w:ascii="Arial"/>
                <w:sz w:val="21"/>
              </w:rPr>
            </w:pPr>
          </w:p>
        </w:tc>
        <w:tc>
          <w:tcPr>
            <w:tcW w:w="1104" w:type="dxa"/>
            <w:vMerge w:val="continue"/>
            <w:tcBorders>
              <w:top w:val="nil"/>
            </w:tcBorders>
            <w:vAlign w:val="top"/>
          </w:tcPr>
          <w:p w14:paraId="69CF6F01">
            <w:pPr>
              <w:rPr>
                <w:rFonts w:ascii="Arial"/>
                <w:sz w:val="21"/>
              </w:rPr>
            </w:pPr>
          </w:p>
        </w:tc>
        <w:tc>
          <w:tcPr>
            <w:tcW w:w="1104" w:type="dxa"/>
            <w:vMerge w:val="continue"/>
            <w:tcBorders>
              <w:top w:val="nil"/>
            </w:tcBorders>
            <w:vAlign w:val="top"/>
          </w:tcPr>
          <w:p w14:paraId="50D1A56D">
            <w:pPr>
              <w:rPr>
                <w:rFonts w:ascii="Arial"/>
                <w:sz w:val="21"/>
              </w:rPr>
            </w:pPr>
          </w:p>
        </w:tc>
        <w:tc>
          <w:tcPr>
            <w:tcW w:w="8549" w:type="dxa"/>
            <w:vMerge w:val="continue"/>
            <w:tcBorders>
              <w:top w:val="nil"/>
            </w:tcBorders>
            <w:vAlign w:val="top"/>
          </w:tcPr>
          <w:p w14:paraId="3198DFD4">
            <w:pPr>
              <w:rPr>
                <w:rFonts w:ascii="Arial"/>
                <w:sz w:val="21"/>
              </w:rPr>
            </w:pPr>
          </w:p>
        </w:tc>
        <w:tc>
          <w:tcPr>
            <w:tcW w:w="1014" w:type="dxa"/>
            <w:vAlign w:val="top"/>
          </w:tcPr>
          <w:p w14:paraId="528020AE">
            <w:pPr>
              <w:pStyle w:val="8"/>
              <w:spacing w:before="81" w:line="219" w:lineRule="auto"/>
              <w:ind w:left="158"/>
            </w:pPr>
            <w:r>
              <w:rPr>
                <w:b/>
                <w:bCs/>
                <w:spacing w:val="-5"/>
              </w:rPr>
              <w:t>责任部门</w:t>
            </w:r>
          </w:p>
        </w:tc>
        <w:tc>
          <w:tcPr>
            <w:tcW w:w="1407" w:type="dxa"/>
            <w:vAlign w:val="top"/>
          </w:tcPr>
          <w:p w14:paraId="43EC0AE8">
            <w:pPr>
              <w:pStyle w:val="8"/>
              <w:spacing w:before="81" w:line="219" w:lineRule="auto"/>
              <w:ind w:left="167"/>
            </w:pPr>
            <w:r>
              <w:rPr>
                <w:b/>
                <w:bCs/>
                <w:spacing w:val="-3"/>
              </w:rPr>
              <w:t>第一责任层级</w:t>
            </w:r>
          </w:p>
        </w:tc>
        <w:tc>
          <w:tcPr>
            <w:tcW w:w="1018" w:type="dxa"/>
            <w:vAlign w:val="top"/>
          </w:tcPr>
          <w:p w14:paraId="0A4EF85B">
            <w:pPr>
              <w:pStyle w:val="8"/>
              <w:spacing w:before="81" w:line="219" w:lineRule="auto"/>
              <w:ind w:left="152"/>
            </w:pPr>
            <w:r>
              <w:rPr>
                <w:b/>
                <w:bCs/>
                <w:spacing w:val="-4"/>
              </w:rPr>
              <w:t>承办机构</w:t>
            </w:r>
          </w:p>
        </w:tc>
      </w:tr>
      <w:tr w14:paraId="7ED1C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2" w:hRule="atLeast"/>
        </w:trPr>
        <w:tc>
          <w:tcPr>
            <w:tcW w:w="624" w:type="dxa"/>
            <w:vAlign w:val="top"/>
          </w:tcPr>
          <w:p w14:paraId="728FE167">
            <w:pPr>
              <w:spacing w:line="334" w:lineRule="auto"/>
              <w:rPr>
                <w:rFonts w:ascii="Arial"/>
                <w:sz w:val="21"/>
              </w:rPr>
            </w:pPr>
          </w:p>
          <w:p w14:paraId="046EFD4B">
            <w:pPr>
              <w:spacing w:line="335" w:lineRule="auto"/>
              <w:rPr>
                <w:rFonts w:ascii="Arial"/>
                <w:sz w:val="21"/>
              </w:rPr>
            </w:pPr>
          </w:p>
          <w:p w14:paraId="736B1B50">
            <w:pPr>
              <w:pStyle w:val="8"/>
              <w:spacing w:before="58" w:line="183" w:lineRule="auto"/>
              <w:ind w:left="230"/>
            </w:pPr>
            <w:r>
              <w:rPr>
                <w:spacing w:val="-4"/>
              </w:rPr>
              <w:t>47</w:t>
            </w:r>
          </w:p>
        </w:tc>
        <w:tc>
          <w:tcPr>
            <w:tcW w:w="1104" w:type="dxa"/>
            <w:vAlign w:val="top"/>
          </w:tcPr>
          <w:p w14:paraId="749E85B1">
            <w:pPr>
              <w:pStyle w:val="8"/>
              <w:spacing w:before="102" w:line="242"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域工程监理</w:t>
            </w:r>
            <w:r>
              <w:rPr>
                <w:spacing w:val="1"/>
              </w:rPr>
              <w:t xml:space="preserve"> </w:t>
            </w:r>
            <w:r>
              <w:rPr>
                <w:spacing w:val="16"/>
              </w:rPr>
              <w:t>单位转让工</w:t>
            </w:r>
            <w:r>
              <w:rPr>
                <w:spacing w:val="1"/>
              </w:rPr>
              <w:t xml:space="preserve"> </w:t>
            </w:r>
            <w:r>
              <w:rPr>
                <w:spacing w:val="16"/>
              </w:rPr>
              <w:t>程监理业务</w:t>
            </w:r>
            <w:r>
              <w:rPr>
                <w:spacing w:val="1"/>
              </w:rPr>
              <w:t xml:space="preserve"> </w:t>
            </w:r>
            <w:r>
              <w:rPr>
                <w:spacing w:val="-2"/>
              </w:rPr>
              <w:t>行为的处罚</w:t>
            </w:r>
          </w:p>
        </w:tc>
        <w:tc>
          <w:tcPr>
            <w:tcW w:w="1104" w:type="dxa"/>
            <w:vAlign w:val="top"/>
          </w:tcPr>
          <w:p w14:paraId="1F2EC589">
            <w:pPr>
              <w:spacing w:line="320" w:lineRule="auto"/>
              <w:rPr>
                <w:rFonts w:ascii="Arial"/>
                <w:sz w:val="21"/>
              </w:rPr>
            </w:pPr>
          </w:p>
          <w:p w14:paraId="1E475066">
            <w:pPr>
              <w:spacing w:line="320" w:lineRule="auto"/>
              <w:rPr>
                <w:rFonts w:ascii="Arial"/>
                <w:sz w:val="21"/>
              </w:rPr>
            </w:pPr>
          </w:p>
          <w:p w14:paraId="55E38F3B">
            <w:pPr>
              <w:pStyle w:val="8"/>
              <w:spacing w:before="59" w:line="220" w:lineRule="auto"/>
              <w:ind w:left="10"/>
            </w:pPr>
            <w:r>
              <w:rPr>
                <w:spacing w:val="-2"/>
              </w:rPr>
              <w:t>行政处罚</w:t>
            </w:r>
          </w:p>
        </w:tc>
        <w:tc>
          <w:tcPr>
            <w:tcW w:w="8549" w:type="dxa"/>
            <w:vAlign w:val="top"/>
          </w:tcPr>
          <w:p w14:paraId="24B36EAA">
            <w:pPr>
              <w:spacing w:line="283" w:lineRule="auto"/>
              <w:rPr>
                <w:rFonts w:ascii="Arial"/>
                <w:sz w:val="21"/>
              </w:rPr>
            </w:pPr>
          </w:p>
          <w:p w14:paraId="4D6786B8">
            <w:pPr>
              <w:pStyle w:val="8"/>
              <w:spacing w:before="58" w:line="219" w:lineRule="auto"/>
              <w:ind w:left="385"/>
            </w:pPr>
            <w:r>
              <w:rPr>
                <w:b/>
                <w:bCs/>
                <w:spacing w:val="-4"/>
              </w:rPr>
              <w:t>《建设工程质量管理条例》</w:t>
            </w:r>
          </w:p>
          <w:p w14:paraId="2E0044C0">
            <w:pPr>
              <w:pStyle w:val="8"/>
              <w:spacing w:before="26" w:line="219" w:lineRule="auto"/>
              <w:ind w:left="471"/>
            </w:pPr>
            <w:r>
              <w:rPr>
                <w:spacing w:val="-2"/>
              </w:rPr>
              <w:t>第三十四条第三款  工程监理单位不得转让工程监理业务。</w:t>
            </w:r>
          </w:p>
          <w:p w14:paraId="291A6BF9">
            <w:pPr>
              <w:pStyle w:val="8"/>
              <w:spacing w:before="25" w:line="233" w:lineRule="auto"/>
              <w:ind w:left="113" w:right="159" w:firstLine="357"/>
            </w:pPr>
            <w:r>
              <w:t>第六十二条第二款  工程监理单位转让工程监理业务的，责令改正，没收违法所</w:t>
            </w:r>
            <w:r>
              <w:rPr>
                <w:spacing w:val="-1"/>
              </w:rPr>
              <w:t>得，处合同约定的监</w:t>
            </w:r>
            <w:r>
              <w:t xml:space="preserve"> </w:t>
            </w:r>
            <w:r>
              <w:rPr>
                <w:spacing w:val="-1"/>
              </w:rPr>
              <w:t>理酬金</w:t>
            </w:r>
            <w:r>
              <w:rPr>
                <w:spacing w:val="-35"/>
              </w:rPr>
              <w:t xml:space="preserve"> </w:t>
            </w:r>
            <w:r>
              <w:rPr>
                <w:spacing w:val="-1"/>
              </w:rPr>
              <w:t>25%以上</w:t>
            </w:r>
            <w:r>
              <w:rPr>
                <w:spacing w:val="-34"/>
              </w:rPr>
              <w:t xml:space="preserve"> </w:t>
            </w:r>
            <w:r>
              <w:rPr>
                <w:spacing w:val="-1"/>
              </w:rPr>
              <w:t>50%以下的罚款；可以责令停业整顿，降低资质等级；情</w:t>
            </w:r>
            <w:r>
              <w:rPr>
                <w:spacing w:val="-2"/>
              </w:rPr>
              <w:t>节严重的，吊销资质证书。</w:t>
            </w:r>
          </w:p>
        </w:tc>
        <w:tc>
          <w:tcPr>
            <w:tcW w:w="1014" w:type="dxa"/>
            <w:vAlign w:val="top"/>
          </w:tcPr>
          <w:p w14:paraId="05C57CB8">
            <w:pPr>
              <w:spacing w:line="260" w:lineRule="auto"/>
              <w:rPr>
                <w:rFonts w:ascii="Arial"/>
                <w:sz w:val="21"/>
              </w:rPr>
            </w:pPr>
          </w:p>
          <w:p w14:paraId="46FEFCE1">
            <w:pPr>
              <w:spacing w:line="261" w:lineRule="auto"/>
              <w:rPr>
                <w:rFonts w:ascii="Arial"/>
                <w:sz w:val="21"/>
              </w:rPr>
            </w:pPr>
          </w:p>
          <w:p w14:paraId="4B333CCA">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9F085B1">
            <w:pPr>
              <w:spacing w:line="260" w:lineRule="auto"/>
              <w:rPr>
                <w:rFonts w:ascii="Arial"/>
                <w:sz w:val="21"/>
              </w:rPr>
            </w:pPr>
          </w:p>
          <w:p w14:paraId="2C7C15EA">
            <w:pPr>
              <w:spacing w:line="261" w:lineRule="auto"/>
              <w:rPr>
                <w:rFonts w:ascii="Arial"/>
                <w:sz w:val="21"/>
              </w:rPr>
            </w:pPr>
          </w:p>
          <w:p w14:paraId="6027D7F2">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DB39DEC">
            <w:pPr>
              <w:spacing w:line="284" w:lineRule="auto"/>
              <w:rPr>
                <w:rFonts w:ascii="Arial"/>
                <w:sz w:val="21"/>
              </w:rPr>
            </w:pPr>
          </w:p>
          <w:p w14:paraId="5EBCCF77">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028F9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4" w:hRule="atLeast"/>
        </w:trPr>
        <w:tc>
          <w:tcPr>
            <w:tcW w:w="624" w:type="dxa"/>
            <w:vAlign w:val="top"/>
          </w:tcPr>
          <w:p w14:paraId="1753B9EA">
            <w:pPr>
              <w:spacing w:line="247" w:lineRule="auto"/>
              <w:rPr>
                <w:rFonts w:ascii="Arial"/>
                <w:sz w:val="21"/>
              </w:rPr>
            </w:pPr>
          </w:p>
          <w:p w14:paraId="71C8AE5F">
            <w:pPr>
              <w:spacing w:line="247" w:lineRule="auto"/>
              <w:rPr>
                <w:rFonts w:ascii="Arial"/>
                <w:sz w:val="21"/>
              </w:rPr>
            </w:pPr>
          </w:p>
          <w:p w14:paraId="2AA965F1">
            <w:pPr>
              <w:spacing w:line="247" w:lineRule="auto"/>
              <w:rPr>
                <w:rFonts w:ascii="Arial"/>
                <w:sz w:val="21"/>
              </w:rPr>
            </w:pPr>
          </w:p>
          <w:p w14:paraId="48EC9CCD">
            <w:pPr>
              <w:spacing w:line="248" w:lineRule="auto"/>
              <w:rPr>
                <w:rFonts w:ascii="Arial"/>
                <w:sz w:val="21"/>
              </w:rPr>
            </w:pPr>
          </w:p>
          <w:p w14:paraId="21C51409">
            <w:pPr>
              <w:spacing w:line="248" w:lineRule="auto"/>
              <w:rPr>
                <w:rFonts w:ascii="Arial"/>
                <w:sz w:val="21"/>
              </w:rPr>
            </w:pPr>
          </w:p>
          <w:p w14:paraId="4A87E276">
            <w:pPr>
              <w:spacing w:line="248" w:lineRule="auto"/>
              <w:rPr>
                <w:rFonts w:ascii="Arial"/>
                <w:sz w:val="21"/>
              </w:rPr>
            </w:pPr>
          </w:p>
          <w:p w14:paraId="072497FD">
            <w:pPr>
              <w:spacing w:line="248" w:lineRule="auto"/>
              <w:rPr>
                <w:rFonts w:ascii="Arial"/>
                <w:sz w:val="21"/>
              </w:rPr>
            </w:pPr>
          </w:p>
          <w:p w14:paraId="65E4E495">
            <w:pPr>
              <w:spacing w:line="248" w:lineRule="auto"/>
              <w:rPr>
                <w:rFonts w:ascii="Arial"/>
                <w:sz w:val="21"/>
              </w:rPr>
            </w:pPr>
          </w:p>
          <w:p w14:paraId="24364ED4">
            <w:pPr>
              <w:spacing w:line="248" w:lineRule="auto"/>
              <w:rPr>
                <w:rFonts w:ascii="Arial"/>
                <w:sz w:val="21"/>
              </w:rPr>
            </w:pPr>
          </w:p>
          <w:p w14:paraId="5CF83AC9">
            <w:pPr>
              <w:spacing w:line="248" w:lineRule="auto"/>
              <w:rPr>
                <w:rFonts w:ascii="Arial"/>
                <w:sz w:val="21"/>
              </w:rPr>
            </w:pPr>
          </w:p>
          <w:p w14:paraId="4793AB35">
            <w:pPr>
              <w:spacing w:line="248" w:lineRule="auto"/>
              <w:rPr>
                <w:rFonts w:ascii="Arial"/>
                <w:sz w:val="21"/>
              </w:rPr>
            </w:pPr>
          </w:p>
          <w:p w14:paraId="67768FB2">
            <w:pPr>
              <w:spacing w:line="248" w:lineRule="auto"/>
              <w:rPr>
                <w:rFonts w:ascii="Arial"/>
                <w:sz w:val="21"/>
              </w:rPr>
            </w:pPr>
          </w:p>
          <w:p w14:paraId="7FF15E7B">
            <w:pPr>
              <w:spacing w:line="248" w:lineRule="auto"/>
              <w:rPr>
                <w:rFonts w:ascii="Arial"/>
                <w:sz w:val="21"/>
              </w:rPr>
            </w:pPr>
          </w:p>
          <w:p w14:paraId="276073D9">
            <w:pPr>
              <w:spacing w:line="248" w:lineRule="auto"/>
              <w:rPr>
                <w:rFonts w:ascii="Arial"/>
                <w:sz w:val="21"/>
              </w:rPr>
            </w:pPr>
          </w:p>
          <w:p w14:paraId="335FD94D">
            <w:pPr>
              <w:pStyle w:val="8"/>
              <w:spacing w:before="58" w:line="183" w:lineRule="auto"/>
              <w:ind w:left="230"/>
            </w:pPr>
            <w:r>
              <w:rPr>
                <w:spacing w:val="-4"/>
              </w:rPr>
              <w:t>48</w:t>
            </w:r>
          </w:p>
        </w:tc>
        <w:tc>
          <w:tcPr>
            <w:tcW w:w="1104" w:type="dxa"/>
            <w:vAlign w:val="top"/>
          </w:tcPr>
          <w:p w14:paraId="18DC7C50">
            <w:pPr>
              <w:spacing w:line="248" w:lineRule="auto"/>
              <w:rPr>
                <w:rFonts w:ascii="Arial"/>
                <w:sz w:val="21"/>
              </w:rPr>
            </w:pPr>
          </w:p>
          <w:p w14:paraId="067CD4ED">
            <w:pPr>
              <w:spacing w:line="248" w:lineRule="auto"/>
              <w:rPr>
                <w:rFonts w:ascii="Arial"/>
                <w:sz w:val="21"/>
              </w:rPr>
            </w:pPr>
          </w:p>
          <w:p w14:paraId="3878D18D">
            <w:pPr>
              <w:spacing w:line="248" w:lineRule="auto"/>
              <w:rPr>
                <w:rFonts w:ascii="Arial"/>
                <w:sz w:val="21"/>
              </w:rPr>
            </w:pPr>
          </w:p>
          <w:p w14:paraId="1F362FCE">
            <w:pPr>
              <w:spacing w:line="248" w:lineRule="auto"/>
              <w:rPr>
                <w:rFonts w:ascii="Arial"/>
                <w:sz w:val="21"/>
              </w:rPr>
            </w:pPr>
          </w:p>
          <w:p w14:paraId="7BCEB684">
            <w:pPr>
              <w:spacing w:line="249" w:lineRule="auto"/>
              <w:rPr>
                <w:rFonts w:ascii="Arial"/>
                <w:sz w:val="21"/>
              </w:rPr>
            </w:pPr>
          </w:p>
          <w:p w14:paraId="34977DA6">
            <w:pPr>
              <w:spacing w:line="249" w:lineRule="auto"/>
              <w:rPr>
                <w:rFonts w:ascii="Arial"/>
                <w:sz w:val="21"/>
              </w:rPr>
            </w:pPr>
          </w:p>
          <w:p w14:paraId="6D2A5741">
            <w:pPr>
              <w:spacing w:line="249" w:lineRule="auto"/>
              <w:rPr>
                <w:rFonts w:ascii="Arial"/>
                <w:sz w:val="21"/>
              </w:rPr>
            </w:pPr>
          </w:p>
          <w:p w14:paraId="6532FA69">
            <w:pPr>
              <w:spacing w:line="249" w:lineRule="auto"/>
              <w:rPr>
                <w:rFonts w:ascii="Arial"/>
                <w:sz w:val="21"/>
              </w:rPr>
            </w:pPr>
          </w:p>
          <w:p w14:paraId="32452805">
            <w:pPr>
              <w:spacing w:line="249" w:lineRule="auto"/>
              <w:rPr>
                <w:rFonts w:ascii="Arial"/>
                <w:sz w:val="21"/>
              </w:rPr>
            </w:pPr>
          </w:p>
          <w:p w14:paraId="1228E176">
            <w:pPr>
              <w:spacing w:line="249" w:lineRule="auto"/>
              <w:rPr>
                <w:rFonts w:ascii="Arial"/>
                <w:sz w:val="21"/>
              </w:rPr>
            </w:pPr>
          </w:p>
          <w:p w14:paraId="29228040">
            <w:pPr>
              <w:pStyle w:val="8"/>
              <w:spacing w:before="58" w:line="243" w:lineRule="auto"/>
              <w:ind w:left="60"/>
              <w:jc w:val="both"/>
            </w:pPr>
            <w:r>
              <w:rPr>
                <w:spacing w:val="15"/>
              </w:rPr>
              <w:t>对交通运输</w:t>
            </w:r>
            <w:r>
              <w:rPr>
                <w:spacing w:val="2"/>
              </w:rPr>
              <w:t xml:space="preserve"> </w:t>
            </w:r>
            <w:r>
              <w:rPr>
                <w:spacing w:val="15"/>
              </w:rPr>
              <w:t>建设工程领</w:t>
            </w:r>
            <w:r>
              <w:rPr>
                <w:spacing w:val="2"/>
              </w:rPr>
              <w:t xml:space="preserve"> </w:t>
            </w:r>
            <w:r>
              <w:rPr>
                <w:spacing w:val="-7"/>
              </w:rPr>
              <w:t>域从业单位、</w:t>
            </w:r>
            <w:r>
              <w:t xml:space="preserve"> </w:t>
            </w:r>
            <w:r>
              <w:rPr>
                <w:spacing w:val="15"/>
              </w:rPr>
              <w:t>人员违反工</w:t>
            </w:r>
            <w:r>
              <w:rPr>
                <w:spacing w:val="2"/>
              </w:rPr>
              <w:t xml:space="preserve"> </w:t>
            </w:r>
            <w:r>
              <w:rPr>
                <w:spacing w:val="15"/>
              </w:rPr>
              <w:t>程质量和安</w:t>
            </w:r>
            <w:r>
              <w:rPr>
                <w:spacing w:val="2"/>
              </w:rPr>
              <w:t xml:space="preserve"> </w:t>
            </w:r>
            <w:r>
              <w:rPr>
                <w:spacing w:val="15"/>
              </w:rPr>
              <w:t>全生产管理</w:t>
            </w:r>
            <w:r>
              <w:rPr>
                <w:spacing w:val="2"/>
              </w:rPr>
              <w:t xml:space="preserve"> </w:t>
            </w:r>
            <w:r>
              <w:rPr>
                <w:spacing w:val="15"/>
              </w:rPr>
              <w:t>规定行为的</w:t>
            </w:r>
            <w:r>
              <w:rPr>
                <w:spacing w:val="2"/>
              </w:rPr>
              <w:t xml:space="preserve"> </w:t>
            </w:r>
            <w:r>
              <w:rPr>
                <w:spacing w:val="-2"/>
              </w:rPr>
              <w:t>行政处罚</w:t>
            </w:r>
          </w:p>
        </w:tc>
        <w:tc>
          <w:tcPr>
            <w:tcW w:w="1104" w:type="dxa"/>
            <w:vAlign w:val="top"/>
          </w:tcPr>
          <w:p w14:paraId="0DD2395D">
            <w:pPr>
              <w:spacing w:line="245" w:lineRule="auto"/>
              <w:rPr>
                <w:rFonts w:ascii="Arial"/>
                <w:sz w:val="21"/>
              </w:rPr>
            </w:pPr>
          </w:p>
          <w:p w14:paraId="77C54355">
            <w:pPr>
              <w:spacing w:line="245" w:lineRule="auto"/>
              <w:rPr>
                <w:rFonts w:ascii="Arial"/>
                <w:sz w:val="21"/>
              </w:rPr>
            </w:pPr>
          </w:p>
          <w:p w14:paraId="06E289D2">
            <w:pPr>
              <w:spacing w:line="245" w:lineRule="auto"/>
              <w:rPr>
                <w:rFonts w:ascii="Arial"/>
                <w:sz w:val="21"/>
              </w:rPr>
            </w:pPr>
          </w:p>
          <w:p w14:paraId="56608968">
            <w:pPr>
              <w:spacing w:line="246" w:lineRule="auto"/>
              <w:rPr>
                <w:rFonts w:ascii="Arial"/>
                <w:sz w:val="21"/>
              </w:rPr>
            </w:pPr>
          </w:p>
          <w:p w14:paraId="0F60FB89">
            <w:pPr>
              <w:spacing w:line="246" w:lineRule="auto"/>
              <w:rPr>
                <w:rFonts w:ascii="Arial"/>
                <w:sz w:val="21"/>
              </w:rPr>
            </w:pPr>
          </w:p>
          <w:p w14:paraId="0C8A4A88">
            <w:pPr>
              <w:spacing w:line="246" w:lineRule="auto"/>
              <w:rPr>
                <w:rFonts w:ascii="Arial"/>
                <w:sz w:val="21"/>
              </w:rPr>
            </w:pPr>
          </w:p>
          <w:p w14:paraId="5EB71E33">
            <w:pPr>
              <w:spacing w:line="246" w:lineRule="auto"/>
              <w:rPr>
                <w:rFonts w:ascii="Arial"/>
                <w:sz w:val="21"/>
              </w:rPr>
            </w:pPr>
          </w:p>
          <w:p w14:paraId="5743F5A2">
            <w:pPr>
              <w:spacing w:line="246" w:lineRule="auto"/>
              <w:rPr>
                <w:rFonts w:ascii="Arial"/>
                <w:sz w:val="21"/>
              </w:rPr>
            </w:pPr>
          </w:p>
          <w:p w14:paraId="6F074F15">
            <w:pPr>
              <w:spacing w:line="246" w:lineRule="auto"/>
              <w:rPr>
                <w:rFonts w:ascii="Arial"/>
                <w:sz w:val="21"/>
              </w:rPr>
            </w:pPr>
          </w:p>
          <w:p w14:paraId="3B0552F6">
            <w:pPr>
              <w:spacing w:line="246" w:lineRule="auto"/>
              <w:rPr>
                <w:rFonts w:ascii="Arial"/>
                <w:sz w:val="21"/>
              </w:rPr>
            </w:pPr>
          </w:p>
          <w:p w14:paraId="7FB41AC7">
            <w:pPr>
              <w:spacing w:line="246" w:lineRule="auto"/>
              <w:rPr>
                <w:rFonts w:ascii="Arial"/>
                <w:sz w:val="21"/>
              </w:rPr>
            </w:pPr>
          </w:p>
          <w:p w14:paraId="2B69A25E">
            <w:pPr>
              <w:spacing w:line="246" w:lineRule="auto"/>
              <w:rPr>
                <w:rFonts w:ascii="Arial"/>
                <w:sz w:val="21"/>
              </w:rPr>
            </w:pPr>
          </w:p>
          <w:p w14:paraId="1D52CCA3">
            <w:pPr>
              <w:spacing w:line="246" w:lineRule="auto"/>
              <w:rPr>
                <w:rFonts w:ascii="Arial"/>
                <w:sz w:val="21"/>
              </w:rPr>
            </w:pPr>
          </w:p>
          <w:p w14:paraId="1BED2DA0">
            <w:pPr>
              <w:spacing w:line="246" w:lineRule="auto"/>
              <w:rPr>
                <w:rFonts w:ascii="Arial"/>
                <w:sz w:val="21"/>
              </w:rPr>
            </w:pPr>
          </w:p>
          <w:p w14:paraId="25B96FF4">
            <w:pPr>
              <w:pStyle w:val="8"/>
              <w:spacing w:before="58" w:line="220" w:lineRule="auto"/>
              <w:ind w:left="10"/>
            </w:pPr>
            <w:r>
              <w:rPr>
                <w:spacing w:val="-2"/>
              </w:rPr>
              <w:t>行政处罚</w:t>
            </w:r>
          </w:p>
        </w:tc>
        <w:tc>
          <w:tcPr>
            <w:tcW w:w="8549" w:type="dxa"/>
            <w:vAlign w:val="top"/>
          </w:tcPr>
          <w:p w14:paraId="56369453">
            <w:pPr>
              <w:pStyle w:val="8"/>
              <w:spacing w:before="41" w:line="219" w:lineRule="auto"/>
              <w:ind w:left="573"/>
            </w:pPr>
            <w:r>
              <w:rPr>
                <w:b/>
                <w:bCs/>
                <w:spacing w:val="-4"/>
              </w:rPr>
              <w:t>1.《建设工程质量管理条例》</w:t>
            </w:r>
          </w:p>
          <w:p w14:paraId="520FBEEC">
            <w:pPr>
              <w:pStyle w:val="8"/>
              <w:spacing w:before="24"/>
              <w:ind w:left="111" w:right="159" w:firstLine="360"/>
            </w:pPr>
            <w:r>
              <w:rPr>
                <w:spacing w:val="-1"/>
              </w:rPr>
              <w:t>第六十三条  违反本条例规定，有下列行为之一的，责令改正，处</w:t>
            </w:r>
            <w:r>
              <w:rPr>
                <w:spacing w:val="-24"/>
              </w:rPr>
              <w:t xml:space="preserve"> </w:t>
            </w:r>
            <w:r>
              <w:rPr>
                <w:spacing w:val="-1"/>
              </w:rPr>
              <w:t>10</w:t>
            </w:r>
            <w:r>
              <w:rPr>
                <w:spacing w:val="-37"/>
              </w:rPr>
              <w:t xml:space="preserve"> </w:t>
            </w:r>
            <w:r>
              <w:rPr>
                <w:spacing w:val="-2"/>
              </w:rPr>
              <w:t>万元以上</w:t>
            </w:r>
            <w:r>
              <w:rPr>
                <w:spacing w:val="-33"/>
              </w:rPr>
              <w:t xml:space="preserve"> </w:t>
            </w:r>
            <w:r>
              <w:rPr>
                <w:spacing w:val="-2"/>
              </w:rPr>
              <w:t>30</w:t>
            </w:r>
            <w:r>
              <w:rPr>
                <w:spacing w:val="-35"/>
              </w:rPr>
              <w:t xml:space="preserve"> </w:t>
            </w:r>
            <w:r>
              <w:rPr>
                <w:spacing w:val="-2"/>
              </w:rPr>
              <w:t>万元以下的罚款：</w:t>
            </w:r>
            <w:r>
              <w:t xml:space="preserve"> （一）勘察单位未按照工程建设强制性标准进行勘察的；（二）设</w:t>
            </w:r>
            <w:r>
              <w:rPr>
                <w:spacing w:val="-1"/>
              </w:rPr>
              <w:t>计单位未根据勘察成果文件进行工程设</w:t>
            </w:r>
            <w:r>
              <w:t xml:space="preserve"> 计的</w:t>
            </w:r>
            <w:r>
              <w:rPr>
                <w:spacing w:val="-1"/>
              </w:rPr>
              <w:t>；（</w:t>
            </w:r>
            <w:r>
              <w:t>三）设计单位指定建筑材料、建筑构配件的生产厂、供应商的</w:t>
            </w:r>
            <w:r>
              <w:rPr>
                <w:spacing w:val="-1"/>
              </w:rPr>
              <w:t>；（</w:t>
            </w:r>
            <w:r>
              <w:t>四）设计单</w:t>
            </w:r>
            <w:r>
              <w:rPr>
                <w:spacing w:val="-1"/>
              </w:rPr>
              <w:t>位未按照工程建设</w:t>
            </w:r>
            <w:r>
              <w:rPr>
                <w:spacing w:val="3"/>
              </w:rPr>
              <w:t xml:space="preserve"> </w:t>
            </w:r>
            <w:r>
              <w:rPr>
                <w:spacing w:val="-3"/>
              </w:rPr>
              <w:t>强制性标准进行设计的。</w:t>
            </w:r>
          </w:p>
          <w:p w14:paraId="32E0F9D6">
            <w:pPr>
              <w:pStyle w:val="8"/>
              <w:spacing w:before="24" w:line="233" w:lineRule="auto"/>
              <w:ind w:left="110" w:right="60" w:firstLine="361"/>
            </w:pPr>
            <w:r>
              <w:rPr>
                <w:spacing w:val="-2"/>
              </w:rPr>
              <w:t>有前款所列行为，造成工程质量事故的，责令停业整顿，降低资质等级；情节严重的，吊销资质证书；</w:t>
            </w:r>
            <w:r>
              <w:t xml:space="preserve"> </w:t>
            </w:r>
            <w:r>
              <w:rPr>
                <w:spacing w:val="-3"/>
              </w:rPr>
              <w:t>造成损失的，依法承担赔偿责任。</w:t>
            </w:r>
          </w:p>
          <w:p w14:paraId="01457683">
            <w:pPr>
              <w:pStyle w:val="8"/>
              <w:spacing w:before="27" w:line="239" w:lineRule="auto"/>
              <w:ind w:left="110" w:right="159" w:firstLine="360"/>
            </w:pPr>
            <w:r>
              <w:t>第六十四条  违反本条例规定，施工单位在施工中偷工减料的，使用不合格的建</w:t>
            </w:r>
            <w:r>
              <w:rPr>
                <w:spacing w:val="-1"/>
              </w:rPr>
              <w:t>筑材料、建筑构配件</w:t>
            </w:r>
            <w:r>
              <w:t xml:space="preserve"> 和设备的，或者有不按照工程设计图纸或者施工技术标准施工的其他行为的，责令改正</w:t>
            </w:r>
            <w:r>
              <w:rPr>
                <w:spacing w:val="-1"/>
              </w:rPr>
              <w:t>，处工程合同价款</w:t>
            </w:r>
            <w:r>
              <w:t xml:space="preserve"> 百分之二以上百分之四以下的罚款；造成建设工程质量不符合规定的质量标准的，负责</w:t>
            </w:r>
            <w:r>
              <w:rPr>
                <w:spacing w:val="-1"/>
              </w:rPr>
              <w:t>返工、修理，并赔</w:t>
            </w:r>
            <w:r>
              <w:t xml:space="preserve"> </w:t>
            </w:r>
            <w:r>
              <w:rPr>
                <w:spacing w:val="-1"/>
              </w:rPr>
              <w:t>偿因此造成的损失；情节严重的，责令停业整顿，降低资质等级或者吊销资质证书。</w:t>
            </w:r>
          </w:p>
          <w:p w14:paraId="67978EBC">
            <w:pPr>
              <w:pStyle w:val="8"/>
              <w:spacing w:before="26" w:line="237" w:lineRule="auto"/>
              <w:ind w:left="113" w:right="159" w:firstLine="357"/>
            </w:pPr>
            <w:r>
              <w:t>第六十五条  违反本条例规定，施工单位未对建筑材料、建筑构配件、设备和商</w:t>
            </w:r>
            <w:r>
              <w:rPr>
                <w:spacing w:val="-1"/>
              </w:rPr>
              <w:t>品混凝土进行检验，</w:t>
            </w:r>
            <w:r>
              <w:t xml:space="preserve"> </w:t>
            </w:r>
            <w:r>
              <w:rPr>
                <w:spacing w:val="-1"/>
              </w:rPr>
              <w:t>或者未对涉及结构安全的试块、试件以及有关材料取样检测的，责令改正，</w:t>
            </w:r>
            <w:r>
              <w:rPr>
                <w:spacing w:val="-2"/>
              </w:rPr>
              <w:t>处</w:t>
            </w:r>
            <w:r>
              <w:rPr>
                <w:spacing w:val="-24"/>
              </w:rPr>
              <w:t xml:space="preserve"> </w:t>
            </w:r>
            <w:r>
              <w:rPr>
                <w:spacing w:val="-2"/>
              </w:rPr>
              <w:t>10</w:t>
            </w:r>
            <w:r>
              <w:rPr>
                <w:spacing w:val="-36"/>
              </w:rPr>
              <w:t xml:space="preserve"> </w:t>
            </w:r>
            <w:r>
              <w:rPr>
                <w:spacing w:val="-2"/>
              </w:rPr>
              <w:t>万元以上</w:t>
            </w:r>
            <w:r>
              <w:rPr>
                <w:spacing w:val="-35"/>
              </w:rPr>
              <w:t xml:space="preserve"> </w:t>
            </w:r>
            <w:r>
              <w:rPr>
                <w:spacing w:val="-2"/>
              </w:rPr>
              <w:t>20</w:t>
            </w:r>
            <w:r>
              <w:rPr>
                <w:spacing w:val="-35"/>
              </w:rPr>
              <w:t xml:space="preserve"> </w:t>
            </w:r>
            <w:r>
              <w:rPr>
                <w:spacing w:val="-2"/>
              </w:rPr>
              <w:t>万元以下的</w:t>
            </w:r>
            <w:r>
              <w:t xml:space="preserve"> </w:t>
            </w:r>
            <w:r>
              <w:rPr>
                <w:spacing w:val="-1"/>
              </w:rPr>
              <w:t>罚款；情节严重的，责令停业整顿，降低资质等级或者吊销资质证书；造成损失的，依法承担赔偿责任。</w:t>
            </w:r>
          </w:p>
          <w:p w14:paraId="5B7223A3">
            <w:pPr>
              <w:pStyle w:val="8"/>
              <w:spacing w:before="25"/>
              <w:ind w:left="110" w:right="104" w:firstLine="360"/>
            </w:pPr>
            <w:r>
              <w:rPr>
                <w:spacing w:val="-2"/>
              </w:rPr>
              <w:t>第六十七条  工程监理单位有下列行为之一的，责令改正，处</w:t>
            </w:r>
            <w:r>
              <w:rPr>
                <w:spacing w:val="-34"/>
              </w:rPr>
              <w:t xml:space="preserve"> </w:t>
            </w:r>
            <w:r>
              <w:rPr>
                <w:spacing w:val="-2"/>
              </w:rPr>
              <w:t>50</w:t>
            </w:r>
            <w:r>
              <w:rPr>
                <w:spacing w:val="-34"/>
              </w:rPr>
              <w:t xml:space="preserve"> </w:t>
            </w:r>
            <w:r>
              <w:rPr>
                <w:spacing w:val="-2"/>
              </w:rPr>
              <w:t>万元以上</w:t>
            </w:r>
            <w:r>
              <w:rPr>
                <w:spacing w:val="-26"/>
              </w:rPr>
              <w:t xml:space="preserve"> </w:t>
            </w:r>
            <w:r>
              <w:rPr>
                <w:spacing w:val="-2"/>
              </w:rPr>
              <w:t>100</w:t>
            </w:r>
            <w:r>
              <w:rPr>
                <w:spacing w:val="-32"/>
              </w:rPr>
              <w:t xml:space="preserve"> </w:t>
            </w:r>
            <w:r>
              <w:rPr>
                <w:spacing w:val="-2"/>
              </w:rPr>
              <w:t>万元以下的罚款</w:t>
            </w:r>
            <w:r>
              <w:rPr>
                <w:spacing w:val="-3"/>
              </w:rPr>
              <w:t>，降低</w:t>
            </w:r>
            <w:r>
              <w:t xml:space="preserve"> 资质等级或者吊销资质证书；有违法所得的，予以没收；造成损失</w:t>
            </w:r>
            <w:r>
              <w:rPr>
                <w:spacing w:val="-1"/>
              </w:rPr>
              <w:t>的，承担连带赔偿责任：（一）与建设</w:t>
            </w:r>
            <w:r>
              <w:rPr>
                <w:spacing w:val="1"/>
              </w:rPr>
              <w:t xml:space="preserve"> </w:t>
            </w:r>
            <w:r>
              <w:t>单位或者施工单位串通，弄虚作假、降低工程质量的；（二）将不合格的建设工程、建</w:t>
            </w:r>
            <w:r>
              <w:rPr>
                <w:spacing w:val="-1"/>
              </w:rPr>
              <w:t>筑材料、建筑构配</w:t>
            </w:r>
            <w:r>
              <w:t xml:space="preserve"> </w:t>
            </w:r>
            <w:r>
              <w:rPr>
                <w:spacing w:val="-3"/>
              </w:rPr>
              <w:t>件和设备按照合格签字的。</w:t>
            </w:r>
          </w:p>
          <w:p w14:paraId="6121FF48">
            <w:pPr>
              <w:pStyle w:val="8"/>
              <w:spacing w:before="26" w:line="219" w:lineRule="auto"/>
              <w:ind w:left="473"/>
            </w:pPr>
            <w:r>
              <w:rPr>
                <w:b/>
                <w:bCs/>
                <w:spacing w:val="-3"/>
              </w:rPr>
              <w:t>2.《建设工程安全生产管理条例》</w:t>
            </w:r>
          </w:p>
          <w:p w14:paraId="354BED2D">
            <w:pPr>
              <w:pStyle w:val="8"/>
              <w:spacing w:before="26" w:line="241" w:lineRule="auto"/>
              <w:ind w:left="111" w:right="159" w:firstLine="360"/>
              <w:jc w:val="both"/>
            </w:pPr>
            <w:r>
              <w:rPr>
                <w:spacing w:val="-1"/>
              </w:rPr>
              <w:t>第五十五条  违反本条例的规定，建设单位有下列行为之一的，责令限期改正，处</w:t>
            </w:r>
            <w:r>
              <w:rPr>
                <w:spacing w:val="-35"/>
              </w:rPr>
              <w:t xml:space="preserve"> </w:t>
            </w:r>
            <w:r>
              <w:rPr>
                <w:spacing w:val="-1"/>
              </w:rPr>
              <w:t>20</w:t>
            </w:r>
            <w:r>
              <w:rPr>
                <w:spacing w:val="-37"/>
              </w:rPr>
              <w:t xml:space="preserve"> </w:t>
            </w:r>
            <w:r>
              <w:rPr>
                <w:spacing w:val="-1"/>
              </w:rPr>
              <w:t>万元以上</w:t>
            </w:r>
            <w:r>
              <w:rPr>
                <w:spacing w:val="-33"/>
              </w:rPr>
              <w:t xml:space="preserve"> </w:t>
            </w:r>
            <w:r>
              <w:rPr>
                <w:spacing w:val="-2"/>
              </w:rPr>
              <w:t>50</w:t>
            </w:r>
            <w:r>
              <w:rPr>
                <w:spacing w:val="-35"/>
              </w:rPr>
              <w:t xml:space="preserve"> </w:t>
            </w:r>
            <w:r>
              <w:rPr>
                <w:spacing w:val="-2"/>
              </w:rPr>
              <w:t>万</w:t>
            </w:r>
            <w:r>
              <w:t xml:space="preserve"> 元以下的罚款；造成重大安全事故，构成犯罪的，对直接责任人员，依照刑法有关规</w:t>
            </w:r>
            <w:r>
              <w:rPr>
                <w:spacing w:val="-1"/>
              </w:rPr>
              <w:t>定追究刑事责任；造</w:t>
            </w:r>
            <w:r>
              <w:t xml:space="preserve"> 成损失的，依法承担赔偿责任：(一)对勘察、设计、施工、工程监理等单位提出不符</w:t>
            </w:r>
            <w:r>
              <w:rPr>
                <w:spacing w:val="-1"/>
              </w:rPr>
              <w:t>合安全生产法律、法</w:t>
            </w:r>
            <w:r>
              <w:t xml:space="preserve"> 规和强制性标准规定的要求的；(二)要求施工单位压缩合同约定的工期的；(三)将拆</w:t>
            </w:r>
            <w:r>
              <w:rPr>
                <w:spacing w:val="-1"/>
              </w:rPr>
              <w:t>除工程发包给不具有</w:t>
            </w:r>
            <w:r>
              <w:t xml:space="preserve"> </w:t>
            </w:r>
            <w:r>
              <w:rPr>
                <w:spacing w:val="-3"/>
              </w:rPr>
              <w:t>相应资质等级的施工单位的。</w:t>
            </w:r>
          </w:p>
          <w:p w14:paraId="59024DBE">
            <w:pPr>
              <w:pStyle w:val="8"/>
              <w:spacing w:before="27" w:line="238" w:lineRule="auto"/>
              <w:ind w:left="110" w:right="59" w:firstLine="360"/>
              <w:jc w:val="both"/>
            </w:pPr>
            <w:r>
              <w:rPr>
                <w:spacing w:val="-1"/>
              </w:rPr>
              <w:t>第五十六条  违反本条例的规定，勘察单</w:t>
            </w:r>
            <w:r>
              <w:rPr>
                <w:spacing w:val="-2"/>
              </w:rPr>
              <w:t>位、设计单位有下列行为之一的，责令限期改正，处</w:t>
            </w:r>
            <w:r>
              <w:rPr>
                <w:spacing w:val="-26"/>
              </w:rPr>
              <w:t xml:space="preserve"> </w:t>
            </w:r>
            <w:r>
              <w:rPr>
                <w:spacing w:val="-2"/>
              </w:rPr>
              <w:t>10</w:t>
            </w:r>
            <w:r>
              <w:rPr>
                <w:spacing w:val="-34"/>
              </w:rPr>
              <w:t xml:space="preserve"> </w:t>
            </w:r>
            <w:r>
              <w:rPr>
                <w:spacing w:val="-2"/>
              </w:rPr>
              <w:t>万元</w:t>
            </w:r>
            <w:r>
              <w:t xml:space="preserve"> </w:t>
            </w:r>
            <w:r>
              <w:rPr>
                <w:spacing w:val="-1"/>
              </w:rPr>
              <w:t>以上</w:t>
            </w:r>
            <w:r>
              <w:rPr>
                <w:spacing w:val="-34"/>
              </w:rPr>
              <w:t xml:space="preserve"> </w:t>
            </w:r>
            <w:r>
              <w:rPr>
                <w:spacing w:val="-1"/>
              </w:rPr>
              <w:t>30</w:t>
            </w:r>
            <w:r>
              <w:rPr>
                <w:spacing w:val="-37"/>
              </w:rPr>
              <w:t xml:space="preserve"> </w:t>
            </w:r>
            <w:r>
              <w:rPr>
                <w:spacing w:val="-1"/>
              </w:rPr>
              <w:t>万元以下的罚款；情节严重的，责令停业整顿，降低资质等级，</w:t>
            </w:r>
            <w:r>
              <w:rPr>
                <w:spacing w:val="-2"/>
              </w:rPr>
              <w:t>直至吊销资质证书；造成重大安全</w:t>
            </w:r>
            <w:r>
              <w:t xml:space="preserve"> </w:t>
            </w:r>
            <w:r>
              <w:rPr>
                <w:spacing w:val="-2"/>
              </w:rPr>
              <w:t>事故，构成犯罪的，对直接责任人员，依照刑法有关规定追究刑事责任；造成损失的，依法承担赔偿责任：</w:t>
            </w:r>
            <w:r>
              <w:rPr>
                <w:spacing w:val="6"/>
              </w:rPr>
              <w:t xml:space="preserve"> </w:t>
            </w:r>
            <w:r>
              <w:t>(一)未按照法律、法规和工程建设强制性标准进行勘察、设计的；(二)采用新结构、新</w:t>
            </w:r>
            <w:r>
              <w:rPr>
                <w:spacing w:val="-1"/>
              </w:rPr>
              <w:t>材料、新工艺的建</w:t>
            </w:r>
            <w:r>
              <w:t xml:space="preserve">  设工程和特殊结构的建设工程，设计单位未在设计中提出保障施工作业人员安全和预防</w:t>
            </w:r>
            <w:r>
              <w:rPr>
                <w:spacing w:val="-1"/>
              </w:rPr>
              <w:t>生产安全事故的措</w:t>
            </w:r>
            <w:r>
              <w:t xml:space="preserve">  </w:t>
            </w:r>
            <w:r>
              <w:rPr>
                <w:spacing w:val="-6"/>
              </w:rPr>
              <w:t>施建议的。</w:t>
            </w:r>
          </w:p>
        </w:tc>
        <w:tc>
          <w:tcPr>
            <w:tcW w:w="1014" w:type="dxa"/>
            <w:vAlign w:val="top"/>
          </w:tcPr>
          <w:p w14:paraId="0C5D5291">
            <w:pPr>
              <w:spacing w:line="255" w:lineRule="auto"/>
              <w:rPr>
                <w:rFonts w:ascii="Arial"/>
                <w:sz w:val="21"/>
              </w:rPr>
            </w:pPr>
          </w:p>
          <w:p w14:paraId="4C9108BA">
            <w:pPr>
              <w:spacing w:line="255" w:lineRule="auto"/>
              <w:rPr>
                <w:rFonts w:ascii="Arial"/>
                <w:sz w:val="21"/>
              </w:rPr>
            </w:pPr>
          </w:p>
          <w:p w14:paraId="14B798B8">
            <w:pPr>
              <w:spacing w:line="255" w:lineRule="auto"/>
              <w:rPr>
                <w:rFonts w:ascii="Arial"/>
                <w:sz w:val="21"/>
              </w:rPr>
            </w:pPr>
          </w:p>
          <w:p w14:paraId="63E06375">
            <w:pPr>
              <w:spacing w:line="255" w:lineRule="auto"/>
              <w:rPr>
                <w:rFonts w:ascii="Arial"/>
                <w:sz w:val="21"/>
              </w:rPr>
            </w:pPr>
          </w:p>
          <w:p w14:paraId="52AE36F5">
            <w:pPr>
              <w:spacing w:line="255" w:lineRule="auto"/>
              <w:rPr>
                <w:rFonts w:ascii="Arial"/>
                <w:sz w:val="21"/>
              </w:rPr>
            </w:pPr>
          </w:p>
          <w:p w14:paraId="36F78E95">
            <w:pPr>
              <w:spacing w:line="255" w:lineRule="auto"/>
              <w:rPr>
                <w:rFonts w:ascii="Arial"/>
                <w:sz w:val="21"/>
              </w:rPr>
            </w:pPr>
          </w:p>
          <w:p w14:paraId="74170E5D">
            <w:pPr>
              <w:spacing w:line="255" w:lineRule="auto"/>
              <w:rPr>
                <w:rFonts w:ascii="Arial"/>
                <w:sz w:val="21"/>
              </w:rPr>
            </w:pPr>
          </w:p>
          <w:p w14:paraId="1E5562F8">
            <w:pPr>
              <w:spacing w:line="256" w:lineRule="auto"/>
              <w:rPr>
                <w:rFonts w:ascii="Arial"/>
                <w:sz w:val="21"/>
              </w:rPr>
            </w:pPr>
          </w:p>
          <w:p w14:paraId="0D10A841">
            <w:pPr>
              <w:spacing w:line="256" w:lineRule="auto"/>
              <w:rPr>
                <w:rFonts w:ascii="Arial"/>
                <w:sz w:val="21"/>
              </w:rPr>
            </w:pPr>
          </w:p>
          <w:p w14:paraId="7977D815">
            <w:pPr>
              <w:spacing w:line="256" w:lineRule="auto"/>
              <w:rPr>
                <w:rFonts w:ascii="Arial"/>
                <w:sz w:val="21"/>
              </w:rPr>
            </w:pPr>
          </w:p>
          <w:p w14:paraId="66040F94">
            <w:pPr>
              <w:spacing w:line="256" w:lineRule="auto"/>
              <w:rPr>
                <w:rFonts w:ascii="Arial"/>
                <w:sz w:val="21"/>
              </w:rPr>
            </w:pPr>
          </w:p>
          <w:p w14:paraId="60314173">
            <w:pPr>
              <w:spacing w:line="256" w:lineRule="auto"/>
              <w:rPr>
                <w:rFonts w:ascii="Arial"/>
                <w:sz w:val="21"/>
              </w:rPr>
            </w:pPr>
          </w:p>
          <w:p w14:paraId="20C98FF6">
            <w:pPr>
              <w:spacing w:line="256" w:lineRule="auto"/>
              <w:rPr>
                <w:rFonts w:ascii="Arial"/>
                <w:sz w:val="21"/>
              </w:rPr>
            </w:pPr>
          </w:p>
          <w:p w14:paraId="6E3309D4">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3EC6D64">
            <w:pPr>
              <w:spacing w:line="255" w:lineRule="auto"/>
              <w:rPr>
                <w:rFonts w:ascii="Arial"/>
                <w:sz w:val="21"/>
              </w:rPr>
            </w:pPr>
          </w:p>
          <w:p w14:paraId="023E18C0">
            <w:pPr>
              <w:spacing w:line="255" w:lineRule="auto"/>
              <w:rPr>
                <w:rFonts w:ascii="Arial"/>
                <w:sz w:val="21"/>
              </w:rPr>
            </w:pPr>
          </w:p>
          <w:p w14:paraId="7CF8A058">
            <w:pPr>
              <w:spacing w:line="255" w:lineRule="auto"/>
              <w:rPr>
                <w:rFonts w:ascii="Arial"/>
                <w:sz w:val="21"/>
              </w:rPr>
            </w:pPr>
          </w:p>
          <w:p w14:paraId="4AD91002">
            <w:pPr>
              <w:spacing w:line="255" w:lineRule="auto"/>
              <w:rPr>
                <w:rFonts w:ascii="Arial"/>
                <w:sz w:val="21"/>
              </w:rPr>
            </w:pPr>
          </w:p>
          <w:p w14:paraId="4BCEE90E">
            <w:pPr>
              <w:spacing w:line="255" w:lineRule="auto"/>
              <w:rPr>
                <w:rFonts w:ascii="Arial"/>
                <w:sz w:val="21"/>
              </w:rPr>
            </w:pPr>
          </w:p>
          <w:p w14:paraId="091B91C0">
            <w:pPr>
              <w:spacing w:line="255" w:lineRule="auto"/>
              <w:rPr>
                <w:rFonts w:ascii="Arial"/>
                <w:sz w:val="21"/>
              </w:rPr>
            </w:pPr>
          </w:p>
          <w:p w14:paraId="30FB0124">
            <w:pPr>
              <w:spacing w:line="255" w:lineRule="auto"/>
              <w:rPr>
                <w:rFonts w:ascii="Arial"/>
                <w:sz w:val="21"/>
              </w:rPr>
            </w:pPr>
          </w:p>
          <w:p w14:paraId="2873D146">
            <w:pPr>
              <w:spacing w:line="256" w:lineRule="auto"/>
              <w:rPr>
                <w:rFonts w:ascii="Arial"/>
                <w:sz w:val="21"/>
              </w:rPr>
            </w:pPr>
          </w:p>
          <w:p w14:paraId="708324C1">
            <w:pPr>
              <w:spacing w:line="256" w:lineRule="auto"/>
              <w:rPr>
                <w:rFonts w:ascii="Arial"/>
                <w:sz w:val="21"/>
              </w:rPr>
            </w:pPr>
          </w:p>
          <w:p w14:paraId="4FB79ACF">
            <w:pPr>
              <w:spacing w:line="256" w:lineRule="auto"/>
              <w:rPr>
                <w:rFonts w:ascii="Arial"/>
                <w:sz w:val="21"/>
              </w:rPr>
            </w:pPr>
          </w:p>
          <w:p w14:paraId="56255F4B">
            <w:pPr>
              <w:spacing w:line="256" w:lineRule="auto"/>
              <w:rPr>
                <w:rFonts w:ascii="Arial"/>
                <w:sz w:val="21"/>
              </w:rPr>
            </w:pPr>
          </w:p>
          <w:p w14:paraId="60BFE640">
            <w:pPr>
              <w:spacing w:line="256" w:lineRule="auto"/>
              <w:rPr>
                <w:rFonts w:ascii="Arial"/>
                <w:sz w:val="21"/>
              </w:rPr>
            </w:pPr>
          </w:p>
          <w:p w14:paraId="0B76300C">
            <w:pPr>
              <w:spacing w:line="256" w:lineRule="auto"/>
              <w:rPr>
                <w:rFonts w:ascii="Arial"/>
                <w:sz w:val="21"/>
              </w:rPr>
            </w:pPr>
          </w:p>
          <w:p w14:paraId="489A725D">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EC287CF">
            <w:pPr>
              <w:spacing w:line="257" w:lineRule="auto"/>
              <w:rPr>
                <w:rFonts w:ascii="Arial"/>
                <w:sz w:val="21"/>
              </w:rPr>
            </w:pPr>
          </w:p>
          <w:p w14:paraId="7C093893">
            <w:pPr>
              <w:spacing w:line="257" w:lineRule="auto"/>
              <w:rPr>
                <w:rFonts w:ascii="Arial"/>
                <w:sz w:val="21"/>
              </w:rPr>
            </w:pPr>
          </w:p>
          <w:p w14:paraId="1863C12B">
            <w:pPr>
              <w:spacing w:line="257" w:lineRule="auto"/>
              <w:rPr>
                <w:rFonts w:ascii="Arial"/>
                <w:sz w:val="21"/>
              </w:rPr>
            </w:pPr>
          </w:p>
          <w:p w14:paraId="3AC6BE91">
            <w:pPr>
              <w:spacing w:line="257" w:lineRule="auto"/>
              <w:rPr>
                <w:rFonts w:ascii="Arial"/>
                <w:sz w:val="21"/>
              </w:rPr>
            </w:pPr>
          </w:p>
          <w:p w14:paraId="51639A8A">
            <w:pPr>
              <w:spacing w:line="257" w:lineRule="auto"/>
              <w:rPr>
                <w:rFonts w:ascii="Arial"/>
                <w:sz w:val="21"/>
              </w:rPr>
            </w:pPr>
          </w:p>
          <w:p w14:paraId="46FA21C1">
            <w:pPr>
              <w:spacing w:line="257" w:lineRule="auto"/>
              <w:rPr>
                <w:rFonts w:ascii="Arial"/>
                <w:sz w:val="21"/>
              </w:rPr>
            </w:pPr>
          </w:p>
          <w:p w14:paraId="4AEF9C15">
            <w:pPr>
              <w:spacing w:line="257" w:lineRule="auto"/>
              <w:rPr>
                <w:rFonts w:ascii="Arial"/>
                <w:sz w:val="21"/>
              </w:rPr>
            </w:pPr>
          </w:p>
          <w:p w14:paraId="4DC20522">
            <w:pPr>
              <w:spacing w:line="257" w:lineRule="auto"/>
              <w:rPr>
                <w:rFonts w:ascii="Arial"/>
                <w:sz w:val="21"/>
              </w:rPr>
            </w:pPr>
          </w:p>
          <w:p w14:paraId="4683041B">
            <w:pPr>
              <w:spacing w:line="257" w:lineRule="auto"/>
              <w:rPr>
                <w:rFonts w:ascii="Arial"/>
                <w:sz w:val="21"/>
              </w:rPr>
            </w:pPr>
          </w:p>
          <w:p w14:paraId="7D6839E6">
            <w:pPr>
              <w:spacing w:line="257" w:lineRule="auto"/>
              <w:rPr>
                <w:rFonts w:ascii="Arial"/>
                <w:sz w:val="21"/>
              </w:rPr>
            </w:pPr>
          </w:p>
          <w:p w14:paraId="667B164D">
            <w:pPr>
              <w:spacing w:line="257" w:lineRule="auto"/>
              <w:rPr>
                <w:rFonts w:ascii="Arial"/>
                <w:sz w:val="21"/>
              </w:rPr>
            </w:pPr>
          </w:p>
          <w:p w14:paraId="5E5912B9">
            <w:pPr>
              <w:spacing w:line="257" w:lineRule="auto"/>
              <w:rPr>
                <w:rFonts w:ascii="Arial"/>
                <w:sz w:val="21"/>
              </w:rPr>
            </w:pPr>
          </w:p>
          <w:p w14:paraId="3A1A8BAF">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46354791">
      <w:pPr>
        <w:pStyle w:val="2"/>
      </w:pPr>
    </w:p>
    <w:p w14:paraId="7E217CE0">
      <w:pPr>
        <w:sectPr>
          <w:footerReference r:id="rId98" w:type="default"/>
          <w:pgSz w:w="16839" w:h="11906"/>
          <w:pgMar w:top="1012" w:right="991" w:bottom="967" w:left="1021" w:header="0" w:footer="768" w:gutter="0"/>
          <w:cols w:space="720" w:num="1"/>
        </w:sectPr>
      </w:pPr>
    </w:p>
    <w:p w14:paraId="335EFE05">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6F4D6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18A01B84">
            <w:pPr>
              <w:pStyle w:val="8"/>
              <w:spacing w:before="267" w:line="221" w:lineRule="auto"/>
              <w:ind w:left="134"/>
            </w:pPr>
            <w:r>
              <w:rPr>
                <w:b/>
                <w:bCs/>
                <w:spacing w:val="-4"/>
              </w:rPr>
              <w:t>序号</w:t>
            </w:r>
          </w:p>
        </w:tc>
        <w:tc>
          <w:tcPr>
            <w:tcW w:w="1104" w:type="dxa"/>
            <w:vMerge w:val="restart"/>
            <w:tcBorders>
              <w:bottom w:val="nil"/>
            </w:tcBorders>
            <w:vAlign w:val="top"/>
          </w:tcPr>
          <w:p w14:paraId="7CF5F910">
            <w:pPr>
              <w:pStyle w:val="8"/>
              <w:spacing w:before="260" w:line="220" w:lineRule="auto"/>
              <w:ind w:left="192"/>
            </w:pPr>
            <w:r>
              <w:rPr>
                <w:b/>
                <w:bCs/>
                <w:spacing w:val="-4"/>
              </w:rPr>
              <w:t>事项名称</w:t>
            </w:r>
          </w:p>
        </w:tc>
        <w:tc>
          <w:tcPr>
            <w:tcW w:w="1104" w:type="dxa"/>
            <w:vMerge w:val="restart"/>
            <w:tcBorders>
              <w:bottom w:val="nil"/>
            </w:tcBorders>
            <w:vAlign w:val="top"/>
          </w:tcPr>
          <w:p w14:paraId="6AFF00A5">
            <w:pPr>
              <w:pStyle w:val="8"/>
              <w:spacing w:before="260" w:line="219" w:lineRule="auto"/>
              <w:ind w:left="193"/>
            </w:pPr>
            <w:r>
              <w:rPr>
                <w:b/>
                <w:bCs/>
                <w:spacing w:val="-4"/>
              </w:rPr>
              <w:t>职权类型</w:t>
            </w:r>
          </w:p>
        </w:tc>
        <w:tc>
          <w:tcPr>
            <w:tcW w:w="8549" w:type="dxa"/>
            <w:vMerge w:val="restart"/>
            <w:tcBorders>
              <w:bottom w:val="nil"/>
            </w:tcBorders>
            <w:vAlign w:val="top"/>
          </w:tcPr>
          <w:p w14:paraId="75FCA4DE">
            <w:pPr>
              <w:pStyle w:val="8"/>
              <w:spacing w:before="259" w:line="219" w:lineRule="auto"/>
              <w:ind w:left="3921"/>
            </w:pPr>
            <w:r>
              <w:rPr>
                <w:b/>
                <w:bCs/>
                <w:spacing w:val="-5"/>
              </w:rPr>
              <w:t>实施依据</w:t>
            </w:r>
          </w:p>
        </w:tc>
        <w:tc>
          <w:tcPr>
            <w:tcW w:w="3439" w:type="dxa"/>
            <w:gridSpan w:val="3"/>
            <w:vAlign w:val="top"/>
          </w:tcPr>
          <w:p w14:paraId="4F880818">
            <w:pPr>
              <w:pStyle w:val="8"/>
              <w:spacing w:before="85" w:line="220" w:lineRule="auto"/>
              <w:ind w:left="1365"/>
            </w:pPr>
            <w:r>
              <w:rPr>
                <w:b/>
                <w:bCs/>
                <w:spacing w:val="-5"/>
              </w:rPr>
              <w:t>实施主体</w:t>
            </w:r>
          </w:p>
        </w:tc>
      </w:tr>
      <w:tr w14:paraId="4C9A9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0BBBC204">
            <w:pPr>
              <w:rPr>
                <w:rFonts w:ascii="Arial"/>
                <w:sz w:val="21"/>
              </w:rPr>
            </w:pPr>
          </w:p>
        </w:tc>
        <w:tc>
          <w:tcPr>
            <w:tcW w:w="1104" w:type="dxa"/>
            <w:vMerge w:val="continue"/>
            <w:tcBorders>
              <w:top w:val="nil"/>
            </w:tcBorders>
            <w:vAlign w:val="top"/>
          </w:tcPr>
          <w:p w14:paraId="0C99B8B9">
            <w:pPr>
              <w:rPr>
                <w:rFonts w:ascii="Arial"/>
                <w:sz w:val="21"/>
              </w:rPr>
            </w:pPr>
          </w:p>
        </w:tc>
        <w:tc>
          <w:tcPr>
            <w:tcW w:w="1104" w:type="dxa"/>
            <w:vMerge w:val="continue"/>
            <w:tcBorders>
              <w:top w:val="nil"/>
            </w:tcBorders>
            <w:vAlign w:val="top"/>
          </w:tcPr>
          <w:p w14:paraId="057107B4">
            <w:pPr>
              <w:rPr>
                <w:rFonts w:ascii="Arial"/>
                <w:sz w:val="21"/>
              </w:rPr>
            </w:pPr>
          </w:p>
        </w:tc>
        <w:tc>
          <w:tcPr>
            <w:tcW w:w="8549" w:type="dxa"/>
            <w:vMerge w:val="continue"/>
            <w:tcBorders>
              <w:top w:val="nil"/>
            </w:tcBorders>
            <w:vAlign w:val="top"/>
          </w:tcPr>
          <w:p w14:paraId="4EFAC17A">
            <w:pPr>
              <w:rPr>
                <w:rFonts w:ascii="Arial"/>
                <w:sz w:val="21"/>
              </w:rPr>
            </w:pPr>
          </w:p>
        </w:tc>
        <w:tc>
          <w:tcPr>
            <w:tcW w:w="1014" w:type="dxa"/>
            <w:vAlign w:val="top"/>
          </w:tcPr>
          <w:p w14:paraId="0739EFC1">
            <w:pPr>
              <w:pStyle w:val="8"/>
              <w:spacing w:before="81" w:line="219" w:lineRule="auto"/>
              <w:ind w:left="158"/>
            </w:pPr>
            <w:r>
              <w:rPr>
                <w:b/>
                <w:bCs/>
                <w:spacing w:val="-5"/>
              </w:rPr>
              <w:t>责任部门</w:t>
            </w:r>
          </w:p>
        </w:tc>
        <w:tc>
          <w:tcPr>
            <w:tcW w:w="1407" w:type="dxa"/>
            <w:vAlign w:val="top"/>
          </w:tcPr>
          <w:p w14:paraId="6B8B5BD7">
            <w:pPr>
              <w:pStyle w:val="8"/>
              <w:spacing w:before="81" w:line="219" w:lineRule="auto"/>
              <w:ind w:left="167"/>
            </w:pPr>
            <w:r>
              <w:rPr>
                <w:b/>
                <w:bCs/>
                <w:spacing w:val="-3"/>
              </w:rPr>
              <w:t>第一责任层级</w:t>
            </w:r>
          </w:p>
        </w:tc>
        <w:tc>
          <w:tcPr>
            <w:tcW w:w="1018" w:type="dxa"/>
            <w:vAlign w:val="top"/>
          </w:tcPr>
          <w:p w14:paraId="5DA2E3AA">
            <w:pPr>
              <w:pStyle w:val="8"/>
              <w:spacing w:before="81" w:line="219" w:lineRule="auto"/>
              <w:ind w:left="152"/>
            </w:pPr>
            <w:r>
              <w:rPr>
                <w:b/>
                <w:bCs/>
                <w:spacing w:val="-4"/>
              </w:rPr>
              <w:t>承办机构</w:t>
            </w:r>
          </w:p>
        </w:tc>
      </w:tr>
      <w:tr w14:paraId="308BB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3" w:hRule="atLeast"/>
        </w:trPr>
        <w:tc>
          <w:tcPr>
            <w:tcW w:w="624" w:type="dxa"/>
            <w:vAlign w:val="top"/>
          </w:tcPr>
          <w:p w14:paraId="29FD06DE">
            <w:pPr>
              <w:rPr>
                <w:rFonts w:ascii="Arial"/>
                <w:sz w:val="21"/>
              </w:rPr>
            </w:pPr>
          </w:p>
        </w:tc>
        <w:tc>
          <w:tcPr>
            <w:tcW w:w="1104" w:type="dxa"/>
            <w:vAlign w:val="top"/>
          </w:tcPr>
          <w:p w14:paraId="10BF4382">
            <w:pPr>
              <w:rPr>
                <w:rFonts w:ascii="Arial"/>
                <w:sz w:val="21"/>
              </w:rPr>
            </w:pPr>
          </w:p>
        </w:tc>
        <w:tc>
          <w:tcPr>
            <w:tcW w:w="1104" w:type="dxa"/>
            <w:vAlign w:val="top"/>
          </w:tcPr>
          <w:p w14:paraId="7DCA2A04">
            <w:pPr>
              <w:rPr>
                <w:rFonts w:ascii="Arial"/>
                <w:sz w:val="21"/>
              </w:rPr>
            </w:pPr>
          </w:p>
        </w:tc>
        <w:tc>
          <w:tcPr>
            <w:tcW w:w="8549" w:type="dxa"/>
            <w:vAlign w:val="top"/>
          </w:tcPr>
          <w:p w14:paraId="554D807F">
            <w:pPr>
              <w:pStyle w:val="8"/>
              <w:spacing w:before="41" w:line="241" w:lineRule="auto"/>
              <w:ind w:left="110" w:right="159" w:firstLine="360"/>
            </w:pPr>
            <w:r>
              <w:t>第五十七条  违反本条例的规定，工程监理单位有下列行为之一的，责令限期改</w:t>
            </w:r>
            <w:r>
              <w:rPr>
                <w:spacing w:val="-1"/>
              </w:rPr>
              <w:t>正；逾期未改正的，</w:t>
            </w:r>
            <w:r>
              <w:t xml:space="preserve"> </w:t>
            </w:r>
            <w:r>
              <w:rPr>
                <w:spacing w:val="-1"/>
              </w:rPr>
              <w:t>责令停业整顿，并处</w:t>
            </w:r>
            <w:r>
              <w:rPr>
                <w:spacing w:val="-24"/>
              </w:rPr>
              <w:t xml:space="preserve"> </w:t>
            </w:r>
            <w:r>
              <w:rPr>
                <w:spacing w:val="-1"/>
              </w:rPr>
              <w:t>10</w:t>
            </w:r>
            <w:r>
              <w:rPr>
                <w:spacing w:val="-37"/>
              </w:rPr>
              <w:t xml:space="preserve"> </w:t>
            </w:r>
            <w:r>
              <w:rPr>
                <w:spacing w:val="-1"/>
              </w:rPr>
              <w:t>万元以上</w:t>
            </w:r>
            <w:r>
              <w:rPr>
                <w:spacing w:val="-34"/>
              </w:rPr>
              <w:t xml:space="preserve"> </w:t>
            </w:r>
            <w:r>
              <w:rPr>
                <w:spacing w:val="-1"/>
              </w:rPr>
              <w:t>30</w:t>
            </w:r>
            <w:r>
              <w:rPr>
                <w:spacing w:val="-34"/>
              </w:rPr>
              <w:t xml:space="preserve"> </w:t>
            </w:r>
            <w:r>
              <w:rPr>
                <w:spacing w:val="-1"/>
              </w:rPr>
              <w:t>万元以下的罚款；情节严重的，降低资质</w:t>
            </w:r>
            <w:r>
              <w:rPr>
                <w:spacing w:val="-2"/>
              </w:rPr>
              <w:t>等级，直至吊销资质证书；</w:t>
            </w:r>
            <w:r>
              <w:t xml:space="preserve"> 造成重大安全事故，构成犯罪的，对直接责任人员，依照刑法有关规定追究刑事责任；</w:t>
            </w:r>
            <w:r>
              <w:rPr>
                <w:spacing w:val="-1"/>
              </w:rPr>
              <w:t>造成损失的，依法</w:t>
            </w:r>
            <w:r>
              <w:t xml:space="preserve"> 承担赔偿责任：(一)未对施工组织设计中的安全技术措施或者专项施工方案进行审查的；</w:t>
            </w:r>
            <w:r>
              <w:rPr>
                <w:spacing w:val="-1"/>
              </w:rPr>
              <w:t>(二)发现安全事</w:t>
            </w:r>
            <w:r>
              <w:t xml:space="preserve"> 故隐患未及时要求施工单位整改或者暂时停止施工的；(三)施工单位拒不整改或者不停</w:t>
            </w:r>
            <w:r>
              <w:rPr>
                <w:spacing w:val="-1"/>
              </w:rPr>
              <w:t>止施工，未及时向</w:t>
            </w:r>
            <w:r>
              <w:t xml:space="preserve"> </w:t>
            </w:r>
            <w:r>
              <w:rPr>
                <w:spacing w:val="-1"/>
              </w:rPr>
              <w:t>有关主管部门报告的；(四)未依照法律、法规和工程建设强制性标准实施监理的。</w:t>
            </w:r>
          </w:p>
          <w:p w14:paraId="71C4C62D">
            <w:pPr>
              <w:pStyle w:val="8"/>
              <w:spacing w:before="27" w:line="237" w:lineRule="auto"/>
              <w:ind w:left="112" w:right="159" w:firstLine="358"/>
            </w:pPr>
            <w:r>
              <w:t>第五十九条  违反本条例的规定，为建设工程提供机械设备和配件的单位，未按</w:t>
            </w:r>
            <w:r>
              <w:rPr>
                <w:spacing w:val="-1"/>
              </w:rPr>
              <w:t>照安全施工的要求配</w:t>
            </w:r>
            <w:r>
              <w:t xml:space="preserve"> </w:t>
            </w:r>
            <w:r>
              <w:rPr>
                <w:spacing w:val="-1"/>
              </w:rPr>
              <w:t>备齐全有效的保险、限位等安全设施和装置的，责令限期改正，处合同价款</w:t>
            </w:r>
            <w:r>
              <w:rPr>
                <w:spacing w:val="-24"/>
              </w:rPr>
              <w:t xml:space="preserve"> </w:t>
            </w:r>
            <w:r>
              <w:rPr>
                <w:spacing w:val="-1"/>
              </w:rPr>
              <w:t>1</w:t>
            </w:r>
            <w:r>
              <w:rPr>
                <w:spacing w:val="-39"/>
              </w:rPr>
              <w:t xml:space="preserve"> </w:t>
            </w:r>
            <w:r>
              <w:rPr>
                <w:spacing w:val="-1"/>
              </w:rPr>
              <w:t>倍以上</w:t>
            </w:r>
            <w:r>
              <w:rPr>
                <w:spacing w:val="-33"/>
              </w:rPr>
              <w:t xml:space="preserve"> </w:t>
            </w:r>
            <w:r>
              <w:rPr>
                <w:spacing w:val="-2"/>
              </w:rPr>
              <w:t>3</w:t>
            </w:r>
            <w:r>
              <w:rPr>
                <w:spacing w:val="-39"/>
              </w:rPr>
              <w:t xml:space="preserve"> </w:t>
            </w:r>
            <w:r>
              <w:rPr>
                <w:spacing w:val="-2"/>
              </w:rPr>
              <w:t>倍以下的罚款；造</w:t>
            </w:r>
            <w:r>
              <w:t xml:space="preserve"> </w:t>
            </w:r>
            <w:r>
              <w:rPr>
                <w:spacing w:val="-3"/>
              </w:rPr>
              <w:t>成损失的，依法承担赔偿责任。</w:t>
            </w:r>
          </w:p>
          <w:p w14:paraId="4FA7A9A2">
            <w:pPr>
              <w:pStyle w:val="8"/>
              <w:spacing w:before="27" w:line="243" w:lineRule="auto"/>
              <w:ind w:left="110" w:right="159" w:firstLine="360"/>
            </w:pPr>
            <w:r>
              <w:t>第六十二条  违反本条例的规定，施工单位有下列行为之一的，责令限期改正；</w:t>
            </w:r>
            <w:r>
              <w:rPr>
                <w:spacing w:val="-1"/>
              </w:rPr>
              <w:t>逾期未改正的，责令</w:t>
            </w:r>
            <w:r>
              <w:t xml:space="preserve"> 停业整顿，依照《中华人民共和国安全生产法》的有关规定处以罚款；造成重大安全事</w:t>
            </w:r>
            <w:r>
              <w:rPr>
                <w:spacing w:val="-1"/>
              </w:rPr>
              <w:t>故，构成犯罪的，</w:t>
            </w:r>
            <w:r>
              <w:t xml:space="preserve"> 对直接责任人员，依照刑法有关规定追究刑事责任：(一)未设立安全生产管理机构、配</w:t>
            </w:r>
            <w:r>
              <w:rPr>
                <w:spacing w:val="-1"/>
              </w:rPr>
              <w:t>备专职安全生产管</w:t>
            </w:r>
            <w:r>
              <w:t xml:space="preserve"> 理人员或者分部分项工程施工时无专职安全生产管理人员现场监督的；(二)施工单位的</w:t>
            </w:r>
            <w:r>
              <w:rPr>
                <w:spacing w:val="-1"/>
              </w:rPr>
              <w:t>主要负责人、项目</w:t>
            </w:r>
            <w:r>
              <w:t xml:space="preserve"> 负责人、专职安全生产管理人员、作业人员或者特种作业人员，未经安全教育培训或者</w:t>
            </w:r>
            <w:r>
              <w:rPr>
                <w:spacing w:val="-1"/>
              </w:rPr>
              <w:t>经考核不合格即从</w:t>
            </w:r>
            <w:r>
              <w:t xml:space="preserve"> 事相关工作的；(三)未在施工现场的危险部位设置明显的安全警示标志，或者未按照国</w:t>
            </w:r>
            <w:r>
              <w:rPr>
                <w:spacing w:val="-1"/>
              </w:rPr>
              <w:t>家有关规定在施工</w:t>
            </w:r>
            <w:r>
              <w:t xml:space="preserve"> 现场设置消防通道、消防水源、配备消防设施和灭火器材的；(四)未向作业人员提供安</w:t>
            </w:r>
            <w:r>
              <w:rPr>
                <w:spacing w:val="-1"/>
              </w:rPr>
              <w:t>全防护用具和安全</w:t>
            </w:r>
            <w:r>
              <w:t xml:space="preserve"> 防护服装的；(五)未按照规定在施工起重机械和整体提升脚手架、模板等自升式架设设</w:t>
            </w:r>
            <w:r>
              <w:rPr>
                <w:spacing w:val="-1"/>
              </w:rPr>
              <w:t>施验收合格后登记</w:t>
            </w:r>
            <w:r>
              <w:t xml:space="preserve"> </w:t>
            </w:r>
            <w:r>
              <w:rPr>
                <w:spacing w:val="-1"/>
              </w:rPr>
              <w:t>的；(六)使用国家明令淘汰、禁止使用的危及施工安全的工艺、设备、材料的。</w:t>
            </w:r>
          </w:p>
          <w:p w14:paraId="27CFE00D">
            <w:pPr>
              <w:pStyle w:val="8"/>
              <w:spacing w:before="26" w:line="237" w:lineRule="auto"/>
              <w:ind w:left="112" w:right="159" w:firstLine="358"/>
            </w:pPr>
            <w:r>
              <w:t>第六十六条  违反本条例的规定，施工单位的主要负责人、项目负责人未履行安</w:t>
            </w:r>
            <w:r>
              <w:rPr>
                <w:spacing w:val="-1"/>
              </w:rPr>
              <w:t>全生产管理职责的，</w:t>
            </w:r>
            <w:r>
              <w:t xml:space="preserve"> 责令限期改正；逾期未改正的，责令施工单位停业整顿；造成重大安全事故、重大</w:t>
            </w:r>
            <w:r>
              <w:rPr>
                <w:spacing w:val="-1"/>
              </w:rPr>
              <w:t>伤亡事故或者其他严重</w:t>
            </w:r>
            <w:r>
              <w:t xml:space="preserve"> </w:t>
            </w:r>
            <w:r>
              <w:rPr>
                <w:spacing w:val="-2"/>
              </w:rPr>
              <w:t>后果，构成犯罪的，依照刑法有关规定追究刑事责任。</w:t>
            </w:r>
          </w:p>
          <w:p w14:paraId="4C7DBA2A">
            <w:pPr>
              <w:pStyle w:val="8"/>
              <w:spacing w:before="25" w:line="233" w:lineRule="auto"/>
              <w:ind w:left="114" w:right="159" w:firstLine="357"/>
            </w:pPr>
            <w:r>
              <w:t>作业人员不服管理、违反规章制度和操作规程冒险作业造成重大伤亡事故或者其</w:t>
            </w:r>
            <w:r>
              <w:rPr>
                <w:spacing w:val="-1"/>
              </w:rPr>
              <w:t>他严重后果，构成犯</w:t>
            </w:r>
            <w:r>
              <w:t xml:space="preserve"> </w:t>
            </w:r>
            <w:r>
              <w:rPr>
                <w:spacing w:val="-2"/>
              </w:rPr>
              <w:t>罪的，依照刑法有关规定追究刑事责任。</w:t>
            </w:r>
          </w:p>
          <w:p w14:paraId="67DD2BDB">
            <w:pPr>
              <w:pStyle w:val="8"/>
              <w:spacing w:before="28" w:line="237" w:lineRule="auto"/>
              <w:ind w:left="125" w:right="104" w:firstLine="344"/>
              <w:jc w:val="both"/>
            </w:pPr>
            <w:r>
              <w:rPr>
                <w:spacing w:val="-2"/>
              </w:rPr>
              <w:t>施工单位的主要负责人、项目负责人有前款违法行为，尚不够刑事处罚的，处</w:t>
            </w:r>
            <w:r>
              <w:rPr>
                <w:spacing w:val="-29"/>
              </w:rPr>
              <w:t xml:space="preserve"> </w:t>
            </w:r>
            <w:r>
              <w:rPr>
                <w:spacing w:val="-2"/>
              </w:rPr>
              <w:t>2</w:t>
            </w:r>
            <w:r>
              <w:rPr>
                <w:spacing w:val="-32"/>
              </w:rPr>
              <w:t xml:space="preserve"> </w:t>
            </w:r>
            <w:r>
              <w:rPr>
                <w:spacing w:val="-2"/>
              </w:rPr>
              <w:t>万元以上</w:t>
            </w:r>
            <w:r>
              <w:rPr>
                <w:spacing w:val="-37"/>
              </w:rPr>
              <w:t xml:space="preserve"> </w:t>
            </w:r>
            <w:r>
              <w:rPr>
                <w:spacing w:val="-2"/>
              </w:rPr>
              <w:t>20</w:t>
            </w:r>
            <w:r>
              <w:rPr>
                <w:spacing w:val="-35"/>
              </w:rPr>
              <w:t xml:space="preserve"> </w:t>
            </w:r>
            <w:r>
              <w:rPr>
                <w:spacing w:val="-2"/>
              </w:rPr>
              <w:t>万元以下</w:t>
            </w:r>
            <w:r>
              <w:t xml:space="preserve"> </w:t>
            </w:r>
            <w:r>
              <w:rPr>
                <w:spacing w:val="-2"/>
              </w:rPr>
              <w:t>的罚款或者按照管理权限给予撤职处分；自刑罚执行完毕或者受处分之</w:t>
            </w:r>
            <w:r>
              <w:rPr>
                <w:spacing w:val="-3"/>
              </w:rPr>
              <w:t>日起，5</w:t>
            </w:r>
            <w:r>
              <w:rPr>
                <w:spacing w:val="-38"/>
              </w:rPr>
              <w:t xml:space="preserve"> </w:t>
            </w:r>
            <w:r>
              <w:rPr>
                <w:spacing w:val="-3"/>
              </w:rPr>
              <w:t>年内不得担任任何施工单位</w:t>
            </w:r>
            <w:r>
              <w:t xml:space="preserve"> </w:t>
            </w:r>
            <w:r>
              <w:rPr>
                <w:spacing w:val="-4"/>
              </w:rPr>
              <w:t>的主要负责人、项目负责人。</w:t>
            </w:r>
          </w:p>
          <w:p w14:paraId="64A96F2C">
            <w:pPr>
              <w:pStyle w:val="8"/>
              <w:spacing w:before="25" w:line="233" w:lineRule="auto"/>
              <w:ind w:left="118" w:right="159" w:firstLine="352"/>
            </w:pPr>
            <w:r>
              <w:t>第六十七条  施工单位取得资质证书后，降低安全生产条件的，责令限期改正；</w:t>
            </w:r>
            <w:r>
              <w:rPr>
                <w:spacing w:val="-1"/>
              </w:rPr>
              <w:t>经整改仍未达到与其</w:t>
            </w:r>
            <w:r>
              <w:t xml:space="preserve"> </w:t>
            </w:r>
            <w:r>
              <w:rPr>
                <w:spacing w:val="-1"/>
              </w:rPr>
              <w:t>资质等级相适应的安全生产条件的，责令停业整顿，降低其资质等级直至吊销资质证</w:t>
            </w:r>
            <w:r>
              <w:rPr>
                <w:spacing w:val="-2"/>
              </w:rPr>
              <w:t>书。</w:t>
            </w:r>
          </w:p>
          <w:p w14:paraId="1F2AE0DC">
            <w:pPr>
              <w:pStyle w:val="8"/>
              <w:spacing w:before="26" w:line="219" w:lineRule="auto"/>
              <w:ind w:left="474"/>
            </w:pPr>
            <w:r>
              <w:rPr>
                <w:spacing w:val="-2"/>
              </w:rPr>
              <w:t>3.《公路建设监督管理办法》交通运输部令</w:t>
            </w:r>
            <w:r>
              <w:rPr>
                <w:spacing w:val="-24"/>
              </w:rPr>
              <w:t xml:space="preserve"> </w:t>
            </w:r>
            <w:r>
              <w:rPr>
                <w:spacing w:val="-2"/>
              </w:rPr>
              <w:t>2021</w:t>
            </w:r>
            <w:r>
              <w:rPr>
                <w:spacing w:val="-40"/>
              </w:rPr>
              <w:t xml:space="preserve"> </w:t>
            </w:r>
            <w:r>
              <w:rPr>
                <w:spacing w:val="-2"/>
              </w:rPr>
              <w:t>年第</w:t>
            </w:r>
            <w:r>
              <w:rPr>
                <w:spacing w:val="-25"/>
              </w:rPr>
              <w:t xml:space="preserve"> </w:t>
            </w:r>
            <w:r>
              <w:rPr>
                <w:spacing w:val="-2"/>
              </w:rPr>
              <w:t>11</w:t>
            </w:r>
            <w:r>
              <w:rPr>
                <w:spacing w:val="-34"/>
              </w:rPr>
              <w:t xml:space="preserve"> </w:t>
            </w:r>
            <w:r>
              <w:rPr>
                <w:spacing w:val="-2"/>
              </w:rPr>
              <w:t>号</w:t>
            </w:r>
          </w:p>
          <w:p w14:paraId="37810A5E">
            <w:pPr>
              <w:pStyle w:val="8"/>
              <w:spacing w:before="26" w:line="238" w:lineRule="auto"/>
              <w:ind w:left="113" w:right="159" w:firstLine="357"/>
            </w:pPr>
            <w:r>
              <w:t>第二十五条  公路建设从业单位应当对工程质量和安全负责。工程实施中应当加</w:t>
            </w:r>
            <w:r>
              <w:rPr>
                <w:spacing w:val="-1"/>
              </w:rPr>
              <w:t>强对职工的教育与培</w:t>
            </w:r>
            <w:r>
              <w:t xml:space="preserve"> 训，按照国家有关规定建立健全质量和安全保证体系，落实质量和安全生产责任</w:t>
            </w:r>
            <w:r>
              <w:rPr>
                <w:spacing w:val="-1"/>
              </w:rPr>
              <w:t>制，保证工程质量和工程</w:t>
            </w:r>
            <w:r>
              <w:t xml:space="preserve"> </w:t>
            </w:r>
            <w:r>
              <w:rPr>
                <w:spacing w:val="-8"/>
              </w:rPr>
              <w:t>安全。</w:t>
            </w:r>
          </w:p>
          <w:p w14:paraId="43F32963">
            <w:pPr>
              <w:pStyle w:val="8"/>
              <w:spacing w:before="24" w:line="231" w:lineRule="auto"/>
              <w:ind w:left="112" w:right="44" w:firstLine="358"/>
              <w:jc w:val="both"/>
            </w:pPr>
            <w:r>
              <w:t>第四十五条  违反本办法第二十五条规定，公路建设从业单位忽视工程质量和安</w:t>
            </w:r>
            <w:r>
              <w:rPr>
                <w:spacing w:val="-1"/>
              </w:rPr>
              <w:t>全管理，造成质量或</w:t>
            </w:r>
            <w:r>
              <w:t xml:space="preserve">  安全事故的，对项目法人给予警告、限期整改，情节严重的，暂停资金拨付；对勘</w:t>
            </w:r>
            <w:r>
              <w:rPr>
                <w:spacing w:val="-1"/>
              </w:rPr>
              <w:t>察、设计、施工和监理</w:t>
            </w:r>
            <w:r>
              <w:t xml:space="preserve">  </w:t>
            </w:r>
            <w:r>
              <w:rPr>
                <w:spacing w:val="-1"/>
              </w:rPr>
              <w:t>等单位给予警告；对情节严重的监理单位，</w:t>
            </w:r>
            <w:r>
              <w:rPr>
                <w:spacing w:val="-2"/>
              </w:rPr>
              <w:t>还可给予责令停业整顿、降低资质等级和吊销资质证书的处罚。</w:t>
            </w:r>
          </w:p>
        </w:tc>
        <w:tc>
          <w:tcPr>
            <w:tcW w:w="1014" w:type="dxa"/>
            <w:vAlign w:val="top"/>
          </w:tcPr>
          <w:p w14:paraId="37B65EEA">
            <w:pPr>
              <w:rPr>
                <w:rFonts w:ascii="Arial"/>
                <w:sz w:val="21"/>
              </w:rPr>
            </w:pPr>
          </w:p>
        </w:tc>
        <w:tc>
          <w:tcPr>
            <w:tcW w:w="1407" w:type="dxa"/>
            <w:vAlign w:val="top"/>
          </w:tcPr>
          <w:p w14:paraId="6B00DFDB">
            <w:pPr>
              <w:rPr>
                <w:rFonts w:ascii="Arial"/>
                <w:sz w:val="21"/>
              </w:rPr>
            </w:pPr>
          </w:p>
        </w:tc>
        <w:tc>
          <w:tcPr>
            <w:tcW w:w="1018" w:type="dxa"/>
            <w:vAlign w:val="top"/>
          </w:tcPr>
          <w:p w14:paraId="74C8FEC4">
            <w:pPr>
              <w:rPr>
                <w:rFonts w:ascii="Arial"/>
                <w:sz w:val="21"/>
              </w:rPr>
            </w:pPr>
          </w:p>
        </w:tc>
      </w:tr>
    </w:tbl>
    <w:p w14:paraId="78333542">
      <w:pPr>
        <w:pStyle w:val="2"/>
      </w:pPr>
    </w:p>
    <w:p w14:paraId="78B36E3D">
      <w:pPr>
        <w:sectPr>
          <w:footerReference r:id="rId99" w:type="default"/>
          <w:pgSz w:w="16839" w:h="11906"/>
          <w:pgMar w:top="1012" w:right="991" w:bottom="967" w:left="1021" w:header="0" w:footer="768" w:gutter="0"/>
          <w:cols w:space="720" w:num="1"/>
        </w:sectPr>
      </w:pPr>
    </w:p>
    <w:p w14:paraId="75B8C692">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7777D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38334889">
            <w:pPr>
              <w:pStyle w:val="8"/>
              <w:spacing w:before="267" w:line="221" w:lineRule="auto"/>
              <w:ind w:left="134"/>
            </w:pPr>
            <w:r>
              <w:rPr>
                <w:b/>
                <w:bCs/>
                <w:spacing w:val="-4"/>
              </w:rPr>
              <w:t>序号</w:t>
            </w:r>
          </w:p>
        </w:tc>
        <w:tc>
          <w:tcPr>
            <w:tcW w:w="1104" w:type="dxa"/>
            <w:vMerge w:val="restart"/>
            <w:tcBorders>
              <w:bottom w:val="nil"/>
            </w:tcBorders>
            <w:vAlign w:val="top"/>
          </w:tcPr>
          <w:p w14:paraId="3F2BEA0C">
            <w:pPr>
              <w:pStyle w:val="8"/>
              <w:spacing w:before="260" w:line="220" w:lineRule="auto"/>
              <w:ind w:left="192"/>
            </w:pPr>
            <w:r>
              <w:rPr>
                <w:b/>
                <w:bCs/>
                <w:spacing w:val="-4"/>
              </w:rPr>
              <w:t>事项名称</w:t>
            </w:r>
          </w:p>
        </w:tc>
        <w:tc>
          <w:tcPr>
            <w:tcW w:w="1104" w:type="dxa"/>
            <w:vMerge w:val="restart"/>
            <w:tcBorders>
              <w:bottom w:val="nil"/>
            </w:tcBorders>
            <w:vAlign w:val="top"/>
          </w:tcPr>
          <w:p w14:paraId="76BDDFA4">
            <w:pPr>
              <w:pStyle w:val="8"/>
              <w:spacing w:before="260" w:line="219" w:lineRule="auto"/>
              <w:ind w:left="193"/>
            </w:pPr>
            <w:r>
              <w:rPr>
                <w:b/>
                <w:bCs/>
                <w:spacing w:val="-4"/>
              </w:rPr>
              <w:t>职权类型</w:t>
            </w:r>
          </w:p>
        </w:tc>
        <w:tc>
          <w:tcPr>
            <w:tcW w:w="8549" w:type="dxa"/>
            <w:vMerge w:val="restart"/>
            <w:tcBorders>
              <w:bottom w:val="nil"/>
            </w:tcBorders>
            <w:vAlign w:val="top"/>
          </w:tcPr>
          <w:p w14:paraId="126E8146">
            <w:pPr>
              <w:pStyle w:val="8"/>
              <w:spacing w:before="259" w:line="219" w:lineRule="auto"/>
              <w:ind w:left="3921"/>
            </w:pPr>
            <w:r>
              <w:rPr>
                <w:b/>
                <w:bCs/>
                <w:spacing w:val="-5"/>
              </w:rPr>
              <w:t>实施依据</w:t>
            </w:r>
          </w:p>
        </w:tc>
        <w:tc>
          <w:tcPr>
            <w:tcW w:w="3439" w:type="dxa"/>
            <w:gridSpan w:val="3"/>
            <w:vAlign w:val="top"/>
          </w:tcPr>
          <w:p w14:paraId="4D906E7B">
            <w:pPr>
              <w:pStyle w:val="8"/>
              <w:spacing w:before="85" w:line="220" w:lineRule="auto"/>
              <w:ind w:left="1365"/>
            </w:pPr>
            <w:r>
              <w:rPr>
                <w:b/>
                <w:bCs/>
                <w:spacing w:val="-5"/>
              </w:rPr>
              <w:t>实施主体</w:t>
            </w:r>
          </w:p>
        </w:tc>
      </w:tr>
      <w:tr w14:paraId="582F4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0316674">
            <w:pPr>
              <w:rPr>
                <w:rFonts w:ascii="Arial"/>
                <w:sz w:val="21"/>
              </w:rPr>
            </w:pPr>
          </w:p>
        </w:tc>
        <w:tc>
          <w:tcPr>
            <w:tcW w:w="1104" w:type="dxa"/>
            <w:vMerge w:val="continue"/>
            <w:tcBorders>
              <w:top w:val="nil"/>
            </w:tcBorders>
            <w:vAlign w:val="top"/>
          </w:tcPr>
          <w:p w14:paraId="4B326388">
            <w:pPr>
              <w:rPr>
                <w:rFonts w:ascii="Arial"/>
                <w:sz w:val="21"/>
              </w:rPr>
            </w:pPr>
          </w:p>
        </w:tc>
        <w:tc>
          <w:tcPr>
            <w:tcW w:w="1104" w:type="dxa"/>
            <w:vMerge w:val="continue"/>
            <w:tcBorders>
              <w:top w:val="nil"/>
            </w:tcBorders>
            <w:vAlign w:val="top"/>
          </w:tcPr>
          <w:p w14:paraId="365F02B5">
            <w:pPr>
              <w:rPr>
                <w:rFonts w:ascii="Arial"/>
                <w:sz w:val="21"/>
              </w:rPr>
            </w:pPr>
          </w:p>
        </w:tc>
        <w:tc>
          <w:tcPr>
            <w:tcW w:w="8549" w:type="dxa"/>
            <w:vMerge w:val="continue"/>
            <w:tcBorders>
              <w:top w:val="nil"/>
            </w:tcBorders>
            <w:vAlign w:val="top"/>
          </w:tcPr>
          <w:p w14:paraId="58153EF6">
            <w:pPr>
              <w:rPr>
                <w:rFonts w:ascii="Arial"/>
                <w:sz w:val="21"/>
              </w:rPr>
            </w:pPr>
          </w:p>
        </w:tc>
        <w:tc>
          <w:tcPr>
            <w:tcW w:w="1014" w:type="dxa"/>
            <w:vAlign w:val="top"/>
          </w:tcPr>
          <w:p w14:paraId="49644358">
            <w:pPr>
              <w:pStyle w:val="8"/>
              <w:spacing w:before="81" w:line="219" w:lineRule="auto"/>
              <w:ind w:left="158"/>
            </w:pPr>
            <w:r>
              <w:rPr>
                <w:b/>
                <w:bCs/>
                <w:spacing w:val="-5"/>
              </w:rPr>
              <w:t>责任部门</w:t>
            </w:r>
          </w:p>
        </w:tc>
        <w:tc>
          <w:tcPr>
            <w:tcW w:w="1407" w:type="dxa"/>
            <w:vAlign w:val="top"/>
          </w:tcPr>
          <w:p w14:paraId="6B637223">
            <w:pPr>
              <w:pStyle w:val="8"/>
              <w:spacing w:before="81" w:line="219" w:lineRule="auto"/>
              <w:ind w:left="167"/>
            </w:pPr>
            <w:r>
              <w:rPr>
                <w:b/>
                <w:bCs/>
                <w:spacing w:val="-3"/>
              </w:rPr>
              <w:t>第一责任层级</w:t>
            </w:r>
          </w:p>
        </w:tc>
        <w:tc>
          <w:tcPr>
            <w:tcW w:w="1018" w:type="dxa"/>
            <w:vAlign w:val="top"/>
          </w:tcPr>
          <w:p w14:paraId="46CFE1AD">
            <w:pPr>
              <w:pStyle w:val="8"/>
              <w:spacing w:before="81" w:line="219" w:lineRule="auto"/>
              <w:ind w:left="152"/>
            </w:pPr>
            <w:r>
              <w:rPr>
                <w:b/>
                <w:bCs/>
                <w:spacing w:val="-4"/>
              </w:rPr>
              <w:t>承办机构</w:t>
            </w:r>
          </w:p>
        </w:tc>
      </w:tr>
      <w:tr w14:paraId="3B80D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9" w:hRule="atLeast"/>
        </w:trPr>
        <w:tc>
          <w:tcPr>
            <w:tcW w:w="624" w:type="dxa"/>
            <w:vAlign w:val="top"/>
          </w:tcPr>
          <w:p w14:paraId="65869B70">
            <w:pPr>
              <w:spacing w:line="251" w:lineRule="auto"/>
              <w:rPr>
                <w:rFonts w:ascii="Arial"/>
                <w:sz w:val="21"/>
              </w:rPr>
            </w:pPr>
          </w:p>
          <w:p w14:paraId="40E48C8F">
            <w:pPr>
              <w:spacing w:line="251" w:lineRule="auto"/>
              <w:rPr>
                <w:rFonts w:ascii="Arial"/>
                <w:sz w:val="21"/>
              </w:rPr>
            </w:pPr>
          </w:p>
          <w:p w14:paraId="311B1451">
            <w:pPr>
              <w:spacing w:line="251" w:lineRule="auto"/>
              <w:rPr>
                <w:rFonts w:ascii="Arial"/>
                <w:sz w:val="21"/>
              </w:rPr>
            </w:pPr>
          </w:p>
          <w:p w14:paraId="02C2F37D">
            <w:pPr>
              <w:spacing w:line="251" w:lineRule="auto"/>
              <w:rPr>
                <w:rFonts w:ascii="Arial"/>
                <w:sz w:val="21"/>
              </w:rPr>
            </w:pPr>
          </w:p>
          <w:p w14:paraId="1A69A10D">
            <w:pPr>
              <w:spacing w:line="251" w:lineRule="auto"/>
              <w:rPr>
                <w:rFonts w:ascii="Arial"/>
                <w:sz w:val="21"/>
              </w:rPr>
            </w:pPr>
          </w:p>
          <w:p w14:paraId="63C71DC6">
            <w:pPr>
              <w:spacing w:line="251" w:lineRule="auto"/>
              <w:rPr>
                <w:rFonts w:ascii="Arial"/>
                <w:sz w:val="21"/>
              </w:rPr>
            </w:pPr>
          </w:p>
          <w:p w14:paraId="11731ACA">
            <w:pPr>
              <w:spacing w:line="251" w:lineRule="auto"/>
              <w:rPr>
                <w:rFonts w:ascii="Arial"/>
                <w:sz w:val="21"/>
              </w:rPr>
            </w:pPr>
          </w:p>
          <w:p w14:paraId="4DFF4675">
            <w:pPr>
              <w:spacing w:line="251" w:lineRule="auto"/>
              <w:rPr>
                <w:rFonts w:ascii="Arial"/>
                <w:sz w:val="21"/>
              </w:rPr>
            </w:pPr>
          </w:p>
          <w:p w14:paraId="3446B2D1">
            <w:pPr>
              <w:spacing w:line="251" w:lineRule="auto"/>
              <w:rPr>
                <w:rFonts w:ascii="Arial"/>
                <w:sz w:val="21"/>
              </w:rPr>
            </w:pPr>
          </w:p>
          <w:p w14:paraId="47403246">
            <w:pPr>
              <w:spacing w:line="251" w:lineRule="auto"/>
              <w:rPr>
                <w:rFonts w:ascii="Arial"/>
                <w:sz w:val="21"/>
              </w:rPr>
            </w:pPr>
          </w:p>
          <w:p w14:paraId="373BE276">
            <w:pPr>
              <w:spacing w:line="251" w:lineRule="auto"/>
              <w:rPr>
                <w:rFonts w:ascii="Arial"/>
                <w:sz w:val="21"/>
              </w:rPr>
            </w:pPr>
          </w:p>
          <w:p w14:paraId="03D75C04">
            <w:pPr>
              <w:spacing w:line="251" w:lineRule="auto"/>
              <w:rPr>
                <w:rFonts w:ascii="Arial"/>
                <w:sz w:val="21"/>
              </w:rPr>
            </w:pPr>
          </w:p>
          <w:p w14:paraId="353E4987">
            <w:pPr>
              <w:spacing w:line="251" w:lineRule="auto"/>
              <w:rPr>
                <w:rFonts w:ascii="Arial"/>
                <w:sz w:val="21"/>
              </w:rPr>
            </w:pPr>
          </w:p>
          <w:p w14:paraId="6E29EB26">
            <w:pPr>
              <w:spacing w:line="252" w:lineRule="auto"/>
              <w:rPr>
                <w:rFonts w:ascii="Arial"/>
                <w:sz w:val="21"/>
              </w:rPr>
            </w:pPr>
          </w:p>
          <w:p w14:paraId="2206C80F">
            <w:pPr>
              <w:spacing w:line="252" w:lineRule="auto"/>
              <w:rPr>
                <w:rFonts w:ascii="Arial"/>
                <w:sz w:val="21"/>
              </w:rPr>
            </w:pPr>
          </w:p>
          <w:p w14:paraId="2DD14FF3">
            <w:pPr>
              <w:spacing w:line="252" w:lineRule="auto"/>
              <w:rPr>
                <w:rFonts w:ascii="Arial"/>
                <w:sz w:val="21"/>
              </w:rPr>
            </w:pPr>
          </w:p>
          <w:p w14:paraId="301C6F82">
            <w:pPr>
              <w:spacing w:line="252" w:lineRule="auto"/>
              <w:rPr>
                <w:rFonts w:ascii="Arial"/>
                <w:sz w:val="21"/>
              </w:rPr>
            </w:pPr>
          </w:p>
          <w:p w14:paraId="47A8D124">
            <w:pPr>
              <w:pStyle w:val="8"/>
              <w:spacing w:before="58" w:line="183" w:lineRule="auto"/>
              <w:ind w:left="230"/>
            </w:pPr>
            <w:r>
              <w:rPr>
                <w:spacing w:val="-4"/>
              </w:rPr>
              <w:t>49</w:t>
            </w:r>
          </w:p>
        </w:tc>
        <w:tc>
          <w:tcPr>
            <w:tcW w:w="1104" w:type="dxa"/>
            <w:vAlign w:val="top"/>
          </w:tcPr>
          <w:p w14:paraId="654D600B">
            <w:pPr>
              <w:spacing w:line="254" w:lineRule="auto"/>
              <w:rPr>
                <w:rFonts w:ascii="Arial"/>
                <w:sz w:val="21"/>
              </w:rPr>
            </w:pPr>
          </w:p>
          <w:p w14:paraId="2D871401">
            <w:pPr>
              <w:spacing w:line="254" w:lineRule="auto"/>
              <w:rPr>
                <w:rFonts w:ascii="Arial"/>
                <w:sz w:val="21"/>
              </w:rPr>
            </w:pPr>
          </w:p>
          <w:p w14:paraId="1BFC6D21">
            <w:pPr>
              <w:spacing w:line="254" w:lineRule="auto"/>
              <w:rPr>
                <w:rFonts w:ascii="Arial"/>
                <w:sz w:val="21"/>
              </w:rPr>
            </w:pPr>
          </w:p>
          <w:p w14:paraId="2FD148BE">
            <w:pPr>
              <w:spacing w:line="254" w:lineRule="auto"/>
              <w:rPr>
                <w:rFonts w:ascii="Arial"/>
                <w:sz w:val="21"/>
              </w:rPr>
            </w:pPr>
          </w:p>
          <w:p w14:paraId="725A45FA">
            <w:pPr>
              <w:spacing w:line="254" w:lineRule="auto"/>
              <w:rPr>
                <w:rFonts w:ascii="Arial"/>
                <w:sz w:val="21"/>
              </w:rPr>
            </w:pPr>
          </w:p>
          <w:p w14:paraId="48304F2E">
            <w:pPr>
              <w:spacing w:line="254" w:lineRule="auto"/>
              <w:rPr>
                <w:rFonts w:ascii="Arial"/>
                <w:sz w:val="21"/>
              </w:rPr>
            </w:pPr>
          </w:p>
          <w:p w14:paraId="205B6190">
            <w:pPr>
              <w:spacing w:line="254" w:lineRule="auto"/>
              <w:rPr>
                <w:rFonts w:ascii="Arial"/>
                <w:sz w:val="21"/>
              </w:rPr>
            </w:pPr>
          </w:p>
          <w:p w14:paraId="51AC4ABB">
            <w:pPr>
              <w:spacing w:line="254" w:lineRule="auto"/>
              <w:rPr>
                <w:rFonts w:ascii="Arial"/>
                <w:sz w:val="21"/>
              </w:rPr>
            </w:pPr>
          </w:p>
          <w:p w14:paraId="6EDDDB4A">
            <w:pPr>
              <w:spacing w:line="255" w:lineRule="auto"/>
              <w:rPr>
                <w:rFonts w:ascii="Arial"/>
                <w:sz w:val="21"/>
              </w:rPr>
            </w:pPr>
          </w:p>
          <w:p w14:paraId="17620742">
            <w:pPr>
              <w:spacing w:line="255" w:lineRule="auto"/>
              <w:rPr>
                <w:rFonts w:ascii="Arial"/>
                <w:sz w:val="21"/>
              </w:rPr>
            </w:pPr>
          </w:p>
          <w:p w14:paraId="1760F2E9">
            <w:pPr>
              <w:spacing w:line="255" w:lineRule="auto"/>
              <w:rPr>
                <w:rFonts w:ascii="Arial"/>
                <w:sz w:val="21"/>
              </w:rPr>
            </w:pPr>
          </w:p>
          <w:p w14:paraId="74067365">
            <w:pPr>
              <w:spacing w:line="255" w:lineRule="auto"/>
              <w:rPr>
                <w:rFonts w:ascii="Arial"/>
                <w:sz w:val="21"/>
              </w:rPr>
            </w:pPr>
          </w:p>
          <w:p w14:paraId="59CDCB06">
            <w:pPr>
              <w:pStyle w:val="8"/>
              <w:spacing w:before="59" w:line="243" w:lineRule="auto"/>
              <w:ind w:left="61" w:hanging="1"/>
              <w:jc w:val="both"/>
            </w:pPr>
            <w:r>
              <w:rPr>
                <w:spacing w:val="15"/>
              </w:rPr>
              <w:t>对交通运输</w:t>
            </w:r>
            <w:r>
              <w:rPr>
                <w:spacing w:val="2"/>
              </w:rPr>
              <w:t xml:space="preserve"> </w:t>
            </w:r>
            <w:r>
              <w:rPr>
                <w:spacing w:val="15"/>
              </w:rPr>
              <w:t>建设工程领</w:t>
            </w:r>
            <w:r>
              <w:rPr>
                <w:spacing w:val="1"/>
              </w:rPr>
              <w:t xml:space="preserve"> </w:t>
            </w:r>
            <w:r>
              <w:rPr>
                <w:spacing w:val="-8"/>
              </w:rPr>
              <w:t>域勘察单位、</w:t>
            </w:r>
            <w:r>
              <w:rPr>
                <w:spacing w:val="4"/>
              </w:rPr>
              <w:t xml:space="preserve"> </w:t>
            </w:r>
            <w:r>
              <w:rPr>
                <w:spacing w:val="15"/>
              </w:rPr>
              <w:t>设计单位未</w:t>
            </w:r>
            <w:r>
              <w:rPr>
                <w:spacing w:val="1"/>
              </w:rPr>
              <w:t xml:space="preserve"> </w:t>
            </w:r>
            <w:r>
              <w:rPr>
                <w:spacing w:val="15"/>
              </w:rPr>
              <w:t>按照工程建</w:t>
            </w:r>
            <w:r>
              <w:rPr>
                <w:spacing w:val="1"/>
              </w:rPr>
              <w:t xml:space="preserve"> </w:t>
            </w:r>
            <w:r>
              <w:rPr>
                <w:spacing w:val="15"/>
              </w:rPr>
              <w:t>设强制性标</w:t>
            </w:r>
            <w:r>
              <w:rPr>
                <w:spacing w:val="1"/>
              </w:rPr>
              <w:t xml:space="preserve"> </w:t>
            </w:r>
            <w:r>
              <w:rPr>
                <w:spacing w:val="-8"/>
              </w:rPr>
              <w:t>准进行勘察、</w:t>
            </w:r>
            <w:r>
              <w:rPr>
                <w:spacing w:val="4"/>
              </w:rPr>
              <w:t xml:space="preserve"> </w:t>
            </w:r>
            <w:r>
              <w:rPr>
                <w:spacing w:val="15"/>
              </w:rPr>
              <w:t>设计等行为</w:t>
            </w:r>
            <w:r>
              <w:rPr>
                <w:spacing w:val="1"/>
              </w:rPr>
              <w:t xml:space="preserve"> </w:t>
            </w:r>
            <w:r>
              <w:rPr>
                <w:spacing w:val="-2"/>
              </w:rPr>
              <w:t>的行政处罚</w:t>
            </w:r>
          </w:p>
        </w:tc>
        <w:tc>
          <w:tcPr>
            <w:tcW w:w="1104" w:type="dxa"/>
            <w:vAlign w:val="top"/>
          </w:tcPr>
          <w:p w14:paraId="50C154F9">
            <w:pPr>
              <w:spacing w:line="249" w:lineRule="auto"/>
              <w:rPr>
                <w:rFonts w:ascii="Arial"/>
                <w:sz w:val="21"/>
              </w:rPr>
            </w:pPr>
          </w:p>
          <w:p w14:paraId="79F42B3A">
            <w:pPr>
              <w:spacing w:line="249" w:lineRule="auto"/>
              <w:rPr>
                <w:rFonts w:ascii="Arial"/>
                <w:sz w:val="21"/>
              </w:rPr>
            </w:pPr>
          </w:p>
          <w:p w14:paraId="6B145299">
            <w:pPr>
              <w:spacing w:line="249" w:lineRule="auto"/>
              <w:rPr>
                <w:rFonts w:ascii="Arial"/>
                <w:sz w:val="21"/>
              </w:rPr>
            </w:pPr>
          </w:p>
          <w:p w14:paraId="30D79B61">
            <w:pPr>
              <w:spacing w:line="249" w:lineRule="auto"/>
              <w:rPr>
                <w:rFonts w:ascii="Arial"/>
                <w:sz w:val="21"/>
              </w:rPr>
            </w:pPr>
          </w:p>
          <w:p w14:paraId="5A02F788">
            <w:pPr>
              <w:spacing w:line="249" w:lineRule="auto"/>
              <w:rPr>
                <w:rFonts w:ascii="Arial"/>
                <w:sz w:val="21"/>
              </w:rPr>
            </w:pPr>
          </w:p>
          <w:p w14:paraId="28B36EBE">
            <w:pPr>
              <w:spacing w:line="249" w:lineRule="auto"/>
              <w:rPr>
                <w:rFonts w:ascii="Arial"/>
                <w:sz w:val="21"/>
              </w:rPr>
            </w:pPr>
          </w:p>
          <w:p w14:paraId="09F31D4F">
            <w:pPr>
              <w:spacing w:line="249" w:lineRule="auto"/>
              <w:rPr>
                <w:rFonts w:ascii="Arial"/>
                <w:sz w:val="21"/>
              </w:rPr>
            </w:pPr>
          </w:p>
          <w:p w14:paraId="17D9F907">
            <w:pPr>
              <w:spacing w:line="249" w:lineRule="auto"/>
              <w:rPr>
                <w:rFonts w:ascii="Arial"/>
                <w:sz w:val="21"/>
              </w:rPr>
            </w:pPr>
          </w:p>
          <w:p w14:paraId="75FCE3DE">
            <w:pPr>
              <w:spacing w:line="250" w:lineRule="auto"/>
              <w:rPr>
                <w:rFonts w:ascii="Arial"/>
                <w:sz w:val="21"/>
              </w:rPr>
            </w:pPr>
          </w:p>
          <w:p w14:paraId="554CD1DC">
            <w:pPr>
              <w:spacing w:line="250" w:lineRule="auto"/>
              <w:rPr>
                <w:rFonts w:ascii="Arial"/>
                <w:sz w:val="21"/>
              </w:rPr>
            </w:pPr>
          </w:p>
          <w:p w14:paraId="45ED964D">
            <w:pPr>
              <w:spacing w:line="250" w:lineRule="auto"/>
              <w:rPr>
                <w:rFonts w:ascii="Arial"/>
                <w:sz w:val="21"/>
              </w:rPr>
            </w:pPr>
          </w:p>
          <w:p w14:paraId="38AC404D">
            <w:pPr>
              <w:spacing w:line="250" w:lineRule="auto"/>
              <w:rPr>
                <w:rFonts w:ascii="Arial"/>
                <w:sz w:val="21"/>
              </w:rPr>
            </w:pPr>
          </w:p>
          <w:p w14:paraId="45C9B069">
            <w:pPr>
              <w:spacing w:line="250" w:lineRule="auto"/>
              <w:rPr>
                <w:rFonts w:ascii="Arial"/>
                <w:sz w:val="21"/>
              </w:rPr>
            </w:pPr>
          </w:p>
          <w:p w14:paraId="090769A1">
            <w:pPr>
              <w:spacing w:line="250" w:lineRule="auto"/>
              <w:rPr>
                <w:rFonts w:ascii="Arial"/>
                <w:sz w:val="21"/>
              </w:rPr>
            </w:pPr>
          </w:p>
          <w:p w14:paraId="5FBB846A">
            <w:pPr>
              <w:spacing w:line="250" w:lineRule="auto"/>
              <w:rPr>
                <w:rFonts w:ascii="Arial"/>
                <w:sz w:val="21"/>
              </w:rPr>
            </w:pPr>
          </w:p>
          <w:p w14:paraId="7CBFA338">
            <w:pPr>
              <w:spacing w:line="250" w:lineRule="auto"/>
              <w:rPr>
                <w:rFonts w:ascii="Arial"/>
                <w:sz w:val="21"/>
              </w:rPr>
            </w:pPr>
          </w:p>
          <w:p w14:paraId="5B8BC5F6">
            <w:pPr>
              <w:spacing w:line="250" w:lineRule="auto"/>
              <w:rPr>
                <w:rFonts w:ascii="Arial"/>
                <w:sz w:val="21"/>
              </w:rPr>
            </w:pPr>
          </w:p>
          <w:p w14:paraId="7C2D8181">
            <w:pPr>
              <w:pStyle w:val="8"/>
              <w:spacing w:before="59" w:line="220" w:lineRule="auto"/>
              <w:ind w:left="10"/>
            </w:pPr>
            <w:r>
              <w:rPr>
                <w:spacing w:val="-2"/>
              </w:rPr>
              <w:t>行政处罚</w:t>
            </w:r>
          </w:p>
        </w:tc>
        <w:tc>
          <w:tcPr>
            <w:tcW w:w="8549" w:type="dxa"/>
            <w:vAlign w:val="top"/>
          </w:tcPr>
          <w:p w14:paraId="7E7EC118">
            <w:pPr>
              <w:pStyle w:val="8"/>
              <w:spacing w:before="31" w:line="219" w:lineRule="auto"/>
              <w:ind w:left="484"/>
            </w:pPr>
            <w:r>
              <w:rPr>
                <w:b/>
                <w:bCs/>
                <w:spacing w:val="-4"/>
              </w:rPr>
              <w:t>1.《建设工程质量管理条例》</w:t>
            </w:r>
          </w:p>
          <w:p w14:paraId="1F591D77">
            <w:pPr>
              <w:pStyle w:val="8"/>
              <w:spacing w:before="19" w:line="219" w:lineRule="auto"/>
              <w:ind w:left="471"/>
            </w:pPr>
            <w:r>
              <w:t>第十条第二款  建设单位不得明示或者暗示设计单位或者施工单位违反工程建设强</w:t>
            </w:r>
            <w:r>
              <w:rPr>
                <w:spacing w:val="-1"/>
              </w:rPr>
              <w:t>制性标准，降低建</w:t>
            </w:r>
          </w:p>
          <w:p w14:paraId="7A114564">
            <w:pPr>
              <w:pStyle w:val="8"/>
              <w:spacing w:before="19" w:line="220" w:lineRule="auto"/>
              <w:ind w:left="114"/>
            </w:pPr>
            <w:r>
              <w:rPr>
                <w:spacing w:val="-6"/>
              </w:rPr>
              <w:t>设工程质量。</w:t>
            </w:r>
          </w:p>
          <w:p w14:paraId="605D7014">
            <w:pPr>
              <w:pStyle w:val="8"/>
              <w:spacing w:before="15" w:line="229" w:lineRule="auto"/>
              <w:ind w:left="125" w:right="159" w:firstLine="345"/>
            </w:pPr>
            <w:r>
              <w:t>第十九条第一款  勘察、设计单位必须按照工程建设强制性标准进行勘察、设计</w:t>
            </w:r>
            <w:r>
              <w:rPr>
                <w:spacing w:val="-1"/>
              </w:rPr>
              <w:t>，并对其勘察、设计</w:t>
            </w:r>
            <w:r>
              <w:t xml:space="preserve"> </w:t>
            </w:r>
            <w:r>
              <w:rPr>
                <w:spacing w:val="-7"/>
              </w:rPr>
              <w:t>的质量负责。</w:t>
            </w:r>
          </w:p>
          <w:p w14:paraId="3703CAEC">
            <w:pPr>
              <w:pStyle w:val="8"/>
              <w:spacing w:before="19" w:line="219" w:lineRule="auto"/>
              <w:ind w:left="471"/>
            </w:pPr>
            <w:r>
              <w:rPr>
                <w:spacing w:val="-1"/>
              </w:rPr>
              <w:t>第二十一条第一款  设计单位应当根据勘察成果文件进行建设</w:t>
            </w:r>
            <w:r>
              <w:rPr>
                <w:spacing w:val="-2"/>
              </w:rPr>
              <w:t>工程设计。</w:t>
            </w:r>
          </w:p>
          <w:p w14:paraId="769C05EF">
            <w:pPr>
              <w:pStyle w:val="8"/>
              <w:spacing w:before="16" w:line="229" w:lineRule="auto"/>
              <w:ind w:left="118" w:right="159" w:firstLine="352"/>
            </w:pPr>
            <w:r>
              <w:t>第二十二条  设计单位在设计文件中选用的建筑材料、建筑构配件和设备，应当</w:t>
            </w:r>
            <w:r>
              <w:rPr>
                <w:spacing w:val="-1"/>
              </w:rPr>
              <w:t>注明规格、型号、性</w:t>
            </w:r>
            <w:r>
              <w:t xml:space="preserve"> </w:t>
            </w:r>
            <w:r>
              <w:rPr>
                <w:spacing w:val="-2"/>
              </w:rPr>
              <w:t>能等技术指标，其质量要求必须符合国家规定的标准。</w:t>
            </w:r>
          </w:p>
          <w:p w14:paraId="1B894AB7">
            <w:pPr>
              <w:pStyle w:val="8"/>
              <w:spacing w:before="19" w:line="219" w:lineRule="auto"/>
              <w:ind w:left="481"/>
            </w:pPr>
            <w:r>
              <w:rPr>
                <w:spacing w:val="-1"/>
              </w:rPr>
              <w:t>除有特殊要求的建筑材料、专用设备、工艺生产线等外，设计单位不得指定</w:t>
            </w:r>
            <w:r>
              <w:rPr>
                <w:spacing w:val="-2"/>
              </w:rPr>
              <w:t>生产厂、供应商。</w:t>
            </w:r>
          </w:p>
          <w:p w14:paraId="45431699">
            <w:pPr>
              <w:pStyle w:val="8"/>
              <w:spacing w:before="19" w:line="233" w:lineRule="auto"/>
              <w:ind w:left="111" w:right="159" w:firstLine="360"/>
            </w:pPr>
            <w:r>
              <w:rPr>
                <w:spacing w:val="-1"/>
              </w:rPr>
              <w:t>第六十三条  违反本条例规定，有下列行为之一的，责令改正，处</w:t>
            </w:r>
            <w:r>
              <w:rPr>
                <w:spacing w:val="-24"/>
              </w:rPr>
              <w:t xml:space="preserve"> </w:t>
            </w:r>
            <w:r>
              <w:rPr>
                <w:spacing w:val="-1"/>
              </w:rPr>
              <w:t>10</w:t>
            </w:r>
            <w:r>
              <w:rPr>
                <w:spacing w:val="-37"/>
              </w:rPr>
              <w:t xml:space="preserve"> </w:t>
            </w:r>
            <w:r>
              <w:rPr>
                <w:spacing w:val="-2"/>
              </w:rPr>
              <w:t>万元以上</w:t>
            </w:r>
            <w:r>
              <w:rPr>
                <w:spacing w:val="-33"/>
              </w:rPr>
              <w:t xml:space="preserve"> </w:t>
            </w:r>
            <w:r>
              <w:rPr>
                <w:spacing w:val="-2"/>
              </w:rPr>
              <w:t>30</w:t>
            </w:r>
            <w:r>
              <w:rPr>
                <w:spacing w:val="-35"/>
              </w:rPr>
              <w:t xml:space="preserve"> </w:t>
            </w:r>
            <w:r>
              <w:rPr>
                <w:spacing w:val="-2"/>
              </w:rPr>
              <w:t>万元以下的罚款：</w:t>
            </w:r>
            <w:r>
              <w:t xml:space="preserve"> （一）勘察单位未按照工程建设强制性标准进行勘察的；（二）设</w:t>
            </w:r>
            <w:r>
              <w:rPr>
                <w:spacing w:val="-1"/>
              </w:rPr>
              <w:t>计单位未根据勘察成果文件进行工程设</w:t>
            </w:r>
            <w:r>
              <w:t xml:space="preserve"> 计的</w:t>
            </w:r>
            <w:r>
              <w:rPr>
                <w:spacing w:val="-1"/>
              </w:rPr>
              <w:t>；（</w:t>
            </w:r>
            <w:r>
              <w:t>三）设计单位指定建筑材料、建筑构配件的生产厂、供应商的</w:t>
            </w:r>
            <w:r>
              <w:rPr>
                <w:spacing w:val="-1"/>
              </w:rPr>
              <w:t>；（</w:t>
            </w:r>
            <w:r>
              <w:t>四）设计单</w:t>
            </w:r>
            <w:r>
              <w:rPr>
                <w:spacing w:val="-1"/>
              </w:rPr>
              <w:t>位未按照工程建设</w:t>
            </w:r>
            <w:r>
              <w:rPr>
                <w:spacing w:val="3"/>
              </w:rPr>
              <w:t xml:space="preserve"> </w:t>
            </w:r>
            <w:r>
              <w:rPr>
                <w:spacing w:val="-3"/>
              </w:rPr>
              <w:t>强制性标准进行设计的。</w:t>
            </w:r>
          </w:p>
          <w:p w14:paraId="6A4A4DE0">
            <w:pPr>
              <w:pStyle w:val="8"/>
              <w:spacing w:before="18" w:line="229" w:lineRule="auto"/>
              <w:ind w:left="110" w:right="60" w:firstLine="361"/>
            </w:pPr>
            <w:r>
              <w:rPr>
                <w:spacing w:val="-2"/>
              </w:rPr>
              <w:t>有前款所列行为，造成工程质量事故的，责令停业整顿，降低资质等级；情节严重的，吊销资质证书；</w:t>
            </w:r>
            <w:r>
              <w:t xml:space="preserve"> </w:t>
            </w:r>
            <w:r>
              <w:rPr>
                <w:spacing w:val="-3"/>
              </w:rPr>
              <w:t>造成损失的，依法承担赔偿责任。</w:t>
            </w:r>
          </w:p>
          <w:p w14:paraId="34017593">
            <w:pPr>
              <w:pStyle w:val="8"/>
              <w:spacing w:before="17" w:line="219" w:lineRule="auto"/>
              <w:ind w:left="473"/>
            </w:pPr>
            <w:r>
              <w:rPr>
                <w:b/>
                <w:bCs/>
                <w:spacing w:val="-3"/>
              </w:rPr>
              <w:t>2.《建设工程安全生产管理条例》</w:t>
            </w:r>
          </w:p>
          <w:p w14:paraId="0B319249">
            <w:pPr>
              <w:pStyle w:val="8"/>
              <w:spacing w:before="18" w:line="235" w:lineRule="auto"/>
              <w:ind w:left="110" w:right="59" w:firstLine="360"/>
              <w:jc w:val="both"/>
            </w:pPr>
            <w:r>
              <w:rPr>
                <w:spacing w:val="-1"/>
              </w:rPr>
              <w:t>第五十六条  违反本条例的规定，勘察单</w:t>
            </w:r>
            <w:r>
              <w:rPr>
                <w:spacing w:val="-2"/>
              </w:rPr>
              <w:t>位、设计单位有下列行为之一的，责令限期改正，处</w:t>
            </w:r>
            <w:r>
              <w:rPr>
                <w:spacing w:val="-26"/>
              </w:rPr>
              <w:t xml:space="preserve"> </w:t>
            </w:r>
            <w:r>
              <w:rPr>
                <w:spacing w:val="-2"/>
              </w:rPr>
              <w:t>10</w:t>
            </w:r>
            <w:r>
              <w:rPr>
                <w:spacing w:val="-34"/>
              </w:rPr>
              <w:t xml:space="preserve"> </w:t>
            </w:r>
            <w:r>
              <w:rPr>
                <w:spacing w:val="-2"/>
              </w:rPr>
              <w:t>万元</w:t>
            </w:r>
            <w:r>
              <w:t xml:space="preserve"> </w:t>
            </w:r>
            <w:r>
              <w:rPr>
                <w:spacing w:val="-1"/>
              </w:rPr>
              <w:t>以上</w:t>
            </w:r>
            <w:r>
              <w:rPr>
                <w:spacing w:val="-34"/>
              </w:rPr>
              <w:t xml:space="preserve"> </w:t>
            </w:r>
            <w:r>
              <w:rPr>
                <w:spacing w:val="-1"/>
              </w:rPr>
              <w:t>30</w:t>
            </w:r>
            <w:r>
              <w:rPr>
                <w:spacing w:val="-37"/>
              </w:rPr>
              <w:t xml:space="preserve"> </w:t>
            </w:r>
            <w:r>
              <w:rPr>
                <w:spacing w:val="-1"/>
              </w:rPr>
              <w:t>万元以下的罚款；情节严重的，责令停业整顿，降低资质等级，</w:t>
            </w:r>
            <w:r>
              <w:rPr>
                <w:spacing w:val="-2"/>
              </w:rPr>
              <w:t>直至吊销资质证书；造成重大安全</w:t>
            </w:r>
            <w:r>
              <w:t xml:space="preserve"> </w:t>
            </w:r>
            <w:r>
              <w:rPr>
                <w:spacing w:val="-2"/>
              </w:rPr>
              <w:t>事故，构成犯罪的，对直接责任人员，依照刑法有关规定追究刑事责任；造成损失的，依法承担赔偿责任：</w:t>
            </w:r>
            <w:r>
              <w:rPr>
                <w:spacing w:val="6"/>
              </w:rPr>
              <w:t xml:space="preserve"> </w:t>
            </w:r>
            <w:r>
              <w:t>(一)未按照法律、法规和工程建设强制性标准进行勘察、设计的；(二)采用新结构、新</w:t>
            </w:r>
            <w:r>
              <w:rPr>
                <w:spacing w:val="-1"/>
              </w:rPr>
              <w:t>材料、新工艺的建</w:t>
            </w:r>
            <w:r>
              <w:t xml:space="preserve">  设工程和特殊结构的建设工程，设计单位未在设计中提出保障施工作业人员安全和预防</w:t>
            </w:r>
            <w:r>
              <w:rPr>
                <w:spacing w:val="-1"/>
              </w:rPr>
              <w:t>生产安全事故的措</w:t>
            </w:r>
            <w:r>
              <w:t xml:space="preserve">  </w:t>
            </w:r>
            <w:r>
              <w:rPr>
                <w:spacing w:val="-6"/>
              </w:rPr>
              <w:t>施建议的。</w:t>
            </w:r>
          </w:p>
          <w:p w14:paraId="48842DC1">
            <w:pPr>
              <w:pStyle w:val="8"/>
              <w:spacing w:before="19" w:line="219" w:lineRule="auto"/>
              <w:ind w:left="474"/>
            </w:pPr>
            <w:r>
              <w:rPr>
                <w:b/>
                <w:bCs/>
                <w:spacing w:val="-3"/>
              </w:rPr>
              <w:t>3.《建设工程勘察设计管理条例》</w:t>
            </w:r>
          </w:p>
          <w:p w14:paraId="3E9FECA3">
            <w:pPr>
              <w:pStyle w:val="8"/>
              <w:spacing w:before="18" w:line="228" w:lineRule="auto"/>
              <w:ind w:left="113" w:right="159" w:firstLine="357"/>
            </w:pPr>
            <w:r>
              <w:t>第五条第二款  建设工程勘察、设计单位必须依法进行建设工程勘察、设计，严</w:t>
            </w:r>
            <w:r>
              <w:rPr>
                <w:spacing w:val="-1"/>
              </w:rPr>
              <w:t>格执行工程建设强制</w:t>
            </w:r>
            <w:r>
              <w:t xml:space="preserve"> </w:t>
            </w:r>
            <w:r>
              <w:rPr>
                <w:spacing w:val="-2"/>
              </w:rPr>
              <w:t>性标准，并对建设工程勘察、设计的质量负责。</w:t>
            </w:r>
          </w:p>
          <w:p w14:paraId="34DFFB74">
            <w:pPr>
              <w:pStyle w:val="8"/>
              <w:spacing w:before="19" w:line="229" w:lineRule="auto"/>
              <w:ind w:left="111" w:right="159" w:firstLine="359"/>
            </w:pPr>
            <w:r>
              <w:t>第二十七条  设计文件中选用的材料、构配件、设备，应当注明其规格、型号、</w:t>
            </w:r>
            <w:r>
              <w:rPr>
                <w:spacing w:val="-1"/>
              </w:rPr>
              <w:t>性能等技术指标，其</w:t>
            </w:r>
            <w:r>
              <w:t xml:space="preserve"> </w:t>
            </w:r>
            <w:r>
              <w:rPr>
                <w:spacing w:val="-2"/>
              </w:rPr>
              <w:t>质量要求必须符合国家规定的标准。</w:t>
            </w:r>
          </w:p>
          <w:p w14:paraId="3E657808">
            <w:pPr>
              <w:pStyle w:val="8"/>
              <w:spacing w:before="17" w:line="219" w:lineRule="auto"/>
              <w:ind w:left="481"/>
            </w:pPr>
            <w:r>
              <w:rPr>
                <w:spacing w:val="-1"/>
              </w:rPr>
              <w:t>除有特殊要求的建筑材料、专用设备和工艺生产线等外，设计单位不得指定</w:t>
            </w:r>
            <w:r>
              <w:rPr>
                <w:spacing w:val="-2"/>
              </w:rPr>
              <w:t>生产厂、供应商。</w:t>
            </w:r>
          </w:p>
          <w:p w14:paraId="32C9E76A">
            <w:pPr>
              <w:pStyle w:val="8"/>
              <w:spacing w:before="20" w:line="233" w:lineRule="auto"/>
              <w:ind w:left="110" w:right="159" w:firstLine="360"/>
            </w:pPr>
            <w:r>
              <w:t>第四十一条  违反本条例规定，有下列行为之一的，依照《建设工程质量管理条</w:t>
            </w:r>
            <w:r>
              <w:rPr>
                <w:spacing w:val="-1"/>
              </w:rPr>
              <w:t>例》第六十三条的规</w:t>
            </w:r>
            <w:r>
              <w:t xml:space="preserve"> 定给予处罚</w:t>
            </w:r>
            <w:r>
              <w:rPr>
                <w:spacing w:val="-3"/>
              </w:rPr>
              <w:t>：（</w:t>
            </w:r>
            <w:r>
              <w:t>一）勘察单位未按照工程建设强制性标准进行勘察的</w:t>
            </w:r>
            <w:r>
              <w:rPr>
                <w:spacing w:val="-3"/>
              </w:rPr>
              <w:t>；（</w:t>
            </w:r>
            <w:r>
              <w:t>二）设计单位</w:t>
            </w:r>
            <w:r>
              <w:rPr>
                <w:spacing w:val="-1"/>
              </w:rPr>
              <w:t>未根据勘察成果文</w:t>
            </w:r>
            <w:r>
              <w:rPr>
                <w:spacing w:val="2"/>
              </w:rPr>
              <w:t xml:space="preserve"> </w:t>
            </w:r>
            <w:r>
              <w:t>件进行工程设计的</w:t>
            </w:r>
            <w:r>
              <w:rPr>
                <w:spacing w:val="-1"/>
              </w:rPr>
              <w:t>；（</w:t>
            </w:r>
            <w:r>
              <w:t>三）设计单位指定建筑材料、建筑构配件的生产厂、供应商的</w:t>
            </w:r>
            <w:r>
              <w:rPr>
                <w:spacing w:val="-1"/>
              </w:rPr>
              <w:t>；（四）设计单位未</w:t>
            </w:r>
            <w:r>
              <w:rPr>
                <w:spacing w:val="3"/>
              </w:rPr>
              <w:t xml:space="preserve"> </w:t>
            </w:r>
            <w:r>
              <w:rPr>
                <w:spacing w:val="-2"/>
              </w:rPr>
              <w:t>按照工程建设强制性标准进行设计的。</w:t>
            </w:r>
          </w:p>
          <w:p w14:paraId="1425B1C3">
            <w:pPr>
              <w:pStyle w:val="8"/>
              <w:spacing w:before="19" w:line="219" w:lineRule="auto"/>
              <w:ind w:left="470"/>
            </w:pPr>
            <w:r>
              <w:rPr>
                <w:b/>
                <w:bCs/>
                <w:spacing w:val="-3"/>
              </w:rPr>
              <w:t>4.《水运建设市场监督管理办法》（交通运输部令</w:t>
            </w:r>
            <w:r>
              <w:rPr>
                <w:spacing w:val="-30"/>
              </w:rPr>
              <w:t xml:space="preserve"> </w:t>
            </w:r>
            <w:r>
              <w:rPr>
                <w:b/>
                <w:bCs/>
                <w:spacing w:val="-3"/>
              </w:rPr>
              <w:t>2016</w:t>
            </w:r>
            <w:r>
              <w:rPr>
                <w:spacing w:val="-37"/>
              </w:rPr>
              <w:t xml:space="preserve"> </w:t>
            </w:r>
            <w:r>
              <w:rPr>
                <w:b/>
                <w:bCs/>
                <w:spacing w:val="-3"/>
              </w:rPr>
              <w:t>年第</w:t>
            </w:r>
            <w:r>
              <w:rPr>
                <w:spacing w:val="-33"/>
              </w:rPr>
              <w:t xml:space="preserve"> </w:t>
            </w:r>
            <w:r>
              <w:rPr>
                <w:b/>
                <w:bCs/>
                <w:spacing w:val="-3"/>
              </w:rPr>
              <w:t>74</w:t>
            </w:r>
            <w:r>
              <w:rPr>
                <w:spacing w:val="-32"/>
              </w:rPr>
              <w:t xml:space="preserve"> </w:t>
            </w:r>
            <w:r>
              <w:rPr>
                <w:b/>
                <w:bCs/>
                <w:spacing w:val="-3"/>
              </w:rPr>
              <w:t>号）</w:t>
            </w:r>
          </w:p>
          <w:p w14:paraId="3AE4FF20">
            <w:pPr>
              <w:pStyle w:val="8"/>
              <w:spacing w:before="18" w:line="219" w:lineRule="auto"/>
              <w:ind w:left="471"/>
            </w:pPr>
            <w:r>
              <w:t>第二十一条  水运建设工程质量实行终身责任制，相关市场主体对工程质量在设计</w:t>
            </w:r>
            <w:r>
              <w:rPr>
                <w:spacing w:val="-1"/>
              </w:rPr>
              <w:t>使用年限内承担相</w:t>
            </w:r>
          </w:p>
          <w:p w14:paraId="195D0A85">
            <w:pPr>
              <w:pStyle w:val="8"/>
              <w:spacing w:before="19" w:line="219" w:lineRule="auto"/>
              <w:ind w:left="111"/>
            </w:pPr>
            <w:r>
              <w:rPr>
                <w:spacing w:val="-8"/>
              </w:rPr>
              <w:t>应责任。</w:t>
            </w:r>
          </w:p>
          <w:p w14:paraId="5FBEBA62">
            <w:pPr>
              <w:pStyle w:val="8"/>
              <w:spacing w:before="20" w:line="224" w:lineRule="auto"/>
              <w:ind w:left="111" w:right="44" w:firstLine="362"/>
              <w:jc w:val="both"/>
            </w:pPr>
            <w:r>
              <w:rPr>
                <w:spacing w:val="-2"/>
              </w:rPr>
              <w:t>项目单位对工程质量和安全管理负总责。代建单位按照合同约定对工程质量和安全负管理责任。勘察、</w:t>
            </w:r>
            <w:r>
              <w:rPr>
                <w:spacing w:val="14"/>
              </w:rPr>
              <w:t xml:space="preserve"> </w:t>
            </w:r>
            <w:r>
              <w:t>设计单位对勘察、设计质量负责。施工单位对施工质量和安全负责。工程监理单位对</w:t>
            </w:r>
            <w:r>
              <w:rPr>
                <w:spacing w:val="-1"/>
              </w:rPr>
              <w:t>工程项目的质量和安</w:t>
            </w:r>
            <w:r>
              <w:t xml:space="preserve">  </w:t>
            </w:r>
            <w:r>
              <w:rPr>
                <w:spacing w:val="-1"/>
              </w:rPr>
              <w:t>全生产负监理责任。其他市场主体对其提供的产品或者服务负相应责</w:t>
            </w:r>
            <w:r>
              <w:rPr>
                <w:spacing w:val="-2"/>
              </w:rPr>
              <w:t>任。</w:t>
            </w:r>
          </w:p>
        </w:tc>
        <w:tc>
          <w:tcPr>
            <w:tcW w:w="1014" w:type="dxa"/>
            <w:vAlign w:val="top"/>
          </w:tcPr>
          <w:p w14:paraId="08CAEC0B">
            <w:pPr>
              <w:spacing w:line="242" w:lineRule="auto"/>
              <w:rPr>
                <w:rFonts w:ascii="Arial"/>
                <w:sz w:val="21"/>
              </w:rPr>
            </w:pPr>
          </w:p>
          <w:p w14:paraId="321A4B36">
            <w:pPr>
              <w:spacing w:line="242" w:lineRule="auto"/>
              <w:rPr>
                <w:rFonts w:ascii="Arial"/>
                <w:sz w:val="21"/>
              </w:rPr>
            </w:pPr>
          </w:p>
          <w:p w14:paraId="64B96DF9">
            <w:pPr>
              <w:spacing w:line="242" w:lineRule="auto"/>
              <w:rPr>
                <w:rFonts w:ascii="Arial"/>
                <w:sz w:val="21"/>
              </w:rPr>
            </w:pPr>
          </w:p>
          <w:p w14:paraId="58015BCC">
            <w:pPr>
              <w:spacing w:line="242" w:lineRule="auto"/>
              <w:rPr>
                <w:rFonts w:ascii="Arial"/>
                <w:sz w:val="21"/>
              </w:rPr>
            </w:pPr>
          </w:p>
          <w:p w14:paraId="540A3F45">
            <w:pPr>
              <w:spacing w:line="242" w:lineRule="auto"/>
              <w:rPr>
                <w:rFonts w:ascii="Arial"/>
                <w:sz w:val="21"/>
              </w:rPr>
            </w:pPr>
          </w:p>
          <w:p w14:paraId="5E0F4211">
            <w:pPr>
              <w:spacing w:line="242" w:lineRule="auto"/>
              <w:rPr>
                <w:rFonts w:ascii="Arial"/>
                <w:sz w:val="21"/>
              </w:rPr>
            </w:pPr>
          </w:p>
          <w:p w14:paraId="5E43BE8A">
            <w:pPr>
              <w:spacing w:line="242" w:lineRule="auto"/>
              <w:rPr>
                <w:rFonts w:ascii="Arial"/>
                <w:sz w:val="21"/>
              </w:rPr>
            </w:pPr>
          </w:p>
          <w:p w14:paraId="4F997452">
            <w:pPr>
              <w:spacing w:line="242" w:lineRule="auto"/>
              <w:rPr>
                <w:rFonts w:ascii="Arial"/>
                <w:sz w:val="21"/>
              </w:rPr>
            </w:pPr>
          </w:p>
          <w:p w14:paraId="7AEEA14A">
            <w:pPr>
              <w:spacing w:line="243" w:lineRule="auto"/>
              <w:rPr>
                <w:rFonts w:ascii="Arial"/>
                <w:sz w:val="21"/>
              </w:rPr>
            </w:pPr>
          </w:p>
          <w:p w14:paraId="2CEC9EA5">
            <w:pPr>
              <w:spacing w:line="243" w:lineRule="auto"/>
              <w:rPr>
                <w:rFonts w:ascii="Arial"/>
                <w:sz w:val="21"/>
              </w:rPr>
            </w:pPr>
          </w:p>
          <w:p w14:paraId="18342F34">
            <w:pPr>
              <w:spacing w:line="243" w:lineRule="auto"/>
              <w:rPr>
                <w:rFonts w:ascii="Arial"/>
                <w:sz w:val="21"/>
              </w:rPr>
            </w:pPr>
          </w:p>
          <w:p w14:paraId="0A74414A">
            <w:pPr>
              <w:spacing w:line="243" w:lineRule="auto"/>
              <w:rPr>
                <w:rFonts w:ascii="Arial"/>
                <w:sz w:val="21"/>
              </w:rPr>
            </w:pPr>
          </w:p>
          <w:p w14:paraId="4E733EBF">
            <w:pPr>
              <w:spacing w:line="243" w:lineRule="auto"/>
              <w:rPr>
                <w:rFonts w:ascii="Arial"/>
                <w:sz w:val="21"/>
              </w:rPr>
            </w:pPr>
          </w:p>
          <w:p w14:paraId="2DC6489C">
            <w:pPr>
              <w:spacing w:line="243" w:lineRule="auto"/>
              <w:rPr>
                <w:rFonts w:ascii="Arial"/>
                <w:sz w:val="21"/>
              </w:rPr>
            </w:pPr>
          </w:p>
          <w:p w14:paraId="687FE37B">
            <w:pPr>
              <w:spacing w:line="243" w:lineRule="auto"/>
              <w:rPr>
                <w:rFonts w:ascii="Arial"/>
                <w:sz w:val="21"/>
              </w:rPr>
            </w:pPr>
          </w:p>
          <w:p w14:paraId="427FC262">
            <w:pPr>
              <w:spacing w:line="243" w:lineRule="auto"/>
              <w:rPr>
                <w:rFonts w:ascii="Arial"/>
                <w:sz w:val="21"/>
              </w:rPr>
            </w:pPr>
          </w:p>
          <w:p w14:paraId="653D0504">
            <w:pPr>
              <w:spacing w:line="243" w:lineRule="auto"/>
              <w:rPr>
                <w:rFonts w:ascii="Arial"/>
                <w:sz w:val="21"/>
              </w:rPr>
            </w:pPr>
          </w:p>
          <w:p w14:paraId="7C072A3C">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7CBFF229">
            <w:pPr>
              <w:spacing w:line="242" w:lineRule="auto"/>
              <w:rPr>
                <w:rFonts w:ascii="Arial"/>
                <w:sz w:val="21"/>
              </w:rPr>
            </w:pPr>
          </w:p>
          <w:p w14:paraId="50B41025">
            <w:pPr>
              <w:spacing w:line="242" w:lineRule="auto"/>
              <w:rPr>
                <w:rFonts w:ascii="Arial"/>
                <w:sz w:val="21"/>
              </w:rPr>
            </w:pPr>
          </w:p>
          <w:p w14:paraId="6E8C2D19">
            <w:pPr>
              <w:spacing w:line="242" w:lineRule="auto"/>
              <w:rPr>
                <w:rFonts w:ascii="Arial"/>
                <w:sz w:val="21"/>
              </w:rPr>
            </w:pPr>
          </w:p>
          <w:p w14:paraId="1EE0C9E9">
            <w:pPr>
              <w:spacing w:line="242" w:lineRule="auto"/>
              <w:rPr>
                <w:rFonts w:ascii="Arial"/>
                <w:sz w:val="21"/>
              </w:rPr>
            </w:pPr>
          </w:p>
          <w:p w14:paraId="5C13CE17">
            <w:pPr>
              <w:spacing w:line="242" w:lineRule="auto"/>
              <w:rPr>
                <w:rFonts w:ascii="Arial"/>
                <w:sz w:val="21"/>
              </w:rPr>
            </w:pPr>
          </w:p>
          <w:p w14:paraId="1AC8F824">
            <w:pPr>
              <w:spacing w:line="242" w:lineRule="auto"/>
              <w:rPr>
                <w:rFonts w:ascii="Arial"/>
                <w:sz w:val="21"/>
              </w:rPr>
            </w:pPr>
          </w:p>
          <w:p w14:paraId="3F3CD554">
            <w:pPr>
              <w:spacing w:line="242" w:lineRule="auto"/>
              <w:rPr>
                <w:rFonts w:ascii="Arial"/>
                <w:sz w:val="21"/>
              </w:rPr>
            </w:pPr>
          </w:p>
          <w:p w14:paraId="1C9C8F21">
            <w:pPr>
              <w:spacing w:line="242" w:lineRule="auto"/>
              <w:rPr>
                <w:rFonts w:ascii="Arial"/>
                <w:sz w:val="21"/>
              </w:rPr>
            </w:pPr>
          </w:p>
          <w:p w14:paraId="1D5B9667">
            <w:pPr>
              <w:spacing w:line="243" w:lineRule="auto"/>
              <w:rPr>
                <w:rFonts w:ascii="Arial"/>
                <w:sz w:val="21"/>
              </w:rPr>
            </w:pPr>
          </w:p>
          <w:p w14:paraId="5F8C2DC8">
            <w:pPr>
              <w:spacing w:line="243" w:lineRule="auto"/>
              <w:rPr>
                <w:rFonts w:ascii="Arial"/>
                <w:sz w:val="21"/>
              </w:rPr>
            </w:pPr>
          </w:p>
          <w:p w14:paraId="2DDC4279">
            <w:pPr>
              <w:spacing w:line="243" w:lineRule="auto"/>
              <w:rPr>
                <w:rFonts w:ascii="Arial"/>
                <w:sz w:val="21"/>
              </w:rPr>
            </w:pPr>
          </w:p>
          <w:p w14:paraId="67371B83">
            <w:pPr>
              <w:spacing w:line="243" w:lineRule="auto"/>
              <w:rPr>
                <w:rFonts w:ascii="Arial"/>
                <w:sz w:val="21"/>
              </w:rPr>
            </w:pPr>
          </w:p>
          <w:p w14:paraId="5EE4178D">
            <w:pPr>
              <w:spacing w:line="243" w:lineRule="auto"/>
              <w:rPr>
                <w:rFonts w:ascii="Arial"/>
                <w:sz w:val="21"/>
              </w:rPr>
            </w:pPr>
          </w:p>
          <w:p w14:paraId="2127A533">
            <w:pPr>
              <w:spacing w:line="243" w:lineRule="auto"/>
              <w:rPr>
                <w:rFonts w:ascii="Arial"/>
                <w:sz w:val="21"/>
              </w:rPr>
            </w:pPr>
          </w:p>
          <w:p w14:paraId="0612972B">
            <w:pPr>
              <w:spacing w:line="243" w:lineRule="auto"/>
              <w:rPr>
                <w:rFonts w:ascii="Arial"/>
                <w:sz w:val="21"/>
              </w:rPr>
            </w:pPr>
          </w:p>
          <w:p w14:paraId="4925A633">
            <w:pPr>
              <w:spacing w:line="243" w:lineRule="auto"/>
              <w:rPr>
                <w:rFonts w:ascii="Arial"/>
                <w:sz w:val="21"/>
              </w:rPr>
            </w:pPr>
          </w:p>
          <w:p w14:paraId="1FB13269">
            <w:pPr>
              <w:spacing w:line="243" w:lineRule="auto"/>
              <w:rPr>
                <w:rFonts w:ascii="Arial"/>
                <w:sz w:val="21"/>
              </w:rPr>
            </w:pPr>
          </w:p>
          <w:p w14:paraId="67531556">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412FA82">
            <w:pPr>
              <w:spacing w:line="242" w:lineRule="auto"/>
              <w:rPr>
                <w:rFonts w:ascii="Arial"/>
                <w:sz w:val="21"/>
              </w:rPr>
            </w:pPr>
          </w:p>
          <w:p w14:paraId="5366C9F7">
            <w:pPr>
              <w:spacing w:line="242" w:lineRule="auto"/>
              <w:rPr>
                <w:rFonts w:ascii="Arial"/>
                <w:sz w:val="21"/>
              </w:rPr>
            </w:pPr>
          </w:p>
          <w:p w14:paraId="78B3B731">
            <w:pPr>
              <w:spacing w:line="243" w:lineRule="auto"/>
              <w:rPr>
                <w:rFonts w:ascii="Arial"/>
                <w:sz w:val="21"/>
              </w:rPr>
            </w:pPr>
          </w:p>
          <w:p w14:paraId="5F788605">
            <w:pPr>
              <w:spacing w:line="243" w:lineRule="auto"/>
              <w:rPr>
                <w:rFonts w:ascii="Arial"/>
                <w:sz w:val="21"/>
              </w:rPr>
            </w:pPr>
          </w:p>
          <w:p w14:paraId="5FC6D81C">
            <w:pPr>
              <w:spacing w:line="243" w:lineRule="auto"/>
              <w:rPr>
                <w:rFonts w:ascii="Arial"/>
                <w:sz w:val="21"/>
              </w:rPr>
            </w:pPr>
          </w:p>
          <w:p w14:paraId="7ACB2DDC">
            <w:pPr>
              <w:spacing w:line="243" w:lineRule="auto"/>
              <w:rPr>
                <w:rFonts w:ascii="Arial"/>
                <w:sz w:val="21"/>
              </w:rPr>
            </w:pPr>
          </w:p>
          <w:p w14:paraId="423D6DF5">
            <w:pPr>
              <w:spacing w:line="243" w:lineRule="auto"/>
              <w:rPr>
                <w:rFonts w:ascii="Arial"/>
                <w:sz w:val="21"/>
              </w:rPr>
            </w:pPr>
          </w:p>
          <w:p w14:paraId="51A6EE27">
            <w:pPr>
              <w:spacing w:line="243" w:lineRule="auto"/>
              <w:rPr>
                <w:rFonts w:ascii="Arial"/>
                <w:sz w:val="21"/>
              </w:rPr>
            </w:pPr>
          </w:p>
          <w:p w14:paraId="32E8CDB2">
            <w:pPr>
              <w:spacing w:line="243" w:lineRule="auto"/>
              <w:rPr>
                <w:rFonts w:ascii="Arial"/>
                <w:sz w:val="21"/>
              </w:rPr>
            </w:pPr>
          </w:p>
          <w:p w14:paraId="66A5C0B8">
            <w:pPr>
              <w:spacing w:line="243" w:lineRule="auto"/>
              <w:rPr>
                <w:rFonts w:ascii="Arial"/>
                <w:sz w:val="21"/>
              </w:rPr>
            </w:pPr>
          </w:p>
          <w:p w14:paraId="0DF45B8D">
            <w:pPr>
              <w:spacing w:line="243" w:lineRule="auto"/>
              <w:rPr>
                <w:rFonts w:ascii="Arial"/>
                <w:sz w:val="21"/>
              </w:rPr>
            </w:pPr>
          </w:p>
          <w:p w14:paraId="6F12D810">
            <w:pPr>
              <w:spacing w:line="243" w:lineRule="auto"/>
              <w:rPr>
                <w:rFonts w:ascii="Arial"/>
                <w:sz w:val="21"/>
              </w:rPr>
            </w:pPr>
          </w:p>
          <w:p w14:paraId="75ED95F4">
            <w:pPr>
              <w:spacing w:line="243" w:lineRule="auto"/>
              <w:rPr>
                <w:rFonts w:ascii="Arial"/>
                <w:sz w:val="21"/>
              </w:rPr>
            </w:pPr>
          </w:p>
          <w:p w14:paraId="25E951EE">
            <w:pPr>
              <w:spacing w:line="243" w:lineRule="auto"/>
              <w:rPr>
                <w:rFonts w:ascii="Arial"/>
                <w:sz w:val="21"/>
              </w:rPr>
            </w:pPr>
          </w:p>
          <w:p w14:paraId="009D02F1">
            <w:pPr>
              <w:spacing w:line="243" w:lineRule="auto"/>
              <w:rPr>
                <w:rFonts w:ascii="Arial"/>
                <w:sz w:val="21"/>
              </w:rPr>
            </w:pPr>
          </w:p>
          <w:p w14:paraId="5BD637CE">
            <w:pPr>
              <w:spacing w:line="243" w:lineRule="auto"/>
              <w:rPr>
                <w:rFonts w:ascii="Arial"/>
                <w:sz w:val="21"/>
              </w:rPr>
            </w:pPr>
          </w:p>
          <w:p w14:paraId="057DF352">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775CD73B">
      <w:pPr>
        <w:pStyle w:val="2"/>
      </w:pPr>
    </w:p>
    <w:p w14:paraId="361F0461">
      <w:pPr>
        <w:sectPr>
          <w:footerReference r:id="rId100" w:type="default"/>
          <w:pgSz w:w="16839" w:h="11906"/>
          <w:pgMar w:top="1012" w:right="991" w:bottom="967" w:left="1021" w:header="0" w:footer="768" w:gutter="0"/>
          <w:cols w:space="720" w:num="1"/>
        </w:sectPr>
      </w:pPr>
    </w:p>
    <w:p w14:paraId="496E20D1">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23DC2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4D9D4030">
            <w:pPr>
              <w:pStyle w:val="8"/>
              <w:spacing w:before="267" w:line="221" w:lineRule="auto"/>
              <w:ind w:left="134"/>
            </w:pPr>
            <w:r>
              <w:rPr>
                <w:b/>
                <w:bCs/>
                <w:spacing w:val="-4"/>
              </w:rPr>
              <w:t>序号</w:t>
            </w:r>
          </w:p>
        </w:tc>
        <w:tc>
          <w:tcPr>
            <w:tcW w:w="1104" w:type="dxa"/>
            <w:vMerge w:val="restart"/>
            <w:tcBorders>
              <w:bottom w:val="nil"/>
            </w:tcBorders>
            <w:vAlign w:val="top"/>
          </w:tcPr>
          <w:p w14:paraId="39C9145D">
            <w:pPr>
              <w:pStyle w:val="8"/>
              <w:spacing w:before="260" w:line="220" w:lineRule="auto"/>
              <w:ind w:left="192"/>
            </w:pPr>
            <w:r>
              <w:rPr>
                <w:b/>
                <w:bCs/>
                <w:spacing w:val="-4"/>
              </w:rPr>
              <w:t>事项名称</w:t>
            </w:r>
          </w:p>
        </w:tc>
        <w:tc>
          <w:tcPr>
            <w:tcW w:w="1104" w:type="dxa"/>
            <w:vMerge w:val="restart"/>
            <w:tcBorders>
              <w:bottom w:val="nil"/>
            </w:tcBorders>
            <w:vAlign w:val="top"/>
          </w:tcPr>
          <w:p w14:paraId="06C572E2">
            <w:pPr>
              <w:pStyle w:val="8"/>
              <w:spacing w:before="260" w:line="219" w:lineRule="auto"/>
              <w:ind w:left="193"/>
            </w:pPr>
            <w:r>
              <w:rPr>
                <w:b/>
                <w:bCs/>
                <w:spacing w:val="-4"/>
              </w:rPr>
              <w:t>职权类型</w:t>
            </w:r>
          </w:p>
        </w:tc>
        <w:tc>
          <w:tcPr>
            <w:tcW w:w="8549" w:type="dxa"/>
            <w:vMerge w:val="restart"/>
            <w:tcBorders>
              <w:bottom w:val="nil"/>
            </w:tcBorders>
            <w:vAlign w:val="top"/>
          </w:tcPr>
          <w:p w14:paraId="59302562">
            <w:pPr>
              <w:pStyle w:val="8"/>
              <w:spacing w:before="259" w:line="219" w:lineRule="auto"/>
              <w:ind w:left="3921"/>
            </w:pPr>
            <w:r>
              <w:rPr>
                <w:b/>
                <w:bCs/>
                <w:spacing w:val="-5"/>
              </w:rPr>
              <w:t>实施依据</w:t>
            </w:r>
          </w:p>
        </w:tc>
        <w:tc>
          <w:tcPr>
            <w:tcW w:w="3439" w:type="dxa"/>
            <w:gridSpan w:val="3"/>
            <w:vAlign w:val="top"/>
          </w:tcPr>
          <w:p w14:paraId="268D667F">
            <w:pPr>
              <w:pStyle w:val="8"/>
              <w:spacing w:before="85" w:line="220" w:lineRule="auto"/>
              <w:ind w:left="1365"/>
            </w:pPr>
            <w:r>
              <w:rPr>
                <w:b/>
                <w:bCs/>
                <w:spacing w:val="-5"/>
              </w:rPr>
              <w:t>实施主体</w:t>
            </w:r>
          </w:p>
        </w:tc>
      </w:tr>
      <w:tr w14:paraId="47388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C18B834">
            <w:pPr>
              <w:rPr>
                <w:rFonts w:ascii="Arial"/>
                <w:sz w:val="21"/>
              </w:rPr>
            </w:pPr>
          </w:p>
        </w:tc>
        <w:tc>
          <w:tcPr>
            <w:tcW w:w="1104" w:type="dxa"/>
            <w:vMerge w:val="continue"/>
            <w:tcBorders>
              <w:top w:val="nil"/>
            </w:tcBorders>
            <w:vAlign w:val="top"/>
          </w:tcPr>
          <w:p w14:paraId="30C036B9">
            <w:pPr>
              <w:rPr>
                <w:rFonts w:ascii="Arial"/>
                <w:sz w:val="21"/>
              </w:rPr>
            </w:pPr>
          </w:p>
        </w:tc>
        <w:tc>
          <w:tcPr>
            <w:tcW w:w="1104" w:type="dxa"/>
            <w:vMerge w:val="continue"/>
            <w:tcBorders>
              <w:top w:val="nil"/>
            </w:tcBorders>
            <w:vAlign w:val="top"/>
          </w:tcPr>
          <w:p w14:paraId="2BC8BCAE">
            <w:pPr>
              <w:rPr>
                <w:rFonts w:ascii="Arial"/>
                <w:sz w:val="21"/>
              </w:rPr>
            </w:pPr>
          </w:p>
        </w:tc>
        <w:tc>
          <w:tcPr>
            <w:tcW w:w="8549" w:type="dxa"/>
            <w:vMerge w:val="continue"/>
            <w:tcBorders>
              <w:top w:val="nil"/>
            </w:tcBorders>
            <w:vAlign w:val="top"/>
          </w:tcPr>
          <w:p w14:paraId="6D479F42">
            <w:pPr>
              <w:rPr>
                <w:rFonts w:ascii="Arial"/>
                <w:sz w:val="21"/>
              </w:rPr>
            </w:pPr>
          </w:p>
        </w:tc>
        <w:tc>
          <w:tcPr>
            <w:tcW w:w="1014" w:type="dxa"/>
            <w:vAlign w:val="top"/>
          </w:tcPr>
          <w:p w14:paraId="1F0E6F2E">
            <w:pPr>
              <w:pStyle w:val="8"/>
              <w:spacing w:before="81" w:line="219" w:lineRule="auto"/>
              <w:ind w:left="158"/>
            </w:pPr>
            <w:r>
              <w:rPr>
                <w:b/>
                <w:bCs/>
                <w:spacing w:val="-5"/>
              </w:rPr>
              <w:t>责任部门</w:t>
            </w:r>
          </w:p>
        </w:tc>
        <w:tc>
          <w:tcPr>
            <w:tcW w:w="1407" w:type="dxa"/>
            <w:vAlign w:val="top"/>
          </w:tcPr>
          <w:p w14:paraId="63770B65">
            <w:pPr>
              <w:pStyle w:val="8"/>
              <w:spacing w:before="81" w:line="219" w:lineRule="auto"/>
              <w:ind w:left="167"/>
            </w:pPr>
            <w:r>
              <w:rPr>
                <w:b/>
                <w:bCs/>
                <w:spacing w:val="-3"/>
              </w:rPr>
              <w:t>第一责任层级</w:t>
            </w:r>
          </w:p>
        </w:tc>
        <w:tc>
          <w:tcPr>
            <w:tcW w:w="1018" w:type="dxa"/>
            <w:vAlign w:val="top"/>
          </w:tcPr>
          <w:p w14:paraId="559F25E7">
            <w:pPr>
              <w:pStyle w:val="8"/>
              <w:spacing w:before="81" w:line="219" w:lineRule="auto"/>
              <w:ind w:left="152"/>
            </w:pPr>
            <w:r>
              <w:rPr>
                <w:b/>
                <w:bCs/>
                <w:spacing w:val="-4"/>
              </w:rPr>
              <w:t>承办机构</w:t>
            </w:r>
          </w:p>
        </w:tc>
      </w:tr>
      <w:tr w14:paraId="65710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1" w:hRule="atLeast"/>
        </w:trPr>
        <w:tc>
          <w:tcPr>
            <w:tcW w:w="624" w:type="dxa"/>
            <w:vAlign w:val="top"/>
          </w:tcPr>
          <w:p w14:paraId="1CEAC1FA">
            <w:pPr>
              <w:rPr>
                <w:rFonts w:ascii="Arial"/>
                <w:sz w:val="21"/>
              </w:rPr>
            </w:pPr>
          </w:p>
        </w:tc>
        <w:tc>
          <w:tcPr>
            <w:tcW w:w="1104" w:type="dxa"/>
            <w:vAlign w:val="top"/>
          </w:tcPr>
          <w:p w14:paraId="4E9F41DD">
            <w:pPr>
              <w:rPr>
                <w:rFonts w:ascii="Arial"/>
                <w:sz w:val="21"/>
              </w:rPr>
            </w:pPr>
          </w:p>
        </w:tc>
        <w:tc>
          <w:tcPr>
            <w:tcW w:w="1104" w:type="dxa"/>
            <w:vAlign w:val="top"/>
          </w:tcPr>
          <w:p w14:paraId="0F7EACF8">
            <w:pPr>
              <w:rPr>
                <w:rFonts w:ascii="Arial"/>
                <w:sz w:val="21"/>
              </w:rPr>
            </w:pPr>
          </w:p>
        </w:tc>
        <w:tc>
          <w:tcPr>
            <w:tcW w:w="8549" w:type="dxa"/>
            <w:vAlign w:val="top"/>
          </w:tcPr>
          <w:p w14:paraId="7DE37709">
            <w:pPr>
              <w:pStyle w:val="8"/>
              <w:spacing w:before="32" w:line="233" w:lineRule="auto"/>
              <w:ind w:left="113" w:right="159" w:firstLine="357"/>
            </w:pPr>
            <w:r>
              <w:t>第四十条  违反国家相关规定和本办法规定，项目单位明示或暗示设计、施工单</w:t>
            </w:r>
            <w:r>
              <w:rPr>
                <w:spacing w:val="-1"/>
              </w:rPr>
              <w:t>位违反工程建设强制</w:t>
            </w:r>
            <w:r>
              <w:t xml:space="preserve"> 性标准、降低工程质量的，勘察、设计单位未执行工程建设强制性标准的，施工</w:t>
            </w:r>
            <w:r>
              <w:rPr>
                <w:spacing w:val="-1"/>
              </w:rPr>
              <w:t>单位不按照工程设计图纸</w:t>
            </w:r>
            <w:r>
              <w:t xml:space="preserve"> 或者施工技术标准施工的，工程监理单位与建设单位或者施工单位串通，弄虚作</w:t>
            </w:r>
            <w:r>
              <w:rPr>
                <w:spacing w:val="-1"/>
              </w:rPr>
              <w:t>假、降低工程质量的，依</w:t>
            </w:r>
            <w:r>
              <w:t xml:space="preserve"> </w:t>
            </w:r>
            <w:r>
              <w:rPr>
                <w:spacing w:val="-1"/>
              </w:rPr>
              <w:t>照《建设工程质量管理条例》第五十六条、第六十三条、第六十四条、第六十七条规定作出罚款</w:t>
            </w:r>
            <w:r>
              <w:rPr>
                <w:spacing w:val="-2"/>
              </w:rPr>
              <w:t>决定的，</w:t>
            </w:r>
          </w:p>
          <w:p w14:paraId="508E3438">
            <w:pPr>
              <w:pStyle w:val="8"/>
              <w:spacing w:before="20" w:line="233" w:lineRule="auto"/>
              <w:ind w:left="110" w:right="44" w:firstLine="2"/>
            </w:pPr>
            <w:r>
              <w:rPr>
                <w:spacing w:val="-3"/>
              </w:rPr>
              <w:t>按照以下标准处罚</w:t>
            </w:r>
            <w:r>
              <w:rPr>
                <w:spacing w:val="-9"/>
              </w:rPr>
              <w:t>：</w:t>
            </w:r>
            <w:r>
              <w:rPr>
                <w:spacing w:val="-49"/>
              </w:rPr>
              <w:t xml:space="preserve"> </w:t>
            </w:r>
            <w:r>
              <w:rPr>
                <w:spacing w:val="-9"/>
              </w:rPr>
              <w:t>（</w:t>
            </w:r>
            <w:r>
              <w:rPr>
                <w:spacing w:val="-3"/>
              </w:rPr>
              <w:t>一）工程尚未开工建设的，对项目单位处</w:t>
            </w:r>
            <w:r>
              <w:rPr>
                <w:spacing w:val="-37"/>
              </w:rPr>
              <w:t xml:space="preserve"> </w:t>
            </w:r>
            <w:r>
              <w:rPr>
                <w:spacing w:val="-3"/>
              </w:rPr>
              <w:t>20</w:t>
            </w:r>
            <w:r>
              <w:rPr>
                <w:spacing w:val="-35"/>
              </w:rPr>
              <w:t xml:space="preserve"> </w:t>
            </w:r>
            <w:r>
              <w:rPr>
                <w:spacing w:val="-3"/>
              </w:rPr>
              <w:t>万元以上</w:t>
            </w:r>
            <w:r>
              <w:rPr>
                <w:spacing w:val="-33"/>
              </w:rPr>
              <w:t xml:space="preserve"> </w:t>
            </w:r>
            <w:r>
              <w:rPr>
                <w:spacing w:val="-3"/>
              </w:rPr>
              <w:t>30</w:t>
            </w:r>
            <w:r>
              <w:rPr>
                <w:spacing w:val="-35"/>
              </w:rPr>
              <w:t xml:space="preserve"> </w:t>
            </w:r>
            <w:r>
              <w:rPr>
                <w:spacing w:val="-3"/>
              </w:rPr>
              <w:t>万元以下的罚款；对勘察、</w:t>
            </w:r>
            <w:r>
              <w:t xml:space="preserve"> </w:t>
            </w:r>
            <w:r>
              <w:rPr>
                <w:spacing w:val="-2"/>
              </w:rPr>
              <w:t>设计单位处</w:t>
            </w:r>
            <w:r>
              <w:rPr>
                <w:spacing w:val="-23"/>
              </w:rPr>
              <w:t xml:space="preserve"> </w:t>
            </w:r>
            <w:r>
              <w:rPr>
                <w:spacing w:val="-2"/>
              </w:rPr>
              <w:t>10</w:t>
            </w:r>
            <w:r>
              <w:rPr>
                <w:spacing w:val="-37"/>
              </w:rPr>
              <w:t xml:space="preserve"> </w:t>
            </w:r>
            <w:r>
              <w:rPr>
                <w:spacing w:val="-2"/>
              </w:rPr>
              <w:t>万元以上</w:t>
            </w:r>
            <w:r>
              <w:rPr>
                <w:spacing w:val="-35"/>
              </w:rPr>
              <w:t xml:space="preserve"> </w:t>
            </w:r>
            <w:r>
              <w:rPr>
                <w:spacing w:val="-2"/>
              </w:rPr>
              <w:t>20</w:t>
            </w:r>
            <w:r>
              <w:rPr>
                <w:spacing w:val="-34"/>
              </w:rPr>
              <w:t xml:space="preserve"> </w:t>
            </w:r>
            <w:r>
              <w:rPr>
                <w:spacing w:val="-2"/>
              </w:rPr>
              <w:t>万元以下的罚款</w:t>
            </w:r>
            <w:r>
              <w:rPr>
                <w:spacing w:val="-1"/>
              </w:rPr>
              <w:t>；（</w:t>
            </w:r>
            <w:r>
              <w:rPr>
                <w:spacing w:val="-2"/>
              </w:rPr>
              <w:t>二）工程已开工建设的，对项目单位处</w:t>
            </w:r>
            <w:r>
              <w:rPr>
                <w:spacing w:val="-34"/>
              </w:rPr>
              <w:t xml:space="preserve"> </w:t>
            </w:r>
            <w:r>
              <w:rPr>
                <w:spacing w:val="-2"/>
              </w:rPr>
              <w:t>30</w:t>
            </w:r>
            <w:r>
              <w:rPr>
                <w:spacing w:val="-37"/>
              </w:rPr>
              <w:t xml:space="preserve"> </w:t>
            </w:r>
            <w:r>
              <w:rPr>
                <w:spacing w:val="-2"/>
              </w:rPr>
              <w:t>万</w:t>
            </w:r>
            <w:r>
              <w:rPr>
                <w:spacing w:val="-3"/>
              </w:rPr>
              <w:t>元以上</w:t>
            </w:r>
            <w:r>
              <w:rPr>
                <w:spacing w:val="-34"/>
              </w:rPr>
              <w:t xml:space="preserve"> </w:t>
            </w:r>
            <w:r>
              <w:rPr>
                <w:spacing w:val="-3"/>
              </w:rPr>
              <w:t>50</w:t>
            </w:r>
            <w:r>
              <w:rPr>
                <w:spacing w:val="-34"/>
              </w:rPr>
              <w:t xml:space="preserve"> </w:t>
            </w:r>
            <w:r>
              <w:rPr>
                <w:spacing w:val="-3"/>
              </w:rPr>
              <w:t>万</w:t>
            </w:r>
            <w:r>
              <w:t xml:space="preserve">  </w:t>
            </w:r>
            <w:r>
              <w:rPr>
                <w:spacing w:val="-1"/>
              </w:rPr>
              <w:t>元以下的罚款，对勘察、设计单位处</w:t>
            </w:r>
            <w:r>
              <w:rPr>
                <w:spacing w:val="-35"/>
              </w:rPr>
              <w:t xml:space="preserve"> </w:t>
            </w:r>
            <w:r>
              <w:rPr>
                <w:spacing w:val="-1"/>
              </w:rPr>
              <w:t>20</w:t>
            </w:r>
            <w:r>
              <w:rPr>
                <w:spacing w:val="-37"/>
              </w:rPr>
              <w:t xml:space="preserve"> </w:t>
            </w:r>
            <w:r>
              <w:rPr>
                <w:spacing w:val="-1"/>
              </w:rPr>
              <w:t>万元以上</w:t>
            </w:r>
            <w:r>
              <w:rPr>
                <w:spacing w:val="-34"/>
              </w:rPr>
              <w:t xml:space="preserve"> </w:t>
            </w:r>
            <w:r>
              <w:rPr>
                <w:spacing w:val="-1"/>
              </w:rPr>
              <w:t>30</w:t>
            </w:r>
            <w:r>
              <w:rPr>
                <w:spacing w:val="-34"/>
              </w:rPr>
              <w:t xml:space="preserve"> </w:t>
            </w:r>
            <w:r>
              <w:rPr>
                <w:spacing w:val="-1"/>
              </w:rPr>
              <w:t>万元以下的罚款；对施工单位处工</w:t>
            </w:r>
            <w:r>
              <w:rPr>
                <w:spacing w:val="-2"/>
              </w:rPr>
              <w:t>程合同价款</w:t>
            </w:r>
            <w:r>
              <w:rPr>
                <w:spacing w:val="-35"/>
              </w:rPr>
              <w:t xml:space="preserve"> </w:t>
            </w:r>
            <w:r>
              <w:rPr>
                <w:spacing w:val="-2"/>
              </w:rPr>
              <w:t>2%以上</w:t>
            </w:r>
            <w:r>
              <w:t xml:space="preserve"> </w:t>
            </w:r>
            <w:r>
              <w:rPr>
                <w:spacing w:val="-3"/>
              </w:rPr>
              <w:t>4%以下的罚款；对工程监理单位处</w:t>
            </w:r>
            <w:r>
              <w:rPr>
                <w:spacing w:val="-16"/>
              </w:rPr>
              <w:t xml:space="preserve"> </w:t>
            </w:r>
            <w:r>
              <w:rPr>
                <w:spacing w:val="-3"/>
              </w:rPr>
              <w:t>50</w:t>
            </w:r>
            <w:r>
              <w:rPr>
                <w:spacing w:val="-37"/>
              </w:rPr>
              <w:t xml:space="preserve"> </w:t>
            </w:r>
            <w:r>
              <w:rPr>
                <w:spacing w:val="-3"/>
              </w:rPr>
              <w:t>万元以上</w:t>
            </w:r>
            <w:r>
              <w:rPr>
                <w:spacing w:val="-24"/>
              </w:rPr>
              <w:t xml:space="preserve"> </w:t>
            </w:r>
            <w:r>
              <w:rPr>
                <w:spacing w:val="-3"/>
              </w:rPr>
              <w:t>100</w:t>
            </w:r>
            <w:r>
              <w:rPr>
                <w:spacing w:val="-34"/>
              </w:rPr>
              <w:t xml:space="preserve"> </w:t>
            </w:r>
            <w:r>
              <w:rPr>
                <w:spacing w:val="-3"/>
              </w:rPr>
              <w:t>万元以下的罚款。</w:t>
            </w:r>
          </w:p>
          <w:p w14:paraId="0AADD491">
            <w:pPr>
              <w:pStyle w:val="8"/>
              <w:spacing w:before="17" w:line="219" w:lineRule="auto"/>
              <w:ind w:left="474"/>
            </w:pPr>
            <w:r>
              <w:rPr>
                <w:b/>
                <w:bCs/>
                <w:spacing w:val="-3"/>
              </w:rPr>
              <w:t>5.《公路水运工程质量监督管理规定》（交通运输部令</w:t>
            </w:r>
            <w:r>
              <w:rPr>
                <w:spacing w:val="-27"/>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4"/>
              </w:rPr>
              <w:t xml:space="preserve"> </w:t>
            </w:r>
            <w:r>
              <w:rPr>
                <w:b/>
                <w:bCs/>
                <w:spacing w:val="-3"/>
              </w:rPr>
              <w:t>号）</w:t>
            </w:r>
          </w:p>
          <w:p w14:paraId="7CD25D40">
            <w:pPr>
              <w:pStyle w:val="8"/>
              <w:spacing w:before="18" w:line="232" w:lineRule="auto"/>
              <w:ind w:left="110" w:right="159" w:firstLine="360"/>
              <w:jc w:val="both"/>
            </w:pPr>
            <w:r>
              <w:t>第八条  建设单位对工程质量负管理责任，应当科学组织管理，落实国家法律、</w:t>
            </w:r>
            <w:r>
              <w:rPr>
                <w:spacing w:val="-1"/>
              </w:rPr>
              <w:t>法规、工程建设强制</w:t>
            </w:r>
            <w:r>
              <w:t xml:space="preserve"> 性标准的规定，严格执行国家有关工程建设管理程序，建立健全项目管理责任机制，完</w:t>
            </w:r>
            <w:r>
              <w:rPr>
                <w:spacing w:val="-1"/>
              </w:rPr>
              <w:t>善工程项目管理制</w:t>
            </w:r>
            <w:r>
              <w:t xml:space="preserve"> </w:t>
            </w:r>
            <w:r>
              <w:rPr>
                <w:spacing w:val="-3"/>
              </w:rPr>
              <w:t>度，严格落实质量责任制。</w:t>
            </w:r>
          </w:p>
          <w:p w14:paraId="4B119D9C">
            <w:pPr>
              <w:pStyle w:val="8"/>
              <w:spacing w:before="17" w:line="232" w:lineRule="auto"/>
              <w:ind w:left="111" w:right="159" w:firstLine="360"/>
            </w:pPr>
            <w:r>
              <w:t>第十条  勘察、设计单位对勘察、设计质量负责，应当按照有关规定、强制性标</w:t>
            </w:r>
            <w:r>
              <w:rPr>
                <w:spacing w:val="-1"/>
              </w:rPr>
              <w:t>准进行勘察、设计，</w:t>
            </w:r>
            <w:r>
              <w:t xml:space="preserve"> 保证勘察、设计工作深度和质量。勘察单位提供的勘察成果文件应当满足工程设计的</w:t>
            </w:r>
            <w:r>
              <w:rPr>
                <w:spacing w:val="-1"/>
              </w:rPr>
              <w:t>需要。设计单位应当</w:t>
            </w:r>
            <w:r>
              <w:t xml:space="preserve"> </w:t>
            </w:r>
            <w:r>
              <w:rPr>
                <w:spacing w:val="-3"/>
              </w:rPr>
              <w:t>根据勘察成果文件进行工程设计。</w:t>
            </w:r>
          </w:p>
          <w:p w14:paraId="7925D8C0">
            <w:pPr>
              <w:pStyle w:val="8"/>
              <w:spacing w:before="17" w:line="228" w:lineRule="auto"/>
              <w:ind w:left="113" w:right="58" w:firstLine="357"/>
              <w:jc w:val="both"/>
            </w:pPr>
            <w:r>
              <w:rPr>
                <w:spacing w:val="-2"/>
              </w:rPr>
              <w:t>第三十九条  违反本规定第十条规定，勘察、设计单位未按照工程建设强制性标准进行勘察、设计的，</w:t>
            </w:r>
            <w:r>
              <w:rPr>
                <w:spacing w:val="5"/>
              </w:rPr>
              <w:t xml:space="preserve"> </w:t>
            </w:r>
            <w:r>
              <w:t>设计单位未根据勘察成果文件进行工程设计的，依照《建设工程质量管理条例》</w:t>
            </w:r>
            <w:r>
              <w:rPr>
                <w:spacing w:val="-1"/>
              </w:rPr>
              <w:t>第六十三条规定，责令改</w:t>
            </w:r>
            <w:r>
              <w:t xml:space="preserve">  </w:t>
            </w:r>
            <w:r>
              <w:rPr>
                <w:spacing w:val="-1"/>
              </w:rPr>
              <w:t>正，按以下标准处以罚款；造成质量事故的，责令停工整顿</w:t>
            </w:r>
            <w:r>
              <w:rPr>
                <w:spacing w:val="-15"/>
              </w:rPr>
              <w:t>：（</w:t>
            </w:r>
            <w:r>
              <w:rPr>
                <w:spacing w:val="-1"/>
              </w:rPr>
              <w:t>一）工程尚未开工建设的，处</w:t>
            </w:r>
            <w:r>
              <w:rPr>
                <w:spacing w:val="-26"/>
              </w:rPr>
              <w:t xml:space="preserve"> </w:t>
            </w:r>
            <w:r>
              <w:rPr>
                <w:spacing w:val="-1"/>
              </w:rPr>
              <w:t>10</w:t>
            </w:r>
            <w:r>
              <w:rPr>
                <w:spacing w:val="-34"/>
              </w:rPr>
              <w:t xml:space="preserve"> </w:t>
            </w:r>
            <w:r>
              <w:rPr>
                <w:spacing w:val="-1"/>
              </w:rPr>
              <w:t>万元以上</w:t>
            </w:r>
            <w:r>
              <w:t xml:space="preserve"> </w:t>
            </w:r>
            <w:r>
              <w:rPr>
                <w:spacing w:val="-2"/>
              </w:rPr>
              <w:t>20</w:t>
            </w:r>
            <w:r>
              <w:rPr>
                <w:spacing w:val="-34"/>
              </w:rPr>
              <w:t xml:space="preserve"> </w:t>
            </w:r>
            <w:r>
              <w:rPr>
                <w:spacing w:val="-2"/>
              </w:rPr>
              <w:t>万元以下的罚款</w:t>
            </w:r>
            <w:r>
              <w:rPr>
                <w:spacing w:val="-1"/>
              </w:rPr>
              <w:t>；（</w:t>
            </w:r>
            <w:r>
              <w:rPr>
                <w:spacing w:val="-2"/>
              </w:rPr>
              <w:t>二）工程已开工建设的，处</w:t>
            </w:r>
            <w:r>
              <w:rPr>
                <w:spacing w:val="-37"/>
              </w:rPr>
              <w:t xml:space="preserve"> </w:t>
            </w:r>
            <w:r>
              <w:rPr>
                <w:spacing w:val="-2"/>
              </w:rPr>
              <w:t>20</w:t>
            </w:r>
            <w:r>
              <w:rPr>
                <w:spacing w:val="-34"/>
              </w:rPr>
              <w:t xml:space="preserve"> </w:t>
            </w:r>
            <w:r>
              <w:rPr>
                <w:spacing w:val="-2"/>
              </w:rPr>
              <w:t>万元以上</w:t>
            </w:r>
            <w:r>
              <w:rPr>
                <w:spacing w:val="-34"/>
              </w:rPr>
              <w:t xml:space="preserve"> </w:t>
            </w:r>
            <w:r>
              <w:rPr>
                <w:spacing w:val="-2"/>
              </w:rPr>
              <w:t>30</w:t>
            </w:r>
            <w:r>
              <w:rPr>
                <w:spacing w:val="-35"/>
              </w:rPr>
              <w:t xml:space="preserve"> </w:t>
            </w:r>
            <w:r>
              <w:rPr>
                <w:spacing w:val="-2"/>
              </w:rPr>
              <w:t>万</w:t>
            </w:r>
            <w:r>
              <w:rPr>
                <w:spacing w:val="-3"/>
              </w:rPr>
              <w:t>元以下的罚款。</w:t>
            </w:r>
          </w:p>
        </w:tc>
        <w:tc>
          <w:tcPr>
            <w:tcW w:w="1014" w:type="dxa"/>
            <w:vAlign w:val="top"/>
          </w:tcPr>
          <w:p w14:paraId="6C03B8A4">
            <w:pPr>
              <w:rPr>
                <w:rFonts w:ascii="Arial"/>
                <w:sz w:val="21"/>
              </w:rPr>
            </w:pPr>
          </w:p>
        </w:tc>
        <w:tc>
          <w:tcPr>
            <w:tcW w:w="1407" w:type="dxa"/>
            <w:vAlign w:val="top"/>
          </w:tcPr>
          <w:p w14:paraId="435BA672">
            <w:pPr>
              <w:rPr>
                <w:rFonts w:ascii="Arial"/>
                <w:sz w:val="21"/>
              </w:rPr>
            </w:pPr>
          </w:p>
        </w:tc>
        <w:tc>
          <w:tcPr>
            <w:tcW w:w="1018" w:type="dxa"/>
            <w:vAlign w:val="top"/>
          </w:tcPr>
          <w:p w14:paraId="5FC03BC4">
            <w:pPr>
              <w:rPr>
                <w:rFonts w:ascii="Arial"/>
                <w:sz w:val="21"/>
              </w:rPr>
            </w:pPr>
          </w:p>
        </w:tc>
      </w:tr>
      <w:tr w14:paraId="7E866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1" w:hRule="atLeast"/>
        </w:trPr>
        <w:tc>
          <w:tcPr>
            <w:tcW w:w="624" w:type="dxa"/>
            <w:vAlign w:val="top"/>
          </w:tcPr>
          <w:p w14:paraId="2E29B56C">
            <w:pPr>
              <w:spacing w:line="245" w:lineRule="auto"/>
              <w:rPr>
                <w:rFonts w:ascii="Arial"/>
                <w:sz w:val="21"/>
              </w:rPr>
            </w:pPr>
          </w:p>
          <w:p w14:paraId="62E82B6F">
            <w:pPr>
              <w:spacing w:line="245" w:lineRule="auto"/>
              <w:rPr>
                <w:rFonts w:ascii="Arial"/>
                <w:sz w:val="21"/>
              </w:rPr>
            </w:pPr>
          </w:p>
          <w:p w14:paraId="49C2A957">
            <w:pPr>
              <w:spacing w:line="246" w:lineRule="auto"/>
              <w:rPr>
                <w:rFonts w:ascii="Arial"/>
                <w:sz w:val="21"/>
              </w:rPr>
            </w:pPr>
          </w:p>
          <w:p w14:paraId="338ED15B">
            <w:pPr>
              <w:spacing w:line="246" w:lineRule="auto"/>
              <w:rPr>
                <w:rFonts w:ascii="Arial"/>
                <w:sz w:val="21"/>
              </w:rPr>
            </w:pPr>
          </w:p>
          <w:p w14:paraId="15921DA2">
            <w:pPr>
              <w:spacing w:line="246" w:lineRule="auto"/>
              <w:rPr>
                <w:rFonts w:ascii="Arial"/>
                <w:sz w:val="21"/>
              </w:rPr>
            </w:pPr>
          </w:p>
          <w:p w14:paraId="503F6E53">
            <w:pPr>
              <w:spacing w:line="246" w:lineRule="auto"/>
              <w:rPr>
                <w:rFonts w:ascii="Arial"/>
                <w:sz w:val="21"/>
              </w:rPr>
            </w:pPr>
          </w:p>
          <w:p w14:paraId="6E1B36F5">
            <w:pPr>
              <w:spacing w:line="246" w:lineRule="auto"/>
              <w:rPr>
                <w:rFonts w:ascii="Arial"/>
                <w:sz w:val="21"/>
              </w:rPr>
            </w:pPr>
          </w:p>
          <w:p w14:paraId="50D92B78">
            <w:pPr>
              <w:spacing w:line="246" w:lineRule="auto"/>
              <w:rPr>
                <w:rFonts w:ascii="Arial"/>
                <w:sz w:val="21"/>
              </w:rPr>
            </w:pPr>
          </w:p>
          <w:p w14:paraId="23FB59E1">
            <w:pPr>
              <w:pStyle w:val="8"/>
              <w:spacing w:before="59" w:line="183" w:lineRule="auto"/>
              <w:ind w:left="234"/>
            </w:pPr>
            <w:r>
              <w:rPr>
                <w:spacing w:val="-6"/>
              </w:rPr>
              <w:t>50</w:t>
            </w:r>
          </w:p>
        </w:tc>
        <w:tc>
          <w:tcPr>
            <w:tcW w:w="1104" w:type="dxa"/>
            <w:vAlign w:val="top"/>
          </w:tcPr>
          <w:p w14:paraId="1B1BCF65">
            <w:pPr>
              <w:spacing w:line="245" w:lineRule="auto"/>
              <w:rPr>
                <w:rFonts w:ascii="Arial"/>
                <w:sz w:val="21"/>
              </w:rPr>
            </w:pPr>
          </w:p>
          <w:p w14:paraId="560827E4">
            <w:pPr>
              <w:spacing w:line="245" w:lineRule="auto"/>
              <w:rPr>
                <w:rFonts w:ascii="Arial"/>
                <w:sz w:val="21"/>
              </w:rPr>
            </w:pPr>
          </w:p>
          <w:p w14:paraId="1CB7CB42">
            <w:pPr>
              <w:spacing w:line="245" w:lineRule="auto"/>
              <w:rPr>
                <w:rFonts w:ascii="Arial"/>
                <w:sz w:val="21"/>
              </w:rPr>
            </w:pPr>
          </w:p>
          <w:p w14:paraId="121E1B6B">
            <w:pPr>
              <w:spacing w:line="246" w:lineRule="auto"/>
              <w:rPr>
                <w:rFonts w:ascii="Arial"/>
                <w:sz w:val="21"/>
              </w:rPr>
            </w:pPr>
          </w:p>
          <w:p w14:paraId="7E41FA3C">
            <w:pPr>
              <w:pStyle w:val="8"/>
              <w:spacing w:before="59" w:line="244" w:lineRule="auto"/>
              <w:ind w:left="60" w:right="56"/>
              <w:jc w:val="both"/>
            </w:pPr>
            <w:r>
              <w:rPr>
                <w:spacing w:val="16"/>
              </w:rPr>
              <w:t>对施工单位</w:t>
            </w:r>
            <w:r>
              <w:rPr>
                <w:spacing w:val="1"/>
              </w:rPr>
              <w:t xml:space="preserve"> </w:t>
            </w:r>
            <w:r>
              <w:rPr>
                <w:spacing w:val="16"/>
              </w:rPr>
              <w:t>在工程上使</w:t>
            </w:r>
            <w:r>
              <w:rPr>
                <w:spacing w:val="1"/>
              </w:rPr>
              <w:t xml:space="preserve"> </w:t>
            </w:r>
            <w:r>
              <w:rPr>
                <w:spacing w:val="16"/>
              </w:rPr>
              <w:t>用或安装未</w:t>
            </w:r>
            <w:r>
              <w:rPr>
                <w:spacing w:val="1"/>
              </w:rPr>
              <w:t xml:space="preserve"> </w:t>
            </w:r>
            <w:r>
              <w:rPr>
                <w:spacing w:val="16"/>
              </w:rPr>
              <w:t>经监理工程</w:t>
            </w:r>
            <w:r>
              <w:rPr>
                <w:spacing w:val="1"/>
              </w:rPr>
              <w:t xml:space="preserve"> </w:t>
            </w:r>
            <w:r>
              <w:rPr>
                <w:spacing w:val="16"/>
              </w:rPr>
              <w:t>师签认的建</w:t>
            </w:r>
            <w:r>
              <w:rPr>
                <w:spacing w:val="1"/>
              </w:rPr>
              <w:t xml:space="preserve"> </w:t>
            </w:r>
            <w:r>
              <w:rPr>
                <w:spacing w:val="-2"/>
              </w:rPr>
              <w:t>筑材料、构</w:t>
            </w:r>
            <w:r>
              <w:rPr>
                <w:spacing w:val="1"/>
              </w:rPr>
              <w:t xml:space="preserve">  </w:t>
            </w:r>
            <w:r>
              <w:rPr>
                <w:spacing w:val="16"/>
              </w:rPr>
              <w:t>件和设备等</w:t>
            </w:r>
            <w:r>
              <w:rPr>
                <w:spacing w:val="1"/>
              </w:rPr>
              <w:t xml:space="preserve"> </w:t>
            </w:r>
            <w:r>
              <w:rPr>
                <w:spacing w:val="7"/>
              </w:rPr>
              <w:t>行为</w:t>
            </w:r>
            <w:r>
              <w:rPr>
                <w:spacing w:val="-44"/>
              </w:rPr>
              <w:t xml:space="preserve"> </w:t>
            </w:r>
            <w:r>
              <w:rPr>
                <w:spacing w:val="7"/>
              </w:rPr>
              <w:t>的行政</w:t>
            </w:r>
            <w:r>
              <w:t xml:space="preserve"> </w:t>
            </w:r>
            <w:r>
              <w:rPr>
                <w:spacing w:val="-2"/>
              </w:rPr>
              <w:t>处罚</w:t>
            </w:r>
          </w:p>
        </w:tc>
        <w:tc>
          <w:tcPr>
            <w:tcW w:w="1104" w:type="dxa"/>
            <w:vAlign w:val="top"/>
          </w:tcPr>
          <w:p w14:paraId="4B4654CE">
            <w:pPr>
              <w:spacing w:line="242" w:lineRule="auto"/>
              <w:rPr>
                <w:rFonts w:ascii="Arial"/>
                <w:sz w:val="21"/>
              </w:rPr>
            </w:pPr>
          </w:p>
          <w:p w14:paraId="3E6D73FD">
            <w:pPr>
              <w:spacing w:line="242" w:lineRule="auto"/>
              <w:rPr>
                <w:rFonts w:ascii="Arial"/>
                <w:sz w:val="21"/>
              </w:rPr>
            </w:pPr>
          </w:p>
          <w:p w14:paraId="404D5854">
            <w:pPr>
              <w:spacing w:line="242" w:lineRule="auto"/>
              <w:rPr>
                <w:rFonts w:ascii="Arial"/>
                <w:sz w:val="21"/>
              </w:rPr>
            </w:pPr>
          </w:p>
          <w:p w14:paraId="59AB14F4">
            <w:pPr>
              <w:spacing w:line="242" w:lineRule="auto"/>
              <w:rPr>
                <w:rFonts w:ascii="Arial"/>
                <w:sz w:val="21"/>
              </w:rPr>
            </w:pPr>
          </w:p>
          <w:p w14:paraId="479EC10C">
            <w:pPr>
              <w:spacing w:line="242" w:lineRule="auto"/>
              <w:rPr>
                <w:rFonts w:ascii="Arial"/>
                <w:sz w:val="21"/>
              </w:rPr>
            </w:pPr>
          </w:p>
          <w:p w14:paraId="37F8270A">
            <w:pPr>
              <w:spacing w:line="242" w:lineRule="auto"/>
              <w:rPr>
                <w:rFonts w:ascii="Arial"/>
                <w:sz w:val="21"/>
              </w:rPr>
            </w:pPr>
          </w:p>
          <w:p w14:paraId="4AA77BCD">
            <w:pPr>
              <w:spacing w:line="243" w:lineRule="auto"/>
              <w:rPr>
                <w:rFonts w:ascii="Arial"/>
                <w:sz w:val="21"/>
              </w:rPr>
            </w:pPr>
          </w:p>
          <w:p w14:paraId="1365405E">
            <w:pPr>
              <w:spacing w:line="243" w:lineRule="auto"/>
              <w:rPr>
                <w:rFonts w:ascii="Arial"/>
                <w:sz w:val="21"/>
              </w:rPr>
            </w:pPr>
          </w:p>
          <w:p w14:paraId="6988CD37">
            <w:pPr>
              <w:pStyle w:val="8"/>
              <w:spacing w:before="59" w:line="220" w:lineRule="auto"/>
              <w:ind w:left="10"/>
            </w:pPr>
            <w:r>
              <w:rPr>
                <w:spacing w:val="-2"/>
              </w:rPr>
              <w:t>行政处罚</w:t>
            </w:r>
          </w:p>
        </w:tc>
        <w:tc>
          <w:tcPr>
            <w:tcW w:w="8549" w:type="dxa"/>
            <w:vAlign w:val="top"/>
          </w:tcPr>
          <w:p w14:paraId="3460B03D">
            <w:pPr>
              <w:pStyle w:val="8"/>
              <w:spacing w:before="34" w:line="219" w:lineRule="auto"/>
              <w:ind w:left="573"/>
            </w:pPr>
            <w:r>
              <w:rPr>
                <w:b/>
                <w:bCs/>
                <w:spacing w:val="-4"/>
              </w:rPr>
              <w:t>1.《建设工程质量管理条例》</w:t>
            </w:r>
          </w:p>
          <w:p w14:paraId="18A8D1EA">
            <w:pPr>
              <w:pStyle w:val="8"/>
              <w:spacing w:before="19" w:line="219" w:lineRule="auto"/>
              <w:ind w:left="471"/>
            </w:pPr>
            <w:r>
              <w:rPr>
                <w:spacing w:val="-1"/>
              </w:rPr>
              <w:t>第三十七条  工程监理单位应当选派具备相应资格的总监理工程师和监理工程师进驻施工现场。</w:t>
            </w:r>
          </w:p>
          <w:p w14:paraId="5292DC0D">
            <w:pPr>
              <w:pStyle w:val="8"/>
              <w:spacing w:before="18" w:line="228" w:lineRule="auto"/>
              <w:ind w:left="116" w:right="159" w:firstLine="357"/>
            </w:pPr>
            <w:r>
              <w:t>未经监理工程师签字，建筑材料、建筑构配件和设备不得在工程上使用或者</w:t>
            </w:r>
            <w:r>
              <w:rPr>
                <w:spacing w:val="-1"/>
              </w:rPr>
              <w:t>安装，施工单位不得进行</w:t>
            </w:r>
            <w:r>
              <w:t xml:space="preserve"> </w:t>
            </w:r>
            <w:r>
              <w:rPr>
                <w:spacing w:val="-1"/>
              </w:rPr>
              <w:t>下一道工序的施工。未经总监理工程师签字，建设单位不拨付工程款，不进行竣工验收。</w:t>
            </w:r>
          </w:p>
          <w:p w14:paraId="29757B22">
            <w:pPr>
              <w:pStyle w:val="8"/>
              <w:spacing w:before="19" w:line="233" w:lineRule="auto"/>
              <w:ind w:left="110" w:right="159" w:firstLine="360"/>
            </w:pPr>
            <w:r>
              <w:t>第六十四条  违反本条例规定，施工单位在施工中偷工减料的，使用不合格的建</w:t>
            </w:r>
            <w:r>
              <w:rPr>
                <w:spacing w:val="-1"/>
              </w:rPr>
              <w:t>筑材料、建筑构配件</w:t>
            </w:r>
            <w:r>
              <w:t xml:space="preserve"> 和设备的，或者有不按照工程设计图纸或者施工技术标准施工的其他行为的，责令改正</w:t>
            </w:r>
            <w:r>
              <w:rPr>
                <w:spacing w:val="-1"/>
              </w:rPr>
              <w:t>，处工程合同价款</w:t>
            </w:r>
            <w:r>
              <w:t xml:space="preserve"> 百分之二以上百分之四以下的罚款；造成建设工程质量不符合规定的质量标准的，负责</w:t>
            </w:r>
            <w:r>
              <w:rPr>
                <w:spacing w:val="-1"/>
              </w:rPr>
              <w:t>返工、修理，并赔</w:t>
            </w:r>
            <w:r>
              <w:t xml:space="preserve"> </w:t>
            </w:r>
            <w:r>
              <w:rPr>
                <w:spacing w:val="-1"/>
              </w:rPr>
              <w:t>偿因此造成的损失；情节严重的，责令停业整顿，降低资质等级或者吊销资质证书。</w:t>
            </w:r>
          </w:p>
          <w:p w14:paraId="42E7FB52">
            <w:pPr>
              <w:pStyle w:val="8"/>
              <w:spacing w:before="19" w:line="219" w:lineRule="auto"/>
              <w:ind w:left="473"/>
            </w:pPr>
            <w:r>
              <w:rPr>
                <w:b/>
                <w:bCs/>
                <w:spacing w:val="-3"/>
              </w:rPr>
              <w:t>2.《公路建设监督管理办法》（交通运输部</w:t>
            </w:r>
            <w:r>
              <w:rPr>
                <w:b/>
                <w:bCs/>
                <w:spacing w:val="-4"/>
              </w:rPr>
              <w:t>令</w:t>
            </w:r>
            <w:r>
              <w:rPr>
                <w:spacing w:val="-35"/>
              </w:rPr>
              <w:t xml:space="preserve"> </w:t>
            </w:r>
            <w:r>
              <w:rPr>
                <w:b/>
                <w:bCs/>
                <w:spacing w:val="-4"/>
              </w:rPr>
              <w:t>2021</w:t>
            </w:r>
            <w:r>
              <w:rPr>
                <w:spacing w:val="-38"/>
              </w:rPr>
              <w:t xml:space="preserve"> </w:t>
            </w:r>
            <w:r>
              <w:rPr>
                <w:b/>
                <w:bCs/>
                <w:spacing w:val="-4"/>
              </w:rPr>
              <w:t>年第</w:t>
            </w:r>
            <w:r>
              <w:rPr>
                <w:spacing w:val="-22"/>
              </w:rPr>
              <w:t xml:space="preserve"> </w:t>
            </w:r>
            <w:r>
              <w:rPr>
                <w:b/>
                <w:bCs/>
                <w:spacing w:val="-4"/>
              </w:rPr>
              <w:t>11</w:t>
            </w:r>
            <w:r>
              <w:rPr>
                <w:spacing w:val="-34"/>
              </w:rPr>
              <w:t xml:space="preserve"> </w:t>
            </w:r>
            <w:r>
              <w:rPr>
                <w:b/>
                <w:bCs/>
                <w:spacing w:val="-4"/>
              </w:rPr>
              <w:t>号）</w:t>
            </w:r>
          </w:p>
          <w:p w14:paraId="04733AE4">
            <w:pPr>
              <w:pStyle w:val="8"/>
              <w:spacing w:before="17" w:line="232" w:lineRule="auto"/>
              <w:ind w:left="111" w:right="159" w:firstLine="360"/>
              <w:jc w:val="both"/>
            </w:pPr>
            <w:r>
              <w:t>第二十三条  公路建设项目实施过程中，监理单位应当依照法律、法规、规章以</w:t>
            </w:r>
            <w:r>
              <w:rPr>
                <w:spacing w:val="-1"/>
              </w:rPr>
              <w:t>及有关技术标准、设</w:t>
            </w:r>
            <w:r>
              <w:t xml:space="preserve"> 计文件、合同文件和监理规范的要求，采用旁站、巡视和平行检验形式对工程实施监</w:t>
            </w:r>
            <w:r>
              <w:rPr>
                <w:spacing w:val="-1"/>
              </w:rPr>
              <w:t>理，对不符合工程质</w:t>
            </w:r>
            <w:r>
              <w:t xml:space="preserve"> </w:t>
            </w:r>
            <w:r>
              <w:rPr>
                <w:spacing w:val="-2"/>
              </w:rPr>
              <w:t>量与安全要求的工程应当责令施工单位返工。</w:t>
            </w:r>
          </w:p>
          <w:p w14:paraId="0FCA0A0B">
            <w:pPr>
              <w:pStyle w:val="8"/>
              <w:spacing w:before="16" w:line="230" w:lineRule="auto"/>
              <w:ind w:left="113" w:right="159" w:firstLine="360"/>
            </w:pPr>
            <w:r>
              <w:t>未经监理工程师签认，施工单位不得将建筑材料、构件和设备在工程上使用</w:t>
            </w:r>
            <w:r>
              <w:rPr>
                <w:spacing w:val="-1"/>
              </w:rPr>
              <w:t>或安装，不得进行下一道</w:t>
            </w:r>
            <w:r>
              <w:t xml:space="preserve"> </w:t>
            </w:r>
            <w:r>
              <w:rPr>
                <w:spacing w:val="-6"/>
              </w:rPr>
              <w:t>工序施工。</w:t>
            </w:r>
          </w:p>
          <w:p w14:paraId="497DFE9A">
            <w:pPr>
              <w:pStyle w:val="8"/>
              <w:spacing w:before="16" w:line="228" w:lineRule="auto"/>
              <w:ind w:left="110" w:right="104" w:firstLine="360"/>
              <w:jc w:val="both"/>
            </w:pPr>
            <w:r>
              <w:t>第四十四条  违反本办法第二十三条规定，监理单位将不合格的工程、建筑材料</w:t>
            </w:r>
            <w:r>
              <w:rPr>
                <w:spacing w:val="-1"/>
              </w:rPr>
              <w:t>、构件和设备按合格</w:t>
            </w:r>
            <w:r>
              <w:t xml:space="preserve"> </w:t>
            </w:r>
            <w:r>
              <w:rPr>
                <w:spacing w:val="-2"/>
              </w:rPr>
              <w:t>予以签认的，责令改正，可给予警告处罚，情节严重的，处</w:t>
            </w:r>
            <w:r>
              <w:rPr>
                <w:spacing w:val="-34"/>
              </w:rPr>
              <w:t xml:space="preserve"> </w:t>
            </w:r>
            <w:r>
              <w:rPr>
                <w:spacing w:val="-2"/>
              </w:rPr>
              <w:t>50</w:t>
            </w:r>
            <w:r>
              <w:rPr>
                <w:spacing w:val="-34"/>
              </w:rPr>
              <w:t xml:space="preserve"> </w:t>
            </w:r>
            <w:r>
              <w:rPr>
                <w:spacing w:val="-2"/>
              </w:rPr>
              <w:t>万元以上</w:t>
            </w:r>
            <w:r>
              <w:rPr>
                <w:spacing w:val="-27"/>
              </w:rPr>
              <w:t xml:space="preserve"> </w:t>
            </w:r>
            <w:r>
              <w:rPr>
                <w:spacing w:val="-2"/>
              </w:rPr>
              <w:t>100</w:t>
            </w:r>
            <w:r>
              <w:rPr>
                <w:spacing w:val="-32"/>
              </w:rPr>
              <w:t xml:space="preserve"> </w:t>
            </w:r>
            <w:r>
              <w:rPr>
                <w:spacing w:val="-2"/>
              </w:rPr>
              <w:t>万元以下罚款；施工单位在工</w:t>
            </w:r>
            <w:r>
              <w:t xml:space="preserve"> 程上使用或安装未经监理签认的建筑材料、构件和设备的，责令改正，可给予警告处罚</w:t>
            </w:r>
            <w:r>
              <w:rPr>
                <w:spacing w:val="-1"/>
              </w:rPr>
              <w:t>，情节严重的，处</w:t>
            </w:r>
            <w:r>
              <w:t xml:space="preserve"> </w:t>
            </w:r>
            <w:r>
              <w:rPr>
                <w:spacing w:val="-3"/>
              </w:rPr>
              <w:t>工程合同价款</w:t>
            </w:r>
            <w:r>
              <w:rPr>
                <w:spacing w:val="-26"/>
              </w:rPr>
              <w:t xml:space="preserve"> </w:t>
            </w:r>
            <w:r>
              <w:rPr>
                <w:spacing w:val="-3"/>
              </w:rPr>
              <w:t>2%以上</w:t>
            </w:r>
            <w:r>
              <w:rPr>
                <w:spacing w:val="-41"/>
              </w:rPr>
              <w:t xml:space="preserve"> </w:t>
            </w:r>
            <w:r>
              <w:rPr>
                <w:spacing w:val="-3"/>
              </w:rPr>
              <w:t>4%以下的罚款。</w:t>
            </w:r>
          </w:p>
        </w:tc>
        <w:tc>
          <w:tcPr>
            <w:tcW w:w="1014" w:type="dxa"/>
            <w:vAlign w:val="top"/>
          </w:tcPr>
          <w:p w14:paraId="202D6DAC">
            <w:pPr>
              <w:spacing w:line="259" w:lineRule="auto"/>
              <w:rPr>
                <w:rFonts w:ascii="Arial"/>
                <w:sz w:val="21"/>
              </w:rPr>
            </w:pPr>
          </w:p>
          <w:p w14:paraId="3E97D742">
            <w:pPr>
              <w:spacing w:line="260" w:lineRule="auto"/>
              <w:rPr>
                <w:rFonts w:ascii="Arial"/>
                <w:sz w:val="21"/>
              </w:rPr>
            </w:pPr>
          </w:p>
          <w:p w14:paraId="3EA35574">
            <w:pPr>
              <w:spacing w:line="260" w:lineRule="auto"/>
              <w:rPr>
                <w:rFonts w:ascii="Arial"/>
                <w:sz w:val="21"/>
              </w:rPr>
            </w:pPr>
          </w:p>
          <w:p w14:paraId="0AA63364">
            <w:pPr>
              <w:spacing w:line="260" w:lineRule="auto"/>
              <w:rPr>
                <w:rFonts w:ascii="Arial"/>
                <w:sz w:val="21"/>
              </w:rPr>
            </w:pPr>
          </w:p>
          <w:p w14:paraId="7E64BA69">
            <w:pPr>
              <w:spacing w:line="260" w:lineRule="auto"/>
              <w:rPr>
                <w:rFonts w:ascii="Arial"/>
                <w:sz w:val="21"/>
              </w:rPr>
            </w:pPr>
          </w:p>
          <w:p w14:paraId="1A6AD6DA">
            <w:pPr>
              <w:spacing w:line="260" w:lineRule="auto"/>
              <w:rPr>
                <w:rFonts w:ascii="Arial"/>
                <w:sz w:val="21"/>
              </w:rPr>
            </w:pPr>
          </w:p>
          <w:p w14:paraId="04DC5789">
            <w:pPr>
              <w:spacing w:line="260" w:lineRule="auto"/>
              <w:rPr>
                <w:rFonts w:ascii="Arial"/>
                <w:sz w:val="21"/>
              </w:rPr>
            </w:pPr>
          </w:p>
          <w:p w14:paraId="31969ECE">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21934D2C">
            <w:pPr>
              <w:spacing w:line="259" w:lineRule="auto"/>
              <w:rPr>
                <w:rFonts w:ascii="Arial"/>
                <w:sz w:val="21"/>
              </w:rPr>
            </w:pPr>
          </w:p>
          <w:p w14:paraId="31E429DA">
            <w:pPr>
              <w:spacing w:line="260" w:lineRule="auto"/>
              <w:rPr>
                <w:rFonts w:ascii="Arial"/>
                <w:sz w:val="21"/>
              </w:rPr>
            </w:pPr>
          </w:p>
          <w:p w14:paraId="5FBC02CF">
            <w:pPr>
              <w:spacing w:line="260" w:lineRule="auto"/>
              <w:rPr>
                <w:rFonts w:ascii="Arial"/>
                <w:sz w:val="21"/>
              </w:rPr>
            </w:pPr>
          </w:p>
          <w:p w14:paraId="532A3A82">
            <w:pPr>
              <w:spacing w:line="260" w:lineRule="auto"/>
              <w:rPr>
                <w:rFonts w:ascii="Arial"/>
                <w:sz w:val="21"/>
              </w:rPr>
            </w:pPr>
          </w:p>
          <w:p w14:paraId="43A6D39F">
            <w:pPr>
              <w:spacing w:line="260" w:lineRule="auto"/>
              <w:rPr>
                <w:rFonts w:ascii="Arial"/>
                <w:sz w:val="21"/>
              </w:rPr>
            </w:pPr>
          </w:p>
          <w:p w14:paraId="30EB0FAA">
            <w:pPr>
              <w:spacing w:line="260" w:lineRule="auto"/>
              <w:rPr>
                <w:rFonts w:ascii="Arial"/>
                <w:sz w:val="21"/>
              </w:rPr>
            </w:pPr>
          </w:p>
          <w:p w14:paraId="64E233C5">
            <w:pPr>
              <w:spacing w:line="260" w:lineRule="auto"/>
              <w:rPr>
                <w:rFonts w:ascii="Arial"/>
                <w:sz w:val="21"/>
              </w:rPr>
            </w:pPr>
          </w:p>
          <w:p w14:paraId="0495A75F">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9D4FD3A">
            <w:pPr>
              <w:spacing w:line="263" w:lineRule="auto"/>
              <w:rPr>
                <w:rFonts w:ascii="Arial"/>
                <w:sz w:val="21"/>
              </w:rPr>
            </w:pPr>
          </w:p>
          <w:p w14:paraId="72BC0265">
            <w:pPr>
              <w:spacing w:line="263" w:lineRule="auto"/>
              <w:rPr>
                <w:rFonts w:ascii="Arial"/>
                <w:sz w:val="21"/>
              </w:rPr>
            </w:pPr>
          </w:p>
          <w:p w14:paraId="2AA99A00">
            <w:pPr>
              <w:spacing w:line="264" w:lineRule="auto"/>
              <w:rPr>
                <w:rFonts w:ascii="Arial"/>
                <w:sz w:val="21"/>
              </w:rPr>
            </w:pPr>
          </w:p>
          <w:p w14:paraId="52302104">
            <w:pPr>
              <w:spacing w:line="264" w:lineRule="auto"/>
              <w:rPr>
                <w:rFonts w:ascii="Arial"/>
                <w:sz w:val="21"/>
              </w:rPr>
            </w:pPr>
          </w:p>
          <w:p w14:paraId="78BFFEBD">
            <w:pPr>
              <w:spacing w:line="264" w:lineRule="auto"/>
              <w:rPr>
                <w:rFonts w:ascii="Arial"/>
                <w:sz w:val="21"/>
              </w:rPr>
            </w:pPr>
          </w:p>
          <w:p w14:paraId="4A140344">
            <w:pPr>
              <w:spacing w:line="264" w:lineRule="auto"/>
              <w:rPr>
                <w:rFonts w:ascii="Arial"/>
                <w:sz w:val="21"/>
              </w:rPr>
            </w:pPr>
          </w:p>
          <w:p w14:paraId="000D156F">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70FEE9D">
      <w:pPr>
        <w:pStyle w:val="2"/>
      </w:pPr>
    </w:p>
    <w:p w14:paraId="748E54AE">
      <w:pPr>
        <w:sectPr>
          <w:footerReference r:id="rId101" w:type="default"/>
          <w:pgSz w:w="16839" w:h="11906"/>
          <w:pgMar w:top="1012" w:right="991" w:bottom="967" w:left="1021" w:header="0" w:footer="768" w:gutter="0"/>
          <w:cols w:space="720" w:num="1"/>
        </w:sectPr>
      </w:pPr>
    </w:p>
    <w:p w14:paraId="6BDA93CA">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3DA85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5D37167E">
            <w:pPr>
              <w:pStyle w:val="8"/>
              <w:spacing w:before="267" w:line="221" w:lineRule="auto"/>
              <w:ind w:left="134"/>
            </w:pPr>
            <w:r>
              <w:rPr>
                <w:b/>
                <w:bCs/>
                <w:spacing w:val="-4"/>
              </w:rPr>
              <w:t>序号</w:t>
            </w:r>
          </w:p>
        </w:tc>
        <w:tc>
          <w:tcPr>
            <w:tcW w:w="1104" w:type="dxa"/>
            <w:vMerge w:val="restart"/>
            <w:tcBorders>
              <w:bottom w:val="nil"/>
            </w:tcBorders>
            <w:vAlign w:val="top"/>
          </w:tcPr>
          <w:p w14:paraId="18F9C616">
            <w:pPr>
              <w:pStyle w:val="8"/>
              <w:spacing w:before="260" w:line="220" w:lineRule="auto"/>
              <w:ind w:left="192"/>
            </w:pPr>
            <w:r>
              <w:rPr>
                <w:b/>
                <w:bCs/>
                <w:spacing w:val="-4"/>
              </w:rPr>
              <w:t>事项名称</w:t>
            </w:r>
          </w:p>
        </w:tc>
        <w:tc>
          <w:tcPr>
            <w:tcW w:w="1104" w:type="dxa"/>
            <w:vMerge w:val="restart"/>
            <w:tcBorders>
              <w:bottom w:val="nil"/>
            </w:tcBorders>
            <w:vAlign w:val="top"/>
          </w:tcPr>
          <w:p w14:paraId="4EF3E068">
            <w:pPr>
              <w:pStyle w:val="8"/>
              <w:spacing w:before="260" w:line="219" w:lineRule="auto"/>
              <w:ind w:left="193"/>
            </w:pPr>
            <w:r>
              <w:rPr>
                <w:b/>
                <w:bCs/>
                <w:spacing w:val="-4"/>
              </w:rPr>
              <w:t>职权类型</w:t>
            </w:r>
          </w:p>
        </w:tc>
        <w:tc>
          <w:tcPr>
            <w:tcW w:w="8549" w:type="dxa"/>
            <w:vMerge w:val="restart"/>
            <w:tcBorders>
              <w:bottom w:val="nil"/>
            </w:tcBorders>
            <w:vAlign w:val="top"/>
          </w:tcPr>
          <w:p w14:paraId="5C48D31E">
            <w:pPr>
              <w:pStyle w:val="8"/>
              <w:spacing w:before="259" w:line="219" w:lineRule="auto"/>
              <w:ind w:left="3921"/>
            </w:pPr>
            <w:r>
              <w:rPr>
                <w:b/>
                <w:bCs/>
                <w:spacing w:val="-5"/>
              </w:rPr>
              <w:t>实施依据</w:t>
            </w:r>
          </w:p>
        </w:tc>
        <w:tc>
          <w:tcPr>
            <w:tcW w:w="3439" w:type="dxa"/>
            <w:gridSpan w:val="3"/>
            <w:vAlign w:val="top"/>
          </w:tcPr>
          <w:p w14:paraId="426B7201">
            <w:pPr>
              <w:pStyle w:val="8"/>
              <w:spacing w:before="85" w:line="220" w:lineRule="auto"/>
              <w:ind w:left="1365"/>
            </w:pPr>
            <w:r>
              <w:rPr>
                <w:b/>
                <w:bCs/>
                <w:spacing w:val="-5"/>
              </w:rPr>
              <w:t>实施主体</w:t>
            </w:r>
          </w:p>
        </w:tc>
      </w:tr>
      <w:tr w14:paraId="4F8F3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820F1AC">
            <w:pPr>
              <w:rPr>
                <w:rFonts w:ascii="Arial"/>
                <w:sz w:val="21"/>
              </w:rPr>
            </w:pPr>
          </w:p>
        </w:tc>
        <w:tc>
          <w:tcPr>
            <w:tcW w:w="1104" w:type="dxa"/>
            <w:vMerge w:val="continue"/>
            <w:tcBorders>
              <w:top w:val="nil"/>
            </w:tcBorders>
            <w:vAlign w:val="top"/>
          </w:tcPr>
          <w:p w14:paraId="4F732C14">
            <w:pPr>
              <w:rPr>
                <w:rFonts w:ascii="Arial"/>
                <w:sz w:val="21"/>
              </w:rPr>
            </w:pPr>
          </w:p>
        </w:tc>
        <w:tc>
          <w:tcPr>
            <w:tcW w:w="1104" w:type="dxa"/>
            <w:vMerge w:val="continue"/>
            <w:tcBorders>
              <w:top w:val="nil"/>
            </w:tcBorders>
            <w:vAlign w:val="top"/>
          </w:tcPr>
          <w:p w14:paraId="3B125456">
            <w:pPr>
              <w:rPr>
                <w:rFonts w:ascii="Arial"/>
                <w:sz w:val="21"/>
              </w:rPr>
            </w:pPr>
          </w:p>
        </w:tc>
        <w:tc>
          <w:tcPr>
            <w:tcW w:w="8549" w:type="dxa"/>
            <w:vMerge w:val="continue"/>
            <w:tcBorders>
              <w:top w:val="nil"/>
            </w:tcBorders>
            <w:vAlign w:val="top"/>
          </w:tcPr>
          <w:p w14:paraId="0D1ACD89">
            <w:pPr>
              <w:rPr>
                <w:rFonts w:ascii="Arial"/>
                <w:sz w:val="21"/>
              </w:rPr>
            </w:pPr>
          </w:p>
        </w:tc>
        <w:tc>
          <w:tcPr>
            <w:tcW w:w="1014" w:type="dxa"/>
            <w:vAlign w:val="top"/>
          </w:tcPr>
          <w:p w14:paraId="4CAE89FA">
            <w:pPr>
              <w:pStyle w:val="8"/>
              <w:spacing w:before="81" w:line="219" w:lineRule="auto"/>
              <w:ind w:left="158"/>
            </w:pPr>
            <w:r>
              <w:rPr>
                <w:b/>
                <w:bCs/>
                <w:spacing w:val="-5"/>
              </w:rPr>
              <w:t>责任部门</w:t>
            </w:r>
          </w:p>
        </w:tc>
        <w:tc>
          <w:tcPr>
            <w:tcW w:w="1407" w:type="dxa"/>
            <w:vAlign w:val="top"/>
          </w:tcPr>
          <w:p w14:paraId="309A7564">
            <w:pPr>
              <w:pStyle w:val="8"/>
              <w:spacing w:before="81" w:line="219" w:lineRule="auto"/>
              <w:ind w:left="167"/>
            </w:pPr>
            <w:r>
              <w:rPr>
                <w:b/>
                <w:bCs/>
                <w:spacing w:val="-3"/>
              </w:rPr>
              <w:t>第一责任层级</w:t>
            </w:r>
          </w:p>
        </w:tc>
        <w:tc>
          <w:tcPr>
            <w:tcW w:w="1018" w:type="dxa"/>
            <w:vAlign w:val="top"/>
          </w:tcPr>
          <w:p w14:paraId="64BB29DD">
            <w:pPr>
              <w:pStyle w:val="8"/>
              <w:spacing w:before="81" w:line="219" w:lineRule="auto"/>
              <w:ind w:left="152"/>
            </w:pPr>
            <w:r>
              <w:rPr>
                <w:b/>
                <w:bCs/>
                <w:spacing w:val="-4"/>
              </w:rPr>
              <w:t>承办机构</w:t>
            </w:r>
          </w:p>
        </w:tc>
      </w:tr>
      <w:tr w14:paraId="5A951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7" w:hRule="atLeast"/>
        </w:trPr>
        <w:tc>
          <w:tcPr>
            <w:tcW w:w="624" w:type="dxa"/>
            <w:vAlign w:val="top"/>
          </w:tcPr>
          <w:p w14:paraId="47FC5118">
            <w:pPr>
              <w:spacing w:line="249" w:lineRule="auto"/>
              <w:rPr>
                <w:rFonts w:ascii="Arial"/>
                <w:sz w:val="21"/>
              </w:rPr>
            </w:pPr>
          </w:p>
          <w:p w14:paraId="55CDDEAA">
            <w:pPr>
              <w:spacing w:line="249" w:lineRule="auto"/>
              <w:rPr>
                <w:rFonts w:ascii="Arial"/>
                <w:sz w:val="21"/>
              </w:rPr>
            </w:pPr>
          </w:p>
          <w:p w14:paraId="3D86A9B8">
            <w:pPr>
              <w:spacing w:line="250" w:lineRule="auto"/>
              <w:rPr>
                <w:rFonts w:ascii="Arial"/>
                <w:sz w:val="21"/>
              </w:rPr>
            </w:pPr>
          </w:p>
          <w:p w14:paraId="3FBB32AD">
            <w:pPr>
              <w:spacing w:line="250" w:lineRule="auto"/>
              <w:rPr>
                <w:rFonts w:ascii="Arial"/>
                <w:sz w:val="21"/>
              </w:rPr>
            </w:pPr>
          </w:p>
          <w:p w14:paraId="11966D04">
            <w:pPr>
              <w:spacing w:line="250" w:lineRule="auto"/>
              <w:rPr>
                <w:rFonts w:ascii="Arial"/>
                <w:sz w:val="21"/>
              </w:rPr>
            </w:pPr>
          </w:p>
          <w:p w14:paraId="1343A739">
            <w:pPr>
              <w:spacing w:line="250" w:lineRule="auto"/>
              <w:rPr>
                <w:rFonts w:ascii="Arial"/>
                <w:sz w:val="21"/>
              </w:rPr>
            </w:pPr>
          </w:p>
          <w:p w14:paraId="5CED01AC">
            <w:pPr>
              <w:spacing w:line="250" w:lineRule="auto"/>
              <w:rPr>
                <w:rFonts w:ascii="Arial"/>
                <w:sz w:val="21"/>
              </w:rPr>
            </w:pPr>
          </w:p>
          <w:p w14:paraId="7EDA8DF0">
            <w:pPr>
              <w:spacing w:line="250" w:lineRule="auto"/>
              <w:rPr>
                <w:rFonts w:ascii="Arial"/>
                <w:sz w:val="21"/>
              </w:rPr>
            </w:pPr>
          </w:p>
          <w:p w14:paraId="16D3775E">
            <w:pPr>
              <w:spacing w:line="250" w:lineRule="auto"/>
              <w:rPr>
                <w:rFonts w:ascii="Arial"/>
                <w:sz w:val="21"/>
              </w:rPr>
            </w:pPr>
          </w:p>
          <w:p w14:paraId="25E4CA63">
            <w:pPr>
              <w:spacing w:line="250" w:lineRule="auto"/>
              <w:rPr>
                <w:rFonts w:ascii="Arial"/>
                <w:sz w:val="21"/>
              </w:rPr>
            </w:pPr>
          </w:p>
          <w:p w14:paraId="168F2B66">
            <w:pPr>
              <w:spacing w:line="250" w:lineRule="auto"/>
              <w:rPr>
                <w:rFonts w:ascii="Arial"/>
                <w:sz w:val="21"/>
              </w:rPr>
            </w:pPr>
          </w:p>
          <w:p w14:paraId="62DC528A">
            <w:pPr>
              <w:spacing w:line="250" w:lineRule="auto"/>
              <w:rPr>
                <w:rFonts w:ascii="Arial"/>
                <w:sz w:val="21"/>
              </w:rPr>
            </w:pPr>
          </w:p>
          <w:p w14:paraId="20F46C04">
            <w:pPr>
              <w:spacing w:line="250" w:lineRule="auto"/>
              <w:rPr>
                <w:rFonts w:ascii="Arial"/>
                <w:sz w:val="21"/>
              </w:rPr>
            </w:pPr>
          </w:p>
          <w:p w14:paraId="7353E3CE">
            <w:pPr>
              <w:spacing w:line="250" w:lineRule="auto"/>
              <w:rPr>
                <w:rFonts w:ascii="Arial"/>
                <w:sz w:val="21"/>
              </w:rPr>
            </w:pPr>
          </w:p>
          <w:p w14:paraId="5F89C103">
            <w:pPr>
              <w:spacing w:line="250" w:lineRule="auto"/>
              <w:rPr>
                <w:rFonts w:ascii="Arial"/>
                <w:sz w:val="21"/>
              </w:rPr>
            </w:pPr>
          </w:p>
          <w:p w14:paraId="4EE34F63">
            <w:pPr>
              <w:spacing w:line="250" w:lineRule="auto"/>
              <w:rPr>
                <w:rFonts w:ascii="Arial"/>
                <w:sz w:val="21"/>
              </w:rPr>
            </w:pPr>
          </w:p>
          <w:p w14:paraId="76759FBF">
            <w:pPr>
              <w:spacing w:line="250" w:lineRule="auto"/>
              <w:rPr>
                <w:rFonts w:ascii="Arial"/>
                <w:sz w:val="21"/>
              </w:rPr>
            </w:pPr>
          </w:p>
          <w:p w14:paraId="1B2851BA">
            <w:pPr>
              <w:pStyle w:val="8"/>
              <w:spacing w:before="59" w:line="184" w:lineRule="auto"/>
              <w:ind w:left="234"/>
            </w:pPr>
            <w:r>
              <w:rPr>
                <w:spacing w:val="-6"/>
              </w:rPr>
              <w:t>51</w:t>
            </w:r>
          </w:p>
        </w:tc>
        <w:tc>
          <w:tcPr>
            <w:tcW w:w="1104" w:type="dxa"/>
            <w:vAlign w:val="top"/>
          </w:tcPr>
          <w:p w14:paraId="63956DF6">
            <w:pPr>
              <w:spacing w:line="251" w:lineRule="auto"/>
              <w:rPr>
                <w:rFonts w:ascii="Arial"/>
                <w:sz w:val="21"/>
              </w:rPr>
            </w:pPr>
          </w:p>
          <w:p w14:paraId="4306B4B1">
            <w:pPr>
              <w:spacing w:line="251" w:lineRule="auto"/>
              <w:rPr>
                <w:rFonts w:ascii="Arial"/>
                <w:sz w:val="21"/>
              </w:rPr>
            </w:pPr>
          </w:p>
          <w:p w14:paraId="2DCE195D">
            <w:pPr>
              <w:spacing w:line="251" w:lineRule="auto"/>
              <w:rPr>
                <w:rFonts w:ascii="Arial"/>
                <w:sz w:val="21"/>
              </w:rPr>
            </w:pPr>
          </w:p>
          <w:p w14:paraId="3C206D05">
            <w:pPr>
              <w:spacing w:line="251" w:lineRule="auto"/>
              <w:rPr>
                <w:rFonts w:ascii="Arial"/>
                <w:sz w:val="21"/>
              </w:rPr>
            </w:pPr>
          </w:p>
          <w:p w14:paraId="6ACFA96C">
            <w:pPr>
              <w:spacing w:line="251" w:lineRule="auto"/>
              <w:rPr>
                <w:rFonts w:ascii="Arial"/>
                <w:sz w:val="21"/>
              </w:rPr>
            </w:pPr>
          </w:p>
          <w:p w14:paraId="58C59D50">
            <w:pPr>
              <w:spacing w:line="251" w:lineRule="auto"/>
              <w:rPr>
                <w:rFonts w:ascii="Arial"/>
                <w:sz w:val="21"/>
              </w:rPr>
            </w:pPr>
          </w:p>
          <w:p w14:paraId="4480C26E">
            <w:pPr>
              <w:spacing w:line="251" w:lineRule="auto"/>
              <w:rPr>
                <w:rFonts w:ascii="Arial"/>
                <w:sz w:val="21"/>
              </w:rPr>
            </w:pPr>
          </w:p>
          <w:p w14:paraId="7F23F253">
            <w:pPr>
              <w:spacing w:line="251" w:lineRule="auto"/>
              <w:rPr>
                <w:rFonts w:ascii="Arial"/>
                <w:sz w:val="21"/>
              </w:rPr>
            </w:pPr>
          </w:p>
          <w:p w14:paraId="6CE58A88">
            <w:pPr>
              <w:spacing w:line="251" w:lineRule="auto"/>
              <w:rPr>
                <w:rFonts w:ascii="Arial"/>
                <w:sz w:val="21"/>
              </w:rPr>
            </w:pPr>
          </w:p>
          <w:p w14:paraId="7AB68A5C">
            <w:pPr>
              <w:spacing w:line="251" w:lineRule="auto"/>
              <w:rPr>
                <w:rFonts w:ascii="Arial"/>
                <w:sz w:val="21"/>
              </w:rPr>
            </w:pPr>
          </w:p>
          <w:p w14:paraId="269CFC8A">
            <w:pPr>
              <w:spacing w:line="251" w:lineRule="auto"/>
              <w:rPr>
                <w:rFonts w:ascii="Arial"/>
                <w:sz w:val="21"/>
              </w:rPr>
            </w:pPr>
          </w:p>
          <w:p w14:paraId="5625CDB2">
            <w:pPr>
              <w:spacing w:line="251" w:lineRule="auto"/>
              <w:rPr>
                <w:rFonts w:ascii="Arial"/>
                <w:sz w:val="21"/>
              </w:rPr>
            </w:pPr>
          </w:p>
          <w:p w14:paraId="7B853920">
            <w:pPr>
              <w:spacing w:line="252" w:lineRule="auto"/>
              <w:rPr>
                <w:rFonts w:ascii="Arial"/>
                <w:sz w:val="21"/>
              </w:rPr>
            </w:pPr>
          </w:p>
          <w:p w14:paraId="018212C1">
            <w:pPr>
              <w:pStyle w:val="8"/>
              <w:spacing w:before="58" w:line="244" w:lineRule="auto"/>
              <w:ind w:left="61" w:right="56" w:hanging="1"/>
              <w:jc w:val="both"/>
            </w:pPr>
            <w:r>
              <w:rPr>
                <w:spacing w:val="16"/>
              </w:rPr>
              <w:t>对交通运输</w:t>
            </w:r>
            <w:r>
              <w:rPr>
                <w:spacing w:val="1"/>
              </w:rPr>
              <w:t xml:space="preserve"> </w:t>
            </w:r>
            <w:r>
              <w:rPr>
                <w:spacing w:val="16"/>
              </w:rPr>
              <w:t>建设工程领</w:t>
            </w:r>
            <w:r>
              <w:t xml:space="preserve"> </w:t>
            </w:r>
            <w:r>
              <w:rPr>
                <w:spacing w:val="16"/>
              </w:rPr>
              <w:t>域施工单位</w:t>
            </w:r>
            <w:r>
              <w:t xml:space="preserve"> </w:t>
            </w:r>
            <w:r>
              <w:rPr>
                <w:spacing w:val="8"/>
              </w:rPr>
              <w:t>不按</w:t>
            </w:r>
            <w:r>
              <w:rPr>
                <w:spacing w:val="-50"/>
              </w:rPr>
              <w:t xml:space="preserve"> </w:t>
            </w:r>
            <w:r>
              <w:rPr>
                <w:spacing w:val="8"/>
              </w:rPr>
              <w:t>照工程</w:t>
            </w:r>
            <w:r>
              <w:t xml:space="preserve"> </w:t>
            </w:r>
            <w:r>
              <w:rPr>
                <w:spacing w:val="6"/>
              </w:rPr>
              <w:t>设计</w:t>
            </w:r>
            <w:r>
              <w:rPr>
                <w:spacing w:val="-40"/>
              </w:rPr>
              <w:t xml:space="preserve"> </w:t>
            </w:r>
            <w:r>
              <w:rPr>
                <w:spacing w:val="6"/>
              </w:rPr>
              <w:t>图纸或</w:t>
            </w:r>
            <w:r>
              <w:t xml:space="preserve"> </w:t>
            </w:r>
            <w:r>
              <w:rPr>
                <w:spacing w:val="16"/>
              </w:rPr>
              <w:t>者施工技术</w:t>
            </w:r>
            <w:r>
              <w:t xml:space="preserve"> </w:t>
            </w:r>
            <w:r>
              <w:rPr>
                <w:spacing w:val="16"/>
              </w:rPr>
              <w:t>标准施工等</w:t>
            </w:r>
            <w:r>
              <w:t xml:space="preserve"> </w:t>
            </w:r>
            <w:r>
              <w:rPr>
                <w:spacing w:val="7"/>
              </w:rPr>
              <w:t>行为</w:t>
            </w:r>
            <w:r>
              <w:rPr>
                <w:spacing w:val="-45"/>
              </w:rPr>
              <w:t xml:space="preserve"> </w:t>
            </w:r>
            <w:r>
              <w:rPr>
                <w:spacing w:val="7"/>
              </w:rPr>
              <w:t>的行政</w:t>
            </w:r>
            <w:r>
              <w:t xml:space="preserve"> </w:t>
            </w:r>
            <w:r>
              <w:rPr>
                <w:spacing w:val="-2"/>
              </w:rPr>
              <w:t>处罚</w:t>
            </w:r>
          </w:p>
        </w:tc>
        <w:tc>
          <w:tcPr>
            <w:tcW w:w="1104" w:type="dxa"/>
            <w:vAlign w:val="top"/>
          </w:tcPr>
          <w:p w14:paraId="10BC4D55">
            <w:pPr>
              <w:spacing w:line="248" w:lineRule="auto"/>
              <w:rPr>
                <w:rFonts w:ascii="Arial"/>
                <w:sz w:val="21"/>
              </w:rPr>
            </w:pPr>
          </w:p>
          <w:p w14:paraId="2729CF73">
            <w:pPr>
              <w:spacing w:line="248" w:lineRule="auto"/>
              <w:rPr>
                <w:rFonts w:ascii="Arial"/>
                <w:sz w:val="21"/>
              </w:rPr>
            </w:pPr>
          </w:p>
          <w:p w14:paraId="40E76E27">
            <w:pPr>
              <w:spacing w:line="248" w:lineRule="auto"/>
              <w:rPr>
                <w:rFonts w:ascii="Arial"/>
                <w:sz w:val="21"/>
              </w:rPr>
            </w:pPr>
          </w:p>
          <w:p w14:paraId="3EFC2F1F">
            <w:pPr>
              <w:spacing w:line="248" w:lineRule="auto"/>
              <w:rPr>
                <w:rFonts w:ascii="Arial"/>
                <w:sz w:val="21"/>
              </w:rPr>
            </w:pPr>
          </w:p>
          <w:p w14:paraId="0994A6BA">
            <w:pPr>
              <w:spacing w:line="248" w:lineRule="auto"/>
              <w:rPr>
                <w:rFonts w:ascii="Arial"/>
                <w:sz w:val="21"/>
              </w:rPr>
            </w:pPr>
          </w:p>
          <w:p w14:paraId="106C439A">
            <w:pPr>
              <w:spacing w:line="248" w:lineRule="auto"/>
              <w:rPr>
                <w:rFonts w:ascii="Arial"/>
                <w:sz w:val="21"/>
              </w:rPr>
            </w:pPr>
          </w:p>
          <w:p w14:paraId="46C7399C">
            <w:pPr>
              <w:spacing w:line="248" w:lineRule="auto"/>
              <w:rPr>
                <w:rFonts w:ascii="Arial"/>
                <w:sz w:val="21"/>
              </w:rPr>
            </w:pPr>
          </w:p>
          <w:p w14:paraId="57EC511D">
            <w:pPr>
              <w:spacing w:line="248" w:lineRule="auto"/>
              <w:rPr>
                <w:rFonts w:ascii="Arial"/>
                <w:sz w:val="21"/>
              </w:rPr>
            </w:pPr>
          </w:p>
          <w:p w14:paraId="11C2EB37">
            <w:pPr>
              <w:spacing w:line="248" w:lineRule="auto"/>
              <w:rPr>
                <w:rFonts w:ascii="Arial"/>
                <w:sz w:val="21"/>
              </w:rPr>
            </w:pPr>
          </w:p>
          <w:p w14:paraId="3DFDF00A">
            <w:pPr>
              <w:spacing w:line="248" w:lineRule="auto"/>
              <w:rPr>
                <w:rFonts w:ascii="Arial"/>
                <w:sz w:val="21"/>
              </w:rPr>
            </w:pPr>
          </w:p>
          <w:p w14:paraId="3CF84D81">
            <w:pPr>
              <w:spacing w:line="248" w:lineRule="auto"/>
              <w:rPr>
                <w:rFonts w:ascii="Arial"/>
                <w:sz w:val="21"/>
              </w:rPr>
            </w:pPr>
          </w:p>
          <w:p w14:paraId="69456B88">
            <w:pPr>
              <w:spacing w:line="248" w:lineRule="auto"/>
              <w:rPr>
                <w:rFonts w:ascii="Arial"/>
                <w:sz w:val="21"/>
              </w:rPr>
            </w:pPr>
          </w:p>
          <w:p w14:paraId="3807B93E">
            <w:pPr>
              <w:spacing w:line="249" w:lineRule="auto"/>
              <w:rPr>
                <w:rFonts w:ascii="Arial"/>
                <w:sz w:val="21"/>
              </w:rPr>
            </w:pPr>
          </w:p>
          <w:p w14:paraId="0D5E6C48">
            <w:pPr>
              <w:spacing w:line="249" w:lineRule="auto"/>
              <w:rPr>
                <w:rFonts w:ascii="Arial"/>
                <w:sz w:val="21"/>
              </w:rPr>
            </w:pPr>
          </w:p>
          <w:p w14:paraId="70714C37">
            <w:pPr>
              <w:spacing w:line="249" w:lineRule="auto"/>
              <w:rPr>
                <w:rFonts w:ascii="Arial"/>
                <w:sz w:val="21"/>
              </w:rPr>
            </w:pPr>
          </w:p>
          <w:p w14:paraId="69AEF6FC">
            <w:pPr>
              <w:spacing w:line="249" w:lineRule="auto"/>
              <w:rPr>
                <w:rFonts w:ascii="Arial"/>
                <w:sz w:val="21"/>
              </w:rPr>
            </w:pPr>
          </w:p>
          <w:p w14:paraId="5E414F6F">
            <w:pPr>
              <w:spacing w:line="249" w:lineRule="auto"/>
              <w:rPr>
                <w:rFonts w:ascii="Arial"/>
                <w:sz w:val="21"/>
              </w:rPr>
            </w:pPr>
          </w:p>
          <w:p w14:paraId="0DDFCAF6">
            <w:pPr>
              <w:pStyle w:val="8"/>
              <w:spacing w:before="58" w:line="220" w:lineRule="auto"/>
              <w:ind w:left="10"/>
            </w:pPr>
            <w:r>
              <w:rPr>
                <w:spacing w:val="-2"/>
              </w:rPr>
              <w:t>行政处罚</w:t>
            </w:r>
          </w:p>
        </w:tc>
        <w:tc>
          <w:tcPr>
            <w:tcW w:w="8549" w:type="dxa"/>
            <w:vAlign w:val="top"/>
          </w:tcPr>
          <w:p w14:paraId="29C85BFB">
            <w:pPr>
              <w:pStyle w:val="8"/>
              <w:spacing w:before="19" w:line="219" w:lineRule="auto"/>
              <w:ind w:left="484"/>
            </w:pPr>
            <w:r>
              <w:rPr>
                <w:b/>
                <w:bCs/>
                <w:spacing w:val="-4"/>
              </w:rPr>
              <w:t>1.《建设工程质量管理条例》</w:t>
            </w:r>
          </w:p>
          <w:p w14:paraId="2C7EE81C">
            <w:pPr>
              <w:pStyle w:val="8"/>
              <w:spacing w:line="219" w:lineRule="auto"/>
              <w:ind w:left="471"/>
            </w:pPr>
            <w:r>
              <w:rPr>
                <w:spacing w:val="-1"/>
              </w:rPr>
              <w:t>第二十八条第一款  施工单位必须按照工程设计图纸和施工技术标准施工，不得擅自</w:t>
            </w:r>
            <w:r>
              <w:rPr>
                <w:spacing w:val="-2"/>
              </w:rPr>
              <w:t>修改工程设计，</w:t>
            </w:r>
          </w:p>
          <w:p w14:paraId="7243D3BE">
            <w:pPr>
              <w:pStyle w:val="8"/>
              <w:spacing w:line="219" w:lineRule="auto"/>
              <w:ind w:left="114"/>
            </w:pPr>
            <w:r>
              <w:rPr>
                <w:spacing w:val="-6"/>
              </w:rPr>
              <w:t>不得偷工减料。</w:t>
            </w:r>
          </w:p>
          <w:p w14:paraId="19F981B0">
            <w:pPr>
              <w:pStyle w:val="8"/>
              <w:spacing w:before="2" w:line="219" w:lineRule="auto"/>
              <w:ind w:left="110" w:right="159" w:firstLine="360"/>
              <w:jc w:val="both"/>
            </w:pPr>
            <w:r>
              <w:t>第六十四条  违反本条例规定，施工单位在施工中偷工减料的，使用不合格的建</w:t>
            </w:r>
            <w:r>
              <w:rPr>
                <w:spacing w:val="-1"/>
              </w:rPr>
              <w:t>筑材料、建筑构配件</w:t>
            </w:r>
            <w:r>
              <w:t xml:space="preserve"> 和设备的，或者有不按照工程设计图纸或者施工技术标准施工的其他行为的，责令改正</w:t>
            </w:r>
            <w:r>
              <w:rPr>
                <w:spacing w:val="-1"/>
              </w:rPr>
              <w:t>，处工程合同价款</w:t>
            </w:r>
            <w:r>
              <w:t xml:space="preserve"> 百分之二以上百分之四以下的罚款；造成建设工程质量不符合规定的质量标准的，负责</w:t>
            </w:r>
            <w:r>
              <w:rPr>
                <w:spacing w:val="-1"/>
              </w:rPr>
              <w:t>返工、修理，并赔</w:t>
            </w:r>
            <w:r>
              <w:t xml:space="preserve"> </w:t>
            </w:r>
            <w:r>
              <w:rPr>
                <w:spacing w:val="-1"/>
              </w:rPr>
              <w:t>偿因此造成的损失；情节严重的，责令停业整顿，降低资质等级或者吊销资质证书。</w:t>
            </w:r>
          </w:p>
          <w:p w14:paraId="0681842A">
            <w:pPr>
              <w:pStyle w:val="8"/>
              <w:spacing w:line="219" w:lineRule="auto"/>
              <w:ind w:left="473"/>
            </w:pPr>
            <w:r>
              <w:rPr>
                <w:b/>
                <w:bCs/>
                <w:spacing w:val="-3"/>
              </w:rPr>
              <w:t>2.《公路建设监督管理办法》（交通运输部令</w:t>
            </w:r>
            <w:r>
              <w:rPr>
                <w:spacing w:val="-35"/>
              </w:rPr>
              <w:t xml:space="preserve"> </w:t>
            </w:r>
            <w:r>
              <w:rPr>
                <w:b/>
                <w:bCs/>
                <w:spacing w:val="-3"/>
              </w:rPr>
              <w:t>2</w:t>
            </w:r>
            <w:r>
              <w:rPr>
                <w:b/>
                <w:bCs/>
                <w:spacing w:val="-4"/>
              </w:rPr>
              <w:t>021</w:t>
            </w:r>
            <w:r>
              <w:rPr>
                <w:spacing w:val="-38"/>
              </w:rPr>
              <w:t xml:space="preserve"> </w:t>
            </w:r>
            <w:r>
              <w:rPr>
                <w:b/>
                <w:bCs/>
                <w:spacing w:val="-4"/>
              </w:rPr>
              <w:t>年第</w:t>
            </w:r>
            <w:r>
              <w:rPr>
                <w:spacing w:val="-24"/>
              </w:rPr>
              <w:t xml:space="preserve"> </w:t>
            </w:r>
            <w:r>
              <w:rPr>
                <w:b/>
                <w:bCs/>
                <w:spacing w:val="-4"/>
              </w:rPr>
              <w:t>11</w:t>
            </w:r>
            <w:r>
              <w:rPr>
                <w:spacing w:val="-31"/>
              </w:rPr>
              <w:t xml:space="preserve"> </w:t>
            </w:r>
            <w:r>
              <w:rPr>
                <w:b/>
                <w:bCs/>
                <w:spacing w:val="-4"/>
              </w:rPr>
              <w:t>号）</w:t>
            </w:r>
          </w:p>
          <w:p w14:paraId="613AAA2F">
            <w:pPr>
              <w:pStyle w:val="8"/>
              <w:spacing w:line="219" w:lineRule="auto"/>
              <w:ind w:left="111" w:right="159" w:firstLine="360"/>
            </w:pPr>
            <w:r>
              <w:t>第十四条  公路建设项目必须符合公路工程技术标准，施工单位必须按标准的设</w:t>
            </w:r>
            <w:r>
              <w:rPr>
                <w:spacing w:val="-1"/>
              </w:rPr>
              <w:t>计文件施工，任何单</w:t>
            </w:r>
            <w:r>
              <w:t xml:space="preserve"> </w:t>
            </w:r>
            <w:r>
              <w:rPr>
                <w:spacing w:val="-3"/>
              </w:rPr>
              <w:t>位和人员不得擅自修改工程设计。</w:t>
            </w:r>
          </w:p>
          <w:p w14:paraId="0700487C">
            <w:pPr>
              <w:pStyle w:val="8"/>
              <w:spacing w:line="219" w:lineRule="auto"/>
              <w:ind w:left="111" w:right="159" w:firstLine="379"/>
            </w:pPr>
            <w:r>
              <w:rPr>
                <w:spacing w:val="-1"/>
              </w:rPr>
              <w:t>已批准的公路工程设计，原则上不得变更。确需设计变更的，应当按照交通部制定的《公路工程设计</w:t>
            </w:r>
            <w:r>
              <w:rPr>
                <w:spacing w:val="16"/>
              </w:rPr>
              <w:t xml:space="preserve"> </w:t>
            </w:r>
            <w:r>
              <w:rPr>
                <w:spacing w:val="-2"/>
              </w:rPr>
              <w:t>变更管理办法》的规定履行审批手续。</w:t>
            </w:r>
          </w:p>
          <w:p w14:paraId="516B06F3">
            <w:pPr>
              <w:pStyle w:val="8"/>
              <w:spacing w:before="2" w:line="219" w:lineRule="auto"/>
              <w:ind w:left="118" w:right="159" w:firstLine="352"/>
            </w:pPr>
            <w:r>
              <w:t>第三十九条  违反本办法第十四条规定，未经批准擅自修改工程设计，责令限期</w:t>
            </w:r>
            <w:r>
              <w:rPr>
                <w:spacing w:val="-1"/>
              </w:rPr>
              <w:t>改正，可给予警告处</w:t>
            </w:r>
            <w:r>
              <w:t xml:space="preserve"> </w:t>
            </w:r>
            <w:r>
              <w:rPr>
                <w:spacing w:val="-1"/>
              </w:rPr>
              <w:t>罚；情节严重的，对全部或部分使用财政性资金的项目，可暂停项目执行或暂缓资金拨付。</w:t>
            </w:r>
          </w:p>
          <w:p w14:paraId="1BF8D15E">
            <w:pPr>
              <w:pStyle w:val="8"/>
              <w:spacing w:line="218" w:lineRule="auto"/>
              <w:ind w:left="383"/>
            </w:pPr>
            <w:r>
              <w:rPr>
                <w:b/>
                <w:bCs/>
                <w:spacing w:val="-3"/>
              </w:rPr>
              <w:t>3.《水运建设市场监督管理办法》（交通运输部令</w:t>
            </w:r>
            <w:r>
              <w:rPr>
                <w:spacing w:val="-32"/>
              </w:rPr>
              <w:t xml:space="preserve"> </w:t>
            </w:r>
            <w:r>
              <w:rPr>
                <w:b/>
                <w:bCs/>
                <w:spacing w:val="-3"/>
              </w:rPr>
              <w:t>2016</w:t>
            </w:r>
            <w:r>
              <w:rPr>
                <w:spacing w:val="-40"/>
              </w:rPr>
              <w:t xml:space="preserve"> </w:t>
            </w:r>
            <w:r>
              <w:rPr>
                <w:b/>
                <w:bCs/>
                <w:spacing w:val="-3"/>
              </w:rPr>
              <w:t>年第</w:t>
            </w:r>
            <w:r>
              <w:rPr>
                <w:spacing w:val="-30"/>
              </w:rPr>
              <w:t xml:space="preserve"> </w:t>
            </w:r>
            <w:r>
              <w:rPr>
                <w:b/>
                <w:bCs/>
                <w:spacing w:val="-3"/>
              </w:rPr>
              <w:t>74</w:t>
            </w:r>
            <w:r>
              <w:rPr>
                <w:spacing w:val="-35"/>
              </w:rPr>
              <w:t xml:space="preserve"> </w:t>
            </w:r>
            <w:r>
              <w:rPr>
                <w:b/>
                <w:bCs/>
                <w:spacing w:val="-3"/>
              </w:rPr>
              <w:t>号）</w:t>
            </w:r>
          </w:p>
          <w:p w14:paraId="36F51232">
            <w:pPr>
              <w:pStyle w:val="8"/>
              <w:spacing w:before="1" w:line="219" w:lineRule="auto"/>
              <w:ind w:left="560"/>
            </w:pPr>
            <w:r>
              <w:rPr>
                <w:spacing w:val="-1"/>
              </w:rPr>
              <w:t>第二十一条  水运建设工程质量实行终身责任制，相关市场主体对工程质量在设计使用年限内承担相</w:t>
            </w:r>
          </w:p>
          <w:p w14:paraId="6C5CD4F1">
            <w:pPr>
              <w:pStyle w:val="8"/>
              <w:spacing w:line="219" w:lineRule="auto"/>
              <w:ind w:left="111"/>
            </w:pPr>
            <w:r>
              <w:rPr>
                <w:spacing w:val="-8"/>
              </w:rPr>
              <w:t>应责任。</w:t>
            </w:r>
          </w:p>
          <w:p w14:paraId="2333D7DE">
            <w:pPr>
              <w:pStyle w:val="8"/>
              <w:spacing w:before="2" w:line="219" w:lineRule="auto"/>
              <w:ind w:left="111" w:right="44" w:firstLine="362"/>
            </w:pPr>
            <w:r>
              <w:rPr>
                <w:spacing w:val="-2"/>
              </w:rPr>
              <w:t>项目单位对工程质量和安全管理负总责。代建单位按照合同约定对工程质量和安全负管理责任。勘察、</w:t>
            </w:r>
            <w:r>
              <w:rPr>
                <w:spacing w:val="14"/>
              </w:rPr>
              <w:t xml:space="preserve"> </w:t>
            </w:r>
            <w:r>
              <w:t>设计单位对勘察、设计质量负责。施工单位对施工质量和安全负责。工程监理单位对</w:t>
            </w:r>
            <w:r>
              <w:rPr>
                <w:spacing w:val="-1"/>
              </w:rPr>
              <w:t>工程项目的质量和安</w:t>
            </w:r>
            <w:r>
              <w:t xml:space="preserve">  </w:t>
            </w:r>
            <w:r>
              <w:rPr>
                <w:spacing w:val="-1"/>
              </w:rPr>
              <w:t>全生产负监理责任。其他市场主体对其提供的产品或者服务负相应责</w:t>
            </w:r>
            <w:r>
              <w:rPr>
                <w:spacing w:val="-2"/>
              </w:rPr>
              <w:t>任。</w:t>
            </w:r>
          </w:p>
          <w:p w14:paraId="02CC9490">
            <w:pPr>
              <w:pStyle w:val="8"/>
              <w:spacing w:before="1" w:line="219" w:lineRule="auto"/>
              <w:ind w:left="111" w:right="168" w:firstLine="359"/>
            </w:pPr>
            <w:r>
              <w:t>第二十七条第二款  水运建设市场从业行为主要包括</w:t>
            </w:r>
            <w:r>
              <w:rPr>
                <w:spacing w:val="-2"/>
              </w:rPr>
              <w:t>：（</w:t>
            </w:r>
            <w:r>
              <w:t>一）法律、法</w:t>
            </w:r>
            <w:r>
              <w:rPr>
                <w:spacing w:val="-1"/>
              </w:rPr>
              <w:t>规、规章、强制性标准执行情</w:t>
            </w:r>
            <w:r>
              <w:t xml:space="preserve"> 况</w:t>
            </w:r>
            <w:r>
              <w:rPr>
                <w:spacing w:val="-1"/>
              </w:rPr>
              <w:t>；（</w:t>
            </w:r>
            <w:r>
              <w:t>二）招标投标行为</w:t>
            </w:r>
            <w:r>
              <w:rPr>
                <w:spacing w:val="-1"/>
              </w:rPr>
              <w:t>；（</w:t>
            </w:r>
            <w:r>
              <w:t>三）工程管理、合同履行、</w:t>
            </w:r>
            <w:r>
              <w:rPr>
                <w:spacing w:val="-1"/>
              </w:rPr>
              <w:t>廉政建设、信用管理及人员履职等情况；（四）</w:t>
            </w:r>
            <w:r>
              <w:rPr>
                <w:spacing w:val="4"/>
              </w:rPr>
              <w:t xml:space="preserve"> </w:t>
            </w:r>
            <w:r>
              <w:rPr>
                <w:spacing w:val="-1"/>
              </w:rPr>
              <w:t>质量安全责任履行情况</w:t>
            </w:r>
            <w:r>
              <w:rPr>
                <w:spacing w:val="1"/>
              </w:rPr>
              <w:t>；（</w:t>
            </w:r>
            <w:r>
              <w:rPr>
                <w:spacing w:val="-1"/>
              </w:rPr>
              <w:t>五）设计变更的管理情况</w:t>
            </w:r>
            <w:r>
              <w:rPr>
                <w:spacing w:val="1"/>
              </w:rPr>
              <w:t>；（</w:t>
            </w:r>
            <w:r>
              <w:rPr>
                <w:spacing w:val="-1"/>
              </w:rPr>
              <w:t>六）其他应当纳入监督管理的从业行为。</w:t>
            </w:r>
          </w:p>
          <w:p w14:paraId="2FCD1B59">
            <w:pPr>
              <w:pStyle w:val="8"/>
              <w:spacing w:before="2" w:line="219" w:lineRule="auto"/>
              <w:ind w:left="111" w:right="159" w:firstLine="359"/>
            </w:pPr>
            <w:r>
              <w:t>第四十条  违反国家相关规定和本办法规定，项目单位明示或者暗示设计、施工</w:t>
            </w:r>
            <w:r>
              <w:rPr>
                <w:spacing w:val="-1"/>
              </w:rPr>
              <w:t>单位违反工程建设强</w:t>
            </w:r>
            <w:r>
              <w:t xml:space="preserve"> 制性标准、降低工程质量的，勘察、设计单位未执行工程建设强制性标准的，施工单</w:t>
            </w:r>
            <w:r>
              <w:rPr>
                <w:spacing w:val="-1"/>
              </w:rPr>
              <w:t>位不按照工程设计图</w:t>
            </w:r>
            <w:r>
              <w:t xml:space="preserve"> </w:t>
            </w:r>
            <w:r>
              <w:rPr>
                <w:spacing w:val="-1"/>
              </w:rPr>
              <w:t>纸或者施工技术标准施工的，工程监理单位与建设单位或者施工单位串通，弄虚作假、降低工程质量</w:t>
            </w:r>
            <w:r>
              <w:rPr>
                <w:spacing w:val="-2"/>
              </w:rPr>
              <w:t>的，</w:t>
            </w:r>
          </w:p>
          <w:p w14:paraId="0921560E">
            <w:pPr>
              <w:pStyle w:val="8"/>
              <w:spacing w:before="3" w:line="219" w:lineRule="auto"/>
              <w:ind w:left="110" w:right="44" w:firstLine="2"/>
            </w:pPr>
            <w:r>
              <w:rPr>
                <w:spacing w:val="-1"/>
              </w:rPr>
              <w:t>依照《建设工程质量管理条例》第五十六条</w:t>
            </w:r>
            <w:r>
              <w:rPr>
                <w:spacing w:val="-2"/>
              </w:rPr>
              <w:t>、第六十三条、第六十四条、第六十七条规定作出罚款决定的，</w:t>
            </w:r>
            <w:r>
              <w:t xml:space="preserve"> </w:t>
            </w:r>
            <w:r>
              <w:rPr>
                <w:spacing w:val="-1"/>
              </w:rPr>
              <w:t>按照以下标准处罚</w:t>
            </w:r>
            <w:r>
              <w:rPr>
                <w:spacing w:val="-21"/>
              </w:rPr>
              <w:t>：（</w:t>
            </w:r>
            <w:r>
              <w:rPr>
                <w:spacing w:val="-1"/>
              </w:rPr>
              <w:t>一）工程尚未开工建设的，对</w:t>
            </w:r>
            <w:r>
              <w:rPr>
                <w:spacing w:val="-2"/>
              </w:rPr>
              <w:t>项目单位处</w:t>
            </w:r>
            <w:r>
              <w:rPr>
                <w:spacing w:val="-35"/>
              </w:rPr>
              <w:t xml:space="preserve"> </w:t>
            </w:r>
            <w:r>
              <w:rPr>
                <w:spacing w:val="-2"/>
              </w:rPr>
              <w:t>20</w:t>
            </w:r>
            <w:r>
              <w:rPr>
                <w:spacing w:val="-34"/>
              </w:rPr>
              <w:t xml:space="preserve"> </w:t>
            </w:r>
            <w:r>
              <w:rPr>
                <w:spacing w:val="-2"/>
              </w:rPr>
              <w:t>万元以上</w:t>
            </w:r>
            <w:r>
              <w:rPr>
                <w:spacing w:val="-36"/>
              </w:rPr>
              <w:t xml:space="preserve"> </w:t>
            </w:r>
            <w:r>
              <w:rPr>
                <w:spacing w:val="-2"/>
              </w:rPr>
              <w:t>30</w:t>
            </w:r>
            <w:r>
              <w:rPr>
                <w:spacing w:val="-34"/>
              </w:rPr>
              <w:t xml:space="preserve"> </w:t>
            </w:r>
            <w:r>
              <w:rPr>
                <w:spacing w:val="-2"/>
              </w:rPr>
              <w:t>万元以下的罚款；对勘察、</w:t>
            </w:r>
            <w:r>
              <w:t xml:space="preserve"> </w:t>
            </w:r>
            <w:r>
              <w:rPr>
                <w:spacing w:val="-2"/>
              </w:rPr>
              <w:t>设计单位处</w:t>
            </w:r>
            <w:r>
              <w:rPr>
                <w:spacing w:val="-23"/>
              </w:rPr>
              <w:t xml:space="preserve"> </w:t>
            </w:r>
            <w:r>
              <w:rPr>
                <w:spacing w:val="-2"/>
              </w:rPr>
              <w:t>10</w:t>
            </w:r>
            <w:r>
              <w:rPr>
                <w:spacing w:val="-37"/>
              </w:rPr>
              <w:t xml:space="preserve"> </w:t>
            </w:r>
            <w:r>
              <w:rPr>
                <w:spacing w:val="-2"/>
              </w:rPr>
              <w:t>万元以上</w:t>
            </w:r>
            <w:r>
              <w:rPr>
                <w:spacing w:val="-35"/>
              </w:rPr>
              <w:t xml:space="preserve"> </w:t>
            </w:r>
            <w:r>
              <w:rPr>
                <w:spacing w:val="-2"/>
              </w:rPr>
              <w:t>20</w:t>
            </w:r>
            <w:r>
              <w:rPr>
                <w:spacing w:val="-34"/>
              </w:rPr>
              <w:t xml:space="preserve"> </w:t>
            </w:r>
            <w:r>
              <w:rPr>
                <w:spacing w:val="-2"/>
              </w:rPr>
              <w:t>万元以下的罚款</w:t>
            </w:r>
            <w:r>
              <w:rPr>
                <w:spacing w:val="-1"/>
              </w:rPr>
              <w:t>；（</w:t>
            </w:r>
            <w:r>
              <w:rPr>
                <w:spacing w:val="-2"/>
              </w:rPr>
              <w:t>二）工程已开工建设的，对项目单位处</w:t>
            </w:r>
            <w:r>
              <w:rPr>
                <w:spacing w:val="-34"/>
              </w:rPr>
              <w:t xml:space="preserve"> </w:t>
            </w:r>
            <w:r>
              <w:rPr>
                <w:spacing w:val="-2"/>
              </w:rPr>
              <w:t>30</w:t>
            </w:r>
            <w:r>
              <w:rPr>
                <w:spacing w:val="-37"/>
              </w:rPr>
              <w:t xml:space="preserve"> </w:t>
            </w:r>
            <w:r>
              <w:rPr>
                <w:spacing w:val="-2"/>
              </w:rPr>
              <w:t>万</w:t>
            </w:r>
            <w:r>
              <w:rPr>
                <w:spacing w:val="-3"/>
              </w:rPr>
              <w:t>元以上</w:t>
            </w:r>
            <w:r>
              <w:rPr>
                <w:spacing w:val="-34"/>
              </w:rPr>
              <w:t xml:space="preserve"> </w:t>
            </w:r>
            <w:r>
              <w:rPr>
                <w:spacing w:val="-3"/>
              </w:rPr>
              <w:t>50</w:t>
            </w:r>
            <w:r>
              <w:rPr>
                <w:spacing w:val="-34"/>
              </w:rPr>
              <w:t xml:space="preserve"> </w:t>
            </w:r>
            <w:r>
              <w:rPr>
                <w:spacing w:val="-3"/>
              </w:rPr>
              <w:t>万</w:t>
            </w:r>
            <w:r>
              <w:t xml:space="preserve">  </w:t>
            </w:r>
            <w:r>
              <w:rPr>
                <w:spacing w:val="-1"/>
              </w:rPr>
              <w:t>元以下的罚款；对勘察、设计单位处</w:t>
            </w:r>
            <w:r>
              <w:rPr>
                <w:spacing w:val="-35"/>
              </w:rPr>
              <w:t xml:space="preserve"> </w:t>
            </w:r>
            <w:r>
              <w:rPr>
                <w:spacing w:val="-1"/>
              </w:rPr>
              <w:t>20</w:t>
            </w:r>
            <w:r>
              <w:rPr>
                <w:spacing w:val="-37"/>
              </w:rPr>
              <w:t xml:space="preserve"> </w:t>
            </w:r>
            <w:r>
              <w:rPr>
                <w:spacing w:val="-1"/>
              </w:rPr>
              <w:t>万元以上</w:t>
            </w:r>
            <w:r>
              <w:rPr>
                <w:spacing w:val="-34"/>
              </w:rPr>
              <w:t xml:space="preserve"> </w:t>
            </w:r>
            <w:r>
              <w:rPr>
                <w:spacing w:val="-1"/>
              </w:rPr>
              <w:t>30</w:t>
            </w:r>
            <w:r>
              <w:rPr>
                <w:spacing w:val="-34"/>
              </w:rPr>
              <w:t xml:space="preserve"> </w:t>
            </w:r>
            <w:r>
              <w:rPr>
                <w:spacing w:val="-1"/>
              </w:rPr>
              <w:t>万元以下的罚款；对施工单位处工</w:t>
            </w:r>
            <w:r>
              <w:rPr>
                <w:spacing w:val="-2"/>
              </w:rPr>
              <w:t>程合同价款</w:t>
            </w:r>
            <w:r>
              <w:rPr>
                <w:spacing w:val="-35"/>
              </w:rPr>
              <w:t xml:space="preserve"> </w:t>
            </w:r>
            <w:r>
              <w:rPr>
                <w:spacing w:val="-2"/>
              </w:rPr>
              <w:t>2%以上</w:t>
            </w:r>
            <w:r>
              <w:t xml:space="preserve"> </w:t>
            </w:r>
            <w:r>
              <w:rPr>
                <w:spacing w:val="-3"/>
              </w:rPr>
              <w:t>4%以下的罚款；对工程监理单位处</w:t>
            </w:r>
            <w:r>
              <w:rPr>
                <w:spacing w:val="-16"/>
              </w:rPr>
              <w:t xml:space="preserve"> </w:t>
            </w:r>
            <w:r>
              <w:rPr>
                <w:spacing w:val="-3"/>
              </w:rPr>
              <w:t>50</w:t>
            </w:r>
            <w:r>
              <w:rPr>
                <w:spacing w:val="-37"/>
              </w:rPr>
              <w:t xml:space="preserve"> </w:t>
            </w:r>
            <w:r>
              <w:rPr>
                <w:spacing w:val="-3"/>
              </w:rPr>
              <w:t>万元以上</w:t>
            </w:r>
            <w:r>
              <w:rPr>
                <w:spacing w:val="-24"/>
              </w:rPr>
              <w:t xml:space="preserve"> </w:t>
            </w:r>
            <w:r>
              <w:rPr>
                <w:spacing w:val="-3"/>
              </w:rPr>
              <w:t>100</w:t>
            </w:r>
            <w:r>
              <w:rPr>
                <w:spacing w:val="-34"/>
              </w:rPr>
              <w:t xml:space="preserve"> </w:t>
            </w:r>
            <w:r>
              <w:rPr>
                <w:spacing w:val="-3"/>
              </w:rPr>
              <w:t>万元以下的罚款。</w:t>
            </w:r>
          </w:p>
          <w:p w14:paraId="110CB051">
            <w:pPr>
              <w:pStyle w:val="8"/>
              <w:spacing w:before="1" w:line="218" w:lineRule="auto"/>
              <w:ind w:left="470"/>
            </w:pPr>
            <w:r>
              <w:rPr>
                <w:b/>
                <w:bCs/>
                <w:spacing w:val="-3"/>
              </w:rPr>
              <w:t>4.《公路水运工程质量监督管理规定》（交通运输部令</w:t>
            </w:r>
            <w:r>
              <w:rPr>
                <w:spacing w:val="-23"/>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4"/>
              </w:rPr>
              <w:t xml:space="preserve"> </w:t>
            </w:r>
            <w:r>
              <w:rPr>
                <w:b/>
                <w:bCs/>
                <w:spacing w:val="-3"/>
              </w:rPr>
              <w:t>号）</w:t>
            </w:r>
          </w:p>
          <w:p w14:paraId="27BF6AF1">
            <w:pPr>
              <w:pStyle w:val="8"/>
              <w:spacing w:before="1" w:line="219" w:lineRule="auto"/>
              <w:ind w:left="111" w:right="44" w:firstLine="359"/>
              <w:jc w:val="both"/>
            </w:pPr>
            <w:r>
              <w:rPr>
                <w:spacing w:val="-1"/>
              </w:rPr>
              <w:t>第十四条  施工单位应当严格按照工程设</w:t>
            </w:r>
            <w:r>
              <w:rPr>
                <w:spacing w:val="-2"/>
              </w:rPr>
              <w:t>计图纸、施工技术标准和合同约定施工，对原材料、混合料、</w:t>
            </w:r>
            <w:r>
              <w:t xml:space="preserve"> 构配件、工程实体、机电设备等进行检验；按规定施行班组自检、工序交接检、专职</w:t>
            </w:r>
            <w:r>
              <w:rPr>
                <w:spacing w:val="-1"/>
              </w:rPr>
              <w:t>质检员检验的质量控</w:t>
            </w:r>
            <w:r>
              <w:t xml:space="preserve">  制程序；对分项工程、分部工程和单位工程进行质量自评。检验或者自评不合格的，</w:t>
            </w:r>
            <w:r>
              <w:rPr>
                <w:spacing w:val="-1"/>
              </w:rPr>
              <w:t>不得进入下道工序或</w:t>
            </w:r>
            <w:r>
              <w:t xml:space="preserve">  </w:t>
            </w:r>
            <w:r>
              <w:rPr>
                <w:spacing w:val="-5"/>
              </w:rPr>
              <w:t>者投入使用。</w:t>
            </w:r>
          </w:p>
          <w:p w14:paraId="3318DC7C">
            <w:pPr>
              <w:pStyle w:val="8"/>
              <w:spacing w:before="2" w:line="214" w:lineRule="auto"/>
              <w:ind w:left="112" w:right="104" w:firstLine="358"/>
              <w:jc w:val="both"/>
            </w:pPr>
            <w:r>
              <w:t>第四十条  违反本规定第十四条规定，施工单位不按照工程设计图纸或者施工技</w:t>
            </w:r>
            <w:r>
              <w:rPr>
                <w:spacing w:val="-1"/>
              </w:rPr>
              <w:t>术标准施工的，依照</w:t>
            </w:r>
            <w:r>
              <w:t xml:space="preserve"> 《建设工程质量管理条例》第六十四条规定，责令改正，按以</w:t>
            </w:r>
            <w:r>
              <w:rPr>
                <w:spacing w:val="-1"/>
              </w:rPr>
              <w:t>下标准处以罚款；情节严重的，责令停工整</w:t>
            </w:r>
            <w:r>
              <w:t xml:space="preserve"> 顿</w:t>
            </w:r>
            <w:r>
              <w:rPr>
                <w:spacing w:val="-6"/>
              </w:rPr>
              <w:t>：（</w:t>
            </w:r>
            <w:r>
              <w:t>一）未造成工程质量事故的，处所涉及单位工程合同价款</w:t>
            </w:r>
            <w:r>
              <w:rPr>
                <w:spacing w:val="-26"/>
              </w:rPr>
              <w:t xml:space="preserve"> </w:t>
            </w:r>
            <w:r>
              <w:t>2%的罚款</w:t>
            </w:r>
            <w:r>
              <w:rPr>
                <w:spacing w:val="-6"/>
              </w:rPr>
              <w:t>；（</w:t>
            </w:r>
            <w:r>
              <w:t>二）造成工程质量</w:t>
            </w:r>
            <w:r>
              <w:rPr>
                <w:spacing w:val="-1"/>
              </w:rPr>
              <w:t>一般事故</w:t>
            </w:r>
            <w:r>
              <w:t xml:space="preserve"> </w:t>
            </w:r>
            <w:r>
              <w:rPr>
                <w:spacing w:val="-1"/>
              </w:rPr>
              <w:t>的，处所涉及单位工程合同价款</w:t>
            </w:r>
            <w:r>
              <w:rPr>
                <w:spacing w:val="-36"/>
              </w:rPr>
              <w:t xml:space="preserve"> </w:t>
            </w:r>
            <w:r>
              <w:rPr>
                <w:spacing w:val="-1"/>
              </w:rPr>
              <w:t>2%以上</w:t>
            </w:r>
            <w:r>
              <w:rPr>
                <w:spacing w:val="-36"/>
              </w:rPr>
              <w:t xml:space="preserve"> </w:t>
            </w:r>
            <w:r>
              <w:rPr>
                <w:spacing w:val="-1"/>
              </w:rPr>
              <w:t>3%以下的罚款</w:t>
            </w:r>
            <w:r>
              <w:rPr>
                <w:spacing w:val="-2"/>
              </w:rPr>
              <w:t>；（</w:t>
            </w:r>
            <w:r>
              <w:rPr>
                <w:spacing w:val="-1"/>
              </w:rPr>
              <w:t>三）造成工程质量</w:t>
            </w:r>
            <w:r>
              <w:rPr>
                <w:spacing w:val="-2"/>
              </w:rPr>
              <w:t>较大及以上等级事故的，处所</w:t>
            </w:r>
            <w:r>
              <w:t xml:space="preserve"> </w:t>
            </w:r>
            <w:r>
              <w:rPr>
                <w:spacing w:val="-3"/>
              </w:rPr>
              <w:t>涉及单位工程合同价款</w:t>
            </w:r>
            <w:r>
              <w:rPr>
                <w:spacing w:val="-16"/>
              </w:rPr>
              <w:t xml:space="preserve"> </w:t>
            </w:r>
            <w:r>
              <w:rPr>
                <w:spacing w:val="-3"/>
              </w:rPr>
              <w:t>3%以上</w:t>
            </w:r>
            <w:r>
              <w:rPr>
                <w:spacing w:val="-41"/>
              </w:rPr>
              <w:t xml:space="preserve"> </w:t>
            </w:r>
            <w:r>
              <w:rPr>
                <w:spacing w:val="-3"/>
              </w:rPr>
              <w:t>4%以下的罚款。</w:t>
            </w:r>
          </w:p>
        </w:tc>
        <w:tc>
          <w:tcPr>
            <w:tcW w:w="1014" w:type="dxa"/>
            <w:vAlign w:val="top"/>
          </w:tcPr>
          <w:p w14:paraId="58CD74B6">
            <w:pPr>
              <w:spacing w:line="241" w:lineRule="auto"/>
              <w:rPr>
                <w:rFonts w:ascii="Arial"/>
                <w:sz w:val="21"/>
              </w:rPr>
            </w:pPr>
          </w:p>
          <w:p w14:paraId="3817BE12">
            <w:pPr>
              <w:spacing w:line="241" w:lineRule="auto"/>
              <w:rPr>
                <w:rFonts w:ascii="Arial"/>
                <w:sz w:val="21"/>
              </w:rPr>
            </w:pPr>
          </w:p>
          <w:p w14:paraId="18C55030">
            <w:pPr>
              <w:spacing w:line="241" w:lineRule="auto"/>
              <w:rPr>
                <w:rFonts w:ascii="Arial"/>
                <w:sz w:val="21"/>
              </w:rPr>
            </w:pPr>
          </w:p>
          <w:p w14:paraId="10AD0276">
            <w:pPr>
              <w:spacing w:line="241" w:lineRule="auto"/>
              <w:rPr>
                <w:rFonts w:ascii="Arial"/>
                <w:sz w:val="21"/>
              </w:rPr>
            </w:pPr>
          </w:p>
          <w:p w14:paraId="14453021">
            <w:pPr>
              <w:spacing w:line="241" w:lineRule="auto"/>
              <w:rPr>
                <w:rFonts w:ascii="Arial"/>
                <w:sz w:val="21"/>
              </w:rPr>
            </w:pPr>
          </w:p>
          <w:p w14:paraId="5C003594">
            <w:pPr>
              <w:spacing w:line="241" w:lineRule="auto"/>
              <w:rPr>
                <w:rFonts w:ascii="Arial"/>
                <w:sz w:val="21"/>
              </w:rPr>
            </w:pPr>
          </w:p>
          <w:p w14:paraId="3C6497F9">
            <w:pPr>
              <w:spacing w:line="241" w:lineRule="auto"/>
              <w:rPr>
                <w:rFonts w:ascii="Arial"/>
                <w:sz w:val="21"/>
              </w:rPr>
            </w:pPr>
          </w:p>
          <w:p w14:paraId="21D73777">
            <w:pPr>
              <w:spacing w:line="241" w:lineRule="auto"/>
              <w:rPr>
                <w:rFonts w:ascii="Arial"/>
                <w:sz w:val="21"/>
              </w:rPr>
            </w:pPr>
          </w:p>
          <w:p w14:paraId="5AB69529">
            <w:pPr>
              <w:spacing w:line="241" w:lineRule="auto"/>
              <w:rPr>
                <w:rFonts w:ascii="Arial"/>
                <w:sz w:val="21"/>
              </w:rPr>
            </w:pPr>
          </w:p>
          <w:p w14:paraId="3735C549">
            <w:pPr>
              <w:spacing w:line="241" w:lineRule="auto"/>
              <w:rPr>
                <w:rFonts w:ascii="Arial"/>
                <w:sz w:val="21"/>
              </w:rPr>
            </w:pPr>
          </w:p>
          <w:p w14:paraId="6C58625A">
            <w:pPr>
              <w:spacing w:line="241" w:lineRule="auto"/>
              <w:rPr>
                <w:rFonts w:ascii="Arial"/>
                <w:sz w:val="21"/>
              </w:rPr>
            </w:pPr>
          </w:p>
          <w:p w14:paraId="5686B68C">
            <w:pPr>
              <w:spacing w:line="241" w:lineRule="auto"/>
              <w:rPr>
                <w:rFonts w:ascii="Arial"/>
                <w:sz w:val="21"/>
              </w:rPr>
            </w:pPr>
          </w:p>
          <w:p w14:paraId="22AE26F0">
            <w:pPr>
              <w:spacing w:line="241" w:lineRule="auto"/>
              <w:rPr>
                <w:rFonts w:ascii="Arial"/>
                <w:sz w:val="21"/>
              </w:rPr>
            </w:pPr>
          </w:p>
          <w:p w14:paraId="65724AD3">
            <w:pPr>
              <w:spacing w:line="242" w:lineRule="auto"/>
              <w:rPr>
                <w:rFonts w:ascii="Arial"/>
                <w:sz w:val="21"/>
              </w:rPr>
            </w:pPr>
          </w:p>
          <w:p w14:paraId="39E19991">
            <w:pPr>
              <w:spacing w:line="242" w:lineRule="auto"/>
              <w:rPr>
                <w:rFonts w:ascii="Arial"/>
                <w:sz w:val="21"/>
              </w:rPr>
            </w:pPr>
          </w:p>
          <w:p w14:paraId="1C7A66D2">
            <w:pPr>
              <w:spacing w:line="242" w:lineRule="auto"/>
              <w:rPr>
                <w:rFonts w:ascii="Arial"/>
                <w:sz w:val="21"/>
              </w:rPr>
            </w:pPr>
          </w:p>
          <w:p w14:paraId="41FA431C">
            <w:pPr>
              <w:spacing w:line="242" w:lineRule="auto"/>
              <w:rPr>
                <w:rFonts w:ascii="Arial"/>
                <w:sz w:val="21"/>
              </w:rPr>
            </w:pPr>
          </w:p>
          <w:p w14:paraId="56AB9013">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199FC47A">
            <w:pPr>
              <w:spacing w:line="241" w:lineRule="auto"/>
              <w:rPr>
                <w:rFonts w:ascii="Arial"/>
                <w:sz w:val="21"/>
              </w:rPr>
            </w:pPr>
          </w:p>
          <w:p w14:paraId="4D19336E">
            <w:pPr>
              <w:spacing w:line="241" w:lineRule="auto"/>
              <w:rPr>
                <w:rFonts w:ascii="Arial"/>
                <w:sz w:val="21"/>
              </w:rPr>
            </w:pPr>
          </w:p>
          <w:p w14:paraId="58C0AFC3">
            <w:pPr>
              <w:spacing w:line="241" w:lineRule="auto"/>
              <w:rPr>
                <w:rFonts w:ascii="Arial"/>
                <w:sz w:val="21"/>
              </w:rPr>
            </w:pPr>
          </w:p>
          <w:p w14:paraId="1A594AB5">
            <w:pPr>
              <w:spacing w:line="241" w:lineRule="auto"/>
              <w:rPr>
                <w:rFonts w:ascii="Arial"/>
                <w:sz w:val="21"/>
              </w:rPr>
            </w:pPr>
          </w:p>
          <w:p w14:paraId="20BA2F0A">
            <w:pPr>
              <w:spacing w:line="241" w:lineRule="auto"/>
              <w:rPr>
                <w:rFonts w:ascii="Arial"/>
                <w:sz w:val="21"/>
              </w:rPr>
            </w:pPr>
          </w:p>
          <w:p w14:paraId="7B14B60F">
            <w:pPr>
              <w:spacing w:line="241" w:lineRule="auto"/>
              <w:rPr>
                <w:rFonts w:ascii="Arial"/>
                <w:sz w:val="21"/>
              </w:rPr>
            </w:pPr>
          </w:p>
          <w:p w14:paraId="0A2C72AF">
            <w:pPr>
              <w:spacing w:line="241" w:lineRule="auto"/>
              <w:rPr>
                <w:rFonts w:ascii="Arial"/>
                <w:sz w:val="21"/>
              </w:rPr>
            </w:pPr>
          </w:p>
          <w:p w14:paraId="2F7ECB55">
            <w:pPr>
              <w:spacing w:line="241" w:lineRule="auto"/>
              <w:rPr>
                <w:rFonts w:ascii="Arial"/>
                <w:sz w:val="21"/>
              </w:rPr>
            </w:pPr>
          </w:p>
          <w:p w14:paraId="3190AFE0">
            <w:pPr>
              <w:spacing w:line="241" w:lineRule="auto"/>
              <w:rPr>
                <w:rFonts w:ascii="Arial"/>
                <w:sz w:val="21"/>
              </w:rPr>
            </w:pPr>
          </w:p>
          <w:p w14:paraId="57591CDF">
            <w:pPr>
              <w:spacing w:line="241" w:lineRule="auto"/>
              <w:rPr>
                <w:rFonts w:ascii="Arial"/>
                <w:sz w:val="21"/>
              </w:rPr>
            </w:pPr>
          </w:p>
          <w:p w14:paraId="71083A1D">
            <w:pPr>
              <w:spacing w:line="241" w:lineRule="auto"/>
              <w:rPr>
                <w:rFonts w:ascii="Arial"/>
                <w:sz w:val="21"/>
              </w:rPr>
            </w:pPr>
          </w:p>
          <w:p w14:paraId="12958D19">
            <w:pPr>
              <w:spacing w:line="241" w:lineRule="auto"/>
              <w:rPr>
                <w:rFonts w:ascii="Arial"/>
                <w:sz w:val="21"/>
              </w:rPr>
            </w:pPr>
          </w:p>
          <w:p w14:paraId="6CA1A5D3">
            <w:pPr>
              <w:spacing w:line="241" w:lineRule="auto"/>
              <w:rPr>
                <w:rFonts w:ascii="Arial"/>
                <w:sz w:val="21"/>
              </w:rPr>
            </w:pPr>
          </w:p>
          <w:p w14:paraId="47519DE7">
            <w:pPr>
              <w:spacing w:line="242" w:lineRule="auto"/>
              <w:rPr>
                <w:rFonts w:ascii="Arial"/>
                <w:sz w:val="21"/>
              </w:rPr>
            </w:pPr>
          </w:p>
          <w:p w14:paraId="3CA00982">
            <w:pPr>
              <w:spacing w:line="242" w:lineRule="auto"/>
              <w:rPr>
                <w:rFonts w:ascii="Arial"/>
                <w:sz w:val="21"/>
              </w:rPr>
            </w:pPr>
          </w:p>
          <w:p w14:paraId="45AD2D75">
            <w:pPr>
              <w:spacing w:line="242" w:lineRule="auto"/>
              <w:rPr>
                <w:rFonts w:ascii="Arial"/>
                <w:sz w:val="21"/>
              </w:rPr>
            </w:pPr>
          </w:p>
          <w:p w14:paraId="592A2553">
            <w:pPr>
              <w:spacing w:line="242" w:lineRule="auto"/>
              <w:rPr>
                <w:rFonts w:ascii="Arial"/>
                <w:sz w:val="21"/>
              </w:rPr>
            </w:pPr>
          </w:p>
          <w:p w14:paraId="5403B2F9">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372EF06">
            <w:pPr>
              <w:spacing w:line="241" w:lineRule="auto"/>
              <w:rPr>
                <w:rFonts w:ascii="Arial"/>
                <w:sz w:val="21"/>
              </w:rPr>
            </w:pPr>
          </w:p>
          <w:p w14:paraId="3B6E6160">
            <w:pPr>
              <w:spacing w:line="241" w:lineRule="auto"/>
              <w:rPr>
                <w:rFonts w:ascii="Arial"/>
                <w:sz w:val="21"/>
              </w:rPr>
            </w:pPr>
          </w:p>
          <w:p w14:paraId="7F1CDECD">
            <w:pPr>
              <w:spacing w:line="241" w:lineRule="auto"/>
              <w:rPr>
                <w:rFonts w:ascii="Arial"/>
                <w:sz w:val="21"/>
              </w:rPr>
            </w:pPr>
          </w:p>
          <w:p w14:paraId="79A1096E">
            <w:pPr>
              <w:spacing w:line="241" w:lineRule="auto"/>
              <w:rPr>
                <w:rFonts w:ascii="Arial"/>
                <w:sz w:val="21"/>
              </w:rPr>
            </w:pPr>
          </w:p>
          <w:p w14:paraId="251CA28F">
            <w:pPr>
              <w:spacing w:line="241" w:lineRule="auto"/>
              <w:rPr>
                <w:rFonts w:ascii="Arial"/>
                <w:sz w:val="21"/>
              </w:rPr>
            </w:pPr>
          </w:p>
          <w:p w14:paraId="3A95B226">
            <w:pPr>
              <w:spacing w:line="241" w:lineRule="auto"/>
              <w:rPr>
                <w:rFonts w:ascii="Arial"/>
                <w:sz w:val="21"/>
              </w:rPr>
            </w:pPr>
          </w:p>
          <w:p w14:paraId="65C9B31C">
            <w:pPr>
              <w:spacing w:line="241" w:lineRule="auto"/>
              <w:rPr>
                <w:rFonts w:ascii="Arial"/>
                <w:sz w:val="21"/>
              </w:rPr>
            </w:pPr>
          </w:p>
          <w:p w14:paraId="1BBD2AF0">
            <w:pPr>
              <w:spacing w:line="241" w:lineRule="auto"/>
              <w:rPr>
                <w:rFonts w:ascii="Arial"/>
                <w:sz w:val="21"/>
              </w:rPr>
            </w:pPr>
          </w:p>
          <w:p w14:paraId="73CB299F">
            <w:pPr>
              <w:spacing w:line="242" w:lineRule="auto"/>
              <w:rPr>
                <w:rFonts w:ascii="Arial"/>
                <w:sz w:val="21"/>
              </w:rPr>
            </w:pPr>
          </w:p>
          <w:p w14:paraId="3C13B063">
            <w:pPr>
              <w:spacing w:line="242" w:lineRule="auto"/>
              <w:rPr>
                <w:rFonts w:ascii="Arial"/>
                <w:sz w:val="21"/>
              </w:rPr>
            </w:pPr>
          </w:p>
          <w:p w14:paraId="353E5E0A">
            <w:pPr>
              <w:spacing w:line="242" w:lineRule="auto"/>
              <w:rPr>
                <w:rFonts w:ascii="Arial"/>
                <w:sz w:val="21"/>
              </w:rPr>
            </w:pPr>
          </w:p>
          <w:p w14:paraId="1FEE1221">
            <w:pPr>
              <w:spacing w:line="242" w:lineRule="auto"/>
              <w:rPr>
                <w:rFonts w:ascii="Arial"/>
                <w:sz w:val="21"/>
              </w:rPr>
            </w:pPr>
          </w:p>
          <w:p w14:paraId="369C12A6">
            <w:pPr>
              <w:spacing w:line="242" w:lineRule="auto"/>
              <w:rPr>
                <w:rFonts w:ascii="Arial"/>
                <w:sz w:val="21"/>
              </w:rPr>
            </w:pPr>
          </w:p>
          <w:p w14:paraId="4B6C19F6">
            <w:pPr>
              <w:spacing w:line="242" w:lineRule="auto"/>
              <w:rPr>
                <w:rFonts w:ascii="Arial"/>
                <w:sz w:val="21"/>
              </w:rPr>
            </w:pPr>
          </w:p>
          <w:p w14:paraId="1CE40FF4">
            <w:pPr>
              <w:spacing w:line="242" w:lineRule="auto"/>
              <w:rPr>
                <w:rFonts w:ascii="Arial"/>
                <w:sz w:val="21"/>
              </w:rPr>
            </w:pPr>
          </w:p>
          <w:p w14:paraId="528A1645">
            <w:pPr>
              <w:spacing w:line="242" w:lineRule="auto"/>
              <w:rPr>
                <w:rFonts w:ascii="Arial"/>
                <w:sz w:val="21"/>
              </w:rPr>
            </w:pPr>
          </w:p>
          <w:p w14:paraId="6C467924">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EDF16C8">
      <w:pPr>
        <w:pStyle w:val="2"/>
      </w:pPr>
    </w:p>
    <w:p w14:paraId="7E7E76A9">
      <w:pPr>
        <w:sectPr>
          <w:footerReference r:id="rId102" w:type="default"/>
          <w:pgSz w:w="16839" w:h="11906"/>
          <w:pgMar w:top="1012" w:right="991" w:bottom="967" w:left="1021" w:header="0" w:footer="768" w:gutter="0"/>
          <w:cols w:space="720" w:num="1"/>
        </w:sectPr>
      </w:pPr>
    </w:p>
    <w:p w14:paraId="67E327E4">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4C13E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0F79AE8D">
            <w:pPr>
              <w:pStyle w:val="8"/>
              <w:spacing w:before="267" w:line="221" w:lineRule="auto"/>
              <w:ind w:left="134"/>
            </w:pPr>
            <w:r>
              <w:rPr>
                <w:b/>
                <w:bCs/>
                <w:spacing w:val="-4"/>
              </w:rPr>
              <w:t>序号</w:t>
            </w:r>
          </w:p>
        </w:tc>
        <w:tc>
          <w:tcPr>
            <w:tcW w:w="1104" w:type="dxa"/>
            <w:vMerge w:val="restart"/>
            <w:tcBorders>
              <w:bottom w:val="nil"/>
            </w:tcBorders>
            <w:vAlign w:val="top"/>
          </w:tcPr>
          <w:p w14:paraId="710DBBA5">
            <w:pPr>
              <w:pStyle w:val="8"/>
              <w:spacing w:before="260" w:line="220" w:lineRule="auto"/>
              <w:ind w:left="192"/>
            </w:pPr>
            <w:r>
              <w:rPr>
                <w:b/>
                <w:bCs/>
                <w:spacing w:val="-4"/>
              </w:rPr>
              <w:t>事项名称</w:t>
            </w:r>
          </w:p>
        </w:tc>
        <w:tc>
          <w:tcPr>
            <w:tcW w:w="1104" w:type="dxa"/>
            <w:vMerge w:val="restart"/>
            <w:tcBorders>
              <w:bottom w:val="nil"/>
            </w:tcBorders>
            <w:vAlign w:val="top"/>
          </w:tcPr>
          <w:p w14:paraId="2CC00F50">
            <w:pPr>
              <w:pStyle w:val="8"/>
              <w:spacing w:before="260" w:line="219" w:lineRule="auto"/>
              <w:ind w:left="193"/>
            </w:pPr>
            <w:r>
              <w:rPr>
                <w:b/>
                <w:bCs/>
                <w:spacing w:val="-4"/>
              </w:rPr>
              <w:t>职权类型</w:t>
            </w:r>
          </w:p>
        </w:tc>
        <w:tc>
          <w:tcPr>
            <w:tcW w:w="8549" w:type="dxa"/>
            <w:vMerge w:val="restart"/>
            <w:tcBorders>
              <w:bottom w:val="nil"/>
            </w:tcBorders>
            <w:vAlign w:val="top"/>
          </w:tcPr>
          <w:p w14:paraId="464DFE16">
            <w:pPr>
              <w:pStyle w:val="8"/>
              <w:spacing w:before="259" w:line="219" w:lineRule="auto"/>
              <w:ind w:left="3921"/>
            </w:pPr>
            <w:r>
              <w:rPr>
                <w:b/>
                <w:bCs/>
                <w:spacing w:val="-5"/>
              </w:rPr>
              <w:t>实施依据</w:t>
            </w:r>
          </w:p>
        </w:tc>
        <w:tc>
          <w:tcPr>
            <w:tcW w:w="3439" w:type="dxa"/>
            <w:gridSpan w:val="3"/>
            <w:vAlign w:val="top"/>
          </w:tcPr>
          <w:p w14:paraId="1598CEE1">
            <w:pPr>
              <w:pStyle w:val="8"/>
              <w:spacing w:before="85" w:line="220" w:lineRule="auto"/>
              <w:ind w:left="1365"/>
            </w:pPr>
            <w:r>
              <w:rPr>
                <w:b/>
                <w:bCs/>
                <w:spacing w:val="-5"/>
              </w:rPr>
              <w:t>实施主体</w:t>
            </w:r>
          </w:p>
        </w:tc>
      </w:tr>
      <w:tr w14:paraId="072C9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C4C9F7A">
            <w:pPr>
              <w:rPr>
                <w:rFonts w:ascii="Arial"/>
                <w:sz w:val="21"/>
              </w:rPr>
            </w:pPr>
          </w:p>
        </w:tc>
        <w:tc>
          <w:tcPr>
            <w:tcW w:w="1104" w:type="dxa"/>
            <w:vMerge w:val="continue"/>
            <w:tcBorders>
              <w:top w:val="nil"/>
            </w:tcBorders>
            <w:vAlign w:val="top"/>
          </w:tcPr>
          <w:p w14:paraId="670DC8DA">
            <w:pPr>
              <w:rPr>
                <w:rFonts w:ascii="Arial"/>
                <w:sz w:val="21"/>
              </w:rPr>
            </w:pPr>
          </w:p>
        </w:tc>
        <w:tc>
          <w:tcPr>
            <w:tcW w:w="1104" w:type="dxa"/>
            <w:vMerge w:val="continue"/>
            <w:tcBorders>
              <w:top w:val="nil"/>
            </w:tcBorders>
            <w:vAlign w:val="top"/>
          </w:tcPr>
          <w:p w14:paraId="38DC6788">
            <w:pPr>
              <w:rPr>
                <w:rFonts w:ascii="Arial"/>
                <w:sz w:val="21"/>
              </w:rPr>
            </w:pPr>
          </w:p>
        </w:tc>
        <w:tc>
          <w:tcPr>
            <w:tcW w:w="8549" w:type="dxa"/>
            <w:vMerge w:val="continue"/>
            <w:tcBorders>
              <w:top w:val="nil"/>
            </w:tcBorders>
            <w:vAlign w:val="top"/>
          </w:tcPr>
          <w:p w14:paraId="4359107A">
            <w:pPr>
              <w:rPr>
                <w:rFonts w:ascii="Arial"/>
                <w:sz w:val="21"/>
              </w:rPr>
            </w:pPr>
          </w:p>
        </w:tc>
        <w:tc>
          <w:tcPr>
            <w:tcW w:w="1014" w:type="dxa"/>
            <w:vAlign w:val="top"/>
          </w:tcPr>
          <w:p w14:paraId="4C1C8803">
            <w:pPr>
              <w:pStyle w:val="8"/>
              <w:spacing w:before="81" w:line="219" w:lineRule="auto"/>
              <w:ind w:left="158"/>
            </w:pPr>
            <w:r>
              <w:rPr>
                <w:b/>
                <w:bCs/>
                <w:spacing w:val="-5"/>
              </w:rPr>
              <w:t>责任部门</w:t>
            </w:r>
          </w:p>
        </w:tc>
        <w:tc>
          <w:tcPr>
            <w:tcW w:w="1407" w:type="dxa"/>
            <w:vAlign w:val="top"/>
          </w:tcPr>
          <w:p w14:paraId="3621272E">
            <w:pPr>
              <w:pStyle w:val="8"/>
              <w:spacing w:before="81" w:line="219" w:lineRule="auto"/>
              <w:ind w:left="167"/>
            </w:pPr>
            <w:r>
              <w:rPr>
                <w:b/>
                <w:bCs/>
                <w:spacing w:val="-3"/>
              </w:rPr>
              <w:t>第一责任层级</w:t>
            </w:r>
          </w:p>
        </w:tc>
        <w:tc>
          <w:tcPr>
            <w:tcW w:w="1018" w:type="dxa"/>
            <w:vAlign w:val="top"/>
          </w:tcPr>
          <w:p w14:paraId="4EF63089">
            <w:pPr>
              <w:pStyle w:val="8"/>
              <w:spacing w:before="81" w:line="219" w:lineRule="auto"/>
              <w:ind w:left="152"/>
            </w:pPr>
            <w:r>
              <w:rPr>
                <w:b/>
                <w:bCs/>
                <w:spacing w:val="-4"/>
              </w:rPr>
              <w:t>承办机构</w:t>
            </w:r>
          </w:p>
        </w:tc>
      </w:tr>
      <w:tr w14:paraId="3754C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8" w:hRule="atLeast"/>
        </w:trPr>
        <w:tc>
          <w:tcPr>
            <w:tcW w:w="624" w:type="dxa"/>
            <w:vAlign w:val="top"/>
          </w:tcPr>
          <w:p w14:paraId="74DCC256">
            <w:pPr>
              <w:spacing w:line="257" w:lineRule="auto"/>
              <w:rPr>
                <w:rFonts w:ascii="Arial"/>
                <w:sz w:val="21"/>
              </w:rPr>
            </w:pPr>
          </w:p>
          <w:p w14:paraId="00496686">
            <w:pPr>
              <w:spacing w:line="257" w:lineRule="auto"/>
              <w:rPr>
                <w:rFonts w:ascii="Arial"/>
                <w:sz w:val="21"/>
              </w:rPr>
            </w:pPr>
          </w:p>
          <w:p w14:paraId="21A9E4F9">
            <w:pPr>
              <w:spacing w:line="257" w:lineRule="auto"/>
              <w:rPr>
                <w:rFonts w:ascii="Arial"/>
                <w:sz w:val="21"/>
              </w:rPr>
            </w:pPr>
          </w:p>
          <w:p w14:paraId="5593DB7D">
            <w:pPr>
              <w:spacing w:line="257" w:lineRule="auto"/>
              <w:rPr>
                <w:rFonts w:ascii="Arial"/>
                <w:sz w:val="21"/>
              </w:rPr>
            </w:pPr>
          </w:p>
          <w:p w14:paraId="4BA09923">
            <w:pPr>
              <w:spacing w:line="257" w:lineRule="auto"/>
              <w:rPr>
                <w:rFonts w:ascii="Arial"/>
                <w:sz w:val="21"/>
              </w:rPr>
            </w:pPr>
          </w:p>
          <w:p w14:paraId="37286A5A">
            <w:pPr>
              <w:spacing w:line="257" w:lineRule="auto"/>
              <w:rPr>
                <w:rFonts w:ascii="Arial"/>
                <w:sz w:val="21"/>
              </w:rPr>
            </w:pPr>
          </w:p>
          <w:p w14:paraId="0D2E81F1">
            <w:pPr>
              <w:spacing w:line="257" w:lineRule="auto"/>
              <w:rPr>
                <w:rFonts w:ascii="Arial"/>
                <w:sz w:val="21"/>
              </w:rPr>
            </w:pPr>
          </w:p>
          <w:p w14:paraId="4B012B96">
            <w:pPr>
              <w:spacing w:line="258" w:lineRule="auto"/>
              <w:rPr>
                <w:rFonts w:ascii="Arial"/>
                <w:sz w:val="21"/>
              </w:rPr>
            </w:pPr>
          </w:p>
          <w:p w14:paraId="58283D98">
            <w:pPr>
              <w:pStyle w:val="8"/>
              <w:spacing w:before="58" w:line="183" w:lineRule="auto"/>
              <w:ind w:left="234"/>
            </w:pPr>
            <w:r>
              <w:rPr>
                <w:spacing w:val="-6"/>
              </w:rPr>
              <w:t>52</w:t>
            </w:r>
          </w:p>
        </w:tc>
        <w:tc>
          <w:tcPr>
            <w:tcW w:w="1104" w:type="dxa"/>
            <w:vAlign w:val="top"/>
          </w:tcPr>
          <w:p w14:paraId="627F5AAF">
            <w:pPr>
              <w:spacing w:line="299" w:lineRule="auto"/>
              <w:rPr>
                <w:rFonts w:ascii="Arial"/>
                <w:sz w:val="21"/>
              </w:rPr>
            </w:pPr>
          </w:p>
          <w:p w14:paraId="3793CB7C">
            <w:pPr>
              <w:spacing w:line="299" w:lineRule="auto"/>
              <w:rPr>
                <w:rFonts w:ascii="Arial"/>
                <w:sz w:val="21"/>
              </w:rPr>
            </w:pPr>
          </w:p>
          <w:p w14:paraId="4F9272A7">
            <w:pPr>
              <w:spacing w:line="299" w:lineRule="auto"/>
              <w:rPr>
                <w:rFonts w:ascii="Arial"/>
                <w:sz w:val="21"/>
              </w:rPr>
            </w:pPr>
          </w:p>
          <w:p w14:paraId="40BAC40F">
            <w:pPr>
              <w:spacing w:line="300" w:lineRule="auto"/>
              <w:rPr>
                <w:rFonts w:ascii="Arial"/>
                <w:sz w:val="21"/>
              </w:rPr>
            </w:pPr>
          </w:p>
          <w:p w14:paraId="2FA48A83">
            <w:pPr>
              <w:pStyle w:val="8"/>
              <w:spacing w:before="58" w:line="243" w:lineRule="auto"/>
              <w:ind w:left="60" w:right="56"/>
              <w:jc w:val="both"/>
            </w:pPr>
            <w:r>
              <w:rPr>
                <w:spacing w:val="16"/>
              </w:rPr>
              <w:t>对交通运输</w:t>
            </w:r>
            <w:r>
              <w:rPr>
                <w:spacing w:val="1"/>
              </w:rPr>
              <w:t xml:space="preserve"> </w:t>
            </w:r>
            <w:r>
              <w:rPr>
                <w:spacing w:val="16"/>
              </w:rPr>
              <w:t>建设工程领</w:t>
            </w:r>
            <w:r>
              <w:t xml:space="preserve"> </w:t>
            </w:r>
            <w:r>
              <w:rPr>
                <w:spacing w:val="16"/>
              </w:rPr>
              <w:t>域施工单位</w:t>
            </w:r>
            <w:r>
              <w:t xml:space="preserve"> </w:t>
            </w:r>
            <w:r>
              <w:rPr>
                <w:spacing w:val="-17"/>
              </w:rPr>
              <w:t>未对材料、构</w:t>
            </w:r>
            <w:r>
              <w:rPr>
                <w:spacing w:val="2"/>
              </w:rPr>
              <w:t xml:space="preserve"> </w:t>
            </w:r>
            <w:r>
              <w:rPr>
                <w:spacing w:val="16"/>
              </w:rPr>
              <w:t>配件等进行</w:t>
            </w:r>
            <w:r>
              <w:t xml:space="preserve"> </w:t>
            </w:r>
            <w:r>
              <w:rPr>
                <w:spacing w:val="16"/>
              </w:rPr>
              <w:t>检验检测行</w:t>
            </w:r>
            <w:r>
              <w:t xml:space="preserve"> </w:t>
            </w:r>
            <w:r>
              <w:rPr>
                <w:spacing w:val="16"/>
              </w:rPr>
              <w:t>为的行政处</w:t>
            </w:r>
            <w:r>
              <w:t xml:space="preserve"> 罚</w:t>
            </w:r>
          </w:p>
        </w:tc>
        <w:tc>
          <w:tcPr>
            <w:tcW w:w="1104" w:type="dxa"/>
            <w:vAlign w:val="top"/>
          </w:tcPr>
          <w:p w14:paraId="06ADDCC3">
            <w:pPr>
              <w:spacing w:line="253" w:lineRule="auto"/>
              <w:rPr>
                <w:rFonts w:ascii="Arial"/>
                <w:sz w:val="21"/>
              </w:rPr>
            </w:pPr>
          </w:p>
          <w:p w14:paraId="413827B9">
            <w:pPr>
              <w:spacing w:line="253" w:lineRule="auto"/>
              <w:rPr>
                <w:rFonts w:ascii="Arial"/>
                <w:sz w:val="21"/>
              </w:rPr>
            </w:pPr>
          </w:p>
          <w:p w14:paraId="719131CB">
            <w:pPr>
              <w:spacing w:line="253" w:lineRule="auto"/>
              <w:rPr>
                <w:rFonts w:ascii="Arial"/>
                <w:sz w:val="21"/>
              </w:rPr>
            </w:pPr>
          </w:p>
          <w:p w14:paraId="534825C9">
            <w:pPr>
              <w:spacing w:line="254" w:lineRule="auto"/>
              <w:rPr>
                <w:rFonts w:ascii="Arial"/>
                <w:sz w:val="21"/>
              </w:rPr>
            </w:pPr>
          </w:p>
          <w:p w14:paraId="42174A2A">
            <w:pPr>
              <w:spacing w:line="254" w:lineRule="auto"/>
              <w:rPr>
                <w:rFonts w:ascii="Arial"/>
                <w:sz w:val="21"/>
              </w:rPr>
            </w:pPr>
          </w:p>
          <w:p w14:paraId="55FF3559">
            <w:pPr>
              <w:spacing w:line="254" w:lineRule="auto"/>
              <w:rPr>
                <w:rFonts w:ascii="Arial"/>
                <w:sz w:val="21"/>
              </w:rPr>
            </w:pPr>
          </w:p>
          <w:p w14:paraId="50F792EC">
            <w:pPr>
              <w:spacing w:line="254" w:lineRule="auto"/>
              <w:rPr>
                <w:rFonts w:ascii="Arial"/>
                <w:sz w:val="21"/>
              </w:rPr>
            </w:pPr>
          </w:p>
          <w:p w14:paraId="70EE5348">
            <w:pPr>
              <w:spacing w:line="254" w:lineRule="auto"/>
              <w:rPr>
                <w:rFonts w:ascii="Arial"/>
                <w:sz w:val="21"/>
              </w:rPr>
            </w:pPr>
          </w:p>
          <w:p w14:paraId="2096588A">
            <w:pPr>
              <w:pStyle w:val="8"/>
              <w:spacing w:before="58" w:line="220" w:lineRule="auto"/>
              <w:ind w:left="10"/>
            </w:pPr>
            <w:r>
              <w:rPr>
                <w:spacing w:val="-2"/>
              </w:rPr>
              <w:t>行政处罚</w:t>
            </w:r>
          </w:p>
        </w:tc>
        <w:tc>
          <w:tcPr>
            <w:tcW w:w="8549" w:type="dxa"/>
            <w:vAlign w:val="top"/>
          </w:tcPr>
          <w:p w14:paraId="22287AD3">
            <w:pPr>
              <w:spacing w:line="359" w:lineRule="auto"/>
              <w:rPr>
                <w:rFonts w:ascii="Arial"/>
                <w:sz w:val="21"/>
              </w:rPr>
            </w:pPr>
          </w:p>
          <w:p w14:paraId="21815CDC">
            <w:pPr>
              <w:pStyle w:val="8"/>
              <w:spacing w:before="59" w:line="219" w:lineRule="auto"/>
              <w:ind w:left="484"/>
            </w:pPr>
            <w:r>
              <w:rPr>
                <w:b/>
                <w:bCs/>
                <w:spacing w:val="-4"/>
              </w:rPr>
              <w:t>1.《建设工程质量管理条例》</w:t>
            </w:r>
          </w:p>
          <w:p w14:paraId="49CB4E4E">
            <w:pPr>
              <w:pStyle w:val="8"/>
              <w:spacing w:before="25" w:line="233" w:lineRule="auto"/>
              <w:ind w:left="114" w:right="44" w:firstLine="357"/>
            </w:pPr>
            <w:r>
              <w:rPr>
                <w:spacing w:val="-1"/>
              </w:rPr>
              <w:t>第二十九条  施工单位必须按照工程设计</w:t>
            </w:r>
            <w:r>
              <w:rPr>
                <w:spacing w:val="-2"/>
              </w:rPr>
              <w:t>要求、施工技术标准和合同约定，对建筑材料、建筑构配件、</w:t>
            </w:r>
            <w:r>
              <w:t xml:space="preserve"> </w:t>
            </w:r>
            <w:r>
              <w:rPr>
                <w:spacing w:val="-1"/>
              </w:rPr>
              <w:t>设备和商品混凝土进行检验，检验应当有书面记录和专人签字；未经检验或者检验不合格的，不得使用。</w:t>
            </w:r>
          </w:p>
          <w:p w14:paraId="26521EE6">
            <w:pPr>
              <w:pStyle w:val="8"/>
              <w:spacing w:before="26" w:line="237" w:lineRule="auto"/>
              <w:ind w:left="113" w:right="159" w:firstLine="357"/>
            </w:pPr>
            <w:r>
              <w:t>第六十五条  违反本条例规定，施工单位未对建筑材料、建筑构配件、设备和商</w:t>
            </w:r>
            <w:r>
              <w:rPr>
                <w:spacing w:val="-1"/>
              </w:rPr>
              <w:t>品混凝土进行检验，</w:t>
            </w:r>
            <w:r>
              <w:t xml:space="preserve"> </w:t>
            </w:r>
            <w:r>
              <w:rPr>
                <w:spacing w:val="-1"/>
              </w:rPr>
              <w:t>或者未对涉及结构安全的试块、试件以及有关材料取样检测的，责令改正，</w:t>
            </w:r>
            <w:r>
              <w:rPr>
                <w:spacing w:val="-2"/>
              </w:rPr>
              <w:t>处</w:t>
            </w:r>
            <w:r>
              <w:rPr>
                <w:spacing w:val="-24"/>
              </w:rPr>
              <w:t xml:space="preserve"> </w:t>
            </w:r>
            <w:r>
              <w:rPr>
                <w:spacing w:val="-2"/>
              </w:rPr>
              <w:t>10</w:t>
            </w:r>
            <w:r>
              <w:rPr>
                <w:spacing w:val="-36"/>
              </w:rPr>
              <w:t xml:space="preserve"> </w:t>
            </w:r>
            <w:r>
              <w:rPr>
                <w:spacing w:val="-2"/>
              </w:rPr>
              <w:t>万元以上</w:t>
            </w:r>
            <w:r>
              <w:rPr>
                <w:spacing w:val="-35"/>
              </w:rPr>
              <w:t xml:space="preserve"> </w:t>
            </w:r>
            <w:r>
              <w:rPr>
                <w:spacing w:val="-2"/>
              </w:rPr>
              <w:t>20</w:t>
            </w:r>
            <w:r>
              <w:rPr>
                <w:spacing w:val="-35"/>
              </w:rPr>
              <w:t xml:space="preserve"> </w:t>
            </w:r>
            <w:r>
              <w:rPr>
                <w:spacing w:val="-2"/>
              </w:rPr>
              <w:t>万元以下的</w:t>
            </w:r>
            <w:r>
              <w:t xml:space="preserve"> </w:t>
            </w:r>
            <w:r>
              <w:rPr>
                <w:spacing w:val="-1"/>
              </w:rPr>
              <w:t>罚款；情节严重的，责令停业整顿，降低资质等级或者吊销资质证书；造成损失的，依法承担赔偿责任。</w:t>
            </w:r>
          </w:p>
          <w:p w14:paraId="774CBF79">
            <w:pPr>
              <w:pStyle w:val="8"/>
              <w:spacing w:before="26" w:line="219" w:lineRule="auto"/>
              <w:ind w:left="473"/>
            </w:pPr>
            <w:r>
              <w:rPr>
                <w:b/>
                <w:bCs/>
                <w:spacing w:val="-3"/>
              </w:rPr>
              <w:t>2.《公路水运工程质量监督管理规定》（交通运输部令</w:t>
            </w:r>
            <w:r>
              <w:rPr>
                <w:spacing w:val="-26"/>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4"/>
              </w:rPr>
              <w:t xml:space="preserve"> </w:t>
            </w:r>
            <w:r>
              <w:rPr>
                <w:b/>
                <w:bCs/>
                <w:spacing w:val="-3"/>
              </w:rPr>
              <w:t>号）</w:t>
            </w:r>
          </w:p>
          <w:p w14:paraId="1C7AE152">
            <w:pPr>
              <w:pStyle w:val="8"/>
              <w:spacing w:before="24"/>
              <w:ind w:left="111" w:right="44" w:firstLine="359"/>
              <w:jc w:val="both"/>
            </w:pPr>
            <w:r>
              <w:rPr>
                <w:spacing w:val="-1"/>
              </w:rPr>
              <w:t>第十四条  施工单位应当严格按照工程设</w:t>
            </w:r>
            <w:r>
              <w:rPr>
                <w:spacing w:val="-2"/>
              </w:rPr>
              <w:t>计图纸、施工技术标准和合同约定施工，对原材料、混合料、</w:t>
            </w:r>
            <w:r>
              <w:t xml:space="preserve"> 构配件、工程实体、机电设备等进行检验；按规定施行班组自检、工序交接检、专职</w:t>
            </w:r>
            <w:r>
              <w:rPr>
                <w:spacing w:val="-1"/>
              </w:rPr>
              <w:t>质检员检验的质量控</w:t>
            </w:r>
            <w:r>
              <w:t xml:space="preserve">  制程序；对分项工程、分部工程和单位工程进行质量自评。检验或者自评不合格的，</w:t>
            </w:r>
            <w:r>
              <w:rPr>
                <w:spacing w:val="-1"/>
              </w:rPr>
              <w:t>不得进入下道工序或</w:t>
            </w:r>
            <w:r>
              <w:t xml:space="preserve">  </w:t>
            </w:r>
            <w:r>
              <w:rPr>
                <w:spacing w:val="-5"/>
              </w:rPr>
              <w:t>者投入使用。</w:t>
            </w:r>
          </w:p>
          <w:p w14:paraId="548B1A04">
            <w:pPr>
              <w:pStyle w:val="8"/>
              <w:spacing w:before="25"/>
              <w:ind w:left="112" w:right="58" w:firstLine="358"/>
              <w:jc w:val="both"/>
            </w:pPr>
            <w:r>
              <w:rPr>
                <w:spacing w:val="-2"/>
              </w:rPr>
              <w:t>第四十一条  违反本规定第十四条规定，施工单位未按规定对原材料、混合料、构配件等进行检验的，</w:t>
            </w:r>
            <w:r>
              <w:rPr>
                <w:spacing w:val="5"/>
              </w:rPr>
              <w:t xml:space="preserve"> </w:t>
            </w:r>
            <w:r>
              <w:t>依照《建设工程质量管理条例》第六十五条规定，责令改正，按以下标准处以罚款</w:t>
            </w:r>
            <w:r>
              <w:rPr>
                <w:spacing w:val="-1"/>
              </w:rPr>
              <w:t>；情节严重的，责令停</w:t>
            </w:r>
            <w:r>
              <w:t xml:space="preserve">  </w:t>
            </w:r>
            <w:r>
              <w:rPr>
                <w:spacing w:val="-2"/>
              </w:rPr>
              <w:t>工整顿</w:t>
            </w:r>
            <w:r>
              <w:rPr>
                <w:spacing w:val="-16"/>
              </w:rPr>
              <w:t>：（</w:t>
            </w:r>
            <w:r>
              <w:rPr>
                <w:spacing w:val="-2"/>
              </w:rPr>
              <w:t>一）未造成工程质量事故的，处</w:t>
            </w:r>
            <w:r>
              <w:rPr>
                <w:spacing w:val="-22"/>
              </w:rPr>
              <w:t xml:space="preserve"> </w:t>
            </w:r>
            <w:r>
              <w:rPr>
                <w:spacing w:val="-2"/>
              </w:rPr>
              <w:t>10</w:t>
            </w:r>
            <w:r>
              <w:rPr>
                <w:spacing w:val="-34"/>
              </w:rPr>
              <w:t xml:space="preserve"> </w:t>
            </w:r>
            <w:r>
              <w:rPr>
                <w:spacing w:val="-2"/>
              </w:rPr>
              <w:t>万元以上</w:t>
            </w:r>
            <w:r>
              <w:rPr>
                <w:spacing w:val="-24"/>
              </w:rPr>
              <w:t xml:space="preserve"> </w:t>
            </w:r>
            <w:r>
              <w:rPr>
                <w:spacing w:val="-2"/>
              </w:rPr>
              <w:t>15</w:t>
            </w:r>
            <w:r>
              <w:rPr>
                <w:spacing w:val="-37"/>
              </w:rPr>
              <w:t xml:space="preserve"> </w:t>
            </w:r>
            <w:r>
              <w:rPr>
                <w:spacing w:val="-2"/>
              </w:rPr>
              <w:t>万元以下的罚款</w:t>
            </w:r>
            <w:r>
              <w:rPr>
                <w:spacing w:val="-16"/>
              </w:rPr>
              <w:t>；（</w:t>
            </w:r>
            <w:r>
              <w:rPr>
                <w:spacing w:val="-2"/>
              </w:rPr>
              <w:t>二）造成工程质量事故的，</w:t>
            </w:r>
            <w:r>
              <w:t xml:space="preserve"> </w:t>
            </w:r>
            <w:r>
              <w:rPr>
                <w:spacing w:val="-5"/>
              </w:rPr>
              <w:t>处</w:t>
            </w:r>
            <w:r>
              <w:rPr>
                <w:spacing w:val="-20"/>
              </w:rPr>
              <w:t xml:space="preserve"> </w:t>
            </w:r>
            <w:r>
              <w:rPr>
                <w:spacing w:val="-5"/>
              </w:rPr>
              <w:t>15</w:t>
            </w:r>
            <w:r>
              <w:rPr>
                <w:spacing w:val="-37"/>
              </w:rPr>
              <w:t xml:space="preserve"> </w:t>
            </w:r>
            <w:r>
              <w:rPr>
                <w:spacing w:val="-5"/>
              </w:rPr>
              <w:t>万元以上</w:t>
            </w:r>
            <w:r>
              <w:rPr>
                <w:spacing w:val="-35"/>
              </w:rPr>
              <w:t xml:space="preserve"> </w:t>
            </w:r>
            <w:r>
              <w:rPr>
                <w:spacing w:val="-5"/>
              </w:rPr>
              <w:t>20</w:t>
            </w:r>
            <w:r>
              <w:rPr>
                <w:spacing w:val="-34"/>
              </w:rPr>
              <w:t xml:space="preserve"> </w:t>
            </w:r>
            <w:r>
              <w:rPr>
                <w:spacing w:val="-5"/>
              </w:rPr>
              <w:t>万元以下的罚款。</w:t>
            </w:r>
          </w:p>
        </w:tc>
        <w:tc>
          <w:tcPr>
            <w:tcW w:w="1014" w:type="dxa"/>
            <w:vAlign w:val="top"/>
          </w:tcPr>
          <w:p w14:paraId="705B6A72">
            <w:pPr>
              <w:spacing w:line="272" w:lineRule="auto"/>
              <w:rPr>
                <w:rFonts w:ascii="Arial"/>
                <w:sz w:val="21"/>
              </w:rPr>
            </w:pPr>
          </w:p>
          <w:p w14:paraId="4AEE1704">
            <w:pPr>
              <w:spacing w:line="272" w:lineRule="auto"/>
              <w:rPr>
                <w:rFonts w:ascii="Arial"/>
                <w:sz w:val="21"/>
              </w:rPr>
            </w:pPr>
          </w:p>
          <w:p w14:paraId="444612A6">
            <w:pPr>
              <w:spacing w:line="273" w:lineRule="auto"/>
              <w:rPr>
                <w:rFonts w:ascii="Arial"/>
                <w:sz w:val="21"/>
              </w:rPr>
            </w:pPr>
          </w:p>
          <w:p w14:paraId="1F635F24">
            <w:pPr>
              <w:spacing w:line="273" w:lineRule="auto"/>
              <w:rPr>
                <w:rFonts w:ascii="Arial"/>
                <w:sz w:val="21"/>
              </w:rPr>
            </w:pPr>
          </w:p>
          <w:p w14:paraId="052E085E">
            <w:pPr>
              <w:spacing w:line="273" w:lineRule="auto"/>
              <w:rPr>
                <w:rFonts w:ascii="Arial"/>
                <w:sz w:val="21"/>
              </w:rPr>
            </w:pPr>
          </w:p>
          <w:p w14:paraId="638A7AF7">
            <w:pPr>
              <w:spacing w:line="273" w:lineRule="auto"/>
              <w:rPr>
                <w:rFonts w:ascii="Arial"/>
                <w:sz w:val="21"/>
              </w:rPr>
            </w:pPr>
          </w:p>
          <w:p w14:paraId="75F62EE1">
            <w:pPr>
              <w:spacing w:line="273" w:lineRule="auto"/>
              <w:rPr>
                <w:rFonts w:ascii="Arial"/>
                <w:sz w:val="21"/>
              </w:rPr>
            </w:pPr>
          </w:p>
          <w:p w14:paraId="44E27508">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030E79E2">
            <w:pPr>
              <w:spacing w:line="272" w:lineRule="auto"/>
              <w:rPr>
                <w:rFonts w:ascii="Arial"/>
                <w:sz w:val="21"/>
              </w:rPr>
            </w:pPr>
          </w:p>
          <w:p w14:paraId="0545AE2D">
            <w:pPr>
              <w:spacing w:line="272" w:lineRule="auto"/>
              <w:rPr>
                <w:rFonts w:ascii="Arial"/>
                <w:sz w:val="21"/>
              </w:rPr>
            </w:pPr>
          </w:p>
          <w:p w14:paraId="61429888">
            <w:pPr>
              <w:spacing w:line="273" w:lineRule="auto"/>
              <w:rPr>
                <w:rFonts w:ascii="Arial"/>
                <w:sz w:val="21"/>
              </w:rPr>
            </w:pPr>
          </w:p>
          <w:p w14:paraId="6C6B2854">
            <w:pPr>
              <w:spacing w:line="273" w:lineRule="auto"/>
              <w:rPr>
                <w:rFonts w:ascii="Arial"/>
                <w:sz w:val="21"/>
              </w:rPr>
            </w:pPr>
          </w:p>
          <w:p w14:paraId="7A151DEF">
            <w:pPr>
              <w:spacing w:line="273" w:lineRule="auto"/>
              <w:rPr>
                <w:rFonts w:ascii="Arial"/>
                <w:sz w:val="21"/>
              </w:rPr>
            </w:pPr>
          </w:p>
          <w:p w14:paraId="3D929042">
            <w:pPr>
              <w:spacing w:line="273" w:lineRule="auto"/>
              <w:rPr>
                <w:rFonts w:ascii="Arial"/>
                <w:sz w:val="21"/>
              </w:rPr>
            </w:pPr>
          </w:p>
          <w:p w14:paraId="4F7FB923">
            <w:pPr>
              <w:spacing w:line="273" w:lineRule="auto"/>
              <w:rPr>
                <w:rFonts w:ascii="Arial"/>
                <w:sz w:val="21"/>
              </w:rPr>
            </w:pPr>
          </w:p>
          <w:p w14:paraId="346C6393">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716C237">
            <w:pPr>
              <w:spacing w:line="278" w:lineRule="auto"/>
              <w:rPr>
                <w:rFonts w:ascii="Arial"/>
                <w:sz w:val="21"/>
              </w:rPr>
            </w:pPr>
          </w:p>
          <w:p w14:paraId="0EDEE45F">
            <w:pPr>
              <w:spacing w:line="278" w:lineRule="auto"/>
              <w:rPr>
                <w:rFonts w:ascii="Arial"/>
                <w:sz w:val="21"/>
              </w:rPr>
            </w:pPr>
          </w:p>
          <w:p w14:paraId="72F0A1D2">
            <w:pPr>
              <w:spacing w:line="279" w:lineRule="auto"/>
              <w:rPr>
                <w:rFonts w:ascii="Arial"/>
                <w:sz w:val="21"/>
              </w:rPr>
            </w:pPr>
          </w:p>
          <w:p w14:paraId="4D044B95">
            <w:pPr>
              <w:spacing w:line="279" w:lineRule="auto"/>
              <w:rPr>
                <w:rFonts w:ascii="Arial"/>
                <w:sz w:val="21"/>
              </w:rPr>
            </w:pPr>
          </w:p>
          <w:p w14:paraId="60DB4E82">
            <w:pPr>
              <w:spacing w:line="279" w:lineRule="auto"/>
              <w:rPr>
                <w:rFonts w:ascii="Arial"/>
                <w:sz w:val="21"/>
              </w:rPr>
            </w:pPr>
          </w:p>
          <w:p w14:paraId="31FFBF5C">
            <w:pPr>
              <w:spacing w:line="279" w:lineRule="auto"/>
              <w:rPr>
                <w:rFonts w:ascii="Arial"/>
                <w:sz w:val="21"/>
              </w:rPr>
            </w:pPr>
          </w:p>
          <w:p w14:paraId="38605C3F">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14DC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70" w:hRule="atLeast"/>
        </w:trPr>
        <w:tc>
          <w:tcPr>
            <w:tcW w:w="624" w:type="dxa"/>
            <w:vAlign w:val="top"/>
          </w:tcPr>
          <w:p w14:paraId="73E3FBE8">
            <w:pPr>
              <w:spacing w:line="245" w:lineRule="auto"/>
              <w:rPr>
                <w:rFonts w:ascii="Arial"/>
                <w:sz w:val="21"/>
              </w:rPr>
            </w:pPr>
          </w:p>
          <w:p w14:paraId="3A853B53">
            <w:pPr>
              <w:spacing w:line="245" w:lineRule="auto"/>
              <w:rPr>
                <w:rFonts w:ascii="Arial"/>
                <w:sz w:val="21"/>
              </w:rPr>
            </w:pPr>
          </w:p>
          <w:p w14:paraId="390F78AC">
            <w:pPr>
              <w:spacing w:line="245" w:lineRule="auto"/>
              <w:rPr>
                <w:rFonts w:ascii="Arial"/>
                <w:sz w:val="21"/>
              </w:rPr>
            </w:pPr>
          </w:p>
          <w:p w14:paraId="018E9C8A">
            <w:pPr>
              <w:spacing w:line="245" w:lineRule="auto"/>
              <w:rPr>
                <w:rFonts w:ascii="Arial"/>
                <w:sz w:val="21"/>
              </w:rPr>
            </w:pPr>
          </w:p>
          <w:p w14:paraId="65DE4D97">
            <w:pPr>
              <w:spacing w:line="245" w:lineRule="auto"/>
              <w:rPr>
                <w:rFonts w:ascii="Arial"/>
                <w:sz w:val="21"/>
              </w:rPr>
            </w:pPr>
          </w:p>
          <w:p w14:paraId="1F84A330">
            <w:pPr>
              <w:spacing w:line="245" w:lineRule="auto"/>
              <w:rPr>
                <w:rFonts w:ascii="Arial"/>
                <w:sz w:val="21"/>
              </w:rPr>
            </w:pPr>
          </w:p>
          <w:p w14:paraId="0CED566B">
            <w:pPr>
              <w:spacing w:line="245" w:lineRule="auto"/>
              <w:rPr>
                <w:rFonts w:ascii="Arial"/>
                <w:sz w:val="21"/>
              </w:rPr>
            </w:pPr>
          </w:p>
          <w:p w14:paraId="12758FBE">
            <w:pPr>
              <w:spacing w:line="246" w:lineRule="auto"/>
              <w:rPr>
                <w:rFonts w:ascii="Arial"/>
                <w:sz w:val="21"/>
              </w:rPr>
            </w:pPr>
          </w:p>
          <w:p w14:paraId="34C08438">
            <w:pPr>
              <w:pStyle w:val="8"/>
              <w:spacing w:before="59" w:line="183" w:lineRule="auto"/>
              <w:ind w:left="234"/>
            </w:pPr>
            <w:r>
              <w:rPr>
                <w:spacing w:val="-6"/>
              </w:rPr>
              <w:t>53</w:t>
            </w:r>
          </w:p>
        </w:tc>
        <w:tc>
          <w:tcPr>
            <w:tcW w:w="1104" w:type="dxa"/>
            <w:vAlign w:val="top"/>
          </w:tcPr>
          <w:p w14:paraId="28A5E258">
            <w:pPr>
              <w:spacing w:line="243" w:lineRule="auto"/>
              <w:rPr>
                <w:rFonts w:ascii="Arial"/>
                <w:sz w:val="21"/>
              </w:rPr>
            </w:pPr>
          </w:p>
          <w:p w14:paraId="487FEFC4">
            <w:pPr>
              <w:spacing w:line="243" w:lineRule="auto"/>
              <w:rPr>
                <w:rFonts w:ascii="Arial"/>
                <w:sz w:val="21"/>
              </w:rPr>
            </w:pPr>
          </w:p>
          <w:p w14:paraId="1637D307">
            <w:pPr>
              <w:spacing w:line="243" w:lineRule="auto"/>
              <w:rPr>
                <w:rFonts w:ascii="Arial"/>
                <w:sz w:val="21"/>
              </w:rPr>
            </w:pPr>
          </w:p>
          <w:p w14:paraId="36C10176">
            <w:pPr>
              <w:spacing w:line="243" w:lineRule="auto"/>
              <w:rPr>
                <w:rFonts w:ascii="Arial"/>
                <w:sz w:val="21"/>
              </w:rPr>
            </w:pPr>
          </w:p>
          <w:p w14:paraId="73994C5F">
            <w:pPr>
              <w:spacing w:line="243" w:lineRule="auto"/>
              <w:rPr>
                <w:rFonts w:ascii="Arial"/>
                <w:sz w:val="21"/>
              </w:rPr>
            </w:pPr>
          </w:p>
          <w:p w14:paraId="1EB02A39">
            <w:pPr>
              <w:pStyle w:val="8"/>
              <w:spacing w:before="58" w:line="243"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域施工单位</w:t>
            </w:r>
            <w:r>
              <w:rPr>
                <w:spacing w:val="1"/>
              </w:rPr>
              <w:t xml:space="preserve"> </w:t>
            </w:r>
            <w:r>
              <w:rPr>
                <w:spacing w:val="16"/>
              </w:rPr>
              <w:t>不按规定履</w:t>
            </w:r>
            <w:r>
              <w:rPr>
                <w:spacing w:val="1"/>
              </w:rPr>
              <w:t xml:space="preserve"> </w:t>
            </w:r>
            <w:r>
              <w:rPr>
                <w:spacing w:val="16"/>
              </w:rPr>
              <w:t>行保修义务</w:t>
            </w:r>
            <w:r>
              <w:rPr>
                <w:spacing w:val="1"/>
              </w:rPr>
              <w:t xml:space="preserve"> </w:t>
            </w:r>
            <w:r>
              <w:rPr>
                <w:spacing w:val="16"/>
              </w:rPr>
              <w:t>等行为的行</w:t>
            </w:r>
            <w:r>
              <w:rPr>
                <w:spacing w:val="1"/>
              </w:rPr>
              <w:t xml:space="preserve"> </w:t>
            </w:r>
            <w:r>
              <w:rPr>
                <w:spacing w:val="-2"/>
              </w:rPr>
              <w:t>政处罚</w:t>
            </w:r>
          </w:p>
        </w:tc>
        <w:tc>
          <w:tcPr>
            <w:tcW w:w="1104" w:type="dxa"/>
            <w:vAlign w:val="top"/>
          </w:tcPr>
          <w:p w14:paraId="5ACE6B52">
            <w:pPr>
              <w:spacing w:line="241" w:lineRule="auto"/>
              <w:rPr>
                <w:rFonts w:ascii="Arial"/>
                <w:sz w:val="21"/>
              </w:rPr>
            </w:pPr>
          </w:p>
          <w:p w14:paraId="29AD7825">
            <w:pPr>
              <w:spacing w:line="241" w:lineRule="auto"/>
              <w:rPr>
                <w:rFonts w:ascii="Arial"/>
                <w:sz w:val="21"/>
              </w:rPr>
            </w:pPr>
          </w:p>
          <w:p w14:paraId="753C8CBF">
            <w:pPr>
              <w:spacing w:line="241" w:lineRule="auto"/>
              <w:rPr>
                <w:rFonts w:ascii="Arial"/>
                <w:sz w:val="21"/>
              </w:rPr>
            </w:pPr>
          </w:p>
          <w:p w14:paraId="7BDE6C58">
            <w:pPr>
              <w:spacing w:line="242" w:lineRule="auto"/>
              <w:rPr>
                <w:rFonts w:ascii="Arial"/>
                <w:sz w:val="21"/>
              </w:rPr>
            </w:pPr>
          </w:p>
          <w:p w14:paraId="4B5CF4A0">
            <w:pPr>
              <w:spacing w:line="242" w:lineRule="auto"/>
              <w:rPr>
                <w:rFonts w:ascii="Arial"/>
                <w:sz w:val="21"/>
              </w:rPr>
            </w:pPr>
          </w:p>
          <w:p w14:paraId="5FBA739E">
            <w:pPr>
              <w:spacing w:line="242" w:lineRule="auto"/>
              <w:rPr>
                <w:rFonts w:ascii="Arial"/>
                <w:sz w:val="21"/>
              </w:rPr>
            </w:pPr>
          </w:p>
          <w:p w14:paraId="5CD7846E">
            <w:pPr>
              <w:spacing w:line="242" w:lineRule="auto"/>
              <w:rPr>
                <w:rFonts w:ascii="Arial"/>
                <w:sz w:val="21"/>
              </w:rPr>
            </w:pPr>
          </w:p>
          <w:p w14:paraId="001F1158">
            <w:pPr>
              <w:spacing w:line="242" w:lineRule="auto"/>
              <w:rPr>
                <w:rFonts w:ascii="Arial"/>
                <w:sz w:val="21"/>
              </w:rPr>
            </w:pPr>
          </w:p>
          <w:p w14:paraId="23099F3D">
            <w:pPr>
              <w:pStyle w:val="8"/>
              <w:spacing w:before="59" w:line="220" w:lineRule="auto"/>
              <w:ind w:left="10"/>
            </w:pPr>
            <w:r>
              <w:rPr>
                <w:spacing w:val="-2"/>
              </w:rPr>
              <w:t>行政处罚</w:t>
            </w:r>
          </w:p>
        </w:tc>
        <w:tc>
          <w:tcPr>
            <w:tcW w:w="8549" w:type="dxa"/>
            <w:vAlign w:val="top"/>
          </w:tcPr>
          <w:p w14:paraId="34E739DC">
            <w:pPr>
              <w:spacing w:line="264" w:lineRule="auto"/>
              <w:rPr>
                <w:rFonts w:ascii="Arial"/>
                <w:sz w:val="21"/>
              </w:rPr>
            </w:pPr>
          </w:p>
          <w:p w14:paraId="2283EBBF">
            <w:pPr>
              <w:pStyle w:val="8"/>
              <w:spacing w:before="58" w:line="219" w:lineRule="auto"/>
              <w:ind w:left="484"/>
            </w:pPr>
            <w:r>
              <w:rPr>
                <w:b/>
                <w:bCs/>
                <w:spacing w:val="-4"/>
              </w:rPr>
              <w:t>1.《建设工程质量管理条例》</w:t>
            </w:r>
          </w:p>
          <w:p w14:paraId="1077EC3E">
            <w:pPr>
              <w:pStyle w:val="8"/>
              <w:spacing w:before="25" w:line="233" w:lineRule="auto"/>
              <w:ind w:left="110" w:right="159" w:firstLine="360"/>
            </w:pPr>
            <w:r>
              <w:t>第四十一条  建设工程在保修范围和保修期限内发生质量问题的，施工单位应当</w:t>
            </w:r>
            <w:r>
              <w:rPr>
                <w:spacing w:val="-1"/>
              </w:rPr>
              <w:t>履行保修义务，并对</w:t>
            </w:r>
            <w:r>
              <w:t xml:space="preserve"> </w:t>
            </w:r>
            <w:r>
              <w:rPr>
                <w:spacing w:val="-3"/>
              </w:rPr>
              <w:t>造成的损失承担赔偿责任。</w:t>
            </w:r>
          </w:p>
          <w:p w14:paraId="2CEBBD66">
            <w:pPr>
              <w:pStyle w:val="8"/>
              <w:spacing w:before="25" w:line="233" w:lineRule="auto"/>
              <w:ind w:left="115" w:right="115" w:firstLine="355"/>
            </w:pPr>
            <w:r>
              <w:rPr>
                <w:spacing w:val="-1"/>
              </w:rPr>
              <w:t>第六十六条  违反本条例规定，施工单位不履行保修义务或者拖延履行保修义务的，责令改正，处</w:t>
            </w:r>
            <w:r>
              <w:rPr>
                <w:spacing w:val="-8"/>
              </w:rPr>
              <w:t xml:space="preserve"> </w:t>
            </w:r>
            <w:r>
              <w:rPr>
                <w:spacing w:val="-1"/>
              </w:rPr>
              <w:t>10</w:t>
            </w:r>
            <w:r>
              <w:t xml:space="preserve"> </w:t>
            </w:r>
            <w:r>
              <w:rPr>
                <w:spacing w:val="-1"/>
              </w:rPr>
              <w:t>万元以上</w:t>
            </w:r>
            <w:r>
              <w:rPr>
                <w:spacing w:val="-35"/>
              </w:rPr>
              <w:t xml:space="preserve"> </w:t>
            </w:r>
            <w:r>
              <w:rPr>
                <w:spacing w:val="-1"/>
              </w:rPr>
              <w:t>20</w:t>
            </w:r>
            <w:r>
              <w:rPr>
                <w:spacing w:val="-37"/>
              </w:rPr>
              <w:t xml:space="preserve"> </w:t>
            </w:r>
            <w:r>
              <w:rPr>
                <w:spacing w:val="-1"/>
              </w:rPr>
              <w:t>万元以下的罚款，并对在保修</w:t>
            </w:r>
            <w:r>
              <w:rPr>
                <w:spacing w:val="-2"/>
              </w:rPr>
              <w:t>期内因质量缺陷造成的损失承担赔偿责任。</w:t>
            </w:r>
          </w:p>
          <w:p w14:paraId="3F3C599D">
            <w:pPr>
              <w:pStyle w:val="8"/>
              <w:spacing w:before="25" w:line="219" w:lineRule="auto"/>
              <w:ind w:left="473"/>
            </w:pPr>
            <w:r>
              <w:rPr>
                <w:b/>
                <w:bCs/>
                <w:spacing w:val="-3"/>
              </w:rPr>
              <w:t>2.《公路水运工程质量监督管理规定》（交通运输部令</w:t>
            </w:r>
            <w:r>
              <w:rPr>
                <w:spacing w:val="-26"/>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4"/>
              </w:rPr>
              <w:t xml:space="preserve"> </w:t>
            </w:r>
            <w:r>
              <w:rPr>
                <w:b/>
                <w:bCs/>
                <w:spacing w:val="-3"/>
              </w:rPr>
              <w:t>号）</w:t>
            </w:r>
          </w:p>
          <w:p w14:paraId="2FF670F4">
            <w:pPr>
              <w:pStyle w:val="8"/>
              <w:spacing w:before="28" w:line="237" w:lineRule="auto"/>
              <w:ind w:left="110" w:right="159" w:firstLine="360"/>
            </w:pPr>
            <w:r>
              <w:t>第十五条  施工单位应当加强施工过程质量控制，并形成完整、可追溯的施工质</w:t>
            </w:r>
            <w:r>
              <w:rPr>
                <w:spacing w:val="-1"/>
              </w:rPr>
              <w:t>量管理资料，主体工</w:t>
            </w:r>
            <w:r>
              <w:t xml:space="preserve"> 程的隐蔽部位施工还应当保留影像资料。对施工中出现的质量问题或者验收不合格的工</w:t>
            </w:r>
            <w:r>
              <w:rPr>
                <w:spacing w:val="-1"/>
              </w:rPr>
              <w:t>程，应当负责返工</w:t>
            </w:r>
            <w:r>
              <w:t xml:space="preserve"> </w:t>
            </w:r>
            <w:r>
              <w:rPr>
                <w:spacing w:val="-1"/>
              </w:rPr>
              <w:t>处理；对在保修范围和保修期限内发生质量问题的工程，应当履行保修义务。</w:t>
            </w:r>
          </w:p>
          <w:p w14:paraId="3F6E5728">
            <w:pPr>
              <w:pStyle w:val="8"/>
              <w:spacing w:before="25" w:line="233" w:lineRule="auto"/>
              <w:ind w:left="114" w:right="204" w:firstLine="357"/>
            </w:pPr>
            <w:r>
              <w:rPr>
                <w:spacing w:val="-1"/>
              </w:rPr>
              <w:t>第四十二条  违反本规定第十五条规定，施工单位对施工中出现的质量问题或者</w:t>
            </w:r>
            <w:r>
              <w:rPr>
                <w:spacing w:val="-2"/>
              </w:rPr>
              <w:t>验收不合格的工程，</w:t>
            </w:r>
            <w:r>
              <w:t xml:space="preserve"> </w:t>
            </w:r>
            <w:r>
              <w:rPr>
                <w:spacing w:val="-2"/>
              </w:rPr>
              <w:t>未进行返工处理或者拖延返工处理的，责令改正，处</w:t>
            </w:r>
            <w:r>
              <w:rPr>
                <w:spacing w:val="-25"/>
              </w:rPr>
              <w:t xml:space="preserve"> </w:t>
            </w:r>
            <w:r>
              <w:rPr>
                <w:spacing w:val="-2"/>
              </w:rPr>
              <w:t>1</w:t>
            </w:r>
            <w:r>
              <w:rPr>
                <w:spacing w:val="-34"/>
              </w:rPr>
              <w:t xml:space="preserve"> </w:t>
            </w:r>
            <w:r>
              <w:rPr>
                <w:spacing w:val="-2"/>
              </w:rPr>
              <w:t>万</w:t>
            </w:r>
            <w:r>
              <w:rPr>
                <w:spacing w:val="-3"/>
              </w:rPr>
              <w:t>元以上</w:t>
            </w:r>
            <w:r>
              <w:rPr>
                <w:spacing w:val="-34"/>
              </w:rPr>
              <w:t xml:space="preserve"> </w:t>
            </w:r>
            <w:r>
              <w:rPr>
                <w:spacing w:val="-3"/>
              </w:rPr>
              <w:t>3</w:t>
            </w:r>
            <w:r>
              <w:rPr>
                <w:spacing w:val="-34"/>
              </w:rPr>
              <w:t xml:space="preserve"> </w:t>
            </w:r>
            <w:r>
              <w:rPr>
                <w:spacing w:val="-3"/>
              </w:rPr>
              <w:t>万元以下的罚款。</w:t>
            </w:r>
          </w:p>
          <w:p w14:paraId="7076FDF6">
            <w:pPr>
              <w:pStyle w:val="8"/>
              <w:spacing w:before="26"/>
              <w:ind w:left="111" w:right="159" w:firstLine="359"/>
            </w:pPr>
            <w:r>
              <w:t>施工单位对保修范围和保修期限内发生质量问题的工程，不履行保修义务或者拖延</w:t>
            </w:r>
            <w:r>
              <w:rPr>
                <w:spacing w:val="-1"/>
              </w:rPr>
              <w:t>履行保修义务的，</w:t>
            </w:r>
            <w:r>
              <w:t xml:space="preserve"> </w:t>
            </w:r>
            <w:r>
              <w:rPr>
                <w:spacing w:val="-1"/>
              </w:rPr>
              <w:t>依照《建设工程质量管理条例》第六十六条规定，责令改正，按以下标准处以罚款</w:t>
            </w:r>
            <w:r>
              <w:rPr>
                <w:spacing w:val="7"/>
              </w:rPr>
              <w:t>：（</w:t>
            </w:r>
            <w:r>
              <w:rPr>
                <w:spacing w:val="-1"/>
              </w:rPr>
              <w:t>一）未造成工程质</w:t>
            </w:r>
            <w:r>
              <w:rPr>
                <w:spacing w:val="1"/>
              </w:rPr>
              <w:t xml:space="preserve"> </w:t>
            </w:r>
            <w:r>
              <w:rPr>
                <w:spacing w:val="-2"/>
              </w:rPr>
              <w:t>量事故的，处</w:t>
            </w:r>
            <w:r>
              <w:rPr>
                <w:spacing w:val="-23"/>
              </w:rPr>
              <w:t xml:space="preserve"> </w:t>
            </w:r>
            <w:r>
              <w:rPr>
                <w:spacing w:val="-2"/>
              </w:rPr>
              <w:t>10</w:t>
            </w:r>
            <w:r>
              <w:rPr>
                <w:spacing w:val="-37"/>
              </w:rPr>
              <w:t xml:space="preserve"> </w:t>
            </w:r>
            <w:r>
              <w:rPr>
                <w:spacing w:val="-2"/>
              </w:rPr>
              <w:t>万元以上</w:t>
            </w:r>
            <w:r>
              <w:rPr>
                <w:spacing w:val="-24"/>
              </w:rPr>
              <w:t xml:space="preserve"> </w:t>
            </w:r>
            <w:r>
              <w:rPr>
                <w:spacing w:val="-2"/>
              </w:rPr>
              <w:t>15</w:t>
            </w:r>
            <w:r>
              <w:rPr>
                <w:spacing w:val="-34"/>
              </w:rPr>
              <w:t xml:space="preserve"> </w:t>
            </w:r>
            <w:r>
              <w:rPr>
                <w:spacing w:val="-2"/>
              </w:rPr>
              <w:t>万元以下的罚</w:t>
            </w:r>
            <w:r>
              <w:rPr>
                <w:spacing w:val="-3"/>
              </w:rPr>
              <w:t>款</w:t>
            </w:r>
            <w:r>
              <w:rPr>
                <w:spacing w:val="-1"/>
              </w:rPr>
              <w:t>；（</w:t>
            </w:r>
            <w:r>
              <w:rPr>
                <w:spacing w:val="-3"/>
              </w:rPr>
              <w:t>二）造成工程质量事故的，处</w:t>
            </w:r>
            <w:r>
              <w:rPr>
                <w:spacing w:val="-24"/>
              </w:rPr>
              <w:t xml:space="preserve"> </w:t>
            </w:r>
            <w:r>
              <w:rPr>
                <w:spacing w:val="-3"/>
              </w:rPr>
              <w:t>15</w:t>
            </w:r>
            <w:r>
              <w:rPr>
                <w:spacing w:val="-37"/>
              </w:rPr>
              <w:t xml:space="preserve"> </w:t>
            </w:r>
            <w:r>
              <w:rPr>
                <w:spacing w:val="-3"/>
              </w:rPr>
              <w:t>万元以上</w:t>
            </w:r>
            <w:r>
              <w:rPr>
                <w:spacing w:val="-35"/>
              </w:rPr>
              <w:t xml:space="preserve"> </w:t>
            </w:r>
            <w:r>
              <w:rPr>
                <w:spacing w:val="-3"/>
              </w:rPr>
              <w:t>20</w:t>
            </w:r>
            <w:r>
              <w:rPr>
                <w:spacing w:val="-35"/>
              </w:rPr>
              <w:t xml:space="preserve"> </w:t>
            </w:r>
            <w:r>
              <w:rPr>
                <w:spacing w:val="-3"/>
              </w:rPr>
              <w:t>万元以下</w:t>
            </w:r>
            <w:r>
              <w:t xml:space="preserve"> </w:t>
            </w:r>
            <w:r>
              <w:rPr>
                <w:spacing w:val="-7"/>
              </w:rPr>
              <w:t>的罚款。</w:t>
            </w:r>
          </w:p>
        </w:tc>
        <w:tc>
          <w:tcPr>
            <w:tcW w:w="1014" w:type="dxa"/>
            <w:vAlign w:val="top"/>
          </w:tcPr>
          <w:p w14:paraId="5062BB5C">
            <w:pPr>
              <w:spacing w:line="259" w:lineRule="auto"/>
              <w:rPr>
                <w:rFonts w:ascii="Arial"/>
                <w:sz w:val="21"/>
              </w:rPr>
            </w:pPr>
          </w:p>
          <w:p w14:paraId="6F99A9E8">
            <w:pPr>
              <w:spacing w:line="259" w:lineRule="auto"/>
              <w:rPr>
                <w:rFonts w:ascii="Arial"/>
                <w:sz w:val="21"/>
              </w:rPr>
            </w:pPr>
          </w:p>
          <w:p w14:paraId="3F1DA061">
            <w:pPr>
              <w:spacing w:line="259" w:lineRule="auto"/>
              <w:rPr>
                <w:rFonts w:ascii="Arial"/>
                <w:sz w:val="21"/>
              </w:rPr>
            </w:pPr>
          </w:p>
          <w:p w14:paraId="572647DA">
            <w:pPr>
              <w:spacing w:line="259" w:lineRule="auto"/>
              <w:rPr>
                <w:rFonts w:ascii="Arial"/>
                <w:sz w:val="21"/>
              </w:rPr>
            </w:pPr>
          </w:p>
          <w:p w14:paraId="38B2D141">
            <w:pPr>
              <w:spacing w:line="259" w:lineRule="auto"/>
              <w:rPr>
                <w:rFonts w:ascii="Arial"/>
                <w:sz w:val="21"/>
              </w:rPr>
            </w:pPr>
          </w:p>
          <w:p w14:paraId="7C14A976">
            <w:pPr>
              <w:spacing w:line="259" w:lineRule="auto"/>
              <w:rPr>
                <w:rFonts w:ascii="Arial"/>
                <w:sz w:val="21"/>
              </w:rPr>
            </w:pPr>
          </w:p>
          <w:p w14:paraId="7E8B4B4D">
            <w:pPr>
              <w:spacing w:line="260" w:lineRule="auto"/>
              <w:rPr>
                <w:rFonts w:ascii="Arial"/>
                <w:sz w:val="21"/>
              </w:rPr>
            </w:pPr>
          </w:p>
          <w:p w14:paraId="5EC0C526">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3C8C6B6C">
            <w:pPr>
              <w:spacing w:line="259" w:lineRule="auto"/>
              <w:rPr>
                <w:rFonts w:ascii="Arial"/>
                <w:sz w:val="21"/>
              </w:rPr>
            </w:pPr>
          </w:p>
          <w:p w14:paraId="5B21595B">
            <w:pPr>
              <w:spacing w:line="259" w:lineRule="auto"/>
              <w:rPr>
                <w:rFonts w:ascii="Arial"/>
                <w:sz w:val="21"/>
              </w:rPr>
            </w:pPr>
          </w:p>
          <w:p w14:paraId="5A9F10F7">
            <w:pPr>
              <w:spacing w:line="259" w:lineRule="auto"/>
              <w:rPr>
                <w:rFonts w:ascii="Arial"/>
                <w:sz w:val="21"/>
              </w:rPr>
            </w:pPr>
          </w:p>
          <w:p w14:paraId="568581F0">
            <w:pPr>
              <w:spacing w:line="259" w:lineRule="auto"/>
              <w:rPr>
                <w:rFonts w:ascii="Arial"/>
                <w:sz w:val="21"/>
              </w:rPr>
            </w:pPr>
          </w:p>
          <w:p w14:paraId="7A21E4DB">
            <w:pPr>
              <w:spacing w:line="259" w:lineRule="auto"/>
              <w:rPr>
                <w:rFonts w:ascii="Arial"/>
                <w:sz w:val="21"/>
              </w:rPr>
            </w:pPr>
          </w:p>
          <w:p w14:paraId="4DDB6CBA">
            <w:pPr>
              <w:spacing w:line="259" w:lineRule="auto"/>
              <w:rPr>
                <w:rFonts w:ascii="Arial"/>
                <w:sz w:val="21"/>
              </w:rPr>
            </w:pPr>
          </w:p>
          <w:p w14:paraId="30A8A70E">
            <w:pPr>
              <w:spacing w:line="260" w:lineRule="auto"/>
              <w:rPr>
                <w:rFonts w:ascii="Arial"/>
                <w:sz w:val="21"/>
              </w:rPr>
            </w:pPr>
          </w:p>
          <w:p w14:paraId="06AD2D17">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C718AE0">
            <w:pPr>
              <w:spacing w:line="262" w:lineRule="auto"/>
              <w:rPr>
                <w:rFonts w:ascii="Arial"/>
                <w:sz w:val="21"/>
              </w:rPr>
            </w:pPr>
          </w:p>
          <w:p w14:paraId="37ED3355">
            <w:pPr>
              <w:spacing w:line="263" w:lineRule="auto"/>
              <w:rPr>
                <w:rFonts w:ascii="Arial"/>
                <w:sz w:val="21"/>
              </w:rPr>
            </w:pPr>
          </w:p>
          <w:p w14:paraId="68DC2FE4">
            <w:pPr>
              <w:spacing w:line="263" w:lineRule="auto"/>
              <w:rPr>
                <w:rFonts w:ascii="Arial"/>
                <w:sz w:val="21"/>
              </w:rPr>
            </w:pPr>
          </w:p>
          <w:p w14:paraId="1C67B3EB">
            <w:pPr>
              <w:spacing w:line="263" w:lineRule="auto"/>
              <w:rPr>
                <w:rFonts w:ascii="Arial"/>
                <w:sz w:val="21"/>
              </w:rPr>
            </w:pPr>
          </w:p>
          <w:p w14:paraId="0462223F">
            <w:pPr>
              <w:spacing w:line="263" w:lineRule="auto"/>
              <w:rPr>
                <w:rFonts w:ascii="Arial"/>
                <w:sz w:val="21"/>
              </w:rPr>
            </w:pPr>
          </w:p>
          <w:p w14:paraId="5D28724F">
            <w:pPr>
              <w:spacing w:line="263" w:lineRule="auto"/>
              <w:rPr>
                <w:rFonts w:ascii="Arial"/>
                <w:sz w:val="21"/>
              </w:rPr>
            </w:pPr>
          </w:p>
          <w:p w14:paraId="7713936D">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23D346BE">
      <w:pPr>
        <w:pStyle w:val="2"/>
      </w:pPr>
    </w:p>
    <w:p w14:paraId="2A84D89E">
      <w:pPr>
        <w:sectPr>
          <w:footerReference r:id="rId103" w:type="default"/>
          <w:pgSz w:w="16839" w:h="11906"/>
          <w:pgMar w:top="1012" w:right="991" w:bottom="967" w:left="1021" w:header="0" w:footer="768" w:gutter="0"/>
          <w:cols w:space="720" w:num="1"/>
        </w:sectPr>
      </w:pPr>
    </w:p>
    <w:p w14:paraId="057AF90A">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7132E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31E0D0AA">
            <w:pPr>
              <w:pStyle w:val="8"/>
              <w:spacing w:before="267" w:line="221" w:lineRule="auto"/>
              <w:ind w:left="134"/>
            </w:pPr>
            <w:r>
              <w:rPr>
                <w:b/>
                <w:bCs/>
                <w:spacing w:val="-4"/>
              </w:rPr>
              <w:t>序号</w:t>
            </w:r>
          </w:p>
        </w:tc>
        <w:tc>
          <w:tcPr>
            <w:tcW w:w="1104" w:type="dxa"/>
            <w:vMerge w:val="restart"/>
            <w:tcBorders>
              <w:bottom w:val="nil"/>
            </w:tcBorders>
            <w:vAlign w:val="top"/>
          </w:tcPr>
          <w:p w14:paraId="5C91AE3B">
            <w:pPr>
              <w:pStyle w:val="8"/>
              <w:spacing w:before="260" w:line="220" w:lineRule="auto"/>
              <w:ind w:left="192"/>
            </w:pPr>
            <w:r>
              <w:rPr>
                <w:b/>
                <w:bCs/>
                <w:spacing w:val="-4"/>
              </w:rPr>
              <w:t>事项名称</w:t>
            </w:r>
          </w:p>
        </w:tc>
        <w:tc>
          <w:tcPr>
            <w:tcW w:w="1104" w:type="dxa"/>
            <w:vMerge w:val="restart"/>
            <w:tcBorders>
              <w:bottom w:val="nil"/>
            </w:tcBorders>
            <w:vAlign w:val="top"/>
          </w:tcPr>
          <w:p w14:paraId="089D306C">
            <w:pPr>
              <w:pStyle w:val="8"/>
              <w:spacing w:before="260" w:line="219" w:lineRule="auto"/>
              <w:ind w:left="193"/>
            </w:pPr>
            <w:r>
              <w:rPr>
                <w:b/>
                <w:bCs/>
                <w:spacing w:val="-4"/>
              </w:rPr>
              <w:t>职权类型</w:t>
            </w:r>
          </w:p>
        </w:tc>
        <w:tc>
          <w:tcPr>
            <w:tcW w:w="8549" w:type="dxa"/>
            <w:vMerge w:val="restart"/>
            <w:tcBorders>
              <w:bottom w:val="nil"/>
            </w:tcBorders>
            <w:vAlign w:val="top"/>
          </w:tcPr>
          <w:p w14:paraId="264D96E6">
            <w:pPr>
              <w:pStyle w:val="8"/>
              <w:spacing w:before="259" w:line="219" w:lineRule="auto"/>
              <w:ind w:left="3921"/>
            </w:pPr>
            <w:r>
              <w:rPr>
                <w:b/>
                <w:bCs/>
                <w:spacing w:val="-5"/>
              </w:rPr>
              <w:t>实施依据</w:t>
            </w:r>
          </w:p>
        </w:tc>
        <w:tc>
          <w:tcPr>
            <w:tcW w:w="3439" w:type="dxa"/>
            <w:gridSpan w:val="3"/>
            <w:vAlign w:val="top"/>
          </w:tcPr>
          <w:p w14:paraId="243AC4AF">
            <w:pPr>
              <w:pStyle w:val="8"/>
              <w:spacing w:before="85" w:line="220" w:lineRule="auto"/>
              <w:ind w:left="1365"/>
            </w:pPr>
            <w:r>
              <w:rPr>
                <w:b/>
                <w:bCs/>
                <w:spacing w:val="-5"/>
              </w:rPr>
              <w:t>实施主体</w:t>
            </w:r>
          </w:p>
        </w:tc>
      </w:tr>
      <w:tr w14:paraId="75EED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446F9F9">
            <w:pPr>
              <w:rPr>
                <w:rFonts w:ascii="Arial"/>
                <w:sz w:val="21"/>
              </w:rPr>
            </w:pPr>
          </w:p>
        </w:tc>
        <w:tc>
          <w:tcPr>
            <w:tcW w:w="1104" w:type="dxa"/>
            <w:vMerge w:val="continue"/>
            <w:tcBorders>
              <w:top w:val="nil"/>
            </w:tcBorders>
            <w:vAlign w:val="top"/>
          </w:tcPr>
          <w:p w14:paraId="01049C0A">
            <w:pPr>
              <w:rPr>
                <w:rFonts w:ascii="Arial"/>
                <w:sz w:val="21"/>
              </w:rPr>
            </w:pPr>
          </w:p>
        </w:tc>
        <w:tc>
          <w:tcPr>
            <w:tcW w:w="1104" w:type="dxa"/>
            <w:vMerge w:val="continue"/>
            <w:tcBorders>
              <w:top w:val="nil"/>
            </w:tcBorders>
            <w:vAlign w:val="top"/>
          </w:tcPr>
          <w:p w14:paraId="08524155">
            <w:pPr>
              <w:rPr>
                <w:rFonts w:ascii="Arial"/>
                <w:sz w:val="21"/>
              </w:rPr>
            </w:pPr>
          </w:p>
        </w:tc>
        <w:tc>
          <w:tcPr>
            <w:tcW w:w="8549" w:type="dxa"/>
            <w:vMerge w:val="continue"/>
            <w:tcBorders>
              <w:top w:val="nil"/>
            </w:tcBorders>
            <w:vAlign w:val="top"/>
          </w:tcPr>
          <w:p w14:paraId="3EA71A0D">
            <w:pPr>
              <w:rPr>
                <w:rFonts w:ascii="Arial"/>
                <w:sz w:val="21"/>
              </w:rPr>
            </w:pPr>
          </w:p>
        </w:tc>
        <w:tc>
          <w:tcPr>
            <w:tcW w:w="1014" w:type="dxa"/>
            <w:vAlign w:val="top"/>
          </w:tcPr>
          <w:p w14:paraId="3A527A36">
            <w:pPr>
              <w:pStyle w:val="8"/>
              <w:spacing w:before="81" w:line="219" w:lineRule="auto"/>
              <w:ind w:left="158"/>
            </w:pPr>
            <w:r>
              <w:rPr>
                <w:b/>
                <w:bCs/>
                <w:spacing w:val="-5"/>
              </w:rPr>
              <w:t>责任部门</w:t>
            </w:r>
          </w:p>
        </w:tc>
        <w:tc>
          <w:tcPr>
            <w:tcW w:w="1407" w:type="dxa"/>
            <w:vAlign w:val="top"/>
          </w:tcPr>
          <w:p w14:paraId="6773940C">
            <w:pPr>
              <w:pStyle w:val="8"/>
              <w:spacing w:before="81" w:line="219" w:lineRule="auto"/>
              <w:ind w:left="167"/>
            </w:pPr>
            <w:r>
              <w:rPr>
                <w:b/>
                <w:bCs/>
                <w:spacing w:val="-3"/>
              </w:rPr>
              <w:t>第一责任层级</w:t>
            </w:r>
          </w:p>
        </w:tc>
        <w:tc>
          <w:tcPr>
            <w:tcW w:w="1018" w:type="dxa"/>
            <w:vAlign w:val="top"/>
          </w:tcPr>
          <w:p w14:paraId="627860E1">
            <w:pPr>
              <w:pStyle w:val="8"/>
              <w:spacing w:before="81" w:line="219" w:lineRule="auto"/>
              <w:ind w:left="152"/>
            </w:pPr>
            <w:r>
              <w:rPr>
                <w:b/>
                <w:bCs/>
                <w:spacing w:val="-4"/>
              </w:rPr>
              <w:t>承办机构</w:t>
            </w:r>
          </w:p>
        </w:tc>
      </w:tr>
      <w:tr w14:paraId="0985F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7" w:hRule="atLeast"/>
        </w:trPr>
        <w:tc>
          <w:tcPr>
            <w:tcW w:w="624" w:type="dxa"/>
            <w:vAlign w:val="top"/>
          </w:tcPr>
          <w:p w14:paraId="161803B2">
            <w:pPr>
              <w:spacing w:line="247" w:lineRule="auto"/>
              <w:rPr>
                <w:rFonts w:ascii="Arial"/>
                <w:sz w:val="21"/>
              </w:rPr>
            </w:pPr>
          </w:p>
          <w:p w14:paraId="616AF48E">
            <w:pPr>
              <w:spacing w:line="247" w:lineRule="auto"/>
              <w:rPr>
                <w:rFonts w:ascii="Arial"/>
                <w:sz w:val="21"/>
              </w:rPr>
            </w:pPr>
          </w:p>
          <w:p w14:paraId="6F9D6AF9">
            <w:pPr>
              <w:spacing w:line="247" w:lineRule="auto"/>
              <w:rPr>
                <w:rFonts w:ascii="Arial"/>
                <w:sz w:val="21"/>
              </w:rPr>
            </w:pPr>
          </w:p>
          <w:p w14:paraId="63FACD21">
            <w:pPr>
              <w:spacing w:line="247" w:lineRule="auto"/>
              <w:rPr>
                <w:rFonts w:ascii="Arial"/>
                <w:sz w:val="21"/>
              </w:rPr>
            </w:pPr>
          </w:p>
          <w:p w14:paraId="62C9D1B1">
            <w:pPr>
              <w:spacing w:line="247" w:lineRule="auto"/>
              <w:rPr>
                <w:rFonts w:ascii="Arial"/>
                <w:sz w:val="21"/>
              </w:rPr>
            </w:pPr>
          </w:p>
          <w:p w14:paraId="073D56EA">
            <w:pPr>
              <w:spacing w:line="247" w:lineRule="auto"/>
              <w:rPr>
                <w:rFonts w:ascii="Arial"/>
                <w:sz w:val="21"/>
              </w:rPr>
            </w:pPr>
          </w:p>
          <w:p w14:paraId="57079E1F">
            <w:pPr>
              <w:spacing w:line="247" w:lineRule="auto"/>
              <w:rPr>
                <w:rFonts w:ascii="Arial"/>
                <w:sz w:val="21"/>
              </w:rPr>
            </w:pPr>
          </w:p>
          <w:p w14:paraId="0392ED3C">
            <w:pPr>
              <w:spacing w:line="247" w:lineRule="auto"/>
              <w:rPr>
                <w:rFonts w:ascii="Arial"/>
                <w:sz w:val="21"/>
              </w:rPr>
            </w:pPr>
          </w:p>
          <w:p w14:paraId="7BDACB2C">
            <w:pPr>
              <w:spacing w:line="248" w:lineRule="auto"/>
              <w:rPr>
                <w:rFonts w:ascii="Arial"/>
                <w:sz w:val="21"/>
              </w:rPr>
            </w:pPr>
          </w:p>
          <w:p w14:paraId="66F864E2">
            <w:pPr>
              <w:spacing w:line="248" w:lineRule="auto"/>
              <w:rPr>
                <w:rFonts w:ascii="Arial"/>
                <w:sz w:val="21"/>
              </w:rPr>
            </w:pPr>
          </w:p>
          <w:p w14:paraId="4233D51D">
            <w:pPr>
              <w:spacing w:line="248" w:lineRule="auto"/>
              <w:rPr>
                <w:rFonts w:ascii="Arial"/>
                <w:sz w:val="21"/>
              </w:rPr>
            </w:pPr>
          </w:p>
          <w:p w14:paraId="091DA162">
            <w:pPr>
              <w:spacing w:line="248" w:lineRule="auto"/>
              <w:rPr>
                <w:rFonts w:ascii="Arial"/>
                <w:sz w:val="21"/>
              </w:rPr>
            </w:pPr>
          </w:p>
          <w:p w14:paraId="077BC904">
            <w:pPr>
              <w:spacing w:line="248" w:lineRule="auto"/>
              <w:rPr>
                <w:rFonts w:ascii="Arial"/>
                <w:sz w:val="21"/>
              </w:rPr>
            </w:pPr>
          </w:p>
          <w:p w14:paraId="6E3B2208">
            <w:pPr>
              <w:pStyle w:val="8"/>
              <w:spacing w:before="59" w:line="183" w:lineRule="auto"/>
              <w:ind w:left="234"/>
            </w:pPr>
            <w:r>
              <w:rPr>
                <w:spacing w:val="-6"/>
              </w:rPr>
              <w:t>54</w:t>
            </w:r>
          </w:p>
        </w:tc>
        <w:tc>
          <w:tcPr>
            <w:tcW w:w="1104" w:type="dxa"/>
            <w:vAlign w:val="top"/>
          </w:tcPr>
          <w:p w14:paraId="10A3A8E4">
            <w:pPr>
              <w:spacing w:line="264" w:lineRule="auto"/>
              <w:rPr>
                <w:rFonts w:ascii="Arial"/>
                <w:sz w:val="21"/>
              </w:rPr>
            </w:pPr>
          </w:p>
          <w:p w14:paraId="736C58E2">
            <w:pPr>
              <w:spacing w:line="264" w:lineRule="auto"/>
              <w:rPr>
                <w:rFonts w:ascii="Arial"/>
                <w:sz w:val="21"/>
              </w:rPr>
            </w:pPr>
          </w:p>
          <w:p w14:paraId="38EBA591">
            <w:pPr>
              <w:spacing w:line="264" w:lineRule="auto"/>
              <w:rPr>
                <w:rFonts w:ascii="Arial"/>
                <w:sz w:val="21"/>
              </w:rPr>
            </w:pPr>
          </w:p>
          <w:p w14:paraId="79F31B97">
            <w:pPr>
              <w:spacing w:line="264" w:lineRule="auto"/>
              <w:rPr>
                <w:rFonts w:ascii="Arial"/>
                <w:sz w:val="21"/>
              </w:rPr>
            </w:pPr>
          </w:p>
          <w:p w14:paraId="03C1FB4E">
            <w:pPr>
              <w:spacing w:line="264" w:lineRule="auto"/>
              <w:rPr>
                <w:rFonts w:ascii="Arial"/>
                <w:sz w:val="21"/>
              </w:rPr>
            </w:pPr>
          </w:p>
          <w:p w14:paraId="7F7A4C46">
            <w:pPr>
              <w:spacing w:line="264" w:lineRule="auto"/>
              <w:rPr>
                <w:rFonts w:ascii="Arial"/>
                <w:sz w:val="21"/>
              </w:rPr>
            </w:pPr>
          </w:p>
          <w:p w14:paraId="593DF53D">
            <w:pPr>
              <w:spacing w:line="264" w:lineRule="auto"/>
              <w:rPr>
                <w:rFonts w:ascii="Arial"/>
                <w:sz w:val="21"/>
              </w:rPr>
            </w:pPr>
          </w:p>
          <w:p w14:paraId="4FE6DA07">
            <w:pPr>
              <w:spacing w:line="264" w:lineRule="auto"/>
              <w:rPr>
                <w:rFonts w:ascii="Arial"/>
                <w:sz w:val="21"/>
              </w:rPr>
            </w:pPr>
          </w:p>
          <w:p w14:paraId="1A1FBBCA">
            <w:pPr>
              <w:pStyle w:val="8"/>
              <w:spacing w:before="58" w:line="244" w:lineRule="auto"/>
              <w:ind w:left="61" w:right="56" w:hanging="1"/>
              <w:jc w:val="both"/>
            </w:pPr>
            <w:r>
              <w:rPr>
                <w:spacing w:val="16"/>
              </w:rPr>
              <w:t>对交通运输</w:t>
            </w:r>
            <w:r>
              <w:rPr>
                <w:spacing w:val="1"/>
              </w:rPr>
              <w:t xml:space="preserve"> </w:t>
            </w:r>
            <w:r>
              <w:rPr>
                <w:spacing w:val="16"/>
              </w:rPr>
              <w:t>建设工程领</w:t>
            </w:r>
            <w:r>
              <w:t xml:space="preserve"> </w:t>
            </w:r>
            <w:r>
              <w:rPr>
                <w:spacing w:val="16"/>
              </w:rPr>
              <w:t>域监理单位</w:t>
            </w:r>
            <w:r>
              <w:t xml:space="preserve"> </w:t>
            </w:r>
            <w:r>
              <w:rPr>
                <w:spacing w:val="16"/>
              </w:rPr>
              <w:t>与相关单位</w:t>
            </w:r>
            <w:r>
              <w:t xml:space="preserve"> </w:t>
            </w:r>
            <w:r>
              <w:rPr>
                <w:spacing w:val="-2"/>
              </w:rPr>
              <w:t>串通，弄虚</w:t>
            </w:r>
            <w:r>
              <w:t xml:space="preserve">  </w:t>
            </w:r>
            <w:r>
              <w:rPr>
                <w:spacing w:val="-2"/>
              </w:rPr>
              <w:t>作假、降低</w:t>
            </w:r>
            <w:r>
              <w:t xml:space="preserve">  </w:t>
            </w:r>
            <w:r>
              <w:rPr>
                <w:spacing w:val="16"/>
              </w:rPr>
              <w:t>工程质量等</w:t>
            </w:r>
            <w:r>
              <w:t xml:space="preserve"> </w:t>
            </w:r>
            <w:r>
              <w:rPr>
                <w:spacing w:val="7"/>
              </w:rPr>
              <w:t>行为</w:t>
            </w:r>
            <w:r>
              <w:rPr>
                <w:spacing w:val="-45"/>
              </w:rPr>
              <w:t xml:space="preserve"> </w:t>
            </w:r>
            <w:r>
              <w:rPr>
                <w:spacing w:val="7"/>
              </w:rPr>
              <w:t>的行政</w:t>
            </w:r>
            <w:r>
              <w:t xml:space="preserve"> </w:t>
            </w:r>
            <w:r>
              <w:rPr>
                <w:spacing w:val="-2"/>
              </w:rPr>
              <w:t>处罚</w:t>
            </w:r>
          </w:p>
        </w:tc>
        <w:tc>
          <w:tcPr>
            <w:tcW w:w="1104" w:type="dxa"/>
            <w:vAlign w:val="top"/>
          </w:tcPr>
          <w:p w14:paraId="71D31ED7">
            <w:pPr>
              <w:spacing w:line="245" w:lineRule="auto"/>
              <w:rPr>
                <w:rFonts w:ascii="Arial"/>
                <w:sz w:val="21"/>
              </w:rPr>
            </w:pPr>
          </w:p>
          <w:p w14:paraId="49638C2B">
            <w:pPr>
              <w:spacing w:line="245" w:lineRule="auto"/>
              <w:rPr>
                <w:rFonts w:ascii="Arial"/>
                <w:sz w:val="21"/>
              </w:rPr>
            </w:pPr>
          </w:p>
          <w:p w14:paraId="2F6E545B">
            <w:pPr>
              <w:spacing w:line="245" w:lineRule="auto"/>
              <w:rPr>
                <w:rFonts w:ascii="Arial"/>
                <w:sz w:val="21"/>
              </w:rPr>
            </w:pPr>
          </w:p>
          <w:p w14:paraId="37E3160D">
            <w:pPr>
              <w:spacing w:line="245" w:lineRule="auto"/>
              <w:rPr>
                <w:rFonts w:ascii="Arial"/>
                <w:sz w:val="21"/>
              </w:rPr>
            </w:pPr>
          </w:p>
          <w:p w14:paraId="6436CA8F">
            <w:pPr>
              <w:spacing w:line="245" w:lineRule="auto"/>
              <w:rPr>
                <w:rFonts w:ascii="Arial"/>
                <w:sz w:val="21"/>
              </w:rPr>
            </w:pPr>
          </w:p>
          <w:p w14:paraId="35C7EFBA">
            <w:pPr>
              <w:spacing w:line="245" w:lineRule="auto"/>
              <w:rPr>
                <w:rFonts w:ascii="Arial"/>
                <w:sz w:val="21"/>
              </w:rPr>
            </w:pPr>
          </w:p>
          <w:p w14:paraId="01A4EED1">
            <w:pPr>
              <w:spacing w:line="245" w:lineRule="auto"/>
              <w:rPr>
                <w:rFonts w:ascii="Arial"/>
                <w:sz w:val="21"/>
              </w:rPr>
            </w:pPr>
          </w:p>
          <w:p w14:paraId="72689952">
            <w:pPr>
              <w:spacing w:line="245" w:lineRule="auto"/>
              <w:rPr>
                <w:rFonts w:ascii="Arial"/>
                <w:sz w:val="21"/>
              </w:rPr>
            </w:pPr>
          </w:p>
          <w:p w14:paraId="0A3EE1C2">
            <w:pPr>
              <w:spacing w:line="245" w:lineRule="auto"/>
              <w:rPr>
                <w:rFonts w:ascii="Arial"/>
                <w:sz w:val="21"/>
              </w:rPr>
            </w:pPr>
          </w:p>
          <w:p w14:paraId="30B50DF2">
            <w:pPr>
              <w:spacing w:line="245" w:lineRule="auto"/>
              <w:rPr>
                <w:rFonts w:ascii="Arial"/>
                <w:sz w:val="21"/>
              </w:rPr>
            </w:pPr>
          </w:p>
          <w:p w14:paraId="7F9F9A9F">
            <w:pPr>
              <w:spacing w:line="246" w:lineRule="auto"/>
              <w:rPr>
                <w:rFonts w:ascii="Arial"/>
                <w:sz w:val="21"/>
              </w:rPr>
            </w:pPr>
          </w:p>
          <w:p w14:paraId="5F2A277F">
            <w:pPr>
              <w:spacing w:line="246" w:lineRule="auto"/>
              <w:rPr>
                <w:rFonts w:ascii="Arial"/>
                <w:sz w:val="21"/>
              </w:rPr>
            </w:pPr>
          </w:p>
          <w:p w14:paraId="28D1BD99">
            <w:pPr>
              <w:spacing w:line="246" w:lineRule="auto"/>
              <w:rPr>
                <w:rFonts w:ascii="Arial"/>
                <w:sz w:val="21"/>
              </w:rPr>
            </w:pPr>
          </w:p>
          <w:p w14:paraId="0F007F75">
            <w:pPr>
              <w:pStyle w:val="8"/>
              <w:spacing w:before="58" w:line="220" w:lineRule="auto"/>
              <w:ind w:left="10"/>
            </w:pPr>
            <w:r>
              <w:rPr>
                <w:spacing w:val="-2"/>
              </w:rPr>
              <w:t>行政处罚</w:t>
            </w:r>
          </w:p>
        </w:tc>
        <w:tc>
          <w:tcPr>
            <w:tcW w:w="8549" w:type="dxa"/>
            <w:vAlign w:val="top"/>
          </w:tcPr>
          <w:p w14:paraId="692C61AC">
            <w:pPr>
              <w:pStyle w:val="8"/>
              <w:spacing w:before="46" w:line="219" w:lineRule="auto"/>
              <w:ind w:left="484"/>
            </w:pPr>
            <w:r>
              <w:rPr>
                <w:b/>
                <w:bCs/>
                <w:spacing w:val="-4"/>
              </w:rPr>
              <w:t>1.《建设工程质量管理条例》</w:t>
            </w:r>
          </w:p>
          <w:p w14:paraId="0C832FC6">
            <w:pPr>
              <w:pStyle w:val="8"/>
              <w:spacing w:before="33"/>
              <w:ind w:left="110" w:right="204" w:firstLine="360"/>
            </w:pPr>
            <w:r>
              <w:rPr>
                <w:spacing w:val="-1"/>
              </w:rPr>
              <w:t>第三十六条  工程监理单位应当依照法律、法规以及有关技术标准、设计文件和</w:t>
            </w:r>
            <w:r>
              <w:rPr>
                <w:spacing w:val="-2"/>
              </w:rPr>
              <w:t>建设工程承包合同，</w:t>
            </w:r>
            <w:r>
              <w:t xml:space="preserve"> </w:t>
            </w:r>
            <w:r>
              <w:rPr>
                <w:spacing w:val="-1"/>
              </w:rPr>
              <w:t>代表建设单位对施工质量实施监理，并对施工质量承担监</w:t>
            </w:r>
            <w:r>
              <w:rPr>
                <w:spacing w:val="-2"/>
              </w:rPr>
              <w:t>理责任。</w:t>
            </w:r>
          </w:p>
          <w:p w14:paraId="45E44600">
            <w:pPr>
              <w:pStyle w:val="8"/>
              <w:spacing w:before="29" w:line="244" w:lineRule="auto"/>
              <w:ind w:left="114" w:right="30" w:firstLine="356"/>
            </w:pPr>
            <w:r>
              <w:rPr>
                <w:spacing w:val="-2"/>
              </w:rPr>
              <w:t>第六十七条第（一）项  工程监理单位有下列行为之一的，责令改正，处</w:t>
            </w:r>
            <w:r>
              <w:rPr>
                <w:spacing w:val="-37"/>
              </w:rPr>
              <w:t xml:space="preserve"> </w:t>
            </w:r>
            <w:r>
              <w:rPr>
                <w:spacing w:val="-2"/>
              </w:rPr>
              <w:t>50</w:t>
            </w:r>
            <w:r>
              <w:rPr>
                <w:spacing w:val="-34"/>
              </w:rPr>
              <w:t xml:space="preserve"> </w:t>
            </w:r>
            <w:r>
              <w:rPr>
                <w:spacing w:val="-2"/>
              </w:rPr>
              <w:t>万元以上</w:t>
            </w:r>
            <w:r>
              <w:rPr>
                <w:spacing w:val="-24"/>
              </w:rPr>
              <w:t xml:space="preserve"> </w:t>
            </w:r>
            <w:r>
              <w:rPr>
                <w:spacing w:val="-2"/>
              </w:rPr>
              <w:t>100</w:t>
            </w:r>
            <w:r>
              <w:rPr>
                <w:spacing w:val="-34"/>
              </w:rPr>
              <w:t xml:space="preserve"> </w:t>
            </w:r>
            <w:r>
              <w:rPr>
                <w:spacing w:val="-2"/>
              </w:rPr>
              <w:t>万元以下的</w:t>
            </w:r>
            <w:r>
              <w:t xml:space="preserve">  </w:t>
            </w:r>
            <w:r>
              <w:rPr>
                <w:spacing w:val="-3"/>
              </w:rPr>
              <w:t>罚款，降低资质等级或者吊销资质证书；有违法所得的，予以没</w:t>
            </w:r>
            <w:r>
              <w:rPr>
                <w:spacing w:val="-4"/>
              </w:rPr>
              <w:t>收；造成损失的，承担连带赔偿责任</w:t>
            </w:r>
            <w:r>
              <w:rPr>
                <w:spacing w:val="-44"/>
              </w:rPr>
              <w:t>：（</w:t>
            </w:r>
            <w:r>
              <w:rPr>
                <w:spacing w:val="-4"/>
              </w:rPr>
              <w:t>一）</w:t>
            </w:r>
            <w:r>
              <w:rPr>
                <w:spacing w:val="1"/>
              </w:rPr>
              <w:t xml:space="preserve"> </w:t>
            </w:r>
            <w:r>
              <w:rPr>
                <w:spacing w:val="-2"/>
              </w:rPr>
              <w:t>与建设单位或者施工单位串通，弄虚作假、降低工程质量的。</w:t>
            </w:r>
          </w:p>
          <w:p w14:paraId="2036F20B">
            <w:pPr>
              <w:pStyle w:val="8"/>
              <w:spacing w:before="28" w:line="219" w:lineRule="auto"/>
              <w:ind w:left="473"/>
            </w:pPr>
            <w:r>
              <w:rPr>
                <w:b/>
                <w:bCs/>
                <w:spacing w:val="-3"/>
              </w:rPr>
              <w:t>2.《公路建设监督管理办法》（交通运输部</w:t>
            </w:r>
            <w:r>
              <w:rPr>
                <w:b/>
                <w:bCs/>
                <w:spacing w:val="-4"/>
              </w:rPr>
              <w:t>令</w:t>
            </w:r>
            <w:r>
              <w:rPr>
                <w:spacing w:val="-33"/>
              </w:rPr>
              <w:t xml:space="preserve"> </w:t>
            </w:r>
            <w:r>
              <w:rPr>
                <w:b/>
                <w:bCs/>
                <w:spacing w:val="-4"/>
              </w:rPr>
              <w:t>2021</w:t>
            </w:r>
            <w:r>
              <w:rPr>
                <w:spacing w:val="-40"/>
              </w:rPr>
              <w:t xml:space="preserve"> </w:t>
            </w:r>
            <w:r>
              <w:rPr>
                <w:b/>
                <w:bCs/>
                <w:spacing w:val="-4"/>
              </w:rPr>
              <w:t>年第</w:t>
            </w:r>
            <w:r>
              <w:rPr>
                <w:spacing w:val="-22"/>
              </w:rPr>
              <w:t xml:space="preserve"> </w:t>
            </w:r>
            <w:r>
              <w:rPr>
                <w:b/>
                <w:bCs/>
                <w:spacing w:val="-4"/>
              </w:rPr>
              <w:t>11</w:t>
            </w:r>
            <w:r>
              <w:rPr>
                <w:spacing w:val="-34"/>
              </w:rPr>
              <w:t xml:space="preserve"> </w:t>
            </w:r>
            <w:r>
              <w:rPr>
                <w:b/>
                <w:bCs/>
                <w:spacing w:val="-4"/>
              </w:rPr>
              <w:t>号）</w:t>
            </w:r>
          </w:p>
          <w:p w14:paraId="311BEBDD">
            <w:pPr>
              <w:pStyle w:val="8"/>
              <w:spacing w:before="33" w:line="246" w:lineRule="auto"/>
              <w:ind w:left="111" w:right="159" w:firstLine="360"/>
              <w:jc w:val="both"/>
            </w:pPr>
            <w:r>
              <w:t>第二十三条  公路建设项目实施过程中，监理单位应当依照法律、法规、规章以</w:t>
            </w:r>
            <w:r>
              <w:rPr>
                <w:spacing w:val="-1"/>
              </w:rPr>
              <w:t>及有关技术标准、设</w:t>
            </w:r>
            <w:r>
              <w:t xml:space="preserve"> 计文件、合同文件和监理规范的要求，采用旁站、巡视和平行检验形式对工程实施监</w:t>
            </w:r>
            <w:r>
              <w:rPr>
                <w:spacing w:val="-1"/>
              </w:rPr>
              <w:t>理，对不符合工程质</w:t>
            </w:r>
            <w:r>
              <w:t xml:space="preserve"> </w:t>
            </w:r>
            <w:r>
              <w:rPr>
                <w:spacing w:val="-2"/>
              </w:rPr>
              <w:t>量与安全要求的工程应当责令施工单位返工。</w:t>
            </w:r>
          </w:p>
          <w:p w14:paraId="4F9544E7">
            <w:pPr>
              <w:pStyle w:val="8"/>
              <w:spacing w:before="25" w:line="241" w:lineRule="auto"/>
              <w:ind w:left="113" w:right="159" w:firstLine="360"/>
            </w:pPr>
            <w:r>
              <w:t>未经监理工程师签认，施工单位不得将建筑材料、构件和设备在工程上使用</w:t>
            </w:r>
            <w:r>
              <w:rPr>
                <w:spacing w:val="-1"/>
              </w:rPr>
              <w:t>或安装，不得进行下一道</w:t>
            </w:r>
            <w:r>
              <w:t xml:space="preserve"> </w:t>
            </w:r>
            <w:r>
              <w:rPr>
                <w:spacing w:val="-6"/>
              </w:rPr>
              <w:t>工序施工。</w:t>
            </w:r>
          </w:p>
          <w:p w14:paraId="2C8AD45D">
            <w:pPr>
              <w:pStyle w:val="8"/>
              <w:spacing w:before="28" w:line="244" w:lineRule="auto"/>
              <w:ind w:left="113" w:right="104" w:firstLine="357"/>
            </w:pPr>
            <w:r>
              <w:t>第四十四条  违反本办法第二十三条规定，监理单位将不合格的工程、建筑材料</w:t>
            </w:r>
            <w:r>
              <w:rPr>
                <w:spacing w:val="-1"/>
              </w:rPr>
              <w:t>、构件和设备按合格</w:t>
            </w:r>
            <w:r>
              <w:t xml:space="preserve"> </w:t>
            </w:r>
            <w:r>
              <w:rPr>
                <w:spacing w:val="-2"/>
              </w:rPr>
              <w:t>予以签认的，责令改正，可给予警告处罚，情节严重的，处</w:t>
            </w:r>
            <w:r>
              <w:rPr>
                <w:spacing w:val="-34"/>
              </w:rPr>
              <w:t xml:space="preserve"> </w:t>
            </w:r>
            <w:r>
              <w:rPr>
                <w:spacing w:val="-2"/>
              </w:rPr>
              <w:t>50</w:t>
            </w:r>
            <w:r>
              <w:rPr>
                <w:spacing w:val="-34"/>
              </w:rPr>
              <w:t xml:space="preserve"> </w:t>
            </w:r>
            <w:r>
              <w:rPr>
                <w:spacing w:val="-2"/>
              </w:rPr>
              <w:t>万元以上</w:t>
            </w:r>
            <w:r>
              <w:rPr>
                <w:spacing w:val="-27"/>
              </w:rPr>
              <w:t xml:space="preserve"> </w:t>
            </w:r>
            <w:r>
              <w:rPr>
                <w:spacing w:val="-2"/>
              </w:rPr>
              <w:t>100</w:t>
            </w:r>
            <w:r>
              <w:rPr>
                <w:spacing w:val="-31"/>
              </w:rPr>
              <w:t xml:space="preserve"> </w:t>
            </w:r>
            <w:r>
              <w:rPr>
                <w:spacing w:val="-2"/>
              </w:rPr>
              <w:t>万元以下的罚款；施工</w:t>
            </w:r>
            <w:r>
              <w:rPr>
                <w:spacing w:val="-3"/>
              </w:rPr>
              <w:t>单位在</w:t>
            </w:r>
            <w:r>
              <w:t xml:space="preserve"> </w:t>
            </w:r>
            <w:r>
              <w:rPr>
                <w:spacing w:val="-1"/>
              </w:rPr>
              <w:t>工程上使用或安装未经监理签认的建筑材料、构件和设备的，责令改正，可给予警告处罚，情节</w:t>
            </w:r>
            <w:r>
              <w:rPr>
                <w:spacing w:val="-2"/>
              </w:rPr>
              <w:t>严重的，</w:t>
            </w:r>
          </w:p>
          <w:p w14:paraId="74C891AB">
            <w:pPr>
              <w:pStyle w:val="8"/>
              <w:spacing w:before="29" w:line="218" w:lineRule="auto"/>
              <w:ind w:left="114"/>
            </w:pPr>
            <w:r>
              <w:rPr>
                <w:spacing w:val="-3"/>
              </w:rPr>
              <w:t>处工程合同价款</w:t>
            </w:r>
            <w:r>
              <w:rPr>
                <w:spacing w:val="-32"/>
              </w:rPr>
              <w:t xml:space="preserve"> </w:t>
            </w:r>
            <w:r>
              <w:rPr>
                <w:spacing w:val="-3"/>
              </w:rPr>
              <w:t>2%以上</w:t>
            </w:r>
            <w:r>
              <w:rPr>
                <w:spacing w:val="-40"/>
              </w:rPr>
              <w:t xml:space="preserve"> </w:t>
            </w:r>
            <w:r>
              <w:rPr>
                <w:spacing w:val="-3"/>
              </w:rPr>
              <w:t>4%以下的罚款。</w:t>
            </w:r>
          </w:p>
          <w:p w14:paraId="068C76E9">
            <w:pPr>
              <w:pStyle w:val="8"/>
              <w:spacing w:before="35" w:line="219" w:lineRule="auto"/>
              <w:ind w:left="474"/>
            </w:pPr>
            <w:r>
              <w:rPr>
                <w:b/>
                <w:bCs/>
                <w:spacing w:val="-3"/>
              </w:rPr>
              <w:t>3.《公路水运工程质量监督管理规定》（交通运输部令</w:t>
            </w:r>
            <w:r>
              <w:rPr>
                <w:spacing w:val="-27"/>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4"/>
              </w:rPr>
              <w:t xml:space="preserve"> </w:t>
            </w:r>
            <w:r>
              <w:rPr>
                <w:b/>
                <w:bCs/>
                <w:spacing w:val="-3"/>
              </w:rPr>
              <w:t>号）</w:t>
            </w:r>
          </w:p>
          <w:p w14:paraId="3C45861C">
            <w:pPr>
              <w:pStyle w:val="8"/>
              <w:spacing w:before="34" w:line="242" w:lineRule="auto"/>
              <w:ind w:left="109" w:right="159" w:firstLine="361"/>
            </w:pPr>
            <w:r>
              <w:t>第十七条  监理单位对施工质量负监理责任，应当按合同约定设立现场监理机构</w:t>
            </w:r>
            <w:r>
              <w:rPr>
                <w:spacing w:val="-1"/>
              </w:rPr>
              <w:t>，按规定程序和标准</w:t>
            </w:r>
            <w:r>
              <w:t xml:space="preserve"> </w:t>
            </w:r>
            <w:r>
              <w:rPr>
                <w:spacing w:val="-1"/>
              </w:rPr>
              <w:t>进行工程质量检查、检测和验收，对发现的质量问题及时督促整改，不得降低工程质量标准。</w:t>
            </w:r>
          </w:p>
          <w:p w14:paraId="65AF22A2">
            <w:pPr>
              <w:pStyle w:val="8"/>
              <w:spacing w:before="24"/>
              <w:ind w:left="110" w:right="159" w:firstLine="366"/>
            </w:pPr>
            <w:r>
              <w:t>公路水运工程交工验收前，监理单位应当根据有关标准和规范要求对</w:t>
            </w:r>
            <w:r>
              <w:rPr>
                <w:spacing w:val="-1"/>
              </w:rPr>
              <w:t>工程质量进行检查验证，编制工</w:t>
            </w:r>
            <w:r>
              <w:t xml:space="preserve"> </w:t>
            </w:r>
            <w:r>
              <w:rPr>
                <w:spacing w:val="-2"/>
              </w:rPr>
              <w:t>程质量评定或者评估报告，并提交建设单位。</w:t>
            </w:r>
          </w:p>
          <w:p w14:paraId="5CEA9177">
            <w:pPr>
              <w:pStyle w:val="8"/>
              <w:spacing w:before="29" w:line="249" w:lineRule="auto"/>
              <w:ind w:left="111" w:right="58" w:firstLine="359"/>
              <w:jc w:val="both"/>
            </w:pPr>
            <w:r>
              <w:t>第四十三条  违反本规定第十七条规定，监理单位在监理工作中弄虚作假、降低</w:t>
            </w:r>
            <w:r>
              <w:rPr>
                <w:spacing w:val="-1"/>
              </w:rPr>
              <w:t>工程质量的，或者将</w:t>
            </w:r>
            <w:r>
              <w:t xml:space="preserve">  不合格的建设工程、建筑材料、建筑构配件和设备按照合格签字的，依照《建设工程</w:t>
            </w:r>
            <w:r>
              <w:rPr>
                <w:spacing w:val="-1"/>
              </w:rPr>
              <w:t>质量管理条例》第六</w:t>
            </w:r>
            <w:r>
              <w:t xml:space="preserve">  十七条规定，责令改正，按以下标准处以罚款，降低资质等级或者吊销资质证书；有</w:t>
            </w:r>
            <w:r>
              <w:rPr>
                <w:spacing w:val="-1"/>
              </w:rPr>
              <w:t>违法所得的，予以没</w:t>
            </w:r>
            <w:r>
              <w:t xml:space="preserve">  </w:t>
            </w:r>
            <w:r>
              <w:rPr>
                <w:spacing w:val="-1"/>
              </w:rPr>
              <w:t>收</w:t>
            </w:r>
            <w:r>
              <w:rPr>
                <w:spacing w:val="-19"/>
              </w:rPr>
              <w:t>：（</w:t>
            </w:r>
            <w:r>
              <w:rPr>
                <w:spacing w:val="-1"/>
              </w:rPr>
              <w:t>一）未造成工程质量事故的，处</w:t>
            </w:r>
            <w:r>
              <w:rPr>
                <w:spacing w:val="-32"/>
              </w:rPr>
              <w:t xml:space="preserve"> </w:t>
            </w:r>
            <w:r>
              <w:rPr>
                <w:spacing w:val="-1"/>
              </w:rPr>
              <w:t>50</w:t>
            </w:r>
            <w:r>
              <w:rPr>
                <w:spacing w:val="-34"/>
              </w:rPr>
              <w:t xml:space="preserve"> </w:t>
            </w:r>
            <w:r>
              <w:rPr>
                <w:spacing w:val="-1"/>
              </w:rPr>
              <w:t>万元以上</w:t>
            </w:r>
            <w:r>
              <w:rPr>
                <w:spacing w:val="-36"/>
              </w:rPr>
              <w:t xml:space="preserve"> </w:t>
            </w:r>
            <w:r>
              <w:rPr>
                <w:spacing w:val="-1"/>
              </w:rPr>
              <w:t>60</w:t>
            </w:r>
            <w:r>
              <w:rPr>
                <w:spacing w:val="-37"/>
              </w:rPr>
              <w:t xml:space="preserve"> </w:t>
            </w:r>
            <w:r>
              <w:rPr>
                <w:spacing w:val="-1"/>
              </w:rPr>
              <w:t>万元以下的罚款</w:t>
            </w:r>
            <w:r>
              <w:rPr>
                <w:spacing w:val="-19"/>
              </w:rPr>
              <w:t>；（</w:t>
            </w:r>
            <w:r>
              <w:rPr>
                <w:spacing w:val="-1"/>
              </w:rPr>
              <w:t>二）造成工</w:t>
            </w:r>
            <w:r>
              <w:rPr>
                <w:spacing w:val="-2"/>
              </w:rPr>
              <w:t>程质量一般事故的，</w:t>
            </w:r>
            <w:r>
              <w:t xml:space="preserve"> </w:t>
            </w:r>
            <w:r>
              <w:rPr>
                <w:spacing w:val="-3"/>
              </w:rPr>
              <w:t>处</w:t>
            </w:r>
            <w:r>
              <w:rPr>
                <w:spacing w:val="-36"/>
              </w:rPr>
              <w:t xml:space="preserve"> </w:t>
            </w:r>
            <w:r>
              <w:rPr>
                <w:spacing w:val="-3"/>
              </w:rPr>
              <w:t>60</w:t>
            </w:r>
            <w:r>
              <w:rPr>
                <w:spacing w:val="-37"/>
              </w:rPr>
              <w:t xml:space="preserve"> </w:t>
            </w:r>
            <w:r>
              <w:rPr>
                <w:spacing w:val="-3"/>
              </w:rPr>
              <w:t>万元以上</w:t>
            </w:r>
            <w:r>
              <w:rPr>
                <w:spacing w:val="-33"/>
              </w:rPr>
              <w:t xml:space="preserve"> </w:t>
            </w:r>
            <w:r>
              <w:rPr>
                <w:spacing w:val="-3"/>
              </w:rPr>
              <w:t>70</w:t>
            </w:r>
            <w:r>
              <w:rPr>
                <w:spacing w:val="-34"/>
              </w:rPr>
              <w:t xml:space="preserve"> </w:t>
            </w:r>
            <w:r>
              <w:rPr>
                <w:spacing w:val="-3"/>
              </w:rPr>
              <w:t>万元以下的罚款</w:t>
            </w:r>
            <w:r>
              <w:rPr>
                <w:spacing w:val="-4"/>
              </w:rPr>
              <w:t>；（</w:t>
            </w:r>
            <w:r>
              <w:rPr>
                <w:spacing w:val="-3"/>
              </w:rPr>
              <w:t>三）造成工程质量较大事故的</w:t>
            </w:r>
            <w:r>
              <w:rPr>
                <w:spacing w:val="-4"/>
              </w:rPr>
              <w:t>，处</w:t>
            </w:r>
            <w:r>
              <w:rPr>
                <w:spacing w:val="-36"/>
              </w:rPr>
              <w:t xml:space="preserve"> </w:t>
            </w:r>
            <w:r>
              <w:rPr>
                <w:spacing w:val="-4"/>
              </w:rPr>
              <w:t>70</w:t>
            </w:r>
            <w:r>
              <w:rPr>
                <w:spacing w:val="-34"/>
              </w:rPr>
              <w:t xml:space="preserve"> </w:t>
            </w:r>
            <w:r>
              <w:rPr>
                <w:spacing w:val="-4"/>
              </w:rPr>
              <w:t>万元以上</w:t>
            </w:r>
            <w:r>
              <w:rPr>
                <w:spacing w:val="-37"/>
              </w:rPr>
              <w:t xml:space="preserve"> </w:t>
            </w:r>
            <w:r>
              <w:rPr>
                <w:spacing w:val="-4"/>
              </w:rPr>
              <w:t>80</w:t>
            </w:r>
            <w:r>
              <w:rPr>
                <w:spacing w:val="-34"/>
              </w:rPr>
              <w:t xml:space="preserve"> </w:t>
            </w:r>
            <w:r>
              <w:rPr>
                <w:spacing w:val="-4"/>
              </w:rPr>
              <w:t>万元以下的罚款；</w:t>
            </w:r>
          </w:p>
          <w:p w14:paraId="2A9DEB2C">
            <w:pPr>
              <w:pStyle w:val="8"/>
              <w:spacing w:before="25" w:line="200" w:lineRule="auto"/>
              <w:ind w:left="121"/>
            </w:pPr>
            <w:r>
              <w:rPr>
                <w:spacing w:val="-3"/>
              </w:rPr>
              <w:t>（四）造成工程质量重大及以上等级事故的，处</w:t>
            </w:r>
            <w:r>
              <w:rPr>
                <w:spacing w:val="-16"/>
              </w:rPr>
              <w:t xml:space="preserve"> </w:t>
            </w:r>
            <w:r>
              <w:rPr>
                <w:spacing w:val="-3"/>
              </w:rPr>
              <w:t>80</w:t>
            </w:r>
            <w:r>
              <w:rPr>
                <w:spacing w:val="-37"/>
              </w:rPr>
              <w:t xml:space="preserve"> </w:t>
            </w:r>
            <w:r>
              <w:rPr>
                <w:spacing w:val="-3"/>
              </w:rPr>
              <w:t>万元以上</w:t>
            </w:r>
            <w:r>
              <w:rPr>
                <w:spacing w:val="-24"/>
              </w:rPr>
              <w:t xml:space="preserve"> </w:t>
            </w:r>
            <w:r>
              <w:rPr>
                <w:spacing w:val="-3"/>
              </w:rPr>
              <w:t>100</w:t>
            </w:r>
            <w:r>
              <w:rPr>
                <w:spacing w:val="-34"/>
              </w:rPr>
              <w:t xml:space="preserve"> </w:t>
            </w:r>
            <w:r>
              <w:rPr>
                <w:spacing w:val="-3"/>
              </w:rPr>
              <w:t>万元以下的罚款。</w:t>
            </w:r>
          </w:p>
        </w:tc>
        <w:tc>
          <w:tcPr>
            <w:tcW w:w="1014" w:type="dxa"/>
            <w:vAlign w:val="top"/>
          </w:tcPr>
          <w:p w14:paraId="3C816B0F">
            <w:pPr>
              <w:spacing w:line="255" w:lineRule="auto"/>
              <w:rPr>
                <w:rFonts w:ascii="Arial"/>
                <w:sz w:val="21"/>
              </w:rPr>
            </w:pPr>
          </w:p>
          <w:p w14:paraId="363A3105">
            <w:pPr>
              <w:spacing w:line="255" w:lineRule="auto"/>
              <w:rPr>
                <w:rFonts w:ascii="Arial"/>
                <w:sz w:val="21"/>
              </w:rPr>
            </w:pPr>
          </w:p>
          <w:p w14:paraId="5F8622CB">
            <w:pPr>
              <w:spacing w:line="255" w:lineRule="auto"/>
              <w:rPr>
                <w:rFonts w:ascii="Arial"/>
                <w:sz w:val="21"/>
              </w:rPr>
            </w:pPr>
          </w:p>
          <w:p w14:paraId="3EDC5339">
            <w:pPr>
              <w:spacing w:line="255" w:lineRule="auto"/>
              <w:rPr>
                <w:rFonts w:ascii="Arial"/>
                <w:sz w:val="21"/>
              </w:rPr>
            </w:pPr>
          </w:p>
          <w:p w14:paraId="53512552">
            <w:pPr>
              <w:spacing w:line="256" w:lineRule="auto"/>
              <w:rPr>
                <w:rFonts w:ascii="Arial"/>
                <w:sz w:val="21"/>
              </w:rPr>
            </w:pPr>
          </w:p>
          <w:p w14:paraId="71838A49">
            <w:pPr>
              <w:spacing w:line="256" w:lineRule="auto"/>
              <w:rPr>
                <w:rFonts w:ascii="Arial"/>
                <w:sz w:val="21"/>
              </w:rPr>
            </w:pPr>
          </w:p>
          <w:p w14:paraId="0DDEF7E3">
            <w:pPr>
              <w:spacing w:line="256" w:lineRule="auto"/>
              <w:rPr>
                <w:rFonts w:ascii="Arial"/>
                <w:sz w:val="21"/>
              </w:rPr>
            </w:pPr>
          </w:p>
          <w:p w14:paraId="53214E9A">
            <w:pPr>
              <w:spacing w:line="256" w:lineRule="auto"/>
              <w:rPr>
                <w:rFonts w:ascii="Arial"/>
                <w:sz w:val="21"/>
              </w:rPr>
            </w:pPr>
          </w:p>
          <w:p w14:paraId="3D43C160">
            <w:pPr>
              <w:spacing w:line="256" w:lineRule="auto"/>
              <w:rPr>
                <w:rFonts w:ascii="Arial"/>
                <w:sz w:val="21"/>
              </w:rPr>
            </w:pPr>
          </w:p>
          <w:p w14:paraId="224BDC68">
            <w:pPr>
              <w:spacing w:line="256" w:lineRule="auto"/>
              <w:rPr>
                <w:rFonts w:ascii="Arial"/>
                <w:sz w:val="21"/>
              </w:rPr>
            </w:pPr>
          </w:p>
          <w:p w14:paraId="7BFB6ACB">
            <w:pPr>
              <w:spacing w:line="256" w:lineRule="auto"/>
              <w:rPr>
                <w:rFonts w:ascii="Arial"/>
                <w:sz w:val="21"/>
              </w:rPr>
            </w:pPr>
          </w:p>
          <w:p w14:paraId="228F15F2">
            <w:pPr>
              <w:spacing w:line="256" w:lineRule="auto"/>
              <w:rPr>
                <w:rFonts w:ascii="Arial"/>
                <w:sz w:val="21"/>
              </w:rPr>
            </w:pPr>
          </w:p>
          <w:p w14:paraId="1C3E97AB">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12677804">
            <w:pPr>
              <w:spacing w:line="255" w:lineRule="auto"/>
              <w:rPr>
                <w:rFonts w:ascii="Arial"/>
                <w:sz w:val="21"/>
              </w:rPr>
            </w:pPr>
          </w:p>
          <w:p w14:paraId="323A2436">
            <w:pPr>
              <w:spacing w:line="255" w:lineRule="auto"/>
              <w:rPr>
                <w:rFonts w:ascii="Arial"/>
                <w:sz w:val="21"/>
              </w:rPr>
            </w:pPr>
          </w:p>
          <w:p w14:paraId="22BC8356">
            <w:pPr>
              <w:spacing w:line="255" w:lineRule="auto"/>
              <w:rPr>
                <w:rFonts w:ascii="Arial"/>
                <w:sz w:val="21"/>
              </w:rPr>
            </w:pPr>
          </w:p>
          <w:p w14:paraId="320720C4">
            <w:pPr>
              <w:spacing w:line="256" w:lineRule="auto"/>
              <w:rPr>
                <w:rFonts w:ascii="Arial"/>
                <w:sz w:val="21"/>
              </w:rPr>
            </w:pPr>
          </w:p>
          <w:p w14:paraId="1E3EDF3F">
            <w:pPr>
              <w:spacing w:line="256" w:lineRule="auto"/>
              <w:rPr>
                <w:rFonts w:ascii="Arial"/>
                <w:sz w:val="21"/>
              </w:rPr>
            </w:pPr>
          </w:p>
          <w:p w14:paraId="618757BB">
            <w:pPr>
              <w:spacing w:line="256" w:lineRule="auto"/>
              <w:rPr>
                <w:rFonts w:ascii="Arial"/>
                <w:sz w:val="21"/>
              </w:rPr>
            </w:pPr>
          </w:p>
          <w:p w14:paraId="01DE25AE">
            <w:pPr>
              <w:spacing w:line="256" w:lineRule="auto"/>
              <w:rPr>
                <w:rFonts w:ascii="Arial"/>
                <w:sz w:val="21"/>
              </w:rPr>
            </w:pPr>
          </w:p>
          <w:p w14:paraId="1EAC9405">
            <w:pPr>
              <w:spacing w:line="256" w:lineRule="auto"/>
              <w:rPr>
                <w:rFonts w:ascii="Arial"/>
                <w:sz w:val="21"/>
              </w:rPr>
            </w:pPr>
          </w:p>
          <w:p w14:paraId="6526FB59">
            <w:pPr>
              <w:spacing w:line="256" w:lineRule="auto"/>
              <w:rPr>
                <w:rFonts w:ascii="Arial"/>
                <w:sz w:val="21"/>
              </w:rPr>
            </w:pPr>
          </w:p>
          <w:p w14:paraId="4DD0A935">
            <w:pPr>
              <w:spacing w:line="256" w:lineRule="auto"/>
              <w:rPr>
                <w:rFonts w:ascii="Arial"/>
                <w:sz w:val="21"/>
              </w:rPr>
            </w:pPr>
          </w:p>
          <w:p w14:paraId="1B69F590">
            <w:pPr>
              <w:spacing w:line="256" w:lineRule="auto"/>
              <w:rPr>
                <w:rFonts w:ascii="Arial"/>
                <w:sz w:val="21"/>
              </w:rPr>
            </w:pPr>
          </w:p>
          <w:p w14:paraId="29799DBB">
            <w:pPr>
              <w:spacing w:line="256" w:lineRule="auto"/>
              <w:rPr>
                <w:rFonts w:ascii="Arial"/>
                <w:sz w:val="21"/>
              </w:rPr>
            </w:pPr>
          </w:p>
          <w:p w14:paraId="795E96F7">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13C65E67">
            <w:pPr>
              <w:spacing w:line="257" w:lineRule="auto"/>
              <w:rPr>
                <w:rFonts w:ascii="Arial"/>
                <w:sz w:val="21"/>
              </w:rPr>
            </w:pPr>
          </w:p>
          <w:p w14:paraId="361C080F">
            <w:pPr>
              <w:spacing w:line="257" w:lineRule="auto"/>
              <w:rPr>
                <w:rFonts w:ascii="Arial"/>
                <w:sz w:val="21"/>
              </w:rPr>
            </w:pPr>
          </w:p>
          <w:p w14:paraId="36FD4540">
            <w:pPr>
              <w:spacing w:line="257" w:lineRule="auto"/>
              <w:rPr>
                <w:rFonts w:ascii="Arial"/>
                <w:sz w:val="21"/>
              </w:rPr>
            </w:pPr>
          </w:p>
          <w:p w14:paraId="75040832">
            <w:pPr>
              <w:spacing w:line="257" w:lineRule="auto"/>
              <w:rPr>
                <w:rFonts w:ascii="Arial"/>
                <w:sz w:val="21"/>
              </w:rPr>
            </w:pPr>
          </w:p>
          <w:p w14:paraId="315F8978">
            <w:pPr>
              <w:spacing w:line="257" w:lineRule="auto"/>
              <w:rPr>
                <w:rFonts w:ascii="Arial"/>
                <w:sz w:val="21"/>
              </w:rPr>
            </w:pPr>
          </w:p>
          <w:p w14:paraId="6F0A53DA">
            <w:pPr>
              <w:spacing w:line="257" w:lineRule="auto"/>
              <w:rPr>
                <w:rFonts w:ascii="Arial"/>
                <w:sz w:val="21"/>
              </w:rPr>
            </w:pPr>
          </w:p>
          <w:p w14:paraId="60267952">
            <w:pPr>
              <w:spacing w:line="257" w:lineRule="auto"/>
              <w:rPr>
                <w:rFonts w:ascii="Arial"/>
                <w:sz w:val="21"/>
              </w:rPr>
            </w:pPr>
          </w:p>
          <w:p w14:paraId="37F63FAF">
            <w:pPr>
              <w:spacing w:line="258" w:lineRule="auto"/>
              <w:rPr>
                <w:rFonts w:ascii="Arial"/>
                <w:sz w:val="21"/>
              </w:rPr>
            </w:pPr>
          </w:p>
          <w:p w14:paraId="48552B70">
            <w:pPr>
              <w:spacing w:line="258" w:lineRule="auto"/>
              <w:rPr>
                <w:rFonts w:ascii="Arial"/>
                <w:sz w:val="21"/>
              </w:rPr>
            </w:pPr>
          </w:p>
          <w:p w14:paraId="4D8334C2">
            <w:pPr>
              <w:spacing w:line="258" w:lineRule="auto"/>
              <w:rPr>
                <w:rFonts w:ascii="Arial"/>
                <w:sz w:val="21"/>
              </w:rPr>
            </w:pPr>
          </w:p>
          <w:p w14:paraId="5814A595">
            <w:pPr>
              <w:spacing w:line="258" w:lineRule="auto"/>
              <w:rPr>
                <w:rFonts w:ascii="Arial"/>
                <w:sz w:val="21"/>
              </w:rPr>
            </w:pPr>
          </w:p>
          <w:p w14:paraId="6BBC54C9">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8AB8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trPr>
        <w:tc>
          <w:tcPr>
            <w:tcW w:w="624" w:type="dxa"/>
            <w:vAlign w:val="top"/>
          </w:tcPr>
          <w:p w14:paraId="01ADB9A3">
            <w:pPr>
              <w:spacing w:line="241" w:lineRule="auto"/>
              <w:rPr>
                <w:rFonts w:ascii="Arial"/>
                <w:sz w:val="21"/>
              </w:rPr>
            </w:pPr>
          </w:p>
          <w:p w14:paraId="634F0BEF">
            <w:pPr>
              <w:spacing w:line="242" w:lineRule="auto"/>
              <w:rPr>
                <w:rFonts w:ascii="Arial"/>
                <w:sz w:val="21"/>
              </w:rPr>
            </w:pPr>
          </w:p>
          <w:p w14:paraId="66C5E389">
            <w:pPr>
              <w:spacing w:line="242" w:lineRule="auto"/>
              <w:rPr>
                <w:rFonts w:ascii="Arial"/>
                <w:sz w:val="21"/>
              </w:rPr>
            </w:pPr>
          </w:p>
          <w:p w14:paraId="623565C7">
            <w:pPr>
              <w:spacing w:line="242" w:lineRule="auto"/>
              <w:rPr>
                <w:rFonts w:ascii="Arial"/>
                <w:sz w:val="21"/>
              </w:rPr>
            </w:pPr>
          </w:p>
          <w:p w14:paraId="2FEF76B7">
            <w:pPr>
              <w:pStyle w:val="8"/>
              <w:spacing w:before="58" w:line="182" w:lineRule="auto"/>
              <w:ind w:left="234"/>
            </w:pPr>
            <w:r>
              <w:rPr>
                <w:spacing w:val="-6"/>
              </w:rPr>
              <w:t>55</w:t>
            </w:r>
          </w:p>
        </w:tc>
        <w:tc>
          <w:tcPr>
            <w:tcW w:w="1104" w:type="dxa"/>
            <w:vAlign w:val="top"/>
          </w:tcPr>
          <w:p w14:paraId="39F9ECFB">
            <w:pPr>
              <w:pStyle w:val="8"/>
              <w:spacing w:before="42" w:line="241" w:lineRule="auto"/>
              <w:ind w:left="59"/>
              <w:jc w:val="both"/>
            </w:pPr>
            <w:r>
              <w:rPr>
                <w:spacing w:val="15"/>
              </w:rPr>
              <w:t>对交通运输</w:t>
            </w:r>
            <w:r>
              <w:rPr>
                <w:spacing w:val="2"/>
              </w:rPr>
              <w:t xml:space="preserve"> </w:t>
            </w:r>
            <w:r>
              <w:rPr>
                <w:spacing w:val="15"/>
              </w:rPr>
              <w:t>建设工程领</w:t>
            </w:r>
            <w:r>
              <w:rPr>
                <w:spacing w:val="3"/>
              </w:rPr>
              <w:t xml:space="preserve"> </w:t>
            </w:r>
            <w:r>
              <w:rPr>
                <w:spacing w:val="15"/>
              </w:rPr>
              <w:t>域监理单位</w:t>
            </w:r>
            <w:r>
              <w:rPr>
                <w:spacing w:val="3"/>
              </w:rPr>
              <w:t xml:space="preserve"> </w:t>
            </w:r>
            <w:r>
              <w:rPr>
                <w:spacing w:val="15"/>
              </w:rPr>
              <w:t>将不合格的</w:t>
            </w:r>
            <w:r>
              <w:rPr>
                <w:spacing w:val="3"/>
              </w:rPr>
              <w:t xml:space="preserve"> </w:t>
            </w:r>
            <w:r>
              <w:rPr>
                <w:spacing w:val="-7"/>
              </w:rPr>
              <w:t>工程、材料、</w:t>
            </w:r>
            <w:r>
              <w:t xml:space="preserve"> </w:t>
            </w:r>
            <w:r>
              <w:rPr>
                <w:spacing w:val="15"/>
              </w:rPr>
              <w:t>构件和设备</w:t>
            </w:r>
            <w:r>
              <w:rPr>
                <w:spacing w:val="3"/>
              </w:rPr>
              <w:t xml:space="preserve"> </w:t>
            </w:r>
            <w:r>
              <w:rPr>
                <w:spacing w:val="15"/>
              </w:rPr>
              <w:t>按合格签字</w:t>
            </w:r>
            <w:r>
              <w:rPr>
                <w:spacing w:val="3"/>
              </w:rPr>
              <w:t xml:space="preserve"> </w:t>
            </w:r>
            <w:r>
              <w:rPr>
                <w:spacing w:val="6"/>
              </w:rPr>
              <w:t>行为</w:t>
            </w:r>
            <w:r>
              <w:rPr>
                <w:spacing w:val="-42"/>
              </w:rPr>
              <w:t xml:space="preserve"> </w:t>
            </w:r>
            <w:r>
              <w:rPr>
                <w:spacing w:val="6"/>
              </w:rPr>
              <w:t>的行政</w:t>
            </w:r>
            <w:r>
              <w:t xml:space="preserve"> </w:t>
            </w:r>
            <w:r>
              <w:rPr>
                <w:spacing w:val="-2"/>
              </w:rPr>
              <w:t>处罚</w:t>
            </w:r>
          </w:p>
        </w:tc>
        <w:tc>
          <w:tcPr>
            <w:tcW w:w="1104" w:type="dxa"/>
            <w:vAlign w:val="top"/>
          </w:tcPr>
          <w:p w14:paraId="4D293CB9">
            <w:pPr>
              <w:spacing w:line="312" w:lineRule="auto"/>
              <w:rPr>
                <w:rFonts w:ascii="Arial"/>
                <w:sz w:val="21"/>
              </w:rPr>
            </w:pPr>
          </w:p>
          <w:p w14:paraId="5538E269">
            <w:pPr>
              <w:spacing w:line="312" w:lineRule="auto"/>
              <w:rPr>
                <w:rFonts w:ascii="Arial"/>
                <w:sz w:val="21"/>
              </w:rPr>
            </w:pPr>
          </w:p>
          <w:p w14:paraId="655AA776">
            <w:pPr>
              <w:spacing w:line="313" w:lineRule="auto"/>
              <w:rPr>
                <w:rFonts w:ascii="Arial"/>
                <w:sz w:val="21"/>
              </w:rPr>
            </w:pPr>
          </w:p>
          <w:p w14:paraId="08888728">
            <w:pPr>
              <w:pStyle w:val="8"/>
              <w:spacing w:before="59" w:line="220" w:lineRule="auto"/>
              <w:ind w:left="10"/>
            </w:pPr>
            <w:r>
              <w:rPr>
                <w:spacing w:val="-2"/>
              </w:rPr>
              <w:t>行政处罚</w:t>
            </w:r>
          </w:p>
        </w:tc>
        <w:tc>
          <w:tcPr>
            <w:tcW w:w="8549" w:type="dxa"/>
            <w:vAlign w:val="top"/>
          </w:tcPr>
          <w:p w14:paraId="5C5ACE4E">
            <w:pPr>
              <w:pStyle w:val="8"/>
              <w:spacing w:before="138" w:line="219" w:lineRule="auto"/>
              <w:ind w:left="484"/>
            </w:pPr>
            <w:r>
              <w:rPr>
                <w:b/>
                <w:bCs/>
                <w:spacing w:val="-4"/>
              </w:rPr>
              <w:t>1.《建设工程质量管理条例》</w:t>
            </w:r>
          </w:p>
          <w:p w14:paraId="1E834F2B">
            <w:pPr>
              <w:pStyle w:val="8"/>
              <w:spacing w:before="33"/>
              <w:ind w:left="111" w:right="159" w:firstLine="360"/>
            </w:pPr>
            <w:r>
              <w:t>第十四条第一款  按照合同约定，由建设单位采购建筑材料、建筑构配件和设备</w:t>
            </w:r>
            <w:r>
              <w:rPr>
                <w:spacing w:val="-1"/>
              </w:rPr>
              <w:t>的，建设单位应当保</w:t>
            </w:r>
            <w:r>
              <w:t xml:space="preserve"> </w:t>
            </w:r>
            <w:r>
              <w:rPr>
                <w:spacing w:val="-1"/>
              </w:rPr>
              <w:t>证建筑材料、建筑构配件和设备符合设计文</w:t>
            </w:r>
            <w:r>
              <w:rPr>
                <w:spacing w:val="-2"/>
              </w:rPr>
              <w:t>件和合同要求。</w:t>
            </w:r>
          </w:p>
          <w:p w14:paraId="55123677">
            <w:pPr>
              <w:pStyle w:val="8"/>
              <w:spacing w:before="29"/>
              <w:ind w:left="110" w:right="44" w:firstLine="360"/>
            </w:pPr>
            <w:r>
              <w:rPr>
                <w:spacing w:val="-1"/>
              </w:rPr>
              <w:t>第三十七条第二款  未经监理工程师签字</w:t>
            </w:r>
            <w:r>
              <w:rPr>
                <w:spacing w:val="-2"/>
              </w:rPr>
              <w:t>，建筑材料、建筑构配件和设备不得在工程上使用或者安装，</w:t>
            </w:r>
            <w:r>
              <w:t xml:space="preserve"> </w:t>
            </w:r>
            <w:r>
              <w:rPr>
                <w:spacing w:val="-1"/>
              </w:rPr>
              <w:t>施工单位不得进行下一道工序的施工。未经总监</w:t>
            </w:r>
            <w:r>
              <w:rPr>
                <w:spacing w:val="-2"/>
              </w:rPr>
              <w:t>理工程师签字，建设单位不拨付工程款，不进行竣工验收。</w:t>
            </w:r>
          </w:p>
          <w:p w14:paraId="3FDC8027">
            <w:pPr>
              <w:pStyle w:val="8"/>
              <w:spacing w:before="24" w:line="246" w:lineRule="auto"/>
              <w:ind w:left="109" w:right="30" w:firstLine="361"/>
            </w:pPr>
            <w:r>
              <w:rPr>
                <w:spacing w:val="-2"/>
              </w:rPr>
              <w:t>第六十七条第（二）项  工程监理单位有下列行为之一的，责令改正，处</w:t>
            </w:r>
            <w:r>
              <w:rPr>
                <w:spacing w:val="-37"/>
              </w:rPr>
              <w:t xml:space="preserve"> </w:t>
            </w:r>
            <w:r>
              <w:rPr>
                <w:spacing w:val="-2"/>
              </w:rPr>
              <w:t>50</w:t>
            </w:r>
            <w:r>
              <w:rPr>
                <w:spacing w:val="-34"/>
              </w:rPr>
              <w:t xml:space="preserve"> </w:t>
            </w:r>
            <w:r>
              <w:rPr>
                <w:spacing w:val="-2"/>
              </w:rPr>
              <w:t>万元以上</w:t>
            </w:r>
            <w:r>
              <w:rPr>
                <w:spacing w:val="-24"/>
              </w:rPr>
              <w:t xml:space="preserve"> </w:t>
            </w:r>
            <w:r>
              <w:rPr>
                <w:spacing w:val="-2"/>
              </w:rPr>
              <w:t>100</w:t>
            </w:r>
            <w:r>
              <w:rPr>
                <w:spacing w:val="-34"/>
              </w:rPr>
              <w:t xml:space="preserve"> </w:t>
            </w:r>
            <w:r>
              <w:rPr>
                <w:spacing w:val="-2"/>
              </w:rPr>
              <w:t>万元以下的</w:t>
            </w:r>
            <w:r>
              <w:t xml:space="preserve">  </w:t>
            </w:r>
            <w:r>
              <w:rPr>
                <w:spacing w:val="-4"/>
              </w:rPr>
              <w:t>罚款，降低资质等级或者吊销资质证书；有</w:t>
            </w:r>
            <w:r>
              <w:rPr>
                <w:spacing w:val="-5"/>
              </w:rPr>
              <w:t>违法所得的，予以没收；造成损失的，承担连带赔偿责任</w:t>
            </w:r>
            <w:r>
              <w:rPr>
                <w:spacing w:val="-14"/>
              </w:rPr>
              <w:t>：（</w:t>
            </w:r>
            <w:r>
              <w:rPr>
                <w:spacing w:val="-5"/>
              </w:rPr>
              <w:t>二）</w:t>
            </w:r>
            <w:r>
              <w:rPr>
                <w:spacing w:val="1"/>
              </w:rPr>
              <w:t xml:space="preserve"> </w:t>
            </w:r>
            <w:r>
              <w:rPr>
                <w:spacing w:val="-1"/>
              </w:rPr>
              <w:t>将不合格的建设工程、建筑材料、建筑构配件和设备按照合格签字的。</w:t>
            </w:r>
          </w:p>
        </w:tc>
        <w:tc>
          <w:tcPr>
            <w:tcW w:w="1014" w:type="dxa"/>
            <w:vAlign w:val="top"/>
          </w:tcPr>
          <w:p w14:paraId="76B11107">
            <w:pPr>
              <w:spacing w:line="272" w:lineRule="auto"/>
              <w:rPr>
                <w:rFonts w:ascii="Arial"/>
                <w:sz w:val="21"/>
              </w:rPr>
            </w:pPr>
          </w:p>
          <w:p w14:paraId="203947D0">
            <w:pPr>
              <w:spacing w:line="273" w:lineRule="auto"/>
              <w:rPr>
                <w:rFonts w:ascii="Arial"/>
                <w:sz w:val="21"/>
              </w:rPr>
            </w:pPr>
          </w:p>
          <w:p w14:paraId="23D91206">
            <w:pPr>
              <w:spacing w:line="273" w:lineRule="auto"/>
              <w:rPr>
                <w:rFonts w:ascii="Arial"/>
                <w:sz w:val="21"/>
              </w:rPr>
            </w:pPr>
          </w:p>
          <w:p w14:paraId="63BAC8B2">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05CFB11B">
            <w:pPr>
              <w:spacing w:line="272" w:lineRule="auto"/>
              <w:rPr>
                <w:rFonts w:ascii="Arial"/>
                <w:sz w:val="21"/>
              </w:rPr>
            </w:pPr>
          </w:p>
          <w:p w14:paraId="3C260D4E">
            <w:pPr>
              <w:spacing w:line="273" w:lineRule="auto"/>
              <w:rPr>
                <w:rFonts w:ascii="Arial"/>
                <w:sz w:val="21"/>
              </w:rPr>
            </w:pPr>
          </w:p>
          <w:p w14:paraId="4B6F1092">
            <w:pPr>
              <w:spacing w:line="273" w:lineRule="auto"/>
              <w:rPr>
                <w:rFonts w:ascii="Arial"/>
                <w:sz w:val="21"/>
              </w:rPr>
            </w:pPr>
          </w:p>
          <w:p w14:paraId="0D85B04B">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128D4ADE">
            <w:pPr>
              <w:spacing w:line="290" w:lineRule="auto"/>
              <w:rPr>
                <w:rFonts w:ascii="Arial"/>
                <w:sz w:val="21"/>
              </w:rPr>
            </w:pPr>
          </w:p>
          <w:p w14:paraId="4C15A5CC">
            <w:pPr>
              <w:spacing w:line="291" w:lineRule="auto"/>
              <w:rPr>
                <w:rFonts w:ascii="Arial"/>
                <w:sz w:val="21"/>
              </w:rPr>
            </w:pPr>
          </w:p>
          <w:p w14:paraId="64338130">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7A706185">
      <w:pPr>
        <w:spacing w:line="211" w:lineRule="exact"/>
        <w:rPr>
          <w:sz w:val="18"/>
          <w:szCs w:val="18"/>
        </w:rPr>
        <w:sectPr>
          <w:footerReference r:id="rId104" w:type="default"/>
          <w:pgSz w:w="16839" w:h="11906"/>
          <w:pgMar w:top="1012" w:right="991" w:bottom="967" w:left="1021" w:header="0" w:footer="768" w:gutter="0"/>
          <w:cols w:space="720" w:num="1"/>
        </w:sectPr>
      </w:pPr>
    </w:p>
    <w:p w14:paraId="76758B18">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637F7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5D6DA6F1">
            <w:pPr>
              <w:pStyle w:val="8"/>
              <w:spacing w:before="267" w:line="221" w:lineRule="auto"/>
              <w:ind w:left="134"/>
            </w:pPr>
            <w:r>
              <w:rPr>
                <w:b/>
                <w:bCs/>
                <w:spacing w:val="-4"/>
              </w:rPr>
              <w:t>序号</w:t>
            </w:r>
          </w:p>
        </w:tc>
        <w:tc>
          <w:tcPr>
            <w:tcW w:w="1104" w:type="dxa"/>
            <w:vMerge w:val="restart"/>
            <w:tcBorders>
              <w:bottom w:val="nil"/>
            </w:tcBorders>
            <w:vAlign w:val="top"/>
          </w:tcPr>
          <w:p w14:paraId="02FDD158">
            <w:pPr>
              <w:pStyle w:val="8"/>
              <w:spacing w:before="260" w:line="220" w:lineRule="auto"/>
              <w:ind w:left="192"/>
            </w:pPr>
            <w:r>
              <w:rPr>
                <w:b/>
                <w:bCs/>
                <w:spacing w:val="-4"/>
              </w:rPr>
              <w:t>事项名称</w:t>
            </w:r>
          </w:p>
        </w:tc>
        <w:tc>
          <w:tcPr>
            <w:tcW w:w="1104" w:type="dxa"/>
            <w:vMerge w:val="restart"/>
            <w:tcBorders>
              <w:bottom w:val="nil"/>
            </w:tcBorders>
            <w:vAlign w:val="top"/>
          </w:tcPr>
          <w:p w14:paraId="70B68E48">
            <w:pPr>
              <w:pStyle w:val="8"/>
              <w:spacing w:before="260" w:line="219" w:lineRule="auto"/>
              <w:ind w:left="193"/>
            </w:pPr>
            <w:r>
              <w:rPr>
                <w:b/>
                <w:bCs/>
                <w:spacing w:val="-4"/>
              </w:rPr>
              <w:t>职权类型</w:t>
            </w:r>
          </w:p>
        </w:tc>
        <w:tc>
          <w:tcPr>
            <w:tcW w:w="8549" w:type="dxa"/>
            <w:vMerge w:val="restart"/>
            <w:tcBorders>
              <w:bottom w:val="nil"/>
            </w:tcBorders>
            <w:vAlign w:val="top"/>
          </w:tcPr>
          <w:p w14:paraId="637E36DD">
            <w:pPr>
              <w:pStyle w:val="8"/>
              <w:spacing w:before="259" w:line="219" w:lineRule="auto"/>
              <w:ind w:left="3921"/>
            </w:pPr>
            <w:r>
              <w:rPr>
                <w:b/>
                <w:bCs/>
                <w:spacing w:val="-5"/>
              </w:rPr>
              <w:t>实施依据</w:t>
            </w:r>
          </w:p>
        </w:tc>
        <w:tc>
          <w:tcPr>
            <w:tcW w:w="3439" w:type="dxa"/>
            <w:gridSpan w:val="3"/>
            <w:vAlign w:val="top"/>
          </w:tcPr>
          <w:p w14:paraId="581DD2A9">
            <w:pPr>
              <w:pStyle w:val="8"/>
              <w:spacing w:before="85" w:line="220" w:lineRule="auto"/>
              <w:ind w:left="1365"/>
            </w:pPr>
            <w:r>
              <w:rPr>
                <w:b/>
                <w:bCs/>
                <w:spacing w:val="-5"/>
              </w:rPr>
              <w:t>实施主体</w:t>
            </w:r>
          </w:p>
        </w:tc>
      </w:tr>
      <w:tr w14:paraId="1194A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27705C7">
            <w:pPr>
              <w:rPr>
                <w:rFonts w:ascii="Arial"/>
                <w:sz w:val="21"/>
              </w:rPr>
            </w:pPr>
          </w:p>
        </w:tc>
        <w:tc>
          <w:tcPr>
            <w:tcW w:w="1104" w:type="dxa"/>
            <w:vMerge w:val="continue"/>
            <w:tcBorders>
              <w:top w:val="nil"/>
            </w:tcBorders>
            <w:vAlign w:val="top"/>
          </w:tcPr>
          <w:p w14:paraId="0DA1CBCC">
            <w:pPr>
              <w:rPr>
                <w:rFonts w:ascii="Arial"/>
                <w:sz w:val="21"/>
              </w:rPr>
            </w:pPr>
          </w:p>
        </w:tc>
        <w:tc>
          <w:tcPr>
            <w:tcW w:w="1104" w:type="dxa"/>
            <w:vMerge w:val="continue"/>
            <w:tcBorders>
              <w:top w:val="nil"/>
            </w:tcBorders>
            <w:vAlign w:val="top"/>
          </w:tcPr>
          <w:p w14:paraId="7B0D4727">
            <w:pPr>
              <w:rPr>
                <w:rFonts w:ascii="Arial"/>
                <w:sz w:val="21"/>
              </w:rPr>
            </w:pPr>
          </w:p>
        </w:tc>
        <w:tc>
          <w:tcPr>
            <w:tcW w:w="8549" w:type="dxa"/>
            <w:vMerge w:val="continue"/>
            <w:tcBorders>
              <w:top w:val="nil"/>
            </w:tcBorders>
            <w:vAlign w:val="top"/>
          </w:tcPr>
          <w:p w14:paraId="0085D155">
            <w:pPr>
              <w:rPr>
                <w:rFonts w:ascii="Arial"/>
                <w:sz w:val="21"/>
              </w:rPr>
            </w:pPr>
          </w:p>
        </w:tc>
        <w:tc>
          <w:tcPr>
            <w:tcW w:w="1014" w:type="dxa"/>
            <w:vAlign w:val="top"/>
          </w:tcPr>
          <w:p w14:paraId="7D68F7A8">
            <w:pPr>
              <w:pStyle w:val="8"/>
              <w:spacing w:before="81" w:line="219" w:lineRule="auto"/>
              <w:ind w:left="158"/>
            </w:pPr>
            <w:r>
              <w:rPr>
                <w:b/>
                <w:bCs/>
                <w:spacing w:val="-5"/>
              </w:rPr>
              <w:t>责任部门</w:t>
            </w:r>
          </w:p>
        </w:tc>
        <w:tc>
          <w:tcPr>
            <w:tcW w:w="1407" w:type="dxa"/>
            <w:vAlign w:val="top"/>
          </w:tcPr>
          <w:p w14:paraId="408F1F6C">
            <w:pPr>
              <w:pStyle w:val="8"/>
              <w:spacing w:before="81" w:line="219" w:lineRule="auto"/>
              <w:ind w:left="167"/>
            </w:pPr>
            <w:r>
              <w:rPr>
                <w:b/>
                <w:bCs/>
                <w:spacing w:val="-3"/>
              </w:rPr>
              <w:t>第一责任层级</w:t>
            </w:r>
          </w:p>
        </w:tc>
        <w:tc>
          <w:tcPr>
            <w:tcW w:w="1018" w:type="dxa"/>
            <w:vAlign w:val="top"/>
          </w:tcPr>
          <w:p w14:paraId="2D53BE03">
            <w:pPr>
              <w:pStyle w:val="8"/>
              <w:spacing w:before="81" w:line="219" w:lineRule="auto"/>
              <w:ind w:left="152"/>
            </w:pPr>
            <w:r>
              <w:rPr>
                <w:b/>
                <w:bCs/>
                <w:spacing w:val="-4"/>
              </w:rPr>
              <w:t>承办机构</w:t>
            </w:r>
          </w:p>
        </w:tc>
      </w:tr>
      <w:tr w14:paraId="1E31D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4" w:hRule="atLeast"/>
        </w:trPr>
        <w:tc>
          <w:tcPr>
            <w:tcW w:w="624" w:type="dxa"/>
            <w:vAlign w:val="top"/>
          </w:tcPr>
          <w:p w14:paraId="34B79D75">
            <w:pPr>
              <w:rPr>
                <w:rFonts w:ascii="Arial"/>
                <w:sz w:val="21"/>
              </w:rPr>
            </w:pPr>
          </w:p>
        </w:tc>
        <w:tc>
          <w:tcPr>
            <w:tcW w:w="1104" w:type="dxa"/>
            <w:vAlign w:val="top"/>
          </w:tcPr>
          <w:p w14:paraId="03A6EB6E">
            <w:pPr>
              <w:rPr>
                <w:rFonts w:ascii="Arial"/>
                <w:sz w:val="21"/>
              </w:rPr>
            </w:pPr>
          </w:p>
        </w:tc>
        <w:tc>
          <w:tcPr>
            <w:tcW w:w="1104" w:type="dxa"/>
            <w:vAlign w:val="top"/>
          </w:tcPr>
          <w:p w14:paraId="5B252885">
            <w:pPr>
              <w:rPr>
                <w:rFonts w:ascii="Arial"/>
                <w:sz w:val="21"/>
              </w:rPr>
            </w:pPr>
          </w:p>
        </w:tc>
        <w:tc>
          <w:tcPr>
            <w:tcW w:w="8549" w:type="dxa"/>
            <w:vAlign w:val="top"/>
          </w:tcPr>
          <w:p w14:paraId="6E1C0C29">
            <w:pPr>
              <w:pStyle w:val="8"/>
              <w:spacing w:before="45" w:line="219" w:lineRule="auto"/>
              <w:ind w:left="473"/>
            </w:pPr>
            <w:r>
              <w:rPr>
                <w:b/>
                <w:bCs/>
                <w:spacing w:val="-3"/>
              </w:rPr>
              <w:t>2.《公路建设监督管理办法》（交通运输部</w:t>
            </w:r>
            <w:r>
              <w:rPr>
                <w:b/>
                <w:bCs/>
                <w:spacing w:val="-4"/>
              </w:rPr>
              <w:t>令</w:t>
            </w:r>
            <w:r>
              <w:rPr>
                <w:spacing w:val="-35"/>
              </w:rPr>
              <w:t xml:space="preserve"> </w:t>
            </w:r>
            <w:r>
              <w:rPr>
                <w:b/>
                <w:bCs/>
                <w:spacing w:val="-4"/>
              </w:rPr>
              <w:t>2021</w:t>
            </w:r>
            <w:r>
              <w:rPr>
                <w:spacing w:val="-38"/>
              </w:rPr>
              <w:t xml:space="preserve"> </w:t>
            </w:r>
            <w:r>
              <w:rPr>
                <w:b/>
                <w:bCs/>
                <w:spacing w:val="-4"/>
              </w:rPr>
              <w:t>年第</w:t>
            </w:r>
            <w:r>
              <w:rPr>
                <w:spacing w:val="-22"/>
              </w:rPr>
              <w:t xml:space="preserve"> </w:t>
            </w:r>
            <w:r>
              <w:rPr>
                <w:b/>
                <w:bCs/>
                <w:spacing w:val="-4"/>
              </w:rPr>
              <w:t>11</w:t>
            </w:r>
            <w:r>
              <w:rPr>
                <w:spacing w:val="-34"/>
              </w:rPr>
              <w:t xml:space="preserve"> </w:t>
            </w:r>
            <w:r>
              <w:rPr>
                <w:b/>
                <w:bCs/>
                <w:spacing w:val="-4"/>
              </w:rPr>
              <w:t>号）</w:t>
            </w:r>
          </w:p>
          <w:p w14:paraId="2070DDD4">
            <w:pPr>
              <w:pStyle w:val="8"/>
              <w:spacing w:before="33" w:line="246" w:lineRule="auto"/>
              <w:ind w:left="111" w:right="159" w:firstLine="360"/>
              <w:jc w:val="both"/>
            </w:pPr>
            <w:r>
              <w:t>第二十三条  公路建设项目实施过程中，监理单位应当依照法律、法规、规章以</w:t>
            </w:r>
            <w:r>
              <w:rPr>
                <w:spacing w:val="-1"/>
              </w:rPr>
              <w:t>及有关技术标准、设</w:t>
            </w:r>
            <w:r>
              <w:t xml:space="preserve"> 计文件、合同文件和监理规范的要求，采用旁站、巡视和平行检验形式对工程实施监</w:t>
            </w:r>
            <w:r>
              <w:rPr>
                <w:spacing w:val="-1"/>
              </w:rPr>
              <w:t>理，对不符合工程质</w:t>
            </w:r>
            <w:r>
              <w:t xml:space="preserve"> </w:t>
            </w:r>
            <w:r>
              <w:rPr>
                <w:spacing w:val="-2"/>
              </w:rPr>
              <w:t>量与安全要求的工程应当责令施工单位返工。</w:t>
            </w:r>
          </w:p>
          <w:p w14:paraId="6B744BF7">
            <w:pPr>
              <w:pStyle w:val="8"/>
              <w:spacing w:before="25" w:line="241" w:lineRule="auto"/>
              <w:ind w:left="113" w:right="159" w:firstLine="360"/>
            </w:pPr>
            <w:r>
              <w:t>未经监理工程师签认，施工单位不得将建筑材料、构件和设备在工程上使用</w:t>
            </w:r>
            <w:r>
              <w:rPr>
                <w:spacing w:val="-1"/>
              </w:rPr>
              <w:t>或安装，不得进行下一道</w:t>
            </w:r>
            <w:r>
              <w:t xml:space="preserve"> </w:t>
            </w:r>
            <w:r>
              <w:rPr>
                <w:spacing w:val="-6"/>
              </w:rPr>
              <w:t>工序施工。</w:t>
            </w:r>
          </w:p>
          <w:p w14:paraId="7A398344">
            <w:pPr>
              <w:pStyle w:val="8"/>
              <w:spacing w:before="27" w:line="244" w:lineRule="auto"/>
              <w:ind w:left="113" w:right="104" w:firstLine="357"/>
            </w:pPr>
            <w:r>
              <w:t>第四十四条  违反本办法第二十三条规定，监理单位将不合格的工程、建筑材料</w:t>
            </w:r>
            <w:r>
              <w:rPr>
                <w:spacing w:val="-1"/>
              </w:rPr>
              <w:t>、构件和设备按合格</w:t>
            </w:r>
            <w:r>
              <w:t xml:space="preserve"> </w:t>
            </w:r>
            <w:r>
              <w:rPr>
                <w:spacing w:val="-2"/>
              </w:rPr>
              <w:t>予以签认的，责令改正，可给予警告处罚，情节严重的，处</w:t>
            </w:r>
            <w:r>
              <w:rPr>
                <w:spacing w:val="-34"/>
              </w:rPr>
              <w:t xml:space="preserve"> </w:t>
            </w:r>
            <w:r>
              <w:rPr>
                <w:spacing w:val="-2"/>
              </w:rPr>
              <w:t>50</w:t>
            </w:r>
            <w:r>
              <w:rPr>
                <w:spacing w:val="-34"/>
              </w:rPr>
              <w:t xml:space="preserve"> </w:t>
            </w:r>
            <w:r>
              <w:rPr>
                <w:spacing w:val="-2"/>
              </w:rPr>
              <w:t>万元以上</w:t>
            </w:r>
            <w:r>
              <w:rPr>
                <w:spacing w:val="-27"/>
              </w:rPr>
              <w:t xml:space="preserve"> </w:t>
            </w:r>
            <w:r>
              <w:rPr>
                <w:spacing w:val="-2"/>
              </w:rPr>
              <w:t>100</w:t>
            </w:r>
            <w:r>
              <w:rPr>
                <w:spacing w:val="-31"/>
              </w:rPr>
              <w:t xml:space="preserve"> </w:t>
            </w:r>
            <w:r>
              <w:rPr>
                <w:spacing w:val="-2"/>
              </w:rPr>
              <w:t>万元以下的罚款；施工</w:t>
            </w:r>
            <w:r>
              <w:rPr>
                <w:spacing w:val="-3"/>
              </w:rPr>
              <w:t>单位在</w:t>
            </w:r>
            <w:r>
              <w:t xml:space="preserve"> </w:t>
            </w:r>
            <w:r>
              <w:rPr>
                <w:spacing w:val="-1"/>
              </w:rPr>
              <w:t>工程上使用或安装未经监理签认的建筑材料、构件和设备的，责令改正，可给予警告处罚，情节</w:t>
            </w:r>
            <w:r>
              <w:rPr>
                <w:spacing w:val="-2"/>
              </w:rPr>
              <w:t>严重的，</w:t>
            </w:r>
          </w:p>
          <w:p w14:paraId="53B5EB11">
            <w:pPr>
              <w:pStyle w:val="8"/>
              <w:spacing w:before="29" w:line="218" w:lineRule="auto"/>
              <w:ind w:left="114"/>
            </w:pPr>
            <w:r>
              <w:rPr>
                <w:spacing w:val="-3"/>
              </w:rPr>
              <w:t>处工程合同价款</w:t>
            </w:r>
            <w:r>
              <w:rPr>
                <w:spacing w:val="-32"/>
              </w:rPr>
              <w:t xml:space="preserve"> </w:t>
            </w:r>
            <w:r>
              <w:rPr>
                <w:spacing w:val="-3"/>
              </w:rPr>
              <w:t>2%以上</w:t>
            </w:r>
            <w:r>
              <w:rPr>
                <w:spacing w:val="-40"/>
              </w:rPr>
              <w:t xml:space="preserve"> </w:t>
            </w:r>
            <w:r>
              <w:rPr>
                <w:spacing w:val="-3"/>
              </w:rPr>
              <w:t>4%以下的罚款。</w:t>
            </w:r>
          </w:p>
          <w:p w14:paraId="258B1D0D">
            <w:pPr>
              <w:pStyle w:val="8"/>
              <w:spacing w:before="34" w:line="219" w:lineRule="auto"/>
              <w:ind w:left="474"/>
            </w:pPr>
            <w:r>
              <w:rPr>
                <w:b/>
                <w:bCs/>
                <w:spacing w:val="-3"/>
              </w:rPr>
              <w:t>3.《公路水运工程质量监督管理规定》（交通运输部令</w:t>
            </w:r>
            <w:r>
              <w:rPr>
                <w:spacing w:val="-27"/>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4"/>
              </w:rPr>
              <w:t xml:space="preserve"> </w:t>
            </w:r>
            <w:r>
              <w:rPr>
                <w:b/>
                <w:bCs/>
                <w:spacing w:val="-3"/>
              </w:rPr>
              <w:t>号）</w:t>
            </w:r>
          </w:p>
          <w:p w14:paraId="402D1A1C">
            <w:pPr>
              <w:pStyle w:val="8"/>
              <w:spacing w:before="35" w:line="242" w:lineRule="auto"/>
              <w:ind w:left="109" w:right="159" w:firstLine="361"/>
            </w:pPr>
            <w:r>
              <w:t>第十七条  监理单位对施工质量负监理责任，应当按合同约定设立现场监理机构</w:t>
            </w:r>
            <w:r>
              <w:rPr>
                <w:spacing w:val="-1"/>
              </w:rPr>
              <w:t>，按规定程序和标准</w:t>
            </w:r>
            <w:r>
              <w:t xml:space="preserve"> </w:t>
            </w:r>
            <w:r>
              <w:rPr>
                <w:spacing w:val="-1"/>
              </w:rPr>
              <w:t>进行工程质量检查、检测和验收，对发现的质量问题及时督促整改，不得降低工程质量标准。</w:t>
            </w:r>
          </w:p>
          <w:p w14:paraId="56F0D251">
            <w:pPr>
              <w:pStyle w:val="8"/>
              <w:spacing w:before="23"/>
              <w:ind w:left="110" w:right="159" w:firstLine="366"/>
            </w:pPr>
            <w:r>
              <w:t>公路水运工程交工验收前，监理单位应当根据有关标准和规范要求对</w:t>
            </w:r>
            <w:r>
              <w:rPr>
                <w:spacing w:val="-1"/>
              </w:rPr>
              <w:t>工程质量进行检查验证，编制工</w:t>
            </w:r>
            <w:r>
              <w:t xml:space="preserve"> </w:t>
            </w:r>
            <w:r>
              <w:rPr>
                <w:spacing w:val="-2"/>
              </w:rPr>
              <w:t>程质量评定或者评估报告，并提交建设单位。</w:t>
            </w:r>
          </w:p>
          <w:p w14:paraId="2D0BF9C4">
            <w:pPr>
              <w:pStyle w:val="8"/>
              <w:spacing w:before="30" w:line="244" w:lineRule="auto"/>
              <w:ind w:left="113" w:right="159" w:firstLine="357"/>
              <w:jc w:val="both"/>
            </w:pPr>
            <w:r>
              <w:t>第二十五条第一款  公路水运工程交工验收前，建设单位应当组织对工程质量是</w:t>
            </w:r>
            <w:r>
              <w:rPr>
                <w:spacing w:val="-1"/>
              </w:rPr>
              <w:t>否合格进行检测，出</w:t>
            </w:r>
            <w:r>
              <w:t xml:space="preserve"> 具交工验收质量检测报告，连同设计单位出具的工程设计符合性评价意见、监理</w:t>
            </w:r>
            <w:r>
              <w:rPr>
                <w:spacing w:val="-1"/>
              </w:rPr>
              <w:t>单位提交的工程质量评定</w:t>
            </w:r>
            <w:r>
              <w:t xml:space="preserve"> </w:t>
            </w:r>
            <w:r>
              <w:rPr>
                <w:spacing w:val="-1"/>
              </w:rPr>
              <w:t>或者评估报告一并提交交通运输主管部门委托的建设工程质量监</w:t>
            </w:r>
            <w:r>
              <w:rPr>
                <w:spacing w:val="-2"/>
              </w:rPr>
              <w:t>督机构。</w:t>
            </w:r>
          </w:p>
          <w:p w14:paraId="74825F28">
            <w:pPr>
              <w:pStyle w:val="8"/>
              <w:spacing w:before="30" w:line="249" w:lineRule="auto"/>
              <w:ind w:left="111" w:right="58" w:firstLine="359"/>
              <w:jc w:val="both"/>
            </w:pPr>
            <w:r>
              <w:t>第四十三条  违反本规定第十七条规定，监理单位在监理工作中弄虚作假、降低</w:t>
            </w:r>
            <w:r>
              <w:rPr>
                <w:spacing w:val="-1"/>
              </w:rPr>
              <w:t>工程质量的，或者将</w:t>
            </w:r>
            <w:r>
              <w:t xml:space="preserve">  不合格的建设工程、建筑材料、建筑构配件和设备按照合格签字的，依照《建设工程</w:t>
            </w:r>
            <w:r>
              <w:rPr>
                <w:spacing w:val="-1"/>
              </w:rPr>
              <w:t>质量管理条例》第六</w:t>
            </w:r>
            <w:r>
              <w:t xml:space="preserve">  十七条规定，责令改正，按以下标准处以罚款，降低资质等级或者吊销资质证书；有</w:t>
            </w:r>
            <w:r>
              <w:rPr>
                <w:spacing w:val="-1"/>
              </w:rPr>
              <w:t>违法所得的，予以没</w:t>
            </w:r>
            <w:r>
              <w:t xml:space="preserve">  </w:t>
            </w:r>
            <w:r>
              <w:rPr>
                <w:spacing w:val="-1"/>
              </w:rPr>
              <w:t>收</w:t>
            </w:r>
            <w:r>
              <w:rPr>
                <w:spacing w:val="-19"/>
              </w:rPr>
              <w:t>：（</w:t>
            </w:r>
            <w:r>
              <w:rPr>
                <w:spacing w:val="-1"/>
              </w:rPr>
              <w:t>一）未造成工程质量事故的，处</w:t>
            </w:r>
            <w:r>
              <w:rPr>
                <w:spacing w:val="-32"/>
              </w:rPr>
              <w:t xml:space="preserve"> </w:t>
            </w:r>
            <w:r>
              <w:rPr>
                <w:spacing w:val="-1"/>
              </w:rPr>
              <w:t>50</w:t>
            </w:r>
            <w:r>
              <w:rPr>
                <w:spacing w:val="-34"/>
              </w:rPr>
              <w:t xml:space="preserve"> </w:t>
            </w:r>
            <w:r>
              <w:rPr>
                <w:spacing w:val="-1"/>
              </w:rPr>
              <w:t>万元以上</w:t>
            </w:r>
            <w:r>
              <w:rPr>
                <w:spacing w:val="-36"/>
              </w:rPr>
              <w:t xml:space="preserve"> </w:t>
            </w:r>
            <w:r>
              <w:rPr>
                <w:spacing w:val="-1"/>
              </w:rPr>
              <w:t>60</w:t>
            </w:r>
            <w:r>
              <w:rPr>
                <w:spacing w:val="-37"/>
              </w:rPr>
              <w:t xml:space="preserve"> </w:t>
            </w:r>
            <w:r>
              <w:rPr>
                <w:spacing w:val="-1"/>
              </w:rPr>
              <w:t>万元以下的罚款</w:t>
            </w:r>
            <w:r>
              <w:rPr>
                <w:spacing w:val="-19"/>
              </w:rPr>
              <w:t>；（</w:t>
            </w:r>
            <w:r>
              <w:rPr>
                <w:spacing w:val="-1"/>
              </w:rPr>
              <w:t>二）造成工</w:t>
            </w:r>
            <w:r>
              <w:rPr>
                <w:spacing w:val="-2"/>
              </w:rPr>
              <w:t>程质量一般事故的，</w:t>
            </w:r>
            <w:r>
              <w:t xml:space="preserve"> </w:t>
            </w:r>
            <w:r>
              <w:rPr>
                <w:spacing w:val="-3"/>
              </w:rPr>
              <w:t>处</w:t>
            </w:r>
            <w:r>
              <w:rPr>
                <w:spacing w:val="-36"/>
              </w:rPr>
              <w:t xml:space="preserve"> </w:t>
            </w:r>
            <w:r>
              <w:rPr>
                <w:spacing w:val="-3"/>
              </w:rPr>
              <w:t>60</w:t>
            </w:r>
            <w:r>
              <w:rPr>
                <w:spacing w:val="-37"/>
              </w:rPr>
              <w:t xml:space="preserve"> </w:t>
            </w:r>
            <w:r>
              <w:rPr>
                <w:spacing w:val="-3"/>
              </w:rPr>
              <w:t>万元以上</w:t>
            </w:r>
            <w:r>
              <w:rPr>
                <w:spacing w:val="-33"/>
              </w:rPr>
              <w:t xml:space="preserve"> </w:t>
            </w:r>
            <w:r>
              <w:rPr>
                <w:spacing w:val="-3"/>
              </w:rPr>
              <w:t>70</w:t>
            </w:r>
            <w:r>
              <w:rPr>
                <w:spacing w:val="-34"/>
              </w:rPr>
              <w:t xml:space="preserve"> </w:t>
            </w:r>
            <w:r>
              <w:rPr>
                <w:spacing w:val="-3"/>
              </w:rPr>
              <w:t>万元以下的罚款</w:t>
            </w:r>
            <w:r>
              <w:rPr>
                <w:spacing w:val="-4"/>
              </w:rPr>
              <w:t>；（</w:t>
            </w:r>
            <w:r>
              <w:rPr>
                <w:spacing w:val="-3"/>
              </w:rPr>
              <w:t>三）造成工程质量较大事故的</w:t>
            </w:r>
            <w:r>
              <w:rPr>
                <w:spacing w:val="-4"/>
              </w:rPr>
              <w:t>，处</w:t>
            </w:r>
            <w:r>
              <w:rPr>
                <w:spacing w:val="-36"/>
              </w:rPr>
              <w:t xml:space="preserve"> </w:t>
            </w:r>
            <w:r>
              <w:rPr>
                <w:spacing w:val="-4"/>
              </w:rPr>
              <w:t>70</w:t>
            </w:r>
            <w:r>
              <w:rPr>
                <w:spacing w:val="-34"/>
              </w:rPr>
              <w:t xml:space="preserve"> </w:t>
            </w:r>
            <w:r>
              <w:rPr>
                <w:spacing w:val="-4"/>
              </w:rPr>
              <w:t>万元以上</w:t>
            </w:r>
            <w:r>
              <w:rPr>
                <w:spacing w:val="-37"/>
              </w:rPr>
              <w:t xml:space="preserve"> </w:t>
            </w:r>
            <w:r>
              <w:rPr>
                <w:spacing w:val="-4"/>
              </w:rPr>
              <w:t>80</w:t>
            </w:r>
            <w:r>
              <w:rPr>
                <w:spacing w:val="-34"/>
              </w:rPr>
              <w:t xml:space="preserve"> </w:t>
            </w:r>
            <w:r>
              <w:rPr>
                <w:spacing w:val="-4"/>
              </w:rPr>
              <w:t>万元以下的罚款；</w:t>
            </w:r>
          </w:p>
          <w:p w14:paraId="63AAEC75">
            <w:pPr>
              <w:pStyle w:val="8"/>
              <w:spacing w:before="24" w:line="201" w:lineRule="auto"/>
              <w:ind w:left="121"/>
            </w:pPr>
            <w:r>
              <w:rPr>
                <w:spacing w:val="-3"/>
              </w:rPr>
              <w:t>（四）造成工程质量重大及以上等级事故的，处</w:t>
            </w:r>
            <w:r>
              <w:rPr>
                <w:spacing w:val="-16"/>
              </w:rPr>
              <w:t xml:space="preserve"> </w:t>
            </w:r>
            <w:r>
              <w:rPr>
                <w:spacing w:val="-3"/>
              </w:rPr>
              <w:t>80</w:t>
            </w:r>
            <w:r>
              <w:rPr>
                <w:spacing w:val="-37"/>
              </w:rPr>
              <w:t xml:space="preserve"> </w:t>
            </w:r>
            <w:r>
              <w:rPr>
                <w:spacing w:val="-3"/>
              </w:rPr>
              <w:t>万元以上</w:t>
            </w:r>
            <w:r>
              <w:rPr>
                <w:spacing w:val="-24"/>
              </w:rPr>
              <w:t xml:space="preserve"> </w:t>
            </w:r>
            <w:r>
              <w:rPr>
                <w:spacing w:val="-3"/>
              </w:rPr>
              <w:t>100</w:t>
            </w:r>
            <w:r>
              <w:rPr>
                <w:spacing w:val="-34"/>
              </w:rPr>
              <w:t xml:space="preserve"> </w:t>
            </w:r>
            <w:r>
              <w:rPr>
                <w:spacing w:val="-3"/>
              </w:rPr>
              <w:t>万元以下的罚款。</w:t>
            </w:r>
          </w:p>
        </w:tc>
        <w:tc>
          <w:tcPr>
            <w:tcW w:w="1014" w:type="dxa"/>
            <w:vAlign w:val="top"/>
          </w:tcPr>
          <w:p w14:paraId="7BA8A2F9">
            <w:pPr>
              <w:rPr>
                <w:rFonts w:ascii="Arial"/>
                <w:sz w:val="21"/>
              </w:rPr>
            </w:pPr>
          </w:p>
        </w:tc>
        <w:tc>
          <w:tcPr>
            <w:tcW w:w="1407" w:type="dxa"/>
            <w:vAlign w:val="top"/>
          </w:tcPr>
          <w:p w14:paraId="361784AD">
            <w:pPr>
              <w:rPr>
                <w:rFonts w:ascii="Arial"/>
                <w:sz w:val="21"/>
              </w:rPr>
            </w:pPr>
          </w:p>
        </w:tc>
        <w:tc>
          <w:tcPr>
            <w:tcW w:w="1018" w:type="dxa"/>
            <w:vAlign w:val="top"/>
          </w:tcPr>
          <w:p w14:paraId="56338B0F">
            <w:pPr>
              <w:rPr>
                <w:rFonts w:ascii="Arial"/>
                <w:sz w:val="21"/>
              </w:rPr>
            </w:pPr>
          </w:p>
        </w:tc>
      </w:tr>
      <w:tr w14:paraId="5BC20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1" w:hRule="atLeast"/>
        </w:trPr>
        <w:tc>
          <w:tcPr>
            <w:tcW w:w="624" w:type="dxa"/>
            <w:vAlign w:val="top"/>
          </w:tcPr>
          <w:p w14:paraId="41542F7E">
            <w:pPr>
              <w:spacing w:line="264" w:lineRule="auto"/>
              <w:rPr>
                <w:rFonts w:ascii="Arial"/>
                <w:sz w:val="21"/>
              </w:rPr>
            </w:pPr>
          </w:p>
          <w:p w14:paraId="628303D5">
            <w:pPr>
              <w:spacing w:line="264" w:lineRule="auto"/>
              <w:rPr>
                <w:rFonts w:ascii="Arial"/>
                <w:sz w:val="21"/>
              </w:rPr>
            </w:pPr>
          </w:p>
          <w:p w14:paraId="28050A3E">
            <w:pPr>
              <w:spacing w:line="264" w:lineRule="auto"/>
              <w:rPr>
                <w:rFonts w:ascii="Arial"/>
                <w:sz w:val="21"/>
              </w:rPr>
            </w:pPr>
          </w:p>
          <w:p w14:paraId="6CF77A1E">
            <w:pPr>
              <w:spacing w:line="264" w:lineRule="auto"/>
              <w:rPr>
                <w:rFonts w:ascii="Arial"/>
                <w:sz w:val="21"/>
              </w:rPr>
            </w:pPr>
          </w:p>
          <w:p w14:paraId="21F53EB3">
            <w:pPr>
              <w:spacing w:line="264" w:lineRule="auto"/>
              <w:rPr>
                <w:rFonts w:ascii="Arial"/>
                <w:sz w:val="21"/>
              </w:rPr>
            </w:pPr>
          </w:p>
          <w:p w14:paraId="7AE28A81">
            <w:pPr>
              <w:pStyle w:val="8"/>
              <w:spacing w:before="59" w:line="183" w:lineRule="auto"/>
              <w:ind w:left="234"/>
            </w:pPr>
            <w:r>
              <w:rPr>
                <w:spacing w:val="-6"/>
              </w:rPr>
              <w:t>56</w:t>
            </w:r>
          </w:p>
        </w:tc>
        <w:tc>
          <w:tcPr>
            <w:tcW w:w="1104" w:type="dxa"/>
            <w:vAlign w:val="top"/>
          </w:tcPr>
          <w:p w14:paraId="16B52C78">
            <w:pPr>
              <w:spacing w:line="456" w:lineRule="auto"/>
              <w:rPr>
                <w:rFonts w:ascii="Arial"/>
                <w:sz w:val="21"/>
              </w:rPr>
            </w:pPr>
          </w:p>
          <w:p w14:paraId="329A7E5D">
            <w:pPr>
              <w:pStyle w:val="8"/>
              <w:spacing w:before="59" w:line="243" w:lineRule="auto"/>
              <w:ind w:left="60" w:right="56"/>
              <w:jc w:val="both"/>
            </w:pPr>
            <w:r>
              <w:rPr>
                <w:spacing w:val="16"/>
              </w:rPr>
              <w:t>对交通运输</w:t>
            </w:r>
            <w:r>
              <w:rPr>
                <w:spacing w:val="1"/>
              </w:rPr>
              <w:t xml:space="preserve"> </w:t>
            </w:r>
            <w:r>
              <w:rPr>
                <w:spacing w:val="16"/>
              </w:rPr>
              <w:t>建设工程领</w:t>
            </w:r>
            <w:r>
              <w:t xml:space="preserve"> </w:t>
            </w:r>
            <w:r>
              <w:rPr>
                <w:spacing w:val="16"/>
              </w:rPr>
              <w:t>域监理单位</w:t>
            </w:r>
            <w:r>
              <w:t xml:space="preserve"> </w:t>
            </w:r>
            <w:r>
              <w:rPr>
                <w:spacing w:val="16"/>
              </w:rPr>
              <w:t>违规承担有</w:t>
            </w:r>
            <w:r>
              <w:t xml:space="preserve"> </w:t>
            </w:r>
            <w:r>
              <w:rPr>
                <w:spacing w:val="16"/>
              </w:rPr>
              <w:t>利害关系建</w:t>
            </w:r>
            <w:r>
              <w:t xml:space="preserve"> </w:t>
            </w:r>
            <w:r>
              <w:rPr>
                <w:spacing w:val="16"/>
              </w:rPr>
              <w:t>设工程的监</w:t>
            </w:r>
            <w:r>
              <w:t xml:space="preserve"> </w:t>
            </w:r>
            <w:r>
              <w:rPr>
                <w:spacing w:val="16"/>
              </w:rPr>
              <w:t>理业务行为</w:t>
            </w:r>
            <w:r>
              <w:t xml:space="preserve"> </w:t>
            </w:r>
            <w:r>
              <w:rPr>
                <w:spacing w:val="-2"/>
              </w:rPr>
              <w:t>的行政处罚</w:t>
            </w:r>
          </w:p>
        </w:tc>
        <w:tc>
          <w:tcPr>
            <w:tcW w:w="1104" w:type="dxa"/>
            <w:vAlign w:val="top"/>
          </w:tcPr>
          <w:p w14:paraId="31C7B976">
            <w:pPr>
              <w:spacing w:line="258" w:lineRule="auto"/>
              <w:rPr>
                <w:rFonts w:ascii="Arial"/>
                <w:sz w:val="21"/>
              </w:rPr>
            </w:pPr>
          </w:p>
          <w:p w14:paraId="708565C7">
            <w:pPr>
              <w:spacing w:line="258" w:lineRule="auto"/>
              <w:rPr>
                <w:rFonts w:ascii="Arial"/>
                <w:sz w:val="21"/>
              </w:rPr>
            </w:pPr>
          </w:p>
          <w:p w14:paraId="5F5D277F">
            <w:pPr>
              <w:spacing w:line="258" w:lineRule="auto"/>
              <w:rPr>
                <w:rFonts w:ascii="Arial"/>
                <w:sz w:val="21"/>
              </w:rPr>
            </w:pPr>
          </w:p>
          <w:p w14:paraId="04689732">
            <w:pPr>
              <w:spacing w:line="259" w:lineRule="auto"/>
              <w:rPr>
                <w:rFonts w:ascii="Arial"/>
                <w:sz w:val="21"/>
              </w:rPr>
            </w:pPr>
          </w:p>
          <w:p w14:paraId="0DAC9711">
            <w:pPr>
              <w:spacing w:line="259" w:lineRule="auto"/>
              <w:rPr>
                <w:rFonts w:ascii="Arial"/>
                <w:sz w:val="21"/>
              </w:rPr>
            </w:pPr>
          </w:p>
          <w:p w14:paraId="68270D73">
            <w:pPr>
              <w:pStyle w:val="8"/>
              <w:spacing w:before="58" w:line="220" w:lineRule="auto"/>
              <w:ind w:left="10"/>
            </w:pPr>
            <w:r>
              <w:rPr>
                <w:spacing w:val="-2"/>
              </w:rPr>
              <w:t>行政处罚</w:t>
            </w:r>
          </w:p>
        </w:tc>
        <w:tc>
          <w:tcPr>
            <w:tcW w:w="8549" w:type="dxa"/>
            <w:vAlign w:val="top"/>
          </w:tcPr>
          <w:p w14:paraId="0C5F8DF8">
            <w:pPr>
              <w:spacing w:line="338" w:lineRule="auto"/>
              <w:rPr>
                <w:rFonts w:ascii="Arial"/>
                <w:sz w:val="21"/>
              </w:rPr>
            </w:pPr>
          </w:p>
          <w:p w14:paraId="0167B96F">
            <w:pPr>
              <w:pStyle w:val="8"/>
              <w:spacing w:before="59" w:line="219" w:lineRule="auto"/>
              <w:ind w:left="476"/>
            </w:pPr>
            <w:r>
              <w:rPr>
                <w:b/>
                <w:bCs/>
                <w:spacing w:val="-4"/>
              </w:rPr>
              <w:t>《建设工程质量管理条例》</w:t>
            </w:r>
          </w:p>
          <w:p w14:paraId="7BD0D7A2">
            <w:pPr>
              <w:pStyle w:val="8"/>
              <w:spacing w:before="24" w:line="238" w:lineRule="auto"/>
              <w:ind w:left="113" w:right="159" w:firstLine="357"/>
              <w:jc w:val="both"/>
            </w:pPr>
            <w:r>
              <w:t>第十二条第一款  实行监理的建设工程，建设单位应当委托具有相应资质等级的</w:t>
            </w:r>
            <w:r>
              <w:rPr>
                <w:spacing w:val="-1"/>
              </w:rPr>
              <w:t>工程监理单位进行监</w:t>
            </w:r>
            <w:r>
              <w:t xml:space="preserve"> 理，也可以委托具有工程监理相应资质等级并与被监理工程的施工承包单位没有</w:t>
            </w:r>
            <w:r>
              <w:rPr>
                <w:spacing w:val="-1"/>
              </w:rPr>
              <w:t>隶属关系或者其他利害关</w:t>
            </w:r>
            <w:r>
              <w:t xml:space="preserve"> </w:t>
            </w:r>
            <w:r>
              <w:rPr>
                <w:spacing w:val="-3"/>
              </w:rPr>
              <w:t>系的该工程的设计单位进行监理。</w:t>
            </w:r>
          </w:p>
          <w:p w14:paraId="29654DAE">
            <w:pPr>
              <w:pStyle w:val="8"/>
              <w:spacing w:before="24" w:line="233" w:lineRule="auto"/>
              <w:ind w:left="111" w:right="159" w:firstLine="359"/>
            </w:pPr>
            <w:r>
              <w:t>第三十五条  工程监理单位与被监理工程的施工承包单位以及建筑材料、建筑构</w:t>
            </w:r>
            <w:r>
              <w:rPr>
                <w:spacing w:val="-1"/>
              </w:rPr>
              <w:t>配件和设备供应单位</w:t>
            </w:r>
            <w:r>
              <w:t xml:space="preserve"> </w:t>
            </w:r>
            <w:r>
              <w:rPr>
                <w:spacing w:val="-1"/>
              </w:rPr>
              <w:t>有隶属关系或者其他利害关系的，不得承担该项建设工程的监理</w:t>
            </w:r>
            <w:r>
              <w:rPr>
                <w:spacing w:val="-2"/>
              </w:rPr>
              <w:t>业务。</w:t>
            </w:r>
          </w:p>
          <w:p w14:paraId="35F0A0A2">
            <w:pPr>
              <w:pStyle w:val="8"/>
              <w:spacing w:before="26" w:line="237" w:lineRule="auto"/>
              <w:ind w:left="110" w:right="159" w:firstLine="360"/>
            </w:pPr>
            <w:r>
              <w:t>第六十八条  违反本条例规定，工程监理单位与被监理工程的施工承包单位以及</w:t>
            </w:r>
            <w:r>
              <w:rPr>
                <w:spacing w:val="-1"/>
              </w:rPr>
              <w:t>建筑材料、建筑构配</w:t>
            </w:r>
            <w:r>
              <w:t xml:space="preserve"> </w:t>
            </w:r>
            <w:r>
              <w:rPr>
                <w:spacing w:val="-1"/>
              </w:rPr>
              <w:t>件和设备供应单位有隶属关系或者其他利害关系承担该项建设工程的监理业务的，责令改正，处</w:t>
            </w:r>
            <w:r>
              <w:rPr>
                <w:spacing w:val="-18"/>
              </w:rPr>
              <w:t xml:space="preserve"> </w:t>
            </w:r>
            <w:r>
              <w:rPr>
                <w:spacing w:val="-1"/>
              </w:rPr>
              <w:t>5</w:t>
            </w:r>
            <w:r>
              <w:rPr>
                <w:spacing w:val="-34"/>
              </w:rPr>
              <w:t xml:space="preserve"> </w:t>
            </w:r>
            <w:r>
              <w:rPr>
                <w:spacing w:val="-1"/>
              </w:rPr>
              <w:t>万元以</w:t>
            </w:r>
            <w:r>
              <w:t xml:space="preserve"> </w:t>
            </w:r>
            <w:r>
              <w:rPr>
                <w:spacing w:val="-2"/>
              </w:rPr>
              <w:t>上</w:t>
            </w:r>
            <w:r>
              <w:rPr>
                <w:spacing w:val="-11"/>
              </w:rPr>
              <w:t xml:space="preserve"> </w:t>
            </w:r>
            <w:r>
              <w:rPr>
                <w:spacing w:val="-2"/>
              </w:rPr>
              <w:t>10</w:t>
            </w:r>
            <w:r>
              <w:rPr>
                <w:spacing w:val="-37"/>
              </w:rPr>
              <w:t xml:space="preserve"> </w:t>
            </w:r>
            <w:r>
              <w:rPr>
                <w:spacing w:val="-2"/>
              </w:rPr>
              <w:t>万元以下的罚款，降低资质等级或者吊销资质证书；有违法所得的，予以没收。</w:t>
            </w:r>
          </w:p>
        </w:tc>
        <w:tc>
          <w:tcPr>
            <w:tcW w:w="1014" w:type="dxa"/>
            <w:vAlign w:val="top"/>
          </w:tcPr>
          <w:p w14:paraId="2633A74D">
            <w:pPr>
              <w:spacing w:line="293" w:lineRule="auto"/>
              <w:rPr>
                <w:rFonts w:ascii="Arial"/>
                <w:sz w:val="21"/>
              </w:rPr>
            </w:pPr>
          </w:p>
          <w:p w14:paraId="3EDED4BD">
            <w:pPr>
              <w:spacing w:line="293" w:lineRule="auto"/>
              <w:rPr>
                <w:rFonts w:ascii="Arial"/>
                <w:sz w:val="21"/>
              </w:rPr>
            </w:pPr>
          </w:p>
          <w:p w14:paraId="52F5D95D">
            <w:pPr>
              <w:spacing w:line="293" w:lineRule="auto"/>
              <w:rPr>
                <w:rFonts w:ascii="Arial"/>
                <w:sz w:val="21"/>
              </w:rPr>
            </w:pPr>
          </w:p>
          <w:p w14:paraId="33923B87">
            <w:pPr>
              <w:spacing w:line="293" w:lineRule="auto"/>
              <w:rPr>
                <w:rFonts w:ascii="Arial"/>
                <w:sz w:val="21"/>
              </w:rPr>
            </w:pPr>
          </w:p>
          <w:p w14:paraId="0502FF37">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0B830619">
            <w:pPr>
              <w:spacing w:line="293" w:lineRule="auto"/>
              <w:rPr>
                <w:rFonts w:ascii="Arial"/>
                <w:sz w:val="21"/>
              </w:rPr>
            </w:pPr>
          </w:p>
          <w:p w14:paraId="32911778">
            <w:pPr>
              <w:spacing w:line="293" w:lineRule="auto"/>
              <w:rPr>
                <w:rFonts w:ascii="Arial"/>
                <w:sz w:val="21"/>
              </w:rPr>
            </w:pPr>
          </w:p>
          <w:p w14:paraId="7689EA04">
            <w:pPr>
              <w:spacing w:line="293" w:lineRule="auto"/>
              <w:rPr>
                <w:rFonts w:ascii="Arial"/>
                <w:sz w:val="21"/>
              </w:rPr>
            </w:pPr>
          </w:p>
          <w:p w14:paraId="1C899B61">
            <w:pPr>
              <w:spacing w:line="293" w:lineRule="auto"/>
              <w:rPr>
                <w:rFonts w:ascii="Arial"/>
                <w:sz w:val="21"/>
              </w:rPr>
            </w:pPr>
          </w:p>
          <w:p w14:paraId="0B5A5188">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0A7B10B">
            <w:pPr>
              <w:spacing w:line="311" w:lineRule="auto"/>
              <w:rPr>
                <w:rFonts w:ascii="Arial"/>
                <w:sz w:val="21"/>
              </w:rPr>
            </w:pPr>
          </w:p>
          <w:p w14:paraId="6B155DE7">
            <w:pPr>
              <w:spacing w:line="312" w:lineRule="auto"/>
              <w:rPr>
                <w:rFonts w:ascii="Arial"/>
                <w:sz w:val="21"/>
              </w:rPr>
            </w:pPr>
          </w:p>
          <w:p w14:paraId="62AC64EA">
            <w:pPr>
              <w:spacing w:line="312" w:lineRule="auto"/>
              <w:rPr>
                <w:rFonts w:ascii="Arial"/>
                <w:sz w:val="21"/>
              </w:rPr>
            </w:pPr>
          </w:p>
          <w:p w14:paraId="25F7AE1F">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5C5AF75A">
      <w:pPr>
        <w:pStyle w:val="2"/>
        <w:spacing w:line="240" w:lineRule="exact"/>
        <w:rPr>
          <w:sz w:val="20"/>
        </w:rPr>
      </w:pPr>
    </w:p>
    <w:p w14:paraId="60DBE983">
      <w:pPr>
        <w:spacing w:line="240" w:lineRule="exact"/>
        <w:rPr>
          <w:sz w:val="20"/>
          <w:szCs w:val="20"/>
        </w:rPr>
        <w:sectPr>
          <w:footerReference r:id="rId105" w:type="default"/>
          <w:pgSz w:w="16839" w:h="11906"/>
          <w:pgMar w:top="1012" w:right="991" w:bottom="967" w:left="1021" w:header="0" w:footer="768" w:gutter="0"/>
          <w:cols w:space="720" w:num="1"/>
        </w:sectPr>
      </w:pPr>
    </w:p>
    <w:p w14:paraId="5AB87F04">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755B2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4B46C5EC">
            <w:pPr>
              <w:pStyle w:val="8"/>
              <w:spacing w:before="267" w:line="221" w:lineRule="auto"/>
              <w:ind w:left="134"/>
            </w:pPr>
            <w:r>
              <w:rPr>
                <w:b/>
                <w:bCs/>
                <w:spacing w:val="-4"/>
              </w:rPr>
              <w:t>序号</w:t>
            </w:r>
          </w:p>
        </w:tc>
        <w:tc>
          <w:tcPr>
            <w:tcW w:w="1104" w:type="dxa"/>
            <w:vMerge w:val="restart"/>
            <w:tcBorders>
              <w:bottom w:val="nil"/>
            </w:tcBorders>
            <w:vAlign w:val="top"/>
          </w:tcPr>
          <w:p w14:paraId="68893F2E">
            <w:pPr>
              <w:pStyle w:val="8"/>
              <w:spacing w:before="260" w:line="220" w:lineRule="auto"/>
              <w:ind w:left="192"/>
            </w:pPr>
            <w:r>
              <w:rPr>
                <w:b/>
                <w:bCs/>
                <w:spacing w:val="-4"/>
              </w:rPr>
              <w:t>事项名称</w:t>
            </w:r>
          </w:p>
        </w:tc>
        <w:tc>
          <w:tcPr>
            <w:tcW w:w="1104" w:type="dxa"/>
            <w:vMerge w:val="restart"/>
            <w:tcBorders>
              <w:bottom w:val="nil"/>
            </w:tcBorders>
            <w:vAlign w:val="top"/>
          </w:tcPr>
          <w:p w14:paraId="3104C464">
            <w:pPr>
              <w:pStyle w:val="8"/>
              <w:spacing w:before="260" w:line="219" w:lineRule="auto"/>
              <w:ind w:left="193"/>
            </w:pPr>
            <w:r>
              <w:rPr>
                <w:b/>
                <w:bCs/>
                <w:spacing w:val="-4"/>
              </w:rPr>
              <w:t>职权类型</w:t>
            </w:r>
          </w:p>
        </w:tc>
        <w:tc>
          <w:tcPr>
            <w:tcW w:w="8549" w:type="dxa"/>
            <w:vMerge w:val="restart"/>
            <w:tcBorders>
              <w:bottom w:val="nil"/>
            </w:tcBorders>
            <w:vAlign w:val="top"/>
          </w:tcPr>
          <w:p w14:paraId="2CBE9D1A">
            <w:pPr>
              <w:pStyle w:val="8"/>
              <w:spacing w:before="259" w:line="219" w:lineRule="auto"/>
              <w:ind w:left="3921"/>
            </w:pPr>
            <w:r>
              <w:rPr>
                <w:b/>
                <w:bCs/>
                <w:spacing w:val="-5"/>
              </w:rPr>
              <w:t>实施依据</w:t>
            </w:r>
          </w:p>
        </w:tc>
        <w:tc>
          <w:tcPr>
            <w:tcW w:w="3439" w:type="dxa"/>
            <w:gridSpan w:val="3"/>
            <w:vAlign w:val="top"/>
          </w:tcPr>
          <w:p w14:paraId="4B8927B9">
            <w:pPr>
              <w:pStyle w:val="8"/>
              <w:spacing w:before="85" w:line="220" w:lineRule="auto"/>
              <w:ind w:left="1365"/>
            </w:pPr>
            <w:r>
              <w:rPr>
                <w:b/>
                <w:bCs/>
                <w:spacing w:val="-5"/>
              </w:rPr>
              <w:t>实施主体</w:t>
            </w:r>
          </w:p>
        </w:tc>
      </w:tr>
      <w:tr w14:paraId="3E41C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B956278">
            <w:pPr>
              <w:rPr>
                <w:rFonts w:ascii="Arial"/>
                <w:sz w:val="21"/>
              </w:rPr>
            </w:pPr>
          </w:p>
        </w:tc>
        <w:tc>
          <w:tcPr>
            <w:tcW w:w="1104" w:type="dxa"/>
            <w:vMerge w:val="continue"/>
            <w:tcBorders>
              <w:top w:val="nil"/>
            </w:tcBorders>
            <w:vAlign w:val="top"/>
          </w:tcPr>
          <w:p w14:paraId="47E20AD9">
            <w:pPr>
              <w:rPr>
                <w:rFonts w:ascii="Arial"/>
                <w:sz w:val="21"/>
              </w:rPr>
            </w:pPr>
          </w:p>
        </w:tc>
        <w:tc>
          <w:tcPr>
            <w:tcW w:w="1104" w:type="dxa"/>
            <w:vMerge w:val="continue"/>
            <w:tcBorders>
              <w:top w:val="nil"/>
            </w:tcBorders>
            <w:vAlign w:val="top"/>
          </w:tcPr>
          <w:p w14:paraId="36FAB4E4">
            <w:pPr>
              <w:rPr>
                <w:rFonts w:ascii="Arial"/>
                <w:sz w:val="21"/>
              </w:rPr>
            </w:pPr>
          </w:p>
        </w:tc>
        <w:tc>
          <w:tcPr>
            <w:tcW w:w="8549" w:type="dxa"/>
            <w:vMerge w:val="continue"/>
            <w:tcBorders>
              <w:top w:val="nil"/>
            </w:tcBorders>
            <w:vAlign w:val="top"/>
          </w:tcPr>
          <w:p w14:paraId="5C50731D">
            <w:pPr>
              <w:rPr>
                <w:rFonts w:ascii="Arial"/>
                <w:sz w:val="21"/>
              </w:rPr>
            </w:pPr>
          </w:p>
        </w:tc>
        <w:tc>
          <w:tcPr>
            <w:tcW w:w="1014" w:type="dxa"/>
            <w:vAlign w:val="top"/>
          </w:tcPr>
          <w:p w14:paraId="57EACDC3">
            <w:pPr>
              <w:pStyle w:val="8"/>
              <w:spacing w:before="81" w:line="219" w:lineRule="auto"/>
              <w:ind w:left="158"/>
            </w:pPr>
            <w:r>
              <w:rPr>
                <w:b/>
                <w:bCs/>
                <w:spacing w:val="-5"/>
              </w:rPr>
              <w:t>责任部门</w:t>
            </w:r>
          </w:p>
        </w:tc>
        <w:tc>
          <w:tcPr>
            <w:tcW w:w="1407" w:type="dxa"/>
            <w:vAlign w:val="top"/>
          </w:tcPr>
          <w:p w14:paraId="0C6F26F0">
            <w:pPr>
              <w:pStyle w:val="8"/>
              <w:spacing w:before="81" w:line="219" w:lineRule="auto"/>
              <w:ind w:left="167"/>
            </w:pPr>
            <w:r>
              <w:rPr>
                <w:b/>
                <w:bCs/>
                <w:spacing w:val="-3"/>
              </w:rPr>
              <w:t>第一责任层级</w:t>
            </w:r>
          </w:p>
        </w:tc>
        <w:tc>
          <w:tcPr>
            <w:tcW w:w="1018" w:type="dxa"/>
            <w:vAlign w:val="top"/>
          </w:tcPr>
          <w:p w14:paraId="572F5574">
            <w:pPr>
              <w:pStyle w:val="8"/>
              <w:spacing w:before="81" w:line="219" w:lineRule="auto"/>
              <w:ind w:left="152"/>
            </w:pPr>
            <w:r>
              <w:rPr>
                <w:b/>
                <w:bCs/>
                <w:spacing w:val="-4"/>
              </w:rPr>
              <w:t>承办机构</w:t>
            </w:r>
          </w:p>
        </w:tc>
      </w:tr>
      <w:tr w14:paraId="788E1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624" w:type="dxa"/>
            <w:vAlign w:val="top"/>
          </w:tcPr>
          <w:p w14:paraId="208FD3A8">
            <w:pPr>
              <w:spacing w:line="279" w:lineRule="auto"/>
              <w:rPr>
                <w:rFonts w:ascii="Arial"/>
                <w:sz w:val="21"/>
              </w:rPr>
            </w:pPr>
          </w:p>
          <w:p w14:paraId="54DE0347">
            <w:pPr>
              <w:spacing w:line="280" w:lineRule="auto"/>
              <w:rPr>
                <w:rFonts w:ascii="Arial"/>
                <w:sz w:val="21"/>
              </w:rPr>
            </w:pPr>
          </w:p>
          <w:p w14:paraId="16CBBEE2">
            <w:pPr>
              <w:spacing w:line="280" w:lineRule="auto"/>
              <w:rPr>
                <w:rFonts w:ascii="Arial"/>
                <w:sz w:val="21"/>
              </w:rPr>
            </w:pPr>
          </w:p>
          <w:p w14:paraId="6778DE18">
            <w:pPr>
              <w:spacing w:line="280" w:lineRule="auto"/>
              <w:rPr>
                <w:rFonts w:ascii="Arial"/>
                <w:sz w:val="21"/>
              </w:rPr>
            </w:pPr>
          </w:p>
          <w:p w14:paraId="2AEC7394">
            <w:pPr>
              <w:spacing w:line="280" w:lineRule="auto"/>
              <w:rPr>
                <w:rFonts w:ascii="Arial"/>
                <w:sz w:val="21"/>
              </w:rPr>
            </w:pPr>
          </w:p>
          <w:p w14:paraId="57A6C6D4">
            <w:pPr>
              <w:spacing w:line="280" w:lineRule="auto"/>
              <w:rPr>
                <w:rFonts w:ascii="Arial"/>
                <w:sz w:val="21"/>
              </w:rPr>
            </w:pPr>
          </w:p>
          <w:p w14:paraId="23274F03">
            <w:pPr>
              <w:pStyle w:val="8"/>
              <w:spacing w:before="58" w:line="182" w:lineRule="auto"/>
              <w:ind w:left="234"/>
            </w:pPr>
            <w:r>
              <w:rPr>
                <w:spacing w:val="-6"/>
              </w:rPr>
              <w:t>57</w:t>
            </w:r>
          </w:p>
        </w:tc>
        <w:tc>
          <w:tcPr>
            <w:tcW w:w="1104" w:type="dxa"/>
            <w:vAlign w:val="top"/>
          </w:tcPr>
          <w:p w14:paraId="7CB09B1A">
            <w:pPr>
              <w:spacing w:line="347" w:lineRule="auto"/>
              <w:rPr>
                <w:rFonts w:ascii="Arial"/>
                <w:sz w:val="21"/>
              </w:rPr>
            </w:pPr>
          </w:p>
          <w:p w14:paraId="30AB929F">
            <w:pPr>
              <w:spacing w:line="348" w:lineRule="auto"/>
              <w:rPr>
                <w:rFonts w:ascii="Arial"/>
                <w:sz w:val="21"/>
              </w:rPr>
            </w:pPr>
          </w:p>
          <w:p w14:paraId="4C374B44">
            <w:pPr>
              <w:pStyle w:val="8"/>
              <w:spacing w:before="59" w:line="243" w:lineRule="auto"/>
              <w:ind w:left="60" w:right="56"/>
              <w:jc w:val="both"/>
            </w:pPr>
            <w:r>
              <w:rPr>
                <w:spacing w:val="16"/>
              </w:rPr>
              <w:t>对公路建设</w:t>
            </w:r>
            <w:r>
              <w:rPr>
                <w:spacing w:val="1"/>
              </w:rPr>
              <w:t xml:space="preserve"> </w:t>
            </w:r>
            <w:r>
              <w:rPr>
                <w:spacing w:val="16"/>
              </w:rPr>
              <w:t>工程发生工</w:t>
            </w:r>
            <w:r>
              <w:rPr>
                <w:spacing w:val="1"/>
              </w:rPr>
              <w:t xml:space="preserve"> </w:t>
            </w:r>
            <w:r>
              <w:rPr>
                <w:spacing w:val="16"/>
              </w:rPr>
              <w:t>程质量事故</w:t>
            </w:r>
            <w:r>
              <w:rPr>
                <w:spacing w:val="1"/>
              </w:rPr>
              <w:t xml:space="preserve"> </w:t>
            </w:r>
            <w:r>
              <w:rPr>
                <w:spacing w:val="16"/>
              </w:rPr>
              <w:t>未按有关规</w:t>
            </w:r>
            <w:r>
              <w:rPr>
                <w:spacing w:val="1"/>
              </w:rPr>
              <w:t xml:space="preserve"> </w:t>
            </w:r>
            <w:r>
              <w:rPr>
                <w:spacing w:val="8"/>
              </w:rPr>
              <w:t>定和</w:t>
            </w:r>
            <w:r>
              <w:rPr>
                <w:spacing w:val="-49"/>
              </w:rPr>
              <w:t xml:space="preserve"> </w:t>
            </w:r>
            <w:r>
              <w:rPr>
                <w:spacing w:val="8"/>
              </w:rPr>
              <w:t>时间向</w:t>
            </w:r>
            <w:r>
              <w:t xml:space="preserve"> </w:t>
            </w:r>
            <w:r>
              <w:rPr>
                <w:spacing w:val="16"/>
              </w:rPr>
              <w:t>有关部门报</w:t>
            </w:r>
            <w:r>
              <w:rPr>
                <w:spacing w:val="1"/>
              </w:rPr>
              <w:t xml:space="preserve"> </w:t>
            </w:r>
            <w:r>
              <w:rPr>
                <w:spacing w:val="16"/>
              </w:rPr>
              <w:t>告行为的行</w:t>
            </w:r>
            <w:r>
              <w:rPr>
                <w:spacing w:val="1"/>
              </w:rPr>
              <w:t xml:space="preserve"> </w:t>
            </w:r>
            <w:r>
              <w:rPr>
                <w:spacing w:val="-2"/>
              </w:rPr>
              <w:t>政处罚</w:t>
            </w:r>
          </w:p>
        </w:tc>
        <w:tc>
          <w:tcPr>
            <w:tcW w:w="1104" w:type="dxa"/>
            <w:vAlign w:val="top"/>
          </w:tcPr>
          <w:p w14:paraId="5D7AC583">
            <w:pPr>
              <w:spacing w:line="274" w:lineRule="auto"/>
              <w:rPr>
                <w:rFonts w:ascii="Arial"/>
                <w:sz w:val="21"/>
              </w:rPr>
            </w:pPr>
          </w:p>
          <w:p w14:paraId="75354288">
            <w:pPr>
              <w:spacing w:line="275" w:lineRule="auto"/>
              <w:rPr>
                <w:rFonts w:ascii="Arial"/>
                <w:sz w:val="21"/>
              </w:rPr>
            </w:pPr>
          </w:p>
          <w:p w14:paraId="2B4070E6">
            <w:pPr>
              <w:spacing w:line="275" w:lineRule="auto"/>
              <w:rPr>
                <w:rFonts w:ascii="Arial"/>
                <w:sz w:val="21"/>
              </w:rPr>
            </w:pPr>
          </w:p>
          <w:p w14:paraId="4609DC42">
            <w:pPr>
              <w:spacing w:line="275" w:lineRule="auto"/>
              <w:rPr>
                <w:rFonts w:ascii="Arial"/>
                <w:sz w:val="21"/>
              </w:rPr>
            </w:pPr>
          </w:p>
          <w:p w14:paraId="0323BCB5">
            <w:pPr>
              <w:spacing w:line="275" w:lineRule="auto"/>
              <w:rPr>
                <w:rFonts w:ascii="Arial"/>
                <w:sz w:val="21"/>
              </w:rPr>
            </w:pPr>
          </w:p>
          <w:p w14:paraId="15AAF68E">
            <w:pPr>
              <w:spacing w:line="275" w:lineRule="auto"/>
              <w:rPr>
                <w:rFonts w:ascii="Arial"/>
                <w:sz w:val="21"/>
              </w:rPr>
            </w:pPr>
          </w:p>
          <w:p w14:paraId="353BB850">
            <w:pPr>
              <w:pStyle w:val="8"/>
              <w:spacing w:before="59" w:line="220" w:lineRule="auto"/>
              <w:ind w:left="10"/>
            </w:pPr>
            <w:r>
              <w:rPr>
                <w:spacing w:val="-2"/>
              </w:rPr>
              <w:t>行政处罚</w:t>
            </w:r>
          </w:p>
        </w:tc>
        <w:tc>
          <w:tcPr>
            <w:tcW w:w="8549" w:type="dxa"/>
            <w:vAlign w:val="top"/>
          </w:tcPr>
          <w:p w14:paraId="20596392">
            <w:pPr>
              <w:pStyle w:val="8"/>
              <w:spacing w:before="38" w:line="219" w:lineRule="auto"/>
              <w:ind w:left="484"/>
            </w:pPr>
            <w:r>
              <w:rPr>
                <w:b/>
                <w:bCs/>
                <w:spacing w:val="-4"/>
              </w:rPr>
              <w:t>1.《建设工程质量管理条例》</w:t>
            </w:r>
          </w:p>
          <w:p w14:paraId="23EA9406">
            <w:pPr>
              <w:pStyle w:val="8"/>
              <w:spacing w:before="25" w:line="237" w:lineRule="auto"/>
              <w:ind w:left="113" w:right="104" w:firstLine="357"/>
            </w:pPr>
            <w:r>
              <w:rPr>
                <w:spacing w:val="-1"/>
              </w:rPr>
              <w:t>第五十二条  建设工程发生质量事故，有关单位应当在</w:t>
            </w:r>
            <w:r>
              <w:rPr>
                <w:spacing w:val="-38"/>
              </w:rPr>
              <w:t xml:space="preserve"> </w:t>
            </w:r>
            <w:r>
              <w:rPr>
                <w:spacing w:val="-1"/>
              </w:rPr>
              <w:t>24</w:t>
            </w:r>
            <w:r>
              <w:rPr>
                <w:spacing w:val="-33"/>
              </w:rPr>
              <w:t xml:space="preserve"> </w:t>
            </w:r>
            <w:r>
              <w:rPr>
                <w:spacing w:val="-1"/>
              </w:rPr>
              <w:t>小时内</w:t>
            </w:r>
            <w:r>
              <w:rPr>
                <w:spacing w:val="-2"/>
              </w:rPr>
              <w:t>向当地建设行政主管部门和其他有关</w:t>
            </w:r>
            <w:r>
              <w:t xml:space="preserve"> 部门报告。对重大质量事故，事故发生地的建设行政主管部门和其他有关部门应</w:t>
            </w:r>
            <w:r>
              <w:rPr>
                <w:spacing w:val="-1"/>
              </w:rPr>
              <w:t>当按照事故类别和等级向</w:t>
            </w:r>
            <w:r>
              <w:t xml:space="preserve"> </w:t>
            </w:r>
            <w:r>
              <w:rPr>
                <w:spacing w:val="-1"/>
              </w:rPr>
              <w:t>当地人民政府和上级建设行政主管部门和其</w:t>
            </w:r>
            <w:r>
              <w:rPr>
                <w:spacing w:val="-2"/>
              </w:rPr>
              <w:t>他有关部门报告。</w:t>
            </w:r>
          </w:p>
          <w:p w14:paraId="3D298044">
            <w:pPr>
              <w:pStyle w:val="8"/>
              <w:spacing w:before="27" w:line="219" w:lineRule="auto"/>
              <w:ind w:left="471"/>
            </w:pPr>
            <w:r>
              <w:rPr>
                <w:spacing w:val="-2"/>
              </w:rPr>
              <w:t>特别重大质量事故的调查程序按照国务院有关规定办理。</w:t>
            </w:r>
          </w:p>
          <w:p w14:paraId="0C8E1D85">
            <w:pPr>
              <w:pStyle w:val="8"/>
              <w:spacing w:before="25" w:line="233" w:lineRule="auto"/>
              <w:ind w:left="111" w:right="159" w:firstLine="360"/>
            </w:pPr>
            <w:r>
              <w:t>第七十条  发生重大工程质量事故隐瞒不报、谎报或者拖延报告期限的，对直接</w:t>
            </w:r>
            <w:r>
              <w:rPr>
                <w:spacing w:val="-1"/>
              </w:rPr>
              <w:t>负责的主管人员和其</w:t>
            </w:r>
            <w:r>
              <w:t xml:space="preserve"> </w:t>
            </w:r>
            <w:r>
              <w:rPr>
                <w:spacing w:val="-3"/>
              </w:rPr>
              <w:t>他责任人员依法给予行政处分。</w:t>
            </w:r>
          </w:p>
          <w:p w14:paraId="3F886FD6">
            <w:pPr>
              <w:pStyle w:val="8"/>
              <w:spacing w:before="26" w:line="219" w:lineRule="auto"/>
              <w:ind w:left="473"/>
            </w:pPr>
            <w:r>
              <w:rPr>
                <w:spacing w:val="-2"/>
              </w:rPr>
              <w:t>2.《公路建设监督管理办法》交通运输部令</w:t>
            </w:r>
            <w:r>
              <w:rPr>
                <w:spacing w:val="-23"/>
              </w:rPr>
              <w:t xml:space="preserve"> </w:t>
            </w:r>
            <w:r>
              <w:rPr>
                <w:spacing w:val="-2"/>
              </w:rPr>
              <w:t>2021</w:t>
            </w:r>
            <w:r>
              <w:rPr>
                <w:spacing w:val="-40"/>
              </w:rPr>
              <w:t xml:space="preserve"> </w:t>
            </w:r>
            <w:r>
              <w:rPr>
                <w:spacing w:val="-2"/>
              </w:rPr>
              <w:t>年第</w:t>
            </w:r>
            <w:r>
              <w:rPr>
                <w:spacing w:val="-24"/>
              </w:rPr>
              <w:t xml:space="preserve"> </w:t>
            </w:r>
            <w:r>
              <w:rPr>
                <w:spacing w:val="-2"/>
              </w:rPr>
              <w:t>11</w:t>
            </w:r>
            <w:r>
              <w:rPr>
                <w:spacing w:val="-34"/>
              </w:rPr>
              <w:t xml:space="preserve"> </w:t>
            </w:r>
            <w:r>
              <w:rPr>
                <w:spacing w:val="-2"/>
              </w:rPr>
              <w:t>号</w:t>
            </w:r>
          </w:p>
          <w:p w14:paraId="7E468E2A">
            <w:pPr>
              <w:pStyle w:val="8"/>
              <w:spacing w:before="27" w:line="232" w:lineRule="auto"/>
              <w:ind w:left="115" w:right="104" w:firstLine="355"/>
            </w:pPr>
            <w:r>
              <w:rPr>
                <w:spacing w:val="-1"/>
              </w:rPr>
              <w:t>第二十六条  公路建设项目发生工程质量事故，项目法人应在</w:t>
            </w:r>
            <w:r>
              <w:rPr>
                <w:spacing w:val="-38"/>
              </w:rPr>
              <w:t xml:space="preserve"> </w:t>
            </w:r>
            <w:r>
              <w:rPr>
                <w:spacing w:val="-1"/>
              </w:rPr>
              <w:t>24</w:t>
            </w:r>
            <w:r>
              <w:rPr>
                <w:spacing w:val="-33"/>
              </w:rPr>
              <w:t xml:space="preserve"> </w:t>
            </w:r>
            <w:r>
              <w:rPr>
                <w:spacing w:val="-2"/>
              </w:rPr>
              <w:t>小时内按项目管理隶属关系向交通主</w:t>
            </w:r>
            <w:r>
              <w:t xml:space="preserve"> </w:t>
            </w:r>
            <w:r>
              <w:rPr>
                <w:spacing w:val="-2"/>
              </w:rPr>
              <w:t>管部门报告，工程质量事故同时报公路工程质量监督机构。</w:t>
            </w:r>
          </w:p>
          <w:p w14:paraId="54183C8D">
            <w:pPr>
              <w:pStyle w:val="8"/>
              <w:spacing w:before="28" w:line="237" w:lineRule="auto"/>
              <w:ind w:left="112" w:right="159" w:firstLine="361"/>
            </w:pPr>
            <w:r>
              <w:t>省级人民政府交通主管部门或受委托的公路工程质量监督机构负责调查处理</w:t>
            </w:r>
            <w:r>
              <w:rPr>
                <w:spacing w:val="-1"/>
              </w:rPr>
              <w:t>一般工程质量事故；交通</w:t>
            </w:r>
            <w:r>
              <w:t xml:space="preserve"> 部会同省级人民政府交通主管部门负责调查处理重大工程质量事故；特别重大工程</w:t>
            </w:r>
            <w:r>
              <w:rPr>
                <w:spacing w:val="-1"/>
              </w:rPr>
              <w:t>质量事故和安全事故的</w:t>
            </w:r>
            <w:r>
              <w:t xml:space="preserve"> </w:t>
            </w:r>
            <w:r>
              <w:rPr>
                <w:spacing w:val="-3"/>
              </w:rPr>
              <w:t>调查处理按照国家有关规定办理。</w:t>
            </w:r>
          </w:p>
          <w:p w14:paraId="27E4C2EB">
            <w:pPr>
              <w:pStyle w:val="8"/>
              <w:spacing w:before="26" w:line="223" w:lineRule="auto"/>
              <w:ind w:left="125" w:right="159" w:firstLine="345"/>
            </w:pPr>
            <w:r>
              <w:t>第四十六条  违反本办法第二十六条规定，项目法人对工程质量事故隐瞒不报、</w:t>
            </w:r>
            <w:r>
              <w:rPr>
                <w:spacing w:val="-1"/>
              </w:rPr>
              <w:t>谎报或拖延报告期限</w:t>
            </w:r>
            <w:r>
              <w:t xml:space="preserve"> </w:t>
            </w:r>
            <w:r>
              <w:rPr>
                <w:spacing w:val="-2"/>
              </w:rPr>
              <w:t>的，给予警告处罚，对直接责任人依法给予行政处分。</w:t>
            </w:r>
          </w:p>
        </w:tc>
        <w:tc>
          <w:tcPr>
            <w:tcW w:w="1014" w:type="dxa"/>
            <w:vAlign w:val="top"/>
          </w:tcPr>
          <w:p w14:paraId="1703A765">
            <w:pPr>
              <w:spacing w:line="255" w:lineRule="auto"/>
              <w:rPr>
                <w:rFonts w:ascii="Arial"/>
                <w:sz w:val="21"/>
              </w:rPr>
            </w:pPr>
          </w:p>
          <w:p w14:paraId="77CBDCCF">
            <w:pPr>
              <w:spacing w:line="255" w:lineRule="auto"/>
              <w:rPr>
                <w:rFonts w:ascii="Arial"/>
                <w:sz w:val="21"/>
              </w:rPr>
            </w:pPr>
          </w:p>
          <w:p w14:paraId="0255BFFA">
            <w:pPr>
              <w:spacing w:line="255" w:lineRule="auto"/>
              <w:rPr>
                <w:rFonts w:ascii="Arial"/>
                <w:sz w:val="21"/>
              </w:rPr>
            </w:pPr>
          </w:p>
          <w:p w14:paraId="4DF45B20">
            <w:pPr>
              <w:spacing w:line="255" w:lineRule="auto"/>
              <w:rPr>
                <w:rFonts w:ascii="Arial"/>
                <w:sz w:val="21"/>
              </w:rPr>
            </w:pPr>
          </w:p>
          <w:p w14:paraId="33F9CC6C">
            <w:pPr>
              <w:spacing w:line="255" w:lineRule="auto"/>
              <w:rPr>
                <w:rFonts w:ascii="Arial"/>
                <w:sz w:val="21"/>
              </w:rPr>
            </w:pPr>
          </w:p>
          <w:p w14:paraId="61C30F0A">
            <w:pPr>
              <w:spacing w:line="255" w:lineRule="auto"/>
              <w:rPr>
                <w:rFonts w:ascii="Arial"/>
                <w:sz w:val="21"/>
              </w:rPr>
            </w:pPr>
          </w:p>
          <w:p w14:paraId="753A700B">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1D1ACA9">
            <w:pPr>
              <w:spacing w:line="255" w:lineRule="auto"/>
              <w:rPr>
                <w:rFonts w:ascii="Arial"/>
                <w:sz w:val="21"/>
              </w:rPr>
            </w:pPr>
          </w:p>
          <w:p w14:paraId="65021C17">
            <w:pPr>
              <w:spacing w:line="255" w:lineRule="auto"/>
              <w:rPr>
                <w:rFonts w:ascii="Arial"/>
                <w:sz w:val="21"/>
              </w:rPr>
            </w:pPr>
          </w:p>
          <w:p w14:paraId="77B24574">
            <w:pPr>
              <w:spacing w:line="255" w:lineRule="auto"/>
              <w:rPr>
                <w:rFonts w:ascii="Arial"/>
                <w:sz w:val="21"/>
              </w:rPr>
            </w:pPr>
          </w:p>
          <w:p w14:paraId="300E2208">
            <w:pPr>
              <w:spacing w:line="255" w:lineRule="auto"/>
              <w:rPr>
                <w:rFonts w:ascii="Arial"/>
                <w:sz w:val="21"/>
              </w:rPr>
            </w:pPr>
          </w:p>
          <w:p w14:paraId="2179AEEB">
            <w:pPr>
              <w:spacing w:line="255" w:lineRule="auto"/>
              <w:rPr>
                <w:rFonts w:ascii="Arial"/>
                <w:sz w:val="21"/>
              </w:rPr>
            </w:pPr>
          </w:p>
          <w:p w14:paraId="46643AC9">
            <w:pPr>
              <w:spacing w:line="255" w:lineRule="auto"/>
              <w:rPr>
                <w:rFonts w:ascii="Arial"/>
                <w:sz w:val="21"/>
              </w:rPr>
            </w:pPr>
          </w:p>
          <w:p w14:paraId="3624B6A6">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EBF99DD">
            <w:pPr>
              <w:spacing w:line="258" w:lineRule="auto"/>
              <w:rPr>
                <w:rFonts w:ascii="Arial"/>
                <w:sz w:val="21"/>
              </w:rPr>
            </w:pPr>
          </w:p>
          <w:p w14:paraId="40895368">
            <w:pPr>
              <w:spacing w:line="258" w:lineRule="auto"/>
              <w:rPr>
                <w:rFonts w:ascii="Arial"/>
                <w:sz w:val="21"/>
              </w:rPr>
            </w:pPr>
          </w:p>
          <w:p w14:paraId="3B878B14">
            <w:pPr>
              <w:spacing w:line="259" w:lineRule="auto"/>
              <w:rPr>
                <w:rFonts w:ascii="Arial"/>
                <w:sz w:val="21"/>
              </w:rPr>
            </w:pPr>
          </w:p>
          <w:p w14:paraId="1BF288CD">
            <w:pPr>
              <w:spacing w:line="259" w:lineRule="auto"/>
              <w:rPr>
                <w:rFonts w:ascii="Arial"/>
                <w:sz w:val="21"/>
              </w:rPr>
            </w:pPr>
          </w:p>
          <w:p w14:paraId="3EFEF4C7">
            <w:pPr>
              <w:spacing w:line="259" w:lineRule="auto"/>
              <w:rPr>
                <w:rFonts w:ascii="Arial"/>
                <w:sz w:val="21"/>
              </w:rPr>
            </w:pPr>
          </w:p>
          <w:p w14:paraId="72D9743E">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46DFD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624" w:type="dxa"/>
            <w:vAlign w:val="top"/>
          </w:tcPr>
          <w:p w14:paraId="2636877D">
            <w:pPr>
              <w:spacing w:line="337" w:lineRule="auto"/>
              <w:rPr>
                <w:rFonts w:ascii="Arial"/>
                <w:sz w:val="21"/>
              </w:rPr>
            </w:pPr>
          </w:p>
          <w:p w14:paraId="777EB9CE">
            <w:pPr>
              <w:spacing w:line="338" w:lineRule="auto"/>
              <w:rPr>
                <w:rFonts w:ascii="Arial"/>
                <w:sz w:val="21"/>
              </w:rPr>
            </w:pPr>
          </w:p>
          <w:p w14:paraId="610DDAAB">
            <w:pPr>
              <w:pStyle w:val="8"/>
              <w:spacing w:before="59" w:line="183" w:lineRule="auto"/>
              <w:ind w:left="234"/>
            </w:pPr>
            <w:r>
              <w:rPr>
                <w:spacing w:val="-6"/>
              </w:rPr>
              <w:t>58</w:t>
            </w:r>
          </w:p>
        </w:tc>
        <w:tc>
          <w:tcPr>
            <w:tcW w:w="1104" w:type="dxa"/>
            <w:vAlign w:val="top"/>
          </w:tcPr>
          <w:p w14:paraId="122A2FCE">
            <w:pPr>
              <w:pStyle w:val="8"/>
              <w:spacing w:before="112" w:line="242" w:lineRule="auto"/>
              <w:ind w:left="60" w:right="56"/>
              <w:jc w:val="both"/>
            </w:pPr>
            <w:r>
              <w:rPr>
                <w:spacing w:val="16"/>
              </w:rPr>
              <w:t>对交通运输</w:t>
            </w:r>
            <w:r>
              <w:rPr>
                <w:spacing w:val="1"/>
              </w:rPr>
              <w:t xml:space="preserve"> </w:t>
            </w:r>
            <w:r>
              <w:rPr>
                <w:spacing w:val="16"/>
              </w:rPr>
              <w:t>领域注册执</w:t>
            </w:r>
            <w:r>
              <w:rPr>
                <w:spacing w:val="1"/>
              </w:rPr>
              <w:t xml:space="preserve"> </w:t>
            </w:r>
            <w:r>
              <w:rPr>
                <w:spacing w:val="8"/>
              </w:rPr>
              <w:t>业人</w:t>
            </w:r>
            <w:r>
              <w:rPr>
                <w:spacing w:val="-49"/>
              </w:rPr>
              <w:t xml:space="preserve"> </w:t>
            </w:r>
            <w:r>
              <w:rPr>
                <w:spacing w:val="8"/>
              </w:rPr>
              <w:t>员因过</w:t>
            </w:r>
            <w:r>
              <w:t xml:space="preserve"> </w:t>
            </w:r>
            <w:r>
              <w:rPr>
                <w:spacing w:val="16"/>
              </w:rPr>
              <w:t>错造成质量</w:t>
            </w:r>
            <w:r>
              <w:rPr>
                <w:spacing w:val="1"/>
              </w:rPr>
              <w:t xml:space="preserve"> </w:t>
            </w:r>
            <w:r>
              <w:rPr>
                <w:spacing w:val="7"/>
              </w:rPr>
              <w:t>事故</w:t>
            </w:r>
            <w:r>
              <w:rPr>
                <w:spacing w:val="-44"/>
              </w:rPr>
              <w:t xml:space="preserve"> </w:t>
            </w:r>
            <w:r>
              <w:rPr>
                <w:spacing w:val="7"/>
              </w:rPr>
              <w:t>的行政</w:t>
            </w:r>
            <w:r>
              <w:t xml:space="preserve"> </w:t>
            </w:r>
            <w:r>
              <w:rPr>
                <w:spacing w:val="-2"/>
              </w:rPr>
              <w:t>处罚</w:t>
            </w:r>
          </w:p>
        </w:tc>
        <w:tc>
          <w:tcPr>
            <w:tcW w:w="1104" w:type="dxa"/>
            <w:vAlign w:val="top"/>
          </w:tcPr>
          <w:p w14:paraId="6DD0CDB4">
            <w:pPr>
              <w:spacing w:line="323" w:lineRule="auto"/>
              <w:rPr>
                <w:rFonts w:ascii="Arial"/>
                <w:sz w:val="21"/>
              </w:rPr>
            </w:pPr>
          </w:p>
          <w:p w14:paraId="174F03D8">
            <w:pPr>
              <w:spacing w:line="324" w:lineRule="auto"/>
              <w:rPr>
                <w:rFonts w:ascii="Arial"/>
                <w:sz w:val="21"/>
              </w:rPr>
            </w:pPr>
          </w:p>
          <w:p w14:paraId="703C05AD">
            <w:pPr>
              <w:pStyle w:val="8"/>
              <w:spacing w:before="58" w:line="220" w:lineRule="auto"/>
              <w:ind w:left="10"/>
            </w:pPr>
            <w:r>
              <w:rPr>
                <w:spacing w:val="-2"/>
              </w:rPr>
              <w:t>行政处罚</w:t>
            </w:r>
          </w:p>
        </w:tc>
        <w:tc>
          <w:tcPr>
            <w:tcW w:w="8549" w:type="dxa"/>
            <w:vAlign w:val="top"/>
          </w:tcPr>
          <w:p w14:paraId="439BD3C0">
            <w:pPr>
              <w:pStyle w:val="8"/>
              <w:spacing w:before="110" w:line="219" w:lineRule="auto"/>
              <w:ind w:left="476"/>
            </w:pPr>
            <w:r>
              <w:rPr>
                <w:b/>
                <w:bCs/>
                <w:spacing w:val="-4"/>
              </w:rPr>
              <w:t>《建设工程质量管理条例》</w:t>
            </w:r>
          </w:p>
          <w:p w14:paraId="73E0F0D6">
            <w:pPr>
              <w:pStyle w:val="8"/>
              <w:spacing w:before="26" w:line="219" w:lineRule="auto"/>
              <w:ind w:left="471"/>
            </w:pPr>
            <w:r>
              <w:t>第十九条第二款  注册建筑师、注册结构工程师等注册执业人员应当在设计文件上</w:t>
            </w:r>
            <w:r>
              <w:rPr>
                <w:spacing w:val="-1"/>
              </w:rPr>
              <w:t>签字，对设计文件</w:t>
            </w:r>
          </w:p>
          <w:p w14:paraId="63EA6CC2">
            <w:pPr>
              <w:pStyle w:val="8"/>
              <w:spacing w:before="26" w:line="219" w:lineRule="auto"/>
              <w:ind w:left="118"/>
            </w:pPr>
            <w:r>
              <w:rPr>
                <w:spacing w:val="-11"/>
              </w:rPr>
              <w:t>负责。</w:t>
            </w:r>
          </w:p>
          <w:p w14:paraId="05A93724">
            <w:pPr>
              <w:pStyle w:val="8"/>
              <w:spacing w:before="27" w:line="237" w:lineRule="auto"/>
              <w:ind w:left="112" w:right="104" w:firstLine="358"/>
              <w:jc w:val="both"/>
            </w:pPr>
            <w:r>
              <w:t>第七十二条  违反本条例规定，注册建筑师、注册结构工程师、监理工程师等注</w:t>
            </w:r>
            <w:r>
              <w:rPr>
                <w:spacing w:val="-1"/>
              </w:rPr>
              <w:t>册执业人员因过错造</w:t>
            </w:r>
            <w:r>
              <w:t xml:space="preserve"> </w:t>
            </w:r>
            <w:r>
              <w:rPr>
                <w:spacing w:val="-3"/>
              </w:rPr>
              <w:t>成质量事故的，责令停止执业</w:t>
            </w:r>
            <w:r>
              <w:rPr>
                <w:spacing w:val="-8"/>
              </w:rPr>
              <w:t xml:space="preserve"> </w:t>
            </w:r>
            <w:r>
              <w:rPr>
                <w:spacing w:val="-3"/>
              </w:rPr>
              <w:t>1</w:t>
            </w:r>
            <w:r>
              <w:rPr>
                <w:spacing w:val="-38"/>
              </w:rPr>
              <w:t xml:space="preserve"> </w:t>
            </w:r>
            <w:r>
              <w:rPr>
                <w:spacing w:val="-3"/>
              </w:rPr>
              <w:t>年；造成重大质量事故的，吊销执业资格证书，5</w:t>
            </w:r>
            <w:r>
              <w:rPr>
                <w:spacing w:val="-38"/>
              </w:rPr>
              <w:t xml:space="preserve"> </w:t>
            </w:r>
            <w:r>
              <w:rPr>
                <w:spacing w:val="-3"/>
              </w:rPr>
              <w:t>年以内不予注册；情节特</w:t>
            </w:r>
            <w:r>
              <w:t xml:space="preserve"> </w:t>
            </w:r>
            <w:r>
              <w:rPr>
                <w:spacing w:val="-3"/>
              </w:rPr>
              <w:t>别恶劣的，终身不予注册。</w:t>
            </w:r>
          </w:p>
        </w:tc>
        <w:tc>
          <w:tcPr>
            <w:tcW w:w="1014" w:type="dxa"/>
            <w:vAlign w:val="top"/>
          </w:tcPr>
          <w:p w14:paraId="4EAAB849">
            <w:pPr>
              <w:spacing w:line="263" w:lineRule="auto"/>
              <w:rPr>
                <w:rFonts w:ascii="Arial"/>
                <w:sz w:val="21"/>
              </w:rPr>
            </w:pPr>
          </w:p>
          <w:p w14:paraId="2BBD9BC3">
            <w:pPr>
              <w:spacing w:line="264" w:lineRule="auto"/>
              <w:rPr>
                <w:rFonts w:ascii="Arial"/>
                <w:sz w:val="21"/>
              </w:rPr>
            </w:pPr>
          </w:p>
          <w:p w14:paraId="13EE7619">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4747283">
            <w:pPr>
              <w:spacing w:line="263" w:lineRule="auto"/>
              <w:rPr>
                <w:rFonts w:ascii="Arial"/>
                <w:sz w:val="21"/>
              </w:rPr>
            </w:pPr>
          </w:p>
          <w:p w14:paraId="0E94BA90">
            <w:pPr>
              <w:spacing w:line="264" w:lineRule="auto"/>
              <w:rPr>
                <w:rFonts w:ascii="Arial"/>
                <w:sz w:val="21"/>
              </w:rPr>
            </w:pPr>
          </w:p>
          <w:p w14:paraId="550793FF">
            <w:pPr>
              <w:pStyle w:val="8"/>
              <w:spacing w:before="59" w:line="233" w:lineRule="auto"/>
              <w:ind w:left="353" w:right="159" w:hanging="181"/>
              <w:rPr>
                <w:rFonts w:hint="eastAsia" w:eastAsia="宋体"/>
                <w:lang w:eastAsia="zh-CN"/>
              </w:rPr>
            </w:pPr>
            <w:r>
              <w:rPr>
                <w:rFonts w:hint="eastAsia"/>
                <w:spacing w:val="-2"/>
                <w:lang w:eastAsia="zh-CN"/>
              </w:rPr>
              <w:t>津市市交通运输局</w:t>
            </w:r>
          </w:p>
        </w:tc>
        <w:tc>
          <w:tcPr>
            <w:tcW w:w="1018" w:type="dxa"/>
            <w:vAlign w:val="top"/>
          </w:tcPr>
          <w:p w14:paraId="13CF3938">
            <w:pPr>
              <w:spacing w:line="290" w:lineRule="auto"/>
              <w:rPr>
                <w:rFonts w:ascii="Arial"/>
                <w:sz w:val="21"/>
              </w:rPr>
            </w:pPr>
          </w:p>
          <w:p w14:paraId="11C20039">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5E007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624" w:type="dxa"/>
            <w:vAlign w:val="top"/>
          </w:tcPr>
          <w:p w14:paraId="7458F67B">
            <w:pPr>
              <w:spacing w:line="275" w:lineRule="auto"/>
              <w:rPr>
                <w:rFonts w:ascii="Arial"/>
                <w:sz w:val="21"/>
              </w:rPr>
            </w:pPr>
          </w:p>
          <w:p w14:paraId="4FBFB33B">
            <w:pPr>
              <w:spacing w:line="275" w:lineRule="auto"/>
              <w:rPr>
                <w:rFonts w:ascii="Arial"/>
                <w:sz w:val="21"/>
              </w:rPr>
            </w:pPr>
          </w:p>
          <w:p w14:paraId="619A92E5">
            <w:pPr>
              <w:spacing w:line="275" w:lineRule="auto"/>
              <w:rPr>
                <w:rFonts w:ascii="Arial"/>
                <w:sz w:val="21"/>
              </w:rPr>
            </w:pPr>
          </w:p>
          <w:p w14:paraId="1C1D3597">
            <w:pPr>
              <w:pStyle w:val="8"/>
              <w:spacing w:before="58" w:line="183" w:lineRule="auto"/>
              <w:ind w:left="234"/>
            </w:pPr>
            <w:r>
              <w:rPr>
                <w:spacing w:val="-6"/>
              </w:rPr>
              <w:t>59</w:t>
            </w:r>
          </w:p>
        </w:tc>
        <w:tc>
          <w:tcPr>
            <w:tcW w:w="1104" w:type="dxa"/>
            <w:vAlign w:val="top"/>
          </w:tcPr>
          <w:p w14:paraId="5043C25A">
            <w:pPr>
              <w:pStyle w:val="8"/>
              <w:spacing w:before="83" w:line="225"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域单位违法</w:t>
            </w:r>
            <w:r>
              <w:rPr>
                <w:spacing w:val="1"/>
              </w:rPr>
              <w:t xml:space="preserve"> </w:t>
            </w:r>
            <w:r>
              <w:rPr>
                <w:spacing w:val="-20"/>
              </w:rPr>
              <w:t>行为（工程质</w:t>
            </w:r>
            <w:r>
              <w:rPr>
                <w:spacing w:val="1"/>
              </w:rPr>
              <w:t xml:space="preserve"> </w:t>
            </w:r>
            <w:r>
              <w:rPr>
                <w:spacing w:val="-17"/>
              </w:rPr>
              <w:t>量方面）直接</w:t>
            </w:r>
            <w:r>
              <w:rPr>
                <w:spacing w:val="3"/>
              </w:rPr>
              <w:t xml:space="preserve"> </w:t>
            </w:r>
            <w:r>
              <w:rPr>
                <w:spacing w:val="9"/>
              </w:rPr>
              <w:t>负有</w:t>
            </w:r>
            <w:r>
              <w:rPr>
                <w:spacing w:val="-53"/>
              </w:rPr>
              <w:t xml:space="preserve"> </w:t>
            </w:r>
            <w:r>
              <w:rPr>
                <w:spacing w:val="9"/>
              </w:rPr>
              <w:t>责任相</w:t>
            </w:r>
            <w:r>
              <w:t xml:space="preserve"> </w:t>
            </w:r>
            <w:r>
              <w:rPr>
                <w:spacing w:val="8"/>
              </w:rPr>
              <w:t>关人</w:t>
            </w:r>
            <w:r>
              <w:rPr>
                <w:spacing w:val="-49"/>
              </w:rPr>
              <w:t xml:space="preserve"> </w:t>
            </w:r>
            <w:r>
              <w:rPr>
                <w:spacing w:val="8"/>
              </w:rPr>
              <w:t>员的行</w:t>
            </w:r>
            <w:r>
              <w:t xml:space="preserve"> </w:t>
            </w:r>
            <w:r>
              <w:rPr>
                <w:spacing w:val="-2"/>
              </w:rPr>
              <w:t>政处罚</w:t>
            </w:r>
          </w:p>
        </w:tc>
        <w:tc>
          <w:tcPr>
            <w:tcW w:w="1104" w:type="dxa"/>
            <w:vAlign w:val="top"/>
          </w:tcPr>
          <w:p w14:paraId="374C7D31">
            <w:pPr>
              <w:spacing w:line="263" w:lineRule="auto"/>
              <w:rPr>
                <w:rFonts w:ascii="Arial"/>
                <w:sz w:val="21"/>
              </w:rPr>
            </w:pPr>
          </w:p>
          <w:p w14:paraId="3F26EC71">
            <w:pPr>
              <w:spacing w:line="263" w:lineRule="auto"/>
              <w:rPr>
                <w:rFonts w:ascii="Arial"/>
                <w:sz w:val="21"/>
              </w:rPr>
            </w:pPr>
          </w:p>
          <w:p w14:paraId="40C3C52A">
            <w:pPr>
              <w:spacing w:line="263" w:lineRule="auto"/>
              <w:rPr>
                <w:rFonts w:ascii="Arial"/>
                <w:sz w:val="21"/>
              </w:rPr>
            </w:pPr>
          </w:p>
          <w:p w14:paraId="1DBED6A7">
            <w:pPr>
              <w:pStyle w:val="8"/>
              <w:spacing w:before="59" w:line="220" w:lineRule="auto"/>
              <w:ind w:left="10"/>
            </w:pPr>
            <w:r>
              <w:rPr>
                <w:spacing w:val="-2"/>
              </w:rPr>
              <w:t>行政处罚</w:t>
            </w:r>
          </w:p>
        </w:tc>
        <w:tc>
          <w:tcPr>
            <w:tcW w:w="8549" w:type="dxa"/>
            <w:vAlign w:val="top"/>
          </w:tcPr>
          <w:p w14:paraId="3DC7AEC1">
            <w:pPr>
              <w:spacing w:line="286" w:lineRule="auto"/>
              <w:rPr>
                <w:rFonts w:ascii="Arial"/>
                <w:sz w:val="21"/>
              </w:rPr>
            </w:pPr>
          </w:p>
          <w:p w14:paraId="7DECD3B1">
            <w:pPr>
              <w:spacing w:line="287" w:lineRule="auto"/>
              <w:rPr>
                <w:rFonts w:ascii="Arial"/>
                <w:sz w:val="21"/>
              </w:rPr>
            </w:pPr>
          </w:p>
          <w:p w14:paraId="7A6B6798">
            <w:pPr>
              <w:pStyle w:val="8"/>
              <w:spacing w:before="58" w:line="219" w:lineRule="auto"/>
              <w:ind w:left="476"/>
            </w:pPr>
            <w:r>
              <w:rPr>
                <w:b/>
                <w:bCs/>
                <w:spacing w:val="-4"/>
              </w:rPr>
              <w:t>《建设工程质量管理条例》</w:t>
            </w:r>
          </w:p>
          <w:p w14:paraId="5ADBF3E2">
            <w:pPr>
              <w:pStyle w:val="8"/>
              <w:spacing w:before="4" w:line="223" w:lineRule="auto"/>
              <w:ind w:left="118" w:right="159" w:firstLine="352"/>
            </w:pPr>
            <w:r>
              <w:t>第七十三条  依照本条例规定，给予单位罚款处罚的，对单位直接负责的主管人</w:t>
            </w:r>
            <w:r>
              <w:rPr>
                <w:spacing w:val="-1"/>
              </w:rPr>
              <w:t>员和其他直接责任人</w:t>
            </w:r>
            <w:r>
              <w:t xml:space="preserve"> </w:t>
            </w:r>
            <w:r>
              <w:rPr>
                <w:spacing w:val="-2"/>
              </w:rPr>
              <w:t>员处单位罚款数额百分之五以上百分之十以下的罚款。</w:t>
            </w:r>
          </w:p>
        </w:tc>
        <w:tc>
          <w:tcPr>
            <w:tcW w:w="1014" w:type="dxa"/>
            <w:vAlign w:val="top"/>
          </w:tcPr>
          <w:p w14:paraId="7A972CEB">
            <w:pPr>
              <w:spacing w:line="340" w:lineRule="auto"/>
              <w:rPr>
                <w:rFonts w:ascii="Arial"/>
                <w:sz w:val="21"/>
              </w:rPr>
            </w:pPr>
          </w:p>
          <w:p w14:paraId="76763EF5">
            <w:pPr>
              <w:spacing w:line="341" w:lineRule="auto"/>
              <w:rPr>
                <w:rFonts w:ascii="Arial"/>
                <w:sz w:val="21"/>
              </w:rPr>
            </w:pPr>
          </w:p>
          <w:p w14:paraId="08727E9A">
            <w:pPr>
              <w:pStyle w:val="8"/>
              <w:spacing w:before="59" w:line="222" w:lineRule="auto"/>
              <w:ind w:left="153" w:right="144" w:firstLine="2"/>
            </w:pPr>
            <w:r>
              <w:rPr>
                <w:spacing w:val="-3"/>
              </w:rPr>
              <w:t>交通运输</w:t>
            </w:r>
            <w:r>
              <w:t xml:space="preserve"> </w:t>
            </w:r>
            <w:r>
              <w:rPr>
                <w:spacing w:val="-3"/>
              </w:rPr>
              <w:t>主管部门</w:t>
            </w:r>
          </w:p>
        </w:tc>
        <w:tc>
          <w:tcPr>
            <w:tcW w:w="1407" w:type="dxa"/>
            <w:vAlign w:val="top"/>
          </w:tcPr>
          <w:p w14:paraId="2A32FF5B">
            <w:pPr>
              <w:spacing w:line="340" w:lineRule="auto"/>
              <w:rPr>
                <w:rFonts w:ascii="Arial"/>
                <w:sz w:val="21"/>
              </w:rPr>
            </w:pPr>
          </w:p>
          <w:p w14:paraId="3FA977CD">
            <w:pPr>
              <w:spacing w:line="341" w:lineRule="auto"/>
              <w:rPr>
                <w:rFonts w:ascii="Arial"/>
                <w:sz w:val="21"/>
              </w:rPr>
            </w:pPr>
          </w:p>
          <w:p w14:paraId="01989A1D">
            <w:pPr>
              <w:pStyle w:val="8"/>
              <w:spacing w:before="59" w:line="223"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D9640BC">
            <w:pPr>
              <w:spacing w:line="462" w:lineRule="auto"/>
              <w:rPr>
                <w:rFonts w:ascii="Arial"/>
                <w:sz w:val="21"/>
              </w:rPr>
            </w:pPr>
          </w:p>
          <w:p w14:paraId="2A51A79D">
            <w:pPr>
              <w:pStyle w:val="8"/>
              <w:spacing w:before="59" w:line="224"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383E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4" w:hRule="atLeast"/>
        </w:trPr>
        <w:tc>
          <w:tcPr>
            <w:tcW w:w="624" w:type="dxa"/>
            <w:vAlign w:val="top"/>
          </w:tcPr>
          <w:p w14:paraId="787DC31A">
            <w:pPr>
              <w:spacing w:line="256" w:lineRule="auto"/>
              <w:rPr>
                <w:rFonts w:ascii="Arial"/>
                <w:sz w:val="21"/>
              </w:rPr>
            </w:pPr>
          </w:p>
          <w:p w14:paraId="2DA52AC4">
            <w:pPr>
              <w:spacing w:line="257" w:lineRule="auto"/>
              <w:rPr>
                <w:rFonts w:ascii="Arial"/>
                <w:sz w:val="21"/>
              </w:rPr>
            </w:pPr>
          </w:p>
          <w:p w14:paraId="2040792F">
            <w:pPr>
              <w:spacing w:line="257" w:lineRule="auto"/>
              <w:rPr>
                <w:rFonts w:ascii="Arial"/>
                <w:sz w:val="21"/>
              </w:rPr>
            </w:pPr>
          </w:p>
          <w:p w14:paraId="2AE3944F">
            <w:pPr>
              <w:pStyle w:val="8"/>
              <w:spacing w:before="59" w:line="183" w:lineRule="auto"/>
              <w:ind w:left="232"/>
            </w:pPr>
            <w:r>
              <w:rPr>
                <w:spacing w:val="-5"/>
              </w:rPr>
              <w:t>60</w:t>
            </w:r>
          </w:p>
        </w:tc>
        <w:tc>
          <w:tcPr>
            <w:tcW w:w="1104" w:type="dxa"/>
            <w:vAlign w:val="top"/>
          </w:tcPr>
          <w:p w14:paraId="6EA7A612">
            <w:pPr>
              <w:pStyle w:val="8"/>
              <w:spacing w:before="32" w:line="222" w:lineRule="auto"/>
              <w:ind w:left="60" w:right="56"/>
              <w:jc w:val="both"/>
            </w:pPr>
            <w:r>
              <w:rPr>
                <w:spacing w:val="16"/>
              </w:rPr>
              <w:t>对交通运输</w:t>
            </w:r>
            <w:r>
              <w:rPr>
                <w:spacing w:val="1"/>
              </w:rPr>
              <w:t xml:space="preserve"> </w:t>
            </w:r>
            <w:r>
              <w:rPr>
                <w:spacing w:val="16"/>
              </w:rPr>
              <w:t>领域未经注</w:t>
            </w:r>
            <w:r>
              <w:rPr>
                <w:spacing w:val="1"/>
              </w:rPr>
              <w:t xml:space="preserve"> </w:t>
            </w:r>
            <w:r>
              <w:rPr>
                <w:spacing w:val="4"/>
              </w:rPr>
              <w:t>册擅</w:t>
            </w:r>
            <w:r>
              <w:rPr>
                <w:spacing w:val="-29"/>
              </w:rPr>
              <w:t xml:space="preserve"> </w:t>
            </w:r>
            <w:r>
              <w:rPr>
                <w:spacing w:val="4"/>
              </w:rPr>
              <w:t>自以注</w:t>
            </w:r>
            <w:r>
              <w:t xml:space="preserve"> </w:t>
            </w:r>
            <w:r>
              <w:rPr>
                <w:spacing w:val="8"/>
              </w:rPr>
              <w:t>册人</w:t>
            </w:r>
            <w:r>
              <w:rPr>
                <w:spacing w:val="-49"/>
              </w:rPr>
              <w:t xml:space="preserve"> </w:t>
            </w:r>
            <w:r>
              <w:rPr>
                <w:spacing w:val="8"/>
              </w:rPr>
              <w:t>员名义</w:t>
            </w:r>
            <w:r>
              <w:t xml:space="preserve"> </w:t>
            </w:r>
            <w:r>
              <w:rPr>
                <w:spacing w:val="16"/>
              </w:rPr>
              <w:t>从事建设工</w:t>
            </w:r>
            <w:r>
              <w:rPr>
                <w:spacing w:val="1"/>
              </w:rPr>
              <w:t xml:space="preserve"> </w:t>
            </w:r>
            <w:r>
              <w:rPr>
                <w:spacing w:val="-17"/>
              </w:rPr>
              <w:t>程勘察、设计</w:t>
            </w:r>
            <w:r>
              <w:rPr>
                <w:spacing w:val="3"/>
              </w:rPr>
              <w:t xml:space="preserve"> </w:t>
            </w:r>
            <w:r>
              <w:rPr>
                <w:spacing w:val="7"/>
              </w:rPr>
              <w:t>活动</w:t>
            </w:r>
            <w:r>
              <w:rPr>
                <w:spacing w:val="-44"/>
              </w:rPr>
              <w:t xml:space="preserve"> </w:t>
            </w:r>
            <w:r>
              <w:rPr>
                <w:spacing w:val="7"/>
              </w:rPr>
              <w:t>的行政</w:t>
            </w:r>
            <w:r>
              <w:t xml:space="preserve"> </w:t>
            </w:r>
            <w:r>
              <w:rPr>
                <w:spacing w:val="-2"/>
              </w:rPr>
              <w:t>处罚</w:t>
            </w:r>
          </w:p>
        </w:tc>
        <w:tc>
          <w:tcPr>
            <w:tcW w:w="1104" w:type="dxa"/>
            <w:vAlign w:val="top"/>
          </w:tcPr>
          <w:p w14:paraId="0CF6DCFE">
            <w:pPr>
              <w:spacing w:line="245" w:lineRule="auto"/>
              <w:rPr>
                <w:rFonts w:ascii="Arial"/>
                <w:sz w:val="21"/>
              </w:rPr>
            </w:pPr>
          </w:p>
          <w:p w14:paraId="799AE070">
            <w:pPr>
              <w:spacing w:line="246" w:lineRule="auto"/>
              <w:rPr>
                <w:rFonts w:ascii="Arial"/>
                <w:sz w:val="21"/>
              </w:rPr>
            </w:pPr>
          </w:p>
          <w:p w14:paraId="62683418">
            <w:pPr>
              <w:spacing w:line="246" w:lineRule="auto"/>
              <w:rPr>
                <w:rFonts w:ascii="Arial"/>
                <w:sz w:val="21"/>
              </w:rPr>
            </w:pPr>
          </w:p>
          <w:p w14:paraId="59563DFF">
            <w:pPr>
              <w:pStyle w:val="8"/>
              <w:spacing w:before="59" w:line="220" w:lineRule="auto"/>
              <w:ind w:left="10"/>
            </w:pPr>
            <w:r>
              <w:rPr>
                <w:spacing w:val="-2"/>
              </w:rPr>
              <w:t>行政处罚</w:t>
            </w:r>
          </w:p>
        </w:tc>
        <w:tc>
          <w:tcPr>
            <w:tcW w:w="8549" w:type="dxa"/>
            <w:vAlign w:val="top"/>
          </w:tcPr>
          <w:p w14:paraId="0DE39724">
            <w:pPr>
              <w:pStyle w:val="8"/>
              <w:spacing w:before="251" w:line="219" w:lineRule="auto"/>
              <w:ind w:left="476"/>
            </w:pPr>
            <w:r>
              <w:rPr>
                <w:b/>
                <w:bCs/>
                <w:spacing w:val="-3"/>
              </w:rPr>
              <w:t>《建设工程勘察设计管理条例》</w:t>
            </w:r>
          </w:p>
          <w:p w14:paraId="483C7326">
            <w:pPr>
              <w:pStyle w:val="8"/>
              <w:spacing w:before="4" w:line="219" w:lineRule="auto"/>
              <w:ind w:left="471"/>
            </w:pPr>
            <w:r>
              <w:rPr>
                <w:spacing w:val="-1"/>
              </w:rPr>
              <w:t>第九条  国家对从事建设工程勘察、设计活动的专业技术人员，实行执业资格注册管理制度。</w:t>
            </w:r>
          </w:p>
          <w:p w14:paraId="1BE5969B">
            <w:pPr>
              <w:pStyle w:val="8"/>
              <w:spacing w:before="7" w:line="219" w:lineRule="auto"/>
              <w:ind w:left="474"/>
            </w:pPr>
            <w:r>
              <w:rPr>
                <w:spacing w:val="-1"/>
              </w:rPr>
              <w:t>未经注册的建设工程勘察、设计人员，不得以注册执业人员的名义从事建设工程勘察、设计活动。</w:t>
            </w:r>
          </w:p>
          <w:p w14:paraId="393621DF">
            <w:pPr>
              <w:pStyle w:val="8"/>
              <w:spacing w:before="7" w:line="223" w:lineRule="auto"/>
              <w:ind w:left="110" w:right="159" w:firstLine="360"/>
            </w:pPr>
            <w:r>
              <w:t>第三十六条  违反本条例规定，未经注册，擅自以注册建设工程勘察、设计人员</w:t>
            </w:r>
            <w:r>
              <w:rPr>
                <w:spacing w:val="-1"/>
              </w:rPr>
              <w:t>的名义从事建设工程</w:t>
            </w:r>
            <w:r>
              <w:t xml:space="preserve"> </w:t>
            </w:r>
            <w:r>
              <w:rPr>
                <w:spacing w:val="-1"/>
              </w:rPr>
              <w:t>勘察、设计活动的，责令停止违法行为，没收违法所得，处违法所得</w:t>
            </w:r>
            <w:r>
              <w:rPr>
                <w:spacing w:val="-31"/>
              </w:rPr>
              <w:t xml:space="preserve"> </w:t>
            </w:r>
            <w:r>
              <w:rPr>
                <w:spacing w:val="-1"/>
              </w:rPr>
              <w:t>2</w:t>
            </w:r>
            <w:r>
              <w:rPr>
                <w:spacing w:val="-38"/>
              </w:rPr>
              <w:t xml:space="preserve"> </w:t>
            </w:r>
            <w:r>
              <w:rPr>
                <w:spacing w:val="-1"/>
              </w:rPr>
              <w:t>倍以上</w:t>
            </w:r>
            <w:r>
              <w:rPr>
                <w:spacing w:val="-34"/>
              </w:rPr>
              <w:t xml:space="preserve"> </w:t>
            </w:r>
            <w:r>
              <w:rPr>
                <w:spacing w:val="-1"/>
              </w:rPr>
              <w:t>5</w:t>
            </w:r>
            <w:r>
              <w:rPr>
                <w:spacing w:val="-39"/>
              </w:rPr>
              <w:t xml:space="preserve"> </w:t>
            </w:r>
            <w:r>
              <w:rPr>
                <w:spacing w:val="-1"/>
              </w:rPr>
              <w:t>倍以下罚款；给他人造成</w:t>
            </w:r>
            <w:r>
              <w:t xml:space="preserve"> </w:t>
            </w:r>
            <w:r>
              <w:rPr>
                <w:spacing w:val="-3"/>
              </w:rPr>
              <w:t>损失的，依法承担赔偿责任。</w:t>
            </w:r>
          </w:p>
        </w:tc>
        <w:tc>
          <w:tcPr>
            <w:tcW w:w="1014" w:type="dxa"/>
            <w:vAlign w:val="top"/>
          </w:tcPr>
          <w:p w14:paraId="2B471F1C">
            <w:pPr>
              <w:spacing w:line="313" w:lineRule="auto"/>
              <w:rPr>
                <w:rFonts w:ascii="Arial"/>
                <w:sz w:val="21"/>
              </w:rPr>
            </w:pPr>
          </w:p>
          <w:p w14:paraId="7E11F05A">
            <w:pPr>
              <w:spacing w:line="314" w:lineRule="auto"/>
              <w:rPr>
                <w:rFonts w:ascii="Arial"/>
                <w:sz w:val="21"/>
              </w:rPr>
            </w:pPr>
          </w:p>
          <w:p w14:paraId="6BAFDEB5">
            <w:pPr>
              <w:pStyle w:val="8"/>
              <w:spacing w:before="59" w:line="223" w:lineRule="auto"/>
              <w:ind w:left="153" w:right="144" w:firstLine="2"/>
            </w:pPr>
            <w:r>
              <w:rPr>
                <w:spacing w:val="-3"/>
              </w:rPr>
              <w:t>交通运输</w:t>
            </w:r>
            <w:r>
              <w:t xml:space="preserve"> </w:t>
            </w:r>
            <w:r>
              <w:rPr>
                <w:spacing w:val="-3"/>
              </w:rPr>
              <w:t>主管部门</w:t>
            </w:r>
          </w:p>
        </w:tc>
        <w:tc>
          <w:tcPr>
            <w:tcW w:w="1407" w:type="dxa"/>
            <w:vAlign w:val="top"/>
          </w:tcPr>
          <w:p w14:paraId="7808E008">
            <w:pPr>
              <w:spacing w:line="313" w:lineRule="auto"/>
              <w:rPr>
                <w:rFonts w:ascii="Arial"/>
                <w:sz w:val="21"/>
              </w:rPr>
            </w:pPr>
          </w:p>
          <w:p w14:paraId="7C2C0BD8">
            <w:pPr>
              <w:spacing w:line="314" w:lineRule="auto"/>
              <w:rPr>
                <w:rFonts w:ascii="Arial"/>
                <w:sz w:val="21"/>
              </w:rPr>
            </w:pPr>
          </w:p>
          <w:p w14:paraId="434573FA">
            <w:pPr>
              <w:pStyle w:val="8"/>
              <w:spacing w:before="59" w:line="22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9E80B26">
            <w:pPr>
              <w:spacing w:line="408" w:lineRule="auto"/>
              <w:rPr>
                <w:rFonts w:ascii="Arial"/>
                <w:sz w:val="21"/>
              </w:rPr>
            </w:pPr>
          </w:p>
          <w:p w14:paraId="604F6DD2">
            <w:pPr>
              <w:pStyle w:val="8"/>
              <w:spacing w:before="58" w:line="224"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0A283989">
      <w:pPr>
        <w:pStyle w:val="2"/>
        <w:spacing w:line="225" w:lineRule="exact"/>
        <w:rPr>
          <w:sz w:val="19"/>
        </w:rPr>
      </w:pPr>
    </w:p>
    <w:p w14:paraId="5A0208A5">
      <w:pPr>
        <w:spacing w:line="225" w:lineRule="exact"/>
        <w:rPr>
          <w:sz w:val="19"/>
          <w:szCs w:val="19"/>
        </w:rPr>
        <w:sectPr>
          <w:footerReference r:id="rId106" w:type="default"/>
          <w:pgSz w:w="16839" w:h="11906"/>
          <w:pgMar w:top="1012" w:right="991" w:bottom="967" w:left="1021" w:header="0" w:footer="768" w:gutter="0"/>
          <w:cols w:space="720" w:num="1"/>
        </w:sectPr>
      </w:pPr>
    </w:p>
    <w:p w14:paraId="0B6A7CD7">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2A651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74CCB8B7">
            <w:pPr>
              <w:pStyle w:val="8"/>
              <w:spacing w:before="267" w:line="221" w:lineRule="auto"/>
              <w:ind w:left="134"/>
            </w:pPr>
            <w:r>
              <w:rPr>
                <w:b/>
                <w:bCs/>
                <w:spacing w:val="-4"/>
              </w:rPr>
              <w:t>序号</w:t>
            </w:r>
          </w:p>
        </w:tc>
        <w:tc>
          <w:tcPr>
            <w:tcW w:w="1104" w:type="dxa"/>
            <w:vMerge w:val="restart"/>
            <w:tcBorders>
              <w:bottom w:val="nil"/>
            </w:tcBorders>
            <w:vAlign w:val="top"/>
          </w:tcPr>
          <w:p w14:paraId="6DDED816">
            <w:pPr>
              <w:pStyle w:val="8"/>
              <w:spacing w:before="260" w:line="220" w:lineRule="auto"/>
              <w:ind w:left="192"/>
            </w:pPr>
            <w:r>
              <w:rPr>
                <w:b/>
                <w:bCs/>
                <w:spacing w:val="-4"/>
              </w:rPr>
              <w:t>事项名称</w:t>
            </w:r>
          </w:p>
        </w:tc>
        <w:tc>
          <w:tcPr>
            <w:tcW w:w="1104" w:type="dxa"/>
            <w:vMerge w:val="restart"/>
            <w:tcBorders>
              <w:bottom w:val="nil"/>
            </w:tcBorders>
            <w:vAlign w:val="top"/>
          </w:tcPr>
          <w:p w14:paraId="3FA7D7D1">
            <w:pPr>
              <w:pStyle w:val="8"/>
              <w:spacing w:before="260" w:line="219" w:lineRule="auto"/>
              <w:ind w:left="193"/>
            </w:pPr>
            <w:r>
              <w:rPr>
                <w:b/>
                <w:bCs/>
                <w:spacing w:val="-4"/>
              </w:rPr>
              <w:t>职权类型</w:t>
            </w:r>
          </w:p>
        </w:tc>
        <w:tc>
          <w:tcPr>
            <w:tcW w:w="8549" w:type="dxa"/>
            <w:vMerge w:val="restart"/>
            <w:tcBorders>
              <w:bottom w:val="nil"/>
            </w:tcBorders>
            <w:vAlign w:val="top"/>
          </w:tcPr>
          <w:p w14:paraId="52C4D983">
            <w:pPr>
              <w:pStyle w:val="8"/>
              <w:spacing w:before="259" w:line="219" w:lineRule="auto"/>
              <w:ind w:left="3921"/>
            </w:pPr>
            <w:r>
              <w:rPr>
                <w:b/>
                <w:bCs/>
                <w:spacing w:val="-5"/>
              </w:rPr>
              <w:t>实施依据</w:t>
            </w:r>
          </w:p>
        </w:tc>
        <w:tc>
          <w:tcPr>
            <w:tcW w:w="3439" w:type="dxa"/>
            <w:gridSpan w:val="3"/>
            <w:vAlign w:val="top"/>
          </w:tcPr>
          <w:p w14:paraId="57EC655B">
            <w:pPr>
              <w:pStyle w:val="8"/>
              <w:spacing w:before="85" w:line="220" w:lineRule="auto"/>
              <w:ind w:left="1365"/>
            </w:pPr>
            <w:r>
              <w:rPr>
                <w:b/>
                <w:bCs/>
                <w:spacing w:val="-5"/>
              </w:rPr>
              <w:t>实施主体</w:t>
            </w:r>
          </w:p>
        </w:tc>
      </w:tr>
      <w:tr w14:paraId="0D550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72501E9">
            <w:pPr>
              <w:rPr>
                <w:rFonts w:ascii="Arial"/>
                <w:sz w:val="21"/>
              </w:rPr>
            </w:pPr>
          </w:p>
        </w:tc>
        <w:tc>
          <w:tcPr>
            <w:tcW w:w="1104" w:type="dxa"/>
            <w:vMerge w:val="continue"/>
            <w:tcBorders>
              <w:top w:val="nil"/>
            </w:tcBorders>
            <w:vAlign w:val="top"/>
          </w:tcPr>
          <w:p w14:paraId="26A49CF3">
            <w:pPr>
              <w:rPr>
                <w:rFonts w:ascii="Arial"/>
                <w:sz w:val="21"/>
              </w:rPr>
            </w:pPr>
          </w:p>
        </w:tc>
        <w:tc>
          <w:tcPr>
            <w:tcW w:w="1104" w:type="dxa"/>
            <w:vMerge w:val="continue"/>
            <w:tcBorders>
              <w:top w:val="nil"/>
            </w:tcBorders>
            <w:vAlign w:val="top"/>
          </w:tcPr>
          <w:p w14:paraId="21466E22">
            <w:pPr>
              <w:rPr>
                <w:rFonts w:ascii="Arial"/>
                <w:sz w:val="21"/>
              </w:rPr>
            </w:pPr>
          </w:p>
        </w:tc>
        <w:tc>
          <w:tcPr>
            <w:tcW w:w="8549" w:type="dxa"/>
            <w:vMerge w:val="continue"/>
            <w:tcBorders>
              <w:top w:val="nil"/>
            </w:tcBorders>
            <w:vAlign w:val="top"/>
          </w:tcPr>
          <w:p w14:paraId="02D2DB74">
            <w:pPr>
              <w:rPr>
                <w:rFonts w:ascii="Arial"/>
                <w:sz w:val="21"/>
              </w:rPr>
            </w:pPr>
          </w:p>
        </w:tc>
        <w:tc>
          <w:tcPr>
            <w:tcW w:w="1014" w:type="dxa"/>
            <w:vAlign w:val="top"/>
          </w:tcPr>
          <w:p w14:paraId="65A5F8BA">
            <w:pPr>
              <w:pStyle w:val="8"/>
              <w:spacing w:before="81" w:line="219" w:lineRule="auto"/>
              <w:ind w:left="158"/>
            </w:pPr>
            <w:r>
              <w:rPr>
                <w:b/>
                <w:bCs/>
                <w:spacing w:val="-5"/>
              </w:rPr>
              <w:t>责任部门</w:t>
            </w:r>
          </w:p>
        </w:tc>
        <w:tc>
          <w:tcPr>
            <w:tcW w:w="1407" w:type="dxa"/>
            <w:vAlign w:val="top"/>
          </w:tcPr>
          <w:p w14:paraId="27A22961">
            <w:pPr>
              <w:pStyle w:val="8"/>
              <w:spacing w:before="81" w:line="219" w:lineRule="auto"/>
              <w:ind w:left="167"/>
            </w:pPr>
            <w:r>
              <w:rPr>
                <w:b/>
                <w:bCs/>
                <w:spacing w:val="-3"/>
              </w:rPr>
              <w:t>第一责任层级</w:t>
            </w:r>
          </w:p>
        </w:tc>
        <w:tc>
          <w:tcPr>
            <w:tcW w:w="1018" w:type="dxa"/>
            <w:vAlign w:val="top"/>
          </w:tcPr>
          <w:p w14:paraId="2D81A7A2">
            <w:pPr>
              <w:pStyle w:val="8"/>
              <w:spacing w:before="81" w:line="219" w:lineRule="auto"/>
              <w:ind w:left="152"/>
            </w:pPr>
            <w:r>
              <w:rPr>
                <w:b/>
                <w:bCs/>
                <w:spacing w:val="-4"/>
              </w:rPr>
              <w:t>承办机构</w:t>
            </w:r>
          </w:p>
        </w:tc>
      </w:tr>
      <w:tr w14:paraId="08A78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9" w:hRule="atLeast"/>
        </w:trPr>
        <w:tc>
          <w:tcPr>
            <w:tcW w:w="624" w:type="dxa"/>
            <w:vAlign w:val="top"/>
          </w:tcPr>
          <w:p w14:paraId="45EFBDDD">
            <w:pPr>
              <w:spacing w:line="259" w:lineRule="auto"/>
              <w:rPr>
                <w:rFonts w:ascii="Arial"/>
                <w:sz w:val="21"/>
              </w:rPr>
            </w:pPr>
          </w:p>
          <w:p w14:paraId="1D352956">
            <w:pPr>
              <w:spacing w:line="259" w:lineRule="auto"/>
              <w:rPr>
                <w:rFonts w:ascii="Arial"/>
                <w:sz w:val="21"/>
              </w:rPr>
            </w:pPr>
          </w:p>
          <w:p w14:paraId="4CE007A2">
            <w:pPr>
              <w:spacing w:line="259" w:lineRule="auto"/>
              <w:rPr>
                <w:rFonts w:ascii="Arial"/>
                <w:sz w:val="21"/>
              </w:rPr>
            </w:pPr>
          </w:p>
          <w:p w14:paraId="6DFF2C52">
            <w:pPr>
              <w:spacing w:line="260" w:lineRule="auto"/>
              <w:rPr>
                <w:rFonts w:ascii="Arial"/>
                <w:sz w:val="21"/>
              </w:rPr>
            </w:pPr>
          </w:p>
          <w:p w14:paraId="3C2208D2">
            <w:pPr>
              <w:pStyle w:val="8"/>
              <w:spacing w:before="59" w:line="184" w:lineRule="auto"/>
              <w:ind w:left="232"/>
            </w:pPr>
            <w:r>
              <w:rPr>
                <w:spacing w:val="-5"/>
              </w:rPr>
              <w:t>61</w:t>
            </w:r>
          </w:p>
        </w:tc>
        <w:tc>
          <w:tcPr>
            <w:tcW w:w="1104" w:type="dxa"/>
            <w:vAlign w:val="top"/>
          </w:tcPr>
          <w:p w14:paraId="5CBE8311">
            <w:pPr>
              <w:pStyle w:val="8"/>
              <w:spacing w:before="83" w:line="225" w:lineRule="auto"/>
              <w:ind w:left="60"/>
              <w:jc w:val="both"/>
            </w:pPr>
            <w:r>
              <w:rPr>
                <w:spacing w:val="15"/>
              </w:rPr>
              <w:t>对交通运输</w:t>
            </w:r>
            <w:r>
              <w:rPr>
                <w:spacing w:val="2"/>
              </w:rPr>
              <w:t xml:space="preserve"> </w:t>
            </w:r>
            <w:r>
              <w:rPr>
                <w:spacing w:val="15"/>
              </w:rPr>
              <w:t>领域执业人</w:t>
            </w:r>
            <w:r>
              <w:rPr>
                <w:spacing w:val="2"/>
              </w:rPr>
              <w:t xml:space="preserve"> </w:t>
            </w:r>
            <w:r>
              <w:rPr>
                <w:spacing w:val="15"/>
              </w:rPr>
              <w:t>员和其他专</w:t>
            </w:r>
            <w:r>
              <w:rPr>
                <w:spacing w:val="2"/>
              </w:rPr>
              <w:t xml:space="preserve"> </w:t>
            </w:r>
            <w:r>
              <w:rPr>
                <w:spacing w:val="15"/>
              </w:rPr>
              <w:t>业技术人员</w:t>
            </w:r>
            <w:r>
              <w:rPr>
                <w:spacing w:val="2"/>
              </w:rPr>
              <w:t xml:space="preserve"> </w:t>
            </w:r>
            <w:r>
              <w:rPr>
                <w:spacing w:val="15"/>
              </w:rPr>
              <w:t>不按规定受</w:t>
            </w:r>
            <w:r>
              <w:rPr>
                <w:spacing w:val="2"/>
              </w:rPr>
              <w:t xml:space="preserve"> </w:t>
            </w:r>
            <w:r>
              <w:rPr>
                <w:spacing w:val="15"/>
              </w:rPr>
              <w:t>聘而从事建</w:t>
            </w:r>
            <w:r>
              <w:rPr>
                <w:spacing w:val="2"/>
              </w:rPr>
              <w:t xml:space="preserve"> </w:t>
            </w:r>
            <w:r>
              <w:rPr>
                <w:spacing w:val="-7"/>
              </w:rPr>
              <w:t>设工程勘察、</w:t>
            </w:r>
            <w:r>
              <w:t xml:space="preserve"> </w:t>
            </w:r>
            <w:r>
              <w:rPr>
                <w:spacing w:val="15"/>
              </w:rPr>
              <w:t>设计活动行</w:t>
            </w:r>
            <w:r>
              <w:rPr>
                <w:spacing w:val="2"/>
              </w:rPr>
              <w:t xml:space="preserve"> </w:t>
            </w:r>
            <w:r>
              <w:rPr>
                <w:spacing w:val="15"/>
              </w:rPr>
              <w:t>为的行政处</w:t>
            </w:r>
            <w:r>
              <w:rPr>
                <w:spacing w:val="2"/>
              </w:rPr>
              <w:t xml:space="preserve"> </w:t>
            </w:r>
            <w:r>
              <w:t>罚</w:t>
            </w:r>
          </w:p>
        </w:tc>
        <w:tc>
          <w:tcPr>
            <w:tcW w:w="1104" w:type="dxa"/>
            <w:vAlign w:val="top"/>
          </w:tcPr>
          <w:p w14:paraId="060691F2">
            <w:pPr>
              <w:spacing w:line="251" w:lineRule="auto"/>
              <w:rPr>
                <w:rFonts w:ascii="Arial"/>
                <w:sz w:val="21"/>
              </w:rPr>
            </w:pPr>
          </w:p>
          <w:p w14:paraId="0BD18699">
            <w:pPr>
              <w:spacing w:line="251" w:lineRule="auto"/>
              <w:rPr>
                <w:rFonts w:ascii="Arial"/>
                <w:sz w:val="21"/>
              </w:rPr>
            </w:pPr>
          </w:p>
          <w:p w14:paraId="2A83E812">
            <w:pPr>
              <w:spacing w:line="251" w:lineRule="auto"/>
              <w:rPr>
                <w:rFonts w:ascii="Arial"/>
                <w:sz w:val="21"/>
              </w:rPr>
            </w:pPr>
          </w:p>
          <w:p w14:paraId="52B27493">
            <w:pPr>
              <w:spacing w:line="252" w:lineRule="auto"/>
              <w:rPr>
                <w:rFonts w:ascii="Arial"/>
                <w:sz w:val="21"/>
              </w:rPr>
            </w:pPr>
          </w:p>
          <w:p w14:paraId="56367367">
            <w:pPr>
              <w:pStyle w:val="8"/>
              <w:spacing w:before="59" w:line="220" w:lineRule="auto"/>
              <w:ind w:left="10"/>
            </w:pPr>
            <w:r>
              <w:rPr>
                <w:spacing w:val="-2"/>
              </w:rPr>
              <w:t>行政处罚</w:t>
            </w:r>
          </w:p>
        </w:tc>
        <w:tc>
          <w:tcPr>
            <w:tcW w:w="8549" w:type="dxa"/>
            <w:vAlign w:val="top"/>
          </w:tcPr>
          <w:p w14:paraId="4064E72F">
            <w:pPr>
              <w:spacing w:line="350" w:lineRule="auto"/>
              <w:rPr>
                <w:rFonts w:ascii="Arial"/>
                <w:sz w:val="21"/>
              </w:rPr>
            </w:pPr>
          </w:p>
          <w:p w14:paraId="4DEA6D33">
            <w:pPr>
              <w:pStyle w:val="8"/>
              <w:spacing w:before="58" w:line="219" w:lineRule="auto"/>
              <w:ind w:left="565"/>
            </w:pPr>
            <w:r>
              <w:rPr>
                <w:b/>
                <w:bCs/>
                <w:spacing w:val="-3"/>
              </w:rPr>
              <w:t>《建设工程勘察设计管理条例》</w:t>
            </w:r>
          </w:p>
          <w:p w14:paraId="57EA5332">
            <w:pPr>
              <w:pStyle w:val="8"/>
              <w:spacing w:before="6" w:line="222" w:lineRule="auto"/>
              <w:ind w:left="112" w:right="104" w:firstLine="447"/>
            </w:pPr>
            <w:r>
              <w:rPr>
                <w:spacing w:val="-1"/>
              </w:rPr>
              <w:t>第十条  建设工程勘察、设计注册执业人员和其他专业技术人员只能受聘于一个建设工程勘察、设计</w:t>
            </w:r>
            <w:r>
              <w:rPr>
                <w:spacing w:val="3"/>
              </w:rPr>
              <w:t xml:space="preserve"> </w:t>
            </w:r>
            <w:r>
              <w:rPr>
                <w:spacing w:val="-1"/>
              </w:rPr>
              <w:t>单位；未受聘于建设工程勘察、设计单位的，不得从事建设工程的勘察、设计活动。</w:t>
            </w:r>
          </w:p>
          <w:p w14:paraId="5CE1A85C">
            <w:pPr>
              <w:pStyle w:val="8"/>
              <w:spacing w:before="6" w:line="224" w:lineRule="auto"/>
              <w:ind w:left="111" w:right="104" w:firstLine="448"/>
            </w:pPr>
            <w:r>
              <w:rPr>
                <w:spacing w:val="-1"/>
              </w:rPr>
              <w:t>第三十七条  违反本条例规定，建设工程勘察、设计注册执业人员和其他专业技术人员未受聘于一个</w:t>
            </w:r>
            <w:r>
              <w:rPr>
                <w:spacing w:val="3"/>
              </w:rPr>
              <w:t xml:space="preserve"> </w:t>
            </w:r>
            <w:r>
              <w:t>建设工程勘察、设计单位或者同时受聘于两个以上建设工程勘察、设计单位，从事建</w:t>
            </w:r>
            <w:r>
              <w:rPr>
                <w:spacing w:val="-1"/>
              </w:rPr>
              <w:t>设工程勘察、设计活</w:t>
            </w:r>
            <w:r>
              <w:t xml:space="preserve"> </w:t>
            </w:r>
            <w:r>
              <w:rPr>
                <w:spacing w:val="-1"/>
              </w:rPr>
              <w:t>动的，责令停止违法行为，没收违法所得，处违法所得</w:t>
            </w:r>
            <w:r>
              <w:rPr>
                <w:spacing w:val="-32"/>
              </w:rPr>
              <w:t xml:space="preserve"> </w:t>
            </w:r>
            <w:r>
              <w:rPr>
                <w:spacing w:val="-1"/>
              </w:rPr>
              <w:t>2</w:t>
            </w:r>
            <w:r>
              <w:rPr>
                <w:spacing w:val="-39"/>
              </w:rPr>
              <w:t xml:space="preserve"> </w:t>
            </w:r>
            <w:r>
              <w:rPr>
                <w:spacing w:val="-1"/>
              </w:rPr>
              <w:t>倍以上</w:t>
            </w:r>
            <w:r>
              <w:rPr>
                <w:spacing w:val="-34"/>
              </w:rPr>
              <w:t xml:space="preserve"> </w:t>
            </w:r>
            <w:r>
              <w:rPr>
                <w:spacing w:val="-1"/>
              </w:rPr>
              <w:t>5</w:t>
            </w:r>
            <w:r>
              <w:rPr>
                <w:spacing w:val="-38"/>
              </w:rPr>
              <w:t xml:space="preserve"> </w:t>
            </w:r>
            <w:r>
              <w:rPr>
                <w:spacing w:val="-1"/>
              </w:rPr>
              <w:t>倍以下的罚款；情节严重的，可以责令</w:t>
            </w:r>
            <w:r>
              <w:t xml:space="preserve"> </w:t>
            </w:r>
            <w:r>
              <w:rPr>
                <w:spacing w:val="-1"/>
              </w:rPr>
              <w:t>停止执行业务或者吊销资格证书；给他人造成损失的，依法承担赔偿责任。</w:t>
            </w:r>
          </w:p>
        </w:tc>
        <w:tc>
          <w:tcPr>
            <w:tcW w:w="1014" w:type="dxa"/>
            <w:vAlign w:val="top"/>
          </w:tcPr>
          <w:p w14:paraId="4FB674A7">
            <w:pPr>
              <w:spacing w:line="298" w:lineRule="auto"/>
              <w:rPr>
                <w:rFonts w:ascii="Arial"/>
                <w:sz w:val="21"/>
              </w:rPr>
            </w:pPr>
          </w:p>
          <w:p w14:paraId="411DBA7B">
            <w:pPr>
              <w:spacing w:line="298" w:lineRule="auto"/>
              <w:rPr>
                <w:rFonts w:ascii="Arial"/>
                <w:sz w:val="21"/>
              </w:rPr>
            </w:pPr>
          </w:p>
          <w:p w14:paraId="2373ED53">
            <w:pPr>
              <w:spacing w:line="299" w:lineRule="auto"/>
              <w:rPr>
                <w:rFonts w:ascii="Arial"/>
                <w:sz w:val="21"/>
              </w:rPr>
            </w:pPr>
          </w:p>
          <w:p w14:paraId="70851C38">
            <w:pPr>
              <w:pStyle w:val="8"/>
              <w:spacing w:before="59" w:line="223" w:lineRule="auto"/>
              <w:ind w:left="153" w:right="144" w:firstLine="2"/>
            </w:pPr>
            <w:r>
              <w:rPr>
                <w:spacing w:val="-3"/>
              </w:rPr>
              <w:t>交通运输</w:t>
            </w:r>
            <w:r>
              <w:t xml:space="preserve"> </w:t>
            </w:r>
            <w:r>
              <w:rPr>
                <w:spacing w:val="-3"/>
              </w:rPr>
              <w:t>主管部门</w:t>
            </w:r>
          </w:p>
        </w:tc>
        <w:tc>
          <w:tcPr>
            <w:tcW w:w="1407" w:type="dxa"/>
            <w:vAlign w:val="top"/>
          </w:tcPr>
          <w:p w14:paraId="6CCB3004">
            <w:pPr>
              <w:spacing w:line="298" w:lineRule="auto"/>
              <w:rPr>
                <w:rFonts w:ascii="Arial"/>
                <w:sz w:val="21"/>
              </w:rPr>
            </w:pPr>
          </w:p>
          <w:p w14:paraId="4CBBCE8B">
            <w:pPr>
              <w:spacing w:line="299" w:lineRule="auto"/>
              <w:rPr>
                <w:rFonts w:ascii="Arial"/>
                <w:sz w:val="21"/>
              </w:rPr>
            </w:pPr>
          </w:p>
          <w:p w14:paraId="4F13A0FB">
            <w:pPr>
              <w:spacing w:line="299" w:lineRule="auto"/>
              <w:rPr>
                <w:rFonts w:ascii="Arial"/>
                <w:sz w:val="21"/>
              </w:rPr>
            </w:pPr>
          </w:p>
          <w:p w14:paraId="3D09716A">
            <w:pPr>
              <w:pStyle w:val="8"/>
              <w:spacing w:before="58" w:line="22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01A9176">
            <w:pPr>
              <w:spacing w:line="338" w:lineRule="auto"/>
              <w:rPr>
                <w:rFonts w:ascii="Arial"/>
                <w:sz w:val="21"/>
              </w:rPr>
            </w:pPr>
          </w:p>
          <w:p w14:paraId="289ED1FA">
            <w:pPr>
              <w:spacing w:line="338" w:lineRule="auto"/>
              <w:rPr>
                <w:rFonts w:ascii="Arial"/>
                <w:sz w:val="21"/>
              </w:rPr>
            </w:pPr>
          </w:p>
          <w:p w14:paraId="12ED5604">
            <w:pPr>
              <w:pStyle w:val="8"/>
              <w:spacing w:before="58" w:line="224"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6CD2F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4" w:hRule="atLeast"/>
        </w:trPr>
        <w:tc>
          <w:tcPr>
            <w:tcW w:w="624" w:type="dxa"/>
            <w:vAlign w:val="top"/>
          </w:tcPr>
          <w:p w14:paraId="2479CDA4">
            <w:pPr>
              <w:spacing w:line="258" w:lineRule="auto"/>
              <w:rPr>
                <w:rFonts w:ascii="Arial"/>
                <w:sz w:val="21"/>
              </w:rPr>
            </w:pPr>
          </w:p>
          <w:p w14:paraId="67CF4972">
            <w:pPr>
              <w:spacing w:line="258" w:lineRule="auto"/>
              <w:rPr>
                <w:rFonts w:ascii="Arial"/>
                <w:sz w:val="21"/>
              </w:rPr>
            </w:pPr>
          </w:p>
          <w:p w14:paraId="5ABC9AF2">
            <w:pPr>
              <w:spacing w:line="258" w:lineRule="auto"/>
              <w:rPr>
                <w:rFonts w:ascii="Arial"/>
                <w:sz w:val="21"/>
              </w:rPr>
            </w:pPr>
          </w:p>
          <w:p w14:paraId="173C9584">
            <w:pPr>
              <w:spacing w:line="259" w:lineRule="auto"/>
              <w:rPr>
                <w:rFonts w:ascii="Arial"/>
                <w:sz w:val="21"/>
              </w:rPr>
            </w:pPr>
          </w:p>
          <w:p w14:paraId="5DBD969D">
            <w:pPr>
              <w:pStyle w:val="8"/>
              <w:spacing w:before="58" w:line="183" w:lineRule="auto"/>
              <w:ind w:left="232"/>
            </w:pPr>
            <w:r>
              <w:rPr>
                <w:spacing w:val="-5"/>
              </w:rPr>
              <w:t>62</w:t>
            </w:r>
          </w:p>
        </w:tc>
        <w:tc>
          <w:tcPr>
            <w:tcW w:w="1104" w:type="dxa"/>
            <w:vAlign w:val="top"/>
          </w:tcPr>
          <w:p w14:paraId="67EA75A6">
            <w:pPr>
              <w:pStyle w:val="8"/>
              <w:spacing w:before="32" w:line="232"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域勘察设计</w:t>
            </w:r>
            <w:r>
              <w:rPr>
                <w:spacing w:val="1"/>
              </w:rPr>
              <w:t xml:space="preserve"> </w:t>
            </w:r>
            <w:r>
              <w:rPr>
                <w:spacing w:val="16"/>
              </w:rPr>
              <w:t>单位未依据</w:t>
            </w:r>
            <w:r>
              <w:rPr>
                <w:spacing w:val="1"/>
              </w:rPr>
              <w:t xml:space="preserve"> </w:t>
            </w:r>
            <w:r>
              <w:rPr>
                <w:spacing w:val="-17"/>
              </w:rPr>
              <w:t>批准文件、规</w:t>
            </w:r>
            <w:r>
              <w:rPr>
                <w:spacing w:val="3"/>
              </w:rPr>
              <w:t xml:space="preserve"> </w:t>
            </w:r>
            <w:r>
              <w:rPr>
                <w:spacing w:val="6"/>
              </w:rPr>
              <w:t>划或</w:t>
            </w:r>
            <w:r>
              <w:rPr>
                <w:spacing w:val="-39"/>
              </w:rPr>
              <w:t xml:space="preserve"> </w:t>
            </w:r>
            <w:r>
              <w:rPr>
                <w:spacing w:val="6"/>
              </w:rPr>
              <w:t>国家规</w:t>
            </w:r>
            <w:r>
              <w:t xml:space="preserve"> </w:t>
            </w:r>
            <w:r>
              <w:rPr>
                <w:spacing w:val="16"/>
              </w:rPr>
              <w:t>定编制建设</w:t>
            </w:r>
            <w:r>
              <w:rPr>
                <w:spacing w:val="1"/>
              </w:rPr>
              <w:t xml:space="preserve"> </w:t>
            </w:r>
            <w:r>
              <w:rPr>
                <w:spacing w:val="-17"/>
              </w:rPr>
              <w:t>工程勘察、设</w:t>
            </w:r>
            <w:r>
              <w:rPr>
                <w:spacing w:val="3"/>
              </w:rPr>
              <w:t xml:space="preserve"> </w:t>
            </w:r>
            <w:r>
              <w:rPr>
                <w:spacing w:val="16"/>
              </w:rPr>
              <w:t>计文件行为</w:t>
            </w:r>
            <w:r>
              <w:rPr>
                <w:spacing w:val="1"/>
              </w:rPr>
              <w:t xml:space="preserve"> </w:t>
            </w:r>
            <w:r>
              <w:rPr>
                <w:spacing w:val="-2"/>
              </w:rPr>
              <w:t>的行政处罚</w:t>
            </w:r>
          </w:p>
        </w:tc>
        <w:tc>
          <w:tcPr>
            <w:tcW w:w="1104" w:type="dxa"/>
            <w:vAlign w:val="top"/>
          </w:tcPr>
          <w:p w14:paraId="27B6EDCC">
            <w:pPr>
              <w:spacing w:line="251" w:lineRule="auto"/>
              <w:rPr>
                <w:rFonts w:ascii="Arial"/>
                <w:sz w:val="21"/>
              </w:rPr>
            </w:pPr>
          </w:p>
          <w:p w14:paraId="126271CF">
            <w:pPr>
              <w:spacing w:line="251" w:lineRule="auto"/>
              <w:rPr>
                <w:rFonts w:ascii="Arial"/>
                <w:sz w:val="21"/>
              </w:rPr>
            </w:pPr>
          </w:p>
          <w:p w14:paraId="45FE542B">
            <w:pPr>
              <w:spacing w:line="251" w:lineRule="auto"/>
              <w:rPr>
                <w:rFonts w:ascii="Arial"/>
                <w:sz w:val="21"/>
              </w:rPr>
            </w:pPr>
          </w:p>
          <w:p w14:paraId="5688BA5B">
            <w:pPr>
              <w:spacing w:line="252" w:lineRule="auto"/>
              <w:rPr>
                <w:rFonts w:ascii="Arial"/>
                <w:sz w:val="21"/>
              </w:rPr>
            </w:pPr>
          </w:p>
          <w:p w14:paraId="2AF70DA9">
            <w:pPr>
              <w:pStyle w:val="8"/>
              <w:spacing w:before="58" w:line="220" w:lineRule="auto"/>
              <w:ind w:left="10"/>
            </w:pPr>
            <w:r>
              <w:rPr>
                <w:spacing w:val="-2"/>
              </w:rPr>
              <w:t>行政处罚</w:t>
            </w:r>
          </w:p>
        </w:tc>
        <w:tc>
          <w:tcPr>
            <w:tcW w:w="8549" w:type="dxa"/>
            <w:vAlign w:val="top"/>
          </w:tcPr>
          <w:p w14:paraId="762B56CA">
            <w:pPr>
              <w:pStyle w:val="8"/>
              <w:spacing w:before="230" w:line="219" w:lineRule="auto"/>
              <w:ind w:left="476"/>
            </w:pPr>
            <w:r>
              <w:rPr>
                <w:b/>
                <w:bCs/>
                <w:spacing w:val="-3"/>
              </w:rPr>
              <w:t>《建设工程勘察设计管理条例》</w:t>
            </w:r>
          </w:p>
          <w:p w14:paraId="485FE487">
            <w:pPr>
              <w:pStyle w:val="8"/>
              <w:spacing w:before="25" w:line="233" w:lineRule="auto"/>
              <w:ind w:left="111" w:right="176" w:firstLine="360"/>
            </w:pPr>
            <w:r>
              <w:t>第二十五条  编制建设工程勘察、设计文件，</w:t>
            </w:r>
            <w:r>
              <w:rPr>
                <w:spacing w:val="-1"/>
              </w:rPr>
              <w:t>应当以下列规定为依据</w:t>
            </w:r>
            <w:r>
              <w:rPr>
                <w:spacing w:val="-2"/>
              </w:rPr>
              <w:t>：（</w:t>
            </w:r>
            <w:r>
              <w:rPr>
                <w:spacing w:val="-1"/>
              </w:rPr>
              <w:t>一）项目批准文件</w:t>
            </w:r>
            <w:r>
              <w:rPr>
                <w:spacing w:val="-2"/>
              </w:rPr>
              <w:t>；（</w:t>
            </w:r>
            <w:r>
              <w:rPr>
                <w:spacing w:val="-1"/>
              </w:rPr>
              <w:t>二）</w:t>
            </w:r>
            <w:r>
              <w:rPr>
                <w:spacing w:val="3"/>
              </w:rPr>
              <w:t xml:space="preserve"> </w:t>
            </w:r>
            <w:r>
              <w:rPr>
                <w:spacing w:val="-1"/>
              </w:rPr>
              <w:t>城乡规划</w:t>
            </w:r>
            <w:r>
              <w:t>；（</w:t>
            </w:r>
            <w:r>
              <w:rPr>
                <w:spacing w:val="-1"/>
              </w:rPr>
              <w:t>三）工程建设强制性标准</w:t>
            </w:r>
            <w:r>
              <w:t>；（</w:t>
            </w:r>
            <w:r>
              <w:rPr>
                <w:spacing w:val="-1"/>
              </w:rPr>
              <w:t>四）国家规定的建设工程勘察、设计深度要求。</w:t>
            </w:r>
          </w:p>
          <w:p w14:paraId="19871C89">
            <w:pPr>
              <w:pStyle w:val="8"/>
              <w:spacing w:before="25" w:line="219" w:lineRule="auto"/>
              <w:ind w:left="470"/>
            </w:pPr>
            <w:r>
              <w:rPr>
                <w:spacing w:val="-1"/>
              </w:rPr>
              <w:t>铁路、交通、水利等专业建设工程，还应当以专业规划</w:t>
            </w:r>
            <w:r>
              <w:rPr>
                <w:spacing w:val="-2"/>
              </w:rPr>
              <w:t>的要求为依据。</w:t>
            </w:r>
          </w:p>
          <w:p w14:paraId="33DB631A">
            <w:pPr>
              <w:pStyle w:val="8"/>
              <w:spacing w:before="28" w:line="239" w:lineRule="auto"/>
              <w:ind w:left="111" w:right="60" w:firstLine="359"/>
            </w:pPr>
            <w:r>
              <w:t>第四十条  违反本条例规定，勘察、设计单位未依据项目批准文件，城乡规划及</w:t>
            </w:r>
            <w:r>
              <w:rPr>
                <w:spacing w:val="-1"/>
              </w:rPr>
              <w:t>专业规划，国家规定</w:t>
            </w:r>
            <w:r>
              <w:t xml:space="preserve">  </w:t>
            </w:r>
            <w:r>
              <w:rPr>
                <w:spacing w:val="-1"/>
              </w:rPr>
              <w:t>的建设工程勘察、设计深度要求编制建设工程勘</w:t>
            </w:r>
            <w:r>
              <w:rPr>
                <w:spacing w:val="-2"/>
              </w:rPr>
              <w:t>察、设计文件的，责令限期改正；逾期不改正的，处</w:t>
            </w:r>
            <w:r>
              <w:rPr>
                <w:spacing w:val="-27"/>
              </w:rPr>
              <w:t xml:space="preserve"> </w:t>
            </w:r>
            <w:r>
              <w:rPr>
                <w:spacing w:val="-2"/>
              </w:rPr>
              <w:t>10</w:t>
            </w:r>
            <w:r>
              <w:rPr>
                <w:spacing w:val="-34"/>
              </w:rPr>
              <w:t xml:space="preserve"> </w:t>
            </w:r>
            <w:r>
              <w:rPr>
                <w:spacing w:val="-2"/>
              </w:rPr>
              <w:t>万</w:t>
            </w:r>
            <w:r>
              <w:t xml:space="preserve"> </w:t>
            </w:r>
            <w:r>
              <w:rPr>
                <w:spacing w:val="-4"/>
              </w:rPr>
              <w:t>元以上</w:t>
            </w:r>
            <w:r>
              <w:rPr>
                <w:spacing w:val="-33"/>
              </w:rPr>
              <w:t xml:space="preserve"> </w:t>
            </w:r>
            <w:r>
              <w:rPr>
                <w:spacing w:val="-4"/>
              </w:rPr>
              <w:t>30</w:t>
            </w:r>
            <w:r>
              <w:rPr>
                <w:spacing w:val="-37"/>
              </w:rPr>
              <w:t xml:space="preserve"> </w:t>
            </w:r>
            <w:r>
              <w:rPr>
                <w:spacing w:val="-4"/>
              </w:rPr>
              <w:t>万元以下的罚款；造成工程质量事故或者环境污染和生态破坏的，责令停业整顿</w:t>
            </w:r>
            <w:r>
              <w:rPr>
                <w:spacing w:val="-5"/>
              </w:rPr>
              <w:t>，降低资质等级；</w:t>
            </w:r>
            <w:r>
              <w:t xml:space="preserve"> </w:t>
            </w:r>
            <w:r>
              <w:rPr>
                <w:spacing w:val="-1"/>
              </w:rPr>
              <w:t>情节严重的，吊销资质证书；造成损失的，依法承</w:t>
            </w:r>
            <w:r>
              <w:rPr>
                <w:spacing w:val="-2"/>
              </w:rPr>
              <w:t>担赔偿责任。</w:t>
            </w:r>
          </w:p>
        </w:tc>
        <w:tc>
          <w:tcPr>
            <w:tcW w:w="1014" w:type="dxa"/>
            <w:vAlign w:val="top"/>
          </w:tcPr>
          <w:p w14:paraId="239FEDCC">
            <w:pPr>
              <w:spacing w:line="295" w:lineRule="auto"/>
              <w:rPr>
                <w:rFonts w:ascii="Arial"/>
                <w:sz w:val="21"/>
              </w:rPr>
            </w:pPr>
          </w:p>
          <w:p w14:paraId="0B7A43F2">
            <w:pPr>
              <w:spacing w:line="295" w:lineRule="auto"/>
              <w:rPr>
                <w:rFonts w:ascii="Arial"/>
                <w:sz w:val="21"/>
              </w:rPr>
            </w:pPr>
          </w:p>
          <w:p w14:paraId="248E3810">
            <w:pPr>
              <w:spacing w:line="295" w:lineRule="auto"/>
              <w:rPr>
                <w:rFonts w:ascii="Arial"/>
                <w:sz w:val="21"/>
              </w:rPr>
            </w:pPr>
          </w:p>
          <w:p w14:paraId="72CD219B">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06C71D05">
            <w:pPr>
              <w:spacing w:line="295" w:lineRule="auto"/>
              <w:rPr>
                <w:rFonts w:ascii="Arial"/>
                <w:sz w:val="21"/>
              </w:rPr>
            </w:pPr>
          </w:p>
          <w:p w14:paraId="2897AD00">
            <w:pPr>
              <w:spacing w:line="295" w:lineRule="auto"/>
              <w:rPr>
                <w:rFonts w:ascii="Arial"/>
                <w:sz w:val="21"/>
              </w:rPr>
            </w:pPr>
          </w:p>
          <w:p w14:paraId="0EAC8B8D">
            <w:pPr>
              <w:spacing w:line="295" w:lineRule="auto"/>
              <w:rPr>
                <w:rFonts w:ascii="Arial"/>
                <w:sz w:val="21"/>
              </w:rPr>
            </w:pPr>
          </w:p>
          <w:p w14:paraId="638266F5">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F68940A">
            <w:pPr>
              <w:spacing w:line="324" w:lineRule="auto"/>
              <w:rPr>
                <w:rFonts w:ascii="Arial"/>
                <w:sz w:val="21"/>
              </w:rPr>
            </w:pPr>
          </w:p>
          <w:p w14:paraId="7AB0993F">
            <w:pPr>
              <w:spacing w:line="324" w:lineRule="auto"/>
              <w:rPr>
                <w:rFonts w:ascii="Arial"/>
                <w:sz w:val="21"/>
              </w:rPr>
            </w:pPr>
          </w:p>
          <w:p w14:paraId="0500B4B9">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112B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4" w:hRule="atLeast"/>
        </w:trPr>
        <w:tc>
          <w:tcPr>
            <w:tcW w:w="624" w:type="dxa"/>
            <w:vAlign w:val="top"/>
          </w:tcPr>
          <w:p w14:paraId="2DA6D6F2">
            <w:pPr>
              <w:spacing w:line="268" w:lineRule="auto"/>
              <w:rPr>
                <w:rFonts w:ascii="Arial"/>
                <w:sz w:val="21"/>
              </w:rPr>
            </w:pPr>
          </w:p>
          <w:p w14:paraId="2CAC472D">
            <w:pPr>
              <w:spacing w:line="269" w:lineRule="auto"/>
              <w:rPr>
                <w:rFonts w:ascii="Arial"/>
                <w:sz w:val="21"/>
              </w:rPr>
            </w:pPr>
          </w:p>
          <w:p w14:paraId="4A5121EB">
            <w:pPr>
              <w:spacing w:line="269" w:lineRule="auto"/>
              <w:rPr>
                <w:rFonts w:ascii="Arial"/>
                <w:sz w:val="21"/>
              </w:rPr>
            </w:pPr>
          </w:p>
          <w:p w14:paraId="2EA22CBB">
            <w:pPr>
              <w:pStyle w:val="8"/>
              <w:spacing w:before="59" w:line="183" w:lineRule="auto"/>
              <w:ind w:left="232"/>
            </w:pPr>
            <w:r>
              <w:rPr>
                <w:spacing w:val="-5"/>
              </w:rPr>
              <w:t>63</w:t>
            </w:r>
          </w:p>
        </w:tc>
        <w:tc>
          <w:tcPr>
            <w:tcW w:w="1104" w:type="dxa"/>
            <w:vAlign w:val="top"/>
          </w:tcPr>
          <w:p w14:paraId="6A2AE6E3">
            <w:pPr>
              <w:pStyle w:val="8"/>
              <w:spacing w:before="32" w:line="231" w:lineRule="auto"/>
              <w:ind w:left="60" w:right="56"/>
              <w:jc w:val="both"/>
            </w:pPr>
            <w:r>
              <w:rPr>
                <w:spacing w:val="16"/>
              </w:rPr>
              <w:t>对公路水运</w:t>
            </w:r>
            <w:r>
              <w:rPr>
                <w:spacing w:val="1"/>
              </w:rPr>
              <w:t xml:space="preserve"> </w:t>
            </w:r>
            <w:r>
              <w:rPr>
                <w:spacing w:val="16"/>
              </w:rPr>
              <w:t>工程工地临</w:t>
            </w:r>
            <w:r>
              <w:rPr>
                <w:spacing w:val="1"/>
              </w:rPr>
              <w:t xml:space="preserve"> </w:t>
            </w:r>
            <w:r>
              <w:rPr>
                <w:spacing w:val="16"/>
              </w:rPr>
              <w:t>时试验室单</w:t>
            </w:r>
            <w:r>
              <w:rPr>
                <w:spacing w:val="1"/>
              </w:rPr>
              <w:t xml:space="preserve"> </w:t>
            </w:r>
            <w:r>
              <w:rPr>
                <w:spacing w:val="16"/>
              </w:rPr>
              <w:t>位出具虚假</w:t>
            </w:r>
            <w:r>
              <w:rPr>
                <w:spacing w:val="1"/>
              </w:rPr>
              <w:t xml:space="preserve"> </w:t>
            </w:r>
            <w:r>
              <w:rPr>
                <w:spacing w:val="16"/>
              </w:rPr>
              <w:t>试验检测数</w:t>
            </w:r>
            <w:r>
              <w:rPr>
                <w:spacing w:val="1"/>
              </w:rPr>
              <w:t xml:space="preserve"> </w:t>
            </w:r>
            <w:r>
              <w:rPr>
                <w:spacing w:val="16"/>
              </w:rPr>
              <w:t>据或报告行</w:t>
            </w:r>
            <w:r>
              <w:rPr>
                <w:spacing w:val="1"/>
              </w:rPr>
              <w:t xml:space="preserve"> </w:t>
            </w:r>
            <w:r>
              <w:rPr>
                <w:spacing w:val="16"/>
              </w:rPr>
              <w:t>为的行政处</w:t>
            </w:r>
            <w:r>
              <w:rPr>
                <w:spacing w:val="1"/>
              </w:rPr>
              <w:t xml:space="preserve"> </w:t>
            </w:r>
            <w:r>
              <w:t>罚</w:t>
            </w:r>
          </w:p>
        </w:tc>
        <w:tc>
          <w:tcPr>
            <w:tcW w:w="1104" w:type="dxa"/>
            <w:vAlign w:val="top"/>
          </w:tcPr>
          <w:p w14:paraId="23DA8B10">
            <w:pPr>
              <w:spacing w:line="259" w:lineRule="auto"/>
              <w:rPr>
                <w:rFonts w:ascii="Arial"/>
                <w:sz w:val="21"/>
              </w:rPr>
            </w:pPr>
          </w:p>
          <w:p w14:paraId="2D57F965">
            <w:pPr>
              <w:spacing w:line="259" w:lineRule="auto"/>
              <w:rPr>
                <w:rFonts w:ascii="Arial"/>
                <w:sz w:val="21"/>
              </w:rPr>
            </w:pPr>
          </w:p>
          <w:p w14:paraId="71A927CA">
            <w:pPr>
              <w:spacing w:line="260" w:lineRule="auto"/>
              <w:rPr>
                <w:rFonts w:ascii="Arial"/>
                <w:sz w:val="21"/>
              </w:rPr>
            </w:pPr>
          </w:p>
          <w:p w14:paraId="23183629">
            <w:pPr>
              <w:pStyle w:val="8"/>
              <w:spacing w:before="58" w:line="220" w:lineRule="auto"/>
              <w:ind w:left="10"/>
            </w:pPr>
            <w:r>
              <w:rPr>
                <w:spacing w:val="-2"/>
              </w:rPr>
              <w:t>行政处罚</w:t>
            </w:r>
          </w:p>
        </w:tc>
        <w:tc>
          <w:tcPr>
            <w:tcW w:w="8549" w:type="dxa"/>
            <w:vAlign w:val="top"/>
          </w:tcPr>
          <w:p w14:paraId="3FD01E8B">
            <w:pPr>
              <w:pStyle w:val="8"/>
              <w:spacing w:before="121" w:line="219" w:lineRule="auto"/>
              <w:ind w:left="476"/>
            </w:pPr>
            <w:r>
              <w:rPr>
                <w:b/>
                <w:bCs/>
                <w:spacing w:val="-3"/>
              </w:rPr>
              <w:t>《公路水运工程质量监督管理规定》（交通运输部令</w:t>
            </w:r>
            <w:r>
              <w:rPr>
                <w:spacing w:val="-34"/>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2"/>
              </w:rPr>
              <w:t xml:space="preserve"> </w:t>
            </w:r>
            <w:r>
              <w:rPr>
                <w:b/>
                <w:bCs/>
                <w:spacing w:val="-3"/>
              </w:rPr>
              <w:t>号）</w:t>
            </w:r>
          </w:p>
          <w:p w14:paraId="411E19B4">
            <w:pPr>
              <w:pStyle w:val="8"/>
              <w:spacing w:before="26" w:line="233" w:lineRule="auto"/>
              <w:ind w:left="115" w:right="159" w:firstLine="355"/>
            </w:pPr>
            <w:r>
              <w:t>第十八条  施工、监理单位应当按照合同约定设立工地临时试验室，严格按照工</w:t>
            </w:r>
            <w:r>
              <w:rPr>
                <w:spacing w:val="-1"/>
              </w:rPr>
              <w:t>程技术标准、检测规</w:t>
            </w:r>
            <w:r>
              <w:t xml:space="preserve"> </w:t>
            </w:r>
            <w:r>
              <w:rPr>
                <w:spacing w:val="-2"/>
              </w:rPr>
              <w:t>范和规程，在核定的试验检测参数范围内开展试验检测活动。</w:t>
            </w:r>
          </w:p>
          <w:p w14:paraId="2A638558">
            <w:pPr>
              <w:pStyle w:val="8"/>
              <w:spacing w:before="25" w:line="233" w:lineRule="auto"/>
              <w:ind w:left="111" w:right="159" w:firstLine="359"/>
            </w:pPr>
            <w:r>
              <w:t>施工、监理单位应当对其设立的工地临时试验室所出具的试验检测数据和报告的真</w:t>
            </w:r>
            <w:r>
              <w:rPr>
                <w:spacing w:val="-1"/>
              </w:rPr>
              <w:t>实性、客观性、准</w:t>
            </w:r>
            <w:r>
              <w:t xml:space="preserve"> </w:t>
            </w:r>
            <w:r>
              <w:rPr>
                <w:spacing w:val="-6"/>
              </w:rPr>
              <w:t>确性负责。</w:t>
            </w:r>
          </w:p>
          <w:p w14:paraId="733457CB">
            <w:pPr>
              <w:pStyle w:val="8"/>
              <w:spacing w:before="24" w:line="233" w:lineRule="auto"/>
              <w:ind w:left="117" w:right="58" w:firstLine="353"/>
            </w:pPr>
            <w:r>
              <w:rPr>
                <w:spacing w:val="-2"/>
              </w:rPr>
              <w:t>第四十四条  违反本规定第十八条规定，设立工地临时实验室的单位弄虚作假、出具虚假数据报告的，</w:t>
            </w:r>
            <w:r>
              <w:rPr>
                <w:spacing w:val="5"/>
              </w:rPr>
              <w:t xml:space="preserve"> </w:t>
            </w:r>
            <w:r>
              <w:rPr>
                <w:spacing w:val="-5"/>
              </w:rPr>
              <w:t>责令改正，处</w:t>
            </w:r>
            <w:r>
              <w:rPr>
                <w:spacing w:val="-14"/>
              </w:rPr>
              <w:t xml:space="preserve"> </w:t>
            </w:r>
            <w:r>
              <w:rPr>
                <w:spacing w:val="-5"/>
              </w:rPr>
              <w:t>1</w:t>
            </w:r>
            <w:r>
              <w:rPr>
                <w:spacing w:val="-34"/>
              </w:rPr>
              <w:t xml:space="preserve"> </w:t>
            </w:r>
            <w:r>
              <w:rPr>
                <w:spacing w:val="-5"/>
              </w:rPr>
              <w:t>万元以上</w:t>
            </w:r>
            <w:r>
              <w:rPr>
                <w:spacing w:val="-34"/>
              </w:rPr>
              <w:t xml:space="preserve"> </w:t>
            </w:r>
            <w:r>
              <w:rPr>
                <w:spacing w:val="-5"/>
              </w:rPr>
              <w:t>3</w:t>
            </w:r>
            <w:r>
              <w:rPr>
                <w:spacing w:val="-34"/>
              </w:rPr>
              <w:t xml:space="preserve"> </w:t>
            </w:r>
            <w:r>
              <w:rPr>
                <w:spacing w:val="-5"/>
              </w:rPr>
              <w:t>万元以下的罚款。</w:t>
            </w:r>
          </w:p>
        </w:tc>
        <w:tc>
          <w:tcPr>
            <w:tcW w:w="1014" w:type="dxa"/>
            <w:vAlign w:val="top"/>
          </w:tcPr>
          <w:p w14:paraId="2C7A99B4">
            <w:pPr>
              <w:spacing w:line="329" w:lineRule="auto"/>
              <w:rPr>
                <w:rFonts w:ascii="Arial"/>
                <w:sz w:val="21"/>
              </w:rPr>
            </w:pPr>
          </w:p>
          <w:p w14:paraId="6DFC828F">
            <w:pPr>
              <w:spacing w:line="329" w:lineRule="auto"/>
              <w:rPr>
                <w:rFonts w:ascii="Arial"/>
                <w:sz w:val="21"/>
              </w:rPr>
            </w:pPr>
          </w:p>
          <w:p w14:paraId="549FB546">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52D82331">
            <w:pPr>
              <w:spacing w:line="329" w:lineRule="auto"/>
              <w:rPr>
                <w:rFonts w:ascii="Arial"/>
                <w:sz w:val="21"/>
              </w:rPr>
            </w:pPr>
          </w:p>
          <w:p w14:paraId="1EDE2338">
            <w:pPr>
              <w:spacing w:line="329" w:lineRule="auto"/>
              <w:rPr>
                <w:rFonts w:ascii="Arial"/>
                <w:sz w:val="21"/>
              </w:rPr>
            </w:pPr>
          </w:p>
          <w:p w14:paraId="56BFE1AD">
            <w:pPr>
              <w:pStyle w:val="8"/>
              <w:spacing w:before="59" w:line="234" w:lineRule="auto"/>
              <w:ind w:left="115" w:right="104" w:firstLine="2"/>
              <w:rPr>
                <w:rFonts w:hint="eastAsia" w:eastAsia="宋体"/>
                <w:lang w:eastAsia="zh-CN"/>
              </w:rPr>
            </w:pPr>
            <w:r>
              <w:rPr>
                <w:rFonts w:hint="eastAsia"/>
                <w:spacing w:val="-12"/>
                <w:lang w:eastAsia="zh-CN"/>
              </w:rPr>
              <w:t>津市市交通运输局</w:t>
            </w:r>
          </w:p>
        </w:tc>
        <w:tc>
          <w:tcPr>
            <w:tcW w:w="1018" w:type="dxa"/>
            <w:vAlign w:val="top"/>
          </w:tcPr>
          <w:p w14:paraId="5332994B">
            <w:pPr>
              <w:spacing w:line="421" w:lineRule="auto"/>
              <w:rPr>
                <w:rFonts w:ascii="Arial"/>
                <w:sz w:val="21"/>
              </w:rPr>
            </w:pPr>
          </w:p>
          <w:p w14:paraId="1124D02E">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7017F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6" w:hRule="atLeast"/>
        </w:trPr>
        <w:tc>
          <w:tcPr>
            <w:tcW w:w="624" w:type="dxa"/>
            <w:vAlign w:val="top"/>
          </w:tcPr>
          <w:p w14:paraId="46EAE81B">
            <w:pPr>
              <w:spacing w:line="259" w:lineRule="auto"/>
              <w:rPr>
                <w:rFonts w:ascii="Arial"/>
                <w:sz w:val="21"/>
              </w:rPr>
            </w:pPr>
          </w:p>
          <w:p w14:paraId="39520454">
            <w:pPr>
              <w:spacing w:line="259" w:lineRule="auto"/>
              <w:rPr>
                <w:rFonts w:ascii="Arial"/>
                <w:sz w:val="21"/>
              </w:rPr>
            </w:pPr>
          </w:p>
          <w:p w14:paraId="60652A26">
            <w:pPr>
              <w:spacing w:line="259" w:lineRule="auto"/>
              <w:rPr>
                <w:rFonts w:ascii="Arial"/>
                <w:sz w:val="21"/>
              </w:rPr>
            </w:pPr>
          </w:p>
          <w:p w14:paraId="1E69DDEB">
            <w:pPr>
              <w:spacing w:line="259" w:lineRule="auto"/>
              <w:rPr>
                <w:rFonts w:ascii="Arial"/>
                <w:sz w:val="21"/>
              </w:rPr>
            </w:pPr>
          </w:p>
          <w:p w14:paraId="5E337DDB">
            <w:pPr>
              <w:pStyle w:val="8"/>
              <w:spacing w:before="59" w:line="183" w:lineRule="auto"/>
              <w:ind w:left="232"/>
            </w:pPr>
            <w:r>
              <w:rPr>
                <w:spacing w:val="-5"/>
              </w:rPr>
              <w:t>64</w:t>
            </w:r>
          </w:p>
        </w:tc>
        <w:tc>
          <w:tcPr>
            <w:tcW w:w="1104" w:type="dxa"/>
            <w:vAlign w:val="top"/>
          </w:tcPr>
          <w:p w14:paraId="531443F6">
            <w:pPr>
              <w:pStyle w:val="8"/>
              <w:spacing w:before="33" w:line="231" w:lineRule="auto"/>
              <w:ind w:left="63" w:right="56" w:hanging="3"/>
            </w:pPr>
            <w:r>
              <w:rPr>
                <w:spacing w:val="-2"/>
              </w:rPr>
              <w:t>对依照《建</w:t>
            </w:r>
            <w:r>
              <w:rPr>
                <w:spacing w:val="1"/>
              </w:rPr>
              <w:t xml:space="preserve">  </w:t>
            </w:r>
            <w:r>
              <w:rPr>
                <w:spacing w:val="15"/>
              </w:rPr>
              <w:t>设工程质量</w:t>
            </w:r>
            <w:r>
              <w:rPr>
                <w:spacing w:val="2"/>
              </w:rPr>
              <w:t xml:space="preserve"> </w:t>
            </w:r>
            <w:r>
              <w:rPr>
                <w:spacing w:val="-3"/>
              </w:rPr>
              <w:t>管理条例》</w:t>
            </w:r>
          </w:p>
          <w:p w14:paraId="37927E45">
            <w:pPr>
              <w:pStyle w:val="8"/>
              <w:spacing w:before="17" w:line="230" w:lineRule="auto"/>
              <w:ind w:left="60" w:right="56"/>
            </w:pPr>
            <w:r>
              <w:rPr>
                <w:spacing w:val="16"/>
              </w:rPr>
              <w:t>给予单位罚</w:t>
            </w:r>
            <w:r>
              <w:t xml:space="preserve"> </w:t>
            </w:r>
            <w:r>
              <w:rPr>
                <w:spacing w:val="8"/>
              </w:rPr>
              <w:t>款处</w:t>
            </w:r>
            <w:r>
              <w:rPr>
                <w:spacing w:val="-50"/>
              </w:rPr>
              <w:t xml:space="preserve"> </w:t>
            </w:r>
            <w:r>
              <w:rPr>
                <w:spacing w:val="8"/>
              </w:rPr>
              <w:t>罚的单</w:t>
            </w:r>
            <w:r>
              <w:t xml:space="preserve"> </w:t>
            </w:r>
            <w:r>
              <w:rPr>
                <w:spacing w:val="16"/>
              </w:rPr>
              <w:t>位直接负责</w:t>
            </w:r>
            <w:r>
              <w:t xml:space="preserve"> </w:t>
            </w:r>
            <w:r>
              <w:rPr>
                <w:spacing w:val="16"/>
              </w:rPr>
              <w:t>的主管人员</w:t>
            </w:r>
            <w:r>
              <w:t xml:space="preserve"> </w:t>
            </w:r>
            <w:r>
              <w:rPr>
                <w:spacing w:val="16"/>
              </w:rPr>
              <w:t>和其他直接</w:t>
            </w:r>
            <w:r>
              <w:t xml:space="preserve"> </w:t>
            </w:r>
            <w:r>
              <w:rPr>
                <w:spacing w:val="16"/>
              </w:rPr>
              <w:t>责任人员的</w:t>
            </w:r>
            <w:r>
              <w:t xml:space="preserve"> </w:t>
            </w:r>
            <w:r>
              <w:rPr>
                <w:spacing w:val="-2"/>
              </w:rPr>
              <w:t>行政处罚</w:t>
            </w:r>
          </w:p>
        </w:tc>
        <w:tc>
          <w:tcPr>
            <w:tcW w:w="1104" w:type="dxa"/>
            <w:vAlign w:val="top"/>
          </w:tcPr>
          <w:p w14:paraId="0FD95B84">
            <w:pPr>
              <w:spacing w:line="252" w:lineRule="auto"/>
              <w:rPr>
                <w:rFonts w:ascii="Arial"/>
                <w:sz w:val="21"/>
              </w:rPr>
            </w:pPr>
          </w:p>
          <w:p w14:paraId="16DA22E4">
            <w:pPr>
              <w:spacing w:line="252" w:lineRule="auto"/>
              <w:rPr>
                <w:rFonts w:ascii="Arial"/>
                <w:sz w:val="21"/>
              </w:rPr>
            </w:pPr>
          </w:p>
          <w:p w14:paraId="25B25F32">
            <w:pPr>
              <w:spacing w:line="252" w:lineRule="auto"/>
              <w:rPr>
                <w:rFonts w:ascii="Arial"/>
                <w:sz w:val="21"/>
              </w:rPr>
            </w:pPr>
          </w:p>
          <w:p w14:paraId="5F75370A">
            <w:pPr>
              <w:spacing w:line="252" w:lineRule="auto"/>
              <w:rPr>
                <w:rFonts w:ascii="Arial"/>
                <w:sz w:val="21"/>
              </w:rPr>
            </w:pPr>
          </w:p>
          <w:p w14:paraId="51445144">
            <w:pPr>
              <w:pStyle w:val="8"/>
              <w:spacing w:before="59" w:line="220" w:lineRule="auto"/>
              <w:ind w:left="10"/>
            </w:pPr>
            <w:r>
              <w:rPr>
                <w:spacing w:val="-2"/>
              </w:rPr>
              <w:t>行政处罚</w:t>
            </w:r>
          </w:p>
        </w:tc>
        <w:tc>
          <w:tcPr>
            <w:tcW w:w="8549" w:type="dxa"/>
            <w:vAlign w:val="top"/>
          </w:tcPr>
          <w:p w14:paraId="577EA700">
            <w:pPr>
              <w:spacing w:line="256" w:lineRule="auto"/>
              <w:rPr>
                <w:rFonts w:ascii="Arial"/>
                <w:sz w:val="21"/>
              </w:rPr>
            </w:pPr>
          </w:p>
          <w:p w14:paraId="40A1465B">
            <w:pPr>
              <w:spacing w:line="256" w:lineRule="auto"/>
              <w:rPr>
                <w:rFonts w:ascii="Arial"/>
                <w:sz w:val="21"/>
              </w:rPr>
            </w:pPr>
          </w:p>
          <w:p w14:paraId="7772D10B">
            <w:pPr>
              <w:spacing w:line="257" w:lineRule="auto"/>
              <w:rPr>
                <w:rFonts w:ascii="Arial"/>
                <w:sz w:val="21"/>
              </w:rPr>
            </w:pPr>
          </w:p>
          <w:p w14:paraId="3F5FB46D">
            <w:pPr>
              <w:pStyle w:val="8"/>
              <w:spacing w:before="59" w:line="219" w:lineRule="auto"/>
              <w:ind w:left="476"/>
            </w:pPr>
            <w:r>
              <w:rPr>
                <w:b/>
                <w:bCs/>
                <w:spacing w:val="-3"/>
              </w:rPr>
              <w:t>《公路水运工程质量监督管理规定》（交通运输部令</w:t>
            </w:r>
            <w:r>
              <w:rPr>
                <w:spacing w:val="-34"/>
              </w:rPr>
              <w:t xml:space="preserve"> </w:t>
            </w:r>
            <w:r>
              <w:rPr>
                <w:b/>
                <w:bCs/>
                <w:spacing w:val="-3"/>
              </w:rPr>
              <w:t>2017</w:t>
            </w:r>
            <w:r>
              <w:rPr>
                <w:spacing w:val="-38"/>
              </w:rPr>
              <w:t xml:space="preserve"> </w:t>
            </w:r>
            <w:r>
              <w:rPr>
                <w:b/>
                <w:bCs/>
                <w:spacing w:val="-3"/>
              </w:rPr>
              <w:t>年第</w:t>
            </w:r>
            <w:r>
              <w:rPr>
                <w:spacing w:val="-35"/>
              </w:rPr>
              <w:t xml:space="preserve"> </w:t>
            </w:r>
            <w:r>
              <w:rPr>
                <w:b/>
                <w:bCs/>
                <w:spacing w:val="-3"/>
              </w:rPr>
              <w:t>28</w:t>
            </w:r>
            <w:r>
              <w:rPr>
                <w:spacing w:val="-32"/>
              </w:rPr>
              <w:t xml:space="preserve"> </w:t>
            </w:r>
            <w:r>
              <w:rPr>
                <w:b/>
                <w:bCs/>
                <w:spacing w:val="-3"/>
              </w:rPr>
              <w:t>号）</w:t>
            </w:r>
          </w:p>
          <w:p w14:paraId="5F5C5072">
            <w:pPr>
              <w:pStyle w:val="8"/>
              <w:spacing w:before="26" w:line="233" w:lineRule="auto"/>
              <w:ind w:left="111" w:right="159" w:firstLine="359"/>
            </w:pPr>
            <w:r>
              <w:t>第四十六条  依照《建设工程质量管理条例》规定给予单位罚款处罚的，对单位</w:t>
            </w:r>
            <w:r>
              <w:rPr>
                <w:spacing w:val="-1"/>
              </w:rPr>
              <w:t>直接负责的主管人员</w:t>
            </w:r>
            <w:r>
              <w:t xml:space="preserve"> </w:t>
            </w:r>
            <w:r>
              <w:rPr>
                <w:spacing w:val="-2"/>
              </w:rPr>
              <w:t>和其他直接责任人员处单位罚款数额</w:t>
            </w:r>
            <w:r>
              <w:rPr>
                <w:spacing w:val="-34"/>
              </w:rPr>
              <w:t xml:space="preserve"> </w:t>
            </w:r>
            <w:r>
              <w:rPr>
                <w:spacing w:val="-2"/>
              </w:rPr>
              <w:t>5%以上</w:t>
            </w:r>
            <w:r>
              <w:rPr>
                <w:spacing w:val="-26"/>
              </w:rPr>
              <w:t xml:space="preserve"> </w:t>
            </w:r>
            <w:r>
              <w:rPr>
                <w:spacing w:val="-2"/>
              </w:rPr>
              <w:t>10%以下的</w:t>
            </w:r>
            <w:r>
              <w:rPr>
                <w:spacing w:val="-3"/>
              </w:rPr>
              <w:t>罚款。</w:t>
            </w:r>
          </w:p>
        </w:tc>
        <w:tc>
          <w:tcPr>
            <w:tcW w:w="1014" w:type="dxa"/>
            <w:vAlign w:val="top"/>
          </w:tcPr>
          <w:p w14:paraId="3F6454C3">
            <w:pPr>
              <w:spacing w:line="296" w:lineRule="auto"/>
              <w:rPr>
                <w:rFonts w:ascii="Arial"/>
                <w:sz w:val="21"/>
              </w:rPr>
            </w:pPr>
          </w:p>
          <w:p w14:paraId="4C7231B8">
            <w:pPr>
              <w:spacing w:line="296" w:lineRule="auto"/>
              <w:rPr>
                <w:rFonts w:ascii="Arial"/>
                <w:sz w:val="21"/>
              </w:rPr>
            </w:pPr>
          </w:p>
          <w:p w14:paraId="6065D3E7">
            <w:pPr>
              <w:spacing w:line="297" w:lineRule="auto"/>
              <w:rPr>
                <w:rFonts w:ascii="Arial"/>
                <w:sz w:val="21"/>
              </w:rPr>
            </w:pPr>
          </w:p>
          <w:p w14:paraId="2E794E4B">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BBAD1F8">
            <w:pPr>
              <w:spacing w:line="296" w:lineRule="auto"/>
              <w:rPr>
                <w:rFonts w:ascii="Arial"/>
                <w:sz w:val="21"/>
              </w:rPr>
            </w:pPr>
          </w:p>
          <w:p w14:paraId="6BF74266">
            <w:pPr>
              <w:spacing w:line="296" w:lineRule="auto"/>
              <w:rPr>
                <w:rFonts w:ascii="Arial"/>
                <w:sz w:val="21"/>
              </w:rPr>
            </w:pPr>
          </w:p>
          <w:p w14:paraId="56BB657F">
            <w:pPr>
              <w:spacing w:line="297" w:lineRule="auto"/>
              <w:rPr>
                <w:rFonts w:ascii="Arial"/>
                <w:sz w:val="21"/>
              </w:rPr>
            </w:pPr>
          </w:p>
          <w:p w14:paraId="6F17C8A5">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536AF6E">
            <w:pPr>
              <w:spacing w:line="326" w:lineRule="auto"/>
              <w:rPr>
                <w:rFonts w:ascii="Arial"/>
                <w:sz w:val="21"/>
              </w:rPr>
            </w:pPr>
          </w:p>
          <w:p w14:paraId="391B5486">
            <w:pPr>
              <w:spacing w:line="326" w:lineRule="auto"/>
              <w:rPr>
                <w:rFonts w:ascii="Arial"/>
                <w:sz w:val="21"/>
              </w:rPr>
            </w:pPr>
          </w:p>
          <w:p w14:paraId="1BACAFF2">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44A49F29">
      <w:pPr>
        <w:pStyle w:val="2"/>
      </w:pPr>
    </w:p>
    <w:p w14:paraId="7B3B3AB4">
      <w:pPr>
        <w:sectPr>
          <w:footerReference r:id="rId107" w:type="default"/>
          <w:pgSz w:w="16839" w:h="11906"/>
          <w:pgMar w:top="1012" w:right="991" w:bottom="967" w:left="1021" w:header="0" w:footer="768" w:gutter="0"/>
          <w:cols w:space="720" w:num="1"/>
        </w:sectPr>
      </w:pPr>
    </w:p>
    <w:p w14:paraId="1F9B58C5">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67EF7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4" w:type="dxa"/>
            <w:vMerge w:val="restart"/>
            <w:tcBorders>
              <w:bottom w:val="nil"/>
            </w:tcBorders>
            <w:vAlign w:val="top"/>
          </w:tcPr>
          <w:p w14:paraId="529EB1B9">
            <w:pPr>
              <w:pStyle w:val="8"/>
              <w:spacing w:before="267" w:line="221" w:lineRule="auto"/>
              <w:ind w:left="134"/>
            </w:pPr>
            <w:r>
              <w:rPr>
                <w:b/>
                <w:bCs/>
                <w:spacing w:val="-4"/>
              </w:rPr>
              <w:t>序号</w:t>
            </w:r>
          </w:p>
        </w:tc>
        <w:tc>
          <w:tcPr>
            <w:tcW w:w="1104" w:type="dxa"/>
            <w:vMerge w:val="restart"/>
            <w:tcBorders>
              <w:bottom w:val="nil"/>
            </w:tcBorders>
            <w:vAlign w:val="top"/>
          </w:tcPr>
          <w:p w14:paraId="05697825">
            <w:pPr>
              <w:pStyle w:val="8"/>
              <w:spacing w:before="260" w:line="220" w:lineRule="auto"/>
              <w:ind w:left="192"/>
            </w:pPr>
            <w:r>
              <w:rPr>
                <w:b/>
                <w:bCs/>
                <w:spacing w:val="-4"/>
              </w:rPr>
              <w:t>事项名称</w:t>
            </w:r>
          </w:p>
        </w:tc>
        <w:tc>
          <w:tcPr>
            <w:tcW w:w="1104" w:type="dxa"/>
            <w:vMerge w:val="restart"/>
            <w:tcBorders>
              <w:bottom w:val="nil"/>
            </w:tcBorders>
            <w:vAlign w:val="top"/>
          </w:tcPr>
          <w:p w14:paraId="4A040580">
            <w:pPr>
              <w:pStyle w:val="8"/>
              <w:spacing w:before="260" w:line="219" w:lineRule="auto"/>
              <w:ind w:left="193"/>
            </w:pPr>
            <w:r>
              <w:rPr>
                <w:b/>
                <w:bCs/>
                <w:spacing w:val="-4"/>
              </w:rPr>
              <w:t>职权类型</w:t>
            </w:r>
          </w:p>
        </w:tc>
        <w:tc>
          <w:tcPr>
            <w:tcW w:w="8549" w:type="dxa"/>
            <w:vMerge w:val="restart"/>
            <w:tcBorders>
              <w:bottom w:val="nil"/>
            </w:tcBorders>
            <w:vAlign w:val="top"/>
          </w:tcPr>
          <w:p w14:paraId="236D2639">
            <w:pPr>
              <w:pStyle w:val="8"/>
              <w:spacing w:before="259" w:line="219" w:lineRule="auto"/>
              <w:ind w:left="3921"/>
            </w:pPr>
            <w:r>
              <w:rPr>
                <w:b/>
                <w:bCs/>
                <w:spacing w:val="-5"/>
              </w:rPr>
              <w:t>实施依据</w:t>
            </w:r>
          </w:p>
        </w:tc>
        <w:tc>
          <w:tcPr>
            <w:tcW w:w="3439" w:type="dxa"/>
            <w:gridSpan w:val="3"/>
            <w:vAlign w:val="top"/>
          </w:tcPr>
          <w:p w14:paraId="120E1B3F">
            <w:pPr>
              <w:pStyle w:val="8"/>
              <w:spacing w:before="85" w:line="220" w:lineRule="auto"/>
              <w:ind w:left="1365"/>
            </w:pPr>
            <w:r>
              <w:rPr>
                <w:b/>
                <w:bCs/>
                <w:spacing w:val="-5"/>
              </w:rPr>
              <w:t>实施主体</w:t>
            </w:r>
          </w:p>
        </w:tc>
      </w:tr>
      <w:tr w14:paraId="01756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74FF2271">
            <w:pPr>
              <w:rPr>
                <w:rFonts w:ascii="Arial"/>
                <w:sz w:val="21"/>
              </w:rPr>
            </w:pPr>
          </w:p>
        </w:tc>
        <w:tc>
          <w:tcPr>
            <w:tcW w:w="1104" w:type="dxa"/>
            <w:vMerge w:val="continue"/>
            <w:tcBorders>
              <w:top w:val="nil"/>
            </w:tcBorders>
            <w:vAlign w:val="top"/>
          </w:tcPr>
          <w:p w14:paraId="7C129A8D">
            <w:pPr>
              <w:rPr>
                <w:rFonts w:ascii="Arial"/>
                <w:sz w:val="21"/>
              </w:rPr>
            </w:pPr>
          </w:p>
        </w:tc>
        <w:tc>
          <w:tcPr>
            <w:tcW w:w="1104" w:type="dxa"/>
            <w:vMerge w:val="continue"/>
            <w:tcBorders>
              <w:top w:val="nil"/>
            </w:tcBorders>
            <w:vAlign w:val="top"/>
          </w:tcPr>
          <w:p w14:paraId="5766D263">
            <w:pPr>
              <w:rPr>
                <w:rFonts w:ascii="Arial"/>
                <w:sz w:val="21"/>
              </w:rPr>
            </w:pPr>
          </w:p>
        </w:tc>
        <w:tc>
          <w:tcPr>
            <w:tcW w:w="8549" w:type="dxa"/>
            <w:vMerge w:val="continue"/>
            <w:tcBorders>
              <w:top w:val="nil"/>
            </w:tcBorders>
            <w:vAlign w:val="top"/>
          </w:tcPr>
          <w:p w14:paraId="7754FF8D">
            <w:pPr>
              <w:rPr>
                <w:rFonts w:ascii="Arial"/>
                <w:sz w:val="21"/>
              </w:rPr>
            </w:pPr>
          </w:p>
        </w:tc>
        <w:tc>
          <w:tcPr>
            <w:tcW w:w="1014" w:type="dxa"/>
            <w:vAlign w:val="top"/>
          </w:tcPr>
          <w:p w14:paraId="006ECAF1">
            <w:pPr>
              <w:pStyle w:val="8"/>
              <w:spacing w:before="80" w:line="219" w:lineRule="auto"/>
              <w:ind w:left="158"/>
            </w:pPr>
            <w:r>
              <w:rPr>
                <w:b/>
                <w:bCs/>
                <w:spacing w:val="-5"/>
              </w:rPr>
              <w:t>责任部门</w:t>
            </w:r>
          </w:p>
        </w:tc>
        <w:tc>
          <w:tcPr>
            <w:tcW w:w="1407" w:type="dxa"/>
            <w:vAlign w:val="top"/>
          </w:tcPr>
          <w:p w14:paraId="23D3967A">
            <w:pPr>
              <w:pStyle w:val="8"/>
              <w:spacing w:before="80" w:line="219" w:lineRule="auto"/>
              <w:ind w:left="167"/>
            </w:pPr>
            <w:r>
              <w:rPr>
                <w:b/>
                <w:bCs/>
                <w:spacing w:val="-3"/>
              </w:rPr>
              <w:t>第一责任层级</w:t>
            </w:r>
          </w:p>
        </w:tc>
        <w:tc>
          <w:tcPr>
            <w:tcW w:w="1018" w:type="dxa"/>
            <w:vAlign w:val="top"/>
          </w:tcPr>
          <w:p w14:paraId="69CC1E7F">
            <w:pPr>
              <w:pStyle w:val="8"/>
              <w:spacing w:before="80" w:line="219" w:lineRule="auto"/>
              <w:ind w:left="152"/>
            </w:pPr>
            <w:r>
              <w:rPr>
                <w:b/>
                <w:bCs/>
                <w:spacing w:val="-4"/>
              </w:rPr>
              <w:t>承办机构</w:t>
            </w:r>
          </w:p>
        </w:tc>
      </w:tr>
      <w:tr w14:paraId="1A537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2" w:hRule="atLeast"/>
        </w:trPr>
        <w:tc>
          <w:tcPr>
            <w:tcW w:w="624" w:type="dxa"/>
            <w:vAlign w:val="top"/>
          </w:tcPr>
          <w:p w14:paraId="204C62FD">
            <w:pPr>
              <w:spacing w:line="266" w:lineRule="auto"/>
              <w:rPr>
                <w:rFonts w:ascii="Arial"/>
                <w:sz w:val="21"/>
              </w:rPr>
            </w:pPr>
          </w:p>
          <w:p w14:paraId="64EA40DD">
            <w:pPr>
              <w:spacing w:line="267" w:lineRule="auto"/>
              <w:rPr>
                <w:rFonts w:ascii="Arial"/>
                <w:sz w:val="21"/>
              </w:rPr>
            </w:pPr>
          </w:p>
          <w:p w14:paraId="47C99546">
            <w:pPr>
              <w:spacing w:line="267" w:lineRule="auto"/>
              <w:rPr>
                <w:rFonts w:ascii="Arial"/>
                <w:sz w:val="21"/>
              </w:rPr>
            </w:pPr>
          </w:p>
          <w:p w14:paraId="16EFEE40">
            <w:pPr>
              <w:spacing w:line="267" w:lineRule="auto"/>
              <w:rPr>
                <w:rFonts w:ascii="Arial"/>
                <w:sz w:val="21"/>
              </w:rPr>
            </w:pPr>
          </w:p>
          <w:p w14:paraId="003B161C">
            <w:pPr>
              <w:spacing w:line="267" w:lineRule="auto"/>
              <w:rPr>
                <w:rFonts w:ascii="Arial"/>
                <w:sz w:val="21"/>
              </w:rPr>
            </w:pPr>
          </w:p>
          <w:p w14:paraId="705021C4">
            <w:pPr>
              <w:spacing w:line="267" w:lineRule="auto"/>
              <w:rPr>
                <w:rFonts w:ascii="Arial"/>
                <w:sz w:val="21"/>
              </w:rPr>
            </w:pPr>
          </w:p>
          <w:p w14:paraId="6A51CE8C">
            <w:pPr>
              <w:spacing w:line="267" w:lineRule="auto"/>
              <w:rPr>
                <w:rFonts w:ascii="Arial"/>
                <w:sz w:val="21"/>
              </w:rPr>
            </w:pPr>
          </w:p>
          <w:p w14:paraId="20A17DCF">
            <w:pPr>
              <w:spacing w:line="267" w:lineRule="auto"/>
              <w:rPr>
                <w:rFonts w:ascii="Arial"/>
                <w:sz w:val="21"/>
              </w:rPr>
            </w:pPr>
          </w:p>
          <w:p w14:paraId="40D49BE3">
            <w:pPr>
              <w:pStyle w:val="8"/>
              <w:spacing w:before="58" w:line="183" w:lineRule="auto"/>
              <w:ind w:left="232"/>
            </w:pPr>
            <w:r>
              <w:rPr>
                <w:spacing w:val="-5"/>
              </w:rPr>
              <w:t>65</w:t>
            </w:r>
          </w:p>
        </w:tc>
        <w:tc>
          <w:tcPr>
            <w:tcW w:w="1104" w:type="dxa"/>
            <w:vAlign w:val="top"/>
          </w:tcPr>
          <w:p w14:paraId="0024B053">
            <w:pPr>
              <w:spacing w:line="254" w:lineRule="auto"/>
              <w:rPr>
                <w:rFonts w:ascii="Arial"/>
                <w:sz w:val="21"/>
              </w:rPr>
            </w:pPr>
          </w:p>
          <w:p w14:paraId="6640B715">
            <w:pPr>
              <w:spacing w:line="254" w:lineRule="auto"/>
              <w:rPr>
                <w:rFonts w:ascii="Arial"/>
                <w:sz w:val="21"/>
              </w:rPr>
            </w:pPr>
          </w:p>
          <w:p w14:paraId="72ACAFAD">
            <w:pPr>
              <w:spacing w:line="254" w:lineRule="auto"/>
              <w:rPr>
                <w:rFonts w:ascii="Arial"/>
                <w:sz w:val="21"/>
              </w:rPr>
            </w:pPr>
          </w:p>
          <w:p w14:paraId="58A53AD7">
            <w:pPr>
              <w:spacing w:line="254" w:lineRule="auto"/>
              <w:rPr>
                <w:rFonts w:ascii="Arial"/>
                <w:sz w:val="21"/>
              </w:rPr>
            </w:pPr>
          </w:p>
          <w:p w14:paraId="04CF839A">
            <w:pPr>
              <w:spacing w:line="255" w:lineRule="auto"/>
              <w:rPr>
                <w:rFonts w:ascii="Arial"/>
                <w:sz w:val="21"/>
              </w:rPr>
            </w:pPr>
          </w:p>
          <w:p w14:paraId="4B35B319">
            <w:pPr>
              <w:pStyle w:val="8"/>
              <w:spacing w:before="58" w:line="243" w:lineRule="auto"/>
              <w:ind w:left="60" w:right="56"/>
              <w:jc w:val="both"/>
            </w:pPr>
            <w:r>
              <w:rPr>
                <w:spacing w:val="16"/>
              </w:rPr>
              <w:t>对公路水运</w:t>
            </w:r>
            <w:r>
              <w:rPr>
                <w:spacing w:val="1"/>
              </w:rPr>
              <w:t xml:space="preserve"> </w:t>
            </w:r>
            <w:r>
              <w:rPr>
                <w:spacing w:val="16"/>
              </w:rPr>
              <w:t>工程从业单</w:t>
            </w:r>
            <w:r>
              <w:t xml:space="preserve"> </w:t>
            </w:r>
            <w:r>
              <w:rPr>
                <w:spacing w:val="16"/>
              </w:rPr>
              <w:t>位未全面履</w:t>
            </w:r>
            <w:r>
              <w:t xml:space="preserve"> </w:t>
            </w:r>
            <w:r>
              <w:rPr>
                <w:spacing w:val="16"/>
              </w:rPr>
              <w:t>行安全生产</w:t>
            </w:r>
            <w:r>
              <w:t xml:space="preserve"> </w:t>
            </w:r>
            <w:r>
              <w:rPr>
                <w:spacing w:val="-2"/>
              </w:rPr>
              <w:t>责任，导致</w:t>
            </w:r>
            <w:r>
              <w:t xml:space="preserve">  </w:t>
            </w:r>
            <w:r>
              <w:rPr>
                <w:spacing w:val="16"/>
              </w:rPr>
              <w:t>重大事故隐</w:t>
            </w:r>
            <w:r>
              <w:t xml:space="preserve"> </w:t>
            </w:r>
            <w:r>
              <w:rPr>
                <w:spacing w:val="16"/>
              </w:rPr>
              <w:t>患等行为的</w:t>
            </w:r>
            <w:r>
              <w:t xml:space="preserve"> </w:t>
            </w:r>
            <w:r>
              <w:rPr>
                <w:spacing w:val="-2"/>
              </w:rPr>
              <w:t>行政处罚</w:t>
            </w:r>
          </w:p>
        </w:tc>
        <w:tc>
          <w:tcPr>
            <w:tcW w:w="1104" w:type="dxa"/>
            <w:vAlign w:val="top"/>
          </w:tcPr>
          <w:p w14:paraId="0B9FED75">
            <w:pPr>
              <w:spacing w:line="263" w:lineRule="auto"/>
              <w:rPr>
                <w:rFonts w:ascii="Arial"/>
                <w:sz w:val="21"/>
              </w:rPr>
            </w:pPr>
          </w:p>
          <w:p w14:paraId="6D4224D8">
            <w:pPr>
              <w:spacing w:line="263" w:lineRule="auto"/>
              <w:rPr>
                <w:rFonts w:ascii="Arial"/>
                <w:sz w:val="21"/>
              </w:rPr>
            </w:pPr>
          </w:p>
          <w:p w14:paraId="3B867388">
            <w:pPr>
              <w:spacing w:line="263" w:lineRule="auto"/>
              <w:rPr>
                <w:rFonts w:ascii="Arial"/>
                <w:sz w:val="21"/>
              </w:rPr>
            </w:pPr>
          </w:p>
          <w:p w14:paraId="71F388FE">
            <w:pPr>
              <w:spacing w:line="263" w:lineRule="auto"/>
              <w:rPr>
                <w:rFonts w:ascii="Arial"/>
                <w:sz w:val="21"/>
              </w:rPr>
            </w:pPr>
          </w:p>
          <w:p w14:paraId="3CA3D2A9">
            <w:pPr>
              <w:spacing w:line="263" w:lineRule="auto"/>
              <w:rPr>
                <w:rFonts w:ascii="Arial"/>
                <w:sz w:val="21"/>
              </w:rPr>
            </w:pPr>
          </w:p>
          <w:p w14:paraId="292C688F">
            <w:pPr>
              <w:spacing w:line="263" w:lineRule="auto"/>
              <w:rPr>
                <w:rFonts w:ascii="Arial"/>
                <w:sz w:val="21"/>
              </w:rPr>
            </w:pPr>
          </w:p>
          <w:p w14:paraId="30F8A3AD">
            <w:pPr>
              <w:spacing w:line="264" w:lineRule="auto"/>
              <w:rPr>
                <w:rFonts w:ascii="Arial"/>
                <w:sz w:val="21"/>
              </w:rPr>
            </w:pPr>
          </w:p>
          <w:p w14:paraId="533DC72E">
            <w:pPr>
              <w:spacing w:line="264" w:lineRule="auto"/>
              <w:rPr>
                <w:rFonts w:ascii="Arial"/>
                <w:sz w:val="21"/>
              </w:rPr>
            </w:pPr>
          </w:p>
          <w:p w14:paraId="5DCC83BD">
            <w:pPr>
              <w:pStyle w:val="8"/>
              <w:spacing w:before="59" w:line="220" w:lineRule="auto"/>
              <w:ind w:left="10"/>
            </w:pPr>
            <w:r>
              <w:rPr>
                <w:spacing w:val="-2"/>
              </w:rPr>
              <w:t>行政处罚</w:t>
            </w:r>
          </w:p>
        </w:tc>
        <w:tc>
          <w:tcPr>
            <w:tcW w:w="8549" w:type="dxa"/>
            <w:vAlign w:val="top"/>
          </w:tcPr>
          <w:p w14:paraId="073B8ACB">
            <w:pPr>
              <w:pStyle w:val="8"/>
              <w:spacing w:before="25" w:line="219" w:lineRule="auto"/>
              <w:ind w:left="476"/>
            </w:pPr>
            <w:r>
              <w:rPr>
                <w:b/>
                <w:bCs/>
                <w:spacing w:val="-3"/>
              </w:rPr>
              <w:t>《公路水运工程安全生产监督管理办法》（交通运输部令</w:t>
            </w:r>
            <w:r>
              <w:rPr>
                <w:spacing w:val="-29"/>
              </w:rPr>
              <w:t xml:space="preserve"> </w:t>
            </w:r>
            <w:r>
              <w:rPr>
                <w:b/>
                <w:bCs/>
                <w:spacing w:val="-3"/>
              </w:rPr>
              <w:t>2017</w:t>
            </w:r>
            <w:r>
              <w:rPr>
                <w:spacing w:val="-38"/>
              </w:rPr>
              <w:t xml:space="preserve"> </w:t>
            </w:r>
            <w:r>
              <w:rPr>
                <w:b/>
                <w:bCs/>
                <w:spacing w:val="-3"/>
              </w:rPr>
              <w:t>年第</w:t>
            </w:r>
            <w:r>
              <w:rPr>
                <w:spacing w:val="-35"/>
              </w:rPr>
              <w:t xml:space="preserve"> </w:t>
            </w:r>
            <w:r>
              <w:rPr>
                <w:b/>
                <w:bCs/>
                <w:spacing w:val="-3"/>
              </w:rPr>
              <w:t>25</w:t>
            </w:r>
            <w:r>
              <w:rPr>
                <w:spacing w:val="-35"/>
              </w:rPr>
              <w:t xml:space="preserve"> </w:t>
            </w:r>
            <w:r>
              <w:rPr>
                <w:b/>
                <w:bCs/>
                <w:spacing w:val="-3"/>
              </w:rPr>
              <w:t>号）</w:t>
            </w:r>
          </w:p>
          <w:p w14:paraId="27CD7E7A">
            <w:pPr>
              <w:pStyle w:val="8"/>
              <w:spacing w:before="11" w:line="227" w:lineRule="auto"/>
              <w:ind w:left="112" w:right="44" w:firstLine="358"/>
            </w:pPr>
            <w:r>
              <w:rPr>
                <w:spacing w:val="-1"/>
              </w:rPr>
              <w:t>第二十二条  公路水运工程施工现场的办</w:t>
            </w:r>
            <w:r>
              <w:rPr>
                <w:spacing w:val="-2"/>
              </w:rPr>
              <w:t>公、生活区与作业区应当分开设置，并保持安全距离。办公、</w:t>
            </w:r>
            <w:r>
              <w:t xml:space="preserve"> </w:t>
            </w:r>
            <w:r>
              <w:rPr>
                <w:spacing w:val="-1"/>
              </w:rPr>
              <w:t>生活区的选址应当符合安全性要求，严禁在已发现的泥石流影响区、滑坡体等危险区域设置施工驻地。</w:t>
            </w:r>
          </w:p>
          <w:p w14:paraId="0FED006F">
            <w:pPr>
              <w:pStyle w:val="8"/>
              <w:spacing w:before="11" w:line="225" w:lineRule="auto"/>
              <w:ind w:left="111" w:right="159" w:firstLine="359"/>
            </w:pPr>
            <w:r>
              <w:t>施工作业区应当根据施工安全风险辨识结果，确定不同风险等级的管理要求，合理</w:t>
            </w:r>
            <w:r>
              <w:rPr>
                <w:spacing w:val="-1"/>
              </w:rPr>
              <w:t>布设。在风险等级</w:t>
            </w:r>
            <w:r>
              <w:t xml:space="preserve"> </w:t>
            </w:r>
            <w:r>
              <w:rPr>
                <w:spacing w:val="-2"/>
              </w:rPr>
              <w:t>较高的区域应当设置警戒区和风险告知牌。</w:t>
            </w:r>
          </w:p>
          <w:p w14:paraId="4421F17B">
            <w:pPr>
              <w:pStyle w:val="8"/>
              <w:spacing w:before="13" w:line="225" w:lineRule="auto"/>
              <w:ind w:left="111" w:right="159" w:firstLine="359"/>
            </w:pPr>
            <w:r>
              <w:t>施工作业点应当设置明显的安全警示标志，按规定设置安全防护设施。施工便道便</w:t>
            </w:r>
            <w:r>
              <w:rPr>
                <w:spacing w:val="-1"/>
              </w:rPr>
              <w:t>桥、临时码头应当</w:t>
            </w:r>
            <w:r>
              <w:t xml:space="preserve"> </w:t>
            </w:r>
            <w:r>
              <w:rPr>
                <w:spacing w:val="-1"/>
              </w:rPr>
              <w:t>满足通行和安全作业要求，施工便桥和临时码头还应当提供临边防护和水上救生等设施。</w:t>
            </w:r>
          </w:p>
          <w:p w14:paraId="3B0A1A3E">
            <w:pPr>
              <w:pStyle w:val="8"/>
              <w:spacing w:before="12" w:line="218" w:lineRule="auto"/>
              <w:ind w:left="471"/>
            </w:pPr>
            <w:r>
              <w:rPr>
                <w:spacing w:val="-1"/>
              </w:rPr>
              <w:t>第二十四条  公路水运工程建设应当实施安全生产风险管理，按规定开展设计、施工安全风险评估。</w:t>
            </w:r>
          </w:p>
          <w:p w14:paraId="4F3036C1">
            <w:pPr>
              <w:pStyle w:val="8"/>
              <w:spacing w:before="15" w:line="218" w:lineRule="auto"/>
              <w:ind w:left="474"/>
            </w:pPr>
            <w:r>
              <w:rPr>
                <w:spacing w:val="-2"/>
              </w:rPr>
              <w:t>设计单位应当依据风险评估结论，对设计方案进行修改完善。</w:t>
            </w:r>
          </w:p>
          <w:p w14:paraId="295B28CD">
            <w:pPr>
              <w:pStyle w:val="8"/>
              <w:spacing w:before="13" w:line="225" w:lineRule="auto"/>
              <w:ind w:left="115" w:right="159" w:firstLine="354"/>
            </w:pPr>
            <w:r>
              <w:t>施工单位应当依据风险评估结论，对风险等级较高的分部分项工程编制专项施工方</w:t>
            </w:r>
            <w:r>
              <w:rPr>
                <w:spacing w:val="-1"/>
              </w:rPr>
              <w:t>案，并附安全验算</w:t>
            </w:r>
            <w:r>
              <w:t xml:space="preserve"> </w:t>
            </w:r>
            <w:r>
              <w:rPr>
                <w:spacing w:val="-2"/>
              </w:rPr>
              <w:t>结果，经施工单位技术负责人签字后报监理工程师批准执行。</w:t>
            </w:r>
          </w:p>
          <w:p w14:paraId="7F2AFC6E">
            <w:pPr>
              <w:pStyle w:val="8"/>
              <w:spacing w:before="12" w:line="220" w:lineRule="auto"/>
              <w:ind w:left="474"/>
            </w:pPr>
            <w:r>
              <w:rPr>
                <w:spacing w:val="-2"/>
              </w:rPr>
              <w:t>必要时，施工单位应当组织专家对专项施工方案进行论证、审核。</w:t>
            </w:r>
          </w:p>
          <w:p w14:paraId="43157586">
            <w:pPr>
              <w:pStyle w:val="8"/>
              <w:spacing w:before="11" w:line="225" w:lineRule="auto"/>
              <w:ind w:left="112" w:right="159" w:firstLine="358"/>
            </w:pPr>
            <w:r>
              <w:t>第二十七条  从业单位应当建立健全安全生产责任制，明确各岗位的责任人员、</w:t>
            </w:r>
            <w:r>
              <w:rPr>
                <w:spacing w:val="-1"/>
              </w:rPr>
              <w:t>责任范围和考核标准</w:t>
            </w:r>
            <w:r>
              <w:t xml:space="preserve"> </w:t>
            </w:r>
            <w:r>
              <w:rPr>
                <w:spacing w:val="-1"/>
              </w:rPr>
              <w:t>等内容。从业单位应当建立相应的机制，加强对安全生产责任制落实情况的监督考核。</w:t>
            </w:r>
          </w:p>
          <w:p w14:paraId="36E79C78">
            <w:pPr>
              <w:pStyle w:val="8"/>
              <w:spacing w:before="14" w:line="226" w:lineRule="auto"/>
              <w:ind w:left="111" w:right="30" w:firstLine="359"/>
            </w:pPr>
            <w:r>
              <w:t>第五十五条  从业单位及相关责任人违反本办法规定，有下列行为之一的，责令</w:t>
            </w:r>
            <w:r>
              <w:rPr>
                <w:spacing w:val="-1"/>
              </w:rPr>
              <w:t>限期改正；逾期未改</w:t>
            </w:r>
            <w:r>
              <w:t xml:space="preserve">  </w:t>
            </w:r>
            <w:r>
              <w:rPr>
                <w:spacing w:val="-2"/>
              </w:rPr>
              <w:t>正的，对从业单位处</w:t>
            </w:r>
            <w:r>
              <w:rPr>
                <w:spacing w:val="-23"/>
              </w:rPr>
              <w:t xml:space="preserve"> </w:t>
            </w:r>
            <w:r>
              <w:rPr>
                <w:spacing w:val="-2"/>
              </w:rPr>
              <w:t>1</w:t>
            </w:r>
            <w:r>
              <w:rPr>
                <w:spacing w:val="-35"/>
              </w:rPr>
              <w:t xml:space="preserve"> </w:t>
            </w:r>
            <w:r>
              <w:rPr>
                <w:spacing w:val="-2"/>
              </w:rPr>
              <w:t>万元以上</w:t>
            </w:r>
            <w:r>
              <w:rPr>
                <w:spacing w:val="-33"/>
              </w:rPr>
              <w:t xml:space="preserve"> </w:t>
            </w:r>
            <w:r>
              <w:rPr>
                <w:spacing w:val="-2"/>
              </w:rPr>
              <w:t>3</w:t>
            </w:r>
            <w:r>
              <w:rPr>
                <w:spacing w:val="-35"/>
              </w:rPr>
              <w:t xml:space="preserve"> </w:t>
            </w:r>
            <w:r>
              <w:rPr>
                <w:spacing w:val="-2"/>
              </w:rPr>
              <w:t>万元以下的罚款；构成犯罪的，依法移送司法部门追究刑事责任</w:t>
            </w:r>
            <w:r>
              <w:rPr>
                <w:spacing w:val="-12"/>
              </w:rPr>
              <w:t>：（</w:t>
            </w:r>
            <w:r>
              <w:rPr>
                <w:spacing w:val="-2"/>
              </w:rPr>
              <w:t>一）</w:t>
            </w:r>
            <w:r>
              <w:t xml:space="preserve"> </w:t>
            </w:r>
            <w:r>
              <w:rPr>
                <w:spacing w:val="-1"/>
              </w:rPr>
              <w:t>从业单位未全面履行安全生产责任，导致重大事故隐患的</w:t>
            </w:r>
            <w:r>
              <w:rPr>
                <w:spacing w:val="-3"/>
              </w:rPr>
              <w:t>；（</w:t>
            </w:r>
            <w:r>
              <w:rPr>
                <w:spacing w:val="-1"/>
              </w:rPr>
              <w:t>二）未按规定开展设计</w:t>
            </w:r>
            <w:r>
              <w:rPr>
                <w:spacing w:val="-2"/>
              </w:rPr>
              <w:t>、施工安全风险评估，</w:t>
            </w:r>
            <w:r>
              <w:rPr>
                <w:spacing w:val="1"/>
              </w:rPr>
              <w:t xml:space="preserve"> </w:t>
            </w:r>
            <w:r>
              <w:t>或者风险评估结论与实际情况严重不符，导致重大事故隐患未被及时发现的；（三）</w:t>
            </w:r>
            <w:r>
              <w:rPr>
                <w:spacing w:val="-1"/>
              </w:rPr>
              <w:t>未按批准的专项施工</w:t>
            </w:r>
            <w:r>
              <w:t xml:space="preserve">  </w:t>
            </w:r>
            <w:r>
              <w:rPr>
                <w:spacing w:val="-1"/>
              </w:rPr>
              <w:t>方案进行施工，导致重大事故隐患的</w:t>
            </w:r>
            <w:r>
              <w:rPr>
                <w:spacing w:val="-4"/>
              </w:rPr>
              <w:t>；（</w:t>
            </w:r>
            <w:r>
              <w:rPr>
                <w:spacing w:val="-1"/>
              </w:rPr>
              <w:t>四）在已发现的泥石流影响区、滑坡体等危险区</w:t>
            </w:r>
            <w:r>
              <w:rPr>
                <w:spacing w:val="-2"/>
              </w:rPr>
              <w:t>域设置施工驻地，</w:t>
            </w:r>
            <w:r>
              <w:rPr>
                <w:spacing w:val="1"/>
              </w:rPr>
              <w:t xml:space="preserve"> </w:t>
            </w:r>
            <w:r>
              <w:rPr>
                <w:spacing w:val="-4"/>
              </w:rPr>
              <w:t>导致重大事故隐患的。</w:t>
            </w:r>
          </w:p>
        </w:tc>
        <w:tc>
          <w:tcPr>
            <w:tcW w:w="1014" w:type="dxa"/>
            <w:vAlign w:val="top"/>
          </w:tcPr>
          <w:p w14:paraId="74783DF6">
            <w:pPr>
              <w:spacing w:line="248" w:lineRule="auto"/>
              <w:rPr>
                <w:rFonts w:ascii="Arial"/>
                <w:sz w:val="21"/>
              </w:rPr>
            </w:pPr>
          </w:p>
          <w:p w14:paraId="772A7C59">
            <w:pPr>
              <w:spacing w:line="248" w:lineRule="auto"/>
              <w:rPr>
                <w:rFonts w:ascii="Arial"/>
                <w:sz w:val="21"/>
              </w:rPr>
            </w:pPr>
          </w:p>
          <w:p w14:paraId="718CBF46">
            <w:pPr>
              <w:spacing w:line="248" w:lineRule="auto"/>
              <w:rPr>
                <w:rFonts w:ascii="Arial"/>
                <w:sz w:val="21"/>
              </w:rPr>
            </w:pPr>
          </w:p>
          <w:p w14:paraId="08421745">
            <w:pPr>
              <w:spacing w:line="248" w:lineRule="auto"/>
              <w:rPr>
                <w:rFonts w:ascii="Arial"/>
                <w:sz w:val="21"/>
              </w:rPr>
            </w:pPr>
          </w:p>
          <w:p w14:paraId="2D581049">
            <w:pPr>
              <w:spacing w:line="248" w:lineRule="auto"/>
              <w:rPr>
                <w:rFonts w:ascii="Arial"/>
                <w:sz w:val="21"/>
              </w:rPr>
            </w:pPr>
          </w:p>
          <w:p w14:paraId="34B4EE08">
            <w:pPr>
              <w:spacing w:line="249" w:lineRule="auto"/>
              <w:rPr>
                <w:rFonts w:ascii="Arial"/>
                <w:sz w:val="21"/>
              </w:rPr>
            </w:pPr>
          </w:p>
          <w:p w14:paraId="74BD361C">
            <w:pPr>
              <w:spacing w:line="249" w:lineRule="auto"/>
              <w:rPr>
                <w:rFonts w:ascii="Arial"/>
                <w:sz w:val="21"/>
              </w:rPr>
            </w:pPr>
          </w:p>
          <w:p w14:paraId="44BDAA7F">
            <w:pPr>
              <w:spacing w:line="249" w:lineRule="auto"/>
              <w:rPr>
                <w:rFonts w:ascii="Arial"/>
                <w:sz w:val="21"/>
              </w:rPr>
            </w:pPr>
          </w:p>
          <w:p w14:paraId="257F8014">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6CA6840E">
            <w:pPr>
              <w:spacing w:line="248" w:lineRule="auto"/>
              <w:rPr>
                <w:rFonts w:ascii="Arial"/>
                <w:sz w:val="21"/>
              </w:rPr>
            </w:pPr>
          </w:p>
          <w:p w14:paraId="7481AA93">
            <w:pPr>
              <w:spacing w:line="248" w:lineRule="auto"/>
              <w:rPr>
                <w:rFonts w:ascii="Arial"/>
                <w:sz w:val="21"/>
              </w:rPr>
            </w:pPr>
          </w:p>
          <w:p w14:paraId="500DE43B">
            <w:pPr>
              <w:spacing w:line="248" w:lineRule="auto"/>
              <w:rPr>
                <w:rFonts w:ascii="Arial"/>
                <w:sz w:val="21"/>
              </w:rPr>
            </w:pPr>
          </w:p>
          <w:p w14:paraId="17AF88C6">
            <w:pPr>
              <w:spacing w:line="248" w:lineRule="auto"/>
              <w:rPr>
                <w:rFonts w:ascii="Arial"/>
                <w:sz w:val="21"/>
              </w:rPr>
            </w:pPr>
          </w:p>
          <w:p w14:paraId="1D2DFB2A">
            <w:pPr>
              <w:spacing w:line="248" w:lineRule="auto"/>
              <w:rPr>
                <w:rFonts w:ascii="Arial"/>
                <w:sz w:val="21"/>
              </w:rPr>
            </w:pPr>
          </w:p>
          <w:p w14:paraId="4D0FEDC8">
            <w:pPr>
              <w:spacing w:line="249" w:lineRule="auto"/>
              <w:rPr>
                <w:rFonts w:ascii="Arial"/>
                <w:sz w:val="21"/>
              </w:rPr>
            </w:pPr>
          </w:p>
          <w:p w14:paraId="52E55FAD">
            <w:pPr>
              <w:spacing w:line="249" w:lineRule="auto"/>
              <w:rPr>
                <w:rFonts w:ascii="Arial"/>
                <w:sz w:val="21"/>
              </w:rPr>
            </w:pPr>
          </w:p>
          <w:p w14:paraId="6C83BE9C">
            <w:pPr>
              <w:spacing w:line="249" w:lineRule="auto"/>
              <w:rPr>
                <w:rFonts w:ascii="Arial"/>
                <w:sz w:val="21"/>
              </w:rPr>
            </w:pPr>
          </w:p>
          <w:p w14:paraId="0DF393C7">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32B845F">
            <w:pPr>
              <w:spacing w:line="250" w:lineRule="auto"/>
              <w:rPr>
                <w:rFonts w:ascii="Arial"/>
                <w:sz w:val="21"/>
              </w:rPr>
            </w:pPr>
          </w:p>
          <w:p w14:paraId="395A2FB6">
            <w:pPr>
              <w:spacing w:line="250" w:lineRule="auto"/>
              <w:rPr>
                <w:rFonts w:ascii="Arial"/>
                <w:sz w:val="21"/>
              </w:rPr>
            </w:pPr>
          </w:p>
          <w:p w14:paraId="648A0038">
            <w:pPr>
              <w:spacing w:line="250" w:lineRule="auto"/>
              <w:rPr>
                <w:rFonts w:ascii="Arial"/>
                <w:sz w:val="21"/>
              </w:rPr>
            </w:pPr>
          </w:p>
          <w:p w14:paraId="147F9BA6">
            <w:pPr>
              <w:spacing w:line="250" w:lineRule="auto"/>
              <w:rPr>
                <w:rFonts w:ascii="Arial"/>
                <w:sz w:val="21"/>
              </w:rPr>
            </w:pPr>
          </w:p>
          <w:p w14:paraId="4AC563EB">
            <w:pPr>
              <w:spacing w:line="250" w:lineRule="auto"/>
              <w:rPr>
                <w:rFonts w:ascii="Arial"/>
                <w:sz w:val="21"/>
              </w:rPr>
            </w:pPr>
          </w:p>
          <w:p w14:paraId="13DE9342">
            <w:pPr>
              <w:spacing w:line="250" w:lineRule="auto"/>
              <w:rPr>
                <w:rFonts w:ascii="Arial"/>
                <w:sz w:val="21"/>
              </w:rPr>
            </w:pPr>
          </w:p>
          <w:p w14:paraId="650F4829">
            <w:pPr>
              <w:spacing w:line="250" w:lineRule="auto"/>
              <w:rPr>
                <w:rFonts w:ascii="Arial"/>
                <w:sz w:val="21"/>
              </w:rPr>
            </w:pPr>
          </w:p>
          <w:p w14:paraId="315D630B">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93CB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9" w:hRule="atLeast"/>
        </w:trPr>
        <w:tc>
          <w:tcPr>
            <w:tcW w:w="624" w:type="dxa"/>
            <w:vAlign w:val="top"/>
          </w:tcPr>
          <w:p w14:paraId="04E3BE69">
            <w:pPr>
              <w:spacing w:line="243" w:lineRule="auto"/>
              <w:rPr>
                <w:rFonts w:ascii="Arial"/>
                <w:sz w:val="21"/>
              </w:rPr>
            </w:pPr>
          </w:p>
          <w:p w14:paraId="3BE62761">
            <w:pPr>
              <w:spacing w:line="243" w:lineRule="auto"/>
              <w:rPr>
                <w:rFonts w:ascii="Arial"/>
                <w:sz w:val="21"/>
              </w:rPr>
            </w:pPr>
          </w:p>
          <w:p w14:paraId="2906ED4F">
            <w:pPr>
              <w:spacing w:line="244" w:lineRule="auto"/>
              <w:rPr>
                <w:rFonts w:ascii="Arial"/>
                <w:sz w:val="21"/>
              </w:rPr>
            </w:pPr>
          </w:p>
          <w:p w14:paraId="39CB4D99">
            <w:pPr>
              <w:spacing w:line="244" w:lineRule="auto"/>
              <w:rPr>
                <w:rFonts w:ascii="Arial"/>
                <w:sz w:val="21"/>
              </w:rPr>
            </w:pPr>
          </w:p>
          <w:p w14:paraId="6259A3F2">
            <w:pPr>
              <w:spacing w:line="244" w:lineRule="auto"/>
              <w:rPr>
                <w:rFonts w:ascii="Arial"/>
                <w:sz w:val="21"/>
              </w:rPr>
            </w:pPr>
          </w:p>
          <w:p w14:paraId="3BEFA18A">
            <w:pPr>
              <w:spacing w:line="244" w:lineRule="auto"/>
              <w:rPr>
                <w:rFonts w:ascii="Arial"/>
                <w:sz w:val="21"/>
              </w:rPr>
            </w:pPr>
          </w:p>
          <w:p w14:paraId="1C856DCE">
            <w:pPr>
              <w:spacing w:line="244" w:lineRule="auto"/>
              <w:rPr>
                <w:rFonts w:ascii="Arial"/>
                <w:sz w:val="21"/>
              </w:rPr>
            </w:pPr>
          </w:p>
          <w:p w14:paraId="0FEFF3C5">
            <w:pPr>
              <w:spacing w:line="244" w:lineRule="auto"/>
              <w:rPr>
                <w:rFonts w:ascii="Arial"/>
                <w:sz w:val="21"/>
              </w:rPr>
            </w:pPr>
          </w:p>
          <w:p w14:paraId="3ECB920B">
            <w:pPr>
              <w:pStyle w:val="8"/>
              <w:spacing w:before="59" w:line="183" w:lineRule="auto"/>
              <w:ind w:left="232"/>
            </w:pPr>
            <w:r>
              <w:rPr>
                <w:spacing w:val="-5"/>
              </w:rPr>
              <w:t>66</w:t>
            </w:r>
          </w:p>
        </w:tc>
        <w:tc>
          <w:tcPr>
            <w:tcW w:w="1104" w:type="dxa"/>
            <w:vAlign w:val="top"/>
          </w:tcPr>
          <w:p w14:paraId="000E943B">
            <w:pPr>
              <w:spacing w:line="242" w:lineRule="auto"/>
              <w:rPr>
                <w:rFonts w:ascii="Arial"/>
                <w:sz w:val="21"/>
              </w:rPr>
            </w:pPr>
          </w:p>
          <w:p w14:paraId="6341D73B">
            <w:pPr>
              <w:spacing w:line="242" w:lineRule="auto"/>
              <w:rPr>
                <w:rFonts w:ascii="Arial"/>
                <w:sz w:val="21"/>
              </w:rPr>
            </w:pPr>
          </w:p>
          <w:p w14:paraId="6E3E7FC2">
            <w:pPr>
              <w:spacing w:line="243" w:lineRule="auto"/>
              <w:rPr>
                <w:rFonts w:ascii="Arial"/>
                <w:sz w:val="21"/>
              </w:rPr>
            </w:pPr>
          </w:p>
          <w:p w14:paraId="61B0A218">
            <w:pPr>
              <w:spacing w:line="243" w:lineRule="auto"/>
              <w:rPr>
                <w:rFonts w:ascii="Arial"/>
                <w:sz w:val="21"/>
              </w:rPr>
            </w:pPr>
          </w:p>
          <w:p w14:paraId="14D2DF94">
            <w:pPr>
              <w:pStyle w:val="8"/>
              <w:spacing w:before="59" w:line="243" w:lineRule="auto"/>
              <w:ind w:left="60"/>
              <w:jc w:val="both"/>
            </w:pPr>
            <w:r>
              <w:rPr>
                <w:spacing w:val="15"/>
              </w:rPr>
              <w:t>对申请公路</w:t>
            </w:r>
            <w:r>
              <w:rPr>
                <w:spacing w:val="2"/>
              </w:rPr>
              <w:t xml:space="preserve"> </w:t>
            </w:r>
            <w:r>
              <w:rPr>
                <w:spacing w:val="15"/>
              </w:rPr>
              <w:t>建设行业从</w:t>
            </w:r>
            <w:r>
              <w:rPr>
                <w:spacing w:val="2"/>
              </w:rPr>
              <w:t xml:space="preserve"> </w:t>
            </w:r>
            <w:r>
              <w:rPr>
                <w:spacing w:val="15"/>
              </w:rPr>
              <w:t>业许可过程</w:t>
            </w:r>
            <w:r>
              <w:rPr>
                <w:spacing w:val="2"/>
              </w:rPr>
              <w:t xml:space="preserve"> </w:t>
            </w:r>
            <w:r>
              <w:rPr>
                <w:spacing w:val="-7"/>
              </w:rPr>
              <w:t>中弄虚作假、</w:t>
            </w:r>
            <w:r>
              <w:t xml:space="preserve"> </w:t>
            </w:r>
            <w:r>
              <w:rPr>
                <w:spacing w:val="-17"/>
              </w:rPr>
              <w:t>以欺骗、贿赂</w:t>
            </w:r>
            <w:r>
              <w:t xml:space="preserve"> </w:t>
            </w:r>
            <w:r>
              <w:rPr>
                <w:spacing w:val="15"/>
              </w:rPr>
              <w:t>等不正当手</w:t>
            </w:r>
            <w:r>
              <w:rPr>
                <w:spacing w:val="2"/>
              </w:rPr>
              <w:t xml:space="preserve"> </w:t>
            </w:r>
            <w:r>
              <w:rPr>
                <w:spacing w:val="15"/>
              </w:rPr>
              <w:t>段取得从业</w:t>
            </w:r>
            <w:r>
              <w:rPr>
                <w:spacing w:val="2"/>
              </w:rPr>
              <w:t xml:space="preserve"> </w:t>
            </w:r>
            <w:r>
              <w:rPr>
                <w:spacing w:val="15"/>
              </w:rPr>
              <w:t>许可等行为</w:t>
            </w:r>
            <w:r>
              <w:rPr>
                <w:spacing w:val="2"/>
              </w:rPr>
              <w:t xml:space="preserve"> </w:t>
            </w:r>
            <w:r>
              <w:rPr>
                <w:spacing w:val="-2"/>
              </w:rPr>
              <w:t>的行政处罚</w:t>
            </w:r>
          </w:p>
        </w:tc>
        <w:tc>
          <w:tcPr>
            <w:tcW w:w="1104" w:type="dxa"/>
            <w:vAlign w:val="top"/>
          </w:tcPr>
          <w:p w14:paraId="79625B8C">
            <w:pPr>
              <w:rPr>
                <w:rFonts w:ascii="Arial"/>
                <w:sz w:val="21"/>
              </w:rPr>
            </w:pPr>
          </w:p>
          <w:p w14:paraId="343D22CE">
            <w:pPr>
              <w:rPr>
                <w:rFonts w:ascii="Arial"/>
                <w:sz w:val="21"/>
              </w:rPr>
            </w:pPr>
          </w:p>
          <w:p w14:paraId="761BEE5A">
            <w:pPr>
              <w:rPr>
                <w:rFonts w:ascii="Arial"/>
                <w:sz w:val="21"/>
              </w:rPr>
            </w:pPr>
          </w:p>
          <w:p w14:paraId="2C2EA807">
            <w:pPr>
              <w:rPr>
                <w:rFonts w:ascii="Arial"/>
                <w:sz w:val="21"/>
              </w:rPr>
            </w:pPr>
          </w:p>
          <w:p w14:paraId="77EBB6E0">
            <w:pPr>
              <w:rPr>
                <w:rFonts w:ascii="Arial"/>
                <w:sz w:val="21"/>
              </w:rPr>
            </w:pPr>
          </w:p>
          <w:p w14:paraId="59FFDC0E">
            <w:pPr>
              <w:rPr>
                <w:rFonts w:ascii="Arial"/>
                <w:sz w:val="21"/>
              </w:rPr>
            </w:pPr>
          </w:p>
          <w:p w14:paraId="52BAADDA">
            <w:pPr>
              <w:spacing w:line="241" w:lineRule="auto"/>
              <w:rPr>
                <w:rFonts w:ascii="Arial"/>
                <w:sz w:val="21"/>
              </w:rPr>
            </w:pPr>
          </w:p>
          <w:p w14:paraId="7E236A7A">
            <w:pPr>
              <w:spacing w:line="241" w:lineRule="auto"/>
              <w:rPr>
                <w:rFonts w:ascii="Arial"/>
                <w:sz w:val="21"/>
              </w:rPr>
            </w:pPr>
          </w:p>
          <w:p w14:paraId="102A898C">
            <w:pPr>
              <w:pStyle w:val="8"/>
              <w:spacing w:before="59" w:line="220" w:lineRule="auto"/>
              <w:ind w:left="10"/>
            </w:pPr>
            <w:r>
              <w:rPr>
                <w:spacing w:val="-2"/>
              </w:rPr>
              <w:t>行政处罚</w:t>
            </w:r>
          </w:p>
        </w:tc>
        <w:tc>
          <w:tcPr>
            <w:tcW w:w="8549" w:type="dxa"/>
            <w:vAlign w:val="top"/>
          </w:tcPr>
          <w:p w14:paraId="7C974247">
            <w:pPr>
              <w:pStyle w:val="8"/>
              <w:spacing w:before="181" w:line="219" w:lineRule="auto"/>
              <w:ind w:left="484"/>
            </w:pPr>
            <w:r>
              <w:rPr>
                <w:b/>
                <w:bCs/>
                <w:spacing w:val="-4"/>
              </w:rPr>
              <w:t>1.《中华人民共和国行政许可法》</w:t>
            </w:r>
          </w:p>
          <w:p w14:paraId="73C362FB">
            <w:pPr>
              <w:pStyle w:val="8"/>
              <w:spacing w:before="12" w:line="227" w:lineRule="auto"/>
              <w:ind w:left="111" w:right="159" w:firstLine="360"/>
              <w:jc w:val="both"/>
            </w:pPr>
            <w:r>
              <w:t>第三十一条第一款  申请人申请行政许可，应当如实向行政机关提交有关材料和</w:t>
            </w:r>
            <w:r>
              <w:rPr>
                <w:spacing w:val="-1"/>
              </w:rPr>
              <w:t>反映真实情况，并对</w:t>
            </w:r>
            <w:r>
              <w:t xml:space="preserve"> 其申请材料实质内容的真实性负责。行政机关不得要求申请人提交与其申请的行政许</w:t>
            </w:r>
            <w:r>
              <w:rPr>
                <w:spacing w:val="-1"/>
              </w:rPr>
              <w:t>可事项无关的技术资</w:t>
            </w:r>
            <w:r>
              <w:t xml:space="preserve"> </w:t>
            </w:r>
            <w:r>
              <w:rPr>
                <w:spacing w:val="-5"/>
              </w:rPr>
              <w:t>料和其他材料。</w:t>
            </w:r>
          </w:p>
          <w:p w14:paraId="008F9AB1">
            <w:pPr>
              <w:pStyle w:val="8"/>
              <w:spacing w:before="12" w:line="228" w:lineRule="auto"/>
              <w:ind w:left="113" w:right="60" w:firstLine="357"/>
              <w:jc w:val="both"/>
            </w:pPr>
            <w:r>
              <w:rPr>
                <w:spacing w:val="-2"/>
              </w:rPr>
              <w:t>第七十九条  被许可人以欺骗、贿赂等不正当手段取得行政许可的，行政机关应当依法给予行政处罚；</w:t>
            </w:r>
            <w:r>
              <w:rPr>
                <w:spacing w:val="3"/>
              </w:rPr>
              <w:t xml:space="preserve"> </w:t>
            </w:r>
            <w:r>
              <w:t>取得的行政许可属于直接关系公共安全、人身健康、生命财产安全事项的，申请</w:t>
            </w:r>
            <w:r>
              <w:rPr>
                <w:spacing w:val="-1"/>
              </w:rPr>
              <w:t>人在三年内不得再次申请</w:t>
            </w:r>
            <w:r>
              <w:t xml:space="preserve">  </w:t>
            </w:r>
            <w:r>
              <w:rPr>
                <w:spacing w:val="-2"/>
              </w:rPr>
              <w:t>该行政许可；构成犯罪的，依法追究刑事责任。</w:t>
            </w:r>
          </w:p>
          <w:p w14:paraId="18FDC595">
            <w:pPr>
              <w:pStyle w:val="8"/>
              <w:spacing w:before="12" w:line="219" w:lineRule="auto"/>
              <w:ind w:left="473"/>
            </w:pPr>
            <w:r>
              <w:rPr>
                <w:b/>
                <w:bCs/>
                <w:spacing w:val="-3"/>
              </w:rPr>
              <w:t>2.《公路建设市场管理办法》（交通运输部令</w:t>
            </w:r>
            <w:r>
              <w:rPr>
                <w:spacing w:val="-35"/>
              </w:rPr>
              <w:t xml:space="preserve"> </w:t>
            </w:r>
            <w:r>
              <w:rPr>
                <w:b/>
                <w:bCs/>
                <w:spacing w:val="-3"/>
              </w:rPr>
              <w:t>2</w:t>
            </w:r>
            <w:r>
              <w:rPr>
                <w:b/>
                <w:bCs/>
                <w:spacing w:val="-4"/>
              </w:rPr>
              <w:t>015</w:t>
            </w:r>
            <w:r>
              <w:rPr>
                <w:spacing w:val="-38"/>
              </w:rPr>
              <w:t xml:space="preserve"> </w:t>
            </w:r>
            <w:r>
              <w:rPr>
                <w:b/>
                <w:bCs/>
                <w:spacing w:val="-4"/>
              </w:rPr>
              <w:t>年第</w:t>
            </w:r>
            <w:r>
              <w:rPr>
                <w:spacing w:val="-24"/>
              </w:rPr>
              <w:t xml:space="preserve"> </w:t>
            </w:r>
            <w:r>
              <w:rPr>
                <w:b/>
                <w:bCs/>
                <w:spacing w:val="-4"/>
              </w:rPr>
              <w:t>11</w:t>
            </w:r>
            <w:r>
              <w:rPr>
                <w:spacing w:val="-31"/>
              </w:rPr>
              <w:t xml:space="preserve"> </w:t>
            </w:r>
            <w:r>
              <w:rPr>
                <w:b/>
                <w:bCs/>
                <w:spacing w:val="-4"/>
              </w:rPr>
              <w:t>号）</w:t>
            </w:r>
          </w:p>
          <w:p w14:paraId="45B7EFE5">
            <w:pPr>
              <w:pStyle w:val="8"/>
              <w:spacing w:before="13" w:line="225" w:lineRule="auto"/>
              <w:ind w:left="111" w:right="159" w:firstLine="359"/>
            </w:pPr>
            <w:r>
              <w:t>第十三条  公路工程勘察、设计、施工、监理、试验检测等从业单位应当按照法</w:t>
            </w:r>
            <w:r>
              <w:rPr>
                <w:spacing w:val="-1"/>
              </w:rPr>
              <w:t>律、法规的规定，取</w:t>
            </w:r>
            <w:r>
              <w:t xml:space="preserve"> </w:t>
            </w:r>
            <w:r>
              <w:rPr>
                <w:spacing w:val="-1"/>
              </w:rPr>
              <w:t>得有关管理部门颁发的相应资质后，方可进入</w:t>
            </w:r>
            <w:r>
              <w:rPr>
                <w:spacing w:val="-2"/>
              </w:rPr>
              <w:t>公路建设市场。</w:t>
            </w:r>
          </w:p>
          <w:p w14:paraId="20D8738C">
            <w:pPr>
              <w:pStyle w:val="8"/>
              <w:spacing w:before="10" w:line="227" w:lineRule="auto"/>
              <w:ind w:left="110" w:right="159" w:firstLine="360"/>
            </w:pPr>
            <w:r>
              <w:t>第十四条  法律、法规对公路建设从业人员的执业资格作出规定的，从业人员应</w:t>
            </w:r>
            <w:r>
              <w:rPr>
                <w:spacing w:val="-1"/>
              </w:rPr>
              <w:t>当依法取得相应的执</w:t>
            </w:r>
            <w:r>
              <w:t xml:space="preserve"> </w:t>
            </w:r>
            <w:r>
              <w:rPr>
                <w:spacing w:val="-2"/>
              </w:rPr>
              <w:t>业资格后，方可进入公路建设市场。</w:t>
            </w:r>
          </w:p>
          <w:p w14:paraId="0C5FD46A">
            <w:pPr>
              <w:pStyle w:val="8"/>
              <w:spacing w:before="10" w:line="228" w:lineRule="auto"/>
              <w:ind w:left="111" w:right="159" w:firstLine="360"/>
              <w:jc w:val="both"/>
            </w:pPr>
            <w:r>
              <w:t>第四十八条  从业单位违反本办法规定，在申请公路建设从业许可时，隐瞒有关</w:t>
            </w:r>
            <w:r>
              <w:rPr>
                <w:spacing w:val="-1"/>
              </w:rPr>
              <w:t>情况或者提供虚假材</w:t>
            </w:r>
            <w:r>
              <w:t xml:space="preserve"> </w:t>
            </w:r>
            <w:r>
              <w:rPr>
                <w:spacing w:val="-1"/>
              </w:rPr>
              <w:t>料的，行政机关不予受理或者不予行政许可，并给予警告；行政许可申请人在</w:t>
            </w:r>
            <w:r>
              <w:rPr>
                <w:spacing w:val="-15"/>
              </w:rPr>
              <w:t xml:space="preserve"> </w:t>
            </w:r>
            <w:r>
              <w:rPr>
                <w:spacing w:val="-1"/>
              </w:rPr>
              <w:t>1</w:t>
            </w:r>
            <w:r>
              <w:rPr>
                <w:spacing w:val="-38"/>
              </w:rPr>
              <w:t xml:space="preserve"> </w:t>
            </w:r>
            <w:r>
              <w:rPr>
                <w:spacing w:val="-1"/>
              </w:rPr>
              <w:t>年内不得再次申请该行政</w:t>
            </w:r>
            <w:r>
              <w:t xml:space="preserve"> </w:t>
            </w:r>
            <w:r>
              <w:rPr>
                <w:spacing w:val="-8"/>
              </w:rPr>
              <w:t>许可。</w:t>
            </w:r>
          </w:p>
          <w:p w14:paraId="63EA949B">
            <w:pPr>
              <w:pStyle w:val="8"/>
              <w:spacing w:before="11" w:line="225" w:lineRule="auto"/>
              <w:ind w:left="134" w:right="206" w:firstLine="336"/>
            </w:pPr>
            <w:r>
              <w:rPr>
                <w:spacing w:val="-1"/>
              </w:rPr>
              <w:t>被许可人以欺骗、贿赂等不正当手段取得从业许可的，行政机关应当依照</w:t>
            </w:r>
            <w:r>
              <w:rPr>
                <w:spacing w:val="-2"/>
              </w:rPr>
              <w:t>法律、法规给予行政处罚；</w:t>
            </w:r>
            <w:r>
              <w:t xml:space="preserve"> </w:t>
            </w:r>
            <w:r>
              <w:rPr>
                <w:spacing w:val="-2"/>
              </w:rPr>
              <w:t>申请人在</w:t>
            </w:r>
            <w:r>
              <w:rPr>
                <w:spacing w:val="-34"/>
              </w:rPr>
              <w:t xml:space="preserve"> </w:t>
            </w:r>
            <w:r>
              <w:rPr>
                <w:spacing w:val="-2"/>
              </w:rPr>
              <w:t>3</w:t>
            </w:r>
            <w:r>
              <w:rPr>
                <w:spacing w:val="-38"/>
              </w:rPr>
              <w:t xml:space="preserve"> </w:t>
            </w:r>
            <w:r>
              <w:rPr>
                <w:spacing w:val="-2"/>
              </w:rPr>
              <w:t>年内不得再次申请该行政许可；构成犯罪的，依法</w:t>
            </w:r>
            <w:r>
              <w:rPr>
                <w:spacing w:val="-3"/>
              </w:rPr>
              <w:t>追究刑事责任。</w:t>
            </w:r>
          </w:p>
        </w:tc>
        <w:tc>
          <w:tcPr>
            <w:tcW w:w="1014" w:type="dxa"/>
            <w:vAlign w:val="top"/>
          </w:tcPr>
          <w:p w14:paraId="505E9FA1">
            <w:pPr>
              <w:spacing w:line="257" w:lineRule="auto"/>
              <w:rPr>
                <w:rFonts w:ascii="Arial"/>
                <w:sz w:val="21"/>
              </w:rPr>
            </w:pPr>
          </w:p>
          <w:p w14:paraId="65A1563A">
            <w:pPr>
              <w:spacing w:line="257" w:lineRule="auto"/>
              <w:rPr>
                <w:rFonts w:ascii="Arial"/>
                <w:sz w:val="21"/>
              </w:rPr>
            </w:pPr>
          </w:p>
          <w:p w14:paraId="50021B3B">
            <w:pPr>
              <w:spacing w:line="257" w:lineRule="auto"/>
              <w:rPr>
                <w:rFonts w:ascii="Arial"/>
                <w:sz w:val="21"/>
              </w:rPr>
            </w:pPr>
          </w:p>
          <w:p w14:paraId="392CDC2D">
            <w:pPr>
              <w:spacing w:line="258" w:lineRule="auto"/>
              <w:rPr>
                <w:rFonts w:ascii="Arial"/>
                <w:sz w:val="21"/>
              </w:rPr>
            </w:pPr>
          </w:p>
          <w:p w14:paraId="34C208BF">
            <w:pPr>
              <w:spacing w:line="258" w:lineRule="auto"/>
              <w:rPr>
                <w:rFonts w:ascii="Arial"/>
                <w:sz w:val="21"/>
              </w:rPr>
            </w:pPr>
          </w:p>
          <w:p w14:paraId="167CC1C7">
            <w:pPr>
              <w:spacing w:line="258" w:lineRule="auto"/>
              <w:rPr>
                <w:rFonts w:ascii="Arial"/>
                <w:sz w:val="21"/>
              </w:rPr>
            </w:pPr>
          </w:p>
          <w:p w14:paraId="0B9A84AD">
            <w:pPr>
              <w:spacing w:line="258" w:lineRule="auto"/>
              <w:rPr>
                <w:rFonts w:ascii="Arial"/>
                <w:sz w:val="21"/>
              </w:rPr>
            </w:pPr>
          </w:p>
          <w:p w14:paraId="5583E6B7">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648801BC">
            <w:pPr>
              <w:spacing w:line="257" w:lineRule="auto"/>
              <w:rPr>
                <w:rFonts w:ascii="Arial"/>
                <w:sz w:val="21"/>
              </w:rPr>
            </w:pPr>
          </w:p>
          <w:p w14:paraId="430878DD">
            <w:pPr>
              <w:spacing w:line="257" w:lineRule="auto"/>
              <w:rPr>
                <w:rFonts w:ascii="Arial"/>
                <w:sz w:val="21"/>
              </w:rPr>
            </w:pPr>
          </w:p>
          <w:p w14:paraId="386F933E">
            <w:pPr>
              <w:spacing w:line="257" w:lineRule="auto"/>
              <w:rPr>
                <w:rFonts w:ascii="Arial"/>
                <w:sz w:val="21"/>
              </w:rPr>
            </w:pPr>
          </w:p>
          <w:p w14:paraId="3A8640FA">
            <w:pPr>
              <w:spacing w:line="258" w:lineRule="auto"/>
              <w:rPr>
                <w:rFonts w:ascii="Arial"/>
                <w:sz w:val="21"/>
              </w:rPr>
            </w:pPr>
          </w:p>
          <w:p w14:paraId="0C57B2B9">
            <w:pPr>
              <w:spacing w:line="258" w:lineRule="auto"/>
              <w:rPr>
                <w:rFonts w:ascii="Arial"/>
                <w:sz w:val="21"/>
              </w:rPr>
            </w:pPr>
          </w:p>
          <w:p w14:paraId="3A246744">
            <w:pPr>
              <w:spacing w:line="258" w:lineRule="auto"/>
              <w:rPr>
                <w:rFonts w:ascii="Arial"/>
                <w:sz w:val="21"/>
              </w:rPr>
            </w:pPr>
          </w:p>
          <w:p w14:paraId="16DE9E03">
            <w:pPr>
              <w:spacing w:line="258" w:lineRule="auto"/>
              <w:rPr>
                <w:rFonts w:ascii="Arial"/>
                <w:sz w:val="21"/>
              </w:rPr>
            </w:pPr>
          </w:p>
          <w:p w14:paraId="4D96FC8A">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57B0964">
            <w:pPr>
              <w:spacing w:line="261" w:lineRule="auto"/>
              <w:rPr>
                <w:rFonts w:ascii="Arial"/>
                <w:sz w:val="21"/>
              </w:rPr>
            </w:pPr>
          </w:p>
          <w:p w14:paraId="50A8492F">
            <w:pPr>
              <w:spacing w:line="261" w:lineRule="auto"/>
              <w:rPr>
                <w:rFonts w:ascii="Arial"/>
                <w:sz w:val="21"/>
              </w:rPr>
            </w:pPr>
          </w:p>
          <w:p w14:paraId="1BB6B2C1">
            <w:pPr>
              <w:spacing w:line="261" w:lineRule="auto"/>
              <w:rPr>
                <w:rFonts w:ascii="Arial"/>
                <w:sz w:val="21"/>
              </w:rPr>
            </w:pPr>
          </w:p>
          <w:p w14:paraId="1FAC96DA">
            <w:pPr>
              <w:spacing w:line="261" w:lineRule="auto"/>
              <w:rPr>
                <w:rFonts w:ascii="Arial"/>
                <w:sz w:val="21"/>
              </w:rPr>
            </w:pPr>
          </w:p>
          <w:p w14:paraId="1BD3FFD3">
            <w:pPr>
              <w:spacing w:line="261" w:lineRule="auto"/>
              <w:rPr>
                <w:rFonts w:ascii="Arial"/>
                <w:sz w:val="21"/>
              </w:rPr>
            </w:pPr>
          </w:p>
          <w:p w14:paraId="434029B2">
            <w:pPr>
              <w:spacing w:line="261" w:lineRule="auto"/>
              <w:rPr>
                <w:rFonts w:ascii="Arial"/>
                <w:sz w:val="21"/>
              </w:rPr>
            </w:pPr>
          </w:p>
          <w:p w14:paraId="5BEFDA75">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488BA357">
      <w:pPr>
        <w:pStyle w:val="2"/>
      </w:pPr>
    </w:p>
    <w:p w14:paraId="6934BD4F">
      <w:pPr>
        <w:sectPr>
          <w:footerReference r:id="rId108" w:type="default"/>
          <w:pgSz w:w="16839" w:h="11906"/>
          <w:pgMar w:top="1012" w:right="991" w:bottom="967" w:left="1021" w:header="0" w:footer="768" w:gutter="0"/>
          <w:cols w:space="720" w:num="1"/>
        </w:sectPr>
      </w:pPr>
    </w:p>
    <w:p w14:paraId="4824368C">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50932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5FB33D2D">
            <w:pPr>
              <w:pStyle w:val="8"/>
              <w:spacing w:before="267" w:line="221" w:lineRule="auto"/>
              <w:ind w:left="134"/>
            </w:pPr>
            <w:r>
              <w:rPr>
                <w:b/>
                <w:bCs/>
                <w:spacing w:val="-4"/>
              </w:rPr>
              <w:t>序号</w:t>
            </w:r>
          </w:p>
        </w:tc>
        <w:tc>
          <w:tcPr>
            <w:tcW w:w="1104" w:type="dxa"/>
            <w:vMerge w:val="restart"/>
            <w:tcBorders>
              <w:bottom w:val="nil"/>
            </w:tcBorders>
            <w:vAlign w:val="top"/>
          </w:tcPr>
          <w:p w14:paraId="557BED25">
            <w:pPr>
              <w:pStyle w:val="8"/>
              <w:spacing w:before="260" w:line="220" w:lineRule="auto"/>
              <w:ind w:left="192"/>
            </w:pPr>
            <w:r>
              <w:rPr>
                <w:b/>
                <w:bCs/>
                <w:spacing w:val="-4"/>
              </w:rPr>
              <w:t>事项名称</w:t>
            </w:r>
          </w:p>
        </w:tc>
        <w:tc>
          <w:tcPr>
            <w:tcW w:w="1104" w:type="dxa"/>
            <w:vMerge w:val="restart"/>
            <w:tcBorders>
              <w:bottom w:val="nil"/>
            </w:tcBorders>
            <w:vAlign w:val="top"/>
          </w:tcPr>
          <w:p w14:paraId="4A653EF5">
            <w:pPr>
              <w:pStyle w:val="8"/>
              <w:spacing w:before="260" w:line="219" w:lineRule="auto"/>
              <w:ind w:left="193"/>
            </w:pPr>
            <w:r>
              <w:rPr>
                <w:b/>
                <w:bCs/>
                <w:spacing w:val="-4"/>
              </w:rPr>
              <w:t>职权类型</w:t>
            </w:r>
          </w:p>
        </w:tc>
        <w:tc>
          <w:tcPr>
            <w:tcW w:w="8549" w:type="dxa"/>
            <w:vMerge w:val="restart"/>
            <w:tcBorders>
              <w:bottom w:val="nil"/>
            </w:tcBorders>
            <w:vAlign w:val="top"/>
          </w:tcPr>
          <w:p w14:paraId="5E400EA1">
            <w:pPr>
              <w:pStyle w:val="8"/>
              <w:spacing w:before="259" w:line="219" w:lineRule="auto"/>
              <w:ind w:left="3921"/>
            </w:pPr>
            <w:r>
              <w:rPr>
                <w:b/>
                <w:bCs/>
                <w:spacing w:val="-5"/>
              </w:rPr>
              <w:t>实施依据</w:t>
            </w:r>
          </w:p>
        </w:tc>
        <w:tc>
          <w:tcPr>
            <w:tcW w:w="3439" w:type="dxa"/>
            <w:gridSpan w:val="3"/>
            <w:vAlign w:val="top"/>
          </w:tcPr>
          <w:p w14:paraId="56C6A50F">
            <w:pPr>
              <w:pStyle w:val="8"/>
              <w:spacing w:before="85" w:line="220" w:lineRule="auto"/>
              <w:ind w:left="1365"/>
            </w:pPr>
            <w:r>
              <w:rPr>
                <w:b/>
                <w:bCs/>
                <w:spacing w:val="-5"/>
              </w:rPr>
              <w:t>实施主体</w:t>
            </w:r>
          </w:p>
        </w:tc>
      </w:tr>
      <w:tr w14:paraId="086FD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23C3D585">
            <w:pPr>
              <w:rPr>
                <w:rFonts w:ascii="Arial"/>
                <w:sz w:val="21"/>
              </w:rPr>
            </w:pPr>
          </w:p>
        </w:tc>
        <w:tc>
          <w:tcPr>
            <w:tcW w:w="1104" w:type="dxa"/>
            <w:vMerge w:val="continue"/>
            <w:tcBorders>
              <w:top w:val="nil"/>
            </w:tcBorders>
            <w:vAlign w:val="top"/>
          </w:tcPr>
          <w:p w14:paraId="76807EBB">
            <w:pPr>
              <w:rPr>
                <w:rFonts w:ascii="Arial"/>
                <w:sz w:val="21"/>
              </w:rPr>
            </w:pPr>
          </w:p>
        </w:tc>
        <w:tc>
          <w:tcPr>
            <w:tcW w:w="1104" w:type="dxa"/>
            <w:vMerge w:val="continue"/>
            <w:tcBorders>
              <w:top w:val="nil"/>
            </w:tcBorders>
            <w:vAlign w:val="top"/>
          </w:tcPr>
          <w:p w14:paraId="08BB29C4">
            <w:pPr>
              <w:rPr>
                <w:rFonts w:ascii="Arial"/>
                <w:sz w:val="21"/>
              </w:rPr>
            </w:pPr>
          </w:p>
        </w:tc>
        <w:tc>
          <w:tcPr>
            <w:tcW w:w="8549" w:type="dxa"/>
            <w:vMerge w:val="continue"/>
            <w:tcBorders>
              <w:top w:val="nil"/>
            </w:tcBorders>
            <w:vAlign w:val="top"/>
          </w:tcPr>
          <w:p w14:paraId="6ACFB57C">
            <w:pPr>
              <w:rPr>
                <w:rFonts w:ascii="Arial"/>
                <w:sz w:val="21"/>
              </w:rPr>
            </w:pPr>
          </w:p>
        </w:tc>
        <w:tc>
          <w:tcPr>
            <w:tcW w:w="1014" w:type="dxa"/>
            <w:vAlign w:val="top"/>
          </w:tcPr>
          <w:p w14:paraId="4C2E761F">
            <w:pPr>
              <w:pStyle w:val="8"/>
              <w:spacing w:before="81" w:line="219" w:lineRule="auto"/>
              <w:ind w:left="158"/>
            </w:pPr>
            <w:r>
              <w:rPr>
                <w:b/>
                <w:bCs/>
                <w:spacing w:val="-5"/>
              </w:rPr>
              <w:t>责任部门</w:t>
            </w:r>
          </w:p>
        </w:tc>
        <w:tc>
          <w:tcPr>
            <w:tcW w:w="1407" w:type="dxa"/>
            <w:vAlign w:val="top"/>
          </w:tcPr>
          <w:p w14:paraId="5E00D68C">
            <w:pPr>
              <w:pStyle w:val="8"/>
              <w:spacing w:before="81" w:line="219" w:lineRule="auto"/>
              <w:ind w:left="167"/>
            </w:pPr>
            <w:r>
              <w:rPr>
                <w:b/>
                <w:bCs/>
                <w:spacing w:val="-3"/>
              </w:rPr>
              <w:t>第一责任层级</w:t>
            </w:r>
          </w:p>
        </w:tc>
        <w:tc>
          <w:tcPr>
            <w:tcW w:w="1018" w:type="dxa"/>
            <w:vAlign w:val="top"/>
          </w:tcPr>
          <w:p w14:paraId="6E16BAD6">
            <w:pPr>
              <w:pStyle w:val="8"/>
              <w:spacing w:before="81" w:line="219" w:lineRule="auto"/>
              <w:ind w:left="152"/>
            </w:pPr>
            <w:r>
              <w:rPr>
                <w:b/>
                <w:bCs/>
                <w:spacing w:val="-4"/>
              </w:rPr>
              <w:t>承办机构</w:t>
            </w:r>
          </w:p>
        </w:tc>
      </w:tr>
      <w:tr w14:paraId="61244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6" w:hRule="atLeast"/>
        </w:trPr>
        <w:tc>
          <w:tcPr>
            <w:tcW w:w="624" w:type="dxa"/>
            <w:vAlign w:val="top"/>
          </w:tcPr>
          <w:p w14:paraId="21462413">
            <w:pPr>
              <w:spacing w:line="296" w:lineRule="auto"/>
              <w:rPr>
                <w:rFonts w:ascii="Arial"/>
                <w:sz w:val="21"/>
              </w:rPr>
            </w:pPr>
          </w:p>
          <w:p w14:paraId="65164E56">
            <w:pPr>
              <w:spacing w:line="296" w:lineRule="auto"/>
              <w:rPr>
                <w:rFonts w:ascii="Arial"/>
                <w:sz w:val="21"/>
              </w:rPr>
            </w:pPr>
          </w:p>
          <w:p w14:paraId="73FE84C7">
            <w:pPr>
              <w:spacing w:line="296" w:lineRule="auto"/>
              <w:rPr>
                <w:rFonts w:ascii="Arial"/>
                <w:sz w:val="21"/>
              </w:rPr>
            </w:pPr>
          </w:p>
          <w:p w14:paraId="50E8E672">
            <w:pPr>
              <w:pStyle w:val="8"/>
              <w:spacing w:before="59" w:line="183" w:lineRule="auto"/>
              <w:ind w:left="232"/>
            </w:pPr>
            <w:r>
              <w:rPr>
                <w:spacing w:val="-5"/>
              </w:rPr>
              <w:t>67</w:t>
            </w:r>
          </w:p>
        </w:tc>
        <w:tc>
          <w:tcPr>
            <w:tcW w:w="1104" w:type="dxa"/>
            <w:vAlign w:val="top"/>
          </w:tcPr>
          <w:p w14:paraId="0382B366">
            <w:pPr>
              <w:spacing w:line="263" w:lineRule="auto"/>
              <w:rPr>
                <w:rFonts w:ascii="Arial"/>
                <w:sz w:val="21"/>
              </w:rPr>
            </w:pPr>
          </w:p>
          <w:p w14:paraId="17701534">
            <w:pPr>
              <w:pStyle w:val="8"/>
              <w:spacing w:before="58" w:line="242" w:lineRule="auto"/>
              <w:ind w:left="60"/>
              <w:jc w:val="both"/>
            </w:pPr>
            <w:r>
              <w:rPr>
                <w:spacing w:val="-7"/>
              </w:rPr>
              <w:t>对有关单位、</w:t>
            </w:r>
            <w:r>
              <w:t xml:space="preserve"> </w:t>
            </w:r>
            <w:r>
              <w:rPr>
                <w:spacing w:val="15"/>
              </w:rPr>
              <w:t>个人拒绝或</w:t>
            </w:r>
            <w:r>
              <w:rPr>
                <w:spacing w:val="2"/>
              </w:rPr>
              <w:t xml:space="preserve"> </w:t>
            </w:r>
            <w:r>
              <w:rPr>
                <w:spacing w:val="8"/>
              </w:rPr>
              <w:t>阻碍</w:t>
            </w:r>
            <w:r>
              <w:rPr>
                <w:spacing w:val="-53"/>
              </w:rPr>
              <w:t xml:space="preserve"> </w:t>
            </w:r>
            <w:r>
              <w:rPr>
                <w:spacing w:val="8"/>
              </w:rPr>
              <w:t>公路建</w:t>
            </w:r>
            <w:r>
              <w:t xml:space="preserve"> </w:t>
            </w:r>
            <w:r>
              <w:rPr>
                <w:spacing w:val="15"/>
              </w:rPr>
              <w:t>设监督检查</w:t>
            </w:r>
            <w:r>
              <w:rPr>
                <w:spacing w:val="2"/>
              </w:rPr>
              <w:t xml:space="preserve"> </w:t>
            </w:r>
            <w:r>
              <w:rPr>
                <w:spacing w:val="15"/>
              </w:rPr>
              <w:t>工作行为的</w:t>
            </w:r>
            <w:r>
              <w:rPr>
                <w:spacing w:val="2"/>
              </w:rPr>
              <w:t xml:space="preserve"> </w:t>
            </w:r>
            <w:r>
              <w:rPr>
                <w:spacing w:val="-2"/>
              </w:rPr>
              <w:t>行政处罚</w:t>
            </w:r>
          </w:p>
        </w:tc>
        <w:tc>
          <w:tcPr>
            <w:tcW w:w="1104" w:type="dxa"/>
            <w:vAlign w:val="top"/>
          </w:tcPr>
          <w:p w14:paraId="399E8C30">
            <w:pPr>
              <w:spacing w:line="286" w:lineRule="auto"/>
              <w:rPr>
                <w:rFonts w:ascii="Arial"/>
                <w:sz w:val="21"/>
              </w:rPr>
            </w:pPr>
          </w:p>
          <w:p w14:paraId="5CA6ADC7">
            <w:pPr>
              <w:spacing w:line="287" w:lineRule="auto"/>
              <w:rPr>
                <w:rFonts w:ascii="Arial"/>
                <w:sz w:val="21"/>
              </w:rPr>
            </w:pPr>
          </w:p>
          <w:p w14:paraId="47A94D57">
            <w:pPr>
              <w:spacing w:line="287" w:lineRule="auto"/>
              <w:rPr>
                <w:rFonts w:ascii="Arial"/>
                <w:sz w:val="21"/>
              </w:rPr>
            </w:pPr>
          </w:p>
          <w:p w14:paraId="7C8B8B04">
            <w:pPr>
              <w:pStyle w:val="8"/>
              <w:spacing w:before="58" w:line="220" w:lineRule="auto"/>
              <w:ind w:left="10"/>
            </w:pPr>
            <w:r>
              <w:rPr>
                <w:spacing w:val="-2"/>
              </w:rPr>
              <w:t>行政处罚</w:t>
            </w:r>
          </w:p>
        </w:tc>
        <w:tc>
          <w:tcPr>
            <w:tcW w:w="8549" w:type="dxa"/>
            <w:vAlign w:val="top"/>
          </w:tcPr>
          <w:p w14:paraId="7352A4D0">
            <w:pPr>
              <w:spacing w:line="263" w:lineRule="auto"/>
              <w:rPr>
                <w:rFonts w:ascii="Arial"/>
                <w:sz w:val="21"/>
              </w:rPr>
            </w:pPr>
          </w:p>
          <w:p w14:paraId="77FB4E40">
            <w:pPr>
              <w:pStyle w:val="8"/>
              <w:spacing w:before="59" w:line="219" w:lineRule="auto"/>
              <w:ind w:left="476"/>
            </w:pPr>
            <w:r>
              <w:rPr>
                <w:b/>
                <w:bCs/>
                <w:spacing w:val="-4"/>
              </w:rPr>
              <w:t>《公路建设监督管理办法》（交通运输部令</w:t>
            </w:r>
            <w:r>
              <w:rPr>
                <w:spacing w:val="-23"/>
              </w:rPr>
              <w:t xml:space="preserve"> </w:t>
            </w:r>
            <w:r>
              <w:rPr>
                <w:b/>
                <w:bCs/>
                <w:spacing w:val="-4"/>
              </w:rPr>
              <w:t>2021</w:t>
            </w:r>
            <w:r>
              <w:rPr>
                <w:spacing w:val="-38"/>
              </w:rPr>
              <w:t xml:space="preserve"> </w:t>
            </w:r>
            <w:r>
              <w:rPr>
                <w:b/>
                <w:bCs/>
                <w:spacing w:val="-4"/>
              </w:rPr>
              <w:t>年第</w:t>
            </w:r>
            <w:r>
              <w:rPr>
                <w:spacing w:val="-24"/>
              </w:rPr>
              <w:t xml:space="preserve"> </w:t>
            </w:r>
            <w:r>
              <w:rPr>
                <w:b/>
                <w:bCs/>
                <w:spacing w:val="-4"/>
              </w:rPr>
              <w:t>11</w:t>
            </w:r>
            <w:r>
              <w:rPr>
                <w:spacing w:val="-34"/>
              </w:rPr>
              <w:t xml:space="preserve"> </w:t>
            </w:r>
            <w:r>
              <w:rPr>
                <w:b/>
                <w:bCs/>
                <w:spacing w:val="-4"/>
              </w:rPr>
              <w:t>号）</w:t>
            </w:r>
          </w:p>
          <w:p w14:paraId="03466855">
            <w:pPr>
              <w:pStyle w:val="8"/>
              <w:spacing w:before="27" w:line="237" w:lineRule="auto"/>
              <w:ind w:left="113" w:right="159" w:firstLine="357"/>
              <w:jc w:val="both"/>
            </w:pPr>
            <w:r>
              <w:t>第四条  县级以上人民政府交通主管部门必须依照法律、法规及本办法的规定对</w:t>
            </w:r>
            <w:r>
              <w:rPr>
                <w:spacing w:val="-1"/>
              </w:rPr>
              <w:t>公路建设实施监督管</w:t>
            </w:r>
            <w:r>
              <w:t xml:space="preserve"> 理。有关单位和个人应当接受县级以上人民政府交通主管部门依法进行的公路建</w:t>
            </w:r>
            <w:r>
              <w:rPr>
                <w:spacing w:val="-1"/>
              </w:rPr>
              <w:t>设监督检查，并给予支持</w:t>
            </w:r>
            <w:r>
              <w:t xml:space="preserve"> </w:t>
            </w:r>
            <w:r>
              <w:rPr>
                <w:spacing w:val="-3"/>
              </w:rPr>
              <w:t>与配合，不得拒绝或阻碍。</w:t>
            </w:r>
          </w:p>
          <w:p w14:paraId="7C4F2F0B">
            <w:pPr>
              <w:pStyle w:val="8"/>
              <w:spacing w:before="24" w:line="233" w:lineRule="auto"/>
              <w:ind w:left="112" w:right="159" w:firstLine="358"/>
            </w:pPr>
            <w:r>
              <w:t>第三十六条  违反本办法第四条规定，拒绝或阻碍依法进行公路建设监督检查工</w:t>
            </w:r>
            <w:r>
              <w:rPr>
                <w:spacing w:val="-1"/>
              </w:rPr>
              <w:t>作的，责令改正，构</w:t>
            </w:r>
            <w:r>
              <w:t xml:space="preserve"> </w:t>
            </w:r>
            <w:r>
              <w:rPr>
                <w:spacing w:val="-3"/>
              </w:rPr>
              <w:t>成犯罪的，依法追究刑事责任。</w:t>
            </w:r>
          </w:p>
        </w:tc>
        <w:tc>
          <w:tcPr>
            <w:tcW w:w="1014" w:type="dxa"/>
            <w:vAlign w:val="top"/>
          </w:tcPr>
          <w:p w14:paraId="080BA730">
            <w:pPr>
              <w:spacing w:line="246" w:lineRule="auto"/>
              <w:rPr>
                <w:rFonts w:ascii="Arial"/>
                <w:sz w:val="21"/>
              </w:rPr>
            </w:pPr>
          </w:p>
          <w:p w14:paraId="2A31FC60">
            <w:pPr>
              <w:spacing w:line="247" w:lineRule="auto"/>
              <w:rPr>
                <w:rFonts w:ascii="Arial"/>
                <w:sz w:val="21"/>
              </w:rPr>
            </w:pPr>
          </w:p>
          <w:p w14:paraId="23F7E097">
            <w:pPr>
              <w:spacing w:line="247" w:lineRule="auto"/>
              <w:rPr>
                <w:rFonts w:ascii="Arial"/>
                <w:sz w:val="21"/>
              </w:rPr>
            </w:pPr>
          </w:p>
          <w:p w14:paraId="6BA16E62">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23AC70F">
            <w:pPr>
              <w:spacing w:line="247" w:lineRule="auto"/>
              <w:rPr>
                <w:rFonts w:ascii="Arial"/>
                <w:sz w:val="21"/>
              </w:rPr>
            </w:pPr>
          </w:p>
          <w:p w14:paraId="61C2BBA0">
            <w:pPr>
              <w:spacing w:line="247" w:lineRule="auto"/>
              <w:rPr>
                <w:rFonts w:ascii="Arial"/>
                <w:sz w:val="21"/>
              </w:rPr>
            </w:pPr>
          </w:p>
          <w:p w14:paraId="08CFA53E">
            <w:pPr>
              <w:spacing w:line="247" w:lineRule="auto"/>
              <w:rPr>
                <w:rFonts w:ascii="Arial"/>
                <w:sz w:val="21"/>
              </w:rPr>
            </w:pPr>
          </w:p>
          <w:p w14:paraId="4A701425">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5E44301">
            <w:pPr>
              <w:spacing w:line="251" w:lineRule="auto"/>
              <w:rPr>
                <w:rFonts w:ascii="Arial"/>
                <w:sz w:val="21"/>
              </w:rPr>
            </w:pPr>
          </w:p>
          <w:p w14:paraId="0192AB14">
            <w:pPr>
              <w:spacing w:line="252" w:lineRule="auto"/>
              <w:rPr>
                <w:rFonts w:ascii="Arial"/>
                <w:sz w:val="21"/>
              </w:rPr>
            </w:pPr>
          </w:p>
          <w:p w14:paraId="373831AF">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0135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8" w:hRule="atLeast"/>
        </w:trPr>
        <w:tc>
          <w:tcPr>
            <w:tcW w:w="624" w:type="dxa"/>
            <w:vAlign w:val="top"/>
          </w:tcPr>
          <w:p w14:paraId="77E4B864">
            <w:pPr>
              <w:spacing w:line="245" w:lineRule="auto"/>
              <w:rPr>
                <w:rFonts w:ascii="Arial"/>
                <w:sz w:val="21"/>
              </w:rPr>
            </w:pPr>
          </w:p>
          <w:p w14:paraId="679CEA73">
            <w:pPr>
              <w:spacing w:line="245" w:lineRule="auto"/>
              <w:rPr>
                <w:rFonts w:ascii="Arial"/>
                <w:sz w:val="21"/>
              </w:rPr>
            </w:pPr>
          </w:p>
          <w:p w14:paraId="57107044">
            <w:pPr>
              <w:spacing w:line="246" w:lineRule="auto"/>
              <w:rPr>
                <w:rFonts w:ascii="Arial"/>
                <w:sz w:val="21"/>
              </w:rPr>
            </w:pPr>
          </w:p>
          <w:p w14:paraId="3AF63ADC">
            <w:pPr>
              <w:spacing w:line="246" w:lineRule="auto"/>
              <w:rPr>
                <w:rFonts w:ascii="Arial"/>
                <w:sz w:val="21"/>
              </w:rPr>
            </w:pPr>
          </w:p>
          <w:p w14:paraId="303D20A9">
            <w:pPr>
              <w:spacing w:line="246" w:lineRule="auto"/>
              <w:rPr>
                <w:rFonts w:ascii="Arial"/>
                <w:sz w:val="21"/>
              </w:rPr>
            </w:pPr>
          </w:p>
          <w:p w14:paraId="4963A007">
            <w:pPr>
              <w:spacing w:line="246" w:lineRule="auto"/>
              <w:rPr>
                <w:rFonts w:ascii="Arial"/>
                <w:sz w:val="21"/>
              </w:rPr>
            </w:pPr>
          </w:p>
          <w:p w14:paraId="4AABFF07">
            <w:pPr>
              <w:spacing w:line="246" w:lineRule="auto"/>
              <w:rPr>
                <w:rFonts w:ascii="Arial"/>
                <w:sz w:val="21"/>
              </w:rPr>
            </w:pPr>
          </w:p>
          <w:p w14:paraId="77AB582D">
            <w:pPr>
              <w:pStyle w:val="8"/>
              <w:spacing w:before="59" w:line="183" w:lineRule="auto"/>
              <w:ind w:left="232"/>
            </w:pPr>
            <w:r>
              <w:rPr>
                <w:spacing w:val="-5"/>
              </w:rPr>
              <w:t>68</w:t>
            </w:r>
          </w:p>
        </w:tc>
        <w:tc>
          <w:tcPr>
            <w:tcW w:w="1104" w:type="dxa"/>
            <w:vAlign w:val="top"/>
          </w:tcPr>
          <w:p w14:paraId="00F150BA">
            <w:pPr>
              <w:spacing w:line="244" w:lineRule="auto"/>
              <w:rPr>
                <w:rFonts w:ascii="Arial"/>
                <w:sz w:val="21"/>
              </w:rPr>
            </w:pPr>
          </w:p>
          <w:p w14:paraId="3EACC43C">
            <w:pPr>
              <w:spacing w:line="244" w:lineRule="auto"/>
              <w:rPr>
                <w:rFonts w:ascii="Arial"/>
                <w:sz w:val="21"/>
              </w:rPr>
            </w:pPr>
          </w:p>
          <w:p w14:paraId="49A3AD99">
            <w:pPr>
              <w:spacing w:line="244" w:lineRule="auto"/>
              <w:rPr>
                <w:rFonts w:ascii="Arial"/>
                <w:sz w:val="21"/>
              </w:rPr>
            </w:pPr>
          </w:p>
          <w:p w14:paraId="59846D67">
            <w:pPr>
              <w:spacing w:line="244" w:lineRule="auto"/>
              <w:rPr>
                <w:rFonts w:ascii="Arial"/>
                <w:sz w:val="21"/>
              </w:rPr>
            </w:pPr>
          </w:p>
          <w:p w14:paraId="3FB5FD6B">
            <w:pPr>
              <w:pStyle w:val="8"/>
              <w:spacing w:before="59" w:line="243" w:lineRule="auto"/>
              <w:ind w:left="61" w:right="56" w:hanging="1"/>
              <w:jc w:val="both"/>
            </w:pPr>
            <w:r>
              <w:rPr>
                <w:spacing w:val="16"/>
              </w:rPr>
              <w:t>对公路工程</w:t>
            </w:r>
            <w:r>
              <w:rPr>
                <w:spacing w:val="1"/>
              </w:rPr>
              <w:t xml:space="preserve"> </w:t>
            </w:r>
            <w:r>
              <w:rPr>
                <w:spacing w:val="16"/>
              </w:rPr>
              <w:t>项目法人侵</w:t>
            </w:r>
            <w:r>
              <w:t xml:space="preserve"> </w:t>
            </w:r>
            <w:r>
              <w:rPr>
                <w:spacing w:val="-17"/>
              </w:rPr>
              <w:t>占、挪用公路</w:t>
            </w:r>
            <w:r>
              <w:rPr>
                <w:spacing w:val="2"/>
              </w:rPr>
              <w:t xml:space="preserve"> </w:t>
            </w:r>
            <w:r>
              <w:rPr>
                <w:spacing w:val="-17"/>
              </w:rPr>
              <w:t>建设资金，非</w:t>
            </w:r>
            <w:r>
              <w:rPr>
                <w:spacing w:val="2"/>
              </w:rPr>
              <w:t xml:space="preserve"> </w:t>
            </w:r>
            <w:r>
              <w:rPr>
                <w:spacing w:val="16"/>
              </w:rPr>
              <w:t>法扩大建设</w:t>
            </w:r>
            <w:r>
              <w:t xml:space="preserve"> </w:t>
            </w:r>
            <w:r>
              <w:rPr>
                <w:spacing w:val="7"/>
              </w:rPr>
              <w:t>成本</w:t>
            </w:r>
            <w:r>
              <w:rPr>
                <w:spacing w:val="-45"/>
              </w:rPr>
              <w:t xml:space="preserve"> </w:t>
            </w:r>
            <w:r>
              <w:rPr>
                <w:spacing w:val="7"/>
              </w:rPr>
              <w:t>的行政</w:t>
            </w:r>
            <w:r>
              <w:t xml:space="preserve"> </w:t>
            </w:r>
            <w:r>
              <w:rPr>
                <w:spacing w:val="-2"/>
              </w:rPr>
              <w:t>处罚</w:t>
            </w:r>
          </w:p>
        </w:tc>
        <w:tc>
          <w:tcPr>
            <w:tcW w:w="1104" w:type="dxa"/>
            <w:vAlign w:val="top"/>
          </w:tcPr>
          <w:p w14:paraId="6E6A6616">
            <w:pPr>
              <w:spacing w:line="241" w:lineRule="auto"/>
              <w:rPr>
                <w:rFonts w:ascii="Arial"/>
                <w:sz w:val="21"/>
              </w:rPr>
            </w:pPr>
          </w:p>
          <w:p w14:paraId="0C6349D1">
            <w:pPr>
              <w:spacing w:line="241" w:lineRule="auto"/>
              <w:rPr>
                <w:rFonts w:ascii="Arial"/>
                <w:sz w:val="21"/>
              </w:rPr>
            </w:pPr>
          </w:p>
          <w:p w14:paraId="45C2A2C7">
            <w:pPr>
              <w:spacing w:line="242" w:lineRule="auto"/>
              <w:rPr>
                <w:rFonts w:ascii="Arial"/>
                <w:sz w:val="21"/>
              </w:rPr>
            </w:pPr>
          </w:p>
          <w:p w14:paraId="3882672D">
            <w:pPr>
              <w:spacing w:line="242" w:lineRule="auto"/>
              <w:rPr>
                <w:rFonts w:ascii="Arial"/>
                <w:sz w:val="21"/>
              </w:rPr>
            </w:pPr>
          </w:p>
          <w:p w14:paraId="78FCC4B9">
            <w:pPr>
              <w:spacing w:line="242" w:lineRule="auto"/>
              <w:rPr>
                <w:rFonts w:ascii="Arial"/>
                <w:sz w:val="21"/>
              </w:rPr>
            </w:pPr>
          </w:p>
          <w:p w14:paraId="565B857B">
            <w:pPr>
              <w:spacing w:line="242" w:lineRule="auto"/>
              <w:rPr>
                <w:rFonts w:ascii="Arial"/>
                <w:sz w:val="21"/>
              </w:rPr>
            </w:pPr>
          </w:p>
          <w:p w14:paraId="17B3C9DA">
            <w:pPr>
              <w:spacing w:line="242" w:lineRule="auto"/>
              <w:rPr>
                <w:rFonts w:ascii="Arial"/>
                <w:sz w:val="21"/>
              </w:rPr>
            </w:pPr>
          </w:p>
          <w:p w14:paraId="4077935D">
            <w:pPr>
              <w:pStyle w:val="8"/>
              <w:spacing w:before="59" w:line="220" w:lineRule="auto"/>
              <w:ind w:left="10"/>
            </w:pPr>
            <w:r>
              <w:rPr>
                <w:spacing w:val="-2"/>
              </w:rPr>
              <w:t>行政处罚</w:t>
            </w:r>
          </w:p>
        </w:tc>
        <w:tc>
          <w:tcPr>
            <w:tcW w:w="8549" w:type="dxa"/>
            <w:vAlign w:val="top"/>
          </w:tcPr>
          <w:p w14:paraId="153C0C38">
            <w:pPr>
              <w:pStyle w:val="8"/>
              <w:spacing w:before="148" w:line="219" w:lineRule="auto"/>
              <w:ind w:left="476"/>
            </w:pPr>
            <w:r>
              <w:rPr>
                <w:b/>
                <w:bCs/>
                <w:spacing w:val="-4"/>
              </w:rPr>
              <w:t>《公路建设监督管理办法》（交通运输部令</w:t>
            </w:r>
            <w:r>
              <w:rPr>
                <w:spacing w:val="-23"/>
              </w:rPr>
              <w:t xml:space="preserve"> </w:t>
            </w:r>
            <w:r>
              <w:rPr>
                <w:b/>
                <w:bCs/>
                <w:spacing w:val="-4"/>
              </w:rPr>
              <w:t>2021</w:t>
            </w:r>
            <w:r>
              <w:rPr>
                <w:spacing w:val="-38"/>
              </w:rPr>
              <w:t xml:space="preserve"> </w:t>
            </w:r>
            <w:r>
              <w:rPr>
                <w:b/>
                <w:bCs/>
                <w:spacing w:val="-4"/>
              </w:rPr>
              <w:t>年第</w:t>
            </w:r>
            <w:r>
              <w:rPr>
                <w:spacing w:val="-24"/>
              </w:rPr>
              <w:t xml:space="preserve"> </w:t>
            </w:r>
            <w:r>
              <w:rPr>
                <w:b/>
                <w:bCs/>
                <w:spacing w:val="-4"/>
              </w:rPr>
              <w:t>11</w:t>
            </w:r>
            <w:r>
              <w:rPr>
                <w:spacing w:val="-34"/>
              </w:rPr>
              <w:t xml:space="preserve"> </w:t>
            </w:r>
            <w:r>
              <w:rPr>
                <w:b/>
                <w:bCs/>
                <w:spacing w:val="-4"/>
              </w:rPr>
              <w:t>号）</w:t>
            </w:r>
          </w:p>
          <w:p w14:paraId="6680572D">
            <w:pPr>
              <w:pStyle w:val="8"/>
              <w:spacing w:before="17" w:line="219" w:lineRule="auto"/>
              <w:ind w:left="471"/>
            </w:pPr>
            <w:r>
              <w:rPr>
                <w:spacing w:val="-3"/>
              </w:rPr>
              <w:t>第二十九条  公路建设资金监督管理的主要内容：</w:t>
            </w:r>
          </w:p>
          <w:p w14:paraId="62855B3E">
            <w:pPr>
              <w:pStyle w:val="8"/>
              <w:spacing w:before="16" w:line="219" w:lineRule="auto"/>
              <w:ind w:left="389"/>
            </w:pPr>
            <w:r>
              <w:rPr>
                <w:spacing w:val="-2"/>
              </w:rPr>
              <w:t>（一）是否严格执行建设资金专款专用、专户存储、不准侵占、挪用等有关管理规定；</w:t>
            </w:r>
          </w:p>
          <w:p w14:paraId="46EFF0FF">
            <w:pPr>
              <w:pStyle w:val="8"/>
              <w:spacing w:before="16" w:line="219" w:lineRule="auto"/>
              <w:ind w:left="389"/>
            </w:pPr>
            <w:r>
              <w:rPr>
                <w:spacing w:val="-2"/>
              </w:rPr>
              <w:t>（二）是否严格执行概预算管理规定，有无将建设资金用于计划外工程；</w:t>
            </w:r>
          </w:p>
          <w:p w14:paraId="3FB1A965">
            <w:pPr>
              <w:pStyle w:val="8"/>
              <w:spacing w:before="17" w:line="219" w:lineRule="auto"/>
              <w:ind w:left="389"/>
            </w:pPr>
            <w:r>
              <w:rPr>
                <w:spacing w:val="-2"/>
              </w:rPr>
              <w:t>（三）资金来源是否符合国家有关规定，配套资金是否落实、及时到位；</w:t>
            </w:r>
          </w:p>
          <w:p w14:paraId="65175239">
            <w:pPr>
              <w:pStyle w:val="8"/>
              <w:spacing w:before="15" w:line="228" w:lineRule="auto"/>
              <w:ind w:left="111" w:right="104" w:firstLine="277"/>
            </w:pPr>
            <w:r>
              <w:rPr>
                <w:spacing w:val="-1"/>
              </w:rPr>
              <w:t>（四）是否按合同规定拨付工程进度款，有无高估冒算，虚报冒领情况，工程预备费使</w:t>
            </w:r>
            <w:r>
              <w:rPr>
                <w:spacing w:val="-2"/>
              </w:rPr>
              <w:t>用是否符合有关</w:t>
            </w:r>
            <w:r>
              <w:t xml:space="preserve"> </w:t>
            </w:r>
            <w:r>
              <w:rPr>
                <w:spacing w:val="-12"/>
              </w:rPr>
              <w:t>规定；</w:t>
            </w:r>
          </w:p>
          <w:p w14:paraId="29A67ECD">
            <w:pPr>
              <w:pStyle w:val="8"/>
              <w:spacing w:before="16" w:line="227" w:lineRule="auto"/>
              <w:ind w:left="114" w:right="104" w:firstLine="275"/>
            </w:pPr>
            <w:r>
              <w:rPr>
                <w:spacing w:val="-1"/>
              </w:rPr>
              <w:t>（五）是否在控制额度内按规定使用建设管理费，按规定的比例预留工程质量保证金，</w:t>
            </w:r>
            <w:r>
              <w:rPr>
                <w:spacing w:val="-2"/>
              </w:rPr>
              <w:t>有无非法扩大建</w:t>
            </w:r>
            <w:r>
              <w:t xml:space="preserve"> </w:t>
            </w:r>
            <w:r>
              <w:rPr>
                <w:spacing w:val="-7"/>
              </w:rPr>
              <w:t>设成本的问题；</w:t>
            </w:r>
          </w:p>
          <w:p w14:paraId="49D5B2DE">
            <w:pPr>
              <w:pStyle w:val="8"/>
              <w:spacing w:before="18" w:line="219" w:lineRule="auto"/>
              <w:ind w:left="389"/>
            </w:pPr>
            <w:r>
              <w:rPr>
                <w:spacing w:val="-1"/>
              </w:rPr>
              <w:t>（六）是否按规定编制项目竣工财务决算，办理财产移</w:t>
            </w:r>
            <w:r>
              <w:rPr>
                <w:spacing w:val="-2"/>
              </w:rPr>
              <w:t>交手续，形成的资产是否及时登记入帐管理；</w:t>
            </w:r>
          </w:p>
          <w:p w14:paraId="22C3717A">
            <w:pPr>
              <w:pStyle w:val="8"/>
              <w:spacing w:before="16" w:line="226" w:lineRule="auto"/>
              <w:ind w:left="113" w:right="104" w:firstLine="276"/>
            </w:pPr>
            <w:r>
              <w:rPr>
                <w:spacing w:val="-1"/>
              </w:rPr>
              <w:t>（七）财会机构是否建立健全，并配备相适应的财会人员。各项原始记录、</w:t>
            </w:r>
            <w:bookmarkStart w:id="17" w:name="_GoBack"/>
            <w:bookmarkEnd w:id="17"/>
            <w:r>
              <w:rPr>
                <w:rFonts w:hint="eastAsia"/>
                <w:spacing w:val="-1"/>
                <w:lang w:eastAsia="zh-CN"/>
              </w:rPr>
              <w:t>统计台账</w:t>
            </w:r>
            <w:r>
              <w:rPr>
                <w:spacing w:val="-1"/>
              </w:rPr>
              <w:t>、</w:t>
            </w:r>
            <w:r>
              <w:rPr>
                <w:spacing w:val="-2"/>
              </w:rPr>
              <w:t>凭证</w:t>
            </w:r>
            <w:r>
              <w:rPr>
                <w:rFonts w:hint="eastAsia"/>
                <w:spacing w:val="-2"/>
                <w:lang w:eastAsia="zh-CN"/>
              </w:rPr>
              <w:t>账册</w:t>
            </w:r>
            <w:r>
              <w:rPr>
                <w:spacing w:val="-2"/>
              </w:rPr>
              <w:t>、会计</w:t>
            </w:r>
            <w:r>
              <w:t xml:space="preserve"> </w:t>
            </w:r>
            <w:r>
              <w:rPr>
                <w:spacing w:val="-1"/>
              </w:rPr>
              <w:t>核算、财务报告、内部控制制度等基础性工作</w:t>
            </w:r>
            <w:r>
              <w:rPr>
                <w:spacing w:val="-2"/>
              </w:rPr>
              <w:t>是否健全、规范。</w:t>
            </w:r>
          </w:p>
          <w:p w14:paraId="5B48A854">
            <w:pPr>
              <w:pStyle w:val="8"/>
              <w:spacing w:before="19" w:line="230" w:lineRule="auto"/>
              <w:ind w:left="116" w:right="159" w:firstLine="354"/>
            </w:pPr>
            <w:r>
              <w:t>第四十七条  违反本办法第二十九条规定，项目法人侵占、挪用公路建设资金，</w:t>
            </w:r>
            <w:r>
              <w:rPr>
                <w:spacing w:val="-1"/>
              </w:rPr>
              <w:t>非法扩大建设成本，</w:t>
            </w:r>
            <w:r>
              <w:t xml:space="preserve"> 责令限期整改，可给予警告处罚；情节严重的，对全部或部分使用财政性</w:t>
            </w:r>
            <w:r>
              <w:rPr>
                <w:spacing w:val="-1"/>
              </w:rPr>
              <w:t>资金的项目，可暂停项目执行或</w:t>
            </w:r>
            <w:r>
              <w:t xml:space="preserve"> </w:t>
            </w:r>
            <w:r>
              <w:rPr>
                <w:spacing w:val="-2"/>
              </w:rPr>
              <w:t>暂缓资金拨付，对直接责任人依法给予行政处分。</w:t>
            </w:r>
          </w:p>
        </w:tc>
        <w:tc>
          <w:tcPr>
            <w:tcW w:w="1014" w:type="dxa"/>
            <w:vAlign w:val="top"/>
          </w:tcPr>
          <w:p w14:paraId="201EB4F0">
            <w:pPr>
              <w:spacing w:line="262" w:lineRule="auto"/>
              <w:rPr>
                <w:rFonts w:ascii="Arial"/>
                <w:sz w:val="21"/>
              </w:rPr>
            </w:pPr>
          </w:p>
          <w:p w14:paraId="576F1FB1">
            <w:pPr>
              <w:spacing w:line="262" w:lineRule="auto"/>
              <w:rPr>
                <w:rFonts w:ascii="Arial"/>
                <w:sz w:val="21"/>
              </w:rPr>
            </w:pPr>
          </w:p>
          <w:p w14:paraId="36676F29">
            <w:pPr>
              <w:spacing w:line="262" w:lineRule="auto"/>
              <w:rPr>
                <w:rFonts w:ascii="Arial"/>
                <w:sz w:val="21"/>
              </w:rPr>
            </w:pPr>
          </w:p>
          <w:p w14:paraId="7C118662">
            <w:pPr>
              <w:spacing w:line="262" w:lineRule="auto"/>
              <w:rPr>
                <w:rFonts w:ascii="Arial"/>
                <w:sz w:val="21"/>
              </w:rPr>
            </w:pPr>
          </w:p>
          <w:p w14:paraId="0E3DFA5A">
            <w:pPr>
              <w:spacing w:line="262" w:lineRule="auto"/>
              <w:rPr>
                <w:rFonts w:ascii="Arial"/>
                <w:sz w:val="21"/>
              </w:rPr>
            </w:pPr>
          </w:p>
          <w:p w14:paraId="0DE0AF1D">
            <w:pPr>
              <w:spacing w:line="263" w:lineRule="auto"/>
              <w:rPr>
                <w:rFonts w:ascii="Arial"/>
                <w:sz w:val="21"/>
              </w:rPr>
            </w:pPr>
          </w:p>
          <w:p w14:paraId="011B1095">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FBC4B29">
            <w:pPr>
              <w:spacing w:line="262" w:lineRule="auto"/>
              <w:rPr>
                <w:rFonts w:ascii="Arial"/>
                <w:sz w:val="21"/>
              </w:rPr>
            </w:pPr>
          </w:p>
          <w:p w14:paraId="2403C6C9">
            <w:pPr>
              <w:spacing w:line="262" w:lineRule="auto"/>
              <w:rPr>
                <w:rFonts w:ascii="Arial"/>
                <w:sz w:val="21"/>
              </w:rPr>
            </w:pPr>
          </w:p>
          <w:p w14:paraId="30FB2B8D">
            <w:pPr>
              <w:spacing w:line="262" w:lineRule="auto"/>
              <w:rPr>
                <w:rFonts w:ascii="Arial"/>
                <w:sz w:val="21"/>
              </w:rPr>
            </w:pPr>
          </w:p>
          <w:p w14:paraId="5D6205E9">
            <w:pPr>
              <w:spacing w:line="262" w:lineRule="auto"/>
              <w:rPr>
                <w:rFonts w:ascii="Arial"/>
                <w:sz w:val="21"/>
              </w:rPr>
            </w:pPr>
          </w:p>
          <w:p w14:paraId="1CD53E90">
            <w:pPr>
              <w:spacing w:line="262" w:lineRule="auto"/>
              <w:rPr>
                <w:rFonts w:ascii="Arial"/>
                <w:sz w:val="21"/>
              </w:rPr>
            </w:pPr>
          </w:p>
          <w:p w14:paraId="667FFE35">
            <w:pPr>
              <w:spacing w:line="263" w:lineRule="auto"/>
              <w:rPr>
                <w:rFonts w:ascii="Arial"/>
                <w:sz w:val="21"/>
              </w:rPr>
            </w:pPr>
          </w:p>
          <w:p w14:paraId="127789E3">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9D64749">
            <w:pPr>
              <w:spacing w:line="267" w:lineRule="auto"/>
              <w:rPr>
                <w:rFonts w:ascii="Arial"/>
                <w:sz w:val="21"/>
              </w:rPr>
            </w:pPr>
          </w:p>
          <w:p w14:paraId="5710A611">
            <w:pPr>
              <w:spacing w:line="267" w:lineRule="auto"/>
              <w:rPr>
                <w:rFonts w:ascii="Arial"/>
                <w:sz w:val="21"/>
              </w:rPr>
            </w:pPr>
          </w:p>
          <w:p w14:paraId="4E44454D">
            <w:pPr>
              <w:spacing w:line="267" w:lineRule="auto"/>
              <w:rPr>
                <w:rFonts w:ascii="Arial"/>
                <w:sz w:val="21"/>
              </w:rPr>
            </w:pPr>
          </w:p>
          <w:p w14:paraId="60321906">
            <w:pPr>
              <w:spacing w:line="267" w:lineRule="auto"/>
              <w:rPr>
                <w:rFonts w:ascii="Arial"/>
                <w:sz w:val="21"/>
              </w:rPr>
            </w:pPr>
          </w:p>
          <w:p w14:paraId="0C18C20E">
            <w:pPr>
              <w:spacing w:line="268" w:lineRule="auto"/>
              <w:rPr>
                <w:rFonts w:ascii="Arial"/>
                <w:sz w:val="21"/>
              </w:rPr>
            </w:pPr>
          </w:p>
          <w:p w14:paraId="674A0CB4">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6391B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6" w:hRule="atLeast"/>
        </w:trPr>
        <w:tc>
          <w:tcPr>
            <w:tcW w:w="624" w:type="dxa"/>
            <w:vAlign w:val="top"/>
          </w:tcPr>
          <w:p w14:paraId="7F6E8DA4">
            <w:pPr>
              <w:spacing w:line="284" w:lineRule="auto"/>
              <w:rPr>
                <w:rFonts w:ascii="Arial"/>
                <w:sz w:val="21"/>
              </w:rPr>
            </w:pPr>
          </w:p>
          <w:p w14:paraId="396A4B04">
            <w:pPr>
              <w:spacing w:line="284" w:lineRule="auto"/>
              <w:rPr>
                <w:rFonts w:ascii="Arial"/>
                <w:sz w:val="21"/>
              </w:rPr>
            </w:pPr>
          </w:p>
          <w:p w14:paraId="1433BD66">
            <w:pPr>
              <w:spacing w:line="285" w:lineRule="auto"/>
              <w:rPr>
                <w:rFonts w:ascii="Arial"/>
                <w:sz w:val="21"/>
              </w:rPr>
            </w:pPr>
          </w:p>
          <w:p w14:paraId="6B3E725C">
            <w:pPr>
              <w:spacing w:line="285" w:lineRule="auto"/>
              <w:rPr>
                <w:rFonts w:ascii="Arial"/>
                <w:sz w:val="21"/>
              </w:rPr>
            </w:pPr>
          </w:p>
          <w:p w14:paraId="573AF92F">
            <w:pPr>
              <w:spacing w:line="285" w:lineRule="auto"/>
              <w:rPr>
                <w:rFonts w:ascii="Arial"/>
                <w:sz w:val="21"/>
              </w:rPr>
            </w:pPr>
          </w:p>
          <w:p w14:paraId="299AA355">
            <w:pPr>
              <w:pStyle w:val="8"/>
              <w:spacing w:before="58" w:line="183" w:lineRule="auto"/>
              <w:ind w:left="232"/>
            </w:pPr>
            <w:r>
              <w:rPr>
                <w:spacing w:val="-5"/>
              </w:rPr>
              <w:t>69</w:t>
            </w:r>
          </w:p>
        </w:tc>
        <w:tc>
          <w:tcPr>
            <w:tcW w:w="1104" w:type="dxa"/>
            <w:vAlign w:val="top"/>
          </w:tcPr>
          <w:p w14:paraId="7DDD900F">
            <w:pPr>
              <w:spacing w:line="439" w:lineRule="auto"/>
              <w:rPr>
                <w:rFonts w:ascii="Arial"/>
                <w:sz w:val="21"/>
              </w:rPr>
            </w:pPr>
          </w:p>
          <w:p w14:paraId="2AE1B077">
            <w:pPr>
              <w:pStyle w:val="8"/>
              <w:spacing w:before="58" w:line="242" w:lineRule="auto"/>
              <w:ind w:left="60" w:right="56"/>
            </w:pPr>
            <w:r>
              <w:rPr>
                <w:spacing w:val="16"/>
              </w:rPr>
              <w:t>对交通运输</w:t>
            </w:r>
            <w:r>
              <w:rPr>
                <w:spacing w:val="1"/>
              </w:rPr>
              <w:t xml:space="preserve"> </w:t>
            </w:r>
            <w:r>
              <w:rPr>
                <w:spacing w:val="16"/>
              </w:rPr>
              <w:t>领域生产安</w:t>
            </w:r>
            <w:r>
              <w:rPr>
                <w:spacing w:val="1"/>
              </w:rPr>
              <w:t xml:space="preserve"> </w:t>
            </w:r>
            <w:r>
              <w:rPr>
                <w:spacing w:val="16"/>
              </w:rPr>
              <w:t>全事故发生</w:t>
            </w:r>
            <w:r>
              <w:rPr>
                <w:spacing w:val="1"/>
              </w:rPr>
              <w:t xml:space="preserve"> </w:t>
            </w:r>
            <w:r>
              <w:rPr>
                <w:spacing w:val="16"/>
              </w:rPr>
              <w:t>单位对事故</w:t>
            </w:r>
            <w:r>
              <w:rPr>
                <w:spacing w:val="1"/>
              </w:rPr>
              <w:t xml:space="preserve"> </w:t>
            </w:r>
            <w:r>
              <w:rPr>
                <w:spacing w:val="8"/>
              </w:rPr>
              <w:t>发生</w:t>
            </w:r>
            <w:r>
              <w:rPr>
                <w:spacing w:val="-49"/>
              </w:rPr>
              <w:t xml:space="preserve"> </w:t>
            </w:r>
            <w:r>
              <w:rPr>
                <w:spacing w:val="8"/>
              </w:rPr>
              <w:t>负有责</w:t>
            </w:r>
            <w:r>
              <w:t xml:space="preserve"> </w:t>
            </w:r>
            <w:r>
              <w:rPr>
                <w:spacing w:val="-6"/>
              </w:rPr>
              <w:t>任的单位、</w:t>
            </w:r>
          </w:p>
          <w:p w14:paraId="4C24A5FF">
            <w:pPr>
              <w:pStyle w:val="8"/>
              <w:spacing w:before="26" w:line="233" w:lineRule="auto"/>
              <w:ind w:left="63" w:right="56" w:hanging="2"/>
            </w:pPr>
            <w:r>
              <w:rPr>
                <w:spacing w:val="16"/>
              </w:rPr>
              <w:t>有关人员的</w:t>
            </w:r>
            <w:r>
              <w:t xml:space="preserve"> </w:t>
            </w:r>
            <w:r>
              <w:rPr>
                <w:spacing w:val="-2"/>
              </w:rPr>
              <w:t>行政处罚</w:t>
            </w:r>
          </w:p>
        </w:tc>
        <w:tc>
          <w:tcPr>
            <w:tcW w:w="1104" w:type="dxa"/>
            <w:vAlign w:val="top"/>
          </w:tcPr>
          <w:p w14:paraId="01455CCF">
            <w:pPr>
              <w:spacing w:line="279" w:lineRule="auto"/>
              <w:rPr>
                <w:rFonts w:ascii="Arial"/>
                <w:sz w:val="21"/>
              </w:rPr>
            </w:pPr>
          </w:p>
          <w:p w14:paraId="713E5148">
            <w:pPr>
              <w:spacing w:line="279" w:lineRule="auto"/>
              <w:rPr>
                <w:rFonts w:ascii="Arial"/>
                <w:sz w:val="21"/>
              </w:rPr>
            </w:pPr>
          </w:p>
          <w:p w14:paraId="404D3D3C">
            <w:pPr>
              <w:spacing w:line="279" w:lineRule="auto"/>
              <w:rPr>
                <w:rFonts w:ascii="Arial"/>
                <w:sz w:val="21"/>
              </w:rPr>
            </w:pPr>
          </w:p>
          <w:p w14:paraId="2A030468">
            <w:pPr>
              <w:spacing w:line="279" w:lineRule="auto"/>
              <w:rPr>
                <w:rFonts w:ascii="Arial"/>
                <w:sz w:val="21"/>
              </w:rPr>
            </w:pPr>
          </w:p>
          <w:p w14:paraId="0EE84E4E">
            <w:pPr>
              <w:spacing w:line="279" w:lineRule="auto"/>
              <w:rPr>
                <w:rFonts w:ascii="Arial"/>
                <w:sz w:val="21"/>
              </w:rPr>
            </w:pPr>
          </w:p>
          <w:p w14:paraId="27740683">
            <w:pPr>
              <w:pStyle w:val="8"/>
              <w:spacing w:before="58" w:line="220" w:lineRule="auto"/>
              <w:ind w:left="10"/>
            </w:pPr>
            <w:r>
              <w:rPr>
                <w:spacing w:val="-2"/>
              </w:rPr>
              <w:t>行政处罚</w:t>
            </w:r>
          </w:p>
        </w:tc>
        <w:tc>
          <w:tcPr>
            <w:tcW w:w="8549" w:type="dxa"/>
            <w:vAlign w:val="top"/>
          </w:tcPr>
          <w:p w14:paraId="77F220EA">
            <w:pPr>
              <w:pStyle w:val="8"/>
              <w:spacing w:before="26" w:line="218" w:lineRule="auto"/>
              <w:ind w:left="476"/>
            </w:pPr>
            <w:r>
              <w:rPr>
                <w:b/>
                <w:bCs/>
                <w:spacing w:val="-3"/>
              </w:rPr>
              <w:t>《生产安全事故报告和调查处理条例》</w:t>
            </w:r>
          </w:p>
          <w:p w14:paraId="78972525">
            <w:pPr>
              <w:pStyle w:val="8"/>
              <w:spacing w:before="4" w:line="224" w:lineRule="auto"/>
              <w:ind w:left="113" w:right="159" w:firstLine="357"/>
              <w:jc w:val="both"/>
            </w:pPr>
            <w:r>
              <w:t>第九条  事故发生后，事故现场有关人员应当立即向本单位负责人报告；单位负</w:t>
            </w:r>
            <w:r>
              <w:rPr>
                <w:spacing w:val="-1"/>
              </w:rPr>
              <w:t>责人接到报告后，应</w:t>
            </w:r>
            <w:r>
              <w:t xml:space="preserve"> </w:t>
            </w:r>
            <w:r>
              <w:rPr>
                <w:spacing w:val="-1"/>
              </w:rPr>
              <w:t>当于</w:t>
            </w:r>
            <w:r>
              <w:rPr>
                <w:spacing w:val="-21"/>
              </w:rPr>
              <w:t xml:space="preserve"> </w:t>
            </w:r>
            <w:r>
              <w:rPr>
                <w:spacing w:val="-1"/>
              </w:rPr>
              <w:t>1</w:t>
            </w:r>
            <w:r>
              <w:rPr>
                <w:spacing w:val="-34"/>
              </w:rPr>
              <w:t xml:space="preserve"> </w:t>
            </w:r>
            <w:r>
              <w:rPr>
                <w:spacing w:val="-1"/>
              </w:rPr>
              <w:t>小时内向事故发生地县级以上人民政府安全生产监督管理部门和负有安全生产监督管理职责的有关</w:t>
            </w:r>
            <w:r>
              <w:t xml:space="preserve"> </w:t>
            </w:r>
            <w:r>
              <w:rPr>
                <w:spacing w:val="-6"/>
              </w:rPr>
              <w:t>部门报告。</w:t>
            </w:r>
          </w:p>
          <w:p w14:paraId="18471F14">
            <w:pPr>
              <w:pStyle w:val="8"/>
              <w:spacing w:before="6" w:line="222" w:lineRule="auto"/>
              <w:ind w:left="111" w:right="159" w:firstLine="360"/>
            </w:pPr>
            <w:r>
              <w:t>情况紧急时，事故现场有关人员可以直接向事故发生地县级以上人民政府安全生</w:t>
            </w:r>
            <w:r>
              <w:rPr>
                <w:spacing w:val="-1"/>
              </w:rPr>
              <w:t>产监督管理部门和负</w:t>
            </w:r>
            <w:r>
              <w:t xml:space="preserve"> </w:t>
            </w:r>
            <w:r>
              <w:rPr>
                <w:spacing w:val="-2"/>
              </w:rPr>
              <w:t>有安全生产监督管理职责的有关部门报告。</w:t>
            </w:r>
          </w:p>
          <w:p w14:paraId="1209E1DE">
            <w:pPr>
              <w:pStyle w:val="8"/>
              <w:spacing w:before="7" w:line="222" w:lineRule="auto"/>
              <w:ind w:left="110" w:right="159" w:firstLine="360"/>
            </w:pPr>
            <w:r>
              <w:t>第十四条  事故发生单位负责人接到事故报告后，应当立即启动事故相应应急预</w:t>
            </w:r>
            <w:r>
              <w:rPr>
                <w:spacing w:val="-1"/>
              </w:rPr>
              <w:t>案，或者采取有效措</w:t>
            </w:r>
            <w:r>
              <w:t xml:space="preserve"> </w:t>
            </w:r>
            <w:r>
              <w:rPr>
                <w:spacing w:val="-1"/>
              </w:rPr>
              <w:t>施，组织抢救，防止事故扩大，减少人员伤</w:t>
            </w:r>
            <w:r>
              <w:rPr>
                <w:spacing w:val="-2"/>
              </w:rPr>
              <w:t>亡和财产损失。</w:t>
            </w:r>
          </w:p>
          <w:p w14:paraId="183B2CBF">
            <w:pPr>
              <w:pStyle w:val="8"/>
              <w:spacing w:before="7" w:line="222" w:lineRule="auto"/>
              <w:ind w:left="114" w:right="159" w:firstLine="357"/>
            </w:pPr>
            <w:r>
              <w:t>第十五条  事故发生地有关地方人民政府、安全生产监督管理部门和负有安全生</w:t>
            </w:r>
            <w:r>
              <w:rPr>
                <w:spacing w:val="-1"/>
              </w:rPr>
              <w:t>产监督管理职责的有</w:t>
            </w:r>
            <w:r>
              <w:t xml:space="preserve"> </w:t>
            </w:r>
            <w:r>
              <w:rPr>
                <w:spacing w:val="-1"/>
              </w:rPr>
              <w:t>关部门接到事故报告后，其负责人应当立即赶赴事故现场，组织事故</w:t>
            </w:r>
            <w:r>
              <w:rPr>
                <w:spacing w:val="-2"/>
              </w:rPr>
              <w:t>救援。</w:t>
            </w:r>
          </w:p>
          <w:p w14:paraId="5D321F11">
            <w:pPr>
              <w:pStyle w:val="8"/>
              <w:spacing w:before="6" w:line="223" w:lineRule="auto"/>
              <w:ind w:left="110" w:right="159" w:firstLine="360"/>
            </w:pPr>
            <w:r>
              <w:t>第十六条  事故发生后，有关单位和人员应当妥善保护事故现场以及相关证据，</w:t>
            </w:r>
            <w:r>
              <w:rPr>
                <w:spacing w:val="-1"/>
              </w:rPr>
              <w:t>任何单位和个人不得</w:t>
            </w:r>
            <w:r>
              <w:t xml:space="preserve"> </w:t>
            </w:r>
            <w:r>
              <w:rPr>
                <w:spacing w:val="-3"/>
              </w:rPr>
              <w:t>破坏事故现场、毁灭相关证据。</w:t>
            </w:r>
          </w:p>
          <w:p w14:paraId="0286D402">
            <w:pPr>
              <w:pStyle w:val="8"/>
              <w:spacing w:before="7" w:line="210" w:lineRule="auto"/>
              <w:ind w:left="110" w:right="159" w:firstLine="374"/>
            </w:pPr>
            <w:r>
              <w:t>因抢救人员、防止事故扩大以及疏通交通等原因</w:t>
            </w:r>
            <w:r>
              <w:rPr>
                <w:spacing w:val="-1"/>
              </w:rPr>
              <w:t>，需要移动事故现场物件的，应当做出标志，绘制现</w:t>
            </w:r>
            <w:r>
              <w:t xml:space="preserve"> </w:t>
            </w:r>
            <w:r>
              <w:rPr>
                <w:spacing w:val="-2"/>
              </w:rPr>
              <w:t>场简图并做出书面记录，妥善保存现场重要痕迹、物证。</w:t>
            </w:r>
          </w:p>
        </w:tc>
        <w:tc>
          <w:tcPr>
            <w:tcW w:w="1014" w:type="dxa"/>
            <w:vAlign w:val="top"/>
          </w:tcPr>
          <w:p w14:paraId="372472DF">
            <w:pPr>
              <w:spacing w:line="255" w:lineRule="auto"/>
              <w:rPr>
                <w:rFonts w:ascii="Arial"/>
                <w:sz w:val="21"/>
              </w:rPr>
            </w:pPr>
          </w:p>
          <w:p w14:paraId="314FFC43">
            <w:pPr>
              <w:spacing w:line="255" w:lineRule="auto"/>
              <w:rPr>
                <w:rFonts w:ascii="Arial"/>
                <w:sz w:val="21"/>
              </w:rPr>
            </w:pPr>
          </w:p>
          <w:p w14:paraId="674FD0FD">
            <w:pPr>
              <w:spacing w:line="255" w:lineRule="auto"/>
              <w:rPr>
                <w:rFonts w:ascii="Arial"/>
                <w:sz w:val="21"/>
              </w:rPr>
            </w:pPr>
          </w:p>
          <w:p w14:paraId="0011314F">
            <w:pPr>
              <w:spacing w:line="255" w:lineRule="auto"/>
              <w:rPr>
                <w:rFonts w:ascii="Arial"/>
                <w:sz w:val="21"/>
              </w:rPr>
            </w:pPr>
          </w:p>
          <w:p w14:paraId="0D728FB0">
            <w:pPr>
              <w:spacing w:line="255" w:lineRule="auto"/>
              <w:rPr>
                <w:rFonts w:ascii="Arial"/>
                <w:sz w:val="21"/>
              </w:rPr>
            </w:pPr>
          </w:p>
          <w:p w14:paraId="0CBF8DFD">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00FE71ED">
            <w:pPr>
              <w:spacing w:line="255" w:lineRule="auto"/>
              <w:rPr>
                <w:rFonts w:ascii="Arial"/>
                <w:sz w:val="21"/>
              </w:rPr>
            </w:pPr>
          </w:p>
          <w:p w14:paraId="478EBE8B">
            <w:pPr>
              <w:spacing w:line="255" w:lineRule="auto"/>
              <w:rPr>
                <w:rFonts w:ascii="Arial"/>
                <w:sz w:val="21"/>
              </w:rPr>
            </w:pPr>
          </w:p>
          <w:p w14:paraId="4826D851">
            <w:pPr>
              <w:spacing w:line="255" w:lineRule="auto"/>
              <w:rPr>
                <w:rFonts w:ascii="Arial"/>
                <w:sz w:val="21"/>
              </w:rPr>
            </w:pPr>
          </w:p>
          <w:p w14:paraId="2C560810">
            <w:pPr>
              <w:spacing w:line="255" w:lineRule="auto"/>
              <w:rPr>
                <w:rFonts w:ascii="Arial"/>
                <w:sz w:val="21"/>
              </w:rPr>
            </w:pPr>
          </w:p>
          <w:p w14:paraId="66076AF4">
            <w:pPr>
              <w:spacing w:line="255" w:lineRule="auto"/>
              <w:rPr>
                <w:rFonts w:ascii="Arial"/>
                <w:sz w:val="21"/>
              </w:rPr>
            </w:pPr>
          </w:p>
          <w:p w14:paraId="49AB83B6">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F397E8F">
            <w:pPr>
              <w:spacing w:line="259" w:lineRule="auto"/>
              <w:rPr>
                <w:rFonts w:ascii="Arial"/>
                <w:sz w:val="21"/>
              </w:rPr>
            </w:pPr>
          </w:p>
          <w:p w14:paraId="016246B6">
            <w:pPr>
              <w:spacing w:line="259" w:lineRule="auto"/>
              <w:rPr>
                <w:rFonts w:ascii="Arial"/>
                <w:sz w:val="21"/>
              </w:rPr>
            </w:pPr>
          </w:p>
          <w:p w14:paraId="4866462E">
            <w:pPr>
              <w:spacing w:line="260" w:lineRule="auto"/>
              <w:rPr>
                <w:rFonts w:ascii="Arial"/>
                <w:sz w:val="21"/>
              </w:rPr>
            </w:pPr>
          </w:p>
          <w:p w14:paraId="478A770B">
            <w:pPr>
              <w:spacing w:line="260" w:lineRule="auto"/>
              <w:rPr>
                <w:rFonts w:ascii="Arial"/>
                <w:sz w:val="21"/>
              </w:rPr>
            </w:pPr>
          </w:p>
          <w:p w14:paraId="69190A30">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42F94B9B">
      <w:pPr>
        <w:pStyle w:val="2"/>
      </w:pPr>
    </w:p>
    <w:p w14:paraId="05A654AB">
      <w:pPr>
        <w:sectPr>
          <w:footerReference r:id="rId109" w:type="default"/>
          <w:pgSz w:w="16839" w:h="11906"/>
          <w:pgMar w:top="1012" w:right="991" w:bottom="967" w:left="1021" w:header="0" w:footer="768" w:gutter="0"/>
          <w:cols w:space="720" w:num="1"/>
        </w:sectPr>
      </w:pPr>
    </w:p>
    <w:p w14:paraId="33712115">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0F1F7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63868DA0">
            <w:pPr>
              <w:pStyle w:val="8"/>
              <w:spacing w:before="267" w:line="221" w:lineRule="auto"/>
              <w:ind w:left="134"/>
            </w:pPr>
            <w:r>
              <w:rPr>
                <w:b/>
                <w:bCs/>
                <w:spacing w:val="-4"/>
              </w:rPr>
              <w:t>序号</w:t>
            </w:r>
          </w:p>
        </w:tc>
        <w:tc>
          <w:tcPr>
            <w:tcW w:w="1104" w:type="dxa"/>
            <w:vMerge w:val="restart"/>
            <w:tcBorders>
              <w:bottom w:val="nil"/>
            </w:tcBorders>
            <w:vAlign w:val="top"/>
          </w:tcPr>
          <w:p w14:paraId="6050F1FF">
            <w:pPr>
              <w:pStyle w:val="8"/>
              <w:spacing w:before="260" w:line="220" w:lineRule="auto"/>
              <w:ind w:left="192"/>
            </w:pPr>
            <w:r>
              <w:rPr>
                <w:b/>
                <w:bCs/>
                <w:spacing w:val="-4"/>
              </w:rPr>
              <w:t>事项名称</w:t>
            </w:r>
          </w:p>
        </w:tc>
        <w:tc>
          <w:tcPr>
            <w:tcW w:w="1104" w:type="dxa"/>
            <w:vMerge w:val="restart"/>
            <w:tcBorders>
              <w:bottom w:val="nil"/>
            </w:tcBorders>
            <w:vAlign w:val="top"/>
          </w:tcPr>
          <w:p w14:paraId="0C0C42B2">
            <w:pPr>
              <w:pStyle w:val="8"/>
              <w:spacing w:before="260" w:line="219" w:lineRule="auto"/>
              <w:ind w:left="193"/>
            </w:pPr>
            <w:r>
              <w:rPr>
                <w:b/>
                <w:bCs/>
                <w:spacing w:val="-4"/>
              </w:rPr>
              <w:t>职权类型</w:t>
            </w:r>
          </w:p>
        </w:tc>
        <w:tc>
          <w:tcPr>
            <w:tcW w:w="8549" w:type="dxa"/>
            <w:vMerge w:val="restart"/>
            <w:tcBorders>
              <w:bottom w:val="nil"/>
            </w:tcBorders>
            <w:vAlign w:val="top"/>
          </w:tcPr>
          <w:p w14:paraId="655405D2">
            <w:pPr>
              <w:pStyle w:val="8"/>
              <w:spacing w:before="259" w:line="219" w:lineRule="auto"/>
              <w:ind w:left="3921"/>
            </w:pPr>
            <w:r>
              <w:rPr>
                <w:b/>
                <w:bCs/>
                <w:spacing w:val="-5"/>
              </w:rPr>
              <w:t>实施依据</w:t>
            </w:r>
          </w:p>
        </w:tc>
        <w:tc>
          <w:tcPr>
            <w:tcW w:w="3439" w:type="dxa"/>
            <w:gridSpan w:val="3"/>
            <w:vAlign w:val="top"/>
          </w:tcPr>
          <w:p w14:paraId="1860AE2B">
            <w:pPr>
              <w:pStyle w:val="8"/>
              <w:spacing w:before="85" w:line="220" w:lineRule="auto"/>
              <w:ind w:left="1365"/>
            </w:pPr>
            <w:r>
              <w:rPr>
                <w:b/>
                <w:bCs/>
                <w:spacing w:val="-5"/>
              </w:rPr>
              <w:t>实施主体</w:t>
            </w:r>
          </w:p>
        </w:tc>
      </w:tr>
      <w:tr w14:paraId="3E597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0B0C9F90">
            <w:pPr>
              <w:rPr>
                <w:rFonts w:ascii="Arial"/>
                <w:sz w:val="21"/>
              </w:rPr>
            </w:pPr>
          </w:p>
        </w:tc>
        <w:tc>
          <w:tcPr>
            <w:tcW w:w="1104" w:type="dxa"/>
            <w:vMerge w:val="continue"/>
            <w:tcBorders>
              <w:top w:val="nil"/>
            </w:tcBorders>
            <w:vAlign w:val="top"/>
          </w:tcPr>
          <w:p w14:paraId="1A3DC8C1">
            <w:pPr>
              <w:rPr>
                <w:rFonts w:ascii="Arial"/>
                <w:sz w:val="21"/>
              </w:rPr>
            </w:pPr>
          </w:p>
        </w:tc>
        <w:tc>
          <w:tcPr>
            <w:tcW w:w="1104" w:type="dxa"/>
            <w:vMerge w:val="continue"/>
            <w:tcBorders>
              <w:top w:val="nil"/>
            </w:tcBorders>
            <w:vAlign w:val="top"/>
          </w:tcPr>
          <w:p w14:paraId="2588D8D5">
            <w:pPr>
              <w:rPr>
                <w:rFonts w:ascii="Arial"/>
                <w:sz w:val="21"/>
              </w:rPr>
            </w:pPr>
          </w:p>
        </w:tc>
        <w:tc>
          <w:tcPr>
            <w:tcW w:w="8549" w:type="dxa"/>
            <w:vMerge w:val="continue"/>
            <w:tcBorders>
              <w:top w:val="nil"/>
            </w:tcBorders>
            <w:vAlign w:val="top"/>
          </w:tcPr>
          <w:p w14:paraId="615078E4">
            <w:pPr>
              <w:rPr>
                <w:rFonts w:ascii="Arial"/>
                <w:sz w:val="21"/>
              </w:rPr>
            </w:pPr>
          </w:p>
        </w:tc>
        <w:tc>
          <w:tcPr>
            <w:tcW w:w="1014" w:type="dxa"/>
            <w:vAlign w:val="top"/>
          </w:tcPr>
          <w:p w14:paraId="4E6A6D9C">
            <w:pPr>
              <w:pStyle w:val="8"/>
              <w:spacing w:before="81" w:line="219" w:lineRule="auto"/>
              <w:ind w:left="158"/>
            </w:pPr>
            <w:r>
              <w:rPr>
                <w:b/>
                <w:bCs/>
                <w:spacing w:val="-5"/>
              </w:rPr>
              <w:t>责任部门</w:t>
            </w:r>
          </w:p>
        </w:tc>
        <w:tc>
          <w:tcPr>
            <w:tcW w:w="1407" w:type="dxa"/>
            <w:vAlign w:val="top"/>
          </w:tcPr>
          <w:p w14:paraId="25E7E088">
            <w:pPr>
              <w:pStyle w:val="8"/>
              <w:spacing w:before="81" w:line="219" w:lineRule="auto"/>
              <w:ind w:left="167"/>
            </w:pPr>
            <w:r>
              <w:rPr>
                <w:b/>
                <w:bCs/>
                <w:spacing w:val="-3"/>
              </w:rPr>
              <w:t>第一责任层级</w:t>
            </w:r>
          </w:p>
        </w:tc>
        <w:tc>
          <w:tcPr>
            <w:tcW w:w="1018" w:type="dxa"/>
            <w:vAlign w:val="top"/>
          </w:tcPr>
          <w:p w14:paraId="0B9B945E">
            <w:pPr>
              <w:pStyle w:val="8"/>
              <w:spacing w:before="81" w:line="219" w:lineRule="auto"/>
              <w:ind w:left="152"/>
            </w:pPr>
            <w:r>
              <w:rPr>
                <w:b/>
                <w:bCs/>
                <w:spacing w:val="-4"/>
              </w:rPr>
              <w:t>承办机构</w:t>
            </w:r>
          </w:p>
        </w:tc>
      </w:tr>
      <w:tr w14:paraId="52FC9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624" w:type="dxa"/>
            <w:vAlign w:val="top"/>
          </w:tcPr>
          <w:p w14:paraId="5C8ABE70">
            <w:pPr>
              <w:rPr>
                <w:rFonts w:ascii="Arial"/>
                <w:sz w:val="21"/>
              </w:rPr>
            </w:pPr>
          </w:p>
        </w:tc>
        <w:tc>
          <w:tcPr>
            <w:tcW w:w="1104" w:type="dxa"/>
            <w:vAlign w:val="top"/>
          </w:tcPr>
          <w:p w14:paraId="656BB304">
            <w:pPr>
              <w:rPr>
                <w:rFonts w:ascii="Arial"/>
                <w:sz w:val="21"/>
              </w:rPr>
            </w:pPr>
          </w:p>
        </w:tc>
        <w:tc>
          <w:tcPr>
            <w:tcW w:w="1104" w:type="dxa"/>
            <w:vAlign w:val="top"/>
          </w:tcPr>
          <w:p w14:paraId="1C0CA329">
            <w:pPr>
              <w:rPr>
                <w:rFonts w:ascii="Arial"/>
                <w:sz w:val="21"/>
              </w:rPr>
            </w:pPr>
          </w:p>
        </w:tc>
        <w:tc>
          <w:tcPr>
            <w:tcW w:w="8549" w:type="dxa"/>
            <w:vAlign w:val="top"/>
          </w:tcPr>
          <w:p w14:paraId="2BD5EB4C">
            <w:pPr>
              <w:pStyle w:val="8"/>
              <w:spacing w:before="24" w:line="221" w:lineRule="auto"/>
              <w:ind w:left="111" w:right="159" w:firstLine="359"/>
            </w:pPr>
            <w:r>
              <w:t>第十七条  事故发生地公安机关根据事故的情况，对涉嫌犯罪的，应当依法立案</w:t>
            </w:r>
            <w:r>
              <w:rPr>
                <w:spacing w:val="-1"/>
              </w:rPr>
              <w:t>侦查，采取强制措施</w:t>
            </w:r>
            <w:r>
              <w:t xml:space="preserve"> </w:t>
            </w:r>
            <w:r>
              <w:rPr>
                <w:spacing w:val="-1"/>
              </w:rPr>
              <w:t>和侦查措施。犯罪嫌疑人逃匿的，公安机关应当迅</w:t>
            </w:r>
            <w:r>
              <w:rPr>
                <w:spacing w:val="-2"/>
              </w:rPr>
              <w:t>速追捕归案。</w:t>
            </w:r>
          </w:p>
          <w:p w14:paraId="4D5C3592">
            <w:pPr>
              <w:pStyle w:val="8"/>
              <w:spacing w:before="6" w:line="223" w:lineRule="auto"/>
              <w:ind w:left="111" w:right="159" w:firstLine="359"/>
            </w:pPr>
            <w:r>
              <w:t>第三十三条  事故发生单位应当认真吸取事故教训，落实防范和整改措施，防止</w:t>
            </w:r>
            <w:r>
              <w:rPr>
                <w:spacing w:val="-1"/>
              </w:rPr>
              <w:t>事故再次发生。防范</w:t>
            </w:r>
            <w:r>
              <w:t xml:space="preserve"> </w:t>
            </w:r>
            <w:r>
              <w:rPr>
                <w:spacing w:val="-2"/>
              </w:rPr>
              <w:t>和整改措施的落实情况应当接受工会和职工的监督。</w:t>
            </w:r>
          </w:p>
          <w:p w14:paraId="0A5681EE">
            <w:pPr>
              <w:pStyle w:val="8"/>
              <w:spacing w:before="5" w:line="223" w:lineRule="auto"/>
              <w:ind w:left="111" w:right="159" w:firstLine="363"/>
            </w:pPr>
            <w:r>
              <w:t>安全生产监督管理部门和负有安全生产监督管理职责的有关部门应当对事</w:t>
            </w:r>
            <w:r>
              <w:rPr>
                <w:spacing w:val="-1"/>
              </w:rPr>
              <w:t>故发生单位落实防范和整改</w:t>
            </w:r>
            <w:r>
              <w:t xml:space="preserve"> </w:t>
            </w:r>
            <w:r>
              <w:rPr>
                <w:spacing w:val="-3"/>
              </w:rPr>
              <w:t>措施的情况进行监督检查。</w:t>
            </w:r>
          </w:p>
          <w:p w14:paraId="430DA0CA">
            <w:pPr>
              <w:pStyle w:val="8"/>
              <w:spacing w:before="6" w:line="219" w:lineRule="auto"/>
              <w:ind w:left="471"/>
            </w:pPr>
            <w:r>
              <w:rPr>
                <w:spacing w:val="-1"/>
              </w:rPr>
              <w:t>第四十条第一款  事故发生单位对事故发生负有责任的，由有关部门依法暂扣或</w:t>
            </w:r>
            <w:r>
              <w:rPr>
                <w:spacing w:val="-2"/>
              </w:rPr>
              <w:t>者吊销其有关证照；</w:t>
            </w:r>
          </w:p>
          <w:p w14:paraId="2167C8CC">
            <w:pPr>
              <w:pStyle w:val="8"/>
              <w:spacing w:before="5" w:line="219" w:lineRule="auto"/>
              <w:ind w:left="110"/>
            </w:pPr>
            <w:r>
              <w:rPr>
                <w:spacing w:val="-1"/>
              </w:rPr>
              <w:t>对事故发生单位负有事故责任的有关人员，依法暂停或者撤销其与安全生产有关的执业</w:t>
            </w:r>
            <w:r>
              <w:rPr>
                <w:spacing w:val="-2"/>
              </w:rPr>
              <w:t>资格、岗位证书；</w:t>
            </w:r>
          </w:p>
          <w:p w14:paraId="73900665">
            <w:pPr>
              <w:pStyle w:val="8"/>
              <w:spacing w:before="6" w:line="211" w:lineRule="auto"/>
              <w:ind w:left="110" w:right="104"/>
            </w:pPr>
            <w:r>
              <w:rPr>
                <w:spacing w:val="-2"/>
              </w:rPr>
              <w:t>事故发生单位主要负责人受到刑事处罚或者撤职处分的，自刑罚执行完毕或者受处分之日起，5</w:t>
            </w:r>
            <w:r>
              <w:rPr>
                <w:spacing w:val="-38"/>
              </w:rPr>
              <w:t xml:space="preserve"> </w:t>
            </w:r>
            <w:r>
              <w:rPr>
                <w:spacing w:val="-2"/>
              </w:rPr>
              <w:t>年内不得担</w:t>
            </w:r>
            <w:r>
              <w:t xml:space="preserve"> </w:t>
            </w:r>
            <w:r>
              <w:rPr>
                <w:spacing w:val="-2"/>
              </w:rPr>
              <w:t>任任何生产经营单位的主要负责人。</w:t>
            </w:r>
          </w:p>
        </w:tc>
        <w:tc>
          <w:tcPr>
            <w:tcW w:w="1014" w:type="dxa"/>
            <w:vAlign w:val="top"/>
          </w:tcPr>
          <w:p w14:paraId="0623EE3C">
            <w:pPr>
              <w:rPr>
                <w:rFonts w:ascii="Arial"/>
                <w:sz w:val="21"/>
              </w:rPr>
            </w:pPr>
          </w:p>
        </w:tc>
        <w:tc>
          <w:tcPr>
            <w:tcW w:w="1407" w:type="dxa"/>
            <w:vAlign w:val="top"/>
          </w:tcPr>
          <w:p w14:paraId="0E777A96">
            <w:pPr>
              <w:rPr>
                <w:rFonts w:ascii="Arial"/>
                <w:sz w:val="21"/>
              </w:rPr>
            </w:pPr>
          </w:p>
        </w:tc>
        <w:tc>
          <w:tcPr>
            <w:tcW w:w="1018" w:type="dxa"/>
            <w:vAlign w:val="top"/>
          </w:tcPr>
          <w:p w14:paraId="60195B98">
            <w:pPr>
              <w:rPr>
                <w:rFonts w:ascii="Arial"/>
                <w:sz w:val="21"/>
              </w:rPr>
            </w:pPr>
          </w:p>
        </w:tc>
      </w:tr>
      <w:tr w14:paraId="1015C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4" w:hRule="atLeast"/>
        </w:trPr>
        <w:tc>
          <w:tcPr>
            <w:tcW w:w="624" w:type="dxa"/>
            <w:vAlign w:val="top"/>
          </w:tcPr>
          <w:p w14:paraId="01DC2AEC">
            <w:pPr>
              <w:spacing w:line="259" w:lineRule="auto"/>
              <w:rPr>
                <w:rFonts w:ascii="Arial"/>
                <w:sz w:val="21"/>
              </w:rPr>
            </w:pPr>
          </w:p>
          <w:p w14:paraId="768643AC">
            <w:pPr>
              <w:spacing w:line="259" w:lineRule="auto"/>
              <w:rPr>
                <w:rFonts w:ascii="Arial"/>
                <w:sz w:val="21"/>
              </w:rPr>
            </w:pPr>
          </w:p>
          <w:p w14:paraId="6F07D24A">
            <w:pPr>
              <w:spacing w:line="259" w:lineRule="auto"/>
              <w:rPr>
                <w:rFonts w:ascii="Arial"/>
                <w:sz w:val="21"/>
              </w:rPr>
            </w:pPr>
          </w:p>
          <w:p w14:paraId="75E6B241">
            <w:pPr>
              <w:spacing w:line="259" w:lineRule="auto"/>
              <w:rPr>
                <w:rFonts w:ascii="Arial"/>
                <w:sz w:val="21"/>
              </w:rPr>
            </w:pPr>
          </w:p>
          <w:p w14:paraId="37AD9F4A">
            <w:pPr>
              <w:spacing w:line="259" w:lineRule="auto"/>
              <w:rPr>
                <w:rFonts w:ascii="Arial"/>
                <w:sz w:val="21"/>
              </w:rPr>
            </w:pPr>
          </w:p>
          <w:p w14:paraId="51A1942B">
            <w:pPr>
              <w:spacing w:line="259" w:lineRule="auto"/>
              <w:rPr>
                <w:rFonts w:ascii="Arial"/>
                <w:sz w:val="21"/>
              </w:rPr>
            </w:pPr>
          </w:p>
          <w:p w14:paraId="5B3EC794">
            <w:pPr>
              <w:spacing w:line="259" w:lineRule="auto"/>
              <w:rPr>
                <w:rFonts w:ascii="Arial"/>
                <w:sz w:val="21"/>
              </w:rPr>
            </w:pPr>
          </w:p>
          <w:p w14:paraId="691A27C6">
            <w:pPr>
              <w:spacing w:line="259" w:lineRule="auto"/>
              <w:rPr>
                <w:rFonts w:ascii="Arial"/>
                <w:sz w:val="21"/>
              </w:rPr>
            </w:pPr>
          </w:p>
          <w:p w14:paraId="3853197E">
            <w:pPr>
              <w:spacing w:line="259" w:lineRule="auto"/>
              <w:rPr>
                <w:rFonts w:ascii="Arial"/>
                <w:sz w:val="21"/>
              </w:rPr>
            </w:pPr>
          </w:p>
          <w:p w14:paraId="364E8B90">
            <w:pPr>
              <w:spacing w:line="259" w:lineRule="auto"/>
              <w:rPr>
                <w:rFonts w:ascii="Arial"/>
                <w:sz w:val="21"/>
              </w:rPr>
            </w:pPr>
          </w:p>
          <w:p w14:paraId="69F5DF4A">
            <w:pPr>
              <w:spacing w:line="260" w:lineRule="auto"/>
              <w:rPr>
                <w:rFonts w:ascii="Arial"/>
                <w:sz w:val="21"/>
              </w:rPr>
            </w:pPr>
          </w:p>
          <w:p w14:paraId="68B093C6">
            <w:pPr>
              <w:spacing w:line="260" w:lineRule="auto"/>
              <w:rPr>
                <w:rFonts w:ascii="Arial"/>
                <w:sz w:val="21"/>
              </w:rPr>
            </w:pPr>
          </w:p>
          <w:p w14:paraId="192CE6BA">
            <w:pPr>
              <w:pStyle w:val="8"/>
              <w:spacing w:before="59" w:line="183" w:lineRule="auto"/>
              <w:ind w:left="235"/>
            </w:pPr>
            <w:r>
              <w:rPr>
                <w:spacing w:val="-6"/>
              </w:rPr>
              <w:t>70</w:t>
            </w:r>
          </w:p>
        </w:tc>
        <w:tc>
          <w:tcPr>
            <w:tcW w:w="1104" w:type="dxa"/>
            <w:vAlign w:val="top"/>
          </w:tcPr>
          <w:p w14:paraId="652A8C72">
            <w:pPr>
              <w:spacing w:line="251" w:lineRule="auto"/>
              <w:rPr>
                <w:rFonts w:ascii="Arial"/>
                <w:sz w:val="21"/>
              </w:rPr>
            </w:pPr>
          </w:p>
          <w:p w14:paraId="51D90747">
            <w:pPr>
              <w:spacing w:line="251" w:lineRule="auto"/>
              <w:rPr>
                <w:rFonts w:ascii="Arial"/>
                <w:sz w:val="21"/>
              </w:rPr>
            </w:pPr>
          </w:p>
          <w:p w14:paraId="26F47740">
            <w:pPr>
              <w:spacing w:line="251" w:lineRule="auto"/>
              <w:rPr>
                <w:rFonts w:ascii="Arial"/>
                <w:sz w:val="21"/>
              </w:rPr>
            </w:pPr>
          </w:p>
          <w:p w14:paraId="632F795A">
            <w:pPr>
              <w:spacing w:line="251" w:lineRule="auto"/>
              <w:rPr>
                <w:rFonts w:ascii="Arial"/>
                <w:sz w:val="21"/>
              </w:rPr>
            </w:pPr>
          </w:p>
          <w:p w14:paraId="0AD143B5">
            <w:pPr>
              <w:spacing w:line="251" w:lineRule="auto"/>
              <w:rPr>
                <w:rFonts w:ascii="Arial"/>
                <w:sz w:val="21"/>
              </w:rPr>
            </w:pPr>
          </w:p>
          <w:p w14:paraId="53814EA5">
            <w:pPr>
              <w:spacing w:line="251" w:lineRule="auto"/>
              <w:rPr>
                <w:rFonts w:ascii="Arial"/>
                <w:sz w:val="21"/>
              </w:rPr>
            </w:pPr>
          </w:p>
          <w:p w14:paraId="19D577D3">
            <w:pPr>
              <w:spacing w:line="251" w:lineRule="auto"/>
              <w:rPr>
                <w:rFonts w:ascii="Arial"/>
                <w:sz w:val="21"/>
              </w:rPr>
            </w:pPr>
          </w:p>
          <w:p w14:paraId="4055C45F">
            <w:pPr>
              <w:spacing w:line="251" w:lineRule="auto"/>
              <w:rPr>
                <w:rFonts w:ascii="Arial"/>
                <w:sz w:val="21"/>
              </w:rPr>
            </w:pPr>
          </w:p>
          <w:p w14:paraId="7E898780">
            <w:pPr>
              <w:pStyle w:val="8"/>
              <w:spacing w:before="58" w:line="241" w:lineRule="auto"/>
              <w:ind w:left="60" w:right="56"/>
            </w:pPr>
            <w:r>
              <w:rPr>
                <w:spacing w:val="16"/>
              </w:rPr>
              <w:t>对公路工程</w:t>
            </w:r>
            <w:r>
              <w:rPr>
                <w:spacing w:val="1"/>
              </w:rPr>
              <w:t xml:space="preserve"> </w:t>
            </w:r>
            <w:r>
              <w:rPr>
                <w:spacing w:val="16"/>
              </w:rPr>
              <w:t>未交工验收</w:t>
            </w:r>
            <w:r>
              <w:t xml:space="preserve"> </w:t>
            </w:r>
            <w:r>
              <w:rPr>
                <w:spacing w:val="-2"/>
              </w:rPr>
              <w:t>试运营、交</w:t>
            </w:r>
            <w:r>
              <w:t xml:space="preserve">  </w:t>
            </w:r>
            <w:r>
              <w:rPr>
                <w:spacing w:val="8"/>
              </w:rPr>
              <w:t>工验</w:t>
            </w:r>
            <w:r>
              <w:rPr>
                <w:spacing w:val="-50"/>
              </w:rPr>
              <w:t xml:space="preserve"> </w:t>
            </w:r>
            <w:r>
              <w:rPr>
                <w:spacing w:val="8"/>
              </w:rPr>
              <w:t>收不合</w:t>
            </w:r>
            <w:r>
              <w:t xml:space="preserve"> </w:t>
            </w:r>
            <w:r>
              <w:rPr>
                <w:spacing w:val="-6"/>
              </w:rPr>
              <w:t>格试运营、</w:t>
            </w:r>
          </w:p>
          <w:p w14:paraId="11584EC1">
            <w:pPr>
              <w:pStyle w:val="8"/>
              <w:spacing w:before="24" w:line="238" w:lineRule="auto"/>
              <w:ind w:left="63" w:right="56"/>
            </w:pPr>
            <w:r>
              <w:rPr>
                <w:spacing w:val="15"/>
              </w:rPr>
              <w:t>未备案试运</w:t>
            </w:r>
            <w:r>
              <w:rPr>
                <w:spacing w:val="2"/>
              </w:rPr>
              <w:t xml:space="preserve"> </w:t>
            </w:r>
            <w:r>
              <w:rPr>
                <w:spacing w:val="15"/>
              </w:rPr>
              <w:t>营等行为的</w:t>
            </w:r>
            <w:r>
              <w:rPr>
                <w:spacing w:val="2"/>
              </w:rPr>
              <w:t xml:space="preserve"> </w:t>
            </w:r>
            <w:r>
              <w:rPr>
                <w:spacing w:val="-2"/>
              </w:rPr>
              <w:t>行政处罚</w:t>
            </w:r>
          </w:p>
        </w:tc>
        <w:tc>
          <w:tcPr>
            <w:tcW w:w="1104" w:type="dxa"/>
            <w:vAlign w:val="top"/>
          </w:tcPr>
          <w:p w14:paraId="12B15E9E">
            <w:pPr>
              <w:spacing w:line="256" w:lineRule="auto"/>
              <w:rPr>
                <w:rFonts w:ascii="Arial"/>
                <w:sz w:val="21"/>
              </w:rPr>
            </w:pPr>
          </w:p>
          <w:p w14:paraId="7E8CA2F2">
            <w:pPr>
              <w:spacing w:line="256" w:lineRule="auto"/>
              <w:rPr>
                <w:rFonts w:ascii="Arial"/>
                <w:sz w:val="21"/>
              </w:rPr>
            </w:pPr>
          </w:p>
          <w:p w14:paraId="3F3937C7">
            <w:pPr>
              <w:spacing w:line="257" w:lineRule="auto"/>
              <w:rPr>
                <w:rFonts w:ascii="Arial"/>
                <w:sz w:val="21"/>
              </w:rPr>
            </w:pPr>
          </w:p>
          <w:p w14:paraId="18AFCE6C">
            <w:pPr>
              <w:spacing w:line="257" w:lineRule="auto"/>
              <w:rPr>
                <w:rFonts w:ascii="Arial"/>
                <w:sz w:val="21"/>
              </w:rPr>
            </w:pPr>
          </w:p>
          <w:p w14:paraId="7703B11A">
            <w:pPr>
              <w:spacing w:line="257" w:lineRule="auto"/>
              <w:rPr>
                <w:rFonts w:ascii="Arial"/>
                <w:sz w:val="21"/>
              </w:rPr>
            </w:pPr>
          </w:p>
          <w:p w14:paraId="3D1888C1">
            <w:pPr>
              <w:spacing w:line="257" w:lineRule="auto"/>
              <w:rPr>
                <w:rFonts w:ascii="Arial"/>
                <w:sz w:val="21"/>
              </w:rPr>
            </w:pPr>
          </w:p>
          <w:p w14:paraId="471543FB">
            <w:pPr>
              <w:spacing w:line="257" w:lineRule="auto"/>
              <w:rPr>
                <w:rFonts w:ascii="Arial"/>
                <w:sz w:val="21"/>
              </w:rPr>
            </w:pPr>
          </w:p>
          <w:p w14:paraId="7B4AB3CE">
            <w:pPr>
              <w:spacing w:line="257" w:lineRule="auto"/>
              <w:rPr>
                <w:rFonts w:ascii="Arial"/>
                <w:sz w:val="21"/>
              </w:rPr>
            </w:pPr>
          </w:p>
          <w:p w14:paraId="662621C8">
            <w:pPr>
              <w:spacing w:line="257" w:lineRule="auto"/>
              <w:rPr>
                <w:rFonts w:ascii="Arial"/>
                <w:sz w:val="21"/>
              </w:rPr>
            </w:pPr>
          </w:p>
          <w:p w14:paraId="441B2E41">
            <w:pPr>
              <w:spacing w:line="257" w:lineRule="auto"/>
              <w:rPr>
                <w:rFonts w:ascii="Arial"/>
                <w:sz w:val="21"/>
              </w:rPr>
            </w:pPr>
          </w:p>
          <w:p w14:paraId="22D98027">
            <w:pPr>
              <w:spacing w:line="257" w:lineRule="auto"/>
              <w:rPr>
                <w:rFonts w:ascii="Arial"/>
                <w:sz w:val="21"/>
              </w:rPr>
            </w:pPr>
          </w:p>
          <w:p w14:paraId="2A863DC4">
            <w:pPr>
              <w:spacing w:line="257" w:lineRule="auto"/>
              <w:rPr>
                <w:rFonts w:ascii="Arial"/>
                <w:sz w:val="21"/>
              </w:rPr>
            </w:pPr>
          </w:p>
          <w:p w14:paraId="4D9EEF59">
            <w:pPr>
              <w:pStyle w:val="8"/>
              <w:spacing w:before="59" w:line="220" w:lineRule="auto"/>
              <w:ind w:left="10"/>
            </w:pPr>
            <w:r>
              <w:rPr>
                <w:spacing w:val="-2"/>
              </w:rPr>
              <w:t>行政处罚</w:t>
            </w:r>
          </w:p>
        </w:tc>
        <w:tc>
          <w:tcPr>
            <w:tcW w:w="8549" w:type="dxa"/>
            <w:vAlign w:val="top"/>
          </w:tcPr>
          <w:p w14:paraId="708E1515">
            <w:pPr>
              <w:pStyle w:val="8"/>
              <w:spacing w:before="40" w:line="219" w:lineRule="auto"/>
              <w:ind w:left="484"/>
            </w:pPr>
            <w:r>
              <w:rPr>
                <w:b/>
                <w:bCs/>
                <w:spacing w:val="-4"/>
              </w:rPr>
              <w:t>1.《建设工程质量管理条例》</w:t>
            </w:r>
          </w:p>
          <w:p w14:paraId="2CB708FD">
            <w:pPr>
              <w:pStyle w:val="8"/>
              <w:spacing w:before="26" w:line="218" w:lineRule="auto"/>
              <w:ind w:left="471"/>
            </w:pPr>
            <w:r>
              <w:t>第十六条第一款  建设单位收到建设工程竣工报告后，应当组织设计、施工、工程</w:t>
            </w:r>
            <w:r>
              <w:rPr>
                <w:spacing w:val="-1"/>
              </w:rPr>
              <w:t>监理等有关单位进</w:t>
            </w:r>
          </w:p>
          <w:p w14:paraId="2DBA9C50">
            <w:pPr>
              <w:pStyle w:val="8"/>
              <w:spacing w:before="27" w:line="219" w:lineRule="auto"/>
              <w:ind w:left="114"/>
            </w:pPr>
            <w:r>
              <w:rPr>
                <w:spacing w:val="-6"/>
              </w:rPr>
              <w:t>行竣工验收。</w:t>
            </w:r>
          </w:p>
          <w:p w14:paraId="2AB34E68">
            <w:pPr>
              <w:pStyle w:val="8"/>
              <w:spacing w:before="27" w:line="237" w:lineRule="auto"/>
              <w:ind w:left="110" w:right="30" w:firstLine="360"/>
              <w:jc w:val="both"/>
            </w:pPr>
            <w:r>
              <w:t>第五十八条  违反本条例规定，建设单位有下列行为之一的，责令改正，处工程</w:t>
            </w:r>
            <w:r>
              <w:rPr>
                <w:spacing w:val="-1"/>
              </w:rPr>
              <w:t>合同价款百分之二以</w:t>
            </w:r>
            <w:r>
              <w:t xml:space="preserve">  </w:t>
            </w:r>
            <w:r>
              <w:rPr>
                <w:spacing w:val="-3"/>
              </w:rPr>
              <w:t>上百分之四以下的罚款；造成损失的，依法承担赔偿责任</w:t>
            </w:r>
            <w:r>
              <w:rPr>
                <w:spacing w:val="-26"/>
              </w:rPr>
              <w:t>；（</w:t>
            </w:r>
            <w:r>
              <w:rPr>
                <w:spacing w:val="-3"/>
              </w:rPr>
              <w:t>一）未组织竣工验收，擅自交付使用的</w:t>
            </w:r>
            <w:r>
              <w:rPr>
                <w:spacing w:val="-26"/>
              </w:rPr>
              <w:t>；（</w:t>
            </w:r>
            <w:r>
              <w:rPr>
                <w:spacing w:val="-4"/>
              </w:rPr>
              <w:t>二）</w:t>
            </w:r>
            <w:r>
              <w:t xml:space="preserve"> </w:t>
            </w:r>
            <w:r>
              <w:rPr>
                <w:spacing w:val="-1"/>
              </w:rPr>
              <w:t>验收不合格，擅自交付使用的</w:t>
            </w:r>
            <w:r>
              <w:t>；（</w:t>
            </w:r>
            <w:r>
              <w:rPr>
                <w:spacing w:val="-1"/>
              </w:rPr>
              <w:t>三）对不合格的建设工程按照合格工程验收的。</w:t>
            </w:r>
          </w:p>
          <w:p w14:paraId="6EA5F8DB">
            <w:pPr>
              <w:pStyle w:val="8"/>
              <w:spacing w:before="25" w:line="219" w:lineRule="auto"/>
              <w:ind w:left="473"/>
            </w:pPr>
            <w:r>
              <w:rPr>
                <w:b/>
                <w:bCs/>
                <w:spacing w:val="-2"/>
              </w:rPr>
              <w:t>2.《公路工程竣（交）工验收办法》（交</w:t>
            </w:r>
            <w:r>
              <w:rPr>
                <w:b/>
                <w:bCs/>
                <w:spacing w:val="-3"/>
              </w:rPr>
              <w:t>通部令(2004)第</w:t>
            </w:r>
            <w:r>
              <w:rPr>
                <w:spacing w:val="-33"/>
              </w:rPr>
              <w:t xml:space="preserve"> </w:t>
            </w:r>
            <w:r>
              <w:rPr>
                <w:b/>
                <w:bCs/>
                <w:spacing w:val="-3"/>
              </w:rPr>
              <w:t>3</w:t>
            </w:r>
            <w:r>
              <w:rPr>
                <w:spacing w:val="-32"/>
              </w:rPr>
              <w:t xml:space="preserve"> </w:t>
            </w:r>
            <w:r>
              <w:rPr>
                <w:b/>
                <w:bCs/>
                <w:spacing w:val="-3"/>
              </w:rPr>
              <w:t>号）</w:t>
            </w:r>
          </w:p>
          <w:p w14:paraId="56E4660D">
            <w:pPr>
              <w:pStyle w:val="8"/>
              <w:spacing w:before="26" w:line="233" w:lineRule="auto"/>
              <w:ind w:left="109" w:right="159" w:firstLine="361"/>
            </w:pPr>
            <w:r>
              <w:t>第九条  公路工程各合同段符合交工验收条件后，经监理工程师同意，由施工单</w:t>
            </w:r>
            <w:r>
              <w:rPr>
                <w:spacing w:val="-1"/>
              </w:rPr>
              <w:t>位向项目法人提出申</w:t>
            </w:r>
            <w:r>
              <w:t xml:space="preserve"> </w:t>
            </w:r>
            <w:r>
              <w:rPr>
                <w:spacing w:val="-2"/>
              </w:rPr>
              <w:t>请，项目法人应及时组织对该合同段进行交工验收。</w:t>
            </w:r>
          </w:p>
          <w:p w14:paraId="3A6D2766">
            <w:pPr>
              <w:pStyle w:val="8"/>
              <w:spacing w:before="24"/>
              <w:ind w:left="111" w:right="159" w:firstLine="360"/>
              <w:jc w:val="both"/>
            </w:pPr>
            <w:r>
              <w:t>第十四条  公路工程各合同段验收合格后，项目法人应按交通部规定的要求及时</w:t>
            </w:r>
            <w:r>
              <w:rPr>
                <w:spacing w:val="-1"/>
              </w:rPr>
              <w:t>完成项目交工验收报</w:t>
            </w:r>
            <w:r>
              <w:t xml:space="preserve"> </w:t>
            </w:r>
            <w:r>
              <w:rPr>
                <w:spacing w:val="-1"/>
              </w:rPr>
              <w:t>告，并向交通主管部门备案。国家、部重点公路工程项目中</w:t>
            </w:r>
            <w:r>
              <w:rPr>
                <w:spacing w:val="-19"/>
              </w:rPr>
              <w:t xml:space="preserve"> </w:t>
            </w:r>
            <w:r>
              <w:rPr>
                <w:spacing w:val="-1"/>
              </w:rPr>
              <w:t>100</w:t>
            </w:r>
            <w:r>
              <w:rPr>
                <w:spacing w:val="-33"/>
              </w:rPr>
              <w:t xml:space="preserve"> </w:t>
            </w:r>
            <w:r>
              <w:rPr>
                <w:spacing w:val="-1"/>
              </w:rPr>
              <w:t>公里以上的高速公路、独立特大型桥梁和</w:t>
            </w:r>
            <w:r>
              <w:t xml:space="preserve"> 特长隧道工程向省级人民政府交通主管部门备案，其它公路工程按省级人民政府交通</w:t>
            </w:r>
            <w:r>
              <w:rPr>
                <w:spacing w:val="-1"/>
              </w:rPr>
              <w:t>主管部门的规定向相</w:t>
            </w:r>
            <w:r>
              <w:t xml:space="preserve"> </w:t>
            </w:r>
            <w:r>
              <w:rPr>
                <w:spacing w:val="-3"/>
              </w:rPr>
              <w:t>应的交通主管部门备案。</w:t>
            </w:r>
          </w:p>
          <w:p w14:paraId="2E59C6A9">
            <w:pPr>
              <w:pStyle w:val="8"/>
              <w:spacing w:before="27" w:line="237" w:lineRule="auto"/>
              <w:ind w:left="110" w:right="104" w:firstLine="366"/>
              <w:jc w:val="both"/>
            </w:pPr>
            <w:r>
              <w:t>公路工程各合同段验收合格后，质量监督机构应向交通主管部门提交</w:t>
            </w:r>
            <w:r>
              <w:rPr>
                <w:spacing w:val="-1"/>
              </w:rPr>
              <w:t>项目的检测报告。交通主管部门</w:t>
            </w:r>
            <w:r>
              <w:t xml:space="preserve"> </w:t>
            </w:r>
            <w:r>
              <w:rPr>
                <w:spacing w:val="-1"/>
              </w:rPr>
              <w:t>在</w:t>
            </w:r>
            <w:r>
              <w:rPr>
                <w:spacing w:val="-24"/>
              </w:rPr>
              <w:t xml:space="preserve"> </w:t>
            </w:r>
            <w:r>
              <w:rPr>
                <w:spacing w:val="-1"/>
              </w:rPr>
              <w:t>15</w:t>
            </w:r>
            <w:r>
              <w:rPr>
                <w:spacing w:val="-38"/>
              </w:rPr>
              <w:t xml:space="preserve"> </w:t>
            </w:r>
            <w:r>
              <w:rPr>
                <w:spacing w:val="-1"/>
              </w:rPr>
              <w:t>天内未对备案的项目交工验收报告提出异议，</w:t>
            </w:r>
            <w:r>
              <w:rPr>
                <w:spacing w:val="-2"/>
              </w:rPr>
              <w:t>项目法人可开放交通进入试运营期。试运营期不得超过</w:t>
            </w:r>
            <w:r>
              <w:t xml:space="preserve"> </w:t>
            </w:r>
            <w:r>
              <w:rPr>
                <w:spacing w:val="-8"/>
              </w:rPr>
              <w:t>3</w:t>
            </w:r>
            <w:r>
              <w:rPr>
                <w:spacing w:val="-38"/>
              </w:rPr>
              <w:t xml:space="preserve"> </w:t>
            </w:r>
            <w:r>
              <w:rPr>
                <w:spacing w:val="-8"/>
              </w:rPr>
              <w:t>年。</w:t>
            </w:r>
          </w:p>
          <w:p w14:paraId="6F8A27E6">
            <w:pPr>
              <w:pStyle w:val="8"/>
              <w:spacing w:before="26" w:line="232" w:lineRule="auto"/>
              <w:ind w:left="111" w:right="159" w:firstLine="360"/>
            </w:pPr>
            <w:r>
              <w:t>第二十六条  项目法人违反本办法规定，对未进行交工验收、交工验收不合格或</w:t>
            </w:r>
            <w:r>
              <w:rPr>
                <w:spacing w:val="-1"/>
              </w:rPr>
              <w:t>未备案的工程开放交</w:t>
            </w:r>
            <w:r>
              <w:t xml:space="preserve"> </w:t>
            </w:r>
            <w:r>
              <w:rPr>
                <w:spacing w:val="-1"/>
              </w:rPr>
              <w:t>通进行试运营的，由交通主管部门责令停止试运营，并予以警告</w:t>
            </w:r>
            <w:r>
              <w:rPr>
                <w:spacing w:val="-2"/>
              </w:rPr>
              <w:t>处罚。</w:t>
            </w:r>
          </w:p>
          <w:p w14:paraId="1AE151EF">
            <w:pPr>
              <w:pStyle w:val="8"/>
              <w:spacing w:before="27" w:line="219" w:lineRule="auto"/>
              <w:ind w:left="474"/>
            </w:pPr>
            <w:r>
              <w:rPr>
                <w:b/>
                <w:bCs/>
                <w:spacing w:val="-3"/>
              </w:rPr>
              <w:t>3.《公路建设监督管理办法》（交通运输</w:t>
            </w:r>
            <w:r>
              <w:rPr>
                <w:b/>
                <w:bCs/>
                <w:spacing w:val="-4"/>
              </w:rPr>
              <w:t>部令</w:t>
            </w:r>
            <w:r>
              <w:rPr>
                <w:spacing w:val="-33"/>
              </w:rPr>
              <w:t xml:space="preserve"> </w:t>
            </w:r>
            <w:r>
              <w:rPr>
                <w:b/>
                <w:bCs/>
                <w:spacing w:val="-4"/>
              </w:rPr>
              <w:t>2021</w:t>
            </w:r>
            <w:r>
              <w:rPr>
                <w:spacing w:val="-40"/>
              </w:rPr>
              <w:t xml:space="preserve"> </w:t>
            </w:r>
            <w:r>
              <w:rPr>
                <w:b/>
                <w:bCs/>
                <w:spacing w:val="-4"/>
              </w:rPr>
              <w:t>年第</w:t>
            </w:r>
            <w:r>
              <w:rPr>
                <w:spacing w:val="-22"/>
              </w:rPr>
              <w:t xml:space="preserve"> </w:t>
            </w:r>
            <w:r>
              <w:rPr>
                <w:b/>
                <w:bCs/>
                <w:spacing w:val="-4"/>
              </w:rPr>
              <w:t>11</w:t>
            </w:r>
            <w:r>
              <w:rPr>
                <w:spacing w:val="-34"/>
              </w:rPr>
              <w:t xml:space="preserve"> </w:t>
            </w:r>
            <w:r>
              <w:rPr>
                <w:b/>
                <w:bCs/>
                <w:spacing w:val="-4"/>
              </w:rPr>
              <w:t>号）</w:t>
            </w:r>
          </w:p>
          <w:p w14:paraId="69D5F470">
            <w:pPr>
              <w:pStyle w:val="8"/>
              <w:spacing w:before="26" w:line="237" w:lineRule="auto"/>
              <w:ind w:left="110" w:right="104" w:firstLine="360"/>
              <w:jc w:val="both"/>
            </w:pPr>
            <w:r>
              <w:t>第十五条  公路建设项目验收分为交工验收和竣工验收两个阶段。项目法人负责</w:t>
            </w:r>
            <w:r>
              <w:rPr>
                <w:spacing w:val="-1"/>
              </w:rPr>
              <w:t>组织对各合同段进行</w:t>
            </w:r>
            <w:r>
              <w:t xml:space="preserve"> </w:t>
            </w:r>
            <w:r>
              <w:rPr>
                <w:spacing w:val="-1"/>
              </w:rPr>
              <w:t>交工验收，并完成项目交工验收报告报交通主管部门</w:t>
            </w:r>
            <w:r>
              <w:rPr>
                <w:spacing w:val="-2"/>
              </w:rPr>
              <w:t>备案。交通主管部门在</w:t>
            </w:r>
            <w:r>
              <w:rPr>
                <w:spacing w:val="-27"/>
              </w:rPr>
              <w:t xml:space="preserve"> </w:t>
            </w:r>
            <w:r>
              <w:rPr>
                <w:spacing w:val="-2"/>
              </w:rPr>
              <w:t>15</w:t>
            </w:r>
            <w:r>
              <w:rPr>
                <w:spacing w:val="-35"/>
              </w:rPr>
              <w:t xml:space="preserve"> </w:t>
            </w:r>
            <w:r>
              <w:rPr>
                <w:spacing w:val="-2"/>
              </w:rPr>
              <w:t>天内没有对备案项目的交工</w:t>
            </w:r>
            <w:r>
              <w:t xml:space="preserve"> </w:t>
            </w:r>
            <w:r>
              <w:rPr>
                <w:spacing w:val="-1"/>
              </w:rPr>
              <w:t>验收报告提出异议，项目法人可开放交通进入试运营期。试运营期不得超过</w:t>
            </w:r>
            <w:r>
              <w:rPr>
                <w:spacing w:val="-33"/>
              </w:rPr>
              <w:t xml:space="preserve"> </w:t>
            </w:r>
            <w:r>
              <w:rPr>
                <w:spacing w:val="-1"/>
              </w:rPr>
              <w:t>3</w:t>
            </w:r>
            <w:r>
              <w:rPr>
                <w:spacing w:val="-38"/>
              </w:rPr>
              <w:t xml:space="preserve"> </w:t>
            </w:r>
            <w:r>
              <w:rPr>
                <w:spacing w:val="-1"/>
              </w:rPr>
              <w:t>年。</w:t>
            </w:r>
          </w:p>
          <w:p w14:paraId="46AEDBA2">
            <w:pPr>
              <w:pStyle w:val="8"/>
              <w:spacing w:before="28" w:line="237" w:lineRule="auto"/>
              <w:ind w:left="114" w:right="44" w:firstLine="357"/>
              <w:jc w:val="both"/>
            </w:pPr>
            <w:r>
              <w:t>通车试运营</w:t>
            </w:r>
            <w:r>
              <w:rPr>
                <w:spacing w:val="-36"/>
              </w:rPr>
              <w:t xml:space="preserve"> </w:t>
            </w:r>
            <w:r>
              <w:t>2</w:t>
            </w:r>
            <w:r>
              <w:rPr>
                <w:spacing w:val="-38"/>
              </w:rPr>
              <w:t xml:space="preserve"> </w:t>
            </w:r>
            <w:r>
              <w:t>年后，交通主管部门应组织竣</w:t>
            </w:r>
            <w:r>
              <w:rPr>
                <w:spacing w:val="-1"/>
              </w:rPr>
              <w:t>工验收，经竣工验收合格的项目可转为正式运营。对未进</w:t>
            </w:r>
            <w:r>
              <w:t xml:space="preserve">  </w:t>
            </w:r>
            <w:r>
              <w:rPr>
                <w:spacing w:val="-2"/>
              </w:rPr>
              <w:t>行交工验收、交工验收不合格或没有备案的工程开放交通进行试运营的，由交通主管部门责令停止试运营。</w:t>
            </w:r>
            <w:r>
              <w:rPr>
                <w:spacing w:val="18"/>
              </w:rPr>
              <w:t xml:space="preserve"> </w:t>
            </w:r>
            <w:r>
              <w:rPr>
                <w:spacing w:val="-1"/>
              </w:rPr>
              <w:t>公路建设项目验收工作应当符合交通部制定的《公路工程竣（交）工验收办法》的规定。</w:t>
            </w:r>
          </w:p>
          <w:p w14:paraId="3514EBAE">
            <w:pPr>
              <w:pStyle w:val="8"/>
              <w:spacing w:before="25" w:line="223" w:lineRule="auto"/>
              <w:ind w:left="115" w:right="159" w:firstLine="355"/>
            </w:pPr>
            <w:r>
              <w:t>第四十条  违反本办法第十五条规定，未组织项目交工验收或验收不合格擅自交</w:t>
            </w:r>
            <w:r>
              <w:rPr>
                <w:spacing w:val="-1"/>
              </w:rPr>
              <w:t>付使用的，责令改正</w:t>
            </w:r>
            <w:r>
              <w:t xml:space="preserve"> </w:t>
            </w:r>
            <w:r>
              <w:rPr>
                <w:spacing w:val="-2"/>
              </w:rPr>
              <w:t>并停止使用，处工程合同价款</w:t>
            </w:r>
            <w:r>
              <w:rPr>
                <w:spacing w:val="-20"/>
              </w:rPr>
              <w:t xml:space="preserve"> </w:t>
            </w:r>
            <w:r>
              <w:rPr>
                <w:spacing w:val="-2"/>
              </w:rPr>
              <w:t>2％以上</w:t>
            </w:r>
            <w:r>
              <w:rPr>
                <w:spacing w:val="-31"/>
              </w:rPr>
              <w:t xml:space="preserve"> </w:t>
            </w:r>
            <w:r>
              <w:rPr>
                <w:spacing w:val="-2"/>
              </w:rPr>
              <w:t>4％以下的罚款；对收费公路项目应当停止收费。</w:t>
            </w:r>
          </w:p>
        </w:tc>
        <w:tc>
          <w:tcPr>
            <w:tcW w:w="1014" w:type="dxa"/>
            <w:vAlign w:val="top"/>
          </w:tcPr>
          <w:p w14:paraId="3EDE14AE">
            <w:pPr>
              <w:spacing w:line="246" w:lineRule="auto"/>
              <w:rPr>
                <w:rFonts w:ascii="Arial"/>
                <w:sz w:val="21"/>
              </w:rPr>
            </w:pPr>
          </w:p>
          <w:p w14:paraId="2DB46A51">
            <w:pPr>
              <w:spacing w:line="246" w:lineRule="auto"/>
              <w:rPr>
                <w:rFonts w:ascii="Arial"/>
                <w:sz w:val="21"/>
              </w:rPr>
            </w:pPr>
          </w:p>
          <w:p w14:paraId="3E508033">
            <w:pPr>
              <w:spacing w:line="247" w:lineRule="auto"/>
              <w:rPr>
                <w:rFonts w:ascii="Arial"/>
                <w:sz w:val="21"/>
              </w:rPr>
            </w:pPr>
          </w:p>
          <w:p w14:paraId="6E0AAC09">
            <w:pPr>
              <w:spacing w:line="247" w:lineRule="auto"/>
              <w:rPr>
                <w:rFonts w:ascii="Arial"/>
                <w:sz w:val="21"/>
              </w:rPr>
            </w:pPr>
          </w:p>
          <w:p w14:paraId="5252A66E">
            <w:pPr>
              <w:spacing w:line="247" w:lineRule="auto"/>
              <w:rPr>
                <w:rFonts w:ascii="Arial"/>
                <w:sz w:val="21"/>
              </w:rPr>
            </w:pPr>
          </w:p>
          <w:p w14:paraId="2F236CC4">
            <w:pPr>
              <w:spacing w:line="247" w:lineRule="auto"/>
              <w:rPr>
                <w:rFonts w:ascii="Arial"/>
                <w:sz w:val="21"/>
              </w:rPr>
            </w:pPr>
          </w:p>
          <w:p w14:paraId="3B3A4B9A">
            <w:pPr>
              <w:spacing w:line="247" w:lineRule="auto"/>
              <w:rPr>
                <w:rFonts w:ascii="Arial"/>
                <w:sz w:val="21"/>
              </w:rPr>
            </w:pPr>
          </w:p>
          <w:p w14:paraId="55B1610C">
            <w:pPr>
              <w:spacing w:line="247" w:lineRule="auto"/>
              <w:rPr>
                <w:rFonts w:ascii="Arial"/>
                <w:sz w:val="21"/>
              </w:rPr>
            </w:pPr>
          </w:p>
          <w:p w14:paraId="63E4E7E2">
            <w:pPr>
              <w:spacing w:line="247" w:lineRule="auto"/>
              <w:rPr>
                <w:rFonts w:ascii="Arial"/>
                <w:sz w:val="21"/>
              </w:rPr>
            </w:pPr>
          </w:p>
          <w:p w14:paraId="3109AFEC">
            <w:pPr>
              <w:spacing w:line="247" w:lineRule="auto"/>
              <w:rPr>
                <w:rFonts w:ascii="Arial"/>
                <w:sz w:val="21"/>
              </w:rPr>
            </w:pPr>
          </w:p>
          <w:p w14:paraId="0238ADFB">
            <w:pPr>
              <w:spacing w:line="247" w:lineRule="auto"/>
              <w:rPr>
                <w:rFonts w:ascii="Arial"/>
                <w:sz w:val="21"/>
              </w:rPr>
            </w:pPr>
          </w:p>
          <w:p w14:paraId="7C946634">
            <w:pPr>
              <w:spacing w:line="247" w:lineRule="auto"/>
              <w:rPr>
                <w:rFonts w:ascii="Arial"/>
                <w:sz w:val="21"/>
              </w:rPr>
            </w:pPr>
          </w:p>
          <w:p w14:paraId="09A751D1">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912C828">
            <w:pPr>
              <w:spacing w:line="246" w:lineRule="auto"/>
              <w:rPr>
                <w:rFonts w:ascii="Arial"/>
                <w:sz w:val="21"/>
              </w:rPr>
            </w:pPr>
          </w:p>
          <w:p w14:paraId="69C8345B">
            <w:pPr>
              <w:spacing w:line="247" w:lineRule="auto"/>
              <w:rPr>
                <w:rFonts w:ascii="Arial"/>
                <w:sz w:val="21"/>
              </w:rPr>
            </w:pPr>
          </w:p>
          <w:p w14:paraId="7A14F832">
            <w:pPr>
              <w:spacing w:line="247" w:lineRule="auto"/>
              <w:rPr>
                <w:rFonts w:ascii="Arial"/>
                <w:sz w:val="21"/>
              </w:rPr>
            </w:pPr>
          </w:p>
          <w:p w14:paraId="749DDB15">
            <w:pPr>
              <w:spacing w:line="247" w:lineRule="auto"/>
              <w:rPr>
                <w:rFonts w:ascii="Arial"/>
                <w:sz w:val="21"/>
              </w:rPr>
            </w:pPr>
          </w:p>
          <w:p w14:paraId="35FAF7E4">
            <w:pPr>
              <w:spacing w:line="247" w:lineRule="auto"/>
              <w:rPr>
                <w:rFonts w:ascii="Arial"/>
                <w:sz w:val="21"/>
              </w:rPr>
            </w:pPr>
          </w:p>
          <w:p w14:paraId="47C5FEFC">
            <w:pPr>
              <w:spacing w:line="247" w:lineRule="auto"/>
              <w:rPr>
                <w:rFonts w:ascii="Arial"/>
                <w:sz w:val="21"/>
              </w:rPr>
            </w:pPr>
          </w:p>
          <w:p w14:paraId="2EAB53D2">
            <w:pPr>
              <w:spacing w:line="247" w:lineRule="auto"/>
              <w:rPr>
                <w:rFonts w:ascii="Arial"/>
                <w:sz w:val="21"/>
              </w:rPr>
            </w:pPr>
          </w:p>
          <w:p w14:paraId="452DF4D5">
            <w:pPr>
              <w:spacing w:line="247" w:lineRule="auto"/>
              <w:rPr>
                <w:rFonts w:ascii="Arial"/>
                <w:sz w:val="21"/>
              </w:rPr>
            </w:pPr>
          </w:p>
          <w:p w14:paraId="7AEB9356">
            <w:pPr>
              <w:spacing w:line="247" w:lineRule="auto"/>
              <w:rPr>
                <w:rFonts w:ascii="Arial"/>
                <w:sz w:val="21"/>
              </w:rPr>
            </w:pPr>
          </w:p>
          <w:p w14:paraId="3A7E4C49">
            <w:pPr>
              <w:spacing w:line="247" w:lineRule="auto"/>
              <w:rPr>
                <w:rFonts w:ascii="Arial"/>
                <w:sz w:val="21"/>
              </w:rPr>
            </w:pPr>
          </w:p>
          <w:p w14:paraId="03D33B6E">
            <w:pPr>
              <w:spacing w:line="247" w:lineRule="auto"/>
              <w:rPr>
                <w:rFonts w:ascii="Arial"/>
                <w:sz w:val="21"/>
              </w:rPr>
            </w:pPr>
          </w:p>
          <w:p w14:paraId="10176703">
            <w:pPr>
              <w:spacing w:line="247" w:lineRule="auto"/>
              <w:rPr>
                <w:rFonts w:ascii="Arial"/>
                <w:sz w:val="21"/>
              </w:rPr>
            </w:pPr>
          </w:p>
          <w:p w14:paraId="559DD5D0">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9921B0D">
            <w:pPr>
              <w:spacing w:line="247" w:lineRule="auto"/>
              <w:rPr>
                <w:rFonts w:ascii="Arial"/>
                <w:sz w:val="21"/>
              </w:rPr>
            </w:pPr>
          </w:p>
          <w:p w14:paraId="554E7B48">
            <w:pPr>
              <w:spacing w:line="247" w:lineRule="auto"/>
              <w:rPr>
                <w:rFonts w:ascii="Arial"/>
                <w:sz w:val="21"/>
              </w:rPr>
            </w:pPr>
          </w:p>
          <w:p w14:paraId="4445848E">
            <w:pPr>
              <w:spacing w:line="247" w:lineRule="auto"/>
              <w:rPr>
                <w:rFonts w:ascii="Arial"/>
                <w:sz w:val="21"/>
              </w:rPr>
            </w:pPr>
          </w:p>
          <w:p w14:paraId="564D3F8C">
            <w:pPr>
              <w:spacing w:line="248" w:lineRule="auto"/>
              <w:rPr>
                <w:rFonts w:ascii="Arial"/>
                <w:sz w:val="21"/>
              </w:rPr>
            </w:pPr>
          </w:p>
          <w:p w14:paraId="061ABF71">
            <w:pPr>
              <w:spacing w:line="248" w:lineRule="auto"/>
              <w:rPr>
                <w:rFonts w:ascii="Arial"/>
                <w:sz w:val="21"/>
              </w:rPr>
            </w:pPr>
          </w:p>
          <w:p w14:paraId="32299115">
            <w:pPr>
              <w:spacing w:line="248" w:lineRule="auto"/>
              <w:rPr>
                <w:rFonts w:ascii="Arial"/>
                <w:sz w:val="21"/>
              </w:rPr>
            </w:pPr>
          </w:p>
          <w:p w14:paraId="5E974254">
            <w:pPr>
              <w:spacing w:line="248" w:lineRule="auto"/>
              <w:rPr>
                <w:rFonts w:ascii="Arial"/>
                <w:sz w:val="21"/>
              </w:rPr>
            </w:pPr>
          </w:p>
          <w:p w14:paraId="278127FB">
            <w:pPr>
              <w:spacing w:line="248" w:lineRule="auto"/>
              <w:rPr>
                <w:rFonts w:ascii="Arial"/>
                <w:sz w:val="21"/>
              </w:rPr>
            </w:pPr>
          </w:p>
          <w:p w14:paraId="15FA82FB">
            <w:pPr>
              <w:spacing w:line="248" w:lineRule="auto"/>
              <w:rPr>
                <w:rFonts w:ascii="Arial"/>
                <w:sz w:val="21"/>
              </w:rPr>
            </w:pPr>
          </w:p>
          <w:p w14:paraId="257FACDC">
            <w:pPr>
              <w:spacing w:line="248" w:lineRule="auto"/>
              <w:rPr>
                <w:rFonts w:ascii="Arial"/>
                <w:sz w:val="21"/>
              </w:rPr>
            </w:pPr>
          </w:p>
          <w:p w14:paraId="60C02218">
            <w:pPr>
              <w:spacing w:line="248" w:lineRule="auto"/>
              <w:rPr>
                <w:rFonts w:ascii="Arial"/>
                <w:sz w:val="21"/>
              </w:rPr>
            </w:pPr>
          </w:p>
          <w:p w14:paraId="47D08F01">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7F8C3315">
      <w:pPr>
        <w:pStyle w:val="2"/>
      </w:pPr>
    </w:p>
    <w:p w14:paraId="6D72CDCE">
      <w:pPr>
        <w:sectPr>
          <w:footerReference r:id="rId110" w:type="default"/>
          <w:pgSz w:w="16839" w:h="11906"/>
          <w:pgMar w:top="1012" w:right="991" w:bottom="967" w:left="1021" w:header="0" w:footer="768" w:gutter="0"/>
          <w:cols w:space="720" w:num="1"/>
        </w:sectPr>
      </w:pPr>
    </w:p>
    <w:p w14:paraId="0CA3B468">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375BD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4D40651F">
            <w:pPr>
              <w:pStyle w:val="8"/>
              <w:spacing w:before="267" w:line="221" w:lineRule="auto"/>
              <w:ind w:left="134"/>
            </w:pPr>
            <w:r>
              <w:rPr>
                <w:b/>
                <w:bCs/>
                <w:spacing w:val="-4"/>
              </w:rPr>
              <w:t>序号</w:t>
            </w:r>
          </w:p>
        </w:tc>
        <w:tc>
          <w:tcPr>
            <w:tcW w:w="1104" w:type="dxa"/>
            <w:vMerge w:val="restart"/>
            <w:tcBorders>
              <w:bottom w:val="nil"/>
            </w:tcBorders>
            <w:vAlign w:val="top"/>
          </w:tcPr>
          <w:p w14:paraId="39DEF1C7">
            <w:pPr>
              <w:pStyle w:val="8"/>
              <w:spacing w:before="260" w:line="220" w:lineRule="auto"/>
              <w:ind w:left="192"/>
            </w:pPr>
            <w:r>
              <w:rPr>
                <w:b/>
                <w:bCs/>
                <w:spacing w:val="-4"/>
              </w:rPr>
              <w:t>事项名称</w:t>
            </w:r>
          </w:p>
        </w:tc>
        <w:tc>
          <w:tcPr>
            <w:tcW w:w="1104" w:type="dxa"/>
            <w:vMerge w:val="restart"/>
            <w:tcBorders>
              <w:bottom w:val="nil"/>
            </w:tcBorders>
            <w:vAlign w:val="top"/>
          </w:tcPr>
          <w:p w14:paraId="66A59264">
            <w:pPr>
              <w:pStyle w:val="8"/>
              <w:spacing w:before="260" w:line="219" w:lineRule="auto"/>
              <w:ind w:left="193"/>
            </w:pPr>
            <w:r>
              <w:rPr>
                <w:b/>
                <w:bCs/>
                <w:spacing w:val="-4"/>
              </w:rPr>
              <w:t>职权类型</w:t>
            </w:r>
          </w:p>
        </w:tc>
        <w:tc>
          <w:tcPr>
            <w:tcW w:w="8549" w:type="dxa"/>
            <w:vMerge w:val="restart"/>
            <w:tcBorders>
              <w:bottom w:val="nil"/>
            </w:tcBorders>
            <w:vAlign w:val="top"/>
          </w:tcPr>
          <w:p w14:paraId="76234E27">
            <w:pPr>
              <w:pStyle w:val="8"/>
              <w:spacing w:before="259" w:line="219" w:lineRule="auto"/>
              <w:ind w:left="3921"/>
            </w:pPr>
            <w:r>
              <w:rPr>
                <w:b/>
                <w:bCs/>
                <w:spacing w:val="-5"/>
              </w:rPr>
              <w:t>实施依据</w:t>
            </w:r>
          </w:p>
        </w:tc>
        <w:tc>
          <w:tcPr>
            <w:tcW w:w="3439" w:type="dxa"/>
            <w:gridSpan w:val="3"/>
            <w:vAlign w:val="top"/>
          </w:tcPr>
          <w:p w14:paraId="31CDDA38">
            <w:pPr>
              <w:pStyle w:val="8"/>
              <w:spacing w:before="85" w:line="220" w:lineRule="auto"/>
              <w:ind w:left="1365"/>
            </w:pPr>
            <w:r>
              <w:rPr>
                <w:b/>
                <w:bCs/>
                <w:spacing w:val="-5"/>
              </w:rPr>
              <w:t>实施主体</w:t>
            </w:r>
          </w:p>
        </w:tc>
      </w:tr>
      <w:tr w14:paraId="48042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097190E">
            <w:pPr>
              <w:rPr>
                <w:rFonts w:ascii="Arial"/>
                <w:sz w:val="21"/>
              </w:rPr>
            </w:pPr>
          </w:p>
        </w:tc>
        <w:tc>
          <w:tcPr>
            <w:tcW w:w="1104" w:type="dxa"/>
            <w:vMerge w:val="continue"/>
            <w:tcBorders>
              <w:top w:val="nil"/>
            </w:tcBorders>
            <w:vAlign w:val="top"/>
          </w:tcPr>
          <w:p w14:paraId="75D4EF1C">
            <w:pPr>
              <w:rPr>
                <w:rFonts w:ascii="Arial"/>
                <w:sz w:val="21"/>
              </w:rPr>
            </w:pPr>
          </w:p>
        </w:tc>
        <w:tc>
          <w:tcPr>
            <w:tcW w:w="1104" w:type="dxa"/>
            <w:vMerge w:val="continue"/>
            <w:tcBorders>
              <w:top w:val="nil"/>
            </w:tcBorders>
            <w:vAlign w:val="top"/>
          </w:tcPr>
          <w:p w14:paraId="0E8BB140">
            <w:pPr>
              <w:rPr>
                <w:rFonts w:ascii="Arial"/>
                <w:sz w:val="21"/>
              </w:rPr>
            </w:pPr>
          </w:p>
        </w:tc>
        <w:tc>
          <w:tcPr>
            <w:tcW w:w="8549" w:type="dxa"/>
            <w:vMerge w:val="continue"/>
            <w:tcBorders>
              <w:top w:val="nil"/>
            </w:tcBorders>
            <w:vAlign w:val="top"/>
          </w:tcPr>
          <w:p w14:paraId="09542402">
            <w:pPr>
              <w:rPr>
                <w:rFonts w:ascii="Arial"/>
                <w:sz w:val="21"/>
              </w:rPr>
            </w:pPr>
          </w:p>
        </w:tc>
        <w:tc>
          <w:tcPr>
            <w:tcW w:w="1014" w:type="dxa"/>
            <w:vAlign w:val="top"/>
          </w:tcPr>
          <w:p w14:paraId="066AAE51">
            <w:pPr>
              <w:pStyle w:val="8"/>
              <w:spacing w:before="81" w:line="219" w:lineRule="auto"/>
              <w:ind w:left="158"/>
            </w:pPr>
            <w:r>
              <w:rPr>
                <w:b/>
                <w:bCs/>
                <w:spacing w:val="-5"/>
              </w:rPr>
              <w:t>责任部门</w:t>
            </w:r>
          </w:p>
        </w:tc>
        <w:tc>
          <w:tcPr>
            <w:tcW w:w="1407" w:type="dxa"/>
            <w:vAlign w:val="top"/>
          </w:tcPr>
          <w:p w14:paraId="367A5EBC">
            <w:pPr>
              <w:pStyle w:val="8"/>
              <w:spacing w:before="81" w:line="219" w:lineRule="auto"/>
              <w:ind w:left="167"/>
            </w:pPr>
            <w:r>
              <w:rPr>
                <w:b/>
                <w:bCs/>
                <w:spacing w:val="-3"/>
              </w:rPr>
              <w:t>第一责任层级</w:t>
            </w:r>
          </w:p>
        </w:tc>
        <w:tc>
          <w:tcPr>
            <w:tcW w:w="1018" w:type="dxa"/>
            <w:vAlign w:val="top"/>
          </w:tcPr>
          <w:p w14:paraId="64A02B8B">
            <w:pPr>
              <w:pStyle w:val="8"/>
              <w:spacing w:before="81" w:line="219" w:lineRule="auto"/>
              <w:ind w:left="152"/>
            </w:pPr>
            <w:r>
              <w:rPr>
                <w:b/>
                <w:bCs/>
                <w:spacing w:val="-4"/>
              </w:rPr>
              <w:t>承办机构</w:t>
            </w:r>
          </w:p>
        </w:tc>
      </w:tr>
      <w:tr w14:paraId="65DA4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4" w:hRule="atLeast"/>
        </w:trPr>
        <w:tc>
          <w:tcPr>
            <w:tcW w:w="624" w:type="dxa"/>
            <w:vAlign w:val="top"/>
          </w:tcPr>
          <w:p w14:paraId="3E3A306D">
            <w:pPr>
              <w:rPr>
                <w:rFonts w:ascii="Arial"/>
                <w:sz w:val="21"/>
              </w:rPr>
            </w:pPr>
          </w:p>
        </w:tc>
        <w:tc>
          <w:tcPr>
            <w:tcW w:w="1104" w:type="dxa"/>
            <w:vAlign w:val="top"/>
          </w:tcPr>
          <w:p w14:paraId="527F9728">
            <w:pPr>
              <w:rPr>
                <w:rFonts w:ascii="Arial"/>
                <w:sz w:val="21"/>
              </w:rPr>
            </w:pPr>
          </w:p>
        </w:tc>
        <w:tc>
          <w:tcPr>
            <w:tcW w:w="1104" w:type="dxa"/>
            <w:vAlign w:val="top"/>
          </w:tcPr>
          <w:p w14:paraId="7A7E7356">
            <w:pPr>
              <w:rPr>
                <w:rFonts w:ascii="Arial"/>
                <w:sz w:val="21"/>
              </w:rPr>
            </w:pPr>
          </w:p>
        </w:tc>
        <w:tc>
          <w:tcPr>
            <w:tcW w:w="8549" w:type="dxa"/>
            <w:vAlign w:val="top"/>
          </w:tcPr>
          <w:p w14:paraId="69349C4D">
            <w:pPr>
              <w:pStyle w:val="8"/>
              <w:spacing w:before="38" w:line="219" w:lineRule="auto"/>
              <w:ind w:left="470"/>
            </w:pPr>
            <w:r>
              <w:rPr>
                <w:b/>
                <w:bCs/>
                <w:spacing w:val="-3"/>
              </w:rPr>
              <w:t>4.</w:t>
            </w:r>
            <w:r>
              <w:rPr>
                <w:spacing w:val="-3"/>
              </w:rPr>
              <w:t xml:space="preserve"> </w:t>
            </w:r>
            <w:r>
              <w:rPr>
                <w:b/>
                <w:bCs/>
                <w:spacing w:val="-3"/>
              </w:rPr>
              <w:t>《湖南省高速公路条例》</w:t>
            </w:r>
          </w:p>
          <w:p w14:paraId="79B552F3">
            <w:pPr>
              <w:pStyle w:val="8"/>
              <w:spacing w:before="26" w:line="219" w:lineRule="auto"/>
              <w:ind w:left="471"/>
            </w:pPr>
            <w:r>
              <w:t>第十七条第一款  高速公路建设项目未按照国家有关规定进行交工验收或者交工验</w:t>
            </w:r>
            <w:r>
              <w:rPr>
                <w:spacing w:val="-1"/>
              </w:rPr>
              <w:t>收不合格的，不得</w:t>
            </w:r>
          </w:p>
          <w:p w14:paraId="65BECF5B">
            <w:pPr>
              <w:pStyle w:val="8"/>
              <w:spacing w:before="26" w:line="219" w:lineRule="auto"/>
              <w:ind w:left="114"/>
            </w:pPr>
            <w:r>
              <w:rPr>
                <w:spacing w:val="-7"/>
              </w:rPr>
              <w:t>交付使用。</w:t>
            </w:r>
          </w:p>
          <w:p w14:paraId="54CFE41E">
            <w:pPr>
              <w:pStyle w:val="8"/>
              <w:spacing w:before="26" w:line="232" w:lineRule="auto"/>
              <w:ind w:left="111" w:right="159" w:firstLine="360"/>
            </w:pPr>
            <w:r>
              <w:t>第四十九条  违反本条例第十七条第一款规定，高速公路建设项目未进行交工验</w:t>
            </w:r>
            <w:r>
              <w:rPr>
                <w:spacing w:val="-1"/>
              </w:rPr>
              <w:t>收或者交工验收不合</w:t>
            </w:r>
            <w:r>
              <w:t xml:space="preserve"> </w:t>
            </w:r>
            <w:r>
              <w:rPr>
                <w:spacing w:val="-1"/>
              </w:rPr>
              <w:t>格，擅自交付使用的，由交通运输主管部门责令改正，处工程合同价款百分之二以上百分之四以下罚款。</w:t>
            </w:r>
          </w:p>
          <w:p w14:paraId="4BBDFB5D">
            <w:pPr>
              <w:pStyle w:val="8"/>
              <w:spacing w:before="27" w:line="219" w:lineRule="auto"/>
              <w:ind w:left="474"/>
            </w:pPr>
            <w:r>
              <w:rPr>
                <w:b/>
                <w:bCs/>
                <w:spacing w:val="-2"/>
              </w:rPr>
              <w:t>5.《湖南省交通建设工程质量与安全生产条例》</w:t>
            </w:r>
          </w:p>
          <w:p w14:paraId="6E37EDCF">
            <w:pPr>
              <w:pStyle w:val="8"/>
              <w:spacing w:before="26" w:line="233" w:lineRule="auto"/>
              <w:ind w:left="111" w:right="159" w:firstLine="359"/>
            </w:pPr>
            <w:r>
              <w:t>第十七条第一款  交通建设工程交工验收前，质安监管机构应当出具检测意见。</w:t>
            </w:r>
            <w:r>
              <w:rPr>
                <w:spacing w:val="-1"/>
              </w:rPr>
              <w:t>未经检测或者检测不</w:t>
            </w:r>
            <w:r>
              <w:t xml:space="preserve"> </w:t>
            </w:r>
            <w:r>
              <w:rPr>
                <w:spacing w:val="-2"/>
              </w:rPr>
              <w:t>合格的，建设单位不得组织交工验收。</w:t>
            </w:r>
          </w:p>
        </w:tc>
        <w:tc>
          <w:tcPr>
            <w:tcW w:w="1014" w:type="dxa"/>
            <w:vAlign w:val="top"/>
          </w:tcPr>
          <w:p w14:paraId="31D783CD">
            <w:pPr>
              <w:rPr>
                <w:rFonts w:ascii="Arial"/>
                <w:sz w:val="21"/>
              </w:rPr>
            </w:pPr>
          </w:p>
        </w:tc>
        <w:tc>
          <w:tcPr>
            <w:tcW w:w="1407" w:type="dxa"/>
            <w:vAlign w:val="top"/>
          </w:tcPr>
          <w:p w14:paraId="1150671E">
            <w:pPr>
              <w:rPr>
                <w:rFonts w:ascii="Arial"/>
                <w:sz w:val="21"/>
              </w:rPr>
            </w:pPr>
          </w:p>
        </w:tc>
        <w:tc>
          <w:tcPr>
            <w:tcW w:w="1018" w:type="dxa"/>
            <w:vAlign w:val="top"/>
          </w:tcPr>
          <w:p w14:paraId="51933FBA">
            <w:pPr>
              <w:rPr>
                <w:rFonts w:ascii="Arial"/>
                <w:sz w:val="21"/>
              </w:rPr>
            </w:pPr>
          </w:p>
        </w:tc>
      </w:tr>
      <w:tr w14:paraId="1B3A7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8" w:hRule="atLeast"/>
        </w:trPr>
        <w:tc>
          <w:tcPr>
            <w:tcW w:w="624" w:type="dxa"/>
            <w:vAlign w:val="top"/>
          </w:tcPr>
          <w:p w14:paraId="3B9F39AA">
            <w:pPr>
              <w:spacing w:line="268" w:lineRule="auto"/>
              <w:rPr>
                <w:rFonts w:ascii="Arial"/>
                <w:sz w:val="21"/>
              </w:rPr>
            </w:pPr>
          </w:p>
          <w:p w14:paraId="1494FABC">
            <w:pPr>
              <w:spacing w:line="268" w:lineRule="auto"/>
              <w:rPr>
                <w:rFonts w:ascii="Arial"/>
                <w:sz w:val="21"/>
              </w:rPr>
            </w:pPr>
          </w:p>
          <w:p w14:paraId="14BEBC85">
            <w:pPr>
              <w:spacing w:line="268" w:lineRule="auto"/>
              <w:rPr>
                <w:rFonts w:ascii="Arial"/>
                <w:sz w:val="21"/>
              </w:rPr>
            </w:pPr>
          </w:p>
          <w:p w14:paraId="5AD5FDB0">
            <w:pPr>
              <w:spacing w:line="268" w:lineRule="auto"/>
              <w:rPr>
                <w:rFonts w:ascii="Arial"/>
                <w:sz w:val="21"/>
              </w:rPr>
            </w:pPr>
          </w:p>
          <w:p w14:paraId="2F988295">
            <w:pPr>
              <w:spacing w:line="268" w:lineRule="auto"/>
              <w:rPr>
                <w:rFonts w:ascii="Arial"/>
                <w:sz w:val="21"/>
              </w:rPr>
            </w:pPr>
          </w:p>
          <w:p w14:paraId="1C5EB521">
            <w:pPr>
              <w:spacing w:line="269" w:lineRule="auto"/>
              <w:rPr>
                <w:rFonts w:ascii="Arial"/>
                <w:sz w:val="21"/>
              </w:rPr>
            </w:pPr>
          </w:p>
          <w:p w14:paraId="0A9E6F3A">
            <w:pPr>
              <w:spacing w:line="269" w:lineRule="auto"/>
              <w:rPr>
                <w:rFonts w:ascii="Arial"/>
                <w:sz w:val="21"/>
              </w:rPr>
            </w:pPr>
          </w:p>
          <w:p w14:paraId="5855D68D">
            <w:pPr>
              <w:pStyle w:val="8"/>
              <w:spacing w:before="59" w:line="184" w:lineRule="auto"/>
              <w:ind w:left="235"/>
            </w:pPr>
            <w:r>
              <w:rPr>
                <w:spacing w:val="-6"/>
              </w:rPr>
              <w:t>71</w:t>
            </w:r>
          </w:p>
        </w:tc>
        <w:tc>
          <w:tcPr>
            <w:tcW w:w="1104" w:type="dxa"/>
            <w:vAlign w:val="top"/>
          </w:tcPr>
          <w:p w14:paraId="3C1EF7E3">
            <w:pPr>
              <w:spacing w:line="299" w:lineRule="auto"/>
              <w:rPr>
                <w:rFonts w:ascii="Arial"/>
                <w:sz w:val="21"/>
              </w:rPr>
            </w:pPr>
          </w:p>
          <w:p w14:paraId="1B709C83">
            <w:pPr>
              <w:spacing w:line="300" w:lineRule="auto"/>
              <w:rPr>
                <w:rFonts w:ascii="Arial"/>
                <w:sz w:val="21"/>
              </w:rPr>
            </w:pPr>
          </w:p>
          <w:p w14:paraId="3913C5D0">
            <w:pPr>
              <w:spacing w:line="300" w:lineRule="auto"/>
              <w:rPr>
                <w:rFonts w:ascii="Arial"/>
                <w:sz w:val="21"/>
              </w:rPr>
            </w:pPr>
          </w:p>
          <w:p w14:paraId="1DE870A4">
            <w:pPr>
              <w:pStyle w:val="8"/>
              <w:spacing w:before="59" w:line="243" w:lineRule="auto"/>
              <w:ind w:left="59" w:right="56"/>
              <w:jc w:val="both"/>
            </w:pPr>
            <w:r>
              <w:rPr>
                <w:spacing w:val="16"/>
              </w:rPr>
              <w:t>对交通运输</w:t>
            </w:r>
            <w:r>
              <w:rPr>
                <w:spacing w:val="1"/>
              </w:rPr>
              <w:t xml:space="preserve"> </w:t>
            </w:r>
            <w:r>
              <w:rPr>
                <w:spacing w:val="16"/>
              </w:rPr>
              <w:t>领域承担安</w:t>
            </w:r>
            <w:r>
              <w:rPr>
                <w:spacing w:val="2"/>
              </w:rPr>
              <w:t xml:space="preserve"> </w:t>
            </w:r>
            <w:r>
              <w:rPr>
                <w:spacing w:val="16"/>
              </w:rPr>
              <w:t>全评价工作</w:t>
            </w:r>
            <w:r>
              <w:rPr>
                <w:spacing w:val="2"/>
              </w:rPr>
              <w:t xml:space="preserve"> </w:t>
            </w:r>
            <w:r>
              <w:rPr>
                <w:spacing w:val="16"/>
              </w:rPr>
              <w:t>等机构出具</w:t>
            </w:r>
            <w:r>
              <w:rPr>
                <w:spacing w:val="2"/>
              </w:rPr>
              <w:t xml:space="preserve"> </w:t>
            </w:r>
            <w:r>
              <w:rPr>
                <w:spacing w:val="-17"/>
              </w:rPr>
              <w:t>失实报告、租</w:t>
            </w:r>
            <w:r>
              <w:rPr>
                <w:spacing w:val="4"/>
              </w:rPr>
              <w:t xml:space="preserve"> </w:t>
            </w:r>
            <w:r>
              <w:rPr>
                <w:spacing w:val="16"/>
              </w:rPr>
              <w:t>借资质、挂</w:t>
            </w:r>
            <w:r>
              <w:rPr>
                <w:spacing w:val="2"/>
              </w:rPr>
              <w:t xml:space="preserve"> </w:t>
            </w:r>
            <w:r>
              <w:rPr>
                <w:spacing w:val="-17"/>
              </w:rPr>
              <w:t>靠、出具虚假</w:t>
            </w:r>
            <w:r>
              <w:rPr>
                <w:spacing w:val="4"/>
              </w:rPr>
              <w:t xml:space="preserve"> </w:t>
            </w:r>
            <w:r>
              <w:rPr>
                <w:spacing w:val="16"/>
              </w:rPr>
              <w:t>报告行为的</w:t>
            </w:r>
            <w:r>
              <w:rPr>
                <w:spacing w:val="2"/>
              </w:rPr>
              <w:t xml:space="preserve"> </w:t>
            </w:r>
            <w:r>
              <w:rPr>
                <w:spacing w:val="-2"/>
              </w:rPr>
              <w:t>行政处罚</w:t>
            </w:r>
          </w:p>
        </w:tc>
        <w:tc>
          <w:tcPr>
            <w:tcW w:w="1104" w:type="dxa"/>
            <w:vAlign w:val="top"/>
          </w:tcPr>
          <w:p w14:paraId="7AC24C78">
            <w:pPr>
              <w:spacing w:line="264" w:lineRule="auto"/>
              <w:rPr>
                <w:rFonts w:ascii="Arial"/>
                <w:sz w:val="21"/>
              </w:rPr>
            </w:pPr>
          </w:p>
          <w:p w14:paraId="3E7BFBD8">
            <w:pPr>
              <w:spacing w:line="264" w:lineRule="auto"/>
              <w:rPr>
                <w:rFonts w:ascii="Arial"/>
                <w:sz w:val="21"/>
              </w:rPr>
            </w:pPr>
          </w:p>
          <w:p w14:paraId="3F7EC4BE">
            <w:pPr>
              <w:spacing w:line="264" w:lineRule="auto"/>
              <w:rPr>
                <w:rFonts w:ascii="Arial"/>
                <w:sz w:val="21"/>
              </w:rPr>
            </w:pPr>
          </w:p>
          <w:p w14:paraId="1A5B2C36">
            <w:pPr>
              <w:spacing w:line="264" w:lineRule="auto"/>
              <w:rPr>
                <w:rFonts w:ascii="Arial"/>
                <w:sz w:val="21"/>
              </w:rPr>
            </w:pPr>
          </w:p>
          <w:p w14:paraId="3C037B1E">
            <w:pPr>
              <w:spacing w:line="265" w:lineRule="auto"/>
              <w:rPr>
                <w:rFonts w:ascii="Arial"/>
                <w:sz w:val="21"/>
              </w:rPr>
            </w:pPr>
          </w:p>
          <w:p w14:paraId="3CB7FD88">
            <w:pPr>
              <w:spacing w:line="265" w:lineRule="auto"/>
              <w:rPr>
                <w:rFonts w:ascii="Arial"/>
                <w:sz w:val="21"/>
              </w:rPr>
            </w:pPr>
          </w:p>
          <w:p w14:paraId="36348612">
            <w:pPr>
              <w:spacing w:line="265" w:lineRule="auto"/>
              <w:rPr>
                <w:rFonts w:ascii="Arial"/>
                <w:sz w:val="21"/>
              </w:rPr>
            </w:pPr>
          </w:p>
          <w:p w14:paraId="338684F4">
            <w:pPr>
              <w:pStyle w:val="8"/>
              <w:spacing w:before="58" w:line="220" w:lineRule="auto"/>
              <w:ind w:left="10"/>
            </w:pPr>
            <w:r>
              <w:rPr>
                <w:spacing w:val="-2"/>
              </w:rPr>
              <w:t>行政处罚</w:t>
            </w:r>
          </w:p>
        </w:tc>
        <w:tc>
          <w:tcPr>
            <w:tcW w:w="8549" w:type="dxa"/>
            <w:vAlign w:val="top"/>
          </w:tcPr>
          <w:p w14:paraId="6E936057">
            <w:pPr>
              <w:pStyle w:val="8"/>
              <w:spacing w:before="241" w:line="219" w:lineRule="auto"/>
              <w:ind w:left="476"/>
            </w:pPr>
            <w:r>
              <w:rPr>
                <w:b/>
                <w:bCs/>
                <w:spacing w:val="-3"/>
              </w:rPr>
              <w:t>《中华人民共和国安全生产法》</w:t>
            </w:r>
          </w:p>
          <w:p w14:paraId="37E614BB">
            <w:pPr>
              <w:pStyle w:val="8"/>
              <w:spacing w:before="27" w:line="237" w:lineRule="auto"/>
              <w:ind w:left="123" w:right="159" w:firstLine="348"/>
              <w:jc w:val="both"/>
            </w:pPr>
            <w:r>
              <w:t>第七十二条  承担安全评价、认证、检测、检验职责的机构应当具备国家规定的</w:t>
            </w:r>
            <w:r>
              <w:rPr>
                <w:spacing w:val="-1"/>
              </w:rPr>
              <w:t>资质条件，并对其作</w:t>
            </w:r>
            <w:r>
              <w:t xml:space="preserve"> 出的安全评价、认证、检测、检验结果的合法性、真实性负</w:t>
            </w:r>
            <w:r>
              <w:rPr>
                <w:spacing w:val="-1"/>
              </w:rPr>
              <w:t>责。资质条件由国务院应急管理部门会同国务</w:t>
            </w:r>
            <w:r>
              <w:t xml:space="preserve"> </w:t>
            </w:r>
            <w:r>
              <w:rPr>
                <w:spacing w:val="-5"/>
              </w:rPr>
              <w:t>院有关部门制定。</w:t>
            </w:r>
          </w:p>
          <w:p w14:paraId="34FE0064">
            <w:pPr>
              <w:pStyle w:val="8"/>
              <w:spacing w:before="26" w:line="232" w:lineRule="auto"/>
              <w:ind w:left="111" w:right="159" w:firstLine="359"/>
            </w:pPr>
            <w:r>
              <w:t>承担安全评价、认证、检测、检验职责的机构应当建立并实施服务公开和报告公</w:t>
            </w:r>
            <w:r>
              <w:rPr>
                <w:spacing w:val="-1"/>
              </w:rPr>
              <w:t>开制度，不得租借资</w:t>
            </w:r>
            <w:r>
              <w:t xml:space="preserve"> </w:t>
            </w:r>
            <w:r>
              <w:rPr>
                <w:spacing w:val="-3"/>
              </w:rPr>
              <w:t>质、挂靠、出具虚假报告。</w:t>
            </w:r>
          </w:p>
          <w:p w14:paraId="50588F10">
            <w:pPr>
              <w:pStyle w:val="8"/>
              <w:spacing w:before="26" w:line="233" w:lineRule="auto"/>
              <w:ind w:left="115" w:right="159" w:firstLine="355"/>
            </w:pPr>
            <w:r>
              <w:t>第九十二条  承担安全评价、认证、检测、检验职责的机构出具失实报告的，责</w:t>
            </w:r>
            <w:r>
              <w:rPr>
                <w:spacing w:val="-1"/>
              </w:rPr>
              <w:t>令停业整顿，并处三</w:t>
            </w:r>
            <w:r>
              <w:t xml:space="preserve"> </w:t>
            </w:r>
            <w:r>
              <w:rPr>
                <w:spacing w:val="-1"/>
              </w:rPr>
              <w:t>万元以上十万元以下的罚款；给他人造成损害的，依法</w:t>
            </w:r>
            <w:r>
              <w:rPr>
                <w:spacing w:val="-2"/>
              </w:rPr>
              <w:t>承担赔偿责任。</w:t>
            </w:r>
          </w:p>
          <w:p w14:paraId="1F171C15">
            <w:pPr>
              <w:pStyle w:val="8"/>
              <w:spacing w:before="25" w:line="241" w:lineRule="auto"/>
              <w:ind w:left="111" w:right="159" w:firstLine="359"/>
            </w:pPr>
            <w:r>
              <w:t>承担安全评价、认证、检测、检验职责的机构租借资质、挂靠、出具虚假报告的</w:t>
            </w:r>
            <w:r>
              <w:rPr>
                <w:spacing w:val="-1"/>
              </w:rPr>
              <w:t>，没收违法所得；违</w:t>
            </w:r>
            <w:r>
              <w:t xml:space="preserve"> 法所得在十万元以上的，并处违法所得二倍以上五倍以下的罚款，没有违法所得或者</w:t>
            </w:r>
            <w:r>
              <w:rPr>
                <w:spacing w:val="-1"/>
              </w:rPr>
              <w:t>违法所得不足十万元</w:t>
            </w:r>
            <w:r>
              <w:t xml:space="preserve"> 的，单处或者并处十万元以上二十万元以下的罚款；对其直接负责的主管人员和其他</w:t>
            </w:r>
            <w:r>
              <w:rPr>
                <w:spacing w:val="-1"/>
              </w:rPr>
              <w:t>直接责任人员处五万</w:t>
            </w:r>
            <w:r>
              <w:t xml:space="preserve"> 元以上十万元以下的罚款；给他人造成损害的，与生产经营单位承担连带赔偿责任；</w:t>
            </w:r>
            <w:r>
              <w:rPr>
                <w:spacing w:val="-1"/>
              </w:rPr>
              <w:t>构成犯罪的，依照刑</w:t>
            </w:r>
            <w:r>
              <w:t xml:space="preserve"> </w:t>
            </w:r>
            <w:r>
              <w:rPr>
                <w:spacing w:val="-3"/>
              </w:rPr>
              <w:t>法有关规定追究刑事责任。</w:t>
            </w:r>
          </w:p>
          <w:p w14:paraId="57BC52E4">
            <w:pPr>
              <w:pStyle w:val="8"/>
              <w:spacing w:before="26" w:line="233" w:lineRule="auto"/>
              <w:ind w:left="111" w:right="159" w:firstLine="359"/>
            </w:pPr>
            <w:r>
              <w:t>对有前款违法行为的机构及其直接责任人员，吊销其相应资质和资格，五年内不得</w:t>
            </w:r>
            <w:r>
              <w:rPr>
                <w:spacing w:val="-1"/>
              </w:rPr>
              <w:t>从事安全评价、认</w:t>
            </w:r>
            <w:r>
              <w:t xml:space="preserve"> </w:t>
            </w:r>
            <w:r>
              <w:rPr>
                <w:spacing w:val="-1"/>
              </w:rPr>
              <w:t>证、检测、检验等工作；情节严重的，实行终身行业和职</w:t>
            </w:r>
            <w:r>
              <w:rPr>
                <w:spacing w:val="-2"/>
              </w:rPr>
              <w:t>业禁入。</w:t>
            </w:r>
          </w:p>
        </w:tc>
        <w:tc>
          <w:tcPr>
            <w:tcW w:w="1014" w:type="dxa"/>
            <w:vAlign w:val="top"/>
          </w:tcPr>
          <w:p w14:paraId="26D85558">
            <w:pPr>
              <w:spacing w:line="247" w:lineRule="auto"/>
              <w:rPr>
                <w:rFonts w:ascii="Arial"/>
                <w:sz w:val="21"/>
              </w:rPr>
            </w:pPr>
          </w:p>
          <w:p w14:paraId="4349A136">
            <w:pPr>
              <w:spacing w:line="247" w:lineRule="auto"/>
              <w:rPr>
                <w:rFonts w:ascii="Arial"/>
                <w:sz w:val="21"/>
              </w:rPr>
            </w:pPr>
          </w:p>
          <w:p w14:paraId="59691866">
            <w:pPr>
              <w:spacing w:line="247" w:lineRule="auto"/>
              <w:rPr>
                <w:rFonts w:ascii="Arial"/>
                <w:sz w:val="21"/>
              </w:rPr>
            </w:pPr>
          </w:p>
          <w:p w14:paraId="69696CEA">
            <w:pPr>
              <w:spacing w:line="247" w:lineRule="auto"/>
              <w:rPr>
                <w:rFonts w:ascii="Arial"/>
                <w:sz w:val="21"/>
              </w:rPr>
            </w:pPr>
          </w:p>
          <w:p w14:paraId="2543F528">
            <w:pPr>
              <w:spacing w:line="247" w:lineRule="auto"/>
              <w:rPr>
                <w:rFonts w:ascii="Arial"/>
                <w:sz w:val="21"/>
              </w:rPr>
            </w:pPr>
          </w:p>
          <w:p w14:paraId="62AC1A93">
            <w:pPr>
              <w:spacing w:line="248" w:lineRule="auto"/>
              <w:rPr>
                <w:rFonts w:ascii="Arial"/>
                <w:sz w:val="21"/>
              </w:rPr>
            </w:pPr>
          </w:p>
          <w:p w14:paraId="49EC61CD">
            <w:pPr>
              <w:spacing w:line="248" w:lineRule="auto"/>
              <w:rPr>
                <w:rFonts w:ascii="Arial"/>
                <w:sz w:val="21"/>
              </w:rPr>
            </w:pPr>
          </w:p>
          <w:p w14:paraId="186D65CB">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57CA5227">
            <w:pPr>
              <w:spacing w:line="247" w:lineRule="auto"/>
              <w:rPr>
                <w:rFonts w:ascii="Arial"/>
                <w:sz w:val="21"/>
              </w:rPr>
            </w:pPr>
          </w:p>
          <w:p w14:paraId="119AB28F">
            <w:pPr>
              <w:spacing w:line="247" w:lineRule="auto"/>
              <w:rPr>
                <w:rFonts w:ascii="Arial"/>
                <w:sz w:val="21"/>
              </w:rPr>
            </w:pPr>
          </w:p>
          <w:p w14:paraId="069E2995">
            <w:pPr>
              <w:spacing w:line="247" w:lineRule="auto"/>
              <w:rPr>
                <w:rFonts w:ascii="Arial"/>
                <w:sz w:val="21"/>
              </w:rPr>
            </w:pPr>
          </w:p>
          <w:p w14:paraId="4D841C5E">
            <w:pPr>
              <w:spacing w:line="247" w:lineRule="auto"/>
              <w:rPr>
                <w:rFonts w:ascii="Arial"/>
                <w:sz w:val="21"/>
              </w:rPr>
            </w:pPr>
          </w:p>
          <w:p w14:paraId="631517D9">
            <w:pPr>
              <w:spacing w:line="247" w:lineRule="auto"/>
              <w:rPr>
                <w:rFonts w:ascii="Arial"/>
                <w:sz w:val="21"/>
              </w:rPr>
            </w:pPr>
          </w:p>
          <w:p w14:paraId="181FA151">
            <w:pPr>
              <w:spacing w:line="248" w:lineRule="auto"/>
              <w:rPr>
                <w:rFonts w:ascii="Arial"/>
                <w:sz w:val="21"/>
              </w:rPr>
            </w:pPr>
          </w:p>
          <w:p w14:paraId="68FE5700">
            <w:pPr>
              <w:spacing w:line="248" w:lineRule="auto"/>
              <w:rPr>
                <w:rFonts w:ascii="Arial"/>
                <w:sz w:val="21"/>
              </w:rPr>
            </w:pPr>
          </w:p>
          <w:p w14:paraId="0BB46310">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4C94EDC">
            <w:pPr>
              <w:spacing w:line="249" w:lineRule="auto"/>
              <w:rPr>
                <w:rFonts w:ascii="Arial"/>
                <w:sz w:val="21"/>
              </w:rPr>
            </w:pPr>
          </w:p>
          <w:p w14:paraId="0C69EDA4">
            <w:pPr>
              <w:spacing w:line="249" w:lineRule="auto"/>
              <w:rPr>
                <w:rFonts w:ascii="Arial"/>
                <w:sz w:val="21"/>
              </w:rPr>
            </w:pPr>
          </w:p>
          <w:p w14:paraId="79A7AF67">
            <w:pPr>
              <w:spacing w:line="249" w:lineRule="auto"/>
              <w:rPr>
                <w:rFonts w:ascii="Arial"/>
                <w:sz w:val="21"/>
              </w:rPr>
            </w:pPr>
          </w:p>
          <w:p w14:paraId="54A6054E">
            <w:pPr>
              <w:spacing w:line="249" w:lineRule="auto"/>
              <w:rPr>
                <w:rFonts w:ascii="Arial"/>
                <w:sz w:val="21"/>
              </w:rPr>
            </w:pPr>
          </w:p>
          <w:p w14:paraId="1556D98C">
            <w:pPr>
              <w:spacing w:line="249" w:lineRule="auto"/>
              <w:rPr>
                <w:rFonts w:ascii="Arial"/>
                <w:sz w:val="21"/>
              </w:rPr>
            </w:pPr>
          </w:p>
          <w:p w14:paraId="2C6638BA">
            <w:pPr>
              <w:spacing w:line="249" w:lineRule="auto"/>
              <w:rPr>
                <w:rFonts w:ascii="Arial"/>
                <w:sz w:val="21"/>
              </w:rPr>
            </w:pPr>
          </w:p>
          <w:p w14:paraId="517DF2A9">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08A7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6" w:hRule="atLeast"/>
        </w:trPr>
        <w:tc>
          <w:tcPr>
            <w:tcW w:w="624" w:type="dxa"/>
            <w:vAlign w:val="top"/>
          </w:tcPr>
          <w:p w14:paraId="05070D80">
            <w:pPr>
              <w:spacing w:line="252" w:lineRule="auto"/>
              <w:rPr>
                <w:rFonts w:ascii="Arial"/>
                <w:sz w:val="21"/>
              </w:rPr>
            </w:pPr>
          </w:p>
          <w:p w14:paraId="7253A312">
            <w:pPr>
              <w:spacing w:line="252" w:lineRule="auto"/>
              <w:rPr>
                <w:rFonts w:ascii="Arial"/>
                <w:sz w:val="21"/>
              </w:rPr>
            </w:pPr>
          </w:p>
          <w:p w14:paraId="1C86BE28">
            <w:pPr>
              <w:spacing w:line="253" w:lineRule="auto"/>
              <w:rPr>
                <w:rFonts w:ascii="Arial"/>
                <w:sz w:val="21"/>
              </w:rPr>
            </w:pPr>
          </w:p>
          <w:p w14:paraId="56A0E463">
            <w:pPr>
              <w:spacing w:line="253" w:lineRule="auto"/>
              <w:rPr>
                <w:rFonts w:ascii="Arial"/>
                <w:sz w:val="21"/>
              </w:rPr>
            </w:pPr>
          </w:p>
          <w:p w14:paraId="07EDB6BF">
            <w:pPr>
              <w:spacing w:line="253" w:lineRule="auto"/>
              <w:rPr>
                <w:rFonts w:ascii="Arial"/>
                <w:sz w:val="21"/>
              </w:rPr>
            </w:pPr>
          </w:p>
          <w:p w14:paraId="189EEB4F">
            <w:pPr>
              <w:pStyle w:val="8"/>
              <w:spacing w:before="59" w:line="183" w:lineRule="auto"/>
              <w:ind w:left="235"/>
            </w:pPr>
            <w:r>
              <w:rPr>
                <w:spacing w:val="-6"/>
              </w:rPr>
              <w:t>72</w:t>
            </w:r>
          </w:p>
        </w:tc>
        <w:tc>
          <w:tcPr>
            <w:tcW w:w="1104" w:type="dxa"/>
            <w:vAlign w:val="top"/>
          </w:tcPr>
          <w:p w14:paraId="302A06BF">
            <w:pPr>
              <w:pStyle w:val="8"/>
              <w:spacing w:before="218" w:line="244" w:lineRule="auto"/>
              <w:ind w:left="60" w:right="56"/>
              <w:jc w:val="both"/>
            </w:pPr>
            <w:r>
              <w:rPr>
                <w:spacing w:val="16"/>
              </w:rPr>
              <w:t>对不依法保</w:t>
            </w:r>
            <w:r>
              <w:rPr>
                <w:spacing w:val="1"/>
              </w:rPr>
              <w:t xml:space="preserve"> </w:t>
            </w:r>
            <w:r>
              <w:rPr>
                <w:spacing w:val="16"/>
              </w:rPr>
              <w:t>证安全生产</w:t>
            </w:r>
            <w:r>
              <w:t xml:space="preserve"> </w:t>
            </w:r>
            <w:r>
              <w:rPr>
                <w:spacing w:val="8"/>
              </w:rPr>
              <w:t>所必</w:t>
            </w:r>
            <w:r>
              <w:rPr>
                <w:spacing w:val="-50"/>
              </w:rPr>
              <w:t xml:space="preserve"> </w:t>
            </w:r>
            <w:r>
              <w:rPr>
                <w:spacing w:val="8"/>
              </w:rPr>
              <w:t>需的资</w:t>
            </w:r>
            <w:r>
              <w:t xml:space="preserve"> </w:t>
            </w:r>
            <w:r>
              <w:rPr>
                <w:spacing w:val="-17"/>
              </w:rPr>
              <w:t>金投入，致使</w:t>
            </w:r>
            <w:r>
              <w:rPr>
                <w:spacing w:val="2"/>
              </w:rPr>
              <w:t xml:space="preserve"> </w:t>
            </w:r>
            <w:r>
              <w:rPr>
                <w:spacing w:val="16"/>
              </w:rPr>
              <w:t>生产经营单</w:t>
            </w:r>
            <w:r>
              <w:t xml:space="preserve"> </w:t>
            </w:r>
            <w:r>
              <w:rPr>
                <w:spacing w:val="16"/>
              </w:rPr>
              <w:t>位不具备安</w:t>
            </w:r>
            <w:r>
              <w:t xml:space="preserve"> </w:t>
            </w:r>
            <w:r>
              <w:rPr>
                <w:spacing w:val="16"/>
              </w:rPr>
              <w:t>全生产条件</w:t>
            </w:r>
            <w:r>
              <w:t xml:space="preserve"> </w:t>
            </w:r>
            <w:r>
              <w:rPr>
                <w:spacing w:val="7"/>
              </w:rPr>
              <w:t>行为</w:t>
            </w:r>
            <w:r>
              <w:rPr>
                <w:spacing w:val="-45"/>
              </w:rPr>
              <w:t xml:space="preserve"> </w:t>
            </w:r>
            <w:r>
              <w:rPr>
                <w:spacing w:val="7"/>
              </w:rPr>
              <w:t>的行政</w:t>
            </w:r>
            <w:r>
              <w:t xml:space="preserve"> </w:t>
            </w:r>
            <w:r>
              <w:rPr>
                <w:spacing w:val="-2"/>
              </w:rPr>
              <w:t>处罚</w:t>
            </w:r>
          </w:p>
        </w:tc>
        <w:tc>
          <w:tcPr>
            <w:tcW w:w="1104" w:type="dxa"/>
            <w:vAlign w:val="top"/>
          </w:tcPr>
          <w:p w14:paraId="2FFCF68D">
            <w:pPr>
              <w:spacing w:line="247" w:lineRule="auto"/>
              <w:rPr>
                <w:rFonts w:ascii="Arial"/>
                <w:sz w:val="21"/>
              </w:rPr>
            </w:pPr>
          </w:p>
          <w:p w14:paraId="3EF0693A">
            <w:pPr>
              <w:spacing w:line="247" w:lineRule="auto"/>
              <w:rPr>
                <w:rFonts w:ascii="Arial"/>
                <w:sz w:val="21"/>
              </w:rPr>
            </w:pPr>
          </w:p>
          <w:p w14:paraId="4DEFE4C1">
            <w:pPr>
              <w:spacing w:line="247" w:lineRule="auto"/>
              <w:rPr>
                <w:rFonts w:ascii="Arial"/>
                <w:sz w:val="21"/>
              </w:rPr>
            </w:pPr>
          </w:p>
          <w:p w14:paraId="1D3343AF">
            <w:pPr>
              <w:spacing w:line="247" w:lineRule="auto"/>
              <w:rPr>
                <w:rFonts w:ascii="Arial"/>
                <w:sz w:val="21"/>
              </w:rPr>
            </w:pPr>
          </w:p>
          <w:p w14:paraId="167A6AA5">
            <w:pPr>
              <w:spacing w:line="247" w:lineRule="auto"/>
              <w:rPr>
                <w:rFonts w:ascii="Arial"/>
                <w:sz w:val="21"/>
              </w:rPr>
            </w:pPr>
          </w:p>
          <w:p w14:paraId="42E9428A">
            <w:pPr>
              <w:pStyle w:val="8"/>
              <w:spacing w:before="59" w:line="220" w:lineRule="auto"/>
              <w:ind w:left="10"/>
            </w:pPr>
            <w:r>
              <w:rPr>
                <w:spacing w:val="-2"/>
              </w:rPr>
              <w:t>行政处罚</w:t>
            </w:r>
          </w:p>
        </w:tc>
        <w:tc>
          <w:tcPr>
            <w:tcW w:w="8549" w:type="dxa"/>
            <w:vAlign w:val="top"/>
          </w:tcPr>
          <w:p w14:paraId="25E1811F">
            <w:pPr>
              <w:pStyle w:val="8"/>
              <w:spacing w:before="34" w:line="219" w:lineRule="auto"/>
              <w:ind w:left="573"/>
            </w:pPr>
            <w:r>
              <w:rPr>
                <w:b/>
                <w:bCs/>
                <w:spacing w:val="-3"/>
              </w:rPr>
              <w:t>1.《中华人民共和国安全生产法》</w:t>
            </w:r>
          </w:p>
          <w:p w14:paraId="3078EC82">
            <w:pPr>
              <w:pStyle w:val="8"/>
              <w:spacing w:before="16" w:line="230" w:lineRule="auto"/>
              <w:ind w:left="110" w:right="44" w:firstLine="360"/>
              <w:jc w:val="both"/>
            </w:pPr>
            <w:r>
              <w:rPr>
                <w:spacing w:val="-1"/>
              </w:rPr>
              <w:t>第二十三条  生产经营单位应当具备的安</w:t>
            </w:r>
            <w:r>
              <w:rPr>
                <w:spacing w:val="-2"/>
              </w:rPr>
              <w:t>全生产条件所必需的资金投入，由生产经营单位的决策机构、</w:t>
            </w:r>
            <w:r>
              <w:t xml:space="preserve"> 主要负责人或者个人经营的投资人予以保证，并对由于安全生产所必需的资金投入不足</w:t>
            </w:r>
            <w:r>
              <w:rPr>
                <w:spacing w:val="-1"/>
              </w:rPr>
              <w:t>导致的后果承担责</w:t>
            </w:r>
            <w:r>
              <w:t xml:space="preserve">  </w:t>
            </w:r>
            <w:r>
              <w:rPr>
                <w:spacing w:val="-9"/>
              </w:rPr>
              <w:t>任。</w:t>
            </w:r>
          </w:p>
          <w:p w14:paraId="2D7C58F7">
            <w:pPr>
              <w:pStyle w:val="8"/>
              <w:spacing w:before="15" w:line="231" w:lineRule="auto"/>
              <w:ind w:left="112" w:right="159" w:firstLine="359"/>
              <w:jc w:val="both"/>
            </w:pPr>
            <w:r>
              <w:t>有关生产经营单位应当按照规定提取和使用安全生产费用，专门用于改善安全生</w:t>
            </w:r>
            <w:r>
              <w:rPr>
                <w:spacing w:val="-1"/>
              </w:rPr>
              <w:t>产条件。安全生产费</w:t>
            </w:r>
            <w:r>
              <w:t xml:space="preserve"> 用在成本中据实列支。安全生产费用提取、使用和监督管理的具体办法由国务院财</w:t>
            </w:r>
            <w:r>
              <w:rPr>
                <w:spacing w:val="-1"/>
              </w:rPr>
              <w:t>政部门会同国务院应急</w:t>
            </w:r>
            <w:r>
              <w:t xml:space="preserve"> </w:t>
            </w:r>
            <w:r>
              <w:rPr>
                <w:spacing w:val="-2"/>
              </w:rPr>
              <w:t>管理部门征求国务院有关部门意见后制定。</w:t>
            </w:r>
          </w:p>
          <w:p w14:paraId="60509C52">
            <w:pPr>
              <w:pStyle w:val="8"/>
              <w:spacing w:before="15" w:line="230" w:lineRule="auto"/>
              <w:ind w:left="112" w:right="159" w:firstLine="358"/>
              <w:jc w:val="both"/>
            </w:pPr>
            <w:r>
              <w:t>第九十三条  生产经营单位的决策机构、主要负责人或者个人经营的投资人不依</w:t>
            </w:r>
            <w:r>
              <w:rPr>
                <w:spacing w:val="-1"/>
              </w:rPr>
              <w:t>照本法规定保证安全</w:t>
            </w:r>
            <w:r>
              <w:t xml:space="preserve"> 生产所必需的资金投入，致使生产经营单位不具备安全生产条件的，责令限期改正</w:t>
            </w:r>
            <w:r>
              <w:rPr>
                <w:spacing w:val="-1"/>
              </w:rPr>
              <w:t>，提供必需的资金；逾</w:t>
            </w:r>
            <w:r>
              <w:t xml:space="preserve"> </w:t>
            </w:r>
            <w:r>
              <w:rPr>
                <w:spacing w:val="-2"/>
              </w:rPr>
              <w:t>期未改正的，责令生产经营单位停产停业整顿。</w:t>
            </w:r>
          </w:p>
          <w:p w14:paraId="50AD3BBB">
            <w:pPr>
              <w:pStyle w:val="8"/>
              <w:spacing w:before="16" w:line="217" w:lineRule="auto"/>
              <w:ind w:left="116" w:right="159" w:firstLine="355"/>
            </w:pPr>
            <w:r>
              <w:t>有前款违法行为，导致发生生产安全事故的，对生产经营单位的主要负责人给予</w:t>
            </w:r>
            <w:r>
              <w:rPr>
                <w:spacing w:val="-1"/>
              </w:rPr>
              <w:t>撤职处分，对个人经</w:t>
            </w:r>
            <w:r>
              <w:t xml:space="preserve"> </w:t>
            </w:r>
            <w:r>
              <w:rPr>
                <w:spacing w:val="-1"/>
              </w:rPr>
              <w:t>营的投资人处二万元以上二十万元以下的罚款；构成犯罪的，依照刑法有关规定追究刑事责任。</w:t>
            </w:r>
          </w:p>
        </w:tc>
        <w:tc>
          <w:tcPr>
            <w:tcW w:w="1014" w:type="dxa"/>
            <w:vAlign w:val="top"/>
          </w:tcPr>
          <w:p w14:paraId="4CBA5FD4">
            <w:pPr>
              <w:spacing w:line="279" w:lineRule="auto"/>
              <w:rPr>
                <w:rFonts w:ascii="Arial"/>
                <w:sz w:val="21"/>
              </w:rPr>
            </w:pPr>
          </w:p>
          <w:p w14:paraId="75F00289">
            <w:pPr>
              <w:spacing w:line="279" w:lineRule="auto"/>
              <w:rPr>
                <w:rFonts w:ascii="Arial"/>
                <w:sz w:val="21"/>
              </w:rPr>
            </w:pPr>
          </w:p>
          <w:p w14:paraId="4F3B695A">
            <w:pPr>
              <w:spacing w:line="279" w:lineRule="auto"/>
              <w:rPr>
                <w:rFonts w:ascii="Arial"/>
                <w:sz w:val="21"/>
              </w:rPr>
            </w:pPr>
          </w:p>
          <w:p w14:paraId="092CAD53">
            <w:pPr>
              <w:spacing w:line="279" w:lineRule="auto"/>
              <w:rPr>
                <w:rFonts w:ascii="Arial"/>
                <w:sz w:val="21"/>
              </w:rPr>
            </w:pPr>
          </w:p>
          <w:p w14:paraId="6751FAF6">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3F1DFFAA">
            <w:pPr>
              <w:spacing w:line="279" w:lineRule="auto"/>
              <w:rPr>
                <w:rFonts w:ascii="Arial"/>
                <w:sz w:val="21"/>
              </w:rPr>
            </w:pPr>
          </w:p>
          <w:p w14:paraId="62F8200F">
            <w:pPr>
              <w:spacing w:line="279" w:lineRule="auto"/>
              <w:rPr>
                <w:rFonts w:ascii="Arial"/>
                <w:sz w:val="21"/>
              </w:rPr>
            </w:pPr>
          </w:p>
          <w:p w14:paraId="7D694A39">
            <w:pPr>
              <w:spacing w:line="279" w:lineRule="auto"/>
              <w:rPr>
                <w:rFonts w:ascii="Arial"/>
                <w:sz w:val="21"/>
              </w:rPr>
            </w:pPr>
          </w:p>
          <w:p w14:paraId="694A725D">
            <w:pPr>
              <w:spacing w:line="279" w:lineRule="auto"/>
              <w:rPr>
                <w:rFonts w:ascii="Arial"/>
                <w:sz w:val="21"/>
              </w:rPr>
            </w:pPr>
          </w:p>
          <w:p w14:paraId="62087AF1">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69B8061">
            <w:pPr>
              <w:spacing w:line="293" w:lineRule="auto"/>
              <w:rPr>
                <w:rFonts w:ascii="Arial"/>
                <w:sz w:val="21"/>
              </w:rPr>
            </w:pPr>
          </w:p>
          <w:p w14:paraId="7D457AD8">
            <w:pPr>
              <w:spacing w:line="293" w:lineRule="auto"/>
              <w:rPr>
                <w:rFonts w:ascii="Arial"/>
                <w:sz w:val="21"/>
              </w:rPr>
            </w:pPr>
          </w:p>
          <w:p w14:paraId="075C426C">
            <w:pPr>
              <w:spacing w:line="293" w:lineRule="auto"/>
              <w:rPr>
                <w:rFonts w:ascii="Arial"/>
                <w:sz w:val="21"/>
              </w:rPr>
            </w:pPr>
          </w:p>
          <w:p w14:paraId="04C22C5D">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4024640">
      <w:pPr>
        <w:pStyle w:val="2"/>
      </w:pPr>
    </w:p>
    <w:p w14:paraId="4EC05286">
      <w:pPr>
        <w:sectPr>
          <w:footerReference r:id="rId111" w:type="default"/>
          <w:pgSz w:w="16839" w:h="11906"/>
          <w:pgMar w:top="1012" w:right="991" w:bottom="967" w:left="1021" w:header="0" w:footer="768" w:gutter="0"/>
          <w:cols w:space="720" w:num="1"/>
        </w:sectPr>
      </w:pPr>
    </w:p>
    <w:p w14:paraId="5D4D6248">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1319B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624" w:type="dxa"/>
            <w:vMerge w:val="restart"/>
            <w:tcBorders>
              <w:bottom w:val="nil"/>
            </w:tcBorders>
            <w:vAlign w:val="top"/>
          </w:tcPr>
          <w:p w14:paraId="6FEE4EB6">
            <w:pPr>
              <w:pStyle w:val="8"/>
              <w:spacing w:before="267" w:line="221" w:lineRule="auto"/>
              <w:ind w:left="134"/>
            </w:pPr>
            <w:r>
              <w:rPr>
                <w:b/>
                <w:bCs/>
                <w:spacing w:val="-4"/>
              </w:rPr>
              <w:t>序号</w:t>
            </w:r>
          </w:p>
        </w:tc>
        <w:tc>
          <w:tcPr>
            <w:tcW w:w="1104" w:type="dxa"/>
            <w:vMerge w:val="restart"/>
            <w:tcBorders>
              <w:bottom w:val="nil"/>
            </w:tcBorders>
            <w:vAlign w:val="top"/>
          </w:tcPr>
          <w:p w14:paraId="50A20CFB">
            <w:pPr>
              <w:pStyle w:val="8"/>
              <w:spacing w:before="260" w:line="220" w:lineRule="auto"/>
              <w:ind w:left="192"/>
            </w:pPr>
            <w:r>
              <w:rPr>
                <w:b/>
                <w:bCs/>
                <w:spacing w:val="-4"/>
              </w:rPr>
              <w:t>事项名称</w:t>
            </w:r>
          </w:p>
        </w:tc>
        <w:tc>
          <w:tcPr>
            <w:tcW w:w="1104" w:type="dxa"/>
            <w:vMerge w:val="restart"/>
            <w:tcBorders>
              <w:bottom w:val="nil"/>
            </w:tcBorders>
            <w:vAlign w:val="top"/>
          </w:tcPr>
          <w:p w14:paraId="794B486F">
            <w:pPr>
              <w:pStyle w:val="8"/>
              <w:spacing w:before="260" w:line="219" w:lineRule="auto"/>
              <w:ind w:left="193"/>
            </w:pPr>
            <w:r>
              <w:rPr>
                <w:b/>
                <w:bCs/>
                <w:spacing w:val="-4"/>
              </w:rPr>
              <w:t>职权类型</w:t>
            </w:r>
          </w:p>
        </w:tc>
        <w:tc>
          <w:tcPr>
            <w:tcW w:w="8549" w:type="dxa"/>
            <w:vMerge w:val="restart"/>
            <w:tcBorders>
              <w:bottom w:val="nil"/>
            </w:tcBorders>
            <w:vAlign w:val="top"/>
          </w:tcPr>
          <w:p w14:paraId="084610D4">
            <w:pPr>
              <w:pStyle w:val="8"/>
              <w:spacing w:before="259" w:line="219" w:lineRule="auto"/>
              <w:ind w:left="3921"/>
            </w:pPr>
            <w:r>
              <w:rPr>
                <w:b/>
                <w:bCs/>
                <w:spacing w:val="-5"/>
              </w:rPr>
              <w:t>实施依据</w:t>
            </w:r>
          </w:p>
        </w:tc>
        <w:tc>
          <w:tcPr>
            <w:tcW w:w="3439" w:type="dxa"/>
            <w:gridSpan w:val="3"/>
            <w:vAlign w:val="top"/>
          </w:tcPr>
          <w:p w14:paraId="1BE96931">
            <w:pPr>
              <w:pStyle w:val="8"/>
              <w:spacing w:before="85" w:line="220" w:lineRule="auto"/>
              <w:ind w:left="1365"/>
            </w:pPr>
            <w:r>
              <w:rPr>
                <w:b/>
                <w:bCs/>
                <w:spacing w:val="-5"/>
              </w:rPr>
              <w:t>实施主体</w:t>
            </w:r>
          </w:p>
        </w:tc>
      </w:tr>
      <w:tr w14:paraId="704C3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636808F5">
            <w:pPr>
              <w:rPr>
                <w:rFonts w:ascii="Arial"/>
                <w:sz w:val="21"/>
              </w:rPr>
            </w:pPr>
          </w:p>
        </w:tc>
        <w:tc>
          <w:tcPr>
            <w:tcW w:w="1104" w:type="dxa"/>
            <w:vMerge w:val="continue"/>
            <w:tcBorders>
              <w:top w:val="nil"/>
            </w:tcBorders>
            <w:vAlign w:val="top"/>
          </w:tcPr>
          <w:p w14:paraId="1AB32BAA">
            <w:pPr>
              <w:rPr>
                <w:rFonts w:ascii="Arial"/>
                <w:sz w:val="21"/>
              </w:rPr>
            </w:pPr>
          </w:p>
        </w:tc>
        <w:tc>
          <w:tcPr>
            <w:tcW w:w="1104" w:type="dxa"/>
            <w:vMerge w:val="continue"/>
            <w:tcBorders>
              <w:top w:val="nil"/>
            </w:tcBorders>
            <w:vAlign w:val="top"/>
          </w:tcPr>
          <w:p w14:paraId="1B7812D5">
            <w:pPr>
              <w:rPr>
                <w:rFonts w:ascii="Arial"/>
                <w:sz w:val="21"/>
              </w:rPr>
            </w:pPr>
          </w:p>
        </w:tc>
        <w:tc>
          <w:tcPr>
            <w:tcW w:w="8549" w:type="dxa"/>
            <w:vMerge w:val="continue"/>
            <w:tcBorders>
              <w:top w:val="nil"/>
            </w:tcBorders>
            <w:vAlign w:val="top"/>
          </w:tcPr>
          <w:p w14:paraId="2A9839F0">
            <w:pPr>
              <w:rPr>
                <w:rFonts w:ascii="Arial"/>
                <w:sz w:val="21"/>
              </w:rPr>
            </w:pPr>
          </w:p>
        </w:tc>
        <w:tc>
          <w:tcPr>
            <w:tcW w:w="1014" w:type="dxa"/>
            <w:vAlign w:val="top"/>
          </w:tcPr>
          <w:p w14:paraId="4F921EA6">
            <w:pPr>
              <w:pStyle w:val="8"/>
              <w:spacing w:before="81" w:line="219" w:lineRule="auto"/>
              <w:ind w:left="158"/>
            </w:pPr>
            <w:r>
              <w:rPr>
                <w:b/>
                <w:bCs/>
                <w:spacing w:val="-5"/>
              </w:rPr>
              <w:t>责任部门</w:t>
            </w:r>
          </w:p>
        </w:tc>
        <w:tc>
          <w:tcPr>
            <w:tcW w:w="1407" w:type="dxa"/>
            <w:vAlign w:val="top"/>
          </w:tcPr>
          <w:p w14:paraId="3300CA0A">
            <w:pPr>
              <w:pStyle w:val="8"/>
              <w:spacing w:before="81" w:line="219" w:lineRule="auto"/>
              <w:ind w:left="167"/>
            </w:pPr>
            <w:r>
              <w:rPr>
                <w:b/>
                <w:bCs/>
                <w:spacing w:val="-3"/>
              </w:rPr>
              <w:t>第一责任层级</w:t>
            </w:r>
          </w:p>
        </w:tc>
        <w:tc>
          <w:tcPr>
            <w:tcW w:w="1018" w:type="dxa"/>
            <w:vAlign w:val="top"/>
          </w:tcPr>
          <w:p w14:paraId="45E24F3A">
            <w:pPr>
              <w:pStyle w:val="8"/>
              <w:spacing w:before="81" w:line="219" w:lineRule="auto"/>
              <w:ind w:left="152"/>
            </w:pPr>
            <w:r>
              <w:rPr>
                <w:b/>
                <w:bCs/>
                <w:spacing w:val="-4"/>
              </w:rPr>
              <w:t>承办机构</w:t>
            </w:r>
          </w:p>
        </w:tc>
      </w:tr>
      <w:tr w14:paraId="2233B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4" w:hRule="atLeast"/>
        </w:trPr>
        <w:tc>
          <w:tcPr>
            <w:tcW w:w="624" w:type="dxa"/>
            <w:vAlign w:val="top"/>
          </w:tcPr>
          <w:p w14:paraId="321225D1">
            <w:pPr>
              <w:rPr>
                <w:rFonts w:ascii="Arial"/>
                <w:sz w:val="21"/>
              </w:rPr>
            </w:pPr>
          </w:p>
        </w:tc>
        <w:tc>
          <w:tcPr>
            <w:tcW w:w="1104" w:type="dxa"/>
            <w:vAlign w:val="top"/>
          </w:tcPr>
          <w:p w14:paraId="59C82E8A">
            <w:pPr>
              <w:rPr>
                <w:rFonts w:ascii="Arial"/>
                <w:sz w:val="21"/>
              </w:rPr>
            </w:pPr>
          </w:p>
        </w:tc>
        <w:tc>
          <w:tcPr>
            <w:tcW w:w="1104" w:type="dxa"/>
            <w:vAlign w:val="top"/>
          </w:tcPr>
          <w:p w14:paraId="3D748B1F">
            <w:pPr>
              <w:rPr>
                <w:rFonts w:ascii="Arial"/>
                <w:sz w:val="21"/>
              </w:rPr>
            </w:pPr>
          </w:p>
        </w:tc>
        <w:tc>
          <w:tcPr>
            <w:tcW w:w="8549" w:type="dxa"/>
            <w:vAlign w:val="top"/>
          </w:tcPr>
          <w:p w14:paraId="68823352">
            <w:pPr>
              <w:pStyle w:val="8"/>
              <w:spacing w:before="31" w:line="219" w:lineRule="auto"/>
              <w:ind w:left="473"/>
            </w:pPr>
            <w:r>
              <w:rPr>
                <w:b/>
                <w:bCs/>
                <w:spacing w:val="-3"/>
              </w:rPr>
              <w:t>2.《建设工程安全生产管理条例》</w:t>
            </w:r>
          </w:p>
          <w:p w14:paraId="0DA3340A">
            <w:pPr>
              <w:pStyle w:val="8"/>
              <w:spacing w:before="16" w:line="230" w:lineRule="auto"/>
              <w:ind w:left="111" w:right="159" w:firstLine="360"/>
            </w:pPr>
            <w:r>
              <w:t>第二十一条  施工单位主要负责人依法对本单位的安全生产工作全面负责。施工</w:t>
            </w:r>
            <w:r>
              <w:rPr>
                <w:spacing w:val="-1"/>
              </w:rPr>
              <w:t>单位应当建立健全安</w:t>
            </w:r>
            <w:r>
              <w:t xml:space="preserve"> 全生产责任制度和安全生产教育培训制度，制定安全生产规章制度和操作规程，保证</w:t>
            </w:r>
            <w:r>
              <w:rPr>
                <w:spacing w:val="-1"/>
              </w:rPr>
              <w:t>本单位安全生产条件</w:t>
            </w:r>
            <w:r>
              <w:t xml:space="preserve"> </w:t>
            </w:r>
            <w:r>
              <w:rPr>
                <w:spacing w:val="-1"/>
              </w:rPr>
              <w:t>所需资金的投入，对所承担的建设工程进行定期和专项安全检查，并做好安全检查记录。</w:t>
            </w:r>
          </w:p>
          <w:p w14:paraId="24308DBC">
            <w:pPr>
              <w:pStyle w:val="8"/>
              <w:spacing w:before="17" w:line="230" w:lineRule="auto"/>
              <w:ind w:left="114" w:right="159" w:firstLine="356"/>
            </w:pPr>
            <w:r>
              <w:t>施工单位的项目负责人应当由取得相应执业资格的人员担任，对建设工程项目的安</w:t>
            </w:r>
            <w:r>
              <w:rPr>
                <w:spacing w:val="-1"/>
              </w:rPr>
              <w:t>全施工负责，落实</w:t>
            </w:r>
            <w:r>
              <w:t xml:space="preserve"> 安全生产责任制度、安全生产规章制度和操作规程，确保安全生产费用的有效使</w:t>
            </w:r>
            <w:r>
              <w:rPr>
                <w:spacing w:val="-1"/>
              </w:rPr>
              <w:t>用，并根据工程的特点组</w:t>
            </w:r>
            <w:r>
              <w:t xml:space="preserve"> </w:t>
            </w:r>
            <w:r>
              <w:rPr>
                <w:spacing w:val="-1"/>
              </w:rPr>
              <w:t>织制定安全施工措施，消除安全事故隐患，及时、如实报告生产安全</w:t>
            </w:r>
            <w:r>
              <w:rPr>
                <w:spacing w:val="-2"/>
              </w:rPr>
              <w:t>事故。</w:t>
            </w:r>
          </w:p>
          <w:p w14:paraId="16D275E6">
            <w:pPr>
              <w:pStyle w:val="8"/>
              <w:spacing w:before="18" w:line="227" w:lineRule="auto"/>
              <w:ind w:left="112" w:right="159" w:firstLine="358"/>
            </w:pPr>
            <w:r>
              <w:t>第五十四条  违反本条例的规定，建设单位未提供建设工程安全生产作业环境及</w:t>
            </w:r>
            <w:r>
              <w:rPr>
                <w:spacing w:val="-1"/>
              </w:rPr>
              <w:t>安全施工措施所需费</w:t>
            </w:r>
            <w:r>
              <w:t xml:space="preserve"> </w:t>
            </w:r>
            <w:r>
              <w:rPr>
                <w:spacing w:val="-1"/>
              </w:rPr>
              <w:t>用的，责令限期改正；逾期未改正的，责令该建设工</w:t>
            </w:r>
            <w:r>
              <w:rPr>
                <w:spacing w:val="-2"/>
              </w:rPr>
              <w:t>程停止施工。</w:t>
            </w:r>
          </w:p>
          <w:p w14:paraId="704DF620">
            <w:pPr>
              <w:pStyle w:val="8"/>
              <w:spacing w:before="15" w:line="217" w:lineRule="auto"/>
              <w:ind w:left="116" w:right="159" w:firstLine="356"/>
            </w:pPr>
            <w:r>
              <w:t>建设单位未将保证安全施工的措施或者拆除工程的有关资料报送有关部门备</w:t>
            </w:r>
            <w:r>
              <w:rPr>
                <w:spacing w:val="-1"/>
              </w:rPr>
              <w:t>案的，责令限期改正，给</w:t>
            </w:r>
            <w:r>
              <w:t xml:space="preserve"> </w:t>
            </w:r>
            <w:r>
              <w:rPr>
                <w:spacing w:val="-8"/>
              </w:rPr>
              <w:t>予警告。</w:t>
            </w:r>
          </w:p>
        </w:tc>
        <w:tc>
          <w:tcPr>
            <w:tcW w:w="1014" w:type="dxa"/>
            <w:vAlign w:val="top"/>
          </w:tcPr>
          <w:p w14:paraId="3935680F">
            <w:pPr>
              <w:rPr>
                <w:rFonts w:ascii="Arial"/>
                <w:sz w:val="21"/>
              </w:rPr>
            </w:pPr>
          </w:p>
        </w:tc>
        <w:tc>
          <w:tcPr>
            <w:tcW w:w="1407" w:type="dxa"/>
            <w:vAlign w:val="top"/>
          </w:tcPr>
          <w:p w14:paraId="59E098ED">
            <w:pPr>
              <w:rPr>
                <w:rFonts w:ascii="Arial"/>
                <w:sz w:val="21"/>
              </w:rPr>
            </w:pPr>
          </w:p>
        </w:tc>
        <w:tc>
          <w:tcPr>
            <w:tcW w:w="1018" w:type="dxa"/>
            <w:vAlign w:val="top"/>
          </w:tcPr>
          <w:p w14:paraId="729BAFDB">
            <w:pPr>
              <w:rPr>
                <w:rFonts w:ascii="Arial"/>
                <w:sz w:val="21"/>
              </w:rPr>
            </w:pPr>
          </w:p>
        </w:tc>
      </w:tr>
      <w:tr w14:paraId="091D4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6" w:hRule="atLeast"/>
        </w:trPr>
        <w:tc>
          <w:tcPr>
            <w:tcW w:w="624" w:type="dxa"/>
            <w:vAlign w:val="top"/>
          </w:tcPr>
          <w:p w14:paraId="3F6BD57F">
            <w:pPr>
              <w:spacing w:line="250" w:lineRule="auto"/>
              <w:rPr>
                <w:rFonts w:ascii="Arial"/>
                <w:sz w:val="21"/>
              </w:rPr>
            </w:pPr>
          </w:p>
          <w:p w14:paraId="1A802A01">
            <w:pPr>
              <w:spacing w:line="250" w:lineRule="auto"/>
              <w:rPr>
                <w:rFonts w:ascii="Arial"/>
                <w:sz w:val="21"/>
              </w:rPr>
            </w:pPr>
          </w:p>
          <w:p w14:paraId="0A873FBC">
            <w:pPr>
              <w:spacing w:line="250" w:lineRule="auto"/>
              <w:rPr>
                <w:rFonts w:ascii="Arial"/>
                <w:sz w:val="21"/>
              </w:rPr>
            </w:pPr>
          </w:p>
          <w:p w14:paraId="47CD9C6C">
            <w:pPr>
              <w:spacing w:line="250" w:lineRule="auto"/>
              <w:rPr>
                <w:rFonts w:ascii="Arial"/>
                <w:sz w:val="21"/>
              </w:rPr>
            </w:pPr>
          </w:p>
          <w:p w14:paraId="22F5C215">
            <w:pPr>
              <w:spacing w:line="250" w:lineRule="auto"/>
              <w:rPr>
                <w:rFonts w:ascii="Arial"/>
                <w:sz w:val="21"/>
              </w:rPr>
            </w:pPr>
          </w:p>
          <w:p w14:paraId="5E13CC50">
            <w:pPr>
              <w:spacing w:line="250" w:lineRule="auto"/>
              <w:rPr>
                <w:rFonts w:ascii="Arial"/>
                <w:sz w:val="21"/>
              </w:rPr>
            </w:pPr>
          </w:p>
          <w:p w14:paraId="4752FB0B">
            <w:pPr>
              <w:spacing w:line="251" w:lineRule="auto"/>
              <w:rPr>
                <w:rFonts w:ascii="Arial"/>
                <w:sz w:val="21"/>
              </w:rPr>
            </w:pPr>
          </w:p>
          <w:p w14:paraId="70BA7EE0">
            <w:pPr>
              <w:spacing w:line="251" w:lineRule="auto"/>
              <w:rPr>
                <w:rFonts w:ascii="Arial"/>
                <w:sz w:val="21"/>
              </w:rPr>
            </w:pPr>
          </w:p>
          <w:p w14:paraId="2286E887">
            <w:pPr>
              <w:spacing w:line="251" w:lineRule="auto"/>
              <w:rPr>
                <w:rFonts w:ascii="Arial"/>
                <w:sz w:val="21"/>
              </w:rPr>
            </w:pPr>
          </w:p>
          <w:p w14:paraId="7E8E179A">
            <w:pPr>
              <w:spacing w:line="251" w:lineRule="auto"/>
              <w:rPr>
                <w:rFonts w:ascii="Arial"/>
                <w:sz w:val="21"/>
              </w:rPr>
            </w:pPr>
          </w:p>
          <w:p w14:paraId="0246D5A9">
            <w:pPr>
              <w:spacing w:line="251" w:lineRule="auto"/>
              <w:rPr>
                <w:rFonts w:ascii="Arial"/>
                <w:sz w:val="21"/>
              </w:rPr>
            </w:pPr>
          </w:p>
          <w:p w14:paraId="2461CF76">
            <w:pPr>
              <w:spacing w:line="251" w:lineRule="auto"/>
              <w:rPr>
                <w:rFonts w:ascii="Arial"/>
                <w:sz w:val="21"/>
              </w:rPr>
            </w:pPr>
          </w:p>
          <w:p w14:paraId="3E46C375">
            <w:pPr>
              <w:pStyle w:val="8"/>
              <w:spacing w:before="59" w:line="183" w:lineRule="auto"/>
              <w:ind w:left="235"/>
            </w:pPr>
            <w:r>
              <w:rPr>
                <w:spacing w:val="-6"/>
              </w:rPr>
              <w:t>73</w:t>
            </w:r>
          </w:p>
        </w:tc>
        <w:tc>
          <w:tcPr>
            <w:tcW w:w="1104" w:type="dxa"/>
            <w:vAlign w:val="top"/>
          </w:tcPr>
          <w:p w14:paraId="308878B0">
            <w:pPr>
              <w:spacing w:line="253" w:lineRule="auto"/>
              <w:rPr>
                <w:rFonts w:ascii="Arial"/>
                <w:sz w:val="21"/>
              </w:rPr>
            </w:pPr>
          </w:p>
          <w:p w14:paraId="19CE7435">
            <w:pPr>
              <w:spacing w:line="253" w:lineRule="auto"/>
              <w:rPr>
                <w:rFonts w:ascii="Arial"/>
                <w:sz w:val="21"/>
              </w:rPr>
            </w:pPr>
          </w:p>
          <w:p w14:paraId="0CA0935F">
            <w:pPr>
              <w:spacing w:line="253" w:lineRule="auto"/>
              <w:rPr>
                <w:rFonts w:ascii="Arial"/>
                <w:sz w:val="21"/>
              </w:rPr>
            </w:pPr>
          </w:p>
          <w:p w14:paraId="4F7F89C9">
            <w:pPr>
              <w:spacing w:line="253" w:lineRule="auto"/>
              <w:rPr>
                <w:rFonts w:ascii="Arial"/>
                <w:sz w:val="21"/>
              </w:rPr>
            </w:pPr>
          </w:p>
          <w:p w14:paraId="7FF58395">
            <w:pPr>
              <w:spacing w:line="253" w:lineRule="auto"/>
              <w:rPr>
                <w:rFonts w:ascii="Arial"/>
                <w:sz w:val="21"/>
              </w:rPr>
            </w:pPr>
          </w:p>
          <w:p w14:paraId="6A8D048F">
            <w:pPr>
              <w:spacing w:line="254" w:lineRule="auto"/>
              <w:rPr>
                <w:rFonts w:ascii="Arial"/>
                <w:sz w:val="21"/>
              </w:rPr>
            </w:pPr>
          </w:p>
          <w:p w14:paraId="39A340FA">
            <w:pPr>
              <w:spacing w:line="254" w:lineRule="auto"/>
              <w:rPr>
                <w:rFonts w:ascii="Arial"/>
                <w:sz w:val="21"/>
              </w:rPr>
            </w:pPr>
          </w:p>
          <w:p w14:paraId="6CF6ADE6">
            <w:pPr>
              <w:spacing w:line="254" w:lineRule="auto"/>
              <w:rPr>
                <w:rFonts w:ascii="Arial"/>
                <w:sz w:val="21"/>
              </w:rPr>
            </w:pPr>
          </w:p>
          <w:p w14:paraId="18356DC6">
            <w:pPr>
              <w:pStyle w:val="8"/>
              <w:spacing w:before="58" w:line="243" w:lineRule="auto"/>
              <w:ind w:left="60" w:right="56"/>
              <w:jc w:val="both"/>
            </w:pPr>
            <w:r>
              <w:rPr>
                <w:spacing w:val="16"/>
              </w:rPr>
              <w:t>对交通运输</w:t>
            </w:r>
            <w:r>
              <w:rPr>
                <w:spacing w:val="1"/>
              </w:rPr>
              <w:t xml:space="preserve"> </w:t>
            </w:r>
            <w:r>
              <w:rPr>
                <w:spacing w:val="16"/>
              </w:rPr>
              <w:t>领域生产经</w:t>
            </w:r>
            <w:r>
              <w:t xml:space="preserve"> </w:t>
            </w:r>
            <w:r>
              <w:rPr>
                <w:spacing w:val="16"/>
              </w:rPr>
              <w:t>营单位主要</w:t>
            </w:r>
            <w:r>
              <w:t xml:space="preserve"> </w:t>
            </w:r>
            <w:r>
              <w:rPr>
                <w:spacing w:val="16"/>
              </w:rPr>
              <w:t>负责人及其</w:t>
            </w:r>
            <w:r>
              <w:t xml:space="preserve"> </w:t>
            </w:r>
            <w:r>
              <w:rPr>
                <w:spacing w:val="16"/>
              </w:rPr>
              <w:t>安全生产管</w:t>
            </w:r>
            <w:r>
              <w:t xml:space="preserve"> </w:t>
            </w:r>
            <w:r>
              <w:rPr>
                <w:spacing w:val="8"/>
              </w:rPr>
              <w:t>理人</w:t>
            </w:r>
            <w:r>
              <w:rPr>
                <w:spacing w:val="-50"/>
              </w:rPr>
              <w:t xml:space="preserve"> </w:t>
            </w:r>
            <w:r>
              <w:rPr>
                <w:spacing w:val="8"/>
              </w:rPr>
              <w:t>员未履</w:t>
            </w:r>
            <w:r>
              <w:t xml:space="preserve"> </w:t>
            </w:r>
            <w:r>
              <w:rPr>
                <w:spacing w:val="16"/>
              </w:rPr>
              <w:t>行安全生产</w:t>
            </w:r>
            <w:r>
              <w:t xml:space="preserve"> </w:t>
            </w:r>
            <w:r>
              <w:rPr>
                <w:spacing w:val="16"/>
              </w:rPr>
              <w:t>管理职责的</w:t>
            </w:r>
            <w:r>
              <w:t xml:space="preserve"> </w:t>
            </w:r>
            <w:r>
              <w:rPr>
                <w:spacing w:val="-2"/>
              </w:rPr>
              <w:t>行政处罚</w:t>
            </w:r>
          </w:p>
        </w:tc>
        <w:tc>
          <w:tcPr>
            <w:tcW w:w="1104" w:type="dxa"/>
            <w:vAlign w:val="top"/>
          </w:tcPr>
          <w:p w14:paraId="65C51972">
            <w:pPr>
              <w:spacing w:line="248" w:lineRule="auto"/>
              <w:rPr>
                <w:rFonts w:ascii="Arial"/>
                <w:sz w:val="21"/>
              </w:rPr>
            </w:pPr>
          </w:p>
          <w:p w14:paraId="600BC2B2">
            <w:pPr>
              <w:spacing w:line="248" w:lineRule="auto"/>
              <w:rPr>
                <w:rFonts w:ascii="Arial"/>
                <w:sz w:val="21"/>
              </w:rPr>
            </w:pPr>
          </w:p>
          <w:p w14:paraId="630AA22B">
            <w:pPr>
              <w:spacing w:line="248" w:lineRule="auto"/>
              <w:rPr>
                <w:rFonts w:ascii="Arial"/>
                <w:sz w:val="21"/>
              </w:rPr>
            </w:pPr>
          </w:p>
          <w:p w14:paraId="3F0178EC">
            <w:pPr>
              <w:spacing w:line="248" w:lineRule="auto"/>
              <w:rPr>
                <w:rFonts w:ascii="Arial"/>
                <w:sz w:val="21"/>
              </w:rPr>
            </w:pPr>
          </w:p>
          <w:p w14:paraId="1D2E0403">
            <w:pPr>
              <w:spacing w:line="248" w:lineRule="auto"/>
              <w:rPr>
                <w:rFonts w:ascii="Arial"/>
                <w:sz w:val="21"/>
              </w:rPr>
            </w:pPr>
          </w:p>
          <w:p w14:paraId="702253C1">
            <w:pPr>
              <w:spacing w:line="248" w:lineRule="auto"/>
              <w:rPr>
                <w:rFonts w:ascii="Arial"/>
                <w:sz w:val="21"/>
              </w:rPr>
            </w:pPr>
          </w:p>
          <w:p w14:paraId="484D71D4">
            <w:pPr>
              <w:spacing w:line="248" w:lineRule="auto"/>
              <w:rPr>
                <w:rFonts w:ascii="Arial"/>
                <w:sz w:val="21"/>
              </w:rPr>
            </w:pPr>
          </w:p>
          <w:p w14:paraId="11854492">
            <w:pPr>
              <w:spacing w:line="248" w:lineRule="auto"/>
              <w:rPr>
                <w:rFonts w:ascii="Arial"/>
                <w:sz w:val="21"/>
              </w:rPr>
            </w:pPr>
          </w:p>
          <w:p w14:paraId="667287D6">
            <w:pPr>
              <w:spacing w:line="248" w:lineRule="auto"/>
              <w:rPr>
                <w:rFonts w:ascii="Arial"/>
                <w:sz w:val="21"/>
              </w:rPr>
            </w:pPr>
          </w:p>
          <w:p w14:paraId="5F0E52AC">
            <w:pPr>
              <w:spacing w:line="248" w:lineRule="auto"/>
              <w:rPr>
                <w:rFonts w:ascii="Arial"/>
                <w:sz w:val="21"/>
              </w:rPr>
            </w:pPr>
          </w:p>
          <w:p w14:paraId="6C507969">
            <w:pPr>
              <w:spacing w:line="249" w:lineRule="auto"/>
              <w:rPr>
                <w:rFonts w:ascii="Arial"/>
                <w:sz w:val="21"/>
              </w:rPr>
            </w:pPr>
          </w:p>
          <w:p w14:paraId="3948D7A9">
            <w:pPr>
              <w:spacing w:line="249" w:lineRule="auto"/>
              <w:rPr>
                <w:rFonts w:ascii="Arial"/>
                <w:sz w:val="21"/>
              </w:rPr>
            </w:pPr>
          </w:p>
          <w:p w14:paraId="35EF7335">
            <w:pPr>
              <w:pStyle w:val="8"/>
              <w:spacing w:before="59" w:line="220" w:lineRule="auto"/>
              <w:ind w:left="10"/>
            </w:pPr>
            <w:r>
              <w:rPr>
                <w:spacing w:val="-2"/>
              </w:rPr>
              <w:t>行政处罚</w:t>
            </w:r>
          </w:p>
        </w:tc>
        <w:tc>
          <w:tcPr>
            <w:tcW w:w="8549" w:type="dxa"/>
            <w:vAlign w:val="top"/>
          </w:tcPr>
          <w:p w14:paraId="547F1C1E">
            <w:pPr>
              <w:pStyle w:val="8"/>
              <w:spacing w:before="27" w:line="219" w:lineRule="auto"/>
              <w:ind w:left="484"/>
            </w:pPr>
            <w:r>
              <w:rPr>
                <w:b/>
                <w:bCs/>
                <w:spacing w:val="-3"/>
              </w:rPr>
              <w:t>1.《中华人民共和国安全生产法》</w:t>
            </w:r>
          </w:p>
          <w:p w14:paraId="3F096EEA">
            <w:pPr>
              <w:pStyle w:val="8"/>
              <w:spacing w:before="14" w:line="227" w:lineRule="auto"/>
              <w:ind w:left="110" w:right="159" w:firstLine="360"/>
              <w:jc w:val="both"/>
            </w:pPr>
            <w:r>
              <w:t>第二十一条  生产经营单位的主要负责人对本单位安全生产工</w:t>
            </w:r>
            <w:r>
              <w:rPr>
                <w:spacing w:val="-1"/>
              </w:rPr>
              <w:t>作负有下列职责：（一）建立健全并落</w:t>
            </w:r>
            <w:r>
              <w:t xml:space="preserve"> 实本单位全员安全生产责任制，加强安全生产标准化建设；（二）组织制定并实施本单</w:t>
            </w:r>
            <w:r>
              <w:rPr>
                <w:spacing w:val="-1"/>
              </w:rPr>
              <w:t>位安全生产规章制</w:t>
            </w:r>
            <w:r>
              <w:t xml:space="preserve"> 度和操作规程</w:t>
            </w:r>
            <w:r>
              <w:rPr>
                <w:spacing w:val="-1"/>
              </w:rPr>
              <w:t>；（</w:t>
            </w:r>
            <w:r>
              <w:t>三）组织制定并实施本单位安全生产教育和培训计划</w:t>
            </w:r>
            <w:r>
              <w:rPr>
                <w:spacing w:val="-1"/>
              </w:rPr>
              <w:t>；（</w:t>
            </w:r>
            <w:r>
              <w:t>四）保证本单</w:t>
            </w:r>
            <w:r>
              <w:rPr>
                <w:spacing w:val="-1"/>
              </w:rPr>
              <w:t>位安全生产投入</w:t>
            </w:r>
            <w:r>
              <w:rPr>
                <w:spacing w:val="3"/>
              </w:rPr>
              <w:t xml:space="preserve"> </w:t>
            </w:r>
            <w:r>
              <w:t>的有效实施；（五）组织建立并落实安全风险分级管控和隐患排查治理双重预防工作机</w:t>
            </w:r>
            <w:r>
              <w:rPr>
                <w:spacing w:val="-1"/>
              </w:rPr>
              <w:t>制，督促、检查本</w:t>
            </w:r>
            <w:r>
              <w:t xml:space="preserve"> 单位的安全生产工作，及时消除生产安全事故隐患；（六）组织制定并实施本单位的生</w:t>
            </w:r>
            <w:r>
              <w:rPr>
                <w:spacing w:val="-1"/>
              </w:rPr>
              <w:t>产安全事故应急救</w:t>
            </w:r>
            <w:r>
              <w:t xml:space="preserve"> </w:t>
            </w:r>
            <w:r>
              <w:rPr>
                <w:spacing w:val="-2"/>
              </w:rPr>
              <w:t>援预案</w:t>
            </w:r>
            <w:r>
              <w:rPr>
                <w:spacing w:val="3"/>
              </w:rPr>
              <w:t>；（</w:t>
            </w:r>
            <w:r>
              <w:rPr>
                <w:spacing w:val="-2"/>
              </w:rPr>
              <w:t>七）及时、如实报告生产安全事故。</w:t>
            </w:r>
          </w:p>
          <w:p w14:paraId="555B44F0">
            <w:pPr>
              <w:pStyle w:val="8"/>
              <w:spacing w:before="12" w:line="224" w:lineRule="auto"/>
              <w:ind w:left="122" w:right="159" w:firstLine="348"/>
            </w:pPr>
            <w:r>
              <w:t>第二十四条  矿山、金属冶炼、建筑施工、运输单位和危险物品的生产、经营、</w:t>
            </w:r>
            <w:r>
              <w:rPr>
                <w:spacing w:val="-1"/>
              </w:rPr>
              <w:t>储存、装卸单位，应</w:t>
            </w:r>
            <w:r>
              <w:t xml:space="preserve"> </w:t>
            </w:r>
            <w:r>
              <w:rPr>
                <w:spacing w:val="-2"/>
              </w:rPr>
              <w:t>当设置安全生产管理机构或者配备专职安全生产管理人员。</w:t>
            </w:r>
          </w:p>
          <w:p w14:paraId="1056B2E2">
            <w:pPr>
              <w:pStyle w:val="8"/>
              <w:spacing w:before="10" w:line="225" w:lineRule="auto"/>
              <w:ind w:left="111" w:right="159" w:firstLine="362"/>
            </w:pPr>
            <w:r>
              <w:t>前款规定以外的其他生产经营单位，从业人员超过一百人的，应当设置安全</w:t>
            </w:r>
            <w:r>
              <w:rPr>
                <w:spacing w:val="-1"/>
              </w:rPr>
              <w:t>生产管理机构或者配备专</w:t>
            </w:r>
            <w:r>
              <w:t xml:space="preserve"> </w:t>
            </w:r>
            <w:r>
              <w:rPr>
                <w:spacing w:val="-1"/>
              </w:rPr>
              <w:t>职安全生产管理人员；从业人员在一百人以下的，应当配备专职或者兼职的安全生产管理人员。</w:t>
            </w:r>
          </w:p>
          <w:p w14:paraId="5664CAA0">
            <w:pPr>
              <w:pStyle w:val="8"/>
              <w:spacing w:before="8" w:line="227" w:lineRule="auto"/>
              <w:ind w:left="111" w:right="58" w:firstLine="359"/>
            </w:pPr>
            <w:r>
              <w:t>第四十六条  生产经营单位的安全生产管理人员应当根据本单位的生产经营特点</w:t>
            </w:r>
            <w:r>
              <w:rPr>
                <w:spacing w:val="-1"/>
              </w:rPr>
              <w:t>，对安全生产状况进</w:t>
            </w:r>
            <w:r>
              <w:t xml:space="preserve">  </w:t>
            </w:r>
            <w:r>
              <w:rPr>
                <w:spacing w:val="-2"/>
              </w:rPr>
              <w:t>行经常性检查；对检查中发现的安全问题，应当立即处理；不能处理的，应当及时报告本单位有关负责人，</w:t>
            </w:r>
            <w:r>
              <w:rPr>
                <w:spacing w:val="6"/>
              </w:rPr>
              <w:t xml:space="preserve"> </w:t>
            </w:r>
            <w:r>
              <w:rPr>
                <w:spacing w:val="-1"/>
              </w:rPr>
              <w:t>有关负责人应当及时处理。检查及处理情况应当如</w:t>
            </w:r>
            <w:r>
              <w:rPr>
                <w:spacing w:val="-2"/>
              </w:rPr>
              <w:t>实记录在案。</w:t>
            </w:r>
          </w:p>
          <w:p w14:paraId="687B2FB4">
            <w:pPr>
              <w:pStyle w:val="8"/>
              <w:spacing w:before="9" w:line="226" w:lineRule="auto"/>
              <w:ind w:left="110" w:right="159" w:firstLine="362"/>
            </w:pPr>
            <w:r>
              <w:t>生产经营单位的安全生产管理人员在检查中发现重大事故隐患，依照前款规定</w:t>
            </w:r>
            <w:r>
              <w:rPr>
                <w:spacing w:val="-1"/>
              </w:rPr>
              <w:t>向本单位有关负责人报</w:t>
            </w:r>
            <w:r>
              <w:t xml:space="preserve"> 告，有关负责人不及时处理的，安全生产管理人员可以向主管的负有安全生产监督管理</w:t>
            </w:r>
            <w:r>
              <w:rPr>
                <w:spacing w:val="-1"/>
              </w:rPr>
              <w:t>职责的部门报告，</w:t>
            </w:r>
            <w:r>
              <w:t xml:space="preserve"> </w:t>
            </w:r>
            <w:r>
              <w:rPr>
                <w:spacing w:val="-2"/>
              </w:rPr>
              <w:t>接到报告的部门应当依法及时处理。</w:t>
            </w:r>
          </w:p>
          <w:p w14:paraId="0EB5DC75">
            <w:pPr>
              <w:pStyle w:val="8"/>
              <w:spacing w:before="10" w:line="227" w:lineRule="auto"/>
              <w:ind w:left="111" w:right="159" w:firstLine="359"/>
              <w:jc w:val="both"/>
            </w:pPr>
            <w:r>
              <w:t>第九十四条  生产经营单位的主要负责人未履行本法规定的安全生产管理职责的</w:t>
            </w:r>
            <w:r>
              <w:rPr>
                <w:spacing w:val="-1"/>
              </w:rPr>
              <w:t>，责令限期改正，处</w:t>
            </w:r>
            <w:r>
              <w:t xml:space="preserve"> 二万元以上五万元以下的罚款；逾期未改正的，处五万元以上十万元以下的罚款，责</w:t>
            </w:r>
            <w:r>
              <w:rPr>
                <w:spacing w:val="-1"/>
              </w:rPr>
              <w:t>令生产经营单位停产</w:t>
            </w:r>
            <w:r>
              <w:t xml:space="preserve"> </w:t>
            </w:r>
            <w:r>
              <w:rPr>
                <w:spacing w:val="-6"/>
              </w:rPr>
              <w:t>停业整顿。</w:t>
            </w:r>
          </w:p>
          <w:p w14:paraId="36FCDA1C">
            <w:pPr>
              <w:pStyle w:val="8"/>
              <w:spacing w:before="9" w:line="224" w:lineRule="auto"/>
              <w:ind w:left="112" w:right="58" w:firstLine="360"/>
            </w:pPr>
            <w:r>
              <w:rPr>
                <w:spacing w:val="-2"/>
              </w:rPr>
              <w:t>生产经营单位的主要负责人有前款违法行为，导致发生生产安全事故的，给予撤职处分；构成犯罪的，</w:t>
            </w:r>
            <w:r>
              <w:rPr>
                <w:spacing w:val="1"/>
              </w:rPr>
              <w:t xml:space="preserve"> </w:t>
            </w:r>
            <w:r>
              <w:rPr>
                <w:spacing w:val="-3"/>
              </w:rPr>
              <w:t>依照刑法有关规定追究刑事责任。</w:t>
            </w:r>
          </w:p>
          <w:p w14:paraId="01C95BB1">
            <w:pPr>
              <w:pStyle w:val="8"/>
              <w:spacing w:before="13" w:line="225" w:lineRule="auto"/>
              <w:ind w:left="116" w:right="159" w:firstLine="356"/>
              <w:jc w:val="both"/>
            </w:pPr>
            <w:r>
              <w:t>生产经营单位的主要负责人依照前款规定受刑事处罚或者撤职处分的，自刑罚</w:t>
            </w:r>
            <w:r>
              <w:rPr>
                <w:spacing w:val="-1"/>
              </w:rPr>
              <w:t>执行完毕或者受处分之</w:t>
            </w:r>
            <w:r>
              <w:t xml:space="preserve"> 日起，五年内不得担任任何生产经营单位的主要负责人；对重大、特别重大</w:t>
            </w:r>
            <w:r>
              <w:rPr>
                <w:spacing w:val="-1"/>
              </w:rPr>
              <w:t>生产安全事故负有责任的，终</w:t>
            </w:r>
            <w:r>
              <w:t xml:space="preserve"> </w:t>
            </w:r>
            <w:r>
              <w:rPr>
                <w:spacing w:val="-2"/>
              </w:rPr>
              <w:t>身不得担任本行业生产经营单位的主要负责人。</w:t>
            </w:r>
          </w:p>
          <w:p w14:paraId="5DB77DD9">
            <w:pPr>
              <w:pStyle w:val="8"/>
              <w:spacing w:before="13" w:line="218" w:lineRule="auto"/>
              <w:ind w:left="111" w:right="159" w:firstLine="359"/>
              <w:jc w:val="both"/>
            </w:pPr>
            <w:r>
              <w:t>第九十五条  生产经营单位的主要负责人未履行本法规定的安全生产管理职责，</w:t>
            </w:r>
            <w:r>
              <w:rPr>
                <w:spacing w:val="-1"/>
              </w:rPr>
              <w:t>导致发生生产安全事</w:t>
            </w:r>
            <w:r>
              <w:t xml:space="preserve"> 故的，由应急管理部门依照下列规定处以罚款</w:t>
            </w:r>
            <w:r>
              <w:rPr>
                <w:spacing w:val="-2"/>
              </w:rPr>
              <w:t>：（</w:t>
            </w:r>
            <w:r>
              <w:t>一）发生一般事故的，处上一年年收入百</w:t>
            </w:r>
            <w:r>
              <w:rPr>
                <w:spacing w:val="-1"/>
              </w:rPr>
              <w:t>分之四十的罚</w:t>
            </w:r>
            <w:r>
              <w:rPr>
                <w:spacing w:val="1"/>
              </w:rPr>
              <w:t xml:space="preserve"> </w:t>
            </w:r>
            <w:r>
              <w:t>款</w:t>
            </w:r>
            <w:r>
              <w:rPr>
                <w:spacing w:val="-1"/>
              </w:rPr>
              <w:t>；（</w:t>
            </w:r>
            <w:r>
              <w:t>二）发生较大事故的，处上一年年收入百分之六十的罚款</w:t>
            </w:r>
            <w:r>
              <w:rPr>
                <w:spacing w:val="-1"/>
              </w:rPr>
              <w:t>；（</w:t>
            </w:r>
            <w:r>
              <w:t>三）发生重大事故</w:t>
            </w:r>
            <w:r>
              <w:rPr>
                <w:spacing w:val="-1"/>
              </w:rPr>
              <w:t>的，处上一年年收</w:t>
            </w:r>
          </w:p>
        </w:tc>
        <w:tc>
          <w:tcPr>
            <w:tcW w:w="1014" w:type="dxa"/>
            <w:vAlign w:val="top"/>
          </w:tcPr>
          <w:p w14:paraId="2E88684A">
            <w:pPr>
              <w:spacing w:line="259" w:lineRule="auto"/>
              <w:rPr>
                <w:rFonts w:ascii="Arial"/>
                <w:sz w:val="21"/>
              </w:rPr>
            </w:pPr>
          </w:p>
          <w:p w14:paraId="4A895D7B">
            <w:pPr>
              <w:spacing w:line="260" w:lineRule="auto"/>
              <w:rPr>
                <w:rFonts w:ascii="Arial"/>
                <w:sz w:val="21"/>
              </w:rPr>
            </w:pPr>
          </w:p>
          <w:p w14:paraId="1C2D69D1">
            <w:pPr>
              <w:spacing w:line="260" w:lineRule="auto"/>
              <w:rPr>
                <w:rFonts w:ascii="Arial"/>
                <w:sz w:val="21"/>
              </w:rPr>
            </w:pPr>
          </w:p>
          <w:p w14:paraId="6703C90F">
            <w:pPr>
              <w:spacing w:line="260" w:lineRule="auto"/>
              <w:rPr>
                <w:rFonts w:ascii="Arial"/>
                <w:sz w:val="21"/>
              </w:rPr>
            </w:pPr>
          </w:p>
          <w:p w14:paraId="1A858AFA">
            <w:pPr>
              <w:spacing w:line="260" w:lineRule="auto"/>
              <w:rPr>
                <w:rFonts w:ascii="Arial"/>
                <w:sz w:val="21"/>
              </w:rPr>
            </w:pPr>
          </w:p>
          <w:p w14:paraId="1AAB2F37">
            <w:pPr>
              <w:spacing w:line="260" w:lineRule="auto"/>
              <w:rPr>
                <w:rFonts w:ascii="Arial"/>
                <w:sz w:val="21"/>
              </w:rPr>
            </w:pPr>
          </w:p>
          <w:p w14:paraId="73E82446">
            <w:pPr>
              <w:spacing w:line="260" w:lineRule="auto"/>
              <w:rPr>
                <w:rFonts w:ascii="Arial"/>
                <w:sz w:val="21"/>
              </w:rPr>
            </w:pPr>
          </w:p>
          <w:p w14:paraId="5445070D">
            <w:pPr>
              <w:spacing w:line="260" w:lineRule="auto"/>
              <w:rPr>
                <w:rFonts w:ascii="Arial"/>
                <w:sz w:val="21"/>
              </w:rPr>
            </w:pPr>
          </w:p>
          <w:p w14:paraId="150FFAEE">
            <w:pPr>
              <w:spacing w:line="260" w:lineRule="auto"/>
              <w:rPr>
                <w:rFonts w:ascii="Arial"/>
                <w:sz w:val="21"/>
              </w:rPr>
            </w:pPr>
          </w:p>
          <w:p w14:paraId="4C3D6A66">
            <w:pPr>
              <w:spacing w:line="260" w:lineRule="auto"/>
              <w:rPr>
                <w:rFonts w:ascii="Arial"/>
                <w:sz w:val="21"/>
              </w:rPr>
            </w:pPr>
          </w:p>
          <w:p w14:paraId="7FFAFBF2">
            <w:pPr>
              <w:spacing w:line="260" w:lineRule="auto"/>
              <w:rPr>
                <w:rFonts w:ascii="Arial"/>
                <w:sz w:val="21"/>
              </w:rPr>
            </w:pPr>
          </w:p>
          <w:p w14:paraId="5382D116">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65C6AAA0">
            <w:pPr>
              <w:spacing w:line="259" w:lineRule="auto"/>
              <w:rPr>
                <w:rFonts w:ascii="Arial"/>
                <w:sz w:val="21"/>
              </w:rPr>
            </w:pPr>
          </w:p>
          <w:p w14:paraId="6F1C6E8A">
            <w:pPr>
              <w:spacing w:line="260" w:lineRule="auto"/>
              <w:rPr>
                <w:rFonts w:ascii="Arial"/>
                <w:sz w:val="21"/>
              </w:rPr>
            </w:pPr>
          </w:p>
          <w:p w14:paraId="090D1D65">
            <w:pPr>
              <w:spacing w:line="260" w:lineRule="auto"/>
              <w:rPr>
                <w:rFonts w:ascii="Arial"/>
                <w:sz w:val="21"/>
              </w:rPr>
            </w:pPr>
          </w:p>
          <w:p w14:paraId="12FFE3E1">
            <w:pPr>
              <w:spacing w:line="260" w:lineRule="auto"/>
              <w:rPr>
                <w:rFonts w:ascii="Arial"/>
                <w:sz w:val="21"/>
              </w:rPr>
            </w:pPr>
          </w:p>
          <w:p w14:paraId="00FA07B5">
            <w:pPr>
              <w:spacing w:line="260" w:lineRule="auto"/>
              <w:rPr>
                <w:rFonts w:ascii="Arial"/>
                <w:sz w:val="21"/>
              </w:rPr>
            </w:pPr>
          </w:p>
          <w:p w14:paraId="3D60F05B">
            <w:pPr>
              <w:spacing w:line="260" w:lineRule="auto"/>
              <w:rPr>
                <w:rFonts w:ascii="Arial"/>
                <w:sz w:val="21"/>
              </w:rPr>
            </w:pPr>
          </w:p>
          <w:p w14:paraId="062D3917">
            <w:pPr>
              <w:spacing w:line="260" w:lineRule="auto"/>
              <w:rPr>
                <w:rFonts w:ascii="Arial"/>
                <w:sz w:val="21"/>
              </w:rPr>
            </w:pPr>
          </w:p>
          <w:p w14:paraId="3986FD51">
            <w:pPr>
              <w:spacing w:line="260" w:lineRule="auto"/>
              <w:rPr>
                <w:rFonts w:ascii="Arial"/>
                <w:sz w:val="21"/>
              </w:rPr>
            </w:pPr>
          </w:p>
          <w:p w14:paraId="257FFBD7">
            <w:pPr>
              <w:spacing w:line="260" w:lineRule="auto"/>
              <w:rPr>
                <w:rFonts w:ascii="Arial"/>
                <w:sz w:val="21"/>
              </w:rPr>
            </w:pPr>
          </w:p>
          <w:p w14:paraId="251A8A31">
            <w:pPr>
              <w:spacing w:line="260" w:lineRule="auto"/>
              <w:rPr>
                <w:rFonts w:ascii="Arial"/>
                <w:sz w:val="21"/>
              </w:rPr>
            </w:pPr>
          </w:p>
          <w:p w14:paraId="58C81DE3">
            <w:pPr>
              <w:spacing w:line="260" w:lineRule="auto"/>
              <w:rPr>
                <w:rFonts w:ascii="Arial"/>
                <w:sz w:val="21"/>
              </w:rPr>
            </w:pPr>
          </w:p>
          <w:p w14:paraId="3E4973EA">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D57288A">
            <w:pPr>
              <w:spacing w:line="262" w:lineRule="auto"/>
              <w:rPr>
                <w:rFonts w:ascii="Arial"/>
                <w:sz w:val="21"/>
              </w:rPr>
            </w:pPr>
          </w:p>
          <w:p w14:paraId="4CB084BF">
            <w:pPr>
              <w:spacing w:line="262" w:lineRule="auto"/>
              <w:rPr>
                <w:rFonts w:ascii="Arial"/>
                <w:sz w:val="21"/>
              </w:rPr>
            </w:pPr>
          </w:p>
          <w:p w14:paraId="42E96BDA">
            <w:pPr>
              <w:spacing w:line="262" w:lineRule="auto"/>
              <w:rPr>
                <w:rFonts w:ascii="Arial"/>
                <w:sz w:val="21"/>
              </w:rPr>
            </w:pPr>
          </w:p>
          <w:p w14:paraId="190D4123">
            <w:pPr>
              <w:spacing w:line="262" w:lineRule="auto"/>
              <w:rPr>
                <w:rFonts w:ascii="Arial"/>
                <w:sz w:val="21"/>
              </w:rPr>
            </w:pPr>
          </w:p>
          <w:p w14:paraId="21A60C43">
            <w:pPr>
              <w:spacing w:line="262" w:lineRule="auto"/>
              <w:rPr>
                <w:rFonts w:ascii="Arial"/>
                <w:sz w:val="21"/>
              </w:rPr>
            </w:pPr>
          </w:p>
          <w:p w14:paraId="5A3BD5F8">
            <w:pPr>
              <w:spacing w:line="262" w:lineRule="auto"/>
              <w:rPr>
                <w:rFonts w:ascii="Arial"/>
                <w:sz w:val="21"/>
              </w:rPr>
            </w:pPr>
          </w:p>
          <w:p w14:paraId="76F864AA">
            <w:pPr>
              <w:spacing w:line="262" w:lineRule="auto"/>
              <w:rPr>
                <w:rFonts w:ascii="Arial"/>
                <w:sz w:val="21"/>
              </w:rPr>
            </w:pPr>
          </w:p>
          <w:p w14:paraId="14B71A61">
            <w:pPr>
              <w:spacing w:line="262" w:lineRule="auto"/>
              <w:rPr>
                <w:rFonts w:ascii="Arial"/>
                <w:sz w:val="21"/>
              </w:rPr>
            </w:pPr>
          </w:p>
          <w:p w14:paraId="6B388F54">
            <w:pPr>
              <w:spacing w:line="263" w:lineRule="auto"/>
              <w:rPr>
                <w:rFonts w:ascii="Arial"/>
                <w:sz w:val="21"/>
              </w:rPr>
            </w:pPr>
          </w:p>
          <w:p w14:paraId="77124F0F">
            <w:pPr>
              <w:spacing w:line="263" w:lineRule="auto"/>
              <w:rPr>
                <w:rFonts w:ascii="Arial"/>
                <w:sz w:val="21"/>
              </w:rPr>
            </w:pPr>
          </w:p>
          <w:p w14:paraId="5C6EAAFD">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4666924A">
      <w:pPr>
        <w:pStyle w:val="2"/>
      </w:pPr>
    </w:p>
    <w:p w14:paraId="5034F4A3">
      <w:pPr>
        <w:sectPr>
          <w:footerReference r:id="rId112" w:type="default"/>
          <w:pgSz w:w="16839" w:h="11906"/>
          <w:pgMar w:top="1012" w:right="991" w:bottom="967" w:left="1021" w:header="0" w:footer="768" w:gutter="0"/>
          <w:cols w:space="720" w:num="1"/>
        </w:sectPr>
      </w:pPr>
    </w:p>
    <w:p w14:paraId="57FEA7B5">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78830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26C1E19C">
            <w:pPr>
              <w:pStyle w:val="8"/>
              <w:spacing w:before="267" w:line="221" w:lineRule="auto"/>
              <w:ind w:left="134"/>
            </w:pPr>
            <w:r>
              <w:rPr>
                <w:b/>
                <w:bCs/>
                <w:spacing w:val="-4"/>
              </w:rPr>
              <w:t>序号</w:t>
            </w:r>
          </w:p>
        </w:tc>
        <w:tc>
          <w:tcPr>
            <w:tcW w:w="1104" w:type="dxa"/>
            <w:vMerge w:val="restart"/>
            <w:tcBorders>
              <w:bottom w:val="nil"/>
            </w:tcBorders>
            <w:vAlign w:val="top"/>
          </w:tcPr>
          <w:p w14:paraId="713688A7">
            <w:pPr>
              <w:pStyle w:val="8"/>
              <w:spacing w:before="260" w:line="220" w:lineRule="auto"/>
              <w:ind w:left="192"/>
            </w:pPr>
            <w:r>
              <w:rPr>
                <w:b/>
                <w:bCs/>
                <w:spacing w:val="-4"/>
              </w:rPr>
              <w:t>事项名称</w:t>
            </w:r>
          </w:p>
        </w:tc>
        <w:tc>
          <w:tcPr>
            <w:tcW w:w="1104" w:type="dxa"/>
            <w:vMerge w:val="restart"/>
            <w:tcBorders>
              <w:bottom w:val="nil"/>
            </w:tcBorders>
            <w:vAlign w:val="top"/>
          </w:tcPr>
          <w:p w14:paraId="1A888390">
            <w:pPr>
              <w:pStyle w:val="8"/>
              <w:spacing w:before="260" w:line="219" w:lineRule="auto"/>
              <w:ind w:left="193"/>
            </w:pPr>
            <w:r>
              <w:rPr>
                <w:b/>
                <w:bCs/>
                <w:spacing w:val="-4"/>
              </w:rPr>
              <w:t>职权类型</w:t>
            </w:r>
          </w:p>
        </w:tc>
        <w:tc>
          <w:tcPr>
            <w:tcW w:w="8549" w:type="dxa"/>
            <w:vMerge w:val="restart"/>
            <w:tcBorders>
              <w:bottom w:val="nil"/>
            </w:tcBorders>
            <w:vAlign w:val="top"/>
          </w:tcPr>
          <w:p w14:paraId="337634D2">
            <w:pPr>
              <w:pStyle w:val="8"/>
              <w:spacing w:before="259" w:line="219" w:lineRule="auto"/>
              <w:ind w:left="3921"/>
            </w:pPr>
            <w:r>
              <w:rPr>
                <w:b/>
                <w:bCs/>
                <w:spacing w:val="-5"/>
              </w:rPr>
              <w:t>实施依据</w:t>
            </w:r>
          </w:p>
        </w:tc>
        <w:tc>
          <w:tcPr>
            <w:tcW w:w="3439" w:type="dxa"/>
            <w:gridSpan w:val="3"/>
            <w:vAlign w:val="top"/>
          </w:tcPr>
          <w:p w14:paraId="07CAAED5">
            <w:pPr>
              <w:pStyle w:val="8"/>
              <w:spacing w:before="85" w:line="220" w:lineRule="auto"/>
              <w:ind w:left="1365"/>
            </w:pPr>
            <w:r>
              <w:rPr>
                <w:b/>
                <w:bCs/>
                <w:spacing w:val="-5"/>
              </w:rPr>
              <w:t>实施主体</w:t>
            </w:r>
          </w:p>
        </w:tc>
      </w:tr>
      <w:tr w14:paraId="60855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1A822FB0">
            <w:pPr>
              <w:rPr>
                <w:rFonts w:ascii="Arial"/>
                <w:sz w:val="21"/>
              </w:rPr>
            </w:pPr>
          </w:p>
        </w:tc>
        <w:tc>
          <w:tcPr>
            <w:tcW w:w="1104" w:type="dxa"/>
            <w:vMerge w:val="continue"/>
            <w:tcBorders>
              <w:top w:val="nil"/>
            </w:tcBorders>
            <w:vAlign w:val="top"/>
          </w:tcPr>
          <w:p w14:paraId="2DD30BA3">
            <w:pPr>
              <w:rPr>
                <w:rFonts w:ascii="Arial"/>
                <w:sz w:val="21"/>
              </w:rPr>
            </w:pPr>
          </w:p>
        </w:tc>
        <w:tc>
          <w:tcPr>
            <w:tcW w:w="1104" w:type="dxa"/>
            <w:vMerge w:val="continue"/>
            <w:tcBorders>
              <w:top w:val="nil"/>
            </w:tcBorders>
            <w:vAlign w:val="top"/>
          </w:tcPr>
          <w:p w14:paraId="71E796AF">
            <w:pPr>
              <w:rPr>
                <w:rFonts w:ascii="Arial"/>
                <w:sz w:val="21"/>
              </w:rPr>
            </w:pPr>
          </w:p>
        </w:tc>
        <w:tc>
          <w:tcPr>
            <w:tcW w:w="8549" w:type="dxa"/>
            <w:vMerge w:val="continue"/>
            <w:tcBorders>
              <w:top w:val="nil"/>
            </w:tcBorders>
            <w:vAlign w:val="top"/>
          </w:tcPr>
          <w:p w14:paraId="53633D73">
            <w:pPr>
              <w:rPr>
                <w:rFonts w:ascii="Arial"/>
                <w:sz w:val="21"/>
              </w:rPr>
            </w:pPr>
          </w:p>
        </w:tc>
        <w:tc>
          <w:tcPr>
            <w:tcW w:w="1014" w:type="dxa"/>
            <w:vAlign w:val="top"/>
          </w:tcPr>
          <w:p w14:paraId="762FD268">
            <w:pPr>
              <w:pStyle w:val="8"/>
              <w:spacing w:before="81" w:line="219" w:lineRule="auto"/>
              <w:ind w:left="158"/>
            </w:pPr>
            <w:r>
              <w:rPr>
                <w:b/>
                <w:bCs/>
                <w:spacing w:val="-5"/>
              </w:rPr>
              <w:t>责任部门</w:t>
            </w:r>
          </w:p>
        </w:tc>
        <w:tc>
          <w:tcPr>
            <w:tcW w:w="1407" w:type="dxa"/>
            <w:vAlign w:val="top"/>
          </w:tcPr>
          <w:p w14:paraId="255AC022">
            <w:pPr>
              <w:pStyle w:val="8"/>
              <w:spacing w:before="81" w:line="219" w:lineRule="auto"/>
              <w:ind w:left="167"/>
            </w:pPr>
            <w:r>
              <w:rPr>
                <w:b/>
                <w:bCs/>
                <w:spacing w:val="-3"/>
              </w:rPr>
              <w:t>第一责任层级</w:t>
            </w:r>
          </w:p>
        </w:tc>
        <w:tc>
          <w:tcPr>
            <w:tcW w:w="1018" w:type="dxa"/>
            <w:vAlign w:val="top"/>
          </w:tcPr>
          <w:p w14:paraId="55A0149B">
            <w:pPr>
              <w:pStyle w:val="8"/>
              <w:spacing w:before="81" w:line="219" w:lineRule="auto"/>
              <w:ind w:left="152"/>
            </w:pPr>
            <w:r>
              <w:rPr>
                <w:b/>
                <w:bCs/>
                <w:spacing w:val="-4"/>
              </w:rPr>
              <w:t>承办机构</w:t>
            </w:r>
          </w:p>
        </w:tc>
      </w:tr>
      <w:tr w14:paraId="26B52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9" w:hRule="atLeast"/>
        </w:trPr>
        <w:tc>
          <w:tcPr>
            <w:tcW w:w="624" w:type="dxa"/>
            <w:vAlign w:val="top"/>
          </w:tcPr>
          <w:p w14:paraId="4C0B09E4">
            <w:pPr>
              <w:rPr>
                <w:rFonts w:ascii="Arial"/>
                <w:sz w:val="21"/>
              </w:rPr>
            </w:pPr>
          </w:p>
        </w:tc>
        <w:tc>
          <w:tcPr>
            <w:tcW w:w="1104" w:type="dxa"/>
            <w:vAlign w:val="top"/>
          </w:tcPr>
          <w:p w14:paraId="5CA70A08">
            <w:pPr>
              <w:rPr>
                <w:rFonts w:ascii="Arial"/>
                <w:sz w:val="21"/>
              </w:rPr>
            </w:pPr>
          </w:p>
        </w:tc>
        <w:tc>
          <w:tcPr>
            <w:tcW w:w="1104" w:type="dxa"/>
            <w:vAlign w:val="top"/>
          </w:tcPr>
          <w:p w14:paraId="30355AB3">
            <w:pPr>
              <w:rPr>
                <w:rFonts w:ascii="Arial"/>
                <w:sz w:val="21"/>
              </w:rPr>
            </w:pPr>
          </w:p>
        </w:tc>
        <w:tc>
          <w:tcPr>
            <w:tcW w:w="8549" w:type="dxa"/>
            <w:vAlign w:val="top"/>
          </w:tcPr>
          <w:p w14:paraId="73474EA3">
            <w:pPr>
              <w:pStyle w:val="8"/>
              <w:spacing w:before="26" w:line="219" w:lineRule="auto"/>
              <w:ind w:left="110"/>
            </w:pPr>
            <w:r>
              <w:rPr>
                <w:spacing w:val="-1"/>
              </w:rPr>
              <w:t>入百分之八十的罚款</w:t>
            </w:r>
            <w:r>
              <w:rPr>
                <w:spacing w:val="2"/>
              </w:rPr>
              <w:t>；（</w:t>
            </w:r>
            <w:r>
              <w:rPr>
                <w:spacing w:val="-1"/>
              </w:rPr>
              <w:t>四）发生特别重大事故的，处上一年年收入百分之一百的罚款。</w:t>
            </w:r>
          </w:p>
          <w:p w14:paraId="34C09651">
            <w:pPr>
              <w:pStyle w:val="8"/>
              <w:spacing w:before="8" w:line="219" w:lineRule="auto"/>
              <w:ind w:left="471"/>
            </w:pPr>
            <w:r>
              <w:t>第九十六条  生产经营单位的其他负责人和安全生产管理人员未履行本法规定的</w:t>
            </w:r>
            <w:r>
              <w:rPr>
                <w:spacing w:val="-1"/>
              </w:rPr>
              <w:t>安全生产管理职责</w:t>
            </w:r>
          </w:p>
          <w:p w14:paraId="705AF2D2">
            <w:pPr>
              <w:pStyle w:val="8"/>
              <w:spacing w:before="13" w:line="225" w:lineRule="auto"/>
              <w:ind w:left="111" w:right="159" w:firstLine="14"/>
            </w:pPr>
            <w:r>
              <w:t>的，责令限期改正，处一万元以上三万元以下的罚款</w:t>
            </w:r>
            <w:r>
              <w:rPr>
                <w:spacing w:val="-1"/>
              </w:rPr>
              <w:t>；导致发生生产安全事故的，暂停或者吊销其与安全</w:t>
            </w:r>
            <w:r>
              <w:t xml:space="preserve"> 生产有关的资格，并处上一年年收入百分之二十以上百分之五十以下的罚款；构成犯</w:t>
            </w:r>
            <w:r>
              <w:rPr>
                <w:spacing w:val="-1"/>
              </w:rPr>
              <w:t>罪的，依照刑法有关</w:t>
            </w:r>
            <w:r>
              <w:t xml:space="preserve"> </w:t>
            </w:r>
            <w:r>
              <w:rPr>
                <w:spacing w:val="-4"/>
              </w:rPr>
              <w:t>规定追究刑事责任。</w:t>
            </w:r>
          </w:p>
          <w:p w14:paraId="0AD5F8CE">
            <w:pPr>
              <w:pStyle w:val="8"/>
              <w:spacing w:before="13" w:line="219" w:lineRule="auto"/>
              <w:ind w:left="473"/>
            </w:pPr>
            <w:r>
              <w:rPr>
                <w:b/>
                <w:bCs/>
                <w:spacing w:val="-3"/>
              </w:rPr>
              <w:t>2.《建设工程安全生产管理条例》</w:t>
            </w:r>
          </w:p>
          <w:p w14:paraId="24F0BFAD">
            <w:pPr>
              <w:pStyle w:val="8"/>
              <w:spacing w:before="8" w:line="227" w:lineRule="auto"/>
              <w:ind w:left="111" w:right="159" w:firstLine="360"/>
              <w:jc w:val="both"/>
            </w:pPr>
            <w:r>
              <w:t>第二十一条  施工单位主要负责人依法对本单位的安全生产工作全面负责。施工</w:t>
            </w:r>
            <w:r>
              <w:rPr>
                <w:spacing w:val="-1"/>
              </w:rPr>
              <w:t>单位应当建立健全安</w:t>
            </w:r>
            <w:r>
              <w:t xml:space="preserve"> 全生产责任制度和安全生产教育培训制度，制定安全生产规章制度和操作规程，保证</w:t>
            </w:r>
            <w:r>
              <w:rPr>
                <w:spacing w:val="-1"/>
              </w:rPr>
              <w:t>本单位安全生产条件</w:t>
            </w:r>
            <w:r>
              <w:t xml:space="preserve"> </w:t>
            </w:r>
            <w:r>
              <w:rPr>
                <w:spacing w:val="-1"/>
              </w:rPr>
              <w:t>所需资金的投入，对所承担的建设工程进行定期和专项安全检查，并做好安全检查记录。</w:t>
            </w:r>
          </w:p>
          <w:p w14:paraId="24278432">
            <w:pPr>
              <w:pStyle w:val="8"/>
              <w:spacing w:before="10" w:line="226" w:lineRule="auto"/>
              <w:ind w:left="114" w:right="159" w:firstLine="356"/>
              <w:jc w:val="both"/>
            </w:pPr>
            <w:r>
              <w:t>施工单位的项目负责人应当由取得相应执业资格的人员担任，对建设工程项目的安</w:t>
            </w:r>
            <w:r>
              <w:rPr>
                <w:spacing w:val="-1"/>
              </w:rPr>
              <w:t>全施工负责，落实</w:t>
            </w:r>
            <w:r>
              <w:t xml:space="preserve"> 安全生产责任制度、安全生产规章制度和操作规程，确保安全生产费用的有效使</w:t>
            </w:r>
            <w:r>
              <w:rPr>
                <w:spacing w:val="-1"/>
              </w:rPr>
              <w:t>用，并根据工程的特点组</w:t>
            </w:r>
            <w:r>
              <w:t xml:space="preserve"> </w:t>
            </w:r>
            <w:r>
              <w:rPr>
                <w:spacing w:val="-1"/>
              </w:rPr>
              <w:t>织制定安全施工措施，消除安全事故隐患，及时、如实报告生产安全</w:t>
            </w:r>
            <w:r>
              <w:rPr>
                <w:spacing w:val="-2"/>
              </w:rPr>
              <w:t>事故。</w:t>
            </w:r>
          </w:p>
          <w:p w14:paraId="529BB10C">
            <w:pPr>
              <w:pStyle w:val="8"/>
              <w:spacing w:before="11" w:line="226" w:lineRule="auto"/>
              <w:ind w:left="111" w:right="159" w:firstLine="360"/>
              <w:jc w:val="both"/>
            </w:pPr>
            <w:r>
              <w:t>第六十六条第一款  违反本条例的规定，施工单位的主要负责人、项目负责人未</w:t>
            </w:r>
            <w:r>
              <w:rPr>
                <w:spacing w:val="-1"/>
              </w:rPr>
              <w:t>履行安全生产管理职</w:t>
            </w:r>
            <w:r>
              <w:t xml:space="preserve"> 责的，责令限期改正；逾期未改正的，责令施工单位停业整顿；造成重大安全事故、</w:t>
            </w:r>
            <w:r>
              <w:rPr>
                <w:spacing w:val="-1"/>
              </w:rPr>
              <w:t>重大伤亡事故或者其</w:t>
            </w:r>
            <w:r>
              <w:t xml:space="preserve"> </w:t>
            </w:r>
            <w:r>
              <w:rPr>
                <w:spacing w:val="-1"/>
              </w:rPr>
              <w:t>他严重后果，构成犯罪的，依照刑法有关规定追</w:t>
            </w:r>
            <w:r>
              <w:rPr>
                <w:spacing w:val="-2"/>
              </w:rPr>
              <w:t>究刑事责任。</w:t>
            </w:r>
          </w:p>
          <w:p w14:paraId="299EE046">
            <w:pPr>
              <w:pStyle w:val="8"/>
              <w:spacing w:before="10" w:line="224" w:lineRule="auto"/>
              <w:ind w:left="121" w:right="27" w:firstLine="353"/>
            </w:pPr>
            <w:r>
              <w:rPr>
                <w:b/>
                <w:bCs/>
                <w:spacing w:val="-5"/>
              </w:rPr>
              <w:t>3、《交通运输工程施工单位主要负责人、项目负责人和专职安全生产管理人员安全生产</w:t>
            </w:r>
            <w:r>
              <w:rPr>
                <w:b/>
                <w:bCs/>
                <w:spacing w:val="-6"/>
              </w:rPr>
              <w:t>考核管理办法》</w:t>
            </w:r>
            <w:r>
              <w:t xml:space="preserve"> </w:t>
            </w:r>
            <w:r>
              <w:rPr>
                <w:b/>
                <w:bCs/>
                <w:spacing w:val="-5"/>
              </w:rPr>
              <w:t>（交通运输部令</w:t>
            </w:r>
            <w:r>
              <w:rPr>
                <w:spacing w:val="-36"/>
              </w:rPr>
              <w:t xml:space="preserve"> </w:t>
            </w:r>
            <w:r>
              <w:rPr>
                <w:b/>
                <w:bCs/>
                <w:spacing w:val="-5"/>
              </w:rPr>
              <w:t>2024</w:t>
            </w:r>
            <w:r>
              <w:rPr>
                <w:spacing w:val="-37"/>
              </w:rPr>
              <w:t xml:space="preserve"> </w:t>
            </w:r>
            <w:r>
              <w:rPr>
                <w:b/>
                <w:bCs/>
                <w:spacing w:val="-5"/>
              </w:rPr>
              <w:t>年第</w:t>
            </w:r>
            <w:r>
              <w:rPr>
                <w:spacing w:val="-33"/>
              </w:rPr>
              <w:t xml:space="preserve"> </w:t>
            </w:r>
            <w:r>
              <w:rPr>
                <w:b/>
                <w:bCs/>
                <w:spacing w:val="-5"/>
              </w:rPr>
              <w:t>2</w:t>
            </w:r>
            <w:r>
              <w:rPr>
                <w:spacing w:val="-34"/>
              </w:rPr>
              <w:t xml:space="preserve"> </w:t>
            </w:r>
            <w:r>
              <w:rPr>
                <w:b/>
                <w:bCs/>
                <w:spacing w:val="-5"/>
              </w:rPr>
              <w:t>号）</w:t>
            </w:r>
          </w:p>
          <w:p w14:paraId="7362472E">
            <w:pPr>
              <w:pStyle w:val="8"/>
              <w:spacing w:before="13" w:line="224" w:lineRule="auto"/>
              <w:ind w:left="111" w:right="159" w:firstLine="360"/>
            </w:pPr>
            <w:r>
              <w:t>第五条  交通运输工程安管人员安全生产考核分为公路工程和水运工程两个领域</w:t>
            </w:r>
            <w:r>
              <w:rPr>
                <w:spacing w:val="-1"/>
              </w:rPr>
              <w:t>，每个领域按照岗位</w:t>
            </w:r>
            <w:r>
              <w:t xml:space="preserve"> </w:t>
            </w:r>
            <w:r>
              <w:rPr>
                <w:spacing w:val="-1"/>
              </w:rPr>
              <w:t>类型均分为主要负责人考核、项目负责人考核和专职安全生产管理人员考核。</w:t>
            </w:r>
          </w:p>
          <w:p w14:paraId="42521429">
            <w:pPr>
              <w:pStyle w:val="8"/>
              <w:spacing w:before="10" w:line="225" w:lineRule="auto"/>
              <w:ind w:left="112" w:right="159" w:firstLine="362"/>
            </w:pPr>
            <w:r>
              <w:t>安管人员应当按照考核合格证书明确的工程领域、岗位类型从事相应的安</w:t>
            </w:r>
            <w:r>
              <w:rPr>
                <w:spacing w:val="-1"/>
              </w:rPr>
              <w:t>全生产工作，依法履行安全</w:t>
            </w:r>
            <w:r>
              <w:t xml:space="preserve"> </w:t>
            </w:r>
            <w:r>
              <w:rPr>
                <w:spacing w:val="-5"/>
              </w:rPr>
              <w:t>生产管理职责。</w:t>
            </w:r>
          </w:p>
          <w:p w14:paraId="3EF4E507">
            <w:pPr>
              <w:pStyle w:val="8"/>
              <w:spacing w:before="8" w:line="224" w:lineRule="auto"/>
              <w:ind w:left="118" w:right="159" w:firstLine="352"/>
            </w:pPr>
            <w:r>
              <w:rPr>
                <w:spacing w:val="-1"/>
              </w:rPr>
              <w:t>第二十二  主要负责人未依法履行安全生产管理职责的，责令限期改正，处</w:t>
            </w:r>
            <w:r>
              <w:rPr>
                <w:spacing w:val="-35"/>
              </w:rPr>
              <w:t xml:space="preserve"> </w:t>
            </w:r>
            <w:r>
              <w:rPr>
                <w:spacing w:val="-1"/>
              </w:rPr>
              <w:t>2</w:t>
            </w:r>
            <w:r>
              <w:rPr>
                <w:spacing w:val="-34"/>
              </w:rPr>
              <w:t xml:space="preserve"> </w:t>
            </w:r>
            <w:r>
              <w:rPr>
                <w:spacing w:val="-1"/>
              </w:rPr>
              <w:t>万元以上</w:t>
            </w:r>
            <w:r>
              <w:rPr>
                <w:spacing w:val="-34"/>
              </w:rPr>
              <w:t xml:space="preserve"> </w:t>
            </w:r>
            <w:r>
              <w:rPr>
                <w:spacing w:val="-2"/>
              </w:rPr>
              <w:t>5</w:t>
            </w:r>
            <w:r>
              <w:rPr>
                <w:spacing w:val="-35"/>
              </w:rPr>
              <w:t xml:space="preserve"> </w:t>
            </w:r>
            <w:r>
              <w:rPr>
                <w:spacing w:val="-2"/>
              </w:rPr>
              <w:t>万元以下的</w:t>
            </w:r>
            <w:r>
              <w:t xml:space="preserve"> </w:t>
            </w:r>
            <w:r>
              <w:rPr>
                <w:spacing w:val="-2"/>
              </w:rPr>
              <w:t>罚款；逾期未改正的，处</w:t>
            </w:r>
            <w:r>
              <w:rPr>
                <w:spacing w:val="-34"/>
              </w:rPr>
              <w:t xml:space="preserve"> </w:t>
            </w:r>
            <w:r>
              <w:rPr>
                <w:spacing w:val="-2"/>
              </w:rPr>
              <w:t>5</w:t>
            </w:r>
            <w:r>
              <w:rPr>
                <w:spacing w:val="-34"/>
              </w:rPr>
              <w:t xml:space="preserve"> </w:t>
            </w:r>
            <w:r>
              <w:rPr>
                <w:spacing w:val="-2"/>
              </w:rPr>
              <w:t>万元以上</w:t>
            </w:r>
            <w:r>
              <w:rPr>
                <w:spacing w:val="-24"/>
              </w:rPr>
              <w:t xml:space="preserve"> </w:t>
            </w:r>
            <w:r>
              <w:rPr>
                <w:spacing w:val="-2"/>
              </w:rPr>
              <w:t>10</w:t>
            </w:r>
            <w:r>
              <w:rPr>
                <w:spacing w:val="-37"/>
              </w:rPr>
              <w:t xml:space="preserve"> </w:t>
            </w:r>
            <w:r>
              <w:rPr>
                <w:spacing w:val="-2"/>
              </w:rPr>
              <w:t>万元以下的罚</w:t>
            </w:r>
            <w:r>
              <w:rPr>
                <w:spacing w:val="-3"/>
              </w:rPr>
              <w:t>款，责令施工单位停产停业整顿。</w:t>
            </w:r>
          </w:p>
          <w:p w14:paraId="3EECBB36">
            <w:pPr>
              <w:pStyle w:val="8"/>
              <w:spacing w:before="13" w:line="224" w:lineRule="auto"/>
              <w:ind w:left="111" w:right="159" w:firstLine="360"/>
            </w:pPr>
            <w:r>
              <w:t>有前款违法行为，导致发生生产安全事故的，给予撤职处分；构成犯罪的，依照</w:t>
            </w:r>
            <w:r>
              <w:rPr>
                <w:spacing w:val="-1"/>
              </w:rPr>
              <w:t>刑法有关规定追究刑</w:t>
            </w:r>
            <w:r>
              <w:t xml:space="preserve"> </w:t>
            </w:r>
            <w:r>
              <w:rPr>
                <w:spacing w:val="-7"/>
              </w:rPr>
              <w:t>事责任。</w:t>
            </w:r>
          </w:p>
          <w:p w14:paraId="48A4DC1F">
            <w:pPr>
              <w:pStyle w:val="8"/>
              <w:spacing w:before="8" w:line="227" w:lineRule="auto"/>
              <w:ind w:left="111" w:right="104" w:firstLine="360"/>
              <w:jc w:val="both"/>
            </w:pPr>
            <w:r>
              <w:rPr>
                <w:spacing w:val="-2"/>
              </w:rPr>
              <w:t>主要负责人依照前款规定受刑事处罚或者撤职处分的，自刑罚执行完毕或者受处分之日</w:t>
            </w:r>
            <w:r>
              <w:rPr>
                <w:spacing w:val="-3"/>
              </w:rPr>
              <w:t>起，5</w:t>
            </w:r>
            <w:r>
              <w:rPr>
                <w:spacing w:val="-38"/>
              </w:rPr>
              <w:t xml:space="preserve"> </w:t>
            </w:r>
            <w:r>
              <w:rPr>
                <w:spacing w:val="-3"/>
              </w:rPr>
              <w:t>年内不得</w:t>
            </w:r>
            <w:r>
              <w:t xml:space="preserve"> 担任任何生产经营单位的主要负责人；对重大、特别重大生产安全事故负有责任的，</w:t>
            </w:r>
            <w:r>
              <w:rPr>
                <w:spacing w:val="-1"/>
              </w:rPr>
              <w:t>终身不得担任本行业</w:t>
            </w:r>
            <w:r>
              <w:t xml:space="preserve"> </w:t>
            </w:r>
            <w:r>
              <w:rPr>
                <w:spacing w:val="-3"/>
              </w:rPr>
              <w:t>生产经营单位的主要负责人。</w:t>
            </w:r>
          </w:p>
          <w:p w14:paraId="18C8A120">
            <w:pPr>
              <w:pStyle w:val="8"/>
              <w:spacing w:before="9" w:line="219" w:lineRule="auto"/>
              <w:ind w:left="471"/>
            </w:pPr>
            <w:r>
              <w:rPr>
                <w:spacing w:val="-1"/>
              </w:rPr>
              <w:t>第二十三条  项目负责人未依法履行安全生产管理职责的，责令限期</w:t>
            </w:r>
            <w:r>
              <w:rPr>
                <w:spacing w:val="-2"/>
              </w:rPr>
              <w:t>改正，处</w:t>
            </w:r>
            <w:r>
              <w:rPr>
                <w:spacing w:val="-24"/>
              </w:rPr>
              <w:t xml:space="preserve"> </w:t>
            </w:r>
            <w:r>
              <w:rPr>
                <w:spacing w:val="-2"/>
              </w:rPr>
              <w:t>1</w:t>
            </w:r>
            <w:r>
              <w:rPr>
                <w:spacing w:val="-35"/>
              </w:rPr>
              <w:t xml:space="preserve"> </w:t>
            </w:r>
            <w:r>
              <w:rPr>
                <w:spacing w:val="-2"/>
              </w:rPr>
              <w:t>万元以上</w:t>
            </w:r>
            <w:r>
              <w:rPr>
                <w:spacing w:val="-33"/>
              </w:rPr>
              <w:t xml:space="preserve"> </w:t>
            </w:r>
            <w:r>
              <w:rPr>
                <w:spacing w:val="-2"/>
              </w:rPr>
              <w:t>3</w:t>
            </w:r>
            <w:r>
              <w:rPr>
                <w:spacing w:val="-35"/>
              </w:rPr>
              <w:t xml:space="preserve"> </w:t>
            </w:r>
            <w:r>
              <w:rPr>
                <w:spacing w:val="-2"/>
              </w:rPr>
              <w:t>万元以下</w:t>
            </w:r>
          </w:p>
          <w:p w14:paraId="5CEA6C93">
            <w:pPr>
              <w:pStyle w:val="8"/>
              <w:spacing w:before="12" w:line="221" w:lineRule="auto"/>
              <w:ind w:left="125"/>
            </w:pPr>
            <w:r>
              <w:rPr>
                <w:spacing w:val="-10"/>
              </w:rPr>
              <w:t>的罚款。</w:t>
            </w:r>
          </w:p>
          <w:p w14:paraId="393B27CE">
            <w:pPr>
              <w:pStyle w:val="8"/>
              <w:spacing w:before="9" w:line="226" w:lineRule="auto"/>
              <w:ind w:left="110" w:right="104" w:firstLine="361"/>
              <w:jc w:val="both"/>
            </w:pPr>
            <w:r>
              <w:rPr>
                <w:spacing w:val="-2"/>
              </w:rPr>
              <w:t>有前款违法行为，导致发生一般生产安全事故的，暂停考核合格证书</w:t>
            </w:r>
            <w:r>
              <w:rPr>
                <w:spacing w:val="-33"/>
              </w:rPr>
              <w:t xml:space="preserve"> </w:t>
            </w:r>
            <w:r>
              <w:rPr>
                <w:spacing w:val="-2"/>
              </w:rPr>
              <w:t>6</w:t>
            </w:r>
            <w:r>
              <w:rPr>
                <w:spacing w:val="-38"/>
              </w:rPr>
              <w:t xml:space="preserve"> </w:t>
            </w:r>
            <w:r>
              <w:rPr>
                <w:spacing w:val="-2"/>
              </w:rPr>
              <w:t>个月至</w:t>
            </w:r>
            <w:r>
              <w:rPr>
                <w:spacing w:val="-24"/>
              </w:rPr>
              <w:t xml:space="preserve"> </w:t>
            </w:r>
            <w:r>
              <w:rPr>
                <w:spacing w:val="-2"/>
              </w:rPr>
              <w:t>12</w:t>
            </w:r>
            <w:r>
              <w:rPr>
                <w:spacing w:val="-39"/>
              </w:rPr>
              <w:t xml:space="preserve"> </w:t>
            </w:r>
            <w:r>
              <w:rPr>
                <w:spacing w:val="-2"/>
              </w:rPr>
              <w:t>个月，并处上一年年</w:t>
            </w:r>
            <w:r>
              <w:t xml:space="preserve"> </w:t>
            </w:r>
            <w:r>
              <w:rPr>
                <w:spacing w:val="-1"/>
              </w:rPr>
              <w:t>收入</w:t>
            </w:r>
            <w:r>
              <w:rPr>
                <w:spacing w:val="-35"/>
              </w:rPr>
              <w:t xml:space="preserve"> </w:t>
            </w:r>
            <w:r>
              <w:rPr>
                <w:spacing w:val="-1"/>
              </w:rPr>
              <w:t>20%以上</w:t>
            </w:r>
            <w:r>
              <w:rPr>
                <w:spacing w:val="-34"/>
              </w:rPr>
              <w:t xml:space="preserve"> </w:t>
            </w:r>
            <w:r>
              <w:rPr>
                <w:spacing w:val="-1"/>
              </w:rPr>
              <w:t>30%以下的罚款；导致发生较大及以上生产安全事故的，吊</w:t>
            </w:r>
            <w:r>
              <w:rPr>
                <w:spacing w:val="-2"/>
              </w:rPr>
              <w:t>销考核合格证书，并处上一年年收</w:t>
            </w:r>
            <w:r>
              <w:t xml:space="preserve"> </w:t>
            </w:r>
            <w:r>
              <w:rPr>
                <w:spacing w:val="-2"/>
              </w:rPr>
              <w:t>入</w:t>
            </w:r>
            <w:r>
              <w:rPr>
                <w:spacing w:val="-18"/>
              </w:rPr>
              <w:t xml:space="preserve"> </w:t>
            </w:r>
            <w:r>
              <w:rPr>
                <w:spacing w:val="-2"/>
              </w:rPr>
              <w:t>30%以上</w:t>
            </w:r>
            <w:r>
              <w:rPr>
                <w:spacing w:val="-34"/>
              </w:rPr>
              <w:t xml:space="preserve"> </w:t>
            </w:r>
            <w:r>
              <w:rPr>
                <w:spacing w:val="-2"/>
              </w:rPr>
              <w:t>50%以下的罚款。构成犯罪的，依照刑法有关规定追究刑事责任。</w:t>
            </w:r>
          </w:p>
          <w:p w14:paraId="78CE2AA9">
            <w:pPr>
              <w:pStyle w:val="8"/>
              <w:spacing w:before="11" w:line="224" w:lineRule="auto"/>
              <w:ind w:left="115" w:right="103" w:firstLine="355"/>
            </w:pPr>
            <w:r>
              <w:rPr>
                <w:spacing w:val="-3"/>
              </w:rPr>
              <w:t>第二十四条  专职安全生产管理人员未依法履行安全生产管理职责的，责令限期改正，处</w:t>
            </w:r>
            <w:r>
              <w:rPr>
                <w:spacing w:val="-16"/>
              </w:rPr>
              <w:t xml:space="preserve"> </w:t>
            </w:r>
            <w:r>
              <w:rPr>
                <w:spacing w:val="-3"/>
              </w:rPr>
              <w:t>1</w:t>
            </w:r>
            <w:r>
              <w:rPr>
                <w:spacing w:val="-34"/>
              </w:rPr>
              <w:t xml:space="preserve"> </w:t>
            </w:r>
            <w:r>
              <w:rPr>
                <w:spacing w:val="-3"/>
              </w:rPr>
              <w:t>万元以上</w:t>
            </w:r>
            <w:r>
              <w:rPr>
                <w:spacing w:val="-34"/>
              </w:rPr>
              <w:t xml:space="preserve"> </w:t>
            </w:r>
            <w:r>
              <w:rPr>
                <w:spacing w:val="-3"/>
              </w:rPr>
              <w:t>3</w:t>
            </w:r>
            <w:r>
              <w:t xml:space="preserve"> </w:t>
            </w:r>
            <w:r>
              <w:rPr>
                <w:spacing w:val="-5"/>
              </w:rPr>
              <w:t>万元以下的罚款。</w:t>
            </w:r>
          </w:p>
          <w:p w14:paraId="78650187">
            <w:pPr>
              <w:pStyle w:val="8"/>
              <w:spacing w:before="11" w:line="221" w:lineRule="auto"/>
              <w:ind w:left="112" w:right="104" w:firstLine="359"/>
              <w:jc w:val="both"/>
            </w:pPr>
            <w:r>
              <w:rPr>
                <w:spacing w:val="-1"/>
              </w:rPr>
              <w:t>有前款违法行为，导致发生一般生产安全事故的，暂停考核合格证书</w:t>
            </w:r>
            <w:r>
              <w:rPr>
                <w:spacing w:val="-32"/>
              </w:rPr>
              <w:t xml:space="preserve"> </w:t>
            </w:r>
            <w:r>
              <w:rPr>
                <w:spacing w:val="-1"/>
              </w:rPr>
              <w:t>3</w:t>
            </w:r>
            <w:r>
              <w:rPr>
                <w:spacing w:val="-39"/>
              </w:rPr>
              <w:t xml:space="preserve"> </w:t>
            </w:r>
            <w:r>
              <w:rPr>
                <w:spacing w:val="-1"/>
              </w:rPr>
              <w:t>个月至</w:t>
            </w:r>
            <w:r>
              <w:rPr>
                <w:spacing w:val="-36"/>
              </w:rPr>
              <w:t xml:space="preserve"> </w:t>
            </w:r>
            <w:r>
              <w:rPr>
                <w:spacing w:val="-1"/>
              </w:rPr>
              <w:t>6</w:t>
            </w:r>
            <w:r>
              <w:rPr>
                <w:spacing w:val="-38"/>
              </w:rPr>
              <w:t xml:space="preserve"> </w:t>
            </w:r>
            <w:r>
              <w:rPr>
                <w:spacing w:val="-1"/>
              </w:rPr>
              <w:t>个月，并处上一年年</w:t>
            </w:r>
            <w:r>
              <w:t xml:space="preserve"> </w:t>
            </w:r>
            <w:r>
              <w:rPr>
                <w:spacing w:val="-1"/>
              </w:rPr>
              <w:t>收入</w:t>
            </w:r>
            <w:r>
              <w:rPr>
                <w:spacing w:val="-35"/>
              </w:rPr>
              <w:t xml:space="preserve"> </w:t>
            </w:r>
            <w:r>
              <w:rPr>
                <w:spacing w:val="-1"/>
              </w:rPr>
              <w:t>20%以上</w:t>
            </w:r>
            <w:r>
              <w:rPr>
                <w:spacing w:val="-34"/>
              </w:rPr>
              <w:t xml:space="preserve"> </w:t>
            </w:r>
            <w:r>
              <w:rPr>
                <w:spacing w:val="-1"/>
              </w:rPr>
              <w:t>30%以下的罚款；导致发生较大生产</w:t>
            </w:r>
            <w:r>
              <w:rPr>
                <w:spacing w:val="-2"/>
              </w:rPr>
              <w:t>安全事故的，暂停考核合格证书</w:t>
            </w:r>
            <w:r>
              <w:rPr>
                <w:spacing w:val="-36"/>
              </w:rPr>
              <w:t xml:space="preserve"> </w:t>
            </w:r>
            <w:r>
              <w:rPr>
                <w:spacing w:val="-2"/>
              </w:rPr>
              <w:t>6</w:t>
            </w:r>
            <w:r>
              <w:rPr>
                <w:spacing w:val="-38"/>
              </w:rPr>
              <w:t xml:space="preserve"> </w:t>
            </w:r>
            <w:r>
              <w:rPr>
                <w:spacing w:val="-2"/>
              </w:rPr>
              <w:t>个月至</w:t>
            </w:r>
            <w:r>
              <w:rPr>
                <w:spacing w:val="-24"/>
              </w:rPr>
              <w:t xml:space="preserve"> </w:t>
            </w:r>
            <w:r>
              <w:rPr>
                <w:spacing w:val="-2"/>
              </w:rPr>
              <w:t>12</w:t>
            </w:r>
            <w:r>
              <w:rPr>
                <w:spacing w:val="-39"/>
              </w:rPr>
              <w:t xml:space="preserve"> </w:t>
            </w:r>
            <w:r>
              <w:rPr>
                <w:spacing w:val="-2"/>
              </w:rPr>
              <w:t>个月，并处</w:t>
            </w:r>
            <w:r>
              <w:t xml:space="preserve"> </w:t>
            </w:r>
            <w:r>
              <w:rPr>
                <w:spacing w:val="-1"/>
              </w:rPr>
              <w:t>上一年年收入</w:t>
            </w:r>
            <w:r>
              <w:rPr>
                <w:spacing w:val="-34"/>
              </w:rPr>
              <w:t xml:space="preserve"> </w:t>
            </w:r>
            <w:r>
              <w:rPr>
                <w:spacing w:val="-1"/>
              </w:rPr>
              <w:t>30%以上</w:t>
            </w:r>
            <w:r>
              <w:rPr>
                <w:spacing w:val="-38"/>
              </w:rPr>
              <w:t xml:space="preserve"> </w:t>
            </w:r>
            <w:r>
              <w:rPr>
                <w:spacing w:val="-1"/>
              </w:rPr>
              <w:t>40%以下的罚款；导致发生重大、特别重大生产安全</w:t>
            </w:r>
            <w:r>
              <w:rPr>
                <w:spacing w:val="-2"/>
              </w:rPr>
              <w:t>事故的，吊销考核合格证书，并</w:t>
            </w:r>
            <w:r>
              <w:t xml:space="preserve"> </w:t>
            </w:r>
            <w:r>
              <w:rPr>
                <w:spacing w:val="-1"/>
              </w:rPr>
              <w:t>处上一年年收入</w:t>
            </w:r>
            <w:r>
              <w:rPr>
                <w:spacing w:val="-38"/>
              </w:rPr>
              <w:t xml:space="preserve"> </w:t>
            </w:r>
            <w:r>
              <w:rPr>
                <w:spacing w:val="-1"/>
              </w:rPr>
              <w:t>40%以上</w:t>
            </w:r>
            <w:r>
              <w:rPr>
                <w:spacing w:val="-34"/>
              </w:rPr>
              <w:t xml:space="preserve"> </w:t>
            </w:r>
            <w:r>
              <w:rPr>
                <w:spacing w:val="-1"/>
              </w:rPr>
              <w:t>50%以下的罚款。构成犯罪的，依照刑</w:t>
            </w:r>
            <w:r>
              <w:rPr>
                <w:spacing w:val="-2"/>
              </w:rPr>
              <w:t>法有关规定追究刑事责任。</w:t>
            </w:r>
          </w:p>
        </w:tc>
        <w:tc>
          <w:tcPr>
            <w:tcW w:w="1014" w:type="dxa"/>
            <w:vAlign w:val="top"/>
          </w:tcPr>
          <w:p w14:paraId="4DD556F2">
            <w:pPr>
              <w:rPr>
                <w:rFonts w:ascii="Arial"/>
                <w:sz w:val="21"/>
              </w:rPr>
            </w:pPr>
          </w:p>
        </w:tc>
        <w:tc>
          <w:tcPr>
            <w:tcW w:w="1407" w:type="dxa"/>
            <w:vAlign w:val="top"/>
          </w:tcPr>
          <w:p w14:paraId="2C76EACE">
            <w:pPr>
              <w:rPr>
                <w:rFonts w:ascii="Arial"/>
                <w:sz w:val="21"/>
              </w:rPr>
            </w:pPr>
          </w:p>
        </w:tc>
        <w:tc>
          <w:tcPr>
            <w:tcW w:w="1018" w:type="dxa"/>
            <w:vAlign w:val="top"/>
          </w:tcPr>
          <w:p w14:paraId="53C0F7C0">
            <w:pPr>
              <w:rPr>
                <w:rFonts w:ascii="Arial"/>
                <w:sz w:val="21"/>
              </w:rPr>
            </w:pPr>
          </w:p>
        </w:tc>
      </w:tr>
    </w:tbl>
    <w:p w14:paraId="1B50BF98">
      <w:pPr>
        <w:pStyle w:val="2"/>
      </w:pPr>
    </w:p>
    <w:p w14:paraId="45936FF9">
      <w:pPr>
        <w:sectPr>
          <w:footerReference r:id="rId113" w:type="default"/>
          <w:pgSz w:w="16839" w:h="11906"/>
          <w:pgMar w:top="1012" w:right="991" w:bottom="967" w:left="1021" w:header="0" w:footer="768" w:gutter="0"/>
          <w:cols w:space="720" w:num="1"/>
        </w:sectPr>
      </w:pPr>
    </w:p>
    <w:p w14:paraId="12B53AE3">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67F65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3865E6B1">
            <w:pPr>
              <w:pStyle w:val="8"/>
              <w:spacing w:before="267" w:line="221" w:lineRule="auto"/>
              <w:ind w:left="134"/>
            </w:pPr>
            <w:r>
              <w:rPr>
                <w:b/>
                <w:bCs/>
                <w:spacing w:val="-4"/>
              </w:rPr>
              <w:t>序号</w:t>
            </w:r>
          </w:p>
        </w:tc>
        <w:tc>
          <w:tcPr>
            <w:tcW w:w="1104" w:type="dxa"/>
            <w:vMerge w:val="restart"/>
            <w:tcBorders>
              <w:bottom w:val="nil"/>
            </w:tcBorders>
            <w:vAlign w:val="top"/>
          </w:tcPr>
          <w:p w14:paraId="2AE5C4F9">
            <w:pPr>
              <w:pStyle w:val="8"/>
              <w:spacing w:before="260" w:line="220" w:lineRule="auto"/>
              <w:ind w:left="192"/>
            </w:pPr>
            <w:r>
              <w:rPr>
                <w:b/>
                <w:bCs/>
                <w:spacing w:val="-4"/>
              </w:rPr>
              <w:t>事项名称</w:t>
            </w:r>
          </w:p>
        </w:tc>
        <w:tc>
          <w:tcPr>
            <w:tcW w:w="1104" w:type="dxa"/>
            <w:vMerge w:val="restart"/>
            <w:tcBorders>
              <w:bottom w:val="nil"/>
            </w:tcBorders>
            <w:vAlign w:val="top"/>
          </w:tcPr>
          <w:p w14:paraId="239CF5AE">
            <w:pPr>
              <w:pStyle w:val="8"/>
              <w:spacing w:before="260" w:line="219" w:lineRule="auto"/>
              <w:ind w:left="193"/>
            </w:pPr>
            <w:r>
              <w:rPr>
                <w:b/>
                <w:bCs/>
                <w:spacing w:val="-4"/>
              </w:rPr>
              <w:t>职权类型</w:t>
            </w:r>
          </w:p>
        </w:tc>
        <w:tc>
          <w:tcPr>
            <w:tcW w:w="8549" w:type="dxa"/>
            <w:vMerge w:val="restart"/>
            <w:tcBorders>
              <w:bottom w:val="nil"/>
            </w:tcBorders>
            <w:vAlign w:val="top"/>
          </w:tcPr>
          <w:p w14:paraId="55696885">
            <w:pPr>
              <w:pStyle w:val="8"/>
              <w:spacing w:before="259" w:line="219" w:lineRule="auto"/>
              <w:ind w:left="3921"/>
            </w:pPr>
            <w:r>
              <w:rPr>
                <w:b/>
                <w:bCs/>
                <w:spacing w:val="-5"/>
              </w:rPr>
              <w:t>实施依据</w:t>
            </w:r>
          </w:p>
        </w:tc>
        <w:tc>
          <w:tcPr>
            <w:tcW w:w="3439" w:type="dxa"/>
            <w:gridSpan w:val="3"/>
            <w:vAlign w:val="top"/>
          </w:tcPr>
          <w:p w14:paraId="253B5521">
            <w:pPr>
              <w:pStyle w:val="8"/>
              <w:spacing w:before="85" w:line="220" w:lineRule="auto"/>
              <w:ind w:left="1365"/>
            </w:pPr>
            <w:r>
              <w:rPr>
                <w:b/>
                <w:bCs/>
                <w:spacing w:val="-5"/>
              </w:rPr>
              <w:t>实施主体</w:t>
            </w:r>
          </w:p>
        </w:tc>
      </w:tr>
      <w:tr w14:paraId="13B91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5B4312F6">
            <w:pPr>
              <w:rPr>
                <w:rFonts w:ascii="Arial"/>
                <w:sz w:val="21"/>
              </w:rPr>
            </w:pPr>
          </w:p>
        </w:tc>
        <w:tc>
          <w:tcPr>
            <w:tcW w:w="1104" w:type="dxa"/>
            <w:vMerge w:val="continue"/>
            <w:tcBorders>
              <w:top w:val="nil"/>
            </w:tcBorders>
            <w:vAlign w:val="top"/>
          </w:tcPr>
          <w:p w14:paraId="22DCE987">
            <w:pPr>
              <w:rPr>
                <w:rFonts w:ascii="Arial"/>
                <w:sz w:val="21"/>
              </w:rPr>
            </w:pPr>
          </w:p>
        </w:tc>
        <w:tc>
          <w:tcPr>
            <w:tcW w:w="1104" w:type="dxa"/>
            <w:vMerge w:val="continue"/>
            <w:tcBorders>
              <w:top w:val="nil"/>
            </w:tcBorders>
            <w:vAlign w:val="top"/>
          </w:tcPr>
          <w:p w14:paraId="5F9CA3EE">
            <w:pPr>
              <w:rPr>
                <w:rFonts w:ascii="Arial"/>
                <w:sz w:val="21"/>
              </w:rPr>
            </w:pPr>
          </w:p>
        </w:tc>
        <w:tc>
          <w:tcPr>
            <w:tcW w:w="8549" w:type="dxa"/>
            <w:vMerge w:val="continue"/>
            <w:tcBorders>
              <w:top w:val="nil"/>
            </w:tcBorders>
            <w:vAlign w:val="top"/>
          </w:tcPr>
          <w:p w14:paraId="1DC4344E">
            <w:pPr>
              <w:rPr>
                <w:rFonts w:ascii="Arial"/>
                <w:sz w:val="21"/>
              </w:rPr>
            </w:pPr>
          </w:p>
        </w:tc>
        <w:tc>
          <w:tcPr>
            <w:tcW w:w="1014" w:type="dxa"/>
            <w:vAlign w:val="top"/>
          </w:tcPr>
          <w:p w14:paraId="0B84292F">
            <w:pPr>
              <w:pStyle w:val="8"/>
              <w:spacing w:before="81" w:line="219" w:lineRule="auto"/>
              <w:ind w:left="158"/>
            </w:pPr>
            <w:r>
              <w:rPr>
                <w:b/>
                <w:bCs/>
                <w:spacing w:val="-5"/>
              </w:rPr>
              <w:t>责任部门</w:t>
            </w:r>
          </w:p>
        </w:tc>
        <w:tc>
          <w:tcPr>
            <w:tcW w:w="1407" w:type="dxa"/>
            <w:vAlign w:val="top"/>
          </w:tcPr>
          <w:p w14:paraId="6C70D589">
            <w:pPr>
              <w:pStyle w:val="8"/>
              <w:spacing w:before="81" w:line="219" w:lineRule="auto"/>
              <w:ind w:left="167"/>
            </w:pPr>
            <w:r>
              <w:rPr>
                <w:b/>
                <w:bCs/>
                <w:spacing w:val="-3"/>
              </w:rPr>
              <w:t>第一责任层级</w:t>
            </w:r>
          </w:p>
        </w:tc>
        <w:tc>
          <w:tcPr>
            <w:tcW w:w="1018" w:type="dxa"/>
            <w:vAlign w:val="top"/>
          </w:tcPr>
          <w:p w14:paraId="19F5E5BF">
            <w:pPr>
              <w:pStyle w:val="8"/>
              <w:spacing w:before="81" w:line="219" w:lineRule="auto"/>
              <w:ind w:left="152"/>
            </w:pPr>
            <w:r>
              <w:rPr>
                <w:b/>
                <w:bCs/>
                <w:spacing w:val="-4"/>
              </w:rPr>
              <w:t>承办机构</w:t>
            </w:r>
          </w:p>
        </w:tc>
      </w:tr>
      <w:tr w14:paraId="5969D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9" w:hRule="atLeast"/>
        </w:trPr>
        <w:tc>
          <w:tcPr>
            <w:tcW w:w="624" w:type="dxa"/>
            <w:vAlign w:val="top"/>
          </w:tcPr>
          <w:p w14:paraId="2015FC30">
            <w:pPr>
              <w:spacing w:line="251" w:lineRule="auto"/>
              <w:rPr>
                <w:rFonts w:ascii="Arial"/>
                <w:sz w:val="21"/>
              </w:rPr>
            </w:pPr>
          </w:p>
          <w:p w14:paraId="1A06E8D8">
            <w:pPr>
              <w:spacing w:line="251" w:lineRule="auto"/>
              <w:rPr>
                <w:rFonts w:ascii="Arial"/>
                <w:sz w:val="21"/>
              </w:rPr>
            </w:pPr>
          </w:p>
          <w:p w14:paraId="7E4D7D73">
            <w:pPr>
              <w:spacing w:line="251" w:lineRule="auto"/>
              <w:rPr>
                <w:rFonts w:ascii="Arial"/>
                <w:sz w:val="21"/>
              </w:rPr>
            </w:pPr>
          </w:p>
          <w:p w14:paraId="3FF31F1F">
            <w:pPr>
              <w:spacing w:line="251" w:lineRule="auto"/>
              <w:rPr>
                <w:rFonts w:ascii="Arial"/>
                <w:sz w:val="21"/>
              </w:rPr>
            </w:pPr>
          </w:p>
          <w:p w14:paraId="5E6E0F6D">
            <w:pPr>
              <w:spacing w:line="251" w:lineRule="auto"/>
              <w:rPr>
                <w:rFonts w:ascii="Arial"/>
                <w:sz w:val="21"/>
              </w:rPr>
            </w:pPr>
          </w:p>
          <w:p w14:paraId="2C6B0A81">
            <w:pPr>
              <w:spacing w:line="251" w:lineRule="auto"/>
              <w:rPr>
                <w:rFonts w:ascii="Arial"/>
                <w:sz w:val="21"/>
              </w:rPr>
            </w:pPr>
          </w:p>
          <w:p w14:paraId="035F222C">
            <w:pPr>
              <w:spacing w:line="251" w:lineRule="auto"/>
              <w:rPr>
                <w:rFonts w:ascii="Arial"/>
                <w:sz w:val="21"/>
              </w:rPr>
            </w:pPr>
          </w:p>
          <w:p w14:paraId="1FC52FD9">
            <w:pPr>
              <w:spacing w:line="251" w:lineRule="auto"/>
              <w:rPr>
                <w:rFonts w:ascii="Arial"/>
                <w:sz w:val="21"/>
              </w:rPr>
            </w:pPr>
          </w:p>
          <w:p w14:paraId="5DD9D3D6">
            <w:pPr>
              <w:spacing w:line="251" w:lineRule="auto"/>
              <w:rPr>
                <w:rFonts w:ascii="Arial"/>
                <w:sz w:val="21"/>
              </w:rPr>
            </w:pPr>
          </w:p>
          <w:p w14:paraId="0B381EB6">
            <w:pPr>
              <w:spacing w:line="251" w:lineRule="auto"/>
              <w:rPr>
                <w:rFonts w:ascii="Arial"/>
                <w:sz w:val="21"/>
              </w:rPr>
            </w:pPr>
          </w:p>
          <w:p w14:paraId="694CA2C6">
            <w:pPr>
              <w:spacing w:line="251" w:lineRule="auto"/>
              <w:rPr>
                <w:rFonts w:ascii="Arial"/>
                <w:sz w:val="21"/>
              </w:rPr>
            </w:pPr>
          </w:p>
          <w:p w14:paraId="21D94935">
            <w:pPr>
              <w:spacing w:line="251" w:lineRule="auto"/>
              <w:rPr>
                <w:rFonts w:ascii="Arial"/>
                <w:sz w:val="21"/>
              </w:rPr>
            </w:pPr>
          </w:p>
          <w:p w14:paraId="3D9629ED">
            <w:pPr>
              <w:spacing w:line="251" w:lineRule="auto"/>
              <w:rPr>
                <w:rFonts w:ascii="Arial"/>
                <w:sz w:val="21"/>
              </w:rPr>
            </w:pPr>
          </w:p>
          <w:p w14:paraId="61FF6E52">
            <w:pPr>
              <w:spacing w:line="252" w:lineRule="auto"/>
              <w:rPr>
                <w:rFonts w:ascii="Arial"/>
                <w:sz w:val="21"/>
              </w:rPr>
            </w:pPr>
          </w:p>
          <w:p w14:paraId="126F8A6A">
            <w:pPr>
              <w:spacing w:line="252" w:lineRule="auto"/>
              <w:rPr>
                <w:rFonts w:ascii="Arial"/>
                <w:sz w:val="21"/>
              </w:rPr>
            </w:pPr>
          </w:p>
          <w:p w14:paraId="39C24C35">
            <w:pPr>
              <w:spacing w:line="252" w:lineRule="auto"/>
              <w:rPr>
                <w:rFonts w:ascii="Arial"/>
                <w:sz w:val="21"/>
              </w:rPr>
            </w:pPr>
          </w:p>
          <w:p w14:paraId="77A02396">
            <w:pPr>
              <w:spacing w:line="252" w:lineRule="auto"/>
              <w:rPr>
                <w:rFonts w:ascii="Arial"/>
                <w:sz w:val="21"/>
              </w:rPr>
            </w:pPr>
          </w:p>
          <w:p w14:paraId="369867CD">
            <w:pPr>
              <w:pStyle w:val="8"/>
              <w:spacing w:before="58" w:line="183" w:lineRule="auto"/>
              <w:ind w:left="235"/>
            </w:pPr>
            <w:r>
              <w:rPr>
                <w:spacing w:val="-6"/>
              </w:rPr>
              <w:t>74</w:t>
            </w:r>
          </w:p>
        </w:tc>
        <w:tc>
          <w:tcPr>
            <w:tcW w:w="1104" w:type="dxa"/>
            <w:vAlign w:val="top"/>
          </w:tcPr>
          <w:p w14:paraId="34040048">
            <w:pPr>
              <w:spacing w:line="243" w:lineRule="auto"/>
              <w:rPr>
                <w:rFonts w:ascii="Arial"/>
                <w:sz w:val="21"/>
              </w:rPr>
            </w:pPr>
          </w:p>
          <w:p w14:paraId="3C8D9D48">
            <w:pPr>
              <w:spacing w:line="243" w:lineRule="auto"/>
              <w:rPr>
                <w:rFonts w:ascii="Arial"/>
                <w:sz w:val="21"/>
              </w:rPr>
            </w:pPr>
          </w:p>
          <w:p w14:paraId="5E5310E8">
            <w:pPr>
              <w:spacing w:line="243" w:lineRule="auto"/>
              <w:rPr>
                <w:rFonts w:ascii="Arial"/>
                <w:sz w:val="21"/>
              </w:rPr>
            </w:pPr>
          </w:p>
          <w:p w14:paraId="3B32CAB8">
            <w:pPr>
              <w:spacing w:line="243" w:lineRule="auto"/>
              <w:rPr>
                <w:rFonts w:ascii="Arial"/>
                <w:sz w:val="21"/>
              </w:rPr>
            </w:pPr>
          </w:p>
          <w:p w14:paraId="114DE586">
            <w:pPr>
              <w:spacing w:line="243" w:lineRule="auto"/>
              <w:rPr>
                <w:rFonts w:ascii="Arial"/>
                <w:sz w:val="21"/>
              </w:rPr>
            </w:pPr>
          </w:p>
          <w:p w14:paraId="3ADAF48A">
            <w:pPr>
              <w:spacing w:line="243" w:lineRule="auto"/>
              <w:rPr>
                <w:rFonts w:ascii="Arial"/>
                <w:sz w:val="21"/>
              </w:rPr>
            </w:pPr>
          </w:p>
          <w:p w14:paraId="0BB39E62">
            <w:pPr>
              <w:spacing w:line="244" w:lineRule="auto"/>
              <w:rPr>
                <w:rFonts w:ascii="Arial"/>
                <w:sz w:val="21"/>
              </w:rPr>
            </w:pPr>
          </w:p>
          <w:p w14:paraId="635CC663">
            <w:pPr>
              <w:spacing w:line="244" w:lineRule="auto"/>
              <w:rPr>
                <w:rFonts w:ascii="Arial"/>
                <w:sz w:val="21"/>
              </w:rPr>
            </w:pPr>
          </w:p>
          <w:p w14:paraId="4322396A">
            <w:pPr>
              <w:spacing w:line="244" w:lineRule="auto"/>
              <w:rPr>
                <w:rFonts w:ascii="Arial"/>
                <w:sz w:val="21"/>
              </w:rPr>
            </w:pPr>
          </w:p>
          <w:p w14:paraId="76E2D64E">
            <w:pPr>
              <w:spacing w:line="244" w:lineRule="auto"/>
              <w:rPr>
                <w:rFonts w:ascii="Arial"/>
                <w:sz w:val="21"/>
              </w:rPr>
            </w:pPr>
          </w:p>
          <w:p w14:paraId="5C1A0AA3">
            <w:pPr>
              <w:spacing w:line="244" w:lineRule="auto"/>
              <w:rPr>
                <w:rFonts w:ascii="Arial"/>
                <w:sz w:val="21"/>
              </w:rPr>
            </w:pPr>
          </w:p>
          <w:p w14:paraId="3883D32B">
            <w:pPr>
              <w:spacing w:line="244" w:lineRule="auto"/>
              <w:rPr>
                <w:rFonts w:ascii="Arial"/>
                <w:sz w:val="21"/>
              </w:rPr>
            </w:pPr>
          </w:p>
          <w:p w14:paraId="7FDEAFDF">
            <w:pPr>
              <w:spacing w:line="244" w:lineRule="auto"/>
              <w:rPr>
                <w:rFonts w:ascii="Arial"/>
                <w:sz w:val="21"/>
              </w:rPr>
            </w:pPr>
          </w:p>
          <w:p w14:paraId="3613925D">
            <w:pPr>
              <w:pStyle w:val="8"/>
              <w:spacing w:before="59" w:line="244" w:lineRule="auto"/>
              <w:ind w:left="62" w:right="56" w:hanging="2"/>
              <w:jc w:val="both"/>
            </w:pPr>
            <w:r>
              <w:rPr>
                <w:spacing w:val="16"/>
              </w:rPr>
              <w:t>对生产经营</w:t>
            </w:r>
            <w:r>
              <w:rPr>
                <w:spacing w:val="1"/>
              </w:rPr>
              <w:t xml:space="preserve"> </w:t>
            </w:r>
            <w:r>
              <w:rPr>
                <w:spacing w:val="16"/>
              </w:rPr>
              <w:t>单位未按规</w:t>
            </w:r>
            <w:r>
              <w:t xml:space="preserve"> </w:t>
            </w:r>
            <w:r>
              <w:rPr>
                <w:spacing w:val="16"/>
              </w:rPr>
              <w:t>定设置安全</w:t>
            </w:r>
            <w:r>
              <w:t xml:space="preserve"> </w:t>
            </w:r>
            <w:r>
              <w:rPr>
                <w:spacing w:val="16"/>
              </w:rPr>
              <w:t>生产管理机</w:t>
            </w:r>
            <w:r>
              <w:t xml:space="preserve"> </w:t>
            </w:r>
            <w:r>
              <w:rPr>
                <w:spacing w:val="16"/>
              </w:rPr>
              <w:t>构或者配备</w:t>
            </w:r>
            <w:r>
              <w:t xml:space="preserve"> </w:t>
            </w:r>
            <w:r>
              <w:rPr>
                <w:spacing w:val="16"/>
              </w:rPr>
              <w:t>安全生产管</w:t>
            </w:r>
            <w:r>
              <w:t xml:space="preserve"> </w:t>
            </w:r>
            <w:r>
              <w:rPr>
                <w:spacing w:val="8"/>
              </w:rPr>
              <w:t>理人</w:t>
            </w:r>
            <w:r>
              <w:rPr>
                <w:spacing w:val="-51"/>
              </w:rPr>
              <w:t xml:space="preserve"> </w:t>
            </w:r>
            <w:r>
              <w:rPr>
                <w:spacing w:val="8"/>
              </w:rPr>
              <w:t>员等行</w:t>
            </w:r>
            <w:r>
              <w:t xml:space="preserve"> </w:t>
            </w:r>
            <w:r>
              <w:rPr>
                <w:spacing w:val="16"/>
              </w:rPr>
              <w:t>为的行政处</w:t>
            </w:r>
            <w:r>
              <w:t xml:space="preserve"> 罚</w:t>
            </w:r>
          </w:p>
        </w:tc>
        <w:tc>
          <w:tcPr>
            <w:tcW w:w="1104" w:type="dxa"/>
            <w:vAlign w:val="top"/>
          </w:tcPr>
          <w:p w14:paraId="6F17EDE6">
            <w:pPr>
              <w:spacing w:line="249" w:lineRule="auto"/>
              <w:rPr>
                <w:rFonts w:ascii="Arial"/>
                <w:sz w:val="21"/>
              </w:rPr>
            </w:pPr>
          </w:p>
          <w:p w14:paraId="6598FC31">
            <w:pPr>
              <w:spacing w:line="249" w:lineRule="auto"/>
              <w:rPr>
                <w:rFonts w:ascii="Arial"/>
                <w:sz w:val="21"/>
              </w:rPr>
            </w:pPr>
          </w:p>
          <w:p w14:paraId="0AC42E94">
            <w:pPr>
              <w:spacing w:line="249" w:lineRule="auto"/>
              <w:rPr>
                <w:rFonts w:ascii="Arial"/>
                <w:sz w:val="21"/>
              </w:rPr>
            </w:pPr>
          </w:p>
          <w:p w14:paraId="2680B228">
            <w:pPr>
              <w:spacing w:line="249" w:lineRule="auto"/>
              <w:rPr>
                <w:rFonts w:ascii="Arial"/>
                <w:sz w:val="21"/>
              </w:rPr>
            </w:pPr>
          </w:p>
          <w:p w14:paraId="26CB4FFC">
            <w:pPr>
              <w:spacing w:line="249" w:lineRule="auto"/>
              <w:rPr>
                <w:rFonts w:ascii="Arial"/>
                <w:sz w:val="21"/>
              </w:rPr>
            </w:pPr>
          </w:p>
          <w:p w14:paraId="1EFBA976">
            <w:pPr>
              <w:spacing w:line="249" w:lineRule="auto"/>
              <w:rPr>
                <w:rFonts w:ascii="Arial"/>
                <w:sz w:val="21"/>
              </w:rPr>
            </w:pPr>
          </w:p>
          <w:p w14:paraId="25BFB8B1">
            <w:pPr>
              <w:spacing w:line="249" w:lineRule="auto"/>
              <w:rPr>
                <w:rFonts w:ascii="Arial"/>
                <w:sz w:val="21"/>
              </w:rPr>
            </w:pPr>
          </w:p>
          <w:p w14:paraId="54149F3B">
            <w:pPr>
              <w:spacing w:line="249" w:lineRule="auto"/>
              <w:rPr>
                <w:rFonts w:ascii="Arial"/>
                <w:sz w:val="21"/>
              </w:rPr>
            </w:pPr>
          </w:p>
          <w:p w14:paraId="40095FAA">
            <w:pPr>
              <w:spacing w:line="250" w:lineRule="auto"/>
              <w:rPr>
                <w:rFonts w:ascii="Arial"/>
                <w:sz w:val="21"/>
              </w:rPr>
            </w:pPr>
          </w:p>
          <w:p w14:paraId="6DF4BFFE">
            <w:pPr>
              <w:spacing w:line="250" w:lineRule="auto"/>
              <w:rPr>
                <w:rFonts w:ascii="Arial"/>
                <w:sz w:val="21"/>
              </w:rPr>
            </w:pPr>
          </w:p>
          <w:p w14:paraId="6FDB20E0">
            <w:pPr>
              <w:spacing w:line="250" w:lineRule="auto"/>
              <w:rPr>
                <w:rFonts w:ascii="Arial"/>
                <w:sz w:val="21"/>
              </w:rPr>
            </w:pPr>
          </w:p>
          <w:p w14:paraId="24FA8ACE">
            <w:pPr>
              <w:spacing w:line="250" w:lineRule="auto"/>
              <w:rPr>
                <w:rFonts w:ascii="Arial"/>
                <w:sz w:val="21"/>
              </w:rPr>
            </w:pPr>
          </w:p>
          <w:p w14:paraId="33E12500">
            <w:pPr>
              <w:spacing w:line="250" w:lineRule="auto"/>
              <w:rPr>
                <w:rFonts w:ascii="Arial"/>
                <w:sz w:val="21"/>
              </w:rPr>
            </w:pPr>
          </w:p>
          <w:p w14:paraId="2448CA3A">
            <w:pPr>
              <w:spacing w:line="250" w:lineRule="auto"/>
              <w:rPr>
                <w:rFonts w:ascii="Arial"/>
                <w:sz w:val="21"/>
              </w:rPr>
            </w:pPr>
          </w:p>
          <w:p w14:paraId="136FB3B9">
            <w:pPr>
              <w:spacing w:line="250" w:lineRule="auto"/>
              <w:rPr>
                <w:rFonts w:ascii="Arial"/>
                <w:sz w:val="21"/>
              </w:rPr>
            </w:pPr>
          </w:p>
          <w:p w14:paraId="7C90AB81">
            <w:pPr>
              <w:spacing w:line="250" w:lineRule="auto"/>
              <w:rPr>
                <w:rFonts w:ascii="Arial"/>
                <w:sz w:val="21"/>
              </w:rPr>
            </w:pPr>
          </w:p>
          <w:p w14:paraId="2431D13B">
            <w:pPr>
              <w:spacing w:line="250" w:lineRule="auto"/>
              <w:rPr>
                <w:rFonts w:ascii="Arial"/>
                <w:sz w:val="21"/>
              </w:rPr>
            </w:pPr>
          </w:p>
          <w:p w14:paraId="3A2B7A69">
            <w:pPr>
              <w:pStyle w:val="8"/>
              <w:spacing w:before="59" w:line="220" w:lineRule="auto"/>
              <w:ind w:left="10"/>
            </w:pPr>
            <w:r>
              <w:rPr>
                <w:spacing w:val="-2"/>
              </w:rPr>
              <w:t>行政处罚</w:t>
            </w:r>
          </w:p>
        </w:tc>
        <w:tc>
          <w:tcPr>
            <w:tcW w:w="8549" w:type="dxa"/>
            <w:vAlign w:val="top"/>
          </w:tcPr>
          <w:p w14:paraId="0CC78CF2">
            <w:pPr>
              <w:pStyle w:val="8"/>
              <w:spacing w:before="31" w:line="219" w:lineRule="auto"/>
              <w:ind w:left="484"/>
            </w:pPr>
            <w:r>
              <w:rPr>
                <w:b/>
                <w:bCs/>
                <w:spacing w:val="-4"/>
              </w:rPr>
              <w:t>1.《中华人民共和国安全生产法》</w:t>
            </w:r>
          </w:p>
          <w:p w14:paraId="1C5625D5">
            <w:pPr>
              <w:pStyle w:val="8"/>
              <w:spacing w:before="18" w:line="229" w:lineRule="auto"/>
              <w:ind w:left="122" w:right="159" w:firstLine="348"/>
            </w:pPr>
            <w:r>
              <w:t>第二十四条  矿山、金属冶炼、建筑施工、运输单位和危险物品的生产、经营、</w:t>
            </w:r>
            <w:r>
              <w:rPr>
                <w:spacing w:val="-1"/>
              </w:rPr>
              <w:t>储存、装卸单位，应</w:t>
            </w:r>
            <w:r>
              <w:t xml:space="preserve"> </w:t>
            </w:r>
            <w:r>
              <w:rPr>
                <w:spacing w:val="-2"/>
              </w:rPr>
              <w:t>当设置安全生产管理机构或者配备专职安全生产管理人员。</w:t>
            </w:r>
          </w:p>
          <w:p w14:paraId="753F8344">
            <w:pPr>
              <w:pStyle w:val="8"/>
              <w:spacing w:before="17" w:line="229" w:lineRule="auto"/>
              <w:ind w:left="111" w:right="159" w:firstLine="362"/>
            </w:pPr>
            <w:r>
              <w:t>前款规定以外的其他生产经营单位，从业人员超过一百人的，应当设置安全</w:t>
            </w:r>
            <w:r>
              <w:rPr>
                <w:spacing w:val="-1"/>
              </w:rPr>
              <w:t>生产管理机构或者配备专</w:t>
            </w:r>
            <w:r>
              <w:t xml:space="preserve"> </w:t>
            </w:r>
            <w:r>
              <w:rPr>
                <w:spacing w:val="-1"/>
              </w:rPr>
              <w:t>职安全生产管理人员；从业人员在一百人以下的，应当配备专职或者兼职的安全生产管理人员。</w:t>
            </w:r>
          </w:p>
          <w:p w14:paraId="0520D9A8">
            <w:pPr>
              <w:pStyle w:val="8"/>
              <w:spacing w:before="17" w:line="236" w:lineRule="auto"/>
              <w:ind w:left="109" w:right="58" w:firstLine="361"/>
            </w:pPr>
            <w:r>
              <w:rPr>
                <w:spacing w:val="-2"/>
              </w:rPr>
              <w:t>第九十七条  生产经营单位有下列行为之一的，责令限期改正，处十万元以下的罚款；逾期未改正的，</w:t>
            </w:r>
            <w:r>
              <w:rPr>
                <w:spacing w:val="5"/>
              </w:rPr>
              <w:t xml:space="preserve"> </w:t>
            </w:r>
            <w:r>
              <w:t>责令停产停业整顿，并处十万元以上二十万元以下的罚款，对其直接负责的主管人员和其</w:t>
            </w:r>
            <w:r>
              <w:rPr>
                <w:spacing w:val="-1"/>
              </w:rPr>
              <w:t>他直接责任人员</w:t>
            </w:r>
            <w:r>
              <w:t xml:space="preserve">  </w:t>
            </w:r>
            <w:r>
              <w:rPr>
                <w:spacing w:val="-1"/>
              </w:rPr>
              <w:t>处二万元以上五万元以下的罚款</w:t>
            </w:r>
            <w:r>
              <w:rPr>
                <w:spacing w:val="5"/>
              </w:rPr>
              <w:t>：（</w:t>
            </w:r>
            <w:r>
              <w:rPr>
                <w:spacing w:val="-1"/>
              </w:rPr>
              <w:t>一）未按照规定设置安全生产管理机构或者配备安全生产管理人员、</w:t>
            </w:r>
            <w:r>
              <w:t xml:space="preserve">  注册安全工程师的；（二）危险物品的生产、经营、储存、装卸单位以及矿山、金属冶炼</w:t>
            </w:r>
            <w:r>
              <w:rPr>
                <w:spacing w:val="-1"/>
              </w:rPr>
              <w:t>、建筑施工、运</w:t>
            </w:r>
            <w:r>
              <w:t xml:space="preserve">  输单位的主要负责人和安全生产管理人员未按照规定经考核合格的；（三）未按照规定对</w:t>
            </w:r>
            <w:r>
              <w:rPr>
                <w:spacing w:val="-1"/>
              </w:rPr>
              <w:t>从业人员、被派</w:t>
            </w:r>
            <w:r>
              <w:t xml:space="preserve">  遣劳动者、实习学生进行安全生产教育和培训，或者未按照</w:t>
            </w:r>
            <w:r>
              <w:rPr>
                <w:spacing w:val="-1"/>
              </w:rPr>
              <w:t>规定如实告知有关的安全生产事项的；（四）</w:t>
            </w:r>
            <w:r>
              <w:t xml:space="preserve">  未如实记录安全生产教育和培训情况的；（五）未将事故隐患排查治理情况如实记录或者</w:t>
            </w:r>
            <w:r>
              <w:rPr>
                <w:spacing w:val="-1"/>
              </w:rPr>
              <w:t>未向从业人员通</w:t>
            </w:r>
            <w:r>
              <w:t xml:space="preserve">  报的；（六）未按照规定制定生产安全事故应急救援预案或者未定期组织演练的；（七）</w:t>
            </w:r>
            <w:r>
              <w:rPr>
                <w:spacing w:val="-1"/>
              </w:rPr>
              <w:t>特种作业人员未</w:t>
            </w:r>
            <w:r>
              <w:t xml:space="preserve">  </w:t>
            </w:r>
            <w:r>
              <w:rPr>
                <w:spacing w:val="-1"/>
              </w:rPr>
              <w:t>按照规定经专门的安全作业培训并取得相应资格，上岗</w:t>
            </w:r>
            <w:r>
              <w:rPr>
                <w:spacing w:val="-2"/>
              </w:rPr>
              <w:t>作业的。</w:t>
            </w:r>
          </w:p>
          <w:p w14:paraId="5073A931">
            <w:pPr>
              <w:pStyle w:val="8"/>
              <w:spacing w:before="19" w:line="219" w:lineRule="auto"/>
              <w:ind w:left="473"/>
            </w:pPr>
            <w:r>
              <w:rPr>
                <w:b/>
                <w:bCs/>
                <w:spacing w:val="-3"/>
              </w:rPr>
              <w:t>2.《建设工程安全生产管理条例》</w:t>
            </w:r>
          </w:p>
          <w:p w14:paraId="40A579B0">
            <w:pPr>
              <w:pStyle w:val="8"/>
              <w:spacing w:before="16" w:line="219" w:lineRule="auto"/>
              <w:ind w:left="471"/>
            </w:pPr>
            <w:r>
              <w:rPr>
                <w:spacing w:val="-1"/>
              </w:rPr>
              <w:t>第二十三条  施工单位应当设立安全生产管理机构，配备专职安全生产管理人员。</w:t>
            </w:r>
          </w:p>
          <w:p w14:paraId="578546C1">
            <w:pPr>
              <w:pStyle w:val="8"/>
              <w:spacing w:before="20" w:line="228" w:lineRule="auto"/>
              <w:ind w:left="112" w:right="159" w:firstLine="359"/>
            </w:pPr>
            <w:r>
              <w:t>专职安全生产管理人员负责对安全生产进行现场监督检查。发现安全事故隐患，</w:t>
            </w:r>
            <w:r>
              <w:rPr>
                <w:spacing w:val="-1"/>
              </w:rPr>
              <w:t>应当及时向项目负责</w:t>
            </w:r>
            <w:r>
              <w:t xml:space="preserve"> </w:t>
            </w:r>
            <w:r>
              <w:rPr>
                <w:spacing w:val="-1"/>
              </w:rPr>
              <w:t>人和安全生产管理机构报告；对违章指挥、违章操作的，应当立即</w:t>
            </w:r>
            <w:r>
              <w:rPr>
                <w:spacing w:val="-2"/>
              </w:rPr>
              <w:t>制止。</w:t>
            </w:r>
          </w:p>
          <w:p w14:paraId="068F408D">
            <w:pPr>
              <w:pStyle w:val="8"/>
              <w:spacing w:before="17" w:line="219" w:lineRule="auto"/>
              <w:ind w:left="471"/>
            </w:pPr>
            <w:r>
              <w:rPr>
                <w:spacing w:val="-1"/>
              </w:rPr>
              <w:t>专职安全生产管理人员的配备办法由国务院建设行政主管部门会同国务院其他有关部门制定。</w:t>
            </w:r>
          </w:p>
          <w:p w14:paraId="3A1E86FE">
            <w:pPr>
              <w:pStyle w:val="8"/>
              <w:spacing w:before="18" w:line="235" w:lineRule="auto"/>
              <w:ind w:left="112" w:right="104" w:firstLine="358"/>
            </w:pPr>
            <w:r>
              <w:t>第六十二条第（一</w:t>
            </w:r>
            <w:r>
              <w:rPr>
                <w:spacing w:val="-3"/>
              </w:rPr>
              <w:t>）（</w:t>
            </w:r>
            <w:r>
              <w:t>二）项  违反本条例的规定，施工单位有下列行为之一的，责令限期</w:t>
            </w:r>
            <w:r>
              <w:rPr>
                <w:spacing w:val="-1"/>
              </w:rPr>
              <w:t>改正；逾</w:t>
            </w:r>
            <w:r>
              <w:rPr>
                <w:spacing w:val="1"/>
              </w:rPr>
              <w:t xml:space="preserve"> </w:t>
            </w:r>
            <w:r>
              <w:t>期未改正的，责令停业整顿，依照《中华人民共和国安全生产法》的有关规定处以</w:t>
            </w:r>
            <w:r>
              <w:rPr>
                <w:spacing w:val="-1"/>
              </w:rPr>
              <w:t>罚款；造成重大安全事</w:t>
            </w:r>
            <w:r>
              <w:t xml:space="preserve"> </w:t>
            </w:r>
            <w:r>
              <w:rPr>
                <w:spacing w:val="-2"/>
              </w:rPr>
              <w:t>故，构成犯罪的，对直接责任人员，依照刑法有关规定追究刑事责任：</w:t>
            </w:r>
            <w:r>
              <w:rPr>
                <w:spacing w:val="49"/>
              </w:rPr>
              <w:t xml:space="preserve"> </w:t>
            </w:r>
            <w:r>
              <w:rPr>
                <w:spacing w:val="-2"/>
              </w:rPr>
              <w:t>(一)未设立安全生产管理机构、配</w:t>
            </w:r>
            <w:r>
              <w:t xml:space="preserve"> 备专职安全生产管理人员或者分部分项工程施工时无专职安全生产管理人员现</w:t>
            </w:r>
            <w:r>
              <w:rPr>
                <w:spacing w:val="-1"/>
              </w:rPr>
              <w:t>场监督的</w:t>
            </w:r>
            <w:r>
              <w:t>；（</w:t>
            </w:r>
            <w:r>
              <w:rPr>
                <w:spacing w:val="-1"/>
              </w:rPr>
              <w:t>二）施工单位</w:t>
            </w:r>
            <w:r>
              <w:t xml:space="preserve"> 的主要负责人、项目负责人、专职安全生产管理人员、作业人员或者特种作业人员</w:t>
            </w:r>
            <w:r>
              <w:rPr>
                <w:spacing w:val="-1"/>
              </w:rPr>
              <w:t>，未经安全教育培训或</w:t>
            </w:r>
            <w:r>
              <w:t xml:space="preserve"> </w:t>
            </w:r>
            <w:r>
              <w:rPr>
                <w:spacing w:val="-3"/>
              </w:rPr>
              <w:t>者经考核不合格即从事相关工作的。</w:t>
            </w:r>
          </w:p>
          <w:p w14:paraId="33BF1850">
            <w:pPr>
              <w:pStyle w:val="8"/>
              <w:spacing w:before="20" w:line="219" w:lineRule="auto"/>
              <w:ind w:left="474"/>
            </w:pPr>
            <w:r>
              <w:rPr>
                <w:b/>
                <w:bCs/>
                <w:spacing w:val="-3"/>
              </w:rPr>
              <w:t>3.《危险化学品安全管理条例》</w:t>
            </w:r>
          </w:p>
          <w:p w14:paraId="21031FF2">
            <w:pPr>
              <w:pStyle w:val="8"/>
              <w:spacing w:before="17" w:line="234" w:lineRule="auto"/>
              <w:ind w:left="113" w:right="44" w:firstLine="357"/>
              <w:jc w:val="both"/>
            </w:pPr>
            <w:r>
              <w:rPr>
                <w:spacing w:val="-1"/>
              </w:rPr>
              <w:t>第四条第三款  危险化学品单位应当具备</w:t>
            </w:r>
            <w:r>
              <w:rPr>
                <w:spacing w:val="-2"/>
              </w:rPr>
              <w:t>法律、行政法规规定和国家标准、行业标准要求的安全条件，</w:t>
            </w:r>
            <w:r>
              <w:t xml:space="preserve"> </w:t>
            </w:r>
            <w:r>
              <w:rPr>
                <w:spacing w:val="-1"/>
              </w:rPr>
              <w:t>建立、健全安全管理规章制度和岗位安全责</w:t>
            </w:r>
            <w:r>
              <w:rPr>
                <w:spacing w:val="-2"/>
              </w:rPr>
              <w:t>任制度，对从业人员进行安全教育、法制教育和岗位技术培训。</w:t>
            </w:r>
            <w:r>
              <w:t xml:space="preserve"> 从业人员应当接受教育和培训，考核合格后上岗作业；对有资格要求的岗位，应</w:t>
            </w:r>
            <w:r>
              <w:rPr>
                <w:spacing w:val="-1"/>
              </w:rPr>
              <w:t>当配备依法取得相应资格</w:t>
            </w:r>
            <w:r>
              <w:t xml:space="preserve">  </w:t>
            </w:r>
            <w:r>
              <w:rPr>
                <w:spacing w:val="-7"/>
              </w:rPr>
              <w:t>的人员。</w:t>
            </w:r>
          </w:p>
          <w:p w14:paraId="586BDA5F">
            <w:pPr>
              <w:pStyle w:val="8"/>
              <w:spacing w:before="16" w:line="233" w:lineRule="auto"/>
              <w:ind w:left="110" w:right="118" w:firstLine="360"/>
              <w:jc w:val="both"/>
            </w:pPr>
            <w:r>
              <w:rPr>
                <w:spacing w:val="-2"/>
              </w:rPr>
              <w:t>第八十六条  有下列情形之一的，由交通运输主管部门责令改正，</w:t>
            </w:r>
            <w:r>
              <w:rPr>
                <w:spacing w:val="-3"/>
              </w:rPr>
              <w:t>处</w:t>
            </w:r>
            <w:r>
              <w:rPr>
                <w:spacing w:val="-34"/>
              </w:rPr>
              <w:t xml:space="preserve"> </w:t>
            </w:r>
            <w:r>
              <w:rPr>
                <w:spacing w:val="-3"/>
              </w:rPr>
              <w:t>5</w:t>
            </w:r>
            <w:r>
              <w:rPr>
                <w:spacing w:val="-34"/>
              </w:rPr>
              <w:t xml:space="preserve"> </w:t>
            </w:r>
            <w:r>
              <w:rPr>
                <w:spacing w:val="-3"/>
              </w:rPr>
              <w:t>万元以上</w:t>
            </w:r>
            <w:r>
              <w:rPr>
                <w:spacing w:val="-24"/>
              </w:rPr>
              <w:t xml:space="preserve"> </w:t>
            </w:r>
            <w:r>
              <w:rPr>
                <w:spacing w:val="-3"/>
              </w:rPr>
              <w:t>10</w:t>
            </w:r>
            <w:r>
              <w:rPr>
                <w:spacing w:val="-37"/>
              </w:rPr>
              <w:t xml:space="preserve"> </w:t>
            </w:r>
            <w:r>
              <w:rPr>
                <w:spacing w:val="-3"/>
              </w:rPr>
              <w:t>万元以下的罚款；</w:t>
            </w:r>
            <w:r>
              <w:t xml:space="preserve"> 拒不改正的，责令停产停业整顿；构成犯罪的，依法追究刑事责任</w:t>
            </w:r>
            <w:r>
              <w:rPr>
                <w:spacing w:val="-1"/>
              </w:rPr>
              <w:t>：（</w:t>
            </w:r>
            <w:r>
              <w:t>一</w:t>
            </w:r>
            <w:r>
              <w:rPr>
                <w:spacing w:val="-1"/>
              </w:rPr>
              <w:t>）危险化学品道路运输企业、水</w:t>
            </w:r>
            <w:r>
              <w:t xml:space="preserve"> 路运输企业的驾驶人员、船员、装卸管理人员、押运人员、申报人员、集装箱装箱现场</w:t>
            </w:r>
            <w:r>
              <w:rPr>
                <w:spacing w:val="-1"/>
              </w:rPr>
              <w:t>检查员未取得从业</w:t>
            </w:r>
            <w:r>
              <w:t xml:space="preserve"> 资格上岗作业的；（二）运输危险化学品，未根据危险化学品的危险特性采取相应的安</w:t>
            </w:r>
            <w:r>
              <w:rPr>
                <w:spacing w:val="-1"/>
              </w:rPr>
              <w:t>全防护措施，或者</w:t>
            </w:r>
            <w:r>
              <w:t xml:space="preserve"> 未配备必要的防护用品和应急救援器材的；（三）使用未依法取得危险货物适装证书的</w:t>
            </w:r>
            <w:r>
              <w:rPr>
                <w:spacing w:val="-1"/>
              </w:rPr>
              <w:t>船舶，通过内河运</w:t>
            </w:r>
            <w:r>
              <w:t xml:space="preserve"> 输危险化学品的；（四）通过内河运输危险化学品的承运人违反国务院交通运输主管部</w:t>
            </w:r>
            <w:r>
              <w:rPr>
                <w:spacing w:val="-1"/>
              </w:rPr>
              <w:t>门对单船运输的危</w:t>
            </w:r>
            <w:r>
              <w:t xml:space="preserve"> 险化学品数量的限制性规定运输危险化学品的；（五）用于危险化学品运输作业的内河</w:t>
            </w:r>
            <w:r>
              <w:rPr>
                <w:spacing w:val="-1"/>
              </w:rPr>
              <w:t>码头、泊位不符合</w:t>
            </w:r>
            <w:r>
              <w:t xml:space="preserve"> 国家有关安全规范，或者未与饮用水取水口保持国家规定的安全距离，或者未经交通运</w:t>
            </w:r>
            <w:r>
              <w:rPr>
                <w:spacing w:val="-1"/>
              </w:rPr>
              <w:t>输主管部门验收合</w:t>
            </w:r>
          </w:p>
        </w:tc>
        <w:tc>
          <w:tcPr>
            <w:tcW w:w="1014" w:type="dxa"/>
            <w:vAlign w:val="top"/>
          </w:tcPr>
          <w:p w14:paraId="4B13A279">
            <w:pPr>
              <w:spacing w:line="242" w:lineRule="auto"/>
              <w:rPr>
                <w:rFonts w:ascii="Arial"/>
                <w:sz w:val="21"/>
              </w:rPr>
            </w:pPr>
          </w:p>
          <w:p w14:paraId="628D9279">
            <w:pPr>
              <w:spacing w:line="242" w:lineRule="auto"/>
              <w:rPr>
                <w:rFonts w:ascii="Arial"/>
                <w:sz w:val="21"/>
              </w:rPr>
            </w:pPr>
          </w:p>
          <w:p w14:paraId="08478577">
            <w:pPr>
              <w:spacing w:line="242" w:lineRule="auto"/>
              <w:rPr>
                <w:rFonts w:ascii="Arial"/>
                <w:sz w:val="21"/>
              </w:rPr>
            </w:pPr>
          </w:p>
          <w:p w14:paraId="6D168757">
            <w:pPr>
              <w:spacing w:line="242" w:lineRule="auto"/>
              <w:rPr>
                <w:rFonts w:ascii="Arial"/>
                <w:sz w:val="21"/>
              </w:rPr>
            </w:pPr>
          </w:p>
          <w:p w14:paraId="666DA09C">
            <w:pPr>
              <w:spacing w:line="242" w:lineRule="auto"/>
              <w:rPr>
                <w:rFonts w:ascii="Arial"/>
                <w:sz w:val="21"/>
              </w:rPr>
            </w:pPr>
          </w:p>
          <w:p w14:paraId="69A3BD1F">
            <w:pPr>
              <w:spacing w:line="242" w:lineRule="auto"/>
              <w:rPr>
                <w:rFonts w:ascii="Arial"/>
                <w:sz w:val="21"/>
              </w:rPr>
            </w:pPr>
          </w:p>
          <w:p w14:paraId="507E40E6">
            <w:pPr>
              <w:spacing w:line="242" w:lineRule="auto"/>
              <w:rPr>
                <w:rFonts w:ascii="Arial"/>
                <w:sz w:val="21"/>
              </w:rPr>
            </w:pPr>
          </w:p>
          <w:p w14:paraId="76EE485B">
            <w:pPr>
              <w:spacing w:line="242" w:lineRule="auto"/>
              <w:rPr>
                <w:rFonts w:ascii="Arial"/>
                <w:sz w:val="21"/>
              </w:rPr>
            </w:pPr>
          </w:p>
          <w:p w14:paraId="3816F763">
            <w:pPr>
              <w:spacing w:line="243" w:lineRule="auto"/>
              <w:rPr>
                <w:rFonts w:ascii="Arial"/>
                <w:sz w:val="21"/>
              </w:rPr>
            </w:pPr>
          </w:p>
          <w:p w14:paraId="2F82F693">
            <w:pPr>
              <w:spacing w:line="243" w:lineRule="auto"/>
              <w:rPr>
                <w:rFonts w:ascii="Arial"/>
                <w:sz w:val="21"/>
              </w:rPr>
            </w:pPr>
          </w:p>
          <w:p w14:paraId="2926AB45">
            <w:pPr>
              <w:spacing w:line="243" w:lineRule="auto"/>
              <w:rPr>
                <w:rFonts w:ascii="Arial"/>
                <w:sz w:val="21"/>
              </w:rPr>
            </w:pPr>
          </w:p>
          <w:p w14:paraId="0304B215">
            <w:pPr>
              <w:spacing w:line="243" w:lineRule="auto"/>
              <w:rPr>
                <w:rFonts w:ascii="Arial"/>
                <w:sz w:val="21"/>
              </w:rPr>
            </w:pPr>
          </w:p>
          <w:p w14:paraId="7803FF48">
            <w:pPr>
              <w:spacing w:line="243" w:lineRule="auto"/>
              <w:rPr>
                <w:rFonts w:ascii="Arial"/>
                <w:sz w:val="21"/>
              </w:rPr>
            </w:pPr>
          </w:p>
          <w:p w14:paraId="31CAB075">
            <w:pPr>
              <w:spacing w:line="243" w:lineRule="auto"/>
              <w:rPr>
                <w:rFonts w:ascii="Arial"/>
                <w:sz w:val="21"/>
              </w:rPr>
            </w:pPr>
          </w:p>
          <w:p w14:paraId="0FA33FA4">
            <w:pPr>
              <w:spacing w:line="243" w:lineRule="auto"/>
              <w:rPr>
                <w:rFonts w:ascii="Arial"/>
                <w:sz w:val="21"/>
              </w:rPr>
            </w:pPr>
          </w:p>
          <w:p w14:paraId="3FBFB780">
            <w:pPr>
              <w:spacing w:line="243" w:lineRule="auto"/>
              <w:rPr>
                <w:rFonts w:ascii="Arial"/>
                <w:sz w:val="21"/>
              </w:rPr>
            </w:pPr>
          </w:p>
          <w:p w14:paraId="03FCF223">
            <w:pPr>
              <w:spacing w:line="243" w:lineRule="auto"/>
              <w:rPr>
                <w:rFonts w:ascii="Arial"/>
                <w:sz w:val="21"/>
              </w:rPr>
            </w:pPr>
          </w:p>
          <w:p w14:paraId="2E982783">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7A55C242">
            <w:pPr>
              <w:spacing w:line="242" w:lineRule="auto"/>
              <w:rPr>
                <w:rFonts w:ascii="Arial"/>
                <w:sz w:val="21"/>
              </w:rPr>
            </w:pPr>
          </w:p>
          <w:p w14:paraId="726D07B0">
            <w:pPr>
              <w:spacing w:line="242" w:lineRule="auto"/>
              <w:rPr>
                <w:rFonts w:ascii="Arial"/>
                <w:sz w:val="21"/>
              </w:rPr>
            </w:pPr>
          </w:p>
          <w:p w14:paraId="2F80F5A7">
            <w:pPr>
              <w:spacing w:line="242" w:lineRule="auto"/>
              <w:rPr>
                <w:rFonts w:ascii="Arial"/>
                <w:sz w:val="21"/>
              </w:rPr>
            </w:pPr>
          </w:p>
          <w:p w14:paraId="7CECA2CF">
            <w:pPr>
              <w:spacing w:line="242" w:lineRule="auto"/>
              <w:rPr>
                <w:rFonts w:ascii="Arial"/>
                <w:sz w:val="21"/>
              </w:rPr>
            </w:pPr>
          </w:p>
          <w:p w14:paraId="0BDFC5B7">
            <w:pPr>
              <w:spacing w:line="242" w:lineRule="auto"/>
              <w:rPr>
                <w:rFonts w:ascii="Arial"/>
                <w:sz w:val="21"/>
              </w:rPr>
            </w:pPr>
          </w:p>
          <w:p w14:paraId="5B36371F">
            <w:pPr>
              <w:spacing w:line="242" w:lineRule="auto"/>
              <w:rPr>
                <w:rFonts w:ascii="Arial"/>
                <w:sz w:val="21"/>
              </w:rPr>
            </w:pPr>
          </w:p>
          <w:p w14:paraId="68D841AF">
            <w:pPr>
              <w:spacing w:line="242" w:lineRule="auto"/>
              <w:rPr>
                <w:rFonts w:ascii="Arial"/>
                <w:sz w:val="21"/>
              </w:rPr>
            </w:pPr>
          </w:p>
          <w:p w14:paraId="44C3935D">
            <w:pPr>
              <w:spacing w:line="242" w:lineRule="auto"/>
              <w:rPr>
                <w:rFonts w:ascii="Arial"/>
                <w:sz w:val="21"/>
              </w:rPr>
            </w:pPr>
          </w:p>
          <w:p w14:paraId="7F1AE46E">
            <w:pPr>
              <w:spacing w:line="243" w:lineRule="auto"/>
              <w:rPr>
                <w:rFonts w:ascii="Arial"/>
                <w:sz w:val="21"/>
              </w:rPr>
            </w:pPr>
          </w:p>
          <w:p w14:paraId="5A9AD981">
            <w:pPr>
              <w:spacing w:line="243" w:lineRule="auto"/>
              <w:rPr>
                <w:rFonts w:ascii="Arial"/>
                <w:sz w:val="21"/>
              </w:rPr>
            </w:pPr>
          </w:p>
          <w:p w14:paraId="73A1543A">
            <w:pPr>
              <w:spacing w:line="243" w:lineRule="auto"/>
              <w:rPr>
                <w:rFonts w:ascii="Arial"/>
                <w:sz w:val="21"/>
              </w:rPr>
            </w:pPr>
          </w:p>
          <w:p w14:paraId="3C0A0C70">
            <w:pPr>
              <w:spacing w:line="243" w:lineRule="auto"/>
              <w:rPr>
                <w:rFonts w:ascii="Arial"/>
                <w:sz w:val="21"/>
              </w:rPr>
            </w:pPr>
          </w:p>
          <w:p w14:paraId="668334E1">
            <w:pPr>
              <w:spacing w:line="243" w:lineRule="auto"/>
              <w:rPr>
                <w:rFonts w:ascii="Arial"/>
                <w:sz w:val="21"/>
              </w:rPr>
            </w:pPr>
          </w:p>
          <w:p w14:paraId="11748D23">
            <w:pPr>
              <w:spacing w:line="243" w:lineRule="auto"/>
              <w:rPr>
                <w:rFonts w:ascii="Arial"/>
                <w:sz w:val="21"/>
              </w:rPr>
            </w:pPr>
          </w:p>
          <w:p w14:paraId="6267483A">
            <w:pPr>
              <w:spacing w:line="243" w:lineRule="auto"/>
              <w:rPr>
                <w:rFonts w:ascii="Arial"/>
                <w:sz w:val="21"/>
              </w:rPr>
            </w:pPr>
          </w:p>
          <w:p w14:paraId="107C44C0">
            <w:pPr>
              <w:spacing w:line="243" w:lineRule="auto"/>
              <w:rPr>
                <w:rFonts w:ascii="Arial"/>
                <w:sz w:val="21"/>
              </w:rPr>
            </w:pPr>
          </w:p>
          <w:p w14:paraId="614296D6">
            <w:pPr>
              <w:spacing w:line="243" w:lineRule="auto"/>
              <w:rPr>
                <w:rFonts w:ascii="Arial"/>
                <w:sz w:val="21"/>
              </w:rPr>
            </w:pPr>
          </w:p>
          <w:p w14:paraId="2B7B16A9">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F29522F">
            <w:pPr>
              <w:spacing w:line="242" w:lineRule="auto"/>
              <w:rPr>
                <w:rFonts w:ascii="Arial"/>
                <w:sz w:val="21"/>
              </w:rPr>
            </w:pPr>
          </w:p>
          <w:p w14:paraId="58089ECB">
            <w:pPr>
              <w:spacing w:line="242" w:lineRule="auto"/>
              <w:rPr>
                <w:rFonts w:ascii="Arial"/>
                <w:sz w:val="21"/>
              </w:rPr>
            </w:pPr>
          </w:p>
          <w:p w14:paraId="50FE6174">
            <w:pPr>
              <w:spacing w:line="243" w:lineRule="auto"/>
              <w:rPr>
                <w:rFonts w:ascii="Arial"/>
                <w:sz w:val="21"/>
              </w:rPr>
            </w:pPr>
          </w:p>
          <w:p w14:paraId="04A4FFE0">
            <w:pPr>
              <w:spacing w:line="243" w:lineRule="auto"/>
              <w:rPr>
                <w:rFonts w:ascii="Arial"/>
                <w:sz w:val="21"/>
              </w:rPr>
            </w:pPr>
          </w:p>
          <w:p w14:paraId="1F420437">
            <w:pPr>
              <w:spacing w:line="243" w:lineRule="auto"/>
              <w:rPr>
                <w:rFonts w:ascii="Arial"/>
                <w:sz w:val="21"/>
              </w:rPr>
            </w:pPr>
          </w:p>
          <w:p w14:paraId="21FA4544">
            <w:pPr>
              <w:spacing w:line="243" w:lineRule="auto"/>
              <w:rPr>
                <w:rFonts w:ascii="Arial"/>
                <w:sz w:val="21"/>
              </w:rPr>
            </w:pPr>
          </w:p>
          <w:p w14:paraId="5737A0D5">
            <w:pPr>
              <w:spacing w:line="243" w:lineRule="auto"/>
              <w:rPr>
                <w:rFonts w:ascii="Arial"/>
                <w:sz w:val="21"/>
              </w:rPr>
            </w:pPr>
          </w:p>
          <w:p w14:paraId="0F48F2CD">
            <w:pPr>
              <w:spacing w:line="243" w:lineRule="auto"/>
              <w:rPr>
                <w:rFonts w:ascii="Arial"/>
                <w:sz w:val="21"/>
              </w:rPr>
            </w:pPr>
          </w:p>
          <w:p w14:paraId="7CB23F50">
            <w:pPr>
              <w:spacing w:line="243" w:lineRule="auto"/>
              <w:rPr>
                <w:rFonts w:ascii="Arial"/>
                <w:sz w:val="21"/>
              </w:rPr>
            </w:pPr>
          </w:p>
          <w:p w14:paraId="5154EB0A">
            <w:pPr>
              <w:spacing w:line="243" w:lineRule="auto"/>
              <w:rPr>
                <w:rFonts w:ascii="Arial"/>
                <w:sz w:val="21"/>
              </w:rPr>
            </w:pPr>
          </w:p>
          <w:p w14:paraId="2F3D145E">
            <w:pPr>
              <w:spacing w:line="243" w:lineRule="auto"/>
              <w:rPr>
                <w:rFonts w:ascii="Arial"/>
                <w:sz w:val="21"/>
              </w:rPr>
            </w:pPr>
          </w:p>
          <w:p w14:paraId="740ACD37">
            <w:pPr>
              <w:spacing w:line="243" w:lineRule="auto"/>
              <w:rPr>
                <w:rFonts w:ascii="Arial"/>
                <w:sz w:val="21"/>
              </w:rPr>
            </w:pPr>
          </w:p>
          <w:p w14:paraId="74AD15CB">
            <w:pPr>
              <w:spacing w:line="243" w:lineRule="auto"/>
              <w:rPr>
                <w:rFonts w:ascii="Arial"/>
                <w:sz w:val="21"/>
              </w:rPr>
            </w:pPr>
          </w:p>
          <w:p w14:paraId="28B403EE">
            <w:pPr>
              <w:spacing w:line="243" w:lineRule="auto"/>
              <w:rPr>
                <w:rFonts w:ascii="Arial"/>
                <w:sz w:val="21"/>
              </w:rPr>
            </w:pPr>
          </w:p>
          <w:p w14:paraId="1E05C869">
            <w:pPr>
              <w:spacing w:line="243" w:lineRule="auto"/>
              <w:rPr>
                <w:rFonts w:ascii="Arial"/>
                <w:sz w:val="21"/>
              </w:rPr>
            </w:pPr>
          </w:p>
          <w:p w14:paraId="32B1ECDD">
            <w:pPr>
              <w:spacing w:line="243" w:lineRule="auto"/>
              <w:rPr>
                <w:rFonts w:ascii="Arial"/>
                <w:sz w:val="21"/>
              </w:rPr>
            </w:pPr>
          </w:p>
          <w:p w14:paraId="4981D546">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6DCF5BE5">
      <w:pPr>
        <w:pStyle w:val="2"/>
      </w:pPr>
    </w:p>
    <w:p w14:paraId="6C9D8510">
      <w:pPr>
        <w:sectPr>
          <w:footerReference r:id="rId114" w:type="default"/>
          <w:pgSz w:w="16839" w:h="11906"/>
          <w:pgMar w:top="1012" w:right="991" w:bottom="967" w:left="1021" w:header="0" w:footer="768" w:gutter="0"/>
          <w:cols w:space="720" w:num="1"/>
        </w:sectPr>
      </w:pPr>
    </w:p>
    <w:p w14:paraId="1633CE39">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6B203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57D7559B">
            <w:pPr>
              <w:pStyle w:val="8"/>
              <w:spacing w:before="267" w:line="221" w:lineRule="auto"/>
              <w:ind w:left="134"/>
            </w:pPr>
            <w:r>
              <w:rPr>
                <w:b/>
                <w:bCs/>
                <w:spacing w:val="-4"/>
              </w:rPr>
              <w:t>序号</w:t>
            </w:r>
          </w:p>
        </w:tc>
        <w:tc>
          <w:tcPr>
            <w:tcW w:w="1104" w:type="dxa"/>
            <w:vMerge w:val="restart"/>
            <w:tcBorders>
              <w:bottom w:val="nil"/>
            </w:tcBorders>
            <w:vAlign w:val="top"/>
          </w:tcPr>
          <w:p w14:paraId="30BA5EFD">
            <w:pPr>
              <w:pStyle w:val="8"/>
              <w:spacing w:before="260" w:line="220" w:lineRule="auto"/>
              <w:ind w:left="192"/>
            </w:pPr>
            <w:r>
              <w:rPr>
                <w:b/>
                <w:bCs/>
                <w:spacing w:val="-4"/>
              </w:rPr>
              <w:t>事项名称</w:t>
            </w:r>
          </w:p>
        </w:tc>
        <w:tc>
          <w:tcPr>
            <w:tcW w:w="1104" w:type="dxa"/>
            <w:vMerge w:val="restart"/>
            <w:tcBorders>
              <w:bottom w:val="nil"/>
            </w:tcBorders>
            <w:vAlign w:val="top"/>
          </w:tcPr>
          <w:p w14:paraId="21F427A7">
            <w:pPr>
              <w:pStyle w:val="8"/>
              <w:spacing w:before="260" w:line="219" w:lineRule="auto"/>
              <w:ind w:left="193"/>
            </w:pPr>
            <w:r>
              <w:rPr>
                <w:b/>
                <w:bCs/>
                <w:spacing w:val="-4"/>
              </w:rPr>
              <w:t>职权类型</w:t>
            </w:r>
          </w:p>
        </w:tc>
        <w:tc>
          <w:tcPr>
            <w:tcW w:w="8549" w:type="dxa"/>
            <w:vMerge w:val="restart"/>
            <w:tcBorders>
              <w:bottom w:val="nil"/>
            </w:tcBorders>
            <w:vAlign w:val="top"/>
          </w:tcPr>
          <w:p w14:paraId="4B5303C9">
            <w:pPr>
              <w:pStyle w:val="8"/>
              <w:spacing w:before="259" w:line="219" w:lineRule="auto"/>
              <w:ind w:left="3921"/>
            </w:pPr>
            <w:r>
              <w:rPr>
                <w:b/>
                <w:bCs/>
                <w:spacing w:val="-5"/>
              </w:rPr>
              <w:t>实施依据</w:t>
            </w:r>
          </w:p>
        </w:tc>
        <w:tc>
          <w:tcPr>
            <w:tcW w:w="3439" w:type="dxa"/>
            <w:gridSpan w:val="3"/>
            <w:vAlign w:val="top"/>
          </w:tcPr>
          <w:p w14:paraId="5A534C92">
            <w:pPr>
              <w:pStyle w:val="8"/>
              <w:spacing w:before="85" w:line="220" w:lineRule="auto"/>
              <w:ind w:left="1365"/>
            </w:pPr>
            <w:r>
              <w:rPr>
                <w:b/>
                <w:bCs/>
                <w:spacing w:val="-5"/>
              </w:rPr>
              <w:t>实施主体</w:t>
            </w:r>
          </w:p>
        </w:tc>
      </w:tr>
      <w:tr w14:paraId="37B66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2FC18687">
            <w:pPr>
              <w:rPr>
                <w:rFonts w:ascii="Arial"/>
                <w:sz w:val="21"/>
              </w:rPr>
            </w:pPr>
          </w:p>
        </w:tc>
        <w:tc>
          <w:tcPr>
            <w:tcW w:w="1104" w:type="dxa"/>
            <w:vMerge w:val="continue"/>
            <w:tcBorders>
              <w:top w:val="nil"/>
            </w:tcBorders>
            <w:vAlign w:val="top"/>
          </w:tcPr>
          <w:p w14:paraId="12549D02">
            <w:pPr>
              <w:rPr>
                <w:rFonts w:ascii="Arial"/>
                <w:sz w:val="21"/>
              </w:rPr>
            </w:pPr>
          </w:p>
        </w:tc>
        <w:tc>
          <w:tcPr>
            <w:tcW w:w="1104" w:type="dxa"/>
            <w:vMerge w:val="continue"/>
            <w:tcBorders>
              <w:top w:val="nil"/>
            </w:tcBorders>
            <w:vAlign w:val="top"/>
          </w:tcPr>
          <w:p w14:paraId="0AF81D4E">
            <w:pPr>
              <w:rPr>
                <w:rFonts w:ascii="Arial"/>
                <w:sz w:val="21"/>
              </w:rPr>
            </w:pPr>
          </w:p>
        </w:tc>
        <w:tc>
          <w:tcPr>
            <w:tcW w:w="8549" w:type="dxa"/>
            <w:vMerge w:val="continue"/>
            <w:tcBorders>
              <w:top w:val="nil"/>
            </w:tcBorders>
            <w:vAlign w:val="top"/>
          </w:tcPr>
          <w:p w14:paraId="5DC6E97A">
            <w:pPr>
              <w:rPr>
                <w:rFonts w:ascii="Arial"/>
                <w:sz w:val="21"/>
              </w:rPr>
            </w:pPr>
          </w:p>
        </w:tc>
        <w:tc>
          <w:tcPr>
            <w:tcW w:w="1014" w:type="dxa"/>
            <w:vAlign w:val="top"/>
          </w:tcPr>
          <w:p w14:paraId="666B2196">
            <w:pPr>
              <w:pStyle w:val="8"/>
              <w:spacing w:before="81" w:line="219" w:lineRule="auto"/>
              <w:ind w:left="158"/>
            </w:pPr>
            <w:r>
              <w:rPr>
                <w:b/>
                <w:bCs/>
                <w:spacing w:val="-5"/>
              </w:rPr>
              <w:t>责任部门</w:t>
            </w:r>
          </w:p>
        </w:tc>
        <w:tc>
          <w:tcPr>
            <w:tcW w:w="1407" w:type="dxa"/>
            <w:vAlign w:val="top"/>
          </w:tcPr>
          <w:p w14:paraId="5149D3C5">
            <w:pPr>
              <w:pStyle w:val="8"/>
              <w:spacing w:before="81" w:line="219" w:lineRule="auto"/>
              <w:ind w:left="167"/>
            </w:pPr>
            <w:r>
              <w:rPr>
                <w:b/>
                <w:bCs/>
                <w:spacing w:val="-3"/>
              </w:rPr>
              <w:t>第一责任层级</w:t>
            </w:r>
          </w:p>
        </w:tc>
        <w:tc>
          <w:tcPr>
            <w:tcW w:w="1018" w:type="dxa"/>
            <w:vAlign w:val="top"/>
          </w:tcPr>
          <w:p w14:paraId="0015DE98">
            <w:pPr>
              <w:pStyle w:val="8"/>
              <w:spacing w:before="81" w:line="219" w:lineRule="auto"/>
              <w:ind w:left="152"/>
            </w:pPr>
            <w:r>
              <w:rPr>
                <w:b/>
                <w:bCs/>
                <w:spacing w:val="-4"/>
              </w:rPr>
              <w:t>承办机构</w:t>
            </w:r>
          </w:p>
        </w:tc>
      </w:tr>
      <w:tr w14:paraId="7B01B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1" w:hRule="atLeast"/>
        </w:trPr>
        <w:tc>
          <w:tcPr>
            <w:tcW w:w="624" w:type="dxa"/>
            <w:vAlign w:val="top"/>
          </w:tcPr>
          <w:p w14:paraId="6D8CCEFD">
            <w:pPr>
              <w:rPr>
                <w:rFonts w:ascii="Arial"/>
                <w:sz w:val="21"/>
              </w:rPr>
            </w:pPr>
          </w:p>
        </w:tc>
        <w:tc>
          <w:tcPr>
            <w:tcW w:w="1104" w:type="dxa"/>
            <w:vAlign w:val="top"/>
          </w:tcPr>
          <w:p w14:paraId="0D37BCC3">
            <w:pPr>
              <w:rPr>
                <w:rFonts w:ascii="Arial"/>
                <w:sz w:val="21"/>
              </w:rPr>
            </w:pPr>
          </w:p>
        </w:tc>
        <w:tc>
          <w:tcPr>
            <w:tcW w:w="1104" w:type="dxa"/>
            <w:vAlign w:val="top"/>
          </w:tcPr>
          <w:p w14:paraId="1BDA3259">
            <w:pPr>
              <w:rPr>
                <w:rFonts w:ascii="Arial"/>
                <w:sz w:val="21"/>
              </w:rPr>
            </w:pPr>
          </w:p>
        </w:tc>
        <w:tc>
          <w:tcPr>
            <w:tcW w:w="8549" w:type="dxa"/>
            <w:vAlign w:val="top"/>
          </w:tcPr>
          <w:p w14:paraId="62C181AB">
            <w:pPr>
              <w:pStyle w:val="8"/>
              <w:spacing w:before="30" w:line="232" w:lineRule="auto"/>
              <w:ind w:left="111" w:right="44"/>
              <w:jc w:val="both"/>
            </w:pPr>
            <w:r>
              <w:t>格投入使用的</w:t>
            </w:r>
            <w:r>
              <w:rPr>
                <w:spacing w:val="-1"/>
              </w:rPr>
              <w:t>；（</w:t>
            </w:r>
            <w:r>
              <w:t>六）托运人不向承运人说明所托运的危险化学品的种类、数量、危险</w:t>
            </w:r>
            <w:r>
              <w:rPr>
                <w:spacing w:val="-1"/>
              </w:rPr>
              <w:t>特性以及发生危险</w:t>
            </w:r>
            <w:r>
              <w:t xml:space="preserve">  情况的应急处置措施，或者未按照国家有关规定对所托运的危险化学品妥善包装并在</w:t>
            </w:r>
            <w:r>
              <w:rPr>
                <w:spacing w:val="-1"/>
              </w:rPr>
              <w:t>外包装上设置相应标</w:t>
            </w:r>
            <w:r>
              <w:t xml:space="preserve">  </w:t>
            </w:r>
            <w:r>
              <w:rPr>
                <w:spacing w:val="-1"/>
              </w:rPr>
              <w:t>志的</w:t>
            </w:r>
            <w:r>
              <w:rPr>
                <w:spacing w:val="-5"/>
              </w:rPr>
              <w:t>；（</w:t>
            </w:r>
            <w:r>
              <w:rPr>
                <w:spacing w:val="-1"/>
              </w:rPr>
              <w:t>七）运输危险化学品需要添加抑制剂或者稳定剂，托</w:t>
            </w:r>
            <w:r>
              <w:rPr>
                <w:spacing w:val="-2"/>
              </w:rPr>
              <w:t>运人未添加或者未将有关情况告知承运人的。</w:t>
            </w:r>
          </w:p>
          <w:p w14:paraId="3AC037FE">
            <w:pPr>
              <w:pStyle w:val="8"/>
              <w:spacing w:before="17" w:line="219" w:lineRule="auto"/>
              <w:ind w:left="470"/>
            </w:pPr>
            <w:r>
              <w:rPr>
                <w:b/>
                <w:bCs/>
                <w:spacing w:val="-3"/>
              </w:rPr>
              <w:t>4.《道路危险货物运输管理规定》（交通运输部令</w:t>
            </w:r>
            <w:r>
              <w:rPr>
                <w:spacing w:val="-36"/>
              </w:rPr>
              <w:t xml:space="preserve"> </w:t>
            </w:r>
            <w:r>
              <w:rPr>
                <w:b/>
                <w:bCs/>
                <w:spacing w:val="-3"/>
              </w:rPr>
              <w:t>2023</w:t>
            </w:r>
            <w:r>
              <w:rPr>
                <w:spacing w:val="-37"/>
              </w:rPr>
              <w:t xml:space="preserve"> </w:t>
            </w:r>
            <w:r>
              <w:rPr>
                <w:b/>
                <w:bCs/>
                <w:spacing w:val="-3"/>
              </w:rPr>
              <w:t>年第</w:t>
            </w:r>
            <w:r>
              <w:rPr>
                <w:spacing w:val="-24"/>
              </w:rPr>
              <w:t xml:space="preserve"> </w:t>
            </w:r>
            <w:r>
              <w:rPr>
                <w:b/>
                <w:bCs/>
                <w:spacing w:val="-3"/>
              </w:rPr>
              <w:t>1</w:t>
            </w:r>
            <w:r>
              <w:rPr>
                <w:b/>
                <w:bCs/>
                <w:spacing w:val="-4"/>
              </w:rPr>
              <w:t>3</w:t>
            </w:r>
            <w:r>
              <w:rPr>
                <w:spacing w:val="-32"/>
              </w:rPr>
              <w:t xml:space="preserve"> </w:t>
            </w:r>
            <w:r>
              <w:rPr>
                <w:b/>
                <w:bCs/>
                <w:spacing w:val="-4"/>
              </w:rPr>
              <w:t>号）</w:t>
            </w:r>
          </w:p>
          <w:p w14:paraId="4F4F0109">
            <w:pPr>
              <w:pStyle w:val="8"/>
              <w:spacing w:before="19" w:line="229" w:lineRule="auto"/>
              <w:ind w:left="113" w:right="159" w:firstLine="357"/>
            </w:pPr>
            <w:r>
              <w:t>第八条第（三）项  申请从事道路危险货物运输经营，应当具备下列条件</w:t>
            </w:r>
            <w:r>
              <w:rPr>
                <w:spacing w:val="-1"/>
              </w:rPr>
              <w:t>：（</w:t>
            </w:r>
            <w:r>
              <w:t>三）有</w:t>
            </w:r>
            <w:r>
              <w:rPr>
                <w:spacing w:val="-1"/>
              </w:rPr>
              <w:t>符合下列要求的</w:t>
            </w:r>
            <w:r>
              <w:t xml:space="preserve"> </w:t>
            </w:r>
            <w:r>
              <w:rPr>
                <w:spacing w:val="-4"/>
              </w:rPr>
              <w:t>从业人员和安全管理人员：</w:t>
            </w:r>
          </w:p>
          <w:p w14:paraId="778D4352">
            <w:pPr>
              <w:pStyle w:val="8"/>
              <w:spacing w:before="16" w:line="219" w:lineRule="auto"/>
              <w:ind w:left="484"/>
            </w:pPr>
            <w:r>
              <w:rPr>
                <w:spacing w:val="-2"/>
              </w:rPr>
              <w:t>1)专用车辆的驾驶人员取得相应机动车驾驶证，年龄不超过</w:t>
            </w:r>
            <w:r>
              <w:rPr>
                <w:spacing w:val="-27"/>
              </w:rPr>
              <w:t xml:space="preserve"> </w:t>
            </w:r>
            <w:r>
              <w:rPr>
                <w:spacing w:val="-2"/>
              </w:rPr>
              <w:t>60</w:t>
            </w:r>
            <w:r>
              <w:rPr>
                <w:spacing w:val="-40"/>
              </w:rPr>
              <w:t xml:space="preserve"> </w:t>
            </w:r>
            <w:r>
              <w:rPr>
                <w:spacing w:val="-2"/>
              </w:rPr>
              <w:t>周岁。</w:t>
            </w:r>
          </w:p>
          <w:p w14:paraId="39877616">
            <w:pPr>
              <w:pStyle w:val="8"/>
              <w:spacing w:before="21" w:line="233" w:lineRule="auto"/>
              <w:ind w:left="110" w:right="159" w:firstLine="362"/>
            </w:pPr>
            <w:r>
              <w:t>2)从事道路危险货物运输的驾驶人员、装卸管理人员、押运人员应当经所在</w:t>
            </w:r>
            <w:r>
              <w:rPr>
                <w:spacing w:val="-1"/>
              </w:rPr>
              <w:t>地设区的市级人民政府交</w:t>
            </w:r>
            <w:r>
              <w:t xml:space="preserve"> 通运输主管部门考试合格，并取得相应的从业资格证；从事剧毒化学品、爆炸品道路运</w:t>
            </w:r>
            <w:r>
              <w:rPr>
                <w:spacing w:val="-1"/>
              </w:rPr>
              <w:t>输的驾驶人员、装</w:t>
            </w:r>
            <w:r>
              <w:t xml:space="preserve"> 卸管理人员、押运人员，应当经考试合格，取得注明为“剧毒化学品运输”或者“爆炸</w:t>
            </w:r>
            <w:r>
              <w:rPr>
                <w:spacing w:val="-1"/>
              </w:rPr>
              <w:t>品运输”类别的从</w:t>
            </w:r>
            <w:r>
              <w:t xml:space="preserve"> </w:t>
            </w:r>
            <w:r>
              <w:rPr>
                <w:spacing w:val="-6"/>
              </w:rPr>
              <w:t>业资格证。</w:t>
            </w:r>
          </w:p>
          <w:p w14:paraId="0C6854DA">
            <w:pPr>
              <w:pStyle w:val="8"/>
              <w:spacing w:before="19" w:line="219" w:lineRule="auto"/>
              <w:ind w:left="474"/>
            </w:pPr>
            <w:r>
              <w:rPr>
                <w:spacing w:val="-3"/>
              </w:rPr>
              <w:t>3)企业应当配备专职安全管理人员。</w:t>
            </w:r>
          </w:p>
          <w:p w14:paraId="01565D0A">
            <w:pPr>
              <w:pStyle w:val="8"/>
              <w:spacing w:before="19" w:line="232" w:lineRule="auto"/>
              <w:ind w:left="110" w:right="58" w:firstLine="360"/>
              <w:jc w:val="both"/>
            </w:pPr>
            <w:r>
              <w:t>第五十八条  违反本规定，道路危险货物运输企业或者单位以及托运人有下列情</w:t>
            </w:r>
            <w:r>
              <w:rPr>
                <w:spacing w:val="-1"/>
              </w:rPr>
              <w:t>形之一的，由交通运</w:t>
            </w:r>
            <w:r>
              <w:t xml:space="preserve">  </w:t>
            </w:r>
            <w:r>
              <w:rPr>
                <w:spacing w:val="-5"/>
              </w:rPr>
              <w:t>输主管部门责令改正，并处</w:t>
            </w:r>
            <w:r>
              <w:rPr>
                <w:spacing w:val="-22"/>
              </w:rPr>
              <w:t xml:space="preserve"> </w:t>
            </w:r>
            <w:r>
              <w:rPr>
                <w:spacing w:val="-5"/>
              </w:rPr>
              <w:t>5</w:t>
            </w:r>
            <w:r>
              <w:rPr>
                <w:spacing w:val="-34"/>
              </w:rPr>
              <w:t xml:space="preserve"> </w:t>
            </w:r>
            <w:r>
              <w:rPr>
                <w:spacing w:val="-5"/>
              </w:rPr>
              <w:t>万元以上</w:t>
            </w:r>
            <w:r>
              <w:rPr>
                <w:spacing w:val="-24"/>
              </w:rPr>
              <w:t xml:space="preserve"> </w:t>
            </w:r>
            <w:r>
              <w:rPr>
                <w:spacing w:val="-5"/>
              </w:rPr>
              <w:t>10</w:t>
            </w:r>
            <w:r>
              <w:rPr>
                <w:spacing w:val="-37"/>
              </w:rPr>
              <w:t xml:space="preserve"> </w:t>
            </w:r>
            <w:r>
              <w:rPr>
                <w:spacing w:val="-5"/>
              </w:rPr>
              <w:t>万元以下的罚款，拒不改正的，责令停产停业整顿；构成犯罪的，</w:t>
            </w:r>
            <w:r>
              <w:t xml:space="preserve"> 依法追究刑事责任</w:t>
            </w:r>
            <w:r>
              <w:rPr>
                <w:spacing w:val="-2"/>
              </w:rPr>
              <w:t>：（</w:t>
            </w:r>
            <w:r>
              <w:t>一）驾驶人员、装卸管理人员、押运人员未取得从业资格上</w:t>
            </w:r>
            <w:r>
              <w:rPr>
                <w:spacing w:val="-1"/>
              </w:rPr>
              <w:t>岗作业的</w:t>
            </w:r>
            <w:r>
              <w:rPr>
                <w:spacing w:val="-2"/>
              </w:rPr>
              <w:t>；（</w:t>
            </w:r>
            <w:r>
              <w:rPr>
                <w:spacing w:val="-1"/>
              </w:rPr>
              <w:t>二）托运</w:t>
            </w:r>
            <w:r>
              <w:t xml:space="preserve">  人不向承运人说明所托运的危险化学品的种类、数量、危险特性以及发生危险情况的应</w:t>
            </w:r>
            <w:r>
              <w:rPr>
                <w:spacing w:val="-1"/>
              </w:rPr>
              <w:t>急处置措施，或者</w:t>
            </w:r>
            <w:r>
              <w:t xml:space="preserve">  未按照国家有关规定对所托运的危险化学品妥善包装并在外包装上设置相应标志的；（</w:t>
            </w:r>
            <w:r>
              <w:rPr>
                <w:spacing w:val="-1"/>
              </w:rPr>
              <w:t>三）未根据危险化</w:t>
            </w:r>
            <w:r>
              <w:t xml:space="preserve">  学品的危险特性采取相应的安全防护措施，或者未配备必要的防护用品和应急救援</w:t>
            </w:r>
            <w:r>
              <w:rPr>
                <w:spacing w:val="-1"/>
              </w:rPr>
              <w:t>器材的</w:t>
            </w:r>
            <w:r>
              <w:t>；（</w:t>
            </w:r>
            <w:r>
              <w:rPr>
                <w:spacing w:val="-1"/>
              </w:rPr>
              <w:t>四）运输危</w:t>
            </w:r>
            <w:r>
              <w:t xml:space="preserve">  </w:t>
            </w:r>
            <w:r>
              <w:rPr>
                <w:spacing w:val="-1"/>
              </w:rPr>
              <w:t>险化学品需要添加抑制剂或者稳定剂，托运人未添加或者未将有关情况告知承运人的。</w:t>
            </w:r>
          </w:p>
        </w:tc>
        <w:tc>
          <w:tcPr>
            <w:tcW w:w="1014" w:type="dxa"/>
            <w:vAlign w:val="top"/>
          </w:tcPr>
          <w:p w14:paraId="4E52E54C">
            <w:pPr>
              <w:rPr>
                <w:rFonts w:ascii="Arial"/>
                <w:sz w:val="21"/>
              </w:rPr>
            </w:pPr>
          </w:p>
        </w:tc>
        <w:tc>
          <w:tcPr>
            <w:tcW w:w="1407" w:type="dxa"/>
            <w:vAlign w:val="top"/>
          </w:tcPr>
          <w:p w14:paraId="6DAC21E1">
            <w:pPr>
              <w:rPr>
                <w:rFonts w:ascii="Arial"/>
                <w:sz w:val="21"/>
              </w:rPr>
            </w:pPr>
          </w:p>
        </w:tc>
        <w:tc>
          <w:tcPr>
            <w:tcW w:w="1018" w:type="dxa"/>
            <w:vAlign w:val="top"/>
          </w:tcPr>
          <w:p w14:paraId="74435C8E">
            <w:pPr>
              <w:rPr>
                <w:rFonts w:ascii="Arial"/>
                <w:sz w:val="21"/>
              </w:rPr>
            </w:pPr>
          </w:p>
        </w:tc>
      </w:tr>
      <w:tr w14:paraId="0354D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2" w:hRule="atLeast"/>
        </w:trPr>
        <w:tc>
          <w:tcPr>
            <w:tcW w:w="624" w:type="dxa"/>
            <w:vAlign w:val="top"/>
          </w:tcPr>
          <w:p w14:paraId="7407AF6B">
            <w:pPr>
              <w:spacing w:line="260" w:lineRule="auto"/>
              <w:rPr>
                <w:rFonts w:ascii="Arial"/>
                <w:sz w:val="21"/>
              </w:rPr>
            </w:pPr>
          </w:p>
          <w:p w14:paraId="48908128">
            <w:pPr>
              <w:spacing w:line="260" w:lineRule="auto"/>
              <w:rPr>
                <w:rFonts w:ascii="Arial"/>
                <w:sz w:val="21"/>
              </w:rPr>
            </w:pPr>
          </w:p>
          <w:p w14:paraId="6C9E4991">
            <w:pPr>
              <w:spacing w:line="260" w:lineRule="auto"/>
              <w:rPr>
                <w:rFonts w:ascii="Arial"/>
                <w:sz w:val="21"/>
              </w:rPr>
            </w:pPr>
          </w:p>
          <w:p w14:paraId="7E578612">
            <w:pPr>
              <w:spacing w:line="260" w:lineRule="auto"/>
              <w:rPr>
                <w:rFonts w:ascii="Arial"/>
                <w:sz w:val="21"/>
              </w:rPr>
            </w:pPr>
          </w:p>
          <w:p w14:paraId="6D23A735">
            <w:pPr>
              <w:spacing w:line="260" w:lineRule="auto"/>
              <w:rPr>
                <w:rFonts w:ascii="Arial"/>
                <w:sz w:val="21"/>
              </w:rPr>
            </w:pPr>
          </w:p>
          <w:p w14:paraId="12754B90">
            <w:pPr>
              <w:spacing w:line="260" w:lineRule="auto"/>
              <w:rPr>
                <w:rFonts w:ascii="Arial"/>
                <w:sz w:val="21"/>
              </w:rPr>
            </w:pPr>
          </w:p>
          <w:p w14:paraId="3977F570">
            <w:pPr>
              <w:spacing w:line="261" w:lineRule="auto"/>
              <w:rPr>
                <w:rFonts w:ascii="Arial"/>
                <w:sz w:val="21"/>
              </w:rPr>
            </w:pPr>
          </w:p>
          <w:p w14:paraId="628951AA">
            <w:pPr>
              <w:spacing w:line="261" w:lineRule="auto"/>
              <w:rPr>
                <w:rFonts w:ascii="Arial"/>
                <w:sz w:val="21"/>
              </w:rPr>
            </w:pPr>
          </w:p>
          <w:p w14:paraId="27EBB46F">
            <w:pPr>
              <w:pStyle w:val="8"/>
              <w:spacing w:before="58" w:line="182" w:lineRule="auto"/>
              <w:ind w:left="235"/>
            </w:pPr>
            <w:r>
              <w:rPr>
                <w:spacing w:val="-6"/>
              </w:rPr>
              <w:t>75</w:t>
            </w:r>
          </w:p>
        </w:tc>
        <w:tc>
          <w:tcPr>
            <w:tcW w:w="1104" w:type="dxa"/>
            <w:vAlign w:val="top"/>
          </w:tcPr>
          <w:p w14:paraId="53B1A3C2">
            <w:pPr>
              <w:spacing w:line="242" w:lineRule="auto"/>
              <w:rPr>
                <w:rFonts w:ascii="Arial"/>
                <w:sz w:val="21"/>
              </w:rPr>
            </w:pPr>
          </w:p>
          <w:p w14:paraId="120A1E6C">
            <w:pPr>
              <w:spacing w:line="242" w:lineRule="auto"/>
              <w:rPr>
                <w:rFonts w:ascii="Arial"/>
                <w:sz w:val="21"/>
              </w:rPr>
            </w:pPr>
          </w:p>
          <w:p w14:paraId="5369D62A">
            <w:pPr>
              <w:spacing w:line="242" w:lineRule="auto"/>
              <w:rPr>
                <w:rFonts w:ascii="Arial"/>
                <w:sz w:val="21"/>
              </w:rPr>
            </w:pPr>
          </w:p>
          <w:p w14:paraId="007A9FC9">
            <w:pPr>
              <w:spacing w:line="243" w:lineRule="auto"/>
              <w:rPr>
                <w:rFonts w:ascii="Arial"/>
                <w:sz w:val="21"/>
              </w:rPr>
            </w:pPr>
          </w:p>
          <w:p w14:paraId="6C10A42E">
            <w:pPr>
              <w:spacing w:line="243" w:lineRule="auto"/>
              <w:rPr>
                <w:rFonts w:ascii="Arial"/>
                <w:sz w:val="21"/>
              </w:rPr>
            </w:pPr>
          </w:p>
          <w:p w14:paraId="14E07F15">
            <w:pPr>
              <w:spacing w:line="243" w:lineRule="auto"/>
              <w:rPr>
                <w:rFonts w:ascii="Arial"/>
                <w:sz w:val="21"/>
              </w:rPr>
            </w:pPr>
          </w:p>
          <w:p w14:paraId="7D013F97">
            <w:pPr>
              <w:pStyle w:val="8"/>
              <w:spacing w:before="59" w:line="242" w:lineRule="auto"/>
              <w:ind w:left="60" w:right="54"/>
              <w:jc w:val="both"/>
            </w:pPr>
            <w:r>
              <w:rPr>
                <w:spacing w:val="9"/>
              </w:rPr>
              <w:t>对未按</w:t>
            </w:r>
            <w:r>
              <w:rPr>
                <w:spacing w:val="-52"/>
              </w:rPr>
              <w:t xml:space="preserve"> </w:t>
            </w:r>
            <w:r>
              <w:rPr>
                <w:spacing w:val="9"/>
              </w:rPr>
              <w:t>照规</w:t>
            </w:r>
            <w:r>
              <w:t xml:space="preserve"> </w:t>
            </w:r>
            <w:r>
              <w:rPr>
                <w:spacing w:val="8"/>
              </w:rPr>
              <w:t>定对危</w:t>
            </w:r>
            <w:r>
              <w:rPr>
                <w:spacing w:val="-47"/>
              </w:rPr>
              <w:t xml:space="preserve"> </w:t>
            </w:r>
            <w:r>
              <w:rPr>
                <w:spacing w:val="8"/>
              </w:rPr>
              <w:t>险货</w:t>
            </w:r>
            <w:r>
              <w:t xml:space="preserve"> </w:t>
            </w:r>
            <w:r>
              <w:rPr>
                <w:spacing w:val="16"/>
              </w:rPr>
              <w:t>物港口建设</w:t>
            </w:r>
            <w:r>
              <w:rPr>
                <w:spacing w:val="3"/>
              </w:rPr>
              <w:t xml:space="preserve"> </w:t>
            </w:r>
            <w:r>
              <w:rPr>
                <w:spacing w:val="16"/>
              </w:rPr>
              <w:t>项目进行安</w:t>
            </w:r>
            <w:r>
              <w:t xml:space="preserve"> </w:t>
            </w:r>
            <w:r>
              <w:rPr>
                <w:spacing w:val="16"/>
              </w:rPr>
              <w:t>全评价行为</w:t>
            </w:r>
            <w:r>
              <w:t xml:space="preserve"> 的行政处罚</w:t>
            </w:r>
          </w:p>
        </w:tc>
        <w:tc>
          <w:tcPr>
            <w:tcW w:w="1104" w:type="dxa"/>
            <w:vAlign w:val="top"/>
          </w:tcPr>
          <w:p w14:paraId="218986E3">
            <w:pPr>
              <w:spacing w:line="256" w:lineRule="auto"/>
              <w:rPr>
                <w:rFonts w:ascii="Arial"/>
                <w:sz w:val="21"/>
              </w:rPr>
            </w:pPr>
          </w:p>
          <w:p w14:paraId="53245AD4">
            <w:pPr>
              <w:spacing w:line="256" w:lineRule="auto"/>
              <w:rPr>
                <w:rFonts w:ascii="Arial"/>
                <w:sz w:val="21"/>
              </w:rPr>
            </w:pPr>
          </w:p>
          <w:p w14:paraId="6DFCB594">
            <w:pPr>
              <w:spacing w:line="256" w:lineRule="auto"/>
              <w:rPr>
                <w:rFonts w:ascii="Arial"/>
                <w:sz w:val="21"/>
              </w:rPr>
            </w:pPr>
          </w:p>
          <w:p w14:paraId="4BEEEAA4">
            <w:pPr>
              <w:spacing w:line="257" w:lineRule="auto"/>
              <w:rPr>
                <w:rFonts w:ascii="Arial"/>
                <w:sz w:val="21"/>
              </w:rPr>
            </w:pPr>
          </w:p>
          <w:p w14:paraId="41209B2F">
            <w:pPr>
              <w:spacing w:line="257" w:lineRule="auto"/>
              <w:rPr>
                <w:rFonts w:ascii="Arial"/>
                <w:sz w:val="21"/>
              </w:rPr>
            </w:pPr>
          </w:p>
          <w:p w14:paraId="0D29FAE6">
            <w:pPr>
              <w:spacing w:line="257" w:lineRule="auto"/>
              <w:rPr>
                <w:rFonts w:ascii="Arial"/>
                <w:sz w:val="21"/>
              </w:rPr>
            </w:pPr>
          </w:p>
          <w:p w14:paraId="122A0762">
            <w:pPr>
              <w:spacing w:line="257" w:lineRule="auto"/>
              <w:rPr>
                <w:rFonts w:ascii="Arial"/>
                <w:sz w:val="21"/>
              </w:rPr>
            </w:pPr>
          </w:p>
          <w:p w14:paraId="12DF9855">
            <w:pPr>
              <w:spacing w:line="257" w:lineRule="auto"/>
              <w:rPr>
                <w:rFonts w:ascii="Arial"/>
                <w:sz w:val="21"/>
              </w:rPr>
            </w:pPr>
          </w:p>
          <w:p w14:paraId="4521B922">
            <w:pPr>
              <w:pStyle w:val="8"/>
              <w:spacing w:before="58" w:line="220" w:lineRule="auto"/>
              <w:ind w:left="10"/>
            </w:pPr>
            <w:r>
              <w:rPr>
                <w:spacing w:val="-2"/>
              </w:rPr>
              <w:t>行政处罚</w:t>
            </w:r>
          </w:p>
        </w:tc>
        <w:tc>
          <w:tcPr>
            <w:tcW w:w="8549" w:type="dxa"/>
            <w:vAlign w:val="top"/>
          </w:tcPr>
          <w:p w14:paraId="3CE9B0DF">
            <w:pPr>
              <w:spacing w:line="321" w:lineRule="auto"/>
              <w:rPr>
                <w:rFonts w:ascii="Arial"/>
                <w:sz w:val="21"/>
              </w:rPr>
            </w:pPr>
          </w:p>
          <w:p w14:paraId="78BCA1F1">
            <w:pPr>
              <w:pStyle w:val="8"/>
              <w:spacing w:before="59" w:line="219" w:lineRule="auto"/>
              <w:ind w:left="484"/>
            </w:pPr>
            <w:r>
              <w:rPr>
                <w:b/>
                <w:bCs/>
                <w:spacing w:val="-4"/>
              </w:rPr>
              <w:t>1.《中华人民共和国安全生产法》</w:t>
            </w:r>
          </w:p>
          <w:p w14:paraId="73EE55B1">
            <w:pPr>
              <w:pStyle w:val="8"/>
              <w:spacing w:before="17" w:line="228" w:lineRule="auto"/>
              <w:ind w:left="111" w:right="159" w:firstLine="359"/>
            </w:pPr>
            <w:r>
              <w:t>第三十二条  矿山、金属冶炼建设项目和用于生产、储存、装卸危险物品的建设</w:t>
            </w:r>
            <w:r>
              <w:rPr>
                <w:spacing w:val="-1"/>
              </w:rPr>
              <w:t>项目，应当按照国家</w:t>
            </w:r>
            <w:r>
              <w:t xml:space="preserve"> </w:t>
            </w:r>
            <w:r>
              <w:rPr>
                <w:spacing w:val="-3"/>
              </w:rPr>
              <w:t>有关规定进行安全评价。</w:t>
            </w:r>
          </w:p>
          <w:p w14:paraId="6E20F4D3">
            <w:pPr>
              <w:pStyle w:val="8"/>
              <w:spacing w:before="18" w:line="234" w:lineRule="auto"/>
              <w:ind w:left="112" w:right="159" w:firstLine="358"/>
              <w:jc w:val="both"/>
            </w:pPr>
            <w:r>
              <w:t>第九十八条第（一）项  生产经营单位有下列行为之一的，责令停止建设或者停</w:t>
            </w:r>
            <w:r>
              <w:rPr>
                <w:spacing w:val="-1"/>
              </w:rPr>
              <w:t>产停业整顿，限期改</w:t>
            </w:r>
            <w:r>
              <w:t xml:space="preserve"> 正，并处十万元以上五十万元以下的罚款，对其直接负责的主管人员和其他直接责</w:t>
            </w:r>
            <w:r>
              <w:rPr>
                <w:spacing w:val="-1"/>
              </w:rPr>
              <w:t>任人员处二万元以上五</w:t>
            </w:r>
            <w:r>
              <w:t xml:space="preserve"> 万元以下的罚款；逾期未改正的，处五十万元以上一百万元以下的罚款，对其直接</w:t>
            </w:r>
            <w:r>
              <w:rPr>
                <w:spacing w:val="-1"/>
              </w:rPr>
              <w:t>负责的主管人员和其他</w:t>
            </w:r>
            <w:r>
              <w:t xml:space="preserve"> 直接责任人员处五万元以上十万元以下的罚款；构成犯罪的</w:t>
            </w:r>
            <w:r>
              <w:rPr>
                <w:spacing w:val="-1"/>
              </w:rPr>
              <w:t>，依照刑法有关规定追究刑事责任：（一）未</w:t>
            </w:r>
            <w:r>
              <w:rPr>
                <w:spacing w:val="1"/>
              </w:rPr>
              <w:t xml:space="preserve"> </w:t>
            </w:r>
            <w:r>
              <w:rPr>
                <w:spacing w:val="-1"/>
              </w:rPr>
              <w:t>按照规定对矿山、金属冶炼建设项目或者用于生产、储存、装卸危险物品的建设项目进行</w:t>
            </w:r>
            <w:r>
              <w:rPr>
                <w:spacing w:val="-2"/>
              </w:rPr>
              <w:t>安全评价的；</w:t>
            </w:r>
          </w:p>
          <w:p w14:paraId="1675EDD6">
            <w:pPr>
              <w:pStyle w:val="8"/>
              <w:spacing w:before="19"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4FB1EABA">
            <w:pPr>
              <w:pStyle w:val="8"/>
              <w:spacing w:before="20" w:line="235" w:lineRule="auto"/>
              <w:ind w:left="111" w:right="159" w:firstLine="359"/>
              <w:jc w:val="both"/>
            </w:pPr>
            <w:r>
              <w:t>第七十二条第（一）项  危险货物港口建设项目有下列行为之一的，由所在地港</w:t>
            </w:r>
            <w:r>
              <w:rPr>
                <w:spacing w:val="-1"/>
              </w:rPr>
              <w:t>口行政管理部门责令</w:t>
            </w:r>
            <w:r>
              <w:t xml:space="preserve"> 停止建设或者停产停业整顿，限期改正，并处十万元以上五十万元以下的罚款，对其</w:t>
            </w:r>
            <w:r>
              <w:rPr>
                <w:spacing w:val="-1"/>
              </w:rPr>
              <w:t>直接负责的主管人员</w:t>
            </w:r>
            <w:r>
              <w:t xml:space="preserve"> 和其他直接责任人员处二万元以上五万元以下的罚款；逾期未改正的，处五十万元以</w:t>
            </w:r>
            <w:r>
              <w:rPr>
                <w:spacing w:val="-1"/>
              </w:rPr>
              <w:t>上一百万元以下的罚</w:t>
            </w:r>
            <w:r>
              <w:t xml:space="preserve"> 款，对其直接负责的主管人员和其他直接责任人员处五万元以上十</w:t>
            </w:r>
            <w:r>
              <w:rPr>
                <w:spacing w:val="-1"/>
              </w:rPr>
              <w:t>万元以下的罚款：（一）未按照规定对</w:t>
            </w:r>
            <w:r>
              <w:t xml:space="preserve"> 危险货物港口建设项目进行安全评价的；（二）没有安全设施设计或者安全设施设计</w:t>
            </w:r>
            <w:r>
              <w:rPr>
                <w:spacing w:val="-1"/>
              </w:rPr>
              <w:t>未按照规定报经港口</w:t>
            </w:r>
            <w:r>
              <w:t xml:space="preserve"> 行政管理部门审查同意的；（三）施工单位未按照批准的安全设施设计施工的；（四</w:t>
            </w:r>
            <w:r>
              <w:rPr>
                <w:spacing w:val="-1"/>
              </w:rPr>
              <w:t>）安全设施未经验收</w:t>
            </w:r>
            <w:r>
              <w:t xml:space="preserve"> </w:t>
            </w:r>
            <w:r>
              <w:rPr>
                <w:spacing w:val="-2"/>
              </w:rPr>
              <w:t>合格，擅自从事危险货物港口作业的。</w:t>
            </w:r>
          </w:p>
        </w:tc>
        <w:tc>
          <w:tcPr>
            <w:tcW w:w="1014" w:type="dxa"/>
            <w:vAlign w:val="top"/>
          </w:tcPr>
          <w:p w14:paraId="544224CF">
            <w:pPr>
              <w:spacing w:line="241" w:lineRule="auto"/>
              <w:rPr>
                <w:rFonts w:ascii="Arial"/>
                <w:sz w:val="21"/>
              </w:rPr>
            </w:pPr>
          </w:p>
          <w:p w14:paraId="6A6FFCEC">
            <w:pPr>
              <w:spacing w:line="241" w:lineRule="auto"/>
              <w:rPr>
                <w:rFonts w:ascii="Arial"/>
                <w:sz w:val="21"/>
              </w:rPr>
            </w:pPr>
          </w:p>
          <w:p w14:paraId="670CD49D">
            <w:pPr>
              <w:spacing w:line="241" w:lineRule="auto"/>
              <w:rPr>
                <w:rFonts w:ascii="Arial"/>
                <w:sz w:val="21"/>
              </w:rPr>
            </w:pPr>
          </w:p>
          <w:p w14:paraId="39FEBA5F">
            <w:pPr>
              <w:spacing w:line="242" w:lineRule="auto"/>
              <w:rPr>
                <w:rFonts w:ascii="Arial"/>
                <w:sz w:val="21"/>
              </w:rPr>
            </w:pPr>
          </w:p>
          <w:p w14:paraId="59721AC7">
            <w:pPr>
              <w:spacing w:line="242" w:lineRule="auto"/>
              <w:rPr>
                <w:rFonts w:ascii="Arial"/>
                <w:sz w:val="21"/>
              </w:rPr>
            </w:pPr>
          </w:p>
          <w:p w14:paraId="68005AB3">
            <w:pPr>
              <w:spacing w:line="242" w:lineRule="auto"/>
              <w:rPr>
                <w:rFonts w:ascii="Arial"/>
                <w:sz w:val="21"/>
              </w:rPr>
            </w:pPr>
          </w:p>
          <w:p w14:paraId="65961771">
            <w:pPr>
              <w:spacing w:line="242" w:lineRule="auto"/>
              <w:rPr>
                <w:rFonts w:ascii="Arial"/>
                <w:sz w:val="21"/>
              </w:rPr>
            </w:pPr>
          </w:p>
          <w:p w14:paraId="2F3B450A">
            <w:pPr>
              <w:spacing w:line="242" w:lineRule="auto"/>
              <w:rPr>
                <w:rFonts w:ascii="Arial"/>
                <w:sz w:val="21"/>
              </w:rPr>
            </w:pPr>
          </w:p>
          <w:p w14:paraId="3F60D254">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5D338C51">
            <w:pPr>
              <w:spacing w:line="241" w:lineRule="auto"/>
              <w:rPr>
                <w:rFonts w:ascii="Arial"/>
                <w:sz w:val="21"/>
              </w:rPr>
            </w:pPr>
          </w:p>
          <w:p w14:paraId="6A33F741">
            <w:pPr>
              <w:spacing w:line="241" w:lineRule="auto"/>
              <w:rPr>
                <w:rFonts w:ascii="Arial"/>
                <w:sz w:val="21"/>
              </w:rPr>
            </w:pPr>
          </w:p>
          <w:p w14:paraId="278B85E4">
            <w:pPr>
              <w:spacing w:line="241" w:lineRule="auto"/>
              <w:rPr>
                <w:rFonts w:ascii="Arial"/>
                <w:sz w:val="21"/>
              </w:rPr>
            </w:pPr>
          </w:p>
          <w:p w14:paraId="7D3263C2">
            <w:pPr>
              <w:spacing w:line="242" w:lineRule="auto"/>
              <w:rPr>
                <w:rFonts w:ascii="Arial"/>
                <w:sz w:val="21"/>
              </w:rPr>
            </w:pPr>
          </w:p>
          <w:p w14:paraId="4A44543D">
            <w:pPr>
              <w:spacing w:line="242" w:lineRule="auto"/>
              <w:rPr>
                <w:rFonts w:ascii="Arial"/>
                <w:sz w:val="21"/>
              </w:rPr>
            </w:pPr>
          </w:p>
          <w:p w14:paraId="41B71287">
            <w:pPr>
              <w:spacing w:line="242" w:lineRule="auto"/>
              <w:rPr>
                <w:rFonts w:ascii="Arial"/>
                <w:sz w:val="21"/>
              </w:rPr>
            </w:pPr>
          </w:p>
          <w:p w14:paraId="09C9C215">
            <w:pPr>
              <w:spacing w:line="242" w:lineRule="auto"/>
              <w:rPr>
                <w:rFonts w:ascii="Arial"/>
                <w:sz w:val="21"/>
              </w:rPr>
            </w:pPr>
          </w:p>
          <w:p w14:paraId="334151B8">
            <w:pPr>
              <w:spacing w:line="242" w:lineRule="auto"/>
              <w:rPr>
                <w:rFonts w:ascii="Arial"/>
                <w:sz w:val="21"/>
              </w:rPr>
            </w:pPr>
          </w:p>
          <w:p w14:paraId="7ADD094A">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1419785">
            <w:pPr>
              <w:spacing w:line="242" w:lineRule="auto"/>
              <w:rPr>
                <w:rFonts w:ascii="Arial"/>
                <w:sz w:val="21"/>
              </w:rPr>
            </w:pPr>
          </w:p>
          <w:p w14:paraId="4389DE59">
            <w:pPr>
              <w:spacing w:line="242" w:lineRule="auto"/>
              <w:rPr>
                <w:rFonts w:ascii="Arial"/>
                <w:sz w:val="21"/>
              </w:rPr>
            </w:pPr>
          </w:p>
          <w:p w14:paraId="5454680B">
            <w:pPr>
              <w:spacing w:line="242" w:lineRule="auto"/>
              <w:rPr>
                <w:rFonts w:ascii="Arial"/>
                <w:sz w:val="21"/>
              </w:rPr>
            </w:pPr>
          </w:p>
          <w:p w14:paraId="4F43465F">
            <w:pPr>
              <w:spacing w:line="242" w:lineRule="auto"/>
              <w:rPr>
                <w:rFonts w:ascii="Arial"/>
                <w:sz w:val="21"/>
              </w:rPr>
            </w:pPr>
          </w:p>
          <w:p w14:paraId="3D7E6987">
            <w:pPr>
              <w:spacing w:line="242" w:lineRule="auto"/>
              <w:rPr>
                <w:rFonts w:ascii="Arial"/>
                <w:sz w:val="21"/>
              </w:rPr>
            </w:pPr>
          </w:p>
          <w:p w14:paraId="6DF26127">
            <w:pPr>
              <w:spacing w:line="243" w:lineRule="auto"/>
              <w:rPr>
                <w:rFonts w:ascii="Arial"/>
                <w:sz w:val="21"/>
              </w:rPr>
            </w:pPr>
          </w:p>
          <w:p w14:paraId="2EABB057">
            <w:pPr>
              <w:spacing w:line="243" w:lineRule="auto"/>
              <w:rPr>
                <w:rFonts w:ascii="Arial"/>
                <w:sz w:val="21"/>
              </w:rPr>
            </w:pPr>
          </w:p>
          <w:p w14:paraId="1CFD01AE">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29A70839">
      <w:pPr>
        <w:pStyle w:val="2"/>
      </w:pPr>
    </w:p>
    <w:p w14:paraId="01970191">
      <w:pPr>
        <w:sectPr>
          <w:footerReference r:id="rId115" w:type="default"/>
          <w:pgSz w:w="16839" w:h="11906"/>
          <w:pgMar w:top="1012" w:right="991" w:bottom="967" w:left="1021" w:header="0" w:footer="768" w:gutter="0"/>
          <w:cols w:space="720" w:num="1"/>
        </w:sectPr>
      </w:pPr>
    </w:p>
    <w:p w14:paraId="233BB1D1">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3FEB4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5C8487F2">
            <w:pPr>
              <w:pStyle w:val="8"/>
              <w:spacing w:before="267" w:line="221" w:lineRule="auto"/>
              <w:ind w:left="134"/>
            </w:pPr>
            <w:r>
              <w:rPr>
                <w:b/>
                <w:bCs/>
                <w:spacing w:val="-4"/>
              </w:rPr>
              <w:t>序号</w:t>
            </w:r>
          </w:p>
        </w:tc>
        <w:tc>
          <w:tcPr>
            <w:tcW w:w="1104" w:type="dxa"/>
            <w:vMerge w:val="restart"/>
            <w:tcBorders>
              <w:bottom w:val="nil"/>
            </w:tcBorders>
            <w:vAlign w:val="top"/>
          </w:tcPr>
          <w:p w14:paraId="7A22DE1E">
            <w:pPr>
              <w:pStyle w:val="8"/>
              <w:spacing w:before="260" w:line="220" w:lineRule="auto"/>
              <w:ind w:left="192"/>
            </w:pPr>
            <w:r>
              <w:rPr>
                <w:b/>
                <w:bCs/>
                <w:spacing w:val="-4"/>
              </w:rPr>
              <w:t>事项名称</w:t>
            </w:r>
          </w:p>
        </w:tc>
        <w:tc>
          <w:tcPr>
            <w:tcW w:w="1104" w:type="dxa"/>
            <w:vMerge w:val="restart"/>
            <w:tcBorders>
              <w:bottom w:val="nil"/>
            </w:tcBorders>
            <w:vAlign w:val="top"/>
          </w:tcPr>
          <w:p w14:paraId="31921CD0">
            <w:pPr>
              <w:pStyle w:val="8"/>
              <w:spacing w:before="260" w:line="219" w:lineRule="auto"/>
              <w:ind w:left="193"/>
            </w:pPr>
            <w:r>
              <w:rPr>
                <w:b/>
                <w:bCs/>
                <w:spacing w:val="-4"/>
              </w:rPr>
              <w:t>职权类型</w:t>
            </w:r>
          </w:p>
        </w:tc>
        <w:tc>
          <w:tcPr>
            <w:tcW w:w="8549" w:type="dxa"/>
            <w:vMerge w:val="restart"/>
            <w:tcBorders>
              <w:bottom w:val="nil"/>
            </w:tcBorders>
            <w:vAlign w:val="top"/>
          </w:tcPr>
          <w:p w14:paraId="29F71733">
            <w:pPr>
              <w:pStyle w:val="8"/>
              <w:spacing w:before="259" w:line="219" w:lineRule="auto"/>
              <w:ind w:left="3921"/>
            </w:pPr>
            <w:r>
              <w:rPr>
                <w:b/>
                <w:bCs/>
                <w:spacing w:val="-5"/>
              </w:rPr>
              <w:t>实施依据</w:t>
            </w:r>
          </w:p>
        </w:tc>
        <w:tc>
          <w:tcPr>
            <w:tcW w:w="3439" w:type="dxa"/>
            <w:gridSpan w:val="3"/>
            <w:vAlign w:val="top"/>
          </w:tcPr>
          <w:p w14:paraId="3D376CE9">
            <w:pPr>
              <w:pStyle w:val="8"/>
              <w:spacing w:before="85" w:line="220" w:lineRule="auto"/>
              <w:ind w:left="1365"/>
            </w:pPr>
            <w:r>
              <w:rPr>
                <w:b/>
                <w:bCs/>
                <w:spacing w:val="-5"/>
              </w:rPr>
              <w:t>实施主体</w:t>
            </w:r>
          </w:p>
        </w:tc>
      </w:tr>
      <w:tr w14:paraId="11DB7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725A3699">
            <w:pPr>
              <w:rPr>
                <w:rFonts w:ascii="Arial"/>
                <w:sz w:val="21"/>
              </w:rPr>
            </w:pPr>
          </w:p>
        </w:tc>
        <w:tc>
          <w:tcPr>
            <w:tcW w:w="1104" w:type="dxa"/>
            <w:vMerge w:val="continue"/>
            <w:tcBorders>
              <w:top w:val="nil"/>
            </w:tcBorders>
            <w:vAlign w:val="top"/>
          </w:tcPr>
          <w:p w14:paraId="033BA548">
            <w:pPr>
              <w:rPr>
                <w:rFonts w:ascii="Arial"/>
                <w:sz w:val="21"/>
              </w:rPr>
            </w:pPr>
          </w:p>
        </w:tc>
        <w:tc>
          <w:tcPr>
            <w:tcW w:w="1104" w:type="dxa"/>
            <w:vMerge w:val="continue"/>
            <w:tcBorders>
              <w:top w:val="nil"/>
            </w:tcBorders>
            <w:vAlign w:val="top"/>
          </w:tcPr>
          <w:p w14:paraId="796FD376">
            <w:pPr>
              <w:rPr>
                <w:rFonts w:ascii="Arial"/>
                <w:sz w:val="21"/>
              </w:rPr>
            </w:pPr>
          </w:p>
        </w:tc>
        <w:tc>
          <w:tcPr>
            <w:tcW w:w="8549" w:type="dxa"/>
            <w:vMerge w:val="continue"/>
            <w:tcBorders>
              <w:top w:val="nil"/>
            </w:tcBorders>
            <w:vAlign w:val="top"/>
          </w:tcPr>
          <w:p w14:paraId="40F6CBE0">
            <w:pPr>
              <w:rPr>
                <w:rFonts w:ascii="Arial"/>
                <w:sz w:val="21"/>
              </w:rPr>
            </w:pPr>
          </w:p>
        </w:tc>
        <w:tc>
          <w:tcPr>
            <w:tcW w:w="1014" w:type="dxa"/>
            <w:vAlign w:val="top"/>
          </w:tcPr>
          <w:p w14:paraId="578B9FAB">
            <w:pPr>
              <w:pStyle w:val="8"/>
              <w:spacing w:before="81" w:line="219" w:lineRule="auto"/>
              <w:ind w:left="158"/>
            </w:pPr>
            <w:r>
              <w:rPr>
                <w:b/>
                <w:bCs/>
                <w:spacing w:val="-5"/>
              </w:rPr>
              <w:t>责任部门</w:t>
            </w:r>
          </w:p>
        </w:tc>
        <w:tc>
          <w:tcPr>
            <w:tcW w:w="1407" w:type="dxa"/>
            <w:vAlign w:val="top"/>
          </w:tcPr>
          <w:p w14:paraId="78135F27">
            <w:pPr>
              <w:pStyle w:val="8"/>
              <w:spacing w:before="81" w:line="219" w:lineRule="auto"/>
              <w:ind w:left="167"/>
            </w:pPr>
            <w:r>
              <w:rPr>
                <w:b/>
                <w:bCs/>
                <w:spacing w:val="-3"/>
              </w:rPr>
              <w:t>第一责任层级</w:t>
            </w:r>
          </w:p>
        </w:tc>
        <w:tc>
          <w:tcPr>
            <w:tcW w:w="1018" w:type="dxa"/>
            <w:vAlign w:val="top"/>
          </w:tcPr>
          <w:p w14:paraId="4E04F055">
            <w:pPr>
              <w:pStyle w:val="8"/>
              <w:spacing w:before="81" w:line="219" w:lineRule="auto"/>
              <w:ind w:left="152"/>
            </w:pPr>
            <w:r>
              <w:rPr>
                <w:b/>
                <w:bCs/>
                <w:spacing w:val="-4"/>
              </w:rPr>
              <w:t>承办机构</w:t>
            </w:r>
          </w:p>
        </w:tc>
      </w:tr>
      <w:tr w14:paraId="63F57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2" w:hRule="atLeast"/>
        </w:trPr>
        <w:tc>
          <w:tcPr>
            <w:tcW w:w="624" w:type="dxa"/>
            <w:vAlign w:val="top"/>
          </w:tcPr>
          <w:p w14:paraId="44156D70">
            <w:pPr>
              <w:spacing w:line="242" w:lineRule="auto"/>
              <w:rPr>
                <w:rFonts w:ascii="Arial"/>
                <w:sz w:val="21"/>
              </w:rPr>
            </w:pPr>
          </w:p>
          <w:p w14:paraId="1C08C79F">
            <w:pPr>
              <w:spacing w:line="242" w:lineRule="auto"/>
              <w:rPr>
                <w:rFonts w:ascii="Arial"/>
                <w:sz w:val="21"/>
              </w:rPr>
            </w:pPr>
          </w:p>
          <w:p w14:paraId="256A0F2F">
            <w:pPr>
              <w:spacing w:line="242" w:lineRule="auto"/>
              <w:rPr>
                <w:rFonts w:ascii="Arial"/>
                <w:sz w:val="21"/>
              </w:rPr>
            </w:pPr>
          </w:p>
          <w:p w14:paraId="3471FBD8">
            <w:pPr>
              <w:spacing w:line="242" w:lineRule="auto"/>
              <w:rPr>
                <w:rFonts w:ascii="Arial"/>
                <w:sz w:val="21"/>
              </w:rPr>
            </w:pPr>
          </w:p>
          <w:p w14:paraId="7D4E0C1C">
            <w:pPr>
              <w:spacing w:line="242" w:lineRule="auto"/>
              <w:rPr>
                <w:rFonts w:ascii="Arial"/>
                <w:sz w:val="21"/>
              </w:rPr>
            </w:pPr>
          </w:p>
          <w:p w14:paraId="4B89A109">
            <w:pPr>
              <w:spacing w:line="242" w:lineRule="auto"/>
              <w:rPr>
                <w:rFonts w:ascii="Arial"/>
                <w:sz w:val="21"/>
              </w:rPr>
            </w:pPr>
          </w:p>
          <w:p w14:paraId="66B78A05">
            <w:pPr>
              <w:spacing w:line="243" w:lineRule="auto"/>
              <w:rPr>
                <w:rFonts w:ascii="Arial"/>
                <w:sz w:val="21"/>
              </w:rPr>
            </w:pPr>
          </w:p>
          <w:p w14:paraId="5BDC818F">
            <w:pPr>
              <w:spacing w:line="243" w:lineRule="auto"/>
              <w:rPr>
                <w:rFonts w:ascii="Arial"/>
                <w:sz w:val="21"/>
              </w:rPr>
            </w:pPr>
          </w:p>
          <w:p w14:paraId="48C5975B">
            <w:pPr>
              <w:spacing w:line="243" w:lineRule="auto"/>
              <w:rPr>
                <w:rFonts w:ascii="Arial"/>
                <w:sz w:val="21"/>
              </w:rPr>
            </w:pPr>
          </w:p>
          <w:p w14:paraId="2E0643A8">
            <w:pPr>
              <w:pStyle w:val="8"/>
              <w:spacing w:before="59" w:line="183" w:lineRule="auto"/>
              <w:ind w:left="235"/>
            </w:pPr>
            <w:r>
              <w:rPr>
                <w:spacing w:val="-6"/>
              </w:rPr>
              <w:t>76</w:t>
            </w:r>
          </w:p>
        </w:tc>
        <w:tc>
          <w:tcPr>
            <w:tcW w:w="1104" w:type="dxa"/>
            <w:vAlign w:val="top"/>
          </w:tcPr>
          <w:p w14:paraId="34670CF6">
            <w:pPr>
              <w:rPr>
                <w:rFonts w:ascii="Arial"/>
                <w:sz w:val="21"/>
              </w:rPr>
            </w:pPr>
          </w:p>
          <w:p w14:paraId="6D9BC031">
            <w:pPr>
              <w:rPr>
                <w:rFonts w:ascii="Arial"/>
                <w:sz w:val="21"/>
              </w:rPr>
            </w:pPr>
          </w:p>
          <w:p w14:paraId="3EA9DCA7">
            <w:pPr>
              <w:rPr>
                <w:rFonts w:ascii="Arial"/>
                <w:sz w:val="21"/>
              </w:rPr>
            </w:pPr>
          </w:p>
          <w:p w14:paraId="74109850">
            <w:pPr>
              <w:spacing w:line="241" w:lineRule="auto"/>
              <w:rPr>
                <w:rFonts w:ascii="Arial"/>
                <w:sz w:val="21"/>
              </w:rPr>
            </w:pPr>
          </w:p>
          <w:p w14:paraId="5F72A9A1">
            <w:pPr>
              <w:pStyle w:val="8"/>
              <w:spacing w:before="59" w:line="244" w:lineRule="auto"/>
              <w:ind w:left="60" w:right="54"/>
              <w:jc w:val="both"/>
            </w:pPr>
            <w:r>
              <w:rPr>
                <w:spacing w:val="16"/>
              </w:rPr>
              <w:t>对危险货物</w:t>
            </w:r>
            <w:r>
              <w:rPr>
                <w:spacing w:val="3"/>
              </w:rPr>
              <w:t xml:space="preserve"> </w:t>
            </w:r>
            <w:r>
              <w:rPr>
                <w:spacing w:val="5"/>
              </w:rPr>
              <w:t>港</w:t>
            </w:r>
            <w:r>
              <w:rPr>
                <w:spacing w:val="-32"/>
              </w:rPr>
              <w:t xml:space="preserve"> </w:t>
            </w:r>
            <w:r>
              <w:rPr>
                <w:spacing w:val="5"/>
              </w:rPr>
              <w:t>口建设项</w:t>
            </w:r>
            <w:r>
              <w:t xml:space="preserve"> </w:t>
            </w:r>
            <w:r>
              <w:rPr>
                <w:spacing w:val="16"/>
              </w:rPr>
              <w:t>目没有安全</w:t>
            </w:r>
            <w:r>
              <w:rPr>
                <w:spacing w:val="3"/>
              </w:rPr>
              <w:t xml:space="preserve"> </w:t>
            </w:r>
            <w:r>
              <w:rPr>
                <w:spacing w:val="16"/>
              </w:rPr>
              <w:t>设施设计或</w:t>
            </w:r>
            <w:r>
              <w:rPr>
                <w:spacing w:val="1"/>
              </w:rPr>
              <w:t xml:space="preserve"> </w:t>
            </w:r>
            <w:r>
              <w:rPr>
                <w:spacing w:val="16"/>
              </w:rPr>
              <w:t>者安全设施</w:t>
            </w:r>
            <w:r>
              <w:rPr>
                <w:spacing w:val="1"/>
              </w:rPr>
              <w:t xml:space="preserve"> </w:t>
            </w:r>
            <w:r>
              <w:rPr>
                <w:spacing w:val="9"/>
              </w:rPr>
              <w:t>设计未按</w:t>
            </w:r>
            <w:r>
              <w:rPr>
                <w:spacing w:val="-54"/>
              </w:rPr>
              <w:t xml:space="preserve"> </w:t>
            </w:r>
            <w:r>
              <w:rPr>
                <w:spacing w:val="9"/>
              </w:rPr>
              <w:t>照</w:t>
            </w:r>
            <w:r>
              <w:t xml:space="preserve"> </w:t>
            </w:r>
            <w:r>
              <w:rPr>
                <w:spacing w:val="16"/>
              </w:rPr>
              <w:t>规定报经港</w:t>
            </w:r>
            <w:r>
              <w:rPr>
                <w:spacing w:val="3"/>
              </w:rPr>
              <w:t xml:space="preserve"> </w:t>
            </w:r>
            <w:r>
              <w:rPr>
                <w:spacing w:val="16"/>
              </w:rPr>
              <w:t>口管理部门</w:t>
            </w:r>
            <w:r>
              <w:rPr>
                <w:spacing w:val="3"/>
              </w:rPr>
              <w:t xml:space="preserve"> </w:t>
            </w:r>
            <w:r>
              <w:rPr>
                <w:spacing w:val="16"/>
              </w:rPr>
              <w:t>审查同意行</w:t>
            </w:r>
            <w:r>
              <w:rPr>
                <w:spacing w:val="3"/>
              </w:rPr>
              <w:t xml:space="preserve"> </w:t>
            </w:r>
            <w:r>
              <w:rPr>
                <w:spacing w:val="-9"/>
              </w:rPr>
              <w:t>为</w:t>
            </w:r>
            <w:r>
              <w:rPr>
                <w:spacing w:val="11"/>
              </w:rPr>
              <w:t xml:space="preserve"> </w:t>
            </w:r>
            <w:r>
              <w:rPr>
                <w:spacing w:val="-9"/>
              </w:rPr>
              <w:t>的 行 政</w:t>
            </w:r>
            <w:r>
              <w:t xml:space="preserve"> </w:t>
            </w:r>
            <w:r>
              <w:rPr>
                <w:spacing w:val="21"/>
              </w:rPr>
              <w:t>处罚</w:t>
            </w:r>
          </w:p>
        </w:tc>
        <w:tc>
          <w:tcPr>
            <w:tcW w:w="1104" w:type="dxa"/>
            <w:vAlign w:val="top"/>
          </w:tcPr>
          <w:p w14:paraId="4414C67F">
            <w:pPr>
              <w:spacing w:line="269" w:lineRule="auto"/>
              <w:rPr>
                <w:rFonts w:ascii="Arial"/>
                <w:sz w:val="21"/>
              </w:rPr>
            </w:pPr>
          </w:p>
          <w:p w14:paraId="13FB1CE8">
            <w:pPr>
              <w:spacing w:line="269" w:lineRule="auto"/>
              <w:rPr>
                <w:rFonts w:ascii="Arial"/>
                <w:sz w:val="21"/>
              </w:rPr>
            </w:pPr>
          </w:p>
          <w:p w14:paraId="3BFA6371">
            <w:pPr>
              <w:spacing w:line="269" w:lineRule="auto"/>
              <w:rPr>
                <w:rFonts w:ascii="Arial"/>
                <w:sz w:val="21"/>
              </w:rPr>
            </w:pPr>
          </w:p>
          <w:p w14:paraId="57A39A58">
            <w:pPr>
              <w:spacing w:line="269" w:lineRule="auto"/>
              <w:rPr>
                <w:rFonts w:ascii="Arial"/>
                <w:sz w:val="21"/>
              </w:rPr>
            </w:pPr>
          </w:p>
          <w:p w14:paraId="659E5F64">
            <w:pPr>
              <w:spacing w:line="269" w:lineRule="auto"/>
              <w:rPr>
                <w:rFonts w:ascii="Arial"/>
                <w:sz w:val="21"/>
              </w:rPr>
            </w:pPr>
          </w:p>
          <w:p w14:paraId="7EA7F180">
            <w:pPr>
              <w:spacing w:line="269" w:lineRule="auto"/>
              <w:rPr>
                <w:rFonts w:ascii="Arial"/>
                <w:sz w:val="21"/>
              </w:rPr>
            </w:pPr>
          </w:p>
          <w:p w14:paraId="746A217A">
            <w:pPr>
              <w:spacing w:line="269" w:lineRule="auto"/>
              <w:rPr>
                <w:rFonts w:ascii="Arial"/>
                <w:sz w:val="21"/>
              </w:rPr>
            </w:pPr>
          </w:p>
          <w:p w14:paraId="64FE8ABD">
            <w:pPr>
              <w:spacing w:line="270" w:lineRule="auto"/>
              <w:rPr>
                <w:rFonts w:ascii="Arial"/>
                <w:sz w:val="21"/>
              </w:rPr>
            </w:pPr>
          </w:p>
          <w:p w14:paraId="687F9493">
            <w:pPr>
              <w:pStyle w:val="8"/>
              <w:spacing w:before="58" w:line="220" w:lineRule="auto"/>
              <w:ind w:left="10"/>
            </w:pPr>
            <w:r>
              <w:rPr>
                <w:spacing w:val="-2"/>
              </w:rPr>
              <w:t>行政处罚</w:t>
            </w:r>
          </w:p>
        </w:tc>
        <w:tc>
          <w:tcPr>
            <w:tcW w:w="8549" w:type="dxa"/>
            <w:vAlign w:val="top"/>
          </w:tcPr>
          <w:p w14:paraId="4A9CFFC1">
            <w:pPr>
              <w:spacing w:line="364" w:lineRule="auto"/>
              <w:rPr>
                <w:rFonts w:ascii="Arial"/>
                <w:sz w:val="21"/>
              </w:rPr>
            </w:pPr>
          </w:p>
          <w:p w14:paraId="2694B309">
            <w:pPr>
              <w:pStyle w:val="8"/>
              <w:spacing w:before="59" w:line="219" w:lineRule="auto"/>
              <w:ind w:left="484"/>
            </w:pPr>
            <w:r>
              <w:rPr>
                <w:b/>
                <w:bCs/>
                <w:spacing w:val="-4"/>
              </w:rPr>
              <w:t>1.《中华人民共和国安全生产法》</w:t>
            </w:r>
          </w:p>
          <w:p w14:paraId="7B7E184C">
            <w:pPr>
              <w:pStyle w:val="8"/>
              <w:spacing w:before="26" w:line="219" w:lineRule="auto"/>
              <w:ind w:left="471"/>
            </w:pPr>
            <w:r>
              <w:rPr>
                <w:spacing w:val="-1"/>
              </w:rPr>
              <w:t>第三十三条  建设项目安全设施的设计人、设计单位应当对安全设施设计负</w:t>
            </w:r>
            <w:r>
              <w:rPr>
                <w:spacing w:val="-2"/>
              </w:rPr>
              <w:t>责。</w:t>
            </w:r>
          </w:p>
          <w:p w14:paraId="50A80981">
            <w:pPr>
              <w:pStyle w:val="8"/>
              <w:spacing w:before="25" w:line="233" w:lineRule="auto"/>
              <w:ind w:left="111" w:right="159" w:firstLine="358"/>
            </w:pPr>
            <w:r>
              <w:t>矿山、金属冶炼建设项目和用于生产、储存、装卸危险物品的建设项目的安全设施</w:t>
            </w:r>
            <w:r>
              <w:rPr>
                <w:spacing w:val="-1"/>
              </w:rPr>
              <w:t>设计应当按照国家</w:t>
            </w:r>
            <w:r>
              <w:t xml:space="preserve"> </w:t>
            </w:r>
            <w:r>
              <w:rPr>
                <w:spacing w:val="-1"/>
              </w:rPr>
              <w:t>有关规定报经有关部门审查，审查部门及其负责审查的人员对审查结果负责。</w:t>
            </w:r>
          </w:p>
          <w:p w14:paraId="4BE80094">
            <w:pPr>
              <w:pStyle w:val="8"/>
              <w:spacing w:before="24" w:line="242" w:lineRule="auto"/>
              <w:ind w:left="111" w:right="159" w:firstLine="360"/>
            </w:pPr>
            <w:r>
              <w:t>第九十八条第（二）项  生产经营单位有下列行为之一的，责令停止建设或者停</w:t>
            </w:r>
            <w:r>
              <w:rPr>
                <w:spacing w:val="-1"/>
              </w:rPr>
              <w:t>产停业整顿，限期改</w:t>
            </w:r>
            <w:r>
              <w:t xml:space="preserve"> 正，并处十万元以上五十万元以下的罚款，对其直接负责的主管人员和其他直接责任</w:t>
            </w:r>
            <w:r>
              <w:rPr>
                <w:spacing w:val="-1"/>
              </w:rPr>
              <w:t>人员处二万元以上五</w:t>
            </w:r>
            <w:r>
              <w:t xml:space="preserve"> 万元以下的罚款；逾期未改正的，处五十万元以上一百万元以下的罚款，对其直接负</w:t>
            </w:r>
            <w:r>
              <w:rPr>
                <w:spacing w:val="-1"/>
              </w:rPr>
              <w:t>责的主管人员和其他</w:t>
            </w:r>
            <w:r>
              <w:t xml:space="preserve"> 直接责任人员处五万元以上十万元以下的罚款；构成犯罪的，依照刑法有关规定追</w:t>
            </w:r>
            <w:r>
              <w:rPr>
                <w:spacing w:val="-1"/>
              </w:rPr>
              <w:t>究刑事责任：（二）矿</w:t>
            </w:r>
            <w:r>
              <w:rPr>
                <w:spacing w:val="1"/>
              </w:rPr>
              <w:t xml:space="preserve"> </w:t>
            </w:r>
            <w:r>
              <w:t>山、金属冶炼建设项目或者用于生产、储存、装卸危险物品的建设项目没有安全设施</w:t>
            </w:r>
            <w:r>
              <w:rPr>
                <w:spacing w:val="-1"/>
              </w:rPr>
              <w:t>设计或者安全设施设</w:t>
            </w:r>
            <w:r>
              <w:t xml:space="preserve"> </w:t>
            </w:r>
            <w:r>
              <w:rPr>
                <w:spacing w:val="-3"/>
              </w:rPr>
              <w:t>计未按照规定报经有关部门审查同意的；</w:t>
            </w:r>
          </w:p>
          <w:p w14:paraId="25FC472A">
            <w:pPr>
              <w:pStyle w:val="8"/>
              <w:spacing w:before="25"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4739EED3">
            <w:pPr>
              <w:pStyle w:val="8"/>
              <w:spacing w:before="26" w:line="241" w:lineRule="auto"/>
              <w:ind w:left="111" w:right="159" w:firstLine="359"/>
              <w:jc w:val="both"/>
            </w:pPr>
            <w:r>
              <w:t>第七十二条第（二）项  危险货物港口建设项目有下列行为之一的，由所在地港</w:t>
            </w:r>
            <w:r>
              <w:rPr>
                <w:spacing w:val="-1"/>
              </w:rPr>
              <w:t>口行政管理部门责令</w:t>
            </w:r>
            <w:r>
              <w:t xml:space="preserve"> 停止建设或者停产停业整顿，限期改正，并处十万元以上五十万元以下的罚款，对其</w:t>
            </w:r>
            <w:r>
              <w:rPr>
                <w:spacing w:val="-1"/>
              </w:rPr>
              <w:t>直接负责的主管人员</w:t>
            </w:r>
            <w:r>
              <w:t xml:space="preserve"> 和其他直接责任人员处二万元以上五万元以下的罚款；逾期未改正的，处五十万元以</w:t>
            </w:r>
            <w:r>
              <w:rPr>
                <w:spacing w:val="-1"/>
              </w:rPr>
              <w:t>上一百万元以下的罚</w:t>
            </w:r>
            <w:r>
              <w:t xml:space="preserve"> 款，对其直接负责的主管人员和其他直接责任人员处五万元以上十万元以下的罚</w:t>
            </w:r>
            <w:r>
              <w:rPr>
                <w:spacing w:val="-1"/>
              </w:rPr>
              <w:t>款</w:t>
            </w:r>
            <w:r>
              <w:t>：（</w:t>
            </w:r>
            <w:r>
              <w:rPr>
                <w:spacing w:val="-1"/>
              </w:rPr>
              <w:t>二）没有安全设施</w:t>
            </w:r>
            <w:r>
              <w:t xml:space="preserve"> </w:t>
            </w:r>
            <w:r>
              <w:rPr>
                <w:spacing w:val="-2"/>
              </w:rPr>
              <w:t>设计或者安全设施设计未按照规定报经港口行政管理部门审查同意的；</w:t>
            </w:r>
          </w:p>
        </w:tc>
        <w:tc>
          <w:tcPr>
            <w:tcW w:w="1014" w:type="dxa"/>
            <w:vAlign w:val="top"/>
          </w:tcPr>
          <w:p w14:paraId="6FDCA3AB">
            <w:pPr>
              <w:spacing w:line="254" w:lineRule="auto"/>
              <w:rPr>
                <w:rFonts w:ascii="Arial"/>
                <w:sz w:val="21"/>
              </w:rPr>
            </w:pPr>
          </w:p>
          <w:p w14:paraId="7FC7BD88">
            <w:pPr>
              <w:spacing w:line="254" w:lineRule="auto"/>
              <w:rPr>
                <w:rFonts w:ascii="Arial"/>
                <w:sz w:val="21"/>
              </w:rPr>
            </w:pPr>
          </w:p>
          <w:p w14:paraId="35102C44">
            <w:pPr>
              <w:spacing w:line="254" w:lineRule="auto"/>
              <w:rPr>
                <w:rFonts w:ascii="Arial"/>
                <w:sz w:val="21"/>
              </w:rPr>
            </w:pPr>
          </w:p>
          <w:p w14:paraId="574C6CB1">
            <w:pPr>
              <w:spacing w:line="254" w:lineRule="auto"/>
              <w:rPr>
                <w:rFonts w:ascii="Arial"/>
                <w:sz w:val="21"/>
              </w:rPr>
            </w:pPr>
          </w:p>
          <w:p w14:paraId="31F65F90">
            <w:pPr>
              <w:spacing w:line="254" w:lineRule="auto"/>
              <w:rPr>
                <w:rFonts w:ascii="Arial"/>
                <w:sz w:val="21"/>
              </w:rPr>
            </w:pPr>
          </w:p>
          <w:p w14:paraId="02B0E616">
            <w:pPr>
              <w:spacing w:line="254" w:lineRule="auto"/>
              <w:rPr>
                <w:rFonts w:ascii="Arial"/>
                <w:sz w:val="21"/>
              </w:rPr>
            </w:pPr>
          </w:p>
          <w:p w14:paraId="078E0ADA">
            <w:pPr>
              <w:spacing w:line="254" w:lineRule="auto"/>
              <w:rPr>
                <w:rFonts w:ascii="Arial"/>
                <w:sz w:val="21"/>
              </w:rPr>
            </w:pPr>
          </w:p>
          <w:p w14:paraId="5F1114D6">
            <w:pPr>
              <w:spacing w:line="255" w:lineRule="auto"/>
              <w:rPr>
                <w:rFonts w:ascii="Arial"/>
                <w:sz w:val="21"/>
              </w:rPr>
            </w:pPr>
          </w:p>
          <w:p w14:paraId="641FEE6E">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3A81A31C">
            <w:pPr>
              <w:spacing w:line="254" w:lineRule="auto"/>
              <w:rPr>
                <w:rFonts w:ascii="Arial"/>
                <w:sz w:val="21"/>
              </w:rPr>
            </w:pPr>
          </w:p>
          <w:p w14:paraId="054012D8">
            <w:pPr>
              <w:spacing w:line="254" w:lineRule="auto"/>
              <w:rPr>
                <w:rFonts w:ascii="Arial"/>
                <w:sz w:val="21"/>
              </w:rPr>
            </w:pPr>
          </w:p>
          <w:p w14:paraId="22537809">
            <w:pPr>
              <w:spacing w:line="254" w:lineRule="auto"/>
              <w:rPr>
                <w:rFonts w:ascii="Arial"/>
                <w:sz w:val="21"/>
              </w:rPr>
            </w:pPr>
          </w:p>
          <w:p w14:paraId="3091F5B5">
            <w:pPr>
              <w:spacing w:line="254" w:lineRule="auto"/>
              <w:rPr>
                <w:rFonts w:ascii="Arial"/>
                <w:sz w:val="21"/>
              </w:rPr>
            </w:pPr>
          </w:p>
          <w:p w14:paraId="17A377B0">
            <w:pPr>
              <w:spacing w:line="254" w:lineRule="auto"/>
              <w:rPr>
                <w:rFonts w:ascii="Arial"/>
                <w:sz w:val="21"/>
              </w:rPr>
            </w:pPr>
          </w:p>
          <w:p w14:paraId="2397324B">
            <w:pPr>
              <w:spacing w:line="254" w:lineRule="auto"/>
              <w:rPr>
                <w:rFonts w:ascii="Arial"/>
                <w:sz w:val="21"/>
              </w:rPr>
            </w:pPr>
          </w:p>
          <w:p w14:paraId="26B343B5">
            <w:pPr>
              <w:spacing w:line="254" w:lineRule="auto"/>
              <w:rPr>
                <w:rFonts w:ascii="Arial"/>
                <w:sz w:val="21"/>
              </w:rPr>
            </w:pPr>
          </w:p>
          <w:p w14:paraId="1424B578">
            <w:pPr>
              <w:spacing w:line="255" w:lineRule="auto"/>
              <w:rPr>
                <w:rFonts w:ascii="Arial"/>
                <w:sz w:val="21"/>
              </w:rPr>
            </w:pPr>
          </w:p>
          <w:p w14:paraId="1A4C9441">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F415FD8">
            <w:pPr>
              <w:spacing w:line="256" w:lineRule="auto"/>
              <w:rPr>
                <w:rFonts w:ascii="Arial"/>
                <w:sz w:val="21"/>
              </w:rPr>
            </w:pPr>
          </w:p>
          <w:p w14:paraId="47FF3145">
            <w:pPr>
              <w:spacing w:line="256" w:lineRule="auto"/>
              <w:rPr>
                <w:rFonts w:ascii="Arial"/>
                <w:sz w:val="21"/>
              </w:rPr>
            </w:pPr>
          </w:p>
          <w:p w14:paraId="07685528">
            <w:pPr>
              <w:spacing w:line="256" w:lineRule="auto"/>
              <w:rPr>
                <w:rFonts w:ascii="Arial"/>
                <w:sz w:val="21"/>
              </w:rPr>
            </w:pPr>
          </w:p>
          <w:p w14:paraId="6DC3EC2B">
            <w:pPr>
              <w:spacing w:line="257" w:lineRule="auto"/>
              <w:rPr>
                <w:rFonts w:ascii="Arial"/>
                <w:sz w:val="21"/>
              </w:rPr>
            </w:pPr>
          </w:p>
          <w:p w14:paraId="76746253">
            <w:pPr>
              <w:spacing w:line="257" w:lineRule="auto"/>
              <w:rPr>
                <w:rFonts w:ascii="Arial"/>
                <w:sz w:val="21"/>
              </w:rPr>
            </w:pPr>
          </w:p>
          <w:p w14:paraId="2F1B9C5E">
            <w:pPr>
              <w:spacing w:line="257" w:lineRule="auto"/>
              <w:rPr>
                <w:rFonts w:ascii="Arial"/>
                <w:sz w:val="21"/>
              </w:rPr>
            </w:pPr>
          </w:p>
          <w:p w14:paraId="4641B552">
            <w:pPr>
              <w:spacing w:line="257" w:lineRule="auto"/>
              <w:rPr>
                <w:rFonts w:ascii="Arial"/>
                <w:sz w:val="21"/>
              </w:rPr>
            </w:pPr>
          </w:p>
          <w:p w14:paraId="5A284373">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14698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6" w:hRule="atLeast"/>
        </w:trPr>
        <w:tc>
          <w:tcPr>
            <w:tcW w:w="624" w:type="dxa"/>
            <w:vAlign w:val="top"/>
          </w:tcPr>
          <w:p w14:paraId="7A210663">
            <w:pPr>
              <w:rPr>
                <w:rFonts w:ascii="Arial"/>
                <w:sz w:val="21"/>
              </w:rPr>
            </w:pPr>
          </w:p>
          <w:p w14:paraId="3899973D">
            <w:pPr>
              <w:rPr>
                <w:rFonts w:ascii="Arial"/>
                <w:sz w:val="21"/>
              </w:rPr>
            </w:pPr>
          </w:p>
          <w:p w14:paraId="64647029">
            <w:pPr>
              <w:rPr>
                <w:rFonts w:ascii="Arial"/>
                <w:sz w:val="21"/>
              </w:rPr>
            </w:pPr>
          </w:p>
          <w:p w14:paraId="3E363BE7">
            <w:pPr>
              <w:spacing w:line="241" w:lineRule="auto"/>
              <w:rPr>
                <w:rFonts w:ascii="Arial"/>
                <w:sz w:val="21"/>
              </w:rPr>
            </w:pPr>
          </w:p>
          <w:p w14:paraId="1D29A1A1">
            <w:pPr>
              <w:spacing w:line="241" w:lineRule="auto"/>
              <w:rPr>
                <w:rFonts w:ascii="Arial"/>
                <w:sz w:val="21"/>
              </w:rPr>
            </w:pPr>
          </w:p>
          <w:p w14:paraId="6F4DA315">
            <w:pPr>
              <w:spacing w:line="241" w:lineRule="auto"/>
              <w:rPr>
                <w:rFonts w:ascii="Arial"/>
                <w:sz w:val="21"/>
              </w:rPr>
            </w:pPr>
          </w:p>
          <w:p w14:paraId="5CB14CEE">
            <w:pPr>
              <w:spacing w:line="241" w:lineRule="auto"/>
              <w:rPr>
                <w:rFonts w:ascii="Arial"/>
                <w:sz w:val="21"/>
              </w:rPr>
            </w:pPr>
          </w:p>
          <w:p w14:paraId="6A688577">
            <w:pPr>
              <w:spacing w:line="241" w:lineRule="auto"/>
              <w:rPr>
                <w:rFonts w:ascii="Arial"/>
                <w:sz w:val="21"/>
              </w:rPr>
            </w:pPr>
          </w:p>
          <w:p w14:paraId="44A2717D">
            <w:pPr>
              <w:pStyle w:val="8"/>
              <w:spacing w:before="58" w:line="182" w:lineRule="auto"/>
              <w:ind w:left="235"/>
            </w:pPr>
            <w:r>
              <w:rPr>
                <w:spacing w:val="-6"/>
              </w:rPr>
              <w:t>77</w:t>
            </w:r>
          </w:p>
        </w:tc>
        <w:tc>
          <w:tcPr>
            <w:tcW w:w="1104" w:type="dxa"/>
            <w:vAlign w:val="top"/>
          </w:tcPr>
          <w:p w14:paraId="2D605B64">
            <w:pPr>
              <w:spacing w:line="295" w:lineRule="auto"/>
              <w:rPr>
                <w:rFonts w:ascii="Arial"/>
                <w:sz w:val="21"/>
              </w:rPr>
            </w:pPr>
          </w:p>
          <w:p w14:paraId="60BEFCEF">
            <w:pPr>
              <w:spacing w:line="295" w:lineRule="auto"/>
              <w:rPr>
                <w:rFonts w:ascii="Arial"/>
                <w:sz w:val="21"/>
              </w:rPr>
            </w:pPr>
          </w:p>
          <w:p w14:paraId="4F51016E">
            <w:pPr>
              <w:spacing w:line="295" w:lineRule="auto"/>
              <w:rPr>
                <w:rFonts w:ascii="Arial"/>
                <w:sz w:val="21"/>
              </w:rPr>
            </w:pPr>
          </w:p>
          <w:p w14:paraId="762FDE98">
            <w:pPr>
              <w:spacing w:line="295" w:lineRule="auto"/>
              <w:rPr>
                <w:rFonts w:ascii="Arial"/>
                <w:sz w:val="21"/>
              </w:rPr>
            </w:pPr>
          </w:p>
          <w:p w14:paraId="17B78B84">
            <w:pPr>
              <w:pStyle w:val="8"/>
              <w:spacing w:before="58" w:line="243" w:lineRule="auto"/>
              <w:ind w:left="60" w:right="54"/>
              <w:jc w:val="both"/>
            </w:pPr>
            <w:r>
              <w:rPr>
                <w:spacing w:val="16"/>
              </w:rPr>
              <w:t>对危险货物</w:t>
            </w:r>
            <w:r>
              <w:rPr>
                <w:spacing w:val="3"/>
              </w:rPr>
              <w:t xml:space="preserve"> </w:t>
            </w:r>
            <w:r>
              <w:rPr>
                <w:spacing w:val="5"/>
              </w:rPr>
              <w:t>港</w:t>
            </w:r>
            <w:r>
              <w:rPr>
                <w:spacing w:val="-32"/>
              </w:rPr>
              <w:t xml:space="preserve"> </w:t>
            </w:r>
            <w:r>
              <w:rPr>
                <w:spacing w:val="5"/>
              </w:rPr>
              <w:t>口建设项</w:t>
            </w:r>
            <w:r>
              <w:t xml:space="preserve"> </w:t>
            </w:r>
            <w:r>
              <w:rPr>
                <w:spacing w:val="9"/>
              </w:rPr>
              <w:t>目未按</w:t>
            </w:r>
            <w:r>
              <w:rPr>
                <w:spacing w:val="-52"/>
              </w:rPr>
              <w:t xml:space="preserve"> </w:t>
            </w:r>
            <w:r>
              <w:rPr>
                <w:spacing w:val="9"/>
              </w:rPr>
              <w:t>照批</w:t>
            </w:r>
            <w:r>
              <w:t xml:space="preserve"> </w:t>
            </w:r>
            <w:r>
              <w:rPr>
                <w:spacing w:val="7"/>
              </w:rPr>
              <w:t>准</w:t>
            </w:r>
            <w:r>
              <w:rPr>
                <w:spacing w:val="-42"/>
              </w:rPr>
              <w:t xml:space="preserve"> </w:t>
            </w:r>
            <w:r>
              <w:rPr>
                <w:spacing w:val="7"/>
              </w:rPr>
              <w:t>的安全设</w:t>
            </w:r>
            <w:r>
              <w:t xml:space="preserve"> </w:t>
            </w:r>
            <w:r>
              <w:rPr>
                <w:spacing w:val="16"/>
              </w:rPr>
              <w:t>施设计施工</w:t>
            </w:r>
            <w:r>
              <w:rPr>
                <w:spacing w:val="3"/>
              </w:rPr>
              <w:t xml:space="preserve"> </w:t>
            </w:r>
            <w:r>
              <w:rPr>
                <w:spacing w:val="16"/>
              </w:rPr>
              <w:t>行为的行政</w:t>
            </w:r>
            <w:r>
              <w:rPr>
                <w:spacing w:val="3"/>
              </w:rPr>
              <w:t xml:space="preserve"> </w:t>
            </w:r>
            <w:r>
              <w:rPr>
                <w:spacing w:val="-4"/>
              </w:rPr>
              <w:t>处</w:t>
            </w:r>
            <w:r>
              <w:rPr>
                <w:spacing w:val="7"/>
              </w:rPr>
              <w:t xml:space="preserve"> </w:t>
            </w:r>
            <w:r>
              <w:rPr>
                <w:spacing w:val="-4"/>
              </w:rPr>
              <w:t>罚</w:t>
            </w:r>
          </w:p>
        </w:tc>
        <w:tc>
          <w:tcPr>
            <w:tcW w:w="1104" w:type="dxa"/>
            <w:vAlign w:val="top"/>
          </w:tcPr>
          <w:p w14:paraId="34624CCE">
            <w:pPr>
              <w:spacing w:line="270" w:lineRule="auto"/>
              <w:rPr>
                <w:rFonts w:ascii="Arial"/>
                <w:sz w:val="21"/>
              </w:rPr>
            </w:pPr>
          </w:p>
          <w:p w14:paraId="2581BB47">
            <w:pPr>
              <w:spacing w:line="271" w:lineRule="auto"/>
              <w:rPr>
                <w:rFonts w:ascii="Arial"/>
                <w:sz w:val="21"/>
              </w:rPr>
            </w:pPr>
          </w:p>
          <w:p w14:paraId="7CB75002">
            <w:pPr>
              <w:spacing w:line="271" w:lineRule="auto"/>
              <w:rPr>
                <w:rFonts w:ascii="Arial"/>
                <w:sz w:val="21"/>
              </w:rPr>
            </w:pPr>
          </w:p>
          <w:p w14:paraId="44BD85DD">
            <w:pPr>
              <w:spacing w:line="271" w:lineRule="auto"/>
              <w:rPr>
                <w:rFonts w:ascii="Arial"/>
                <w:sz w:val="21"/>
              </w:rPr>
            </w:pPr>
          </w:p>
          <w:p w14:paraId="4452B7DC">
            <w:pPr>
              <w:spacing w:line="271" w:lineRule="auto"/>
              <w:rPr>
                <w:rFonts w:ascii="Arial"/>
                <w:sz w:val="21"/>
              </w:rPr>
            </w:pPr>
          </w:p>
          <w:p w14:paraId="1CF4A72A">
            <w:pPr>
              <w:spacing w:line="271" w:lineRule="auto"/>
              <w:rPr>
                <w:rFonts w:ascii="Arial"/>
                <w:sz w:val="21"/>
              </w:rPr>
            </w:pPr>
          </w:p>
          <w:p w14:paraId="799D9F7C">
            <w:pPr>
              <w:spacing w:line="271" w:lineRule="auto"/>
              <w:rPr>
                <w:rFonts w:ascii="Arial"/>
                <w:sz w:val="21"/>
              </w:rPr>
            </w:pPr>
          </w:p>
          <w:p w14:paraId="4D093B05">
            <w:pPr>
              <w:pStyle w:val="8"/>
              <w:spacing w:before="58" w:line="220" w:lineRule="auto"/>
              <w:ind w:left="10"/>
            </w:pPr>
            <w:r>
              <w:rPr>
                <w:spacing w:val="-2"/>
              </w:rPr>
              <w:t>行政处罚</w:t>
            </w:r>
          </w:p>
        </w:tc>
        <w:tc>
          <w:tcPr>
            <w:tcW w:w="8549" w:type="dxa"/>
            <w:vAlign w:val="top"/>
          </w:tcPr>
          <w:p w14:paraId="5315E667">
            <w:pPr>
              <w:pStyle w:val="8"/>
              <w:spacing w:before="286" w:line="219" w:lineRule="auto"/>
              <w:ind w:left="484"/>
            </w:pPr>
            <w:r>
              <w:rPr>
                <w:b/>
                <w:bCs/>
                <w:spacing w:val="-4"/>
              </w:rPr>
              <w:t>1.《中华人民共和国安全生产法》</w:t>
            </w:r>
          </w:p>
          <w:p w14:paraId="30E1F53B">
            <w:pPr>
              <w:pStyle w:val="8"/>
              <w:spacing w:before="25" w:line="233" w:lineRule="auto"/>
              <w:ind w:left="111" w:right="159" w:firstLine="360"/>
            </w:pPr>
            <w:r>
              <w:t>第三十四条第一款  矿山、金属冶炼建设项目和用于生产、储存、装卸危险物品</w:t>
            </w:r>
            <w:r>
              <w:rPr>
                <w:spacing w:val="-1"/>
              </w:rPr>
              <w:t>的建设项目的施工单</w:t>
            </w:r>
            <w:r>
              <w:t xml:space="preserve"> </w:t>
            </w:r>
            <w:r>
              <w:rPr>
                <w:spacing w:val="-1"/>
              </w:rPr>
              <w:t>位必须按照批准的安全设施设计施工，并对安全设施的工程质量</w:t>
            </w:r>
            <w:r>
              <w:rPr>
                <w:spacing w:val="-2"/>
              </w:rPr>
              <w:t>负责。</w:t>
            </w:r>
          </w:p>
          <w:p w14:paraId="03C1AD57">
            <w:pPr>
              <w:pStyle w:val="8"/>
              <w:spacing w:before="25" w:line="242" w:lineRule="auto"/>
              <w:ind w:left="112" w:right="159" w:firstLine="358"/>
            </w:pPr>
            <w:r>
              <w:t>第九十八条第（三）项  生产经营单位有下列行为之一的，责令停止建设或者停</w:t>
            </w:r>
            <w:r>
              <w:rPr>
                <w:spacing w:val="-1"/>
              </w:rPr>
              <w:t>产停业整顿，限期改</w:t>
            </w:r>
            <w:r>
              <w:t xml:space="preserve"> 正，并处十万元以上五十万元以下的罚款，对其直接负责的主管人员和其他直接责</w:t>
            </w:r>
            <w:r>
              <w:rPr>
                <w:spacing w:val="-1"/>
              </w:rPr>
              <w:t>任人员处二万元以上五</w:t>
            </w:r>
            <w:r>
              <w:t xml:space="preserve"> 万元以下的罚款；逾期未改正的，处五十万元以上一百万元以下的罚款，对其直接</w:t>
            </w:r>
            <w:r>
              <w:rPr>
                <w:spacing w:val="-1"/>
              </w:rPr>
              <w:t>负责的主管人员和其他</w:t>
            </w:r>
            <w:r>
              <w:t xml:space="preserve"> 直接责任人员处五万元以上十万元以下的罚款；构成犯罪的，依照刑法有关规</w:t>
            </w:r>
            <w:r>
              <w:rPr>
                <w:spacing w:val="-1"/>
              </w:rPr>
              <w:t>定追究刑事责任</w:t>
            </w:r>
            <w:r>
              <w:t>：（</w:t>
            </w:r>
            <w:r>
              <w:rPr>
                <w:spacing w:val="-1"/>
              </w:rPr>
              <w:t>三）矿</w:t>
            </w:r>
            <w:r>
              <w:t xml:space="preserve"> 山、金属冶炼建设项目或者用于生产、储存、装卸危险物品的建设项目的施工单位</w:t>
            </w:r>
            <w:r>
              <w:rPr>
                <w:spacing w:val="-1"/>
              </w:rPr>
              <w:t>未按照批准的安全设施</w:t>
            </w:r>
            <w:r>
              <w:t xml:space="preserve"> </w:t>
            </w:r>
            <w:r>
              <w:rPr>
                <w:spacing w:val="-8"/>
              </w:rPr>
              <w:t>设计施工的；</w:t>
            </w:r>
          </w:p>
          <w:p w14:paraId="4CD05A55">
            <w:pPr>
              <w:pStyle w:val="8"/>
              <w:spacing w:before="24"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5CD9A451">
            <w:pPr>
              <w:pStyle w:val="8"/>
              <w:spacing w:before="27" w:line="241" w:lineRule="auto"/>
              <w:ind w:left="111" w:right="159" w:firstLine="359"/>
              <w:jc w:val="both"/>
            </w:pPr>
            <w:r>
              <w:t>第七十二条第（三）项  危险货物港口建设项目有下列行为之一的，由所在地港</w:t>
            </w:r>
            <w:r>
              <w:rPr>
                <w:spacing w:val="-1"/>
              </w:rPr>
              <w:t>口行政管理部门责令</w:t>
            </w:r>
            <w:r>
              <w:t xml:space="preserve"> 停止建设或者停产停业整顿，限期改正，并处十万元以上五十万元以下的罚款，对其</w:t>
            </w:r>
            <w:r>
              <w:rPr>
                <w:spacing w:val="-1"/>
              </w:rPr>
              <w:t>直接负责的主管人员</w:t>
            </w:r>
            <w:r>
              <w:t xml:space="preserve"> 和其他直接责任人员处二万元以上五万元以下的罚款；逾期未改正的，处五十万元以</w:t>
            </w:r>
            <w:r>
              <w:rPr>
                <w:spacing w:val="-1"/>
              </w:rPr>
              <w:t>上一百万元以下的罚</w:t>
            </w:r>
            <w:r>
              <w:t xml:space="preserve"> 款，对其直接负责的主管人员和其他直接责任人员处五万元以上十万元以下的罚</w:t>
            </w:r>
            <w:r>
              <w:rPr>
                <w:spacing w:val="-1"/>
              </w:rPr>
              <w:t>款</w:t>
            </w:r>
            <w:r>
              <w:t>：（</w:t>
            </w:r>
            <w:r>
              <w:rPr>
                <w:spacing w:val="-1"/>
              </w:rPr>
              <w:t>三）施工单位未按</w:t>
            </w:r>
            <w:r>
              <w:t xml:space="preserve"> </w:t>
            </w:r>
            <w:r>
              <w:rPr>
                <w:spacing w:val="-4"/>
              </w:rPr>
              <w:t>照批准的安全设施设计施工的；</w:t>
            </w:r>
          </w:p>
        </w:tc>
        <w:tc>
          <w:tcPr>
            <w:tcW w:w="1014" w:type="dxa"/>
            <w:vAlign w:val="top"/>
          </w:tcPr>
          <w:p w14:paraId="1E4AC200">
            <w:pPr>
              <w:spacing w:line="253" w:lineRule="auto"/>
              <w:rPr>
                <w:rFonts w:ascii="Arial"/>
                <w:sz w:val="21"/>
              </w:rPr>
            </w:pPr>
          </w:p>
          <w:p w14:paraId="27F0004D">
            <w:pPr>
              <w:spacing w:line="253" w:lineRule="auto"/>
              <w:rPr>
                <w:rFonts w:ascii="Arial"/>
                <w:sz w:val="21"/>
              </w:rPr>
            </w:pPr>
          </w:p>
          <w:p w14:paraId="43C441D4">
            <w:pPr>
              <w:spacing w:line="254" w:lineRule="auto"/>
              <w:rPr>
                <w:rFonts w:ascii="Arial"/>
                <w:sz w:val="21"/>
              </w:rPr>
            </w:pPr>
          </w:p>
          <w:p w14:paraId="2F056B02">
            <w:pPr>
              <w:spacing w:line="254" w:lineRule="auto"/>
              <w:rPr>
                <w:rFonts w:ascii="Arial"/>
                <w:sz w:val="21"/>
              </w:rPr>
            </w:pPr>
          </w:p>
          <w:p w14:paraId="25F6E646">
            <w:pPr>
              <w:spacing w:line="254" w:lineRule="auto"/>
              <w:rPr>
                <w:rFonts w:ascii="Arial"/>
                <w:sz w:val="21"/>
              </w:rPr>
            </w:pPr>
          </w:p>
          <w:p w14:paraId="52388AB7">
            <w:pPr>
              <w:spacing w:line="254" w:lineRule="auto"/>
              <w:rPr>
                <w:rFonts w:ascii="Arial"/>
                <w:sz w:val="21"/>
              </w:rPr>
            </w:pPr>
          </w:p>
          <w:p w14:paraId="2A3CFDBF">
            <w:pPr>
              <w:spacing w:line="254" w:lineRule="auto"/>
              <w:rPr>
                <w:rFonts w:ascii="Arial"/>
                <w:sz w:val="21"/>
              </w:rPr>
            </w:pPr>
          </w:p>
          <w:p w14:paraId="32FF7D45">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4F4951EF">
            <w:pPr>
              <w:spacing w:line="253" w:lineRule="auto"/>
              <w:rPr>
                <w:rFonts w:ascii="Arial"/>
                <w:sz w:val="21"/>
              </w:rPr>
            </w:pPr>
          </w:p>
          <w:p w14:paraId="11A3CB3B">
            <w:pPr>
              <w:spacing w:line="253" w:lineRule="auto"/>
              <w:rPr>
                <w:rFonts w:ascii="Arial"/>
                <w:sz w:val="21"/>
              </w:rPr>
            </w:pPr>
          </w:p>
          <w:p w14:paraId="0207983D">
            <w:pPr>
              <w:spacing w:line="254" w:lineRule="auto"/>
              <w:rPr>
                <w:rFonts w:ascii="Arial"/>
                <w:sz w:val="21"/>
              </w:rPr>
            </w:pPr>
          </w:p>
          <w:p w14:paraId="4CE65721">
            <w:pPr>
              <w:spacing w:line="254" w:lineRule="auto"/>
              <w:rPr>
                <w:rFonts w:ascii="Arial"/>
                <w:sz w:val="21"/>
              </w:rPr>
            </w:pPr>
          </w:p>
          <w:p w14:paraId="61108E1E">
            <w:pPr>
              <w:spacing w:line="254" w:lineRule="auto"/>
              <w:rPr>
                <w:rFonts w:ascii="Arial"/>
                <w:sz w:val="21"/>
              </w:rPr>
            </w:pPr>
          </w:p>
          <w:p w14:paraId="77647F33">
            <w:pPr>
              <w:spacing w:line="254" w:lineRule="auto"/>
              <w:rPr>
                <w:rFonts w:ascii="Arial"/>
                <w:sz w:val="21"/>
              </w:rPr>
            </w:pPr>
          </w:p>
          <w:p w14:paraId="0B46988E">
            <w:pPr>
              <w:spacing w:line="254" w:lineRule="auto"/>
              <w:rPr>
                <w:rFonts w:ascii="Arial"/>
                <w:sz w:val="21"/>
              </w:rPr>
            </w:pPr>
          </w:p>
          <w:p w14:paraId="6F8B2408">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79B3E1B">
            <w:pPr>
              <w:spacing w:line="256" w:lineRule="auto"/>
              <w:rPr>
                <w:rFonts w:ascii="Arial"/>
                <w:sz w:val="21"/>
              </w:rPr>
            </w:pPr>
          </w:p>
          <w:p w14:paraId="06EBC9F8">
            <w:pPr>
              <w:spacing w:line="256" w:lineRule="auto"/>
              <w:rPr>
                <w:rFonts w:ascii="Arial"/>
                <w:sz w:val="21"/>
              </w:rPr>
            </w:pPr>
          </w:p>
          <w:p w14:paraId="3134D554">
            <w:pPr>
              <w:spacing w:line="256" w:lineRule="auto"/>
              <w:rPr>
                <w:rFonts w:ascii="Arial"/>
                <w:sz w:val="21"/>
              </w:rPr>
            </w:pPr>
          </w:p>
          <w:p w14:paraId="5EEADDCD">
            <w:pPr>
              <w:spacing w:line="257" w:lineRule="auto"/>
              <w:rPr>
                <w:rFonts w:ascii="Arial"/>
                <w:sz w:val="21"/>
              </w:rPr>
            </w:pPr>
          </w:p>
          <w:p w14:paraId="4D0C3E8B">
            <w:pPr>
              <w:spacing w:line="257" w:lineRule="auto"/>
              <w:rPr>
                <w:rFonts w:ascii="Arial"/>
                <w:sz w:val="21"/>
              </w:rPr>
            </w:pPr>
          </w:p>
          <w:p w14:paraId="4FF0804F">
            <w:pPr>
              <w:spacing w:line="257" w:lineRule="auto"/>
              <w:rPr>
                <w:rFonts w:ascii="Arial"/>
                <w:sz w:val="21"/>
              </w:rPr>
            </w:pPr>
          </w:p>
          <w:p w14:paraId="27BD5B06">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551103BB">
      <w:pPr>
        <w:pStyle w:val="2"/>
      </w:pPr>
    </w:p>
    <w:p w14:paraId="276B15ED">
      <w:pPr>
        <w:sectPr>
          <w:footerReference r:id="rId116" w:type="default"/>
          <w:pgSz w:w="16839" w:h="11906"/>
          <w:pgMar w:top="1012" w:right="991" w:bottom="967" w:left="1021" w:header="0" w:footer="768" w:gutter="0"/>
          <w:cols w:space="720" w:num="1"/>
        </w:sectPr>
      </w:pPr>
    </w:p>
    <w:p w14:paraId="7FD494FA">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30BB5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338ABB35">
            <w:pPr>
              <w:pStyle w:val="8"/>
              <w:spacing w:before="267" w:line="221" w:lineRule="auto"/>
              <w:ind w:left="134"/>
            </w:pPr>
            <w:r>
              <w:rPr>
                <w:b/>
                <w:bCs/>
                <w:spacing w:val="-4"/>
              </w:rPr>
              <w:t>序号</w:t>
            </w:r>
          </w:p>
        </w:tc>
        <w:tc>
          <w:tcPr>
            <w:tcW w:w="1104" w:type="dxa"/>
            <w:vMerge w:val="restart"/>
            <w:tcBorders>
              <w:bottom w:val="nil"/>
            </w:tcBorders>
            <w:vAlign w:val="top"/>
          </w:tcPr>
          <w:p w14:paraId="06FBFB29">
            <w:pPr>
              <w:pStyle w:val="8"/>
              <w:spacing w:before="260" w:line="220" w:lineRule="auto"/>
              <w:ind w:left="192"/>
            </w:pPr>
            <w:r>
              <w:rPr>
                <w:b/>
                <w:bCs/>
                <w:spacing w:val="-4"/>
              </w:rPr>
              <w:t>事项名称</w:t>
            </w:r>
          </w:p>
        </w:tc>
        <w:tc>
          <w:tcPr>
            <w:tcW w:w="1104" w:type="dxa"/>
            <w:vMerge w:val="restart"/>
            <w:tcBorders>
              <w:bottom w:val="nil"/>
            </w:tcBorders>
            <w:vAlign w:val="top"/>
          </w:tcPr>
          <w:p w14:paraId="3914F635">
            <w:pPr>
              <w:pStyle w:val="8"/>
              <w:spacing w:before="260" w:line="219" w:lineRule="auto"/>
              <w:ind w:left="193"/>
            </w:pPr>
            <w:r>
              <w:rPr>
                <w:b/>
                <w:bCs/>
                <w:spacing w:val="-4"/>
              </w:rPr>
              <w:t>职权类型</w:t>
            </w:r>
          </w:p>
        </w:tc>
        <w:tc>
          <w:tcPr>
            <w:tcW w:w="8549" w:type="dxa"/>
            <w:vMerge w:val="restart"/>
            <w:tcBorders>
              <w:bottom w:val="nil"/>
            </w:tcBorders>
            <w:vAlign w:val="top"/>
          </w:tcPr>
          <w:p w14:paraId="2FB0018F">
            <w:pPr>
              <w:pStyle w:val="8"/>
              <w:spacing w:before="259" w:line="219" w:lineRule="auto"/>
              <w:ind w:left="3921"/>
            </w:pPr>
            <w:r>
              <w:rPr>
                <w:b/>
                <w:bCs/>
                <w:spacing w:val="-5"/>
              </w:rPr>
              <w:t>实施依据</w:t>
            </w:r>
          </w:p>
        </w:tc>
        <w:tc>
          <w:tcPr>
            <w:tcW w:w="3439" w:type="dxa"/>
            <w:gridSpan w:val="3"/>
            <w:vAlign w:val="top"/>
          </w:tcPr>
          <w:p w14:paraId="0E407E41">
            <w:pPr>
              <w:pStyle w:val="8"/>
              <w:spacing w:before="85" w:line="220" w:lineRule="auto"/>
              <w:ind w:left="1365"/>
            </w:pPr>
            <w:r>
              <w:rPr>
                <w:b/>
                <w:bCs/>
                <w:spacing w:val="-5"/>
              </w:rPr>
              <w:t>实施主体</w:t>
            </w:r>
          </w:p>
        </w:tc>
      </w:tr>
      <w:tr w14:paraId="4AEBD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2C871840">
            <w:pPr>
              <w:rPr>
                <w:rFonts w:ascii="Arial"/>
                <w:sz w:val="21"/>
              </w:rPr>
            </w:pPr>
          </w:p>
        </w:tc>
        <w:tc>
          <w:tcPr>
            <w:tcW w:w="1104" w:type="dxa"/>
            <w:vMerge w:val="continue"/>
            <w:tcBorders>
              <w:top w:val="nil"/>
            </w:tcBorders>
            <w:vAlign w:val="top"/>
          </w:tcPr>
          <w:p w14:paraId="6C56A6F9">
            <w:pPr>
              <w:rPr>
                <w:rFonts w:ascii="Arial"/>
                <w:sz w:val="21"/>
              </w:rPr>
            </w:pPr>
          </w:p>
        </w:tc>
        <w:tc>
          <w:tcPr>
            <w:tcW w:w="1104" w:type="dxa"/>
            <w:vMerge w:val="continue"/>
            <w:tcBorders>
              <w:top w:val="nil"/>
            </w:tcBorders>
            <w:vAlign w:val="top"/>
          </w:tcPr>
          <w:p w14:paraId="2A405435">
            <w:pPr>
              <w:rPr>
                <w:rFonts w:ascii="Arial"/>
                <w:sz w:val="21"/>
              </w:rPr>
            </w:pPr>
          </w:p>
        </w:tc>
        <w:tc>
          <w:tcPr>
            <w:tcW w:w="8549" w:type="dxa"/>
            <w:vMerge w:val="continue"/>
            <w:tcBorders>
              <w:top w:val="nil"/>
            </w:tcBorders>
            <w:vAlign w:val="top"/>
          </w:tcPr>
          <w:p w14:paraId="20FE3779">
            <w:pPr>
              <w:rPr>
                <w:rFonts w:ascii="Arial"/>
                <w:sz w:val="21"/>
              </w:rPr>
            </w:pPr>
          </w:p>
        </w:tc>
        <w:tc>
          <w:tcPr>
            <w:tcW w:w="1014" w:type="dxa"/>
            <w:vAlign w:val="top"/>
          </w:tcPr>
          <w:p w14:paraId="7B56083F">
            <w:pPr>
              <w:pStyle w:val="8"/>
              <w:spacing w:before="81" w:line="219" w:lineRule="auto"/>
              <w:ind w:left="158"/>
            </w:pPr>
            <w:r>
              <w:rPr>
                <w:b/>
                <w:bCs/>
                <w:spacing w:val="-5"/>
              </w:rPr>
              <w:t>责任部门</w:t>
            </w:r>
          </w:p>
        </w:tc>
        <w:tc>
          <w:tcPr>
            <w:tcW w:w="1407" w:type="dxa"/>
            <w:vAlign w:val="top"/>
          </w:tcPr>
          <w:p w14:paraId="3174ED96">
            <w:pPr>
              <w:pStyle w:val="8"/>
              <w:spacing w:before="81" w:line="219" w:lineRule="auto"/>
              <w:ind w:left="167"/>
            </w:pPr>
            <w:r>
              <w:rPr>
                <w:b/>
                <w:bCs/>
                <w:spacing w:val="-3"/>
              </w:rPr>
              <w:t>第一责任层级</w:t>
            </w:r>
          </w:p>
        </w:tc>
        <w:tc>
          <w:tcPr>
            <w:tcW w:w="1018" w:type="dxa"/>
            <w:vAlign w:val="top"/>
          </w:tcPr>
          <w:p w14:paraId="6A59882D">
            <w:pPr>
              <w:pStyle w:val="8"/>
              <w:spacing w:before="81" w:line="219" w:lineRule="auto"/>
              <w:ind w:left="152"/>
            </w:pPr>
            <w:r>
              <w:rPr>
                <w:b/>
                <w:bCs/>
                <w:spacing w:val="-4"/>
              </w:rPr>
              <w:t>承办机构</w:t>
            </w:r>
          </w:p>
        </w:tc>
      </w:tr>
      <w:tr w14:paraId="7F0FD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624" w:type="dxa"/>
            <w:vAlign w:val="top"/>
          </w:tcPr>
          <w:p w14:paraId="4A315D6A">
            <w:pPr>
              <w:spacing w:line="259" w:lineRule="auto"/>
              <w:rPr>
                <w:rFonts w:ascii="Arial"/>
                <w:sz w:val="21"/>
              </w:rPr>
            </w:pPr>
          </w:p>
          <w:p w14:paraId="0D8D53FB">
            <w:pPr>
              <w:spacing w:line="259" w:lineRule="auto"/>
              <w:rPr>
                <w:rFonts w:ascii="Arial"/>
                <w:sz w:val="21"/>
              </w:rPr>
            </w:pPr>
          </w:p>
          <w:p w14:paraId="3A148BC6">
            <w:pPr>
              <w:spacing w:line="260" w:lineRule="auto"/>
              <w:rPr>
                <w:rFonts w:ascii="Arial"/>
                <w:sz w:val="21"/>
              </w:rPr>
            </w:pPr>
          </w:p>
          <w:p w14:paraId="19C015D4">
            <w:pPr>
              <w:spacing w:line="260" w:lineRule="auto"/>
              <w:rPr>
                <w:rFonts w:ascii="Arial"/>
                <w:sz w:val="21"/>
              </w:rPr>
            </w:pPr>
          </w:p>
          <w:p w14:paraId="0AADB3CE">
            <w:pPr>
              <w:spacing w:line="260" w:lineRule="auto"/>
              <w:rPr>
                <w:rFonts w:ascii="Arial"/>
                <w:sz w:val="21"/>
              </w:rPr>
            </w:pPr>
          </w:p>
          <w:p w14:paraId="336BF64D">
            <w:pPr>
              <w:spacing w:line="260" w:lineRule="auto"/>
              <w:rPr>
                <w:rFonts w:ascii="Arial"/>
                <w:sz w:val="21"/>
              </w:rPr>
            </w:pPr>
          </w:p>
          <w:p w14:paraId="46FE9F62">
            <w:pPr>
              <w:pStyle w:val="8"/>
              <w:spacing w:before="59" w:line="183" w:lineRule="auto"/>
              <w:ind w:left="235"/>
            </w:pPr>
            <w:r>
              <w:rPr>
                <w:spacing w:val="-6"/>
              </w:rPr>
              <w:t>78</w:t>
            </w:r>
          </w:p>
        </w:tc>
        <w:tc>
          <w:tcPr>
            <w:tcW w:w="1104" w:type="dxa"/>
            <w:vAlign w:val="top"/>
          </w:tcPr>
          <w:p w14:paraId="4EF8FF45">
            <w:pPr>
              <w:spacing w:line="286" w:lineRule="auto"/>
              <w:rPr>
                <w:rFonts w:ascii="Arial"/>
                <w:sz w:val="21"/>
              </w:rPr>
            </w:pPr>
          </w:p>
          <w:p w14:paraId="06BA9257">
            <w:pPr>
              <w:spacing w:line="287" w:lineRule="auto"/>
              <w:rPr>
                <w:rFonts w:ascii="Arial"/>
                <w:sz w:val="21"/>
              </w:rPr>
            </w:pPr>
          </w:p>
          <w:p w14:paraId="3B3A6D86">
            <w:pPr>
              <w:pStyle w:val="8"/>
              <w:spacing w:before="59" w:line="244" w:lineRule="auto"/>
              <w:ind w:left="60" w:right="54"/>
              <w:jc w:val="both"/>
            </w:pPr>
            <w:r>
              <w:rPr>
                <w:spacing w:val="16"/>
              </w:rPr>
              <w:t>对危险货物</w:t>
            </w:r>
            <w:r>
              <w:rPr>
                <w:spacing w:val="3"/>
              </w:rPr>
              <w:t xml:space="preserve"> </w:t>
            </w:r>
            <w:r>
              <w:rPr>
                <w:spacing w:val="5"/>
              </w:rPr>
              <w:t>港</w:t>
            </w:r>
            <w:r>
              <w:rPr>
                <w:spacing w:val="-32"/>
              </w:rPr>
              <w:t xml:space="preserve"> </w:t>
            </w:r>
            <w:r>
              <w:rPr>
                <w:spacing w:val="5"/>
              </w:rPr>
              <w:t>口建设项</w:t>
            </w:r>
            <w:r>
              <w:t xml:space="preserve"> </w:t>
            </w:r>
            <w:r>
              <w:rPr>
                <w:spacing w:val="16"/>
              </w:rPr>
              <w:t>目安全设施</w:t>
            </w:r>
            <w:r>
              <w:rPr>
                <w:spacing w:val="3"/>
              </w:rPr>
              <w:t xml:space="preserve"> </w:t>
            </w:r>
            <w:r>
              <w:rPr>
                <w:spacing w:val="16"/>
              </w:rPr>
              <w:t>未经验收合</w:t>
            </w:r>
            <w:r>
              <w:rPr>
                <w:spacing w:val="1"/>
              </w:rPr>
              <w:t xml:space="preserve"> </w:t>
            </w:r>
            <w:r>
              <w:rPr>
                <w:spacing w:val="-17"/>
              </w:rPr>
              <w:t>格，擅自从事</w:t>
            </w:r>
            <w:r>
              <w:rPr>
                <w:spacing w:val="3"/>
              </w:rPr>
              <w:t xml:space="preserve"> </w:t>
            </w:r>
            <w:r>
              <w:rPr>
                <w:spacing w:val="-11"/>
              </w:rPr>
              <w:t>危</w:t>
            </w:r>
            <w:r>
              <w:rPr>
                <w:spacing w:val="17"/>
              </w:rPr>
              <w:t xml:space="preserve"> </w:t>
            </w:r>
            <w:r>
              <w:rPr>
                <w:spacing w:val="-11"/>
              </w:rPr>
              <w:t>险</w:t>
            </w:r>
            <w:r>
              <w:rPr>
                <w:spacing w:val="12"/>
              </w:rPr>
              <w:t xml:space="preserve"> </w:t>
            </w:r>
            <w:r>
              <w:rPr>
                <w:spacing w:val="-11"/>
              </w:rPr>
              <w:t>货</w:t>
            </w:r>
            <w:r>
              <w:rPr>
                <w:spacing w:val="6"/>
              </w:rPr>
              <w:t xml:space="preserve"> </w:t>
            </w:r>
            <w:r>
              <w:rPr>
                <w:spacing w:val="-11"/>
              </w:rPr>
              <w:t>物</w:t>
            </w:r>
            <w:r>
              <w:t xml:space="preserve"> </w:t>
            </w:r>
            <w:r>
              <w:rPr>
                <w:spacing w:val="13"/>
              </w:rPr>
              <w:t>港口作业行</w:t>
            </w:r>
            <w:r>
              <w:t xml:space="preserve"> </w:t>
            </w:r>
            <w:r>
              <w:rPr>
                <w:spacing w:val="13"/>
              </w:rPr>
              <w:t>为的行政处</w:t>
            </w:r>
            <w:r>
              <w:t xml:space="preserve"> 罚</w:t>
            </w:r>
          </w:p>
        </w:tc>
        <w:tc>
          <w:tcPr>
            <w:tcW w:w="1104" w:type="dxa"/>
            <w:vAlign w:val="top"/>
          </w:tcPr>
          <w:p w14:paraId="302191BA">
            <w:pPr>
              <w:spacing w:line="255" w:lineRule="auto"/>
              <w:rPr>
                <w:rFonts w:ascii="Arial"/>
                <w:sz w:val="21"/>
              </w:rPr>
            </w:pPr>
          </w:p>
          <w:p w14:paraId="4BDA2241">
            <w:pPr>
              <w:spacing w:line="255" w:lineRule="auto"/>
              <w:rPr>
                <w:rFonts w:ascii="Arial"/>
                <w:sz w:val="21"/>
              </w:rPr>
            </w:pPr>
          </w:p>
          <w:p w14:paraId="14DB74F0">
            <w:pPr>
              <w:spacing w:line="255" w:lineRule="auto"/>
              <w:rPr>
                <w:rFonts w:ascii="Arial"/>
                <w:sz w:val="21"/>
              </w:rPr>
            </w:pPr>
          </w:p>
          <w:p w14:paraId="7FAEC3F0">
            <w:pPr>
              <w:spacing w:line="255" w:lineRule="auto"/>
              <w:rPr>
                <w:rFonts w:ascii="Arial"/>
                <w:sz w:val="21"/>
              </w:rPr>
            </w:pPr>
          </w:p>
          <w:p w14:paraId="6E752CE0">
            <w:pPr>
              <w:spacing w:line="255" w:lineRule="auto"/>
              <w:rPr>
                <w:rFonts w:ascii="Arial"/>
                <w:sz w:val="21"/>
              </w:rPr>
            </w:pPr>
          </w:p>
          <w:p w14:paraId="71204FFD">
            <w:pPr>
              <w:spacing w:line="255" w:lineRule="auto"/>
              <w:rPr>
                <w:rFonts w:ascii="Arial"/>
                <w:sz w:val="21"/>
              </w:rPr>
            </w:pPr>
          </w:p>
          <w:p w14:paraId="36FAE5EF">
            <w:pPr>
              <w:pStyle w:val="8"/>
              <w:spacing w:before="59" w:line="220" w:lineRule="auto"/>
              <w:ind w:left="10"/>
            </w:pPr>
            <w:r>
              <w:rPr>
                <w:spacing w:val="-2"/>
              </w:rPr>
              <w:t>行政处罚</w:t>
            </w:r>
          </w:p>
        </w:tc>
        <w:tc>
          <w:tcPr>
            <w:tcW w:w="8549" w:type="dxa"/>
            <w:vAlign w:val="top"/>
          </w:tcPr>
          <w:p w14:paraId="564534EE">
            <w:pPr>
              <w:pStyle w:val="8"/>
              <w:spacing w:before="14" w:line="217" w:lineRule="auto"/>
              <w:ind w:left="484"/>
            </w:pPr>
            <w:r>
              <w:rPr>
                <w:b/>
                <w:bCs/>
                <w:spacing w:val="-4"/>
              </w:rPr>
              <w:t>1.《中华人民共和国安全生产法》</w:t>
            </w:r>
          </w:p>
          <w:p w14:paraId="6F5EA71F">
            <w:pPr>
              <w:pStyle w:val="8"/>
              <w:spacing w:before="2" w:line="214" w:lineRule="auto"/>
              <w:ind w:left="111" w:right="159" w:firstLine="359"/>
              <w:jc w:val="both"/>
            </w:pPr>
            <w:r>
              <w:t>第三十四条第二款  矿山、金属冶炼建设项目和用于生产、储存、装卸危险物品</w:t>
            </w:r>
            <w:r>
              <w:rPr>
                <w:spacing w:val="-1"/>
              </w:rPr>
              <w:t>的建设项目竣工投入</w:t>
            </w:r>
            <w:r>
              <w:t xml:space="preserve"> 生产或者使用前，应当由建设单位负责组织对安全设施进行验收；验收合格后，方可</w:t>
            </w:r>
            <w:r>
              <w:rPr>
                <w:spacing w:val="-1"/>
              </w:rPr>
              <w:t>投入生产和使用。负</w:t>
            </w:r>
            <w:r>
              <w:t xml:space="preserve"> </w:t>
            </w:r>
            <w:r>
              <w:rPr>
                <w:spacing w:val="-1"/>
              </w:rPr>
              <w:t>有安全生产监督管理职责的部门应当加强对建设单位验收活动和验收结果的监督核查。</w:t>
            </w:r>
          </w:p>
          <w:p w14:paraId="6474A7D5">
            <w:pPr>
              <w:pStyle w:val="8"/>
              <w:spacing w:before="2" w:line="215" w:lineRule="auto"/>
              <w:ind w:left="110" w:right="159" w:firstLine="360"/>
              <w:jc w:val="both"/>
            </w:pPr>
            <w:r>
              <w:t>第九十八条第（四）项  生产经营单位有下列行为之一的，责令停止建设或者停</w:t>
            </w:r>
            <w:r>
              <w:rPr>
                <w:spacing w:val="-1"/>
              </w:rPr>
              <w:t>产停业整顿，限期改</w:t>
            </w:r>
            <w:r>
              <w:t xml:space="preserve"> 正，并处十万元以上五十万元以下的罚款，对其直接负责的主管人员和其他直接责任人</w:t>
            </w:r>
            <w:r>
              <w:rPr>
                <w:spacing w:val="-1"/>
              </w:rPr>
              <w:t>员处二万元以上五</w:t>
            </w:r>
            <w:r>
              <w:t xml:space="preserve"> 万元以下的罚款；逾期未改正的，处五十万元以上一百万元以下的罚款，对其直接负责</w:t>
            </w:r>
            <w:r>
              <w:rPr>
                <w:spacing w:val="-1"/>
              </w:rPr>
              <w:t>的主管人员和其他</w:t>
            </w:r>
            <w:r>
              <w:t xml:space="preserve"> 直接责任人员处五万元以上十万元以下的罚款；构成犯罪的，依照刑法有关规定追</w:t>
            </w:r>
            <w:r>
              <w:rPr>
                <w:spacing w:val="-1"/>
              </w:rPr>
              <w:t>究刑事责任</w:t>
            </w:r>
            <w:r>
              <w:t>：（</w:t>
            </w:r>
            <w:r>
              <w:rPr>
                <w:spacing w:val="-1"/>
              </w:rPr>
              <w:t>四）矿</w:t>
            </w:r>
            <w:r>
              <w:t xml:space="preserve"> 山、金属冶炼建设项目或者用于生产、储存、装卸危险物品的建设项目竣工投入生产或</w:t>
            </w:r>
            <w:r>
              <w:rPr>
                <w:spacing w:val="-1"/>
              </w:rPr>
              <w:t>者使用前，安全设</w:t>
            </w:r>
            <w:r>
              <w:t xml:space="preserve"> </w:t>
            </w:r>
            <w:r>
              <w:rPr>
                <w:spacing w:val="-4"/>
              </w:rPr>
              <w:t>施未经验收合格的。</w:t>
            </w:r>
          </w:p>
          <w:p w14:paraId="2E019355">
            <w:pPr>
              <w:pStyle w:val="8"/>
              <w:spacing w:line="216"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02EEA770">
            <w:pPr>
              <w:pStyle w:val="8"/>
              <w:spacing w:before="3" w:line="210" w:lineRule="auto"/>
              <w:ind w:left="110" w:right="159" w:firstLine="360"/>
              <w:jc w:val="both"/>
            </w:pPr>
            <w:r>
              <w:t>第七十二条第（四）项  危险货物港口建设项目有下列行为之一的，由所在地港</w:t>
            </w:r>
            <w:r>
              <w:rPr>
                <w:spacing w:val="-1"/>
              </w:rPr>
              <w:t>口行政管理部门责令</w:t>
            </w:r>
            <w:r>
              <w:t xml:space="preserve"> 停止建设或者停产停业整顿，限期改正，并处十万元以上五十万元以下的罚款，对其直</w:t>
            </w:r>
            <w:r>
              <w:rPr>
                <w:spacing w:val="-1"/>
              </w:rPr>
              <w:t>接负责的主管人员</w:t>
            </w:r>
            <w:r>
              <w:t xml:space="preserve"> 和其他直接责任人员处二万元以上五万元以下的罚款；逾期未改正的，处五十万元以上</w:t>
            </w:r>
            <w:r>
              <w:rPr>
                <w:spacing w:val="-1"/>
              </w:rPr>
              <w:t>一百万元以下的罚</w:t>
            </w:r>
            <w:r>
              <w:t xml:space="preserve"> 款，对其直接负责的主管人员和其他直接责任人员处五万元以上十万元以下的罚款：（</w:t>
            </w:r>
            <w:r>
              <w:rPr>
                <w:spacing w:val="-1"/>
              </w:rPr>
              <w:t>四）安全设施未经</w:t>
            </w:r>
            <w:r>
              <w:t xml:space="preserve"> </w:t>
            </w:r>
            <w:r>
              <w:rPr>
                <w:spacing w:val="-2"/>
              </w:rPr>
              <w:t>验收合格，擅自从事危险货物港口作业的。</w:t>
            </w:r>
          </w:p>
        </w:tc>
        <w:tc>
          <w:tcPr>
            <w:tcW w:w="1014" w:type="dxa"/>
            <w:vAlign w:val="top"/>
          </w:tcPr>
          <w:p w14:paraId="0F2231B5">
            <w:pPr>
              <w:spacing w:line="282" w:lineRule="auto"/>
              <w:rPr>
                <w:rFonts w:ascii="Arial"/>
                <w:sz w:val="21"/>
              </w:rPr>
            </w:pPr>
          </w:p>
          <w:p w14:paraId="04F064BC">
            <w:pPr>
              <w:spacing w:line="282" w:lineRule="auto"/>
              <w:rPr>
                <w:rFonts w:ascii="Arial"/>
                <w:sz w:val="21"/>
              </w:rPr>
            </w:pPr>
          </w:p>
          <w:p w14:paraId="556233BC">
            <w:pPr>
              <w:spacing w:line="282" w:lineRule="auto"/>
              <w:rPr>
                <w:rFonts w:ascii="Arial"/>
                <w:sz w:val="21"/>
              </w:rPr>
            </w:pPr>
          </w:p>
          <w:p w14:paraId="10CB4C1F">
            <w:pPr>
              <w:spacing w:line="282" w:lineRule="auto"/>
              <w:rPr>
                <w:rFonts w:ascii="Arial"/>
                <w:sz w:val="21"/>
              </w:rPr>
            </w:pPr>
          </w:p>
          <w:p w14:paraId="6146D45E">
            <w:pPr>
              <w:spacing w:line="283" w:lineRule="auto"/>
              <w:rPr>
                <w:rFonts w:ascii="Arial"/>
                <w:sz w:val="21"/>
              </w:rPr>
            </w:pPr>
          </w:p>
          <w:p w14:paraId="6E32EBEE">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4D12C52A">
            <w:pPr>
              <w:spacing w:line="282" w:lineRule="auto"/>
              <w:rPr>
                <w:rFonts w:ascii="Arial"/>
                <w:sz w:val="21"/>
              </w:rPr>
            </w:pPr>
          </w:p>
          <w:p w14:paraId="7774941F">
            <w:pPr>
              <w:spacing w:line="282" w:lineRule="auto"/>
              <w:rPr>
                <w:rFonts w:ascii="Arial"/>
                <w:sz w:val="21"/>
              </w:rPr>
            </w:pPr>
          </w:p>
          <w:p w14:paraId="3EA621F0">
            <w:pPr>
              <w:spacing w:line="282" w:lineRule="auto"/>
              <w:rPr>
                <w:rFonts w:ascii="Arial"/>
                <w:sz w:val="21"/>
              </w:rPr>
            </w:pPr>
          </w:p>
          <w:p w14:paraId="032801A4">
            <w:pPr>
              <w:spacing w:line="282" w:lineRule="auto"/>
              <w:rPr>
                <w:rFonts w:ascii="Arial"/>
                <w:sz w:val="21"/>
              </w:rPr>
            </w:pPr>
          </w:p>
          <w:p w14:paraId="003DCD10">
            <w:pPr>
              <w:spacing w:line="283" w:lineRule="auto"/>
              <w:rPr>
                <w:rFonts w:ascii="Arial"/>
                <w:sz w:val="21"/>
              </w:rPr>
            </w:pPr>
          </w:p>
          <w:p w14:paraId="17B309E1">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1D2D5AF">
            <w:pPr>
              <w:spacing w:line="293" w:lineRule="auto"/>
              <w:rPr>
                <w:rFonts w:ascii="Arial"/>
                <w:sz w:val="21"/>
              </w:rPr>
            </w:pPr>
          </w:p>
          <w:p w14:paraId="1D1A8242">
            <w:pPr>
              <w:spacing w:line="293" w:lineRule="auto"/>
              <w:rPr>
                <w:rFonts w:ascii="Arial"/>
                <w:sz w:val="21"/>
              </w:rPr>
            </w:pPr>
          </w:p>
          <w:p w14:paraId="31AFD129">
            <w:pPr>
              <w:spacing w:line="294" w:lineRule="auto"/>
              <w:rPr>
                <w:rFonts w:ascii="Arial"/>
                <w:sz w:val="21"/>
              </w:rPr>
            </w:pPr>
          </w:p>
          <w:p w14:paraId="4378AFC2">
            <w:pPr>
              <w:spacing w:line="294" w:lineRule="auto"/>
              <w:rPr>
                <w:rFonts w:ascii="Arial"/>
                <w:sz w:val="21"/>
              </w:rPr>
            </w:pPr>
          </w:p>
          <w:p w14:paraId="34003751">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77A4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5" w:hRule="atLeast"/>
        </w:trPr>
        <w:tc>
          <w:tcPr>
            <w:tcW w:w="624" w:type="dxa"/>
            <w:vAlign w:val="top"/>
          </w:tcPr>
          <w:p w14:paraId="4781A2AD">
            <w:pPr>
              <w:spacing w:line="250" w:lineRule="auto"/>
              <w:rPr>
                <w:rFonts w:ascii="Arial"/>
                <w:sz w:val="21"/>
              </w:rPr>
            </w:pPr>
          </w:p>
          <w:p w14:paraId="017D6D40">
            <w:pPr>
              <w:spacing w:line="250" w:lineRule="auto"/>
              <w:rPr>
                <w:rFonts w:ascii="Arial"/>
                <w:sz w:val="21"/>
              </w:rPr>
            </w:pPr>
          </w:p>
          <w:p w14:paraId="09A457AA">
            <w:pPr>
              <w:spacing w:line="250" w:lineRule="auto"/>
              <w:rPr>
                <w:rFonts w:ascii="Arial"/>
                <w:sz w:val="21"/>
              </w:rPr>
            </w:pPr>
          </w:p>
          <w:p w14:paraId="6B8D1FA1">
            <w:pPr>
              <w:spacing w:line="250" w:lineRule="auto"/>
              <w:rPr>
                <w:rFonts w:ascii="Arial"/>
                <w:sz w:val="21"/>
              </w:rPr>
            </w:pPr>
          </w:p>
          <w:p w14:paraId="46AB9A24">
            <w:pPr>
              <w:spacing w:line="250" w:lineRule="auto"/>
              <w:rPr>
                <w:rFonts w:ascii="Arial"/>
                <w:sz w:val="21"/>
              </w:rPr>
            </w:pPr>
          </w:p>
          <w:p w14:paraId="7987DDFE">
            <w:pPr>
              <w:spacing w:line="250" w:lineRule="auto"/>
              <w:rPr>
                <w:rFonts w:ascii="Arial"/>
                <w:sz w:val="21"/>
              </w:rPr>
            </w:pPr>
          </w:p>
          <w:p w14:paraId="6F298DE7">
            <w:pPr>
              <w:spacing w:line="250" w:lineRule="auto"/>
              <w:rPr>
                <w:rFonts w:ascii="Arial"/>
                <w:sz w:val="21"/>
              </w:rPr>
            </w:pPr>
          </w:p>
          <w:p w14:paraId="61B7458A">
            <w:pPr>
              <w:spacing w:line="250" w:lineRule="auto"/>
              <w:rPr>
                <w:rFonts w:ascii="Arial"/>
                <w:sz w:val="21"/>
              </w:rPr>
            </w:pPr>
          </w:p>
          <w:p w14:paraId="2F239FFA">
            <w:pPr>
              <w:spacing w:line="250" w:lineRule="auto"/>
              <w:rPr>
                <w:rFonts w:ascii="Arial"/>
                <w:sz w:val="21"/>
              </w:rPr>
            </w:pPr>
          </w:p>
          <w:p w14:paraId="594BCB16">
            <w:pPr>
              <w:spacing w:line="250" w:lineRule="auto"/>
              <w:rPr>
                <w:rFonts w:ascii="Arial"/>
                <w:sz w:val="21"/>
              </w:rPr>
            </w:pPr>
          </w:p>
          <w:p w14:paraId="15C16428">
            <w:pPr>
              <w:pStyle w:val="8"/>
              <w:spacing w:before="58" w:line="183" w:lineRule="auto"/>
              <w:ind w:left="235"/>
            </w:pPr>
            <w:r>
              <w:rPr>
                <w:spacing w:val="-6"/>
              </w:rPr>
              <w:t>79</w:t>
            </w:r>
          </w:p>
        </w:tc>
        <w:tc>
          <w:tcPr>
            <w:tcW w:w="1104" w:type="dxa"/>
            <w:vAlign w:val="top"/>
          </w:tcPr>
          <w:p w14:paraId="3A22BEBF">
            <w:pPr>
              <w:spacing w:line="260" w:lineRule="auto"/>
              <w:rPr>
                <w:rFonts w:ascii="Arial"/>
                <w:sz w:val="21"/>
              </w:rPr>
            </w:pPr>
          </w:p>
          <w:p w14:paraId="7FD9D57F">
            <w:pPr>
              <w:spacing w:line="261" w:lineRule="auto"/>
              <w:rPr>
                <w:rFonts w:ascii="Arial"/>
                <w:sz w:val="21"/>
              </w:rPr>
            </w:pPr>
          </w:p>
          <w:p w14:paraId="46CAD16E">
            <w:pPr>
              <w:spacing w:line="261" w:lineRule="auto"/>
              <w:rPr>
                <w:rFonts w:ascii="Arial"/>
                <w:sz w:val="21"/>
              </w:rPr>
            </w:pPr>
          </w:p>
          <w:p w14:paraId="17CAD1DF">
            <w:pPr>
              <w:spacing w:line="261" w:lineRule="auto"/>
              <w:rPr>
                <w:rFonts w:ascii="Arial"/>
                <w:sz w:val="21"/>
              </w:rPr>
            </w:pPr>
          </w:p>
          <w:p w14:paraId="62D4533A">
            <w:pPr>
              <w:pStyle w:val="8"/>
              <w:spacing w:before="59" w:line="242" w:lineRule="auto"/>
              <w:ind w:left="60" w:right="56"/>
            </w:pPr>
            <w:r>
              <w:rPr>
                <w:spacing w:val="16"/>
              </w:rPr>
              <w:t>对交通运输</w:t>
            </w:r>
            <w:r>
              <w:rPr>
                <w:spacing w:val="1"/>
              </w:rPr>
              <w:t xml:space="preserve"> </w:t>
            </w:r>
            <w:r>
              <w:rPr>
                <w:spacing w:val="16"/>
              </w:rPr>
              <w:t>领域生产经</w:t>
            </w:r>
            <w:r>
              <w:t xml:space="preserve"> </w:t>
            </w:r>
            <w:r>
              <w:rPr>
                <w:spacing w:val="16"/>
              </w:rPr>
              <w:t>营单位未在</w:t>
            </w:r>
            <w:r>
              <w:t xml:space="preserve"> </w:t>
            </w:r>
            <w:r>
              <w:rPr>
                <w:spacing w:val="16"/>
              </w:rPr>
              <w:t>有较大危险</w:t>
            </w:r>
            <w:r>
              <w:t xml:space="preserve"> </w:t>
            </w:r>
            <w:r>
              <w:rPr>
                <w:spacing w:val="7"/>
              </w:rPr>
              <w:t>因素</w:t>
            </w:r>
            <w:r>
              <w:rPr>
                <w:spacing w:val="-45"/>
              </w:rPr>
              <w:t xml:space="preserve"> </w:t>
            </w:r>
            <w:r>
              <w:rPr>
                <w:spacing w:val="7"/>
              </w:rPr>
              <w:t>的生产</w:t>
            </w:r>
            <w:r>
              <w:t xml:space="preserve"> </w:t>
            </w:r>
            <w:r>
              <w:rPr>
                <w:spacing w:val="16"/>
              </w:rPr>
              <w:t>经营场所和</w:t>
            </w:r>
            <w:r>
              <w:t xml:space="preserve"> </w:t>
            </w:r>
            <w:r>
              <w:rPr>
                <w:spacing w:val="-6"/>
              </w:rPr>
              <w:t>有关设施、</w:t>
            </w:r>
          </w:p>
          <w:p w14:paraId="7A3B5E79">
            <w:pPr>
              <w:pStyle w:val="8"/>
              <w:spacing w:before="23" w:line="242" w:lineRule="auto"/>
              <w:ind w:left="63" w:right="56"/>
            </w:pPr>
            <w:r>
              <w:rPr>
                <w:spacing w:val="15"/>
              </w:rPr>
              <w:t>设备上设置</w:t>
            </w:r>
            <w:r>
              <w:rPr>
                <w:spacing w:val="2"/>
              </w:rPr>
              <w:t xml:space="preserve"> </w:t>
            </w:r>
            <w:r>
              <w:rPr>
                <w:spacing w:val="6"/>
              </w:rPr>
              <w:t>明显</w:t>
            </w:r>
            <w:r>
              <w:rPr>
                <w:spacing w:val="-43"/>
              </w:rPr>
              <w:t xml:space="preserve"> </w:t>
            </w:r>
            <w:r>
              <w:rPr>
                <w:spacing w:val="6"/>
              </w:rPr>
              <w:t>的安全</w:t>
            </w:r>
            <w:r>
              <w:t xml:space="preserve"> </w:t>
            </w:r>
            <w:r>
              <w:rPr>
                <w:spacing w:val="15"/>
              </w:rPr>
              <w:t>警示标志等</w:t>
            </w:r>
            <w:r>
              <w:rPr>
                <w:spacing w:val="2"/>
              </w:rPr>
              <w:t xml:space="preserve"> </w:t>
            </w:r>
            <w:r>
              <w:rPr>
                <w:spacing w:val="6"/>
              </w:rPr>
              <w:t>行为</w:t>
            </w:r>
            <w:r>
              <w:rPr>
                <w:spacing w:val="-43"/>
              </w:rPr>
              <w:t xml:space="preserve"> </w:t>
            </w:r>
            <w:r>
              <w:rPr>
                <w:spacing w:val="6"/>
              </w:rPr>
              <w:t>的行政</w:t>
            </w:r>
            <w:r>
              <w:t xml:space="preserve"> </w:t>
            </w:r>
            <w:r>
              <w:rPr>
                <w:spacing w:val="-3"/>
              </w:rPr>
              <w:t>处罚</w:t>
            </w:r>
          </w:p>
        </w:tc>
        <w:tc>
          <w:tcPr>
            <w:tcW w:w="1104" w:type="dxa"/>
            <w:vAlign w:val="top"/>
          </w:tcPr>
          <w:p w14:paraId="371DDB37">
            <w:pPr>
              <w:spacing w:line="247" w:lineRule="auto"/>
              <w:rPr>
                <w:rFonts w:ascii="Arial"/>
                <w:sz w:val="21"/>
              </w:rPr>
            </w:pPr>
          </w:p>
          <w:p w14:paraId="15608E88">
            <w:pPr>
              <w:spacing w:line="247" w:lineRule="auto"/>
              <w:rPr>
                <w:rFonts w:ascii="Arial"/>
                <w:sz w:val="21"/>
              </w:rPr>
            </w:pPr>
          </w:p>
          <w:p w14:paraId="7ABB2CE5">
            <w:pPr>
              <w:spacing w:line="247" w:lineRule="auto"/>
              <w:rPr>
                <w:rFonts w:ascii="Arial"/>
                <w:sz w:val="21"/>
              </w:rPr>
            </w:pPr>
          </w:p>
          <w:p w14:paraId="46657DD2">
            <w:pPr>
              <w:spacing w:line="247" w:lineRule="auto"/>
              <w:rPr>
                <w:rFonts w:ascii="Arial"/>
                <w:sz w:val="21"/>
              </w:rPr>
            </w:pPr>
          </w:p>
          <w:p w14:paraId="40D1B00A">
            <w:pPr>
              <w:spacing w:line="247" w:lineRule="auto"/>
              <w:rPr>
                <w:rFonts w:ascii="Arial"/>
                <w:sz w:val="21"/>
              </w:rPr>
            </w:pPr>
          </w:p>
          <w:p w14:paraId="6408F63D">
            <w:pPr>
              <w:spacing w:line="247" w:lineRule="auto"/>
              <w:rPr>
                <w:rFonts w:ascii="Arial"/>
                <w:sz w:val="21"/>
              </w:rPr>
            </w:pPr>
          </w:p>
          <w:p w14:paraId="000A9D47">
            <w:pPr>
              <w:spacing w:line="247" w:lineRule="auto"/>
              <w:rPr>
                <w:rFonts w:ascii="Arial"/>
                <w:sz w:val="21"/>
              </w:rPr>
            </w:pPr>
          </w:p>
          <w:p w14:paraId="64022519">
            <w:pPr>
              <w:spacing w:line="247" w:lineRule="auto"/>
              <w:rPr>
                <w:rFonts w:ascii="Arial"/>
                <w:sz w:val="21"/>
              </w:rPr>
            </w:pPr>
          </w:p>
          <w:p w14:paraId="330681E5">
            <w:pPr>
              <w:spacing w:line="248" w:lineRule="auto"/>
              <w:rPr>
                <w:rFonts w:ascii="Arial"/>
                <w:sz w:val="21"/>
              </w:rPr>
            </w:pPr>
          </w:p>
          <w:p w14:paraId="70EB5247">
            <w:pPr>
              <w:spacing w:line="248" w:lineRule="auto"/>
              <w:rPr>
                <w:rFonts w:ascii="Arial"/>
                <w:sz w:val="21"/>
              </w:rPr>
            </w:pPr>
          </w:p>
          <w:p w14:paraId="07691956">
            <w:pPr>
              <w:pStyle w:val="8"/>
              <w:spacing w:before="58" w:line="220" w:lineRule="auto"/>
              <w:ind w:left="10"/>
            </w:pPr>
            <w:r>
              <w:rPr>
                <w:spacing w:val="-2"/>
              </w:rPr>
              <w:t>行政处罚</w:t>
            </w:r>
          </w:p>
        </w:tc>
        <w:tc>
          <w:tcPr>
            <w:tcW w:w="8549" w:type="dxa"/>
            <w:vAlign w:val="top"/>
          </w:tcPr>
          <w:p w14:paraId="436A4771">
            <w:pPr>
              <w:pStyle w:val="8"/>
              <w:spacing w:before="15" w:line="217" w:lineRule="auto"/>
              <w:ind w:left="484"/>
            </w:pPr>
            <w:r>
              <w:rPr>
                <w:b/>
                <w:bCs/>
                <w:spacing w:val="-4"/>
              </w:rPr>
              <w:t>1.《中华人民共和国安全生产法》</w:t>
            </w:r>
          </w:p>
          <w:p w14:paraId="27A9BEB6">
            <w:pPr>
              <w:pStyle w:val="8"/>
              <w:spacing w:line="214" w:lineRule="auto"/>
              <w:ind w:left="471"/>
            </w:pPr>
            <w:r>
              <w:t>第三十五条  生产经营单位应当在有较大危险因素的生产经营场所和有关设施、设</w:t>
            </w:r>
            <w:r>
              <w:rPr>
                <w:spacing w:val="-1"/>
              </w:rPr>
              <w:t>备上，设置明显的</w:t>
            </w:r>
          </w:p>
          <w:p w14:paraId="7C23C829">
            <w:pPr>
              <w:pStyle w:val="8"/>
              <w:spacing w:line="216" w:lineRule="auto"/>
              <w:ind w:left="114"/>
            </w:pPr>
            <w:r>
              <w:rPr>
                <w:spacing w:val="-6"/>
              </w:rPr>
              <w:t>安全警示标志。</w:t>
            </w:r>
          </w:p>
          <w:p w14:paraId="44329392">
            <w:pPr>
              <w:pStyle w:val="8"/>
              <w:spacing w:before="1" w:line="215" w:lineRule="auto"/>
              <w:ind w:left="111" w:right="44" w:firstLine="359"/>
            </w:pPr>
            <w:r>
              <w:rPr>
                <w:spacing w:val="-1"/>
              </w:rPr>
              <w:t>第九十九条  生产经营单位有下列行为之</w:t>
            </w:r>
            <w:r>
              <w:rPr>
                <w:spacing w:val="-2"/>
              </w:rPr>
              <w:t>一的，责令限期改正，处五万元以下的罚款；逾期未改正的，</w:t>
            </w:r>
            <w:r>
              <w:t xml:space="preserve"> 处五万元以上二十万元以下的罚款，对其直接负责的主管人员和其他直接责任人员处</w:t>
            </w:r>
            <w:r>
              <w:rPr>
                <w:spacing w:val="-1"/>
              </w:rPr>
              <w:t>一万元以上二万元以</w:t>
            </w:r>
            <w:r>
              <w:t xml:space="preserve">  下的罚款；情节严重的，责令停产停业整顿；构成犯罪的，</w:t>
            </w:r>
            <w:r>
              <w:rPr>
                <w:spacing w:val="-1"/>
              </w:rPr>
              <w:t>依照刑法有关规定追究刑事责任：（一）未在</w:t>
            </w:r>
            <w:r>
              <w:t xml:space="preserve">  </w:t>
            </w:r>
            <w:r>
              <w:rPr>
                <w:spacing w:val="-1"/>
              </w:rPr>
              <w:t>有较大危险因素的生产经营场所和有关设施、设</w:t>
            </w:r>
            <w:r>
              <w:rPr>
                <w:spacing w:val="-2"/>
              </w:rPr>
              <w:t>备上设置明显的安全警示标志的</w:t>
            </w:r>
            <w:r>
              <w:rPr>
                <w:spacing w:val="-3"/>
              </w:rPr>
              <w:t>；（</w:t>
            </w:r>
            <w:r>
              <w:rPr>
                <w:spacing w:val="-2"/>
              </w:rPr>
              <w:t>二）安全设备的安装、</w:t>
            </w:r>
            <w:r>
              <w:rPr>
                <w:spacing w:val="1"/>
              </w:rPr>
              <w:t xml:space="preserve"> </w:t>
            </w:r>
            <w:r>
              <w:t>使用、检测、改造和报废不符合国家标准或者行业标准的；（三）未对安全设备进行</w:t>
            </w:r>
            <w:r>
              <w:rPr>
                <w:spacing w:val="-1"/>
              </w:rPr>
              <w:t>经常性维护、保养和</w:t>
            </w:r>
            <w:r>
              <w:t xml:space="preserve">  定期检测的；（四）关闭、破坏直接关系生产安全的监控、报警、防护、救生设备、</w:t>
            </w:r>
            <w:r>
              <w:rPr>
                <w:spacing w:val="-1"/>
              </w:rPr>
              <w:t>设施，或者篡改、隐</w:t>
            </w:r>
            <w:r>
              <w:t xml:space="preserve">  </w:t>
            </w:r>
            <w:r>
              <w:rPr>
                <w:spacing w:val="-1"/>
              </w:rPr>
              <w:t>瞒、销毁其相关数据、信息的；（五）未为从业人员提供符合国家标准或者行业标准的劳动防护</w:t>
            </w:r>
            <w:r>
              <w:rPr>
                <w:spacing w:val="-2"/>
              </w:rPr>
              <w:t>用品的；</w:t>
            </w:r>
          </w:p>
          <w:p w14:paraId="4AD626B4">
            <w:pPr>
              <w:pStyle w:val="8"/>
              <w:spacing w:before="1" w:line="215" w:lineRule="auto"/>
              <w:ind w:left="111" w:right="159" w:firstLine="9"/>
            </w:pPr>
            <w:r>
              <w:rPr>
                <w:spacing w:val="-1"/>
              </w:rPr>
              <w:t>（六）危险物品的容器、运输工具，以及涉及人身安全、危险性较大的海洋石油开采特种设备和矿山井下</w:t>
            </w:r>
            <w:r>
              <w:rPr>
                <w:spacing w:val="16"/>
              </w:rPr>
              <w:t xml:space="preserve"> </w:t>
            </w:r>
            <w:r>
              <w:t>特种设备未经具有专业资质的机构检测、检验合格，取</w:t>
            </w:r>
            <w:r>
              <w:rPr>
                <w:spacing w:val="-1"/>
              </w:rPr>
              <w:t>得安全使用证或者安全标志，投入使用的</w:t>
            </w:r>
            <w:r>
              <w:t>；（</w:t>
            </w:r>
            <w:r>
              <w:rPr>
                <w:spacing w:val="-1"/>
              </w:rPr>
              <w:t>七）</w:t>
            </w:r>
            <w:r>
              <w:t xml:space="preserve"> 使用应当淘汰的危及生产安全的工艺、设备的。（八）餐饮等行业的生产经营单位使</w:t>
            </w:r>
            <w:r>
              <w:rPr>
                <w:spacing w:val="-1"/>
              </w:rPr>
              <w:t>用燃气未安装可燃气</w:t>
            </w:r>
            <w:r>
              <w:t xml:space="preserve"> </w:t>
            </w:r>
            <w:r>
              <w:rPr>
                <w:spacing w:val="-5"/>
              </w:rPr>
              <w:t>体报警装置的。</w:t>
            </w:r>
          </w:p>
          <w:p w14:paraId="4C6F3902">
            <w:pPr>
              <w:pStyle w:val="8"/>
              <w:spacing w:before="1" w:line="216" w:lineRule="auto"/>
              <w:ind w:left="473"/>
            </w:pPr>
            <w:r>
              <w:rPr>
                <w:b/>
                <w:bCs/>
                <w:spacing w:val="-3"/>
              </w:rPr>
              <w:t>2.《建设工程安全生产管理条例》</w:t>
            </w:r>
          </w:p>
          <w:p w14:paraId="20ED0BB1">
            <w:pPr>
              <w:pStyle w:val="8"/>
              <w:spacing w:before="2" w:line="214" w:lineRule="auto"/>
              <w:ind w:left="111" w:right="159" w:firstLine="360"/>
              <w:jc w:val="both"/>
            </w:pPr>
            <w:r>
              <w:t>第二十八条第一款  施工单位应当在施工现场入口处、施工起重机械、临时用电</w:t>
            </w:r>
            <w:r>
              <w:rPr>
                <w:spacing w:val="-1"/>
              </w:rPr>
              <w:t>设施、脚手架、出入</w:t>
            </w:r>
            <w:r>
              <w:t xml:space="preserve"> 通道口、楼梯口、电梯井口、孔洞口、桥梁口、隧道口、基坑边沿、爆破物及有害危</w:t>
            </w:r>
            <w:r>
              <w:rPr>
                <w:spacing w:val="-1"/>
              </w:rPr>
              <w:t>险气体和液体存放处</w:t>
            </w:r>
            <w:r>
              <w:t xml:space="preserve"> </w:t>
            </w:r>
            <w:r>
              <w:rPr>
                <w:spacing w:val="-1"/>
              </w:rPr>
              <w:t>等危险部位，设置明显的安全警示标志。安全警示标志必须符合国家标准。</w:t>
            </w:r>
          </w:p>
          <w:p w14:paraId="37D60A23">
            <w:pPr>
              <w:pStyle w:val="8"/>
              <w:spacing w:before="2" w:line="212" w:lineRule="auto"/>
              <w:ind w:left="110" w:right="44" w:firstLine="360"/>
              <w:jc w:val="both"/>
            </w:pPr>
            <w:r>
              <w:t>第六十二条第（三</w:t>
            </w:r>
            <w:r>
              <w:rPr>
                <w:spacing w:val="-1"/>
              </w:rPr>
              <w:t>）（</w:t>
            </w:r>
            <w:r>
              <w:t>四</w:t>
            </w:r>
            <w:r>
              <w:rPr>
                <w:spacing w:val="-1"/>
              </w:rPr>
              <w:t>）（</w:t>
            </w:r>
            <w:r>
              <w:t>五</w:t>
            </w:r>
            <w:r>
              <w:rPr>
                <w:spacing w:val="-1"/>
              </w:rPr>
              <w:t>）（</w:t>
            </w:r>
            <w:r>
              <w:t>六）项  违反本条例的规定，施工单位有下列行为</w:t>
            </w:r>
            <w:r>
              <w:rPr>
                <w:spacing w:val="-1"/>
              </w:rPr>
              <w:t>之一的，责令</w:t>
            </w:r>
            <w:r>
              <w:rPr>
                <w:spacing w:val="1"/>
              </w:rPr>
              <w:t xml:space="preserve">  </w:t>
            </w:r>
            <w:r>
              <w:t>限期改正；逾期未改正的，责令停业整顿，依照《中华人民共和国安全生产法》的有关</w:t>
            </w:r>
            <w:r>
              <w:rPr>
                <w:spacing w:val="-1"/>
              </w:rPr>
              <w:t>规定处以罚款；造</w:t>
            </w:r>
            <w:r>
              <w:t xml:space="preserve">  成重大安全事故，构成犯罪的，对直接责任人员，依照刑法有关规定追究刑事责任：（</w:t>
            </w:r>
            <w:r>
              <w:rPr>
                <w:spacing w:val="-1"/>
              </w:rPr>
              <w:t>三）未在施工现场</w:t>
            </w:r>
            <w:r>
              <w:t xml:space="preserve">  的危险部位设置明显的安全警示标志，或者未按照国家有关规定在施工现场设置消防通</w:t>
            </w:r>
            <w:r>
              <w:rPr>
                <w:spacing w:val="-1"/>
              </w:rPr>
              <w:t>道、消防水源、配</w:t>
            </w:r>
            <w:r>
              <w:t xml:space="preserve">  备消防设施和灭火器材的</w:t>
            </w:r>
            <w:r>
              <w:rPr>
                <w:spacing w:val="-1"/>
              </w:rPr>
              <w:t>；（</w:t>
            </w:r>
            <w:r>
              <w:t>四）未向作业人员提供安全防护用具和安全防护服装的</w:t>
            </w:r>
            <w:r>
              <w:rPr>
                <w:spacing w:val="-1"/>
              </w:rPr>
              <w:t>；（五）未按照规定</w:t>
            </w:r>
            <w:r>
              <w:rPr>
                <w:spacing w:val="1"/>
              </w:rPr>
              <w:t xml:space="preserve">  </w:t>
            </w:r>
            <w:r>
              <w:rPr>
                <w:spacing w:val="-1"/>
              </w:rPr>
              <w:t>在施工起重机械和整体提升脚手架、模板等自升式架</w:t>
            </w:r>
            <w:r>
              <w:rPr>
                <w:spacing w:val="-2"/>
              </w:rPr>
              <w:t>设设施验收合格后登记的</w:t>
            </w:r>
            <w:r>
              <w:rPr>
                <w:spacing w:val="-3"/>
              </w:rPr>
              <w:t>；（</w:t>
            </w:r>
            <w:r>
              <w:rPr>
                <w:spacing w:val="-2"/>
              </w:rPr>
              <w:t>六）使用国家明令淘汰、</w:t>
            </w:r>
            <w:r>
              <w:t xml:space="preserve"> </w:t>
            </w:r>
            <w:r>
              <w:rPr>
                <w:spacing w:val="-2"/>
              </w:rPr>
              <w:t>禁止使用的危及施工安全的工艺、设备、材料的。</w:t>
            </w:r>
          </w:p>
        </w:tc>
        <w:tc>
          <w:tcPr>
            <w:tcW w:w="1014" w:type="dxa"/>
            <w:vAlign w:val="top"/>
          </w:tcPr>
          <w:p w14:paraId="6FEAFE78">
            <w:pPr>
              <w:spacing w:line="261" w:lineRule="auto"/>
              <w:rPr>
                <w:rFonts w:ascii="Arial"/>
                <w:sz w:val="21"/>
              </w:rPr>
            </w:pPr>
          </w:p>
          <w:p w14:paraId="53582EC6">
            <w:pPr>
              <w:spacing w:line="261" w:lineRule="auto"/>
              <w:rPr>
                <w:rFonts w:ascii="Arial"/>
                <w:sz w:val="21"/>
              </w:rPr>
            </w:pPr>
          </w:p>
          <w:p w14:paraId="149F4ACE">
            <w:pPr>
              <w:spacing w:line="261" w:lineRule="auto"/>
              <w:rPr>
                <w:rFonts w:ascii="Arial"/>
                <w:sz w:val="21"/>
              </w:rPr>
            </w:pPr>
          </w:p>
          <w:p w14:paraId="6620A048">
            <w:pPr>
              <w:spacing w:line="261" w:lineRule="auto"/>
              <w:rPr>
                <w:rFonts w:ascii="Arial"/>
                <w:sz w:val="21"/>
              </w:rPr>
            </w:pPr>
          </w:p>
          <w:p w14:paraId="5D4C7E53">
            <w:pPr>
              <w:spacing w:line="261" w:lineRule="auto"/>
              <w:rPr>
                <w:rFonts w:ascii="Arial"/>
                <w:sz w:val="21"/>
              </w:rPr>
            </w:pPr>
          </w:p>
          <w:p w14:paraId="43459CAD">
            <w:pPr>
              <w:spacing w:line="261" w:lineRule="auto"/>
              <w:rPr>
                <w:rFonts w:ascii="Arial"/>
                <w:sz w:val="21"/>
              </w:rPr>
            </w:pPr>
          </w:p>
          <w:p w14:paraId="03037640">
            <w:pPr>
              <w:spacing w:line="262" w:lineRule="auto"/>
              <w:rPr>
                <w:rFonts w:ascii="Arial"/>
                <w:sz w:val="21"/>
              </w:rPr>
            </w:pPr>
          </w:p>
          <w:p w14:paraId="39AA0040">
            <w:pPr>
              <w:spacing w:line="262" w:lineRule="auto"/>
              <w:rPr>
                <w:rFonts w:ascii="Arial"/>
                <w:sz w:val="21"/>
              </w:rPr>
            </w:pPr>
          </w:p>
          <w:p w14:paraId="2A5932C9">
            <w:pPr>
              <w:spacing w:line="262" w:lineRule="auto"/>
              <w:rPr>
                <w:rFonts w:ascii="Arial"/>
                <w:sz w:val="21"/>
              </w:rPr>
            </w:pPr>
          </w:p>
          <w:p w14:paraId="2029691A">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5334E174">
            <w:pPr>
              <w:spacing w:line="261" w:lineRule="auto"/>
              <w:rPr>
                <w:rFonts w:ascii="Arial"/>
                <w:sz w:val="21"/>
              </w:rPr>
            </w:pPr>
          </w:p>
          <w:p w14:paraId="6E981706">
            <w:pPr>
              <w:spacing w:line="261" w:lineRule="auto"/>
              <w:rPr>
                <w:rFonts w:ascii="Arial"/>
                <w:sz w:val="21"/>
              </w:rPr>
            </w:pPr>
          </w:p>
          <w:p w14:paraId="73A71BED">
            <w:pPr>
              <w:spacing w:line="261" w:lineRule="auto"/>
              <w:rPr>
                <w:rFonts w:ascii="Arial"/>
                <w:sz w:val="21"/>
              </w:rPr>
            </w:pPr>
          </w:p>
          <w:p w14:paraId="4C6DC846">
            <w:pPr>
              <w:spacing w:line="261" w:lineRule="auto"/>
              <w:rPr>
                <w:rFonts w:ascii="Arial"/>
                <w:sz w:val="21"/>
              </w:rPr>
            </w:pPr>
          </w:p>
          <w:p w14:paraId="402A0E57">
            <w:pPr>
              <w:spacing w:line="261" w:lineRule="auto"/>
              <w:rPr>
                <w:rFonts w:ascii="Arial"/>
                <w:sz w:val="21"/>
              </w:rPr>
            </w:pPr>
          </w:p>
          <w:p w14:paraId="18CE3613">
            <w:pPr>
              <w:spacing w:line="261" w:lineRule="auto"/>
              <w:rPr>
                <w:rFonts w:ascii="Arial"/>
                <w:sz w:val="21"/>
              </w:rPr>
            </w:pPr>
          </w:p>
          <w:p w14:paraId="4EA78869">
            <w:pPr>
              <w:spacing w:line="262" w:lineRule="auto"/>
              <w:rPr>
                <w:rFonts w:ascii="Arial"/>
                <w:sz w:val="21"/>
              </w:rPr>
            </w:pPr>
          </w:p>
          <w:p w14:paraId="1EF97428">
            <w:pPr>
              <w:spacing w:line="262" w:lineRule="auto"/>
              <w:rPr>
                <w:rFonts w:ascii="Arial"/>
                <w:sz w:val="21"/>
              </w:rPr>
            </w:pPr>
          </w:p>
          <w:p w14:paraId="6B5C6E40">
            <w:pPr>
              <w:spacing w:line="262" w:lineRule="auto"/>
              <w:rPr>
                <w:rFonts w:ascii="Arial"/>
                <w:sz w:val="21"/>
              </w:rPr>
            </w:pPr>
          </w:p>
          <w:p w14:paraId="560064C4">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9D2D5EF">
            <w:pPr>
              <w:spacing w:line="264" w:lineRule="auto"/>
              <w:rPr>
                <w:rFonts w:ascii="Arial"/>
                <w:sz w:val="21"/>
              </w:rPr>
            </w:pPr>
          </w:p>
          <w:p w14:paraId="648EE8CF">
            <w:pPr>
              <w:spacing w:line="264" w:lineRule="auto"/>
              <w:rPr>
                <w:rFonts w:ascii="Arial"/>
                <w:sz w:val="21"/>
              </w:rPr>
            </w:pPr>
          </w:p>
          <w:p w14:paraId="137CF1E0">
            <w:pPr>
              <w:spacing w:line="264" w:lineRule="auto"/>
              <w:rPr>
                <w:rFonts w:ascii="Arial"/>
                <w:sz w:val="21"/>
              </w:rPr>
            </w:pPr>
          </w:p>
          <w:p w14:paraId="71E1CAD9">
            <w:pPr>
              <w:spacing w:line="264" w:lineRule="auto"/>
              <w:rPr>
                <w:rFonts w:ascii="Arial"/>
                <w:sz w:val="21"/>
              </w:rPr>
            </w:pPr>
          </w:p>
          <w:p w14:paraId="6DA56D1F">
            <w:pPr>
              <w:spacing w:line="264" w:lineRule="auto"/>
              <w:rPr>
                <w:rFonts w:ascii="Arial"/>
                <w:sz w:val="21"/>
              </w:rPr>
            </w:pPr>
          </w:p>
          <w:p w14:paraId="1B653AEB">
            <w:pPr>
              <w:spacing w:line="265" w:lineRule="auto"/>
              <w:rPr>
                <w:rFonts w:ascii="Arial"/>
                <w:sz w:val="21"/>
              </w:rPr>
            </w:pPr>
          </w:p>
          <w:p w14:paraId="6216AB4C">
            <w:pPr>
              <w:spacing w:line="265" w:lineRule="auto"/>
              <w:rPr>
                <w:rFonts w:ascii="Arial"/>
                <w:sz w:val="21"/>
              </w:rPr>
            </w:pPr>
          </w:p>
          <w:p w14:paraId="4FA426AE">
            <w:pPr>
              <w:spacing w:line="265" w:lineRule="auto"/>
              <w:rPr>
                <w:rFonts w:ascii="Arial"/>
                <w:sz w:val="21"/>
              </w:rPr>
            </w:pPr>
          </w:p>
          <w:p w14:paraId="45E4D820">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51F2915A">
      <w:pPr>
        <w:pStyle w:val="2"/>
      </w:pPr>
    </w:p>
    <w:p w14:paraId="63236DF0">
      <w:pPr>
        <w:sectPr>
          <w:footerReference r:id="rId117" w:type="default"/>
          <w:pgSz w:w="16839" w:h="11906"/>
          <w:pgMar w:top="1012" w:right="991" w:bottom="967" w:left="1021" w:header="0" w:footer="768" w:gutter="0"/>
          <w:cols w:space="720" w:num="1"/>
        </w:sectPr>
      </w:pPr>
    </w:p>
    <w:p w14:paraId="5B6A0B55">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09B15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7B8920CC">
            <w:pPr>
              <w:pStyle w:val="8"/>
              <w:spacing w:before="267" w:line="221" w:lineRule="auto"/>
              <w:ind w:left="134"/>
            </w:pPr>
            <w:r>
              <w:rPr>
                <w:b/>
                <w:bCs/>
                <w:spacing w:val="-4"/>
              </w:rPr>
              <w:t>序号</w:t>
            </w:r>
          </w:p>
        </w:tc>
        <w:tc>
          <w:tcPr>
            <w:tcW w:w="1104" w:type="dxa"/>
            <w:vMerge w:val="restart"/>
            <w:tcBorders>
              <w:bottom w:val="nil"/>
            </w:tcBorders>
            <w:vAlign w:val="top"/>
          </w:tcPr>
          <w:p w14:paraId="31109CCD">
            <w:pPr>
              <w:pStyle w:val="8"/>
              <w:spacing w:before="260" w:line="220" w:lineRule="auto"/>
              <w:ind w:left="192"/>
            </w:pPr>
            <w:r>
              <w:rPr>
                <w:b/>
                <w:bCs/>
                <w:spacing w:val="-4"/>
              </w:rPr>
              <w:t>事项名称</w:t>
            </w:r>
          </w:p>
        </w:tc>
        <w:tc>
          <w:tcPr>
            <w:tcW w:w="1104" w:type="dxa"/>
            <w:vMerge w:val="restart"/>
            <w:tcBorders>
              <w:bottom w:val="nil"/>
            </w:tcBorders>
            <w:vAlign w:val="top"/>
          </w:tcPr>
          <w:p w14:paraId="2958FD94">
            <w:pPr>
              <w:pStyle w:val="8"/>
              <w:spacing w:before="260" w:line="219" w:lineRule="auto"/>
              <w:ind w:left="193"/>
            </w:pPr>
            <w:r>
              <w:rPr>
                <w:b/>
                <w:bCs/>
                <w:spacing w:val="-4"/>
              </w:rPr>
              <w:t>职权类型</w:t>
            </w:r>
          </w:p>
        </w:tc>
        <w:tc>
          <w:tcPr>
            <w:tcW w:w="8549" w:type="dxa"/>
            <w:vMerge w:val="restart"/>
            <w:tcBorders>
              <w:bottom w:val="nil"/>
            </w:tcBorders>
            <w:vAlign w:val="top"/>
          </w:tcPr>
          <w:p w14:paraId="716E23B6">
            <w:pPr>
              <w:pStyle w:val="8"/>
              <w:spacing w:before="259" w:line="219" w:lineRule="auto"/>
              <w:ind w:left="3921"/>
            </w:pPr>
            <w:r>
              <w:rPr>
                <w:b/>
                <w:bCs/>
                <w:spacing w:val="-5"/>
              </w:rPr>
              <w:t>实施依据</w:t>
            </w:r>
          </w:p>
        </w:tc>
        <w:tc>
          <w:tcPr>
            <w:tcW w:w="3439" w:type="dxa"/>
            <w:gridSpan w:val="3"/>
            <w:vAlign w:val="top"/>
          </w:tcPr>
          <w:p w14:paraId="409E14CD">
            <w:pPr>
              <w:pStyle w:val="8"/>
              <w:spacing w:before="85" w:line="220" w:lineRule="auto"/>
              <w:ind w:left="1365"/>
            </w:pPr>
            <w:r>
              <w:rPr>
                <w:b/>
                <w:bCs/>
                <w:spacing w:val="-5"/>
              </w:rPr>
              <w:t>实施主体</w:t>
            </w:r>
          </w:p>
        </w:tc>
      </w:tr>
      <w:tr w14:paraId="16E13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6A768DA">
            <w:pPr>
              <w:rPr>
                <w:rFonts w:ascii="Arial"/>
                <w:sz w:val="21"/>
              </w:rPr>
            </w:pPr>
          </w:p>
        </w:tc>
        <w:tc>
          <w:tcPr>
            <w:tcW w:w="1104" w:type="dxa"/>
            <w:vMerge w:val="continue"/>
            <w:tcBorders>
              <w:top w:val="nil"/>
            </w:tcBorders>
            <w:vAlign w:val="top"/>
          </w:tcPr>
          <w:p w14:paraId="0E5FCC71">
            <w:pPr>
              <w:rPr>
                <w:rFonts w:ascii="Arial"/>
                <w:sz w:val="21"/>
              </w:rPr>
            </w:pPr>
          </w:p>
        </w:tc>
        <w:tc>
          <w:tcPr>
            <w:tcW w:w="1104" w:type="dxa"/>
            <w:vMerge w:val="continue"/>
            <w:tcBorders>
              <w:top w:val="nil"/>
            </w:tcBorders>
            <w:vAlign w:val="top"/>
          </w:tcPr>
          <w:p w14:paraId="5CD82FF0">
            <w:pPr>
              <w:rPr>
                <w:rFonts w:ascii="Arial"/>
                <w:sz w:val="21"/>
              </w:rPr>
            </w:pPr>
          </w:p>
        </w:tc>
        <w:tc>
          <w:tcPr>
            <w:tcW w:w="8549" w:type="dxa"/>
            <w:vMerge w:val="continue"/>
            <w:tcBorders>
              <w:top w:val="nil"/>
            </w:tcBorders>
            <w:vAlign w:val="top"/>
          </w:tcPr>
          <w:p w14:paraId="2673711A">
            <w:pPr>
              <w:rPr>
                <w:rFonts w:ascii="Arial"/>
                <w:sz w:val="21"/>
              </w:rPr>
            </w:pPr>
          </w:p>
        </w:tc>
        <w:tc>
          <w:tcPr>
            <w:tcW w:w="1014" w:type="dxa"/>
            <w:vAlign w:val="top"/>
          </w:tcPr>
          <w:p w14:paraId="5A44CFAD">
            <w:pPr>
              <w:pStyle w:val="8"/>
              <w:spacing w:before="81" w:line="219" w:lineRule="auto"/>
              <w:ind w:left="158"/>
            </w:pPr>
            <w:r>
              <w:rPr>
                <w:b/>
                <w:bCs/>
                <w:spacing w:val="-5"/>
              </w:rPr>
              <w:t>责任部门</w:t>
            </w:r>
          </w:p>
        </w:tc>
        <w:tc>
          <w:tcPr>
            <w:tcW w:w="1407" w:type="dxa"/>
            <w:vAlign w:val="top"/>
          </w:tcPr>
          <w:p w14:paraId="3E3ABDDE">
            <w:pPr>
              <w:pStyle w:val="8"/>
              <w:spacing w:before="81" w:line="219" w:lineRule="auto"/>
              <w:ind w:left="167"/>
            </w:pPr>
            <w:r>
              <w:rPr>
                <w:b/>
                <w:bCs/>
                <w:spacing w:val="-3"/>
              </w:rPr>
              <w:t>第一责任层级</w:t>
            </w:r>
          </w:p>
        </w:tc>
        <w:tc>
          <w:tcPr>
            <w:tcW w:w="1018" w:type="dxa"/>
            <w:vAlign w:val="top"/>
          </w:tcPr>
          <w:p w14:paraId="229B2D1C">
            <w:pPr>
              <w:pStyle w:val="8"/>
              <w:spacing w:before="81" w:line="219" w:lineRule="auto"/>
              <w:ind w:left="152"/>
            </w:pPr>
            <w:r>
              <w:rPr>
                <w:b/>
                <w:bCs/>
                <w:spacing w:val="-4"/>
              </w:rPr>
              <w:t>承办机构</w:t>
            </w:r>
          </w:p>
        </w:tc>
      </w:tr>
      <w:tr w14:paraId="63BF5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3" w:hRule="atLeast"/>
        </w:trPr>
        <w:tc>
          <w:tcPr>
            <w:tcW w:w="624" w:type="dxa"/>
            <w:vAlign w:val="top"/>
          </w:tcPr>
          <w:p w14:paraId="60D7A335">
            <w:pPr>
              <w:spacing w:line="259" w:lineRule="auto"/>
              <w:rPr>
                <w:rFonts w:ascii="Arial"/>
                <w:sz w:val="21"/>
              </w:rPr>
            </w:pPr>
          </w:p>
          <w:p w14:paraId="6229C4D3">
            <w:pPr>
              <w:spacing w:line="259" w:lineRule="auto"/>
              <w:rPr>
                <w:rFonts w:ascii="Arial"/>
                <w:sz w:val="21"/>
              </w:rPr>
            </w:pPr>
          </w:p>
          <w:p w14:paraId="0E18F778">
            <w:pPr>
              <w:spacing w:line="259" w:lineRule="auto"/>
              <w:rPr>
                <w:rFonts w:ascii="Arial"/>
                <w:sz w:val="21"/>
              </w:rPr>
            </w:pPr>
          </w:p>
          <w:p w14:paraId="740F9936">
            <w:pPr>
              <w:spacing w:line="259" w:lineRule="auto"/>
              <w:rPr>
                <w:rFonts w:ascii="Arial"/>
                <w:sz w:val="21"/>
              </w:rPr>
            </w:pPr>
          </w:p>
          <w:p w14:paraId="2A6C1A2F">
            <w:pPr>
              <w:spacing w:line="260" w:lineRule="auto"/>
              <w:rPr>
                <w:rFonts w:ascii="Arial"/>
                <w:sz w:val="21"/>
              </w:rPr>
            </w:pPr>
          </w:p>
          <w:p w14:paraId="463173B7">
            <w:pPr>
              <w:spacing w:line="260" w:lineRule="auto"/>
              <w:rPr>
                <w:rFonts w:ascii="Arial"/>
                <w:sz w:val="21"/>
              </w:rPr>
            </w:pPr>
          </w:p>
          <w:p w14:paraId="7258DCFE">
            <w:pPr>
              <w:spacing w:line="260" w:lineRule="auto"/>
              <w:rPr>
                <w:rFonts w:ascii="Arial"/>
                <w:sz w:val="21"/>
              </w:rPr>
            </w:pPr>
          </w:p>
          <w:p w14:paraId="309D0AB9">
            <w:pPr>
              <w:spacing w:line="260" w:lineRule="auto"/>
              <w:rPr>
                <w:rFonts w:ascii="Arial"/>
                <w:sz w:val="21"/>
              </w:rPr>
            </w:pPr>
          </w:p>
          <w:p w14:paraId="516DCAFC">
            <w:pPr>
              <w:pStyle w:val="8"/>
              <w:spacing w:before="59" w:line="183" w:lineRule="auto"/>
              <w:ind w:left="231"/>
            </w:pPr>
            <w:r>
              <w:rPr>
                <w:spacing w:val="-4"/>
              </w:rPr>
              <w:t>80</w:t>
            </w:r>
          </w:p>
        </w:tc>
        <w:tc>
          <w:tcPr>
            <w:tcW w:w="1104" w:type="dxa"/>
            <w:vAlign w:val="top"/>
          </w:tcPr>
          <w:p w14:paraId="1807C9AF">
            <w:pPr>
              <w:spacing w:line="314" w:lineRule="auto"/>
              <w:rPr>
                <w:rFonts w:ascii="Arial"/>
                <w:sz w:val="21"/>
              </w:rPr>
            </w:pPr>
          </w:p>
          <w:p w14:paraId="17D9A756">
            <w:pPr>
              <w:spacing w:line="314" w:lineRule="auto"/>
              <w:rPr>
                <w:rFonts w:ascii="Arial"/>
                <w:sz w:val="21"/>
              </w:rPr>
            </w:pPr>
          </w:p>
          <w:p w14:paraId="420DF680">
            <w:pPr>
              <w:pStyle w:val="8"/>
              <w:spacing w:before="58" w:line="225" w:lineRule="auto"/>
              <w:ind w:left="59" w:right="56"/>
              <w:jc w:val="both"/>
            </w:pPr>
            <w:r>
              <w:rPr>
                <w:spacing w:val="16"/>
              </w:rPr>
              <w:t>对交通运输</w:t>
            </w:r>
            <w:r>
              <w:rPr>
                <w:spacing w:val="1"/>
              </w:rPr>
              <w:t xml:space="preserve"> </w:t>
            </w:r>
            <w:r>
              <w:rPr>
                <w:spacing w:val="-17"/>
              </w:rPr>
              <w:t>领域生产、经</w:t>
            </w:r>
            <w:r>
              <w:rPr>
                <w:spacing w:val="4"/>
              </w:rPr>
              <w:t xml:space="preserve"> </w:t>
            </w:r>
            <w:r>
              <w:rPr>
                <w:spacing w:val="-17"/>
              </w:rPr>
              <w:t>营、运输、储</w:t>
            </w:r>
            <w:r>
              <w:rPr>
                <w:spacing w:val="4"/>
              </w:rPr>
              <w:t xml:space="preserve"> </w:t>
            </w:r>
            <w:r>
              <w:rPr>
                <w:spacing w:val="-17"/>
              </w:rPr>
              <w:t>存、使用危险</w:t>
            </w:r>
            <w:r>
              <w:rPr>
                <w:spacing w:val="4"/>
              </w:rPr>
              <w:t xml:space="preserve"> </w:t>
            </w:r>
            <w:r>
              <w:rPr>
                <w:spacing w:val="16"/>
              </w:rPr>
              <w:t>物品或者处</w:t>
            </w:r>
            <w:r>
              <w:rPr>
                <w:spacing w:val="2"/>
              </w:rPr>
              <w:t xml:space="preserve"> </w:t>
            </w:r>
            <w:r>
              <w:rPr>
                <w:spacing w:val="16"/>
              </w:rPr>
              <w:t>置废弃危险</w:t>
            </w:r>
            <w:r>
              <w:rPr>
                <w:spacing w:val="2"/>
              </w:rPr>
              <w:t xml:space="preserve"> </w:t>
            </w:r>
            <w:r>
              <w:rPr>
                <w:spacing w:val="-17"/>
              </w:rPr>
              <w:t>物品，未建立</w:t>
            </w:r>
            <w:r>
              <w:rPr>
                <w:spacing w:val="4"/>
              </w:rPr>
              <w:t xml:space="preserve"> </w:t>
            </w:r>
            <w:r>
              <w:rPr>
                <w:spacing w:val="16"/>
              </w:rPr>
              <w:t>专门安全管</w:t>
            </w:r>
            <w:r>
              <w:rPr>
                <w:spacing w:val="2"/>
              </w:rPr>
              <w:t xml:space="preserve"> </w:t>
            </w:r>
            <w:r>
              <w:rPr>
                <w:spacing w:val="-17"/>
              </w:rPr>
              <w:t>理制度、未采</w:t>
            </w:r>
            <w:r>
              <w:rPr>
                <w:spacing w:val="4"/>
              </w:rPr>
              <w:t xml:space="preserve"> </w:t>
            </w:r>
            <w:r>
              <w:rPr>
                <w:spacing w:val="16"/>
              </w:rPr>
              <w:t>取可靠的安</w:t>
            </w:r>
            <w:r>
              <w:rPr>
                <w:spacing w:val="2"/>
              </w:rPr>
              <w:t xml:space="preserve"> </w:t>
            </w:r>
            <w:r>
              <w:rPr>
                <w:spacing w:val="16"/>
              </w:rPr>
              <w:t>全措施等行</w:t>
            </w:r>
            <w:r>
              <w:rPr>
                <w:spacing w:val="2"/>
              </w:rPr>
              <w:t xml:space="preserve"> </w:t>
            </w:r>
            <w:r>
              <w:rPr>
                <w:spacing w:val="16"/>
              </w:rPr>
              <w:t>为的行政处</w:t>
            </w:r>
            <w:r>
              <w:rPr>
                <w:spacing w:val="2"/>
              </w:rPr>
              <w:t xml:space="preserve"> </w:t>
            </w:r>
            <w:r>
              <w:t>罚</w:t>
            </w:r>
          </w:p>
        </w:tc>
        <w:tc>
          <w:tcPr>
            <w:tcW w:w="1104" w:type="dxa"/>
            <w:vAlign w:val="top"/>
          </w:tcPr>
          <w:p w14:paraId="6CA2F890">
            <w:pPr>
              <w:spacing w:line="255" w:lineRule="auto"/>
              <w:rPr>
                <w:rFonts w:ascii="Arial"/>
                <w:sz w:val="21"/>
              </w:rPr>
            </w:pPr>
          </w:p>
          <w:p w14:paraId="1A3C4CCB">
            <w:pPr>
              <w:spacing w:line="255" w:lineRule="auto"/>
              <w:rPr>
                <w:rFonts w:ascii="Arial"/>
                <w:sz w:val="21"/>
              </w:rPr>
            </w:pPr>
          </w:p>
          <w:p w14:paraId="1C35397F">
            <w:pPr>
              <w:spacing w:line="255" w:lineRule="auto"/>
              <w:rPr>
                <w:rFonts w:ascii="Arial"/>
                <w:sz w:val="21"/>
              </w:rPr>
            </w:pPr>
          </w:p>
          <w:p w14:paraId="70D102F2">
            <w:pPr>
              <w:spacing w:line="255" w:lineRule="auto"/>
              <w:rPr>
                <w:rFonts w:ascii="Arial"/>
                <w:sz w:val="21"/>
              </w:rPr>
            </w:pPr>
          </w:p>
          <w:p w14:paraId="08ACD07A">
            <w:pPr>
              <w:spacing w:line="255" w:lineRule="auto"/>
              <w:rPr>
                <w:rFonts w:ascii="Arial"/>
                <w:sz w:val="21"/>
              </w:rPr>
            </w:pPr>
          </w:p>
          <w:p w14:paraId="21D4C185">
            <w:pPr>
              <w:spacing w:line="255" w:lineRule="auto"/>
              <w:rPr>
                <w:rFonts w:ascii="Arial"/>
                <w:sz w:val="21"/>
              </w:rPr>
            </w:pPr>
          </w:p>
          <w:p w14:paraId="1C9547A8">
            <w:pPr>
              <w:spacing w:line="255" w:lineRule="auto"/>
              <w:rPr>
                <w:rFonts w:ascii="Arial"/>
                <w:sz w:val="21"/>
              </w:rPr>
            </w:pPr>
          </w:p>
          <w:p w14:paraId="402AB634">
            <w:pPr>
              <w:spacing w:line="256" w:lineRule="auto"/>
              <w:rPr>
                <w:rFonts w:ascii="Arial"/>
                <w:sz w:val="21"/>
              </w:rPr>
            </w:pPr>
          </w:p>
          <w:p w14:paraId="057F45D5">
            <w:pPr>
              <w:pStyle w:val="8"/>
              <w:spacing w:before="58" w:line="220" w:lineRule="auto"/>
              <w:ind w:left="10"/>
            </w:pPr>
            <w:r>
              <w:rPr>
                <w:spacing w:val="-2"/>
              </w:rPr>
              <w:t>行政处罚</w:t>
            </w:r>
          </w:p>
        </w:tc>
        <w:tc>
          <w:tcPr>
            <w:tcW w:w="8549" w:type="dxa"/>
            <w:vAlign w:val="top"/>
          </w:tcPr>
          <w:p w14:paraId="4DC43B84">
            <w:pPr>
              <w:pStyle w:val="8"/>
              <w:spacing w:before="24" w:line="219" w:lineRule="auto"/>
              <w:ind w:left="484"/>
            </w:pPr>
            <w:r>
              <w:rPr>
                <w:b/>
                <w:bCs/>
                <w:spacing w:val="-4"/>
              </w:rPr>
              <w:t>1.《中华人民共和国安全生产法》</w:t>
            </w:r>
          </w:p>
          <w:p w14:paraId="76EB29D4">
            <w:pPr>
              <w:pStyle w:val="8"/>
              <w:spacing w:before="4" w:line="223" w:lineRule="auto"/>
              <w:ind w:left="116" w:right="159" w:firstLine="354"/>
            </w:pPr>
            <w:r>
              <w:t>第三十九条  生产、经营、运输、储存、使用危险物品或者处置废弃危险物品的</w:t>
            </w:r>
            <w:r>
              <w:rPr>
                <w:spacing w:val="-1"/>
              </w:rPr>
              <w:t>，由有关主管部门依</w:t>
            </w:r>
            <w:r>
              <w:t xml:space="preserve"> </w:t>
            </w:r>
            <w:r>
              <w:rPr>
                <w:spacing w:val="-1"/>
              </w:rPr>
              <w:t>照有关法律、法规的规定和国家标准或者行业标准审批并</w:t>
            </w:r>
            <w:r>
              <w:rPr>
                <w:spacing w:val="-2"/>
              </w:rPr>
              <w:t>实施监督管理。</w:t>
            </w:r>
          </w:p>
          <w:p w14:paraId="789EAC00">
            <w:pPr>
              <w:pStyle w:val="8"/>
              <w:spacing w:before="7" w:line="223" w:lineRule="auto"/>
              <w:ind w:left="111" w:right="159" w:firstLine="360"/>
            </w:pPr>
            <w:r>
              <w:t>生产经营单位生产、经营、运输、储存、使用危险物品或者处置废弃危险物品</w:t>
            </w:r>
            <w:r>
              <w:rPr>
                <w:spacing w:val="-1"/>
              </w:rPr>
              <w:t>，必须执行有关法律、</w:t>
            </w:r>
            <w:r>
              <w:t xml:space="preserve"> 法规和国家标准或者行业标准，建立专门的安全管理制度，采取可靠的安全措施，接</w:t>
            </w:r>
            <w:r>
              <w:rPr>
                <w:spacing w:val="-1"/>
              </w:rPr>
              <w:t>受有关主管部门依法</w:t>
            </w:r>
            <w:r>
              <w:t xml:space="preserve"> </w:t>
            </w:r>
            <w:r>
              <w:rPr>
                <w:spacing w:val="-4"/>
              </w:rPr>
              <w:t>实施的监督管理。</w:t>
            </w:r>
          </w:p>
          <w:p w14:paraId="1AE82654">
            <w:pPr>
              <w:pStyle w:val="8"/>
              <w:spacing w:before="4" w:line="225" w:lineRule="auto"/>
              <w:ind w:left="111" w:right="46" w:firstLine="360"/>
              <w:jc w:val="both"/>
            </w:pPr>
            <w:r>
              <w:t>第一百零一条  生产经营单位有下列行为之一的，责令限期改正，处十万元以下</w:t>
            </w:r>
            <w:r>
              <w:rPr>
                <w:spacing w:val="-1"/>
              </w:rPr>
              <w:t>的罚款；逾期未改正</w:t>
            </w:r>
            <w:r>
              <w:t xml:space="preserve">  的，责令停产停业整顿，并处十万元以上二十万元以下的罚款，对其直接负责的主管</w:t>
            </w:r>
            <w:r>
              <w:rPr>
                <w:spacing w:val="-1"/>
              </w:rPr>
              <w:t>人员和其他直接责任</w:t>
            </w:r>
            <w:r>
              <w:t xml:space="preserve">  </w:t>
            </w:r>
            <w:r>
              <w:rPr>
                <w:spacing w:val="-1"/>
              </w:rPr>
              <w:t>人员处二万元以上五万元以下的罚款；构成犯罪的，依照刑法有关规定追究刑事责任</w:t>
            </w:r>
            <w:r>
              <w:rPr>
                <w:spacing w:val="-16"/>
              </w:rPr>
              <w:t>：（</w:t>
            </w:r>
            <w:r>
              <w:rPr>
                <w:spacing w:val="-1"/>
              </w:rPr>
              <w:t>一）生产、经营、</w:t>
            </w:r>
            <w:r>
              <w:rPr>
                <w:spacing w:val="1"/>
              </w:rPr>
              <w:t xml:space="preserve"> </w:t>
            </w:r>
            <w:r>
              <w:rPr>
                <w:spacing w:val="-2"/>
              </w:rPr>
              <w:t>运输、储存、使用危险物品或者处置废弃危险物品，未建立专门安全管理制度、未采取可靠的安全措施的；</w:t>
            </w:r>
            <w:r>
              <w:rPr>
                <w:spacing w:val="18"/>
              </w:rPr>
              <w:t xml:space="preserve"> </w:t>
            </w:r>
            <w:r>
              <w:t>（二）对重大危险源未登记建档，未进行定期检测、评估、监控，</w:t>
            </w:r>
            <w:r>
              <w:rPr>
                <w:spacing w:val="-1"/>
              </w:rPr>
              <w:t>未制定应急预案，或者未告知应急措施</w:t>
            </w:r>
            <w:r>
              <w:t xml:space="preserve">  的</w:t>
            </w:r>
            <w:r>
              <w:rPr>
                <w:spacing w:val="-1"/>
              </w:rPr>
              <w:t>；（</w:t>
            </w:r>
            <w:r>
              <w:t>三）进行爆破、吊装、动火、临时用电以及国务院应急管理部门会同国务院有关</w:t>
            </w:r>
            <w:r>
              <w:rPr>
                <w:spacing w:val="-1"/>
              </w:rPr>
              <w:t>部门规定的其他危</w:t>
            </w:r>
            <w:r>
              <w:t xml:space="preserve">  险作业，未安排专门人员进行现场安全管理的</w:t>
            </w:r>
            <w:r>
              <w:rPr>
                <w:spacing w:val="-1"/>
              </w:rPr>
              <w:t>；（</w:t>
            </w:r>
            <w:r>
              <w:t>四）未建立安全风险分级管控制度或</w:t>
            </w:r>
            <w:r>
              <w:rPr>
                <w:spacing w:val="-1"/>
              </w:rPr>
              <w:t>者未按照安全风险</w:t>
            </w:r>
            <w:r>
              <w:t xml:space="preserve">  分级采取相应管控措施的</w:t>
            </w:r>
            <w:r>
              <w:rPr>
                <w:spacing w:val="-1"/>
              </w:rPr>
              <w:t>；（</w:t>
            </w:r>
            <w:r>
              <w:t>五）未建立事故隐患排查治理制度，或者重大事故隐患排</w:t>
            </w:r>
            <w:r>
              <w:rPr>
                <w:spacing w:val="-1"/>
              </w:rPr>
              <w:t>查治理情况未按照</w:t>
            </w:r>
            <w:r>
              <w:t xml:space="preserve">  </w:t>
            </w:r>
            <w:r>
              <w:rPr>
                <w:spacing w:val="-5"/>
              </w:rPr>
              <w:t>规定报告的。</w:t>
            </w:r>
          </w:p>
          <w:p w14:paraId="066D9DCC">
            <w:pPr>
              <w:pStyle w:val="8"/>
              <w:spacing w:before="8" w:line="219" w:lineRule="auto"/>
              <w:ind w:left="473"/>
            </w:pPr>
            <w:r>
              <w:rPr>
                <w:b/>
                <w:bCs/>
                <w:spacing w:val="-3"/>
              </w:rPr>
              <w:t>2.《湖南省安全生产条例》</w:t>
            </w:r>
          </w:p>
          <w:p w14:paraId="3AD1CE29">
            <w:pPr>
              <w:pStyle w:val="8"/>
              <w:spacing w:before="5" w:line="218" w:lineRule="auto"/>
              <w:ind w:left="110" w:right="58" w:firstLine="360"/>
              <w:jc w:val="both"/>
            </w:pPr>
            <w:r>
              <w:rPr>
                <w:spacing w:val="-2"/>
              </w:rPr>
              <w:t>第二十六条  生产经营单位进行爆破、吊装、动火、临时用电以及国家有关部门规定的其他危险作业，</w:t>
            </w:r>
            <w:r>
              <w:rPr>
                <w:spacing w:val="5"/>
              </w:rPr>
              <w:t xml:space="preserve"> </w:t>
            </w:r>
            <w:r>
              <w:t>应当制定具体的作业方案、操作规程和安全保障措施，安排专人进行现场安全管理和安</w:t>
            </w:r>
            <w:r>
              <w:rPr>
                <w:spacing w:val="-1"/>
              </w:rPr>
              <w:t>全检查。现场负责</w:t>
            </w:r>
            <w:r>
              <w:t xml:space="preserve">  人应当在作业前向作业人员详细说明有关危险作业的操作规程和安全保障措施。作业人</w:t>
            </w:r>
            <w:r>
              <w:rPr>
                <w:spacing w:val="-1"/>
              </w:rPr>
              <w:t>员应当严格执行作</w:t>
            </w:r>
            <w:r>
              <w:t xml:space="preserve">  </w:t>
            </w:r>
            <w:r>
              <w:rPr>
                <w:spacing w:val="-2"/>
              </w:rPr>
              <w:t>业方案、操作规程和安全保障措施。</w:t>
            </w:r>
          </w:p>
        </w:tc>
        <w:tc>
          <w:tcPr>
            <w:tcW w:w="1014" w:type="dxa"/>
            <w:vAlign w:val="top"/>
          </w:tcPr>
          <w:p w14:paraId="71E58046">
            <w:pPr>
              <w:spacing w:line="241" w:lineRule="auto"/>
              <w:rPr>
                <w:rFonts w:ascii="Arial"/>
                <w:sz w:val="21"/>
              </w:rPr>
            </w:pPr>
          </w:p>
          <w:p w14:paraId="78AAD92F">
            <w:pPr>
              <w:spacing w:line="241" w:lineRule="auto"/>
              <w:rPr>
                <w:rFonts w:ascii="Arial"/>
                <w:sz w:val="21"/>
              </w:rPr>
            </w:pPr>
          </w:p>
          <w:p w14:paraId="4E6A11AD">
            <w:pPr>
              <w:spacing w:line="241" w:lineRule="auto"/>
              <w:rPr>
                <w:rFonts w:ascii="Arial"/>
                <w:sz w:val="21"/>
              </w:rPr>
            </w:pPr>
          </w:p>
          <w:p w14:paraId="708EB963">
            <w:pPr>
              <w:spacing w:line="242" w:lineRule="auto"/>
              <w:rPr>
                <w:rFonts w:ascii="Arial"/>
                <w:sz w:val="21"/>
              </w:rPr>
            </w:pPr>
          </w:p>
          <w:p w14:paraId="101EDE88">
            <w:pPr>
              <w:spacing w:line="242" w:lineRule="auto"/>
              <w:rPr>
                <w:rFonts w:ascii="Arial"/>
                <w:sz w:val="21"/>
              </w:rPr>
            </w:pPr>
          </w:p>
          <w:p w14:paraId="4BE5DE74">
            <w:pPr>
              <w:spacing w:line="242" w:lineRule="auto"/>
              <w:rPr>
                <w:rFonts w:ascii="Arial"/>
                <w:sz w:val="21"/>
              </w:rPr>
            </w:pPr>
          </w:p>
          <w:p w14:paraId="6C49166A">
            <w:pPr>
              <w:spacing w:line="242" w:lineRule="auto"/>
              <w:rPr>
                <w:rFonts w:ascii="Arial"/>
                <w:sz w:val="21"/>
              </w:rPr>
            </w:pPr>
          </w:p>
          <w:p w14:paraId="16E47C07">
            <w:pPr>
              <w:spacing w:line="242" w:lineRule="auto"/>
              <w:rPr>
                <w:rFonts w:ascii="Arial"/>
                <w:sz w:val="21"/>
              </w:rPr>
            </w:pPr>
          </w:p>
          <w:p w14:paraId="2FAD9BE6">
            <w:pPr>
              <w:pStyle w:val="8"/>
              <w:spacing w:before="58" w:line="222" w:lineRule="auto"/>
              <w:ind w:left="153" w:right="144" w:firstLine="2"/>
            </w:pPr>
            <w:r>
              <w:rPr>
                <w:spacing w:val="-3"/>
              </w:rPr>
              <w:t>交通运输</w:t>
            </w:r>
            <w:r>
              <w:t xml:space="preserve"> </w:t>
            </w:r>
            <w:r>
              <w:rPr>
                <w:spacing w:val="-3"/>
              </w:rPr>
              <w:t>主管部门</w:t>
            </w:r>
          </w:p>
        </w:tc>
        <w:tc>
          <w:tcPr>
            <w:tcW w:w="1407" w:type="dxa"/>
            <w:vAlign w:val="top"/>
          </w:tcPr>
          <w:p w14:paraId="765B10A9">
            <w:pPr>
              <w:spacing w:line="241" w:lineRule="auto"/>
              <w:rPr>
                <w:rFonts w:ascii="Arial"/>
                <w:sz w:val="21"/>
              </w:rPr>
            </w:pPr>
          </w:p>
          <w:p w14:paraId="76C298CC">
            <w:pPr>
              <w:spacing w:line="241" w:lineRule="auto"/>
              <w:rPr>
                <w:rFonts w:ascii="Arial"/>
                <w:sz w:val="21"/>
              </w:rPr>
            </w:pPr>
          </w:p>
          <w:p w14:paraId="67DC3E6D">
            <w:pPr>
              <w:spacing w:line="241" w:lineRule="auto"/>
              <w:rPr>
                <w:rFonts w:ascii="Arial"/>
                <w:sz w:val="21"/>
              </w:rPr>
            </w:pPr>
          </w:p>
          <w:p w14:paraId="7FE69E27">
            <w:pPr>
              <w:spacing w:line="242" w:lineRule="auto"/>
              <w:rPr>
                <w:rFonts w:ascii="Arial"/>
                <w:sz w:val="21"/>
              </w:rPr>
            </w:pPr>
          </w:p>
          <w:p w14:paraId="2AB31654">
            <w:pPr>
              <w:spacing w:line="242" w:lineRule="auto"/>
              <w:rPr>
                <w:rFonts w:ascii="Arial"/>
                <w:sz w:val="21"/>
              </w:rPr>
            </w:pPr>
          </w:p>
          <w:p w14:paraId="08523CF1">
            <w:pPr>
              <w:spacing w:line="242" w:lineRule="auto"/>
              <w:rPr>
                <w:rFonts w:ascii="Arial"/>
                <w:sz w:val="21"/>
              </w:rPr>
            </w:pPr>
          </w:p>
          <w:p w14:paraId="4CFB5AD0">
            <w:pPr>
              <w:spacing w:line="242" w:lineRule="auto"/>
              <w:rPr>
                <w:rFonts w:ascii="Arial"/>
                <w:sz w:val="21"/>
              </w:rPr>
            </w:pPr>
          </w:p>
          <w:p w14:paraId="624146A6">
            <w:pPr>
              <w:spacing w:line="242" w:lineRule="auto"/>
              <w:rPr>
                <w:rFonts w:ascii="Arial"/>
                <w:sz w:val="21"/>
              </w:rPr>
            </w:pPr>
          </w:p>
          <w:p w14:paraId="55A49E9F">
            <w:pPr>
              <w:pStyle w:val="8"/>
              <w:spacing w:before="58" w:line="223"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AB9B43E">
            <w:pPr>
              <w:spacing w:line="244" w:lineRule="auto"/>
              <w:rPr>
                <w:rFonts w:ascii="Arial"/>
                <w:sz w:val="21"/>
              </w:rPr>
            </w:pPr>
          </w:p>
          <w:p w14:paraId="788AD7CB">
            <w:pPr>
              <w:spacing w:line="244" w:lineRule="auto"/>
              <w:rPr>
                <w:rFonts w:ascii="Arial"/>
                <w:sz w:val="21"/>
              </w:rPr>
            </w:pPr>
          </w:p>
          <w:p w14:paraId="082DD6E5">
            <w:pPr>
              <w:spacing w:line="245" w:lineRule="auto"/>
              <w:rPr>
                <w:rFonts w:ascii="Arial"/>
                <w:sz w:val="21"/>
              </w:rPr>
            </w:pPr>
          </w:p>
          <w:p w14:paraId="3940ECF9">
            <w:pPr>
              <w:spacing w:line="245" w:lineRule="auto"/>
              <w:rPr>
                <w:rFonts w:ascii="Arial"/>
                <w:sz w:val="21"/>
              </w:rPr>
            </w:pPr>
          </w:p>
          <w:p w14:paraId="6312A651">
            <w:pPr>
              <w:spacing w:line="245" w:lineRule="auto"/>
              <w:rPr>
                <w:rFonts w:ascii="Arial"/>
                <w:sz w:val="21"/>
              </w:rPr>
            </w:pPr>
          </w:p>
          <w:p w14:paraId="4396D18F">
            <w:pPr>
              <w:spacing w:line="245" w:lineRule="auto"/>
              <w:rPr>
                <w:rFonts w:ascii="Arial"/>
                <w:sz w:val="21"/>
              </w:rPr>
            </w:pPr>
          </w:p>
          <w:p w14:paraId="78F2BFEB">
            <w:pPr>
              <w:spacing w:line="245" w:lineRule="auto"/>
              <w:rPr>
                <w:rFonts w:ascii="Arial"/>
                <w:sz w:val="21"/>
              </w:rPr>
            </w:pPr>
          </w:p>
          <w:p w14:paraId="57E2F0C3">
            <w:pPr>
              <w:pStyle w:val="8"/>
              <w:spacing w:before="59" w:line="224"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376B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624" w:type="dxa"/>
            <w:vAlign w:val="top"/>
          </w:tcPr>
          <w:p w14:paraId="7DBB941C">
            <w:pPr>
              <w:spacing w:line="281" w:lineRule="auto"/>
              <w:rPr>
                <w:rFonts w:ascii="Arial"/>
                <w:sz w:val="21"/>
              </w:rPr>
            </w:pPr>
          </w:p>
          <w:p w14:paraId="05F8BF64">
            <w:pPr>
              <w:spacing w:line="282" w:lineRule="auto"/>
              <w:rPr>
                <w:rFonts w:ascii="Arial"/>
                <w:sz w:val="21"/>
              </w:rPr>
            </w:pPr>
          </w:p>
          <w:p w14:paraId="18D72446">
            <w:pPr>
              <w:spacing w:line="282" w:lineRule="auto"/>
              <w:rPr>
                <w:rFonts w:ascii="Arial"/>
                <w:sz w:val="21"/>
              </w:rPr>
            </w:pPr>
          </w:p>
          <w:p w14:paraId="4BFA1498">
            <w:pPr>
              <w:pStyle w:val="8"/>
              <w:spacing w:before="59" w:line="184" w:lineRule="auto"/>
              <w:ind w:left="231"/>
            </w:pPr>
            <w:r>
              <w:rPr>
                <w:spacing w:val="-4"/>
              </w:rPr>
              <w:t>81</w:t>
            </w:r>
          </w:p>
        </w:tc>
        <w:tc>
          <w:tcPr>
            <w:tcW w:w="1104" w:type="dxa"/>
            <w:vAlign w:val="top"/>
          </w:tcPr>
          <w:p w14:paraId="2C472ED9">
            <w:pPr>
              <w:pStyle w:val="8"/>
              <w:spacing w:before="281" w:line="241" w:lineRule="auto"/>
              <w:ind w:left="60" w:right="56"/>
              <w:jc w:val="both"/>
            </w:pPr>
            <w:r>
              <w:rPr>
                <w:spacing w:val="16"/>
              </w:rPr>
              <w:t>对生产经营</w:t>
            </w:r>
            <w:r>
              <w:rPr>
                <w:spacing w:val="1"/>
              </w:rPr>
              <w:t xml:space="preserve"> </w:t>
            </w:r>
            <w:r>
              <w:rPr>
                <w:spacing w:val="16"/>
              </w:rPr>
              <w:t>单位未采取</w:t>
            </w:r>
            <w:r>
              <w:t xml:space="preserve"> </w:t>
            </w:r>
            <w:r>
              <w:rPr>
                <w:spacing w:val="16"/>
              </w:rPr>
              <w:t>措施消除事</w:t>
            </w:r>
            <w:r>
              <w:t xml:space="preserve"> </w:t>
            </w:r>
            <w:r>
              <w:rPr>
                <w:spacing w:val="8"/>
              </w:rPr>
              <w:t>故隐</w:t>
            </w:r>
            <w:r>
              <w:rPr>
                <w:spacing w:val="-50"/>
              </w:rPr>
              <w:t xml:space="preserve"> </w:t>
            </w:r>
            <w:r>
              <w:rPr>
                <w:spacing w:val="8"/>
              </w:rPr>
              <w:t>患行为</w:t>
            </w:r>
            <w:r>
              <w:t xml:space="preserve"> </w:t>
            </w:r>
            <w:r>
              <w:rPr>
                <w:spacing w:val="-2"/>
              </w:rPr>
              <w:t>的行政处罚</w:t>
            </w:r>
          </w:p>
        </w:tc>
        <w:tc>
          <w:tcPr>
            <w:tcW w:w="1104" w:type="dxa"/>
            <w:vAlign w:val="top"/>
          </w:tcPr>
          <w:p w14:paraId="00608572">
            <w:pPr>
              <w:spacing w:line="272" w:lineRule="auto"/>
              <w:rPr>
                <w:rFonts w:ascii="Arial"/>
                <w:sz w:val="21"/>
              </w:rPr>
            </w:pPr>
          </w:p>
          <w:p w14:paraId="45958507">
            <w:pPr>
              <w:spacing w:line="273" w:lineRule="auto"/>
              <w:rPr>
                <w:rFonts w:ascii="Arial"/>
                <w:sz w:val="21"/>
              </w:rPr>
            </w:pPr>
          </w:p>
          <w:p w14:paraId="281DE63B">
            <w:pPr>
              <w:spacing w:line="273" w:lineRule="auto"/>
              <w:rPr>
                <w:rFonts w:ascii="Arial"/>
                <w:sz w:val="21"/>
              </w:rPr>
            </w:pPr>
          </w:p>
          <w:p w14:paraId="2DCAB44C">
            <w:pPr>
              <w:pStyle w:val="8"/>
              <w:spacing w:before="58" w:line="220" w:lineRule="auto"/>
              <w:ind w:left="10"/>
            </w:pPr>
            <w:r>
              <w:rPr>
                <w:spacing w:val="-2"/>
              </w:rPr>
              <w:t>行政处罚</w:t>
            </w:r>
          </w:p>
        </w:tc>
        <w:tc>
          <w:tcPr>
            <w:tcW w:w="8549" w:type="dxa"/>
            <w:vAlign w:val="top"/>
          </w:tcPr>
          <w:p w14:paraId="747745C3">
            <w:pPr>
              <w:pStyle w:val="8"/>
              <w:spacing w:before="42" w:line="219" w:lineRule="auto"/>
              <w:ind w:left="476"/>
            </w:pPr>
            <w:r>
              <w:rPr>
                <w:b/>
                <w:bCs/>
                <w:spacing w:val="-3"/>
              </w:rPr>
              <w:t>《中华人民共和国安全生产法》</w:t>
            </w:r>
          </w:p>
          <w:p w14:paraId="3B157509">
            <w:pPr>
              <w:pStyle w:val="8"/>
              <w:spacing w:before="26" w:line="239" w:lineRule="auto"/>
              <w:ind w:left="110" w:right="104" w:firstLine="360"/>
            </w:pPr>
            <w:r>
              <w:rPr>
                <w:spacing w:val="1"/>
              </w:rPr>
              <w:t>第四十一条第二款  生产经营单位应当建立</w:t>
            </w:r>
            <w:r>
              <w:t xml:space="preserve">健全并落实生产安全事故隐患排查治理制度，采取技术、 </w:t>
            </w:r>
            <w:r>
              <w:rPr>
                <w:spacing w:val="1"/>
              </w:rPr>
              <w:t xml:space="preserve">管理措施，及时发现并消除事故隐患。事故隐患排查治理情况应当如实记录，并通过职工大会或者职工代 表大会、信息公示栏等方式向从业人员通报。其中，重大事故隐患排查治理情况应当及时向负有安全生产 </w:t>
            </w:r>
            <w:r>
              <w:rPr>
                <w:spacing w:val="-2"/>
              </w:rPr>
              <w:t>监督管理职责的部门和职工大会或者职工代表大会报告。</w:t>
            </w:r>
          </w:p>
          <w:p w14:paraId="6A79D082">
            <w:pPr>
              <w:pStyle w:val="8"/>
              <w:spacing w:before="26" w:line="230" w:lineRule="auto"/>
              <w:ind w:left="114" w:right="104" w:firstLine="265"/>
              <w:jc w:val="both"/>
            </w:pPr>
            <w:r>
              <w:rPr>
                <w:spacing w:val="-1"/>
              </w:rPr>
              <w:t>第一百零二条  生产经营单位未采取措施消除事故隐患的，责令立即消除或者限期消除，处五万元以下</w:t>
            </w:r>
            <w:r>
              <w:rPr>
                <w:spacing w:val="4"/>
              </w:rPr>
              <w:t xml:space="preserve"> </w:t>
            </w:r>
            <w:r>
              <w:rPr>
                <w:spacing w:val="1"/>
              </w:rPr>
              <w:t>的罚款；生产经营单位拒不执行的，责令停产停业整顿，对其直接负责的主管人员和其他直接责任人</w:t>
            </w:r>
            <w:r>
              <w:t xml:space="preserve">员处 </w:t>
            </w:r>
            <w:r>
              <w:rPr>
                <w:spacing w:val="-1"/>
              </w:rPr>
              <w:t>五万元以上十万元以下的罚款；构成犯罪的，依照刑法有关规定追究刑事责任。</w:t>
            </w:r>
          </w:p>
        </w:tc>
        <w:tc>
          <w:tcPr>
            <w:tcW w:w="1014" w:type="dxa"/>
            <w:vAlign w:val="top"/>
          </w:tcPr>
          <w:p w14:paraId="70F62A87">
            <w:pPr>
              <w:spacing w:line="349" w:lineRule="auto"/>
              <w:rPr>
                <w:rFonts w:ascii="Arial"/>
                <w:sz w:val="21"/>
              </w:rPr>
            </w:pPr>
          </w:p>
          <w:p w14:paraId="5866559A">
            <w:pPr>
              <w:spacing w:line="349" w:lineRule="auto"/>
              <w:rPr>
                <w:rFonts w:ascii="Arial"/>
                <w:sz w:val="21"/>
              </w:rPr>
            </w:pPr>
          </w:p>
          <w:p w14:paraId="1F843A79">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552A3DCB">
            <w:pPr>
              <w:spacing w:line="349" w:lineRule="auto"/>
              <w:rPr>
                <w:rFonts w:ascii="Arial"/>
                <w:sz w:val="21"/>
              </w:rPr>
            </w:pPr>
          </w:p>
          <w:p w14:paraId="07B89E12">
            <w:pPr>
              <w:spacing w:line="349" w:lineRule="auto"/>
              <w:rPr>
                <w:rFonts w:ascii="Arial"/>
                <w:sz w:val="21"/>
              </w:rPr>
            </w:pPr>
          </w:p>
          <w:p w14:paraId="67A21832">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C3A3674">
            <w:pPr>
              <w:spacing w:line="461" w:lineRule="auto"/>
              <w:rPr>
                <w:rFonts w:ascii="Arial"/>
                <w:sz w:val="21"/>
              </w:rPr>
            </w:pPr>
          </w:p>
          <w:p w14:paraId="1ACA2D27">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21B75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624" w:type="dxa"/>
            <w:vAlign w:val="top"/>
          </w:tcPr>
          <w:p w14:paraId="7901807C">
            <w:pPr>
              <w:spacing w:line="271" w:lineRule="auto"/>
              <w:rPr>
                <w:rFonts w:ascii="Arial"/>
                <w:sz w:val="21"/>
              </w:rPr>
            </w:pPr>
          </w:p>
          <w:p w14:paraId="6B870C35">
            <w:pPr>
              <w:spacing w:line="271" w:lineRule="auto"/>
              <w:rPr>
                <w:rFonts w:ascii="Arial"/>
                <w:sz w:val="21"/>
              </w:rPr>
            </w:pPr>
          </w:p>
          <w:p w14:paraId="7416FF0D">
            <w:pPr>
              <w:spacing w:line="271" w:lineRule="auto"/>
              <w:rPr>
                <w:rFonts w:ascii="Arial"/>
                <w:sz w:val="21"/>
              </w:rPr>
            </w:pPr>
          </w:p>
          <w:p w14:paraId="220D9926">
            <w:pPr>
              <w:spacing w:line="272" w:lineRule="auto"/>
              <w:rPr>
                <w:rFonts w:ascii="Arial"/>
                <w:sz w:val="21"/>
              </w:rPr>
            </w:pPr>
          </w:p>
          <w:p w14:paraId="3CA18B95">
            <w:pPr>
              <w:pStyle w:val="8"/>
              <w:spacing w:before="59" w:line="183" w:lineRule="auto"/>
              <w:ind w:left="231"/>
            </w:pPr>
            <w:r>
              <w:rPr>
                <w:spacing w:val="-4"/>
              </w:rPr>
              <w:t>82</w:t>
            </w:r>
          </w:p>
        </w:tc>
        <w:tc>
          <w:tcPr>
            <w:tcW w:w="1104" w:type="dxa"/>
            <w:vAlign w:val="top"/>
          </w:tcPr>
          <w:p w14:paraId="42DFFCBB">
            <w:pPr>
              <w:pStyle w:val="8"/>
              <w:spacing w:before="46" w:line="241" w:lineRule="auto"/>
              <w:ind w:left="60" w:right="56"/>
              <w:jc w:val="both"/>
            </w:pPr>
            <w:r>
              <w:rPr>
                <w:spacing w:val="16"/>
                <w:sz w:val="18"/>
                <w:szCs w:val="18"/>
              </w:rPr>
              <w:t>对交通运输</w:t>
            </w:r>
            <w:r>
              <w:rPr>
                <w:spacing w:val="1"/>
                <w:sz w:val="18"/>
                <w:szCs w:val="18"/>
              </w:rPr>
              <w:t xml:space="preserve"> </w:t>
            </w:r>
            <w:r>
              <w:rPr>
                <w:spacing w:val="16"/>
                <w:sz w:val="18"/>
                <w:szCs w:val="18"/>
              </w:rPr>
              <w:t>领域建设单</w:t>
            </w:r>
            <w:r>
              <w:rPr>
                <w:spacing w:val="1"/>
                <w:sz w:val="18"/>
                <w:szCs w:val="18"/>
              </w:rPr>
              <w:t xml:space="preserve"> </w:t>
            </w:r>
            <w:r>
              <w:rPr>
                <w:spacing w:val="16"/>
                <w:sz w:val="18"/>
                <w:szCs w:val="18"/>
              </w:rPr>
              <w:t>位将工程发</w:t>
            </w:r>
            <w:r>
              <w:rPr>
                <w:spacing w:val="1"/>
                <w:sz w:val="18"/>
                <w:szCs w:val="18"/>
              </w:rPr>
              <w:t xml:space="preserve"> </w:t>
            </w:r>
            <w:r>
              <w:rPr>
                <w:spacing w:val="16"/>
                <w:sz w:val="18"/>
                <w:szCs w:val="18"/>
              </w:rPr>
              <w:t>包给不具备</w:t>
            </w:r>
            <w:r>
              <w:rPr>
                <w:spacing w:val="1"/>
                <w:sz w:val="18"/>
                <w:szCs w:val="18"/>
              </w:rPr>
              <w:t xml:space="preserve"> </w:t>
            </w:r>
            <w:r>
              <w:rPr>
                <w:spacing w:val="16"/>
                <w:sz w:val="18"/>
                <w:szCs w:val="18"/>
              </w:rPr>
              <w:t>安全生产条</w:t>
            </w:r>
            <w:r>
              <w:rPr>
                <w:spacing w:val="1"/>
                <w:sz w:val="18"/>
                <w:szCs w:val="18"/>
              </w:rPr>
              <w:t xml:space="preserve"> </w:t>
            </w:r>
            <w:r>
              <w:rPr>
                <w:spacing w:val="16"/>
                <w:sz w:val="18"/>
                <w:szCs w:val="18"/>
              </w:rPr>
              <w:t>件或者相应</w:t>
            </w:r>
            <w:r>
              <w:rPr>
                <w:spacing w:val="1"/>
                <w:sz w:val="18"/>
                <w:szCs w:val="18"/>
              </w:rPr>
              <w:t xml:space="preserve"> </w:t>
            </w:r>
            <w:r>
              <w:rPr>
                <w:spacing w:val="7"/>
                <w:sz w:val="18"/>
                <w:szCs w:val="18"/>
              </w:rPr>
              <w:t>资质</w:t>
            </w:r>
            <w:r>
              <w:rPr>
                <w:spacing w:val="-44"/>
                <w:sz w:val="18"/>
                <w:szCs w:val="18"/>
              </w:rPr>
              <w:t xml:space="preserve"> </w:t>
            </w:r>
            <w:r>
              <w:rPr>
                <w:spacing w:val="7"/>
                <w:sz w:val="18"/>
                <w:szCs w:val="18"/>
              </w:rPr>
              <w:t>的单位</w:t>
            </w:r>
            <w:r>
              <w:rPr>
                <w:sz w:val="18"/>
                <w:szCs w:val="18"/>
              </w:rPr>
              <w:t xml:space="preserve"> </w:t>
            </w:r>
            <w:r>
              <w:rPr>
                <w:spacing w:val="16"/>
                <w:sz w:val="18"/>
                <w:szCs w:val="18"/>
              </w:rPr>
              <w:t>或者个人行</w:t>
            </w:r>
            <w:r>
              <w:rPr>
                <w:spacing w:val="1"/>
                <w:sz w:val="18"/>
                <w:szCs w:val="18"/>
              </w:rPr>
              <w:t xml:space="preserve"> </w:t>
            </w:r>
            <w:r>
              <w:rPr>
                <w:spacing w:val="16"/>
                <w:sz w:val="18"/>
                <w:szCs w:val="18"/>
              </w:rPr>
              <w:t>为的行政</w:t>
            </w:r>
          </w:p>
        </w:tc>
        <w:tc>
          <w:tcPr>
            <w:tcW w:w="1104" w:type="dxa"/>
            <w:vAlign w:val="top"/>
          </w:tcPr>
          <w:p w14:paraId="20C17B38">
            <w:pPr>
              <w:spacing w:line="264" w:lineRule="auto"/>
              <w:rPr>
                <w:rFonts w:ascii="Arial"/>
                <w:sz w:val="21"/>
              </w:rPr>
            </w:pPr>
          </w:p>
          <w:p w14:paraId="11CAE2FF">
            <w:pPr>
              <w:spacing w:line="264" w:lineRule="auto"/>
              <w:rPr>
                <w:rFonts w:ascii="Arial"/>
                <w:sz w:val="21"/>
              </w:rPr>
            </w:pPr>
          </w:p>
          <w:p w14:paraId="7889EC62">
            <w:pPr>
              <w:spacing w:line="264" w:lineRule="auto"/>
              <w:rPr>
                <w:rFonts w:ascii="Arial"/>
                <w:sz w:val="21"/>
              </w:rPr>
            </w:pPr>
          </w:p>
          <w:p w14:paraId="055FDBE8">
            <w:pPr>
              <w:spacing w:line="265" w:lineRule="auto"/>
              <w:rPr>
                <w:rFonts w:ascii="Arial"/>
                <w:sz w:val="21"/>
              </w:rPr>
            </w:pPr>
          </w:p>
          <w:p w14:paraId="14088E23">
            <w:pPr>
              <w:pStyle w:val="8"/>
              <w:spacing w:before="58" w:line="220" w:lineRule="auto"/>
              <w:ind w:left="10"/>
            </w:pPr>
            <w:r>
              <w:rPr>
                <w:spacing w:val="-2"/>
              </w:rPr>
              <w:t>行政处罚</w:t>
            </w:r>
          </w:p>
        </w:tc>
        <w:tc>
          <w:tcPr>
            <w:tcW w:w="8549" w:type="dxa"/>
            <w:vAlign w:val="top"/>
          </w:tcPr>
          <w:p w14:paraId="07B3BBE6">
            <w:pPr>
              <w:pStyle w:val="8"/>
              <w:spacing w:before="42" w:line="219" w:lineRule="auto"/>
              <w:ind w:left="573"/>
            </w:pPr>
            <w:r>
              <w:rPr>
                <w:b/>
                <w:bCs/>
                <w:spacing w:val="-3"/>
              </w:rPr>
              <w:t>1.《中华人民共和国安全生产法》</w:t>
            </w:r>
          </w:p>
          <w:p w14:paraId="7096F4FA">
            <w:pPr>
              <w:pStyle w:val="8"/>
              <w:spacing w:before="25" w:line="233" w:lineRule="auto"/>
              <w:ind w:left="112" w:right="159" w:firstLine="358"/>
            </w:pPr>
            <w:r>
              <w:t>第四十九条  生产经营单位不得将生产经营项目、场所、设备发包或者出租给不</w:t>
            </w:r>
            <w:r>
              <w:rPr>
                <w:spacing w:val="-1"/>
              </w:rPr>
              <w:t>具备安全生产条件或</w:t>
            </w:r>
            <w:r>
              <w:t xml:space="preserve"> </w:t>
            </w:r>
            <w:r>
              <w:rPr>
                <w:spacing w:val="-3"/>
              </w:rPr>
              <w:t>者相应资质的单位或者个人。</w:t>
            </w:r>
          </w:p>
          <w:p w14:paraId="5BCB6EEE">
            <w:pPr>
              <w:pStyle w:val="8"/>
              <w:spacing w:before="23"/>
              <w:ind w:left="112" w:right="159" w:firstLine="360"/>
              <w:jc w:val="both"/>
            </w:pPr>
            <w:r>
              <w:t>生产经营项目、场所发包或者出租给其他单位的，生产经营单位应当与承包单</w:t>
            </w:r>
            <w:r>
              <w:rPr>
                <w:spacing w:val="-1"/>
              </w:rPr>
              <w:t>位、承租单位签订专门</w:t>
            </w:r>
            <w:r>
              <w:t xml:space="preserve"> 的安全生产管理协议，或者在承包合同、租赁合同中约定各自的安全生产管理职责</w:t>
            </w:r>
            <w:r>
              <w:rPr>
                <w:spacing w:val="-1"/>
              </w:rPr>
              <w:t>；生产经营单位对承包</w:t>
            </w:r>
            <w:r>
              <w:t xml:space="preserve"> 单位、承租单位的安全生产工作统一协调、管理，定期进行安全检查，发现安全问</w:t>
            </w:r>
            <w:r>
              <w:rPr>
                <w:spacing w:val="-1"/>
              </w:rPr>
              <w:t>题的，应当及时督促整</w:t>
            </w:r>
            <w:r>
              <w:t xml:space="preserve"> </w:t>
            </w:r>
            <w:r>
              <w:rPr>
                <w:spacing w:val="-9"/>
              </w:rPr>
              <w:t>改。</w:t>
            </w:r>
          </w:p>
          <w:p w14:paraId="23E4C0F1">
            <w:pPr>
              <w:pStyle w:val="8"/>
              <w:spacing w:before="27" w:line="230" w:lineRule="auto"/>
              <w:ind w:left="114" w:right="159" w:firstLine="356"/>
              <w:jc w:val="both"/>
            </w:pPr>
            <w:r>
              <w:t>矿山、金属冶炼建设项目和用于生产、储存、装卸危险物品的建设项目的施工单位</w:t>
            </w:r>
            <w:r>
              <w:rPr>
                <w:spacing w:val="-1"/>
              </w:rPr>
              <w:t>应当加强对施工项</w:t>
            </w:r>
            <w:r>
              <w:t xml:space="preserve"> 目的安全管理，不得倒卖、出租、出借、挂靠或者以其他形式非法转让施工资质</w:t>
            </w:r>
            <w:r>
              <w:rPr>
                <w:spacing w:val="-1"/>
              </w:rPr>
              <w:t>，不得将其承包的全部建</w:t>
            </w:r>
            <w:r>
              <w:t xml:space="preserve"> 设工程转包给第三人或者将其承包的全部建设工程支解以后以分包的名义分别转</w:t>
            </w:r>
            <w:r>
              <w:rPr>
                <w:spacing w:val="-1"/>
              </w:rPr>
              <w:t>包给第三人，不得将工程</w:t>
            </w:r>
          </w:p>
        </w:tc>
        <w:tc>
          <w:tcPr>
            <w:tcW w:w="1014" w:type="dxa"/>
            <w:vAlign w:val="top"/>
          </w:tcPr>
          <w:p w14:paraId="32933741">
            <w:pPr>
              <w:spacing w:line="312" w:lineRule="auto"/>
              <w:rPr>
                <w:rFonts w:ascii="Arial"/>
                <w:sz w:val="21"/>
              </w:rPr>
            </w:pPr>
          </w:p>
          <w:p w14:paraId="5100FCE2">
            <w:pPr>
              <w:spacing w:line="312" w:lineRule="auto"/>
              <w:rPr>
                <w:rFonts w:ascii="Arial"/>
                <w:sz w:val="21"/>
              </w:rPr>
            </w:pPr>
          </w:p>
          <w:p w14:paraId="7CCD8849">
            <w:pPr>
              <w:spacing w:line="313" w:lineRule="auto"/>
              <w:rPr>
                <w:rFonts w:ascii="Arial"/>
                <w:sz w:val="21"/>
              </w:rPr>
            </w:pPr>
          </w:p>
          <w:p w14:paraId="54C5CAB5">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6A84BF2C">
            <w:pPr>
              <w:spacing w:line="312" w:lineRule="auto"/>
              <w:rPr>
                <w:rFonts w:ascii="Arial"/>
                <w:sz w:val="21"/>
              </w:rPr>
            </w:pPr>
          </w:p>
          <w:p w14:paraId="25191C41">
            <w:pPr>
              <w:spacing w:line="312" w:lineRule="auto"/>
              <w:rPr>
                <w:rFonts w:ascii="Arial"/>
                <w:sz w:val="21"/>
              </w:rPr>
            </w:pPr>
          </w:p>
          <w:p w14:paraId="3846C64F">
            <w:pPr>
              <w:spacing w:line="313" w:lineRule="auto"/>
              <w:rPr>
                <w:rFonts w:ascii="Arial"/>
                <w:sz w:val="21"/>
              </w:rPr>
            </w:pPr>
          </w:p>
          <w:p w14:paraId="34FF5EAA">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3431A2B9">
            <w:pPr>
              <w:spacing w:line="350" w:lineRule="auto"/>
              <w:rPr>
                <w:rFonts w:ascii="Arial"/>
                <w:sz w:val="21"/>
              </w:rPr>
            </w:pPr>
          </w:p>
          <w:p w14:paraId="11AC4917">
            <w:pPr>
              <w:spacing w:line="350" w:lineRule="auto"/>
              <w:rPr>
                <w:rFonts w:ascii="Arial"/>
                <w:sz w:val="21"/>
              </w:rPr>
            </w:pPr>
          </w:p>
          <w:p w14:paraId="49AD657D">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19AEB042">
      <w:pPr>
        <w:sectPr>
          <w:footerReference r:id="rId118" w:type="default"/>
          <w:pgSz w:w="16839" w:h="11906"/>
          <w:pgMar w:top="1012" w:right="991" w:bottom="967" w:left="1021" w:header="0" w:footer="768" w:gutter="0"/>
          <w:cols w:space="720" w:num="1"/>
        </w:sectPr>
      </w:pPr>
    </w:p>
    <w:p w14:paraId="335898F7">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08BB3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28F4548C">
            <w:pPr>
              <w:pStyle w:val="8"/>
              <w:spacing w:before="267" w:line="221" w:lineRule="auto"/>
              <w:ind w:left="134"/>
            </w:pPr>
            <w:r>
              <w:rPr>
                <w:b/>
                <w:bCs/>
                <w:spacing w:val="-4"/>
              </w:rPr>
              <w:t>序号</w:t>
            </w:r>
          </w:p>
        </w:tc>
        <w:tc>
          <w:tcPr>
            <w:tcW w:w="1104" w:type="dxa"/>
            <w:vMerge w:val="restart"/>
            <w:tcBorders>
              <w:bottom w:val="nil"/>
            </w:tcBorders>
            <w:vAlign w:val="top"/>
          </w:tcPr>
          <w:p w14:paraId="5EEFBCDB">
            <w:pPr>
              <w:pStyle w:val="8"/>
              <w:spacing w:before="260" w:line="220" w:lineRule="auto"/>
              <w:ind w:left="192"/>
            </w:pPr>
            <w:r>
              <w:rPr>
                <w:b/>
                <w:bCs/>
                <w:spacing w:val="-4"/>
              </w:rPr>
              <w:t>事项名称</w:t>
            </w:r>
          </w:p>
        </w:tc>
        <w:tc>
          <w:tcPr>
            <w:tcW w:w="1104" w:type="dxa"/>
            <w:vMerge w:val="restart"/>
            <w:tcBorders>
              <w:bottom w:val="nil"/>
            </w:tcBorders>
            <w:vAlign w:val="top"/>
          </w:tcPr>
          <w:p w14:paraId="7E3B84AE">
            <w:pPr>
              <w:pStyle w:val="8"/>
              <w:spacing w:before="260" w:line="219" w:lineRule="auto"/>
              <w:ind w:left="193"/>
            </w:pPr>
            <w:r>
              <w:rPr>
                <w:b/>
                <w:bCs/>
                <w:spacing w:val="-4"/>
              </w:rPr>
              <w:t>职权类型</w:t>
            </w:r>
          </w:p>
        </w:tc>
        <w:tc>
          <w:tcPr>
            <w:tcW w:w="8549" w:type="dxa"/>
            <w:vMerge w:val="restart"/>
            <w:tcBorders>
              <w:bottom w:val="nil"/>
            </w:tcBorders>
            <w:vAlign w:val="top"/>
          </w:tcPr>
          <w:p w14:paraId="093A5D95">
            <w:pPr>
              <w:pStyle w:val="8"/>
              <w:spacing w:before="259" w:line="219" w:lineRule="auto"/>
              <w:ind w:left="3921"/>
            </w:pPr>
            <w:r>
              <w:rPr>
                <w:b/>
                <w:bCs/>
                <w:spacing w:val="-5"/>
              </w:rPr>
              <w:t>实施依据</w:t>
            </w:r>
          </w:p>
        </w:tc>
        <w:tc>
          <w:tcPr>
            <w:tcW w:w="3439" w:type="dxa"/>
            <w:gridSpan w:val="3"/>
            <w:vAlign w:val="top"/>
          </w:tcPr>
          <w:p w14:paraId="719B3E38">
            <w:pPr>
              <w:pStyle w:val="8"/>
              <w:spacing w:before="85" w:line="220" w:lineRule="auto"/>
              <w:ind w:left="1365"/>
            </w:pPr>
            <w:r>
              <w:rPr>
                <w:b/>
                <w:bCs/>
                <w:spacing w:val="-5"/>
              </w:rPr>
              <w:t>实施主体</w:t>
            </w:r>
          </w:p>
        </w:tc>
      </w:tr>
      <w:tr w14:paraId="7A784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1560705">
            <w:pPr>
              <w:rPr>
                <w:rFonts w:ascii="Arial"/>
                <w:sz w:val="21"/>
              </w:rPr>
            </w:pPr>
          </w:p>
        </w:tc>
        <w:tc>
          <w:tcPr>
            <w:tcW w:w="1104" w:type="dxa"/>
            <w:vMerge w:val="continue"/>
            <w:tcBorders>
              <w:top w:val="nil"/>
            </w:tcBorders>
            <w:vAlign w:val="top"/>
          </w:tcPr>
          <w:p w14:paraId="6703C251">
            <w:pPr>
              <w:rPr>
                <w:rFonts w:ascii="Arial"/>
                <w:sz w:val="21"/>
              </w:rPr>
            </w:pPr>
          </w:p>
        </w:tc>
        <w:tc>
          <w:tcPr>
            <w:tcW w:w="1104" w:type="dxa"/>
            <w:vMerge w:val="continue"/>
            <w:tcBorders>
              <w:top w:val="nil"/>
            </w:tcBorders>
            <w:vAlign w:val="top"/>
          </w:tcPr>
          <w:p w14:paraId="7350C40D">
            <w:pPr>
              <w:rPr>
                <w:rFonts w:ascii="Arial"/>
                <w:sz w:val="21"/>
              </w:rPr>
            </w:pPr>
          </w:p>
        </w:tc>
        <w:tc>
          <w:tcPr>
            <w:tcW w:w="8549" w:type="dxa"/>
            <w:vMerge w:val="continue"/>
            <w:tcBorders>
              <w:top w:val="nil"/>
            </w:tcBorders>
            <w:vAlign w:val="top"/>
          </w:tcPr>
          <w:p w14:paraId="7D89E387">
            <w:pPr>
              <w:rPr>
                <w:rFonts w:ascii="Arial"/>
                <w:sz w:val="21"/>
              </w:rPr>
            </w:pPr>
          </w:p>
        </w:tc>
        <w:tc>
          <w:tcPr>
            <w:tcW w:w="1014" w:type="dxa"/>
            <w:vAlign w:val="top"/>
          </w:tcPr>
          <w:p w14:paraId="14387B52">
            <w:pPr>
              <w:pStyle w:val="8"/>
              <w:spacing w:before="81" w:line="219" w:lineRule="auto"/>
              <w:ind w:left="158"/>
            </w:pPr>
            <w:r>
              <w:rPr>
                <w:b/>
                <w:bCs/>
                <w:spacing w:val="-5"/>
              </w:rPr>
              <w:t>责任部门</w:t>
            </w:r>
          </w:p>
        </w:tc>
        <w:tc>
          <w:tcPr>
            <w:tcW w:w="1407" w:type="dxa"/>
            <w:vAlign w:val="top"/>
          </w:tcPr>
          <w:p w14:paraId="0A902313">
            <w:pPr>
              <w:pStyle w:val="8"/>
              <w:spacing w:before="81" w:line="219" w:lineRule="auto"/>
              <w:ind w:left="167"/>
            </w:pPr>
            <w:r>
              <w:rPr>
                <w:b/>
                <w:bCs/>
                <w:spacing w:val="-3"/>
              </w:rPr>
              <w:t>第一责任层级</w:t>
            </w:r>
          </w:p>
        </w:tc>
        <w:tc>
          <w:tcPr>
            <w:tcW w:w="1018" w:type="dxa"/>
            <w:vAlign w:val="top"/>
          </w:tcPr>
          <w:p w14:paraId="5EE3E901">
            <w:pPr>
              <w:pStyle w:val="8"/>
              <w:spacing w:before="81" w:line="219" w:lineRule="auto"/>
              <w:ind w:left="152"/>
            </w:pPr>
            <w:r>
              <w:rPr>
                <w:b/>
                <w:bCs/>
                <w:spacing w:val="-4"/>
              </w:rPr>
              <w:t>承办机构</w:t>
            </w:r>
          </w:p>
        </w:tc>
      </w:tr>
      <w:tr w14:paraId="6289F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2" w:hRule="atLeast"/>
        </w:trPr>
        <w:tc>
          <w:tcPr>
            <w:tcW w:w="624" w:type="dxa"/>
            <w:vAlign w:val="top"/>
          </w:tcPr>
          <w:p w14:paraId="611B79C1">
            <w:pPr>
              <w:rPr>
                <w:rFonts w:ascii="Arial"/>
                <w:sz w:val="21"/>
              </w:rPr>
            </w:pPr>
          </w:p>
        </w:tc>
        <w:tc>
          <w:tcPr>
            <w:tcW w:w="1104" w:type="dxa"/>
            <w:vAlign w:val="top"/>
          </w:tcPr>
          <w:p w14:paraId="119B804A">
            <w:pPr>
              <w:rPr>
                <w:rFonts w:ascii="Arial"/>
                <w:sz w:val="21"/>
              </w:rPr>
            </w:pPr>
            <w:r>
              <w:rPr>
                <w:spacing w:val="16"/>
                <w:sz w:val="18"/>
                <w:szCs w:val="18"/>
              </w:rPr>
              <w:t>处</w:t>
            </w:r>
            <w:r>
              <w:rPr>
                <w:spacing w:val="1"/>
                <w:sz w:val="18"/>
                <w:szCs w:val="18"/>
              </w:rPr>
              <w:t xml:space="preserve"> </w:t>
            </w:r>
            <w:r>
              <w:rPr>
                <w:sz w:val="18"/>
                <w:szCs w:val="18"/>
              </w:rPr>
              <w:t>罚</w:t>
            </w:r>
          </w:p>
        </w:tc>
        <w:tc>
          <w:tcPr>
            <w:tcW w:w="1104" w:type="dxa"/>
            <w:vAlign w:val="top"/>
          </w:tcPr>
          <w:p w14:paraId="2BD75AFF">
            <w:pPr>
              <w:rPr>
                <w:rFonts w:ascii="Arial"/>
                <w:sz w:val="21"/>
              </w:rPr>
            </w:pPr>
          </w:p>
        </w:tc>
        <w:tc>
          <w:tcPr>
            <w:tcW w:w="8549" w:type="dxa"/>
            <w:vAlign w:val="top"/>
          </w:tcPr>
          <w:p w14:paraId="6EC8AAD1">
            <w:pPr>
              <w:pStyle w:val="8"/>
              <w:spacing w:before="38" w:line="219" w:lineRule="auto"/>
              <w:ind w:left="113"/>
            </w:pPr>
            <w:r>
              <w:rPr>
                <w:spacing w:val="-3"/>
              </w:rPr>
              <w:t>分包给不具备相应资质条件的单位。</w:t>
            </w:r>
          </w:p>
          <w:p w14:paraId="1CD359CB">
            <w:pPr>
              <w:pStyle w:val="8"/>
              <w:spacing w:before="25" w:line="241" w:lineRule="auto"/>
              <w:ind w:left="111" w:right="159" w:firstLine="360"/>
              <w:jc w:val="both"/>
            </w:pPr>
            <w:r>
              <w:t>第一百零三条  生产经营单位将生产经营项目、场所、设备发包或者出租给不具</w:t>
            </w:r>
            <w:r>
              <w:rPr>
                <w:spacing w:val="-1"/>
              </w:rPr>
              <w:t>备安全生产条件或者</w:t>
            </w:r>
            <w:r>
              <w:t xml:space="preserve"> 相应资质的单位或者个人的，责令限期改正，没收违法所得；违法所得十万元以上的</w:t>
            </w:r>
            <w:r>
              <w:rPr>
                <w:spacing w:val="-1"/>
              </w:rPr>
              <w:t>，并处违法所得二倍</w:t>
            </w:r>
            <w:r>
              <w:t xml:space="preserve"> 以上五倍以下的罚款；没有违法所得或者违法所得不足十万元的，单处或者并处十万</w:t>
            </w:r>
            <w:r>
              <w:rPr>
                <w:spacing w:val="-1"/>
              </w:rPr>
              <w:t>元以上二十万元以下</w:t>
            </w:r>
            <w:r>
              <w:t xml:space="preserve"> 的罚款；对其直接负责的主管人员和其他直接责任人员处一万元以上二万元以下的罚</w:t>
            </w:r>
            <w:r>
              <w:rPr>
                <w:spacing w:val="-1"/>
              </w:rPr>
              <w:t>款；导致发生生产安</w:t>
            </w:r>
            <w:r>
              <w:t xml:space="preserve"> </w:t>
            </w:r>
            <w:r>
              <w:rPr>
                <w:spacing w:val="-1"/>
              </w:rPr>
              <w:t>全事故给他人造成损害的，与承包方、承租方承担连带赔</w:t>
            </w:r>
            <w:r>
              <w:rPr>
                <w:spacing w:val="-2"/>
              </w:rPr>
              <w:t>偿责任。</w:t>
            </w:r>
          </w:p>
          <w:p w14:paraId="704AA25D">
            <w:pPr>
              <w:pStyle w:val="8"/>
              <w:spacing w:before="27" w:line="239" w:lineRule="auto"/>
              <w:ind w:left="114" w:right="159" w:firstLine="357"/>
              <w:jc w:val="both"/>
            </w:pPr>
            <w:r>
              <w:t>生产经营单位未与承包单位、承租单位签订专门的安全生产管理协议或者未在</w:t>
            </w:r>
            <w:r>
              <w:rPr>
                <w:spacing w:val="-1"/>
              </w:rPr>
              <w:t>承包合同、租赁合同中</w:t>
            </w:r>
            <w:r>
              <w:t xml:space="preserve"> 明确各自的安全生产管理职责，或者未对承包单位、承租单位的安全生产统一</w:t>
            </w:r>
            <w:r>
              <w:rPr>
                <w:spacing w:val="-1"/>
              </w:rPr>
              <w:t>协调、管理的，责令限期改</w:t>
            </w:r>
            <w:r>
              <w:t xml:space="preserve"> 正，处五万元以下的罚款，对其直接负责的主管人员和其他直接责任人员处一</w:t>
            </w:r>
            <w:r>
              <w:rPr>
                <w:spacing w:val="-1"/>
              </w:rPr>
              <w:t>万元以下的罚款；逾期未改</w:t>
            </w:r>
            <w:r>
              <w:t xml:space="preserve"> </w:t>
            </w:r>
            <w:r>
              <w:rPr>
                <w:spacing w:val="-3"/>
              </w:rPr>
              <w:t>正的，责令停产停业整顿。</w:t>
            </w:r>
          </w:p>
          <w:p w14:paraId="25FD209B">
            <w:pPr>
              <w:pStyle w:val="8"/>
              <w:spacing w:before="28" w:line="242" w:lineRule="auto"/>
              <w:ind w:left="111" w:right="159" w:firstLine="358"/>
              <w:jc w:val="both"/>
            </w:pPr>
            <w:r>
              <w:t>矿山、金属冶炼建设项目和用于生产、储存、装卸危险物品的建设项目的施工单位</w:t>
            </w:r>
            <w:r>
              <w:rPr>
                <w:spacing w:val="-1"/>
              </w:rPr>
              <w:t>未按照规定对施工</w:t>
            </w:r>
            <w:r>
              <w:t xml:space="preserve"> 项目进行安全管理的，责令限期改正，处十万元以下的罚款，对其直接负责的主管人</w:t>
            </w:r>
            <w:r>
              <w:rPr>
                <w:spacing w:val="-1"/>
              </w:rPr>
              <w:t>员和其他直接责任人</w:t>
            </w:r>
            <w:r>
              <w:t xml:space="preserve"> 员处二万元以下的罚款；逾期未改正的，责令停产停业整顿。以上施工单位倒卖、出</w:t>
            </w:r>
            <w:r>
              <w:rPr>
                <w:spacing w:val="-1"/>
              </w:rPr>
              <w:t>租、出借、挂靠或者</w:t>
            </w:r>
            <w:r>
              <w:t xml:space="preserve"> 以其他形式非法转让施工资质的，责令停产停业整顿，吊销资质证书，没收违法所得</w:t>
            </w:r>
            <w:r>
              <w:rPr>
                <w:spacing w:val="-1"/>
              </w:rPr>
              <w:t>；违法所得十万元以</w:t>
            </w:r>
            <w:r>
              <w:t xml:space="preserve"> 上的，并处违法所得二倍以上五倍以下的罚款，没有违法所得或者违法所得不足十万</w:t>
            </w:r>
            <w:r>
              <w:rPr>
                <w:spacing w:val="-1"/>
              </w:rPr>
              <w:t>元的，单处或者并处</w:t>
            </w:r>
            <w:r>
              <w:t xml:space="preserve"> 十万元以上二十万元以下的罚款；对其直接负责的主管人员和其他直接责任人员处五</w:t>
            </w:r>
            <w:r>
              <w:rPr>
                <w:spacing w:val="-1"/>
              </w:rPr>
              <w:t>万元以上十万元以下</w:t>
            </w:r>
            <w:r>
              <w:t xml:space="preserve"> </w:t>
            </w:r>
            <w:r>
              <w:rPr>
                <w:spacing w:val="-2"/>
              </w:rPr>
              <w:t>的罚款；构成犯罪的，依照刑法有关规定追究刑事责任。</w:t>
            </w:r>
          </w:p>
          <w:p w14:paraId="0A9B548C">
            <w:pPr>
              <w:pStyle w:val="8"/>
              <w:spacing w:before="26" w:line="219" w:lineRule="auto"/>
              <w:ind w:left="473"/>
            </w:pPr>
            <w:r>
              <w:rPr>
                <w:b/>
                <w:bCs/>
                <w:spacing w:val="-3"/>
              </w:rPr>
              <w:t>2.《建设工程安全生产管理条例》</w:t>
            </w:r>
          </w:p>
          <w:p w14:paraId="7A82272B">
            <w:pPr>
              <w:pStyle w:val="8"/>
              <w:spacing w:before="27" w:line="230" w:lineRule="auto"/>
              <w:ind w:left="117" w:right="104" w:firstLine="353"/>
              <w:jc w:val="both"/>
            </w:pPr>
            <w:r>
              <w:rPr>
                <w:spacing w:val="-1"/>
              </w:rPr>
              <w:t>第五十五条第（三）项  违反本条例的规定，建设单位有下列行为之</w:t>
            </w:r>
            <w:r>
              <w:rPr>
                <w:spacing w:val="-2"/>
              </w:rPr>
              <w:t>一的，责令限期改正，处</w:t>
            </w:r>
            <w:r>
              <w:rPr>
                <w:spacing w:val="-38"/>
              </w:rPr>
              <w:t xml:space="preserve"> </w:t>
            </w:r>
            <w:r>
              <w:rPr>
                <w:spacing w:val="-2"/>
              </w:rPr>
              <w:t>20</w:t>
            </w:r>
            <w:r>
              <w:rPr>
                <w:spacing w:val="-34"/>
              </w:rPr>
              <w:t xml:space="preserve"> </w:t>
            </w:r>
            <w:r>
              <w:rPr>
                <w:spacing w:val="-2"/>
              </w:rPr>
              <w:t>万元</w:t>
            </w:r>
            <w:r>
              <w:t xml:space="preserve"> </w:t>
            </w:r>
            <w:r>
              <w:rPr>
                <w:spacing w:val="-1"/>
              </w:rPr>
              <w:t>以上</w:t>
            </w:r>
            <w:r>
              <w:rPr>
                <w:spacing w:val="-34"/>
              </w:rPr>
              <w:t xml:space="preserve"> </w:t>
            </w:r>
            <w:r>
              <w:rPr>
                <w:spacing w:val="-1"/>
              </w:rPr>
              <w:t>50</w:t>
            </w:r>
            <w:r>
              <w:rPr>
                <w:spacing w:val="-37"/>
              </w:rPr>
              <w:t xml:space="preserve"> </w:t>
            </w:r>
            <w:r>
              <w:rPr>
                <w:spacing w:val="-1"/>
              </w:rPr>
              <w:t>万元以下的罚款；造成重大安全事故，构成犯罪</w:t>
            </w:r>
            <w:r>
              <w:rPr>
                <w:spacing w:val="-2"/>
              </w:rPr>
              <w:t>的，对直接责任人员，依照刑法有关规定追究刑事</w:t>
            </w:r>
            <w:r>
              <w:t xml:space="preserve"> </w:t>
            </w:r>
            <w:r>
              <w:rPr>
                <w:spacing w:val="-1"/>
              </w:rPr>
              <w:t>责任；造成损失的，依法承担赔偿责任</w:t>
            </w:r>
            <w:r>
              <w:rPr>
                <w:spacing w:val="1"/>
              </w:rPr>
              <w:t>：（</w:t>
            </w:r>
            <w:r>
              <w:rPr>
                <w:spacing w:val="-1"/>
              </w:rPr>
              <w:t>三）将拆除工程发包给不具有相应资质等级的施工单位的。</w:t>
            </w:r>
          </w:p>
        </w:tc>
        <w:tc>
          <w:tcPr>
            <w:tcW w:w="1014" w:type="dxa"/>
            <w:vAlign w:val="top"/>
          </w:tcPr>
          <w:p w14:paraId="38BC5C2B">
            <w:pPr>
              <w:rPr>
                <w:rFonts w:ascii="Arial"/>
                <w:sz w:val="21"/>
              </w:rPr>
            </w:pPr>
          </w:p>
        </w:tc>
        <w:tc>
          <w:tcPr>
            <w:tcW w:w="1407" w:type="dxa"/>
            <w:vAlign w:val="top"/>
          </w:tcPr>
          <w:p w14:paraId="38F85FCD">
            <w:pPr>
              <w:rPr>
                <w:rFonts w:ascii="Arial"/>
                <w:sz w:val="21"/>
              </w:rPr>
            </w:pPr>
          </w:p>
        </w:tc>
        <w:tc>
          <w:tcPr>
            <w:tcW w:w="1018" w:type="dxa"/>
            <w:vAlign w:val="top"/>
          </w:tcPr>
          <w:p w14:paraId="16EB1390">
            <w:pPr>
              <w:rPr>
                <w:rFonts w:ascii="Arial"/>
                <w:sz w:val="21"/>
              </w:rPr>
            </w:pPr>
          </w:p>
        </w:tc>
      </w:tr>
      <w:tr w14:paraId="5BB8B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66" w:hRule="atLeast"/>
        </w:trPr>
        <w:tc>
          <w:tcPr>
            <w:tcW w:w="624" w:type="dxa"/>
            <w:vAlign w:val="top"/>
          </w:tcPr>
          <w:p w14:paraId="27027060">
            <w:pPr>
              <w:spacing w:line="260" w:lineRule="auto"/>
              <w:rPr>
                <w:rFonts w:ascii="Arial"/>
                <w:sz w:val="21"/>
              </w:rPr>
            </w:pPr>
          </w:p>
          <w:p w14:paraId="40E0808A">
            <w:pPr>
              <w:spacing w:line="260" w:lineRule="auto"/>
              <w:rPr>
                <w:rFonts w:ascii="Arial"/>
                <w:sz w:val="21"/>
              </w:rPr>
            </w:pPr>
          </w:p>
          <w:p w14:paraId="5A0F98DE">
            <w:pPr>
              <w:spacing w:line="260" w:lineRule="auto"/>
              <w:rPr>
                <w:rFonts w:ascii="Arial"/>
                <w:sz w:val="21"/>
              </w:rPr>
            </w:pPr>
          </w:p>
          <w:p w14:paraId="2695C87A">
            <w:pPr>
              <w:spacing w:line="260" w:lineRule="auto"/>
              <w:rPr>
                <w:rFonts w:ascii="Arial"/>
                <w:sz w:val="21"/>
              </w:rPr>
            </w:pPr>
          </w:p>
          <w:p w14:paraId="387F39BD">
            <w:pPr>
              <w:spacing w:line="260" w:lineRule="auto"/>
              <w:rPr>
                <w:rFonts w:ascii="Arial"/>
                <w:sz w:val="21"/>
              </w:rPr>
            </w:pPr>
          </w:p>
          <w:p w14:paraId="737996FF">
            <w:pPr>
              <w:spacing w:line="261" w:lineRule="auto"/>
              <w:rPr>
                <w:rFonts w:ascii="Arial"/>
                <w:sz w:val="21"/>
              </w:rPr>
            </w:pPr>
          </w:p>
          <w:p w14:paraId="08AC80CD">
            <w:pPr>
              <w:pStyle w:val="8"/>
              <w:spacing w:before="59" w:line="183" w:lineRule="auto"/>
              <w:ind w:left="231"/>
            </w:pPr>
            <w:r>
              <w:rPr>
                <w:spacing w:val="-4"/>
              </w:rPr>
              <w:t>83</w:t>
            </w:r>
          </w:p>
        </w:tc>
        <w:tc>
          <w:tcPr>
            <w:tcW w:w="1104" w:type="dxa"/>
            <w:vAlign w:val="top"/>
          </w:tcPr>
          <w:p w14:paraId="2F305DF4">
            <w:pPr>
              <w:pStyle w:val="8"/>
              <w:spacing w:before="17" w:line="214" w:lineRule="auto"/>
              <w:ind w:left="60" w:right="56"/>
              <w:jc w:val="both"/>
            </w:pPr>
            <w:r>
              <w:rPr>
                <w:spacing w:val="16"/>
              </w:rPr>
              <w:t>对两个以上</w:t>
            </w:r>
            <w:r>
              <w:rPr>
                <w:spacing w:val="1"/>
              </w:rPr>
              <w:t xml:space="preserve"> </w:t>
            </w:r>
            <w:r>
              <w:rPr>
                <w:spacing w:val="16"/>
              </w:rPr>
              <w:t>生产经营单</w:t>
            </w:r>
            <w:r>
              <w:rPr>
                <w:spacing w:val="1"/>
              </w:rPr>
              <w:t xml:space="preserve"> </w:t>
            </w:r>
            <w:r>
              <w:rPr>
                <w:spacing w:val="6"/>
              </w:rPr>
              <w:t>位在</w:t>
            </w:r>
            <w:r>
              <w:rPr>
                <w:spacing w:val="-39"/>
              </w:rPr>
              <w:t xml:space="preserve"> </w:t>
            </w:r>
            <w:r>
              <w:rPr>
                <w:spacing w:val="6"/>
              </w:rPr>
              <w:t>同一作</w:t>
            </w:r>
            <w:r>
              <w:rPr>
                <w:spacing w:val="16"/>
              </w:rPr>
              <w:t>业区域内进</w:t>
            </w:r>
            <w:r>
              <w:rPr>
                <w:spacing w:val="1"/>
              </w:rPr>
              <w:t xml:space="preserve"> </w:t>
            </w:r>
            <w:r>
              <w:rPr>
                <w:spacing w:val="8"/>
              </w:rPr>
              <w:t>行可</w:t>
            </w:r>
            <w:r>
              <w:rPr>
                <w:spacing w:val="-49"/>
              </w:rPr>
              <w:t xml:space="preserve"> </w:t>
            </w:r>
            <w:r>
              <w:rPr>
                <w:spacing w:val="8"/>
              </w:rPr>
              <w:t>能危及</w:t>
            </w:r>
            <w:r>
              <w:t xml:space="preserve"> </w:t>
            </w:r>
            <w:r>
              <w:rPr>
                <w:spacing w:val="16"/>
              </w:rPr>
              <w:t>对方安全生产的生产经</w:t>
            </w:r>
            <w:r>
              <w:rPr>
                <w:spacing w:val="-17"/>
              </w:rPr>
              <w:t>营活动，未签</w:t>
            </w:r>
            <w:r>
              <w:rPr>
                <w:spacing w:val="16"/>
              </w:rPr>
              <w:t>订安全生产管理协议或者未指定专</w:t>
            </w:r>
            <w:r>
              <w:rPr>
                <w:spacing w:val="1"/>
              </w:rPr>
              <w:t xml:space="preserve"> </w:t>
            </w:r>
            <w:r>
              <w:rPr>
                <w:spacing w:val="16"/>
              </w:rPr>
              <w:t>职安全生产</w:t>
            </w:r>
            <w:r>
              <w:rPr>
                <w:spacing w:val="1"/>
              </w:rPr>
              <w:t xml:space="preserve"> </w:t>
            </w:r>
            <w:r>
              <w:rPr>
                <w:spacing w:val="16"/>
              </w:rPr>
              <w:t>管理人员进行安全检查与协调行为</w:t>
            </w:r>
            <w:r>
              <w:rPr>
                <w:spacing w:val="1"/>
              </w:rPr>
              <w:t xml:space="preserve"> </w:t>
            </w:r>
            <w:r>
              <w:rPr>
                <w:spacing w:val="-2"/>
              </w:rPr>
              <w:t>的行政处罚</w:t>
            </w:r>
          </w:p>
        </w:tc>
        <w:tc>
          <w:tcPr>
            <w:tcW w:w="1104" w:type="dxa"/>
            <w:vAlign w:val="top"/>
          </w:tcPr>
          <w:p w14:paraId="51F5C8DB">
            <w:pPr>
              <w:spacing w:line="255" w:lineRule="auto"/>
              <w:rPr>
                <w:rFonts w:ascii="Arial"/>
                <w:sz w:val="21"/>
              </w:rPr>
            </w:pPr>
          </w:p>
          <w:p w14:paraId="012CB80A">
            <w:pPr>
              <w:spacing w:line="255" w:lineRule="auto"/>
              <w:rPr>
                <w:rFonts w:ascii="Arial"/>
                <w:sz w:val="21"/>
              </w:rPr>
            </w:pPr>
          </w:p>
          <w:p w14:paraId="15BDB76B">
            <w:pPr>
              <w:spacing w:line="255" w:lineRule="auto"/>
              <w:rPr>
                <w:rFonts w:ascii="Arial"/>
                <w:sz w:val="21"/>
              </w:rPr>
            </w:pPr>
          </w:p>
          <w:p w14:paraId="23E95B40">
            <w:pPr>
              <w:spacing w:line="256" w:lineRule="auto"/>
              <w:rPr>
                <w:rFonts w:ascii="Arial"/>
                <w:sz w:val="21"/>
              </w:rPr>
            </w:pPr>
          </w:p>
          <w:p w14:paraId="3737C1B2">
            <w:pPr>
              <w:spacing w:line="256" w:lineRule="auto"/>
              <w:rPr>
                <w:rFonts w:ascii="Arial"/>
                <w:sz w:val="21"/>
              </w:rPr>
            </w:pPr>
          </w:p>
          <w:p w14:paraId="0F4B527C">
            <w:pPr>
              <w:spacing w:line="256" w:lineRule="auto"/>
              <w:rPr>
                <w:rFonts w:ascii="Arial"/>
                <w:sz w:val="21"/>
              </w:rPr>
            </w:pPr>
          </w:p>
          <w:p w14:paraId="20645185">
            <w:pPr>
              <w:pStyle w:val="8"/>
              <w:spacing w:before="58" w:line="220" w:lineRule="auto"/>
              <w:ind w:left="10"/>
            </w:pPr>
            <w:r>
              <w:rPr>
                <w:spacing w:val="-2"/>
              </w:rPr>
              <w:t>行政处罚</w:t>
            </w:r>
          </w:p>
        </w:tc>
        <w:tc>
          <w:tcPr>
            <w:tcW w:w="8549" w:type="dxa"/>
            <w:vAlign w:val="top"/>
          </w:tcPr>
          <w:p w14:paraId="50ECA0DA">
            <w:pPr>
              <w:spacing w:line="349" w:lineRule="auto"/>
              <w:rPr>
                <w:rFonts w:ascii="Arial"/>
                <w:sz w:val="21"/>
              </w:rPr>
            </w:pPr>
          </w:p>
          <w:p w14:paraId="6214329D">
            <w:pPr>
              <w:spacing w:line="349" w:lineRule="auto"/>
              <w:rPr>
                <w:rFonts w:ascii="Arial"/>
                <w:sz w:val="21"/>
              </w:rPr>
            </w:pPr>
          </w:p>
          <w:p w14:paraId="395D920A">
            <w:pPr>
              <w:pStyle w:val="8"/>
              <w:spacing w:before="59" w:line="219" w:lineRule="auto"/>
              <w:ind w:left="476"/>
            </w:pPr>
            <w:r>
              <w:rPr>
                <w:b/>
                <w:bCs/>
                <w:spacing w:val="-3"/>
              </w:rPr>
              <w:t>《中华人民共和国安全生产法》</w:t>
            </w:r>
          </w:p>
          <w:p w14:paraId="4A303AEF">
            <w:pPr>
              <w:pStyle w:val="8"/>
              <w:spacing w:before="27" w:line="237" w:lineRule="auto"/>
              <w:ind w:left="111" w:right="58" w:firstLine="360"/>
              <w:jc w:val="both"/>
            </w:pPr>
            <w:r>
              <w:rPr>
                <w:spacing w:val="-2"/>
              </w:rPr>
              <w:t>第四十八条  两个以上生产经营单位在同一作业区域内进行生产经营活动，可能危及对方生产安全的，</w:t>
            </w:r>
            <w:r>
              <w:rPr>
                <w:spacing w:val="5"/>
              </w:rPr>
              <w:t xml:space="preserve"> </w:t>
            </w:r>
            <w:r>
              <w:rPr>
                <w:spacing w:val="1"/>
              </w:rPr>
              <w:t>应当签订安全生产管理协议，明确各自的安全生产管理职责和应当采取的安全措施，并指定专职安全生产</w:t>
            </w:r>
            <w:r>
              <w:t xml:space="preserve"> </w:t>
            </w:r>
            <w:r>
              <w:rPr>
                <w:spacing w:val="-3"/>
              </w:rPr>
              <w:t>管理人员进行安全检查与协调。</w:t>
            </w:r>
          </w:p>
          <w:p w14:paraId="40CD3452">
            <w:pPr>
              <w:pStyle w:val="8"/>
              <w:spacing w:before="27" w:line="239" w:lineRule="auto"/>
              <w:ind w:left="111" w:right="58" w:firstLine="359"/>
            </w:pPr>
            <w:r>
              <w:rPr>
                <w:spacing w:val="5"/>
              </w:rPr>
              <w:t>第一百零四条  两个以上生产经营单位在同一作业区域内进行可能危及对方安全生产的生产经营活</w:t>
            </w:r>
            <w:r>
              <w:rPr>
                <w:spacing w:val="6"/>
              </w:rPr>
              <w:t xml:space="preserve"> </w:t>
            </w:r>
            <w:r>
              <w:rPr>
                <w:spacing w:val="1"/>
              </w:rPr>
              <w:t>动，未签订安全生产管理协议或者未指定专职安全生产管理人员进行安全检查与协调的，责令限期</w:t>
            </w:r>
            <w:r>
              <w:t xml:space="preserve">改正， </w:t>
            </w:r>
            <w:r>
              <w:rPr>
                <w:spacing w:val="-2"/>
              </w:rPr>
              <w:t>处五万元以下的罚款，对其直接负责的主管人员和其他直接责任人员处一万元以下的罚款；逾期未改正的，</w:t>
            </w:r>
            <w:r>
              <w:rPr>
                <w:spacing w:val="6"/>
              </w:rPr>
              <w:t xml:space="preserve"> </w:t>
            </w:r>
            <w:r>
              <w:rPr>
                <w:spacing w:val="-5"/>
              </w:rPr>
              <w:t>责令停产停业。</w:t>
            </w:r>
          </w:p>
        </w:tc>
        <w:tc>
          <w:tcPr>
            <w:tcW w:w="1014" w:type="dxa"/>
            <w:vAlign w:val="top"/>
          </w:tcPr>
          <w:p w14:paraId="531B1D88">
            <w:pPr>
              <w:spacing w:line="282" w:lineRule="auto"/>
              <w:rPr>
                <w:rFonts w:ascii="Arial"/>
                <w:sz w:val="21"/>
              </w:rPr>
            </w:pPr>
          </w:p>
          <w:p w14:paraId="5648EF14">
            <w:pPr>
              <w:spacing w:line="282" w:lineRule="auto"/>
              <w:rPr>
                <w:rFonts w:ascii="Arial"/>
                <w:sz w:val="21"/>
              </w:rPr>
            </w:pPr>
          </w:p>
          <w:p w14:paraId="728A1482">
            <w:pPr>
              <w:spacing w:line="283" w:lineRule="auto"/>
              <w:rPr>
                <w:rFonts w:ascii="Arial"/>
                <w:sz w:val="21"/>
              </w:rPr>
            </w:pPr>
          </w:p>
          <w:p w14:paraId="58C887BC">
            <w:pPr>
              <w:spacing w:line="283" w:lineRule="auto"/>
              <w:rPr>
                <w:rFonts w:ascii="Arial"/>
                <w:sz w:val="21"/>
              </w:rPr>
            </w:pPr>
          </w:p>
          <w:p w14:paraId="5B8C17B0">
            <w:pPr>
              <w:spacing w:line="283" w:lineRule="auto"/>
              <w:rPr>
                <w:rFonts w:ascii="Arial"/>
                <w:sz w:val="21"/>
              </w:rPr>
            </w:pPr>
          </w:p>
          <w:p w14:paraId="219006EF">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7D6BAE05">
            <w:pPr>
              <w:spacing w:line="282" w:lineRule="auto"/>
              <w:rPr>
                <w:rFonts w:ascii="Arial"/>
                <w:sz w:val="21"/>
              </w:rPr>
            </w:pPr>
          </w:p>
          <w:p w14:paraId="32BB57C9">
            <w:pPr>
              <w:spacing w:line="282" w:lineRule="auto"/>
              <w:rPr>
                <w:rFonts w:ascii="Arial"/>
                <w:sz w:val="21"/>
              </w:rPr>
            </w:pPr>
          </w:p>
          <w:p w14:paraId="4BE8FB82">
            <w:pPr>
              <w:spacing w:line="283" w:lineRule="auto"/>
              <w:rPr>
                <w:rFonts w:ascii="Arial"/>
                <w:sz w:val="21"/>
              </w:rPr>
            </w:pPr>
          </w:p>
          <w:p w14:paraId="7DE8D577">
            <w:pPr>
              <w:spacing w:line="283" w:lineRule="auto"/>
              <w:rPr>
                <w:rFonts w:ascii="Arial"/>
                <w:sz w:val="21"/>
              </w:rPr>
            </w:pPr>
          </w:p>
          <w:p w14:paraId="376BC4D1">
            <w:pPr>
              <w:spacing w:line="283" w:lineRule="auto"/>
              <w:rPr>
                <w:rFonts w:ascii="Arial"/>
                <w:sz w:val="21"/>
              </w:rPr>
            </w:pPr>
          </w:p>
          <w:p w14:paraId="008C607C">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196B0EFC">
            <w:pPr>
              <w:spacing w:line="294" w:lineRule="auto"/>
              <w:rPr>
                <w:rFonts w:ascii="Arial"/>
                <w:sz w:val="21"/>
              </w:rPr>
            </w:pPr>
          </w:p>
          <w:p w14:paraId="1C3788E2">
            <w:pPr>
              <w:spacing w:line="294" w:lineRule="auto"/>
              <w:rPr>
                <w:rFonts w:ascii="Arial"/>
                <w:sz w:val="21"/>
              </w:rPr>
            </w:pPr>
          </w:p>
          <w:p w14:paraId="78AD8D3D">
            <w:pPr>
              <w:spacing w:line="294" w:lineRule="auto"/>
              <w:rPr>
                <w:rFonts w:ascii="Arial"/>
                <w:sz w:val="21"/>
              </w:rPr>
            </w:pPr>
          </w:p>
          <w:p w14:paraId="6CC94638">
            <w:pPr>
              <w:spacing w:line="294" w:lineRule="auto"/>
              <w:rPr>
                <w:rFonts w:ascii="Arial"/>
                <w:sz w:val="21"/>
              </w:rPr>
            </w:pPr>
          </w:p>
          <w:p w14:paraId="5F7BAA0C">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663E7E69">
      <w:pPr>
        <w:sectPr>
          <w:footerReference r:id="rId119" w:type="default"/>
          <w:pgSz w:w="16839" w:h="11906"/>
          <w:pgMar w:top="1012" w:right="991" w:bottom="967" w:left="1021" w:header="0" w:footer="768" w:gutter="0"/>
          <w:cols w:space="720" w:num="1"/>
        </w:sectPr>
      </w:pPr>
    </w:p>
    <w:p w14:paraId="373C7C82">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74BCA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4" w:type="dxa"/>
            <w:vMerge w:val="restart"/>
            <w:tcBorders>
              <w:bottom w:val="nil"/>
            </w:tcBorders>
            <w:vAlign w:val="top"/>
          </w:tcPr>
          <w:p w14:paraId="4D6A8695">
            <w:pPr>
              <w:pStyle w:val="8"/>
              <w:spacing w:before="267" w:line="221" w:lineRule="auto"/>
              <w:ind w:left="134"/>
            </w:pPr>
            <w:r>
              <w:rPr>
                <w:b/>
                <w:bCs/>
                <w:spacing w:val="-4"/>
              </w:rPr>
              <w:t>序号</w:t>
            </w:r>
          </w:p>
        </w:tc>
        <w:tc>
          <w:tcPr>
            <w:tcW w:w="1104" w:type="dxa"/>
            <w:vMerge w:val="restart"/>
            <w:tcBorders>
              <w:bottom w:val="nil"/>
            </w:tcBorders>
            <w:vAlign w:val="top"/>
          </w:tcPr>
          <w:p w14:paraId="049789C3">
            <w:pPr>
              <w:pStyle w:val="8"/>
              <w:spacing w:before="260" w:line="220" w:lineRule="auto"/>
              <w:ind w:left="192"/>
            </w:pPr>
            <w:r>
              <w:rPr>
                <w:b/>
                <w:bCs/>
                <w:spacing w:val="-4"/>
              </w:rPr>
              <w:t>事项名称</w:t>
            </w:r>
          </w:p>
        </w:tc>
        <w:tc>
          <w:tcPr>
            <w:tcW w:w="1104" w:type="dxa"/>
            <w:vMerge w:val="restart"/>
            <w:tcBorders>
              <w:bottom w:val="nil"/>
            </w:tcBorders>
            <w:vAlign w:val="top"/>
          </w:tcPr>
          <w:p w14:paraId="3DBAEA0D">
            <w:pPr>
              <w:pStyle w:val="8"/>
              <w:spacing w:before="260" w:line="219" w:lineRule="auto"/>
              <w:ind w:left="193"/>
            </w:pPr>
            <w:r>
              <w:rPr>
                <w:b/>
                <w:bCs/>
                <w:spacing w:val="-4"/>
              </w:rPr>
              <w:t>职权类型</w:t>
            </w:r>
          </w:p>
        </w:tc>
        <w:tc>
          <w:tcPr>
            <w:tcW w:w="8549" w:type="dxa"/>
            <w:vMerge w:val="restart"/>
            <w:tcBorders>
              <w:bottom w:val="nil"/>
            </w:tcBorders>
            <w:vAlign w:val="top"/>
          </w:tcPr>
          <w:p w14:paraId="4AFC73D4">
            <w:pPr>
              <w:pStyle w:val="8"/>
              <w:spacing w:before="259" w:line="219" w:lineRule="auto"/>
              <w:ind w:left="3921"/>
            </w:pPr>
            <w:r>
              <w:rPr>
                <w:b/>
                <w:bCs/>
                <w:spacing w:val="-5"/>
              </w:rPr>
              <w:t>实施依据</w:t>
            </w:r>
          </w:p>
        </w:tc>
        <w:tc>
          <w:tcPr>
            <w:tcW w:w="3439" w:type="dxa"/>
            <w:gridSpan w:val="3"/>
            <w:vAlign w:val="top"/>
          </w:tcPr>
          <w:p w14:paraId="6A363FC8">
            <w:pPr>
              <w:pStyle w:val="8"/>
              <w:spacing w:before="85" w:line="220" w:lineRule="auto"/>
              <w:ind w:left="1365"/>
            </w:pPr>
            <w:r>
              <w:rPr>
                <w:b/>
                <w:bCs/>
                <w:spacing w:val="-5"/>
              </w:rPr>
              <w:t>实施主体</w:t>
            </w:r>
          </w:p>
        </w:tc>
      </w:tr>
      <w:tr w14:paraId="56021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17C4582B">
            <w:pPr>
              <w:rPr>
                <w:rFonts w:ascii="Arial"/>
                <w:sz w:val="21"/>
              </w:rPr>
            </w:pPr>
          </w:p>
        </w:tc>
        <w:tc>
          <w:tcPr>
            <w:tcW w:w="1104" w:type="dxa"/>
            <w:vMerge w:val="continue"/>
            <w:tcBorders>
              <w:top w:val="nil"/>
            </w:tcBorders>
            <w:vAlign w:val="top"/>
          </w:tcPr>
          <w:p w14:paraId="6E94E122">
            <w:pPr>
              <w:rPr>
                <w:rFonts w:ascii="Arial"/>
                <w:sz w:val="21"/>
              </w:rPr>
            </w:pPr>
          </w:p>
        </w:tc>
        <w:tc>
          <w:tcPr>
            <w:tcW w:w="1104" w:type="dxa"/>
            <w:vMerge w:val="continue"/>
            <w:tcBorders>
              <w:top w:val="nil"/>
            </w:tcBorders>
            <w:vAlign w:val="top"/>
          </w:tcPr>
          <w:p w14:paraId="58D9D7B0">
            <w:pPr>
              <w:rPr>
                <w:rFonts w:ascii="Arial"/>
                <w:sz w:val="21"/>
              </w:rPr>
            </w:pPr>
          </w:p>
        </w:tc>
        <w:tc>
          <w:tcPr>
            <w:tcW w:w="8549" w:type="dxa"/>
            <w:vMerge w:val="continue"/>
            <w:tcBorders>
              <w:top w:val="nil"/>
            </w:tcBorders>
            <w:vAlign w:val="top"/>
          </w:tcPr>
          <w:p w14:paraId="61931CE9">
            <w:pPr>
              <w:rPr>
                <w:rFonts w:ascii="Arial"/>
                <w:sz w:val="21"/>
              </w:rPr>
            </w:pPr>
          </w:p>
        </w:tc>
        <w:tc>
          <w:tcPr>
            <w:tcW w:w="1014" w:type="dxa"/>
            <w:vAlign w:val="top"/>
          </w:tcPr>
          <w:p w14:paraId="7036B531">
            <w:pPr>
              <w:pStyle w:val="8"/>
              <w:spacing w:before="80" w:line="219" w:lineRule="auto"/>
              <w:ind w:left="158"/>
            </w:pPr>
            <w:r>
              <w:rPr>
                <w:b/>
                <w:bCs/>
                <w:spacing w:val="-5"/>
              </w:rPr>
              <w:t>责任部门</w:t>
            </w:r>
          </w:p>
        </w:tc>
        <w:tc>
          <w:tcPr>
            <w:tcW w:w="1407" w:type="dxa"/>
            <w:vAlign w:val="top"/>
          </w:tcPr>
          <w:p w14:paraId="31883CE4">
            <w:pPr>
              <w:pStyle w:val="8"/>
              <w:spacing w:before="80" w:line="219" w:lineRule="auto"/>
              <w:ind w:left="167"/>
            </w:pPr>
            <w:r>
              <w:rPr>
                <w:b/>
                <w:bCs/>
                <w:spacing w:val="-3"/>
              </w:rPr>
              <w:t>第一责任层级</w:t>
            </w:r>
          </w:p>
        </w:tc>
        <w:tc>
          <w:tcPr>
            <w:tcW w:w="1018" w:type="dxa"/>
            <w:vAlign w:val="top"/>
          </w:tcPr>
          <w:p w14:paraId="2FE1C5C2">
            <w:pPr>
              <w:pStyle w:val="8"/>
              <w:spacing w:before="80" w:line="219" w:lineRule="auto"/>
              <w:ind w:left="152"/>
            </w:pPr>
            <w:r>
              <w:rPr>
                <w:b/>
                <w:bCs/>
                <w:spacing w:val="-4"/>
              </w:rPr>
              <w:t>承办机构</w:t>
            </w:r>
          </w:p>
        </w:tc>
      </w:tr>
      <w:tr w14:paraId="2DEF5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8" w:hRule="atLeast"/>
        </w:trPr>
        <w:tc>
          <w:tcPr>
            <w:tcW w:w="624" w:type="dxa"/>
            <w:vAlign w:val="top"/>
          </w:tcPr>
          <w:p w14:paraId="4D8CC7A5">
            <w:pPr>
              <w:spacing w:line="282" w:lineRule="auto"/>
              <w:rPr>
                <w:rFonts w:ascii="Arial"/>
                <w:sz w:val="21"/>
              </w:rPr>
            </w:pPr>
          </w:p>
          <w:p w14:paraId="3DCFED64">
            <w:pPr>
              <w:spacing w:line="282" w:lineRule="auto"/>
              <w:rPr>
                <w:rFonts w:ascii="Arial"/>
                <w:sz w:val="21"/>
              </w:rPr>
            </w:pPr>
          </w:p>
          <w:p w14:paraId="0D080B95">
            <w:pPr>
              <w:spacing w:line="282" w:lineRule="auto"/>
              <w:rPr>
                <w:rFonts w:ascii="Arial"/>
                <w:sz w:val="21"/>
              </w:rPr>
            </w:pPr>
          </w:p>
          <w:p w14:paraId="27F32D62">
            <w:pPr>
              <w:spacing w:line="283" w:lineRule="auto"/>
              <w:rPr>
                <w:rFonts w:ascii="Arial"/>
                <w:sz w:val="21"/>
              </w:rPr>
            </w:pPr>
          </w:p>
          <w:p w14:paraId="1D98203C">
            <w:pPr>
              <w:spacing w:line="283" w:lineRule="auto"/>
              <w:rPr>
                <w:rFonts w:ascii="Arial"/>
                <w:sz w:val="21"/>
              </w:rPr>
            </w:pPr>
          </w:p>
          <w:p w14:paraId="7A130026">
            <w:pPr>
              <w:pStyle w:val="8"/>
              <w:spacing w:before="58" w:line="183" w:lineRule="auto"/>
              <w:ind w:left="231"/>
            </w:pPr>
            <w:r>
              <w:rPr>
                <w:spacing w:val="-4"/>
              </w:rPr>
              <w:t>84</w:t>
            </w:r>
          </w:p>
        </w:tc>
        <w:tc>
          <w:tcPr>
            <w:tcW w:w="1104" w:type="dxa"/>
            <w:vAlign w:val="top"/>
          </w:tcPr>
          <w:p w14:paraId="71F19B11">
            <w:pPr>
              <w:pStyle w:val="8"/>
              <w:spacing w:before="131" w:line="244" w:lineRule="auto"/>
              <w:ind w:left="60" w:right="56"/>
              <w:jc w:val="both"/>
            </w:pPr>
            <w:r>
              <w:rPr>
                <w:spacing w:val="16"/>
              </w:rPr>
              <w:t>对交通运输</w:t>
            </w:r>
            <w:r>
              <w:rPr>
                <w:spacing w:val="1"/>
              </w:rPr>
              <w:t xml:space="preserve"> </w:t>
            </w:r>
            <w:r>
              <w:rPr>
                <w:spacing w:val="16"/>
              </w:rPr>
              <w:t>领域生产经</w:t>
            </w:r>
            <w:r>
              <w:rPr>
                <w:spacing w:val="1"/>
              </w:rPr>
              <w:t xml:space="preserve"> </w:t>
            </w:r>
            <w:r>
              <w:rPr>
                <w:spacing w:val="16"/>
              </w:rPr>
              <w:t>营单位储存</w:t>
            </w:r>
            <w:r>
              <w:rPr>
                <w:spacing w:val="1"/>
              </w:rPr>
              <w:t xml:space="preserve"> </w:t>
            </w:r>
            <w:r>
              <w:rPr>
                <w:spacing w:val="16"/>
              </w:rPr>
              <w:t>危险物品的</w:t>
            </w:r>
            <w:r>
              <w:rPr>
                <w:spacing w:val="1"/>
              </w:rPr>
              <w:t xml:space="preserve"> </w:t>
            </w:r>
            <w:r>
              <w:rPr>
                <w:spacing w:val="16"/>
              </w:rPr>
              <w:t>仓库与员工</w:t>
            </w:r>
            <w:r>
              <w:rPr>
                <w:spacing w:val="1"/>
              </w:rPr>
              <w:t xml:space="preserve"> </w:t>
            </w:r>
            <w:r>
              <w:rPr>
                <w:spacing w:val="16"/>
              </w:rPr>
              <w:t>宿舍在同一</w:t>
            </w:r>
            <w:r>
              <w:rPr>
                <w:spacing w:val="1"/>
              </w:rPr>
              <w:t xml:space="preserve"> </w:t>
            </w:r>
            <w:r>
              <w:rPr>
                <w:spacing w:val="-17"/>
              </w:rPr>
              <w:t>座建筑内，或</w:t>
            </w:r>
            <w:r>
              <w:rPr>
                <w:spacing w:val="3"/>
              </w:rPr>
              <w:t xml:space="preserve"> </w:t>
            </w:r>
            <w:r>
              <w:rPr>
                <w:spacing w:val="8"/>
              </w:rPr>
              <w:t>者与</w:t>
            </w:r>
            <w:r>
              <w:rPr>
                <w:spacing w:val="-49"/>
              </w:rPr>
              <w:t xml:space="preserve"> </w:t>
            </w:r>
            <w:r>
              <w:rPr>
                <w:spacing w:val="8"/>
              </w:rPr>
              <w:t>员工宿</w:t>
            </w:r>
            <w:r>
              <w:t xml:space="preserve"> </w:t>
            </w:r>
            <w:r>
              <w:rPr>
                <w:spacing w:val="16"/>
              </w:rPr>
              <w:t>舍的距离不</w:t>
            </w:r>
            <w:r>
              <w:rPr>
                <w:spacing w:val="1"/>
              </w:rPr>
              <w:t xml:space="preserve"> </w:t>
            </w:r>
            <w:r>
              <w:rPr>
                <w:spacing w:val="16"/>
              </w:rPr>
              <w:t>符合安全要</w:t>
            </w:r>
            <w:r>
              <w:rPr>
                <w:spacing w:val="1"/>
              </w:rPr>
              <w:t xml:space="preserve"> </w:t>
            </w:r>
            <w:r>
              <w:rPr>
                <w:spacing w:val="16"/>
              </w:rPr>
              <w:t>求等行为的</w:t>
            </w:r>
            <w:r>
              <w:rPr>
                <w:spacing w:val="1"/>
              </w:rPr>
              <w:t xml:space="preserve"> </w:t>
            </w:r>
            <w:r>
              <w:rPr>
                <w:spacing w:val="-2"/>
              </w:rPr>
              <w:t>行政处罚</w:t>
            </w:r>
          </w:p>
        </w:tc>
        <w:tc>
          <w:tcPr>
            <w:tcW w:w="1104" w:type="dxa"/>
            <w:vAlign w:val="top"/>
          </w:tcPr>
          <w:p w14:paraId="7F40A029">
            <w:pPr>
              <w:spacing w:line="276" w:lineRule="auto"/>
              <w:rPr>
                <w:rFonts w:ascii="Arial"/>
                <w:sz w:val="21"/>
              </w:rPr>
            </w:pPr>
          </w:p>
          <w:p w14:paraId="5644B3F7">
            <w:pPr>
              <w:spacing w:line="277" w:lineRule="auto"/>
              <w:rPr>
                <w:rFonts w:ascii="Arial"/>
                <w:sz w:val="21"/>
              </w:rPr>
            </w:pPr>
          </w:p>
          <w:p w14:paraId="26CAC45F">
            <w:pPr>
              <w:spacing w:line="277" w:lineRule="auto"/>
              <w:rPr>
                <w:rFonts w:ascii="Arial"/>
                <w:sz w:val="21"/>
              </w:rPr>
            </w:pPr>
          </w:p>
          <w:p w14:paraId="11793BD1">
            <w:pPr>
              <w:spacing w:line="277" w:lineRule="auto"/>
              <w:rPr>
                <w:rFonts w:ascii="Arial"/>
                <w:sz w:val="21"/>
              </w:rPr>
            </w:pPr>
          </w:p>
          <w:p w14:paraId="70FD2DC0">
            <w:pPr>
              <w:spacing w:line="277" w:lineRule="auto"/>
              <w:rPr>
                <w:rFonts w:ascii="Arial"/>
                <w:sz w:val="21"/>
              </w:rPr>
            </w:pPr>
          </w:p>
          <w:p w14:paraId="28CCBCF7">
            <w:pPr>
              <w:pStyle w:val="8"/>
              <w:spacing w:before="58" w:line="220" w:lineRule="auto"/>
              <w:ind w:left="10"/>
            </w:pPr>
            <w:r>
              <w:rPr>
                <w:spacing w:val="-2"/>
              </w:rPr>
              <w:t>行政处罚</w:t>
            </w:r>
          </w:p>
        </w:tc>
        <w:tc>
          <w:tcPr>
            <w:tcW w:w="8549" w:type="dxa"/>
            <w:vAlign w:val="top"/>
          </w:tcPr>
          <w:p w14:paraId="5D3E37C1">
            <w:pPr>
              <w:pStyle w:val="8"/>
              <w:spacing w:before="251" w:line="219" w:lineRule="auto"/>
              <w:ind w:left="476"/>
            </w:pPr>
            <w:r>
              <w:rPr>
                <w:b/>
                <w:bCs/>
                <w:spacing w:val="-3"/>
              </w:rPr>
              <w:t>《中华人民共和国安全生产法》</w:t>
            </w:r>
          </w:p>
          <w:p w14:paraId="08A2CF83">
            <w:pPr>
              <w:pStyle w:val="8"/>
              <w:spacing w:before="25" w:line="233" w:lineRule="auto"/>
              <w:ind w:left="133" w:right="159" w:firstLine="338"/>
            </w:pPr>
            <w:r>
              <w:t>第四十二条  生产、经营、储存、使用危险物品的车间、商店、仓库不得与员工</w:t>
            </w:r>
            <w:r>
              <w:rPr>
                <w:spacing w:val="-1"/>
              </w:rPr>
              <w:t>宿舍在同一座建筑物</w:t>
            </w:r>
            <w:r>
              <w:t xml:space="preserve"> </w:t>
            </w:r>
            <w:r>
              <w:rPr>
                <w:spacing w:val="-4"/>
              </w:rPr>
              <w:t>内，并应当与员工宿舍保持安全距离。</w:t>
            </w:r>
          </w:p>
          <w:p w14:paraId="2B64BF05">
            <w:pPr>
              <w:pStyle w:val="8"/>
              <w:spacing w:before="25" w:line="233" w:lineRule="auto"/>
              <w:ind w:left="110" w:right="44" w:firstLine="362"/>
            </w:pPr>
            <w:r>
              <w:rPr>
                <w:spacing w:val="-2"/>
              </w:rPr>
              <w:t>生产经营场所和员工宿舍应当设有符合紧急疏散要求、标志明显、保持畅通的出口。禁止占用、锁闭、</w:t>
            </w:r>
            <w:r>
              <w:rPr>
                <w:spacing w:val="15"/>
              </w:rPr>
              <w:t xml:space="preserve"> </w:t>
            </w:r>
            <w:r>
              <w:rPr>
                <w:spacing w:val="-2"/>
              </w:rPr>
              <w:t>封堵生产经营场所或者员工宿舍的出口、疏散通道。</w:t>
            </w:r>
          </w:p>
          <w:p w14:paraId="642E977F">
            <w:pPr>
              <w:pStyle w:val="8"/>
              <w:spacing w:before="24" w:line="242" w:lineRule="auto"/>
              <w:ind w:left="111" w:right="58" w:firstLine="359"/>
            </w:pPr>
            <w:r>
              <w:t>第一百零五条  生产经营单位有下列行为之一的，责令限期改正，处五万元以下</w:t>
            </w:r>
            <w:r>
              <w:rPr>
                <w:spacing w:val="-1"/>
              </w:rPr>
              <w:t>的罚款，对其直接负</w:t>
            </w:r>
            <w:r>
              <w:t xml:space="preserve">  </w:t>
            </w:r>
            <w:r>
              <w:rPr>
                <w:spacing w:val="-2"/>
              </w:rPr>
              <w:t>责的主管人员和其他直接责任人员处一万元以下的罚款；逾期未改正的，责令停产停业整顿；构成犯罪的，</w:t>
            </w:r>
            <w:r>
              <w:rPr>
                <w:spacing w:val="6"/>
              </w:rPr>
              <w:t xml:space="preserve"> </w:t>
            </w:r>
            <w:r>
              <w:t>依照刑法有关规定追究刑事责任</w:t>
            </w:r>
            <w:r>
              <w:rPr>
                <w:spacing w:val="-2"/>
              </w:rPr>
              <w:t>：（</w:t>
            </w:r>
            <w:r>
              <w:t>一）生产、经营、储存、使用</w:t>
            </w:r>
            <w:r>
              <w:rPr>
                <w:spacing w:val="-1"/>
              </w:rPr>
              <w:t>危险物品的车间、商店、仓库与员工宿</w:t>
            </w:r>
            <w:r>
              <w:t xml:space="preserve">  舍在同一座建筑内，或者与员工宿舍的距离不符合安全要求的；（二）生产经营场所</w:t>
            </w:r>
            <w:r>
              <w:rPr>
                <w:spacing w:val="-1"/>
              </w:rPr>
              <w:t>和员工宿舍未设有符</w:t>
            </w:r>
            <w:r>
              <w:t xml:space="preserve">  合紧急疏散需要、标志明显、保持畅通的出口，或者占用、锁闭、封堵生产经营场所或者员工宿舍出</w:t>
            </w:r>
            <w:r>
              <w:rPr>
                <w:spacing w:val="-1"/>
              </w:rPr>
              <w:t>口、</w:t>
            </w:r>
            <w:r>
              <w:t xml:space="preserve">  </w:t>
            </w:r>
            <w:r>
              <w:rPr>
                <w:spacing w:val="-5"/>
              </w:rPr>
              <w:t>疏散通道的。</w:t>
            </w:r>
          </w:p>
        </w:tc>
        <w:tc>
          <w:tcPr>
            <w:tcW w:w="1014" w:type="dxa"/>
            <w:vAlign w:val="top"/>
          </w:tcPr>
          <w:p w14:paraId="188837F5">
            <w:pPr>
              <w:spacing w:line="252" w:lineRule="auto"/>
              <w:rPr>
                <w:rFonts w:ascii="Arial"/>
                <w:sz w:val="21"/>
              </w:rPr>
            </w:pPr>
          </w:p>
          <w:p w14:paraId="06C9C352">
            <w:pPr>
              <w:spacing w:line="253" w:lineRule="auto"/>
              <w:rPr>
                <w:rFonts w:ascii="Arial"/>
                <w:sz w:val="21"/>
              </w:rPr>
            </w:pPr>
          </w:p>
          <w:p w14:paraId="77357C16">
            <w:pPr>
              <w:spacing w:line="253" w:lineRule="auto"/>
              <w:rPr>
                <w:rFonts w:ascii="Arial"/>
                <w:sz w:val="21"/>
              </w:rPr>
            </w:pPr>
          </w:p>
          <w:p w14:paraId="30B3EBCB">
            <w:pPr>
              <w:spacing w:line="253" w:lineRule="auto"/>
              <w:rPr>
                <w:rFonts w:ascii="Arial"/>
                <w:sz w:val="21"/>
              </w:rPr>
            </w:pPr>
          </w:p>
          <w:p w14:paraId="34B1323B">
            <w:pPr>
              <w:spacing w:line="253" w:lineRule="auto"/>
              <w:rPr>
                <w:rFonts w:ascii="Arial"/>
                <w:sz w:val="21"/>
              </w:rPr>
            </w:pPr>
          </w:p>
          <w:p w14:paraId="732C5B24">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9C93D5B">
            <w:pPr>
              <w:spacing w:line="252" w:lineRule="auto"/>
              <w:rPr>
                <w:rFonts w:ascii="Arial"/>
                <w:sz w:val="21"/>
              </w:rPr>
            </w:pPr>
          </w:p>
          <w:p w14:paraId="213BAA57">
            <w:pPr>
              <w:spacing w:line="253" w:lineRule="auto"/>
              <w:rPr>
                <w:rFonts w:ascii="Arial"/>
                <w:sz w:val="21"/>
              </w:rPr>
            </w:pPr>
          </w:p>
          <w:p w14:paraId="189ACDB1">
            <w:pPr>
              <w:spacing w:line="253" w:lineRule="auto"/>
              <w:rPr>
                <w:rFonts w:ascii="Arial"/>
                <w:sz w:val="21"/>
              </w:rPr>
            </w:pPr>
          </w:p>
          <w:p w14:paraId="7B217C34">
            <w:pPr>
              <w:spacing w:line="253" w:lineRule="auto"/>
              <w:rPr>
                <w:rFonts w:ascii="Arial"/>
                <w:sz w:val="21"/>
              </w:rPr>
            </w:pPr>
          </w:p>
          <w:p w14:paraId="61E6CA7E">
            <w:pPr>
              <w:spacing w:line="253" w:lineRule="auto"/>
              <w:rPr>
                <w:rFonts w:ascii="Arial"/>
                <w:sz w:val="21"/>
              </w:rPr>
            </w:pPr>
          </w:p>
          <w:p w14:paraId="6096F45D">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8194EEC">
            <w:pPr>
              <w:spacing w:line="256" w:lineRule="auto"/>
              <w:rPr>
                <w:rFonts w:ascii="Arial"/>
                <w:sz w:val="21"/>
              </w:rPr>
            </w:pPr>
          </w:p>
          <w:p w14:paraId="6D54D219">
            <w:pPr>
              <w:spacing w:line="257" w:lineRule="auto"/>
              <w:rPr>
                <w:rFonts w:ascii="Arial"/>
                <w:sz w:val="21"/>
              </w:rPr>
            </w:pPr>
          </w:p>
          <w:p w14:paraId="723E221F">
            <w:pPr>
              <w:spacing w:line="257" w:lineRule="auto"/>
              <w:rPr>
                <w:rFonts w:ascii="Arial"/>
                <w:sz w:val="21"/>
              </w:rPr>
            </w:pPr>
          </w:p>
          <w:p w14:paraId="33A901DB">
            <w:pPr>
              <w:spacing w:line="257" w:lineRule="auto"/>
              <w:rPr>
                <w:rFonts w:ascii="Arial"/>
                <w:sz w:val="21"/>
              </w:rPr>
            </w:pPr>
          </w:p>
          <w:p w14:paraId="4B9B4367">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5A263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8" w:hRule="atLeast"/>
        </w:trPr>
        <w:tc>
          <w:tcPr>
            <w:tcW w:w="624" w:type="dxa"/>
            <w:vAlign w:val="top"/>
          </w:tcPr>
          <w:p w14:paraId="6C8EFA4F">
            <w:pPr>
              <w:spacing w:line="279" w:lineRule="auto"/>
              <w:rPr>
                <w:rFonts w:ascii="Arial"/>
                <w:sz w:val="21"/>
              </w:rPr>
            </w:pPr>
          </w:p>
          <w:p w14:paraId="6656D023">
            <w:pPr>
              <w:spacing w:line="280" w:lineRule="auto"/>
              <w:rPr>
                <w:rFonts w:ascii="Arial"/>
                <w:sz w:val="21"/>
              </w:rPr>
            </w:pPr>
          </w:p>
          <w:p w14:paraId="46A22EE7">
            <w:pPr>
              <w:spacing w:line="280" w:lineRule="auto"/>
              <w:rPr>
                <w:rFonts w:ascii="Arial"/>
                <w:sz w:val="21"/>
              </w:rPr>
            </w:pPr>
          </w:p>
          <w:p w14:paraId="109C8969">
            <w:pPr>
              <w:spacing w:line="280" w:lineRule="auto"/>
              <w:rPr>
                <w:rFonts w:ascii="Arial"/>
                <w:sz w:val="21"/>
              </w:rPr>
            </w:pPr>
          </w:p>
          <w:p w14:paraId="6B37D7A0">
            <w:pPr>
              <w:spacing w:line="280" w:lineRule="auto"/>
              <w:rPr>
                <w:rFonts w:ascii="Arial"/>
                <w:sz w:val="21"/>
              </w:rPr>
            </w:pPr>
          </w:p>
          <w:p w14:paraId="2DE63D26">
            <w:pPr>
              <w:pStyle w:val="8"/>
              <w:spacing w:before="59" w:line="183" w:lineRule="auto"/>
              <w:ind w:left="231"/>
            </w:pPr>
            <w:r>
              <w:rPr>
                <w:spacing w:val="-4"/>
              </w:rPr>
              <w:t>85</w:t>
            </w:r>
          </w:p>
        </w:tc>
        <w:tc>
          <w:tcPr>
            <w:tcW w:w="1104" w:type="dxa"/>
            <w:vAlign w:val="top"/>
          </w:tcPr>
          <w:p w14:paraId="5C0C84C6">
            <w:pPr>
              <w:pStyle w:val="8"/>
              <w:spacing w:before="118" w:line="244" w:lineRule="auto"/>
              <w:ind w:left="60" w:right="56"/>
              <w:jc w:val="both"/>
            </w:pPr>
            <w:r>
              <w:rPr>
                <w:spacing w:val="16"/>
              </w:rPr>
              <w:t>对交通运输</w:t>
            </w:r>
            <w:r>
              <w:rPr>
                <w:spacing w:val="1"/>
              </w:rPr>
              <w:t xml:space="preserve"> </w:t>
            </w:r>
            <w:r>
              <w:rPr>
                <w:spacing w:val="16"/>
              </w:rPr>
              <w:t>领域生产经</w:t>
            </w:r>
            <w:r>
              <w:rPr>
                <w:spacing w:val="1"/>
              </w:rPr>
              <w:t xml:space="preserve"> </w:t>
            </w:r>
            <w:r>
              <w:rPr>
                <w:spacing w:val="16"/>
              </w:rPr>
              <w:t>营单位与从</w:t>
            </w:r>
            <w:r>
              <w:rPr>
                <w:spacing w:val="1"/>
              </w:rPr>
              <w:t xml:space="preserve"> </w:t>
            </w:r>
            <w:r>
              <w:rPr>
                <w:spacing w:val="8"/>
              </w:rPr>
              <w:t>业人</w:t>
            </w:r>
            <w:r>
              <w:rPr>
                <w:spacing w:val="-49"/>
              </w:rPr>
              <w:t xml:space="preserve"> </w:t>
            </w:r>
            <w:r>
              <w:rPr>
                <w:spacing w:val="8"/>
              </w:rPr>
              <w:t>员订立</w:t>
            </w:r>
            <w:r>
              <w:t xml:space="preserve"> </w:t>
            </w:r>
            <w:r>
              <w:rPr>
                <w:spacing w:val="-17"/>
              </w:rPr>
              <w:t>协议，免除或</w:t>
            </w:r>
            <w:r>
              <w:rPr>
                <w:spacing w:val="3"/>
              </w:rPr>
              <w:t xml:space="preserve"> </w:t>
            </w:r>
            <w:r>
              <w:rPr>
                <w:spacing w:val="16"/>
              </w:rPr>
              <w:t>者减轻其对</w:t>
            </w:r>
            <w:r>
              <w:rPr>
                <w:spacing w:val="1"/>
              </w:rPr>
              <w:t xml:space="preserve"> </w:t>
            </w:r>
            <w:r>
              <w:rPr>
                <w:spacing w:val="16"/>
              </w:rPr>
              <w:t>从业人员因</w:t>
            </w:r>
            <w:r>
              <w:rPr>
                <w:spacing w:val="1"/>
              </w:rPr>
              <w:t xml:space="preserve"> </w:t>
            </w:r>
            <w:r>
              <w:rPr>
                <w:spacing w:val="16"/>
              </w:rPr>
              <w:t>生产安全事</w:t>
            </w:r>
            <w:r>
              <w:rPr>
                <w:spacing w:val="1"/>
              </w:rPr>
              <w:t xml:space="preserve"> </w:t>
            </w:r>
            <w:r>
              <w:rPr>
                <w:spacing w:val="16"/>
              </w:rPr>
              <w:t>故伤亡依法</w:t>
            </w:r>
            <w:r>
              <w:rPr>
                <w:spacing w:val="1"/>
              </w:rPr>
              <w:t xml:space="preserve"> </w:t>
            </w:r>
            <w:r>
              <w:rPr>
                <w:spacing w:val="16"/>
              </w:rPr>
              <w:t>应承担的责</w:t>
            </w:r>
            <w:r>
              <w:rPr>
                <w:spacing w:val="1"/>
              </w:rPr>
              <w:t xml:space="preserve"> </w:t>
            </w:r>
            <w:r>
              <w:rPr>
                <w:spacing w:val="16"/>
              </w:rPr>
              <w:t>任行为的行</w:t>
            </w:r>
            <w:r>
              <w:rPr>
                <w:spacing w:val="1"/>
              </w:rPr>
              <w:t xml:space="preserve"> </w:t>
            </w:r>
            <w:r>
              <w:rPr>
                <w:spacing w:val="-2"/>
              </w:rPr>
              <w:t>政处罚</w:t>
            </w:r>
          </w:p>
        </w:tc>
        <w:tc>
          <w:tcPr>
            <w:tcW w:w="1104" w:type="dxa"/>
            <w:vAlign w:val="top"/>
          </w:tcPr>
          <w:p w14:paraId="79F97788">
            <w:pPr>
              <w:spacing w:line="274" w:lineRule="auto"/>
              <w:rPr>
                <w:rFonts w:ascii="Arial"/>
                <w:sz w:val="21"/>
              </w:rPr>
            </w:pPr>
          </w:p>
          <w:p w14:paraId="7F07E6DB">
            <w:pPr>
              <w:spacing w:line="274" w:lineRule="auto"/>
              <w:rPr>
                <w:rFonts w:ascii="Arial"/>
                <w:sz w:val="21"/>
              </w:rPr>
            </w:pPr>
          </w:p>
          <w:p w14:paraId="056DCB8D">
            <w:pPr>
              <w:spacing w:line="274" w:lineRule="auto"/>
              <w:rPr>
                <w:rFonts w:ascii="Arial"/>
                <w:sz w:val="21"/>
              </w:rPr>
            </w:pPr>
          </w:p>
          <w:p w14:paraId="5A64D548">
            <w:pPr>
              <w:spacing w:line="274" w:lineRule="auto"/>
              <w:rPr>
                <w:rFonts w:ascii="Arial"/>
                <w:sz w:val="21"/>
              </w:rPr>
            </w:pPr>
          </w:p>
          <w:p w14:paraId="4C8E2497">
            <w:pPr>
              <w:spacing w:line="275" w:lineRule="auto"/>
              <w:rPr>
                <w:rFonts w:ascii="Arial"/>
                <w:sz w:val="21"/>
              </w:rPr>
            </w:pPr>
          </w:p>
          <w:p w14:paraId="0F0C7E7E">
            <w:pPr>
              <w:pStyle w:val="8"/>
              <w:spacing w:before="58" w:line="220" w:lineRule="auto"/>
              <w:ind w:left="10"/>
            </w:pPr>
            <w:r>
              <w:rPr>
                <w:spacing w:val="-2"/>
              </w:rPr>
              <w:t>行政处罚</w:t>
            </w:r>
          </w:p>
        </w:tc>
        <w:tc>
          <w:tcPr>
            <w:tcW w:w="8549" w:type="dxa"/>
            <w:vAlign w:val="top"/>
          </w:tcPr>
          <w:p w14:paraId="79DCC888">
            <w:pPr>
              <w:spacing w:line="258" w:lineRule="auto"/>
              <w:rPr>
                <w:rFonts w:ascii="Arial"/>
                <w:sz w:val="21"/>
              </w:rPr>
            </w:pPr>
          </w:p>
          <w:p w14:paraId="11E87918">
            <w:pPr>
              <w:spacing w:line="258" w:lineRule="auto"/>
              <w:rPr>
                <w:rFonts w:ascii="Arial"/>
                <w:sz w:val="21"/>
              </w:rPr>
            </w:pPr>
          </w:p>
          <w:p w14:paraId="4F2146F5">
            <w:pPr>
              <w:spacing w:line="259" w:lineRule="auto"/>
              <w:rPr>
                <w:rFonts w:ascii="Arial"/>
                <w:sz w:val="21"/>
              </w:rPr>
            </w:pPr>
          </w:p>
          <w:p w14:paraId="2A4A79F9">
            <w:pPr>
              <w:pStyle w:val="8"/>
              <w:spacing w:before="58" w:line="219" w:lineRule="auto"/>
              <w:ind w:left="476"/>
            </w:pPr>
            <w:r>
              <w:rPr>
                <w:b/>
                <w:bCs/>
                <w:spacing w:val="-3"/>
              </w:rPr>
              <w:t>《中华人民共和国安全生产法》</w:t>
            </w:r>
          </w:p>
          <w:p w14:paraId="0C7BDED9">
            <w:pPr>
              <w:pStyle w:val="8"/>
              <w:spacing w:before="25" w:line="233" w:lineRule="auto"/>
              <w:ind w:left="125" w:right="159" w:firstLine="345"/>
            </w:pPr>
            <w:r>
              <w:t>第五十二条第二款  生产经营单位不得以任何形式与从业人员订立协议，免除或</w:t>
            </w:r>
            <w:r>
              <w:rPr>
                <w:spacing w:val="-1"/>
              </w:rPr>
              <w:t>者减轻其对从业人员</w:t>
            </w:r>
            <w:r>
              <w:t xml:space="preserve"> </w:t>
            </w:r>
            <w:r>
              <w:rPr>
                <w:spacing w:val="-3"/>
              </w:rPr>
              <w:t>因生产安全事故伤亡依法应承担的责任。</w:t>
            </w:r>
          </w:p>
          <w:p w14:paraId="0102321A">
            <w:pPr>
              <w:pStyle w:val="8"/>
              <w:spacing w:before="25" w:line="238" w:lineRule="auto"/>
              <w:ind w:left="112" w:right="159" w:firstLine="358"/>
              <w:jc w:val="both"/>
            </w:pPr>
            <w:r>
              <w:t>第一百零六条  生产经营单位与从业人员订立协议，免除或者减轻其对从业人员</w:t>
            </w:r>
            <w:r>
              <w:rPr>
                <w:spacing w:val="-1"/>
              </w:rPr>
              <w:t>因生产安全事故伤亡</w:t>
            </w:r>
            <w:r>
              <w:t xml:space="preserve"> 依法应承担的责任的，该协议无效；对生产经营单位的主要负责人、个人经营的投</w:t>
            </w:r>
            <w:r>
              <w:rPr>
                <w:spacing w:val="-1"/>
              </w:rPr>
              <w:t>资人处二万元以上十万</w:t>
            </w:r>
            <w:r>
              <w:t xml:space="preserve"> </w:t>
            </w:r>
            <w:r>
              <w:rPr>
                <w:spacing w:val="-5"/>
              </w:rPr>
              <w:t>元以下的罚款。</w:t>
            </w:r>
          </w:p>
        </w:tc>
        <w:tc>
          <w:tcPr>
            <w:tcW w:w="1014" w:type="dxa"/>
            <w:vAlign w:val="top"/>
          </w:tcPr>
          <w:p w14:paraId="679C8EA4">
            <w:pPr>
              <w:spacing w:line="250" w:lineRule="auto"/>
              <w:rPr>
                <w:rFonts w:ascii="Arial"/>
                <w:sz w:val="21"/>
              </w:rPr>
            </w:pPr>
          </w:p>
          <w:p w14:paraId="208FB3DF">
            <w:pPr>
              <w:spacing w:line="250" w:lineRule="auto"/>
              <w:rPr>
                <w:rFonts w:ascii="Arial"/>
                <w:sz w:val="21"/>
              </w:rPr>
            </w:pPr>
          </w:p>
          <w:p w14:paraId="0887F434">
            <w:pPr>
              <w:spacing w:line="250" w:lineRule="auto"/>
              <w:rPr>
                <w:rFonts w:ascii="Arial"/>
                <w:sz w:val="21"/>
              </w:rPr>
            </w:pPr>
          </w:p>
          <w:p w14:paraId="2874011B">
            <w:pPr>
              <w:spacing w:line="250" w:lineRule="auto"/>
              <w:rPr>
                <w:rFonts w:ascii="Arial"/>
                <w:sz w:val="21"/>
              </w:rPr>
            </w:pPr>
          </w:p>
          <w:p w14:paraId="4D732159">
            <w:pPr>
              <w:spacing w:line="251" w:lineRule="auto"/>
              <w:rPr>
                <w:rFonts w:ascii="Arial"/>
                <w:sz w:val="21"/>
              </w:rPr>
            </w:pPr>
          </w:p>
          <w:p w14:paraId="757B7CA5">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A6C2476">
            <w:pPr>
              <w:spacing w:line="250" w:lineRule="auto"/>
              <w:rPr>
                <w:rFonts w:ascii="Arial"/>
                <w:sz w:val="21"/>
              </w:rPr>
            </w:pPr>
          </w:p>
          <w:p w14:paraId="5C7F40FC">
            <w:pPr>
              <w:spacing w:line="250" w:lineRule="auto"/>
              <w:rPr>
                <w:rFonts w:ascii="Arial"/>
                <w:sz w:val="21"/>
              </w:rPr>
            </w:pPr>
          </w:p>
          <w:p w14:paraId="4D11EECD">
            <w:pPr>
              <w:spacing w:line="250" w:lineRule="auto"/>
              <w:rPr>
                <w:rFonts w:ascii="Arial"/>
                <w:sz w:val="21"/>
              </w:rPr>
            </w:pPr>
          </w:p>
          <w:p w14:paraId="457AA0D2">
            <w:pPr>
              <w:spacing w:line="250" w:lineRule="auto"/>
              <w:rPr>
                <w:rFonts w:ascii="Arial"/>
                <w:sz w:val="21"/>
              </w:rPr>
            </w:pPr>
          </w:p>
          <w:p w14:paraId="5CE591EB">
            <w:pPr>
              <w:spacing w:line="251" w:lineRule="auto"/>
              <w:rPr>
                <w:rFonts w:ascii="Arial"/>
                <w:sz w:val="21"/>
              </w:rPr>
            </w:pPr>
          </w:p>
          <w:p w14:paraId="2B9C8D0B">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2C79F74">
            <w:pPr>
              <w:spacing w:line="253" w:lineRule="auto"/>
              <w:rPr>
                <w:rFonts w:ascii="Arial"/>
                <w:sz w:val="21"/>
              </w:rPr>
            </w:pPr>
          </w:p>
          <w:p w14:paraId="2D3D35D3">
            <w:pPr>
              <w:spacing w:line="253" w:lineRule="auto"/>
              <w:rPr>
                <w:rFonts w:ascii="Arial"/>
                <w:sz w:val="21"/>
              </w:rPr>
            </w:pPr>
          </w:p>
          <w:p w14:paraId="788C066D">
            <w:pPr>
              <w:spacing w:line="254" w:lineRule="auto"/>
              <w:rPr>
                <w:rFonts w:ascii="Arial"/>
                <w:sz w:val="21"/>
              </w:rPr>
            </w:pPr>
          </w:p>
          <w:p w14:paraId="48CF4DBA">
            <w:pPr>
              <w:spacing w:line="254" w:lineRule="auto"/>
              <w:rPr>
                <w:rFonts w:ascii="Arial"/>
                <w:sz w:val="21"/>
              </w:rPr>
            </w:pPr>
          </w:p>
          <w:p w14:paraId="729E291F">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60B4F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6" w:hRule="atLeast"/>
        </w:trPr>
        <w:tc>
          <w:tcPr>
            <w:tcW w:w="624" w:type="dxa"/>
            <w:vAlign w:val="top"/>
          </w:tcPr>
          <w:p w14:paraId="3E2D3586">
            <w:pPr>
              <w:spacing w:line="296" w:lineRule="auto"/>
              <w:rPr>
                <w:rFonts w:ascii="Arial"/>
                <w:sz w:val="21"/>
              </w:rPr>
            </w:pPr>
          </w:p>
          <w:p w14:paraId="1728439F">
            <w:pPr>
              <w:spacing w:line="296" w:lineRule="auto"/>
              <w:rPr>
                <w:rFonts w:ascii="Arial"/>
                <w:sz w:val="21"/>
              </w:rPr>
            </w:pPr>
          </w:p>
          <w:p w14:paraId="72F9A5B2">
            <w:pPr>
              <w:spacing w:line="296" w:lineRule="auto"/>
              <w:rPr>
                <w:rFonts w:ascii="Arial"/>
                <w:sz w:val="21"/>
              </w:rPr>
            </w:pPr>
          </w:p>
          <w:p w14:paraId="0E1E754E">
            <w:pPr>
              <w:spacing w:line="297" w:lineRule="auto"/>
              <w:rPr>
                <w:rFonts w:ascii="Arial"/>
                <w:sz w:val="21"/>
              </w:rPr>
            </w:pPr>
          </w:p>
          <w:p w14:paraId="75414C32">
            <w:pPr>
              <w:pStyle w:val="8"/>
              <w:spacing w:before="58" w:line="183" w:lineRule="auto"/>
              <w:ind w:left="231"/>
            </w:pPr>
            <w:r>
              <w:rPr>
                <w:spacing w:val="-4"/>
              </w:rPr>
              <w:t>86</w:t>
            </w:r>
          </w:p>
        </w:tc>
        <w:tc>
          <w:tcPr>
            <w:tcW w:w="1104" w:type="dxa"/>
            <w:vAlign w:val="top"/>
          </w:tcPr>
          <w:p w14:paraId="1C7497BE">
            <w:pPr>
              <w:pStyle w:val="8"/>
              <w:spacing w:before="141" w:line="244" w:lineRule="auto"/>
              <w:ind w:left="60"/>
              <w:jc w:val="both"/>
            </w:pPr>
            <w:r>
              <w:rPr>
                <w:spacing w:val="15"/>
              </w:rPr>
              <w:t>对交通运输</w:t>
            </w:r>
            <w:r>
              <w:rPr>
                <w:spacing w:val="2"/>
              </w:rPr>
              <w:t xml:space="preserve"> </w:t>
            </w:r>
            <w:r>
              <w:rPr>
                <w:spacing w:val="15"/>
              </w:rPr>
              <w:t>领域生产经</w:t>
            </w:r>
            <w:r>
              <w:rPr>
                <w:spacing w:val="2"/>
              </w:rPr>
              <w:t xml:space="preserve"> </w:t>
            </w:r>
            <w:r>
              <w:rPr>
                <w:spacing w:val="-7"/>
              </w:rPr>
              <w:t>营单位拒绝、</w:t>
            </w:r>
            <w:r>
              <w:t xml:space="preserve"> </w:t>
            </w:r>
            <w:r>
              <w:rPr>
                <w:spacing w:val="8"/>
              </w:rPr>
              <w:t>阻碍</w:t>
            </w:r>
            <w:r>
              <w:rPr>
                <w:spacing w:val="-53"/>
              </w:rPr>
              <w:t xml:space="preserve"> </w:t>
            </w:r>
            <w:r>
              <w:rPr>
                <w:spacing w:val="8"/>
              </w:rPr>
              <w:t>负有安</w:t>
            </w:r>
            <w:r>
              <w:t xml:space="preserve"> </w:t>
            </w:r>
            <w:r>
              <w:rPr>
                <w:spacing w:val="15"/>
              </w:rPr>
              <w:t>全生产监督</w:t>
            </w:r>
            <w:r>
              <w:rPr>
                <w:spacing w:val="2"/>
              </w:rPr>
              <w:t xml:space="preserve"> </w:t>
            </w:r>
            <w:r>
              <w:rPr>
                <w:spacing w:val="15"/>
              </w:rPr>
              <w:t>管理职责的</w:t>
            </w:r>
            <w:r>
              <w:rPr>
                <w:spacing w:val="2"/>
              </w:rPr>
              <w:t xml:space="preserve"> </w:t>
            </w:r>
            <w:r>
              <w:rPr>
                <w:spacing w:val="15"/>
              </w:rPr>
              <w:t>部门依法实</w:t>
            </w:r>
            <w:r>
              <w:rPr>
                <w:spacing w:val="2"/>
              </w:rPr>
              <w:t xml:space="preserve"> </w:t>
            </w:r>
            <w:r>
              <w:rPr>
                <w:spacing w:val="15"/>
              </w:rPr>
              <w:t>施监督检查</w:t>
            </w:r>
            <w:r>
              <w:rPr>
                <w:spacing w:val="2"/>
              </w:rPr>
              <w:t xml:space="preserve"> </w:t>
            </w:r>
            <w:r>
              <w:rPr>
                <w:spacing w:val="6"/>
              </w:rPr>
              <w:t>行为</w:t>
            </w:r>
            <w:r>
              <w:rPr>
                <w:spacing w:val="-43"/>
              </w:rPr>
              <w:t xml:space="preserve"> </w:t>
            </w:r>
            <w:r>
              <w:rPr>
                <w:spacing w:val="6"/>
              </w:rPr>
              <w:t>的行政</w:t>
            </w:r>
            <w:r>
              <w:t xml:space="preserve"> </w:t>
            </w:r>
            <w:r>
              <w:rPr>
                <w:spacing w:val="-2"/>
              </w:rPr>
              <w:t>处罚</w:t>
            </w:r>
          </w:p>
        </w:tc>
        <w:tc>
          <w:tcPr>
            <w:tcW w:w="1104" w:type="dxa"/>
            <w:vAlign w:val="top"/>
          </w:tcPr>
          <w:p w14:paraId="03EFEAB1">
            <w:pPr>
              <w:spacing w:line="289" w:lineRule="auto"/>
              <w:rPr>
                <w:rFonts w:ascii="Arial"/>
                <w:sz w:val="21"/>
              </w:rPr>
            </w:pPr>
          </w:p>
          <w:p w14:paraId="1992B839">
            <w:pPr>
              <w:spacing w:line="289" w:lineRule="auto"/>
              <w:rPr>
                <w:rFonts w:ascii="Arial"/>
                <w:sz w:val="21"/>
              </w:rPr>
            </w:pPr>
          </w:p>
          <w:p w14:paraId="4A8E220C">
            <w:pPr>
              <w:spacing w:line="289" w:lineRule="auto"/>
              <w:rPr>
                <w:rFonts w:ascii="Arial"/>
                <w:sz w:val="21"/>
              </w:rPr>
            </w:pPr>
          </w:p>
          <w:p w14:paraId="0A324BF9">
            <w:pPr>
              <w:spacing w:line="289" w:lineRule="auto"/>
              <w:rPr>
                <w:rFonts w:ascii="Arial"/>
                <w:sz w:val="21"/>
              </w:rPr>
            </w:pPr>
          </w:p>
          <w:p w14:paraId="6B3BD4BD">
            <w:pPr>
              <w:pStyle w:val="8"/>
              <w:spacing w:before="59" w:line="220" w:lineRule="auto"/>
              <w:ind w:left="10"/>
            </w:pPr>
            <w:r>
              <w:rPr>
                <w:spacing w:val="-2"/>
              </w:rPr>
              <w:t>行政处罚</w:t>
            </w:r>
          </w:p>
        </w:tc>
        <w:tc>
          <w:tcPr>
            <w:tcW w:w="8549" w:type="dxa"/>
            <w:vAlign w:val="top"/>
          </w:tcPr>
          <w:p w14:paraId="6E854C24">
            <w:pPr>
              <w:spacing w:line="280" w:lineRule="auto"/>
              <w:rPr>
                <w:rFonts w:ascii="Arial"/>
                <w:sz w:val="21"/>
              </w:rPr>
            </w:pPr>
          </w:p>
          <w:p w14:paraId="027B3A03">
            <w:pPr>
              <w:spacing w:line="280" w:lineRule="auto"/>
              <w:rPr>
                <w:rFonts w:ascii="Arial"/>
                <w:sz w:val="21"/>
              </w:rPr>
            </w:pPr>
          </w:p>
          <w:p w14:paraId="1709CE61">
            <w:pPr>
              <w:pStyle w:val="8"/>
              <w:spacing w:before="59" w:line="219" w:lineRule="auto"/>
              <w:ind w:left="476"/>
            </w:pPr>
            <w:r>
              <w:rPr>
                <w:b/>
                <w:bCs/>
                <w:spacing w:val="-3"/>
              </w:rPr>
              <w:t>《中华人民共和国安全生产法》</w:t>
            </w:r>
          </w:p>
          <w:p w14:paraId="67CDC4F1">
            <w:pPr>
              <w:pStyle w:val="8"/>
              <w:spacing w:before="25" w:line="233" w:lineRule="auto"/>
              <w:ind w:left="111" w:right="159" w:firstLine="359"/>
            </w:pPr>
            <w:r>
              <w:t>第六十六条  生产经营单位对负有安全生产监督管理职责的部门的监督检查人员</w:t>
            </w:r>
            <w:r>
              <w:rPr>
                <w:spacing w:val="-1"/>
              </w:rPr>
              <w:t>（以下统称安全生产</w:t>
            </w:r>
            <w:r>
              <w:t xml:space="preserve"> </w:t>
            </w:r>
            <w:r>
              <w:rPr>
                <w:spacing w:val="-1"/>
              </w:rPr>
              <w:t>监督检查人员）依法履行监督检查职责，应当予以配合，不得拒绝、阻挠。</w:t>
            </w:r>
          </w:p>
          <w:p w14:paraId="7BE459A2">
            <w:pPr>
              <w:pStyle w:val="8"/>
              <w:spacing w:before="26" w:line="237" w:lineRule="auto"/>
              <w:ind w:left="111" w:right="159" w:firstLine="360"/>
            </w:pPr>
            <w:r>
              <w:t>第一百零八条  违反本法规定，生产经营单位拒绝、阻碍负有安全生产监督管理</w:t>
            </w:r>
            <w:r>
              <w:rPr>
                <w:spacing w:val="-1"/>
              </w:rPr>
              <w:t>职责的部门依法实施</w:t>
            </w:r>
            <w:r>
              <w:t xml:space="preserve"> 监督检查的，责令改正；拒不改正的，处二万元以上二十万元以下的罚款；对其直接</w:t>
            </w:r>
            <w:r>
              <w:rPr>
                <w:spacing w:val="-1"/>
              </w:rPr>
              <w:t>负责的主管人员和其</w:t>
            </w:r>
            <w:r>
              <w:t xml:space="preserve"> </w:t>
            </w:r>
            <w:r>
              <w:rPr>
                <w:spacing w:val="-1"/>
              </w:rPr>
              <w:t>他直接责任人员处一万元以上二万元以下的罚款；构成犯罪的，依照刑法有关规定追究刑事责任。</w:t>
            </w:r>
          </w:p>
        </w:tc>
        <w:tc>
          <w:tcPr>
            <w:tcW w:w="1014" w:type="dxa"/>
            <w:vAlign w:val="top"/>
          </w:tcPr>
          <w:p w14:paraId="7CF7EBF0">
            <w:pPr>
              <w:spacing w:line="259" w:lineRule="auto"/>
              <w:rPr>
                <w:rFonts w:ascii="Arial"/>
                <w:sz w:val="21"/>
              </w:rPr>
            </w:pPr>
          </w:p>
          <w:p w14:paraId="619E1A6D">
            <w:pPr>
              <w:spacing w:line="259" w:lineRule="auto"/>
              <w:rPr>
                <w:rFonts w:ascii="Arial"/>
                <w:sz w:val="21"/>
              </w:rPr>
            </w:pPr>
          </w:p>
          <w:p w14:paraId="20ADFCC6">
            <w:pPr>
              <w:spacing w:line="259" w:lineRule="auto"/>
              <w:rPr>
                <w:rFonts w:ascii="Arial"/>
                <w:sz w:val="21"/>
              </w:rPr>
            </w:pPr>
          </w:p>
          <w:p w14:paraId="26BF44B7">
            <w:pPr>
              <w:spacing w:line="260" w:lineRule="auto"/>
              <w:rPr>
                <w:rFonts w:ascii="Arial"/>
                <w:sz w:val="21"/>
              </w:rPr>
            </w:pPr>
          </w:p>
          <w:p w14:paraId="678E960A">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306400D4">
            <w:pPr>
              <w:spacing w:line="259" w:lineRule="auto"/>
              <w:rPr>
                <w:rFonts w:ascii="Arial"/>
                <w:sz w:val="21"/>
              </w:rPr>
            </w:pPr>
          </w:p>
          <w:p w14:paraId="4DFE107E">
            <w:pPr>
              <w:spacing w:line="259" w:lineRule="auto"/>
              <w:rPr>
                <w:rFonts w:ascii="Arial"/>
                <w:sz w:val="21"/>
              </w:rPr>
            </w:pPr>
          </w:p>
          <w:p w14:paraId="39339667">
            <w:pPr>
              <w:spacing w:line="259" w:lineRule="auto"/>
              <w:rPr>
                <w:rFonts w:ascii="Arial"/>
                <w:sz w:val="21"/>
              </w:rPr>
            </w:pPr>
          </w:p>
          <w:p w14:paraId="07943313">
            <w:pPr>
              <w:spacing w:line="260" w:lineRule="auto"/>
              <w:rPr>
                <w:rFonts w:ascii="Arial"/>
                <w:sz w:val="21"/>
              </w:rPr>
            </w:pPr>
          </w:p>
          <w:p w14:paraId="506D8AE6">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E45CF7B">
            <w:pPr>
              <w:spacing w:line="266" w:lineRule="auto"/>
              <w:rPr>
                <w:rFonts w:ascii="Arial"/>
                <w:sz w:val="21"/>
              </w:rPr>
            </w:pPr>
          </w:p>
          <w:p w14:paraId="5B3DC445">
            <w:pPr>
              <w:spacing w:line="267" w:lineRule="auto"/>
              <w:rPr>
                <w:rFonts w:ascii="Arial"/>
                <w:sz w:val="21"/>
              </w:rPr>
            </w:pPr>
          </w:p>
          <w:p w14:paraId="7753D3C0">
            <w:pPr>
              <w:spacing w:line="267" w:lineRule="auto"/>
              <w:rPr>
                <w:rFonts w:ascii="Arial"/>
                <w:sz w:val="21"/>
              </w:rPr>
            </w:pPr>
          </w:p>
          <w:p w14:paraId="39CC0D2B">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0D23781F">
      <w:pPr>
        <w:pStyle w:val="2"/>
      </w:pPr>
    </w:p>
    <w:p w14:paraId="540F37BD">
      <w:pPr>
        <w:sectPr>
          <w:footerReference r:id="rId120" w:type="default"/>
          <w:pgSz w:w="16839" w:h="11906"/>
          <w:pgMar w:top="1012" w:right="991" w:bottom="967" w:left="1021" w:header="0" w:footer="768" w:gutter="0"/>
          <w:cols w:space="720" w:num="1"/>
        </w:sectPr>
      </w:pPr>
    </w:p>
    <w:p w14:paraId="3A914C9B">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63CF8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0101A6C2">
            <w:pPr>
              <w:pStyle w:val="8"/>
              <w:spacing w:before="267" w:line="221" w:lineRule="auto"/>
              <w:ind w:left="134"/>
            </w:pPr>
            <w:r>
              <w:rPr>
                <w:b/>
                <w:bCs/>
                <w:spacing w:val="-4"/>
              </w:rPr>
              <w:t>序号</w:t>
            </w:r>
          </w:p>
        </w:tc>
        <w:tc>
          <w:tcPr>
            <w:tcW w:w="1104" w:type="dxa"/>
            <w:vMerge w:val="restart"/>
            <w:tcBorders>
              <w:bottom w:val="nil"/>
            </w:tcBorders>
            <w:vAlign w:val="top"/>
          </w:tcPr>
          <w:p w14:paraId="4928CB4F">
            <w:pPr>
              <w:pStyle w:val="8"/>
              <w:spacing w:before="260" w:line="220" w:lineRule="auto"/>
              <w:ind w:left="192"/>
            </w:pPr>
            <w:r>
              <w:rPr>
                <w:b/>
                <w:bCs/>
                <w:spacing w:val="-4"/>
              </w:rPr>
              <w:t>事项名称</w:t>
            </w:r>
          </w:p>
        </w:tc>
        <w:tc>
          <w:tcPr>
            <w:tcW w:w="1104" w:type="dxa"/>
            <w:vMerge w:val="restart"/>
            <w:tcBorders>
              <w:bottom w:val="nil"/>
            </w:tcBorders>
            <w:vAlign w:val="top"/>
          </w:tcPr>
          <w:p w14:paraId="3638623C">
            <w:pPr>
              <w:pStyle w:val="8"/>
              <w:spacing w:before="260" w:line="219" w:lineRule="auto"/>
              <w:ind w:left="193"/>
            </w:pPr>
            <w:r>
              <w:rPr>
                <w:b/>
                <w:bCs/>
                <w:spacing w:val="-4"/>
              </w:rPr>
              <w:t>职权类型</w:t>
            </w:r>
          </w:p>
        </w:tc>
        <w:tc>
          <w:tcPr>
            <w:tcW w:w="8549" w:type="dxa"/>
            <w:vMerge w:val="restart"/>
            <w:tcBorders>
              <w:bottom w:val="nil"/>
            </w:tcBorders>
            <w:vAlign w:val="top"/>
          </w:tcPr>
          <w:p w14:paraId="16803A43">
            <w:pPr>
              <w:pStyle w:val="8"/>
              <w:spacing w:before="259" w:line="219" w:lineRule="auto"/>
              <w:ind w:left="3921"/>
            </w:pPr>
            <w:r>
              <w:rPr>
                <w:b/>
                <w:bCs/>
                <w:spacing w:val="-5"/>
              </w:rPr>
              <w:t>实施依据</w:t>
            </w:r>
          </w:p>
        </w:tc>
        <w:tc>
          <w:tcPr>
            <w:tcW w:w="3439" w:type="dxa"/>
            <w:gridSpan w:val="3"/>
            <w:vAlign w:val="top"/>
          </w:tcPr>
          <w:p w14:paraId="18BB7DF4">
            <w:pPr>
              <w:pStyle w:val="8"/>
              <w:spacing w:before="85" w:line="220" w:lineRule="auto"/>
              <w:ind w:left="1365"/>
            </w:pPr>
            <w:r>
              <w:rPr>
                <w:b/>
                <w:bCs/>
                <w:spacing w:val="-5"/>
              </w:rPr>
              <w:t>实施主体</w:t>
            </w:r>
          </w:p>
        </w:tc>
      </w:tr>
      <w:tr w14:paraId="119E1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7EBD058">
            <w:pPr>
              <w:rPr>
                <w:rFonts w:ascii="Arial"/>
                <w:sz w:val="21"/>
              </w:rPr>
            </w:pPr>
          </w:p>
        </w:tc>
        <w:tc>
          <w:tcPr>
            <w:tcW w:w="1104" w:type="dxa"/>
            <w:vMerge w:val="continue"/>
            <w:tcBorders>
              <w:top w:val="nil"/>
            </w:tcBorders>
            <w:vAlign w:val="top"/>
          </w:tcPr>
          <w:p w14:paraId="0EEDAA35">
            <w:pPr>
              <w:rPr>
                <w:rFonts w:ascii="Arial"/>
                <w:sz w:val="21"/>
              </w:rPr>
            </w:pPr>
          </w:p>
        </w:tc>
        <w:tc>
          <w:tcPr>
            <w:tcW w:w="1104" w:type="dxa"/>
            <w:vMerge w:val="continue"/>
            <w:tcBorders>
              <w:top w:val="nil"/>
            </w:tcBorders>
            <w:vAlign w:val="top"/>
          </w:tcPr>
          <w:p w14:paraId="5D61D6E2">
            <w:pPr>
              <w:rPr>
                <w:rFonts w:ascii="Arial"/>
                <w:sz w:val="21"/>
              </w:rPr>
            </w:pPr>
          </w:p>
        </w:tc>
        <w:tc>
          <w:tcPr>
            <w:tcW w:w="8549" w:type="dxa"/>
            <w:vMerge w:val="continue"/>
            <w:tcBorders>
              <w:top w:val="nil"/>
            </w:tcBorders>
            <w:vAlign w:val="top"/>
          </w:tcPr>
          <w:p w14:paraId="072FD04B">
            <w:pPr>
              <w:rPr>
                <w:rFonts w:ascii="Arial"/>
                <w:sz w:val="21"/>
              </w:rPr>
            </w:pPr>
          </w:p>
        </w:tc>
        <w:tc>
          <w:tcPr>
            <w:tcW w:w="1014" w:type="dxa"/>
            <w:vAlign w:val="top"/>
          </w:tcPr>
          <w:p w14:paraId="125CFCF5">
            <w:pPr>
              <w:pStyle w:val="8"/>
              <w:spacing w:before="81" w:line="219" w:lineRule="auto"/>
              <w:ind w:left="158"/>
            </w:pPr>
            <w:r>
              <w:rPr>
                <w:b/>
                <w:bCs/>
                <w:spacing w:val="-5"/>
              </w:rPr>
              <w:t>责任部门</w:t>
            </w:r>
          </w:p>
        </w:tc>
        <w:tc>
          <w:tcPr>
            <w:tcW w:w="1407" w:type="dxa"/>
            <w:vAlign w:val="top"/>
          </w:tcPr>
          <w:p w14:paraId="6C707CDC">
            <w:pPr>
              <w:pStyle w:val="8"/>
              <w:spacing w:before="81" w:line="219" w:lineRule="auto"/>
              <w:ind w:left="167"/>
            </w:pPr>
            <w:r>
              <w:rPr>
                <w:b/>
                <w:bCs/>
                <w:spacing w:val="-3"/>
              </w:rPr>
              <w:t>第一责任层级</w:t>
            </w:r>
          </w:p>
        </w:tc>
        <w:tc>
          <w:tcPr>
            <w:tcW w:w="1018" w:type="dxa"/>
            <w:vAlign w:val="top"/>
          </w:tcPr>
          <w:p w14:paraId="478685B3">
            <w:pPr>
              <w:pStyle w:val="8"/>
              <w:spacing w:before="81" w:line="219" w:lineRule="auto"/>
              <w:ind w:left="152"/>
            </w:pPr>
            <w:r>
              <w:rPr>
                <w:b/>
                <w:bCs/>
                <w:spacing w:val="-4"/>
              </w:rPr>
              <w:t>承办机构</w:t>
            </w:r>
          </w:p>
        </w:tc>
      </w:tr>
      <w:tr w14:paraId="64DC1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624" w:type="dxa"/>
            <w:vAlign w:val="top"/>
          </w:tcPr>
          <w:p w14:paraId="7D43356A">
            <w:pPr>
              <w:spacing w:line="281" w:lineRule="auto"/>
              <w:rPr>
                <w:rFonts w:ascii="Arial"/>
                <w:sz w:val="21"/>
              </w:rPr>
            </w:pPr>
          </w:p>
          <w:p w14:paraId="138363B4">
            <w:pPr>
              <w:spacing w:line="281" w:lineRule="auto"/>
              <w:rPr>
                <w:rFonts w:ascii="Arial"/>
                <w:sz w:val="21"/>
              </w:rPr>
            </w:pPr>
          </w:p>
          <w:p w14:paraId="6F3520AC">
            <w:pPr>
              <w:spacing w:line="281" w:lineRule="auto"/>
              <w:rPr>
                <w:rFonts w:ascii="Arial"/>
                <w:sz w:val="21"/>
              </w:rPr>
            </w:pPr>
          </w:p>
          <w:p w14:paraId="621DD5CF">
            <w:pPr>
              <w:pStyle w:val="8"/>
              <w:spacing w:before="58" w:line="183" w:lineRule="auto"/>
              <w:ind w:left="231"/>
            </w:pPr>
            <w:r>
              <w:rPr>
                <w:spacing w:val="-4"/>
              </w:rPr>
              <w:t>87</w:t>
            </w:r>
          </w:p>
        </w:tc>
        <w:tc>
          <w:tcPr>
            <w:tcW w:w="1104" w:type="dxa"/>
            <w:vAlign w:val="top"/>
          </w:tcPr>
          <w:p w14:paraId="584488B8">
            <w:pPr>
              <w:pStyle w:val="8"/>
              <w:spacing w:before="42"/>
              <w:ind w:left="60"/>
              <w:jc w:val="both"/>
            </w:pPr>
            <w:r>
              <w:rPr>
                <w:spacing w:val="-7"/>
              </w:rPr>
              <w:t>对高危行业、</w:t>
            </w:r>
            <w:r>
              <w:t xml:space="preserve"> </w:t>
            </w:r>
            <w:r>
              <w:rPr>
                <w:spacing w:val="6"/>
              </w:rPr>
              <w:t>领域</w:t>
            </w:r>
            <w:r>
              <w:rPr>
                <w:spacing w:val="-43"/>
              </w:rPr>
              <w:t xml:space="preserve"> </w:t>
            </w:r>
            <w:r>
              <w:rPr>
                <w:spacing w:val="6"/>
              </w:rPr>
              <w:t>的生产</w:t>
            </w:r>
            <w:r>
              <w:t xml:space="preserve"> </w:t>
            </w:r>
            <w:r>
              <w:rPr>
                <w:spacing w:val="15"/>
              </w:rPr>
              <w:t>经营单位未</w:t>
            </w:r>
            <w:r>
              <w:rPr>
                <w:spacing w:val="2"/>
              </w:rPr>
              <w:t xml:space="preserve"> </w:t>
            </w:r>
            <w:r>
              <w:rPr>
                <w:spacing w:val="5"/>
              </w:rPr>
              <w:t>按照</w:t>
            </w:r>
            <w:r>
              <w:rPr>
                <w:spacing w:val="-38"/>
              </w:rPr>
              <w:t xml:space="preserve"> </w:t>
            </w:r>
            <w:r>
              <w:rPr>
                <w:spacing w:val="5"/>
              </w:rPr>
              <w:t>国家规</w:t>
            </w:r>
            <w:r>
              <w:t xml:space="preserve"> </w:t>
            </w:r>
            <w:r>
              <w:rPr>
                <w:spacing w:val="15"/>
              </w:rPr>
              <w:t>定投保安全</w:t>
            </w:r>
            <w:r>
              <w:rPr>
                <w:spacing w:val="2"/>
              </w:rPr>
              <w:t xml:space="preserve"> </w:t>
            </w:r>
            <w:r>
              <w:rPr>
                <w:spacing w:val="8"/>
              </w:rPr>
              <w:t>生产</w:t>
            </w:r>
            <w:r>
              <w:rPr>
                <w:spacing w:val="-53"/>
              </w:rPr>
              <w:t xml:space="preserve"> </w:t>
            </w:r>
            <w:r>
              <w:rPr>
                <w:spacing w:val="8"/>
              </w:rPr>
              <w:t>责任保</w:t>
            </w:r>
            <w:r>
              <w:t xml:space="preserve"> </w:t>
            </w:r>
            <w:r>
              <w:rPr>
                <w:spacing w:val="15"/>
              </w:rPr>
              <w:t>险的行政处</w:t>
            </w:r>
            <w:r>
              <w:rPr>
                <w:spacing w:val="2"/>
              </w:rPr>
              <w:t xml:space="preserve"> </w:t>
            </w:r>
            <w:r>
              <w:t>罚</w:t>
            </w:r>
          </w:p>
        </w:tc>
        <w:tc>
          <w:tcPr>
            <w:tcW w:w="1104" w:type="dxa"/>
            <w:vAlign w:val="top"/>
          </w:tcPr>
          <w:p w14:paraId="090C6A68">
            <w:pPr>
              <w:spacing w:line="271" w:lineRule="auto"/>
              <w:rPr>
                <w:rFonts w:ascii="Arial"/>
                <w:sz w:val="21"/>
              </w:rPr>
            </w:pPr>
          </w:p>
          <w:p w14:paraId="11F620D0">
            <w:pPr>
              <w:spacing w:line="272" w:lineRule="auto"/>
              <w:rPr>
                <w:rFonts w:ascii="Arial"/>
                <w:sz w:val="21"/>
              </w:rPr>
            </w:pPr>
          </w:p>
          <w:p w14:paraId="0833C315">
            <w:pPr>
              <w:spacing w:line="272" w:lineRule="auto"/>
              <w:rPr>
                <w:rFonts w:ascii="Arial"/>
                <w:sz w:val="21"/>
              </w:rPr>
            </w:pPr>
          </w:p>
          <w:p w14:paraId="028A7FD9">
            <w:pPr>
              <w:pStyle w:val="8"/>
              <w:spacing w:before="58" w:line="220" w:lineRule="auto"/>
              <w:ind w:left="10"/>
            </w:pPr>
            <w:r>
              <w:rPr>
                <w:spacing w:val="-2"/>
              </w:rPr>
              <w:t>行政处罚</w:t>
            </w:r>
          </w:p>
        </w:tc>
        <w:tc>
          <w:tcPr>
            <w:tcW w:w="8549" w:type="dxa"/>
            <w:vAlign w:val="top"/>
          </w:tcPr>
          <w:p w14:paraId="76E941EB">
            <w:pPr>
              <w:pStyle w:val="8"/>
              <w:spacing w:before="158" w:line="219" w:lineRule="auto"/>
              <w:ind w:left="476"/>
            </w:pPr>
            <w:r>
              <w:rPr>
                <w:b/>
                <w:bCs/>
                <w:spacing w:val="-3"/>
              </w:rPr>
              <w:t>《中华人民共和国安全生产法》</w:t>
            </w:r>
          </w:p>
          <w:p w14:paraId="772DB2BA">
            <w:pPr>
              <w:pStyle w:val="8"/>
              <w:spacing w:before="25" w:line="219" w:lineRule="auto"/>
              <w:ind w:left="471"/>
            </w:pPr>
            <w:r>
              <w:rPr>
                <w:spacing w:val="-1"/>
              </w:rPr>
              <w:t>第五十一条  生产经营单位必须依法参加工伤保险，为从业人员缴纳保</w:t>
            </w:r>
            <w:r>
              <w:rPr>
                <w:spacing w:val="-2"/>
              </w:rPr>
              <w:t>险费。</w:t>
            </w:r>
          </w:p>
          <w:p w14:paraId="2EAE4E2B">
            <w:pPr>
              <w:pStyle w:val="8"/>
              <w:spacing w:before="27" w:line="237" w:lineRule="auto"/>
              <w:ind w:left="111" w:right="159" w:firstLine="376"/>
            </w:pPr>
            <w:r>
              <w:rPr>
                <w:spacing w:val="-1"/>
              </w:rPr>
              <w:t>国家鼓励生产经营单位投保安全生产责任保险；属于国家规定的高危行业、领域的生产经营单位，应</w:t>
            </w:r>
            <w:r>
              <w:rPr>
                <w:spacing w:val="18"/>
              </w:rPr>
              <w:t xml:space="preserve"> </w:t>
            </w:r>
            <w:r>
              <w:t>当投保安全生产责任保险。具体范围和实施办法由国务院应急管理部门会同国务院财</w:t>
            </w:r>
            <w:r>
              <w:rPr>
                <w:spacing w:val="-1"/>
              </w:rPr>
              <w:t>政部门、国务院保险</w:t>
            </w:r>
            <w:r>
              <w:t xml:space="preserve"> </w:t>
            </w:r>
            <w:r>
              <w:rPr>
                <w:spacing w:val="-2"/>
              </w:rPr>
              <w:t>监督管理机构和相关行业主管部门制定。</w:t>
            </w:r>
          </w:p>
          <w:p w14:paraId="10779C3A">
            <w:pPr>
              <w:pStyle w:val="8"/>
              <w:spacing w:before="26" w:line="233" w:lineRule="auto"/>
              <w:ind w:left="117" w:right="159" w:firstLine="353"/>
            </w:pPr>
            <w:r>
              <w:t>第一百零九条  高危行业、领域的生产经营单位未按照国家规定投保安全生产责</w:t>
            </w:r>
            <w:r>
              <w:rPr>
                <w:spacing w:val="-1"/>
              </w:rPr>
              <w:t>任保险的，责令限期</w:t>
            </w:r>
            <w:r>
              <w:t xml:space="preserve"> </w:t>
            </w:r>
            <w:r>
              <w:rPr>
                <w:spacing w:val="-1"/>
              </w:rPr>
              <w:t>改正，处五万元以上十万元以下的罚款；逾期未改正的，处十万元以上二十万元以下的罚款。</w:t>
            </w:r>
          </w:p>
        </w:tc>
        <w:tc>
          <w:tcPr>
            <w:tcW w:w="1014" w:type="dxa"/>
            <w:vAlign w:val="top"/>
          </w:tcPr>
          <w:p w14:paraId="7457BE6A">
            <w:pPr>
              <w:spacing w:line="347" w:lineRule="auto"/>
              <w:rPr>
                <w:rFonts w:ascii="Arial"/>
                <w:sz w:val="21"/>
              </w:rPr>
            </w:pPr>
          </w:p>
          <w:p w14:paraId="3C8D4D8C">
            <w:pPr>
              <w:spacing w:line="348" w:lineRule="auto"/>
              <w:rPr>
                <w:rFonts w:ascii="Arial"/>
                <w:sz w:val="21"/>
              </w:rPr>
            </w:pPr>
          </w:p>
          <w:p w14:paraId="0422846C">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59F09DF0">
            <w:pPr>
              <w:spacing w:line="347" w:lineRule="auto"/>
              <w:rPr>
                <w:rFonts w:ascii="Arial"/>
                <w:sz w:val="21"/>
              </w:rPr>
            </w:pPr>
          </w:p>
          <w:p w14:paraId="6D2B6EE6">
            <w:pPr>
              <w:spacing w:line="348" w:lineRule="auto"/>
              <w:rPr>
                <w:rFonts w:ascii="Arial"/>
                <w:sz w:val="21"/>
              </w:rPr>
            </w:pPr>
          </w:p>
          <w:p w14:paraId="1D9F9586">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3BA025F3">
            <w:pPr>
              <w:spacing w:line="458" w:lineRule="auto"/>
              <w:rPr>
                <w:rFonts w:ascii="Arial"/>
                <w:sz w:val="21"/>
              </w:rPr>
            </w:pPr>
          </w:p>
          <w:p w14:paraId="3B113AB9">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6DCEA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24" w:type="dxa"/>
            <w:vAlign w:val="top"/>
          </w:tcPr>
          <w:p w14:paraId="58E405F8">
            <w:pPr>
              <w:spacing w:line="270" w:lineRule="auto"/>
              <w:rPr>
                <w:rFonts w:ascii="Arial"/>
                <w:sz w:val="21"/>
              </w:rPr>
            </w:pPr>
          </w:p>
          <w:p w14:paraId="3713772B">
            <w:pPr>
              <w:spacing w:line="270" w:lineRule="auto"/>
              <w:rPr>
                <w:rFonts w:ascii="Arial"/>
                <w:sz w:val="21"/>
              </w:rPr>
            </w:pPr>
          </w:p>
          <w:p w14:paraId="6C8B7FEF">
            <w:pPr>
              <w:spacing w:line="271" w:lineRule="auto"/>
              <w:rPr>
                <w:rFonts w:ascii="Arial"/>
                <w:sz w:val="21"/>
              </w:rPr>
            </w:pPr>
          </w:p>
          <w:p w14:paraId="6E41CD42">
            <w:pPr>
              <w:spacing w:line="271" w:lineRule="auto"/>
              <w:rPr>
                <w:rFonts w:ascii="Arial"/>
                <w:sz w:val="21"/>
              </w:rPr>
            </w:pPr>
          </w:p>
          <w:p w14:paraId="282F696C">
            <w:pPr>
              <w:pStyle w:val="8"/>
              <w:spacing w:before="58" w:line="183" w:lineRule="auto"/>
              <w:ind w:left="231"/>
            </w:pPr>
            <w:r>
              <w:rPr>
                <w:spacing w:val="-4"/>
              </w:rPr>
              <w:t>88</w:t>
            </w:r>
          </w:p>
        </w:tc>
        <w:tc>
          <w:tcPr>
            <w:tcW w:w="1104" w:type="dxa"/>
            <w:vAlign w:val="top"/>
          </w:tcPr>
          <w:p w14:paraId="070297E1">
            <w:pPr>
              <w:pStyle w:val="8"/>
              <w:spacing w:before="34" w:line="242" w:lineRule="auto"/>
              <w:ind w:left="60" w:right="10"/>
              <w:jc w:val="both"/>
            </w:pPr>
            <w:r>
              <w:rPr>
                <w:spacing w:val="16"/>
              </w:rPr>
              <w:t>对交通运输</w:t>
            </w:r>
            <w:r>
              <w:rPr>
                <w:spacing w:val="1"/>
              </w:rPr>
              <w:t xml:space="preserve"> </w:t>
            </w:r>
            <w:r>
              <w:rPr>
                <w:spacing w:val="16"/>
              </w:rPr>
              <w:t>领域生产经</w:t>
            </w:r>
            <w:r>
              <w:t xml:space="preserve"> </w:t>
            </w:r>
            <w:r>
              <w:rPr>
                <w:spacing w:val="16"/>
              </w:rPr>
              <w:t>营单位不具</w:t>
            </w:r>
            <w:r>
              <w:t xml:space="preserve"> </w:t>
            </w:r>
            <w:r>
              <w:rPr>
                <w:spacing w:val="16"/>
              </w:rPr>
              <w:t>备规定的安</w:t>
            </w:r>
            <w:r>
              <w:t xml:space="preserve"> </w:t>
            </w:r>
            <w:r>
              <w:rPr>
                <w:spacing w:val="-9"/>
              </w:rPr>
              <w:t>全生产条件，</w:t>
            </w:r>
            <w:r>
              <w:t xml:space="preserve"> </w:t>
            </w:r>
            <w:r>
              <w:rPr>
                <w:spacing w:val="16"/>
              </w:rPr>
              <w:t>经停产停业</w:t>
            </w:r>
            <w:r>
              <w:t xml:space="preserve"> </w:t>
            </w:r>
            <w:r>
              <w:rPr>
                <w:spacing w:val="16"/>
              </w:rPr>
              <w:t>整顿仍不具</w:t>
            </w:r>
            <w:r>
              <w:t xml:space="preserve"> </w:t>
            </w:r>
            <w:r>
              <w:rPr>
                <w:spacing w:val="16"/>
              </w:rPr>
              <w:t>备安全生产</w:t>
            </w:r>
            <w:r>
              <w:t xml:space="preserve"> </w:t>
            </w:r>
            <w:r>
              <w:rPr>
                <w:spacing w:val="7"/>
              </w:rPr>
              <w:t>条件</w:t>
            </w:r>
            <w:r>
              <w:rPr>
                <w:spacing w:val="-45"/>
              </w:rPr>
              <w:t xml:space="preserve"> </w:t>
            </w:r>
            <w:r>
              <w:rPr>
                <w:spacing w:val="7"/>
              </w:rPr>
              <w:t>的行政</w:t>
            </w:r>
            <w:r>
              <w:t xml:space="preserve"> </w:t>
            </w:r>
            <w:r>
              <w:rPr>
                <w:spacing w:val="-2"/>
              </w:rPr>
              <w:t>处罚</w:t>
            </w:r>
          </w:p>
        </w:tc>
        <w:tc>
          <w:tcPr>
            <w:tcW w:w="1104" w:type="dxa"/>
            <w:vAlign w:val="top"/>
          </w:tcPr>
          <w:p w14:paraId="5AF3103F">
            <w:pPr>
              <w:spacing w:line="263" w:lineRule="auto"/>
              <w:rPr>
                <w:rFonts w:ascii="Arial"/>
                <w:sz w:val="21"/>
              </w:rPr>
            </w:pPr>
          </w:p>
          <w:p w14:paraId="3E005031">
            <w:pPr>
              <w:spacing w:line="263" w:lineRule="auto"/>
              <w:rPr>
                <w:rFonts w:ascii="Arial"/>
                <w:sz w:val="21"/>
              </w:rPr>
            </w:pPr>
          </w:p>
          <w:p w14:paraId="0F86E514">
            <w:pPr>
              <w:spacing w:line="264" w:lineRule="auto"/>
              <w:rPr>
                <w:rFonts w:ascii="Arial"/>
                <w:sz w:val="21"/>
              </w:rPr>
            </w:pPr>
          </w:p>
          <w:p w14:paraId="655BA3CD">
            <w:pPr>
              <w:spacing w:line="264" w:lineRule="auto"/>
              <w:rPr>
                <w:rFonts w:ascii="Arial"/>
                <w:sz w:val="21"/>
              </w:rPr>
            </w:pPr>
          </w:p>
          <w:p w14:paraId="2181E4AD">
            <w:pPr>
              <w:pStyle w:val="8"/>
              <w:spacing w:before="58" w:line="220" w:lineRule="auto"/>
              <w:ind w:left="10"/>
            </w:pPr>
            <w:r>
              <w:rPr>
                <w:spacing w:val="-2"/>
              </w:rPr>
              <w:t>行政处罚</w:t>
            </w:r>
          </w:p>
        </w:tc>
        <w:tc>
          <w:tcPr>
            <w:tcW w:w="8549" w:type="dxa"/>
            <w:vAlign w:val="top"/>
          </w:tcPr>
          <w:p w14:paraId="2C7ED423">
            <w:pPr>
              <w:pStyle w:val="8"/>
              <w:spacing w:before="39" w:line="219" w:lineRule="auto"/>
              <w:ind w:left="476"/>
            </w:pPr>
            <w:r>
              <w:rPr>
                <w:b/>
                <w:bCs/>
                <w:spacing w:val="-3"/>
              </w:rPr>
              <w:t>《中华人民共和国安全生产法》</w:t>
            </w:r>
          </w:p>
          <w:p w14:paraId="5C2A8D6D">
            <w:pPr>
              <w:pStyle w:val="8"/>
              <w:spacing w:before="25" w:line="233" w:lineRule="auto"/>
              <w:ind w:left="111" w:right="159" w:firstLine="360"/>
            </w:pPr>
            <w:r>
              <w:t>第二十条  生产经营单位应当具备本法和有关法律、行政法规和国家标准或者行</w:t>
            </w:r>
            <w:r>
              <w:rPr>
                <w:spacing w:val="-1"/>
              </w:rPr>
              <w:t>业标准规定的安全生</w:t>
            </w:r>
            <w:r>
              <w:t xml:space="preserve"> </w:t>
            </w:r>
            <w:r>
              <w:rPr>
                <w:spacing w:val="-1"/>
              </w:rPr>
              <w:t>产条件；不具备安全生产条件的，不得从事</w:t>
            </w:r>
            <w:r>
              <w:rPr>
                <w:spacing w:val="-2"/>
              </w:rPr>
              <w:t>生产经营活动。</w:t>
            </w:r>
          </w:p>
          <w:p w14:paraId="081ECF42">
            <w:pPr>
              <w:pStyle w:val="8"/>
              <w:spacing w:before="22"/>
              <w:ind w:left="111" w:right="159" w:firstLine="359"/>
            </w:pPr>
            <w:r>
              <w:t>第一百一十三条  生产经营单位存在下列情形之一的，负有安全生产监督管理职</w:t>
            </w:r>
            <w:r>
              <w:rPr>
                <w:spacing w:val="-1"/>
              </w:rPr>
              <w:t>责的部门应当提请地</w:t>
            </w:r>
            <w:r>
              <w:t xml:space="preserve"> 方人民政府予以关闭，有关部门应当依法吊销其有关证照。生产经营单位主要负责人</w:t>
            </w:r>
            <w:r>
              <w:rPr>
                <w:spacing w:val="-1"/>
              </w:rPr>
              <w:t>五年内不得担任任何</w:t>
            </w:r>
            <w:r>
              <w:t xml:space="preserve"> 生产经营单位的主要负责人；情节严重的，终身不得担任本</w:t>
            </w:r>
            <w:r>
              <w:rPr>
                <w:spacing w:val="-1"/>
              </w:rPr>
              <w:t>行业生产经营单位的主要负责人：（一）存在</w:t>
            </w:r>
            <w:r>
              <w:rPr>
                <w:spacing w:val="1"/>
              </w:rPr>
              <w:t xml:space="preserve"> </w:t>
            </w:r>
            <w:r>
              <w:t>重大事故隐患，一百八十日内三次或者一年内四次受到本法规定的行政处罚的；（二</w:t>
            </w:r>
            <w:r>
              <w:rPr>
                <w:spacing w:val="-1"/>
              </w:rPr>
              <w:t>）经停产停业整顿，</w:t>
            </w:r>
            <w:r>
              <w:t xml:space="preserve"> 仍不具备法律、行政法规和国家标准或者行业标准规定的安全生产条件的；（三）不</w:t>
            </w:r>
            <w:r>
              <w:rPr>
                <w:spacing w:val="-1"/>
              </w:rPr>
              <w:t>具备法律、行政法规</w:t>
            </w:r>
            <w:r>
              <w:t xml:space="preserve"> 和国家标准或者行业标准规定的安全生产条件，导致发生重大、特别重大生产安</w:t>
            </w:r>
            <w:r>
              <w:rPr>
                <w:spacing w:val="-1"/>
              </w:rPr>
              <w:t>全事故的</w:t>
            </w:r>
            <w:r>
              <w:t>；（</w:t>
            </w:r>
            <w:r>
              <w:rPr>
                <w:spacing w:val="-1"/>
              </w:rPr>
              <w:t>四）拒不执</w:t>
            </w:r>
            <w:r>
              <w:t xml:space="preserve"> </w:t>
            </w:r>
            <w:r>
              <w:rPr>
                <w:spacing w:val="-1"/>
              </w:rPr>
              <w:t>行负有安全生产监督管理职责的部门作出的停产停业整</w:t>
            </w:r>
            <w:r>
              <w:rPr>
                <w:spacing w:val="-2"/>
              </w:rPr>
              <w:t>顿决定的。</w:t>
            </w:r>
          </w:p>
        </w:tc>
        <w:tc>
          <w:tcPr>
            <w:tcW w:w="1014" w:type="dxa"/>
            <w:vAlign w:val="top"/>
          </w:tcPr>
          <w:p w14:paraId="4A1C92B0">
            <w:pPr>
              <w:spacing w:line="311" w:lineRule="auto"/>
              <w:rPr>
                <w:rFonts w:ascii="Arial"/>
                <w:sz w:val="21"/>
              </w:rPr>
            </w:pPr>
          </w:p>
          <w:p w14:paraId="79615029">
            <w:pPr>
              <w:spacing w:line="311" w:lineRule="auto"/>
              <w:rPr>
                <w:rFonts w:ascii="Arial"/>
                <w:sz w:val="21"/>
              </w:rPr>
            </w:pPr>
          </w:p>
          <w:p w14:paraId="280ECB1A">
            <w:pPr>
              <w:spacing w:line="312" w:lineRule="auto"/>
              <w:rPr>
                <w:rFonts w:ascii="Arial"/>
                <w:sz w:val="21"/>
              </w:rPr>
            </w:pPr>
          </w:p>
          <w:p w14:paraId="62F87A73">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49CBE167">
            <w:pPr>
              <w:spacing w:line="311" w:lineRule="auto"/>
              <w:rPr>
                <w:rFonts w:ascii="Arial"/>
                <w:sz w:val="21"/>
              </w:rPr>
            </w:pPr>
          </w:p>
          <w:p w14:paraId="2CEF5FCB">
            <w:pPr>
              <w:spacing w:line="311" w:lineRule="auto"/>
              <w:rPr>
                <w:rFonts w:ascii="Arial"/>
                <w:sz w:val="21"/>
              </w:rPr>
            </w:pPr>
          </w:p>
          <w:p w14:paraId="531E0893">
            <w:pPr>
              <w:spacing w:line="312" w:lineRule="auto"/>
              <w:rPr>
                <w:rFonts w:ascii="Arial"/>
                <w:sz w:val="21"/>
              </w:rPr>
            </w:pPr>
          </w:p>
          <w:p w14:paraId="582F7AC9">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1227651">
            <w:pPr>
              <w:spacing w:line="348" w:lineRule="auto"/>
              <w:rPr>
                <w:rFonts w:ascii="Arial"/>
                <w:sz w:val="21"/>
              </w:rPr>
            </w:pPr>
          </w:p>
          <w:p w14:paraId="5D7DDE5D">
            <w:pPr>
              <w:spacing w:line="349" w:lineRule="auto"/>
              <w:rPr>
                <w:rFonts w:ascii="Arial"/>
                <w:sz w:val="21"/>
              </w:rPr>
            </w:pPr>
          </w:p>
          <w:p w14:paraId="72103DFF">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01265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0" w:hRule="atLeast"/>
        </w:trPr>
        <w:tc>
          <w:tcPr>
            <w:tcW w:w="624" w:type="dxa"/>
            <w:vAlign w:val="top"/>
          </w:tcPr>
          <w:p w14:paraId="30A87D94">
            <w:pPr>
              <w:spacing w:line="241" w:lineRule="auto"/>
              <w:rPr>
                <w:rFonts w:ascii="Arial"/>
                <w:sz w:val="21"/>
              </w:rPr>
            </w:pPr>
          </w:p>
          <w:p w14:paraId="576222AD">
            <w:pPr>
              <w:spacing w:line="241" w:lineRule="auto"/>
              <w:rPr>
                <w:rFonts w:ascii="Arial"/>
                <w:sz w:val="21"/>
              </w:rPr>
            </w:pPr>
          </w:p>
          <w:p w14:paraId="4E80FC82">
            <w:pPr>
              <w:spacing w:line="242" w:lineRule="auto"/>
              <w:rPr>
                <w:rFonts w:ascii="Arial"/>
                <w:sz w:val="21"/>
              </w:rPr>
            </w:pPr>
          </w:p>
          <w:p w14:paraId="57B975EC">
            <w:pPr>
              <w:spacing w:line="242" w:lineRule="auto"/>
              <w:rPr>
                <w:rFonts w:ascii="Arial"/>
                <w:sz w:val="21"/>
              </w:rPr>
            </w:pPr>
          </w:p>
          <w:p w14:paraId="441CE9A5">
            <w:pPr>
              <w:pStyle w:val="8"/>
              <w:spacing w:before="58" w:line="183" w:lineRule="auto"/>
              <w:ind w:left="231"/>
            </w:pPr>
            <w:r>
              <w:rPr>
                <w:spacing w:val="-4"/>
              </w:rPr>
              <w:t>89</w:t>
            </w:r>
          </w:p>
        </w:tc>
        <w:tc>
          <w:tcPr>
            <w:tcW w:w="1104" w:type="dxa"/>
            <w:vAlign w:val="top"/>
          </w:tcPr>
          <w:p w14:paraId="313DFFA1">
            <w:pPr>
              <w:pStyle w:val="8"/>
              <w:spacing w:before="162" w:line="243"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域检测机构</w:t>
            </w:r>
            <w:r>
              <w:rPr>
                <w:spacing w:val="1"/>
              </w:rPr>
              <w:t xml:space="preserve"> </w:t>
            </w:r>
            <w:r>
              <w:rPr>
                <w:spacing w:val="16"/>
              </w:rPr>
              <w:t>未取得相应</w:t>
            </w:r>
            <w:r>
              <w:rPr>
                <w:spacing w:val="1"/>
              </w:rPr>
              <w:t xml:space="preserve"> </w:t>
            </w:r>
            <w:r>
              <w:rPr>
                <w:spacing w:val="16"/>
              </w:rPr>
              <w:t>资质从事质</w:t>
            </w:r>
            <w:r>
              <w:rPr>
                <w:spacing w:val="1"/>
              </w:rPr>
              <w:t xml:space="preserve"> </w:t>
            </w:r>
            <w:r>
              <w:rPr>
                <w:spacing w:val="16"/>
              </w:rPr>
              <w:t>量检测活动</w:t>
            </w:r>
            <w:r>
              <w:rPr>
                <w:spacing w:val="1"/>
              </w:rPr>
              <w:t xml:space="preserve"> </w:t>
            </w:r>
            <w:r>
              <w:rPr>
                <w:spacing w:val="16"/>
              </w:rPr>
              <w:t>等行为的行</w:t>
            </w:r>
            <w:r>
              <w:rPr>
                <w:spacing w:val="1"/>
              </w:rPr>
              <w:t xml:space="preserve"> </w:t>
            </w:r>
            <w:r>
              <w:rPr>
                <w:spacing w:val="-2"/>
              </w:rPr>
              <w:t>政处罚</w:t>
            </w:r>
          </w:p>
        </w:tc>
        <w:tc>
          <w:tcPr>
            <w:tcW w:w="1104" w:type="dxa"/>
            <w:vAlign w:val="top"/>
          </w:tcPr>
          <w:p w14:paraId="20B0AAE6">
            <w:pPr>
              <w:spacing w:line="312" w:lineRule="auto"/>
              <w:rPr>
                <w:rFonts w:ascii="Arial"/>
                <w:sz w:val="21"/>
              </w:rPr>
            </w:pPr>
          </w:p>
          <w:p w14:paraId="0558397D">
            <w:pPr>
              <w:spacing w:line="312" w:lineRule="auto"/>
              <w:rPr>
                <w:rFonts w:ascii="Arial"/>
                <w:sz w:val="21"/>
              </w:rPr>
            </w:pPr>
          </w:p>
          <w:p w14:paraId="1C5EBD10">
            <w:pPr>
              <w:spacing w:line="313" w:lineRule="auto"/>
              <w:rPr>
                <w:rFonts w:ascii="Arial"/>
                <w:sz w:val="21"/>
              </w:rPr>
            </w:pPr>
          </w:p>
          <w:p w14:paraId="2A06D2DC">
            <w:pPr>
              <w:pStyle w:val="8"/>
              <w:spacing w:before="59" w:line="220" w:lineRule="auto"/>
              <w:ind w:left="10"/>
            </w:pPr>
            <w:r>
              <w:rPr>
                <w:spacing w:val="-2"/>
              </w:rPr>
              <w:t>行政处罚</w:t>
            </w:r>
          </w:p>
        </w:tc>
        <w:tc>
          <w:tcPr>
            <w:tcW w:w="8549" w:type="dxa"/>
            <w:vAlign w:val="top"/>
          </w:tcPr>
          <w:p w14:paraId="6C45B8BC">
            <w:pPr>
              <w:pStyle w:val="8"/>
              <w:spacing w:before="41" w:line="219" w:lineRule="auto"/>
              <w:ind w:left="476"/>
            </w:pPr>
            <w:r>
              <w:rPr>
                <w:b/>
                <w:bCs/>
                <w:spacing w:val="-3"/>
              </w:rPr>
              <w:t>《公路水运工程质量检测管理办法》（交通运输部令</w:t>
            </w:r>
            <w:r>
              <w:rPr>
                <w:spacing w:val="-35"/>
              </w:rPr>
              <w:t xml:space="preserve"> </w:t>
            </w:r>
            <w:r>
              <w:rPr>
                <w:b/>
                <w:bCs/>
                <w:spacing w:val="-3"/>
              </w:rPr>
              <w:t>2023</w:t>
            </w:r>
            <w:r>
              <w:rPr>
                <w:spacing w:val="-38"/>
              </w:rPr>
              <w:t xml:space="preserve"> </w:t>
            </w:r>
            <w:r>
              <w:rPr>
                <w:b/>
                <w:bCs/>
                <w:spacing w:val="-3"/>
              </w:rPr>
              <w:t>年第</w:t>
            </w:r>
            <w:r>
              <w:rPr>
                <w:spacing w:val="-36"/>
              </w:rPr>
              <w:t xml:space="preserve"> </w:t>
            </w:r>
            <w:r>
              <w:rPr>
                <w:b/>
                <w:bCs/>
                <w:spacing w:val="-3"/>
              </w:rPr>
              <w:t>9</w:t>
            </w:r>
            <w:r>
              <w:rPr>
                <w:spacing w:val="-32"/>
              </w:rPr>
              <w:t xml:space="preserve"> </w:t>
            </w:r>
            <w:r>
              <w:rPr>
                <w:b/>
                <w:bCs/>
                <w:spacing w:val="-3"/>
              </w:rPr>
              <w:t>号）</w:t>
            </w:r>
          </w:p>
          <w:p w14:paraId="39416965">
            <w:pPr>
              <w:pStyle w:val="8"/>
              <w:spacing w:before="26" w:line="233" w:lineRule="auto"/>
              <w:ind w:left="111" w:right="159" w:firstLine="359"/>
            </w:pPr>
            <w:r>
              <w:t>第六条  检测机构从事公路水运工程质量检测（以下简称质量检测）活动，应当</w:t>
            </w:r>
            <w:r>
              <w:rPr>
                <w:spacing w:val="-1"/>
              </w:rPr>
              <w:t>按照资质等级对应的</w:t>
            </w:r>
            <w:r>
              <w:t xml:space="preserve"> </w:t>
            </w:r>
            <w:r>
              <w:rPr>
                <w:spacing w:val="-2"/>
              </w:rPr>
              <w:t>许可范围承担相应的质量检测业务。</w:t>
            </w:r>
          </w:p>
          <w:p w14:paraId="3D13F166">
            <w:pPr>
              <w:pStyle w:val="8"/>
              <w:spacing w:before="26" w:line="237" w:lineRule="auto"/>
              <w:ind w:left="112" w:right="104" w:firstLine="358"/>
              <w:jc w:val="both"/>
            </w:pPr>
            <w:r>
              <w:t>第四十八条  检测机构违反本办法规定，有下列行为之一的，其检测报告无效，</w:t>
            </w:r>
            <w:r>
              <w:rPr>
                <w:spacing w:val="-1"/>
              </w:rPr>
              <w:t>由交通运输主管部门</w:t>
            </w:r>
            <w:r>
              <w:t xml:space="preserve"> </w:t>
            </w:r>
            <w:r>
              <w:rPr>
                <w:spacing w:val="-3"/>
              </w:rPr>
              <w:t>处</w:t>
            </w:r>
            <w:r>
              <w:rPr>
                <w:spacing w:val="-24"/>
              </w:rPr>
              <w:t xml:space="preserve"> </w:t>
            </w:r>
            <w:r>
              <w:rPr>
                <w:spacing w:val="-3"/>
              </w:rPr>
              <w:t>1</w:t>
            </w:r>
            <w:r>
              <w:rPr>
                <w:spacing w:val="-34"/>
              </w:rPr>
              <w:t xml:space="preserve"> </w:t>
            </w:r>
            <w:r>
              <w:rPr>
                <w:spacing w:val="-3"/>
              </w:rPr>
              <w:t>万元以上</w:t>
            </w:r>
            <w:r>
              <w:rPr>
                <w:spacing w:val="-34"/>
              </w:rPr>
              <w:t xml:space="preserve"> </w:t>
            </w:r>
            <w:r>
              <w:rPr>
                <w:spacing w:val="-3"/>
              </w:rPr>
              <w:t>3</w:t>
            </w:r>
            <w:r>
              <w:rPr>
                <w:spacing w:val="-34"/>
              </w:rPr>
              <w:t xml:space="preserve"> </w:t>
            </w:r>
            <w:r>
              <w:rPr>
                <w:spacing w:val="-3"/>
              </w:rPr>
              <w:t>万元以下罚款；造成危害后果的，处</w:t>
            </w:r>
            <w:r>
              <w:rPr>
                <w:spacing w:val="-36"/>
              </w:rPr>
              <w:t xml:space="preserve"> </w:t>
            </w:r>
            <w:r>
              <w:rPr>
                <w:spacing w:val="-3"/>
              </w:rPr>
              <w:t>3</w:t>
            </w:r>
            <w:r>
              <w:rPr>
                <w:spacing w:val="-32"/>
              </w:rPr>
              <w:t xml:space="preserve"> </w:t>
            </w:r>
            <w:r>
              <w:rPr>
                <w:spacing w:val="-3"/>
              </w:rPr>
              <w:t>万元以上</w:t>
            </w:r>
            <w:r>
              <w:rPr>
                <w:spacing w:val="-27"/>
              </w:rPr>
              <w:t xml:space="preserve"> </w:t>
            </w:r>
            <w:r>
              <w:rPr>
                <w:spacing w:val="-3"/>
              </w:rPr>
              <w:t>10</w:t>
            </w:r>
            <w:r>
              <w:rPr>
                <w:spacing w:val="-34"/>
              </w:rPr>
              <w:t xml:space="preserve"> </w:t>
            </w:r>
            <w:r>
              <w:rPr>
                <w:spacing w:val="-3"/>
              </w:rPr>
              <w:t>万元以下罚款；构</w:t>
            </w:r>
            <w:r>
              <w:rPr>
                <w:spacing w:val="-4"/>
              </w:rPr>
              <w:t>成犯罪的，依法追究</w:t>
            </w:r>
            <w:r>
              <w:t xml:space="preserve"> </w:t>
            </w:r>
            <w:r>
              <w:rPr>
                <w:spacing w:val="-8"/>
              </w:rPr>
              <w:t>刑事责任：</w:t>
            </w:r>
          </w:p>
          <w:p w14:paraId="7FF8F4F7">
            <w:pPr>
              <w:pStyle w:val="8"/>
              <w:spacing w:before="26" w:line="219" w:lineRule="auto"/>
              <w:ind w:left="481"/>
            </w:pPr>
            <w:r>
              <w:rPr>
                <w:spacing w:val="-4"/>
              </w:rPr>
              <w:t>（一）未取得相应资质从事质量检测活动的；</w:t>
            </w:r>
          </w:p>
          <w:p w14:paraId="5731E46C">
            <w:pPr>
              <w:pStyle w:val="8"/>
              <w:spacing w:before="26" w:line="219" w:lineRule="auto"/>
              <w:ind w:left="481"/>
            </w:pPr>
            <w:r>
              <w:rPr>
                <w:spacing w:val="-3"/>
              </w:rPr>
              <w:t>（二）资质证书已过有效期从事质量检测活动的；</w:t>
            </w:r>
          </w:p>
          <w:p w14:paraId="6DB7EF2C">
            <w:pPr>
              <w:pStyle w:val="8"/>
              <w:spacing w:before="26" w:line="197" w:lineRule="auto"/>
              <w:ind w:left="481"/>
            </w:pPr>
            <w:r>
              <w:rPr>
                <w:spacing w:val="-3"/>
              </w:rPr>
              <w:t>（三）超出资质许可范围从事质量检测活动的。</w:t>
            </w:r>
          </w:p>
        </w:tc>
        <w:tc>
          <w:tcPr>
            <w:tcW w:w="1014" w:type="dxa"/>
            <w:vAlign w:val="top"/>
          </w:tcPr>
          <w:p w14:paraId="4091B34C">
            <w:pPr>
              <w:spacing w:line="272" w:lineRule="auto"/>
              <w:rPr>
                <w:rFonts w:ascii="Arial"/>
                <w:sz w:val="21"/>
              </w:rPr>
            </w:pPr>
          </w:p>
          <w:p w14:paraId="2DFFB18D">
            <w:pPr>
              <w:spacing w:line="273" w:lineRule="auto"/>
              <w:rPr>
                <w:rFonts w:ascii="Arial"/>
                <w:sz w:val="21"/>
              </w:rPr>
            </w:pPr>
          </w:p>
          <w:p w14:paraId="1102DED6">
            <w:pPr>
              <w:spacing w:line="273" w:lineRule="auto"/>
              <w:rPr>
                <w:rFonts w:ascii="Arial"/>
                <w:sz w:val="21"/>
              </w:rPr>
            </w:pPr>
          </w:p>
          <w:p w14:paraId="462EA4E2">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1A94CD4F">
            <w:pPr>
              <w:spacing w:line="272" w:lineRule="auto"/>
              <w:rPr>
                <w:rFonts w:ascii="Arial"/>
                <w:sz w:val="21"/>
              </w:rPr>
            </w:pPr>
          </w:p>
          <w:p w14:paraId="16CCACCF">
            <w:pPr>
              <w:spacing w:line="273" w:lineRule="auto"/>
              <w:rPr>
                <w:rFonts w:ascii="Arial"/>
                <w:sz w:val="21"/>
              </w:rPr>
            </w:pPr>
          </w:p>
          <w:p w14:paraId="58A4AA2D">
            <w:pPr>
              <w:spacing w:line="273" w:lineRule="auto"/>
              <w:rPr>
                <w:rFonts w:ascii="Arial"/>
                <w:sz w:val="21"/>
              </w:rPr>
            </w:pPr>
          </w:p>
          <w:p w14:paraId="07D83564">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3FF0565">
            <w:pPr>
              <w:spacing w:line="290" w:lineRule="auto"/>
              <w:rPr>
                <w:rFonts w:ascii="Arial"/>
                <w:sz w:val="21"/>
              </w:rPr>
            </w:pPr>
          </w:p>
          <w:p w14:paraId="22FCEBB9">
            <w:pPr>
              <w:spacing w:line="291" w:lineRule="auto"/>
              <w:rPr>
                <w:rFonts w:ascii="Arial"/>
                <w:sz w:val="21"/>
              </w:rPr>
            </w:pPr>
          </w:p>
          <w:p w14:paraId="18700A53">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1534B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6" w:hRule="atLeast"/>
        </w:trPr>
        <w:tc>
          <w:tcPr>
            <w:tcW w:w="624" w:type="dxa"/>
            <w:vAlign w:val="top"/>
          </w:tcPr>
          <w:p w14:paraId="23E26428">
            <w:pPr>
              <w:spacing w:line="241" w:lineRule="auto"/>
              <w:rPr>
                <w:rFonts w:ascii="Arial"/>
                <w:sz w:val="21"/>
              </w:rPr>
            </w:pPr>
          </w:p>
          <w:p w14:paraId="0BAB0EB8">
            <w:pPr>
              <w:spacing w:line="241" w:lineRule="auto"/>
              <w:rPr>
                <w:rFonts w:ascii="Arial"/>
                <w:sz w:val="21"/>
              </w:rPr>
            </w:pPr>
          </w:p>
          <w:p w14:paraId="2C039B64">
            <w:pPr>
              <w:spacing w:line="242" w:lineRule="auto"/>
              <w:rPr>
                <w:rFonts w:ascii="Arial"/>
                <w:sz w:val="21"/>
              </w:rPr>
            </w:pPr>
          </w:p>
          <w:p w14:paraId="24FCB484">
            <w:pPr>
              <w:spacing w:line="242" w:lineRule="auto"/>
              <w:rPr>
                <w:rFonts w:ascii="Arial"/>
                <w:sz w:val="21"/>
              </w:rPr>
            </w:pPr>
          </w:p>
          <w:p w14:paraId="2AA719C6">
            <w:pPr>
              <w:pStyle w:val="8"/>
              <w:spacing w:before="59" w:line="183" w:lineRule="auto"/>
              <w:ind w:left="231"/>
            </w:pPr>
            <w:r>
              <w:rPr>
                <w:spacing w:val="-4"/>
              </w:rPr>
              <w:t>90</w:t>
            </w:r>
          </w:p>
        </w:tc>
        <w:tc>
          <w:tcPr>
            <w:tcW w:w="1104" w:type="dxa"/>
            <w:vAlign w:val="top"/>
          </w:tcPr>
          <w:p w14:paraId="5297DBFA">
            <w:pPr>
              <w:pStyle w:val="8"/>
              <w:spacing w:before="162" w:line="243" w:lineRule="auto"/>
              <w:ind w:left="59" w:right="56"/>
              <w:jc w:val="both"/>
            </w:pPr>
            <w:r>
              <w:rPr>
                <w:spacing w:val="16"/>
              </w:rPr>
              <w:t>对交通运输</w:t>
            </w:r>
            <w:r>
              <w:rPr>
                <w:spacing w:val="1"/>
              </w:rPr>
              <w:t xml:space="preserve"> </w:t>
            </w:r>
            <w:r>
              <w:rPr>
                <w:spacing w:val="16"/>
              </w:rPr>
              <w:t>建设工程领</w:t>
            </w:r>
            <w:r>
              <w:rPr>
                <w:spacing w:val="2"/>
              </w:rPr>
              <w:t xml:space="preserve"> </w:t>
            </w:r>
            <w:r>
              <w:rPr>
                <w:spacing w:val="16"/>
              </w:rPr>
              <w:t>域检测机构</w:t>
            </w:r>
            <w:r>
              <w:rPr>
                <w:spacing w:val="2"/>
              </w:rPr>
              <w:t xml:space="preserve"> </w:t>
            </w:r>
            <w:r>
              <w:rPr>
                <w:spacing w:val="16"/>
              </w:rPr>
              <w:t>隐瞒有关情</w:t>
            </w:r>
            <w:r>
              <w:rPr>
                <w:spacing w:val="2"/>
              </w:rPr>
              <w:t xml:space="preserve"> </w:t>
            </w:r>
            <w:r>
              <w:rPr>
                <w:spacing w:val="16"/>
              </w:rPr>
              <w:t>况或者提供</w:t>
            </w:r>
            <w:r>
              <w:rPr>
                <w:spacing w:val="2"/>
              </w:rPr>
              <w:t xml:space="preserve"> </w:t>
            </w:r>
            <w:r>
              <w:rPr>
                <w:spacing w:val="16"/>
              </w:rPr>
              <w:t>虚假材料申</w:t>
            </w:r>
            <w:r>
              <w:rPr>
                <w:spacing w:val="2"/>
              </w:rPr>
              <w:t xml:space="preserve"> </w:t>
            </w:r>
            <w:r>
              <w:rPr>
                <w:spacing w:val="16"/>
              </w:rPr>
              <w:t>请资质的行</w:t>
            </w:r>
            <w:r>
              <w:rPr>
                <w:spacing w:val="2"/>
              </w:rPr>
              <w:t xml:space="preserve"> </w:t>
            </w:r>
            <w:r>
              <w:rPr>
                <w:spacing w:val="-2"/>
              </w:rPr>
              <w:t>政处罚</w:t>
            </w:r>
          </w:p>
        </w:tc>
        <w:tc>
          <w:tcPr>
            <w:tcW w:w="1104" w:type="dxa"/>
            <w:vAlign w:val="top"/>
          </w:tcPr>
          <w:p w14:paraId="53D46055">
            <w:pPr>
              <w:spacing w:line="312" w:lineRule="auto"/>
              <w:rPr>
                <w:rFonts w:ascii="Arial"/>
                <w:sz w:val="21"/>
              </w:rPr>
            </w:pPr>
          </w:p>
          <w:p w14:paraId="5E1CADEE">
            <w:pPr>
              <w:spacing w:line="313" w:lineRule="auto"/>
              <w:rPr>
                <w:rFonts w:ascii="Arial"/>
                <w:sz w:val="21"/>
              </w:rPr>
            </w:pPr>
          </w:p>
          <w:p w14:paraId="2E89F610">
            <w:pPr>
              <w:spacing w:line="313" w:lineRule="auto"/>
              <w:rPr>
                <w:rFonts w:ascii="Arial"/>
                <w:sz w:val="21"/>
              </w:rPr>
            </w:pPr>
          </w:p>
          <w:p w14:paraId="64B12F2D">
            <w:pPr>
              <w:pStyle w:val="8"/>
              <w:spacing w:before="59" w:line="220" w:lineRule="auto"/>
              <w:ind w:left="10"/>
            </w:pPr>
            <w:r>
              <w:rPr>
                <w:spacing w:val="-2"/>
              </w:rPr>
              <w:t>行政处罚</w:t>
            </w:r>
          </w:p>
        </w:tc>
        <w:tc>
          <w:tcPr>
            <w:tcW w:w="8549" w:type="dxa"/>
            <w:vAlign w:val="top"/>
          </w:tcPr>
          <w:p w14:paraId="2A60381C">
            <w:pPr>
              <w:pStyle w:val="8"/>
              <w:spacing w:before="43" w:line="219" w:lineRule="auto"/>
              <w:ind w:left="476"/>
            </w:pPr>
            <w:r>
              <w:rPr>
                <w:b/>
                <w:bCs/>
                <w:spacing w:val="-3"/>
              </w:rPr>
              <w:t>《中华人民共和国行政许可法》</w:t>
            </w:r>
          </w:p>
          <w:p w14:paraId="0814A84B">
            <w:pPr>
              <w:pStyle w:val="8"/>
              <w:spacing w:before="26" w:line="237" w:lineRule="auto"/>
              <w:ind w:left="112" w:right="159" w:firstLine="358"/>
            </w:pPr>
            <w:r>
              <w:t>第七十八条  行政许可申请人隐瞒有关情况或者提供虚假材料申请行政许可的，</w:t>
            </w:r>
            <w:r>
              <w:rPr>
                <w:spacing w:val="-1"/>
              </w:rPr>
              <w:t>行政机关不予受理或</w:t>
            </w:r>
            <w:r>
              <w:t xml:space="preserve"> 者不予行政许可，并给予警告；行政许可申请属于直接关系公共安全、人身健康、</w:t>
            </w:r>
            <w:r>
              <w:rPr>
                <w:spacing w:val="-1"/>
              </w:rPr>
              <w:t>生命财产安全事项的，</w:t>
            </w:r>
            <w:r>
              <w:t xml:space="preserve"> </w:t>
            </w:r>
            <w:r>
              <w:rPr>
                <w:spacing w:val="-2"/>
              </w:rPr>
              <w:t>申请人在一年内不得再次申请该行政许可。</w:t>
            </w:r>
          </w:p>
          <w:p w14:paraId="3A647500">
            <w:pPr>
              <w:pStyle w:val="8"/>
              <w:spacing w:before="25" w:line="219" w:lineRule="auto"/>
              <w:ind w:left="476"/>
            </w:pPr>
            <w:r>
              <w:rPr>
                <w:b/>
                <w:bCs/>
                <w:spacing w:val="-3"/>
              </w:rPr>
              <w:t>《公路水运工程质量检测管理办法》（交通运输部令</w:t>
            </w:r>
            <w:r>
              <w:rPr>
                <w:spacing w:val="-35"/>
              </w:rPr>
              <w:t xml:space="preserve"> </w:t>
            </w:r>
            <w:r>
              <w:rPr>
                <w:b/>
                <w:bCs/>
                <w:spacing w:val="-3"/>
              </w:rPr>
              <w:t>2023</w:t>
            </w:r>
            <w:r>
              <w:rPr>
                <w:spacing w:val="-38"/>
              </w:rPr>
              <w:t xml:space="preserve"> </w:t>
            </w:r>
            <w:r>
              <w:rPr>
                <w:b/>
                <w:bCs/>
                <w:spacing w:val="-3"/>
              </w:rPr>
              <w:t>年第</w:t>
            </w:r>
            <w:r>
              <w:rPr>
                <w:spacing w:val="-36"/>
              </w:rPr>
              <w:t xml:space="preserve"> </w:t>
            </w:r>
            <w:r>
              <w:rPr>
                <w:b/>
                <w:bCs/>
                <w:spacing w:val="-3"/>
              </w:rPr>
              <w:t>9</w:t>
            </w:r>
            <w:r>
              <w:rPr>
                <w:spacing w:val="-32"/>
              </w:rPr>
              <w:t xml:space="preserve"> </w:t>
            </w:r>
            <w:r>
              <w:rPr>
                <w:b/>
                <w:bCs/>
                <w:spacing w:val="-3"/>
              </w:rPr>
              <w:t>号）</w:t>
            </w:r>
          </w:p>
          <w:p w14:paraId="03E85924">
            <w:pPr>
              <w:pStyle w:val="8"/>
              <w:spacing w:before="25" w:line="233" w:lineRule="auto"/>
              <w:ind w:left="111" w:right="159" w:firstLine="360"/>
            </w:pPr>
            <w:r>
              <w:t>第十一条第二款  申请人应当通过公路水运工程质量检测管理信息系统提交申请</w:t>
            </w:r>
            <w:r>
              <w:rPr>
                <w:spacing w:val="-1"/>
              </w:rPr>
              <w:t>材料，并对其申请材</w:t>
            </w:r>
            <w:r>
              <w:t xml:space="preserve"> </w:t>
            </w:r>
            <w:r>
              <w:rPr>
                <w:spacing w:val="-1"/>
              </w:rPr>
              <w:t>料实质内容的真实性负责。许可机关不得要求申请人提交与其申请资质无关的技术资料和其他材料。</w:t>
            </w:r>
          </w:p>
          <w:p w14:paraId="2E33841C">
            <w:pPr>
              <w:pStyle w:val="8"/>
              <w:spacing w:before="27" w:line="222" w:lineRule="auto"/>
              <w:ind w:left="111" w:right="159" w:firstLine="359"/>
            </w:pPr>
            <w:r>
              <w:t>第四十九条  检测机构隐瞒有关情况或者提供虚假材料申请资质的，许可机关不</w:t>
            </w:r>
            <w:r>
              <w:rPr>
                <w:spacing w:val="-1"/>
              </w:rPr>
              <w:t>予受理或者不予行政</w:t>
            </w:r>
            <w:r>
              <w:t xml:space="preserve"> </w:t>
            </w:r>
            <w:r>
              <w:rPr>
                <w:spacing w:val="-3"/>
              </w:rPr>
              <w:t>许可，并给予警告；检测机构</w:t>
            </w:r>
            <w:r>
              <w:rPr>
                <w:spacing w:val="-7"/>
              </w:rPr>
              <w:t xml:space="preserve"> </w:t>
            </w:r>
            <w:r>
              <w:rPr>
                <w:spacing w:val="-3"/>
              </w:rPr>
              <w:t>1</w:t>
            </w:r>
            <w:r>
              <w:rPr>
                <w:spacing w:val="-38"/>
              </w:rPr>
              <w:t xml:space="preserve"> </w:t>
            </w:r>
            <w:r>
              <w:rPr>
                <w:spacing w:val="-3"/>
              </w:rPr>
              <w:t>年内不得再次申请该资质。</w:t>
            </w:r>
          </w:p>
        </w:tc>
        <w:tc>
          <w:tcPr>
            <w:tcW w:w="1014" w:type="dxa"/>
            <w:vAlign w:val="top"/>
          </w:tcPr>
          <w:p w14:paraId="7FC14D0E">
            <w:pPr>
              <w:spacing w:line="272" w:lineRule="auto"/>
              <w:rPr>
                <w:rFonts w:ascii="Arial"/>
                <w:sz w:val="21"/>
              </w:rPr>
            </w:pPr>
          </w:p>
          <w:p w14:paraId="6CDB660D">
            <w:pPr>
              <w:spacing w:line="273" w:lineRule="auto"/>
              <w:rPr>
                <w:rFonts w:ascii="Arial"/>
                <w:sz w:val="21"/>
              </w:rPr>
            </w:pPr>
          </w:p>
          <w:p w14:paraId="03A1AE01">
            <w:pPr>
              <w:spacing w:line="273" w:lineRule="auto"/>
              <w:rPr>
                <w:rFonts w:ascii="Arial"/>
                <w:sz w:val="21"/>
              </w:rPr>
            </w:pPr>
          </w:p>
          <w:p w14:paraId="2C72D137">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5BF85593">
            <w:pPr>
              <w:spacing w:line="273" w:lineRule="auto"/>
              <w:rPr>
                <w:rFonts w:ascii="Arial"/>
                <w:sz w:val="21"/>
              </w:rPr>
            </w:pPr>
          </w:p>
          <w:p w14:paraId="27227F45">
            <w:pPr>
              <w:spacing w:line="273" w:lineRule="auto"/>
              <w:rPr>
                <w:rFonts w:ascii="Arial"/>
                <w:sz w:val="21"/>
              </w:rPr>
            </w:pPr>
          </w:p>
          <w:p w14:paraId="08A56647">
            <w:pPr>
              <w:spacing w:line="273" w:lineRule="auto"/>
              <w:rPr>
                <w:rFonts w:ascii="Arial"/>
                <w:sz w:val="21"/>
              </w:rPr>
            </w:pPr>
          </w:p>
          <w:p w14:paraId="2F14110B">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3F1A1F51">
            <w:pPr>
              <w:spacing w:line="290" w:lineRule="auto"/>
              <w:rPr>
                <w:rFonts w:ascii="Arial"/>
                <w:sz w:val="21"/>
              </w:rPr>
            </w:pPr>
          </w:p>
          <w:p w14:paraId="0299F981">
            <w:pPr>
              <w:spacing w:line="291" w:lineRule="auto"/>
              <w:rPr>
                <w:rFonts w:ascii="Arial"/>
                <w:sz w:val="21"/>
              </w:rPr>
            </w:pPr>
          </w:p>
          <w:p w14:paraId="6324F09E">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758312D4">
      <w:pPr>
        <w:pStyle w:val="2"/>
      </w:pPr>
    </w:p>
    <w:p w14:paraId="41CA20DF">
      <w:pPr>
        <w:sectPr>
          <w:footerReference r:id="rId121" w:type="default"/>
          <w:pgSz w:w="16839" w:h="11906"/>
          <w:pgMar w:top="1012" w:right="991" w:bottom="967" w:left="1021" w:header="0" w:footer="768" w:gutter="0"/>
          <w:cols w:space="720" w:num="1"/>
        </w:sectPr>
      </w:pPr>
    </w:p>
    <w:p w14:paraId="0D576C9F">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3B042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4" w:type="dxa"/>
            <w:vMerge w:val="restart"/>
            <w:tcBorders>
              <w:bottom w:val="nil"/>
            </w:tcBorders>
            <w:vAlign w:val="top"/>
          </w:tcPr>
          <w:p w14:paraId="5AD393BB">
            <w:pPr>
              <w:pStyle w:val="8"/>
              <w:spacing w:before="267" w:line="221" w:lineRule="auto"/>
              <w:ind w:left="134"/>
            </w:pPr>
            <w:r>
              <w:rPr>
                <w:b/>
                <w:bCs/>
                <w:spacing w:val="-4"/>
              </w:rPr>
              <w:t>序号</w:t>
            </w:r>
          </w:p>
        </w:tc>
        <w:tc>
          <w:tcPr>
            <w:tcW w:w="1104" w:type="dxa"/>
            <w:vMerge w:val="restart"/>
            <w:tcBorders>
              <w:bottom w:val="nil"/>
            </w:tcBorders>
            <w:vAlign w:val="top"/>
          </w:tcPr>
          <w:p w14:paraId="5B49B107">
            <w:pPr>
              <w:pStyle w:val="8"/>
              <w:spacing w:before="260" w:line="220" w:lineRule="auto"/>
              <w:ind w:left="192"/>
            </w:pPr>
            <w:r>
              <w:rPr>
                <w:b/>
                <w:bCs/>
                <w:spacing w:val="-4"/>
              </w:rPr>
              <w:t>事项名称</w:t>
            </w:r>
          </w:p>
        </w:tc>
        <w:tc>
          <w:tcPr>
            <w:tcW w:w="1104" w:type="dxa"/>
            <w:vMerge w:val="restart"/>
            <w:tcBorders>
              <w:bottom w:val="nil"/>
            </w:tcBorders>
            <w:vAlign w:val="top"/>
          </w:tcPr>
          <w:p w14:paraId="23087893">
            <w:pPr>
              <w:pStyle w:val="8"/>
              <w:spacing w:before="260" w:line="219" w:lineRule="auto"/>
              <w:ind w:left="193"/>
            </w:pPr>
            <w:r>
              <w:rPr>
                <w:b/>
                <w:bCs/>
                <w:spacing w:val="-4"/>
              </w:rPr>
              <w:t>职权类型</w:t>
            </w:r>
          </w:p>
        </w:tc>
        <w:tc>
          <w:tcPr>
            <w:tcW w:w="8549" w:type="dxa"/>
            <w:vMerge w:val="restart"/>
            <w:tcBorders>
              <w:bottom w:val="nil"/>
            </w:tcBorders>
            <w:vAlign w:val="top"/>
          </w:tcPr>
          <w:p w14:paraId="5B87048D">
            <w:pPr>
              <w:pStyle w:val="8"/>
              <w:spacing w:before="259" w:line="219" w:lineRule="auto"/>
              <w:ind w:left="3921"/>
            </w:pPr>
            <w:r>
              <w:rPr>
                <w:b/>
                <w:bCs/>
                <w:spacing w:val="-5"/>
              </w:rPr>
              <w:t>实施依据</w:t>
            </w:r>
          </w:p>
        </w:tc>
        <w:tc>
          <w:tcPr>
            <w:tcW w:w="3439" w:type="dxa"/>
            <w:gridSpan w:val="3"/>
            <w:vAlign w:val="top"/>
          </w:tcPr>
          <w:p w14:paraId="5D89092E">
            <w:pPr>
              <w:pStyle w:val="8"/>
              <w:spacing w:before="85" w:line="220" w:lineRule="auto"/>
              <w:ind w:left="1365"/>
            </w:pPr>
            <w:r>
              <w:rPr>
                <w:b/>
                <w:bCs/>
                <w:spacing w:val="-5"/>
              </w:rPr>
              <w:t>实施主体</w:t>
            </w:r>
          </w:p>
        </w:tc>
      </w:tr>
      <w:tr w14:paraId="793D3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73E75CD">
            <w:pPr>
              <w:rPr>
                <w:rFonts w:ascii="Arial"/>
                <w:sz w:val="21"/>
              </w:rPr>
            </w:pPr>
          </w:p>
        </w:tc>
        <w:tc>
          <w:tcPr>
            <w:tcW w:w="1104" w:type="dxa"/>
            <w:vMerge w:val="continue"/>
            <w:tcBorders>
              <w:top w:val="nil"/>
            </w:tcBorders>
            <w:vAlign w:val="top"/>
          </w:tcPr>
          <w:p w14:paraId="06063B7D">
            <w:pPr>
              <w:rPr>
                <w:rFonts w:ascii="Arial"/>
                <w:sz w:val="21"/>
              </w:rPr>
            </w:pPr>
          </w:p>
        </w:tc>
        <w:tc>
          <w:tcPr>
            <w:tcW w:w="1104" w:type="dxa"/>
            <w:vMerge w:val="continue"/>
            <w:tcBorders>
              <w:top w:val="nil"/>
            </w:tcBorders>
            <w:vAlign w:val="top"/>
          </w:tcPr>
          <w:p w14:paraId="4F8DDAEC">
            <w:pPr>
              <w:rPr>
                <w:rFonts w:ascii="Arial"/>
                <w:sz w:val="21"/>
              </w:rPr>
            </w:pPr>
          </w:p>
        </w:tc>
        <w:tc>
          <w:tcPr>
            <w:tcW w:w="8549" w:type="dxa"/>
            <w:vMerge w:val="continue"/>
            <w:tcBorders>
              <w:top w:val="nil"/>
            </w:tcBorders>
            <w:vAlign w:val="top"/>
          </w:tcPr>
          <w:p w14:paraId="29CD9659">
            <w:pPr>
              <w:rPr>
                <w:rFonts w:ascii="Arial"/>
                <w:sz w:val="21"/>
              </w:rPr>
            </w:pPr>
          </w:p>
        </w:tc>
        <w:tc>
          <w:tcPr>
            <w:tcW w:w="1014" w:type="dxa"/>
            <w:vAlign w:val="top"/>
          </w:tcPr>
          <w:p w14:paraId="47E6C86E">
            <w:pPr>
              <w:pStyle w:val="8"/>
              <w:spacing w:before="80" w:line="219" w:lineRule="auto"/>
              <w:ind w:left="158"/>
            </w:pPr>
            <w:r>
              <w:rPr>
                <w:b/>
                <w:bCs/>
                <w:spacing w:val="-5"/>
              </w:rPr>
              <w:t>责任部门</w:t>
            </w:r>
          </w:p>
        </w:tc>
        <w:tc>
          <w:tcPr>
            <w:tcW w:w="1407" w:type="dxa"/>
            <w:vAlign w:val="top"/>
          </w:tcPr>
          <w:p w14:paraId="5C3F9FC8">
            <w:pPr>
              <w:pStyle w:val="8"/>
              <w:spacing w:before="80" w:line="219" w:lineRule="auto"/>
              <w:ind w:left="167"/>
            </w:pPr>
            <w:r>
              <w:rPr>
                <w:b/>
                <w:bCs/>
                <w:spacing w:val="-3"/>
              </w:rPr>
              <w:t>第一责任层级</w:t>
            </w:r>
          </w:p>
        </w:tc>
        <w:tc>
          <w:tcPr>
            <w:tcW w:w="1018" w:type="dxa"/>
            <w:vAlign w:val="top"/>
          </w:tcPr>
          <w:p w14:paraId="3503469E">
            <w:pPr>
              <w:pStyle w:val="8"/>
              <w:spacing w:before="80" w:line="219" w:lineRule="auto"/>
              <w:ind w:left="152"/>
            </w:pPr>
            <w:r>
              <w:rPr>
                <w:b/>
                <w:bCs/>
                <w:spacing w:val="-4"/>
              </w:rPr>
              <w:t>承办机构</w:t>
            </w:r>
          </w:p>
        </w:tc>
      </w:tr>
      <w:tr w14:paraId="0AE69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8" w:hRule="atLeast"/>
        </w:trPr>
        <w:tc>
          <w:tcPr>
            <w:tcW w:w="624" w:type="dxa"/>
            <w:vAlign w:val="top"/>
          </w:tcPr>
          <w:p w14:paraId="27317B7B">
            <w:pPr>
              <w:spacing w:line="251" w:lineRule="auto"/>
              <w:rPr>
                <w:rFonts w:ascii="Arial"/>
                <w:sz w:val="21"/>
              </w:rPr>
            </w:pPr>
          </w:p>
          <w:p w14:paraId="092B5E35">
            <w:pPr>
              <w:spacing w:line="251" w:lineRule="auto"/>
              <w:rPr>
                <w:rFonts w:ascii="Arial"/>
                <w:sz w:val="21"/>
              </w:rPr>
            </w:pPr>
          </w:p>
          <w:p w14:paraId="32FEC5C0">
            <w:pPr>
              <w:spacing w:line="251" w:lineRule="auto"/>
              <w:rPr>
                <w:rFonts w:ascii="Arial"/>
                <w:sz w:val="21"/>
              </w:rPr>
            </w:pPr>
          </w:p>
          <w:p w14:paraId="58223BD7">
            <w:pPr>
              <w:spacing w:line="251" w:lineRule="auto"/>
              <w:rPr>
                <w:rFonts w:ascii="Arial"/>
                <w:sz w:val="21"/>
              </w:rPr>
            </w:pPr>
          </w:p>
          <w:p w14:paraId="16580ECF">
            <w:pPr>
              <w:spacing w:line="252" w:lineRule="auto"/>
              <w:rPr>
                <w:rFonts w:ascii="Arial"/>
                <w:sz w:val="21"/>
              </w:rPr>
            </w:pPr>
          </w:p>
          <w:p w14:paraId="3056C685">
            <w:pPr>
              <w:pStyle w:val="8"/>
              <w:spacing w:before="58" w:line="184" w:lineRule="auto"/>
              <w:ind w:left="231"/>
            </w:pPr>
            <w:r>
              <w:rPr>
                <w:spacing w:val="-4"/>
              </w:rPr>
              <w:t>91</w:t>
            </w:r>
          </w:p>
        </w:tc>
        <w:tc>
          <w:tcPr>
            <w:tcW w:w="1104" w:type="dxa"/>
            <w:vAlign w:val="top"/>
          </w:tcPr>
          <w:p w14:paraId="1795C77B">
            <w:pPr>
              <w:spacing w:line="397" w:lineRule="auto"/>
              <w:rPr>
                <w:rFonts w:ascii="Arial"/>
                <w:sz w:val="21"/>
              </w:rPr>
            </w:pPr>
          </w:p>
          <w:p w14:paraId="10EDA384">
            <w:pPr>
              <w:pStyle w:val="8"/>
              <w:spacing w:before="58" w:line="243" w:lineRule="auto"/>
              <w:ind w:left="60" w:right="56"/>
              <w:jc w:val="both"/>
            </w:pPr>
            <w:r>
              <w:rPr>
                <w:spacing w:val="16"/>
              </w:rPr>
              <w:t>对交通运输</w:t>
            </w:r>
            <w:r>
              <w:rPr>
                <w:spacing w:val="1"/>
              </w:rPr>
              <w:t xml:space="preserve"> </w:t>
            </w:r>
            <w:r>
              <w:rPr>
                <w:spacing w:val="16"/>
              </w:rPr>
              <w:t>建设工程领</w:t>
            </w:r>
            <w:r>
              <w:t xml:space="preserve"> </w:t>
            </w:r>
            <w:r>
              <w:rPr>
                <w:spacing w:val="16"/>
              </w:rPr>
              <w:t>域检测机构</w:t>
            </w:r>
            <w:r>
              <w:t xml:space="preserve"> </w:t>
            </w:r>
            <w:r>
              <w:rPr>
                <w:spacing w:val="-17"/>
              </w:rPr>
              <w:t>以欺骗、贿赂</w:t>
            </w:r>
            <w:r>
              <w:rPr>
                <w:spacing w:val="2"/>
              </w:rPr>
              <w:t xml:space="preserve"> </w:t>
            </w:r>
            <w:r>
              <w:rPr>
                <w:spacing w:val="16"/>
              </w:rPr>
              <w:t>等不正当手</w:t>
            </w:r>
            <w:r>
              <w:t xml:space="preserve"> </w:t>
            </w:r>
            <w:r>
              <w:rPr>
                <w:spacing w:val="16"/>
              </w:rPr>
              <w:t>段取得资质</w:t>
            </w:r>
            <w:r>
              <w:t xml:space="preserve"> </w:t>
            </w:r>
            <w:r>
              <w:rPr>
                <w:spacing w:val="6"/>
              </w:rPr>
              <w:t>证书</w:t>
            </w:r>
            <w:r>
              <w:rPr>
                <w:spacing w:val="-42"/>
              </w:rPr>
              <w:t xml:space="preserve"> </w:t>
            </w:r>
            <w:r>
              <w:rPr>
                <w:spacing w:val="6"/>
              </w:rPr>
              <w:t>的行政</w:t>
            </w:r>
            <w:r>
              <w:t xml:space="preserve"> </w:t>
            </w:r>
            <w:r>
              <w:rPr>
                <w:spacing w:val="-2"/>
              </w:rPr>
              <w:t>处罚</w:t>
            </w:r>
          </w:p>
        </w:tc>
        <w:tc>
          <w:tcPr>
            <w:tcW w:w="1104" w:type="dxa"/>
            <w:vAlign w:val="top"/>
          </w:tcPr>
          <w:p w14:paraId="2F979BE9">
            <w:pPr>
              <w:spacing w:line="245" w:lineRule="auto"/>
              <w:rPr>
                <w:rFonts w:ascii="Arial"/>
                <w:sz w:val="21"/>
              </w:rPr>
            </w:pPr>
          </w:p>
          <w:p w14:paraId="004869B3">
            <w:pPr>
              <w:spacing w:line="246" w:lineRule="auto"/>
              <w:rPr>
                <w:rFonts w:ascii="Arial"/>
                <w:sz w:val="21"/>
              </w:rPr>
            </w:pPr>
          </w:p>
          <w:p w14:paraId="030889F5">
            <w:pPr>
              <w:spacing w:line="246" w:lineRule="auto"/>
              <w:rPr>
                <w:rFonts w:ascii="Arial"/>
                <w:sz w:val="21"/>
              </w:rPr>
            </w:pPr>
          </w:p>
          <w:p w14:paraId="0E66C9EA">
            <w:pPr>
              <w:spacing w:line="246" w:lineRule="auto"/>
              <w:rPr>
                <w:rFonts w:ascii="Arial"/>
                <w:sz w:val="21"/>
              </w:rPr>
            </w:pPr>
          </w:p>
          <w:p w14:paraId="7CA16B39">
            <w:pPr>
              <w:spacing w:line="246" w:lineRule="auto"/>
              <w:rPr>
                <w:rFonts w:ascii="Arial"/>
                <w:sz w:val="21"/>
              </w:rPr>
            </w:pPr>
          </w:p>
          <w:p w14:paraId="43EF21C8">
            <w:pPr>
              <w:pStyle w:val="8"/>
              <w:spacing w:before="58" w:line="220" w:lineRule="auto"/>
              <w:ind w:left="10"/>
            </w:pPr>
            <w:r>
              <w:rPr>
                <w:spacing w:val="-2"/>
              </w:rPr>
              <w:t>行政处罚</w:t>
            </w:r>
          </w:p>
        </w:tc>
        <w:tc>
          <w:tcPr>
            <w:tcW w:w="8549" w:type="dxa"/>
            <w:vAlign w:val="top"/>
          </w:tcPr>
          <w:p w14:paraId="3299F26B">
            <w:pPr>
              <w:spacing w:line="275" w:lineRule="auto"/>
              <w:rPr>
                <w:rFonts w:ascii="Arial"/>
                <w:sz w:val="21"/>
              </w:rPr>
            </w:pPr>
          </w:p>
          <w:p w14:paraId="7976B783">
            <w:pPr>
              <w:pStyle w:val="8"/>
              <w:spacing w:before="58" w:line="219" w:lineRule="auto"/>
              <w:ind w:left="476"/>
            </w:pPr>
            <w:r>
              <w:rPr>
                <w:b/>
                <w:bCs/>
                <w:spacing w:val="-3"/>
              </w:rPr>
              <w:t>《中华人民共和国行政许可法》</w:t>
            </w:r>
          </w:p>
          <w:p w14:paraId="13D052E1">
            <w:pPr>
              <w:pStyle w:val="8"/>
              <w:spacing w:before="26" w:line="237" w:lineRule="auto"/>
              <w:ind w:left="113" w:right="60" w:firstLine="357"/>
              <w:jc w:val="both"/>
            </w:pPr>
            <w:r>
              <w:rPr>
                <w:spacing w:val="-2"/>
              </w:rPr>
              <w:t>第七十九条  被许可人以欺骗、贿赂等不正当手段取得行政许可的，行政机关应当依法给予行政处罚；</w:t>
            </w:r>
            <w:r>
              <w:rPr>
                <w:spacing w:val="3"/>
              </w:rPr>
              <w:t xml:space="preserve"> </w:t>
            </w:r>
            <w:r>
              <w:t>取得的行政许可属于直接关系公共安全、人身健康、生命财产安全事项的，申请</w:t>
            </w:r>
            <w:r>
              <w:rPr>
                <w:spacing w:val="-1"/>
              </w:rPr>
              <w:t>人在三年内不得再次申请</w:t>
            </w:r>
            <w:r>
              <w:t xml:space="preserve">  </w:t>
            </w:r>
            <w:r>
              <w:rPr>
                <w:spacing w:val="-2"/>
              </w:rPr>
              <w:t>该行政许可；构成犯罪的，依法追究刑事责任。</w:t>
            </w:r>
          </w:p>
          <w:p w14:paraId="3105331A">
            <w:pPr>
              <w:pStyle w:val="8"/>
              <w:spacing w:before="26" w:line="219" w:lineRule="auto"/>
              <w:ind w:left="476"/>
            </w:pPr>
            <w:r>
              <w:rPr>
                <w:b/>
                <w:bCs/>
                <w:spacing w:val="-3"/>
              </w:rPr>
              <w:t>《公路水运工程质量检测管理办法》（交通运输部令</w:t>
            </w:r>
            <w:r>
              <w:rPr>
                <w:spacing w:val="-35"/>
              </w:rPr>
              <w:t xml:space="preserve"> </w:t>
            </w:r>
            <w:r>
              <w:rPr>
                <w:b/>
                <w:bCs/>
                <w:spacing w:val="-3"/>
              </w:rPr>
              <w:t>2023</w:t>
            </w:r>
            <w:r>
              <w:rPr>
                <w:spacing w:val="-38"/>
              </w:rPr>
              <w:t xml:space="preserve"> </w:t>
            </w:r>
            <w:r>
              <w:rPr>
                <w:b/>
                <w:bCs/>
                <w:spacing w:val="-3"/>
              </w:rPr>
              <w:t>年第</w:t>
            </w:r>
            <w:r>
              <w:rPr>
                <w:spacing w:val="-36"/>
              </w:rPr>
              <w:t xml:space="preserve"> </w:t>
            </w:r>
            <w:r>
              <w:rPr>
                <w:b/>
                <w:bCs/>
                <w:spacing w:val="-3"/>
              </w:rPr>
              <w:t>9</w:t>
            </w:r>
            <w:r>
              <w:rPr>
                <w:spacing w:val="-32"/>
              </w:rPr>
              <w:t xml:space="preserve"> </w:t>
            </w:r>
            <w:r>
              <w:rPr>
                <w:b/>
                <w:bCs/>
                <w:spacing w:val="-3"/>
              </w:rPr>
              <w:t>号）</w:t>
            </w:r>
          </w:p>
          <w:p w14:paraId="37AA2FB8">
            <w:pPr>
              <w:pStyle w:val="8"/>
              <w:spacing w:before="25" w:line="233" w:lineRule="auto"/>
              <w:ind w:left="111" w:right="159" w:firstLine="360"/>
            </w:pPr>
            <w:r>
              <w:t>第十一条第二款  申请人应当通过公路水运工程质量检测管理信息系统提交申请</w:t>
            </w:r>
            <w:r>
              <w:rPr>
                <w:spacing w:val="-1"/>
              </w:rPr>
              <w:t>材料，并对其申请材</w:t>
            </w:r>
            <w:r>
              <w:t xml:space="preserve"> </w:t>
            </w:r>
            <w:r>
              <w:rPr>
                <w:spacing w:val="-1"/>
              </w:rPr>
              <w:t>料实质内容的真实性负责。许可机关不得要求申请人提交与其申请资质无关的技术资料和其他材料。</w:t>
            </w:r>
          </w:p>
          <w:p w14:paraId="5704BFDD">
            <w:pPr>
              <w:pStyle w:val="8"/>
              <w:spacing w:before="25" w:line="233" w:lineRule="auto"/>
              <w:ind w:left="111" w:right="204" w:firstLine="359"/>
            </w:pPr>
            <w:r>
              <w:t>第五十条  检测机构以欺骗、贿赂等不正当手段取得资质</w:t>
            </w:r>
            <w:r>
              <w:rPr>
                <w:spacing w:val="-1"/>
              </w:rPr>
              <w:t>证书的，由许可机关予以撤销；检测机构</w:t>
            </w:r>
            <w:r>
              <w:rPr>
                <w:spacing w:val="-34"/>
              </w:rPr>
              <w:t xml:space="preserve"> </w:t>
            </w:r>
            <w:r>
              <w:rPr>
                <w:spacing w:val="-1"/>
              </w:rPr>
              <w:t>3</w:t>
            </w:r>
            <w:r>
              <w:t xml:space="preserve"> </w:t>
            </w:r>
            <w:r>
              <w:rPr>
                <w:spacing w:val="-1"/>
              </w:rPr>
              <w:t>年内不得再次申请该资质；构成犯罪的，依法</w:t>
            </w:r>
            <w:r>
              <w:rPr>
                <w:spacing w:val="-2"/>
              </w:rPr>
              <w:t>追究刑事责任。</w:t>
            </w:r>
          </w:p>
        </w:tc>
        <w:tc>
          <w:tcPr>
            <w:tcW w:w="1014" w:type="dxa"/>
            <w:vAlign w:val="top"/>
          </w:tcPr>
          <w:p w14:paraId="2CF4A38F">
            <w:pPr>
              <w:spacing w:line="277" w:lineRule="auto"/>
              <w:rPr>
                <w:rFonts w:ascii="Arial"/>
                <w:sz w:val="21"/>
              </w:rPr>
            </w:pPr>
          </w:p>
          <w:p w14:paraId="3C1EA517">
            <w:pPr>
              <w:spacing w:line="277" w:lineRule="auto"/>
              <w:rPr>
                <w:rFonts w:ascii="Arial"/>
                <w:sz w:val="21"/>
              </w:rPr>
            </w:pPr>
          </w:p>
          <w:p w14:paraId="37279AAC">
            <w:pPr>
              <w:spacing w:line="277" w:lineRule="auto"/>
              <w:rPr>
                <w:rFonts w:ascii="Arial"/>
                <w:sz w:val="21"/>
              </w:rPr>
            </w:pPr>
          </w:p>
          <w:p w14:paraId="3A970D51">
            <w:pPr>
              <w:spacing w:line="278" w:lineRule="auto"/>
              <w:rPr>
                <w:rFonts w:ascii="Arial"/>
                <w:sz w:val="21"/>
              </w:rPr>
            </w:pPr>
          </w:p>
          <w:p w14:paraId="24AE36D2">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2E1149D6">
            <w:pPr>
              <w:spacing w:line="277" w:lineRule="auto"/>
              <w:rPr>
                <w:rFonts w:ascii="Arial"/>
                <w:sz w:val="21"/>
              </w:rPr>
            </w:pPr>
          </w:p>
          <w:p w14:paraId="634ECC79">
            <w:pPr>
              <w:spacing w:line="277" w:lineRule="auto"/>
              <w:rPr>
                <w:rFonts w:ascii="Arial"/>
                <w:sz w:val="21"/>
              </w:rPr>
            </w:pPr>
          </w:p>
          <w:p w14:paraId="7CC7385F">
            <w:pPr>
              <w:spacing w:line="277" w:lineRule="auto"/>
              <w:rPr>
                <w:rFonts w:ascii="Arial"/>
                <w:sz w:val="21"/>
              </w:rPr>
            </w:pPr>
          </w:p>
          <w:p w14:paraId="2B265BF6">
            <w:pPr>
              <w:spacing w:line="278" w:lineRule="auto"/>
              <w:rPr>
                <w:rFonts w:ascii="Arial"/>
                <w:sz w:val="21"/>
              </w:rPr>
            </w:pPr>
          </w:p>
          <w:p w14:paraId="046B244E">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040B9C2">
            <w:pPr>
              <w:spacing w:line="290" w:lineRule="auto"/>
              <w:rPr>
                <w:rFonts w:ascii="Arial"/>
                <w:sz w:val="21"/>
              </w:rPr>
            </w:pPr>
          </w:p>
          <w:p w14:paraId="7CC7E6C7">
            <w:pPr>
              <w:spacing w:line="291" w:lineRule="auto"/>
              <w:rPr>
                <w:rFonts w:ascii="Arial"/>
                <w:sz w:val="21"/>
              </w:rPr>
            </w:pPr>
          </w:p>
          <w:p w14:paraId="679954F4">
            <w:pPr>
              <w:spacing w:line="291" w:lineRule="auto"/>
              <w:rPr>
                <w:rFonts w:ascii="Arial"/>
                <w:sz w:val="21"/>
              </w:rPr>
            </w:pPr>
          </w:p>
          <w:p w14:paraId="427816B7">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3DE6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624" w:type="dxa"/>
            <w:vAlign w:val="top"/>
          </w:tcPr>
          <w:p w14:paraId="50D89DAF">
            <w:pPr>
              <w:spacing w:line="256" w:lineRule="auto"/>
              <w:rPr>
                <w:rFonts w:ascii="Arial"/>
                <w:sz w:val="21"/>
              </w:rPr>
            </w:pPr>
          </w:p>
          <w:p w14:paraId="46AC2BA2">
            <w:pPr>
              <w:spacing w:line="256" w:lineRule="auto"/>
              <w:rPr>
                <w:rFonts w:ascii="Arial"/>
                <w:sz w:val="21"/>
              </w:rPr>
            </w:pPr>
          </w:p>
          <w:p w14:paraId="7BB12CE0">
            <w:pPr>
              <w:spacing w:line="257" w:lineRule="auto"/>
              <w:rPr>
                <w:rFonts w:ascii="Arial"/>
                <w:sz w:val="21"/>
              </w:rPr>
            </w:pPr>
          </w:p>
          <w:p w14:paraId="1191B285">
            <w:pPr>
              <w:spacing w:line="257" w:lineRule="auto"/>
              <w:rPr>
                <w:rFonts w:ascii="Arial"/>
                <w:sz w:val="21"/>
              </w:rPr>
            </w:pPr>
          </w:p>
          <w:p w14:paraId="35F91379">
            <w:pPr>
              <w:spacing w:line="257" w:lineRule="auto"/>
              <w:rPr>
                <w:rFonts w:ascii="Arial"/>
                <w:sz w:val="21"/>
              </w:rPr>
            </w:pPr>
          </w:p>
          <w:p w14:paraId="38E6EF91">
            <w:pPr>
              <w:pStyle w:val="8"/>
              <w:spacing w:before="58" w:line="183" w:lineRule="auto"/>
              <w:ind w:left="231"/>
            </w:pPr>
            <w:r>
              <w:rPr>
                <w:spacing w:val="-4"/>
              </w:rPr>
              <w:t>92</w:t>
            </w:r>
          </w:p>
        </w:tc>
        <w:tc>
          <w:tcPr>
            <w:tcW w:w="1104" w:type="dxa"/>
            <w:vAlign w:val="top"/>
          </w:tcPr>
          <w:p w14:paraId="31412B2A">
            <w:pPr>
              <w:spacing w:line="297" w:lineRule="auto"/>
              <w:rPr>
                <w:rFonts w:ascii="Arial"/>
                <w:sz w:val="21"/>
              </w:rPr>
            </w:pPr>
          </w:p>
          <w:p w14:paraId="02335B14">
            <w:pPr>
              <w:pStyle w:val="8"/>
              <w:spacing w:before="59" w:line="244" w:lineRule="auto"/>
              <w:ind w:left="60" w:right="56"/>
              <w:jc w:val="both"/>
            </w:pPr>
            <w:r>
              <w:rPr>
                <w:spacing w:val="16"/>
              </w:rPr>
              <w:t>对交通运输</w:t>
            </w:r>
            <w:r>
              <w:rPr>
                <w:spacing w:val="1"/>
              </w:rPr>
              <w:t xml:space="preserve"> </w:t>
            </w:r>
            <w:r>
              <w:rPr>
                <w:spacing w:val="16"/>
              </w:rPr>
              <w:t>建设工程领</w:t>
            </w:r>
            <w:r>
              <w:t xml:space="preserve"> </w:t>
            </w:r>
            <w:r>
              <w:rPr>
                <w:spacing w:val="16"/>
              </w:rPr>
              <w:t>域检测机构</w:t>
            </w:r>
            <w:r>
              <w:t xml:space="preserve"> </w:t>
            </w:r>
            <w:r>
              <w:rPr>
                <w:spacing w:val="-17"/>
              </w:rPr>
              <w:t>名称、注册地</w:t>
            </w:r>
            <w:r>
              <w:rPr>
                <w:spacing w:val="2"/>
              </w:rPr>
              <w:t xml:space="preserve"> </w:t>
            </w:r>
            <w:r>
              <w:rPr>
                <w:spacing w:val="16"/>
              </w:rPr>
              <w:t>址等事项发</w:t>
            </w:r>
            <w:r>
              <w:t xml:space="preserve"> </w:t>
            </w:r>
            <w:r>
              <w:rPr>
                <w:spacing w:val="15"/>
              </w:rPr>
              <w:t>生变更未按</w:t>
            </w:r>
            <w:r>
              <w:rPr>
                <w:spacing w:val="3"/>
              </w:rPr>
              <w:t xml:space="preserve"> </w:t>
            </w:r>
            <w:r>
              <w:rPr>
                <w:spacing w:val="16"/>
              </w:rPr>
              <w:t>照规定申请</w:t>
            </w:r>
            <w:r>
              <w:t xml:space="preserve"> </w:t>
            </w:r>
            <w:r>
              <w:rPr>
                <w:spacing w:val="6"/>
              </w:rPr>
              <w:t>变更</w:t>
            </w:r>
            <w:r>
              <w:rPr>
                <w:spacing w:val="-42"/>
              </w:rPr>
              <w:t xml:space="preserve"> </w:t>
            </w:r>
            <w:r>
              <w:rPr>
                <w:spacing w:val="6"/>
              </w:rPr>
              <w:t>的行政</w:t>
            </w:r>
            <w:r>
              <w:t xml:space="preserve"> </w:t>
            </w:r>
            <w:r>
              <w:rPr>
                <w:spacing w:val="-2"/>
              </w:rPr>
              <w:t>处罚</w:t>
            </w:r>
          </w:p>
        </w:tc>
        <w:tc>
          <w:tcPr>
            <w:tcW w:w="1104" w:type="dxa"/>
            <w:vAlign w:val="top"/>
          </w:tcPr>
          <w:p w14:paraId="0F5EA37B">
            <w:pPr>
              <w:spacing w:line="250" w:lineRule="auto"/>
              <w:rPr>
                <w:rFonts w:ascii="Arial"/>
                <w:sz w:val="21"/>
              </w:rPr>
            </w:pPr>
          </w:p>
          <w:p w14:paraId="4B5E9D18">
            <w:pPr>
              <w:spacing w:line="251" w:lineRule="auto"/>
              <w:rPr>
                <w:rFonts w:ascii="Arial"/>
                <w:sz w:val="21"/>
              </w:rPr>
            </w:pPr>
          </w:p>
          <w:p w14:paraId="7F499032">
            <w:pPr>
              <w:spacing w:line="251" w:lineRule="auto"/>
              <w:rPr>
                <w:rFonts w:ascii="Arial"/>
                <w:sz w:val="21"/>
              </w:rPr>
            </w:pPr>
          </w:p>
          <w:p w14:paraId="59565DA7">
            <w:pPr>
              <w:spacing w:line="251" w:lineRule="auto"/>
              <w:rPr>
                <w:rFonts w:ascii="Arial"/>
                <w:sz w:val="21"/>
              </w:rPr>
            </w:pPr>
          </w:p>
          <w:p w14:paraId="51268FDA">
            <w:pPr>
              <w:spacing w:line="251" w:lineRule="auto"/>
              <w:rPr>
                <w:rFonts w:ascii="Arial"/>
                <w:sz w:val="21"/>
              </w:rPr>
            </w:pPr>
          </w:p>
          <w:p w14:paraId="015E81DC">
            <w:pPr>
              <w:pStyle w:val="8"/>
              <w:spacing w:before="59" w:line="220" w:lineRule="auto"/>
              <w:ind w:left="10"/>
            </w:pPr>
            <w:r>
              <w:rPr>
                <w:spacing w:val="-2"/>
              </w:rPr>
              <w:t>行政处罚</w:t>
            </w:r>
          </w:p>
        </w:tc>
        <w:tc>
          <w:tcPr>
            <w:tcW w:w="8549" w:type="dxa"/>
            <w:vAlign w:val="top"/>
          </w:tcPr>
          <w:p w14:paraId="141919EB">
            <w:pPr>
              <w:spacing w:line="419" w:lineRule="auto"/>
              <w:rPr>
                <w:rFonts w:ascii="Arial"/>
                <w:sz w:val="21"/>
              </w:rPr>
            </w:pPr>
          </w:p>
          <w:p w14:paraId="0B9F7B06">
            <w:pPr>
              <w:pStyle w:val="8"/>
              <w:spacing w:before="59" w:line="219" w:lineRule="auto"/>
              <w:ind w:left="476"/>
            </w:pPr>
            <w:r>
              <w:rPr>
                <w:b/>
                <w:bCs/>
                <w:spacing w:val="-3"/>
              </w:rPr>
              <w:t>《公路水运工程质量检测管理办法》（交通运输部令</w:t>
            </w:r>
            <w:r>
              <w:rPr>
                <w:spacing w:val="-35"/>
              </w:rPr>
              <w:t xml:space="preserve"> </w:t>
            </w:r>
            <w:r>
              <w:rPr>
                <w:b/>
                <w:bCs/>
                <w:spacing w:val="-3"/>
              </w:rPr>
              <w:t>2023</w:t>
            </w:r>
            <w:r>
              <w:rPr>
                <w:spacing w:val="-38"/>
              </w:rPr>
              <w:t xml:space="preserve"> </w:t>
            </w:r>
            <w:r>
              <w:rPr>
                <w:b/>
                <w:bCs/>
                <w:spacing w:val="-3"/>
              </w:rPr>
              <w:t>年第</w:t>
            </w:r>
            <w:r>
              <w:rPr>
                <w:spacing w:val="-36"/>
              </w:rPr>
              <w:t xml:space="preserve"> </w:t>
            </w:r>
            <w:r>
              <w:rPr>
                <w:b/>
                <w:bCs/>
                <w:spacing w:val="-3"/>
              </w:rPr>
              <w:t>9</w:t>
            </w:r>
            <w:r>
              <w:rPr>
                <w:spacing w:val="-32"/>
              </w:rPr>
              <w:t xml:space="preserve"> </w:t>
            </w:r>
            <w:r>
              <w:rPr>
                <w:b/>
                <w:bCs/>
                <w:spacing w:val="-3"/>
              </w:rPr>
              <w:t>号）</w:t>
            </w:r>
          </w:p>
          <w:p w14:paraId="0C5095D8">
            <w:pPr>
              <w:pStyle w:val="8"/>
              <w:spacing w:before="25" w:line="233" w:lineRule="auto"/>
              <w:ind w:left="111" w:right="159" w:firstLine="359"/>
            </w:pPr>
            <w:r>
              <w:t>第二十三条  检测机构的名称、注册地址、检测场所地址、法定代表人、行政负</w:t>
            </w:r>
            <w:r>
              <w:rPr>
                <w:spacing w:val="-1"/>
              </w:rPr>
              <w:t>责人、技术负责人和</w:t>
            </w:r>
            <w:r>
              <w:t xml:space="preserve"> </w:t>
            </w:r>
            <w:r>
              <w:rPr>
                <w:spacing w:val="-1"/>
              </w:rPr>
              <w:t>质量负责人等事项发生变更的，检测机构应当在完成变更后</w:t>
            </w:r>
            <w:r>
              <w:rPr>
                <w:spacing w:val="-25"/>
              </w:rPr>
              <w:t xml:space="preserve"> </w:t>
            </w:r>
            <w:r>
              <w:rPr>
                <w:spacing w:val="-1"/>
              </w:rPr>
              <w:t>10</w:t>
            </w:r>
            <w:r>
              <w:rPr>
                <w:spacing w:val="-40"/>
              </w:rPr>
              <w:t xml:space="preserve"> </w:t>
            </w:r>
            <w:r>
              <w:rPr>
                <w:spacing w:val="-1"/>
              </w:rPr>
              <w:t>个</w:t>
            </w:r>
            <w:r>
              <w:rPr>
                <w:spacing w:val="-2"/>
              </w:rPr>
              <w:t>工作日内向原许可机关申请变更。</w:t>
            </w:r>
          </w:p>
          <w:p w14:paraId="0B43E784">
            <w:pPr>
              <w:pStyle w:val="8"/>
              <w:spacing w:before="25" w:line="233" w:lineRule="auto"/>
              <w:ind w:left="114" w:right="104" w:firstLine="359"/>
            </w:pPr>
            <w:r>
              <w:rPr>
                <w:spacing w:val="-2"/>
              </w:rPr>
              <w:t>发生检测场所地址变更的，许可机关应当选派</w:t>
            </w:r>
            <w:r>
              <w:rPr>
                <w:spacing w:val="-37"/>
              </w:rPr>
              <w:t xml:space="preserve"> </w:t>
            </w:r>
            <w:r>
              <w:rPr>
                <w:spacing w:val="-2"/>
              </w:rPr>
              <w:t>2</w:t>
            </w:r>
            <w:r>
              <w:rPr>
                <w:spacing w:val="-34"/>
              </w:rPr>
              <w:t xml:space="preserve"> </w:t>
            </w:r>
            <w:r>
              <w:rPr>
                <w:spacing w:val="-2"/>
              </w:rPr>
              <w:t>名以上专家进行现场核查，并在</w:t>
            </w:r>
            <w:r>
              <w:rPr>
                <w:spacing w:val="-27"/>
              </w:rPr>
              <w:t xml:space="preserve"> </w:t>
            </w:r>
            <w:r>
              <w:rPr>
                <w:spacing w:val="-2"/>
              </w:rPr>
              <w:t>15</w:t>
            </w:r>
            <w:r>
              <w:rPr>
                <w:spacing w:val="-38"/>
              </w:rPr>
              <w:t xml:space="preserve"> </w:t>
            </w:r>
            <w:r>
              <w:rPr>
                <w:spacing w:val="-2"/>
              </w:rPr>
              <w:t>个工作日内办理完</w:t>
            </w:r>
            <w:r>
              <w:t xml:space="preserve"> </w:t>
            </w:r>
            <w:r>
              <w:rPr>
                <w:spacing w:val="-2"/>
              </w:rPr>
              <w:t>毕；其他变更事项许可机关应当在</w:t>
            </w:r>
            <w:r>
              <w:rPr>
                <w:spacing w:val="-34"/>
              </w:rPr>
              <w:t xml:space="preserve"> </w:t>
            </w:r>
            <w:r>
              <w:rPr>
                <w:spacing w:val="-2"/>
              </w:rPr>
              <w:t>5</w:t>
            </w:r>
            <w:r>
              <w:rPr>
                <w:spacing w:val="-39"/>
              </w:rPr>
              <w:t xml:space="preserve"> </w:t>
            </w:r>
            <w:r>
              <w:rPr>
                <w:spacing w:val="-2"/>
              </w:rPr>
              <w:t>个工作日内办理完毕。</w:t>
            </w:r>
          </w:p>
          <w:p w14:paraId="20751DFC">
            <w:pPr>
              <w:pStyle w:val="8"/>
              <w:spacing w:before="26" w:line="219" w:lineRule="auto"/>
              <w:ind w:left="471"/>
            </w:pPr>
            <w:r>
              <w:rPr>
                <w:spacing w:val="-1"/>
              </w:rPr>
              <w:t>检测机构发生合并、分立、重组、改制等情形的，应当按照本办法的规定重新提交资质申请。</w:t>
            </w:r>
          </w:p>
          <w:p w14:paraId="4D3E3CC3">
            <w:pPr>
              <w:pStyle w:val="8"/>
              <w:spacing w:before="27" w:line="232" w:lineRule="auto"/>
              <w:ind w:left="109" w:right="60" w:firstLine="361"/>
            </w:pPr>
            <w:r>
              <w:rPr>
                <w:spacing w:val="-2"/>
              </w:rPr>
              <w:t>第五十一条  检测机构未按照本办法第二十三条规定申请变更的，由交通运输主管部门责令限期办理；</w:t>
            </w:r>
            <w:r>
              <w:rPr>
                <w:spacing w:val="3"/>
              </w:rPr>
              <w:t xml:space="preserve"> </w:t>
            </w:r>
            <w:r>
              <w:rPr>
                <w:spacing w:val="-2"/>
              </w:rPr>
              <w:t>逾期未办理的，给予警告或者通报批评。</w:t>
            </w:r>
          </w:p>
        </w:tc>
        <w:tc>
          <w:tcPr>
            <w:tcW w:w="1014" w:type="dxa"/>
            <w:vAlign w:val="top"/>
          </w:tcPr>
          <w:p w14:paraId="7AFC114B">
            <w:pPr>
              <w:spacing w:line="283" w:lineRule="auto"/>
              <w:rPr>
                <w:rFonts w:ascii="Arial"/>
                <w:sz w:val="21"/>
              </w:rPr>
            </w:pPr>
          </w:p>
          <w:p w14:paraId="23FB56D5">
            <w:pPr>
              <w:spacing w:line="284" w:lineRule="auto"/>
              <w:rPr>
                <w:rFonts w:ascii="Arial"/>
                <w:sz w:val="21"/>
              </w:rPr>
            </w:pPr>
          </w:p>
          <w:p w14:paraId="4218419A">
            <w:pPr>
              <w:spacing w:line="284" w:lineRule="auto"/>
              <w:rPr>
                <w:rFonts w:ascii="Arial"/>
                <w:sz w:val="21"/>
              </w:rPr>
            </w:pPr>
          </w:p>
          <w:p w14:paraId="74E1CAF9">
            <w:pPr>
              <w:spacing w:line="284" w:lineRule="auto"/>
              <w:rPr>
                <w:rFonts w:ascii="Arial"/>
                <w:sz w:val="21"/>
              </w:rPr>
            </w:pPr>
          </w:p>
          <w:p w14:paraId="0107E586">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51F950F2">
            <w:pPr>
              <w:spacing w:line="283" w:lineRule="auto"/>
              <w:rPr>
                <w:rFonts w:ascii="Arial"/>
                <w:sz w:val="21"/>
              </w:rPr>
            </w:pPr>
          </w:p>
          <w:p w14:paraId="1B9FAE08">
            <w:pPr>
              <w:spacing w:line="284" w:lineRule="auto"/>
              <w:rPr>
                <w:rFonts w:ascii="Arial"/>
                <w:sz w:val="21"/>
              </w:rPr>
            </w:pPr>
          </w:p>
          <w:p w14:paraId="2996E4B7">
            <w:pPr>
              <w:spacing w:line="284" w:lineRule="auto"/>
              <w:rPr>
                <w:rFonts w:ascii="Arial"/>
                <w:sz w:val="21"/>
              </w:rPr>
            </w:pPr>
          </w:p>
          <w:p w14:paraId="45AD57F5">
            <w:pPr>
              <w:spacing w:line="284" w:lineRule="auto"/>
              <w:rPr>
                <w:rFonts w:ascii="Arial"/>
                <w:sz w:val="21"/>
              </w:rPr>
            </w:pPr>
          </w:p>
          <w:p w14:paraId="65A0B592">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D91F593">
            <w:pPr>
              <w:spacing w:line="299" w:lineRule="auto"/>
              <w:rPr>
                <w:rFonts w:ascii="Arial"/>
                <w:sz w:val="21"/>
              </w:rPr>
            </w:pPr>
          </w:p>
          <w:p w14:paraId="69F682CE">
            <w:pPr>
              <w:spacing w:line="299" w:lineRule="auto"/>
              <w:rPr>
                <w:rFonts w:ascii="Arial"/>
                <w:sz w:val="21"/>
              </w:rPr>
            </w:pPr>
          </w:p>
          <w:p w14:paraId="2645AFE0">
            <w:pPr>
              <w:spacing w:line="300" w:lineRule="auto"/>
              <w:rPr>
                <w:rFonts w:ascii="Arial"/>
                <w:sz w:val="21"/>
              </w:rPr>
            </w:pPr>
          </w:p>
          <w:p w14:paraId="22674BFD">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0DC95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1" w:hRule="atLeast"/>
        </w:trPr>
        <w:tc>
          <w:tcPr>
            <w:tcW w:w="624" w:type="dxa"/>
            <w:vAlign w:val="top"/>
          </w:tcPr>
          <w:p w14:paraId="7CE4E6EF">
            <w:pPr>
              <w:spacing w:line="276" w:lineRule="auto"/>
              <w:rPr>
                <w:rFonts w:ascii="Arial"/>
                <w:sz w:val="21"/>
              </w:rPr>
            </w:pPr>
          </w:p>
          <w:p w14:paraId="7B0B53EB">
            <w:pPr>
              <w:spacing w:line="276" w:lineRule="auto"/>
              <w:rPr>
                <w:rFonts w:ascii="Arial"/>
                <w:sz w:val="21"/>
              </w:rPr>
            </w:pPr>
          </w:p>
          <w:p w14:paraId="5591F44C">
            <w:pPr>
              <w:spacing w:line="276" w:lineRule="auto"/>
              <w:rPr>
                <w:rFonts w:ascii="Arial"/>
                <w:sz w:val="21"/>
              </w:rPr>
            </w:pPr>
          </w:p>
          <w:p w14:paraId="30E6F729">
            <w:pPr>
              <w:spacing w:line="276" w:lineRule="auto"/>
              <w:rPr>
                <w:rFonts w:ascii="Arial"/>
                <w:sz w:val="21"/>
              </w:rPr>
            </w:pPr>
          </w:p>
          <w:p w14:paraId="48B5D3A7">
            <w:pPr>
              <w:spacing w:line="276" w:lineRule="auto"/>
              <w:rPr>
                <w:rFonts w:ascii="Arial"/>
                <w:sz w:val="21"/>
              </w:rPr>
            </w:pPr>
          </w:p>
          <w:p w14:paraId="2C5FB216">
            <w:pPr>
              <w:pStyle w:val="8"/>
              <w:spacing w:before="59" w:line="183" w:lineRule="auto"/>
              <w:ind w:left="231"/>
            </w:pPr>
            <w:r>
              <w:rPr>
                <w:spacing w:val="-4"/>
              </w:rPr>
              <w:t>93</w:t>
            </w:r>
          </w:p>
        </w:tc>
        <w:tc>
          <w:tcPr>
            <w:tcW w:w="1104" w:type="dxa"/>
            <w:vAlign w:val="top"/>
          </w:tcPr>
          <w:p w14:paraId="453DA559">
            <w:pPr>
              <w:spacing w:line="395" w:lineRule="auto"/>
              <w:rPr>
                <w:rFonts w:ascii="Arial"/>
                <w:sz w:val="21"/>
              </w:rPr>
            </w:pPr>
          </w:p>
          <w:p w14:paraId="71B0E573">
            <w:pPr>
              <w:pStyle w:val="8"/>
              <w:spacing w:before="59" w:line="244" w:lineRule="auto"/>
              <w:ind w:left="61" w:right="56" w:hanging="1"/>
              <w:jc w:val="both"/>
            </w:pPr>
            <w:r>
              <w:rPr>
                <w:spacing w:val="16"/>
              </w:rPr>
              <w:t>对交通运输</w:t>
            </w:r>
            <w:r>
              <w:rPr>
                <w:spacing w:val="1"/>
              </w:rPr>
              <w:t xml:space="preserve"> </w:t>
            </w:r>
            <w:r>
              <w:rPr>
                <w:spacing w:val="16"/>
              </w:rPr>
              <w:t>建设工程领</w:t>
            </w:r>
            <w:r>
              <w:t xml:space="preserve"> </w:t>
            </w:r>
            <w:r>
              <w:rPr>
                <w:spacing w:val="16"/>
              </w:rPr>
              <w:t>域检测机构</w:t>
            </w:r>
            <w:r>
              <w:t xml:space="preserve"> </w:t>
            </w:r>
            <w:r>
              <w:rPr>
                <w:spacing w:val="16"/>
              </w:rPr>
              <w:t>出具虚假检</w:t>
            </w:r>
            <w:r>
              <w:t xml:space="preserve"> </w:t>
            </w:r>
            <w:r>
              <w:rPr>
                <w:spacing w:val="6"/>
              </w:rPr>
              <w:t>测报告，</w:t>
            </w:r>
            <w:r>
              <w:rPr>
                <w:spacing w:val="-40"/>
              </w:rPr>
              <w:t xml:space="preserve"> </w:t>
            </w:r>
            <w:r>
              <w:rPr>
                <w:spacing w:val="6"/>
              </w:rPr>
              <w:t>篡</w:t>
            </w:r>
            <w:r>
              <w:t xml:space="preserve"> </w:t>
            </w:r>
            <w:r>
              <w:rPr>
                <w:spacing w:val="-2"/>
              </w:rPr>
              <w:t>改、伪造检</w:t>
            </w:r>
            <w:r>
              <w:t xml:space="preserve">  </w:t>
            </w:r>
            <w:r>
              <w:rPr>
                <w:spacing w:val="15"/>
              </w:rPr>
              <w:t>测报告等行</w:t>
            </w:r>
            <w:r>
              <w:rPr>
                <w:spacing w:val="2"/>
              </w:rPr>
              <w:t xml:space="preserve"> </w:t>
            </w:r>
            <w:r>
              <w:rPr>
                <w:spacing w:val="16"/>
              </w:rPr>
              <w:t>为的行政处</w:t>
            </w:r>
            <w:r>
              <w:t xml:space="preserve"> 罚</w:t>
            </w:r>
          </w:p>
        </w:tc>
        <w:tc>
          <w:tcPr>
            <w:tcW w:w="1104" w:type="dxa"/>
            <w:vAlign w:val="top"/>
          </w:tcPr>
          <w:p w14:paraId="68A59AFB">
            <w:pPr>
              <w:spacing w:line="270" w:lineRule="auto"/>
              <w:rPr>
                <w:rFonts w:ascii="Arial"/>
                <w:sz w:val="21"/>
              </w:rPr>
            </w:pPr>
          </w:p>
          <w:p w14:paraId="2C64C595">
            <w:pPr>
              <w:spacing w:line="270" w:lineRule="auto"/>
              <w:rPr>
                <w:rFonts w:ascii="Arial"/>
                <w:sz w:val="21"/>
              </w:rPr>
            </w:pPr>
          </w:p>
          <w:p w14:paraId="0794A101">
            <w:pPr>
              <w:spacing w:line="270" w:lineRule="auto"/>
              <w:rPr>
                <w:rFonts w:ascii="Arial"/>
                <w:sz w:val="21"/>
              </w:rPr>
            </w:pPr>
          </w:p>
          <w:p w14:paraId="75272CB6">
            <w:pPr>
              <w:spacing w:line="271" w:lineRule="auto"/>
              <w:rPr>
                <w:rFonts w:ascii="Arial"/>
                <w:sz w:val="21"/>
              </w:rPr>
            </w:pPr>
          </w:p>
          <w:p w14:paraId="39BC5DDD">
            <w:pPr>
              <w:spacing w:line="271" w:lineRule="auto"/>
              <w:rPr>
                <w:rFonts w:ascii="Arial"/>
                <w:sz w:val="21"/>
              </w:rPr>
            </w:pPr>
          </w:p>
          <w:p w14:paraId="1A7B6048">
            <w:pPr>
              <w:pStyle w:val="8"/>
              <w:spacing w:before="59" w:line="220" w:lineRule="auto"/>
              <w:ind w:left="10"/>
            </w:pPr>
            <w:r>
              <w:rPr>
                <w:spacing w:val="-2"/>
              </w:rPr>
              <w:t>行政处罚</w:t>
            </w:r>
          </w:p>
        </w:tc>
        <w:tc>
          <w:tcPr>
            <w:tcW w:w="8549" w:type="dxa"/>
            <w:vAlign w:val="top"/>
          </w:tcPr>
          <w:p w14:paraId="1A864374">
            <w:pPr>
              <w:spacing w:line="278" w:lineRule="auto"/>
              <w:rPr>
                <w:rFonts w:ascii="Arial"/>
                <w:sz w:val="21"/>
              </w:rPr>
            </w:pPr>
          </w:p>
          <w:p w14:paraId="57BAD7ED">
            <w:pPr>
              <w:pStyle w:val="8"/>
              <w:spacing w:before="59" w:line="219" w:lineRule="auto"/>
              <w:ind w:left="476"/>
            </w:pPr>
            <w:r>
              <w:rPr>
                <w:b/>
                <w:bCs/>
                <w:spacing w:val="-3"/>
              </w:rPr>
              <w:t>《公路水运工程质量检测管理办法》（交通运输部令</w:t>
            </w:r>
            <w:r>
              <w:rPr>
                <w:spacing w:val="-35"/>
              </w:rPr>
              <w:t xml:space="preserve"> </w:t>
            </w:r>
            <w:r>
              <w:rPr>
                <w:b/>
                <w:bCs/>
                <w:spacing w:val="-3"/>
              </w:rPr>
              <w:t>2023</w:t>
            </w:r>
            <w:r>
              <w:rPr>
                <w:spacing w:val="-38"/>
              </w:rPr>
              <w:t xml:space="preserve"> </w:t>
            </w:r>
            <w:r>
              <w:rPr>
                <w:b/>
                <w:bCs/>
                <w:spacing w:val="-3"/>
              </w:rPr>
              <w:t>年第</w:t>
            </w:r>
            <w:r>
              <w:rPr>
                <w:spacing w:val="-36"/>
              </w:rPr>
              <w:t xml:space="preserve"> </w:t>
            </w:r>
            <w:r>
              <w:rPr>
                <w:b/>
                <w:bCs/>
                <w:spacing w:val="-3"/>
              </w:rPr>
              <w:t>9</w:t>
            </w:r>
            <w:r>
              <w:rPr>
                <w:spacing w:val="-32"/>
              </w:rPr>
              <w:t xml:space="preserve"> </w:t>
            </w:r>
            <w:r>
              <w:rPr>
                <w:b/>
                <w:bCs/>
                <w:spacing w:val="-3"/>
              </w:rPr>
              <w:t>号）</w:t>
            </w:r>
          </w:p>
          <w:p w14:paraId="29DBCB82">
            <w:pPr>
              <w:pStyle w:val="8"/>
              <w:spacing w:before="25" w:line="233" w:lineRule="auto"/>
              <w:ind w:left="111" w:right="190" w:firstLine="360"/>
            </w:pPr>
            <w:r>
              <w:rPr>
                <w:spacing w:val="-1"/>
              </w:rPr>
              <w:t>第三十三条  检测机构出具的质量检测报告应当符合规范要求，包括检测项目、参数数量（批次）、</w:t>
            </w:r>
            <w:r>
              <w:rPr>
                <w:spacing w:val="5"/>
              </w:rPr>
              <w:t xml:space="preserve"> </w:t>
            </w:r>
            <w:r>
              <w:rPr>
                <w:spacing w:val="-1"/>
              </w:rPr>
              <w:t>检测依据、检测场所地址、检测数据、检测结果</w:t>
            </w:r>
            <w:r>
              <w:rPr>
                <w:spacing w:val="-2"/>
              </w:rPr>
              <w:t>等相关信息。</w:t>
            </w:r>
          </w:p>
          <w:p w14:paraId="717832FA">
            <w:pPr>
              <w:pStyle w:val="8"/>
              <w:spacing w:before="26" w:line="218" w:lineRule="auto"/>
              <w:ind w:left="471"/>
            </w:pPr>
            <w:r>
              <w:rPr>
                <w:spacing w:val="-2"/>
              </w:rPr>
              <w:t>检测机构不得出具虚假检测报告，不得篡改或者伪造检测报告。</w:t>
            </w:r>
          </w:p>
          <w:p w14:paraId="60F7EA0B">
            <w:pPr>
              <w:pStyle w:val="8"/>
              <w:spacing w:before="27" w:line="219" w:lineRule="auto"/>
              <w:ind w:left="471"/>
            </w:pPr>
            <w:r>
              <w:rPr>
                <w:spacing w:val="-1"/>
              </w:rPr>
              <w:t>第三十五条  检测机构依据合同承担公路水运工程质量检测业务，不得转包、违规分包。</w:t>
            </w:r>
          </w:p>
          <w:p w14:paraId="73CABCA1">
            <w:pPr>
              <w:pStyle w:val="8"/>
              <w:spacing w:before="27" w:line="237" w:lineRule="auto"/>
              <w:ind w:left="110" w:right="104" w:firstLine="360"/>
            </w:pPr>
            <w:r>
              <w:rPr>
                <w:spacing w:val="-1"/>
              </w:rPr>
              <w:t>第五十二条  检测机构违反本办法规定，有下列行为之一的，由交通运输主管部门责令改正，处</w:t>
            </w:r>
            <w:r>
              <w:rPr>
                <w:spacing w:val="-19"/>
              </w:rPr>
              <w:t xml:space="preserve"> </w:t>
            </w:r>
            <w:r>
              <w:rPr>
                <w:spacing w:val="-1"/>
              </w:rPr>
              <w:t>1</w:t>
            </w:r>
            <w:r>
              <w:rPr>
                <w:spacing w:val="-35"/>
              </w:rPr>
              <w:t xml:space="preserve"> </w:t>
            </w:r>
            <w:r>
              <w:rPr>
                <w:spacing w:val="-1"/>
              </w:rPr>
              <w:t>万</w:t>
            </w:r>
            <w:r>
              <w:t xml:space="preserve"> </w:t>
            </w:r>
            <w:r>
              <w:rPr>
                <w:spacing w:val="-2"/>
              </w:rPr>
              <w:t>元以上</w:t>
            </w:r>
            <w:r>
              <w:rPr>
                <w:spacing w:val="-34"/>
              </w:rPr>
              <w:t xml:space="preserve"> </w:t>
            </w:r>
            <w:r>
              <w:rPr>
                <w:spacing w:val="-2"/>
              </w:rPr>
              <w:t>3</w:t>
            </w:r>
            <w:r>
              <w:rPr>
                <w:spacing w:val="-34"/>
              </w:rPr>
              <w:t xml:space="preserve"> </w:t>
            </w:r>
            <w:r>
              <w:rPr>
                <w:spacing w:val="-2"/>
              </w:rPr>
              <w:t>万元以下罚款；造成危害后果的，处</w:t>
            </w:r>
            <w:r>
              <w:rPr>
                <w:spacing w:val="-36"/>
              </w:rPr>
              <w:t xml:space="preserve"> </w:t>
            </w:r>
            <w:r>
              <w:rPr>
                <w:spacing w:val="-2"/>
              </w:rPr>
              <w:t>3</w:t>
            </w:r>
            <w:r>
              <w:rPr>
                <w:spacing w:val="-32"/>
              </w:rPr>
              <w:t xml:space="preserve"> </w:t>
            </w:r>
            <w:r>
              <w:rPr>
                <w:spacing w:val="-2"/>
              </w:rPr>
              <w:t>万元以上</w:t>
            </w:r>
            <w:r>
              <w:rPr>
                <w:spacing w:val="-26"/>
              </w:rPr>
              <w:t xml:space="preserve"> </w:t>
            </w:r>
            <w:r>
              <w:rPr>
                <w:spacing w:val="-3"/>
              </w:rPr>
              <w:t>10</w:t>
            </w:r>
            <w:r>
              <w:rPr>
                <w:spacing w:val="-35"/>
              </w:rPr>
              <w:t xml:space="preserve"> </w:t>
            </w:r>
            <w:r>
              <w:rPr>
                <w:spacing w:val="-3"/>
              </w:rPr>
              <w:t>万元以下罚款；构成犯罪的，依法追究刑事责</w:t>
            </w:r>
            <w:r>
              <w:t xml:space="preserve"> </w:t>
            </w:r>
            <w:r>
              <w:rPr>
                <w:spacing w:val="-12"/>
              </w:rPr>
              <w:t>任：</w:t>
            </w:r>
          </w:p>
          <w:p w14:paraId="4568A3D8">
            <w:pPr>
              <w:pStyle w:val="8"/>
              <w:spacing w:before="26" w:line="218" w:lineRule="auto"/>
              <w:ind w:left="481"/>
            </w:pPr>
            <w:r>
              <w:rPr>
                <w:spacing w:val="-3"/>
              </w:rPr>
              <w:t>（一）出具虚假检测报告，篡改、伪造检测报告的；</w:t>
            </w:r>
          </w:p>
          <w:p w14:paraId="0AC5E76F">
            <w:pPr>
              <w:pStyle w:val="8"/>
              <w:spacing w:before="28" w:line="219" w:lineRule="auto"/>
              <w:ind w:left="481"/>
            </w:pPr>
            <w:r>
              <w:rPr>
                <w:spacing w:val="-3"/>
              </w:rPr>
              <w:t>（二）将检测业务转包、违规分包的。</w:t>
            </w:r>
          </w:p>
        </w:tc>
        <w:tc>
          <w:tcPr>
            <w:tcW w:w="1014" w:type="dxa"/>
            <w:vAlign w:val="top"/>
          </w:tcPr>
          <w:p w14:paraId="269C407D">
            <w:pPr>
              <w:spacing w:line="246" w:lineRule="auto"/>
              <w:rPr>
                <w:rFonts w:ascii="Arial"/>
                <w:sz w:val="21"/>
              </w:rPr>
            </w:pPr>
          </w:p>
          <w:p w14:paraId="75F8FF1D">
            <w:pPr>
              <w:spacing w:line="246" w:lineRule="auto"/>
              <w:rPr>
                <w:rFonts w:ascii="Arial"/>
                <w:sz w:val="21"/>
              </w:rPr>
            </w:pPr>
          </w:p>
          <w:p w14:paraId="045FEE37">
            <w:pPr>
              <w:spacing w:line="247" w:lineRule="auto"/>
              <w:rPr>
                <w:rFonts w:ascii="Arial"/>
                <w:sz w:val="21"/>
              </w:rPr>
            </w:pPr>
          </w:p>
          <w:p w14:paraId="79ECA619">
            <w:pPr>
              <w:spacing w:line="247" w:lineRule="auto"/>
              <w:rPr>
                <w:rFonts w:ascii="Arial"/>
                <w:sz w:val="21"/>
              </w:rPr>
            </w:pPr>
          </w:p>
          <w:p w14:paraId="7037A518">
            <w:pPr>
              <w:spacing w:line="247" w:lineRule="auto"/>
              <w:rPr>
                <w:rFonts w:ascii="Arial"/>
                <w:sz w:val="21"/>
              </w:rPr>
            </w:pPr>
          </w:p>
          <w:p w14:paraId="05985FB9">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24983D9F">
            <w:pPr>
              <w:spacing w:line="246" w:lineRule="auto"/>
              <w:rPr>
                <w:rFonts w:ascii="Arial"/>
                <w:sz w:val="21"/>
              </w:rPr>
            </w:pPr>
          </w:p>
          <w:p w14:paraId="5AC51C7E">
            <w:pPr>
              <w:spacing w:line="246" w:lineRule="auto"/>
              <w:rPr>
                <w:rFonts w:ascii="Arial"/>
                <w:sz w:val="21"/>
              </w:rPr>
            </w:pPr>
          </w:p>
          <w:p w14:paraId="5282A054">
            <w:pPr>
              <w:spacing w:line="247" w:lineRule="auto"/>
              <w:rPr>
                <w:rFonts w:ascii="Arial"/>
                <w:sz w:val="21"/>
              </w:rPr>
            </w:pPr>
          </w:p>
          <w:p w14:paraId="287B27A0">
            <w:pPr>
              <w:spacing w:line="247" w:lineRule="auto"/>
              <w:rPr>
                <w:rFonts w:ascii="Arial"/>
                <w:sz w:val="21"/>
              </w:rPr>
            </w:pPr>
          </w:p>
          <w:p w14:paraId="6FAB3D13">
            <w:pPr>
              <w:spacing w:line="247" w:lineRule="auto"/>
              <w:rPr>
                <w:rFonts w:ascii="Arial"/>
                <w:sz w:val="21"/>
              </w:rPr>
            </w:pPr>
          </w:p>
          <w:p w14:paraId="60B40272">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5FDC41AE">
            <w:pPr>
              <w:spacing w:line="249" w:lineRule="auto"/>
              <w:rPr>
                <w:rFonts w:ascii="Arial"/>
                <w:sz w:val="21"/>
              </w:rPr>
            </w:pPr>
          </w:p>
          <w:p w14:paraId="1B5C0450">
            <w:pPr>
              <w:spacing w:line="249" w:lineRule="auto"/>
              <w:rPr>
                <w:rFonts w:ascii="Arial"/>
                <w:sz w:val="21"/>
              </w:rPr>
            </w:pPr>
          </w:p>
          <w:p w14:paraId="2A36D691">
            <w:pPr>
              <w:spacing w:line="249" w:lineRule="auto"/>
              <w:rPr>
                <w:rFonts w:ascii="Arial"/>
                <w:sz w:val="21"/>
              </w:rPr>
            </w:pPr>
          </w:p>
          <w:p w14:paraId="6733D809">
            <w:pPr>
              <w:spacing w:line="249" w:lineRule="auto"/>
              <w:rPr>
                <w:rFonts w:ascii="Arial"/>
                <w:sz w:val="21"/>
              </w:rPr>
            </w:pPr>
          </w:p>
          <w:p w14:paraId="65DD6213">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26737F66">
      <w:pPr>
        <w:pStyle w:val="2"/>
      </w:pPr>
    </w:p>
    <w:p w14:paraId="5CC9FDF9">
      <w:pPr>
        <w:sectPr>
          <w:footerReference r:id="rId122" w:type="default"/>
          <w:pgSz w:w="16839" w:h="11906"/>
          <w:pgMar w:top="1012" w:right="991" w:bottom="967" w:left="1021" w:header="0" w:footer="768" w:gutter="0"/>
          <w:cols w:space="720" w:num="1"/>
        </w:sectPr>
      </w:pPr>
    </w:p>
    <w:p w14:paraId="459B7526">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18ABE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34EEBCD9">
            <w:pPr>
              <w:pStyle w:val="8"/>
              <w:spacing w:before="267" w:line="221" w:lineRule="auto"/>
              <w:ind w:left="134"/>
            </w:pPr>
            <w:r>
              <w:rPr>
                <w:b/>
                <w:bCs/>
                <w:spacing w:val="-4"/>
              </w:rPr>
              <w:t>序号</w:t>
            </w:r>
          </w:p>
        </w:tc>
        <w:tc>
          <w:tcPr>
            <w:tcW w:w="1104" w:type="dxa"/>
            <w:vMerge w:val="restart"/>
            <w:tcBorders>
              <w:bottom w:val="nil"/>
            </w:tcBorders>
            <w:vAlign w:val="top"/>
          </w:tcPr>
          <w:p w14:paraId="475BB80D">
            <w:pPr>
              <w:pStyle w:val="8"/>
              <w:spacing w:before="260" w:line="220" w:lineRule="auto"/>
              <w:ind w:left="192"/>
            </w:pPr>
            <w:r>
              <w:rPr>
                <w:b/>
                <w:bCs/>
                <w:spacing w:val="-4"/>
              </w:rPr>
              <w:t>事项名称</w:t>
            </w:r>
          </w:p>
        </w:tc>
        <w:tc>
          <w:tcPr>
            <w:tcW w:w="1104" w:type="dxa"/>
            <w:vMerge w:val="restart"/>
            <w:tcBorders>
              <w:bottom w:val="nil"/>
            </w:tcBorders>
            <w:vAlign w:val="top"/>
          </w:tcPr>
          <w:p w14:paraId="446ABFF7">
            <w:pPr>
              <w:pStyle w:val="8"/>
              <w:spacing w:before="260" w:line="219" w:lineRule="auto"/>
              <w:ind w:left="193"/>
            </w:pPr>
            <w:r>
              <w:rPr>
                <w:b/>
                <w:bCs/>
                <w:spacing w:val="-4"/>
              </w:rPr>
              <w:t>职权类型</w:t>
            </w:r>
          </w:p>
        </w:tc>
        <w:tc>
          <w:tcPr>
            <w:tcW w:w="8549" w:type="dxa"/>
            <w:vMerge w:val="restart"/>
            <w:tcBorders>
              <w:bottom w:val="nil"/>
            </w:tcBorders>
            <w:vAlign w:val="top"/>
          </w:tcPr>
          <w:p w14:paraId="24095A5A">
            <w:pPr>
              <w:pStyle w:val="8"/>
              <w:spacing w:before="259" w:line="219" w:lineRule="auto"/>
              <w:ind w:left="3921"/>
            </w:pPr>
            <w:r>
              <w:rPr>
                <w:b/>
                <w:bCs/>
                <w:spacing w:val="-5"/>
              </w:rPr>
              <w:t>实施依据</w:t>
            </w:r>
          </w:p>
        </w:tc>
        <w:tc>
          <w:tcPr>
            <w:tcW w:w="3439" w:type="dxa"/>
            <w:gridSpan w:val="3"/>
            <w:vAlign w:val="top"/>
          </w:tcPr>
          <w:p w14:paraId="452FE0C0">
            <w:pPr>
              <w:pStyle w:val="8"/>
              <w:spacing w:before="85" w:line="220" w:lineRule="auto"/>
              <w:ind w:left="1365"/>
            </w:pPr>
            <w:r>
              <w:rPr>
                <w:b/>
                <w:bCs/>
                <w:spacing w:val="-5"/>
              </w:rPr>
              <w:t>实施主体</w:t>
            </w:r>
          </w:p>
        </w:tc>
      </w:tr>
      <w:tr w14:paraId="3B013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4ABFDFF6">
            <w:pPr>
              <w:rPr>
                <w:rFonts w:ascii="Arial"/>
                <w:sz w:val="21"/>
              </w:rPr>
            </w:pPr>
          </w:p>
        </w:tc>
        <w:tc>
          <w:tcPr>
            <w:tcW w:w="1104" w:type="dxa"/>
            <w:vMerge w:val="continue"/>
            <w:tcBorders>
              <w:top w:val="nil"/>
            </w:tcBorders>
            <w:vAlign w:val="top"/>
          </w:tcPr>
          <w:p w14:paraId="3FE904AB">
            <w:pPr>
              <w:rPr>
                <w:rFonts w:ascii="Arial"/>
                <w:sz w:val="21"/>
              </w:rPr>
            </w:pPr>
          </w:p>
        </w:tc>
        <w:tc>
          <w:tcPr>
            <w:tcW w:w="1104" w:type="dxa"/>
            <w:vMerge w:val="continue"/>
            <w:tcBorders>
              <w:top w:val="nil"/>
            </w:tcBorders>
            <w:vAlign w:val="top"/>
          </w:tcPr>
          <w:p w14:paraId="7A5B0078">
            <w:pPr>
              <w:rPr>
                <w:rFonts w:ascii="Arial"/>
                <w:sz w:val="21"/>
              </w:rPr>
            </w:pPr>
          </w:p>
        </w:tc>
        <w:tc>
          <w:tcPr>
            <w:tcW w:w="8549" w:type="dxa"/>
            <w:vMerge w:val="continue"/>
            <w:tcBorders>
              <w:top w:val="nil"/>
            </w:tcBorders>
            <w:vAlign w:val="top"/>
          </w:tcPr>
          <w:p w14:paraId="49B6D681">
            <w:pPr>
              <w:rPr>
                <w:rFonts w:ascii="Arial"/>
                <w:sz w:val="21"/>
              </w:rPr>
            </w:pPr>
          </w:p>
        </w:tc>
        <w:tc>
          <w:tcPr>
            <w:tcW w:w="1014" w:type="dxa"/>
            <w:vAlign w:val="top"/>
          </w:tcPr>
          <w:p w14:paraId="3DD8D17A">
            <w:pPr>
              <w:pStyle w:val="8"/>
              <w:spacing w:before="81" w:line="219" w:lineRule="auto"/>
              <w:ind w:left="158"/>
            </w:pPr>
            <w:r>
              <w:rPr>
                <w:b/>
                <w:bCs/>
                <w:spacing w:val="-5"/>
              </w:rPr>
              <w:t>责任部门</w:t>
            </w:r>
          </w:p>
        </w:tc>
        <w:tc>
          <w:tcPr>
            <w:tcW w:w="1407" w:type="dxa"/>
            <w:vAlign w:val="top"/>
          </w:tcPr>
          <w:p w14:paraId="395CAB97">
            <w:pPr>
              <w:pStyle w:val="8"/>
              <w:spacing w:before="81" w:line="219" w:lineRule="auto"/>
              <w:ind w:left="167"/>
            </w:pPr>
            <w:r>
              <w:rPr>
                <w:b/>
                <w:bCs/>
                <w:spacing w:val="-3"/>
              </w:rPr>
              <w:t>第一责任层级</w:t>
            </w:r>
          </w:p>
        </w:tc>
        <w:tc>
          <w:tcPr>
            <w:tcW w:w="1018" w:type="dxa"/>
            <w:vAlign w:val="top"/>
          </w:tcPr>
          <w:p w14:paraId="3D1EE65D">
            <w:pPr>
              <w:pStyle w:val="8"/>
              <w:spacing w:before="81" w:line="219" w:lineRule="auto"/>
              <w:ind w:left="152"/>
            </w:pPr>
            <w:r>
              <w:rPr>
                <w:b/>
                <w:bCs/>
                <w:spacing w:val="-4"/>
              </w:rPr>
              <w:t>承办机构</w:t>
            </w:r>
          </w:p>
        </w:tc>
      </w:tr>
      <w:tr w14:paraId="187FA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3" w:hRule="atLeast"/>
        </w:trPr>
        <w:tc>
          <w:tcPr>
            <w:tcW w:w="624" w:type="dxa"/>
            <w:vAlign w:val="top"/>
          </w:tcPr>
          <w:p w14:paraId="2701A5AF">
            <w:pPr>
              <w:spacing w:line="257" w:lineRule="auto"/>
              <w:rPr>
                <w:rFonts w:ascii="Arial"/>
                <w:sz w:val="21"/>
              </w:rPr>
            </w:pPr>
          </w:p>
          <w:p w14:paraId="5B7C2D52">
            <w:pPr>
              <w:spacing w:line="257" w:lineRule="auto"/>
              <w:rPr>
                <w:rFonts w:ascii="Arial"/>
                <w:sz w:val="21"/>
              </w:rPr>
            </w:pPr>
          </w:p>
          <w:p w14:paraId="76C2CF5D">
            <w:pPr>
              <w:spacing w:line="258" w:lineRule="auto"/>
              <w:rPr>
                <w:rFonts w:ascii="Arial"/>
                <w:sz w:val="21"/>
              </w:rPr>
            </w:pPr>
          </w:p>
          <w:p w14:paraId="2C93EBE7">
            <w:pPr>
              <w:spacing w:line="258" w:lineRule="auto"/>
              <w:rPr>
                <w:rFonts w:ascii="Arial"/>
                <w:sz w:val="21"/>
              </w:rPr>
            </w:pPr>
          </w:p>
          <w:p w14:paraId="31639CDF">
            <w:pPr>
              <w:spacing w:line="258" w:lineRule="auto"/>
              <w:rPr>
                <w:rFonts w:ascii="Arial"/>
                <w:sz w:val="21"/>
              </w:rPr>
            </w:pPr>
          </w:p>
          <w:p w14:paraId="67082AF2">
            <w:pPr>
              <w:spacing w:line="258" w:lineRule="auto"/>
              <w:rPr>
                <w:rFonts w:ascii="Arial"/>
                <w:sz w:val="21"/>
              </w:rPr>
            </w:pPr>
          </w:p>
          <w:p w14:paraId="775306FB">
            <w:pPr>
              <w:spacing w:line="258" w:lineRule="auto"/>
              <w:rPr>
                <w:rFonts w:ascii="Arial"/>
                <w:sz w:val="21"/>
              </w:rPr>
            </w:pPr>
          </w:p>
          <w:p w14:paraId="52710305">
            <w:pPr>
              <w:spacing w:line="258" w:lineRule="auto"/>
              <w:rPr>
                <w:rFonts w:ascii="Arial"/>
                <w:sz w:val="21"/>
              </w:rPr>
            </w:pPr>
          </w:p>
          <w:p w14:paraId="0A9CB5C3">
            <w:pPr>
              <w:pStyle w:val="8"/>
              <w:spacing w:before="58" w:line="183" w:lineRule="auto"/>
              <w:ind w:left="231"/>
            </w:pPr>
            <w:r>
              <w:rPr>
                <w:spacing w:val="-4"/>
              </w:rPr>
              <w:t>94</w:t>
            </w:r>
          </w:p>
        </w:tc>
        <w:tc>
          <w:tcPr>
            <w:tcW w:w="1104" w:type="dxa"/>
            <w:vAlign w:val="top"/>
          </w:tcPr>
          <w:p w14:paraId="2050AC3E">
            <w:pPr>
              <w:spacing w:line="356" w:lineRule="auto"/>
              <w:rPr>
                <w:rFonts w:ascii="Arial"/>
                <w:sz w:val="21"/>
              </w:rPr>
            </w:pPr>
          </w:p>
          <w:p w14:paraId="589C8A16">
            <w:pPr>
              <w:spacing w:line="356" w:lineRule="auto"/>
              <w:rPr>
                <w:rFonts w:ascii="Arial"/>
                <w:sz w:val="21"/>
              </w:rPr>
            </w:pPr>
          </w:p>
          <w:p w14:paraId="04BDFA62">
            <w:pPr>
              <w:pStyle w:val="8"/>
              <w:spacing w:before="59" w:line="244" w:lineRule="auto"/>
              <w:ind w:left="61" w:right="56" w:hanging="1"/>
              <w:jc w:val="both"/>
            </w:pPr>
            <w:r>
              <w:rPr>
                <w:spacing w:val="16"/>
              </w:rPr>
              <w:t>对交通运输</w:t>
            </w:r>
            <w:r>
              <w:rPr>
                <w:spacing w:val="1"/>
              </w:rPr>
              <w:t xml:space="preserve"> </w:t>
            </w:r>
            <w:r>
              <w:rPr>
                <w:spacing w:val="16"/>
              </w:rPr>
              <w:t>建设工程领</w:t>
            </w:r>
            <w:r>
              <w:t xml:space="preserve"> </w:t>
            </w:r>
            <w:r>
              <w:rPr>
                <w:spacing w:val="16"/>
              </w:rPr>
              <w:t>域检测机构</w:t>
            </w:r>
            <w:r>
              <w:t xml:space="preserve"> </w:t>
            </w:r>
            <w:r>
              <w:rPr>
                <w:spacing w:val="16"/>
              </w:rPr>
              <w:t>质量保证体</w:t>
            </w:r>
            <w:r>
              <w:t xml:space="preserve"> </w:t>
            </w:r>
            <w:r>
              <w:rPr>
                <w:spacing w:val="16"/>
              </w:rPr>
              <w:t>系未有效运</w:t>
            </w:r>
            <w:r>
              <w:t xml:space="preserve"> </w:t>
            </w:r>
            <w:r>
              <w:rPr>
                <w:spacing w:val="-2"/>
              </w:rPr>
              <w:t>行的，或未</w:t>
            </w:r>
            <w:r>
              <w:t xml:space="preserve">  </w:t>
            </w:r>
            <w:r>
              <w:rPr>
                <w:spacing w:val="16"/>
              </w:rPr>
              <w:t>按照有关规</w:t>
            </w:r>
            <w:r>
              <w:t xml:space="preserve"> </w:t>
            </w:r>
            <w:r>
              <w:rPr>
                <w:spacing w:val="16"/>
              </w:rPr>
              <w:t>定对仪器设</w:t>
            </w:r>
            <w:r>
              <w:t xml:space="preserve"> </w:t>
            </w:r>
            <w:r>
              <w:rPr>
                <w:spacing w:val="16"/>
              </w:rPr>
              <w:t>备进行正常</w:t>
            </w:r>
            <w:r>
              <w:t xml:space="preserve"> </w:t>
            </w:r>
            <w:r>
              <w:rPr>
                <w:spacing w:val="16"/>
              </w:rPr>
              <w:t>维护等行为</w:t>
            </w:r>
            <w:r>
              <w:t xml:space="preserve"> </w:t>
            </w:r>
            <w:r>
              <w:rPr>
                <w:spacing w:val="-2"/>
              </w:rPr>
              <w:t>的行政处罚</w:t>
            </w:r>
          </w:p>
        </w:tc>
        <w:tc>
          <w:tcPr>
            <w:tcW w:w="1104" w:type="dxa"/>
            <w:vAlign w:val="top"/>
          </w:tcPr>
          <w:p w14:paraId="01D164E2">
            <w:pPr>
              <w:spacing w:line="254" w:lineRule="auto"/>
              <w:rPr>
                <w:rFonts w:ascii="Arial"/>
                <w:sz w:val="21"/>
              </w:rPr>
            </w:pPr>
          </w:p>
          <w:p w14:paraId="114C1A42">
            <w:pPr>
              <w:spacing w:line="254" w:lineRule="auto"/>
              <w:rPr>
                <w:rFonts w:ascii="Arial"/>
                <w:sz w:val="21"/>
              </w:rPr>
            </w:pPr>
          </w:p>
          <w:p w14:paraId="4F64A085">
            <w:pPr>
              <w:spacing w:line="254" w:lineRule="auto"/>
              <w:rPr>
                <w:rFonts w:ascii="Arial"/>
                <w:sz w:val="21"/>
              </w:rPr>
            </w:pPr>
          </w:p>
          <w:p w14:paraId="461B4F6D">
            <w:pPr>
              <w:spacing w:line="254" w:lineRule="auto"/>
              <w:rPr>
                <w:rFonts w:ascii="Arial"/>
                <w:sz w:val="21"/>
              </w:rPr>
            </w:pPr>
          </w:p>
          <w:p w14:paraId="54B8D305">
            <w:pPr>
              <w:spacing w:line="254" w:lineRule="auto"/>
              <w:rPr>
                <w:rFonts w:ascii="Arial"/>
                <w:sz w:val="21"/>
              </w:rPr>
            </w:pPr>
          </w:p>
          <w:p w14:paraId="240A6A11">
            <w:pPr>
              <w:spacing w:line="254" w:lineRule="auto"/>
              <w:rPr>
                <w:rFonts w:ascii="Arial"/>
                <w:sz w:val="21"/>
              </w:rPr>
            </w:pPr>
          </w:p>
          <w:p w14:paraId="7163D1C3">
            <w:pPr>
              <w:spacing w:line="254" w:lineRule="auto"/>
              <w:rPr>
                <w:rFonts w:ascii="Arial"/>
                <w:sz w:val="21"/>
              </w:rPr>
            </w:pPr>
          </w:p>
          <w:p w14:paraId="67E8BA1F">
            <w:pPr>
              <w:spacing w:line="255" w:lineRule="auto"/>
              <w:rPr>
                <w:rFonts w:ascii="Arial"/>
                <w:sz w:val="21"/>
              </w:rPr>
            </w:pPr>
          </w:p>
          <w:p w14:paraId="49D60D8D">
            <w:pPr>
              <w:pStyle w:val="8"/>
              <w:spacing w:before="59" w:line="220" w:lineRule="auto"/>
              <w:ind w:left="10"/>
            </w:pPr>
            <w:r>
              <w:rPr>
                <w:spacing w:val="-2"/>
              </w:rPr>
              <w:t>行政处罚</w:t>
            </w:r>
          </w:p>
        </w:tc>
        <w:tc>
          <w:tcPr>
            <w:tcW w:w="8549" w:type="dxa"/>
            <w:vAlign w:val="top"/>
          </w:tcPr>
          <w:p w14:paraId="0749B6D8">
            <w:pPr>
              <w:pStyle w:val="8"/>
              <w:spacing w:before="31" w:line="219" w:lineRule="auto"/>
              <w:ind w:left="476"/>
            </w:pPr>
            <w:r>
              <w:rPr>
                <w:b/>
                <w:bCs/>
                <w:spacing w:val="-3"/>
              </w:rPr>
              <w:t>《公路水运工程质量检测管理办法》（交通运输部令</w:t>
            </w:r>
            <w:r>
              <w:rPr>
                <w:spacing w:val="-35"/>
              </w:rPr>
              <w:t xml:space="preserve"> </w:t>
            </w:r>
            <w:r>
              <w:rPr>
                <w:b/>
                <w:bCs/>
                <w:spacing w:val="-3"/>
              </w:rPr>
              <w:t>2023</w:t>
            </w:r>
            <w:r>
              <w:rPr>
                <w:spacing w:val="-38"/>
              </w:rPr>
              <w:t xml:space="preserve"> </w:t>
            </w:r>
            <w:r>
              <w:rPr>
                <w:b/>
                <w:bCs/>
                <w:spacing w:val="-3"/>
              </w:rPr>
              <w:t>年第</w:t>
            </w:r>
            <w:r>
              <w:rPr>
                <w:spacing w:val="-36"/>
              </w:rPr>
              <w:t xml:space="preserve"> </w:t>
            </w:r>
            <w:r>
              <w:rPr>
                <w:b/>
                <w:bCs/>
                <w:spacing w:val="-3"/>
              </w:rPr>
              <w:t>9</w:t>
            </w:r>
            <w:r>
              <w:rPr>
                <w:spacing w:val="-32"/>
              </w:rPr>
              <w:t xml:space="preserve"> </w:t>
            </w:r>
            <w:r>
              <w:rPr>
                <w:b/>
                <w:bCs/>
                <w:spacing w:val="-3"/>
              </w:rPr>
              <w:t>号）</w:t>
            </w:r>
          </w:p>
          <w:p w14:paraId="06FA53B1">
            <w:pPr>
              <w:pStyle w:val="8"/>
              <w:spacing w:before="16" w:line="219" w:lineRule="auto"/>
              <w:ind w:left="471"/>
            </w:pPr>
            <w:r>
              <w:rPr>
                <w:spacing w:val="-2"/>
              </w:rPr>
              <w:t>第二十九条  检测机构应当保证质量保证体系有效运行。</w:t>
            </w:r>
          </w:p>
          <w:p w14:paraId="40968C54">
            <w:pPr>
              <w:pStyle w:val="8"/>
              <w:spacing w:before="16" w:line="219" w:lineRule="auto"/>
              <w:ind w:left="471"/>
            </w:pPr>
            <w:r>
              <w:rPr>
                <w:spacing w:val="-1"/>
              </w:rPr>
              <w:t>检测机构应当按照有关规定对仪器设备进行正常维护，定期</w:t>
            </w:r>
            <w:r>
              <w:rPr>
                <w:spacing w:val="-2"/>
              </w:rPr>
              <w:t>检定与校准。</w:t>
            </w:r>
          </w:p>
          <w:p w14:paraId="402AEA63">
            <w:pPr>
              <w:pStyle w:val="8"/>
              <w:spacing w:before="14" w:line="228" w:lineRule="auto"/>
              <w:ind w:left="111" w:right="58" w:firstLine="359"/>
            </w:pPr>
            <w:r>
              <w:rPr>
                <w:spacing w:val="-2"/>
              </w:rPr>
              <w:t>第三十一条  检测机构应当建立健全档案制度，原始记录和质量检测报告内容必须清晰、完整、规范，</w:t>
            </w:r>
            <w:r>
              <w:rPr>
                <w:spacing w:val="5"/>
              </w:rPr>
              <w:t xml:space="preserve"> </w:t>
            </w:r>
            <w:r>
              <w:rPr>
                <w:spacing w:val="-3"/>
              </w:rPr>
              <w:t>保证档案齐备和检测数据可追溯。</w:t>
            </w:r>
          </w:p>
          <w:p w14:paraId="0BA408EE">
            <w:pPr>
              <w:pStyle w:val="8"/>
              <w:spacing w:before="16" w:line="219" w:lineRule="auto"/>
              <w:ind w:left="471"/>
            </w:pPr>
            <w:r>
              <w:t>第三十四条  检测机构在同一公路水运工程项目标段中不得同时接受建设、监理</w:t>
            </w:r>
            <w:r>
              <w:rPr>
                <w:spacing w:val="-1"/>
              </w:rPr>
              <w:t>、施工等多方的质量</w:t>
            </w:r>
          </w:p>
          <w:p w14:paraId="0A245E97">
            <w:pPr>
              <w:pStyle w:val="8"/>
              <w:spacing w:before="18" w:line="219" w:lineRule="auto"/>
              <w:ind w:left="111"/>
            </w:pPr>
            <w:r>
              <w:rPr>
                <w:spacing w:val="-7"/>
              </w:rPr>
              <w:t>检测委托。</w:t>
            </w:r>
          </w:p>
          <w:p w14:paraId="5BCE85B9">
            <w:pPr>
              <w:pStyle w:val="8"/>
              <w:spacing w:before="16" w:line="227" w:lineRule="auto"/>
              <w:ind w:left="111" w:right="159" w:firstLine="359"/>
            </w:pPr>
            <w:r>
              <w:t>第三十六条  在检测过程中发现检测项目不合格且涉及工程主体结构安全的，检</w:t>
            </w:r>
            <w:r>
              <w:rPr>
                <w:spacing w:val="-1"/>
              </w:rPr>
              <w:t>测机构应当及时向负</w:t>
            </w:r>
            <w:r>
              <w:t xml:space="preserve"> </w:t>
            </w:r>
            <w:r>
              <w:rPr>
                <w:spacing w:val="-1"/>
              </w:rPr>
              <w:t>有工程建设项目质量监督管理责任的交通运输</w:t>
            </w:r>
            <w:r>
              <w:rPr>
                <w:spacing w:val="-2"/>
              </w:rPr>
              <w:t>主管部门报告。</w:t>
            </w:r>
          </w:p>
          <w:p w14:paraId="61673C0A">
            <w:pPr>
              <w:pStyle w:val="8"/>
              <w:spacing w:before="15" w:line="219" w:lineRule="auto"/>
              <w:ind w:left="471"/>
            </w:pPr>
            <w:r>
              <w:rPr>
                <w:spacing w:val="-2"/>
              </w:rPr>
              <w:t>第四十三条  交通运输主管部门实施监督检查时，有权采取以下措施：</w:t>
            </w:r>
          </w:p>
          <w:p w14:paraId="427CD44B">
            <w:pPr>
              <w:pStyle w:val="8"/>
              <w:spacing w:before="17" w:line="219" w:lineRule="auto"/>
              <w:ind w:left="481"/>
            </w:pPr>
            <w:r>
              <w:rPr>
                <w:spacing w:val="-2"/>
              </w:rPr>
              <w:t>（一）要求被检查的检测机构或者有关单位提供相关</w:t>
            </w:r>
            <w:r>
              <w:rPr>
                <w:spacing w:val="-3"/>
              </w:rPr>
              <w:t>文件和资料；</w:t>
            </w:r>
          </w:p>
          <w:p w14:paraId="3312A45B">
            <w:pPr>
              <w:pStyle w:val="8"/>
              <w:spacing w:before="18" w:line="219" w:lineRule="auto"/>
              <w:ind w:left="481"/>
            </w:pPr>
            <w:r>
              <w:rPr>
                <w:spacing w:val="-2"/>
              </w:rPr>
              <w:t>（二）查阅、记录、录音、录像、照相和复制与检查相关的事项和资料；</w:t>
            </w:r>
          </w:p>
          <w:p w14:paraId="17B59558">
            <w:pPr>
              <w:pStyle w:val="8"/>
              <w:spacing w:before="16" w:line="219" w:lineRule="auto"/>
              <w:ind w:left="481"/>
            </w:pPr>
            <w:r>
              <w:rPr>
                <w:spacing w:val="-3"/>
              </w:rPr>
              <w:t>（三）进入检测机构的检测工作场地进行抽查；</w:t>
            </w:r>
          </w:p>
          <w:p w14:paraId="7563F562">
            <w:pPr>
              <w:pStyle w:val="8"/>
              <w:spacing w:before="18" w:line="227" w:lineRule="auto"/>
              <w:ind w:left="471" w:right="190" w:firstLine="9"/>
            </w:pPr>
            <w:r>
              <w:rPr>
                <w:spacing w:val="-1"/>
              </w:rPr>
              <w:t>（四）发现有不符合有关标准、规范、规程和本办法的质量检测行为，责令立即改正或者</w:t>
            </w:r>
            <w:r>
              <w:rPr>
                <w:spacing w:val="-2"/>
              </w:rPr>
              <w:t>限期整改。</w:t>
            </w:r>
            <w:r>
              <w:t xml:space="preserve"> </w:t>
            </w:r>
            <w:r>
              <w:rPr>
                <w:spacing w:val="-2"/>
              </w:rPr>
              <w:t>检测机构应当予以配合，如实说明情况和提供相关资料。</w:t>
            </w:r>
          </w:p>
          <w:p w14:paraId="324D5460">
            <w:pPr>
              <w:pStyle w:val="8"/>
              <w:spacing w:before="15" w:line="228" w:lineRule="auto"/>
              <w:ind w:left="112" w:right="115" w:firstLine="358"/>
            </w:pPr>
            <w:r>
              <w:t>第五十三条  检测机构违反本办法规定，有下列行为之一的</w:t>
            </w:r>
            <w:r>
              <w:rPr>
                <w:spacing w:val="-1"/>
              </w:rPr>
              <w:t>，由交通运输主管部门责令改正，处</w:t>
            </w:r>
            <w:r>
              <w:rPr>
                <w:spacing w:val="-34"/>
              </w:rPr>
              <w:t xml:space="preserve"> </w:t>
            </w:r>
            <w:r>
              <w:rPr>
                <w:spacing w:val="-1"/>
              </w:rPr>
              <w:t>5000</w:t>
            </w:r>
            <w:r>
              <w:t xml:space="preserve"> </w:t>
            </w:r>
            <w:r>
              <w:rPr>
                <w:spacing w:val="-7"/>
              </w:rPr>
              <w:t>元以上</w:t>
            </w:r>
            <w:r>
              <w:rPr>
                <w:spacing w:val="-23"/>
              </w:rPr>
              <w:t xml:space="preserve"> </w:t>
            </w:r>
            <w:r>
              <w:rPr>
                <w:spacing w:val="-7"/>
              </w:rPr>
              <w:t>1</w:t>
            </w:r>
            <w:r>
              <w:rPr>
                <w:spacing w:val="-34"/>
              </w:rPr>
              <w:t xml:space="preserve"> </w:t>
            </w:r>
            <w:r>
              <w:rPr>
                <w:spacing w:val="-7"/>
              </w:rPr>
              <w:t>万元以下罚款：</w:t>
            </w:r>
          </w:p>
          <w:p w14:paraId="336CF5CF">
            <w:pPr>
              <w:pStyle w:val="8"/>
              <w:spacing w:before="17" w:line="219" w:lineRule="auto"/>
              <w:ind w:left="481"/>
            </w:pPr>
            <w:r>
              <w:rPr>
                <w:spacing w:val="-2"/>
              </w:rPr>
              <w:t>（一）质量保证体系未有效运行的，或者未按照有关规定对仪器设备进行正常维护的；</w:t>
            </w:r>
          </w:p>
          <w:p w14:paraId="40A60908">
            <w:pPr>
              <w:pStyle w:val="8"/>
              <w:spacing w:before="16" w:line="197" w:lineRule="auto"/>
              <w:ind w:left="481"/>
            </w:pPr>
            <w:r>
              <w:rPr>
                <w:spacing w:val="-3"/>
              </w:rPr>
              <w:t>（二）未按规定进行档案管理，造成检测数据无法追溯的；</w:t>
            </w:r>
          </w:p>
        </w:tc>
        <w:tc>
          <w:tcPr>
            <w:tcW w:w="1014" w:type="dxa"/>
            <w:vAlign w:val="top"/>
          </w:tcPr>
          <w:p w14:paraId="4EEF3DFE">
            <w:pPr>
              <w:spacing w:line="273" w:lineRule="auto"/>
              <w:rPr>
                <w:rFonts w:ascii="Arial"/>
                <w:sz w:val="21"/>
              </w:rPr>
            </w:pPr>
          </w:p>
          <w:p w14:paraId="35ECE94E">
            <w:pPr>
              <w:spacing w:line="273" w:lineRule="auto"/>
              <w:rPr>
                <w:rFonts w:ascii="Arial"/>
                <w:sz w:val="21"/>
              </w:rPr>
            </w:pPr>
          </w:p>
          <w:p w14:paraId="1A9EF570">
            <w:pPr>
              <w:spacing w:line="273" w:lineRule="auto"/>
              <w:rPr>
                <w:rFonts w:ascii="Arial"/>
                <w:sz w:val="21"/>
              </w:rPr>
            </w:pPr>
          </w:p>
          <w:p w14:paraId="0D72CCBD">
            <w:pPr>
              <w:spacing w:line="273" w:lineRule="auto"/>
              <w:rPr>
                <w:rFonts w:ascii="Arial"/>
                <w:sz w:val="21"/>
              </w:rPr>
            </w:pPr>
          </w:p>
          <w:p w14:paraId="36CFC250">
            <w:pPr>
              <w:spacing w:line="274" w:lineRule="auto"/>
              <w:rPr>
                <w:rFonts w:ascii="Arial"/>
                <w:sz w:val="21"/>
              </w:rPr>
            </w:pPr>
          </w:p>
          <w:p w14:paraId="28ABBF77">
            <w:pPr>
              <w:spacing w:line="274" w:lineRule="auto"/>
              <w:rPr>
                <w:rFonts w:ascii="Arial"/>
                <w:sz w:val="21"/>
              </w:rPr>
            </w:pPr>
          </w:p>
          <w:p w14:paraId="3AB585AD">
            <w:pPr>
              <w:spacing w:line="274" w:lineRule="auto"/>
              <w:rPr>
                <w:rFonts w:ascii="Arial"/>
                <w:sz w:val="21"/>
              </w:rPr>
            </w:pPr>
          </w:p>
          <w:p w14:paraId="1E6EE4DB">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268FDEB9">
            <w:pPr>
              <w:spacing w:line="273" w:lineRule="auto"/>
              <w:rPr>
                <w:rFonts w:ascii="Arial"/>
                <w:sz w:val="21"/>
              </w:rPr>
            </w:pPr>
          </w:p>
          <w:p w14:paraId="6653F49B">
            <w:pPr>
              <w:spacing w:line="273" w:lineRule="auto"/>
              <w:rPr>
                <w:rFonts w:ascii="Arial"/>
                <w:sz w:val="21"/>
              </w:rPr>
            </w:pPr>
          </w:p>
          <w:p w14:paraId="24B3EE87">
            <w:pPr>
              <w:spacing w:line="273" w:lineRule="auto"/>
              <w:rPr>
                <w:rFonts w:ascii="Arial"/>
                <w:sz w:val="21"/>
              </w:rPr>
            </w:pPr>
          </w:p>
          <w:p w14:paraId="79893C34">
            <w:pPr>
              <w:spacing w:line="273" w:lineRule="auto"/>
              <w:rPr>
                <w:rFonts w:ascii="Arial"/>
                <w:sz w:val="21"/>
              </w:rPr>
            </w:pPr>
          </w:p>
          <w:p w14:paraId="25FDD778">
            <w:pPr>
              <w:spacing w:line="274" w:lineRule="auto"/>
              <w:rPr>
                <w:rFonts w:ascii="Arial"/>
                <w:sz w:val="21"/>
              </w:rPr>
            </w:pPr>
          </w:p>
          <w:p w14:paraId="5AA2D1F0">
            <w:pPr>
              <w:spacing w:line="274" w:lineRule="auto"/>
              <w:rPr>
                <w:rFonts w:ascii="Arial"/>
                <w:sz w:val="21"/>
              </w:rPr>
            </w:pPr>
          </w:p>
          <w:p w14:paraId="4ADE588C">
            <w:pPr>
              <w:spacing w:line="274" w:lineRule="auto"/>
              <w:rPr>
                <w:rFonts w:ascii="Arial"/>
                <w:sz w:val="21"/>
              </w:rPr>
            </w:pPr>
          </w:p>
          <w:p w14:paraId="7C55D93D">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24D44B63">
            <w:pPr>
              <w:spacing w:line="279" w:lineRule="auto"/>
              <w:rPr>
                <w:rFonts w:ascii="Arial"/>
                <w:sz w:val="21"/>
              </w:rPr>
            </w:pPr>
          </w:p>
          <w:p w14:paraId="1E3CC950">
            <w:pPr>
              <w:spacing w:line="279" w:lineRule="auto"/>
              <w:rPr>
                <w:rFonts w:ascii="Arial"/>
                <w:sz w:val="21"/>
              </w:rPr>
            </w:pPr>
          </w:p>
          <w:p w14:paraId="78B96DE4">
            <w:pPr>
              <w:spacing w:line="279" w:lineRule="auto"/>
              <w:rPr>
                <w:rFonts w:ascii="Arial"/>
                <w:sz w:val="21"/>
              </w:rPr>
            </w:pPr>
          </w:p>
          <w:p w14:paraId="672C8D19">
            <w:pPr>
              <w:spacing w:line="280" w:lineRule="auto"/>
              <w:rPr>
                <w:rFonts w:ascii="Arial"/>
                <w:sz w:val="21"/>
              </w:rPr>
            </w:pPr>
          </w:p>
          <w:p w14:paraId="28E4F040">
            <w:pPr>
              <w:spacing w:line="280" w:lineRule="auto"/>
              <w:rPr>
                <w:rFonts w:ascii="Arial"/>
                <w:sz w:val="21"/>
              </w:rPr>
            </w:pPr>
          </w:p>
          <w:p w14:paraId="727AC05C">
            <w:pPr>
              <w:spacing w:line="280" w:lineRule="auto"/>
              <w:rPr>
                <w:rFonts w:ascii="Arial"/>
                <w:sz w:val="21"/>
              </w:rPr>
            </w:pPr>
          </w:p>
          <w:p w14:paraId="37FE8BCB">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6F4D6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3" w:hRule="atLeast"/>
        </w:trPr>
        <w:tc>
          <w:tcPr>
            <w:tcW w:w="624" w:type="dxa"/>
            <w:vAlign w:val="top"/>
          </w:tcPr>
          <w:p w14:paraId="27C8E02E">
            <w:pPr>
              <w:spacing w:line="275" w:lineRule="auto"/>
              <w:rPr>
                <w:rFonts w:ascii="Arial"/>
                <w:sz w:val="21"/>
              </w:rPr>
            </w:pPr>
          </w:p>
          <w:p w14:paraId="613CF7AC">
            <w:pPr>
              <w:spacing w:line="275" w:lineRule="auto"/>
              <w:rPr>
                <w:rFonts w:ascii="Arial"/>
                <w:sz w:val="21"/>
              </w:rPr>
            </w:pPr>
          </w:p>
          <w:p w14:paraId="2EA884B6">
            <w:pPr>
              <w:spacing w:line="275" w:lineRule="auto"/>
              <w:rPr>
                <w:rFonts w:ascii="Arial"/>
                <w:sz w:val="21"/>
              </w:rPr>
            </w:pPr>
          </w:p>
          <w:p w14:paraId="5B5A199D">
            <w:pPr>
              <w:spacing w:line="276" w:lineRule="auto"/>
              <w:rPr>
                <w:rFonts w:ascii="Arial"/>
                <w:sz w:val="21"/>
              </w:rPr>
            </w:pPr>
          </w:p>
          <w:p w14:paraId="4502DCED">
            <w:pPr>
              <w:spacing w:line="276" w:lineRule="auto"/>
              <w:rPr>
                <w:rFonts w:ascii="Arial"/>
                <w:sz w:val="21"/>
              </w:rPr>
            </w:pPr>
          </w:p>
          <w:p w14:paraId="45AC5B55">
            <w:pPr>
              <w:pStyle w:val="8"/>
              <w:spacing w:before="58" w:line="183" w:lineRule="auto"/>
              <w:ind w:left="231"/>
            </w:pPr>
            <w:r>
              <w:rPr>
                <w:spacing w:val="-4"/>
              </w:rPr>
              <w:t>95</w:t>
            </w:r>
          </w:p>
        </w:tc>
        <w:tc>
          <w:tcPr>
            <w:tcW w:w="1104" w:type="dxa"/>
            <w:vAlign w:val="top"/>
          </w:tcPr>
          <w:p w14:paraId="17BD6D8C">
            <w:pPr>
              <w:spacing w:line="387" w:lineRule="auto"/>
              <w:rPr>
                <w:rFonts w:ascii="Arial"/>
                <w:sz w:val="21"/>
              </w:rPr>
            </w:pPr>
          </w:p>
          <w:p w14:paraId="34AA6F22">
            <w:pPr>
              <w:pStyle w:val="8"/>
              <w:spacing w:before="59" w:line="243" w:lineRule="auto"/>
              <w:ind w:left="60" w:right="56"/>
              <w:jc w:val="both"/>
            </w:pPr>
            <w:r>
              <w:rPr>
                <w:spacing w:val="16"/>
              </w:rPr>
              <w:t>对交通运输</w:t>
            </w:r>
            <w:r>
              <w:rPr>
                <w:spacing w:val="1"/>
              </w:rPr>
              <w:t xml:space="preserve"> </w:t>
            </w:r>
            <w:r>
              <w:rPr>
                <w:spacing w:val="16"/>
              </w:rPr>
              <w:t>建设工程领</w:t>
            </w:r>
            <w:r>
              <w:rPr>
                <w:spacing w:val="1"/>
              </w:rPr>
              <w:t xml:space="preserve"> </w:t>
            </w:r>
            <w:r>
              <w:rPr>
                <w:spacing w:val="16"/>
              </w:rPr>
              <w:t>域检测机构</w:t>
            </w:r>
            <w:r>
              <w:rPr>
                <w:spacing w:val="1"/>
              </w:rPr>
              <w:t xml:space="preserve"> </w:t>
            </w:r>
            <w:r>
              <w:rPr>
                <w:spacing w:val="16"/>
              </w:rPr>
              <w:t>或检测人员</w:t>
            </w:r>
            <w:r>
              <w:rPr>
                <w:spacing w:val="1"/>
              </w:rPr>
              <w:t xml:space="preserve"> </w:t>
            </w:r>
            <w:r>
              <w:rPr>
                <w:spacing w:val="16"/>
              </w:rPr>
              <w:t>未按规定进</w:t>
            </w:r>
            <w:r>
              <w:rPr>
                <w:spacing w:val="1"/>
              </w:rPr>
              <w:t xml:space="preserve"> </w:t>
            </w:r>
            <w:r>
              <w:rPr>
                <w:spacing w:val="16"/>
              </w:rPr>
              <w:t>行样品管理</w:t>
            </w:r>
            <w:r>
              <w:rPr>
                <w:spacing w:val="1"/>
              </w:rPr>
              <w:t xml:space="preserve"> </w:t>
            </w:r>
            <w:r>
              <w:rPr>
                <w:spacing w:val="16"/>
              </w:rPr>
              <w:t>等行为的行</w:t>
            </w:r>
            <w:r>
              <w:rPr>
                <w:spacing w:val="1"/>
              </w:rPr>
              <w:t xml:space="preserve"> </w:t>
            </w:r>
            <w:r>
              <w:rPr>
                <w:spacing w:val="-2"/>
              </w:rPr>
              <w:t>政处罚</w:t>
            </w:r>
          </w:p>
        </w:tc>
        <w:tc>
          <w:tcPr>
            <w:tcW w:w="1104" w:type="dxa"/>
            <w:vAlign w:val="top"/>
          </w:tcPr>
          <w:p w14:paraId="126E145A">
            <w:pPr>
              <w:spacing w:line="269" w:lineRule="auto"/>
              <w:rPr>
                <w:rFonts w:ascii="Arial"/>
                <w:sz w:val="21"/>
              </w:rPr>
            </w:pPr>
          </w:p>
          <w:p w14:paraId="01B13D12">
            <w:pPr>
              <w:spacing w:line="269" w:lineRule="auto"/>
              <w:rPr>
                <w:rFonts w:ascii="Arial"/>
                <w:sz w:val="21"/>
              </w:rPr>
            </w:pPr>
          </w:p>
          <w:p w14:paraId="0F8B99A6">
            <w:pPr>
              <w:spacing w:line="270" w:lineRule="auto"/>
              <w:rPr>
                <w:rFonts w:ascii="Arial"/>
                <w:sz w:val="21"/>
              </w:rPr>
            </w:pPr>
          </w:p>
          <w:p w14:paraId="13354CF6">
            <w:pPr>
              <w:spacing w:line="270" w:lineRule="auto"/>
              <w:rPr>
                <w:rFonts w:ascii="Arial"/>
                <w:sz w:val="21"/>
              </w:rPr>
            </w:pPr>
          </w:p>
          <w:p w14:paraId="66886052">
            <w:pPr>
              <w:spacing w:line="270" w:lineRule="auto"/>
              <w:rPr>
                <w:rFonts w:ascii="Arial"/>
                <w:sz w:val="21"/>
              </w:rPr>
            </w:pPr>
          </w:p>
          <w:p w14:paraId="1C726BBC">
            <w:pPr>
              <w:pStyle w:val="8"/>
              <w:spacing w:before="59" w:line="220" w:lineRule="auto"/>
              <w:ind w:left="10"/>
            </w:pPr>
            <w:r>
              <w:rPr>
                <w:spacing w:val="-2"/>
              </w:rPr>
              <w:t>行政处罚</w:t>
            </w:r>
          </w:p>
        </w:tc>
        <w:tc>
          <w:tcPr>
            <w:tcW w:w="8549" w:type="dxa"/>
            <w:vAlign w:val="top"/>
          </w:tcPr>
          <w:p w14:paraId="0344013F">
            <w:pPr>
              <w:pStyle w:val="8"/>
              <w:spacing w:before="33" w:line="219" w:lineRule="auto"/>
              <w:ind w:left="476"/>
            </w:pPr>
            <w:r>
              <w:rPr>
                <w:b/>
                <w:bCs/>
                <w:spacing w:val="-3"/>
              </w:rPr>
              <w:t>《公路水运工程质量检测管理办法》（交通运输部令</w:t>
            </w:r>
            <w:r>
              <w:rPr>
                <w:spacing w:val="-35"/>
              </w:rPr>
              <w:t xml:space="preserve"> </w:t>
            </w:r>
            <w:r>
              <w:rPr>
                <w:b/>
                <w:bCs/>
                <w:spacing w:val="-3"/>
              </w:rPr>
              <w:t>2023</w:t>
            </w:r>
            <w:r>
              <w:rPr>
                <w:spacing w:val="-38"/>
              </w:rPr>
              <w:t xml:space="preserve"> </w:t>
            </w:r>
            <w:r>
              <w:rPr>
                <w:b/>
                <w:bCs/>
                <w:spacing w:val="-3"/>
              </w:rPr>
              <w:t>年第</w:t>
            </w:r>
            <w:r>
              <w:rPr>
                <w:spacing w:val="-36"/>
              </w:rPr>
              <w:t xml:space="preserve"> </w:t>
            </w:r>
            <w:r>
              <w:rPr>
                <w:b/>
                <w:bCs/>
                <w:spacing w:val="-3"/>
              </w:rPr>
              <w:t>9</w:t>
            </w:r>
            <w:r>
              <w:rPr>
                <w:spacing w:val="-32"/>
              </w:rPr>
              <w:t xml:space="preserve"> </w:t>
            </w:r>
            <w:r>
              <w:rPr>
                <w:b/>
                <w:bCs/>
                <w:spacing w:val="-3"/>
              </w:rPr>
              <w:t>号）</w:t>
            </w:r>
          </w:p>
          <w:p w14:paraId="638AAE3E">
            <w:pPr>
              <w:pStyle w:val="8"/>
              <w:spacing w:before="16" w:line="219" w:lineRule="auto"/>
              <w:ind w:left="471"/>
            </w:pPr>
            <w:r>
              <w:rPr>
                <w:spacing w:val="-2"/>
              </w:rPr>
              <w:t>第三十条  检测机构应当建立样品管理制度，提倡盲样管理。</w:t>
            </w:r>
          </w:p>
          <w:p w14:paraId="13427DB3">
            <w:pPr>
              <w:pStyle w:val="8"/>
              <w:spacing w:before="17" w:line="226" w:lineRule="auto"/>
              <w:ind w:left="114" w:right="159" w:firstLine="357"/>
            </w:pPr>
            <w:r>
              <w:t>第三十九条  检测人员不得同时在两家或者两家以上检测机构从事检测活动，不</w:t>
            </w:r>
            <w:r>
              <w:rPr>
                <w:spacing w:val="-1"/>
              </w:rPr>
              <w:t>得借工作之便推销建</w:t>
            </w:r>
            <w:r>
              <w:t xml:space="preserve"> </w:t>
            </w:r>
            <w:r>
              <w:rPr>
                <w:spacing w:val="-3"/>
              </w:rPr>
              <w:t>设材料、构配件和设备。</w:t>
            </w:r>
          </w:p>
          <w:p w14:paraId="07B23903">
            <w:pPr>
              <w:pStyle w:val="8"/>
              <w:spacing w:before="16" w:line="228" w:lineRule="auto"/>
              <w:ind w:left="130" w:right="58" w:firstLine="340"/>
            </w:pPr>
            <w:r>
              <w:rPr>
                <w:spacing w:val="-2"/>
              </w:rPr>
              <w:t>第四十四条  交通运输部、省级人民政府交通运输主管部门应当组织比对试验，验证检测机构的能力，</w:t>
            </w:r>
            <w:r>
              <w:rPr>
                <w:spacing w:val="5"/>
              </w:rPr>
              <w:t xml:space="preserve"> </w:t>
            </w:r>
            <w:r>
              <w:rPr>
                <w:spacing w:val="-2"/>
              </w:rPr>
              <w:t>比对试验情况录入公路水运工程质量检测管理信息系</w:t>
            </w:r>
            <w:r>
              <w:rPr>
                <w:spacing w:val="-3"/>
              </w:rPr>
              <w:t>统。</w:t>
            </w:r>
          </w:p>
          <w:p w14:paraId="4E9A1B9A">
            <w:pPr>
              <w:pStyle w:val="8"/>
              <w:spacing w:before="16" w:line="219" w:lineRule="auto"/>
              <w:ind w:left="471"/>
            </w:pPr>
            <w:r>
              <w:rPr>
                <w:spacing w:val="-1"/>
              </w:rPr>
              <w:t>检测机构应当按照前款规定参加比对试验并按照要</w:t>
            </w:r>
            <w:r>
              <w:rPr>
                <w:spacing w:val="-2"/>
              </w:rPr>
              <w:t>求提供相关资料。</w:t>
            </w:r>
          </w:p>
          <w:p w14:paraId="312EEE69">
            <w:pPr>
              <w:pStyle w:val="8"/>
              <w:spacing w:before="18" w:line="227" w:lineRule="auto"/>
              <w:ind w:left="117" w:right="159" w:firstLine="353"/>
            </w:pPr>
            <w:r>
              <w:t>第五十四条  检测机构或者检测人员违反本办法规定，有下列行为之一的，由交</w:t>
            </w:r>
            <w:r>
              <w:rPr>
                <w:spacing w:val="-1"/>
              </w:rPr>
              <w:t>通运输主管部门责令</w:t>
            </w:r>
            <w:r>
              <w:t xml:space="preserve"> </w:t>
            </w:r>
            <w:r>
              <w:rPr>
                <w:spacing w:val="-4"/>
              </w:rPr>
              <w:t>改正，给予警告或者通报批评：</w:t>
            </w:r>
          </w:p>
          <w:p w14:paraId="43535F2A">
            <w:pPr>
              <w:pStyle w:val="8"/>
              <w:spacing w:before="15" w:line="219" w:lineRule="auto"/>
              <w:ind w:left="481"/>
            </w:pPr>
            <w:r>
              <w:rPr>
                <w:spacing w:val="-5"/>
              </w:rPr>
              <w:t>（一）未按规定进行样品管理的；</w:t>
            </w:r>
          </w:p>
          <w:p w14:paraId="37775D9C">
            <w:pPr>
              <w:pStyle w:val="8"/>
              <w:spacing w:before="17" w:line="219" w:lineRule="auto"/>
              <w:ind w:left="481"/>
            </w:pPr>
            <w:r>
              <w:rPr>
                <w:spacing w:val="-3"/>
              </w:rPr>
              <w:t>（二）同时在两家或者两家以上检测机构从事检测活动的；</w:t>
            </w:r>
          </w:p>
          <w:p w14:paraId="73ADE1C8">
            <w:pPr>
              <w:pStyle w:val="8"/>
              <w:spacing w:before="17" w:line="219" w:lineRule="auto"/>
              <w:ind w:left="481"/>
            </w:pPr>
            <w:r>
              <w:rPr>
                <w:spacing w:val="-3"/>
              </w:rPr>
              <w:t>（三）借工作之便推销建设材料、构配件和设备的；</w:t>
            </w:r>
          </w:p>
          <w:p w14:paraId="2CF89928">
            <w:pPr>
              <w:pStyle w:val="8"/>
              <w:spacing w:before="17" w:line="194" w:lineRule="auto"/>
              <w:ind w:left="481"/>
            </w:pPr>
            <w:r>
              <w:rPr>
                <w:spacing w:val="-3"/>
              </w:rPr>
              <w:t>（四）不按照要求参加比对试验的。</w:t>
            </w:r>
          </w:p>
        </w:tc>
        <w:tc>
          <w:tcPr>
            <w:tcW w:w="1014" w:type="dxa"/>
            <w:vAlign w:val="top"/>
          </w:tcPr>
          <w:p w14:paraId="3BCC29CD">
            <w:pPr>
              <w:spacing w:line="245" w:lineRule="auto"/>
              <w:rPr>
                <w:rFonts w:ascii="Arial"/>
                <w:sz w:val="21"/>
              </w:rPr>
            </w:pPr>
          </w:p>
          <w:p w14:paraId="086552AE">
            <w:pPr>
              <w:spacing w:line="246" w:lineRule="auto"/>
              <w:rPr>
                <w:rFonts w:ascii="Arial"/>
                <w:sz w:val="21"/>
              </w:rPr>
            </w:pPr>
          </w:p>
          <w:p w14:paraId="01DEC947">
            <w:pPr>
              <w:spacing w:line="246" w:lineRule="auto"/>
              <w:rPr>
                <w:rFonts w:ascii="Arial"/>
                <w:sz w:val="21"/>
              </w:rPr>
            </w:pPr>
          </w:p>
          <w:p w14:paraId="19F81CB6">
            <w:pPr>
              <w:spacing w:line="246" w:lineRule="auto"/>
              <w:rPr>
                <w:rFonts w:ascii="Arial"/>
                <w:sz w:val="21"/>
              </w:rPr>
            </w:pPr>
          </w:p>
          <w:p w14:paraId="4DB075F1">
            <w:pPr>
              <w:spacing w:line="246" w:lineRule="auto"/>
              <w:rPr>
                <w:rFonts w:ascii="Arial"/>
                <w:sz w:val="21"/>
              </w:rPr>
            </w:pPr>
          </w:p>
          <w:p w14:paraId="6EAF240F">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607320E0">
            <w:pPr>
              <w:spacing w:line="245" w:lineRule="auto"/>
              <w:rPr>
                <w:rFonts w:ascii="Arial"/>
                <w:sz w:val="21"/>
              </w:rPr>
            </w:pPr>
          </w:p>
          <w:p w14:paraId="65DB64F4">
            <w:pPr>
              <w:spacing w:line="246" w:lineRule="auto"/>
              <w:rPr>
                <w:rFonts w:ascii="Arial"/>
                <w:sz w:val="21"/>
              </w:rPr>
            </w:pPr>
          </w:p>
          <w:p w14:paraId="18B01A6E">
            <w:pPr>
              <w:spacing w:line="246" w:lineRule="auto"/>
              <w:rPr>
                <w:rFonts w:ascii="Arial"/>
                <w:sz w:val="21"/>
              </w:rPr>
            </w:pPr>
          </w:p>
          <w:p w14:paraId="73FC7780">
            <w:pPr>
              <w:spacing w:line="246" w:lineRule="auto"/>
              <w:rPr>
                <w:rFonts w:ascii="Arial"/>
                <w:sz w:val="21"/>
              </w:rPr>
            </w:pPr>
          </w:p>
          <w:p w14:paraId="5FF85163">
            <w:pPr>
              <w:spacing w:line="246" w:lineRule="auto"/>
              <w:rPr>
                <w:rFonts w:ascii="Arial"/>
                <w:sz w:val="21"/>
              </w:rPr>
            </w:pPr>
          </w:p>
          <w:p w14:paraId="20A86826">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7A4BE584">
            <w:pPr>
              <w:spacing w:line="248" w:lineRule="auto"/>
              <w:rPr>
                <w:rFonts w:ascii="Arial"/>
                <w:sz w:val="21"/>
              </w:rPr>
            </w:pPr>
          </w:p>
          <w:p w14:paraId="2914708F">
            <w:pPr>
              <w:spacing w:line="248" w:lineRule="auto"/>
              <w:rPr>
                <w:rFonts w:ascii="Arial"/>
                <w:sz w:val="21"/>
              </w:rPr>
            </w:pPr>
          </w:p>
          <w:p w14:paraId="2E1B0EFB">
            <w:pPr>
              <w:spacing w:line="248" w:lineRule="auto"/>
              <w:rPr>
                <w:rFonts w:ascii="Arial"/>
                <w:sz w:val="21"/>
              </w:rPr>
            </w:pPr>
          </w:p>
          <w:p w14:paraId="1A912E32">
            <w:pPr>
              <w:spacing w:line="248" w:lineRule="auto"/>
              <w:rPr>
                <w:rFonts w:ascii="Arial"/>
                <w:sz w:val="21"/>
              </w:rPr>
            </w:pPr>
          </w:p>
          <w:p w14:paraId="59DE2ADF">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0BCB7F39">
      <w:pPr>
        <w:pStyle w:val="2"/>
      </w:pPr>
    </w:p>
    <w:p w14:paraId="705D29C7">
      <w:pPr>
        <w:sectPr>
          <w:footerReference r:id="rId123" w:type="default"/>
          <w:pgSz w:w="16839" w:h="11906"/>
          <w:pgMar w:top="1012" w:right="991" w:bottom="967" w:left="1021" w:header="0" w:footer="768" w:gutter="0"/>
          <w:cols w:space="720" w:num="1"/>
        </w:sectPr>
      </w:pPr>
    </w:p>
    <w:p w14:paraId="4BB81393">
      <w:pPr>
        <w:spacing w:line="121" w:lineRule="exact"/>
      </w:pPr>
    </w:p>
    <w:p w14:paraId="58EA958F">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47B37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665BD940">
            <w:pPr>
              <w:pStyle w:val="8"/>
              <w:spacing w:before="267" w:line="221" w:lineRule="auto"/>
              <w:ind w:left="134"/>
            </w:pPr>
            <w:r>
              <w:rPr>
                <w:b/>
                <w:bCs/>
                <w:spacing w:val="-4"/>
              </w:rPr>
              <w:t>序号</w:t>
            </w:r>
          </w:p>
        </w:tc>
        <w:tc>
          <w:tcPr>
            <w:tcW w:w="1104" w:type="dxa"/>
            <w:vMerge w:val="restart"/>
            <w:tcBorders>
              <w:bottom w:val="nil"/>
            </w:tcBorders>
            <w:vAlign w:val="top"/>
          </w:tcPr>
          <w:p w14:paraId="1E6E2EA2">
            <w:pPr>
              <w:pStyle w:val="8"/>
              <w:spacing w:before="260" w:line="220" w:lineRule="auto"/>
              <w:ind w:left="192"/>
            </w:pPr>
            <w:r>
              <w:rPr>
                <w:b/>
                <w:bCs/>
                <w:spacing w:val="-4"/>
              </w:rPr>
              <w:t>事项名称</w:t>
            </w:r>
          </w:p>
        </w:tc>
        <w:tc>
          <w:tcPr>
            <w:tcW w:w="1104" w:type="dxa"/>
            <w:vMerge w:val="restart"/>
            <w:tcBorders>
              <w:bottom w:val="nil"/>
            </w:tcBorders>
            <w:vAlign w:val="top"/>
          </w:tcPr>
          <w:p w14:paraId="390664EF">
            <w:pPr>
              <w:pStyle w:val="8"/>
              <w:spacing w:before="260" w:line="219" w:lineRule="auto"/>
              <w:ind w:left="193"/>
            </w:pPr>
            <w:r>
              <w:rPr>
                <w:b/>
                <w:bCs/>
                <w:spacing w:val="-4"/>
              </w:rPr>
              <w:t>职权类型</w:t>
            </w:r>
          </w:p>
        </w:tc>
        <w:tc>
          <w:tcPr>
            <w:tcW w:w="8549" w:type="dxa"/>
            <w:vMerge w:val="restart"/>
            <w:tcBorders>
              <w:bottom w:val="nil"/>
            </w:tcBorders>
            <w:vAlign w:val="top"/>
          </w:tcPr>
          <w:p w14:paraId="28FE283C">
            <w:pPr>
              <w:pStyle w:val="8"/>
              <w:spacing w:before="259" w:line="219" w:lineRule="auto"/>
              <w:ind w:left="3921"/>
            </w:pPr>
            <w:r>
              <w:rPr>
                <w:b/>
                <w:bCs/>
                <w:spacing w:val="-5"/>
              </w:rPr>
              <w:t>实施依据</w:t>
            </w:r>
          </w:p>
        </w:tc>
        <w:tc>
          <w:tcPr>
            <w:tcW w:w="3439" w:type="dxa"/>
            <w:gridSpan w:val="3"/>
            <w:vAlign w:val="top"/>
          </w:tcPr>
          <w:p w14:paraId="2AA261F3">
            <w:pPr>
              <w:pStyle w:val="8"/>
              <w:spacing w:before="85" w:line="220" w:lineRule="auto"/>
              <w:ind w:left="1365"/>
            </w:pPr>
            <w:r>
              <w:rPr>
                <w:b/>
                <w:bCs/>
                <w:spacing w:val="-5"/>
              </w:rPr>
              <w:t>实施主体</w:t>
            </w:r>
          </w:p>
        </w:tc>
      </w:tr>
      <w:tr w14:paraId="10B0D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69480EB8">
            <w:pPr>
              <w:rPr>
                <w:rFonts w:ascii="Arial"/>
                <w:sz w:val="21"/>
              </w:rPr>
            </w:pPr>
          </w:p>
        </w:tc>
        <w:tc>
          <w:tcPr>
            <w:tcW w:w="1104" w:type="dxa"/>
            <w:vMerge w:val="continue"/>
            <w:tcBorders>
              <w:top w:val="nil"/>
            </w:tcBorders>
            <w:vAlign w:val="top"/>
          </w:tcPr>
          <w:p w14:paraId="53ED29FD">
            <w:pPr>
              <w:rPr>
                <w:rFonts w:ascii="Arial"/>
                <w:sz w:val="21"/>
              </w:rPr>
            </w:pPr>
          </w:p>
        </w:tc>
        <w:tc>
          <w:tcPr>
            <w:tcW w:w="1104" w:type="dxa"/>
            <w:vMerge w:val="continue"/>
            <w:tcBorders>
              <w:top w:val="nil"/>
            </w:tcBorders>
            <w:vAlign w:val="top"/>
          </w:tcPr>
          <w:p w14:paraId="7DEC1750">
            <w:pPr>
              <w:rPr>
                <w:rFonts w:ascii="Arial"/>
                <w:sz w:val="21"/>
              </w:rPr>
            </w:pPr>
          </w:p>
        </w:tc>
        <w:tc>
          <w:tcPr>
            <w:tcW w:w="8549" w:type="dxa"/>
            <w:vMerge w:val="continue"/>
            <w:tcBorders>
              <w:top w:val="nil"/>
            </w:tcBorders>
            <w:vAlign w:val="top"/>
          </w:tcPr>
          <w:p w14:paraId="1DBC3792">
            <w:pPr>
              <w:rPr>
                <w:rFonts w:ascii="Arial"/>
                <w:sz w:val="21"/>
              </w:rPr>
            </w:pPr>
          </w:p>
        </w:tc>
        <w:tc>
          <w:tcPr>
            <w:tcW w:w="1014" w:type="dxa"/>
            <w:vAlign w:val="top"/>
          </w:tcPr>
          <w:p w14:paraId="6ACFEBAE">
            <w:pPr>
              <w:pStyle w:val="8"/>
              <w:spacing w:before="81" w:line="219" w:lineRule="auto"/>
              <w:ind w:left="158"/>
            </w:pPr>
            <w:r>
              <w:rPr>
                <w:b/>
                <w:bCs/>
                <w:spacing w:val="-5"/>
              </w:rPr>
              <w:t>责任部门</w:t>
            </w:r>
          </w:p>
        </w:tc>
        <w:tc>
          <w:tcPr>
            <w:tcW w:w="1407" w:type="dxa"/>
            <w:vAlign w:val="top"/>
          </w:tcPr>
          <w:p w14:paraId="0C335BD7">
            <w:pPr>
              <w:pStyle w:val="8"/>
              <w:spacing w:before="81" w:line="219" w:lineRule="auto"/>
              <w:ind w:left="167"/>
            </w:pPr>
            <w:r>
              <w:rPr>
                <w:b/>
                <w:bCs/>
                <w:spacing w:val="-3"/>
              </w:rPr>
              <w:t>第一责任层级</w:t>
            </w:r>
          </w:p>
        </w:tc>
        <w:tc>
          <w:tcPr>
            <w:tcW w:w="1018" w:type="dxa"/>
            <w:vAlign w:val="top"/>
          </w:tcPr>
          <w:p w14:paraId="3D740344">
            <w:pPr>
              <w:pStyle w:val="8"/>
              <w:spacing w:before="81" w:line="219" w:lineRule="auto"/>
              <w:ind w:left="152"/>
            </w:pPr>
            <w:r>
              <w:rPr>
                <w:b/>
                <w:bCs/>
                <w:spacing w:val="-4"/>
              </w:rPr>
              <w:t>承办机构</w:t>
            </w:r>
          </w:p>
        </w:tc>
      </w:tr>
      <w:tr w14:paraId="460FC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3" w:hRule="atLeast"/>
        </w:trPr>
        <w:tc>
          <w:tcPr>
            <w:tcW w:w="624" w:type="dxa"/>
            <w:vAlign w:val="top"/>
          </w:tcPr>
          <w:p w14:paraId="3EB0AA8F">
            <w:pPr>
              <w:spacing w:line="244" w:lineRule="auto"/>
              <w:rPr>
                <w:rFonts w:ascii="Arial"/>
                <w:sz w:val="21"/>
              </w:rPr>
            </w:pPr>
          </w:p>
          <w:p w14:paraId="6D247E82">
            <w:pPr>
              <w:spacing w:line="244" w:lineRule="auto"/>
              <w:rPr>
                <w:rFonts w:ascii="Arial"/>
                <w:sz w:val="21"/>
              </w:rPr>
            </w:pPr>
          </w:p>
          <w:p w14:paraId="25E5350A">
            <w:pPr>
              <w:spacing w:line="244" w:lineRule="auto"/>
              <w:rPr>
                <w:rFonts w:ascii="Arial"/>
                <w:sz w:val="21"/>
              </w:rPr>
            </w:pPr>
          </w:p>
          <w:p w14:paraId="6C740FB1">
            <w:pPr>
              <w:spacing w:line="244" w:lineRule="auto"/>
              <w:rPr>
                <w:rFonts w:ascii="Arial"/>
                <w:sz w:val="21"/>
              </w:rPr>
            </w:pPr>
          </w:p>
          <w:p w14:paraId="4E384498">
            <w:pPr>
              <w:spacing w:line="244" w:lineRule="auto"/>
              <w:rPr>
                <w:rFonts w:ascii="Arial"/>
                <w:sz w:val="21"/>
              </w:rPr>
            </w:pPr>
          </w:p>
          <w:p w14:paraId="66427E4F">
            <w:pPr>
              <w:spacing w:line="244" w:lineRule="auto"/>
              <w:rPr>
                <w:rFonts w:ascii="Arial"/>
                <w:sz w:val="21"/>
              </w:rPr>
            </w:pPr>
          </w:p>
          <w:p w14:paraId="092143D8">
            <w:pPr>
              <w:spacing w:line="244" w:lineRule="auto"/>
              <w:rPr>
                <w:rFonts w:ascii="Arial"/>
                <w:sz w:val="21"/>
              </w:rPr>
            </w:pPr>
          </w:p>
          <w:p w14:paraId="2D0A4F95">
            <w:pPr>
              <w:spacing w:line="244" w:lineRule="auto"/>
              <w:rPr>
                <w:rFonts w:ascii="Arial"/>
                <w:sz w:val="21"/>
              </w:rPr>
            </w:pPr>
          </w:p>
          <w:p w14:paraId="77719386">
            <w:pPr>
              <w:spacing w:line="244" w:lineRule="auto"/>
              <w:rPr>
                <w:rFonts w:ascii="Arial"/>
                <w:sz w:val="21"/>
              </w:rPr>
            </w:pPr>
          </w:p>
          <w:p w14:paraId="66AC6338">
            <w:pPr>
              <w:spacing w:line="244" w:lineRule="auto"/>
              <w:rPr>
                <w:rFonts w:ascii="Arial"/>
                <w:sz w:val="21"/>
              </w:rPr>
            </w:pPr>
          </w:p>
          <w:p w14:paraId="36EECAB0">
            <w:pPr>
              <w:spacing w:line="244" w:lineRule="auto"/>
              <w:rPr>
                <w:rFonts w:ascii="Arial"/>
                <w:sz w:val="21"/>
              </w:rPr>
            </w:pPr>
          </w:p>
          <w:p w14:paraId="64CB49AC">
            <w:pPr>
              <w:spacing w:line="244" w:lineRule="auto"/>
              <w:rPr>
                <w:rFonts w:ascii="Arial"/>
                <w:sz w:val="21"/>
              </w:rPr>
            </w:pPr>
          </w:p>
          <w:p w14:paraId="1B2A78CB">
            <w:pPr>
              <w:spacing w:line="245" w:lineRule="auto"/>
              <w:rPr>
                <w:rFonts w:ascii="Arial"/>
                <w:sz w:val="21"/>
              </w:rPr>
            </w:pPr>
          </w:p>
          <w:p w14:paraId="1E98A38B">
            <w:pPr>
              <w:spacing w:line="245" w:lineRule="auto"/>
              <w:rPr>
                <w:rFonts w:ascii="Arial"/>
                <w:sz w:val="21"/>
              </w:rPr>
            </w:pPr>
          </w:p>
          <w:p w14:paraId="533D2B5E">
            <w:pPr>
              <w:spacing w:line="245" w:lineRule="auto"/>
              <w:rPr>
                <w:rFonts w:ascii="Arial"/>
                <w:sz w:val="21"/>
              </w:rPr>
            </w:pPr>
          </w:p>
          <w:p w14:paraId="265DEF93">
            <w:pPr>
              <w:spacing w:line="245" w:lineRule="auto"/>
              <w:rPr>
                <w:rFonts w:ascii="Arial"/>
                <w:sz w:val="21"/>
              </w:rPr>
            </w:pPr>
          </w:p>
          <w:p w14:paraId="3939F1E0">
            <w:pPr>
              <w:spacing w:line="245" w:lineRule="auto"/>
              <w:rPr>
                <w:rFonts w:ascii="Arial"/>
                <w:sz w:val="21"/>
              </w:rPr>
            </w:pPr>
          </w:p>
          <w:p w14:paraId="36A23344">
            <w:pPr>
              <w:pStyle w:val="8"/>
              <w:spacing w:before="58" w:line="184" w:lineRule="auto"/>
              <w:ind w:left="201"/>
              <w:rPr>
                <w:rFonts w:hint="default" w:eastAsia="宋体"/>
                <w:lang w:val="en-US" w:eastAsia="zh-CN"/>
              </w:rPr>
            </w:pPr>
            <w:r>
              <w:rPr>
                <w:rFonts w:hint="eastAsia"/>
                <w:spacing w:val="-8"/>
                <w:lang w:val="en-US" w:eastAsia="zh-CN"/>
              </w:rPr>
              <w:t>96</w:t>
            </w:r>
          </w:p>
        </w:tc>
        <w:tc>
          <w:tcPr>
            <w:tcW w:w="1104" w:type="dxa"/>
            <w:vAlign w:val="top"/>
          </w:tcPr>
          <w:p w14:paraId="2C352048">
            <w:pPr>
              <w:spacing w:line="251" w:lineRule="auto"/>
              <w:rPr>
                <w:rFonts w:ascii="Arial"/>
                <w:sz w:val="21"/>
              </w:rPr>
            </w:pPr>
          </w:p>
          <w:p w14:paraId="3C95A4E2">
            <w:pPr>
              <w:spacing w:line="251" w:lineRule="auto"/>
              <w:rPr>
                <w:rFonts w:ascii="Arial"/>
                <w:sz w:val="21"/>
              </w:rPr>
            </w:pPr>
          </w:p>
          <w:p w14:paraId="7E3C1423">
            <w:pPr>
              <w:spacing w:line="251" w:lineRule="auto"/>
              <w:rPr>
                <w:rFonts w:ascii="Arial"/>
                <w:sz w:val="21"/>
              </w:rPr>
            </w:pPr>
          </w:p>
          <w:p w14:paraId="2689F9AA">
            <w:pPr>
              <w:spacing w:line="251" w:lineRule="auto"/>
              <w:rPr>
                <w:rFonts w:ascii="Arial"/>
                <w:sz w:val="21"/>
              </w:rPr>
            </w:pPr>
          </w:p>
          <w:p w14:paraId="5C12271D">
            <w:pPr>
              <w:spacing w:line="251" w:lineRule="auto"/>
              <w:rPr>
                <w:rFonts w:ascii="Arial"/>
                <w:sz w:val="21"/>
              </w:rPr>
            </w:pPr>
          </w:p>
          <w:p w14:paraId="0A17CAF6">
            <w:pPr>
              <w:spacing w:line="251" w:lineRule="auto"/>
              <w:rPr>
                <w:rFonts w:ascii="Arial"/>
                <w:sz w:val="21"/>
              </w:rPr>
            </w:pPr>
          </w:p>
          <w:p w14:paraId="7921D0C5">
            <w:pPr>
              <w:spacing w:line="251" w:lineRule="auto"/>
              <w:rPr>
                <w:rFonts w:ascii="Arial"/>
                <w:sz w:val="21"/>
              </w:rPr>
            </w:pPr>
          </w:p>
          <w:p w14:paraId="377D6E0B">
            <w:pPr>
              <w:spacing w:line="252" w:lineRule="auto"/>
              <w:rPr>
                <w:rFonts w:ascii="Arial"/>
                <w:sz w:val="21"/>
              </w:rPr>
            </w:pPr>
          </w:p>
          <w:p w14:paraId="7256817A">
            <w:pPr>
              <w:spacing w:line="252" w:lineRule="auto"/>
              <w:rPr>
                <w:rFonts w:ascii="Arial"/>
                <w:sz w:val="21"/>
              </w:rPr>
            </w:pPr>
          </w:p>
          <w:p w14:paraId="34E1D8C5">
            <w:pPr>
              <w:spacing w:line="252" w:lineRule="auto"/>
              <w:rPr>
                <w:rFonts w:ascii="Arial"/>
                <w:sz w:val="21"/>
              </w:rPr>
            </w:pPr>
          </w:p>
          <w:p w14:paraId="4427DF80">
            <w:pPr>
              <w:spacing w:line="252" w:lineRule="auto"/>
              <w:rPr>
                <w:rFonts w:ascii="Arial"/>
                <w:sz w:val="21"/>
              </w:rPr>
            </w:pPr>
          </w:p>
          <w:p w14:paraId="05F51BA8">
            <w:pPr>
              <w:spacing w:line="252" w:lineRule="auto"/>
              <w:rPr>
                <w:rFonts w:ascii="Arial"/>
                <w:sz w:val="21"/>
              </w:rPr>
            </w:pPr>
          </w:p>
          <w:p w14:paraId="0715BC1A">
            <w:pPr>
              <w:spacing w:line="252" w:lineRule="auto"/>
              <w:rPr>
                <w:rFonts w:ascii="Arial"/>
                <w:sz w:val="21"/>
              </w:rPr>
            </w:pPr>
          </w:p>
          <w:p w14:paraId="0232A6BF">
            <w:pPr>
              <w:spacing w:line="252" w:lineRule="auto"/>
              <w:rPr>
                <w:rFonts w:ascii="Arial"/>
                <w:sz w:val="21"/>
              </w:rPr>
            </w:pPr>
          </w:p>
          <w:p w14:paraId="27FA8E97">
            <w:pPr>
              <w:pStyle w:val="8"/>
              <w:spacing w:before="58" w:line="242" w:lineRule="auto"/>
              <w:ind w:left="60" w:right="56"/>
              <w:jc w:val="both"/>
            </w:pPr>
            <w:r>
              <w:rPr>
                <w:spacing w:val="9"/>
              </w:rPr>
              <w:t>对擅自</w:t>
            </w:r>
            <w:r>
              <w:rPr>
                <w:spacing w:val="-53"/>
              </w:rPr>
              <w:t xml:space="preserve"> </w:t>
            </w:r>
            <w:r>
              <w:rPr>
                <w:spacing w:val="9"/>
              </w:rPr>
              <w:t>改变</w:t>
            </w:r>
            <w:r>
              <w:t xml:space="preserve"> </w:t>
            </w:r>
            <w:r>
              <w:rPr>
                <w:spacing w:val="16"/>
              </w:rPr>
              <w:t>国防交通工</w:t>
            </w:r>
            <w:r>
              <w:rPr>
                <w:spacing w:val="1"/>
              </w:rPr>
              <w:t xml:space="preserve"> </w:t>
            </w:r>
            <w:r>
              <w:rPr>
                <w:spacing w:val="16"/>
              </w:rPr>
              <w:t>程设施用途</w:t>
            </w:r>
            <w:r>
              <w:rPr>
                <w:spacing w:val="1"/>
              </w:rPr>
              <w:t xml:space="preserve"> </w:t>
            </w:r>
            <w:r>
              <w:rPr>
                <w:spacing w:val="16"/>
              </w:rPr>
              <w:t>或者作报废</w:t>
            </w:r>
            <w:r>
              <w:rPr>
                <w:spacing w:val="1"/>
              </w:rPr>
              <w:t xml:space="preserve"> </w:t>
            </w:r>
            <w:r>
              <w:rPr>
                <w:spacing w:val="16"/>
              </w:rPr>
              <w:t>处理等行为</w:t>
            </w:r>
            <w:r>
              <w:rPr>
                <w:spacing w:val="1"/>
              </w:rPr>
              <w:t xml:space="preserve"> </w:t>
            </w:r>
            <w:r>
              <w:rPr>
                <w:spacing w:val="-2"/>
              </w:rPr>
              <w:t>的行政处罚</w:t>
            </w:r>
          </w:p>
        </w:tc>
        <w:tc>
          <w:tcPr>
            <w:tcW w:w="1104" w:type="dxa"/>
            <w:vAlign w:val="top"/>
          </w:tcPr>
          <w:p w14:paraId="21E2243F">
            <w:pPr>
              <w:spacing w:line="242" w:lineRule="auto"/>
              <w:rPr>
                <w:rFonts w:ascii="Arial"/>
                <w:sz w:val="21"/>
              </w:rPr>
            </w:pPr>
          </w:p>
          <w:p w14:paraId="63CCFBD1">
            <w:pPr>
              <w:spacing w:line="242" w:lineRule="auto"/>
              <w:rPr>
                <w:rFonts w:ascii="Arial"/>
                <w:sz w:val="21"/>
              </w:rPr>
            </w:pPr>
          </w:p>
          <w:p w14:paraId="1787D417">
            <w:pPr>
              <w:spacing w:line="242" w:lineRule="auto"/>
              <w:rPr>
                <w:rFonts w:ascii="Arial"/>
                <w:sz w:val="21"/>
              </w:rPr>
            </w:pPr>
          </w:p>
          <w:p w14:paraId="5D4EFEC2">
            <w:pPr>
              <w:spacing w:line="242" w:lineRule="auto"/>
              <w:rPr>
                <w:rFonts w:ascii="Arial"/>
                <w:sz w:val="21"/>
              </w:rPr>
            </w:pPr>
          </w:p>
          <w:p w14:paraId="0398B2BB">
            <w:pPr>
              <w:spacing w:line="242" w:lineRule="auto"/>
              <w:rPr>
                <w:rFonts w:ascii="Arial"/>
                <w:sz w:val="21"/>
              </w:rPr>
            </w:pPr>
          </w:p>
          <w:p w14:paraId="11C1A308">
            <w:pPr>
              <w:spacing w:line="242" w:lineRule="auto"/>
              <w:rPr>
                <w:rFonts w:ascii="Arial"/>
                <w:sz w:val="21"/>
              </w:rPr>
            </w:pPr>
          </w:p>
          <w:p w14:paraId="63428FD7">
            <w:pPr>
              <w:spacing w:line="242" w:lineRule="auto"/>
              <w:rPr>
                <w:rFonts w:ascii="Arial"/>
                <w:sz w:val="21"/>
              </w:rPr>
            </w:pPr>
          </w:p>
          <w:p w14:paraId="1F53722E">
            <w:pPr>
              <w:spacing w:line="242" w:lineRule="auto"/>
              <w:rPr>
                <w:rFonts w:ascii="Arial"/>
                <w:sz w:val="21"/>
              </w:rPr>
            </w:pPr>
          </w:p>
          <w:p w14:paraId="33BD8C4C">
            <w:pPr>
              <w:spacing w:line="242" w:lineRule="auto"/>
              <w:rPr>
                <w:rFonts w:ascii="Arial"/>
                <w:sz w:val="21"/>
              </w:rPr>
            </w:pPr>
          </w:p>
          <w:p w14:paraId="512429A6">
            <w:pPr>
              <w:spacing w:line="242" w:lineRule="auto"/>
              <w:rPr>
                <w:rFonts w:ascii="Arial"/>
                <w:sz w:val="21"/>
              </w:rPr>
            </w:pPr>
          </w:p>
          <w:p w14:paraId="7BA23B6E">
            <w:pPr>
              <w:spacing w:line="242" w:lineRule="auto"/>
              <w:rPr>
                <w:rFonts w:ascii="Arial"/>
                <w:sz w:val="21"/>
              </w:rPr>
            </w:pPr>
          </w:p>
          <w:p w14:paraId="34862603">
            <w:pPr>
              <w:spacing w:line="242" w:lineRule="auto"/>
              <w:rPr>
                <w:rFonts w:ascii="Arial"/>
                <w:sz w:val="21"/>
              </w:rPr>
            </w:pPr>
          </w:p>
          <w:p w14:paraId="2DCB0E33">
            <w:pPr>
              <w:spacing w:line="242" w:lineRule="auto"/>
              <w:rPr>
                <w:rFonts w:ascii="Arial"/>
                <w:sz w:val="21"/>
              </w:rPr>
            </w:pPr>
          </w:p>
          <w:p w14:paraId="194C225E">
            <w:pPr>
              <w:spacing w:line="243" w:lineRule="auto"/>
              <w:rPr>
                <w:rFonts w:ascii="Arial"/>
                <w:sz w:val="21"/>
              </w:rPr>
            </w:pPr>
          </w:p>
          <w:p w14:paraId="7D3A6627">
            <w:pPr>
              <w:spacing w:line="243" w:lineRule="auto"/>
              <w:rPr>
                <w:rFonts w:ascii="Arial"/>
                <w:sz w:val="21"/>
              </w:rPr>
            </w:pPr>
          </w:p>
          <w:p w14:paraId="50171270">
            <w:pPr>
              <w:spacing w:line="243" w:lineRule="auto"/>
              <w:rPr>
                <w:rFonts w:ascii="Arial"/>
                <w:sz w:val="21"/>
              </w:rPr>
            </w:pPr>
          </w:p>
          <w:p w14:paraId="5323793F">
            <w:pPr>
              <w:spacing w:line="243" w:lineRule="auto"/>
              <w:rPr>
                <w:rFonts w:ascii="Arial"/>
                <w:sz w:val="21"/>
              </w:rPr>
            </w:pPr>
          </w:p>
          <w:p w14:paraId="30C23F36">
            <w:pPr>
              <w:pStyle w:val="8"/>
              <w:spacing w:before="59" w:line="220" w:lineRule="auto"/>
              <w:ind w:left="10"/>
            </w:pPr>
            <w:r>
              <w:rPr>
                <w:spacing w:val="-2"/>
              </w:rPr>
              <w:t>行政处罚</w:t>
            </w:r>
          </w:p>
        </w:tc>
        <w:tc>
          <w:tcPr>
            <w:tcW w:w="8549" w:type="dxa"/>
            <w:vAlign w:val="top"/>
          </w:tcPr>
          <w:p w14:paraId="6D14BF03">
            <w:pPr>
              <w:pStyle w:val="8"/>
              <w:spacing w:before="24" w:line="219" w:lineRule="auto"/>
              <w:ind w:left="476"/>
            </w:pPr>
            <w:r>
              <w:rPr>
                <w:b/>
                <w:bCs/>
                <w:spacing w:val="-3"/>
              </w:rPr>
              <w:t>《中华人民共和国国防交通法》</w:t>
            </w:r>
          </w:p>
          <w:p w14:paraId="0763182D">
            <w:pPr>
              <w:pStyle w:val="8"/>
              <w:spacing w:before="4" w:line="219" w:lineRule="auto"/>
              <w:ind w:left="471"/>
            </w:pPr>
            <w:r>
              <w:rPr>
                <w:spacing w:val="-1"/>
              </w:rPr>
              <w:t>第二十三条  国防交通工程设施管理单位负责国防交通工程设施的维护和管理，保持其国防功能。</w:t>
            </w:r>
          </w:p>
          <w:p w14:paraId="476B438A">
            <w:pPr>
              <w:pStyle w:val="8"/>
              <w:spacing w:before="6" w:line="223" w:lineRule="auto"/>
              <w:ind w:left="114" w:right="104" w:firstLine="374"/>
            </w:pPr>
            <w:r>
              <w:rPr>
                <w:spacing w:val="1"/>
              </w:rPr>
              <w:t>国防交通工程设施需要改变用途或者作报废处理的，由国防交通工</w:t>
            </w:r>
            <w:r>
              <w:t xml:space="preserve">程设施管理单位逐级上报国家国防 </w:t>
            </w:r>
            <w:r>
              <w:rPr>
                <w:spacing w:val="-2"/>
              </w:rPr>
              <w:t>交通主管机构或者其授权的国防交通主管机构批准。</w:t>
            </w:r>
          </w:p>
          <w:p w14:paraId="0E726B4F">
            <w:pPr>
              <w:pStyle w:val="8"/>
              <w:spacing w:before="4" w:line="219" w:lineRule="auto"/>
              <w:ind w:left="471"/>
            </w:pPr>
            <w:r>
              <w:rPr>
                <w:spacing w:val="-1"/>
              </w:rPr>
              <w:t>县级以上人民政府应当加强对国防交通工程设施维护管理工作</w:t>
            </w:r>
            <w:r>
              <w:rPr>
                <w:spacing w:val="-2"/>
              </w:rPr>
              <w:t>的监督检查。</w:t>
            </w:r>
          </w:p>
          <w:p w14:paraId="0E0959CC">
            <w:pPr>
              <w:pStyle w:val="8"/>
              <w:spacing w:before="7" w:line="223" w:lineRule="auto"/>
              <w:ind w:left="111" w:right="135" w:firstLine="360"/>
            </w:pPr>
            <w:r>
              <w:t>第三十五条  县级以上人民政府交通主管部门会同军队有关交通运输部门按照统一计划、集中指挥、</w:t>
            </w:r>
            <w:r>
              <w:rPr>
                <w:spacing w:val="15"/>
              </w:rPr>
              <w:t xml:space="preserve"> </w:t>
            </w:r>
            <w:r>
              <w:rPr>
                <w:spacing w:val="-2"/>
              </w:rPr>
              <w:t>迅速准确、安全保密的原则，组织国防运输。</w:t>
            </w:r>
          </w:p>
          <w:p w14:paraId="12D2146F">
            <w:pPr>
              <w:pStyle w:val="8"/>
              <w:spacing w:before="5" w:line="219" w:lineRule="auto"/>
              <w:ind w:left="471"/>
            </w:pPr>
            <w:r>
              <w:rPr>
                <w:spacing w:val="-2"/>
              </w:rPr>
              <w:t>承担国防运输任务的公民和组织应当优先安排国防运输任务。</w:t>
            </w:r>
          </w:p>
          <w:p w14:paraId="6ACFF3BA">
            <w:pPr>
              <w:pStyle w:val="8"/>
              <w:spacing w:before="8" w:line="223" w:lineRule="auto"/>
              <w:ind w:left="111" w:right="58" w:firstLine="360"/>
            </w:pPr>
            <w:r>
              <w:rPr>
                <w:spacing w:val="-2"/>
              </w:rPr>
              <w:t>第四十四条  重点交通目标的管理单位和预定承担保障任务的单位，在重点交通目标受到破坏威胁时，</w:t>
            </w:r>
            <w:r>
              <w:rPr>
                <w:spacing w:val="5"/>
              </w:rPr>
              <w:t xml:space="preserve"> </w:t>
            </w:r>
            <w:r>
              <w:rPr>
                <w:spacing w:val="1"/>
              </w:rPr>
              <w:t>应当立即启动保障预案，做好相应准备；在重点交通目标遭受破坏时，应当按照任务分工，迅速组织实施</w:t>
            </w:r>
            <w:r>
              <w:t xml:space="preserve"> </w:t>
            </w:r>
            <w:r>
              <w:rPr>
                <w:spacing w:val="-2"/>
              </w:rPr>
              <w:t>工程加固和抢修、抢建，尽快恢复交通。</w:t>
            </w:r>
          </w:p>
          <w:p w14:paraId="3AF15E1A">
            <w:pPr>
              <w:pStyle w:val="8"/>
              <w:spacing w:before="7" w:line="223" w:lineRule="auto"/>
              <w:ind w:left="119" w:right="121" w:firstLine="355"/>
            </w:pPr>
            <w:r>
              <w:rPr>
                <w:spacing w:val="1"/>
              </w:rPr>
              <w:t>与国防运输有关的其他交通工程设施遭到破坏的，其管理单位</w:t>
            </w:r>
            <w:r>
              <w:t xml:space="preserve">应当及时按照管理关系向上级报告，同 </w:t>
            </w:r>
            <w:r>
              <w:rPr>
                <w:spacing w:val="-6"/>
              </w:rPr>
              <w:t>时组织修复。</w:t>
            </w:r>
          </w:p>
          <w:p w14:paraId="430E02E2">
            <w:pPr>
              <w:pStyle w:val="8"/>
              <w:spacing w:before="4" w:line="223" w:lineRule="auto"/>
              <w:ind w:left="112" w:right="44" w:firstLine="358"/>
            </w:pPr>
            <w:r>
              <w:rPr>
                <w:spacing w:val="1"/>
              </w:rPr>
              <w:t>第五十二条第二款  国防交通储备物资储存管理单位应当建立健全管理制度，按照国家有关规定和标</w:t>
            </w:r>
            <w:r>
              <w:rPr>
                <w:spacing w:val="2"/>
              </w:rPr>
              <w:t xml:space="preserve"> </w:t>
            </w:r>
            <w:r>
              <w:rPr>
                <w:spacing w:val="-1"/>
              </w:rPr>
              <w:t>准对储备物资进行保管、维护和更新，保证</w:t>
            </w:r>
            <w:r>
              <w:rPr>
                <w:spacing w:val="-2"/>
              </w:rPr>
              <w:t>储备物资的使用效能和安全，不得挪用、损坏和丢失储备物资。</w:t>
            </w:r>
          </w:p>
          <w:p w14:paraId="47A29A9F">
            <w:pPr>
              <w:pStyle w:val="8"/>
              <w:spacing w:before="6" w:line="222" w:lineRule="auto"/>
              <w:ind w:left="112" w:right="104" w:firstLine="358"/>
            </w:pPr>
            <w:r>
              <w:rPr>
                <w:spacing w:val="1"/>
              </w:rPr>
              <w:t xml:space="preserve">第五十三条  战时和平时特殊情况下执行交通防护和抢修、抢建任务，或者组织重大军事演习，抢险 </w:t>
            </w:r>
            <w:r>
              <w:rPr>
                <w:spacing w:val="-1"/>
              </w:rPr>
              <w:t>救灾以及国防交通专业保障队伍训练、演练等需要的，可以调用国防交通储备物资。</w:t>
            </w:r>
          </w:p>
          <w:p w14:paraId="45244AE3">
            <w:pPr>
              <w:pStyle w:val="8"/>
              <w:spacing w:before="6" w:line="223" w:lineRule="auto"/>
              <w:ind w:left="140" w:right="44" w:firstLine="331"/>
            </w:pPr>
            <w:r>
              <w:rPr>
                <w:spacing w:val="-2"/>
              </w:rPr>
              <w:t>调用中央储备的国防交通物资，由国家国防交通主管机构批准；调用地方储备的国防交通物资，由省、</w:t>
            </w:r>
            <w:r>
              <w:rPr>
                <w:spacing w:val="15"/>
              </w:rPr>
              <w:t xml:space="preserve"> </w:t>
            </w:r>
            <w:r>
              <w:rPr>
                <w:spacing w:val="-3"/>
              </w:rPr>
              <w:t>自治区、直辖市人民政府国防交通主管机构批准。</w:t>
            </w:r>
          </w:p>
          <w:p w14:paraId="56D98BA6">
            <w:pPr>
              <w:pStyle w:val="8"/>
              <w:spacing w:before="5" w:line="223" w:lineRule="auto"/>
              <w:ind w:left="474" w:right="1090" w:firstLine="14"/>
            </w:pPr>
            <w:r>
              <w:rPr>
                <w:spacing w:val="-1"/>
              </w:rPr>
              <w:t>国防交通储备物资储存管理单位，应当严格执行</w:t>
            </w:r>
            <w:r>
              <w:rPr>
                <w:spacing w:val="-2"/>
              </w:rPr>
              <w:t>储备物资调用指令，不得拒绝或者拖延。</w:t>
            </w:r>
            <w:r>
              <w:t xml:space="preserve"> </w:t>
            </w:r>
            <w:r>
              <w:rPr>
                <w:spacing w:val="-2"/>
              </w:rPr>
              <w:t>未经批准，任何组织和个人不得动用国防交通储备物资。</w:t>
            </w:r>
          </w:p>
          <w:p w14:paraId="5DF9676A">
            <w:pPr>
              <w:pStyle w:val="8"/>
              <w:spacing w:before="7" w:line="221" w:lineRule="auto"/>
              <w:ind w:left="115" w:right="111" w:firstLine="355"/>
            </w:pPr>
            <w:r>
              <w:rPr>
                <w:spacing w:val="1"/>
              </w:rPr>
              <w:t>第五十四条  国防交通储备物资因产品技术升级、更新换代或者主要技术性能低于使用</w:t>
            </w:r>
            <w:r>
              <w:t xml:space="preserve">维护要求，丧 </w:t>
            </w:r>
            <w:r>
              <w:rPr>
                <w:spacing w:val="-2"/>
              </w:rPr>
              <w:t>失储备价值的，可以改变用途或者作报废处理。</w:t>
            </w:r>
          </w:p>
          <w:p w14:paraId="5B4F385C">
            <w:pPr>
              <w:pStyle w:val="8"/>
              <w:spacing w:before="8" w:line="223" w:lineRule="auto"/>
              <w:ind w:left="120" w:right="104" w:firstLine="367"/>
            </w:pPr>
            <w:r>
              <w:rPr>
                <w:spacing w:val="1"/>
              </w:rPr>
              <w:t>中央储备的国防交通物资需要改变用途或者作报废处理的，由国家国</w:t>
            </w:r>
            <w:r>
              <w:t xml:space="preserve">防交通主管机构组织技术鉴定并 </w:t>
            </w:r>
            <w:r>
              <w:rPr>
                <w:spacing w:val="-3"/>
              </w:rPr>
              <w:t>审核后，报国务院财政部门审批。</w:t>
            </w:r>
          </w:p>
          <w:p w14:paraId="61E97817">
            <w:pPr>
              <w:pStyle w:val="8"/>
              <w:spacing w:before="4" w:line="223" w:lineRule="auto"/>
              <w:ind w:left="112" w:right="104" w:firstLine="358"/>
            </w:pPr>
            <w:r>
              <w:rPr>
                <w:spacing w:val="1"/>
              </w:rPr>
              <w:t>地方储备的国防交通物资需要改变用途或者作报废处理的，由省、自治区、直辖市人民政府国防交通</w:t>
            </w:r>
            <w:r>
              <w:rPr>
                <w:spacing w:val="2"/>
              </w:rPr>
              <w:t xml:space="preserve"> </w:t>
            </w:r>
            <w:r>
              <w:rPr>
                <w:spacing w:val="-1"/>
              </w:rPr>
              <w:t>主管机构组织技术鉴定并审核后，报本级人民政府财</w:t>
            </w:r>
            <w:r>
              <w:rPr>
                <w:spacing w:val="-2"/>
              </w:rPr>
              <w:t>政部门审批。</w:t>
            </w:r>
          </w:p>
          <w:p w14:paraId="50F4ABD0">
            <w:pPr>
              <w:pStyle w:val="8"/>
              <w:spacing w:before="8" w:line="225" w:lineRule="auto"/>
              <w:ind w:left="113" w:right="104" w:firstLine="374"/>
            </w:pPr>
            <w:r>
              <w:rPr>
                <w:spacing w:val="1"/>
              </w:rPr>
              <w:t>中央和地方储备的国防交通物资改变用途或者报废获得的收益，应当</w:t>
            </w:r>
            <w:r>
              <w:t xml:space="preserve">上缴本级国库，纳入财政预算管 </w:t>
            </w:r>
            <w:r>
              <w:rPr>
                <w:spacing w:val="-9"/>
              </w:rPr>
              <w:t>理。</w:t>
            </w:r>
          </w:p>
          <w:p w14:paraId="071AD409">
            <w:pPr>
              <w:pStyle w:val="8"/>
              <w:spacing w:before="1" w:line="223" w:lineRule="auto"/>
              <w:ind w:left="115" w:right="104" w:firstLine="355"/>
              <w:jc w:val="both"/>
            </w:pPr>
            <w:r>
              <w:rPr>
                <w:spacing w:val="1"/>
              </w:rPr>
              <w:t>第五十五条  违反本法规定，有下列行为之一的，由县级以上人民政府交通主管部门或者国防交通主 管机构责令限期改正，对负有直接责任的主管人员和其他直接责任人员依</w:t>
            </w:r>
            <w:r>
              <w:t xml:space="preserve">法给予处分；有违法所得的，予 </w:t>
            </w:r>
            <w:r>
              <w:rPr>
                <w:spacing w:val="-3"/>
              </w:rPr>
              <w:t>以没收，并处违法所得一倍以上五倍以下罚款：</w:t>
            </w:r>
          </w:p>
          <w:p w14:paraId="58838D98">
            <w:pPr>
              <w:pStyle w:val="8"/>
              <w:spacing w:before="7" w:line="219" w:lineRule="auto"/>
              <w:ind w:left="481"/>
            </w:pPr>
            <w:r>
              <w:rPr>
                <w:spacing w:val="-3"/>
              </w:rPr>
              <w:t>（一）擅自改变国防交通工程设施用途或者作报废处理的；</w:t>
            </w:r>
          </w:p>
          <w:p w14:paraId="2D628287">
            <w:pPr>
              <w:pStyle w:val="8"/>
              <w:spacing w:before="7" w:line="219" w:lineRule="auto"/>
              <w:ind w:left="481"/>
            </w:pPr>
            <w:r>
              <w:rPr>
                <w:spacing w:val="-3"/>
              </w:rPr>
              <w:t>（二）拒绝或者故意拖延执行国防运输任务的；</w:t>
            </w:r>
          </w:p>
          <w:p w14:paraId="7FD34445">
            <w:pPr>
              <w:pStyle w:val="8"/>
              <w:spacing w:before="5" w:line="219" w:lineRule="auto"/>
              <w:ind w:left="481"/>
            </w:pPr>
            <w:r>
              <w:rPr>
                <w:spacing w:val="-2"/>
              </w:rPr>
              <w:t>（三）拒绝或者故意拖延执行重点交通目标抢修</w:t>
            </w:r>
            <w:r>
              <w:rPr>
                <w:spacing w:val="-3"/>
              </w:rPr>
              <w:t>、抢建任务的；</w:t>
            </w:r>
          </w:p>
          <w:p w14:paraId="2CAA5173">
            <w:pPr>
              <w:pStyle w:val="8"/>
              <w:spacing w:before="7" w:line="219" w:lineRule="auto"/>
              <w:ind w:left="481"/>
            </w:pPr>
            <w:r>
              <w:rPr>
                <w:spacing w:val="-3"/>
              </w:rPr>
              <w:t>（四）拒绝或者故意拖延执行国防交通储备物资调用命令的；</w:t>
            </w:r>
          </w:p>
          <w:p w14:paraId="75AA24FF">
            <w:pPr>
              <w:pStyle w:val="8"/>
              <w:spacing w:before="8" w:line="219" w:lineRule="auto"/>
              <w:ind w:left="481"/>
            </w:pPr>
            <w:r>
              <w:rPr>
                <w:spacing w:val="-3"/>
              </w:rPr>
              <w:t>（五）擅自改变国防交通储备物资用途或者作报废处理的；</w:t>
            </w:r>
          </w:p>
          <w:p w14:paraId="6F4EE1E0">
            <w:pPr>
              <w:pStyle w:val="8"/>
              <w:spacing w:before="4" w:line="220" w:lineRule="auto"/>
              <w:ind w:left="481"/>
            </w:pPr>
            <w:r>
              <w:rPr>
                <w:spacing w:val="-4"/>
              </w:rPr>
              <w:t>（六）擅自动用国防交通储备物资的；</w:t>
            </w:r>
          </w:p>
          <w:p w14:paraId="4DF685B6">
            <w:pPr>
              <w:pStyle w:val="8"/>
              <w:spacing w:before="7" w:line="194" w:lineRule="auto"/>
              <w:ind w:left="481"/>
            </w:pPr>
            <w:r>
              <w:rPr>
                <w:spacing w:val="-2"/>
              </w:rPr>
              <w:t>（七）未按照规定保管、维护国防交通储备物资，造成损坏、丢失的。</w:t>
            </w:r>
          </w:p>
        </w:tc>
        <w:tc>
          <w:tcPr>
            <w:tcW w:w="1014" w:type="dxa"/>
            <w:vAlign w:val="top"/>
          </w:tcPr>
          <w:p w14:paraId="7BC89B2B">
            <w:pPr>
              <w:spacing w:line="250" w:lineRule="auto"/>
              <w:rPr>
                <w:rFonts w:ascii="Arial"/>
                <w:sz w:val="21"/>
              </w:rPr>
            </w:pPr>
          </w:p>
          <w:p w14:paraId="788AAE2C">
            <w:pPr>
              <w:spacing w:line="250" w:lineRule="auto"/>
              <w:rPr>
                <w:rFonts w:ascii="Arial"/>
                <w:sz w:val="21"/>
              </w:rPr>
            </w:pPr>
          </w:p>
          <w:p w14:paraId="23C33032">
            <w:pPr>
              <w:spacing w:line="250" w:lineRule="auto"/>
              <w:rPr>
                <w:rFonts w:ascii="Arial"/>
                <w:sz w:val="21"/>
              </w:rPr>
            </w:pPr>
          </w:p>
          <w:p w14:paraId="5FABEE1B">
            <w:pPr>
              <w:spacing w:line="250" w:lineRule="auto"/>
              <w:rPr>
                <w:rFonts w:ascii="Arial"/>
                <w:sz w:val="21"/>
              </w:rPr>
            </w:pPr>
          </w:p>
          <w:p w14:paraId="22CC3BB9">
            <w:pPr>
              <w:spacing w:line="250" w:lineRule="auto"/>
              <w:rPr>
                <w:rFonts w:ascii="Arial"/>
                <w:sz w:val="21"/>
              </w:rPr>
            </w:pPr>
          </w:p>
          <w:p w14:paraId="29DB7048">
            <w:pPr>
              <w:spacing w:line="250" w:lineRule="auto"/>
              <w:rPr>
                <w:rFonts w:ascii="Arial"/>
                <w:sz w:val="21"/>
              </w:rPr>
            </w:pPr>
          </w:p>
          <w:p w14:paraId="6D4685AC">
            <w:pPr>
              <w:spacing w:line="250" w:lineRule="auto"/>
              <w:rPr>
                <w:rFonts w:ascii="Arial"/>
                <w:sz w:val="21"/>
              </w:rPr>
            </w:pPr>
          </w:p>
          <w:p w14:paraId="56B58D03">
            <w:pPr>
              <w:spacing w:line="250" w:lineRule="auto"/>
              <w:rPr>
                <w:rFonts w:ascii="Arial"/>
                <w:sz w:val="21"/>
              </w:rPr>
            </w:pPr>
          </w:p>
          <w:p w14:paraId="6C91836A">
            <w:pPr>
              <w:spacing w:line="250" w:lineRule="auto"/>
              <w:rPr>
                <w:rFonts w:ascii="Arial"/>
                <w:sz w:val="21"/>
              </w:rPr>
            </w:pPr>
          </w:p>
          <w:p w14:paraId="36D22618">
            <w:pPr>
              <w:spacing w:line="250" w:lineRule="auto"/>
              <w:rPr>
                <w:rFonts w:ascii="Arial"/>
                <w:sz w:val="21"/>
              </w:rPr>
            </w:pPr>
          </w:p>
          <w:p w14:paraId="752F73D5">
            <w:pPr>
              <w:spacing w:line="251" w:lineRule="auto"/>
              <w:rPr>
                <w:rFonts w:ascii="Arial"/>
                <w:sz w:val="21"/>
              </w:rPr>
            </w:pPr>
          </w:p>
          <w:p w14:paraId="2DFA2169">
            <w:pPr>
              <w:spacing w:line="251" w:lineRule="auto"/>
              <w:rPr>
                <w:rFonts w:ascii="Arial"/>
                <w:sz w:val="21"/>
              </w:rPr>
            </w:pPr>
          </w:p>
          <w:p w14:paraId="5B4522E0">
            <w:pPr>
              <w:spacing w:line="251" w:lineRule="auto"/>
              <w:rPr>
                <w:rFonts w:ascii="Arial"/>
                <w:sz w:val="21"/>
              </w:rPr>
            </w:pPr>
          </w:p>
          <w:p w14:paraId="56BE4A2B">
            <w:pPr>
              <w:spacing w:line="251" w:lineRule="auto"/>
              <w:rPr>
                <w:rFonts w:ascii="Arial"/>
                <w:sz w:val="21"/>
              </w:rPr>
            </w:pPr>
          </w:p>
          <w:p w14:paraId="0F386AE9">
            <w:pPr>
              <w:spacing w:line="251" w:lineRule="auto"/>
              <w:rPr>
                <w:rFonts w:ascii="Arial"/>
                <w:sz w:val="21"/>
              </w:rPr>
            </w:pPr>
          </w:p>
          <w:p w14:paraId="468AA207">
            <w:pPr>
              <w:spacing w:line="251" w:lineRule="auto"/>
              <w:rPr>
                <w:rFonts w:ascii="Arial"/>
                <w:sz w:val="21"/>
              </w:rPr>
            </w:pPr>
          </w:p>
          <w:p w14:paraId="4909EA7D">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1D8DAAB2">
            <w:pPr>
              <w:spacing w:line="250" w:lineRule="auto"/>
              <w:rPr>
                <w:rFonts w:ascii="Arial"/>
                <w:sz w:val="21"/>
              </w:rPr>
            </w:pPr>
          </w:p>
          <w:p w14:paraId="179C6AC9">
            <w:pPr>
              <w:spacing w:line="250" w:lineRule="auto"/>
              <w:rPr>
                <w:rFonts w:ascii="Arial"/>
                <w:sz w:val="21"/>
              </w:rPr>
            </w:pPr>
          </w:p>
          <w:p w14:paraId="6C1C4A6F">
            <w:pPr>
              <w:spacing w:line="250" w:lineRule="auto"/>
              <w:rPr>
                <w:rFonts w:ascii="Arial"/>
                <w:sz w:val="21"/>
              </w:rPr>
            </w:pPr>
          </w:p>
          <w:p w14:paraId="104ABA88">
            <w:pPr>
              <w:spacing w:line="250" w:lineRule="auto"/>
              <w:rPr>
                <w:rFonts w:ascii="Arial"/>
                <w:sz w:val="21"/>
              </w:rPr>
            </w:pPr>
          </w:p>
          <w:p w14:paraId="029475B6">
            <w:pPr>
              <w:spacing w:line="250" w:lineRule="auto"/>
              <w:rPr>
                <w:rFonts w:ascii="Arial"/>
                <w:sz w:val="21"/>
              </w:rPr>
            </w:pPr>
          </w:p>
          <w:p w14:paraId="51E0D0AC">
            <w:pPr>
              <w:spacing w:line="250" w:lineRule="auto"/>
              <w:rPr>
                <w:rFonts w:ascii="Arial"/>
                <w:sz w:val="21"/>
              </w:rPr>
            </w:pPr>
          </w:p>
          <w:p w14:paraId="5A3D0D6B">
            <w:pPr>
              <w:spacing w:line="250" w:lineRule="auto"/>
              <w:rPr>
                <w:rFonts w:ascii="Arial"/>
                <w:sz w:val="21"/>
              </w:rPr>
            </w:pPr>
          </w:p>
          <w:p w14:paraId="5665858A">
            <w:pPr>
              <w:spacing w:line="250" w:lineRule="auto"/>
              <w:rPr>
                <w:rFonts w:ascii="Arial"/>
                <w:sz w:val="21"/>
              </w:rPr>
            </w:pPr>
          </w:p>
          <w:p w14:paraId="7CE76A5A">
            <w:pPr>
              <w:spacing w:line="250" w:lineRule="auto"/>
              <w:rPr>
                <w:rFonts w:ascii="Arial"/>
                <w:sz w:val="21"/>
              </w:rPr>
            </w:pPr>
          </w:p>
          <w:p w14:paraId="3D06A6D7">
            <w:pPr>
              <w:spacing w:line="250" w:lineRule="auto"/>
              <w:rPr>
                <w:rFonts w:ascii="Arial"/>
                <w:sz w:val="21"/>
              </w:rPr>
            </w:pPr>
          </w:p>
          <w:p w14:paraId="5A6A8309">
            <w:pPr>
              <w:spacing w:line="251" w:lineRule="auto"/>
              <w:rPr>
                <w:rFonts w:ascii="Arial"/>
                <w:sz w:val="21"/>
              </w:rPr>
            </w:pPr>
          </w:p>
          <w:p w14:paraId="34EEEA60">
            <w:pPr>
              <w:spacing w:line="251" w:lineRule="auto"/>
              <w:rPr>
                <w:rFonts w:ascii="Arial"/>
                <w:sz w:val="21"/>
              </w:rPr>
            </w:pPr>
          </w:p>
          <w:p w14:paraId="0CE44D37">
            <w:pPr>
              <w:spacing w:line="251" w:lineRule="auto"/>
              <w:rPr>
                <w:rFonts w:ascii="Arial"/>
                <w:sz w:val="21"/>
              </w:rPr>
            </w:pPr>
          </w:p>
          <w:p w14:paraId="58063919">
            <w:pPr>
              <w:spacing w:line="251" w:lineRule="auto"/>
              <w:rPr>
                <w:rFonts w:ascii="Arial"/>
                <w:sz w:val="21"/>
              </w:rPr>
            </w:pPr>
          </w:p>
          <w:p w14:paraId="141B88B1">
            <w:pPr>
              <w:spacing w:line="251" w:lineRule="auto"/>
              <w:rPr>
                <w:rFonts w:ascii="Arial"/>
                <w:sz w:val="21"/>
              </w:rPr>
            </w:pPr>
          </w:p>
          <w:p w14:paraId="433CC368">
            <w:pPr>
              <w:spacing w:line="251" w:lineRule="auto"/>
              <w:rPr>
                <w:rFonts w:ascii="Arial"/>
                <w:sz w:val="21"/>
              </w:rPr>
            </w:pPr>
          </w:p>
          <w:p w14:paraId="1ACD934F">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1B168DA3">
            <w:pPr>
              <w:spacing w:line="251" w:lineRule="auto"/>
              <w:rPr>
                <w:rFonts w:ascii="Arial"/>
                <w:sz w:val="21"/>
              </w:rPr>
            </w:pPr>
          </w:p>
          <w:p w14:paraId="5B11A4D7">
            <w:pPr>
              <w:spacing w:line="251" w:lineRule="auto"/>
              <w:rPr>
                <w:rFonts w:ascii="Arial"/>
                <w:sz w:val="21"/>
              </w:rPr>
            </w:pPr>
          </w:p>
          <w:p w14:paraId="6AD8ED30">
            <w:pPr>
              <w:spacing w:line="251" w:lineRule="auto"/>
              <w:rPr>
                <w:rFonts w:ascii="Arial"/>
                <w:sz w:val="21"/>
              </w:rPr>
            </w:pPr>
          </w:p>
          <w:p w14:paraId="60ED0F32">
            <w:pPr>
              <w:spacing w:line="251" w:lineRule="auto"/>
              <w:rPr>
                <w:rFonts w:ascii="Arial"/>
                <w:sz w:val="21"/>
              </w:rPr>
            </w:pPr>
          </w:p>
          <w:p w14:paraId="1CE40E22">
            <w:pPr>
              <w:spacing w:line="251" w:lineRule="auto"/>
              <w:rPr>
                <w:rFonts w:ascii="Arial"/>
                <w:sz w:val="21"/>
              </w:rPr>
            </w:pPr>
          </w:p>
          <w:p w14:paraId="47B07584">
            <w:pPr>
              <w:spacing w:line="251" w:lineRule="auto"/>
              <w:rPr>
                <w:rFonts w:ascii="Arial"/>
                <w:sz w:val="21"/>
              </w:rPr>
            </w:pPr>
          </w:p>
          <w:p w14:paraId="44871F95">
            <w:pPr>
              <w:spacing w:line="251" w:lineRule="auto"/>
              <w:rPr>
                <w:rFonts w:ascii="Arial"/>
                <w:sz w:val="21"/>
              </w:rPr>
            </w:pPr>
          </w:p>
          <w:p w14:paraId="38778614">
            <w:pPr>
              <w:spacing w:line="251" w:lineRule="auto"/>
              <w:rPr>
                <w:rFonts w:ascii="Arial"/>
                <w:sz w:val="21"/>
              </w:rPr>
            </w:pPr>
          </w:p>
          <w:p w14:paraId="32AD78CB">
            <w:pPr>
              <w:spacing w:line="251" w:lineRule="auto"/>
              <w:rPr>
                <w:rFonts w:ascii="Arial"/>
                <w:sz w:val="21"/>
              </w:rPr>
            </w:pPr>
          </w:p>
          <w:p w14:paraId="614DBC78">
            <w:pPr>
              <w:spacing w:line="251" w:lineRule="auto"/>
              <w:rPr>
                <w:rFonts w:ascii="Arial"/>
                <w:sz w:val="21"/>
              </w:rPr>
            </w:pPr>
          </w:p>
          <w:p w14:paraId="4C713CFB">
            <w:pPr>
              <w:spacing w:line="251" w:lineRule="auto"/>
              <w:rPr>
                <w:rFonts w:ascii="Arial"/>
                <w:sz w:val="21"/>
              </w:rPr>
            </w:pPr>
          </w:p>
          <w:p w14:paraId="1F59C2BD">
            <w:pPr>
              <w:spacing w:line="252" w:lineRule="auto"/>
              <w:rPr>
                <w:rFonts w:ascii="Arial"/>
                <w:sz w:val="21"/>
              </w:rPr>
            </w:pPr>
          </w:p>
          <w:p w14:paraId="243B454D">
            <w:pPr>
              <w:spacing w:line="252" w:lineRule="auto"/>
              <w:rPr>
                <w:rFonts w:ascii="Arial"/>
                <w:sz w:val="21"/>
              </w:rPr>
            </w:pPr>
          </w:p>
          <w:p w14:paraId="424C31EF">
            <w:pPr>
              <w:spacing w:line="252" w:lineRule="auto"/>
              <w:rPr>
                <w:rFonts w:ascii="Arial"/>
                <w:sz w:val="21"/>
              </w:rPr>
            </w:pPr>
          </w:p>
          <w:p w14:paraId="691DA04C">
            <w:pPr>
              <w:spacing w:line="252" w:lineRule="auto"/>
              <w:rPr>
                <w:rFonts w:ascii="Arial"/>
                <w:sz w:val="21"/>
              </w:rPr>
            </w:pPr>
          </w:p>
          <w:p w14:paraId="3EA867C8">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7E93910E">
      <w:pPr>
        <w:pStyle w:val="2"/>
      </w:pPr>
    </w:p>
    <w:p w14:paraId="6CE18C61">
      <w:pPr>
        <w:sectPr>
          <w:footerReference r:id="rId124" w:type="default"/>
          <w:pgSz w:w="16839" w:h="11906"/>
          <w:pgMar w:top="1012" w:right="991" w:bottom="967" w:left="1021" w:header="0" w:footer="768" w:gutter="0"/>
          <w:cols w:space="720" w:num="1"/>
        </w:sectPr>
      </w:pPr>
    </w:p>
    <w:p w14:paraId="1DA38614">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2AB2E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5FC89E2F">
            <w:pPr>
              <w:pStyle w:val="8"/>
              <w:spacing w:before="267" w:line="221" w:lineRule="auto"/>
              <w:ind w:left="134"/>
            </w:pPr>
            <w:r>
              <w:rPr>
                <w:b/>
                <w:bCs/>
                <w:spacing w:val="-4"/>
              </w:rPr>
              <w:t>序号</w:t>
            </w:r>
          </w:p>
        </w:tc>
        <w:tc>
          <w:tcPr>
            <w:tcW w:w="1104" w:type="dxa"/>
            <w:vMerge w:val="restart"/>
            <w:tcBorders>
              <w:bottom w:val="nil"/>
            </w:tcBorders>
            <w:vAlign w:val="top"/>
          </w:tcPr>
          <w:p w14:paraId="25D1A1E7">
            <w:pPr>
              <w:pStyle w:val="8"/>
              <w:spacing w:before="260" w:line="220" w:lineRule="auto"/>
              <w:ind w:left="192"/>
            </w:pPr>
            <w:r>
              <w:rPr>
                <w:b/>
                <w:bCs/>
                <w:spacing w:val="-4"/>
              </w:rPr>
              <w:t>事项名称</w:t>
            </w:r>
          </w:p>
        </w:tc>
        <w:tc>
          <w:tcPr>
            <w:tcW w:w="1104" w:type="dxa"/>
            <w:vMerge w:val="restart"/>
            <w:tcBorders>
              <w:bottom w:val="nil"/>
            </w:tcBorders>
            <w:vAlign w:val="top"/>
          </w:tcPr>
          <w:p w14:paraId="160E13FC">
            <w:pPr>
              <w:pStyle w:val="8"/>
              <w:spacing w:before="260" w:line="219" w:lineRule="auto"/>
              <w:ind w:left="193"/>
            </w:pPr>
            <w:r>
              <w:rPr>
                <w:b/>
                <w:bCs/>
                <w:spacing w:val="-4"/>
              </w:rPr>
              <w:t>职权类型</w:t>
            </w:r>
          </w:p>
        </w:tc>
        <w:tc>
          <w:tcPr>
            <w:tcW w:w="8549" w:type="dxa"/>
            <w:vMerge w:val="restart"/>
            <w:tcBorders>
              <w:bottom w:val="nil"/>
            </w:tcBorders>
            <w:vAlign w:val="top"/>
          </w:tcPr>
          <w:p w14:paraId="123C47EA">
            <w:pPr>
              <w:pStyle w:val="8"/>
              <w:spacing w:before="259" w:line="219" w:lineRule="auto"/>
              <w:ind w:left="3921"/>
            </w:pPr>
            <w:r>
              <w:rPr>
                <w:b/>
                <w:bCs/>
                <w:spacing w:val="-5"/>
              </w:rPr>
              <w:t>实施依据</w:t>
            </w:r>
          </w:p>
        </w:tc>
        <w:tc>
          <w:tcPr>
            <w:tcW w:w="3439" w:type="dxa"/>
            <w:gridSpan w:val="3"/>
            <w:vAlign w:val="top"/>
          </w:tcPr>
          <w:p w14:paraId="69E46B36">
            <w:pPr>
              <w:pStyle w:val="8"/>
              <w:spacing w:before="85" w:line="220" w:lineRule="auto"/>
              <w:ind w:left="1365"/>
            </w:pPr>
            <w:r>
              <w:rPr>
                <w:b/>
                <w:bCs/>
                <w:spacing w:val="-5"/>
              </w:rPr>
              <w:t>实施主体</w:t>
            </w:r>
          </w:p>
        </w:tc>
      </w:tr>
      <w:tr w14:paraId="209B6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9502F9F">
            <w:pPr>
              <w:rPr>
                <w:rFonts w:ascii="Arial"/>
                <w:sz w:val="21"/>
              </w:rPr>
            </w:pPr>
          </w:p>
        </w:tc>
        <w:tc>
          <w:tcPr>
            <w:tcW w:w="1104" w:type="dxa"/>
            <w:vMerge w:val="continue"/>
            <w:tcBorders>
              <w:top w:val="nil"/>
            </w:tcBorders>
            <w:vAlign w:val="top"/>
          </w:tcPr>
          <w:p w14:paraId="60C0DDD8">
            <w:pPr>
              <w:rPr>
                <w:rFonts w:ascii="Arial"/>
                <w:sz w:val="21"/>
              </w:rPr>
            </w:pPr>
          </w:p>
        </w:tc>
        <w:tc>
          <w:tcPr>
            <w:tcW w:w="1104" w:type="dxa"/>
            <w:vMerge w:val="continue"/>
            <w:tcBorders>
              <w:top w:val="nil"/>
            </w:tcBorders>
            <w:vAlign w:val="top"/>
          </w:tcPr>
          <w:p w14:paraId="5674F165">
            <w:pPr>
              <w:rPr>
                <w:rFonts w:ascii="Arial"/>
                <w:sz w:val="21"/>
              </w:rPr>
            </w:pPr>
          </w:p>
        </w:tc>
        <w:tc>
          <w:tcPr>
            <w:tcW w:w="8549" w:type="dxa"/>
            <w:vMerge w:val="continue"/>
            <w:tcBorders>
              <w:top w:val="nil"/>
            </w:tcBorders>
            <w:vAlign w:val="top"/>
          </w:tcPr>
          <w:p w14:paraId="4695EDE7">
            <w:pPr>
              <w:rPr>
                <w:rFonts w:ascii="Arial"/>
                <w:sz w:val="21"/>
              </w:rPr>
            </w:pPr>
          </w:p>
        </w:tc>
        <w:tc>
          <w:tcPr>
            <w:tcW w:w="1014" w:type="dxa"/>
            <w:vAlign w:val="top"/>
          </w:tcPr>
          <w:p w14:paraId="151EFA37">
            <w:pPr>
              <w:pStyle w:val="8"/>
              <w:spacing w:before="81" w:line="219" w:lineRule="auto"/>
              <w:ind w:left="158"/>
            </w:pPr>
            <w:r>
              <w:rPr>
                <w:b/>
                <w:bCs/>
                <w:spacing w:val="-5"/>
              </w:rPr>
              <w:t>责任部门</w:t>
            </w:r>
          </w:p>
        </w:tc>
        <w:tc>
          <w:tcPr>
            <w:tcW w:w="1407" w:type="dxa"/>
            <w:vAlign w:val="top"/>
          </w:tcPr>
          <w:p w14:paraId="3D4D93C6">
            <w:pPr>
              <w:pStyle w:val="8"/>
              <w:spacing w:before="81" w:line="219" w:lineRule="auto"/>
              <w:ind w:left="167"/>
            </w:pPr>
            <w:r>
              <w:rPr>
                <w:b/>
                <w:bCs/>
                <w:spacing w:val="-3"/>
              </w:rPr>
              <w:t>第一责任层级</w:t>
            </w:r>
          </w:p>
        </w:tc>
        <w:tc>
          <w:tcPr>
            <w:tcW w:w="1018" w:type="dxa"/>
            <w:vAlign w:val="top"/>
          </w:tcPr>
          <w:p w14:paraId="395C3C63">
            <w:pPr>
              <w:pStyle w:val="8"/>
              <w:spacing w:before="81" w:line="219" w:lineRule="auto"/>
              <w:ind w:left="152"/>
            </w:pPr>
            <w:r>
              <w:rPr>
                <w:b/>
                <w:bCs/>
                <w:spacing w:val="-4"/>
              </w:rPr>
              <w:t>承办机构</w:t>
            </w:r>
          </w:p>
        </w:tc>
      </w:tr>
      <w:tr w14:paraId="14400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2" w:hRule="atLeast"/>
        </w:trPr>
        <w:tc>
          <w:tcPr>
            <w:tcW w:w="624" w:type="dxa"/>
            <w:vAlign w:val="top"/>
          </w:tcPr>
          <w:p w14:paraId="52AC7ADD">
            <w:pPr>
              <w:spacing w:line="260" w:lineRule="auto"/>
              <w:rPr>
                <w:rFonts w:ascii="Arial"/>
                <w:sz w:val="21"/>
              </w:rPr>
            </w:pPr>
          </w:p>
          <w:p w14:paraId="5449C6E5">
            <w:pPr>
              <w:spacing w:line="260" w:lineRule="auto"/>
              <w:rPr>
                <w:rFonts w:ascii="Arial"/>
                <w:sz w:val="21"/>
              </w:rPr>
            </w:pPr>
          </w:p>
          <w:p w14:paraId="179E6E28">
            <w:pPr>
              <w:spacing w:line="261" w:lineRule="auto"/>
              <w:rPr>
                <w:rFonts w:ascii="Arial"/>
                <w:sz w:val="21"/>
              </w:rPr>
            </w:pPr>
          </w:p>
          <w:p w14:paraId="0F8120E4">
            <w:pPr>
              <w:spacing w:line="261" w:lineRule="auto"/>
              <w:rPr>
                <w:rFonts w:ascii="Arial"/>
                <w:sz w:val="21"/>
              </w:rPr>
            </w:pPr>
          </w:p>
          <w:p w14:paraId="10445432">
            <w:pPr>
              <w:spacing w:line="261" w:lineRule="auto"/>
              <w:rPr>
                <w:rFonts w:ascii="Arial"/>
                <w:sz w:val="21"/>
              </w:rPr>
            </w:pPr>
          </w:p>
          <w:p w14:paraId="1149A51E">
            <w:pPr>
              <w:spacing w:line="261" w:lineRule="auto"/>
              <w:rPr>
                <w:rFonts w:ascii="Arial"/>
                <w:sz w:val="21"/>
              </w:rPr>
            </w:pPr>
          </w:p>
          <w:p w14:paraId="4126B0FF">
            <w:pPr>
              <w:spacing w:line="261" w:lineRule="auto"/>
              <w:rPr>
                <w:rFonts w:ascii="Arial"/>
                <w:sz w:val="21"/>
              </w:rPr>
            </w:pPr>
          </w:p>
          <w:p w14:paraId="15876424">
            <w:pPr>
              <w:spacing w:line="261" w:lineRule="auto"/>
              <w:rPr>
                <w:rFonts w:ascii="Arial"/>
                <w:sz w:val="21"/>
              </w:rPr>
            </w:pPr>
          </w:p>
          <w:p w14:paraId="41431BED">
            <w:pPr>
              <w:spacing w:line="261" w:lineRule="auto"/>
              <w:rPr>
                <w:rFonts w:ascii="Arial"/>
                <w:sz w:val="21"/>
              </w:rPr>
            </w:pPr>
          </w:p>
          <w:p w14:paraId="1AE3B25F">
            <w:pPr>
              <w:spacing w:line="261" w:lineRule="auto"/>
              <w:rPr>
                <w:rFonts w:ascii="Arial"/>
                <w:sz w:val="21"/>
              </w:rPr>
            </w:pPr>
          </w:p>
          <w:p w14:paraId="3C0DC64F">
            <w:pPr>
              <w:spacing w:line="261" w:lineRule="auto"/>
              <w:rPr>
                <w:rFonts w:ascii="Arial"/>
                <w:sz w:val="21"/>
              </w:rPr>
            </w:pPr>
          </w:p>
          <w:p w14:paraId="6AF104CA">
            <w:pPr>
              <w:pStyle w:val="8"/>
              <w:spacing w:before="59" w:line="184" w:lineRule="auto"/>
              <w:ind w:left="201"/>
              <w:rPr>
                <w:rFonts w:hint="default" w:eastAsia="宋体"/>
                <w:lang w:val="en-US" w:eastAsia="zh-CN"/>
              </w:rPr>
            </w:pPr>
            <w:r>
              <w:rPr>
                <w:rFonts w:hint="eastAsia"/>
                <w:spacing w:val="-8"/>
                <w:lang w:val="en-US" w:eastAsia="zh-CN"/>
              </w:rPr>
              <w:t>97</w:t>
            </w:r>
          </w:p>
        </w:tc>
        <w:tc>
          <w:tcPr>
            <w:tcW w:w="1104" w:type="dxa"/>
            <w:vAlign w:val="top"/>
          </w:tcPr>
          <w:p w14:paraId="1E3D0BF7">
            <w:pPr>
              <w:spacing w:line="249" w:lineRule="auto"/>
              <w:rPr>
                <w:rFonts w:ascii="Arial"/>
                <w:sz w:val="21"/>
              </w:rPr>
            </w:pPr>
          </w:p>
          <w:p w14:paraId="5D61901C">
            <w:pPr>
              <w:spacing w:line="249" w:lineRule="auto"/>
              <w:rPr>
                <w:rFonts w:ascii="Arial"/>
                <w:sz w:val="21"/>
              </w:rPr>
            </w:pPr>
          </w:p>
          <w:p w14:paraId="170AD229">
            <w:pPr>
              <w:spacing w:line="249" w:lineRule="auto"/>
              <w:rPr>
                <w:rFonts w:ascii="Arial"/>
                <w:sz w:val="21"/>
              </w:rPr>
            </w:pPr>
          </w:p>
          <w:p w14:paraId="0BA74A87">
            <w:pPr>
              <w:spacing w:line="249" w:lineRule="auto"/>
              <w:rPr>
                <w:rFonts w:ascii="Arial"/>
                <w:sz w:val="21"/>
              </w:rPr>
            </w:pPr>
          </w:p>
          <w:p w14:paraId="1BBAA2AA">
            <w:pPr>
              <w:spacing w:line="249" w:lineRule="auto"/>
              <w:rPr>
                <w:rFonts w:ascii="Arial"/>
                <w:sz w:val="21"/>
              </w:rPr>
            </w:pPr>
          </w:p>
          <w:p w14:paraId="3330FC2E">
            <w:pPr>
              <w:spacing w:line="249" w:lineRule="auto"/>
              <w:rPr>
                <w:rFonts w:ascii="Arial"/>
                <w:sz w:val="21"/>
              </w:rPr>
            </w:pPr>
          </w:p>
          <w:p w14:paraId="384909FC">
            <w:pPr>
              <w:spacing w:line="249" w:lineRule="auto"/>
              <w:rPr>
                <w:rFonts w:ascii="Arial"/>
                <w:sz w:val="21"/>
              </w:rPr>
            </w:pPr>
          </w:p>
          <w:p w14:paraId="59B18F43">
            <w:pPr>
              <w:spacing w:line="249" w:lineRule="auto"/>
              <w:rPr>
                <w:rFonts w:ascii="Arial"/>
                <w:sz w:val="21"/>
              </w:rPr>
            </w:pPr>
          </w:p>
          <w:p w14:paraId="1D2F7591">
            <w:pPr>
              <w:spacing w:line="249" w:lineRule="auto"/>
              <w:rPr>
                <w:rFonts w:ascii="Arial"/>
                <w:sz w:val="21"/>
              </w:rPr>
            </w:pPr>
          </w:p>
          <w:p w14:paraId="66D67021">
            <w:pPr>
              <w:pStyle w:val="8"/>
              <w:spacing w:before="59" w:line="242" w:lineRule="auto"/>
              <w:ind w:left="60" w:right="56"/>
              <w:jc w:val="both"/>
            </w:pPr>
            <w:r>
              <w:rPr>
                <w:spacing w:val="16"/>
              </w:rPr>
              <w:t>对交通运输</w:t>
            </w:r>
            <w:r>
              <w:rPr>
                <w:spacing w:val="1"/>
              </w:rPr>
              <w:t xml:space="preserve"> </w:t>
            </w:r>
            <w:r>
              <w:rPr>
                <w:spacing w:val="16"/>
              </w:rPr>
              <w:t>工程造价工</w:t>
            </w:r>
            <w:r>
              <w:rPr>
                <w:spacing w:val="1"/>
              </w:rPr>
              <w:t xml:space="preserve"> </w:t>
            </w:r>
            <w:r>
              <w:rPr>
                <w:spacing w:val="16"/>
              </w:rPr>
              <w:t>程师超出职</w:t>
            </w:r>
            <w:r>
              <w:rPr>
                <w:spacing w:val="1"/>
              </w:rPr>
              <w:t xml:space="preserve"> </w:t>
            </w:r>
            <w:r>
              <w:rPr>
                <w:spacing w:val="7"/>
              </w:rPr>
              <w:t>业范</w:t>
            </w:r>
            <w:r>
              <w:rPr>
                <w:spacing w:val="-43"/>
              </w:rPr>
              <w:t xml:space="preserve"> </w:t>
            </w:r>
            <w:r>
              <w:rPr>
                <w:spacing w:val="7"/>
              </w:rPr>
              <w:t>围等行</w:t>
            </w:r>
            <w:r>
              <w:t xml:space="preserve"> </w:t>
            </w:r>
            <w:r>
              <w:rPr>
                <w:spacing w:val="16"/>
              </w:rPr>
              <w:t>为的行政处</w:t>
            </w:r>
            <w:r>
              <w:rPr>
                <w:spacing w:val="1"/>
              </w:rPr>
              <w:t xml:space="preserve"> </w:t>
            </w:r>
            <w:r>
              <w:t>罚</w:t>
            </w:r>
          </w:p>
        </w:tc>
        <w:tc>
          <w:tcPr>
            <w:tcW w:w="1104" w:type="dxa"/>
            <w:vAlign w:val="top"/>
          </w:tcPr>
          <w:p w14:paraId="5A9C5DFF">
            <w:pPr>
              <w:spacing w:line="257" w:lineRule="auto"/>
              <w:rPr>
                <w:rFonts w:ascii="Arial"/>
                <w:sz w:val="21"/>
              </w:rPr>
            </w:pPr>
          </w:p>
          <w:p w14:paraId="71FCCBE3">
            <w:pPr>
              <w:spacing w:line="257" w:lineRule="auto"/>
              <w:rPr>
                <w:rFonts w:ascii="Arial"/>
                <w:sz w:val="21"/>
              </w:rPr>
            </w:pPr>
          </w:p>
          <w:p w14:paraId="17F1941D">
            <w:pPr>
              <w:spacing w:line="257" w:lineRule="auto"/>
              <w:rPr>
                <w:rFonts w:ascii="Arial"/>
                <w:sz w:val="21"/>
              </w:rPr>
            </w:pPr>
          </w:p>
          <w:p w14:paraId="5A20B774">
            <w:pPr>
              <w:spacing w:line="258" w:lineRule="auto"/>
              <w:rPr>
                <w:rFonts w:ascii="Arial"/>
                <w:sz w:val="21"/>
              </w:rPr>
            </w:pPr>
          </w:p>
          <w:p w14:paraId="3EAD7CE4">
            <w:pPr>
              <w:spacing w:line="258" w:lineRule="auto"/>
              <w:rPr>
                <w:rFonts w:ascii="Arial"/>
                <w:sz w:val="21"/>
              </w:rPr>
            </w:pPr>
          </w:p>
          <w:p w14:paraId="32AD623C">
            <w:pPr>
              <w:spacing w:line="258" w:lineRule="auto"/>
              <w:rPr>
                <w:rFonts w:ascii="Arial"/>
                <w:sz w:val="21"/>
              </w:rPr>
            </w:pPr>
          </w:p>
          <w:p w14:paraId="55374AB2">
            <w:pPr>
              <w:spacing w:line="258" w:lineRule="auto"/>
              <w:rPr>
                <w:rFonts w:ascii="Arial"/>
                <w:sz w:val="21"/>
              </w:rPr>
            </w:pPr>
          </w:p>
          <w:p w14:paraId="21519AA7">
            <w:pPr>
              <w:spacing w:line="258" w:lineRule="auto"/>
              <w:rPr>
                <w:rFonts w:ascii="Arial"/>
                <w:sz w:val="21"/>
              </w:rPr>
            </w:pPr>
          </w:p>
          <w:p w14:paraId="6047A6A0">
            <w:pPr>
              <w:spacing w:line="258" w:lineRule="auto"/>
              <w:rPr>
                <w:rFonts w:ascii="Arial"/>
                <w:sz w:val="21"/>
              </w:rPr>
            </w:pPr>
          </w:p>
          <w:p w14:paraId="12A22E6F">
            <w:pPr>
              <w:spacing w:line="258" w:lineRule="auto"/>
              <w:rPr>
                <w:rFonts w:ascii="Arial"/>
                <w:sz w:val="21"/>
              </w:rPr>
            </w:pPr>
          </w:p>
          <w:p w14:paraId="453821D3">
            <w:pPr>
              <w:spacing w:line="258" w:lineRule="auto"/>
              <w:rPr>
                <w:rFonts w:ascii="Arial"/>
                <w:sz w:val="21"/>
              </w:rPr>
            </w:pPr>
          </w:p>
          <w:p w14:paraId="5A676511">
            <w:pPr>
              <w:pStyle w:val="8"/>
              <w:spacing w:before="58" w:line="220" w:lineRule="auto"/>
              <w:ind w:left="10"/>
            </w:pPr>
            <w:r>
              <w:rPr>
                <w:spacing w:val="-2"/>
              </w:rPr>
              <w:t>行政处罚</w:t>
            </w:r>
          </w:p>
        </w:tc>
        <w:tc>
          <w:tcPr>
            <w:tcW w:w="8549" w:type="dxa"/>
            <w:vAlign w:val="top"/>
          </w:tcPr>
          <w:p w14:paraId="5B3CA40D">
            <w:pPr>
              <w:pStyle w:val="8"/>
              <w:spacing w:before="38" w:line="219" w:lineRule="auto"/>
              <w:ind w:left="484"/>
            </w:pPr>
            <w:r>
              <w:rPr>
                <w:b/>
                <w:bCs/>
                <w:spacing w:val="-4"/>
              </w:rPr>
              <w:t>1.《中华人民共和国建筑法》</w:t>
            </w:r>
          </w:p>
          <w:p w14:paraId="7A5F5D9B">
            <w:pPr>
              <w:pStyle w:val="8"/>
              <w:spacing w:before="25" w:line="233" w:lineRule="auto"/>
              <w:ind w:left="112" w:right="104" w:firstLine="358"/>
            </w:pPr>
            <w:r>
              <w:rPr>
                <w:spacing w:val="1"/>
              </w:rPr>
              <w:t xml:space="preserve">第十四条  从事建筑活动的专业技术人员，应当依法取得相应的执业资格证书，并在执业资格证书许 </w:t>
            </w:r>
            <w:r>
              <w:rPr>
                <w:spacing w:val="-3"/>
              </w:rPr>
              <w:t>可的范围内从事建筑活动。</w:t>
            </w:r>
          </w:p>
          <w:p w14:paraId="1A9A6C0E">
            <w:pPr>
              <w:pStyle w:val="8"/>
              <w:spacing w:before="25" w:line="218" w:lineRule="auto"/>
              <w:ind w:left="476"/>
            </w:pPr>
            <w:r>
              <w:rPr>
                <w:b/>
                <w:bCs/>
                <w:spacing w:val="-3"/>
              </w:rPr>
              <w:t>《造价工程师职业资格制度规定》</w:t>
            </w:r>
          </w:p>
          <w:p w14:paraId="1B9F7F2B">
            <w:pPr>
              <w:pStyle w:val="8"/>
              <w:spacing w:before="28" w:line="237" w:lineRule="auto"/>
              <w:ind w:left="111" w:right="104" w:firstLine="360"/>
            </w:pPr>
            <w:r>
              <w:rPr>
                <w:spacing w:val="1"/>
              </w:rPr>
              <w:t>第十四条  一级造价工程师职业资格考试合格者，由各省、自治区、直辖市人力资源社会保障行政主 管部门颁发中华人民共和国一级造价工程师职业资格证书。该证书由人力资源社会保障部统一印制，</w:t>
            </w:r>
            <w:r>
              <w:rPr>
                <w:rFonts w:hint="eastAsia"/>
                <w:spacing w:val="1"/>
                <w:lang w:eastAsia="zh-CN"/>
              </w:rPr>
              <w:t>住房和城乡建设部</w:t>
            </w:r>
            <w:r>
              <w:rPr>
                <w:spacing w:val="-1"/>
              </w:rPr>
              <w:t>、交通运输部、水利部按专业类别分别与人力资源社会保障部用印，在全国范围内有效。</w:t>
            </w:r>
          </w:p>
          <w:p w14:paraId="65FE6839">
            <w:pPr>
              <w:pStyle w:val="8"/>
              <w:spacing w:before="25"/>
              <w:ind w:left="114" w:right="44" w:firstLine="356"/>
            </w:pPr>
            <w:r>
              <w:rPr>
                <w:spacing w:val="1"/>
              </w:rPr>
              <w:t xml:space="preserve">第十五条  二级造价工程师职业资格考试合格者，由各省、自治区、直辖市人力资源社会保障行政主 </w:t>
            </w:r>
            <w:r>
              <w:rPr>
                <w:spacing w:val="-2"/>
              </w:rPr>
              <w:t>管部门颁发中华人民共和国二级造价工程师职业资格证书。该证书由各省、自治区、直辖市住房城乡建设、</w:t>
            </w:r>
            <w:r>
              <w:rPr>
                <w:spacing w:val="17"/>
              </w:rPr>
              <w:t xml:space="preserve"> </w:t>
            </w:r>
            <w:r>
              <w:rPr>
                <w:spacing w:val="1"/>
              </w:rPr>
              <w:t>交通运输、水利行政主管部门按专业类别分别与人力资源社会保障行政主管部门用印，原则上在所</w:t>
            </w:r>
            <w:r>
              <w:t xml:space="preserve">在行政 </w:t>
            </w:r>
            <w:r>
              <w:rPr>
                <w:spacing w:val="-2"/>
              </w:rPr>
              <w:t>区域内有效。各地可根据实际情况制定跨区域认可办法。</w:t>
            </w:r>
          </w:p>
          <w:p w14:paraId="17331973">
            <w:pPr>
              <w:pStyle w:val="8"/>
              <w:spacing w:before="24" w:line="233" w:lineRule="auto"/>
              <w:ind w:left="111" w:right="44" w:firstLine="359"/>
            </w:pPr>
            <w:r>
              <w:rPr>
                <w:spacing w:val="1"/>
              </w:rPr>
              <w:t>第二十五条  造价工程师不得同时受聘于两个或两个以上单位执业，不得允许他人以本人名义执业，</w:t>
            </w:r>
            <w:r>
              <w:t xml:space="preserve"> </w:t>
            </w:r>
            <w:r>
              <w:rPr>
                <w:spacing w:val="-1"/>
              </w:rPr>
              <w:t>严禁“证书挂靠”。出租出借注册证书的，依</w:t>
            </w:r>
            <w:r>
              <w:rPr>
                <w:spacing w:val="-2"/>
              </w:rPr>
              <w:t>据相关法律法规进行处罚；构成犯罪的，依法追究刑事责任。</w:t>
            </w:r>
          </w:p>
          <w:p w14:paraId="3A2C8858">
            <w:pPr>
              <w:pStyle w:val="8"/>
              <w:spacing w:before="27" w:line="232" w:lineRule="auto"/>
              <w:ind w:left="118" w:right="107" w:firstLine="352"/>
            </w:pPr>
            <w:r>
              <w:rPr>
                <w:spacing w:val="1"/>
              </w:rPr>
              <w:t>第二十八条第一款  造价工程师应在本人工程造价咨询成果文件上签章，并承担相应责任。工程造价</w:t>
            </w:r>
            <w:r>
              <w:t xml:space="preserve"> </w:t>
            </w:r>
            <w:r>
              <w:rPr>
                <w:spacing w:val="-2"/>
              </w:rPr>
              <w:t>咨询成果文件应由一级造价工程师审核并加盖执业印章。</w:t>
            </w:r>
          </w:p>
          <w:p w14:paraId="1B4D40F0">
            <w:pPr>
              <w:pStyle w:val="8"/>
              <w:spacing w:before="28" w:line="218" w:lineRule="auto"/>
              <w:ind w:left="473"/>
            </w:pPr>
            <w:r>
              <w:rPr>
                <w:b/>
                <w:bCs/>
                <w:spacing w:val="-3"/>
              </w:rPr>
              <w:t>2.《交通运输工程造价工程师注册管理办法》（交通运输部令</w:t>
            </w:r>
            <w:r>
              <w:rPr>
                <w:spacing w:val="-25"/>
              </w:rPr>
              <w:t xml:space="preserve"> </w:t>
            </w:r>
            <w:r>
              <w:rPr>
                <w:b/>
                <w:bCs/>
                <w:spacing w:val="-3"/>
              </w:rPr>
              <w:t>2023</w:t>
            </w:r>
            <w:r>
              <w:rPr>
                <w:spacing w:val="-38"/>
              </w:rPr>
              <w:t xml:space="preserve"> </w:t>
            </w:r>
            <w:r>
              <w:rPr>
                <w:b/>
                <w:bCs/>
                <w:spacing w:val="-3"/>
              </w:rPr>
              <w:t>年第</w:t>
            </w:r>
            <w:r>
              <w:rPr>
                <w:spacing w:val="-32"/>
              </w:rPr>
              <w:t xml:space="preserve"> </w:t>
            </w:r>
            <w:r>
              <w:rPr>
                <w:b/>
                <w:bCs/>
                <w:spacing w:val="-3"/>
              </w:rPr>
              <w:t>2</w:t>
            </w:r>
            <w:r>
              <w:rPr>
                <w:spacing w:val="-35"/>
              </w:rPr>
              <w:t xml:space="preserve"> </w:t>
            </w:r>
            <w:r>
              <w:rPr>
                <w:b/>
                <w:bCs/>
                <w:spacing w:val="-3"/>
              </w:rPr>
              <w:t>号）</w:t>
            </w:r>
          </w:p>
          <w:p w14:paraId="75A7C56E">
            <w:pPr>
              <w:pStyle w:val="8"/>
              <w:spacing w:before="27" w:line="218" w:lineRule="auto"/>
              <w:ind w:left="471"/>
            </w:pPr>
            <w:r>
              <w:rPr>
                <w:spacing w:val="-1"/>
              </w:rPr>
              <w:t>第十五条  交通运输工程造价工程师应当在注册证书明确的等级及执业范围内进行执业。</w:t>
            </w:r>
          </w:p>
          <w:p w14:paraId="77A311D6">
            <w:pPr>
              <w:pStyle w:val="8"/>
              <w:spacing w:before="27" w:line="233" w:lineRule="auto"/>
              <w:ind w:left="117" w:right="104" w:firstLine="353"/>
            </w:pPr>
            <w:r>
              <w:rPr>
                <w:spacing w:val="1"/>
              </w:rPr>
              <w:t>第十六条第一款  交通运输工程造价工程师应当在本人形成的工程造价成果文件上签字并加盖执业印</w:t>
            </w:r>
            <w:r>
              <w:rPr>
                <w:spacing w:val="2"/>
              </w:rPr>
              <w:t xml:space="preserve"> </w:t>
            </w:r>
            <w:r>
              <w:rPr>
                <w:spacing w:val="-10"/>
              </w:rPr>
              <w:t>章。</w:t>
            </w:r>
          </w:p>
          <w:p w14:paraId="005DC8DF">
            <w:pPr>
              <w:pStyle w:val="8"/>
              <w:spacing w:before="26" w:line="218" w:lineRule="auto"/>
              <w:ind w:left="471"/>
            </w:pPr>
            <w:r>
              <w:rPr>
                <w:spacing w:val="1"/>
              </w:rPr>
              <w:t>第十七条  交通运输工程造价工程师不得同时受聘于两个或者两个以上单位执业，不得允许他人以本</w:t>
            </w:r>
          </w:p>
          <w:p w14:paraId="0BD1F084">
            <w:pPr>
              <w:pStyle w:val="8"/>
              <w:spacing w:before="28" w:line="219" w:lineRule="auto"/>
              <w:ind w:left="112"/>
            </w:pPr>
            <w:r>
              <w:rPr>
                <w:spacing w:val="-6"/>
              </w:rPr>
              <w:t>人名义执业。</w:t>
            </w:r>
          </w:p>
          <w:p w14:paraId="63424D06">
            <w:pPr>
              <w:pStyle w:val="8"/>
              <w:spacing w:before="26" w:line="233" w:lineRule="auto"/>
              <w:ind w:left="111" w:right="104" w:firstLine="359"/>
            </w:pPr>
            <w:r>
              <w:rPr>
                <w:spacing w:val="1"/>
              </w:rPr>
              <w:t>第十八条第一款  交通运输工程造价工程师在执业期间，应当按照国家有关规定接受继续教育，更新</w:t>
            </w:r>
            <w:r>
              <w:rPr>
                <w:spacing w:val="2"/>
              </w:rPr>
              <w:t xml:space="preserve"> </w:t>
            </w:r>
            <w:r>
              <w:rPr>
                <w:spacing w:val="-3"/>
              </w:rPr>
              <w:t>专业知识，提高专业水平。</w:t>
            </w:r>
          </w:p>
          <w:p w14:paraId="3601DCC1">
            <w:pPr>
              <w:pStyle w:val="8"/>
              <w:spacing w:before="26" w:line="222" w:lineRule="auto"/>
              <w:ind w:left="122" w:right="159" w:firstLine="348"/>
            </w:pPr>
            <w:r>
              <w:t>第二十条  交通运输工程造价工程师违反本办法有关规定的，县级以上人民政府</w:t>
            </w:r>
            <w:r>
              <w:rPr>
                <w:spacing w:val="-1"/>
              </w:rPr>
              <w:t>交通运输主管部门应</w:t>
            </w:r>
            <w:r>
              <w:t xml:space="preserve"> </w:t>
            </w:r>
            <w:r>
              <w:rPr>
                <w:spacing w:val="-3"/>
              </w:rPr>
              <w:t>当责令改正，并给予警告或者通报批评。</w:t>
            </w:r>
          </w:p>
        </w:tc>
        <w:tc>
          <w:tcPr>
            <w:tcW w:w="1014" w:type="dxa"/>
            <w:vAlign w:val="top"/>
          </w:tcPr>
          <w:p w14:paraId="51A1A340">
            <w:pPr>
              <w:spacing w:line="247" w:lineRule="auto"/>
              <w:rPr>
                <w:rFonts w:ascii="Arial"/>
                <w:sz w:val="21"/>
              </w:rPr>
            </w:pPr>
          </w:p>
          <w:p w14:paraId="6D90481C">
            <w:pPr>
              <w:spacing w:line="247" w:lineRule="auto"/>
              <w:rPr>
                <w:rFonts w:ascii="Arial"/>
                <w:sz w:val="21"/>
              </w:rPr>
            </w:pPr>
          </w:p>
          <w:p w14:paraId="0741CD1D">
            <w:pPr>
              <w:spacing w:line="247" w:lineRule="auto"/>
              <w:rPr>
                <w:rFonts w:ascii="Arial"/>
                <w:sz w:val="21"/>
              </w:rPr>
            </w:pPr>
          </w:p>
          <w:p w14:paraId="14D70FC4">
            <w:pPr>
              <w:spacing w:line="247" w:lineRule="auto"/>
              <w:rPr>
                <w:rFonts w:ascii="Arial"/>
                <w:sz w:val="21"/>
              </w:rPr>
            </w:pPr>
          </w:p>
          <w:p w14:paraId="59F43249">
            <w:pPr>
              <w:spacing w:line="247" w:lineRule="auto"/>
              <w:rPr>
                <w:rFonts w:ascii="Arial"/>
                <w:sz w:val="21"/>
              </w:rPr>
            </w:pPr>
          </w:p>
          <w:p w14:paraId="18175D88">
            <w:pPr>
              <w:spacing w:line="248" w:lineRule="auto"/>
              <w:rPr>
                <w:rFonts w:ascii="Arial"/>
                <w:sz w:val="21"/>
              </w:rPr>
            </w:pPr>
          </w:p>
          <w:p w14:paraId="2C11734F">
            <w:pPr>
              <w:spacing w:line="248" w:lineRule="auto"/>
              <w:rPr>
                <w:rFonts w:ascii="Arial"/>
                <w:sz w:val="21"/>
              </w:rPr>
            </w:pPr>
          </w:p>
          <w:p w14:paraId="6B348E9A">
            <w:pPr>
              <w:spacing w:line="248" w:lineRule="auto"/>
              <w:rPr>
                <w:rFonts w:ascii="Arial"/>
                <w:sz w:val="21"/>
              </w:rPr>
            </w:pPr>
          </w:p>
          <w:p w14:paraId="0877F6AA">
            <w:pPr>
              <w:spacing w:line="248" w:lineRule="auto"/>
              <w:rPr>
                <w:rFonts w:ascii="Arial"/>
                <w:sz w:val="21"/>
              </w:rPr>
            </w:pPr>
          </w:p>
          <w:p w14:paraId="3B02485E">
            <w:pPr>
              <w:spacing w:line="248" w:lineRule="auto"/>
              <w:rPr>
                <w:rFonts w:ascii="Arial"/>
                <w:sz w:val="21"/>
              </w:rPr>
            </w:pPr>
          </w:p>
          <w:p w14:paraId="1EDA8397">
            <w:pPr>
              <w:spacing w:line="248" w:lineRule="auto"/>
              <w:rPr>
                <w:rFonts w:ascii="Arial"/>
                <w:sz w:val="21"/>
              </w:rPr>
            </w:pPr>
          </w:p>
          <w:p w14:paraId="203A9999">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0D5B66DB">
            <w:pPr>
              <w:spacing w:line="247" w:lineRule="auto"/>
              <w:rPr>
                <w:rFonts w:ascii="Arial"/>
                <w:sz w:val="21"/>
              </w:rPr>
            </w:pPr>
          </w:p>
          <w:p w14:paraId="350809F2">
            <w:pPr>
              <w:spacing w:line="247" w:lineRule="auto"/>
              <w:rPr>
                <w:rFonts w:ascii="Arial"/>
                <w:sz w:val="21"/>
              </w:rPr>
            </w:pPr>
          </w:p>
          <w:p w14:paraId="737E494B">
            <w:pPr>
              <w:spacing w:line="247" w:lineRule="auto"/>
              <w:rPr>
                <w:rFonts w:ascii="Arial"/>
                <w:sz w:val="21"/>
              </w:rPr>
            </w:pPr>
          </w:p>
          <w:p w14:paraId="4CCF5A9C">
            <w:pPr>
              <w:spacing w:line="247" w:lineRule="auto"/>
              <w:rPr>
                <w:rFonts w:ascii="Arial"/>
                <w:sz w:val="21"/>
              </w:rPr>
            </w:pPr>
          </w:p>
          <w:p w14:paraId="656EB6CA">
            <w:pPr>
              <w:spacing w:line="247" w:lineRule="auto"/>
              <w:rPr>
                <w:rFonts w:ascii="Arial"/>
                <w:sz w:val="21"/>
              </w:rPr>
            </w:pPr>
          </w:p>
          <w:p w14:paraId="7F1105C9">
            <w:pPr>
              <w:spacing w:line="248" w:lineRule="auto"/>
              <w:rPr>
                <w:rFonts w:ascii="Arial"/>
                <w:sz w:val="21"/>
              </w:rPr>
            </w:pPr>
          </w:p>
          <w:p w14:paraId="0F794799">
            <w:pPr>
              <w:spacing w:line="248" w:lineRule="auto"/>
              <w:rPr>
                <w:rFonts w:ascii="Arial"/>
                <w:sz w:val="21"/>
              </w:rPr>
            </w:pPr>
          </w:p>
          <w:p w14:paraId="1EAAF928">
            <w:pPr>
              <w:spacing w:line="248" w:lineRule="auto"/>
              <w:rPr>
                <w:rFonts w:ascii="Arial"/>
                <w:sz w:val="21"/>
              </w:rPr>
            </w:pPr>
          </w:p>
          <w:p w14:paraId="70890337">
            <w:pPr>
              <w:spacing w:line="248" w:lineRule="auto"/>
              <w:rPr>
                <w:rFonts w:ascii="Arial"/>
                <w:sz w:val="21"/>
              </w:rPr>
            </w:pPr>
          </w:p>
          <w:p w14:paraId="2609D4D7">
            <w:pPr>
              <w:spacing w:line="248" w:lineRule="auto"/>
              <w:rPr>
                <w:rFonts w:ascii="Arial"/>
                <w:sz w:val="21"/>
              </w:rPr>
            </w:pPr>
          </w:p>
          <w:p w14:paraId="2B967080">
            <w:pPr>
              <w:spacing w:line="248" w:lineRule="auto"/>
              <w:rPr>
                <w:rFonts w:ascii="Arial"/>
                <w:sz w:val="21"/>
              </w:rPr>
            </w:pPr>
          </w:p>
          <w:p w14:paraId="50F3D54E">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97829A9">
            <w:pPr>
              <w:spacing w:line="248" w:lineRule="auto"/>
              <w:rPr>
                <w:rFonts w:ascii="Arial"/>
                <w:sz w:val="21"/>
              </w:rPr>
            </w:pPr>
          </w:p>
          <w:p w14:paraId="2FB2C20D">
            <w:pPr>
              <w:spacing w:line="248" w:lineRule="auto"/>
              <w:rPr>
                <w:rFonts w:ascii="Arial"/>
                <w:sz w:val="21"/>
              </w:rPr>
            </w:pPr>
          </w:p>
          <w:p w14:paraId="3DFF16E0">
            <w:pPr>
              <w:spacing w:line="248" w:lineRule="auto"/>
              <w:rPr>
                <w:rFonts w:ascii="Arial"/>
                <w:sz w:val="21"/>
              </w:rPr>
            </w:pPr>
          </w:p>
          <w:p w14:paraId="6B960814">
            <w:pPr>
              <w:spacing w:line="248" w:lineRule="auto"/>
              <w:rPr>
                <w:rFonts w:ascii="Arial"/>
                <w:sz w:val="21"/>
              </w:rPr>
            </w:pPr>
          </w:p>
          <w:p w14:paraId="668A6C95">
            <w:pPr>
              <w:spacing w:line="249" w:lineRule="auto"/>
              <w:rPr>
                <w:rFonts w:ascii="Arial"/>
                <w:sz w:val="21"/>
              </w:rPr>
            </w:pPr>
          </w:p>
          <w:p w14:paraId="7F17D337">
            <w:pPr>
              <w:spacing w:line="249" w:lineRule="auto"/>
              <w:rPr>
                <w:rFonts w:ascii="Arial"/>
                <w:sz w:val="21"/>
              </w:rPr>
            </w:pPr>
          </w:p>
          <w:p w14:paraId="3C6CA38C">
            <w:pPr>
              <w:spacing w:line="249" w:lineRule="auto"/>
              <w:rPr>
                <w:rFonts w:ascii="Arial"/>
                <w:sz w:val="21"/>
              </w:rPr>
            </w:pPr>
          </w:p>
          <w:p w14:paraId="5929651A">
            <w:pPr>
              <w:spacing w:line="249" w:lineRule="auto"/>
              <w:rPr>
                <w:rFonts w:ascii="Arial"/>
                <w:sz w:val="21"/>
              </w:rPr>
            </w:pPr>
          </w:p>
          <w:p w14:paraId="24DD4A71">
            <w:pPr>
              <w:spacing w:line="249" w:lineRule="auto"/>
              <w:rPr>
                <w:rFonts w:ascii="Arial"/>
                <w:sz w:val="21"/>
              </w:rPr>
            </w:pPr>
          </w:p>
          <w:p w14:paraId="0B6DC5A4">
            <w:pPr>
              <w:spacing w:line="249" w:lineRule="auto"/>
              <w:rPr>
                <w:rFonts w:ascii="Arial"/>
                <w:sz w:val="21"/>
              </w:rPr>
            </w:pPr>
          </w:p>
          <w:p w14:paraId="311F6491">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3B523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6" w:hRule="atLeast"/>
        </w:trPr>
        <w:tc>
          <w:tcPr>
            <w:tcW w:w="624" w:type="dxa"/>
            <w:vAlign w:val="top"/>
          </w:tcPr>
          <w:p w14:paraId="3752493D">
            <w:pPr>
              <w:spacing w:line="264" w:lineRule="auto"/>
              <w:rPr>
                <w:rFonts w:ascii="Arial"/>
                <w:sz w:val="21"/>
              </w:rPr>
            </w:pPr>
          </w:p>
          <w:p w14:paraId="5F266BAA">
            <w:pPr>
              <w:spacing w:line="264" w:lineRule="auto"/>
              <w:rPr>
                <w:rFonts w:ascii="Arial"/>
                <w:sz w:val="21"/>
              </w:rPr>
            </w:pPr>
          </w:p>
          <w:p w14:paraId="70B91FD8">
            <w:pPr>
              <w:spacing w:line="264" w:lineRule="auto"/>
              <w:rPr>
                <w:rFonts w:ascii="Arial"/>
                <w:sz w:val="21"/>
              </w:rPr>
            </w:pPr>
          </w:p>
          <w:p w14:paraId="3652A48C">
            <w:pPr>
              <w:spacing w:line="265" w:lineRule="auto"/>
              <w:rPr>
                <w:rFonts w:ascii="Arial"/>
                <w:sz w:val="21"/>
              </w:rPr>
            </w:pPr>
          </w:p>
          <w:p w14:paraId="32696A8D">
            <w:pPr>
              <w:spacing w:line="265" w:lineRule="auto"/>
              <w:rPr>
                <w:rFonts w:ascii="Arial"/>
                <w:sz w:val="21"/>
              </w:rPr>
            </w:pPr>
          </w:p>
          <w:p w14:paraId="06949464">
            <w:pPr>
              <w:pStyle w:val="8"/>
              <w:spacing w:before="58" w:line="184" w:lineRule="auto"/>
              <w:ind w:left="201"/>
              <w:rPr>
                <w:rFonts w:hint="default" w:eastAsia="宋体"/>
                <w:lang w:val="en-US" w:eastAsia="zh-CN"/>
              </w:rPr>
            </w:pPr>
            <w:r>
              <w:rPr>
                <w:rFonts w:hint="eastAsia"/>
                <w:spacing w:val="-8"/>
                <w:lang w:val="en-US" w:eastAsia="zh-CN"/>
              </w:rPr>
              <w:t>98</w:t>
            </w:r>
          </w:p>
        </w:tc>
        <w:tc>
          <w:tcPr>
            <w:tcW w:w="1104" w:type="dxa"/>
            <w:vAlign w:val="top"/>
          </w:tcPr>
          <w:p w14:paraId="6693A253">
            <w:pPr>
              <w:spacing w:line="333" w:lineRule="auto"/>
              <w:rPr>
                <w:rFonts w:ascii="Arial"/>
                <w:sz w:val="21"/>
              </w:rPr>
            </w:pPr>
          </w:p>
          <w:p w14:paraId="7D77A66C">
            <w:pPr>
              <w:pStyle w:val="8"/>
              <w:spacing w:before="58" w:line="244" w:lineRule="auto"/>
              <w:ind w:left="60" w:right="56" w:firstLine="3"/>
              <w:jc w:val="both"/>
            </w:pPr>
            <w:r>
              <w:rPr>
                <w:spacing w:val="15"/>
              </w:rPr>
              <w:t>交通工程建</w:t>
            </w:r>
            <w:r>
              <w:rPr>
                <w:spacing w:val="2"/>
              </w:rPr>
              <w:t xml:space="preserve"> </w:t>
            </w:r>
            <w:r>
              <w:rPr>
                <w:spacing w:val="16"/>
              </w:rPr>
              <w:t>设领域施工</w:t>
            </w:r>
            <w:r>
              <w:t xml:space="preserve"> </w:t>
            </w:r>
            <w:r>
              <w:rPr>
                <w:spacing w:val="16"/>
              </w:rPr>
              <w:t>总承包单位</w:t>
            </w:r>
            <w:r>
              <w:t xml:space="preserve"> </w:t>
            </w:r>
            <w:r>
              <w:rPr>
                <w:spacing w:val="16"/>
              </w:rPr>
              <w:t>未按规定开</w:t>
            </w:r>
            <w:r>
              <w:t xml:space="preserve"> </w:t>
            </w:r>
            <w:r>
              <w:rPr>
                <w:spacing w:val="16"/>
              </w:rPr>
              <w:t>设或者使用</w:t>
            </w:r>
            <w:r>
              <w:t xml:space="preserve"> </w:t>
            </w:r>
            <w:r>
              <w:rPr>
                <w:spacing w:val="16"/>
              </w:rPr>
              <w:t>农民工工资</w:t>
            </w:r>
            <w:r>
              <w:t xml:space="preserve"> </w:t>
            </w:r>
            <w:r>
              <w:rPr>
                <w:spacing w:val="16"/>
              </w:rPr>
              <w:t>专用账户等</w:t>
            </w:r>
            <w:r>
              <w:t xml:space="preserve"> </w:t>
            </w:r>
            <w:r>
              <w:rPr>
                <w:spacing w:val="7"/>
              </w:rPr>
              <w:t>行为</w:t>
            </w:r>
            <w:r>
              <w:rPr>
                <w:spacing w:val="-45"/>
              </w:rPr>
              <w:t xml:space="preserve"> </w:t>
            </w:r>
            <w:r>
              <w:rPr>
                <w:spacing w:val="7"/>
              </w:rPr>
              <w:t>的行政</w:t>
            </w:r>
            <w:r>
              <w:t xml:space="preserve"> </w:t>
            </w:r>
            <w:r>
              <w:rPr>
                <w:spacing w:val="-2"/>
              </w:rPr>
              <w:t>处罚</w:t>
            </w:r>
          </w:p>
        </w:tc>
        <w:tc>
          <w:tcPr>
            <w:tcW w:w="1104" w:type="dxa"/>
            <w:vAlign w:val="top"/>
          </w:tcPr>
          <w:p w14:paraId="49423283">
            <w:pPr>
              <w:spacing w:line="257" w:lineRule="auto"/>
              <w:rPr>
                <w:rFonts w:ascii="Arial"/>
                <w:sz w:val="21"/>
              </w:rPr>
            </w:pPr>
          </w:p>
          <w:p w14:paraId="7B6ECAF2">
            <w:pPr>
              <w:spacing w:line="258" w:lineRule="auto"/>
              <w:rPr>
                <w:rFonts w:ascii="Arial"/>
                <w:sz w:val="21"/>
              </w:rPr>
            </w:pPr>
          </w:p>
          <w:p w14:paraId="07DBF66B">
            <w:pPr>
              <w:spacing w:line="258" w:lineRule="auto"/>
              <w:rPr>
                <w:rFonts w:ascii="Arial"/>
                <w:sz w:val="21"/>
              </w:rPr>
            </w:pPr>
          </w:p>
          <w:p w14:paraId="29B8861C">
            <w:pPr>
              <w:spacing w:line="258" w:lineRule="auto"/>
              <w:rPr>
                <w:rFonts w:ascii="Arial"/>
                <w:sz w:val="21"/>
              </w:rPr>
            </w:pPr>
          </w:p>
          <w:p w14:paraId="54E5DF8A">
            <w:pPr>
              <w:spacing w:line="258" w:lineRule="auto"/>
              <w:rPr>
                <w:rFonts w:ascii="Arial"/>
                <w:sz w:val="21"/>
              </w:rPr>
            </w:pPr>
          </w:p>
          <w:p w14:paraId="2A262342">
            <w:pPr>
              <w:pStyle w:val="8"/>
              <w:spacing w:before="59" w:line="220" w:lineRule="auto"/>
              <w:ind w:left="10"/>
            </w:pPr>
            <w:r>
              <w:rPr>
                <w:spacing w:val="-2"/>
              </w:rPr>
              <w:t>行政处罚</w:t>
            </w:r>
          </w:p>
        </w:tc>
        <w:tc>
          <w:tcPr>
            <w:tcW w:w="8549" w:type="dxa"/>
            <w:vAlign w:val="top"/>
          </w:tcPr>
          <w:p w14:paraId="628A936A">
            <w:pPr>
              <w:pStyle w:val="8"/>
              <w:spacing w:before="41" w:line="219" w:lineRule="auto"/>
              <w:ind w:left="476"/>
            </w:pPr>
            <w:r>
              <w:rPr>
                <w:b/>
                <w:bCs/>
                <w:spacing w:val="-3"/>
              </w:rPr>
              <w:t>《保障农民工工资支付条例》</w:t>
            </w:r>
          </w:p>
          <w:p w14:paraId="0B086A1F">
            <w:pPr>
              <w:pStyle w:val="8"/>
              <w:spacing w:before="25" w:line="233" w:lineRule="auto"/>
              <w:ind w:left="117" w:right="104" w:firstLine="353"/>
            </w:pPr>
            <w:r>
              <w:rPr>
                <w:spacing w:val="1"/>
              </w:rPr>
              <w:t xml:space="preserve">第六条  用人单位实行农民工劳动用工实名制管理，与招用的农民工书面约定或者通过依法制定的规 </w:t>
            </w:r>
            <w:r>
              <w:rPr>
                <w:spacing w:val="-2"/>
              </w:rPr>
              <w:t>章制度规定工资支付标准、支付时间、支付方式等内容。</w:t>
            </w:r>
          </w:p>
          <w:p w14:paraId="7DDDE0D3">
            <w:pPr>
              <w:pStyle w:val="8"/>
              <w:spacing w:before="27" w:line="233" w:lineRule="auto"/>
              <w:ind w:left="114" w:right="104" w:firstLine="357"/>
            </w:pPr>
            <w:r>
              <w:rPr>
                <w:spacing w:val="1"/>
              </w:rPr>
              <w:t xml:space="preserve">第二十六条  施工总承包单位应当按照有关规定开设农民工工资专用账户，专项用于支付该工程建设 </w:t>
            </w:r>
            <w:r>
              <w:rPr>
                <w:spacing w:val="-4"/>
              </w:rPr>
              <w:t>项目农民工工资。</w:t>
            </w:r>
          </w:p>
          <w:p w14:paraId="7A5CD64A">
            <w:pPr>
              <w:pStyle w:val="8"/>
              <w:spacing w:before="25" w:line="219" w:lineRule="auto"/>
              <w:ind w:left="471"/>
            </w:pPr>
            <w:r>
              <w:rPr>
                <w:spacing w:val="-1"/>
              </w:rPr>
              <w:t>开设、使用农民工工资专用账户有关资料应当由施工总承包单位妥善保</w:t>
            </w:r>
            <w:r>
              <w:rPr>
                <w:spacing w:val="-2"/>
              </w:rPr>
              <w:t>存备查。</w:t>
            </w:r>
          </w:p>
          <w:p w14:paraId="5EED18CF">
            <w:pPr>
              <w:pStyle w:val="8"/>
              <w:spacing w:before="25" w:line="233" w:lineRule="auto"/>
              <w:ind w:left="111" w:right="104" w:firstLine="359"/>
            </w:pPr>
            <w:r>
              <w:rPr>
                <w:spacing w:val="1"/>
              </w:rPr>
              <w:t xml:space="preserve">第三十二条  施工总承包单位应当按照有关规定存储工资保证金，专项用于支付为所承包工程提供劳 </w:t>
            </w:r>
            <w:r>
              <w:rPr>
                <w:spacing w:val="-3"/>
              </w:rPr>
              <w:t>动的农民工被拖欠的工资。</w:t>
            </w:r>
          </w:p>
          <w:p w14:paraId="711D7CFF">
            <w:pPr>
              <w:pStyle w:val="8"/>
              <w:spacing w:before="25" w:line="233" w:lineRule="auto"/>
              <w:ind w:left="111" w:right="104" w:firstLine="361"/>
            </w:pPr>
            <w:r>
              <w:rPr>
                <w:spacing w:val="1"/>
              </w:rPr>
              <w:t>工资保证金实行差异化存储办法，对一定时期内未发生工资拖欠的单位实行减免措施，对发生工资拖</w:t>
            </w:r>
            <w:r>
              <w:t xml:space="preserve"> </w:t>
            </w:r>
            <w:r>
              <w:rPr>
                <w:spacing w:val="-1"/>
              </w:rPr>
              <w:t>欠的单位适当提高存储比例。工资保证金可以用金融机构保</w:t>
            </w:r>
            <w:r>
              <w:rPr>
                <w:spacing w:val="-2"/>
              </w:rPr>
              <w:t>函替代。</w:t>
            </w:r>
          </w:p>
          <w:p w14:paraId="777D0FFD">
            <w:pPr>
              <w:pStyle w:val="8"/>
              <w:spacing w:before="26" w:line="223" w:lineRule="auto"/>
              <w:ind w:left="111" w:right="104" w:firstLine="361"/>
            </w:pPr>
            <w:r>
              <w:rPr>
                <w:spacing w:val="1"/>
              </w:rPr>
              <w:t>工资保证金的存储比例、存储形式、减免措施等具体办法，由国务院人力资源社会保障行政部门会同</w:t>
            </w:r>
            <w:r>
              <w:t xml:space="preserve"> </w:t>
            </w:r>
            <w:r>
              <w:rPr>
                <w:spacing w:val="-5"/>
              </w:rPr>
              <w:t>有关部门制定。</w:t>
            </w:r>
          </w:p>
        </w:tc>
        <w:tc>
          <w:tcPr>
            <w:tcW w:w="1014" w:type="dxa"/>
            <w:vAlign w:val="top"/>
          </w:tcPr>
          <w:p w14:paraId="2C3EEA10">
            <w:pPr>
              <w:spacing w:line="293" w:lineRule="auto"/>
              <w:rPr>
                <w:rFonts w:ascii="Arial"/>
                <w:sz w:val="21"/>
              </w:rPr>
            </w:pPr>
          </w:p>
          <w:p w14:paraId="7508A42E">
            <w:pPr>
              <w:spacing w:line="294" w:lineRule="auto"/>
              <w:rPr>
                <w:rFonts w:ascii="Arial"/>
                <w:sz w:val="21"/>
              </w:rPr>
            </w:pPr>
          </w:p>
          <w:p w14:paraId="2A55D1FB">
            <w:pPr>
              <w:spacing w:line="294" w:lineRule="auto"/>
              <w:rPr>
                <w:rFonts w:ascii="Arial"/>
                <w:sz w:val="21"/>
              </w:rPr>
            </w:pPr>
          </w:p>
          <w:p w14:paraId="0C56C07E">
            <w:pPr>
              <w:spacing w:line="294" w:lineRule="auto"/>
              <w:rPr>
                <w:rFonts w:ascii="Arial"/>
                <w:sz w:val="21"/>
              </w:rPr>
            </w:pPr>
          </w:p>
          <w:p w14:paraId="7DE3EB03">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08CE3201">
            <w:pPr>
              <w:spacing w:line="293" w:lineRule="auto"/>
              <w:rPr>
                <w:rFonts w:ascii="Arial"/>
                <w:sz w:val="21"/>
              </w:rPr>
            </w:pPr>
          </w:p>
          <w:p w14:paraId="6B8AD3B5">
            <w:pPr>
              <w:spacing w:line="294" w:lineRule="auto"/>
              <w:rPr>
                <w:rFonts w:ascii="Arial"/>
                <w:sz w:val="21"/>
              </w:rPr>
            </w:pPr>
          </w:p>
          <w:p w14:paraId="3CC41602">
            <w:pPr>
              <w:spacing w:line="294" w:lineRule="auto"/>
              <w:rPr>
                <w:rFonts w:ascii="Arial"/>
                <w:sz w:val="21"/>
              </w:rPr>
            </w:pPr>
          </w:p>
          <w:p w14:paraId="68DEFA96">
            <w:pPr>
              <w:spacing w:line="294" w:lineRule="auto"/>
              <w:rPr>
                <w:rFonts w:ascii="Arial"/>
                <w:sz w:val="21"/>
              </w:rPr>
            </w:pPr>
          </w:p>
          <w:p w14:paraId="43EC189B">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62477CDC">
            <w:pPr>
              <w:spacing w:line="312" w:lineRule="auto"/>
              <w:rPr>
                <w:rFonts w:ascii="Arial"/>
                <w:sz w:val="21"/>
              </w:rPr>
            </w:pPr>
          </w:p>
          <w:p w14:paraId="40A9603A">
            <w:pPr>
              <w:spacing w:line="313" w:lineRule="auto"/>
              <w:rPr>
                <w:rFonts w:ascii="Arial"/>
                <w:sz w:val="21"/>
              </w:rPr>
            </w:pPr>
          </w:p>
          <w:p w14:paraId="7D044D8D">
            <w:pPr>
              <w:spacing w:line="313" w:lineRule="auto"/>
              <w:rPr>
                <w:rFonts w:ascii="Arial"/>
                <w:sz w:val="21"/>
              </w:rPr>
            </w:pPr>
          </w:p>
          <w:p w14:paraId="5B746731">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6CFCBB1B">
      <w:pPr>
        <w:spacing w:line="187" w:lineRule="exact"/>
        <w:rPr>
          <w:sz w:val="16"/>
          <w:szCs w:val="16"/>
        </w:rPr>
        <w:sectPr>
          <w:footerReference r:id="rId125" w:type="default"/>
          <w:pgSz w:w="16839" w:h="11906"/>
          <w:pgMar w:top="1012" w:right="991" w:bottom="967" w:left="1021" w:header="0" w:footer="768" w:gutter="0"/>
          <w:cols w:space="720" w:num="1"/>
        </w:sectPr>
      </w:pPr>
    </w:p>
    <w:p w14:paraId="72E0FBDC">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2DE6A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0AD5D599">
            <w:pPr>
              <w:pStyle w:val="8"/>
              <w:spacing w:before="267" w:line="221" w:lineRule="auto"/>
              <w:ind w:left="134"/>
            </w:pPr>
            <w:r>
              <w:rPr>
                <w:b/>
                <w:bCs/>
                <w:spacing w:val="-4"/>
              </w:rPr>
              <w:t>序号</w:t>
            </w:r>
          </w:p>
        </w:tc>
        <w:tc>
          <w:tcPr>
            <w:tcW w:w="1104" w:type="dxa"/>
            <w:vMerge w:val="restart"/>
            <w:tcBorders>
              <w:bottom w:val="nil"/>
            </w:tcBorders>
            <w:vAlign w:val="top"/>
          </w:tcPr>
          <w:p w14:paraId="655D7A3F">
            <w:pPr>
              <w:pStyle w:val="8"/>
              <w:spacing w:before="260" w:line="220" w:lineRule="auto"/>
              <w:ind w:left="192"/>
            </w:pPr>
            <w:r>
              <w:rPr>
                <w:b/>
                <w:bCs/>
                <w:spacing w:val="-4"/>
              </w:rPr>
              <w:t>事项名称</w:t>
            </w:r>
          </w:p>
        </w:tc>
        <w:tc>
          <w:tcPr>
            <w:tcW w:w="1104" w:type="dxa"/>
            <w:vMerge w:val="restart"/>
            <w:tcBorders>
              <w:bottom w:val="nil"/>
            </w:tcBorders>
            <w:vAlign w:val="top"/>
          </w:tcPr>
          <w:p w14:paraId="4D39714B">
            <w:pPr>
              <w:pStyle w:val="8"/>
              <w:spacing w:before="260" w:line="219" w:lineRule="auto"/>
              <w:ind w:left="193"/>
            </w:pPr>
            <w:r>
              <w:rPr>
                <w:b/>
                <w:bCs/>
                <w:spacing w:val="-4"/>
              </w:rPr>
              <w:t>职权类型</w:t>
            </w:r>
          </w:p>
        </w:tc>
        <w:tc>
          <w:tcPr>
            <w:tcW w:w="8549" w:type="dxa"/>
            <w:vMerge w:val="restart"/>
            <w:tcBorders>
              <w:bottom w:val="nil"/>
            </w:tcBorders>
            <w:vAlign w:val="top"/>
          </w:tcPr>
          <w:p w14:paraId="531B31F8">
            <w:pPr>
              <w:pStyle w:val="8"/>
              <w:spacing w:before="259" w:line="219" w:lineRule="auto"/>
              <w:ind w:left="3921"/>
            </w:pPr>
            <w:r>
              <w:rPr>
                <w:b/>
                <w:bCs/>
                <w:spacing w:val="-5"/>
              </w:rPr>
              <w:t>实施依据</w:t>
            </w:r>
          </w:p>
        </w:tc>
        <w:tc>
          <w:tcPr>
            <w:tcW w:w="3439" w:type="dxa"/>
            <w:gridSpan w:val="3"/>
            <w:vAlign w:val="top"/>
          </w:tcPr>
          <w:p w14:paraId="3A851E0D">
            <w:pPr>
              <w:pStyle w:val="8"/>
              <w:spacing w:before="85" w:line="220" w:lineRule="auto"/>
              <w:ind w:left="1365"/>
            </w:pPr>
            <w:r>
              <w:rPr>
                <w:b/>
                <w:bCs/>
                <w:spacing w:val="-5"/>
              </w:rPr>
              <w:t>实施主体</w:t>
            </w:r>
          </w:p>
        </w:tc>
      </w:tr>
      <w:tr w14:paraId="761B3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3F63CCD9">
            <w:pPr>
              <w:rPr>
                <w:rFonts w:ascii="Arial"/>
                <w:sz w:val="21"/>
              </w:rPr>
            </w:pPr>
          </w:p>
        </w:tc>
        <w:tc>
          <w:tcPr>
            <w:tcW w:w="1104" w:type="dxa"/>
            <w:vMerge w:val="continue"/>
            <w:tcBorders>
              <w:top w:val="nil"/>
            </w:tcBorders>
            <w:vAlign w:val="top"/>
          </w:tcPr>
          <w:p w14:paraId="59DEDAF8">
            <w:pPr>
              <w:rPr>
                <w:rFonts w:ascii="Arial"/>
                <w:sz w:val="21"/>
              </w:rPr>
            </w:pPr>
          </w:p>
        </w:tc>
        <w:tc>
          <w:tcPr>
            <w:tcW w:w="1104" w:type="dxa"/>
            <w:vMerge w:val="continue"/>
            <w:tcBorders>
              <w:top w:val="nil"/>
            </w:tcBorders>
            <w:vAlign w:val="top"/>
          </w:tcPr>
          <w:p w14:paraId="44B35A69">
            <w:pPr>
              <w:rPr>
                <w:rFonts w:ascii="Arial"/>
                <w:sz w:val="21"/>
              </w:rPr>
            </w:pPr>
          </w:p>
        </w:tc>
        <w:tc>
          <w:tcPr>
            <w:tcW w:w="8549" w:type="dxa"/>
            <w:vMerge w:val="continue"/>
            <w:tcBorders>
              <w:top w:val="nil"/>
            </w:tcBorders>
            <w:vAlign w:val="top"/>
          </w:tcPr>
          <w:p w14:paraId="03E79FBF">
            <w:pPr>
              <w:rPr>
                <w:rFonts w:ascii="Arial"/>
                <w:sz w:val="21"/>
              </w:rPr>
            </w:pPr>
          </w:p>
        </w:tc>
        <w:tc>
          <w:tcPr>
            <w:tcW w:w="1014" w:type="dxa"/>
            <w:vAlign w:val="top"/>
          </w:tcPr>
          <w:p w14:paraId="5B51FB44">
            <w:pPr>
              <w:pStyle w:val="8"/>
              <w:spacing w:before="81" w:line="219" w:lineRule="auto"/>
              <w:ind w:left="158"/>
            </w:pPr>
            <w:r>
              <w:rPr>
                <w:b/>
                <w:bCs/>
                <w:spacing w:val="-5"/>
              </w:rPr>
              <w:t>责任部门</w:t>
            </w:r>
          </w:p>
        </w:tc>
        <w:tc>
          <w:tcPr>
            <w:tcW w:w="1407" w:type="dxa"/>
            <w:vAlign w:val="top"/>
          </w:tcPr>
          <w:p w14:paraId="07668CF9">
            <w:pPr>
              <w:pStyle w:val="8"/>
              <w:spacing w:before="81" w:line="219" w:lineRule="auto"/>
              <w:ind w:left="167"/>
            </w:pPr>
            <w:r>
              <w:rPr>
                <w:b/>
                <w:bCs/>
                <w:spacing w:val="-3"/>
              </w:rPr>
              <w:t>第一责任层级</w:t>
            </w:r>
          </w:p>
        </w:tc>
        <w:tc>
          <w:tcPr>
            <w:tcW w:w="1018" w:type="dxa"/>
            <w:vAlign w:val="top"/>
          </w:tcPr>
          <w:p w14:paraId="591CCCCB">
            <w:pPr>
              <w:pStyle w:val="8"/>
              <w:spacing w:before="81" w:line="219" w:lineRule="auto"/>
              <w:ind w:left="152"/>
            </w:pPr>
            <w:r>
              <w:rPr>
                <w:b/>
                <w:bCs/>
                <w:spacing w:val="-4"/>
              </w:rPr>
              <w:t>承办机构</w:t>
            </w:r>
          </w:p>
        </w:tc>
      </w:tr>
      <w:tr w14:paraId="69C8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4" w:type="dxa"/>
            <w:vAlign w:val="top"/>
          </w:tcPr>
          <w:p w14:paraId="2D3F1784">
            <w:pPr>
              <w:rPr>
                <w:rFonts w:ascii="Arial"/>
                <w:sz w:val="21"/>
              </w:rPr>
            </w:pPr>
          </w:p>
        </w:tc>
        <w:tc>
          <w:tcPr>
            <w:tcW w:w="1104" w:type="dxa"/>
            <w:vAlign w:val="top"/>
          </w:tcPr>
          <w:p w14:paraId="22D97EC7">
            <w:pPr>
              <w:rPr>
                <w:rFonts w:ascii="Arial"/>
                <w:sz w:val="21"/>
              </w:rPr>
            </w:pPr>
          </w:p>
        </w:tc>
        <w:tc>
          <w:tcPr>
            <w:tcW w:w="1104" w:type="dxa"/>
            <w:vAlign w:val="top"/>
          </w:tcPr>
          <w:p w14:paraId="47C60DAF">
            <w:pPr>
              <w:rPr>
                <w:rFonts w:ascii="Arial"/>
                <w:sz w:val="21"/>
              </w:rPr>
            </w:pPr>
          </w:p>
        </w:tc>
        <w:tc>
          <w:tcPr>
            <w:tcW w:w="8549" w:type="dxa"/>
            <w:vAlign w:val="top"/>
          </w:tcPr>
          <w:p w14:paraId="0CDFB967">
            <w:pPr>
              <w:pStyle w:val="8"/>
              <w:spacing w:before="39" w:line="239" w:lineRule="auto"/>
              <w:ind w:left="110" w:right="104" w:firstLine="360"/>
              <w:jc w:val="both"/>
            </w:pPr>
            <w:r>
              <w:rPr>
                <w:spacing w:val="1"/>
              </w:rPr>
              <w:t xml:space="preserve">第五十五条  有下列情形之一的，由人力资源社会保障行政部门、相关行业工程建设主管部门按照职 </w:t>
            </w:r>
            <w:r>
              <w:rPr>
                <w:spacing w:val="-2"/>
              </w:rPr>
              <w:t>责责令限期改正；逾期不改正的，责令项目停工，并处</w:t>
            </w:r>
            <w:r>
              <w:rPr>
                <w:spacing w:val="-34"/>
              </w:rPr>
              <w:t xml:space="preserve"> </w:t>
            </w:r>
            <w:r>
              <w:rPr>
                <w:spacing w:val="-2"/>
              </w:rPr>
              <w:t>5</w:t>
            </w:r>
            <w:r>
              <w:rPr>
                <w:spacing w:val="-34"/>
              </w:rPr>
              <w:t xml:space="preserve"> </w:t>
            </w:r>
            <w:r>
              <w:rPr>
                <w:spacing w:val="-2"/>
              </w:rPr>
              <w:t>万元以上</w:t>
            </w:r>
            <w:r>
              <w:rPr>
                <w:spacing w:val="-24"/>
              </w:rPr>
              <w:t xml:space="preserve"> </w:t>
            </w:r>
            <w:r>
              <w:rPr>
                <w:spacing w:val="-2"/>
              </w:rPr>
              <w:t>10</w:t>
            </w:r>
            <w:r>
              <w:rPr>
                <w:spacing w:val="-35"/>
              </w:rPr>
              <w:t xml:space="preserve"> </w:t>
            </w:r>
            <w:r>
              <w:rPr>
                <w:spacing w:val="-2"/>
              </w:rPr>
              <w:t>万元以下的罚款；情节严重的，</w:t>
            </w:r>
            <w:r>
              <w:rPr>
                <w:spacing w:val="-3"/>
              </w:rPr>
              <w:t>给予</w:t>
            </w:r>
            <w:r>
              <w:t xml:space="preserve"> </w:t>
            </w:r>
            <w:r>
              <w:rPr>
                <w:spacing w:val="2"/>
              </w:rPr>
              <w:t>施工单位限制承接新工程、降低资质等级、吊销资质证书等处</w:t>
            </w:r>
            <w:r>
              <w:rPr>
                <w:spacing w:val="1"/>
              </w:rPr>
              <w:t>罚</w:t>
            </w:r>
            <w:r>
              <w:rPr>
                <w:spacing w:val="-12"/>
              </w:rPr>
              <w:t>：（</w:t>
            </w:r>
            <w:r>
              <w:rPr>
                <w:spacing w:val="1"/>
              </w:rPr>
              <w:t>一）施工总承包单位未按规定开设或</w:t>
            </w:r>
            <w:r>
              <w:t xml:space="preserve"> </w:t>
            </w:r>
            <w:r>
              <w:rPr>
                <w:spacing w:val="1"/>
              </w:rPr>
              <w:t>者使用农民工工资专用账户。（二）施工总承包单位未按规定存储工资保证</w:t>
            </w:r>
            <w:r>
              <w:t>金或者未提供金融机构保函。</w:t>
            </w:r>
          </w:p>
          <w:p w14:paraId="71BCCE4A">
            <w:pPr>
              <w:pStyle w:val="8"/>
              <w:spacing w:before="27" w:line="200" w:lineRule="auto"/>
              <w:ind w:left="121"/>
            </w:pPr>
            <w:r>
              <w:rPr>
                <w:spacing w:val="-2"/>
              </w:rPr>
              <w:t>（三）施工总承包单位、分包单位未实行劳动用工实名制管理。</w:t>
            </w:r>
          </w:p>
        </w:tc>
        <w:tc>
          <w:tcPr>
            <w:tcW w:w="1014" w:type="dxa"/>
            <w:vAlign w:val="top"/>
          </w:tcPr>
          <w:p w14:paraId="1BF5656A">
            <w:pPr>
              <w:rPr>
                <w:rFonts w:ascii="Arial"/>
                <w:sz w:val="21"/>
              </w:rPr>
            </w:pPr>
          </w:p>
        </w:tc>
        <w:tc>
          <w:tcPr>
            <w:tcW w:w="1407" w:type="dxa"/>
            <w:vAlign w:val="top"/>
          </w:tcPr>
          <w:p w14:paraId="42432038">
            <w:pPr>
              <w:rPr>
                <w:rFonts w:ascii="Arial"/>
                <w:sz w:val="21"/>
              </w:rPr>
            </w:pPr>
          </w:p>
        </w:tc>
        <w:tc>
          <w:tcPr>
            <w:tcW w:w="1018" w:type="dxa"/>
            <w:vAlign w:val="top"/>
          </w:tcPr>
          <w:p w14:paraId="7E8F57A0">
            <w:pPr>
              <w:rPr>
                <w:rFonts w:ascii="Arial"/>
                <w:sz w:val="21"/>
              </w:rPr>
            </w:pPr>
          </w:p>
        </w:tc>
      </w:tr>
      <w:tr w14:paraId="056C1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2" w:hRule="atLeast"/>
        </w:trPr>
        <w:tc>
          <w:tcPr>
            <w:tcW w:w="624" w:type="dxa"/>
            <w:vAlign w:val="top"/>
          </w:tcPr>
          <w:p w14:paraId="1A705701">
            <w:pPr>
              <w:spacing w:line="263" w:lineRule="auto"/>
              <w:rPr>
                <w:rFonts w:ascii="Arial"/>
                <w:sz w:val="21"/>
              </w:rPr>
            </w:pPr>
          </w:p>
          <w:p w14:paraId="45049DF6">
            <w:pPr>
              <w:spacing w:line="263" w:lineRule="auto"/>
              <w:rPr>
                <w:rFonts w:ascii="Arial"/>
                <w:sz w:val="21"/>
              </w:rPr>
            </w:pPr>
          </w:p>
          <w:p w14:paraId="38755827">
            <w:pPr>
              <w:spacing w:line="263" w:lineRule="auto"/>
              <w:rPr>
                <w:rFonts w:ascii="Arial"/>
                <w:sz w:val="21"/>
              </w:rPr>
            </w:pPr>
          </w:p>
          <w:p w14:paraId="7CBF5A01">
            <w:pPr>
              <w:spacing w:line="263" w:lineRule="auto"/>
              <w:rPr>
                <w:rFonts w:ascii="Arial"/>
                <w:sz w:val="21"/>
              </w:rPr>
            </w:pPr>
          </w:p>
          <w:p w14:paraId="23380BF1">
            <w:pPr>
              <w:spacing w:line="263" w:lineRule="auto"/>
              <w:rPr>
                <w:rFonts w:ascii="Arial"/>
                <w:sz w:val="21"/>
              </w:rPr>
            </w:pPr>
          </w:p>
          <w:p w14:paraId="002F936C">
            <w:pPr>
              <w:spacing w:line="263" w:lineRule="auto"/>
              <w:rPr>
                <w:rFonts w:ascii="Arial"/>
                <w:sz w:val="21"/>
              </w:rPr>
            </w:pPr>
          </w:p>
          <w:p w14:paraId="0B7E7CDE">
            <w:pPr>
              <w:spacing w:line="263" w:lineRule="auto"/>
              <w:rPr>
                <w:rFonts w:ascii="Arial"/>
                <w:sz w:val="21"/>
              </w:rPr>
            </w:pPr>
          </w:p>
          <w:p w14:paraId="419AABB1">
            <w:pPr>
              <w:spacing w:line="263" w:lineRule="auto"/>
              <w:rPr>
                <w:rFonts w:ascii="Arial"/>
                <w:sz w:val="21"/>
              </w:rPr>
            </w:pPr>
          </w:p>
          <w:p w14:paraId="0A9B2799">
            <w:pPr>
              <w:spacing w:line="263" w:lineRule="auto"/>
              <w:rPr>
                <w:rFonts w:ascii="Arial"/>
                <w:sz w:val="21"/>
              </w:rPr>
            </w:pPr>
          </w:p>
          <w:p w14:paraId="28C51A03">
            <w:pPr>
              <w:spacing w:line="264" w:lineRule="auto"/>
              <w:rPr>
                <w:rFonts w:ascii="Arial"/>
                <w:sz w:val="21"/>
              </w:rPr>
            </w:pPr>
          </w:p>
          <w:p w14:paraId="2FE60BBD">
            <w:pPr>
              <w:pStyle w:val="8"/>
              <w:spacing w:before="59" w:line="184" w:lineRule="auto"/>
              <w:ind w:left="201"/>
              <w:rPr>
                <w:rFonts w:hint="default" w:eastAsia="宋体"/>
                <w:lang w:val="en-US" w:eastAsia="zh-CN"/>
              </w:rPr>
            </w:pPr>
            <w:r>
              <w:rPr>
                <w:rFonts w:hint="eastAsia"/>
                <w:spacing w:val="-8"/>
                <w:lang w:val="en-US" w:eastAsia="zh-CN"/>
              </w:rPr>
              <w:t>99</w:t>
            </w:r>
          </w:p>
        </w:tc>
        <w:tc>
          <w:tcPr>
            <w:tcW w:w="1104" w:type="dxa"/>
            <w:vAlign w:val="top"/>
          </w:tcPr>
          <w:p w14:paraId="1CBDB109">
            <w:pPr>
              <w:spacing w:line="253" w:lineRule="auto"/>
              <w:rPr>
                <w:rFonts w:ascii="Arial"/>
                <w:sz w:val="21"/>
              </w:rPr>
            </w:pPr>
          </w:p>
          <w:p w14:paraId="3CBEF4D7">
            <w:pPr>
              <w:spacing w:line="253" w:lineRule="auto"/>
              <w:rPr>
                <w:rFonts w:ascii="Arial"/>
                <w:sz w:val="21"/>
              </w:rPr>
            </w:pPr>
          </w:p>
          <w:p w14:paraId="319EAAF7">
            <w:pPr>
              <w:spacing w:line="254" w:lineRule="auto"/>
              <w:rPr>
                <w:rFonts w:ascii="Arial"/>
                <w:sz w:val="21"/>
              </w:rPr>
            </w:pPr>
          </w:p>
          <w:p w14:paraId="3C12E03E">
            <w:pPr>
              <w:spacing w:line="254" w:lineRule="auto"/>
              <w:rPr>
                <w:rFonts w:ascii="Arial"/>
                <w:sz w:val="21"/>
              </w:rPr>
            </w:pPr>
          </w:p>
          <w:p w14:paraId="71F14A00">
            <w:pPr>
              <w:spacing w:line="254" w:lineRule="auto"/>
              <w:rPr>
                <w:rFonts w:ascii="Arial"/>
                <w:sz w:val="21"/>
              </w:rPr>
            </w:pPr>
          </w:p>
          <w:p w14:paraId="6A4848FB">
            <w:pPr>
              <w:spacing w:line="254" w:lineRule="auto"/>
              <w:rPr>
                <w:rFonts w:ascii="Arial"/>
                <w:sz w:val="21"/>
              </w:rPr>
            </w:pPr>
          </w:p>
          <w:p w14:paraId="1D55CA0F">
            <w:pPr>
              <w:pStyle w:val="8"/>
              <w:spacing w:before="58" w:line="244" w:lineRule="auto"/>
              <w:ind w:left="60" w:right="56" w:firstLine="3"/>
              <w:jc w:val="both"/>
            </w:pPr>
            <w:r>
              <w:rPr>
                <w:spacing w:val="15"/>
              </w:rPr>
              <w:t>交通工程建</w:t>
            </w:r>
            <w:r>
              <w:rPr>
                <w:spacing w:val="2"/>
              </w:rPr>
              <w:t xml:space="preserve"> </w:t>
            </w:r>
            <w:r>
              <w:rPr>
                <w:spacing w:val="16"/>
              </w:rPr>
              <w:t>设领域分包</w:t>
            </w:r>
            <w:r>
              <w:t xml:space="preserve"> </w:t>
            </w:r>
            <w:r>
              <w:rPr>
                <w:spacing w:val="16"/>
              </w:rPr>
              <w:t>单位未按月</w:t>
            </w:r>
            <w:r>
              <w:t xml:space="preserve"> </w:t>
            </w:r>
            <w:r>
              <w:rPr>
                <w:spacing w:val="16"/>
              </w:rPr>
              <w:t>考核农民工</w:t>
            </w:r>
            <w:r>
              <w:t xml:space="preserve"> </w:t>
            </w:r>
            <w:r>
              <w:rPr>
                <w:spacing w:val="-17"/>
              </w:rPr>
              <w:t>工作量、编制</w:t>
            </w:r>
            <w:r>
              <w:rPr>
                <w:spacing w:val="2"/>
              </w:rPr>
              <w:t xml:space="preserve"> </w:t>
            </w:r>
            <w:r>
              <w:rPr>
                <w:spacing w:val="16"/>
              </w:rPr>
              <w:t>工资支付表</w:t>
            </w:r>
            <w:r>
              <w:t xml:space="preserve"> </w:t>
            </w:r>
            <w:r>
              <w:rPr>
                <w:spacing w:val="16"/>
              </w:rPr>
              <w:t>并经农民工</w:t>
            </w:r>
            <w:r>
              <w:t xml:space="preserve"> </w:t>
            </w:r>
            <w:r>
              <w:rPr>
                <w:spacing w:val="16"/>
              </w:rPr>
              <w:t>本人签字确</w:t>
            </w:r>
            <w:r>
              <w:t xml:space="preserve"> </w:t>
            </w:r>
            <w:r>
              <w:rPr>
                <w:spacing w:val="16"/>
              </w:rPr>
              <w:t>认等行为的</w:t>
            </w:r>
            <w:r>
              <w:t xml:space="preserve"> </w:t>
            </w:r>
            <w:r>
              <w:rPr>
                <w:spacing w:val="-2"/>
              </w:rPr>
              <w:t>行政处罚</w:t>
            </w:r>
          </w:p>
        </w:tc>
        <w:tc>
          <w:tcPr>
            <w:tcW w:w="1104" w:type="dxa"/>
            <w:vAlign w:val="top"/>
          </w:tcPr>
          <w:p w14:paraId="5F1B5467">
            <w:pPr>
              <w:spacing w:line="259" w:lineRule="auto"/>
              <w:rPr>
                <w:rFonts w:ascii="Arial"/>
                <w:sz w:val="21"/>
              </w:rPr>
            </w:pPr>
          </w:p>
          <w:p w14:paraId="00463E3A">
            <w:pPr>
              <w:spacing w:line="260" w:lineRule="auto"/>
              <w:rPr>
                <w:rFonts w:ascii="Arial"/>
                <w:sz w:val="21"/>
              </w:rPr>
            </w:pPr>
          </w:p>
          <w:p w14:paraId="31946DD2">
            <w:pPr>
              <w:spacing w:line="260" w:lineRule="auto"/>
              <w:rPr>
                <w:rFonts w:ascii="Arial"/>
                <w:sz w:val="21"/>
              </w:rPr>
            </w:pPr>
          </w:p>
          <w:p w14:paraId="1352E46A">
            <w:pPr>
              <w:spacing w:line="260" w:lineRule="auto"/>
              <w:rPr>
                <w:rFonts w:ascii="Arial"/>
                <w:sz w:val="21"/>
              </w:rPr>
            </w:pPr>
          </w:p>
          <w:p w14:paraId="014DB582">
            <w:pPr>
              <w:spacing w:line="260" w:lineRule="auto"/>
              <w:rPr>
                <w:rFonts w:ascii="Arial"/>
                <w:sz w:val="21"/>
              </w:rPr>
            </w:pPr>
          </w:p>
          <w:p w14:paraId="0E58B03A">
            <w:pPr>
              <w:spacing w:line="260" w:lineRule="auto"/>
              <w:rPr>
                <w:rFonts w:ascii="Arial"/>
                <w:sz w:val="21"/>
              </w:rPr>
            </w:pPr>
          </w:p>
          <w:p w14:paraId="46FAB117">
            <w:pPr>
              <w:spacing w:line="260" w:lineRule="auto"/>
              <w:rPr>
                <w:rFonts w:ascii="Arial"/>
                <w:sz w:val="21"/>
              </w:rPr>
            </w:pPr>
          </w:p>
          <w:p w14:paraId="6F697693">
            <w:pPr>
              <w:spacing w:line="260" w:lineRule="auto"/>
              <w:rPr>
                <w:rFonts w:ascii="Arial"/>
                <w:sz w:val="21"/>
              </w:rPr>
            </w:pPr>
          </w:p>
          <w:p w14:paraId="53938D88">
            <w:pPr>
              <w:spacing w:line="260" w:lineRule="auto"/>
              <w:rPr>
                <w:rFonts w:ascii="Arial"/>
                <w:sz w:val="21"/>
              </w:rPr>
            </w:pPr>
          </w:p>
          <w:p w14:paraId="652F0794">
            <w:pPr>
              <w:spacing w:line="260" w:lineRule="auto"/>
              <w:rPr>
                <w:rFonts w:ascii="Arial"/>
                <w:sz w:val="21"/>
              </w:rPr>
            </w:pPr>
          </w:p>
          <w:p w14:paraId="03D0FFC7">
            <w:pPr>
              <w:pStyle w:val="8"/>
              <w:spacing w:before="59" w:line="220" w:lineRule="auto"/>
              <w:ind w:left="10"/>
            </w:pPr>
            <w:r>
              <w:rPr>
                <w:spacing w:val="-2"/>
              </w:rPr>
              <w:t>行政处罚</w:t>
            </w:r>
          </w:p>
        </w:tc>
        <w:tc>
          <w:tcPr>
            <w:tcW w:w="8549" w:type="dxa"/>
            <w:vAlign w:val="top"/>
          </w:tcPr>
          <w:p w14:paraId="6F5252DA">
            <w:pPr>
              <w:pStyle w:val="8"/>
              <w:spacing w:before="39" w:line="219" w:lineRule="auto"/>
              <w:ind w:left="476"/>
            </w:pPr>
            <w:r>
              <w:rPr>
                <w:b/>
                <w:bCs/>
                <w:spacing w:val="-3"/>
              </w:rPr>
              <w:t>《保障农民工工资支付条例》</w:t>
            </w:r>
          </w:p>
          <w:p w14:paraId="019DB007">
            <w:pPr>
              <w:pStyle w:val="8"/>
              <w:spacing w:before="27" w:line="237" w:lineRule="auto"/>
              <w:ind w:left="113" w:right="104" w:firstLine="357"/>
            </w:pPr>
            <w:r>
              <w:rPr>
                <w:spacing w:val="1"/>
              </w:rPr>
              <w:t>第二十八条  施工总承包单位或者分包单位应当依法与所招用的农民工订立劳动合同并进行用工实名 登记，具备条件的行业应当通过相应的管理服务信息平台进行用工实名登记、管理。未与施工总承包</w:t>
            </w:r>
            <w:r>
              <w:t xml:space="preserve">单位 </w:t>
            </w:r>
            <w:r>
              <w:rPr>
                <w:spacing w:val="-1"/>
              </w:rPr>
              <w:t>或者分包单位订立劳动合同并进行用工实名登记的人员，不得进入项目现场施工。</w:t>
            </w:r>
          </w:p>
          <w:p w14:paraId="20E6F40D">
            <w:pPr>
              <w:pStyle w:val="8"/>
              <w:spacing w:before="24" w:line="233" w:lineRule="auto"/>
              <w:ind w:left="110" w:right="104" w:firstLine="360"/>
            </w:pPr>
            <w:r>
              <w:rPr>
                <w:spacing w:val="1"/>
              </w:rPr>
              <w:t>施工总承包单位应当在工程项目部配备劳资专管员，对分包单位劳动用工实施监督管理，掌握施工现</w:t>
            </w:r>
            <w:r>
              <w:rPr>
                <w:spacing w:val="3"/>
              </w:rPr>
              <w:t xml:space="preserve"> </w:t>
            </w:r>
            <w:r>
              <w:rPr>
                <w:spacing w:val="-1"/>
              </w:rPr>
              <w:t>场用工、考勤、工资支付等情况，审核分包单位编制的农民工工资支付表，分包单位应当予以配合。</w:t>
            </w:r>
          </w:p>
          <w:p w14:paraId="68384826">
            <w:pPr>
              <w:pStyle w:val="8"/>
              <w:spacing w:before="26" w:line="219" w:lineRule="auto"/>
              <w:ind w:left="470"/>
            </w:pPr>
            <w:r>
              <w:rPr>
                <w:spacing w:val="-1"/>
              </w:rPr>
              <w:t>施工总承包单位、分包单位应当建立用工管理台账，并保存至工程完工且工资全部结清后至少</w:t>
            </w:r>
            <w:r>
              <w:rPr>
                <w:spacing w:val="-28"/>
              </w:rPr>
              <w:t xml:space="preserve"> </w:t>
            </w:r>
            <w:r>
              <w:rPr>
                <w:spacing w:val="-1"/>
              </w:rPr>
              <w:t>3</w:t>
            </w:r>
            <w:r>
              <w:rPr>
                <w:spacing w:val="-37"/>
              </w:rPr>
              <w:t xml:space="preserve"> </w:t>
            </w:r>
            <w:r>
              <w:rPr>
                <w:spacing w:val="-1"/>
              </w:rPr>
              <w:t>年。</w:t>
            </w:r>
          </w:p>
          <w:p w14:paraId="5814F0C5">
            <w:pPr>
              <w:pStyle w:val="8"/>
              <w:spacing w:before="25"/>
              <w:ind w:left="111" w:right="58" w:firstLine="360"/>
            </w:pPr>
            <w:r>
              <w:rPr>
                <w:spacing w:val="-2"/>
              </w:rPr>
              <w:t>第三十九条  人力资源社会保障行政部门、相关行业工程建设主管部门和其他有关部门应当按照职责，</w:t>
            </w:r>
            <w:r>
              <w:rPr>
                <w:spacing w:val="5"/>
              </w:rPr>
              <w:t xml:space="preserve"> </w:t>
            </w:r>
            <w:r>
              <w:rPr>
                <w:spacing w:val="1"/>
              </w:rPr>
              <w:t>加强对用人单位与农民工签订劳动合同、工资支付以及工程建设项目实行农民工实名制管理、农民工工资</w:t>
            </w:r>
            <w:r>
              <w:t xml:space="preserve"> </w:t>
            </w:r>
            <w:r>
              <w:rPr>
                <w:spacing w:val="1"/>
              </w:rPr>
              <w:t>专用账户管理、施工总承包单位代发工资、工资保证金存储、维权信息公示等情况的监督检查，预防和减</w:t>
            </w:r>
            <w:r>
              <w:t xml:space="preserve"> </w:t>
            </w:r>
            <w:r>
              <w:rPr>
                <w:spacing w:val="-3"/>
              </w:rPr>
              <w:t>少拖欠农民工工资行为的发生。</w:t>
            </w:r>
          </w:p>
          <w:p w14:paraId="3C13B980">
            <w:pPr>
              <w:pStyle w:val="8"/>
              <w:spacing w:before="25" w:line="219" w:lineRule="auto"/>
              <w:ind w:left="471"/>
            </w:pPr>
            <w:r>
              <w:rPr>
                <w:spacing w:val="-1"/>
              </w:rPr>
              <w:t>第三十一条  工程建设领域推行分包单位农民工工资委托施工总承包单位代发制度。</w:t>
            </w:r>
          </w:p>
          <w:p w14:paraId="6068C7B1">
            <w:pPr>
              <w:pStyle w:val="8"/>
              <w:spacing w:before="26" w:line="233" w:lineRule="auto"/>
              <w:ind w:left="112" w:right="104" w:firstLine="360"/>
            </w:pPr>
            <w:r>
              <w:rPr>
                <w:spacing w:val="1"/>
              </w:rPr>
              <w:t>分包单位应当按月考核农民工工作量并编制工资支付表，经农民工本人签字确认后，与当月工程进度</w:t>
            </w:r>
            <w:r>
              <w:t xml:space="preserve"> </w:t>
            </w:r>
            <w:r>
              <w:rPr>
                <w:spacing w:val="-3"/>
              </w:rPr>
              <w:t>等情况一并交施工总承包单位。</w:t>
            </w:r>
          </w:p>
          <w:p w14:paraId="6F326D22">
            <w:pPr>
              <w:pStyle w:val="8"/>
              <w:spacing w:before="25" w:line="233" w:lineRule="auto"/>
              <w:ind w:left="111" w:right="104" w:firstLine="358"/>
            </w:pPr>
            <w:r>
              <w:rPr>
                <w:spacing w:val="1"/>
              </w:rPr>
              <w:t>施工总承包单位根据分包单位编制的工资支付表，通过农民工工资专用账户直接将工资支付到农民工</w:t>
            </w:r>
            <w:r>
              <w:rPr>
                <w:spacing w:val="3"/>
              </w:rPr>
              <w:t xml:space="preserve"> </w:t>
            </w:r>
            <w:r>
              <w:rPr>
                <w:spacing w:val="-2"/>
              </w:rPr>
              <w:t>本人的银行账户，并向分包单位提供代发工资凭证。</w:t>
            </w:r>
          </w:p>
          <w:p w14:paraId="41D63C93">
            <w:pPr>
              <w:pStyle w:val="8"/>
              <w:spacing w:before="27" w:line="233" w:lineRule="auto"/>
              <w:ind w:left="114" w:right="104" w:firstLine="358"/>
            </w:pPr>
            <w:r>
              <w:rPr>
                <w:spacing w:val="1"/>
              </w:rPr>
              <w:t xml:space="preserve">用于支付农民工工资的银行账户所绑定的农民工本人社会保障卡或者银行卡，用人单位或者其他人员 </w:t>
            </w:r>
            <w:r>
              <w:rPr>
                <w:spacing w:val="-3"/>
              </w:rPr>
              <w:t>不得以任何理由扣押或者变相扣押。</w:t>
            </w:r>
          </w:p>
          <w:p w14:paraId="57A39974">
            <w:pPr>
              <w:pStyle w:val="8"/>
              <w:spacing w:before="28" w:line="236" w:lineRule="auto"/>
              <w:ind w:left="111" w:right="104" w:firstLine="359"/>
              <w:jc w:val="both"/>
            </w:pPr>
            <w:r>
              <w:rPr>
                <w:spacing w:val="1"/>
              </w:rPr>
              <w:t xml:space="preserve">第五十六条  有下列情形之一的，由人力资源社会保障行政部门、相关行业工程建设主管部门按照职 </w:t>
            </w:r>
            <w:r>
              <w:rPr>
                <w:spacing w:val="-1"/>
              </w:rPr>
              <w:t>责责令限期改正；逾期不改正的，处</w:t>
            </w:r>
            <w:r>
              <w:rPr>
                <w:spacing w:val="-33"/>
              </w:rPr>
              <w:t xml:space="preserve"> </w:t>
            </w:r>
            <w:r>
              <w:rPr>
                <w:spacing w:val="-1"/>
              </w:rPr>
              <w:t>5</w:t>
            </w:r>
            <w:r>
              <w:rPr>
                <w:spacing w:val="-34"/>
              </w:rPr>
              <w:t xml:space="preserve"> </w:t>
            </w:r>
            <w:r>
              <w:rPr>
                <w:spacing w:val="-1"/>
              </w:rPr>
              <w:t>万元以上</w:t>
            </w:r>
            <w:r>
              <w:rPr>
                <w:spacing w:val="-24"/>
              </w:rPr>
              <w:t xml:space="preserve"> </w:t>
            </w:r>
            <w:r>
              <w:rPr>
                <w:spacing w:val="-1"/>
              </w:rPr>
              <w:t>10</w:t>
            </w:r>
            <w:r>
              <w:rPr>
                <w:spacing w:val="-37"/>
              </w:rPr>
              <w:t xml:space="preserve"> </w:t>
            </w:r>
            <w:r>
              <w:rPr>
                <w:spacing w:val="-1"/>
              </w:rPr>
              <w:t>万元以下的罚款</w:t>
            </w:r>
            <w:r>
              <w:rPr>
                <w:spacing w:val="-20"/>
              </w:rPr>
              <w:t>：（</w:t>
            </w:r>
            <w:r>
              <w:rPr>
                <w:spacing w:val="-1"/>
              </w:rPr>
              <w:t>一）分包</w:t>
            </w:r>
            <w:r>
              <w:rPr>
                <w:spacing w:val="-2"/>
              </w:rPr>
              <w:t>单位未按月考核农民工工</w:t>
            </w:r>
            <w:r>
              <w:t xml:space="preserve"> 作量、编制工资支付表并经农民工本人签字确认。（二）</w:t>
            </w:r>
            <w:r>
              <w:rPr>
                <w:spacing w:val="-44"/>
              </w:rPr>
              <w:t xml:space="preserve"> </w:t>
            </w:r>
            <w:r>
              <w:t xml:space="preserve">施工总承包单位未对分包单位劳动用工实施监督 </w:t>
            </w:r>
            <w:r>
              <w:rPr>
                <w:spacing w:val="1"/>
              </w:rPr>
              <w:t>管理。（三）分包单位未配合施工总承包单位对其劳动用工进行监督管理的。（四）施工总承包单位未实</w:t>
            </w:r>
            <w:r>
              <w:t xml:space="preserve"> </w:t>
            </w:r>
            <w:r>
              <w:rPr>
                <w:spacing w:val="-3"/>
              </w:rPr>
              <w:t>行施工现场维权信息公示制度。</w:t>
            </w:r>
          </w:p>
        </w:tc>
        <w:tc>
          <w:tcPr>
            <w:tcW w:w="1014" w:type="dxa"/>
            <w:vAlign w:val="top"/>
          </w:tcPr>
          <w:p w14:paraId="5EA579FA">
            <w:pPr>
              <w:spacing w:line="248" w:lineRule="auto"/>
              <w:rPr>
                <w:rFonts w:ascii="Arial"/>
                <w:sz w:val="21"/>
              </w:rPr>
            </w:pPr>
          </w:p>
          <w:p w14:paraId="4ED77518">
            <w:pPr>
              <w:spacing w:line="248" w:lineRule="auto"/>
              <w:rPr>
                <w:rFonts w:ascii="Arial"/>
                <w:sz w:val="21"/>
              </w:rPr>
            </w:pPr>
          </w:p>
          <w:p w14:paraId="471A3073">
            <w:pPr>
              <w:spacing w:line="248" w:lineRule="auto"/>
              <w:rPr>
                <w:rFonts w:ascii="Arial"/>
                <w:sz w:val="21"/>
              </w:rPr>
            </w:pPr>
          </w:p>
          <w:p w14:paraId="316FF88A">
            <w:pPr>
              <w:spacing w:line="248" w:lineRule="auto"/>
              <w:rPr>
                <w:rFonts w:ascii="Arial"/>
                <w:sz w:val="21"/>
              </w:rPr>
            </w:pPr>
          </w:p>
          <w:p w14:paraId="6202B64E">
            <w:pPr>
              <w:spacing w:line="248" w:lineRule="auto"/>
              <w:rPr>
                <w:rFonts w:ascii="Arial"/>
                <w:sz w:val="21"/>
              </w:rPr>
            </w:pPr>
          </w:p>
          <w:p w14:paraId="3E2019B9">
            <w:pPr>
              <w:spacing w:line="249" w:lineRule="auto"/>
              <w:rPr>
                <w:rFonts w:ascii="Arial"/>
                <w:sz w:val="21"/>
              </w:rPr>
            </w:pPr>
          </w:p>
          <w:p w14:paraId="5F981487">
            <w:pPr>
              <w:spacing w:line="249" w:lineRule="auto"/>
              <w:rPr>
                <w:rFonts w:ascii="Arial"/>
                <w:sz w:val="21"/>
              </w:rPr>
            </w:pPr>
          </w:p>
          <w:p w14:paraId="3687FD08">
            <w:pPr>
              <w:spacing w:line="249" w:lineRule="auto"/>
              <w:rPr>
                <w:rFonts w:ascii="Arial"/>
                <w:sz w:val="21"/>
              </w:rPr>
            </w:pPr>
          </w:p>
          <w:p w14:paraId="7A5933B0">
            <w:pPr>
              <w:spacing w:line="249" w:lineRule="auto"/>
              <w:rPr>
                <w:rFonts w:ascii="Arial"/>
                <w:sz w:val="21"/>
              </w:rPr>
            </w:pPr>
          </w:p>
          <w:p w14:paraId="10C8CCA0">
            <w:pPr>
              <w:spacing w:line="249" w:lineRule="auto"/>
              <w:rPr>
                <w:rFonts w:ascii="Arial"/>
                <w:sz w:val="21"/>
              </w:rPr>
            </w:pPr>
          </w:p>
          <w:p w14:paraId="776FE797">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7A53BF55">
            <w:pPr>
              <w:spacing w:line="248" w:lineRule="auto"/>
              <w:rPr>
                <w:rFonts w:ascii="Arial"/>
                <w:sz w:val="21"/>
              </w:rPr>
            </w:pPr>
          </w:p>
          <w:p w14:paraId="3055A3F6">
            <w:pPr>
              <w:spacing w:line="248" w:lineRule="auto"/>
              <w:rPr>
                <w:rFonts w:ascii="Arial"/>
                <w:sz w:val="21"/>
              </w:rPr>
            </w:pPr>
          </w:p>
          <w:p w14:paraId="700F02B3">
            <w:pPr>
              <w:spacing w:line="248" w:lineRule="auto"/>
              <w:rPr>
                <w:rFonts w:ascii="Arial"/>
                <w:sz w:val="21"/>
              </w:rPr>
            </w:pPr>
          </w:p>
          <w:p w14:paraId="1C12ECE0">
            <w:pPr>
              <w:spacing w:line="248" w:lineRule="auto"/>
              <w:rPr>
                <w:rFonts w:ascii="Arial"/>
                <w:sz w:val="21"/>
              </w:rPr>
            </w:pPr>
          </w:p>
          <w:p w14:paraId="554CCAA0">
            <w:pPr>
              <w:spacing w:line="248" w:lineRule="auto"/>
              <w:rPr>
                <w:rFonts w:ascii="Arial"/>
                <w:sz w:val="21"/>
              </w:rPr>
            </w:pPr>
          </w:p>
          <w:p w14:paraId="51D26BDF">
            <w:pPr>
              <w:spacing w:line="249" w:lineRule="auto"/>
              <w:rPr>
                <w:rFonts w:ascii="Arial"/>
                <w:sz w:val="21"/>
              </w:rPr>
            </w:pPr>
          </w:p>
          <w:p w14:paraId="194F7250">
            <w:pPr>
              <w:spacing w:line="249" w:lineRule="auto"/>
              <w:rPr>
                <w:rFonts w:ascii="Arial"/>
                <w:sz w:val="21"/>
              </w:rPr>
            </w:pPr>
          </w:p>
          <w:p w14:paraId="155A0D71">
            <w:pPr>
              <w:spacing w:line="249" w:lineRule="auto"/>
              <w:rPr>
                <w:rFonts w:ascii="Arial"/>
                <w:sz w:val="21"/>
              </w:rPr>
            </w:pPr>
          </w:p>
          <w:p w14:paraId="65D5E223">
            <w:pPr>
              <w:spacing w:line="249" w:lineRule="auto"/>
              <w:rPr>
                <w:rFonts w:ascii="Arial"/>
                <w:sz w:val="21"/>
              </w:rPr>
            </w:pPr>
          </w:p>
          <w:p w14:paraId="2218890E">
            <w:pPr>
              <w:spacing w:line="249" w:lineRule="auto"/>
              <w:rPr>
                <w:rFonts w:ascii="Arial"/>
                <w:sz w:val="21"/>
              </w:rPr>
            </w:pPr>
          </w:p>
          <w:p w14:paraId="076EEDC4">
            <w:pPr>
              <w:pStyle w:val="8"/>
              <w:spacing w:before="58"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425E1E37">
            <w:pPr>
              <w:spacing w:line="249" w:lineRule="auto"/>
              <w:rPr>
                <w:rFonts w:ascii="Arial"/>
                <w:sz w:val="21"/>
              </w:rPr>
            </w:pPr>
          </w:p>
          <w:p w14:paraId="119E1472">
            <w:pPr>
              <w:spacing w:line="249" w:lineRule="auto"/>
              <w:rPr>
                <w:rFonts w:ascii="Arial"/>
                <w:sz w:val="21"/>
              </w:rPr>
            </w:pPr>
          </w:p>
          <w:p w14:paraId="667E9D27">
            <w:pPr>
              <w:spacing w:line="250" w:lineRule="auto"/>
              <w:rPr>
                <w:rFonts w:ascii="Arial"/>
                <w:sz w:val="21"/>
              </w:rPr>
            </w:pPr>
          </w:p>
          <w:p w14:paraId="010E238C">
            <w:pPr>
              <w:spacing w:line="250" w:lineRule="auto"/>
              <w:rPr>
                <w:rFonts w:ascii="Arial"/>
                <w:sz w:val="21"/>
              </w:rPr>
            </w:pPr>
          </w:p>
          <w:p w14:paraId="370AF910">
            <w:pPr>
              <w:spacing w:line="250" w:lineRule="auto"/>
              <w:rPr>
                <w:rFonts w:ascii="Arial"/>
                <w:sz w:val="21"/>
              </w:rPr>
            </w:pPr>
          </w:p>
          <w:p w14:paraId="1913AD72">
            <w:pPr>
              <w:spacing w:line="250" w:lineRule="auto"/>
              <w:rPr>
                <w:rFonts w:ascii="Arial"/>
                <w:sz w:val="21"/>
              </w:rPr>
            </w:pPr>
          </w:p>
          <w:p w14:paraId="0271F54E">
            <w:pPr>
              <w:spacing w:line="250" w:lineRule="auto"/>
              <w:rPr>
                <w:rFonts w:ascii="Arial"/>
                <w:sz w:val="21"/>
              </w:rPr>
            </w:pPr>
          </w:p>
          <w:p w14:paraId="1E0F64CA">
            <w:pPr>
              <w:spacing w:line="250" w:lineRule="auto"/>
              <w:rPr>
                <w:rFonts w:ascii="Arial"/>
                <w:sz w:val="21"/>
              </w:rPr>
            </w:pPr>
          </w:p>
          <w:p w14:paraId="08890D47">
            <w:pPr>
              <w:spacing w:line="250" w:lineRule="auto"/>
              <w:rPr>
                <w:rFonts w:ascii="Arial"/>
                <w:sz w:val="21"/>
              </w:rPr>
            </w:pPr>
          </w:p>
          <w:p w14:paraId="33634EDC">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r w14:paraId="7B59E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trPr>
        <w:tc>
          <w:tcPr>
            <w:tcW w:w="624" w:type="dxa"/>
            <w:vAlign w:val="top"/>
          </w:tcPr>
          <w:p w14:paraId="29297F8A">
            <w:pPr>
              <w:spacing w:line="241" w:lineRule="auto"/>
              <w:rPr>
                <w:rFonts w:ascii="Arial"/>
                <w:sz w:val="21"/>
              </w:rPr>
            </w:pPr>
          </w:p>
          <w:p w14:paraId="1E3772E4">
            <w:pPr>
              <w:spacing w:line="242" w:lineRule="auto"/>
              <w:rPr>
                <w:rFonts w:ascii="Arial"/>
                <w:sz w:val="21"/>
              </w:rPr>
            </w:pPr>
          </w:p>
          <w:p w14:paraId="79A77749">
            <w:pPr>
              <w:spacing w:line="242" w:lineRule="auto"/>
              <w:rPr>
                <w:rFonts w:ascii="Arial"/>
                <w:sz w:val="21"/>
              </w:rPr>
            </w:pPr>
          </w:p>
          <w:p w14:paraId="42BA4F19">
            <w:pPr>
              <w:spacing w:line="242" w:lineRule="auto"/>
              <w:rPr>
                <w:rFonts w:ascii="Arial"/>
                <w:sz w:val="21"/>
              </w:rPr>
            </w:pPr>
          </w:p>
          <w:p w14:paraId="316926B0">
            <w:pPr>
              <w:pStyle w:val="8"/>
              <w:spacing w:before="58" w:line="184" w:lineRule="auto"/>
              <w:ind w:left="201"/>
              <w:rPr>
                <w:rFonts w:hint="default" w:eastAsia="宋体"/>
                <w:lang w:val="en-US" w:eastAsia="zh-CN"/>
              </w:rPr>
            </w:pPr>
            <w:r>
              <w:rPr>
                <w:rFonts w:hint="eastAsia"/>
                <w:spacing w:val="-8"/>
                <w:lang w:val="en-US" w:eastAsia="zh-CN"/>
              </w:rPr>
              <w:t>100</w:t>
            </w:r>
          </w:p>
        </w:tc>
        <w:tc>
          <w:tcPr>
            <w:tcW w:w="1104" w:type="dxa"/>
            <w:vAlign w:val="top"/>
          </w:tcPr>
          <w:p w14:paraId="6085EFD7">
            <w:pPr>
              <w:pStyle w:val="8"/>
              <w:spacing w:before="276" w:line="243" w:lineRule="auto"/>
              <w:ind w:left="61" w:right="56" w:firstLine="2"/>
              <w:jc w:val="both"/>
            </w:pPr>
            <w:r>
              <w:rPr>
                <w:spacing w:val="15"/>
              </w:rPr>
              <w:t>交通工程建</w:t>
            </w:r>
            <w:r>
              <w:rPr>
                <w:spacing w:val="2"/>
              </w:rPr>
              <w:t xml:space="preserve"> </w:t>
            </w:r>
            <w:r>
              <w:rPr>
                <w:spacing w:val="16"/>
              </w:rPr>
              <w:t>设领域建设</w:t>
            </w:r>
            <w:r>
              <w:t xml:space="preserve"> </w:t>
            </w:r>
            <w:r>
              <w:rPr>
                <w:spacing w:val="16"/>
              </w:rPr>
              <w:t>单位未依法</w:t>
            </w:r>
            <w:r>
              <w:t xml:space="preserve"> </w:t>
            </w:r>
            <w:r>
              <w:rPr>
                <w:spacing w:val="16"/>
              </w:rPr>
              <w:t>提供工程款</w:t>
            </w:r>
            <w:r>
              <w:t xml:space="preserve"> </w:t>
            </w:r>
            <w:r>
              <w:rPr>
                <w:spacing w:val="16"/>
              </w:rPr>
              <w:t>支付担保等</w:t>
            </w:r>
            <w:r>
              <w:t xml:space="preserve"> </w:t>
            </w:r>
            <w:r>
              <w:rPr>
                <w:spacing w:val="7"/>
              </w:rPr>
              <w:t>行为</w:t>
            </w:r>
            <w:r>
              <w:rPr>
                <w:spacing w:val="-45"/>
              </w:rPr>
              <w:t xml:space="preserve"> </w:t>
            </w:r>
            <w:r>
              <w:rPr>
                <w:spacing w:val="7"/>
              </w:rPr>
              <w:t>的行政</w:t>
            </w:r>
            <w:r>
              <w:t xml:space="preserve"> </w:t>
            </w:r>
            <w:r>
              <w:rPr>
                <w:spacing w:val="-2"/>
              </w:rPr>
              <w:t>处罚</w:t>
            </w:r>
          </w:p>
        </w:tc>
        <w:tc>
          <w:tcPr>
            <w:tcW w:w="1104" w:type="dxa"/>
            <w:vAlign w:val="top"/>
          </w:tcPr>
          <w:p w14:paraId="33C2BCAF">
            <w:pPr>
              <w:spacing w:line="310" w:lineRule="auto"/>
              <w:rPr>
                <w:rFonts w:ascii="Arial"/>
                <w:sz w:val="21"/>
              </w:rPr>
            </w:pPr>
          </w:p>
          <w:p w14:paraId="1D67EE37">
            <w:pPr>
              <w:spacing w:line="311" w:lineRule="auto"/>
              <w:rPr>
                <w:rFonts w:ascii="Arial"/>
                <w:sz w:val="21"/>
              </w:rPr>
            </w:pPr>
          </w:p>
          <w:p w14:paraId="1D36B4B9">
            <w:pPr>
              <w:spacing w:line="311" w:lineRule="auto"/>
              <w:rPr>
                <w:rFonts w:ascii="Arial"/>
                <w:sz w:val="21"/>
              </w:rPr>
            </w:pPr>
          </w:p>
          <w:p w14:paraId="6C716F91">
            <w:pPr>
              <w:pStyle w:val="8"/>
              <w:spacing w:before="59" w:line="220" w:lineRule="auto"/>
              <w:ind w:left="10"/>
            </w:pPr>
            <w:r>
              <w:rPr>
                <w:spacing w:val="-2"/>
              </w:rPr>
              <w:t>行政处罚</w:t>
            </w:r>
          </w:p>
        </w:tc>
        <w:tc>
          <w:tcPr>
            <w:tcW w:w="8549" w:type="dxa"/>
            <w:vAlign w:val="top"/>
          </w:tcPr>
          <w:p w14:paraId="37390A05">
            <w:pPr>
              <w:pStyle w:val="8"/>
              <w:spacing w:before="44" w:line="219" w:lineRule="auto"/>
              <w:ind w:left="476"/>
            </w:pPr>
            <w:r>
              <w:rPr>
                <w:b/>
                <w:bCs/>
                <w:spacing w:val="-3"/>
              </w:rPr>
              <w:t>《保障农民工工资支付条例》</w:t>
            </w:r>
          </w:p>
          <w:p w14:paraId="6AE8D4BE">
            <w:pPr>
              <w:pStyle w:val="8"/>
              <w:spacing w:before="25" w:line="219" w:lineRule="auto"/>
              <w:ind w:left="471"/>
            </w:pPr>
            <w:r>
              <w:rPr>
                <w:spacing w:val="-2"/>
              </w:rPr>
              <w:t>第二十四条  建设单位应当向施工单位提供工程款支付担保。</w:t>
            </w:r>
          </w:p>
          <w:p w14:paraId="78E1325C">
            <w:pPr>
              <w:pStyle w:val="8"/>
              <w:spacing w:before="27" w:line="237" w:lineRule="auto"/>
              <w:ind w:left="113" w:right="104" w:firstLine="360"/>
            </w:pPr>
            <w:r>
              <w:rPr>
                <w:spacing w:val="1"/>
              </w:rPr>
              <w:t>建设单位与施工总承包单位依法订立书面工程施工合同，应当约定工程款计量周期、工程款进度结算</w:t>
            </w:r>
            <w:r>
              <w:t xml:space="preserve"> </w:t>
            </w:r>
            <w:r>
              <w:rPr>
                <w:spacing w:val="1"/>
              </w:rPr>
              <w:t>办法以及人工费用拨付周期，并按照保障农民工工资按时足额支付的要求约定人工费用。人工费用拨</w:t>
            </w:r>
            <w:r>
              <w:t xml:space="preserve">付周 </w:t>
            </w:r>
            <w:r>
              <w:rPr>
                <w:spacing w:val="-6"/>
              </w:rPr>
              <w:t>期不得超过</w:t>
            </w:r>
            <w:r>
              <w:rPr>
                <w:spacing w:val="-23"/>
              </w:rPr>
              <w:t xml:space="preserve"> </w:t>
            </w:r>
            <w:r>
              <w:rPr>
                <w:spacing w:val="-6"/>
              </w:rPr>
              <w:t>1</w:t>
            </w:r>
            <w:r>
              <w:rPr>
                <w:spacing w:val="-39"/>
              </w:rPr>
              <w:t xml:space="preserve"> </w:t>
            </w:r>
            <w:r>
              <w:rPr>
                <w:spacing w:val="-6"/>
              </w:rPr>
              <w:t>个月。</w:t>
            </w:r>
          </w:p>
          <w:p w14:paraId="57C7999F">
            <w:pPr>
              <w:pStyle w:val="8"/>
              <w:spacing w:before="26" w:line="219" w:lineRule="auto"/>
              <w:ind w:left="473"/>
            </w:pPr>
            <w:r>
              <w:rPr>
                <w:spacing w:val="-2"/>
              </w:rPr>
              <w:t>建设单位与施工总承包单位应当将工程施工合同保存备查。</w:t>
            </w:r>
          </w:p>
          <w:p w14:paraId="229C93D2">
            <w:pPr>
              <w:pStyle w:val="8"/>
              <w:spacing w:before="26" w:line="233" w:lineRule="auto"/>
              <w:ind w:left="114" w:right="104" w:firstLine="357"/>
            </w:pPr>
            <w:r>
              <w:rPr>
                <w:spacing w:val="1"/>
              </w:rPr>
              <w:t xml:space="preserve">第二十六条  施工总承包单位应当按照有关规定开设农民工工资专用账户，专项用于支付该工程建设 </w:t>
            </w:r>
            <w:r>
              <w:rPr>
                <w:spacing w:val="-4"/>
              </w:rPr>
              <w:t>项目农民工工资。</w:t>
            </w:r>
          </w:p>
          <w:p w14:paraId="08D7613C">
            <w:pPr>
              <w:pStyle w:val="8"/>
              <w:spacing w:before="25" w:line="198" w:lineRule="auto"/>
              <w:ind w:left="471"/>
            </w:pPr>
            <w:r>
              <w:rPr>
                <w:spacing w:val="-1"/>
              </w:rPr>
              <w:t>开设、使用农民工工资专用账户有关资料应当由施工总承包单位妥善保</w:t>
            </w:r>
            <w:r>
              <w:rPr>
                <w:spacing w:val="-2"/>
              </w:rPr>
              <w:t>存备查。</w:t>
            </w:r>
          </w:p>
        </w:tc>
        <w:tc>
          <w:tcPr>
            <w:tcW w:w="1014" w:type="dxa"/>
            <w:vAlign w:val="top"/>
          </w:tcPr>
          <w:p w14:paraId="16CA1D1B">
            <w:pPr>
              <w:spacing w:line="273" w:lineRule="auto"/>
              <w:rPr>
                <w:rFonts w:ascii="Arial"/>
                <w:sz w:val="21"/>
              </w:rPr>
            </w:pPr>
          </w:p>
          <w:p w14:paraId="5C6301A6">
            <w:pPr>
              <w:spacing w:line="273" w:lineRule="auto"/>
              <w:rPr>
                <w:rFonts w:ascii="Arial"/>
                <w:sz w:val="21"/>
              </w:rPr>
            </w:pPr>
          </w:p>
          <w:p w14:paraId="765C5321">
            <w:pPr>
              <w:spacing w:line="274" w:lineRule="auto"/>
              <w:rPr>
                <w:rFonts w:ascii="Arial"/>
                <w:sz w:val="21"/>
              </w:rPr>
            </w:pPr>
          </w:p>
          <w:p w14:paraId="15D9AA59">
            <w:pPr>
              <w:pStyle w:val="8"/>
              <w:spacing w:before="58" w:line="233" w:lineRule="auto"/>
              <w:ind w:left="153" w:right="144" w:firstLine="2"/>
            </w:pPr>
            <w:r>
              <w:rPr>
                <w:spacing w:val="-3"/>
              </w:rPr>
              <w:t>交通运输</w:t>
            </w:r>
            <w:r>
              <w:t xml:space="preserve"> </w:t>
            </w:r>
            <w:r>
              <w:rPr>
                <w:spacing w:val="-3"/>
              </w:rPr>
              <w:t>主管部门</w:t>
            </w:r>
          </w:p>
        </w:tc>
        <w:tc>
          <w:tcPr>
            <w:tcW w:w="1407" w:type="dxa"/>
            <w:vAlign w:val="top"/>
          </w:tcPr>
          <w:p w14:paraId="68B30165">
            <w:pPr>
              <w:spacing w:line="273" w:lineRule="auto"/>
              <w:rPr>
                <w:rFonts w:ascii="Arial"/>
                <w:sz w:val="21"/>
              </w:rPr>
            </w:pPr>
          </w:p>
          <w:p w14:paraId="0F27E7B0">
            <w:pPr>
              <w:spacing w:line="273" w:lineRule="auto"/>
              <w:rPr>
                <w:rFonts w:ascii="Arial"/>
                <w:sz w:val="21"/>
              </w:rPr>
            </w:pPr>
          </w:p>
          <w:p w14:paraId="2D4129E4">
            <w:pPr>
              <w:spacing w:line="274" w:lineRule="auto"/>
              <w:rPr>
                <w:rFonts w:ascii="Arial"/>
                <w:sz w:val="21"/>
              </w:rPr>
            </w:pPr>
          </w:p>
          <w:p w14:paraId="3F077352">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03AF05D6">
            <w:pPr>
              <w:spacing w:line="291" w:lineRule="auto"/>
              <w:rPr>
                <w:rFonts w:ascii="Arial"/>
                <w:sz w:val="21"/>
              </w:rPr>
            </w:pPr>
          </w:p>
          <w:p w14:paraId="536A9C5C">
            <w:pPr>
              <w:spacing w:line="292" w:lineRule="auto"/>
              <w:rPr>
                <w:rFonts w:ascii="Arial"/>
                <w:sz w:val="21"/>
              </w:rPr>
            </w:pPr>
          </w:p>
          <w:p w14:paraId="33EDA75B">
            <w:pPr>
              <w:pStyle w:val="8"/>
              <w:spacing w:before="58"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77216AA8">
      <w:pPr>
        <w:pStyle w:val="2"/>
        <w:spacing w:line="177" w:lineRule="exact"/>
        <w:rPr>
          <w:sz w:val="15"/>
        </w:rPr>
      </w:pPr>
    </w:p>
    <w:p w14:paraId="3BC78F1A">
      <w:pPr>
        <w:spacing w:line="177" w:lineRule="exact"/>
        <w:rPr>
          <w:sz w:val="15"/>
          <w:szCs w:val="15"/>
        </w:rPr>
        <w:sectPr>
          <w:footerReference r:id="rId126" w:type="default"/>
          <w:pgSz w:w="16839" w:h="11906"/>
          <w:pgMar w:top="1012" w:right="991" w:bottom="967" w:left="1021" w:header="0" w:footer="768" w:gutter="0"/>
          <w:cols w:space="720" w:num="1"/>
        </w:sectPr>
      </w:pPr>
    </w:p>
    <w:p w14:paraId="0EDC2192">
      <w:pPr>
        <w:spacing w:line="121" w:lineRule="exact"/>
      </w:pPr>
    </w:p>
    <w:tbl>
      <w:tblPr>
        <w:tblStyle w:val="7"/>
        <w:tblW w:w="14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104"/>
        <w:gridCol w:w="1104"/>
        <w:gridCol w:w="8549"/>
        <w:gridCol w:w="1014"/>
        <w:gridCol w:w="1407"/>
        <w:gridCol w:w="1018"/>
      </w:tblGrid>
      <w:tr w14:paraId="29885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4" w:type="dxa"/>
            <w:vMerge w:val="restart"/>
            <w:tcBorders>
              <w:bottom w:val="nil"/>
            </w:tcBorders>
            <w:vAlign w:val="top"/>
          </w:tcPr>
          <w:p w14:paraId="156D1D88">
            <w:pPr>
              <w:pStyle w:val="8"/>
              <w:spacing w:before="267" w:line="221" w:lineRule="auto"/>
              <w:ind w:left="134"/>
            </w:pPr>
            <w:r>
              <w:rPr>
                <w:b/>
                <w:bCs/>
                <w:spacing w:val="-4"/>
              </w:rPr>
              <w:t>序号</w:t>
            </w:r>
          </w:p>
        </w:tc>
        <w:tc>
          <w:tcPr>
            <w:tcW w:w="1104" w:type="dxa"/>
            <w:vMerge w:val="restart"/>
            <w:tcBorders>
              <w:bottom w:val="nil"/>
            </w:tcBorders>
            <w:vAlign w:val="top"/>
          </w:tcPr>
          <w:p w14:paraId="2AF1D27F">
            <w:pPr>
              <w:pStyle w:val="8"/>
              <w:spacing w:before="260" w:line="220" w:lineRule="auto"/>
              <w:ind w:left="192"/>
            </w:pPr>
            <w:r>
              <w:rPr>
                <w:b/>
                <w:bCs/>
                <w:spacing w:val="-4"/>
              </w:rPr>
              <w:t>事项名称</w:t>
            </w:r>
          </w:p>
        </w:tc>
        <w:tc>
          <w:tcPr>
            <w:tcW w:w="1104" w:type="dxa"/>
            <w:vMerge w:val="restart"/>
            <w:tcBorders>
              <w:bottom w:val="nil"/>
            </w:tcBorders>
            <w:vAlign w:val="top"/>
          </w:tcPr>
          <w:p w14:paraId="001FF0C4">
            <w:pPr>
              <w:pStyle w:val="8"/>
              <w:spacing w:before="260" w:line="219" w:lineRule="auto"/>
              <w:ind w:left="193"/>
            </w:pPr>
            <w:r>
              <w:rPr>
                <w:b/>
                <w:bCs/>
                <w:spacing w:val="-4"/>
              </w:rPr>
              <w:t>职权类型</w:t>
            </w:r>
          </w:p>
        </w:tc>
        <w:tc>
          <w:tcPr>
            <w:tcW w:w="8549" w:type="dxa"/>
            <w:vMerge w:val="restart"/>
            <w:tcBorders>
              <w:bottom w:val="nil"/>
            </w:tcBorders>
            <w:vAlign w:val="top"/>
          </w:tcPr>
          <w:p w14:paraId="1AC27344">
            <w:pPr>
              <w:pStyle w:val="8"/>
              <w:spacing w:before="259" w:line="219" w:lineRule="auto"/>
              <w:ind w:left="3921"/>
            </w:pPr>
            <w:r>
              <w:rPr>
                <w:b/>
                <w:bCs/>
                <w:spacing w:val="-5"/>
              </w:rPr>
              <w:t>实施依据</w:t>
            </w:r>
          </w:p>
        </w:tc>
        <w:tc>
          <w:tcPr>
            <w:tcW w:w="3439" w:type="dxa"/>
            <w:gridSpan w:val="3"/>
            <w:vAlign w:val="top"/>
          </w:tcPr>
          <w:p w14:paraId="6B4AF729">
            <w:pPr>
              <w:pStyle w:val="8"/>
              <w:spacing w:before="85" w:line="220" w:lineRule="auto"/>
              <w:ind w:left="1365"/>
            </w:pPr>
            <w:r>
              <w:rPr>
                <w:b/>
                <w:bCs/>
                <w:spacing w:val="-5"/>
              </w:rPr>
              <w:t>实施主体</w:t>
            </w:r>
          </w:p>
        </w:tc>
      </w:tr>
      <w:tr w14:paraId="06202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4" w:type="dxa"/>
            <w:vMerge w:val="continue"/>
            <w:tcBorders>
              <w:top w:val="nil"/>
            </w:tcBorders>
            <w:vAlign w:val="top"/>
          </w:tcPr>
          <w:p w14:paraId="6B5D940B">
            <w:pPr>
              <w:rPr>
                <w:rFonts w:ascii="Arial"/>
                <w:sz w:val="21"/>
              </w:rPr>
            </w:pPr>
          </w:p>
        </w:tc>
        <w:tc>
          <w:tcPr>
            <w:tcW w:w="1104" w:type="dxa"/>
            <w:vMerge w:val="continue"/>
            <w:tcBorders>
              <w:top w:val="nil"/>
            </w:tcBorders>
            <w:vAlign w:val="top"/>
          </w:tcPr>
          <w:p w14:paraId="5083D036">
            <w:pPr>
              <w:rPr>
                <w:rFonts w:ascii="Arial"/>
                <w:sz w:val="21"/>
              </w:rPr>
            </w:pPr>
          </w:p>
        </w:tc>
        <w:tc>
          <w:tcPr>
            <w:tcW w:w="1104" w:type="dxa"/>
            <w:vMerge w:val="continue"/>
            <w:tcBorders>
              <w:top w:val="nil"/>
            </w:tcBorders>
            <w:vAlign w:val="top"/>
          </w:tcPr>
          <w:p w14:paraId="0ED955D5">
            <w:pPr>
              <w:rPr>
                <w:rFonts w:ascii="Arial"/>
                <w:sz w:val="21"/>
              </w:rPr>
            </w:pPr>
          </w:p>
        </w:tc>
        <w:tc>
          <w:tcPr>
            <w:tcW w:w="8549" w:type="dxa"/>
            <w:vMerge w:val="continue"/>
            <w:tcBorders>
              <w:top w:val="nil"/>
            </w:tcBorders>
            <w:vAlign w:val="top"/>
          </w:tcPr>
          <w:p w14:paraId="5208A309">
            <w:pPr>
              <w:rPr>
                <w:rFonts w:ascii="Arial"/>
                <w:sz w:val="21"/>
              </w:rPr>
            </w:pPr>
          </w:p>
        </w:tc>
        <w:tc>
          <w:tcPr>
            <w:tcW w:w="1014" w:type="dxa"/>
            <w:vAlign w:val="top"/>
          </w:tcPr>
          <w:p w14:paraId="227F93F0">
            <w:pPr>
              <w:pStyle w:val="8"/>
              <w:spacing w:before="81" w:line="219" w:lineRule="auto"/>
              <w:ind w:left="158"/>
            </w:pPr>
            <w:r>
              <w:rPr>
                <w:b/>
                <w:bCs/>
                <w:spacing w:val="-5"/>
              </w:rPr>
              <w:t>责任部门</w:t>
            </w:r>
          </w:p>
        </w:tc>
        <w:tc>
          <w:tcPr>
            <w:tcW w:w="1407" w:type="dxa"/>
            <w:vAlign w:val="top"/>
          </w:tcPr>
          <w:p w14:paraId="389495A6">
            <w:pPr>
              <w:pStyle w:val="8"/>
              <w:spacing w:before="81" w:line="219" w:lineRule="auto"/>
              <w:ind w:left="167"/>
            </w:pPr>
            <w:r>
              <w:rPr>
                <w:b/>
                <w:bCs/>
                <w:spacing w:val="-3"/>
              </w:rPr>
              <w:t>第一责任层级</w:t>
            </w:r>
          </w:p>
        </w:tc>
        <w:tc>
          <w:tcPr>
            <w:tcW w:w="1018" w:type="dxa"/>
            <w:vAlign w:val="top"/>
          </w:tcPr>
          <w:p w14:paraId="7F50839C">
            <w:pPr>
              <w:pStyle w:val="8"/>
              <w:spacing w:before="81" w:line="219" w:lineRule="auto"/>
              <w:ind w:left="152"/>
            </w:pPr>
            <w:r>
              <w:rPr>
                <w:b/>
                <w:bCs/>
                <w:spacing w:val="-4"/>
              </w:rPr>
              <w:t>承办机构</w:t>
            </w:r>
          </w:p>
        </w:tc>
      </w:tr>
      <w:tr w14:paraId="2E252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624" w:type="dxa"/>
            <w:vAlign w:val="top"/>
          </w:tcPr>
          <w:p w14:paraId="2D1AFD3A">
            <w:pPr>
              <w:rPr>
                <w:rFonts w:ascii="Arial"/>
                <w:sz w:val="21"/>
              </w:rPr>
            </w:pPr>
          </w:p>
        </w:tc>
        <w:tc>
          <w:tcPr>
            <w:tcW w:w="1104" w:type="dxa"/>
            <w:vAlign w:val="top"/>
          </w:tcPr>
          <w:p w14:paraId="1264453E">
            <w:pPr>
              <w:rPr>
                <w:rFonts w:ascii="Arial"/>
                <w:sz w:val="21"/>
              </w:rPr>
            </w:pPr>
          </w:p>
        </w:tc>
        <w:tc>
          <w:tcPr>
            <w:tcW w:w="1104" w:type="dxa"/>
            <w:vAlign w:val="top"/>
          </w:tcPr>
          <w:p w14:paraId="7E2D99DC">
            <w:pPr>
              <w:rPr>
                <w:rFonts w:ascii="Arial"/>
                <w:sz w:val="21"/>
              </w:rPr>
            </w:pPr>
          </w:p>
        </w:tc>
        <w:tc>
          <w:tcPr>
            <w:tcW w:w="8549" w:type="dxa"/>
            <w:vAlign w:val="top"/>
          </w:tcPr>
          <w:p w14:paraId="140223DA">
            <w:pPr>
              <w:pStyle w:val="8"/>
              <w:spacing w:before="38" w:line="233" w:lineRule="auto"/>
              <w:ind w:left="111" w:right="104" w:firstLine="359"/>
            </w:pPr>
            <w:r>
              <w:rPr>
                <w:spacing w:val="1"/>
              </w:rPr>
              <w:t xml:space="preserve">第二十九条  建设单位应当按照合同约定及时拨付工程款，并将人工费用及时足额拨付至农民工工资 </w:t>
            </w:r>
            <w:r>
              <w:rPr>
                <w:spacing w:val="-1"/>
              </w:rPr>
              <w:t>专用账户，加强对施工总承包单位按时足额支付农民工工资</w:t>
            </w:r>
            <w:r>
              <w:rPr>
                <w:spacing w:val="-2"/>
              </w:rPr>
              <w:t>的监督。</w:t>
            </w:r>
          </w:p>
          <w:p w14:paraId="615A1F29">
            <w:pPr>
              <w:pStyle w:val="8"/>
              <w:spacing w:before="25" w:line="233" w:lineRule="auto"/>
              <w:ind w:left="113" w:right="104" w:firstLine="371"/>
            </w:pPr>
            <w:r>
              <w:rPr>
                <w:spacing w:val="1"/>
              </w:rPr>
              <w:t>因建设单位未按照合同约定及时拨付工程款导致农民工工资拖欠的，建设</w:t>
            </w:r>
            <w:r>
              <w:t xml:space="preserve">单位应当以未结清的工程款 </w:t>
            </w:r>
            <w:r>
              <w:rPr>
                <w:spacing w:val="-3"/>
              </w:rPr>
              <w:t>为限先行垫付被拖欠的农民工工资。</w:t>
            </w:r>
          </w:p>
          <w:p w14:paraId="092037FF">
            <w:pPr>
              <w:pStyle w:val="8"/>
              <w:spacing w:before="26" w:line="239" w:lineRule="auto"/>
              <w:ind w:left="112" w:right="104" w:firstLine="360"/>
              <w:jc w:val="both"/>
            </w:pPr>
            <w:r>
              <w:rPr>
                <w:spacing w:val="1"/>
              </w:rPr>
              <w:t>建设单位应当以项目为单位建立保障农民工工资支付协调机制和工资拖欠预防机制，督促施工总承包</w:t>
            </w:r>
            <w:r>
              <w:t xml:space="preserve"> </w:t>
            </w:r>
            <w:r>
              <w:rPr>
                <w:spacing w:val="1"/>
              </w:rPr>
              <w:t>单位加强劳动用工管理，妥善处理与农民工工资支付相关的矛盾纠纷。发生农民工集体讨薪事件的，建设</w:t>
            </w:r>
            <w:r>
              <w:t xml:space="preserve"> </w:t>
            </w:r>
            <w:r>
              <w:rPr>
                <w:spacing w:val="1"/>
              </w:rPr>
              <w:t>单位应当会同施工总承包单位及时处理，并向项目所在地人力资源社会保障行政部门和相关行业工程建设</w:t>
            </w:r>
            <w:r>
              <w:t xml:space="preserve"> </w:t>
            </w:r>
            <w:r>
              <w:rPr>
                <w:spacing w:val="-3"/>
              </w:rPr>
              <w:t>主管部门报告有关情况。</w:t>
            </w:r>
          </w:p>
          <w:p w14:paraId="2A2441BE">
            <w:pPr>
              <w:pStyle w:val="8"/>
              <w:spacing w:before="26" w:line="237" w:lineRule="auto"/>
              <w:ind w:left="111" w:right="104" w:firstLine="359"/>
              <w:jc w:val="both"/>
            </w:pPr>
            <w:r>
              <w:rPr>
                <w:spacing w:val="1"/>
              </w:rPr>
              <w:t xml:space="preserve">第五十七条  有下列情形之一的，由人力资源社会保障行政部门、相关行业工程建设主管部门按照职 </w:t>
            </w:r>
            <w:r>
              <w:rPr>
                <w:spacing w:val="-1"/>
              </w:rPr>
              <w:t>责责令限期改正；逾期不改正的，责令项目停工，并处</w:t>
            </w:r>
            <w:r>
              <w:rPr>
                <w:spacing w:val="-35"/>
              </w:rPr>
              <w:t xml:space="preserve"> </w:t>
            </w:r>
            <w:r>
              <w:rPr>
                <w:spacing w:val="-1"/>
              </w:rPr>
              <w:t>5</w:t>
            </w:r>
            <w:r>
              <w:rPr>
                <w:spacing w:val="-32"/>
              </w:rPr>
              <w:t xml:space="preserve"> </w:t>
            </w:r>
            <w:r>
              <w:rPr>
                <w:spacing w:val="-1"/>
              </w:rPr>
              <w:t>万元以上</w:t>
            </w:r>
            <w:r>
              <w:rPr>
                <w:spacing w:val="-27"/>
              </w:rPr>
              <w:t xml:space="preserve"> </w:t>
            </w:r>
            <w:r>
              <w:rPr>
                <w:spacing w:val="-1"/>
              </w:rPr>
              <w:t>10</w:t>
            </w:r>
            <w:r>
              <w:rPr>
                <w:spacing w:val="-34"/>
              </w:rPr>
              <w:t xml:space="preserve"> </w:t>
            </w:r>
            <w:r>
              <w:rPr>
                <w:spacing w:val="-1"/>
              </w:rPr>
              <w:t>万</w:t>
            </w:r>
            <w:r>
              <w:rPr>
                <w:spacing w:val="-2"/>
              </w:rPr>
              <w:t>元以下的罚款</w:t>
            </w:r>
            <w:r>
              <w:rPr>
                <w:spacing w:val="-19"/>
              </w:rPr>
              <w:t>：（</w:t>
            </w:r>
            <w:r>
              <w:rPr>
                <w:spacing w:val="-2"/>
              </w:rPr>
              <w:t>一）建设单位未</w:t>
            </w:r>
            <w:r>
              <w:t xml:space="preserve"> 依法提供工程款支付担保。（二）</w:t>
            </w:r>
            <w:r>
              <w:rPr>
                <w:spacing w:val="-44"/>
              </w:rPr>
              <w:t xml:space="preserve"> </w:t>
            </w:r>
            <w:r>
              <w:t>建设单位未按约定及时足额向农民工工资专用账户拨付工程款中的人工 费用的。（三）</w:t>
            </w:r>
            <w:r>
              <w:rPr>
                <w:spacing w:val="-44"/>
              </w:rPr>
              <w:t xml:space="preserve"> </w:t>
            </w:r>
            <w:r>
              <w:t xml:space="preserve">建设单位或者施工总承包单位拒不提供或者无法提供工程施工合同、农民工工资专用账户 </w:t>
            </w:r>
            <w:r>
              <w:rPr>
                <w:spacing w:val="-6"/>
              </w:rPr>
              <w:t>有关资料。</w:t>
            </w:r>
          </w:p>
        </w:tc>
        <w:tc>
          <w:tcPr>
            <w:tcW w:w="1014" w:type="dxa"/>
            <w:vAlign w:val="top"/>
          </w:tcPr>
          <w:p w14:paraId="51AC88EC">
            <w:pPr>
              <w:rPr>
                <w:rFonts w:ascii="Arial"/>
                <w:sz w:val="21"/>
              </w:rPr>
            </w:pPr>
          </w:p>
        </w:tc>
        <w:tc>
          <w:tcPr>
            <w:tcW w:w="1407" w:type="dxa"/>
            <w:vAlign w:val="top"/>
          </w:tcPr>
          <w:p w14:paraId="1A9EE650">
            <w:pPr>
              <w:rPr>
                <w:rFonts w:ascii="Arial"/>
                <w:sz w:val="21"/>
              </w:rPr>
            </w:pPr>
          </w:p>
        </w:tc>
        <w:tc>
          <w:tcPr>
            <w:tcW w:w="1018" w:type="dxa"/>
            <w:vAlign w:val="top"/>
          </w:tcPr>
          <w:p w14:paraId="3C50C34A">
            <w:pPr>
              <w:rPr>
                <w:rFonts w:ascii="Arial"/>
                <w:sz w:val="21"/>
              </w:rPr>
            </w:pPr>
          </w:p>
        </w:tc>
      </w:tr>
      <w:tr w14:paraId="4B2E7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7" w:hRule="atLeast"/>
        </w:trPr>
        <w:tc>
          <w:tcPr>
            <w:tcW w:w="624" w:type="dxa"/>
            <w:vAlign w:val="top"/>
          </w:tcPr>
          <w:p w14:paraId="4485CDC5">
            <w:pPr>
              <w:spacing w:line="259" w:lineRule="auto"/>
              <w:rPr>
                <w:rFonts w:ascii="Arial"/>
                <w:sz w:val="21"/>
              </w:rPr>
            </w:pPr>
          </w:p>
          <w:p w14:paraId="48EB468F">
            <w:pPr>
              <w:spacing w:line="260" w:lineRule="auto"/>
              <w:rPr>
                <w:rFonts w:ascii="Arial"/>
                <w:sz w:val="21"/>
              </w:rPr>
            </w:pPr>
          </w:p>
          <w:p w14:paraId="13B691BE">
            <w:pPr>
              <w:spacing w:line="260" w:lineRule="auto"/>
              <w:rPr>
                <w:rFonts w:ascii="Arial"/>
                <w:sz w:val="21"/>
              </w:rPr>
            </w:pPr>
          </w:p>
          <w:p w14:paraId="281A1EE2">
            <w:pPr>
              <w:spacing w:line="260" w:lineRule="auto"/>
              <w:rPr>
                <w:rFonts w:ascii="Arial"/>
                <w:sz w:val="21"/>
              </w:rPr>
            </w:pPr>
          </w:p>
          <w:p w14:paraId="518DC22A">
            <w:pPr>
              <w:spacing w:line="260" w:lineRule="auto"/>
              <w:rPr>
                <w:rFonts w:ascii="Arial"/>
                <w:sz w:val="21"/>
              </w:rPr>
            </w:pPr>
          </w:p>
          <w:p w14:paraId="04D66E51">
            <w:pPr>
              <w:spacing w:line="260" w:lineRule="auto"/>
              <w:rPr>
                <w:rFonts w:ascii="Arial"/>
                <w:sz w:val="21"/>
              </w:rPr>
            </w:pPr>
          </w:p>
          <w:p w14:paraId="313441B9">
            <w:pPr>
              <w:pStyle w:val="8"/>
              <w:spacing w:before="59" w:line="184" w:lineRule="auto"/>
              <w:ind w:left="201"/>
              <w:rPr>
                <w:rFonts w:hint="eastAsia" w:eastAsia="宋体"/>
                <w:lang w:eastAsia="zh-CN"/>
              </w:rPr>
            </w:pPr>
            <w:r>
              <w:rPr>
                <w:spacing w:val="-8"/>
              </w:rPr>
              <w:t>10</w:t>
            </w:r>
            <w:r>
              <w:rPr>
                <w:rFonts w:hint="eastAsia"/>
                <w:spacing w:val="-8"/>
                <w:lang w:val="en-US" w:eastAsia="zh-CN"/>
              </w:rPr>
              <w:t>1</w:t>
            </w:r>
          </w:p>
        </w:tc>
        <w:tc>
          <w:tcPr>
            <w:tcW w:w="1104" w:type="dxa"/>
            <w:vAlign w:val="top"/>
          </w:tcPr>
          <w:p w14:paraId="29214BA1">
            <w:pPr>
              <w:spacing w:line="263" w:lineRule="auto"/>
              <w:rPr>
                <w:rFonts w:ascii="Arial"/>
                <w:sz w:val="21"/>
              </w:rPr>
            </w:pPr>
          </w:p>
          <w:p w14:paraId="3869FA6F">
            <w:pPr>
              <w:spacing w:line="264" w:lineRule="auto"/>
              <w:rPr>
                <w:rFonts w:ascii="Arial"/>
                <w:sz w:val="21"/>
              </w:rPr>
            </w:pPr>
          </w:p>
          <w:p w14:paraId="25BD878B">
            <w:pPr>
              <w:spacing w:line="264" w:lineRule="auto"/>
              <w:rPr>
                <w:rFonts w:ascii="Arial"/>
                <w:sz w:val="21"/>
              </w:rPr>
            </w:pPr>
          </w:p>
          <w:p w14:paraId="399B617C">
            <w:pPr>
              <w:spacing w:line="264" w:lineRule="auto"/>
              <w:rPr>
                <w:rFonts w:ascii="Arial"/>
                <w:sz w:val="21"/>
              </w:rPr>
            </w:pPr>
          </w:p>
          <w:p w14:paraId="6BFA7AC2">
            <w:pPr>
              <w:pStyle w:val="8"/>
              <w:spacing w:before="58" w:line="241" w:lineRule="auto"/>
              <w:ind w:left="60" w:right="56"/>
              <w:jc w:val="both"/>
            </w:pPr>
            <w:r>
              <w:rPr>
                <w:spacing w:val="16"/>
              </w:rPr>
              <w:t>对交通运输</w:t>
            </w:r>
            <w:r>
              <w:rPr>
                <w:spacing w:val="1"/>
              </w:rPr>
              <w:t xml:space="preserve"> </w:t>
            </w:r>
            <w:r>
              <w:rPr>
                <w:spacing w:val="16"/>
              </w:rPr>
              <w:t>领域检查中</w:t>
            </w:r>
            <w:r>
              <w:rPr>
                <w:spacing w:val="1"/>
              </w:rPr>
              <w:t xml:space="preserve"> </w:t>
            </w:r>
            <w:r>
              <w:rPr>
                <w:spacing w:val="16"/>
              </w:rPr>
              <w:t>发现安全事</w:t>
            </w:r>
            <w:r>
              <w:rPr>
                <w:spacing w:val="1"/>
              </w:rPr>
              <w:t xml:space="preserve"> </w:t>
            </w:r>
            <w:r>
              <w:rPr>
                <w:spacing w:val="8"/>
              </w:rPr>
              <w:t>故隐</w:t>
            </w:r>
            <w:r>
              <w:rPr>
                <w:spacing w:val="-49"/>
              </w:rPr>
              <w:t xml:space="preserve"> </w:t>
            </w:r>
            <w:r>
              <w:rPr>
                <w:spacing w:val="8"/>
              </w:rPr>
              <w:t>患的行</w:t>
            </w:r>
            <w:r>
              <w:t xml:space="preserve"> </w:t>
            </w:r>
            <w:r>
              <w:rPr>
                <w:spacing w:val="-2"/>
              </w:rPr>
              <w:t>政强制</w:t>
            </w:r>
          </w:p>
        </w:tc>
        <w:tc>
          <w:tcPr>
            <w:tcW w:w="1104" w:type="dxa"/>
            <w:vAlign w:val="top"/>
          </w:tcPr>
          <w:p w14:paraId="5DF0A8D7">
            <w:pPr>
              <w:spacing w:line="255" w:lineRule="auto"/>
              <w:rPr>
                <w:rFonts w:ascii="Arial"/>
                <w:sz w:val="21"/>
              </w:rPr>
            </w:pPr>
          </w:p>
          <w:p w14:paraId="4201CDAC">
            <w:pPr>
              <w:spacing w:line="255" w:lineRule="auto"/>
              <w:rPr>
                <w:rFonts w:ascii="Arial"/>
                <w:sz w:val="21"/>
              </w:rPr>
            </w:pPr>
          </w:p>
          <w:p w14:paraId="522BB645">
            <w:pPr>
              <w:spacing w:line="255" w:lineRule="auto"/>
              <w:rPr>
                <w:rFonts w:ascii="Arial"/>
                <w:sz w:val="21"/>
              </w:rPr>
            </w:pPr>
          </w:p>
          <w:p w14:paraId="52C4EC36">
            <w:pPr>
              <w:spacing w:line="255" w:lineRule="auto"/>
              <w:rPr>
                <w:rFonts w:ascii="Arial"/>
                <w:sz w:val="21"/>
              </w:rPr>
            </w:pPr>
          </w:p>
          <w:p w14:paraId="2A403A6F">
            <w:pPr>
              <w:spacing w:line="256" w:lineRule="auto"/>
              <w:rPr>
                <w:rFonts w:ascii="Arial"/>
                <w:sz w:val="21"/>
              </w:rPr>
            </w:pPr>
          </w:p>
          <w:p w14:paraId="2D812408">
            <w:pPr>
              <w:spacing w:line="256" w:lineRule="auto"/>
              <w:rPr>
                <w:rFonts w:ascii="Arial"/>
                <w:sz w:val="21"/>
              </w:rPr>
            </w:pPr>
          </w:p>
          <w:p w14:paraId="3E5F8B19">
            <w:pPr>
              <w:pStyle w:val="8"/>
              <w:spacing w:before="58" w:line="220" w:lineRule="auto"/>
              <w:ind w:left="10"/>
            </w:pPr>
            <w:r>
              <w:rPr>
                <w:spacing w:val="-2"/>
              </w:rPr>
              <w:t>行政强制</w:t>
            </w:r>
          </w:p>
        </w:tc>
        <w:tc>
          <w:tcPr>
            <w:tcW w:w="8549" w:type="dxa"/>
            <w:vAlign w:val="top"/>
          </w:tcPr>
          <w:p w14:paraId="1471933C">
            <w:pPr>
              <w:pStyle w:val="8"/>
              <w:spacing w:before="40" w:line="219" w:lineRule="auto"/>
              <w:ind w:left="476"/>
            </w:pPr>
            <w:r>
              <w:rPr>
                <w:b/>
                <w:bCs/>
                <w:spacing w:val="-3"/>
              </w:rPr>
              <w:t>《中华人民共和国安全生产法》</w:t>
            </w:r>
          </w:p>
          <w:p w14:paraId="6F4002C6">
            <w:pPr>
              <w:pStyle w:val="8"/>
              <w:spacing w:before="25" w:line="219" w:lineRule="auto"/>
              <w:ind w:left="471"/>
            </w:pPr>
            <w:r>
              <w:rPr>
                <w:spacing w:val="-1"/>
              </w:rPr>
              <w:t>第十一条第二款  生产经营单位必须执行依法制定的保障安全生产的国家标准或者行业标准。</w:t>
            </w:r>
          </w:p>
          <w:p w14:paraId="181CF6D0">
            <w:pPr>
              <w:pStyle w:val="8"/>
              <w:spacing w:before="27" w:line="233" w:lineRule="auto"/>
              <w:ind w:left="111" w:right="159" w:firstLine="359"/>
            </w:pPr>
            <w:r>
              <w:t>第三十六条第一款  安全设备的设计、制造、安装、使用、检测、维修、改造和</w:t>
            </w:r>
            <w:r>
              <w:rPr>
                <w:spacing w:val="-1"/>
              </w:rPr>
              <w:t>报废，应当符合国家</w:t>
            </w:r>
            <w:r>
              <w:t xml:space="preserve"> </w:t>
            </w:r>
            <w:r>
              <w:rPr>
                <w:spacing w:val="-4"/>
              </w:rPr>
              <w:t>标准或者行业标准。</w:t>
            </w:r>
          </w:p>
          <w:p w14:paraId="1A4B812B">
            <w:pPr>
              <w:pStyle w:val="8"/>
              <w:spacing w:before="24" w:line="233" w:lineRule="auto"/>
              <w:ind w:left="116" w:right="159" w:firstLine="354"/>
            </w:pPr>
            <w:r>
              <w:t>第三十九条  生产、经营、运输、储存、使用危险物品或者处置废弃危险物品的</w:t>
            </w:r>
            <w:r>
              <w:rPr>
                <w:spacing w:val="-1"/>
              </w:rPr>
              <w:t>，由有关主管部门依</w:t>
            </w:r>
            <w:r>
              <w:t xml:space="preserve"> </w:t>
            </w:r>
            <w:r>
              <w:rPr>
                <w:spacing w:val="-1"/>
              </w:rPr>
              <w:t>照有关法律、法规的规定和国家标准或者行业标准审批并</w:t>
            </w:r>
            <w:r>
              <w:rPr>
                <w:spacing w:val="-2"/>
              </w:rPr>
              <w:t>实施监督管理。</w:t>
            </w:r>
          </w:p>
          <w:p w14:paraId="383B14E1">
            <w:pPr>
              <w:pStyle w:val="8"/>
              <w:spacing w:before="27" w:line="237" w:lineRule="auto"/>
              <w:ind w:left="111" w:right="159" w:firstLine="360"/>
            </w:pPr>
            <w:r>
              <w:t>生产经营单位生产、经营、运输、储存、使用危险物品或者处置废弃危险物品</w:t>
            </w:r>
            <w:r>
              <w:rPr>
                <w:spacing w:val="-1"/>
              </w:rPr>
              <w:t>，必须执行有关法律、</w:t>
            </w:r>
            <w:r>
              <w:t xml:space="preserve"> 法规和国家标准或者行业标准，建立专门的安全管理制度，采取可靠的安全措施，接</w:t>
            </w:r>
            <w:r>
              <w:rPr>
                <w:spacing w:val="-1"/>
              </w:rPr>
              <w:t>受有关主管部门依法</w:t>
            </w:r>
            <w:r>
              <w:t xml:space="preserve"> </w:t>
            </w:r>
            <w:r>
              <w:rPr>
                <w:spacing w:val="-4"/>
              </w:rPr>
              <w:t>实施的监督管理。</w:t>
            </w:r>
          </w:p>
          <w:p w14:paraId="0B7C33A8">
            <w:pPr>
              <w:pStyle w:val="8"/>
              <w:spacing w:before="27" w:line="237" w:lineRule="auto"/>
              <w:ind w:left="111" w:right="104" w:firstLine="448"/>
              <w:jc w:val="both"/>
            </w:pPr>
            <w:r>
              <w:rPr>
                <w:spacing w:val="-1"/>
              </w:rPr>
              <w:t>第六十五条第一款第（四）项  应急管理部门和其他负有安全生产监督管理职责的部门依法开展安全</w:t>
            </w:r>
            <w:r>
              <w:rPr>
                <w:spacing w:val="3"/>
              </w:rPr>
              <w:t xml:space="preserve"> </w:t>
            </w:r>
            <w:r>
              <w:t>生产行政执法工作，对生产经营单位执行有关安全生产的法律、法规和国家标准或者</w:t>
            </w:r>
            <w:r>
              <w:rPr>
                <w:spacing w:val="-1"/>
              </w:rPr>
              <w:t>行业标准的情况进行</w:t>
            </w:r>
            <w:r>
              <w:t xml:space="preserve"> 监督检查，行使以下职权：（四）对有根据认为不符合保障安全生产的国家标准或者</w:t>
            </w:r>
            <w:r>
              <w:rPr>
                <w:spacing w:val="-1"/>
              </w:rPr>
              <w:t>行业标准的设施、设</w:t>
            </w:r>
            <w:r>
              <w:t xml:space="preserve"> 备、器材以及违法生产、储存、使用、经营、运输的危险物品予以查封或者扣押，对</w:t>
            </w:r>
            <w:r>
              <w:rPr>
                <w:spacing w:val="-1"/>
              </w:rPr>
              <w:t>违法生产、储存、使</w:t>
            </w:r>
            <w:r>
              <w:t xml:space="preserve"> </w:t>
            </w:r>
            <w:r>
              <w:rPr>
                <w:spacing w:val="-1"/>
              </w:rPr>
              <w:t>用、经营危险物品的作业场所予以查封，并依法作</w:t>
            </w:r>
            <w:r>
              <w:rPr>
                <w:spacing w:val="-2"/>
              </w:rPr>
              <w:t>出处理决定。</w:t>
            </w:r>
          </w:p>
        </w:tc>
        <w:tc>
          <w:tcPr>
            <w:tcW w:w="1014" w:type="dxa"/>
            <w:vAlign w:val="top"/>
          </w:tcPr>
          <w:p w14:paraId="726AB0BE">
            <w:pPr>
              <w:spacing w:line="282" w:lineRule="auto"/>
              <w:rPr>
                <w:rFonts w:ascii="Arial"/>
                <w:sz w:val="21"/>
              </w:rPr>
            </w:pPr>
          </w:p>
          <w:p w14:paraId="1BE3DFFC">
            <w:pPr>
              <w:spacing w:line="282" w:lineRule="auto"/>
              <w:rPr>
                <w:rFonts w:ascii="Arial"/>
                <w:sz w:val="21"/>
              </w:rPr>
            </w:pPr>
          </w:p>
          <w:p w14:paraId="52071874">
            <w:pPr>
              <w:spacing w:line="282" w:lineRule="auto"/>
              <w:rPr>
                <w:rFonts w:ascii="Arial"/>
                <w:sz w:val="21"/>
              </w:rPr>
            </w:pPr>
          </w:p>
          <w:p w14:paraId="6BA7E081">
            <w:pPr>
              <w:spacing w:line="283" w:lineRule="auto"/>
              <w:rPr>
                <w:rFonts w:ascii="Arial"/>
                <w:sz w:val="21"/>
              </w:rPr>
            </w:pPr>
          </w:p>
          <w:p w14:paraId="3748197A">
            <w:pPr>
              <w:spacing w:line="283" w:lineRule="auto"/>
              <w:rPr>
                <w:rFonts w:ascii="Arial"/>
                <w:sz w:val="21"/>
              </w:rPr>
            </w:pPr>
          </w:p>
          <w:p w14:paraId="35CDE2EC">
            <w:pPr>
              <w:pStyle w:val="8"/>
              <w:spacing w:before="59" w:line="233" w:lineRule="auto"/>
              <w:ind w:left="153" w:right="144" w:firstLine="2"/>
            </w:pPr>
            <w:r>
              <w:rPr>
                <w:spacing w:val="-3"/>
              </w:rPr>
              <w:t>交通运输</w:t>
            </w:r>
            <w:r>
              <w:t xml:space="preserve"> </w:t>
            </w:r>
            <w:r>
              <w:rPr>
                <w:spacing w:val="-3"/>
              </w:rPr>
              <w:t>主管部门</w:t>
            </w:r>
          </w:p>
        </w:tc>
        <w:tc>
          <w:tcPr>
            <w:tcW w:w="1407" w:type="dxa"/>
            <w:vAlign w:val="top"/>
          </w:tcPr>
          <w:p w14:paraId="149AF510">
            <w:pPr>
              <w:spacing w:line="282" w:lineRule="auto"/>
              <w:rPr>
                <w:rFonts w:ascii="Arial"/>
                <w:sz w:val="21"/>
              </w:rPr>
            </w:pPr>
          </w:p>
          <w:p w14:paraId="5DE9FCCD">
            <w:pPr>
              <w:spacing w:line="282" w:lineRule="auto"/>
              <w:rPr>
                <w:rFonts w:ascii="Arial"/>
                <w:sz w:val="21"/>
              </w:rPr>
            </w:pPr>
          </w:p>
          <w:p w14:paraId="7068EE4C">
            <w:pPr>
              <w:spacing w:line="282" w:lineRule="auto"/>
              <w:rPr>
                <w:rFonts w:ascii="Arial"/>
                <w:sz w:val="21"/>
              </w:rPr>
            </w:pPr>
          </w:p>
          <w:p w14:paraId="53B3369A">
            <w:pPr>
              <w:spacing w:line="283" w:lineRule="auto"/>
              <w:rPr>
                <w:rFonts w:ascii="Arial"/>
                <w:sz w:val="21"/>
              </w:rPr>
            </w:pPr>
          </w:p>
          <w:p w14:paraId="72080B9F">
            <w:pPr>
              <w:spacing w:line="283" w:lineRule="auto"/>
              <w:rPr>
                <w:rFonts w:ascii="Arial"/>
                <w:sz w:val="21"/>
              </w:rPr>
            </w:pPr>
          </w:p>
          <w:p w14:paraId="198A7CA4">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8" w:type="dxa"/>
            <w:vAlign w:val="top"/>
          </w:tcPr>
          <w:p w14:paraId="1E8D7468">
            <w:pPr>
              <w:spacing w:line="293" w:lineRule="auto"/>
              <w:rPr>
                <w:rFonts w:ascii="Arial"/>
                <w:sz w:val="21"/>
              </w:rPr>
            </w:pPr>
          </w:p>
          <w:p w14:paraId="6E5FF954">
            <w:pPr>
              <w:spacing w:line="294" w:lineRule="auto"/>
              <w:rPr>
                <w:rFonts w:ascii="Arial"/>
                <w:sz w:val="21"/>
              </w:rPr>
            </w:pPr>
          </w:p>
          <w:p w14:paraId="19B7F9BE">
            <w:pPr>
              <w:spacing w:line="294" w:lineRule="auto"/>
              <w:rPr>
                <w:rFonts w:ascii="Arial"/>
                <w:sz w:val="21"/>
              </w:rPr>
            </w:pPr>
          </w:p>
          <w:p w14:paraId="39FD2B04">
            <w:pPr>
              <w:spacing w:line="294" w:lineRule="auto"/>
              <w:rPr>
                <w:rFonts w:ascii="Arial"/>
                <w:sz w:val="21"/>
              </w:rPr>
            </w:pPr>
          </w:p>
          <w:p w14:paraId="12AA46EB">
            <w:pPr>
              <w:pStyle w:val="8"/>
              <w:spacing w:before="59" w:line="239" w:lineRule="auto"/>
              <w:ind w:left="168" w:right="154" w:firstLine="22"/>
              <w:jc w:val="both"/>
              <w:rPr>
                <w:rFonts w:hint="eastAsia" w:eastAsia="宋体"/>
                <w:lang w:eastAsia="zh-CN"/>
              </w:rPr>
            </w:pPr>
            <w:r>
              <w:rPr>
                <w:rFonts w:hint="eastAsia"/>
                <w:spacing w:val="-14"/>
                <w:lang w:eastAsia="zh-CN"/>
              </w:rPr>
              <w:t>津市市交通运输综合行政执法大队</w:t>
            </w:r>
          </w:p>
        </w:tc>
      </w:tr>
    </w:tbl>
    <w:p w14:paraId="25AE2FD9">
      <w:pPr>
        <w:sectPr>
          <w:footerReference r:id="rId127" w:type="default"/>
          <w:pgSz w:w="16839" w:h="11906"/>
          <w:pgMar w:top="1012" w:right="991" w:bottom="967" w:left="1021" w:header="0" w:footer="768" w:gutter="0"/>
          <w:cols w:space="720" w:num="1"/>
        </w:sectPr>
      </w:pPr>
    </w:p>
    <w:p w14:paraId="61B7A0EC"/>
    <w:p w14:paraId="6B1A772B">
      <w:pPr>
        <w:spacing w:before="240" w:line="241" w:lineRule="auto"/>
        <w:ind w:left="2981"/>
        <w:outlineLvl w:val="0"/>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spacing w:val="9"/>
          <w:sz w:val="31"/>
          <w:szCs w:val="31"/>
          <w:lang w:eastAsia="zh-CN"/>
        </w:rPr>
        <w:t>津市市</w:t>
      </w:r>
      <w:r>
        <w:rPr>
          <w:rFonts w:ascii="方正小标宋简体" w:hAnsi="方正小标宋简体" w:eastAsia="方正小标宋简体" w:cs="方正小标宋简体"/>
          <w:spacing w:val="9"/>
          <w:sz w:val="31"/>
          <w:szCs w:val="31"/>
        </w:rPr>
        <w:t>交通运输综合行政执法事项指导目录（港口管理 62 项）</w:t>
      </w:r>
    </w:p>
    <w:p w14:paraId="4A8AB3ED">
      <w:pPr>
        <w:spacing w:line="23"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28051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59AE095C">
            <w:pPr>
              <w:pStyle w:val="8"/>
              <w:spacing w:before="259" w:line="221" w:lineRule="auto"/>
              <w:ind w:left="134"/>
            </w:pPr>
            <w:r>
              <w:rPr>
                <w:b/>
                <w:bCs/>
                <w:spacing w:val="-4"/>
              </w:rPr>
              <w:t>序号</w:t>
            </w:r>
          </w:p>
        </w:tc>
        <w:tc>
          <w:tcPr>
            <w:tcW w:w="1100" w:type="dxa"/>
            <w:vMerge w:val="restart"/>
            <w:tcBorders>
              <w:bottom w:val="nil"/>
            </w:tcBorders>
            <w:vAlign w:val="top"/>
          </w:tcPr>
          <w:p w14:paraId="5ACDF322">
            <w:pPr>
              <w:pStyle w:val="8"/>
              <w:spacing w:before="260" w:line="220" w:lineRule="auto"/>
              <w:ind w:left="189"/>
            </w:pPr>
            <w:r>
              <w:rPr>
                <w:b/>
                <w:bCs/>
                <w:spacing w:val="-4"/>
              </w:rPr>
              <w:t>事项名称</w:t>
            </w:r>
          </w:p>
        </w:tc>
        <w:tc>
          <w:tcPr>
            <w:tcW w:w="1100" w:type="dxa"/>
            <w:vMerge w:val="restart"/>
            <w:tcBorders>
              <w:bottom w:val="nil"/>
            </w:tcBorders>
            <w:vAlign w:val="top"/>
          </w:tcPr>
          <w:p w14:paraId="30E0EA49">
            <w:pPr>
              <w:pStyle w:val="8"/>
              <w:spacing w:before="260" w:line="219" w:lineRule="auto"/>
              <w:ind w:left="191"/>
            </w:pPr>
            <w:r>
              <w:rPr>
                <w:b/>
                <w:bCs/>
                <w:spacing w:val="-4"/>
              </w:rPr>
              <w:t>职权类型</w:t>
            </w:r>
          </w:p>
        </w:tc>
        <w:tc>
          <w:tcPr>
            <w:tcW w:w="8508" w:type="dxa"/>
            <w:vMerge w:val="restart"/>
            <w:tcBorders>
              <w:bottom w:val="nil"/>
            </w:tcBorders>
            <w:vAlign w:val="top"/>
          </w:tcPr>
          <w:p w14:paraId="7E032227">
            <w:pPr>
              <w:pStyle w:val="8"/>
              <w:spacing w:before="259" w:line="219" w:lineRule="auto"/>
              <w:ind w:left="3900"/>
            </w:pPr>
            <w:r>
              <w:rPr>
                <w:b/>
                <w:bCs/>
                <w:spacing w:val="-5"/>
              </w:rPr>
              <w:t>实施依据</w:t>
            </w:r>
          </w:p>
        </w:tc>
        <w:tc>
          <w:tcPr>
            <w:tcW w:w="3425" w:type="dxa"/>
            <w:gridSpan w:val="3"/>
            <w:vAlign w:val="top"/>
          </w:tcPr>
          <w:p w14:paraId="542F08D9">
            <w:pPr>
              <w:pStyle w:val="8"/>
              <w:spacing w:before="85" w:line="220" w:lineRule="auto"/>
              <w:ind w:left="1358"/>
            </w:pPr>
            <w:r>
              <w:rPr>
                <w:b/>
                <w:bCs/>
                <w:spacing w:val="-5"/>
              </w:rPr>
              <w:t>实施主体</w:t>
            </w:r>
          </w:p>
        </w:tc>
      </w:tr>
      <w:tr w14:paraId="11D2B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4E4D9D97">
            <w:pPr>
              <w:rPr>
                <w:rFonts w:ascii="Arial"/>
                <w:sz w:val="21"/>
              </w:rPr>
            </w:pPr>
          </w:p>
        </w:tc>
        <w:tc>
          <w:tcPr>
            <w:tcW w:w="1100" w:type="dxa"/>
            <w:vMerge w:val="continue"/>
            <w:tcBorders>
              <w:top w:val="nil"/>
            </w:tcBorders>
            <w:vAlign w:val="top"/>
          </w:tcPr>
          <w:p w14:paraId="3FBB33B0">
            <w:pPr>
              <w:rPr>
                <w:rFonts w:ascii="Arial"/>
                <w:sz w:val="21"/>
              </w:rPr>
            </w:pPr>
          </w:p>
        </w:tc>
        <w:tc>
          <w:tcPr>
            <w:tcW w:w="1100" w:type="dxa"/>
            <w:vMerge w:val="continue"/>
            <w:tcBorders>
              <w:top w:val="nil"/>
            </w:tcBorders>
            <w:vAlign w:val="top"/>
          </w:tcPr>
          <w:p w14:paraId="7F1EB87C">
            <w:pPr>
              <w:rPr>
                <w:rFonts w:ascii="Arial"/>
                <w:sz w:val="21"/>
              </w:rPr>
            </w:pPr>
          </w:p>
        </w:tc>
        <w:tc>
          <w:tcPr>
            <w:tcW w:w="8508" w:type="dxa"/>
            <w:vMerge w:val="continue"/>
            <w:tcBorders>
              <w:top w:val="nil"/>
            </w:tcBorders>
            <w:vAlign w:val="top"/>
          </w:tcPr>
          <w:p w14:paraId="089BD0F6">
            <w:pPr>
              <w:rPr>
                <w:rFonts w:ascii="Arial"/>
                <w:sz w:val="21"/>
              </w:rPr>
            </w:pPr>
          </w:p>
        </w:tc>
        <w:tc>
          <w:tcPr>
            <w:tcW w:w="1010" w:type="dxa"/>
            <w:vAlign w:val="top"/>
          </w:tcPr>
          <w:p w14:paraId="779B40F2">
            <w:pPr>
              <w:pStyle w:val="8"/>
              <w:spacing w:before="81" w:line="219" w:lineRule="auto"/>
              <w:ind w:left="155"/>
            </w:pPr>
            <w:r>
              <w:rPr>
                <w:b/>
                <w:bCs/>
                <w:spacing w:val="-5"/>
              </w:rPr>
              <w:t>责任部门</w:t>
            </w:r>
          </w:p>
        </w:tc>
        <w:tc>
          <w:tcPr>
            <w:tcW w:w="1401" w:type="dxa"/>
            <w:vAlign w:val="top"/>
          </w:tcPr>
          <w:p w14:paraId="7EE782AD">
            <w:pPr>
              <w:pStyle w:val="8"/>
              <w:spacing w:before="81" w:line="219" w:lineRule="auto"/>
              <w:ind w:left="164"/>
            </w:pPr>
            <w:r>
              <w:rPr>
                <w:b/>
                <w:bCs/>
                <w:spacing w:val="-3"/>
              </w:rPr>
              <w:t>第一责任层级</w:t>
            </w:r>
          </w:p>
        </w:tc>
        <w:tc>
          <w:tcPr>
            <w:tcW w:w="1014" w:type="dxa"/>
            <w:vAlign w:val="top"/>
          </w:tcPr>
          <w:p w14:paraId="6514F67C">
            <w:pPr>
              <w:pStyle w:val="8"/>
              <w:spacing w:before="81" w:line="219" w:lineRule="auto"/>
              <w:ind w:left="150"/>
            </w:pPr>
            <w:r>
              <w:rPr>
                <w:b/>
                <w:bCs/>
                <w:spacing w:val="-4"/>
              </w:rPr>
              <w:t>承办机构</w:t>
            </w:r>
          </w:p>
        </w:tc>
      </w:tr>
      <w:tr w14:paraId="353E8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5" w:hRule="atLeast"/>
        </w:trPr>
        <w:tc>
          <w:tcPr>
            <w:tcW w:w="622" w:type="dxa"/>
            <w:vAlign w:val="top"/>
          </w:tcPr>
          <w:p w14:paraId="11AB23BC">
            <w:pPr>
              <w:spacing w:line="325" w:lineRule="auto"/>
              <w:rPr>
                <w:rFonts w:ascii="Arial"/>
                <w:sz w:val="21"/>
              </w:rPr>
            </w:pPr>
          </w:p>
          <w:p w14:paraId="461FD0A9">
            <w:pPr>
              <w:spacing w:line="326" w:lineRule="auto"/>
              <w:rPr>
                <w:rFonts w:ascii="Arial"/>
                <w:sz w:val="21"/>
              </w:rPr>
            </w:pPr>
          </w:p>
          <w:p w14:paraId="4342AABD">
            <w:pPr>
              <w:pStyle w:val="8"/>
              <w:spacing w:before="59" w:line="184" w:lineRule="auto"/>
              <w:ind w:left="284"/>
            </w:pPr>
            <w:r>
              <w:t>1</w:t>
            </w:r>
          </w:p>
        </w:tc>
        <w:tc>
          <w:tcPr>
            <w:tcW w:w="1100" w:type="dxa"/>
            <w:vAlign w:val="top"/>
          </w:tcPr>
          <w:p w14:paraId="1685CFB2">
            <w:pPr>
              <w:pStyle w:val="8"/>
              <w:spacing w:before="92" w:line="242" w:lineRule="auto"/>
              <w:ind w:left="60" w:right="55" w:hanging="1"/>
              <w:jc w:val="both"/>
            </w:pPr>
            <w:r>
              <w:rPr>
                <w:spacing w:val="16"/>
              </w:rPr>
              <w:t>对违反港口</w:t>
            </w:r>
            <w:r>
              <w:t xml:space="preserve"> </w:t>
            </w:r>
            <w:r>
              <w:rPr>
                <w:spacing w:val="15"/>
              </w:rPr>
              <w:t>规划建设港</w:t>
            </w:r>
            <w:r>
              <w:rPr>
                <w:spacing w:val="2"/>
              </w:rPr>
              <w:t xml:space="preserve"> </w:t>
            </w:r>
            <w:r>
              <w:rPr>
                <w:spacing w:val="15"/>
              </w:rPr>
              <w:t>口、码头或</w:t>
            </w:r>
            <w:r>
              <w:rPr>
                <w:spacing w:val="2"/>
              </w:rPr>
              <w:t xml:space="preserve"> </w:t>
            </w:r>
            <w:r>
              <w:rPr>
                <w:spacing w:val="15"/>
              </w:rPr>
              <w:t>者其他港口</w:t>
            </w:r>
            <w:r>
              <w:rPr>
                <w:spacing w:val="2"/>
              </w:rPr>
              <w:t xml:space="preserve"> </w:t>
            </w:r>
            <w:r>
              <w:rPr>
                <w:spacing w:val="15"/>
              </w:rPr>
              <w:t>设施等行为</w:t>
            </w:r>
            <w:r>
              <w:rPr>
                <w:spacing w:val="2"/>
              </w:rPr>
              <w:t xml:space="preserve"> </w:t>
            </w:r>
            <w:r>
              <w:rPr>
                <w:spacing w:val="-2"/>
              </w:rPr>
              <w:t>的行政处罚</w:t>
            </w:r>
          </w:p>
        </w:tc>
        <w:tc>
          <w:tcPr>
            <w:tcW w:w="1100" w:type="dxa"/>
            <w:vAlign w:val="top"/>
          </w:tcPr>
          <w:p w14:paraId="5AC4EC3F">
            <w:pPr>
              <w:spacing w:line="312" w:lineRule="auto"/>
              <w:rPr>
                <w:rFonts w:ascii="Arial"/>
                <w:sz w:val="21"/>
              </w:rPr>
            </w:pPr>
          </w:p>
          <w:p w14:paraId="0EA56E71">
            <w:pPr>
              <w:spacing w:line="312" w:lineRule="auto"/>
              <w:rPr>
                <w:rFonts w:ascii="Arial"/>
                <w:sz w:val="21"/>
              </w:rPr>
            </w:pPr>
          </w:p>
          <w:p w14:paraId="6BE7B738">
            <w:pPr>
              <w:pStyle w:val="8"/>
              <w:spacing w:before="58" w:line="220" w:lineRule="auto"/>
              <w:ind w:left="112"/>
            </w:pPr>
            <w:r>
              <w:rPr>
                <w:spacing w:val="-2"/>
              </w:rPr>
              <w:t>行政处罚</w:t>
            </w:r>
          </w:p>
        </w:tc>
        <w:tc>
          <w:tcPr>
            <w:tcW w:w="8508" w:type="dxa"/>
            <w:vAlign w:val="top"/>
          </w:tcPr>
          <w:p w14:paraId="073BD747">
            <w:pPr>
              <w:pStyle w:val="8"/>
              <w:spacing w:before="94" w:line="219" w:lineRule="auto"/>
              <w:ind w:left="484"/>
            </w:pPr>
            <w:r>
              <w:rPr>
                <w:b/>
                <w:bCs/>
                <w:spacing w:val="-4"/>
              </w:rPr>
              <w:t>1.《中华人民共和国港口法》</w:t>
            </w:r>
          </w:p>
          <w:p w14:paraId="45F5A5A0">
            <w:pPr>
              <w:pStyle w:val="8"/>
              <w:spacing w:before="26" w:line="219" w:lineRule="auto"/>
              <w:ind w:left="471"/>
            </w:pPr>
            <w:r>
              <w:rPr>
                <w:spacing w:val="-1"/>
              </w:rPr>
              <w:t>第十四条  港口建设应当符合港口规划。不得违反港口规划建设任何港口设</w:t>
            </w:r>
            <w:r>
              <w:rPr>
                <w:spacing w:val="-2"/>
              </w:rPr>
              <w:t>施。</w:t>
            </w:r>
          </w:p>
          <w:p w14:paraId="29897659">
            <w:pPr>
              <w:pStyle w:val="8"/>
              <w:spacing w:before="24"/>
              <w:ind w:left="111" w:right="104" w:firstLine="359"/>
            </w:pPr>
            <w:r>
              <w:t>第四十六条  第一款有下列行为之一的，由县级以上地方人民政府或者港口行政管理部门责令限期改</w:t>
            </w:r>
            <w:r>
              <w:rPr>
                <w:spacing w:val="6"/>
              </w:rPr>
              <w:t xml:space="preserve"> </w:t>
            </w:r>
            <w:r>
              <w:t>正；逾期不改正的，由作出限期改正决定的机关申请人民法院强制拆除违法建设的设施；可以处五万元以</w:t>
            </w:r>
            <w:r>
              <w:rPr>
                <w:spacing w:val="5"/>
              </w:rPr>
              <w:t xml:space="preserve"> </w:t>
            </w:r>
            <w:r>
              <w:rPr>
                <w:spacing w:val="1"/>
              </w:rPr>
              <w:t>下罚款</w:t>
            </w:r>
            <w:r>
              <w:rPr>
                <w:spacing w:val="-6"/>
              </w:rPr>
              <w:t>：（</w:t>
            </w:r>
            <w:r>
              <w:rPr>
                <w:spacing w:val="1"/>
              </w:rPr>
              <w:t>一）违反港口规划建设港口、码头或者其他港口设施的</w:t>
            </w:r>
            <w:r>
              <w:rPr>
                <w:spacing w:val="-6"/>
              </w:rPr>
              <w:t>；（</w:t>
            </w:r>
            <w:r>
              <w:t>二）未经依法批准，建设港口设施</w:t>
            </w:r>
            <w:r>
              <w:rPr>
                <w:spacing w:val="2"/>
              </w:rPr>
              <w:t xml:space="preserve"> </w:t>
            </w:r>
            <w:r>
              <w:rPr>
                <w:spacing w:val="-4"/>
              </w:rPr>
              <w:t>使用港口岸线的。</w:t>
            </w:r>
          </w:p>
        </w:tc>
        <w:tc>
          <w:tcPr>
            <w:tcW w:w="1010" w:type="dxa"/>
            <w:vAlign w:val="top"/>
          </w:tcPr>
          <w:p w14:paraId="02945648">
            <w:pPr>
              <w:spacing w:line="255" w:lineRule="auto"/>
              <w:rPr>
                <w:rFonts w:ascii="Arial"/>
                <w:sz w:val="21"/>
              </w:rPr>
            </w:pPr>
          </w:p>
          <w:p w14:paraId="208C9428">
            <w:pPr>
              <w:spacing w:line="256" w:lineRule="auto"/>
              <w:rPr>
                <w:rFonts w:ascii="Arial"/>
                <w:sz w:val="21"/>
              </w:rPr>
            </w:pPr>
          </w:p>
          <w:p w14:paraId="3F6F813C">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05B5C5AF">
            <w:pPr>
              <w:pStyle w:val="8"/>
              <w:spacing w:before="59" w:line="234" w:lineRule="auto"/>
              <w:ind w:left="530" w:right="104" w:hanging="413"/>
              <w:rPr>
                <w:rFonts w:hint="eastAsia"/>
                <w:spacing w:val="-12"/>
                <w:lang w:eastAsia="zh-CN"/>
              </w:rPr>
            </w:pPr>
          </w:p>
          <w:p w14:paraId="0424E91A">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2CE5FAE0">
            <w:pPr>
              <w:spacing w:line="393" w:lineRule="auto"/>
              <w:rPr>
                <w:rFonts w:ascii="Arial"/>
                <w:sz w:val="21"/>
              </w:rPr>
            </w:pPr>
          </w:p>
          <w:p w14:paraId="54EA400F">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5C357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3" w:hRule="atLeast"/>
        </w:trPr>
        <w:tc>
          <w:tcPr>
            <w:tcW w:w="622" w:type="dxa"/>
            <w:vAlign w:val="top"/>
          </w:tcPr>
          <w:p w14:paraId="36B60DC5">
            <w:pPr>
              <w:spacing w:line="256" w:lineRule="auto"/>
              <w:rPr>
                <w:rFonts w:ascii="Arial"/>
                <w:sz w:val="21"/>
              </w:rPr>
            </w:pPr>
          </w:p>
          <w:p w14:paraId="0AEF8A77">
            <w:pPr>
              <w:spacing w:line="256" w:lineRule="auto"/>
              <w:rPr>
                <w:rFonts w:ascii="Arial"/>
                <w:sz w:val="21"/>
              </w:rPr>
            </w:pPr>
          </w:p>
          <w:p w14:paraId="4EEFEF78">
            <w:pPr>
              <w:spacing w:line="256" w:lineRule="auto"/>
              <w:rPr>
                <w:rFonts w:ascii="Arial"/>
                <w:sz w:val="21"/>
              </w:rPr>
            </w:pPr>
          </w:p>
          <w:p w14:paraId="6F5E76A2">
            <w:pPr>
              <w:spacing w:line="257" w:lineRule="auto"/>
              <w:rPr>
                <w:rFonts w:ascii="Arial"/>
                <w:sz w:val="21"/>
              </w:rPr>
            </w:pPr>
          </w:p>
          <w:p w14:paraId="47A358D4">
            <w:pPr>
              <w:spacing w:line="257" w:lineRule="auto"/>
              <w:rPr>
                <w:rFonts w:ascii="Arial"/>
                <w:sz w:val="21"/>
              </w:rPr>
            </w:pPr>
          </w:p>
          <w:p w14:paraId="62BCEFF2">
            <w:pPr>
              <w:spacing w:line="257" w:lineRule="auto"/>
              <w:rPr>
                <w:rFonts w:ascii="Arial"/>
                <w:sz w:val="21"/>
              </w:rPr>
            </w:pPr>
          </w:p>
          <w:p w14:paraId="1F65C638">
            <w:pPr>
              <w:pStyle w:val="8"/>
              <w:spacing w:before="59" w:line="183" w:lineRule="auto"/>
              <w:ind w:left="273"/>
            </w:pPr>
            <w:r>
              <w:t>2</w:t>
            </w:r>
          </w:p>
        </w:tc>
        <w:tc>
          <w:tcPr>
            <w:tcW w:w="1100" w:type="dxa"/>
            <w:vAlign w:val="top"/>
          </w:tcPr>
          <w:p w14:paraId="16A8EFD2">
            <w:pPr>
              <w:pStyle w:val="8"/>
              <w:spacing w:before="146" w:line="244" w:lineRule="auto"/>
              <w:ind w:left="59" w:right="55"/>
              <w:jc w:val="both"/>
            </w:pPr>
            <w:r>
              <w:rPr>
                <w:spacing w:val="16"/>
              </w:rPr>
              <w:t>对在港口建</w:t>
            </w:r>
            <w:r>
              <w:t xml:space="preserve"> </w:t>
            </w:r>
            <w:r>
              <w:rPr>
                <w:spacing w:val="16"/>
              </w:rPr>
              <w:t>设的危险货</w:t>
            </w:r>
            <w:r>
              <w:t xml:space="preserve"> </w:t>
            </w:r>
            <w:r>
              <w:rPr>
                <w:spacing w:val="-7"/>
              </w:rPr>
              <w:t>物</w:t>
            </w:r>
            <w:r>
              <w:rPr>
                <w:spacing w:val="6"/>
              </w:rPr>
              <w:t xml:space="preserve"> </w:t>
            </w:r>
            <w:r>
              <w:rPr>
                <w:spacing w:val="-7"/>
              </w:rPr>
              <w:t>作</w:t>
            </w:r>
            <w:r>
              <w:rPr>
                <w:spacing w:val="5"/>
              </w:rPr>
              <w:t xml:space="preserve"> </w:t>
            </w:r>
            <w:r>
              <w:rPr>
                <w:spacing w:val="-7"/>
              </w:rPr>
              <w:t>业</w:t>
            </w:r>
            <w:r>
              <w:rPr>
                <w:spacing w:val="6"/>
              </w:rPr>
              <w:t xml:space="preserve"> </w:t>
            </w:r>
            <w:r>
              <w:rPr>
                <w:spacing w:val="-7"/>
              </w:rPr>
              <w:t>场</w:t>
            </w:r>
            <w:r>
              <w:t xml:space="preserve"> </w:t>
            </w:r>
            <w:r>
              <w:rPr>
                <w:spacing w:val="16"/>
              </w:rPr>
              <w:t>所、实施卫</w:t>
            </w:r>
            <w:r>
              <w:t xml:space="preserve"> </w:t>
            </w:r>
            <w:r>
              <w:rPr>
                <w:spacing w:val="16"/>
              </w:rPr>
              <w:t>生除害处理</w:t>
            </w:r>
            <w:r>
              <w:t xml:space="preserve"> </w:t>
            </w:r>
            <w:r>
              <w:rPr>
                <w:spacing w:val="16"/>
              </w:rPr>
              <w:t>的专用场所</w:t>
            </w:r>
            <w:r>
              <w:t xml:space="preserve"> </w:t>
            </w:r>
            <w:r>
              <w:rPr>
                <w:spacing w:val="16"/>
              </w:rPr>
              <w:t>与人口密集</w:t>
            </w:r>
            <w:r>
              <w:t xml:space="preserve"> </w:t>
            </w:r>
            <w:r>
              <w:rPr>
                <w:spacing w:val="16"/>
              </w:rPr>
              <w:t>区或者港口</w:t>
            </w:r>
            <w:r>
              <w:t xml:space="preserve"> </w:t>
            </w:r>
            <w:r>
              <w:rPr>
                <w:spacing w:val="16"/>
              </w:rPr>
              <w:t>客运设施的</w:t>
            </w:r>
            <w:r>
              <w:t xml:space="preserve"> </w:t>
            </w:r>
            <w:r>
              <w:rPr>
                <w:spacing w:val="16"/>
              </w:rPr>
              <w:t>距离不符合</w:t>
            </w:r>
            <w:r>
              <w:t xml:space="preserve"> </w:t>
            </w:r>
            <w:r>
              <w:rPr>
                <w:spacing w:val="16"/>
              </w:rPr>
              <w:t>国务院有关</w:t>
            </w:r>
            <w:r>
              <w:t xml:space="preserve"> </w:t>
            </w:r>
            <w:r>
              <w:rPr>
                <w:spacing w:val="16"/>
              </w:rPr>
              <w:t>部门的规定</w:t>
            </w:r>
            <w:r>
              <w:t xml:space="preserve"> </w:t>
            </w:r>
            <w:r>
              <w:rPr>
                <w:spacing w:val="-2"/>
              </w:rPr>
              <w:t>的行政处罚</w:t>
            </w:r>
          </w:p>
        </w:tc>
        <w:tc>
          <w:tcPr>
            <w:tcW w:w="1100" w:type="dxa"/>
            <w:vAlign w:val="top"/>
          </w:tcPr>
          <w:p w14:paraId="44404884">
            <w:pPr>
              <w:spacing w:line="251" w:lineRule="auto"/>
              <w:rPr>
                <w:rFonts w:ascii="Arial"/>
                <w:sz w:val="21"/>
              </w:rPr>
            </w:pPr>
          </w:p>
          <w:p w14:paraId="19F48FFB">
            <w:pPr>
              <w:spacing w:line="251" w:lineRule="auto"/>
              <w:rPr>
                <w:rFonts w:ascii="Arial"/>
                <w:sz w:val="21"/>
              </w:rPr>
            </w:pPr>
          </w:p>
          <w:p w14:paraId="75AF055B">
            <w:pPr>
              <w:spacing w:line="251" w:lineRule="auto"/>
              <w:rPr>
                <w:rFonts w:ascii="Arial"/>
                <w:sz w:val="21"/>
              </w:rPr>
            </w:pPr>
          </w:p>
          <w:p w14:paraId="64E70310">
            <w:pPr>
              <w:spacing w:line="252" w:lineRule="auto"/>
              <w:rPr>
                <w:rFonts w:ascii="Arial"/>
                <w:sz w:val="21"/>
              </w:rPr>
            </w:pPr>
          </w:p>
          <w:p w14:paraId="0CD182AD">
            <w:pPr>
              <w:spacing w:line="252" w:lineRule="auto"/>
              <w:rPr>
                <w:rFonts w:ascii="Arial"/>
                <w:sz w:val="21"/>
              </w:rPr>
            </w:pPr>
          </w:p>
          <w:p w14:paraId="2C92C2B5">
            <w:pPr>
              <w:spacing w:line="252" w:lineRule="auto"/>
              <w:rPr>
                <w:rFonts w:ascii="Arial"/>
                <w:sz w:val="21"/>
              </w:rPr>
            </w:pPr>
          </w:p>
          <w:p w14:paraId="7D8294EB">
            <w:pPr>
              <w:pStyle w:val="8"/>
              <w:spacing w:before="58" w:line="220" w:lineRule="auto"/>
              <w:ind w:left="112"/>
            </w:pPr>
            <w:r>
              <w:rPr>
                <w:spacing w:val="-2"/>
              </w:rPr>
              <w:t>行政处罚</w:t>
            </w:r>
          </w:p>
        </w:tc>
        <w:tc>
          <w:tcPr>
            <w:tcW w:w="8508" w:type="dxa"/>
            <w:vAlign w:val="top"/>
          </w:tcPr>
          <w:p w14:paraId="1B7EF944">
            <w:pPr>
              <w:spacing w:line="267" w:lineRule="auto"/>
              <w:rPr>
                <w:rFonts w:ascii="Arial"/>
                <w:sz w:val="21"/>
              </w:rPr>
            </w:pPr>
          </w:p>
          <w:p w14:paraId="688DFA3D">
            <w:pPr>
              <w:spacing w:line="267" w:lineRule="auto"/>
              <w:rPr>
                <w:rFonts w:ascii="Arial"/>
                <w:sz w:val="21"/>
              </w:rPr>
            </w:pPr>
          </w:p>
          <w:p w14:paraId="7172876C">
            <w:pPr>
              <w:spacing w:line="267" w:lineRule="auto"/>
              <w:rPr>
                <w:rFonts w:ascii="Arial"/>
                <w:sz w:val="21"/>
              </w:rPr>
            </w:pPr>
          </w:p>
          <w:p w14:paraId="29D0274B">
            <w:pPr>
              <w:pStyle w:val="8"/>
              <w:spacing w:before="58" w:line="219" w:lineRule="auto"/>
              <w:ind w:left="476"/>
            </w:pPr>
            <w:r>
              <w:rPr>
                <w:b/>
                <w:bCs/>
                <w:spacing w:val="-4"/>
              </w:rPr>
              <w:t>《中华人民共和国港口法》</w:t>
            </w:r>
          </w:p>
          <w:p w14:paraId="2F816080">
            <w:pPr>
              <w:pStyle w:val="8"/>
              <w:spacing w:before="26" w:line="237" w:lineRule="auto"/>
              <w:ind w:left="111" w:right="104" w:firstLine="359"/>
              <w:jc w:val="both"/>
            </w:pPr>
            <w:r>
              <w:t>第十七条  港口的危险货物作业场所、实施卫生除害处理的专用场所，应当符合港口总体规划和国家</w:t>
            </w:r>
            <w:r>
              <w:rPr>
                <w:spacing w:val="6"/>
              </w:rPr>
              <w:t xml:space="preserve"> </w:t>
            </w:r>
            <w:r>
              <w:t>有关安全生产、消防、检验检疫和环境保护的要求，其与人口密集区和港口客运设施的距离应当符合国务</w:t>
            </w:r>
            <w:r>
              <w:rPr>
                <w:spacing w:val="5"/>
              </w:rPr>
              <w:t xml:space="preserve"> </w:t>
            </w:r>
            <w:r>
              <w:rPr>
                <w:spacing w:val="-2"/>
              </w:rPr>
              <w:t>院有关部门的规定；经依法办理有关手续后，方可建设。</w:t>
            </w:r>
          </w:p>
          <w:p w14:paraId="0EC38516">
            <w:pPr>
              <w:pStyle w:val="8"/>
              <w:spacing w:before="25" w:line="238" w:lineRule="auto"/>
              <w:ind w:left="112" w:right="58" w:firstLine="358"/>
              <w:jc w:val="both"/>
            </w:pPr>
            <w:r>
              <w:t>第四十七条  在港口建设的危险货物作业场所、实施卫生除害处理的专用场所与人口密集区或者港口</w:t>
            </w:r>
            <w:r>
              <w:rPr>
                <w:spacing w:val="6"/>
              </w:rPr>
              <w:t xml:space="preserve"> </w:t>
            </w:r>
            <w:r>
              <w:rPr>
                <w:spacing w:val="-3"/>
              </w:rPr>
              <w:t>客运设施的距离不符合国务院有关部门的规定的，由港口行政管理部门责令停止建设或者使用，限期改正，</w:t>
            </w:r>
            <w:r>
              <w:rPr>
                <w:spacing w:val="11"/>
              </w:rPr>
              <w:t xml:space="preserve"> </w:t>
            </w:r>
            <w:r>
              <w:rPr>
                <w:spacing w:val="-3"/>
              </w:rPr>
              <w:t>可以处五万元以下罚款。</w:t>
            </w:r>
          </w:p>
        </w:tc>
        <w:tc>
          <w:tcPr>
            <w:tcW w:w="1010" w:type="dxa"/>
            <w:vAlign w:val="top"/>
          </w:tcPr>
          <w:p w14:paraId="55AFF87C">
            <w:pPr>
              <w:spacing w:line="279" w:lineRule="auto"/>
              <w:rPr>
                <w:rFonts w:ascii="Arial"/>
                <w:sz w:val="21"/>
              </w:rPr>
            </w:pPr>
          </w:p>
          <w:p w14:paraId="1DD01E5D">
            <w:pPr>
              <w:spacing w:line="279" w:lineRule="auto"/>
              <w:rPr>
                <w:rFonts w:ascii="Arial"/>
                <w:sz w:val="21"/>
              </w:rPr>
            </w:pPr>
          </w:p>
          <w:p w14:paraId="63CAFFD6">
            <w:pPr>
              <w:spacing w:line="279" w:lineRule="auto"/>
              <w:rPr>
                <w:rFonts w:ascii="Arial"/>
                <w:sz w:val="21"/>
              </w:rPr>
            </w:pPr>
          </w:p>
          <w:p w14:paraId="6D1F9027">
            <w:pPr>
              <w:spacing w:line="279" w:lineRule="auto"/>
              <w:rPr>
                <w:rFonts w:ascii="Arial"/>
                <w:sz w:val="21"/>
              </w:rPr>
            </w:pPr>
          </w:p>
          <w:p w14:paraId="24837369">
            <w:pPr>
              <w:spacing w:line="280" w:lineRule="auto"/>
              <w:rPr>
                <w:rFonts w:ascii="Arial"/>
                <w:sz w:val="21"/>
              </w:rPr>
            </w:pPr>
          </w:p>
          <w:p w14:paraId="77C0A8D9">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6B347382">
            <w:pPr>
              <w:pStyle w:val="8"/>
              <w:spacing w:before="59" w:line="234" w:lineRule="auto"/>
              <w:ind w:left="530" w:right="104" w:hanging="413"/>
              <w:rPr>
                <w:rFonts w:hint="eastAsia"/>
                <w:spacing w:val="-12"/>
                <w:lang w:eastAsia="zh-CN"/>
              </w:rPr>
            </w:pPr>
          </w:p>
          <w:p w14:paraId="72AE2340">
            <w:pPr>
              <w:pStyle w:val="8"/>
              <w:spacing w:before="59" w:line="234" w:lineRule="auto"/>
              <w:ind w:left="530" w:right="104" w:hanging="413"/>
              <w:rPr>
                <w:rFonts w:hint="eastAsia"/>
                <w:spacing w:val="-12"/>
                <w:lang w:eastAsia="zh-CN"/>
              </w:rPr>
            </w:pPr>
          </w:p>
          <w:p w14:paraId="713F0114">
            <w:pPr>
              <w:pStyle w:val="8"/>
              <w:spacing w:before="59" w:line="234" w:lineRule="auto"/>
              <w:ind w:left="530" w:right="104" w:hanging="413"/>
              <w:rPr>
                <w:rFonts w:hint="eastAsia"/>
                <w:spacing w:val="-12"/>
                <w:lang w:eastAsia="zh-CN"/>
              </w:rPr>
            </w:pPr>
          </w:p>
          <w:p w14:paraId="67EA695D">
            <w:pPr>
              <w:pStyle w:val="8"/>
              <w:spacing w:before="59" w:line="234" w:lineRule="auto"/>
              <w:ind w:left="530" w:right="104" w:hanging="413"/>
              <w:rPr>
                <w:rFonts w:hint="eastAsia"/>
                <w:spacing w:val="-12"/>
                <w:lang w:eastAsia="zh-CN"/>
              </w:rPr>
            </w:pPr>
          </w:p>
          <w:p w14:paraId="705E6A3F">
            <w:pPr>
              <w:pStyle w:val="8"/>
              <w:spacing w:before="59" w:line="234" w:lineRule="auto"/>
              <w:ind w:left="530" w:right="104" w:hanging="413"/>
              <w:rPr>
                <w:rFonts w:hint="eastAsia"/>
                <w:spacing w:val="-12"/>
                <w:lang w:eastAsia="zh-CN"/>
              </w:rPr>
            </w:pPr>
          </w:p>
          <w:p w14:paraId="3AFD4DFE">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1B5D07E9">
            <w:pPr>
              <w:spacing w:line="255" w:lineRule="auto"/>
              <w:rPr>
                <w:rFonts w:ascii="Arial"/>
                <w:sz w:val="21"/>
              </w:rPr>
            </w:pPr>
          </w:p>
          <w:p w14:paraId="4327B99B">
            <w:pPr>
              <w:spacing w:line="255" w:lineRule="auto"/>
              <w:rPr>
                <w:rFonts w:ascii="Arial"/>
                <w:sz w:val="21"/>
              </w:rPr>
            </w:pPr>
          </w:p>
          <w:p w14:paraId="77F0CF9F">
            <w:pPr>
              <w:spacing w:line="255" w:lineRule="auto"/>
              <w:rPr>
                <w:rFonts w:ascii="Arial"/>
                <w:sz w:val="21"/>
              </w:rPr>
            </w:pPr>
          </w:p>
          <w:p w14:paraId="61E10384">
            <w:pPr>
              <w:spacing w:line="256" w:lineRule="auto"/>
              <w:rPr>
                <w:rFonts w:ascii="Arial"/>
                <w:sz w:val="21"/>
              </w:rPr>
            </w:pPr>
          </w:p>
          <w:p w14:paraId="56354E27">
            <w:pPr>
              <w:spacing w:line="256" w:lineRule="auto"/>
              <w:rPr>
                <w:rFonts w:ascii="Arial"/>
                <w:sz w:val="21"/>
              </w:rPr>
            </w:pPr>
          </w:p>
          <w:p w14:paraId="523C8811">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6BC91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6" w:hRule="atLeast"/>
        </w:trPr>
        <w:tc>
          <w:tcPr>
            <w:tcW w:w="622" w:type="dxa"/>
            <w:vAlign w:val="top"/>
          </w:tcPr>
          <w:p w14:paraId="6CDE6895">
            <w:pPr>
              <w:spacing w:line="259" w:lineRule="auto"/>
              <w:rPr>
                <w:rFonts w:ascii="Arial"/>
                <w:sz w:val="21"/>
              </w:rPr>
            </w:pPr>
          </w:p>
          <w:p w14:paraId="488CCB4F">
            <w:pPr>
              <w:spacing w:line="259" w:lineRule="auto"/>
              <w:rPr>
                <w:rFonts w:ascii="Arial"/>
                <w:sz w:val="21"/>
              </w:rPr>
            </w:pPr>
          </w:p>
          <w:p w14:paraId="21F7E7BC">
            <w:pPr>
              <w:spacing w:line="259" w:lineRule="auto"/>
              <w:rPr>
                <w:rFonts w:ascii="Arial"/>
                <w:sz w:val="21"/>
              </w:rPr>
            </w:pPr>
          </w:p>
          <w:p w14:paraId="11D4A07D">
            <w:pPr>
              <w:spacing w:line="259" w:lineRule="auto"/>
              <w:rPr>
                <w:rFonts w:ascii="Arial"/>
                <w:sz w:val="21"/>
              </w:rPr>
            </w:pPr>
          </w:p>
          <w:p w14:paraId="5026BDF7">
            <w:pPr>
              <w:spacing w:line="259" w:lineRule="auto"/>
              <w:rPr>
                <w:rFonts w:ascii="Arial"/>
                <w:sz w:val="21"/>
              </w:rPr>
            </w:pPr>
          </w:p>
          <w:p w14:paraId="2B5FBEFA">
            <w:pPr>
              <w:spacing w:line="259" w:lineRule="auto"/>
              <w:rPr>
                <w:rFonts w:ascii="Arial"/>
                <w:sz w:val="21"/>
              </w:rPr>
            </w:pPr>
          </w:p>
          <w:p w14:paraId="33C2E886">
            <w:pPr>
              <w:pStyle w:val="8"/>
              <w:spacing w:before="59" w:line="183" w:lineRule="auto"/>
              <w:ind w:left="275"/>
            </w:pPr>
            <w:r>
              <w:t>3</w:t>
            </w:r>
          </w:p>
        </w:tc>
        <w:tc>
          <w:tcPr>
            <w:tcW w:w="1100" w:type="dxa"/>
            <w:vAlign w:val="top"/>
          </w:tcPr>
          <w:p w14:paraId="43A69F00">
            <w:pPr>
              <w:spacing w:line="293" w:lineRule="auto"/>
              <w:rPr>
                <w:rFonts w:ascii="Arial"/>
                <w:sz w:val="21"/>
              </w:rPr>
            </w:pPr>
          </w:p>
          <w:p w14:paraId="5F10459B">
            <w:pPr>
              <w:spacing w:line="293" w:lineRule="auto"/>
              <w:rPr>
                <w:rFonts w:ascii="Arial"/>
                <w:sz w:val="21"/>
              </w:rPr>
            </w:pPr>
          </w:p>
          <w:p w14:paraId="44A026B7">
            <w:pPr>
              <w:spacing w:line="294" w:lineRule="auto"/>
              <w:rPr>
                <w:rFonts w:ascii="Arial"/>
                <w:sz w:val="21"/>
              </w:rPr>
            </w:pPr>
          </w:p>
          <w:p w14:paraId="2F750513">
            <w:pPr>
              <w:spacing w:line="294" w:lineRule="auto"/>
              <w:rPr>
                <w:rFonts w:ascii="Arial"/>
                <w:sz w:val="21"/>
              </w:rPr>
            </w:pPr>
          </w:p>
          <w:p w14:paraId="2A75EA7D">
            <w:pPr>
              <w:pStyle w:val="8"/>
              <w:spacing w:before="58" w:line="241" w:lineRule="auto"/>
              <w:ind w:left="59" w:right="55"/>
              <w:jc w:val="both"/>
            </w:pPr>
            <w:r>
              <w:rPr>
                <w:spacing w:val="16"/>
              </w:rPr>
              <w:t>对擅自从事</w:t>
            </w:r>
            <w:r>
              <w:t xml:space="preserve"> </w:t>
            </w:r>
            <w:r>
              <w:rPr>
                <w:spacing w:val="16"/>
              </w:rPr>
              <w:t>港口经营等</w:t>
            </w:r>
            <w:r>
              <w:t xml:space="preserve"> </w:t>
            </w:r>
            <w:r>
              <w:rPr>
                <w:spacing w:val="16"/>
              </w:rPr>
              <w:t>行为的行政</w:t>
            </w:r>
            <w:r>
              <w:t xml:space="preserve"> </w:t>
            </w:r>
            <w:r>
              <w:rPr>
                <w:spacing w:val="-2"/>
              </w:rPr>
              <w:t>处罚</w:t>
            </w:r>
          </w:p>
        </w:tc>
        <w:tc>
          <w:tcPr>
            <w:tcW w:w="1100" w:type="dxa"/>
            <w:vAlign w:val="top"/>
          </w:tcPr>
          <w:p w14:paraId="096706CD">
            <w:pPr>
              <w:spacing w:line="254" w:lineRule="auto"/>
              <w:rPr>
                <w:rFonts w:ascii="Arial"/>
                <w:sz w:val="21"/>
              </w:rPr>
            </w:pPr>
          </w:p>
          <w:p w14:paraId="722E7EAE">
            <w:pPr>
              <w:spacing w:line="254" w:lineRule="auto"/>
              <w:rPr>
                <w:rFonts w:ascii="Arial"/>
                <w:sz w:val="21"/>
              </w:rPr>
            </w:pPr>
          </w:p>
          <w:p w14:paraId="3BA4236E">
            <w:pPr>
              <w:spacing w:line="254" w:lineRule="auto"/>
              <w:rPr>
                <w:rFonts w:ascii="Arial"/>
                <w:sz w:val="21"/>
              </w:rPr>
            </w:pPr>
          </w:p>
          <w:p w14:paraId="0EADDB34">
            <w:pPr>
              <w:spacing w:line="254" w:lineRule="auto"/>
              <w:rPr>
                <w:rFonts w:ascii="Arial"/>
                <w:sz w:val="21"/>
              </w:rPr>
            </w:pPr>
          </w:p>
          <w:p w14:paraId="21BD9D9C">
            <w:pPr>
              <w:spacing w:line="255" w:lineRule="auto"/>
              <w:rPr>
                <w:rFonts w:ascii="Arial"/>
                <w:sz w:val="21"/>
              </w:rPr>
            </w:pPr>
          </w:p>
          <w:p w14:paraId="3105F2D1">
            <w:pPr>
              <w:spacing w:line="255" w:lineRule="auto"/>
              <w:rPr>
                <w:rFonts w:ascii="Arial"/>
                <w:sz w:val="21"/>
              </w:rPr>
            </w:pPr>
          </w:p>
          <w:p w14:paraId="2CFED2AA">
            <w:pPr>
              <w:pStyle w:val="8"/>
              <w:spacing w:before="58" w:line="220" w:lineRule="auto"/>
              <w:ind w:left="112"/>
            </w:pPr>
            <w:r>
              <w:rPr>
                <w:spacing w:val="-2"/>
              </w:rPr>
              <w:t>行政处罚</w:t>
            </w:r>
          </w:p>
        </w:tc>
        <w:tc>
          <w:tcPr>
            <w:tcW w:w="8508" w:type="dxa"/>
            <w:vAlign w:val="top"/>
          </w:tcPr>
          <w:p w14:paraId="507BDF3B">
            <w:pPr>
              <w:pStyle w:val="8"/>
              <w:spacing w:before="41" w:line="219" w:lineRule="auto"/>
              <w:ind w:left="484"/>
            </w:pPr>
            <w:r>
              <w:rPr>
                <w:b/>
                <w:bCs/>
                <w:spacing w:val="-4"/>
              </w:rPr>
              <w:t>1.《中华人民共和国港口法》</w:t>
            </w:r>
          </w:p>
          <w:p w14:paraId="5D99F4BB">
            <w:pPr>
              <w:pStyle w:val="8"/>
              <w:spacing w:before="25" w:line="236" w:lineRule="auto"/>
              <w:ind w:left="114" w:right="104" w:firstLine="356"/>
            </w:pPr>
            <w:r>
              <w:t>第二十二条  从事港口经营，应当向港口行政管理部门书面申请取得港口经营许可，并依法办理工商</w:t>
            </w:r>
            <w:r>
              <w:rPr>
                <w:spacing w:val="6"/>
              </w:rPr>
              <w:t xml:space="preserve"> </w:t>
            </w:r>
            <w:r>
              <w:rPr>
                <w:spacing w:val="-9"/>
              </w:rPr>
              <w:t>登记。</w:t>
            </w:r>
          </w:p>
          <w:p w14:paraId="34C809AA">
            <w:pPr>
              <w:pStyle w:val="8"/>
              <w:spacing w:before="20" w:line="219" w:lineRule="auto"/>
              <w:ind w:left="470"/>
            </w:pPr>
            <w:r>
              <w:rPr>
                <w:spacing w:val="-1"/>
              </w:rPr>
              <w:t>港口行政管理部门实施港口经营许可，应当遵循公开、公正、公</w:t>
            </w:r>
            <w:r>
              <w:rPr>
                <w:spacing w:val="-2"/>
              </w:rPr>
              <w:t>平的原则。</w:t>
            </w:r>
          </w:p>
          <w:p w14:paraId="24E2F239">
            <w:pPr>
              <w:pStyle w:val="8"/>
              <w:spacing w:before="25" w:line="233" w:lineRule="auto"/>
              <w:ind w:left="110" w:right="44" w:firstLine="360"/>
            </w:pPr>
            <w:r>
              <w:rPr>
                <w:spacing w:val="-2"/>
              </w:rPr>
              <w:t>港口经营包括码头和其他港口设施的经营，港口旅</w:t>
            </w:r>
            <w:r>
              <w:rPr>
                <w:spacing w:val="-3"/>
              </w:rPr>
              <w:t>客运输服务经营，在港区内从事货物的装卸、驳运、</w:t>
            </w:r>
            <w:r>
              <w:t xml:space="preserve"> </w:t>
            </w:r>
            <w:r>
              <w:rPr>
                <w:spacing w:val="-3"/>
              </w:rPr>
              <w:t>仓储的经营和港口拖轮经营等。</w:t>
            </w:r>
          </w:p>
          <w:p w14:paraId="1B6114A5">
            <w:pPr>
              <w:pStyle w:val="8"/>
              <w:spacing w:before="27" w:line="237" w:lineRule="auto"/>
              <w:ind w:left="110" w:right="58" w:firstLine="360"/>
              <w:jc w:val="both"/>
            </w:pPr>
            <w:r>
              <w:t>第四十九条  未依法取得港口经营许可证从事港口经营，或者港口理货业务经营人兼营货物装卸经营</w:t>
            </w:r>
            <w:r>
              <w:rPr>
                <w:spacing w:val="6"/>
              </w:rPr>
              <w:t xml:space="preserve"> </w:t>
            </w:r>
            <w:r>
              <w:rPr>
                <w:spacing w:val="-3"/>
              </w:rPr>
              <w:t>业务、仓储经营业务的，由港口行政管理部门责令停止违法经营，没收违法所得；违法所得十万元以上的，</w:t>
            </w:r>
            <w:r>
              <w:rPr>
                <w:spacing w:val="14"/>
              </w:rPr>
              <w:t xml:space="preserve"> </w:t>
            </w:r>
            <w:r>
              <w:rPr>
                <w:spacing w:val="-1"/>
              </w:rPr>
              <w:t>并处违法所得二倍以上五倍以下罚款；违法所得不足十万元的，处五万元以上二十万元以下罚款。</w:t>
            </w:r>
          </w:p>
          <w:p w14:paraId="65CAC497">
            <w:pPr>
              <w:pStyle w:val="8"/>
              <w:spacing w:before="26" w:line="219" w:lineRule="auto"/>
              <w:ind w:left="473"/>
            </w:pPr>
            <w:r>
              <w:rPr>
                <w:b/>
                <w:bCs/>
                <w:spacing w:val="-3"/>
              </w:rPr>
              <w:t>2.《港口经营管理规定》（交通运输部令</w:t>
            </w:r>
            <w:r>
              <w:rPr>
                <w:spacing w:val="-35"/>
              </w:rPr>
              <w:t xml:space="preserve"> </w:t>
            </w:r>
            <w:r>
              <w:rPr>
                <w:b/>
                <w:bCs/>
                <w:spacing w:val="-3"/>
              </w:rPr>
              <w:t>2020</w:t>
            </w:r>
            <w:r>
              <w:rPr>
                <w:spacing w:val="-38"/>
              </w:rPr>
              <w:t xml:space="preserve"> </w:t>
            </w:r>
            <w:r>
              <w:rPr>
                <w:b/>
                <w:bCs/>
                <w:spacing w:val="-3"/>
              </w:rPr>
              <w:t>年第</w:t>
            </w:r>
            <w:r>
              <w:rPr>
                <w:spacing w:val="-35"/>
              </w:rPr>
              <w:t xml:space="preserve"> </w:t>
            </w:r>
            <w:r>
              <w:rPr>
                <w:b/>
                <w:bCs/>
                <w:spacing w:val="-3"/>
              </w:rPr>
              <w:t>21</w:t>
            </w:r>
            <w:r>
              <w:rPr>
                <w:spacing w:val="-34"/>
              </w:rPr>
              <w:t xml:space="preserve"> </w:t>
            </w:r>
            <w:r>
              <w:rPr>
                <w:b/>
                <w:bCs/>
                <w:spacing w:val="-4"/>
              </w:rPr>
              <w:t>号）</w:t>
            </w:r>
          </w:p>
          <w:p w14:paraId="4EC7E692">
            <w:pPr>
              <w:pStyle w:val="8"/>
              <w:spacing w:before="25" w:line="235" w:lineRule="auto"/>
              <w:ind w:left="112" w:right="104" w:firstLine="358"/>
              <w:jc w:val="both"/>
            </w:pPr>
            <w:r>
              <w:t>第四十一条  有下列行为之一的，由港口行政管理部门责令停止违法经营，没收</w:t>
            </w:r>
            <w:r>
              <w:rPr>
                <w:spacing w:val="-1"/>
              </w:rPr>
              <w:t>违法所得；违法所得</w:t>
            </w:r>
            <w:r>
              <w:t xml:space="preserve"> </w:t>
            </w:r>
            <w:r>
              <w:rPr>
                <w:spacing w:val="-3"/>
              </w:rPr>
              <w:t>10</w:t>
            </w:r>
            <w:r>
              <w:rPr>
                <w:spacing w:val="-34"/>
              </w:rPr>
              <w:t xml:space="preserve"> </w:t>
            </w:r>
            <w:r>
              <w:rPr>
                <w:spacing w:val="-3"/>
              </w:rPr>
              <w:t>万元以上的，并处违法所得</w:t>
            </w:r>
            <w:r>
              <w:rPr>
                <w:spacing w:val="-35"/>
              </w:rPr>
              <w:t xml:space="preserve"> </w:t>
            </w:r>
            <w:r>
              <w:rPr>
                <w:spacing w:val="-3"/>
              </w:rPr>
              <w:t>2</w:t>
            </w:r>
            <w:r>
              <w:rPr>
                <w:spacing w:val="-39"/>
              </w:rPr>
              <w:t xml:space="preserve"> </w:t>
            </w:r>
            <w:r>
              <w:rPr>
                <w:spacing w:val="-3"/>
              </w:rPr>
              <w:t>倍以上</w:t>
            </w:r>
            <w:r>
              <w:rPr>
                <w:spacing w:val="-34"/>
              </w:rPr>
              <w:t xml:space="preserve"> </w:t>
            </w:r>
            <w:r>
              <w:rPr>
                <w:spacing w:val="-3"/>
              </w:rPr>
              <w:t>5</w:t>
            </w:r>
            <w:r>
              <w:rPr>
                <w:spacing w:val="-38"/>
              </w:rPr>
              <w:t xml:space="preserve"> </w:t>
            </w:r>
            <w:r>
              <w:rPr>
                <w:spacing w:val="-3"/>
              </w:rPr>
              <w:t>倍以下罚款；违法所得不足</w:t>
            </w:r>
            <w:r>
              <w:rPr>
                <w:spacing w:val="-24"/>
              </w:rPr>
              <w:t xml:space="preserve"> </w:t>
            </w:r>
            <w:r>
              <w:rPr>
                <w:spacing w:val="-3"/>
              </w:rPr>
              <w:t>10</w:t>
            </w:r>
            <w:r>
              <w:rPr>
                <w:spacing w:val="-35"/>
              </w:rPr>
              <w:t xml:space="preserve"> </w:t>
            </w:r>
            <w:r>
              <w:rPr>
                <w:spacing w:val="-3"/>
              </w:rPr>
              <w:t>万元</w:t>
            </w:r>
            <w:r>
              <w:rPr>
                <w:spacing w:val="-4"/>
              </w:rPr>
              <w:t>的，处</w:t>
            </w:r>
            <w:r>
              <w:rPr>
                <w:spacing w:val="-36"/>
              </w:rPr>
              <w:t xml:space="preserve"> </w:t>
            </w:r>
            <w:r>
              <w:rPr>
                <w:spacing w:val="-4"/>
              </w:rPr>
              <w:t>5</w:t>
            </w:r>
            <w:r>
              <w:rPr>
                <w:spacing w:val="-32"/>
              </w:rPr>
              <w:t xml:space="preserve"> </w:t>
            </w:r>
            <w:r>
              <w:rPr>
                <w:spacing w:val="-4"/>
              </w:rPr>
              <w:t>万元以上</w:t>
            </w:r>
            <w:r>
              <w:rPr>
                <w:spacing w:val="-37"/>
              </w:rPr>
              <w:t xml:space="preserve"> </w:t>
            </w:r>
            <w:r>
              <w:rPr>
                <w:spacing w:val="-4"/>
              </w:rPr>
              <w:t>20</w:t>
            </w:r>
            <w:r>
              <w:rPr>
                <w:spacing w:val="-35"/>
              </w:rPr>
              <w:t xml:space="preserve"> </w:t>
            </w:r>
            <w:r>
              <w:rPr>
                <w:spacing w:val="-4"/>
              </w:rPr>
              <w:t>万元以</w:t>
            </w:r>
            <w:r>
              <w:t xml:space="preserve"> </w:t>
            </w:r>
            <w:r>
              <w:rPr>
                <w:spacing w:val="1"/>
              </w:rPr>
              <w:t>下罚款</w:t>
            </w:r>
            <w:r>
              <w:rPr>
                <w:spacing w:val="-6"/>
              </w:rPr>
              <w:t>：（</w:t>
            </w:r>
            <w:r>
              <w:rPr>
                <w:spacing w:val="1"/>
              </w:rPr>
              <w:t>一）未依法取得港口经营许可证，从事港口经营的</w:t>
            </w:r>
            <w:r>
              <w:rPr>
                <w:spacing w:val="-6"/>
              </w:rPr>
              <w:t>；（</w:t>
            </w:r>
            <w:r>
              <w:rPr>
                <w:spacing w:val="1"/>
              </w:rPr>
              <w:t>二</w:t>
            </w:r>
            <w:r>
              <w:t>）港口理货业务经营人兼营货物装卸</w:t>
            </w:r>
            <w:r>
              <w:rPr>
                <w:spacing w:val="2"/>
              </w:rPr>
              <w:t xml:space="preserve"> </w:t>
            </w:r>
            <w:r>
              <w:rPr>
                <w:spacing w:val="-3"/>
              </w:rPr>
              <w:t>经营业务、仓储经营业务的。</w:t>
            </w:r>
          </w:p>
        </w:tc>
        <w:tc>
          <w:tcPr>
            <w:tcW w:w="1010" w:type="dxa"/>
            <w:vAlign w:val="top"/>
          </w:tcPr>
          <w:p w14:paraId="64FC0EF5">
            <w:pPr>
              <w:spacing w:line="282" w:lineRule="auto"/>
              <w:rPr>
                <w:rFonts w:ascii="Arial"/>
                <w:sz w:val="21"/>
              </w:rPr>
            </w:pPr>
          </w:p>
          <w:p w14:paraId="226BFDC9">
            <w:pPr>
              <w:spacing w:line="282" w:lineRule="auto"/>
              <w:rPr>
                <w:rFonts w:ascii="Arial"/>
                <w:sz w:val="21"/>
              </w:rPr>
            </w:pPr>
          </w:p>
          <w:p w14:paraId="7CD7897E">
            <w:pPr>
              <w:spacing w:line="283" w:lineRule="auto"/>
              <w:rPr>
                <w:rFonts w:ascii="Arial"/>
                <w:sz w:val="21"/>
              </w:rPr>
            </w:pPr>
          </w:p>
          <w:p w14:paraId="68B82E39">
            <w:pPr>
              <w:spacing w:line="283" w:lineRule="auto"/>
              <w:rPr>
                <w:rFonts w:ascii="Arial"/>
                <w:sz w:val="21"/>
              </w:rPr>
            </w:pPr>
          </w:p>
          <w:p w14:paraId="5D8FA711">
            <w:pPr>
              <w:spacing w:line="283" w:lineRule="auto"/>
              <w:rPr>
                <w:rFonts w:ascii="Arial"/>
                <w:sz w:val="21"/>
              </w:rPr>
            </w:pPr>
          </w:p>
          <w:p w14:paraId="72A268CD">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5764F608">
            <w:pPr>
              <w:spacing w:line="258" w:lineRule="auto"/>
              <w:rPr>
                <w:rFonts w:ascii="Arial"/>
                <w:sz w:val="21"/>
              </w:rPr>
            </w:pPr>
          </w:p>
          <w:p w14:paraId="1FEF5722">
            <w:pPr>
              <w:spacing w:line="259" w:lineRule="auto"/>
              <w:rPr>
                <w:rFonts w:ascii="Arial"/>
                <w:sz w:val="21"/>
              </w:rPr>
            </w:pPr>
          </w:p>
          <w:p w14:paraId="169E91CB">
            <w:pPr>
              <w:spacing w:line="259" w:lineRule="auto"/>
              <w:rPr>
                <w:rFonts w:ascii="Arial"/>
                <w:sz w:val="21"/>
              </w:rPr>
            </w:pPr>
          </w:p>
          <w:p w14:paraId="1F2F632D">
            <w:pPr>
              <w:spacing w:line="259" w:lineRule="auto"/>
              <w:rPr>
                <w:rFonts w:ascii="Arial"/>
                <w:sz w:val="21"/>
              </w:rPr>
            </w:pPr>
          </w:p>
          <w:p w14:paraId="7CA4DA17">
            <w:pPr>
              <w:spacing w:line="259" w:lineRule="auto"/>
              <w:rPr>
                <w:rFonts w:ascii="Arial"/>
                <w:sz w:val="21"/>
              </w:rPr>
            </w:pPr>
          </w:p>
          <w:p w14:paraId="43F3E95B">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4" w:type="dxa"/>
            <w:vAlign w:val="top"/>
          </w:tcPr>
          <w:p w14:paraId="0FAE6611">
            <w:pPr>
              <w:spacing w:line="259" w:lineRule="auto"/>
              <w:rPr>
                <w:rFonts w:ascii="Arial"/>
                <w:sz w:val="21"/>
              </w:rPr>
            </w:pPr>
          </w:p>
          <w:p w14:paraId="4C8DFAB4">
            <w:pPr>
              <w:spacing w:line="259" w:lineRule="auto"/>
              <w:rPr>
                <w:rFonts w:ascii="Arial"/>
                <w:sz w:val="21"/>
              </w:rPr>
            </w:pPr>
          </w:p>
          <w:p w14:paraId="2BCC67D9">
            <w:pPr>
              <w:spacing w:line="259" w:lineRule="auto"/>
              <w:rPr>
                <w:rFonts w:ascii="Arial"/>
                <w:sz w:val="21"/>
              </w:rPr>
            </w:pPr>
          </w:p>
          <w:p w14:paraId="791DE983">
            <w:pPr>
              <w:spacing w:line="259" w:lineRule="auto"/>
              <w:rPr>
                <w:rFonts w:ascii="Arial"/>
                <w:sz w:val="21"/>
              </w:rPr>
            </w:pPr>
          </w:p>
          <w:p w14:paraId="4B5C62D6">
            <w:pPr>
              <w:spacing w:line="259" w:lineRule="auto"/>
              <w:rPr>
                <w:rFonts w:ascii="Arial"/>
                <w:sz w:val="21"/>
              </w:rPr>
            </w:pPr>
          </w:p>
          <w:p w14:paraId="10B1DAF6">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0AA12630">
      <w:pPr>
        <w:pStyle w:val="2"/>
        <w:spacing w:line="192" w:lineRule="exact"/>
        <w:rPr>
          <w:sz w:val="16"/>
        </w:rPr>
      </w:pPr>
    </w:p>
    <w:p w14:paraId="100CD788">
      <w:pPr>
        <w:spacing w:line="192" w:lineRule="exact"/>
        <w:rPr>
          <w:sz w:val="16"/>
          <w:szCs w:val="16"/>
        </w:rPr>
        <w:sectPr>
          <w:footerReference r:id="rId128" w:type="default"/>
          <w:pgSz w:w="16839" w:h="11906"/>
          <w:pgMar w:top="1012" w:right="1034" w:bottom="967" w:left="1043" w:header="0" w:footer="768" w:gutter="0"/>
          <w:cols w:space="720" w:num="1"/>
        </w:sectPr>
      </w:pPr>
    </w:p>
    <w:p w14:paraId="39523C00">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51441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2" w:type="dxa"/>
            <w:vMerge w:val="restart"/>
            <w:tcBorders>
              <w:bottom w:val="nil"/>
            </w:tcBorders>
            <w:vAlign w:val="top"/>
          </w:tcPr>
          <w:p w14:paraId="04067E43">
            <w:pPr>
              <w:pStyle w:val="8"/>
              <w:spacing w:before="259" w:line="221" w:lineRule="auto"/>
              <w:ind w:left="134"/>
            </w:pPr>
            <w:r>
              <w:rPr>
                <w:b/>
                <w:bCs/>
                <w:spacing w:val="-4"/>
              </w:rPr>
              <w:t>序号</w:t>
            </w:r>
          </w:p>
        </w:tc>
        <w:tc>
          <w:tcPr>
            <w:tcW w:w="1100" w:type="dxa"/>
            <w:vMerge w:val="restart"/>
            <w:tcBorders>
              <w:bottom w:val="nil"/>
            </w:tcBorders>
            <w:vAlign w:val="top"/>
          </w:tcPr>
          <w:p w14:paraId="7B423DD9">
            <w:pPr>
              <w:pStyle w:val="8"/>
              <w:spacing w:before="260" w:line="220" w:lineRule="auto"/>
              <w:ind w:left="189"/>
            </w:pPr>
            <w:r>
              <w:rPr>
                <w:b/>
                <w:bCs/>
                <w:spacing w:val="-4"/>
              </w:rPr>
              <w:t>事项名称</w:t>
            </w:r>
          </w:p>
        </w:tc>
        <w:tc>
          <w:tcPr>
            <w:tcW w:w="1100" w:type="dxa"/>
            <w:vMerge w:val="restart"/>
            <w:tcBorders>
              <w:bottom w:val="nil"/>
            </w:tcBorders>
            <w:vAlign w:val="top"/>
          </w:tcPr>
          <w:p w14:paraId="5C80B43F">
            <w:pPr>
              <w:pStyle w:val="8"/>
              <w:spacing w:before="260" w:line="219" w:lineRule="auto"/>
              <w:ind w:left="191"/>
            </w:pPr>
            <w:r>
              <w:rPr>
                <w:b/>
                <w:bCs/>
                <w:spacing w:val="-4"/>
              </w:rPr>
              <w:t>职权类型</w:t>
            </w:r>
          </w:p>
        </w:tc>
        <w:tc>
          <w:tcPr>
            <w:tcW w:w="8508" w:type="dxa"/>
            <w:vMerge w:val="restart"/>
            <w:tcBorders>
              <w:bottom w:val="nil"/>
            </w:tcBorders>
            <w:vAlign w:val="top"/>
          </w:tcPr>
          <w:p w14:paraId="7F13D471">
            <w:pPr>
              <w:pStyle w:val="8"/>
              <w:spacing w:before="259" w:line="219" w:lineRule="auto"/>
              <w:ind w:left="3900"/>
            </w:pPr>
            <w:r>
              <w:rPr>
                <w:b/>
                <w:bCs/>
                <w:spacing w:val="-5"/>
              </w:rPr>
              <w:t>实施依据</w:t>
            </w:r>
          </w:p>
        </w:tc>
        <w:tc>
          <w:tcPr>
            <w:tcW w:w="3425" w:type="dxa"/>
            <w:gridSpan w:val="3"/>
            <w:vAlign w:val="top"/>
          </w:tcPr>
          <w:p w14:paraId="09E58F53">
            <w:pPr>
              <w:pStyle w:val="8"/>
              <w:spacing w:before="85" w:line="220" w:lineRule="auto"/>
              <w:ind w:left="1358"/>
            </w:pPr>
            <w:r>
              <w:rPr>
                <w:b/>
                <w:bCs/>
                <w:spacing w:val="-5"/>
              </w:rPr>
              <w:t>实施主体</w:t>
            </w:r>
          </w:p>
        </w:tc>
      </w:tr>
      <w:tr w14:paraId="0B1C5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3D02210C">
            <w:pPr>
              <w:rPr>
                <w:rFonts w:ascii="Arial"/>
                <w:sz w:val="21"/>
              </w:rPr>
            </w:pPr>
          </w:p>
        </w:tc>
        <w:tc>
          <w:tcPr>
            <w:tcW w:w="1100" w:type="dxa"/>
            <w:vMerge w:val="continue"/>
            <w:tcBorders>
              <w:top w:val="nil"/>
            </w:tcBorders>
            <w:vAlign w:val="top"/>
          </w:tcPr>
          <w:p w14:paraId="51E86B93">
            <w:pPr>
              <w:rPr>
                <w:rFonts w:ascii="Arial"/>
                <w:sz w:val="21"/>
              </w:rPr>
            </w:pPr>
          </w:p>
        </w:tc>
        <w:tc>
          <w:tcPr>
            <w:tcW w:w="1100" w:type="dxa"/>
            <w:vMerge w:val="continue"/>
            <w:tcBorders>
              <w:top w:val="nil"/>
            </w:tcBorders>
            <w:vAlign w:val="top"/>
          </w:tcPr>
          <w:p w14:paraId="78082542">
            <w:pPr>
              <w:rPr>
                <w:rFonts w:ascii="Arial"/>
                <w:sz w:val="21"/>
              </w:rPr>
            </w:pPr>
          </w:p>
        </w:tc>
        <w:tc>
          <w:tcPr>
            <w:tcW w:w="8508" w:type="dxa"/>
            <w:vMerge w:val="continue"/>
            <w:tcBorders>
              <w:top w:val="nil"/>
            </w:tcBorders>
            <w:vAlign w:val="top"/>
          </w:tcPr>
          <w:p w14:paraId="2B31EB0C">
            <w:pPr>
              <w:rPr>
                <w:rFonts w:ascii="Arial"/>
                <w:sz w:val="21"/>
              </w:rPr>
            </w:pPr>
          </w:p>
        </w:tc>
        <w:tc>
          <w:tcPr>
            <w:tcW w:w="1010" w:type="dxa"/>
            <w:vAlign w:val="top"/>
          </w:tcPr>
          <w:p w14:paraId="40331C15">
            <w:pPr>
              <w:pStyle w:val="8"/>
              <w:spacing w:before="80" w:line="219" w:lineRule="auto"/>
              <w:ind w:left="155"/>
            </w:pPr>
            <w:r>
              <w:rPr>
                <w:b/>
                <w:bCs/>
                <w:spacing w:val="-5"/>
              </w:rPr>
              <w:t>责任部门</w:t>
            </w:r>
          </w:p>
        </w:tc>
        <w:tc>
          <w:tcPr>
            <w:tcW w:w="1401" w:type="dxa"/>
            <w:vAlign w:val="top"/>
          </w:tcPr>
          <w:p w14:paraId="32DF76A2">
            <w:pPr>
              <w:pStyle w:val="8"/>
              <w:spacing w:before="80" w:line="219" w:lineRule="auto"/>
              <w:ind w:left="164"/>
            </w:pPr>
            <w:r>
              <w:rPr>
                <w:b/>
                <w:bCs/>
                <w:spacing w:val="-3"/>
              </w:rPr>
              <w:t>第一责任层级</w:t>
            </w:r>
          </w:p>
        </w:tc>
        <w:tc>
          <w:tcPr>
            <w:tcW w:w="1014" w:type="dxa"/>
            <w:vAlign w:val="top"/>
          </w:tcPr>
          <w:p w14:paraId="15D89F51">
            <w:pPr>
              <w:pStyle w:val="8"/>
              <w:spacing w:before="80" w:line="219" w:lineRule="auto"/>
              <w:ind w:left="150"/>
            </w:pPr>
            <w:r>
              <w:rPr>
                <w:b/>
                <w:bCs/>
                <w:spacing w:val="-4"/>
              </w:rPr>
              <w:t>承办机构</w:t>
            </w:r>
          </w:p>
        </w:tc>
      </w:tr>
      <w:tr w14:paraId="11681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22" w:type="dxa"/>
            <w:vAlign w:val="top"/>
          </w:tcPr>
          <w:p w14:paraId="4465BB3E">
            <w:pPr>
              <w:rPr>
                <w:rFonts w:ascii="Arial"/>
                <w:sz w:val="21"/>
              </w:rPr>
            </w:pPr>
          </w:p>
        </w:tc>
        <w:tc>
          <w:tcPr>
            <w:tcW w:w="1100" w:type="dxa"/>
            <w:vAlign w:val="top"/>
          </w:tcPr>
          <w:p w14:paraId="4B19E1A6">
            <w:pPr>
              <w:rPr>
                <w:rFonts w:ascii="Arial"/>
                <w:sz w:val="21"/>
              </w:rPr>
            </w:pPr>
          </w:p>
        </w:tc>
        <w:tc>
          <w:tcPr>
            <w:tcW w:w="1100" w:type="dxa"/>
            <w:vAlign w:val="top"/>
          </w:tcPr>
          <w:p w14:paraId="7E968196">
            <w:pPr>
              <w:rPr>
                <w:rFonts w:ascii="Arial"/>
                <w:sz w:val="21"/>
              </w:rPr>
            </w:pPr>
          </w:p>
        </w:tc>
        <w:tc>
          <w:tcPr>
            <w:tcW w:w="8508" w:type="dxa"/>
            <w:vAlign w:val="top"/>
          </w:tcPr>
          <w:p w14:paraId="1BE1E9BA">
            <w:pPr>
              <w:pStyle w:val="8"/>
              <w:spacing w:before="37" w:line="219" w:lineRule="auto"/>
              <w:ind w:left="474"/>
            </w:pPr>
            <w:r>
              <w:rPr>
                <w:b/>
                <w:bCs/>
                <w:spacing w:val="-3"/>
              </w:rPr>
              <w:t>3.《港口危险货物安全管理规定》（交通运输部令</w:t>
            </w:r>
            <w:r>
              <w:rPr>
                <w:spacing w:val="-33"/>
              </w:rPr>
              <w:t xml:space="preserve"> </w:t>
            </w:r>
            <w:r>
              <w:rPr>
                <w:b/>
                <w:bCs/>
                <w:spacing w:val="-3"/>
              </w:rPr>
              <w:t>2023</w:t>
            </w:r>
            <w:r>
              <w:rPr>
                <w:spacing w:val="-37"/>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66786719">
            <w:pPr>
              <w:pStyle w:val="8"/>
              <w:spacing w:before="27" w:line="231" w:lineRule="auto"/>
              <w:ind w:left="110" w:right="104" w:firstLine="360"/>
              <w:jc w:val="both"/>
            </w:pPr>
            <w:r>
              <w:t>第七十三条  未依法取得相应的港口经营许可证，或者超越许可范围从事危险货物港口经营的，由所</w:t>
            </w:r>
            <w:r>
              <w:rPr>
                <w:spacing w:val="6"/>
              </w:rPr>
              <w:t xml:space="preserve"> </w:t>
            </w:r>
            <w:r>
              <w:t>在地港口行政管理部门责令停止违法经营，没收违法所得；违法所得十万元以上的，并处违法所得二倍以</w:t>
            </w:r>
            <w:r>
              <w:rPr>
                <w:spacing w:val="7"/>
              </w:rPr>
              <w:t xml:space="preserve"> </w:t>
            </w:r>
            <w:r>
              <w:rPr>
                <w:spacing w:val="-1"/>
              </w:rPr>
              <w:t>上五倍以下罚款；违法所得不足十万元的，处五万元以上二十万元以下的罚款。</w:t>
            </w:r>
          </w:p>
        </w:tc>
        <w:tc>
          <w:tcPr>
            <w:tcW w:w="1010" w:type="dxa"/>
            <w:vAlign w:val="top"/>
          </w:tcPr>
          <w:p w14:paraId="6538E860">
            <w:pPr>
              <w:rPr>
                <w:rFonts w:ascii="Arial"/>
                <w:sz w:val="21"/>
              </w:rPr>
            </w:pPr>
          </w:p>
        </w:tc>
        <w:tc>
          <w:tcPr>
            <w:tcW w:w="1401" w:type="dxa"/>
            <w:vAlign w:val="top"/>
          </w:tcPr>
          <w:p w14:paraId="1B7FEBC2">
            <w:pPr>
              <w:rPr>
                <w:rFonts w:ascii="Arial"/>
                <w:sz w:val="21"/>
              </w:rPr>
            </w:pPr>
          </w:p>
        </w:tc>
        <w:tc>
          <w:tcPr>
            <w:tcW w:w="1014" w:type="dxa"/>
            <w:vAlign w:val="top"/>
          </w:tcPr>
          <w:p w14:paraId="07AEC5BF">
            <w:pPr>
              <w:rPr>
                <w:rFonts w:ascii="Arial"/>
                <w:sz w:val="21"/>
              </w:rPr>
            </w:pPr>
          </w:p>
        </w:tc>
      </w:tr>
      <w:tr w14:paraId="3EE2A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8" w:hRule="atLeast"/>
        </w:trPr>
        <w:tc>
          <w:tcPr>
            <w:tcW w:w="622" w:type="dxa"/>
            <w:vAlign w:val="top"/>
          </w:tcPr>
          <w:p w14:paraId="5C379533">
            <w:pPr>
              <w:spacing w:line="294" w:lineRule="auto"/>
              <w:rPr>
                <w:rFonts w:ascii="Arial"/>
                <w:sz w:val="21"/>
              </w:rPr>
            </w:pPr>
          </w:p>
          <w:p w14:paraId="75BA8AAF">
            <w:pPr>
              <w:spacing w:line="294" w:lineRule="auto"/>
              <w:rPr>
                <w:rFonts w:ascii="Arial"/>
                <w:sz w:val="21"/>
              </w:rPr>
            </w:pPr>
          </w:p>
          <w:p w14:paraId="6282E03E">
            <w:pPr>
              <w:spacing w:line="294" w:lineRule="auto"/>
              <w:rPr>
                <w:rFonts w:ascii="Arial"/>
                <w:sz w:val="21"/>
              </w:rPr>
            </w:pPr>
          </w:p>
          <w:p w14:paraId="5EF73E9C">
            <w:pPr>
              <w:spacing w:line="294" w:lineRule="auto"/>
              <w:rPr>
                <w:rFonts w:ascii="Arial"/>
                <w:sz w:val="21"/>
              </w:rPr>
            </w:pPr>
          </w:p>
          <w:p w14:paraId="2524E2EF">
            <w:pPr>
              <w:pStyle w:val="8"/>
              <w:spacing w:before="59" w:line="183" w:lineRule="auto"/>
              <w:ind w:left="270"/>
            </w:pPr>
            <w:r>
              <w:t>4</w:t>
            </w:r>
          </w:p>
        </w:tc>
        <w:tc>
          <w:tcPr>
            <w:tcW w:w="1100" w:type="dxa"/>
            <w:vAlign w:val="top"/>
          </w:tcPr>
          <w:p w14:paraId="7E244C5D">
            <w:pPr>
              <w:spacing w:line="440" w:lineRule="auto"/>
              <w:rPr>
                <w:rFonts w:ascii="Arial"/>
                <w:sz w:val="21"/>
              </w:rPr>
            </w:pPr>
          </w:p>
          <w:p w14:paraId="35D570CB">
            <w:pPr>
              <w:pStyle w:val="8"/>
              <w:spacing w:before="58" w:line="243" w:lineRule="auto"/>
              <w:ind w:left="59" w:right="55"/>
              <w:jc w:val="both"/>
            </w:pPr>
            <w:r>
              <w:rPr>
                <w:spacing w:val="16"/>
              </w:rPr>
              <w:t>对港口经营</w:t>
            </w:r>
            <w:r>
              <w:t xml:space="preserve"> </w:t>
            </w:r>
            <w:r>
              <w:rPr>
                <w:spacing w:val="15"/>
              </w:rPr>
              <w:t>人不优先安</w:t>
            </w:r>
            <w:r>
              <w:rPr>
                <w:spacing w:val="3"/>
              </w:rPr>
              <w:t xml:space="preserve"> </w:t>
            </w:r>
            <w:r>
              <w:rPr>
                <w:spacing w:val="15"/>
              </w:rPr>
              <w:t>排抢险、救</w:t>
            </w:r>
            <w:r>
              <w:rPr>
                <w:spacing w:val="3"/>
              </w:rPr>
              <w:t xml:space="preserve"> </w:t>
            </w:r>
            <w:r>
              <w:rPr>
                <w:spacing w:val="15"/>
              </w:rPr>
              <w:t>灾、国防建</w:t>
            </w:r>
            <w:r>
              <w:rPr>
                <w:spacing w:val="3"/>
              </w:rPr>
              <w:t xml:space="preserve"> </w:t>
            </w:r>
            <w:r>
              <w:rPr>
                <w:spacing w:val="15"/>
              </w:rPr>
              <w:t>设急需物资</w:t>
            </w:r>
            <w:r>
              <w:rPr>
                <w:spacing w:val="3"/>
              </w:rPr>
              <w:t xml:space="preserve"> </w:t>
            </w:r>
            <w:r>
              <w:rPr>
                <w:spacing w:val="15"/>
              </w:rPr>
              <w:t>作业的行政</w:t>
            </w:r>
            <w:r>
              <w:rPr>
                <w:spacing w:val="3"/>
              </w:rPr>
              <w:t xml:space="preserve"> </w:t>
            </w:r>
            <w:r>
              <w:rPr>
                <w:spacing w:val="-2"/>
              </w:rPr>
              <w:t>处罚</w:t>
            </w:r>
          </w:p>
        </w:tc>
        <w:tc>
          <w:tcPr>
            <w:tcW w:w="1100" w:type="dxa"/>
            <w:vAlign w:val="top"/>
          </w:tcPr>
          <w:p w14:paraId="55E6AA0D">
            <w:pPr>
              <w:spacing w:line="287" w:lineRule="auto"/>
              <w:rPr>
                <w:rFonts w:ascii="Arial"/>
                <w:sz w:val="21"/>
              </w:rPr>
            </w:pPr>
          </w:p>
          <w:p w14:paraId="4591CE5E">
            <w:pPr>
              <w:spacing w:line="287" w:lineRule="auto"/>
              <w:rPr>
                <w:rFonts w:ascii="Arial"/>
                <w:sz w:val="21"/>
              </w:rPr>
            </w:pPr>
          </w:p>
          <w:p w14:paraId="35DCD933">
            <w:pPr>
              <w:spacing w:line="287" w:lineRule="auto"/>
              <w:rPr>
                <w:rFonts w:ascii="Arial"/>
                <w:sz w:val="21"/>
              </w:rPr>
            </w:pPr>
          </w:p>
          <w:p w14:paraId="42A3ED71">
            <w:pPr>
              <w:spacing w:line="287" w:lineRule="auto"/>
              <w:rPr>
                <w:rFonts w:ascii="Arial"/>
                <w:sz w:val="21"/>
              </w:rPr>
            </w:pPr>
          </w:p>
          <w:p w14:paraId="2C0850DB">
            <w:pPr>
              <w:pStyle w:val="8"/>
              <w:spacing w:before="59" w:line="220" w:lineRule="auto"/>
              <w:ind w:left="112"/>
            </w:pPr>
            <w:r>
              <w:rPr>
                <w:spacing w:val="-2"/>
              </w:rPr>
              <w:t>行政处罚</w:t>
            </w:r>
          </w:p>
        </w:tc>
        <w:tc>
          <w:tcPr>
            <w:tcW w:w="8508" w:type="dxa"/>
            <w:vAlign w:val="top"/>
          </w:tcPr>
          <w:p w14:paraId="3DC8676F">
            <w:pPr>
              <w:pStyle w:val="8"/>
              <w:spacing w:before="261" w:line="219" w:lineRule="auto"/>
              <w:ind w:left="484"/>
            </w:pPr>
            <w:r>
              <w:rPr>
                <w:b/>
                <w:bCs/>
                <w:spacing w:val="-4"/>
              </w:rPr>
              <w:t>1.《中华人民共和国港口法》</w:t>
            </w:r>
          </w:p>
          <w:p w14:paraId="41D670F2">
            <w:pPr>
              <w:pStyle w:val="8"/>
              <w:spacing w:before="26" w:line="219" w:lineRule="auto"/>
              <w:ind w:left="471"/>
            </w:pPr>
            <w:r>
              <w:rPr>
                <w:spacing w:val="-1"/>
              </w:rPr>
              <w:t>第二十七条  港口经营人应当优先安排抢险物资、救灾物资和国防建设急需物资的作业。</w:t>
            </w:r>
          </w:p>
          <w:p w14:paraId="130B711C">
            <w:pPr>
              <w:pStyle w:val="8"/>
              <w:spacing w:before="25" w:line="233" w:lineRule="auto"/>
              <w:ind w:left="113" w:right="114" w:firstLine="357"/>
            </w:pPr>
            <w:r>
              <w:t>第五十条  港口经营人不优先安排抢险物资、救灾物资、国防建设急需物资的作业的，由港</w:t>
            </w:r>
            <w:r>
              <w:rPr>
                <w:spacing w:val="-1"/>
              </w:rPr>
              <w:t>口行政管</w:t>
            </w:r>
            <w:r>
              <w:t xml:space="preserve"> </w:t>
            </w:r>
            <w:r>
              <w:rPr>
                <w:spacing w:val="-2"/>
              </w:rPr>
              <w:t>理部门责令改正；造成严重后果的，吊销港口经营许可证。</w:t>
            </w:r>
          </w:p>
          <w:p w14:paraId="25BAC4E8">
            <w:pPr>
              <w:pStyle w:val="8"/>
              <w:spacing w:before="26" w:line="219" w:lineRule="auto"/>
              <w:ind w:left="473"/>
            </w:pPr>
            <w:r>
              <w:rPr>
                <w:b/>
                <w:bCs/>
                <w:spacing w:val="-3"/>
              </w:rPr>
              <w:t>2.《港口经营管理规定》（交通运输部令</w:t>
            </w:r>
            <w:r>
              <w:rPr>
                <w:spacing w:val="-35"/>
              </w:rPr>
              <w:t xml:space="preserve"> </w:t>
            </w:r>
            <w:r>
              <w:rPr>
                <w:b/>
                <w:bCs/>
                <w:spacing w:val="-3"/>
              </w:rPr>
              <w:t>2020</w:t>
            </w:r>
            <w:r>
              <w:rPr>
                <w:spacing w:val="-38"/>
              </w:rPr>
              <w:t xml:space="preserve"> </w:t>
            </w:r>
            <w:r>
              <w:rPr>
                <w:b/>
                <w:bCs/>
                <w:spacing w:val="-3"/>
              </w:rPr>
              <w:t>年第</w:t>
            </w:r>
            <w:r>
              <w:rPr>
                <w:spacing w:val="-35"/>
              </w:rPr>
              <w:t xml:space="preserve"> </w:t>
            </w:r>
            <w:r>
              <w:rPr>
                <w:b/>
                <w:bCs/>
                <w:spacing w:val="-3"/>
              </w:rPr>
              <w:t>21</w:t>
            </w:r>
            <w:r>
              <w:rPr>
                <w:spacing w:val="-34"/>
              </w:rPr>
              <w:t xml:space="preserve"> </w:t>
            </w:r>
            <w:r>
              <w:rPr>
                <w:b/>
                <w:bCs/>
                <w:spacing w:val="-4"/>
              </w:rPr>
              <w:t>号）</w:t>
            </w:r>
          </w:p>
          <w:p w14:paraId="610319DF">
            <w:pPr>
              <w:pStyle w:val="8"/>
              <w:spacing w:before="27" w:line="233" w:lineRule="auto"/>
              <w:ind w:left="111" w:right="104" w:firstLine="360"/>
            </w:pPr>
            <w:r>
              <w:t>第二十六条  第一款港口经营人应当优先安排突发事件处置、关系国计民生紧急运输和国防建设急需</w:t>
            </w:r>
            <w:r>
              <w:rPr>
                <w:spacing w:val="6"/>
              </w:rPr>
              <w:t xml:space="preserve"> </w:t>
            </w:r>
            <w:r>
              <w:rPr>
                <w:spacing w:val="-3"/>
              </w:rPr>
              <w:t>物资及人员的港口作业。</w:t>
            </w:r>
          </w:p>
          <w:p w14:paraId="6EFFE624">
            <w:pPr>
              <w:pStyle w:val="8"/>
              <w:spacing w:before="24" w:line="233" w:lineRule="auto"/>
              <w:ind w:left="115" w:right="112" w:firstLine="355"/>
            </w:pPr>
            <w:r>
              <w:t>第四十三条  港口经营人不优先安排抢险物资、救灾物资、国防建设急需物资的作业的，由港口</w:t>
            </w:r>
            <w:r>
              <w:rPr>
                <w:spacing w:val="-1"/>
              </w:rPr>
              <w:t>行政</w:t>
            </w:r>
            <w:r>
              <w:t xml:space="preserve"> </w:t>
            </w:r>
            <w:r>
              <w:rPr>
                <w:spacing w:val="-1"/>
              </w:rPr>
              <w:t>管理部门责令改正；造成严重后果的，吊销《港口经营许可证》，并以适当方式向社会公布。</w:t>
            </w:r>
          </w:p>
        </w:tc>
        <w:tc>
          <w:tcPr>
            <w:tcW w:w="1010" w:type="dxa"/>
            <w:vAlign w:val="top"/>
          </w:tcPr>
          <w:p w14:paraId="01518E7B">
            <w:pPr>
              <w:spacing w:line="259" w:lineRule="auto"/>
              <w:rPr>
                <w:rFonts w:ascii="Arial"/>
                <w:sz w:val="21"/>
              </w:rPr>
            </w:pPr>
          </w:p>
          <w:p w14:paraId="1EA67C9F">
            <w:pPr>
              <w:spacing w:line="259" w:lineRule="auto"/>
              <w:rPr>
                <w:rFonts w:ascii="Arial"/>
                <w:sz w:val="21"/>
              </w:rPr>
            </w:pPr>
          </w:p>
          <w:p w14:paraId="32A04EB4">
            <w:pPr>
              <w:spacing w:line="259" w:lineRule="auto"/>
              <w:rPr>
                <w:rFonts w:ascii="Arial"/>
                <w:sz w:val="21"/>
              </w:rPr>
            </w:pPr>
          </w:p>
          <w:p w14:paraId="6AB09ECE">
            <w:pPr>
              <w:spacing w:line="259" w:lineRule="auto"/>
              <w:rPr>
                <w:rFonts w:ascii="Arial"/>
                <w:sz w:val="21"/>
              </w:rPr>
            </w:pPr>
          </w:p>
          <w:p w14:paraId="06421402">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69288853">
            <w:pPr>
              <w:spacing w:line="305" w:lineRule="auto"/>
              <w:rPr>
                <w:rFonts w:ascii="Arial"/>
                <w:sz w:val="21"/>
              </w:rPr>
            </w:pPr>
          </w:p>
          <w:p w14:paraId="390F2DC8">
            <w:pPr>
              <w:pStyle w:val="8"/>
              <w:spacing w:before="59" w:line="234" w:lineRule="auto"/>
              <w:ind w:left="530" w:right="104" w:hanging="413"/>
              <w:rPr>
                <w:rFonts w:hint="eastAsia"/>
                <w:spacing w:val="-12"/>
                <w:lang w:eastAsia="zh-CN"/>
              </w:rPr>
            </w:pPr>
          </w:p>
          <w:p w14:paraId="73A53E10">
            <w:pPr>
              <w:pStyle w:val="8"/>
              <w:spacing w:before="59" w:line="234" w:lineRule="auto"/>
              <w:ind w:left="530" w:right="104" w:hanging="413"/>
              <w:rPr>
                <w:rFonts w:hint="eastAsia"/>
                <w:spacing w:val="-12"/>
                <w:lang w:eastAsia="zh-CN"/>
              </w:rPr>
            </w:pPr>
          </w:p>
          <w:p w14:paraId="5E3E41CA">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4" w:type="dxa"/>
            <w:vAlign w:val="top"/>
          </w:tcPr>
          <w:p w14:paraId="07CBEDD8">
            <w:pPr>
              <w:spacing w:line="305" w:lineRule="auto"/>
              <w:rPr>
                <w:rFonts w:ascii="Arial"/>
                <w:sz w:val="21"/>
              </w:rPr>
            </w:pPr>
          </w:p>
          <w:p w14:paraId="63DE51F6">
            <w:pPr>
              <w:spacing w:line="306" w:lineRule="auto"/>
              <w:rPr>
                <w:rFonts w:ascii="Arial"/>
                <w:sz w:val="21"/>
              </w:rPr>
            </w:pPr>
          </w:p>
          <w:p w14:paraId="7191750F">
            <w:pPr>
              <w:spacing w:line="306" w:lineRule="auto"/>
              <w:rPr>
                <w:rFonts w:ascii="Arial"/>
                <w:sz w:val="21"/>
              </w:rPr>
            </w:pPr>
          </w:p>
          <w:p w14:paraId="3621F780">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209C3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8" w:hRule="atLeast"/>
        </w:trPr>
        <w:tc>
          <w:tcPr>
            <w:tcW w:w="622" w:type="dxa"/>
            <w:vAlign w:val="top"/>
          </w:tcPr>
          <w:p w14:paraId="4711E424">
            <w:pPr>
              <w:rPr>
                <w:rFonts w:ascii="Arial"/>
                <w:sz w:val="21"/>
              </w:rPr>
            </w:pPr>
          </w:p>
          <w:p w14:paraId="037CE528">
            <w:pPr>
              <w:rPr>
                <w:rFonts w:ascii="Arial"/>
                <w:sz w:val="21"/>
              </w:rPr>
            </w:pPr>
          </w:p>
          <w:p w14:paraId="02D4CA26">
            <w:pPr>
              <w:rPr>
                <w:rFonts w:ascii="Arial"/>
                <w:sz w:val="21"/>
              </w:rPr>
            </w:pPr>
          </w:p>
          <w:p w14:paraId="41726FCA">
            <w:pPr>
              <w:rPr>
                <w:rFonts w:ascii="Arial"/>
                <w:sz w:val="21"/>
              </w:rPr>
            </w:pPr>
          </w:p>
          <w:p w14:paraId="096B7E69">
            <w:pPr>
              <w:rPr>
                <w:rFonts w:ascii="Arial"/>
                <w:sz w:val="21"/>
              </w:rPr>
            </w:pPr>
          </w:p>
          <w:p w14:paraId="64A01FC2">
            <w:pPr>
              <w:rPr>
                <w:rFonts w:ascii="Arial"/>
                <w:sz w:val="21"/>
              </w:rPr>
            </w:pPr>
          </w:p>
          <w:p w14:paraId="31A6B11C">
            <w:pPr>
              <w:rPr>
                <w:rFonts w:ascii="Arial"/>
                <w:sz w:val="21"/>
              </w:rPr>
            </w:pPr>
          </w:p>
          <w:p w14:paraId="29AB5A7D">
            <w:pPr>
              <w:rPr>
                <w:rFonts w:ascii="Arial"/>
                <w:sz w:val="21"/>
              </w:rPr>
            </w:pPr>
          </w:p>
          <w:p w14:paraId="61F057D8">
            <w:pPr>
              <w:spacing w:line="241" w:lineRule="auto"/>
              <w:rPr>
                <w:rFonts w:ascii="Arial"/>
                <w:sz w:val="21"/>
              </w:rPr>
            </w:pPr>
          </w:p>
          <w:p w14:paraId="4BC2C91F">
            <w:pPr>
              <w:spacing w:line="241" w:lineRule="auto"/>
              <w:rPr>
                <w:rFonts w:ascii="Arial"/>
                <w:sz w:val="21"/>
              </w:rPr>
            </w:pPr>
          </w:p>
          <w:p w14:paraId="6715FBBD">
            <w:pPr>
              <w:pStyle w:val="8"/>
              <w:spacing w:before="58" w:line="182" w:lineRule="auto"/>
              <w:ind w:left="275"/>
            </w:pPr>
            <w:r>
              <w:t>5</w:t>
            </w:r>
          </w:p>
        </w:tc>
        <w:tc>
          <w:tcPr>
            <w:tcW w:w="1100" w:type="dxa"/>
            <w:vAlign w:val="top"/>
          </w:tcPr>
          <w:p w14:paraId="69212BD4">
            <w:pPr>
              <w:spacing w:line="277" w:lineRule="auto"/>
              <w:rPr>
                <w:rFonts w:ascii="Arial"/>
                <w:sz w:val="21"/>
              </w:rPr>
            </w:pPr>
          </w:p>
          <w:p w14:paraId="173D6F16">
            <w:pPr>
              <w:spacing w:line="277" w:lineRule="auto"/>
              <w:rPr>
                <w:rFonts w:ascii="Arial"/>
                <w:sz w:val="21"/>
              </w:rPr>
            </w:pPr>
          </w:p>
          <w:p w14:paraId="55762B59">
            <w:pPr>
              <w:spacing w:line="277" w:lineRule="auto"/>
              <w:rPr>
                <w:rFonts w:ascii="Arial"/>
                <w:sz w:val="21"/>
              </w:rPr>
            </w:pPr>
          </w:p>
          <w:p w14:paraId="0E8405E1">
            <w:pPr>
              <w:spacing w:line="277" w:lineRule="auto"/>
              <w:rPr>
                <w:rFonts w:ascii="Arial"/>
                <w:sz w:val="21"/>
              </w:rPr>
            </w:pPr>
          </w:p>
          <w:p w14:paraId="685B91DD">
            <w:pPr>
              <w:spacing w:line="278" w:lineRule="auto"/>
              <w:rPr>
                <w:rFonts w:ascii="Arial"/>
                <w:sz w:val="21"/>
              </w:rPr>
            </w:pPr>
          </w:p>
          <w:p w14:paraId="6927981D">
            <w:pPr>
              <w:spacing w:line="278" w:lineRule="auto"/>
              <w:rPr>
                <w:rFonts w:ascii="Arial"/>
                <w:sz w:val="21"/>
              </w:rPr>
            </w:pPr>
          </w:p>
          <w:p w14:paraId="31C81ABD">
            <w:pPr>
              <w:pStyle w:val="8"/>
              <w:spacing w:before="58" w:line="243" w:lineRule="auto"/>
              <w:ind w:left="61" w:right="55" w:hanging="2"/>
              <w:jc w:val="both"/>
            </w:pPr>
            <w:r>
              <w:rPr>
                <w:spacing w:val="16"/>
              </w:rPr>
              <w:t>对港口经营</w:t>
            </w:r>
            <w:r>
              <w:t xml:space="preserve"> </w:t>
            </w:r>
            <w:r>
              <w:rPr>
                <w:spacing w:val="15"/>
              </w:rPr>
              <w:t>人、港口理</w:t>
            </w:r>
            <w:r>
              <w:rPr>
                <w:spacing w:val="1"/>
              </w:rPr>
              <w:t xml:space="preserve"> </w:t>
            </w:r>
            <w:r>
              <w:rPr>
                <w:spacing w:val="15"/>
              </w:rPr>
              <w:t>货业务经营</w:t>
            </w:r>
            <w:r>
              <w:rPr>
                <w:spacing w:val="1"/>
              </w:rPr>
              <w:t xml:space="preserve"> </w:t>
            </w:r>
            <w:r>
              <w:rPr>
                <w:spacing w:val="15"/>
              </w:rPr>
              <w:t>人违反安全</w:t>
            </w:r>
            <w:r>
              <w:rPr>
                <w:spacing w:val="1"/>
              </w:rPr>
              <w:t xml:space="preserve"> </w:t>
            </w:r>
            <w:r>
              <w:rPr>
                <w:spacing w:val="15"/>
              </w:rPr>
              <w:t>生产规定行</w:t>
            </w:r>
            <w:r>
              <w:rPr>
                <w:spacing w:val="1"/>
              </w:rPr>
              <w:t xml:space="preserve"> </w:t>
            </w:r>
            <w:r>
              <w:rPr>
                <w:spacing w:val="15"/>
              </w:rPr>
              <w:t>为的行政处</w:t>
            </w:r>
            <w:r>
              <w:rPr>
                <w:spacing w:val="1"/>
              </w:rPr>
              <w:t xml:space="preserve"> </w:t>
            </w:r>
            <w:r>
              <w:t>罚</w:t>
            </w:r>
          </w:p>
        </w:tc>
        <w:tc>
          <w:tcPr>
            <w:tcW w:w="1100" w:type="dxa"/>
            <w:vAlign w:val="top"/>
          </w:tcPr>
          <w:p w14:paraId="636371AB">
            <w:pPr>
              <w:spacing w:line="263" w:lineRule="auto"/>
              <w:rPr>
                <w:rFonts w:ascii="Arial"/>
                <w:sz w:val="21"/>
              </w:rPr>
            </w:pPr>
          </w:p>
          <w:p w14:paraId="3B4B6D1D">
            <w:pPr>
              <w:spacing w:line="263" w:lineRule="auto"/>
              <w:rPr>
                <w:rFonts w:ascii="Arial"/>
                <w:sz w:val="21"/>
              </w:rPr>
            </w:pPr>
          </w:p>
          <w:p w14:paraId="670BD36A">
            <w:pPr>
              <w:spacing w:line="263" w:lineRule="auto"/>
              <w:rPr>
                <w:rFonts w:ascii="Arial"/>
                <w:sz w:val="21"/>
              </w:rPr>
            </w:pPr>
          </w:p>
          <w:p w14:paraId="62E1E85B">
            <w:pPr>
              <w:spacing w:line="263" w:lineRule="auto"/>
              <w:rPr>
                <w:rFonts w:ascii="Arial"/>
                <w:sz w:val="21"/>
              </w:rPr>
            </w:pPr>
          </w:p>
          <w:p w14:paraId="32617D8D">
            <w:pPr>
              <w:spacing w:line="263" w:lineRule="auto"/>
              <w:rPr>
                <w:rFonts w:ascii="Arial"/>
                <w:sz w:val="21"/>
              </w:rPr>
            </w:pPr>
          </w:p>
          <w:p w14:paraId="1E4CFCC9">
            <w:pPr>
              <w:spacing w:line="263" w:lineRule="auto"/>
              <w:rPr>
                <w:rFonts w:ascii="Arial"/>
                <w:sz w:val="21"/>
              </w:rPr>
            </w:pPr>
          </w:p>
          <w:p w14:paraId="75081139">
            <w:pPr>
              <w:spacing w:line="264" w:lineRule="auto"/>
              <w:rPr>
                <w:rFonts w:ascii="Arial"/>
                <w:sz w:val="21"/>
              </w:rPr>
            </w:pPr>
          </w:p>
          <w:p w14:paraId="748F7B67">
            <w:pPr>
              <w:spacing w:line="264" w:lineRule="auto"/>
              <w:rPr>
                <w:rFonts w:ascii="Arial"/>
                <w:sz w:val="21"/>
              </w:rPr>
            </w:pPr>
          </w:p>
          <w:p w14:paraId="4DA24379">
            <w:pPr>
              <w:spacing w:line="264" w:lineRule="auto"/>
              <w:rPr>
                <w:rFonts w:ascii="Arial"/>
                <w:sz w:val="21"/>
              </w:rPr>
            </w:pPr>
          </w:p>
          <w:p w14:paraId="6B23C107">
            <w:pPr>
              <w:pStyle w:val="8"/>
              <w:spacing w:before="59" w:line="220" w:lineRule="auto"/>
              <w:ind w:left="112"/>
            </w:pPr>
            <w:r>
              <w:rPr>
                <w:spacing w:val="-2"/>
              </w:rPr>
              <w:t>行政处罚</w:t>
            </w:r>
          </w:p>
        </w:tc>
        <w:tc>
          <w:tcPr>
            <w:tcW w:w="8508" w:type="dxa"/>
            <w:vAlign w:val="top"/>
          </w:tcPr>
          <w:p w14:paraId="52E47E05">
            <w:pPr>
              <w:pStyle w:val="8"/>
              <w:spacing w:before="245" w:line="219" w:lineRule="auto"/>
              <w:ind w:left="484"/>
            </w:pPr>
            <w:r>
              <w:rPr>
                <w:b/>
                <w:bCs/>
                <w:spacing w:val="-4"/>
              </w:rPr>
              <w:t>1.《中华人民共和国港口法》</w:t>
            </w:r>
          </w:p>
          <w:p w14:paraId="6EEFAD6C">
            <w:pPr>
              <w:pStyle w:val="8"/>
              <w:spacing w:before="7" w:line="223" w:lineRule="auto"/>
              <w:ind w:left="111" w:right="104" w:firstLine="360"/>
              <w:jc w:val="both"/>
            </w:pPr>
            <w:r>
              <w:t>第三十二条  港口经营人必须依照《中华人民共和国安全生产法》等有关法律、法规和国务院交通主</w:t>
            </w:r>
            <w:r>
              <w:rPr>
                <w:spacing w:val="6"/>
              </w:rPr>
              <w:t xml:space="preserve"> </w:t>
            </w:r>
            <w:r>
              <w:t>管部门有关港口安全作业规则的规定，加强安全生产管理，建立健全安全生产责任制等规章制度，完善安</w:t>
            </w:r>
            <w:r>
              <w:rPr>
                <w:spacing w:val="6"/>
              </w:rPr>
              <w:t xml:space="preserve"> </w:t>
            </w:r>
            <w:r>
              <w:rPr>
                <w:spacing w:val="-1"/>
              </w:rPr>
              <w:t>全生产条件，采取保障安全生产的有效措施，确</w:t>
            </w:r>
            <w:r>
              <w:rPr>
                <w:spacing w:val="-2"/>
              </w:rPr>
              <w:t>保安全生产。</w:t>
            </w:r>
          </w:p>
          <w:p w14:paraId="304029FE">
            <w:pPr>
              <w:pStyle w:val="8"/>
              <w:spacing w:before="7" w:line="223" w:lineRule="auto"/>
              <w:ind w:left="112" w:right="104" w:firstLine="357"/>
            </w:pPr>
            <w:r>
              <w:t>港口经营人应当依法制定本单位的危险货物事故应急预案、重大生产安全事故的旅客紧急疏散和救援</w:t>
            </w:r>
            <w:r>
              <w:rPr>
                <w:spacing w:val="7"/>
              </w:rPr>
              <w:t xml:space="preserve"> </w:t>
            </w:r>
            <w:r>
              <w:rPr>
                <w:spacing w:val="-2"/>
              </w:rPr>
              <w:t>预案以及预防自然灾害预案，保障组织实施。</w:t>
            </w:r>
          </w:p>
          <w:p w14:paraId="55969361">
            <w:pPr>
              <w:pStyle w:val="8"/>
              <w:spacing w:before="4" w:line="224" w:lineRule="auto"/>
              <w:ind w:left="112" w:right="104" w:firstLine="358"/>
              <w:jc w:val="both"/>
            </w:pPr>
            <w:r>
              <w:t>第五十二条  港口经营人违反本法第三十二条关于安全生产的规定的，由港口行政管理部门或者其他</w:t>
            </w:r>
            <w:r>
              <w:rPr>
                <w:spacing w:val="6"/>
              </w:rPr>
              <w:t xml:space="preserve"> </w:t>
            </w:r>
            <w:r>
              <w:t>依法负有安全生产监督管理职责的部门依法给予处罚；情节严重的，由港口行政管理部门吊销港口经营许</w:t>
            </w:r>
            <w:r>
              <w:rPr>
                <w:spacing w:val="4"/>
              </w:rPr>
              <w:t xml:space="preserve"> </w:t>
            </w:r>
            <w:r>
              <w:rPr>
                <w:spacing w:val="-1"/>
              </w:rPr>
              <w:t>可证，并对其主要负责人依法给予处分；构成犯罪的，依法追究刑事责</w:t>
            </w:r>
            <w:r>
              <w:rPr>
                <w:spacing w:val="-2"/>
              </w:rPr>
              <w:t>任。</w:t>
            </w:r>
          </w:p>
          <w:p w14:paraId="7B4B385E">
            <w:pPr>
              <w:pStyle w:val="8"/>
              <w:spacing w:before="4" w:line="219" w:lineRule="auto"/>
              <w:ind w:left="473"/>
            </w:pPr>
            <w:r>
              <w:rPr>
                <w:b/>
                <w:bCs/>
                <w:spacing w:val="-3"/>
              </w:rPr>
              <w:t>2.《港口经营管理规定》（交通运输部令</w:t>
            </w:r>
            <w:r>
              <w:rPr>
                <w:spacing w:val="-35"/>
              </w:rPr>
              <w:t xml:space="preserve"> </w:t>
            </w:r>
            <w:r>
              <w:rPr>
                <w:b/>
                <w:bCs/>
                <w:spacing w:val="-3"/>
              </w:rPr>
              <w:t>2020</w:t>
            </w:r>
            <w:r>
              <w:rPr>
                <w:spacing w:val="-38"/>
              </w:rPr>
              <w:t xml:space="preserve"> </w:t>
            </w:r>
            <w:r>
              <w:rPr>
                <w:b/>
                <w:bCs/>
                <w:spacing w:val="-3"/>
              </w:rPr>
              <w:t>年第</w:t>
            </w:r>
            <w:r>
              <w:rPr>
                <w:spacing w:val="-35"/>
              </w:rPr>
              <w:t xml:space="preserve"> </w:t>
            </w:r>
            <w:r>
              <w:rPr>
                <w:b/>
                <w:bCs/>
                <w:spacing w:val="-3"/>
              </w:rPr>
              <w:t>21</w:t>
            </w:r>
            <w:r>
              <w:rPr>
                <w:spacing w:val="-34"/>
              </w:rPr>
              <w:t xml:space="preserve"> </w:t>
            </w:r>
            <w:r>
              <w:rPr>
                <w:b/>
                <w:bCs/>
                <w:spacing w:val="-4"/>
              </w:rPr>
              <w:t>号）</w:t>
            </w:r>
          </w:p>
          <w:p w14:paraId="5587D312">
            <w:pPr>
              <w:pStyle w:val="8"/>
              <w:spacing w:before="7" w:line="224" w:lineRule="auto"/>
              <w:ind w:left="111" w:right="104" w:firstLine="359"/>
              <w:jc w:val="both"/>
            </w:pPr>
            <w:r>
              <w:t>第二十一条第一款  港口经营人、港口理货业务经营人应当建立健全安全生产责任制和安全生产规章</w:t>
            </w:r>
            <w:r>
              <w:rPr>
                <w:spacing w:val="6"/>
              </w:rPr>
              <w:t xml:space="preserve"> </w:t>
            </w:r>
            <w:r>
              <w:t>制度，推进安全生产标准化建设，依法提取和使用安全生产费用，完善安全生产条件，建立实施安全风险</w:t>
            </w:r>
            <w:r>
              <w:rPr>
                <w:spacing w:val="5"/>
              </w:rPr>
              <w:t xml:space="preserve"> </w:t>
            </w:r>
            <w:r>
              <w:t>分级管控和隐患排查治理制度，并严格落实治理措施；对从业人员进行安全生产教育、培训并如实记录相</w:t>
            </w:r>
            <w:r>
              <w:rPr>
                <w:spacing w:val="5"/>
              </w:rPr>
              <w:t xml:space="preserve"> </w:t>
            </w:r>
            <w:r>
              <w:rPr>
                <w:spacing w:val="-3"/>
              </w:rPr>
              <w:t>关情况，确保安全生产。</w:t>
            </w:r>
          </w:p>
          <w:p w14:paraId="0ADF5186">
            <w:pPr>
              <w:pStyle w:val="8"/>
              <w:spacing w:before="8" w:line="223" w:lineRule="auto"/>
              <w:ind w:left="111" w:right="44" w:firstLine="359"/>
            </w:pPr>
            <w:r>
              <w:rPr>
                <w:spacing w:val="-2"/>
              </w:rPr>
              <w:t>第二十九条第一款  港口经营人、港口理货业务经营</w:t>
            </w:r>
            <w:r>
              <w:rPr>
                <w:spacing w:val="-3"/>
              </w:rPr>
              <w:t>人应当依法制定本单位的危险货物事故应急预案、</w:t>
            </w:r>
            <w:r>
              <w:t xml:space="preserve"> 重大生产安全事故的旅客紧急疏散和救援预案以及预防自然灾害预案，按照国家有关规定落实配备应急物</w:t>
            </w:r>
            <w:r>
              <w:rPr>
                <w:spacing w:val="5"/>
              </w:rPr>
              <w:t xml:space="preserve"> </w:t>
            </w:r>
            <w:r>
              <w:rPr>
                <w:spacing w:val="-1"/>
              </w:rPr>
              <w:t>资、定期开展应急培训和演练、修订相关预案等组</w:t>
            </w:r>
            <w:r>
              <w:rPr>
                <w:spacing w:val="-2"/>
              </w:rPr>
              <w:t>织保障措施。</w:t>
            </w:r>
          </w:p>
          <w:p w14:paraId="473822E3">
            <w:pPr>
              <w:pStyle w:val="8"/>
              <w:spacing w:before="7" w:line="224" w:lineRule="auto"/>
              <w:ind w:left="111" w:right="104" w:firstLine="359"/>
            </w:pPr>
            <w:r>
              <w:t>第四十四条  港口经营人、港口理货业务经营人违反本规定第二十一条第一款、第二十九条第一款关</w:t>
            </w:r>
            <w:r>
              <w:rPr>
                <w:spacing w:val="6"/>
              </w:rPr>
              <w:t xml:space="preserve"> </w:t>
            </w:r>
            <w:r>
              <w:t>于安全生产规定的，由港口行政管理部门或者其他依法负有安全生产监督管理职责的部门依法给予处罚；</w:t>
            </w:r>
            <w:r>
              <w:rPr>
                <w:spacing w:val="3"/>
              </w:rPr>
              <w:t xml:space="preserve"> </w:t>
            </w:r>
            <w:r>
              <w:t>情节严重的，由港口行政管理部门吊销《港口经营许可证》（</w:t>
            </w:r>
            <w:r>
              <w:rPr>
                <w:spacing w:val="-1"/>
              </w:rPr>
              <w:t>港口理货业务经营人除外</w:t>
            </w:r>
            <w:r>
              <w:rPr>
                <w:spacing w:val="11"/>
              </w:rPr>
              <w:t>）；</w:t>
            </w:r>
            <w:r>
              <w:rPr>
                <w:spacing w:val="-1"/>
              </w:rPr>
              <w:t>构成犯罪的，</w:t>
            </w:r>
            <w:r>
              <w:t xml:space="preserve"> </w:t>
            </w:r>
            <w:r>
              <w:rPr>
                <w:spacing w:val="-4"/>
              </w:rPr>
              <w:t>依法追究刑事责任。</w:t>
            </w:r>
          </w:p>
        </w:tc>
        <w:tc>
          <w:tcPr>
            <w:tcW w:w="1010" w:type="dxa"/>
            <w:vAlign w:val="top"/>
          </w:tcPr>
          <w:p w14:paraId="61D14512">
            <w:pPr>
              <w:spacing w:line="251" w:lineRule="auto"/>
              <w:rPr>
                <w:rFonts w:ascii="Arial"/>
                <w:sz w:val="21"/>
              </w:rPr>
            </w:pPr>
          </w:p>
          <w:p w14:paraId="60C1507C">
            <w:pPr>
              <w:spacing w:line="251" w:lineRule="auto"/>
              <w:rPr>
                <w:rFonts w:ascii="Arial"/>
                <w:sz w:val="21"/>
              </w:rPr>
            </w:pPr>
          </w:p>
          <w:p w14:paraId="30B618B2">
            <w:pPr>
              <w:spacing w:line="251" w:lineRule="auto"/>
              <w:rPr>
                <w:rFonts w:ascii="Arial"/>
                <w:sz w:val="21"/>
              </w:rPr>
            </w:pPr>
          </w:p>
          <w:p w14:paraId="1558F0A9">
            <w:pPr>
              <w:spacing w:line="251" w:lineRule="auto"/>
              <w:rPr>
                <w:rFonts w:ascii="Arial"/>
                <w:sz w:val="21"/>
              </w:rPr>
            </w:pPr>
          </w:p>
          <w:p w14:paraId="790B3CF0">
            <w:pPr>
              <w:spacing w:line="251" w:lineRule="auto"/>
              <w:rPr>
                <w:rFonts w:ascii="Arial"/>
                <w:sz w:val="21"/>
              </w:rPr>
            </w:pPr>
          </w:p>
          <w:p w14:paraId="6084278B">
            <w:pPr>
              <w:spacing w:line="251" w:lineRule="auto"/>
              <w:rPr>
                <w:rFonts w:ascii="Arial"/>
                <w:sz w:val="21"/>
              </w:rPr>
            </w:pPr>
          </w:p>
          <w:p w14:paraId="599934CA">
            <w:pPr>
              <w:spacing w:line="251" w:lineRule="auto"/>
              <w:rPr>
                <w:rFonts w:ascii="Arial"/>
                <w:sz w:val="21"/>
              </w:rPr>
            </w:pPr>
          </w:p>
          <w:p w14:paraId="0157D3FC">
            <w:pPr>
              <w:spacing w:line="251" w:lineRule="auto"/>
              <w:rPr>
                <w:rFonts w:ascii="Arial"/>
                <w:sz w:val="21"/>
              </w:rPr>
            </w:pPr>
          </w:p>
          <w:p w14:paraId="6AA7CDA9">
            <w:pPr>
              <w:spacing w:line="252" w:lineRule="auto"/>
              <w:rPr>
                <w:rFonts w:ascii="Arial"/>
                <w:sz w:val="21"/>
              </w:rPr>
            </w:pPr>
          </w:p>
          <w:p w14:paraId="28AC25F9">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275598D7">
            <w:pPr>
              <w:spacing w:line="267" w:lineRule="auto"/>
              <w:rPr>
                <w:rFonts w:ascii="Arial"/>
                <w:sz w:val="21"/>
              </w:rPr>
            </w:pPr>
          </w:p>
          <w:p w14:paraId="02E92B61">
            <w:pPr>
              <w:spacing w:line="267" w:lineRule="auto"/>
              <w:rPr>
                <w:rFonts w:ascii="Arial"/>
                <w:sz w:val="21"/>
              </w:rPr>
            </w:pPr>
          </w:p>
          <w:p w14:paraId="6995DBC2">
            <w:pPr>
              <w:spacing w:line="267" w:lineRule="auto"/>
              <w:rPr>
                <w:rFonts w:ascii="Arial"/>
                <w:sz w:val="21"/>
              </w:rPr>
            </w:pPr>
          </w:p>
          <w:p w14:paraId="565C7A2E">
            <w:pPr>
              <w:spacing w:line="268" w:lineRule="auto"/>
              <w:rPr>
                <w:rFonts w:ascii="Arial"/>
                <w:sz w:val="21"/>
              </w:rPr>
            </w:pPr>
          </w:p>
          <w:p w14:paraId="02E5FDD3">
            <w:pPr>
              <w:spacing w:line="268" w:lineRule="auto"/>
              <w:rPr>
                <w:rFonts w:ascii="Arial"/>
                <w:sz w:val="21"/>
              </w:rPr>
            </w:pPr>
          </w:p>
          <w:p w14:paraId="5C8CB955">
            <w:pPr>
              <w:spacing w:line="268" w:lineRule="auto"/>
              <w:rPr>
                <w:rFonts w:ascii="Arial"/>
                <w:sz w:val="21"/>
              </w:rPr>
            </w:pPr>
          </w:p>
          <w:p w14:paraId="65DC09B3">
            <w:pPr>
              <w:pStyle w:val="8"/>
              <w:spacing w:before="59" w:line="234" w:lineRule="auto"/>
              <w:ind w:left="530" w:right="104" w:hanging="413"/>
              <w:rPr>
                <w:rFonts w:hint="eastAsia"/>
                <w:spacing w:val="-12"/>
                <w:lang w:eastAsia="zh-CN"/>
              </w:rPr>
            </w:pPr>
          </w:p>
          <w:p w14:paraId="204F0021">
            <w:pPr>
              <w:pStyle w:val="8"/>
              <w:spacing w:before="59" w:line="234" w:lineRule="auto"/>
              <w:ind w:left="530" w:right="104" w:hanging="413"/>
              <w:rPr>
                <w:rFonts w:hint="eastAsia"/>
                <w:spacing w:val="-12"/>
                <w:lang w:eastAsia="zh-CN"/>
              </w:rPr>
            </w:pPr>
          </w:p>
          <w:p w14:paraId="666BB40E">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4" w:type="dxa"/>
            <w:vAlign w:val="top"/>
          </w:tcPr>
          <w:p w14:paraId="3AA3E763">
            <w:pPr>
              <w:spacing w:line="267" w:lineRule="auto"/>
              <w:rPr>
                <w:rFonts w:ascii="Arial"/>
                <w:sz w:val="21"/>
              </w:rPr>
            </w:pPr>
          </w:p>
          <w:p w14:paraId="556EE051">
            <w:pPr>
              <w:spacing w:line="267" w:lineRule="auto"/>
              <w:rPr>
                <w:rFonts w:ascii="Arial"/>
                <w:sz w:val="21"/>
              </w:rPr>
            </w:pPr>
          </w:p>
          <w:p w14:paraId="39E6CE4D">
            <w:pPr>
              <w:spacing w:line="267" w:lineRule="auto"/>
              <w:rPr>
                <w:rFonts w:ascii="Arial"/>
                <w:sz w:val="21"/>
              </w:rPr>
            </w:pPr>
          </w:p>
          <w:p w14:paraId="673C924C">
            <w:pPr>
              <w:spacing w:line="268" w:lineRule="auto"/>
              <w:rPr>
                <w:rFonts w:ascii="Arial"/>
                <w:sz w:val="21"/>
              </w:rPr>
            </w:pPr>
          </w:p>
          <w:p w14:paraId="69D0E57D">
            <w:pPr>
              <w:spacing w:line="268" w:lineRule="auto"/>
              <w:rPr>
                <w:rFonts w:ascii="Arial"/>
                <w:sz w:val="21"/>
              </w:rPr>
            </w:pPr>
          </w:p>
          <w:p w14:paraId="2B7C4573">
            <w:pPr>
              <w:spacing w:line="268" w:lineRule="auto"/>
              <w:rPr>
                <w:rFonts w:ascii="Arial"/>
                <w:sz w:val="21"/>
              </w:rPr>
            </w:pPr>
          </w:p>
          <w:p w14:paraId="757DDF4A">
            <w:pPr>
              <w:spacing w:line="268" w:lineRule="auto"/>
              <w:rPr>
                <w:rFonts w:ascii="Arial"/>
                <w:sz w:val="21"/>
              </w:rPr>
            </w:pPr>
          </w:p>
          <w:p w14:paraId="73485973">
            <w:pPr>
              <w:spacing w:line="268" w:lineRule="auto"/>
              <w:rPr>
                <w:rFonts w:ascii="Arial"/>
                <w:sz w:val="21"/>
              </w:rPr>
            </w:pPr>
          </w:p>
          <w:p w14:paraId="597DE967">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31D19320">
      <w:pPr>
        <w:pStyle w:val="2"/>
      </w:pPr>
    </w:p>
    <w:p w14:paraId="4E1DCB3F">
      <w:pPr>
        <w:sectPr>
          <w:footerReference r:id="rId129" w:type="default"/>
          <w:pgSz w:w="16839" w:h="11906"/>
          <w:pgMar w:top="1012" w:right="1034" w:bottom="967" w:left="1043" w:header="0" w:footer="768" w:gutter="0"/>
          <w:cols w:space="720" w:num="1"/>
        </w:sectPr>
      </w:pPr>
    </w:p>
    <w:p w14:paraId="0CCC16F0">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080D7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2" w:type="dxa"/>
            <w:vMerge w:val="restart"/>
            <w:tcBorders>
              <w:bottom w:val="nil"/>
            </w:tcBorders>
            <w:vAlign w:val="top"/>
          </w:tcPr>
          <w:p w14:paraId="2A31D14B">
            <w:pPr>
              <w:pStyle w:val="8"/>
              <w:spacing w:before="259" w:line="221" w:lineRule="auto"/>
              <w:ind w:left="134"/>
            </w:pPr>
            <w:r>
              <w:rPr>
                <w:b/>
                <w:bCs/>
                <w:spacing w:val="-4"/>
              </w:rPr>
              <w:t>序号</w:t>
            </w:r>
          </w:p>
        </w:tc>
        <w:tc>
          <w:tcPr>
            <w:tcW w:w="1100" w:type="dxa"/>
            <w:vMerge w:val="restart"/>
            <w:tcBorders>
              <w:bottom w:val="nil"/>
            </w:tcBorders>
            <w:vAlign w:val="top"/>
          </w:tcPr>
          <w:p w14:paraId="1DEE49DC">
            <w:pPr>
              <w:pStyle w:val="8"/>
              <w:spacing w:before="260" w:line="220" w:lineRule="auto"/>
              <w:ind w:left="189"/>
            </w:pPr>
            <w:r>
              <w:rPr>
                <w:b/>
                <w:bCs/>
                <w:spacing w:val="-4"/>
              </w:rPr>
              <w:t>事项名称</w:t>
            </w:r>
          </w:p>
        </w:tc>
        <w:tc>
          <w:tcPr>
            <w:tcW w:w="1100" w:type="dxa"/>
            <w:vMerge w:val="restart"/>
            <w:tcBorders>
              <w:bottom w:val="nil"/>
            </w:tcBorders>
            <w:vAlign w:val="top"/>
          </w:tcPr>
          <w:p w14:paraId="3A6B1C00">
            <w:pPr>
              <w:pStyle w:val="8"/>
              <w:spacing w:before="260" w:line="219" w:lineRule="auto"/>
              <w:ind w:left="191"/>
            </w:pPr>
            <w:r>
              <w:rPr>
                <w:b/>
                <w:bCs/>
                <w:spacing w:val="-4"/>
              </w:rPr>
              <w:t>职权类型</w:t>
            </w:r>
          </w:p>
        </w:tc>
        <w:tc>
          <w:tcPr>
            <w:tcW w:w="8508" w:type="dxa"/>
            <w:vMerge w:val="restart"/>
            <w:tcBorders>
              <w:bottom w:val="nil"/>
            </w:tcBorders>
            <w:vAlign w:val="top"/>
          </w:tcPr>
          <w:p w14:paraId="4A9B4534">
            <w:pPr>
              <w:pStyle w:val="8"/>
              <w:spacing w:before="259" w:line="219" w:lineRule="auto"/>
              <w:ind w:left="3900"/>
            </w:pPr>
            <w:r>
              <w:rPr>
                <w:b/>
                <w:bCs/>
                <w:spacing w:val="-5"/>
              </w:rPr>
              <w:t>实施依据</w:t>
            </w:r>
          </w:p>
        </w:tc>
        <w:tc>
          <w:tcPr>
            <w:tcW w:w="3425" w:type="dxa"/>
            <w:gridSpan w:val="3"/>
            <w:vAlign w:val="top"/>
          </w:tcPr>
          <w:p w14:paraId="13088260">
            <w:pPr>
              <w:pStyle w:val="8"/>
              <w:spacing w:before="85" w:line="220" w:lineRule="auto"/>
              <w:ind w:left="1358"/>
            </w:pPr>
            <w:r>
              <w:rPr>
                <w:b/>
                <w:bCs/>
                <w:spacing w:val="-5"/>
              </w:rPr>
              <w:t>实施主体</w:t>
            </w:r>
          </w:p>
        </w:tc>
      </w:tr>
      <w:tr w14:paraId="3D34E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76AD80DF">
            <w:pPr>
              <w:rPr>
                <w:rFonts w:ascii="Arial"/>
                <w:sz w:val="21"/>
              </w:rPr>
            </w:pPr>
          </w:p>
        </w:tc>
        <w:tc>
          <w:tcPr>
            <w:tcW w:w="1100" w:type="dxa"/>
            <w:vMerge w:val="continue"/>
            <w:tcBorders>
              <w:top w:val="nil"/>
            </w:tcBorders>
            <w:vAlign w:val="top"/>
          </w:tcPr>
          <w:p w14:paraId="1F4660C4">
            <w:pPr>
              <w:rPr>
                <w:rFonts w:ascii="Arial"/>
                <w:sz w:val="21"/>
              </w:rPr>
            </w:pPr>
          </w:p>
        </w:tc>
        <w:tc>
          <w:tcPr>
            <w:tcW w:w="1100" w:type="dxa"/>
            <w:vMerge w:val="continue"/>
            <w:tcBorders>
              <w:top w:val="nil"/>
            </w:tcBorders>
            <w:vAlign w:val="top"/>
          </w:tcPr>
          <w:p w14:paraId="51DDB92C">
            <w:pPr>
              <w:rPr>
                <w:rFonts w:ascii="Arial"/>
                <w:sz w:val="21"/>
              </w:rPr>
            </w:pPr>
          </w:p>
        </w:tc>
        <w:tc>
          <w:tcPr>
            <w:tcW w:w="8508" w:type="dxa"/>
            <w:vMerge w:val="continue"/>
            <w:tcBorders>
              <w:top w:val="nil"/>
            </w:tcBorders>
            <w:vAlign w:val="top"/>
          </w:tcPr>
          <w:p w14:paraId="2D477988">
            <w:pPr>
              <w:rPr>
                <w:rFonts w:ascii="Arial"/>
                <w:sz w:val="21"/>
              </w:rPr>
            </w:pPr>
          </w:p>
        </w:tc>
        <w:tc>
          <w:tcPr>
            <w:tcW w:w="1010" w:type="dxa"/>
            <w:vAlign w:val="top"/>
          </w:tcPr>
          <w:p w14:paraId="57E45101">
            <w:pPr>
              <w:pStyle w:val="8"/>
              <w:spacing w:before="80" w:line="219" w:lineRule="auto"/>
              <w:ind w:left="155"/>
            </w:pPr>
            <w:r>
              <w:rPr>
                <w:b/>
                <w:bCs/>
                <w:spacing w:val="-5"/>
              </w:rPr>
              <w:t>责任部门</w:t>
            </w:r>
          </w:p>
        </w:tc>
        <w:tc>
          <w:tcPr>
            <w:tcW w:w="1401" w:type="dxa"/>
            <w:vAlign w:val="top"/>
          </w:tcPr>
          <w:p w14:paraId="5D69ED6F">
            <w:pPr>
              <w:pStyle w:val="8"/>
              <w:spacing w:before="80" w:line="219" w:lineRule="auto"/>
              <w:ind w:left="164"/>
            </w:pPr>
            <w:r>
              <w:rPr>
                <w:b/>
                <w:bCs/>
                <w:spacing w:val="-3"/>
              </w:rPr>
              <w:t>第一责任层级</w:t>
            </w:r>
          </w:p>
        </w:tc>
        <w:tc>
          <w:tcPr>
            <w:tcW w:w="1014" w:type="dxa"/>
            <w:vAlign w:val="top"/>
          </w:tcPr>
          <w:p w14:paraId="2899B76D">
            <w:pPr>
              <w:pStyle w:val="8"/>
              <w:spacing w:before="80" w:line="219" w:lineRule="auto"/>
              <w:ind w:left="150"/>
            </w:pPr>
            <w:r>
              <w:rPr>
                <w:b/>
                <w:bCs/>
                <w:spacing w:val="-4"/>
              </w:rPr>
              <w:t>承办机构</w:t>
            </w:r>
          </w:p>
        </w:tc>
      </w:tr>
      <w:tr w14:paraId="4F809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622" w:type="dxa"/>
            <w:vAlign w:val="top"/>
          </w:tcPr>
          <w:p w14:paraId="31834FFB">
            <w:pPr>
              <w:spacing w:line="286" w:lineRule="auto"/>
              <w:rPr>
                <w:rFonts w:ascii="Arial"/>
                <w:sz w:val="21"/>
              </w:rPr>
            </w:pPr>
          </w:p>
          <w:p w14:paraId="38D19AA7">
            <w:pPr>
              <w:spacing w:line="286" w:lineRule="auto"/>
              <w:rPr>
                <w:rFonts w:ascii="Arial"/>
                <w:sz w:val="21"/>
              </w:rPr>
            </w:pPr>
          </w:p>
          <w:p w14:paraId="3FC69974">
            <w:pPr>
              <w:spacing w:line="286" w:lineRule="auto"/>
              <w:rPr>
                <w:rFonts w:ascii="Arial"/>
                <w:sz w:val="21"/>
              </w:rPr>
            </w:pPr>
          </w:p>
          <w:p w14:paraId="15546075">
            <w:pPr>
              <w:spacing w:line="286" w:lineRule="auto"/>
              <w:rPr>
                <w:rFonts w:ascii="Arial"/>
                <w:sz w:val="21"/>
              </w:rPr>
            </w:pPr>
          </w:p>
          <w:p w14:paraId="02738EED">
            <w:pPr>
              <w:spacing w:line="287" w:lineRule="auto"/>
              <w:rPr>
                <w:rFonts w:ascii="Arial"/>
                <w:sz w:val="21"/>
              </w:rPr>
            </w:pPr>
          </w:p>
          <w:p w14:paraId="00B99F05">
            <w:pPr>
              <w:pStyle w:val="8"/>
              <w:spacing w:before="59" w:line="183" w:lineRule="auto"/>
              <w:ind w:left="273"/>
            </w:pPr>
            <w:r>
              <w:t>6</w:t>
            </w:r>
          </w:p>
        </w:tc>
        <w:tc>
          <w:tcPr>
            <w:tcW w:w="1100" w:type="dxa"/>
            <w:vAlign w:val="top"/>
          </w:tcPr>
          <w:p w14:paraId="1CC9B88F">
            <w:pPr>
              <w:spacing w:line="262" w:lineRule="auto"/>
              <w:rPr>
                <w:rFonts w:ascii="Arial"/>
                <w:sz w:val="21"/>
              </w:rPr>
            </w:pPr>
          </w:p>
          <w:p w14:paraId="24497F51">
            <w:pPr>
              <w:spacing w:line="263" w:lineRule="auto"/>
              <w:rPr>
                <w:rFonts w:ascii="Arial"/>
                <w:sz w:val="21"/>
              </w:rPr>
            </w:pPr>
          </w:p>
          <w:p w14:paraId="3EED9FA4">
            <w:pPr>
              <w:spacing w:line="263" w:lineRule="auto"/>
              <w:rPr>
                <w:rFonts w:ascii="Arial"/>
                <w:sz w:val="21"/>
              </w:rPr>
            </w:pPr>
          </w:p>
          <w:p w14:paraId="58266488">
            <w:pPr>
              <w:spacing w:line="263" w:lineRule="auto"/>
              <w:rPr>
                <w:rFonts w:ascii="Arial"/>
                <w:sz w:val="21"/>
              </w:rPr>
            </w:pPr>
          </w:p>
          <w:p w14:paraId="46A238C4">
            <w:pPr>
              <w:pStyle w:val="8"/>
              <w:spacing w:before="58"/>
              <w:ind w:left="61" w:right="55" w:hanging="2"/>
              <w:jc w:val="both"/>
            </w:pPr>
            <w:r>
              <w:rPr>
                <w:spacing w:val="16"/>
              </w:rPr>
              <w:t>对擅自从事</w:t>
            </w:r>
            <w:r>
              <w:t xml:space="preserve"> </w:t>
            </w:r>
            <w:r>
              <w:rPr>
                <w:spacing w:val="15"/>
              </w:rPr>
              <w:t>危险货物港</w:t>
            </w:r>
            <w:r>
              <w:rPr>
                <w:spacing w:val="1"/>
              </w:rPr>
              <w:t xml:space="preserve"> </w:t>
            </w:r>
            <w:r>
              <w:rPr>
                <w:spacing w:val="15"/>
              </w:rPr>
              <w:t>口作业行为</w:t>
            </w:r>
            <w:r>
              <w:rPr>
                <w:spacing w:val="1"/>
              </w:rPr>
              <w:t xml:space="preserve"> </w:t>
            </w:r>
            <w:r>
              <w:rPr>
                <w:spacing w:val="-2"/>
              </w:rPr>
              <w:t>的行政处罚</w:t>
            </w:r>
          </w:p>
        </w:tc>
        <w:tc>
          <w:tcPr>
            <w:tcW w:w="1100" w:type="dxa"/>
            <w:vAlign w:val="top"/>
          </w:tcPr>
          <w:p w14:paraId="7C4FE84C">
            <w:pPr>
              <w:spacing w:line="280" w:lineRule="auto"/>
              <w:rPr>
                <w:rFonts w:ascii="Arial"/>
                <w:sz w:val="21"/>
              </w:rPr>
            </w:pPr>
          </w:p>
          <w:p w14:paraId="76DF2853">
            <w:pPr>
              <w:spacing w:line="280" w:lineRule="auto"/>
              <w:rPr>
                <w:rFonts w:ascii="Arial"/>
                <w:sz w:val="21"/>
              </w:rPr>
            </w:pPr>
          </w:p>
          <w:p w14:paraId="25E53CAC">
            <w:pPr>
              <w:spacing w:line="281" w:lineRule="auto"/>
              <w:rPr>
                <w:rFonts w:ascii="Arial"/>
                <w:sz w:val="21"/>
              </w:rPr>
            </w:pPr>
          </w:p>
          <w:p w14:paraId="4043C0E6">
            <w:pPr>
              <w:spacing w:line="281" w:lineRule="auto"/>
              <w:rPr>
                <w:rFonts w:ascii="Arial"/>
                <w:sz w:val="21"/>
              </w:rPr>
            </w:pPr>
          </w:p>
          <w:p w14:paraId="1124E3C1">
            <w:pPr>
              <w:spacing w:line="281" w:lineRule="auto"/>
              <w:rPr>
                <w:rFonts w:ascii="Arial"/>
                <w:sz w:val="21"/>
              </w:rPr>
            </w:pPr>
          </w:p>
          <w:p w14:paraId="125C23BA">
            <w:pPr>
              <w:pStyle w:val="8"/>
              <w:spacing w:before="58" w:line="220" w:lineRule="auto"/>
              <w:ind w:left="112"/>
            </w:pPr>
            <w:r>
              <w:rPr>
                <w:spacing w:val="-2"/>
              </w:rPr>
              <w:t>行政处罚</w:t>
            </w:r>
          </w:p>
        </w:tc>
        <w:tc>
          <w:tcPr>
            <w:tcW w:w="8508" w:type="dxa"/>
            <w:vAlign w:val="top"/>
          </w:tcPr>
          <w:p w14:paraId="30B8B781">
            <w:pPr>
              <w:pStyle w:val="8"/>
              <w:spacing w:before="37" w:line="219" w:lineRule="auto"/>
              <w:ind w:left="484"/>
            </w:pPr>
            <w:r>
              <w:rPr>
                <w:b/>
                <w:bCs/>
                <w:spacing w:val="-4"/>
              </w:rPr>
              <w:t>1.《中华人民共和国港口法》</w:t>
            </w:r>
          </w:p>
          <w:p w14:paraId="2215FACE">
            <w:pPr>
              <w:pStyle w:val="8"/>
              <w:spacing w:before="26" w:line="239" w:lineRule="auto"/>
              <w:ind w:left="113" w:right="104" w:firstLine="357"/>
              <w:jc w:val="both"/>
            </w:pPr>
            <w:r>
              <w:t>第三十四条第二款  船舶载运危险货物进出港口，应当按照国务院交通主管部门的规定将危险货物的</w:t>
            </w:r>
            <w:r>
              <w:rPr>
                <w:spacing w:val="6"/>
              </w:rPr>
              <w:t xml:space="preserve"> </w:t>
            </w:r>
            <w:r>
              <w:t>名称、特性、包装和进出港口的时间报告海事管理机构。海事管理机构接到报告后，应当在国务院交通主</w:t>
            </w:r>
            <w:r>
              <w:rPr>
                <w:spacing w:val="4"/>
              </w:rPr>
              <w:t xml:space="preserve"> </w:t>
            </w:r>
            <w:r>
              <w:t>管部门规定的时间内作出是否同意的决定，通知报告人，并通报港口行政管理部门。但是，定船舶、定航</w:t>
            </w:r>
            <w:r>
              <w:rPr>
                <w:spacing w:val="4"/>
              </w:rPr>
              <w:t xml:space="preserve"> </w:t>
            </w:r>
            <w:r>
              <w:rPr>
                <w:spacing w:val="-3"/>
              </w:rPr>
              <w:t>线、定货种的船舶可以定期报告。</w:t>
            </w:r>
          </w:p>
          <w:p w14:paraId="275264A0">
            <w:pPr>
              <w:pStyle w:val="8"/>
              <w:spacing w:before="26" w:line="237" w:lineRule="auto"/>
              <w:ind w:left="115" w:right="104" w:firstLine="355"/>
              <w:jc w:val="both"/>
            </w:pPr>
            <w:r>
              <w:t>第三十五条  在港口内进行危险货物的装卸、过驳作业，应当按照国务院交通主管部门的规定将危险</w:t>
            </w:r>
            <w:r>
              <w:rPr>
                <w:spacing w:val="6"/>
              </w:rPr>
              <w:t xml:space="preserve"> </w:t>
            </w:r>
            <w:r>
              <w:t>货物的名称、特性、包装和作业的时间、地点报告港口行政管理部门。港口行政管理部门接到报告后，应</w:t>
            </w:r>
            <w:r>
              <w:rPr>
                <w:spacing w:val="2"/>
              </w:rPr>
              <w:t xml:space="preserve"> </w:t>
            </w:r>
            <w:r>
              <w:rPr>
                <w:spacing w:val="-1"/>
              </w:rPr>
              <w:t>当在国务院交通主管部门规定的时间内作出是否同意的决定，通知报告人，并通报海事管理机构。</w:t>
            </w:r>
          </w:p>
          <w:p w14:paraId="03A6A874">
            <w:pPr>
              <w:pStyle w:val="8"/>
              <w:spacing w:before="26" w:line="233" w:lineRule="auto"/>
              <w:ind w:left="125" w:right="104" w:firstLine="345"/>
            </w:pPr>
            <w:r>
              <w:t>第五十四条  未依法向港口行政管理部门报告并经其同意，在港口内进行危险货物的装卸、过驳作业</w:t>
            </w:r>
            <w:r>
              <w:rPr>
                <w:spacing w:val="6"/>
              </w:rPr>
              <w:t xml:space="preserve"> </w:t>
            </w:r>
            <w:r>
              <w:rPr>
                <w:spacing w:val="-2"/>
              </w:rPr>
              <w:t>的，由港口行政管理部门责令停止作业，处五千元以上五万元以下罚款。</w:t>
            </w:r>
          </w:p>
          <w:p w14:paraId="2E08E83B">
            <w:pPr>
              <w:pStyle w:val="8"/>
              <w:spacing w:before="26"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12AD8A71">
            <w:pPr>
              <w:pStyle w:val="8"/>
              <w:spacing w:before="28" w:line="223" w:lineRule="auto"/>
              <w:ind w:left="131" w:right="104" w:firstLine="339"/>
            </w:pPr>
            <w:r>
              <w:t>第八十三条  未按照本规定报告并经同意进行危险货物装卸、过驳作业的，由所在地港口行政管理部</w:t>
            </w:r>
            <w:r>
              <w:rPr>
                <w:spacing w:val="6"/>
              </w:rPr>
              <w:t xml:space="preserve"> </w:t>
            </w:r>
            <w:r>
              <w:rPr>
                <w:spacing w:val="-3"/>
              </w:rPr>
              <w:t>门责令改正，并处五千元以上五万元以下的罚款。</w:t>
            </w:r>
          </w:p>
        </w:tc>
        <w:tc>
          <w:tcPr>
            <w:tcW w:w="1010" w:type="dxa"/>
            <w:vAlign w:val="top"/>
          </w:tcPr>
          <w:p w14:paraId="792F0C07">
            <w:pPr>
              <w:spacing w:line="258" w:lineRule="auto"/>
              <w:rPr>
                <w:rFonts w:ascii="Arial"/>
                <w:sz w:val="21"/>
              </w:rPr>
            </w:pPr>
          </w:p>
          <w:p w14:paraId="6978A592">
            <w:pPr>
              <w:spacing w:line="258" w:lineRule="auto"/>
              <w:rPr>
                <w:rFonts w:ascii="Arial"/>
                <w:sz w:val="21"/>
              </w:rPr>
            </w:pPr>
          </w:p>
          <w:p w14:paraId="04DEB403">
            <w:pPr>
              <w:spacing w:line="258" w:lineRule="auto"/>
              <w:rPr>
                <w:rFonts w:ascii="Arial"/>
                <w:sz w:val="21"/>
              </w:rPr>
            </w:pPr>
          </w:p>
          <w:p w14:paraId="48F297D1">
            <w:pPr>
              <w:spacing w:line="258" w:lineRule="auto"/>
              <w:rPr>
                <w:rFonts w:ascii="Arial"/>
                <w:sz w:val="21"/>
              </w:rPr>
            </w:pPr>
          </w:p>
          <w:p w14:paraId="2FCAC26C">
            <w:pPr>
              <w:spacing w:line="258" w:lineRule="auto"/>
              <w:rPr>
                <w:rFonts w:ascii="Arial"/>
                <w:sz w:val="21"/>
              </w:rPr>
            </w:pPr>
          </w:p>
          <w:p w14:paraId="738270A5">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76C211CD">
            <w:pPr>
              <w:pStyle w:val="8"/>
              <w:spacing w:before="59" w:line="234" w:lineRule="auto"/>
              <w:ind w:left="530" w:right="104" w:hanging="413"/>
              <w:rPr>
                <w:rFonts w:hint="eastAsia"/>
                <w:spacing w:val="-12"/>
                <w:lang w:eastAsia="zh-CN"/>
              </w:rPr>
            </w:pPr>
          </w:p>
          <w:p w14:paraId="1C48C701">
            <w:pPr>
              <w:pStyle w:val="8"/>
              <w:spacing w:before="59" w:line="234" w:lineRule="auto"/>
              <w:ind w:left="530" w:right="104" w:hanging="413"/>
              <w:rPr>
                <w:rFonts w:hint="eastAsia"/>
                <w:spacing w:val="-12"/>
                <w:lang w:eastAsia="zh-CN"/>
              </w:rPr>
            </w:pPr>
          </w:p>
          <w:p w14:paraId="51373A20">
            <w:pPr>
              <w:pStyle w:val="8"/>
              <w:spacing w:before="59" w:line="234" w:lineRule="auto"/>
              <w:ind w:left="530" w:right="104" w:hanging="413"/>
              <w:rPr>
                <w:rFonts w:hint="eastAsia"/>
                <w:spacing w:val="-12"/>
                <w:lang w:eastAsia="zh-CN"/>
              </w:rPr>
            </w:pPr>
          </w:p>
          <w:p w14:paraId="28B0BF53">
            <w:pPr>
              <w:pStyle w:val="8"/>
              <w:spacing w:before="59" w:line="234" w:lineRule="auto"/>
              <w:ind w:left="530" w:right="104" w:hanging="413"/>
              <w:rPr>
                <w:rFonts w:hint="eastAsia"/>
                <w:spacing w:val="-12"/>
                <w:lang w:eastAsia="zh-CN"/>
              </w:rPr>
            </w:pPr>
          </w:p>
          <w:p w14:paraId="79787F64">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4DEDD8E8">
            <w:pPr>
              <w:spacing w:line="292" w:lineRule="auto"/>
              <w:rPr>
                <w:rFonts w:ascii="Arial"/>
                <w:sz w:val="21"/>
              </w:rPr>
            </w:pPr>
          </w:p>
          <w:p w14:paraId="6307F757">
            <w:pPr>
              <w:spacing w:line="293" w:lineRule="auto"/>
              <w:rPr>
                <w:rFonts w:ascii="Arial"/>
                <w:sz w:val="21"/>
              </w:rPr>
            </w:pPr>
          </w:p>
          <w:p w14:paraId="34E7EA87">
            <w:pPr>
              <w:spacing w:line="293" w:lineRule="auto"/>
              <w:rPr>
                <w:rFonts w:ascii="Arial"/>
                <w:sz w:val="21"/>
              </w:rPr>
            </w:pPr>
          </w:p>
          <w:p w14:paraId="28A6EB1C">
            <w:pPr>
              <w:spacing w:line="293" w:lineRule="auto"/>
              <w:rPr>
                <w:rFonts w:ascii="Arial"/>
                <w:sz w:val="21"/>
              </w:rPr>
            </w:pPr>
          </w:p>
          <w:p w14:paraId="2A4495B4">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4B248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2" w:type="dxa"/>
            <w:vAlign w:val="top"/>
          </w:tcPr>
          <w:p w14:paraId="5F9855E5">
            <w:pPr>
              <w:spacing w:line="241" w:lineRule="auto"/>
              <w:rPr>
                <w:rFonts w:ascii="Arial"/>
                <w:sz w:val="21"/>
              </w:rPr>
            </w:pPr>
          </w:p>
          <w:p w14:paraId="419EC477">
            <w:pPr>
              <w:spacing w:line="241" w:lineRule="auto"/>
              <w:rPr>
                <w:rFonts w:ascii="Arial"/>
                <w:sz w:val="21"/>
              </w:rPr>
            </w:pPr>
          </w:p>
          <w:p w14:paraId="6A963806">
            <w:pPr>
              <w:pStyle w:val="8"/>
              <w:spacing w:before="58" w:line="182" w:lineRule="auto"/>
              <w:ind w:left="275"/>
            </w:pPr>
            <w:r>
              <w:t>7</w:t>
            </w:r>
          </w:p>
        </w:tc>
        <w:tc>
          <w:tcPr>
            <w:tcW w:w="1100" w:type="dxa"/>
            <w:vAlign w:val="top"/>
          </w:tcPr>
          <w:p w14:paraId="748438E8">
            <w:pPr>
              <w:pStyle w:val="8"/>
              <w:spacing w:before="38" w:line="237" w:lineRule="auto"/>
              <w:ind w:left="59" w:right="55"/>
              <w:jc w:val="both"/>
            </w:pPr>
            <w:r>
              <w:rPr>
                <w:spacing w:val="16"/>
              </w:rPr>
              <w:t>对在港口水</w:t>
            </w:r>
            <w:r>
              <w:t xml:space="preserve"> </w:t>
            </w:r>
            <w:r>
              <w:rPr>
                <w:spacing w:val="16"/>
              </w:rPr>
              <w:t>域内从事养</w:t>
            </w:r>
            <w:r>
              <w:t xml:space="preserve"> </w:t>
            </w:r>
            <w:r>
              <w:rPr>
                <w:spacing w:val="16"/>
              </w:rPr>
              <w:t>殖、种植活</w:t>
            </w:r>
            <w:r>
              <w:t xml:space="preserve"> </w:t>
            </w:r>
            <w:r>
              <w:rPr>
                <w:spacing w:val="16"/>
              </w:rPr>
              <w:t>动行为的行</w:t>
            </w:r>
            <w:r>
              <w:t xml:space="preserve"> </w:t>
            </w:r>
            <w:r>
              <w:rPr>
                <w:spacing w:val="-2"/>
              </w:rPr>
              <w:t>政处罚</w:t>
            </w:r>
          </w:p>
        </w:tc>
        <w:tc>
          <w:tcPr>
            <w:tcW w:w="1100" w:type="dxa"/>
            <w:vAlign w:val="top"/>
          </w:tcPr>
          <w:p w14:paraId="59F7BBC9">
            <w:pPr>
              <w:spacing w:line="450" w:lineRule="auto"/>
              <w:rPr>
                <w:rFonts w:ascii="Arial"/>
                <w:sz w:val="21"/>
              </w:rPr>
            </w:pPr>
          </w:p>
          <w:p w14:paraId="1B2C3D71">
            <w:pPr>
              <w:pStyle w:val="8"/>
              <w:spacing w:before="59" w:line="220" w:lineRule="auto"/>
              <w:ind w:left="112"/>
            </w:pPr>
            <w:r>
              <w:rPr>
                <w:spacing w:val="-2"/>
              </w:rPr>
              <w:t>行政处罚</w:t>
            </w:r>
          </w:p>
        </w:tc>
        <w:tc>
          <w:tcPr>
            <w:tcW w:w="8508" w:type="dxa"/>
            <w:vAlign w:val="top"/>
          </w:tcPr>
          <w:p w14:paraId="78DD1E83">
            <w:pPr>
              <w:pStyle w:val="8"/>
              <w:spacing w:before="159" w:line="219" w:lineRule="auto"/>
              <w:ind w:left="476"/>
            </w:pPr>
            <w:r>
              <w:rPr>
                <w:b/>
                <w:bCs/>
                <w:spacing w:val="-4"/>
              </w:rPr>
              <w:t>《中华人民共和国港口法》</w:t>
            </w:r>
          </w:p>
          <w:p w14:paraId="350C4DE3">
            <w:pPr>
              <w:pStyle w:val="8"/>
              <w:spacing w:before="26" w:line="219" w:lineRule="auto"/>
              <w:ind w:left="471"/>
            </w:pPr>
            <w:r>
              <w:rPr>
                <w:spacing w:val="-2"/>
              </w:rPr>
              <w:t>第三十七条第一款  禁止在港口水域内从事养殖、种植活动。</w:t>
            </w:r>
          </w:p>
          <w:p w14:paraId="781BF71E">
            <w:pPr>
              <w:pStyle w:val="8"/>
              <w:spacing w:before="25" w:line="233" w:lineRule="auto"/>
              <w:ind w:left="111" w:right="104" w:firstLine="359"/>
            </w:pPr>
            <w:r>
              <w:t>第五十五条  港口水域内从事养殖、种植活动的，由海事管理机构责令限期改正；逾期不改正的，强</w:t>
            </w:r>
            <w:r>
              <w:rPr>
                <w:spacing w:val="6"/>
              </w:rPr>
              <w:t xml:space="preserve"> </w:t>
            </w:r>
            <w:r>
              <w:rPr>
                <w:spacing w:val="-1"/>
              </w:rPr>
              <w:t>制拆除养殖、种植设施，拆除费用由违法行为人承担；可以处一万元以下罚款。</w:t>
            </w:r>
          </w:p>
        </w:tc>
        <w:tc>
          <w:tcPr>
            <w:tcW w:w="1010" w:type="dxa"/>
            <w:vAlign w:val="top"/>
          </w:tcPr>
          <w:p w14:paraId="2517199C">
            <w:pPr>
              <w:spacing w:line="338" w:lineRule="auto"/>
              <w:rPr>
                <w:rFonts w:ascii="Arial"/>
                <w:sz w:val="21"/>
              </w:rPr>
            </w:pPr>
          </w:p>
          <w:p w14:paraId="7DC43BE8">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3F5FBA82">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88275DD">
            <w:pPr>
              <w:pStyle w:val="8"/>
              <w:spacing w:before="27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2769D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622" w:type="dxa"/>
            <w:vAlign w:val="top"/>
          </w:tcPr>
          <w:p w14:paraId="18E344AD">
            <w:pPr>
              <w:spacing w:line="279" w:lineRule="auto"/>
              <w:rPr>
                <w:rFonts w:ascii="Arial"/>
                <w:sz w:val="21"/>
              </w:rPr>
            </w:pPr>
          </w:p>
          <w:p w14:paraId="068C6126">
            <w:pPr>
              <w:spacing w:line="280" w:lineRule="auto"/>
              <w:rPr>
                <w:rFonts w:ascii="Arial"/>
                <w:sz w:val="21"/>
              </w:rPr>
            </w:pPr>
          </w:p>
          <w:p w14:paraId="1250AC6A">
            <w:pPr>
              <w:spacing w:line="280" w:lineRule="auto"/>
              <w:rPr>
                <w:rFonts w:ascii="Arial"/>
                <w:sz w:val="21"/>
              </w:rPr>
            </w:pPr>
          </w:p>
          <w:p w14:paraId="4B401320">
            <w:pPr>
              <w:pStyle w:val="8"/>
              <w:spacing w:before="59" w:line="183" w:lineRule="auto"/>
              <w:ind w:left="272"/>
            </w:pPr>
            <w:r>
              <w:t>8</w:t>
            </w:r>
          </w:p>
        </w:tc>
        <w:tc>
          <w:tcPr>
            <w:tcW w:w="1100" w:type="dxa"/>
            <w:vAlign w:val="top"/>
          </w:tcPr>
          <w:p w14:paraId="4FE84E57">
            <w:pPr>
              <w:pStyle w:val="8"/>
              <w:spacing w:before="42"/>
              <w:ind w:left="59" w:right="55"/>
              <w:jc w:val="both"/>
            </w:pPr>
            <w:r>
              <w:rPr>
                <w:spacing w:val="16"/>
              </w:rPr>
              <w:t>对擅自在港</w:t>
            </w:r>
            <w:r>
              <w:t xml:space="preserve"> </w:t>
            </w:r>
            <w:r>
              <w:rPr>
                <w:spacing w:val="-8"/>
              </w:rPr>
              <w:t>口</w:t>
            </w:r>
            <w:r>
              <w:rPr>
                <w:spacing w:val="7"/>
              </w:rPr>
              <w:t xml:space="preserve"> </w:t>
            </w:r>
            <w:r>
              <w:rPr>
                <w:spacing w:val="-8"/>
              </w:rPr>
              <w:t>进</w:t>
            </w:r>
            <w:r>
              <w:rPr>
                <w:spacing w:val="8"/>
              </w:rPr>
              <w:t xml:space="preserve"> </w:t>
            </w:r>
            <w:r>
              <w:rPr>
                <w:spacing w:val="-8"/>
              </w:rPr>
              <w:t>行</w:t>
            </w:r>
            <w:r>
              <w:rPr>
                <w:spacing w:val="6"/>
              </w:rPr>
              <w:t xml:space="preserve"> </w:t>
            </w:r>
            <w:r>
              <w:rPr>
                <w:spacing w:val="-8"/>
              </w:rPr>
              <w:t>采</w:t>
            </w:r>
            <w:r>
              <w:t xml:space="preserve"> </w:t>
            </w:r>
            <w:r>
              <w:rPr>
                <w:spacing w:val="16"/>
              </w:rPr>
              <w:t>掘、爆破等</w:t>
            </w:r>
            <w:r>
              <w:t xml:space="preserve"> </w:t>
            </w:r>
            <w:r>
              <w:rPr>
                <w:spacing w:val="16"/>
              </w:rPr>
              <w:t>活动或向港</w:t>
            </w:r>
            <w:r>
              <w:t xml:space="preserve"> </w:t>
            </w:r>
            <w:r>
              <w:rPr>
                <w:spacing w:val="16"/>
              </w:rPr>
              <w:t>口水域倾倒</w:t>
            </w:r>
            <w:r>
              <w:t xml:space="preserve"> </w:t>
            </w:r>
            <w:r>
              <w:rPr>
                <w:spacing w:val="16"/>
              </w:rPr>
              <w:t>泥土、砂石</w:t>
            </w:r>
            <w:r>
              <w:t xml:space="preserve"> </w:t>
            </w:r>
            <w:r>
              <w:rPr>
                <w:spacing w:val="16"/>
              </w:rPr>
              <w:t>等行为的行</w:t>
            </w:r>
            <w:r>
              <w:t xml:space="preserve"> </w:t>
            </w:r>
            <w:r>
              <w:rPr>
                <w:spacing w:val="-2"/>
              </w:rPr>
              <w:t>政处罚</w:t>
            </w:r>
          </w:p>
        </w:tc>
        <w:tc>
          <w:tcPr>
            <w:tcW w:w="1100" w:type="dxa"/>
            <w:vAlign w:val="top"/>
          </w:tcPr>
          <w:p w14:paraId="0C232326">
            <w:pPr>
              <w:spacing w:line="269" w:lineRule="auto"/>
              <w:rPr>
                <w:rFonts w:ascii="Arial"/>
                <w:sz w:val="21"/>
              </w:rPr>
            </w:pPr>
          </w:p>
          <w:p w14:paraId="75DE7905">
            <w:pPr>
              <w:spacing w:line="270" w:lineRule="auto"/>
              <w:rPr>
                <w:rFonts w:ascii="Arial"/>
                <w:sz w:val="21"/>
              </w:rPr>
            </w:pPr>
          </w:p>
          <w:p w14:paraId="10FA78ED">
            <w:pPr>
              <w:spacing w:line="270" w:lineRule="auto"/>
              <w:rPr>
                <w:rFonts w:ascii="Arial"/>
                <w:sz w:val="21"/>
              </w:rPr>
            </w:pPr>
          </w:p>
          <w:p w14:paraId="12975D18">
            <w:pPr>
              <w:pStyle w:val="8"/>
              <w:spacing w:before="58" w:line="220" w:lineRule="auto"/>
              <w:ind w:left="112"/>
            </w:pPr>
            <w:r>
              <w:rPr>
                <w:spacing w:val="-2"/>
              </w:rPr>
              <w:t>行政处罚</w:t>
            </w:r>
          </w:p>
        </w:tc>
        <w:tc>
          <w:tcPr>
            <w:tcW w:w="8508" w:type="dxa"/>
            <w:vAlign w:val="top"/>
          </w:tcPr>
          <w:p w14:paraId="7D0F9FBF">
            <w:pPr>
              <w:spacing w:line="341" w:lineRule="auto"/>
              <w:rPr>
                <w:rFonts w:ascii="Arial"/>
                <w:sz w:val="21"/>
              </w:rPr>
            </w:pPr>
          </w:p>
          <w:p w14:paraId="694E1DE0">
            <w:pPr>
              <w:pStyle w:val="8"/>
              <w:spacing w:before="59" w:line="219" w:lineRule="auto"/>
              <w:ind w:left="476"/>
            </w:pPr>
            <w:r>
              <w:rPr>
                <w:b/>
                <w:bCs/>
                <w:spacing w:val="-4"/>
              </w:rPr>
              <w:t>《中华人民共和国港口法》</w:t>
            </w:r>
          </w:p>
          <w:p w14:paraId="57719DFB">
            <w:pPr>
              <w:pStyle w:val="8"/>
              <w:spacing w:before="27" w:line="239" w:lineRule="auto"/>
              <w:ind w:left="111" w:right="104" w:firstLine="360"/>
              <w:jc w:val="both"/>
            </w:pPr>
            <w:r>
              <w:t>第五十六条  未经依法批准在港口进行可能危及港口安全的采掘、爆破等活动的，向港口水域倾倒泥</w:t>
            </w:r>
            <w:r>
              <w:rPr>
                <w:spacing w:val="6"/>
              </w:rPr>
              <w:t xml:space="preserve"> </w:t>
            </w:r>
            <w:r>
              <w:t>土、砂石的，由港口行政管理部门责令停止违法行为，限期消除因此造成的安全隐患；逾期不消除的，强</w:t>
            </w:r>
            <w:r>
              <w:rPr>
                <w:spacing w:val="6"/>
              </w:rPr>
              <w:t xml:space="preserve"> </w:t>
            </w:r>
            <w:r>
              <w:t>制消除，因此发生的费用由违法行为人承担；处五千元以上五万元以下罚款；依照有关水上交通安全的法</w:t>
            </w:r>
            <w:r>
              <w:rPr>
                <w:spacing w:val="6"/>
              </w:rPr>
              <w:t xml:space="preserve"> </w:t>
            </w:r>
            <w:r>
              <w:rPr>
                <w:spacing w:val="-1"/>
              </w:rPr>
              <w:t>律、行政法规的规定由海事管理机构处罚的，依照其规定；构成犯罪的，依法追究刑事责任。</w:t>
            </w:r>
          </w:p>
        </w:tc>
        <w:tc>
          <w:tcPr>
            <w:tcW w:w="1010" w:type="dxa"/>
            <w:vAlign w:val="top"/>
          </w:tcPr>
          <w:p w14:paraId="4D9D591A">
            <w:pPr>
              <w:spacing w:line="349" w:lineRule="auto"/>
              <w:rPr>
                <w:rFonts w:ascii="Arial"/>
                <w:sz w:val="21"/>
              </w:rPr>
            </w:pPr>
          </w:p>
          <w:p w14:paraId="0D3329F3">
            <w:pPr>
              <w:spacing w:line="350" w:lineRule="auto"/>
              <w:rPr>
                <w:rFonts w:ascii="Arial"/>
                <w:sz w:val="21"/>
              </w:rPr>
            </w:pPr>
          </w:p>
          <w:p w14:paraId="29AA499F">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66FBBB06">
            <w:pPr>
              <w:pStyle w:val="8"/>
              <w:spacing w:before="59" w:line="234" w:lineRule="auto"/>
              <w:ind w:left="530" w:right="104" w:hanging="413"/>
              <w:rPr>
                <w:rFonts w:hint="eastAsia"/>
                <w:spacing w:val="-12"/>
                <w:lang w:eastAsia="zh-CN"/>
              </w:rPr>
            </w:pPr>
          </w:p>
          <w:p w14:paraId="6611B8F4">
            <w:pPr>
              <w:pStyle w:val="8"/>
              <w:spacing w:before="59" w:line="234" w:lineRule="auto"/>
              <w:ind w:left="530" w:right="104" w:hanging="413"/>
              <w:rPr>
                <w:rFonts w:hint="eastAsia"/>
                <w:spacing w:val="-12"/>
                <w:lang w:eastAsia="zh-CN"/>
              </w:rPr>
            </w:pPr>
          </w:p>
          <w:p w14:paraId="3832CABB">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563CDCC6">
            <w:pPr>
              <w:spacing w:line="290" w:lineRule="auto"/>
              <w:rPr>
                <w:rFonts w:ascii="Arial"/>
                <w:sz w:val="21"/>
              </w:rPr>
            </w:pPr>
          </w:p>
          <w:p w14:paraId="3BE555C8">
            <w:pPr>
              <w:spacing w:line="290" w:lineRule="auto"/>
              <w:rPr>
                <w:rFonts w:ascii="Arial"/>
                <w:sz w:val="21"/>
              </w:rPr>
            </w:pPr>
          </w:p>
          <w:p w14:paraId="49532DF4">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112ED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6" w:hRule="atLeast"/>
        </w:trPr>
        <w:tc>
          <w:tcPr>
            <w:tcW w:w="622" w:type="dxa"/>
            <w:vAlign w:val="top"/>
          </w:tcPr>
          <w:p w14:paraId="69698696">
            <w:pPr>
              <w:spacing w:line="299" w:lineRule="auto"/>
              <w:rPr>
                <w:rFonts w:ascii="Arial"/>
                <w:sz w:val="21"/>
              </w:rPr>
            </w:pPr>
          </w:p>
          <w:p w14:paraId="23597CC4">
            <w:pPr>
              <w:spacing w:line="299" w:lineRule="auto"/>
              <w:rPr>
                <w:rFonts w:ascii="Arial"/>
                <w:sz w:val="21"/>
              </w:rPr>
            </w:pPr>
          </w:p>
          <w:p w14:paraId="03170ACF">
            <w:pPr>
              <w:spacing w:line="300" w:lineRule="auto"/>
              <w:rPr>
                <w:rFonts w:ascii="Arial"/>
                <w:sz w:val="21"/>
              </w:rPr>
            </w:pPr>
          </w:p>
          <w:p w14:paraId="334B96C5">
            <w:pPr>
              <w:spacing w:line="300" w:lineRule="auto"/>
              <w:rPr>
                <w:rFonts w:ascii="Arial"/>
                <w:sz w:val="21"/>
              </w:rPr>
            </w:pPr>
          </w:p>
          <w:p w14:paraId="15F249BF">
            <w:pPr>
              <w:pStyle w:val="8"/>
              <w:spacing w:before="58" w:line="183" w:lineRule="auto"/>
              <w:ind w:left="272"/>
            </w:pPr>
            <w:r>
              <w:t>9</w:t>
            </w:r>
          </w:p>
        </w:tc>
        <w:tc>
          <w:tcPr>
            <w:tcW w:w="1100" w:type="dxa"/>
            <w:vAlign w:val="top"/>
          </w:tcPr>
          <w:p w14:paraId="09DBCF74">
            <w:pPr>
              <w:spacing w:line="464" w:lineRule="auto"/>
              <w:rPr>
                <w:rFonts w:ascii="Arial"/>
                <w:sz w:val="21"/>
              </w:rPr>
            </w:pPr>
          </w:p>
          <w:p w14:paraId="2A77E4EC">
            <w:pPr>
              <w:pStyle w:val="8"/>
              <w:spacing w:before="59" w:line="242" w:lineRule="auto"/>
              <w:ind w:left="58" w:right="55"/>
            </w:pPr>
            <w:r>
              <w:rPr>
                <w:spacing w:val="16"/>
              </w:rPr>
              <w:t>对港口经营</w:t>
            </w:r>
            <w:r>
              <w:t xml:space="preserve"> </w:t>
            </w:r>
            <w:r>
              <w:rPr>
                <w:spacing w:val="16"/>
              </w:rPr>
              <w:t>人在取得经</w:t>
            </w:r>
            <w:r>
              <w:t xml:space="preserve"> </w:t>
            </w:r>
            <w:r>
              <w:rPr>
                <w:spacing w:val="16"/>
              </w:rPr>
              <w:t>营许可后又</w:t>
            </w:r>
            <w:r>
              <w:t xml:space="preserve"> </w:t>
            </w:r>
            <w:r>
              <w:rPr>
                <w:spacing w:val="16"/>
              </w:rPr>
              <w:t>不符合经营</w:t>
            </w:r>
            <w:r>
              <w:t xml:space="preserve"> </w:t>
            </w:r>
            <w:r>
              <w:rPr>
                <w:spacing w:val="8"/>
              </w:rPr>
              <w:t>许可条件，</w:t>
            </w:r>
            <w:r>
              <w:t xml:space="preserve"> </w:t>
            </w:r>
            <w:r>
              <w:rPr>
                <w:spacing w:val="16"/>
              </w:rPr>
              <w:t>逾期不改正</w:t>
            </w:r>
            <w:r>
              <w:t xml:space="preserve"> </w:t>
            </w:r>
            <w:r>
              <w:rPr>
                <w:spacing w:val="-1"/>
              </w:rPr>
              <w:t>的行政处罚</w:t>
            </w:r>
          </w:p>
        </w:tc>
        <w:tc>
          <w:tcPr>
            <w:tcW w:w="1100" w:type="dxa"/>
            <w:vAlign w:val="top"/>
          </w:tcPr>
          <w:p w14:paraId="1B2F8F14">
            <w:pPr>
              <w:spacing w:line="291" w:lineRule="auto"/>
              <w:rPr>
                <w:rFonts w:ascii="Arial"/>
                <w:sz w:val="21"/>
              </w:rPr>
            </w:pPr>
          </w:p>
          <w:p w14:paraId="4DCB0AD3">
            <w:pPr>
              <w:spacing w:line="292" w:lineRule="auto"/>
              <w:rPr>
                <w:rFonts w:ascii="Arial"/>
                <w:sz w:val="21"/>
              </w:rPr>
            </w:pPr>
          </w:p>
          <w:p w14:paraId="52E81C65">
            <w:pPr>
              <w:spacing w:line="292" w:lineRule="auto"/>
              <w:rPr>
                <w:rFonts w:ascii="Arial"/>
                <w:sz w:val="21"/>
              </w:rPr>
            </w:pPr>
          </w:p>
          <w:p w14:paraId="69EBF6BA">
            <w:pPr>
              <w:spacing w:line="292" w:lineRule="auto"/>
              <w:rPr>
                <w:rFonts w:ascii="Arial"/>
                <w:sz w:val="21"/>
              </w:rPr>
            </w:pPr>
          </w:p>
          <w:p w14:paraId="16A1C38A">
            <w:pPr>
              <w:pStyle w:val="8"/>
              <w:spacing w:before="59" w:line="220" w:lineRule="auto"/>
              <w:ind w:left="112"/>
            </w:pPr>
            <w:r>
              <w:rPr>
                <w:spacing w:val="-2"/>
              </w:rPr>
              <w:t>行政处罚</w:t>
            </w:r>
          </w:p>
        </w:tc>
        <w:tc>
          <w:tcPr>
            <w:tcW w:w="8508" w:type="dxa"/>
            <w:vAlign w:val="top"/>
          </w:tcPr>
          <w:p w14:paraId="177A526D">
            <w:pPr>
              <w:pStyle w:val="8"/>
              <w:spacing w:before="43" w:line="219" w:lineRule="auto"/>
              <w:ind w:left="484"/>
            </w:pPr>
            <w:r>
              <w:rPr>
                <w:b/>
                <w:bCs/>
                <w:spacing w:val="-4"/>
              </w:rPr>
              <w:t>1.《中华人民共和国港口法》</w:t>
            </w:r>
          </w:p>
          <w:p w14:paraId="6FDC43E7">
            <w:pPr>
              <w:pStyle w:val="8"/>
              <w:spacing w:before="25" w:line="236" w:lineRule="auto"/>
              <w:ind w:left="114" w:right="104" w:firstLine="356"/>
            </w:pPr>
            <w:r>
              <w:t>第二十二条  从事港口经营，应当向港口行政管理部门书面申请取得港口经营许可，并依法办理工商</w:t>
            </w:r>
            <w:r>
              <w:rPr>
                <w:spacing w:val="6"/>
              </w:rPr>
              <w:t xml:space="preserve"> </w:t>
            </w:r>
            <w:r>
              <w:rPr>
                <w:spacing w:val="-9"/>
              </w:rPr>
              <w:t>登记。</w:t>
            </w:r>
          </w:p>
          <w:p w14:paraId="482BCF93">
            <w:pPr>
              <w:pStyle w:val="8"/>
              <w:spacing w:before="20" w:line="219" w:lineRule="auto"/>
              <w:ind w:left="470"/>
            </w:pPr>
            <w:r>
              <w:rPr>
                <w:spacing w:val="-1"/>
              </w:rPr>
              <w:t>港口行政管理部门实施港口经营许可，应当遵循公开、公正、公</w:t>
            </w:r>
            <w:r>
              <w:rPr>
                <w:spacing w:val="-2"/>
              </w:rPr>
              <w:t>平的原则。</w:t>
            </w:r>
          </w:p>
          <w:p w14:paraId="7F739C1C">
            <w:pPr>
              <w:pStyle w:val="8"/>
              <w:spacing w:before="25" w:line="233" w:lineRule="auto"/>
              <w:ind w:left="110" w:right="44" w:firstLine="360"/>
            </w:pPr>
            <w:r>
              <w:rPr>
                <w:spacing w:val="-2"/>
              </w:rPr>
              <w:t>港口经营包括码头和其他港口设施的经营，港口旅</w:t>
            </w:r>
            <w:r>
              <w:rPr>
                <w:spacing w:val="-3"/>
              </w:rPr>
              <w:t>客运输服务经营，在港区内从事货物的装卸、驳运、</w:t>
            </w:r>
            <w:r>
              <w:t xml:space="preserve"> </w:t>
            </w:r>
            <w:r>
              <w:rPr>
                <w:spacing w:val="-3"/>
              </w:rPr>
              <w:t>仓储的经营和港口拖轮经营等。</w:t>
            </w:r>
          </w:p>
          <w:p w14:paraId="4145CDD9">
            <w:pPr>
              <w:pStyle w:val="8"/>
              <w:spacing w:before="25" w:line="233" w:lineRule="auto"/>
              <w:ind w:left="111" w:right="110" w:firstLine="359"/>
            </w:pPr>
            <w:r>
              <w:t xml:space="preserve">第二十三条  取得港口经营许可，应当有固定的经营场所，有与经营业务相适应的设施、设备、专业 </w:t>
            </w:r>
            <w:r>
              <w:rPr>
                <w:spacing w:val="-1"/>
              </w:rPr>
              <w:t>技术人员和管理人员，并应当具备法律、法规规定</w:t>
            </w:r>
            <w:r>
              <w:rPr>
                <w:spacing w:val="-2"/>
              </w:rPr>
              <w:t>的其他条件。</w:t>
            </w:r>
          </w:p>
          <w:p w14:paraId="3D936582">
            <w:pPr>
              <w:pStyle w:val="8"/>
              <w:spacing w:before="27" w:line="230" w:lineRule="auto"/>
              <w:ind w:left="111" w:right="104" w:firstLine="360"/>
            </w:pPr>
            <w:r>
              <w:t>第五十七条第（三）项  交通主管部门、港口行政管理部门、海事管理机构等不依法履行职责，有下</w:t>
            </w:r>
            <w:r>
              <w:rPr>
                <w:spacing w:val="6"/>
              </w:rPr>
              <w:t xml:space="preserve"> </w:t>
            </w:r>
            <w:r>
              <w:t>列行为之一的，对直接负责的主管人员和其他直接责任人员依法给予行政处分；构成</w:t>
            </w:r>
            <w:r>
              <w:rPr>
                <w:spacing w:val="-1"/>
              </w:rPr>
              <w:t>犯罪的，依法追究刑</w:t>
            </w:r>
            <w:r>
              <w:t xml:space="preserve"> </w:t>
            </w:r>
            <w:r>
              <w:rPr>
                <w:spacing w:val="-1"/>
              </w:rPr>
              <w:t>事责任</w:t>
            </w:r>
            <w:r>
              <w:rPr>
                <w:spacing w:val="3"/>
              </w:rPr>
              <w:t>：（</w:t>
            </w:r>
            <w:r>
              <w:rPr>
                <w:spacing w:val="-1"/>
              </w:rPr>
              <w:t>三）发现取得经营许可的港口经营人不再具备法定许可条件而不及时吊销许可证的。</w:t>
            </w:r>
          </w:p>
        </w:tc>
        <w:tc>
          <w:tcPr>
            <w:tcW w:w="1010" w:type="dxa"/>
            <w:vAlign w:val="top"/>
          </w:tcPr>
          <w:p w14:paraId="3C029C73">
            <w:pPr>
              <w:spacing w:line="264" w:lineRule="auto"/>
              <w:rPr>
                <w:rFonts w:ascii="Arial"/>
                <w:sz w:val="21"/>
              </w:rPr>
            </w:pPr>
          </w:p>
          <w:p w14:paraId="25B9A6B1">
            <w:pPr>
              <w:spacing w:line="264" w:lineRule="auto"/>
              <w:rPr>
                <w:rFonts w:ascii="Arial"/>
                <w:sz w:val="21"/>
              </w:rPr>
            </w:pPr>
          </w:p>
          <w:p w14:paraId="3775B708">
            <w:pPr>
              <w:spacing w:line="264" w:lineRule="auto"/>
              <w:rPr>
                <w:rFonts w:ascii="Arial"/>
                <w:sz w:val="21"/>
              </w:rPr>
            </w:pPr>
          </w:p>
          <w:p w14:paraId="324E55CB">
            <w:pPr>
              <w:spacing w:line="265" w:lineRule="auto"/>
              <w:rPr>
                <w:rFonts w:ascii="Arial"/>
                <w:sz w:val="21"/>
              </w:rPr>
            </w:pPr>
          </w:p>
          <w:p w14:paraId="659F9725">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520ABFAF">
            <w:pPr>
              <w:spacing w:line="312" w:lineRule="auto"/>
              <w:rPr>
                <w:rFonts w:ascii="Arial"/>
                <w:sz w:val="21"/>
              </w:rPr>
            </w:pPr>
          </w:p>
          <w:p w14:paraId="0EA883EA">
            <w:pPr>
              <w:pStyle w:val="8"/>
              <w:spacing w:before="59" w:line="234" w:lineRule="auto"/>
              <w:ind w:left="530" w:right="104" w:hanging="413"/>
              <w:rPr>
                <w:rFonts w:hint="eastAsia"/>
                <w:spacing w:val="-12"/>
                <w:lang w:eastAsia="zh-CN"/>
              </w:rPr>
            </w:pPr>
          </w:p>
          <w:p w14:paraId="152B4352">
            <w:pPr>
              <w:pStyle w:val="8"/>
              <w:spacing w:before="59" w:line="234" w:lineRule="auto"/>
              <w:ind w:left="530" w:right="104" w:hanging="413"/>
              <w:rPr>
                <w:rFonts w:hint="eastAsia"/>
                <w:spacing w:val="-12"/>
                <w:lang w:eastAsia="zh-CN"/>
              </w:rPr>
            </w:pPr>
          </w:p>
          <w:p w14:paraId="4DE37284">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4" w:type="dxa"/>
            <w:vAlign w:val="top"/>
          </w:tcPr>
          <w:p w14:paraId="688B27A4">
            <w:pPr>
              <w:spacing w:line="312" w:lineRule="auto"/>
              <w:rPr>
                <w:rFonts w:ascii="Arial"/>
                <w:sz w:val="21"/>
              </w:rPr>
            </w:pPr>
          </w:p>
          <w:p w14:paraId="6FB5E068">
            <w:pPr>
              <w:spacing w:line="313" w:lineRule="auto"/>
              <w:rPr>
                <w:rFonts w:ascii="Arial"/>
                <w:sz w:val="21"/>
              </w:rPr>
            </w:pPr>
          </w:p>
          <w:p w14:paraId="3D81BDD8">
            <w:pPr>
              <w:spacing w:line="313" w:lineRule="auto"/>
              <w:rPr>
                <w:rFonts w:ascii="Arial"/>
                <w:sz w:val="21"/>
              </w:rPr>
            </w:pPr>
          </w:p>
          <w:p w14:paraId="15D05B52">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7B3DEA25">
      <w:pPr>
        <w:pStyle w:val="2"/>
        <w:spacing w:line="167" w:lineRule="exact"/>
        <w:rPr>
          <w:sz w:val="14"/>
        </w:rPr>
      </w:pPr>
    </w:p>
    <w:p w14:paraId="73FAD130">
      <w:pPr>
        <w:spacing w:line="167" w:lineRule="exact"/>
        <w:rPr>
          <w:sz w:val="14"/>
          <w:szCs w:val="14"/>
        </w:rPr>
        <w:sectPr>
          <w:footerReference r:id="rId130" w:type="default"/>
          <w:pgSz w:w="16839" w:h="11906"/>
          <w:pgMar w:top="1012" w:right="1034" w:bottom="967" w:left="1043" w:header="0" w:footer="768" w:gutter="0"/>
          <w:cols w:space="720" w:num="1"/>
        </w:sectPr>
      </w:pPr>
    </w:p>
    <w:p w14:paraId="592FF33F">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3274B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1E855AD3">
            <w:pPr>
              <w:pStyle w:val="8"/>
              <w:spacing w:before="259" w:line="221" w:lineRule="auto"/>
              <w:ind w:left="134"/>
            </w:pPr>
            <w:r>
              <w:rPr>
                <w:b/>
                <w:bCs/>
                <w:spacing w:val="-4"/>
              </w:rPr>
              <w:t>序号</w:t>
            </w:r>
          </w:p>
        </w:tc>
        <w:tc>
          <w:tcPr>
            <w:tcW w:w="1100" w:type="dxa"/>
            <w:vMerge w:val="restart"/>
            <w:tcBorders>
              <w:bottom w:val="nil"/>
            </w:tcBorders>
            <w:vAlign w:val="top"/>
          </w:tcPr>
          <w:p w14:paraId="68D0E3DB">
            <w:pPr>
              <w:pStyle w:val="8"/>
              <w:spacing w:before="260" w:line="220" w:lineRule="auto"/>
              <w:ind w:left="189"/>
            </w:pPr>
            <w:r>
              <w:rPr>
                <w:b/>
                <w:bCs/>
                <w:spacing w:val="-4"/>
              </w:rPr>
              <w:t>事项名称</w:t>
            </w:r>
          </w:p>
        </w:tc>
        <w:tc>
          <w:tcPr>
            <w:tcW w:w="1100" w:type="dxa"/>
            <w:vMerge w:val="restart"/>
            <w:tcBorders>
              <w:bottom w:val="nil"/>
            </w:tcBorders>
            <w:vAlign w:val="top"/>
          </w:tcPr>
          <w:p w14:paraId="00E5C047">
            <w:pPr>
              <w:pStyle w:val="8"/>
              <w:spacing w:before="260" w:line="219" w:lineRule="auto"/>
              <w:ind w:left="191"/>
            </w:pPr>
            <w:r>
              <w:rPr>
                <w:b/>
                <w:bCs/>
                <w:spacing w:val="-4"/>
              </w:rPr>
              <w:t>职权类型</w:t>
            </w:r>
          </w:p>
        </w:tc>
        <w:tc>
          <w:tcPr>
            <w:tcW w:w="8508" w:type="dxa"/>
            <w:vMerge w:val="restart"/>
            <w:tcBorders>
              <w:bottom w:val="nil"/>
            </w:tcBorders>
            <w:vAlign w:val="top"/>
          </w:tcPr>
          <w:p w14:paraId="5554DA0F">
            <w:pPr>
              <w:pStyle w:val="8"/>
              <w:spacing w:before="259" w:line="219" w:lineRule="auto"/>
              <w:ind w:left="3900"/>
            </w:pPr>
            <w:r>
              <w:rPr>
                <w:b/>
                <w:bCs/>
                <w:spacing w:val="-5"/>
              </w:rPr>
              <w:t>实施依据</w:t>
            </w:r>
          </w:p>
        </w:tc>
        <w:tc>
          <w:tcPr>
            <w:tcW w:w="3425" w:type="dxa"/>
            <w:gridSpan w:val="3"/>
            <w:vAlign w:val="top"/>
          </w:tcPr>
          <w:p w14:paraId="70EC3C0D">
            <w:pPr>
              <w:pStyle w:val="8"/>
              <w:spacing w:before="85" w:line="220" w:lineRule="auto"/>
              <w:ind w:left="1358"/>
            </w:pPr>
            <w:r>
              <w:rPr>
                <w:b/>
                <w:bCs/>
                <w:spacing w:val="-5"/>
              </w:rPr>
              <w:t>实施主体</w:t>
            </w:r>
          </w:p>
        </w:tc>
      </w:tr>
      <w:tr w14:paraId="13FF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25A99D18">
            <w:pPr>
              <w:rPr>
                <w:rFonts w:ascii="Arial"/>
                <w:sz w:val="21"/>
              </w:rPr>
            </w:pPr>
          </w:p>
        </w:tc>
        <w:tc>
          <w:tcPr>
            <w:tcW w:w="1100" w:type="dxa"/>
            <w:vMerge w:val="continue"/>
            <w:tcBorders>
              <w:top w:val="nil"/>
            </w:tcBorders>
            <w:vAlign w:val="top"/>
          </w:tcPr>
          <w:p w14:paraId="3DD38EC8">
            <w:pPr>
              <w:rPr>
                <w:rFonts w:ascii="Arial"/>
                <w:sz w:val="21"/>
              </w:rPr>
            </w:pPr>
          </w:p>
        </w:tc>
        <w:tc>
          <w:tcPr>
            <w:tcW w:w="1100" w:type="dxa"/>
            <w:vMerge w:val="continue"/>
            <w:tcBorders>
              <w:top w:val="nil"/>
            </w:tcBorders>
            <w:vAlign w:val="top"/>
          </w:tcPr>
          <w:p w14:paraId="3459B35F">
            <w:pPr>
              <w:rPr>
                <w:rFonts w:ascii="Arial"/>
                <w:sz w:val="21"/>
              </w:rPr>
            </w:pPr>
          </w:p>
        </w:tc>
        <w:tc>
          <w:tcPr>
            <w:tcW w:w="8508" w:type="dxa"/>
            <w:vMerge w:val="continue"/>
            <w:tcBorders>
              <w:top w:val="nil"/>
            </w:tcBorders>
            <w:vAlign w:val="top"/>
          </w:tcPr>
          <w:p w14:paraId="248963A0">
            <w:pPr>
              <w:rPr>
                <w:rFonts w:ascii="Arial"/>
                <w:sz w:val="21"/>
              </w:rPr>
            </w:pPr>
          </w:p>
        </w:tc>
        <w:tc>
          <w:tcPr>
            <w:tcW w:w="1010" w:type="dxa"/>
            <w:vAlign w:val="top"/>
          </w:tcPr>
          <w:p w14:paraId="22EABBC1">
            <w:pPr>
              <w:pStyle w:val="8"/>
              <w:spacing w:before="81" w:line="219" w:lineRule="auto"/>
              <w:ind w:left="155"/>
            </w:pPr>
            <w:r>
              <w:rPr>
                <w:b/>
                <w:bCs/>
                <w:spacing w:val="-5"/>
              </w:rPr>
              <w:t>责任部门</w:t>
            </w:r>
          </w:p>
        </w:tc>
        <w:tc>
          <w:tcPr>
            <w:tcW w:w="1401" w:type="dxa"/>
            <w:vAlign w:val="top"/>
          </w:tcPr>
          <w:p w14:paraId="2FC29A2D">
            <w:pPr>
              <w:pStyle w:val="8"/>
              <w:spacing w:before="81" w:line="219" w:lineRule="auto"/>
              <w:ind w:left="164"/>
            </w:pPr>
            <w:r>
              <w:rPr>
                <w:b/>
                <w:bCs/>
                <w:spacing w:val="-3"/>
              </w:rPr>
              <w:t>第一责任层级</w:t>
            </w:r>
          </w:p>
        </w:tc>
        <w:tc>
          <w:tcPr>
            <w:tcW w:w="1014" w:type="dxa"/>
            <w:vAlign w:val="top"/>
          </w:tcPr>
          <w:p w14:paraId="730A8B90">
            <w:pPr>
              <w:pStyle w:val="8"/>
              <w:spacing w:before="81" w:line="219" w:lineRule="auto"/>
              <w:ind w:left="150"/>
            </w:pPr>
            <w:r>
              <w:rPr>
                <w:b/>
                <w:bCs/>
                <w:spacing w:val="-4"/>
              </w:rPr>
              <w:t>承办机构</w:t>
            </w:r>
          </w:p>
        </w:tc>
      </w:tr>
      <w:tr w14:paraId="3CF51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2" w:hRule="atLeast"/>
        </w:trPr>
        <w:tc>
          <w:tcPr>
            <w:tcW w:w="622" w:type="dxa"/>
            <w:vAlign w:val="top"/>
          </w:tcPr>
          <w:p w14:paraId="681A8521">
            <w:pPr>
              <w:rPr>
                <w:rFonts w:ascii="Arial"/>
                <w:sz w:val="21"/>
              </w:rPr>
            </w:pPr>
          </w:p>
        </w:tc>
        <w:tc>
          <w:tcPr>
            <w:tcW w:w="1100" w:type="dxa"/>
            <w:vAlign w:val="top"/>
          </w:tcPr>
          <w:p w14:paraId="52238904">
            <w:pPr>
              <w:rPr>
                <w:rFonts w:ascii="Arial"/>
                <w:sz w:val="21"/>
              </w:rPr>
            </w:pPr>
          </w:p>
        </w:tc>
        <w:tc>
          <w:tcPr>
            <w:tcW w:w="1100" w:type="dxa"/>
            <w:vAlign w:val="top"/>
          </w:tcPr>
          <w:p w14:paraId="4E529948">
            <w:pPr>
              <w:rPr>
                <w:rFonts w:ascii="Arial"/>
                <w:sz w:val="21"/>
              </w:rPr>
            </w:pPr>
          </w:p>
        </w:tc>
        <w:tc>
          <w:tcPr>
            <w:tcW w:w="8508" w:type="dxa"/>
            <w:vAlign w:val="top"/>
          </w:tcPr>
          <w:p w14:paraId="3D47C7D3">
            <w:pPr>
              <w:pStyle w:val="8"/>
              <w:spacing w:before="38" w:line="219" w:lineRule="auto"/>
              <w:ind w:left="473"/>
            </w:pPr>
            <w:r>
              <w:rPr>
                <w:b/>
                <w:bCs/>
                <w:spacing w:val="-3"/>
              </w:rPr>
              <w:t>2.《港口经营管理规定》（交通运输部令</w:t>
            </w:r>
            <w:r>
              <w:rPr>
                <w:spacing w:val="-35"/>
              </w:rPr>
              <w:t xml:space="preserve"> </w:t>
            </w:r>
            <w:r>
              <w:rPr>
                <w:b/>
                <w:bCs/>
                <w:spacing w:val="-3"/>
              </w:rPr>
              <w:t>2020</w:t>
            </w:r>
            <w:r>
              <w:rPr>
                <w:spacing w:val="-38"/>
              </w:rPr>
              <w:t xml:space="preserve"> </w:t>
            </w:r>
            <w:r>
              <w:rPr>
                <w:b/>
                <w:bCs/>
                <w:spacing w:val="-3"/>
              </w:rPr>
              <w:t>年第</w:t>
            </w:r>
            <w:r>
              <w:rPr>
                <w:spacing w:val="-35"/>
              </w:rPr>
              <w:t xml:space="preserve"> </w:t>
            </w:r>
            <w:r>
              <w:rPr>
                <w:b/>
                <w:bCs/>
                <w:spacing w:val="-3"/>
              </w:rPr>
              <w:t>21</w:t>
            </w:r>
            <w:r>
              <w:rPr>
                <w:spacing w:val="-34"/>
              </w:rPr>
              <w:t xml:space="preserve"> </w:t>
            </w:r>
            <w:r>
              <w:rPr>
                <w:b/>
                <w:bCs/>
                <w:spacing w:val="-4"/>
              </w:rPr>
              <w:t>号）</w:t>
            </w:r>
          </w:p>
          <w:p w14:paraId="2267A157">
            <w:pPr>
              <w:pStyle w:val="8"/>
              <w:spacing w:before="24" w:line="243" w:lineRule="auto"/>
              <w:ind w:left="111" w:right="30" w:firstLine="359"/>
            </w:pPr>
            <w:r>
              <w:t>第七条  从事港口经营（港口拖轮经营除外</w:t>
            </w:r>
            <w:r>
              <w:rPr>
                <w:spacing w:val="-14"/>
              </w:rPr>
              <w:t>），</w:t>
            </w:r>
            <w:r>
              <w:t>应当具</w:t>
            </w:r>
            <w:r>
              <w:rPr>
                <w:spacing w:val="-1"/>
              </w:rPr>
              <w:t>备下列条件</w:t>
            </w:r>
            <w:r>
              <w:rPr>
                <w:spacing w:val="-14"/>
              </w:rPr>
              <w:t>：（</w:t>
            </w:r>
            <w:r>
              <w:rPr>
                <w:spacing w:val="-1"/>
              </w:rPr>
              <w:t>一）有固定的经营场所</w:t>
            </w:r>
            <w:r>
              <w:rPr>
                <w:spacing w:val="-14"/>
              </w:rPr>
              <w:t>；（</w:t>
            </w:r>
            <w:r>
              <w:rPr>
                <w:spacing w:val="-1"/>
              </w:rPr>
              <w:t>二）</w:t>
            </w:r>
            <w:r>
              <w:rPr>
                <w:spacing w:val="1"/>
              </w:rPr>
              <w:t xml:space="preserve"> </w:t>
            </w:r>
            <w:r>
              <w:t>有与经营范围、规模相适应的港口设施、设备，其中：1.码头、客运站、库场、储罐、污水处理设施等固</w:t>
            </w:r>
            <w:r>
              <w:rPr>
                <w:spacing w:val="2"/>
              </w:rPr>
              <w:t xml:space="preserve">  </w:t>
            </w:r>
            <w:r>
              <w:t>定设施应当符合港口总体规划和法律、法规及有关技术标准的要求；2.为旅客提供上、下船服务的，应当</w:t>
            </w:r>
            <w:r>
              <w:rPr>
                <w:spacing w:val="2"/>
              </w:rPr>
              <w:t xml:space="preserve">  </w:t>
            </w:r>
            <w:r>
              <w:t>具备至少能遮蔽风、雨、雪的候船和上、下船设施，并按相</w:t>
            </w:r>
            <w:r>
              <w:rPr>
                <w:spacing w:val="-1"/>
              </w:rPr>
              <w:t>关规定配备无障碍设施；3.为船舶提供码头、</w:t>
            </w:r>
            <w:r>
              <w:t xml:space="preserve">  过驳锚地、浮筒等设施的，应当有相应的船舶污染物、废弃物接收能力和相应污染应急处理能力，包括必</w:t>
            </w:r>
            <w:r>
              <w:rPr>
                <w:spacing w:val="2"/>
              </w:rPr>
              <w:t xml:space="preserve">  </w:t>
            </w:r>
            <w:r>
              <w:t>要的设施、设备和器材</w:t>
            </w:r>
            <w:r>
              <w:rPr>
                <w:spacing w:val="1"/>
              </w:rPr>
              <w:t>；（</w:t>
            </w:r>
            <w:r>
              <w:t>三）有与经营规模、范围相适应的专业技术人员、管理人员</w:t>
            </w:r>
            <w:r>
              <w:rPr>
                <w:spacing w:val="1"/>
              </w:rPr>
              <w:t>；（</w:t>
            </w:r>
            <w:r>
              <w:t>四）有健全的  经营管理制度和安全管理制度以及生产安全事故应急预案，应急预案经专家审查通过；依法设置安全生产</w:t>
            </w:r>
            <w:r>
              <w:rPr>
                <w:spacing w:val="2"/>
              </w:rPr>
              <w:t xml:space="preserve">  </w:t>
            </w:r>
            <w:r>
              <w:rPr>
                <w:spacing w:val="-2"/>
              </w:rPr>
              <w:t>管理机构或者配备专职安全管理人员。</w:t>
            </w:r>
          </w:p>
          <w:p w14:paraId="3FDC5B48">
            <w:pPr>
              <w:pStyle w:val="8"/>
              <w:spacing w:before="25" w:line="242" w:lineRule="auto"/>
              <w:ind w:left="110" w:right="44" w:firstLine="360"/>
              <w:jc w:val="both"/>
            </w:pPr>
            <w:r>
              <w:rPr>
                <w:spacing w:val="1"/>
              </w:rPr>
              <w:t>第八条  从事港口拖轮经营，应当具备下列条件</w:t>
            </w:r>
            <w:r>
              <w:rPr>
                <w:spacing w:val="-11"/>
              </w:rPr>
              <w:t>：（</w:t>
            </w:r>
            <w:r>
              <w:rPr>
                <w:spacing w:val="1"/>
              </w:rPr>
              <w:t>一）在申请</w:t>
            </w:r>
            <w:r>
              <w:t>经营的港口所在地注册并具备企业法</w:t>
            </w:r>
            <w:r>
              <w:rPr>
                <w:spacing w:val="1"/>
              </w:rPr>
              <w:t xml:space="preserve"> </w:t>
            </w:r>
            <w:r>
              <w:t>人资格</w:t>
            </w:r>
            <w:r>
              <w:rPr>
                <w:spacing w:val="1"/>
              </w:rPr>
              <w:t>；（</w:t>
            </w:r>
            <w:r>
              <w:t>二）有满足拖轮停靠的自有泊位或者租用泊位</w:t>
            </w:r>
            <w:r>
              <w:rPr>
                <w:spacing w:val="1"/>
              </w:rPr>
              <w:t>；（</w:t>
            </w:r>
            <w:r>
              <w:t>三）在沿海港口从事拖轮经营的，应当至少</w:t>
            </w:r>
            <w:r>
              <w:rPr>
                <w:spacing w:val="3"/>
              </w:rPr>
              <w:t xml:space="preserve"> </w:t>
            </w:r>
            <w:r>
              <w:rPr>
                <w:spacing w:val="-3"/>
              </w:rPr>
              <w:t>自有并经营</w:t>
            </w:r>
            <w:r>
              <w:rPr>
                <w:spacing w:val="-35"/>
              </w:rPr>
              <w:t xml:space="preserve"> </w:t>
            </w:r>
            <w:r>
              <w:rPr>
                <w:spacing w:val="-3"/>
              </w:rPr>
              <w:t>2</w:t>
            </w:r>
            <w:r>
              <w:rPr>
                <w:spacing w:val="-39"/>
              </w:rPr>
              <w:t xml:space="preserve"> </w:t>
            </w:r>
            <w:r>
              <w:rPr>
                <w:spacing w:val="-3"/>
              </w:rPr>
              <w:t>艘沿海拖轮；在内河港口从事拖轮经营的，应当至少自有并经营</w:t>
            </w:r>
            <w:r>
              <w:rPr>
                <w:spacing w:val="-24"/>
              </w:rPr>
              <w:t xml:space="preserve"> </w:t>
            </w:r>
            <w:r>
              <w:rPr>
                <w:spacing w:val="-3"/>
              </w:rPr>
              <w:t>1</w:t>
            </w:r>
            <w:r>
              <w:rPr>
                <w:spacing w:val="-39"/>
              </w:rPr>
              <w:t xml:space="preserve"> </w:t>
            </w:r>
            <w:r>
              <w:rPr>
                <w:spacing w:val="-3"/>
              </w:rPr>
              <w:t>艘内河</w:t>
            </w:r>
            <w:r>
              <w:rPr>
                <w:spacing w:val="-4"/>
              </w:rPr>
              <w:t>拖轮</w:t>
            </w:r>
            <w:r>
              <w:rPr>
                <w:spacing w:val="-7"/>
              </w:rPr>
              <w:t>；（</w:t>
            </w:r>
            <w:r>
              <w:rPr>
                <w:spacing w:val="-4"/>
              </w:rPr>
              <w:t>四）海务、</w:t>
            </w:r>
            <w:r>
              <w:t xml:space="preserve"> 机务管理人员数量满足附件的要求，海务、机务管理人员具有不低于大副、大管轮的从业资历且在申请经</w:t>
            </w:r>
            <w:r>
              <w:rPr>
                <w:spacing w:val="7"/>
              </w:rPr>
              <w:t xml:space="preserve"> </w:t>
            </w:r>
            <w:r>
              <w:t>营的港口从事拖轮服务满</w:t>
            </w:r>
            <w:r>
              <w:rPr>
                <w:spacing w:val="-24"/>
              </w:rPr>
              <w:t xml:space="preserve"> </w:t>
            </w:r>
            <w:r>
              <w:t>1</w:t>
            </w:r>
            <w:r>
              <w:rPr>
                <w:spacing w:val="-37"/>
              </w:rPr>
              <w:t xml:space="preserve"> </w:t>
            </w:r>
            <w:r>
              <w:t>年以上</w:t>
            </w:r>
            <w:r>
              <w:rPr>
                <w:spacing w:val="-2"/>
              </w:rPr>
              <w:t>；（</w:t>
            </w:r>
            <w:r>
              <w:t>五）有健全的经营管理制</w:t>
            </w:r>
            <w:r>
              <w:rPr>
                <w:spacing w:val="-1"/>
              </w:rPr>
              <w:t>度和符合有关规定的安全与防污染管理制</w:t>
            </w:r>
            <w:r>
              <w:t xml:space="preserve"> </w:t>
            </w:r>
            <w:r>
              <w:rPr>
                <w:spacing w:val="-9"/>
              </w:rPr>
              <w:t>度。</w:t>
            </w:r>
          </w:p>
          <w:p w14:paraId="67BE33EE">
            <w:pPr>
              <w:pStyle w:val="8"/>
              <w:spacing w:before="25" w:line="237" w:lineRule="auto"/>
              <w:ind w:left="111" w:right="112" w:firstLine="359"/>
              <w:jc w:val="both"/>
            </w:pPr>
            <w:r>
              <w:t>第四十二条第一款  经检查或者调查证实，港口经营人在取得经营许可后又不符合本规定第七、</w:t>
            </w:r>
            <w:r>
              <w:rPr>
                <w:spacing w:val="-1"/>
              </w:rPr>
              <w:t>八条</w:t>
            </w:r>
            <w:r>
              <w:t xml:space="preserve"> 规定一项或者几项条件的，由港口行政管理部门责令其停止经营，限期改正；逾期不改正的，由作</w:t>
            </w:r>
            <w:r>
              <w:rPr>
                <w:spacing w:val="-1"/>
              </w:rPr>
              <w:t>出行政</w:t>
            </w:r>
            <w:r>
              <w:t xml:space="preserve"> </w:t>
            </w:r>
            <w:r>
              <w:rPr>
                <w:spacing w:val="-1"/>
              </w:rPr>
              <w:t>许可决定的行政机关吊销《港口经营许可证》，并以适当方式向社会公布。</w:t>
            </w:r>
          </w:p>
          <w:p w14:paraId="12B378BF">
            <w:pPr>
              <w:pStyle w:val="8"/>
              <w:spacing w:before="27" w:line="219" w:lineRule="auto"/>
              <w:ind w:left="474"/>
            </w:pPr>
            <w:r>
              <w:rPr>
                <w:b/>
                <w:bCs/>
                <w:spacing w:val="-2"/>
              </w:rPr>
              <w:t>3.《湖南省实施</w:t>
            </w:r>
            <w:r>
              <w:rPr>
                <w:rFonts w:hint="eastAsia"/>
                <w:b/>
                <w:bCs/>
                <w:spacing w:val="-2"/>
                <w:lang w:eastAsia="zh-CN"/>
              </w:rPr>
              <w:t>〈</w:t>
            </w:r>
            <w:r>
              <w:rPr>
                <w:b/>
                <w:bCs/>
                <w:spacing w:val="-2"/>
              </w:rPr>
              <w:t>中华人民共和国港口法</w:t>
            </w:r>
            <w:r>
              <w:rPr>
                <w:rFonts w:hint="eastAsia"/>
                <w:b/>
                <w:bCs/>
                <w:spacing w:val="-2"/>
                <w:lang w:eastAsia="zh-CN"/>
              </w:rPr>
              <w:t>〉</w:t>
            </w:r>
            <w:r>
              <w:rPr>
                <w:b/>
                <w:bCs/>
                <w:spacing w:val="-2"/>
              </w:rPr>
              <w:t>办法》</w:t>
            </w:r>
          </w:p>
          <w:p w14:paraId="6162F493">
            <w:pPr>
              <w:pStyle w:val="8"/>
              <w:spacing w:before="26" w:line="222" w:lineRule="auto"/>
              <w:ind w:left="113" w:right="104" w:firstLine="357"/>
            </w:pPr>
            <w:r>
              <w:t>第三十六条  取得港口经营许可证的经营人不再具备法定许可条件继续经营的，由有管辖权的港口管</w:t>
            </w:r>
            <w:r>
              <w:rPr>
                <w:spacing w:val="6"/>
              </w:rPr>
              <w:t xml:space="preserve"> </w:t>
            </w:r>
            <w:r>
              <w:rPr>
                <w:spacing w:val="-1"/>
              </w:rPr>
              <w:t>理机构责令限期整改；逾期仍未达到法定条件的，责令停止经营活动，并吊销港口经营许可证。</w:t>
            </w:r>
          </w:p>
        </w:tc>
        <w:tc>
          <w:tcPr>
            <w:tcW w:w="1010" w:type="dxa"/>
            <w:vAlign w:val="top"/>
          </w:tcPr>
          <w:p w14:paraId="6B0D17B5">
            <w:pPr>
              <w:rPr>
                <w:rFonts w:ascii="Arial"/>
                <w:sz w:val="21"/>
              </w:rPr>
            </w:pPr>
          </w:p>
        </w:tc>
        <w:tc>
          <w:tcPr>
            <w:tcW w:w="1401" w:type="dxa"/>
            <w:vAlign w:val="top"/>
          </w:tcPr>
          <w:p w14:paraId="0B3498CD">
            <w:pPr>
              <w:rPr>
                <w:rFonts w:ascii="Arial"/>
                <w:sz w:val="21"/>
              </w:rPr>
            </w:pPr>
          </w:p>
        </w:tc>
        <w:tc>
          <w:tcPr>
            <w:tcW w:w="1014" w:type="dxa"/>
            <w:vAlign w:val="top"/>
          </w:tcPr>
          <w:p w14:paraId="7DDE24C4">
            <w:pPr>
              <w:rPr>
                <w:rFonts w:ascii="Arial"/>
                <w:sz w:val="21"/>
              </w:rPr>
            </w:pPr>
          </w:p>
        </w:tc>
      </w:tr>
      <w:tr w14:paraId="0077E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5" w:hRule="atLeast"/>
        </w:trPr>
        <w:tc>
          <w:tcPr>
            <w:tcW w:w="622" w:type="dxa"/>
            <w:vAlign w:val="top"/>
          </w:tcPr>
          <w:p w14:paraId="11D9263F">
            <w:pPr>
              <w:spacing w:line="243" w:lineRule="auto"/>
              <w:rPr>
                <w:rFonts w:ascii="Arial"/>
                <w:sz w:val="21"/>
              </w:rPr>
            </w:pPr>
          </w:p>
          <w:p w14:paraId="275B25FF">
            <w:pPr>
              <w:spacing w:line="243" w:lineRule="auto"/>
              <w:rPr>
                <w:rFonts w:ascii="Arial"/>
                <w:sz w:val="21"/>
              </w:rPr>
            </w:pPr>
          </w:p>
          <w:p w14:paraId="121653A9">
            <w:pPr>
              <w:spacing w:line="243" w:lineRule="auto"/>
              <w:rPr>
                <w:rFonts w:ascii="Arial"/>
                <w:sz w:val="21"/>
              </w:rPr>
            </w:pPr>
          </w:p>
          <w:p w14:paraId="437D6E70">
            <w:pPr>
              <w:spacing w:line="243" w:lineRule="auto"/>
              <w:rPr>
                <w:rFonts w:ascii="Arial"/>
                <w:sz w:val="21"/>
              </w:rPr>
            </w:pPr>
          </w:p>
          <w:p w14:paraId="232CA323">
            <w:pPr>
              <w:spacing w:line="244" w:lineRule="auto"/>
              <w:rPr>
                <w:rFonts w:ascii="Arial"/>
                <w:sz w:val="21"/>
              </w:rPr>
            </w:pPr>
          </w:p>
          <w:p w14:paraId="5D62CA98">
            <w:pPr>
              <w:spacing w:line="244" w:lineRule="auto"/>
              <w:rPr>
                <w:rFonts w:ascii="Arial"/>
                <w:sz w:val="21"/>
              </w:rPr>
            </w:pPr>
          </w:p>
          <w:p w14:paraId="5CACC3D7">
            <w:pPr>
              <w:pStyle w:val="8"/>
              <w:spacing w:before="58" w:line="184" w:lineRule="auto"/>
              <w:ind w:left="239"/>
            </w:pPr>
            <w:r>
              <w:rPr>
                <w:spacing w:val="-10"/>
              </w:rPr>
              <w:t>10</w:t>
            </w:r>
          </w:p>
        </w:tc>
        <w:tc>
          <w:tcPr>
            <w:tcW w:w="1100" w:type="dxa"/>
            <w:vAlign w:val="top"/>
          </w:tcPr>
          <w:p w14:paraId="43610AB2">
            <w:pPr>
              <w:spacing w:line="301" w:lineRule="auto"/>
              <w:rPr>
                <w:rFonts w:ascii="Arial"/>
                <w:sz w:val="21"/>
              </w:rPr>
            </w:pPr>
          </w:p>
          <w:p w14:paraId="3AD576C1">
            <w:pPr>
              <w:spacing w:line="301" w:lineRule="auto"/>
              <w:rPr>
                <w:rFonts w:ascii="Arial"/>
                <w:sz w:val="21"/>
              </w:rPr>
            </w:pPr>
          </w:p>
          <w:p w14:paraId="542F34B0">
            <w:pPr>
              <w:pStyle w:val="8"/>
              <w:spacing w:before="58" w:line="243" w:lineRule="auto"/>
              <w:ind w:left="59" w:right="55"/>
            </w:pPr>
            <w:r>
              <w:rPr>
                <w:spacing w:val="16"/>
              </w:rPr>
              <w:t>对从事船舶</w:t>
            </w:r>
            <w:r>
              <w:t xml:space="preserve"> </w:t>
            </w:r>
            <w:r>
              <w:rPr>
                <w:spacing w:val="10"/>
              </w:rPr>
              <w:t>港口服务、</w:t>
            </w:r>
            <w:r>
              <w:rPr>
                <w:spacing w:val="2"/>
              </w:rPr>
              <w:t xml:space="preserve"> </w:t>
            </w:r>
            <w:r>
              <w:rPr>
                <w:spacing w:val="16"/>
              </w:rPr>
              <w:t>港口设施设</w:t>
            </w:r>
            <w:r>
              <w:t xml:space="preserve"> </w:t>
            </w:r>
            <w:r>
              <w:rPr>
                <w:spacing w:val="16"/>
              </w:rPr>
              <w:t>备和机械租</w:t>
            </w:r>
            <w:r>
              <w:t xml:space="preserve"> </w:t>
            </w:r>
            <w:r>
              <w:rPr>
                <w:spacing w:val="16"/>
              </w:rPr>
              <w:t>赁维修的经</w:t>
            </w:r>
            <w:r>
              <w:t xml:space="preserve"> </w:t>
            </w:r>
            <w:r>
              <w:rPr>
                <w:spacing w:val="16"/>
              </w:rPr>
              <w:t>营人未按规</w:t>
            </w:r>
            <w:r>
              <w:t xml:space="preserve"> </w:t>
            </w:r>
            <w:r>
              <w:rPr>
                <w:spacing w:val="16"/>
              </w:rPr>
              <w:t>定进行备案</w:t>
            </w:r>
            <w:r>
              <w:t xml:space="preserve"> </w:t>
            </w:r>
            <w:r>
              <w:rPr>
                <w:spacing w:val="-2"/>
              </w:rPr>
              <w:t>的行政处罚</w:t>
            </w:r>
          </w:p>
        </w:tc>
        <w:tc>
          <w:tcPr>
            <w:tcW w:w="1100" w:type="dxa"/>
            <w:vAlign w:val="top"/>
          </w:tcPr>
          <w:p w14:paraId="55C0B1BB">
            <w:pPr>
              <w:spacing w:line="286" w:lineRule="auto"/>
              <w:rPr>
                <w:rFonts w:ascii="Arial"/>
                <w:sz w:val="21"/>
              </w:rPr>
            </w:pPr>
          </w:p>
          <w:p w14:paraId="10E9B8E2">
            <w:pPr>
              <w:spacing w:line="286" w:lineRule="auto"/>
              <w:rPr>
                <w:rFonts w:ascii="Arial"/>
                <w:sz w:val="21"/>
              </w:rPr>
            </w:pPr>
          </w:p>
          <w:p w14:paraId="43207A42">
            <w:pPr>
              <w:spacing w:line="286" w:lineRule="auto"/>
              <w:rPr>
                <w:rFonts w:ascii="Arial"/>
                <w:sz w:val="21"/>
              </w:rPr>
            </w:pPr>
          </w:p>
          <w:p w14:paraId="022DE2DC">
            <w:pPr>
              <w:spacing w:line="286" w:lineRule="auto"/>
              <w:rPr>
                <w:rFonts w:ascii="Arial"/>
                <w:sz w:val="21"/>
              </w:rPr>
            </w:pPr>
          </w:p>
          <w:p w14:paraId="53A5D80D">
            <w:pPr>
              <w:spacing w:line="286" w:lineRule="auto"/>
              <w:rPr>
                <w:rFonts w:ascii="Arial"/>
                <w:sz w:val="21"/>
              </w:rPr>
            </w:pPr>
          </w:p>
          <w:p w14:paraId="4DB7BA6A">
            <w:pPr>
              <w:pStyle w:val="8"/>
              <w:spacing w:before="59" w:line="220" w:lineRule="auto"/>
              <w:ind w:left="112"/>
            </w:pPr>
            <w:r>
              <w:rPr>
                <w:spacing w:val="-2"/>
              </w:rPr>
              <w:t>行政处罚</w:t>
            </w:r>
          </w:p>
        </w:tc>
        <w:tc>
          <w:tcPr>
            <w:tcW w:w="8508" w:type="dxa"/>
            <w:vAlign w:val="top"/>
          </w:tcPr>
          <w:p w14:paraId="26C0675C">
            <w:pPr>
              <w:spacing w:line="364" w:lineRule="auto"/>
              <w:rPr>
                <w:rFonts w:ascii="Arial"/>
                <w:sz w:val="21"/>
              </w:rPr>
            </w:pPr>
          </w:p>
          <w:p w14:paraId="761B966D">
            <w:pPr>
              <w:pStyle w:val="8"/>
              <w:spacing w:before="58" w:line="219" w:lineRule="auto"/>
              <w:ind w:left="476"/>
            </w:pPr>
            <w:r>
              <w:rPr>
                <w:b/>
                <w:bCs/>
                <w:spacing w:val="-3"/>
              </w:rPr>
              <w:t>《港口经营管理规定》（交通运输部令</w:t>
            </w:r>
            <w:r>
              <w:rPr>
                <w:spacing w:val="-38"/>
              </w:rPr>
              <w:t xml:space="preserve"> </w:t>
            </w:r>
            <w:r>
              <w:rPr>
                <w:b/>
                <w:bCs/>
                <w:spacing w:val="-3"/>
              </w:rPr>
              <w:t>2020</w:t>
            </w:r>
            <w:r>
              <w:rPr>
                <w:spacing w:val="-38"/>
              </w:rPr>
              <w:t xml:space="preserve"> </w:t>
            </w:r>
            <w:r>
              <w:rPr>
                <w:b/>
                <w:bCs/>
                <w:spacing w:val="-3"/>
              </w:rPr>
              <w:t>年第</w:t>
            </w:r>
            <w:r>
              <w:rPr>
                <w:spacing w:val="-33"/>
              </w:rPr>
              <w:t xml:space="preserve"> </w:t>
            </w:r>
            <w:r>
              <w:rPr>
                <w:b/>
                <w:bCs/>
                <w:spacing w:val="-3"/>
              </w:rPr>
              <w:t>21</w:t>
            </w:r>
            <w:r>
              <w:rPr>
                <w:spacing w:val="-35"/>
              </w:rPr>
              <w:t xml:space="preserve"> </w:t>
            </w:r>
            <w:r>
              <w:rPr>
                <w:b/>
                <w:bCs/>
                <w:spacing w:val="-3"/>
              </w:rPr>
              <w:t>号)</w:t>
            </w:r>
          </w:p>
          <w:p w14:paraId="54647DEB">
            <w:pPr>
              <w:pStyle w:val="8"/>
              <w:spacing w:before="24"/>
              <w:ind w:left="110" w:right="104" w:firstLine="360"/>
            </w:pPr>
            <w:r>
              <w:t>第十六条  为船舶提供岸电、燃物料、生活品供应、水</w:t>
            </w:r>
            <w:r>
              <w:rPr>
                <w:spacing w:val="-1"/>
              </w:rPr>
              <w:t>上船员接送及船舶污染物（含油污水、残油、</w:t>
            </w:r>
            <w:r>
              <w:t xml:space="preserve"> 洗舱水、生活污水及垃圾）接收、围油栏供应服务等船舶港口服务的单位，港口设施设备和机械租赁维修</w:t>
            </w:r>
            <w:r>
              <w:rPr>
                <w:spacing w:val="7"/>
              </w:rPr>
              <w:t xml:space="preserve"> </w:t>
            </w:r>
            <w:r>
              <w:t>业务的单位以及港口理货业务经营人，应当向港口行政管理部门办理备案手续。港口行政管理部门应当建</w:t>
            </w:r>
            <w:r>
              <w:rPr>
                <w:spacing w:val="7"/>
              </w:rPr>
              <w:t xml:space="preserve"> </w:t>
            </w:r>
            <w:r>
              <w:rPr>
                <w:spacing w:val="-4"/>
              </w:rPr>
              <w:t>立备案情况档案。</w:t>
            </w:r>
          </w:p>
          <w:p w14:paraId="03AC4861">
            <w:pPr>
              <w:pStyle w:val="8"/>
              <w:spacing w:before="26" w:line="237" w:lineRule="auto"/>
              <w:ind w:left="110" w:right="104" w:firstLine="362"/>
              <w:jc w:val="both"/>
            </w:pPr>
            <w:r>
              <w:t>从事船舶港口服务、港口设施设备和机械租赁维修的经营人以及港口理货业务经营人名称、固定经营</w:t>
            </w:r>
            <w:r>
              <w:rPr>
                <w:spacing w:val="4"/>
              </w:rPr>
              <w:t xml:space="preserve"> </w:t>
            </w:r>
            <w:r>
              <w:rPr>
                <w:spacing w:val="-2"/>
              </w:rPr>
              <w:t>场所、法定代表人、经营范围等事项发生变更或者终止经营的，应当在变更</w:t>
            </w:r>
            <w:r>
              <w:rPr>
                <w:spacing w:val="-3"/>
              </w:rPr>
              <w:t>或者终止经营之日起</w:t>
            </w:r>
            <w:r>
              <w:rPr>
                <w:spacing w:val="-27"/>
              </w:rPr>
              <w:t xml:space="preserve"> </w:t>
            </w:r>
            <w:r>
              <w:rPr>
                <w:spacing w:val="-3"/>
              </w:rPr>
              <w:t>15</w:t>
            </w:r>
            <w:r>
              <w:rPr>
                <w:spacing w:val="-38"/>
              </w:rPr>
              <w:t xml:space="preserve"> </w:t>
            </w:r>
            <w:r>
              <w:rPr>
                <w:spacing w:val="-3"/>
              </w:rPr>
              <w:t>个工作</w:t>
            </w:r>
            <w:r>
              <w:t xml:space="preserve"> </w:t>
            </w:r>
            <w:r>
              <w:rPr>
                <w:spacing w:val="-4"/>
              </w:rPr>
              <w:t>日内办理变更备案。</w:t>
            </w:r>
          </w:p>
          <w:p w14:paraId="6E9566EB">
            <w:pPr>
              <w:pStyle w:val="8"/>
              <w:spacing w:before="25" w:line="233" w:lineRule="auto"/>
              <w:ind w:left="133" w:right="58" w:firstLine="338"/>
            </w:pPr>
            <w:r>
              <w:rPr>
                <w:spacing w:val="-3"/>
              </w:rPr>
              <w:t>第四十二条第二款  从事船舶港口服务、港口设施设备和机械租赁维修的经营人未按规定进行备案的，</w:t>
            </w:r>
            <w:r>
              <w:rPr>
                <w:spacing w:val="10"/>
              </w:rPr>
              <w:t xml:space="preserve"> </w:t>
            </w:r>
            <w:r>
              <w:rPr>
                <w:spacing w:val="-4"/>
              </w:rPr>
              <w:t>由港口行政管理部门责令改正，并处</w:t>
            </w:r>
            <w:r>
              <w:rPr>
                <w:spacing w:val="-13"/>
              </w:rPr>
              <w:t xml:space="preserve"> </w:t>
            </w:r>
            <w:r>
              <w:rPr>
                <w:spacing w:val="-4"/>
              </w:rPr>
              <w:t>1</w:t>
            </w:r>
            <w:r>
              <w:rPr>
                <w:spacing w:val="-34"/>
              </w:rPr>
              <w:t xml:space="preserve"> </w:t>
            </w:r>
            <w:r>
              <w:rPr>
                <w:spacing w:val="-4"/>
              </w:rPr>
              <w:t>万元以上</w:t>
            </w:r>
            <w:r>
              <w:rPr>
                <w:spacing w:val="-34"/>
              </w:rPr>
              <w:t xml:space="preserve"> </w:t>
            </w:r>
            <w:r>
              <w:rPr>
                <w:spacing w:val="-4"/>
              </w:rPr>
              <w:t>3</w:t>
            </w:r>
            <w:r>
              <w:rPr>
                <w:spacing w:val="-34"/>
              </w:rPr>
              <w:t xml:space="preserve"> </w:t>
            </w:r>
            <w:r>
              <w:rPr>
                <w:spacing w:val="-4"/>
              </w:rPr>
              <w:t>万元以下罚款。</w:t>
            </w:r>
          </w:p>
        </w:tc>
        <w:tc>
          <w:tcPr>
            <w:tcW w:w="1010" w:type="dxa"/>
            <w:vAlign w:val="top"/>
          </w:tcPr>
          <w:p w14:paraId="5D075D97">
            <w:pPr>
              <w:spacing w:line="263" w:lineRule="auto"/>
              <w:rPr>
                <w:rFonts w:ascii="Arial"/>
                <w:sz w:val="21"/>
              </w:rPr>
            </w:pPr>
          </w:p>
          <w:p w14:paraId="4FAB88F1">
            <w:pPr>
              <w:spacing w:line="263" w:lineRule="auto"/>
              <w:rPr>
                <w:rFonts w:ascii="Arial"/>
                <w:sz w:val="21"/>
              </w:rPr>
            </w:pPr>
          </w:p>
          <w:p w14:paraId="1D529B7B">
            <w:pPr>
              <w:spacing w:line="264" w:lineRule="auto"/>
              <w:rPr>
                <w:rFonts w:ascii="Arial"/>
                <w:sz w:val="21"/>
              </w:rPr>
            </w:pPr>
          </w:p>
          <w:p w14:paraId="7EE56873">
            <w:pPr>
              <w:spacing w:line="264" w:lineRule="auto"/>
              <w:rPr>
                <w:rFonts w:ascii="Arial"/>
                <w:sz w:val="21"/>
              </w:rPr>
            </w:pPr>
          </w:p>
          <w:p w14:paraId="1F10B60D">
            <w:pPr>
              <w:spacing w:line="264" w:lineRule="auto"/>
              <w:rPr>
                <w:rFonts w:ascii="Arial"/>
                <w:sz w:val="21"/>
              </w:rPr>
            </w:pPr>
          </w:p>
          <w:p w14:paraId="29E4E08D">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5A1D32AE">
            <w:pPr>
              <w:spacing w:line="299" w:lineRule="auto"/>
              <w:rPr>
                <w:rFonts w:ascii="Arial"/>
                <w:sz w:val="21"/>
              </w:rPr>
            </w:pPr>
          </w:p>
          <w:p w14:paraId="088E2C2E">
            <w:pPr>
              <w:spacing w:line="300" w:lineRule="auto"/>
              <w:rPr>
                <w:rFonts w:ascii="Arial"/>
                <w:sz w:val="21"/>
              </w:rPr>
            </w:pPr>
          </w:p>
          <w:p w14:paraId="72C6E8CD">
            <w:pPr>
              <w:spacing w:line="300" w:lineRule="auto"/>
              <w:rPr>
                <w:rFonts w:ascii="Arial"/>
                <w:sz w:val="21"/>
              </w:rPr>
            </w:pPr>
          </w:p>
          <w:p w14:paraId="7E1DB1B4">
            <w:pPr>
              <w:pStyle w:val="8"/>
              <w:spacing w:before="59" w:line="234" w:lineRule="auto"/>
              <w:ind w:left="530" w:right="104" w:hanging="413"/>
              <w:rPr>
                <w:rFonts w:hint="eastAsia"/>
                <w:spacing w:val="-12"/>
                <w:lang w:eastAsia="zh-CN"/>
              </w:rPr>
            </w:pPr>
          </w:p>
          <w:p w14:paraId="78B62364">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4" w:type="dxa"/>
            <w:vAlign w:val="top"/>
          </w:tcPr>
          <w:p w14:paraId="34CB6AC6">
            <w:pPr>
              <w:spacing w:line="299" w:lineRule="auto"/>
              <w:rPr>
                <w:rFonts w:ascii="Arial"/>
                <w:sz w:val="21"/>
              </w:rPr>
            </w:pPr>
          </w:p>
          <w:p w14:paraId="31F4DA72">
            <w:pPr>
              <w:spacing w:line="300" w:lineRule="auto"/>
              <w:rPr>
                <w:rFonts w:ascii="Arial"/>
                <w:sz w:val="21"/>
              </w:rPr>
            </w:pPr>
          </w:p>
          <w:p w14:paraId="1C776B3C">
            <w:pPr>
              <w:spacing w:line="300" w:lineRule="auto"/>
              <w:rPr>
                <w:rFonts w:ascii="Arial"/>
                <w:sz w:val="21"/>
              </w:rPr>
            </w:pPr>
          </w:p>
          <w:p w14:paraId="50DCFC0C">
            <w:pPr>
              <w:spacing w:line="300" w:lineRule="auto"/>
              <w:rPr>
                <w:rFonts w:ascii="Arial"/>
                <w:sz w:val="21"/>
              </w:rPr>
            </w:pPr>
          </w:p>
          <w:p w14:paraId="11DFE39A">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1C19D8D1">
      <w:pPr>
        <w:pStyle w:val="2"/>
      </w:pPr>
    </w:p>
    <w:p w14:paraId="1B44EC9A">
      <w:pPr>
        <w:sectPr>
          <w:footerReference r:id="rId131" w:type="default"/>
          <w:pgSz w:w="16839" w:h="11906"/>
          <w:pgMar w:top="1012" w:right="1034" w:bottom="967" w:left="1043" w:header="0" w:footer="768" w:gutter="0"/>
          <w:cols w:space="720" w:num="1"/>
        </w:sectPr>
      </w:pPr>
    </w:p>
    <w:p w14:paraId="598D7E3A">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1F606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485AE383">
            <w:pPr>
              <w:pStyle w:val="8"/>
              <w:spacing w:before="259" w:line="221" w:lineRule="auto"/>
              <w:ind w:left="134"/>
            </w:pPr>
            <w:r>
              <w:rPr>
                <w:b/>
                <w:bCs/>
                <w:spacing w:val="-4"/>
              </w:rPr>
              <w:t>序号</w:t>
            </w:r>
          </w:p>
        </w:tc>
        <w:tc>
          <w:tcPr>
            <w:tcW w:w="1100" w:type="dxa"/>
            <w:vMerge w:val="restart"/>
            <w:tcBorders>
              <w:bottom w:val="nil"/>
            </w:tcBorders>
            <w:vAlign w:val="top"/>
          </w:tcPr>
          <w:p w14:paraId="692FE9FC">
            <w:pPr>
              <w:pStyle w:val="8"/>
              <w:spacing w:before="260" w:line="220" w:lineRule="auto"/>
              <w:ind w:left="189"/>
            </w:pPr>
            <w:r>
              <w:rPr>
                <w:b/>
                <w:bCs/>
                <w:spacing w:val="-4"/>
              </w:rPr>
              <w:t>事项名称</w:t>
            </w:r>
          </w:p>
        </w:tc>
        <w:tc>
          <w:tcPr>
            <w:tcW w:w="1100" w:type="dxa"/>
            <w:vMerge w:val="restart"/>
            <w:tcBorders>
              <w:bottom w:val="nil"/>
            </w:tcBorders>
            <w:vAlign w:val="top"/>
          </w:tcPr>
          <w:p w14:paraId="35604AE9">
            <w:pPr>
              <w:pStyle w:val="8"/>
              <w:spacing w:before="260" w:line="219" w:lineRule="auto"/>
              <w:ind w:left="191"/>
            </w:pPr>
            <w:r>
              <w:rPr>
                <w:b/>
                <w:bCs/>
                <w:spacing w:val="-4"/>
              </w:rPr>
              <w:t>职权类型</w:t>
            </w:r>
          </w:p>
        </w:tc>
        <w:tc>
          <w:tcPr>
            <w:tcW w:w="8508" w:type="dxa"/>
            <w:vMerge w:val="restart"/>
            <w:tcBorders>
              <w:bottom w:val="nil"/>
            </w:tcBorders>
            <w:vAlign w:val="top"/>
          </w:tcPr>
          <w:p w14:paraId="4D62E0DA">
            <w:pPr>
              <w:pStyle w:val="8"/>
              <w:spacing w:before="259" w:line="219" w:lineRule="auto"/>
              <w:ind w:left="3900"/>
            </w:pPr>
            <w:r>
              <w:rPr>
                <w:b/>
                <w:bCs/>
                <w:spacing w:val="-5"/>
              </w:rPr>
              <w:t>实施依据</w:t>
            </w:r>
          </w:p>
        </w:tc>
        <w:tc>
          <w:tcPr>
            <w:tcW w:w="3425" w:type="dxa"/>
            <w:gridSpan w:val="3"/>
            <w:vAlign w:val="top"/>
          </w:tcPr>
          <w:p w14:paraId="6F092302">
            <w:pPr>
              <w:pStyle w:val="8"/>
              <w:spacing w:before="85" w:line="220" w:lineRule="auto"/>
              <w:ind w:left="1358"/>
            </w:pPr>
            <w:r>
              <w:rPr>
                <w:b/>
                <w:bCs/>
                <w:spacing w:val="-5"/>
              </w:rPr>
              <w:t>实施主体</w:t>
            </w:r>
          </w:p>
        </w:tc>
      </w:tr>
      <w:tr w14:paraId="48171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18CEFA4E">
            <w:pPr>
              <w:rPr>
                <w:rFonts w:ascii="Arial"/>
                <w:sz w:val="21"/>
              </w:rPr>
            </w:pPr>
          </w:p>
        </w:tc>
        <w:tc>
          <w:tcPr>
            <w:tcW w:w="1100" w:type="dxa"/>
            <w:vMerge w:val="continue"/>
            <w:tcBorders>
              <w:top w:val="nil"/>
            </w:tcBorders>
            <w:vAlign w:val="top"/>
          </w:tcPr>
          <w:p w14:paraId="53EBE32D">
            <w:pPr>
              <w:rPr>
                <w:rFonts w:ascii="Arial"/>
                <w:sz w:val="21"/>
              </w:rPr>
            </w:pPr>
          </w:p>
        </w:tc>
        <w:tc>
          <w:tcPr>
            <w:tcW w:w="1100" w:type="dxa"/>
            <w:vMerge w:val="continue"/>
            <w:tcBorders>
              <w:top w:val="nil"/>
            </w:tcBorders>
            <w:vAlign w:val="top"/>
          </w:tcPr>
          <w:p w14:paraId="037AEC73">
            <w:pPr>
              <w:rPr>
                <w:rFonts w:ascii="Arial"/>
                <w:sz w:val="21"/>
              </w:rPr>
            </w:pPr>
          </w:p>
        </w:tc>
        <w:tc>
          <w:tcPr>
            <w:tcW w:w="8508" w:type="dxa"/>
            <w:vMerge w:val="continue"/>
            <w:tcBorders>
              <w:top w:val="nil"/>
            </w:tcBorders>
            <w:vAlign w:val="top"/>
          </w:tcPr>
          <w:p w14:paraId="029F067E">
            <w:pPr>
              <w:rPr>
                <w:rFonts w:ascii="Arial"/>
                <w:sz w:val="21"/>
              </w:rPr>
            </w:pPr>
          </w:p>
        </w:tc>
        <w:tc>
          <w:tcPr>
            <w:tcW w:w="1010" w:type="dxa"/>
            <w:vAlign w:val="top"/>
          </w:tcPr>
          <w:p w14:paraId="06CA54BB">
            <w:pPr>
              <w:pStyle w:val="8"/>
              <w:spacing w:before="81" w:line="219" w:lineRule="auto"/>
              <w:ind w:left="155"/>
            </w:pPr>
            <w:r>
              <w:rPr>
                <w:b/>
                <w:bCs/>
                <w:spacing w:val="-5"/>
              </w:rPr>
              <w:t>责任部门</w:t>
            </w:r>
          </w:p>
        </w:tc>
        <w:tc>
          <w:tcPr>
            <w:tcW w:w="1401" w:type="dxa"/>
            <w:vAlign w:val="top"/>
          </w:tcPr>
          <w:p w14:paraId="5901DFF7">
            <w:pPr>
              <w:pStyle w:val="8"/>
              <w:spacing w:before="81" w:line="219" w:lineRule="auto"/>
              <w:ind w:left="164"/>
            </w:pPr>
            <w:r>
              <w:rPr>
                <w:b/>
                <w:bCs/>
                <w:spacing w:val="-3"/>
              </w:rPr>
              <w:t>第一责任层级</w:t>
            </w:r>
          </w:p>
        </w:tc>
        <w:tc>
          <w:tcPr>
            <w:tcW w:w="1014" w:type="dxa"/>
            <w:vAlign w:val="top"/>
          </w:tcPr>
          <w:p w14:paraId="48BF4133">
            <w:pPr>
              <w:pStyle w:val="8"/>
              <w:spacing w:before="81" w:line="219" w:lineRule="auto"/>
              <w:ind w:left="150"/>
            </w:pPr>
            <w:r>
              <w:rPr>
                <w:b/>
                <w:bCs/>
                <w:spacing w:val="-4"/>
              </w:rPr>
              <w:t>承办机构</w:t>
            </w:r>
          </w:p>
        </w:tc>
      </w:tr>
      <w:tr w14:paraId="54068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0" w:hRule="atLeast"/>
        </w:trPr>
        <w:tc>
          <w:tcPr>
            <w:tcW w:w="622" w:type="dxa"/>
            <w:vAlign w:val="top"/>
          </w:tcPr>
          <w:p w14:paraId="119D4F1A">
            <w:pPr>
              <w:spacing w:line="249" w:lineRule="auto"/>
              <w:rPr>
                <w:rFonts w:ascii="Arial"/>
                <w:sz w:val="21"/>
              </w:rPr>
            </w:pPr>
          </w:p>
          <w:p w14:paraId="343F3AE2">
            <w:pPr>
              <w:spacing w:line="249" w:lineRule="auto"/>
              <w:rPr>
                <w:rFonts w:ascii="Arial"/>
                <w:sz w:val="21"/>
              </w:rPr>
            </w:pPr>
          </w:p>
          <w:p w14:paraId="428E7088">
            <w:pPr>
              <w:spacing w:line="249" w:lineRule="auto"/>
              <w:rPr>
                <w:rFonts w:ascii="Arial"/>
                <w:sz w:val="21"/>
              </w:rPr>
            </w:pPr>
          </w:p>
          <w:p w14:paraId="095705FC">
            <w:pPr>
              <w:spacing w:line="249" w:lineRule="auto"/>
              <w:rPr>
                <w:rFonts w:ascii="Arial"/>
                <w:sz w:val="21"/>
              </w:rPr>
            </w:pPr>
          </w:p>
          <w:p w14:paraId="14CA99CD">
            <w:pPr>
              <w:spacing w:line="249" w:lineRule="auto"/>
              <w:rPr>
                <w:rFonts w:ascii="Arial"/>
                <w:sz w:val="21"/>
              </w:rPr>
            </w:pPr>
          </w:p>
          <w:p w14:paraId="6C159A36">
            <w:pPr>
              <w:spacing w:line="249" w:lineRule="auto"/>
              <w:rPr>
                <w:rFonts w:ascii="Arial"/>
                <w:sz w:val="21"/>
              </w:rPr>
            </w:pPr>
          </w:p>
          <w:p w14:paraId="2B85101D">
            <w:pPr>
              <w:spacing w:line="249" w:lineRule="auto"/>
              <w:rPr>
                <w:rFonts w:ascii="Arial"/>
                <w:sz w:val="21"/>
              </w:rPr>
            </w:pPr>
          </w:p>
          <w:p w14:paraId="694D953E">
            <w:pPr>
              <w:spacing w:line="249" w:lineRule="auto"/>
              <w:rPr>
                <w:rFonts w:ascii="Arial"/>
                <w:sz w:val="21"/>
              </w:rPr>
            </w:pPr>
          </w:p>
          <w:p w14:paraId="6DEC685B">
            <w:pPr>
              <w:spacing w:line="249" w:lineRule="auto"/>
              <w:rPr>
                <w:rFonts w:ascii="Arial"/>
                <w:sz w:val="21"/>
              </w:rPr>
            </w:pPr>
          </w:p>
          <w:p w14:paraId="6BBACA52">
            <w:pPr>
              <w:spacing w:line="249" w:lineRule="auto"/>
              <w:rPr>
                <w:rFonts w:ascii="Arial"/>
                <w:sz w:val="21"/>
              </w:rPr>
            </w:pPr>
          </w:p>
          <w:p w14:paraId="13B9C9F9">
            <w:pPr>
              <w:spacing w:line="249" w:lineRule="auto"/>
              <w:rPr>
                <w:rFonts w:ascii="Arial"/>
                <w:sz w:val="21"/>
              </w:rPr>
            </w:pPr>
          </w:p>
          <w:p w14:paraId="1B4A56B6">
            <w:pPr>
              <w:spacing w:line="250" w:lineRule="auto"/>
              <w:rPr>
                <w:rFonts w:ascii="Arial"/>
                <w:sz w:val="21"/>
              </w:rPr>
            </w:pPr>
          </w:p>
          <w:p w14:paraId="617963D3">
            <w:pPr>
              <w:spacing w:line="250" w:lineRule="auto"/>
              <w:rPr>
                <w:rFonts w:ascii="Arial"/>
                <w:sz w:val="21"/>
              </w:rPr>
            </w:pPr>
          </w:p>
          <w:p w14:paraId="6D0AEB19">
            <w:pPr>
              <w:spacing w:line="250" w:lineRule="auto"/>
              <w:rPr>
                <w:rFonts w:ascii="Arial"/>
                <w:sz w:val="21"/>
              </w:rPr>
            </w:pPr>
          </w:p>
          <w:p w14:paraId="24A0ADA7">
            <w:pPr>
              <w:spacing w:line="250" w:lineRule="auto"/>
              <w:rPr>
                <w:rFonts w:ascii="Arial"/>
                <w:sz w:val="21"/>
              </w:rPr>
            </w:pPr>
          </w:p>
          <w:p w14:paraId="6EAECDF6">
            <w:pPr>
              <w:spacing w:line="250" w:lineRule="auto"/>
              <w:rPr>
                <w:rFonts w:ascii="Arial"/>
                <w:sz w:val="21"/>
              </w:rPr>
            </w:pPr>
          </w:p>
          <w:p w14:paraId="1F06BFC2">
            <w:pPr>
              <w:spacing w:line="250" w:lineRule="auto"/>
              <w:rPr>
                <w:rFonts w:ascii="Arial"/>
                <w:sz w:val="21"/>
              </w:rPr>
            </w:pPr>
          </w:p>
          <w:p w14:paraId="1319D251">
            <w:pPr>
              <w:pStyle w:val="8"/>
              <w:spacing w:before="58" w:line="184" w:lineRule="auto"/>
              <w:ind w:left="239"/>
            </w:pPr>
            <w:r>
              <w:rPr>
                <w:spacing w:val="-10"/>
              </w:rPr>
              <w:t>11</w:t>
            </w:r>
          </w:p>
        </w:tc>
        <w:tc>
          <w:tcPr>
            <w:tcW w:w="1100" w:type="dxa"/>
            <w:vAlign w:val="top"/>
          </w:tcPr>
          <w:p w14:paraId="042D5EA8">
            <w:pPr>
              <w:spacing w:line="241" w:lineRule="auto"/>
              <w:rPr>
                <w:rFonts w:ascii="Arial"/>
                <w:sz w:val="21"/>
              </w:rPr>
            </w:pPr>
          </w:p>
          <w:p w14:paraId="6FABB10D">
            <w:pPr>
              <w:spacing w:line="241" w:lineRule="auto"/>
              <w:rPr>
                <w:rFonts w:ascii="Arial"/>
                <w:sz w:val="21"/>
              </w:rPr>
            </w:pPr>
          </w:p>
          <w:p w14:paraId="3DDB31D1">
            <w:pPr>
              <w:spacing w:line="241" w:lineRule="auto"/>
              <w:rPr>
                <w:rFonts w:ascii="Arial"/>
                <w:sz w:val="21"/>
              </w:rPr>
            </w:pPr>
          </w:p>
          <w:p w14:paraId="11F165B3">
            <w:pPr>
              <w:spacing w:line="241" w:lineRule="auto"/>
              <w:rPr>
                <w:rFonts w:ascii="Arial"/>
                <w:sz w:val="21"/>
              </w:rPr>
            </w:pPr>
          </w:p>
          <w:p w14:paraId="4B1A66CE">
            <w:pPr>
              <w:spacing w:line="241" w:lineRule="auto"/>
              <w:rPr>
                <w:rFonts w:ascii="Arial"/>
                <w:sz w:val="21"/>
              </w:rPr>
            </w:pPr>
          </w:p>
          <w:p w14:paraId="64E82A56">
            <w:pPr>
              <w:spacing w:line="242" w:lineRule="auto"/>
              <w:rPr>
                <w:rFonts w:ascii="Arial"/>
                <w:sz w:val="21"/>
              </w:rPr>
            </w:pPr>
          </w:p>
          <w:p w14:paraId="005499D7">
            <w:pPr>
              <w:spacing w:line="242" w:lineRule="auto"/>
              <w:rPr>
                <w:rFonts w:ascii="Arial"/>
                <w:sz w:val="21"/>
              </w:rPr>
            </w:pPr>
          </w:p>
          <w:p w14:paraId="0651B9FA">
            <w:pPr>
              <w:spacing w:line="242" w:lineRule="auto"/>
              <w:rPr>
                <w:rFonts w:ascii="Arial"/>
                <w:sz w:val="21"/>
              </w:rPr>
            </w:pPr>
          </w:p>
          <w:p w14:paraId="1AD5D8D5">
            <w:pPr>
              <w:spacing w:line="242" w:lineRule="auto"/>
              <w:rPr>
                <w:rFonts w:ascii="Arial"/>
                <w:sz w:val="21"/>
              </w:rPr>
            </w:pPr>
          </w:p>
          <w:p w14:paraId="71EA6985">
            <w:pPr>
              <w:spacing w:line="242" w:lineRule="auto"/>
              <w:rPr>
                <w:rFonts w:ascii="Arial"/>
                <w:sz w:val="21"/>
              </w:rPr>
            </w:pPr>
          </w:p>
          <w:p w14:paraId="134A251F">
            <w:pPr>
              <w:spacing w:line="242" w:lineRule="auto"/>
              <w:rPr>
                <w:rFonts w:ascii="Arial"/>
                <w:sz w:val="21"/>
              </w:rPr>
            </w:pPr>
          </w:p>
          <w:p w14:paraId="2819684C">
            <w:pPr>
              <w:spacing w:line="242" w:lineRule="auto"/>
              <w:rPr>
                <w:rFonts w:ascii="Arial"/>
                <w:sz w:val="21"/>
              </w:rPr>
            </w:pPr>
          </w:p>
          <w:p w14:paraId="1F820B69">
            <w:pPr>
              <w:spacing w:line="242" w:lineRule="auto"/>
              <w:rPr>
                <w:rFonts w:ascii="Arial"/>
                <w:sz w:val="21"/>
              </w:rPr>
            </w:pPr>
          </w:p>
          <w:p w14:paraId="1421ECF7">
            <w:pPr>
              <w:spacing w:line="242" w:lineRule="auto"/>
              <w:rPr>
                <w:rFonts w:ascii="Arial"/>
                <w:sz w:val="21"/>
              </w:rPr>
            </w:pPr>
          </w:p>
          <w:p w14:paraId="4F092925">
            <w:pPr>
              <w:pStyle w:val="8"/>
              <w:spacing w:before="58" w:line="243" w:lineRule="auto"/>
              <w:ind w:left="59" w:right="55"/>
              <w:jc w:val="both"/>
            </w:pPr>
            <w:r>
              <w:rPr>
                <w:spacing w:val="16"/>
              </w:rPr>
              <w:t>对港口经营</w:t>
            </w:r>
            <w:r>
              <w:t xml:space="preserve"> </w:t>
            </w:r>
            <w:r>
              <w:rPr>
                <w:spacing w:val="16"/>
              </w:rPr>
              <w:t>人未按照国</w:t>
            </w:r>
            <w:r>
              <w:t xml:space="preserve"> </w:t>
            </w:r>
            <w:r>
              <w:rPr>
                <w:spacing w:val="16"/>
              </w:rPr>
              <w:t>家有关规定</w:t>
            </w:r>
            <w:r>
              <w:t xml:space="preserve"> </w:t>
            </w:r>
            <w:r>
              <w:rPr>
                <w:spacing w:val="16"/>
              </w:rPr>
              <w:t>落实港口大</w:t>
            </w:r>
            <w:r>
              <w:t xml:space="preserve"> </w:t>
            </w:r>
            <w:r>
              <w:rPr>
                <w:spacing w:val="16"/>
              </w:rPr>
              <w:t>型机械防阵</w:t>
            </w:r>
            <w:r>
              <w:t xml:space="preserve"> </w:t>
            </w:r>
            <w:r>
              <w:rPr>
                <w:spacing w:val="16"/>
              </w:rPr>
              <w:t>风防台风措</w:t>
            </w:r>
            <w:r>
              <w:t xml:space="preserve"> </w:t>
            </w:r>
            <w:r>
              <w:rPr>
                <w:spacing w:val="16"/>
              </w:rPr>
              <w:t>施等行为的</w:t>
            </w:r>
            <w:r>
              <w:t xml:space="preserve"> </w:t>
            </w:r>
            <w:r>
              <w:rPr>
                <w:spacing w:val="-2"/>
              </w:rPr>
              <w:t>行政处罚</w:t>
            </w:r>
          </w:p>
        </w:tc>
        <w:tc>
          <w:tcPr>
            <w:tcW w:w="1100" w:type="dxa"/>
            <w:vAlign w:val="top"/>
          </w:tcPr>
          <w:p w14:paraId="707065EA">
            <w:pPr>
              <w:spacing w:line="247" w:lineRule="auto"/>
              <w:rPr>
                <w:rFonts w:ascii="Arial"/>
                <w:sz w:val="21"/>
              </w:rPr>
            </w:pPr>
          </w:p>
          <w:p w14:paraId="1949938A">
            <w:pPr>
              <w:spacing w:line="247" w:lineRule="auto"/>
              <w:rPr>
                <w:rFonts w:ascii="Arial"/>
                <w:sz w:val="21"/>
              </w:rPr>
            </w:pPr>
          </w:p>
          <w:p w14:paraId="35146D5C">
            <w:pPr>
              <w:spacing w:line="247" w:lineRule="auto"/>
              <w:rPr>
                <w:rFonts w:ascii="Arial"/>
                <w:sz w:val="21"/>
              </w:rPr>
            </w:pPr>
          </w:p>
          <w:p w14:paraId="10592840">
            <w:pPr>
              <w:spacing w:line="247" w:lineRule="auto"/>
              <w:rPr>
                <w:rFonts w:ascii="Arial"/>
                <w:sz w:val="21"/>
              </w:rPr>
            </w:pPr>
          </w:p>
          <w:p w14:paraId="065F7D7B">
            <w:pPr>
              <w:spacing w:line="247" w:lineRule="auto"/>
              <w:rPr>
                <w:rFonts w:ascii="Arial"/>
                <w:sz w:val="21"/>
              </w:rPr>
            </w:pPr>
          </w:p>
          <w:p w14:paraId="1AB29BCA">
            <w:pPr>
              <w:spacing w:line="247" w:lineRule="auto"/>
              <w:rPr>
                <w:rFonts w:ascii="Arial"/>
                <w:sz w:val="21"/>
              </w:rPr>
            </w:pPr>
          </w:p>
          <w:p w14:paraId="6C99F256">
            <w:pPr>
              <w:spacing w:line="247" w:lineRule="auto"/>
              <w:rPr>
                <w:rFonts w:ascii="Arial"/>
                <w:sz w:val="21"/>
              </w:rPr>
            </w:pPr>
          </w:p>
          <w:p w14:paraId="7F26CCD9">
            <w:pPr>
              <w:spacing w:line="248" w:lineRule="auto"/>
              <w:rPr>
                <w:rFonts w:ascii="Arial"/>
                <w:sz w:val="21"/>
              </w:rPr>
            </w:pPr>
          </w:p>
          <w:p w14:paraId="67F42D18">
            <w:pPr>
              <w:spacing w:line="248" w:lineRule="auto"/>
              <w:rPr>
                <w:rFonts w:ascii="Arial"/>
                <w:sz w:val="21"/>
              </w:rPr>
            </w:pPr>
          </w:p>
          <w:p w14:paraId="3B1E2B5C">
            <w:pPr>
              <w:spacing w:line="248" w:lineRule="auto"/>
              <w:rPr>
                <w:rFonts w:ascii="Arial"/>
                <w:sz w:val="21"/>
              </w:rPr>
            </w:pPr>
          </w:p>
          <w:p w14:paraId="458B15A5">
            <w:pPr>
              <w:spacing w:line="248" w:lineRule="auto"/>
              <w:rPr>
                <w:rFonts w:ascii="Arial"/>
                <w:sz w:val="21"/>
              </w:rPr>
            </w:pPr>
          </w:p>
          <w:p w14:paraId="57258A21">
            <w:pPr>
              <w:spacing w:line="248" w:lineRule="auto"/>
              <w:rPr>
                <w:rFonts w:ascii="Arial"/>
                <w:sz w:val="21"/>
              </w:rPr>
            </w:pPr>
          </w:p>
          <w:p w14:paraId="4A91E6C2">
            <w:pPr>
              <w:spacing w:line="248" w:lineRule="auto"/>
              <w:rPr>
                <w:rFonts w:ascii="Arial"/>
                <w:sz w:val="21"/>
              </w:rPr>
            </w:pPr>
          </w:p>
          <w:p w14:paraId="18EDAB74">
            <w:pPr>
              <w:spacing w:line="248" w:lineRule="auto"/>
              <w:rPr>
                <w:rFonts w:ascii="Arial"/>
                <w:sz w:val="21"/>
              </w:rPr>
            </w:pPr>
          </w:p>
          <w:p w14:paraId="08B9353B">
            <w:pPr>
              <w:spacing w:line="248" w:lineRule="auto"/>
              <w:rPr>
                <w:rFonts w:ascii="Arial"/>
                <w:sz w:val="21"/>
              </w:rPr>
            </w:pPr>
          </w:p>
          <w:p w14:paraId="1D5CB70C">
            <w:pPr>
              <w:spacing w:line="248" w:lineRule="auto"/>
              <w:rPr>
                <w:rFonts w:ascii="Arial"/>
                <w:sz w:val="21"/>
              </w:rPr>
            </w:pPr>
          </w:p>
          <w:p w14:paraId="69027EF8">
            <w:pPr>
              <w:spacing w:line="248" w:lineRule="auto"/>
              <w:rPr>
                <w:rFonts w:ascii="Arial"/>
                <w:sz w:val="21"/>
              </w:rPr>
            </w:pPr>
          </w:p>
          <w:p w14:paraId="420DC4B3">
            <w:pPr>
              <w:pStyle w:val="8"/>
              <w:spacing w:before="58" w:line="220" w:lineRule="auto"/>
              <w:ind w:left="112"/>
            </w:pPr>
            <w:r>
              <w:rPr>
                <w:spacing w:val="-2"/>
              </w:rPr>
              <w:t>行政处罚</w:t>
            </w:r>
          </w:p>
        </w:tc>
        <w:tc>
          <w:tcPr>
            <w:tcW w:w="8508" w:type="dxa"/>
            <w:vAlign w:val="top"/>
          </w:tcPr>
          <w:p w14:paraId="0F93847F">
            <w:pPr>
              <w:spacing w:line="282" w:lineRule="auto"/>
              <w:rPr>
                <w:rFonts w:ascii="Arial"/>
                <w:sz w:val="21"/>
              </w:rPr>
            </w:pPr>
          </w:p>
          <w:p w14:paraId="023C408A">
            <w:pPr>
              <w:pStyle w:val="8"/>
              <w:spacing w:before="59" w:line="219" w:lineRule="auto"/>
              <w:ind w:left="484"/>
            </w:pPr>
            <w:r>
              <w:rPr>
                <w:b/>
                <w:bCs/>
                <w:spacing w:val="-4"/>
              </w:rPr>
              <w:t>1.《港口经营管理规定》（交通运输部令</w:t>
            </w:r>
            <w:r>
              <w:rPr>
                <w:spacing w:val="-19"/>
              </w:rPr>
              <w:t xml:space="preserve"> </w:t>
            </w:r>
            <w:r>
              <w:rPr>
                <w:b/>
                <w:bCs/>
                <w:spacing w:val="-4"/>
              </w:rPr>
              <w:t>2020</w:t>
            </w:r>
            <w:r>
              <w:rPr>
                <w:spacing w:val="-38"/>
              </w:rPr>
              <w:t xml:space="preserve"> </w:t>
            </w:r>
            <w:r>
              <w:rPr>
                <w:b/>
                <w:bCs/>
                <w:spacing w:val="-4"/>
              </w:rPr>
              <w:t>年第</w:t>
            </w:r>
            <w:r>
              <w:rPr>
                <w:spacing w:val="-35"/>
              </w:rPr>
              <w:t xml:space="preserve"> </w:t>
            </w:r>
            <w:r>
              <w:rPr>
                <w:b/>
                <w:bCs/>
                <w:spacing w:val="-4"/>
              </w:rPr>
              <w:t>21</w:t>
            </w:r>
            <w:r>
              <w:rPr>
                <w:spacing w:val="-35"/>
              </w:rPr>
              <w:t xml:space="preserve"> </w:t>
            </w:r>
            <w:r>
              <w:rPr>
                <w:b/>
                <w:bCs/>
                <w:spacing w:val="-4"/>
              </w:rPr>
              <w:t>号）</w:t>
            </w:r>
          </w:p>
          <w:p w14:paraId="4FFF462B">
            <w:pPr>
              <w:pStyle w:val="8"/>
              <w:spacing w:before="27" w:line="237" w:lineRule="auto"/>
              <w:ind w:left="110" w:right="104" w:firstLine="360"/>
              <w:jc w:val="both"/>
            </w:pPr>
            <w:r>
              <w:t>第七条第（四）项  从事港口经营（港口拖轮经营除外</w:t>
            </w:r>
            <w:r>
              <w:rPr>
                <w:spacing w:val="1"/>
              </w:rPr>
              <w:t>），</w:t>
            </w:r>
            <w:r>
              <w:t>应当具备下列条件</w:t>
            </w:r>
            <w:r>
              <w:rPr>
                <w:spacing w:val="1"/>
              </w:rPr>
              <w:t>：（</w:t>
            </w:r>
            <w:r>
              <w:t>四）有健全的经营</w:t>
            </w:r>
            <w:r>
              <w:rPr>
                <w:spacing w:val="2"/>
              </w:rPr>
              <w:t xml:space="preserve"> </w:t>
            </w:r>
            <w:r>
              <w:t>管理制度和安全管理制度以及生产安全事故应急预案，应急预案经专家审查通过；依法设置安全生产管理</w:t>
            </w:r>
            <w:r>
              <w:rPr>
                <w:spacing w:val="7"/>
              </w:rPr>
              <w:t xml:space="preserve"> </w:t>
            </w:r>
            <w:r>
              <w:rPr>
                <w:spacing w:val="-3"/>
              </w:rPr>
              <w:t>机构或者配备专职安全管理人员。</w:t>
            </w:r>
          </w:p>
          <w:p w14:paraId="1F4B6932">
            <w:pPr>
              <w:pStyle w:val="8"/>
              <w:spacing w:before="24"/>
              <w:ind w:left="110" w:right="58" w:firstLine="360"/>
            </w:pPr>
            <w:r>
              <w:t>第二十一条  港口经营人、港口理货业务经营人应当建立健全安全生产责任制和安全生产规章制度，</w:t>
            </w:r>
            <w:r>
              <w:rPr>
                <w:spacing w:val="3"/>
              </w:rPr>
              <w:t xml:space="preserve"> </w:t>
            </w:r>
            <w:r>
              <w:t>推进安全生产标准化建设，依法提取和使用安全生产费用，完善安全生产条件，建立实施安全风险分级管</w:t>
            </w:r>
            <w:r>
              <w:rPr>
                <w:spacing w:val="7"/>
              </w:rPr>
              <w:t xml:space="preserve"> </w:t>
            </w:r>
            <w:r>
              <w:rPr>
                <w:spacing w:val="-3"/>
              </w:rPr>
              <w:t>控和隐患排查治理制度，并严格落实治理措施；对从业人员进行安全生产教育、培训并如实记录相关情况，</w:t>
            </w:r>
            <w:r>
              <w:rPr>
                <w:spacing w:val="14"/>
              </w:rPr>
              <w:t xml:space="preserve"> </w:t>
            </w:r>
            <w:r>
              <w:rPr>
                <w:spacing w:val="-4"/>
              </w:rPr>
              <w:t>确保安全生产。</w:t>
            </w:r>
          </w:p>
          <w:p w14:paraId="5B1C4BA8">
            <w:pPr>
              <w:pStyle w:val="8"/>
              <w:spacing w:before="25" w:line="219" w:lineRule="auto"/>
              <w:ind w:left="470"/>
            </w:pPr>
            <w:r>
              <w:rPr>
                <w:spacing w:val="-1"/>
              </w:rPr>
              <w:t>港口经营人应当按照国家有关规定落实港口大型机械防阵风</w:t>
            </w:r>
            <w:r>
              <w:rPr>
                <w:spacing w:val="-2"/>
              </w:rPr>
              <w:t>防台风措施。</w:t>
            </w:r>
          </w:p>
          <w:p w14:paraId="7E875B72">
            <w:pPr>
              <w:pStyle w:val="8"/>
              <w:spacing w:before="26" w:line="233" w:lineRule="auto"/>
              <w:ind w:left="112" w:right="104" w:firstLine="358"/>
            </w:pPr>
            <w:r>
              <w:t>第二十二条  港口经营人应当按照码头竣工验收确定的泊位性质和功能接靠船舶，不得超过码头靠泊</w:t>
            </w:r>
            <w:r>
              <w:rPr>
                <w:spacing w:val="6"/>
              </w:rPr>
              <w:t xml:space="preserve"> </w:t>
            </w:r>
            <w:r>
              <w:rPr>
                <w:spacing w:val="-1"/>
              </w:rPr>
              <w:t>等级接靠船舶，但按照交通运输部的规定接靠满足相关条件的减载船舶除外。</w:t>
            </w:r>
          </w:p>
          <w:p w14:paraId="6282B913">
            <w:pPr>
              <w:pStyle w:val="8"/>
              <w:spacing w:before="26" w:line="219" w:lineRule="auto"/>
              <w:ind w:left="471"/>
            </w:pPr>
            <w:r>
              <w:rPr>
                <w:spacing w:val="-1"/>
              </w:rPr>
              <w:t>第二十三条  港口经营人不得安排超过船舶载（乘）客定额数量的旅客</w:t>
            </w:r>
            <w:r>
              <w:rPr>
                <w:spacing w:val="-2"/>
              </w:rPr>
              <w:t>上船。</w:t>
            </w:r>
          </w:p>
          <w:p w14:paraId="7FB0E57A">
            <w:pPr>
              <w:pStyle w:val="8"/>
              <w:spacing w:before="27" w:line="237" w:lineRule="auto"/>
              <w:ind w:left="112" w:right="104" w:firstLine="357"/>
            </w:pPr>
            <w:r>
              <w:t>港口经营人不得装载超过最大营运总质量的集装箱，不得超出船舶、车辆载货定额装载货物。沿海港</w:t>
            </w:r>
            <w:r>
              <w:rPr>
                <w:spacing w:val="7"/>
              </w:rPr>
              <w:t xml:space="preserve"> </w:t>
            </w:r>
            <w:r>
              <w:t>口经营人不得为超出航区的内河船舶提供货物装卸服务。港口经营人应当配合海事管理机构做好恶劣天气</w:t>
            </w:r>
            <w:r>
              <w:rPr>
                <w:spacing w:val="4"/>
              </w:rPr>
              <w:t xml:space="preserve"> </w:t>
            </w:r>
            <w:r>
              <w:rPr>
                <w:spacing w:val="-3"/>
              </w:rPr>
              <w:t>条件下船舶靠离泊管理。</w:t>
            </w:r>
          </w:p>
          <w:p w14:paraId="3DE3B35D">
            <w:pPr>
              <w:pStyle w:val="8"/>
              <w:spacing w:before="24"/>
              <w:ind w:left="111" w:right="110" w:firstLine="360"/>
            </w:pPr>
            <w:r>
              <w:t>第二十五条  从事港口旅客运输服务的经营人，应当按照国家有关规定设置安全、消防、救生以及反 恐防范设施设备，配备安全检查人员和必要的安全检查设施</w:t>
            </w:r>
            <w:r>
              <w:rPr>
                <w:spacing w:val="-1"/>
              </w:rPr>
              <w:t>设备，对登船旅客及其携带或者托运的行李、</w:t>
            </w:r>
            <w:r>
              <w:t xml:space="preserve"> 物品以及滚装车辆进行安全检查，落实旅客实名制相关要求</w:t>
            </w:r>
            <w:r>
              <w:rPr>
                <w:spacing w:val="-1"/>
              </w:rPr>
              <w:t>，保证旅客基本生活用品的供应，保持安全、</w:t>
            </w:r>
            <w:r>
              <w:t xml:space="preserve"> </w:t>
            </w:r>
            <w:r>
              <w:rPr>
                <w:spacing w:val="-3"/>
              </w:rPr>
              <w:t>快捷、良好的候船条件和环境。</w:t>
            </w:r>
          </w:p>
          <w:p w14:paraId="1906F633">
            <w:pPr>
              <w:pStyle w:val="8"/>
              <w:spacing w:before="26" w:line="233" w:lineRule="auto"/>
              <w:ind w:left="470" w:right="1409"/>
            </w:pPr>
            <w:r>
              <w:rPr>
                <w:spacing w:val="-1"/>
              </w:rPr>
              <w:t>旅客或者滚装车辆拒绝接受安全检查或者携带国家规定禁止上船物品的，不得上</w:t>
            </w:r>
            <w:r>
              <w:rPr>
                <w:spacing w:val="-2"/>
              </w:rPr>
              <w:t>船。</w:t>
            </w:r>
            <w:r>
              <w:t xml:space="preserve"> </w:t>
            </w:r>
            <w:r>
              <w:rPr>
                <w:spacing w:val="-1"/>
              </w:rPr>
              <w:t>在港区内从事水上船员接送服务的，应当使用符合相关要求的</w:t>
            </w:r>
            <w:r>
              <w:rPr>
                <w:spacing w:val="-2"/>
              </w:rPr>
              <w:t>船舶。</w:t>
            </w:r>
          </w:p>
          <w:p w14:paraId="00346E01">
            <w:pPr>
              <w:pStyle w:val="8"/>
              <w:spacing w:before="24" w:line="242" w:lineRule="auto"/>
              <w:ind w:left="111" w:right="30" w:firstLine="359"/>
              <w:jc w:val="both"/>
            </w:pPr>
            <w:r>
              <w:rPr>
                <w:spacing w:val="-1"/>
              </w:rPr>
              <w:t>第四十二条第三款  港口经营人有下列行为之一的，由港口行政管理部门责令改正，并处</w:t>
            </w:r>
            <w:r>
              <w:rPr>
                <w:spacing w:val="-19"/>
              </w:rPr>
              <w:t xml:space="preserve"> </w:t>
            </w:r>
            <w:r>
              <w:rPr>
                <w:spacing w:val="-1"/>
              </w:rPr>
              <w:t>1</w:t>
            </w:r>
            <w:r>
              <w:rPr>
                <w:spacing w:val="-35"/>
              </w:rPr>
              <w:t xml:space="preserve"> </w:t>
            </w:r>
            <w:r>
              <w:rPr>
                <w:spacing w:val="-1"/>
              </w:rPr>
              <w:t>万元以上</w:t>
            </w:r>
            <w:r>
              <w:t xml:space="preserve">  </w:t>
            </w:r>
            <w:r>
              <w:rPr>
                <w:spacing w:val="2"/>
              </w:rPr>
              <w:t>3</w:t>
            </w:r>
            <w:r>
              <w:rPr>
                <w:spacing w:val="-34"/>
              </w:rPr>
              <w:t xml:space="preserve"> </w:t>
            </w:r>
            <w:r>
              <w:rPr>
                <w:spacing w:val="2"/>
              </w:rPr>
              <w:t>万元以下罚款</w:t>
            </w:r>
            <w:r>
              <w:rPr>
                <w:spacing w:val="-6"/>
              </w:rPr>
              <w:t>：（</w:t>
            </w:r>
            <w:r>
              <w:rPr>
                <w:spacing w:val="2"/>
              </w:rPr>
              <w:t>一）未按照国家有关规定落</w:t>
            </w:r>
            <w:r>
              <w:rPr>
                <w:spacing w:val="1"/>
              </w:rPr>
              <w:t>实港口大型机械防阵风防台风措施的</w:t>
            </w:r>
            <w:r>
              <w:rPr>
                <w:spacing w:val="-6"/>
              </w:rPr>
              <w:t>；（</w:t>
            </w:r>
            <w:r>
              <w:rPr>
                <w:spacing w:val="1"/>
              </w:rPr>
              <w:t>二）未按照码头</w:t>
            </w:r>
            <w:r>
              <w:t xml:space="preserve">  </w:t>
            </w:r>
            <w:r>
              <w:rPr>
                <w:spacing w:val="-2"/>
              </w:rPr>
              <w:t>泊位性质和功能接靠船舶或者超过码头靠泊等级接靠船舶的，但接靠满足相关条件的减载船舶除外</w:t>
            </w:r>
            <w:r>
              <w:rPr>
                <w:spacing w:val="-6"/>
              </w:rPr>
              <w:t>；（</w:t>
            </w:r>
            <w:r>
              <w:rPr>
                <w:spacing w:val="-2"/>
              </w:rPr>
              <w:t>三）</w:t>
            </w:r>
            <w:r>
              <w:rPr>
                <w:spacing w:val="1"/>
              </w:rPr>
              <w:t xml:space="preserve"> </w:t>
            </w:r>
            <w:r>
              <w:t>未对登船旅客及其携带或者托运的行李、物品以及滚装车辆进行安全检查的</w:t>
            </w:r>
            <w:r>
              <w:rPr>
                <w:spacing w:val="2"/>
              </w:rPr>
              <w:t>；（</w:t>
            </w:r>
            <w:r>
              <w:t>四）装载超出最大营运总  质量的集装箱或者超出船舶、车辆载货定额装载货物的</w:t>
            </w:r>
            <w:r>
              <w:rPr>
                <w:spacing w:val="2"/>
              </w:rPr>
              <w:t>；（</w:t>
            </w:r>
            <w:r>
              <w:t xml:space="preserve">五）未按照国家有关规定设置相应设施设备或  </w:t>
            </w:r>
            <w:r>
              <w:rPr>
                <w:spacing w:val="-3"/>
              </w:rPr>
              <w:t>者配备安全检查人员的。</w:t>
            </w:r>
          </w:p>
          <w:p w14:paraId="286ABD27">
            <w:pPr>
              <w:pStyle w:val="8"/>
              <w:spacing w:before="25" w:line="219" w:lineRule="auto"/>
              <w:ind w:left="473"/>
            </w:pPr>
            <w:r>
              <w:rPr>
                <w:b/>
                <w:bCs/>
                <w:spacing w:val="-3"/>
              </w:rPr>
              <w:t>2.《港口大型机械防阵风防台风管理规定》（交通部令〔2003〕第</w:t>
            </w:r>
            <w:r>
              <w:rPr>
                <w:spacing w:val="-9"/>
              </w:rPr>
              <w:t xml:space="preserve"> </w:t>
            </w:r>
            <w:r>
              <w:rPr>
                <w:b/>
                <w:bCs/>
                <w:spacing w:val="-3"/>
              </w:rPr>
              <w:t>3</w:t>
            </w:r>
            <w:r>
              <w:rPr>
                <w:spacing w:val="-34"/>
              </w:rPr>
              <w:t xml:space="preserve"> </w:t>
            </w:r>
            <w:r>
              <w:rPr>
                <w:b/>
                <w:bCs/>
                <w:spacing w:val="-3"/>
              </w:rPr>
              <w:t>号）</w:t>
            </w:r>
          </w:p>
          <w:p w14:paraId="64ADEEFE">
            <w:pPr>
              <w:pStyle w:val="8"/>
              <w:spacing w:before="25"/>
              <w:ind w:left="111" w:right="115" w:firstLine="359"/>
            </w:pPr>
            <w:r>
              <w:t>第五条  港口企业负责本单位大型港机预防、抵御阵风和台风具体措施的制订和实施工作</w:t>
            </w:r>
            <w:r>
              <w:rPr>
                <w:spacing w:val="-3"/>
              </w:rPr>
              <w:t>：（</w:t>
            </w:r>
            <w:r>
              <w:t>一）结</w:t>
            </w:r>
            <w:r>
              <w:rPr>
                <w:spacing w:val="1"/>
              </w:rPr>
              <w:t xml:space="preserve"> </w:t>
            </w:r>
            <w:r>
              <w:t>合本单位的具体情况，配备大型港机防风防台技术装置，制订符合实际情况的防风防台措施</w:t>
            </w:r>
            <w:r>
              <w:rPr>
                <w:spacing w:val="-1"/>
              </w:rPr>
              <w:t>和工作规程，</w:t>
            </w:r>
            <w:r>
              <w:t xml:space="preserve"> 并组织实施；（二）加强与气象部门和其他相关部门的联系和协调，及时掌握气象信息，注</w:t>
            </w:r>
            <w:r>
              <w:rPr>
                <w:spacing w:val="-1"/>
              </w:rPr>
              <w:t>意台风动态，</w:t>
            </w:r>
            <w:r>
              <w:t xml:space="preserve"> </w:t>
            </w:r>
            <w:r>
              <w:rPr>
                <w:spacing w:val="-1"/>
              </w:rPr>
              <w:t>实施预防工作；（三）加强港口生产人员培训，提高安全素质和</w:t>
            </w:r>
            <w:r>
              <w:rPr>
                <w:spacing w:val="-2"/>
              </w:rPr>
              <w:t>意识。</w:t>
            </w:r>
          </w:p>
          <w:p w14:paraId="42151E59">
            <w:pPr>
              <w:pStyle w:val="8"/>
              <w:spacing w:before="26" w:line="232" w:lineRule="auto"/>
              <w:ind w:left="116" w:right="104" w:firstLine="354"/>
            </w:pPr>
            <w:r>
              <w:t>第二十二条  港口企业未按本规定组织、实施防风防台工作的，由港口所在地港口管理部门视情况给</w:t>
            </w:r>
            <w:r>
              <w:rPr>
                <w:spacing w:val="6"/>
              </w:rPr>
              <w:t xml:space="preserve"> </w:t>
            </w:r>
            <w:r>
              <w:rPr>
                <w:spacing w:val="-4"/>
              </w:rPr>
              <w:t>予警告，并责令整改。</w:t>
            </w:r>
          </w:p>
        </w:tc>
        <w:tc>
          <w:tcPr>
            <w:tcW w:w="1010" w:type="dxa"/>
            <w:vAlign w:val="top"/>
          </w:tcPr>
          <w:p w14:paraId="163D14E4">
            <w:pPr>
              <w:spacing w:line="241" w:lineRule="auto"/>
              <w:rPr>
                <w:rFonts w:ascii="Arial"/>
                <w:sz w:val="21"/>
              </w:rPr>
            </w:pPr>
          </w:p>
          <w:p w14:paraId="41C8A5A4">
            <w:pPr>
              <w:spacing w:line="241" w:lineRule="auto"/>
              <w:rPr>
                <w:rFonts w:ascii="Arial"/>
                <w:sz w:val="21"/>
              </w:rPr>
            </w:pPr>
          </w:p>
          <w:p w14:paraId="63BE0018">
            <w:pPr>
              <w:spacing w:line="241" w:lineRule="auto"/>
              <w:rPr>
                <w:rFonts w:ascii="Arial"/>
                <w:sz w:val="21"/>
              </w:rPr>
            </w:pPr>
          </w:p>
          <w:p w14:paraId="13CE4ADA">
            <w:pPr>
              <w:spacing w:line="241" w:lineRule="auto"/>
              <w:rPr>
                <w:rFonts w:ascii="Arial"/>
                <w:sz w:val="21"/>
              </w:rPr>
            </w:pPr>
          </w:p>
          <w:p w14:paraId="0031EFCE">
            <w:pPr>
              <w:spacing w:line="241" w:lineRule="auto"/>
              <w:rPr>
                <w:rFonts w:ascii="Arial"/>
                <w:sz w:val="21"/>
              </w:rPr>
            </w:pPr>
          </w:p>
          <w:p w14:paraId="56838937">
            <w:pPr>
              <w:spacing w:line="241" w:lineRule="auto"/>
              <w:rPr>
                <w:rFonts w:ascii="Arial"/>
                <w:sz w:val="21"/>
              </w:rPr>
            </w:pPr>
          </w:p>
          <w:p w14:paraId="41438443">
            <w:pPr>
              <w:spacing w:line="241" w:lineRule="auto"/>
              <w:rPr>
                <w:rFonts w:ascii="Arial"/>
                <w:sz w:val="21"/>
              </w:rPr>
            </w:pPr>
          </w:p>
          <w:p w14:paraId="75141A41">
            <w:pPr>
              <w:spacing w:line="241" w:lineRule="auto"/>
              <w:rPr>
                <w:rFonts w:ascii="Arial"/>
                <w:sz w:val="21"/>
              </w:rPr>
            </w:pPr>
          </w:p>
          <w:p w14:paraId="375BECAA">
            <w:pPr>
              <w:spacing w:line="241" w:lineRule="auto"/>
              <w:rPr>
                <w:rFonts w:ascii="Arial"/>
                <w:sz w:val="21"/>
              </w:rPr>
            </w:pPr>
          </w:p>
          <w:p w14:paraId="6724626E">
            <w:pPr>
              <w:spacing w:line="241" w:lineRule="auto"/>
              <w:rPr>
                <w:rFonts w:ascii="Arial"/>
                <w:sz w:val="21"/>
              </w:rPr>
            </w:pPr>
          </w:p>
          <w:p w14:paraId="68FE8A6A">
            <w:pPr>
              <w:spacing w:line="241" w:lineRule="auto"/>
              <w:rPr>
                <w:rFonts w:ascii="Arial"/>
                <w:sz w:val="21"/>
              </w:rPr>
            </w:pPr>
          </w:p>
          <w:p w14:paraId="54373DEB">
            <w:pPr>
              <w:spacing w:line="241" w:lineRule="auto"/>
              <w:rPr>
                <w:rFonts w:ascii="Arial"/>
                <w:sz w:val="21"/>
              </w:rPr>
            </w:pPr>
          </w:p>
          <w:p w14:paraId="781C8940">
            <w:pPr>
              <w:spacing w:line="241" w:lineRule="auto"/>
              <w:rPr>
                <w:rFonts w:ascii="Arial"/>
                <w:sz w:val="21"/>
              </w:rPr>
            </w:pPr>
          </w:p>
          <w:p w14:paraId="37DB2361">
            <w:pPr>
              <w:spacing w:line="241" w:lineRule="auto"/>
              <w:rPr>
                <w:rFonts w:ascii="Arial"/>
                <w:sz w:val="21"/>
              </w:rPr>
            </w:pPr>
          </w:p>
          <w:p w14:paraId="02EA4703">
            <w:pPr>
              <w:spacing w:line="241" w:lineRule="auto"/>
              <w:rPr>
                <w:rFonts w:ascii="Arial"/>
                <w:sz w:val="21"/>
              </w:rPr>
            </w:pPr>
          </w:p>
          <w:p w14:paraId="5701865B">
            <w:pPr>
              <w:spacing w:line="242" w:lineRule="auto"/>
              <w:rPr>
                <w:rFonts w:ascii="Arial"/>
                <w:sz w:val="21"/>
              </w:rPr>
            </w:pPr>
          </w:p>
          <w:p w14:paraId="21437040">
            <w:pPr>
              <w:spacing w:line="242" w:lineRule="auto"/>
              <w:rPr>
                <w:rFonts w:ascii="Arial"/>
                <w:sz w:val="21"/>
              </w:rPr>
            </w:pPr>
          </w:p>
          <w:p w14:paraId="36AD879A">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7B0BC174">
            <w:pPr>
              <w:spacing w:line="248" w:lineRule="auto"/>
              <w:rPr>
                <w:rFonts w:ascii="Arial"/>
                <w:sz w:val="21"/>
              </w:rPr>
            </w:pPr>
          </w:p>
          <w:p w14:paraId="3735438D">
            <w:pPr>
              <w:spacing w:line="248" w:lineRule="auto"/>
              <w:rPr>
                <w:rFonts w:ascii="Arial"/>
                <w:sz w:val="21"/>
              </w:rPr>
            </w:pPr>
          </w:p>
          <w:p w14:paraId="32C978CA">
            <w:pPr>
              <w:spacing w:line="248" w:lineRule="auto"/>
              <w:rPr>
                <w:rFonts w:ascii="Arial"/>
                <w:sz w:val="21"/>
              </w:rPr>
            </w:pPr>
          </w:p>
          <w:p w14:paraId="0BDB7829">
            <w:pPr>
              <w:spacing w:line="248" w:lineRule="auto"/>
              <w:rPr>
                <w:rFonts w:ascii="Arial"/>
                <w:sz w:val="21"/>
              </w:rPr>
            </w:pPr>
          </w:p>
          <w:p w14:paraId="05445AAD">
            <w:pPr>
              <w:spacing w:line="249" w:lineRule="auto"/>
              <w:rPr>
                <w:rFonts w:ascii="Arial"/>
                <w:sz w:val="21"/>
              </w:rPr>
            </w:pPr>
          </w:p>
          <w:p w14:paraId="5FAF9785">
            <w:pPr>
              <w:spacing w:line="249" w:lineRule="auto"/>
              <w:rPr>
                <w:rFonts w:ascii="Arial"/>
                <w:sz w:val="21"/>
              </w:rPr>
            </w:pPr>
          </w:p>
          <w:p w14:paraId="02D52CA2">
            <w:pPr>
              <w:spacing w:line="249" w:lineRule="auto"/>
              <w:rPr>
                <w:rFonts w:ascii="Arial"/>
                <w:sz w:val="21"/>
              </w:rPr>
            </w:pPr>
          </w:p>
          <w:p w14:paraId="4FFC9FF3">
            <w:pPr>
              <w:spacing w:line="249" w:lineRule="auto"/>
              <w:rPr>
                <w:rFonts w:ascii="Arial"/>
                <w:sz w:val="21"/>
              </w:rPr>
            </w:pPr>
          </w:p>
          <w:p w14:paraId="4A7EC437">
            <w:pPr>
              <w:spacing w:line="249" w:lineRule="auto"/>
              <w:rPr>
                <w:rFonts w:ascii="Arial"/>
                <w:sz w:val="21"/>
              </w:rPr>
            </w:pPr>
          </w:p>
          <w:p w14:paraId="416EEFBF">
            <w:pPr>
              <w:spacing w:line="249" w:lineRule="auto"/>
              <w:rPr>
                <w:rFonts w:ascii="Arial"/>
                <w:sz w:val="21"/>
              </w:rPr>
            </w:pPr>
          </w:p>
          <w:p w14:paraId="3B2860C4">
            <w:pPr>
              <w:spacing w:line="249" w:lineRule="auto"/>
              <w:rPr>
                <w:rFonts w:ascii="Arial"/>
                <w:sz w:val="21"/>
              </w:rPr>
            </w:pPr>
          </w:p>
          <w:p w14:paraId="70C5F976">
            <w:pPr>
              <w:pStyle w:val="8"/>
              <w:spacing w:before="59" w:line="234" w:lineRule="auto"/>
              <w:ind w:left="530" w:right="104" w:hanging="413"/>
              <w:rPr>
                <w:rFonts w:hint="eastAsia"/>
                <w:spacing w:val="-12"/>
                <w:lang w:eastAsia="zh-CN"/>
              </w:rPr>
            </w:pPr>
          </w:p>
          <w:p w14:paraId="7BCE06DA">
            <w:pPr>
              <w:pStyle w:val="8"/>
              <w:spacing w:before="59" w:line="234" w:lineRule="auto"/>
              <w:ind w:left="530" w:right="104" w:hanging="413"/>
              <w:rPr>
                <w:rFonts w:hint="eastAsia"/>
                <w:spacing w:val="-12"/>
                <w:lang w:eastAsia="zh-CN"/>
              </w:rPr>
            </w:pPr>
          </w:p>
          <w:p w14:paraId="009717C7">
            <w:pPr>
              <w:pStyle w:val="8"/>
              <w:spacing w:before="59" w:line="234" w:lineRule="auto"/>
              <w:ind w:left="530" w:right="104" w:hanging="413"/>
              <w:rPr>
                <w:rFonts w:hint="eastAsia"/>
                <w:spacing w:val="-12"/>
                <w:lang w:eastAsia="zh-CN"/>
              </w:rPr>
            </w:pPr>
          </w:p>
          <w:p w14:paraId="730A5C9B">
            <w:pPr>
              <w:pStyle w:val="8"/>
              <w:spacing w:before="59" w:line="234" w:lineRule="auto"/>
              <w:ind w:left="530" w:right="104" w:hanging="413"/>
              <w:rPr>
                <w:rFonts w:hint="eastAsia"/>
                <w:spacing w:val="-12"/>
                <w:lang w:eastAsia="zh-CN"/>
              </w:rPr>
            </w:pPr>
          </w:p>
          <w:p w14:paraId="2B12FB3A">
            <w:pPr>
              <w:pStyle w:val="8"/>
              <w:spacing w:before="59" w:line="234" w:lineRule="auto"/>
              <w:ind w:left="530" w:right="104" w:hanging="413"/>
              <w:rPr>
                <w:rFonts w:hint="eastAsia"/>
                <w:spacing w:val="-12"/>
                <w:lang w:eastAsia="zh-CN"/>
              </w:rPr>
            </w:pPr>
          </w:p>
          <w:p w14:paraId="2BDE8BEC">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4" w:type="dxa"/>
            <w:vAlign w:val="top"/>
          </w:tcPr>
          <w:p w14:paraId="25689E01">
            <w:pPr>
              <w:spacing w:line="248" w:lineRule="auto"/>
              <w:rPr>
                <w:rFonts w:ascii="Arial"/>
                <w:sz w:val="21"/>
              </w:rPr>
            </w:pPr>
          </w:p>
          <w:p w14:paraId="3F6DC4B1">
            <w:pPr>
              <w:spacing w:line="248" w:lineRule="auto"/>
              <w:rPr>
                <w:rFonts w:ascii="Arial"/>
                <w:sz w:val="21"/>
              </w:rPr>
            </w:pPr>
          </w:p>
          <w:p w14:paraId="15A95479">
            <w:pPr>
              <w:spacing w:line="248" w:lineRule="auto"/>
              <w:rPr>
                <w:rFonts w:ascii="Arial"/>
                <w:sz w:val="21"/>
              </w:rPr>
            </w:pPr>
          </w:p>
          <w:p w14:paraId="3809FE2D">
            <w:pPr>
              <w:spacing w:line="248" w:lineRule="auto"/>
              <w:rPr>
                <w:rFonts w:ascii="Arial"/>
                <w:sz w:val="21"/>
              </w:rPr>
            </w:pPr>
          </w:p>
          <w:p w14:paraId="5AE93AD6">
            <w:pPr>
              <w:spacing w:line="249" w:lineRule="auto"/>
              <w:rPr>
                <w:rFonts w:ascii="Arial"/>
                <w:sz w:val="21"/>
              </w:rPr>
            </w:pPr>
          </w:p>
          <w:p w14:paraId="1C2C0667">
            <w:pPr>
              <w:spacing w:line="249" w:lineRule="auto"/>
              <w:rPr>
                <w:rFonts w:ascii="Arial"/>
                <w:sz w:val="21"/>
              </w:rPr>
            </w:pPr>
          </w:p>
          <w:p w14:paraId="68306F7C">
            <w:pPr>
              <w:spacing w:line="249" w:lineRule="auto"/>
              <w:rPr>
                <w:rFonts w:ascii="Arial"/>
                <w:sz w:val="21"/>
              </w:rPr>
            </w:pPr>
          </w:p>
          <w:p w14:paraId="5E72EF94">
            <w:pPr>
              <w:spacing w:line="249" w:lineRule="auto"/>
              <w:rPr>
                <w:rFonts w:ascii="Arial"/>
                <w:sz w:val="21"/>
              </w:rPr>
            </w:pPr>
          </w:p>
          <w:p w14:paraId="0FE032B8">
            <w:pPr>
              <w:spacing w:line="249" w:lineRule="auto"/>
              <w:rPr>
                <w:rFonts w:ascii="Arial"/>
                <w:sz w:val="21"/>
              </w:rPr>
            </w:pPr>
          </w:p>
          <w:p w14:paraId="538C59AE">
            <w:pPr>
              <w:spacing w:line="249" w:lineRule="auto"/>
              <w:rPr>
                <w:rFonts w:ascii="Arial"/>
                <w:sz w:val="21"/>
              </w:rPr>
            </w:pPr>
          </w:p>
          <w:p w14:paraId="0085554B">
            <w:pPr>
              <w:spacing w:line="249" w:lineRule="auto"/>
              <w:rPr>
                <w:rFonts w:ascii="Arial"/>
                <w:sz w:val="21"/>
              </w:rPr>
            </w:pPr>
          </w:p>
          <w:p w14:paraId="4BFB248E">
            <w:pPr>
              <w:spacing w:line="249" w:lineRule="auto"/>
              <w:rPr>
                <w:rFonts w:ascii="Arial"/>
                <w:sz w:val="21"/>
              </w:rPr>
            </w:pPr>
          </w:p>
          <w:p w14:paraId="768028D1">
            <w:pPr>
              <w:spacing w:line="249" w:lineRule="auto"/>
              <w:rPr>
                <w:rFonts w:ascii="Arial"/>
                <w:sz w:val="21"/>
              </w:rPr>
            </w:pPr>
          </w:p>
          <w:p w14:paraId="5665102A">
            <w:pPr>
              <w:spacing w:line="249" w:lineRule="auto"/>
              <w:rPr>
                <w:rFonts w:ascii="Arial"/>
                <w:sz w:val="21"/>
              </w:rPr>
            </w:pPr>
          </w:p>
          <w:p w14:paraId="7DBA4A89">
            <w:pPr>
              <w:spacing w:line="249" w:lineRule="auto"/>
              <w:rPr>
                <w:rFonts w:ascii="Arial"/>
                <w:sz w:val="21"/>
              </w:rPr>
            </w:pPr>
          </w:p>
          <w:p w14:paraId="22F01AD7">
            <w:pPr>
              <w:spacing w:line="249" w:lineRule="auto"/>
              <w:rPr>
                <w:rFonts w:ascii="Arial"/>
                <w:sz w:val="21"/>
              </w:rPr>
            </w:pPr>
          </w:p>
          <w:p w14:paraId="02D23A4C">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361933C4">
      <w:pPr>
        <w:pStyle w:val="2"/>
      </w:pPr>
    </w:p>
    <w:p w14:paraId="1AEF1210">
      <w:pPr>
        <w:sectPr>
          <w:footerReference r:id="rId132" w:type="default"/>
          <w:pgSz w:w="16839" w:h="11906"/>
          <w:pgMar w:top="1012" w:right="1034" w:bottom="967" w:left="1043" w:header="0" w:footer="768" w:gutter="0"/>
          <w:cols w:space="720" w:num="1"/>
        </w:sectPr>
      </w:pPr>
    </w:p>
    <w:p w14:paraId="29D49352">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26819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722994BC">
            <w:pPr>
              <w:pStyle w:val="8"/>
              <w:spacing w:before="259" w:line="221" w:lineRule="auto"/>
              <w:ind w:left="134"/>
            </w:pPr>
            <w:r>
              <w:rPr>
                <w:b/>
                <w:bCs/>
                <w:spacing w:val="-4"/>
              </w:rPr>
              <w:t>序号</w:t>
            </w:r>
          </w:p>
        </w:tc>
        <w:tc>
          <w:tcPr>
            <w:tcW w:w="1100" w:type="dxa"/>
            <w:vMerge w:val="restart"/>
            <w:tcBorders>
              <w:bottom w:val="nil"/>
            </w:tcBorders>
            <w:vAlign w:val="top"/>
          </w:tcPr>
          <w:p w14:paraId="51F539DD">
            <w:pPr>
              <w:pStyle w:val="8"/>
              <w:spacing w:before="260" w:line="220" w:lineRule="auto"/>
              <w:ind w:left="189"/>
            </w:pPr>
            <w:r>
              <w:rPr>
                <w:b/>
                <w:bCs/>
                <w:spacing w:val="-4"/>
              </w:rPr>
              <w:t>事项名称</w:t>
            </w:r>
          </w:p>
        </w:tc>
        <w:tc>
          <w:tcPr>
            <w:tcW w:w="1100" w:type="dxa"/>
            <w:vMerge w:val="restart"/>
            <w:tcBorders>
              <w:bottom w:val="nil"/>
            </w:tcBorders>
            <w:vAlign w:val="top"/>
          </w:tcPr>
          <w:p w14:paraId="0491D10C">
            <w:pPr>
              <w:pStyle w:val="8"/>
              <w:spacing w:before="260" w:line="219" w:lineRule="auto"/>
              <w:ind w:left="191"/>
            </w:pPr>
            <w:r>
              <w:rPr>
                <w:b/>
                <w:bCs/>
                <w:spacing w:val="-4"/>
              </w:rPr>
              <w:t>职权类型</w:t>
            </w:r>
          </w:p>
        </w:tc>
        <w:tc>
          <w:tcPr>
            <w:tcW w:w="8508" w:type="dxa"/>
            <w:vMerge w:val="restart"/>
            <w:tcBorders>
              <w:bottom w:val="nil"/>
            </w:tcBorders>
            <w:vAlign w:val="top"/>
          </w:tcPr>
          <w:p w14:paraId="07584A2D">
            <w:pPr>
              <w:pStyle w:val="8"/>
              <w:spacing w:before="259" w:line="219" w:lineRule="auto"/>
              <w:ind w:left="3900"/>
            </w:pPr>
            <w:r>
              <w:rPr>
                <w:b/>
                <w:bCs/>
                <w:spacing w:val="-5"/>
              </w:rPr>
              <w:t>实施依据</w:t>
            </w:r>
          </w:p>
        </w:tc>
        <w:tc>
          <w:tcPr>
            <w:tcW w:w="3425" w:type="dxa"/>
            <w:gridSpan w:val="3"/>
            <w:vAlign w:val="top"/>
          </w:tcPr>
          <w:p w14:paraId="43959F43">
            <w:pPr>
              <w:pStyle w:val="8"/>
              <w:spacing w:before="85" w:line="220" w:lineRule="auto"/>
              <w:ind w:left="1358"/>
            </w:pPr>
            <w:r>
              <w:rPr>
                <w:b/>
                <w:bCs/>
                <w:spacing w:val="-5"/>
              </w:rPr>
              <w:t>实施主体</w:t>
            </w:r>
          </w:p>
        </w:tc>
      </w:tr>
      <w:tr w14:paraId="44264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1313BD85">
            <w:pPr>
              <w:rPr>
                <w:rFonts w:ascii="Arial"/>
                <w:sz w:val="21"/>
              </w:rPr>
            </w:pPr>
          </w:p>
        </w:tc>
        <w:tc>
          <w:tcPr>
            <w:tcW w:w="1100" w:type="dxa"/>
            <w:vMerge w:val="continue"/>
            <w:tcBorders>
              <w:top w:val="nil"/>
            </w:tcBorders>
            <w:vAlign w:val="top"/>
          </w:tcPr>
          <w:p w14:paraId="569E80BF">
            <w:pPr>
              <w:rPr>
                <w:rFonts w:ascii="Arial"/>
                <w:sz w:val="21"/>
              </w:rPr>
            </w:pPr>
          </w:p>
        </w:tc>
        <w:tc>
          <w:tcPr>
            <w:tcW w:w="1100" w:type="dxa"/>
            <w:vMerge w:val="continue"/>
            <w:tcBorders>
              <w:top w:val="nil"/>
            </w:tcBorders>
            <w:vAlign w:val="top"/>
          </w:tcPr>
          <w:p w14:paraId="4CABD9E0">
            <w:pPr>
              <w:rPr>
                <w:rFonts w:ascii="Arial"/>
                <w:sz w:val="21"/>
              </w:rPr>
            </w:pPr>
          </w:p>
        </w:tc>
        <w:tc>
          <w:tcPr>
            <w:tcW w:w="8508" w:type="dxa"/>
            <w:vMerge w:val="continue"/>
            <w:tcBorders>
              <w:top w:val="nil"/>
            </w:tcBorders>
            <w:vAlign w:val="top"/>
          </w:tcPr>
          <w:p w14:paraId="3A47FCEC">
            <w:pPr>
              <w:rPr>
                <w:rFonts w:ascii="Arial"/>
                <w:sz w:val="21"/>
              </w:rPr>
            </w:pPr>
          </w:p>
        </w:tc>
        <w:tc>
          <w:tcPr>
            <w:tcW w:w="1010" w:type="dxa"/>
            <w:vAlign w:val="top"/>
          </w:tcPr>
          <w:p w14:paraId="543DF8F8">
            <w:pPr>
              <w:pStyle w:val="8"/>
              <w:spacing w:before="81" w:line="219" w:lineRule="auto"/>
              <w:ind w:left="155"/>
            </w:pPr>
            <w:r>
              <w:rPr>
                <w:b/>
                <w:bCs/>
                <w:spacing w:val="-5"/>
              </w:rPr>
              <w:t>责任部门</w:t>
            </w:r>
          </w:p>
        </w:tc>
        <w:tc>
          <w:tcPr>
            <w:tcW w:w="1401" w:type="dxa"/>
            <w:vAlign w:val="top"/>
          </w:tcPr>
          <w:p w14:paraId="42F7C447">
            <w:pPr>
              <w:pStyle w:val="8"/>
              <w:spacing w:before="81" w:line="219" w:lineRule="auto"/>
              <w:ind w:left="164"/>
            </w:pPr>
            <w:r>
              <w:rPr>
                <w:b/>
                <w:bCs/>
                <w:spacing w:val="-3"/>
              </w:rPr>
              <w:t>第一责任层级</w:t>
            </w:r>
          </w:p>
        </w:tc>
        <w:tc>
          <w:tcPr>
            <w:tcW w:w="1014" w:type="dxa"/>
            <w:vAlign w:val="top"/>
          </w:tcPr>
          <w:p w14:paraId="08E1018C">
            <w:pPr>
              <w:pStyle w:val="8"/>
              <w:spacing w:before="81" w:line="219" w:lineRule="auto"/>
              <w:ind w:left="150"/>
            </w:pPr>
            <w:r>
              <w:rPr>
                <w:b/>
                <w:bCs/>
                <w:spacing w:val="-4"/>
              </w:rPr>
              <w:t>承办机构</w:t>
            </w:r>
          </w:p>
        </w:tc>
      </w:tr>
      <w:tr w14:paraId="1B6DE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6" w:hRule="atLeast"/>
        </w:trPr>
        <w:tc>
          <w:tcPr>
            <w:tcW w:w="622" w:type="dxa"/>
            <w:vAlign w:val="top"/>
          </w:tcPr>
          <w:p w14:paraId="3F2DA97C">
            <w:pPr>
              <w:spacing w:line="247" w:lineRule="auto"/>
              <w:rPr>
                <w:rFonts w:ascii="Arial"/>
                <w:sz w:val="21"/>
              </w:rPr>
            </w:pPr>
          </w:p>
          <w:p w14:paraId="4B7653B7">
            <w:pPr>
              <w:spacing w:line="247" w:lineRule="auto"/>
              <w:rPr>
                <w:rFonts w:ascii="Arial"/>
                <w:sz w:val="21"/>
              </w:rPr>
            </w:pPr>
          </w:p>
          <w:p w14:paraId="1145F312">
            <w:pPr>
              <w:spacing w:line="247" w:lineRule="auto"/>
              <w:rPr>
                <w:rFonts w:ascii="Arial"/>
                <w:sz w:val="21"/>
              </w:rPr>
            </w:pPr>
          </w:p>
          <w:p w14:paraId="703F8B51">
            <w:pPr>
              <w:spacing w:line="247" w:lineRule="auto"/>
              <w:rPr>
                <w:rFonts w:ascii="Arial"/>
                <w:sz w:val="21"/>
              </w:rPr>
            </w:pPr>
          </w:p>
          <w:p w14:paraId="2F4BF375">
            <w:pPr>
              <w:spacing w:line="248" w:lineRule="auto"/>
              <w:rPr>
                <w:rFonts w:ascii="Arial"/>
                <w:sz w:val="21"/>
              </w:rPr>
            </w:pPr>
          </w:p>
          <w:p w14:paraId="7A4D9D07">
            <w:pPr>
              <w:spacing w:line="248" w:lineRule="auto"/>
              <w:rPr>
                <w:rFonts w:ascii="Arial"/>
                <w:sz w:val="21"/>
              </w:rPr>
            </w:pPr>
          </w:p>
          <w:p w14:paraId="23FBF7C9">
            <w:pPr>
              <w:spacing w:line="248" w:lineRule="auto"/>
              <w:rPr>
                <w:rFonts w:ascii="Arial"/>
                <w:sz w:val="21"/>
              </w:rPr>
            </w:pPr>
          </w:p>
          <w:p w14:paraId="4E036170">
            <w:pPr>
              <w:pStyle w:val="8"/>
              <w:spacing w:before="58" w:line="184" w:lineRule="auto"/>
              <w:ind w:left="239"/>
            </w:pPr>
            <w:r>
              <w:rPr>
                <w:spacing w:val="-10"/>
              </w:rPr>
              <w:t>12</w:t>
            </w:r>
          </w:p>
        </w:tc>
        <w:tc>
          <w:tcPr>
            <w:tcW w:w="1100" w:type="dxa"/>
            <w:vAlign w:val="top"/>
          </w:tcPr>
          <w:p w14:paraId="3D88F489">
            <w:pPr>
              <w:spacing w:line="292" w:lineRule="auto"/>
              <w:rPr>
                <w:rFonts w:ascii="Arial"/>
                <w:sz w:val="21"/>
              </w:rPr>
            </w:pPr>
          </w:p>
          <w:p w14:paraId="3AEF4815">
            <w:pPr>
              <w:spacing w:line="292" w:lineRule="auto"/>
              <w:rPr>
                <w:rFonts w:ascii="Arial"/>
                <w:sz w:val="21"/>
              </w:rPr>
            </w:pPr>
          </w:p>
          <w:p w14:paraId="13EC05C0">
            <w:pPr>
              <w:spacing w:line="292" w:lineRule="auto"/>
              <w:rPr>
                <w:rFonts w:ascii="Arial"/>
                <w:sz w:val="21"/>
              </w:rPr>
            </w:pPr>
          </w:p>
          <w:p w14:paraId="435CDDE3">
            <w:pPr>
              <w:pStyle w:val="8"/>
              <w:spacing w:before="58" w:line="243" w:lineRule="auto"/>
              <w:ind w:left="58" w:right="55"/>
              <w:jc w:val="both"/>
            </w:pPr>
            <w:r>
              <w:rPr>
                <w:spacing w:val="16"/>
              </w:rPr>
              <w:t>对水路运输</w:t>
            </w:r>
            <w:r>
              <w:t xml:space="preserve"> </w:t>
            </w:r>
            <w:r>
              <w:rPr>
                <w:spacing w:val="16"/>
              </w:rPr>
              <w:t>企业装卸管</w:t>
            </w:r>
            <w:r>
              <w:t xml:space="preserve"> </w:t>
            </w:r>
            <w:r>
              <w:rPr>
                <w:spacing w:val="16"/>
              </w:rPr>
              <w:t>理人员、申</w:t>
            </w:r>
            <w:r>
              <w:t xml:space="preserve"> </w:t>
            </w:r>
            <w:r>
              <w:rPr>
                <w:spacing w:val="16"/>
              </w:rPr>
              <w:t>报员、检查</w:t>
            </w:r>
            <w:r>
              <w:t xml:space="preserve"> </w:t>
            </w:r>
            <w:r>
              <w:rPr>
                <w:spacing w:val="16"/>
              </w:rPr>
              <w:t>员未取得从</w:t>
            </w:r>
            <w:r>
              <w:t xml:space="preserve"> </w:t>
            </w:r>
            <w:r>
              <w:rPr>
                <w:spacing w:val="16"/>
              </w:rPr>
              <w:t>业资格上岗</w:t>
            </w:r>
            <w:r>
              <w:t xml:space="preserve"> </w:t>
            </w:r>
            <w:r>
              <w:rPr>
                <w:spacing w:val="16"/>
              </w:rPr>
              <w:t>作业行为的</w:t>
            </w:r>
            <w:r>
              <w:t xml:space="preserve"> </w:t>
            </w:r>
            <w:r>
              <w:rPr>
                <w:spacing w:val="-2"/>
              </w:rPr>
              <w:t>行政处罚</w:t>
            </w:r>
          </w:p>
        </w:tc>
        <w:tc>
          <w:tcPr>
            <w:tcW w:w="1100" w:type="dxa"/>
            <w:vAlign w:val="top"/>
          </w:tcPr>
          <w:p w14:paraId="75CB19A9">
            <w:pPr>
              <w:spacing w:line="243" w:lineRule="auto"/>
              <w:rPr>
                <w:rFonts w:ascii="Arial"/>
                <w:sz w:val="21"/>
              </w:rPr>
            </w:pPr>
          </w:p>
          <w:p w14:paraId="283A6ED7">
            <w:pPr>
              <w:spacing w:line="243" w:lineRule="auto"/>
              <w:rPr>
                <w:rFonts w:ascii="Arial"/>
                <w:sz w:val="21"/>
              </w:rPr>
            </w:pPr>
          </w:p>
          <w:p w14:paraId="184BE285">
            <w:pPr>
              <w:spacing w:line="243" w:lineRule="auto"/>
              <w:rPr>
                <w:rFonts w:ascii="Arial"/>
                <w:sz w:val="21"/>
              </w:rPr>
            </w:pPr>
          </w:p>
          <w:p w14:paraId="26AD10DF">
            <w:pPr>
              <w:spacing w:line="243" w:lineRule="auto"/>
              <w:rPr>
                <w:rFonts w:ascii="Arial"/>
                <w:sz w:val="21"/>
              </w:rPr>
            </w:pPr>
          </w:p>
          <w:p w14:paraId="7133B2CE">
            <w:pPr>
              <w:spacing w:line="243" w:lineRule="auto"/>
              <w:rPr>
                <w:rFonts w:ascii="Arial"/>
                <w:sz w:val="21"/>
              </w:rPr>
            </w:pPr>
          </w:p>
          <w:p w14:paraId="0C0E4578">
            <w:pPr>
              <w:spacing w:line="243" w:lineRule="auto"/>
              <w:rPr>
                <w:rFonts w:ascii="Arial"/>
                <w:sz w:val="21"/>
              </w:rPr>
            </w:pPr>
          </w:p>
          <w:p w14:paraId="50B2A4B6">
            <w:pPr>
              <w:spacing w:line="244" w:lineRule="auto"/>
              <w:rPr>
                <w:rFonts w:ascii="Arial"/>
                <w:sz w:val="21"/>
              </w:rPr>
            </w:pPr>
          </w:p>
          <w:p w14:paraId="1FF6D4EB">
            <w:pPr>
              <w:pStyle w:val="8"/>
              <w:spacing w:before="58" w:line="220" w:lineRule="auto"/>
              <w:ind w:left="112"/>
            </w:pPr>
            <w:r>
              <w:rPr>
                <w:spacing w:val="-2"/>
              </w:rPr>
              <w:t>行政处罚</w:t>
            </w:r>
          </w:p>
        </w:tc>
        <w:tc>
          <w:tcPr>
            <w:tcW w:w="8508" w:type="dxa"/>
            <w:vAlign w:val="top"/>
          </w:tcPr>
          <w:p w14:paraId="37E3BEA6">
            <w:pPr>
              <w:pStyle w:val="8"/>
              <w:spacing w:before="101" w:line="219" w:lineRule="auto"/>
              <w:ind w:left="484"/>
            </w:pPr>
            <w:r>
              <w:rPr>
                <w:b/>
                <w:bCs/>
                <w:spacing w:val="-3"/>
              </w:rPr>
              <w:t>1.《危险化学品安全管理条例》</w:t>
            </w:r>
          </w:p>
          <w:p w14:paraId="0B964096">
            <w:pPr>
              <w:pStyle w:val="8"/>
              <w:spacing w:before="27" w:line="237" w:lineRule="auto"/>
              <w:ind w:left="111" w:right="104" w:firstLine="360"/>
              <w:jc w:val="both"/>
            </w:pPr>
            <w:r>
              <w:t>第四十四条第一款  危险化学品道路运输企业、水路运输企业的驾驶人员、船员、装卸管理人员、押</w:t>
            </w:r>
            <w:r>
              <w:rPr>
                <w:spacing w:val="6"/>
              </w:rPr>
              <w:t xml:space="preserve"> </w:t>
            </w:r>
            <w:r>
              <w:t>运人员、申报人员、集装箱装箱现场检查员应当经交通运输主管部门考核合格，取得从业资格。具体办法</w:t>
            </w:r>
            <w:r>
              <w:rPr>
                <w:spacing w:val="6"/>
              </w:rPr>
              <w:t xml:space="preserve"> </w:t>
            </w:r>
            <w:r>
              <w:rPr>
                <w:spacing w:val="-3"/>
              </w:rPr>
              <w:t>由国务院交通运输主管部门制定。</w:t>
            </w:r>
          </w:p>
          <w:p w14:paraId="419BAC09">
            <w:pPr>
              <w:pStyle w:val="8"/>
              <w:spacing w:before="23"/>
              <w:ind w:left="110" w:right="104" w:firstLine="360"/>
              <w:jc w:val="both"/>
            </w:pPr>
            <w:r>
              <w:rPr>
                <w:spacing w:val="-3"/>
              </w:rPr>
              <w:t>第八十六条第（一）项  有下列情形之一的，由交通运输主管部门责令改正，处</w:t>
            </w:r>
            <w:r>
              <w:rPr>
                <w:spacing w:val="-34"/>
              </w:rPr>
              <w:t xml:space="preserve"> </w:t>
            </w:r>
            <w:r>
              <w:rPr>
                <w:spacing w:val="-3"/>
              </w:rPr>
              <w:t>5</w:t>
            </w:r>
            <w:r>
              <w:rPr>
                <w:spacing w:val="-31"/>
              </w:rPr>
              <w:t xml:space="preserve"> </w:t>
            </w:r>
            <w:r>
              <w:rPr>
                <w:spacing w:val="-3"/>
              </w:rPr>
              <w:t>万元以上</w:t>
            </w:r>
            <w:r>
              <w:rPr>
                <w:spacing w:val="-27"/>
              </w:rPr>
              <w:t xml:space="preserve"> </w:t>
            </w:r>
            <w:r>
              <w:rPr>
                <w:spacing w:val="-3"/>
              </w:rPr>
              <w:t>10</w:t>
            </w:r>
            <w:r>
              <w:rPr>
                <w:spacing w:val="-34"/>
              </w:rPr>
              <w:t xml:space="preserve"> </w:t>
            </w:r>
            <w:r>
              <w:rPr>
                <w:spacing w:val="-3"/>
              </w:rPr>
              <w:t>万元以</w:t>
            </w:r>
            <w:r>
              <w:t xml:space="preserve"> </w:t>
            </w:r>
            <w:r>
              <w:rPr>
                <w:spacing w:val="1"/>
              </w:rPr>
              <w:t>下的罚款；拒不改正的，责令停产停业整顿；构成</w:t>
            </w:r>
            <w:r>
              <w:t>犯罪的，依法追究刑事责任</w:t>
            </w:r>
            <w:r>
              <w:rPr>
                <w:spacing w:val="-8"/>
              </w:rPr>
              <w:t>：（</w:t>
            </w:r>
            <w:r>
              <w:t>一）危险化学品道路运</w:t>
            </w:r>
            <w:r>
              <w:rPr>
                <w:spacing w:val="1"/>
              </w:rPr>
              <w:t xml:space="preserve"> </w:t>
            </w:r>
            <w:r>
              <w:t>输企业、水路运输企业的驾驶人员、船员、装卸管理人员、押运人员、申报人员、集装箱装箱现场检查员</w:t>
            </w:r>
            <w:r>
              <w:rPr>
                <w:spacing w:val="7"/>
              </w:rPr>
              <w:t xml:space="preserve"> </w:t>
            </w:r>
            <w:r>
              <w:rPr>
                <w:spacing w:val="-4"/>
              </w:rPr>
              <w:t>未取得从业资格上岗作业的；</w:t>
            </w:r>
          </w:p>
          <w:p w14:paraId="4EEB2E7B">
            <w:pPr>
              <w:pStyle w:val="8"/>
              <w:spacing w:before="25" w:line="219" w:lineRule="auto"/>
              <w:ind w:left="473"/>
            </w:pPr>
            <w:r>
              <w:rPr>
                <w:b/>
                <w:bCs/>
                <w:spacing w:val="-2"/>
              </w:rPr>
              <w:t>2.《危险货物水路运输从业人员考核和从业资格管理</w:t>
            </w:r>
            <w:r>
              <w:rPr>
                <w:b/>
                <w:bCs/>
                <w:spacing w:val="-3"/>
              </w:rPr>
              <w:t>规定》（交通运输部令</w:t>
            </w:r>
            <w:r>
              <w:rPr>
                <w:spacing w:val="-35"/>
              </w:rPr>
              <w:t xml:space="preserve"> </w:t>
            </w:r>
            <w:r>
              <w:rPr>
                <w:b/>
                <w:bCs/>
                <w:spacing w:val="-3"/>
              </w:rPr>
              <w:t>2021</w:t>
            </w:r>
            <w:r>
              <w:rPr>
                <w:spacing w:val="-38"/>
              </w:rPr>
              <w:t xml:space="preserve"> </w:t>
            </w:r>
            <w:r>
              <w:rPr>
                <w:b/>
                <w:bCs/>
                <w:spacing w:val="-3"/>
              </w:rPr>
              <w:t>年第</w:t>
            </w:r>
            <w:r>
              <w:rPr>
                <w:spacing w:val="-33"/>
              </w:rPr>
              <w:t xml:space="preserve"> </w:t>
            </w:r>
            <w:r>
              <w:rPr>
                <w:b/>
                <w:bCs/>
                <w:spacing w:val="-3"/>
              </w:rPr>
              <w:t>29</w:t>
            </w:r>
            <w:r>
              <w:rPr>
                <w:spacing w:val="-34"/>
              </w:rPr>
              <w:t xml:space="preserve"> </w:t>
            </w:r>
            <w:r>
              <w:rPr>
                <w:b/>
                <w:bCs/>
                <w:spacing w:val="-3"/>
              </w:rPr>
              <w:t>号）</w:t>
            </w:r>
          </w:p>
          <w:p w14:paraId="6EDBCA5C">
            <w:pPr>
              <w:pStyle w:val="8"/>
              <w:spacing w:before="25" w:line="238" w:lineRule="auto"/>
              <w:ind w:left="111" w:right="119" w:firstLine="360"/>
            </w:pPr>
            <w:r>
              <w:t>第十二条第一款  装卸管理人员、申报员、检查员应当按照本规定经考核合格，</w:t>
            </w:r>
            <w:r>
              <w:rPr>
                <w:spacing w:val="-1"/>
              </w:rPr>
              <w:t>具备相应从业条件，</w:t>
            </w:r>
            <w:r>
              <w:t xml:space="preserve"> 取得相应种类的《危险化学品水路运输从业资格证书》（以下简称《资格证书》，见</w:t>
            </w:r>
            <w:r>
              <w:rPr>
                <w:spacing w:val="-1"/>
              </w:rPr>
              <w:t>附件），方可从事相</w:t>
            </w:r>
            <w:r>
              <w:t xml:space="preserve"> </w:t>
            </w:r>
            <w:r>
              <w:rPr>
                <w:spacing w:val="-6"/>
              </w:rPr>
              <w:t>应的作业。</w:t>
            </w:r>
          </w:p>
          <w:p w14:paraId="65F31627">
            <w:pPr>
              <w:pStyle w:val="8"/>
              <w:spacing w:before="24" w:line="238" w:lineRule="auto"/>
              <w:ind w:left="110" w:right="104" w:firstLine="360"/>
              <w:jc w:val="both"/>
            </w:pPr>
            <w:r>
              <w:t>第二十七条  水路运输企业的装卸管理人员、申报员、检查员未取得从业资格上岗作业的，由所在地</w:t>
            </w:r>
            <w:r>
              <w:rPr>
                <w:spacing w:val="6"/>
              </w:rPr>
              <w:t xml:space="preserve"> </w:t>
            </w:r>
            <w:r>
              <w:rPr>
                <w:spacing w:val="-3"/>
              </w:rPr>
              <w:t>港口行政管理部门或者海事管理机构责令改正，处</w:t>
            </w:r>
            <w:r>
              <w:rPr>
                <w:spacing w:val="-30"/>
              </w:rPr>
              <w:t xml:space="preserve"> </w:t>
            </w:r>
            <w:r>
              <w:rPr>
                <w:spacing w:val="-3"/>
              </w:rPr>
              <w:t>5</w:t>
            </w:r>
            <w:r>
              <w:rPr>
                <w:spacing w:val="-34"/>
              </w:rPr>
              <w:t xml:space="preserve"> </w:t>
            </w:r>
            <w:r>
              <w:rPr>
                <w:spacing w:val="-3"/>
              </w:rPr>
              <w:t>万元以上</w:t>
            </w:r>
            <w:r>
              <w:rPr>
                <w:spacing w:val="-24"/>
              </w:rPr>
              <w:t xml:space="preserve"> </w:t>
            </w:r>
            <w:r>
              <w:rPr>
                <w:spacing w:val="-3"/>
              </w:rPr>
              <w:t>10</w:t>
            </w:r>
            <w:r>
              <w:rPr>
                <w:spacing w:val="-34"/>
              </w:rPr>
              <w:t xml:space="preserve"> </w:t>
            </w:r>
            <w:r>
              <w:rPr>
                <w:spacing w:val="-3"/>
              </w:rPr>
              <w:t>万元以下的罚款；拒不改正的，责令停产</w:t>
            </w:r>
            <w:r>
              <w:t xml:space="preserve"> </w:t>
            </w:r>
            <w:r>
              <w:rPr>
                <w:spacing w:val="-6"/>
              </w:rPr>
              <w:t>停业整顿。</w:t>
            </w:r>
          </w:p>
        </w:tc>
        <w:tc>
          <w:tcPr>
            <w:tcW w:w="1010" w:type="dxa"/>
            <w:vAlign w:val="top"/>
          </w:tcPr>
          <w:p w14:paraId="766A3CB5">
            <w:pPr>
              <w:spacing w:line="265" w:lineRule="auto"/>
              <w:rPr>
                <w:rFonts w:ascii="Arial"/>
                <w:sz w:val="21"/>
              </w:rPr>
            </w:pPr>
          </w:p>
          <w:p w14:paraId="2287F351">
            <w:pPr>
              <w:spacing w:line="265" w:lineRule="auto"/>
              <w:rPr>
                <w:rFonts w:ascii="Arial"/>
                <w:sz w:val="21"/>
              </w:rPr>
            </w:pPr>
          </w:p>
          <w:p w14:paraId="78C26D13">
            <w:pPr>
              <w:spacing w:line="265" w:lineRule="auto"/>
              <w:rPr>
                <w:rFonts w:ascii="Arial"/>
                <w:sz w:val="21"/>
              </w:rPr>
            </w:pPr>
          </w:p>
          <w:p w14:paraId="76BCECFD">
            <w:pPr>
              <w:spacing w:line="265" w:lineRule="auto"/>
              <w:rPr>
                <w:rFonts w:ascii="Arial"/>
                <w:sz w:val="21"/>
              </w:rPr>
            </w:pPr>
          </w:p>
          <w:p w14:paraId="1E78F99A">
            <w:pPr>
              <w:spacing w:line="266" w:lineRule="auto"/>
              <w:rPr>
                <w:rFonts w:ascii="Arial"/>
                <w:sz w:val="21"/>
              </w:rPr>
            </w:pPr>
          </w:p>
          <w:p w14:paraId="5C2A0109">
            <w:pPr>
              <w:spacing w:line="266" w:lineRule="auto"/>
              <w:rPr>
                <w:rFonts w:ascii="Arial"/>
                <w:sz w:val="21"/>
              </w:rPr>
            </w:pPr>
          </w:p>
          <w:p w14:paraId="5314D615">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2CB0B45D">
            <w:pPr>
              <w:pStyle w:val="8"/>
              <w:spacing w:before="59" w:line="234" w:lineRule="auto"/>
              <w:ind w:left="530" w:right="104" w:hanging="413"/>
              <w:rPr>
                <w:rFonts w:hint="eastAsia"/>
                <w:spacing w:val="-12"/>
                <w:lang w:eastAsia="zh-CN"/>
              </w:rPr>
            </w:pPr>
          </w:p>
          <w:p w14:paraId="49749702">
            <w:pPr>
              <w:pStyle w:val="8"/>
              <w:spacing w:before="59" w:line="234" w:lineRule="auto"/>
              <w:ind w:left="530" w:right="104" w:hanging="413"/>
              <w:rPr>
                <w:rFonts w:hint="eastAsia"/>
                <w:spacing w:val="-12"/>
                <w:lang w:eastAsia="zh-CN"/>
              </w:rPr>
            </w:pPr>
          </w:p>
          <w:p w14:paraId="59BB7B1A">
            <w:pPr>
              <w:pStyle w:val="8"/>
              <w:spacing w:before="59" w:line="234" w:lineRule="auto"/>
              <w:ind w:left="530" w:right="104" w:hanging="413"/>
              <w:rPr>
                <w:rFonts w:hint="eastAsia"/>
                <w:spacing w:val="-12"/>
                <w:lang w:eastAsia="zh-CN"/>
              </w:rPr>
            </w:pPr>
          </w:p>
          <w:p w14:paraId="08C73BF0">
            <w:pPr>
              <w:pStyle w:val="8"/>
              <w:spacing w:before="59" w:line="234" w:lineRule="auto"/>
              <w:ind w:left="530" w:right="104" w:hanging="413"/>
              <w:rPr>
                <w:rFonts w:hint="eastAsia"/>
                <w:spacing w:val="-12"/>
                <w:lang w:eastAsia="zh-CN"/>
              </w:rPr>
            </w:pPr>
          </w:p>
          <w:p w14:paraId="4490E20F">
            <w:pPr>
              <w:pStyle w:val="8"/>
              <w:spacing w:before="59" w:line="234" w:lineRule="auto"/>
              <w:ind w:left="530" w:right="104" w:hanging="413"/>
              <w:rPr>
                <w:rFonts w:hint="eastAsia"/>
                <w:spacing w:val="-12"/>
                <w:lang w:eastAsia="zh-CN"/>
              </w:rPr>
            </w:pPr>
          </w:p>
          <w:p w14:paraId="29265F0E">
            <w:pPr>
              <w:pStyle w:val="8"/>
              <w:spacing w:before="59" w:line="234" w:lineRule="auto"/>
              <w:ind w:left="530" w:right="104" w:hanging="413"/>
              <w:rPr>
                <w:rFonts w:hint="eastAsia"/>
                <w:spacing w:val="-12"/>
                <w:lang w:eastAsia="zh-CN"/>
              </w:rPr>
            </w:pPr>
          </w:p>
          <w:p w14:paraId="2A46776D">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58B30B14">
            <w:pPr>
              <w:spacing w:line="245" w:lineRule="auto"/>
              <w:rPr>
                <w:rFonts w:ascii="Arial"/>
                <w:sz w:val="21"/>
              </w:rPr>
            </w:pPr>
          </w:p>
          <w:p w14:paraId="67B34038">
            <w:pPr>
              <w:spacing w:line="245" w:lineRule="auto"/>
              <w:rPr>
                <w:rFonts w:ascii="Arial"/>
                <w:sz w:val="21"/>
              </w:rPr>
            </w:pPr>
          </w:p>
          <w:p w14:paraId="27FBDD07">
            <w:pPr>
              <w:spacing w:line="245" w:lineRule="auto"/>
              <w:rPr>
                <w:rFonts w:ascii="Arial"/>
                <w:sz w:val="21"/>
              </w:rPr>
            </w:pPr>
          </w:p>
          <w:p w14:paraId="47475D11">
            <w:pPr>
              <w:spacing w:line="246" w:lineRule="auto"/>
              <w:rPr>
                <w:rFonts w:ascii="Arial"/>
                <w:sz w:val="21"/>
              </w:rPr>
            </w:pPr>
          </w:p>
          <w:p w14:paraId="0BC6655D">
            <w:pPr>
              <w:spacing w:line="246" w:lineRule="auto"/>
              <w:rPr>
                <w:rFonts w:ascii="Arial"/>
                <w:sz w:val="21"/>
              </w:rPr>
            </w:pPr>
          </w:p>
          <w:p w14:paraId="70999E50">
            <w:pPr>
              <w:spacing w:line="246" w:lineRule="auto"/>
              <w:rPr>
                <w:rFonts w:ascii="Arial"/>
                <w:sz w:val="21"/>
              </w:rPr>
            </w:pPr>
          </w:p>
          <w:p w14:paraId="667AE826">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342F2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5" w:hRule="atLeast"/>
        </w:trPr>
        <w:tc>
          <w:tcPr>
            <w:tcW w:w="622" w:type="dxa"/>
            <w:vAlign w:val="top"/>
          </w:tcPr>
          <w:p w14:paraId="1F6AAC87">
            <w:pPr>
              <w:rPr>
                <w:rFonts w:ascii="Arial"/>
                <w:sz w:val="21"/>
              </w:rPr>
            </w:pPr>
          </w:p>
          <w:p w14:paraId="26C6393E">
            <w:pPr>
              <w:rPr>
                <w:rFonts w:ascii="Arial"/>
                <w:sz w:val="21"/>
              </w:rPr>
            </w:pPr>
          </w:p>
          <w:p w14:paraId="2C0E186C">
            <w:pPr>
              <w:rPr>
                <w:rFonts w:ascii="Arial"/>
                <w:sz w:val="21"/>
              </w:rPr>
            </w:pPr>
          </w:p>
          <w:p w14:paraId="61897346">
            <w:pPr>
              <w:rPr>
                <w:rFonts w:ascii="Arial"/>
                <w:sz w:val="21"/>
              </w:rPr>
            </w:pPr>
          </w:p>
          <w:p w14:paraId="2C3159E5">
            <w:pPr>
              <w:rPr>
                <w:rFonts w:ascii="Arial"/>
                <w:sz w:val="21"/>
              </w:rPr>
            </w:pPr>
          </w:p>
          <w:p w14:paraId="16223516">
            <w:pPr>
              <w:rPr>
                <w:rFonts w:ascii="Arial"/>
                <w:sz w:val="21"/>
              </w:rPr>
            </w:pPr>
          </w:p>
          <w:p w14:paraId="45B7E932">
            <w:pPr>
              <w:rPr>
                <w:rFonts w:ascii="Arial"/>
                <w:sz w:val="21"/>
              </w:rPr>
            </w:pPr>
          </w:p>
          <w:p w14:paraId="3058D01E">
            <w:pPr>
              <w:spacing w:line="241" w:lineRule="auto"/>
              <w:rPr>
                <w:rFonts w:ascii="Arial"/>
                <w:sz w:val="21"/>
              </w:rPr>
            </w:pPr>
          </w:p>
          <w:p w14:paraId="4A411234">
            <w:pPr>
              <w:spacing w:line="241" w:lineRule="auto"/>
              <w:rPr>
                <w:rFonts w:ascii="Arial"/>
                <w:sz w:val="21"/>
              </w:rPr>
            </w:pPr>
          </w:p>
          <w:p w14:paraId="1E0C90E9">
            <w:pPr>
              <w:spacing w:line="241" w:lineRule="auto"/>
              <w:rPr>
                <w:rFonts w:ascii="Arial"/>
                <w:sz w:val="21"/>
              </w:rPr>
            </w:pPr>
          </w:p>
          <w:p w14:paraId="6AD33A94">
            <w:pPr>
              <w:pStyle w:val="8"/>
              <w:spacing w:before="58" w:line="184" w:lineRule="auto"/>
              <w:ind w:left="239"/>
            </w:pPr>
            <w:r>
              <w:rPr>
                <w:spacing w:val="-10"/>
              </w:rPr>
              <w:t>13</w:t>
            </w:r>
          </w:p>
        </w:tc>
        <w:tc>
          <w:tcPr>
            <w:tcW w:w="1100" w:type="dxa"/>
            <w:vAlign w:val="top"/>
          </w:tcPr>
          <w:p w14:paraId="6D3B0D05">
            <w:pPr>
              <w:spacing w:line="277" w:lineRule="auto"/>
              <w:rPr>
                <w:rFonts w:ascii="Arial"/>
                <w:sz w:val="21"/>
              </w:rPr>
            </w:pPr>
          </w:p>
          <w:p w14:paraId="389338FE">
            <w:pPr>
              <w:spacing w:line="278" w:lineRule="auto"/>
              <w:rPr>
                <w:rFonts w:ascii="Arial"/>
                <w:sz w:val="21"/>
              </w:rPr>
            </w:pPr>
          </w:p>
          <w:p w14:paraId="21E1DC5C">
            <w:pPr>
              <w:spacing w:line="278" w:lineRule="auto"/>
              <w:rPr>
                <w:rFonts w:ascii="Arial"/>
                <w:sz w:val="21"/>
              </w:rPr>
            </w:pPr>
          </w:p>
          <w:p w14:paraId="2C1C653B">
            <w:pPr>
              <w:spacing w:line="278" w:lineRule="auto"/>
              <w:rPr>
                <w:rFonts w:ascii="Arial"/>
                <w:sz w:val="21"/>
              </w:rPr>
            </w:pPr>
          </w:p>
          <w:p w14:paraId="13EE5F5B">
            <w:pPr>
              <w:spacing w:line="278" w:lineRule="auto"/>
              <w:rPr>
                <w:rFonts w:ascii="Arial"/>
                <w:sz w:val="21"/>
              </w:rPr>
            </w:pPr>
          </w:p>
          <w:p w14:paraId="603782E8">
            <w:pPr>
              <w:spacing w:line="278" w:lineRule="auto"/>
              <w:rPr>
                <w:rFonts w:ascii="Arial"/>
                <w:sz w:val="21"/>
              </w:rPr>
            </w:pPr>
          </w:p>
          <w:p w14:paraId="244EA675">
            <w:pPr>
              <w:pStyle w:val="8"/>
              <w:spacing w:before="58" w:line="243" w:lineRule="auto"/>
              <w:ind w:left="59" w:right="55"/>
              <w:jc w:val="both"/>
            </w:pPr>
            <w:r>
              <w:rPr>
                <w:spacing w:val="16"/>
              </w:rPr>
              <w:t>对未按规定</w:t>
            </w:r>
            <w:r>
              <w:t xml:space="preserve"> </w:t>
            </w:r>
            <w:r>
              <w:rPr>
                <w:spacing w:val="15"/>
              </w:rPr>
              <w:t>向港口经营</w:t>
            </w:r>
            <w:r>
              <w:rPr>
                <w:spacing w:val="3"/>
              </w:rPr>
              <w:t xml:space="preserve"> </w:t>
            </w:r>
            <w:r>
              <w:rPr>
                <w:spacing w:val="15"/>
              </w:rPr>
              <w:t>人提供所托</w:t>
            </w:r>
            <w:r>
              <w:rPr>
                <w:spacing w:val="3"/>
              </w:rPr>
              <w:t xml:space="preserve"> </w:t>
            </w:r>
            <w:r>
              <w:rPr>
                <w:spacing w:val="15"/>
              </w:rPr>
              <w:t>运的危险货</w:t>
            </w:r>
            <w:r>
              <w:rPr>
                <w:spacing w:val="3"/>
              </w:rPr>
              <w:t xml:space="preserve"> </w:t>
            </w:r>
            <w:r>
              <w:rPr>
                <w:spacing w:val="15"/>
              </w:rPr>
              <w:t>物有关资料</w:t>
            </w:r>
            <w:r>
              <w:rPr>
                <w:spacing w:val="3"/>
              </w:rPr>
              <w:t xml:space="preserve"> </w:t>
            </w:r>
            <w:r>
              <w:rPr>
                <w:spacing w:val="15"/>
              </w:rPr>
              <w:t>行为的行政</w:t>
            </w:r>
            <w:r>
              <w:rPr>
                <w:spacing w:val="3"/>
              </w:rPr>
              <w:t xml:space="preserve"> </w:t>
            </w:r>
            <w:r>
              <w:rPr>
                <w:spacing w:val="-2"/>
              </w:rPr>
              <w:t>处罚</w:t>
            </w:r>
          </w:p>
        </w:tc>
        <w:tc>
          <w:tcPr>
            <w:tcW w:w="1100" w:type="dxa"/>
            <w:vAlign w:val="top"/>
          </w:tcPr>
          <w:p w14:paraId="706B4BB7">
            <w:pPr>
              <w:spacing w:line="264" w:lineRule="auto"/>
              <w:rPr>
                <w:rFonts w:ascii="Arial"/>
                <w:sz w:val="21"/>
              </w:rPr>
            </w:pPr>
          </w:p>
          <w:p w14:paraId="4C2B31FB">
            <w:pPr>
              <w:spacing w:line="264" w:lineRule="auto"/>
              <w:rPr>
                <w:rFonts w:ascii="Arial"/>
                <w:sz w:val="21"/>
              </w:rPr>
            </w:pPr>
          </w:p>
          <w:p w14:paraId="67639444">
            <w:pPr>
              <w:spacing w:line="264" w:lineRule="auto"/>
              <w:rPr>
                <w:rFonts w:ascii="Arial"/>
                <w:sz w:val="21"/>
              </w:rPr>
            </w:pPr>
          </w:p>
          <w:p w14:paraId="2EAC1E2F">
            <w:pPr>
              <w:spacing w:line="264" w:lineRule="auto"/>
              <w:rPr>
                <w:rFonts w:ascii="Arial"/>
                <w:sz w:val="21"/>
              </w:rPr>
            </w:pPr>
          </w:p>
          <w:p w14:paraId="3634D1AC">
            <w:pPr>
              <w:spacing w:line="264" w:lineRule="auto"/>
              <w:rPr>
                <w:rFonts w:ascii="Arial"/>
                <w:sz w:val="21"/>
              </w:rPr>
            </w:pPr>
          </w:p>
          <w:p w14:paraId="79D635F2">
            <w:pPr>
              <w:spacing w:line="264" w:lineRule="auto"/>
              <w:rPr>
                <w:rFonts w:ascii="Arial"/>
                <w:sz w:val="21"/>
              </w:rPr>
            </w:pPr>
          </w:p>
          <w:p w14:paraId="3660FA61">
            <w:pPr>
              <w:spacing w:line="264" w:lineRule="auto"/>
              <w:rPr>
                <w:rFonts w:ascii="Arial"/>
                <w:sz w:val="21"/>
              </w:rPr>
            </w:pPr>
          </w:p>
          <w:p w14:paraId="0F67A63A">
            <w:pPr>
              <w:spacing w:line="264" w:lineRule="auto"/>
              <w:rPr>
                <w:rFonts w:ascii="Arial"/>
                <w:sz w:val="21"/>
              </w:rPr>
            </w:pPr>
          </w:p>
          <w:p w14:paraId="0C71A1C9">
            <w:pPr>
              <w:spacing w:line="264" w:lineRule="auto"/>
              <w:rPr>
                <w:rFonts w:ascii="Arial"/>
                <w:sz w:val="21"/>
              </w:rPr>
            </w:pPr>
          </w:p>
          <w:p w14:paraId="7D68A70B">
            <w:pPr>
              <w:pStyle w:val="8"/>
              <w:spacing w:before="58" w:line="220" w:lineRule="auto"/>
              <w:ind w:left="112"/>
            </w:pPr>
            <w:r>
              <w:rPr>
                <w:spacing w:val="-2"/>
              </w:rPr>
              <w:t>行政处罚</w:t>
            </w:r>
          </w:p>
        </w:tc>
        <w:tc>
          <w:tcPr>
            <w:tcW w:w="8508" w:type="dxa"/>
            <w:vAlign w:val="top"/>
          </w:tcPr>
          <w:p w14:paraId="64F46FEA">
            <w:pPr>
              <w:pStyle w:val="8"/>
              <w:spacing w:before="176" w:line="219" w:lineRule="auto"/>
              <w:ind w:left="484"/>
            </w:pPr>
            <w:r>
              <w:rPr>
                <w:b/>
                <w:bCs/>
                <w:spacing w:val="-3"/>
              </w:rPr>
              <w:t>1.《危险化学品安全管理条例》</w:t>
            </w:r>
          </w:p>
          <w:p w14:paraId="2EC98B16">
            <w:pPr>
              <w:pStyle w:val="8"/>
              <w:spacing w:before="24" w:line="238" w:lineRule="auto"/>
              <w:ind w:left="111" w:right="104" w:firstLine="360"/>
              <w:jc w:val="both"/>
            </w:pPr>
            <w:r>
              <w:t>第六十三条  托运危险化学品的，托运人应当向承运人说明所托运的危险化学品的种类、数量、</w:t>
            </w:r>
            <w:r>
              <w:rPr>
                <w:spacing w:val="-1"/>
              </w:rPr>
              <w:t>危险</w:t>
            </w:r>
            <w:r>
              <w:t xml:space="preserve"> 特性以及发生危险情况的应急处置措施，并按照国家有关规定对所托运的危险化学品妥善包装，在外包装</w:t>
            </w:r>
            <w:r>
              <w:rPr>
                <w:spacing w:val="6"/>
              </w:rPr>
              <w:t xml:space="preserve"> </w:t>
            </w:r>
            <w:r>
              <w:rPr>
                <w:spacing w:val="-4"/>
              </w:rPr>
              <w:t>上设置相应的标志。</w:t>
            </w:r>
          </w:p>
          <w:p w14:paraId="0B41E4D2">
            <w:pPr>
              <w:pStyle w:val="8"/>
              <w:spacing w:before="25" w:line="218" w:lineRule="auto"/>
              <w:ind w:left="471"/>
            </w:pPr>
            <w:r>
              <w:rPr>
                <w:spacing w:val="-1"/>
              </w:rPr>
              <w:t>运输危险化学品需要添加抑制剂或者稳定剂的，托运人应当添加，并将有关情况告知承运人。</w:t>
            </w:r>
          </w:p>
          <w:p w14:paraId="0EBC627B">
            <w:pPr>
              <w:pStyle w:val="8"/>
              <w:spacing w:before="25"/>
              <w:ind w:left="113" w:right="104" w:firstLine="357"/>
            </w:pPr>
            <w:r>
              <w:rPr>
                <w:spacing w:val="-3"/>
              </w:rPr>
              <w:t>第八十六条第（六）项  有下列情形之一的，由交通运输主管部门责令改正，处</w:t>
            </w:r>
            <w:r>
              <w:rPr>
                <w:spacing w:val="-34"/>
              </w:rPr>
              <w:t xml:space="preserve"> </w:t>
            </w:r>
            <w:r>
              <w:rPr>
                <w:spacing w:val="-3"/>
              </w:rPr>
              <w:t>5</w:t>
            </w:r>
            <w:r>
              <w:rPr>
                <w:spacing w:val="-31"/>
              </w:rPr>
              <w:t xml:space="preserve"> </w:t>
            </w:r>
            <w:r>
              <w:rPr>
                <w:spacing w:val="-3"/>
              </w:rPr>
              <w:t>万元以上</w:t>
            </w:r>
            <w:r>
              <w:rPr>
                <w:spacing w:val="-27"/>
              </w:rPr>
              <w:t xml:space="preserve"> </w:t>
            </w:r>
            <w:r>
              <w:rPr>
                <w:spacing w:val="-3"/>
              </w:rPr>
              <w:t>10</w:t>
            </w:r>
            <w:r>
              <w:rPr>
                <w:spacing w:val="-34"/>
              </w:rPr>
              <w:t xml:space="preserve"> </w:t>
            </w:r>
            <w:r>
              <w:rPr>
                <w:spacing w:val="-3"/>
              </w:rPr>
              <w:t>万元以</w:t>
            </w:r>
            <w:r>
              <w:t xml:space="preserve"> 下的罚款；拒不改正的，责令停产停业整顿；构成犯罪的，依法追究刑事责任</w:t>
            </w:r>
            <w:r>
              <w:rPr>
                <w:spacing w:val="2"/>
              </w:rPr>
              <w:t>：（</w:t>
            </w:r>
            <w:r>
              <w:t>六）托运人不向承运人 说明所托运的危险化学品的种类、数量、危险特性以及发生危险情况的应急处置措施，或者未按照国家有</w:t>
            </w:r>
            <w:r>
              <w:rPr>
                <w:spacing w:val="4"/>
              </w:rPr>
              <w:t xml:space="preserve"> </w:t>
            </w:r>
            <w:r>
              <w:rPr>
                <w:spacing w:val="-2"/>
              </w:rPr>
              <w:t>关规定对所托运的危险化学品妥善包装并在外包装上设置相应标志的；</w:t>
            </w:r>
          </w:p>
          <w:p w14:paraId="6D604430">
            <w:pPr>
              <w:pStyle w:val="8"/>
              <w:spacing w:before="25"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348AB931">
            <w:pPr>
              <w:pStyle w:val="8"/>
              <w:spacing w:before="26" w:line="241" w:lineRule="auto"/>
              <w:ind w:left="111" w:right="104" w:firstLine="359"/>
              <w:jc w:val="both"/>
            </w:pPr>
            <w:r>
              <w:t>第三十七条  危险货物港口作业委托人应当向危险货物港口经营人提供委托人身份信息和完整准确的</w:t>
            </w:r>
            <w:r>
              <w:rPr>
                <w:spacing w:val="6"/>
              </w:rPr>
              <w:t xml:space="preserve"> </w:t>
            </w:r>
            <w:r>
              <w:t>危险货物品名、联合国编号、危险性分类、包装、数量、应急措施及安全技术说明书等资料；</w:t>
            </w:r>
            <w:r>
              <w:rPr>
                <w:spacing w:val="-1"/>
              </w:rPr>
              <w:t>危险性质不</w:t>
            </w:r>
            <w:r>
              <w:t xml:space="preserve"> 明的危险货物，应当提供具有相应资质的专业机构出具的危险货物危险特性鉴定技术报告。法律、行政法</w:t>
            </w:r>
            <w:r>
              <w:rPr>
                <w:spacing w:val="5"/>
              </w:rPr>
              <w:t xml:space="preserve"> </w:t>
            </w:r>
            <w:r>
              <w:t>规规定必须办理有关手续后方可进行水路运输的危险货物，还应当办理相关手续，并向港口经营人提供相</w:t>
            </w:r>
            <w:r>
              <w:rPr>
                <w:spacing w:val="5"/>
              </w:rPr>
              <w:t xml:space="preserve"> </w:t>
            </w:r>
            <w:r>
              <w:rPr>
                <w:spacing w:val="-5"/>
              </w:rPr>
              <w:t>关证明材料。</w:t>
            </w:r>
          </w:p>
          <w:p w14:paraId="1CF0E1E1">
            <w:pPr>
              <w:pStyle w:val="8"/>
              <w:spacing w:before="26" w:line="219" w:lineRule="auto"/>
              <w:ind w:left="473"/>
            </w:pPr>
            <w:r>
              <w:rPr>
                <w:spacing w:val="-1"/>
              </w:rPr>
              <w:t>危险货物港口作业委托人不得在委托作业的普通货物中夹带危险货物，不得匿报、谎报危险货物。</w:t>
            </w:r>
          </w:p>
          <w:p w14:paraId="51FB9D11">
            <w:pPr>
              <w:pStyle w:val="8"/>
              <w:spacing w:before="25"/>
              <w:ind w:left="112" w:right="104" w:firstLine="358"/>
            </w:pPr>
            <w:r>
              <w:t>第八十五条  港口作业委托人未按规定向港口经营人提供所托运的危险货物有关资料的，由所在地港 口行政管理部门责令改正，处五万元以上十万元以下的罚款。港口作业委托人在托运的普通货物中夹带危</w:t>
            </w:r>
            <w:r>
              <w:rPr>
                <w:spacing w:val="4"/>
              </w:rPr>
              <w:t xml:space="preserve"> </w:t>
            </w:r>
            <w:r>
              <w:t>险货物，或者将危险货物谎报或者匿报为普通货物托运的，由所在地港口行政管理部门责令改正，处十万</w:t>
            </w:r>
            <w:r>
              <w:rPr>
                <w:spacing w:val="4"/>
              </w:rPr>
              <w:t xml:space="preserve"> </w:t>
            </w:r>
            <w:r>
              <w:rPr>
                <w:spacing w:val="-1"/>
              </w:rPr>
              <w:t>元以上二十万元以下的罚款，有违法所得的</w:t>
            </w:r>
            <w:r>
              <w:rPr>
                <w:spacing w:val="-2"/>
              </w:rPr>
              <w:t>，没收违法所得。</w:t>
            </w:r>
          </w:p>
        </w:tc>
        <w:tc>
          <w:tcPr>
            <w:tcW w:w="1010" w:type="dxa"/>
            <w:vAlign w:val="top"/>
          </w:tcPr>
          <w:p w14:paraId="40D81DB5">
            <w:pPr>
              <w:spacing w:line="251" w:lineRule="auto"/>
              <w:rPr>
                <w:rFonts w:ascii="Arial"/>
                <w:sz w:val="21"/>
              </w:rPr>
            </w:pPr>
          </w:p>
          <w:p w14:paraId="32F5803B">
            <w:pPr>
              <w:spacing w:line="251" w:lineRule="auto"/>
              <w:rPr>
                <w:rFonts w:ascii="Arial"/>
                <w:sz w:val="21"/>
              </w:rPr>
            </w:pPr>
          </w:p>
          <w:p w14:paraId="16FCDB0A">
            <w:pPr>
              <w:spacing w:line="251" w:lineRule="auto"/>
              <w:rPr>
                <w:rFonts w:ascii="Arial"/>
                <w:sz w:val="21"/>
              </w:rPr>
            </w:pPr>
          </w:p>
          <w:p w14:paraId="41A312D1">
            <w:pPr>
              <w:spacing w:line="251" w:lineRule="auto"/>
              <w:rPr>
                <w:rFonts w:ascii="Arial"/>
                <w:sz w:val="21"/>
              </w:rPr>
            </w:pPr>
          </w:p>
          <w:p w14:paraId="433BE3DF">
            <w:pPr>
              <w:spacing w:line="251" w:lineRule="auto"/>
              <w:rPr>
                <w:rFonts w:ascii="Arial"/>
                <w:sz w:val="21"/>
              </w:rPr>
            </w:pPr>
          </w:p>
          <w:p w14:paraId="1B29902D">
            <w:pPr>
              <w:spacing w:line="252" w:lineRule="auto"/>
              <w:rPr>
                <w:rFonts w:ascii="Arial"/>
                <w:sz w:val="21"/>
              </w:rPr>
            </w:pPr>
          </w:p>
          <w:p w14:paraId="51C18310">
            <w:pPr>
              <w:spacing w:line="252" w:lineRule="auto"/>
              <w:rPr>
                <w:rFonts w:ascii="Arial"/>
                <w:sz w:val="21"/>
              </w:rPr>
            </w:pPr>
          </w:p>
          <w:p w14:paraId="6E1237E4">
            <w:pPr>
              <w:spacing w:line="252" w:lineRule="auto"/>
              <w:rPr>
                <w:rFonts w:ascii="Arial"/>
                <w:sz w:val="21"/>
              </w:rPr>
            </w:pPr>
          </w:p>
          <w:p w14:paraId="07BB480C">
            <w:pPr>
              <w:spacing w:line="252" w:lineRule="auto"/>
              <w:rPr>
                <w:rFonts w:ascii="Arial"/>
                <w:sz w:val="21"/>
              </w:rPr>
            </w:pPr>
          </w:p>
          <w:p w14:paraId="3F152119">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5FBDB288">
            <w:pPr>
              <w:pStyle w:val="8"/>
              <w:spacing w:before="59" w:line="234" w:lineRule="auto"/>
              <w:ind w:left="530" w:right="104" w:hanging="413"/>
              <w:rPr>
                <w:rFonts w:hint="eastAsia"/>
                <w:spacing w:val="-12"/>
                <w:lang w:eastAsia="zh-CN"/>
              </w:rPr>
            </w:pPr>
          </w:p>
          <w:p w14:paraId="581EC5E3">
            <w:pPr>
              <w:pStyle w:val="8"/>
              <w:spacing w:before="59" w:line="234" w:lineRule="auto"/>
              <w:ind w:left="530" w:right="104" w:hanging="413"/>
              <w:rPr>
                <w:rFonts w:hint="eastAsia"/>
                <w:spacing w:val="-12"/>
                <w:lang w:eastAsia="zh-CN"/>
              </w:rPr>
            </w:pPr>
          </w:p>
          <w:p w14:paraId="3392481A">
            <w:pPr>
              <w:pStyle w:val="8"/>
              <w:spacing w:before="59" w:line="234" w:lineRule="auto"/>
              <w:ind w:left="530" w:right="104" w:hanging="413"/>
              <w:rPr>
                <w:rFonts w:hint="eastAsia"/>
                <w:spacing w:val="-12"/>
                <w:lang w:eastAsia="zh-CN"/>
              </w:rPr>
            </w:pPr>
          </w:p>
          <w:p w14:paraId="6BDF6B5C">
            <w:pPr>
              <w:pStyle w:val="8"/>
              <w:spacing w:before="59" w:line="234" w:lineRule="auto"/>
              <w:ind w:left="530" w:right="104" w:hanging="413"/>
              <w:rPr>
                <w:rFonts w:hint="eastAsia"/>
                <w:spacing w:val="-12"/>
                <w:lang w:eastAsia="zh-CN"/>
              </w:rPr>
            </w:pPr>
          </w:p>
          <w:p w14:paraId="2518B5D1">
            <w:pPr>
              <w:pStyle w:val="8"/>
              <w:spacing w:before="59" w:line="234" w:lineRule="auto"/>
              <w:ind w:left="530" w:right="104" w:hanging="413"/>
              <w:rPr>
                <w:rFonts w:hint="eastAsia"/>
                <w:spacing w:val="-12"/>
                <w:lang w:eastAsia="zh-CN"/>
              </w:rPr>
            </w:pPr>
          </w:p>
          <w:p w14:paraId="42E2B635">
            <w:pPr>
              <w:pStyle w:val="8"/>
              <w:spacing w:before="59" w:line="234" w:lineRule="auto"/>
              <w:ind w:left="530" w:right="104" w:hanging="413"/>
              <w:rPr>
                <w:rFonts w:hint="eastAsia"/>
                <w:spacing w:val="-12"/>
                <w:lang w:eastAsia="zh-CN"/>
              </w:rPr>
            </w:pPr>
          </w:p>
          <w:p w14:paraId="478C61AD">
            <w:pPr>
              <w:pStyle w:val="8"/>
              <w:spacing w:before="59" w:line="234" w:lineRule="auto"/>
              <w:ind w:left="530" w:right="104" w:hanging="413"/>
              <w:rPr>
                <w:rFonts w:hint="eastAsia"/>
                <w:spacing w:val="-12"/>
                <w:lang w:eastAsia="zh-CN"/>
              </w:rPr>
            </w:pPr>
          </w:p>
          <w:p w14:paraId="60966C42">
            <w:pPr>
              <w:pStyle w:val="8"/>
              <w:spacing w:before="59" w:line="234" w:lineRule="auto"/>
              <w:ind w:left="530" w:right="104" w:hanging="413"/>
              <w:rPr>
                <w:rFonts w:hint="eastAsia"/>
                <w:spacing w:val="-12"/>
                <w:lang w:eastAsia="zh-CN"/>
              </w:rPr>
            </w:pPr>
          </w:p>
          <w:p w14:paraId="4B01F100">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78C3BABD">
            <w:pPr>
              <w:spacing w:line="268" w:lineRule="auto"/>
              <w:rPr>
                <w:rFonts w:ascii="Arial"/>
                <w:sz w:val="21"/>
              </w:rPr>
            </w:pPr>
          </w:p>
          <w:p w14:paraId="1F4A68A5">
            <w:pPr>
              <w:spacing w:line="268" w:lineRule="auto"/>
              <w:rPr>
                <w:rFonts w:ascii="Arial"/>
                <w:sz w:val="21"/>
              </w:rPr>
            </w:pPr>
          </w:p>
          <w:p w14:paraId="4AD727CC">
            <w:pPr>
              <w:spacing w:line="268" w:lineRule="auto"/>
              <w:rPr>
                <w:rFonts w:ascii="Arial"/>
                <w:sz w:val="21"/>
              </w:rPr>
            </w:pPr>
          </w:p>
          <w:p w14:paraId="312BF0BA">
            <w:pPr>
              <w:spacing w:line="268" w:lineRule="auto"/>
              <w:rPr>
                <w:rFonts w:ascii="Arial"/>
                <w:sz w:val="21"/>
              </w:rPr>
            </w:pPr>
          </w:p>
          <w:p w14:paraId="40B6F183">
            <w:pPr>
              <w:spacing w:line="268" w:lineRule="auto"/>
              <w:rPr>
                <w:rFonts w:ascii="Arial"/>
                <w:sz w:val="21"/>
              </w:rPr>
            </w:pPr>
          </w:p>
          <w:p w14:paraId="41AEA654">
            <w:pPr>
              <w:spacing w:line="268" w:lineRule="auto"/>
              <w:rPr>
                <w:rFonts w:ascii="Arial"/>
                <w:sz w:val="21"/>
              </w:rPr>
            </w:pPr>
          </w:p>
          <w:p w14:paraId="5C7409D2">
            <w:pPr>
              <w:spacing w:line="268" w:lineRule="auto"/>
              <w:rPr>
                <w:rFonts w:ascii="Arial"/>
                <w:sz w:val="21"/>
              </w:rPr>
            </w:pPr>
          </w:p>
          <w:p w14:paraId="75A09DB7">
            <w:pPr>
              <w:spacing w:line="268" w:lineRule="auto"/>
              <w:rPr>
                <w:rFonts w:ascii="Arial"/>
                <w:sz w:val="21"/>
              </w:rPr>
            </w:pPr>
          </w:p>
          <w:p w14:paraId="6D16ABD3">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723A41AA">
      <w:pPr>
        <w:pStyle w:val="2"/>
      </w:pPr>
    </w:p>
    <w:p w14:paraId="16F42406">
      <w:pPr>
        <w:sectPr>
          <w:footerReference r:id="rId133" w:type="default"/>
          <w:pgSz w:w="16839" w:h="11906"/>
          <w:pgMar w:top="1012" w:right="1034" w:bottom="967" w:left="1043" w:header="0" w:footer="768" w:gutter="0"/>
          <w:cols w:space="720" w:num="1"/>
        </w:sectPr>
      </w:pPr>
    </w:p>
    <w:p w14:paraId="40CA4D2B">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5219E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0EE957C1">
            <w:pPr>
              <w:pStyle w:val="8"/>
              <w:spacing w:before="259" w:line="221" w:lineRule="auto"/>
              <w:ind w:left="134"/>
            </w:pPr>
            <w:r>
              <w:rPr>
                <w:b/>
                <w:bCs/>
                <w:spacing w:val="-4"/>
              </w:rPr>
              <w:t>序号</w:t>
            </w:r>
          </w:p>
        </w:tc>
        <w:tc>
          <w:tcPr>
            <w:tcW w:w="1100" w:type="dxa"/>
            <w:vMerge w:val="restart"/>
            <w:tcBorders>
              <w:bottom w:val="nil"/>
            </w:tcBorders>
            <w:vAlign w:val="top"/>
          </w:tcPr>
          <w:p w14:paraId="00AED4EA">
            <w:pPr>
              <w:pStyle w:val="8"/>
              <w:spacing w:before="260" w:line="220" w:lineRule="auto"/>
              <w:ind w:left="189"/>
            </w:pPr>
            <w:r>
              <w:rPr>
                <w:b/>
                <w:bCs/>
                <w:spacing w:val="-4"/>
              </w:rPr>
              <w:t>事项名称</w:t>
            </w:r>
          </w:p>
        </w:tc>
        <w:tc>
          <w:tcPr>
            <w:tcW w:w="1100" w:type="dxa"/>
            <w:vMerge w:val="restart"/>
            <w:tcBorders>
              <w:bottom w:val="nil"/>
            </w:tcBorders>
            <w:vAlign w:val="top"/>
          </w:tcPr>
          <w:p w14:paraId="0279CFB6">
            <w:pPr>
              <w:pStyle w:val="8"/>
              <w:spacing w:before="260" w:line="219" w:lineRule="auto"/>
              <w:ind w:left="191"/>
            </w:pPr>
            <w:r>
              <w:rPr>
                <w:b/>
                <w:bCs/>
                <w:spacing w:val="-4"/>
              </w:rPr>
              <w:t>职权类型</w:t>
            </w:r>
          </w:p>
        </w:tc>
        <w:tc>
          <w:tcPr>
            <w:tcW w:w="8508" w:type="dxa"/>
            <w:vMerge w:val="restart"/>
            <w:tcBorders>
              <w:bottom w:val="nil"/>
            </w:tcBorders>
            <w:vAlign w:val="top"/>
          </w:tcPr>
          <w:p w14:paraId="3FEA14FF">
            <w:pPr>
              <w:pStyle w:val="8"/>
              <w:spacing w:before="259" w:line="219" w:lineRule="auto"/>
              <w:ind w:left="3900"/>
            </w:pPr>
            <w:r>
              <w:rPr>
                <w:b/>
                <w:bCs/>
                <w:spacing w:val="-5"/>
              </w:rPr>
              <w:t>实施依据</w:t>
            </w:r>
          </w:p>
        </w:tc>
        <w:tc>
          <w:tcPr>
            <w:tcW w:w="3425" w:type="dxa"/>
            <w:gridSpan w:val="3"/>
            <w:vAlign w:val="top"/>
          </w:tcPr>
          <w:p w14:paraId="649DAB40">
            <w:pPr>
              <w:pStyle w:val="8"/>
              <w:spacing w:before="85" w:line="220" w:lineRule="auto"/>
              <w:ind w:left="1358"/>
            </w:pPr>
            <w:r>
              <w:rPr>
                <w:b/>
                <w:bCs/>
                <w:spacing w:val="-5"/>
              </w:rPr>
              <w:t>实施主体</w:t>
            </w:r>
          </w:p>
        </w:tc>
      </w:tr>
      <w:tr w14:paraId="02DB0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01F08A58">
            <w:pPr>
              <w:rPr>
                <w:rFonts w:ascii="Arial"/>
                <w:sz w:val="21"/>
              </w:rPr>
            </w:pPr>
          </w:p>
        </w:tc>
        <w:tc>
          <w:tcPr>
            <w:tcW w:w="1100" w:type="dxa"/>
            <w:vMerge w:val="continue"/>
            <w:tcBorders>
              <w:top w:val="nil"/>
            </w:tcBorders>
            <w:vAlign w:val="top"/>
          </w:tcPr>
          <w:p w14:paraId="22ADB130">
            <w:pPr>
              <w:rPr>
                <w:rFonts w:ascii="Arial"/>
                <w:sz w:val="21"/>
              </w:rPr>
            </w:pPr>
          </w:p>
        </w:tc>
        <w:tc>
          <w:tcPr>
            <w:tcW w:w="1100" w:type="dxa"/>
            <w:vMerge w:val="continue"/>
            <w:tcBorders>
              <w:top w:val="nil"/>
            </w:tcBorders>
            <w:vAlign w:val="top"/>
          </w:tcPr>
          <w:p w14:paraId="2FCF56AD">
            <w:pPr>
              <w:rPr>
                <w:rFonts w:ascii="Arial"/>
                <w:sz w:val="21"/>
              </w:rPr>
            </w:pPr>
          </w:p>
        </w:tc>
        <w:tc>
          <w:tcPr>
            <w:tcW w:w="8508" w:type="dxa"/>
            <w:vMerge w:val="continue"/>
            <w:tcBorders>
              <w:top w:val="nil"/>
            </w:tcBorders>
            <w:vAlign w:val="top"/>
          </w:tcPr>
          <w:p w14:paraId="4C7632EA">
            <w:pPr>
              <w:rPr>
                <w:rFonts w:ascii="Arial"/>
                <w:sz w:val="21"/>
              </w:rPr>
            </w:pPr>
          </w:p>
        </w:tc>
        <w:tc>
          <w:tcPr>
            <w:tcW w:w="1010" w:type="dxa"/>
            <w:vAlign w:val="top"/>
          </w:tcPr>
          <w:p w14:paraId="3E267002">
            <w:pPr>
              <w:pStyle w:val="8"/>
              <w:spacing w:before="81" w:line="219" w:lineRule="auto"/>
              <w:ind w:left="155"/>
            </w:pPr>
            <w:r>
              <w:rPr>
                <w:b/>
                <w:bCs/>
                <w:spacing w:val="-5"/>
              </w:rPr>
              <w:t>责任部门</w:t>
            </w:r>
          </w:p>
        </w:tc>
        <w:tc>
          <w:tcPr>
            <w:tcW w:w="1401" w:type="dxa"/>
            <w:vAlign w:val="top"/>
          </w:tcPr>
          <w:p w14:paraId="6DC31D3C">
            <w:pPr>
              <w:pStyle w:val="8"/>
              <w:spacing w:before="81" w:line="219" w:lineRule="auto"/>
              <w:ind w:left="164"/>
            </w:pPr>
            <w:r>
              <w:rPr>
                <w:b/>
                <w:bCs/>
                <w:spacing w:val="-3"/>
              </w:rPr>
              <w:t>第一责任层级</w:t>
            </w:r>
          </w:p>
        </w:tc>
        <w:tc>
          <w:tcPr>
            <w:tcW w:w="1014" w:type="dxa"/>
            <w:vAlign w:val="top"/>
          </w:tcPr>
          <w:p w14:paraId="63F02092">
            <w:pPr>
              <w:pStyle w:val="8"/>
              <w:spacing w:before="81" w:line="219" w:lineRule="auto"/>
              <w:ind w:left="150"/>
            </w:pPr>
            <w:r>
              <w:rPr>
                <w:b/>
                <w:bCs/>
                <w:spacing w:val="-4"/>
              </w:rPr>
              <w:t>承办机构</w:t>
            </w:r>
          </w:p>
        </w:tc>
      </w:tr>
      <w:tr w14:paraId="77A54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2" w:hRule="atLeast"/>
        </w:trPr>
        <w:tc>
          <w:tcPr>
            <w:tcW w:w="622" w:type="dxa"/>
            <w:vAlign w:val="top"/>
          </w:tcPr>
          <w:p w14:paraId="70CD0116">
            <w:pPr>
              <w:spacing w:line="252" w:lineRule="auto"/>
              <w:rPr>
                <w:rFonts w:ascii="Arial"/>
                <w:sz w:val="21"/>
              </w:rPr>
            </w:pPr>
          </w:p>
          <w:p w14:paraId="75F5EFB2">
            <w:pPr>
              <w:spacing w:line="252" w:lineRule="auto"/>
              <w:rPr>
                <w:rFonts w:ascii="Arial"/>
                <w:sz w:val="21"/>
              </w:rPr>
            </w:pPr>
          </w:p>
          <w:p w14:paraId="741B0838">
            <w:pPr>
              <w:spacing w:line="252" w:lineRule="auto"/>
              <w:rPr>
                <w:rFonts w:ascii="Arial"/>
                <w:sz w:val="21"/>
              </w:rPr>
            </w:pPr>
          </w:p>
          <w:p w14:paraId="124E9ED0">
            <w:pPr>
              <w:spacing w:line="252" w:lineRule="auto"/>
              <w:rPr>
                <w:rFonts w:ascii="Arial"/>
                <w:sz w:val="21"/>
              </w:rPr>
            </w:pPr>
          </w:p>
          <w:p w14:paraId="4D4F78B3">
            <w:pPr>
              <w:spacing w:line="252" w:lineRule="auto"/>
              <w:rPr>
                <w:rFonts w:ascii="Arial"/>
                <w:sz w:val="21"/>
              </w:rPr>
            </w:pPr>
          </w:p>
          <w:p w14:paraId="437D00BD">
            <w:pPr>
              <w:spacing w:line="252" w:lineRule="auto"/>
              <w:rPr>
                <w:rFonts w:ascii="Arial"/>
                <w:sz w:val="21"/>
              </w:rPr>
            </w:pPr>
          </w:p>
          <w:p w14:paraId="13E10DEC">
            <w:pPr>
              <w:spacing w:line="253" w:lineRule="auto"/>
              <w:rPr>
                <w:rFonts w:ascii="Arial"/>
                <w:sz w:val="21"/>
              </w:rPr>
            </w:pPr>
          </w:p>
          <w:p w14:paraId="514D6C60">
            <w:pPr>
              <w:spacing w:line="253" w:lineRule="auto"/>
              <w:rPr>
                <w:rFonts w:ascii="Arial"/>
                <w:sz w:val="21"/>
              </w:rPr>
            </w:pPr>
          </w:p>
          <w:p w14:paraId="261A6DF8">
            <w:pPr>
              <w:spacing w:line="253" w:lineRule="auto"/>
              <w:rPr>
                <w:rFonts w:ascii="Arial"/>
                <w:sz w:val="21"/>
              </w:rPr>
            </w:pPr>
          </w:p>
          <w:p w14:paraId="68F81B0F">
            <w:pPr>
              <w:pStyle w:val="8"/>
              <w:spacing w:before="58" w:line="184" w:lineRule="auto"/>
              <w:ind w:left="239"/>
            </w:pPr>
            <w:r>
              <w:rPr>
                <w:spacing w:val="-10"/>
              </w:rPr>
              <w:t>14</w:t>
            </w:r>
          </w:p>
        </w:tc>
        <w:tc>
          <w:tcPr>
            <w:tcW w:w="1100" w:type="dxa"/>
            <w:vAlign w:val="top"/>
          </w:tcPr>
          <w:p w14:paraId="57407E91">
            <w:pPr>
              <w:spacing w:line="264" w:lineRule="auto"/>
              <w:rPr>
                <w:rFonts w:ascii="Arial"/>
                <w:sz w:val="21"/>
              </w:rPr>
            </w:pPr>
          </w:p>
          <w:p w14:paraId="5C57A608">
            <w:pPr>
              <w:spacing w:line="265" w:lineRule="auto"/>
              <w:rPr>
                <w:rFonts w:ascii="Arial"/>
                <w:sz w:val="21"/>
              </w:rPr>
            </w:pPr>
          </w:p>
          <w:p w14:paraId="4045D455">
            <w:pPr>
              <w:spacing w:line="265" w:lineRule="auto"/>
              <w:rPr>
                <w:rFonts w:ascii="Arial"/>
                <w:sz w:val="21"/>
              </w:rPr>
            </w:pPr>
          </w:p>
          <w:p w14:paraId="4A405B95">
            <w:pPr>
              <w:spacing w:line="265" w:lineRule="auto"/>
              <w:rPr>
                <w:rFonts w:ascii="Arial"/>
                <w:sz w:val="21"/>
              </w:rPr>
            </w:pPr>
          </w:p>
          <w:p w14:paraId="73D4E993">
            <w:pPr>
              <w:pStyle w:val="8"/>
              <w:spacing w:before="59" w:line="244" w:lineRule="auto"/>
              <w:ind w:left="59" w:right="55"/>
              <w:jc w:val="both"/>
            </w:pPr>
            <w:r>
              <w:rPr>
                <w:spacing w:val="16"/>
              </w:rPr>
              <w:t>对港口作业</w:t>
            </w:r>
            <w:r>
              <w:t xml:space="preserve"> </w:t>
            </w:r>
            <w:r>
              <w:rPr>
                <w:spacing w:val="16"/>
              </w:rPr>
              <w:t>委托人在托</w:t>
            </w:r>
            <w:r>
              <w:t xml:space="preserve"> </w:t>
            </w:r>
            <w:r>
              <w:rPr>
                <w:spacing w:val="16"/>
              </w:rPr>
              <w:t>运的普通货</w:t>
            </w:r>
            <w:r>
              <w:t xml:space="preserve"> </w:t>
            </w:r>
            <w:r>
              <w:rPr>
                <w:spacing w:val="16"/>
              </w:rPr>
              <w:t>物中夹带危</w:t>
            </w:r>
            <w:r>
              <w:t xml:space="preserve"> </w:t>
            </w:r>
            <w:r>
              <w:rPr>
                <w:spacing w:val="5"/>
              </w:rPr>
              <w:t>险货物，</w:t>
            </w:r>
            <w:r>
              <w:rPr>
                <w:spacing w:val="-36"/>
              </w:rPr>
              <w:t xml:space="preserve"> </w:t>
            </w:r>
            <w:r>
              <w:rPr>
                <w:spacing w:val="5"/>
              </w:rPr>
              <w:t>或</w:t>
            </w:r>
            <w:r>
              <w:t xml:space="preserve"> </w:t>
            </w:r>
            <w:r>
              <w:rPr>
                <w:spacing w:val="16"/>
              </w:rPr>
              <w:t>者将危险货</w:t>
            </w:r>
            <w:r>
              <w:t xml:space="preserve"> </w:t>
            </w:r>
            <w:r>
              <w:rPr>
                <w:spacing w:val="16"/>
              </w:rPr>
              <w:t>物谎报或者</w:t>
            </w:r>
            <w:r>
              <w:t xml:space="preserve"> </w:t>
            </w:r>
            <w:r>
              <w:rPr>
                <w:spacing w:val="16"/>
              </w:rPr>
              <w:t>匿报为普通</w:t>
            </w:r>
            <w:r>
              <w:t xml:space="preserve"> </w:t>
            </w:r>
            <w:r>
              <w:rPr>
                <w:spacing w:val="16"/>
              </w:rPr>
              <w:t>货物托运行</w:t>
            </w:r>
            <w:r>
              <w:t xml:space="preserve"> </w:t>
            </w:r>
            <w:r>
              <w:rPr>
                <w:spacing w:val="16"/>
              </w:rPr>
              <w:t>为的行政处</w:t>
            </w:r>
            <w:r>
              <w:t xml:space="preserve"> 罚</w:t>
            </w:r>
          </w:p>
        </w:tc>
        <w:tc>
          <w:tcPr>
            <w:tcW w:w="1100" w:type="dxa"/>
            <w:vAlign w:val="top"/>
          </w:tcPr>
          <w:p w14:paraId="5B85FB10">
            <w:pPr>
              <w:spacing w:line="249" w:lineRule="auto"/>
              <w:rPr>
                <w:rFonts w:ascii="Arial"/>
                <w:sz w:val="21"/>
              </w:rPr>
            </w:pPr>
          </w:p>
          <w:p w14:paraId="31F7A493">
            <w:pPr>
              <w:spacing w:line="249" w:lineRule="auto"/>
              <w:rPr>
                <w:rFonts w:ascii="Arial"/>
                <w:sz w:val="21"/>
              </w:rPr>
            </w:pPr>
          </w:p>
          <w:p w14:paraId="42972DA6">
            <w:pPr>
              <w:spacing w:line="249" w:lineRule="auto"/>
              <w:rPr>
                <w:rFonts w:ascii="Arial"/>
                <w:sz w:val="21"/>
              </w:rPr>
            </w:pPr>
          </w:p>
          <w:p w14:paraId="0A1192D9">
            <w:pPr>
              <w:spacing w:line="249" w:lineRule="auto"/>
              <w:rPr>
                <w:rFonts w:ascii="Arial"/>
                <w:sz w:val="21"/>
              </w:rPr>
            </w:pPr>
          </w:p>
          <w:p w14:paraId="69A9706C">
            <w:pPr>
              <w:spacing w:line="249" w:lineRule="auto"/>
              <w:rPr>
                <w:rFonts w:ascii="Arial"/>
                <w:sz w:val="21"/>
              </w:rPr>
            </w:pPr>
          </w:p>
          <w:p w14:paraId="609C545D">
            <w:pPr>
              <w:spacing w:line="249" w:lineRule="auto"/>
              <w:rPr>
                <w:rFonts w:ascii="Arial"/>
                <w:sz w:val="21"/>
              </w:rPr>
            </w:pPr>
          </w:p>
          <w:p w14:paraId="318F7386">
            <w:pPr>
              <w:spacing w:line="249" w:lineRule="auto"/>
              <w:rPr>
                <w:rFonts w:ascii="Arial"/>
                <w:sz w:val="21"/>
              </w:rPr>
            </w:pPr>
          </w:p>
          <w:p w14:paraId="48CC7531">
            <w:pPr>
              <w:spacing w:line="250" w:lineRule="auto"/>
              <w:rPr>
                <w:rFonts w:ascii="Arial"/>
                <w:sz w:val="21"/>
              </w:rPr>
            </w:pPr>
          </w:p>
          <w:p w14:paraId="25942D4A">
            <w:pPr>
              <w:spacing w:line="250" w:lineRule="auto"/>
              <w:rPr>
                <w:rFonts w:ascii="Arial"/>
                <w:sz w:val="21"/>
              </w:rPr>
            </w:pPr>
          </w:p>
          <w:p w14:paraId="50D0FDF3">
            <w:pPr>
              <w:pStyle w:val="8"/>
              <w:spacing w:before="59" w:line="220" w:lineRule="auto"/>
              <w:ind w:left="112"/>
            </w:pPr>
            <w:r>
              <w:rPr>
                <w:spacing w:val="-2"/>
              </w:rPr>
              <w:t>行政处罚</w:t>
            </w:r>
          </w:p>
        </w:tc>
        <w:tc>
          <w:tcPr>
            <w:tcW w:w="8508" w:type="dxa"/>
            <w:vAlign w:val="top"/>
          </w:tcPr>
          <w:p w14:paraId="0669DF64">
            <w:pPr>
              <w:spacing w:line="343" w:lineRule="auto"/>
              <w:rPr>
                <w:rFonts w:ascii="Arial"/>
                <w:sz w:val="21"/>
              </w:rPr>
            </w:pPr>
          </w:p>
          <w:p w14:paraId="20FBF410">
            <w:pPr>
              <w:pStyle w:val="8"/>
              <w:spacing w:before="58" w:line="219" w:lineRule="auto"/>
              <w:ind w:left="484"/>
            </w:pPr>
            <w:r>
              <w:rPr>
                <w:b/>
                <w:bCs/>
                <w:spacing w:val="-3"/>
              </w:rPr>
              <w:t>1.《危险化学品安全管理条例》</w:t>
            </w:r>
          </w:p>
          <w:p w14:paraId="6B61D80A">
            <w:pPr>
              <w:pStyle w:val="8"/>
              <w:spacing w:before="25" w:line="219" w:lineRule="auto"/>
              <w:ind w:left="471"/>
            </w:pPr>
            <w:r>
              <w:t>第六十四条  托运人不得在托运的普通货物中夹带危险化学品，不得将危险化学品匿报或者谎报为普</w:t>
            </w:r>
          </w:p>
          <w:p w14:paraId="287D2293">
            <w:pPr>
              <w:pStyle w:val="8"/>
              <w:spacing w:before="26" w:line="219" w:lineRule="auto"/>
              <w:ind w:left="111"/>
            </w:pPr>
            <w:r>
              <w:rPr>
                <w:spacing w:val="-6"/>
              </w:rPr>
              <w:t>通货物托运。</w:t>
            </w:r>
          </w:p>
          <w:p w14:paraId="2E57F4F2">
            <w:pPr>
              <w:pStyle w:val="8"/>
              <w:spacing w:before="26" w:line="233" w:lineRule="auto"/>
              <w:ind w:left="112" w:right="104" w:firstLine="357"/>
            </w:pPr>
            <w:r>
              <w:t>任何单位和个人不得交寄危险化学品或者在邮件、快件内夹带危险化学品，不得将危险化学品匿报或</w:t>
            </w:r>
            <w:r>
              <w:rPr>
                <w:spacing w:val="7"/>
              </w:rPr>
              <w:t xml:space="preserve"> </w:t>
            </w:r>
            <w:r>
              <w:rPr>
                <w:spacing w:val="-1"/>
              </w:rPr>
              <w:t>者谎报为普通物品交寄。邮政企业、快递企业不得收寄危</w:t>
            </w:r>
            <w:r>
              <w:rPr>
                <w:spacing w:val="-2"/>
              </w:rPr>
              <w:t>险化学品。</w:t>
            </w:r>
          </w:p>
          <w:p w14:paraId="40DDFB37">
            <w:pPr>
              <w:pStyle w:val="8"/>
              <w:spacing w:before="25" w:line="219" w:lineRule="auto"/>
              <w:ind w:left="470"/>
            </w:pPr>
            <w:r>
              <w:rPr>
                <w:spacing w:val="-1"/>
              </w:rPr>
              <w:t>对涉嫌违反本条第一款、第二款规定的，交通运输主管部门、邮政管理部门可以依法开拆查验。</w:t>
            </w:r>
          </w:p>
          <w:p w14:paraId="467AAC0F">
            <w:pPr>
              <w:pStyle w:val="8"/>
              <w:spacing w:before="28"/>
              <w:ind w:left="111" w:right="104" w:firstLine="360"/>
            </w:pPr>
            <w:r>
              <w:rPr>
                <w:spacing w:val="1"/>
              </w:rPr>
              <w:t>第八十七条第一款第（四）项  有下列情形之一的，由交通运输主管部门责令改正，处</w:t>
            </w:r>
            <w:r>
              <w:rPr>
                <w:spacing w:val="-7"/>
              </w:rPr>
              <w:t xml:space="preserve"> </w:t>
            </w:r>
            <w:r>
              <w:rPr>
                <w:spacing w:val="1"/>
              </w:rPr>
              <w:t>10</w:t>
            </w:r>
            <w:r>
              <w:rPr>
                <w:spacing w:val="-32"/>
              </w:rPr>
              <w:t xml:space="preserve"> </w:t>
            </w:r>
            <w:r>
              <w:rPr>
                <w:spacing w:val="1"/>
              </w:rPr>
              <w:t>万元以上</w:t>
            </w:r>
            <w:r>
              <w:t xml:space="preserve"> </w:t>
            </w:r>
            <w:r>
              <w:rPr>
                <w:spacing w:val="-1"/>
              </w:rPr>
              <w:t>20</w:t>
            </w:r>
            <w:r>
              <w:rPr>
                <w:spacing w:val="-34"/>
              </w:rPr>
              <w:t xml:space="preserve"> </w:t>
            </w:r>
            <w:r>
              <w:rPr>
                <w:spacing w:val="-1"/>
              </w:rPr>
              <w:t>万元以下的罚款，有违法所得的，没收违法所得；拒不改正的，责令停产停业整顿；构成犯罪的</w:t>
            </w:r>
            <w:r>
              <w:rPr>
                <w:spacing w:val="-2"/>
              </w:rPr>
              <w:t>，依法</w:t>
            </w:r>
            <w:r>
              <w:t xml:space="preserve"> 追究刑事责任</w:t>
            </w:r>
            <w:r>
              <w:rPr>
                <w:spacing w:val="3"/>
              </w:rPr>
              <w:t>：（</w:t>
            </w:r>
            <w:r>
              <w:t xml:space="preserve">四）在托运的普通货物中夹带危险化学品，或者将危险化学品谎报或者匿报为普通货物 </w:t>
            </w:r>
            <w:r>
              <w:rPr>
                <w:spacing w:val="-7"/>
              </w:rPr>
              <w:t>托运的。</w:t>
            </w:r>
          </w:p>
          <w:p w14:paraId="2CA70B90">
            <w:pPr>
              <w:pStyle w:val="8"/>
              <w:spacing w:before="23"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2FAEBDC0">
            <w:pPr>
              <w:pStyle w:val="8"/>
              <w:spacing w:before="26" w:line="219" w:lineRule="auto"/>
              <w:ind w:left="471"/>
            </w:pPr>
            <w:r>
              <w:t>三十七条第二款  危险货物港口作业委托人不得在委托作业</w:t>
            </w:r>
            <w:r>
              <w:rPr>
                <w:spacing w:val="-1"/>
              </w:rPr>
              <w:t>的普通货物中夹带危险货物，不得匿报、</w:t>
            </w:r>
          </w:p>
          <w:p w14:paraId="26DBDFD1">
            <w:pPr>
              <w:pStyle w:val="8"/>
              <w:spacing w:before="27" w:line="219" w:lineRule="auto"/>
              <w:ind w:left="111"/>
            </w:pPr>
            <w:r>
              <w:rPr>
                <w:spacing w:val="-5"/>
              </w:rPr>
              <w:t>谎报危险货物。</w:t>
            </w:r>
          </w:p>
          <w:p w14:paraId="068B25B0">
            <w:pPr>
              <w:pStyle w:val="8"/>
              <w:spacing w:before="25"/>
              <w:ind w:left="112" w:right="104" w:firstLine="358"/>
              <w:jc w:val="both"/>
            </w:pPr>
            <w:r>
              <w:t>第八十五条  港口作业委托人未按规定向港口经营人提供所托运的危险货物有关资料的，由所在地港 口行政管理部门责令改正，处五万元以上十万元以下的罚款。港口作业委托人在托运的普通货物中夹带危</w:t>
            </w:r>
            <w:r>
              <w:rPr>
                <w:spacing w:val="4"/>
              </w:rPr>
              <w:t xml:space="preserve"> </w:t>
            </w:r>
            <w:r>
              <w:t>险货物，或者将危险货物谎报或者匿报为普通货物托运的，由所在地港口行政管理部门责令改正，处十万</w:t>
            </w:r>
            <w:r>
              <w:rPr>
                <w:spacing w:val="4"/>
              </w:rPr>
              <w:t xml:space="preserve"> </w:t>
            </w:r>
            <w:r>
              <w:rPr>
                <w:spacing w:val="-1"/>
              </w:rPr>
              <w:t>元以上二十万元以下的罚款，有违法所得的</w:t>
            </w:r>
            <w:r>
              <w:rPr>
                <w:spacing w:val="-2"/>
              </w:rPr>
              <w:t>，没收违法所得。</w:t>
            </w:r>
          </w:p>
        </w:tc>
        <w:tc>
          <w:tcPr>
            <w:tcW w:w="1010" w:type="dxa"/>
            <w:vAlign w:val="top"/>
          </w:tcPr>
          <w:p w14:paraId="37FD9D23">
            <w:pPr>
              <w:spacing w:line="266" w:lineRule="auto"/>
              <w:rPr>
                <w:rFonts w:ascii="Arial"/>
                <w:sz w:val="21"/>
              </w:rPr>
            </w:pPr>
          </w:p>
          <w:p w14:paraId="4FB97E99">
            <w:pPr>
              <w:spacing w:line="266" w:lineRule="auto"/>
              <w:rPr>
                <w:rFonts w:ascii="Arial"/>
                <w:sz w:val="21"/>
              </w:rPr>
            </w:pPr>
          </w:p>
          <w:p w14:paraId="77EA250E">
            <w:pPr>
              <w:spacing w:line="266" w:lineRule="auto"/>
              <w:rPr>
                <w:rFonts w:ascii="Arial"/>
                <w:sz w:val="21"/>
              </w:rPr>
            </w:pPr>
          </w:p>
          <w:p w14:paraId="27932830">
            <w:pPr>
              <w:spacing w:line="266" w:lineRule="auto"/>
              <w:rPr>
                <w:rFonts w:ascii="Arial"/>
                <w:sz w:val="21"/>
              </w:rPr>
            </w:pPr>
          </w:p>
          <w:p w14:paraId="7A69DA64">
            <w:pPr>
              <w:spacing w:line="266" w:lineRule="auto"/>
              <w:rPr>
                <w:rFonts w:ascii="Arial"/>
                <w:sz w:val="21"/>
              </w:rPr>
            </w:pPr>
          </w:p>
          <w:p w14:paraId="6D502A0A">
            <w:pPr>
              <w:spacing w:line="267" w:lineRule="auto"/>
              <w:rPr>
                <w:rFonts w:ascii="Arial"/>
                <w:sz w:val="21"/>
              </w:rPr>
            </w:pPr>
          </w:p>
          <w:p w14:paraId="01BAF3EB">
            <w:pPr>
              <w:spacing w:line="267" w:lineRule="auto"/>
              <w:rPr>
                <w:rFonts w:ascii="Arial"/>
                <w:sz w:val="21"/>
              </w:rPr>
            </w:pPr>
          </w:p>
          <w:p w14:paraId="02120784">
            <w:pPr>
              <w:spacing w:line="267" w:lineRule="auto"/>
              <w:rPr>
                <w:rFonts w:ascii="Arial"/>
                <w:sz w:val="21"/>
              </w:rPr>
            </w:pPr>
          </w:p>
          <w:p w14:paraId="2D07C9DE">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46997FC0">
            <w:pPr>
              <w:pStyle w:val="8"/>
              <w:spacing w:before="59" w:line="234" w:lineRule="auto"/>
              <w:ind w:left="530" w:right="104" w:hanging="413"/>
              <w:rPr>
                <w:rFonts w:hint="eastAsia"/>
                <w:spacing w:val="-12"/>
                <w:lang w:eastAsia="zh-CN"/>
              </w:rPr>
            </w:pPr>
          </w:p>
          <w:p w14:paraId="2A0A3494">
            <w:pPr>
              <w:pStyle w:val="8"/>
              <w:spacing w:before="59" w:line="234" w:lineRule="auto"/>
              <w:ind w:left="530" w:right="104" w:hanging="413"/>
              <w:rPr>
                <w:rFonts w:hint="eastAsia"/>
                <w:spacing w:val="-12"/>
                <w:lang w:eastAsia="zh-CN"/>
              </w:rPr>
            </w:pPr>
          </w:p>
          <w:p w14:paraId="44C394CD">
            <w:pPr>
              <w:pStyle w:val="8"/>
              <w:spacing w:before="59" w:line="234" w:lineRule="auto"/>
              <w:ind w:left="530" w:right="104" w:hanging="413"/>
              <w:rPr>
                <w:rFonts w:hint="eastAsia"/>
                <w:spacing w:val="-12"/>
                <w:lang w:eastAsia="zh-CN"/>
              </w:rPr>
            </w:pPr>
          </w:p>
          <w:p w14:paraId="13432D26">
            <w:pPr>
              <w:pStyle w:val="8"/>
              <w:spacing w:before="59" w:line="234" w:lineRule="auto"/>
              <w:ind w:left="530" w:right="104" w:hanging="413"/>
              <w:rPr>
                <w:rFonts w:hint="eastAsia"/>
                <w:spacing w:val="-12"/>
                <w:lang w:eastAsia="zh-CN"/>
              </w:rPr>
            </w:pPr>
          </w:p>
          <w:p w14:paraId="211EF87F">
            <w:pPr>
              <w:pStyle w:val="8"/>
              <w:spacing w:before="59" w:line="234" w:lineRule="auto"/>
              <w:ind w:left="530" w:right="104" w:hanging="413"/>
              <w:rPr>
                <w:rFonts w:hint="eastAsia"/>
                <w:spacing w:val="-12"/>
                <w:lang w:eastAsia="zh-CN"/>
              </w:rPr>
            </w:pPr>
          </w:p>
          <w:p w14:paraId="5D8D3C2D">
            <w:pPr>
              <w:pStyle w:val="8"/>
              <w:spacing w:before="59" w:line="234" w:lineRule="auto"/>
              <w:ind w:left="530" w:right="104" w:hanging="413"/>
              <w:rPr>
                <w:rFonts w:hint="eastAsia"/>
                <w:spacing w:val="-12"/>
                <w:lang w:eastAsia="zh-CN"/>
              </w:rPr>
            </w:pPr>
          </w:p>
          <w:p w14:paraId="7969A7EF">
            <w:pPr>
              <w:pStyle w:val="8"/>
              <w:spacing w:before="59" w:line="234" w:lineRule="auto"/>
              <w:ind w:left="530" w:right="104" w:hanging="413"/>
              <w:rPr>
                <w:rFonts w:hint="eastAsia"/>
                <w:spacing w:val="-12"/>
                <w:lang w:eastAsia="zh-CN"/>
              </w:rPr>
            </w:pPr>
          </w:p>
          <w:p w14:paraId="23A9E5BD">
            <w:pPr>
              <w:pStyle w:val="8"/>
              <w:spacing w:before="59" w:line="234" w:lineRule="auto"/>
              <w:ind w:left="530" w:right="104" w:hanging="413"/>
              <w:rPr>
                <w:rFonts w:hint="eastAsia"/>
                <w:spacing w:val="-12"/>
                <w:lang w:eastAsia="zh-CN"/>
              </w:rPr>
            </w:pPr>
          </w:p>
          <w:p w14:paraId="418B9562">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502D582A">
            <w:pPr>
              <w:spacing w:line="251" w:lineRule="auto"/>
              <w:rPr>
                <w:rFonts w:ascii="Arial"/>
                <w:sz w:val="21"/>
              </w:rPr>
            </w:pPr>
          </w:p>
          <w:p w14:paraId="43ED00F2">
            <w:pPr>
              <w:spacing w:line="251" w:lineRule="auto"/>
              <w:rPr>
                <w:rFonts w:ascii="Arial"/>
                <w:sz w:val="21"/>
              </w:rPr>
            </w:pPr>
          </w:p>
          <w:p w14:paraId="77AA341B">
            <w:pPr>
              <w:spacing w:line="251" w:lineRule="auto"/>
              <w:rPr>
                <w:rFonts w:ascii="Arial"/>
                <w:sz w:val="21"/>
              </w:rPr>
            </w:pPr>
          </w:p>
          <w:p w14:paraId="14BDC641">
            <w:pPr>
              <w:spacing w:line="251" w:lineRule="auto"/>
              <w:rPr>
                <w:rFonts w:ascii="Arial"/>
                <w:sz w:val="21"/>
              </w:rPr>
            </w:pPr>
          </w:p>
          <w:p w14:paraId="3CD2E474">
            <w:pPr>
              <w:spacing w:line="252" w:lineRule="auto"/>
              <w:rPr>
                <w:rFonts w:ascii="Arial"/>
                <w:sz w:val="21"/>
              </w:rPr>
            </w:pPr>
          </w:p>
          <w:p w14:paraId="1AE2D35D">
            <w:pPr>
              <w:spacing w:line="252" w:lineRule="auto"/>
              <w:rPr>
                <w:rFonts w:ascii="Arial"/>
                <w:sz w:val="21"/>
              </w:rPr>
            </w:pPr>
          </w:p>
          <w:p w14:paraId="4A409CBB">
            <w:pPr>
              <w:spacing w:line="252" w:lineRule="auto"/>
              <w:rPr>
                <w:rFonts w:ascii="Arial"/>
                <w:sz w:val="21"/>
              </w:rPr>
            </w:pPr>
          </w:p>
          <w:p w14:paraId="1ECD4544">
            <w:pPr>
              <w:spacing w:line="252" w:lineRule="auto"/>
              <w:rPr>
                <w:rFonts w:ascii="Arial"/>
                <w:sz w:val="21"/>
              </w:rPr>
            </w:pPr>
          </w:p>
          <w:p w14:paraId="5E16B3C8">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00D31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4" w:hRule="atLeast"/>
        </w:trPr>
        <w:tc>
          <w:tcPr>
            <w:tcW w:w="622" w:type="dxa"/>
            <w:vAlign w:val="top"/>
          </w:tcPr>
          <w:p w14:paraId="009AA72B">
            <w:pPr>
              <w:spacing w:line="264" w:lineRule="auto"/>
              <w:rPr>
                <w:rFonts w:ascii="Arial"/>
                <w:sz w:val="21"/>
              </w:rPr>
            </w:pPr>
          </w:p>
          <w:p w14:paraId="6AEA13B4">
            <w:pPr>
              <w:spacing w:line="264" w:lineRule="auto"/>
              <w:rPr>
                <w:rFonts w:ascii="Arial"/>
                <w:sz w:val="21"/>
              </w:rPr>
            </w:pPr>
          </w:p>
          <w:p w14:paraId="52412CC4">
            <w:pPr>
              <w:spacing w:line="264" w:lineRule="auto"/>
              <w:rPr>
                <w:rFonts w:ascii="Arial"/>
                <w:sz w:val="21"/>
              </w:rPr>
            </w:pPr>
          </w:p>
          <w:p w14:paraId="17C96A26">
            <w:pPr>
              <w:spacing w:line="264" w:lineRule="auto"/>
              <w:rPr>
                <w:rFonts w:ascii="Arial"/>
                <w:sz w:val="21"/>
              </w:rPr>
            </w:pPr>
          </w:p>
          <w:p w14:paraId="1E9D42B7">
            <w:pPr>
              <w:spacing w:line="265" w:lineRule="auto"/>
              <w:rPr>
                <w:rFonts w:ascii="Arial"/>
                <w:sz w:val="21"/>
              </w:rPr>
            </w:pPr>
          </w:p>
          <w:p w14:paraId="564F3774">
            <w:pPr>
              <w:spacing w:line="265" w:lineRule="auto"/>
              <w:rPr>
                <w:rFonts w:ascii="Arial"/>
                <w:sz w:val="21"/>
              </w:rPr>
            </w:pPr>
          </w:p>
          <w:p w14:paraId="2EC1CFA9">
            <w:pPr>
              <w:spacing w:line="265" w:lineRule="auto"/>
              <w:rPr>
                <w:rFonts w:ascii="Arial"/>
                <w:sz w:val="21"/>
              </w:rPr>
            </w:pPr>
          </w:p>
          <w:p w14:paraId="6BD6EDFA">
            <w:pPr>
              <w:pStyle w:val="8"/>
              <w:spacing w:before="58" w:line="184" w:lineRule="auto"/>
              <w:ind w:left="239"/>
            </w:pPr>
            <w:r>
              <w:rPr>
                <w:spacing w:val="-10"/>
              </w:rPr>
              <w:t>15</w:t>
            </w:r>
          </w:p>
        </w:tc>
        <w:tc>
          <w:tcPr>
            <w:tcW w:w="1100" w:type="dxa"/>
            <w:vAlign w:val="top"/>
          </w:tcPr>
          <w:p w14:paraId="0072E32B">
            <w:pPr>
              <w:spacing w:line="261" w:lineRule="auto"/>
              <w:rPr>
                <w:rFonts w:ascii="Arial"/>
                <w:sz w:val="21"/>
              </w:rPr>
            </w:pPr>
          </w:p>
          <w:p w14:paraId="171FB831">
            <w:pPr>
              <w:spacing w:line="261" w:lineRule="auto"/>
              <w:rPr>
                <w:rFonts w:ascii="Arial"/>
                <w:sz w:val="21"/>
              </w:rPr>
            </w:pPr>
          </w:p>
          <w:p w14:paraId="2CE54796">
            <w:pPr>
              <w:pStyle w:val="8"/>
              <w:spacing w:before="59" w:line="244" w:lineRule="auto"/>
              <w:ind w:left="59" w:right="55"/>
              <w:jc w:val="both"/>
            </w:pPr>
            <w:r>
              <w:rPr>
                <w:spacing w:val="16"/>
              </w:rPr>
              <w:t>对用于危险</w:t>
            </w:r>
            <w:r>
              <w:t xml:space="preserve"> </w:t>
            </w:r>
            <w:r>
              <w:rPr>
                <w:spacing w:val="16"/>
              </w:rPr>
              <w:t>化学品运输</w:t>
            </w:r>
            <w:r>
              <w:t xml:space="preserve"> </w:t>
            </w:r>
            <w:r>
              <w:rPr>
                <w:spacing w:val="16"/>
              </w:rPr>
              <w:t>作业的内河</w:t>
            </w:r>
            <w:r>
              <w:t xml:space="preserve"> </w:t>
            </w:r>
            <w:r>
              <w:rPr>
                <w:spacing w:val="16"/>
              </w:rPr>
              <w:t>码头、泊位</w:t>
            </w:r>
            <w:r>
              <w:t xml:space="preserve"> </w:t>
            </w:r>
            <w:r>
              <w:rPr>
                <w:spacing w:val="16"/>
              </w:rPr>
              <w:t>的管理单位</w:t>
            </w:r>
            <w:r>
              <w:t xml:space="preserve"> </w:t>
            </w:r>
            <w:r>
              <w:rPr>
                <w:spacing w:val="16"/>
              </w:rPr>
              <w:t>未制定内河</w:t>
            </w:r>
            <w:r>
              <w:t xml:space="preserve"> </w:t>
            </w:r>
            <w:r>
              <w:rPr>
                <w:spacing w:val="16"/>
              </w:rPr>
              <w:t>码头、泊位</w:t>
            </w:r>
            <w:r>
              <w:t xml:space="preserve"> </w:t>
            </w:r>
            <w:r>
              <w:rPr>
                <w:spacing w:val="16"/>
              </w:rPr>
              <w:t>危险化学品</w:t>
            </w:r>
            <w:r>
              <w:t xml:space="preserve"> </w:t>
            </w:r>
            <w:r>
              <w:rPr>
                <w:spacing w:val="16"/>
              </w:rPr>
              <w:t>事故应急救</w:t>
            </w:r>
            <w:r>
              <w:t xml:space="preserve"> </w:t>
            </w:r>
            <w:r>
              <w:rPr>
                <w:spacing w:val="16"/>
              </w:rPr>
              <w:t>援预案等行</w:t>
            </w:r>
            <w:r>
              <w:t xml:space="preserve"> </w:t>
            </w:r>
            <w:r>
              <w:rPr>
                <w:spacing w:val="16"/>
              </w:rPr>
              <w:t>为的行政处</w:t>
            </w:r>
            <w:r>
              <w:t xml:space="preserve"> 罚</w:t>
            </w:r>
          </w:p>
        </w:tc>
        <w:tc>
          <w:tcPr>
            <w:tcW w:w="1100" w:type="dxa"/>
            <w:vAlign w:val="top"/>
          </w:tcPr>
          <w:p w14:paraId="24DEAAFF">
            <w:pPr>
              <w:spacing w:line="260" w:lineRule="auto"/>
              <w:rPr>
                <w:rFonts w:ascii="Arial"/>
                <w:sz w:val="21"/>
              </w:rPr>
            </w:pPr>
          </w:p>
          <w:p w14:paraId="4393CCF3">
            <w:pPr>
              <w:spacing w:line="260" w:lineRule="auto"/>
              <w:rPr>
                <w:rFonts w:ascii="Arial"/>
                <w:sz w:val="21"/>
              </w:rPr>
            </w:pPr>
          </w:p>
          <w:p w14:paraId="43C39F31">
            <w:pPr>
              <w:spacing w:line="260" w:lineRule="auto"/>
              <w:rPr>
                <w:rFonts w:ascii="Arial"/>
                <w:sz w:val="21"/>
              </w:rPr>
            </w:pPr>
          </w:p>
          <w:p w14:paraId="25C8BD99">
            <w:pPr>
              <w:spacing w:line="260" w:lineRule="auto"/>
              <w:rPr>
                <w:rFonts w:ascii="Arial"/>
                <w:sz w:val="21"/>
              </w:rPr>
            </w:pPr>
          </w:p>
          <w:p w14:paraId="18E2367F">
            <w:pPr>
              <w:spacing w:line="261" w:lineRule="auto"/>
              <w:rPr>
                <w:rFonts w:ascii="Arial"/>
                <w:sz w:val="21"/>
              </w:rPr>
            </w:pPr>
          </w:p>
          <w:p w14:paraId="15274B4F">
            <w:pPr>
              <w:spacing w:line="261" w:lineRule="auto"/>
              <w:rPr>
                <w:rFonts w:ascii="Arial"/>
                <w:sz w:val="21"/>
              </w:rPr>
            </w:pPr>
          </w:p>
          <w:p w14:paraId="2150C342">
            <w:pPr>
              <w:spacing w:line="261" w:lineRule="auto"/>
              <w:rPr>
                <w:rFonts w:ascii="Arial"/>
                <w:sz w:val="21"/>
              </w:rPr>
            </w:pPr>
          </w:p>
          <w:p w14:paraId="575FE62D">
            <w:pPr>
              <w:pStyle w:val="8"/>
              <w:spacing w:before="59" w:line="220" w:lineRule="auto"/>
              <w:ind w:left="112"/>
            </w:pPr>
            <w:r>
              <w:rPr>
                <w:spacing w:val="-2"/>
              </w:rPr>
              <w:t>行政处罚</w:t>
            </w:r>
          </w:p>
        </w:tc>
        <w:tc>
          <w:tcPr>
            <w:tcW w:w="8508" w:type="dxa"/>
            <w:vAlign w:val="top"/>
          </w:tcPr>
          <w:p w14:paraId="6ED55C25">
            <w:pPr>
              <w:spacing w:line="252" w:lineRule="auto"/>
              <w:rPr>
                <w:rFonts w:ascii="Arial"/>
                <w:sz w:val="21"/>
              </w:rPr>
            </w:pPr>
          </w:p>
          <w:p w14:paraId="0D6544B8">
            <w:pPr>
              <w:spacing w:line="252" w:lineRule="auto"/>
              <w:rPr>
                <w:rFonts w:ascii="Arial"/>
                <w:sz w:val="21"/>
              </w:rPr>
            </w:pPr>
          </w:p>
          <w:p w14:paraId="3F2E44A3">
            <w:pPr>
              <w:spacing w:line="253" w:lineRule="auto"/>
              <w:rPr>
                <w:rFonts w:ascii="Arial"/>
                <w:sz w:val="21"/>
              </w:rPr>
            </w:pPr>
          </w:p>
          <w:p w14:paraId="2C4C7AC6">
            <w:pPr>
              <w:pStyle w:val="8"/>
              <w:spacing w:before="59" w:line="219" w:lineRule="auto"/>
              <w:ind w:left="476"/>
            </w:pPr>
            <w:r>
              <w:rPr>
                <w:b/>
                <w:bCs/>
                <w:spacing w:val="-3"/>
              </w:rPr>
              <w:t>《危险化学品安全管理条例》</w:t>
            </w:r>
          </w:p>
          <w:p w14:paraId="2B32C74A">
            <w:pPr>
              <w:pStyle w:val="8"/>
              <w:spacing w:before="26" w:line="237" w:lineRule="auto"/>
              <w:ind w:left="113" w:right="104" w:firstLine="357"/>
              <w:jc w:val="both"/>
            </w:pPr>
            <w:r>
              <w:t>第五十九条  用于危险化学品运输作业的内河码头、泊位应当符合国家有关安全规范，与饮用水取水</w:t>
            </w:r>
            <w:r>
              <w:rPr>
                <w:spacing w:val="6"/>
              </w:rPr>
              <w:t xml:space="preserve"> </w:t>
            </w:r>
            <w:r>
              <w:t>口保持国家规定的距离。有关管理单位应当制定码头、泊位危险化学品事故应急预案，并为码头、泊位配</w:t>
            </w:r>
            <w:r>
              <w:rPr>
                <w:spacing w:val="4"/>
              </w:rPr>
              <w:t xml:space="preserve"> </w:t>
            </w:r>
            <w:r>
              <w:rPr>
                <w:spacing w:val="-2"/>
              </w:rPr>
              <w:t>备充足、有效的应急救援器材和设备。</w:t>
            </w:r>
          </w:p>
          <w:p w14:paraId="3BA04928">
            <w:pPr>
              <w:pStyle w:val="8"/>
              <w:spacing w:before="26" w:line="233" w:lineRule="auto"/>
              <w:ind w:left="113" w:right="104" w:firstLine="359"/>
            </w:pPr>
            <w:r>
              <w:t>用于危险化学品运输作业的内河码头、泊位，经交通运输主管部门按照国家有关规定验收合格后方可</w:t>
            </w:r>
            <w:r>
              <w:rPr>
                <w:spacing w:val="4"/>
              </w:rPr>
              <w:t xml:space="preserve"> </w:t>
            </w:r>
            <w:r>
              <w:rPr>
                <w:spacing w:val="-6"/>
              </w:rPr>
              <w:t>投入使用。</w:t>
            </w:r>
          </w:p>
          <w:p w14:paraId="0C72DE3A">
            <w:pPr>
              <w:pStyle w:val="8"/>
              <w:spacing w:before="27" w:line="239" w:lineRule="auto"/>
              <w:ind w:left="111" w:right="104" w:firstLine="360"/>
              <w:jc w:val="both"/>
            </w:pPr>
            <w:r>
              <w:t>第九十一条第（二）项  有下列情形之一</w:t>
            </w:r>
            <w:r>
              <w:rPr>
                <w:spacing w:val="-1"/>
              </w:rPr>
              <w:t>的，由交通运输主管部门责令改正，可以处</w:t>
            </w:r>
            <w:r>
              <w:rPr>
                <w:spacing w:val="-24"/>
              </w:rPr>
              <w:t xml:space="preserve"> </w:t>
            </w:r>
            <w:r>
              <w:rPr>
                <w:spacing w:val="-1"/>
              </w:rPr>
              <w:t>1</w:t>
            </w:r>
            <w:r>
              <w:rPr>
                <w:spacing w:val="-34"/>
              </w:rPr>
              <w:t xml:space="preserve"> </w:t>
            </w:r>
            <w:r>
              <w:rPr>
                <w:spacing w:val="-1"/>
              </w:rPr>
              <w:t>万元以下的罚</w:t>
            </w:r>
            <w:r>
              <w:t xml:space="preserve"> </w:t>
            </w:r>
            <w:r>
              <w:rPr>
                <w:spacing w:val="-1"/>
              </w:rPr>
              <w:t>款；拒不改正的，处</w:t>
            </w:r>
            <w:r>
              <w:rPr>
                <w:spacing w:val="-23"/>
              </w:rPr>
              <w:t xml:space="preserve"> </w:t>
            </w:r>
            <w:r>
              <w:rPr>
                <w:spacing w:val="-1"/>
              </w:rPr>
              <w:t>1</w:t>
            </w:r>
            <w:r>
              <w:rPr>
                <w:spacing w:val="-35"/>
              </w:rPr>
              <w:t xml:space="preserve"> </w:t>
            </w:r>
            <w:r>
              <w:rPr>
                <w:spacing w:val="-1"/>
              </w:rPr>
              <w:t>万元以上</w:t>
            </w:r>
            <w:r>
              <w:rPr>
                <w:spacing w:val="-33"/>
              </w:rPr>
              <w:t xml:space="preserve"> </w:t>
            </w:r>
            <w:r>
              <w:rPr>
                <w:spacing w:val="-1"/>
              </w:rPr>
              <w:t>5</w:t>
            </w:r>
            <w:r>
              <w:rPr>
                <w:spacing w:val="-32"/>
              </w:rPr>
              <w:t xml:space="preserve"> </w:t>
            </w:r>
            <w:r>
              <w:rPr>
                <w:spacing w:val="-1"/>
              </w:rPr>
              <w:t>万元以下的罚款</w:t>
            </w:r>
            <w:r>
              <w:rPr>
                <w:spacing w:val="-3"/>
              </w:rPr>
              <w:t>：（</w:t>
            </w:r>
            <w:r>
              <w:rPr>
                <w:spacing w:val="-1"/>
              </w:rPr>
              <w:t>二）用于危险化</w:t>
            </w:r>
            <w:r>
              <w:rPr>
                <w:spacing w:val="-2"/>
              </w:rPr>
              <w:t>学品运输作业的内河码头、泊位的</w:t>
            </w:r>
            <w:r>
              <w:t xml:space="preserve"> 管理单位未制定码头、泊位危险化学品事故应急救援预案，或者未为码头、泊位配备充足、有效的应急救</w:t>
            </w:r>
            <w:r>
              <w:rPr>
                <w:spacing w:val="6"/>
              </w:rPr>
              <w:t xml:space="preserve"> </w:t>
            </w:r>
            <w:r>
              <w:rPr>
                <w:spacing w:val="-4"/>
              </w:rPr>
              <w:t>援器材和设备的。</w:t>
            </w:r>
          </w:p>
        </w:tc>
        <w:tc>
          <w:tcPr>
            <w:tcW w:w="1010" w:type="dxa"/>
            <w:vAlign w:val="top"/>
          </w:tcPr>
          <w:p w14:paraId="11D4089F">
            <w:pPr>
              <w:spacing w:line="244" w:lineRule="auto"/>
              <w:rPr>
                <w:rFonts w:ascii="Arial"/>
                <w:sz w:val="21"/>
              </w:rPr>
            </w:pPr>
          </w:p>
          <w:p w14:paraId="7D07DCAD">
            <w:pPr>
              <w:spacing w:line="244" w:lineRule="auto"/>
              <w:rPr>
                <w:rFonts w:ascii="Arial"/>
                <w:sz w:val="21"/>
              </w:rPr>
            </w:pPr>
          </w:p>
          <w:p w14:paraId="0677B3B2">
            <w:pPr>
              <w:spacing w:line="244" w:lineRule="auto"/>
              <w:rPr>
                <w:rFonts w:ascii="Arial"/>
                <w:sz w:val="21"/>
              </w:rPr>
            </w:pPr>
          </w:p>
          <w:p w14:paraId="788D1A80">
            <w:pPr>
              <w:spacing w:line="244" w:lineRule="auto"/>
              <w:rPr>
                <w:rFonts w:ascii="Arial"/>
                <w:sz w:val="21"/>
              </w:rPr>
            </w:pPr>
          </w:p>
          <w:p w14:paraId="4FB66567">
            <w:pPr>
              <w:spacing w:line="245" w:lineRule="auto"/>
              <w:rPr>
                <w:rFonts w:ascii="Arial"/>
                <w:sz w:val="21"/>
              </w:rPr>
            </w:pPr>
          </w:p>
          <w:p w14:paraId="6E192FF5">
            <w:pPr>
              <w:spacing w:line="245" w:lineRule="auto"/>
              <w:rPr>
                <w:rFonts w:ascii="Arial"/>
                <w:sz w:val="21"/>
              </w:rPr>
            </w:pPr>
          </w:p>
          <w:p w14:paraId="400312E2">
            <w:pPr>
              <w:spacing w:line="245" w:lineRule="auto"/>
              <w:rPr>
                <w:rFonts w:ascii="Arial"/>
                <w:sz w:val="21"/>
              </w:rPr>
            </w:pPr>
          </w:p>
          <w:p w14:paraId="660ECB07">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014301D8">
            <w:pPr>
              <w:pStyle w:val="8"/>
              <w:spacing w:before="59" w:line="234" w:lineRule="auto"/>
              <w:ind w:left="530" w:right="104" w:hanging="413"/>
              <w:rPr>
                <w:rFonts w:hint="eastAsia"/>
                <w:spacing w:val="-12"/>
                <w:lang w:eastAsia="zh-CN"/>
              </w:rPr>
            </w:pPr>
          </w:p>
          <w:p w14:paraId="7593BA9B">
            <w:pPr>
              <w:pStyle w:val="8"/>
              <w:spacing w:before="59" w:line="234" w:lineRule="auto"/>
              <w:ind w:left="530" w:right="104" w:hanging="413"/>
              <w:rPr>
                <w:rFonts w:hint="eastAsia"/>
                <w:spacing w:val="-12"/>
                <w:lang w:eastAsia="zh-CN"/>
              </w:rPr>
            </w:pPr>
          </w:p>
          <w:p w14:paraId="0399CECC">
            <w:pPr>
              <w:pStyle w:val="8"/>
              <w:spacing w:before="59" w:line="234" w:lineRule="auto"/>
              <w:ind w:left="530" w:right="104" w:hanging="413"/>
              <w:rPr>
                <w:rFonts w:hint="eastAsia"/>
                <w:spacing w:val="-12"/>
                <w:lang w:eastAsia="zh-CN"/>
              </w:rPr>
            </w:pPr>
          </w:p>
          <w:p w14:paraId="0803D675">
            <w:pPr>
              <w:pStyle w:val="8"/>
              <w:spacing w:before="59" w:line="234" w:lineRule="auto"/>
              <w:ind w:left="530" w:right="104" w:hanging="413"/>
              <w:rPr>
                <w:rFonts w:hint="eastAsia"/>
                <w:spacing w:val="-12"/>
                <w:lang w:eastAsia="zh-CN"/>
              </w:rPr>
            </w:pPr>
          </w:p>
          <w:p w14:paraId="23B8E4BA">
            <w:pPr>
              <w:pStyle w:val="8"/>
              <w:spacing w:before="59" w:line="234" w:lineRule="auto"/>
              <w:ind w:left="530" w:right="104" w:hanging="413"/>
              <w:rPr>
                <w:rFonts w:hint="eastAsia"/>
                <w:spacing w:val="-12"/>
                <w:lang w:eastAsia="zh-CN"/>
              </w:rPr>
            </w:pPr>
          </w:p>
          <w:p w14:paraId="0A9FE802">
            <w:pPr>
              <w:pStyle w:val="8"/>
              <w:spacing w:before="59" w:line="234" w:lineRule="auto"/>
              <w:ind w:left="530" w:right="104" w:hanging="413"/>
              <w:rPr>
                <w:rFonts w:hint="eastAsia"/>
                <w:spacing w:val="-12"/>
                <w:lang w:eastAsia="zh-CN"/>
              </w:rPr>
            </w:pPr>
          </w:p>
          <w:p w14:paraId="490E94E4">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CEA2A0D">
            <w:pPr>
              <w:spacing w:line="265" w:lineRule="auto"/>
              <w:rPr>
                <w:rFonts w:ascii="Arial"/>
                <w:sz w:val="21"/>
              </w:rPr>
            </w:pPr>
          </w:p>
          <w:p w14:paraId="24003BD2">
            <w:pPr>
              <w:spacing w:line="265" w:lineRule="auto"/>
              <w:rPr>
                <w:rFonts w:ascii="Arial"/>
                <w:sz w:val="21"/>
              </w:rPr>
            </w:pPr>
          </w:p>
          <w:p w14:paraId="4806E227">
            <w:pPr>
              <w:spacing w:line="265" w:lineRule="auto"/>
              <w:rPr>
                <w:rFonts w:ascii="Arial"/>
                <w:sz w:val="21"/>
              </w:rPr>
            </w:pPr>
          </w:p>
          <w:p w14:paraId="2BC71CAB">
            <w:pPr>
              <w:spacing w:line="265" w:lineRule="auto"/>
              <w:rPr>
                <w:rFonts w:ascii="Arial"/>
                <w:sz w:val="21"/>
              </w:rPr>
            </w:pPr>
          </w:p>
          <w:p w14:paraId="0448F51F">
            <w:pPr>
              <w:spacing w:line="266" w:lineRule="auto"/>
              <w:rPr>
                <w:rFonts w:ascii="Arial"/>
                <w:sz w:val="21"/>
              </w:rPr>
            </w:pPr>
          </w:p>
          <w:p w14:paraId="421BF098">
            <w:pPr>
              <w:spacing w:line="266" w:lineRule="auto"/>
              <w:rPr>
                <w:rFonts w:ascii="Arial"/>
                <w:sz w:val="21"/>
              </w:rPr>
            </w:pPr>
          </w:p>
          <w:p w14:paraId="3C7B276F">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41FB358F">
      <w:pPr>
        <w:pStyle w:val="2"/>
      </w:pPr>
    </w:p>
    <w:p w14:paraId="0C561F3E">
      <w:pPr>
        <w:sectPr>
          <w:footerReference r:id="rId134" w:type="default"/>
          <w:pgSz w:w="16839" w:h="11906"/>
          <w:pgMar w:top="1012" w:right="1034" w:bottom="967" w:left="1043" w:header="0" w:footer="768" w:gutter="0"/>
          <w:cols w:space="720" w:num="1"/>
        </w:sectPr>
      </w:pPr>
    </w:p>
    <w:p w14:paraId="0B0E8F90">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458AA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2" w:type="dxa"/>
            <w:vMerge w:val="restart"/>
            <w:tcBorders>
              <w:bottom w:val="nil"/>
            </w:tcBorders>
            <w:vAlign w:val="top"/>
          </w:tcPr>
          <w:p w14:paraId="6A4C8212">
            <w:pPr>
              <w:pStyle w:val="8"/>
              <w:spacing w:before="259" w:line="221" w:lineRule="auto"/>
              <w:ind w:left="134"/>
            </w:pPr>
            <w:r>
              <w:rPr>
                <w:b/>
                <w:bCs/>
                <w:spacing w:val="-4"/>
              </w:rPr>
              <w:t>序号</w:t>
            </w:r>
          </w:p>
        </w:tc>
        <w:tc>
          <w:tcPr>
            <w:tcW w:w="1100" w:type="dxa"/>
            <w:vMerge w:val="restart"/>
            <w:tcBorders>
              <w:bottom w:val="nil"/>
            </w:tcBorders>
            <w:vAlign w:val="top"/>
          </w:tcPr>
          <w:p w14:paraId="20C15792">
            <w:pPr>
              <w:pStyle w:val="8"/>
              <w:spacing w:before="260" w:line="220" w:lineRule="auto"/>
              <w:ind w:left="189"/>
            </w:pPr>
            <w:r>
              <w:rPr>
                <w:b/>
                <w:bCs/>
                <w:spacing w:val="-4"/>
              </w:rPr>
              <w:t>事项名称</w:t>
            </w:r>
          </w:p>
        </w:tc>
        <w:tc>
          <w:tcPr>
            <w:tcW w:w="1100" w:type="dxa"/>
            <w:vMerge w:val="restart"/>
            <w:tcBorders>
              <w:bottom w:val="nil"/>
            </w:tcBorders>
            <w:vAlign w:val="top"/>
          </w:tcPr>
          <w:p w14:paraId="3D28A80D">
            <w:pPr>
              <w:pStyle w:val="8"/>
              <w:spacing w:before="260" w:line="219" w:lineRule="auto"/>
              <w:ind w:left="191"/>
            </w:pPr>
            <w:r>
              <w:rPr>
                <w:b/>
                <w:bCs/>
                <w:spacing w:val="-4"/>
              </w:rPr>
              <w:t>职权类型</w:t>
            </w:r>
          </w:p>
        </w:tc>
        <w:tc>
          <w:tcPr>
            <w:tcW w:w="8508" w:type="dxa"/>
            <w:vMerge w:val="restart"/>
            <w:tcBorders>
              <w:bottom w:val="nil"/>
            </w:tcBorders>
            <w:vAlign w:val="top"/>
          </w:tcPr>
          <w:p w14:paraId="04512735">
            <w:pPr>
              <w:pStyle w:val="8"/>
              <w:spacing w:before="259" w:line="219" w:lineRule="auto"/>
              <w:ind w:left="3900"/>
            </w:pPr>
            <w:r>
              <w:rPr>
                <w:b/>
                <w:bCs/>
                <w:spacing w:val="-5"/>
              </w:rPr>
              <w:t>实施依据</w:t>
            </w:r>
          </w:p>
        </w:tc>
        <w:tc>
          <w:tcPr>
            <w:tcW w:w="3425" w:type="dxa"/>
            <w:gridSpan w:val="3"/>
            <w:vAlign w:val="top"/>
          </w:tcPr>
          <w:p w14:paraId="05E432FE">
            <w:pPr>
              <w:pStyle w:val="8"/>
              <w:spacing w:before="85" w:line="220" w:lineRule="auto"/>
              <w:ind w:left="1358"/>
            </w:pPr>
            <w:r>
              <w:rPr>
                <w:b/>
                <w:bCs/>
                <w:spacing w:val="-5"/>
              </w:rPr>
              <w:t>实施主体</w:t>
            </w:r>
          </w:p>
        </w:tc>
      </w:tr>
      <w:tr w14:paraId="2B427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50CE64A8">
            <w:pPr>
              <w:rPr>
                <w:rFonts w:ascii="Arial"/>
                <w:sz w:val="21"/>
              </w:rPr>
            </w:pPr>
          </w:p>
        </w:tc>
        <w:tc>
          <w:tcPr>
            <w:tcW w:w="1100" w:type="dxa"/>
            <w:vMerge w:val="continue"/>
            <w:tcBorders>
              <w:top w:val="nil"/>
            </w:tcBorders>
            <w:vAlign w:val="top"/>
          </w:tcPr>
          <w:p w14:paraId="5D146167">
            <w:pPr>
              <w:rPr>
                <w:rFonts w:ascii="Arial"/>
                <w:sz w:val="21"/>
              </w:rPr>
            </w:pPr>
          </w:p>
        </w:tc>
        <w:tc>
          <w:tcPr>
            <w:tcW w:w="1100" w:type="dxa"/>
            <w:vMerge w:val="continue"/>
            <w:tcBorders>
              <w:top w:val="nil"/>
            </w:tcBorders>
            <w:vAlign w:val="top"/>
          </w:tcPr>
          <w:p w14:paraId="12F059D6">
            <w:pPr>
              <w:rPr>
                <w:rFonts w:ascii="Arial"/>
                <w:sz w:val="21"/>
              </w:rPr>
            </w:pPr>
          </w:p>
        </w:tc>
        <w:tc>
          <w:tcPr>
            <w:tcW w:w="8508" w:type="dxa"/>
            <w:vMerge w:val="continue"/>
            <w:tcBorders>
              <w:top w:val="nil"/>
            </w:tcBorders>
            <w:vAlign w:val="top"/>
          </w:tcPr>
          <w:p w14:paraId="5CD59A3E">
            <w:pPr>
              <w:rPr>
                <w:rFonts w:ascii="Arial"/>
                <w:sz w:val="21"/>
              </w:rPr>
            </w:pPr>
          </w:p>
        </w:tc>
        <w:tc>
          <w:tcPr>
            <w:tcW w:w="1010" w:type="dxa"/>
            <w:vAlign w:val="top"/>
          </w:tcPr>
          <w:p w14:paraId="79342778">
            <w:pPr>
              <w:pStyle w:val="8"/>
              <w:spacing w:before="80" w:line="219" w:lineRule="auto"/>
              <w:ind w:left="155"/>
            </w:pPr>
            <w:r>
              <w:rPr>
                <w:b/>
                <w:bCs/>
                <w:spacing w:val="-5"/>
              </w:rPr>
              <w:t>责任部门</w:t>
            </w:r>
          </w:p>
        </w:tc>
        <w:tc>
          <w:tcPr>
            <w:tcW w:w="1401" w:type="dxa"/>
            <w:vAlign w:val="top"/>
          </w:tcPr>
          <w:p w14:paraId="27530F9F">
            <w:pPr>
              <w:pStyle w:val="8"/>
              <w:spacing w:before="80" w:line="219" w:lineRule="auto"/>
              <w:ind w:left="164"/>
            </w:pPr>
            <w:r>
              <w:rPr>
                <w:b/>
                <w:bCs/>
                <w:spacing w:val="-3"/>
              </w:rPr>
              <w:t>第一责任层级</w:t>
            </w:r>
          </w:p>
        </w:tc>
        <w:tc>
          <w:tcPr>
            <w:tcW w:w="1014" w:type="dxa"/>
            <w:vAlign w:val="top"/>
          </w:tcPr>
          <w:p w14:paraId="63F045B9">
            <w:pPr>
              <w:pStyle w:val="8"/>
              <w:spacing w:before="80" w:line="219" w:lineRule="auto"/>
              <w:ind w:left="150"/>
            </w:pPr>
            <w:r>
              <w:rPr>
                <w:b/>
                <w:bCs/>
                <w:spacing w:val="-4"/>
              </w:rPr>
              <w:t>承办机构</w:t>
            </w:r>
          </w:p>
        </w:tc>
      </w:tr>
      <w:tr w14:paraId="2885E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1" w:hRule="atLeast"/>
        </w:trPr>
        <w:tc>
          <w:tcPr>
            <w:tcW w:w="622" w:type="dxa"/>
            <w:vAlign w:val="top"/>
          </w:tcPr>
          <w:p w14:paraId="4BFD5E42">
            <w:pPr>
              <w:spacing w:line="242" w:lineRule="auto"/>
              <w:rPr>
                <w:rFonts w:ascii="Arial"/>
                <w:sz w:val="21"/>
              </w:rPr>
            </w:pPr>
          </w:p>
          <w:p w14:paraId="0620563B">
            <w:pPr>
              <w:spacing w:line="243" w:lineRule="auto"/>
              <w:rPr>
                <w:rFonts w:ascii="Arial"/>
                <w:sz w:val="21"/>
              </w:rPr>
            </w:pPr>
          </w:p>
          <w:p w14:paraId="7EF7CE7D">
            <w:pPr>
              <w:spacing w:line="243" w:lineRule="auto"/>
              <w:rPr>
                <w:rFonts w:ascii="Arial"/>
                <w:sz w:val="21"/>
              </w:rPr>
            </w:pPr>
          </w:p>
          <w:p w14:paraId="1C7F9054">
            <w:pPr>
              <w:spacing w:line="243" w:lineRule="auto"/>
              <w:rPr>
                <w:rFonts w:ascii="Arial"/>
                <w:sz w:val="21"/>
              </w:rPr>
            </w:pPr>
          </w:p>
          <w:p w14:paraId="02AEBC8F">
            <w:pPr>
              <w:spacing w:line="243" w:lineRule="auto"/>
              <w:rPr>
                <w:rFonts w:ascii="Arial"/>
                <w:sz w:val="21"/>
              </w:rPr>
            </w:pPr>
          </w:p>
          <w:p w14:paraId="4E9AEF52">
            <w:pPr>
              <w:spacing w:line="243" w:lineRule="auto"/>
              <w:rPr>
                <w:rFonts w:ascii="Arial"/>
                <w:sz w:val="21"/>
              </w:rPr>
            </w:pPr>
          </w:p>
          <w:p w14:paraId="11969F80">
            <w:pPr>
              <w:spacing w:line="243" w:lineRule="auto"/>
              <w:rPr>
                <w:rFonts w:ascii="Arial"/>
                <w:sz w:val="21"/>
              </w:rPr>
            </w:pPr>
          </w:p>
          <w:p w14:paraId="77D67E74">
            <w:pPr>
              <w:spacing w:line="243" w:lineRule="auto"/>
              <w:rPr>
                <w:rFonts w:ascii="Arial"/>
                <w:sz w:val="21"/>
              </w:rPr>
            </w:pPr>
          </w:p>
          <w:p w14:paraId="169A1A13">
            <w:pPr>
              <w:spacing w:line="243" w:lineRule="auto"/>
              <w:rPr>
                <w:rFonts w:ascii="Arial"/>
                <w:sz w:val="21"/>
              </w:rPr>
            </w:pPr>
          </w:p>
          <w:p w14:paraId="1EE6CB60">
            <w:pPr>
              <w:pStyle w:val="8"/>
              <w:spacing w:before="59" w:line="184" w:lineRule="auto"/>
              <w:ind w:left="239"/>
            </w:pPr>
            <w:r>
              <w:rPr>
                <w:spacing w:val="-10"/>
              </w:rPr>
              <w:t>16</w:t>
            </w:r>
          </w:p>
        </w:tc>
        <w:tc>
          <w:tcPr>
            <w:tcW w:w="1100" w:type="dxa"/>
            <w:vAlign w:val="top"/>
          </w:tcPr>
          <w:p w14:paraId="2DCEDC9C">
            <w:pPr>
              <w:spacing w:line="242" w:lineRule="auto"/>
              <w:rPr>
                <w:rFonts w:ascii="Arial"/>
                <w:sz w:val="21"/>
              </w:rPr>
            </w:pPr>
          </w:p>
          <w:p w14:paraId="0626E189">
            <w:pPr>
              <w:spacing w:line="242" w:lineRule="auto"/>
              <w:rPr>
                <w:rFonts w:ascii="Arial"/>
                <w:sz w:val="21"/>
              </w:rPr>
            </w:pPr>
          </w:p>
          <w:p w14:paraId="51B27B48">
            <w:pPr>
              <w:spacing w:line="242" w:lineRule="auto"/>
              <w:rPr>
                <w:rFonts w:ascii="Arial"/>
                <w:sz w:val="21"/>
              </w:rPr>
            </w:pPr>
          </w:p>
          <w:p w14:paraId="285A06DC">
            <w:pPr>
              <w:spacing w:line="242" w:lineRule="auto"/>
              <w:rPr>
                <w:rFonts w:ascii="Arial"/>
                <w:sz w:val="21"/>
              </w:rPr>
            </w:pPr>
          </w:p>
          <w:p w14:paraId="7140973E">
            <w:pPr>
              <w:spacing w:line="243" w:lineRule="auto"/>
              <w:rPr>
                <w:rFonts w:ascii="Arial"/>
                <w:sz w:val="21"/>
              </w:rPr>
            </w:pPr>
          </w:p>
          <w:p w14:paraId="595C0531">
            <w:pPr>
              <w:spacing w:line="243" w:lineRule="auto"/>
              <w:rPr>
                <w:rFonts w:ascii="Arial"/>
                <w:sz w:val="21"/>
              </w:rPr>
            </w:pPr>
          </w:p>
          <w:p w14:paraId="0E4F65B4">
            <w:pPr>
              <w:pStyle w:val="8"/>
              <w:spacing w:before="58" w:line="242" w:lineRule="auto"/>
              <w:ind w:left="59"/>
            </w:pPr>
            <w:r>
              <w:rPr>
                <w:spacing w:val="15"/>
              </w:rPr>
              <w:t>对未经安全</w:t>
            </w:r>
            <w:r>
              <w:rPr>
                <w:spacing w:val="2"/>
              </w:rPr>
              <w:t xml:space="preserve"> </w:t>
            </w:r>
            <w:r>
              <w:rPr>
                <w:spacing w:val="7"/>
              </w:rPr>
              <w:t>条件审查，</w:t>
            </w:r>
            <w:r>
              <w:t xml:space="preserve">  </w:t>
            </w:r>
            <w:r>
              <w:rPr>
                <w:spacing w:val="-8"/>
              </w:rPr>
              <w:t>新建、改建、</w:t>
            </w:r>
            <w:r>
              <w:rPr>
                <w:spacing w:val="2"/>
              </w:rPr>
              <w:t xml:space="preserve"> </w:t>
            </w:r>
            <w:r>
              <w:rPr>
                <w:spacing w:val="15"/>
              </w:rPr>
              <w:t>扩建危险货</w:t>
            </w:r>
            <w:r>
              <w:rPr>
                <w:spacing w:val="1"/>
              </w:rPr>
              <w:t xml:space="preserve"> </w:t>
            </w:r>
            <w:r>
              <w:rPr>
                <w:spacing w:val="15"/>
              </w:rPr>
              <w:t>物港口建设</w:t>
            </w:r>
            <w:r>
              <w:rPr>
                <w:spacing w:val="1"/>
              </w:rPr>
              <w:t xml:space="preserve"> </w:t>
            </w:r>
            <w:r>
              <w:rPr>
                <w:spacing w:val="15"/>
              </w:rPr>
              <w:t>项目行为的</w:t>
            </w:r>
            <w:r>
              <w:rPr>
                <w:spacing w:val="1"/>
              </w:rPr>
              <w:t xml:space="preserve"> </w:t>
            </w:r>
            <w:r>
              <w:rPr>
                <w:spacing w:val="-2"/>
              </w:rPr>
              <w:t>行政处罚</w:t>
            </w:r>
          </w:p>
        </w:tc>
        <w:tc>
          <w:tcPr>
            <w:tcW w:w="1100" w:type="dxa"/>
            <w:vAlign w:val="top"/>
          </w:tcPr>
          <w:p w14:paraId="62273B51">
            <w:pPr>
              <w:spacing w:line="269" w:lineRule="auto"/>
              <w:rPr>
                <w:rFonts w:ascii="Arial"/>
                <w:sz w:val="21"/>
              </w:rPr>
            </w:pPr>
          </w:p>
          <w:p w14:paraId="02243CFB">
            <w:pPr>
              <w:spacing w:line="269" w:lineRule="auto"/>
              <w:rPr>
                <w:rFonts w:ascii="Arial"/>
                <w:sz w:val="21"/>
              </w:rPr>
            </w:pPr>
          </w:p>
          <w:p w14:paraId="56CF633C">
            <w:pPr>
              <w:spacing w:line="269" w:lineRule="auto"/>
              <w:rPr>
                <w:rFonts w:ascii="Arial"/>
                <w:sz w:val="21"/>
              </w:rPr>
            </w:pPr>
          </w:p>
          <w:p w14:paraId="101ED03C">
            <w:pPr>
              <w:spacing w:line="270" w:lineRule="auto"/>
              <w:rPr>
                <w:rFonts w:ascii="Arial"/>
                <w:sz w:val="21"/>
              </w:rPr>
            </w:pPr>
          </w:p>
          <w:p w14:paraId="5830B087">
            <w:pPr>
              <w:spacing w:line="270" w:lineRule="auto"/>
              <w:rPr>
                <w:rFonts w:ascii="Arial"/>
                <w:sz w:val="21"/>
              </w:rPr>
            </w:pPr>
          </w:p>
          <w:p w14:paraId="1BBD65F9">
            <w:pPr>
              <w:spacing w:line="270" w:lineRule="auto"/>
              <w:rPr>
                <w:rFonts w:ascii="Arial"/>
                <w:sz w:val="21"/>
              </w:rPr>
            </w:pPr>
          </w:p>
          <w:p w14:paraId="329A4369">
            <w:pPr>
              <w:spacing w:line="270" w:lineRule="auto"/>
              <w:rPr>
                <w:rFonts w:ascii="Arial"/>
                <w:sz w:val="21"/>
              </w:rPr>
            </w:pPr>
          </w:p>
          <w:p w14:paraId="24FC4271">
            <w:pPr>
              <w:spacing w:line="270" w:lineRule="auto"/>
              <w:rPr>
                <w:rFonts w:ascii="Arial"/>
                <w:sz w:val="21"/>
              </w:rPr>
            </w:pPr>
          </w:p>
          <w:p w14:paraId="30A78D80">
            <w:pPr>
              <w:pStyle w:val="8"/>
              <w:spacing w:before="58" w:line="220" w:lineRule="auto"/>
              <w:ind w:left="112"/>
            </w:pPr>
            <w:r>
              <w:rPr>
                <w:spacing w:val="-2"/>
              </w:rPr>
              <w:t>行政处罚</w:t>
            </w:r>
          </w:p>
        </w:tc>
        <w:tc>
          <w:tcPr>
            <w:tcW w:w="8508" w:type="dxa"/>
            <w:vAlign w:val="top"/>
          </w:tcPr>
          <w:p w14:paraId="75A76CC1">
            <w:pPr>
              <w:pStyle w:val="8"/>
              <w:spacing w:before="78" w:line="219" w:lineRule="auto"/>
              <w:ind w:left="484"/>
            </w:pPr>
            <w:r>
              <w:rPr>
                <w:b/>
                <w:bCs/>
                <w:spacing w:val="-3"/>
              </w:rPr>
              <w:t>1.《危险化学品安全管理条例》</w:t>
            </w:r>
          </w:p>
          <w:p w14:paraId="58F2D054">
            <w:pPr>
              <w:pStyle w:val="8"/>
              <w:spacing w:before="25" w:line="233" w:lineRule="auto"/>
              <w:ind w:left="112" w:right="112" w:firstLine="358"/>
            </w:pPr>
            <w:r>
              <w:t>第十二条  新建、改建、扩建生产、储存危险化学品的建设项目（以下简称建设项目</w:t>
            </w:r>
            <w:r>
              <w:rPr>
                <w:spacing w:val="-1"/>
              </w:rPr>
              <w:t>），</w:t>
            </w:r>
            <w:r>
              <w:t xml:space="preserve">应当由安全 </w:t>
            </w:r>
            <w:r>
              <w:rPr>
                <w:spacing w:val="-2"/>
              </w:rPr>
              <w:t>生产监督管理部门进行安全条件审查。</w:t>
            </w:r>
          </w:p>
          <w:p w14:paraId="244952E1">
            <w:pPr>
              <w:pStyle w:val="8"/>
              <w:spacing w:before="23"/>
              <w:ind w:left="111" w:right="61" w:firstLine="362"/>
              <w:jc w:val="both"/>
            </w:pPr>
            <w:r>
              <w:t>建设单位应当对建设项目进行安全条件论证，委托具备国家规定的资质条件的机构对建设项目进行安</w:t>
            </w:r>
            <w:r>
              <w:rPr>
                <w:spacing w:val="4"/>
              </w:rPr>
              <w:t xml:space="preserve"> </w:t>
            </w:r>
            <w:r>
              <w:t>全评价，并将安全条件论证和安全评价的情况报告报建设项目所在地设区的市级以上人民政府安全生产监</w:t>
            </w:r>
            <w:r>
              <w:rPr>
                <w:spacing w:val="6"/>
              </w:rPr>
              <w:t xml:space="preserve"> </w:t>
            </w:r>
            <w:r>
              <w:rPr>
                <w:spacing w:val="-2"/>
              </w:rPr>
              <w:t>督管理部门；安全生产监督管理部门应当自收到报告之日起</w:t>
            </w:r>
            <w:r>
              <w:rPr>
                <w:spacing w:val="-35"/>
              </w:rPr>
              <w:t xml:space="preserve"> </w:t>
            </w:r>
            <w:r>
              <w:rPr>
                <w:spacing w:val="-2"/>
              </w:rPr>
              <w:t>45 日内作出审查决定，并书面通知建设单位。</w:t>
            </w:r>
            <w:r>
              <w:t xml:space="preserve"> </w:t>
            </w:r>
            <w:r>
              <w:rPr>
                <w:spacing w:val="-2"/>
              </w:rPr>
              <w:t>具体办法由国务院安全生产监督管理部门制定。</w:t>
            </w:r>
          </w:p>
          <w:p w14:paraId="6E810A71">
            <w:pPr>
              <w:pStyle w:val="8"/>
              <w:spacing w:before="26" w:line="233" w:lineRule="auto"/>
              <w:ind w:left="112" w:right="104" w:firstLine="359"/>
            </w:pPr>
            <w:r>
              <w:t>新建、改建、扩建储存、装卸危险化学品的港口建设项目，由港口行政管理部门按照国务院交通运输</w:t>
            </w:r>
            <w:r>
              <w:rPr>
                <w:spacing w:val="5"/>
              </w:rPr>
              <w:t xml:space="preserve"> </w:t>
            </w:r>
            <w:r>
              <w:rPr>
                <w:spacing w:val="-3"/>
              </w:rPr>
              <w:t>主管部门的规定进行安全条件审查。</w:t>
            </w:r>
          </w:p>
          <w:p w14:paraId="52652104">
            <w:pPr>
              <w:pStyle w:val="8"/>
              <w:spacing w:before="26" w:line="237" w:lineRule="auto"/>
              <w:ind w:left="111" w:right="104" w:firstLine="360"/>
              <w:jc w:val="both"/>
            </w:pPr>
            <w:r>
              <w:t>第七十六条  未经安全条件审查，新建、改建、扩建生产、储存危险化学品的建设项目的，由安全生</w:t>
            </w:r>
            <w:r>
              <w:rPr>
                <w:spacing w:val="6"/>
              </w:rPr>
              <w:t xml:space="preserve"> </w:t>
            </w:r>
            <w:r>
              <w:rPr>
                <w:spacing w:val="-3"/>
              </w:rPr>
              <w:t>产监督管理部门责令停止建设，限期改正；逾期不改正的，处</w:t>
            </w:r>
            <w:r>
              <w:rPr>
                <w:spacing w:val="-28"/>
              </w:rPr>
              <w:t xml:space="preserve"> </w:t>
            </w:r>
            <w:r>
              <w:rPr>
                <w:spacing w:val="-3"/>
              </w:rPr>
              <w:t>50</w:t>
            </w:r>
            <w:r>
              <w:rPr>
                <w:spacing w:val="-34"/>
              </w:rPr>
              <w:t xml:space="preserve"> </w:t>
            </w:r>
            <w:r>
              <w:rPr>
                <w:spacing w:val="-3"/>
              </w:rPr>
              <w:t>万元以上</w:t>
            </w:r>
            <w:r>
              <w:rPr>
                <w:spacing w:val="-26"/>
              </w:rPr>
              <w:t xml:space="preserve"> </w:t>
            </w:r>
            <w:r>
              <w:rPr>
                <w:spacing w:val="-3"/>
              </w:rPr>
              <w:t>100</w:t>
            </w:r>
            <w:r>
              <w:rPr>
                <w:spacing w:val="-32"/>
              </w:rPr>
              <w:t xml:space="preserve"> </w:t>
            </w:r>
            <w:r>
              <w:rPr>
                <w:spacing w:val="-3"/>
              </w:rPr>
              <w:t>万元以下的罚款；构成犯罪</w:t>
            </w:r>
            <w:r>
              <w:t xml:space="preserve"> </w:t>
            </w:r>
            <w:r>
              <w:rPr>
                <w:spacing w:val="-3"/>
              </w:rPr>
              <w:t>的，依法追究刑事责任。</w:t>
            </w:r>
          </w:p>
          <w:p w14:paraId="1832803D">
            <w:pPr>
              <w:pStyle w:val="8"/>
              <w:spacing w:before="25" w:line="233" w:lineRule="auto"/>
              <w:ind w:left="131" w:right="104" w:firstLine="342"/>
            </w:pPr>
            <w:r>
              <w:t>未经安全条件审查，新建、改建、扩建储存、装卸危险化学品的港口建设项目的，由港口行政管理部</w:t>
            </w:r>
            <w:r>
              <w:rPr>
                <w:spacing w:val="3"/>
              </w:rPr>
              <w:t xml:space="preserve"> </w:t>
            </w:r>
            <w:r>
              <w:rPr>
                <w:spacing w:val="-5"/>
              </w:rPr>
              <w:t>门依照前款规定予以处罚。</w:t>
            </w:r>
          </w:p>
          <w:p w14:paraId="16CFCCC5">
            <w:pPr>
              <w:pStyle w:val="8"/>
              <w:spacing w:before="27"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4EC04404">
            <w:pPr>
              <w:pStyle w:val="8"/>
              <w:spacing w:before="26" w:line="233" w:lineRule="auto"/>
              <w:ind w:left="473" w:right="1949" w:hanging="2"/>
            </w:pPr>
            <w:r>
              <w:rPr>
                <w:spacing w:val="-1"/>
              </w:rPr>
              <w:t>第五条  危险货物港口建设项目应当由港口行政管理部门进行安全</w:t>
            </w:r>
            <w:r>
              <w:rPr>
                <w:spacing w:val="-2"/>
              </w:rPr>
              <w:t>条件审查。</w:t>
            </w:r>
            <w:r>
              <w:t xml:space="preserve"> </w:t>
            </w:r>
            <w:r>
              <w:rPr>
                <w:spacing w:val="-2"/>
              </w:rPr>
              <w:t>未通过安全条件审查，危险货物港口建设项目不得开工建设。</w:t>
            </w:r>
          </w:p>
          <w:p w14:paraId="0203AED5">
            <w:pPr>
              <w:pStyle w:val="8"/>
              <w:spacing w:before="25" w:line="233" w:lineRule="auto"/>
              <w:ind w:left="113" w:right="104" w:firstLine="357"/>
            </w:pPr>
            <w:r>
              <w:t>第七十一条  未经安全条件审查，新建、改建、扩建危险货物港口建设项目的，由所在地港口行政管</w:t>
            </w:r>
            <w:r>
              <w:rPr>
                <w:spacing w:val="6"/>
              </w:rPr>
              <w:t xml:space="preserve"> </w:t>
            </w:r>
            <w:r>
              <w:rPr>
                <w:spacing w:val="-1"/>
              </w:rPr>
              <w:t>理部门责令停止建设，限期改正；逾期未改正的，处五十万元以上一百万元以下的罚款。</w:t>
            </w:r>
          </w:p>
        </w:tc>
        <w:tc>
          <w:tcPr>
            <w:tcW w:w="1010" w:type="dxa"/>
            <w:vAlign w:val="top"/>
          </w:tcPr>
          <w:p w14:paraId="513DDEFF">
            <w:pPr>
              <w:spacing w:line="255" w:lineRule="auto"/>
              <w:rPr>
                <w:rFonts w:ascii="Arial"/>
                <w:sz w:val="21"/>
              </w:rPr>
            </w:pPr>
          </w:p>
          <w:p w14:paraId="058FDE21">
            <w:pPr>
              <w:spacing w:line="256" w:lineRule="auto"/>
              <w:rPr>
                <w:rFonts w:ascii="Arial"/>
                <w:sz w:val="21"/>
              </w:rPr>
            </w:pPr>
          </w:p>
          <w:p w14:paraId="37F08458">
            <w:pPr>
              <w:spacing w:line="256" w:lineRule="auto"/>
              <w:rPr>
                <w:rFonts w:ascii="Arial"/>
                <w:sz w:val="21"/>
              </w:rPr>
            </w:pPr>
          </w:p>
          <w:p w14:paraId="26A22B02">
            <w:pPr>
              <w:spacing w:line="256" w:lineRule="auto"/>
              <w:rPr>
                <w:rFonts w:ascii="Arial"/>
                <w:sz w:val="21"/>
              </w:rPr>
            </w:pPr>
          </w:p>
          <w:p w14:paraId="0C83AB7B">
            <w:pPr>
              <w:spacing w:line="256" w:lineRule="auto"/>
              <w:rPr>
                <w:rFonts w:ascii="Arial"/>
                <w:sz w:val="21"/>
              </w:rPr>
            </w:pPr>
          </w:p>
          <w:p w14:paraId="59EF0557">
            <w:pPr>
              <w:spacing w:line="256" w:lineRule="auto"/>
              <w:rPr>
                <w:rFonts w:ascii="Arial"/>
                <w:sz w:val="21"/>
              </w:rPr>
            </w:pPr>
          </w:p>
          <w:p w14:paraId="641D9619">
            <w:pPr>
              <w:spacing w:line="256" w:lineRule="auto"/>
              <w:rPr>
                <w:rFonts w:ascii="Arial"/>
                <w:sz w:val="21"/>
              </w:rPr>
            </w:pPr>
          </w:p>
          <w:p w14:paraId="25B56855">
            <w:pPr>
              <w:spacing w:line="256" w:lineRule="auto"/>
              <w:rPr>
                <w:rFonts w:ascii="Arial"/>
                <w:sz w:val="21"/>
              </w:rPr>
            </w:pPr>
          </w:p>
          <w:p w14:paraId="2056F76C">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64CA6D50">
            <w:pPr>
              <w:pStyle w:val="8"/>
              <w:spacing w:before="59" w:line="234" w:lineRule="auto"/>
              <w:ind w:left="530" w:right="104" w:hanging="413"/>
              <w:rPr>
                <w:rFonts w:hint="eastAsia"/>
                <w:spacing w:val="-12"/>
                <w:lang w:eastAsia="zh-CN"/>
              </w:rPr>
            </w:pPr>
          </w:p>
          <w:p w14:paraId="458AF971">
            <w:pPr>
              <w:pStyle w:val="8"/>
              <w:spacing w:before="59" w:line="234" w:lineRule="auto"/>
              <w:ind w:left="530" w:right="104" w:hanging="413"/>
              <w:rPr>
                <w:rFonts w:hint="eastAsia"/>
                <w:spacing w:val="-12"/>
                <w:lang w:eastAsia="zh-CN"/>
              </w:rPr>
            </w:pPr>
          </w:p>
          <w:p w14:paraId="772AB488">
            <w:pPr>
              <w:pStyle w:val="8"/>
              <w:spacing w:before="59" w:line="234" w:lineRule="auto"/>
              <w:ind w:left="530" w:right="104" w:hanging="413"/>
              <w:rPr>
                <w:rFonts w:hint="eastAsia"/>
                <w:spacing w:val="-12"/>
                <w:lang w:eastAsia="zh-CN"/>
              </w:rPr>
            </w:pPr>
          </w:p>
          <w:p w14:paraId="40CC47B5">
            <w:pPr>
              <w:pStyle w:val="8"/>
              <w:spacing w:before="59" w:line="234" w:lineRule="auto"/>
              <w:ind w:left="530" w:right="104" w:hanging="413"/>
              <w:rPr>
                <w:rFonts w:hint="eastAsia"/>
                <w:spacing w:val="-12"/>
                <w:lang w:eastAsia="zh-CN"/>
              </w:rPr>
            </w:pPr>
          </w:p>
          <w:p w14:paraId="7CFCD559">
            <w:pPr>
              <w:pStyle w:val="8"/>
              <w:spacing w:before="59" w:line="234" w:lineRule="auto"/>
              <w:ind w:left="530" w:right="104" w:hanging="413"/>
              <w:rPr>
                <w:rFonts w:hint="eastAsia"/>
                <w:spacing w:val="-12"/>
                <w:lang w:eastAsia="zh-CN"/>
              </w:rPr>
            </w:pPr>
          </w:p>
          <w:p w14:paraId="73729FCD">
            <w:pPr>
              <w:pStyle w:val="8"/>
              <w:spacing w:before="59" w:line="234" w:lineRule="auto"/>
              <w:ind w:left="530" w:right="104" w:hanging="413"/>
              <w:rPr>
                <w:rFonts w:hint="eastAsia"/>
                <w:spacing w:val="-12"/>
                <w:lang w:eastAsia="zh-CN"/>
              </w:rPr>
            </w:pPr>
          </w:p>
          <w:p w14:paraId="0CB7AE9E">
            <w:pPr>
              <w:pStyle w:val="8"/>
              <w:spacing w:before="59" w:line="234" w:lineRule="auto"/>
              <w:ind w:left="530" w:right="104" w:hanging="413"/>
              <w:rPr>
                <w:rFonts w:hint="eastAsia"/>
                <w:spacing w:val="-12"/>
                <w:lang w:eastAsia="zh-CN"/>
              </w:rPr>
            </w:pPr>
          </w:p>
          <w:p w14:paraId="706BAE82">
            <w:pPr>
              <w:pStyle w:val="8"/>
              <w:spacing w:before="59" w:line="234" w:lineRule="auto"/>
              <w:ind w:left="530" w:right="104" w:hanging="413"/>
              <w:rPr>
                <w:rFonts w:hint="eastAsia"/>
                <w:spacing w:val="-12"/>
                <w:lang w:eastAsia="zh-CN"/>
              </w:rPr>
            </w:pPr>
          </w:p>
          <w:p w14:paraId="2595B0E5">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50904AA7">
            <w:pPr>
              <w:spacing w:line="241" w:lineRule="auto"/>
              <w:rPr>
                <w:rFonts w:ascii="Arial"/>
                <w:sz w:val="21"/>
              </w:rPr>
            </w:pPr>
          </w:p>
          <w:p w14:paraId="738E18F1">
            <w:pPr>
              <w:spacing w:line="241" w:lineRule="auto"/>
              <w:rPr>
                <w:rFonts w:ascii="Arial"/>
                <w:sz w:val="21"/>
              </w:rPr>
            </w:pPr>
          </w:p>
          <w:p w14:paraId="6191E41A">
            <w:pPr>
              <w:spacing w:line="241" w:lineRule="auto"/>
              <w:rPr>
                <w:rFonts w:ascii="Arial"/>
                <w:sz w:val="21"/>
              </w:rPr>
            </w:pPr>
          </w:p>
          <w:p w14:paraId="353634C3">
            <w:pPr>
              <w:spacing w:line="241" w:lineRule="auto"/>
              <w:rPr>
                <w:rFonts w:ascii="Arial"/>
                <w:sz w:val="21"/>
              </w:rPr>
            </w:pPr>
          </w:p>
          <w:p w14:paraId="721544BE">
            <w:pPr>
              <w:spacing w:line="241" w:lineRule="auto"/>
              <w:rPr>
                <w:rFonts w:ascii="Arial"/>
                <w:sz w:val="21"/>
              </w:rPr>
            </w:pPr>
          </w:p>
          <w:p w14:paraId="0F8A4533">
            <w:pPr>
              <w:spacing w:line="241" w:lineRule="auto"/>
              <w:rPr>
                <w:rFonts w:ascii="Arial"/>
                <w:sz w:val="21"/>
              </w:rPr>
            </w:pPr>
          </w:p>
          <w:p w14:paraId="69244148">
            <w:pPr>
              <w:spacing w:line="241" w:lineRule="auto"/>
              <w:rPr>
                <w:rFonts w:ascii="Arial"/>
                <w:sz w:val="21"/>
              </w:rPr>
            </w:pPr>
          </w:p>
          <w:p w14:paraId="7FAA5022">
            <w:pPr>
              <w:spacing w:line="241" w:lineRule="auto"/>
              <w:rPr>
                <w:rFonts w:ascii="Arial"/>
                <w:sz w:val="21"/>
              </w:rPr>
            </w:pPr>
          </w:p>
          <w:p w14:paraId="6F006B88">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29A9F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7" w:hRule="atLeast"/>
        </w:trPr>
        <w:tc>
          <w:tcPr>
            <w:tcW w:w="622" w:type="dxa"/>
            <w:vAlign w:val="top"/>
          </w:tcPr>
          <w:p w14:paraId="34C2B708">
            <w:pPr>
              <w:spacing w:line="244" w:lineRule="auto"/>
              <w:rPr>
                <w:rFonts w:ascii="Arial"/>
                <w:sz w:val="21"/>
              </w:rPr>
            </w:pPr>
          </w:p>
          <w:p w14:paraId="55F1FC70">
            <w:pPr>
              <w:spacing w:line="244" w:lineRule="auto"/>
              <w:rPr>
                <w:rFonts w:ascii="Arial"/>
                <w:sz w:val="21"/>
              </w:rPr>
            </w:pPr>
          </w:p>
          <w:p w14:paraId="5CB3A679">
            <w:pPr>
              <w:spacing w:line="245" w:lineRule="auto"/>
              <w:rPr>
                <w:rFonts w:ascii="Arial"/>
                <w:sz w:val="21"/>
              </w:rPr>
            </w:pPr>
          </w:p>
          <w:p w14:paraId="7B842A29">
            <w:pPr>
              <w:spacing w:line="245" w:lineRule="auto"/>
              <w:rPr>
                <w:rFonts w:ascii="Arial"/>
                <w:sz w:val="21"/>
              </w:rPr>
            </w:pPr>
          </w:p>
          <w:p w14:paraId="78292B8D">
            <w:pPr>
              <w:spacing w:line="245" w:lineRule="auto"/>
              <w:rPr>
                <w:rFonts w:ascii="Arial"/>
                <w:sz w:val="21"/>
              </w:rPr>
            </w:pPr>
          </w:p>
          <w:p w14:paraId="658E646C">
            <w:pPr>
              <w:spacing w:line="245" w:lineRule="auto"/>
              <w:rPr>
                <w:rFonts w:ascii="Arial"/>
                <w:sz w:val="21"/>
              </w:rPr>
            </w:pPr>
          </w:p>
          <w:p w14:paraId="61136C25">
            <w:pPr>
              <w:spacing w:line="245" w:lineRule="auto"/>
              <w:rPr>
                <w:rFonts w:ascii="Arial"/>
                <w:sz w:val="21"/>
              </w:rPr>
            </w:pPr>
          </w:p>
          <w:p w14:paraId="1829BDD4">
            <w:pPr>
              <w:spacing w:line="245" w:lineRule="auto"/>
              <w:rPr>
                <w:rFonts w:ascii="Arial"/>
                <w:sz w:val="21"/>
              </w:rPr>
            </w:pPr>
          </w:p>
          <w:p w14:paraId="2DA5FD7F">
            <w:pPr>
              <w:pStyle w:val="8"/>
              <w:spacing w:before="58" w:line="184" w:lineRule="auto"/>
              <w:ind w:left="239"/>
            </w:pPr>
            <w:r>
              <w:rPr>
                <w:spacing w:val="-10"/>
              </w:rPr>
              <w:t>17</w:t>
            </w:r>
          </w:p>
        </w:tc>
        <w:tc>
          <w:tcPr>
            <w:tcW w:w="1100" w:type="dxa"/>
            <w:vAlign w:val="top"/>
          </w:tcPr>
          <w:p w14:paraId="584B7BD0">
            <w:pPr>
              <w:spacing w:line="268" w:lineRule="auto"/>
              <w:rPr>
                <w:rFonts w:ascii="Arial"/>
                <w:sz w:val="21"/>
              </w:rPr>
            </w:pPr>
          </w:p>
          <w:p w14:paraId="06A819C4">
            <w:pPr>
              <w:spacing w:line="268" w:lineRule="auto"/>
              <w:rPr>
                <w:rFonts w:ascii="Arial"/>
                <w:sz w:val="21"/>
              </w:rPr>
            </w:pPr>
          </w:p>
          <w:p w14:paraId="27A3637D">
            <w:pPr>
              <w:spacing w:line="268" w:lineRule="auto"/>
              <w:rPr>
                <w:rFonts w:ascii="Arial"/>
                <w:sz w:val="21"/>
              </w:rPr>
            </w:pPr>
          </w:p>
          <w:p w14:paraId="02A6F578">
            <w:pPr>
              <w:spacing w:line="268" w:lineRule="auto"/>
              <w:rPr>
                <w:rFonts w:ascii="Arial"/>
                <w:sz w:val="21"/>
              </w:rPr>
            </w:pPr>
          </w:p>
          <w:p w14:paraId="6416C5D9">
            <w:pPr>
              <w:spacing w:line="268" w:lineRule="auto"/>
              <w:rPr>
                <w:rFonts w:ascii="Arial"/>
                <w:sz w:val="21"/>
              </w:rPr>
            </w:pPr>
          </w:p>
          <w:p w14:paraId="7280252B">
            <w:pPr>
              <w:pStyle w:val="8"/>
              <w:spacing w:before="59" w:line="242" w:lineRule="auto"/>
              <w:ind w:left="59" w:right="55"/>
              <w:jc w:val="both"/>
            </w:pPr>
            <w:r>
              <w:rPr>
                <w:spacing w:val="16"/>
              </w:rPr>
              <w:t>对未按照规</w:t>
            </w:r>
            <w:r>
              <w:t xml:space="preserve"> </w:t>
            </w:r>
            <w:r>
              <w:rPr>
                <w:spacing w:val="15"/>
              </w:rPr>
              <w:t>定对危险货</w:t>
            </w:r>
            <w:r>
              <w:rPr>
                <w:spacing w:val="3"/>
              </w:rPr>
              <w:t xml:space="preserve"> </w:t>
            </w:r>
            <w:r>
              <w:rPr>
                <w:spacing w:val="15"/>
              </w:rPr>
              <w:t>物港口建设</w:t>
            </w:r>
            <w:r>
              <w:rPr>
                <w:spacing w:val="3"/>
              </w:rPr>
              <w:t xml:space="preserve"> </w:t>
            </w:r>
            <w:r>
              <w:rPr>
                <w:spacing w:val="15"/>
              </w:rPr>
              <w:t>项目进行安</w:t>
            </w:r>
            <w:r>
              <w:rPr>
                <w:spacing w:val="3"/>
              </w:rPr>
              <w:t xml:space="preserve"> </w:t>
            </w:r>
            <w:r>
              <w:rPr>
                <w:spacing w:val="15"/>
              </w:rPr>
              <w:t>全评价行为</w:t>
            </w:r>
            <w:r>
              <w:rPr>
                <w:spacing w:val="3"/>
              </w:rPr>
              <w:t xml:space="preserve"> </w:t>
            </w:r>
            <w:r>
              <w:rPr>
                <w:spacing w:val="-2"/>
              </w:rPr>
              <w:t>的行政处罚</w:t>
            </w:r>
          </w:p>
        </w:tc>
        <w:tc>
          <w:tcPr>
            <w:tcW w:w="1100" w:type="dxa"/>
            <w:vAlign w:val="top"/>
          </w:tcPr>
          <w:p w14:paraId="28F9BE91">
            <w:pPr>
              <w:spacing w:line="241" w:lineRule="auto"/>
              <w:rPr>
                <w:rFonts w:ascii="Arial"/>
                <w:sz w:val="21"/>
              </w:rPr>
            </w:pPr>
          </w:p>
          <w:p w14:paraId="2C9FD55D">
            <w:pPr>
              <w:spacing w:line="241" w:lineRule="auto"/>
              <w:rPr>
                <w:rFonts w:ascii="Arial"/>
                <w:sz w:val="21"/>
              </w:rPr>
            </w:pPr>
          </w:p>
          <w:p w14:paraId="78AA599C">
            <w:pPr>
              <w:spacing w:line="241" w:lineRule="auto"/>
              <w:rPr>
                <w:rFonts w:ascii="Arial"/>
                <w:sz w:val="21"/>
              </w:rPr>
            </w:pPr>
          </w:p>
          <w:p w14:paraId="52DD6374">
            <w:pPr>
              <w:spacing w:line="241" w:lineRule="auto"/>
              <w:rPr>
                <w:rFonts w:ascii="Arial"/>
                <w:sz w:val="21"/>
              </w:rPr>
            </w:pPr>
          </w:p>
          <w:p w14:paraId="78F88616">
            <w:pPr>
              <w:spacing w:line="241" w:lineRule="auto"/>
              <w:rPr>
                <w:rFonts w:ascii="Arial"/>
                <w:sz w:val="21"/>
              </w:rPr>
            </w:pPr>
          </w:p>
          <w:p w14:paraId="25B1FCD3">
            <w:pPr>
              <w:spacing w:line="241" w:lineRule="auto"/>
              <w:rPr>
                <w:rFonts w:ascii="Arial"/>
                <w:sz w:val="21"/>
              </w:rPr>
            </w:pPr>
          </w:p>
          <w:p w14:paraId="6C5463B8">
            <w:pPr>
              <w:spacing w:line="241" w:lineRule="auto"/>
              <w:rPr>
                <w:rFonts w:ascii="Arial"/>
                <w:sz w:val="21"/>
              </w:rPr>
            </w:pPr>
          </w:p>
          <w:p w14:paraId="5F28068E">
            <w:pPr>
              <w:spacing w:line="241" w:lineRule="auto"/>
              <w:rPr>
                <w:rFonts w:ascii="Arial"/>
                <w:sz w:val="21"/>
              </w:rPr>
            </w:pPr>
          </w:p>
          <w:p w14:paraId="0B6AE82E">
            <w:pPr>
              <w:pStyle w:val="8"/>
              <w:spacing w:before="58" w:line="220" w:lineRule="auto"/>
              <w:ind w:left="112"/>
            </w:pPr>
            <w:r>
              <w:rPr>
                <w:spacing w:val="-2"/>
              </w:rPr>
              <w:t>行政处罚</w:t>
            </w:r>
          </w:p>
        </w:tc>
        <w:tc>
          <w:tcPr>
            <w:tcW w:w="8508" w:type="dxa"/>
            <w:vAlign w:val="top"/>
          </w:tcPr>
          <w:p w14:paraId="77721C84">
            <w:pPr>
              <w:pStyle w:val="8"/>
              <w:spacing w:before="88" w:line="219" w:lineRule="auto"/>
              <w:ind w:left="484"/>
            </w:pPr>
            <w:r>
              <w:rPr>
                <w:b/>
                <w:bCs/>
                <w:spacing w:val="-4"/>
              </w:rPr>
              <w:t>1.《中华人民共和国安全生产法》</w:t>
            </w:r>
          </w:p>
          <w:p w14:paraId="25088D90">
            <w:pPr>
              <w:pStyle w:val="8"/>
              <w:spacing w:before="26" w:line="232" w:lineRule="auto"/>
              <w:ind w:left="111" w:right="104" w:firstLine="359"/>
            </w:pPr>
            <w:r>
              <w:t>第三十二条  矿山、金属冶炼建设项目和用于生产、储存、装卸危险物品的建设项目，应当按照国家</w:t>
            </w:r>
            <w:r>
              <w:rPr>
                <w:spacing w:val="6"/>
              </w:rPr>
              <w:t xml:space="preserve"> </w:t>
            </w:r>
            <w:r>
              <w:rPr>
                <w:spacing w:val="-3"/>
              </w:rPr>
              <w:t>有关规定进行安全评价。</w:t>
            </w:r>
          </w:p>
          <w:p w14:paraId="1BD985ED">
            <w:pPr>
              <w:pStyle w:val="8"/>
              <w:spacing w:before="25" w:line="241" w:lineRule="auto"/>
              <w:ind w:left="112" w:right="104" w:firstLine="358"/>
              <w:jc w:val="both"/>
            </w:pPr>
            <w:r>
              <w:t>第九十八条第（一）项  生产经营单位有下列行为之一的，责令停止建设或者停产停业整顿，限期改</w:t>
            </w:r>
            <w:r>
              <w:rPr>
                <w:spacing w:val="6"/>
              </w:rPr>
              <w:t xml:space="preserve"> </w:t>
            </w:r>
            <w:r>
              <w:t>正，并处十万元以上五十万元以下的罚款，对其直接负责的主管人员和其他直接责任人员处二万元以上五</w:t>
            </w:r>
            <w:r>
              <w:rPr>
                <w:spacing w:val="4"/>
              </w:rPr>
              <w:t xml:space="preserve"> </w:t>
            </w:r>
            <w:r>
              <w:t>万元以下的罚款；逾期未改正的，处五十万元以上一百万元以下的罚款，对其直接负责的主管人员和其他</w:t>
            </w:r>
            <w:r>
              <w:rPr>
                <w:spacing w:val="4"/>
              </w:rPr>
              <w:t xml:space="preserve"> </w:t>
            </w:r>
            <w:r>
              <w:rPr>
                <w:spacing w:val="-2"/>
              </w:rPr>
              <w:t>直接责任人员处五万元以上十万元以下的罚款；构成犯罪的，依照刑法有关规定追究刑事责任:（一）未按</w:t>
            </w:r>
            <w:r>
              <w:rPr>
                <w:spacing w:val="8"/>
              </w:rPr>
              <w:t xml:space="preserve"> </w:t>
            </w:r>
            <w:r>
              <w:rPr>
                <w:spacing w:val="-1"/>
              </w:rPr>
              <w:t>照规定对矿山、金属冶炼建设项目或者用于生产、储存、装卸危险物品的建设项目进</w:t>
            </w:r>
            <w:r>
              <w:rPr>
                <w:spacing w:val="-2"/>
              </w:rPr>
              <w:t>行安全评价的；</w:t>
            </w:r>
          </w:p>
          <w:p w14:paraId="6269480A">
            <w:pPr>
              <w:pStyle w:val="8"/>
              <w:spacing w:before="26"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1498E5FD">
            <w:pPr>
              <w:pStyle w:val="8"/>
              <w:spacing w:before="27" w:line="237" w:lineRule="auto"/>
              <w:ind w:left="111" w:right="104" w:firstLine="360"/>
              <w:jc w:val="both"/>
            </w:pPr>
            <w:r>
              <w:t>第七条  危险货物港口建设项目的建设单位，应当在可行性研究阶段按照国家有关规定委托有资质的</w:t>
            </w:r>
            <w:r>
              <w:rPr>
                <w:spacing w:val="6"/>
              </w:rPr>
              <w:t xml:space="preserve"> </w:t>
            </w:r>
            <w:r>
              <w:t>安全评价机构对该建设项目进行安全评价，并编制安全预评价报告。安全预评价报告应当符合有关安全生</w:t>
            </w:r>
            <w:r>
              <w:rPr>
                <w:spacing w:val="6"/>
              </w:rPr>
              <w:t xml:space="preserve"> </w:t>
            </w:r>
            <w:r>
              <w:rPr>
                <w:spacing w:val="-1"/>
              </w:rPr>
              <w:t>产法律、法规、规章、国家标准、行业标准和港口建设的有</w:t>
            </w:r>
            <w:r>
              <w:rPr>
                <w:spacing w:val="-2"/>
              </w:rPr>
              <w:t>关规定。</w:t>
            </w:r>
          </w:p>
          <w:p w14:paraId="3BB8E736">
            <w:pPr>
              <w:pStyle w:val="8"/>
              <w:spacing w:before="24" w:line="241" w:lineRule="auto"/>
              <w:ind w:left="111" w:right="104" w:firstLine="359"/>
              <w:jc w:val="both"/>
            </w:pPr>
            <w:r>
              <w:t>第七十二条第（一）项  危险货物港口建设项目有下列行为之一的，由所在地港口行政管理部门责令</w:t>
            </w:r>
            <w:r>
              <w:rPr>
                <w:spacing w:val="6"/>
              </w:rPr>
              <w:t xml:space="preserve"> </w:t>
            </w:r>
            <w:r>
              <w:t>停止建设或者停产停业整顿，限期改正，并处十万元以上五十万元以下的罚款，对其直接负责的主管人员</w:t>
            </w:r>
            <w:r>
              <w:rPr>
                <w:spacing w:val="5"/>
              </w:rPr>
              <w:t xml:space="preserve"> </w:t>
            </w:r>
            <w:r>
              <w:t>和其他直接责任人员处二万元以上五万元以下的罚款；逾期未改正的，处五十万元以上一百万元以下的罚</w:t>
            </w:r>
            <w:r>
              <w:rPr>
                <w:spacing w:val="5"/>
              </w:rPr>
              <w:t xml:space="preserve"> </w:t>
            </w:r>
            <w:r>
              <w:t>款，对其直接负责的主管人员和其他直接责任人员处五万元以上十万元以下的罚款</w:t>
            </w:r>
            <w:r>
              <w:rPr>
                <w:spacing w:val="2"/>
              </w:rPr>
              <w:t>：（</w:t>
            </w:r>
            <w:r>
              <w:t>一）未按照规定对</w:t>
            </w:r>
            <w:r>
              <w:rPr>
                <w:spacing w:val="1"/>
              </w:rPr>
              <w:t xml:space="preserve"> </w:t>
            </w:r>
            <w:r>
              <w:rPr>
                <w:spacing w:val="-3"/>
              </w:rPr>
              <w:t>危险货物港口建设项目进行安全评价的；</w:t>
            </w:r>
          </w:p>
        </w:tc>
        <w:tc>
          <w:tcPr>
            <w:tcW w:w="1010" w:type="dxa"/>
            <w:vAlign w:val="top"/>
          </w:tcPr>
          <w:p w14:paraId="36B42E06">
            <w:pPr>
              <w:spacing w:line="259" w:lineRule="auto"/>
              <w:rPr>
                <w:rFonts w:ascii="Arial"/>
                <w:sz w:val="21"/>
              </w:rPr>
            </w:pPr>
          </w:p>
          <w:p w14:paraId="5EADD6B6">
            <w:pPr>
              <w:spacing w:line="259" w:lineRule="auto"/>
              <w:rPr>
                <w:rFonts w:ascii="Arial"/>
                <w:sz w:val="21"/>
              </w:rPr>
            </w:pPr>
          </w:p>
          <w:p w14:paraId="055AE312">
            <w:pPr>
              <w:spacing w:line="260" w:lineRule="auto"/>
              <w:rPr>
                <w:rFonts w:ascii="Arial"/>
                <w:sz w:val="21"/>
              </w:rPr>
            </w:pPr>
          </w:p>
          <w:p w14:paraId="601D5F73">
            <w:pPr>
              <w:spacing w:line="260" w:lineRule="auto"/>
              <w:rPr>
                <w:rFonts w:ascii="Arial"/>
                <w:sz w:val="21"/>
              </w:rPr>
            </w:pPr>
          </w:p>
          <w:p w14:paraId="77AE813C">
            <w:pPr>
              <w:spacing w:line="260" w:lineRule="auto"/>
              <w:rPr>
                <w:rFonts w:ascii="Arial"/>
                <w:sz w:val="21"/>
              </w:rPr>
            </w:pPr>
          </w:p>
          <w:p w14:paraId="5636151D">
            <w:pPr>
              <w:spacing w:line="260" w:lineRule="auto"/>
              <w:rPr>
                <w:rFonts w:ascii="Arial"/>
                <w:sz w:val="21"/>
              </w:rPr>
            </w:pPr>
          </w:p>
          <w:p w14:paraId="2463F123">
            <w:pPr>
              <w:spacing w:line="260" w:lineRule="auto"/>
              <w:rPr>
                <w:rFonts w:ascii="Arial"/>
                <w:sz w:val="21"/>
              </w:rPr>
            </w:pPr>
          </w:p>
          <w:p w14:paraId="5244B4DB">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1264DB01">
            <w:pPr>
              <w:pStyle w:val="8"/>
              <w:spacing w:before="59" w:line="234" w:lineRule="auto"/>
              <w:ind w:left="530" w:right="104" w:hanging="413"/>
              <w:rPr>
                <w:rFonts w:hint="eastAsia"/>
                <w:spacing w:val="-12"/>
                <w:lang w:eastAsia="zh-CN"/>
              </w:rPr>
            </w:pPr>
          </w:p>
          <w:p w14:paraId="588F273A">
            <w:pPr>
              <w:pStyle w:val="8"/>
              <w:spacing w:before="59" w:line="234" w:lineRule="auto"/>
              <w:ind w:left="530" w:right="104" w:hanging="413"/>
              <w:rPr>
                <w:rFonts w:hint="eastAsia"/>
                <w:spacing w:val="-12"/>
                <w:lang w:eastAsia="zh-CN"/>
              </w:rPr>
            </w:pPr>
          </w:p>
          <w:p w14:paraId="459BF19D">
            <w:pPr>
              <w:pStyle w:val="8"/>
              <w:spacing w:before="59" w:line="234" w:lineRule="auto"/>
              <w:ind w:left="530" w:right="104" w:hanging="413"/>
              <w:rPr>
                <w:rFonts w:hint="eastAsia"/>
                <w:spacing w:val="-12"/>
                <w:lang w:eastAsia="zh-CN"/>
              </w:rPr>
            </w:pPr>
          </w:p>
          <w:p w14:paraId="13D0C3C2">
            <w:pPr>
              <w:pStyle w:val="8"/>
              <w:spacing w:before="59" w:line="234" w:lineRule="auto"/>
              <w:ind w:left="530" w:right="104" w:hanging="413"/>
              <w:rPr>
                <w:rFonts w:hint="eastAsia"/>
                <w:spacing w:val="-12"/>
                <w:lang w:eastAsia="zh-CN"/>
              </w:rPr>
            </w:pPr>
          </w:p>
          <w:p w14:paraId="2ED13E48">
            <w:pPr>
              <w:pStyle w:val="8"/>
              <w:spacing w:before="59" w:line="234" w:lineRule="auto"/>
              <w:ind w:left="530" w:right="104" w:hanging="413"/>
              <w:rPr>
                <w:rFonts w:hint="eastAsia"/>
                <w:spacing w:val="-12"/>
                <w:lang w:eastAsia="zh-CN"/>
              </w:rPr>
            </w:pPr>
          </w:p>
          <w:p w14:paraId="65612114">
            <w:pPr>
              <w:pStyle w:val="8"/>
              <w:spacing w:before="59" w:line="234" w:lineRule="auto"/>
              <w:ind w:left="530" w:right="104" w:hanging="413"/>
              <w:rPr>
                <w:rFonts w:hint="eastAsia"/>
                <w:spacing w:val="-12"/>
                <w:lang w:eastAsia="zh-CN"/>
              </w:rPr>
            </w:pPr>
          </w:p>
          <w:p w14:paraId="67B86C4F">
            <w:pPr>
              <w:pStyle w:val="8"/>
              <w:spacing w:before="59" w:line="234" w:lineRule="auto"/>
              <w:ind w:left="530" w:right="104" w:hanging="413"/>
              <w:rPr>
                <w:rFonts w:hint="eastAsia"/>
                <w:spacing w:val="-12"/>
                <w:lang w:eastAsia="zh-CN"/>
              </w:rPr>
            </w:pPr>
          </w:p>
          <w:p w14:paraId="36A686BE">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0A7CBC35">
            <w:pPr>
              <w:spacing w:line="242" w:lineRule="auto"/>
              <w:rPr>
                <w:rFonts w:ascii="Arial"/>
                <w:sz w:val="21"/>
              </w:rPr>
            </w:pPr>
          </w:p>
          <w:p w14:paraId="61B7C87D">
            <w:pPr>
              <w:spacing w:line="242" w:lineRule="auto"/>
              <w:rPr>
                <w:rFonts w:ascii="Arial"/>
                <w:sz w:val="21"/>
              </w:rPr>
            </w:pPr>
          </w:p>
          <w:p w14:paraId="79F2691E">
            <w:pPr>
              <w:spacing w:line="243" w:lineRule="auto"/>
              <w:rPr>
                <w:rFonts w:ascii="Arial"/>
                <w:sz w:val="21"/>
              </w:rPr>
            </w:pPr>
          </w:p>
          <w:p w14:paraId="576C2B92">
            <w:pPr>
              <w:spacing w:line="243" w:lineRule="auto"/>
              <w:rPr>
                <w:rFonts w:ascii="Arial"/>
                <w:sz w:val="21"/>
              </w:rPr>
            </w:pPr>
          </w:p>
          <w:p w14:paraId="4D507B65">
            <w:pPr>
              <w:spacing w:line="243" w:lineRule="auto"/>
              <w:rPr>
                <w:rFonts w:ascii="Arial"/>
                <w:sz w:val="21"/>
              </w:rPr>
            </w:pPr>
          </w:p>
          <w:p w14:paraId="74672B7E">
            <w:pPr>
              <w:spacing w:line="243" w:lineRule="auto"/>
              <w:rPr>
                <w:rFonts w:ascii="Arial"/>
                <w:sz w:val="21"/>
              </w:rPr>
            </w:pPr>
          </w:p>
          <w:p w14:paraId="131D9872">
            <w:pPr>
              <w:spacing w:line="243" w:lineRule="auto"/>
              <w:rPr>
                <w:rFonts w:ascii="Arial"/>
                <w:sz w:val="21"/>
              </w:rPr>
            </w:pPr>
          </w:p>
          <w:p w14:paraId="4030A074">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2B02FCAC">
      <w:pPr>
        <w:pStyle w:val="2"/>
      </w:pPr>
    </w:p>
    <w:p w14:paraId="60A904F9">
      <w:pPr>
        <w:sectPr>
          <w:footerReference r:id="rId135" w:type="default"/>
          <w:pgSz w:w="16839" w:h="11906"/>
          <w:pgMar w:top="1012" w:right="1034" w:bottom="967" w:left="1043" w:header="0" w:footer="768" w:gutter="0"/>
          <w:cols w:space="720" w:num="1"/>
        </w:sectPr>
      </w:pPr>
    </w:p>
    <w:p w14:paraId="36987B86">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00371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11AF1F2F">
            <w:pPr>
              <w:pStyle w:val="8"/>
              <w:spacing w:before="259" w:line="221" w:lineRule="auto"/>
              <w:ind w:left="134"/>
            </w:pPr>
            <w:r>
              <w:rPr>
                <w:b/>
                <w:bCs/>
                <w:spacing w:val="-4"/>
              </w:rPr>
              <w:t>序号</w:t>
            </w:r>
          </w:p>
        </w:tc>
        <w:tc>
          <w:tcPr>
            <w:tcW w:w="1100" w:type="dxa"/>
            <w:vMerge w:val="restart"/>
            <w:tcBorders>
              <w:bottom w:val="nil"/>
            </w:tcBorders>
            <w:vAlign w:val="top"/>
          </w:tcPr>
          <w:p w14:paraId="1196B1E5">
            <w:pPr>
              <w:pStyle w:val="8"/>
              <w:spacing w:before="260" w:line="220" w:lineRule="auto"/>
              <w:ind w:left="189"/>
            </w:pPr>
            <w:r>
              <w:rPr>
                <w:b/>
                <w:bCs/>
                <w:spacing w:val="-4"/>
              </w:rPr>
              <w:t>事项名称</w:t>
            </w:r>
          </w:p>
        </w:tc>
        <w:tc>
          <w:tcPr>
            <w:tcW w:w="1100" w:type="dxa"/>
            <w:vMerge w:val="restart"/>
            <w:tcBorders>
              <w:bottom w:val="nil"/>
            </w:tcBorders>
            <w:vAlign w:val="top"/>
          </w:tcPr>
          <w:p w14:paraId="1564B892">
            <w:pPr>
              <w:pStyle w:val="8"/>
              <w:spacing w:before="260" w:line="219" w:lineRule="auto"/>
              <w:ind w:left="191"/>
            </w:pPr>
            <w:r>
              <w:rPr>
                <w:b/>
                <w:bCs/>
                <w:spacing w:val="-4"/>
              </w:rPr>
              <w:t>职权类型</w:t>
            </w:r>
          </w:p>
        </w:tc>
        <w:tc>
          <w:tcPr>
            <w:tcW w:w="8508" w:type="dxa"/>
            <w:vMerge w:val="restart"/>
            <w:tcBorders>
              <w:bottom w:val="nil"/>
            </w:tcBorders>
            <w:vAlign w:val="top"/>
          </w:tcPr>
          <w:p w14:paraId="100871AB">
            <w:pPr>
              <w:pStyle w:val="8"/>
              <w:spacing w:before="259" w:line="219" w:lineRule="auto"/>
              <w:ind w:left="3900"/>
            </w:pPr>
            <w:r>
              <w:rPr>
                <w:b/>
                <w:bCs/>
                <w:spacing w:val="-5"/>
              </w:rPr>
              <w:t>实施依据</w:t>
            </w:r>
          </w:p>
        </w:tc>
        <w:tc>
          <w:tcPr>
            <w:tcW w:w="3425" w:type="dxa"/>
            <w:gridSpan w:val="3"/>
            <w:vAlign w:val="top"/>
          </w:tcPr>
          <w:p w14:paraId="0809466E">
            <w:pPr>
              <w:pStyle w:val="8"/>
              <w:spacing w:before="85" w:line="220" w:lineRule="auto"/>
              <w:ind w:left="1358"/>
            </w:pPr>
            <w:r>
              <w:rPr>
                <w:b/>
                <w:bCs/>
                <w:spacing w:val="-5"/>
              </w:rPr>
              <w:t>实施主体</w:t>
            </w:r>
          </w:p>
        </w:tc>
      </w:tr>
      <w:tr w14:paraId="6D8BB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18845D6E">
            <w:pPr>
              <w:rPr>
                <w:rFonts w:ascii="Arial"/>
                <w:sz w:val="21"/>
              </w:rPr>
            </w:pPr>
          </w:p>
        </w:tc>
        <w:tc>
          <w:tcPr>
            <w:tcW w:w="1100" w:type="dxa"/>
            <w:vMerge w:val="continue"/>
            <w:tcBorders>
              <w:top w:val="nil"/>
            </w:tcBorders>
            <w:vAlign w:val="top"/>
          </w:tcPr>
          <w:p w14:paraId="2EE30947">
            <w:pPr>
              <w:rPr>
                <w:rFonts w:ascii="Arial"/>
                <w:sz w:val="21"/>
              </w:rPr>
            </w:pPr>
          </w:p>
        </w:tc>
        <w:tc>
          <w:tcPr>
            <w:tcW w:w="1100" w:type="dxa"/>
            <w:vMerge w:val="continue"/>
            <w:tcBorders>
              <w:top w:val="nil"/>
            </w:tcBorders>
            <w:vAlign w:val="top"/>
          </w:tcPr>
          <w:p w14:paraId="6B9DEC20">
            <w:pPr>
              <w:rPr>
                <w:rFonts w:ascii="Arial"/>
                <w:sz w:val="21"/>
              </w:rPr>
            </w:pPr>
          </w:p>
        </w:tc>
        <w:tc>
          <w:tcPr>
            <w:tcW w:w="8508" w:type="dxa"/>
            <w:vMerge w:val="continue"/>
            <w:tcBorders>
              <w:top w:val="nil"/>
            </w:tcBorders>
            <w:vAlign w:val="top"/>
          </w:tcPr>
          <w:p w14:paraId="1F7F735F">
            <w:pPr>
              <w:rPr>
                <w:rFonts w:ascii="Arial"/>
                <w:sz w:val="21"/>
              </w:rPr>
            </w:pPr>
          </w:p>
        </w:tc>
        <w:tc>
          <w:tcPr>
            <w:tcW w:w="1010" w:type="dxa"/>
            <w:vAlign w:val="top"/>
          </w:tcPr>
          <w:p w14:paraId="0AB1DB0F">
            <w:pPr>
              <w:pStyle w:val="8"/>
              <w:spacing w:before="81" w:line="219" w:lineRule="auto"/>
              <w:ind w:left="155"/>
            </w:pPr>
            <w:r>
              <w:rPr>
                <w:b/>
                <w:bCs/>
                <w:spacing w:val="-5"/>
              </w:rPr>
              <w:t>责任部门</w:t>
            </w:r>
          </w:p>
        </w:tc>
        <w:tc>
          <w:tcPr>
            <w:tcW w:w="1401" w:type="dxa"/>
            <w:vAlign w:val="top"/>
          </w:tcPr>
          <w:p w14:paraId="5584E7AD">
            <w:pPr>
              <w:pStyle w:val="8"/>
              <w:spacing w:before="81" w:line="219" w:lineRule="auto"/>
              <w:ind w:left="164"/>
            </w:pPr>
            <w:r>
              <w:rPr>
                <w:b/>
                <w:bCs/>
                <w:spacing w:val="-3"/>
              </w:rPr>
              <w:t>第一责任层级</w:t>
            </w:r>
          </w:p>
        </w:tc>
        <w:tc>
          <w:tcPr>
            <w:tcW w:w="1014" w:type="dxa"/>
            <w:vAlign w:val="top"/>
          </w:tcPr>
          <w:p w14:paraId="02C016D3">
            <w:pPr>
              <w:pStyle w:val="8"/>
              <w:spacing w:before="81" w:line="219" w:lineRule="auto"/>
              <w:ind w:left="150"/>
            </w:pPr>
            <w:r>
              <w:rPr>
                <w:b/>
                <w:bCs/>
                <w:spacing w:val="-4"/>
              </w:rPr>
              <w:t>承办机构</w:t>
            </w:r>
          </w:p>
        </w:tc>
      </w:tr>
      <w:tr w14:paraId="0F0C5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0" w:hRule="atLeast"/>
        </w:trPr>
        <w:tc>
          <w:tcPr>
            <w:tcW w:w="622" w:type="dxa"/>
            <w:vAlign w:val="top"/>
          </w:tcPr>
          <w:p w14:paraId="7C1D5248">
            <w:pPr>
              <w:spacing w:line="258" w:lineRule="auto"/>
              <w:rPr>
                <w:rFonts w:ascii="Arial"/>
                <w:sz w:val="21"/>
              </w:rPr>
            </w:pPr>
          </w:p>
          <w:p w14:paraId="2FF3400A">
            <w:pPr>
              <w:spacing w:line="259" w:lineRule="auto"/>
              <w:rPr>
                <w:rFonts w:ascii="Arial"/>
                <w:sz w:val="21"/>
              </w:rPr>
            </w:pPr>
          </w:p>
          <w:p w14:paraId="1453FC2D">
            <w:pPr>
              <w:spacing w:line="259" w:lineRule="auto"/>
              <w:rPr>
                <w:rFonts w:ascii="Arial"/>
                <w:sz w:val="21"/>
              </w:rPr>
            </w:pPr>
          </w:p>
          <w:p w14:paraId="2CA7CA8F">
            <w:pPr>
              <w:spacing w:line="259" w:lineRule="auto"/>
              <w:rPr>
                <w:rFonts w:ascii="Arial"/>
                <w:sz w:val="21"/>
              </w:rPr>
            </w:pPr>
          </w:p>
          <w:p w14:paraId="60803DD9">
            <w:pPr>
              <w:spacing w:line="259" w:lineRule="auto"/>
              <w:rPr>
                <w:rFonts w:ascii="Arial"/>
                <w:sz w:val="21"/>
              </w:rPr>
            </w:pPr>
          </w:p>
          <w:p w14:paraId="369199F6">
            <w:pPr>
              <w:spacing w:line="259" w:lineRule="auto"/>
              <w:rPr>
                <w:rFonts w:ascii="Arial"/>
                <w:sz w:val="21"/>
              </w:rPr>
            </w:pPr>
          </w:p>
          <w:p w14:paraId="18F9BA4F">
            <w:pPr>
              <w:spacing w:line="259" w:lineRule="auto"/>
              <w:rPr>
                <w:rFonts w:ascii="Arial"/>
                <w:sz w:val="21"/>
              </w:rPr>
            </w:pPr>
          </w:p>
          <w:p w14:paraId="7ED82227">
            <w:pPr>
              <w:spacing w:line="259" w:lineRule="auto"/>
              <w:rPr>
                <w:rFonts w:ascii="Arial"/>
                <w:sz w:val="21"/>
              </w:rPr>
            </w:pPr>
          </w:p>
          <w:p w14:paraId="6A362447">
            <w:pPr>
              <w:spacing w:line="259" w:lineRule="auto"/>
              <w:rPr>
                <w:rFonts w:ascii="Arial"/>
                <w:sz w:val="21"/>
              </w:rPr>
            </w:pPr>
          </w:p>
          <w:p w14:paraId="43709B1A">
            <w:pPr>
              <w:pStyle w:val="8"/>
              <w:spacing w:before="59" w:line="184" w:lineRule="auto"/>
              <w:ind w:left="239"/>
            </w:pPr>
            <w:r>
              <w:rPr>
                <w:spacing w:val="-10"/>
              </w:rPr>
              <w:t>18</w:t>
            </w:r>
          </w:p>
        </w:tc>
        <w:tc>
          <w:tcPr>
            <w:tcW w:w="1100" w:type="dxa"/>
            <w:vAlign w:val="top"/>
          </w:tcPr>
          <w:p w14:paraId="52D996AC">
            <w:pPr>
              <w:spacing w:line="279" w:lineRule="auto"/>
              <w:rPr>
                <w:rFonts w:ascii="Arial"/>
                <w:sz w:val="21"/>
              </w:rPr>
            </w:pPr>
          </w:p>
          <w:p w14:paraId="3928BE10">
            <w:pPr>
              <w:spacing w:line="280" w:lineRule="auto"/>
              <w:rPr>
                <w:rFonts w:ascii="Arial"/>
                <w:sz w:val="21"/>
              </w:rPr>
            </w:pPr>
          </w:p>
          <w:p w14:paraId="352907D9">
            <w:pPr>
              <w:spacing w:line="280" w:lineRule="auto"/>
              <w:rPr>
                <w:rFonts w:ascii="Arial"/>
                <w:sz w:val="21"/>
              </w:rPr>
            </w:pPr>
          </w:p>
          <w:p w14:paraId="064AB312">
            <w:pPr>
              <w:spacing w:line="280" w:lineRule="auto"/>
              <w:rPr>
                <w:rFonts w:ascii="Arial"/>
                <w:sz w:val="21"/>
              </w:rPr>
            </w:pPr>
          </w:p>
          <w:p w14:paraId="5F5A4352">
            <w:pPr>
              <w:pStyle w:val="8"/>
              <w:spacing w:before="58" w:line="244" w:lineRule="auto"/>
              <w:ind w:left="59" w:right="55"/>
              <w:jc w:val="both"/>
            </w:pPr>
            <w:r>
              <w:rPr>
                <w:spacing w:val="16"/>
              </w:rPr>
              <w:t>对危险货物</w:t>
            </w:r>
            <w:r>
              <w:t xml:space="preserve"> </w:t>
            </w:r>
            <w:r>
              <w:rPr>
                <w:spacing w:val="16"/>
              </w:rPr>
              <w:t>港口建设项</w:t>
            </w:r>
            <w:r>
              <w:t xml:space="preserve"> </w:t>
            </w:r>
            <w:r>
              <w:rPr>
                <w:spacing w:val="16"/>
              </w:rPr>
              <w:t>目没有安全</w:t>
            </w:r>
            <w:r>
              <w:t xml:space="preserve"> </w:t>
            </w:r>
            <w:r>
              <w:rPr>
                <w:spacing w:val="16"/>
              </w:rPr>
              <w:t>设施设计或</w:t>
            </w:r>
            <w:r>
              <w:t xml:space="preserve"> </w:t>
            </w:r>
            <w:r>
              <w:rPr>
                <w:spacing w:val="16"/>
              </w:rPr>
              <w:t>者安全设施</w:t>
            </w:r>
            <w:r>
              <w:t xml:space="preserve"> </w:t>
            </w:r>
            <w:r>
              <w:rPr>
                <w:spacing w:val="16"/>
              </w:rPr>
              <w:t>设计未按照</w:t>
            </w:r>
            <w:r>
              <w:t xml:space="preserve"> </w:t>
            </w:r>
            <w:r>
              <w:rPr>
                <w:spacing w:val="16"/>
              </w:rPr>
              <w:t>规定报经港</w:t>
            </w:r>
            <w:r>
              <w:t xml:space="preserve"> </w:t>
            </w:r>
            <w:r>
              <w:rPr>
                <w:spacing w:val="16"/>
              </w:rPr>
              <w:t>口管理部门</w:t>
            </w:r>
            <w:r>
              <w:t xml:space="preserve"> </w:t>
            </w:r>
            <w:r>
              <w:rPr>
                <w:spacing w:val="16"/>
              </w:rPr>
              <w:t>审查同意行</w:t>
            </w:r>
            <w:r>
              <w:t xml:space="preserve"> </w:t>
            </w:r>
            <w:r>
              <w:rPr>
                <w:spacing w:val="16"/>
              </w:rPr>
              <w:t>为的行政处</w:t>
            </w:r>
            <w:r>
              <w:t xml:space="preserve"> 罚</w:t>
            </w:r>
          </w:p>
        </w:tc>
        <w:tc>
          <w:tcPr>
            <w:tcW w:w="1100" w:type="dxa"/>
            <w:vAlign w:val="top"/>
          </w:tcPr>
          <w:p w14:paraId="69A77B76">
            <w:pPr>
              <w:spacing w:line="255" w:lineRule="auto"/>
              <w:rPr>
                <w:rFonts w:ascii="Arial"/>
                <w:sz w:val="21"/>
              </w:rPr>
            </w:pPr>
          </w:p>
          <w:p w14:paraId="7E331DA5">
            <w:pPr>
              <w:spacing w:line="256" w:lineRule="auto"/>
              <w:rPr>
                <w:rFonts w:ascii="Arial"/>
                <w:sz w:val="21"/>
              </w:rPr>
            </w:pPr>
          </w:p>
          <w:p w14:paraId="13B496A1">
            <w:pPr>
              <w:spacing w:line="256" w:lineRule="auto"/>
              <w:rPr>
                <w:rFonts w:ascii="Arial"/>
                <w:sz w:val="21"/>
              </w:rPr>
            </w:pPr>
          </w:p>
          <w:p w14:paraId="2B05B5B9">
            <w:pPr>
              <w:spacing w:line="256" w:lineRule="auto"/>
              <w:rPr>
                <w:rFonts w:ascii="Arial"/>
                <w:sz w:val="21"/>
              </w:rPr>
            </w:pPr>
          </w:p>
          <w:p w14:paraId="27A71ABA">
            <w:pPr>
              <w:spacing w:line="256" w:lineRule="auto"/>
              <w:rPr>
                <w:rFonts w:ascii="Arial"/>
                <w:sz w:val="21"/>
              </w:rPr>
            </w:pPr>
          </w:p>
          <w:p w14:paraId="31BA2BA1">
            <w:pPr>
              <w:spacing w:line="256" w:lineRule="auto"/>
              <w:rPr>
                <w:rFonts w:ascii="Arial"/>
                <w:sz w:val="21"/>
              </w:rPr>
            </w:pPr>
          </w:p>
          <w:p w14:paraId="5D988C53">
            <w:pPr>
              <w:spacing w:line="256" w:lineRule="auto"/>
              <w:rPr>
                <w:rFonts w:ascii="Arial"/>
                <w:sz w:val="21"/>
              </w:rPr>
            </w:pPr>
          </w:p>
          <w:p w14:paraId="2E0032CC">
            <w:pPr>
              <w:spacing w:line="256" w:lineRule="auto"/>
              <w:rPr>
                <w:rFonts w:ascii="Arial"/>
                <w:sz w:val="21"/>
              </w:rPr>
            </w:pPr>
          </w:p>
          <w:p w14:paraId="7291E169">
            <w:pPr>
              <w:spacing w:line="256" w:lineRule="auto"/>
              <w:rPr>
                <w:rFonts w:ascii="Arial"/>
                <w:sz w:val="21"/>
              </w:rPr>
            </w:pPr>
          </w:p>
          <w:p w14:paraId="38ABACAF">
            <w:pPr>
              <w:pStyle w:val="8"/>
              <w:spacing w:before="59" w:line="220" w:lineRule="auto"/>
              <w:ind w:left="112"/>
            </w:pPr>
            <w:r>
              <w:rPr>
                <w:spacing w:val="-2"/>
              </w:rPr>
              <w:t>行政处罚</w:t>
            </w:r>
          </w:p>
        </w:tc>
        <w:tc>
          <w:tcPr>
            <w:tcW w:w="8508" w:type="dxa"/>
            <w:vAlign w:val="top"/>
          </w:tcPr>
          <w:p w14:paraId="43F1800A">
            <w:pPr>
              <w:pStyle w:val="8"/>
              <w:spacing w:before="26" w:line="219" w:lineRule="auto"/>
              <w:ind w:left="484"/>
            </w:pPr>
            <w:r>
              <w:rPr>
                <w:b/>
                <w:bCs/>
                <w:spacing w:val="-4"/>
              </w:rPr>
              <w:t>1.《中华人民共和国安全生产法》</w:t>
            </w:r>
          </w:p>
          <w:p w14:paraId="6E82FEFF">
            <w:pPr>
              <w:pStyle w:val="8"/>
              <w:spacing w:before="9" w:line="219" w:lineRule="auto"/>
              <w:ind w:left="471"/>
            </w:pPr>
            <w:r>
              <w:rPr>
                <w:spacing w:val="-1"/>
              </w:rPr>
              <w:t>第三十三条  建设项目安全设施的设计人、设计单位应当对安全设施设计负</w:t>
            </w:r>
            <w:r>
              <w:rPr>
                <w:spacing w:val="-2"/>
              </w:rPr>
              <w:t>责。</w:t>
            </w:r>
          </w:p>
          <w:p w14:paraId="40938EF9">
            <w:pPr>
              <w:pStyle w:val="8"/>
              <w:spacing w:before="11" w:line="224" w:lineRule="auto"/>
              <w:ind w:left="111" w:right="104" w:firstLine="358"/>
            </w:pPr>
            <w:r>
              <w:t>矿山、金属冶炼建设项目和用于生产、储存、装卸危险物品的建设项目的安全设施设计应当按照国家</w:t>
            </w:r>
            <w:r>
              <w:rPr>
                <w:spacing w:val="7"/>
              </w:rPr>
              <w:t xml:space="preserve"> </w:t>
            </w:r>
            <w:r>
              <w:rPr>
                <w:spacing w:val="-1"/>
              </w:rPr>
              <w:t>有关规定报经有关部门审查，审查部门及其负责审查的人员对审查结果负责。</w:t>
            </w:r>
          </w:p>
          <w:p w14:paraId="09D0ABF8">
            <w:pPr>
              <w:pStyle w:val="8"/>
              <w:spacing w:before="10" w:line="228" w:lineRule="auto"/>
              <w:ind w:left="112" w:right="44" w:firstLine="358"/>
            </w:pPr>
            <w:r>
              <w:t>第九十八条第（二）项  生产经营单位有下列行为之一的，责令停止建设或者停产停业整顿，限期改</w:t>
            </w:r>
            <w:r>
              <w:rPr>
                <w:spacing w:val="6"/>
              </w:rPr>
              <w:t xml:space="preserve"> </w:t>
            </w:r>
            <w:r>
              <w:t>正，并处十万元以上五十万元以下的罚款，对其直接负责的主管人员和其他直接责任人员处二万元以上五</w:t>
            </w:r>
            <w:r>
              <w:rPr>
                <w:spacing w:val="4"/>
              </w:rPr>
              <w:t xml:space="preserve"> </w:t>
            </w:r>
            <w:r>
              <w:t>万元以下的罚款；逾期未改正的，处五十万元以上一百万元以下的罚款，对其直接负责的主管人员和其他</w:t>
            </w:r>
            <w:r>
              <w:rPr>
                <w:spacing w:val="4"/>
              </w:rPr>
              <w:t xml:space="preserve"> </w:t>
            </w:r>
            <w:r>
              <w:rPr>
                <w:spacing w:val="-4"/>
              </w:rPr>
              <w:t>直接责任人员处五万元以上十万元以下的罚款；构成犯罪的，依照刑法有关规定</w:t>
            </w:r>
            <w:r>
              <w:rPr>
                <w:spacing w:val="-5"/>
              </w:rPr>
              <w:t>追究刑事责任:（二）矿山、</w:t>
            </w:r>
            <w:r>
              <w:t xml:space="preserve"> 金属冶炼建设项目或者用于生产、储存、装卸危险物品的建设项目没有安全设施设计或者安全设施设计未</w:t>
            </w:r>
            <w:r>
              <w:rPr>
                <w:spacing w:val="4"/>
              </w:rPr>
              <w:t xml:space="preserve"> </w:t>
            </w:r>
            <w:r>
              <w:rPr>
                <w:spacing w:val="-3"/>
              </w:rPr>
              <w:t>按照规定报经有关部门审查同意的；</w:t>
            </w:r>
          </w:p>
          <w:p w14:paraId="048A5A92">
            <w:pPr>
              <w:pStyle w:val="8"/>
              <w:spacing w:before="9"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1242FD28">
            <w:pPr>
              <w:pStyle w:val="8"/>
              <w:spacing w:before="14" w:line="224" w:lineRule="auto"/>
              <w:ind w:left="111" w:right="104" w:firstLine="360"/>
            </w:pPr>
            <w:r>
              <w:t>第十三条  建设单位应当在危险货物港口建设项目初步设计阶段按照国家有关规定委托设计单位对安</w:t>
            </w:r>
            <w:r>
              <w:rPr>
                <w:spacing w:val="6"/>
              </w:rPr>
              <w:t xml:space="preserve"> </w:t>
            </w:r>
            <w:r>
              <w:rPr>
                <w:spacing w:val="-4"/>
              </w:rPr>
              <w:t>全设施进行设计。</w:t>
            </w:r>
          </w:p>
          <w:p w14:paraId="4F6046FC">
            <w:pPr>
              <w:pStyle w:val="8"/>
              <w:spacing w:before="8" w:line="227" w:lineRule="auto"/>
              <w:ind w:left="111" w:right="104" w:firstLine="363"/>
              <w:jc w:val="both"/>
            </w:pPr>
            <w:r>
              <w:t>安全设施设计应当符合有关安全生产和港口建设的法律、法规、规章以及国家标准、行业标准，并包</w:t>
            </w:r>
            <w:r>
              <w:rPr>
                <w:spacing w:val="2"/>
              </w:rPr>
              <w:t xml:space="preserve"> </w:t>
            </w:r>
            <w:r>
              <w:rPr>
                <w:spacing w:val="1"/>
              </w:rPr>
              <w:t>括以下主要内容</w:t>
            </w:r>
            <w:r>
              <w:rPr>
                <w:spacing w:val="-4"/>
              </w:rPr>
              <w:t>：（</w:t>
            </w:r>
            <w:r>
              <w:rPr>
                <w:spacing w:val="1"/>
              </w:rPr>
              <w:t>一）该建设项目涉及的危险、有害</w:t>
            </w:r>
            <w:r>
              <w:t>因素和程度及周边环境安全分析</w:t>
            </w:r>
            <w:r>
              <w:rPr>
                <w:spacing w:val="-4"/>
              </w:rPr>
              <w:t>；（</w:t>
            </w:r>
            <w:r>
              <w:t>二）采用的安 全设施和措施，预期效果以及存在的问题与建议</w:t>
            </w:r>
            <w:r>
              <w:rPr>
                <w:spacing w:val="3"/>
              </w:rPr>
              <w:t>；（</w:t>
            </w:r>
            <w:r>
              <w:t xml:space="preserve">三）对安全预评价报告中有关安全设施设计的对策与 </w:t>
            </w:r>
            <w:r>
              <w:rPr>
                <w:spacing w:val="-1"/>
              </w:rPr>
              <w:t>建议的采纳情况说明</w:t>
            </w:r>
            <w:r>
              <w:rPr>
                <w:spacing w:val="-2"/>
              </w:rPr>
              <w:t>；（</w:t>
            </w:r>
            <w:r>
              <w:rPr>
                <w:spacing w:val="-1"/>
              </w:rPr>
              <w:t>四）可能出现的事故预防及应急救援</w:t>
            </w:r>
            <w:r>
              <w:rPr>
                <w:spacing w:val="-2"/>
              </w:rPr>
              <w:t>措施。</w:t>
            </w:r>
          </w:p>
          <w:p w14:paraId="2C5F997C">
            <w:pPr>
              <w:pStyle w:val="8"/>
              <w:spacing w:before="15" w:line="222" w:lineRule="auto"/>
              <w:ind w:left="111" w:right="104" w:firstLine="359"/>
              <w:jc w:val="both"/>
            </w:pPr>
            <w:r>
              <w:t>第七十二条第（二）项  危险货物港口建设项目有下列行为之一的，由所在地港口行政管理部门责令</w:t>
            </w:r>
            <w:r>
              <w:rPr>
                <w:spacing w:val="6"/>
              </w:rPr>
              <w:t xml:space="preserve"> </w:t>
            </w:r>
            <w:r>
              <w:t>停止建设或者停产停业整顿，限期改正，并处十万元以上五十万元以下的罚款，对其直接负责的主管人员</w:t>
            </w:r>
            <w:r>
              <w:rPr>
                <w:spacing w:val="5"/>
              </w:rPr>
              <w:t xml:space="preserve"> </w:t>
            </w:r>
            <w:r>
              <w:t>和其他直接责任人员处二万元以上五万元以下的罚款；逾期未改正的，处五十万元以上一百万元以下的罚</w:t>
            </w:r>
            <w:r>
              <w:rPr>
                <w:spacing w:val="5"/>
              </w:rPr>
              <w:t xml:space="preserve"> </w:t>
            </w:r>
            <w:r>
              <w:t>款，对其直接负责的主管人员和其他直接责任人员处五万元以上十万元以下的罚款</w:t>
            </w:r>
            <w:r>
              <w:rPr>
                <w:spacing w:val="2"/>
              </w:rPr>
              <w:t>：（</w:t>
            </w:r>
            <w:r>
              <w:t>二）没有安全设施</w:t>
            </w:r>
            <w:r>
              <w:rPr>
                <w:spacing w:val="1"/>
              </w:rPr>
              <w:t xml:space="preserve"> </w:t>
            </w:r>
            <w:r>
              <w:rPr>
                <w:spacing w:val="-2"/>
              </w:rPr>
              <w:t>设计或者安全设施设计未按照规定报经港口行政管理部门审查同意的；</w:t>
            </w:r>
          </w:p>
        </w:tc>
        <w:tc>
          <w:tcPr>
            <w:tcW w:w="1010" w:type="dxa"/>
            <w:vAlign w:val="top"/>
          </w:tcPr>
          <w:p w14:paraId="2193E309">
            <w:pPr>
              <w:spacing w:line="243" w:lineRule="auto"/>
              <w:rPr>
                <w:rFonts w:ascii="Arial"/>
                <w:sz w:val="21"/>
              </w:rPr>
            </w:pPr>
          </w:p>
          <w:p w14:paraId="2926A9F5">
            <w:pPr>
              <w:spacing w:line="243" w:lineRule="auto"/>
              <w:rPr>
                <w:rFonts w:ascii="Arial"/>
                <w:sz w:val="21"/>
              </w:rPr>
            </w:pPr>
          </w:p>
          <w:p w14:paraId="37291E6A">
            <w:pPr>
              <w:spacing w:line="243" w:lineRule="auto"/>
              <w:rPr>
                <w:rFonts w:ascii="Arial"/>
                <w:sz w:val="21"/>
              </w:rPr>
            </w:pPr>
          </w:p>
          <w:p w14:paraId="5F7CF6EB">
            <w:pPr>
              <w:spacing w:line="243" w:lineRule="auto"/>
              <w:rPr>
                <w:rFonts w:ascii="Arial"/>
                <w:sz w:val="21"/>
              </w:rPr>
            </w:pPr>
          </w:p>
          <w:p w14:paraId="022A3342">
            <w:pPr>
              <w:spacing w:line="243" w:lineRule="auto"/>
              <w:rPr>
                <w:rFonts w:ascii="Arial"/>
                <w:sz w:val="21"/>
              </w:rPr>
            </w:pPr>
          </w:p>
          <w:p w14:paraId="77010ACE">
            <w:pPr>
              <w:spacing w:line="244" w:lineRule="auto"/>
              <w:rPr>
                <w:rFonts w:ascii="Arial"/>
                <w:sz w:val="21"/>
              </w:rPr>
            </w:pPr>
          </w:p>
          <w:p w14:paraId="17504116">
            <w:pPr>
              <w:spacing w:line="244" w:lineRule="auto"/>
              <w:rPr>
                <w:rFonts w:ascii="Arial"/>
                <w:sz w:val="21"/>
              </w:rPr>
            </w:pPr>
          </w:p>
          <w:p w14:paraId="3A48D8C5">
            <w:pPr>
              <w:spacing w:line="244" w:lineRule="auto"/>
              <w:rPr>
                <w:rFonts w:ascii="Arial"/>
                <w:sz w:val="21"/>
              </w:rPr>
            </w:pPr>
          </w:p>
          <w:p w14:paraId="7C50A880">
            <w:pPr>
              <w:spacing w:line="244" w:lineRule="auto"/>
              <w:rPr>
                <w:rFonts w:ascii="Arial"/>
                <w:sz w:val="21"/>
              </w:rPr>
            </w:pPr>
          </w:p>
          <w:p w14:paraId="3B58E277">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7ECF4DDA">
            <w:pPr>
              <w:pStyle w:val="8"/>
              <w:spacing w:before="59" w:line="234" w:lineRule="auto"/>
              <w:ind w:left="530" w:right="104" w:hanging="413"/>
              <w:rPr>
                <w:rFonts w:hint="eastAsia"/>
                <w:spacing w:val="-12"/>
                <w:lang w:eastAsia="zh-CN"/>
              </w:rPr>
            </w:pPr>
          </w:p>
          <w:p w14:paraId="66482374">
            <w:pPr>
              <w:pStyle w:val="8"/>
              <w:spacing w:before="59" w:line="234" w:lineRule="auto"/>
              <w:ind w:left="530" w:right="104" w:hanging="413"/>
              <w:rPr>
                <w:rFonts w:hint="eastAsia"/>
                <w:spacing w:val="-12"/>
                <w:lang w:eastAsia="zh-CN"/>
              </w:rPr>
            </w:pPr>
          </w:p>
          <w:p w14:paraId="0413D9CA">
            <w:pPr>
              <w:pStyle w:val="8"/>
              <w:spacing w:before="59" w:line="234" w:lineRule="auto"/>
              <w:ind w:left="530" w:right="104" w:hanging="413"/>
              <w:rPr>
                <w:rFonts w:hint="eastAsia"/>
                <w:spacing w:val="-12"/>
                <w:lang w:eastAsia="zh-CN"/>
              </w:rPr>
            </w:pPr>
          </w:p>
          <w:p w14:paraId="0D3BB4F4">
            <w:pPr>
              <w:pStyle w:val="8"/>
              <w:spacing w:before="59" w:line="234" w:lineRule="auto"/>
              <w:ind w:left="530" w:right="104" w:hanging="413"/>
              <w:rPr>
                <w:rFonts w:hint="eastAsia"/>
                <w:spacing w:val="-12"/>
                <w:lang w:eastAsia="zh-CN"/>
              </w:rPr>
            </w:pPr>
          </w:p>
          <w:p w14:paraId="2A3E7DEE">
            <w:pPr>
              <w:pStyle w:val="8"/>
              <w:spacing w:before="59" w:line="234" w:lineRule="auto"/>
              <w:ind w:left="530" w:right="104" w:hanging="413"/>
              <w:rPr>
                <w:rFonts w:hint="eastAsia"/>
                <w:spacing w:val="-12"/>
                <w:lang w:eastAsia="zh-CN"/>
              </w:rPr>
            </w:pPr>
          </w:p>
          <w:p w14:paraId="2CB53992">
            <w:pPr>
              <w:pStyle w:val="8"/>
              <w:spacing w:before="59" w:line="234" w:lineRule="auto"/>
              <w:ind w:left="530" w:right="104" w:hanging="413"/>
              <w:rPr>
                <w:rFonts w:hint="eastAsia"/>
                <w:spacing w:val="-12"/>
                <w:lang w:eastAsia="zh-CN"/>
              </w:rPr>
            </w:pPr>
          </w:p>
          <w:p w14:paraId="06453F10">
            <w:pPr>
              <w:pStyle w:val="8"/>
              <w:spacing w:before="59" w:line="234" w:lineRule="auto"/>
              <w:ind w:left="530" w:right="104" w:hanging="413"/>
              <w:rPr>
                <w:rFonts w:hint="eastAsia"/>
                <w:spacing w:val="-12"/>
                <w:lang w:eastAsia="zh-CN"/>
              </w:rPr>
            </w:pPr>
          </w:p>
          <w:p w14:paraId="38E59E04">
            <w:pPr>
              <w:pStyle w:val="8"/>
              <w:spacing w:before="59" w:line="234" w:lineRule="auto"/>
              <w:ind w:left="530" w:right="104" w:hanging="413"/>
              <w:rPr>
                <w:rFonts w:hint="eastAsia"/>
                <w:spacing w:val="-12"/>
                <w:lang w:eastAsia="zh-CN"/>
              </w:rPr>
            </w:pPr>
          </w:p>
          <w:p w14:paraId="24875C97">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3205011B">
            <w:pPr>
              <w:spacing w:line="259" w:lineRule="auto"/>
              <w:rPr>
                <w:rFonts w:ascii="Arial"/>
                <w:sz w:val="21"/>
              </w:rPr>
            </w:pPr>
          </w:p>
          <w:p w14:paraId="07F0EE8C">
            <w:pPr>
              <w:spacing w:line="259" w:lineRule="auto"/>
              <w:rPr>
                <w:rFonts w:ascii="Arial"/>
                <w:sz w:val="21"/>
              </w:rPr>
            </w:pPr>
          </w:p>
          <w:p w14:paraId="7BEED679">
            <w:pPr>
              <w:spacing w:line="259" w:lineRule="auto"/>
              <w:rPr>
                <w:rFonts w:ascii="Arial"/>
                <w:sz w:val="21"/>
              </w:rPr>
            </w:pPr>
          </w:p>
          <w:p w14:paraId="07FE2B89">
            <w:pPr>
              <w:spacing w:line="259" w:lineRule="auto"/>
              <w:rPr>
                <w:rFonts w:ascii="Arial"/>
                <w:sz w:val="21"/>
              </w:rPr>
            </w:pPr>
          </w:p>
          <w:p w14:paraId="10D75522">
            <w:pPr>
              <w:spacing w:line="259" w:lineRule="auto"/>
              <w:rPr>
                <w:rFonts w:ascii="Arial"/>
                <w:sz w:val="21"/>
              </w:rPr>
            </w:pPr>
          </w:p>
          <w:p w14:paraId="32585BFA">
            <w:pPr>
              <w:spacing w:line="259" w:lineRule="auto"/>
              <w:rPr>
                <w:rFonts w:ascii="Arial"/>
                <w:sz w:val="21"/>
              </w:rPr>
            </w:pPr>
          </w:p>
          <w:p w14:paraId="1D7CE4E2">
            <w:pPr>
              <w:spacing w:line="259" w:lineRule="auto"/>
              <w:rPr>
                <w:rFonts w:ascii="Arial"/>
                <w:sz w:val="21"/>
              </w:rPr>
            </w:pPr>
          </w:p>
          <w:p w14:paraId="5834E5FE">
            <w:pPr>
              <w:spacing w:line="259" w:lineRule="auto"/>
              <w:rPr>
                <w:rFonts w:ascii="Arial"/>
                <w:sz w:val="21"/>
              </w:rPr>
            </w:pPr>
          </w:p>
          <w:p w14:paraId="6623ABA2">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215FD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6" w:hRule="atLeast"/>
        </w:trPr>
        <w:tc>
          <w:tcPr>
            <w:tcW w:w="622" w:type="dxa"/>
            <w:vAlign w:val="top"/>
          </w:tcPr>
          <w:p w14:paraId="57CD68F6">
            <w:pPr>
              <w:spacing w:line="260" w:lineRule="auto"/>
              <w:rPr>
                <w:rFonts w:ascii="Arial"/>
                <w:sz w:val="21"/>
              </w:rPr>
            </w:pPr>
          </w:p>
          <w:p w14:paraId="1326463B">
            <w:pPr>
              <w:spacing w:line="261" w:lineRule="auto"/>
              <w:rPr>
                <w:rFonts w:ascii="Arial"/>
                <w:sz w:val="21"/>
              </w:rPr>
            </w:pPr>
          </w:p>
          <w:p w14:paraId="54EDA42D">
            <w:pPr>
              <w:spacing w:line="261" w:lineRule="auto"/>
              <w:rPr>
                <w:rFonts w:ascii="Arial"/>
                <w:sz w:val="21"/>
              </w:rPr>
            </w:pPr>
          </w:p>
          <w:p w14:paraId="157B64DA">
            <w:pPr>
              <w:spacing w:line="261" w:lineRule="auto"/>
              <w:rPr>
                <w:rFonts w:ascii="Arial"/>
                <w:sz w:val="21"/>
              </w:rPr>
            </w:pPr>
          </w:p>
          <w:p w14:paraId="74393DD9">
            <w:pPr>
              <w:spacing w:line="261" w:lineRule="auto"/>
              <w:rPr>
                <w:rFonts w:ascii="Arial"/>
                <w:sz w:val="21"/>
              </w:rPr>
            </w:pPr>
          </w:p>
          <w:p w14:paraId="01F40270">
            <w:pPr>
              <w:spacing w:line="261" w:lineRule="auto"/>
              <w:rPr>
                <w:rFonts w:ascii="Arial"/>
                <w:sz w:val="21"/>
              </w:rPr>
            </w:pPr>
          </w:p>
          <w:p w14:paraId="535BA39A">
            <w:pPr>
              <w:spacing w:line="261" w:lineRule="auto"/>
              <w:rPr>
                <w:rFonts w:ascii="Arial"/>
                <w:sz w:val="21"/>
              </w:rPr>
            </w:pPr>
          </w:p>
          <w:p w14:paraId="21ADF631">
            <w:pPr>
              <w:pStyle w:val="8"/>
              <w:spacing w:before="59" w:line="184" w:lineRule="auto"/>
              <w:ind w:left="239"/>
            </w:pPr>
            <w:r>
              <w:rPr>
                <w:spacing w:val="-10"/>
              </w:rPr>
              <w:t>19</w:t>
            </w:r>
          </w:p>
        </w:tc>
        <w:tc>
          <w:tcPr>
            <w:tcW w:w="1100" w:type="dxa"/>
            <w:vAlign w:val="top"/>
          </w:tcPr>
          <w:p w14:paraId="20B2E970">
            <w:pPr>
              <w:spacing w:line="272" w:lineRule="auto"/>
              <w:rPr>
                <w:rFonts w:ascii="Arial"/>
                <w:sz w:val="21"/>
              </w:rPr>
            </w:pPr>
          </w:p>
          <w:p w14:paraId="066F7987">
            <w:pPr>
              <w:spacing w:line="272" w:lineRule="auto"/>
              <w:rPr>
                <w:rFonts w:ascii="Arial"/>
                <w:sz w:val="21"/>
              </w:rPr>
            </w:pPr>
          </w:p>
          <w:p w14:paraId="655D3844">
            <w:pPr>
              <w:spacing w:line="273" w:lineRule="auto"/>
              <w:rPr>
                <w:rFonts w:ascii="Arial"/>
                <w:sz w:val="21"/>
              </w:rPr>
            </w:pPr>
          </w:p>
          <w:p w14:paraId="60428D88">
            <w:pPr>
              <w:spacing w:line="273" w:lineRule="auto"/>
              <w:rPr>
                <w:rFonts w:ascii="Arial"/>
                <w:sz w:val="21"/>
              </w:rPr>
            </w:pPr>
          </w:p>
          <w:p w14:paraId="57F95F4B">
            <w:pPr>
              <w:pStyle w:val="8"/>
              <w:spacing w:before="59" w:line="243" w:lineRule="auto"/>
              <w:ind w:left="59" w:right="55"/>
              <w:jc w:val="both"/>
            </w:pPr>
            <w:r>
              <w:rPr>
                <w:spacing w:val="16"/>
              </w:rPr>
              <w:t>对危险货物</w:t>
            </w:r>
            <w:r>
              <w:t xml:space="preserve"> </w:t>
            </w:r>
            <w:r>
              <w:rPr>
                <w:spacing w:val="16"/>
              </w:rPr>
              <w:t>港口建设项</w:t>
            </w:r>
            <w:r>
              <w:t xml:space="preserve"> </w:t>
            </w:r>
            <w:r>
              <w:rPr>
                <w:spacing w:val="16"/>
              </w:rPr>
              <w:t>目未按照批</w:t>
            </w:r>
            <w:r>
              <w:t xml:space="preserve"> </w:t>
            </w:r>
            <w:r>
              <w:rPr>
                <w:spacing w:val="16"/>
              </w:rPr>
              <w:t>准的安全设</w:t>
            </w:r>
            <w:r>
              <w:t xml:space="preserve"> </w:t>
            </w:r>
            <w:r>
              <w:rPr>
                <w:spacing w:val="16"/>
              </w:rPr>
              <w:t>施设计施工</w:t>
            </w:r>
            <w:r>
              <w:t xml:space="preserve"> </w:t>
            </w:r>
            <w:r>
              <w:rPr>
                <w:spacing w:val="16"/>
              </w:rPr>
              <w:t>行为的行政</w:t>
            </w:r>
            <w:r>
              <w:t xml:space="preserve"> </w:t>
            </w:r>
            <w:r>
              <w:rPr>
                <w:spacing w:val="-2"/>
              </w:rPr>
              <w:t>处罚</w:t>
            </w:r>
          </w:p>
        </w:tc>
        <w:tc>
          <w:tcPr>
            <w:tcW w:w="1100" w:type="dxa"/>
            <w:vAlign w:val="top"/>
          </w:tcPr>
          <w:p w14:paraId="442E2AD6">
            <w:pPr>
              <w:spacing w:line="257" w:lineRule="auto"/>
              <w:rPr>
                <w:rFonts w:ascii="Arial"/>
                <w:sz w:val="21"/>
              </w:rPr>
            </w:pPr>
          </w:p>
          <w:p w14:paraId="4DD5578B">
            <w:pPr>
              <w:spacing w:line="257" w:lineRule="auto"/>
              <w:rPr>
                <w:rFonts w:ascii="Arial"/>
                <w:sz w:val="21"/>
              </w:rPr>
            </w:pPr>
          </w:p>
          <w:p w14:paraId="39496596">
            <w:pPr>
              <w:spacing w:line="257" w:lineRule="auto"/>
              <w:rPr>
                <w:rFonts w:ascii="Arial"/>
                <w:sz w:val="21"/>
              </w:rPr>
            </w:pPr>
          </w:p>
          <w:p w14:paraId="42A4739D">
            <w:pPr>
              <w:spacing w:line="257" w:lineRule="auto"/>
              <w:rPr>
                <w:rFonts w:ascii="Arial"/>
                <w:sz w:val="21"/>
              </w:rPr>
            </w:pPr>
          </w:p>
          <w:p w14:paraId="69D0B541">
            <w:pPr>
              <w:spacing w:line="257" w:lineRule="auto"/>
              <w:rPr>
                <w:rFonts w:ascii="Arial"/>
                <w:sz w:val="21"/>
              </w:rPr>
            </w:pPr>
          </w:p>
          <w:p w14:paraId="347B2641">
            <w:pPr>
              <w:spacing w:line="257" w:lineRule="auto"/>
              <w:rPr>
                <w:rFonts w:ascii="Arial"/>
                <w:sz w:val="21"/>
              </w:rPr>
            </w:pPr>
          </w:p>
          <w:p w14:paraId="2FC451C2">
            <w:pPr>
              <w:spacing w:line="257" w:lineRule="auto"/>
              <w:rPr>
                <w:rFonts w:ascii="Arial"/>
                <w:sz w:val="21"/>
              </w:rPr>
            </w:pPr>
          </w:p>
          <w:p w14:paraId="7D56148D">
            <w:pPr>
              <w:pStyle w:val="8"/>
              <w:spacing w:before="59" w:line="220" w:lineRule="auto"/>
              <w:ind w:left="112"/>
            </w:pPr>
            <w:r>
              <w:rPr>
                <w:spacing w:val="-2"/>
              </w:rPr>
              <w:t>行政处罚</w:t>
            </w:r>
          </w:p>
        </w:tc>
        <w:tc>
          <w:tcPr>
            <w:tcW w:w="8508" w:type="dxa"/>
            <w:vAlign w:val="top"/>
          </w:tcPr>
          <w:p w14:paraId="28A323B2">
            <w:pPr>
              <w:pStyle w:val="8"/>
              <w:spacing w:before="81" w:line="219" w:lineRule="auto"/>
              <w:ind w:left="484"/>
            </w:pPr>
            <w:r>
              <w:rPr>
                <w:b/>
                <w:bCs/>
                <w:spacing w:val="-4"/>
              </w:rPr>
              <w:t>1.《中华人民共和国安全生产法》</w:t>
            </w:r>
          </w:p>
          <w:p w14:paraId="40ECD24B">
            <w:pPr>
              <w:pStyle w:val="8"/>
              <w:spacing w:before="9" w:line="224" w:lineRule="auto"/>
              <w:ind w:left="112" w:right="104" w:firstLine="358"/>
            </w:pPr>
            <w:r>
              <w:t>第三十四条  矿山、金属冶炼建设项目和用于生产、储存、装卸危险物品的建设项目的施工单位必须</w:t>
            </w:r>
            <w:r>
              <w:rPr>
                <w:spacing w:val="6"/>
              </w:rPr>
              <w:t xml:space="preserve"> </w:t>
            </w:r>
            <w:r>
              <w:rPr>
                <w:spacing w:val="-1"/>
              </w:rPr>
              <w:t>按照批准的安全设施设计施工，并对安全设施的</w:t>
            </w:r>
            <w:r>
              <w:rPr>
                <w:spacing w:val="-2"/>
              </w:rPr>
              <w:t>工程质量负责。</w:t>
            </w:r>
          </w:p>
          <w:p w14:paraId="1FC0FCCE">
            <w:pPr>
              <w:pStyle w:val="8"/>
              <w:spacing w:before="12" w:line="228" w:lineRule="auto"/>
              <w:ind w:left="110" w:right="44" w:firstLine="360"/>
            </w:pPr>
            <w:r>
              <w:t>第九十八条第（三）项  生产经营单位有下列行为之一的，责令停止建设或者停产停业整顿，限期改</w:t>
            </w:r>
            <w:r>
              <w:rPr>
                <w:spacing w:val="6"/>
              </w:rPr>
              <w:t xml:space="preserve"> </w:t>
            </w:r>
            <w:r>
              <w:t>正，并处十万元以上五十万元以下的罚款，对其直接负责的主管人员和其他直接责任人员处二万元以上五</w:t>
            </w:r>
            <w:r>
              <w:rPr>
                <w:spacing w:val="7"/>
              </w:rPr>
              <w:t xml:space="preserve"> </w:t>
            </w:r>
            <w:r>
              <w:t>万元以下的罚款；逾期未改正的，处五十万元以上一百万元以下的罚款，对其直接负责的主管人员和其他</w:t>
            </w:r>
            <w:r>
              <w:rPr>
                <w:spacing w:val="7"/>
              </w:rPr>
              <w:t xml:space="preserve"> </w:t>
            </w:r>
            <w:r>
              <w:rPr>
                <w:spacing w:val="-4"/>
              </w:rPr>
              <w:t>直接责任人员处五万元以上十万元以下的罚款；构成犯罪的，依照刑法有关规定追究</w:t>
            </w:r>
            <w:r>
              <w:rPr>
                <w:spacing w:val="-5"/>
              </w:rPr>
              <w:t>刑事责任:（三）矿山、</w:t>
            </w:r>
            <w:r>
              <w:t xml:space="preserve"> 金属冶炼建设项目或者用于生产、储存、装卸危险物品的建设项目的施工单位未按照批准的安全设施设计</w:t>
            </w:r>
            <w:r>
              <w:rPr>
                <w:spacing w:val="7"/>
              </w:rPr>
              <w:t xml:space="preserve"> </w:t>
            </w:r>
            <w:r>
              <w:rPr>
                <w:spacing w:val="-10"/>
              </w:rPr>
              <w:t>施工的；</w:t>
            </w:r>
          </w:p>
          <w:p w14:paraId="7663E495">
            <w:pPr>
              <w:pStyle w:val="8"/>
              <w:spacing w:before="9"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3E693E6C">
            <w:pPr>
              <w:pStyle w:val="8"/>
              <w:spacing w:before="10" w:line="224" w:lineRule="auto"/>
              <w:ind w:left="133" w:right="104" w:firstLine="338"/>
            </w:pPr>
            <w:r>
              <w:t>第十七条  危险货物港口建设项目的建设单位应当在施工期间组织落实经批准的安全设施设计的有关</w:t>
            </w:r>
            <w:r>
              <w:rPr>
                <w:spacing w:val="6"/>
              </w:rPr>
              <w:t xml:space="preserve"> </w:t>
            </w:r>
            <w:r>
              <w:rPr>
                <w:spacing w:val="-1"/>
              </w:rPr>
              <w:t>内容，并加强对施工质量的监测和管理，建立相应的台账。施工单</w:t>
            </w:r>
            <w:r>
              <w:rPr>
                <w:spacing w:val="-2"/>
              </w:rPr>
              <w:t>位应当按照批准的设计施工。</w:t>
            </w:r>
          </w:p>
          <w:p w14:paraId="0F9862CC">
            <w:pPr>
              <w:pStyle w:val="8"/>
              <w:spacing w:before="10" w:line="228" w:lineRule="auto"/>
              <w:ind w:left="111" w:right="104" w:firstLine="359"/>
            </w:pPr>
            <w:r>
              <w:t>第七十二条第（三）项  危险货物港口建设项目有下列行为之一的，由所在地港口行政管理部门责令</w:t>
            </w:r>
            <w:r>
              <w:rPr>
                <w:spacing w:val="6"/>
              </w:rPr>
              <w:t xml:space="preserve"> </w:t>
            </w:r>
            <w:r>
              <w:t>停止建设或者停产停业整顿，限期改正，并处十万元以上五十万元以下的罚款，对其直接负责的主管人员</w:t>
            </w:r>
            <w:r>
              <w:rPr>
                <w:spacing w:val="5"/>
              </w:rPr>
              <w:t xml:space="preserve"> </w:t>
            </w:r>
            <w:r>
              <w:t>和其他直接责任人员处二万元以上五万元以下的罚款；逾期未改正的，处五十万元以上一百万元以下的罚</w:t>
            </w:r>
            <w:r>
              <w:rPr>
                <w:spacing w:val="5"/>
              </w:rPr>
              <w:t xml:space="preserve"> </w:t>
            </w:r>
            <w:r>
              <w:t>款，对其直接负责的主管人员和其他直接责任人员处五万元以上十万元以下的罚款</w:t>
            </w:r>
            <w:r>
              <w:rPr>
                <w:spacing w:val="2"/>
              </w:rPr>
              <w:t>：（</w:t>
            </w:r>
            <w:r>
              <w:t>三）施工单位未按</w:t>
            </w:r>
            <w:r>
              <w:rPr>
                <w:spacing w:val="1"/>
              </w:rPr>
              <w:t xml:space="preserve"> </w:t>
            </w:r>
            <w:r>
              <w:rPr>
                <w:spacing w:val="-4"/>
              </w:rPr>
              <w:t>照批准的安全设施设计施工的；</w:t>
            </w:r>
          </w:p>
        </w:tc>
        <w:tc>
          <w:tcPr>
            <w:tcW w:w="1010" w:type="dxa"/>
            <w:vAlign w:val="top"/>
          </w:tcPr>
          <w:p w14:paraId="4DDA9E7A">
            <w:pPr>
              <w:spacing w:line="241" w:lineRule="auto"/>
              <w:rPr>
                <w:rFonts w:ascii="Arial"/>
                <w:sz w:val="21"/>
              </w:rPr>
            </w:pPr>
          </w:p>
          <w:p w14:paraId="1CFF1D9A">
            <w:pPr>
              <w:spacing w:line="241" w:lineRule="auto"/>
              <w:rPr>
                <w:rFonts w:ascii="Arial"/>
                <w:sz w:val="21"/>
              </w:rPr>
            </w:pPr>
          </w:p>
          <w:p w14:paraId="3DF620E2">
            <w:pPr>
              <w:spacing w:line="241" w:lineRule="auto"/>
              <w:rPr>
                <w:rFonts w:ascii="Arial"/>
                <w:sz w:val="21"/>
              </w:rPr>
            </w:pPr>
          </w:p>
          <w:p w14:paraId="78BF94C3">
            <w:pPr>
              <w:spacing w:line="241" w:lineRule="auto"/>
              <w:rPr>
                <w:rFonts w:ascii="Arial"/>
                <w:sz w:val="21"/>
              </w:rPr>
            </w:pPr>
          </w:p>
          <w:p w14:paraId="02EF08B3">
            <w:pPr>
              <w:spacing w:line="241" w:lineRule="auto"/>
              <w:rPr>
                <w:rFonts w:ascii="Arial"/>
                <w:sz w:val="21"/>
              </w:rPr>
            </w:pPr>
          </w:p>
          <w:p w14:paraId="13CD4BED">
            <w:pPr>
              <w:spacing w:line="241" w:lineRule="auto"/>
              <w:rPr>
                <w:rFonts w:ascii="Arial"/>
                <w:sz w:val="21"/>
              </w:rPr>
            </w:pPr>
          </w:p>
          <w:p w14:paraId="37A577DE">
            <w:pPr>
              <w:spacing w:line="241" w:lineRule="auto"/>
              <w:rPr>
                <w:rFonts w:ascii="Arial"/>
                <w:sz w:val="21"/>
              </w:rPr>
            </w:pPr>
          </w:p>
          <w:p w14:paraId="2FFCCFBA">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66D60CEA">
            <w:pPr>
              <w:pStyle w:val="8"/>
              <w:spacing w:before="59" w:line="234" w:lineRule="auto"/>
              <w:ind w:left="530" w:right="104" w:hanging="413"/>
              <w:rPr>
                <w:rFonts w:hint="eastAsia"/>
                <w:spacing w:val="-12"/>
                <w:lang w:eastAsia="zh-CN"/>
              </w:rPr>
            </w:pPr>
          </w:p>
          <w:p w14:paraId="62FC549C">
            <w:pPr>
              <w:pStyle w:val="8"/>
              <w:spacing w:before="59" w:line="234" w:lineRule="auto"/>
              <w:ind w:left="530" w:right="104" w:hanging="413"/>
              <w:rPr>
                <w:rFonts w:hint="eastAsia"/>
                <w:spacing w:val="-12"/>
                <w:lang w:eastAsia="zh-CN"/>
              </w:rPr>
            </w:pPr>
          </w:p>
          <w:p w14:paraId="49E858CF">
            <w:pPr>
              <w:pStyle w:val="8"/>
              <w:spacing w:before="59" w:line="234" w:lineRule="auto"/>
              <w:ind w:left="530" w:right="104" w:hanging="413"/>
              <w:rPr>
                <w:rFonts w:hint="eastAsia"/>
                <w:spacing w:val="-12"/>
                <w:lang w:eastAsia="zh-CN"/>
              </w:rPr>
            </w:pPr>
          </w:p>
          <w:p w14:paraId="2B424B90">
            <w:pPr>
              <w:pStyle w:val="8"/>
              <w:spacing w:before="59" w:line="234" w:lineRule="auto"/>
              <w:ind w:left="530" w:right="104" w:hanging="413"/>
              <w:rPr>
                <w:rFonts w:hint="eastAsia"/>
                <w:spacing w:val="-12"/>
                <w:lang w:eastAsia="zh-CN"/>
              </w:rPr>
            </w:pPr>
          </w:p>
          <w:p w14:paraId="04AAEEA1">
            <w:pPr>
              <w:pStyle w:val="8"/>
              <w:spacing w:before="59" w:line="234" w:lineRule="auto"/>
              <w:ind w:left="530" w:right="104" w:hanging="413"/>
              <w:rPr>
                <w:rFonts w:hint="eastAsia"/>
                <w:spacing w:val="-12"/>
                <w:lang w:eastAsia="zh-CN"/>
              </w:rPr>
            </w:pPr>
          </w:p>
          <w:p w14:paraId="4A7B9F23">
            <w:pPr>
              <w:pStyle w:val="8"/>
              <w:spacing w:before="59" w:line="234" w:lineRule="auto"/>
              <w:ind w:left="530" w:right="104" w:hanging="413"/>
              <w:rPr>
                <w:rFonts w:hint="eastAsia"/>
                <w:spacing w:val="-12"/>
                <w:lang w:eastAsia="zh-CN"/>
              </w:rPr>
            </w:pPr>
          </w:p>
          <w:p w14:paraId="7F6F8666">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3AD57A12">
            <w:pPr>
              <w:spacing w:line="261" w:lineRule="auto"/>
              <w:rPr>
                <w:rFonts w:ascii="Arial"/>
                <w:sz w:val="21"/>
              </w:rPr>
            </w:pPr>
          </w:p>
          <w:p w14:paraId="1D04E85A">
            <w:pPr>
              <w:spacing w:line="261" w:lineRule="auto"/>
              <w:rPr>
                <w:rFonts w:ascii="Arial"/>
                <w:sz w:val="21"/>
              </w:rPr>
            </w:pPr>
          </w:p>
          <w:p w14:paraId="5F8CD2CA">
            <w:pPr>
              <w:spacing w:line="261" w:lineRule="auto"/>
              <w:rPr>
                <w:rFonts w:ascii="Arial"/>
                <w:sz w:val="21"/>
              </w:rPr>
            </w:pPr>
          </w:p>
          <w:p w14:paraId="3B595C9A">
            <w:pPr>
              <w:spacing w:line="261" w:lineRule="auto"/>
              <w:rPr>
                <w:rFonts w:ascii="Arial"/>
                <w:sz w:val="21"/>
              </w:rPr>
            </w:pPr>
          </w:p>
          <w:p w14:paraId="11E26781">
            <w:pPr>
              <w:spacing w:line="262" w:lineRule="auto"/>
              <w:rPr>
                <w:rFonts w:ascii="Arial"/>
                <w:sz w:val="21"/>
              </w:rPr>
            </w:pPr>
          </w:p>
          <w:p w14:paraId="109B7017">
            <w:pPr>
              <w:spacing w:line="262" w:lineRule="auto"/>
              <w:rPr>
                <w:rFonts w:ascii="Arial"/>
                <w:sz w:val="21"/>
              </w:rPr>
            </w:pPr>
          </w:p>
          <w:p w14:paraId="0C9C0B70">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74236A74">
      <w:pPr>
        <w:pStyle w:val="2"/>
        <w:spacing w:line="229" w:lineRule="exact"/>
        <w:rPr>
          <w:sz w:val="19"/>
        </w:rPr>
      </w:pPr>
    </w:p>
    <w:p w14:paraId="1D6EDDD8">
      <w:pPr>
        <w:spacing w:line="229" w:lineRule="exact"/>
        <w:rPr>
          <w:sz w:val="19"/>
          <w:szCs w:val="19"/>
        </w:rPr>
        <w:sectPr>
          <w:footerReference r:id="rId136" w:type="default"/>
          <w:pgSz w:w="16839" w:h="11906"/>
          <w:pgMar w:top="1012" w:right="1034" w:bottom="967" w:left="1043" w:header="0" w:footer="768" w:gutter="0"/>
          <w:cols w:space="720" w:num="1"/>
        </w:sectPr>
      </w:pPr>
    </w:p>
    <w:p w14:paraId="0305C28B">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8A60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01DD4962">
            <w:pPr>
              <w:pStyle w:val="8"/>
              <w:spacing w:before="259" w:line="221" w:lineRule="auto"/>
              <w:ind w:left="134"/>
            </w:pPr>
            <w:r>
              <w:rPr>
                <w:b/>
                <w:bCs/>
                <w:spacing w:val="-4"/>
              </w:rPr>
              <w:t>序号</w:t>
            </w:r>
          </w:p>
        </w:tc>
        <w:tc>
          <w:tcPr>
            <w:tcW w:w="1100" w:type="dxa"/>
            <w:vMerge w:val="restart"/>
            <w:tcBorders>
              <w:bottom w:val="nil"/>
            </w:tcBorders>
            <w:vAlign w:val="top"/>
          </w:tcPr>
          <w:p w14:paraId="2E1930F1">
            <w:pPr>
              <w:pStyle w:val="8"/>
              <w:spacing w:before="260" w:line="220" w:lineRule="auto"/>
              <w:ind w:left="189"/>
            </w:pPr>
            <w:r>
              <w:rPr>
                <w:b/>
                <w:bCs/>
                <w:spacing w:val="-4"/>
              </w:rPr>
              <w:t>事项名称</w:t>
            </w:r>
          </w:p>
        </w:tc>
        <w:tc>
          <w:tcPr>
            <w:tcW w:w="1100" w:type="dxa"/>
            <w:vMerge w:val="restart"/>
            <w:tcBorders>
              <w:bottom w:val="nil"/>
            </w:tcBorders>
            <w:vAlign w:val="top"/>
          </w:tcPr>
          <w:p w14:paraId="66A42FF2">
            <w:pPr>
              <w:pStyle w:val="8"/>
              <w:spacing w:before="260" w:line="219" w:lineRule="auto"/>
              <w:ind w:left="191"/>
            </w:pPr>
            <w:r>
              <w:rPr>
                <w:b/>
                <w:bCs/>
                <w:spacing w:val="-4"/>
              </w:rPr>
              <w:t>职权类型</w:t>
            </w:r>
          </w:p>
        </w:tc>
        <w:tc>
          <w:tcPr>
            <w:tcW w:w="8508" w:type="dxa"/>
            <w:vMerge w:val="restart"/>
            <w:tcBorders>
              <w:bottom w:val="nil"/>
            </w:tcBorders>
            <w:vAlign w:val="top"/>
          </w:tcPr>
          <w:p w14:paraId="1BF88201">
            <w:pPr>
              <w:pStyle w:val="8"/>
              <w:spacing w:before="259" w:line="219" w:lineRule="auto"/>
              <w:ind w:left="3900"/>
            </w:pPr>
            <w:r>
              <w:rPr>
                <w:b/>
                <w:bCs/>
                <w:spacing w:val="-5"/>
              </w:rPr>
              <w:t>实施依据</w:t>
            </w:r>
          </w:p>
        </w:tc>
        <w:tc>
          <w:tcPr>
            <w:tcW w:w="3425" w:type="dxa"/>
            <w:gridSpan w:val="3"/>
            <w:vAlign w:val="top"/>
          </w:tcPr>
          <w:p w14:paraId="70E86B3D">
            <w:pPr>
              <w:pStyle w:val="8"/>
              <w:spacing w:before="85" w:line="220" w:lineRule="auto"/>
              <w:ind w:left="1358"/>
            </w:pPr>
            <w:r>
              <w:rPr>
                <w:b/>
                <w:bCs/>
                <w:spacing w:val="-5"/>
              </w:rPr>
              <w:t>实施主体</w:t>
            </w:r>
          </w:p>
        </w:tc>
      </w:tr>
      <w:tr w14:paraId="56445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5177B8BB">
            <w:pPr>
              <w:rPr>
                <w:rFonts w:ascii="Arial"/>
                <w:sz w:val="21"/>
              </w:rPr>
            </w:pPr>
          </w:p>
        </w:tc>
        <w:tc>
          <w:tcPr>
            <w:tcW w:w="1100" w:type="dxa"/>
            <w:vMerge w:val="continue"/>
            <w:tcBorders>
              <w:top w:val="nil"/>
            </w:tcBorders>
            <w:vAlign w:val="top"/>
          </w:tcPr>
          <w:p w14:paraId="601B6AF3">
            <w:pPr>
              <w:rPr>
                <w:rFonts w:ascii="Arial"/>
                <w:sz w:val="21"/>
              </w:rPr>
            </w:pPr>
          </w:p>
        </w:tc>
        <w:tc>
          <w:tcPr>
            <w:tcW w:w="1100" w:type="dxa"/>
            <w:vMerge w:val="continue"/>
            <w:tcBorders>
              <w:top w:val="nil"/>
            </w:tcBorders>
            <w:vAlign w:val="top"/>
          </w:tcPr>
          <w:p w14:paraId="06DCF5EF">
            <w:pPr>
              <w:rPr>
                <w:rFonts w:ascii="Arial"/>
                <w:sz w:val="21"/>
              </w:rPr>
            </w:pPr>
          </w:p>
        </w:tc>
        <w:tc>
          <w:tcPr>
            <w:tcW w:w="8508" w:type="dxa"/>
            <w:vMerge w:val="continue"/>
            <w:tcBorders>
              <w:top w:val="nil"/>
            </w:tcBorders>
            <w:vAlign w:val="top"/>
          </w:tcPr>
          <w:p w14:paraId="0392E9DA">
            <w:pPr>
              <w:rPr>
                <w:rFonts w:ascii="Arial"/>
                <w:sz w:val="21"/>
              </w:rPr>
            </w:pPr>
          </w:p>
        </w:tc>
        <w:tc>
          <w:tcPr>
            <w:tcW w:w="1010" w:type="dxa"/>
            <w:vAlign w:val="top"/>
          </w:tcPr>
          <w:p w14:paraId="0B86DF8A">
            <w:pPr>
              <w:pStyle w:val="8"/>
              <w:spacing w:before="81" w:line="219" w:lineRule="auto"/>
              <w:ind w:left="155"/>
            </w:pPr>
            <w:r>
              <w:rPr>
                <w:b/>
                <w:bCs/>
                <w:spacing w:val="-5"/>
              </w:rPr>
              <w:t>责任部门</w:t>
            </w:r>
          </w:p>
        </w:tc>
        <w:tc>
          <w:tcPr>
            <w:tcW w:w="1401" w:type="dxa"/>
            <w:vAlign w:val="top"/>
          </w:tcPr>
          <w:p w14:paraId="2A039F88">
            <w:pPr>
              <w:pStyle w:val="8"/>
              <w:spacing w:before="81" w:line="219" w:lineRule="auto"/>
              <w:ind w:left="164"/>
            </w:pPr>
            <w:r>
              <w:rPr>
                <w:b/>
                <w:bCs/>
                <w:spacing w:val="-3"/>
              </w:rPr>
              <w:t>第一责任层级</w:t>
            </w:r>
          </w:p>
        </w:tc>
        <w:tc>
          <w:tcPr>
            <w:tcW w:w="1014" w:type="dxa"/>
            <w:vAlign w:val="top"/>
          </w:tcPr>
          <w:p w14:paraId="3AEF650B">
            <w:pPr>
              <w:pStyle w:val="8"/>
              <w:spacing w:before="81" w:line="219" w:lineRule="auto"/>
              <w:ind w:left="150"/>
            </w:pPr>
            <w:r>
              <w:rPr>
                <w:b/>
                <w:bCs/>
                <w:spacing w:val="-4"/>
              </w:rPr>
              <w:t>承办机构</w:t>
            </w:r>
          </w:p>
        </w:tc>
      </w:tr>
      <w:tr w14:paraId="7E453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6" w:hRule="atLeast"/>
        </w:trPr>
        <w:tc>
          <w:tcPr>
            <w:tcW w:w="622" w:type="dxa"/>
            <w:vAlign w:val="top"/>
          </w:tcPr>
          <w:p w14:paraId="1CBB6F66">
            <w:pPr>
              <w:spacing w:line="259" w:lineRule="auto"/>
              <w:rPr>
                <w:rFonts w:ascii="Arial"/>
                <w:sz w:val="21"/>
              </w:rPr>
            </w:pPr>
          </w:p>
          <w:p w14:paraId="4C0EE0D5">
            <w:pPr>
              <w:spacing w:line="259" w:lineRule="auto"/>
              <w:rPr>
                <w:rFonts w:ascii="Arial"/>
                <w:sz w:val="21"/>
              </w:rPr>
            </w:pPr>
          </w:p>
          <w:p w14:paraId="57C778A5">
            <w:pPr>
              <w:spacing w:line="260" w:lineRule="auto"/>
              <w:rPr>
                <w:rFonts w:ascii="Arial"/>
                <w:sz w:val="21"/>
              </w:rPr>
            </w:pPr>
          </w:p>
          <w:p w14:paraId="242CF6A6">
            <w:pPr>
              <w:spacing w:line="260" w:lineRule="auto"/>
              <w:rPr>
                <w:rFonts w:ascii="Arial"/>
                <w:sz w:val="21"/>
              </w:rPr>
            </w:pPr>
          </w:p>
          <w:p w14:paraId="6CED1421">
            <w:pPr>
              <w:spacing w:line="260" w:lineRule="auto"/>
              <w:rPr>
                <w:rFonts w:ascii="Arial"/>
                <w:sz w:val="21"/>
              </w:rPr>
            </w:pPr>
          </w:p>
          <w:p w14:paraId="29B392DF">
            <w:pPr>
              <w:spacing w:line="260" w:lineRule="auto"/>
              <w:rPr>
                <w:rFonts w:ascii="Arial"/>
                <w:sz w:val="21"/>
              </w:rPr>
            </w:pPr>
          </w:p>
          <w:p w14:paraId="7BA7174F">
            <w:pPr>
              <w:spacing w:line="260" w:lineRule="auto"/>
              <w:rPr>
                <w:rFonts w:ascii="Arial"/>
                <w:sz w:val="21"/>
              </w:rPr>
            </w:pPr>
          </w:p>
          <w:p w14:paraId="13643DC7">
            <w:pPr>
              <w:spacing w:line="260" w:lineRule="auto"/>
              <w:rPr>
                <w:rFonts w:ascii="Arial"/>
                <w:sz w:val="21"/>
              </w:rPr>
            </w:pPr>
          </w:p>
          <w:p w14:paraId="472623A8">
            <w:pPr>
              <w:spacing w:line="260" w:lineRule="auto"/>
              <w:rPr>
                <w:rFonts w:ascii="Arial"/>
                <w:sz w:val="21"/>
              </w:rPr>
            </w:pPr>
          </w:p>
          <w:p w14:paraId="07511EE1">
            <w:pPr>
              <w:spacing w:line="260" w:lineRule="auto"/>
              <w:rPr>
                <w:rFonts w:ascii="Arial"/>
                <w:sz w:val="21"/>
              </w:rPr>
            </w:pPr>
          </w:p>
          <w:p w14:paraId="3AA222DA">
            <w:pPr>
              <w:pStyle w:val="8"/>
              <w:spacing w:before="59" w:line="183" w:lineRule="auto"/>
              <w:ind w:left="228"/>
            </w:pPr>
            <w:r>
              <w:rPr>
                <w:spacing w:val="-4"/>
              </w:rPr>
              <w:t>20</w:t>
            </w:r>
          </w:p>
        </w:tc>
        <w:tc>
          <w:tcPr>
            <w:tcW w:w="1100" w:type="dxa"/>
            <w:vAlign w:val="top"/>
          </w:tcPr>
          <w:p w14:paraId="2AA8B66D">
            <w:pPr>
              <w:spacing w:line="270" w:lineRule="auto"/>
              <w:rPr>
                <w:rFonts w:ascii="Arial"/>
                <w:sz w:val="21"/>
              </w:rPr>
            </w:pPr>
          </w:p>
          <w:p w14:paraId="2746371C">
            <w:pPr>
              <w:spacing w:line="270" w:lineRule="auto"/>
              <w:rPr>
                <w:rFonts w:ascii="Arial"/>
                <w:sz w:val="21"/>
              </w:rPr>
            </w:pPr>
          </w:p>
          <w:p w14:paraId="3F28BB0F">
            <w:pPr>
              <w:spacing w:line="270" w:lineRule="auto"/>
              <w:rPr>
                <w:rFonts w:ascii="Arial"/>
                <w:sz w:val="21"/>
              </w:rPr>
            </w:pPr>
          </w:p>
          <w:p w14:paraId="54742BE1">
            <w:pPr>
              <w:spacing w:line="270" w:lineRule="auto"/>
              <w:rPr>
                <w:rFonts w:ascii="Arial"/>
                <w:sz w:val="21"/>
              </w:rPr>
            </w:pPr>
          </w:p>
          <w:p w14:paraId="7AF0A89A">
            <w:pPr>
              <w:spacing w:line="270" w:lineRule="auto"/>
              <w:rPr>
                <w:rFonts w:ascii="Arial"/>
                <w:sz w:val="21"/>
              </w:rPr>
            </w:pPr>
          </w:p>
          <w:p w14:paraId="239F8FF5">
            <w:pPr>
              <w:spacing w:line="270" w:lineRule="auto"/>
              <w:rPr>
                <w:rFonts w:ascii="Arial"/>
                <w:sz w:val="21"/>
              </w:rPr>
            </w:pPr>
          </w:p>
          <w:p w14:paraId="344F7561">
            <w:pPr>
              <w:pStyle w:val="8"/>
              <w:spacing w:before="59" w:line="244" w:lineRule="auto"/>
              <w:ind w:left="59" w:right="55"/>
              <w:jc w:val="both"/>
            </w:pPr>
            <w:r>
              <w:rPr>
                <w:spacing w:val="16"/>
              </w:rPr>
              <w:t>对危险货物</w:t>
            </w:r>
            <w:r>
              <w:t xml:space="preserve"> </w:t>
            </w:r>
            <w:r>
              <w:rPr>
                <w:spacing w:val="16"/>
              </w:rPr>
              <w:t>港口建设项</w:t>
            </w:r>
            <w:r>
              <w:t xml:space="preserve"> </w:t>
            </w:r>
            <w:r>
              <w:rPr>
                <w:spacing w:val="16"/>
              </w:rPr>
              <w:t>目安全设施</w:t>
            </w:r>
            <w:r>
              <w:t xml:space="preserve"> </w:t>
            </w:r>
            <w:r>
              <w:rPr>
                <w:spacing w:val="16"/>
              </w:rPr>
              <w:t>未经验收合</w:t>
            </w:r>
            <w:r>
              <w:t xml:space="preserve"> </w:t>
            </w:r>
            <w:r>
              <w:rPr>
                <w:spacing w:val="5"/>
              </w:rPr>
              <w:t>格，</w:t>
            </w:r>
            <w:r>
              <w:rPr>
                <w:spacing w:val="-36"/>
              </w:rPr>
              <w:t xml:space="preserve"> </w:t>
            </w:r>
            <w:r>
              <w:rPr>
                <w:spacing w:val="5"/>
              </w:rPr>
              <w:t>擅自从</w:t>
            </w:r>
            <w:r>
              <w:t xml:space="preserve"> </w:t>
            </w:r>
            <w:r>
              <w:rPr>
                <w:spacing w:val="16"/>
              </w:rPr>
              <w:t>事危险货物</w:t>
            </w:r>
            <w:r>
              <w:t xml:space="preserve"> </w:t>
            </w:r>
            <w:r>
              <w:rPr>
                <w:spacing w:val="16"/>
              </w:rPr>
              <w:t>港口作业行</w:t>
            </w:r>
            <w:r>
              <w:t xml:space="preserve"> </w:t>
            </w:r>
            <w:r>
              <w:rPr>
                <w:spacing w:val="16"/>
              </w:rPr>
              <w:t>为的行政处</w:t>
            </w:r>
            <w:r>
              <w:t xml:space="preserve"> 罚</w:t>
            </w:r>
          </w:p>
        </w:tc>
        <w:tc>
          <w:tcPr>
            <w:tcW w:w="1100" w:type="dxa"/>
            <w:vAlign w:val="top"/>
          </w:tcPr>
          <w:p w14:paraId="0A04D610">
            <w:pPr>
              <w:spacing w:line="256" w:lineRule="auto"/>
              <w:rPr>
                <w:rFonts w:ascii="Arial"/>
                <w:sz w:val="21"/>
              </w:rPr>
            </w:pPr>
          </w:p>
          <w:p w14:paraId="6CED74DF">
            <w:pPr>
              <w:spacing w:line="256" w:lineRule="auto"/>
              <w:rPr>
                <w:rFonts w:ascii="Arial"/>
                <w:sz w:val="21"/>
              </w:rPr>
            </w:pPr>
          </w:p>
          <w:p w14:paraId="03F1CEE8">
            <w:pPr>
              <w:spacing w:line="257" w:lineRule="auto"/>
              <w:rPr>
                <w:rFonts w:ascii="Arial"/>
                <w:sz w:val="21"/>
              </w:rPr>
            </w:pPr>
          </w:p>
          <w:p w14:paraId="782C56D4">
            <w:pPr>
              <w:spacing w:line="257" w:lineRule="auto"/>
              <w:rPr>
                <w:rFonts w:ascii="Arial"/>
                <w:sz w:val="21"/>
              </w:rPr>
            </w:pPr>
          </w:p>
          <w:p w14:paraId="68B2F185">
            <w:pPr>
              <w:spacing w:line="257" w:lineRule="auto"/>
              <w:rPr>
                <w:rFonts w:ascii="Arial"/>
                <w:sz w:val="21"/>
              </w:rPr>
            </w:pPr>
          </w:p>
          <w:p w14:paraId="01A08E1A">
            <w:pPr>
              <w:spacing w:line="257" w:lineRule="auto"/>
              <w:rPr>
                <w:rFonts w:ascii="Arial"/>
                <w:sz w:val="21"/>
              </w:rPr>
            </w:pPr>
          </w:p>
          <w:p w14:paraId="3D5D519E">
            <w:pPr>
              <w:spacing w:line="257" w:lineRule="auto"/>
              <w:rPr>
                <w:rFonts w:ascii="Arial"/>
                <w:sz w:val="21"/>
              </w:rPr>
            </w:pPr>
          </w:p>
          <w:p w14:paraId="4FD98A5C">
            <w:pPr>
              <w:spacing w:line="257" w:lineRule="auto"/>
              <w:rPr>
                <w:rFonts w:ascii="Arial"/>
                <w:sz w:val="21"/>
              </w:rPr>
            </w:pPr>
          </w:p>
          <w:p w14:paraId="3177E595">
            <w:pPr>
              <w:spacing w:line="257" w:lineRule="auto"/>
              <w:rPr>
                <w:rFonts w:ascii="Arial"/>
                <w:sz w:val="21"/>
              </w:rPr>
            </w:pPr>
          </w:p>
          <w:p w14:paraId="6F595AC0">
            <w:pPr>
              <w:spacing w:line="257" w:lineRule="auto"/>
              <w:rPr>
                <w:rFonts w:ascii="Arial"/>
                <w:sz w:val="21"/>
              </w:rPr>
            </w:pPr>
          </w:p>
          <w:p w14:paraId="7F307B84">
            <w:pPr>
              <w:pStyle w:val="8"/>
              <w:spacing w:before="58" w:line="220" w:lineRule="auto"/>
              <w:ind w:left="112"/>
            </w:pPr>
            <w:r>
              <w:rPr>
                <w:spacing w:val="-2"/>
              </w:rPr>
              <w:t>行政处罚</w:t>
            </w:r>
          </w:p>
        </w:tc>
        <w:tc>
          <w:tcPr>
            <w:tcW w:w="8508" w:type="dxa"/>
            <w:vAlign w:val="top"/>
          </w:tcPr>
          <w:p w14:paraId="14111114">
            <w:pPr>
              <w:pStyle w:val="8"/>
              <w:spacing w:before="96" w:line="219" w:lineRule="auto"/>
              <w:ind w:left="484"/>
            </w:pPr>
            <w:r>
              <w:rPr>
                <w:b/>
                <w:bCs/>
                <w:spacing w:val="-4"/>
              </w:rPr>
              <w:t>1.《中华人民共和国安全生产法》</w:t>
            </w:r>
          </w:p>
          <w:p w14:paraId="12060FE5">
            <w:pPr>
              <w:pStyle w:val="8"/>
              <w:spacing w:before="20" w:line="231" w:lineRule="auto"/>
              <w:ind w:left="111" w:right="104" w:firstLine="359"/>
              <w:jc w:val="both"/>
            </w:pPr>
            <w:r>
              <w:t>第三十四条第二款  矿山、金属冶炼建设项目和用于生产、储存、装卸危险物品的建设项目竣工投入</w:t>
            </w:r>
            <w:r>
              <w:rPr>
                <w:spacing w:val="6"/>
              </w:rPr>
              <w:t xml:space="preserve"> </w:t>
            </w:r>
            <w:r>
              <w:t>生产或者使用前，应当由建设单位负责组织对安全设施进行验收；验收合格后，方可投入生产和使用。负</w:t>
            </w:r>
            <w:r>
              <w:rPr>
                <w:spacing w:val="5"/>
              </w:rPr>
              <w:t xml:space="preserve"> </w:t>
            </w:r>
            <w:r>
              <w:rPr>
                <w:spacing w:val="-1"/>
              </w:rPr>
              <w:t>有安全生产监督管理职责的部门应当加强对建设单位验收活动和验收结果的监督核查。</w:t>
            </w:r>
          </w:p>
          <w:p w14:paraId="2B9C744B">
            <w:pPr>
              <w:pStyle w:val="8"/>
              <w:spacing w:before="17" w:line="235" w:lineRule="auto"/>
              <w:ind w:left="112" w:right="44" w:firstLine="358"/>
              <w:jc w:val="both"/>
            </w:pPr>
            <w:r>
              <w:t>第九十八条第（四）项  生产经营单位有下列行为之一的，责令停止建设或者停产停业整顿，限期改</w:t>
            </w:r>
            <w:r>
              <w:rPr>
                <w:spacing w:val="6"/>
              </w:rPr>
              <w:t xml:space="preserve"> </w:t>
            </w:r>
            <w:r>
              <w:t>正，并处十万元以上五十万元以下的罚款，对其直接负责的主管人员和其他直接责任人员处二万元以上五</w:t>
            </w:r>
            <w:r>
              <w:rPr>
                <w:spacing w:val="4"/>
              </w:rPr>
              <w:t xml:space="preserve"> </w:t>
            </w:r>
            <w:r>
              <w:t>万元以下的罚款；逾期未改正的，处五十万元以上一百万元以下的罚款，对其直接负责的主管人员和其他</w:t>
            </w:r>
            <w:r>
              <w:rPr>
                <w:spacing w:val="4"/>
              </w:rPr>
              <w:t xml:space="preserve"> </w:t>
            </w:r>
            <w:r>
              <w:rPr>
                <w:spacing w:val="-4"/>
              </w:rPr>
              <w:t>直接责任人员处五万元以上十万元以下的罚款；构成犯罪的，依照刑法有关规定</w:t>
            </w:r>
            <w:r>
              <w:rPr>
                <w:spacing w:val="-5"/>
              </w:rPr>
              <w:t>追究刑事责任:（四）矿山、</w:t>
            </w:r>
            <w:r>
              <w:t xml:space="preserve"> 金属冶炼建设项目或者用于生产、储存、装卸危险物品的建设项目竣工投入生产或者使用前，</w:t>
            </w:r>
            <w:r>
              <w:rPr>
                <w:spacing w:val="-1"/>
              </w:rPr>
              <w:t>安全设施未</w:t>
            </w:r>
            <w:r>
              <w:t xml:space="preserve"> </w:t>
            </w:r>
            <w:r>
              <w:rPr>
                <w:spacing w:val="-5"/>
              </w:rPr>
              <w:t>经验收合格的。</w:t>
            </w:r>
          </w:p>
          <w:p w14:paraId="6517FBF7">
            <w:pPr>
              <w:pStyle w:val="8"/>
              <w:spacing w:before="18"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23E3A60E">
            <w:pPr>
              <w:pStyle w:val="8"/>
              <w:spacing w:before="16" w:line="232" w:lineRule="auto"/>
              <w:ind w:left="111" w:right="104" w:firstLine="359"/>
            </w:pPr>
            <w:r>
              <w:t>第十八条  危险货物港口建设项目的安全设施应当与主体工程同时建成，并由建设单位组织验收。验</w:t>
            </w:r>
            <w:r>
              <w:rPr>
                <w:spacing w:val="6"/>
              </w:rPr>
              <w:t xml:space="preserve"> </w:t>
            </w:r>
            <w:r>
              <w:t>收前建设单位应当按照国家有关规定委托有资质的安全评价机构对建设项目及其安全设施进行安全验收评</w:t>
            </w:r>
            <w:r>
              <w:rPr>
                <w:spacing w:val="5"/>
              </w:rPr>
              <w:t xml:space="preserve"> </w:t>
            </w:r>
            <w:r>
              <w:rPr>
                <w:spacing w:val="-1"/>
              </w:rPr>
              <w:t>价，并编制安全验收评价报告。安全验收评价报告应当符合国家标准、行业标准和港口建设的有关规定。</w:t>
            </w:r>
          </w:p>
          <w:p w14:paraId="3D8A26E2">
            <w:pPr>
              <w:pStyle w:val="8"/>
              <w:spacing w:before="19" w:line="232" w:lineRule="auto"/>
              <w:ind w:left="111" w:right="104" w:firstLine="361"/>
            </w:pPr>
            <w:r>
              <w:t>建设单位进行安全设施验收时，应当组织专业人员对该建设项目进行现场检查，并对安全设施施工报</w:t>
            </w:r>
            <w:r>
              <w:rPr>
                <w:spacing w:val="4"/>
              </w:rPr>
              <w:t xml:space="preserve"> </w:t>
            </w:r>
            <w:r>
              <w:t>告及监理报告、安全验收评价报告等进行审查，作出是否通过验收的结论。参加验收人员的专业能力应当</w:t>
            </w:r>
            <w:r>
              <w:rPr>
                <w:spacing w:val="5"/>
              </w:rPr>
              <w:t xml:space="preserve"> </w:t>
            </w:r>
            <w:r>
              <w:rPr>
                <w:spacing w:val="-2"/>
              </w:rPr>
              <w:t>涵盖该建设项目涉及的所有专业内容。</w:t>
            </w:r>
          </w:p>
          <w:p w14:paraId="53CDBD8D">
            <w:pPr>
              <w:pStyle w:val="8"/>
              <w:spacing w:before="17" w:line="219" w:lineRule="auto"/>
              <w:ind w:left="474"/>
            </w:pPr>
            <w:r>
              <w:rPr>
                <w:spacing w:val="-1"/>
              </w:rPr>
              <w:t>安全设施验收未通过的，建设单位经过整改后可以再次</w:t>
            </w:r>
            <w:r>
              <w:rPr>
                <w:spacing w:val="-2"/>
              </w:rPr>
              <w:t>组织安全设施验收。</w:t>
            </w:r>
          </w:p>
          <w:p w14:paraId="17FB7C80">
            <w:pPr>
              <w:pStyle w:val="8"/>
              <w:spacing w:before="20" w:line="234" w:lineRule="auto"/>
              <w:ind w:left="110" w:right="104" w:firstLine="360"/>
            </w:pPr>
            <w:r>
              <w:t>第七十二条第（四）项  危险货物港口建设项目有下列行为之一的，由所在地港口行政管理部门责令</w:t>
            </w:r>
            <w:r>
              <w:rPr>
                <w:spacing w:val="6"/>
              </w:rPr>
              <w:t xml:space="preserve"> </w:t>
            </w:r>
            <w:r>
              <w:t>停止建设或者停产停业整顿，限期改正，并处十万元以上五十万元以下的罚款，对其直接负责的主管人员</w:t>
            </w:r>
            <w:r>
              <w:rPr>
                <w:spacing w:val="7"/>
              </w:rPr>
              <w:t xml:space="preserve"> </w:t>
            </w:r>
            <w:r>
              <w:t>和其他直接责任人员处二万元以上五万元以下的罚款；逾期未改正的，处五十万元以上一百万元以下的罚</w:t>
            </w:r>
            <w:r>
              <w:rPr>
                <w:spacing w:val="7"/>
              </w:rPr>
              <w:t xml:space="preserve"> </w:t>
            </w:r>
            <w:r>
              <w:t>款，对其直接负责的主管人员和其他直接责任人员处五万元以上十万元以下的罚款</w:t>
            </w:r>
            <w:r>
              <w:rPr>
                <w:spacing w:val="3"/>
              </w:rPr>
              <w:t>：（</w:t>
            </w:r>
            <w:r>
              <w:t>四）安全设施未经</w:t>
            </w:r>
            <w:r>
              <w:rPr>
                <w:spacing w:val="1"/>
              </w:rPr>
              <w:t xml:space="preserve"> </w:t>
            </w:r>
            <w:r>
              <w:rPr>
                <w:spacing w:val="-2"/>
              </w:rPr>
              <w:t>验收合格，擅自从事危险货物港口作业的。</w:t>
            </w:r>
          </w:p>
        </w:tc>
        <w:tc>
          <w:tcPr>
            <w:tcW w:w="1010" w:type="dxa"/>
            <w:vAlign w:val="top"/>
          </w:tcPr>
          <w:p w14:paraId="663FE951">
            <w:pPr>
              <w:spacing w:line="245" w:lineRule="auto"/>
              <w:rPr>
                <w:rFonts w:ascii="Arial"/>
                <w:sz w:val="21"/>
              </w:rPr>
            </w:pPr>
          </w:p>
          <w:p w14:paraId="7D6E5075">
            <w:pPr>
              <w:spacing w:line="245" w:lineRule="auto"/>
              <w:rPr>
                <w:rFonts w:ascii="Arial"/>
                <w:sz w:val="21"/>
              </w:rPr>
            </w:pPr>
          </w:p>
          <w:p w14:paraId="1D62BB94">
            <w:pPr>
              <w:spacing w:line="246" w:lineRule="auto"/>
              <w:rPr>
                <w:rFonts w:ascii="Arial"/>
                <w:sz w:val="21"/>
              </w:rPr>
            </w:pPr>
          </w:p>
          <w:p w14:paraId="0BC4CE16">
            <w:pPr>
              <w:spacing w:line="246" w:lineRule="auto"/>
              <w:rPr>
                <w:rFonts w:ascii="Arial"/>
                <w:sz w:val="21"/>
              </w:rPr>
            </w:pPr>
          </w:p>
          <w:p w14:paraId="37179CC9">
            <w:pPr>
              <w:spacing w:line="246" w:lineRule="auto"/>
              <w:rPr>
                <w:rFonts w:ascii="Arial"/>
                <w:sz w:val="21"/>
              </w:rPr>
            </w:pPr>
          </w:p>
          <w:p w14:paraId="73A0481A">
            <w:pPr>
              <w:spacing w:line="246" w:lineRule="auto"/>
              <w:rPr>
                <w:rFonts w:ascii="Arial"/>
                <w:sz w:val="21"/>
              </w:rPr>
            </w:pPr>
          </w:p>
          <w:p w14:paraId="0EF7D6EC">
            <w:pPr>
              <w:spacing w:line="246" w:lineRule="auto"/>
              <w:rPr>
                <w:rFonts w:ascii="Arial"/>
                <w:sz w:val="21"/>
              </w:rPr>
            </w:pPr>
          </w:p>
          <w:p w14:paraId="35FFC6AF">
            <w:pPr>
              <w:spacing w:line="246" w:lineRule="auto"/>
              <w:rPr>
                <w:rFonts w:ascii="Arial"/>
                <w:sz w:val="21"/>
              </w:rPr>
            </w:pPr>
          </w:p>
          <w:p w14:paraId="3EE861AB">
            <w:pPr>
              <w:spacing w:line="246" w:lineRule="auto"/>
              <w:rPr>
                <w:rFonts w:ascii="Arial"/>
                <w:sz w:val="21"/>
              </w:rPr>
            </w:pPr>
          </w:p>
          <w:p w14:paraId="28136D6C">
            <w:pPr>
              <w:spacing w:line="246" w:lineRule="auto"/>
              <w:rPr>
                <w:rFonts w:ascii="Arial"/>
                <w:sz w:val="21"/>
              </w:rPr>
            </w:pPr>
          </w:p>
          <w:p w14:paraId="086CBC64">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049D2514">
            <w:pPr>
              <w:pStyle w:val="8"/>
              <w:spacing w:before="59" w:line="234" w:lineRule="auto"/>
              <w:ind w:left="530" w:right="104" w:hanging="413"/>
              <w:rPr>
                <w:rFonts w:hint="eastAsia"/>
                <w:spacing w:val="-12"/>
                <w:lang w:eastAsia="zh-CN"/>
              </w:rPr>
            </w:pPr>
          </w:p>
          <w:p w14:paraId="0D7BE5FB">
            <w:pPr>
              <w:pStyle w:val="8"/>
              <w:spacing w:before="59" w:line="234" w:lineRule="auto"/>
              <w:ind w:left="530" w:right="104" w:hanging="413"/>
              <w:rPr>
                <w:rFonts w:hint="eastAsia"/>
                <w:spacing w:val="-12"/>
                <w:lang w:eastAsia="zh-CN"/>
              </w:rPr>
            </w:pPr>
          </w:p>
          <w:p w14:paraId="4D192CAF">
            <w:pPr>
              <w:pStyle w:val="8"/>
              <w:spacing w:before="59" w:line="234" w:lineRule="auto"/>
              <w:ind w:left="530" w:right="104" w:hanging="413"/>
              <w:rPr>
                <w:rFonts w:hint="eastAsia"/>
                <w:spacing w:val="-12"/>
                <w:lang w:eastAsia="zh-CN"/>
              </w:rPr>
            </w:pPr>
          </w:p>
          <w:p w14:paraId="7EA12AB3">
            <w:pPr>
              <w:pStyle w:val="8"/>
              <w:spacing w:before="59" w:line="234" w:lineRule="auto"/>
              <w:ind w:left="530" w:right="104" w:hanging="413"/>
              <w:rPr>
                <w:rFonts w:hint="eastAsia"/>
                <w:spacing w:val="-12"/>
                <w:lang w:eastAsia="zh-CN"/>
              </w:rPr>
            </w:pPr>
          </w:p>
          <w:p w14:paraId="5F7FFDF5">
            <w:pPr>
              <w:pStyle w:val="8"/>
              <w:spacing w:before="59" w:line="234" w:lineRule="auto"/>
              <w:ind w:left="530" w:right="104" w:hanging="413"/>
              <w:rPr>
                <w:rFonts w:hint="eastAsia"/>
                <w:spacing w:val="-12"/>
                <w:lang w:eastAsia="zh-CN"/>
              </w:rPr>
            </w:pPr>
          </w:p>
          <w:p w14:paraId="79E215A3">
            <w:pPr>
              <w:pStyle w:val="8"/>
              <w:spacing w:before="59" w:line="234" w:lineRule="auto"/>
              <w:ind w:left="530" w:right="104" w:hanging="413"/>
              <w:rPr>
                <w:rFonts w:hint="eastAsia"/>
                <w:spacing w:val="-12"/>
                <w:lang w:eastAsia="zh-CN"/>
              </w:rPr>
            </w:pPr>
          </w:p>
          <w:p w14:paraId="4F67BA71">
            <w:pPr>
              <w:pStyle w:val="8"/>
              <w:spacing w:before="59" w:line="234" w:lineRule="auto"/>
              <w:ind w:left="530" w:right="104" w:hanging="413"/>
              <w:rPr>
                <w:rFonts w:hint="eastAsia"/>
                <w:spacing w:val="-12"/>
                <w:lang w:eastAsia="zh-CN"/>
              </w:rPr>
            </w:pPr>
          </w:p>
          <w:p w14:paraId="1F964A2A">
            <w:pPr>
              <w:pStyle w:val="8"/>
              <w:spacing w:before="59" w:line="234" w:lineRule="auto"/>
              <w:ind w:left="530" w:right="104" w:hanging="413"/>
              <w:rPr>
                <w:rFonts w:hint="eastAsia"/>
                <w:spacing w:val="-12"/>
                <w:lang w:eastAsia="zh-CN"/>
              </w:rPr>
            </w:pPr>
          </w:p>
          <w:p w14:paraId="0F43543E">
            <w:pPr>
              <w:pStyle w:val="8"/>
              <w:spacing w:before="59" w:line="234" w:lineRule="auto"/>
              <w:ind w:left="530" w:right="104" w:hanging="413"/>
              <w:rPr>
                <w:rFonts w:hint="eastAsia"/>
                <w:spacing w:val="-12"/>
                <w:lang w:eastAsia="zh-CN"/>
              </w:rPr>
            </w:pPr>
          </w:p>
          <w:p w14:paraId="460AE1B3">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7F4AF33B">
            <w:pPr>
              <w:spacing w:line="259" w:lineRule="auto"/>
              <w:rPr>
                <w:rFonts w:ascii="Arial"/>
                <w:sz w:val="21"/>
              </w:rPr>
            </w:pPr>
          </w:p>
          <w:p w14:paraId="2BDFD824">
            <w:pPr>
              <w:spacing w:line="260" w:lineRule="auto"/>
              <w:rPr>
                <w:rFonts w:ascii="Arial"/>
                <w:sz w:val="21"/>
              </w:rPr>
            </w:pPr>
          </w:p>
          <w:p w14:paraId="147462C6">
            <w:pPr>
              <w:spacing w:line="260" w:lineRule="auto"/>
              <w:rPr>
                <w:rFonts w:ascii="Arial"/>
                <w:sz w:val="21"/>
              </w:rPr>
            </w:pPr>
          </w:p>
          <w:p w14:paraId="032C1103">
            <w:pPr>
              <w:spacing w:line="260" w:lineRule="auto"/>
              <w:rPr>
                <w:rFonts w:ascii="Arial"/>
                <w:sz w:val="21"/>
              </w:rPr>
            </w:pPr>
          </w:p>
          <w:p w14:paraId="455AEF9E">
            <w:pPr>
              <w:spacing w:line="260" w:lineRule="auto"/>
              <w:rPr>
                <w:rFonts w:ascii="Arial"/>
                <w:sz w:val="21"/>
              </w:rPr>
            </w:pPr>
          </w:p>
          <w:p w14:paraId="0ACBEC6C">
            <w:pPr>
              <w:spacing w:line="260" w:lineRule="auto"/>
              <w:rPr>
                <w:rFonts w:ascii="Arial"/>
                <w:sz w:val="21"/>
              </w:rPr>
            </w:pPr>
          </w:p>
          <w:p w14:paraId="5C82821F">
            <w:pPr>
              <w:spacing w:line="260" w:lineRule="auto"/>
              <w:rPr>
                <w:rFonts w:ascii="Arial"/>
                <w:sz w:val="21"/>
              </w:rPr>
            </w:pPr>
          </w:p>
          <w:p w14:paraId="6006EB85">
            <w:pPr>
              <w:spacing w:line="260" w:lineRule="auto"/>
              <w:rPr>
                <w:rFonts w:ascii="Arial"/>
                <w:sz w:val="21"/>
              </w:rPr>
            </w:pPr>
          </w:p>
          <w:p w14:paraId="4474ABA3">
            <w:pPr>
              <w:spacing w:line="260" w:lineRule="auto"/>
              <w:rPr>
                <w:rFonts w:ascii="Arial"/>
                <w:sz w:val="21"/>
              </w:rPr>
            </w:pPr>
          </w:p>
          <w:p w14:paraId="33FD6D30">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085E4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9" w:hRule="atLeast"/>
        </w:trPr>
        <w:tc>
          <w:tcPr>
            <w:tcW w:w="622" w:type="dxa"/>
            <w:vAlign w:val="top"/>
          </w:tcPr>
          <w:p w14:paraId="1EF8CE2E">
            <w:pPr>
              <w:spacing w:line="259" w:lineRule="auto"/>
              <w:rPr>
                <w:rFonts w:ascii="Arial"/>
                <w:sz w:val="21"/>
              </w:rPr>
            </w:pPr>
          </w:p>
          <w:p w14:paraId="676C8924">
            <w:pPr>
              <w:spacing w:line="259" w:lineRule="auto"/>
              <w:rPr>
                <w:rFonts w:ascii="Arial"/>
                <w:sz w:val="21"/>
              </w:rPr>
            </w:pPr>
          </w:p>
          <w:p w14:paraId="67B15753">
            <w:pPr>
              <w:spacing w:line="259" w:lineRule="auto"/>
              <w:rPr>
                <w:rFonts w:ascii="Arial"/>
                <w:sz w:val="21"/>
              </w:rPr>
            </w:pPr>
          </w:p>
          <w:p w14:paraId="09747867">
            <w:pPr>
              <w:spacing w:line="259" w:lineRule="auto"/>
              <w:rPr>
                <w:rFonts w:ascii="Arial"/>
                <w:sz w:val="21"/>
              </w:rPr>
            </w:pPr>
          </w:p>
          <w:p w14:paraId="556EB01A">
            <w:pPr>
              <w:spacing w:line="260" w:lineRule="auto"/>
              <w:rPr>
                <w:rFonts w:ascii="Arial"/>
                <w:sz w:val="21"/>
              </w:rPr>
            </w:pPr>
          </w:p>
          <w:p w14:paraId="13E4B12D">
            <w:pPr>
              <w:spacing w:line="260" w:lineRule="auto"/>
              <w:rPr>
                <w:rFonts w:ascii="Arial"/>
                <w:sz w:val="21"/>
              </w:rPr>
            </w:pPr>
          </w:p>
          <w:p w14:paraId="3AF1C771">
            <w:pPr>
              <w:pStyle w:val="8"/>
              <w:spacing w:before="59" w:line="184" w:lineRule="auto"/>
              <w:ind w:left="228"/>
            </w:pPr>
            <w:r>
              <w:rPr>
                <w:spacing w:val="-4"/>
              </w:rPr>
              <w:t>21</w:t>
            </w:r>
          </w:p>
        </w:tc>
        <w:tc>
          <w:tcPr>
            <w:tcW w:w="1100" w:type="dxa"/>
            <w:vAlign w:val="top"/>
          </w:tcPr>
          <w:p w14:paraId="62F5763A">
            <w:pPr>
              <w:spacing w:line="289" w:lineRule="auto"/>
              <w:rPr>
                <w:rFonts w:ascii="Arial"/>
                <w:sz w:val="21"/>
              </w:rPr>
            </w:pPr>
          </w:p>
          <w:p w14:paraId="344D1158">
            <w:pPr>
              <w:spacing w:line="290" w:lineRule="auto"/>
              <w:rPr>
                <w:rFonts w:ascii="Arial"/>
                <w:sz w:val="21"/>
              </w:rPr>
            </w:pPr>
          </w:p>
          <w:p w14:paraId="1FFFCD17">
            <w:pPr>
              <w:pStyle w:val="8"/>
              <w:spacing w:before="59" w:line="244" w:lineRule="auto"/>
              <w:ind w:left="59" w:right="55"/>
              <w:jc w:val="both"/>
            </w:pPr>
            <w:r>
              <w:rPr>
                <w:spacing w:val="16"/>
              </w:rPr>
              <w:t>对危险货物</w:t>
            </w:r>
            <w:r>
              <w:t xml:space="preserve"> </w:t>
            </w:r>
            <w:r>
              <w:rPr>
                <w:spacing w:val="16"/>
              </w:rPr>
              <w:t>港口经营人</w:t>
            </w:r>
            <w:r>
              <w:t xml:space="preserve"> </w:t>
            </w:r>
            <w:r>
              <w:rPr>
                <w:spacing w:val="16"/>
              </w:rPr>
              <w:t>未依法提取</w:t>
            </w:r>
            <w:r>
              <w:t xml:space="preserve"> </w:t>
            </w:r>
            <w:r>
              <w:rPr>
                <w:spacing w:val="16"/>
              </w:rPr>
              <w:t>和使用安全</w:t>
            </w:r>
            <w:r>
              <w:t xml:space="preserve"> </w:t>
            </w:r>
            <w:r>
              <w:rPr>
                <w:spacing w:val="16"/>
              </w:rPr>
              <w:t>生产经费导</w:t>
            </w:r>
            <w:r>
              <w:t xml:space="preserve"> </w:t>
            </w:r>
            <w:r>
              <w:rPr>
                <w:spacing w:val="16"/>
              </w:rPr>
              <w:t>致不具备安</w:t>
            </w:r>
            <w:r>
              <w:t xml:space="preserve"> </w:t>
            </w:r>
            <w:r>
              <w:rPr>
                <w:spacing w:val="16"/>
              </w:rPr>
              <w:t>全生产条件</w:t>
            </w:r>
            <w:r>
              <w:t xml:space="preserve"> </w:t>
            </w:r>
            <w:r>
              <w:rPr>
                <w:spacing w:val="16"/>
              </w:rPr>
              <w:t>行为的行政</w:t>
            </w:r>
            <w:r>
              <w:t xml:space="preserve"> </w:t>
            </w:r>
            <w:r>
              <w:rPr>
                <w:spacing w:val="-2"/>
              </w:rPr>
              <w:t>处罚</w:t>
            </w:r>
          </w:p>
        </w:tc>
        <w:tc>
          <w:tcPr>
            <w:tcW w:w="1100" w:type="dxa"/>
            <w:vAlign w:val="top"/>
          </w:tcPr>
          <w:p w14:paraId="5424AEAB">
            <w:pPr>
              <w:spacing w:line="254" w:lineRule="auto"/>
              <w:rPr>
                <w:rFonts w:ascii="Arial"/>
                <w:sz w:val="21"/>
              </w:rPr>
            </w:pPr>
          </w:p>
          <w:p w14:paraId="4E8E8039">
            <w:pPr>
              <w:spacing w:line="254" w:lineRule="auto"/>
              <w:rPr>
                <w:rFonts w:ascii="Arial"/>
                <w:sz w:val="21"/>
              </w:rPr>
            </w:pPr>
          </w:p>
          <w:p w14:paraId="7E70A0B4">
            <w:pPr>
              <w:spacing w:line="254" w:lineRule="auto"/>
              <w:rPr>
                <w:rFonts w:ascii="Arial"/>
                <w:sz w:val="21"/>
              </w:rPr>
            </w:pPr>
          </w:p>
          <w:p w14:paraId="1A8FFE26">
            <w:pPr>
              <w:spacing w:line="254" w:lineRule="auto"/>
              <w:rPr>
                <w:rFonts w:ascii="Arial"/>
                <w:sz w:val="21"/>
              </w:rPr>
            </w:pPr>
          </w:p>
          <w:p w14:paraId="73772945">
            <w:pPr>
              <w:spacing w:line="255" w:lineRule="auto"/>
              <w:rPr>
                <w:rFonts w:ascii="Arial"/>
                <w:sz w:val="21"/>
              </w:rPr>
            </w:pPr>
          </w:p>
          <w:p w14:paraId="2FE38636">
            <w:pPr>
              <w:spacing w:line="255" w:lineRule="auto"/>
              <w:rPr>
                <w:rFonts w:ascii="Arial"/>
                <w:sz w:val="21"/>
              </w:rPr>
            </w:pPr>
          </w:p>
          <w:p w14:paraId="301F0CAE">
            <w:pPr>
              <w:pStyle w:val="8"/>
              <w:spacing w:before="59" w:line="220" w:lineRule="auto"/>
              <w:ind w:left="112"/>
            </w:pPr>
            <w:r>
              <w:rPr>
                <w:spacing w:val="-2"/>
              </w:rPr>
              <w:t>行政处罚</w:t>
            </w:r>
          </w:p>
        </w:tc>
        <w:tc>
          <w:tcPr>
            <w:tcW w:w="8508" w:type="dxa"/>
            <w:vAlign w:val="top"/>
          </w:tcPr>
          <w:p w14:paraId="05D7D22F">
            <w:pPr>
              <w:pStyle w:val="8"/>
              <w:spacing w:before="92" w:line="219" w:lineRule="auto"/>
              <w:ind w:left="484"/>
            </w:pPr>
            <w:r>
              <w:rPr>
                <w:b/>
                <w:bCs/>
                <w:spacing w:val="-4"/>
              </w:rPr>
              <w:t>1.《中华人民共和国安全生产法》</w:t>
            </w:r>
          </w:p>
          <w:p w14:paraId="38F7F6A8">
            <w:pPr>
              <w:pStyle w:val="8"/>
              <w:spacing w:before="19" w:line="219" w:lineRule="auto"/>
              <w:ind w:left="471"/>
            </w:pPr>
            <w:r>
              <w:rPr>
                <w:spacing w:val="-1"/>
              </w:rPr>
              <w:t>第四十七条  生产经营单位应当安排用于配备劳动防护用品、进行安全生产培训的经费。</w:t>
            </w:r>
          </w:p>
          <w:p w14:paraId="4D65DCE5">
            <w:pPr>
              <w:pStyle w:val="8"/>
              <w:spacing w:before="16" w:line="232" w:lineRule="auto"/>
              <w:ind w:left="112" w:right="104" w:firstLine="358"/>
            </w:pPr>
            <w:r>
              <w:t>第九十三条  生产经营单位的决策机构、主要负责人或者个人经营的投资人不依照本法规定保证安全</w:t>
            </w:r>
            <w:r>
              <w:rPr>
                <w:spacing w:val="6"/>
              </w:rPr>
              <w:t xml:space="preserve"> </w:t>
            </w:r>
            <w:r>
              <w:t>生产所必需的资金投入，致使生产经营单位不具备安全生产条件的，责令限期改正，提供必需的资金；逾</w:t>
            </w:r>
            <w:r>
              <w:rPr>
                <w:spacing w:val="4"/>
              </w:rPr>
              <w:t xml:space="preserve"> </w:t>
            </w:r>
            <w:r>
              <w:rPr>
                <w:spacing w:val="-2"/>
              </w:rPr>
              <w:t>期未改正的，责令生产经营单位停产停业整顿。</w:t>
            </w:r>
          </w:p>
          <w:p w14:paraId="058B8E9A">
            <w:pPr>
              <w:pStyle w:val="8"/>
              <w:spacing w:before="16" w:line="229" w:lineRule="auto"/>
              <w:ind w:left="116" w:right="104" w:firstLine="355"/>
            </w:pPr>
            <w:r>
              <w:t>有前款违法行为，导致发生生产安全事故的，对生产经营单位的主要负责人给予撤职处分，对个人经</w:t>
            </w:r>
            <w:r>
              <w:rPr>
                <w:spacing w:val="5"/>
              </w:rPr>
              <w:t xml:space="preserve"> </w:t>
            </w:r>
            <w:r>
              <w:rPr>
                <w:spacing w:val="-1"/>
              </w:rPr>
              <w:t>营的投资人处二万元以上二十万元以下的罚款；构成犯罪的，依照刑法有关规定追究刑事责任。</w:t>
            </w:r>
          </w:p>
          <w:p w14:paraId="01C08787">
            <w:pPr>
              <w:pStyle w:val="8"/>
              <w:spacing w:before="19"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5C86AC2D">
            <w:pPr>
              <w:pStyle w:val="8"/>
              <w:spacing w:before="18" w:line="233" w:lineRule="auto"/>
              <w:ind w:left="110" w:right="104" w:firstLine="360"/>
              <w:jc w:val="both"/>
            </w:pPr>
            <w:r>
              <w:t>第二十七条  危险货物港口经营人应当在依法取得许可的范围内从事危险货物港</w:t>
            </w:r>
            <w:r>
              <w:rPr>
                <w:spacing w:val="-1"/>
              </w:rPr>
              <w:t>口作业，依法提取和</w:t>
            </w:r>
            <w:r>
              <w:t xml:space="preserve"> 使用安全生产经费，聘用注册安全工程师从事安全生产管理工作，对从业人员进行安全生产教育、培训并</w:t>
            </w:r>
            <w:r>
              <w:rPr>
                <w:spacing w:val="7"/>
              </w:rPr>
              <w:t xml:space="preserve"> </w:t>
            </w:r>
            <w:r>
              <w:t>如实记录相关情况，按照相关规定投保安全生产责任保险。相关从业人员应当按照《危险货物水路运输从</w:t>
            </w:r>
            <w:r>
              <w:rPr>
                <w:spacing w:val="7"/>
              </w:rPr>
              <w:t xml:space="preserve"> </w:t>
            </w:r>
            <w:r>
              <w:rPr>
                <w:spacing w:val="-1"/>
              </w:rPr>
              <w:t>业人员考核和从业资格管理规定》的要求，经考核合格或者取得相应从业资格。</w:t>
            </w:r>
          </w:p>
          <w:p w14:paraId="1EA4F06E">
            <w:pPr>
              <w:pStyle w:val="8"/>
              <w:spacing w:before="19" w:line="229" w:lineRule="auto"/>
              <w:ind w:left="110" w:right="104" w:firstLine="360"/>
            </w:pPr>
            <w:r>
              <w:t>第七十四条  危险货物港口经营人未依法提取和使用安全生产经费导致不具备安全生产条件的，由所</w:t>
            </w:r>
            <w:r>
              <w:rPr>
                <w:spacing w:val="6"/>
              </w:rPr>
              <w:t xml:space="preserve"> </w:t>
            </w:r>
            <w:r>
              <w:rPr>
                <w:spacing w:val="-1"/>
              </w:rPr>
              <w:t>在地港口行政管理部门责令限期改正；逾期未改正的，责令停产停业整顿。</w:t>
            </w:r>
          </w:p>
        </w:tc>
        <w:tc>
          <w:tcPr>
            <w:tcW w:w="1010" w:type="dxa"/>
            <w:vAlign w:val="top"/>
          </w:tcPr>
          <w:p w14:paraId="0E21E7DA">
            <w:pPr>
              <w:spacing w:line="283" w:lineRule="auto"/>
              <w:rPr>
                <w:rFonts w:ascii="Arial"/>
                <w:sz w:val="21"/>
              </w:rPr>
            </w:pPr>
          </w:p>
          <w:p w14:paraId="0FC6D3E1">
            <w:pPr>
              <w:spacing w:line="283" w:lineRule="auto"/>
              <w:rPr>
                <w:rFonts w:ascii="Arial"/>
                <w:sz w:val="21"/>
              </w:rPr>
            </w:pPr>
          </w:p>
          <w:p w14:paraId="5EE9259E">
            <w:pPr>
              <w:spacing w:line="283" w:lineRule="auto"/>
              <w:rPr>
                <w:rFonts w:ascii="Arial"/>
                <w:sz w:val="21"/>
              </w:rPr>
            </w:pPr>
          </w:p>
          <w:p w14:paraId="245DB3A4">
            <w:pPr>
              <w:spacing w:line="283" w:lineRule="auto"/>
              <w:rPr>
                <w:rFonts w:ascii="Arial"/>
                <w:sz w:val="21"/>
              </w:rPr>
            </w:pPr>
          </w:p>
          <w:p w14:paraId="3E5866D1">
            <w:pPr>
              <w:spacing w:line="284" w:lineRule="auto"/>
              <w:rPr>
                <w:rFonts w:ascii="Arial"/>
                <w:sz w:val="21"/>
              </w:rPr>
            </w:pPr>
          </w:p>
          <w:p w14:paraId="7B1C64D3">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6E58908F">
            <w:pPr>
              <w:pStyle w:val="8"/>
              <w:spacing w:before="59" w:line="234" w:lineRule="auto"/>
              <w:ind w:left="530" w:right="104" w:hanging="413"/>
              <w:rPr>
                <w:rFonts w:hint="eastAsia"/>
                <w:spacing w:val="-12"/>
                <w:lang w:eastAsia="zh-CN"/>
              </w:rPr>
            </w:pPr>
          </w:p>
          <w:p w14:paraId="4B436794">
            <w:pPr>
              <w:pStyle w:val="8"/>
              <w:spacing w:before="59" w:line="234" w:lineRule="auto"/>
              <w:ind w:left="530" w:right="104" w:hanging="413"/>
              <w:rPr>
                <w:rFonts w:hint="eastAsia"/>
                <w:spacing w:val="-12"/>
                <w:lang w:eastAsia="zh-CN"/>
              </w:rPr>
            </w:pPr>
          </w:p>
          <w:p w14:paraId="0EBF75BA">
            <w:pPr>
              <w:pStyle w:val="8"/>
              <w:spacing w:before="59" w:line="234" w:lineRule="auto"/>
              <w:ind w:left="530" w:right="104" w:hanging="413"/>
              <w:rPr>
                <w:rFonts w:hint="eastAsia"/>
                <w:spacing w:val="-12"/>
                <w:lang w:eastAsia="zh-CN"/>
              </w:rPr>
            </w:pPr>
          </w:p>
          <w:p w14:paraId="40B2D290">
            <w:pPr>
              <w:pStyle w:val="8"/>
              <w:spacing w:before="59" w:line="234" w:lineRule="auto"/>
              <w:ind w:left="530" w:right="104" w:hanging="413"/>
              <w:rPr>
                <w:rFonts w:hint="eastAsia"/>
                <w:spacing w:val="-12"/>
                <w:lang w:eastAsia="zh-CN"/>
              </w:rPr>
            </w:pPr>
          </w:p>
          <w:p w14:paraId="7097E728">
            <w:pPr>
              <w:pStyle w:val="8"/>
              <w:spacing w:before="59" w:line="234" w:lineRule="auto"/>
              <w:ind w:left="530" w:right="104" w:hanging="413"/>
              <w:rPr>
                <w:rFonts w:hint="eastAsia"/>
                <w:spacing w:val="-12"/>
                <w:lang w:eastAsia="zh-CN"/>
              </w:rPr>
            </w:pPr>
          </w:p>
          <w:p w14:paraId="7882C3D4">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440F1AA">
            <w:pPr>
              <w:spacing w:line="259" w:lineRule="auto"/>
              <w:rPr>
                <w:rFonts w:ascii="Arial"/>
                <w:sz w:val="21"/>
              </w:rPr>
            </w:pPr>
          </w:p>
          <w:p w14:paraId="68CAC6AD">
            <w:pPr>
              <w:spacing w:line="259" w:lineRule="auto"/>
              <w:rPr>
                <w:rFonts w:ascii="Arial"/>
                <w:sz w:val="21"/>
              </w:rPr>
            </w:pPr>
          </w:p>
          <w:p w14:paraId="2BDA9223">
            <w:pPr>
              <w:spacing w:line="260" w:lineRule="auto"/>
              <w:rPr>
                <w:rFonts w:ascii="Arial"/>
                <w:sz w:val="21"/>
              </w:rPr>
            </w:pPr>
          </w:p>
          <w:p w14:paraId="7B174DB4">
            <w:pPr>
              <w:spacing w:line="260" w:lineRule="auto"/>
              <w:rPr>
                <w:rFonts w:ascii="Arial"/>
                <w:sz w:val="21"/>
              </w:rPr>
            </w:pPr>
          </w:p>
          <w:p w14:paraId="5DE5D245">
            <w:pPr>
              <w:spacing w:line="260" w:lineRule="auto"/>
              <w:rPr>
                <w:rFonts w:ascii="Arial"/>
                <w:sz w:val="21"/>
              </w:rPr>
            </w:pPr>
          </w:p>
          <w:p w14:paraId="7091066D">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24E42A7F">
      <w:pPr>
        <w:pStyle w:val="2"/>
        <w:spacing w:line="240" w:lineRule="exact"/>
        <w:rPr>
          <w:sz w:val="20"/>
        </w:rPr>
      </w:pPr>
    </w:p>
    <w:p w14:paraId="7DB915C1">
      <w:pPr>
        <w:spacing w:line="240" w:lineRule="exact"/>
        <w:rPr>
          <w:sz w:val="20"/>
          <w:szCs w:val="20"/>
        </w:rPr>
        <w:sectPr>
          <w:footerReference r:id="rId137" w:type="default"/>
          <w:pgSz w:w="16839" w:h="11906"/>
          <w:pgMar w:top="1012" w:right="1034" w:bottom="967" w:left="1043" w:header="0" w:footer="768" w:gutter="0"/>
          <w:cols w:space="720" w:num="1"/>
        </w:sectPr>
      </w:pPr>
    </w:p>
    <w:p w14:paraId="04914952">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C91F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5677E44E">
            <w:pPr>
              <w:pStyle w:val="8"/>
              <w:spacing w:before="259" w:line="221" w:lineRule="auto"/>
              <w:ind w:left="134"/>
            </w:pPr>
            <w:r>
              <w:rPr>
                <w:b/>
                <w:bCs/>
                <w:spacing w:val="-4"/>
              </w:rPr>
              <w:t>序号</w:t>
            </w:r>
          </w:p>
        </w:tc>
        <w:tc>
          <w:tcPr>
            <w:tcW w:w="1100" w:type="dxa"/>
            <w:vMerge w:val="restart"/>
            <w:tcBorders>
              <w:bottom w:val="nil"/>
            </w:tcBorders>
            <w:vAlign w:val="top"/>
          </w:tcPr>
          <w:p w14:paraId="19A91811">
            <w:pPr>
              <w:pStyle w:val="8"/>
              <w:spacing w:before="260" w:line="220" w:lineRule="auto"/>
              <w:ind w:left="189"/>
            </w:pPr>
            <w:r>
              <w:rPr>
                <w:b/>
                <w:bCs/>
                <w:spacing w:val="-4"/>
              </w:rPr>
              <w:t>事项名称</w:t>
            </w:r>
          </w:p>
        </w:tc>
        <w:tc>
          <w:tcPr>
            <w:tcW w:w="1100" w:type="dxa"/>
            <w:vMerge w:val="restart"/>
            <w:tcBorders>
              <w:bottom w:val="nil"/>
            </w:tcBorders>
            <w:vAlign w:val="top"/>
          </w:tcPr>
          <w:p w14:paraId="55D329C2">
            <w:pPr>
              <w:pStyle w:val="8"/>
              <w:spacing w:before="260" w:line="219" w:lineRule="auto"/>
              <w:ind w:left="191"/>
            </w:pPr>
            <w:r>
              <w:rPr>
                <w:b/>
                <w:bCs/>
                <w:spacing w:val="-4"/>
              </w:rPr>
              <w:t>职权类型</w:t>
            </w:r>
          </w:p>
        </w:tc>
        <w:tc>
          <w:tcPr>
            <w:tcW w:w="8508" w:type="dxa"/>
            <w:vMerge w:val="restart"/>
            <w:tcBorders>
              <w:bottom w:val="nil"/>
            </w:tcBorders>
            <w:vAlign w:val="top"/>
          </w:tcPr>
          <w:p w14:paraId="652EE7BA">
            <w:pPr>
              <w:pStyle w:val="8"/>
              <w:spacing w:before="259" w:line="219" w:lineRule="auto"/>
              <w:ind w:left="3900"/>
            </w:pPr>
            <w:r>
              <w:rPr>
                <w:b/>
                <w:bCs/>
                <w:spacing w:val="-5"/>
              </w:rPr>
              <w:t>实施依据</w:t>
            </w:r>
          </w:p>
        </w:tc>
        <w:tc>
          <w:tcPr>
            <w:tcW w:w="3425" w:type="dxa"/>
            <w:gridSpan w:val="3"/>
            <w:vAlign w:val="top"/>
          </w:tcPr>
          <w:p w14:paraId="3D043703">
            <w:pPr>
              <w:pStyle w:val="8"/>
              <w:spacing w:before="85" w:line="220" w:lineRule="auto"/>
              <w:ind w:left="1358"/>
            </w:pPr>
            <w:r>
              <w:rPr>
                <w:b/>
                <w:bCs/>
                <w:spacing w:val="-5"/>
              </w:rPr>
              <w:t>实施主体</w:t>
            </w:r>
          </w:p>
        </w:tc>
      </w:tr>
      <w:tr w14:paraId="34D41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5700325F">
            <w:pPr>
              <w:rPr>
                <w:rFonts w:ascii="Arial"/>
                <w:sz w:val="21"/>
              </w:rPr>
            </w:pPr>
          </w:p>
        </w:tc>
        <w:tc>
          <w:tcPr>
            <w:tcW w:w="1100" w:type="dxa"/>
            <w:vMerge w:val="continue"/>
            <w:tcBorders>
              <w:top w:val="nil"/>
            </w:tcBorders>
            <w:vAlign w:val="top"/>
          </w:tcPr>
          <w:p w14:paraId="576EAF1C">
            <w:pPr>
              <w:rPr>
                <w:rFonts w:ascii="Arial"/>
                <w:sz w:val="21"/>
              </w:rPr>
            </w:pPr>
          </w:p>
        </w:tc>
        <w:tc>
          <w:tcPr>
            <w:tcW w:w="1100" w:type="dxa"/>
            <w:vMerge w:val="continue"/>
            <w:tcBorders>
              <w:top w:val="nil"/>
            </w:tcBorders>
            <w:vAlign w:val="top"/>
          </w:tcPr>
          <w:p w14:paraId="6320B10E">
            <w:pPr>
              <w:rPr>
                <w:rFonts w:ascii="Arial"/>
                <w:sz w:val="21"/>
              </w:rPr>
            </w:pPr>
          </w:p>
        </w:tc>
        <w:tc>
          <w:tcPr>
            <w:tcW w:w="8508" w:type="dxa"/>
            <w:vMerge w:val="continue"/>
            <w:tcBorders>
              <w:top w:val="nil"/>
            </w:tcBorders>
            <w:vAlign w:val="top"/>
          </w:tcPr>
          <w:p w14:paraId="52F47BEB">
            <w:pPr>
              <w:rPr>
                <w:rFonts w:ascii="Arial"/>
                <w:sz w:val="21"/>
              </w:rPr>
            </w:pPr>
          </w:p>
        </w:tc>
        <w:tc>
          <w:tcPr>
            <w:tcW w:w="1010" w:type="dxa"/>
            <w:vAlign w:val="top"/>
          </w:tcPr>
          <w:p w14:paraId="5AF4DCD2">
            <w:pPr>
              <w:pStyle w:val="8"/>
              <w:spacing w:before="81" w:line="219" w:lineRule="auto"/>
              <w:ind w:left="155"/>
            </w:pPr>
            <w:r>
              <w:rPr>
                <w:b/>
                <w:bCs/>
                <w:spacing w:val="-5"/>
              </w:rPr>
              <w:t>责任部门</w:t>
            </w:r>
          </w:p>
        </w:tc>
        <w:tc>
          <w:tcPr>
            <w:tcW w:w="1401" w:type="dxa"/>
            <w:vAlign w:val="top"/>
          </w:tcPr>
          <w:p w14:paraId="7D4F889D">
            <w:pPr>
              <w:pStyle w:val="8"/>
              <w:spacing w:before="81" w:line="219" w:lineRule="auto"/>
              <w:ind w:left="164"/>
            </w:pPr>
            <w:r>
              <w:rPr>
                <w:b/>
                <w:bCs/>
                <w:spacing w:val="-3"/>
              </w:rPr>
              <w:t>第一责任层级</w:t>
            </w:r>
          </w:p>
        </w:tc>
        <w:tc>
          <w:tcPr>
            <w:tcW w:w="1014" w:type="dxa"/>
            <w:vAlign w:val="top"/>
          </w:tcPr>
          <w:p w14:paraId="4BFBB278">
            <w:pPr>
              <w:pStyle w:val="8"/>
              <w:spacing w:before="81" w:line="219" w:lineRule="auto"/>
              <w:ind w:left="150"/>
            </w:pPr>
            <w:r>
              <w:rPr>
                <w:b/>
                <w:bCs/>
                <w:spacing w:val="-4"/>
              </w:rPr>
              <w:t>承办机构</w:t>
            </w:r>
          </w:p>
        </w:tc>
      </w:tr>
      <w:tr w14:paraId="0E7A6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1" w:hRule="atLeast"/>
        </w:trPr>
        <w:tc>
          <w:tcPr>
            <w:tcW w:w="622" w:type="dxa"/>
            <w:vAlign w:val="top"/>
          </w:tcPr>
          <w:p w14:paraId="674200D1">
            <w:pPr>
              <w:spacing w:line="252" w:lineRule="auto"/>
              <w:rPr>
                <w:rFonts w:ascii="Arial"/>
                <w:sz w:val="21"/>
              </w:rPr>
            </w:pPr>
          </w:p>
          <w:p w14:paraId="3ADC3C66">
            <w:pPr>
              <w:spacing w:line="252" w:lineRule="auto"/>
              <w:rPr>
                <w:rFonts w:ascii="Arial"/>
                <w:sz w:val="21"/>
              </w:rPr>
            </w:pPr>
          </w:p>
          <w:p w14:paraId="27C074A3">
            <w:pPr>
              <w:spacing w:line="252" w:lineRule="auto"/>
              <w:rPr>
                <w:rFonts w:ascii="Arial"/>
                <w:sz w:val="21"/>
              </w:rPr>
            </w:pPr>
          </w:p>
          <w:p w14:paraId="6A751129">
            <w:pPr>
              <w:spacing w:line="252" w:lineRule="auto"/>
              <w:rPr>
                <w:rFonts w:ascii="Arial"/>
                <w:sz w:val="21"/>
              </w:rPr>
            </w:pPr>
          </w:p>
          <w:p w14:paraId="0A5671C0">
            <w:pPr>
              <w:spacing w:line="252" w:lineRule="auto"/>
              <w:rPr>
                <w:rFonts w:ascii="Arial"/>
                <w:sz w:val="21"/>
              </w:rPr>
            </w:pPr>
          </w:p>
          <w:p w14:paraId="0B818CFE">
            <w:pPr>
              <w:spacing w:line="252" w:lineRule="auto"/>
              <w:rPr>
                <w:rFonts w:ascii="Arial"/>
                <w:sz w:val="21"/>
              </w:rPr>
            </w:pPr>
          </w:p>
          <w:p w14:paraId="4DFEFBD0">
            <w:pPr>
              <w:spacing w:line="252" w:lineRule="auto"/>
              <w:rPr>
                <w:rFonts w:ascii="Arial"/>
                <w:sz w:val="21"/>
              </w:rPr>
            </w:pPr>
          </w:p>
          <w:p w14:paraId="385563BB">
            <w:pPr>
              <w:spacing w:line="252" w:lineRule="auto"/>
              <w:rPr>
                <w:rFonts w:ascii="Arial"/>
                <w:sz w:val="21"/>
              </w:rPr>
            </w:pPr>
          </w:p>
          <w:p w14:paraId="43B9D1DA">
            <w:pPr>
              <w:spacing w:line="252" w:lineRule="auto"/>
              <w:rPr>
                <w:rFonts w:ascii="Arial"/>
                <w:sz w:val="21"/>
              </w:rPr>
            </w:pPr>
          </w:p>
          <w:p w14:paraId="640BF5A0">
            <w:pPr>
              <w:spacing w:line="252" w:lineRule="auto"/>
              <w:rPr>
                <w:rFonts w:ascii="Arial"/>
                <w:sz w:val="21"/>
              </w:rPr>
            </w:pPr>
          </w:p>
          <w:p w14:paraId="1948467F">
            <w:pPr>
              <w:spacing w:line="252" w:lineRule="auto"/>
              <w:rPr>
                <w:rFonts w:ascii="Arial"/>
                <w:sz w:val="21"/>
              </w:rPr>
            </w:pPr>
          </w:p>
          <w:p w14:paraId="7F31A4E9">
            <w:pPr>
              <w:spacing w:line="252" w:lineRule="auto"/>
              <w:rPr>
                <w:rFonts w:ascii="Arial"/>
                <w:sz w:val="21"/>
              </w:rPr>
            </w:pPr>
          </w:p>
          <w:p w14:paraId="570B9035">
            <w:pPr>
              <w:spacing w:line="252" w:lineRule="auto"/>
              <w:rPr>
                <w:rFonts w:ascii="Arial"/>
                <w:sz w:val="21"/>
              </w:rPr>
            </w:pPr>
          </w:p>
          <w:p w14:paraId="2D7BE262">
            <w:pPr>
              <w:spacing w:line="252" w:lineRule="auto"/>
              <w:rPr>
                <w:rFonts w:ascii="Arial"/>
                <w:sz w:val="21"/>
              </w:rPr>
            </w:pPr>
          </w:p>
          <w:p w14:paraId="0722CE0F">
            <w:pPr>
              <w:spacing w:line="252" w:lineRule="auto"/>
              <w:rPr>
                <w:rFonts w:ascii="Arial"/>
                <w:sz w:val="21"/>
              </w:rPr>
            </w:pPr>
          </w:p>
          <w:p w14:paraId="02CFCF55">
            <w:pPr>
              <w:spacing w:line="252" w:lineRule="auto"/>
              <w:rPr>
                <w:rFonts w:ascii="Arial"/>
                <w:sz w:val="21"/>
              </w:rPr>
            </w:pPr>
          </w:p>
          <w:p w14:paraId="5C345EB5">
            <w:pPr>
              <w:spacing w:line="253" w:lineRule="auto"/>
              <w:rPr>
                <w:rFonts w:ascii="Arial"/>
                <w:sz w:val="21"/>
              </w:rPr>
            </w:pPr>
          </w:p>
          <w:p w14:paraId="4E59CA29">
            <w:pPr>
              <w:pStyle w:val="8"/>
              <w:spacing w:before="58" w:line="183" w:lineRule="auto"/>
              <w:ind w:left="228"/>
            </w:pPr>
            <w:r>
              <w:rPr>
                <w:spacing w:val="-4"/>
              </w:rPr>
              <w:t>22</w:t>
            </w:r>
          </w:p>
        </w:tc>
        <w:tc>
          <w:tcPr>
            <w:tcW w:w="1100" w:type="dxa"/>
            <w:vAlign w:val="top"/>
          </w:tcPr>
          <w:p w14:paraId="3F3DF05A">
            <w:pPr>
              <w:spacing w:line="254" w:lineRule="auto"/>
              <w:rPr>
                <w:rFonts w:ascii="Arial"/>
                <w:sz w:val="21"/>
              </w:rPr>
            </w:pPr>
          </w:p>
          <w:p w14:paraId="71552B16">
            <w:pPr>
              <w:spacing w:line="254" w:lineRule="auto"/>
              <w:rPr>
                <w:rFonts w:ascii="Arial"/>
                <w:sz w:val="21"/>
              </w:rPr>
            </w:pPr>
          </w:p>
          <w:p w14:paraId="4EC4555A">
            <w:pPr>
              <w:spacing w:line="254" w:lineRule="auto"/>
              <w:rPr>
                <w:rFonts w:ascii="Arial"/>
                <w:sz w:val="21"/>
              </w:rPr>
            </w:pPr>
          </w:p>
          <w:p w14:paraId="017D8A46">
            <w:pPr>
              <w:spacing w:line="255" w:lineRule="auto"/>
              <w:rPr>
                <w:rFonts w:ascii="Arial"/>
                <w:sz w:val="21"/>
              </w:rPr>
            </w:pPr>
          </w:p>
          <w:p w14:paraId="2AD34C3F">
            <w:pPr>
              <w:spacing w:line="255" w:lineRule="auto"/>
              <w:rPr>
                <w:rFonts w:ascii="Arial"/>
                <w:sz w:val="21"/>
              </w:rPr>
            </w:pPr>
          </w:p>
          <w:p w14:paraId="64AFCA98">
            <w:pPr>
              <w:spacing w:line="255" w:lineRule="auto"/>
              <w:rPr>
                <w:rFonts w:ascii="Arial"/>
                <w:sz w:val="21"/>
              </w:rPr>
            </w:pPr>
          </w:p>
          <w:p w14:paraId="3B3BCFA0">
            <w:pPr>
              <w:spacing w:line="255" w:lineRule="auto"/>
              <w:rPr>
                <w:rFonts w:ascii="Arial"/>
                <w:sz w:val="21"/>
              </w:rPr>
            </w:pPr>
          </w:p>
          <w:p w14:paraId="47E75B59">
            <w:pPr>
              <w:spacing w:line="255" w:lineRule="auto"/>
              <w:rPr>
                <w:rFonts w:ascii="Arial"/>
                <w:sz w:val="21"/>
              </w:rPr>
            </w:pPr>
          </w:p>
          <w:p w14:paraId="2FAE658D">
            <w:pPr>
              <w:spacing w:line="255" w:lineRule="auto"/>
              <w:rPr>
                <w:rFonts w:ascii="Arial"/>
                <w:sz w:val="21"/>
              </w:rPr>
            </w:pPr>
          </w:p>
          <w:p w14:paraId="19D67211">
            <w:pPr>
              <w:spacing w:line="255" w:lineRule="auto"/>
              <w:rPr>
                <w:rFonts w:ascii="Arial"/>
                <w:sz w:val="21"/>
              </w:rPr>
            </w:pPr>
          </w:p>
          <w:p w14:paraId="45A9D01F">
            <w:pPr>
              <w:spacing w:line="255" w:lineRule="auto"/>
              <w:rPr>
                <w:rFonts w:ascii="Arial"/>
                <w:sz w:val="21"/>
              </w:rPr>
            </w:pPr>
          </w:p>
          <w:p w14:paraId="7AAA9F1B">
            <w:pPr>
              <w:spacing w:line="255" w:lineRule="auto"/>
              <w:rPr>
                <w:rFonts w:ascii="Arial"/>
                <w:sz w:val="21"/>
              </w:rPr>
            </w:pPr>
          </w:p>
          <w:p w14:paraId="11CC480E">
            <w:pPr>
              <w:spacing w:line="255" w:lineRule="auto"/>
              <w:rPr>
                <w:rFonts w:ascii="Arial"/>
                <w:sz w:val="21"/>
              </w:rPr>
            </w:pPr>
          </w:p>
          <w:p w14:paraId="72A61128">
            <w:pPr>
              <w:pStyle w:val="8"/>
              <w:spacing w:before="59" w:line="243" w:lineRule="auto"/>
              <w:ind w:left="59" w:right="55"/>
              <w:jc w:val="both"/>
            </w:pPr>
            <w:r>
              <w:rPr>
                <w:spacing w:val="16"/>
              </w:rPr>
              <w:t>对危险货物</w:t>
            </w:r>
            <w:r>
              <w:t xml:space="preserve"> </w:t>
            </w:r>
            <w:r>
              <w:rPr>
                <w:spacing w:val="16"/>
              </w:rPr>
              <w:t>港口经营人</w:t>
            </w:r>
            <w:r>
              <w:t xml:space="preserve"> </w:t>
            </w:r>
            <w:r>
              <w:rPr>
                <w:spacing w:val="16"/>
              </w:rPr>
              <w:t>未按照规定</w:t>
            </w:r>
            <w:r>
              <w:t xml:space="preserve"> </w:t>
            </w:r>
            <w:r>
              <w:rPr>
                <w:spacing w:val="16"/>
              </w:rPr>
              <w:t>设置安全生</w:t>
            </w:r>
            <w:r>
              <w:t xml:space="preserve"> </w:t>
            </w:r>
            <w:r>
              <w:rPr>
                <w:spacing w:val="16"/>
              </w:rPr>
              <w:t>产管理机构</w:t>
            </w:r>
            <w:r>
              <w:t xml:space="preserve"> </w:t>
            </w:r>
            <w:r>
              <w:rPr>
                <w:spacing w:val="16"/>
              </w:rPr>
              <w:t>或者配备安</w:t>
            </w:r>
            <w:r>
              <w:t xml:space="preserve"> </w:t>
            </w:r>
            <w:r>
              <w:rPr>
                <w:spacing w:val="16"/>
              </w:rPr>
              <w:t>全生产管理</w:t>
            </w:r>
            <w:r>
              <w:t xml:space="preserve"> </w:t>
            </w:r>
            <w:r>
              <w:rPr>
                <w:spacing w:val="16"/>
              </w:rPr>
              <w:t>人员等行为</w:t>
            </w:r>
            <w:r>
              <w:t xml:space="preserve"> </w:t>
            </w:r>
            <w:r>
              <w:rPr>
                <w:spacing w:val="-2"/>
              </w:rPr>
              <w:t>的行政处罚</w:t>
            </w:r>
          </w:p>
        </w:tc>
        <w:tc>
          <w:tcPr>
            <w:tcW w:w="1100" w:type="dxa"/>
            <w:vAlign w:val="top"/>
          </w:tcPr>
          <w:p w14:paraId="3B682FBB">
            <w:pPr>
              <w:spacing w:line="250" w:lineRule="auto"/>
              <w:rPr>
                <w:rFonts w:ascii="Arial"/>
                <w:sz w:val="21"/>
              </w:rPr>
            </w:pPr>
          </w:p>
          <w:p w14:paraId="720795A0">
            <w:pPr>
              <w:spacing w:line="250" w:lineRule="auto"/>
              <w:rPr>
                <w:rFonts w:ascii="Arial"/>
                <w:sz w:val="21"/>
              </w:rPr>
            </w:pPr>
          </w:p>
          <w:p w14:paraId="533575FB">
            <w:pPr>
              <w:spacing w:line="250" w:lineRule="auto"/>
              <w:rPr>
                <w:rFonts w:ascii="Arial"/>
                <w:sz w:val="21"/>
              </w:rPr>
            </w:pPr>
          </w:p>
          <w:p w14:paraId="1A3B65F0">
            <w:pPr>
              <w:spacing w:line="250" w:lineRule="auto"/>
              <w:rPr>
                <w:rFonts w:ascii="Arial"/>
                <w:sz w:val="21"/>
              </w:rPr>
            </w:pPr>
          </w:p>
          <w:p w14:paraId="2F983959">
            <w:pPr>
              <w:spacing w:line="250" w:lineRule="auto"/>
              <w:rPr>
                <w:rFonts w:ascii="Arial"/>
                <w:sz w:val="21"/>
              </w:rPr>
            </w:pPr>
          </w:p>
          <w:p w14:paraId="5158AE1C">
            <w:pPr>
              <w:spacing w:line="250" w:lineRule="auto"/>
              <w:rPr>
                <w:rFonts w:ascii="Arial"/>
                <w:sz w:val="21"/>
              </w:rPr>
            </w:pPr>
          </w:p>
          <w:p w14:paraId="761646A4">
            <w:pPr>
              <w:spacing w:line="250" w:lineRule="auto"/>
              <w:rPr>
                <w:rFonts w:ascii="Arial"/>
                <w:sz w:val="21"/>
              </w:rPr>
            </w:pPr>
          </w:p>
          <w:p w14:paraId="41F3E0FF">
            <w:pPr>
              <w:spacing w:line="250" w:lineRule="auto"/>
              <w:rPr>
                <w:rFonts w:ascii="Arial"/>
                <w:sz w:val="21"/>
              </w:rPr>
            </w:pPr>
          </w:p>
          <w:p w14:paraId="38BAE3A0">
            <w:pPr>
              <w:spacing w:line="250" w:lineRule="auto"/>
              <w:rPr>
                <w:rFonts w:ascii="Arial"/>
                <w:sz w:val="21"/>
              </w:rPr>
            </w:pPr>
          </w:p>
          <w:p w14:paraId="7D626FC7">
            <w:pPr>
              <w:spacing w:line="250" w:lineRule="auto"/>
              <w:rPr>
                <w:rFonts w:ascii="Arial"/>
                <w:sz w:val="21"/>
              </w:rPr>
            </w:pPr>
          </w:p>
          <w:p w14:paraId="41F3C7B8">
            <w:pPr>
              <w:spacing w:line="250" w:lineRule="auto"/>
              <w:rPr>
                <w:rFonts w:ascii="Arial"/>
                <w:sz w:val="21"/>
              </w:rPr>
            </w:pPr>
          </w:p>
          <w:p w14:paraId="0CD7076B">
            <w:pPr>
              <w:spacing w:line="250" w:lineRule="auto"/>
              <w:rPr>
                <w:rFonts w:ascii="Arial"/>
                <w:sz w:val="21"/>
              </w:rPr>
            </w:pPr>
          </w:p>
          <w:p w14:paraId="42ED1A18">
            <w:pPr>
              <w:spacing w:line="250" w:lineRule="auto"/>
              <w:rPr>
                <w:rFonts w:ascii="Arial"/>
                <w:sz w:val="21"/>
              </w:rPr>
            </w:pPr>
          </w:p>
          <w:p w14:paraId="256C768F">
            <w:pPr>
              <w:spacing w:line="251" w:lineRule="auto"/>
              <w:rPr>
                <w:rFonts w:ascii="Arial"/>
                <w:sz w:val="21"/>
              </w:rPr>
            </w:pPr>
          </w:p>
          <w:p w14:paraId="1BB09447">
            <w:pPr>
              <w:spacing w:line="251" w:lineRule="auto"/>
              <w:rPr>
                <w:rFonts w:ascii="Arial"/>
                <w:sz w:val="21"/>
              </w:rPr>
            </w:pPr>
          </w:p>
          <w:p w14:paraId="7192CE02">
            <w:pPr>
              <w:spacing w:line="251" w:lineRule="auto"/>
              <w:rPr>
                <w:rFonts w:ascii="Arial"/>
                <w:sz w:val="21"/>
              </w:rPr>
            </w:pPr>
          </w:p>
          <w:p w14:paraId="09F991F5">
            <w:pPr>
              <w:spacing w:line="251" w:lineRule="auto"/>
              <w:rPr>
                <w:rFonts w:ascii="Arial"/>
                <w:sz w:val="21"/>
              </w:rPr>
            </w:pPr>
          </w:p>
          <w:p w14:paraId="4FF10384">
            <w:pPr>
              <w:pStyle w:val="8"/>
              <w:spacing w:before="59" w:line="220" w:lineRule="auto"/>
              <w:ind w:left="112"/>
            </w:pPr>
            <w:r>
              <w:rPr>
                <w:spacing w:val="-2"/>
              </w:rPr>
              <w:t>行政处罚</w:t>
            </w:r>
          </w:p>
        </w:tc>
        <w:tc>
          <w:tcPr>
            <w:tcW w:w="8508" w:type="dxa"/>
            <w:vAlign w:val="top"/>
          </w:tcPr>
          <w:p w14:paraId="28C2EA0B">
            <w:pPr>
              <w:pStyle w:val="8"/>
              <w:spacing w:before="12" w:line="209" w:lineRule="auto"/>
              <w:ind w:left="484"/>
            </w:pPr>
            <w:r>
              <w:rPr>
                <w:b/>
                <w:bCs/>
                <w:spacing w:val="-4"/>
              </w:rPr>
              <w:t>1.《中华人民共和国安全生产法》</w:t>
            </w:r>
          </w:p>
          <w:p w14:paraId="7ECFEC6D">
            <w:pPr>
              <w:pStyle w:val="8"/>
              <w:spacing w:before="1" w:line="211" w:lineRule="auto"/>
              <w:ind w:left="122" w:right="104" w:firstLine="348"/>
            </w:pPr>
            <w:r>
              <w:t>第二十四条  矿山、金属冶炼、建筑施工、运输单位和危险物品的生产、经营、储存、装卸单位，应</w:t>
            </w:r>
            <w:r>
              <w:rPr>
                <w:spacing w:val="6"/>
              </w:rPr>
              <w:t xml:space="preserve"> </w:t>
            </w:r>
            <w:r>
              <w:rPr>
                <w:spacing w:val="-2"/>
              </w:rPr>
              <w:t>当设置安全生产管理机构或者配备专职安全生产管理人员。</w:t>
            </w:r>
          </w:p>
          <w:p w14:paraId="5588F134">
            <w:pPr>
              <w:pStyle w:val="8"/>
              <w:spacing w:before="1" w:line="211" w:lineRule="auto"/>
              <w:ind w:left="111" w:right="104" w:firstLine="362"/>
            </w:pPr>
            <w:r>
              <w:t>前款规定以外的其他生产经营单位，从业人员超过一百人的，应当设置安全生产管理机构或者配备专</w:t>
            </w:r>
            <w:r>
              <w:rPr>
                <w:spacing w:val="3"/>
              </w:rPr>
              <w:t xml:space="preserve"> </w:t>
            </w:r>
            <w:r>
              <w:rPr>
                <w:spacing w:val="-1"/>
              </w:rPr>
              <w:t>职安全生产管理人员；从业人员在一百人以下的，应当配备专职或者兼职的安全生产管理人员。</w:t>
            </w:r>
          </w:p>
          <w:p w14:paraId="39E2A129">
            <w:pPr>
              <w:pStyle w:val="8"/>
              <w:spacing w:line="211" w:lineRule="auto"/>
              <w:ind w:left="110" w:right="104" w:firstLine="360"/>
            </w:pPr>
            <w:r>
              <w:t>第二十八条  生产经营单位应当对从业人员进行安全生产教育和培训，保证从业人员具备必要的安全</w:t>
            </w:r>
            <w:r>
              <w:rPr>
                <w:spacing w:val="6"/>
              </w:rPr>
              <w:t xml:space="preserve"> </w:t>
            </w:r>
            <w:r>
              <w:t>生产知识，熟悉有关的安全生产规章制度和安全操作规程，掌握本岗位的安全操作技能，了解事故应急处</w:t>
            </w:r>
            <w:r>
              <w:rPr>
                <w:spacing w:val="7"/>
              </w:rPr>
              <w:t xml:space="preserve"> </w:t>
            </w:r>
            <w:r>
              <w:t>理措施，知悉自身在安全生产方面的权利和义务。未经安全生产教育和培训合格的从业人员，</w:t>
            </w:r>
            <w:r>
              <w:rPr>
                <w:spacing w:val="-1"/>
              </w:rPr>
              <w:t>不得上岗作</w:t>
            </w:r>
            <w:r>
              <w:t xml:space="preserve"> </w:t>
            </w:r>
            <w:r>
              <w:rPr>
                <w:spacing w:val="-9"/>
              </w:rPr>
              <w:t>业。</w:t>
            </w:r>
          </w:p>
          <w:p w14:paraId="0E2B4A0F">
            <w:pPr>
              <w:pStyle w:val="8"/>
              <w:spacing w:before="2" w:line="211" w:lineRule="auto"/>
              <w:ind w:left="111" w:right="104" w:firstLine="360"/>
              <w:jc w:val="both"/>
            </w:pPr>
            <w:r>
              <w:t>生产经营单位使用被派遣劳动者的，应当将被派遣劳动者纳入本单位从业人员统一管理</w:t>
            </w:r>
            <w:r>
              <w:rPr>
                <w:spacing w:val="-1"/>
              </w:rPr>
              <w:t>，对被派遣劳</w:t>
            </w:r>
            <w:r>
              <w:t xml:space="preserve"> 动者进行岗位安全操作规程和安全操作技能的教育和培训。劳务派遣单位应当对被派遣劳动者进行必要的</w:t>
            </w:r>
            <w:r>
              <w:rPr>
                <w:spacing w:val="5"/>
              </w:rPr>
              <w:t xml:space="preserve"> </w:t>
            </w:r>
            <w:r>
              <w:rPr>
                <w:spacing w:val="-4"/>
              </w:rPr>
              <w:t>安全生产教育和培训。</w:t>
            </w:r>
          </w:p>
          <w:p w14:paraId="1A140A21">
            <w:pPr>
              <w:pStyle w:val="8"/>
              <w:spacing w:line="210" w:lineRule="auto"/>
              <w:ind w:left="111" w:right="104" w:firstLine="360"/>
            </w:pPr>
            <w:r>
              <w:t>生产经营单位接收中等职业学校、高等学校学生实习的，应当对实习学生进行相应的安全生产教育和</w:t>
            </w:r>
            <w:r>
              <w:rPr>
                <w:spacing w:val="4"/>
              </w:rPr>
              <w:t xml:space="preserve"> </w:t>
            </w:r>
            <w:r>
              <w:rPr>
                <w:spacing w:val="-1"/>
              </w:rPr>
              <w:t>培训，提供必要的劳动防护用品。学校应当协助生产经营单位对实习学生进行安全生产教育和培训。</w:t>
            </w:r>
          </w:p>
          <w:p w14:paraId="3E6073DC">
            <w:pPr>
              <w:pStyle w:val="8"/>
              <w:spacing w:before="1" w:line="211" w:lineRule="auto"/>
              <w:ind w:left="112" w:right="118" w:firstLine="360"/>
            </w:pPr>
            <w:r>
              <w:t>生产经营单位应当建立安全生产教育和培训档案，如实记录安全生产教育和培</w:t>
            </w:r>
            <w:r>
              <w:rPr>
                <w:spacing w:val="-1"/>
              </w:rPr>
              <w:t>训的时间、内容、参加</w:t>
            </w:r>
            <w:r>
              <w:t xml:space="preserve"> </w:t>
            </w:r>
            <w:r>
              <w:rPr>
                <w:spacing w:val="-3"/>
              </w:rPr>
              <w:t>人员以及考核结果等情况。</w:t>
            </w:r>
          </w:p>
          <w:p w14:paraId="3D36F352">
            <w:pPr>
              <w:pStyle w:val="8"/>
              <w:spacing w:before="2" w:line="211" w:lineRule="auto"/>
              <w:ind w:left="111" w:right="104" w:firstLine="360"/>
            </w:pPr>
            <w:r>
              <w:t>第三十条第一款  生产经营单位的特种作业人员必须按照国家有关规定经专门的安全作业培训，取得</w:t>
            </w:r>
            <w:r>
              <w:rPr>
                <w:spacing w:val="6"/>
              </w:rPr>
              <w:t xml:space="preserve"> </w:t>
            </w:r>
            <w:r>
              <w:rPr>
                <w:spacing w:val="-3"/>
              </w:rPr>
              <w:t>相应资格，方可上岗作业。</w:t>
            </w:r>
          </w:p>
          <w:p w14:paraId="6A27506F">
            <w:pPr>
              <w:pStyle w:val="8"/>
              <w:spacing w:line="210" w:lineRule="auto"/>
              <w:ind w:left="138" w:right="104" w:firstLine="332"/>
            </w:pPr>
            <w:r>
              <w:t>第四十二条第二款  生产经营场所和员工宿舍应当设有符合紧急疏散要求、标志明显、保持畅通的出</w:t>
            </w:r>
            <w:r>
              <w:rPr>
                <w:spacing w:val="6"/>
              </w:rPr>
              <w:t xml:space="preserve"> </w:t>
            </w:r>
            <w:r>
              <w:rPr>
                <w:spacing w:val="-2"/>
              </w:rPr>
              <w:t>口、疏散通道。禁止占用、锁闭、封堵生产经营场所或者员工宿舍的出口、疏散通道。</w:t>
            </w:r>
          </w:p>
          <w:p w14:paraId="5D3F0E2B">
            <w:pPr>
              <w:pStyle w:val="8"/>
              <w:spacing w:before="2" w:line="211" w:lineRule="auto"/>
              <w:ind w:left="110" w:right="104" w:firstLine="360"/>
            </w:pPr>
            <w:r>
              <w:t>第八十一条  生产经营单位应当制定本单位生产安全事故应急救援预案，与所在地县级以上地方人民</w:t>
            </w:r>
            <w:r>
              <w:rPr>
                <w:spacing w:val="6"/>
              </w:rPr>
              <w:t xml:space="preserve"> </w:t>
            </w:r>
            <w:r>
              <w:rPr>
                <w:spacing w:val="-1"/>
              </w:rPr>
              <w:t>政府组织制定的生产安全事故应急救援预案相衔接，并定期组织演</w:t>
            </w:r>
            <w:r>
              <w:rPr>
                <w:spacing w:val="-2"/>
              </w:rPr>
              <w:t>练。</w:t>
            </w:r>
          </w:p>
          <w:p w14:paraId="0CCA3E9B">
            <w:pPr>
              <w:pStyle w:val="8"/>
              <w:spacing w:before="3" w:line="211" w:lineRule="auto"/>
              <w:ind w:left="112" w:right="30" w:firstLine="358"/>
            </w:pPr>
            <w:r>
              <w:t>第九十七条第（一）项、第（三）项、第（四）项、第（五）项、第（六）项、第（七）项  生产经</w:t>
            </w:r>
            <w:r>
              <w:rPr>
                <w:spacing w:val="3"/>
              </w:rPr>
              <w:t xml:space="preserve">  </w:t>
            </w:r>
            <w:r>
              <w:t>营单位有下列行为之一的，责令限期改正，处十万元以下的罚款；逾期未改正的，责令停产停业整顿，并</w:t>
            </w:r>
            <w:r>
              <w:rPr>
                <w:spacing w:val="2"/>
              </w:rPr>
              <w:t xml:space="preserve">  </w:t>
            </w:r>
            <w:r>
              <w:t>处十万元以上二十万元以下的罚款，对其直接负责的主管人员和其他直接责任人员处二万元以上五万元以</w:t>
            </w:r>
            <w:r>
              <w:rPr>
                <w:spacing w:val="2"/>
              </w:rPr>
              <w:t xml:space="preserve">  </w:t>
            </w:r>
            <w:r>
              <w:rPr>
                <w:spacing w:val="-3"/>
              </w:rPr>
              <w:t>下的罚款:（一）未按照规定设置安全生产管理</w:t>
            </w:r>
            <w:r>
              <w:rPr>
                <w:spacing w:val="-4"/>
              </w:rPr>
              <w:t>机构或者配备安全生产管理人员、注册安全工程师的</w:t>
            </w:r>
            <w:r>
              <w:rPr>
                <w:spacing w:val="-14"/>
              </w:rPr>
              <w:t>；（</w:t>
            </w:r>
            <w:r>
              <w:rPr>
                <w:spacing w:val="-4"/>
              </w:rPr>
              <w:t>三）</w:t>
            </w:r>
            <w:r>
              <w:t xml:space="preserve"> 未按照规定对从业人员、被派遣劳动者、实习学生进行安全生产教育和培训，或者未按照规定如实告知有</w:t>
            </w:r>
            <w:r>
              <w:rPr>
                <w:spacing w:val="2"/>
              </w:rPr>
              <w:t xml:space="preserve">  </w:t>
            </w:r>
            <w:r>
              <w:t>关的安全生产事项的</w:t>
            </w:r>
            <w:r>
              <w:rPr>
                <w:spacing w:val="1"/>
              </w:rPr>
              <w:t>；（</w:t>
            </w:r>
            <w:r>
              <w:t>四）未如实记录安全生产教育和培训情况的</w:t>
            </w:r>
            <w:r>
              <w:rPr>
                <w:spacing w:val="1"/>
              </w:rPr>
              <w:t>；（</w:t>
            </w:r>
            <w:r>
              <w:t>五）未将事故隐患排查治理情况  如实记录或者未向从业人员通报的</w:t>
            </w:r>
            <w:r>
              <w:rPr>
                <w:spacing w:val="2"/>
              </w:rPr>
              <w:t>；（</w:t>
            </w:r>
            <w:r>
              <w:t xml:space="preserve">六）未按照规定制定生产安全事故应急救援预案或者未定期组织演  </w:t>
            </w:r>
            <w:r>
              <w:rPr>
                <w:spacing w:val="-1"/>
              </w:rPr>
              <w:t>练的</w:t>
            </w:r>
            <w:r>
              <w:rPr>
                <w:spacing w:val="2"/>
              </w:rPr>
              <w:t>；（</w:t>
            </w:r>
            <w:r>
              <w:rPr>
                <w:spacing w:val="-1"/>
              </w:rPr>
              <w:t>七）特种作业人员未按照规定经专门的安全作业培训并取得相应资格，上岗作业的。</w:t>
            </w:r>
          </w:p>
          <w:p w14:paraId="012D71D7">
            <w:pPr>
              <w:pStyle w:val="8"/>
              <w:spacing w:line="20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5A965D7E">
            <w:pPr>
              <w:pStyle w:val="8"/>
              <w:spacing w:before="3" w:line="211" w:lineRule="auto"/>
              <w:ind w:left="112" w:right="60" w:firstLine="358"/>
            </w:pPr>
            <w:r>
              <w:t>第二十一条  从事危险货物港口作业的经营人（以下简称危险货物港口经营人）除满足《港口经营管</w:t>
            </w:r>
            <w:r>
              <w:rPr>
                <w:spacing w:val="6"/>
              </w:rPr>
              <w:t xml:space="preserve"> </w:t>
            </w:r>
            <w:r>
              <w:rPr>
                <w:spacing w:val="1"/>
              </w:rPr>
              <w:t>理规定》规定的经营许可条件外，还应当具备</w:t>
            </w:r>
            <w:r>
              <w:t>以下条件</w:t>
            </w:r>
            <w:r>
              <w:rPr>
                <w:spacing w:val="-8"/>
              </w:rPr>
              <w:t>：（</w:t>
            </w:r>
            <w:r>
              <w:t>一）设有安全生产管理机构或者配备专职安全 生产管理人员</w:t>
            </w:r>
            <w:r>
              <w:rPr>
                <w:spacing w:val="1"/>
              </w:rPr>
              <w:t>；（</w:t>
            </w:r>
            <w:r>
              <w:t>二）具有健全的安全管理制度、岗位安全责任制度和操作规程</w:t>
            </w:r>
            <w:r>
              <w:rPr>
                <w:spacing w:val="1"/>
              </w:rPr>
              <w:t>；（</w:t>
            </w:r>
            <w:r>
              <w:t xml:space="preserve">三）有符合国家规定 </w:t>
            </w:r>
            <w:r>
              <w:rPr>
                <w:spacing w:val="-2"/>
              </w:rPr>
              <w:t>的危险货物港口作业设施设备</w:t>
            </w:r>
            <w:r>
              <w:rPr>
                <w:spacing w:val="-11"/>
              </w:rPr>
              <w:t>；（</w:t>
            </w:r>
            <w:r>
              <w:rPr>
                <w:spacing w:val="-2"/>
              </w:rPr>
              <w:t>四）有符合国家规定且经专家</w:t>
            </w:r>
            <w:r>
              <w:rPr>
                <w:spacing w:val="-3"/>
              </w:rPr>
              <w:t>审查通过的事故应急预案和应急设施设备；</w:t>
            </w:r>
            <w:r>
              <w:t xml:space="preserve"> </w:t>
            </w:r>
            <w:r>
              <w:rPr>
                <w:spacing w:val="-1"/>
              </w:rPr>
              <w:t>（五）从事危险化学品作业的，还应当具有取得从业资格证书的装卸管理人员。</w:t>
            </w:r>
          </w:p>
          <w:p w14:paraId="402E11B6">
            <w:pPr>
              <w:pStyle w:val="8"/>
              <w:spacing w:before="4" w:line="208" w:lineRule="auto"/>
              <w:ind w:left="111" w:right="104" w:firstLine="360"/>
            </w:pPr>
            <w:r>
              <w:t>第七十五条  危险货物港口经营人有下列行为之一的，由所在地港口行政管理部门责令限期改正，处</w:t>
            </w:r>
            <w:r>
              <w:rPr>
                <w:spacing w:val="6"/>
              </w:rPr>
              <w:t xml:space="preserve"> </w:t>
            </w:r>
            <w:r>
              <w:t>十万元以下的罚款；逾期未改正的，责令停产停业整顿，并处十万元以上二十万元以下的罚款，对其直接</w:t>
            </w:r>
            <w:r>
              <w:rPr>
                <w:spacing w:val="6"/>
              </w:rPr>
              <w:t xml:space="preserve"> </w:t>
            </w:r>
            <w:r>
              <w:t>负责的主管人员和其他直接责任人员处二万元以上五万元以下的罚款</w:t>
            </w:r>
            <w:r>
              <w:rPr>
                <w:spacing w:val="3"/>
              </w:rPr>
              <w:t>：（</w:t>
            </w:r>
            <w:r>
              <w:t>一）未按照规定设置安全生产管 理机构或者配备安全生产管理人员、注册安全工程师的</w:t>
            </w:r>
            <w:r>
              <w:rPr>
                <w:spacing w:val="3"/>
              </w:rPr>
              <w:t>；（</w:t>
            </w:r>
            <w:r>
              <w:t xml:space="preserve">二）未依法对从业人员、实习学生进行安全生 </w:t>
            </w:r>
            <w:r>
              <w:rPr>
                <w:spacing w:val="-1"/>
              </w:rPr>
              <w:t>产教育、培训，未按照规定如实告知有关的安全生产事项，或者未如实记录安全生产教育、培训情况的；</w:t>
            </w:r>
            <w:r>
              <w:rPr>
                <w:spacing w:val="10"/>
              </w:rPr>
              <w:t xml:space="preserve"> </w:t>
            </w:r>
            <w:r>
              <w:t>（三）未将事故隐患排查治理情况如实记录或者未向从业人员通报的</w:t>
            </w:r>
            <w:r>
              <w:rPr>
                <w:spacing w:val="3"/>
              </w:rPr>
              <w:t>；（</w:t>
            </w:r>
            <w:r>
              <w:t xml:space="preserve">四）未按照规定制定危险货物事 </w:t>
            </w:r>
            <w:r>
              <w:rPr>
                <w:spacing w:val="-2"/>
              </w:rPr>
              <w:t>故应急救援预案或者未定期组织演练的。</w:t>
            </w:r>
          </w:p>
        </w:tc>
        <w:tc>
          <w:tcPr>
            <w:tcW w:w="1010" w:type="dxa"/>
            <w:vAlign w:val="top"/>
          </w:tcPr>
          <w:p w14:paraId="2DE46610">
            <w:pPr>
              <w:spacing w:line="243" w:lineRule="auto"/>
              <w:rPr>
                <w:rFonts w:ascii="Arial"/>
                <w:sz w:val="21"/>
              </w:rPr>
            </w:pPr>
          </w:p>
          <w:p w14:paraId="27C354EB">
            <w:pPr>
              <w:spacing w:line="243" w:lineRule="auto"/>
              <w:rPr>
                <w:rFonts w:ascii="Arial"/>
                <w:sz w:val="21"/>
              </w:rPr>
            </w:pPr>
          </w:p>
          <w:p w14:paraId="2CF28208">
            <w:pPr>
              <w:spacing w:line="243" w:lineRule="auto"/>
              <w:rPr>
                <w:rFonts w:ascii="Arial"/>
                <w:sz w:val="21"/>
              </w:rPr>
            </w:pPr>
          </w:p>
          <w:p w14:paraId="26A15AF5">
            <w:pPr>
              <w:spacing w:line="243" w:lineRule="auto"/>
              <w:rPr>
                <w:rFonts w:ascii="Arial"/>
                <w:sz w:val="21"/>
              </w:rPr>
            </w:pPr>
          </w:p>
          <w:p w14:paraId="3D635B0C">
            <w:pPr>
              <w:spacing w:line="244" w:lineRule="auto"/>
              <w:rPr>
                <w:rFonts w:ascii="Arial"/>
                <w:sz w:val="21"/>
              </w:rPr>
            </w:pPr>
          </w:p>
          <w:p w14:paraId="3C8907EB">
            <w:pPr>
              <w:spacing w:line="244" w:lineRule="auto"/>
              <w:rPr>
                <w:rFonts w:ascii="Arial"/>
                <w:sz w:val="21"/>
              </w:rPr>
            </w:pPr>
          </w:p>
          <w:p w14:paraId="7765307B">
            <w:pPr>
              <w:spacing w:line="244" w:lineRule="auto"/>
              <w:rPr>
                <w:rFonts w:ascii="Arial"/>
                <w:sz w:val="21"/>
              </w:rPr>
            </w:pPr>
          </w:p>
          <w:p w14:paraId="5D9C3784">
            <w:pPr>
              <w:spacing w:line="244" w:lineRule="auto"/>
              <w:rPr>
                <w:rFonts w:ascii="Arial"/>
                <w:sz w:val="21"/>
              </w:rPr>
            </w:pPr>
          </w:p>
          <w:p w14:paraId="34FF035B">
            <w:pPr>
              <w:spacing w:line="244" w:lineRule="auto"/>
              <w:rPr>
                <w:rFonts w:ascii="Arial"/>
                <w:sz w:val="21"/>
              </w:rPr>
            </w:pPr>
          </w:p>
          <w:p w14:paraId="5681DBF7">
            <w:pPr>
              <w:spacing w:line="244" w:lineRule="auto"/>
              <w:rPr>
                <w:rFonts w:ascii="Arial"/>
                <w:sz w:val="21"/>
              </w:rPr>
            </w:pPr>
          </w:p>
          <w:p w14:paraId="685C4102">
            <w:pPr>
              <w:spacing w:line="244" w:lineRule="auto"/>
              <w:rPr>
                <w:rFonts w:ascii="Arial"/>
                <w:sz w:val="21"/>
              </w:rPr>
            </w:pPr>
          </w:p>
          <w:p w14:paraId="0D1E27BA">
            <w:pPr>
              <w:spacing w:line="244" w:lineRule="auto"/>
              <w:rPr>
                <w:rFonts w:ascii="Arial"/>
                <w:sz w:val="21"/>
              </w:rPr>
            </w:pPr>
          </w:p>
          <w:p w14:paraId="202D143F">
            <w:pPr>
              <w:spacing w:line="244" w:lineRule="auto"/>
              <w:rPr>
                <w:rFonts w:ascii="Arial"/>
                <w:sz w:val="21"/>
              </w:rPr>
            </w:pPr>
          </w:p>
          <w:p w14:paraId="2BFB178C">
            <w:pPr>
              <w:spacing w:line="244" w:lineRule="auto"/>
              <w:rPr>
                <w:rFonts w:ascii="Arial"/>
                <w:sz w:val="21"/>
              </w:rPr>
            </w:pPr>
          </w:p>
          <w:p w14:paraId="422C544D">
            <w:pPr>
              <w:spacing w:line="244" w:lineRule="auto"/>
              <w:rPr>
                <w:rFonts w:ascii="Arial"/>
                <w:sz w:val="21"/>
              </w:rPr>
            </w:pPr>
          </w:p>
          <w:p w14:paraId="0154B8C4">
            <w:pPr>
              <w:spacing w:line="244" w:lineRule="auto"/>
              <w:rPr>
                <w:rFonts w:ascii="Arial"/>
                <w:sz w:val="21"/>
              </w:rPr>
            </w:pPr>
          </w:p>
          <w:p w14:paraId="7CC50876">
            <w:pPr>
              <w:spacing w:line="244" w:lineRule="auto"/>
              <w:rPr>
                <w:rFonts w:ascii="Arial"/>
                <w:sz w:val="21"/>
              </w:rPr>
            </w:pPr>
          </w:p>
          <w:p w14:paraId="33A4E84A">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00AFDC09">
            <w:pPr>
              <w:spacing w:line="251" w:lineRule="auto"/>
              <w:rPr>
                <w:rFonts w:ascii="Arial"/>
                <w:sz w:val="21"/>
              </w:rPr>
            </w:pPr>
          </w:p>
          <w:p w14:paraId="252CFEC2">
            <w:pPr>
              <w:spacing w:line="251" w:lineRule="auto"/>
              <w:rPr>
                <w:rFonts w:ascii="Arial"/>
                <w:sz w:val="21"/>
              </w:rPr>
            </w:pPr>
          </w:p>
          <w:p w14:paraId="183BA68C">
            <w:pPr>
              <w:spacing w:line="251" w:lineRule="auto"/>
              <w:rPr>
                <w:rFonts w:ascii="Arial"/>
                <w:sz w:val="21"/>
              </w:rPr>
            </w:pPr>
          </w:p>
          <w:p w14:paraId="45DC54E2">
            <w:pPr>
              <w:spacing w:line="251" w:lineRule="auto"/>
              <w:rPr>
                <w:rFonts w:ascii="Arial"/>
                <w:sz w:val="21"/>
              </w:rPr>
            </w:pPr>
          </w:p>
          <w:p w14:paraId="28448794">
            <w:pPr>
              <w:spacing w:line="251" w:lineRule="auto"/>
              <w:rPr>
                <w:rFonts w:ascii="Arial"/>
                <w:sz w:val="21"/>
              </w:rPr>
            </w:pPr>
          </w:p>
          <w:p w14:paraId="75F3FDCA">
            <w:pPr>
              <w:spacing w:line="251" w:lineRule="auto"/>
              <w:rPr>
                <w:rFonts w:ascii="Arial"/>
                <w:sz w:val="21"/>
              </w:rPr>
            </w:pPr>
          </w:p>
          <w:p w14:paraId="3904E860">
            <w:pPr>
              <w:spacing w:line="251" w:lineRule="auto"/>
              <w:rPr>
                <w:rFonts w:ascii="Arial"/>
                <w:sz w:val="21"/>
              </w:rPr>
            </w:pPr>
          </w:p>
          <w:p w14:paraId="39E3FBF8">
            <w:pPr>
              <w:spacing w:line="252" w:lineRule="auto"/>
              <w:rPr>
                <w:rFonts w:ascii="Arial"/>
                <w:sz w:val="21"/>
              </w:rPr>
            </w:pPr>
          </w:p>
          <w:p w14:paraId="5ACA1E27">
            <w:pPr>
              <w:spacing w:line="252" w:lineRule="auto"/>
              <w:rPr>
                <w:rFonts w:ascii="Arial"/>
                <w:sz w:val="21"/>
              </w:rPr>
            </w:pPr>
          </w:p>
          <w:p w14:paraId="4A13FB65">
            <w:pPr>
              <w:spacing w:line="252" w:lineRule="auto"/>
              <w:rPr>
                <w:rFonts w:ascii="Arial"/>
                <w:sz w:val="21"/>
              </w:rPr>
            </w:pPr>
          </w:p>
          <w:p w14:paraId="642EE93D">
            <w:pPr>
              <w:spacing w:line="252" w:lineRule="auto"/>
              <w:rPr>
                <w:rFonts w:ascii="Arial"/>
                <w:sz w:val="21"/>
              </w:rPr>
            </w:pPr>
          </w:p>
          <w:p w14:paraId="1BCDC7E8">
            <w:pPr>
              <w:spacing w:line="252" w:lineRule="auto"/>
              <w:rPr>
                <w:rFonts w:ascii="Arial"/>
                <w:sz w:val="21"/>
              </w:rPr>
            </w:pPr>
          </w:p>
          <w:p w14:paraId="6776684D">
            <w:pPr>
              <w:spacing w:line="252" w:lineRule="auto"/>
              <w:rPr>
                <w:rFonts w:ascii="Arial"/>
                <w:sz w:val="21"/>
              </w:rPr>
            </w:pPr>
          </w:p>
          <w:p w14:paraId="3A08B6EB">
            <w:pPr>
              <w:pStyle w:val="8"/>
              <w:spacing w:before="59" w:line="234" w:lineRule="auto"/>
              <w:ind w:left="530" w:right="104" w:hanging="413"/>
              <w:rPr>
                <w:rFonts w:hint="eastAsia"/>
                <w:spacing w:val="-12"/>
                <w:lang w:eastAsia="zh-CN"/>
              </w:rPr>
            </w:pPr>
          </w:p>
          <w:p w14:paraId="238D3384">
            <w:pPr>
              <w:pStyle w:val="8"/>
              <w:spacing w:before="59" w:line="234" w:lineRule="auto"/>
              <w:ind w:left="530" w:right="104" w:hanging="413"/>
              <w:rPr>
                <w:rFonts w:hint="eastAsia"/>
                <w:spacing w:val="-12"/>
                <w:lang w:eastAsia="zh-CN"/>
              </w:rPr>
            </w:pPr>
          </w:p>
          <w:p w14:paraId="1BE3A8D4">
            <w:pPr>
              <w:pStyle w:val="8"/>
              <w:spacing w:before="59" w:line="234" w:lineRule="auto"/>
              <w:ind w:left="530" w:right="104" w:hanging="413"/>
              <w:rPr>
                <w:rFonts w:hint="eastAsia"/>
                <w:spacing w:val="-12"/>
                <w:lang w:eastAsia="zh-CN"/>
              </w:rPr>
            </w:pPr>
          </w:p>
          <w:p w14:paraId="7A1F302D">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4" w:type="dxa"/>
            <w:vAlign w:val="top"/>
          </w:tcPr>
          <w:p w14:paraId="41396614">
            <w:pPr>
              <w:spacing w:line="251" w:lineRule="auto"/>
              <w:rPr>
                <w:rFonts w:ascii="Arial"/>
                <w:sz w:val="21"/>
              </w:rPr>
            </w:pPr>
          </w:p>
          <w:p w14:paraId="78527E90">
            <w:pPr>
              <w:spacing w:line="251" w:lineRule="auto"/>
              <w:rPr>
                <w:rFonts w:ascii="Arial"/>
                <w:sz w:val="21"/>
              </w:rPr>
            </w:pPr>
          </w:p>
          <w:p w14:paraId="51B3235E">
            <w:pPr>
              <w:spacing w:line="251" w:lineRule="auto"/>
              <w:rPr>
                <w:rFonts w:ascii="Arial"/>
                <w:sz w:val="21"/>
              </w:rPr>
            </w:pPr>
          </w:p>
          <w:p w14:paraId="434D756B">
            <w:pPr>
              <w:spacing w:line="251" w:lineRule="auto"/>
              <w:rPr>
                <w:rFonts w:ascii="Arial"/>
                <w:sz w:val="21"/>
              </w:rPr>
            </w:pPr>
          </w:p>
          <w:p w14:paraId="750DA21C">
            <w:pPr>
              <w:spacing w:line="251" w:lineRule="auto"/>
              <w:rPr>
                <w:rFonts w:ascii="Arial"/>
                <w:sz w:val="21"/>
              </w:rPr>
            </w:pPr>
          </w:p>
          <w:p w14:paraId="4FA0D0B3">
            <w:pPr>
              <w:spacing w:line="251" w:lineRule="auto"/>
              <w:rPr>
                <w:rFonts w:ascii="Arial"/>
                <w:sz w:val="21"/>
              </w:rPr>
            </w:pPr>
          </w:p>
          <w:p w14:paraId="274BB9E3">
            <w:pPr>
              <w:spacing w:line="251" w:lineRule="auto"/>
              <w:rPr>
                <w:rFonts w:ascii="Arial"/>
                <w:sz w:val="21"/>
              </w:rPr>
            </w:pPr>
          </w:p>
          <w:p w14:paraId="4DB65337">
            <w:pPr>
              <w:spacing w:line="252" w:lineRule="auto"/>
              <w:rPr>
                <w:rFonts w:ascii="Arial"/>
                <w:sz w:val="21"/>
              </w:rPr>
            </w:pPr>
          </w:p>
          <w:p w14:paraId="19B0B14F">
            <w:pPr>
              <w:spacing w:line="252" w:lineRule="auto"/>
              <w:rPr>
                <w:rFonts w:ascii="Arial"/>
                <w:sz w:val="21"/>
              </w:rPr>
            </w:pPr>
          </w:p>
          <w:p w14:paraId="54718685">
            <w:pPr>
              <w:spacing w:line="252" w:lineRule="auto"/>
              <w:rPr>
                <w:rFonts w:ascii="Arial"/>
                <w:sz w:val="21"/>
              </w:rPr>
            </w:pPr>
          </w:p>
          <w:p w14:paraId="08F34D56">
            <w:pPr>
              <w:spacing w:line="252" w:lineRule="auto"/>
              <w:rPr>
                <w:rFonts w:ascii="Arial"/>
                <w:sz w:val="21"/>
              </w:rPr>
            </w:pPr>
          </w:p>
          <w:p w14:paraId="288EFEF8">
            <w:pPr>
              <w:spacing w:line="252" w:lineRule="auto"/>
              <w:rPr>
                <w:rFonts w:ascii="Arial"/>
                <w:sz w:val="21"/>
              </w:rPr>
            </w:pPr>
          </w:p>
          <w:p w14:paraId="1CD2963E">
            <w:pPr>
              <w:spacing w:line="252" w:lineRule="auto"/>
              <w:rPr>
                <w:rFonts w:ascii="Arial"/>
                <w:sz w:val="21"/>
              </w:rPr>
            </w:pPr>
          </w:p>
          <w:p w14:paraId="74B8ECF3">
            <w:pPr>
              <w:spacing w:line="252" w:lineRule="auto"/>
              <w:rPr>
                <w:rFonts w:ascii="Arial"/>
                <w:sz w:val="21"/>
              </w:rPr>
            </w:pPr>
          </w:p>
          <w:p w14:paraId="510911A5">
            <w:pPr>
              <w:spacing w:line="252" w:lineRule="auto"/>
              <w:rPr>
                <w:rFonts w:ascii="Arial"/>
                <w:sz w:val="21"/>
              </w:rPr>
            </w:pPr>
          </w:p>
          <w:p w14:paraId="16DC9FF9">
            <w:pPr>
              <w:spacing w:line="252" w:lineRule="auto"/>
              <w:rPr>
                <w:rFonts w:ascii="Arial"/>
                <w:sz w:val="21"/>
              </w:rPr>
            </w:pPr>
          </w:p>
          <w:p w14:paraId="16E205C6">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08FC6EF9">
      <w:pPr>
        <w:pStyle w:val="2"/>
        <w:spacing w:line="219" w:lineRule="exact"/>
        <w:rPr>
          <w:sz w:val="19"/>
        </w:rPr>
      </w:pPr>
    </w:p>
    <w:p w14:paraId="0325811D">
      <w:pPr>
        <w:spacing w:line="219" w:lineRule="exact"/>
        <w:rPr>
          <w:sz w:val="19"/>
          <w:szCs w:val="19"/>
        </w:rPr>
        <w:sectPr>
          <w:footerReference r:id="rId138" w:type="default"/>
          <w:pgSz w:w="16839" w:h="11906"/>
          <w:pgMar w:top="1012" w:right="1034" w:bottom="967" w:left="1043" w:header="0" w:footer="768" w:gutter="0"/>
          <w:cols w:space="720" w:num="1"/>
        </w:sectPr>
      </w:pPr>
    </w:p>
    <w:p w14:paraId="778E7DF9">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77A77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16D3031E">
            <w:pPr>
              <w:pStyle w:val="8"/>
              <w:spacing w:before="259" w:line="221" w:lineRule="auto"/>
              <w:ind w:left="134"/>
            </w:pPr>
            <w:r>
              <w:rPr>
                <w:b/>
                <w:bCs/>
                <w:spacing w:val="-4"/>
              </w:rPr>
              <w:t>序号</w:t>
            </w:r>
          </w:p>
        </w:tc>
        <w:tc>
          <w:tcPr>
            <w:tcW w:w="1100" w:type="dxa"/>
            <w:vMerge w:val="restart"/>
            <w:tcBorders>
              <w:bottom w:val="nil"/>
            </w:tcBorders>
            <w:vAlign w:val="top"/>
          </w:tcPr>
          <w:p w14:paraId="4C34CB0F">
            <w:pPr>
              <w:pStyle w:val="8"/>
              <w:spacing w:before="260" w:line="220" w:lineRule="auto"/>
              <w:ind w:left="189"/>
            </w:pPr>
            <w:r>
              <w:rPr>
                <w:b/>
                <w:bCs/>
                <w:spacing w:val="-4"/>
              </w:rPr>
              <w:t>事项名称</w:t>
            </w:r>
          </w:p>
        </w:tc>
        <w:tc>
          <w:tcPr>
            <w:tcW w:w="1100" w:type="dxa"/>
            <w:vMerge w:val="restart"/>
            <w:tcBorders>
              <w:bottom w:val="nil"/>
            </w:tcBorders>
            <w:vAlign w:val="top"/>
          </w:tcPr>
          <w:p w14:paraId="5B800EB0">
            <w:pPr>
              <w:pStyle w:val="8"/>
              <w:spacing w:before="260" w:line="219" w:lineRule="auto"/>
              <w:ind w:left="191"/>
            </w:pPr>
            <w:r>
              <w:rPr>
                <w:b/>
                <w:bCs/>
                <w:spacing w:val="-4"/>
              </w:rPr>
              <w:t>职权类型</w:t>
            </w:r>
          </w:p>
        </w:tc>
        <w:tc>
          <w:tcPr>
            <w:tcW w:w="8508" w:type="dxa"/>
            <w:vMerge w:val="restart"/>
            <w:tcBorders>
              <w:bottom w:val="nil"/>
            </w:tcBorders>
            <w:vAlign w:val="top"/>
          </w:tcPr>
          <w:p w14:paraId="3D358FEF">
            <w:pPr>
              <w:pStyle w:val="8"/>
              <w:spacing w:before="259" w:line="219" w:lineRule="auto"/>
              <w:ind w:left="3900"/>
            </w:pPr>
            <w:r>
              <w:rPr>
                <w:b/>
                <w:bCs/>
                <w:spacing w:val="-5"/>
              </w:rPr>
              <w:t>实施依据</w:t>
            </w:r>
          </w:p>
        </w:tc>
        <w:tc>
          <w:tcPr>
            <w:tcW w:w="3425" w:type="dxa"/>
            <w:gridSpan w:val="3"/>
            <w:vAlign w:val="top"/>
          </w:tcPr>
          <w:p w14:paraId="4604BDC3">
            <w:pPr>
              <w:pStyle w:val="8"/>
              <w:spacing w:before="85" w:line="220" w:lineRule="auto"/>
              <w:ind w:left="1358"/>
            </w:pPr>
            <w:r>
              <w:rPr>
                <w:b/>
                <w:bCs/>
                <w:spacing w:val="-5"/>
              </w:rPr>
              <w:t>实施主体</w:t>
            </w:r>
          </w:p>
        </w:tc>
      </w:tr>
      <w:tr w14:paraId="3F0BF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51BDBF75">
            <w:pPr>
              <w:rPr>
                <w:rFonts w:ascii="Arial"/>
                <w:sz w:val="21"/>
              </w:rPr>
            </w:pPr>
          </w:p>
        </w:tc>
        <w:tc>
          <w:tcPr>
            <w:tcW w:w="1100" w:type="dxa"/>
            <w:vMerge w:val="continue"/>
            <w:tcBorders>
              <w:top w:val="nil"/>
            </w:tcBorders>
            <w:vAlign w:val="top"/>
          </w:tcPr>
          <w:p w14:paraId="16EC0310">
            <w:pPr>
              <w:rPr>
                <w:rFonts w:ascii="Arial"/>
                <w:sz w:val="21"/>
              </w:rPr>
            </w:pPr>
          </w:p>
        </w:tc>
        <w:tc>
          <w:tcPr>
            <w:tcW w:w="1100" w:type="dxa"/>
            <w:vMerge w:val="continue"/>
            <w:tcBorders>
              <w:top w:val="nil"/>
            </w:tcBorders>
            <w:vAlign w:val="top"/>
          </w:tcPr>
          <w:p w14:paraId="3EC062E1">
            <w:pPr>
              <w:rPr>
                <w:rFonts w:ascii="Arial"/>
                <w:sz w:val="21"/>
              </w:rPr>
            </w:pPr>
          </w:p>
        </w:tc>
        <w:tc>
          <w:tcPr>
            <w:tcW w:w="8508" w:type="dxa"/>
            <w:vMerge w:val="continue"/>
            <w:tcBorders>
              <w:top w:val="nil"/>
            </w:tcBorders>
            <w:vAlign w:val="top"/>
          </w:tcPr>
          <w:p w14:paraId="13D549DA">
            <w:pPr>
              <w:rPr>
                <w:rFonts w:ascii="Arial"/>
                <w:sz w:val="21"/>
              </w:rPr>
            </w:pPr>
          </w:p>
        </w:tc>
        <w:tc>
          <w:tcPr>
            <w:tcW w:w="1010" w:type="dxa"/>
            <w:vAlign w:val="top"/>
          </w:tcPr>
          <w:p w14:paraId="1A51AFAD">
            <w:pPr>
              <w:pStyle w:val="8"/>
              <w:spacing w:before="81" w:line="219" w:lineRule="auto"/>
              <w:ind w:left="155"/>
            </w:pPr>
            <w:r>
              <w:rPr>
                <w:b/>
                <w:bCs/>
                <w:spacing w:val="-5"/>
              </w:rPr>
              <w:t>责任部门</w:t>
            </w:r>
          </w:p>
        </w:tc>
        <w:tc>
          <w:tcPr>
            <w:tcW w:w="1401" w:type="dxa"/>
            <w:vAlign w:val="top"/>
          </w:tcPr>
          <w:p w14:paraId="29E4568D">
            <w:pPr>
              <w:pStyle w:val="8"/>
              <w:spacing w:before="81" w:line="219" w:lineRule="auto"/>
              <w:ind w:left="164"/>
            </w:pPr>
            <w:r>
              <w:rPr>
                <w:b/>
                <w:bCs/>
                <w:spacing w:val="-3"/>
              </w:rPr>
              <w:t>第一责任层级</w:t>
            </w:r>
          </w:p>
        </w:tc>
        <w:tc>
          <w:tcPr>
            <w:tcW w:w="1014" w:type="dxa"/>
            <w:vAlign w:val="top"/>
          </w:tcPr>
          <w:p w14:paraId="43FDB710">
            <w:pPr>
              <w:pStyle w:val="8"/>
              <w:spacing w:before="81" w:line="219" w:lineRule="auto"/>
              <w:ind w:left="150"/>
            </w:pPr>
            <w:r>
              <w:rPr>
                <w:b/>
                <w:bCs/>
                <w:spacing w:val="-4"/>
              </w:rPr>
              <w:t>承办机构</w:t>
            </w:r>
          </w:p>
        </w:tc>
      </w:tr>
      <w:tr w14:paraId="5CD4A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3" w:hRule="atLeast"/>
        </w:trPr>
        <w:tc>
          <w:tcPr>
            <w:tcW w:w="622" w:type="dxa"/>
            <w:vAlign w:val="top"/>
          </w:tcPr>
          <w:p w14:paraId="75E880A0">
            <w:pPr>
              <w:spacing w:line="272" w:lineRule="auto"/>
              <w:rPr>
                <w:rFonts w:ascii="Arial"/>
                <w:sz w:val="21"/>
              </w:rPr>
            </w:pPr>
          </w:p>
          <w:p w14:paraId="6B3A7A29">
            <w:pPr>
              <w:spacing w:line="272" w:lineRule="auto"/>
              <w:rPr>
                <w:rFonts w:ascii="Arial"/>
                <w:sz w:val="21"/>
              </w:rPr>
            </w:pPr>
          </w:p>
          <w:p w14:paraId="68620E0A">
            <w:pPr>
              <w:spacing w:line="273" w:lineRule="auto"/>
              <w:rPr>
                <w:rFonts w:ascii="Arial"/>
                <w:sz w:val="21"/>
              </w:rPr>
            </w:pPr>
          </w:p>
          <w:p w14:paraId="4A0BB5ED">
            <w:pPr>
              <w:spacing w:line="273" w:lineRule="auto"/>
              <w:rPr>
                <w:rFonts w:ascii="Arial"/>
                <w:sz w:val="21"/>
              </w:rPr>
            </w:pPr>
          </w:p>
          <w:p w14:paraId="0ABCFF60">
            <w:pPr>
              <w:spacing w:line="273" w:lineRule="auto"/>
              <w:rPr>
                <w:rFonts w:ascii="Arial"/>
                <w:sz w:val="21"/>
              </w:rPr>
            </w:pPr>
          </w:p>
          <w:p w14:paraId="1056646E">
            <w:pPr>
              <w:spacing w:line="273" w:lineRule="auto"/>
              <w:rPr>
                <w:rFonts w:ascii="Arial"/>
                <w:sz w:val="21"/>
              </w:rPr>
            </w:pPr>
          </w:p>
          <w:p w14:paraId="33438785">
            <w:pPr>
              <w:spacing w:line="273" w:lineRule="auto"/>
              <w:rPr>
                <w:rFonts w:ascii="Arial"/>
                <w:sz w:val="21"/>
              </w:rPr>
            </w:pPr>
          </w:p>
          <w:p w14:paraId="3E2F5728">
            <w:pPr>
              <w:pStyle w:val="8"/>
              <w:spacing w:before="59" w:line="183" w:lineRule="auto"/>
              <w:ind w:left="228"/>
            </w:pPr>
            <w:r>
              <w:rPr>
                <w:spacing w:val="-4"/>
              </w:rPr>
              <w:t>23</w:t>
            </w:r>
          </w:p>
        </w:tc>
        <w:tc>
          <w:tcPr>
            <w:tcW w:w="1100" w:type="dxa"/>
            <w:vAlign w:val="top"/>
          </w:tcPr>
          <w:p w14:paraId="2911CEE6">
            <w:pPr>
              <w:spacing w:line="264" w:lineRule="auto"/>
              <w:rPr>
                <w:rFonts w:ascii="Arial"/>
                <w:sz w:val="21"/>
              </w:rPr>
            </w:pPr>
          </w:p>
          <w:p w14:paraId="67B17D14">
            <w:pPr>
              <w:spacing w:line="264" w:lineRule="auto"/>
              <w:rPr>
                <w:rFonts w:ascii="Arial"/>
                <w:sz w:val="21"/>
              </w:rPr>
            </w:pPr>
          </w:p>
          <w:p w14:paraId="3C5BF464">
            <w:pPr>
              <w:spacing w:line="264" w:lineRule="auto"/>
              <w:rPr>
                <w:rFonts w:ascii="Arial"/>
                <w:sz w:val="21"/>
              </w:rPr>
            </w:pPr>
          </w:p>
          <w:p w14:paraId="7C3C3232">
            <w:pPr>
              <w:spacing w:line="264" w:lineRule="auto"/>
              <w:rPr>
                <w:rFonts w:ascii="Arial"/>
                <w:sz w:val="21"/>
              </w:rPr>
            </w:pPr>
          </w:p>
          <w:p w14:paraId="18A94BE7">
            <w:pPr>
              <w:pStyle w:val="8"/>
              <w:spacing w:before="58" w:line="243" w:lineRule="auto"/>
              <w:ind w:left="59" w:right="55"/>
              <w:jc w:val="both"/>
            </w:pPr>
            <w:r>
              <w:rPr>
                <w:spacing w:val="16"/>
              </w:rPr>
              <w:t>对危险货物</w:t>
            </w:r>
            <w:r>
              <w:t xml:space="preserve"> </w:t>
            </w:r>
            <w:r>
              <w:rPr>
                <w:spacing w:val="16"/>
              </w:rPr>
              <w:t>港口作业未</w:t>
            </w:r>
            <w:r>
              <w:t xml:space="preserve"> </w:t>
            </w:r>
            <w:r>
              <w:rPr>
                <w:spacing w:val="16"/>
              </w:rPr>
              <w:t>建立专门安</w:t>
            </w:r>
            <w:r>
              <w:t xml:space="preserve"> </w:t>
            </w:r>
            <w:r>
              <w:rPr>
                <w:spacing w:val="-9"/>
              </w:rPr>
              <w:t>全</w:t>
            </w:r>
            <w:r>
              <w:rPr>
                <w:spacing w:val="10"/>
              </w:rPr>
              <w:t xml:space="preserve"> </w:t>
            </w:r>
            <w:r>
              <w:rPr>
                <w:spacing w:val="-9"/>
              </w:rPr>
              <w:t>管</w:t>
            </w:r>
            <w:r>
              <w:rPr>
                <w:spacing w:val="8"/>
              </w:rPr>
              <w:t xml:space="preserve"> </w:t>
            </w:r>
            <w:r>
              <w:rPr>
                <w:spacing w:val="-9"/>
              </w:rPr>
              <w:t>理</w:t>
            </w:r>
            <w:r>
              <w:rPr>
                <w:spacing w:val="7"/>
              </w:rPr>
              <w:t xml:space="preserve"> </w:t>
            </w:r>
            <w:r>
              <w:rPr>
                <w:spacing w:val="-9"/>
              </w:rPr>
              <w:t>制</w:t>
            </w:r>
            <w:r>
              <w:t xml:space="preserve"> </w:t>
            </w:r>
            <w:r>
              <w:rPr>
                <w:spacing w:val="16"/>
              </w:rPr>
              <w:t>度、未采取</w:t>
            </w:r>
            <w:r>
              <w:t xml:space="preserve"> </w:t>
            </w:r>
            <w:r>
              <w:rPr>
                <w:spacing w:val="16"/>
              </w:rPr>
              <w:t>可靠的安全</w:t>
            </w:r>
            <w:r>
              <w:t xml:space="preserve"> </w:t>
            </w:r>
            <w:r>
              <w:rPr>
                <w:spacing w:val="16"/>
              </w:rPr>
              <w:t>措施的行政</w:t>
            </w:r>
            <w:r>
              <w:t xml:space="preserve"> </w:t>
            </w:r>
            <w:r>
              <w:rPr>
                <w:spacing w:val="-2"/>
              </w:rPr>
              <w:t>处罚</w:t>
            </w:r>
          </w:p>
        </w:tc>
        <w:tc>
          <w:tcPr>
            <w:tcW w:w="1100" w:type="dxa"/>
            <w:vAlign w:val="top"/>
          </w:tcPr>
          <w:p w14:paraId="22D557CB">
            <w:pPr>
              <w:spacing w:line="268" w:lineRule="auto"/>
              <w:rPr>
                <w:rFonts w:ascii="Arial"/>
                <w:sz w:val="21"/>
              </w:rPr>
            </w:pPr>
          </w:p>
          <w:p w14:paraId="4161E6D3">
            <w:pPr>
              <w:spacing w:line="268" w:lineRule="auto"/>
              <w:rPr>
                <w:rFonts w:ascii="Arial"/>
                <w:sz w:val="21"/>
              </w:rPr>
            </w:pPr>
          </w:p>
          <w:p w14:paraId="224396F7">
            <w:pPr>
              <w:spacing w:line="269" w:lineRule="auto"/>
              <w:rPr>
                <w:rFonts w:ascii="Arial"/>
                <w:sz w:val="21"/>
              </w:rPr>
            </w:pPr>
          </w:p>
          <w:p w14:paraId="710EBC45">
            <w:pPr>
              <w:spacing w:line="269" w:lineRule="auto"/>
              <w:rPr>
                <w:rFonts w:ascii="Arial"/>
                <w:sz w:val="21"/>
              </w:rPr>
            </w:pPr>
          </w:p>
          <w:p w14:paraId="1A00F3CC">
            <w:pPr>
              <w:spacing w:line="269" w:lineRule="auto"/>
              <w:rPr>
                <w:rFonts w:ascii="Arial"/>
                <w:sz w:val="21"/>
              </w:rPr>
            </w:pPr>
          </w:p>
          <w:p w14:paraId="2157976E">
            <w:pPr>
              <w:spacing w:line="269" w:lineRule="auto"/>
              <w:rPr>
                <w:rFonts w:ascii="Arial"/>
                <w:sz w:val="21"/>
              </w:rPr>
            </w:pPr>
          </w:p>
          <w:p w14:paraId="1A4C1192">
            <w:pPr>
              <w:spacing w:line="269" w:lineRule="auto"/>
              <w:rPr>
                <w:rFonts w:ascii="Arial"/>
                <w:sz w:val="21"/>
              </w:rPr>
            </w:pPr>
          </w:p>
          <w:p w14:paraId="0DD46739">
            <w:pPr>
              <w:pStyle w:val="8"/>
              <w:spacing w:before="58" w:line="220" w:lineRule="auto"/>
              <w:ind w:left="112"/>
            </w:pPr>
            <w:r>
              <w:rPr>
                <w:spacing w:val="-2"/>
              </w:rPr>
              <w:t>行政处罚</w:t>
            </w:r>
          </w:p>
        </w:tc>
        <w:tc>
          <w:tcPr>
            <w:tcW w:w="8508" w:type="dxa"/>
            <w:vAlign w:val="top"/>
          </w:tcPr>
          <w:p w14:paraId="0D6D4BE2">
            <w:pPr>
              <w:pStyle w:val="8"/>
              <w:spacing w:before="38" w:line="219" w:lineRule="auto"/>
              <w:ind w:left="484"/>
            </w:pPr>
            <w:r>
              <w:rPr>
                <w:b/>
                <w:bCs/>
                <w:spacing w:val="-4"/>
              </w:rPr>
              <w:t>1.《中华人民共和国安全生产法》</w:t>
            </w:r>
          </w:p>
          <w:p w14:paraId="1195E554">
            <w:pPr>
              <w:pStyle w:val="8"/>
              <w:spacing w:before="26" w:line="237" w:lineRule="auto"/>
              <w:ind w:left="114" w:right="104" w:firstLine="357"/>
            </w:pPr>
            <w:r>
              <w:t>第三十九条第二款  生产经营单位生产、经营、运输、储存、使用危险物品或者处置废弃危险物品，</w:t>
            </w:r>
            <w:r>
              <w:rPr>
                <w:spacing w:val="3"/>
              </w:rPr>
              <w:t xml:space="preserve"> </w:t>
            </w:r>
            <w:r>
              <w:t>必须执行有关法律、法规和国家标准或者行业标准，建立专门的安全管理制度，采取可靠的安全措施，接</w:t>
            </w:r>
            <w:r>
              <w:rPr>
                <w:spacing w:val="3"/>
              </w:rPr>
              <w:t xml:space="preserve"> </w:t>
            </w:r>
            <w:r>
              <w:rPr>
                <w:spacing w:val="-2"/>
              </w:rPr>
              <w:t>受有关主管部门依法实施的监督管理。</w:t>
            </w:r>
          </w:p>
          <w:p w14:paraId="72F83B58">
            <w:pPr>
              <w:pStyle w:val="8"/>
              <w:spacing w:before="26" w:line="241" w:lineRule="auto"/>
              <w:ind w:left="109" w:right="104" w:firstLine="361"/>
            </w:pPr>
            <w:r>
              <w:t>第一百零一条第（一）项  生产经营单位有下列行为之一的，责令限期改正，处十万元以下的罚款；</w:t>
            </w:r>
            <w:r>
              <w:rPr>
                <w:spacing w:val="1"/>
              </w:rPr>
              <w:t xml:space="preserve"> </w:t>
            </w:r>
            <w:r>
              <w:t>逾期未改正的，责令停产停业整顿，并处十万元以上二十万元以下的罚款，对其直接负责的主管人员和其</w:t>
            </w:r>
            <w:r>
              <w:rPr>
                <w:spacing w:val="7"/>
              </w:rPr>
              <w:t xml:space="preserve"> </w:t>
            </w:r>
            <w:r>
              <w:rPr>
                <w:spacing w:val="-2"/>
              </w:rPr>
              <w:t>他直接责任人员处二万元以上五万元以下的罚款；构成犯罪的，依照刑法有关规定追究刑事责任:（一）生</w:t>
            </w:r>
            <w:r>
              <w:rPr>
                <w:spacing w:val="11"/>
              </w:rPr>
              <w:t xml:space="preserve"> </w:t>
            </w:r>
            <w:r>
              <w:t>产、经营、运输、储存、使用危险物品或者处置废弃危险物品，未建立专门安全管理制度、未采取可靠的</w:t>
            </w:r>
            <w:r>
              <w:rPr>
                <w:spacing w:val="7"/>
              </w:rPr>
              <w:t xml:space="preserve"> </w:t>
            </w:r>
            <w:r>
              <w:rPr>
                <w:spacing w:val="-7"/>
              </w:rPr>
              <w:t>安全措施的；</w:t>
            </w:r>
          </w:p>
          <w:p w14:paraId="47AC812F">
            <w:pPr>
              <w:pStyle w:val="8"/>
              <w:spacing w:before="24" w:line="219" w:lineRule="auto"/>
              <w:ind w:left="473"/>
            </w:pPr>
            <w:r>
              <w:rPr>
                <w:b/>
                <w:bCs/>
                <w:spacing w:val="-2"/>
              </w:rPr>
              <w:t>2.《港口危险货物安全管理规定》（交通运输部</w:t>
            </w:r>
            <w:r>
              <w:rPr>
                <w:b/>
                <w:bCs/>
                <w:spacing w:val="-3"/>
              </w:rPr>
              <w:t>令（2023</w:t>
            </w:r>
            <w:r>
              <w:rPr>
                <w:spacing w:val="-38"/>
              </w:rPr>
              <w:t xml:space="preserve"> </w:t>
            </w:r>
            <w:r>
              <w:rPr>
                <w:b/>
                <w:bCs/>
                <w:spacing w:val="-3"/>
              </w:rPr>
              <w:t>年第</w:t>
            </w:r>
            <w:r>
              <w:rPr>
                <w:spacing w:val="-34"/>
              </w:rPr>
              <w:t xml:space="preserve"> </w:t>
            </w:r>
            <w:r>
              <w:rPr>
                <w:b/>
                <w:bCs/>
                <w:spacing w:val="-3"/>
              </w:rPr>
              <w:t>8</w:t>
            </w:r>
            <w:r>
              <w:rPr>
                <w:spacing w:val="-34"/>
              </w:rPr>
              <w:t xml:space="preserve"> </w:t>
            </w:r>
            <w:r>
              <w:rPr>
                <w:b/>
                <w:bCs/>
                <w:spacing w:val="-3"/>
              </w:rPr>
              <w:t>号</w:t>
            </w:r>
            <w:r>
              <w:rPr>
                <w:b/>
                <w:bCs/>
                <w:spacing w:val="-5"/>
              </w:rPr>
              <w:t>））</w:t>
            </w:r>
          </w:p>
          <w:p w14:paraId="496FF7AF">
            <w:pPr>
              <w:pStyle w:val="8"/>
              <w:spacing w:before="28" w:line="237" w:lineRule="auto"/>
              <w:ind w:left="114" w:right="104" w:firstLine="356"/>
              <w:jc w:val="both"/>
            </w:pPr>
            <w:r>
              <w:rPr>
                <w:spacing w:val="-4"/>
              </w:rPr>
              <w:t>第二十一条第（二）项  从事危险货物港口作业的经营人（以下简称危险货物港口经营人）除满足《港</w:t>
            </w:r>
            <w:r>
              <w:rPr>
                <w:spacing w:val="3"/>
              </w:rPr>
              <w:t xml:space="preserve"> </w:t>
            </w:r>
            <w:r>
              <w:t>口经营管理规定》规定的经营许可条件外，还应当具备以下条件</w:t>
            </w:r>
            <w:r>
              <w:rPr>
                <w:spacing w:val="1"/>
              </w:rPr>
              <w:t>：（</w:t>
            </w:r>
            <w:r>
              <w:t xml:space="preserve">二）具有健全的安全管理制度、岗位 </w:t>
            </w:r>
            <w:r>
              <w:rPr>
                <w:spacing w:val="-5"/>
              </w:rPr>
              <w:t>安全责任制度和操作规程；</w:t>
            </w:r>
          </w:p>
          <w:p w14:paraId="1DA1BF21">
            <w:pPr>
              <w:pStyle w:val="8"/>
              <w:spacing w:before="28" w:line="234" w:lineRule="auto"/>
              <w:ind w:left="110" w:right="58" w:firstLine="360"/>
              <w:jc w:val="both"/>
            </w:pPr>
            <w:r>
              <w:t>第七十六条第（一）项  危险货物港口经营人有下列行为之一的，由所在地港口行政管理部门责令限</w:t>
            </w:r>
            <w:r>
              <w:rPr>
                <w:spacing w:val="6"/>
              </w:rPr>
              <w:t xml:space="preserve"> </w:t>
            </w:r>
            <w:r>
              <w:rPr>
                <w:spacing w:val="-3"/>
              </w:rPr>
              <w:t>期改正，处十万元以下的罚款；逾期未改正的，责令停产停业整顿，并处十万元以上二十万元以下的罚款，</w:t>
            </w:r>
            <w:r>
              <w:rPr>
                <w:spacing w:val="14"/>
              </w:rPr>
              <w:t xml:space="preserve"> </w:t>
            </w:r>
            <w:r>
              <w:rPr>
                <w:spacing w:val="1"/>
              </w:rPr>
              <w:t>对其直接负责的主管人员和其他直接责任人员处二</w:t>
            </w:r>
            <w:r>
              <w:t>万元以上五万元以下的罚款</w:t>
            </w:r>
            <w:r>
              <w:rPr>
                <w:spacing w:val="-8"/>
              </w:rPr>
              <w:t>：（</w:t>
            </w:r>
            <w:r>
              <w:t>一）危险货物港口作业</w:t>
            </w:r>
            <w:r>
              <w:rPr>
                <w:spacing w:val="1"/>
              </w:rPr>
              <w:t xml:space="preserve"> </w:t>
            </w:r>
            <w:r>
              <w:rPr>
                <w:spacing w:val="-2"/>
              </w:rPr>
              <w:t>未建立专门安全管理制度、未采取可靠的安全措施的；</w:t>
            </w:r>
          </w:p>
        </w:tc>
        <w:tc>
          <w:tcPr>
            <w:tcW w:w="1010" w:type="dxa"/>
            <w:vAlign w:val="top"/>
          </w:tcPr>
          <w:p w14:paraId="45B331A4">
            <w:pPr>
              <w:spacing w:line="252" w:lineRule="auto"/>
              <w:rPr>
                <w:rFonts w:ascii="Arial"/>
                <w:sz w:val="21"/>
              </w:rPr>
            </w:pPr>
          </w:p>
          <w:p w14:paraId="2F010AC5">
            <w:pPr>
              <w:spacing w:line="252" w:lineRule="auto"/>
              <w:rPr>
                <w:rFonts w:ascii="Arial"/>
                <w:sz w:val="21"/>
              </w:rPr>
            </w:pPr>
          </w:p>
          <w:p w14:paraId="1253117B">
            <w:pPr>
              <w:spacing w:line="252" w:lineRule="auto"/>
              <w:rPr>
                <w:rFonts w:ascii="Arial"/>
                <w:sz w:val="21"/>
              </w:rPr>
            </w:pPr>
          </w:p>
          <w:p w14:paraId="63EEF502">
            <w:pPr>
              <w:spacing w:line="253" w:lineRule="auto"/>
              <w:rPr>
                <w:rFonts w:ascii="Arial"/>
                <w:sz w:val="21"/>
              </w:rPr>
            </w:pPr>
          </w:p>
          <w:p w14:paraId="3AC0F3FB">
            <w:pPr>
              <w:spacing w:line="253" w:lineRule="auto"/>
              <w:rPr>
                <w:rFonts w:ascii="Arial"/>
                <w:sz w:val="21"/>
              </w:rPr>
            </w:pPr>
          </w:p>
          <w:p w14:paraId="65CBF29B">
            <w:pPr>
              <w:spacing w:line="253" w:lineRule="auto"/>
              <w:rPr>
                <w:rFonts w:ascii="Arial"/>
                <w:sz w:val="21"/>
              </w:rPr>
            </w:pPr>
          </w:p>
          <w:p w14:paraId="42AF3FD5">
            <w:pPr>
              <w:spacing w:line="253" w:lineRule="auto"/>
              <w:rPr>
                <w:rFonts w:ascii="Arial"/>
                <w:sz w:val="21"/>
              </w:rPr>
            </w:pPr>
          </w:p>
          <w:p w14:paraId="7FF3A99D">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6B24D727">
            <w:pPr>
              <w:pStyle w:val="8"/>
              <w:spacing w:before="59" w:line="234" w:lineRule="auto"/>
              <w:ind w:left="530" w:right="104" w:hanging="413"/>
              <w:rPr>
                <w:rFonts w:hint="eastAsia"/>
                <w:spacing w:val="-12"/>
                <w:lang w:eastAsia="zh-CN"/>
              </w:rPr>
            </w:pPr>
          </w:p>
          <w:p w14:paraId="2EDC4556">
            <w:pPr>
              <w:pStyle w:val="8"/>
              <w:spacing w:before="59" w:line="234" w:lineRule="auto"/>
              <w:ind w:left="530" w:right="104" w:hanging="413"/>
              <w:rPr>
                <w:rFonts w:hint="eastAsia"/>
                <w:spacing w:val="-12"/>
                <w:lang w:eastAsia="zh-CN"/>
              </w:rPr>
            </w:pPr>
          </w:p>
          <w:p w14:paraId="6CD03650">
            <w:pPr>
              <w:pStyle w:val="8"/>
              <w:spacing w:before="59" w:line="234" w:lineRule="auto"/>
              <w:ind w:left="530" w:right="104" w:hanging="413"/>
              <w:rPr>
                <w:rFonts w:hint="eastAsia"/>
                <w:spacing w:val="-12"/>
                <w:lang w:eastAsia="zh-CN"/>
              </w:rPr>
            </w:pPr>
          </w:p>
          <w:p w14:paraId="018B38C4">
            <w:pPr>
              <w:pStyle w:val="8"/>
              <w:spacing w:before="59" w:line="234" w:lineRule="auto"/>
              <w:ind w:left="530" w:right="104" w:hanging="413"/>
              <w:rPr>
                <w:rFonts w:hint="eastAsia"/>
                <w:spacing w:val="-12"/>
                <w:lang w:eastAsia="zh-CN"/>
              </w:rPr>
            </w:pPr>
          </w:p>
          <w:p w14:paraId="0A542B4A">
            <w:pPr>
              <w:pStyle w:val="8"/>
              <w:spacing w:before="59" w:line="234" w:lineRule="auto"/>
              <w:ind w:left="530" w:right="104" w:hanging="413"/>
              <w:rPr>
                <w:rFonts w:hint="eastAsia"/>
                <w:spacing w:val="-12"/>
                <w:lang w:eastAsia="zh-CN"/>
              </w:rPr>
            </w:pPr>
          </w:p>
          <w:p w14:paraId="3958865E">
            <w:pPr>
              <w:pStyle w:val="8"/>
              <w:spacing w:before="59" w:line="234" w:lineRule="auto"/>
              <w:ind w:left="530" w:right="104" w:hanging="413"/>
              <w:rPr>
                <w:rFonts w:hint="eastAsia"/>
                <w:spacing w:val="-12"/>
                <w:lang w:eastAsia="zh-CN"/>
              </w:rPr>
            </w:pPr>
          </w:p>
          <w:p w14:paraId="7359FBAE">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4287E54D">
            <w:pPr>
              <w:spacing w:line="275" w:lineRule="auto"/>
              <w:rPr>
                <w:rFonts w:ascii="Arial"/>
                <w:sz w:val="21"/>
              </w:rPr>
            </w:pPr>
          </w:p>
          <w:p w14:paraId="276597E2">
            <w:pPr>
              <w:spacing w:line="275" w:lineRule="auto"/>
              <w:rPr>
                <w:rFonts w:ascii="Arial"/>
                <w:sz w:val="21"/>
              </w:rPr>
            </w:pPr>
          </w:p>
          <w:p w14:paraId="32E9C79C">
            <w:pPr>
              <w:spacing w:line="275" w:lineRule="auto"/>
              <w:rPr>
                <w:rFonts w:ascii="Arial"/>
                <w:sz w:val="21"/>
              </w:rPr>
            </w:pPr>
          </w:p>
          <w:p w14:paraId="7B5F4641">
            <w:pPr>
              <w:spacing w:line="275" w:lineRule="auto"/>
              <w:rPr>
                <w:rFonts w:ascii="Arial"/>
                <w:sz w:val="21"/>
              </w:rPr>
            </w:pPr>
          </w:p>
          <w:p w14:paraId="01775BAF">
            <w:pPr>
              <w:spacing w:line="275" w:lineRule="auto"/>
              <w:rPr>
                <w:rFonts w:ascii="Arial"/>
                <w:sz w:val="21"/>
              </w:rPr>
            </w:pPr>
          </w:p>
          <w:p w14:paraId="2B2DBAF3">
            <w:pPr>
              <w:spacing w:line="275" w:lineRule="auto"/>
              <w:rPr>
                <w:rFonts w:ascii="Arial"/>
                <w:sz w:val="21"/>
              </w:rPr>
            </w:pPr>
          </w:p>
          <w:p w14:paraId="5D6CF341">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1A229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0" w:hRule="atLeast"/>
        </w:trPr>
        <w:tc>
          <w:tcPr>
            <w:tcW w:w="622" w:type="dxa"/>
            <w:vAlign w:val="top"/>
          </w:tcPr>
          <w:p w14:paraId="4EE0A67A">
            <w:pPr>
              <w:spacing w:line="247" w:lineRule="auto"/>
              <w:rPr>
                <w:rFonts w:ascii="Arial"/>
                <w:sz w:val="21"/>
              </w:rPr>
            </w:pPr>
          </w:p>
          <w:p w14:paraId="44E132F5">
            <w:pPr>
              <w:spacing w:line="247" w:lineRule="auto"/>
              <w:rPr>
                <w:rFonts w:ascii="Arial"/>
                <w:sz w:val="21"/>
              </w:rPr>
            </w:pPr>
          </w:p>
          <w:p w14:paraId="165A830D">
            <w:pPr>
              <w:spacing w:line="247" w:lineRule="auto"/>
              <w:rPr>
                <w:rFonts w:ascii="Arial"/>
                <w:sz w:val="21"/>
              </w:rPr>
            </w:pPr>
          </w:p>
          <w:p w14:paraId="57CDDAAD">
            <w:pPr>
              <w:spacing w:line="247" w:lineRule="auto"/>
              <w:rPr>
                <w:rFonts w:ascii="Arial"/>
                <w:sz w:val="21"/>
              </w:rPr>
            </w:pPr>
          </w:p>
          <w:p w14:paraId="7D38829E">
            <w:pPr>
              <w:spacing w:line="248" w:lineRule="auto"/>
              <w:rPr>
                <w:rFonts w:ascii="Arial"/>
                <w:sz w:val="21"/>
              </w:rPr>
            </w:pPr>
          </w:p>
          <w:p w14:paraId="0EA1E3D0">
            <w:pPr>
              <w:spacing w:line="248" w:lineRule="auto"/>
              <w:rPr>
                <w:rFonts w:ascii="Arial"/>
                <w:sz w:val="21"/>
              </w:rPr>
            </w:pPr>
          </w:p>
          <w:p w14:paraId="3E588408">
            <w:pPr>
              <w:spacing w:line="248" w:lineRule="auto"/>
              <w:rPr>
                <w:rFonts w:ascii="Arial"/>
                <w:sz w:val="21"/>
              </w:rPr>
            </w:pPr>
          </w:p>
          <w:p w14:paraId="491C3D13">
            <w:pPr>
              <w:spacing w:line="248" w:lineRule="auto"/>
              <w:rPr>
                <w:rFonts w:ascii="Arial"/>
                <w:sz w:val="21"/>
              </w:rPr>
            </w:pPr>
          </w:p>
          <w:p w14:paraId="6A9F5252">
            <w:pPr>
              <w:spacing w:line="248" w:lineRule="auto"/>
              <w:rPr>
                <w:rFonts w:ascii="Arial"/>
                <w:sz w:val="21"/>
              </w:rPr>
            </w:pPr>
          </w:p>
          <w:p w14:paraId="3B2800D9">
            <w:pPr>
              <w:pStyle w:val="8"/>
              <w:spacing w:before="58" w:line="183" w:lineRule="auto"/>
              <w:ind w:left="228"/>
            </w:pPr>
            <w:r>
              <w:rPr>
                <w:spacing w:val="-4"/>
              </w:rPr>
              <w:t>24</w:t>
            </w:r>
          </w:p>
        </w:tc>
        <w:tc>
          <w:tcPr>
            <w:tcW w:w="1100" w:type="dxa"/>
            <w:vAlign w:val="top"/>
          </w:tcPr>
          <w:p w14:paraId="73F4C4C6">
            <w:pPr>
              <w:spacing w:line="299" w:lineRule="auto"/>
              <w:rPr>
                <w:rFonts w:ascii="Arial"/>
                <w:sz w:val="21"/>
              </w:rPr>
            </w:pPr>
          </w:p>
          <w:p w14:paraId="07A5DA1E">
            <w:pPr>
              <w:spacing w:line="299" w:lineRule="auto"/>
              <w:rPr>
                <w:rFonts w:ascii="Arial"/>
                <w:sz w:val="21"/>
              </w:rPr>
            </w:pPr>
          </w:p>
          <w:p w14:paraId="3754DD36">
            <w:pPr>
              <w:spacing w:line="300" w:lineRule="auto"/>
              <w:rPr>
                <w:rFonts w:ascii="Arial"/>
                <w:sz w:val="21"/>
              </w:rPr>
            </w:pPr>
          </w:p>
          <w:p w14:paraId="306DCA1B">
            <w:pPr>
              <w:pStyle w:val="8"/>
              <w:spacing w:before="59" w:line="244" w:lineRule="auto"/>
              <w:ind w:left="59" w:right="11"/>
            </w:pPr>
            <w:r>
              <w:rPr>
                <w:spacing w:val="16"/>
              </w:rPr>
              <w:t>对危险货物</w:t>
            </w:r>
            <w:r>
              <w:t xml:space="preserve"> </w:t>
            </w:r>
            <w:r>
              <w:rPr>
                <w:spacing w:val="16"/>
              </w:rPr>
              <w:t>港口经营人</w:t>
            </w:r>
            <w:r>
              <w:t xml:space="preserve"> </w:t>
            </w:r>
            <w:r>
              <w:rPr>
                <w:spacing w:val="16"/>
              </w:rPr>
              <w:t>对重大危险</w:t>
            </w:r>
            <w:r>
              <w:t xml:space="preserve"> </w:t>
            </w:r>
            <w:r>
              <w:rPr>
                <w:spacing w:val="16"/>
              </w:rPr>
              <w:t>源未登记建</w:t>
            </w:r>
            <w:r>
              <w:t xml:space="preserve"> </w:t>
            </w:r>
            <w:r>
              <w:rPr>
                <w:spacing w:val="5"/>
              </w:rPr>
              <w:t>档，</w:t>
            </w:r>
            <w:r>
              <w:rPr>
                <w:spacing w:val="-36"/>
              </w:rPr>
              <w:t xml:space="preserve"> </w:t>
            </w:r>
            <w:r>
              <w:rPr>
                <w:spacing w:val="5"/>
              </w:rPr>
              <w:t>未进行</w:t>
            </w:r>
            <w:r>
              <w:t xml:space="preserve"> </w:t>
            </w:r>
            <w:r>
              <w:rPr>
                <w:spacing w:val="10"/>
              </w:rPr>
              <w:t>定期检测、</w:t>
            </w:r>
            <w:r>
              <w:rPr>
                <w:spacing w:val="2"/>
              </w:rPr>
              <w:t xml:space="preserve"> </w:t>
            </w:r>
            <w:r>
              <w:rPr>
                <w:spacing w:val="-10"/>
              </w:rPr>
              <w:t>评估、监控，</w:t>
            </w:r>
            <w:r>
              <w:rPr>
                <w:spacing w:val="2"/>
              </w:rPr>
              <w:t xml:space="preserve"> </w:t>
            </w:r>
            <w:r>
              <w:rPr>
                <w:spacing w:val="16"/>
              </w:rPr>
              <w:t>未制定应急</w:t>
            </w:r>
            <w:r>
              <w:t xml:space="preserve"> </w:t>
            </w:r>
            <w:r>
              <w:rPr>
                <w:spacing w:val="5"/>
              </w:rPr>
              <w:t>预案，</w:t>
            </w:r>
            <w:r>
              <w:rPr>
                <w:spacing w:val="-36"/>
              </w:rPr>
              <w:t xml:space="preserve"> </w:t>
            </w:r>
            <w:r>
              <w:rPr>
                <w:spacing w:val="5"/>
              </w:rPr>
              <w:t>或者</w:t>
            </w:r>
            <w:r>
              <w:t xml:space="preserve"> </w:t>
            </w:r>
            <w:r>
              <w:rPr>
                <w:spacing w:val="16"/>
              </w:rPr>
              <w:t>未告知应急</w:t>
            </w:r>
            <w:r>
              <w:t xml:space="preserve"> </w:t>
            </w:r>
            <w:r>
              <w:rPr>
                <w:spacing w:val="16"/>
              </w:rPr>
              <w:t>措施的行政</w:t>
            </w:r>
            <w:r>
              <w:t xml:space="preserve"> </w:t>
            </w:r>
            <w:r>
              <w:rPr>
                <w:spacing w:val="-2"/>
              </w:rPr>
              <w:t>处罚</w:t>
            </w:r>
          </w:p>
        </w:tc>
        <w:tc>
          <w:tcPr>
            <w:tcW w:w="1100" w:type="dxa"/>
            <w:vAlign w:val="top"/>
          </w:tcPr>
          <w:p w14:paraId="2D640FA3">
            <w:pPr>
              <w:spacing w:line="244" w:lineRule="auto"/>
              <w:rPr>
                <w:rFonts w:ascii="Arial"/>
                <w:sz w:val="21"/>
              </w:rPr>
            </w:pPr>
          </w:p>
          <w:p w14:paraId="33017A13">
            <w:pPr>
              <w:spacing w:line="244" w:lineRule="auto"/>
              <w:rPr>
                <w:rFonts w:ascii="Arial"/>
                <w:sz w:val="21"/>
              </w:rPr>
            </w:pPr>
          </w:p>
          <w:p w14:paraId="21334C7F">
            <w:pPr>
              <w:spacing w:line="244" w:lineRule="auto"/>
              <w:rPr>
                <w:rFonts w:ascii="Arial"/>
                <w:sz w:val="21"/>
              </w:rPr>
            </w:pPr>
          </w:p>
          <w:p w14:paraId="4623FD6A">
            <w:pPr>
              <w:spacing w:line="244" w:lineRule="auto"/>
              <w:rPr>
                <w:rFonts w:ascii="Arial"/>
                <w:sz w:val="21"/>
              </w:rPr>
            </w:pPr>
          </w:p>
          <w:p w14:paraId="678FBBF6">
            <w:pPr>
              <w:spacing w:line="244" w:lineRule="auto"/>
              <w:rPr>
                <w:rFonts w:ascii="Arial"/>
                <w:sz w:val="21"/>
              </w:rPr>
            </w:pPr>
          </w:p>
          <w:p w14:paraId="3EB2C93E">
            <w:pPr>
              <w:spacing w:line="244" w:lineRule="auto"/>
              <w:rPr>
                <w:rFonts w:ascii="Arial"/>
                <w:sz w:val="21"/>
              </w:rPr>
            </w:pPr>
          </w:p>
          <w:p w14:paraId="483FECFC">
            <w:pPr>
              <w:spacing w:line="244" w:lineRule="auto"/>
              <w:rPr>
                <w:rFonts w:ascii="Arial"/>
                <w:sz w:val="21"/>
              </w:rPr>
            </w:pPr>
          </w:p>
          <w:p w14:paraId="6DDBFECC">
            <w:pPr>
              <w:spacing w:line="244" w:lineRule="auto"/>
              <w:rPr>
                <w:rFonts w:ascii="Arial"/>
                <w:sz w:val="21"/>
              </w:rPr>
            </w:pPr>
          </w:p>
          <w:p w14:paraId="5AD549E0">
            <w:pPr>
              <w:spacing w:line="245" w:lineRule="auto"/>
              <w:rPr>
                <w:rFonts w:ascii="Arial"/>
                <w:sz w:val="21"/>
              </w:rPr>
            </w:pPr>
          </w:p>
          <w:p w14:paraId="35CEBDB1">
            <w:pPr>
              <w:pStyle w:val="8"/>
              <w:spacing w:before="59" w:line="220" w:lineRule="auto"/>
              <w:ind w:left="112"/>
            </w:pPr>
            <w:r>
              <w:rPr>
                <w:spacing w:val="-2"/>
              </w:rPr>
              <w:t>行政处罚</w:t>
            </w:r>
          </w:p>
        </w:tc>
        <w:tc>
          <w:tcPr>
            <w:tcW w:w="8508" w:type="dxa"/>
            <w:vAlign w:val="top"/>
          </w:tcPr>
          <w:p w14:paraId="19B9AB84">
            <w:pPr>
              <w:pStyle w:val="8"/>
              <w:spacing w:before="71" w:line="219" w:lineRule="auto"/>
              <w:ind w:left="484"/>
            </w:pPr>
            <w:r>
              <w:rPr>
                <w:b/>
                <w:bCs/>
                <w:spacing w:val="-4"/>
              </w:rPr>
              <w:t>1.《中华人民共和国安全生产法》</w:t>
            </w:r>
          </w:p>
          <w:p w14:paraId="07ECFA4A">
            <w:pPr>
              <w:pStyle w:val="8"/>
              <w:spacing w:before="7" w:line="222" w:lineRule="auto"/>
              <w:ind w:left="115" w:right="58" w:firstLine="355"/>
            </w:pPr>
            <w:r>
              <w:rPr>
                <w:spacing w:val="-3"/>
              </w:rPr>
              <w:t>第四十条  生产经营单位对重大危险源应当登记建档，进行定期检测、评估、监控，并制定应急预案，</w:t>
            </w:r>
            <w:r>
              <w:rPr>
                <w:spacing w:val="10"/>
              </w:rPr>
              <w:t xml:space="preserve"> </w:t>
            </w:r>
            <w:r>
              <w:rPr>
                <w:spacing w:val="-2"/>
              </w:rPr>
              <w:t>告知从业人员和相关人员在紧急情况下应当采取的应急措施。</w:t>
            </w:r>
          </w:p>
          <w:p w14:paraId="42D9F091">
            <w:pPr>
              <w:pStyle w:val="8"/>
              <w:spacing w:before="6" w:line="224" w:lineRule="auto"/>
              <w:ind w:left="110" w:right="104" w:firstLine="362"/>
            </w:pPr>
            <w:r>
              <w:t>生产经营单位应当按照国家有关规定将本单位重大危险源及有关安全措施、应急措施报有关地方人民</w:t>
            </w:r>
            <w:r>
              <w:rPr>
                <w:spacing w:val="4"/>
              </w:rPr>
              <w:t xml:space="preserve"> </w:t>
            </w:r>
            <w:r>
              <w:t>政府应急管理部门和有关部门备案。有关地方人民政府应急管理部门和有关部门应当通过相关信息系统实</w:t>
            </w:r>
            <w:r>
              <w:rPr>
                <w:spacing w:val="7"/>
              </w:rPr>
              <w:t xml:space="preserve"> </w:t>
            </w:r>
            <w:r>
              <w:rPr>
                <w:spacing w:val="-5"/>
              </w:rPr>
              <w:t>现信息共享。</w:t>
            </w:r>
          </w:p>
          <w:p w14:paraId="33C9842E">
            <w:pPr>
              <w:pStyle w:val="8"/>
              <w:spacing w:before="3" w:line="224" w:lineRule="auto"/>
              <w:ind w:left="109" w:right="104" w:firstLine="361"/>
            </w:pPr>
            <w:r>
              <w:t>第一百零一条第（二）项  生产经营单位有下列行为之一的，责令限期改正，处十万元以下的罚款；</w:t>
            </w:r>
            <w:r>
              <w:rPr>
                <w:spacing w:val="1"/>
              </w:rPr>
              <w:t xml:space="preserve"> </w:t>
            </w:r>
            <w:r>
              <w:t>逾期未改正的，责令停产停业整顿，并处十万元以上二十万元以下的罚款，对其直接负责的主管人员和其</w:t>
            </w:r>
            <w:r>
              <w:rPr>
                <w:spacing w:val="7"/>
              </w:rPr>
              <w:t xml:space="preserve"> </w:t>
            </w:r>
            <w:r>
              <w:rPr>
                <w:spacing w:val="-2"/>
              </w:rPr>
              <w:t>他直接责任人员处二万元以上五万元以下的罚款；构成犯罪的，依照刑法有关规定追究刑事责任:（二）对</w:t>
            </w:r>
            <w:r>
              <w:rPr>
                <w:spacing w:val="11"/>
              </w:rPr>
              <w:t xml:space="preserve"> </w:t>
            </w:r>
            <w:r>
              <w:rPr>
                <w:spacing w:val="-1"/>
              </w:rPr>
              <w:t>重大危险源未登记建档，未进行定期检测、评估、监控，未制定应急预案，或者未告知应急</w:t>
            </w:r>
            <w:r>
              <w:rPr>
                <w:spacing w:val="-2"/>
              </w:rPr>
              <w:t>措施的；</w:t>
            </w:r>
          </w:p>
          <w:p w14:paraId="03C890FE">
            <w:pPr>
              <w:pStyle w:val="8"/>
              <w:spacing w:before="7"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1772F45D">
            <w:pPr>
              <w:pStyle w:val="8"/>
              <w:spacing w:before="7" w:line="224" w:lineRule="auto"/>
              <w:ind w:left="110" w:right="104" w:firstLine="360"/>
            </w:pPr>
            <w:r>
              <w:t>第五十五条  危险货物港口经营人应当根据有关规定，进行重大危险源辨识，确定重大危险源级别，</w:t>
            </w:r>
            <w:r>
              <w:rPr>
                <w:spacing w:val="3"/>
              </w:rPr>
              <w:t xml:space="preserve"> </w:t>
            </w:r>
            <w:r>
              <w:t>实施分级管理，并登记建档。危险货物港口经营人应当建立健全重大危险源安全管理规章制度，制定实施</w:t>
            </w:r>
            <w:r>
              <w:rPr>
                <w:spacing w:val="7"/>
              </w:rPr>
              <w:t xml:space="preserve"> </w:t>
            </w:r>
            <w:r>
              <w:t>危险货物重大危险源安全管理与监控方案，制定应急预案，告知相关人员在紧急情况下应当采取的应急措</w:t>
            </w:r>
            <w:r>
              <w:rPr>
                <w:spacing w:val="7"/>
              </w:rPr>
              <w:t xml:space="preserve"> </w:t>
            </w:r>
            <w:r>
              <w:rPr>
                <w:spacing w:val="-2"/>
              </w:rPr>
              <w:t>施，定期对重大危险源进行检测、评估、监控。</w:t>
            </w:r>
          </w:p>
          <w:p w14:paraId="2AF05E42">
            <w:pPr>
              <w:pStyle w:val="8"/>
              <w:spacing w:before="5" w:line="223" w:lineRule="auto"/>
              <w:ind w:left="110" w:right="104" w:firstLine="360"/>
            </w:pPr>
            <w:r>
              <w:t>第五十六条  危险货物港口经营人应当将本单位的重大危险源及有关安全措施、应急措施依法报送所</w:t>
            </w:r>
            <w:r>
              <w:rPr>
                <w:spacing w:val="6"/>
              </w:rPr>
              <w:t xml:space="preserve"> </w:t>
            </w:r>
            <w:r>
              <w:rPr>
                <w:spacing w:val="-2"/>
              </w:rPr>
              <w:t>在地港口行政管理部门和相关部门备案。</w:t>
            </w:r>
          </w:p>
          <w:p w14:paraId="0145888F">
            <w:pPr>
              <w:pStyle w:val="8"/>
              <w:spacing w:before="6" w:line="224" w:lineRule="auto"/>
              <w:ind w:left="110" w:right="58" w:firstLine="360"/>
              <w:jc w:val="both"/>
            </w:pPr>
            <w:r>
              <w:t>第七十六条第（二）项  危险货物港口经营人有下列行为之一的，由所在地港口行政管理部门责令限</w:t>
            </w:r>
            <w:r>
              <w:rPr>
                <w:spacing w:val="6"/>
              </w:rPr>
              <w:t xml:space="preserve"> </w:t>
            </w:r>
            <w:r>
              <w:rPr>
                <w:spacing w:val="-3"/>
              </w:rPr>
              <w:t>期改正，处十万元以下的罚款；逾期未改正的，责令停产停业整顿，并处十万元以上二十万元以下的罚款，</w:t>
            </w:r>
            <w:r>
              <w:rPr>
                <w:spacing w:val="14"/>
              </w:rPr>
              <w:t xml:space="preserve"> </w:t>
            </w:r>
            <w:r>
              <w:t>对其直接负责的主管人员和其他直接责任人员处二万元以上五万元以下的罚款</w:t>
            </w:r>
            <w:r>
              <w:rPr>
                <w:spacing w:val="3"/>
              </w:rPr>
              <w:t>：（</w:t>
            </w:r>
            <w:r>
              <w:t>二）对重大危险源未登</w:t>
            </w:r>
            <w:r>
              <w:rPr>
                <w:spacing w:val="1"/>
              </w:rPr>
              <w:t xml:space="preserve"> </w:t>
            </w:r>
            <w:r>
              <w:rPr>
                <w:spacing w:val="-1"/>
              </w:rPr>
              <w:t>记建档，未进行定期检测、评估、监控，未制定应急预案</w:t>
            </w:r>
            <w:r>
              <w:rPr>
                <w:spacing w:val="-2"/>
              </w:rPr>
              <w:t>，或者未告知应急措施的；</w:t>
            </w:r>
          </w:p>
        </w:tc>
        <w:tc>
          <w:tcPr>
            <w:tcW w:w="1010" w:type="dxa"/>
            <w:vAlign w:val="top"/>
          </w:tcPr>
          <w:p w14:paraId="2D9BD527">
            <w:pPr>
              <w:spacing w:line="260" w:lineRule="auto"/>
              <w:rPr>
                <w:rFonts w:ascii="Arial"/>
                <w:sz w:val="21"/>
              </w:rPr>
            </w:pPr>
          </w:p>
          <w:p w14:paraId="4C7A6ACC">
            <w:pPr>
              <w:spacing w:line="261" w:lineRule="auto"/>
              <w:rPr>
                <w:rFonts w:ascii="Arial"/>
                <w:sz w:val="21"/>
              </w:rPr>
            </w:pPr>
          </w:p>
          <w:p w14:paraId="2F531F7A">
            <w:pPr>
              <w:spacing w:line="261" w:lineRule="auto"/>
              <w:rPr>
                <w:rFonts w:ascii="Arial"/>
                <w:sz w:val="21"/>
              </w:rPr>
            </w:pPr>
          </w:p>
          <w:p w14:paraId="7EA0A3F6">
            <w:pPr>
              <w:spacing w:line="261" w:lineRule="auto"/>
              <w:rPr>
                <w:rFonts w:ascii="Arial"/>
                <w:sz w:val="21"/>
              </w:rPr>
            </w:pPr>
          </w:p>
          <w:p w14:paraId="286659D7">
            <w:pPr>
              <w:spacing w:line="261" w:lineRule="auto"/>
              <w:rPr>
                <w:rFonts w:ascii="Arial"/>
                <w:sz w:val="21"/>
              </w:rPr>
            </w:pPr>
          </w:p>
          <w:p w14:paraId="394C404E">
            <w:pPr>
              <w:spacing w:line="261" w:lineRule="auto"/>
              <w:rPr>
                <w:rFonts w:ascii="Arial"/>
                <w:sz w:val="21"/>
              </w:rPr>
            </w:pPr>
          </w:p>
          <w:p w14:paraId="5115A10B">
            <w:pPr>
              <w:spacing w:line="261" w:lineRule="auto"/>
              <w:rPr>
                <w:rFonts w:ascii="Arial"/>
                <w:sz w:val="21"/>
              </w:rPr>
            </w:pPr>
          </w:p>
          <w:p w14:paraId="1CF64B77">
            <w:pPr>
              <w:spacing w:line="261" w:lineRule="auto"/>
              <w:rPr>
                <w:rFonts w:ascii="Arial"/>
                <w:sz w:val="21"/>
              </w:rPr>
            </w:pPr>
          </w:p>
          <w:p w14:paraId="66B5D9D7">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59FBCF9C">
            <w:pPr>
              <w:pStyle w:val="8"/>
              <w:spacing w:before="59" w:line="234" w:lineRule="auto"/>
              <w:ind w:left="530" w:right="104" w:hanging="413"/>
              <w:rPr>
                <w:rFonts w:hint="eastAsia"/>
                <w:spacing w:val="-12"/>
                <w:lang w:eastAsia="zh-CN"/>
              </w:rPr>
            </w:pPr>
          </w:p>
          <w:p w14:paraId="0F60E73D">
            <w:pPr>
              <w:pStyle w:val="8"/>
              <w:spacing w:before="59" w:line="234" w:lineRule="auto"/>
              <w:ind w:left="530" w:right="104" w:hanging="413"/>
              <w:rPr>
                <w:rFonts w:hint="eastAsia"/>
                <w:spacing w:val="-12"/>
                <w:lang w:eastAsia="zh-CN"/>
              </w:rPr>
            </w:pPr>
          </w:p>
          <w:p w14:paraId="39518BF5">
            <w:pPr>
              <w:pStyle w:val="8"/>
              <w:spacing w:before="59" w:line="234" w:lineRule="auto"/>
              <w:ind w:left="530" w:right="104" w:hanging="413"/>
              <w:rPr>
                <w:rFonts w:hint="eastAsia"/>
                <w:spacing w:val="-12"/>
                <w:lang w:eastAsia="zh-CN"/>
              </w:rPr>
            </w:pPr>
          </w:p>
          <w:p w14:paraId="0C348253">
            <w:pPr>
              <w:pStyle w:val="8"/>
              <w:spacing w:before="59" w:line="234" w:lineRule="auto"/>
              <w:ind w:left="530" w:right="104" w:hanging="413"/>
              <w:rPr>
                <w:rFonts w:hint="eastAsia"/>
                <w:spacing w:val="-12"/>
                <w:lang w:eastAsia="zh-CN"/>
              </w:rPr>
            </w:pPr>
          </w:p>
          <w:p w14:paraId="4F44462C">
            <w:pPr>
              <w:pStyle w:val="8"/>
              <w:spacing w:before="59" w:line="234" w:lineRule="auto"/>
              <w:ind w:left="530" w:right="104" w:hanging="413"/>
              <w:rPr>
                <w:rFonts w:hint="eastAsia"/>
                <w:spacing w:val="-12"/>
                <w:lang w:eastAsia="zh-CN"/>
              </w:rPr>
            </w:pPr>
          </w:p>
          <w:p w14:paraId="00AAE18C">
            <w:pPr>
              <w:pStyle w:val="8"/>
              <w:spacing w:before="59" w:line="234" w:lineRule="auto"/>
              <w:ind w:left="530" w:right="104" w:hanging="413"/>
              <w:rPr>
                <w:rFonts w:hint="eastAsia"/>
                <w:spacing w:val="-12"/>
                <w:lang w:eastAsia="zh-CN"/>
              </w:rPr>
            </w:pPr>
          </w:p>
          <w:p w14:paraId="14411532">
            <w:pPr>
              <w:pStyle w:val="8"/>
              <w:spacing w:before="59" w:line="234" w:lineRule="auto"/>
              <w:ind w:left="530" w:right="104" w:hanging="413"/>
              <w:rPr>
                <w:rFonts w:hint="eastAsia"/>
                <w:spacing w:val="-12"/>
                <w:lang w:eastAsia="zh-CN"/>
              </w:rPr>
            </w:pPr>
          </w:p>
          <w:p w14:paraId="5E87A5CA">
            <w:pPr>
              <w:pStyle w:val="8"/>
              <w:spacing w:before="59" w:line="234" w:lineRule="auto"/>
              <w:ind w:left="530" w:right="104" w:hanging="413"/>
              <w:rPr>
                <w:rFonts w:hint="eastAsia"/>
                <w:spacing w:val="-12"/>
                <w:lang w:eastAsia="zh-CN"/>
              </w:rPr>
            </w:pPr>
          </w:p>
          <w:p w14:paraId="28F4C45E">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A7CBDCE">
            <w:pPr>
              <w:spacing w:line="246" w:lineRule="auto"/>
              <w:rPr>
                <w:rFonts w:ascii="Arial"/>
                <w:sz w:val="21"/>
              </w:rPr>
            </w:pPr>
          </w:p>
          <w:p w14:paraId="637098F0">
            <w:pPr>
              <w:spacing w:line="246" w:lineRule="auto"/>
              <w:rPr>
                <w:rFonts w:ascii="Arial"/>
                <w:sz w:val="21"/>
              </w:rPr>
            </w:pPr>
          </w:p>
          <w:p w14:paraId="2E4F3CB7">
            <w:pPr>
              <w:spacing w:line="246" w:lineRule="auto"/>
              <w:rPr>
                <w:rFonts w:ascii="Arial"/>
                <w:sz w:val="21"/>
              </w:rPr>
            </w:pPr>
          </w:p>
          <w:p w14:paraId="45639AAF">
            <w:pPr>
              <w:spacing w:line="246" w:lineRule="auto"/>
              <w:rPr>
                <w:rFonts w:ascii="Arial"/>
                <w:sz w:val="21"/>
              </w:rPr>
            </w:pPr>
          </w:p>
          <w:p w14:paraId="0B83062D">
            <w:pPr>
              <w:spacing w:line="246" w:lineRule="auto"/>
              <w:rPr>
                <w:rFonts w:ascii="Arial"/>
                <w:sz w:val="21"/>
              </w:rPr>
            </w:pPr>
          </w:p>
          <w:p w14:paraId="6D169158">
            <w:pPr>
              <w:spacing w:line="246" w:lineRule="auto"/>
              <w:rPr>
                <w:rFonts w:ascii="Arial"/>
                <w:sz w:val="21"/>
              </w:rPr>
            </w:pPr>
          </w:p>
          <w:p w14:paraId="717B5738">
            <w:pPr>
              <w:spacing w:line="246" w:lineRule="auto"/>
              <w:rPr>
                <w:rFonts w:ascii="Arial"/>
                <w:sz w:val="21"/>
              </w:rPr>
            </w:pPr>
          </w:p>
          <w:p w14:paraId="6E98C86F">
            <w:pPr>
              <w:spacing w:line="246" w:lineRule="auto"/>
              <w:rPr>
                <w:rFonts w:ascii="Arial"/>
                <w:sz w:val="21"/>
              </w:rPr>
            </w:pPr>
          </w:p>
          <w:p w14:paraId="25988256">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72C24C47">
      <w:pPr>
        <w:pStyle w:val="2"/>
      </w:pPr>
    </w:p>
    <w:p w14:paraId="63AC1870">
      <w:pPr>
        <w:sectPr>
          <w:footerReference r:id="rId139" w:type="default"/>
          <w:pgSz w:w="16839" w:h="11906"/>
          <w:pgMar w:top="1012" w:right="1034" w:bottom="967" w:left="1043" w:header="0" w:footer="768" w:gutter="0"/>
          <w:cols w:space="720" w:num="1"/>
        </w:sectPr>
      </w:pPr>
    </w:p>
    <w:p w14:paraId="79FC40EB">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3696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2E9AD8B8">
            <w:pPr>
              <w:pStyle w:val="8"/>
              <w:spacing w:before="259" w:line="221" w:lineRule="auto"/>
              <w:ind w:left="134"/>
            </w:pPr>
            <w:r>
              <w:rPr>
                <w:b/>
                <w:bCs/>
                <w:spacing w:val="-4"/>
              </w:rPr>
              <w:t>序号</w:t>
            </w:r>
          </w:p>
        </w:tc>
        <w:tc>
          <w:tcPr>
            <w:tcW w:w="1100" w:type="dxa"/>
            <w:vMerge w:val="restart"/>
            <w:tcBorders>
              <w:bottom w:val="nil"/>
            </w:tcBorders>
            <w:vAlign w:val="top"/>
          </w:tcPr>
          <w:p w14:paraId="33D47B56">
            <w:pPr>
              <w:pStyle w:val="8"/>
              <w:spacing w:before="260" w:line="220" w:lineRule="auto"/>
              <w:ind w:left="189"/>
            </w:pPr>
            <w:r>
              <w:rPr>
                <w:b/>
                <w:bCs/>
                <w:spacing w:val="-4"/>
              </w:rPr>
              <w:t>事项名称</w:t>
            </w:r>
          </w:p>
        </w:tc>
        <w:tc>
          <w:tcPr>
            <w:tcW w:w="1100" w:type="dxa"/>
            <w:vMerge w:val="restart"/>
            <w:tcBorders>
              <w:bottom w:val="nil"/>
            </w:tcBorders>
            <w:vAlign w:val="top"/>
          </w:tcPr>
          <w:p w14:paraId="0224881D">
            <w:pPr>
              <w:pStyle w:val="8"/>
              <w:spacing w:before="260" w:line="219" w:lineRule="auto"/>
              <w:ind w:left="191"/>
            </w:pPr>
            <w:r>
              <w:rPr>
                <w:b/>
                <w:bCs/>
                <w:spacing w:val="-4"/>
              </w:rPr>
              <w:t>职权类型</w:t>
            </w:r>
          </w:p>
        </w:tc>
        <w:tc>
          <w:tcPr>
            <w:tcW w:w="8508" w:type="dxa"/>
            <w:vMerge w:val="restart"/>
            <w:tcBorders>
              <w:bottom w:val="nil"/>
            </w:tcBorders>
            <w:vAlign w:val="top"/>
          </w:tcPr>
          <w:p w14:paraId="4A70B6E2">
            <w:pPr>
              <w:pStyle w:val="8"/>
              <w:spacing w:before="259" w:line="219" w:lineRule="auto"/>
              <w:ind w:left="3900"/>
            </w:pPr>
            <w:r>
              <w:rPr>
                <w:b/>
                <w:bCs/>
                <w:spacing w:val="-5"/>
              </w:rPr>
              <w:t>实施依据</w:t>
            </w:r>
          </w:p>
        </w:tc>
        <w:tc>
          <w:tcPr>
            <w:tcW w:w="3425" w:type="dxa"/>
            <w:gridSpan w:val="3"/>
            <w:vAlign w:val="top"/>
          </w:tcPr>
          <w:p w14:paraId="5F8D37D6">
            <w:pPr>
              <w:pStyle w:val="8"/>
              <w:spacing w:before="85" w:line="220" w:lineRule="auto"/>
              <w:ind w:left="1358"/>
            </w:pPr>
            <w:r>
              <w:rPr>
                <w:b/>
                <w:bCs/>
                <w:spacing w:val="-5"/>
              </w:rPr>
              <w:t>实施主体</w:t>
            </w:r>
          </w:p>
        </w:tc>
      </w:tr>
      <w:tr w14:paraId="7FFB2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55620BF4">
            <w:pPr>
              <w:rPr>
                <w:rFonts w:ascii="Arial"/>
                <w:sz w:val="21"/>
              </w:rPr>
            </w:pPr>
          </w:p>
        </w:tc>
        <w:tc>
          <w:tcPr>
            <w:tcW w:w="1100" w:type="dxa"/>
            <w:vMerge w:val="continue"/>
            <w:tcBorders>
              <w:top w:val="nil"/>
            </w:tcBorders>
            <w:vAlign w:val="top"/>
          </w:tcPr>
          <w:p w14:paraId="22F24A3F">
            <w:pPr>
              <w:rPr>
                <w:rFonts w:ascii="Arial"/>
                <w:sz w:val="21"/>
              </w:rPr>
            </w:pPr>
          </w:p>
        </w:tc>
        <w:tc>
          <w:tcPr>
            <w:tcW w:w="1100" w:type="dxa"/>
            <w:vMerge w:val="continue"/>
            <w:tcBorders>
              <w:top w:val="nil"/>
            </w:tcBorders>
            <w:vAlign w:val="top"/>
          </w:tcPr>
          <w:p w14:paraId="3D562E55">
            <w:pPr>
              <w:rPr>
                <w:rFonts w:ascii="Arial"/>
                <w:sz w:val="21"/>
              </w:rPr>
            </w:pPr>
          </w:p>
        </w:tc>
        <w:tc>
          <w:tcPr>
            <w:tcW w:w="8508" w:type="dxa"/>
            <w:vMerge w:val="continue"/>
            <w:tcBorders>
              <w:top w:val="nil"/>
            </w:tcBorders>
            <w:vAlign w:val="top"/>
          </w:tcPr>
          <w:p w14:paraId="20A43487">
            <w:pPr>
              <w:rPr>
                <w:rFonts w:ascii="Arial"/>
                <w:sz w:val="21"/>
              </w:rPr>
            </w:pPr>
          </w:p>
        </w:tc>
        <w:tc>
          <w:tcPr>
            <w:tcW w:w="1010" w:type="dxa"/>
            <w:vAlign w:val="top"/>
          </w:tcPr>
          <w:p w14:paraId="0A2657EC">
            <w:pPr>
              <w:pStyle w:val="8"/>
              <w:spacing w:before="81" w:line="219" w:lineRule="auto"/>
              <w:ind w:left="155"/>
            </w:pPr>
            <w:r>
              <w:rPr>
                <w:b/>
                <w:bCs/>
                <w:spacing w:val="-5"/>
              </w:rPr>
              <w:t>责任部门</w:t>
            </w:r>
          </w:p>
        </w:tc>
        <w:tc>
          <w:tcPr>
            <w:tcW w:w="1401" w:type="dxa"/>
            <w:vAlign w:val="top"/>
          </w:tcPr>
          <w:p w14:paraId="0EFF1937">
            <w:pPr>
              <w:pStyle w:val="8"/>
              <w:spacing w:before="81" w:line="219" w:lineRule="auto"/>
              <w:ind w:left="164"/>
            </w:pPr>
            <w:r>
              <w:rPr>
                <w:b/>
                <w:bCs/>
                <w:spacing w:val="-3"/>
              </w:rPr>
              <w:t>第一责任层级</w:t>
            </w:r>
          </w:p>
        </w:tc>
        <w:tc>
          <w:tcPr>
            <w:tcW w:w="1014" w:type="dxa"/>
            <w:vAlign w:val="top"/>
          </w:tcPr>
          <w:p w14:paraId="6207FB64">
            <w:pPr>
              <w:pStyle w:val="8"/>
              <w:spacing w:before="81" w:line="219" w:lineRule="auto"/>
              <w:ind w:left="150"/>
            </w:pPr>
            <w:r>
              <w:rPr>
                <w:b/>
                <w:bCs/>
                <w:spacing w:val="-4"/>
              </w:rPr>
              <w:t>承办机构</w:t>
            </w:r>
          </w:p>
        </w:tc>
      </w:tr>
      <w:tr w14:paraId="6FD23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5" w:hRule="atLeast"/>
        </w:trPr>
        <w:tc>
          <w:tcPr>
            <w:tcW w:w="622" w:type="dxa"/>
            <w:vAlign w:val="top"/>
          </w:tcPr>
          <w:p w14:paraId="7A1ED8DB">
            <w:pPr>
              <w:spacing w:line="247" w:lineRule="auto"/>
              <w:rPr>
                <w:rFonts w:ascii="Arial"/>
                <w:sz w:val="21"/>
              </w:rPr>
            </w:pPr>
          </w:p>
          <w:p w14:paraId="3E6DFA69">
            <w:pPr>
              <w:spacing w:line="247" w:lineRule="auto"/>
              <w:rPr>
                <w:rFonts w:ascii="Arial"/>
                <w:sz w:val="21"/>
              </w:rPr>
            </w:pPr>
          </w:p>
          <w:p w14:paraId="439354B5">
            <w:pPr>
              <w:spacing w:line="247" w:lineRule="auto"/>
              <w:rPr>
                <w:rFonts w:ascii="Arial"/>
                <w:sz w:val="21"/>
              </w:rPr>
            </w:pPr>
          </w:p>
          <w:p w14:paraId="46E1AABF">
            <w:pPr>
              <w:spacing w:line="247" w:lineRule="auto"/>
              <w:rPr>
                <w:rFonts w:ascii="Arial"/>
                <w:sz w:val="21"/>
              </w:rPr>
            </w:pPr>
          </w:p>
          <w:p w14:paraId="205EFD00">
            <w:pPr>
              <w:spacing w:line="247" w:lineRule="auto"/>
              <w:rPr>
                <w:rFonts w:ascii="Arial"/>
                <w:sz w:val="21"/>
              </w:rPr>
            </w:pPr>
          </w:p>
          <w:p w14:paraId="3ADD8BF9">
            <w:pPr>
              <w:spacing w:line="247" w:lineRule="auto"/>
              <w:rPr>
                <w:rFonts w:ascii="Arial"/>
                <w:sz w:val="21"/>
              </w:rPr>
            </w:pPr>
          </w:p>
          <w:p w14:paraId="2FC2A4DC">
            <w:pPr>
              <w:spacing w:line="247" w:lineRule="auto"/>
              <w:rPr>
                <w:rFonts w:ascii="Arial"/>
                <w:sz w:val="21"/>
              </w:rPr>
            </w:pPr>
          </w:p>
          <w:p w14:paraId="2E0E6EAE">
            <w:pPr>
              <w:spacing w:line="247" w:lineRule="auto"/>
              <w:rPr>
                <w:rFonts w:ascii="Arial"/>
                <w:sz w:val="21"/>
              </w:rPr>
            </w:pPr>
          </w:p>
          <w:p w14:paraId="7868D60A">
            <w:pPr>
              <w:spacing w:line="248" w:lineRule="auto"/>
              <w:rPr>
                <w:rFonts w:ascii="Arial"/>
                <w:sz w:val="21"/>
              </w:rPr>
            </w:pPr>
          </w:p>
          <w:p w14:paraId="5D24AF57">
            <w:pPr>
              <w:spacing w:line="248" w:lineRule="auto"/>
              <w:rPr>
                <w:rFonts w:ascii="Arial"/>
                <w:sz w:val="21"/>
              </w:rPr>
            </w:pPr>
          </w:p>
          <w:p w14:paraId="7F87FCC3">
            <w:pPr>
              <w:pStyle w:val="8"/>
              <w:spacing w:before="59" w:line="183" w:lineRule="auto"/>
              <w:ind w:left="228"/>
            </w:pPr>
            <w:r>
              <w:rPr>
                <w:spacing w:val="-4"/>
              </w:rPr>
              <w:t>25</w:t>
            </w:r>
          </w:p>
        </w:tc>
        <w:tc>
          <w:tcPr>
            <w:tcW w:w="1100" w:type="dxa"/>
            <w:vAlign w:val="top"/>
          </w:tcPr>
          <w:p w14:paraId="0327F383">
            <w:pPr>
              <w:spacing w:line="274" w:lineRule="auto"/>
              <w:rPr>
                <w:rFonts w:ascii="Arial"/>
                <w:sz w:val="21"/>
              </w:rPr>
            </w:pPr>
          </w:p>
          <w:p w14:paraId="18A2F94E">
            <w:pPr>
              <w:spacing w:line="274" w:lineRule="auto"/>
              <w:rPr>
                <w:rFonts w:ascii="Arial"/>
                <w:sz w:val="21"/>
              </w:rPr>
            </w:pPr>
          </w:p>
          <w:p w14:paraId="358A41FC">
            <w:pPr>
              <w:spacing w:line="275" w:lineRule="auto"/>
              <w:rPr>
                <w:rFonts w:ascii="Arial"/>
                <w:sz w:val="21"/>
              </w:rPr>
            </w:pPr>
          </w:p>
          <w:p w14:paraId="0AAFA29C">
            <w:pPr>
              <w:spacing w:line="275" w:lineRule="auto"/>
              <w:rPr>
                <w:rFonts w:ascii="Arial"/>
                <w:sz w:val="21"/>
              </w:rPr>
            </w:pPr>
          </w:p>
          <w:p w14:paraId="1AE5C35E">
            <w:pPr>
              <w:spacing w:line="275" w:lineRule="auto"/>
              <w:rPr>
                <w:rFonts w:ascii="Arial"/>
                <w:sz w:val="21"/>
              </w:rPr>
            </w:pPr>
          </w:p>
          <w:p w14:paraId="01F68395">
            <w:pPr>
              <w:pStyle w:val="8"/>
              <w:spacing w:before="59" w:line="244" w:lineRule="auto"/>
              <w:ind w:left="59" w:right="55"/>
              <w:jc w:val="both"/>
            </w:pPr>
            <w:r>
              <w:rPr>
                <w:spacing w:val="16"/>
              </w:rPr>
              <w:t>对危险货物</w:t>
            </w:r>
            <w:r>
              <w:t xml:space="preserve"> </w:t>
            </w:r>
            <w:r>
              <w:rPr>
                <w:spacing w:val="16"/>
              </w:rPr>
              <w:t>港口经营人</w:t>
            </w:r>
            <w:r>
              <w:t xml:space="preserve"> </w:t>
            </w:r>
            <w:r>
              <w:rPr>
                <w:spacing w:val="16"/>
              </w:rPr>
              <w:t>未建立事故</w:t>
            </w:r>
            <w:r>
              <w:t xml:space="preserve"> </w:t>
            </w:r>
            <w:r>
              <w:rPr>
                <w:spacing w:val="16"/>
              </w:rPr>
              <w:t>隐患排查治</w:t>
            </w:r>
            <w:r>
              <w:t xml:space="preserve"> </w:t>
            </w:r>
            <w:r>
              <w:rPr>
                <w:spacing w:val="16"/>
              </w:rPr>
              <w:t>理制度或者</w:t>
            </w:r>
            <w:r>
              <w:t xml:space="preserve"> </w:t>
            </w:r>
            <w:r>
              <w:rPr>
                <w:spacing w:val="16"/>
              </w:rPr>
              <w:t>重大事故隐</w:t>
            </w:r>
            <w:r>
              <w:t xml:space="preserve"> </w:t>
            </w:r>
            <w:r>
              <w:rPr>
                <w:spacing w:val="16"/>
              </w:rPr>
              <w:t>患排查治理</w:t>
            </w:r>
            <w:r>
              <w:t xml:space="preserve"> </w:t>
            </w:r>
            <w:r>
              <w:rPr>
                <w:spacing w:val="16"/>
              </w:rPr>
              <w:t>情况未按照</w:t>
            </w:r>
            <w:r>
              <w:t xml:space="preserve"> </w:t>
            </w:r>
            <w:r>
              <w:rPr>
                <w:spacing w:val="16"/>
              </w:rPr>
              <w:t>规定报告的</w:t>
            </w:r>
            <w:r>
              <w:t xml:space="preserve"> </w:t>
            </w:r>
            <w:r>
              <w:rPr>
                <w:spacing w:val="-2"/>
              </w:rPr>
              <w:t>行政处罚</w:t>
            </w:r>
          </w:p>
        </w:tc>
        <w:tc>
          <w:tcPr>
            <w:tcW w:w="1100" w:type="dxa"/>
            <w:vAlign w:val="top"/>
          </w:tcPr>
          <w:p w14:paraId="13182E86">
            <w:pPr>
              <w:spacing w:line="244" w:lineRule="auto"/>
              <w:rPr>
                <w:rFonts w:ascii="Arial"/>
                <w:sz w:val="21"/>
              </w:rPr>
            </w:pPr>
          </w:p>
          <w:p w14:paraId="54F6FD04">
            <w:pPr>
              <w:spacing w:line="244" w:lineRule="auto"/>
              <w:rPr>
                <w:rFonts w:ascii="Arial"/>
                <w:sz w:val="21"/>
              </w:rPr>
            </w:pPr>
          </w:p>
          <w:p w14:paraId="23C9D397">
            <w:pPr>
              <w:spacing w:line="244" w:lineRule="auto"/>
              <w:rPr>
                <w:rFonts w:ascii="Arial"/>
                <w:sz w:val="21"/>
              </w:rPr>
            </w:pPr>
          </w:p>
          <w:p w14:paraId="2FCBBE37">
            <w:pPr>
              <w:spacing w:line="244" w:lineRule="auto"/>
              <w:rPr>
                <w:rFonts w:ascii="Arial"/>
                <w:sz w:val="21"/>
              </w:rPr>
            </w:pPr>
          </w:p>
          <w:p w14:paraId="218A0207">
            <w:pPr>
              <w:spacing w:line="244" w:lineRule="auto"/>
              <w:rPr>
                <w:rFonts w:ascii="Arial"/>
                <w:sz w:val="21"/>
              </w:rPr>
            </w:pPr>
          </w:p>
          <w:p w14:paraId="47CE9615">
            <w:pPr>
              <w:spacing w:line="244" w:lineRule="auto"/>
              <w:rPr>
                <w:rFonts w:ascii="Arial"/>
                <w:sz w:val="21"/>
              </w:rPr>
            </w:pPr>
          </w:p>
          <w:p w14:paraId="1163E20B">
            <w:pPr>
              <w:spacing w:line="245" w:lineRule="auto"/>
              <w:rPr>
                <w:rFonts w:ascii="Arial"/>
                <w:sz w:val="21"/>
              </w:rPr>
            </w:pPr>
          </w:p>
          <w:p w14:paraId="33C8B525">
            <w:pPr>
              <w:spacing w:line="245" w:lineRule="auto"/>
              <w:rPr>
                <w:rFonts w:ascii="Arial"/>
                <w:sz w:val="21"/>
              </w:rPr>
            </w:pPr>
          </w:p>
          <w:p w14:paraId="47B05AAC">
            <w:pPr>
              <w:spacing w:line="245" w:lineRule="auto"/>
              <w:rPr>
                <w:rFonts w:ascii="Arial"/>
                <w:sz w:val="21"/>
              </w:rPr>
            </w:pPr>
          </w:p>
          <w:p w14:paraId="670E6F15">
            <w:pPr>
              <w:spacing w:line="245" w:lineRule="auto"/>
              <w:rPr>
                <w:rFonts w:ascii="Arial"/>
                <w:sz w:val="21"/>
              </w:rPr>
            </w:pPr>
          </w:p>
          <w:p w14:paraId="5BEA159F">
            <w:pPr>
              <w:pStyle w:val="8"/>
              <w:spacing w:before="58" w:line="220" w:lineRule="auto"/>
              <w:ind w:left="112"/>
            </w:pPr>
            <w:r>
              <w:rPr>
                <w:spacing w:val="-2"/>
              </w:rPr>
              <w:t>行政处罚</w:t>
            </w:r>
          </w:p>
        </w:tc>
        <w:tc>
          <w:tcPr>
            <w:tcW w:w="8508" w:type="dxa"/>
            <w:vAlign w:val="top"/>
          </w:tcPr>
          <w:p w14:paraId="382399D5">
            <w:pPr>
              <w:pStyle w:val="8"/>
              <w:spacing w:before="125" w:line="219" w:lineRule="auto"/>
              <w:ind w:left="484"/>
            </w:pPr>
            <w:r>
              <w:rPr>
                <w:b/>
                <w:bCs/>
                <w:spacing w:val="-4"/>
              </w:rPr>
              <w:t>1.《中华人民共和国安全生产法》</w:t>
            </w:r>
          </w:p>
          <w:p w14:paraId="58490148">
            <w:pPr>
              <w:pStyle w:val="8"/>
              <w:spacing w:before="26" w:line="239" w:lineRule="auto"/>
              <w:ind w:left="110" w:right="104" w:firstLine="360"/>
            </w:pPr>
            <w:r>
              <w:t>第四十一条第二款  生产经营单位应当建立健全并落实</w:t>
            </w:r>
            <w:r>
              <w:rPr>
                <w:spacing w:val="-1"/>
              </w:rPr>
              <w:t>生产安全事故隐患排查治理制度，采取技术、</w:t>
            </w:r>
            <w:r>
              <w:t xml:space="preserve"> 管理措施，及时发现并消除事故隐患。事故隐患排查治理情况应当如实记录，并通过职工大会或者职工代</w:t>
            </w:r>
            <w:r>
              <w:rPr>
                <w:spacing w:val="7"/>
              </w:rPr>
              <w:t xml:space="preserve"> </w:t>
            </w:r>
            <w:r>
              <w:t>表大会、信息公示栏等方式向从业人员通报。其中，重大事故隐患排查治理情况应当及时向负有安全生产</w:t>
            </w:r>
            <w:r>
              <w:rPr>
                <w:spacing w:val="7"/>
              </w:rPr>
              <w:t xml:space="preserve"> </w:t>
            </w:r>
            <w:r>
              <w:rPr>
                <w:spacing w:val="-2"/>
              </w:rPr>
              <w:t>监督管理职责的部门和职工大会或者职工代表大会报告。</w:t>
            </w:r>
          </w:p>
          <w:p w14:paraId="7A59533E">
            <w:pPr>
              <w:pStyle w:val="8"/>
              <w:spacing w:before="27" w:line="239" w:lineRule="auto"/>
              <w:ind w:left="109" w:right="104" w:firstLine="361"/>
            </w:pPr>
            <w:r>
              <w:t>第一百零一条第（五）项  生产经营单位有下列行为之一的，责令限期改正，处十万元以下的罚款；</w:t>
            </w:r>
            <w:r>
              <w:rPr>
                <w:spacing w:val="1"/>
              </w:rPr>
              <w:t xml:space="preserve"> </w:t>
            </w:r>
            <w:r>
              <w:t>逾期未改正的，责令停产停业整顿，并处十万元以上二十万元以下的罚款，对其直接负责的主管人员和其</w:t>
            </w:r>
            <w:r>
              <w:rPr>
                <w:spacing w:val="7"/>
              </w:rPr>
              <w:t xml:space="preserve"> </w:t>
            </w:r>
            <w:r>
              <w:rPr>
                <w:spacing w:val="-2"/>
              </w:rPr>
              <w:t>他直接责任人员处二万元以上五万元以下的罚款；构成犯罪的，依照刑法有关规定追究刑事责任:（五）未</w:t>
            </w:r>
            <w:r>
              <w:rPr>
                <w:spacing w:val="11"/>
              </w:rPr>
              <w:t xml:space="preserve"> </w:t>
            </w:r>
            <w:r>
              <w:rPr>
                <w:spacing w:val="-1"/>
              </w:rPr>
              <w:t>建立事故隐患排查治理制度，或者重大事故隐患排查治理情况未按照规定报告的。</w:t>
            </w:r>
          </w:p>
          <w:p w14:paraId="44AFDBE4">
            <w:pPr>
              <w:pStyle w:val="8"/>
              <w:spacing w:before="26"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73E9EBFA">
            <w:pPr>
              <w:pStyle w:val="8"/>
              <w:spacing w:before="28" w:line="237" w:lineRule="auto"/>
              <w:ind w:left="111" w:right="104" w:firstLine="360"/>
              <w:jc w:val="both"/>
            </w:pPr>
            <w:r>
              <w:t>第五十八条  危险货物港口经营人应当建立健全并落实事故隐患排查治理制度，定期开展事故隐患排</w:t>
            </w:r>
            <w:r>
              <w:rPr>
                <w:spacing w:val="6"/>
              </w:rPr>
              <w:t xml:space="preserve"> </w:t>
            </w:r>
            <w:r>
              <w:t>查，及时消除隐患，事故隐患排查治理情况应当如实记录，并通过职工大会或者职工代表大会、信息公示</w:t>
            </w:r>
            <w:r>
              <w:rPr>
                <w:spacing w:val="6"/>
              </w:rPr>
              <w:t xml:space="preserve"> </w:t>
            </w:r>
            <w:r>
              <w:rPr>
                <w:spacing w:val="-3"/>
              </w:rPr>
              <w:t>栏等方式向从业人员通报。</w:t>
            </w:r>
          </w:p>
          <w:p w14:paraId="7E4CDDC5">
            <w:pPr>
              <w:pStyle w:val="8"/>
              <w:spacing w:before="26" w:line="232" w:lineRule="auto"/>
              <w:ind w:left="113" w:right="104" w:firstLine="360"/>
            </w:pPr>
            <w:r>
              <w:t>危险货物港口经营人应当将重大事故隐患的排查治理情况及时向所在地港口行政管理部门和职工大会</w:t>
            </w:r>
            <w:r>
              <w:rPr>
                <w:spacing w:val="4"/>
              </w:rPr>
              <w:t xml:space="preserve"> </w:t>
            </w:r>
            <w:r>
              <w:rPr>
                <w:spacing w:val="-3"/>
              </w:rPr>
              <w:t>或者职工代表大会报告。</w:t>
            </w:r>
          </w:p>
          <w:p w14:paraId="11E291D4">
            <w:pPr>
              <w:pStyle w:val="8"/>
              <w:spacing w:before="28" w:line="233" w:lineRule="auto"/>
              <w:ind w:left="113" w:right="104" w:firstLine="357"/>
            </w:pPr>
            <w:r>
              <w:t>所在地港口行政管理部门应当建立健全重大事故隐患治理督办制度，督促危险货物港口经营人消除重</w:t>
            </w:r>
            <w:r>
              <w:rPr>
                <w:spacing w:val="6"/>
              </w:rPr>
              <w:t xml:space="preserve"> </w:t>
            </w:r>
            <w:r>
              <w:rPr>
                <w:spacing w:val="-5"/>
              </w:rPr>
              <w:t>大事故隐患。</w:t>
            </w:r>
          </w:p>
          <w:p w14:paraId="253BD17E">
            <w:pPr>
              <w:pStyle w:val="8"/>
              <w:spacing w:before="26" w:line="239" w:lineRule="auto"/>
              <w:ind w:left="111" w:right="58" w:firstLine="359"/>
              <w:jc w:val="both"/>
            </w:pPr>
            <w:r>
              <w:t>第七十六条  危险货物港口经营人有下列行为之一的，由所在地港口行政管理部门责令限期改正，处</w:t>
            </w:r>
            <w:r>
              <w:rPr>
                <w:spacing w:val="6"/>
              </w:rPr>
              <w:t xml:space="preserve"> </w:t>
            </w:r>
            <w:r>
              <w:t>十万元以下的罚款；逾期未改正的，责令停产停业整顿，并处十万元以上二十万元以下的罚款，对其直接</w:t>
            </w:r>
            <w:r>
              <w:rPr>
                <w:spacing w:val="5"/>
              </w:rPr>
              <w:t xml:space="preserve"> </w:t>
            </w:r>
            <w:r>
              <w:rPr>
                <w:spacing w:val="-3"/>
              </w:rPr>
              <w:t>负责的主管人员和其他直接责任人员处二万元以上五万</w:t>
            </w:r>
            <w:r>
              <w:rPr>
                <w:spacing w:val="-4"/>
              </w:rPr>
              <w:t>元以下的罚款</w:t>
            </w:r>
            <w:r>
              <w:rPr>
                <w:spacing w:val="-30"/>
              </w:rPr>
              <w:t>：（</w:t>
            </w:r>
            <w:r>
              <w:rPr>
                <w:spacing w:val="-4"/>
              </w:rPr>
              <w:t>四)未建立事故隐患排查治理制度，</w:t>
            </w:r>
            <w:r>
              <w:rPr>
                <w:spacing w:val="1"/>
              </w:rPr>
              <w:t xml:space="preserve"> </w:t>
            </w:r>
            <w:r>
              <w:rPr>
                <w:spacing w:val="-2"/>
              </w:rPr>
              <w:t>或者重大事故隐患排查治理情况未按照规定报</w:t>
            </w:r>
            <w:r>
              <w:rPr>
                <w:spacing w:val="-3"/>
              </w:rPr>
              <w:t>告的；</w:t>
            </w:r>
          </w:p>
        </w:tc>
        <w:tc>
          <w:tcPr>
            <w:tcW w:w="1010" w:type="dxa"/>
            <w:vAlign w:val="top"/>
          </w:tcPr>
          <w:p w14:paraId="181CAF6A">
            <w:pPr>
              <w:spacing w:line="259" w:lineRule="auto"/>
              <w:rPr>
                <w:rFonts w:ascii="Arial"/>
                <w:sz w:val="21"/>
              </w:rPr>
            </w:pPr>
          </w:p>
          <w:p w14:paraId="5041D383">
            <w:pPr>
              <w:spacing w:line="259" w:lineRule="auto"/>
              <w:rPr>
                <w:rFonts w:ascii="Arial"/>
                <w:sz w:val="21"/>
              </w:rPr>
            </w:pPr>
          </w:p>
          <w:p w14:paraId="2328201C">
            <w:pPr>
              <w:spacing w:line="259" w:lineRule="auto"/>
              <w:rPr>
                <w:rFonts w:ascii="Arial"/>
                <w:sz w:val="21"/>
              </w:rPr>
            </w:pPr>
          </w:p>
          <w:p w14:paraId="5D20BB27">
            <w:pPr>
              <w:spacing w:line="259" w:lineRule="auto"/>
              <w:rPr>
                <w:rFonts w:ascii="Arial"/>
                <w:sz w:val="21"/>
              </w:rPr>
            </w:pPr>
          </w:p>
          <w:p w14:paraId="06FB969E">
            <w:pPr>
              <w:spacing w:line="259" w:lineRule="auto"/>
              <w:rPr>
                <w:rFonts w:ascii="Arial"/>
                <w:sz w:val="21"/>
              </w:rPr>
            </w:pPr>
          </w:p>
          <w:p w14:paraId="7AC5F965">
            <w:pPr>
              <w:spacing w:line="259" w:lineRule="auto"/>
              <w:rPr>
                <w:rFonts w:ascii="Arial"/>
                <w:sz w:val="21"/>
              </w:rPr>
            </w:pPr>
          </w:p>
          <w:p w14:paraId="696D9B14">
            <w:pPr>
              <w:spacing w:line="259" w:lineRule="auto"/>
              <w:rPr>
                <w:rFonts w:ascii="Arial"/>
                <w:sz w:val="21"/>
              </w:rPr>
            </w:pPr>
          </w:p>
          <w:p w14:paraId="1E064CFB">
            <w:pPr>
              <w:spacing w:line="259" w:lineRule="auto"/>
              <w:rPr>
                <w:rFonts w:ascii="Arial"/>
                <w:sz w:val="21"/>
              </w:rPr>
            </w:pPr>
          </w:p>
          <w:p w14:paraId="44C76D2A">
            <w:pPr>
              <w:spacing w:line="259" w:lineRule="auto"/>
              <w:rPr>
                <w:rFonts w:ascii="Arial"/>
                <w:sz w:val="21"/>
              </w:rPr>
            </w:pPr>
          </w:p>
          <w:p w14:paraId="1B595CF1">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3204E95A">
            <w:pPr>
              <w:pStyle w:val="8"/>
              <w:spacing w:before="59" w:line="234" w:lineRule="auto"/>
              <w:ind w:left="530" w:right="104" w:hanging="413"/>
              <w:rPr>
                <w:rFonts w:hint="eastAsia"/>
                <w:spacing w:val="-12"/>
                <w:lang w:eastAsia="zh-CN"/>
              </w:rPr>
            </w:pPr>
          </w:p>
          <w:p w14:paraId="612A0643">
            <w:pPr>
              <w:pStyle w:val="8"/>
              <w:spacing w:before="59" w:line="234" w:lineRule="auto"/>
              <w:ind w:left="530" w:right="104" w:hanging="413"/>
              <w:rPr>
                <w:rFonts w:hint="eastAsia"/>
                <w:spacing w:val="-12"/>
                <w:lang w:eastAsia="zh-CN"/>
              </w:rPr>
            </w:pPr>
          </w:p>
          <w:p w14:paraId="13D99175">
            <w:pPr>
              <w:pStyle w:val="8"/>
              <w:spacing w:before="59" w:line="234" w:lineRule="auto"/>
              <w:ind w:left="530" w:right="104" w:hanging="413"/>
              <w:rPr>
                <w:rFonts w:hint="eastAsia"/>
                <w:spacing w:val="-12"/>
                <w:lang w:eastAsia="zh-CN"/>
              </w:rPr>
            </w:pPr>
          </w:p>
          <w:p w14:paraId="300CC368">
            <w:pPr>
              <w:pStyle w:val="8"/>
              <w:spacing w:before="59" w:line="234" w:lineRule="auto"/>
              <w:ind w:left="530" w:right="104" w:hanging="413"/>
              <w:rPr>
                <w:rFonts w:hint="eastAsia"/>
                <w:spacing w:val="-12"/>
                <w:lang w:eastAsia="zh-CN"/>
              </w:rPr>
            </w:pPr>
          </w:p>
          <w:p w14:paraId="2C057371">
            <w:pPr>
              <w:pStyle w:val="8"/>
              <w:spacing w:before="59" w:line="234" w:lineRule="auto"/>
              <w:ind w:left="530" w:right="104" w:hanging="413"/>
              <w:rPr>
                <w:rFonts w:hint="eastAsia"/>
                <w:spacing w:val="-12"/>
                <w:lang w:eastAsia="zh-CN"/>
              </w:rPr>
            </w:pPr>
          </w:p>
          <w:p w14:paraId="2D2FEB68">
            <w:pPr>
              <w:pStyle w:val="8"/>
              <w:spacing w:before="59" w:line="234" w:lineRule="auto"/>
              <w:ind w:left="530" w:right="104" w:hanging="413"/>
              <w:rPr>
                <w:rFonts w:hint="eastAsia"/>
                <w:spacing w:val="-12"/>
                <w:lang w:eastAsia="zh-CN"/>
              </w:rPr>
            </w:pPr>
          </w:p>
          <w:p w14:paraId="079D8482">
            <w:pPr>
              <w:pStyle w:val="8"/>
              <w:spacing w:before="59" w:line="234" w:lineRule="auto"/>
              <w:ind w:left="530" w:right="104" w:hanging="413"/>
              <w:rPr>
                <w:rFonts w:hint="eastAsia"/>
                <w:spacing w:val="-12"/>
                <w:lang w:eastAsia="zh-CN"/>
              </w:rPr>
            </w:pPr>
          </w:p>
          <w:p w14:paraId="3D5E4951">
            <w:pPr>
              <w:pStyle w:val="8"/>
              <w:spacing w:before="59" w:line="234" w:lineRule="auto"/>
              <w:ind w:left="530" w:right="104" w:hanging="413"/>
              <w:rPr>
                <w:rFonts w:hint="eastAsia"/>
                <w:spacing w:val="-12"/>
                <w:lang w:eastAsia="zh-CN"/>
              </w:rPr>
            </w:pPr>
          </w:p>
          <w:p w14:paraId="6A3249D5">
            <w:pPr>
              <w:pStyle w:val="8"/>
              <w:spacing w:before="59" w:line="234" w:lineRule="auto"/>
              <w:ind w:left="530" w:right="104" w:hanging="413"/>
              <w:rPr>
                <w:rFonts w:hint="eastAsia"/>
                <w:spacing w:val="-12"/>
                <w:lang w:eastAsia="zh-CN"/>
              </w:rPr>
            </w:pPr>
          </w:p>
          <w:p w14:paraId="0AFB093F">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24913B06">
            <w:pPr>
              <w:spacing w:line="245" w:lineRule="auto"/>
              <w:rPr>
                <w:rFonts w:ascii="Arial"/>
                <w:sz w:val="21"/>
              </w:rPr>
            </w:pPr>
          </w:p>
          <w:p w14:paraId="0D9E85A2">
            <w:pPr>
              <w:spacing w:line="245" w:lineRule="auto"/>
              <w:rPr>
                <w:rFonts w:ascii="Arial"/>
                <w:sz w:val="21"/>
              </w:rPr>
            </w:pPr>
          </w:p>
          <w:p w14:paraId="09A7018C">
            <w:pPr>
              <w:spacing w:line="246" w:lineRule="auto"/>
              <w:rPr>
                <w:rFonts w:ascii="Arial"/>
                <w:sz w:val="21"/>
              </w:rPr>
            </w:pPr>
          </w:p>
          <w:p w14:paraId="4F4BE7D7">
            <w:pPr>
              <w:spacing w:line="246" w:lineRule="auto"/>
              <w:rPr>
                <w:rFonts w:ascii="Arial"/>
                <w:sz w:val="21"/>
              </w:rPr>
            </w:pPr>
          </w:p>
          <w:p w14:paraId="415BF4CC">
            <w:pPr>
              <w:spacing w:line="246" w:lineRule="auto"/>
              <w:rPr>
                <w:rFonts w:ascii="Arial"/>
                <w:sz w:val="21"/>
              </w:rPr>
            </w:pPr>
          </w:p>
          <w:p w14:paraId="47F644DA">
            <w:pPr>
              <w:spacing w:line="246" w:lineRule="auto"/>
              <w:rPr>
                <w:rFonts w:ascii="Arial"/>
                <w:sz w:val="21"/>
              </w:rPr>
            </w:pPr>
          </w:p>
          <w:p w14:paraId="391D346A">
            <w:pPr>
              <w:spacing w:line="246" w:lineRule="auto"/>
              <w:rPr>
                <w:rFonts w:ascii="Arial"/>
                <w:sz w:val="21"/>
              </w:rPr>
            </w:pPr>
          </w:p>
          <w:p w14:paraId="7F75D18F">
            <w:pPr>
              <w:spacing w:line="246" w:lineRule="auto"/>
              <w:rPr>
                <w:rFonts w:ascii="Arial"/>
                <w:sz w:val="21"/>
              </w:rPr>
            </w:pPr>
          </w:p>
          <w:p w14:paraId="2AED686D">
            <w:pPr>
              <w:spacing w:line="247" w:lineRule="auto"/>
              <w:rPr>
                <w:rFonts w:ascii="Arial"/>
                <w:sz w:val="21"/>
              </w:rPr>
            </w:pPr>
          </w:p>
          <w:p w14:paraId="107DD679">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6451E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622" w:type="dxa"/>
            <w:vAlign w:val="top"/>
          </w:tcPr>
          <w:p w14:paraId="593AD605">
            <w:pPr>
              <w:spacing w:line="279" w:lineRule="auto"/>
              <w:rPr>
                <w:rFonts w:ascii="Arial"/>
                <w:sz w:val="21"/>
              </w:rPr>
            </w:pPr>
          </w:p>
          <w:p w14:paraId="39E6D324">
            <w:pPr>
              <w:spacing w:line="279" w:lineRule="auto"/>
              <w:rPr>
                <w:rFonts w:ascii="Arial"/>
                <w:sz w:val="21"/>
              </w:rPr>
            </w:pPr>
          </w:p>
          <w:p w14:paraId="654F52F7">
            <w:pPr>
              <w:spacing w:line="279" w:lineRule="auto"/>
              <w:rPr>
                <w:rFonts w:ascii="Arial"/>
                <w:sz w:val="21"/>
              </w:rPr>
            </w:pPr>
          </w:p>
          <w:p w14:paraId="00B1977C">
            <w:pPr>
              <w:spacing w:line="279" w:lineRule="auto"/>
              <w:rPr>
                <w:rFonts w:ascii="Arial"/>
                <w:sz w:val="21"/>
              </w:rPr>
            </w:pPr>
          </w:p>
          <w:p w14:paraId="33F47AD4">
            <w:pPr>
              <w:spacing w:line="279" w:lineRule="auto"/>
              <w:rPr>
                <w:rFonts w:ascii="Arial"/>
                <w:sz w:val="21"/>
              </w:rPr>
            </w:pPr>
          </w:p>
          <w:p w14:paraId="2E13480C">
            <w:pPr>
              <w:spacing w:line="280" w:lineRule="auto"/>
              <w:rPr>
                <w:rFonts w:ascii="Arial"/>
                <w:sz w:val="21"/>
              </w:rPr>
            </w:pPr>
          </w:p>
          <w:p w14:paraId="1F406755">
            <w:pPr>
              <w:pStyle w:val="8"/>
              <w:spacing w:before="59" w:line="183" w:lineRule="auto"/>
              <w:ind w:left="228"/>
            </w:pPr>
            <w:r>
              <w:rPr>
                <w:spacing w:val="-4"/>
              </w:rPr>
              <w:t>26</w:t>
            </w:r>
          </w:p>
        </w:tc>
        <w:tc>
          <w:tcPr>
            <w:tcW w:w="1100" w:type="dxa"/>
            <w:vAlign w:val="top"/>
          </w:tcPr>
          <w:p w14:paraId="7404A852">
            <w:pPr>
              <w:spacing w:line="312" w:lineRule="auto"/>
              <w:rPr>
                <w:rFonts w:ascii="Arial"/>
                <w:sz w:val="21"/>
              </w:rPr>
            </w:pPr>
          </w:p>
          <w:p w14:paraId="374923F4">
            <w:pPr>
              <w:spacing w:line="313" w:lineRule="auto"/>
              <w:rPr>
                <w:rFonts w:ascii="Arial"/>
                <w:sz w:val="21"/>
              </w:rPr>
            </w:pPr>
          </w:p>
          <w:p w14:paraId="0590DCB0">
            <w:pPr>
              <w:spacing w:line="313" w:lineRule="auto"/>
              <w:rPr>
                <w:rFonts w:ascii="Arial"/>
                <w:sz w:val="21"/>
              </w:rPr>
            </w:pPr>
          </w:p>
          <w:p w14:paraId="16C5630E">
            <w:pPr>
              <w:pStyle w:val="8"/>
              <w:spacing w:before="59" w:line="243" w:lineRule="auto"/>
              <w:ind w:left="58" w:right="55"/>
              <w:jc w:val="both"/>
            </w:pPr>
            <w:r>
              <w:rPr>
                <w:spacing w:val="16"/>
              </w:rPr>
              <w:t>对危险货物</w:t>
            </w:r>
            <w:r>
              <w:t xml:space="preserve"> </w:t>
            </w:r>
            <w:r>
              <w:rPr>
                <w:spacing w:val="16"/>
              </w:rPr>
              <w:t>港口经营人</w:t>
            </w:r>
            <w:r>
              <w:t xml:space="preserve"> </w:t>
            </w:r>
            <w:r>
              <w:rPr>
                <w:spacing w:val="16"/>
              </w:rPr>
              <w:t>未在作业场</w:t>
            </w:r>
            <w:r>
              <w:t xml:space="preserve"> </w:t>
            </w:r>
            <w:r>
              <w:rPr>
                <w:spacing w:val="-8"/>
              </w:rPr>
              <w:t>所</w:t>
            </w:r>
            <w:r>
              <w:rPr>
                <w:spacing w:val="11"/>
              </w:rPr>
              <w:t xml:space="preserve"> </w:t>
            </w:r>
            <w:r>
              <w:rPr>
                <w:spacing w:val="-8"/>
              </w:rPr>
              <w:t>设</w:t>
            </w:r>
            <w:r>
              <w:rPr>
                <w:spacing w:val="4"/>
              </w:rPr>
              <w:t xml:space="preserve"> </w:t>
            </w:r>
            <w:r>
              <w:rPr>
                <w:spacing w:val="-8"/>
              </w:rPr>
              <w:t>置</w:t>
            </w:r>
            <w:r>
              <w:rPr>
                <w:spacing w:val="6"/>
              </w:rPr>
              <w:t xml:space="preserve"> </w:t>
            </w:r>
            <w:r>
              <w:rPr>
                <w:spacing w:val="-8"/>
              </w:rPr>
              <w:t>通</w:t>
            </w:r>
            <w:r>
              <w:t xml:space="preserve"> </w:t>
            </w:r>
            <w:r>
              <w:rPr>
                <w:spacing w:val="16"/>
              </w:rPr>
              <w:t>信、报警装</w:t>
            </w:r>
            <w:r>
              <w:t xml:space="preserve"> </w:t>
            </w:r>
            <w:r>
              <w:rPr>
                <w:spacing w:val="16"/>
              </w:rPr>
              <w:t>置的行政处</w:t>
            </w:r>
            <w:r>
              <w:t xml:space="preserve"> 罚</w:t>
            </w:r>
          </w:p>
        </w:tc>
        <w:tc>
          <w:tcPr>
            <w:tcW w:w="1100" w:type="dxa"/>
            <w:vAlign w:val="top"/>
          </w:tcPr>
          <w:p w14:paraId="135866CB">
            <w:pPr>
              <w:spacing w:line="274" w:lineRule="auto"/>
              <w:rPr>
                <w:rFonts w:ascii="Arial"/>
                <w:sz w:val="21"/>
              </w:rPr>
            </w:pPr>
          </w:p>
          <w:p w14:paraId="310DC155">
            <w:pPr>
              <w:spacing w:line="274" w:lineRule="auto"/>
              <w:rPr>
                <w:rFonts w:ascii="Arial"/>
                <w:sz w:val="21"/>
              </w:rPr>
            </w:pPr>
          </w:p>
          <w:p w14:paraId="73B2CEA2">
            <w:pPr>
              <w:spacing w:line="274" w:lineRule="auto"/>
              <w:rPr>
                <w:rFonts w:ascii="Arial"/>
                <w:sz w:val="21"/>
              </w:rPr>
            </w:pPr>
          </w:p>
          <w:p w14:paraId="05E82342">
            <w:pPr>
              <w:spacing w:line="274" w:lineRule="auto"/>
              <w:rPr>
                <w:rFonts w:ascii="Arial"/>
                <w:sz w:val="21"/>
              </w:rPr>
            </w:pPr>
          </w:p>
          <w:p w14:paraId="076FD2C4">
            <w:pPr>
              <w:spacing w:line="274" w:lineRule="auto"/>
              <w:rPr>
                <w:rFonts w:ascii="Arial"/>
                <w:sz w:val="21"/>
              </w:rPr>
            </w:pPr>
          </w:p>
          <w:p w14:paraId="2E3AF357">
            <w:pPr>
              <w:spacing w:line="275" w:lineRule="auto"/>
              <w:rPr>
                <w:rFonts w:ascii="Arial"/>
                <w:sz w:val="21"/>
              </w:rPr>
            </w:pPr>
          </w:p>
          <w:p w14:paraId="51C8EB2A">
            <w:pPr>
              <w:pStyle w:val="8"/>
              <w:spacing w:before="58" w:line="220" w:lineRule="auto"/>
              <w:ind w:left="112"/>
            </w:pPr>
            <w:r>
              <w:rPr>
                <w:spacing w:val="-2"/>
              </w:rPr>
              <w:t>行政处罚</w:t>
            </w:r>
          </w:p>
        </w:tc>
        <w:tc>
          <w:tcPr>
            <w:tcW w:w="8508" w:type="dxa"/>
            <w:vAlign w:val="top"/>
          </w:tcPr>
          <w:p w14:paraId="4110D695">
            <w:pPr>
              <w:pStyle w:val="8"/>
              <w:spacing w:before="43" w:line="219" w:lineRule="auto"/>
              <w:ind w:left="484"/>
            </w:pPr>
            <w:r>
              <w:rPr>
                <w:b/>
                <w:bCs/>
                <w:spacing w:val="-4"/>
              </w:rPr>
              <w:t>1.《中华人民共和国安全生产法》</w:t>
            </w:r>
          </w:p>
          <w:p w14:paraId="59B966ED">
            <w:pPr>
              <w:pStyle w:val="8"/>
              <w:spacing w:before="26" w:line="219" w:lineRule="auto"/>
              <w:ind w:left="471"/>
            </w:pPr>
            <w:r>
              <w:t>第三十五条  生产经营单位应当在有较大危险因素的生产经营场所和有关设施、设备上</w:t>
            </w:r>
            <w:r>
              <w:rPr>
                <w:spacing w:val="-1"/>
              </w:rPr>
              <w:t>，设置明显的</w:t>
            </w:r>
          </w:p>
          <w:p w14:paraId="538DEE5B">
            <w:pPr>
              <w:pStyle w:val="8"/>
              <w:spacing w:before="26" w:line="220" w:lineRule="auto"/>
              <w:ind w:left="114"/>
            </w:pPr>
            <w:r>
              <w:rPr>
                <w:spacing w:val="-6"/>
              </w:rPr>
              <w:t>安全警示标志。</w:t>
            </w:r>
          </w:p>
          <w:p w14:paraId="240050D3">
            <w:pPr>
              <w:pStyle w:val="8"/>
              <w:spacing w:before="25" w:line="237" w:lineRule="auto"/>
              <w:ind w:left="113" w:right="103" w:firstLine="357"/>
              <w:jc w:val="both"/>
            </w:pPr>
            <w:r>
              <w:t>第九十九条第（一）项  生产经营单位有下列行为之一的，责令限期改正，处五万元以下的罚款；逾</w:t>
            </w:r>
            <w:r>
              <w:rPr>
                <w:spacing w:val="6"/>
              </w:rPr>
              <w:t xml:space="preserve"> </w:t>
            </w:r>
            <w:r>
              <w:t>期未改正的，处五万元以上二十万元以下的罚款，对其直接负责的主管人员和其他直接责任人员处一万元</w:t>
            </w:r>
            <w:r>
              <w:rPr>
                <w:spacing w:val="4"/>
              </w:rPr>
              <w:t xml:space="preserve"> </w:t>
            </w:r>
            <w:r>
              <w:rPr>
                <w:spacing w:val="-2"/>
              </w:rPr>
              <w:t>以上二万元以下的罚款；情节严重的，责令停产停业整顿；构成犯罪的，依照刑法有关规定追究刑事责任:</w:t>
            </w:r>
          </w:p>
          <w:p w14:paraId="2AD9151F">
            <w:pPr>
              <w:pStyle w:val="8"/>
              <w:spacing w:before="26" w:line="219" w:lineRule="auto"/>
              <w:ind w:left="121"/>
            </w:pPr>
            <w:r>
              <w:rPr>
                <w:spacing w:val="-2"/>
              </w:rPr>
              <w:t>（一）未在有较大危险因素的生产经营场所和有关设施、设备上设置明显的安全警示标志的；</w:t>
            </w:r>
          </w:p>
          <w:p w14:paraId="5ADD0581">
            <w:pPr>
              <w:pStyle w:val="8"/>
              <w:spacing w:before="27" w:line="219" w:lineRule="auto"/>
              <w:ind w:left="473"/>
            </w:pPr>
            <w:r>
              <w:rPr>
                <w:b/>
                <w:bCs/>
                <w:spacing w:val="-3"/>
              </w:rPr>
              <w:t>2.《危险化学品安全管理条例》</w:t>
            </w:r>
          </w:p>
          <w:p w14:paraId="0F528E36">
            <w:pPr>
              <w:pStyle w:val="8"/>
              <w:spacing w:before="26" w:line="219" w:lineRule="auto"/>
              <w:ind w:left="471"/>
            </w:pPr>
            <w:r>
              <w:t>第二十条第二款  生产、储存危险化学品的单位，应当在其作业场所和安全设施、设备上设置明显的</w:t>
            </w:r>
          </w:p>
          <w:p w14:paraId="1D9F0CFE">
            <w:pPr>
              <w:pStyle w:val="8"/>
              <w:spacing w:before="27" w:line="220" w:lineRule="auto"/>
              <w:ind w:left="114"/>
            </w:pPr>
            <w:r>
              <w:rPr>
                <w:spacing w:val="-6"/>
              </w:rPr>
              <w:t>安全警示标志。</w:t>
            </w:r>
          </w:p>
          <w:p w14:paraId="1A460487">
            <w:pPr>
              <w:pStyle w:val="8"/>
              <w:spacing w:before="25" w:line="232" w:lineRule="auto"/>
              <w:ind w:left="110" w:right="135" w:firstLine="360"/>
            </w:pPr>
            <w:r>
              <w:t>第二十六条第一款  危险化学品专用仓库应</w:t>
            </w:r>
            <w:r>
              <w:rPr>
                <w:spacing w:val="-1"/>
              </w:rPr>
              <w:t>当符合国家标准、行业标准的要求，并设置明显的标志。</w:t>
            </w:r>
            <w:r>
              <w:t xml:space="preserve"> </w:t>
            </w:r>
            <w:r>
              <w:rPr>
                <w:spacing w:val="-1"/>
              </w:rPr>
              <w:t>储存剧毒化学品、易制爆危险化学品的专用仓库，应当按照国家有关规定设置相应的技术防范设施。</w:t>
            </w:r>
          </w:p>
          <w:p w14:paraId="675F4142">
            <w:pPr>
              <w:pStyle w:val="8"/>
              <w:spacing w:before="27" w:line="230" w:lineRule="auto"/>
              <w:ind w:left="110" w:right="58" w:firstLine="360"/>
            </w:pPr>
            <w:r>
              <w:t>第七十八条第一款第（八）项、第（十一）项  有下列情形之一的，由安全生产监督管理部门责令改</w:t>
            </w:r>
            <w:r>
              <w:rPr>
                <w:spacing w:val="6"/>
              </w:rPr>
              <w:t xml:space="preserve"> </w:t>
            </w:r>
            <w:r>
              <w:rPr>
                <w:spacing w:val="-3"/>
              </w:rPr>
              <w:t>正，可以处</w:t>
            </w:r>
            <w:r>
              <w:rPr>
                <w:spacing w:val="-36"/>
              </w:rPr>
              <w:t xml:space="preserve"> </w:t>
            </w:r>
            <w:r>
              <w:rPr>
                <w:spacing w:val="-3"/>
              </w:rPr>
              <w:t>5</w:t>
            </w:r>
            <w:r>
              <w:rPr>
                <w:spacing w:val="-32"/>
              </w:rPr>
              <w:t xml:space="preserve"> </w:t>
            </w:r>
            <w:r>
              <w:rPr>
                <w:spacing w:val="-3"/>
              </w:rPr>
              <w:t>万元以下的罚款；拒不改正的，处</w:t>
            </w:r>
            <w:r>
              <w:rPr>
                <w:spacing w:val="-34"/>
              </w:rPr>
              <w:t xml:space="preserve"> </w:t>
            </w:r>
            <w:r>
              <w:rPr>
                <w:spacing w:val="-3"/>
              </w:rPr>
              <w:t>5</w:t>
            </w:r>
            <w:r>
              <w:rPr>
                <w:spacing w:val="-34"/>
              </w:rPr>
              <w:t xml:space="preserve"> </w:t>
            </w:r>
            <w:r>
              <w:rPr>
                <w:spacing w:val="-3"/>
              </w:rPr>
              <w:t>万元以上</w:t>
            </w:r>
            <w:r>
              <w:rPr>
                <w:spacing w:val="-24"/>
              </w:rPr>
              <w:t xml:space="preserve"> </w:t>
            </w:r>
            <w:r>
              <w:rPr>
                <w:spacing w:val="-3"/>
              </w:rPr>
              <w:t>10</w:t>
            </w:r>
            <w:r>
              <w:rPr>
                <w:spacing w:val="-34"/>
              </w:rPr>
              <w:t xml:space="preserve"> </w:t>
            </w:r>
            <w:r>
              <w:rPr>
                <w:spacing w:val="-3"/>
              </w:rPr>
              <w:t>万</w:t>
            </w:r>
            <w:r>
              <w:rPr>
                <w:spacing w:val="-4"/>
              </w:rPr>
              <w:t>元以下的罚款；情节严重的，责令停产停</w:t>
            </w:r>
            <w:r>
              <w:t xml:space="preserve"> </w:t>
            </w:r>
            <w:r>
              <w:rPr>
                <w:spacing w:val="-2"/>
              </w:rPr>
              <w:t>业整顿</w:t>
            </w:r>
            <w:r>
              <w:rPr>
                <w:spacing w:val="-7"/>
              </w:rPr>
              <w:t>：（</w:t>
            </w:r>
            <w:r>
              <w:rPr>
                <w:spacing w:val="-2"/>
              </w:rPr>
              <w:t>八）生产、储存危险化学品的单位未在作业</w:t>
            </w:r>
            <w:r>
              <w:rPr>
                <w:spacing w:val="-3"/>
              </w:rPr>
              <w:t>场所和安全设施、设备上设置明显的安全警示标志，</w:t>
            </w:r>
          </w:p>
        </w:tc>
        <w:tc>
          <w:tcPr>
            <w:tcW w:w="1010" w:type="dxa"/>
            <w:vAlign w:val="top"/>
          </w:tcPr>
          <w:p w14:paraId="27282C78">
            <w:pPr>
              <w:spacing w:line="255" w:lineRule="auto"/>
              <w:rPr>
                <w:rFonts w:ascii="Arial"/>
                <w:sz w:val="21"/>
              </w:rPr>
            </w:pPr>
          </w:p>
          <w:p w14:paraId="14020A2D">
            <w:pPr>
              <w:spacing w:line="256" w:lineRule="auto"/>
              <w:rPr>
                <w:rFonts w:ascii="Arial"/>
                <w:sz w:val="21"/>
              </w:rPr>
            </w:pPr>
          </w:p>
          <w:p w14:paraId="5C6614B5">
            <w:pPr>
              <w:spacing w:line="256" w:lineRule="auto"/>
              <w:rPr>
                <w:rFonts w:ascii="Arial"/>
                <w:sz w:val="21"/>
              </w:rPr>
            </w:pPr>
          </w:p>
          <w:p w14:paraId="36903295">
            <w:pPr>
              <w:spacing w:line="256" w:lineRule="auto"/>
              <w:rPr>
                <w:rFonts w:ascii="Arial"/>
                <w:sz w:val="21"/>
              </w:rPr>
            </w:pPr>
          </w:p>
          <w:p w14:paraId="3585DF2B">
            <w:pPr>
              <w:spacing w:line="256" w:lineRule="auto"/>
              <w:rPr>
                <w:rFonts w:ascii="Arial"/>
                <w:sz w:val="21"/>
              </w:rPr>
            </w:pPr>
          </w:p>
          <w:p w14:paraId="75A108BE">
            <w:pPr>
              <w:spacing w:line="256" w:lineRule="auto"/>
              <w:rPr>
                <w:rFonts w:ascii="Arial"/>
                <w:sz w:val="21"/>
              </w:rPr>
            </w:pPr>
          </w:p>
          <w:p w14:paraId="4DAD34B2">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01714E1D">
            <w:pPr>
              <w:pStyle w:val="8"/>
              <w:spacing w:before="59" w:line="234" w:lineRule="auto"/>
              <w:ind w:left="530" w:right="104" w:hanging="413"/>
              <w:rPr>
                <w:rFonts w:hint="eastAsia"/>
                <w:spacing w:val="-12"/>
                <w:lang w:eastAsia="zh-CN"/>
              </w:rPr>
            </w:pPr>
          </w:p>
          <w:p w14:paraId="6553ED21">
            <w:pPr>
              <w:pStyle w:val="8"/>
              <w:spacing w:before="59" w:line="234" w:lineRule="auto"/>
              <w:ind w:left="530" w:right="104" w:hanging="413"/>
              <w:rPr>
                <w:rFonts w:hint="eastAsia"/>
                <w:spacing w:val="-12"/>
                <w:lang w:eastAsia="zh-CN"/>
              </w:rPr>
            </w:pPr>
          </w:p>
          <w:p w14:paraId="6B3334B7">
            <w:pPr>
              <w:pStyle w:val="8"/>
              <w:spacing w:before="59" w:line="234" w:lineRule="auto"/>
              <w:ind w:left="530" w:right="104" w:hanging="413"/>
              <w:rPr>
                <w:rFonts w:hint="eastAsia"/>
                <w:spacing w:val="-12"/>
                <w:lang w:eastAsia="zh-CN"/>
              </w:rPr>
            </w:pPr>
          </w:p>
          <w:p w14:paraId="48E3C19E">
            <w:pPr>
              <w:pStyle w:val="8"/>
              <w:spacing w:before="59" w:line="234" w:lineRule="auto"/>
              <w:ind w:left="530" w:right="104" w:hanging="413"/>
              <w:rPr>
                <w:rFonts w:hint="eastAsia"/>
                <w:spacing w:val="-12"/>
                <w:lang w:eastAsia="zh-CN"/>
              </w:rPr>
            </w:pPr>
          </w:p>
          <w:p w14:paraId="752A6D1A">
            <w:pPr>
              <w:pStyle w:val="8"/>
              <w:spacing w:before="59" w:line="234" w:lineRule="auto"/>
              <w:ind w:left="530" w:right="104" w:hanging="413"/>
              <w:rPr>
                <w:rFonts w:hint="eastAsia"/>
                <w:spacing w:val="-12"/>
                <w:lang w:eastAsia="zh-CN"/>
              </w:rPr>
            </w:pPr>
          </w:p>
          <w:p w14:paraId="60AB5E5F">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09881680">
            <w:pPr>
              <w:spacing w:line="283" w:lineRule="auto"/>
              <w:rPr>
                <w:rFonts w:ascii="Arial"/>
                <w:sz w:val="21"/>
              </w:rPr>
            </w:pPr>
          </w:p>
          <w:p w14:paraId="57B2FF6A">
            <w:pPr>
              <w:spacing w:line="283" w:lineRule="auto"/>
              <w:rPr>
                <w:rFonts w:ascii="Arial"/>
                <w:sz w:val="21"/>
              </w:rPr>
            </w:pPr>
          </w:p>
          <w:p w14:paraId="7CE6E324">
            <w:pPr>
              <w:spacing w:line="283" w:lineRule="auto"/>
              <w:rPr>
                <w:rFonts w:ascii="Arial"/>
                <w:sz w:val="21"/>
              </w:rPr>
            </w:pPr>
          </w:p>
          <w:p w14:paraId="16580551">
            <w:pPr>
              <w:spacing w:line="283" w:lineRule="auto"/>
              <w:rPr>
                <w:rFonts w:ascii="Arial"/>
                <w:sz w:val="21"/>
              </w:rPr>
            </w:pPr>
          </w:p>
          <w:p w14:paraId="52B54284">
            <w:pPr>
              <w:spacing w:line="284" w:lineRule="auto"/>
              <w:rPr>
                <w:rFonts w:ascii="Arial"/>
                <w:sz w:val="21"/>
              </w:rPr>
            </w:pPr>
          </w:p>
          <w:p w14:paraId="4C16154A">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6D2AB002">
      <w:pPr>
        <w:pStyle w:val="2"/>
      </w:pPr>
    </w:p>
    <w:p w14:paraId="08563483">
      <w:pPr>
        <w:sectPr>
          <w:footerReference r:id="rId140" w:type="default"/>
          <w:pgSz w:w="16839" w:h="11906"/>
          <w:pgMar w:top="1012" w:right="1034" w:bottom="967" w:left="1043" w:header="0" w:footer="768" w:gutter="0"/>
          <w:cols w:space="720" w:num="1"/>
        </w:sectPr>
      </w:pPr>
    </w:p>
    <w:p w14:paraId="7FD78005">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532F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048AF19F">
            <w:pPr>
              <w:pStyle w:val="8"/>
              <w:spacing w:before="259" w:line="221" w:lineRule="auto"/>
              <w:ind w:left="134"/>
            </w:pPr>
            <w:r>
              <w:rPr>
                <w:b/>
                <w:bCs/>
                <w:spacing w:val="-4"/>
              </w:rPr>
              <w:t>序号</w:t>
            </w:r>
          </w:p>
        </w:tc>
        <w:tc>
          <w:tcPr>
            <w:tcW w:w="1100" w:type="dxa"/>
            <w:vMerge w:val="restart"/>
            <w:tcBorders>
              <w:bottom w:val="nil"/>
            </w:tcBorders>
            <w:vAlign w:val="top"/>
          </w:tcPr>
          <w:p w14:paraId="2030DCA0">
            <w:pPr>
              <w:pStyle w:val="8"/>
              <w:spacing w:before="260" w:line="220" w:lineRule="auto"/>
              <w:ind w:left="189"/>
            </w:pPr>
            <w:r>
              <w:rPr>
                <w:b/>
                <w:bCs/>
                <w:spacing w:val="-4"/>
              </w:rPr>
              <w:t>事项名称</w:t>
            </w:r>
          </w:p>
        </w:tc>
        <w:tc>
          <w:tcPr>
            <w:tcW w:w="1100" w:type="dxa"/>
            <w:vMerge w:val="restart"/>
            <w:tcBorders>
              <w:bottom w:val="nil"/>
            </w:tcBorders>
            <w:vAlign w:val="top"/>
          </w:tcPr>
          <w:p w14:paraId="455FA0AA">
            <w:pPr>
              <w:pStyle w:val="8"/>
              <w:spacing w:before="260" w:line="219" w:lineRule="auto"/>
              <w:ind w:left="191"/>
            </w:pPr>
            <w:r>
              <w:rPr>
                <w:b/>
                <w:bCs/>
                <w:spacing w:val="-4"/>
              </w:rPr>
              <w:t>职权类型</w:t>
            </w:r>
          </w:p>
        </w:tc>
        <w:tc>
          <w:tcPr>
            <w:tcW w:w="8508" w:type="dxa"/>
            <w:vMerge w:val="restart"/>
            <w:tcBorders>
              <w:bottom w:val="nil"/>
            </w:tcBorders>
            <w:vAlign w:val="top"/>
          </w:tcPr>
          <w:p w14:paraId="3D7171EF">
            <w:pPr>
              <w:pStyle w:val="8"/>
              <w:spacing w:before="259" w:line="219" w:lineRule="auto"/>
              <w:ind w:left="3900"/>
            </w:pPr>
            <w:r>
              <w:rPr>
                <w:b/>
                <w:bCs/>
                <w:spacing w:val="-5"/>
              </w:rPr>
              <w:t>实施依据</w:t>
            </w:r>
          </w:p>
        </w:tc>
        <w:tc>
          <w:tcPr>
            <w:tcW w:w="3425" w:type="dxa"/>
            <w:gridSpan w:val="3"/>
            <w:vAlign w:val="top"/>
          </w:tcPr>
          <w:p w14:paraId="7FB41F91">
            <w:pPr>
              <w:pStyle w:val="8"/>
              <w:spacing w:before="85" w:line="220" w:lineRule="auto"/>
              <w:ind w:left="1358"/>
            </w:pPr>
            <w:r>
              <w:rPr>
                <w:b/>
                <w:bCs/>
                <w:spacing w:val="-5"/>
              </w:rPr>
              <w:t>实施主体</w:t>
            </w:r>
          </w:p>
        </w:tc>
      </w:tr>
      <w:tr w14:paraId="67276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614C30F8">
            <w:pPr>
              <w:rPr>
                <w:rFonts w:ascii="Arial"/>
                <w:sz w:val="21"/>
              </w:rPr>
            </w:pPr>
          </w:p>
        </w:tc>
        <w:tc>
          <w:tcPr>
            <w:tcW w:w="1100" w:type="dxa"/>
            <w:vMerge w:val="continue"/>
            <w:tcBorders>
              <w:top w:val="nil"/>
            </w:tcBorders>
            <w:vAlign w:val="top"/>
          </w:tcPr>
          <w:p w14:paraId="49543421">
            <w:pPr>
              <w:rPr>
                <w:rFonts w:ascii="Arial"/>
                <w:sz w:val="21"/>
              </w:rPr>
            </w:pPr>
          </w:p>
        </w:tc>
        <w:tc>
          <w:tcPr>
            <w:tcW w:w="1100" w:type="dxa"/>
            <w:vMerge w:val="continue"/>
            <w:tcBorders>
              <w:top w:val="nil"/>
            </w:tcBorders>
            <w:vAlign w:val="top"/>
          </w:tcPr>
          <w:p w14:paraId="37EC95E4">
            <w:pPr>
              <w:rPr>
                <w:rFonts w:ascii="Arial"/>
                <w:sz w:val="21"/>
              </w:rPr>
            </w:pPr>
          </w:p>
        </w:tc>
        <w:tc>
          <w:tcPr>
            <w:tcW w:w="8508" w:type="dxa"/>
            <w:vMerge w:val="continue"/>
            <w:tcBorders>
              <w:top w:val="nil"/>
            </w:tcBorders>
            <w:vAlign w:val="top"/>
          </w:tcPr>
          <w:p w14:paraId="2E03CDB6">
            <w:pPr>
              <w:rPr>
                <w:rFonts w:ascii="Arial"/>
                <w:sz w:val="21"/>
              </w:rPr>
            </w:pPr>
          </w:p>
        </w:tc>
        <w:tc>
          <w:tcPr>
            <w:tcW w:w="1010" w:type="dxa"/>
            <w:vAlign w:val="top"/>
          </w:tcPr>
          <w:p w14:paraId="368816DB">
            <w:pPr>
              <w:pStyle w:val="8"/>
              <w:spacing w:before="81" w:line="219" w:lineRule="auto"/>
              <w:ind w:left="155"/>
            </w:pPr>
            <w:r>
              <w:rPr>
                <w:b/>
                <w:bCs/>
                <w:spacing w:val="-5"/>
              </w:rPr>
              <w:t>责任部门</w:t>
            </w:r>
          </w:p>
        </w:tc>
        <w:tc>
          <w:tcPr>
            <w:tcW w:w="1401" w:type="dxa"/>
            <w:vAlign w:val="top"/>
          </w:tcPr>
          <w:p w14:paraId="6B4E84B3">
            <w:pPr>
              <w:pStyle w:val="8"/>
              <w:spacing w:before="81" w:line="219" w:lineRule="auto"/>
              <w:ind w:left="164"/>
            </w:pPr>
            <w:r>
              <w:rPr>
                <w:b/>
                <w:bCs/>
                <w:spacing w:val="-3"/>
              </w:rPr>
              <w:t>第一责任层级</w:t>
            </w:r>
          </w:p>
        </w:tc>
        <w:tc>
          <w:tcPr>
            <w:tcW w:w="1014" w:type="dxa"/>
            <w:vAlign w:val="top"/>
          </w:tcPr>
          <w:p w14:paraId="2DDF1A60">
            <w:pPr>
              <w:pStyle w:val="8"/>
              <w:spacing w:before="81" w:line="219" w:lineRule="auto"/>
              <w:ind w:left="150"/>
            </w:pPr>
            <w:r>
              <w:rPr>
                <w:b/>
                <w:bCs/>
                <w:spacing w:val="-4"/>
              </w:rPr>
              <w:t>承办机构</w:t>
            </w:r>
          </w:p>
        </w:tc>
      </w:tr>
      <w:tr w14:paraId="2F5F7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622" w:type="dxa"/>
            <w:vAlign w:val="top"/>
          </w:tcPr>
          <w:p w14:paraId="7B096058">
            <w:pPr>
              <w:rPr>
                <w:rFonts w:ascii="Arial"/>
                <w:sz w:val="21"/>
              </w:rPr>
            </w:pPr>
          </w:p>
        </w:tc>
        <w:tc>
          <w:tcPr>
            <w:tcW w:w="1100" w:type="dxa"/>
            <w:vAlign w:val="top"/>
          </w:tcPr>
          <w:p w14:paraId="6E38376F">
            <w:pPr>
              <w:rPr>
                <w:rFonts w:ascii="Arial"/>
                <w:sz w:val="21"/>
              </w:rPr>
            </w:pPr>
          </w:p>
        </w:tc>
        <w:tc>
          <w:tcPr>
            <w:tcW w:w="1100" w:type="dxa"/>
            <w:vAlign w:val="top"/>
          </w:tcPr>
          <w:p w14:paraId="54C1CE4A">
            <w:pPr>
              <w:rPr>
                <w:rFonts w:ascii="Arial"/>
                <w:sz w:val="21"/>
              </w:rPr>
            </w:pPr>
          </w:p>
        </w:tc>
        <w:tc>
          <w:tcPr>
            <w:tcW w:w="8508" w:type="dxa"/>
            <w:vAlign w:val="top"/>
          </w:tcPr>
          <w:p w14:paraId="039DCA5F">
            <w:pPr>
              <w:pStyle w:val="8"/>
              <w:spacing w:before="38" w:line="219" w:lineRule="auto"/>
              <w:ind w:left="113"/>
            </w:pPr>
            <w:r>
              <w:rPr>
                <w:spacing w:val="-1"/>
              </w:rPr>
              <w:t>或者未在作业场所设置通信、报警装置的；（十一）危险化</w:t>
            </w:r>
            <w:r>
              <w:rPr>
                <w:spacing w:val="-2"/>
              </w:rPr>
              <w:t>学品专用仓库未设置明显标志的；</w:t>
            </w:r>
          </w:p>
          <w:p w14:paraId="587DBAFD">
            <w:pPr>
              <w:pStyle w:val="8"/>
              <w:spacing w:before="26" w:line="237" w:lineRule="auto"/>
              <w:ind w:left="111" w:right="104" w:firstLine="359"/>
              <w:jc w:val="both"/>
            </w:pPr>
            <w:r>
              <w:t>第七十八条第二款  从事危险化学品仓储经营的港口经营人有前款规定情形的，由港口行政管理部门</w:t>
            </w:r>
            <w:r>
              <w:rPr>
                <w:spacing w:val="6"/>
              </w:rPr>
              <w:t xml:space="preserve"> </w:t>
            </w:r>
            <w:r>
              <w:t>依照前款规定予以处罚。储存剧毒化学品、易制爆危险化学品的专用仓库未按照国家有关规定设置相应的</w:t>
            </w:r>
            <w:r>
              <w:rPr>
                <w:spacing w:val="5"/>
              </w:rPr>
              <w:t xml:space="preserve"> </w:t>
            </w:r>
            <w:r>
              <w:rPr>
                <w:spacing w:val="-2"/>
              </w:rPr>
              <w:t>技术防范设施的，由公安机关依照前款规定予以处罚。</w:t>
            </w:r>
          </w:p>
          <w:p w14:paraId="0C980430">
            <w:pPr>
              <w:pStyle w:val="8"/>
              <w:spacing w:before="26" w:line="219" w:lineRule="auto"/>
              <w:ind w:left="474"/>
            </w:pPr>
            <w:r>
              <w:rPr>
                <w:b/>
                <w:bCs/>
                <w:spacing w:val="-3"/>
              </w:rPr>
              <w:t>3.《港口危险货物安全管理规定》（交通运输部令</w:t>
            </w:r>
            <w:r>
              <w:rPr>
                <w:spacing w:val="-33"/>
              </w:rPr>
              <w:t xml:space="preserve"> </w:t>
            </w:r>
            <w:r>
              <w:rPr>
                <w:b/>
                <w:bCs/>
                <w:spacing w:val="-3"/>
              </w:rPr>
              <w:t>2023</w:t>
            </w:r>
            <w:r>
              <w:rPr>
                <w:spacing w:val="-37"/>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7AF9A431">
            <w:pPr>
              <w:pStyle w:val="8"/>
              <w:spacing w:before="26" w:line="233" w:lineRule="auto"/>
              <w:ind w:left="128" w:right="151" w:firstLine="342"/>
            </w:pPr>
            <w:r>
              <w:rPr>
                <w:spacing w:val="-1"/>
              </w:rPr>
              <w:t>第三十二条  危险货物港口经营人应当在其作业场所和安全设施、设备上设置明显的安全警示标志；</w:t>
            </w:r>
            <w:r>
              <w:rPr>
                <w:spacing w:val="4"/>
              </w:rPr>
              <w:t xml:space="preserve"> </w:t>
            </w:r>
            <w:r>
              <w:rPr>
                <w:spacing w:val="-2"/>
              </w:rPr>
              <w:t>同时还应当在其作业场所设置通信、报警装置，并保证其处于适用状态。</w:t>
            </w:r>
          </w:p>
          <w:p w14:paraId="2FBD9C9B">
            <w:pPr>
              <w:pStyle w:val="8"/>
              <w:spacing w:before="24"/>
              <w:ind w:left="111" w:right="104" w:firstLine="359"/>
            </w:pPr>
            <w:r>
              <w:t>第七十七条第（一）项  危险货物港口经营人有下列情形之一的，由所在地港口行政管理部门责令改</w:t>
            </w:r>
            <w:r>
              <w:rPr>
                <w:spacing w:val="6"/>
              </w:rPr>
              <w:t xml:space="preserve"> </w:t>
            </w:r>
            <w:r>
              <w:t>正，处五万元以下的罚款；逾期未改正的，处五万元以上二十万元以下的罚款，对其直接负责的主管人员</w:t>
            </w:r>
            <w:r>
              <w:rPr>
                <w:spacing w:val="5"/>
              </w:rPr>
              <w:t xml:space="preserve"> </w:t>
            </w:r>
            <w:r>
              <w:t>和其他直接责任人员处一万元以上二万元以下的罚款；情节严重的，责令停产停业整顿</w:t>
            </w:r>
            <w:r>
              <w:rPr>
                <w:spacing w:val="-3"/>
              </w:rPr>
              <w:t>：（</w:t>
            </w:r>
            <w:r>
              <w:t xml:space="preserve">一）未在生产 </w:t>
            </w:r>
            <w:r>
              <w:rPr>
                <w:spacing w:val="-2"/>
              </w:rPr>
              <w:t>作业场所和安全设施、设备上设置明显的安全警示标志的；</w:t>
            </w:r>
          </w:p>
          <w:p w14:paraId="65C2FC66">
            <w:pPr>
              <w:pStyle w:val="8"/>
              <w:spacing w:before="24" w:line="231" w:lineRule="auto"/>
              <w:ind w:left="111" w:right="104" w:firstLine="359"/>
            </w:pPr>
            <w:r>
              <w:t>第七十八条第一款第（五）项  危险货物港口经营人有下列情形之一的，由所在地港口行政管理部门</w:t>
            </w:r>
            <w:r>
              <w:rPr>
                <w:spacing w:val="6"/>
              </w:rPr>
              <w:t xml:space="preserve"> </w:t>
            </w:r>
            <w:r>
              <w:t>责令改正，可以处五万元以下的罚款；逾期未改正的，处五万元以上十万元以下的罚款；情节严重的，责</w:t>
            </w:r>
            <w:r>
              <w:rPr>
                <w:spacing w:val="5"/>
              </w:rPr>
              <w:t xml:space="preserve"> </w:t>
            </w:r>
            <w:r>
              <w:rPr>
                <w:spacing w:val="-1"/>
              </w:rPr>
              <w:t>令停产停业整顿：（五）未在作业场所设置通信、</w:t>
            </w:r>
            <w:r>
              <w:rPr>
                <w:spacing w:val="-2"/>
              </w:rPr>
              <w:t>报警装置的。</w:t>
            </w:r>
          </w:p>
        </w:tc>
        <w:tc>
          <w:tcPr>
            <w:tcW w:w="1010" w:type="dxa"/>
            <w:vAlign w:val="top"/>
          </w:tcPr>
          <w:p w14:paraId="30AD4B8B">
            <w:pPr>
              <w:rPr>
                <w:rFonts w:ascii="Arial"/>
                <w:sz w:val="21"/>
              </w:rPr>
            </w:pPr>
          </w:p>
        </w:tc>
        <w:tc>
          <w:tcPr>
            <w:tcW w:w="1401" w:type="dxa"/>
            <w:vAlign w:val="top"/>
          </w:tcPr>
          <w:p w14:paraId="3FC7C128">
            <w:pPr>
              <w:rPr>
                <w:rFonts w:ascii="Arial"/>
                <w:sz w:val="21"/>
              </w:rPr>
            </w:pPr>
          </w:p>
        </w:tc>
        <w:tc>
          <w:tcPr>
            <w:tcW w:w="1014" w:type="dxa"/>
            <w:vAlign w:val="top"/>
          </w:tcPr>
          <w:p w14:paraId="48184084">
            <w:pPr>
              <w:rPr>
                <w:rFonts w:ascii="Arial"/>
                <w:sz w:val="21"/>
              </w:rPr>
            </w:pPr>
          </w:p>
        </w:tc>
      </w:tr>
      <w:tr w14:paraId="454A7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1" w:hRule="atLeast"/>
        </w:trPr>
        <w:tc>
          <w:tcPr>
            <w:tcW w:w="622" w:type="dxa"/>
            <w:vAlign w:val="top"/>
          </w:tcPr>
          <w:p w14:paraId="4116185F">
            <w:pPr>
              <w:spacing w:line="256" w:lineRule="auto"/>
              <w:rPr>
                <w:rFonts w:ascii="Arial"/>
                <w:sz w:val="21"/>
              </w:rPr>
            </w:pPr>
          </w:p>
          <w:p w14:paraId="1C3CCF1C">
            <w:pPr>
              <w:spacing w:line="256" w:lineRule="auto"/>
              <w:rPr>
                <w:rFonts w:ascii="Arial"/>
                <w:sz w:val="21"/>
              </w:rPr>
            </w:pPr>
          </w:p>
          <w:p w14:paraId="5CF570CE">
            <w:pPr>
              <w:spacing w:line="256" w:lineRule="auto"/>
              <w:rPr>
                <w:rFonts w:ascii="Arial"/>
                <w:sz w:val="21"/>
              </w:rPr>
            </w:pPr>
          </w:p>
          <w:p w14:paraId="74E960FF">
            <w:pPr>
              <w:spacing w:line="256" w:lineRule="auto"/>
              <w:rPr>
                <w:rFonts w:ascii="Arial"/>
                <w:sz w:val="21"/>
              </w:rPr>
            </w:pPr>
          </w:p>
          <w:p w14:paraId="4FBBC74A">
            <w:pPr>
              <w:spacing w:line="256" w:lineRule="auto"/>
              <w:rPr>
                <w:rFonts w:ascii="Arial"/>
                <w:sz w:val="21"/>
              </w:rPr>
            </w:pPr>
          </w:p>
          <w:p w14:paraId="5F5D09C6">
            <w:pPr>
              <w:spacing w:line="256" w:lineRule="auto"/>
              <w:rPr>
                <w:rFonts w:ascii="Arial"/>
                <w:sz w:val="21"/>
              </w:rPr>
            </w:pPr>
          </w:p>
          <w:p w14:paraId="48C1FC08">
            <w:pPr>
              <w:spacing w:line="256" w:lineRule="auto"/>
              <w:rPr>
                <w:rFonts w:ascii="Arial"/>
                <w:sz w:val="21"/>
              </w:rPr>
            </w:pPr>
          </w:p>
          <w:p w14:paraId="0FCCA0DC">
            <w:pPr>
              <w:spacing w:line="256" w:lineRule="auto"/>
              <w:rPr>
                <w:rFonts w:ascii="Arial"/>
                <w:sz w:val="21"/>
              </w:rPr>
            </w:pPr>
          </w:p>
          <w:p w14:paraId="2E431396">
            <w:pPr>
              <w:spacing w:line="257" w:lineRule="auto"/>
              <w:rPr>
                <w:rFonts w:ascii="Arial"/>
                <w:sz w:val="21"/>
              </w:rPr>
            </w:pPr>
          </w:p>
          <w:p w14:paraId="135C239C">
            <w:pPr>
              <w:spacing w:line="257" w:lineRule="auto"/>
              <w:rPr>
                <w:rFonts w:ascii="Arial"/>
                <w:sz w:val="21"/>
              </w:rPr>
            </w:pPr>
          </w:p>
          <w:p w14:paraId="6F0D35E1">
            <w:pPr>
              <w:pStyle w:val="8"/>
              <w:spacing w:before="58" w:line="183" w:lineRule="auto"/>
              <w:ind w:left="228"/>
            </w:pPr>
            <w:r>
              <w:rPr>
                <w:spacing w:val="-4"/>
              </w:rPr>
              <w:t>27</w:t>
            </w:r>
          </w:p>
        </w:tc>
        <w:tc>
          <w:tcPr>
            <w:tcW w:w="1100" w:type="dxa"/>
            <w:vAlign w:val="top"/>
          </w:tcPr>
          <w:p w14:paraId="07C99D1A">
            <w:pPr>
              <w:spacing w:line="246" w:lineRule="auto"/>
              <w:rPr>
                <w:rFonts w:ascii="Arial"/>
                <w:sz w:val="21"/>
              </w:rPr>
            </w:pPr>
          </w:p>
          <w:p w14:paraId="7E33742D">
            <w:pPr>
              <w:spacing w:line="246" w:lineRule="auto"/>
              <w:rPr>
                <w:rFonts w:ascii="Arial"/>
                <w:sz w:val="21"/>
              </w:rPr>
            </w:pPr>
          </w:p>
          <w:p w14:paraId="2F9E9231">
            <w:pPr>
              <w:spacing w:line="246" w:lineRule="auto"/>
              <w:rPr>
                <w:rFonts w:ascii="Arial"/>
                <w:sz w:val="21"/>
              </w:rPr>
            </w:pPr>
          </w:p>
          <w:p w14:paraId="7B845AEB">
            <w:pPr>
              <w:spacing w:line="246" w:lineRule="auto"/>
              <w:rPr>
                <w:rFonts w:ascii="Arial"/>
                <w:sz w:val="21"/>
              </w:rPr>
            </w:pPr>
          </w:p>
          <w:p w14:paraId="761AC766">
            <w:pPr>
              <w:pStyle w:val="8"/>
              <w:spacing w:before="59" w:line="245" w:lineRule="auto"/>
              <w:ind w:left="59" w:right="55"/>
            </w:pPr>
            <w:r>
              <w:rPr>
                <w:spacing w:val="16"/>
              </w:rPr>
              <w:t>对危险货物</w:t>
            </w:r>
            <w:r>
              <w:t xml:space="preserve"> </w:t>
            </w:r>
            <w:r>
              <w:rPr>
                <w:spacing w:val="16"/>
              </w:rPr>
              <w:t>港口经营人</w:t>
            </w:r>
            <w:r>
              <w:t xml:space="preserve"> </w:t>
            </w:r>
            <w:r>
              <w:rPr>
                <w:spacing w:val="16"/>
              </w:rPr>
              <w:t>未按照国家</w:t>
            </w:r>
            <w:r>
              <w:t xml:space="preserve"> </w:t>
            </w:r>
            <w:r>
              <w:rPr>
                <w:spacing w:val="16"/>
              </w:rPr>
              <w:t>标准、行业</w:t>
            </w:r>
            <w:r>
              <w:t xml:space="preserve"> </w:t>
            </w:r>
            <w:r>
              <w:rPr>
                <w:spacing w:val="16"/>
              </w:rPr>
              <w:t>标准或者国</w:t>
            </w:r>
            <w:r>
              <w:t xml:space="preserve"> </w:t>
            </w:r>
            <w:r>
              <w:rPr>
                <w:spacing w:val="16"/>
              </w:rPr>
              <w:t>家有关规定</w:t>
            </w:r>
            <w:r>
              <w:t xml:space="preserve"> </w:t>
            </w:r>
            <w:r>
              <w:rPr>
                <w:spacing w:val="16"/>
              </w:rPr>
              <w:t>安装、使用</w:t>
            </w:r>
            <w:r>
              <w:t xml:space="preserve"> </w:t>
            </w:r>
            <w:r>
              <w:rPr>
                <w:spacing w:val="10"/>
              </w:rPr>
              <w:t>安全设施、</w:t>
            </w:r>
            <w:r>
              <w:rPr>
                <w:spacing w:val="2"/>
              </w:rPr>
              <w:t xml:space="preserve"> </w:t>
            </w:r>
            <w:r>
              <w:rPr>
                <w:spacing w:val="16"/>
              </w:rPr>
              <w:t>设备并进行</w:t>
            </w:r>
            <w:r>
              <w:t xml:space="preserve"> </w:t>
            </w:r>
            <w:r>
              <w:rPr>
                <w:spacing w:val="-10"/>
              </w:rPr>
              <w:t>经</w:t>
            </w:r>
            <w:r>
              <w:rPr>
                <w:spacing w:val="12"/>
              </w:rPr>
              <w:t xml:space="preserve"> </w:t>
            </w:r>
            <w:r>
              <w:rPr>
                <w:spacing w:val="-10"/>
              </w:rPr>
              <w:t>常</w:t>
            </w:r>
            <w:r>
              <w:rPr>
                <w:spacing w:val="8"/>
              </w:rPr>
              <w:t xml:space="preserve"> </w:t>
            </w:r>
            <w:r>
              <w:rPr>
                <w:spacing w:val="-10"/>
              </w:rPr>
              <w:t>性</w:t>
            </w:r>
            <w:r>
              <w:rPr>
                <w:spacing w:val="9"/>
              </w:rPr>
              <w:t xml:space="preserve"> </w:t>
            </w:r>
            <w:r>
              <w:rPr>
                <w:spacing w:val="-10"/>
              </w:rPr>
              <w:t>维</w:t>
            </w:r>
            <w:r>
              <w:t xml:space="preserve"> </w:t>
            </w:r>
            <w:r>
              <w:rPr>
                <w:spacing w:val="16"/>
              </w:rPr>
              <w:t>护、保养和</w:t>
            </w:r>
            <w:r>
              <w:t xml:space="preserve"> </w:t>
            </w:r>
            <w:r>
              <w:rPr>
                <w:spacing w:val="16"/>
              </w:rPr>
              <w:t>定期检测行</w:t>
            </w:r>
            <w:r>
              <w:t xml:space="preserve"> </w:t>
            </w:r>
            <w:r>
              <w:rPr>
                <w:spacing w:val="16"/>
              </w:rPr>
              <w:t>为的行政处</w:t>
            </w:r>
            <w:r>
              <w:t xml:space="preserve"> 罚</w:t>
            </w:r>
          </w:p>
        </w:tc>
        <w:tc>
          <w:tcPr>
            <w:tcW w:w="1100" w:type="dxa"/>
            <w:vAlign w:val="top"/>
          </w:tcPr>
          <w:p w14:paraId="3808F23D">
            <w:pPr>
              <w:spacing w:line="253" w:lineRule="auto"/>
              <w:rPr>
                <w:rFonts w:ascii="Arial"/>
                <w:sz w:val="21"/>
              </w:rPr>
            </w:pPr>
          </w:p>
          <w:p w14:paraId="27FA43A8">
            <w:pPr>
              <w:spacing w:line="253" w:lineRule="auto"/>
              <w:rPr>
                <w:rFonts w:ascii="Arial"/>
                <w:sz w:val="21"/>
              </w:rPr>
            </w:pPr>
          </w:p>
          <w:p w14:paraId="2B1FDBD0">
            <w:pPr>
              <w:spacing w:line="253" w:lineRule="auto"/>
              <w:rPr>
                <w:rFonts w:ascii="Arial"/>
                <w:sz w:val="21"/>
              </w:rPr>
            </w:pPr>
          </w:p>
          <w:p w14:paraId="1CAF61D9">
            <w:pPr>
              <w:spacing w:line="253" w:lineRule="auto"/>
              <w:rPr>
                <w:rFonts w:ascii="Arial"/>
                <w:sz w:val="21"/>
              </w:rPr>
            </w:pPr>
          </w:p>
          <w:p w14:paraId="1BDDE65F">
            <w:pPr>
              <w:spacing w:line="253" w:lineRule="auto"/>
              <w:rPr>
                <w:rFonts w:ascii="Arial"/>
                <w:sz w:val="21"/>
              </w:rPr>
            </w:pPr>
          </w:p>
          <w:p w14:paraId="11D5E449">
            <w:pPr>
              <w:spacing w:line="253" w:lineRule="auto"/>
              <w:rPr>
                <w:rFonts w:ascii="Arial"/>
                <w:sz w:val="21"/>
              </w:rPr>
            </w:pPr>
          </w:p>
          <w:p w14:paraId="11C137BF">
            <w:pPr>
              <w:spacing w:line="253" w:lineRule="auto"/>
              <w:rPr>
                <w:rFonts w:ascii="Arial"/>
                <w:sz w:val="21"/>
              </w:rPr>
            </w:pPr>
          </w:p>
          <w:p w14:paraId="3975CD83">
            <w:pPr>
              <w:spacing w:line="253" w:lineRule="auto"/>
              <w:rPr>
                <w:rFonts w:ascii="Arial"/>
                <w:sz w:val="21"/>
              </w:rPr>
            </w:pPr>
          </w:p>
          <w:p w14:paraId="79E4D75F">
            <w:pPr>
              <w:spacing w:line="253" w:lineRule="auto"/>
              <w:rPr>
                <w:rFonts w:ascii="Arial"/>
                <w:sz w:val="21"/>
              </w:rPr>
            </w:pPr>
          </w:p>
          <w:p w14:paraId="5EFC6DA9">
            <w:pPr>
              <w:spacing w:line="254" w:lineRule="auto"/>
              <w:rPr>
                <w:rFonts w:ascii="Arial"/>
                <w:sz w:val="21"/>
              </w:rPr>
            </w:pPr>
          </w:p>
          <w:p w14:paraId="1F0A3159">
            <w:pPr>
              <w:pStyle w:val="8"/>
              <w:spacing w:before="59" w:line="220" w:lineRule="auto"/>
              <w:ind w:left="112"/>
            </w:pPr>
            <w:r>
              <w:rPr>
                <w:spacing w:val="-2"/>
              </w:rPr>
              <w:t>行政处罚</w:t>
            </w:r>
          </w:p>
        </w:tc>
        <w:tc>
          <w:tcPr>
            <w:tcW w:w="8508" w:type="dxa"/>
            <w:vAlign w:val="top"/>
          </w:tcPr>
          <w:p w14:paraId="06846D07">
            <w:pPr>
              <w:pStyle w:val="8"/>
              <w:spacing w:before="215" w:line="219" w:lineRule="auto"/>
              <w:ind w:left="484"/>
            </w:pPr>
            <w:r>
              <w:rPr>
                <w:b/>
                <w:bCs/>
                <w:spacing w:val="-4"/>
              </w:rPr>
              <w:t>1.《中华人民共和国安全生产法》</w:t>
            </w:r>
          </w:p>
          <w:p w14:paraId="6C6DBBE5">
            <w:pPr>
              <w:pStyle w:val="8"/>
              <w:spacing w:before="26" w:line="219" w:lineRule="auto"/>
              <w:ind w:left="471"/>
            </w:pPr>
            <w:r>
              <w:t>第三十六条第一、二、三款  安全设备的设计、制造、安装、使用、检测、维修、改造和报废，应当</w:t>
            </w:r>
          </w:p>
          <w:p w14:paraId="39D5952D">
            <w:pPr>
              <w:pStyle w:val="8"/>
              <w:spacing w:before="26" w:line="219" w:lineRule="auto"/>
              <w:ind w:left="112"/>
            </w:pPr>
            <w:r>
              <w:rPr>
                <w:spacing w:val="-3"/>
              </w:rPr>
              <w:t>符合国家标准或者行业标准。</w:t>
            </w:r>
          </w:p>
          <w:p w14:paraId="5EF6AF51">
            <w:pPr>
              <w:pStyle w:val="8"/>
              <w:spacing w:before="25" w:line="233" w:lineRule="auto"/>
              <w:ind w:left="111" w:right="104" w:firstLine="360"/>
            </w:pPr>
            <w:r>
              <w:t>生产经营单位必须对安全设备进行经常性维护、保养，并定期检测，保证正常运转。维护、保养、检</w:t>
            </w:r>
            <w:r>
              <w:rPr>
                <w:spacing w:val="4"/>
              </w:rPr>
              <w:t xml:space="preserve"> </w:t>
            </w:r>
            <w:r>
              <w:rPr>
                <w:spacing w:val="-2"/>
              </w:rPr>
              <w:t>测应当作好记录，并由有关人员签字。</w:t>
            </w:r>
          </w:p>
          <w:p w14:paraId="267FA561">
            <w:pPr>
              <w:pStyle w:val="8"/>
              <w:spacing w:before="26" w:line="233" w:lineRule="auto"/>
              <w:ind w:left="122" w:right="135" w:firstLine="350"/>
            </w:pPr>
            <w:r>
              <w:rPr>
                <w:spacing w:val="-1"/>
              </w:rPr>
              <w:t>生产经营单位不得关闭、破坏直接关系生产安全的监控、报警、防护、救生设备、设施，或者篡改、</w:t>
            </w:r>
            <w:r>
              <w:rPr>
                <w:spacing w:val="17"/>
              </w:rPr>
              <w:t xml:space="preserve"> </w:t>
            </w:r>
            <w:r>
              <w:rPr>
                <w:spacing w:val="-3"/>
              </w:rPr>
              <w:t>隐瞒、销毁其相关数据、信息。</w:t>
            </w:r>
          </w:p>
          <w:p w14:paraId="301AD914">
            <w:pPr>
              <w:pStyle w:val="8"/>
              <w:spacing w:before="24" w:line="242" w:lineRule="auto"/>
              <w:ind w:left="110" w:right="60" w:firstLine="360"/>
              <w:jc w:val="both"/>
            </w:pPr>
            <w:r>
              <w:rPr>
                <w:spacing w:val="-3"/>
              </w:rPr>
              <w:t>第九十九条第（二）项、第（三）项、第（四）项  生产经营单位有下列行为之一的，责令限期改正，</w:t>
            </w:r>
            <w:r>
              <w:rPr>
                <w:spacing w:val="8"/>
              </w:rPr>
              <w:t xml:space="preserve"> </w:t>
            </w:r>
            <w:r>
              <w:t>处五万元以下的罚款；逾期未改正的，处五万元以上二十万元以下的罚款，对其直接负责的主管人员和其</w:t>
            </w:r>
            <w:r>
              <w:rPr>
                <w:spacing w:val="7"/>
              </w:rPr>
              <w:t xml:space="preserve"> </w:t>
            </w:r>
            <w:r>
              <w:t>他直接责任人员处一万元以上二万元以下的罚款；情节严重的，责令停产停业整顿；构成犯罪的，依照刑</w:t>
            </w:r>
            <w:r>
              <w:rPr>
                <w:spacing w:val="7"/>
              </w:rPr>
              <w:t xml:space="preserve"> </w:t>
            </w:r>
            <w:r>
              <w:rPr>
                <w:spacing w:val="-2"/>
              </w:rPr>
              <w:t>法有关规定追究刑事责任:（二）安全设备的安装、使用、检测、改造和报废不符合国家标准或者行业标准</w:t>
            </w:r>
            <w:r>
              <w:rPr>
                <w:spacing w:val="11"/>
              </w:rPr>
              <w:t xml:space="preserve"> </w:t>
            </w:r>
            <w:r>
              <w:t>的</w:t>
            </w:r>
            <w:r>
              <w:rPr>
                <w:spacing w:val="1"/>
              </w:rPr>
              <w:t>；（</w:t>
            </w:r>
            <w:r>
              <w:t>三）未对安全设备进行经常性维护、保养和定期检测的</w:t>
            </w:r>
            <w:r>
              <w:rPr>
                <w:spacing w:val="1"/>
              </w:rPr>
              <w:t>；（</w:t>
            </w:r>
            <w:r>
              <w:t>四）关闭、破坏直接关系生产安全的监</w:t>
            </w:r>
            <w:r>
              <w:rPr>
                <w:spacing w:val="3"/>
              </w:rPr>
              <w:t xml:space="preserve"> </w:t>
            </w:r>
            <w:r>
              <w:rPr>
                <w:spacing w:val="-1"/>
              </w:rPr>
              <w:t>控、报警、防护、救生设备、设施，或者篡改、隐瞒</w:t>
            </w:r>
            <w:r>
              <w:rPr>
                <w:spacing w:val="-2"/>
              </w:rPr>
              <w:t>、销毁其相关数据、信息的；</w:t>
            </w:r>
          </w:p>
          <w:p w14:paraId="08DFB147">
            <w:pPr>
              <w:pStyle w:val="8"/>
              <w:spacing w:before="26"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6F9BAE6A">
            <w:pPr>
              <w:pStyle w:val="8"/>
              <w:spacing w:before="27" w:line="237" w:lineRule="auto"/>
              <w:ind w:left="110" w:right="104" w:firstLine="360"/>
            </w:pPr>
            <w:r>
              <w:t>第三十一条  危险货物港口经营人应当按照保障安全生产的国家标准或者行业标准对其危险货物作业</w:t>
            </w:r>
            <w:r>
              <w:rPr>
                <w:spacing w:val="6"/>
              </w:rPr>
              <w:t xml:space="preserve"> </w:t>
            </w:r>
            <w:r>
              <w:t>场所的安全设施、设备进行经常性维护、保养，并定期进行检测、检验，及时更新不合格的设施、设备，</w:t>
            </w:r>
            <w:r>
              <w:rPr>
                <w:spacing w:val="4"/>
              </w:rPr>
              <w:t xml:space="preserve"> </w:t>
            </w:r>
            <w:r>
              <w:rPr>
                <w:spacing w:val="-1"/>
              </w:rPr>
              <w:t>保证正常运转。维护、保养、检测、检验应当做好记录，并由有关人员签字。</w:t>
            </w:r>
          </w:p>
          <w:p w14:paraId="3934A363">
            <w:pPr>
              <w:pStyle w:val="8"/>
              <w:spacing w:before="24"/>
              <w:ind w:left="111" w:right="104" w:firstLine="359"/>
            </w:pPr>
            <w:r>
              <w:t>第七十七条第（二）项  危险货物港口经营人有下列情形之一的，由所在地港口行政管理部门责令改</w:t>
            </w:r>
            <w:r>
              <w:rPr>
                <w:spacing w:val="6"/>
              </w:rPr>
              <w:t xml:space="preserve"> </w:t>
            </w:r>
            <w:r>
              <w:t>正，处五万元以下的罚款；逾期未改正的，处五万元以上二十万元以下的罚款，对其直接负责的主管人员</w:t>
            </w:r>
            <w:r>
              <w:rPr>
                <w:spacing w:val="5"/>
              </w:rPr>
              <w:t xml:space="preserve"> </w:t>
            </w:r>
            <w:r>
              <w:t>和其他直接责任人员处一万元以上二万元以下的罚款；情节严重的，责令停产停业整顿</w:t>
            </w:r>
            <w:r>
              <w:rPr>
                <w:spacing w:val="2"/>
              </w:rPr>
              <w:t>：（</w:t>
            </w:r>
            <w:r>
              <w:t>二）未按照国</w:t>
            </w:r>
            <w:r>
              <w:rPr>
                <w:spacing w:val="1"/>
              </w:rPr>
              <w:t xml:space="preserve"> </w:t>
            </w:r>
            <w:r>
              <w:rPr>
                <w:spacing w:val="-1"/>
              </w:rPr>
              <w:t>家标准、行业标准安装、使用安全设备或者未进行经常</w:t>
            </w:r>
            <w:r>
              <w:rPr>
                <w:spacing w:val="-2"/>
              </w:rPr>
              <w:t>性维护、保养和定期检测的；</w:t>
            </w:r>
          </w:p>
        </w:tc>
        <w:tc>
          <w:tcPr>
            <w:tcW w:w="1010" w:type="dxa"/>
            <w:vAlign w:val="top"/>
          </w:tcPr>
          <w:p w14:paraId="6F66887A">
            <w:pPr>
              <w:spacing w:line="242" w:lineRule="auto"/>
              <w:rPr>
                <w:rFonts w:ascii="Arial"/>
                <w:sz w:val="21"/>
              </w:rPr>
            </w:pPr>
          </w:p>
          <w:p w14:paraId="0E9C1608">
            <w:pPr>
              <w:spacing w:line="242" w:lineRule="auto"/>
              <w:rPr>
                <w:rFonts w:ascii="Arial"/>
                <w:sz w:val="21"/>
              </w:rPr>
            </w:pPr>
          </w:p>
          <w:p w14:paraId="7797A069">
            <w:pPr>
              <w:spacing w:line="242" w:lineRule="auto"/>
              <w:rPr>
                <w:rFonts w:ascii="Arial"/>
                <w:sz w:val="21"/>
              </w:rPr>
            </w:pPr>
          </w:p>
          <w:p w14:paraId="2D5AEC6C">
            <w:pPr>
              <w:spacing w:line="242" w:lineRule="auto"/>
              <w:rPr>
                <w:rFonts w:ascii="Arial"/>
                <w:sz w:val="21"/>
              </w:rPr>
            </w:pPr>
          </w:p>
          <w:p w14:paraId="079E9E79">
            <w:pPr>
              <w:spacing w:line="242" w:lineRule="auto"/>
              <w:rPr>
                <w:rFonts w:ascii="Arial"/>
                <w:sz w:val="21"/>
              </w:rPr>
            </w:pPr>
          </w:p>
          <w:p w14:paraId="6E628A3D">
            <w:pPr>
              <w:spacing w:line="242" w:lineRule="auto"/>
              <w:rPr>
                <w:rFonts w:ascii="Arial"/>
                <w:sz w:val="21"/>
              </w:rPr>
            </w:pPr>
          </w:p>
          <w:p w14:paraId="0F5A0BC9">
            <w:pPr>
              <w:spacing w:line="242" w:lineRule="auto"/>
              <w:rPr>
                <w:rFonts w:ascii="Arial"/>
                <w:sz w:val="21"/>
              </w:rPr>
            </w:pPr>
          </w:p>
          <w:p w14:paraId="7BFD7513">
            <w:pPr>
              <w:spacing w:line="242" w:lineRule="auto"/>
              <w:rPr>
                <w:rFonts w:ascii="Arial"/>
                <w:sz w:val="21"/>
              </w:rPr>
            </w:pPr>
          </w:p>
          <w:p w14:paraId="14907BA9">
            <w:pPr>
              <w:spacing w:line="242" w:lineRule="auto"/>
              <w:rPr>
                <w:rFonts w:ascii="Arial"/>
                <w:sz w:val="21"/>
              </w:rPr>
            </w:pPr>
          </w:p>
          <w:p w14:paraId="35B64505">
            <w:pPr>
              <w:spacing w:line="243" w:lineRule="auto"/>
              <w:rPr>
                <w:rFonts w:ascii="Arial"/>
                <w:sz w:val="21"/>
              </w:rPr>
            </w:pPr>
          </w:p>
          <w:p w14:paraId="2B54F1E0">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544F297B">
            <w:pPr>
              <w:spacing w:line="255" w:lineRule="auto"/>
              <w:rPr>
                <w:rFonts w:ascii="Arial"/>
                <w:sz w:val="21"/>
              </w:rPr>
            </w:pPr>
          </w:p>
          <w:p w14:paraId="1A7ECAD6">
            <w:pPr>
              <w:spacing w:line="255" w:lineRule="auto"/>
              <w:rPr>
                <w:rFonts w:ascii="Arial"/>
                <w:sz w:val="21"/>
              </w:rPr>
            </w:pPr>
          </w:p>
          <w:p w14:paraId="2B4CCFC2">
            <w:pPr>
              <w:spacing w:line="256" w:lineRule="auto"/>
              <w:rPr>
                <w:rFonts w:ascii="Arial"/>
                <w:sz w:val="21"/>
              </w:rPr>
            </w:pPr>
          </w:p>
          <w:p w14:paraId="234A6049">
            <w:pPr>
              <w:pStyle w:val="8"/>
              <w:spacing w:before="59" w:line="234" w:lineRule="auto"/>
              <w:ind w:left="530" w:right="104" w:hanging="413"/>
              <w:rPr>
                <w:rFonts w:hint="eastAsia"/>
                <w:spacing w:val="-12"/>
                <w:lang w:eastAsia="zh-CN"/>
              </w:rPr>
            </w:pPr>
          </w:p>
          <w:p w14:paraId="6E79D3F4">
            <w:pPr>
              <w:pStyle w:val="8"/>
              <w:spacing w:before="59" w:line="234" w:lineRule="auto"/>
              <w:ind w:left="530" w:right="104" w:hanging="413"/>
              <w:rPr>
                <w:rFonts w:hint="eastAsia"/>
                <w:spacing w:val="-12"/>
                <w:lang w:eastAsia="zh-CN"/>
              </w:rPr>
            </w:pPr>
          </w:p>
          <w:p w14:paraId="5DAAAD40">
            <w:pPr>
              <w:pStyle w:val="8"/>
              <w:spacing w:before="59" w:line="234" w:lineRule="auto"/>
              <w:ind w:left="530" w:right="104" w:hanging="413"/>
              <w:rPr>
                <w:rFonts w:hint="eastAsia"/>
                <w:spacing w:val="-12"/>
                <w:lang w:eastAsia="zh-CN"/>
              </w:rPr>
            </w:pPr>
          </w:p>
          <w:p w14:paraId="50A8646F">
            <w:pPr>
              <w:pStyle w:val="8"/>
              <w:spacing w:before="59" w:line="234" w:lineRule="auto"/>
              <w:ind w:left="530" w:right="104" w:hanging="413"/>
              <w:rPr>
                <w:rFonts w:hint="eastAsia"/>
                <w:spacing w:val="-12"/>
                <w:lang w:eastAsia="zh-CN"/>
              </w:rPr>
            </w:pPr>
          </w:p>
          <w:p w14:paraId="1CFD525B">
            <w:pPr>
              <w:pStyle w:val="8"/>
              <w:spacing w:before="59" w:line="234" w:lineRule="auto"/>
              <w:ind w:left="530" w:right="104" w:hanging="413"/>
              <w:rPr>
                <w:rFonts w:hint="eastAsia"/>
                <w:spacing w:val="-12"/>
                <w:lang w:eastAsia="zh-CN"/>
              </w:rPr>
            </w:pPr>
          </w:p>
          <w:p w14:paraId="2B18F9EA">
            <w:pPr>
              <w:pStyle w:val="8"/>
              <w:spacing w:before="59" w:line="234" w:lineRule="auto"/>
              <w:ind w:left="530" w:right="104" w:hanging="413"/>
              <w:rPr>
                <w:rFonts w:hint="eastAsia"/>
                <w:spacing w:val="-12"/>
                <w:lang w:eastAsia="zh-CN"/>
              </w:rPr>
            </w:pPr>
          </w:p>
          <w:p w14:paraId="39931070">
            <w:pPr>
              <w:pStyle w:val="8"/>
              <w:spacing w:before="59" w:line="234" w:lineRule="auto"/>
              <w:ind w:left="530" w:right="104" w:hanging="413"/>
              <w:rPr>
                <w:rFonts w:hint="eastAsia" w:eastAsia="宋体"/>
                <w:lang w:eastAsia="zh-CN"/>
              </w:rPr>
            </w:pPr>
            <w:r>
              <w:rPr>
                <w:rFonts w:hint="eastAsia"/>
                <w:spacing w:val="-12"/>
                <w:lang w:eastAsia="zh-CN"/>
              </w:rPr>
              <w:t>津市市交通运输局</w:t>
            </w:r>
          </w:p>
        </w:tc>
        <w:tc>
          <w:tcPr>
            <w:tcW w:w="1014" w:type="dxa"/>
            <w:vAlign w:val="top"/>
          </w:tcPr>
          <w:p w14:paraId="20F20C04">
            <w:pPr>
              <w:spacing w:line="255" w:lineRule="auto"/>
              <w:rPr>
                <w:rFonts w:ascii="Arial"/>
                <w:sz w:val="21"/>
              </w:rPr>
            </w:pPr>
          </w:p>
          <w:p w14:paraId="5F3AC1A2">
            <w:pPr>
              <w:spacing w:line="255" w:lineRule="auto"/>
              <w:rPr>
                <w:rFonts w:ascii="Arial"/>
                <w:sz w:val="21"/>
              </w:rPr>
            </w:pPr>
          </w:p>
          <w:p w14:paraId="0DC156CE">
            <w:pPr>
              <w:spacing w:line="256" w:lineRule="auto"/>
              <w:rPr>
                <w:rFonts w:ascii="Arial"/>
                <w:sz w:val="21"/>
              </w:rPr>
            </w:pPr>
          </w:p>
          <w:p w14:paraId="12841A84">
            <w:pPr>
              <w:spacing w:line="256" w:lineRule="auto"/>
              <w:rPr>
                <w:rFonts w:ascii="Arial"/>
                <w:sz w:val="21"/>
              </w:rPr>
            </w:pPr>
          </w:p>
          <w:p w14:paraId="0E6B91BF">
            <w:pPr>
              <w:spacing w:line="256" w:lineRule="auto"/>
              <w:rPr>
                <w:rFonts w:ascii="Arial"/>
                <w:sz w:val="21"/>
              </w:rPr>
            </w:pPr>
          </w:p>
          <w:p w14:paraId="71A31199">
            <w:pPr>
              <w:spacing w:line="256" w:lineRule="auto"/>
              <w:rPr>
                <w:rFonts w:ascii="Arial"/>
                <w:sz w:val="21"/>
              </w:rPr>
            </w:pPr>
          </w:p>
          <w:p w14:paraId="24C4EB10">
            <w:pPr>
              <w:spacing w:line="256" w:lineRule="auto"/>
              <w:rPr>
                <w:rFonts w:ascii="Arial"/>
                <w:sz w:val="21"/>
              </w:rPr>
            </w:pPr>
          </w:p>
          <w:p w14:paraId="2A9533D6">
            <w:pPr>
              <w:spacing w:line="256" w:lineRule="auto"/>
              <w:rPr>
                <w:rFonts w:ascii="Arial"/>
                <w:sz w:val="21"/>
              </w:rPr>
            </w:pPr>
          </w:p>
          <w:p w14:paraId="6263A0EA">
            <w:pPr>
              <w:spacing w:line="256" w:lineRule="auto"/>
              <w:rPr>
                <w:rFonts w:ascii="Arial"/>
                <w:sz w:val="21"/>
              </w:rPr>
            </w:pPr>
          </w:p>
          <w:p w14:paraId="47246A73">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78AE4DA2">
      <w:pPr>
        <w:pStyle w:val="2"/>
      </w:pPr>
    </w:p>
    <w:p w14:paraId="6DFDFC3A">
      <w:pPr>
        <w:sectPr>
          <w:footerReference r:id="rId141" w:type="default"/>
          <w:pgSz w:w="16839" w:h="11906"/>
          <w:pgMar w:top="1012" w:right="1034" w:bottom="967" w:left="1043" w:header="0" w:footer="768" w:gutter="0"/>
          <w:cols w:space="720" w:num="1"/>
        </w:sectPr>
      </w:pPr>
    </w:p>
    <w:p w14:paraId="41603F91">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ADA5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56544C84">
            <w:pPr>
              <w:pStyle w:val="8"/>
              <w:spacing w:before="259" w:line="221" w:lineRule="auto"/>
              <w:ind w:left="134"/>
            </w:pPr>
            <w:r>
              <w:rPr>
                <w:b/>
                <w:bCs/>
                <w:spacing w:val="-4"/>
              </w:rPr>
              <w:t>序号</w:t>
            </w:r>
          </w:p>
        </w:tc>
        <w:tc>
          <w:tcPr>
            <w:tcW w:w="1100" w:type="dxa"/>
            <w:vMerge w:val="restart"/>
            <w:tcBorders>
              <w:bottom w:val="nil"/>
            </w:tcBorders>
            <w:vAlign w:val="top"/>
          </w:tcPr>
          <w:p w14:paraId="67470F17">
            <w:pPr>
              <w:pStyle w:val="8"/>
              <w:spacing w:before="260" w:line="220" w:lineRule="auto"/>
              <w:ind w:left="189"/>
            </w:pPr>
            <w:r>
              <w:rPr>
                <w:b/>
                <w:bCs/>
                <w:spacing w:val="-4"/>
              </w:rPr>
              <w:t>事项名称</w:t>
            </w:r>
          </w:p>
        </w:tc>
        <w:tc>
          <w:tcPr>
            <w:tcW w:w="1100" w:type="dxa"/>
            <w:vMerge w:val="restart"/>
            <w:tcBorders>
              <w:bottom w:val="nil"/>
            </w:tcBorders>
            <w:vAlign w:val="top"/>
          </w:tcPr>
          <w:p w14:paraId="4822CE70">
            <w:pPr>
              <w:pStyle w:val="8"/>
              <w:spacing w:before="260" w:line="219" w:lineRule="auto"/>
              <w:ind w:left="191"/>
            </w:pPr>
            <w:r>
              <w:rPr>
                <w:b/>
                <w:bCs/>
                <w:spacing w:val="-4"/>
              </w:rPr>
              <w:t>职权类型</w:t>
            </w:r>
          </w:p>
        </w:tc>
        <w:tc>
          <w:tcPr>
            <w:tcW w:w="8508" w:type="dxa"/>
            <w:vMerge w:val="restart"/>
            <w:tcBorders>
              <w:bottom w:val="nil"/>
            </w:tcBorders>
            <w:vAlign w:val="top"/>
          </w:tcPr>
          <w:p w14:paraId="7F70F8EF">
            <w:pPr>
              <w:pStyle w:val="8"/>
              <w:spacing w:before="259" w:line="219" w:lineRule="auto"/>
              <w:ind w:left="3900"/>
            </w:pPr>
            <w:r>
              <w:rPr>
                <w:b/>
                <w:bCs/>
                <w:spacing w:val="-5"/>
              </w:rPr>
              <w:t>实施依据</w:t>
            </w:r>
          </w:p>
        </w:tc>
        <w:tc>
          <w:tcPr>
            <w:tcW w:w="3425" w:type="dxa"/>
            <w:gridSpan w:val="3"/>
            <w:vAlign w:val="top"/>
          </w:tcPr>
          <w:p w14:paraId="302A4372">
            <w:pPr>
              <w:pStyle w:val="8"/>
              <w:spacing w:before="85" w:line="220" w:lineRule="auto"/>
              <w:ind w:left="1358"/>
            </w:pPr>
            <w:r>
              <w:rPr>
                <w:b/>
                <w:bCs/>
                <w:spacing w:val="-5"/>
              </w:rPr>
              <w:t>实施主体</w:t>
            </w:r>
          </w:p>
        </w:tc>
      </w:tr>
      <w:tr w14:paraId="2E51E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3E712F49">
            <w:pPr>
              <w:rPr>
                <w:rFonts w:ascii="Arial"/>
                <w:sz w:val="21"/>
              </w:rPr>
            </w:pPr>
          </w:p>
        </w:tc>
        <w:tc>
          <w:tcPr>
            <w:tcW w:w="1100" w:type="dxa"/>
            <w:vMerge w:val="continue"/>
            <w:tcBorders>
              <w:top w:val="nil"/>
            </w:tcBorders>
            <w:vAlign w:val="top"/>
          </w:tcPr>
          <w:p w14:paraId="30411D34">
            <w:pPr>
              <w:rPr>
                <w:rFonts w:ascii="Arial"/>
                <w:sz w:val="21"/>
              </w:rPr>
            </w:pPr>
          </w:p>
        </w:tc>
        <w:tc>
          <w:tcPr>
            <w:tcW w:w="1100" w:type="dxa"/>
            <w:vMerge w:val="continue"/>
            <w:tcBorders>
              <w:top w:val="nil"/>
            </w:tcBorders>
            <w:vAlign w:val="top"/>
          </w:tcPr>
          <w:p w14:paraId="727E7483">
            <w:pPr>
              <w:rPr>
                <w:rFonts w:ascii="Arial"/>
                <w:sz w:val="21"/>
              </w:rPr>
            </w:pPr>
          </w:p>
        </w:tc>
        <w:tc>
          <w:tcPr>
            <w:tcW w:w="8508" w:type="dxa"/>
            <w:vMerge w:val="continue"/>
            <w:tcBorders>
              <w:top w:val="nil"/>
            </w:tcBorders>
            <w:vAlign w:val="top"/>
          </w:tcPr>
          <w:p w14:paraId="7768DB4A">
            <w:pPr>
              <w:rPr>
                <w:rFonts w:ascii="Arial"/>
                <w:sz w:val="21"/>
              </w:rPr>
            </w:pPr>
          </w:p>
        </w:tc>
        <w:tc>
          <w:tcPr>
            <w:tcW w:w="1010" w:type="dxa"/>
            <w:vAlign w:val="top"/>
          </w:tcPr>
          <w:p w14:paraId="0FAE021F">
            <w:pPr>
              <w:pStyle w:val="8"/>
              <w:spacing w:before="81" w:line="219" w:lineRule="auto"/>
              <w:ind w:left="155"/>
            </w:pPr>
            <w:r>
              <w:rPr>
                <w:b/>
                <w:bCs/>
                <w:spacing w:val="-5"/>
              </w:rPr>
              <w:t>责任部门</w:t>
            </w:r>
          </w:p>
        </w:tc>
        <w:tc>
          <w:tcPr>
            <w:tcW w:w="1401" w:type="dxa"/>
            <w:vAlign w:val="top"/>
          </w:tcPr>
          <w:p w14:paraId="3DAE52AD">
            <w:pPr>
              <w:pStyle w:val="8"/>
              <w:spacing w:before="81" w:line="219" w:lineRule="auto"/>
              <w:ind w:left="164"/>
            </w:pPr>
            <w:r>
              <w:rPr>
                <w:b/>
                <w:bCs/>
                <w:spacing w:val="-3"/>
              </w:rPr>
              <w:t>第一责任层级</w:t>
            </w:r>
          </w:p>
        </w:tc>
        <w:tc>
          <w:tcPr>
            <w:tcW w:w="1014" w:type="dxa"/>
            <w:vAlign w:val="top"/>
          </w:tcPr>
          <w:p w14:paraId="0E9294ED">
            <w:pPr>
              <w:pStyle w:val="8"/>
              <w:spacing w:before="81" w:line="219" w:lineRule="auto"/>
              <w:ind w:left="150"/>
            </w:pPr>
            <w:r>
              <w:rPr>
                <w:b/>
                <w:bCs/>
                <w:spacing w:val="-4"/>
              </w:rPr>
              <w:t>承办机构</w:t>
            </w:r>
          </w:p>
        </w:tc>
      </w:tr>
      <w:tr w14:paraId="7976B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3" w:hRule="atLeast"/>
        </w:trPr>
        <w:tc>
          <w:tcPr>
            <w:tcW w:w="622" w:type="dxa"/>
            <w:vAlign w:val="top"/>
          </w:tcPr>
          <w:p w14:paraId="2965CE99">
            <w:pPr>
              <w:spacing w:line="258" w:lineRule="auto"/>
              <w:rPr>
                <w:rFonts w:ascii="Arial"/>
                <w:sz w:val="21"/>
              </w:rPr>
            </w:pPr>
          </w:p>
          <w:p w14:paraId="52EAEB38">
            <w:pPr>
              <w:spacing w:line="258" w:lineRule="auto"/>
              <w:rPr>
                <w:rFonts w:ascii="Arial"/>
                <w:sz w:val="21"/>
              </w:rPr>
            </w:pPr>
          </w:p>
          <w:p w14:paraId="2C3E5ED8">
            <w:pPr>
              <w:spacing w:line="258" w:lineRule="auto"/>
              <w:rPr>
                <w:rFonts w:ascii="Arial"/>
                <w:sz w:val="21"/>
              </w:rPr>
            </w:pPr>
          </w:p>
          <w:p w14:paraId="28544EAC">
            <w:pPr>
              <w:spacing w:line="259" w:lineRule="auto"/>
              <w:rPr>
                <w:rFonts w:ascii="Arial"/>
                <w:sz w:val="21"/>
              </w:rPr>
            </w:pPr>
          </w:p>
          <w:p w14:paraId="341B1518">
            <w:pPr>
              <w:spacing w:line="259" w:lineRule="auto"/>
              <w:rPr>
                <w:rFonts w:ascii="Arial"/>
                <w:sz w:val="21"/>
              </w:rPr>
            </w:pPr>
          </w:p>
          <w:p w14:paraId="2185E66A">
            <w:pPr>
              <w:spacing w:line="259" w:lineRule="auto"/>
              <w:rPr>
                <w:rFonts w:ascii="Arial"/>
                <w:sz w:val="21"/>
              </w:rPr>
            </w:pPr>
          </w:p>
          <w:p w14:paraId="758FF278">
            <w:pPr>
              <w:spacing w:line="259" w:lineRule="auto"/>
              <w:rPr>
                <w:rFonts w:ascii="Arial"/>
                <w:sz w:val="21"/>
              </w:rPr>
            </w:pPr>
          </w:p>
          <w:p w14:paraId="209811AB">
            <w:pPr>
              <w:spacing w:line="259" w:lineRule="auto"/>
              <w:rPr>
                <w:rFonts w:ascii="Arial"/>
                <w:sz w:val="21"/>
              </w:rPr>
            </w:pPr>
          </w:p>
          <w:p w14:paraId="0EB81E39">
            <w:pPr>
              <w:pStyle w:val="8"/>
              <w:spacing w:before="58" w:line="183" w:lineRule="auto"/>
              <w:ind w:left="228"/>
            </w:pPr>
            <w:r>
              <w:rPr>
                <w:spacing w:val="-4"/>
              </w:rPr>
              <w:t>28</w:t>
            </w:r>
          </w:p>
        </w:tc>
        <w:tc>
          <w:tcPr>
            <w:tcW w:w="1100" w:type="dxa"/>
            <w:vAlign w:val="top"/>
          </w:tcPr>
          <w:p w14:paraId="4E8EE0CC">
            <w:pPr>
              <w:spacing w:line="284" w:lineRule="auto"/>
              <w:rPr>
                <w:rFonts w:ascii="Arial"/>
                <w:sz w:val="21"/>
              </w:rPr>
            </w:pPr>
          </w:p>
          <w:p w14:paraId="78809917">
            <w:pPr>
              <w:spacing w:line="284" w:lineRule="auto"/>
              <w:rPr>
                <w:rFonts w:ascii="Arial"/>
                <w:sz w:val="21"/>
              </w:rPr>
            </w:pPr>
          </w:p>
          <w:p w14:paraId="310F143F">
            <w:pPr>
              <w:spacing w:line="285" w:lineRule="auto"/>
              <w:rPr>
                <w:rFonts w:ascii="Arial"/>
                <w:sz w:val="21"/>
              </w:rPr>
            </w:pPr>
          </w:p>
          <w:p w14:paraId="33EE7736">
            <w:pPr>
              <w:pStyle w:val="8"/>
              <w:spacing w:before="59" w:line="244" w:lineRule="auto"/>
              <w:ind w:left="59" w:right="55"/>
            </w:pPr>
            <w:r>
              <w:rPr>
                <w:spacing w:val="16"/>
              </w:rPr>
              <w:t>对危险货物</w:t>
            </w:r>
            <w:r>
              <w:t xml:space="preserve"> </w:t>
            </w:r>
            <w:r>
              <w:rPr>
                <w:spacing w:val="16"/>
              </w:rPr>
              <w:t>港口经营人</w:t>
            </w:r>
            <w:r>
              <w:t xml:space="preserve"> </w:t>
            </w:r>
            <w:r>
              <w:rPr>
                <w:spacing w:val="16"/>
              </w:rPr>
              <w:t>未对其铺设</w:t>
            </w:r>
            <w:r>
              <w:t xml:space="preserve"> </w:t>
            </w:r>
            <w:r>
              <w:rPr>
                <w:spacing w:val="16"/>
              </w:rPr>
              <w:t>的危险货物</w:t>
            </w:r>
            <w:r>
              <w:t xml:space="preserve"> </w:t>
            </w:r>
            <w:r>
              <w:rPr>
                <w:spacing w:val="16"/>
              </w:rPr>
              <w:t>管道设置明</w:t>
            </w:r>
            <w:r>
              <w:t xml:space="preserve"> </w:t>
            </w:r>
            <w:r>
              <w:rPr>
                <w:spacing w:val="7"/>
              </w:rPr>
              <w:t>显的标志，</w:t>
            </w:r>
            <w:r>
              <w:rPr>
                <w:spacing w:val="3"/>
              </w:rPr>
              <w:t xml:space="preserve"> </w:t>
            </w:r>
            <w:r>
              <w:rPr>
                <w:spacing w:val="16"/>
              </w:rPr>
              <w:t>或者未对危</w:t>
            </w:r>
            <w:r>
              <w:t xml:space="preserve"> </w:t>
            </w:r>
            <w:r>
              <w:rPr>
                <w:spacing w:val="16"/>
              </w:rPr>
              <w:t>险货物管道</w:t>
            </w:r>
            <w:r>
              <w:t xml:space="preserve"> </w:t>
            </w:r>
            <w:r>
              <w:rPr>
                <w:spacing w:val="10"/>
              </w:rPr>
              <w:t>定期检查、</w:t>
            </w:r>
            <w:r>
              <w:rPr>
                <w:spacing w:val="2"/>
              </w:rPr>
              <w:t xml:space="preserve"> </w:t>
            </w:r>
            <w:r>
              <w:rPr>
                <w:spacing w:val="16"/>
              </w:rPr>
              <w:t>检测行为的</w:t>
            </w:r>
            <w:r>
              <w:t xml:space="preserve"> </w:t>
            </w:r>
            <w:r>
              <w:rPr>
                <w:spacing w:val="-2"/>
              </w:rPr>
              <w:t>行政处罚</w:t>
            </w:r>
          </w:p>
        </w:tc>
        <w:tc>
          <w:tcPr>
            <w:tcW w:w="1100" w:type="dxa"/>
            <w:vAlign w:val="top"/>
          </w:tcPr>
          <w:p w14:paraId="0B4DD55E">
            <w:pPr>
              <w:spacing w:line="255" w:lineRule="auto"/>
              <w:rPr>
                <w:rFonts w:ascii="Arial"/>
                <w:sz w:val="21"/>
              </w:rPr>
            </w:pPr>
          </w:p>
          <w:p w14:paraId="4C650FD6">
            <w:pPr>
              <w:spacing w:line="255" w:lineRule="auto"/>
              <w:rPr>
                <w:rFonts w:ascii="Arial"/>
                <w:sz w:val="21"/>
              </w:rPr>
            </w:pPr>
          </w:p>
          <w:p w14:paraId="1AE89A98">
            <w:pPr>
              <w:spacing w:line="255" w:lineRule="auto"/>
              <w:rPr>
                <w:rFonts w:ascii="Arial"/>
                <w:sz w:val="21"/>
              </w:rPr>
            </w:pPr>
          </w:p>
          <w:p w14:paraId="36CC16AD">
            <w:pPr>
              <w:spacing w:line="255" w:lineRule="auto"/>
              <w:rPr>
                <w:rFonts w:ascii="Arial"/>
                <w:sz w:val="21"/>
              </w:rPr>
            </w:pPr>
          </w:p>
          <w:p w14:paraId="661F3769">
            <w:pPr>
              <w:spacing w:line="255" w:lineRule="auto"/>
              <w:rPr>
                <w:rFonts w:ascii="Arial"/>
                <w:sz w:val="21"/>
              </w:rPr>
            </w:pPr>
          </w:p>
          <w:p w14:paraId="73733650">
            <w:pPr>
              <w:spacing w:line="255" w:lineRule="auto"/>
              <w:rPr>
                <w:rFonts w:ascii="Arial"/>
                <w:sz w:val="21"/>
              </w:rPr>
            </w:pPr>
          </w:p>
          <w:p w14:paraId="4DBAC127">
            <w:pPr>
              <w:spacing w:line="255" w:lineRule="auto"/>
              <w:rPr>
                <w:rFonts w:ascii="Arial"/>
                <w:sz w:val="21"/>
              </w:rPr>
            </w:pPr>
          </w:p>
          <w:p w14:paraId="3B7AE2B8">
            <w:pPr>
              <w:spacing w:line="256" w:lineRule="auto"/>
              <w:rPr>
                <w:rFonts w:ascii="Arial"/>
                <w:sz w:val="21"/>
              </w:rPr>
            </w:pPr>
          </w:p>
          <w:p w14:paraId="2B62FC6A">
            <w:pPr>
              <w:pStyle w:val="8"/>
              <w:spacing w:before="58" w:line="220" w:lineRule="auto"/>
              <w:ind w:left="112"/>
            </w:pPr>
            <w:r>
              <w:rPr>
                <w:spacing w:val="-2"/>
              </w:rPr>
              <w:t>行政处罚</w:t>
            </w:r>
          </w:p>
        </w:tc>
        <w:tc>
          <w:tcPr>
            <w:tcW w:w="8508" w:type="dxa"/>
            <w:vAlign w:val="top"/>
          </w:tcPr>
          <w:p w14:paraId="5F32FF95">
            <w:pPr>
              <w:pStyle w:val="8"/>
              <w:spacing w:before="24" w:line="219" w:lineRule="auto"/>
              <w:ind w:left="484"/>
            </w:pPr>
            <w:r>
              <w:rPr>
                <w:b/>
                <w:bCs/>
                <w:spacing w:val="-3"/>
              </w:rPr>
              <w:t>1.《危险化学品安全管理条例》</w:t>
            </w:r>
          </w:p>
          <w:p w14:paraId="7E7F1DF8">
            <w:pPr>
              <w:pStyle w:val="8"/>
              <w:spacing w:before="4" w:line="223" w:lineRule="auto"/>
              <w:ind w:left="110" w:right="104" w:firstLine="360"/>
            </w:pPr>
            <w:r>
              <w:t>第十三条第一款  生产、储存危险化学品的单位，应当对其铺设的危险化学品管道设置明显标志，并</w:t>
            </w:r>
            <w:r>
              <w:rPr>
                <w:spacing w:val="6"/>
              </w:rPr>
              <w:t xml:space="preserve"> </w:t>
            </w:r>
            <w:r>
              <w:rPr>
                <w:spacing w:val="-2"/>
              </w:rPr>
              <w:t>对危险化学品管道定期检查、检测。</w:t>
            </w:r>
          </w:p>
          <w:p w14:paraId="6393EF5F">
            <w:pPr>
              <w:pStyle w:val="8"/>
              <w:spacing w:before="7" w:line="224" w:lineRule="auto"/>
              <w:ind w:left="112" w:right="46" w:firstLine="358"/>
              <w:jc w:val="both"/>
            </w:pPr>
            <w:r>
              <w:t>第七十八条第一款第（一）项  有下列情形之一的，由安全生产</w:t>
            </w:r>
            <w:r>
              <w:rPr>
                <w:spacing w:val="-1"/>
              </w:rPr>
              <w:t>监督管理部门责令改正，可以处</w:t>
            </w:r>
            <w:r>
              <w:rPr>
                <w:spacing w:val="-36"/>
              </w:rPr>
              <w:t xml:space="preserve"> </w:t>
            </w:r>
            <w:r>
              <w:rPr>
                <w:spacing w:val="-1"/>
              </w:rPr>
              <w:t>5</w:t>
            </w:r>
            <w:r>
              <w:rPr>
                <w:spacing w:val="-32"/>
              </w:rPr>
              <w:t xml:space="preserve"> </w:t>
            </w:r>
            <w:r>
              <w:rPr>
                <w:spacing w:val="-1"/>
              </w:rPr>
              <w:t>万</w:t>
            </w:r>
            <w:r>
              <w:t xml:space="preserve"> </w:t>
            </w:r>
            <w:r>
              <w:rPr>
                <w:spacing w:val="-2"/>
              </w:rPr>
              <w:t>元以下的罚款；拒不改正的，处</w:t>
            </w:r>
            <w:r>
              <w:rPr>
                <w:spacing w:val="-33"/>
              </w:rPr>
              <w:t xml:space="preserve"> </w:t>
            </w:r>
            <w:r>
              <w:rPr>
                <w:spacing w:val="-2"/>
              </w:rPr>
              <w:t>5</w:t>
            </w:r>
            <w:r>
              <w:rPr>
                <w:spacing w:val="-34"/>
              </w:rPr>
              <w:t xml:space="preserve"> </w:t>
            </w:r>
            <w:r>
              <w:rPr>
                <w:spacing w:val="-2"/>
              </w:rPr>
              <w:t>万元以上</w:t>
            </w:r>
            <w:r>
              <w:rPr>
                <w:spacing w:val="-24"/>
              </w:rPr>
              <w:t xml:space="preserve"> </w:t>
            </w:r>
            <w:r>
              <w:rPr>
                <w:spacing w:val="-2"/>
              </w:rPr>
              <w:t>10</w:t>
            </w:r>
            <w:r>
              <w:rPr>
                <w:spacing w:val="-37"/>
              </w:rPr>
              <w:t xml:space="preserve"> </w:t>
            </w:r>
            <w:r>
              <w:rPr>
                <w:spacing w:val="-2"/>
              </w:rPr>
              <w:t>万元以下的罚款；情节严重的，责令停产停业整顿</w:t>
            </w:r>
            <w:r>
              <w:rPr>
                <w:spacing w:val="5"/>
              </w:rPr>
              <w:t>：（</w:t>
            </w:r>
            <w:r>
              <w:rPr>
                <w:spacing w:val="-2"/>
              </w:rPr>
              <w:t>一）</w:t>
            </w:r>
            <w:r>
              <w:t xml:space="preserve"> 生产、储存危险化学品的单位未对其铺设的危险化学品管道设置明显的标志，或者未对危险化学品管道定</w:t>
            </w:r>
            <w:r>
              <w:rPr>
                <w:spacing w:val="4"/>
              </w:rPr>
              <w:t xml:space="preserve"> </w:t>
            </w:r>
            <w:r>
              <w:rPr>
                <w:spacing w:val="-6"/>
              </w:rPr>
              <w:t>期检查、检测的；</w:t>
            </w:r>
          </w:p>
          <w:p w14:paraId="75937450">
            <w:pPr>
              <w:pStyle w:val="8"/>
              <w:spacing w:before="4" w:line="224" w:lineRule="auto"/>
              <w:ind w:left="111" w:right="104" w:firstLine="359"/>
              <w:jc w:val="both"/>
            </w:pPr>
            <w:r>
              <w:t>第七十八条第二款  从事危险化学品仓储经营的港口经营人有前款规定情形的，由港口行政管理部门</w:t>
            </w:r>
            <w:r>
              <w:rPr>
                <w:spacing w:val="6"/>
              </w:rPr>
              <w:t xml:space="preserve"> </w:t>
            </w:r>
            <w:r>
              <w:t>依照前款规定予以处罚。储存剧毒化学品、易制爆危险化学品的专用仓库未按照国家有关规定设置相应的</w:t>
            </w:r>
            <w:r>
              <w:rPr>
                <w:spacing w:val="5"/>
              </w:rPr>
              <w:t xml:space="preserve"> </w:t>
            </w:r>
            <w:r>
              <w:rPr>
                <w:spacing w:val="-2"/>
              </w:rPr>
              <w:t>技术防范设施的，由公安机关依照前款规定予以处罚。</w:t>
            </w:r>
          </w:p>
          <w:p w14:paraId="2A91F5A1">
            <w:pPr>
              <w:pStyle w:val="8"/>
              <w:spacing w:before="4"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7ED12728">
            <w:pPr>
              <w:pStyle w:val="8"/>
              <w:spacing w:before="8" w:line="223" w:lineRule="auto"/>
              <w:ind w:left="110" w:right="104" w:firstLine="360"/>
            </w:pPr>
            <w:r>
              <w:t>第三十一条  危险货物港口经营人应当按照保障安全生产的国家标准或者行业标准对其危险货物作业</w:t>
            </w:r>
            <w:r>
              <w:rPr>
                <w:spacing w:val="6"/>
              </w:rPr>
              <w:t xml:space="preserve"> </w:t>
            </w:r>
            <w:r>
              <w:t>场所的安全设施、设备进行经常性维护、保养，并定期进行检测、检验，及时更新不合格的设施、设备，</w:t>
            </w:r>
            <w:r>
              <w:rPr>
                <w:spacing w:val="4"/>
              </w:rPr>
              <w:t xml:space="preserve"> </w:t>
            </w:r>
            <w:r>
              <w:rPr>
                <w:spacing w:val="-1"/>
              </w:rPr>
              <w:t>保证正常运转。维护、保养、检测、检验应当做好记录，并由有关人员签字。</w:t>
            </w:r>
          </w:p>
          <w:p w14:paraId="7DF91D5E">
            <w:pPr>
              <w:pStyle w:val="8"/>
              <w:spacing w:before="6" w:line="223" w:lineRule="auto"/>
              <w:ind w:left="116" w:right="111" w:firstLine="354"/>
            </w:pPr>
            <w:r>
              <w:t xml:space="preserve">第三十三条  危险货物专用库场、储罐应当符合保障安全生产的国家标准或者行业标准，设置明显标 </w:t>
            </w:r>
            <w:r>
              <w:rPr>
                <w:spacing w:val="-3"/>
              </w:rPr>
              <w:t>志，并依据相关标准定期安全检测维护。</w:t>
            </w:r>
          </w:p>
          <w:p w14:paraId="0EF6AF2D">
            <w:pPr>
              <w:pStyle w:val="8"/>
              <w:spacing w:before="5" w:line="218" w:lineRule="auto"/>
              <w:ind w:left="111" w:right="104" w:firstLine="360"/>
            </w:pPr>
            <w:r>
              <w:t>第七十八条第一款第（一）项  危险货物港口经营人有下列情形之一的，由所在地港口行政管理部门</w:t>
            </w:r>
            <w:r>
              <w:rPr>
                <w:spacing w:val="6"/>
              </w:rPr>
              <w:t xml:space="preserve"> </w:t>
            </w:r>
            <w:r>
              <w:t>责令改正，可以处五万元以下的罚款；逾期未改正的，处五万元以上十万元以下的罚款；情节严重的，责</w:t>
            </w:r>
            <w:r>
              <w:rPr>
                <w:spacing w:val="6"/>
              </w:rPr>
              <w:t xml:space="preserve"> </w:t>
            </w:r>
            <w:r>
              <w:t>令停产停业整顿</w:t>
            </w:r>
            <w:r>
              <w:rPr>
                <w:spacing w:val="-5"/>
              </w:rPr>
              <w:t>：（</w:t>
            </w:r>
            <w:r>
              <w:t>一）未对其铺设的危险货物管道设置明显的标志，或者未对</w:t>
            </w:r>
            <w:r>
              <w:rPr>
                <w:spacing w:val="-1"/>
              </w:rPr>
              <w:t>危险货物管道定期检查、</w:t>
            </w:r>
            <w:r>
              <w:rPr>
                <w:spacing w:val="1"/>
              </w:rPr>
              <w:t xml:space="preserve"> </w:t>
            </w:r>
            <w:r>
              <w:rPr>
                <w:spacing w:val="-10"/>
              </w:rPr>
              <w:t>检测的；</w:t>
            </w:r>
          </w:p>
        </w:tc>
        <w:tc>
          <w:tcPr>
            <w:tcW w:w="1010" w:type="dxa"/>
            <w:vAlign w:val="top"/>
          </w:tcPr>
          <w:p w14:paraId="714EBBA1">
            <w:pPr>
              <w:spacing w:line="241" w:lineRule="auto"/>
              <w:rPr>
                <w:rFonts w:ascii="Arial"/>
                <w:sz w:val="21"/>
              </w:rPr>
            </w:pPr>
          </w:p>
          <w:p w14:paraId="2A632902">
            <w:pPr>
              <w:spacing w:line="241" w:lineRule="auto"/>
              <w:rPr>
                <w:rFonts w:ascii="Arial"/>
                <w:sz w:val="21"/>
              </w:rPr>
            </w:pPr>
          </w:p>
          <w:p w14:paraId="7DF0C1CA">
            <w:pPr>
              <w:spacing w:line="241" w:lineRule="auto"/>
              <w:rPr>
                <w:rFonts w:ascii="Arial"/>
                <w:sz w:val="21"/>
              </w:rPr>
            </w:pPr>
          </w:p>
          <w:p w14:paraId="1283ED9E">
            <w:pPr>
              <w:spacing w:line="241" w:lineRule="auto"/>
              <w:rPr>
                <w:rFonts w:ascii="Arial"/>
                <w:sz w:val="21"/>
              </w:rPr>
            </w:pPr>
          </w:p>
          <w:p w14:paraId="7882B846">
            <w:pPr>
              <w:spacing w:line="241" w:lineRule="auto"/>
              <w:rPr>
                <w:rFonts w:ascii="Arial"/>
                <w:sz w:val="21"/>
              </w:rPr>
            </w:pPr>
          </w:p>
          <w:p w14:paraId="48FE75CE">
            <w:pPr>
              <w:spacing w:line="241" w:lineRule="auto"/>
              <w:rPr>
                <w:rFonts w:ascii="Arial"/>
                <w:sz w:val="21"/>
              </w:rPr>
            </w:pPr>
          </w:p>
          <w:p w14:paraId="4C17B96A">
            <w:pPr>
              <w:spacing w:line="241" w:lineRule="auto"/>
              <w:rPr>
                <w:rFonts w:ascii="Arial"/>
                <w:sz w:val="21"/>
              </w:rPr>
            </w:pPr>
          </w:p>
          <w:p w14:paraId="3794C9FB">
            <w:pPr>
              <w:spacing w:line="241" w:lineRule="auto"/>
              <w:rPr>
                <w:rFonts w:ascii="Arial"/>
                <w:sz w:val="21"/>
              </w:rPr>
            </w:pPr>
          </w:p>
          <w:p w14:paraId="764DF733">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09F3ABA3">
            <w:pPr>
              <w:pStyle w:val="8"/>
              <w:spacing w:before="59" w:line="234" w:lineRule="auto"/>
              <w:ind w:left="530" w:right="104" w:hanging="413"/>
              <w:rPr>
                <w:rFonts w:hint="eastAsia"/>
                <w:spacing w:val="-12"/>
                <w:lang w:eastAsia="zh-CN"/>
              </w:rPr>
            </w:pPr>
          </w:p>
          <w:p w14:paraId="39774184">
            <w:pPr>
              <w:pStyle w:val="8"/>
              <w:spacing w:before="59" w:line="234" w:lineRule="auto"/>
              <w:ind w:left="530" w:right="104" w:hanging="413"/>
              <w:rPr>
                <w:rFonts w:hint="eastAsia"/>
                <w:spacing w:val="-12"/>
                <w:lang w:eastAsia="zh-CN"/>
              </w:rPr>
            </w:pPr>
          </w:p>
          <w:p w14:paraId="5E000540">
            <w:pPr>
              <w:pStyle w:val="8"/>
              <w:spacing w:before="59" w:line="234" w:lineRule="auto"/>
              <w:ind w:left="530" w:right="104" w:hanging="413"/>
              <w:rPr>
                <w:rFonts w:hint="eastAsia"/>
                <w:spacing w:val="-12"/>
                <w:lang w:eastAsia="zh-CN"/>
              </w:rPr>
            </w:pPr>
          </w:p>
          <w:p w14:paraId="7D2C9953">
            <w:pPr>
              <w:pStyle w:val="8"/>
              <w:spacing w:before="59" w:line="234" w:lineRule="auto"/>
              <w:ind w:left="530" w:right="104" w:hanging="413"/>
              <w:rPr>
                <w:rFonts w:hint="eastAsia"/>
                <w:spacing w:val="-12"/>
                <w:lang w:eastAsia="zh-CN"/>
              </w:rPr>
            </w:pPr>
          </w:p>
          <w:p w14:paraId="3E087001">
            <w:pPr>
              <w:pStyle w:val="8"/>
              <w:spacing w:before="59" w:line="234" w:lineRule="auto"/>
              <w:ind w:left="530" w:right="104" w:hanging="413"/>
              <w:rPr>
                <w:rFonts w:hint="eastAsia"/>
                <w:spacing w:val="-12"/>
                <w:lang w:eastAsia="zh-CN"/>
              </w:rPr>
            </w:pPr>
          </w:p>
          <w:p w14:paraId="429F7C1E">
            <w:pPr>
              <w:pStyle w:val="8"/>
              <w:spacing w:before="59" w:line="234" w:lineRule="auto"/>
              <w:ind w:left="530" w:right="104" w:hanging="413"/>
              <w:rPr>
                <w:rFonts w:hint="eastAsia"/>
                <w:spacing w:val="-12"/>
                <w:lang w:eastAsia="zh-CN"/>
              </w:rPr>
            </w:pPr>
          </w:p>
          <w:p w14:paraId="2317881F">
            <w:pPr>
              <w:pStyle w:val="8"/>
              <w:spacing w:before="59" w:line="234" w:lineRule="auto"/>
              <w:ind w:left="530" w:right="104" w:hanging="413"/>
              <w:rPr>
                <w:rFonts w:hint="eastAsia"/>
                <w:spacing w:val="-12"/>
                <w:lang w:eastAsia="zh-CN"/>
              </w:rPr>
            </w:pPr>
          </w:p>
          <w:p w14:paraId="78F5B247">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7B1E3D87">
            <w:pPr>
              <w:spacing w:line="258" w:lineRule="auto"/>
              <w:rPr>
                <w:rFonts w:ascii="Arial"/>
                <w:sz w:val="21"/>
              </w:rPr>
            </w:pPr>
          </w:p>
          <w:p w14:paraId="252CFFF9">
            <w:pPr>
              <w:spacing w:line="258" w:lineRule="auto"/>
              <w:rPr>
                <w:rFonts w:ascii="Arial"/>
                <w:sz w:val="21"/>
              </w:rPr>
            </w:pPr>
          </w:p>
          <w:p w14:paraId="56800F1E">
            <w:pPr>
              <w:spacing w:line="258" w:lineRule="auto"/>
              <w:rPr>
                <w:rFonts w:ascii="Arial"/>
                <w:sz w:val="21"/>
              </w:rPr>
            </w:pPr>
          </w:p>
          <w:p w14:paraId="00E3EEB3">
            <w:pPr>
              <w:spacing w:line="258" w:lineRule="auto"/>
              <w:rPr>
                <w:rFonts w:ascii="Arial"/>
                <w:sz w:val="21"/>
              </w:rPr>
            </w:pPr>
          </w:p>
          <w:p w14:paraId="756A1A61">
            <w:pPr>
              <w:spacing w:line="259" w:lineRule="auto"/>
              <w:rPr>
                <w:rFonts w:ascii="Arial"/>
                <w:sz w:val="21"/>
              </w:rPr>
            </w:pPr>
          </w:p>
          <w:p w14:paraId="43911DCA">
            <w:pPr>
              <w:spacing w:line="259" w:lineRule="auto"/>
              <w:rPr>
                <w:rFonts w:ascii="Arial"/>
                <w:sz w:val="21"/>
              </w:rPr>
            </w:pPr>
          </w:p>
          <w:p w14:paraId="6BB89D68">
            <w:pPr>
              <w:spacing w:line="259" w:lineRule="auto"/>
              <w:rPr>
                <w:rFonts w:ascii="Arial"/>
                <w:sz w:val="21"/>
              </w:rPr>
            </w:pPr>
          </w:p>
          <w:p w14:paraId="241D09FC">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59482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5" w:hRule="atLeast"/>
        </w:trPr>
        <w:tc>
          <w:tcPr>
            <w:tcW w:w="622" w:type="dxa"/>
            <w:vAlign w:val="top"/>
          </w:tcPr>
          <w:p w14:paraId="374C1617">
            <w:pPr>
              <w:spacing w:line="259" w:lineRule="auto"/>
              <w:rPr>
                <w:rFonts w:ascii="Arial"/>
                <w:sz w:val="21"/>
              </w:rPr>
            </w:pPr>
          </w:p>
          <w:p w14:paraId="5D962E96">
            <w:pPr>
              <w:spacing w:line="259" w:lineRule="auto"/>
              <w:rPr>
                <w:rFonts w:ascii="Arial"/>
                <w:sz w:val="21"/>
              </w:rPr>
            </w:pPr>
          </w:p>
          <w:p w14:paraId="3254A434">
            <w:pPr>
              <w:spacing w:line="259" w:lineRule="auto"/>
              <w:rPr>
                <w:rFonts w:ascii="Arial"/>
                <w:sz w:val="21"/>
              </w:rPr>
            </w:pPr>
          </w:p>
          <w:p w14:paraId="6A5A0817">
            <w:pPr>
              <w:spacing w:line="259" w:lineRule="auto"/>
              <w:rPr>
                <w:rFonts w:ascii="Arial"/>
                <w:sz w:val="21"/>
              </w:rPr>
            </w:pPr>
          </w:p>
          <w:p w14:paraId="58D21181">
            <w:pPr>
              <w:spacing w:line="259" w:lineRule="auto"/>
              <w:rPr>
                <w:rFonts w:ascii="Arial"/>
                <w:sz w:val="21"/>
              </w:rPr>
            </w:pPr>
          </w:p>
          <w:p w14:paraId="7B66F2E5">
            <w:pPr>
              <w:spacing w:line="259" w:lineRule="auto"/>
              <w:rPr>
                <w:rFonts w:ascii="Arial"/>
                <w:sz w:val="21"/>
              </w:rPr>
            </w:pPr>
          </w:p>
          <w:p w14:paraId="1F0BB828">
            <w:pPr>
              <w:spacing w:line="259" w:lineRule="auto"/>
              <w:rPr>
                <w:rFonts w:ascii="Arial"/>
                <w:sz w:val="21"/>
              </w:rPr>
            </w:pPr>
          </w:p>
          <w:p w14:paraId="7D441ED7">
            <w:pPr>
              <w:spacing w:line="259" w:lineRule="auto"/>
              <w:rPr>
                <w:rFonts w:ascii="Arial"/>
                <w:sz w:val="21"/>
              </w:rPr>
            </w:pPr>
          </w:p>
          <w:p w14:paraId="156FC1BE">
            <w:pPr>
              <w:pStyle w:val="8"/>
              <w:spacing w:before="59" w:line="183" w:lineRule="auto"/>
              <w:ind w:left="228"/>
            </w:pPr>
            <w:r>
              <w:rPr>
                <w:spacing w:val="-4"/>
              </w:rPr>
              <w:t>29</w:t>
            </w:r>
          </w:p>
        </w:tc>
        <w:tc>
          <w:tcPr>
            <w:tcW w:w="1100" w:type="dxa"/>
            <w:vAlign w:val="top"/>
          </w:tcPr>
          <w:p w14:paraId="7F1AB3A4">
            <w:pPr>
              <w:spacing w:line="242" w:lineRule="auto"/>
              <w:rPr>
                <w:rFonts w:ascii="Arial"/>
                <w:sz w:val="21"/>
              </w:rPr>
            </w:pPr>
          </w:p>
          <w:p w14:paraId="0441F89C">
            <w:pPr>
              <w:spacing w:line="243" w:lineRule="auto"/>
              <w:rPr>
                <w:rFonts w:ascii="Arial"/>
                <w:sz w:val="21"/>
              </w:rPr>
            </w:pPr>
          </w:p>
          <w:p w14:paraId="782D6576">
            <w:pPr>
              <w:spacing w:line="243" w:lineRule="auto"/>
              <w:rPr>
                <w:rFonts w:ascii="Arial"/>
                <w:sz w:val="21"/>
              </w:rPr>
            </w:pPr>
          </w:p>
          <w:p w14:paraId="0DCD14F7">
            <w:pPr>
              <w:spacing w:line="243" w:lineRule="auto"/>
              <w:rPr>
                <w:rFonts w:ascii="Arial"/>
                <w:sz w:val="21"/>
              </w:rPr>
            </w:pPr>
          </w:p>
          <w:p w14:paraId="310D4B66">
            <w:pPr>
              <w:spacing w:line="243" w:lineRule="auto"/>
              <w:rPr>
                <w:rFonts w:ascii="Arial"/>
                <w:sz w:val="21"/>
              </w:rPr>
            </w:pPr>
          </w:p>
          <w:p w14:paraId="24F97156">
            <w:pPr>
              <w:pStyle w:val="8"/>
              <w:spacing w:before="58" w:line="243" w:lineRule="auto"/>
              <w:ind w:left="59" w:right="55"/>
            </w:pPr>
            <w:r>
              <w:rPr>
                <w:spacing w:val="16"/>
              </w:rPr>
              <w:t>对危险货物</w:t>
            </w:r>
            <w:r>
              <w:t xml:space="preserve"> </w:t>
            </w:r>
            <w:r>
              <w:rPr>
                <w:spacing w:val="16"/>
              </w:rPr>
              <w:t>港口经营人</w:t>
            </w:r>
            <w:r>
              <w:t xml:space="preserve"> </w:t>
            </w:r>
            <w:r>
              <w:rPr>
                <w:spacing w:val="16"/>
              </w:rPr>
              <w:t>在危险货物</w:t>
            </w:r>
            <w:r>
              <w:t xml:space="preserve"> </w:t>
            </w:r>
            <w:r>
              <w:rPr>
                <w:spacing w:val="10"/>
              </w:rPr>
              <w:t>专用库场、</w:t>
            </w:r>
            <w:r>
              <w:rPr>
                <w:spacing w:val="2"/>
              </w:rPr>
              <w:t xml:space="preserve"> </w:t>
            </w:r>
            <w:r>
              <w:rPr>
                <w:spacing w:val="16"/>
              </w:rPr>
              <w:t>储罐未设专</w:t>
            </w:r>
            <w:r>
              <w:t xml:space="preserve"> </w:t>
            </w:r>
            <w:r>
              <w:rPr>
                <w:spacing w:val="16"/>
              </w:rPr>
              <w:t>人负责管理</w:t>
            </w:r>
            <w:r>
              <w:t xml:space="preserve"> </w:t>
            </w:r>
            <w:r>
              <w:rPr>
                <w:spacing w:val="16"/>
              </w:rPr>
              <w:t>等行为的行</w:t>
            </w:r>
            <w:r>
              <w:t xml:space="preserve"> </w:t>
            </w:r>
            <w:r>
              <w:rPr>
                <w:spacing w:val="-2"/>
              </w:rPr>
              <w:t>政处罚</w:t>
            </w:r>
          </w:p>
        </w:tc>
        <w:tc>
          <w:tcPr>
            <w:tcW w:w="1100" w:type="dxa"/>
            <w:vAlign w:val="top"/>
          </w:tcPr>
          <w:p w14:paraId="0EB469E8">
            <w:pPr>
              <w:spacing w:line="255" w:lineRule="auto"/>
              <w:rPr>
                <w:rFonts w:ascii="Arial"/>
                <w:sz w:val="21"/>
              </w:rPr>
            </w:pPr>
          </w:p>
          <w:p w14:paraId="1652A5FA">
            <w:pPr>
              <w:spacing w:line="255" w:lineRule="auto"/>
              <w:rPr>
                <w:rFonts w:ascii="Arial"/>
                <w:sz w:val="21"/>
              </w:rPr>
            </w:pPr>
          </w:p>
          <w:p w14:paraId="16D655A7">
            <w:pPr>
              <w:spacing w:line="255" w:lineRule="auto"/>
              <w:rPr>
                <w:rFonts w:ascii="Arial"/>
                <w:sz w:val="21"/>
              </w:rPr>
            </w:pPr>
          </w:p>
          <w:p w14:paraId="5EFE51F4">
            <w:pPr>
              <w:spacing w:line="255" w:lineRule="auto"/>
              <w:rPr>
                <w:rFonts w:ascii="Arial"/>
                <w:sz w:val="21"/>
              </w:rPr>
            </w:pPr>
          </w:p>
          <w:p w14:paraId="6A1E3AF4">
            <w:pPr>
              <w:spacing w:line="255" w:lineRule="auto"/>
              <w:rPr>
                <w:rFonts w:ascii="Arial"/>
                <w:sz w:val="21"/>
              </w:rPr>
            </w:pPr>
          </w:p>
          <w:p w14:paraId="75F58999">
            <w:pPr>
              <w:spacing w:line="255" w:lineRule="auto"/>
              <w:rPr>
                <w:rFonts w:ascii="Arial"/>
                <w:sz w:val="21"/>
              </w:rPr>
            </w:pPr>
          </w:p>
          <w:p w14:paraId="5C6EBBE9">
            <w:pPr>
              <w:spacing w:line="255" w:lineRule="auto"/>
              <w:rPr>
                <w:rFonts w:ascii="Arial"/>
                <w:sz w:val="21"/>
              </w:rPr>
            </w:pPr>
          </w:p>
          <w:p w14:paraId="2C4463A6">
            <w:pPr>
              <w:spacing w:line="256" w:lineRule="auto"/>
              <w:rPr>
                <w:rFonts w:ascii="Arial"/>
                <w:sz w:val="21"/>
              </w:rPr>
            </w:pPr>
          </w:p>
          <w:p w14:paraId="33CD57FB">
            <w:pPr>
              <w:pStyle w:val="8"/>
              <w:spacing w:before="59" w:line="220" w:lineRule="auto"/>
              <w:ind w:left="112"/>
            </w:pPr>
            <w:r>
              <w:rPr>
                <w:spacing w:val="-2"/>
              </w:rPr>
              <w:t>行政处罚</w:t>
            </w:r>
          </w:p>
        </w:tc>
        <w:tc>
          <w:tcPr>
            <w:tcW w:w="8508" w:type="dxa"/>
            <w:vAlign w:val="top"/>
          </w:tcPr>
          <w:p w14:paraId="77AA573C">
            <w:pPr>
              <w:pStyle w:val="8"/>
              <w:spacing w:before="25" w:line="219" w:lineRule="auto"/>
              <w:ind w:left="484"/>
            </w:pPr>
            <w:r>
              <w:rPr>
                <w:b/>
                <w:bCs/>
                <w:spacing w:val="-3"/>
              </w:rPr>
              <w:t>1.《危险化学品安全管理条例》</w:t>
            </w:r>
          </w:p>
          <w:p w14:paraId="1BB4C224">
            <w:pPr>
              <w:pStyle w:val="8"/>
              <w:spacing w:before="7" w:line="223" w:lineRule="auto"/>
              <w:ind w:left="112" w:right="30" w:firstLine="358"/>
              <w:jc w:val="both"/>
            </w:pPr>
            <w:r>
              <w:rPr>
                <w:spacing w:val="-2"/>
              </w:rPr>
              <w:t>第二十四条第一款  危险化学品应当储存在专用仓库、专用场地或者专用储存室（以</w:t>
            </w:r>
            <w:r>
              <w:rPr>
                <w:spacing w:val="-3"/>
              </w:rPr>
              <w:t>下统称专用仓库）</w:t>
            </w:r>
            <w:r>
              <w:t xml:space="preserve"> 内，并由专人负责管理；剧毒化学品以及储存数量构成重大危险源的其他危险化学品，应当在专用仓库内</w:t>
            </w:r>
            <w:r>
              <w:rPr>
                <w:spacing w:val="2"/>
              </w:rPr>
              <w:t xml:space="preserve">  </w:t>
            </w:r>
            <w:r>
              <w:rPr>
                <w:spacing w:val="-2"/>
              </w:rPr>
              <w:t>单独存放，并实行双人收发、双人保管制度。</w:t>
            </w:r>
          </w:p>
          <w:p w14:paraId="5DE42B51">
            <w:pPr>
              <w:pStyle w:val="8"/>
              <w:spacing w:before="6" w:line="221" w:lineRule="auto"/>
              <w:ind w:left="110" w:right="135" w:firstLine="360"/>
            </w:pPr>
            <w:r>
              <w:t>第二十六条第一款  危险化学品专用仓库应</w:t>
            </w:r>
            <w:r>
              <w:rPr>
                <w:spacing w:val="-1"/>
              </w:rPr>
              <w:t>当符合国家标准、行业标准的要求，并设置明显的标志。</w:t>
            </w:r>
            <w:r>
              <w:t xml:space="preserve"> </w:t>
            </w:r>
            <w:r>
              <w:rPr>
                <w:spacing w:val="-1"/>
              </w:rPr>
              <w:t>储存剧毒化学品、易制爆危险化学品的专用仓库，应当按照国家有关规定设置相应的技术防范设施。</w:t>
            </w:r>
          </w:p>
          <w:p w14:paraId="20C63804">
            <w:pPr>
              <w:pStyle w:val="8"/>
              <w:spacing w:before="8" w:line="224" w:lineRule="auto"/>
              <w:ind w:left="112" w:right="46" w:firstLine="358"/>
            </w:pPr>
            <w:r>
              <w:t>第七十八条第一款第（九）项  有下列情形之一的，由安全生产</w:t>
            </w:r>
            <w:r>
              <w:rPr>
                <w:spacing w:val="-1"/>
              </w:rPr>
              <w:t>监督管理部门责令改正，可以处</w:t>
            </w:r>
            <w:r>
              <w:rPr>
                <w:spacing w:val="-36"/>
              </w:rPr>
              <w:t xml:space="preserve"> </w:t>
            </w:r>
            <w:r>
              <w:rPr>
                <w:spacing w:val="-1"/>
              </w:rPr>
              <w:t>5</w:t>
            </w:r>
            <w:r>
              <w:rPr>
                <w:spacing w:val="-32"/>
              </w:rPr>
              <w:t xml:space="preserve"> </w:t>
            </w:r>
            <w:r>
              <w:rPr>
                <w:spacing w:val="-1"/>
              </w:rPr>
              <w:t>万</w:t>
            </w:r>
            <w:r>
              <w:t xml:space="preserve"> </w:t>
            </w:r>
            <w:r>
              <w:rPr>
                <w:spacing w:val="-2"/>
              </w:rPr>
              <w:t>元以下的罚款；拒不改正的，处</w:t>
            </w:r>
            <w:r>
              <w:rPr>
                <w:spacing w:val="-33"/>
              </w:rPr>
              <w:t xml:space="preserve"> </w:t>
            </w:r>
            <w:r>
              <w:rPr>
                <w:spacing w:val="-2"/>
              </w:rPr>
              <w:t>5</w:t>
            </w:r>
            <w:r>
              <w:rPr>
                <w:spacing w:val="-34"/>
              </w:rPr>
              <w:t xml:space="preserve"> </w:t>
            </w:r>
            <w:r>
              <w:rPr>
                <w:spacing w:val="-2"/>
              </w:rPr>
              <w:t>万元以上</w:t>
            </w:r>
            <w:r>
              <w:rPr>
                <w:spacing w:val="-24"/>
              </w:rPr>
              <w:t xml:space="preserve"> </w:t>
            </w:r>
            <w:r>
              <w:rPr>
                <w:spacing w:val="-2"/>
              </w:rPr>
              <w:t>10</w:t>
            </w:r>
            <w:r>
              <w:rPr>
                <w:spacing w:val="-37"/>
              </w:rPr>
              <w:t xml:space="preserve"> </w:t>
            </w:r>
            <w:r>
              <w:rPr>
                <w:spacing w:val="-2"/>
              </w:rPr>
              <w:t>万元以下的罚款；情节严重的，责令停产停业整顿</w:t>
            </w:r>
            <w:r>
              <w:rPr>
                <w:spacing w:val="5"/>
              </w:rPr>
              <w:t>：（</w:t>
            </w:r>
            <w:r>
              <w:rPr>
                <w:spacing w:val="-2"/>
              </w:rPr>
              <w:t>九）</w:t>
            </w:r>
            <w:r>
              <w:t xml:space="preserve"> 危险化学品专用仓库未设专人负责管理，或者对储存的剧毒化学品以及储存数量构成重大危险源的其他危</w:t>
            </w:r>
            <w:r>
              <w:rPr>
                <w:spacing w:val="4"/>
              </w:rPr>
              <w:t xml:space="preserve"> </w:t>
            </w:r>
            <w:r>
              <w:rPr>
                <w:spacing w:val="-3"/>
              </w:rPr>
              <w:t>险化学品未实行双人收发、双人保管制度的；</w:t>
            </w:r>
          </w:p>
          <w:p w14:paraId="6BF363C9">
            <w:pPr>
              <w:pStyle w:val="8"/>
              <w:spacing w:before="7" w:line="223" w:lineRule="auto"/>
              <w:ind w:left="111" w:right="104" w:firstLine="359"/>
              <w:jc w:val="both"/>
            </w:pPr>
            <w:r>
              <w:t>第七十八条第二款  从事危险化学品仓储经营的港口经营人有前款规定情形的，由港口行政管理部门</w:t>
            </w:r>
            <w:r>
              <w:rPr>
                <w:spacing w:val="6"/>
              </w:rPr>
              <w:t xml:space="preserve"> </w:t>
            </w:r>
            <w:r>
              <w:t>依照前款规定予以处罚。储存剧毒化学品、易制爆危险化学品的专用仓库未按照国家有关规定设置相应的</w:t>
            </w:r>
            <w:r>
              <w:rPr>
                <w:spacing w:val="5"/>
              </w:rPr>
              <w:t xml:space="preserve"> </w:t>
            </w:r>
            <w:r>
              <w:rPr>
                <w:spacing w:val="-2"/>
              </w:rPr>
              <w:t>技术防范设施的，由公安机关依照前款规定予以处罚。</w:t>
            </w:r>
          </w:p>
          <w:p w14:paraId="13DECE32">
            <w:pPr>
              <w:pStyle w:val="8"/>
              <w:spacing w:before="7"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1C906187">
            <w:pPr>
              <w:pStyle w:val="8"/>
              <w:spacing w:before="5" w:line="223" w:lineRule="auto"/>
              <w:ind w:left="110" w:right="104" w:firstLine="360"/>
            </w:pPr>
            <w:r>
              <w:t>第五十一条第一款  危险货物应当储存在港区专用的库场、储罐，并由专人负责管理；剧毒化学品以</w:t>
            </w:r>
            <w:r>
              <w:rPr>
                <w:spacing w:val="6"/>
              </w:rPr>
              <w:t xml:space="preserve"> </w:t>
            </w:r>
            <w:r>
              <w:rPr>
                <w:spacing w:val="-1"/>
              </w:rPr>
              <w:t>及储存数量构成重大危险源的其他危险货物，应当单独存放，并实行双人收发、双人保管制度。</w:t>
            </w:r>
          </w:p>
          <w:p w14:paraId="64C23166">
            <w:pPr>
              <w:pStyle w:val="8"/>
              <w:spacing w:before="6" w:line="218" w:lineRule="auto"/>
              <w:ind w:left="111" w:right="104" w:firstLine="359"/>
            </w:pPr>
            <w:r>
              <w:t>第七十八条第一款第（二）项  危险货物港口经营人有下列情形之一的，由所在地港口行政管理部门</w:t>
            </w:r>
            <w:r>
              <w:rPr>
                <w:spacing w:val="6"/>
              </w:rPr>
              <w:t xml:space="preserve"> </w:t>
            </w:r>
            <w:r>
              <w:t>责令改正，可以处五万元以下的罚款；逾期未改正的，处五万元以上十万元以下的罚款；情节严重的，责</w:t>
            </w:r>
            <w:r>
              <w:rPr>
                <w:spacing w:val="5"/>
              </w:rPr>
              <w:t xml:space="preserve"> </w:t>
            </w:r>
            <w:r>
              <w:t>令停产停业整顿</w:t>
            </w:r>
            <w:r>
              <w:rPr>
                <w:spacing w:val="2"/>
              </w:rPr>
              <w:t>：（</w:t>
            </w:r>
            <w:r>
              <w:t>二）危险货物专用库场、储罐未设专人负责管理，或者对储存的剧毒化学品以及储存</w:t>
            </w:r>
            <w:r>
              <w:rPr>
                <w:spacing w:val="1"/>
              </w:rPr>
              <w:t xml:space="preserve"> </w:t>
            </w:r>
            <w:r>
              <w:rPr>
                <w:spacing w:val="-2"/>
              </w:rPr>
              <w:t>数量构成重大危险源的其他危险货物未实行双人收发、双人保管制度的；</w:t>
            </w:r>
          </w:p>
        </w:tc>
        <w:tc>
          <w:tcPr>
            <w:tcW w:w="1010" w:type="dxa"/>
            <w:vAlign w:val="top"/>
          </w:tcPr>
          <w:p w14:paraId="507DF769">
            <w:pPr>
              <w:spacing w:line="241" w:lineRule="auto"/>
              <w:rPr>
                <w:rFonts w:ascii="Arial"/>
                <w:sz w:val="21"/>
              </w:rPr>
            </w:pPr>
          </w:p>
          <w:p w14:paraId="1334E3F0">
            <w:pPr>
              <w:spacing w:line="241" w:lineRule="auto"/>
              <w:rPr>
                <w:rFonts w:ascii="Arial"/>
                <w:sz w:val="21"/>
              </w:rPr>
            </w:pPr>
          </w:p>
          <w:p w14:paraId="0C1230A6">
            <w:pPr>
              <w:spacing w:line="241" w:lineRule="auto"/>
              <w:rPr>
                <w:rFonts w:ascii="Arial"/>
                <w:sz w:val="21"/>
              </w:rPr>
            </w:pPr>
          </w:p>
          <w:p w14:paraId="011B03C5">
            <w:pPr>
              <w:spacing w:line="241" w:lineRule="auto"/>
              <w:rPr>
                <w:rFonts w:ascii="Arial"/>
                <w:sz w:val="21"/>
              </w:rPr>
            </w:pPr>
          </w:p>
          <w:p w14:paraId="085FE650">
            <w:pPr>
              <w:spacing w:line="241" w:lineRule="auto"/>
              <w:rPr>
                <w:rFonts w:ascii="Arial"/>
                <w:sz w:val="21"/>
              </w:rPr>
            </w:pPr>
          </w:p>
          <w:p w14:paraId="5702882F">
            <w:pPr>
              <w:spacing w:line="241" w:lineRule="auto"/>
              <w:rPr>
                <w:rFonts w:ascii="Arial"/>
                <w:sz w:val="21"/>
              </w:rPr>
            </w:pPr>
          </w:p>
          <w:p w14:paraId="51B76E85">
            <w:pPr>
              <w:spacing w:line="241" w:lineRule="auto"/>
              <w:rPr>
                <w:rFonts w:ascii="Arial"/>
                <w:sz w:val="21"/>
              </w:rPr>
            </w:pPr>
          </w:p>
          <w:p w14:paraId="75DEFC09">
            <w:pPr>
              <w:spacing w:line="242" w:lineRule="auto"/>
              <w:rPr>
                <w:rFonts w:ascii="Arial"/>
                <w:sz w:val="21"/>
              </w:rPr>
            </w:pPr>
          </w:p>
          <w:p w14:paraId="76460C5F">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4C037481">
            <w:pPr>
              <w:pStyle w:val="8"/>
              <w:spacing w:before="59" w:line="234" w:lineRule="auto"/>
              <w:ind w:left="530" w:right="104" w:hanging="413"/>
              <w:rPr>
                <w:rFonts w:hint="eastAsia"/>
                <w:spacing w:val="-12"/>
                <w:lang w:eastAsia="zh-CN"/>
              </w:rPr>
            </w:pPr>
          </w:p>
          <w:p w14:paraId="50427EC6">
            <w:pPr>
              <w:pStyle w:val="8"/>
              <w:spacing w:before="59" w:line="234" w:lineRule="auto"/>
              <w:ind w:left="530" w:right="104" w:hanging="413"/>
              <w:rPr>
                <w:rFonts w:hint="eastAsia"/>
                <w:spacing w:val="-12"/>
                <w:lang w:eastAsia="zh-CN"/>
              </w:rPr>
            </w:pPr>
          </w:p>
          <w:p w14:paraId="207B53EE">
            <w:pPr>
              <w:pStyle w:val="8"/>
              <w:spacing w:before="59" w:line="234" w:lineRule="auto"/>
              <w:ind w:left="530" w:right="104" w:hanging="413"/>
              <w:rPr>
                <w:rFonts w:hint="eastAsia"/>
                <w:spacing w:val="-12"/>
                <w:lang w:eastAsia="zh-CN"/>
              </w:rPr>
            </w:pPr>
          </w:p>
          <w:p w14:paraId="0337DC2D">
            <w:pPr>
              <w:pStyle w:val="8"/>
              <w:spacing w:before="59" w:line="234" w:lineRule="auto"/>
              <w:ind w:left="530" w:right="104" w:hanging="413"/>
              <w:rPr>
                <w:rFonts w:hint="eastAsia"/>
                <w:spacing w:val="-12"/>
                <w:lang w:eastAsia="zh-CN"/>
              </w:rPr>
            </w:pPr>
          </w:p>
          <w:p w14:paraId="44752E94">
            <w:pPr>
              <w:pStyle w:val="8"/>
              <w:spacing w:before="59" w:line="234" w:lineRule="auto"/>
              <w:ind w:left="530" w:right="104" w:hanging="413"/>
              <w:rPr>
                <w:rFonts w:hint="eastAsia"/>
                <w:spacing w:val="-12"/>
                <w:lang w:eastAsia="zh-CN"/>
              </w:rPr>
            </w:pPr>
          </w:p>
          <w:p w14:paraId="463EDD76">
            <w:pPr>
              <w:pStyle w:val="8"/>
              <w:spacing w:before="59" w:line="234" w:lineRule="auto"/>
              <w:ind w:left="530" w:right="104" w:hanging="413"/>
              <w:rPr>
                <w:rFonts w:hint="eastAsia"/>
                <w:spacing w:val="-12"/>
                <w:lang w:eastAsia="zh-CN"/>
              </w:rPr>
            </w:pPr>
          </w:p>
          <w:p w14:paraId="242FC5D0">
            <w:pPr>
              <w:pStyle w:val="8"/>
              <w:spacing w:before="59" w:line="234" w:lineRule="auto"/>
              <w:ind w:left="530" w:right="104" w:hanging="413"/>
              <w:rPr>
                <w:rFonts w:hint="eastAsia"/>
                <w:spacing w:val="-12"/>
                <w:lang w:eastAsia="zh-CN"/>
              </w:rPr>
            </w:pPr>
          </w:p>
          <w:p w14:paraId="2011BE3E">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1392878B">
            <w:pPr>
              <w:spacing w:line="258" w:lineRule="auto"/>
              <w:rPr>
                <w:rFonts w:ascii="Arial"/>
                <w:sz w:val="21"/>
              </w:rPr>
            </w:pPr>
          </w:p>
          <w:p w14:paraId="200F73DC">
            <w:pPr>
              <w:spacing w:line="258" w:lineRule="auto"/>
              <w:rPr>
                <w:rFonts w:ascii="Arial"/>
                <w:sz w:val="21"/>
              </w:rPr>
            </w:pPr>
          </w:p>
          <w:p w14:paraId="45EA39B1">
            <w:pPr>
              <w:spacing w:line="258" w:lineRule="auto"/>
              <w:rPr>
                <w:rFonts w:ascii="Arial"/>
                <w:sz w:val="21"/>
              </w:rPr>
            </w:pPr>
          </w:p>
          <w:p w14:paraId="2D1921D0">
            <w:pPr>
              <w:spacing w:line="259" w:lineRule="auto"/>
              <w:rPr>
                <w:rFonts w:ascii="Arial"/>
                <w:sz w:val="21"/>
              </w:rPr>
            </w:pPr>
          </w:p>
          <w:p w14:paraId="54F38F42">
            <w:pPr>
              <w:spacing w:line="259" w:lineRule="auto"/>
              <w:rPr>
                <w:rFonts w:ascii="Arial"/>
                <w:sz w:val="21"/>
              </w:rPr>
            </w:pPr>
          </w:p>
          <w:p w14:paraId="1459A812">
            <w:pPr>
              <w:spacing w:line="259" w:lineRule="auto"/>
              <w:rPr>
                <w:rFonts w:ascii="Arial"/>
                <w:sz w:val="21"/>
              </w:rPr>
            </w:pPr>
          </w:p>
          <w:p w14:paraId="4F7F6040">
            <w:pPr>
              <w:spacing w:line="259" w:lineRule="auto"/>
              <w:rPr>
                <w:rFonts w:ascii="Arial"/>
                <w:sz w:val="21"/>
              </w:rPr>
            </w:pPr>
          </w:p>
          <w:p w14:paraId="31340E34">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1E2D8642">
      <w:pPr>
        <w:pStyle w:val="2"/>
      </w:pPr>
    </w:p>
    <w:p w14:paraId="387DD641">
      <w:pPr>
        <w:sectPr>
          <w:footerReference r:id="rId142" w:type="default"/>
          <w:pgSz w:w="16839" w:h="11906"/>
          <w:pgMar w:top="1012" w:right="1034" w:bottom="967" w:left="1043" w:header="0" w:footer="768" w:gutter="0"/>
          <w:cols w:space="720" w:num="1"/>
        </w:sectPr>
      </w:pPr>
    </w:p>
    <w:p w14:paraId="4112C953">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3A12D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16A38368">
            <w:pPr>
              <w:pStyle w:val="8"/>
              <w:spacing w:before="259" w:line="221" w:lineRule="auto"/>
              <w:ind w:left="134"/>
            </w:pPr>
            <w:r>
              <w:rPr>
                <w:b/>
                <w:bCs/>
                <w:spacing w:val="-4"/>
              </w:rPr>
              <w:t>序号</w:t>
            </w:r>
          </w:p>
        </w:tc>
        <w:tc>
          <w:tcPr>
            <w:tcW w:w="1100" w:type="dxa"/>
            <w:vMerge w:val="restart"/>
            <w:tcBorders>
              <w:bottom w:val="nil"/>
            </w:tcBorders>
            <w:vAlign w:val="top"/>
          </w:tcPr>
          <w:p w14:paraId="0502E883">
            <w:pPr>
              <w:pStyle w:val="8"/>
              <w:spacing w:before="260" w:line="220" w:lineRule="auto"/>
              <w:ind w:left="189"/>
            </w:pPr>
            <w:r>
              <w:rPr>
                <w:b/>
                <w:bCs/>
                <w:spacing w:val="-4"/>
              </w:rPr>
              <w:t>事项名称</w:t>
            </w:r>
          </w:p>
        </w:tc>
        <w:tc>
          <w:tcPr>
            <w:tcW w:w="1100" w:type="dxa"/>
            <w:vMerge w:val="restart"/>
            <w:tcBorders>
              <w:bottom w:val="nil"/>
            </w:tcBorders>
            <w:vAlign w:val="top"/>
          </w:tcPr>
          <w:p w14:paraId="32A6ABEF">
            <w:pPr>
              <w:pStyle w:val="8"/>
              <w:spacing w:before="260" w:line="219" w:lineRule="auto"/>
              <w:ind w:left="191"/>
            </w:pPr>
            <w:r>
              <w:rPr>
                <w:b/>
                <w:bCs/>
                <w:spacing w:val="-4"/>
              </w:rPr>
              <w:t>职权类型</w:t>
            </w:r>
          </w:p>
        </w:tc>
        <w:tc>
          <w:tcPr>
            <w:tcW w:w="8508" w:type="dxa"/>
            <w:vMerge w:val="restart"/>
            <w:tcBorders>
              <w:bottom w:val="nil"/>
            </w:tcBorders>
            <w:vAlign w:val="top"/>
          </w:tcPr>
          <w:p w14:paraId="5133925B">
            <w:pPr>
              <w:pStyle w:val="8"/>
              <w:spacing w:before="259" w:line="219" w:lineRule="auto"/>
              <w:ind w:left="3900"/>
            </w:pPr>
            <w:r>
              <w:rPr>
                <w:b/>
                <w:bCs/>
                <w:spacing w:val="-5"/>
              </w:rPr>
              <w:t>实施依据</w:t>
            </w:r>
          </w:p>
        </w:tc>
        <w:tc>
          <w:tcPr>
            <w:tcW w:w="3425" w:type="dxa"/>
            <w:gridSpan w:val="3"/>
            <w:vAlign w:val="top"/>
          </w:tcPr>
          <w:p w14:paraId="3A4626AD">
            <w:pPr>
              <w:pStyle w:val="8"/>
              <w:spacing w:before="85" w:line="220" w:lineRule="auto"/>
              <w:ind w:left="1358"/>
            </w:pPr>
            <w:r>
              <w:rPr>
                <w:b/>
                <w:bCs/>
                <w:spacing w:val="-5"/>
              </w:rPr>
              <w:t>实施主体</w:t>
            </w:r>
          </w:p>
        </w:tc>
      </w:tr>
      <w:tr w14:paraId="5AEC2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40D53098">
            <w:pPr>
              <w:rPr>
                <w:rFonts w:ascii="Arial"/>
                <w:sz w:val="21"/>
              </w:rPr>
            </w:pPr>
          </w:p>
        </w:tc>
        <w:tc>
          <w:tcPr>
            <w:tcW w:w="1100" w:type="dxa"/>
            <w:vMerge w:val="continue"/>
            <w:tcBorders>
              <w:top w:val="nil"/>
            </w:tcBorders>
            <w:vAlign w:val="top"/>
          </w:tcPr>
          <w:p w14:paraId="1F7026DB">
            <w:pPr>
              <w:rPr>
                <w:rFonts w:ascii="Arial"/>
                <w:sz w:val="21"/>
              </w:rPr>
            </w:pPr>
          </w:p>
        </w:tc>
        <w:tc>
          <w:tcPr>
            <w:tcW w:w="1100" w:type="dxa"/>
            <w:vMerge w:val="continue"/>
            <w:tcBorders>
              <w:top w:val="nil"/>
            </w:tcBorders>
            <w:vAlign w:val="top"/>
          </w:tcPr>
          <w:p w14:paraId="1E1603D1">
            <w:pPr>
              <w:rPr>
                <w:rFonts w:ascii="Arial"/>
                <w:sz w:val="21"/>
              </w:rPr>
            </w:pPr>
          </w:p>
        </w:tc>
        <w:tc>
          <w:tcPr>
            <w:tcW w:w="8508" w:type="dxa"/>
            <w:vMerge w:val="continue"/>
            <w:tcBorders>
              <w:top w:val="nil"/>
            </w:tcBorders>
            <w:vAlign w:val="top"/>
          </w:tcPr>
          <w:p w14:paraId="4C8440EF">
            <w:pPr>
              <w:rPr>
                <w:rFonts w:ascii="Arial"/>
                <w:sz w:val="21"/>
              </w:rPr>
            </w:pPr>
          </w:p>
        </w:tc>
        <w:tc>
          <w:tcPr>
            <w:tcW w:w="1010" w:type="dxa"/>
            <w:vAlign w:val="top"/>
          </w:tcPr>
          <w:p w14:paraId="0C284690">
            <w:pPr>
              <w:pStyle w:val="8"/>
              <w:spacing w:before="81" w:line="219" w:lineRule="auto"/>
              <w:ind w:left="155"/>
            </w:pPr>
            <w:r>
              <w:rPr>
                <w:b/>
                <w:bCs/>
                <w:spacing w:val="-5"/>
              </w:rPr>
              <w:t>责任部门</w:t>
            </w:r>
          </w:p>
        </w:tc>
        <w:tc>
          <w:tcPr>
            <w:tcW w:w="1401" w:type="dxa"/>
            <w:vAlign w:val="top"/>
          </w:tcPr>
          <w:p w14:paraId="71E5B2B8">
            <w:pPr>
              <w:pStyle w:val="8"/>
              <w:spacing w:before="81" w:line="219" w:lineRule="auto"/>
              <w:ind w:left="164"/>
            </w:pPr>
            <w:r>
              <w:rPr>
                <w:b/>
                <w:bCs/>
                <w:spacing w:val="-3"/>
              </w:rPr>
              <w:t>第一责任层级</w:t>
            </w:r>
          </w:p>
        </w:tc>
        <w:tc>
          <w:tcPr>
            <w:tcW w:w="1014" w:type="dxa"/>
            <w:vAlign w:val="top"/>
          </w:tcPr>
          <w:p w14:paraId="7670A257">
            <w:pPr>
              <w:pStyle w:val="8"/>
              <w:spacing w:before="81" w:line="219" w:lineRule="auto"/>
              <w:ind w:left="150"/>
            </w:pPr>
            <w:r>
              <w:rPr>
                <w:b/>
                <w:bCs/>
                <w:spacing w:val="-4"/>
              </w:rPr>
              <w:t>承办机构</w:t>
            </w:r>
          </w:p>
        </w:tc>
      </w:tr>
      <w:tr w14:paraId="65E21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3" w:hRule="atLeast"/>
        </w:trPr>
        <w:tc>
          <w:tcPr>
            <w:tcW w:w="622" w:type="dxa"/>
            <w:vAlign w:val="top"/>
          </w:tcPr>
          <w:p w14:paraId="1C512AB8">
            <w:pPr>
              <w:spacing w:line="276" w:lineRule="auto"/>
              <w:rPr>
                <w:rFonts w:ascii="Arial"/>
                <w:sz w:val="21"/>
              </w:rPr>
            </w:pPr>
          </w:p>
          <w:p w14:paraId="10906E89">
            <w:pPr>
              <w:spacing w:line="277" w:lineRule="auto"/>
              <w:rPr>
                <w:rFonts w:ascii="Arial"/>
                <w:sz w:val="21"/>
              </w:rPr>
            </w:pPr>
          </w:p>
          <w:p w14:paraId="3ABA4785">
            <w:pPr>
              <w:spacing w:line="277" w:lineRule="auto"/>
              <w:rPr>
                <w:rFonts w:ascii="Arial"/>
                <w:sz w:val="21"/>
              </w:rPr>
            </w:pPr>
          </w:p>
          <w:p w14:paraId="21639D1F">
            <w:pPr>
              <w:spacing w:line="277" w:lineRule="auto"/>
              <w:rPr>
                <w:rFonts w:ascii="Arial"/>
                <w:sz w:val="21"/>
              </w:rPr>
            </w:pPr>
          </w:p>
          <w:p w14:paraId="1F25FF07">
            <w:pPr>
              <w:spacing w:line="277" w:lineRule="auto"/>
              <w:rPr>
                <w:rFonts w:ascii="Arial"/>
                <w:sz w:val="21"/>
              </w:rPr>
            </w:pPr>
          </w:p>
          <w:p w14:paraId="4174B98A">
            <w:pPr>
              <w:spacing w:line="277" w:lineRule="auto"/>
              <w:rPr>
                <w:rFonts w:ascii="Arial"/>
                <w:sz w:val="21"/>
              </w:rPr>
            </w:pPr>
          </w:p>
          <w:p w14:paraId="3E9529EC">
            <w:pPr>
              <w:pStyle w:val="8"/>
              <w:spacing w:before="59" w:line="183" w:lineRule="auto"/>
              <w:ind w:left="229"/>
            </w:pPr>
            <w:r>
              <w:rPr>
                <w:spacing w:val="-5"/>
              </w:rPr>
              <w:t>30</w:t>
            </w:r>
          </w:p>
        </w:tc>
        <w:tc>
          <w:tcPr>
            <w:tcW w:w="1100" w:type="dxa"/>
            <w:vAlign w:val="top"/>
          </w:tcPr>
          <w:p w14:paraId="370AF329">
            <w:pPr>
              <w:spacing w:line="309" w:lineRule="auto"/>
              <w:rPr>
                <w:rFonts w:ascii="Arial"/>
                <w:sz w:val="21"/>
              </w:rPr>
            </w:pPr>
          </w:p>
          <w:p w14:paraId="755459DD">
            <w:pPr>
              <w:spacing w:line="309" w:lineRule="auto"/>
              <w:rPr>
                <w:rFonts w:ascii="Arial"/>
                <w:sz w:val="21"/>
              </w:rPr>
            </w:pPr>
          </w:p>
          <w:p w14:paraId="1DAB137E">
            <w:pPr>
              <w:spacing w:line="309" w:lineRule="auto"/>
              <w:rPr>
                <w:rFonts w:ascii="Arial"/>
                <w:sz w:val="21"/>
              </w:rPr>
            </w:pPr>
          </w:p>
          <w:p w14:paraId="342CCE3C">
            <w:pPr>
              <w:pStyle w:val="8"/>
              <w:spacing w:before="59" w:line="242" w:lineRule="auto"/>
              <w:ind w:left="59" w:right="55"/>
              <w:jc w:val="both"/>
            </w:pPr>
            <w:r>
              <w:rPr>
                <w:spacing w:val="16"/>
              </w:rPr>
              <w:t>对危险货物</w:t>
            </w:r>
            <w:r>
              <w:t xml:space="preserve"> </w:t>
            </w:r>
            <w:r>
              <w:rPr>
                <w:spacing w:val="16"/>
              </w:rPr>
              <w:t>港口经营人</w:t>
            </w:r>
            <w:r>
              <w:t xml:space="preserve"> </w:t>
            </w:r>
            <w:r>
              <w:rPr>
                <w:spacing w:val="16"/>
              </w:rPr>
              <w:t>未建立危险</w:t>
            </w:r>
            <w:r>
              <w:t xml:space="preserve"> </w:t>
            </w:r>
            <w:r>
              <w:rPr>
                <w:spacing w:val="16"/>
              </w:rPr>
              <w:t>货物出入库</w:t>
            </w:r>
            <w:r>
              <w:t xml:space="preserve"> </w:t>
            </w:r>
            <w:r>
              <w:rPr>
                <w:spacing w:val="16"/>
              </w:rPr>
              <w:t>核查、登记</w:t>
            </w:r>
            <w:r>
              <w:t xml:space="preserve"> </w:t>
            </w:r>
            <w:r>
              <w:rPr>
                <w:spacing w:val="16"/>
              </w:rPr>
              <w:t>制度行为的</w:t>
            </w:r>
            <w:r>
              <w:t xml:space="preserve"> </w:t>
            </w:r>
            <w:r>
              <w:rPr>
                <w:spacing w:val="-2"/>
              </w:rPr>
              <w:t>行政处罚</w:t>
            </w:r>
          </w:p>
        </w:tc>
        <w:tc>
          <w:tcPr>
            <w:tcW w:w="1100" w:type="dxa"/>
            <w:vAlign w:val="top"/>
          </w:tcPr>
          <w:p w14:paraId="6DDD5350">
            <w:pPr>
              <w:spacing w:line="272" w:lineRule="auto"/>
              <w:rPr>
                <w:rFonts w:ascii="Arial"/>
                <w:sz w:val="21"/>
              </w:rPr>
            </w:pPr>
          </w:p>
          <w:p w14:paraId="3906038A">
            <w:pPr>
              <w:spacing w:line="272" w:lineRule="auto"/>
              <w:rPr>
                <w:rFonts w:ascii="Arial"/>
                <w:sz w:val="21"/>
              </w:rPr>
            </w:pPr>
          </w:p>
          <w:p w14:paraId="0B104824">
            <w:pPr>
              <w:spacing w:line="272" w:lineRule="auto"/>
              <w:rPr>
                <w:rFonts w:ascii="Arial"/>
                <w:sz w:val="21"/>
              </w:rPr>
            </w:pPr>
          </w:p>
          <w:p w14:paraId="6DB2422D">
            <w:pPr>
              <w:spacing w:line="272" w:lineRule="auto"/>
              <w:rPr>
                <w:rFonts w:ascii="Arial"/>
                <w:sz w:val="21"/>
              </w:rPr>
            </w:pPr>
          </w:p>
          <w:p w14:paraId="368250CD">
            <w:pPr>
              <w:spacing w:line="272" w:lineRule="auto"/>
              <w:rPr>
                <w:rFonts w:ascii="Arial"/>
                <w:sz w:val="21"/>
              </w:rPr>
            </w:pPr>
          </w:p>
          <w:p w14:paraId="7079EB28">
            <w:pPr>
              <w:spacing w:line="273" w:lineRule="auto"/>
              <w:rPr>
                <w:rFonts w:ascii="Arial"/>
                <w:sz w:val="21"/>
              </w:rPr>
            </w:pPr>
          </w:p>
          <w:p w14:paraId="37D990FD">
            <w:pPr>
              <w:pStyle w:val="8"/>
              <w:spacing w:before="58" w:line="220" w:lineRule="auto"/>
              <w:ind w:left="112"/>
            </w:pPr>
            <w:r>
              <w:rPr>
                <w:spacing w:val="-2"/>
              </w:rPr>
              <w:t>行政处罚</w:t>
            </w:r>
          </w:p>
        </w:tc>
        <w:tc>
          <w:tcPr>
            <w:tcW w:w="8508" w:type="dxa"/>
            <w:vAlign w:val="top"/>
          </w:tcPr>
          <w:p w14:paraId="603398B6">
            <w:pPr>
              <w:pStyle w:val="8"/>
              <w:spacing w:before="24" w:line="219" w:lineRule="auto"/>
              <w:ind w:left="484"/>
            </w:pPr>
            <w:r>
              <w:rPr>
                <w:b/>
                <w:bCs/>
                <w:spacing w:val="-3"/>
              </w:rPr>
              <w:t>1.《危险化学品安全管理条例》</w:t>
            </w:r>
          </w:p>
          <w:p w14:paraId="1F5755C1">
            <w:pPr>
              <w:pStyle w:val="8"/>
              <w:spacing w:before="4" w:line="219" w:lineRule="auto"/>
              <w:ind w:left="471"/>
            </w:pPr>
            <w:r>
              <w:rPr>
                <w:spacing w:val="-1"/>
              </w:rPr>
              <w:t>第二十五条  储存危险化学品的单位应当建立危险化学品出入库核查、登记制度。</w:t>
            </w:r>
          </w:p>
          <w:p w14:paraId="6B45EE4C">
            <w:pPr>
              <w:pStyle w:val="8"/>
              <w:spacing w:before="7" w:line="223" w:lineRule="auto"/>
              <w:ind w:left="113" w:right="104" w:firstLine="357"/>
            </w:pPr>
            <w:r>
              <w:t>对剧毒化学品以及储存数量构成重大危险源的其他危险化学品，储存单位应当将其储存数量、储存地</w:t>
            </w:r>
            <w:r>
              <w:rPr>
                <w:spacing w:val="7"/>
              </w:rPr>
              <w:t xml:space="preserve"> </w:t>
            </w:r>
            <w:r>
              <w:t>点以及管理人员的情况，报所在地县级人民政府安全生产监督管理部门（在港区内储存的，报港口行政管</w:t>
            </w:r>
            <w:r>
              <w:rPr>
                <w:spacing w:val="4"/>
              </w:rPr>
              <w:t xml:space="preserve"> </w:t>
            </w:r>
            <w:r>
              <w:rPr>
                <w:spacing w:val="-3"/>
              </w:rPr>
              <w:t>理部门）和公安机关备案。</w:t>
            </w:r>
          </w:p>
          <w:p w14:paraId="74047BE4">
            <w:pPr>
              <w:pStyle w:val="8"/>
              <w:spacing w:before="8" w:line="223" w:lineRule="auto"/>
              <w:ind w:left="110" w:right="46" w:firstLine="360"/>
              <w:jc w:val="both"/>
            </w:pPr>
            <w:r>
              <w:t>第七十八条第一款第（十）项  有下列情形之一的，由安全生产</w:t>
            </w:r>
            <w:r>
              <w:rPr>
                <w:spacing w:val="-1"/>
              </w:rPr>
              <w:t>监督管理部门责令改正，可以处</w:t>
            </w:r>
            <w:r>
              <w:rPr>
                <w:spacing w:val="-36"/>
              </w:rPr>
              <w:t xml:space="preserve"> </w:t>
            </w:r>
            <w:r>
              <w:rPr>
                <w:spacing w:val="-1"/>
              </w:rPr>
              <w:t>5</w:t>
            </w:r>
            <w:r>
              <w:rPr>
                <w:spacing w:val="-32"/>
              </w:rPr>
              <w:t xml:space="preserve"> </w:t>
            </w:r>
            <w:r>
              <w:rPr>
                <w:spacing w:val="-1"/>
              </w:rPr>
              <w:t>万</w:t>
            </w:r>
            <w:r>
              <w:t xml:space="preserve"> </w:t>
            </w:r>
            <w:r>
              <w:rPr>
                <w:spacing w:val="-2"/>
              </w:rPr>
              <w:t>元以下的罚款；拒不改正的，处</w:t>
            </w:r>
            <w:r>
              <w:rPr>
                <w:spacing w:val="-33"/>
              </w:rPr>
              <w:t xml:space="preserve"> </w:t>
            </w:r>
            <w:r>
              <w:rPr>
                <w:spacing w:val="-2"/>
              </w:rPr>
              <w:t>5</w:t>
            </w:r>
            <w:r>
              <w:rPr>
                <w:spacing w:val="-34"/>
              </w:rPr>
              <w:t xml:space="preserve"> </w:t>
            </w:r>
            <w:r>
              <w:rPr>
                <w:spacing w:val="-2"/>
              </w:rPr>
              <w:t>万元以上</w:t>
            </w:r>
            <w:r>
              <w:rPr>
                <w:spacing w:val="-24"/>
              </w:rPr>
              <w:t xml:space="preserve"> </w:t>
            </w:r>
            <w:r>
              <w:rPr>
                <w:spacing w:val="-2"/>
              </w:rPr>
              <w:t>10</w:t>
            </w:r>
            <w:r>
              <w:rPr>
                <w:spacing w:val="-37"/>
              </w:rPr>
              <w:t xml:space="preserve"> </w:t>
            </w:r>
            <w:r>
              <w:rPr>
                <w:spacing w:val="-2"/>
              </w:rPr>
              <w:t>万元以下的罚款；情节严重的，责令停产停业整顿</w:t>
            </w:r>
            <w:r>
              <w:rPr>
                <w:spacing w:val="6"/>
              </w:rPr>
              <w:t>：（</w:t>
            </w:r>
            <w:r>
              <w:rPr>
                <w:spacing w:val="-2"/>
              </w:rPr>
              <w:t>十）</w:t>
            </w:r>
            <w:r>
              <w:t xml:space="preserve"> </w:t>
            </w:r>
            <w:r>
              <w:rPr>
                <w:spacing w:val="-2"/>
              </w:rPr>
              <w:t>储存危险化学品的单位未建立危险化学品出入库核查、登记制度的；</w:t>
            </w:r>
          </w:p>
          <w:p w14:paraId="32B5CBA6">
            <w:pPr>
              <w:pStyle w:val="8"/>
              <w:spacing w:before="7" w:line="223" w:lineRule="auto"/>
              <w:ind w:left="111" w:right="104" w:firstLine="359"/>
              <w:jc w:val="both"/>
            </w:pPr>
            <w:r>
              <w:t>第七十八条第二款  从事危险化学品仓储经营的港口经营人有前款规定情形的，由港口行政管理部门</w:t>
            </w:r>
            <w:r>
              <w:rPr>
                <w:spacing w:val="6"/>
              </w:rPr>
              <w:t xml:space="preserve"> </w:t>
            </w:r>
            <w:r>
              <w:t>依照前款规定予以处罚。储存剧毒化学品、易制爆危险化学品的专用仓库未按照国家有关规定设置相应的</w:t>
            </w:r>
            <w:r>
              <w:rPr>
                <w:spacing w:val="5"/>
              </w:rPr>
              <w:t xml:space="preserve"> </w:t>
            </w:r>
            <w:r>
              <w:rPr>
                <w:spacing w:val="-2"/>
              </w:rPr>
              <w:t>技术防范设施的，由公安机关依照前款规定予以处罚。</w:t>
            </w:r>
          </w:p>
          <w:p w14:paraId="1F112D0B">
            <w:pPr>
              <w:pStyle w:val="8"/>
              <w:spacing w:before="7"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7E40165A">
            <w:pPr>
              <w:pStyle w:val="8"/>
              <w:spacing w:before="7" w:line="219" w:lineRule="auto"/>
              <w:ind w:left="471"/>
            </w:pPr>
            <w:r>
              <w:rPr>
                <w:spacing w:val="-2"/>
              </w:rPr>
              <w:t>第五十二条第一款  危险货物港口经营人经营仓储业务的，应当建立危</w:t>
            </w:r>
            <w:r>
              <w:rPr>
                <w:spacing w:val="-3"/>
              </w:rPr>
              <w:t>险货物出入库核查、登记制度。</w:t>
            </w:r>
          </w:p>
          <w:p w14:paraId="2AD72999">
            <w:pPr>
              <w:pStyle w:val="8"/>
              <w:spacing w:before="23" w:line="230" w:lineRule="auto"/>
              <w:ind w:left="111" w:right="104" w:firstLine="359"/>
            </w:pPr>
            <w:r>
              <w:t>第七十八条第一款第（三）项  危险货物港口经营人有下列情形之一的，由所在地港口行政管理部门</w:t>
            </w:r>
            <w:r>
              <w:rPr>
                <w:spacing w:val="6"/>
              </w:rPr>
              <w:t xml:space="preserve"> </w:t>
            </w:r>
            <w:r>
              <w:t>责令改正，可以处五万元以下的罚款；逾期未改正的，处五万元以上十万元以下的罚款；情节严重的，责</w:t>
            </w:r>
            <w:r>
              <w:rPr>
                <w:spacing w:val="5"/>
              </w:rPr>
              <w:t xml:space="preserve"> </w:t>
            </w:r>
            <w:r>
              <w:rPr>
                <w:spacing w:val="-2"/>
              </w:rPr>
              <w:t>令停产停业整顿</w:t>
            </w:r>
            <w:r>
              <w:rPr>
                <w:spacing w:val="3"/>
              </w:rPr>
              <w:t>：（</w:t>
            </w:r>
            <w:r>
              <w:rPr>
                <w:spacing w:val="-2"/>
              </w:rPr>
              <w:t>三）未建立危险货物出入库核查、登记制度的；</w:t>
            </w:r>
          </w:p>
        </w:tc>
        <w:tc>
          <w:tcPr>
            <w:tcW w:w="1010" w:type="dxa"/>
            <w:vAlign w:val="top"/>
          </w:tcPr>
          <w:p w14:paraId="7B8435B3">
            <w:pPr>
              <w:spacing w:line="253" w:lineRule="auto"/>
              <w:rPr>
                <w:rFonts w:ascii="Arial"/>
                <w:sz w:val="21"/>
              </w:rPr>
            </w:pPr>
          </w:p>
          <w:p w14:paraId="7E819EE4">
            <w:pPr>
              <w:spacing w:line="253" w:lineRule="auto"/>
              <w:rPr>
                <w:rFonts w:ascii="Arial"/>
                <w:sz w:val="21"/>
              </w:rPr>
            </w:pPr>
          </w:p>
          <w:p w14:paraId="4BBDE8DA">
            <w:pPr>
              <w:spacing w:line="253" w:lineRule="auto"/>
              <w:rPr>
                <w:rFonts w:ascii="Arial"/>
                <w:sz w:val="21"/>
              </w:rPr>
            </w:pPr>
          </w:p>
          <w:p w14:paraId="672033BB">
            <w:pPr>
              <w:spacing w:line="253" w:lineRule="auto"/>
              <w:rPr>
                <w:rFonts w:ascii="Arial"/>
                <w:sz w:val="21"/>
              </w:rPr>
            </w:pPr>
          </w:p>
          <w:p w14:paraId="0B4D48ED">
            <w:pPr>
              <w:spacing w:line="254" w:lineRule="auto"/>
              <w:rPr>
                <w:rFonts w:ascii="Arial"/>
                <w:sz w:val="21"/>
              </w:rPr>
            </w:pPr>
          </w:p>
          <w:p w14:paraId="55E43DC3">
            <w:pPr>
              <w:spacing w:line="254" w:lineRule="auto"/>
              <w:rPr>
                <w:rFonts w:ascii="Arial"/>
                <w:sz w:val="21"/>
              </w:rPr>
            </w:pPr>
          </w:p>
          <w:p w14:paraId="18603E81">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649A256D">
            <w:pPr>
              <w:pStyle w:val="8"/>
              <w:spacing w:before="59" w:line="234" w:lineRule="auto"/>
              <w:ind w:left="530" w:right="104" w:hanging="413"/>
              <w:rPr>
                <w:rFonts w:hint="eastAsia"/>
                <w:spacing w:val="-12"/>
                <w:lang w:eastAsia="zh-CN"/>
              </w:rPr>
            </w:pPr>
          </w:p>
          <w:p w14:paraId="3F2EF584">
            <w:pPr>
              <w:pStyle w:val="8"/>
              <w:spacing w:before="59" w:line="234" w:lineRule="auto"/>
              <w:ind w:left="530" w:right="104" w:hanging="413"/>
              <w:rPr>
                <w:rFonts w:hint="eastAsia"/>
                <w:spacing w:val="-12"/>
                <w:lang w:eastAsia="zh-CN"/>
              </w:rPr>
            </w:pPr>
          </w:p>
          <w:p w14:paraId="2B6BB082">
            <w:pPr>
              <w:pStyle w:val="8"/>
              <w:spacing w:before="59" w:line="234" w:lineRule="auto"/>
              <w:ind w:left="530" w:right="104" w:hanging="413"/>
              <w:rPr>
                <w:rFonts w:hint="eastAsia"/>
                <w:spacing w:val="-12"/>
                <w:lang w:eastAsia="zh-CN"/>
              </w:rPr>
            </w:pPr>
          </w:p>
          <w:p w14:paraId="65F217B1">
            <w:pPr>
              <w:pStyle w:val="8"/>
              <w:spacing w:before="59" w:line="234" w:lineRule="auto"/>
              <w:ind w:left="530" w:right="104" w:hanging="413"/>
              <w:rPr>
                <w:rFonts w:hint="eastAsia"/>
                <w:spacing w:val="-12"/>
                <w:lang w:eastAsia="zh-CN"/>
              </w:rPr>
            </w:pPr>
          </w:p>
          <w:p w14:paraId="25059C5F">
            <w:pPr>
              <w:pStyle w:val="8"/>
              <w:spacing w:before="59" w:line="234" w:lineRule="auto"/>
              <w:ind w:left="530" w:right="104" w:hanging="413"/>
              <w:rPr>
                <w:rFonts w:hint="eastAsia"/>
                <w:spacing w:val="-12"/>
                <w:lang w:eastAsia="zh-CN"/>
              </w:rPr>
            </w:pPr>
          </w:p>
          <w:p w14:paraId="1F79683D">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3E32F1AD">
            <w:pPr>
              <w:spacing w:line="280" w:lineRule="auto"/>
              <w:rPr>
                <w:rFonts w:ascii="Arial"/>
                <w:sz w:val="21"/>
              </w:rPr>
            </w:pPr>
          </w:p>
          <w:p w14:paraId="26E01823">
            <w:pPr>
              <w:spacing w:line="280" w:lineRule="auto"/>
              <w:rPr>
                <w:rFonts w:ascii="Arial"/>
                <w:sz w:val="21"/>
              </w:rPr>
            </w:pPr>
          </w:p>
          <w:p w14:paraId="4603482C">
            <w:pPr>
              <w:spacing w:line="280" w:lineRule="auto"/>
              <w:rPr>
                <w:rFonts w:ascii="Arial"/>
                <w:sz w:val="21"/>
              </w:rPr>
            </w:pPr>
          </w:p>
          <w:p w14:paraId="08048950">
            <w:pPr>
              <w:spacing w:line="280" w:lineRule="auto"/>
              <w:rPr>
                <w:rFonts w:ascii="Arial"/>
                <w:sz w:val="21"/>
              </w:rPr>
            </w:pPr>
          </w:p>
          <w:p w14:paraId="5AD96E4D">
            <w:pPr>
              <w:spacing w:line="281" w:lineRule="auto"/>
              <w:rPr>
                <w:rFonts w:ascii="Arial"/>
                <w:sz w:val="21"/>
              </w:rPr>
            </w:pPr>
          </w:p>
          <w:p w14:paraId="3183A2C1">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56828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5" w:hRule="atLeast"/>
        </w:trPr>
        <w:tc>
          <w:tcPr>
            <w:tcW w:w="622" w:type="dxa"/>
            <w:vAlign w:val="top"/>
          </w:tcPr>
          <w:p w14:paraId="60EFE329">
            <w:pPr>
              <w:spacing w:line="265" w:lineRule="auto"/>
              <w:rPr>
                <w:rFonts w:ascii="Arial"/>
                <w:sz w:val="21"/>
              </w:rPr>
            </w:pPr>
          </w:p>
          <w:p w14:paraId="2270E1EE">
            <w:pPr>
              <w:spacing w:line="265" w:lineRule="auto"/>
              <w:rPr>
                <w:rFonts w:ascii="Arial"/>
                <w:sz w:val="21"/>
              </w:rPr>
            </w:pPr>
          </w:p>
          <w:p w14:paraId="5E76E2CC">
            <w:pPr>
              <w:spacing w:line="265" w:lineRule="auto"/>
              <w:rPr>
                <w:rFonts w:ascii="Arial"/>
                <w:sz w:val="21"/>
              </w:rPr>
            </w:pPr>
          </w:p>
          <w:p w14:paraId="4B543C77">
            <w:pPr>
              <w:spacing w:line="265" w:lineRule="auto"/>
              <w:rPr>
                <w:rFonts w:ascii="Arial"/>
                <w:sz w:val="21"/>
              </w:rPr>
            </w:pPr>
          </w:p>
          <w:p w14:paraId="5781E6DD">
            <w:pPr>
              <w:spacing w:line="265" w:lineRule="auto"/>
              <w:rPr>
                <w:rFonts w:ascii="Arial"/>
                <w:sz w:val="21"/>
              </w:rPr>
            </w:pPr>
          </w:p>
          <w:p w14:paraId="1F4591FC">
            <w:pPr>
              <w:spacing w:line="265" w:lineRule="auto"/>
              <w:rPr>
                <w:rFonts w:ascii="Arial"/>
                <w:sz w:val="21"/>
              </w:rPr>
            </w:pPr>
          </w:p>
          <w:p w14:paraId="59AB1DF2">
            <w:pPr>
              <w:spacing w:line="266" w:lineRule="auto"/>
              <w:rPr>
                <w:rFonts w:ascii="Arial"/>
                <w:sz w:val="21"/>
              </w:rPr>
            </w:pPr>
          </w:p>
          <w:p w14:paraId="46F5035A">
            <w:pPr>
              <w:spacing w:line="266" w:lineRule="auto"/>
              <w:rPr>
                <w:rFonts w:ascii="Arial"/>
                <w:sz w:val="21"/>
              </w:rPr>
            </w:pPr>
          </w:p>
          <w:p w14:paraId="4426B686">
            <w:pPr>
              <w:spacing w:line="266" w:lineRule="auto"/>
              <w:rPr>
                <w:rFonts w:ascii="Arial"/>
                <w:sz w:val="21"/>
              </w:rPr>
            </w:pPr>
          </w:p>
          <w:p w14:paraId="4D91A795">
            <w:pPr>
              <w:pStyle w:val="8"/>
              <w:spacing w:before="58" w:line="184" w:lineRule="auto"/>
              <w:ind w:left="229"/>
            </w:pPr>
            <w:r>
              <w:rPr>
                <w:spacing w:val="-5"/>
              </w:rPr>
              <w:t>31</w:t>
            </w:r>
          </w:p>
        </w:tc>
        <w:tc>
          <w:tcPr>
            <w:tcW w:w="1100" w:type="dxa"/>
            <w:vAlign w:val="top"/>
          </w:tcPr>
          <w:p w14:paraId="0EDE1F10">
            <w:pPr>
              <w:spacing w:line="293" w:lineRule="auto"/>
              <w:rPr>
                <w:rFonts w:ascii="Arial"/>
                <w:sz w:val="21"/>
              </w:rPr>
            </w:pPr>
          </w:p>
          <w:p w14:paraId="3900ED46">
            <w:pPr>
              <w:spacing w:line="293" w:lineRule="auto"/>
              <w:rPr>
                <w:rFonts w:ascii="Arial"/>
                <w:sz w:val="21"/>
              </w:rPr>
            </w:pPr>
          </w:p>
          <w:p w14:paraId="6CA0847C">
            <w:pPr>
              <w:spacing w:line="293" w:lineRule="auto"/>
              <w:rPr>
                <w:rFonts w:ascii="Arial"/>
                <w:sz w:val="21"/>
              </w:rPr>
            </w:pPr>
          </w:p>
          <w:p w14:paraId="2974A29A">
            <w:pPr>
              <w:spacing w:line="294" w:lineRule="auto"/>
              <w:rPr>
                <w:rFonts w:ascii="Arial"/>
                <w:sz w:val="21"/>
              </w:rPr>
            </w:pPr>
          </w:p>
          <w:p w14:paraId="11D3AFA8">
            <w:pPr>
              <w:pStyle w:val="8"/>
              <w:spacing w:before="58" w:line="244" w:lineRule="auto"/>
              <w:ind w:left="59" w:right="55"/>
              <w:jc w:val="both"/>
            </w:pPr>
            <w:r>
              <w:rPr>
                <w:spacing w:val="16"/>
              </w:rPr>
              <w:t>对危险货物</w:t>
            </w:r>
            <w:r>
              <w:t xml:space="preserve"> </w:t>
            </w:r>
            <w:r>
              <w:rPr>
                <w:spacing w:val="16"/>
              </w:rPr>
              <w:t>港口经营人</w:t>
            </w:r>
            <w:r>
              <w:t xml:space="preserve"> </w:t>
            </w:r>
            <w:r>
              <w:rPr>
                <w:spacing w:val="16"/>
              </w:rPr>
              <w:t>装卸、储存</w:t>
            </w:r>
            <w:r>
              <w:t xml:space="preserve"> </w:t>
            </w:r>
            <w:r>
              <w:rPr>
                <w:spacing w:val="16"/>
              </w:rPr>
              <w:t>没有安全技</w:t>
            </w:r>
            <w:r>
              <w:t xml:space="preserve"> </w:t>
            </w:r>
            <w:r>
              <w:rPr>
                <w:spacing w:val="16"/>
              </w:rPr>
              <w:t>术说明书的</w:t>
            </w:r>
            <w:r>
              <w:t xml:space="preserve"> </w:t>
            </w:r>
            <w:r>
              <w:rPr>
                <w:spacing w:val="16"/>
              </w:rPr>
              <w:t>危险货物或</w:t>
            </w:r>
            <w:r>
              <w:t xml:space="preserve"> </w:t>
            </w:r>
            <w:r>
              <w:rPr>
                <w:spacing w:val="16"/>
              </w:rPr>
              <w:t>者外包装没</w:t>
            </w:r>
            <w:r>
              <w:t xml:space="preserve"> </w:t>
            </w:r>
            <w:r>
              <w:rPr>
                <w:spacing w:val="16"/>
              </w:rPr>
              <w:t>有相应标志</w:t>
            </w:r>
            <w:r>
              <w:t xml:space="preserve"> </w:t>
            </w:r>
            <w:r>
              <w:rPr>
                <w:spacing w:val="16"/>
              </w:rPr>
              <w:t>的包装危险</w:t>
            </w:r>
            <w:r>
              <w:t xml:space="preserve"> </w:t>
            </w:r>
            <w:r>
              <w:rPr>
                <w:spacing w:val="16"/>
              </w:rPr>
              <w:t>货物行为的</w:t>
            </w:r>
            <w:r>
              <w:t xml:space="preserve"> </w:t>
            </w:r>
            <w:r>
              <w:rPr>
                <w:spacing w:val="-2"/>
              </w:rPr>
              <w:t>行政处罚</w:t>
            </w:r>
          </w:p>
        </w:tc>
        <w:tc>
          <w:tcPr>
            <w:tcW w:w="1100" w:type="dxa"/>
            <w:vAlign w:val="top"/>
          </w:tcPr>
          <w:p w14:paraId="0204F1A1">
            <w:pPr>
              <w:spacing w:line="262" w:lineRule="auto"/>
              <w:rPr>
                <w:rFonts w:ascii="Arial"/>
                <w:sz w:val="21"/>
              </w:rPr>
            </w:pPr>
          </w:p>
          <w:p w14:paraId="0EBEC08E">
            <w:pPr>
              <w:spacing w:line="262" w:lineRule="auto"/>
              <w:rPr>
                <w:rFonts w:ascii="Arial"/>
                <w:sz w:val="21"/>
              </w:rPr>
            </w:pPr>
          </w:p>
          <w:p w14:paraId="02017B35">
            <w:pPr>
              <w:spacing w:line="262" w:lineRule="auto"/>
              <w:rPr>
                <w:rFonts w:ascii="Arial"/>
                <w:sz w:val="21"/>
              </w:rPr>
            </w:pPr>
          </w:p>
          <w:p w14:paraId="082B3433">
            <w:pPr>
              <w:spacing w:line="262" w:lineRule="auto"/>
              <w:rPr>
                <w:rFonts w:ascii="Arial"/>
                <w:sz w:val="21"/>
              </w:rPr>
            </w:pPr>
          </w:p>
          <w:p w14:paraId="21158CFA">
            <w:pPr>
              <w:spacing w:line="262" w:lineRule="auto"/>
              <w:rPr>
                <w:rFonts w:ascii="Arial"/>
                <w:sz w:val="21"/>
              </w:rPr>
            </w:pPr>
          </w:p>
          <w:p w14:paraId="3D8BE61A">
            <w:pPr>
              <w:spacing w:line="262" w:lineRule="auto"/>
              <w:rPr>
                <w:rFonts w:ascii="Arial"/>
                <w:sz w:val="21"/>
              </w:rPr>
            </w:pPr>
          </w:p>
          <w:p w14:paraId="4A8BD8A3">
            <w:pPr>
              <w:spacing w:line="262" w:lineRule="auto"/>
              <w:rPr>
                <w:rFonts w:ascii="Arial"/>
                <w:sz w:val="21"/>
              </w:rPr>
            </w:pPr>
          </w:p>
          <w:p w14:paraId="10A33563">
            <w:pPr>
              <w:spacing w:line="263" w:lineRule="auto"/>
              <w:rPr>
                <w:rFonts w:ascii="Arial"/>
                <w:sz w:val="21"/>
              </w:rPr>
            </w:pPr>
          </w:p>
          <w:p w14:paraId="6C20EAE7">
            <w:pPr>
              <w:spacing w:line="263" w:lineRule="auto"/>
              <w:rPr>
                <w:rFonts w:ascii="Arial"/>
                <w:sz w:val="21"/>
              </w:rPr>
            </w:pPr>
          </w:p>
          <w:p w14:paraId="70082D79">
            <w:pPr>
              <w:pStyle w:val="8"/>
              <w:spacing w:before="59" w:line="220" w:lineRule="auto"/>
              <w:ind w:left="112"/>
            </w:pPr>
            <w:r>
              <w:rPr>
                <w:spacing w:val="-2"/>
              </w:rPr>
              <w:t>行政处罚</w:t>
            </w:r>
          </w:p>
        </w:tc>
        <w:tc>
          <w:tcPr>
            <w:tcW w:w="8508" w:type="dxa"/>
            <w:vAlign w:val="top"/>
          </w:tcPr>
          <w:p w14:paraId="20CA24F1">
            <w:pPr>
              <w:pStyle w:val="8"/>
              <w:spacing w:before="16" w:line="217" w:lineRule="auto"/>
              <w:ind w:left="484"/>
            </w:pPr>
            <w:r>
              <w:rPr>
                <w:b/>
                <w:bCs/>
                <w:spacing w:val="-3"/>
              </w:rPr>
              <w:t>1.《危险化学品安全管理条例》</w:t>
            </w:r>
          </w:p>
          <w:p w14:paraId="7E8C067B">
            <w:pPr>
              <w:pStyle w:val="8"/>
              <w:spacing w:before="2" w:line="214" w:lineRule="auto"/>
              <w:ind w:left="111" w:right="104" w:firstLine="360"/>
              <w:jc w:val="both"/>
            </w:pPr>
            <w:r>
              <w:t>第十五条  危险化学品生产企业应当提供与其生产的危险化学品相符的化学品安全技术说明书，并在</w:t>
            </w:r>
            <w:r>
              <w:rPr>
                <w:spacing w:val="6"/>
              </w:rPr>
              <w:t xml:space="preserve"> </w:t>
            </w:r>
            <w:r>
              <w:t>危险化学品包装（包括外包装件）上粘贴或者拴挂与包装内危险化学品相符的化学品安全标签。化学品安</w:t>
            </w:r>
            <w:r>
              <w:rPr>
                <w:spacing w:val="6"/>
              </w:rPr>
              <w:t xml:space="preserve"> </w:t>
            </w:r>
            <w:r>
              <w:rPr>
                <w:spacing w:val="-1"/>
              </w:rPr>
              <w:t>全技术说明书和化学品安全标签所载明的内容应当符合国家标准的要</w:t>
            </w:r>
            <w:r>
              <w:rPr>
                <w:spacing w:val="-2"/>
              </w:rPr>
              <w:t>求。</w:t>
            </w:r>
          </w:p>
          <w:p w14:paraId="4CBC7EEC">
            <w:pPr>
              <w:pStyle w:val="8"/>
              <w:spacing w:line="215" w:lineRule="auto"/>
              <w:ind w:left="125" w:right="104" w:firstLine="347"/>
            </w:pPr>
            <w:r>
              <w:t>危险化学品生产企业发现其生产的危险化学品有新的危险特性的，应当立即公告，并及时修订其化学</w:t>
            </w:r>
            <w:r>
              <w:rPr>
                <w:spacing w:val="4"/>
              </w:rPr>
              <w:t xml:space="preserve"> </w:t>
            </w:r>
            <w:r>
              <w:rPr>
                <w:spacing w:val="-3"/>
              </w:rPr>
              <w:t>品安全技术说明书和化学品安全标签。</w:t>
            </w:r>
          </w:p>
          <w:p w14:paraId="15F22731">
            <w:pPr>
              <w:pStyle w:val="8"/>
              <w:spacing w:line="215" w:lineRule="auto"/>
              <w:ind w:left="114" w:right="104" w:firstLine="356"/>
            </w:pPr>
            <w:r>
              <w:t>第三十七条  危险化学品经营企业不得向未经许可从事危险化学品生产、经营活动的企业采购危险化</w:t>
            </w:r>
            <w:r>
              <w:rPr>
                <w:spacing w:val="6"/>
              </w:rPr>
              <w:t xml:space="preserve"> </w:t>
            </w:r>
            <w:r>
              <w:rPr>
                <w:spacing w:val="-1"/>
              </w:rPr>
              <w:t>学品，不得经营没有化学品安全技术说明书或者化学品安全标签的危险化学</w:t>
            </w:r>
            <w:r>
              <w:rPr>
                <w:spacing w:val="-2"/>
              </w:rPr>
              <w:t>品。</w:t>
            </w:r>
          </w:p>
          <w:p w14:paraId="6154D958">
            <w:pPr>
              <w:pStyle w:val="8"/>
              <w:spacing w:before="3" w:line="215" w:lineRule="auto"/>
              <w:ind w:left="112" w:right="46" w:firstLine="358"/>
            </w:pPr>
            <w:r>
              <w:t>第七十八条第一款第（六）项  有下列情形之一的，由安全生产</w:t>
            </w:r>
            <w:r>
              <w:rPr>
                <w:spacing w:val="-1"/>
              </w:rPr>
              <w:t>监督管理部门责令改正，可以处</w:t>
            </w:r>
            <w:r>
              <w:rPr>
                <w:spacing w:val="-36"/>
              </w:rPr>
              <w:t xml:space="preserve"> </w:t>
            </w:r>
            <w:r>
              <w:rPr>
                <w:spacing w:val="-1"/>
              </w:rPr>
              <w:t>5</w:t>
            </w:r>
            <w:r>
              <w:rPr>
                <w:spacing w:val="-32"/>
              </w:rPr>
              <w:t xml:space="preserve"> </w:t>
            </w:r>
            <w:r>
              <w:rPr>
                <w:spacing w:val="-1"/>
              </w:rPr>
              <w:t>万</w:t>
            </w:r>
            <w:r>
              <w:t xml:space="preserve"> </w:t>
            </w:r>
            <w:r>
              <w:rPr>
                <w:spacing w:val="-2"/>
              </w:rPr>
              <w:t>元以下的罚款；拒不改正的，处</w:t>
            </w:r>
            <w:r>
              <w:rPr>
                <w:spacing w:val="-33"/>
              </w:rPr>
              <w:t xml:space="preserve"> </w:t>
            </w:r>
            <w:r>
              <w:rPr>
                <w:spacing w:val="-2"/>
              </w:rPr>
              <w:t>5</w:t>
            </w:r>
            <w:r>
              <w:rPr>
                <w:spacing w:val="-34"/>
              </w:rPr>
              <w:t xml:space="preserve"> </w:t>
            </w:r>
            <w:r>
              <w:rPr>
                <w:spacing w:val="-2"/>
              </w:rPr>
              <w:t>万元以上</w:t>
            </w:r>
            <w:r>
              <w:rPr>
                <w:spacing w:val="-24"/>
              </w:rPr>
              <w:t xml:space="preserve"> </w:t>
            </w:r>
            <w:r>
              <w:rPr>
                <w:spacing w:val="-2"/>
              </w:rPr>
              <w:t>10</w:t>
            </w:r>
            <w:r>
              <w:rPr>
                <w:spacing w:val="-37"/>
              </w:rPr>
              <w:t xml:space="preserve"> </w:t>
            </w:r>
            <w:r>
              <w:rPr>
                <w:spacing w:val="-2"/>
              </w:rPr>
              <w:t>万元以下的罚款；情节严重的，责令停产停业整顿</w:t>
            </w:r>
            <w:r>
              <w:rPr>
                <w:spacing w:val="5"/>
              </w:rPr>
              <w:t>：（</w:t>
            </w:r>
            <w:r>
              <w:rPr>
                <w:spacing w:val="-2"/>
              </w:rPr>
              <w:t>六）</w:t>
            </w:r>
            <w:r>
              <w:t xml:space="preserve"> </w:t>
            </w:r>
            <w:r>
              <w:rPr>
                <w:spacing w:val="-1"/>
              </w:rPr>
              <w:t>危险化学品经营企业经营没有化学品安全技术说明书和化学品</w:t>
            </w:r>
            <w:r>
              <w:rPr>
                <w:spacing w:val="-2"/>
              </w:rPr>
              <w:t>安全标签的危险化学品的；</w:t>
            </w:r>
          </w:p>
          <w:p w14:paraId="03723088">
            <w:pPr>
              <w:pStyle w:val="8"/>
              <w:spacing w:before="3" w:line="214" w:lineRule="auto"/>
              <w:ind w:left="111" w:right="104" w:firstLine="359"/>
            </w:pPr>
            <w:r>
              <w:t>第七十八条第二款  从事危险化学品仓储经营的港口经营人有前款规定情形的，由港口行政管理部门</w:t>
            </w:r>
            <w:r>
              <w:rPr>
                <w:spacing w:val="6"/>
              </w:rPr>
              <w:t xml:space="preserve"> </w:t>
            </w:r>
            <w:r>
              <w:t>依照前款规定予以处罚。储存剧毒化学品、易制爆危险化学品的专用仓库未按照国家有关规定设置相应的</w:t>
            </w:r>
            <w:r>
              <w:rPr>
                <w:spacing w:val="5"/>
              </w:rPr>
              <w:t xml:space="preserve"> </w:t>
            </w:r>
            <w:r>
              <w:rPr>
                <w:spacing w:val="-2"/>
              </w:rPr>
              <w:t>技术防范设施的，由公安机关依照前款规定予以处罚。</w:t>
            </w:r>
          </w:p>
          <w:p w14:paraId="2D4AC119">
            <w:pPr>
              <w:pStyle w:val="8"/>
              <w:spacing w:line="216"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3A6AE716">
            <w:pPr>
              <w:pStyle w:val="8"/>
              <w:spacing w:before="1" w:line="215" w:lineRule="auto"/>
              <w:ind w:left="111" w:right="104" w:firstLine="359"/>
            </w:pPr>
            <w:r>
              <w:t>第三十七条第一款  危险货物港口作业委托人应当向危险货物港口经营人提供委托人身份信息和完整</w:t>
            </w:r>
            <w:r>
              <w:rPr>
                <w:spacing w:val="6"/>
              </w:rPr>
              <w:t xml:space="preserve"> </w:t>
            </w:r>
            <w:r>
              <w:t>准确的危险货物品名、联合国编号、危险性分类、包装、数量、应急措施及安全技术说明书等资料；危险</w:t>
            </w:r>
            <w:r>
              <w:rPr>
                <w:spacing w:val="5"/>
              </w:rPr>
              <w:t xml:space="preserve"> </w:t>
            </w:r>
            <w:r>
              <w:t>性质不明的危险货物，应当提供具有相应资质的专业机构</w:t>
            </w:r>
            <w:r>
              <w:rPr>
                <w:spacing w:val="-1"/>
              </w:rPr>
              <w:t>出具的危险货物危险特性鉴定技术报告。法律、</w:t>
            </w:r>
            <w:r>
              <w:t xml:space="preserve"> 行政法规规定必须办理有关手续后方可进行水路运输的危险货物，还应当办理相关手续，并向港口经营人</w:t>
            </w:r>
            <w:r>
              <w:rPr>
                <w:spacing w:val="5"/>
              </w:rPr>
              <w:t xml:space="preserve"> </w:t>
            </w:r>
            <w:r>
              <w:rPr>
                <w:spacing w:val="-4"/>
              </w:rPr>
              <w:t>提供相关证明材料。</w:t>
            </w:r>
          </w:p>
          <w:p w14:paraId="53D491B2">
            <w:pPr>
              <w:pStyle w:val="8"/>
              <w:spacing w:before="3" w:line="209" w:lineRule="auto"/>
              <w:ind w:left="111" w:right="104" w:firstLine="359"/>
              <w:jc w:val="both"/>
            </w:pPr>
            <w:r>
              <w:t>第七十八条第一款第（四）项  危险货物港口经营人有下列情形之一的，由所在地港口行政管理部门</w:t>
            </w:r>
            <w:r>
              <w:rPr>
                <w:spacing w:val="6"/>
              </w:rPr>
              <w:t xml:space="preserve"> </w:t>
            </w:r>
            <w:r>
              <w:t>责令改正，可以处五万元以下的罚款；逾期未改正的，处五万元以上十万元以下的罚款；情节严重的，责</w:t>
            </w:r>
            <w:r>
              <w:rPr>
                <w:spacing w:val="5"/>
              </w:rPr>
              <w:t xml:space="preserve"> </w:t>
            </w:r>
            <w:r>
              <w:t>令停产停业整顿</w:t>
            </w:r>
            <w:r>
              <w:rPr>
                <w:spacing w:val="2"/>
              </w:rPr>
              <w:t>：（</w:t>
            </w:r>
            <w:r>
              <w:t>四）装卸、储存没有安全技术说明书的危险货物或者外包装没有相应标志的包装危险</w:t>
            </w:r>
            <w:r>
              <w:rPr>
                <w:spacing w:val="1"/>
              </w:rPr>
              <w:t xml:space="preserve"> </w:t>
            </w:r>
            <w:r>
              <w:rPr>
                <w:spacing w:val="-10"/>
              </w:rPr>
              <w:t>货物的；</w:t>
            </w:r>
          </w:p>
        </w:tc>
        <w:tc>
          <w:tcPr>
            <w:tcW w:w="1010" w:type="dxa"/>
            <w:vAlign w:val="top"/>
          </w:tcPr>
          <w:p w14:paraId="6107BCC7">
            <w:pPr>
              <w:spacing w:line="249" w:lineRule="auto"/>
              <w:rPr>
                <w:rFonts w:ascii="Arial"/>
                <w:sz w:val="21"/>
              </w:rPr>
            </w:pPr>
          </w:p>
          <w:p w14:paraId="2C35B52A">
            <w:pPr>
              <w:spacing w:line="249" w:lineRule="auto"/>
              <w:rPr>
                <w:rFonts w:ascii="Arial"/>
                <w:sz w:val="21"/>
              </w:rPr>
            </w:pPr>
          </w:p>
          <w:p w14:paraId="7FF54935">
            <w:pPr>
              <w:spacing w:line="250" w:lineRule="auto"/>
              <w:rPr>
                <w:rFonts w:ascii="Arial"/>
                <w:sz w:val="21"/>
              </w:rPr>
            </w:pPr>
          </w:p>
          <w:p w14:paraId="50B62434">
            <w:pPr>
              <w:spacing w:line="250" w:lineRule="auto"/>
              <w:rPr>
                <w:rFonts w:ascii="Arial"/>
                <w:sz w:val="21"/>
              </w:rPr>
            </w:pPr>
          </w:p>
          <w:p w14:paraId="1D3B821C">
            <w:pPr>
              <w:spacing w:line="250" w:lineRule="auto"/>
              <w:rPr>
                <w:rFonts w:ascii="Arial"/>
                <w:sz w:val="21"/>
              </w:rPr>
            </w:pPr>
          </w:p>
          <w:p w14:paraId="19A9CE45">
            <w:pPr>
              <w:spacing w:line="250" w:lineRule="auto"/>
              <w:rPr>
                <w:rFonts w:ascii="Arial"/>
                <w:sz w:val="21"/>
              </w:rPr>
            </w:pPr>
          </w:p>
          <w:p w14:paraId="1BE1B05C">
            <w:pPr>
              <w:spacing w:line="250" w:lineRule="auto"/>
              <w:rPr>
                <w:rFonts w:ascii="Arial"/>
                <w:sz w:val="21"/>
              </w:rPr>
            </w:pPr>
          </w:p>
          <w:p w14:paraId="03B940F1">
            <w:pPr>
              <w:spacing w:line="250" w:lineRule="auto"/>
              <w:rPr>
                <w:rFonts w:ascii="Arial"/>
                <w:sz w:val="21"/>
              </w:rPr>
            </w:pPr>
          </w:p>
          <w:p w14:paraId="48DF5898">
            <w:pPr>
              <w:spacing w:line="250" w:lineRule="auto"/>
              <w:rPr>
                <w:rFonts w:ascii="Arial"/>
                <w:sz w:val="21"/>
              </w:rPr>
            </w:pPr>
          </w:p>
          <w:p w14:paraId="6D4F6D60">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3521F6F6">
            <w:pPr>
              <w:pStyle w:val="8"/>
              <w:spacing w:before="59" w:line="234" w:lineRule="auto"/>
              <w:ind w:left="530" w:right="104" w:hanging="413"/>
              <w:rPr>
                <w:rFonts w:hint="eastAsia"/>
                <w:spacing w:val="-12"/>
                <w:lang w:eastAsia="zh-CN"/>
              </w:rPr>
            </w:pPr>
          </w:p>
          <w:p w14:paraId="7BB3E701">
            <w:pPr>
              <w:pStyle w:val="8"/>
              <w:spacing w:before="59" w:line="234" w:lineRule="auto"/>
              <w:ind w:left="530" w:right="104" w:hanging="413"/>
              <w:rPr>
                <w:rFonts w:hint="eastAsia"/>
                <w:spacing w:val="-12"/>
                <w:lang w:eastAsia="zh-CN"/>
              </w:rPr>
            </w:pPr>
          </w:p>
          <w:p w14:paraId="014C5334">
            <w:pPr>
              <w:pStyle w:val="8"/>
              <w:spacing w:before="59" w:line="234" w:lineRule="auto"/>
              <w:ind w:left="530" w:right="104" w:hanging="413"/>
              <w:rPr>
                <w:rFonts w:hint="eastAsia"/>
                <w:spacing w:val="-12"/>
                <w:lang w:eastAsia="zh-CN"/>
              </w:rPr>
            </w:pPr>
          </w:p>
          <w:p w14:paraId="1FCD3F20">
            <w:pPr>
              <w:pStyle w:val="8"/>
              <w:spacing w:before="59" w:line="234" w:lineRule="auto"/>
              <w:ind w:left="530" w:right="104" w:hanging="413"/>
              <w:rPr>
                <w:rFonts w:hint="eastAsia"/>
                <w:spacing w:val="-12"/>
                <w:lang w:eastAsia="zh-CN"/>
              </w:rPr>
            </w:pPr>
          </w:p>
          <w:p w14:paraId="1D8F110B">
            <w:pPr>
              <w:pStyle w:val="8"/>
              <w:spacing w:before="59" w:line="234" w:lineRule="auto"/>
              <w:ind w:left="530" w:right="104" w:hanging="413"/>
              <w:rPr>
                <w:rFonts w:hint="eastAsia"/>
                <w:spacing w:val="-12"/>
                <w:lang w:eastAsia="zh-CN"/>
              </w:rPr>
            </w:pPr>
          </w:p>
          <w:p w14:paraId="2E1104A8">
            <w:pPr>
              <w:pStyle w:val="8"/>
              <w:spacing w:before="59" w:line="234" w:lineRule="auto"/>
              <w:ind w:left="530" w:right="104" w:hanging="413"/>
              <w:rPr>
                <w:rFonts w:hint="eastAsia"/>
                <w:spacing w:val="-12"/>
                <w:lang w:eastAsia="zh-CN"/>
              </w:rPr>
            </w:pPr>
          </w:p>
          <w:p w14:paraId="742B4ECB">
            <w:pPr>
              <w:pStyle w:val="8"/>
              <w:spacing w:before="59" w:line="234" w:lineRule="auto"/>
              <w:ind w:left="530" w:right="104" w:hanging="413"/>
              <w:rPr>
                <w:rFonts w:hint="eastAsia"/>
                <w:spacing w:val="-12"/>
                <w:lang w:eastAsia="zh-CN"/>
              </w:rPr>
            </w:pPr>
          </w:p>
          <w:p w14:paraId="5C3D6D22">
            <w:pPr>
              <w:pStyle w:val="8"/>
              <w:spacing w:before="59" w:line="234" w:lineRule="auto"/>
              <w:ind w:left="530" w:right="104" w:hanging="413"/>
              <w:rPr>
                <w:rFonts w:hint="eastAsia"/>
                <w:spacing w:val="-12"/>
                <w:lang w:eastAsia="zh-CN"/>
              </w:rPr>
            </w:pPr>
          </w:p>
          <w:p w14:paraId="4D2E25A9">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10F6398A">
            <w:pPr>
              <w:spacing w:line="266" w:lineRule="auto"/>
              <w:rPr>
                <w:rFonts w:ascii="Arial"/>
                <w:sz w:val="21"/>
              </w:rPr>
            </w:pPr>
          </w:p>
          <w:p w14:paraId="4BFD945C">
            <w:pPr>
              <w:spacing w:line="266" w:lineRule="auto"/>
              <w:rPr>
                <w:rFonts w:ascii="Arial"/>
                <w:sz w:val="21"/>
              </w:rPr>
            </w:pPr>
          </w:p>
          <w:p w14:paraId="754F872F">
            <w:pPr>
              <w:spacing w:line="266" w:lineRule="auto"/>
              <w:rPr>
                <w:rFonts w:ascii="Arial"/>
                <w:sz w:val="21"/>
              </w:rPr>
            </w:pPr>
          </w:p>
          <w:p w14:paraId="1DD8E3FD">
            <w:pPr>
              <w:spacing w:line="266" w:lineRule="auto"/>
              <w:rPr>
                <w:rFonts w:ascii="Arial"/>
                <w:sz w:val="21"/>
              </w:rPr>
            </w:pPr>
          </w:p>
          <w:p w14:paraId="5A40A613">
            <w:pPr>
              <w:spacing w:line="266" w:lineRule="auto"/>
              <w:rPr>
                <w:rFonts w:ascii="Arial"/>
                <w:sz w:val="21"/>
              </w:rPr>
            </w:pPr>
          </w:p>
          <w:p w14:paraId="55E54F10">
            <w:pPr>
              <w:spacing w:line="266" w:lineRule="auto"/>
              <w:rPr>
                <w:rFonts w:ascii="Arial"/>
                <w:sz w:val="21"/>
              </w:rPr>
            </w:pPr>
          </w:p>
          <w:p w14:paraId="6D9E724E">
            <w:pPr>
              <w:spacing w:line="266" w:lineRule="auto"/>
              <w:rPr>
                <w:rFonts w:ascii="Arial"/>
                <w:sz w:val="21"/>
              </w:rPr>
            </w:pPr>
          </w:p>
          <w:p w14:paraId="3D1FB6D2">
            <w:pPr>
              <w:spacing w:line="267" w:lineRule="auto"/>
              <w:rPr>
                <w:rFonts w:ascii="Arial"/>
                <w:sz w:val="21"/>
              </w:rPr>
            </w:pPr>
          </w:p>
          <w:p w14:paraId="6D60E3EB">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5FF48C28">
      <w:pPr>
        <w:pStyle w:val="2"/>
      </w:pPr>
    </w:p>
    <w:p w14:paraId="04C5A667">
      <w:pPr>
        <w:sectPr>
          <w:footerReference r:id="rId143" w:type="default"/>
          <w:pgSz w:w="16839" w:h="11906"/>
          <w:pgMar w:top="1012" w:right="1034" w:bottom="967" w:left="1043" w:header="0" w:footer="768" w:gutter="0"/>
          <w:cols w:space="720" w:num="1"/>
        </w:sectPr>
      </w:pPr>
    </w:p>
    <w:p w14:paraId="05A21879">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39F9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622" w:type="dxa"/>
            <w:vMerge w:val="restart"/>
            <w:tcBorders>
              <w:bottom w:val="nil"/>
            </w:tcBorders>
            <w:vAlign w:val="top"/>
          </w:tcPr>
          <w:p w14:paraId="03F55D69">
            <w:pPr>
              <w:pStyle w:val="8"/>
              <w:spacing w:before="259" w:line="221" w:lineRule="auto"/>
              <w:ind w:left="134"/>
            </w:pPr>
            <w:r>
              <w:rPr>
                <w:b/>
                <w:bCs/>
                <w:spacing w:val="-4"/>
              </w:rPr>
              <w:t>序号</w:t>
            </w:r>
          </w:p>
        </w:tc>
        <w:tc>
          <w:tcPr>
            <w:tcW w:w="1100" w:type="dxa"/>
            <w:vMerge w:val="restart"/>
            <w:tcBorders>
              <w:bottom w:val="nil"/>
            </w:tcBorders>
            <w:vAlign w:val="top"/>
          </w:tcPr>
          <w:p w14:paraId="685A4D0D">
            <w:pPr>
              <w:pStyle w:val="8"/>
              <w:spacing w:before="260" w:line="220" w:lineRule="auto"/>
              <w:ind w:left="189"/>
            </w:pPr>
            <w:r>
              <w:rPr>
                <w:b/>
                <w:bCs/>
                <w:spacing w:val="-4"/>
              </w:rPr>
              <w:t>事项名称</w:t>
            </w:r>
          </w:p>
        </w:tc>
        <w:tc>
          <w:tcPr>
            <w:tcW w:w="1100" w:type="dxa"/>
            <w:vMerge w:val="restart"/>
            <w:tcBorders>
              <w:bottom w:val="nil"/>
            </w:tcBorders>
            <w:vAlign w:val="top"/>
          </w:tcPr>
          <w:p w14:paraId="498E6832">
            <w:pPr>
              <w:pStyle w:val="8"/>
              <w:spacing w:before="260" w:line="219" w:lineRule="auto"/>
              <w:ind w:left="191"/>
            </w:pPr>
            <w:r>
              <w:rPr>
                <w:b/>
                <w:bCs/>
                <w:spacing w:val="-4"/>
              </w:rPr>
              <w:t>职权类型</w:t>
            </w:r>
          </w:p>
        </w:tc>
        <w:tc>
          <w:tcPr>
            <w:tcW w:w="8508" w:type="dxa"/>
            <w:vMerge w:val="restart"/>
            <w:tcBorders>
              <w:bottom w:val="nil"/>
            </w:tcBorders>
            <w:vAlign w:val="top"/>
          </w:tcPr>
          <w:p w14:paraId="6A6C3EA6">
            <w:pPr>
              <w:pStyle w:val="8"/>
              <w:spacing w:before="259" w:line="219" w:lineRule="auto"/>
              <w:ind w:left="3900"/>
            </w:pPr>
            <w:r>
              <w:rPr>
                <w:b/>
                <w:bCs/>
                <w:spacing w:val="-5"/>
              </w:rPr>
              <w:t>实施依据</w:t>
            </w:r>
          </w:p>
        </w:tc>
        <w:tc>
          <w:tcPr>
            <w:tcW w:w="3425" w:type="dxa"/>
            <w:gridSpan w:val="3"/>
            <w:vAlign w:val="top"/>
          </w:tcPr>
          <w:p w14:paraId="3DE52003">
            <w:pPr>
              <w:pStyle w:val="8"/>
              <w:spacing w:before="85" w:line="220" w:lineRule="auto"/>
              <w:ind w:left="1358"/>
            </w:pPr>
            <w:r>
              <w:rPr>
                <w:b/>
                <w:bCs/>
                <w:spacing w:val="-5"/>
              </w:rPr>
              <w:t>实施主体</w:t>
            </w:r>
          </w:p>
        </w:tc>
      </w:tr>
      <w:tr w14:paraId="75358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1533A561">
            <w:pPr>
              <w:rPr>
                <w:rFonts w:ascii="Arial"/>
                <w:sz w:val="21"/>
              </w:rPr>
            </w:pPr>
          </w:p>
        </w:tc>
        <w:tc>
          <w:tcPr>
            <w:tcW w:w="1100" w:type="dxa"/>
            <w:vMerge w:val="continue"/>
            <w:tcBorders>
              <w:top w:val="nil"/>
            </w:tcBorders>
            <w:vAlign w:val="top"/>
          </w:tcPr>
          <w:p w14:paraId="77628DC6">
            <w:pPr>
              <w:rPr>
                <w:rFonts w:ascii="Arial"/>
                <w:sz w:val="21"/>
              </w:rPr>
            </w:pPr>
          </w:p>
        </w:tc>
        <w:tc>
          <w:tcPr>
            <w:tcW w:w="1100" w:type="dxa"/>
            <w:vMerge w:val="continue"/>
            <w:tcBorders>
              <w:top w:val="nil"/>
            </w:tcBorders>
            <w:vAlign w:val="top"/>
          </w:tcPr>
          <w:p w14:paraId="4BE14B5A">
            <w:pPr>
              <w:rPr>
                <w:rFonts w:ascii="Arial"/>
                <w:sz w:val="21"/>
              </w:rPr>
            </w:pPr>
          </w:p>
        </w:tc>
        <w:tc>
          <w:tcPr>
            <w:tcW w:w="8508" w:type="dxa"/>
            <w:vMerge w:val="continue"/>
            <w:tcBorders>
              <w:top w:val="nil"/>
            </w:tcBorders>
            <w:vAlign w:val="top"/>
          </w:tcPr>
          <w:p w14:paraId="2532FD5D">
            <w:pPr>
              <w:rPr>
                <w:rFonts w:ascii="Arial"/>
                <w:sz w:val="21"/>
              </w:rPr>
            </w:pPr>
          </w:p>
        </w:tc>
        <w:tc>
          <w:tcPr>
            <w:tcW w:w="1010" w:type="dxa"/>
            <w:vAlign w:val="top"/>
          </w:tcPr>
          <w:p w14:paraId="7AE2042C">
            <w:pPr>
              <w:pStyle w:val="8"/>
              <w:spacing w:before="81" w:line="219" w:lineRule="auto"/>
              <w:ind w:left="155"/>
            </w:pPr>
            <w:r>
              <w:rPr>
                <w:b/>
                <w:bCs/>
                <w:spacing w:val="-5"/>
              </w:rPr>
              <w:t>责任部门</w:t>
            </w:r>
          </w:p>
        </w:tc>
        <w:tc>
          <w:tcPr>
            <w:tcW w:w="1401" w:type="dxa"/>
            <w:vAlign w:val="top"/>
          </w:tcPr>
          <w:p w14:paraId="712B509F">
            <w:pPr>
              <w:pStyle w:val="8"/>
              <w:spacing w:before="81" w:line="219" w:lineRule="auto"/>
              <w:ind w:left="164"/>
            </w:pPr>
            <w:r>
              <w:rPr>
                <w:b/>
                <w:bCs/>
                <w:spacing w:val="-3"/>
              </w:rPr>
              <w:t>第一责任层级</w:t>
            </w:r>
          </w:p>
        </w:tc>
        <w:tc>
          <w:tcPr>
            <w:tcW w:w="1014" w:type="dxa"/>
            <w:vAlign w:val="top"/>
          </w:tcPr>
          <w:p w14:paraId="24F73DAD">
            <w:pPr>
              <w:pStyle w:val="8"/>
              <w:spacing w:before="81" w:line="219" w:lineRule="auto"/>
              <w:ind w:left="150"/>
            </w:pPr>
            <w:r>
              <w:rPr>
                <w:b/>
                <w:bCs/>
                <w:spacing w:val="-4"/>
              </w:rPr>
              <w:t>承办机构</w:t>
            </w:r>
          </w:p>
        </w:tc>
      </w:tr>
      <w:tr w14:paraId="0DE49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6" w:hRule="atLeast"/>
        </w:trPr>
        <w:tc>
          <w:tcPr>
            <w:tcW w:w="622" w:type="dxa"/>
            <w:vAlign w:val="top"/>
          </w:tcPr>
          <w:p w14:paraId="4CC90A94">
            <w:pPr>
              <w:spacing w:line="245" w:lineRule="auto"/>
              <w:rPr>
                <w:rFonts w:ascii="Arial"/>
                <w:sz w:val="21"/>
              </w:rPr>
            </w:pPr>
          </w:p>
          <w:p w14:paraId="213EB006">
            <w:pPr>
              <w:spacing w:line="245" w:lineRule="auto"/>
              <w:rPr>
                <w:rFonts w:ascii="Arial"/>
                <w:sz w:val="21"/>
              </w:rPr>
            </w:pPr>
          </w:p>
          <w:p w14:paraId="0FC034F4">
            <w:pPr>
              <w:spacing w:line="246" w:lineRule="auto"/>
              <w:rPr>
                <w:rFonts w:ascii="Arial"/>
                <w:sz w:val="21"/>
              </w:rPr>
            </w:pPr>
          </w:p>
          <w:p w14:paraId="03CDE186">
            <w:pPr>
              <w:spacing w:line="246" w:lineRule="auto"/>
              <w:rPr>
                <w:rFonts w:ascii="Arial"/>
                <w:sz w:val="21"/>
              </w:rPr>
            </w:pPr>
          </w:p>
          <w:p w14:paraId="681658CB">
            <w:pPr>
              <w:spacing w:line="246" w:lineRule="auto"/>
              <w:rPr>
                <w:rFonts w:ascii="Arial"/>
                <w:sz w:val="21"/>
              </w:rPr>
            </w:pPr>
          </w:p>
          <w:p w14:paraId="5EE03809">
            <w:pPr>
              <w:spacing w:line="246" w:lineRule="auto"/>
              <w:rPr>
                <w:rFonts w:ascii="Arial"/>
                <w:sz w:val="21"/>
              </w:rPr>
            </w:pPr>
          </w:p>
          <w:p w14:paraId="12F90A8F">
            <w:pPr>
              <w:spacing w:line="246" w:lineRule="auto"/>
              <w:rPr>
                <w:rFonts w:ascii="Arial"/>
                <w:sz w:val="21"/>
              </w:rPr>
            </w:pPr>
          </w:p>
          <w:p w14:paraId="44D6647B">
            <w:pPr>
              <w:spacing w:line="246" w:lineRule="auto"/>
              <w:rPr>
                <w:rFonts w:ascii="Arial"/>
                <w:sz w:val="21"/>
              </w:rPr>
            </w:pPr>
          </w:p>
          <w:p w14:paraId="5A09D3BC">
            <w:pPr>
              <w:spacing w:line="246" w:lineRule="auto"/>
              <w:rPr>
                <w:rFonts w:ascii="Arial"/>
                <w:sz w:val="21"/>
              </w:rPr>
            </w:pPr>
          </w:p>
          <w:p w14:paraId="743353E0">
            <w:pPr>
              <w:spacing w:line="246" w:lineRule="auto"/>
              <w:rPr>
                <w:rFonts w:ascii="Arial"/>
                <w:sz w:val="21"/>
              </w:rPr>
            </w:pPr>
          </w:p>
          <w:p w14:paraId="32E559F8">
            <w:pPr>
              <w:pStyle w:val="8"/>
              <w:spacing w:before="58" w:line="183" w:lineRule="auto"/>
              <w:ind w:left="229"/>
            </w:pPr>
            <w:r>
              <w:rPr>
                <w:spacing w:val="-5"/>
              </w:rPr>
              <w:t>32</w:t>
            </w:r>
          </w:p>
        </w:tc>
        <w:tc>
          <w:tcPr>
            <w:tcW w:w="1100" w:type="dxa"/>
            <w:vAlign w:val="top"/>
          </w:tcPr>
          <w:p w14:paraId="625C63B4">
            <w:pPr>
              <w:spacing w:line="272" w:lineRule="auto"/>
              <w:rPr>
                <w:rFonts w:ascii="Arial"/>
                <w:sz w:val="21"/>
              </w:rPr>
            </w:pPr>
          </w:p>
          <w:p w14:paraId="68D4C95A">
            <w:pPr>
              <w:spacing w:line="272" w:lineRule="auto"/>
              <w:rPr>
                <w:rFonts w:ascii="Arial"/>
                <w:sz w:val="21"/>
              </w:rPr>
            </w:pPr>
          </w:p>
          <w:p w14:paraId="27439D78">
            <w:pPr>
              <w:spacing w:line="272" w:lineRule="auto"/>
              <w:rPr>
                <w:rFonts w:ascii="Arial"/>
                <w:sz w:val="21"/>
              </w:rPr>
            </w:pPr>
          </w:p>
          <w:p w14:paraId="7368EE8C">
            <w:pPr>
              <w:spacing w:line="273" w:lineRule="auto"/>
              <w:rPr>
                <w:rFonts w:ascii="Arial"/>
                <w:sz w:val="21"/>
              </w:rPr>
            </w:pPr>
          </w:p>
          <w:p w14:paraId="0A6E679B">
            <w:pPr>
              <w:spacing w:line="273" w:lineRule="auto"/>
              <w:rPr>
                <w:rFonts w:ascii="Arial"/>
                <w:sz w:val="21"/>
              </w:rPr>
            </w:pPr>
          </w:p>
          <w:p w14:paraId="6C3D73EE">
            <w:pPr>
              <w:pStyle w:val="8"/>
              <w:spacing w:before="59" w:line="244" w:lineRule="auto"/>
              <w:ind w:left="59" w:right="55"/>
              <w:jc w:val="both"/>
            </w:pPr>
            <w:r>
              <w:rPr>
                <w:spacing w:val="16"/>
              </w:rPr>
              <w:t>对在港口进</w:t>
            </w:r>
            <w:r>
              <w:t xml:space="preserve"> </w:t>
            </w:r>
            <w:r>
              <w:rPr>
                <w:spacing w:val="16"/>
              </w:rPr>
              <w:t>行可能危及</w:t>
            </w:r>
            <w:r>
              <w:t xml:space="preserve"> </w:t>
            </w:r>
            <w:r>
              <w:rPr>
                <w:spacing w:val="16"/>
              </w:rPr>
              <w:t>危险货物管</w:t>
            </w:r>
            <w:r>
              <w:t xml:space="preserve"> </w:t>
            </w:r>
            <w:r>
              <w:rPr>
                <w:spacing w:val="16"/>
              </w:rPr>
              <w:t>道安全的施</w:t>
            </w:r>
            <w:r>
              <w:t xml:space="preserve"> </w:t>
            </w:r>
            <w:r>
              <w:rPr>
                <w:spacing w:val="16"/>
              </w:rPr>
              <w:t>工作业未按</w:t>
            </w:r>
            <w:r>
              <w:t xml:space="preserve"> </w:t>
            </w:r>
            <w:r>
              <w:rPr>
                <w:spacing w:val="16"/>
              </w:rPr>
              <w:t>照规定书面</w:t>
            </w:r>
            <w:r>
              <w:t xml:space="preserve"> </w:t>
            </w:r>
            <w:r>
              <w:rPr>
                <w:spacing w:val="16"/>
              </w:rPr>
              <w:t>通知管道所</w:t>
            </w:r>
            <w:r>
              <w:t xml:space="preserve"> </w:t>
            </w:r>
            <w:r>
              <w:rPr>
                <w:spacing w:val="16"/>
              </w:rPr>
              <w:t>属单位等行</w:t>
            </w:r>
            <w:r>
              <w:t xml:space="preserve"> </w:t>
            </w:r>
            <w:r>
              <w:rPr>
                <w:spacing w:val="16"/>
              </w:rPr>
              <w:t>为的行政处</w:t>
            </w:r>
            <w:r>
              <w:t xml:space="preserve"> 罚</w:t>
            </w:r>
          </w:p>
        </w:tc>
        <w:tc>
          <w:tcPr>
            <w:tcW w:w="1100" w:type="dxa"/>
            <w:vAlign w:val="top"/>
          </w:tcPr>
          <w:p w14:paraId="2A794DAE">
            <w:pPr>
              <w:spacing w:line="242" w:lineRule="auto"/>
              <w:rPr>
                <w:rFonts w:ascii="Arial"/>
                <w:sz w:val="21"/>
              </w:rPr>
            </w:pPr>
          </w:p>
          <w:p w14:paraId="15D2C2C5">
            <w:pPr>
              <w:spacing w:line="243" w:lineRule="auto"/>
              <w:rPr>
                <w:rFonts w:ascii="Arial"/>
                <w:sz w:val="21"/>
              </w:rPr>
            </w:pPr>
          </w:p>
          <w:p w14:paraId="74E0C686">
            <w:pPr>
              <w:spacing w:line="243" w:lineRule="auto"/>
              <w:rPr>
                <w:rFonts w:ascii="Arial"/>
                <w:sz w:val="21"/>
              </w:rPr>
            </w:pPr>
          </w:p>
          <w:p w14:paraId="1C76E019">
            <w:pPr>
              <w:spacing w:line="243" w:lineRule="auto"/>
              <w:rPr>
                <w:rFonts w:ascii="Arial"/>
                <w:sz w:val="21"/>
              </w:rPr>
            </w:pPr>
          </w:p>
          <w:p w14:paraId="4788BB53">
            <w:pPr>
              <w:spacing w:line="243" w:lineRule="auto"/>
              <w:rPr>
                <w:rFonts w:ascii="Arial"/>
                <w:sz w:val="21"/>
              </w:rPr>
            </w:pPr>
          </w:p>
          <w:p w14:paraId="0B1CD352">
            <w:pPr>
              <w:spacing w:line="243" w:lineRule="auto"/>
              <w:rPr>
                <w:rFonts w:ascii="Arial"/>
                <w:sz w:val="21"/>
              </w:rPr>
            </w:pPr>
          </w:p>
          <w:p w14:paraId="28CEAAD9">
            <w:pPr>
              <w:spacing w:line="243" w:lineRule="auto"/>
              <w:rPr>
                <w:rFonts w:ascii="Arial"/>
                <w:sz w:val="21"/>
              </w:rPr>
            </w:pPr>
          </w:p>
          <w:p w14:paraId="005A2146">
            <w:pPr>
              <w:spacing w:line="243" w:lineRule="auto"/>
              <w:rPr>
                <w:rFonts w:ascii="Arial"/>
                <w:sz w:val="21"/>
              </w:rPr>
            </w:pPr>
          </w:p>
          <w:p w14:paraId="4B0A60CE">
            <w:pPr>
              <w:spacing w:line="243" w:lineRule="auto"/>
              <w:rPr>
                <w:rFonts w:ascii="Arial"/>
                <w:sz w:val="21"/>
              </w:rPr>
            </w:pPr>
          </w:p>
          <w:p w14:paraId="40A0ACBB">
            <w:pPr>
              <w:spacing w:line="243" w:lineRule="auto"/>
              <w:rPr>
                <w:rFonts w:ascii="Arial"/>
                <w:sz w:val="21"/>
              </w:rPr>
            </w:pPr>
          </w:p>
          <w:p w14:paraId="682C1307">
            <w:pPr>
              <w:pStyle w:val="8"/>
              <w:spacing w:before="59" w:line="220" w:lineRule="auto"/>
              <w:ind w:left="112"/>
            </w:pPr>
            <w:r>
              <w:rPr>
                <w:spacing w:val="-2"/>
              </w:rPr>
              <w:t>行政处罚</w:t>
            </w:r>
          </w:p>
        </w:tc>
        <w:tc>
          <w:tcPr>
            <w:tcW w:w="8508" w:type="dxa"/>
            <w:vAlign w:val="top"/>
          </w:tcPr>
          <w:p w14:paraId="39F06D9C">
            <w:pPr>
              <w:pStyle w:val="8"/>
              <w:spacing w:before="19" w:line="219" w:lineRule="auto"/>
              <w:ind w:left="484"/>
            </w:pPr>
            <w:r>
              <w:rPr>
                <w:b/>
                <w:bCs/>
                <w:spacing w:val="-3"/>
              </w:rPr>
              <w:t>1.《危险化学品安全管理规定》（中华人民共和国国务院令第</w:t>
            </w:r>
            <w:r>
              <w:rPr>
                <w:spacing w:val="-25"/>
              </w:rPr>
              <w:t xml:space="preserve"> </w:t>
            </w:r>
            <w:r>
              <w:rPr>
                <w:b/>
                <w:bCs/>
                <w:spacing w:val="-3"/>
              </w:rPr>
              <w:t>591</w:t>
            </w:r>
            <w:r>
              <w:rPr>
                <w:spacing w:val="-31"/>
              </w:rPr>
              <w:t xml:space="preserve"> </w:t>
            </w:r>
            <w:r>
              <w:rPr>
                <w:b/>
                <w:bCs/>
                <w:spacing w:val="-3"/>
              </w:rPr>
              <w:t>号）</w:t>
            </w:r>
          </w:p>
          <w:p w14:paraId="277B6687">
            <w:pPr>
              <w:pStyle w:val="8"/>
              <w:spacing w:before="3" w:line="220" w:lineRule="auto"/>
              <w:ind w:left="111" w:right="104" w:firstLine="359"/>
            </w:pPr>
            <w:r>
              <w:t>第十三条  生产、储存危险化学品的单位，应当对其铺设的危险化学品管道设置明显标志，并对危险</w:t>
            </w:r>
            <w:r>
              <w:rPr>
                <w:spacing w:val="6"/>
              </w:rPr>
              <w:t xml:space="preserve"> </w:t>
            </w:r>
            <w:r>
              <w:rPr>
                <w:spacing w:val="-3"/>
              </w:rPr>
              <w:t>化学品管道定期检查、检测。</w:t>
            </w:r>
          </w:p>
          <w:p w14:paraId="0D1910B4">
            <w:pPr>
              <w:pStyle w:val="8"/>
              <w:spacing w:before="1" w:line="221" w:lineRule="auto"/>
              <w:ind w:left="109" w:right="58" w:firstLine="360"/>
              <w:jc w:val="both"/>
            </w:pPr>
            <w:r>
              <w:rPr>
                <w:spacing w:val="-4"/>
              </w:rPr>
              <w:t>进行可能危及危险化学品管道安全的施工作业，施工单位应当在开工的</w:t>
            </w:r>
            <w:r>
              <w:rPr>
                <w:spacing w:val="-33"/>
              </w:rPr>
              <w:t xml:space="preserve"> </w:t>
            </w:r>
            <w:r>
              <w:rPr>
                <w:spacing w:val="-4"/>
              </w:rPr>
              <w:t>7 日前书面通知管道所属单位，</w:t>
            </w:r>
            <w:r>
              <w:t xml:space="preserve"> 并与管道所属单位共同制定应急预案，采取相应的安全防护措施。管道所属单位应当指派专门人员到现场</w:t>
            </w:r>
            <w:r>
              <w:rPr>
                <w:spacing w:val="7"/>
              </w:rPr>
              <w:t xml:space="preserve"> </w:t>
            </w:r>
            <w:r>
              <w:rPr>
                <w:spacing w:val="-3"/>
              </w:rPr>
              <w:t>进行管道安全保护指导。</w:t>
            </w:r>
          </w:p>
          <w:p w14:paraId="746D0768">
            <w:pPr>
              <w:pStyle w:val="8"/>
              <w:spacing w:before="1" w:line="220" w:lineRule="auto"/>
              <w:ind w:left="110" w:right="135" w:firstLine="360"/>
            </w:pPr>
            <w:r>
              <w:t>第二十六条第一款  危险化学品专用仓库应</w:t>
            </w:r>
            <w:r>
              <w:rPr>
                <w:spacing w:val="-1"/>
              </w:rPr>
              <w:t>当符合国家标准、行业标准的要求，并设置明显的标志。</w:t>
            </w:r>
            <w:r>
              <w:t xml:space="preserve"> </w:t>
            </w:r>
            <w:r>
              <w:rPr>
                <w:spacing w:val="-1"/>
              </w:rPr>
              <w:t>储存剧毒化学品、易制爆危险化学品的专用仓库，应当按照国家有关规定设置相应的技术防范设施。</w:t>
            </w:r>
          </w:p>
          <w:p w14:paraId="55F0694D">
            <w:pPr>
              <w:pStyle w:val="8"/>
              <w:spacing w:before="4" w:line="221" w:lineRule="auto"/>
              <w:ind w:left="109" w:right="46" w:firstLine="361"/>
            </w:pPr>
            <w:r>
              <w:t>第七十八条第一款第（二）项  有下列情形之一的，由安全生产</w:t>
            </w:r>
            <w:r>
              <w:rPr>
                <w:spacing w:val="-1"/>
              </w:rPr>
              <w:t>监督管理部门责令改正，可以处</w:t>
            </w:r>
            <w:r>
              <w:rPr>
                <w:spacing w:val="-36"/>
              </w:rPr>
              <w:t xml:space="preserve"> </w:t>
            </w:r>
            <w:r>
              <w:rPr>
                <w:spacing w:val="-1"/>
              </w:rPr>
              <w:t>5</w:t>
            </w:r>
            <w:r>
              <w:rPr>
                <w:spacing w:val="-32"/>
              </w:rPr>
              <w:t xml:space="preserve"> </w:t>
            </w:r>
            <w:r>
              <w:rPr>
                <w:spacing w:val="-1"/>
              </w:rPr>
              <w:t>万</w:t>
            </w:r>
            <w:r>
              <w:t xml:space="preserve"> </w:t>
            </w:r>
            <w:r>
              <w:rPr>
                <w:spacing w:val="-2"/>
              </w:rPr>
              <w:t>元以下的罚款；拒不改正的，处</w:t>
            </w:r>
            <w:r>
              <w:rPr>
                <w:spacing w:val="-34"/>
              </w:rPr>
              <w:t xml:space="preserve"> </w:t>
            </w:r>
            <w:r>
              <w:rPr>
                <w:spacing w:val="-2"/>
              </w:rPr>
              <w:t>5</w:t>
            </w:r>
            <w:r>
              <w:rPr>
                <w:spacing w:val="-34"/>
              </w:rPr>
              <w:t xml:space="preserve"> </w:t>
            </w:r>
            <w:r>
              <w:rPr>
                <w:spacing w:val="-2"/>
              </w:rPr>
              <w:t>万元以上</w:t>
            </w:r>
            <w:r>
              <w:rPr>
                <w:spacing w:val="-25"/>
              </w:rPr>
              <w:t xml:space="preserve"> </w:t>
            </w:r>
            <w:r>
              <w:rPr>
                <w:spacing w:val="-2"/>
              </w:rPr>
              <w:t>10</w:t>
            </w:r>
            <w:r>
              <w:rPr>
                <w:spacing w:val="-36"/>
              </w:rPr>
              <w:t xml:space="preserve"> </w:t>
            </w:r>
            <w:r>
              <w:rPr>
                <w:spacing w:val="-2"/>
              </w:rPr>
              <w:t>万元以下的罚款；情节严重的，责令停产停业整顿</w:t>
            </w:r>
            <w:r>
              <w:rPr>
                <w:spacing w:val="7"/>
              </w:rPr>
              <w:t>：（</w:t>
            </w:r>
            <w:r>
              <w:rPr>
                <w:spacing w:val="-2"/>
              </w:rPr>
              <w:t>二）</w:t>
            </w:r>
            <w:r>
              <w:t xml:space="preserve"> 进行可能危及危险化学品管道安全的施工作业，施工单位未按照规定书面通知管道所属单位，或者</w:t>
            </w:r>
            <w:r>
              <w:rPr>
                <w:spacing w:val="-1"/>
              </w:rPr>
              <w:t>未与管</w:t>
            </w:r>
            <w:r>
              <w:t xml:space="preserve"> 道所属单位共同制定应急预案、采取相应的安全防护措施，或者管道所属单位未指派专门人员到现场进行</w:t>
            </w:r>
            <w:r>
              <w:rPr>
                <w:spacing w:val="7"/>
              </w:rPr>
              <w:t xml:space="preserve"> </w:t>
            </w:r>
            <w:r>
              <w:rPr>
                <w:spacing w:val="-5"/>
              </w:rPr>
              <w:t>管道安全保护指导的；</w:t>
            </w:r>
          </w:p>
          <w:p w14:paraId="3456D9F5">
            <w:pPr>
              <w:pStyle w:val="8"/>
              <w:spacing w:line="221" w:lineRule="auto"/>
              <w:ind w:left="111" w:right="104" w:firstLine="359"/>
              <w:jc w:val="both"/>
            </w:pPr>
            <w:r>
              <w:t>第七十八条第二款  从事危险化学品仓储经营的港口经营人有前款规定情形的，由港口行政管理部门</w:t>
            </w:r>
            <w:r>
              <w:rPr>
                <w:spacing w:val="6"/>
              </w:rPr>
              <w:t xml:space="preserve"> </w:t>
            </w:r>
            <w:r>
              <w:t>依照前款规定予以处罚。储存剧毒化学品、易制爆危险化学品的专用仓库未按照国家有关规定设置相应的</w:t>
            </w:r>
            <w:r>
              <w:rPr>
                <w:spacing w:val="5"/>
              </w:rPr>
              <w:t xml:space="preserve"> </w:t>
            </w:r>
            <w:r>
              <w:rPr>
                <w:spacing w:val="-2"/>
              </w:rPr>
              <w:t>技术防范设施的，由公安机关依照前款规定予以处罚。</w:t>
            </w:r>
          </w:p>
          <w:p w14:paraId="4A0F60C5">
            <w:pPr>
              <w:pStyle w:val="8"/>
              <w:spacing w:before="3"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5F2ECB87">
            <w:pPr>
              <w:pStyle w:val="8"/>
              <w:spacing w:before="2" w:line="221" w:lineRule="auto"/>
              <w:ind w:left="111" w:right="104" w:firstLine="360"/>
              <w:jc w:val="both"/>
            </w:pPr>
            <w:r>
              <w:t>第三十五条第二款  在港区内进行可能危及危险货物输送管道安全的施工作业，施工单位应当在开工</w:t>
            </w:r>
            <w:r>
              <w:rPr>
                <w:spacing w:val="6"/>
              </w:rPr>
              <w:t xml:space="preserve"> </w:t>
            </w:r>
            <w:r>
              <w:rPr>
                <w:spacing w:val="-1"/>
              </w:rPr>
              <w:t>的</w:t>
            </w:r>
            <w:r>
              <w:rPr>
                <w:spacing w:val="-33"/>
              </w:rPr>
              <w:t xml:space="preserve"> </w:t>
            </w:r>
            <w:r>
              <w:rPr>
                <w:spacing w:val="-1"/>
              </w:rPr>
              <w:t>7 日前书面通知管道所属单位，并与管道所属单位共同制定应急预案，采取相应的安全防护措</w:t>
            </w:r>
            <w:r>
              <w:rPr>
                <w:spacing w:val="-2"/>
              </w:rPr>
              <w:t>施。管道</w:t>
            </w:r>
            <w:r>
              <w:t xml:space="preserve"> </w:t>
            </w:r>
            <w:r>
              <w:rPr>
                <w:spacing w:val="-1"/>
              </w:rPr>
              <w:t>所属单位应当指派专门人员到现场进行管道</w:t>
            </w:r>
            <w:r>
              <w:rPr>
                <w:spacing w:val="-2"/>
              </w:rPr>
              <w:t>安全保护指导。</w:t>
            </w:r>
          </w:p>
          <w:p w14:paraId="07A199BF">
            <w:pPr>
              <w:pStyle w:val="8"/>
              <w:spacing w:line="215" w:lineRule="auto"/>
              <w:ind w:left="109" w:right="104" w:firstLine="361"/>
              <w:jc w:val="both"/>
            </w:pPr>
            <w:r>
              <w:t>第七十八条第二款  在港口进行可能危及危险货物管道安全的施工作业，施工单位未按照规定书面通</w:t>
            </w:r>
            <w:r>
              <w:rPr>
                <w:spacing w:val="6"/>
              </w:rPr>
              <w:t xml:space="preserve"> </w:t>
            </w:r>
            <w:r>
              <w:t>知管道所属单位，或者未与管道所属单位共同制定应急预案、采取相应的安全防护措施，或者管道所属单</w:t>
            </w:r>
            <w:r>
              <w:rPr>
                <w:spacing w:val="7"/>
              </w:rPr>
              <w:t xml:space="preserve"> </w:t>
            </w:r>
            <w:r>
              <w:t>位未指派专门人员到现场进行管道安全保护指导的，由所在地港口行政管理部门按照前款规定的处罚金额</w:t>
            </w:r>
            <w:r>
              <w:rPr>
                <w:spacing w:val="7"/>
              </w:rPr>
              <w:t xml:space="preserve"> </w:t>
            </w:r>
            <w:r>
              <w:rPr>
                <w:spacing w:val="-6"/>
              </w:rPr>
              <w:t>进行处罚。</w:t>
            </w:r>
          </w:p>
        </w:tc>
        <w:tc>
          <w:tcPr>
            <w:tcW w:w="1010" w:type="dxa"/>
            <w:vAlign w:val="top"/>
          </w:tcPr>
          <w:p w14:paraId="1648D194">
            <w:pPr>
              <w:spacing w:line="257" w:lineRule="auto"/>
              <w:rPr>
                <w:rFonts w:ascii="Arial"/>
                <w:sz w:val="21"/>
              </w:rPr>
            </w:pPr>
          </w:p>
          <w:p w14:paraId="708AAF57">
            <w:pPr>
              <w:spacing w:line="257" w:lineRule="auto"/>
              <w:rPr>
                <w:rFonts w:ascii="Arial"/>
                <w:sz w:val="21"/>
              </w:rPr>
            </w:pPr>
          </w:p>
          <w:p w14:paraId="43954DCB">
            <w:pPr>
              <w:spacing w:line="257" w:lineRule="auto"/>
              <w:rPr>
                <w:rFonts w:ascii="Arial"/>
                <w:sz w:val="21"/>
              </w:rPr>
            </w:pPr>
          </w:p>
          <w:p w14:paraId="25F9CCF2">
            <w:pPr>
              <w:spacing w:line="257" w:lineRule="auto"/>
              <w:rPr>
                <w:rFonts w:ascii="Arial"/>
                <w:sz w:val="21"/>
              </w:rPr>
            </w:pPr>
          </w:p>
          <w:p w14:paraId="420AAC96">
            <w:pPr>
              <w:spacing w:line="257" w:lineRule="auto"/>
              <w:rPr>
                <w:rFonts w:ascii="Arial"/>
                <w:sz w:val="21"/>
              </w:rPr>
            </w:pPr>
          </w:p>
          <w:p w14:paraId="384CED4B">
            <w:pPr>
              <w:spacing w:line="258" w:lineRule="auto"/>
              <w:rPr>
                <w:rFonts w:ascii="Arial"/>
                <w:sz w:val="21"/>
              </w:rPr>
            </w:pPr>
          </w:p>
          <w:p w14:paraId="0DFC25D0">
            <w:pPr>
              <w:spacing w:line="258" w:lineRule="auto"/>
              <w:rPr>
                <w:rFonts w:ascii="Arial"/>
                <w:sz w:val="21"/>
              </w:rPr>
            </w:pPr>
          </w:p>
          <w:p w14:paraId="4CE95A19">
            <w:pPr>
              <w:spacing w:line="258" w:lineRule="auto"/>
              <w:rPr>
                <w:rFonts w:ascii="Arial"/>
                <w:sz w:val="21"/>
              </w:rPr>
            </w:pPr>
          </w:p>
          <w:p w14:paraId="21F5AC85">
            <w:pPr>
              <w:spacing w:line="258" w:lineRule="auto"/>
              <w:rPr>
                <w:rFonts w:ascii="Arial"/>
                <w:sz w:val="21"/>
              </w:rPr>
            </w:pPr>
          </w:p>
          <w:p w14:paraId="21BB184F">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3AA3546B">
            <w:pPr>
              <w:pStyle w:val="8"/>
              <w:spacing w:before="59" w:line="234" w:lineRule="auto"/>
              <w:ind w:left="530" w:right="104" w:hanging="413"/>
              <w:rPr>
                <w:rFonts w:hint="eastAsia"/>
                <w:spacing w:val="-12"/>
                <w:lang w:eastAsia="zh-CN"/>
              </w:rPr>
            </w:pPr>
          </w:p>
          <w:p w14:paraId="63C5B488">
            <w:pPr>
              <w:pStyle w:val="8"/>
              <w:spacing w:before="59" w:line="234" w:lineRule="auto"/>
              <w:ind w:left="530" w:right="104" w:hanging="413"/>
              <w:rPr>
                <w:rFonts w:hint="eastAsia"/>
                <w:spacing w:val="-12"/>
                <w:lang w:eastAsia="zh-CN"/>
              </w:rPr>
            </w:pPr>
          </w:p>
          <w:p w14:paraId="0CCB6196">
            <w:pPr>
              <w:pStyle w:val="8"/>
              <w:spacing w:before="59" w:line="234" w:lineRule="auto"/>
              <w:ind w:left="530" w:right="104" w:hanging="413"/>
              <w:rPr>
                <w:rFonts w:hint="eastAsia"/>
                <w:spacing w:val="-12"/>
                <w:lang w:eastAsia="zh-CN"/>
              </w:rPr>
            </w:pPr>
          </w:p>
          <w:p w14:paraId="3767BBEC">
            <w:pPr>
              <w:pStyle w:val="8"/>
              <w:spacing w:before="59" w:line="234" w:lineRule="auto"/>
              <w:ind w:left="530" w:right="104" w:hanging="413"/>
              <w:rPr>
                <w:rFonts w:hint="eastAsia"/>
                <w:spacing w:val="-12"/>
                <w:lang w:eastAsia="zh-CN"/>
              </w:rPr>
            </w:pPr>
          </w:p>
          <w:p w14:paraId="10D21FA5">
            <w:pPr>
              <w:pStyle w:val="8"/>
              <w:spacing w:before="59" w:line="234" w:lineRule="auto"/>
              <w:ind w:left="530" w:right="104" w:hanging="413"/>
              <w:rPr>
                <w:rFonts w:hint="eastAsia"/>
                <w:spacing w:val="-12"/>
                <w:lang w:eastAsia="zh-CN"/>
              </w:rPr>
            </w:pPr>
          </w:p>
          <w:p w14:paraId="3E1BBA80">
            <w:pPr>
              <w:pStyle w:val="8"/>
              <w:spacing w:before="59" w:line="234" w:lineRule="auto"/>
              <w:ind w:left="530" w:right="104" w:hanging="413"/>
              <w:rPr>
                <w:rFonts w:hint="eastAsia"/>
                <w:spacing w:val="-12"/>
                <w:lang w:eastAsia="zh-CN"/>
              </w:rPr>
            </w:pPr>
          </w:p>
          <w:p w14:paraId="1265426D">
            <w:pPr>
              <w:pStyle w:val="8"/>
              <w:spacing w:before="59" w:line="234" w:lineRule="auto"/>
              <w:ind w:left="530" w:right="104" w:hanging="413"/>
              <w:rPr>
                <w:rFonts w:hint="eastAsia"/>
                <w:spacing w:val="-12"/>
                <w:lang w:eastAsia="zh-CN"/>
              </w:rPr>
            </w:pPr>
          </w:p>
          <w:p w14:paraId="6D699B0A">
            <w:pPr>
              <w:pStyle w:val="8"/>
              <w:spacing w:before="59" w:line="234" w:lineRule="auto"/>
              <w:ind w:left="530" w:right="104" w:hanging="413"/>
              <w:rPr>
                <w:rFonts w:hint="eastAsia"/>
                <w:spacing w:val="-12"/>
                <w:lang w:eastAsia="zh-CN"/>
              </w:rPr>
            </w:pPr>
          </w:p>
          <w:p w14:paraId="336E3D66">
            <w:pPr>
              <w:pStyle w:val="8"/>
              <w:spacing w:before="59" w:line="234" w:lineRule="auto"/>
              <w:ind w:left="530" w:right="104" w:hanging="413"/>
              <w:rPr>
                <w:rFonts w:hint="eastAsia"/>
                <w:spacing w:val="-12"/>
                <w:lang w:eastAsia="zh-CN"/>
              </w:rPr>
            </w:pPr>
          </w:p>
          <w:p w14:paraId="08613E94">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721C108E">
            <w:pPr>
              <w:spacing w:line="244" w:lineRule="auto"/>
              <w:rPr>
                <w:rFonts w:ascii="Arial"/>
                <w:sz w:val="21"/>
              </w:rPr>
            </w:pPr>
          </w:p>
          <w:p w14:paraId="0FFAF731">
            <w:pPr>
              <w:spacing w:line="244" w:lineRule="auto"/>
              <w:rPr>
                <w:rFonts w:ascii="Arial"/>
                <w:sz w:val="21"/>
              </w:rPr>
            </w:pPr>
          </w:p>
          <w:p w14:paraId="198153D2">
            <w:pPr>
              <w:spacing w:line="244" w:lineRule="auto"/>
              <w:rPr>
                <w:rFonts w:ascii="Arial"/>
                <w:sz w:val="21"/>
              </w:rPr>
            </w:pPr>
          </w:p>
          <w:p w14:paraId="05E88B90">
            <w:pPr>
              <w:spacing w:line="244" w:lineRule="auto"/>
              <w:rPr>
                <w:rFonts w:ascii="Arial"/>
                <w:sz w:val="21"/>
              </w:rPr>
            </w:pPr>
          </w:p>
          <w:p w14:paraId="55998683">
            <w:pPr>
              <w:spacing w:line="244" w:lineRule="auto"/>
              <w:rPr>
                <w:rFonts w:ascii="Arial"/>
                <w:sz w:val="21"/>
              </w:rPr>
            </w:pPr>
          </w:p>
          <w:p w14:paraId="7777ECD9">
            <w:pPr>
              <w:spacing w:line="244" w:lineRule="auto"/>
              <w:rPr>
                <w:rFonts w:ascii="Arial"/>
                <w:sz w:val="21"/>
              </w:rPr>
            </w:pPr>
          </w:p>
          <w:p w14:paraId="6029EBDF">
            <w:pPr>
              <w:spacing w:line="244" w:lineRule="auto"/>
              <w:rPr>
                <w:rFonts w:ascii="Arial"/>
                <w:sz w:val="21"/>
              </w:rPr>
            </w:pPr>
          </w:p>
          <w:p w14:paraId="161899C4">
            <w:pPr>
              <w:spacing w:line="245" w:lineRule="auto"/>
              <w:rPr>
                <w:rFonts w:ascii="Arial"/>
                <w:sz w:val="21"/>
              </w:rPr>
            </w:pPr>
          </w:p>
          <w:p w14:paraId="5EFDE807">
            <w:pPr>
              <w:spacing w:line="245" w:lineRule="auto"/>
              <w:rPr>
                <w:rFonts w:ascii="Arial"/>
                <w:sz w:val="21"/>
              </w:rPr>
            </w:pPr>
          </w:p>
          <w:p w14:paraId="1A1D1676">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0403B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2" w:hRule="atLeast"/>
        </w:trPr>
        <w:tc>
          <w:tcPr>
            <w:tcW w:w="622" w:type="dxa"/>
            <w:vAlign w:val="top"/>
          </w:tcPr>
          <w:p w14:paraId="47E0514B">
            <w:pPr>
              <w:spacing w:line="267" w:lineRule="auto"/>
              <w:rPr>
                <w:rFonts w:ascii="Arial"/>
                <w:sz w:val="21"/>
              </w:rPr>
            </w:pPr>
          </w:p>
          <w:p w14:paraId="14BBD73E">
            <w:pPr>
              <w:spacing w:line="267" w:lineRule="auto"/>
              <w:rPr>
                <w:rFonts w:ascii="Arial"/>
                <w:sz w:val="21"/>
              </w:rPr>
            </w:pPr>
          </w:p>
          <w:p w14:paraId="6C651480">
            <w:pPr>
              <w:spacing w:line="267" w:lineRule="auto"/>
              <w:rPr>
                <w:rFonts w:ascii="Arial"/>
                <w:sz w:val="21"/>
              </w:rPr>
            </w:pPr>
          </w:p>
          <w:p w14:paraId="7C973870">
            <w:pPr>
              <w:spacing w:line="267" w:lineRule="auto"/>
              <w:rPr>
                <w:rFonts w:ascii="Arial"/>
                <w:sz w:val="21"/>
              </w:rPr>
            </w:pPr>
          </w:p>
          <w:p w14:paraId="7C174721">
            <w:pPr>
              <w:spacing w:line="268" w:lineRule="auto"/>
              <w:rPr>
                <w:rFonts w:ascii="Arial"/>
                <w:sz w:val="21"/>
              </w:rPr>
            </w:pPr>
          </w:p>
          <w:p w14:paraId="4E72C20C">
            <w:pPr>
              <w:spacing w:line="268" w:lineRule="auto"/>
              <w:rPr>
                <w:rFonts w:ascii="Arial"/>
                <w:sz w:val="21"/>
              </w:rPr>
            </w:pPr>
          </w:p>
          <w:p w14:paraId="6CBC892C">
            <w:pPr>
              <w:pStyle w:val="8"/>
              <w:spacing w:before="58" w:line="183" w:lineRule="auto"/>
              <w:ind w:left="229"/>
            </w:pPr>
            <w:r>
              <w:rPr>
                <w:spacing w:val="-5"/>
              </w:rPr>
              <w:t>33</w:t>
            </w:r>
          </w:p>
        </w:tc>
        <w:tc>
          <w:tcPr>
            <w:tcW w:w="1100" w:type="dxa"/>
            <w:vAlign w:val="top"/>
          </w:tcPr>
          <w:p w14:paraId="262200D3">
            <w:pPr>
              <w:spacing w:line="314" w:lineRule="auto"/>
              <w:rPr>
                <w:rFonts w:ascii="Arial"/>
                <w:sz w:val="21"/>
              </w:rPr>
            </w:pPr>
          </w:p>
          <w:p w14:paraId="59775E6D">
            <w:pPr>
              <w:spacing w:line="315" w:lineRule="auto"/>
              <w:rPr>
                <w:rFonts w:ascii="Arial"/>
                <w:sz w:val="21"/>
              </w:rPr>
            </w:pPr>
          </w:p>
          <w:p w14:paraId="4C00F271">
            <w:pPr>
              <w:pStyle w:val="8"/>
              <w:spacing w:before="58" w:line="243" w:lineRule="auto"/>
              <w:ind w:left="59" w:right="55"/>
              <w:jc w:val="both"/>
            </w:pPr>
            <w:r>
              <w:rPr>
                <w:spacing w:val="16"/>
              </w:rPr>
              <w:t>对危险货物</w:t>
            </w:r>
            <w:r>
              <w:t xml:space="preserve"> </w:t>
            </w:r>
            <w:r>
              <w:rPr>
                <w:spacing w:val="16"/>
              </w:rPr>
              <w:t>港口经营人</w:t>
            </w:r>
            <w:r>
              <w:t xml:space="preserve"> </w:t>
            </w:r>
            <w:r>
              <w:rPr>
                <w:spacing w:val="16"/>
              </w:rPr>
              <w:t>未在取得从</w:t>
            </w:r>
            <w:r>
              <w:t xml:space="preserve"> </w:t>
            </w:r>
            <w:r>
              <w:rPr>
                <w:spacing w:val="16"/>
              </w:rPr>
              <w:t>业资格的装</w:t>
            </w:r>
            <w:r>
              <w:t xml:space="preserve"> </w:t>
            </w:r>
            <w:r>
              <w:rPr>
                <w:spacing w:val="16"/>
              </w:rPr>
              <w:t>卸管理人员</w:t>
            </w:r>
            <w:r>
              <w:t xml:space="preserve"> </w:t>
            </w:r>
            <w:r>
              <w:rPr>
                <w:spacing w:val="16"/>
              </w:rPr>
              <w:t>现场指挥或</w:t>
            </w:r>
            <w:r>
              <w:t xml:space="preserve"> </w:t>
            </w:r>
            <w:r>
              <w:rPr>
                <w:spacing w:val="16"/>
              </w:rPr>
              <w:t>者监控下进</w:t>
            </w:r>
            <w:r>
              <w:t xml:space="preserve"> </w:t>
            </w:r>
            <w:r>
              <w:rPr>
                <w:spacing w:val="16"/>
              </w:rPr>
              <w:t>行作业行为</w:t>
            </w:r>
            <w:r>
              <w:t xml:space="preserve"> </w:t>
            </w:r>
            <w:r>
              <w:rPr>
                <w:spacing w:val="-2"/>
              </w:rPr>
              <w:t>的行政处罚</w:t>
            </w:r>
          </w:p>
        </w:tc>
        <w:tc>
          <w:tcPr>
            <w:tcW w:w="1100" w:type="dxa"/>
            <w:vAlign w:val="top"/>
          </w:tcPr>
          <w:p w14:paraId="683610DF">
            <w:pPr>
              <w:spacing w:line="262" w:lineRule="auto"/>
              <w:rPr>
                <w:rFonts w:ascii="Arial"/>
                <w:sz w:val="21"/>
              </w:rPr>
            </w:pPr>
          </w:p>
          <w:p w14:paraId="60E88E80">
            <w:pPr>
              <w:spacing w:line="262" w:lineRule="auto"/>
              <w:rPr>
                <w:rFonts w:ascii="Arial"/>
                <w:sz w:val="21"/>
              </w:rPr>
            </w:pPr>
          </w:p>
          <w:p w14:paraId="204880EB">
            <w:pPr>
              <w:spacing w:line="262" w:lineRule="auto"/>
              <w:rPr>
                <w:rFonts w:ascii="Arial"/>
                <w:sz w:val="21"/>
              </w:rPr>
            </w:pPr>
          </w:p>
          <w:p w14:paraId="751ED30B">
            <w:pPr>
              <w:spacing w:line="262" w:lineRule="auto"/>
              <w:rPr>
                <w:rFonts w:ascii="Arial"/>
                <w:sz w:val="21"/>
              </w:rPr>
            </w:pPr>
          </w:p>
          <w:p w14:paraId="27D36BAB">
            <w:pPr>
              <w:spacing w:line="262" w:lineRule="auto"/>
              <w:rPr>
                <w:rFonts w:ascii="Arial"/>
                <w:sz w:val="21"/>
              </w:rPr>
            </w:pPr>
          </w:p>
          <w:p w14:paraId="1FEFB441">
            <w:pPr>
              <w:spacing w:line="263" w:lineRule="auto"/>
              <w:rPr>
                <w:rFonts w:ascii="Arial"/>
                <w:sz w:val="21"/>
              </w:rPr>
            </w:pPr>
          </w:p>
          <w:p w14:paraId="56371321">
            <w:pPr>
              <w:pStyle w:val="8"/>
              <w:spacing w:before="59" w:line="220" w:lineRule="auto"/>
              <w:ind w:left="112"/>
            </w:pPr>
            <w:r>
              <w:rPr>
                <w:spacing w:val="-2"/>
              </w:rPr>
              <w:t>行政处罚</w:t>
            </w:r>
          </w:p>
        </w:tc>
        <w:tc>
          <w:tcPr>
            <w:tcW w:w="8508" w:type="dxa"/>
            <w:vAlign w:val="top"/>
          </w:tcPr>
          <w:p w14:paraId="3008F56B">
            <w:pPr>
              <w:pStyle w:val="8"/>
              <w:spacing w:before="22" w:line="219" w:lineRule="auto"/>
              <w:ind w:left="484"/>
            </w:pPr>
            <w:r>
              <w:rPr>
                <w:b/>
                <w:bCs/>
                <w:spacing w:val="-3"/>
              </w:rPr>
              <w:t>1.《危险化学品安全管理条例》</w:t>
            </w:r>
          </w:p>
          <w:p w14:paraId="5BBFFF34">
            <w:pPr>
              <w:pStyle w:val="8"/>
              <w:spacing w:before="1" w:line="221" w:lineRule="auto"/>
              <w:ind w:left="112" w:right="104" w:firstLine="358"/>
              <w:jc w:val="both"/>
            </w:pPr>
            <w:r>
              <w:t>第四十四条第二款  危险化学品的装卸作业应当遵守安全作业标准、规程和制度，并在装卸管理人员</w:t>
            </w:r>
            <w:r>
              <w:rPr>
                <w:spacing w:val="6"/>
              </w:rPr>
              <w:t xml:space="preserve"> </w:t>
            </w:r>
            <w:r>
              <w:t>的现场指挥或者监控下进行。水路运输危险化学品的集装箱装箱作业应当在集装箱装箱现场检查员的指挥</w:t>
            </w:r>
            <w:r>
              <w:rPr>
                <w:spacing w:val="4"/>
              </w:rPr>
              <w:t xml:space="preserve"> </w:t>
            </w:r>
            <w:r>
              <w:t>或者监控下进行，并符合积载、隔离的规范和要求；装箱作业完毕后，集装箱装箱现场检查员应当签署装</w:t>
            </w:r>
            <w:r>
              <w:rPr>
                <w:spacing w:val="4"/>
              </w:rPr>
              <w:t xml:space="preserve"> </w:t>
            </w:r>
            <w:r>
              <w:rPr>
                <w:spacing w:val="-6"/>
              </w:rPr>
              <w:t>箱证明书。</w:t>
            </w:r>
          </w:p>
          <w:p w14:paraId="57FFEC5F">
            <w:pPr>
              <w:pStyle w:val="8"/>
              <w:spacing w:before="2" w:line="221" w:lineRule="auto"/>
              <w:ind w:left="112" w:right="103" w:firstLine="358"/>
              <w:jc w:val="both"/>
            </w:pPr>
            <w:r>
              <w:rPr>
                <w:spacing w:val="-2"/>
              </w:rPr>
              <w:t>第八十六条第一款第（一）项  有下列情形之一的，由交通运输主管部门责令改正，处</w:t>
            </w:r>
            <w:r>
              <w:rPr>
                <w:spacing w:val="-23"/>
              </w:rPr>
              <w:t xml:space="preserve"> </w:t>
            </w:r>
            <w:r>
              <w:rPr>
                <w:spacing w:val="-2"/>
              </w:rPr>
              <w:t>5</w:t>
            </w:r>
            <w:r>
              <w:rPr>
                <w:spacing w:val="-34"/>
              </w:rPr>
              <w:t xml:space="preserve"> </w:t>
            </w:r>
            <w:r>
              <w:rPr>
                <w:spacing w:val="-2"/>
              </w:rPr>
              <w:t>万元以上</w:t>
            </w:r>
            <w:r>
              <w:rPr>
                <w:spacing w:val="-24"/>
              </w:rPr>
              <w:t xml:space="preserve"> </w:t>
            </w:r>
            <w:r>
              <w:rPr>
                <w:spacing w:val="-2"/>
              </w:rPr>
              <w:t>10</w:t>
            </w:r>
            <w:r>
              <w:t xml:space="preserve"> 万以下的罚款；拒不改正的，责令停产停业整顿；构成犯罪的，依法追究刑事责任</w:t>
            </w:r>
            <w:r>
              <w:rPr>
                <w:spacing w:val="2"/>
              </w:rPr>
              <w:t>：（</w:t>
            </w:r>
            <w:r>
              <w:t>一）危险化学品道 路运输企业、水路运输企业的驾驶人员、船员、装卸管理人员、押运人员、申报人员、集装箱装箱现场检</w:t>
            </w:r>
            <w:r>
              <w:rPr>
                <w:spacing w:val="4"/>
              </w:rPr>
              <w:t xml:space="preserve"> </w:t>
            </w:r>
            <w:r>
              <w:rPr>
                <w:spacing w:val="-3"/>
              </w:rPr>
              <w:t>查员未取得从业资格上岗作业的。</w:t>
            </w:r>
          </w:p>
          <w:p w14:paraId="5BCF9F57">
            <w:pPr>
              <w:pStyle w:val="8"/>
              <w:spacing w:before="1"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07774401">
            <w:pPr>
              <w:pStyle w:val="8"/>
              <w:spacing w:before="3" w:line="220" w:lineRule="auto"/>
              <w:ind w:left="115" w:right="104" w:firstLine="355"/>
            </w:pPr>
            <w:r>
              <w:t>第四十七条  危险货物港口作业应当符合有关安全作业标准、规程和制度，并在具有从业资格的装卸</w:t>
            </w:r>
            <w:r>
              <w:rPr>
                <w:spacing w:val="6"/>
              </w:rPr>
              <w:t xml:space="preserve"> </w:t>
            </w:r>
            <w:r>
              <w:rPr>
                <w:spacing w:val="-3"/>
              </w:rPr>
              <w:t>管理人员现场指挥或者监控下进行。</w:t>
            </w:r>
          </w:p>
          <w:p w14:paraId="0589B859">
            <w:pPr>
              <w:pStyle w:val="8"/>
              <w:spacing w:before="2" w:line="215" w:lineRule="auto"/>
              <w:ind w:left="111" w:right="104" w:firstLine="359"/>
              <w:jc w:val="both"/>
            </w:pPr>
            <w:r>
              <w:t>第七十九条第（一）项  危险货物港口经营人有下列情形之一的，由所在地港口行政管理部门责令改</w:t>
            </w:r>
            <w:r>
              <w:rPr>
                <w:spacing w:val="6"/>
              </w:rPr>
              <w:t xml:space="preserve"> </w:t>
            </w:r>
            <w:r>
              <w:t>正，处五万元以上十万元以下的罚款；逾期未改正的，责令停产停业整顿；除第（一）项情形外，情节严</w:t>
            </w:r>
            <w:r>
              <w:rPr>
                <w:spacing w:val="5"/>
              </w:rPr>
              <w:t xml:space="preserve"> </w:t>
            </w:r>
            <w:r>
              <w:t>重的，还可以吊销其港口经营许可证件</w:t>
            </w:r>
            <w:r>
              <w:rPr>
                <w:spacing w:val="2"/>
              </w:rPr>
              <w:t>：（</w:t>
            </w:r>
            <w:r>
              <w:t>一）未在取得从业资格的装卸管理人员现场指挥或者监控下进</w:t>
            </w:r>
            <w:r>
              <w:rPr>
                <w:spacing w:val="1"/>
              </w:rPr>
              <w:t xml:space="preserve"> </w:t>
            </w:r>
            <w:r>
              <w:rPr>
                <w:spacing w:val="-6"/>
              </w:rPr>
              <w:t>行作业的。</w:t>
            </w:r>
          </w:p>
        </w:tc>
        <w:tc>
          <w:tcPr>
            <w:tcW w:w="1010" w:type="dxa"/>
            <w:vAlign w:val="top"/>
          </w:tcPr>
          <w:p w14:paraId="2BCD5B4A">
            <w:pPr>
              <w:spacing w:line="243" w:lineRule="auto"/>
              <w:rPr>
                <w:rFonts w:ascii="Arial"/>
                <w:sz w:val="21"/>
              </w:rPr>
            </w:pPr>
          </w:p>
          <w:p w14:paraId="03212EEF">
            <w:pPr>
              <w:spacing w:line="243" w:lineRule="auto"/>
              <w:rPr>
                <w:rFonts w:ascii="Arial"/>
                <w:sz w:val="21"/>
              </w:rPr>
            </w:pPr>
          </w:p>
          <w:p w14:paraId="339BFAE1">
            <w:pPr>
              <w:spacing w:line="243" w:lineRule="auto"/>
              <w:rPr>
                <w:rFonts w:ascii="Arial"/>
                <w:sz w:val="21"/>
              </w:rPr>
            </w:pPr>
          </w:p>
          <w:p w14:paraId="25ECFBD5">
            <w:pPr>
              <w:spacing w:line="244" w:lineRule="auto"/>
              <w:rPr>
                <w:rFonts w:ascii="Arial"/>
                <w:sz w:val="21"/>
              </w:rPr>
            </w:pPr>
          </w:p>
          <w:p w14:paraId="3086B504">
            <w:pPr>
              <w:spacing w:line="244" w:lineRule="auto"/>
              <w:rPr>
                <w:rFonts w:ascii="Arial"/>
                <w:sz w:val="21"/>
              </w:rPr>
            </w:pPr>
          </w:p>
          <w:p w14:paraId="435C7814">
            <w:pPr>
              <w:spacing w:line="244" w:lineRule="auto"/>
              <w:rPr>
                <w:rFonts w:ascii="Arial"/>
                <w:sz w:val="21"/>
              </w:rPr>
            </w:pPr>
          </w:p>
          <w:p w14:paraId="1F3B32F7">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7A00BE16">
            <w:pPr>
              <w:pStyle w:val="8"/>
              <w:spacing w:before="59" w:line="234" w:lineRule="auto"/>
              <w:ind w:left="530" w:right="104" w:hanging="413"/>
              <w:rPr>
                <w:rFonts w:hint="eastAsia"/>
                <w:spacing w:val="-12"/>
                <w:lang w:eastAsia="zh-CN"/>
              </w:rPr>
            </w:pPr>
          </w:p>
          <w:p w14:paraId="7242A236">
            <w:pPr>
              <w:pStyle w:val="8"/>
              <w:spacing w:before="59" w:line="234" w:lineRule="auto"/>
              <w:ind w:left="530" w:right="104" w:hanging="413"/>
              <w:rPr>
                <w:rFonts w:hint="eastAsia"/>
                <w:spacing w:val="-12"/>
                <w:lang w:eastAsia="zh-CN"/>
              </w:rPr>
            </w:pPr>
          </w:p>
          <w:p w14:paraId="5AD359AC">
            <w:pPr>
              <w:pStyle w:val="8"/>
              <w:spacing w:before="59" w:line="234" w:lineRule="auto"/>
              <w:ind w:left="530" w:right="104" w:hanging="413"/>
              <w:rPr>
                <w:rFonts w:hint="eastAsia"/>
                <w:spacing w:val="-12"/>
                <w:lang w:eastAsia="zh-CN"/>
              </w:rPr>
            </w:pPr>
          </w:p>
          <w:p w14:paraId="0524B021">
            <w:pPr>
              <w:pStyle w:val="8"/>
              <w:spacing w:before="59" w:line="234" w:lineRule="auto"/>
              <w:ind w:left="530" w:right="104" w:hanging="413"/>
              <w:rPr>
                <w:rFonts w:hint="eastAsia"/>
                <w:spacing w:val="-12"/>
                <w:lang w:eastAsia="zh-CN"/>
              </w:rPr>
            </w:pPr>
          </w:p>
          <w:p w14:paraId="7F707522">
            <w:pPr>
              <w:pStyle w:val="8"/>
              <w:spacing w:before="59" w:line="234" w:lineRule="auto"/>
              <w:ind w:left="530" w:right="104" w:hanging="413"/>
              <w:rPr>
                <w:rFonts w:hint="eastAsia"/>
                <w:spacing w:val="-12"/>
                <w:lang w:eastAsia="zh-CN"/>
              </w:rPr>
            </w:pPr>
          </w:p>
          <w:p w14:paraId="05294024">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032B2B5D">
            <w:pPr>
              <w:spacing w:line="268" w:lineRule="auto"/>
              <w:rPr>
                <w:rFonts w:ascii="Arial"/>
                <w:sz w:val="21"/>
              </w:rPr>
            </w:pPr>
          </w:p>
          <w:p w14:paraId="50791D80">
            <w:pPr>
              <w:spacing w:line="268" w:lineRule="auto"/>
              <w:rPr>
                <w:rFonts w:ascii="Arial"/>
                <w:sz w:val="21"/>
              </w:rPr>
            </w:pPr>
          </w:p>
          <w:p w14:paraId="11D1B3FF">
            <w:pPr>
              <w:spacing w:line="268" w:lineRule="auto"/>
              <w:rPr>
                <w:rFonts w:ascii="Arial"/>
                <w:sz w:val="21"/>
              </w:rPr>
            </w:pPr>
          </w:p>
          <w:p w14:paraId="573D973E">
            <w:pPr>
              <w:spacing w:line="269" w:lineRule="auto"/>
              <w:rPr>
                <w:rFonts w:ascii="Arial"/>
                <w:sz w:val="21"/>
              </w:rPr>
            </w:pPr>
          </w:p>
          <w:p w14:paraId="5B4A935C">
            <w:pPr>
              <w:spacing w:line="269" w:lineRule="auto"/>
              <w:rPr>
                <w:rFonts w:ascii="Arial"/>
                <w:sz w:val="21"/>
              </w:rPr>
            </w:pPr>
          </w:p>
          <w:p w14:paraId="6BE4A8AF">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15A27D5F">
      <w:pPr>
        <w:pStyle w:val="2"/>
      </w:pPr>
    </w:p>
    <w:p w14:paraId="171F7C81">
      <w:pPr>
        <w:sectPr>
          <w:footerReference r:id="rId144" w:type="default"/>
          <w:pgSz w:w="16839" w:h="11906"/>
          <w:pgMar w:top="1012" w:right="1034" w:bottom="967" w:left="1043" w:header="0" w:footer="768" w:gutter="0"/>
          <w:cols w:space="720" w:num="1"/>
        </w:sectPr>
      </w:pPr>
    </w:p>
    <w:p w14:paraId="3607FA62">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E31A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7FD88F64">
            <w:pPr>
              <w:pStyle w:val="8"/>
              <w:spacing w:before="259" w:line="221" w:lineRule="auto"/>
              <w:ind w:left="134"/>
            </w:pPr>
            <w:r>
              <w:rPr>
                <w:b/>
                <w:bCs/>
                <w:spacing w:val="-4"/>
              </w:rPr>
              <w:t>序号</w:t>
            </w:r>
          </w:p>
        </w:tc>
        <w:tc>
          <w:tcPr>
            <w:tcW w:w="1100" w:type="dxa"/>
            <w:vMerge w:val="restart"/>
            <w:tcBorders>
              <w:bottom w:val="nil"/>
            </w:tcBorders>
            <w:vAlign w:val="top"/>
          </w:tcPr>
          <w:p w14:paraId="2452EF0E">
            <w:pPr>
              <w:pStyle w:val="8"/>
              <w:spacing w:before="260" w:line="220" w:lineRule="auto"/>
              <w:ind w:left="189"/>
            </w:pPr>
            <w:r>
              <w:rPr>
                <w:b/>
                <w:bCs/>
                <w:spacing w:val="-4"/>
              </w:rPr>
              <w:t>事项名称</w:t>
            </w:r>
          </w:p>
        </w:tc>
        <w:tc>
          <w:tcPr>
            <w:tcW w:w="1100" w:type="dxa"/>
            <w:vMerge w:val="restart"/>
            <w:tcBorders>
              <w:bottom w:val="nil"/>
            </w:tcBorders>
            <w:vAlign w:val="top"/>
          </w:tcPr>
          <w:p w14:paraId="7E5790EA">
            <w:pPr>
              <w:pStyle w:val="8"/>
              <w:spacing w:before="260" w:line="219" w:lineRule="auto"/>
              <w:ind w:left="191"/>
            </w:pPr>
            <w:r>
              <w:rPr>
                <w:b/>
                <w:bCs/>
                <w:spacing w:val="-4"/>
              </w:rPr>
              <w:t>职权类型</w:t>
            </w:r>
          </w:p>
        </w:tc>
        <w:tc>
          <w:tcPr>
            <w:tcW w:w="8508" w:type="dxa"/>
            <w:vMerge w:val="restart"/>
            <w:tcBorders>
              <w:bottom w:val="nil"/>
            </w:tcBorders>
            <w:vAlign w:val="top"/>
          </w:tcPr>
          <w:p w14:paraId="36F297CE">
            <w:pPr>
              <w:pStyle w:val="8"/>
              <w:spacing w:before="259" w:line="219" w:lineRule="auto"/>
              <w:ind w:left="3900"/>
            </w:pPr>
            <w:r>
              <w:rPr>
                <w:b/>
                <w:bCs/>
                <w:spacing w:val="-5"/>
              </w:rPr>
              <w:t>实施依据</w:t>
            </w:r>
          </w:p>
        </w:tc>
        <w:tc>
          <w:tcPr>
            <w:tcW w:w="3425" w:type="dxa"/>
            <w:gridSpan w:val="3"/>
            <w:vAlign w:val="top"/>
          </w:tcPr>
          <w:p w14:paraId="0FBAEE6C">
            <w:pPr>
              <w:pStyle w:val="8"/>
              <w:spacing w:before="85" w:line="220" w:lineRule="auto"/>
              <w:ind w:left="1358"/>
            </w:pPr>
            <w:r>
              <w:rPr>
                <w:b/>
                <w:bCs/>
                <w:spacing w:val="-5"/>
              </w:rPr>
              <w:t>实施主体</w:t>
            </w:r>
          </w:p>
        </w:tc>
      </w:tr>
      <w:tr w14:paraId="48FAF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4B7A1C34">
            <w:pPr>
              <w:rPr>
                <w:rFonts w:ascii="Arial"/>
                <w:sz w:val="21"/>
              </w:rPr>
            </w:pPr>
          </w:p>
        </w:tc>
        <w:tc>
          <w:tcPr>
            <w:tcW w:w="1100" w:type="dxa"/>
            <w:vMerge w:val="continue"/>
            <w:tcBorders>
              <w:top w:val="nil"/>
            </w:tcBorders>
            <w:vAlign w:val="top"/>
          </w:tcPr>
          <w:p w14:paraId="492C9905">
            <w:pPr>
              <w:rPr>
                <w:rFonts w:ascii="Arial"/>
                <w:sz w:val="21"/>
              </w:rPr>
            </w:pPr>
          </w:p>
        </w:tc>
        <w:tc>
          <w:tcPr>
            <w:tcW w:w="1100" w:type="dxa"/>
            <w:vMerge w:val="continue"/>
            <w:tcBorders>
              <w:top w:val="nil"/>
            </w:tcBorders>
            <w:vAlign w:val="top"/>
          </w:tcPr>
          <w:p w14:paraId="1A2531AA">
            <w:pPr>
              <w:rPr>
                <w:rFonts w:ascii="Arial"/>
                <w:sz w:val="21"/>
              </w:rPr>
            </w:pPr>
          </w:p>
        </w:tc>
        <w:tc>
          <w:tcPr>
            <w:tcW w:w="8508" w:type="dxa"/>
            <w:vMerge w:val="continue"/>
            <w:tcBorders>
              <w:top w:val="nil"/>
            </w:tcBorders>
            <w:vAlign w:val="top"/>
          </w:tcPr>
          <w:p w14:paraId="5E8CE273">
            <w:pPr>
              <w:rPr>
                <w:rFonts w:ascii="Arial"/>
                <w:sz w:val="21"/>
              </w:rPr>
            </w:pPr>
          </w:p>
        </w:tc>
        <w:tc>
          <w:tcPr>
            <w:tcW w:w="1010" w:type="dxa"/>
            <w:vAlign w:val="top"/>
          </w:tcPr>
          <w:p w14:paraId="2BEDD404">
            <w:pPr>
              <w:pStyle w:val="8"/>
              <w:spacing w:before="81" w:line="219" w:lineRule="auto"/>
              <w:ind w:left="155"/>
            </w:pPr>
            <w:r>
              <w:rPr>
                <w:b/>
                <w:bCs/>
                <w:spacing w:val="-5"/>
              </w:rPr>
              <w:t>责任部门</w:t>
            </w:r>
          </w:p>
        </w:tc>
        <w:tc>
          <w:tcPr>
            <w:tcW w:w="1401" w:type="dxa"/>
            <w:vAlign w:val="top"/>
          </w:tcPr>
          <w:p w14:paraId="427BF57B">
            <w:pPr>
              <w:pStyle w:val="8"/>
              <w:spacing w:before="81" w:line="219" w:lineRule="auto"/>
              <w:ind w:left="164"/>
            </w:pPr>
            <w:r>
              <w:rPr>
                <w:b/>
                <w:bCs/>
                <w:spacing w:val="-3"/>
              </w:rPr>
              <w:t>第一责任层级</w:t>
            </w:r>
          </w:p>
        </w:tc>
        <w:tc>
          <w:tcPr>
            <w:tcW w:w="1014" w:type="dxa"/>
            <w:vAlign w:val="top"/>
          </w:tcPr>
          <w:p w14:paraId="18820BE3">
            <w:pPr>
              <w:pStyle w:val="8"/>
              <w:spacing w:before="81" w:line="219" w:lineRule="auto"/>
              <w:ind w:left="150"/>
            </w:pPr>
            <w:r>
              <w:rPr>
                <w:b/>
                <w:bCs/>
                <w:spacing w:val="-4"/>
              </w:rPr>
              <w:t>承办机构</w:t>
            </w:r>
          </w:p>
        </w:tc>
      </w:tr>
      <w:tr w14:paraId="52507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1" w:hRule="atLeast"/>
        </w:trPr>
        <w:tc>
          <w:tcPr>
            <w:tcW w:w="622" w:type="dxa"/>
            <w:vAlign w:val="top"/>
          </w:tcPr>
          <w:p w14:paraId="474BCE0A">
            <w:pPr>
              <w:spacing w:line="249" w:lineRule="auto"/>
              <w:rPr>
                <w:rFonts w:ascii="Arial"/>
                <w:sz w:val="21"/>
              </w:rPr>
            </w:pPr>
          </w:p>
          <w:p w14:paraId="0637278D">
            <w:pPr>
              <w:spacing w:line="249" w:lineRule="auto"/>
              <w:rPr>
                <w:rFonts w:ascii="Arial"/>
                <w:sz w:val="21"/>
              </w:rPr>
            </w:pPr>
          </w:p>
          <w:p w14:paraId="1FA488AA">
            <w:pPr>
              <w:spacing w:line="249" w:lineRule="auto"/>
              <w:rPr>
                <w:rFonts w:ascii="Arial"/>
                <w:sz w:val="21"/>
              </w:rPr>
            </w:pPr>
          </w:p>
          <w:p w14:paraId="7AFC4D44">
            <w:pPr>
              <w:spacing w:line="249" w:lineRule="auto"/>
              <w:rPr>
                <w:rFonts w:ascii="Arial"/>
                <w:sz w:val="21"/>
              </w:rPr>
            </w:pPr>
          </w:p>
          <w:p w14:paraId="5FCB33BD">
            <w:pPr>
              <w:spacing w:line="249" w:lineRule="auto"/>
              <w:rPr>
                <w:rFonts w:ascii="Arial"/>
                <w:sz w:val="21"/>
              </w:rPr>
            </w:pPr>
          </w:p>
          <w:p w14:paraId="425C3713">
            <w:pPr>
              <w:spacing w:line="249" w:lineRule="auto"/>
              <w:rPr>
                <w:rFonts w:ascii="Arial"/>
                <w:sz w:val="21"/>
              </w:rPr>
            </w:pPr>
          </w:p>
          <w:p w14:paraId="4818058E">
            <w:pPr>
              <w:spacing w:line="249" w:lineRule="auto"/>
              <w:rPr>
                <w:rFonts w:ascii="Arial"/>
                <w:sz w:val="21"/>
              </w:rPr>
            </w:pPr>
          </w:p>
          <w:p w14:paraId="1DDA6ABC">
            <w:pPr>
              <w:spacing w:line="250" w:lineRule="auto"/>
              <w:rPr>
                <w:rFonts w:ascii="Arial"/>
                <w:sz w:val="21"/>
              </w:rPr>
            </w:pPr>
          </w:p>
          <w:p w14:paraId="27DAEA45">
            <w:pPr>
              <w:pStyle w:val="8"/>
              <w:spacing w:before="58" w:line="183" w:lineRule="auto"/>
              <w:ind w:left="229"/>
            </w:pPr>
            <w:r>
              <w:rPr>
                <w:spacing w:val="-5"/>
              </w:rPr>
              <w:t>34</w:t>
            </w:r>
          </w:p>
        </w:tc>
        <w:tc>
          <w:tcPr>
            <w:tcW w:w="1100" w:type="dxa"/>
            <w:vAlign w:val="top"/>
          </w:tcPr>
          <w:p w14:paraId="2527C8B2">
            <w:pPr>
              <w:spacing w:line="250" w:lineRule="auto"/>
              <w:rPr>
                <w:rFonts w:ascii="Arial"/>
                <w:sz w:val="21"/>
              </w:rPr>
            </w:pPr>
          </w:p>
          <w:p w14:paraId="372DBCA6">
            <w:pPr>
              <w:spacing w:line="250" w:lineRule="auto"/>
              <w:rPr>
                <w:rFonts w:ascii="Arial"/>
                <w:sz w:val="21"/>
              </w:rPr>
            </w:pPr>
          </w:p>
          <w:p w14:paraId="54E46F4C">
            <w:pPr>
              <w:spacing w:line="251" w:lineRule="auto"/>
              <w:rPr>
                <w:rFonts w:ascii="Arial"/>
                <w:sz w:val="21"/>
              </w:rPr>
            </w:pPr>
          </w:p>
          <w:p w14:paraId="2F74A004">
            <w:pPr>
              <w:spacing w:line="251" w:lineRule="auto"/>
              <w:rPr>
                <w:rFonts w:ascii="Arial"/>
                <w:sz w:val="21"/>
              </w:rPr>
            </w:pPr>
          </w:p>
          <w:p w14:paraId="5B699BB6">
            <w:pPr>
              <w:spacing w:line="251" w:lineRule="auto"/>
              <w:rPr>
                <w:rFonts w:ascii="Arial"/>
                <w:sz w:val="21"/>
              </w:rPr>
            </w:pPr>
          </w:p>
          <w:p w14:paraId="7E1BAC4E">
            <w:pPr>
              <w:pStyle w:val="8"/>
              <w:spacing w:before="58" w:line="243" w:lineRule="auto"/>
              <w:ind w:left="58" w:right="55"/>
              <w:jc w:val="both"/>
            </w:pPr>
            <w:r>
              <w:rPr>
                <w:spacing w:val="16"/>
              </w:rPr>
              <w:t>对危险货物</w:t>
            </w:r>
            <w:r>
              <w:t xml:space="preserve"> </w:t>
            </w:r>
            <w:r>
              <w:rPr>
                <w:spacing w:val="16"/>
              </w:rPr>
              <w:t>港口经营人</w:t>
            </w:r>
            <w:r>
              <w:t xml:space="preserve"> </w:t>
            </w:r>
            <w:r>
              <w:rPr>
                <w:spacing w:val="16"/>
              </w:rPr>
              <w:t>未对安全生</w:t>
            </w:r>
            <w:r>
              <w:t xml:space="preserve"> </w:t>
            </w:r>
            <w:r>
              <w:rPr>
                <w:spacing w:val="16"/>
              </w:rPr>
              <w:t>产条件定期</w:t>
            </w:r>
            <w:r>
              <w:t xml:space="preserve"> </w:t>
            </w:r>
            <w:r>
              <w:rPr>
                <w:spacing w:val="16"/>
              </w:rPr>
              <w:t>进行安全评</w:t>
            </w:r>
            <w:r>
              <w:t xml:space="preserve"> </w:t>
            </w:r>
            <w:r>
              <w:rPr>
                <w:spacing w:val="16"/>
              </w:rPr>
              <w:t>价行为的行</w:t>
            </w:r>
            <w:r>
              <w:t xml:space="preserve"> </w:t>
            </w:r>
            <w:r>
              <w:rPr>
                <w:spacing w:val="-2"/>
              </w:rPr>
              <w:t>政处罚</w:t>
            </w:r>
          </w:p>
        </w:tc>
        <w:tc>
          <w:tcPr>
            <w:tcW w:w="1100" w:type="dxa"/>
            <w:vAlign w:val="top"/>
          </w:tcPr>
          <w:p w14:paraId="1EDCF34E">
            <w:pPr>
              <w:spacing w:line="245" w:lineRule="auto"/>
              <w:rPr>
                <w:rFonts w:ascii="Arial"/>
                <w:sz w:val="21"/>
              </w:rPr>
            </w:pPr>
          </w:p>
          <w:p w14:paraId="7C230EAA">
            <w:pPr>
              <w:spacing w:line="245" w:lineRule="auto"/>
              <w:rPr>
                <w:rFonts w:ascii="Arial"/>
                <w:sz w:val="21"/>
              </w:rPr>
            </w:pPr>
          </w:p>
          <w:p w14:paraId="597D39CF">
            <w:pPr>
              <w:spacing w:line="245" w:lineRule="auto"/>
              <w:rPr>
                <w:rFonts w:ascii="Arial"/>
                <w:sz w:val="21"/>
              </w:rPr>
            </w:pPr>
          </w:p>
          <w:p w14:paraId="52BB1509">
            <w:pPr>
              <w:spacing w:line="245" w:lineRule="auto"/>
              <w:rPr>
                <w:rFonts w:ascii="Arial"/>
                <w:sz w:val="21"/>
              </w:rPr>
            </w:pPr>
          </w:p>
          <w:p w14:paraId="33347C13">
            <w:pPr>
              <w:spacing w:line="246" w:lineRule="auto"/>
              <w:rPr>
                <w:rFonts w:ascii="Arial"/>
                <w:sz w:val="21"/>
              </w:rPr>
            </w:pPr>
          </w:p>
          <w:p w14:paraId="259D92E8">
            <w:pPr>
              <w:spacing w:line="246" w:lineRule="auto"/>
              <w:rPr>
                <w:rFonts w:ascii="Arial"/>
                <w:sz w:val="21"/>
              </w:rPr>
            </w:pPr>
          </w:p>
          <w:p w14:paraId="46D5EA96">
            <w:pPr>
              <w:spacing w:line="246" w:lineRule="auto"/>
              <w:rPr>
                <w:rFonts w:ascii="Arial"/>
                <w:sz w:val="21"/>
              </w:rPr>
            </w:pPr>
          </w:p>
          <w:p w14:paraId="1CC15F9B">
            <w:pPr>
              <w:spacing w:line="246" w:lineRule="auto"/>
              <w:rPr>
                <w:rFonts w:ascii="Arial"/>
                <w:sz w:val="21"/>
              </w:rPr>
            </w:pPr>
          </w:p>
          <w:p w14:paraId="453FABBA">
            <w:pPr>
              <w:pStyle w:val="8"/>
              <w:spacing w:before="59" w:line="220" w:lineRule="auto"/>
              <w:ind w:left="112"/>
            </w:pPr>
            <w:r>
              <w:rPr>
                <w:spacing w:val="-2"/>
              </w:rPr>
              <w:t>行政处罚</w:t>
            </w:r>
          </w:p>
        </w:tc>
        <w:tc>
          <w:tcPr>
            <w:tcW w:w="8508" w:type="dxa"/>
            <w:vAlign w:val="top"/>
          </w:tcPr>
          <w:p w14:paraId="5FC3773D">
            <w:pPr>
              <w:pStyle w:val="8"/>
              <w:spacing w:before="36" w:line="219" w:lineRule="auto"/>
              <w:ind w:left="484"/>
            </w:pPr>
            <w:r>
              <w:rPr>
                <w:b/>
                <w:bCs/>
                <w:spacing w:val="-3"/>
              </w:rPr>
              <w:t>1.《危险化学品安全管理条例》</w:t>
            </w:r>
          </w:p>
          <w:p w14:paraId="448FBF0C">
            <w:pPr>
              <w:pStyle w:val="8"/>
              <w:spacing w:before="20" w:line="235" w:lineRule="auto"/>
              <w:ind w:left="112" w:right="104" w:firstLine="358"/>
              <w:jc w:val="both"/>
            </w:pPr>
            <w:r>
              <w:t>第二十二条第一款  生产、储存危险化学品的企业，应当委托具备国家规定的资质条件的机构</w:t>
            </w:r>
            <w:r>
              <w:rPr>
                <w:spacing w:val="-1"/>
              </w:rPr>
              <w:t>，对本</w:t>
            </w:r>
            <w:r>
              <w:t xml:space="preserve"> 企业的安全生产条件每</w:t>
            </w:r>
            <w:r>
              <w:rPr>
                <w:spacing w:val="-34"/>
              </w:rPr>
              <w:t xml:space="preserve"> </w:t>
            </w:r>
            <w:r>
              <w:t>3</w:t>
            </w:r>
            <w:r>
              <w:rPr>
                <w:spacing w:val="-38"/>
              </w:rPr>
              <w:t xml:space="preserve"> </w:t>
            </w:r>
            <w:r>
              <w:t>年进行一次安全评价，提出安全评价报告。安全</w:t>
            </w:r>
            <w:r>
              <w:rPr>
                <w:spacing w:val="-1"/>
              </w:rPr>
              <w:t>评价报告的内容应当包括对安全</w:t>
            </w:r>
            <w:r>
              <w:t xml:space="preserve"> </w:t>
            </w:r>
            <w:r>
              <w:rPr>
                <w:spacing w:val="-2"/>
              </w:rPr>
              <w:t>生产条件存在的问题进行整改的方案。</w:t>
            </w:r>
          </w:p>
          <w:p w14:paraId="7A8CCDEC">
            <w:pPr>
              <w:pStyle w:val="8"/>
              <w:spacing w:before="20" w:line="238" w:lineRule="auto"/>
              <w:ind w:left="114" w:right="104" w:firstLine="357"/>
              <w:jc w:val="both"/>
            </w:pPr>
            <w:r>
              <w:t>第八十条第一款第（三）项  生产、储存、使用危险化学品的单位有下列情形之一的，由安全生产监</w:t>
            </w:r>
            <w:r>
              <w:rPr>
                <w:spacing w:val="3"/>
              </w:rPr>
              <w:t xml:space="preserve"> </w:t>
            </w:r>
            <w:r>
              <w:rPr>
                <w:spacing w:val="-3"/>
              </w:rPr>
              <w:t>督管理部门责令改正，处</w:t>
            </w:r>
            <w:r>
              <w:rPr>
                <w:spacing w:val="-33"/>
              </w:rPr>
              <w:t xml:space="preserve"> </w:t>
            </w:r>
            <w:r>
              <w:rPr>
                <w:spacing w:val="-3"/>
              </w:rPr>
              <w:t>5</w:t>
            </w:r>
            <w:r>
              <w:rPr>
                <w:spacing w:val="-35"/>
              </w:rPr>
              <w:t xml:space="preserve"> </w:t>
            </w:r>
            <w:r>
              <w:rPr>
                <w:spacing w:val="-3"/>
              </w:rPr>
              <w:t>万元以上</w:t>
            </w:r>
            <w:r>
              <w:rPr>
                <w:spacing w:val="-24"/>
              </w:rPr>
              <w:t xml:space="preserve"> </w:t>
            </w:r>
            <w:r>
              <w:rPr>
                <w:spacing w:val="-3"/>
              </w:rPr>
              <w:t>10</w:t>
            </w:r>
            <w:r>
              <w:rPr>
                <w:spacing w:val="-34"/>
              </w:rPr>
              <w:t xml:space="preserve"> </w:t>
            </w:r>
            <w:r>
              <w:rPr>
                <w:spacing w:val="-3"/>
              </w:rPr>
              <w:t>万元以下的罚款；拒不改正的，责令停产停业整顿直至由原发证机</w:t>
            </w:r>
            <w:r>
              <w:t xml:space="preserve"> 关吊销其相关许可证件，并由工商行政管理部门责令其办理经营范围变更登记或者吊销其营业执照；有关</w:t>
            </w:r>
            <w:r>
              <w:rPr>
                <w:spacing w:val="3"/>
              </w:rPr>
              <w:t xml:space="preserve"> </w:t>
            </w:r>
            <w:r>
              <w:t>责任人员构成犯罪的，依法追究刑事责任</w:t>
            </w:r>
            <w:r>
              <w:rPr>
                <w:spacing w:val="1"/>
              </w:rPr>
              <w:t>：（</w:t>
            </w:r>
            <w:r>
              <w:t>三）未依照本条例规定对其安全生产条件定期进行安全评价</w:t>
            </w:r>
            <w:r>
              <w:rPr>
                <w:spacing w:val="1"/>
              </w:rPr>
              <w:t xml:space="preserve"> </w:t>
            </w:r>
            <w:r>
              <w:rPr>
                <w:spacing w:val="-9"/>
              </w:rPr>
              <w:t>的。</w:t>
            </w:r>
          </w:p>
          <w:p w14:paraId="2D9C681D">
            <w:pPr>
              <w:pStyle w:val="8"/>
              <w:spacing w:before="20" w:line="231" w:lineRule="auto"/>
              <w:ind w:left="116" w:right="104" w:firstLine="354"/>
            </w:pPr>
            <w:r>
              <w:t>第八十条第二款  从事危险化学品仓储经营的港口经营人有前款规定情形的，由港口行政管理部门依</w:t>
            </w:r>
            <w:r>
              <w:rPr>
                <w:spacing w:val="6"/>
              </w:rPr>
              <w:t xml:space="preserve"> </w:t>
            </w:r>
            <w:r>
              <w:rPr>
                <w:spacing w:val="-4"/>
              </w:rPr>
              <w:t>照前款规定予以处罚。</w:t>
            </w:r>
          </w:p>
          <w:p w14:paraId="097DC088">
            <w:pPr>
              <w:pStyle w:val="8"/>
              <w:spacing w:before="20"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53F3B394">
            <w:pPr>
              <w:pStyle w:val="8"/>
              <w:spacing w:before="24" w:line="234" w:lineRule="auto"/>
              <w:ind w:left="111" w:right="104" w:firstLine="360"/>
              <w:jc w:val="both"/>
            </w:pPr>
            <w:r>
              <w:t>第二十八条第一款  危险货物港口经营人应当在取得经营资质后，按照国家有关规定委托有资质的安</w:t>
            </w:r>
            <w:r>
              <w:rPr>
                <w:spacing w:val="6"/>
              </w:rPr>
              <w:t xml:space="preserve"> </w:t>
            </w:r>
            <w:r>
              <w:t>全评价机构，对本单位的安全生产条件每</w:t>
            </w:r>
            <w:r>
              <w:rPr>
                <w:spacing w:val="-33"/>
              </w:rPr>
              <w:t xml:space="preserve"> </w:t>
            </w:r>
            <w:r>
              <w:t>3</w:t>
            </w:r>
            <w:r>
              <w:rPr>
                <w:spacing w:val="-38"/>
              </w:rPr>
              <w:t xml:space="preserve"> </w:t>
            </w:r>
            <w:r>
              <w:t>年进行一次安全评价，提出安全</w:t>
            </w:r>
            <w:r>
              <w:rPr>
                <w:spacing w:val="-1"/>
              </w:rPr>
              <w:t>评价报告。安全评价报告的内</w:t>
            </w:r>
            <w:r>
              <w:t xml:space="preserve"> </w:t>
            </w:r>
            <w:r>
              <w:rPr>
                <w:spacing w:val="-1"/>
              </w:rPr>
              <w:t>容应当包括对事故隐患的整改情况、遗留隐患和安全条件改</w:t>
            </w:r>
            <w:r>
              <w:rPr>
                <w:spacing w:val="-2"/>
              </w:rPr>
              <w:t>进建议。</w:t>
            </w:r>
          </w:p>
          <w:p w14:paraId="0E41410E">
            <w:pPr>
              <w:pStyle w:val="8"/>
              <w:spacing w:before="25" w:line="227" w:lineRule="auto"/>
              <w:ind w:left="111" w:right="104" w:firstLine="359"/>
              <w:jc w:val="both"/>
            </w:pPr>
            <w:r>
              <w:t>第七十九条第（二）项  危险货物港口经营人有下列情形之一的，由所在地港口行政管理部门责令改</w:t>
            </w:r>
            <w:r>
              <w:rPr>
                <w:spacing w:val="6"/>
              </w:rPr>
              <w:t xml:space="preserve"> </w:t>
            </w:r>
            <w:r>
              <w:t>正，处五万元以上十万元以下的罚款；逾期未改正的，责令停产停业整顿；除第（一）项情形外，情节严</w:t>
            </w:r>
            <w:r>
              <w:rPr>
                <w:spacing w:val="5"/>
              </w:rPr>
              <w:t xml:space="preserve"> </w:t>
            </w:r>
            <w:r>
              <w:rPr>
                <w:spacing w:val="-1"/>
              </w:rPr>
              <w:t>重的，还可以吊销其港口经营许可证件</w:t>
            </w:r>
            <w:r>
              <w:rPr>
                <w:spacing w:val="4"/>
              </w:rPr>
              <w:t>：（</w:t>
            </w:r>
            <w:r>
              <w:rPr>
                <w:spacing w:val="-1"/>
              </w:rPr>
              <w:t>二）未依照本规定对其安全生产条件定期进行安全评价的。</w:t>
            </w:r>
          </w:p>
        </w:tc>
        <w:tc>
          <w:tcPr>
            <w:tcW w:w="1010" w:type="dxa"/>
            <w:vAlign w:val="top"/>
          </w:tcPr>
          <w:p w14:paraId="36224E31">
            <w:pPr>
              <w:spacing w:line="264" w:lineRule="auto"/>
              <w:rPr>
                <w:rFonts w:ascii="Arial"/>
                <w:sz w:val="21"/>
              </w:rPr>
            </w:pPr>
          </w:p>
          <w:p w14:paraId="4EF904D7">
            <w:pPr>
              <w:spacing w:line="264" w:lineRule="auto"/>
              <w:rPr>
                <w:rFonts w:ascii="Arial"/>
                <w:sz w:val="21"/>
              </w:rPr>
            </w:pPr>
          </w:p>
          <w:p w14:paraId="49090EBD">
            <w:pPr>
              <w:spacing w:line="264" w:lineRule="auto"/>
              <w:rPr>
                <w:rFonts w:ascii="Arial"/>
                <w:sz w:val="21"/>
              </w:rPr>
            </w:pPr>
          </w:p>
          <w:p w14:paraId="11EA652E">
            <w:pPr>
              <w:spacing w:line="265" w:lineRule="auto"/>
              <w:rPr>
                <w:rFonts w:ascii="Arial"/>
                <w:sz w:val="21"/>
              </w:rPr>
            </w:pPr>
          </w:p>
          <w:p w14:paraId="5D2B3DBA">
            <w:pPr>
              <w:spacing w:line="265" w:lineRule="auto"/>
              <w:rPr>
                <w:rFonts w:ascii="Arial"/>
                <w:sz w:val="21"/>
              </w:rPr>
            </w:pPr>
          </w:p>
          <w:p w14:paraId="5FC68CAF">
            <w:pPr>
              <w:spacing w:line="265" w:lineRule="auto"/>
              <w:rPr>
                <w:rFonts w:ascii="Arial"/>
                <w:sz w:val="21"/>
              </w:rPr>
            </w:pPr>
          </w:p>
          <w:p w14:paraId="23C5645F">
            <w:pPr>
              <w:spacing w:line="265" w:lineRule="auto"/>
              <w:rPr>
                <w:rFonts w:ascii="Arial"/>
                <w:sz w:val="21"/>
              </w:rPr>
            </w:pPr>
          </w:p>
          <w:p w14:paraId="29896D39">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4CFC20C6">
            <w:pPr>
              <w:pStyle w:val="8"/>
              <w:spacing w:before="59" w:line="234" w:lineRule="auto"/>
              <w:ind w:left="530" w:right="104" w:hanging="413"/>
              <w:rPr>
                <w:rFonts w:hint="eastAsia"/>
                <w:spacing w:val="-12"/>
                <w:lang w:eastAsia="zh-CN"/>
              </w:rPr>
            </w:pPr>
          </w:p>
          <w:p w14:paraId="28811AAB">
            <w:pPr>
              <w:pStyle w:val="8"/>
              <w:spacing w:before="59" w:line="234" w:lineRule="auto"/>
              <w:ind w:left="530" w:right="104" w:hanging="413"/>
              <w:rPr>
                <w:rFonts w:hint="eastAsia"/>
                <w:spacing w:val="-12"/>
                <w:lang w:eastAsia="zh-CN"/>
              </w:rPr>
            </w:pPr>
          </w:p>
          <w:p w14:paraId="7B0A6238">
            <w:pPr>
              <w:pStyle w:val="8"/>
              <w:spacing w:before="59" w:line="234" w:lineRule="auto"/>
              <w:ind w:left="530" w:right="104" w:hanging="413"/>
              <w:rPr>
                <w:rFonts w:hint="eastAsia"/>
                <w:spacing w:val="-12"/>
                <w:lang w:eastAsia="zh-CN"/>
              </w:rPr>
            </w:pPr>
          </w:p>
          <w:p w14:paraId="2544CB90">
            <w:pPr>
              <w:pStyle w:val="8"/>
              <w:spacing w:before="59" w:line="234" w:lineRule="auto"/>
              <w:ind w:left="530" w:right="104" w:hanging="413"/>
              <w:rPr>
                <w:rFonts w:hint="eastAsia"/>
                <w:spacing w:val="-12"/>
                <w:lang w:eastAsia="zh-CN"/>
              </w:rPr>
            </w:pPr>
          </w:p>
          <w:p w14:paraId="2AF43ACB">
            <w:pPr>
              <w:pStyle w:val="8"/>
              <w:spacing w:before="59" w:line="234" w:lineRule="auto"/>
              <w:ind w:left="530" w:right="104" w:hanging="413"/>
              <w:rPr>
                <w:rFonts w:hint="eastAsia"/>
                <w:spacing w:val="-12"/>
                <w:lang w:eastAsia="zh-CN"/>
              </w:rPr>
            </w:pPr>
          </w:p>
          <w:p w14:paraId="26C028C6">
            <w:pPr>
              <w:pStyle w:val="8"/>
              <w:spacing w:before="59" w:line="234" w:lineRule="auto"/>
              <w:ind w:left="530" w:right="104" w:hanging="413"/>
              <w:rPr>
                <w:rFonts w:hint="eastAsia"/>
                <w:spacing w:val="-12"/>
                <w:lang w:eastAsia="zh-CN"/>
              </w:rPr>
            </w:pPr>
          </w:p>
          <w:p w14:paraId="29E69102">
            <w:pPr>
              <w:pStyle w:val="8"/>
              <w:spacing w:before="59" w:line="234" w:lineRule="auto"/>
              <w:ind w:left="530" w:right="104" w:hanging="413"/>
              <w:rPr>
                <w:rFonts w:hint="eastAsia"/>
                <w:spacing w:val="-12"/>
                <w:lang w:eastAsia="zh-CN"/>
              </w:rPr>
            </w:pPr>
          </w:p>
          <w:p w14:paraId="28CC8772">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0E6EAEFE">
            <w:pPr>
              <w:spacing w:line="247" w:lineRule="auto"/>
              <w:rPr>
                <w:rFonts w:ascii="Arial"/>
                <w:sz w:val="21"/>
              </w:rPr>
            </w:pPr>
          </w:p>
          <w:p w14:paraId="2EC30713">
            <w:pPr>
              <w:spacing w:line="247" w:lineRule="auto"/>
              <w:rPr>
                <w:rFonts w:ascii="Arial"/>
                <w:sz w:val="21"/>
              </w:rPr>
            </w:pPr>
          </w:p>
          <w:p w14:paraId="16B67D8D">
            <w:pPr>
              <w:spacing w:line="247" w:lineRule="auto"/>
              <w:rPr>
                <w:rFonts w:ascii="Arial"/>
                <w:sz w:val="21"/>
              </w:rPr>
            </w:pPr>
          </w:p>
          <w:p w14:paraId="209FC3BA">
            <w:pPr>
              <w:spacing w:line="248" w:lineRule="auto"/>
              <w:rPr>
                <w:rFonts w:ascii="Arial"/>
                <w:sz w:val="21"/>
              </w:rPr>
            </w:pPr>
          </w:p>
          <w:p w14:paraId="672D3AF9">
            <w:pPr>
              <w:spacing w:line="248" w:lineRule="auto"/>
              <w:rPr>
                <w:rFonts w:ascii="Arial"/>
                <w:sz w:val="21"/>
              </w:rPr>
            </w:pPr>
          </w:p>
          <w:p w14:paraId="2F223A4D">
            <w:pPr>
              <w:spacing w:line="248" w:lineRule="auto"/>
              <w:rPr>
                <w:rFonts w:ascii="Arial"/>
                <w:sz w:val="21"/>
              </w:rPr>
            </w:pPr>
          </w:p>
          <w:p w14:paraId="6BEDDC90">
            <w:pPr>
              <w:spacing w:line="248" w:lineRule="auto"/>
              <w:rPr>
                <w:rFonts w:ascii="Arial"/>
                <w:sz w:val="21"/>
              </w:rPr>
            </w:pPr>
          </w:p>
          <w:p w14:paraId="0912F145">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4CB14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9" w:hRule="atLeast"/>
        </w:trPr>
        <w:tc>
          <w:tcPr>
            <w:tcW w:w="622" w:type="dxa"/>
            <w:vAlign w:val="top"/>
          </w:tcPr>
          <w:p w14:paraId="7DFFDD75">
            <w:pPr>
              <w:spacing w:line="264" w:lineRule="auto"/>
              <w:rPr>
                <w:rFonts w:ascii="Arial"/>
                <w:sz w:val="21"/>
              </w:rPr>
            </w:pPr>
          </w:p>
          <w:p w14:paraId="1012C244">
            <w:pPr>
              <w:spacing w:line="264" w:lineRule="auto"/>
              <w:rPr>
                <w:rFonts w:ascii="Arial"/>
                <w:sz w:val="21"/>
              </w:rPr>
            </w:pPr>
          </w:p>
          <w:p w14:paraId="271DE798">
            <w:pPr>
              <w:spacing w:line="264" w:lineRule="auto"/>
              <w:rPr>
                <w:rFonts w:ascii="Arial"/>
                <w:sz w:val="21"/>
              </w:rPr>
            </w:pPr>
          </w:p>
          <w:p w14:paraId="353BB1B7">
            <w:pPr>
              <w:spacing w:line="264" w:lineRule="auto"/>
              <w:rPr>
                <w:rFonts w:ascii="Arial"/>
                <w:sz w:val="21"/>
              </w:rPr>
            </w:pPr>
          </w:p>
          <w:p w14:paraId="3AB21FC3">
            <w:pPr>
              <w:spacing w:line="264" w:lineRule="auto"/>
              <w:rPr>
                <w:rFonts w:ascii="Arial"/>
                <w:sz w:val="21"/>
              </w:rPr>
            </w:pPr>
          </w:p>
          <w:p w14:paraId="07BBAB68">
            <w:pPr>
              <w:spacing w:line="264" w:lineRule="auto"/>
              <w:rPr>
                <w:rFonts w:ascii="Arial"/>
                <w:sz w:val="21"/>
              </w:rPr>
            </w:pPr>
          </w:p>
          <w:p w14:paraId="640B8CF9">
            <w:pPr>
              <w:spacing w:line="264" w:lineRule="auto"/>
              <w:rPr>
                <w:rFonts w:ascii="Arial"/>
                <w:sz w:val="21"/>
              </w:rPr>
            </w:pPr>
          </w:p>
          <w:p w14:paraId="02799D23">
            <w:pPr>
              <w:spacing w:line="265" w:lineRule="auto"/>
              <w:rPr>
                <w:rFonts w:ascii="Arial"/>
                <w:sz w:val="21"/>
              </w:rPr>
            </w:pPr>
          </w:p>
          <w:p w14:paraId="59F22168">
            <w:pPr>
              <w:pStyle w:val="8"/>
              <w:spacing w:before="59" w:line="183" w:lineRule="auto"/>
              <w:ind w:left="229"/>
            </w:pPr>
            <w:r>
              <w:rPr>
                <w:spacing w:val="-5"/>
              </w:rPr>
              <w:t>35</w:t>
            </w:r>
          </w:p>
        </w:tc>
        <w:tc>
          <w:tcPr>
            <w:tcW w:w="1100" w:type="dxa"/>
            <w:vAlign w:val="top"/>
          </w:tcPr>
          <w:p w14:paraId="1EC8CC76">
            <w:pPr>
              <w:spacing w:line="274" w:lineRule="auto"/>
              <w:rPr>
                <w:rFonts w:ascii="Arial"/>
                <w:sz w:val="21"/>
              </w:rPr>
            </w:pPr>
          </w:p>
          <w:p w14:paraId="36750EAC">
            <w:pPr>
              <w:spacing w:line="275" w:lineRule="auto"/>
              <w:rPr>
                <w:rFonts w:ascii="Arial"/>
                <w:sz w:val="21"/>
              </w:rPr>
            </w:pPr>
          </w:p>
          <w:p w14:paraId="62FBC35C">
            <w:pPr>
              <w:spacing w:line="275" w:lineRule="auto"/>
              <w:rPr>
                <w:rFonts w:ascii="Arial"/>
                <w:sz w:val="21"/>
              </w:rPr>
            </w:pPr>
          </w:p>
          <w:p w14:paraId="32234485">
            <w:pPr>
              <w:spacing w:line="275" w:lineRule="auto"/>
              <w:rPr>
                <w:rFonts w:ascii="Arial"/>
                <w:sz w:val="21"/>
              </w:rPr>
            </w:pPr>
          </w:p>
          <w:p w14:paraId="1D50D3E7">
            <w:pPr>
              <w:spacing w:line="275" w:lineRule="auto"/>
              <w:rPr>
                <w:rFonts w:ascii="Arial"/>
                <w:sz w:val="21"/>
              </w:rPr>
            </w:pPr>
          </w:p>
          <w:p w14:paraId="6972E8F6">
            <w:pPr>
              <w:pStyle w:val="8"/>
              <w:spacing w:before="58" w:line="243" w:lineRule="auto"/>
              <w:ind w:left="59" w:right="55"/>
              <w:jc w:val="both"/>
            </w:pPr>
            <w:r>
              <w:rPr>
                <w:spacing w:val="16"/>
              </w:rPr>
              <w:t>对危险货物</w:t>
            </w:r>
            <w:r>
              <w:t xml:space="preserve"> </w:t>
            </w:r>
            <w:r>
              <w:rPr>
                <w:spacing w:val="16"/>
              </w:rPr>
              <w:t>港口经营人</w:t>
            </w:r>
            <w:r>
              <w:t xml:space="preserve"> </w:t>
            </w:r>
            <w:r>
              <w:rPr>
                <w:spacing w:val="16"/>
              </w:rPr>
              <w:t>未将危险货</w:t>
            </w:r>
            <w:r>
              <w:t xml:space="preserve"> </w:t>
            </w:r>
            <w:r>
              <w:rPr>
                <w:spacing w:val="16"/>
              </w:rPr>
              <w:t>物储存在专</w:t>
            </w:r>
            <w:r>
              <w:t xml:space="preserve"> </w:t>
            </w:r>
            <w:r>
              <w:rPr>
                <w:spacing w:val="16"/>
              </w:rPr>
              <w:t>用库场、储</w:t>
            </w:r>
            <w:r>
              <w:t xml:space="preserve"> </w:t>
            </w:r>
            <w:r>
              <w:rPr>
                <w:spacing w:val="16"/>
              </w:rPr>
              <w:t>罐内等行为</w:t>
            </w:r>
            <w:r>
              <w:t xml:space="preserve"> </w:t>
            </w:r>
            <w:r>
              <w:rPr>
                <w:spacing w:val="-2"/>
              </w:rPr>
              <w:t>的政处罚</w:t>
            </w:r>
          </w:p>
        </w:tc>
        <w:tc>
          <w:tcPr>
            <w:tcW w:w="1100" w:type="dxa"/>
            <w:vAlign w:val="top"/>
          </w:tcPr>
          <w:p w14:paraId="666BB96D">
            <w:pPr>
              <w:spacing w:line="260" w:lineRule="auto"/>
              <w:rPr>
                <w:rFonts w:ascii="Arial"/>
                <w:sz w:val="21"/>
              </w:rPr>
            </w:pPr>
          </w:p>
          <w:p w14:paraId="2B3A0682">
            <w:pPr>
              <w:spacing w:line="260" w:lineRule="auto"/>
              <w:rPr>
                <w:rFonts w:ascii="Arial"/>
                <w:sz w:val="21"/>
              </w:rPr>
            </w:pPr>
          </w:p>
          <w:p w14:paraId="48C21890">
            <w:pPr>
              <w:spacing w:line="260" w:lineRule="auto"/>
              <w:rPr>
                <w:rFonts w:ascii="Arial"/>
                <w:sz w:val="21"/>
              </w:rPr>
            </w:pPr>
          </w:p>
          <w:p w14:paraId="1BE151B8">
            <w:pPr>
              <w:spacing w:line="260" w:lineRule="auto"/>
              <w:rPr>
                <w:rFonts w:ascii="Arial"/>
                <w:sz w:val="21"/>
              </w:rPr>
            </w:pPr>
          </w:p>
          <w:p w14:paraId="45740364">
            <w:pPr>
              <w:spacing w:line="260" w:lineRule="auto"/>
              <w:rPr>
                <w:rFonts w:ascii="Arial"/>
                <w:sz w:val="21"/>
              </w:rPr>
            </w:pPr>
          </w:p>
          <w:p w14:paraId="1F3B5890">
            <w:pPr>
              <w:spacing w:line="261" w:lineRule="auto"/>
              <w:rPr>
                <w:rFonts w:ascii="Arial"/>
                <w:sz w:val="21"/>
              </w:rPr>
            </w:pPr>
          </w:p>
          <w:p w14:paraId="1959C898">
            <w:pPr>
              <w:spacing w:line="261" w:lineRule="auto"/>
              <w:rPr>
                <w:rFonts w:ascii="Arial"/>
                <w:sz w:val="21"/>
              </w:rPr>
            </w:pPr>
          </w:p>
          <w:p w14:paraId="0DCF450A">
            <w:pPr>
              <w:spacing w:line="261" w:lineRule="auto"/>
              <w:rPr>
                <w:rFonts w:ascii="Arial"/>
                <w:sz w:val="21"/>
              </w:rPr>
            </w:pPr>
          </w:p>
          <w:p w14:paraId="15B171A0">
            <w:pPr>
              <w:pStyle w:val="8"/>
              <w:spacing w:before="58" w:line="220" w:lineRule="auto"/>
              <w:ind w:left="112"/>
            </w:pPr>
            <w:r>
              <w:rPr>
                <w:spacing w:val="-2"/>
              </w:rPr>
              <w:t>行政处罚</w:t>
            </w:r>
          </w:p>
        </w:tc>
        <w:tc>
          <w:tcPr>
            <w:tcW w:w="8508" w:type="dxa"/>
            <w:vAlign w:val="top"/>
          </w:tcPr>
          <w:p w14:paraId="1820F54B">
            <w:pPr>
              <w:pStyle w:val="8"/>
              <w:spacing w:before="38" w:line="219" w:lineRule="auto"/>
              <w:ind w:left="484"/>
            </w:pPr>
            <w:r>
              <w:rPr>
                <w:b/>
                <w:bCs/>
                <w:spacing w:val="-3"/>
              </w:rPr>
              <w:t>1.《危险化学品安全管理条例》</w:t>
            </w:r>
          </w:p>
          <w:p w14:paraId="38746369">
            <w:pPr>
              <w:pStyle w:val="8"/>
              <w:spacing w:before="20" w:line="235" w:lineRule="auto"/>
              <w:ind w:left="110" w:right="104" w:firstLine="360"/>
            </w:pPr>
            <w:r>
              <w:t>第二十四条  危险化学品应当储存在专用仓库、专用场地或者专用储存室（以下统称专用仓库）内，</w:t>
            </w:r>
            <w:r>
              <w:rPr>
                <w:spacing w:val="3"/>
              </w:rPr>
              <w:t xml:space="preserve"> </w:t>
            </w:r>
            <w:r>
              <w:t>并由专人负责管理；剧毒化学品以及储存数量构成重大危险源的其他危险化学品，应当在专用仓库内单独</w:t>
            </w:r>
            <w:r>
              <w:rPr>
                <w:spacing w:val="7"/>
              </w:rPr>
              <w:t xml:space="preserve"> </w:t>
            </w:r>
            <w:r>
              <w:rPr>
                <w:spacing w:val="-2"/>
              </w:rPr>
              <w:t>存放，并实行双人收发、双人保管制度。</w:t>
            </w:r>
          </w:p>
          <w:p w14:paraId="408B9A74">
            <w:pPr>
              <w:pStyle w:val="8"/>
              <w:spacing w:before="21" w:line="219" w:lineRule="auto"/>
              <w:ind w:left="473"/>
            </w:pPr>
            <w:r>
              <w:rPr>
                <w:spacing w:val="-1"/>
              </w:rPr>
              <w:t>危险化学品的储存方式、方法以及储存数量应当符合国家标准或者国家</w:t>
            </w:r>
            <w:r>
              <w:rPr>
                <w:spacing w:val="-2"/>
              </w:rPr>
              <w:t>有关规定。</w:t>
            </w:r>
          </w:p>
          <w:p w14:paraId="7CB40B25">
            <w:pPr>
              <w:pStyle w:val="8"/>
              <w:spacing w:before="20" w:line="238" w:lineRule="auto"/>
              <w:ind w:left="114" w:right="104" w:firstLine="357"/>
            </w:pPr>
            <w:r>
              <w:t>第八十条第一款第（四）项  生产、储存、使用危险化学品的单位有下列情形之一的，由安全生产监</w:t>
            </w:r>
            <w:r>
              <w:rPr>
                <w:spacing w:val="3"/>
              </w:rPr>
              <w:t xml:space="preserve"> </w:t>
            </w:r>
            <w:r>
              <w:rPr>
                <w:spacing w:val="-3"/>
              </w:rPr>
              <w:t>督管理部门责令改正，处</w:t>
            </w:r>
            <w:r>
              <w:rPr>
                <w:spacing w:val="-33"/>
              </w:rPr>
              <w:t xml:space="preserve"> </w:t>
            </w:r>
            <w:r>
              <w:rPr>
                <w:spacing w:val="-3"/>
              </w:rPr>
              <w:t>5</w:t>
            </w:r>
            <w:r>
              <w:rPr>
                <w:spacing w:val="-35"/>
              </w:rPr>
              <w:t xml:space="preserve"> </w:t>
            </w:r>
            <w:r>
              <w:rPr>
                <w:spacing w:val="-3"/>
              </w:rPr>
              <w:t>万元以上</w:t>
            </w:r>
            <w:r>
              <w:rPr>
                <w:spacing w:val="-24"/>
              </w:rPr>
              <w:t xml:space="preserve"> </w:t>
            </w:r>
            <w:r>
              <w:rPr>
                <w:spacing w:val="-3"/>
              </w:rPr>
              <w:t>10</w:t>
            </w:r>
            <w:r>
              <w:rPr>
                <w:spacing w:val="-34"/>
              </w:rPr>
              <w:t xml:space="preserve"> </w:t>
            </w:r>
            <w:r>
              <w:rPr>
                <w:spacing w:val="-3"/>
              </w:rPr>
              <w:t>万元以下的罚款；拒不改正的，责令停产停业整顿直至由原发证机</w:t>
            </w:r>
            <w:r>
              <w:t xml:space="preserve"> 关吊销其相关许可证件，并由工商行政管理部门责令其办理经营范围变更登记或者吊销其营业执照；有关</w:t>
            </w:r>
            <w:r>
              <w:rPr>
                <w:spacing w:val="3"/>
              </w:rPr>
              <w:t xml:space="preserve"> </w:t>
            </w:r>
            <w:r>
              <w:t>责任人员构成犯罪的，依法追究刑事责任</w:t>
            </w:r>
            <w:r>
              <w:rPr>
                <w:spacing w:val="1"/>
              </w:rPr>
              <w:t>：（</w:t>
            </w:r>
            <w:r>
              <w:t>四）未将危险化学品储存在专用仓库内，或者未将剧毒化学</w:t>
            </w:r>
            <w:r>
              <w:rPr>
                <w:spacing w:val="1"/>
              </w:rPr>
              <w:t xml:space="preserve"> </w:t>
            </w:r>
            <w:r>
              <w:rPr>
                <w:spacing w:val="-1"/>
              </w:rPr>
              <w:t>品以及储存数量构成重大危险源的其他危险化学品在专用仓库内单独存放</w:t>
            </w:r>
            <w:r>
              <w:rPr>
                <w:spacing w:val="-2"/>
              </w:rPr>
              <w:t>的。</w:t>
            </w:r>
          </w:p>
          <w:p w14:paraId="7E0F8229">
            <w:pPr>
              <w:pStyle w:val="8"/>
              <w:spacing w:before="20" w:line="231" w:lineRule="auto"/>
              <w:ind w:left="116" w:right="104" w:firstLine="354"/>
            </w:pPr>
            <w:r>
              <w:t>第八十条第二款  从事危险化学品仓储经营的港口经营人有前款规定情形的，由港口行政管理部门依</w:t>
            </w:r>
            <w:r>
              <w:rPr>
                <w:spacing w:val="6"/>
              </w:rPr>
              <w:t xml:space="preserve"> </w:t>
            </w:r>
            <w:r>
              <w:rPr>
                <w:spacing w:val="-4"/>
              </w:rPr>
              <w:t>照前款规定予以处罚。</w:t>
            </w:r>
          </w:p>
          <w:p w14:paraId="121CA61F">
            <w:pPr>
              <w:pStyle w:val="8"/>
              <w:spacing w:before="23"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4A821E96">
            <w:pPr>
              <w:pStyle w:val="8"/>
              <w:spacing w:before="22" w:line="230" w:lineRule="auto"/>
              <w:ind w:left="110" w:right="104" w:firstLine="360"/>
            </w:pPr>
            <w:r>
              <w:t>第五十一条第一款  危险货物应当储存在港区专用的库场、储罐，并由专人负责管理；剧毒化学品以</w:t>
            </w:r>
            <w:r>
              <w:rPr>
                <w:spacing w:val="6"/>
              </w:rPr>
              <w:t xml:space="preserve"> </w:t>
            </w:r>
            <w:r>
              <w:rPr>
                <w:spacing w:val="-1"/>
              </w:rPr>
              <w:t>及储存数量构成重大危险源的其他危险货物，应当单独存放，并实行双人收发、双人保管制度。</w:t>
            </w:r>
          </w:p>
          <w:p w14:paraId="5F12316D">
            <w:pPr>
              <w:pStyle w:val="8"/>
              <w:spacing w:before="24" w:line="231" w:lineRule="auto"/>
              <w:ind w:left="111" w:right="104" w:firstLine="359"/>
            </w:pPr>
            <w:r>
              <w:t>第七十九条第（三）项  危险货物港口经营人有下列情形之一的，由所在地港口行政管理部门责令改</w:t>
            </w:r>
            <w:r>
              <w:rPr>
                <w:spacing w:val="6"/>
              </w:rPr>
              <w:t xml:space="preserve"> </w:t>
            </w:r>
            <w:r>
              <w:t>正，处五万元以上十万元以下的罚款；逾期未改正的，责令停产停业整顿；除第（一）项情形外，情节严</w:t>
            </w:r>
            <w:r>
              <w:rPr>
                <w:spacing w:val="5"/>
              </w:rPr>
              <w:t xml:space="preserve"> </w:t>
            </w:r>
            <w:r>
              <w:t>重的，还可以吊销其港口经营许可证件</w:t>
            </w:r>
            <w:r>
              <w:rPr>
                <w:spacing w:val="2"/>
              </w:rPr>
              <w:t>：（</w:t>
            </w:r>
            <w:r>
              <w:t>三）未将危险货物储存在专用库场、储罐内，或者未将剧毒化</w:t>
            </w:r>
            <w:r>
              <w:rPr>
                <w:spacing w:val="1"/>
              </w:rPr>
              <w:t xml:space="preserve"> </w:t>
            </w:r>
            <w:r>
              <w:rPr>
                <w:spacing w:val="-1"/>
              </w:rPr>
              <w:t>学品以及储存数量构成重大危险源的其他危险货物在专用库场、储罐内单独存放的。</w:t>
            </w:r>
          </w:p>
        </w:tc>
        <w:tc>
          <w:tcPr>
            <w:tcW w:w="1010" w:type="dxa"/>
            <w:vAlign w:val="top"/>
          </w:tcPr>
          <w:p w14:paraId="06B24473">
            <w:pPr>
              <w:spacing w:line="246" w:lineRule="auto"/>
              <w:rPr>
                <w:rFonts w:ascii="Arial"/>
                <w:sz w:val="21"/>
              </w:rPr>
            </w:pPr>
          </w:p>
          <w:p w14:paraId="55243C8B">
            <w:pPr>
              <w:spacing w:line="246" w:lineRule="auto"/>
              <w:rPr>
                <w:rFonts w:ascii="Arial"/>
                <w:sz w:val="21"/>
              </w:rPr>
            </w:pPr>
          </w:p>
          <w:p w14:paraId="6428FEED">
            <w:pPr>
              <w:spacing w:line="246" w:lineRule="auto"/>
              <w:rPr>
                <w:rFonts w:ascii="Arial"/>
                <w:sz w:val="21"/>
              </w:rPr>
            </w:pPr>
          </w:p>
          <w:p w14:paraId="6DF47AF5">
            <w:pPr>
              <w:spacing w:line="247" w:lineRule="auto"/>
              <w:rPr>
                <w:rFonts w:ascii="Arial"/>
                <w:sz w:val="21"/>
              </w:rPr>
            </w:pPr>
          </w:p>
          <w:p w14:paraId="1A629B79">
            <w:pPr>
              <w:spacing w:line="247" w:lineRule="auto"/>
              <w:rPr>
                <w:rFonts w:ascii="Arial"/>
                <w:sz w:val="21"/>
              </w:rPr>
            </w:pPr>
          </w:p>
          <w:p w14:paraId="433C5D80">
            <w:pPr>
              <w:spacing w:line="247" w:lineRule="auto"/>
              <w:rPr>
                <w:rFonts w:ascii="Arial"/>
                <w:sz w:val="21"/>
              </w:rPr>
            </w:pPr>
          </w:p>
          <w:p w14:paraId="4B7C4368">
            <w:pPr>
              <w:spacing w:line="247" w:lineRule="auto"/>
              <w:rPr>
                <w:rFonts w:ascii="Arial"/>
                <w:sz w:val="21"/>
              </w:rPr>
            </w:pPr>
          </w:p>
          <w:p w14:paraId="006E4055">
            <w:pPr>
              <w:spacing w:line="247" w:lineRule="auto"/>
              <w:rPr>
                <w:rFonts w:ascii="Arial"/>
                <w:sz w:val="21"/>
              </w:rPr>
            </w:pPr>
          </w:p>
          <w:p w14:paraId="6CD4EF12">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6FD8500B">
            <w:pPr>
              <w:pStyle w:val="8"/>
              <w:spacing w:before="59" w:line="234" w:lineRule="auto"/>
              <w:ind w:left="530" w:right="104" w:hanging="413"/>
              <w:rPr>
                <w:rFonts w:hint="eastAsia"/>
                <w:spacing w:val="-12"/>
                <w:lang w:eastAsia="zh-CN"/>
              </w:rPr>
            </w:pPr>
          </w:p>
          <w:p w14:paraId="40A41235">
            <w:pPr>
              <w:pStyle w:val="8"/>
              <w:spacing w:before="59" w:line="234" w:lineRule="auto"/>
              <w:ind w:left="530" w:right="104" w:hanging="413"/>
              <w:rPr>
                <w:rFonts w:hint="eastAsia"/>
                <w:spacing w:val="-12"/>
                <w:lang w:eastAsia="zh-CN"/>
              </w:rPr>
            </w:pPr>
          </w:p>
          <w:p w14:paraId="5B651F74">
            <w:pPr>
              <w:pStyle w:val="8"/>
              <w:spacing w:before="59" w:line="234" w:lineRule="auto"/>
              <w:ind w:left="530" w:right="104" w:hanging="413"/>
              <w:rPr>
                <w:rFonts w:hint="eastAsia"/>
                <w:spacing w:val="-12"/>
                <w:lang w:eastAsia="zh-CN"/>
              </w:rPr>
            </w:pPr>
          </w:p>
          <w:p w14:paraId="7E0D67AD">
            <w:pPr>
              <w:pStyle w:val="8"/>
              <w:spacing w:before="59" w:line="234" w:lineRule="auto"/>
              <w:ind w:left="530" w:right="104" w:hanging="413"/>
              <w:rPr>
                <w:rFonts w:hint="eastAsia"/>
                <w:spacing w:val="-12"/>
                <w:lang w:eastAsia="zh-CN"/>
              </w:rPr>
            </w:pPr>
          </w:p>
          <w:p w14:paraId="70A81938">
            <w:pPr>
              <w:pStyle w:val="8"/>
              <w:spacing w:before="59" w:line="234" w:lineRule="auto"/>
              <w:ind w:left="530" w:right="104" w:hanging="413"/>
              <w:rPr>
                <w:rFonts w:hint="eastAsia"/>
                <w:spacing w:val="-12"/>
                <w:lang w:eastAsia="zh-CN"/>
              </w:rPr>
            </w:pPr>
          </w:p>
          <w:p w14:paraId="1179B4E9">
            <w:pPr>
              <w:pStyle w:val="8"/>
              <w:spacing w:before="59" w:line="234" w:lineRule="auto"/>
              <w:ind w:left="530" w:right="104" w:hanging="413"/>
              <w:rPr>
                <w:rFonts w:hint="eastAsia"/>
                <w:spacing w:val="-12"/>
                <w:lang w:eastAsia="zh-CN"/>
              </w:rPr>
            </w:pPr>
          </w:p>
          <w:p w14:paraId="774667FA">
            <w:pPr>
              <w:pStyle w:val="8"/>
              <w:spacing w:before="59" w:line="234" w:lineRule="auto"/>
              <w:ind w:left="530" w:right="104" w:hanging="413"/>
              <w:rPr>
                <w:rFonts w:hint="eastAsia"/>
                <w:spacing w:val="-12"/>
                <w:lang w:eastAsia="zh-CN"/>
              </w:rPr>
            </w:pPr>
          </w:p>
          <w:p w14:paraId="19E6AF56">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BD8A65D">
            <w:pPr>
              <w:spacing w:line="264" w:lineRule="auto"/>
              <w:rPr>
                <w:rFonts w:ascii="Arial"/>
                <w:sz w:val="21"/>
              </w:rPr>
            </w:pPr>
          </w:p>
          <w:p w14:paraId="43F91FAB">
            <w:pPr>
              <w:spacing w:line="265" w:lineRule="auto"/>
              <w:rPr>
                <w:rFonts w:ascii="Arial"/>
                <w:sz w:val="21"/>
              </w:rPr>
            </w:pPr>
          </w:p>
          <w:p w14:paraId="222F0E67">
            <w:pPr>
              <w:spacing w:line="265" w:lineRule="auto"/>
              <w:rPr>
                <w:rFonts w:ascii="Arial"/>
                <w:sz w:val="21"/>
              </w:rPr>
            </w:pPr>
          </w:p>
          <w:p w14:paraId="477C9FDF">
            <w:pPr>
              <w:spacing w:line="265" w:lineRule="auto"/>
              <w:rPr>
                <w:rFonts w:ascii="Arial"/>
                <w:sz w:val="21"/>
              </w:rPr>
            </w:pPr>
          </w:p>
          <w:p w14:paraId="421E79AF">
            <w:pPr>
              <w:spacing w:line="265" w:lineRule="auto"/>
              <w:rPr>
                <w:rFonts w:ascii="Arial"/>
                <w:sz w:val="21"/>
              </w:rPr>
            </w:pPr>
          </w:p>
          <w:p w14:paraId="2F4DBFA1">
            <w:pPr>
              <w:spacing w:line="265" w:lineRule="auto"/>
              <w:rPr>
                <w:rFonts w:ascii="Arial"/>
                <w:sz w:val="21"/>
              </w:rPr>
            </w:pPr>
          </w:p>
          <w:p w14:paraId="02E5B2D7">
            <w:pPr>
              <w:spacing w:line="265" w:lineRule="auto"/>
              <w:rPr>
                <w:rFonts w:ascii="Arial"/>
                <w:sz w:val="21"/>
              </w:rPr>
            </w:pPr>
          </w:p>
          <w:p w14:paraId="5DB706A9">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06ECEEDA">
      <w:pPr>
        <w:pStyle w:val="2"/>
      </w:pPr>
    </w:p>
    <w:p w14:paraId="788E1CAC">
      <w:pPr>
        <w:sectPr>
          <w:footerReference r:id="rId145" w:type="default"/>
          <w:pgSz w:w="16839" w:h="11906"/>
          <w:pgMar w:top="1012" w:right="1034" w:bottom="967" w:left="1043" w:header="0" w:footer="768" w:gutter="0"/>
          <w:cols w:space="720" w:num="1"/>
        </w:sectPr>
      </w:pPr>
    </w:p>
    <w:p w14:paraId="4EEFD5EF">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149EE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7E798574">
            <w:pPr>
              <w:pStyle w:val="8"/>
              <w:spacing w:before="259" w:line="221" w:lineRule="auto"/>
              <w:ind w:left="134"/>
            </w:pPr>
            <w:r>
              <w:rPr>
                <w:b/>
                <w:bCs/>
                <w:spacing w:val="-4"/>
              </w:rPr>
              <w:t>序号</w:t>
            </w:r>
          </w:p>
        </w:tc>
        <w:tc>
          <w:tcPr>
            <w:tcW w:w="1100" w:type="dxa"/>
            <w:vMerge w:val="restart"/>
            <w:tcBorders>
              <w:bottom w:val="nil"/>
            </w:tcBorders>
            <w:vAlign w:val="top"/>
          </w:tcPr>
          <w:p w14:paraId="154F33E6">
            <w:pPr>
              <w:pStyle w:val="8"/>
              <w:spacing w:before="260" w:line="220" w:lineRule="auto"/>
              <w:ind w:left="189"/>
            </w:pPr>
            <w:r>
              <w:rPr>
                <w:b/>
                <w:bCs/>
                <w:spacing w:val="-4"/>
              </w:rPr>
              <w:t>事项名称</w:t>
            </w:r>
          </w:p>
        </w:tc>
        <w:tc>
          <w:tcPr>
            <w:tcW w:w="1100" w:type="dxa"/>
            <w:vMerge w:val="restart"/>
            <w:tcBorders>
              <w:bottom w:val="nil"/>
            </w:tcBorders>
            <w:vAlign w:val="top"/>
          </w:tcPr>
          <w:p w14:paraId="58C94A44">
            <w:pPr>
              <w:pStyle w:val="8"/>
              <w:spacing w:before="260" w:line="219" w:lineRule="auto"/>
              <w:ind w:left="191"/>
            </w:pPr>
            <w:r>
              <w:rPr>
                <w:b/>
                <w:bCs/>
                <w:spacing w:val="-4"/>
              </w:rPr>
              <w:t>职权类型</w:t>
            </w:r>
          </w:p>
        </w:tc>
        <w:tc>
          <w:tcPr>
            <w:tcW w:w="8508" w:type="dxa"/>
            <w:vMerge w:val="restart"/>
            <w:tcBorders>
              <w:bottom w:val="nil"/>
            </w:tcBorders>
            <w:vAlign w:val="top"/>
          </w:tcPr>
          <w:p w14:paraId="08A6D8FA">
            <w:pPr>
              <w:pStyle w:val="8"/>
              <w:spacing w:before="259" w:line="219" w:lineRule="auto"/>
              <w:ind w:left="3900"/>
            </w:pPr>
            <w:r>
              <w:rPr>
                <w:b/>
                <w:bCs/>
                <w:spacing w:val="-5"/>
              </w:rPr>
              <w:t>实施依据</w:t>
            </w:r>
          </w:p>
        </w:tc>
        <w:tc>
          <w:tcPr>
            <w:tcW w:w="3425" w:type="dxa"/>
            <w:gridSpan w:val="3"/>
            <w:vAlign w:val="top"/>
          </w:tcPr>
          <w:p w14:paraId="09605A3D">
            <w:pPr>
              <w:pStyle w:val="8"/>
              <w:spacing w:before="85" w:line="220" w:lineRule="auto"/>
              <w:ind w:left="1358"/>
            </w:pPr>
            <w:r>
              <w:rPr>
                <w:b/>
                <w:bCs/>
                <w:spacing w:val="-5"/>
              </w:rPr>
              <w:t>实施主体</w:t>
            </w:r>
          </w:p>
        </w:tc>
      </w:tr>
      <w:tr w14:paraId="6B954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0957D48B">
            <w:pPr>
              <w:rPr>
                <w:rFonts w:ascii="Arial"/>
                <w:sz w:val="21"/>
              </w:rPr>
            </w:pPr>
          </w:p>
        </w:tc>
        <w:tc>
          <w:tcPr>
            <w:tcW w:w="1100" w:type="dxa"/>
            <w:vMerge w:val="continue"/>
            <w:tcBorders>
              <w:top w:val="nil"/>
            </w:tcBorders>
            <w:vAlign w:val="top"/>
          </w:tcPr>
          <w:p w14:paraId="646C3BE9">
            <w:pPr>
              <w:rPr>
                <w:rFonts w:ascii="Arial"/>
                <w:sz w:val="21"/>
              </w:rPr>
            </w:pPr>
          </w:p>
        </w:tc>
        <w:tc>
          <w:tcPr>
            <w:tcW w:w="1100" w:type="dxa"/>
            <w:vMerge w:val="continue"/>
            <w:tcBorders>
              <w:top w:val="nil"/>
            </w:tcBorders>
            <w:vAlign w:val="top"/>
          </w:tcPr>
          <w:p w14:paraId="18A36396">
            <w:pPr>
              <w:rPr>
                <w:rFonts w:ascii="Arial"/>
                <w:sz w:val="21"/>
              </w:rPr>
            </w:pPr>
          </w:p>
        </w:tc>
        <w:tc>
          <w:tcPr>
            <w:tcW w:w="8508" w:type="dxa"/>
            <w:vMerge w:val="continue"/>
            <w:tcBorders>
              <w:top w:val="nil"/>
            </w:tcBorders>
            <w:vAlign w:val="top"/>
          </w:tcPr>
          <w:p w14:paraId="7D6B5D31">
            <w:pPr>
              <w:rPr>
                <w:rFonts w:ascii="Arial"/>
                <w:sz w:val="21"/>
              </w:rPr>
            </w:pPr>
          </w:p>
        </w:tc>
        <w:tc>
          <w:tcPr>
            <w:tcW w:w="1010" w:type="dxa"/>
            <w:vAlign w:val="top"/>
          </w:tcPr>
          <w:p w14:paraId="70193D81">
            <w:pPr>
              <w:pStyle w:val="8"/>
              <w:spacing w:before="81" w:line="219" w:lineRule="auto"/>
              <w:ind w:left="155"/>
            </w:pPr>
            <w:r>
              <w:rPr>
                <w:b/>
                <w:bCs/>
                <w:spacing w:val="-5"/>
              </w:rPr>
              <w:t>责任部门</w:t>
            </w:r>
          </w:p>
        </w:tc>
        <w:tc>
          <w:tcPr>
            <w:tcW w:w="1401" w:type="dxa"/>
            <w:vAlign w:val="top"/>
          </w:tcPr>
          <w:p w14:paraId="276AF924">
            <w:pPr>
              <w:pStyle w:val="8"/>
              <w:spacing w:before="81" w:line="219" w:lineRule="auto"/>
              <w:ind w:left="164"/>
            </w:pPr>
            <w:r>
              <w:rPr>
                <w:b/>
                <w:bCs/>
                <w:spacing w:val="-3"/>
              </w:rPr>
              <w:t>第一责任层级</w:t>
            </w:r>
          </w:p>
        </w:tc>
        <w:tc>
          <w:tcPr>
            <w:tcW w:w="1014" w:type="dxa"/>
            <w:vAlign w:val="top"/>
          </w:tcPr>
          <w:p w14:paraId="49EA5B74">
            <w:pPr>
              <w:pStyle w:val="8"/>
              <w:spacing w:before="81" w:line="219" w:lineRule="auto"/>
              <w:ind w:left="150"/>
            </w:pPr>
            <w:r>
              <w:rPr>
                <w:b/>
                <w:bCs/>
                <w:spacing w:val="-4"/>
              </w:rPr>
              <w:t>承办机构</w:t>
            </w:r>
          </w:p>
        </w:tc>
      </w:tr>
      <w:tr w14:paraId="3AB82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5" w:hRule="atLeast"/>
        </w:trPr>
        <w:tc>
          <w:tcPr>
            <w:tcW w:w="622" w:type="dxa"/>
            <w:vAlign w:val="top"/>
          </w:tcPr>
          <w:p w14:paraId="52913A23">
            <w:pPr>
              <w:spacing w:line="264" w:lineRule="auto"/>
              <w:rPr>
                <w:rFonts w:ascii="Arial"/>
                <w:sz w:val="21"/>
              </w:rPr>
            </w:pPr>
          </w:p>
          <w:p w14:paraId="3354D92E">
            <w:pPr>
              <w:spacing w:line="264" w:lineRule="auto"/>
              <w:rPr>
                <w:rFonts w:ascii="Arial"/>
                <w:sz w:val="21"/>
              </w:rPr>
            </w:pPr>
          </w:p>
          <w:p w14:paraId="75E4DB9F">
            <w:pPr>
              <w:spacing w:line="264" w:lineRule="auto"/>
              <w:rPr>
                <w:rFonts w:ascii="Arial"/>
                <w:sz w:val="21"/>
              </w:rPr>
            </w:pPr>
          </w:p>
          <w:p w14:paraId="03B48F0A">
            <w:pPr>
              <w:spacing w:line="264" w:lineRule="auto"/>
              <w:rPr>
                <w:rFonts w:ascii="Arial"/>
                <w:sz w:val="21"/>
              </w:rPr>
            </w:pPr>
          </w:p>
          <w:p w14:paraId="671B0247">
            <w:pPr>
              <w:spacing w:line="264" w:lineRule="auto"/>
              <w:rPr>
                <w:rFonts w:ascii="Arial"/>
                <w:sz w:val="21"/>
              </w:rPr>
            </w:pPr>
          </w:p>
          <w:p w14:paraId="2F3CBBEC">
            <w:pPr>
              <w:spacing w:line="264" w:lineRule="auto"/>
              <w:rPr>
                <w:rFonts w:ascii="Arial"/>
                <w:sz w:val="21"/>
              </w:rPr>
            </w:pPr>
          </w:p>
          <w:p w14:paraId="375D5D1E">
            <w:pPr>
              <w:spacing w:line="265" w:lineRule="auto"/>
              <w:rPr>
                <w:rFonts w:ascii="Arial"/>
                <w:sz w:val="21"/>
              </w:rPr>
            </w:pPr>
          </w:p>
          <w:p w14:paraId="2FE845ED">
            <w:pPr>
              <w:spacing w:line="265" w:lineRule="auto"/>
              <w:rPr>
                <w:rFonts w:ascii="Arial"/>
                <w:sz w:val="21"/>
              </w:rPr>
            </w:pPr>
          </w:p>
          <w:p w14:paraId="50895463">
            <w:pPr>
              <w:spacing w:line="265" w:lineRule="auto"/>
              <w:rPr>
                <w:rFonts w:ascii="Arial"/>
                <w:sz w:val="21"/>
              </w:rPr>
            </w:pPr>
          </w:p>
          <w:p w14:paraId="4EDAF6FC">
            <w:pPr>
              <w:pStyle w:val="8"/>
              <w:spacing w:before="58" w:line="183" w:lineRule="auto"/>
              <w:ind w:left="229"/>
            </w:pPr>
            <w:r>
              <w:rPr>
                <w:spacing w:val="-5"/>
              </w:rPr>
              <w:t>36</w:t>
            </w:r>
          </w:p>
        </w:tc>
        <w:tc>
          <w:tcPr>
            <w:tcW w:w="1100" w:type="dxa"/>
            <w:vAlign w:val="top"/>
          </w:tcPr>
          <w:p w14:paraId="2D33BD35">
            <w:pPr>
              <w:spacing w:line="256" w:lineRule="auto"/>
              <w:rPr>
                <w:rFonts w:ascii="Arial"/>
                <w:sz w:val="21"/>
              </w:rPr>
            </w:pPr>
          </w:p>
          <w:p w14:paraId="54446C3F">
            <w:pPr>
              <w:spacing w:line="256" w:lineRule="auto"/>
              <w:rPr>
                <w:rFonts w:ascii="Arial"/>
                <w:sz w:val="21"/>
              </w:rPr>
            </w:pPr>
          </w:p>
          <w:p w14:paraId="0E5A2037">
            <w:pPr>
              <w:spacing w:line="256" w:lineRule="auto"/>
              <w:rPr>
                <w:rFonts w:ascii="Arial"/>
                <w:sz w:val="21"/>
              </w:rPr>
            </w:pPr>
          </w:p>
          <w:p w14:paraId="223F06F1">
            <w:pPr>
              <w:spacing w:line="256" w:lineRule="auto"/>
              <w:rPr>
                <w:rFonts w:ascii="Arial"/>
                <w:sz w:val="21"/>
              </w:rPr>
            </w:pPr>
          </w:p>
          <w:p w14:paraId="26EDB378">
            <w:pPr>
              <w:spacing w:line="256" w:lineRule="auto"/>
              <w:rPr>
                <w:rFonts w:ascii="Arial"/>
                <w:sz w:val="21"/>
              </w:rPr>
            </w:pPr>
          </w:p>
          <w:p w14:paraId="1D571151">
            <w:pPr>
              <w:pStyle w:val="8"/>
              <w:spacing w:before="59" w:line="244" w:lineRule="auto"/>
              <w:ind w:left="59" w:right="55"/>
            </w:pPr>
            <w:r>
              <w:rPr>
                <w:spacing w:val="16"/>
              </w:rPr>
              <w:t>对危险货物</w:t>
            </w:r>
            <w:r>
              <w:t xml:space="preserve"> </w:t>
            </w:r>
            <w:r>
              <w:rPr>
                <w:spacing w:val="16"/>
              </w:rPr>
              <w:t>港口经营人</w:t>
            </w:r>
            <w:r>
              <w:t xml:space="preserve"> </w:t>
            </w:r>
            <w:r>
              <w:rPr>
                <w:spacing w:val="16"/>
              </w:rPr>
              <w:t>危险货物的</w:t>
            </w:r>
            <w:r>
              <w:t xml:space="preserve"> </w:t>
            </w:r>
            <w:r>
              <w:rPr>
                <w:spacing w:val="10"/>
              </w:rPr>
              <w:t>储存方式、</w:t>
            </w:r>
            <w:r>
              <w:rPr>
                <w:spacing w:val="2"/>
              </w:rPr>
              <w:t xml:space="preserve"> </w:t>
            </w:r>
            <w:r>
              <w:rPr>
                <w:spacing w:val="16"/>
              </w:rPr>
              <w:t>方法或者储</w:t>
            </w:r>
            <w:r>
              <w:t xml:space="preserve"> </w:t>
            </w:r>
            <w:r>
              <w:rPr>
                <w:spacing w:val="16"/>
              </w:rPr>
              <w:t>存数量不符</w:t>
            </w:r>
            <w:r>
              <w:t xml:space="preserve"> </w:t>
            </w:r>
            <w:r>
              <w:rPr>
                <w:spacing w:val="16"/>
              </w:rPr>
              <w:t>合国家标准</w:t>
            </w:r>
            <w:r>
              <w:t xml:space="preserve"> </w:t>
            </w:r>
            <w:r>
              <w:rPr>
                <w:spacing w:val="16"/>
              </w:rPr>
              <w:t>或者国家有</w:t>
            </w:r>
            <w:r>
              <w:t xml:space="preserve"> </w:t>
            </w:r>
            <w:r>
              <w:rPr>
                <w:spacing w:val="16"/>
              </w:rPr>
              <w:t>关规定行为</w:t>
            </w:r>
            <w:r>
              <w:t xml:space="preserve"> </w:t>
            </w:r>
            <w:r>
              <w:rPr>
                <w:spacing w:val="-2"/>
              </w:rPr>
              <w:t>的行政处罚</w:t>
            </w:r>
          </w:p>
        </w:tc>
        <w:tc>
          <w:tcPr>
            <w:tcW w:w="1100" w:type="dxa"/>
            <w:vAlign w:val="top"/>
          </w:tcPr>
          <w:p w14:paraId="28C8B3B3">
            <w:pPr>
              <w:spacing w:line="260" w:lineRule="auto"/>
              <w:rPr>
                <w:rFonts w:ascii="Arial"/>
                <w:sz w:val="21"/>
              </w:rPr>
            </w:pPr>
          </w:p>
          <w:p w14:paraId="7131A407">
            <w:pPr>
              <w:spacing w:line="261" w:lineRule="auto"/>
              <w:rPr>
                <w:rFonts w:ascii="Arial"/>
                <w:sz w:val="21"/>
              </w:rPr>
            </w:pPr>
          </w:p>
          <w:p w14:paraId="4033F658">
            <w:pPr>
              <w:spacing w:line="261" w:lineRule="auto"/>
              <w:rPr>
                <w:rFonts w:ascii="Arial"/>
                <w:sz w:val="21"/>
              </w:rPr>
            </w:pPr>
          </w:p>
          <w:p w14:paraId="66B6481E">
            <w:pPr>
              <w:spacing w:line="261" w:lineRule="auto"/>
              <w:rPr>
                <w:rFonts w:ascii="Arial"/>
                <w:sz w:val="21"/>
              </w:rPr>
            </w:pPr>
          </w:p>
          <w:p w14:paraId="4B837162">
            <w:pPr>
              <w:spacing w:line="261" w:lineRule="auto"/>
              <w:rPr>
                <w:rFonts w:ascii="Arial"/>
                <w:sz w:val="21"/>
              </w:rPr>
            </w:pPr>
          </w:p>
          <w:p w14:paraId="7E7DB2D2">
            <w:pPr>
              <w:spacing w:line="261" w:lineRule="auto"/>
              <w:rPr>
                <w:rFonts w:ascii="Arial"/>
                <w:sz w:val="21"/>
              </w:rPr>
            </w:pPr>
          </w:p>
          <w:p w14:paraId="7DE9DBB0">
            <w:pPr>
              <w:spacing w:line="261" w:lineRule="auto"/>
              <w:rPr>
                <w:rFonts w:ascii="Arial"/>
                <w:sz w:val="21"/>
              </w:rPr>
            </w:pPr>
          </w:p>
          <w:p w14:paraId="4D96C093">
            <w:pPr>
              <w:spacing w:line="261" w:lineRule="auto"/>
              <w:rPr>
                <w:rFonts w:ascii="Arial"/>
                <w:sz w:val="21"/>
              </w:rPr>
            </w:pPr>
          </w:p>
          <w:p w14:paraId="3A267B4E">
            <w:pPr>
              <w:spacing w:line="261" w:lineRule="auto"/>
              <w:rPr>
                <w:rFonts w:ascii="Arial"/>
                <w:sz w:val="21"/>
              </w:rPr>
            </w:pPr>
          </w:p>
          <w:p w14:paraId="5B457318">
            <w:pPr>
              <w:pStyle w:val="8"/>
              <w:spacing w:before="59" w:line="220" w:lineRule="auto"/>
              <w:ind w:left="112"/>
            </w:pPr>
            <w:r>
              <w:rPr>
                <w:spacing w:val="-2"/>
              </w:rPr>
              <w:t>行政处罚</w:t>
            </w:r>
          </w:p>
        </w:tc>
        <w:tc>
          <w:tcPr>
            <w:tcW w:w="8508" w:type="dxa"/>
            <w:vAlign w:val="top"/>
          </w:tcPr>
          <w:p w14:paraId="03843676">
            <w:pPr>
              <w:pStyle w:val="8"/>
              <w:spacing w:before="271" w:line="219" w:lineRule="auto"/>
              <w:ind w:left="484"/>
            </w:pPr>
            <w:r>
              <w:rPr>
                <w:b/>
                <w:bCs/>
                <w:spacing w:val="-3"/>
              </w:rPr>
              <w:t>1.《危险化学品安全管理条例》</w:t>
            </w:r>
          </w:p>
          <w:p w14:paraId="3B3F69D9">
            <w:pPr>
              <w:pStyle w:val="8"/>
              <w:spacing w:before="27" w:line="237" w:lineRule="auto"/>
              <w:ind w:left="110" w:right="104" w:firstLine="360"/>
            </w:pPr>
            <w:r>
              <w:t>第二十四条  危险化学品应当储存在专用仓库、专用场地或者专用储存室（以下统称专用仓库）内，</w:t>
            </w:r>
            <w:r>
              <w:rPr>
                <w:spacing w:val="3"/>
              </w:rPr>
              <w:t xml:space="preserve"> </w:t>
            </w:r>
            <w:r>
              <w:t>并由专人负责管理；剧毒化学品以及储存数量构成重大危险源的其他危险化学品，应当在专用仓库内单独</w:t>
            </w:r>
            <w:r>
              <w:rPr>
                <w:spacing w:val="7"/>
              </w:rPr>
              <w:t xml:space="preserve"> </w:t>
            </w:r>
            <w:r>
              <w:rPr>
                <w:spacing w:val="-2"/>
              </w:rPr>
              <w:t>存放，并实行双人收发、双人保管制度。</w:t>
            </w:r>
          </w:p>
          <w:p w14:paraId="6B24FE6F">
            <w:pPr>
              <w:pStyle w:val="8"/>
              <w:spacing w:before="26" w:line="219" w:lineRule="auto"/>
              <w:ind w:left="473"/>
            </w:pPr>
            <w:r>
              <w:rPr>
                <w:spacing w:val="-1"/>
              </w:rPr>
              <w:t>危险化学品的储存方式、方法以及储存数量应当符合国家标准或者国家</w:t>
            </w:r>
            <w:r>
              <w:rPr>
                <w:spacing w:val="-2"/>
              </w:rPr>
              <w:t>有关规定。</w:t>
            </w:r>
          </w:p>
          <w:p w14:paraId="7A143294">
            <w:pPr>
              <w:pStyle w:val="8"/>
              <w:spacing w:before="26" w:line="241" w:lineRule="auto"/>
              <w:ind w:left="111" w:right="104" w:firstLine="359"/>
            </w:pPr>
            <w:r>
              <w:t>第八十条第一款第（五）项  生产、储存、使用危险化学品的单位有下列情形之一的，由安全生产监</w:t>
            </w:r>
            <w:r>
              <w:rPr>
                <w:spacing w:val="3"/>
              </w:rPr>
              <w:t xml:space="preserve"> </w:t>
            </w:r>
            <w:r>
              <w:rPr>
                <w:spacing w:val="-3"/>
              </w:rPr>
              <w:t>督管理部门责令改正，处</w:t>
            </w:r>
            <w:r>
              <w:rPr>
                <w:spacing w:val="-31"/>
              </w:rPr>
              <w:t xml:space="preserve"> </w:t>
            </w:r>
            <w:r>
              <w:rPr>
                <w:spacing w:val="-3"/>
              </w:rPr>
              <w:t>5</w:t>
            </w:r>
            <w:r>
              <w:rPr>
                <w:spacing w:val="-35"/>
              </w:rPr>
              <w:t xml:space="preserve"> </w:t>
            </w:r>
            <w:r>
              <w:rPr>
                <w:spacing w:val="-3"/>
              </w:rPr>
              <w:t>万元以上</w:t>
            </w:r>
            <w:r>
              <w:rPr>
                <w:spacing w:val="-24"/>
              </w:rPr>
              <w:t xml:space="preserve"> </w:t>
            </w:r>
            <w:r>
              <w:rPr>
                <w:spacing w:val="-3"/>
              </w:rPr>
              <w:t>10</w:t>
            </w:r>
            <w:r>
              <w:rPr>
                <w:spacing w:val="-34"/>
              </w:rPr>
              <w:t xml:space="preserve"> </w:t>
            </w:r>
            <w:r>
              <w:rPr>
                <w:spacing w:val="-3"/>
              </w:rPr>
              <w:t>万元以下的罚款；拒不改正的，责令停产停业整顿直至由原发证机</w:t>
            </w:r>
            <w:r>
              <w:t xml:space="preserve"> 关吊销其相关许可证件，并由工商行政管理部门责令其办理经营范围变更登记或者吊销其营业执照；有关</w:t>
            </w:r>
            <w:r>
              <w:rPr>
                <w:spacing w:val="5"/>
              </w:rPr>
              <w:t xml:space="preserve"> </w:t>
            </w:r>
            <w:r>
              <w:t>责任人员构成犯罪的，依法追究刑事责任</w:t>
            </w:r>
            <w:r>
              <w:rPr>
                <w:spacing w:val="2"/>
              </w:rPr>
              <w:t>：（</w:t>
            </w:r>
            <w:r>
              <w:t>五）危险化学品的储存方式、方法或者储存数量不符合国家</w:t>
            </w:r>
            <w:r>
              <w:rPr>
                <w:spacing w:val="1"/>
              </w:rPr>
              <w:t xml:space="preserve"> </w:t>
            </w:r>
            <w:r>
              <w:rPr>
                <w:spacing w:val="-3"/>
              </w:rPr>
              <w:t>标准或者国家有关规定的。</w:t>
            </w:r>
          </w:p>
          <w:p w14:paraId="5CF4D68E">
            <w:pPr>
              <w:pStyle w:val="8"/>
              <w:spacing w:before="25" w:line="233" w:lineRule="auto"/>
              <w:ind w:left="116" w:right="104" w:firstLine="354"/>
            </w:pPr>
            <w:r>
              <w:t>第八十条第二款  从事危险化学品仓储经营的港口经营人有前款规定情形的，由港口行政管理部门依</w:t>
            </w:r>
            <w:r>
              <w:rPr>
                <w:spacing w:val="6"/>
              </w:rPr>
              <w:t xml:space="preserve"> </w:t>
            </w:r>
            <w:r>
              <w:rPr>
                <w:spacing w:val="-4"/>
              </w:rPr>
              <w:t>照前款规定予以处罚。</w:t>
            </w:r>
          </w:p>
          <w:p w14:paraId="1C0DD904">
            <w:pPr>
              <w:pStyle w:val="8"/>
              <w:spacing w:before="24"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2940B190">
            <w:pPr>
              <w:pStyle w:val="8"/>
              <w:spacing w:before="27" w:line="233" w:lineRule="auto"/>
              <w:ind w:left="123" w:right="104" w:firstLine="347"/>
            </w:pPr>
            <w:r>
              <w:t>第五十一条第二款  危险货物的储存方式、方法以及储存数量，包括危险货物集装箱直装直取和限时</w:t>
            </w:r>
            <w:r>
              <w:rPr>
                <w:spacing w:val="6"/>
              </w:rPr>
              <w:t xml:space="preserve"> </w:t>
            </w:r>
            <w:r>
              <w:rPr>
                <w:spacing w:val="-2"/>
              </w:rPr>
              <w:t>限量存放，应当符合国家标准、行业标准或者国家有关规定。</w:t>
            </w:r>
          </w:p>
          <w:p w14:paraId="6FA8F12A">
            <w:pPr>
              <w:pStyle w:val="8"/>
              <w:spacing w:before="24"/>
              <w:ind w:left="111" w:right="104" w:firstLine="359"/>
            </w:pPr>
            <w:r>
              <w:t>第七十九条第（四）项  危险货物港口经营人有下列情形之一的，由所在地港口行政管理部门责令改</w:t>
            </w:r>
            <w:r>
              <w:rPr>
                <w:spacing w:val="6"/>
              </w:rPr>
              <w:t xml:space="preserve"> </w:t>
            </w:r>
            <w:r>
              <w:t>正，处五万元以上十万元以下的罚款；逾期未改正的，责令停产停业整顿；除第（一）项情形外，情节严</w:t>
            </w:r>
            <w:r>
              <w:rPr>
                <w:spacing w:val="5"/>
              </w:rPr>
              <w:t xml:space="preserve"> </w:t>
            </w:r>
            <w:r>
              <w:t>重的，还可以吊销其港口经营许可证件</w:t>
            </w:r>
            <w:r>
              <w:rPr>
                <w:spacing w:val="2"/>
              </w:rPr>
              <w:t>：（</w:t>
            </w:r>
            <w:r>
              <w:t>四）危险货物的储存方式、方法或者储存数量不符合国家标准</w:t>
            </w:r>
            <w:r>
              <w:rPr>
                <w:spacing w:val="1"/>
              </w:rPr>
              <w:t xml:space="preserve"> </w:t>
            </w:r>
            <w:r>
              <w:rPr>
                <w:spacing w:val="-4"/>
              </w:rPr>
              <w:t>或者国家有关规定的。</w:t>
            </w:r>
          </w:p>
        </w:tc>
        <w:tc>
          <w:tcPr>
            <w:tcW w:w="1010" w:type="dxa"/>
            <w:vAlign w:val="top"/>
          </w:tcPr>
          <w:p w14:paraId="25524673">
            <w:pPr>
              <w:spacing w:line="248" w:lineRule="auto"/>
              <w:rPr>
                <w:rFonts w:ascii="Arial"/>
                <w:sz w:val="21"/>
              </w:rPr>
            </w:pPr>
          </w:p>
          <w:p w14:paraId="3B537BFB">
            <w:pPr>
              <w:spacing w:line="248" w:lineRule="auto"/>
              <w:rPr>
                <w:rFonts w:ascii="Arial"/>
                <w:sz w:val="21"/>
              </w:rPr>
            </w:pPr>
          </w:p>
          <w:p w14:paraId="6F248930">
            <w:pPr>
              <w:spacing w:line="248" w:lineRule="auto"/>
              <w:rPr>
                <w:rFonts w:ascii="Arial"/>
                <w:sz w:val="21"/>
              </w:rPr>
            </w:pPr>
          </w:p>
          <w:p w14:paraId="1505FB47">
            <w:pPr>
              <w:spacing w:line="249" w:lineRule="auto"/>
              <w:rPr>
                <w:rFonts w:ascii="Arial"/>
                <w:sz w:val="21"/>
              </w:rPr>
            </w:pPr>
          </w:p>
          <w:p w14:paraId="4DEADAE4">
            <w:pPr>
              <w:spacing w:line="249" w:lineRule="auto"/>
              <w:rPr>
                <w:rFonts w:ascii="Arial"/>
                <w:sz w:val="21"/>
              </w:rPr>
            </w:pPr>
          </w:p>
          <w:p w14:paraId="4E01A77D">
            <w:pPr>
              <w:spacing w:line="249" w:lineRule="auto"/>
              <w:rPr>
                <w:rFonts w:ascii="Arial"/>
                <w:sz w:val="21"/>
              </w:rPr>
            </w:pPr>
          </w:p>
          <w:p w14:paraId="3D498CE1">
            <w:pPr>
              <w:spacing w:line="249" w:lineRule="auto"/>
              <w:rPr>
                <w:rFonts w:ascii="Arial"/>
                <w:sz w:val="21"/>
              </w:rPr>
            </w:pPr>
          </w:p>
          <w:p w14:paraId="39E88C77">
            <w:pPr>
              <w:spacing w:line="249" w:lineRule="auto"/>
              <w:rPr>
                <w:rFonts w:ascii="Arial"/>
                <w:sz w:val="21"/>
              </w:rPr>
            </w:pPr>
          </w:p>
          <w:p w14:paraId="423B3067">
            <w:pPr>
              <w:spacing w:line="249" w:lineRule="auto"/>
              <w:rPr>
                <w:rFonts w:ascii="Arial"/>
                <w:sz w:val="21"/>
              </w:rPr>
            </w:pPr>
          </w:p>
          <w:p w14:paraId="02929E5B">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341F8061">
            <w:pPr>
              <w:pStyle w:val="8"/>
              <w:spacing w:before="59" w:line="234" w:lineRule="auto"/>
              <w:ind w:left="530" w:right="104" w:hanging="413"/>
              <w:rPr>
                <w:rFonts w:hint="eastAsia"/>
                <w:spacing w:val="-12"/>
                <w:lang w:eastAsia="zh-CN"/>
              </w:rPr>
            </w:pPr>
          </w:p>
          <w:p w14:paraId="495E650F">
            <w:pPr>
              <w:pStyle w:val="8"/>
              <w:spacing w:before="59" w:line="234" w:lineRule="auto"/>
              <w:ind w:left="530" w:right="104" w:hanging="413"/>
              <w:rPr>
                <w:rFonts w:hint="eastAsia"/>
                <w:spacing w:val="-12"/>
                <w:lang w:eastAsia="zh-CN"/>
              </w:rPr>
            </w:pPr>
          </w:p>
          <w:p w14:paraId="0606372C">
            <w:pPr>
              <w:pStyle w:val="8"/>
              <w:spacing w:before="59" w:line="234" w:lineRule="auto"/>
              <w:ind w:left="530" w:right="104" w:hanging="413"/>
              <w:rPr>
                <w:rFonts w:hint="eastAsia"/>
                <w:spacing w:val="-12"/>
                <w:lang w:eastAsia="zh-CN"/>
              </w:rPr>
            </w:pPr>
          </w:p>
          <w:p w14:paraId="6CD95BC1">
            <w:pPr>
              <w:pStyle w:val="8"/>
              <w:spacing w:before="59" w:line="234" w:lineRule="auto"/>
              <w:ind w:left="530" w:right="104" w:hanging="413"/>
              <w:rPr>
                <w:rFonts w:hint="eastAsia"/>
                <w:spacing w:val="-12"/>
                <w:lang w:eastAsia="zh-CN"/>
              </w:rPr>
            </w:pPr>
          </w:p>
          <w:p w14:paraId="7E46C6D9">
            <w:pPr>
              <w:pStyle w:val="8"/>
              <w:spacing w:before="59" w:line="234" w:lineRule="auto"/>
              <w:ind w:left="530" w:right="104" w:hanging="413"/>
              <w:rPr>
                <w:rFonts w:hint="eastAsia"/>
                <w:spacing w:val="-12"/>
                <w:lang w:eastAsia="zh-CN"/>
              </w:rPr>
            </w:pPr>
          </w:p>
          <w:p w14:paraId="50A8511C">
            <w:pPr>
              <w:pStyle w:val="8"/>
              <w:spacing w:before="59" w:line="234" w:lineRule="auto"/>
              <w:ind w:left="530" w:right="104" w:hanging="413"/>
              <w:rPr>
                <w:rFonts w:hint="eastAsia"/>
                <w:spacing w:val="-12"/>
                <w:lang w:eastAsia="zh-CN"/>
              </w:rPr>
            </w:pPr>
          </w:p>
          <w:p w14:paraId="452C677F">
            <w:pPr>
              <w:pStyle w:val="8"/>
              <w:spacing w:before="59" w:line="234" w:lineRule="auto"/>
              <w:ind w:left="530" w:right="104" w:hanging="413"/>
              <w:rPr>
                <w:rFonts w:hint="eastAsia"/>
                <w:spacing w:val="-12"/>
                <w:lang w:eastAsia="zh-CN"/>
              </w:rPr>
            </w:pPr>
          </w:p>
          <w:p w14:paraId="00145421">
            <w:pPr>
              <w:pStyle w:val="8"/>
              <w:spacing w:before="59" w:line="234" w:lineRule="auto"/>
              <w:ind w:left="530" w:right="104" w:hanging="413"/>
              <w:rPr>
                <w:rFonts w:hint="eastAsia"/>
                <w:spacing w:val="-12"/>
                <w:lang w:eastAsia="zh-CN"/>
              </w:rPr>
            </w:pPr>
          </w:p>
          <w:p w14:paraId="52C31072">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5943FEBA">
            <w:pPr>
              <w:spacing w:line="264" w:lineRule="auto"/>
              <w:rPr>
                <w:rFonts w:ascii="Arial"/>
                <w:sz w:val="21"/>
              </w:rPr>
            </w:pPr>
          </w:p>
          <w:p w14:paraId="5B932AC6">
            <w:pPr>
              <w:spacing w:line="265" w:lineRule="auto"/>
              <w:rPr>
                <w:rFonts w:ascii="Arial"/>
                <w:sz w:val="21"/>
              </w:rPr>
            </w:pPr>
          </w:p>
          <w:p w14:paraId="523B6B31">
            <w:pPr>
              <w:spacing w:line="265" w:lineRule="auto"/>
              <w:rPr>
                <w:rFonts w:ascii="Arial"/>
                <w:sz w:val="21"/>
              </w:rPr>
            </w:pPr>
          </w:p>
          <w:p w14:paraId="4D88E005">
            <w:pPr>
              <w:spacing w:line="265" w:lineRule="auto"/>
              <w:rPr>
                <w:rFonts w:ascii="Arial"/>
                <w:sz w:val="21"/>
              </w:rPr>
            </w:pPr>
          </w:p>
          <w:p w14:paraId="0E46E4E6">
            <w:pPr>
              <w:spacing w:line="265" w:lineRule="auto"/>
              <w:rPr>
                <w:rFonts w:ascii="Arial"/>
                <w:sz w:val="21"/>
              </w:rPr>
            </w:pPr>
          </w:p>
          <w:p w14:paraId="4A64F77E">
            <w:pPr>
              <w:spacing w:line="265" w:lineRule="auto"/>
              <w:rPr>
                <w:rFonts w:ascii="Arial"/>
                <w:sz w:val="21"/>
              </w:rPr>
            </w:pPr>
          </w:p>
          <w:p w14:paraId="6FEF50C1">
            <w:pPr>
              <w:spacing w:line="265" w:lineRule="auto"/>
              <w:rPr>
                <w:rFonts w:ascii="Arial"/>
                <w:sz w:val="21"/>
              </w:rPr>
            </w:pPr>
          </w:p>
          <w:p w14:paraId="33937B07">
            <w:pPr>
              <w:spacing w:line="265" w:lineRule="auto"/>
              <w:rPr>
                <w:rFonts w:ascii="Arial"/>
                <w:sz w:val="21"/>
              </w:rPr>
            </w:pPr>
          </w:p>
          <w:p w14:paraId="4934FBF9">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251D6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6" w:hRule="atLeast"/>
        </w:trPr>
        <w:tc>
          <w:tcPr>
            <w:tcW w:w="622" w:type="dxa"/>
            <w:vAlign w:val="top"/>
          </w:tcPr>
          <w:p w14:paraId="4C80C5AE">
            <w:pPr>
              <w:spacing w:line="256" w:lineRule="auto"/>
              <w:rPr>
                <w:rFonts w:ascii="Arial"/>
                <w:sz w:val="21"/>
              </w:rPr>
            </w:pPr>
          </w:p>
          <w:p w14:paraId="24321AAF">
            <w:pPr>
              <w:spacing w:line="256" w:lineRule="auto"/>
              <w:rPr>
                <w:rFonts w:ascii="Arial"/>
                <w:sz w:val="21"/>
              </w:rPr>
            </w:pPr>
          </w:p>
          <w:p w14:paraId="76A46337">
            <w:pPr>
              <w:spacing w:line="256" w:lineRule="auto"/>
              <w:rPr>
                <w:rFonts w:ascii="Arial"/>
                <w:sz w:val="21"/>
              </w:rPr>
            </w:pPr>
          </w:p>
          <w:p w14:paraId="14290D07">
            <w:pPr>
              <w:spacing w:line="256" w:lineRule="auto"/>
              <w:rPr>
                <w:rFonts w:ascii="Arial"/>
                <w:sz w:val="21"/>
              </w:rPr>
            </w:pPr>
          </w:p>
          <w:p w14:paraId="1D774912">
            <w:pPr>
              <w:spacing w:line="256" w:lineRule="auto"/>
              <w:rPr>
                <w:rFonts w:ascii="Arial"/>
                <w:sz w:val="21"/>
              </w:rPr>
            </w:pPr>
          </w:p>
          <w:p w14:paraId="278B1472">
            <w:pPr>
              <w:spacing w:line="256" w:lineRule="auto"/>
              <w:rPr>
                <w:rFonts w:ascii="Arial"/>
                <w:sz w:val="21"/>
              </w:rPr>
            </w:pPr>
          </w:p>
          <w:p w14:paraId="701767C1">
            <w:pPr>
              <w:spacing w:line="257" w:lineRule="auto"/>
              <w:rPr>
                <w:rFonts w:ascii="Arial"/>
                <w:sz w:val="21"/>
              </w:rPr>
            </w:pPr>
          </w:p>
          <w:p w14:paraId="4622659F">
            <w:pPr>
              <w:pStyle w:val="8"/>
              <w:spacing w:before="58" w:line="183" w:lineRule="auto"/>
              <w:ind w:left="229"/>
            </w:pPr>
            <w:r>
              <w:rPr>
                <w:spacing w:val="-5"/>
              </w:rPr>
              <w:t>37</w:t>
            </w:r>
          </w:p>
        </w:tc>
        <w:tc>
          <w:tcPr>
            <w:tcW w:w="1100" w:type="dxa"/>
            <w:vAlign w:val="top"/>
          </w:tcPr>
          <w:p w14:paraId="1C5A6C41">
            <w:pPr>
              <w:spacing w:line="271" w:lineRule="auto"/>
              <w:rPr>
                <w:rFonts w:ascii="Arial"/>
                <w:sz w:val="21"/>
              </w:rPr>
            </w:pPr>
          </w:p>
          <w:p w14:paraId="2E47641E">
            <w:pPr>
              <w:spacing w:line="272" w:lineRule="auto"/>
              <w:rPr>
                <w:rFonts w:ascii="Arial"/>
                <w:sz w:val="21"/>
              </w:rPr>
            </w:pPr>
          </w:p>
          <w:p w14:paraId="27144AA4">
            <w:pPr>
              <w:spacing w:line="272" w:lineRule="auto"/>
              <w:rPr>
                <w:rFonts w:ascii="Arial"/>
                <w:sz w:val="21"/>
              </w:rPr>
            </w:pPr>
          </w:p>
          <w:p w14:paraId="28F0DA6D">
            <w:pPr>
              <w:pStyle w:val="8"/>
              <w:spacing w:before="58" w:line="244" w:lineRule="auto"/>
              <w:ind w:left="59" w:right="55"/>
              <w:jc w:val="both"/>
            </w:pPr>
            <w:r>
              <w:rPr>
                <w:spacing w:val="16"/>
              </w:rPr>
              <w:t>对危险货物</w:t>
            </w:r>
            <w:r>
              <w:t xml:space="preserve"> </w:t>
            </w:r>
            <w:r>
              <w:rPr>
                <w:spacing w:val="16"/>
              </w:rPr>
              <w:t>港口经营人</w:t>
            </w:r>
            <w:r>
              <w:t xml:space="preserve"> </w:t>
            </w:r>
            <w:r>
              <w:rPr>
                <w:spacing w:val="16"/>
              </w:rPr>
              <w:t>危险货物专</w:t>
            </w:r>
            <w:r>
              <w:t xml:space="preserve"> </w:t>
            </w:r>
            <w:r>
              <w:rPr>
                <w:spacing w:val="16"/>
              </w:rPr>
              <w:t>用库场、储</w:t>
            </w:r>
            <w:r>
              <w:t xml:space="preserve"> </w:t>
            </w:r>
            <w:r>
              <w:rPr>
                <w:spacing w:val="16"/>
              </w:rPr>
              <w:t>罐不符合国</w:t>
            </w:r>
            <w:r>
              <w:t xml:space="preserve"> </w:t>
            </w:r>
            <w:r>
              <w:rPr>
                <w:spacing w:val="16"/>
              </w:rPr>
              <w:t>家标准、行</w:t>
            </w:r>
            <w:r>
              <w:t xml:space="preserve"> </w:t>
            </w:r>
            <w:r>
              <w:rPr>
                <w:spacing w:val="16"/>
              </w:rPr>
              <w:t>业标准的要</w:t>
            </w:r>
            <w:r>
              <w:t xml:space="preserve"> </w:t>
            </w:r>
            <w:r>
              <w:rPr>
                <w:spacing w:val="16"/>
              </w:rPr>
              <w:t>求的行政处</w:t>
            </w:r>
            <w:r>
              <w:t xml:space="preserve"> 罚</w:t>
            </w:r>
          </w:p>
        </w:tc>
        <w:tc>
          <w:tcPr>
            <w:tcW w:w="1100" w:type="dxa"/>
            <w:vAlign w:val="top"/>
          </w:tcPr>
          <w:p w14:paraId="1AB4F6FF">
            <w:pPr>
              <w:spacing w:line="252" w:lineRule="auto"/>
              <w:rPr>
                <w:rFonts w:ascii="Arial"/>
                <w:sz w:val="21"/>
              </w:rPr>
            </w:pPr>
          </w:p>
          <w:p w14:paraId="5C3729A8">
            <w:pPr>
              <w:spacing w:line="252" w:lineRule="auto"/>
              <w:rPr>
                <w:rFonts w:ascii="Arial"/>
                <w:sz w:val="21"/>
              </w:rPr>
            </w:pPr>
          </w:p>
          <w:p w14:paraId="2E1FFE8E">
            <w:pPr>
              <w:spacing w:line="252" w:lineRule="auto"/>
              <w:rPr>
                <w:rFonts w:ascii="Arial"/>
                <w:sz w:val="21"/>
              </w:rPr>
            </w:pPr>
          </w:p>
          <w:p w14:paraId="376B787F">
            <w:pPr>
              <w:spacing w:line="252" w:lineRule="auto"/>
              <w:rPr>
                <w:rFonts w:ascii="Arial"/>
                <w:sz w:val="21"/>
              </w:rPr>
            </w:pPr>
          </w:p>
          <w:p w14:paraId="05BEECA6">
            <w:pPr>
              <w:spacing w:line="252" w:lineRule="auto"/>
              <w:rPr>
                <w:rFonts w:ascii="Arial"/>
                <w:sz w:val="21"/>
              </w:rPr>
            </w:pPr>
          </w:p>
          <w:p w14:paraId="73CB566B">
            <w:pPr>
              <w:spacing w:line="252" w:lineRule="auto"/>
              <w:rPr>
                <w:rFonts w:ascii="Arial"/>
                <w:sz w:val="21"/>
              </w:rPr>
            </w:pPr>
          </w:p>
          <w:p w14:paraId="34218C29">
            <w:pPr>
              <w:spacing w:line="252" w:lineRule="auto"/>
              <w:rPr>
                <w:rFonts w:ascii="Arial"/>
                <w:sz w:val="21"/>
              </w:rPr>
            </w:pPr>
          </w:p>
          <w:p w14:paraId="69531702">
            <w:pPr>
              <w:pStyle w:val="8"/>
              <w:spacing w:before="59" w:line="220" w:lineRule="auto"/>
              <w:ind w:left="112"/>
            </w:pPr>
            <w:r>
              <w:rPr>
                <w:spacing w:val="-2"/>
              </w:rPr>
              <w:t>行政处罚</w:t>
            </w:r>
          </w:p>
        </w:tc>
        <w:tc>
          <w:tcPr>
            <w:tcW w:w="8508" w:type="dxa"/>
            <w:vAlign w:val="top"/>
          </w:tcPr>
          <w:p w14:paraId="511DB55F">
            <w:pPr>
              <w:pStyle w:val="8"/>
              <w:spacing w:before="161" w:line="219" w:lineRule="auto"/>
              <w:ind w:left="484"/>
            </w:pPr>
            <w:r>
              <w:rPr>
                <w:b/>
                <w:bCs/>
                <w:spacing w:val="-3"/>
              </w:rPr>
              <w:t>1.《危险化学品安全管理条例》</w:t>
            </w:r>
          </w:p>
          <w:p w14:paraId="3059C077">
            <w:pPr>
              <w:pStyle w:val="8"/>
              <w:spacing w:before="26" w:line="232" w:lineRule="auto"/>
              <w:ind w:left="110" w:right="135" w:firstLine="360"/>
            </w:pPr>
            <w:r>
              <w:t>第二十六条第一款  危险化学品专用仓库应</w:t>
            </w:r>
            <w:r>
              <w:rPr>
                <w:spacing w:val="-1"/>
              </w:rPr>
              <w:t>当符合国家标准、行业标准的要求，并设置明显的标志。</w:t>
            </w:r>
            <w:r>
              <w:t xml:space="preserve"> </w:t>
            </w:r>
            <w:r>
              <w:rPr>
                <w:spacing w:val="-1"/>
              </w:rPr>
              <w:t>储存剧毒化学品、易制爆危险化学品的专用仓库，应当按照国家有关规定设置相应的技术防范设施。</w:t>
            </w:r>
          </w:p>
          <w:p w14:paraId="621940A6">
            <w:pPr>
              <w:pStyle w:val="8"/>
              <w:spacing w:before="29" w:line="241" w:lineRule="auto"/>
              <w:ind w:left="114" w:right="104" w:firstLine="357"/>
            </w:pPr>
            <w:r>
              <w:t>第八十条第一款第（六）项  生产、储存、使用危险化学品的单位有下列情形之一的，由安全生产监</w:t>
            </w:r>
            <w:r>
              <w:rPr>
                <w:spacing w:val="3"/>
              </w:rPr>
              <w:t xml:space="preserve"> </w:t>
            </w:r>
            <w:r>
              <w:rPr>
                <w:spacing w:val="-3"/>
              </w:rPr>
              <w:t>督管理部门责令改正，处</w:t>
            </w:r>
            <w:r>
              <w:rPr>
                <w:spacing w:val="-33"/>
              </w:rPr>
              <w:t xml:space="preserve"> </w:t>
            </w:r>
            <w:r>
              <w:rPr>
                <w:spacing w:val="-3"/>
              </w:rPr>
              <w:t>5</w:t>
            </w:r>
            <w:r>
              <w:rPr>
                <w:spacing w:val="-35"/>
              </w:rPr>
              <w:t xml:space="preserve"> </w:t>
            </w:r>
            <w:r>
              <w:rPr>
                <w:spacing w:val="-3"/>
              </w:rPr>
              <w:t>万元以上</w:t>
            </w:r>
            <w:r>
              <w:rPr>
                <w:spacing w:val="-24"/>
              </w:rPr>
              <w:t xml:space="preserve"> </w:t>
            </w:r>
            <w:r>
              <w:rPr>
                <w:spacing w:val="-3"/>
              </w:rPr>
              <w:t>10</w:t>
            </w:r>
            <w:r>
              <w:rPr>
                <w:spacing w:val="-34"/>
              </w:rPr>
              <w:t xml:space="preserve"> </w:t>
            </w:r>
            <w:r>
              <w:rPr>
                <w:spacing w:val="-3"/>
              </w:rPr>
              <w:t>万元以下的罚款；拒不改正的，责令停产停业整顿直至由原发证机</w:t>
            </w:r>
            <w:r>
              <w:t xml:space="preserve"> 关吊销其相关许可证件，并由工商行政管理部门责令其办理经营范围变更登记或者吊销其营业执照；有关</w:t>
            </w:r>
            <w:r>
              <w:rPr>
                <w:spacing w:val="3"/>
              </w:rPr>
              <w:t xml:space="preserve"> </w:t>
            </w:r>
            <w:r>
              <w:t>责任人员构成犯罪的，依法追究刑事责任</w:t>
            </w:r>
            <w:r>
              <w:rPr>
                <w:spacing w:val="1"/>
              </w:rPr>
              <w:t>：（</w:t>
            </w:r>
            <w:r>
              <w:t>六）危险化学品专用仓库不符合国家标准、行业标准的要求</w:t>
            </w:r>
            <w:r>
              <w:rPr>
                <w:spacing w:val="1"/>
              </w:rPr>
              <w:t xml:space="preserve"> </w:t>
            </w:r>
            <w:r>
              <w:rPr>
                <w:spacing w:val="-9"/>
              </w:rPr>
              <w:t>的。</w:t>
            </w:r>
          </w:p>
          <w:p w14:paraId="766DA7DE">
            <w:pPr>
              <w:pStyle w:val="8"/>
              <w:spacing w:before="23" w:line="233" w:lineRule="auto"/>
              <w:ind w:left="116" w:right="104" w:firstLine="354"/>
            </w:pPr>
            <w:r>
              <w:t>第八十条第二款  从事危险化学品仓储经营的港口经营人有前款规定情形的，由港口行政管理部门依</w:t>
            </w:r>
            <w:r>
              <w:rPr>
                <w:spacing w:val="6"/>
              </w:rPr>
              <w:t xml:space="preserve"> </w:t>
            </w:r>
            <w:r>
              <w:rPr>
                <w:spacing w:val="-4"/>
              </w:rPr>
              <w:t>照前款规定予以处罚。</w:t>
            </w:r>
          </w:p>
          <w:p w14:paraId="3327326B">
            <w:pPr>
              <w:pStyle w:val="8"/>
              <w:spacing w:before="24"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0F2857BC">
            <w:pPr>
              <w:pStyle w:val="8"/>
              <w:spacing w:before="27"/>
              <w:ind w:left="111" w:right="104" w:firstLine="359"/>
              <w:jc w:val="both"/>
            </w:pPr>
            <w:r>
              <w:t>第七十九条第（五）项  危险货物港口经营人有下列情形之一的，由所在地港口行政管理部门责令改</w:t>
            </w:r>
            <w:r>
              <w:rPr>
                <w:spacing w:val="6"/>
              </w:rPr>
              <w:t xml:space="preserve"> </w:t>
            </w:r>
            <w:r>
              <w:t>正，处五万元以上十万元以下的罚款；逾期未改正的，责令停产停业整顿；除第（一）项情形外，情节严</w:t>
            </w:r>
            <w:r>
              <w:rPr>
                <w:spacing w:val="5"/>
              </w:rPr>
              <w:t xml:space="preserve"> </w:t>
            </w:r>
            <w:r>
              <w:t>重的，还可以吊销其港口经营许可证件</w:t>
            </w:r>
            <w:r>
              <w:rPr>
                <w:spacing w:val="2"/>
              </w:rPr>
              <w:t>：（</w:t>
            </w:r>
            <w:r>
              <w:t>五）危险货物专用库场、储罐不符合国家标准、行业标准的要</w:t>
            </w:r>
            <w:r>
              <w:rPr>
                <w:spacing w:val="1"/>
              </w:rPr>
              <w:t xml:space="preserve"> </w:t>
            </w:r>
            <w:r>
              <w:rPr>
                <w:spacing w:val="-8"/>
              </w:rPr>
              <w:t>求的。</w:t>
            </w:r>
          </w:p>
        </w:tc>
        <w:tc>
          <w:tcPr>
            <w:tcW w:w="1010" w:type="dxa"/>
            <w:vAlign w:val="top"/>
          </w:tcPr>
          <w:p w14:paraId="1D7A75F2">
            <w:pPr>
              <w:spacing w:line="275" w:lineRule="auto"/>
              <w:rPr>
                <w:rFonts w:ascii="Arial"/>
                <w:sz w:val="21"/>
              </w:rPr>
            </w:pPr>
          </w:p>
          <w:p w14:paraId="73C17EC8">
            <w:pPr>
              <w:spacing w:line="275" w:lineRule="auto"/>
              <w:rPr>
                <w:rFonts w:ascii="Arial"/>
                <w:sz w:val="21"/>
              </w:rPr>
            </w:pPr>
          </w:p>
          <w:p w14:paraId="639D4467">
            <w:pPr>
              <w:spacing w:line="275" w:lineRule="auto"/>
              <w:rPr>
                <w:rFonts w:ascii="Arial"/>
                <w:sz w:val="21"/>
              </w:rPr>
            </w:pPr>
          </w:p>
          <w:p w14:paraId="1A1F6254">
            <w:pPr>
              <w:spacing w:line="275" w:lineRule="auto"/>
              <w:rPr>
                <w:rFonts w:ascii="Arial"/>
                <w:sz w:val="21"/>
              </w:rPr>
            </w:pPr>
          </w:p>
          <w:p w14:paraId="37D0B6ED">
            <w:pPr>
              <w:spacing w:line="276" w:lineRule="auto"/>
              <w:rPr>
                <w:rFonts w:ascii="Arial"/>
                <w:sz w:val="21"/>
              </w:rPr>
            </w:pPr>
          </w:p>
          <w:p w14:paraId="0259B7B8">
            <w:pPr>
              <w:spacing w:line="276" w:lineRule="auto"/>
              <w:rPr>
                <w:rFonts w:ascii="Arial"/>
                <w:sz w:val="21"/>
              </w:rPr>
            </w:pPr>
          </w:p>
          <w:p w14:paraId="1FA2EBB9">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216FE334">
            <w:pPr>
              <w:pStyle w:val="8"/>
              <w:spacing w:before="59" w:line="234" w:lineRule="auto"/>
              <w:ind w:left="530" w:right="104" w:hanging="413"/>
              <w:rPr>
                <w:rFonts w:hint="eastAsia"/>
                <w:spacing w:val="-12"/>
                <w:lang w:eastAsia="zh-CN"/>
              </w:rPr>
            </w:pPr>
          </w:p>
          <w:p w14:paraId="505013BA">
            <w:pPr>
              <w:pStyle w:val="8"/>
              <w:spacing w:before="59" w:line="234" w:lineRule="auto"/>
              <w:ind w:left="530" w:right="104" w:hanging="413"/>
              <w:rPr>
                <w:rFonts w:hint="eastAsia"/>
                <w:spacing w:val="-12"/>
                <w:lang w:eastAsia="zh-CN"/>
              </w:rPr>
            </w:pPr>
          </w:p>
          <w:p w14:paraId="4580152A">
            <w:pPr>
              <w:pStyle w:val="8"/>
              <w:spacing w:before="59" w:line="234" w:lineRule="auto"/>
              <w:ind w:left="530" w:right="104" w:hanging="413"/>
              <w:rPr>
                <w:rFonts w:hint="eastAsia"/>
                <w:spacing w:val="-12"/>
                <w:lang w:eastAsia="zh-CN"/>
              </w:rPr>
            </w:pPr>
          </w:p>
          <w:p w14:paraId="07E0E6EC">
            <w:pPr>
              <w:pStyle w:val="8"/>
              <w:spacing w:before="59" w:line="234" w:lineRule="auto"/>
              <w:ind w:left="530" w:right="104" w:hanging="413"/>
              <w:rPr>
                <w:rFonts w:hint="eastAsia"/>
                <w:spacing w:val="-12"/>
                <w:lang w:eastAsia="zh-CN"/>
              </w:rPr>
            </w:pPr>
          </w:p>
          <w:p w14:paraId="67CC763D">
            <w:pPr>
              <w:pStyle w:val="8"/>
              <w:spacing w:before="59" w:line="234" w:lineRule="auto"/>
              <w:ind w:left="530" w:right="104" w:hanging="413"/>
              <w:rPr>
                <w:rFonts w:hint="eastAsia"/>
                <w:spacing w:val="-12"/>
                <w:lang w:eastAsia="zh-CN"/>
              </w:rPr>
            </w:pPr>
          </w:p>
          <w:p w14:paraId="1B4072BD">
            <w:pPr>
              <w:pStyle w:val="8"/>
              <w:spacing w:before="59" w:line="234" w:lineRule="auto"/>
              <w:ind w:left="530" w:right="104" w:hanging="413"/>
              <w:rPr>
                <w:rFonts w:hint="eastAsia"/>
                <w:spacing w:val="-12"/>
                <w:lang w:eastAsia="zh-CN"/>
              </w:rPr>
            </w:pPr>
          </w:p>
          <w:p w14:paraId="6345007C">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3BAD8633">
            <w:pPr>
              <w:spacing w:line="255" w:lineRule="auto"/>
              <w:rPr>
                <w:rFonts w:ascii="Arial"/>
                <w:sz w:val="21"/>
              </w:rPr>
            </w:pPr>
          </w:p>
          <w:p w14:paraId="4EBFB57C">
            <w:pPr>
              <w:spacing w:line="255" w:lineRule="auto"/>
              <w:rPr>
                <w:rFonts w:ascii="Arial"/>
                <w:sz w:val="21"/>
              </w:rPr>
            </w:pPr>
          </w:p>
          <w:p w14:paraId="198A3003">
            <w:pPr>
              <w:spacing w:line="255" w:lineRule="auto"/>
              <w:rPr>
                <w:rFonts w:ascii="Arial"/>
                <w:sz w:val="21"/>
              </w:rPr>
            </w:pPr>
          </w:p>
          <w:p w14:paraId="6E806122">
            <w:pPr>
              <w:spacing w:line="256" w:lineRule="auto"/>
              <w:rPr>
                <w:rFonts w:ascii="Arial"/>
                <w:sz w:val="21"/>
              </w:rPr>
            </w:pPr>
          </w:p>
          <w:p w14:paraId="35C04C19">
            <w:pPr>
              <w:spacing w:line="256" w:lineRule="auto"/>
              <w:rPr>
                <w:rFonts w:ascii="Arial"/>
                <w:sz w:val="21"/>
              </w:rPr>
            </w:pPr>
          </w:p>
          <w:p w14:paraId="3CAA7657">
            <w:pPr>
              <w:spacing w:line="256" w:lineRule="auto"/>
              <w:rPr>
                <w:rFonts w:ascii="Arial"/>
                <w:sz w:val="21"/>
              </w:rPr>
            </w:pPr>
          </w:p>
          <w:p w14:paraId="3BE0FC09">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36010CED">
      <w:pPr>
        <w:pStyle w:val="2"/>
        <w:spacing w:line="204" w:lineRule="exact"/>
        <w:rPr>
          <w:sz w:val="17"/>
        </w:rPr>
      </w:pPr>
    </w:p>
    <w:p w14:paraId="7422FC80">
      <w:pPr>
        <w:spacing w:line="204" w:lineRule="exact"/>
        <w:rPr>
          <w:sz w:val="17"/>
          <w:szCs w:val="17"/>
        </w:rPr>
        <w:sectPr>
          <w:footerReference r:id="rId146" w:type="default"/>
          <w:pgSz w:w="16839" w:h="11906"/>
          <w:pgMar w:top="1012" w:right="1034" w:bottom="967" w:left="1043" w:header="0" w:footer="768" w:gutter="0"/>
          <w:cols w:space="720" w:num="1"/>
        </w:sectPr>
      </w:pPr>
    </w:p>
    <w:tbl>
      <w:tblPr>
        <w:tblStyle w:val="7"/>
        <w:tblpPr w:leftFromText="180" w:rightFromText="180" w:vertAnchor="text" w:horzAnchor="page" w:tblpX="1043" w:tblpY="-21"/>
        <w:tblOverlap w:val="never"/>
        <w:tblW w:w="1475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0E2FE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52886E04">
            <w:pPr>
              <w:pStyle w:val="8"/>
              <w:spacing w:before="259" w:line="221" w:lineRule="auto"/>
              <w:ind w:left="134"/>
            </w:pPr>
            <w:r>
              <w:rPr>
                <w:b/>
                <w:bCs/>
                <w:spacing w:val="-4"/>
              </w:rPr>
              <w:t>序号</w:t>
            </w:r>
          </w:p>
        </w:tc>
        <w:tc>
          <w:tcPr>
            <w:tcW w:w="1100" w:type="dxa"/>
            <w:vMerge w:val="restart"/>
            <w:tcBorders>
              <w:bottom w:val="nil"/>
            </w:tcBorders>
            <w:vAlign w:val="top"/>
          </w:tcPr>
          <w:p w14:paraId="5A4CFB86">
            <w:pPr>
              <w:pStyle w:val="8"/>
              <w:spacing w:before="260" w:line="220" w:lineRule="auto"/>
              <w:ind w:left="189"/>
            </w:pPr>
            <w:r>
              <w:rPr>
                <w:b/>
                <w:bCs/>
                <w:spacing w:val="-4"/>
              </w:rPr>
              <w:t>事项名称</w:t>
            </w:r>
          </w:p>
        </w:tc>
        <w:tc>
          <w:tcPr>
            <w:tcW w:w="1100" w:type="dxa"/>
            <w:vMerge w:val="restart"/>
            <w:tcBorders>
              <w:bottom w:val="nil"/>
            </w:tcBorders>
            <w:vAlign w:val="top"/>
          </w:tcPr>
          <w:p w14:paraId="1D3CE9D2">
            <w:pPr>
              <w:pStyle w:val="8"/>
              <w:spacing w:before="260" w:line="219" w:lineRule="auto"/>
              <w:ind w:left="191"/>
            </w:pPr>
            <w:r>
              <w:rPr>
                <w:b/>
                <w:bCs/>
                <w:spacing w:val="-4"/>
              </w:rPr>
              <w:t>职权类型</w:t>
            </w:r>
          </w:p>
        </w:tc>
        <w:tc>
          <w:tcPr>
            <w:tcW w:w="8508" w:type="dxa"/>
            <w:vMerge w:val="restart"/>
            <w:tcBorders>
              <w:bottom w:val="nil"/>
            </w:tcBorders>
            <w:vAlign w:val="top"/>
          </w:tcPr>
          <w:p w14:paraId="0F8156A6">
            <w:pPr>
              <w:pStyle w:val="8"/>
              <w:spacing w:before="259" w:line="219" w:lineRule="auto"/>
              <w:ind w:left="3900"/>
            </w:pPr>
            <w:r>
              <w:rPr>
                <w:b/>
                <w:bCs/>
                <w:spacing w:val="-5"/>
              </w:rPr>
              <w:t>实施依据</w:t>
            </w:r>
          </w:p>
        </w:tc>
        <w:tc>
          <w:tcPr>
            <w:tcW w:w="3425" w:type="dxa"/>
            <w:gridSpan w:val="3"/>
            <w:vAlign w:val="top"/>
          </w:tcPr>
          <w:p w14:paraId="7C4D8E25">
            <w:pPr>
              <w:pStyle w:val="8"/>
              <w:spacing w:before="85" w:line="220" w:lineRule="auto"/>
              <w:ind w:left="1358"/>
            </w:pPr>
            <w:r>
              <w:rPr>
                <w:b/>
                <w:bCs/>
                <w:spacing w:val="-5"/>
              </w:rPr>
              <w:t>实施主体</w:t>
            </w:r>
          </w:p>
        </w:tc>
      </w:tr>
      <w:tr w14:paraId="04985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6859A8F9">
            <w:pPr>
              <w:rPr>
                <w:rFonts w:ascii="Arial"/>
                <w:sz w:val="21"/>
              </w:rPr>
            </w:pPr>
          </w:p>
        </w:tc>
        <w:tc>
          <w:tcPr>
            <w:tcW w:w="1100" w:type="dxa"/>
            <w:vMerge w:val="continue"/>
            <w:tcBorders>
              <w:top w:val="nil"/>
            </w:tcBorders>
            <w:vAlign w:val="top"/>
          </w:tcPr>
          <w:p w14:paraId="727F18E3">
            <w:pPr>
              <w:rPr>
                <w:rFonts w:ascii="Arial"/>
                <w:sz w:val="21"/>
              </w:rPr>
            </w:pPr>
          </w:p>
        </w:tc>
        <w:tc>
          <w:tcPr>
            <w:tcW w:w="1100" w:type="dxa"/>
            <w:vMerge w:val="continue"/>
            <w:tcBorders>
              <w:top w:val="nil"/>
            </w:tcBorders>
            <w:vAlign w:val="top"/>
          </w:tcPr>
          <w:p w14:paraId="32CC3844">
            <w:pPr>
              <w:rPr>
                <w:rFonts w:ascii="Arial"/>
                <w:sz w:val="21"/>
              </w:rPr>
            </w:pPr>
          </w:p>
        </w:tc>
        <w:tc>
          <w:tcPr>
            <w:tcW w:w="8508" w:type="dxa"/>
            <w:vMerge w:val="continue"/>
            <w:tcBorders>
              <w:top w:val="nil"/>
            </w:tcBorders>
            <w:vAlign w:val="top"/>
          </w:tcPr>
          <w:p w14:paraId="334657DF">
            <w:pPr>
              <w:rPr>
                <w:rFonts w:ascii="Arial"/>
                <w:sz w:val="21"/>
              </w:rPr>
            </w:pPr>
          </w:p>
        </w:tc>
        <w:tc>
          <w:tcPr>
            <w:tcW w:w="1010" w:type="dxa"/>
            <w:vAlign w:val="top"/>
          </w:tcPr>
          <w:p w14:paraId="366DBD8E">
            <w:pPr>
              <w:pStyle w:val="8"/>
              <w:spacing w:before="81" w:line="219" w:lineRule="auto"/>
              <w:ind w:left="155"/>
            </w:pPr>
            <w:r>
              <w:rPr>
                <w:b/>
                <w:bCs/>
                <w:spacing w:val="-5"/>
              </w:rPr>
              <w:t>责任部门</w:t>
            </w:r>
          </w:p>
        </w:tc>
        <w:tc>
          <w:tcPr>
            <w:tcW w:w="1401" w:type="dxa"/>
            <w:vAlign w:val="top"/>
          </w:tcPr>
          <w:p w14:paraId="01564DD2">
            <w:pPr>
              <w:pStyle w:val="8"/>
              <w:spacing w:before="81" w:line="219" w:lineRule="auto"/>
              <w:ind w:left="164"/>
            </w:pPr>
            <w:r>
              <w:rPr>
                <w:b/>
                <w:bCs/>
                <w:spacing w:val="-3"/>
              </w:rPr>
              <w:t>第一责任层级</w:t>
            </w:r>
          </w:p>
        </w:tc>
        <w:tc>
          <w:tcPr>
            <w:tcW w:w="1014" w:type="dxa"/>
            <w:vAlign w:val="top"/>
          </w:tcPr>
          <w:p w14:paraId="4822A68B">
            <w:pPr>
              <w:pStyle w:val="8"/>
              <w:spacing w:before="81" w:line="219" w:lineRule="auto"/>
              <w:ind w:left="150"/>
            </w:pPr>
            <w:r>
              <w:rPr>
                <w:b/>
                <w:bCs/>
                <w:spacing w:val="-4"/>
              </w:rPr>
              <w:t>承办机构</w:t>
            </w:r>
          </w:p>
        </w:tc>
      </w:tr>
      <w:tr w14:paraId="14886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6" w:hRule="atLeast"/>
        </w:trPr>
        <w:tc>
          <w:tcPr>
            <w:tcW w:w="622" w:type="dxa"/>
            <w:vAlign w:val="top"/>
          </w:tcPr>
          <w:p w14:paraId="77AB84A3">
            <w:pPr>
              <w:spacing w:line="266" w:lineRule="auto"/>
              <w:rPr>
                <w:rFonts w:ascii="Arial"/>
                <w:sz w:val="21"/>
              </w:rPr>
            </w:pPr>
          </w:p>
          <w:p w14:paraId="3DA3359A">
            <w:pPr>
              <w:spacing w:line="266" w:lineRule="auto"/>
              <w:rPr>
                <w:rFonts w:ascii="Arial"/>
                <w:sz w:val="21"/>
              </w:rPr>
            </w:pPr>
          </w:p>
          <w:p w14:paraId="1DAFFACC">
            <w:pPr>
              <w:spacing w:line="266" w:lineRule="auto"/>
              <w:rPr>
                <w:rFonts w:ascii="Arial"/>
                <w:sz w:val="21"/>
              </w:rPr>
            </w:pPr>
          </w:p>
          <w:p w14:paraId="18385BA0">
            <w:pPr>
              <w:spacing w:line="267" w:lineRule="auto"/>
              <w:rPr>
                <w:rFonts w:ascii="Arial"/>
                <w:sz w:val="21"/>
              </w:rPr>
            </w:pPr>
          </w:p>
          <w:p w14:paraId="50F193EA">
            <w:pPr>
              <w:spacing w:line="267" w:lineRule="auto"/>
              <w:rPr>
                <w:rFonts w:ascii="Arial"/>
                <w:sz w:val="21"/>
              </w:rPr>
            </w:pPr>
          </w:p>
          <w:p w14:paraId="2C6EB97B">
            <w:pPr>
              <w:spacing w:line="267" w:lineRule="auto"/>
              <w:rPr>
                <w:rFonts w:ascii="Arial"/>
                <w:sz w:val="21"/>
              </w:rPr>
            </w:pPr>
          </w:p>
          <w:p w14:paraId="6C99EF9B">
            <w:pPr>
              <w:spacing w:line="267" w:lineRule="auto"/>
              <w:rPr>
                <w:rFonts w:ascii="Arial"/>
                <w:sz w:val="21"/>
              </w:rPr>
            </w:pPr>
          </w:p>
          <w:p w14:paraId="2B227ACE">
            <w:pPr>
              <w:spacing w:line="267" w:lineRule="auto"/>
              <w:rPr>
                <w:rFonts w:ascii="Arial"/>
                <w:sz w:val="21"/>
              </w:rPr>
            </w:pPr>
          </w:p>
          <w:p w14:paraId="15BA690C">
            <w:pPr>
              <w:pStyle w:val="8"/>
              <w:spacing w:before="59" w:line="183" w:lineRule="auto"/>
              <w:ind w:left="229"/>
            </w:pPr>
            <w:r>
              <w:rPr>
                <w:spacing w:val="-5"/>
              </w:rPr>
              <w:t>38</w:t>
            </w:r>
          </w:p>
        </w:tc>
        <w:tc>
          <w:tcPr>
            <w:tcW w:w="1100" w:type="dxa"/>
            <w:vAlign w:val="top"/>
          </w:tcPr>
          <w:p w14:paraId="7201475D">
            <w:pPr>
              <w:spacing w:line="290" w:lineRule="auto"/>
              <w:rPr>
                <w:rFonts w:ascii="Arial"/>
                <w:sz w:val="21"/>
              </w:rPr>
            </w:pPr>
          </w:p>
          <w:p w14:paraId="1BD067A3">
            <w:pPr>
              <w:spacing w:line="290" w:lineRule="auto"/>
              <w:rPr>
                <w:rFonts w:ascii="Arial"/>
                <w:sz w:val="21"/>
              </w:rPr>
            </w:pPr>
          </w:p>
          <w:p w14:paraId="68B9CFB4">
            <w:pPr>
              <w:spacing w:line="290" w:lineRule="auto"/>
              <w:rPr>
                <w:rFonts w:ascii="Arial"/>
                <w:sz w:val="21"/>
              </w:rPr>
            </w:pPr>
          </w:p>
          <w:p w14:paraId="1286E042">
            <w:pPr>
              <w:spacing w:line="291" w:lineRule="auto"/>
              <w:rPr>
                <w:rFonts w:ascii="Arial"/>
                <w:sz w:val="21"/>
              </w:rPr>
            </w:pPr>
          </w:p>
          <w:p w14:paraId="237B604E">
            <w:pPr>
              <w:pStyle w:val="8"/>
              <w:spacing w:before="59" w:line="243" w:lineRule="auto"/>
              <w:ind w:left="59" w:right="55"/>
              <w:jc w:val="both"/>
            </w:pPr>
            <w:r>
              <w:rPr>
                <w:spacing w:val="16"/>
              </w:rPr>
              <w:t>对危险货物</w:t>
            </w:r>
            <w:r>
              <w:t xml:space="preserve"> </w:t>
            </w:r>
            <w:r>
              <w:rPr>
                <w:spacing w:val="16"/>
              </w:rPr>
              <w:t>港口经营人</w:t>
            </w:r>
            <w:r>
              <w:t xml:space="preserve"> </w:t>
            </w:r>
            <w:r>
              <w:rPr>
                <w:spacing w:val="16"/>
              </w:rPr>
              <w:t>未将安全评</w:t>
            </w:r>
            <w:r>
              <w:t xml:space="preserve"> </w:t>
            </w:r>
            <w:r>
              <w:rPr>
                <w:spacing w:val="16"/>
              </w:rPr>
              <w:t>价报告以及</w:t>
            </w:r>
            <w:r>
              <w:t xml:space="preserve"> </w:t>
            </w:r>
            <w:r>
              <w:rPr>
                <w:spacing w:val="16"/>
              </w:rPr>
              <w:t>落实情况报</w:t>
            </w:r>
            <w:r>
              <w:t xml:space="preserve"> </w:t>
            </w:r>
            <w:r>
              <w:rPr>
                <w:spacing w:val="16"/>
              </w:rPr>
              <w:t>港口行政管</w:t>
            </w:r>
            <w:r>
              <w:t xml:space="preserve"> </w:t>
            </w:r>
            <w:r>
              <w:rPr>
                <w:spacing w:val="16"/>
              </w:rPr>
              <w:t>理部门备案</w:t>
            </w:r>
            <w:r>
              <w:t xml:space="preserve"> </w:t>
            </w:r>
            <w:r>
              <w:rPr>
                <w:spacing w:val="16"/>
              </w:rPr>
              <w:t>等行为的行</w:t>
            </w:r>
            <w:r>
              <w:t xml:space="preserve"> </w:t>
            </w:r>
            <w:r>
              <w:rPr>
                <w:spacing w:val="-2"/>
              </w:rPr>
              <w:t>政处罚</w:t>
            </w:r>
          </w:p>
        </w:tc>
        <w:tc>
          <w:tcPr>
            <w:tcW w:w="1100" w:type="dxa"/>
            <w:vAlign w:val="top"/>
          </w:tcPr>
          <w:p w14:paraId="0A6542A4">
            <w:pPr>
              <w:spacing w:line="262" w:lineRule="auto"/>
              <w:rPr>
                <w:rFonts w:ascii="Arial"/>
                <w:sz w:val="21"/>
              </w:rPr>
            </w:pPr>
          </w:p>
          <w:p w14:paraId="208A90C5">
            <w:pPr>
              <w:spacing w:line="263" w:lineRule="auto"/>
              <w:rPr>
                <w:rFonts w:ascii="Arial"/>
                <w:sz w:val="21"/>
              </w:rPr>
            </w:pPr>
          </w:p>
          <w:p w14:paraId="0EE5890B">
            <w:pPr>
              <w:spacing w:line="263" w:lineRule="auto"/>
              <w:rPr>
                <w:rFonts w:ascii="Arial"/>
                <w:sz w:val="21"/>
              </w:rPr>
            </w:pPr>
          </w:p>
          <w:p w14:paraId="0A4BA9DC">
            <w:pPr>
              <w:spacing w:line="263" w:lineRule="auto"/>
              <w:rPr>
                <w:rFonts w:ascii="Arial"/>
                <w:sz w:val="21"/>
              </w:rPr>
            </w:pPr>
          </w:p>
          <w:p w14:paraId="315F0A6E">
            <w:pPr>
              <w:spacing w:line="263" w:lineRule="auto"/>
              <w:rPr>
                <w:rFonts w:ascii="Arial"/>
                <w:sz w:val="21"/>
              </w:rPr>
            </w:pPr>
          </w:p>
          <w:p w14:paraId="650631F7">
            <w:pPr>
              <w:spacing w:line="263" w:lineRule="auto"/>
              <w:rPr>
                <w:rFonts w:ascii="Arial"/>
                <w:sz w:val="21"/>
              </w:rPr>
            </w:pPr>
          </w:p>
          <w:p w14:paraId="44425593">
            <w:pPr>
              <w:spacing w:line="263" w:lineRule="auto"/>
              <w:rPr>
                <w:rFonts w:ascii="Arial"/>
                <w:sz w:val="21"/>
              </w:rPr>
            </w:pPr>
          </w:p>
          <w:p w14:paraId="7DA37349">
            <w:pPr>
              <w:spacing w:line="263" w:lineRule="auto"/>
              <w:rPr>
                <w:rFonts w:ascii="Arial"/>
                <w:sz w:val="21"/>
              </w:rPr>
            </w:pPr>
          </w:p>
          <w:p w14:paraId="4C28DEE7">
            <w:pPr>
              <w:pStyle w:val="8"/>
              <w:spacing w:before="58" w:line="220" w:lineRule="auto"/>
              <w:ind w:left="112"/>
            </w:pPr>
            <w:r>
              <w:rPr>
                <w:spacing w:val="-2"/>
              </w:rPr>
              <w:t>行政处罚</w:t>
            </w:r>
          </w:p>
        </w:tc>
        <w:tc>
          <w:tcPr>
            <w:tcW w:w="8508" w:type="dxa"/>
            <w:vAlign w:val="top"/>
          </w:tcPr>
          <w:p w14:paraId="0053D39B">
            <w:pPr>
              <w:pStyle w:val="8"/>
              <w:spacing w:before="144" w:line="219" w:lineRule="auto"/>
              <w:ind w:left="484"/>
            </w:pPr>
            <w:r>
              <w:rPr>
                <w:b/>
                <w:bCs/>
                <w:spacing w:val="-3"/>
              </w:rPr>
              <w:t>1.《危险化学品安全管理条例》</w:t>
            </w:r>
          </w:p>
          <w:p w14:paraId="073302E7">
            <w:pPr>
              <w:pStyle w:val="8"/>
              <w:spacing w:before="27" w:line="237" w:lineRule="auto"/>
              <w:ind w:left="111" w:right="104" w:firstLine="360"/>
              <w:jc w:val="both"/>
            </w:pPr>
            <w:r>
              <w:t>第二十二条第二款  生产、储存危险化学品的企业，应当将安全评价报告以及整改方案的落实情况报</w:t>
            </w:r>
            <w:r>
              <w:rPr>
                <w:spacing w:val="6"/>
              </w:rPr>
              <w:t xml:space="preserve"> </w:t>
            </w:r>
            <w:r>
              <w:t>所在地县级人民政府安全生产监督管理部门备案。在港区内储存危险化学品的企业，应当将安全评价报告</w:t>
            </w:r>
            <w:r>
              <w:rPr>
                <w:spacing w:val="6"/>
              </w:rPr>
              <w:t xml:space="preserve"> </w:t>
            </w:r>
            <w:r>
              <w:rPr>
                <w:spacing w:val="-2"/>
              </w:rPr>
              <w:t>以及整改方案的落实情况报港口行政管理部门备案。</w:t>
            </w:r>
          </w:p>
          <w:p w14:paraId="17F7EA32">
            <w:pPr>
              <w:pStyle w:val="8"/>
              <w:spacing w:before="24" w:line="241" w:lineRule="auto"/>
              <w:ind w:left="110" w:right="104" w:firstLine="360"/>
              <w:jc w:val="both"/>
            </w:pPr>
            <w:r>
              <w:t>第八十一条第二款  生产、储存危险化学品的企业或者使用危险化学品从事生产的企业未按照本条例</w:t>
            </w:r>
            <w:r>
              <w:rPr>
                <w:spacing w:val="6"/>
              </w:rPr>
              <w:t xml:space="preserve"> </w:t>
            </w:r>
            <w:r>
              <w:t>规定将安全评价报告以及整改方案的落实情况报安全生产监督管理部门或者港口行政管理部门备案，或者</w:t>
            </w:r>
            <w:r>
              <w:rPr>
                <w:spacing w:val="7"/>
              </w:rPr>
              <w:t xml:space="preserve"> </w:t>
            </w:r>
            <w:r>
              <w:t>储存危险化学品的单位未将其剧毒化学品以及储存数量构成重大危险源的其他危险化学品的储存数量、储</w:t>
            </w:r>
            <w:r>
              <w:rPr>
                <w:spacing w:val="7"/>
              </w:rPr>
              <w:t xml:space="preserve"> </w:t>
            </w:r>
            <w:r>
              <w:t>存地点以及管理人员的情况报安全生产监督管理部门或者港口行政管理部门备案的，分别由安全生产监督</w:t>
            </w:r>
            <w:r>
              <w:rPr>
                <w:spacing w:val="7"/>
              </w:rPr>
              <w:t xml:space="preserve"> </w:t>
            </w:r>
            <w:r>
              <w:rPr>
                <w:spacing w:val="-2"/>
              </w:rPr>
              <w:t>管理部门或者港口行政管理部门依照前款规定予以处罚。</w:t>
            </w:r>
          </w:p>
          <w:p w14:paraId="412E03D9">
            <w:pPr>
              <w:pStyle w:val="8"/>
              <w:spacing w:before="26"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518EFD1C">
            <w:pPr>
              <w:pStyle w:val="8"/>
              <w:spacing w:before="27" w:line="237" w:lineRule="auto"/>
              <w:ind w:left="110" w:right="104" w:firstLine="360"/>
            </w:pPr>
            <w:r>
              <w:t>第二十八条  危险货物港口经营人应当在取得经营资质后，按照国家有关规定委托有资质的安全评价</w:t>
            </w:r>
            <w:r>
              <w:rPr>
                <w:spacing w:val="6"/>
              </w:rPr>
              <w:t xml:space="preserve"> </w:t>
            </w:r>
            <w:r>
              <w:t>机构，对本单位的安全生产条件每</w:t>
            </w:r>
            <w:r>
              <w:rPr>
                <w:spacing w:val="-34"/>
              </w:rPr>
              <w:t xml:space="preserve"> </w:t>
            </w:r>
            <w:r>
              <w:t>3</w:t>
            </w:r>
            <w:r>
              <w:rPr>
                <w:spacing w:val="-37"/>
              </w:rPr>
              <w:t xml:space="preserve"> </w:t>
            </w:r>
            <w:r>
              <w:t>年进行一次安全评价，提出安全评价报告</w:t>
            </w:r>
            <w:r>
              <w:rPr>
                <w:spacing w:val="-1"/>
              </w:rPr>
              <w:t>。安全评价报告的内容应当</w:t>
            </w:r>
            <w:r>
              <w:t xml:space="preserve"> </w:t>
            </w:r>
            <w:r>
              <w:rPr>
                <w:spacing w:val="-1"/>
              </w:rPr>
              <w:t>包括对事故隐患的整改情况、遗留隐患和安全条</w:t>
            </w:r>
            <w:r>
              <w:rPr>
                <w:spacing w:val="-2"/>
              </w:rPr>
              <w:t>件改进建议。</w:t>
            </w:r>
          </w:p>
          <w:p w14:paraId="7B675973">
            <w:pPr>
              <w:pStyle w:val="8"/>
              <w:spacing w:before="25" w:line="218" w:lineRule="auto"/>
              <w:ind w:left="473"/>
            </w:pPr>
            <w:r>
              <w:rPr>
                <w:spacing w:val="-1"/>
              </w:rPr>
              <w:t>危险货物港口经营人应当将安全评价报告以及落实情况报所在地港口行政管理部门备</w:t>
            </w:r>
            <w:r>
              <w:rPr>
                <w:spacing w:val="-2"/>
              </w:rPr>
              <w:t>案。</w:t>
            </w:r>
          </w:p>
          <w:p w14:paraId="0D6BAEB5">
            <w:pPr>
              <w:pStyle w:val="8"/>
              <w:spacing w:before="26"/>
              <w:ind w:left="110" w:right="104" w:firstLine="360"/>
            </w:pPr>
            <w:r>
              <w:t>第八十条  危险货物港口经营人有下列情形之一的，由所在地港口行政管理部门责令改正，可以处一</w:t>
            </w:r>
            <w:r>
              <w:rPr>
                <w:spacing w:val="6"/>
              </w:rPr>
              <w:t xml:space="preserve"> </w:t>
            </w:r>
            <w:r>
              <w:t>万元以下的罚款；逾期未改正的，处一万元以上五万元以下的罚款</w:t>
            </w:r>
            <w:r>
              <w:rPr>
                <w:spacing w:val="3"/>
              </w:rPr>
              <w:t>：（</w:t>
            </w:r>
            <w:r>
              <w:t>一）未将安全评价报告以及落实情</w:t>
            </w:r>
            <w:r>
              <w:rPr>
                <w:spacing w:val="1"/>
              </w:rPr>
              <w:t xml:space="preserve"> </w:t>
            </w:r>
            <w:r>
              <w:t>况报港口行政管理部门备案的</w:t>
            </w:r>
            <w:r>
              <w:rPr>
                <w:spacing w:val="3"/>
              </w:rPr>
              <w:t>；（</w:t>
            </w:r>
            <w:r>
              <w:t>二）未将剧毒化学品以及储存数量构成重大危险源的其他危险货物的储</w:t>
            </w:r>
            <w:r>
              <w:rPr>
                <w:spacing w:val="1"/>
              </w:rPr>
              <w:t xml:space="preserve"> </w:t>
            </w:r>
            <w:r>
              <w:rPr>
                <w:spacing w:val="-1"/>
              </w:rPr>
              <w:t>存数量、储存地点以及管理人员等情况报港口行政管理部门备</w:t>
            </w:r>
            <w:r>
              <w:rPr>
                <w:spacing w:val="-2"/>
              </w:rPr>
              <w:t>案的。</w:t>
            </w:r>
          </w:p>
        </w:tc>
        <w:tc>
          <w:tcPr>
            <w:tcW w:w="1010" w:type="dxa"/>
            <w:vAlign w:val="top"/>
          </w:tcPr>
          <w:p w14:paraId="6A528CF4">
            <w:pPr>
              <w:spacing w:line="249" w:lineRule="auto"/>
              <w:rPr>
                <w:rFonts w:ascii="Arial"/>
                <w:sz w:val="21"/>
              </w:rPr>
            </w:pPr>
          </w:p>
          <w:p w14:paraId="7AE6428D">
            <w:pPr>
              <w:spacing w:line="249" w:lineRule="auto"/>
              <w:rPr>
                <w:rFonts w:ascii="Arial"/>
                <w:sz w:val="21"/>
              </w:rPr>
            </w:pPr>
          </w:p>
          <w:p w14:paraId="70DB4C13">
            <w:pPr>
              <w:spacing w:line="249" w:lineRule="auto"/>
              <w:rPr>
                <w:rFonts w:ascii="Arial"/>
                <w:sz w:val="21"/>
              </w:rPr>
            </w:pPr>
          </w:p>
          <w:p w14:paraId="09FF1DBE">
            <w:pPr>
              <w:spacing w:line="249" w:lineRule="auto"/>
              <w:rPr>
                <w:rFonts w:ascii="Arial"/>
                <w:sz w:val="21"/>
              </w:rPr>
            </w:pPr>
          </w:p>
          <w:p w14:paraId="7F8DDC3B">
            <w:pPr>
              <w:spacing w:line="249" w:lineRule="auto"/>
              <w:rPr>
                <w:rFonts w:ascii="Arial"/>
                <w:sz w:val="21"/>
              </w:rPr>
            </w:pPr>
          </w:p>
          <w:p w14:paraId="499F6AF9">
            <w:pPr>
              <w:spacing w:line="249" w:lineRule="auto"/>
              <w:rPr>
                <w:rFonts w:ascii="Arial"/>
                <w:sz w:val="21"/>
              </w:rPr>
            </w:pPr>
          </w:p>
          <w:p w14:paraId="20E93ABC">
            <w:pPr>
              <w:spacing w:line="249" w:lineRule="auto"/>
              <w:rPr>
                <w:rFonts w:ascii="Arial"/>
                <w:sz w:val="21"/>
              </w:rPr>
            </w:pPr>
          </w:p>
          <w:p w14:paraId="19583D46">
            <w:pPr>
              <w:spacing w:line="250" w:lineRule="auto"/>
              <w:rPr>
                <w:rFonts w:ascii="Arial"/>
                <w:sz w:val="21"/>
              </w:rPr>
            </w:pPr>
          </w:p>
          <w:p w14:paraId="54940D6F">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12C3BC47">
            <w:pPr>
              <w:pStyle w:val="8"/>
              <w:spacing w:before="59" w:line="234" w:lineRule="auto"/>
              <w:ind w:left="530" w:right="104" w:hanging="413"/>
              <w:rPr>
                <w:rFonts w:hint="eastAsia"/>
                <w:spacing w:val="-12"/>
                <w:lang w:eastAsia="zh-CN"/>
              </w:rPr>
            </w:pPr>
          </w:p>
          <w:p w14:paraId="44F47CE5">
            <w:pPr>
              <w:pStyle w:val="8"/>
              <w:spacing w:before="59" w:line="234" w:lineRule="auto"/>
              <w:ind w:left="530" w:right="104" w:hanging="413"/>
              <w:rPr>
                <w:rFonts w:hint="eastAsia"/>
                <w:spacing w:val="-12"/>
                <w:lang w:eastAsia="zh-CN"/>
              </w:rPr>
            </w:pPr>
          </w:p>
          <w:p w14:paraId="7DA3FA08">
            <w:pPr>
              <w:pStyle w:val="8"/>
              <w:spacing w:before="59" w:line="234" w:lineRule="auto"/>
              <w:ind w:left="530" w:right="104" w:hanging="413"/>
              <w:rPr>
                <w:rFonts w:hint="eastAsia"/>
                <w:spacing w:val="-12"/>
                <w:lang w:eastAsia="zh-CN"/>
              </w:rPr>
            </w:pPr>
          </w:p>
          <w:p w14:paraId="62827A19">
            <w:pPr>
              <w:pStyle w:val="8"/>
              <w:spacing w:before="59" w:line="234" w:lineRule="auto"/>
              <w:ind w:left="530" w:right="104" w:hanging="413"/>
              <w:rPr>
                <w:rFonts w:hint="eastAsia"/>
                <w:spacing w:val="-12"/>
                <w:lang w:eastAsia="zh-CN"/>
              </w:rPr>
            </w:pPr>
          </w:p>
          <w:p w14:paraId="7FE18B69">
            <w:pPr>
              <w:pStyle w:val="8"/>
              <w:spacing w:before="59" w:line="234" w:lineRule="auto"/>
              <w:ind w:left="530" w:right="104" w:hanging="413"/>
              <w:rPr>
                <w:rFonts w:hint="eastAsia"/>
                <w:spacing w:val="-12"/>
                <w:lang w:eastAsia="zh-CN"/>
              </w:rPr>
            </w:pPr>
          </w:p>
          <w:p w14:paraId="0161C092">
            <w:pPr>
              <w:pStyle w:val="8"/>
              <w:spacing w:before="59" w:line="234" w:lineRule="auto"/>
              <w:ind w:left="530" w:right="104" w:hanging="413"/>
              <w:rPr>
                <w:rFonts w:hint="eastAsia"/>
                <w:spacing w:val="-12"/>
                <w:lang w:eastAsia="zh-CN"/>
              </w:rPr>
            </w:pPr>
          </w:p>
          <w:p w14:paraId="0E022EB3">
            <w:pPr>
              <w:pStyle w:val="8"/>
              <w:spacing w:before="59" w:line="234" w:lineRule="auto"/>
              <w:ind w:left="530" w:right="104" w:hanging="413"/>
              <w:rPr>
                <w:rFonts w:hint="eastAsia"/>
                <w:spacing w:val="-12"/>
                <w:lang w:eastAsia="zh-CN"/>
              </w:rPr>
            </w:pPr>
          </w:p>
          <w:p w14:paraId="2E73A0BB">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AA8ACEF">
            <w:pPr>
              <w:spacing w:line="267" w:lineRule="auto"/>
              <w:rPr>
                <w:rFonts w:ascii="Arial"/>
                <w:sz w:val="21"/>
              </w:rPr>
            </w:pPr>
          </w:p>
          <w:p w14:paraId="36BE8633">
            <w:pPr>
              <w:spacing w:line="267" w:lineRule="auto"/>
              <w:rPr>
                <w:rFonts w:ascii="Arial"/>
                <w:sz w:val="21"/>
              </w:rPr>
            </w:pPr>
          </w:p>
          <w:p w14:paraId="51787448">
            <w:pPr>
              <w:spacing w:line="268" w:lineRule="auto"/>
              <w:rPr>
                <w:rFonts w:ascii="Arial"/>
                <w:sz w:val="21"/>
              </w:rPr>
            </w:pPr>
          </w:p>
          <w:p w14:paraId="0EA0000E">
            <w:pPr>
              <w:spacing w:line="268" w:lineRule="auto"/>
              <w:rPr>
                <w:rFonts w:ascii="Arial"/>
                <w:sz w:val="21"/>
              </w:rPr>
            </w:pPr>
          </w:p>
          <w:p w14:paraId="31BB5941">
            <w:pPr>
              <w:spacing w:line="268" w:lineRule="auto"/>
              <w:rPr>
                <w:rFonts w:ascii="Arial"/>
                <w:sz w:val="21"/>
              </w:rPr>
            </w:pPr>
          </w:p>
          <w:p w14:paraId="219FB14E">
            <w:pPr>
              <w:spacing w:line="268" w:lineRule="auto"/>
              <w:rPr>
                <w:rFonts w:ascii="Arial"/>
                <w:sz w:val="21"/>
              </w:rPr>
            </w:pPr>
          </w:p>
          <w:p w14:paraId="506B57E8">
            <w:pPr>
              <w:spacing w:line="268" w:lineRule="auto"/>
              <w:rPr>
                <w:rFonts w:ascii="Arial"/>
                <w:sz w:val="21"/>
              </w:rPr>
            </w:pPr>
          </w:p>
          <w:p w14:paraId="20BD2EEA">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7F707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8" w:hRule="atLeast"/>
        </w:trPr>
        <w:tc>
          <w:tcPr>
            <w:tcW w:w="622" w:type="dxa"/>
            <w:vAlign w:val="top"/>
          </w:tcPr>
          <w:p w14:paraId="1B5A0575">
            <w:pPr>
              <w:spacing w:line="250" w:lineRule="auto"/>
              <w:rPr>
                <w:rFonts w:ascii="Arial"/>
                <w:sz w:val="21"/>
              </w:rPr>
            </w:pPr>
          </w:p>
          <w:p w14:paraId="1C0F2A3A">
            <w:pPr>
              <w:spacing w:line="250" w:lineRule="auto"/>
              <w:rPr>
                <w:rFonts w:ascii="Arial"/>
                <w:sz w:val="21"/>
              </w:rPr>
            </w:pPr>
          </w:p>
          <w:p w14:paraId="6FD57146">
            <w:pPr>
              <w:spacing w:line="250" w:lineRule="auto"/>
              <w:rPr>
                <w:rFonts w:ascii="Arial"/>
                <w:sz w:val="21"/>
              </w:rPr>
            </w:pPr>
          </w:p>
          <w:p w14:paraId="671D3858">
            <w:pPr>
              <w:spacing w:line="250" w:lineRule="auto"/>
              <w:rPr>
                <w:rFonts w:ascii="Arial"/>
                <w:sz w:val="21"/>
              </w:rPr>
            </w:pPr>
          </w:p>
          <w:p w14:paraId="31AA3495">
            <w:pPr>
              <w:spacing w:line="250" w:lineRule="auto"/>
              <w:rPr>
                <w:rFonts w:ascii="Arial"/>
                <w:sz w:val="21"/>
              </w:rPr>
            </w:pPr>
          </w:p>
          <w:p w14:paraId="42FE88F2">
            <w:pPr>
              <w:spacing w:line="250" w:lineRule="auto"/>
              <w:rPr>
                <w:rFonts w:ascii="Arial"/>
                <w:sz w:val="21"/>
              </w:rPr>
            </w:pPr>
          </w:p>
          <w:p w14:paraId="42C7E7CB">
            <w:pPr>
              <w:spacing w:line="251" w:lineRule="auto"/>
              <w:rPr>
                <w:rFonts w:ascii="Arial"/>
                <w:sz w:val="21"/>
              </w:rPr>
            </w:pPr>
          </w:p>
          <w:p w14:paraId="7E043DBA">
            <w:pPr>
              <w:spacing w:line="251" w:lineRule="auto"/>
              <w:rPr>
                <w:rFonts w:ascii="Arial"/>
                <w:sz w:val="21"/>
              </w:rPr>
            </w:pPr>
          </w:p>
          <w:p w14:paraId="046EA21C">
            <w:pPr>
              <w:pStyle w:val="8"/>
              <w:spacing w:before="59" w:line="183" w:lineRule="auto"/>
              <w:ind w:left="229"/>
            </w:pPr>
            <w:r>
              <w:rPr>
                <w:spacing w:val="-5"/>
              </w:rPr>
              <w:t>39</w:t>
            </w:r>
          </w:p>
        </w:tc>
        <w:tc>
          <w:tcPr>
            <w:tcW w:w="1100" w:type="dxa"/>
            <w:vAlign w:val="top"/>
          </w:tcPr>
          <w:p w14:paraId="659E4356">
            <w:pPr>
              <w:pStyle w:val="8"/>
              <w:spacing w:before="244" w:line="245" w:lineRule="auto"/>
              <w:ind w:right="55"/>
              <w:jc w:val="both"/>
            </w:pPr>
            <w:r>
              <w:rPr>
                <w:rStyle w:val="6"/>
              </w:rPr>
              <w:t>对两个以上危险货物港口经营人在同一作业区 域内进行可能危及对方安全生产的生产经营活 动，未签订 安全生产管理协议或者未指定专职安全管理人 员进行全检查和协调的行政处罚</w:t>
            </w:r>
          </w:p>
        </w:tc>
        <w:tc>
          <w:tcPr>
            <w:tcW w:w="1100" w:type="dxa"/>
            <w:vAlign w:val="top"/>
          </w:tcPr>
          <w:p w14:paraId="3C942CC3">
            <w:pPr>
              <w:spacing w:line="246" w:lineRule="auto"/>
              <w:rPr>
                <w:rFonts w:ascii="Arial"/>
                <w:sz w:val="21"/>
              </w:rPr>
            </w:pPr>
          </w:p>
          <w:p w14:paraId="634C1E83">
            <w:pPr>
              <w:spacing w:line="246" w:lineRule="auto"/>
              <w:rPr>
                <w:rFonts w:ascii="Arial"/>
                <w:sz w:val="21"/>
              </w:rPr>
            </w:pPr>
          </w:p>
          <w:p w14:paraId="17AB0DA5">
            <w:pPr>
              <w:spacing w:line="246" w:lineRule="auto"/>
              <w:rPr>
                <w:rFonts w:ascii="Arial"/>
                <w:sz w:val="21"/>
              </w:rPr>
            </w:pPr>
          </w:p>
          <w:p w14:paraId="0E38FA50">
            <w:pPr>
              <w:spacing w:line="246" w:lineRule="auto"/>
              <w:rPr>
                <w:rFonts w:ascii="Arial"/>
                <w:sz w:val="21"/>
              </w:rPr>
            </w:pPr>
          </w:p>
          <w:p w14:paraId="67732993">
            <w:pPr>
              <w:spacing w:line="246" w:lineRule="auto"/>
              <w:rPr>
                <w:rFonts w:ascii="Arial"/>
                <w:sz w:val="21"/>
              </w:rPr>
            </w:pPr>
          </w:p>
          <w:p w14:paraId="4F53C895">
            <w:pPr>
              <w:spacing w:line="247" w:lineRule="auto"/>
              <w:rPr>
                <w:rFonts w:ascii="Arial"/>
                <w:sz w:val="21"/>
              </w:rPr>
            </w:pPr>
          </w:p>
          <w:p w14:paraId="6C6AA629">
            <w:pPr>
              <w:spacing w:line="247" w:lineRule="auto"/>
              <w:rPr>
                <w:rFonts w:ascii="Arial"/>
                <w:sz w:val="21"/>
              </w:rPr>
            </w:pPr>
          </w:p>
          <w:p w14:paraId="4F152327">
            <w:pPr>
              <w:spacing w:line="247" w:lineRule="auto"/>
              <w:rPr>
                <w:rFonts w:ascii="Arial"/>
                <w:sz w:val="21"/>
              </w:rPr>
            </w:pPr>
          </w:p>
          <w:p w14:paraId="3B4B7D8C">
            <w:pPr>
              <w:pStyle w:val="8"/>
              <w:spacing w:before="59" w:line="220" w:lineRule="auto"/>
              <w:ind w:left="112"/>
            </w:pPr>
            <w:r>
              <w:rPr>
                <w:spacing w:val="-2"/>
              </w:rPr>
              <w:t>行政处罚</w:t>
            </w:r>
          </w:p>
        </w:tc>
        <w:tc>
          <w:tcPr>
            <w:tcW w:w="8508" w:type="dxa"/>
            <w:vAlign w:val="top"/>
          </w:tcPr>
          <w:p w14:paraId="6C76431F">
            <w:pPr>
              <w:pStyle w:val="8"/>
              <w:spacing w:before="132" w:line="219" w:lineRule="auto"/>
              <w:ind w:left="484"/>
            </w:pPr>
            <w:r>
              <w:rPr>
                <w:b/>
                <w:bCs/>
                <w:spacing w:val="-4"/>
              </w:rPr>
              <w:t>1.《中华人民共和国安全生产法》</w:t>
            </w:r>
          </w:p>
          <w:p w14:paraId="7285E45F">
            <w:pPr>
              <w:pStyle w:val="8"/>
              <w:spacing w:before="27" w:line="237" w:lineRule="auto"/>
              <w:ind w:left="111" w:right="58" w:firstLine="360"/>
              <w:jc w:val="both"/>
            </w:pPr>
            <w:r>
              <w:rPr>
                <w:spacing w:val="-3"/>
              </w:rPr>
              <w:t>第四十八条  两个以上生产经营单位在同一作业区域内进行生产经营活动，可能危及对方生产安全的，</w:t>
            </w:r>
            <w:r>
              <w:rPr>
                <w:spacing w:val="10"/>
              </w:rPr>
              <w:t xml:space="preserve"> </w:t>
            </w:r>
            <w:r>
              <w:t>应当签订安全生产管理协议，明确各自的安全生产管理职责和应当采取的安全措施，并指定专职安全生产</w:t>
            </w:r>
            <w:r>
              <w:rPr>
                <w:spacing w:val="6"/>
              </w:rPr>
              <w:t xml:space="preserve"> </w:t>
            </w:r>
            <w:r>
              <w:rPr>
                <w:spacing w:val="-3"/>
              </w:rPr>
              <w:t>管理人员进行安全检查与协调。</w:t>
            </w:r>
          </w:p>
          <w:p w14:paraId="3C24EC58">
            <w:pPr>
              <w:pStyle w:val="8"/>
              <w:spacing w:before="27" w:line="239" w:lineRule="auto"/>
              <w:ind w:left="111" w:right="58" w:firstLine="359"/>
            </w:pPr>
            <w:r>
              <w:rPr>
                <w:spacing w:val="4"/>
              </w:rPr>
              <w:t>第一百零四条  两个以上生产经营单位在同一作业区域内进行可能危及对方安全生产的生产经营活</w:t>
            </w:r>
            <w:r>
              <w:rPr>
                <w:spacing w:val="10"/>
              </w:rPr>
              <w:t xml:space="preserve"> </w:t>
            </w:r>
            <w:r>
              <w:t>动，未签订安全生产管理协议或者未指定专职安全生产管理人员进行安全检查与协调的，责令限期改正，</w:t>
            </w:r>
            <w:r>
              <w:rPr>
                <w:spacing w:val="3"/>
              </w:rPr>
              <w:t xml:space="preserve"> </w:t>
            </w:r>
            <w:r>
              <w:rPr>
                <w:spacing w:val="-3"/>
              </w:rPr>
              <w:t>处五万元以下的罚款，对其直接负责的主管人员和其他直接责任人员处一万元以下的罚款；逾期未改正的，</w:t>
            </w:r>
            <w:r>
              <w:rPr>
                <w:spacing w:val="12"/>
              </w:rPr>
              <w:t xml:space="preserve"> </w:t>
            </w:r>
            <w:r>
              <w:rPr>
                <w:spacing w:val="-5"/>
              </w:rPr>
              <w:t>责令停产停业。</w:t>
            </w:r>
          </w:p>
          <w:p w14:paraId="58E50897">
            <w:pPr>
              <w:pStyle w:val="8"/>
              <w:spacing w:before="26"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6163E9DD">
            <w:pPr>
              <w:pStyle w:val="8"/>
              <w:spacing w:before="27" w:line="237" w:lineRule="auto"/>
              <w:ind w:left="111" w:right="104" w:firstLine="359"/>
              <w:jc w:val="both"/>
            </w:pPr>
            <w:r>
              <w:t>第四十八条  两个以上危险货物港口经营人在同一港口作业区内进行危险货物港口作业，可能危</w:t>
            </w:r>
            <w:r>
              <w:rPr>
                <w:spacing w:val="-1"/>
              </w:rPr>
              <w:t>及对</w:t>
            </w:r>
            <w:r>
              <w:t xml:space="preserve"> 方生产安全的，应当签订安全生产管理协议，明确各自的安全生产管理职责和应当采取的安全措施，并指</w:t>
            </w:r>
            <w:r>
              <w:rPr>
                <w:spacing w:val="5"/>
              </w:rPr>
              <w:t xml:space="preserve"> </w:t>
            </w:r>
            <w:r>
              <w:rPr>
                <w:spacing w:val="-2"/>
              </w:rPr>
              <w:t>定专职安全生产管理人员进行安全检查与协调。</w:t>
            </w:r>
          </w:p>
          <w:p w14:paraId="7FBA4887">
            <w:pPr>
              <w:pStyle w:val="8"/>
              <w:spacing w:before="24" w:line="241" w:lineRule="auto"/>
              <w:ind w:left="110" w:right="104" w:firstLine="360"/>
              <w:jc w:val="both"/>
            </w:pPr>
            <w:r>
              <w:t>第八十一条  两个以上危险货物港口经营人在同一港口作业区内从事可能危及对方生产安全的危险货</w:t>
            </w:r>
            <w:r>
              <w:rPr>
                <w:spacing w:val="6"/>
              </w:rPr>
              <w:t xml:space="preserve"> </w:t>
            </w:r>
            <w:r>
              <w:t>物港口作业，未签订安全生产管理协议或者未指定专职安全管理人员进行安全检查和协调的，由所在地港 口行政管理部门责令限期改正，处一万元以下的罚款，对其直接负责的主管人员和其他直接责任人员处三</w:t>
            </w:r>
            <w:r>
              <w:rPr>
                <w:spacing w:val="7"/>
              </w:rPr>
              <w:t xml:space="preserve"> </w:t>
            </w:r>
            <w:r>
              <w:t>千元以下的罚款；情节严重的，处一万元以上五万元以下的罚款，对其直接负责的主管人员和其他直接责</w:t>
            </w:r>
            <w:r>
              <w:rPr>
                <w:spacing w:val="7"/>
              </w:rPr>
              <w:t xml:space="preserve"> </w:t>
            </w:r>
            <w:r>
              <w:rPr>
                <w:spacing w:val="-1"/>
              </w:rPr>
              <w:t>任人员处三千元以上一万元以下的罚款；逾期未改正的，责令停产停业整顿。</w:t>
            </w:r>
          </w:p>
        </w:tc>
        <w:tc>
          <w:tcPr>
            <w:tcW w:w="1010" w:type="dxa"/>
            <w:vAlign w:val="top"/>
          </w:tcPr>
          <w:p w14:paraId="0D97163D">
            <w:pPr>
              <w:spacing w:line="265" w:lineRule="auto"/>
              <w:rPr>
                <w:rFonts w:ascii="Arial"/>
                <w:sz w:val="21"/>
              </w:rPr>
            </w:pPr>
          </w:p>
          <w:p w14:paraId="0A43AF89">
            <w:pPr>
              <w:spacing w:line="266" w:lineRule="auto"/>
              <w:rPr>
                <w:rFonts w:ascii="Arial"/>
                <w:sz w:val="21"/>
              </w:rPr>
            </w:pPr>
          </w:p>
          <w:p w14:paraId="19BC1C07">
            <w:pPr>
              <w:spacing w:line="266" w:lineRule="auto"/>
              <w:rPr>
                <w:rFonts w:ascii="Arial"/>
                <w:sz w:val="21"/>
              </w:rPr>
            </w:pPr>
          </w:p>
          <w:p w14:paraId="30640D40">
            <w:pPr>
              <w:spacing w:line="266" w:lineRule="auto"/>
              <w:rPr>
                <w:rFonts w:ascii="Arial"/>
                <w:sz w:val="21"/>
              </w:rPr>
            </w:pPr>
          </w:p>
          <w:p w14:paraId="2951319C">
            <w:pPr>
              <w:spacing w:line="266" w:lineRule="auto"/>
              <w:rPr>
                <w:rFonts w:ascii="Arial"/>
                <w:sz w:val="21"/>
              </w:rPr>
            </w:pPr>
          </w:p>
          <w:p w14:paraId="5A9B0A20">
            <w:pPr>
              <w:spacing w:line="266" w:lineRule="auto"/>
              <w:rPr>
                <w:rFonts w:ascii="Arial"/>
                <w:sz w:val="21"/>
              </w:rPr>
            </w:pPr>
          </w:p>
          <w:p w14:paraId="43F22932">
            <w:pPr>
              <w:spacing w:line="266" w:lineRule="auto"/>
              <w:rPr>
                <w:rFonts w:ascii="Arial"/>
                <w:sz w:val="21"/>
              </w:rPr>
            </w:pPr>
          </w:p>
          <w:p w14:paraId="47EB49AA">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66978D6C">
            <w:pPr>
              <w:pStyle w:val="8"/>
              <w:spacing w:before="59" w:line="234" w:lineRule="auto"/>
              <w:ind w:left="530" w:right="104" w:hanging="413"/>
              <w:rPr>
                <w:rFonts w:hint="eastAsia"/>
                <w:spacing w:val="-12"/>
                <w:lang w:eastAsia="zh-CN"/>
              </w:rPr>
            </w:pPr>
          </w:p>
          <w:p w14:paraId="680835C1">
            <w:pPr>
              <w:pStyle w:val="8"/>
              <w:spacing w:before="59" w:line="234" w:lineRule="auto"/>
              <w:ind w:left="530" w:right="104" w:hanging="413"/>
              <w:rPr>
                <w:rFonts w:hint="eastAsia"/>
                <w:spacing w:val="-12"/>
                <w:lang w:eastAsia="zh-CN"/>
              </w:rPr>
            </w:pPr>
          </w:p>
          <w:p w14:paraId="597D1449">
            <w:pPr>
              <w:pStyle w:val="8"/>
              <w:spacing w:before="59" w:line="234" w:lineRule="auto"/>
              <w:ind w:left="530" w:right="104" w:hanging="413"/>
              <w:rPr>
                <w:rFonts w:hint="eastAsia"/>
                <w:spacing w:val="-12"/>
                <w:lang w:eastAsia="zh-CN"/>
              </w:rPr>
            </w:pPr>
          </w:p>
          <w:p w14:paraId="122AB729">
            <w:pPr>
              <w:pStyle w:val="8"/>
              <w:spacing w:before="59" w:line="234" w:lineRule="auto"/>
              <w:ind w:left="530" w:right="104" w:hanging="413"/>
              <w:rPr>
                <w:rFonts w:hint="eastAsia"/>
                <w:spacing w:val="-12"/>
                <w:lang w:eastAsia="zh-CN"/>
              </w:rPr>
            </w:pPr>
          </w:p>
          <w:p w14:paraId="57E8D55C">
            <w:pPr>
              <w:pStyle w:val="8"/>
              <w:spacing w:before="59" w:line="234" w:lineRule="auto"/>
              <w:ind w:left="530" w:right="104" w:hanging="413"/>
              <w:rPr>
                <w:rFonts w:hint="eastAsia"/>
                <w:spacing w:val="-12"/>
                <w:lang w:eastAsia="zh-CN"/>
              </w:rPr>
            </w:pPr>
          </w:p>
          <w:p w14:paraId="4674D5AC">
            <w:pPr>
              <w:pStyle w:val="8"/>
              <w:spacing w:before="59" w:line="234" w:lineRule="auto"/>
              <w:ind w:left="530" w:right="104" w:hanging="413"/>
              <w:rPr>
                <w:rFonts w:hint="eastAsia"/>
                <w:spacing w:val="-12"/>
                <w:lang w:eastAsia="zh-CN"/>
              </w:rPr>
            </w:pPr>
          </w:p>
          <w:p w14:paraId="360904F1">
            <w:pPr>
              <w:pStyle w:val="8"/>
              <w:spacing w:before="59" w:line="234" w:lineRule="auto"/>
              <w:ind w:left="530" w:right="104" w:hanging="413"/>
              <w:rPr>
                <w:rFonts w:hint="eastAsia"/>
                <w:spacing w:val="-12"/>
                <w:lang w:eastAsia="zh-CN"/>
              </w:rPr>
            </w:pPr>
          </w:p>
          <w:p w14:paraId="0C275029">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1240A268">
            <w:pPr>
              <w:spacing w:line="249" w:lineRule="auto"/>
              <w:rPr>
                <w:rFonts w:ascii="Arial"/>
                <w:sz w:val="21"/>
              </w:rPr>
            </w:pPr>
          </w:p>
          <w:p w14:paraId="0A386135">
            <w:pPr>
              <w:spacing w:line="249" w:lineRule="auto"/>
              <w:rPr>
                <w:rFonts w:ascii="Arial"/>
                <w:sz w:val="21"/>
              </w:rPr>
            </w:pPr>
          </w:p>
          <w:p w14:paraId="2BE5B591">
            <w:pPr>
              <w:spacing w:line="249" w:lineRule="auto"/>
              <w:rPr>
                <w:rFonts w:ascii="Arial"/>
                <w:sz w:val="21"/>
              </w:rPr>
            </w:pPr>
          </w:p>
          <w:p w14:paraId="5F710760">
            <w:pPr>
              <w:spacing w:line="249" w:lineRule="auto"/>
              <w:rPr>
                <w:rFonts w:ascii="Arial"/>
                <w:sz w:val="21"/>
              </w:rPr>
            </w:pPr>
          </w:p>
          <w:p w14:paraId="32EEF040">
            <w:pPr>
              <w:spacing w:line="249" w:lineRule="auto"/>
              <w:rPr>
                <w:rFonts w:ascii="Arial"/>
                <w:sz w:val="21"/>
              </w:rPr>
            </w:pPr>
          </w:p>
          <w:p w14:paraId="1102185E">
            <w:pPr>
              <w:spacing w:line="249" w:lineRule="auto"/>
              <w:rPr>
                <w:rFonts w:ascii="Arial"/>
                <w:sz w:val="21"/>
              </w:rPr>
            </w:pPr>
          </w:p>
          <w:p w14:paraId="28738EC5">
            <w:pPr>
              <w:spacing w:line="249" w:lineRule="auto"/>
              <w:rPr>
                <w:rFonts w:ascii="Arial"/>
                <w:sz w:val="21"/>
              </w:rPr>
            </w:pPr>
          </w:p>
          <w:p w14:paraId="0F92FF1F">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3B0DEDEC">
      <w:pPr>
        <w:spacing w:line="121" w:lineRule="exact"/>
      </w:pPr>
    </w:p>
    <w:p w14:paraId="564C2F63">
      <w:pPr>
        <w:sectPr>
          <w:footerReference r:id="rId147" w:type="default"/>
          <w:pgSz w:w="16839" w:h="11906"/>
          <w:pgMar w:top="1012" w:right="1034" w:bottom="967" w:left="1043" w:header="0" w:footer="768" w:gutter="0"/>
          <w:cols w:space="720" w:num="1"/>
        </w:sectPr>
      </w:pPr>
    </w:p>
    <w:p w14:paraId="2597C5CE">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3036B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2A274BE2">
            <w:pPr>
              <w:pStyle w:val="8"/>
              <w:spacing w:before="259" w:line="221" w:lineRule="auto"/>
              <w:ind w:left="134"/>
            </w:pPr>
            <w:r>
              <w:rPr>
                <w:b/>
                <w:bCs/>
                <w:spacing w:val="-4"/>
              </w:rPr>
              <w:t>序号</w:t>
            </w:r>
          </w:p>
        </w:tc>
        <w:tc>
          <w:tcPr>
            <w:tcW w:w="1100" w:type="dxa"/>
            <w:vMerge w:val="restart"/>
            <w:tcBorders>
              <w:bottom w:val="nil"/>
            </w:tcBorders>
            <w:vAlign w:val="top"/>
          </w:tcPr>
          <w:p w14:paraId="5A54B654">
            <w:pPr>
              <w:pStyle w:val="8"/>
              <w:spacing w:before="260" w:line="220" w:lineRule="auto"/>
              <w:ind w:left="189"/>
            </w:pPr>
            <w:r>
              <w:rPr>
                <w:b/>
                <w:bCs/>
                <w:spacing w:val="-4"/>
              </w:rPr>
              <w:t>事项名称</w:t>
            </w:r>
          </w:p>
        </w:tc>
        <w:tc>
          <w:tcPr>
            <w:tcW w:w="1100" w:type="dxa"/>
            <w:vMerge w:val="restart"/>
            <w:tcBorders>
              <w:bottom w:val="nil"/>
            </w:tcBorders>
            <w:vAlign w:val="top"/>
          </w:tcPr>
          <w:p w14:paraId="367E57CB">
            <w:pPr>
              <w:pStyle w:val="8"/>
              <w:spacing w:before="260" w:line="219" w:lineRule="auto"/>
              <w:ind w:left="191"/>
            </w:pPr>
            <w:r>
              <w:rPr>
                <w:b/>
                <w:bCs/>
                <w:spacing w:val="-4"/>
              </w:rPr>
              <w:t>职权类型</w:t>
            </w:r>
          </w:p>
        </w:tc>
        <w:tc>
          <w:tcPr>
            <w:tcW w:w="8508" w:type="dxa"/>
            <w:vMerge w:val="restart"/>
            <w:tcBorders>
              <w:bottom w:val="nil"/>
            </w:tcBorders>
            <w:vAlign w:val="top"/>
          </w:tcPr>
          <w:p w14:paraId="28C27935">
            <w:pPr>
              <w:pStyle w:val="8"/>
              <w:spacing w:before="259" w:line="219" w:lineRule="auto"/>
              <w:ind w:left="3900"/>
            </w:pPr>
            <w:r>
              <w:rPr>
                <w:b/>
                <w:bCs/>
                <w:spacing w:val="-5"/>
              </w:rPr>
              <w:t>实施依据</w:t>
            </w:r>
          </w:p>
        </w:tc>
        <w:tc>
          <w:tcPr>
            <w:tcW w:w="3425" w:type="dxa"/>
            <w:gridSpan w:val="3"/>
            <w:vAlign w:val="top"/>
          </w:tcPr>
          <w:p w14:paraId="425BD578">
            <w:pPr>
              <w:pStyle w:val="8"/>
              <w:spacing w:before="85" w:line="220" w:lineRule="auto"/>
              <w:ind w:left="1358"/>
            </w:pPr>
            <w:r>
              <w:rPr>
                <w:b/>
                <w:bCs/>
                <w:spacing w:val="-5"/>
              </w:rPr>
              <w:t>实施主体</w:t>
            </w:r>
          </w:p>
        </w:tc>
      </w:tr>
      <w:tr w14:paraId="0658E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277C846C">
            <w:pPr>
              <w:rPr>
                <w:rFonts w:ascii="Arial"/>
                <w:sz w:val="21"/>
              </w:rPr>
            </w:pPr>
          </w:p>
        </w:tc>
        <w:tc>
          <w:tcPr>
            <w:tcW w:w="1100" w:type="dxa"/>
            <w:vMerge w:val="continue"/>
            <w:tcBorders>
              <w:top w:val="nil"/>
            </w:tcBorders>
            <w:vAlign w:val="top"/>
          </w:tcPr>
          <w:p w14:paraId="0B2BC8BC">
            <w:pPr>
              <w:rPr>
                <w:rFonts w:ascii="Arial"/>
                <w:sz w:val="21"/>
              </w:rPr>
            </w:pPr>
          </w:p>
        </w:tc>
        <w:tc>
          <w:tcPr>
            <w:tcW w:w="1100" w:type="dxa"/>
            <w:vMerge w:val="continue"/>
            <w:tcBorders>
              <w:top w:val="nil"/>
            </w:tcBorders>
            <w:vAlign w:val="top"/>
          </w:tcPr>
          <w:p w14:paraId="47D49A34">
            <w:pPr>
              <w:rPr>
                <w:rFonts w:ascii="Arial"/>
                <w:sz w:val="21"/>
              </w:rPr>
            </w:pPr>
          </w:p>
        </w:tc>
        <w:tc>
          <w:tcPr>
            <w:tcW w:w="8508" w:type="dxa"/>
            <w:vMerge w:val="continue"/>
            <w:tcBorders>
              <w:top w:val="nil"/>
            </w:tcBorders>
            <w:vAlign w:val="top"/>
          </w:tcPr>
          <w:p w14:paraId="2C9A44F6">
            <w:pPr>
              <w:rPr>
                <w:rFonts w:ascii="Arial"/>
                <w:sz w:val="21"/>
              </w:rPr>
            </w:pPr>
          </w:p>
        </w:tc>
        <w:tc>
          <w:tcPr>
            <w:tcW w:w="1010" w:type="dxa"/>
            <w:vAlign w:val="top"/>
          </w:tcPr>
          <w:p w14:paraId="46D3F57D">
            <w:pPr>
              <w:pStyle w:val="8"/>
              <w:spacing w:before="81" w:line="219" w:lineRule="auto"/>
              <w:ind w:left="155"/>
            </w:pPr>
            <w:r>
              <w:rPr>
                <w:b/>
                <w:bCs/>
                <w:spacing w:val="-5"/>
              </w:rPr>
              <w:t>责任部门</w:t>
            </w:r>
          </w:p>
        </w:tc>
        <w:tc>
          <w:tcPr>
            <w:tcW w:w="1401" w:type="dxa"/>
            <w:vAlign w:val="top"/>
          </w:tcPr>
          <w:p w14:paraId="6B956290">
            <w:pPr>
              <w:pStyle w:val="8"/>
              <w:spacing w:before="81" w:line="219" w:lineRule="auto"/>
              <w:ind w:left="164"/>
            </w:pPr>
            <w:r>
              <w:rPr>
                <w:b/>
                <w:bCs/>
                <w:spacing w:val="-3"/>
              </w:rPr>
              <w:t>第一责任层级</w:t>
            </w:r>
          </w:p>
        </w:tc>
        <w:tc>
          <w:tcPr>
            <w:tcW w:w="1014" w:type="dxa"/>
            <w:vAlign w:val="top"/>
          </w:tcPr>
          <w:p w14:paraId="51F29827">
            <w:pPr>
              <w:pStyle w:val="8"/>
              <w:spacing w:before="81" w:line="219" w:lineRule="auto"/>
              <w:ind w:left="150"/>
            </w:pPr>
            <w:r>
              <w:rPr>
                <w:b/>
                <w:bCs/>
                <w:spacing w:val="-4"/>
              </w:rPr>
              <w:t>承办机构</w:t>
            </w:r>
          </w:p>
        </w:tc>
      </w:tr>
      <w:tr w14:paraId="03E80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2" w:hRule="atLeast"/>
        </w:trPr>
        <w:tc>
          <w:tcPr>
            <w:tcW w:w="622" w:type="dxa"/>
            <w:vAlign w:val="top"/>
          </w:tcPr>
          <w:p w14:paraId="50135A35">
            <w:pPr>
              <w:spacing w:line="250" w:lineRule="auto"/>
              <w:rPr>
                <w:rFonts w:ascii="Arial"/>
                <w:sz w:val="21"/>
              </w:rPr>
            </w:pPr>
          </w:p>
          <w:p w14:paraId="0558CC44">
            <w:pPr>
              <w:spacing w:line="250" w:lineRule="auto"/>
              <w:rPr>
                <w:rFonts w:ascii="Arial"/>
                <w:sz w:val="21"/>
              </w:rPr>
            </w:pPr>
          </w:p>
          <w:p w14:paraId="639A2C95">
            <w:pPr>
              <w:spacing w:line="250" w:lineRule="auto"/>
              <w:rPr>
                <w:rFonts w:ascii="Arial"/>
                <w:sz w:val="21"/>
              </w:rPr>
            </w:pPr>
          </w:p>
          <w:p w14:paraId="68E4C3A7">
            <w:pPr>
              <w:spacing w:line="250" w:lineRule="auto"/>
              <w:rPr>
                <w:rFonts w:ascii="Arial"/>
                <w:sz w:val="21"/>
              </w:rPr>
            </w:pPr>
          </w:p>
          <w:p w14:paraId="7753AC9C">
            <w:pPr>
              <w:spacing w:line="250" w:lineRule="auto"/>
              <w:rPr>
                <w:rFonts w:ascii="Arial"/>
                <w:sz w:val="21"/>
              </w:rPr>
            </w:pPr>
          </w:p>
          <w:p w14:paraId="2F54E997">
            <w:pPr>
              <w:spacing w:line="251" w:lineRule="auto"/>
              <w:rPr>
                <w:rFonts w:ascii="Arial"/>
                <w:sz w:val="21"/>
              </w:rPr>
            </w:pPr>
          </w:p>
          <w:p w14:paraId="4437D8A5">
            <w:pPr>
              <w:spacing w:line="251" w:lineRule="auto"/>
              <w:rPr>
                <w:rFonts w:ascii="Arial"/>
                <w:sz w:val="21"/>
              </w:rPr>
            </w:pPr>
          </w:p>
          <w:p w14:paraId="00105DAA">
            <w:pPr>
              <w:spacing w:line="251" w:lineRule="auto"/>
              <w:rPr>
                <w:rFonts w:ascii="Arial"/>
                <w:sz w:val="21"/>
              </w:rPr>
            </w:pPr>
          </w:p>
          <w:p w14:paraId="0B9E8347">
            <w:pPr>
              <w:spacing w:line="251" w:lineRule="auto"/>
              <w:rPr>
                <w:rFonts w:ascii="Arial"/>
                <w:sz w:val="21"/>
              </w:rPr>
            </w:pPr>
          </w:p>
          <w:p w14:paraId="292772DD">
            <w:pPr>
              <w:spacing w:line="251" w:lineRule="auto"/>
              <w:rPr>
                <w:rFonts w:ascii="Arial"/>
                <w:sz w:val="21"/>
              </w:rPr>
            </w:pPr>
          </w:p>
          <w:p w14:paraId="2CD9BA62">
            <w:pPr>
              <w:pStyle w:val="8"/>
              <w:spacing w:before="59" w:line="183" w:lineRule="auto"/>
              <w:ind w:left="225"/>
            </w:pPr>
            <w:r>
              <w:rPr>
                <w:spacing w:val="-3"/>
              </w:rPr>
              <w:t>40</w:t>
            </w:r>
          </w:p>
        </w:tc>
        <w:tc>
          <w:tcPr>
            <w:tcW w:w="1100" w:type="dxa"/>
            <w:vAlign w:val="top"/>
          </w:tcPr>
          <w:p w14:paraId="368DD207">
            <w:pPr>
              <w:spacing w:line="270" w:lineRule="auto"/>
              <w:rPr>
                <w:rFonts w:ascii="Arial"/>
                <w:sz w:val="21"/>
              </w:rPr>
            </w:pPr>
          </w:p>
          <w:p w14:paraId="3524D34C">
            <w:pPr>
              <w:spacing w:line="270" w:lineRule="auto"/>
              <w:rPr>
                <w:rFonts w:ascii="Arial"/>
                <w:sz w:val="21"/>
              </w:rPr>
            </w:pPr>
          </w:p>
          <w:p w14:paraId="64A59ABD">
            <w:pPr>
              <w:spacing w:line="270" w:lineRule="auto"/>
              <w:rPr>
                <w:rFonts w:ascii="Arial"/>
                <w:sz w:val="21"/>
              </w:rPr>
            </w:pPr>
          </w:p>
          <w:p w14:paraId="59E9B881">
            <w:pPr>
              <w:spacing w:line="270" w:lineRule="auto"/>
              <w:rPr>
                <w:rFonts w:ascii="Arial"/>
                <w:sz w:val="21"/>
              </w:rPr>
            </w:pPr>
          </w:p>
          <w:p w14:paraId="73BA9B3E">
            <w:pPr>
              <w:spacing w:line="270" w:lineRule="auto"/>
              <w:rPr>
                <w:rFonts w:ascii="Arial"/>
                <w:sz w:val="21"/>
              </w:rPr>
            </w:pPr>
          </w:p>
          <w:p w14:paraId="506CD353">
            <w:pPr>
              <w:spacing w:line="270" w:lineRule="auto"/>
              <w:rPr>
                <w:rFonts w:ascii="Arial"/>
                <w:sz w:val="21"/>
              </w:rPr>
            </w:pPr>
          </w:p>
          <w:p w14:paraId="4DA48B3E">
            <w:pPr>
              <w:spacing w:line="271" w:lineRule="auto"/>
              <w:rPr>
                <w:rFonts w:ascii="Arial"/>
                <w:sz w:val="21"/>
              </w:rPr>
            </w:pPr>
          </w:p>
          <w:p w14:paraId="752D6F5A">
            <w:pPr>
              <w:pStyle w:val="8"/>
              <w:spacing w:before="58" w:line="242" w:lineRule="auto"/>
              <w:ind w:left="59" w:right="55"/>
              <w:jc w:val="both"/>
            </w:pPr>
            <w:r>
              <w:rPr>
                <w:spacing w:val="16"/>
              </w:rPr>
              <w:t>对危险货物</w:t>
            </w:r>
            <w:r>
              <w:t xml:space="preserve"> </w:t>
            </w:r>
            <w:r>
              <w:rPr>
                <w:spacing w:val="16"/>
              </w:rPr>
              <w:t>港口经营人</w:t>
            </w:r>
            <w:r>
              <w:t xml:space="preserve"> </w:t>
            </w:r>
            <w:r>
              <w:rPr>
                <w:spacing w:val="16"/>
              </w:rPr>
              <w:t>未采取措施</w:t>
            </w:r>
            <w:r>
              <w:t xml:space="preserve"> </w:t>
            </w:r>
            <w:r>
              <w:rPr>
                <w:spacing w:val="16"/>
              </w:rPr>
              <w:t>消除事故隐</w:t>
            </w:r>
            <w:r>
              <w:t xml:space="preserve"> </w:t>
            </w:r>
            <w:r>
              <w:rPr>
                <w:spacing w:val="16"/>
              </w:rPr>
              <w:t>患的行政处</w:t>
            </w:r>
            <w:r>
              <w:t xml:space="preserve"> 罚</w:t>
            </w:r>
          </w:p>
        </w:tc>
        <w:tc>
          <w:tcPr>
            <w:tcW w:w="1100" w:type="dxa"/>
            <w:vAlign w:val="top"/>
          </w:tcPr>
          <w:p w14:paraId="4614BD55">
            <w:pPr>
              <w:spacing w:line="247" w:lineRule="auto"/>
              <w:rPr>
                <w:rFonts w:ascii="Arial"/>
                <w:sz w:val="21"/>
              </w:rPr>
            </w:pPr>
          </w:p>
          <w:p w14:paraId="0ADC6FE4">
            <w:pPr>
              <w:spacing w:line="247" w:lineRule="auto"/>
              <w:rPr>
                <w:rFonts w:ascii="Arial"/>
                <w:sz w:val="21"/>
              </w:rPr>
            </w:pPr>
          </w:p>
          <w:p w14:paraId="5E8D5910">
            <w:pPr>
              <w:spacing w:line="247" w:lineRule="auto"/>
              <w:rPr>
                <w:rFonts w:ascii="Arial"/>
                <w:sz w:val="21"/>
              </w:rPr>
            </w:pPr>
          </w:p>
          <w:p w14:paraId="6E551700">
            <w:pPr>
              <w:spacing w:line="248" w:lineRule="auto"/>
              <w:rPr>
                <w:rFonts w:ascii="Arial"/>
                <w:sz w:val="21"/>
              </w:rPr>
            </w:pPr>
          </w:p>
          <w:p w14:paraId="1A95CF31">
            <w:pPr>
              <w:spacing w:line="248" w:lineRule="auto"/>
              <w:rPr>
                <w:rFonts w:ascii="Arial"/>
                <w:sz w:val="21"/>
              </w:rPr>
            </w:pPr>
          </w:p>
          <w:p w14:paraId="23503DF3">
            <w:pPr>
              <w:spacing w:line="248" w:lineRule="auto"/>
              <w:rPr>
                <w:rFonts w:ascii="Arial"/>
                <w:sz w:val="21"/>
              </w:rPr>
            </w:pPr>
          </w:p>
          <w:p w14:paraId="661E2459">
            <w:pPr>
              <w:spacing w:line="248" w:lineRule="auto"/>
              <w:rPr>
                <w:rFonts w:ascii="Arial"/>
                <w:sz w:val="21"/>
              </w:rPr>
            </w:pPr>
          </w:p>
          <w:p w14:paraId="6BF9B62A">
            <w:pPr>
              <w:spacing w:line="248" w:lineRule="auto"/>
              <w:rPr>
                <w:rFonts w:ascii="Arial"/>
                <w:sz w:val="21"/>
              </w:rPr>
            </w:pPr>
          </w:p>
          <w:p w14:paraId="5ECA2BEB">
            <w:pPr>
              <w:spacing w:line="248" w:lineRule="auto"/>
              <w:rPr>
                <w:rFonts w:ascii="Arial"/>
                <w:sz w:val="21"/>
              </w:rPr>
            </w:pPr>
          </w:p>
          <w:p w14:paraId="0189C413">
            <w:pPr>
              <w:spacing w:line="248" w:lineRule="auto"/>
              <w:rPr>
                <w:rFonts w:ascii="Arial"/>
                <w:sz w:val="21"/>
              </w:rPr>
            </w:pPr>
          </w:p>
          <w:p w14:paraId="7F603B25">
            <w:pPr>
              <w:pStyle w:val="8"/>
              <w:spacing w:before="59" w:line="220" w:lineRule="auto"/>
              <w:ind w:left="112"/>
            </w:pPr>
            <w:r>
              <w:rPr>
                <w:spacing w:val="-2"/>
              </w:rPr>
              <w:t>行政处罚</w:t>
            </w:r>
          </w:p>
        </w:tc>
        <w:tc>
          <w:tcPr>
            <w:tcW w:w="8508" w:type="dxa"/>
            <w:vAlign w:val="top"/>
          </w:tcPr>
          <w:p w14:paraId="0DE0AEEB">
            <w:pPr>
              <w:pStyle w:val="8"/>
              <w:spacing w:before="38" w:line="219" w:lineRule="auto"/>
              <w:ind w:left="484"/>
            </w:pPr>
            <w:r>
              <w:rPr>
                <w:b/>
                <w:bCs/>
                <w:spacing w:val="-4"/>
              </w:rPr>
              <w:t>1.《中华人民共和国安全生产法》</w:t>
            </w:r>
          </w:p>
          <w:p w14:paraId="3F1E3C5B">
            <w:pPr>
              <w:pStyle w:val="8"/>
              <w:spacing w:before="25" w:line="219" w:lineRule="auto"/>
              <w:ind w:left="471"/>
            </w:pPr>
            <w:r>
              <w:rPr>
                <w:spacing w:val="-2"/>
              </w:rPr>
              <w:t>第四十一条  生产经营单位应当建立安全风险分级管控制</w:t>
            </w:r>
            <w:r>
              <w:rPr>
                <w:spacing w:val="-3"/>
              </w:rPr>
              <w:t>度，按照安全风险分级采取相应的管控措施。</w:t>
            </w:r>
          </w:p>
          <w:p w14:paraId="41E49852">
            <w:pPr>
              <w:pStyle w:val="8"/>
              <w:spacing w:before="27" w:line="239" w:lineRule="auto"/>
              <w:ind w:left="111" w:right="104" w:firstLine="360"/>
            </w:pPr>
            <w:r>
              <w:t>生产经营单位应当建立健全并落实生产安全事故隐患排查治理制度，采取技术、管理措施，及时发现</w:t>
            </w:r>
            <w:r>
              <w:rPr>
                <w:spacing w:val="4"/>
              </w:rPr>
              <w:t xml:space="preserve"> </w:t>
            </w:r>
            <w:r>
              <w:t>并消除事故隐患。事故隐患排查治理情况应当如实记录，并通过职工大会或者职工代表大会、信息公</w:t>
            </w:r>
            <w:r>
              <w:rPr>
                <w:spacing w:val="-1"/>
              </w:rPr>
              <w:t>示栏</w:t>
            </w:r>
            <w:r>
              <w:t xml:space="preserve"> 等方式向从业人员通报。其中，重大事故隐患排查治理情况应当及时向负有安全生产监督管理职责的部门</w:t>
            </w:r>
            <w:r>
              <w:rPr>
                <w:spacing w:val="5"/>
              </w:rPr>
              <w:t xml:space="preserve"> </w:t>
            </w:r>
            <w:r>
              <w:rPr>
                <w:spacing w:val="-2"/>
              </w:rPr>
              <w:t>和职工大会或者职工代表大会报告。</w:t>
            </w:r>
          </w:p>
          <w:p w14:paraId="4354E608">
            <w:pPr>
              <w:pStyle w:val="8"/>
              <w:spacing w:before="26" w:line="233" w:lineRule="auto"/>
              <w:ind w:left="115" w:right="104" w:firstLine="356"/>
            </w:pPr>
            <w:r>
              <w:rPr>
                <w:spacing w:val="4"/>
              </w:rPr>
              <w:t>县级以上地方各级人民政府负有安全生产监督管理职责的部门应当将重大事故隐患纳入相关信息系</w:t>
            </w:r>
            <w:r>
              <w:rPr>
                <w:spacing w:val="13"/>
              </w:rPr>
              <w:t xml:space="preserve"> </w:t>
            </w:r>
            <w:r>
              <w:rPr>
                <w:spacing w:val="-1"/>
              </w:rPr>
              <w:t>统，建立健全重大事故隐患治理督办制度，督促生产经营单位消除重大事故隐</w:t>
            </w:r>
            <w:r>
              <w:rPr>
                <w:spacing w:val="-2"/>
              </w:rPr>
              <w:t>患。</w:t>
            </w:r>
          </w:p>
          <w:p w14:paraId="42E14458">
            <w:pPr>
              <w:pStyle w:val="8"/>
              <w:spacing w:before="27" w:line="237" w:lineRule="auto"/>
              <w:ind w:left="114" w:right="104" w:firstLine="356"/>
            </w:pPr>
            <w:r>
              <w:t>第一百零二条  生产经营单位未采取措施消除事故隐患的，责令立即消除或者限期消除，处五万元以</w:t>
            </w:r>
            <w:r>
              <w:rPr>
                <w:spacing w:val="6"/>
              </w:rPr>
              <w:t xml:space="preserve"> </w:t>
            </w:r>
            <w:r>
              <w:t>下的罚款；生产经营单位拒不执行的，责令停产停业整顿，对其直接负责的主管人员和其他直接责任人员</w:t>
            </w:r>
            <w:r>
              <w:rPr>
                <w:spacing w:val="2"/>
              </w:rPr>
              <w:t xml:space="preserve"> </w:t>
            </w:r>
            <w:r>
              <w:rPr>
                <w:spacing w:val="-1"/>
              </w:rPr>
              <w:t>处五万元以上十万元以下的罚款；构成犯罪的，依照刑法有关规定追究刑事责任。</w:t>
            </w:r>
          </w:p>
          <w:p w14:paraId="0158A408">
            <w:pPr>
              <w:pStyle w:val="8"/>
              <w:spacing w:before="26"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2128391D">
            <w:pPr>
              <w:pStyle w:val="8"/>
              <w:spacing w:before="28" w:line="237" w:lineRule="auto"/>
              <w:ind w:left="111" w:right="104" w:firstLine="360"/>
              <w:jc w:val="both"/>
            </w:pPr>
            <w:r>
              <w:t>第五十八条  危险货物港口经营人应当建立健全并落实事故隐患排查治理制度，定期开展事故隐患排</w:t>
            </w:r>
            <w:r>
              <w:rPr>
                <w:spacing w:val="6"/>
              </w:rPr>
              <w:t xml:space="preserve"> </w:t>
            </w:r>
            <w:r>
              <w:t>查，及时消除隐患，事故隐患排查治理情况应当如实记录，并通过职工大会或者职工代表大会、信息公示</w:t>
            </w:r>
            <w:r>
              <w:rPr>
                <w:spacing w:val="6"/>
              </w:rPr>
              <w:t xml:space="preserve"> </w:t>
            </w:r>
            <w:r>
              <w:rPr>
                <w:spacing w:val="-3"/>
              </w:rPr>
              <w:t>栏等方式向从业人员通报。</w:t>
            </w:r>
          </w:p>
          <w:p w14:paraId="45147D0A">
            <w:pPr>
              <w:pStyle w:val="8"/>
              <w:spacing w:before="26" w:line="232" w:lineRule="auto"/>
              <w:ind w:left="113" w:right="104" w:firstLine="360"/>
            </w:pPr>
            <w:r>
              <w:t>危险货物港口经营人应当将重大事故隐患的排查治理情况及时向所在地港口行政管理部门和职工大会</w:t>
            </w:r>
            <w:r>
              <w:rPr>
                <w:spacing w:val="4"/>
              </w:rPr>
              <w:t xml:space="preserve"> </w:t>
            </w:r>
            <w:r>
              <w:rPr>
                <w:spacing w:val="-3"/>
              </w:rPr>
              <w:t>或者职工代表大会报告。</w:t>
            </w:r>
          </w:p>
          <w:p w14:paraId="6A8691B5">
            <w:pPr>
              <w:pStyle w:val="8"/>
              <w:spacing w:before="28" w:line="233" w:lineRule="auto"/>
              <w:ind w:left="113" w:right="104" w:firstLine="357"/>
            </w:pPr>
            <w:r>
              <w:t>所在地港口行政管理部门应当建立健全重大事故隐患治理督办制度，督促危险货物港口经营人消除重</w:t>
            </w:r>
            <w:r>
              <w:rPr>
                <w:spacing w:val="6"/>
              </w:rPr>
              <w:t xml:space="preserve"> </w:t>
            </w:r>
            <w:r>
              <w:rPr>
                <w:spacing w:val="-5"/>
              </w:rPr>
              <w:t>大事故隐患。</w:t>
            </w:r>
          </w:p>
          <w:p w14:paraId="32DF33DA">
            <w:pPr>
              <w:pStyle w:val="8"/>
              <w:spacing w:before="26" w:line="230" w:lineRule="auto"/>
              <w:ind w:left="111" w:right="104" w:firstLine="360"/>
              <w:jc w:val="both"/>
            </w:pPr>
            <w:r>
              <w:t>第八十二条  危险货物港口经营人未采取措施消除事故隐患的，由所在地港口行政管理部门责令立即</w:t>
            </w:r>
            <w:r>
              <w:rPr>
                <w:spacing w:val="6"/>
              </w:rPr>
              <w:t xml:space="preserve"> </w:t>
            </w:r>
            <w:r>
              <w:rPr>
                <w:spacing w:val="-2"/>
              </w:rPr>
              <w:t>消除或者限期消除，处五万元以下的罚款;拒不执行的，责令停产停业整顿，对其直接负责的主管人员和其</w:t>
            </w:r>
            <w:r>
              <w:rPr>
                <w:spacing w:val="10"/>
              </w:rPr>
              <w:t xml:space="preserve"> </w:t>
            </w:r>
            <w:r>
              <w:rPr>
                <w:spacing w:val="-2"/>
              </w:rPr>
              <w:t>他直接责任人员处五万元以上十万元以下的罚款。</w:t>
            </w:r>
          </w:p>
        </w:tc>
        <w:tc>
          <w:tcPr>
            <w:tcW w:w="1010" w:type="dxa"/>
            <w:vAlign w:val="top"/>
          </w:tcPr>
          <w:p w14:paraId="55B7CF19">
            <w:pPr>
              <w:spacing w:line="262" w:lineRule="auto"/>
              <w:rPr>
                <w:rFonts w:ascii="Arial"/>
                <w:sz w:val="21"/>
              </w:rPr>
            </w:pPr>
          </w:p>
          <w:p w14:paraId="05F6348B">
            <w:pPr>
              <w:spacing w:line="262" w:lineRule="auto"/>
              <w:rPr>
                <w:rFonts w:ascii="Arial"/>
                <w:sz w:val="21"/>
              </w:rPr>
            </w:pPr>
          </w:p>
          <w:p w14:paraId="0315059B">
            <w:pPr>
              <w:spacing w:line="263" w:lineRule="auto"/>
              <w:rPr>
                <w:rFonts w:ascii="Arial"/>
                <w:sz w:val="21"/>
              </w:rPr>
            </w:pPr>
          </w:p>
          <w:p w14:paraId="5B8654B7">
            <w:pPr>
              <w:spacing w:line="263" w:lineRule="auto"/>
              <w:rPr>
                <w:rFonts w:ascii="Arial"/>
                <w:sz w:val="21"/>
              </w:rPr>
            </w:pPr>
          </w:p>
          <w:p w14:paraId="0195BA3F">
            <w:pPr>
              <w:spacing w:line="263" w:lineRule="auto"/>
              <w:rPr>
                <w:rFonts w:ascii="Arial"/>
                <w:sz w:val="21"/>
              </w:rPr>
            </w:pPr>
          </w:p>
          <w:p w14:paraId="50602AD7">
            <w:pPr>
              <w:spacing w:line="263" w:lineRule="auto"/>
              <w:rPr>
                <w:rFonts w:ascii="Arial"/>
                <w:sz w:val="21"/>
              </w:rPr>
            </w:pPr>
          </w:p>
          <w:p w14:paraId="22CB9F50">
            <w:pPr>
              <w:spacing w:line="263" w:lineRule="auto"/>
              <w:rPr>
                <w:rFonts w:ascii="Arial"/>
                <w:sz w:val="21"/>
              </w:rPr>
            </w:pPr>
          </w:p>
          <w:p w14:paraId="5C5EB06D">
            <w:pPr>
              <w:spacing w:line="263" w:lineRule="auto"/>
              <w:rPr>
                <w:rFonts w:ascii="Arial"/>
                <w:sz w:val="21"/>
              </w:rPr>
            </w:pPr>
          </w:p>
          <w:p w14:paraId="134223EE">
            <w:pPr>
              <w:spacing w:line="263" w:lineRule="auto"/>
              <w:rPr>
                <w:rFonts w:ascii="Arial"/>
                <w:sz w:val="21"/>
              </w:rPr>
            </w:pPr>
          </w:p>
          <w:p w14:paraId="1620FB40">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56E0308B">
            <w:pPr>
              <w:pStyle w:val="8"/>
              <w:spacing w:before="59" w:line="234" w:lineRule="auto"/>
              <w:ind w:left="530" w:right="104" w:hanging="413"/>
              <w:rPr>
                <w:rFonts w:hint="eastAsia"/>
                <w:spacing w:val="-12"/>
                <w:lang w:eastAsia="zh-CN"/>
              </w:rPr>
            </w:pPr>
          </w:p>
          <w:p w14:paraId="282349FA">
            <w:pPr>
              <w:pStyle w:val="8"/>
              <w:spacing w:before="59" w:line="234" w:lineRule="auto"/>
              <w:ind w:left="530" w:right="104" w:hanging="413"/>
              <w:rPr>
                <w:rFonts w:hint="eastAsia"/>
                <w:spacing w:val="-12"/>
                <w:lang w:eastAsia="zh-CN"/>
              </w:rPr>
            </w:pPr>
          </w:p>
          <w:p w14:paraId="4419929C">
            <w:pPr>
              <w:pStyle w:val="8"/>
              <w:spacing w:before="59" w:line="234" w:lineRule="auto"/>
              <w:ind w:left="530" w:right="104" w:hanging="413"/>
              <w:rPr>
                <w:rFonts w:hint="eastAsia"/>
                <w:spacing w:val="-12"/>
                <w:lang w:eastAsia="zh-CN"/>
              </w:rPr>
            </w:pPr>
          </w:p>
          <w:p w14:paraId="31E20500">
            <w:pPr>
              <w:pStyle w:val="8"/>
              <w:spacing w:before="59" w:line="234" w:lineRule="auto"/>
              <w:ind w:left="530" w:right="104" w:hanging="413"/>
              <w:rPr>
                <w:rFonts w:hint="eastAsia"/>
                <w:spacing w:val="-12"/>
                <w:lang w:eastAsia="zh-CN"/>
              </w:rPr>
            </w:pPr>
          </w:p>
          <w:p w14:paraId="2BD5D558">
            <w:pPr>
              <w:pStyle w:val="8"/>
              <w:spacing w:before="59" w:line="234" w:lineRule="auto"/>
              <w:ind w:left="530" w:right="104" w:hanging="413"/>
              <w:rPr>
                <w:rFonts w:hint="eastAsia"/>
                <w:spacing w:val="-12"/>
                <w:lang w:eastAsia="zh-CN"/>
              </w:rPr>
            </w:pPr>
          </w:p>
          <w:p w14:paraId="793B5BB9">
            <w:pPr>
              <w:pStyle w:val="8"/>
              <w:spacing w:before="59" w:line="234" w:lineRule="auto"/>
              <w:ind w:left="530" w:right="104" w:hanging="413"/>
              <w:rPr>
                <w:rFonts w:hint="eastAsia"/>
                <w:spacing w:val="-12"/>
                <w:lang w:eastAsia="zh-CN"/>
              </w:rPr>
            </w:pPr>
          </w:p>
          <w:p w14:paraId="69FF87EF">
            <w:pPr>
              <w:pStyle w:val="8"/>
              <w:spacing w:before="59" w:line="234" w:lineRule="auto"/>
              <w:ind w:left="530" w:right="104" w:hanging="413"/>
              <w:rPr>
                <w:rFonts w:hint="eastAsia"/>
                <w:spacing w:val="-12"/>
                <w:lang w:eastAsia="zh-CN"/>
              </w:rPr>
            </w:pPr>
          </w:p>
          <w:p w14:paraId="46AB3946">
            <w:pPr>
              <w:pStyle w:val="8"/>
              <w:spacing w:before="59" w:line="234" w:lineRule="auto"/>
              <w:ind w:left="530" w:right="104" w:hanging="413"/>
              <w:rPr>
                <w:rFonts w:hint="eastAsia"/>
                <w:spacing w:val="-12"/>
                <w:lang w:eastAsia="zh-CN"/>
              </w:rPr>
            </w:pPr>
          </w:p>
          <w:p w14:paraId="38C90F6B">
            <w:pPr>
              <w:pStyle w:val="8"/>
              <w:spacing w:before="59" w:line="234" w:lineRule="auto"/>
              <w:ind w:left="530" w:right="104" w:hanging="413"/>
              <w:rPr>
                <w:rFonts w:hint="eastAsia"/>
                <w:spacing w:val="-12"/>
                <w:lang w:eastAsia="zh-CN"/>
              </w:rPr>
            </w:pPr>
          </w:p>
          <w:p w14:paraId="7CAF8B68">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732519F4">
            <w:pPr>
              <w:spacing w:line="249" w:lineRule="auto"/>
              <w:rPr>
                <w:rFonts w:ascii="Arial"/>
                <w:sz w:val="21"/>
              </w:rPr>
            </w:pPr>
          </w:p>
          <w:p w14:paraId="4857FF82">
            <w:pPr>
              <w:spacing w:line="249" w:lineRule="auto"/>
              <w:rPr>
                <w:rFonts w:ascii="Arial"/>
                <w:sz w:val="21"/>
              </w:rPr>
            </w:pPr>
          </w:p>
          <w:p w14:paraId="269C48E6">
            <w:pPr>
              <w:spacing w:line="249" w:lineRule="auto"/>
              <w:rPr>
                <w:rFonts w:ascii="Arial"/>
                <w:sz w:val="21"/>
              </w:rPr>
            </w:pPr>
          </w:p>
          <w:p w14:paraId="00669AE2">
            <w:pPr>
              <w:spacing w:line="249" w:lineRule="auto"/>
              <w:rPr>
                <w:rFonts w:ascii="Arial"/>
                <w:sz w:val="21"/>
              </w:rPr>
            </w:pPr>
          </w:p>
          <w:p w14:paraId="21C80C51">
            <w:pPr>
              <w:spacing w:line="250" w:lineRule="auto"/>
              <w:rPr>
                <w:rFonts w:ascii="Arial"/>
                <w:sz w:val="21"/>
              </w:rPr>
            </w:pPr>
          </w:p>
          <w:p w14:paraId="46D9E09D">
            <w:pPr>
              <w:spacing w:line="250" w:lineRule="auto"/>
              <w:rPr>
                <w:rFonts w:ascii="Arial"/>
                <w:sz w:val="21"/>
              </w:rPr>
            </w:pPr>
          </w:p>
          <w:p w14:paraId="34DDAF9E">
            <w:pPr>
              <w:spacing w:line="250" w:lineRule="auto"/>
              <w:rPr>
                <w:rFonts w:ascii="Arial"/>
                <w:sz w:val="21"/>
              </w:rPr>
            </w:pPr>
          </w:p>
          <w:p w14:paraId="54D8849F">
            <w:pPr>
              <w:spacing w:line="250" w:lineRule="auto"/>
              <w:rPr>
                <w:rFonts w:ascii="Arial"/>
                <w:sz w:val="21"/>
              </w:rPr>
            </w:pPr>
          </w:p>
          <w:p w14:paraId="315B8805">
            <w:pPr>
              <w:spacing w:line="250" w:lineRule="auto"/>
              <w:rPr>
                <w:rFonts w:ascii="Arial"/>
                <w:sz w:val="21"/>
              </w:rPr>
            </w:pPr>
          </w:p>
          <w:p w14:paraId="0657143E">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32964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622" w:type="dxa"/>
            <w:vAlign w:val="top"/>
          </w:tcPr>
          <w:p w14:paraId="45333F50">
            <w:pPr>
              <w:spacing w:line="279" w:lineRule="auto"/>
              <w:rPr>
                <w:rFonts w:ascii="Arial"/>
                <w:sz w:val="21"/>
              </w:rPr>
            </w:pPr>
          </w:p>
          <w:p w14:paraId="2500CF6A">
            <w:pPr>
              <w:spacing w:line="279" w:lineRule="auto"/>
              <w:rPr>
                <w:rFonts w:ascii="Arial"/>
                <w:sz w:val="21"/>
              </w:rPr>
            </w:pPr>
          </w:p>
          <w:p w14:paraId="3A553585">
            <w:pPr>
              <w:spacing w:line="279" w:lineRule="auto"/>
              <w:rPr>
                <w:rFonts w:ascii="Arial"/>
                <w:sz w:val="21"/>
              </w:rPr>
            </w:pPr>
          </w:p>
          <w:p w14:paraId="5F6C8B5D">
            <w:pPr>
              <w:spacing w:line="279" w:lineRule="auto"/>
              <w:rPr>
                <w:rFonts w:ascii="Arial"/>
                <w:sz w:val="21"/>
              </w:rPr>
            </w:pPr>
          </w:p>
          <w:p w14:paraId="58726F26">
            <w:pPr>
              <w:spacing w:line="279" w:lineRule="auto"/>
              <w:rPr>
                <w:rFonts w:ascii="Arial"/>
                <w:sz w:val="21"/>
              </w:rPr>
            </w:pPr>
          </w:p>
          <w:p w14:paraId="1977113A">
            <w:pPr>
              <w:spacing w:line="280" w:lineRule="auto"/>
              <w:rPr>
                <w:rFonts w:ascii="Arial"/>
                <w:sz w:val="21"/>
              </w:rPr>
            </w:pPr>
          </w:p>
          <w:p w14:paraId="1751C0D7">
            <w:pPr>
              <w:pStyle w:val="8"/>
              <w:spacing w:before="58" w:line="184" w:lineRule="auto"/>
              <w:ind w:left="225"/>
            </w:pPr>
            <w:r>
              <w:rPr>
                <w:spacing w:val="-3"/>
              </w:rPr>
              <w:t>41</w:t>
            </w:r>
          </w:p>
        </w:tc>
        <w:tc>
          <w:tcPr>
            <w:tcW w:w="1100" w:type="dxa"/>
            <w:vAlign w:val="top"/>
          </w:tcPr>
          <w:p w14:paraId="1EF2AD70">
            <w:pPr>
              <w:spacing w:line="312" w:lineRule="auto"/>
              <w:rPr>
                <w:rFonts w:ascii="Arial"/>
                <w:sz w:val="21"/>
              </w:rPr>
            </w:pPr>
          </w:p>
          <w:p w14:paraId="5F070690">
            <w:pPr>
              <w:spacing w:line="312" w:lineRule="auto"/>
              <w:rPr>
                <w:rFonts w:ascii="Arial"/>
                <w:sz w:val="21"/>
              </w:rPr>
            </w:pPr>
          </w:p>
          <w:p w14:paraId="468FBBC4">
            <w:pPr>
              <w:spacing w:line="312" w:lineRule="auto"/>
              <w:rPr>
                <w:rFonts w:ascii="Arial"/>
                <w:sz w:val="21"/>
              </w:rPr>
            </w:pPr>
          </w:p>
          <w:p w14:paraId="53E38BDB">
            <w:pPr>
              <w:pStyle w:val="8"/>
              <w:spacing w:before="59" w:line="243" w:lineRule="auto"/>
              <w:ind w:left="59" w:right="55"/>
              <w:jc w:val="both"/>
            </w:pPr>
            <w:r>
              <w:rPr>
                <w:spacing w:val="16"/>
              </w:rPr>
              <w:t>对装卸国家</w:t>
            </w:r>
            <w:r>
              <w:t xml:space="preserve"> </w:t>
            </w:r>
            <w:r>
              <w:rPr>
                <w:spacing w:val="16"/>
              </w:rPr>
              <w:t>禁止通过该</w:t>
            </w:r>
            <w:r>
              <w:t xml:space="preserve"> </w:t>
            </w:r>
            <w:r>
              <w:rPr>
                <w:spacing w:val="16"/>
              </w:rPr>
              <w:t>港口水域水</w:t>
            </w:r>
            <w:r>
              <w:t xml:space="preserve"> </w:t>
            </w:r>
            <w:r>
              <w:rPr>
                <w:spacing w:val="16"/>
              </w:rPr>
              <w:t>路运输的危</w:t>
            </w:r>
            <w:r>
              <w:t xml:space="preserve"> </w:t>
            </w:r>
            <w:r>
              <w:rPr>
                <w:spacing w:val="16"/>
              </w:rPr>
              <w:t>险货物等行</w:t>
            </w:r>
            <w:r>
              <w:t xml:space="preserve"> </w:t>
            </w:r>
            <w:r>
              <w:rPr>
                <w:spacing w:val="16"/>
              </w:rPr>
              <w:t>为的行政处</w:t>
            </w:r>
            <w:r>
              <w:t xml:space="preserve"> 罚</w:t>
            </w:r>
          </w:p>
        </w:tc>
        <w:tc>
          <w:tcPr>
            <w:tcW w:w="1100" w:type="dxa"/>
            <w:vAlign w:val="top"/>
          </w:tcPr>
          <w:p w14:paraId="5A0F0A64">
            <w:pPr>
              <w:spacing w:line="274" w:lineRule="auto"/>
              <w:rPr>
                <w:rFonts w:ascii="Arial"/>
                <w:sz w:val="21"/>
              </w:rPr>
            </w:pPr>
          </w:p>
          <w:p w14:paraId="2D913D49">
            <w:pPr>
              <w:spacing w:line="274" w:lineRule="auto"/>
              <w:rPr>
                <w:rFonts w:ascii="Arial"/>
                <w:sz w:val="21"/>
              </w:rPr>
            </w:pPr>
          </w:p>
          <w:p w14:paraId="55EF900E">
            <w:pPr>
              <w:spacing w:line="274" w:lineRule="auto"/>
              <w:rPr>
                <w:rFonts w:ascii="Arial"/>
                <w:sz w:val="21"/>
              </w:rPr>
            </w:pPr>
          </w:p>
          <w:p w14:paraId="0CDFC860">
            <w:pPr>
              <w:spacing w:line="274" w:lineRule="auto"/>
              <w:rPr>
                <w:rFonts w:ascii="Arial"/>
                <w:sz w:val="21"/>
              </w:rPr>
            </w:pPr>
          </w:p>
          <w:p w14:paraId="4DB9F240">
            <w:pPr>
              <w:spacing w:line="274" w:lineRule="auto"/>
              <w:rPr>
                <w:rFonts w:ascii="Arial"/>
                <w:sz w:val="21"/>
              </w:rPr>
            </w:pPr>
          </w:p>
          <w:p w14:paraId="2769BF2F">
            <w:pPr>
              <w:spacing w:line="275" w:lineRule="auto"/>
              <w:rPr>
                <w:rFonts w:ascii="Arial"/>
                <w:sz w:val="21"/>
              </w:rPr>
            </w:pPr>
          </w:p>
          <w:p w14:paraId="28404094">
            <w:pPr>
              <w:pStyle w:val="8"/>
              <w:spacing w:before="58" w:line="220" w:lineRule="auto"/>
              <w:ind w:left="112"/>
            </w:pPr>
            <w:r>
              <w:rPr>
                <w:spacing w:val="-2"/>
              </w:rPr>
              <w:t>行政处罚</w:t>
            </w:r>
          </w:p>
        </w:tc>
        <w:tc>
          <w:tcPr>
            <w:tcW w:w="8508" w:type="dxa"/>
            <w:vAlign w:val="top"/>
          </w:tcPr>
          <w:p w14:paraId="6E8041AC">
            <w:pPr>
              <w:pStyle w:val="8"/>
              <w:spacing w:before="40" w:line="219" w:lineRule="auto"/>
              <w:ind w:left="476"/>
            </w:pPr>
            <w:r>
              <w:rPr>
                <w:b/>
                <w:bCs/>
                <w:spacing w:val="-3"/>
              </w:rPr>
              <w:t>《港口危险货物安全管理规定》（交通运输部令</w:t>
            </w:r>
            <w:r>
              <w:rPr>
                <w:spacing w:val="-37"/>
              </w:rPr>
              <w:t xml:space="preserve"> </w:t>
            </w:r>
            <w:r>
              <w:rPr>
                <w:b/>
                <w:bCs/>
                <w:spacing w:val="-3"/>
              </w:rPr>
              <w:t>2023</w:t>
            </w:r>
            <w:r>
              <w:rPr>
                <w:spacing w:val="-38"/>
              </w:rPr>
              <w:t xml:space="preserve"> </w:t>
            </w:r>
            <w:r>
              <w:rPr>
                <w:b/>
                <w:bCs/>
                <w:spacing w:val="-3"/>
              </w:rPr>
              <w:t>年第</w:t>
            </w:r>
            <w:r>
              <w:rPr>
                <w:spacing w:val="-34"/>
              </w:rPr>
              <w:t xml:space="preserve"> </w:t>
            </w:r>
            <w:r>
              <w:rPr>
                <w:b/>
                <w:bCs/>
                <w:spacing w:val="-3"/>
              </w:rPr>
              <w:t>8</w:t>
            </w:r>
            <w:r>
              <w:rPr>
                <w:spacing w:val="-35"/>
              </w:rPr>
              <w:t xml:space="preserve"> </w:t>
            </w:r>
            <w:r>
              <w:rPr>
                <w:b/>
                <w:bCs/>
                <w:spacing w:val="-4"/>
              </w:rPr>
              <w:t>号）</w:t>
            </w:r>
          </w:p>
          <w:p w14:paraId="2B48C2D8">
            <w:pPr>
              <w:pStyle w:val="8"/>
              <w:spacing w:before="25" w:line="233" w:lineRule="auto"/>
              <w:ind w:left="115" w:right="104" w:firstLine="355"/>
            </w:pPr>
            <w:r>
              <w:t>第三十五条  危险货物港口经营人使用管道输送危险货物的，应当建立输送管道安全技术档案，具备</w:t>
            </w:r>
            <w:r>
              <w:rPr>
                <w:spacing w:val="6"/>
              </w:rPr>
              <w:t xml:space="preserve"> </w:t>
            </w:r>
            <w:r>
              <w:rPr>
                <w:spacing w:val="-1"/>
              </w:rPr>
              <w:t>管道分布图，并对输送管道定期进行检查、检</w:t>
            </w:r>
            <w:r>
              <w:rPr>
                <w:spacing w:val="-2"/>
              </w:rPr>
              <w:t>测，设置明显标志。</w:t>
            </w:r>
          </w:p>
          <w:p w14:paraId="24715DD7">
            <w:pPr>
              <w:pStyle w:val="8"/>
              <w:spacing w:before="27" w:line="237" w:lineRule="auto"/>
              <w:ind w:left="110" w:right="104" w:firstLine="360"/>
            </w:pPr>
            <w:r>
              <w:rPr>
                <w:spacing w:val="-1"/>
              </w:rPr>
              <w:t>在港区内进行可能危及危险货物输送管道安全的施工作业，施工单位应当在开工的</w:t>
            </w:r>
            <w:r>
              <w:rPr>
                <w:spacing w:val="-33"/>
              </w:rPr>
              <w:t xml:space="preserve"> </w:t>
            </w:r>
            <w:r>
              <w:rPr>
                <w:spacing w:val="-1"/>
              </w:rPr>
              <w:t>7 日前</w:t>
            </w:r>
            <w:r>
              <w:rPr>
                <w:spacing w:val="-2"/>
              </w:rPr>
              <w:t>书面通知管</w:t>
            </w:r>
            <w:r>
              <w:t xml:space="preserve"> 道所属单位，并与管道所属单位共同制定应急预案，采取相应的安全防护措施。管道所属单位应当指派专</w:t>
            </w:r>
            <w:r>
              <w:rPr>
                <w:spacing w:val="7"/>
              </w:rPr>
              <w:t xml:space="preserve"> </w:t>
            </w:r>
            <w:r>
              <w:rPr>
                <w:spacing w:val="-2"/>
              </w:rPr>
              <w:t>门人员到现场进行管道安全保护指导。</w:t>
            </w:r>
          </w:p>
          <w:p w14:paraId="5081D9BA">
            <w:pPr>
              <w:pStyle w:val="8"/>
              <w:spacing w:before="25" w:line="233" w:lineRule="auto"/>
              <w:ind w:left="111" w:right="104" w:firstLine="359"/>
            </w:pPr>
            <w:r>
              <w:t>第四十一条  危险货物港口经营人应当对危险货物包装和标志进行检查，发现包装和标志不符合国家</w:t>
            </w:r>
            <w:r>
              <w:rPr>
                <w:spacing w:val="6"/>
              </w:rPr>
              <w:t xml:space="preserve"> </w:t>
            </w:r>
            <w:r>
              <w:rPr>
                <w:spacing w:val="-1"/>
              </w:rPr>
              <w:t>有关规定的，不得予以作业，并应当及时通知或者退回作业委托人处</w:t>
            </w:r>
            <w:r>
              <w:rPr>
                <w:spacing w:val="-2"/>
              </w:rPr>
              <w:t>理。</w:t>
            </w:r>
          </w:p>
          <w:p w14:paraId="15E08383">
            <w:pPr>
              <w:pStyle w:val="8"/>
              <w:spacing w:before="26" w:line="219" w:lineRule="auto"/>
              <w:ind w:left="471"/>
            </w:pPr>
            <w:r>
              <w:rPr>
                <w:spacing w:val="-1"/>
              </w:rPr>
              <w:t>第四十四条  不得在港口装卸国家禁止通过水路</w:t>
            </w:r>
            <w:r>
              <w:rPr>
                <w:spacing w:val="-2"/>
              </w:rPr>
              <w:t>运输的危险货物。</w:t>
            </w:r>
          </w:p>
          <w:p w14:paraId="6F3E64E1">
            <w:pPr>
              <w:pStyle w:val="8"/>
              <w:spacing w:before="27" w:line="237" w:lineRule="auto"/>
              <w:ind w:left="111" w:right="58" w:firstLine="360"/>
            </w:pPr>
            <w:r>
              <w:rPr>
                <w:spacing w:val="-3"/>
              </w:rPr>
              <w:t>第五十三条  危险货物港口经营人应当建立危险货物作业信息系统，实时记录危险货物作业基础数据，</w:t>
            </w:r>
            <w:r>
              <w:rPr>
                <w:spacing w:val="10"/>
              </w:rPr>
              <w:t xml:space="preserve"> </w:t>
            </w:r>
            <w:r>
              <w:t>包括作业的危险货物种类及数量、储存地点、理化特性、货主信息、安全和应急措施等，并在作业场所外</w:t>
            </w:r>
            <w:r>
              <w:rPr>
                <w:spacing w:val="6"/>
              </w:rPr>
              <w:t xml:space="preserve"> </w:t>
            </w:r>
            <w:r>
              <w:rPr>
                <w:spacing w:val="-1"/>
              </w:rPr>
              <w:t>异地备份。有关危险货物作业信息应当按要求及时准确提供相关管理部门。</w:t>
            </w:r>
          </w:p>
          <w:p w14:paraId="42AAD970">
            <w:pPr>
              <w:pStyle w:val="8"/>
              <w:spacing w:before="26" w:line="233" w:lineRule="auto"/>
              <w:ind w:left="111" w:right="149" w:firstLine="360"/>
            </w:pPr>
            <w:r>
              <w:rPr>
                <w:spacing w:val="-1"/>
              </w:rPr>
              <w:t>第五十四条  危险货物港口经营人应当建立安全风险分级管控制度，开展安全生产风险辨识、评估，</w:t>
            </w:r>
            <w:r>
              <w:rPr>
                <w:spacing w:val="6"/>
              </w:rPr>
              <w:t xml:space="preserve"> </w:t>
            </w:r>
            <w:r>
              <w:rPr>
                <w:spacing w:val="-1"/>
              </w:rPr>
              <w:t>针对不同风险，制定具体的分级管控措施，</w:t>
            </w:r>
            <w:r>
              <w:rPr>
                <w:spacing w:val="-2"/>
              </w:rPr>
              <w:t>落实管控责任。</w:t>
            </w:r>
          </w:p>
          <w:p w14:paraId="553AE594">
            <w:pPr>
              <w:pStyle w:val="8"/>
              <w:spacing w:before="26" w:line="200" w:lineRule="auto"/>
              <w:ind w:left="471"/>
            </w:pPr>
            <w:r>
              <w:t>第五十六条  危险货物港口经营人应当将本单位的重大危险源及有关安全措施、应急措施依法报送所</w:t>
            </w:r>
          </w:p>
        </w:tc>
        <w:tc>
          <w:tcPr>
            <w:tcW w:w="1010" w:type="dxa"/>
            <w:vAlign w:val="top"/>
          </w:tcPr>
          <w:p w14:paraId="1CE444A8">
            <w:pPr>
              <w:spacing w:line="255" w:lineRule="auto"/>
              <w:rPr>
                <w:rFonts w:ascii="Arial"/>
                <w:sz w:val="21"/>
              </w:rPr>
            </w:pPr>
          </w:p>
          <w:p w14:paraId="103B6CBA">
            <w:pPr>
              <w:spacing w:line="255" w:lineRule="auto"/>
              <w:rPr>
                <w:rFonts w:ascii="Arial"/>
                <w:sz w:val="21"/>
              </w:rPr>
            </w:pPr>
          </w:p>
          <w:p w14:paraId="077A9422">
            <w:pPr>
              <w:spacing w:line="255" w:lineRule="auto"/>
              <w:rPr>
                <w:rFonts w:ascii="Arial"/>
                <w:sz w:val="21"/>
              </w:rPr>
            </w:pPr>
          </w:p>
          <w:p w14:paraId="698D9E34">
            <w:pPr>
              <w:spacing w:line="255" w:lineRule="auto"/>
              <w:rPr>
                <w:rFonts w:ascii="Arial"/>
                <w:sz w:val="21"/>
              </w:rPr>
            </w:pPr>
          </w:p>
          <w:p w14:paraId="62A7ECE4">
            <w:pPr>
              <w:spacing w:line="256" w:lineRule="auto"/>
              <w:rPr>
                <w:rFonts w:ascii="Arial"/>
                <w:sz w:val="21"/>
              </w:rPr>
            </w:pPr>
          </w:p>
          <w:p w14:paraId="3595B58E">
            <w:pPr>
              <w:spacing w:line="256" w:lineRule="auto"/>
              <w:rPr>
                <w:rFonts w:ascii="Arial"/>
                <w:sz w:val="21"/>
              </w:rPr>
            </w:pPr>
          </w:p>
          <w:p w14:paraId="4BF7BC92">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7E027E45">
            <w:pPr>
              <w:pStyle w:val="8"/>
              <w:spacing w:before="59" w:line="234" w:lineRule="auto"/>
              <w:ind w:left="530" w:right="104" w:hanging="413"/>
              <w:rPr>
                <w:rFonts w:hint="eastAsia"/>
                <w:spacing w:val="-12"/>
                <w:lang w:eastAsia="zh-CN"/>
              </w:rPr>
            </w:pPr>
          </w:p>
          <w:p w14:paraId="63EFD419">
            <w:pPr>
              <w:pStyle w:val="8"/>
              <w:spacing w:before="59" w:line="234" w:lineRule="auto"/>
              <w:ind w:left="530" w:right="104" w:hanging="413"/>
              <w:rPr>
                <w:rFonts w:hint="eastAsia"/>
                <w:spacing w:val="-12"/>
                <w:lang w:eastAsia="zh-CN"/>
              </w:rPr>
            </w:pPr>
          </w:p>
          <w:p w14:paraId="3E1CD83A">
            <w:pPr>
              <w:pStyle w:val="8"/>
              <w:spacing w:before="59" w:line="234" w:lineRule="auto"/>
              <w:ind w:left="530" w:right="104" w:hanging="413"/>
              <w:rPr>
                <w:rFonts w:hint="eastAsia"/>
                <w:spacing w:val="-12"/>
                <w:lang w:eastAsia="zh-CN"/>
              </w:rPr>
            </w:pPr>
          </w:p>
          <w:p w14:paraId="26B3300C">
            <w:pPr>
              <w:pStyle w:val="8"/>
              <w:spacing w:before="59" w:line="234" w:lineRule="auto"/>
              <w:ind w:left="530" w:right="104" w:hanging="413"/>
              <w:rPr>
                <w:rFonts w:hint="eastAsia"/>
                <w:spacing w:val="-12"/>
                <w:lang w:eastAsia="zh-CN"/>
              </w:rPr>
            </w:pPr>
          </w:p>
          <w:p w14:paraId="540A18FC">
            <w:pPr>
              <w:pStyle w:val="8"/>
              <w:spacing w:before="59" w:line="234" w:lineRule="auto"/>
              <w:ind w:left="530" w:right="104" w:hanging="413"/>
              <w:rPr>
                <w:rFonts w:hint="eastAsia"/>
                <w:spacing w:val="-12"/>
                <w:lang w:eastAsia="zh-CN"/>
              </w:rPr>
            </w:pPr>
          </w:p>
          <w:p w14:paraId="4A02E00E">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7452041">
            <w:pPr>
              <w:spacing w:line="282" w:lineRule="auto"/>
              <w:rPr>
                <w:rFonts w:ascii="Arial"/>
                <w:sz w:val="21"/>
              </w:rPr>
            </w:pPr>
          </w:p>
          <w:p w14:paraId="36F87A42">
            <w:pPr>
              <w:spacing w:line="283" w:lineRule="auto"/>
              <w:rPr>
                <w:rFonts w:ascii="Arial"/>
                <w:sz w:val="21"/>
              </w:rPr>
            </w:pPr>
          </w:p>
          <w:p w14:paraId="2F58079B">
            <w:pPr>
              <w:spacing w:line="283" w:lineRule="auto"/>
              <w:rPr>
                <w:rFonts w:ascii="Arial"/>
                <w:sz w:val="21"/>
              </w:rPr>
            </w:pPr>
          </w:p>
          <w:p w14:paraId="6B3FC885">
            <w:pPr>
              <w:spacing w:line="283" w:lineRule="auto"/>
              <w:rPr>
                <w:rFonts w:ascii="Arial"/>
                <w:sz w:val="21"/>
              </w:rPr>
            </w:pPr>
          </w:p>
          <w:p w14:paraId="5CFBE36B">
            <w:pPr>
              <w:spacing w:line="283" w:lineRule="auto"/>
              <w:rPr>
                <w:rFonts w:ascii="Arial"/>
                <w:sz w:val="21"/>
              </w:rPr>
            </w:pPr>
          </w:p>
          <w:p w14:paraId="23F7EE83">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5E25A89A">
      <w:pPr>
        <w:pStyle w:val="2"/>
        <w:spacing w:line="187" w:lineRule="exact"/>
        <w:rPr>
          <w:sz w:val="16"/>
        </w:rPr>
      </w:pPr>
    </w:p>
    <w:p w14:paraId="433A9453">
      <w:pPr>
        <w:spacing w:line="187" w:lineRule="exact"/>
        <w:rPr>
          <w:sz w:val="16"/>
          <w:szCs w:val="16"/>
        </w:rPr>
        <w:sectPr>
          <w:footerReference r:id="rId148" w:type="default"/>
          <w:pgSz w:w="16839" w:h="11906"/>
          <w:pgMar w:top="1012" w:right="1034" w:bottom="967" w:left="1043" w:header="0" w:footer="768" w:gutter="0"/>
          <w:cols w:space="720" w:num="1"/>
        </w:sectPr>
      </w:pPr>
    </w:p>
    <w:p w14:paraId="14D185A1">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36D31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22" w:type="dxa"/>
            <w:vMerge w:val="restart"/>
            <w:tcBorders>
              <w:bottom w:val="nil"/>
            </w:tcBorders>
            <w:vAlign w:val="top"/>
          </w:tcPr>
          <w:p w14:paraId="3E06A667">
            <w:pPr>
              <w:pStyle w:val="8"/>
              <w:spacing w:before="259" w:line="221" w:lineRule="auto"/>
              <w:ind w:left="134"/>
            </w:pPr>
            <w:r>
              <w:rPr>
                <w:b/>
                <w:bCs/>
                <w:spacing w:val="-4"/>
              </w:rPr>
              <w:t>序号</w:t>
            </w:r>
          </w:p>
        </w:tc>
        <w:tc>
          <w:tcPr>
            <w:tcW w:w="1100" w:type="dxa"/>
            <w:vMerge w:val="restart"/>
            <w:tcBorders>
              <w:bottom w:val="nil"/>
            </w:tcBorders>
            <w:vAlign w:val="top"/>
          </w:tcPr>
          <w:p w14:paraId="60FDA0E4">
            <w:pPr>
              <w:pStyle w:val="8"/>
              <w:spacing w:before="260" w:line="220" w:lineRule="auto"/>
              <w:ind w:left="189"/>
            </w:pPr>
            <w:r>
              <w:rPr>
                <w:b/>
                <w:bCs/>
                <w:spacing w:val="-4"/>
              </w:rPr>
              <w:t>事项名称</w:t>
            </w:r>
          </w:p>
        </w:tc>
        <w:tc>
          <w:tcPr>
            <w:tcW w:w="1100" w:type="dxa"/>
            <w:vMerge w:val="restart"/>
            <w:tcBorders>
              <w:bottom w:val="nil"/>
            </w:tcBorders>
            <w:vAlign w:val="top"/>
          </w:tcPr>
          <w:p w14:paraId="3C8ADB87">
            <w:pPr>
              <w:pStyle w:val="8"/>
              <w:spacing w:before="260" w:line="219" w:lineRule="auto"/>
              <w:ind w:left="191"/>
            </w:pPr>
            <w:r>
              <w:rPr>
                <w:b/>
                <w:bCs/>
                <w:spacing w:val="-4"/>
              </w:rPr>
              <w:t>职权类型</w:t>
            </w:r>
          </w:p>
        </w:tc>
        <w:tc>
          <w:tcPr>
            <w:tcW w:w="8508" w:type="dxa"/>
            <w:vMerge w:val="restart"/>
            <w:tcBorders>
              <w:bottom w:val="nil"/>
            </w:tcBorders>
            <w:vAlign w:val="top"/>
          </w:tcPr>
          <w:p w14:paraId="5B03152B">
            <w:pPr>
              <w:pStyle w:val="8"/>
              <w:spacing w:before="259" w:line="219" w:lineRule="auto"/>
              <w:ind w:left="3900"/>
            </w:pPr>
            <w:r>
              <w:rPr>
                <w:b/>
                <w:bCs/>
                <w:spacing w:val="-5"/>
              </w:rPr>
              <w:t>实施依据</w:t>
            </w:r>
          </w:p>
        </w:tc>
        <w:tc>
          <w:tcPr>
            <w:tcW w:w="3425" w:type="dxa"/>
            <w:gridSpan w:val="3"/>
            <w:vAlign w:val="top"/>
          </w:tcPr>
          <w:p w14:paraId="1B920A50">
            <w:pPr>
              <w:pStyle w:val="8"/>
              <w:spacing w:before="85" w:line="220" w:lineRule="auto"/>
              <w:ind w:left="1358"/>
            </w:pPr>
            <w:r>
              <w:rPr>
                <w:b/>
                <w:bCs/>
                <w:spacing w:val="-5"/>
              </w:rPr>
              <w:t>实施主体</w:t>
            </w:r>
          </w:p>
        </w:tc>
      </w:tr>
      <w:tr w14:paraId="3EB16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3B1BC954">
            <w:pPr>
              <w:rPr>
                <w:rFonts w:ascii="Arial"/>
                <w:sz w:val="21"/>
              </w:rPr>
            </w:pPr>
          </w:p>
        </w:tc>
        <w:tc>
          <w:tcPr>
            <w:tcW w:w="1100" w:type="dxa"/>
            <w:vMerge w:val="continue"/>
            <w:tcBorders>
              <w:top w:val="nil"/>
            </w:tcBorders>
            <w:vAlign w:val="top"/>
          </w:tcPr>
          <w:p w14:paraId="24A0B86A">
            <w:pPr>
              <w:rPr>
                <w:rFonts w:ascii="Arial"/>
                <w:sz w:val="21"/>
              </w:rPr>
            </w:pPr>
          </w:p>
        </w:tc>
        <w:tc>
          <w:tcPr>
            <w:tcW w:w="1100" w:type="dxa"/>
            <w:vMerge w:val="continue"/>
            <w:tcBorders>
              <w:top w:val="nil"/>
            </w:tcBorders>
            <w:vAlign w:val="top"/>
          </w:tcPr>
          <w:p w14:paraId="71120A5A">
            <w:pPr>
              <w:rPr>
                <w:rFonts w:ascii="Arial"/>
                <w:sz w:val="21"/>
              </w:rPr>
            </w:pPr>
          </w:p>
        </w:tc>
        <w:tc>
          <w:tcPr>
            <w:tcW w:w="8508" w:type="dxa"/>
            <w:vMerge w:val="continue"/>
            <w:tcBorders>
              <w:top w:val="nil"/>
            </w:tcBorders>
            <w:vAlign w:val="top"/>
          </w:tcPr>
          <w:p w14:paraId="4F426729">
            <w:pPr>
              <w:rPr>
                <w:rFonts w:ascii="Arial"/>
                <w:sz w:val="21"/>
              </w:rPr>
            </w:pPr>
          </w:p>
        </w:tc>
        <w:tc>
          <w:tcPr>
            <w:tcW w:w="1010" w:type="dxa"/>
            <w:vAlign w:val="top"/>
          </w:tcPr>
          <w:p w14:paraId="44D643AB">
            <w:pPr>
              <w:pStyle w:val="8"/>
              <w:spacing w:before="80" w:line="219" w:lineRule="auto"/>
              <w:ind w:left="155"/>
            </w:pPr>
            <w:r>
              <w:rPr>
                <w:b/>
                <w:bCs/>
                <w:spacing w:val="-5"/>
              </w:rPr>
              <w:t>责任部门</w:t>
            </w:r>
          </w:p>
        </w:tc>
        <w:tc>
          <w:tcPr>
            <w:tcW w:w="1401" w:type="dxa"/>
            <w:vAlign w:val="top"/>
          </w:tcPr>
          <w:p w14:paraId="65E691A2">
            <w:pPr>
              <w:pStyle w:val="8"/>
              <w:spacing w:before="80" w:line="219" w:lineRule="auto"/>
              <w:ind w:left="164"/>
            </w:pPr>
            <w:r>
              <w:rPr>
                <w:b/>
                <w:bCs/>
                <w:spacing w:val="-3"/>
              </w:rPr>
              <w:t>第一责任层级</w:t>
            </w:r>
          </w:p>
        </w:tc>
        <w:tc>
          <w:tcPr>
            <w:tcW w:w="1014" w:type="dxa"/>
            <w:vAlign w:val="top"/>
          </w:tcPr>
          <w:p w14:paraId="2248357E">
            <w:pPr>
              <w:pStyle w:val="8"/>
              <w:spacing w:before="80" w:line="219" w:lineRule="auto"/>
              <w:ind w:left="150"/>
            </w:pPr>
            <w:r>
              <w:rPr>
                <w:b/>
                <w:bCs/>
                <w:spacing w:val="-4"/>
              </w:rPr>
              <w:t>承办机构</w:t>
            </w:r>
          </w:p>
        </w:tc>
      </w:tr>
      <w:tr w14:paraId="437A3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2" w:type="dxa"/>
            <w:vAlign w:val="top"/>
          </w:tcPr>
          <w:p w14:paraId="05D41501">
            <w:pPr>
              <w:rPr>
                <w:rFonts w:ascii="Arial"/>
                <w:sz w:val="21"/>
              </w:rPr>
            </w:pPr>
          </w:p>
        </w:tc>
        <w:tc>
          <w:tcPr>
            <w:tcW w:w="1100" w:type="dxa"/>
            <w:vAlign w:val="top"/>
          </w:tcPr>
          <w:p w14:paraId="3B8A02E3">
            <w:pPr>
              <w:rPr>
                <w:rFonts w:ascii="Arial"/>
                <w:sz w:val="21"/>
              </w:rPr>
            </w:pPr>
          </w:p>
        </w:tc>
        <w:tc>
          <w:tcPr>
            <w:tcW w:w="1100" w:type="dxa"/>
            <w:vAlign w:val="top"/>
          </w:tcPr>
          <w:p w14:paraId="7B1543B1">
            <w:pPr>
              <w:rPr>
                <w:rFonts w:ascii="Arial"/>
                <w:sz w:val="21"/>
              </w:rPr>
            </w:pPr>
          </w:p>
        </w:tc>
        <w:tc>
          <w:tcPr>
            <w:tcW w:w="8508" w:type="dxa"/>
            <w:vAlign w:val="top"/>
          </w:tcPr>
          <w:p w14:paraId="0A1DC7A1">
            <w:pPr>
              <w:pStyle w:val="8"/>
              <w:spacing w:before="37" w:line="219" w:lineRule="auto"/>
              <w:ind w:left="110"/>
            </w:pPr>
            <w:r>
              <w:rPr>
                <w:spacing w:val="-2"/>
              </w:rPr>
              <w:t>在地港口行政管理部门和相关部门备案。</w:t>
            </w:r>
          </w:p>
          <w:p w14:paraId="35D6D07C">
            <w:pPr>
              <w:pStyle w:val="8"/>
              <w:spacing w:before="26" w:line="232" w:lineRule="auto"/>
              <w:ind w:left="115" w:right="104" w:firstLine="355"/>
            </w:pPr>
            <w:r>
              <w:t>第五十八条第二款  危险货物港口经营人应当将重大事故隐患的排查治理情况及时向所在地港口行政</w:t>
            </w:r>
            <w:r>
              <w:rPr>
                <w:spacing w:val="6"/>
              </w:rPr>
              <w:t xml:space="preserve"> </w:t>
            </w:r>
            <w:r>
              <w:rPr>
                <w:spacing w:val="-2"/>
              </w:rPr>
              <w:t>管理部门和职工大会或者职工代表大会报告。</w:t>
            </w:r>
          </w:p>
          <w:p w14:paraId="439925DE">
            <w:pPr>
              <w:pStyle w:val="8"/>
              <w:spacing w:before="27" w:line="235" w:lineRule="auto"/>
              <w:ind w:left="113" w:right="112" w:firstLine="357"/>
            </w:pPr>
            <w:r>
              <w:t>第八十四条第一款  危险货物港口经营人有下列行为之一的，由所在地港口行政管理部门责令</w:t>
            </w:r>
            <w:r>
              <w:rPr>
                <w:spacing w:val="-1"/>
              </w:rPr>
              <w:t>改正，</w:t>
            </w:r>
            <w:r>
              <w:t xml:space="preserve"> 并处三万元以下的罚款</w:t>
            </w:r>
            <w:r>
              <w:rPr>
                <w:spacing w:val="-2"/>
              </w:rPr>
              <w:t>：（</w:t>
            </w:r>
            <w:r>
              <w:t>一）装卸国家禁止通过该港口水域水路运输的危险货物的</w:t>
            </w:r>
            <w:r>
              <w:rPr>
                <w:spacing w:val="-2"/>
              </w:rPr>
              <w:t>；（</w:t>
            </w:r>
            <w:r>
              <w:t>二）未如实记录</w:t>
            </w:r>
            <w:r>
              <w:rPr>
                <w:spacing w:val="3"/>
              </w:rPr>
              <w:t xml:space="preserve"> </w:t>
            </w:r>
            <w:r>
              <w:t>危险货物作业基础数据的</w:t>
            </w:r>
            <w:r>
              <w:rPr>
                <w:spacing w:val="-1"/>
              </w:rPr>
              <w:t>；（</w:t>
            </w:r>
            <w:r>
              <w:t>三）发现危险货物的包装和安全标志不符合相关规定仍进行作</w:t>
            </w:r>
            <w:r>
              <w:rPr>
                <w:spacing w:val="-1"/>
              </w:rPr>
              <w:t>业的；（四）</w:t>
            </w:r>
            <w:r>
              <w:t xml:space="preserve"> </w:t>
            </w:r>
            <w:r>
              <w:rPr>
                <w:spacing w:val="-1"/>
              </w:rPr>
              <w:t>未具备其作业使用的危险货物输送管道分布图、安</w:t>
            </w:r>
            <w:r>
              <w:rPr>
                <w:spacing w:val="-2"/>
              </w:rPr>
              <w:t>全技术档案的。</w:t>
            </w:r>
          </w:p>
        </w:tc>
        <w:tc>
          <w:tcPr>
            <w:tcW w:w="1010" w:type="dxa"/>
            <w:vAlign w:val="top"/>
          </w:tcPr>
          <w:p w14:paraId="53384C42">
            <w:pPr>
              <w:rPr>
                <w:rFonts w:ascii="Arial"/>
                <w:sz w:val="21"/>
              </w:rPr>
            </w:pPr>
          </w:p>
        </w:tc>
        <w:tc>
          <w:tcPr>
            <w:tcW w:w="1401" w:type="dxa"/>
            <w:vAlign w:val="top"/>
          </w:tcPr>
          <w:p w14:paraId="61845B84">
            <w:pPr>
              <w:rPr>
                <w:rFonts w:ascii="Arial"/>
                <w:sz w:val="21"/>
              </w:rPr>
            </w:pPr>
          </w:p>
        </w:tc>
        <w:tc>
          <w:tcPr>
            <w:tcW w:w="1014" w:type="dxa"/>
            <w:vAlign w:val="top"/>
          </w:tcPr>
          <w:p w14:paraId="4DC6E10F">
            <w:pPr>
              <w:rPr>
                <w:rFonts w:ascii="Arial"/>
                <w:sz w:val="21"/>
              </w:rPr>
            </w:pPr>
          </w:p>
        </w:tc>
      </w:tr>
      <w:tr w14:paraId="781BC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3" w:hRule="atLeast"/>
        </w:trPr>
        <w:tc>
          <w:tcPr>
            <w:tcW w:w="622" w:type="dxa"/>
            <w:vAlign w:val="top"/>
          </w:tcPr>
          <w:p w14:paraId="1CCC436D">
            <w:pPr>
              <w:spacing w:line="298" w:lineRule="auto"/>
              <w:rPr>
                <w:rFonts w:ascii="Arial"/>
                <w:sz w:val="21"/>
              </w:rPr>
            </w:pPr>
          </w:p>
          <w:p w14:paraId="1E5AE98D">
            <w:pPr>
              <w:spacing w:line="299" w:lineRule="auto"/>
              <w:rPr>
                <w:rFonts w:ascii="Arial"/>
                <w:sz w:val="21"/>
              </w:rPr>
            </w:pPr>
          </w:p>
          <w:p w14:paraId="5C168A29">
            <w:pPr>
              <w:spacing w:line="299" w:lineRule="auto"/>
              <w:rPr>
                <w:rFonts w:ascii="Arial"/>
                <w:sz w:val="21"/>
              </w:rPr>
            </w:pPr>
          </w:p>
          <w:p w14:paraId="6BECE851">
            <w:pPr>
              <w:spacing w:line="299" w:lineRule="auto"/>
              <w:rPr>
                <w:rFonts w:ascii="Arial"/>
                <w:sz w:val="21"/>
              </w:rPr>
            </w:pPr>
          </w:p>
          <w:p w14:paraId="3958D529">
            <w:pPr>
              <w:pStyle w:val="8"/>
              <w:spacing w:before="59" w:line="183" w:lineRule="auto"/>
              <w:ind w:left="225"/>
            </w:pPr>
            <w:r>
              <w:rPr>
                <w:spacing w:val="-3"/>
              </w:rPr>
              <w:t>42</w:t>
            </w:r>
          </w:p>
        </w:tc>
        <w:tc>
          <w:tcPr>
            <w:tcW w:w="1100" w:type="dxa"/>
            <w:vAlign w:val="top"/>
          </w:tcPr>
          <w:p w14:paraId="1EDA4BE9">
            <w:pPr>
              <w:pStyle w:val="8"/>
              <w:spacing w:before="37" w:line="242" w:lineRule="auto"/>
              <w:ind w:left="58" w:right="55"/>
              <w:jc w:val="both"/>
            </w:pPr>
            <w:r>
              <w:rPr>
                <w:spacing w:val="16"/>
              </w:rPr>
              <w:t>对在港口从</w:t>
            </w:r>
            <w:r>
              <w:t xml:space="preserve"> </w:t>
            </w:r>
            <w:r>
              <w:rPr>
                <w:spacing w:val="16"/>
              </w:rPr>
              <w:t>事危险货物</w:t>
            </w:r>
            <w:r>
              <w:t xml:space="preserve"> </w:t>
            </w:r>
            <w:r>
              <w:rPr>
                <w:spacing w:val="16"/>
              </w:rPr>
              <w:t>添加抑制剂</w:t>
            </w:r>
            <w:r>
              <w:t xml:space="preserve"> </w:t>
            </w:r>
            <w:r>
              <w:rPr>
                <w:spacing w:val="16"/>
              </w:rPr>
              <w:t>或者稳定剂</w:t>
            </w:r>
            <w:r>
              <w:t xml:space="preserve"> </w:t>
            </w:r>
            <w:r>
              <w:rPr>
                <w:spacing w:val="5"/>
              </w:rPr>
              <w:t>作业前，</w:t>
            </w:r>
            <w:r>
              <w:rPr>
                <w:spacing w:val="-36"/>
              </w:rPr>
              <w:t xml:space="preserve"> </w:t>
            </w:r>
            <w:r>
              <w:rPr>
                <w:spacing w:val="5"/>
              </w:rPr>
              <w:t>未</w:t>
            </w:r>
            <w:r>
              <w:t xml:space="preserve"> </w:t>
            </w:r>
            <w:r>
              <w:rPr>
                <w:spacing w:val="16"/>
              </w:rPr>
              <w:t>将有关情况</w:t>
            </w:r>
            <w:r>
              <w:t xml:space="preserve"> </w:t>
            </w:r>
            <w:r>
              <w:rPr>
                <w:spacing w:val="16"/>
              </w:rPr>
              <w:t>告知相关危</w:t>
            </w:r>
            <w:r>
              <w:t xml:space="preserve"> </w:t>
            </w:r>
            <w:r>
              <w:rPr>
                <w:spacing w:val="16"/>
              </w:rPr>
              <w:t>险货物港口</w:t>
            </w:r>
            <w:r>
              <w:t xml:space="preserve"> </w:t>
            </w:r>
            <w:r>
              <w:rPr>
                <w:spacing w:val="16"/>
              </w:rPr>
              <w:t>经营人和作</w:t>
            </w:r>
            <w:r>
              <w:t xml:space="preserve"> </w:t>
            </w:r>
            <w:r>
              <w:rPr>
                <w:spacing w:val="16"/>
              </w:rPr>
              <w:t>业船舶的行</w:t>
            </w:r>
            <w:r>
              <w:t xml:space="preserve"> </w:t>
            </w:r>
            <w:r>
              <w:rPr>
                <w:spacing w:val="-2"/>
              </w:rPr>
              <w:t>政处罚</w:t>
            </w:r>
          </w:p>
        </w:tc>
        <w:tc>
          <w:tcPr>
            <w:tcW w:w="1100" w:type="dxa"/>
            <w:vAlign w:val="top"/>
          </w:tcPr>
          <w:p w14:paraId="5F457D42">
            <w:pPr>
              <w:spacing w:line="291" w:lineRule="auto"/>
              <w:rPr>
                <w:rFonts w:ascii="Arial"/>
                <w:sz w:val="21"/>
              </w:rPr>
            </w:pPr>
          </w:p>
          <w:p w14:paraId="0E76EA8E">
            <w:pPr>
              <w:spacing w:line="291" w:lineRule="auto"/>
              <w:rPr>
                <w:rFonts w:ascii="Arial"/>
                <w:sz w:val="21"/>
              </w:rPr>
            </w:pPr>
          </w:p>
          <w:p w14:paraId="0DC365D7">
            <w:pPr>
              <w:spacing w:line="291" w:lineRule="auto"/>
              <w:rPr>
                <w:rFonts w:ascii="Arial"/>
                <w:sz w:val="21"/>
              </w:rPr>
            </w:pPr>
          </w:p>
          <w:p w14:paraId="375AACAA">
            <w:pPr>
              <w:spacing w:line="292" w:lineRule="auto"/>
              <w:rPr>
                <w:rFonts w:ascii="Arial"/>
                <w:sz w:val="21"/>
              </w:rPr>
            </w:pPr>
          </w:p>
          <w:p w14:paraId="56777336">
            <w:pPr>
              <w:pStyle w:val="8"/>
              <w:spacing w:before="58" w:line="220" w:lineRule="auto"/>
              <w:ind w:left="112"/>
            </w:pPr>
            <w:r>
              <w:rPr>
                <w:spacing w:val="-2"/>
              </w:rPr>
              <w:t>行政处罚</w:t>
            </w:r>
          </w:p>
        </w:tc>
        <w:tc>
          <w:tcPr>
            <w:tcW w:w="8508" w:type="dxa"/>
            <w:vAlign w:val="top"/>
          </w:tcPr>
          <w:p w14:paraId="692D3469">
            <w:pPr>
              <w:spacing w:line="347" w:lineRule="auto"/>
              <w:rPr>
                <w:rFonts w:ascii="Arial"/>
                <w:sz w:val="21"/>
              </w:rPr>
            </w:pPr>
          </w:p>
          <w:p w14:paraId="1E9FE264">
            <w:pPr>
              <w:spacing w:line="348" w:lineRule="auto"/>
              <w:rPr>
                <w:rFonts w:ascii="Arial"/>
                <w:sz w:val="21"/>
              </w:rPr>
            </w:pPr>
          </w:p>
          <w:p w14:paraId="0B35DB64">
            <w:pPr>
              <w:pStyle w:val="8"/>
              <w:spacing w:before="58" w:line="219" w:lineRule="auto"/>
              <w:ind w:left="476"/>
            </w:pPr>
            <w:r>
              <w:rPr>
                <w:b/>
                <w:bCs/>
                <w:spacing w:val="-3"/>
              </w:rPr>
              <w:t>《港口危险货物安全管理规定》（交通运输部令</w:t>
            </w:r>
            <w:r>
              <w:rPr>
                <w:spacing w:val="-37"/>
              </w:rPr>
              <w:t xml:space="preserve"> </w:t>
            </w:r>
            <w:r>
              <w:rPr>
                <w:b/>
                <w:bCs/>
                <w:spacing w:val="-3"/>
              </w:rPr>
              <w:t>2023</w:t>
            </w:r>
            <w:r>
              <w:rPr>
                <w:spacing w:val="-38"/>
              </w:rPr>
              <w:t xml:space="preserve"> </w:t>
            </w:r>
            <w:r>
              <w:rPr>
                <w:b/>
                <w:bCs/>
                <w:spacing w:val="-3"/>
              </w:rPr>
              <w:t>年第</w:t>
            </w:r>
            <w:r>
              <w:rPr>
                <w:spacing w:val="-34"/>
              </w:rPr>
              <w:t xml:space="preserve"> </w:t>
            </w:r>
            <w:r>
              <w:rPr>
                <w:b/>
                <w:bCs/>
                <w:spacing w:val="-3"/>
              </w:rPr>
              <w:t>8</w:t>
            </w:r>
            <w:r>
              <w:rPr>
                <w:spacing w:val="-35"/>
              </w:rPr>
              <w:t xml:space="preserve"> </w:t>
            </w:r>
            <w:r>
              <w:rPr>
                <w:b/>
                <w:bCs/>
                <w:spacing w:val="-4"/>
              </w:rPr>
              <w:t>号）</w:t>
            </w:r>
          </w:p>
          <w:p w14:paraId="5CFCC2CC">
            <w:pPr>
              <w:pStyle w:val="8"/>
              <w:spacing w:before="25" w:line="233" w:lineRule="auto"/>
              <w:ind w:left="111" w:right="104" w:firstLine="360"/>
            </w:pPr>
            <w:r>
              <w:t>第四十五条  在港口内从事危险货物添加抑制剂或者稳定剂作业的单位，作业前应当将有关情况告知</w:t>
            </w:r>
            <w:r>
              <w:rPr>
                <w:spacing w:val="6"/>
              </w:rPr>
              <w:t xml:space="preserve"> </w:t>
            </w:r>
            <w:r>
              <w:rPr>
                <w:spacing w:val="-2"/>
              </w:rPr>
              <w:t>相关危险货物港口经营人和作业船舶。</w:t>
            </w:r>
          </w:p>
          <w:p w14:paraId="27514F5D">
            <w:pPr>
              <w:pStyle w:val="8"/>
              <w:spacing w:before="25" w:line="233" w:lineRule="auto"/>
              <w:ind w:left="115" w:right="44" w:firstLine="355"/>
            </w:pPr>
            <w:r>
              <w:t>第八十四条第二款  在港口从事危险货物添加抑制剂或者稳定剂作业前，未将有关情况告知相关危险</w:t>
            </w:r>
            <w:r>
              <w:rPr>
                <w:spacing w:val="6"/>
              </w:rPr>
              <w:t xml:space="preserve"> </w:t>
            </w:r>
            <w:r>
              <w:rPr>
                <w:spacing w:val="-2"/>
              </w:rPr>
              <w:t>货物港口经营人和作业船舶的，由所在地港口行政管</w:t>
            </w:r>
            <w:r>
              <w:rPr>
                <w:spacing w:val="-3"/>
              </w:rPr>
              <w:t>理部门责令改正，并对相关单位处三万元以下的罚款。</w:t>
            </w:r>
          </w:p>
        </w:tc>
        <w:tc>
          <w:tcPr>
            <w:tcW w:w="1010" w:type="dxa"/>
            <w:vAlign w:val="top"/>
          </w:tcPr>
          <w:p w14:paraId="5FC79BCE">
            <w:pPr>
              <w:spacing w:line="263" w:lineRule="auto"/>
              <w:rPr>
                <w:rFonts w:ascii="Arial"/>
                <w:sz w:val="21"/>
              </w:rPr>
            </w:pPr>
          </w:p>
          <w:p w14:paraId="1FC48454">
            <w:pPr>
              <w:spacing w:line="263" w:lineRule="auto"/>
              <w:rPr>
                <w:rFonts w:ascii="Arial"/>
                <w:sz w:val="21"/>
              </w:rPr>
            </w:pPr>
          </w:p>
          <w:p w14:paraId="2215DD9A">
            <w:pPr>
              <w:spacing w:line="263" w:lineRule="auto"/>
              <w:rPr>
                <w:rFonts w:ascii="Arial"/>
                <w:sz w:val="21"/>
              </w:rPr>
            </w:pPr>
          </w:p>
          <w:p w14:paraId="113B9B2A">
            <w:pPr>
              <w:spacing w:line="263" w:lineRule="auto"/>
              <w:rPr>
                <w:rFonts w:ascii="Arial"/>
                <w:sz w:val="21"/>
              </w:rPr>
            </w:pPr>
          </w:p>
          <w:p w14:paraId="70C917A3">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68774600">
            <w:pPr>
              <w:pStyle w:val="8"/>
              <w:spacing w:before="59" w:line="234" w:lineRule="auto"/>
              <w:ind w:left="530" w:right="104" w:hanging="413"/>
              <w:rPr>
                <w:rFonts w:hint="eastAsia"/>
                <w:spacing w:val="-12"/>
                <w:lang w:eastAsia="zh-CN"/>
              </w:rPr>
            </w:pPr>
          </w:p>
          <w:p w14:paraId="7746ED8E">
            <w:pPr>
              <w:pStyle w:val="8"/>
              <w:spacing w:before="59" w:line="234" w:lineRule="auto"/>
              <w:ind w:left="530" w:right="104" w:hanging="413"/>
              <w:rPr>
                <w:rFonts w:hint="eastAsia"/>
                <w:spacing w:val="-12"/>
                <w:lang w:eastAsia="zh-CN"/>
              </w:rPr>
            </w:pPr>
          </w:p>
          <w:p w14:paraId="3388B26A">
            <w:pPr>
              <w:pStyle w:val="8"/>
              <w:spacing w:before="59" w:line="234" w:lineRule="auto"/>
              <w:ind w:left="530" w:right="104" w:hanging="413"/>
              <w:rPr>
                <w:rFonts w:hint="eastAsia"/>
                <w:spacing w:val="-12"/>
                <w:lang w:eastAsia="zh-CN"/>
              </w:rPr>
            </w:pPr>
          </w:p>
          <w:p w14:paraId="6D549F13">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207ADA30">
            <w:pPr>
              <w:spacing w:line="311" w:lineRule="auto"/>
              <w:rPr>
                <w:rFonts w:ascii="Arial"/>
                <w:sz w:val="21"/>
              </w:rPr>
            </w:pPr>
          </w:p>
          <w:p w14:paraId="0974D825">
            <w:pPr>
              <w:spacing w:line="311" w:lineRule="auto"/>
              <w:rPr>
                <w:rFonts w:ascii="Arial"/>
                <w:sz w:val="21"/>
              </w:rPr>
            </w:pPr>
          </w:p>
          <w:p w14:paraId="35B3E688">
            <w:pPr>
              <w:spacing w:line="312" w:lineRule="auto"/>
              <w:rPr>
                <w:rFonts w:ascii="Arial"/>
                <w:sz w:val="21"/>
              </w:rPr>
            </w:pPr>
          </w:p>
          <w:p w14:paraId="5B4DFF30">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6743D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9" w:hRule="atLeast"/>
        </w:trPr>
        <w:tc>
          <w:tcPr>
            <w:tcW w:w="622" w:type="dxa"/>
            <w:vAlign w:val="top"/>
          </w:tcPr>
          <w:p w14:paraId="0A53AF65">
            <w:pPr>
              <w:spacing w:line="243" w:lineRule="auto"/>
              <w:rPr>
                <w:rFonts w:ascii="Arial"/>
                <w:sz w:val="21"/>
              </w:rPr>
            </w:pPr>
          </w:p>
          <w:p w14:paraId="4E8D500B">
            <w:pPr>
              <w:spacing w:line="243" w:lineRule="auto"/>
              <w:rPr>
                <w:rFonts w:ascii="Arial"/>
                <w:sz w:val="21"/>
              </w:rPr>
            </w:pPr>
          </w:p>
          <w:p w14:paraId="0AB2D666">
            <w:pPr>
              <w:spacing w:line="243" w:lineRule="auto"/>
              <w:rPr>
                <w:rFonts w:ascii="Arial"/>
                <w:sz w:val="21"/>
              </w:rPr>
            </w:pPr>
          </w:p>
          <w:p w14:paraId="7A1FFC5A">
            <w:pPr>
              <w:spacing w:line="243" w:lineRule="auto"/>
              <w:rPr>
                <w:rFonts w:ascii="Arial"/>
                <w:sz w:val="21"/>
              </w:rPr>
            </w:pPr>
          </w:p>
          <w:p w14:paraId="7A80BD5F">
            <w:pPr>
              <w:spacing w:line="244" w:lineRule="auto"/>
              <w:rPr>
                <w:rFonts w:ascii="Arial"/>
                <w:sz w:val="21"/>
              </w:rPr>
            </w:pPr>
          </w:p>
          <w:p w14:paraId="205EDF6A">
            <w:pPr>
              <w:spacing w:line="244" w:lineRule="auto"/>
              <w:rPr>
                <w:rFonts w:ascii="Arial"/>
                <w:sz w:val="21"/>
              </w:rPr>
            </w:pPr>
          </w:p>
          <w:p w14:paraId="73FAE93F">
            <w:pPr>
              <w:spacing w:line="244" w:lineRule="auto"/>
              <w:rPr>
                <w:rFonts w:ascii="Arial"/>
                <w:sz w:val="21"/>
              </w:rPr>
            </w:pPr>
          </w:p>
          <w:p w14:paraId="10F379B0">
            <w:pPr>
              <w:spacing w:line="244" w:lineRule="auto"/>
              <w:rPr>
                <w:rFonts w:ascii="Arial"/>
                <w:sz w:val="21"/>
              </w:rPr>
            </w:pPr>
          </w:p>
          <w:p w14:paraId="5C2973F8">
            <w:pPr>
              <w:pStyle w:val="8"/>
              <w:spacing w:before="59" w:line="183" w:lineRule="auto"/>
              <w:ind w:left="225"/>
            </w:pPr>
            <w:r>
              <w:rPr>
                <w:spacing w:val="-3"/>
              </w:rPr>
              <w:t>43</w:t>
            </w:r>
          </w:p>
        </w:tc>
        <w:tc>
          <w:tcPr>
            <w:tcW w:w="1100" w:type="dxa"/>
            <w:vAlign w:val="top"/>
          </w:tcPr>
          <w:p w14:paraId="6B78DAD8">
            <w:pPr>
              <w:spacing w:line="243" w:lineRule="auto"/>
              <w:rPr>
                <w:rFonts w:ascii="Arial"/>
                <w:sz w:val="21"/>
              </w:rPr>
            </w:pPr>
          </w:p>
          <w:p w14:paraId="7A2D8975">
            <w:pPr>
              <w:spacing w:line="243" w:lineRule="auto"/>
              <w:rPr>
                <w:rFonts w:ascii="Arial"/>
                <w:sz w:val="21"/>
              </w:rPr>
            </w:pPr>
          </w:p>
          <w:p w14:paraId="67467CC5">
            <w:pPr>
              <w:spacing w:line="243" w:lineRule="auto"/>
              <w:rPr>
                <w:rFonts w:ascii="Arial"/>
                <w:sz w:val="21"/>
              </w:rPr>
            </w:pPr>
          </w:p>
          <w:p w14:paraId="5CC9CFB1">
            <w:pPr>
              <w:spacing w:line="244" w:lineRule="auto"/>
              <w:rPr>
                <w:rFonts w:ascii="Arial"/>
                <w:sz w:val="21"/>
              </w:rPr>
            </w:pPr>
          </w:p>
          <w:p w14:paraId="74710F62">
            <w:pPr>
              <w:pStyle w:val="8"/>
              <w:spacing w:before="58" w:line="243" w:lineRule="auto"/>
              <w:ind w:left="59" w:right="55"/>
              <w:jc w:val="both"/>
            </w:pPr>
            <w:r>
              <w:rPr>
                <w:spacing w:val="16"/>
              </w:rPr>
              <w:t>对危险货物</w:t>
            </w:r>
            <w:r>
              <w:t xml:space="preserve"> </w:t>
            </w:r>
            <w:r>
              <w:rPr>
                <w:spacing w:val="16"/>
              </w:rPr>
              <w:t>港口经营人</w:t>
            </w:r>
            <w:r>
              <w:t xml:space="preserve"> </w:t>
            </w:r>
            <w:r>
              <w:rPr>
                <w:spacing w:val="16"/>
              </w:rPr>
              <w:t>拒绝、阻碍</w:t>
            </w:r>
            <w:r>
              <w:t xml:space="preserve"> </w:t>
            </w:r>
            <w:r>
              <w:rPr>
                <w:spacing w:val="16"/>
              </w:rPr>
              <w:t>港口行政管</w:t>
            </w:r>
            <w:r>
              <w:t xml:space="preserve"> </w:t>
            </w:r>
            <w:r>
              <w:rPr>
                <w:spacing w:val="16"/>
              </w:rPr>
              <w:t>理部门依法</w:t>
            </w:r>
            <w:r>
              <w:t xml:space="preserve"> </w:t>
            </w:r>
            <w:r>
              <w:rPr>
                <w:spacing w:val="16"/>
              </w:rPr>
              <w:t>实施安全监</w:t>
            </w:r>
            <w:r>
              <w:t xml:space="preserve"> </w:t>
            </w:r>
            <w:r>
              <w:rPr>
                <w:spacing w:val="16"/>
              </w:rPr>
              <w:t>督检查行为</w:t>
            </w:r>
            <w:r>
              <w:t xml:space="preserve"> </w:t>
            </w:r>
            <w:r>
              <w:rPr>
                <w:spacing w:val="-2"/>
              </w:rPr>
              <w:t>的行政处罚</w:t>
            </w:r>
          </w:p>
        </w:tc>
        <w:tc>
          <w:tcPr>
            <w:tcW w:w="1100" w:type="dxa"/>
            <w:vAlign w:val="top"/>
          </w:tcPr>
          <w:p w14:paraId="51650F9B">
            <w:pPr>
              <w:rPr>
                <w:rFonts w:ascii="Arial"/>
                <w:sz w:val="21"/>
              </w:rPr>
            </w:pPr>
          </w:p>
          <w:p w14:paraId="14CDF51B">
            <w:pPr>
              <w:rPr>
                <w:rFonts w:ascii="Arial"/>
                <w:sz w:val="21"/>
              </w:rPr>
            </w:pPr>
          </w:p>
          <w:p w14:paraId="4C87212E">
            <w:pPr>
              <w:rPr>
                <w:rFonts w:ascii="Arial"/>
                <w:sz w:val="21"/>
              </w:rPr>
            </w:pPr>
          </w:p>
          <w:p w14:paraId="0BBB2F5E">
            <w:pPr>
              <w:rPr>
                <w:rFonts w:ascii="Arial"/>
                <w:sz w:val="21"/>
              </w:rPr>
            </w:pPr>
          </w:p>
          <w:p w14:paraId="64B01FC1">
            <w:pPr>
              <w:rPr>
                <w:rFonts w:ascii="Arial"/>
                <w:sz w:val="21"/>
              </w:rPr>
            </w:pPr>
          </w:p>
          <w:p w14:paraId="1C0627F2">
            <w:pPr>
              <w:rPr>
                <w:rFonts w:ascii="Arial"/>
                <w:sz w:val="21"/>
              </w:rPr>
            </w:pPr>
          </w:p>
          <w:p w14:paraId="2A1C0423">
            <w:pPr>
              <w:rPr>
                <w:rFonts w:ascii="Arial"/>
                <w:sz w:val="21"/>
              </w:rPr>
            </w:pPr>
          </w:p>
          <w:p w14:paraId="7353C99A">
            <w:pPr>
              <w:rPr>
                <w:rFonts w:ascii="Arial"/>
                <w:sz w:val="21"/>
              </w:rPr>
            </w:pPr>
          </w:p>
          <w:p w14:paraId="039EB56F">
            <w:pPr>
              <w:pStyle w:val="8"/>
              <w:spacing w:before="59" w:line="220" w:lineRule="auto"/>
              <w:ind w:left="112"/>
            </w:pPr>
            <w:r>
              <w:rPr>
                <w:spacing w:val="-2"/>
              </w:rPr>
              <w:t>行政处罚</w:t>
            </w:r>
          </w:p>
        </w:tc>
        <w:tc>
          <w:tcPr>
            <w:tcW w:w="8508" w:type="dxa"/>
            <w:vAlign w:val="top"/>
          </w:tcPr>
          <w:p w14:paraId="3B728F59">
            <w:pPr>
              <w:pStyle w:val="8"/>
              <w:spacing w:before="155" w:line="219" w:lineRule="auto"/>
              <w:ind w:left="484"/>
            </w:pPr>
            <w:r>
              <w:rPr>
                <w:b/>
                <w:bCs/>
                <w:spacing w:val="-4"/>
              </w:rPr>
              <w:t>1.《中华人民共和国安全生产法》</w:t>
            </w:r>
          </w:p>
          <w:p w14:paraId="08727B9A">
            <w:pPr>
              <w:pStyle w:val="8"/>
              <w:spacing w:before="2" w:line="220" w:lineRule="auto"/>
              <w:ind w:left="111" w:right="104" w:firstLine="359"/>
            </w:pPr>
            <w:r>
              <w:t>第六十六条  生产经营单位对负有安全生产监督管理职责的部门的监督检查人员（以下统称安全生产</w:t>
            </w:r>
            <w:r>
              <w:rPr>
                <w:spacing w:val="6"/>
              </w:rPr>
              <w:t xml:space="preserve"> </w:t>
            </w:r>
            <w:r>
              <w:rPr>
                <w:spacing w:val="-1"/>
              </w:rPr>
              <w:t>监督检查人员）依法履行监督检查职责，应当予以配合，不得拒绝、阻挠。</w:t>
            </w:r>
          </w:p>
          <w:p w14:paraId="4FA5553D">
            <w:pPr>
              <w:pStyle w:val="8"/>
              <w:spacing w:before="3" w:line="220" w:lineRule="auto"/>
              <w:ind w:left="109" w:right="104" w:firstLine="361"/>
            </w:pPr>
            <w:r>
              <w:t>第六十八条  安全生产监督检查人员应当将检查的时间、地点、内容、发现的问题及其处理情况，作</w:t>
            </w:r>
            <w:r>
              <w:rPr>
                <w:spacing w:val="6"/>
              </w:rPr>
              <w:t xml:space="preserve"> </w:t>
            </w:r>
            <w:r>
              <w:t>出书面记录，并由检查人员和被检查单位的负责人签字；被检查单位的负责人拒绝签字的，检查人员应当</w:t>
            </w:r>
            <w:r>
              <w:rPr>
                <w:spacing w:val="7"/>
              </w:rPr>
              <w:t xml:space="preserve"> </w:t>
            </w:r>
            <w:r>
              <w:rPr>
                <w:spacing w:val="-1"/>
              </w:rPr>
              <w:t>将情况记录在案，并向负有安全生产监督管理职责的部</w:t>
            </w:r>
            <w:r>
              <w:rPr>
                <w:spacing w:val="-2"/>
              </w:rPr>
              <w:t>门报告。</w:t>
            </w:r>
          </w:p>
          <w:p w14:paraId="67C069A3">
            <w:pPr>
              <w:pStyle w:val="8"/>
              <w:spacing w:before="2" w:line="221" w:lineRule="auto"/>
              <w:ind w:left="111" w:right="104" w:firstLine="360"/>
            </w:pPr>
            <w:r>
              <w:t>第一百零八条  违反本法规定，生产经营单位拒绝、阻碍负有安全生产监督管理职责的部门依法实施</w:t>
            </w:r>
            <w:r>
              <w:rPr>
                <w:spacing w:val="6"/>
              </w:rPr>
              <w:t xml:space="preserve"> </w:t>
            </w:r>
            <w:r>
              <w:t>监督检查的，责令改正；拒不改正的，处二万元以上二十万元以下的罚款；对其直接负责的主管人员和其</w:t>
            </w:r>
            <w:r>
              <w:rPr>
                <w:spacing w:val="6"/>
              </w:rPr>
              <w:t xml:space="preserve"> </w:t>
            </w:r>
            <w:r>
              <w:rPr>
                <w:spacing w:val="-1"/>
              </w:rPr>
              <w:t>他直接责任人员处一万元以上二万元以下的罚款；构成犯罪的，依照刑法有关规定追究刑事责任。</w:t>
            </w:r>
          </w:p>
          <w:p w14:paraId="1AB1B0CD">
            <w:pPr>
              <w:pStyle w:val="8"/>
              <w:spacing w:before="2"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44C5BEB3">
            <w:pPr>
              <w:pStyle w:val="8"/>
              <w:spacing w:before="3" w:line="221" w:lineRule="auto"/>
              <w:ind w:left="110" w:right="104" w:firstLine="360"/>
              <w:jc w:val="both"/>
            </w:pPr>
            <w:r>
              <w:t>第六十四条第一款  有关单位和个人对依法进行的监督检查应当予以配合，不得拒绝、阻碍。港口行</w:t>
            </w:r>
            <w:r>
              <w:rPr>
                <w:spacing w:val="6"/>
              </w:rPr>
              <w:t xml:space="preserve"> </w:t>
            </w:r>
            <w:r>
              <w:t>政管理部门依法对存在重大事故隐患作出停产停业的决定，危险货物港口经营人应当依法执行，及时消除</w:t>
            </w:r>
            <w:r>
              <w:rPr>
                <w:spacing w:val="7"/>
              </w:rPr>
              <w:t xml:space="preserve"> </w:t>
            </w:r>
            <w:r>
              <w:t>隐患。危险货物港口经营人拒不执行，有发生生产安全事故的现实危险的，在保证安全的前提下，经本部</w:t>
            </w:r>
            <w:r>
              <w:rPr>
                <w:spacing w:val="7"/>
              </w:rPr>
              <w:t xml:space="preserve"> </w:t>
            </w:r>
            <w:r>
              <w:t>门主要负责人批准，港口行政管理部门可以依法采取通知有关单位停止供电等措施，强制危险货物港口经</w:t>
            </w:r>
            <w:r>
              <w:rPr>
                <w:spacing w:val="7"/>
              </w:rPr>
              <w:t xml:space="preserve"> </w:t>
            </w:r>
            <w:r>
              <w:rPr>
                <w:spacing w:val="-4"/>
              </w:rPr>
              <w:t>营人履行决定。</w:t>
            </w:r>
          </w:p>
          <w:p w14:paraId="77AD1ABD">
            <w:pPr>
              <w:pStyle w:val="8"/>
              <w:spacing w:before="2" w:line="221" w:lineRule="auto"/>
              <w:ind w:left="110" w:right="104" w:firstLine="360"/>
              <w:jc w:val="both"/>
            </w:pPr>
            <w:r>
              <w:t>第八十六条  危险货物港口经营人拒绝、阻碍港口行政管理部门依法实施安全监督检查的，由港口行</w:t>
            </w:r>
            <w:r>
              <w:rPr>
                <w:spacing w:val="6"/>
              </w:rPr>
              <w:t xml:space="preserve"> </w:t>
            </w:r>
            <w:r>
              <w:t>政管理部门责令改正；逾期未改正的，处二万元以上二十万元以下的罚款；对其直接负责的主管人员和其</w:t>
            </w:r>
            <w:r>
              <w:rPr>
                <w:spacing w:val="7"/>
              </w:rPr>
              <w:t xml:space="preserve"> </w:t>
            </w:r>
            <w:r>
              <w:rPr>
                <w:spacing w:val="-2"/>
              </w:rPr>
              <w:t>他直接责任人员处一万元以上二万元以下的罚款。</w:t>
            </w:r>
          </w:p>
        </w:tc>
        <w:tc>
          <w:tcPr>
            <w:tcW w:w="1010" w:type="dxa"/>
            <w:vAlign w:val="top"/>
          </w:tcPr>
          <w:p w14:paraId="4FECAAA8">
            <w:pPr>
              <w:spacing w:line="258" w:lineRule="auto"/>
              <w:rPr>
                <w:rFonts w:ascii="Arial"/>
                <w:sz w:val="21"/>
              </w:rPr>
            </w:pPr>
          </w:p>
          <w:p w14:paraId="36EB7795">
            <w:pPr>
              <w:spacing w:line="258" w:lineRule="auto"/>
              <w:rPr>
                <w:rFonts w:ascii="Arial"/>
                <w:sz w:val="21"/>
              </w:rPr>
            </w:pPr>
          </w:p>
          <w:p w14:paraId="74169E45">
            <w:pPr>
              <w:spacing w:line="258" w:lineRule="auto"/>
              <w:rPr>
                <w:rFonts w:ascii="Arial"/>
                <w:sz w:val="21"/>
              </w:rPr>
            </w:pPr>
          </w:p>
          <w:p w14:paraId="136E1940">
            <w:pPr>
              <w:spacing w:line="258" w:lineRule="auto"/>
              <w:rPr>
                <w:rFonts w:ascii="Arial"/>
                <w:sz w:val="21"/>
              </w:rPr>
            </w:pPr>
          </w:p>
          <w:p w14:paraId="02B007A2">
            <w:pPr>
              <w:spacing w:line="258" w:lineRule="auto"/>
              <w:rPr>
                <w:rFonts w:ascii="Arial"/>
                <w:sz w:val="21"/>
              </w:rPr>
            </w:pPr>
          </w:p>
          <w:p w14:paraId="1AC9B588">
            <w:pPr>
              <w:spacing w:line="259" w:lineRule="auto"/>
              <w:rPr>
                <w:rFonts w:ascii="Arial"/>
                <w:sz w:val="21"/>
              </w:rPr>
            </w:pPr>
          </w:p>
          <w:p w14:paraId="244904E2">
            <w:pPr>
              <w:spacing w:line="259" w:lineRule="auto"/>
              <w:rPr>
                <w:rFonts w:ascii="Arial"/>
                <w:sz w:val="21"/>
              </w:rPr>
            </w:pPr>
          </w:p>
          <w:p w14:paraId="2621AC16">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2AFF2E7B">
            <w:pPr>
              <w:pStyle w:val="8"/>
              <w:spacing w:before="59" w:line="234" w:lineRule="auto"/>
              <w:ind w:left="530" w:right="104" w:hanging="413"/>
              <w:rPr>
                <w:rFonts w:hint="eastAsia"/>
                <w:spacing w:val="-12"/>
                <w:lang w:eastAsia="zh-CN"/>
              </w:rPr>
            </w:pPr>
          </w:p>
          <w:p w14:paraId="5EEB47D2">
            <w:pPr>
              <w:pStyle w:val="8"/>
              <w:spacing w:before="59" w:line="234" w:lineRule="auto"/>
              <w:ind w:left="530" w:right="104" w:hanging="413"/>
              <w:rPr>
                <w:rFonts w:hint="eastAsia"/>
                <w:spacing w:val="-12"/>
                <w:lang w:eastAsia="zh-CN"/>
              </w:rPr>
            </w:pPr>
          </w:p>
          <w:p w14:paraId="0095C0BB">
            <w:pPr>
              <w:pStyle w:val="8"/>
              <w:spacing w:before="59" w:line="234" w:lineRule="auto"/>
              <w:ind w:left="530" w:right="104" w:hanging="413"/>
              <w:rPr>
                <w:rFonts w:hint="eastAsia"/>
                <w:spacing w:val="-12"/>
                <w:lang w:eastAsia="zh-CN"/>
              </w:rPr>
            </w:pPr>
          </w:p>
          <w:p w14:paraId="2DE81B91">
            <w:pPr>
              <w:pStyle w:val="8"/>
              <w:spacing w:before="59" w:line="234" w:lineRule="auto"/>
              <w:ind w:left="530" w:right="104" w:hanging="413"/>
              <w:rPr>
                <w:rFonts w:hint="eastAsia"/>
                <w:spacing w:val="-12"/>
                <w:lang w:eastAsia="zh-CN"/>
              </w:rPr>
            </w:pPr>
          </w:p>
          <w:p w14:paraId="43BB65B4">
            <w:pPr>
              <w:pStyle w:val="8"/>
              <w:spacing w:before="59" w:line="234" w:lineRule="auto"/>
              <w:ind w:left="530" w:right="104" w:hanging="413"/>
              <w:rPr>
                <w:rFonts w:hint="eastAsia"/>
                <w:spacing w:val="-12"/>
                <w:lang w:eastAsia="zh-CN"/>
              </w:rPr>
            </w:pPr>
          </w:p>
          <w:p w14:paraId="02A3F79E">
            <w:pPr>
              <w:pStyle w:val="8"/>
              <w:spacing w:before="59" w:line="234" w:lineRule="auto"/>
              <w:ind w:left="530" w:right="104" w:hanging="413"/>
              <w:rPr>
                <w:rFonts w:hint="eastAsia"/>
                <w:spacing w:val="-12"/>
                <w:lang w:eastAsia="zh-CN"/>
              </w:rPr>
            </w:pPr>
          </w:p>
          <w:p w14:paraId="263355A6">
            <w:pPr>
              <w:pStyle w:val="8"/>
              <w:spacing w:before="59" w:line="234" w:lineRule="auto"/>
              <w:ind w:left="530" w:right="104" w:hanging="413"/>
              <w:rPr>
                <w:rFonts w:hint="eastAsia"/>
                <w:spacing w:val="-12"/>
                <w:lang w:eastAsia="zh-CN"/>
              </w:rPr>
            </w:pPr>
          </w:p>
          <w:p w14:paraId="449EA88D">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1CECD0FB">
            <w:pPr>
              <w:spacing w:line="241" w:lineRule="auto"/>
              <w:rPr>
                <w:rFonts w:ascii="Arial"/>
                <w:sz w:val="21"/>
              </w:rPr>
            </w:pPr>
          </w:p>
          <w:p w14:paraId="2D1C34BE">
            <w:pPr>
              <w:spacing w:line="241" w:lineRule="auto"/>
              <w:rPr>
                <w:rFonts w:ascii="Arial"/>
                <w:sz w:val="21"/>
              </w:rPr>
            </w:pPr>
          </w:p>
          <w:p w14:paraId="18E02C8F">
            <w:pPr>
              <w:spacing w:line="241" w:lineRule="auto"/>
              <w:rPr>
                <w:rFonts w:ascii="Arial"/>
                <w:sz w:val="21"/>
              </w:rPr>
            </w:pPr>
          </w:p>
          <w:p w14:paraId="309EE0C9">
            <w:pPr>
              <w:spacing w:line="241" w:lineRule="auto"/>
              <w:rPr>
                <w:rFonts w:ascii="Arial"/>
                <w:sz w:val="21"/>
              </w:rPr>
            </w:pPr>
          </w:p>
          <w:p w14:paraId="7CD9BD84">
            <w:pPr>
              <w:spacing w:line="241" w:lineRule="auto"/>
              <w:rPr>
                <w:rFonts w:ascii="Arial"/>
                <w:sz w:val="21"/>
              </w:rPr>
            </w:pPr>
          </w:p>
          <w:p w14:paraId="25327771">
            <w:pPr>
              <w:spacing w:line="242" w:lineRule="auto"/>
              <w:rPr>
                <w:rFonts w:ascii="Arial"/>
                <w:sz w:val="21"/>
              </w:rPr>
            </w:pPr>
          </w:p>
          <w:p w14:paraId="1FBCE6F5">
            <w:pPr>
              <w:spacing w:line="242" w:lineRule="auto"/>
              <w:rPr>
                <w:rFonts w:ascii="Arial"/>
                <w:sz w:val="21"/>
              </w:rPr>
            </w:pPr>
          </w:p>
          <w:p w14:paraId="7E680ADC">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214AABD0">
      <w:pPr>
        <w:sectPr>
          <w:footerReference r:id="rId149" w:type="default"/>
          <w:pgSz w:w="16839" w:h="11906"/>
          <w:pgMar w:top="1012" w:right="1034" w:bottom="967" w:left="1043" w:header="0" w:footer="768" w:gutter="0"/>
          <w:cols w:space="720" w:num="1"/>
        </w:sectPr>
      </w:pPr>
    </w:p>
    <w:p w14:paraId="34B4A7FD">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5F073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68248850">
            <w:pPr>
              <w:pStyle w:val="8"/>
              <w:spacing w:before="259" w:line="221" w:lineRule="auto"/>
              <w:ind w:left="134"/>
            </w:pPr>
            <w:r>
              <w:rPr>
                <w:b/>
                <w:bCs/>
                <w:spacing w:val="-4"/>
              </w:rPr>
              <w:t>序号</w:t>
            </w:r>
          </w:p>
        </w:tc>
        <w:tc>
          <w:tcPr>
            <w:tcW w:w="1100" w:type="dxa"/>
            <w:vMerge w:val="restart"/>
            <w:tcBorders>
              <w:bottom w:val="nil"/>
            </w:tcBorders>
            <w:vAlign w:val="top"/>
          </w:tcPr>
          <w:p w14:paraId="7DD97A88">
            <w:pPr>
              <w:pStyle w:val="8"/>
              <w:spacing w:before="260" w:line="220" w:lineRule="auto"/>
              <w:ind w:left="189"/>
            </w:pPr>
            <w:r>
              <w:rPr>
                <w:b/>
                <w:bCs/>
                <w:spacing w:val="-4"/>
              </w:rPr>
              <w:t>事项名称</w:t>
            </w:r>
          </w:p>
        </w:tc>
        <w:tc>
          <w:tcPr>
            <w:tcW w:w="1100" w:type="dxa"/>
            <w:vMerge w:val="restart"/>
            <w:tcBorders>
              <w:bottom w:val="nil"/>
            </w:tcBorders>
            <w:vAlign w:val="top"/>
          </w:tcPr>
          <w:p w14:paraId="5947FA64">
            <w:pPr>
              <w:pStyle w:val="8"/>
              <w:spacing w:before="260" w:line="219" w:lineRule="auto"/>
              <w:ind w:left="191"/>
            </w:pPr>
            <w:r>
              <w:rPr>
                <w:b/>
                <w:bCs/>
                <w:spacing w:val="-4"/>
              </w:rPr>
              <w:t>职权类型</w:t>
            </w:r>
          </w:p>
        </w:tc>
        <w:tc>
          <w:tcPr>
            <w:tcW w:w="8508" w:type="dxa"/>
            <w:vMerge w:val="restart"/>
            <w:tcBorders>
              <w:bottom w:val="nil"/>
            </w:tcBorders>
            <w:vAlign w:val="top"/>
          </w:tcPr>
          <w:p w14:paraId="6B5A35BF">
            <w:pPr>
              <w:pStyle w:val="8"/>
              <w:spacing w:before="259" w:line="219" w:lineRule="auto"/>
              <w:ind w:left="3900"/>
            </w:pPr>
            <w:r>
              <w:rPr>
                <w:b/>
                <w:bCs/>
                <w:spacing w:val="-5"/>
              </w:rPr>
              <w:t>实施依据</w:t>
            </w:r>
          </w:p>
        </w:tc>
        <w:tc>
          <w:tcPr>
            <w:tcW w:w="3425" w:type="dxa"/>
            <w:gridSpan w:val="3"/>
            <w:vAlign w:val="top"/>
          </w:tcPr>
          <w:p w14:paraId="4E6B9E05">
            <w:pPr>
              <w:pStyle w:val="8"/>
              <w:spacing w:before="85" w:line="220" w:lineRule="auto"/>
              <w:ind w:left="1358"/>
            </w:pPr>
            <w:r>
              <w:rPr>
                <w:b/>
                <w:bCs/>
                <w:spacing w:val="-5"/>
              </w:rPr>
              <w:t>实施主体</w:t>
            </w:r>
          </w:p>
        </w:tc>
      </w:tr>
      <w:tr w14:paraId="7A055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676139E9">
            <w:pPr>
              <w:rPr>
                <w:rFonts w:ascii="Arial"/>
                <w:sz w:val="21"/>
              </w:rPr>
            </w:pPr>
          </w:p>
        </w:tc>
        <w:tc>
          <w:tcPr>
            <w:tcW w:w="1100" w:type="dxa"/>
            <w:vMerge w:val="continue"/>
            <w:tcBorders>
              <w:top w:val="nil"/>
            </w:tcBorders>
            <w:vAlign w:val="top"/>
          </w:tcPr>
          <w:p w14:paraId="292C6A87">
            <w:pPr>
              <w:rPr>
                <w:rFonts w:ascii="Arial"/>
                <w:sz w:val="21"/>
              </w:rPr>
            </w:pPr>
          </w:p>
        </w:tc>
        <w:tc>
          <w:tcPr>
            <w:tcW w:w="1100" w:type="dxa"/>
            <w:vMerge w:val="continue"/>
            <w:tcBorders>
              <w:top w:val="nil"/>
            </w:tcBorders>
            <w:vAlign w:val="top"/>
          </w:tcPr>
          <w:p w14:paraId="080DD9F2">
            <w:pPr>
              <w:rPr>
                <w:rFonts w:ascii="Arial"/>
                <w:sz w:val="21"/>
              </w:rPr>
            </w:pPr>
          </w:p>
        </w:tc>
        <w:tc>
          <w:tcPr>
            <w:tcW w:w="8508" w:type="dxa"/>
            <w:vMerge w:val="continue"/>
            <w:tcBorders>
              <w:top w:val="nil"/>
            </w:tcBorders>
            <w:vAlign w:val="top"/>
          </w:tcPr>
          <w:p w14:paraId="482ADCF9">
            <w:pPr>
              <w:rPr>
                <w:rFonts w:ascii="Arial"/>
                <w:sz w:val="21"/>
              </w:rPr>
            </w:pPr>
          </w:p>
        </w:tc>
        <w:tc>
          <w:tcPr>
            <w:tcW w:w="1010" w:type="dxa"/>
            <w:vAlign w:val="top"/>
          </w:tcPr>
          <w:p w14:paraId="0C101B52">
            <w:pPr>
              <w:pStyle w:val="8"/>
              <w:spacing w:before="81" w:line="219" w:lineRule="auto"/>
              <w:ind w:left="155"/>
            </w:pPr>
            <w:r>
              <w:rPr>
                <w:b/>
                <w:bCs/>
                <w:spacing w:val="-5"/>
              </w:rPr>
              <w:t>责任部门</w:t>
            </w:r>
          </w:p>
        </w:tc>
        <w:tc>
          <w:tcPr>
            <w:tcW w:w="1401" w:type="dxa"/>
            <w:vAlign w:val="top"/>
          </w:tcPr>
          <w:p w14:paraId="4C357729">
            <w:pPr>
              <w:pStyle w:val="8"/>
              <w:spacing w:before="81" w:line="219" w:lineRule="auto"/>
              <w:ind w:left="164"/>
            </w:pPr>
            <w:r>
              <w:rPr>
                <w:b/>
                <w:bCs/>
                <w:spacing w:val="-3"/>
              </w:rPr>
              <w:t>第一责任层级</w:t>
            </w:r>
          </w:p>
        </w:tc>
        <w:tc>
          <w:tcPr>
            <w:tcW w:w="1014" w:type="dxa"/>
            <w:vAlign w:val="top"/>
          </w:tcPr>
          <w:p w14:paraId="20B189CB">
            <w:pPr>
              <w:pStyle w:val="8"/>
              <w:spacing w:before="81" w:line="219" w:lineRule="auto"/>
              <w:ind w:left="150"/>
            </w:pPr>
            <w:r>
              <w:rPr>
                <w:b/>
                <w:bCs/>
                <w:spacing w:val="-4"/>
              </w:rPr>
              <w:t>承办机构</w:t>
            </w:r>
          </w:p>
        </w:tc>
      </w:tr>
      <w:tr w14:paraId="2D884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2" w:hRule="atLeast"/>
        </w:trPr>
        <w:tc>
          <w:tcPr>
            <w:tcW w:w="622" w:type="dxa"/>
            <w:vAlign w:val="top"/>
          </w:tcPr>
          <w:p w14:paraId="3DE67743">
            <w:pPr>
              <w:spacing w:line="283" w:lineRule="auto"/>
              <w:rPr>
                <w:rFonts w:ascii="Arial"/>
                <w:sz w:val="21"/>
              </w:rPr>
            </w:pPr>
          </w:p>
          <w:p w14:paraId="6EB0F62F">
            <w:pPr>
              <w:spacing w:line="283" w:lineRule="auto"/>
              <w:rPr>
                <w:rFonts w:ascii="Arial"/>
                <w:sz w:val="21"/>
              </w:rPr>
            </w:pPr>
          </w:p>
          <w:p w14:paraId="27CE792C">
            <w:pPr>
              <w:spacing w:line="284" w:lineRule="auto"/>
              <w:rPr>
                <w:rFonts w:ascii="Arial"/>
                <w:sz w:val="21"/>
              </w:rPr>
            </w:pPr>
          </w:p>
          <w:p w14:paraId="5F1627DC">
            <w:pPr>
              <w:spacing w:line="284" w:lineRule="auto"/>
              <w:rPr>
                <w:rFonts w:ascii="Arial"/>
                <w:sz w:val="21"/>
              </w:rPr>
            </w:pPr>
          </w:p>
          <w:p w14:paraId="7875D190">
            <w:pPr>
              <w:spacing w:line="284" w:lineRule="auto"/>
              <w:rPr>
                <w:rFonts w:ascii="Arial"/>
                <w:sz w:val="21"/>
              </w:rPr>
            </w:pPr>
          </w:p>
          <w:p w14:paraId="74BEF487">
            <w:pPr>
              <w:pStyle w:val="8"/>
              <w:spacing w:before="58" w:line="183" w:lineRule="auto"/>
              <w:ind w:left="225"/>
            </w:pPr>
            <w:r>
              <w:rPr>
                <w:spacing w:val="-3"/>
              </w:rPr>
              <w:t>44</w:t>
            </w:r>
          </w:p>
        </w:tc>
        <w:tc>
          <w:tcPr>
            <w:tcW w:w="1100" w:type="dxa"/>
            <w:vAlign w:val="top"/>
          </w:tcPr>
          <w:p w14:paraId="179FD3AE">
            <w:pPr>
              <w:spacing w:line="440" w:lineRule="auto"/>
              <w:rPr>
                <w:rFonts w:ascii="Arial"/>
                <w:sz w:val="21"/>
              </w:rPr>
            </w:pPr>
          </w:p>
          <w:p w14:paraId="6224E528">
            <w:pPr>
              <w:pStyle w:val="8"/>
              <w:spacing w:before="58" w:line="244" w:lineRule="auto"/>
              <w:ind w:left="58" w:right="55"/>
            </w:pPr>
            <w:r>
              <w:rPr>
                <w:spacing w:val="16"/>
              </w:rPr>
              <w:t>对港口经营</w:t>
            </w:r>
            <w:r>
              <w:t xml:space="preserve"> </w:t>
            </w:r>
            <w:r>
              <w:rPr>
                <w:spacing w:val="16"/>
              </w:rPr>
              <w:t>人重复使用</w:t>
            </w:r>
            <w:r>
              <w:t xml:space="preserve"> </w:t>
            </w:r>
            <w:r>
              <w:rPr>
                <w:spacing w:val="16"/>
              </w:rPr>
              <w:t>的危险化学</w:t>
            </w:r>
            <w:r>
              <w:t xml:space="preserve"> </w:t>
            </w:r>
            <w:r>
              <w:rPr>
                <w:spacing w:val="10"/>
              </w:rPr>
              <w:t>品包装物、</w:t>
            </w:r>
            <w:r>
              <w:rPr>
                <w:spacing w:val="3"/>
              </w:rPr>
              <w:t xml:space="preserve"> </w:t>
            </w:r>
            <w:r>
              <w:rPr>
                <w:spacing w:val="6"/>
              </w:rPr>
              <w:t>容器，</w:t>
            </w:r>
            <w:r>
              <w:rPr>
                <w:spacing w:val="-41"/>
              </w:rPr>
              <w:t xml:space="preserve"> </w:t>
            </w:r>
            <w:r>
              <w:rPr>
                <w:spacing w:val="6"/>
              </w:rPr>
              <w:t>在重</w:t>
            </w:r>
            <w:r>
              <w:t xml:space="preserve"> </w:t>
            </w:r>
            <w:r>
              <w:rPr>
                <w:spacing w:val="16"/>
              </w:rPr>
              <w:t>复使用前不</w:t>
            </w:r>
            <w:r>
              <w:t xml:space="preserve"> </w:t>
            </w:r>
            <w:r>
              <w:rPr>
                <w:spacing w:val="16"/>
              </w:rPr>
              <w:t>进行检查行</w:t>
            </w:r>
            <w:r>
              <w:t xml:space="preserve"> </w:t>
            </w:r>
            <w:r>
              <w:rPr>
                <w:spacing w:val="16"/>
              </w:rPr>
              <w:t>为的行政处</w:t>
            </w:r>
            <w:r>
              <w:t xml:space="preserve"> 罚</w:t>
            </w:r>
          </w:p>
        </w:tc>
        <w:tc>
          <w:tcPr>
            <w:tcW w:w="1100" w:type="dxa"/>
            <w:vAlign w:val="top"/>
          </w:tcPr>
          <w:p w14:paraId="388F4746">
            <w:pPr>
              <w:spacing w:line="277" w:lineRule="auto"/>
              <w:rPr>
                <w:rFonts w:ascii="Arial"/>
                <w:sz w:val="21"/>
              </w:rPr>
            </w:pPr>
          </w:p>
          <w:p w14:paraId="1F7716C0">
            <w:pPr>
              <w:spacing w:line="277" w:lineRule="auto"/>
              <w:rPr>
                <w:rFonts w:ascii="Arial"/>
                <w:sz w:val="21"/>
              </w:rPr>
            </w:pPr>
          </w:p>
          <w:p w14:paraId="16E9DFD0">
            <w:pPr>
              <w:spacing w:line="277" w:lineRule="auto"/>
              <w:rPr>
                <w:rFonts w:ascii="Arial"/>
                <w:sz w:val="21"/>
              </w:rPr>
            </w:pPr>
          </w:p>
          <w:p w14:paraId="5C89B960">
            <w:pPr>
              <w:spacing w:line="278" w:lineRule="auto"/>
              <w:rPr>
                <w:rFonts w:ascii="Arial"/>
                <w:sz w:val="21"/>
              </w:rPr>
            </w:pPr>
          </w:p>
          <w:p w14:paraId="1257C933">
            <w:pPr>
              <w:spacing w:line="278" w:lineRule="auto"/>
              <w:rPr>
                <w:rFonts w:ascii="Arial"/>
                <w:sz w:val="21"/>
              </w:rPr>
            </w:pPr>
          </w:p>
          <w:p w14:paraId="284131B8">
            <w:pPr>
              <w:pStyle w:val="8"/>
              <w:spacing w:before="59" w:line="220" w:lineRule="auto"/>
              <w:ind w:left="112"/>
            </w:pPr>
            <w:r>
              <w:rPr>
                <w:spacing w:val="-2"/>
              </w:rPr>
              <w:t>行政处罚</w:t>
            </w:r>
          </w:p>
        </w:tc>
        <w:tc>
          <w:tcPr>
            <w:tcW w:w="8508" w:type="dxa"/>
            <w:vAlign w:val="top"/>
          </w:tcPr>
          <w:p w14:paraId="3E9CEBB9">
            <w:pPr>
              <w:pStyle w:val="8"/>
              <w:spacing w:before="264" w:line="219" w:lineRule="auto"/>
              <w:ind w:left="476"/>
            </w:pPr>
            <w:r>
              <w:rPr>
                <w:b/>
                <w:bCs/>
                <w:spacing w:val="-3"/>
              </w:rPr>
              <w:t>《危险化学品安全管理条例》</w:t>
            </w:r>
          </w:p>
          <w:p w14:paraId="2A93500F">
            <w:pPr>
              <w:pStyle w:val="8"/>
              <w:spacing w:before="27" w:line="237" w:lineRule="auto"/>
              <w:ind w:left="111" w:right="104" w:firstLine="359"/>
              <w:jc w:val="both"/>
            </w:pPr>
            <w:r>
              <w:t>第十八条第三款  对重复使用的危险化学品包装物、容器，使用单位在重复使用前应当进行检查；发</w:t>
            </w:r>
            <w:r>
              <w:rPr>
                <w:spacing w:val="6"/>
              </w:rPr>
              <w:t xml:space="preserve"> </w:t>
            </w:r>
            <w:r>
              <w:rPr>
                <w:spacing w:val="1"/>
              </w:rPr>
              <w:t>现存在安全隐患的，应当维修或者更换。使用单位应当对检查情况作出记录，记录的保存</w:t>
            </w:r>
            <w:r>
              <w:t>期限不得少于</w:t>
            </w:r>
            <w:r>
              <w:rPr>
                <w:spacing w:val="-35"/>
              </w:rPr>
              <w:t xml:space="preserve"> </w:t>
            </w:r>
            <w:r>
              <w:t xml:space="preserve">2 </w:t>
            </w:r>
            <w:r>
              <w:rPr>
                <w:spacing w:val="-9"/>
              </w:rPr>
              <w:t>年。</w:t>
            </w:r>
          </w:p>
          <w:p w14:paraId="257C2A41">
            <w:pPr>
              <w:pStyle w:val="8"/>
              <w:spacing w:before="25" w:line="241" w:lineRule="auto"/>
              <w:ind w:left="114" w:right="104" w:firstLine="357"/>
              <w:jc w:val="both"/>
            </w:pPr>
            <w:r>
              <w:t>第八十条第一款第（一）项  生产、储存、使用危险化学品的单位有下列情形之一的，由安全生产监</w:t>
            </w:r>
            <w:r>
              <w:rPr>
                <w:spacing w:val="3"/>
              </w:rPr>
              <w:t xml:space="preserve"> </w:t>
            </w:r>
            <w:r>
              <w:rPr>
                <w:spacing w:val="-3"/>
              </w:rPr>
              <w:t>督管理部门责令改正，处</w:t>
            </w:r>
            <w:r>
              <w:rPr>
                <w:spacing w:val="-33"/>
              </w:rPr>
              <w:t xml:space="preserve"> </w:t>
            </w:r>
            <w:r>
              <w:rPr>
                <w:spacing w:val="-3"/>
              </w:rPr>
              <w:t>5</w:t>
            </w:r>
            <w:r>
              <w:rPr>
                <w:spacing w:val="-35"/>
              </w:rPr>
              <w:t xml:space="preserve"> </w:t>
            </w:r>
            <w:r>
              <w:rPr>
                <w:spacing w:val="-3"/>
              </w:rPr>
              <w:t>万元以上</w:t>
            </w:r>
            <w:r>
              <w:rPr>
                <w:spacing w:val="-24"/>
              </w:rPr>
              <w:t xml:space="preserve"> </w:t>
            </w:r>
            <w:r>
              <w:rPr>
                <w:spacing w:val="-3"/>
              </w:rPr>
              <w:t>10</w:t>
            </w:r>
            <w:r>
              <w:rPr>
                <w:spacing w:val="-34"/>
              </w:rPr>
              <w:t xml:space="preserve"> </w:t>
            </w:r>
            <w:r>
              <w:rPr>
                <w:spacing w:val="-3"/>
              </w:rPr>
              <w:t>万元以下的罚款；拒不改正的，责令停产停业整顿直至由原发证机</w:t>
            </w:r>
            <w:r>
              <w:t xml:space="preserve"> 关吊销其相关许可证件，并由工商行政管理部门责令其办理经营范围变更登记或者吊销其营业执照；有关</w:t>
            </w:r>
            <w:r>
              <w:rPr>
                <w:spacing w:val="3"/>
              </w:rPr>
              <w:t xml:space="preserve"> </w:t>
            </w:r>
            <w:r>
              <w:rPr>
                <w:spacing w:val="1"/>
              </w:rPr>
              <w:t>责任人员构成犯罪的，依法追究刑事责任</w:t>
            </w:r>
            <w:r>
              <w:rPr>
                <w:spacing w:val="-11"/>
              </w:rPr>
              <w:t>：（</w:t>
            </w:r>
            <w:r>
              <w:rPr>
                <w:spacing w:val="1"/>
              </w:rPr>
              <w:t>一）对重复使</w:t>
            </w:r>
            <w:r>
              <w:t>用的危险化学品包装物、容器，在重复使用前</w:t>
            </w:r>
            <w:r>
              <w:rPr>
                <w:spacing w:val="1"/>
              </w:rPr>
              <w:t xml:space="preserve"> </w:t>
            </w:r>
            <w:r>
              <w:rPr>
                <w:spacing w:val="-7"/>
              </w:rPr>
              <w:t>不进行检查的；</w:t>
            </w:r>
          </w:p>
          <w:p w14:paraId="52F8133E">
            <w:pPr>
              <w:pStyle w:val="8"/>
              <w:spacing w:before="26" w:line="233" w:lineRule="auto"/>
              <w:ind w:left="116" w:right="104" w:firstLine="354"/>
            </w:pPr>
            <w:r>
              <w:t>第八十条第二款  从事危险化学品仓储经营的港口经营人有前款规定情形的，由港口行政管理部门依</w:t>
            </w:r>
            <w:r>
              <w:rPr>
                <w:spacing w:val="6"/>
              </w:rPr>
              <w:t xml:space="preserve"> </w:t>
            </w:r>
            <w:r>
              <w:rPr>
                <w:spacing w:val="-4"/>
              </w:rPr>
              <w:t>照前款规定予以处罚。</w:t>
            </w:r>
          </w:p>
        </w:tc>
        <w:tc>
          <w:tcPr>
            <w:tcW w:w="1010" w:type="dxa"/>
            <w:vAlign w:val="top"/>
          </w:tcPr>
          <w:p w14:paraId="3ED33450">
            <w:pPr>
              <w:spacing w:line="255" w:lineRule="auto"/>
              <w:rPr>
                <w:rFonts w:ascii="Arial"/>
                <w:sz w:val="21"/>
              </w:rPr>
            </w:pPr>
          </w:p>
          <w:p w14:paraId="7BFB9AAE">
            <w:pPr>
              <w:spacing w:line="255" w:lineRule="auto"/>
              <w:rPr>
                <w:rFonts w:ascii="Arial"/>
                <w:sz w:val="21"/>
              </w:rPr>
            </w:pPr>
          </w:p>
          <w:p w14:paraId="2C7F8B2D">
            <w:pPr>
              <w:spacing w:line="255" w:lineRule="auto"/>
              <w:rPr>
                <w:rFonts w:ascii="Arial"/>
                <w:sz w:val="21"/>
              </w:rPr>
            </w:pPr>
          </w:p>
          <w:p w14:paraId="5748D024">
            <w:pPr>
              <w:spacing w:line="256" w:lineRule="auto"/>
              <w:rPr>
                <w:rFonts w:ascii="Arial"/>
                <w:sz w:val="21"/>
              </w:rPr>
            </w:pPr>
          </w:p>
          <w:p w14:paraId="59FE8C55">
            <w:pPr>
              <w:spacing w:line="256" w:lineRule="auto"/>
              <w:rPr>
                <w:rFonts w:ascii="Arial"/>
                <w:sz w:val="21"/>
              </w:rPr>
            </w:pPr>
          </w:p>
          <w:p w14:paraId="48C6C2D5">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5368EDD9">
            <w:pPr>
              <w:pStyle w:val="8"/>
              <w:spacing w:before="59" w:line="234" w:lineRule="auto"/>
              <w:ind w:left="530" w:right="104" w:hanging="413"/>
              <w:rPr>
                <w:rFonts w:hint="eastAsia"/>
                <w:spacing w:val="-12"/>
                <w:lang w:eastAsia="zh-CN"/>
              </w:rPr>
            </w:pPr>
          </w:p>
          <w:p w14:paraId="0932DC60">
            <w:pPr>
              <w:pStyle w:val="8"/>
              <w:spacing w:before="59" w:line="234" w:lineRule="auto"/>
              <w:ind w:left="530" w:right="104" w:hanging="413"/>
              <w:rPr>
                <w:rFonts w:hint="eastAsia"/>
                <w:spacing w:val="-12"/>
                <w:lang w:eastAsia="zh-CN"/>
              </w:rPr>
            </w:pPr>
          </w:p>
          <w:p w14:paraId="622F7167">
            <w:pPr>
              <w:pStyle w:val="8"/>
              <w:spacing w:before="59" w:line="234" w:lineRule="auto"/>
              <w:ind w:left="530" w:right="104" w:hanging="413"/>
              <w:rPr>
                <w:rFonts w:hint="eastAsia"/>
                <w:spacing w:val="-12"/>
                <w:lang w:eastAsia="zh-CN"/>
              </w:rPr>
            </w:pPr>
          </w:p>
          <w:p w14:paraId="1BABDB07">
            <w:pPr>
              <w:pStyle w:val="8"/>
              <w:spacing w:before="59" w:line="234" w:lineRule="auto"/>
              <w:ind w:left="530" w:right="104" w:hanging="413"/>
              <w:rPr>
                <w:rFonts w:hint="eastAsia"/>
                <w:spacing w:val="-12"/>
                <w:lang w:eastAsia="zh-CN"/>
              </w:rPr>
            </w:pPr>
          </w:p>
          <w:p w14:paraId="7E1464E3">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534CCCCC">
            <w:pPr>
              <w:spacing w:line="289" w:lineRule="auto"/>
              <w:rPr>
                <w:rFonts w:ascii="Arial"/>
                <w:sz w:val="21"/>
              </w:rPr>
            </w:pPr>
          </w:p>
          <w:p w14:paraId="00B77A78">
            <w:pPr>
              <w:spacing w:line="289" w:lineRule="auto"/>
              <w:rPr>
                <w:rFonts w:ascii="Arial"/>
                <w:sz w:val="21"/>
              </w:rPr>
            </w:pPr>
          </w:p>
          <w:p w14:paraId="65822B5C">
            <w:pPr>
              <w:spacing w:line="290" w:lineRule="auto"/>
              <w:rPr>
                <w:rFonts w:ascii="Arial"/>
                <w:sz w:val="21"/>
              </w:rPr>
            </w:pPr>
          </w:p>
          <w:p w14:paraId="4F40722A">
            <w:pPr>
              <w:spacing w:line="290" w:lineRule="auto"/>
              <w:rPr>
                <w:rFonts w:ascii="Arial"/>
                <w:sz w:val="21"/>
              </w:rPr>
            </w:pPr>
          </w:p>
          <w:p w14:paraId="391920D3">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7F8E9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6" w:hRule="atLeast"/>
        </w:trPr>
        <w:tc>
          <w:tcPr>
            <w:tcW w:w="622" w:type="dxa"/>
            <w:vAlign w:val="top"/>
          </w:tcPr>
          <w:p w14:paraId="54ADE23F">
            <w:pPr>
              <w:spacing w:line="247" w:lineRule="auto"/>
              <w:rPr>
                <w:rFonts w:ascii="Arial"/>
                <w:sz w:val="21"/>
              </w:rPr>
            </w:pPr>
          </w:p>
          <w:p w14:paraId="53AD2C69">
            <w:pPr>
              <w:spacing w:line="247" w:lineRule="auto"/>
              <w:rPr>
                <w:rFonts w:ascii="Arial"/>
                <w:sz w:val="21"/>
              </w:rPr>
            </w:pPr>
          </w:p>
          <w:p w14:paraId="65C36108">
            <w:pPr>
              <w:spacing w:line="247" w:lineRule="auto"/>
              <w:rPr>
                <w:rFonts w:ascii="Arial"/>
                <w:sz w:val="21"/>
              </w:rPr>
            </w:pPr>
          </w:p>
          <w:p w14:paraId="5BA3B0C3">
            <w:pPr>
              <w:spacing w:line="247" w:lineRule="auto"/>
              <w:rPr>
                <w:rFonts w:ascii="Arial"/>
                <w:sz w:val="21"/>
              </w:rPr>
            </w:pPr>
          </w:p>
          <w:p w14:paraId="42F75D4E">
            <w:pPr>
              <w:spacing w:line="247" w:lineRule="auto"/>
              <w:rPr>
                <w:rFonts w:ascii="Arial"/>
                <w:sz w:val="21"/>
              </w:rPr>
            </w:pPr>
          </w:p>
          <w:p w14:paraId="565B9AD8">
            <w:pPr>
              <w:spacing w:line="247" w:lineRule="auto"/>
              <w:rPr>
                <w:rFonts w:ascii="Arial"/>
                <w:sz w:val="21"/>
              </w:rPr>
            </w:pPr>
          </w:p>
          <w:p w14:paraId="4E7072FC">
            <w:pPr>
              <w:spacing w:line="247" w:lineRule="auto"/>
              <w:rPr>
                <w:rFonts w:ascii="Arial"/>
                <w:sz w:val="21"/>
              </w:rPr>
            </w:pPr>
          </w:p>
          <w:p w14:paraId="216886B3">
            <w:pPr>
              <w:spacing w:line="247" w:lineRule="auto"/>
              <w:rPr>
                <w:rFonts w:ascii="Arial"/>
                <w:sz w:val="21"/>
              </w:rPr>
            </w:pPr>
          </w:p>
          <w:p w14:paraId="67C304C1">
            <w:pPr>
              <w:spacing w:line="247" w:lineRule="auto"/>
              <w:rPr>
                <w:rFonts w:ascii="Arial"/>
                <w:sz w:val="21"/>
              </w:rPr>
            </w:pPr>
          </w:p>
          <w:p w14:paraId="4675A776">
            <w:pPr>
              <w:spacing w:line="247" w:lineRule="auto"/>
              <w:rPr>
                <w:rFonts w:ascii="Arial"/>
                <w:sz w:val="21"/>
              </w:rPr>
            </w:pPr>
          </w:p>
          <w:p w14:paraId="17E5A71E">
            <w:pPr>
              <w:spacing w:line="247" w:lineRule="auto"/>
              <w:rPr>
                <w:rFonts w:ascii="Arial"/>
                <w:sz w:val="21"/>
              </w:rPr>
            </w:pPr>
          </w:p>
          <w:p w14:paraId="14E563A9">
            <w:pPr>
              <w:pStyle w:val="8"/>
              <w:spacing w:before="58" w:line="183" w:lineRule="auto"/>
              <w:ind w:left="225"/>
            </w:pPr>
            <w:r>
              <w:rPr>
                <w:spacing w:val="-3"/>
              </w:rPr>
              <w:t>45</w:t>
            </w:r>
          </w:p>
        </w:tc>
        <w:tc>
          <w:tcPr>
            <w:tcW w:w="1100" w:type="dxa"/>
            <w:vAlign w:val="top"/>
          </w:tcPr>
          <w:p w14:paraId="514F6689">
            <w:pPr>
              <w:pStyle w:val="8"/>
              <w:spacing w:before="58" w:line="245" w:lineRule="auto"/>
              <w:ind w:right="55"/>
            </w:pPr>
            <w:r>
              <w:rPr>
                <w:spacing w:val="16"/>
              </w:rPr>
              <w:t>对港口经营</w:t>
            </w:r>
            <w:r>
              <w:t xml:space="preserve"> </w:t>
            </w:r>
            <w:r>
              <w:rPr>
                <w:spacing w:val="16"/>
              </w:rPr>
              <w:t>者未根据其</w:t>
            </w:r>
            <w:r>
              <w:t xml:space="preserve"> </w:t>
            </w:r>
            <w:r>
              <w:rPr>
                <w:spacing w:val="16"/>
              </w:rPr>
              <w:t>生产、储存</w:t>
            </w:r>
            <w:r>
              <w:t xml:space="preserve"> </w:t>
            </w:r>
            <w:r>
              <w:rPr>
                <w:spacing w:val="16"/>
              </w:rPr>
              <w:t>的危险化学</w:t>
            </w:r>
            <w:r>
              <w:t xml:space="preserve"> </w:t>
            </w:r>
            <w:r>
              <w:rPr>
                <w:spacing w:val="16"/>
              </w:rPr>
              <w:t>品的种类和</w:t>
            </w:r>
            <w:r>
              <w:t xml:space="preserve"> </w:t>
            </w:r>
            <w:r>
              <w:rPr>
                <w:spacing w:val="7"/>
              </w:rPr>
              <w:t>危险特性，</w:t>
            </w:r>
            <w:r>
              <w:rPr>
                <w:spacing w:val="3"/>
              </w:rPr>
              <w:t xml:space="preserve"> </w:t>
            </w:r>
            <w:r>
              <w:rPr>
                <w:spacing w:val="16"/>
              </w:rPr>
              <w:t>在作业场所</w:t>
            </w:r>
            <w:r>
              <w:t xml:space="preserve"> </w:t>
            </w:r>
            <w:r>
              <w:rPr>
                <w:spacing w:val="16"/>
              </w:rPr>
              <w:t>设置相关安</w:t>
            </w:r>
            <w:r>
              <w:t xml:space="preserve"> </w:t>
            </w:r>
            <w:r>
              <w:rPr>
                <w:spacing w:val="16"/>
              </w:rPr>
              <w:t>全设施、设</w:t>
            </w:r>
            <w:r>
              <w:t xml:space="preserve"> </w:t>
            </w:r>
            <w:r>
              <w:rPr>
                <w:spacing w:val="5"/>
              </w:rPr>
              <w:t>备，</w:t>
            </w:r>
            <w:r>
              <w:rPr>
                <w:spacing w:val="-36"/>
              </w:rPr>
              <w:t xml:space="preserve"> </w:t>
            </w:r>
            <w:r>
              <w:rPr>
                <w:spacing w:val="5"/>
              </w:rPr>
              <w:t>或者未</w:t>
            </w:r>
            <w:r>
              <w:t xml:space="preserve"> </w:t>
            </w:r>
            <w:r>
              <w:rPr>
                <w:spacing w:val="16"/>
              </w:rPr>
              <w:t>按照国家标</w:t>
            </w:r>
            <w:r>
              <w:t xml:space="preserve"> </w:t>
            </w:r>
            <w:r>
              <w:rPr>
                <w:spacing w:val="16"/>
              </w:rPr>
              <w:t>准、行业标</w:t>
            </w:r>
            <w:r>
              <w:t xml:space="preserve"> </w:t>
            </w:r>
            <w:r>
              <w:rPr>
                <w:spacing w:val="16"/>
              </w:rPr>
              <w:t>准或者国家</w:t>
            </w:r>
            <w:r>
              <w:t xml:space="preserve"> </w:t>
            </w:r>
            <w:r>
              <w:rPr>
                <w:spacing w:val="16"/>
              </w:rPr>
              <w:t>有关规定对</w:t>
            </w:r>
            <w:r>
              <w:t xml:space="preserve"> </w:t>
            </w:r>
            <w:r>
              <w:rPr>
                <w:spacing w:val="10"/>
              </w:rPr>
              <w:t>安全设施、</w:t>
            </w:r>
            <w:r>
              <w:rPr>
                <w:spacing w:val="2"/>
              </w:rPr>
              <w:t xml:space="preserve"> </w:t>
            </w:r>
            <w:r>
              <w:rPr>
                <w:spacing w:val="16"/>
              </w:rPr>
              <w:t>设备进行经</w:t>
            </w:r>
            <w:r>
              <w:t xml:space="preserve"> </w:t>
            </w:r>
            <w:r>
              <w:rPr>
                <w:spacing w:val="10"/>
              </w:rPr>
              <w:t>常性维护、</w:t>
            </w:r>
            <w:r>
              <w:rPr>
                <w:spacing w:val="2"/>
              </w:rPr>
              <w:t xml:space="preserve"> </w:t>
            </w:r>
            <w:r>
              <w:rPr>
                <w:spacing w:val="16"/>
              </w:rPr>
              <w:t>保养行为的</w:t>
            </w:r>
            <w:r>
              <w:t xml:space="preserve"> </w:t>
            </w:r>
            <w:r>
              <w:rPr>
                <w:spacing w:val="-2"/>
              </w:rPr>
              <w:t>行政处罚</w:t>
            </w:r>
          </w:p>
        </w:tc>
        <w:tc>
          <w:tcPr>
            <w:tcW w:w="1100" w:type="dxa"/>
            <w:vAlign w:val="top"/>
          </w:tcPr>
          <w:p w14:paraId="2D23647A">
            <w:pPr>
              <w:spacing w:line="244" w:lineRule="auto"/>
              <w:rPr>
                <w:rFonts w:ascii="Arial"/>
                <w:sz w:val="21"/>
              </w:rPr>
            </w:pPr>
          </w:p>
          <w:p w14:paraId="651A6F83">
            <w:pPr>
              <w:spacing w:line="244" w:lineRule="auto"/>
              <w:rPr>
                <w:rFonts w:ascii="Arial"/>
                <w:sz w:val="21"/>
              </w:rPr>
            </w:pPr>
          </w:p>
          <w:p w14:paraId="10DC3639">
            <w:pPr>
              <w:spacing w:line="244" w:lineRule="auto"/>
              <w:rPr>
                <w:rFonts w:ascii="Arial"/>
                <w:sz w:val="21"/>
              </w:rPr>
            </w:pPr>
          </w:p>
          <w:p w14:paraId="37FE208D">
            <w:pPr>
              <w:spacing w:line="244" w:lineRule="auto"/>
              <w:rPr>
                <w:rFonts w:ascii="Arial"/>
                <w:sz w:val="21"/>
              </w:rPr>
            </w:pPr>
          </w:p>
          <w:p w14:paraId="211425F4">
            <w:pPr>
              <w:spacing w:line="244" w:lineRule="auto"/>
              <w:rPr>
                <w:rFonts w:ascii="Arial"/>
                <w:sz w:val="21"/>
              </w:rPr>
            </w:pPr>
          </w:p>
          <w:p w14:paraId="4DA85CEE">
            <w:pPr>
              <w:spacing w:line="244" w:lineRule="auto"/>
              <w:rPr>
                <w:rFonts w:ascii="Arial"/>
                <w:sz w:val="21"/>
              </w:rPr>
            </w:pPr>
          </w:p>
          <w:p w14:paraId="15F6D278">
            <w:pPr>
              <w:spacing w:line="244" w:lineRule="auto"/>
              <w:rPr>
                <w:rFonts w:ascii="Arial"/>
                <w:sz w:val="21"/>
              </w:rPr>
            </w:pPr>
          </w:p>
          <w:p w14:paraId="209614C8">
            <w:pPr>
              <w:spacing w:line="245" w:lineRule="auto"/>
              <w:rPr>
                <w:rFonts w:ascii="Arial"/>
                <w:sz w:val="21"/>
              </w:rPr>
            </w:pPr>
          </w:p>
          <w:p w14:paraId="722DDBA3">
            <w:pPr>
              <w:spacing w:line="245" w:lineRule="auto"/>
              <w:rPr>
                <w:rFonts w:ascii="Arial"/>
                <w:sz w:val="21"/>
              </w:rPr>
            </w:pPr>
          </w:p>
          <w:p w14:paraId="686CEC33">
            <w:pPr>
              <w:spacing w:line="245" w:lineRule="auto"/>
              <w:rPr>
                <w:rFonts w:ascii="Arial"/>
                <w:sz w:val="21"/>
              </w:rPr>
            </w:pPr>
          </w:p>
          <w:p w14:paraId="49361788">
            <w:pPr>
              <w:spacing w:line="245" w:lineRule="auto"/>
              <w:rPr>
                <w:rFonts w:ascii="Arial"/>
                <w:sz w:val="21"/>
              </w:rPr>
            </w:pPr>
          </w:p>
          <w:p w14:paraId="2490389D">
            <w:pPr>
              <w:pStyle w:val="8"/>
              <w:spacing w:before="59" w:line="220" w:lineRule="auto"/>
              <w:ind w:left="112"/>
            </w:pPr>
            <w:r>
              <w:rPr>
                <w:spacing w:val="-2"/>
              </w:rPr>
              <w:t>行政处罚</w:t>
            </w:r>
          </w:p>
        </w:tc>
        <w:tc>
          <w:tcPr>
            <w:tcW w:w="8508" w:type="dxa"/>
            <w:vAlign w:val="top"/>
          </w:tcPr>
          <w:p w14:paraId="0A1A454E">
            <w:pPr>
              <w:spacing w:line="262" w:lineRule="auto"/>
              <w:rPr>
                <w:rFonts w:ascii="Arial"/>
                <w:sz w:val="21"/>
              </w:rPr>
            </w:pPr>
          </w:p>
          <w:p w14:paraId="221C1D56">
            <w:pPr>
              <w:spacing w:line="263" w:lineRule="auto"/>
              <w:rPr>
                <w:rFonts w:ascii="Arial"/>
                <w:sz w:val="21"/>
              </w:rPr>
            </w:pPr>
          </w:p>
          <w:p w14:paraId="55483D52">
            <w:pPr>
              <w:spacing w:line="263" w:lineRule="auto"/>
              <w:rPr>
                <w:rFonts w:ascii="Arial"/>
                <w:sz w:val="21"/>
              </w:rPr>
            </w:pPr>
          </w:p>
          <w:p w14:paraId="14E2ADE5">
            <w:pPr>
              <w:pStyle w:val="8"/>
              <w:spacing w:before="58" w:line="219" w:lineRule="auto"/>
              <w:ind w:left="476"/>
            </w:pPr>
            <w:r>
              <w:rPr>
                <w:b/>
                <w:bCs/>
                <w:spacing w:val="-3"/>
              </w:rPr>
              <w:t>《危险化学品安全管理条例》</w:t>
            </w:r>
          </w:p>
          <w:p w14:paraId="49C83A34">
            <w:pPr>
              <w:pStyle w:val="8"/>
              <w:spacing w:before="24"/>
              <w:ind w:left="110" w:right="104" w:firstLine="360"/>
            </w:pPr>
            <w:r>
              <w:t>第二十条  生产、储存危险化学品的单位，应当根据其生产、储存的危险化学品的种类和危险特性，</w:t>
            </w:r>
            <w:r>
              <w:rPr>
                <w:spacing w:val="3"/>
              </w:rPr>
              <w:t xml:space="preserve"> </w:t>
            </w:r>
            <w:r>
              <w:t>在作业场所设置相应的监测、监控、通风、防晒、调温、防</w:t>
            </w:r>
            <w:r>
              <w:rPr>
                <w:spacing w:val="-1"/>
              </w:rPr>
              <w:t>火、灭火、防爆、泄压、防毒、中和、防潮、</w:t>
            </w:r>
            <w:r>
              <w:t xml:space="preserve"> 防雷、防静电、防腐、防泄漏以及防护围堤或者隔离操作等安全设施、设备，并按照国家标准、行业标准</w:t>
            </w:r>
            <w:r>
              <w:rPr>
                <w:spacing w:val="7"/>
              </w:rPr>
              <w:t xml:space="preserve"> </w:t>
            </w:r>
            <w:r>
              <w:rPr>
                <w:spacing w:val="-1"/>
              </w:rPr>
              <w:t>或者国家有关规定对安全设施、设备进行经常性维护、保养，保证安全设施、设备的正常使用。</w:t>
            </w:r>
          </w:p>
          <w:p w14:paraId="1405B02D">
            <w:pPr>
              <w:pStyle w:val="8"/>
              <w:spacing w:before="26" w:line="219" w:lineRule="auto"/>
              <w:ind w:left="472"/>
            </w:pPr>
            <w:r>
              <w:rPr>
                <w:spacing w:val="-1"/>
              </w:rPr>
              <w:t>生产、储存危险化学品的单位，应当在其作业场所和安全设施、设备上设置明显的安全警示标志。</w:t>
            </w:r>
          </w:p>
          <w:p w14:paraId="765450ED">
            <w:pPr>
              <w:pStyle w:val="8"/>
              <w:spacing w:before="26" w:line="232" w:lineRule="auto"/>
              <w:ind w:left="112" w:right="104" w:firstLine="358"/>
            </w:pPr>
            <w:r>
              <w:t>第二十六条  危险化学品专用仓库应当符合国家标准、行业标准的要求，并设置明显的标志。储存剧</w:t>
            </w:r>
            <w:r>
              <w:rPr>
                <w:spacing w:val="6"/>
              </w:rPr>
              <w:t xml:space="preserve"> </w:t>
            </w:r>
            <w:r>
              <w:rPr>
                <w:spacing w:val="-1"/>
              </w:rPr>
              <w:t>毒化学品、易制爆危险化学品的专用仓库，应当按照国家有关规定设置相应的技术防范设施。</w:t>
            </w:r>
          </w:p>
          <w:p w14:paraId="508A492A">
            <w:pPr>
              <w:pStyle w:val="8"/>
              <w:spacing w:before="27" w:line="219" w:lineRule="auto"/>
              <w:ind w:left="470"/>
            </w:pPr>
            <w:r>
              <w:rPr>
                <w:spacing w:val="-1"/>
              </w:rPr>
              <w:t>储存危险化学品的单位应当对其危险化学品专用仓库的安全设施、设备定期进行检测、检验。</w:t>
            </w:r>
          </w:p>
          <w:p w14:paraId="32AA532D">
            <w:pPr>
              <w:pStyle w:val="8"/>
              <w:spacing w:before="24" w:line="242" w:lineRule="auto"/>
              <w:ind w:left="110" w:right="104" w:firstLine="360"/>
            </w:pPr>
            <w:r>
              <w:t>第八十条第一款第（二）项  生产、储存、使用危险化学品的单位有下列情形之一的，由安全生产监</w:t>
            </w:r>
            <w:r>
              <w:rPr>
                <w:spacing w:val="3"/>
              </w:rPr>
              <w:t xml:space="preserve"> </w:t>
            </w:r>
            <w:r>
              <w:rPr>
                <w:spacing w:val="-3"/>
              </w:rPr>
              <w:t>督管理部门责令改正，处</w:t>
            </w:r>
            <w:r>
              <w:rPr>
                <w:spacing w:val="-30"/>
              </w:rPr>
              <w:t xml:space="preserve"> </w:t>
            </w:r>
            <w:r>
              <w:rPr>
                <w:spacing w:val="-3"/>
              </w:rPr>
              <w:t>5</w:t>
            </w:r>
            <w:r>
              <w:rPr>
                <w:spacing w:val="-34"/>
              </w:rPr>
              <w:t xml:space="preserve"> </w:t>
            </w:r>
            <w:r>
              <w:rPr>
                <w:spacing w:val="-3"/>
              </w:rPr>
              <w:t>万元以上</w:t>
            </w:r>
            <w:r>
              <w:rPr>
                <w:spacing w:val="-24"/>
              </w:rPr>
              <w:t xml:space="preserve"> </w:t>
            </w:r>
            <w:r>
              <w:rPr>
                <w:spacing w:val="-3"/>
              </w:rPr>
              <w:t>10</w:t>
            </w:r>
            <w:r>
              <w:rPr>
                <w:spacing w:val="-34"/>
              </w:rPr>
              <w:t xml:space="preserve"> </w:t>
            </w:r>
            <w:r>
              <w:rPr>
                <w:spacing w:val="-3"/>
              </w:rPr>
              <w:t>万元以下的罚款；拒不改正的，责令停产停业整顿直至由原发证机</w:t>
            </w:r>
            <w:r>
              <w:t xml:space="preserve"> 关吊销其相关许可证件，并由工商行政管理部门责令其办理经营范围变更登记或者吊销其营业执照；有关</w:t>
            </w:r>
            <w:r>
              <w:rPr>
                <w:spacing w:val="7"/>
              </w:rPr>
              <w:t xml:space="preserve"> </w:t>
            </w:r>
            <w:r>
              <w:t>责任人员构成犯罪的，依法追究刑事责任</w:t>
            </w:r>
            <w:r>
              <w:rPr>
                <w:spacing w:val="2"/>
              </w:rPr>
              <w:t>：（</w:t>
            </w:r>
            <w:r>
              <w:t>二）未根据其生产、储存的危险化学品的种类和危险特性， 在作业场所设置相关安全设施、设备，或者未按照国家标准、行业标准或者国家有关规定对安全设施、设</w:t>
            </w:r>
            <w:r>
              <w:rPr>
                <w:spacing w:val="7"/>
              </w:rPr>
              <w:t xml:space="preserve"> </w:t>
            </w:r>
            <w:r>
              <w:rPr>
                <w:spacing w:val="-4"/>
              </w:rPr>
              <w:t>备进行经常性维护、保养的；</w:t>
            </w:r>
          </w:p>
          <w:p w14:paraId="5AF734FC">
            <w:pPr>
              <w:pStyle w:val="8"/>
              <w:spacing w:before="27" w:line="233" w:lineRule="auto"/>
              <w:ind w:left="116" w:right="104" w:firstLine="354"/>
            </w:pPr>
            <w:r>
              <w:t>第八十条第二款  从事危险化学品仓储经营的港口经营人有前款规定情形的，由港口行政管理部门依</w:t>
            </w:r>
            <w:r>
              <w:rPr>
                <w:spacing w:val="6"/>
              </w:rPr>
              <w:t xml:space="preserve"> </w:t>
            </w:r>
            <w:r>
              <w:rPr>
                <w:spacing w:val="-4"/>
              </w:rPr>
              <w:t>照前款规定予以处罚。</w:t>
            </w:r>
          </w:p>
        </w:tc>
        <w:tc>
          <w:tcPr>
            <w:tcW w:w="1010" w:type="dxa"/>
            <w:vAlign w:val="top"/>
          </w:tcPr>
          <w:p w14:paraId="2B88F951">
            <w:pPr>
              <w:spacing w:line="257" w:lineRule="auto"/>
              <w:rPr>
                <w:rFonts w:ascii="Arial"/>
                <w:sz w:val="21"/>
              </w:rPr>
            </w:pPr>
          </w:p>
          <w:p w14:paraId="00FD3BF6">
            <w:pPr>
              <w:spacing w:line="257" w:lineRule="auto"/>
              <w:rPr>
                <w:rFonts w:ascii="Arial"/>
                <w:sz w:val="21"/>
              </w:rPr>
            </w:pPr>
          </w:p>
          <w:p w14:paraId="7E3DB1D5">
            <w:pPr>
              <w:spacing w:line="257" w:lineRule="auto"/>
              <w:rPr>
                <w:rFonts w:ascii="Arial"/>
                <w:sz w:val="21"/>
              </w:rPr>
            </w:pPr>
          </w:p>
          <w:p w14:paraId="0322DDD6">
            <w:pPr>
              <w:spacing w:line="257" w:lineRule="auto"/>
              <w:rPr>
                <w:rFonts w:ascii="Arial"/>
                <w:sz w:val="21"/>
              </w:rPr>
            </w:pPr>
          </w:p>
          <w:p w14:paraId="75AD34C9">
            <w:pPr>
              <w:spacing w:line="258" w:lineRule="auto"/>
              <w:rPr>
                <w:rFonts w:ascii="Arial"/>
                <w:sz w:val="21"/>
              </w:rPr>
            </w:pPr>
          </w:p>
          <w:p w14:paraId="1349E767">
            <w:pPr>
              <w:spacing w:line="258" w:lineRule="auto"/>
              <w:rPr>
                <w:rFonts w:ascii="Arial"/>
                <w:sz w:val="21"/>
              </w:rPr>
            </w:pPr>
          </w:p>
          <w:p w14:paraId="0197F448">
            <w:pPr>
              <w:spacing w:line="258" w:lineRule="auto"/>
              <w:rPr>
                <w:rFonts w:ascii="Arial"/>
                <w:sz w:val="21"/>
              </w:rPr>
            </w:pPr>
          </w:p>
          <w:p w14:paraId="1D9495E1">
            <w:pPr>
              <w:spacing w:line="258" w:lineRule="auto"/>
              <w:rPr>
                <w:rFonts w:ascii="Arial"/>
                <w:sz w:val="21"/>
              </w:rPr>
            </w:pPr>
          </w:p>
          <w:p w14:paraId="13F9FE33">
            <w:pPr>
              <w:spacing w:line="258" w:lineRule="auto"/>
              <w:rPr>
                <w:rFonts w:ascii="Arial"/>
                <w:sz w:val="21"/>
              </w:rPr>
            </w:pPr>
          </w:p>
          <w:p w14:paraId="5C2F993A">
            <w:pPr>
              <w:spacing w:line="258" w:lineRule="auto"/>
              <w:rPr>
                <w:rFonts w:ascii="Arial"/>
                <w:sz w:val="21"/>
              </w:rPr>
            </w:pPr>
          </w:p>
          <w:p w14:paraId="31756697">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1B50BFA9">
            <w:pPr>
              <w:pStyle w:val="8"/>
              <w:spacing w:before="59" w:line="234" w:lineRule="auto"/>
              <w:ind w:left="530" w:right="104" w:hanging="413"/>
              <w:rPr>
                <w:rFonts w:hint="eastAsia"/>
                <w:spacing w:val="-12"/>
                <w:lang w:eastAsia="zh-CN"/>
              </w:rPr>
            </w:pPr>
          </w:p>
          <w:p w14:paraId="6196110D">
            <w:pPr>
              <w:pStyle w:val="8"/>
              <w:spacing w:before="59" w:line="234" w:lineRule="auto"/>
              <w:ind w:left="530" w:right="104" w:hanging="413"/>
              <w:rPr>
                <w:rFonts w:hint="eastAsia"/>
                <w:spacing w:val="-12"/>
                <w:lang w:eastAsia="zh-CN"/>
              </w:rPr>
            </w:pPr>
          </w:p>
          <w:p w14:paraId="5B1157C1">
            <w:pPr>
              <w:pStyle w:val="8"/>
              <w:spacing w:before="59" w:line="234" w:lineRule="auto"/>
              <w:ind w:left="530" w:right="104" w:hanging="413"/>
              <w:rPr>
                <w:rFonts w:hint="eastAsia"/>
                <w:spacing w:val="-12"/>
                <w:lang w:eastAsia="zh-CN"/>
              </w:rPr>
            </w:pPr>
          </w:p>
          <w:p w14:paraId="7A30ED4E">
            <w:pPr>
              <w:pStyle w:val="8"/>
              <w:spacing w:before="59" w:line="234" w:lineRule="auto"/>
              <w:ind w:left="530" w:right="104" w:hanging="413"/>
              <w:rPr>
                <w:rFonts w:hint="eastAsia"/>
                <w:spacing w:val="-12"/>
                <w:lang w:eastAsia="zh-CN"/>
              </w:rPr>
            </w:pPr>
          </w:p>
          <w:p w14:paraId="2B268E3A">
            <w:pPr>
              <w:pStyle w:val="8"/>
              <w:spacing w:before="59" w:line="234" w:lineRule="auto"/>
              <w:ind w:left="530" w:right="104" w:hanging="413"/>
              <w:rPr>
                <w:rFonts w:hint="eastAsia"/>
                <w:spacing w:val="-12"/>
                <w:lang w:eastAsia="zh-CN"/>
              </w:rPr>
            </w:pPr>
          </w:p>
          <w:p w14:paraId="7ABAA82C">
            <w:pPr>
              <w:pStyle w:val="8"/>
              <w:spacing w:before="59" w:line="234" w:lineRule="auto"/>
              <w:ind w:left="530" w:right="104" w:hanging="413"/>
              <w:rPr>
                <w:rFonts w:hint="eastAsia"/>
                <w:spacing w:val="-12"/>
                <w:lang w:eastAsia="zh-CN"/>
              </w:rPr>
            </w:pPr>
          </w:p>
          <w:p w14:paraId="6C8EADBD">
            <w:pPr>
              <w:pStyle w:val="8"/>
              <w:spacing w:before="59" w:line="234" w:lineRule="auto"/>
              <w:ind w:left="530" w:right="104" w:hanging="413"/>
              <w:rPr>
                <w:rFonts w:hint="eastAsia"/>
                <w:spacing w:val="-12"/>
                <w:lang w:eastAsia="zh-CN"/>
              </w:rPr>
            </w:pPr>
          </w:p>
          <w:p w14:paraId="0ED2CFCD">
            <w:pPr>
              <w:pStyle w:val="8"/>
              <w:spacing w:before="59" w:line="234" w:lineRule="auto"/>
              <w:ind w:left="530" w:right="104" w:hanging="413"/>
              <w:rPr>
                <w:rFonts w:hint="eastAsia"/>
                <w:spacing w:val="-12"/>
                <w:lang w:eastAsia="zh-CN"/>
              </w:rPr>
            </w:pPr>
          </w:p>
          <w:p w14:paraId="79DF0B27">
            <w:pPr>
              <w:pStyle w:val="8"/>
              <w:spacing w:before="59" w:line="234" w:lineRule="auto"/>
              <w:ind w:left="530" w:right="104" w:hanging="413"/>
              <w:rPr>
                <w:rFonts w:hint="eastAsia"/>
                <w:spacing w:val="-12"/>
                <w:lang w:eastAsia="zh-CN"/>
              </w:rPr>
            </w:pPr>
          </w:p>
          <w:p w14:paraId="53D8D9B5">
            <w:pPr>
              <w:pStyle w:val="8"/>
              <w:spacing w:before="59" w:line="234" w:lineRule="auto"/>
              <w:ind w:left="530" w:right="104" w:hanging="413"/>
              <w:rPr>
                <w:rFonts w:hint="eastAsia"/>
                <w:spacing w:val="-12"/>
                <w:lang w:eastAsia="zh-CN"/>
              </w:rPr>
            </w:pPr>
          </w:p>
          <w:p w14:paraId="0768BD8F">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19CF157C">
            <w:pPr>
              <w:spacing w:line="245" w:lineRule="auto"/>
              <w:rPr>
                <w:rFonts w:ascii="Arial"/>
                <w:sz w:val="21"/>
              </w:rPr>
            </w:pPr>
          </w:p>
          <w:p w14:paraId="0AD9A6F9">
            <w:pPr>
              <w:spacing w:line="245" w:lineRule="auto"/>
              <w:rPr>
                <w:rFonts w:ascii="Arial"/>
                <w:sz w:val="21"/>
              </w:rPr>
            </w:pPr>
          </w:p>
          <w:p w14:paraId="2379B050">
            <w:pPr>
              <w:spacing w:line="245" w:lineRule="auto"/>
              <w:rPr>
                <w:rFonts w:ascii="Arial"/>
                <w:sz w:val="21"/>
              </w:rPr>
            </w:pPr>
          </w:p>
          <w:p w14:paraId="047A1F06">
            <w:pPr>
              <w:spacing w:line="246" w:lineRule="auto"/>
              <w:rPr>
                <w:rFonts w:ascii="Arial"/>
                <w:sz w:val="21"/>
              </w:rPr>
            </w:pPr>
          </w:p>
          <w:p w14:paraId="48F8666C">
            <w:pPr>
              <w:spacing w:line="246" w:lineRule="auto"/>
              <w:rPr>
                <w:rFonts w:ascii="Arial"/>
                <w:sz w:val="21"/>
              </w:rPr>
            </w:pPr>
          </w:p>
          <w:p w14:paraId="459ED817">
            <w:pPr>
              <w:spacing w:line="246" w:lineRule="auto"/>
              <w:rPr>
                <w:rFonts w:ascii="Arial"/>
                <w:sz w:val="21"/>
              </w:rPr>
            </w:pPr>
          </w:p>
          <w:p w14:paraId="4F2E0D95">
            <w:pPr>
              <w:spacing w:line="246" w:lineRule="auto"/>
              <w:rPr>
                <w:rFonts w:ascii="Arial"/>
                <w:sz w:val="21"/>
              </w:rPr>
            </w:pPr>
          </w:p>
          <w:p w14:paraId="72582291">
            <w:pPr>
              <w:spacing w:line="246" w:lineRule="auto"/>
              <w:rPr>
                <w:rFonts w:ascii="Arial"/>
                <w:sz w:val="21"/>
              </w:rPr>
            </w:pPr>
          </w:p>
          <w:p w14:paraId="788CA384">
            <w:pPr>
              <w:spacing w:line="246" w:lineRule="auto"/>
              <w:rPr>
                <w:rFonts w:ascii="Arial"/>
                <w:sz w:val="21"/>
              </w:rPr>
            </w:pPr>
          </w:p>
          <w:p w14:paraId="2B14C339">
            <w:pPr>
              <w:spacing w:line="246" w:lineRule="auto"/>
              <w:rPr>
                <w:rFonts w:ascii="Arial"/>
                <w:sz w:val="21"/>
              </w:rPr>
            </w:pPr>
          </w:p>
          <w:p w14:paraId="6A920E7D">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71666075">
      <w:pPr>
        <w:pStyle w:val="2"/>
      </w:pPr>
    </w:p>
    <w:p w14:paraId="0BE69B76">
      <w:pPr>
        <w:sectPr>
          <w:footerReference r:id="rId150" w:type="default"/>
          <w:pgSz w:w="16839" w:h="11906"/>
          <w:pgMar w:top="1012" w:right="1034" w:bottom="967" w:left="1043" w:header="0" w:footer="768" w:gutter="0"/>
          <w:cols w:space="720" w:num="1"/>
        </w:sectPr>
      </w:pPr>
    </w:p>
    <w:p w14:paraId="64FD1FDE">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5EB58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5A4F46BC">
            <w:pPr>
              <w:pStyle w:val="8"/>
              <w:spacing w:before="259" w:line="221" w:lineRule="auto"/>
              <w:ind w:left="134"/>
            </w:pPr>
            <w:r>
              <w:rPr>
                <w:b/>
                <w:bCs/>
                <w:spacing w:val="-4"/>
              </w:rPr>
              <w:t>序号</w:t>
            </w:r>
          </w:p>
        </w:tc>
        <w:tc>
          <w:tcPr>
            <w:tcW w:w="1100" w:type="dxa"/>
            <w:vMerge w:val="restart"/>
            <w:tcBorders>
              <w:bottom w:val="nil"/>
            </w:tcBorders>
            <w:vAlign w:val="top"/>
          </w:tcPr>
          <w:p w14:paraId="5BF3C050">
            <w:pPr>
              <w:pStyle w:val="8"/>
              <w:spacing w:before="260" w:line="220" w:lineRule="auto"/>
              <w:ind w:left="189"/>
            </w:pPr>
            <w:r>
              <w:rPr>
                <w:b/>
                <w:bCs/>
                <w:spacing w:val="-4"/>
              </w:rPr>
              <w:t>事项名称</w:t>
            </w:r>
          </w:p>
        </w:tc>
        <w:tc>
          <w:tcPr>
            <w:tcW w:w="1100" w:type="dxa"/>
            <w:vMerge w:val="restart"/>
            <w:tcBorders>
              <w:bottom w:val="nil"/>
            </w:tcBorders>
            <w:vAlign w:val="top"/>
          </w:tcPr>
          <w:p w14:paraId="097E059E">
            <w:pPr>
              <w:pStyle w:val="8"/>
              <w:spacing w:before="260" w:line="219" w:lineRule="auto"/>
              <w:ind w:left="191"/>
            </w:pPr>
            <w:r>
              <w:rPr>
                <w:b/>
                <w:bCs/>
                <w:spacing w:val="-4"/>
              </w:rPr>
              <w:t>职权类型</w:t>
            </w:r>
          </w:p>
        </w:tc>
        <w:tc>
          <w:tcPr>
            <w:tcW w:w="8508" w:type="dxa"/>
            <w:vMerge w:val="restart"/>
            <w:tcBorders>
              <w:bottom w:val="nil"/>
            </w:tcBorders>
            <w:vAlign w:val="top"/>
          </w:tcPr>
          <w:p w14:paraId="1B993F39">
            <w:pPr>
              <w:pStyle w:val="8"/>
              <w:spacing w:before="259" w:line="219" w:lineRule="auto"/>
              <w:ind w:left="3900"/>
            </w:pPr>
            <w:r>
              <w:rPr>
                <w:b/>
                <w:bCs/>
                <w:spacing w:val="-5"/>
              </w:rPr>
              <w:t>实施依据</w:t>
            </w:r>
          </w:p>
        </w:tc>
        <w:tc>
          <w:tcPr>
            <w:tcW w:w="3425" w:type="dxa"/>
            <w:gridSpan w:val="3"/>
            <w:vAlign w:val="top"/>
          </w:tcPr>
          <w:p w14:paraId="70A6580C">
            <w:pPr>
              <w:pStyle w:val="8"/>
              <w:spacing w:before="85" w:line="220" w:lineRule="auto"/>
              <w:ind w:left="1358"/>
            </w:pPr>
            <w:r>
              <w:rPr>
                <w:b/>
                <w:bCs/>
                <w:spacing w:val="-5"/>
              </w:rPr>
              <w:t>实施主体</w:t>
            </w:r>
          </w:p>
        </w:tc>
      </w:tr>
      <w:tr w14:paraId="4AB64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18A1C56C">
            <w:pPr>
              <w:rPr>
                <w:rFonts w:ascii="Arial"/>
                <w:sz w:val="21"/>
              </w:rPr>
            </w:pPr>
          </w:p>
        </w:tc>
        <w:tc>
          <w:tcPr>
            <w:tcW w:w="1100" w:type="dxa"/>
            <w:vMerge w:val="continue"/>
            <w:tcBorders>
              <w:top w:val="nil"/>
            </w:tcBorders>
            <w:vAlign w:val="top"/>
          </w:tcPr>
          <w:p w14:paraId="5FCA8C33">
            <w:pPr>
              <w:rPr>
                <w:rFonts w:ascii="Arial"/>
                <w:sz w:val="21"/>
              </w:rPr>
            </w:pPr>
          </w:p>
        </w:tc>
        <w:tc>
          <w:tcPr>
            <w:tcW w:w="1100" w:type="dxa"/>
            <w:vMerge w:val="continue"/>
            <w:tcBorders>
              <w:top w:val="nil"/>
            </w:tcBorders>
            <w:vAlign w:val="top"/>
          </w:tcPr>
          <w:p w14:paraId="02DAB228">
            <w:pPr>
              <w:rPr>
                <w:rFonts w:ascii="Arial"/>
                <w:sz w:val="21"/>
              </w:rPr>
            </w:pPr>
          </w:p>
        </w:tc>
        <w:tc>
          <w:tcPr>
            <w:tcW w:w="8508" w:type="dxa"/>
            <w:vMerge w:val="continue"/>
            <w:tcBorders>
              <w:top w:val="nil"/>
            </w:tcBorders>
            <w:vAlign w:val="top"/>
          </w:tcPr>
          <w:p w14:paraId="7C92D333">
            <w:pPr>
              <w:rPr>
                <w:rFonts w:ascii="Arial"/>
                <w:sz w:val="21"/>
              </w:rPr>
            </w:pPr>
          </w:p>
        </w:tc>
        <w:tc>
          <w:tcPr>
            <w:tcW w:w="1010" w:type="dxa"/>
            <w:vAlign w:val="top"/>
          </w:tcPr>
          <w:p w14:paraId="4187D0FB">
            <w:pPr>
              <w:pStyle w:val="8"/>
              <w:spacing w:before="81" w:line="219" w:lineRule="auto"/>
              <w:ind w:left="155"/>
            </w:pPr>
            <w:r>
              <w:rPr>
                <w:b/>
                <w:bCs/>
                <w:spacing w:val="-5"/>
              </w:rPr>
              <w:t>责任部门</w:t>
            </w:r>
          </w:p>
        </w:tc>
        <w:tc>
          <w:tcPr>
            <w:tcW w:w="1401" w:type="dxa"/>
            <w:vAlign w:val="top"/>
          </w:tcPr>
          <w:p w14:paraId="4E512713">
            <w:pPr>
              <w:pStyle w:val="8"/>
              <w:spacing w:before="81" w:line="219" w:lineRule="auto"/>
              <w:ind w:left="164"/>
            </w:pPr>
            <w:r>
              <w:rPr>
                <w:b/>
                <w:bCs/>
                <w:spacing w:val="-3"/>
              </w:rPr>
              <w:t>第一责任层级</w:t>
            </w:r>
          </w:p>
        </w:tc>
        <w:tc>
          <w:tcPr>
            <w:tcW w:w="1014" w:type="dxa"/>
            <w:vAlign w:val="top"/>
          </w:tcPr>
          <w:p w14:paraId="3F34EC85">
            <w:pPr>
              <w:pStyle w:val="8"/>
              <w:spacing w:before="81" w:line="219" w:lineRule="auto"/>
              <w:ind w:left="150"/>
            </w:pPr>
            <w:r>
              <w:rPr>
                <w:b/>
                <w:bCs/>
                <w:spacing w:val="-4"/>
              </w:rPr>
              <w:t>承办机构</w:t>
            </w:r>
          </w:p>
        </w:tc>
      </w:tr>
      <w:tr w14:paraId="16CAC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7" w:hRule="atLeast"/>
        </w:trPr>
        <w:tc>
          <w:tcPr>
            <w:tcW w:w="622" w:type="dxa"/>
            <w:vAlign w:val="top"/>
          </w:tcPr>
          <w:p w14:paraId="53078086">
            <w:pPr>
              <w:spacing w:line="242" w:lineRule="auto"/>
              <w:rPr>
                <w:rFonts w:ascii="Arial"/>
                <w:sz w:val="21"/>
              </w:rPr>
            </w:pPr>
          </w:p>
          <w:p w14:paraId="05EB5266">
            <w:pPr>
              <w:spacing w:line="242" w:lineRule="auto"/>
              <w:rPr>
                <w:rFonts w:ascii="Arial"/>
                <w:sz w:val="21"/>
              </w:rPr>
            </w:pPr>
          </w:p>
          <w:p w14:paraId="78F7AE20">
            <w:pPr>
              <w:spacing w:line="243" w:lineRule="auto"/>
              <w:rPr>
                <w:rFonts w:ascii="Arial"/>
                <w:sz w:val="21"/>
              </w:rPr>
            </w:pPr>
          </w:p>
          <w:p w14:paraId="3B885D36">
            <w:pPr>
              <w:spacing w:line="243" w:lineRule="auto"/>
              <w:rPr>
                <w:rFonts w:ascii="Arial"/>
                <w:sz w:val="21"/>
              </w:rPr>
            </w:pPr>
          </w:p>
          <w:p w14:paraId="10AC966E">
            <w:pPr>
              <w:spacing w:line="243" w:lineRule="auto"/>
              <w:rPr>
                <w:rFonts w:ascii="Arial"/>
                <w:sz w:val="21"/>
              </w:rPr>
            </w:pPr>
          </w:p>
          <w:p w14:paraId="06466AEA">
            <w:pPr>
              <w:spacing w:line="243" w:lineRule="auto"/>
              <w:rPr>
                <w:rFonts w:ascii="Arial"/>
                <w:sz w:val="21"/>
              </w:rPr>
            </w:pPr>
          </w:p>
          <w:p w14:paraId="4A51C091">
            <w:pPr>
              <w:pStyle w:val="8"/>
              <w:spacing w:before="58" w:line="183" w:lineRule="auto"/>
              <w:ind w:left="225"/>
            </w:pPr>
            <w:r>
              <w:rPr>
                <w:spacing w:val="-3"/>
              </w:rPr>
              <w:t>46</w:t>
            </w:r>
          </w:p>
        </w:tc>
        <w:tc>
          <w:tcPr>
            <w:tcW w:w="1100" w:type="dxa"/>
            <w:vAlign w:val="top"/>
          </w:tcPr>
          <w:p w14:paraId="4D86C1DA">
            <w:pPr>
              <w:spacing w:line="475" w:lineRule="auto"/>
              <w:rPr>
                <w:rFonts w:ascii="Arial"/>
                <w:sz w:val="21"/>
              </w:rPr>
            </w:pPr>
          </w:p>
          <w:p w14:paraId="0F50F32D">
            <w:pPr>
              <w:pStyle w:val="8"/>
              <w:spacing w:before="59" w:line="244" w:lineRule="auto"/>
              <w:ind w:left="59" w:right="55"/>
              <w:jc w:val="both"/>
            </w:pPr>
            <w:r>
              <w:rPr>
                <w:spacing w:val="16"/>
              </w:rPr>
              <w:t>对港口经营</w:t>
            </w:r>
            <w:r>
              <w:t xml:space="preserve"> </w:t>
            </w:r>
            <w:r>
              <w:rPr>
                <w:spacing w:val="16"/>
              </w:rPr>
              <w:t>者未对危险</w:t>
            </w:r>
            <w:r>
              <w:t xml:space="preserve"> </w:t>
            </w:r>
            <w:r>
              <w:rPr>
                <w:spacing w:val="16"/>
              </w:rPr>
              <w:t>化学品专用</w:t>
            </w:r>
            <w:r>
              <w:t xml:space="preserve"> </w:t>
            </w:r>
            <w:r>
              <w:rPr>
                <w:spacing w:val="16"/>
              </w:rPr>
              <w:t>仓库的安全</w:t>
            </w:r>
            <w:r>
              <w:t xml:space="preserve"> </w:t>
            </w:r>
            <w:r>
              <w:rPr>
                <w:spacing w:val="16"/>
              </w:rPr>
              <w:t>设施、设备</w:t>
            </w:r>
            <w:r>
              <w:t xml:space="preserve"> </w:t>
            </w:r>
            <w:r>
              <w:rPr>
                <w:spacing w:val="16"/>
              </w:rPr>
              <w:t>定期进行检</w:t>
            </w:r>
            <w:r>
              <w:t xml:space="preserve"> </w:t>
            </w:r>
            <w:r>
              <w:rPr>
                <w:spacing w:val="16"/>
              </w:rPr>
              <w:t>测、检验行</w:t>
            </w:r>
            <w:r>
              <w:t xml:space="preserve"> </w:t>
            </w:r>
            <w:r>
              <w:rPr>
                <w:spacing w:val="16"/>
              </w:rPr>
              <w:t>为的行政处</w:t>
            </w:r>
            <w:r>
              <w:t xml:space="preserve"> 罚</w:t>
            </w:r>
          </w:p>
        </w:tc>
        <w:tc>
          <w:tcPr>
            <w:tcW w:w="1100" w:type="dxa"/>
            <w:vAlign w:val="top"/>
          </w:tcPr>
          <w:p w14:paraId="4FF6DAB6">
            <w:pPr>
              <w:spacing w:line="285" w:lineRule="auto"/>
              <w:rPr>
                <w:rFonts w:ascii="Arial"/>
                <w:sz w:val="21"/>
              </w:rPr>
            </w:pPr>
          </w:p>
          <w:p w14:paraId="09CD156D">
            <w:pPr>
              <w:spacing w:line="285" w:lineRule="auto"/>
              <w:rPr>
                <w:rFonts w:ascii="Arial"/>
                <w:sz w:val="21"/>
              </w:rPr>
            </w:pPr>
          </w:p>
          <w:p w14:paraId="1F480D78">
            <w:pPr>
              <w:spacing w:line="285" w:lineRule="auto"/>
              <w:rPr>
                <w:rFonts w:ascii="Arial"/>
                <w:sz w:val="21"/>
              </w:rPr>
            </w:pPr>
          </w:p>
          <w:p w14:paraId="7A797771">
            <w:pPr>
              <w:spacing w:line="285" w:lineRule="auto"/>
              <w:rPr>
                <w:rFonts w:ascii="Arial"/>
                <w:sz w:val="21"/>
              </w:rPr>
            </w:pPr>
          </w:p>
          <w:p w14:paraId="7269F3BB">
            <w:pPr>
              <w:spacing w:line="285" w:lineRule="auto"/>
              <w:rPr>
                <w:rFonts w:ascii="Arial"/>
                <w:sz w:val="21"/>
              </w:rPr>
            </w:pPr>
          </w:p>
          <w:p w14:paraId="0A9582B2">
            <w:pPr>
              <w:pStyle w:val="8"/>
              <w:spacing w:before="59" w:line="220" w:lineRule="auto"/>
              <w:ind w:left="112"/>
            </w:pPr>
            <w:r>
              <w:rPr>
                <w:spacing w:val="-2"/>
              </w:rPr>
              <w:t>行政处罚</w:t>
            </w:r>
          </w:p>
        </w:tc>
        <w:tc>
          <w:tcPr>
            <w:tcW w:w="8508" w:type="dxa"/>
            <w:vAlign w:val="top"/>
          </w:tcPr>
          <w:p w14:paraId="686B036B">
            <w:pPr>
              <w:spacing w:line="359" w:lineRule="auto"/>
              <w:rPr>
                <w:rFonts w:ascii="Arial"/>
                <w:sz w:val="21"/>
              </w:rPr>
            </w:pPr>
          </w:p>
          <w:p w14:paraId="0E39B2EA">
            <w:pPr>
              <w:pStyle w:val="8"/>
              <w:spacing w:before="59" w:line="219" w:lineRule="auto"/>
              <w:ind w:left="476"/>
            </w:pPr>
            <w:r>
              <w:rPr>
                <w:b/>
                <w:bCs/>
                <w:spacing w:val="-3"/>
              </w:rPr>
              <w:t>《危险化学品安全管理条例》</w:t>
            </w:r>
          </w:p>
          <w:p w14:paraId="0244DF83">
            <w:pPr>
              <w:pStyle w:val="8"/>
              <w:spacing w:before="26" w:line="219" w:lineRule="auto"/>
              <w:ind w:left="471"/>
            </w:pPr>
            <w:r>
              <w:t>第二十六条第二款  储存危险化学品的单位应当对其危险化学品专用仓库的安全设施、设备定期进行</w:t>
            </w:r>
          </w:p>
          <w:p w14:paraId="6E3AF9FA">
            <w:pPr>
              <w:pStyle w:val="8"/>
              <w:spacing w:before="26" w:line="219" w:lineRule="auto"/>
              <w:ind w:left="111"/>
            </w:pPr>
            <w:r>
              <w:rPr>
                <w:spacing w:val="-6"/>
              </w:rPr>
              <w:t>检测、检验。</w:t>
            </w:r>
          </w:p>
          <w:p w14:paraId="0A9B7627">
            <w:pPr>
              <w:pStyle w:val="8"/>
              <w:spacing w:before="25" w:line="241" w:lineRule="auto"/>
              <w:ind w:left="111" w:right="104" w:firstLine="359"/>
              <w:jc w:val="both"/>
            </w:pPr>
            <w:r>
              <w:t>第八十条第一款第（七）项  生产、储存、使用危险化学品的单位有下列情形之一的，由安全生产监</w:t>
            </w:r>
            <w:r>
              <w:rPr>
                <w:spacing w:val="3"/>
              </w:rPr>
              <w:t xml:space="preserve"> </w:t>
            </w:r>
            <w:r>
              <w:rPr>
                <w:spacing w:val="-3"/>
              </w:rPr>
              <w:t>督管理部门责令改正，处</w:t>
            </w:r>
            <w:r>
              <w:rPr>
                <w:spacing w:val="-31"/>
              </w:rPr>
              <w:t xml:space="preserve"> </w:t>
            </w:r>
            <w:r>
              <w:rPr>
                <w:spacing w:val="-3"/>
              </w:rPr>
              <w:t>5</w:t>
            </w:r>
            <w:r>
              <w:rPr>
                <w:spacing w:val="-35"/>
              </w:rPr>
              <w:t xml:space="preserve"> </w:t>
            </w:r>
            <w:r>
              <w:rPr>
                <w:spacing w:val="-3"/>
              </w:rPr>
              <w:t>万元以上</w:t>
            </w:r>
            <w:r>
              <w:rPr>
                <w:spacing w:val="-24"/>
              </w:rPr>
              <w:t xml:space="preserve"> </w:t>
            </w:r>
            <w:r>
              <w:rPr>
                <w:spacing w:val="-3"/>
              </w:rPr>
              <w:t>10</w:t>
            </w:r>
            <w:r>
              <w:rPr>
                <w:spacing w:val="-34"/>
              </w:rPr>
              <w:t xml:space="preserve"> </w:t>
            </w:r>
            <w:r>
              <w:rPr>
                <w:spacing w:val="-3"/>
              </w:rPr>
              <w:t>万元以下的罚款；拒不改正的，责令停产停业整顿直至由原发证机</w:t>
            </w:r>
            <w:r>
              <w:t xml:space="preserve"> 关吊销其相关许可证件，并由工商行政管理部门责令其办理经营范围变更登记或者吊销其营业执照；有关</w:t>
            </w:r>
            <w:r>
              <w:rPr>
                <w:spacing w:val="5"/>
              </w:rPr>
              <w:t xml:space="preserve"> </w:t>
            </w:r>
            <w:r>
              <w:t>责任人员构成犯罪的，依法追究刑事责任</w:t>
            </w:r>
            <w:r>
              <w:rPr>
                <w:spacing w:val="2"/>
              </w:rPr>
              <w:t>：（</w:t>
            </w:r>
            <w:r>
              <w:t>七）未对危险化学品专用仓库的安全设施、设备定期进行检</w:t>
            </w:r>
            <w:r>
              <w:rPr>
                <w:spacing w:val="1"/>
              </w:rPr>
              <w:t xml:space="preserve"> </w:t>
            </w:r>
            <w:r>
              <w:rPr>
                <w:spacing w:val="-5"/>
              </w:rPr>
              <w:t>测、检验的。</w:t>
            </w:r>
          </w:p>
          <w:p w14:paraId="4EF77504">
            <w:pPr>
              <w:pStyle w:val="8"/>
              <w:spacing w:before="26" w:line="233" w:lineRule="auto"/>
              <w:ind w:left="116" w:right="104" w:firstLine="354"/>
            </w:pPr>
            <w:r>
              <w:t>第八十条第二款  从事危险化学品仓储经营的港口经营人有前款规定情形的，由港口行政管理部门依</w:t>
            </w:r>
            <w:r>
              <w:rPr>
                <w:spacing w:val="6"/>
              </w:rPr>
              <w:t xml:space="preserve"> </w:t>
            </w:r>
            <w:r>
              <w:rPr>
                <w:spacing w:val="-4"/>
              </w:rPr>
              <w:t>照前款规定予以处罚。</w:t>
            </w:r>
          </w:p>
        </w:tc>
        <w:tc>
          <w:tcPr>
            <w:tcW w:w="1010" w:type="dxa"/>
            <w:vAlign w:val="top"/>
          </w:tcPr>
          <w:p w14:paraId="72D806EA">
            <w:pPr>
              <w:spacing w:line="262" w:lineRule="auto"/>
              <w:rPr>
                <w:rFonts w:ascii="Arial"/>
                <w:sz w:val="21"/>
              </w:rPr>
            </w:pPr>
          </w:p>
          <w:p w14:paraId="33EB52A4">
            <w:pPr>
              <w:spacing w:line="262" w:lineRule="auto"/>
              <w:rPr>
                <w:rFonts w:ascii="Arial"/>
                <w:sz w:val="21"/>
              </w:rPr>
            </w:pPr>
          </w:p>
          <w:p w14:paraId="1722F1D4">
            <w:pPr>
              <w:spacing w:line="263" w:lineRule="auto"/>
              <w:rPr>
                <w:rFonts w:ascii="Arial"/>
                <w:sz w:val="21"/>
              </w:rPr>
            </w:pPr>
          </w:p>
          <w:p w14:paraId="74B4440E">
            <w:pPr>
              <w:spacing w:line="263" w:lineRule="auto"/>
              <w:rPr>
                <w:rFonts w:ascii="Arial"/>
                <w:sz w:val="21"/>
              </w:rPr>
            </w:pPr>
          </w:p>
          <w:p w14:paraId="446BE541">
            <w:pPr>
              <w:spacing w:line="263" w:lineRule="auto"/>
              <w:rPr>
                <w:rFonts w:ascii="Arial"/>
                <w:sz w:val="21"/>
              </w:rPr>
            </w:pPr>
          </w:p>
          <w:p w14:paraId="20740E65">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461040B8">
            <w:pPr>
              <w:pStyle w:val="8"/>
              <w:spacing w:before="59" w:line="234" w:lineRule="auto"/>
              <w:ind w:left="530" w:right="104" w:hanging="413"/>
              <w:rPr>
                <w:rFonts w:hint="eastAsia"/>
                <w:spacing w:val="-12"/>
                <w:lang w:eastAsia="zh-CN"/>
              </w:rPr>
            </w:pPr>
          </w:p>
          <w:p w14:paraId="5D7989A0">
            <w:pPr>
              <w:pStyle w:val="8"/>
              <w:spacing w:before="59" w:line="234" w:lineRule="auto"/>
              <w:ind w:left="530" w:right="104" w:hanging="413"/>
              <w:rPr>
                <w:rFonts w:hint="eastAsia"/>
                <w:spacing w:val="-12"/>
                <w:lang w:eastAsia="zh-CN"/>
              </w:rPr>
            </w:pPr>
          </w:p>
          <w:p w14:paraId="26E64F5F">
            <w:pPr>
              <w:pStyle w:val="8"/>
              <w:spacing w:before="59" w:line="234" w:lineRule="auto"/>
              <w:ind w:left="530" w:right="104" w:hanging="413"/>
              <w:rPr>
                <w:rFonts w:hint="eastAsia"/>
                <w:spacing w:val="-12"/>
                <w:lang w:eastAsia="zh-CN"/>
              </w:rPr>
            </w:pPr>
          </w:p>
          <w:p w14:paraId="5A30A73F">
            <w:pPr>
              <w:pStyle w:val="8"/>
              <w:spacing w:before="59" w:line="234" w:lineRule="auto"/>
              <w:ind w:left="530" w:right="104" w:hanging="413"/>
              <w:rPr>
                <w:rFonts w:hint="eastAsia"/>
                <w:spacing w:val="-12"/>
                <w:lang w:eastAsia="zh-CN"/>
              </w:rPr>
            </w:pPr>
          </w:p>
          <w:p w14:paraId="4270B704">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059EA1B0">
            <w:pPr>
              <w:spacing w:line="298" w:lineRule="auto"/>
              <w:rPr>
                <w:rFonts w:ascii="Arial"/>
                <w:sz w:val="21"/>
              </w:rPr>
            </w:pPr>
          </w:p>
          <w:p w14:paraId="5D2EEEB7">
            <w:pPr>
              <w:spacing w:line="298" w:lineRule="auto"/>
              <w:rPr>
                <w:rFonts w:ascii="Arial"/>
                <w:sz w:val="21"/>
              </w:rPr>
            </w:pPr>
          </w:p>
          <w:p w14:paraId="696501B5">
            <w:pPr>
              <w:spacing w:line="299" w:lineRule="auto"/>
              <w:rPr>
                <w:rFonts w:ascii="Arial"/>
                <w:sz w:val="21"/>
              </w:rPr>
            </w:pPr>
          </w:p>
          <w:p w14:paraId="1B95FA80">
            <w:pPr>
              <w:spacing w:line="299" w:lineRule="auto"/>
              <w:rPr>
                <w:rFonts w:ascii="Arial"/>
                <w:sz w:val="21"/>
              </w:rPr>
            </w:pPr>
          </w:p>
          <w:p w14:paraId="11F78641">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513F5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622" w:type="dxa"/>
            <w:vAlign w:val="top"/>
          </w:tcPr>
          <w:p w14:paraId="5A38A3C4">
            <w:pPr>
              <w:spacing w:line="254" w:lineRule="auto"/>
              <w:rPr>
                <w:rFonts w:ascii="Arial"/>
                <w:sz w:val="21"/>
              </w:rPr>
            </w:pPr>
          </w:p>
          <w:p w14:paraId="115A0B6A">
            <w:pPr>
              <w:spacing w:line="254" w:lineRule="auto"/>
              <w:rPr>
                <w:rFonts w:ascii="Arial"/>
                <w:sz w:val="21"/>
              </w:rPr>
            </w:pPr>
          </w:p>
          <w:p w14:paraId="39C16015">
            <w:pPr>
              <w:spacing w:line="255" w:lineRule="auto"/>
              <w:rPr>
                <w:rFonts w:ascii="Arial"/>
                <w:sz w:val="21"/>
              </w:rPr>
            </w:pPr>
          </w:p>
          <w:p w14:paraId="6D8579D1">
            <w:pPr>
              <w:spacing w:line="255" w:lineRule="auto"/>
              <w:rPr>
                <w:rFonts w:ascii="Arial"/>
                <w:sz w:val="21"/>
              </w:rPr>
            </w:pPr>
          </w:p>
          <w:p w14:paraId="614DECF2">
            <w:pPr>
              <w:pStyle w:val="8"/>
              <w:spacing w:before="58" w:line="183" w:lineRule="auto"/>
              <w:ind w:left="225"/>
            </w:pPr>
            <w:r>
              <w:rPr>
                <w:spacing w:val="-3"/>
              </w:rPr>
              <w:t>47</w:t>
            </w:r>
          </w:p>
        </w:tc>
        <w:tc>
          <w:tcPr>
            <w:tcW w:w="1100" w:type="dxa"/>
            <w:vAlign w:val="top"/>
          </w:tcPr>
          <w:p w14:paraId="7B1D6848">
            <w:pPr>
              <w:spacing w:line="318" w:lineRule="auto"/>
              <w:rPr>
                <w:rFonts w:ascii="Arial"/>
                <w:sz w:val="21"/>
              </w:rPr>
            </w:pPr>
          </w:p>
          <w:p w14:paraId="3D556392">
            <w:pPr>
              <w:spacing w:line="319" w:lineRule="auto"/>
              <w:rPr>
                <w:rFonts w:ascii="Arial"/>
                <w:sz w:val="21"/>
              </w:rPr>
            </w:pPr>
          </w:p>
          <w:p w14:paraId="38E3C698">
            <w:pPr>
              <w:pStyle w:val="8"/>
              <w:spacing w:before="59" w:line="241" w:lineRule="auto"/>
              <w:ind w:left="61" w:right="55" w:hanging="2"/>
              <w:jc w:val="both"/>
            </w:pPr>
            <w:r>
              <w:rPr>
                <w:spacing w:val="16"/>
              </w:rPr>
              <w:t>对擅自设置</w:t>
            </w:r>
            <w:r>
              <w:t xml:space="preserve"> </w:t>
            </w:r>
            <w:r>
              <w:rPr>
                <w:spacing w:val="15"/>
              </w:rPr>
              <w:t>引航机构行</w:t>
            </w:r>
            <w:r>
              <w:rPr>
                <w:spacing w:val="1"/>
              </w:rPr>
              <w:t xml:space="preserve"> </w:t>
            </w:r>
            <w:r>
              <w:rPr>
                <w:spacing w:val="15"/>
              </w:rPr>
              <w:t>为的行政处</w:t>
            </w:r>
            <w:r>
              <w:rPr>
                <w:spacing w:val="1"/>
              </w:rPr>
              <w:t xml:space="preserve"> </w:t>
            </w:r>
            <w:r>
              <w:t>罚</w:t>
            </w:r>
          </w:p>
        </w:tc>
        <w:tc>
          <w:tcPr>
            <w:tcW w:w="1100" w:type="dxa"/>
            <w:vAlign w:val="top"/>
          </w:tcPr>
          <w:p w14:paraId="4D580511">
            <w:pPr>
              <w:spacing w:line="247" w:lineRule="auto"/>
              <w:rPr>
                <w:rFonts w:ascii="Arial"/>
                <w:sz w:val="21"/>
              </w:rPr>
            </w:pPr>
          </w:p>
          <w:p w14:paraId="71197E3C">
            <w:pPr>
              <w:spacing w:line="247" w:lineRule="auto"/>
              <w:rPr>
                <w:rFonts w:ascii="Arial"/>
                <w:sz w:val="21"/>
              </w:rPr>
            </w:pPr>
          </w:p>
          <w:p w14:paraId="42FB37D6">
            <w:pPr>
              <w:spacing w:line="248" w:lineRule="auto"/>
              <w:rPr>
                <w:rFonts w:ascii="Arial"/>
                <w:sz w:val="21"/>
              </w:rPr>
            </w:pPr>
          </w:p>
          <w:p w14:paraId="7862DD75">
            <w:pPr>
              <w:spacing w:line="248" w:lineRule="auto"/>
              <w:rPr>
                <w:rFonts w:ascii="Arial"/>
                <w:sz w:val="21"/>
              </w:rPr>
            </w:pPr>
          </w:p>
          <w:p w14:paraId="02A0EFDB">
            <w:pPr>
              <w:pStyle w:val="8"/>
              <w:spacing w:before="58" w:line="220" w:lineRule="auto"/>
              <w:ind w:left="112"/>
            </w:pPr>
            <w:r>
              <w:rPr>
                <w:spacing w:val="-2"/>
              </w:rPr>
              <w:t>行政处罚</w:t>
            </w:r>
          </w:p>
        </w:tc>
        <w:tc>
          <w:tcPr>
            <w:tcW w:w="8508" w:type="dxa"/>
            <w:vAlign w:val="top"/>
          </w:tcPr>
          <w:p w14:paraId="6C5054B1">
            <w:pPr>
              <w:spacing w:line="400" w:lineRule="auto"/>
              <w:rPr>
                <w:rFonts w:ascii="Arial"/>
                <w:sz w:val="21"/>
              </w:rPr>
            </w:pPr>
          </w:p>
          <w:p w14:paraId="41E501EA">
            <w:pPr>
              <w:pStyle w:val="8"/>
              <w:spacing w:before="58" w:line="219" w:lineRule="auto"/>
              <w:ind w:left="476"/>
            </w:pPr>
            <w:r>
              <w:rPr>
                <w:b/>
                <w:bCs/>
                <w:spacing w:val="-3"/>
              </w:rPr>
              <w:t>《船舶引航管理规定》（交通运输部令</w:t>
            </w:r>
            <w:r>
              <w:rPr>
                <w:spacing w:val="-37"/>
              </w:rPr>
              <w:t xml:space="preserve"> </w:t>
            </w:r>
            <w:r>
              <w:rPr>
                <w:b/>
                <w:bCs/>
                <w:spacing w:val="-3"/>
              </w:rPr>
              <w:t>20</w:t>
            </w:r>
            <w:r>
              <w:rPr>
                <w:b/>
                <w:bCs/>
                <w:spacing w:val="-4"/>
              </w:rPr>
              <w:t>21</w:t>
            </w:r>
            <w:r>
              <w:rPr>
                <w:spacing w:val="-38"/>
              </w:rPr>
              <w:t xml:space="preserve"> </w:t>
            </w:r>
            <w:r>
              <w:rPr>
                <w:b/>
                <w:bCs/>
                <w:spacing w:val="-4"/>
              </w:rPr>
              <w:t>年第</w:t>
            </w:r>
            <w:r>
              <w:rPr>
                <w:spacing w:val="-33"/>
              </w:rPr>
              <w:t xml:space="preserve"> </w:t>
            </w:r>
            <w:r>
              <w:rPr>
                <w:b/>
                <w:bCs/>
                <w:spacing w:val="-4"/>
              </w:rPr>
              <w:t>25</w:t>
            </w:r>
            <w:r>
              <w:rPr>
                <w:spacing w:val="-34"/>
              </w:rPr>
              <w:t xml:space="preserve"> </w:t>
            </w:r>
            <w:r>
              <w:rPr>
                <w:b/>
                <w:bCs/>
                <w:spacing w:val="-4"/>
              </w:rPr>
              <w:t>号）</w:t>
            </w:r>
          </w:p>
          <w:p w14:paraId="53EA136B">
            <w:pPr>
              <w:pStyle w:val="8"/>
              <w:spacing w:before="27" w:line="237" w:lineRule="auto"/>
              <w:ind w:left="112" w:right="104" w:firstLine="358"/>
              <w:jc w:val="both"/>
            </w:pPr>
            <w:r>
              <w:t>第十三条  引航机构的设置方案和引航具体范围，由市级地方人民政府港口主管部门根据引航业务发</w:t>
            </w:r>
            <w:r>
              <w:rPr>
                <w:spacing w:val="6"/>
              </w:rPr>
              <w:t xml:space="preserve"> </w:t>
            </w:r>
            <w:r>
              <w:t>展需要商海事管理机构提出申请，经省级地方人民政府港口主管部门（直辖市除外）审核后，报交</w:t>
            </w:r>
            <w:r>
              <w:rPr>
                <w:spacing w:val="-1"/>
              </w:rPr>
              <w:t>通运输</w:t>
            </w:r>
            <w:r>
              <w:t xml:space="preserve"> </w:t>
            </w:r>
            <w:r>
              <w:rPr>
                <w:spacing w:val="-7"/>
              </w:rPr>
              <w:t>部批准。</w:t>
            </w:r>
          </w:p>
          <w:p w14:paraId="12508B4E">
            <w:pPr>
              <w:pStyle w:val="8"/>
              <w:spacing w:before="24" w:line="233" w:lineRule="auto"/>
              <w:ind w:left="115" w:right="104" w:firstLine="355"/>
            </w:pPr>
            <w:r>
              <w:t>第四十二条  违反本规定第十三条规定，未经批准擅自设置引航机构的，由市级地方人民政府港口主</w:t>
            </w:r>
            <w:r>
              <w:rPr>
                <w:spacing w:val="6"/>
              </w:rPr>
              <w:t xml:space="preserve"> </w:t>
            </w:r>
            <w:r>
              <w:rPr>
                <w:spacing w:val="-1"/>
              </w:rPr>
              <w:t>管部门或者长江航务管理部门责令其纠正违法行为，并对擅自设置的引航</w:t>
            </w:r>
            <w:r>
              <w:rPr>
                <w:spacing w:val="-2"/>
              </w:rPr>
              <w:t>机构处</w:t>
            </w:r>
            <w:r>
              <w:rPr>
                <w:spacing w:val="-34"/>
              </w:rPr>
              <w:t xml:space="preserve"> </w:t>
            </w:r>
            <w:r>
              <w:rPr>
                <w:spacing w:val="-2"/>
              </w:rPr>
              <w:t>3</w:t>
            </w:r>
            <w:r>
              <w:rPr>
                <w:spacing w:val="-34"/>
              </w:rPr>
              <w:t xml:space="preserve"> </w:t>
            </w:r>
            <w:r>
              <w:rPr>
                <w:spacing w:val="-2"/>
              </w:rPr>
              <w:t>万元以下的罚款。</w:t>
            </w:r>
          </w:p>
        </w:tc>
        <w:tc>
          <w:tcPr>
            <w:tcW w:w="1010" w:type="dxa"/>
            <w:vAlign w:val="top"/>
          </w:tcPr>
          <w:p w14:paraId="7B078A88">
            <w:pPr>
              <w:spacing w:line="292" w:lineRule="auto"/>
              <w:rPr>
                <w:rFonts w:ascii="Arial"/>
                <w:sz w:val="21"/>
              </w:rPr>
            </w:pPr>
          </w:p>
          <w:p w14:paraId="1657C7AB">
            <w:pPr>
              <w:spacing w:line="292" w:lineRule="auto"/>
              <w:rPr>
                <w:rFonts w:ascii="Arial"/>
                <w:sz w:val="21"/>
              </w:rPr>
            </w:pPr>
          </w:p>
          <w:p w14:paraId="15891F10">
            <w:pPr>
              <w:spacing w:line="293" w:lineRule="auto"/>
              <w:rPr>
                <w:rFonts w:ascii="Arial"/>
                <w:sz w:val="21"/>
              </w:rPr>
            </w:pPr>
          </w:p>
          <w:p w14:paraId="49DB78FB">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27EE721B">
            <w:pPr>
              <w:pStyle w:val="8"/>
              <w:spacing w:before="59" w:line="234" w:lineRule="auto"/>
              <w:ind w:left="530" w:right="104" w:hanging="413"/>
              <w:rPr>
                <w:rFonts w:hint="eastAsia"/>
                <w:spacing w:val="-12"/>
                <w:lang w:eastAsia="zh-CN"/>
              </w:rPr>
            </w:pPr>
          </w:p>
          <w:p w14:paraId="050AEDD6">
            <w:pPr>
              <w:pStyle w:val="8"/>
              <w:spacing w:before="59" w:line="234" w:lineRule="auto"/>
              <w:ind w:left="530" w:right="104" w:hanging="413"/>
              <w:rPr>
                <w:rFonts w:hint="eastAsia"/>
                <w:spacing w:val="-12"/>
                <w:lang w:eastAsia="zh-CN"/>
              </w:rPr>
            </w:pPr>
          </w:p>
          <w:p w14:paraId="486D010E">
            <w:pPr>
              <w:pStyle w:val="8"/>
              <w:spacing w:before="59" w:line="234" w:lineRule="auto"/>
              <w:ind w:left="530" w:right="104" w:hanging="413"/>
              <w:rPr>
                <w:rFonts w:hint="eastAsia"/>
                <w:spacing w:val="-12"/>
                <w:lang w:eastAsia="zh-CN"/>
              </w:rPr>
            </w:pPr>
          </w:p>
          <w:p w14:paraId="29790EFD">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0368936B">
            <w:pPr>
              <w:spacing w:line="252" w:lineRule="auto"/>
              <w:rPr>
                <w:rFonts w:ascii="Arial"/>
                <w:sz w:val="21"/>
              </w:rPr>
            </w:pPr>
          </w:p>
          <w:p w14:paraId="35B3EABB">
            <w:pPr>
              <w:spacing w:line="253" w:lineRule="auto"/>
              <w:rPr>
                <w:rFonts w:ascii="Arial"/>
                <w:sz w:val="21"/>
              </w:rPr>
            </w:pPr>
          </w:p>
          <w:p w14:paraId="5DC9A01C">
            <w:pPr>
              <w:spacing w:line="253" w:lineRule="auto"/>
              <w:rPr>
                <w:rFonts w:ascii="Arial"/>
                <w:sz w:val="21"/>
              </w:rPr>
            </w:pPr>
          </w:p>
          <w:p w14:paraId="4968BF80">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33760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8" w:hRule="atLeast"/>
        </w:trPr>
        <w:tc>
          <w:tcPr>
            <w:tcW w:w="622" w:type="dxa"/>
            <w:vAlign w:val="top"/>
          </w:tcPr>
          <w:p w14:paraId="20ABDBA8">
            <w:pPr>
              <w:spacing w:line="254" w:lineRule="auto"/>
              <w:rPr>
                <w:rFonts w:ascii="Arial"/>
                <w:sz w:val="21"/>
              </w:rPr>
            </w:pPr>
          </w:p>
          <w:p w14:paraId="39E339C7">
            <w:pPr>
              <w:spacing w:line="254" w:lineRule="auto"/>
              <w:rPr>
                <w:rFonts w:ascii="Arial"/>
                <w:sz w:val="21"/>
              </w:rPr>
            </w:pPr>
          </w:p>
          <w:p w14:paraId="22ED86F7">
            <w:pPr>
              <w:spacing w:line="254" w:lineRule="auto"/>
              <w:rPr>
                <w:rFonts w:ascii="Arial"/>
                <w:sz w:val="21"/>
              </w:rPr>
            </w:pPr>
          </w:p>
          <w:p w14:paraId="1C2D5D8F">
            <w:pPr>
              <w:spacing w:line="254" w:lineRule="auto"/>
              <w:rPr>
                <w:rFonts w:ascii="Arial"/>
                <w:sz w:val="21"/>
              </w:rPr>
            </w:pPr>
          </w:p>
          <w:p w14:paraId="747A4C1E">
            <w:pPr>
              <w:spacing w:line="255" w:lineRule="auto"/>
              <w:rPr>
                <w:rFonts w:ascii="Arial"/>
                <w:sz w:val="21"/>
              </w:rPr>
            </w:pPr>
          </w:p>
          <w:p w14:paraId="15632083">
            <w:pPr>
              <w:spacing w:line="255" w:lineRule="auto"/>
              <w:rPr>
                <w:rFonts w:ascii="Arial"/>
                <w:sz w:val="21"/>
              </w:rPr>
            </w:pPr>
          </w:p>
          <w:p w14:paraId="1E71840A">
            <w:pPr>
              <w:pStyle w:val="8"/>
              <w:spacing w:before="58" w:line="183" w:lineRule="auto"/>
              <w:ind w:left="225"/>
            </w:pPr>
            <w:r>
              <w:rPr>
                <w:spacing w:val="-3"/>
              </w:rPr>
              <w:t>48</w:t>
            </w:r>
          </w:p>
        </w:tc>
        <w:tc>
          <w:tcPr>
            <w:tcW w:w="1100" w:type="dxa"/>
            <w:vAlign w:val="top"/>
          </w:tcPr>
          <w:p w14:paraId="554D386D">
            <w:pPr>
              <w:spacing w:line="303" w:lineRule="auto"/>
              <w:rPr>
                <w:rFonts w:ascii="Arial"/>
                <w:sz w:val="21"/>
              </w:rPr>
            </w:pPr>
          </w:p>
          <w:p w14:paraId="4E0CDFDB">
            <w:pPr>
              <w:spacing w:line="304" w:lineRule="auto"/>
              <w:rPr>
                <w:rFonts w:ascii="Arial"/>
                <w:sz w:val="21"/>
              </w:rPr>
            </w:pPr>
          </w:p>
          <w:p w14:paraId="63B9B703">
            <w:pPr>
              <w:spacing w:line="304" w:lineRule="auto"/>
              <w:rPr>
                <w:rFonts w:ascii="Arial"/>
                <w:sz w:val="21"/>
              </w:rPr>
            </w:pPr>
          </w:p>
          <w:p w14:paraId="53F9FC6F">
            <w:pPr>
              <w:pStyle w:val="8"/>
              <w:spacing w:before="58" w:line="242" w:lineRule="auto"/>
              <w:ind w:left="59" w:right="55"/>
              <w:jc w:val="both"/>
            </w:pPr>
            <w:r>
              <w:rPr>
                <w:spacing w:val="16"/>
              </w:rPr>
              <w:t>对引航机构</w:t>
            </w:r>
            <w:r>
              <w:t xml:space="preserve"> </w:t>
            </w:r>
            <w:r>
              <w:rPr>
                <w:spacing w:val="16"/>
              </w:rPr>
              <w:t>拒绝或者拖</w:t>
            </w:r>
            <w:r>
              <w:t xml:space="preserve"> </w:t>
            </w:r>
            <w:r>
              <w:rPr>
                <w:spacing w:val="16"/>
              </w:rPr>
              <w:t>延引航、不</w:t>
            </w:r>
            <w:r>
              <w:t xml:space="preserve"> </w:t>
            </w:r>
            <w:r>
              <w:rPr>
                <w:spacing w:val="16"/>
              </w:rPr>
              <w:t>指定责任引</w:t>
            </w:r>
            <w:r>
              <w:t xml:space="preserve"> </w:t>
            </w:r>
            <w:r>
              <w:rPr>
                <w:spacing w:val="16"/>
              </w:rPr>
              <w:t>航员的行政</w:t>
            </w:r>
            <w:r>
              <w:t xml:space="preserve"> </w:t>
            </w:r>
            <w:r>
              <w:rPr>
                <w:spacing w:val="-2"/>
              </w:rPr>
              <w:t>处罚</w:t>
            </w:r>
          </w:p>
        </w:tc>
        <w:tc>
          <w:tcPr>
            <w:tcW w:w="1100" w:type="dxa"/>
            <w:vAlign w:val="top"/>
          </w:tcPr>
          <w:p w14:paraId="08C8832E">
            <w:pPr>
              <w:spacing w:line="249" w:lineRule="auto"/>
              <w:rPr>
                <w:rFonts w:ascii="Arial"/>
                <w:sz w:val="21"/>
              </w:rPr>
            </w:pPr>
          </w:p>
          <w:p w14:paraId="02988B3A">
            <w:pPr>
              <w:spacing w:line="249" w:lineRule="auto"/>
              <w:rPr>
                <w:rFonts w:ascii="Arial"/>
                <w:sz w:val="21"/>
              </w:rPr>
            </w:pPr>
          </w:p>
          <w:p w14:paraId="2B5FD889">
            <w:pPr>
              <w:spacing w:line="250" w:lineRule="auto"/>
              <w:rPr>
                <w:rFonts w:ascii="Arial"/>
                <w:sz w:val="21"/>
              </w:rPr>
            </w:pPr>
          </w:p>
          <w:p w14:paraId="293743A9">
            <w:pPr>
              <w:spacing w:line="250" w:lineRule="auto"/>
              <w:rPr>
                <w:rFonts w:ascii="Arial"/>
                <w:sz w:val="21"/>
              </w:rPr>
            </w:pPr>
          </w:p>
          <w:p w14:paraId="77A49225">
            <w:pPr>
              <w:spacing w:line="250" w:lineRule="auto"/>
              <w:rPr>
                <w:rFonts w:ascii="Arial"/>
                <w:sz w:val="21"/>
              </w:rPr>
            </w:pPr>
          </w:p>
          <w:p w14:paraId="787EECB4">
            <w:pPr>
              <w:spacing w:line="250" w:lineRule="auto"/>
              <w:rPr>
                <w:rFonts w:ascii="Arial"/>
                <w:sz w:val="21"/>
              </w:rPr>
            </w:pPr>
          </w:p>
          <w:p w14:paraId="147EADDE">
            <w:pPr>
              <w:pStyle w:val="8"/>
              <w:spacing w:before="58" w:line="220" w:lineRule="auto"/>
              <w:ind w:left="112"/>
            </w:pPr>
            <w:r>
              <w:rPr>
                <w:spacing w:val="-2"/>
              </w:rPr>
              <w:t>行政处罚</w:t>
            </w:r>
          </w:p>
        </w:tc>
        <w:tc>
          <w:tcPr>
            <w:tcW w:w="8508" w:type="dxa"/>
            <w:vAlign w:val="top"/>
          </w:tcPr>
          <w:p w14:paraId="4C51124B">
            <w:pPr>
              <w:pStyle w:val="8"/>
              <w:spacing w:before="252" w:line="219" w:lineRule="auto"/>
              <w:ind w:left="476"/>
            </w:pPr>
            <w:r>
              <w:rPr>
                <w:b/>
                <w:bCs/>
                <w:spacing w:val="-3"/>
              </w:rPr>
              <w:t>《船舶引航管理规定》（交通运输部令</w:t>
            </w:r>
            <w:r>
              <w:rPr>
                <w:spacing w:val="-37"/>
              </w:rPr>
              <w:t xml:space="preserve"> </w:t>
            </w:r>
            <w:r>
              <w:rPr>
                <w:b/>
                <w:bCs/>
                <w:spacing w:val="-3"/>
              </w:rPr>
              <w:t>20</w:t>
            </w:r>
            <w:r>
              <w:rPr>
                <w:b/>
                <w:bCs/>
                <w:spacing w:val="-4"/>
              </w:rPr>
              <w:t>21</w:t>
            </w:r>
            <w:r>
              <w:rPr>
                <w:spacing w:val="-38"/>
              </w:rPr>
              <w:t xml:space="preserve"> </w:t>
            </w:r>
            <w:r>
              <w:rPr>
                <w:b/>
                <w:bCs/>
                <w:spacing w:val="-4"/>
              </w:rPr>
              <w:t>年第</w:t>
            </w:r>
            <w:r>
              <w:rPr>
                <w:spacing w:val="-33"/>
              </w:rPr>
              <w:t xml:space="preserve"> </w:t>
            </w:r>
            <w:r>
              <w:rPr>
                <w:b/>
                <w:bCs/>
                <w:spacing w:val="-4"/>
              </w:rPr>
              <w:t>25</w:t>
            </w:r>
            <w:r>
              <w:rPr>
                <w:spacing w:val="-34"/>
              </w:rPr>
              <w:t xml:space="preserve"> </w:t>
            </w:r>
            <w:r>
              <w:rPr>
                <w:b/>
                <w:bCs/>
                <w:spacing w:val="-4"/>
              </w:rPr>
              <w:t>号）</w:t>
            </w:r>
          </w:p>
          <w:p w14:paraId="08772F27">
            <w:pPr>
              <w:pStyle w:val="8"/>
              <w:spacing w:before="26" w:line="219" w:lineRule="auto"/>
              <w:ind w:left="471"/>
            </w:pPr>
            <w:r>
              <w:t>第二十三条  引航机构应当满足船舶提出的正当引航要求，及时为船舶提供引航服务，不得无故拒绝</w:t>
            </w:r>
          </w:p>
          <w:p w14:paraId="32B98346">
            <w:pPr>
              <w:pStyle w:val="8"/>
              <w:spacing w:before="26" w:line="221" w:lineRule="auto"/>
              <w:ind w:left="113"/>
            </w:pPr>
            <w:r>
              <w:rPr>
                <w:spacing w:val="-7"/>
              </w:rPr>
              <w:t>或者拖延。</w:t>
            </w:r>
          </w:p>
          <w:p w14:paraId="342E9ECA">
            <w:pPr>
              <w:pStyle w:val="8"/>
              <w:spacing w:before="23" w:line="233" w:lineRule="auto"/>
              <w:ind w:left="112" w:right="104" w:firstLine="371"/>
            </w:pPr>
            <w:r>
              <w:t>引航长、宽以及吃水或者水面以上高度接近相应航道通航条件限值的船舶，引航机构</w:t>
            </w:r>
            <w:r>
              <w:rPr>
                <w:spacing w:val="-1"/>
              </w:rPr>
              <w:t>应当制定引航方</w:t>
            </w:r>
            <w:r>
              <w:t xml:space="preserve"> </w:t>
            </w:r>
            <w:r>
              <w:rPr>
                <w:spacing w:val="-1"/>
              </w:rPr>
              <w:t>案，报市级地方人民政府港口主管部门和海</w:t>
            </w:r>
            <w:r>
              <w:rPr>
                <w:spacing w:val="-2"/>
              </w:rPr>
              <w:t>事管理机构备案。</w:t>
            </w:r>
          </w:p>
          <w:p w14:paraId="29B7A56A">
            <w:pPr>
              <w:pStyle w:val="8"/>
              <w:spacing w:before="27" w:line="232" w:lineRule="auto"/>
              <w:ind w:left="111" w:right="104" w:firstLine="373"/>
            </w:pPr>
            <w:r>
              <w:t>引航方案应当由一级引航员主持或者参与制定。引航方案应当包括船舶基本情况、注</w:t>
            </w:r>
            <w:r>
              <w:rPr>
                <w:spacing w:val="-1"/>
              </w:rPr>
              <w:t>意事项、风险评</w:t>
            </w:r>
            <w:r>
              <w:t xml:space="preserve"> </w:t>
            </w:r>
            <w:r>
              <w:rPr>
                <w:spacing w:val="-3"/>
              </w:rPr>
              <w:t>估、安全保障和应急处置措施。</w:t>
            </w:r>
          </w:p>
          <w:p w14:paraId="3C54D56E">
            <w:pPr>
              <w:pStyle w:val="8"/>
              <w:spacing w:before="26" w:line="233" w:lineRule="auto"/>
              <w:ind w:left="114" w:right="104" w:firstLine="357"/>
            </w:pPr>
            <w:r>
              <w:t>第二十七条  在一次连续的引航中，同时有两名或两名以上的引航员在船时，引航机构必须指定其中</w:t>
            </w:r>
            <w:r>
              <w:rPr>
                <w:spacing w:val="6"/>
              </w:rPr>
              <w:t xml:space="preserve"> </w:t>
            </w:r>
            <w:r>
              <w:rPr>
                <w:spacing w:val="-3"/>
              </w:rPr>
              <w:t>一人为本次引航的责任引航员。</w:t>
            </w:r>
          </w:p>
          <w:p w14:paraId="42267FA0">
            <w:pPr>
              <w:pStyle w:val="8"/>
              <w:spacing w:before="27" w:line="237" w:lineRule="auto"/>
              <w:ind w:left="110" w:right="104" w:firstLine="360"/>
              <w:jc w:val="both"/>
            </w:pPr>
            <w:r>
              <w:t>第四十三条  违反本规定第二十三条、第二十七条规定，引航机构拒绝或者拖延引航、不指定责任引</w:t>
            </w:r>
            <w:r>
              <w:rPr>
                <w:spacing w:val="6"/>
              </w:rPr>
              <w:t xml:space="preserve"> </w:t>
            </w:r>
            <w:r>
              <w:t>航员的，由市级地方人民政府港口主管部门、长江航务管理部门责令引航机构纠正其违法行为，并对引航</w:t>
            </w:r>
            <w:r>
              <w:rPr>
                <w:spacing w:val="7"/>
              </w:rPr>
              <w:t xml:space="preserve"> </w:t>
            </w:r>
            <w:r>
              <w:rPr>
                <w:spacing w:val="-5"/>
              </w:rPr>
              <w:t>机构处</w:t>
            </w:r>
            <w:r>
              <w:rPr>
                <w:spacing w:val="-25"/>
              </w:rPr>
              <w:t xml:space="preserve"> </w:t>
            </w:r>
            <w:r>
              <w:rPr>
                <w:spacing w:val="-5"/>
              </w:rPr>
              <w:t>1</w:t>
            </w:r>
            <w:r>
              <w:rPr>
                <w:spacing w:val="-34"/>
              </w:rPr>
              <w:t xml:space="preserve"> </w:t>
            </w:r>
            <w:r>
              <w:rPr>
                <w:spacing w:val="-5"/>
              </w:rPr>
              <w:t>万元以下的罚款。</w:t>
            </w:r>
          </w:p>
        </w:tc>
        <w:tc>
          <w:tcPr>
            <w:tcW w:w="1010" w:type="dxa"/>
            <w:vAlign w:val="top"/>
          </w:tcPr>
          <w:p w14:paraId="3E87C41F">
            <w:pPr>
              <w:spacing w:line="277" w:lineRule="auto"/>
              <w:rPr>
                <w:rFonts w:ascii="Arial"/>
                <w:sz w:val="21"/>
              </w:rPr>
            </w:pPr>
          </w:p>
          <w:p w14:paraId="06F94690">
            <w:pPr>
              <w:spacing w:line="277" w:lineRule="auto"/>
              <w:rPr>
                <w:rFonts w:ascii="Arial"/>
                <w:sz w:val="21"/>
              </w:rPr>
            </w:pPr>
          </w:p>
          <w:p w14:paraId="1D1596DB">
            <w:pPr>
              <w:spacing w:line="277" w:lineRule="auto"/>
              <w:rPr>
                <w:rFonts w:ascii="Arial"/>
                <w:sz w:val="21"/>
              </w:rPr>
            </w:pPr>
          </w:p>
          <w:p w14:paraId="517434B7">
            <w:pPr>
              <w:spacing w:line="277" w:lineRule="auto"/>
              <w:rPr>
                <w:rFonts w:ascii="Arial"/>
                <w:sz w:val="21"/>
              </w:rPr>
            </w:pPr>
          </w:p>
          <w:p w14:paraId="6B28F5D5">
            <w:pPr>
              <w:spacing w:line="277" w:lineRule="auto"/>
              <w:rPr>
                <w:rFonts w:ascii="Arial"/>
                <w:sz w:val="21"/>
              </w:rPr>
            </w:pPr>
          </w:p>
          <w:p w14:paraId="4067BB3F">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409E04BC">
            <w:pPr>
              <w:pStyle w:val="8"/>
              <w:spacing w:before="59" w:line="234" w:lineRule="auto"/>
              <w:ind w:left="530" w:right="104" w:hanging="413"/>
              <w:rPr>
                <w:rFonts w:hint="eastAsia"/>
                <w:spacing w:val="-12"/>
                <w:lang w:eastAsia="zh-CN"/>
              </w:rPr>
            </w:pPr>
          </w:p>
          <w:p w14:paraId="676E5B2D">
            <w:pPr>
              <w:pStyle w:val="8"/>
              <w:spacing w:before="59" w:line="234" w:lineRule="auto"/>
              <w:ind w:left="530" w:right="104" w:hanging="413"/>
              <w:rPr>
                <w:rFonts w:hint="eastAsia"/>
                <w:spacing w:val="-12"/>
                <w:lang w:eastAsia="zh-CN"/>
              </w:rPr>
            </w:pPr>
          </w:p>
          <w:p w14:paraId="7EAF2A5C">
            <w:pPr>
              <w:pStyle w:val="8"/>
              <w:spacing w:before="59" w:line="234" w:lineRule="auto"/>
              <w:ind w:left="530" w:right="104" w:hanging="413"/>
              <w:rPr>
                <w:rFonts w:hint="eastAsia"/>
                <w:spacing w:val="-12"/>
                <w:lang w:eastAsia="zh-CN"/>
              </w:rPr>
            </w:pPr>
          </w:p>
          <w:p w14:paraId="08E8F29C">
            <w:pPr>
              <w:pStyle w:val="8"/>
              <w:spacing w:before="59" w:line="234" w:lineRule="auto"/>
              <w:ind w:left="530" w:right="104" w:hanging="413"/>
              <w:rPr>
                <w:rFonts w:hint="eastAsia"/>
                <w:spacing w:val="-12"/>
                <w:lang w:eastAsia="zh-CN"/>
              </w:rPr>
            </w:pPr>
          </w:p>
          <w:p w14:paraId="32E2DDFE">
            <w:pPr>
              <w:pStyle w:val="8"/>
              <w:spacing w:before="59" w:line="234" w:lineRule="auto"/>
              <w:ind w:left="530" w:right="104" w:hanging="413"/>
              <w:rPr>
                <w:rFonts w:hint="eastAsia"/>
                <w:spacing w:val="-12"/>
                <w:lang w:eastAsia="zh-CN"/>
              </w:rPr>
            </w:pPr>
          </w:p>
          <w:p w14:paraId="02328158">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47AD401D">
            <w:pPr>
              <w:spacing w:line="253" w:lineRule="auto"/>
              <w:rPr>
                <w:rFonts w:ascii="Arial"/>
                <w:sz w:val="21"/>
              </w:rPr>
            </w:pPr>
          </w:p>
          <w:p w14:paraId="47F1AF51">
            <w:pPr>
              <w:spacing w:line="253" w:lineRule="auto"/>
              <w:rPr>
                <w:rFonts w:ascii="Arial"/>
                <w:sz w:val="21"/>
              </w:rPr>
            </w:pPr>
          </w:p>
          <w:p w14:paraId="04DA5F43">
            <w:pPr>
              <w:spacing w:line="253" w:lineRule="auto"/>
              <w:rPr>
                <w:rFonts w:ascii="Arial"/>
                <w:sz w:val="21"/>
              </w:rPr>
            </w:pPr>
          </w:p>
          <w:p w14:paraId="4E982CCB">
            <w:pPr>
              <w:spacing w:line="253" w:lineRule="auto"/>
              <w:rPr>
                <w:rFonts w:ascii="Arial"/>
                <w:sz w:val="21"/>
              </w:rPr>
            </w:pPr>
          </w:p>
          <w:p w14:paraId="58B1728C">
            <w:pPr>
              <w:spacing w:line="254" w:lineRule="auto"/>
              <w:rPr>
                <w:rFonts w:ascii="Arial"/>
                <w:sz w:val="21"/>
              </w:rPr>
            </w:pPr>
          </w:p>
          <w:p w14:paraId="4A0E5ACE">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3332DCE6">
      <w:pPr>
        <w:pStyle w:val="2"/>
      </w:pPr>
    </w:p>
    <w:p w14:paraId="7683BE49">
      <w:pPr>
        <w:sectPr>
          <w:footerReference r:id="rId151" w:type="default"/>
          <w:pgSz w:w="16839" w:h="11906"/>
          <w:pgMar w:top="1012" w:right="1034" w:bottom="967" w:left="1043" w:header="0" w:footer="768" w:gutter="0"/>
          <w:cols w:space="720" w:num="1"/>
        </w:sectPr>
      </w:pPr>
    </w:p>
    <w:p w14:paraId="23D03DE3">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2EBC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6C3BD0C1">
            <w:pPr>
              <w:pStyle w:val="8"/>
              <w:spacing w:before="259" w:line="221" w:lineRule="auto"/>
              <w:ind w:left="134"/>
            </w:pPr>
            <w:r>
              <w:rPr>
                <w:b/>
                <w:bCs/>
                <w:spacing w:val="-4"/>
              </w:rPr>
              <w:t>序号</w:t>
            </w:r>
          </w:p>
        </w:tc>
        <w:tc>
          <w:tcPr>
            <w:tcW w:w="1100" w:type="dxa"/>
            <w:vMerge w:val="restart"/>
            <w:tcBorders>
              <w:bottom w:val="nil"/>
            </w:tcBorders>
            <w:vAlign w:val="top"/>
          </w:tcPr>
          <w:p w14:paraId="12324D51">
            <w:pPr>
              <w:pStyle w:val="8"/>
              <w:spacing w:before="260" w:line="220" w:lineRule="auto"/>
              <w:ind w:left="189"/>
            </w:pPr>
            <w:r>
              <w:rPr>
                <w:b/>
                <w:bCs/>
                <w:spacing w:val="-4"/>
              </w:rPr>
              <w:t>事项名称</w:t>
            </w:r>
          </w:p>
        </w:tc>
        <w:tc>
          <w:tcPr>
            <w:tcW w:w="1100" w:type="dxa"/>
            <w:vMerge w:val="restart"/>
            <w:tcBorders>
              <w:bottom w:val="nil"/>
            </w:tcBorders>
            <w:vAlign w:val="top"/>
          </w:tcPr>
          <w:p w14:paraId="673F7515">
            <w:pPr>
              <w:pStyle w:val="8"/>
              <w:spacing w:before="260" w:line="219" w:lineRule="auto"/>
              <w:ind w:left="191"/>
            </w:pPr>
            <w:r>
              <w:rPr>
                <w:b/>
                <w:bCs/>
                <w:spacing w:val="-4"/>
              </w:rPr>
              <w:t>职权类型</w:t>
            </w:r>
          </w:p>
        </w:tc>
        <w:tc>
          <w:tcPr>
            <w:tcW w:w="8508" w:type="dxa"/>
            <w:vMerge w:val="restart"/>
            <w:tcBorders>
              <w:bottom w:val="nil"/>
            </w:tcBorders>
            <w:vAlign w:val="top"/>
          </w:tcPr>
          <w:p w14:paraId="00325E1D">
            <w:pPr>
              <w:pStyle w:val="8"/>
              <w:spacing w:before="259" w:line="219" w:lineRule="auto"/>
              <w:ind w:left="3900"/>
            </w:pPr>
            <w:r>
              <w:rPr>
                <w:b/>
                <w:bCs/>
                <w:spacing w:val="-5"/>
              </w:rPr>
              <w:t>实施依据</w:t>
            </w:r>
          </w:p>
        </w:tc>
        <w:tc>
          <w:tcPr>
            <w:tcW w:w="3425" w:type="dxa"/>
            <w:gridSpan w:val="3"/>
            <w:vAlign w:val="top"/>
          </w:tcPr>
          <w:p w14:paraId="39A387B5">
            <w:pPr>
              <w:pStyle w:val="8"/>
              <w:spacing w:before="85" w:line="220" w:lineRule="auto"/>
              <w:ind w:left="1358"/>
            </w:pPr>
            <w:r>
              <w:rPr>
                <w:b/>
                <w:bCs/>
                <w:spacing w:val="-5"/>
              </w:rPr>
              <w:t>实施主体</w:t>
            </w:r>
          </w:p>
        </w:tc>
      </w:tr>
      <w:tr w14:paraId="03444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289C2A4D">
            <w:pPr>
              <w:rPr>
                <w:rFonts w:ascii="Arial"/>
                <w:sz w:val="21"/>
              </w:rPr>
            </w:pPr>
          </w:p>
        </w:tc>
        <w:tc>
          <w:tcPr>
            <w:tcW w:w="1100" w:type="dxa"/>
            <w:vMerge w:val="continue"/>
            <w:tcBorders>
              <w:top w:val="nil"/>
            </w:tcBorders>
            <w:vAlign w:val="top"/>
          </w:tcPr>
          <w:p w14:paraId="5B1D8BD8">
            <w:pPr>
              <w:rPr>
                <w:rFonts w:ascii="Arial"/>
                <w:sz w:val="21"/>
              </w:rPr>
            </w:pPr>
          </w:p>
        </w:tc>
        <w:tc>
          <w:tcPr>
            <w:tcW w:w="1100" w:type="dxa"/>
            <w:vMerge w:val="continue"/>
            <w:tcBorders>
              <w:top w:val="nil"/>
            </w:tcBorders>
            <w:vAlign w:val="top"/>
          </w:tcPr>
          <w:p w14:paraId="4182E944">
            <w:pPr>
              <w:rPr>
                <w:rFonts w:ascii="Arial"/>
                <w:sz w:val="21"/>
              </w:rPr>
            </w:pPr>
          </w:p>
        </w:tc>
        <w:tc>
          <w:tcPr>
            <w:tcW w:w="8508" w:type="dxa"/>
            <w:vMerge w:val="continue"/>
            <w:tcBorders>
              <w:top w:val="nil"/>
            </w:tcBorders>
            <w:vAlign w:val="top"/>
          </w:tcPr>
          <w:p w14:paraId="62D0D714">
            <w:pPr>
              <w:rPr>
                <w:rFonts w:ascii="Arial"/>
                <w:sz w:val="21"/>
              </w:rPr>
            </w:pPr>
          </w:p>
        </w:tc>
        <w:tc>
          <w:tcPr>
            <w:tcW w:w="1010" w:type="dxa"/>
            <w:vAlign w:val="top"/>
          </w:tcPr>
          <w:p w14:paraId="24960821">
            <w:pPr>
              <w:pStyle w:val="8"/>
              <w:spacing w:before="81" w:line="219" w:lineRule="auto"/>
              <w:ind w:left="155"/>
            </w:pPr>
            <w:r>
              <w:rPr>
                <w:b/>
                <w:bCs/>
                <w:spacing w:val="-5"/>
              </w:rPr>
              <w:t>责任部门</w:t>
            </w:r>
          </w:p>
        </w:tc>
        <w:tc>
          <w:tcPr>
            <w:tcW w:w="1401" w:type="dxa"/>
            <w:vAlign w:val="top"/>
          </w:tcPr>
          <w:p w14:paraId="076885D5">
            <w:pPr>
              <w:pStyle w:val="8"/>
              <w:spacing w:before="81" w:line="219" w:lineRule="auto"/>
              <w:ind w:left="164"/>
            </w:pPr>
            <w:r>
              <w:rPr>
                <w:b/>
                <w:bCs/>
                <w:spacing w:val="-3"/>
              </w:rPr>
              <w:t>第一责任层级</w:t>
            </w:r>
          </w:p>
        </w:tc>
        <w:tc>
          <w:tcPr>
            <w:tcW w:w="1014" w:type="dxa"/>
            <w:vAlign w:val="top"/>
          </w:tcPr>
          <w:p w14:paraId="0F039AD9">
            <w:pPr>
              <w:pStyle w:val="8"/>
              <w:spacing w:before="81" w:line="219" w:lineRule="auto"/>
              <w:ind w:left="150"/>
            </w:pPr>
            <w:r>
              <w:rPr>
                <w:b/>
                <w:bCs/>
                <w:spacing w:val="-4"/>
              </w:rPr>
              <w:t>承办机构</w:t>
            </w:r>
          </w:p>
        </w:tc>
      </w:tr>
      <w:tr w14:paraId="29736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7" w:hRule="atLeast"/>
        </w:trPr>
        <w:tc>
          <w:tcPr>
            <w:tcW w:w="622" w:type="dxa"/>
            <w:vAlign w:val="top"/>
          </w:tcPr>
          <w:p w14:paraId="05847048">
            <w:pPr>
              <w:spacing w:line="257" w:lineRule="auto"/>
              <w:rPr>
                <w:rFonts w:ascii="Arial"/>
                <w:sz w:val="21"/>
              </w:rPr>
            </w:pPr>
          </w:p>
          <w:p w14:paraId="2B63AE22">
            <w:pPr>
              <w:spacing w:line="257" w:lineRule="auto"/>
              <w:rPr>
                <w:rFonts w:ascii="Arial"/>
                <w:sz w:val="21"/>
              </w:rPr>
            </w:pPr>
          </w:p>
          <w:p w14:paraId="18917410">
            <w:pPr>
              <w:spacing w:line="257" w:lineRule="auto"/>
              <w:rPr>
                <w:rFonts w:ascii="Arial"/>
                <w:sz w:val="21"/>
              </w:rPr>
            </w:pPr>
          </w:p>
          <w:p w14:paraId="278FB3A8">
            <w:pPr>
              <w:spacing w:line="257" w:lineRule="auto"/>
              <w:rPr>
                <w:rFonts w:ascii="Arial"/>
                <w:sz w:val="21"/>
              </w:rPr>
            </w:pPr>
          </w:p>
          <w:p w14:paraId="4C0012E3">
            <w:pPr>
              <w:spacing w:line="258" w:lineRule="auto"/>
              <w:rPr>
                <w:rFonts w:ascii="Arial"/>
                <w:sz w:val="21"/>
              </w:rPr>
            </w:pPr>
          </w:p>
          <w:p w14:paraId="2D43269F">
            <w:pPr>
              <w:spacing w:line="258" w:lineRule="auto"/>
              <w:rPr>
                <w:rFonts w:ascii="Arial"/>
                <w:sz w:val="21"/>
              </w:rPr>
            </w:pPr>
          </w:p>
          <w:p w14:paraId="711D1525">
            <w:pPr>
              <w:pStyle w:val="8"/>
              <w:spacing w:before="59" w:line="183" w:lineRule="auto"/>
              <w:ind w:left="225"/>
            </w:pPr>
            <w:r>
              <w:rPr>
                <w:spacing w:val="-3"/>
              </w:rPr>
              <w:t>49</w:t>
            </w:r>
          </w:p>
        </w:tc>
        <w:tc>
          <w:tcPr>
            <w:tcW w:w="1100" w:type="dxa"/>
            <w:vAlign w:val="top"/>
          </w:tcPr>
          <w:p w14:paraId="78F60BC1">
            <w:pPr>
              <w:spacing w:line="269" w:lineRule="auto"/>
              <w:rPr>
                <w:rFonts w:ascii="Arial"/>
                <w:sz w:val="21"/>
              </w:rPr>
            </w:pPr>
          </w:p>
          <w:p w14:paraId="672358C1">
            <w:pPr>
              <w:spacing w:line="269" w:lineRule="auto"/>
              <w:rPr>
                <w:rFonts w:ascii="Arial"/>
                <w:sz w:val="21"/>
              </w:rPr>
            </w:pPr>
          </w:p>
          <w:p w14:paraId="6F24C025">
            <w:pPr>
              <w:spacing w:line="269" w:lineRule="auto"/>
              <w:rPr>
                <w:rFonts w:ascii="Arial"/>
                <w:sz w:val="21"/>
              </w:rPr>
            </w:pPr>
          </w:p>
          <w:p w14:paraId="11E15069">
            <w:pPr>
              <w:pStyle w:val="8"/>
              <w:spacing w:before="59" w:line="243" w:lineRule="auto"/>
              <w:ind w:left="60" w:right="55" w:hanging="1"/>
              <w:jc w:val="both"/>
            </w:pPr>
            <w:r>
              <w:rPr>
                <w:spacing w:val="16"/>
              </w:rPr>
              <w:t>对港口企业</w:t>
            </w:r>
            <w:r>
              <w:t xml:space="preserve"> </w:t>
            </w:r>
            <w:r>
              <w:rPr>
                <w:spacing w:val="15"/>
              </w:rPr>
              <w:t>不按规定配</w:t>
            </w:r>
            <w:r>
              <w:rPr>
                <w:spacing w:val="2"/>
              </w:rPr>
              <w:t xml:space="preserve"> </w:t>
            </w:r>
            <w:r>
              <w:rPr>
                <w:spacing w:val="15"/>
              </w:rPr>
              <w:t>合和保障被</w:t>
            </w:r>
            <w:r>
              <w:rPr>
                <w:spacing w:val="2"/>
              </w:rPr>
              <w:t xml:space="preserve"> </w:t>
            </w:r>
            <w:r>
              <w:rPr>
                <w:spacing w:val="-8"/>
              </w:rPr>
              <w:t>引</w:t>
            </w:r>
            <w:r>
              <w:rPr>
                <w:spacing w:val="5"/>
              </w:rPr>
              <w:t xml:space="preserve"> </w:t>
            </w:r>
            <w:r>
              <w:rPr>
                <w:spacing w:val="-8"/>
              </w:rPr>
              <w:t>船</w:t>
            </w:r>
            <w:r>
              <w:rPr>
                <w:spacing w:val="8"/>
              </w:rPr>
              <w:t xml:space="preserve"> </w:t>
            </w:r>
            <w:r>
              <w:rPr>
                <w:spacing w:val="-8"/>
              </w:rPr>
              <w:t>舶</w:t>
            </w:r>
            <w:r>
              <w:rPr>
                <w:spacing w:val="6"/>
              </w:rPr>
              <w:t xml:space="preserve"> </w:t>
            </w:r>
            <w:r>
              <w:rPr>
                <w:spacing w:val="-8"/>
              </w:rPr>
              <w:t>靠</w:t>
            </w:r>
            <w:r>
              <w:t xml:space="preserve"> </w:t>
            </w:r>
            <w:r>
              <w:rPr>
                <w:spacing w:val="15"/>
              </w:rPr>
              <w:t>离、泊等行</w:t>
            </w:r>
            <w:r>
              <w:rPr>
                <w:spacing w:val="2"/>
              </w:rPr>
              <w:t xml:space="preserve"> </w:t>
            </w:r>
            <w:r>
              <w:rPr>
                <w:spacing w:val="15"/>
              </w:rPr>
              <w:t>为的行政处</w:t>
            </w:r>
            <w:r>
              <w:rPr>
                <w:spacing w:val="2"/>
              </w:rPr>
              <w:t xml:space="preserve"> </w:t>
            </w:r>
            <w:r>
              <w:t>罚</w:t>
            </w:r>
          </w:p>
        </w:tc>
        <w:tc>
          <w:tcPr>
            <w:tcW w:w="1100" w:type="dxa"/>
            <w:vAlign w:val="top"/>
          </w:tcPr>
          <w:p w14:paraId="6EAE33B7">
            <w:pPr>
              <w:spacing w:line="252" w:lineRule="auto"/>
              <w:rPr>
                <w:rFonts w:ascii="Arial"/>
                <w:sz w:val="21"/>
              </w:rPr>
            </w:pPr>
          </w:p>
          <w:p w14:paraId="15144279">
            <w:pPr>
              <w:spacing w:line="252" w:lineRule="auto"/>
              <w:rPr>
                <w:rFonts w:ascii="Arial"/>
                <w:sz w:val="21"/>
              </w:rPr>
            </w:pPr>
          </w:p>
          <w:p w14:paraId="63ACFFE9">
            <w:pPr>
              <w:spacing w:line="253" w:lineRule="auto"/>
              <w:rPr>
                <w:rFonts w:ascii="Arial"/>
                <w:sz w:val="21"/>
              </w:rPr>
            </w:pPr>
          </w:p>
          <w:p w14:paraId="220588DF">
            <w:pPr>
              <w:spacing w:line="253" w:lineRule="auto"/>
              <w:rPr>
                <w:rFonts w:ascii="Arial"/>
                <w:sz w:val="21"/>
              </w:rPr>
            </w:pPr>
          </w:p>
          <w:p w14:paraId="558D87B4">
            <w:pPr>
              <w:spacing w:line="253" w:lineRule="auto"/>
              <w:rPr>
                <w:rFonts w:ascii="Arial"/>
                <w:sz w:val="21"/>
              </w:rPr>
            </w:pPr>
          </w:p>
          <w:p w14:paraId="6615D416">
            <w:pPr>
              <w:spacing w:line="253" w:lineRule="auto"/>
              <w:rPr>
                <w:rFonts w:ascii="Arial"/>
                <w:sz w:val="21"/>
              </w:rPr>
            </w:pPr>
          </w:p>
          <w:p w14:paraId="0557EEC3">
            <w:pPr>
              <w:pStyle w:val="8"/>
              <w:spacing w:before="58" w:line="220" w:lineRule="auto"/>
              <w:ind w:left="112"/>
            </w:pPr>
            <w:r>
              <w:rPr>
                <w:spacing w:val="-2"/>
              </w:rPr>
              <w:t>行政处罚</w:t>
            </w:r>
          </w:p>
        </w:tc>
        <w:tc>
          <w:tcPr>
            <w:tcW w:w="8508" w:type="dxa"/>
            <w:vAlign w:val="top"/>
          </w:tcPr>
          <w:p w14:paraId="565FF328">
            <w:pPr>
              <w:pStyle w:val="8"/>
              <w:spacing w:before="151" w:line="219" w:lineRule="auto"/>
              <w:ind w:left="476"/>
            </w:pPr>
            <w:r>
              <w:rPr>
                <w:b/>
                <w:bCs/>
                <w:spacing w:val="-3"/>
              </w:rPr>
              <w:t>《船舶引航管理规定》（交通运输部令</w:t>
            </w:r>
            <w:r>
              <w:rPr>
                <w:spacing w:val="-37"/>
              </w:rPr>
              <w:t xml:space="preserve"> </w:t>
            </w:r>
            <w:r>
              <w:rPr>
                <w:b/>
                <w:bCs/>
                <w:spacing w:val="-3"/>
              </w:rPr>
              <w:t>20</w:t>
            </w:r>
            <w:r>
              <w:rPr>
                <w:b/>
                <w:bCs/>
                <w:spacing w:val="-4"/>
              </w:rPr>
              <w:t>21</w:t>
            </w:r>
            <w:r>
              <w:rPr>
                <w:spacing w:val="-38"/>
              </w:rPr>
              <w:t xml:space="preserve"> </w:t>
            </w:r>
            <w:r>
              <w:rPr>
                <w:b/>
                <w:bCs/>
                <w:spacing w:val="-4"/>
              </w:rPr>
              <w:t>年第</w:t>
            </w:r>
            <w:r>
              <w:rPr>
                <w:spacing w:val="-33"/>
              </w:rPr>
              <w:t xml:space="preserve"> </w:t>
            </w:r>
            <w:r>
              <w:rPr>
                <w:b/>
                <w:bCs/>
                <w:spacing w:val="-4"/>
              </w:rPr>
              <w:t>25</w:t>
            </w:r>
            <w:r>
              <w:rPr>
                <w:spacing w:val="-34"/>
              </w:rPr>
              <w:t xml:space="preserve"> </w:t>
            </w:r>
            <w:r>
              <w:rPr>
                <w:b/>
                <w:bCs/>
                <w:spacing w:val="-4"/>
              </w:rPr>
              <w:t>号）</w:t>
            </w:r>
          </w:p>
          <w:p w14:paraId="19C5EF0C">
            <w:pPr>
              <w:pStyle w:val="8"/>
              <w:spacing w:before="29" w:line="241" w:lineRule="auto"/>
              <w:ind w:left="110" w:right="104" w:firstLine="360"/>
            </w:pPr>
            <w:r>
              <w:t>第三十七条  港口企业对被引船舶靠、离泊，应当做好下列工作</w:t>
            </w:r>
            <w:r>
              <w:rPr>
                <w:spacing w:val="3"/>
              </w:rPr>
              <w:t>：（</w:t>
            </w:r>
            <w:r>
              <w:t>一）泊位的靠泊等级必须符合被 靠船舶相应等级，泊位防护设施完好；（二）确保泊位有足够的水深，水上水下无障碍物；（三）泊</w:t>
            </w:r>
            <w:r>
              <w:rPr>
                <w:spacing w:val="-1"/>
              </w:rPr>
              <w:t>位长</w:t>
            </w:r>
            <w:r>
              <w:t xml:space="preserve"> 度应当符合拟靠泊船舶安全系泊要求</w:t>
            </w:r>
            <w:r>
              <w:rPr>
                <w:spacing w:val="3"/>
              </w:rPr>
              <w:t>；（</w:t>
            </w:r>
            <w:r>
              <w:t>四）被引船舶靠离泊半小时前，应当按照引航员的要求将有碍船</w:t>
            </w:r>
            <w:r>
              <w:rPr>
                <w:spacing w:val="1"/>
              </w:rPr>
              <w:t xml:space="preserve"> </w:t>
            </w:r>
            <w:r>
              <w:t>舶靠离泊的装卸机械、货物和其他设施移至安全处所并清理就绪</w:t>
            </w:r>
            <w:r>
              <w:rPr>
                <w:spacing w:val="3"/>
              </w:rPr>
              <w:t>；（</w:t>
            </w:r>
            <w:r>
              <w:t>五）指泊员在被引船舶靠离泊半小时</w:t>
            </w:r>
            <w:r>
              <w:rPr>
                <w:spacing w:val="1"/>
              </w:rPr>
              <w:t xml:space="preserve"> </w:t>
            </w:r>
            <w:r>
              <w:t>前应当到达现场，与引航员保持密切联系，并按规定正确显示泊位信号，备妥碰垫物；（六）被引船</w:t>
            </w:r>
            <w:r>
              <w:rPr>
                <w:spacing w:val="-1"/>
              </w:rPr>
              <w:t>舶夜</w:t>
            </w:r>
            <w:r>
              <w:rPr>
                <w:spacing w:val="1"/>
              </w:rPr>
              <w:t xml:space="preserve"> </w:t>
            </w:r>
            <w:r>
              <w:rPr>
                <w:spacing w:val="-1"/>
              </w:rPr>
              <w:t>间靠离泊，码头应当具备足够的照明</w:t>
            </w:r>
            <w:r>
              <w:rPr>
                <w:spacing w:val="4"/>
              </w:rPr>
              <w:t>；（</w:t>
            </w:r>
            <w:r>
              <w:rPr>
                <w:spacing w:val="-1"/>
              </w:rPr>
              <w:t>七）泊位靠泊条件临时发生变化，必须立即告知引航员。</w:t>
            </w:r>
          </w:p>
          <w:p w14:paraId="3F877344">
            <w:pPr>
              <w:pStyle w:val="8"/>
              <w:spacing w:before="27" w:line="233" w:lineRule="auto"/>
              <w:ind w:left="111" w:right="104" w:firstLine="360"/>
            </w:pPr>
            <w:r>
              <w:t>第三十八条  新建码头使用前，码头所属单位应当及时向引航机构提供泊位吨级、系泊能力、泊位水</w:t>
            </w:r>
            <w:r>
              <w:rPr>
                <w:spacing w:val="6"/>
              </w:rPr>
              <w:t xml:space="preserve"> </w:t>
            </w:r>
            <w:r>
              <w:rPr>
                <w:spacing w:val="-2"/>
              </w:rPr>
              <w:t>深等与船舶安全靠、离有关的资料。</w:t>
            </w:r>
          </w:p>
          <w:p w14:paraId="715408E6">
            <w:pPr>
              <w:pStyle w:val="8"/>
              <w:spacing w:before="25" w:line="219" w:lineRule="auto"/>
              <w:ind w:left="470"/>
            </w:pPr>
            <w:r>
              <w:rPr>
                <w:spacing w:val="-1"/>
              </w:rPr>
              <w:t>对已投入使用的码头应当按引航机构的要求提供泊位水</w:t>
            </w:r>
            <w:r>
              <w:rPr>
                <w:spacing w:val="-2"/>
              </w:rPr>
              <w:t>深等有关资料。</w:t>
            </w:r>
          </w:p>
          <w:p w14:paraId="732F342D">
            <w:pPr>
              <w:pStyle w:val="8"/>
              <w:spacing w:before="26" w:line="237" w:lineRule="auto"/>
              <w:ind w:left="111" w:right="104" w:firstLine="359"/>
            </w:pPr>
            <w:r>
              <w:t>第四十四条  违反本规定第三十七条、第三十八条规定，港口企业不按规定配合和保障被引船舶靠离</w:t>
            </w:r>
            <w:r>
              <w:rPr>
                <w:spacing w:val="6"/>
              </w:rPr>
              <w:t xml:space="preserve"> </w:t>
            </w:r>
            <w:r>
              <w:t>泊的、不按规定向引航机构提供相关资料的，由市级地方人民政府港口主管部门或者长江航务管理部门责</w:t>
            </w:r>
            <w:r>
              <w:rPr>
                <w:spacing w:val="5"/>
              </w:rPr>
              <w:t xml:space="preserve"> </w:t>
            </w:r>
            <w:r>
              <w:rPr>
                <w:spacing w:val="-2"/>
              </w:rPr>
              <w:t>令港口企业纠正其违法行为，并处警告或者</w:t>
            </w:r>
            <w:r>
              <w:rPr>
                <w:spacing w:val="-24"/>
              </w:rPr>
              <w:t xml:space="preserve"> </w:t>
            </w:r>
            <w:r>
              <w:rPr>
                <w:spacing w:val="-2"/>
              </w:rPr>
              <w:t>1</w:t>
            </w:r>
            <w:r>
              <w:rPr>
                <w:spacing w:val="-35"/>
              </w:rPr>
              <w:t xml:space="preserve"> </w:t>
            </w:r>
            <w:r>
              <w:rPr>
                <w:spacing w:val="-2"/>
              </w:rPr>
              <w:t>万元</w:t>
            </w:r>
            <w:r>
              <w:rPr>
                <w:spacing w:val="-3"/>
              </w:rPr>
              <w:t>以下的罚款。</w:t>
            </w:r>
          </w:p>
        </w:tc>
        <w:tc>
          <w:tcPr>
            <w:tcW w:w="1010" w:type="dxa"/>
            <w:vAlign w:val="top"/>
          </w:tcPr>
          <w:p w14:paraId="77B2D936">
            <w:pPr>
              <w:spacing w:line="280" w:lineRule="auto"/>
              <w:rPr>
                <w:rFonts w:ascii="Arial"/>
                <w:sz w:val="21"/>
              </w:rPr>
            </w:pPr>
          </w:p>
          <w:p w14:paraId="50CFE446">
            <w:pPr>
              <w:spacing w:line="280" w:lineRule="auto"/>
              <w:rPr>
                <w:rFonts w:ascii="Arial"/>
                <w:sz w:val="21"/>
              </w:rPr>
            </w:pPr>
          </w:p>
          <w:p w14:paraId="4FDAAAF8">
            <w:pPr>
              <w:spacing w:line="281" w:lineRule="auto"/>
              <w:rPr>
                <w:rFonts w:ascii="Arial"/>
                <w:sz w:val="21"/>
              </w:rPr>
            </w:pPr>
          </w:p>
          <w:p w14:paraId="73B72C92">
            <w:pPr>
              <w:spacing w:line="281" w:lineRule="auto"/>
              <w:rPr>
                <w:rFonts w:ascii="Arial"/>
                <w:sz w:val="21"/>
              </w:rPr>
            </w:pPr>
          </w:p>
          <w:p w14:paraId="5C9C52DC">
            <w:pPr>
              <w:spacing w:line="281" w:lineRule="auto"/>
              <w:rPr>
                <w:rFonts w:ascii="Arial"/>
                <w:sz w:val="21"/>
              </w:rPr>
            </w:pPr>
          </w:p>
          <w:p w14:paraId="145819B4">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5FEC62DC">
            <w:pPr>
              <w:pStyle w:val="8"/>
              <w:spacing w:before="59" w:line="234" w:lineRule="auto"/>
              <w:ind w:left="530" w:right="104" w:hanging="413"/>
              <w:rPr>
                <w:rFonts w:hint="eastAsia"/>
                <w:spacing w:val="-12"/>
                <w:lang w:eastAsia="zh-CN"/>
              </w:rPr>
            </w:pPr>
          </w:p>
          <w:p w14:paraId="6EB8FDFD">
            <w:pPr>
              <w:pStyle w:val="8"/>
              <w:spacing w:before="59" w:line="234" w:lineRule="auto"/>
              <w:ind w:left="530" w:right="104" w:hanging="413"/>
              <w:rPr>
                <w:rFonts w:hint="eastAsia"/>
                <w:spacing w:val="-12"/>
                <w:lang w:eastAsia="zh-CN"/>
              </w:rPr>
            </w:pPr>
          </w:p>
          <w:p w14:paraId="11411FDC">
            <w:pPr>
              <w:pStyle w:val="8"/>
              <w:spacing w:before="59" w:line="234" w:lineRule="auto"/>
              <w:ind w:left="530" w:right="104" w:hanging="413"/>
              <w:rPr>
                <w:rFonts w:hint="eastAsia"/>
                <w:spacing w:val="-12"/>
                <w:lang w:eastAsia="zh-CN"/>
              </w:rPr>
            </w:pPr>
          </w:p>
          <w:p w14:paraId="0A7C60F3">
            <w:pPr>
              <w:pStyle w:val="8"/>
              <w:spacing w:before="59" w:line="234" w:lineRule="auto"/>
              <w:ind w:left="530" w:right="104" w:hanging="413"/>
              <w:rPr>
                <w:rFonts w:hint="eastAsia"/>
                <w:spacing w:val="-12"/>
                <w:lang w:eastAsia="zh-CN"/>
              </w:rPr>
            </w:pPr>
          </w:p>
          <w:p w14:paraId="46915B6C">
            <w:pPr>
              <w:pStyle w:val="8"/>
              <w:spacing w:before="59" w:line="234" w:lineRule="auto"/>
              <w:ind w:left="530" w:right="104" w:hanging="413"/>
              <w:rPr>
                <w:rFonts w:hint="eastAsia"/>
                <w:spacing w:val="-12"/>
                <w:lang w:eastAsia="zh-CN"/>
              </w:rPr>
            </w:pPr>
          </w:p>
          <w:p w14:paraId="069549ED">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B784167">
            <w:pPr>
              <w:spacing w:line="257" w:lineRule="auto"/>
              <w:rPr>
                <w:rFonts w:ascii="Arial"/>
                <w:sz w:val="21"/>
              </w:rPr>
            </w:pPr>
          </w:p>
          <w:p w14:paraId="13C80280">
            <w:pPr>
              <w:spacing w:line="257" w:lineRule="auto"/>
              <w:rPr>
                <w:rFonts w:ascii="Arial"/>
                <w:sz w:val="21"/>
              </w:rPr>
            </w:pPr>
          </w:p>
          <w:p w14:paraId="737B6EC3">
            <w:pPr>
              <w:spacing w:line="257" w:lineRule="auto"/>
              <w:rPr>
                <w:rFonts w:ascii="Arial"/>
                <w:sz w:val="21"/>
              </w:rPr>
            </w:pPr>
          </w:p>
          <w:p w14:paraId="525E1638">
            <w:pPr>
              <w:spacing w:line="257" w:lineRule="auto"/>
              <w:rPr>
                <w:rFonts w:ascii="Arial"/>
                <w:sz w:val="21"/>
              </w:rPr>
            </w:pPr>
          </w:p>
          <w:p w14:paraId="767D348E">
            <w:pPr>
              <w:spacing w:line="257" w:lineRule="auto"/>
              <w:rPr>
                <w:rFonts w:ascii="Arial"/>
                <w:sz w:val="21"/>
              </w:rPr>
            </w:pPr>
          </w:p>
          <w:p w14:paraId="6D2D81CC">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6846F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3" w:hRule="atLeast"/>
        </w:trPr>
        <w:tc>
          <w:tcPr>
            <w:tcW w:w="622" w:type="dxa"/>
            <w:vAlign w:val="top"/>
          </w:tcPr>
          <w:p w14:paraId="4B1878DA">
            <w:pPr>
              <w:spacing w:line="250" w:lineRule="auto"/>
              <w:rPr>
                <w:rFonts w:ascii="Arial"/>
                <w:sz w:val="21"/>
              </w:rPr>
            </w:pPr>
          </w:p>
          <w:p w14:paraId="6A72EBE9">
            <w:pPr>
              <w:spacing w:line="250" w:lineRule="auto"/>
              <w:rPr>
                <w:rFonts w:ascii="Arial"/>
                <w:sz w:val="21"/>
              </w:rPr>
            </w:pPr>
          </w:p>
          <w:p w14:paraId="0DAF6816">
            <w:pPr>
              <w:spacing w:line="251" w:lineRule="auto"/>
              <w:rPr>
                <w:rFonts w:ascii="Arial"/>
                <w:sz w:val="21"/>
              </w:rPr>
            </w:pPr>
          </w:p>
          <w:p w14:paraId="7BD127FA">
            <w:pPr>
              <w:spacing w:line="251" w:lineRule="auto"/>
              <w:rPr>
                <w:rFonts w:ascii="Arial"/>
                <w:sz w:val="21"/>
              </w:rPr>
            </w:pPr>
          </w:p>
          <w:p w14:paraId="6F3E3330">
            <w:pPr>
              <w:spacing w:line="251" w:lineRule="auto"/>
              <w:rPr>
                <w:rFonts w:ascii="Arial"/>
                <w:sz w:val="21"/>
              </w:rPr>
            </w:pPr>
          </w:p>
          <w:p w14:paraId="155E54F3">
            <w:pPr>
              <w:spacing w:line="251" w:lineRule="auto"/>
              <w:rPr>
                <w:rFonts w:ascii="Arial"/>
                <w:sz w:val="21"/>
              </w:rPr>
            </w:pPr>
          </w:p>
          <w:p w14:paraId="5060336F">
            <w:pPr>
              <w:pStyle w:val="8"/>
              <w:spacing w:before="59" w:line="183" w:lineRule="auto"/>
              <w:ind w:left="229"/>
            </w:pPr>
            <w:r>
              <w:rPr>
                <w:spacing w:val="-5"/>
              </w:rPr>
              <w:t>50</w:t>
            </w:r>
          </w:p>
        </w:tc>
        <w:tc>
          <w:tcPr>
            <w:tcW w:w="1100" w:type="dxa"/>
            <w:vAlign w:val="top"/>
          </w:tcPr>
          <w:p w14:paraId="5CCA8503">
            <w:pPr>
              <w:spacing w:line="255" w:lineRule="auto"/>
              <w:rPr>
                <w:rFonts w:ascii="Arial"/>
                <w:sz w:val="21"/>
              </w:rPr>
            </w:pPr>
          </w:p>
          <w:p w14:paraId="7863955E">
            <w:pPr>
              <w:spacing w:line="256" w:lineRule="auto"/>
              <w:rPr>
                <w:rFonts w:ascii="Arial"/>
                <w:sz w:val="21"/>
              </w:rPr>
            </w:pPr>
          </w:p>
          <w:p w14:paraId="10FD922F">
            <w:pPr>
              <w:spacing w:line="256" w:lineRule="auto"/>
              <w:rPr>
                <w:rFonts w:ascii="Arial"/>
                <w:sz w:val="21"/>
              </w:rPr>
            </w:pPr>
          </w:p>
          <w:p w14:paraId="51EB5E7A">
            <w:pPr>
              <w:pStyle w:val="8"/>
              <w:spacing w:before="59" w:line="243" w:lineRule="auto"/>
              <w:ind w:left="59" w:right="55"/>
              <w:jc w:val="both"/>
            </w:pPr>
            <w:r>
              <w:rPr>
                <w:spacing w:val="16"/>
              </w:rPr>
              <w:t>对港口危货</w:t>
            </w:r>
            <w:r>
              <w:t xml:space="preserve"> </w:t>
            </w:r>
            <w:r>
              <w:rPr>
                <w:spacing w:val="16"/>
              </w:rPr>
              <w:t>储存单位主</w:t>
            </w:r>
            <w:r>
              <w:t xml:space="preserve"> </w:t>
            </w:r>
            <w:r>
              <w:rPr>
                <w:spacing w:val="16"/>
              </w:rPr>
              <w:t>要安全管理</w:t>
            </w:r>
            <w:r>
              <w:t xml:space="preserve"> </w:t>
            </w:r>
            <w:r>
              <w:rPr>
                <w:spacing w:val="16"/>
              </w:rPr>
              <w:t>人员未按照</w:t>
            </w:r>
            <w:r>
              <w:t xml:space="preserve"> </w:t>
            </w:r>
            <w:r>
              <w:rPr>
                <w:spacing w:val="16"/>
              </w:rPr>
              <w:t>规定经考核</w:t>
            </w:r>
            <w:r>
              <w:t xml:space="preserve"> </w:t>
            </w:r>
            <w:r>
              <w:rPr>
                <w:spacing w:val="16"/>
              </w:rPr>
              <w:t>合格的行政</w:t>
            </w:r>
            <w:r>
              <w:t xml:space="preserve"> </w:t>
            </w:r>
            <w:r>
              <w:rPr>
                <w:spacing w:val="-2"/>
              </w:rPr>
              <w:t>处罚</w:t>
            </w:r>
          </w:p>
        </w:tc>
        <w:tc>
          <w:tcPr>
            <w:tcW w:w="1100" w:type="dxa"/>
            <w:vAlign w:val="top"/>
          </w:tcPr>
          <w:p w14:paraId="2C7C8B55">
            <w:pPr>
              <w:spacing w:line="246" w:lineRule="auto"/>
              <w:rPr>
                <w:rFonts w:ascii="Arial"/>
                <w:sz w:val="21"/>
              </w:rPr>
            </w:pPr>
          </w:p>
          <w:p w14:paraId="02712DF4">
            <w:pPr>
              <w:spacing w:line="246" w:lineRule="auto"/>
              <w:rPr>
                <w:rFonts w:ascii="Arial"/>
                <w:sz w:val="21"/>
              </w:rPr>
            </w:pPr>
          </w:p>
          <w:p w14:paraId="0AFBA81E">
            <w:pPr>
              <w:spacing w:line="246" w:lineRule="auto"/>
              <w:rPr>
                <w:rFonts w:ascii="Arial"/>
                <w:sz w:val="21"/>
              </w:rPr>
            </w:pPr>
          </w:p>
          <w:p w14:paraId="49E32EC7">
            <w:pPr>
              <w:spacing w:line="246" w:lineRule="auto"/>
              <w:rPr>
                <w:rFonts w:ascii="Arial"/>
                <w:sz w:val="21"/>
              </w:rPr>
            </w:pPr>
          </w:p>
          <w:p w14:paraId="7A0F79BE">
            <w:pPr>
              <w:spacing w:line="246" w:lineRule="auto"/>
              <w:rPr>
                <w:rFonts w:ascii="Arial"/>
                <w:sz w:val="21"/>
              </w:rPr>
            </w:pPr>
          </w:p>
          <w:p w14:paraId="41F0C632">
            <w:pPr>
              <w:spacing w:line="246" w:lineRule="auto"/>
              <w:rPr>
                <w:rFonts w:ascii="Arial"/>
                <w:sz w:val="21"/>
              </w:rPr>
            </w:pPr>
          </w:p>
          <w:p w14:paraId="0D698F6F">
            <w:pPr>
              <w:pStyle w:val="8"/>
              <w:spacing w:before="59" w:line="220" w:lineRule="auto"/>
              <w:ind w:left="112"/>
            </w:pPr>
            <w:r>
              <w:rPr>
                <w:spacing w:val="-2"/>
              </w:rPr>
              <w:t>行政处罚</w:t>
            </w:r>
          </w:p>
        </w:tc>
        <w:tc>
          <w:tcPr>
            <w:tcW w:w="8508" w:type="dxa"/>
            <w:vAlign w:val="top"/>
          </w:tcPr>
          <w:p w14:paraId="17B41F52">
            <w:pPr>
              <w:pStyle w:val="8"/>
              <w:spacing w:before="111" w:line="219" w:lineRule="auto"/>
              <w:ind w:left="484"/>
            </w:pPr>
            <w:r>
              <w:rPr>
                <w:b/>
                <w:bCs/>
                <w:spacing w:val="-4"/>
              </w:rPr>
              <w:t>1.《中华人民共和国安全生产法》</w:t>
            </w:r>
          </w:p>
          <w:p w14:paraId="543EA50F">
            <w:pPr>
              <w:pStyle w:val="8"/>
              <w:spacing w:before="27" w:line="237" w:lineRule="auto"/>
              <w:ind w:left="112" w:right="104" w:firstLine="358"/>
              <w:jc w:val="both"/>
            </w:pPr>
            <w:r>
              <w:t>第二十七条第二款  危险物品的生产、经营、储存、装卸单位以及矿山、金属冶炼、建筑施工、运输 单位的主要负责人和安全生产管理人员，应当由主管的负有安全生产监督管理职责的部门对其安全生产知</w:t>
            </w:r>
            <w:r>
              <w:rPr>
                <w:spacing w:val="4"/>
              </w:rPr>
              <w:t xml:space="preserve"> </w:t>
            </w:r>
            <w:r>
              <w:rPr>
                <w:spacing w:val="-2"/>
              </w:rPr>
              <w:t>识和管理能力考核合格。考核不得收费。</w:t>
            </w:r>
          </w:p>
          <w:p w14:paraId="4BB2F647">
            <w:pPr>
              <w:pStyle w:val="8"/>
              <w:spacing w:before="23"/>
              <w:ind w:left="112" w:right="44" w:firstLine="358"/>
              <w:jc w:val="both"/>
            </w:pPr>
            <w:r>
              <w:t>第九十七条第（二）项  生产经营单位有下列行为之一的，责令限期改正，处十万元以下的罚款；逾</w:t>
            </w:r>
            <w:r>
              <w:rPr>
                <w:spacing w:val="6"/>
              </w:rPr>
              <w:t xml:space="preserve"> </w:t>
            </w:r>
            <w:r>
              <w:t>期未改正的，责令停产停业整顿，并处十万元以上二十万元以下的罚款，对其直接负责的主管人员和其他</w:t>
            </w:r>
            <w:r>
              <w:rPr>
                <w:spacing w:val="4"/>
              </w:rPr>
              <w:t xml:space="preserve"> </w:t>
            </w:r>
            <w:r>
              <w:rPr>
                <w:spacing w:val="-2"/>
              </w:rPr>
              <w:t>直接责任人员处二万元以上五万元以下的罚款</w:t>
            </w:r>
            <w:r>
              <w:rPr>
                <w:spacing w:val="-5"/>
              </w:rPr>
              <w:t>：（</w:t>
            </w:r>
            <w:r>
              <w:rPr>
                <w:spacing w:val="-2"/>
              </w:rPr>
              <w:t>二）危险物品的生产、</w:t>
            </w:r>
            <w:r>
              <w:rPr>
                <w:spacing w:val="-3"/>
              </w:rPr>
              <w:t>经营、储存、装卸单位以及矿山、</w:t>
            </w:r>
            <w:r>
              <w:t xml:space="preserve"> </w:t>
            </w:r>
            <w:r>
              <w:rPr>
                <w:spacing w:val="-1"/>
              </w:rPr>
              <w:t>金属冶炼、建筑施工、运输单位的主要负责人和安全生产管理人员未按</w:t>
            </w:r>
            <w:r>
              <w:rPr>
                <w:spacing w:val="-2"/>
              </w:rPr>
              <w:t>照规定经考核合格的；</w:t>
            </w:r>
          </w:p>
          <w:p w14:paraId="380F3A17">
            <w:pPr>
              <w:pStyle w:val="8"/>
              <w:spacing w:before="25" w:line="219" w:lineRule="auto"/>
              <w:ind w:left="473"/>
            </w:pPr>
            <w:r>
              <w:rPr>
                <w:b/>
                <w:bCs/>
                <w:spacing w:val="-2"/>
              </w:rPr>
              <w:t>2.《危险货物水路运输从业人员考核和从业资格管理</w:t>
            </w:r>
            <w:r>
              <w:rPr>
                <w:b/>
                <w:bCs/>
                <w:spacing w:val="-3"/>
              </w:rPr>
              <w:t>规定》（交通运输部令</w:t>
            </w:r>
            <w:r>
              <w:rPr>
                <w:spacing w:val="-35"/>
              </w:rPr>
              <w:t xml:space="preserve"> </w:t>
            </w:r>
            <w:r>
              <w:rPr>
                <w:b/>
                <w:bCs/>
                <w:spacing w:val="-3"/>
              </w:rPr>
              <w:t>2021</w:t>
            </w:r>
            <w:r>
              <w:rPr>
                <w:spacing w:val="-38"/>
              </w:rPr>
              <w:t xml:space="preserve"> </w:t>
            </w:r>
            <w:r>
              <w:rPr>
                <w:b/>
                <w:bCs/>
                <w:spacing w:val="-3"/>
              </w:rPr>
              <w:t>年第</w:t>
            </w:r>
            <w:r>
              <w:rPr>
                <w:spacing w:val="-33"/>
              </w:rPr>
              <w:t xml:space="preserve"> </w:t>
            </w:r>
            <w:r>
              <w:rPr>
                <w:b/>
                <w:bCs/>
                <w:spacing w:val="-3"/>
              </w:rPr>
              <w:t>29</w:t>
            </w:r>
            <w:r>
              <w:rPr>
                <w:spacing w:val="-34"/>
              </w:rPr>
              <w:t xml:space="preserve"> </w:t>
            </w:r>
            <w:r>
              <w:rPr>
                <w:b/>
                <w:bCs/>
                <w:spacing w:val="-3"/>
              </w:rPr>
              <w:t>号）</w:t>
            </w:r>
          </w:p>
          <w:p w14:paraId="1226A849">
            <w:pPr>
              <w:pStyle w:val="8"/>
              <w:spacing w:before="26" w:line="233" w:lineRule="auto"/>
              <w:ind w:left="111" w:right="104" w:firstLine="360"/>
            </w:pPr>
            <w:r>
              <w:t>第六条  港口危货储存单位主要安全管理人员应当按照《中华人民共和国安全生产法》的规定，经安</w:t>
            </w:r>
            <w:r>
              <w:rPr>
                <w:spacing w:val="6"/>
              </w:rPr>
              <w:t xml:space="preserve"> </w:t>
            </w:r>
            <w:r>
              <w:rPr>
                <w:spacing w:val="-3"/>
              </w:rPr>
              <w:t>全生产知识和管理能力考核合格。</w:t>
            </w:r>
          </w:p>
          <w:p w14:paraId="3B63EDF3">
            <w:pPr>
              <w:pStyle w:val="8"/>
              <w:spacing w:before="26" w:line="233" w:lineRule="auto"/>
              <w:ind w:left="110" w:right="104" w:firstLine="360"/>
            </w:pPr>
            <w:r>
              <w:t>第二十六条  港口危货储存单位主要安全管理人员未按照本规定经考核合格的，由所在地设区的市级</w:t>
            </w:r>
            <w:r>
              <w:rPr>
                <w:spacing w:val="6"/>
              </w:rPr>
              <w:t xml:space="preserve"> </w:t>
            </w:r>
            <w:r>
              <w:rPr>
                <w:spacing w:val="-1"/>
              </w:rPr>
              <w:t>港口行政管理部门按照《中华人民共和国安全生产法》第九十七条的规定进行处罚。</w:t>
            </w:r>
          </w:p>
        </w:tc>
        <w:tc>
          <w:tcPr>
            <w:tcW w:w="1010" w:type="dxa"/>
            <w:vAlign w:val="top"/>
          </w:tcPr>
          <w:p w14:paraId="77347FDB">
            <w:pPr>
              <w:spacing w:line="272" w:lineRule="auto"/>
              <w:rPr>
                <w:rFonts w:ascii="Arial"/>
                <w:sz w:val="21"/>
              </w:rPr>
            </w:pPr>
          </w:p>
          <w:p w14:paraId="70BA787D">
            <w:pPr>
              <w:spacing w:line="273" w:lineRule="auto"/>
              <w:rPr>
                <w:rFonts w:ascii="Arial"/>
                <w:sz w:val="21"/>
              </w:rPr>
            </w:pPr>
          </w:p>
          <w:p w14:paraId="4A4041D7">
            <w:pPr>
              <w:spacing w:line="273" w:lineRule="auto"/>
              <w:rPr>
                <w:rFonts w:ascii="Arial"/>
                <w:sz w:val="21"/>
              </w:rPr>
            </w:pPr>
          </w:p>
          <w:p w14:paraId="5899FD59">
            <w:pPr>
              <w:spacing w:line="273" w:lineRule="auto"/>
              <w:rPr>
                <w:rFonts w:ascii="Arial"/>
                <w:sz w:val="21"/>
              </w:rPr>
            </w:pPr>
          </w:p>
          <w:p w14:paraId="12126A8D">
            <w:pPr>
              <w:spacing w:line="273" w:lineRule="auto"/>
              <w:rPr>
                <w:rFonts w:ascii="Arial"/>
                <w:sz w:val="21"/>
              </w:rPr>
            </w:pPr>
          </w:p>
          <w:p w14:paraId="3DC5419E">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76F9B386">
            <w:pPr>
              <w:pStyle w:val="8"/>
              <w:spacing w:before="59" w:line="234" w:lineRule="auto"/>
              <w:ind w:left="530" w:right="104" w:hanging="413"/>
              <w:rPr>
                <w:rFonts w:hint="eastAsia"/>
                <w:spacing w:val="-12"/>
                <w:lang w:eastAsia="zh-CN"/>
              </w:rPr>
            </w:pPr>
          </w:p>
          <w:p w14:paraId="69133470">
            <w:pPr>
              <w:pStyle w:val="8"/>
              <w:spacing w:before="59" w:line="234" w:lineRule="auto"/>
              <w:ind w:left="530" w:right="104" w:hanging="413"/>
              <w:rPr>
                <w:rFonts w:hint="eastAsia"/>
                <w:spacing w:val="-12"/>
                <w:lang w:eastAsia="zh-CN"/>
              </w:rPr>
            </w:pPr>
          </w:p>
          <w:p w14:paraId="6B033BC6">
            <w:pPr>
              <w:pStyle w:val="8"/>
              <w:spacing w:before="59" w:line="234" w:lineRule="auto"/>
              <w:ind w:left="530" w:right="104" w:hanging="413"/>
              <w:rPr>
                <w:rFonts w:hint="eastAsia"/>
                <w:spacing w:val="-12"/>
                <w:lang w:eastAsia="zh-CN"/>
              </w:rPr>
            </w:pPr>
          </w:p>
          <w:p w14:paraId="744E5462">
            <w:pPr>
              <w:pStyle w:val="8"/>
              <w:spacing w:before="59" w:line="234" w:lineRule="auto"/>
              <w:ind w:left="530" w:right="104" w:hanging="413"/>
              <w:rPr>
                <w:rFonts w:hint="eastAsia"/>
                <w:spacing w:val="-12"/>
                <w:lang w:eastAsia="zh-CN"/>
              </w:rPr>
            </w:pPr>
          </w:p>
          <w:p w14:paraId="3D25AC74">
            <w:pPr>
              <w:pStyle w:val="8"/>
              <w:spacing w:before="59" w:line="234" w:lineRule="auto"/>
              <w:ind w:left="530" w:right="104" w:hanging="413"/>
              <w:rPr>
                <w:rFonts w:hint="eastAsia"/>
                <w:spacing w:val="-12"/>
                <w:lang w:eastAsia="zh-CN"/>
              </w:rPr>
            </w:pPr>
          </w:p>
          <w:p w14:paraId="42EF5F5C">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FF73842">
            <w:pPr>
              <w:spacing w:line="249" w:lineRule="auto"/>
              <w:rPr>
                <w:rFonts w:ascii="Arial"/>
                <w:sz w:val="21"/>
              </w:rPr>
            </w:pPr>
          </w:p>
          <w:p w14:paraId="5DB3F29E">
            <w:pPr>
              <w:spacing w:line="249" w:lineRule="auto"/>
              <w:rPr>
                <w:rFonts w:ascii="Arial"/>
                <w:sz w:val="21"/>
              </w:rPr>
            </w:pPr>
          </w:p>
          <w:p w14:paraId="22A1F7F0">
            <w:pPr>
              <w:spacing w:line="249" w:lineRule="auto"/>
              <w:rPr>
                <w:rFonts w:ascii="Arial"/>
                <w:sz w:val="21"/>
              </w:rPr>
            </w:pPr>
          </w:p>
          <w:p w14:paraId="0686FCED">
            <w:pPr>
              <w:spacing w:line="249" w:lineRule="auto"/>
              <w:rPr>
                <w:rFonts w:ascii="Arial"/>
                <w:sz w:val="21"/>
              </w:rPr>
            </w:pPr>
          </w:p>
          <w:p w14:paraId="0F6C245C">
            <w:pPr>
              <w:spacing w:line="249" w:lineRule="auto"/>
              <w:rPr>
                <w:rFonts w:ascii="Arial"/>
                <w:sz w:val="21"/>
              </w:rPr>
            </w:pPr>
          </w:p>
          <w:p w14:paraId="155B0213">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1276F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7" w:hRule="atLeast"/>
        </w:trPr>
        <w:tc>
          <w:tcPr>
            <w:tcW w:w="622" w:type="dxa"/>
            <w:vAlign w:val="top"/>
          </w:tcPr>
          <w:p w14:paraId="0923AB6C">
            <w:pPr>
              <w:spacing w:line="244" w:lineRule="auto"/>
              <w:rPr>
                <w:rFonts w:ascii="Arial"/>
                <w:sz w:val="21"/>
              </w:rPr>
            </w:pPr>
          </w:p>
          <w:p w14:paraId="739C5565">
            <w:pPr>
              <w:spacing w:line="245" w:lineRule="auto"/>
              <w:rPr>
                <w:rFonts w:ascii="Arial"/>
                <w:sz w:val="21"/>
              </w:rPr>
            </w:pPr>
          </w:p>
          <w:p w14:paraId="03464F47">
            <w:pPr>
              <w:spacing w:line="245" w:lineRule="auto"/>
              <w:rPr>
                <w:rFonts w:ascii="Arial"/>
                <w:sz w:val="21"/>
              </w:rPr>
            </w:pPr>
          </w:p>
          <w:p w14:paraId="09E59AE8">
            <w:pPr>
              <w:spacing w:line="245" w:lineRule="auto"/>
              <w:rPr>
                <w:rFonts w:ascii="Arial"/>
                <w:sz w:val="21"/>
              </w:rPr>
            </w:pPr>
          </w:p>
          <w:p w14:paraId="70F308F3">
            <w:pPr>
              <w:pStyle w:val="8"/>
              <w:spacing w:before="59" w:line="184" w:lineRule="auto"/>
              <w:ind w:left="229"/>
            </w:pPr>
            <w:r>
              <w:rPr>
                <w:spacing w:val="-5"/>
              </w:rPr>
              <w:t>51</w:t>
            </w:r>
          </w:p>
        </w:tc>
        <w:tc>
          <w:tcPr>
            <w:tcW w:w="1100" w:type="dxa"/>
            <w:vAlign w:val="top"/>
          </w:tcPr>
          <w:p w14:paraId="15059CD7">
            <w:pPr>
              <w:spacing w:line="241" w:lineRule="auto"/>
              <w:rPr>
                <w:rFonts w:ascii="Arial"/>
                <w:sz w:val="21"/>
              </w:rPr>
            </w:pPr>
          </w:p>
          <w:p w14:paraId="59ED05B7">
            <w:pPr>
              <w:spacing w:line="242" w:lineRule="auto"/>
              <w:rPr>
                <w:rFonts w:ascii="Arial"/>
                <w:sz w:val="21"/>
              </w:rPr>
            </w:pPr>
          </w:p>
          <w:p w14:paraId="2877013D">
            <w:pPr>
              <w:pStyle w:val="8"/>
              <w:spacing w:before="58" w:line="241" w:lineRule="auto"/>
              <w:ind w:left="61" w:right="55" w:hanging="2"/>
              <w:jc w:val="both"/>
            </w:pPr>
            <w:r>
              <w:rPr>
                <w:spacing w:val="16"/>
              </w:rPr>
              <w:t>对水路运输</w:t>
            </w:r>
            <w:r>
              <w:t xml:space="preserve"> </w:t>
            </w:r>
            <w:r>
              <w:rPr>
                <w:spacing w:val="15"/>
              </w:rPr>
              <w:t>企业未按规</w:t>
            </w:r>
            <w:r>
              <w:rPr>
                <w:spacing w:val="1"/>
              </w:rPr>
              <w:t xml:space="preserve"> </w:t>
            </w:r>
            <w:r>
              <w:rPr>
                <w:spacing w:val="15"/>
              </w:rPr>
              <w:t>定报送从业</w:t>
            </w:r>
            <w:r>
              <w:rPr>
                <w:spacing w:val="1"/>
              </w:rPr>
              <w:t xml:space="preserve"> </w:t>
            </w:r>
            <w:r>
              <w:rPr>
                <w:spacing w:val="15"/>
              </w:rPr>
              <w:t>人员信息行</w:t>
            </w:r>
            <w:r>
              <w:rPr>
                <w:spacing w:val="1"/>
              </w:rPr>
              <w:t xml:space="preserve"> </w:t>
            </w:r>
            <w:r>
              <w:rPr>
                <w:spacing w:val="-2"/>
              </w:rPr>
              <w:t>为的处罚</w:t>
            </w:r>
          </w:p>
        </w:tc>
        <w:tc>
          <w:tcPr>
            <w:tcW w:w="1100" w:type="dxa"/>
            <w:vAlign w:val="top"/>
          </w:tcPr>
          <w:p w14:paraId="323507CC">
            <w:pPr>
              <w:spacing w:line="316" w:lineRule="auto"/>
              <w:rPr>
                <w:rFonts w:ascii="Arial"/>
                <w:sz w:val="21"/>
              </w:rPr>
            </w:pPr>
          </w:p>
          <w:p w14:paraId="0621B994">
            <w:pPr>
              <w:spacing w:line="317" w:lineRule="auto"/>
              <w:rPr>
                <w:rFonts w:ascii="Arial"/>
                <w:sz w:val="21"/>
              </w:rPr>
            </w:pPr>
          </w:p>
          <w:p w14:paraId="1CBAB5FE">
            <w:pPr>
              <w:spacing w:line="317" w:lineRule="auto"/>
              <w:rPr>
                <w:rFonts w:ascii="Arial"/>
                <w:sz w:val="21"/>
              </w:rPr>
            </w:pPr>
          </w:p>
          <w:p w14:paraId="7DC18104">
            <w:pPr>
              <w:pStyle w:val="8"/>
              <w:spacing w:before="58" w:line="220" w:lineRule="auto"/>
              <w:ind w:left="112"/>
            </w:pPr>
            <w:r>
              <w:rPr>
                <w:spacing w:val="-2"/>
              </w:rPr>
              <w:t>行政处罚</w:t>
            </w:r>
          </w:p>
        </w:tc>
        <w:tc>
          <w:tcPr>
            <w:tcW w:w="8508" w:type="dxa"/>
            <w:vAlign w:val="top"/>
          </w:tcPr>
          <w:p w14:paraId="28813B0A">
            <w:pPr>
              <w:pStyle w:val="8"/>
              <w:spacing w:before="63" w:line="219" w:lineRule="auto"/>
              <w:ind w:left="476"/>
            </w:pPr>
            <w:r>
              <w:rPr>
                <w:b/>
                <w:bCs/>
                <w:spacing w:val="-3"/>
              </w:rPr>
              <w:t>《危险货物水路运输从业人员考核和从业资格管理规定》（交通运输部令</w:t>
            </w:r>
            <w:r>
              <w:rPr>
                <w:spacing w:val="-17"/>
              </w:rPr>
              <w:t xml:space="preserve"> </w:t>
            </w:r>
            <w:r>
              <w:rPr>
                <w:b/>
                <w:bCs/>
                <w:spacing w:val="-3"/>
              </w:rPr>
              <w:t>2021</w:t>
            </w:r>
            <w:r>
              <w:rPr>
                <w:spacing w:val="-38"/>
              </w:rPr>
              <w:t xml:space="preserve"> </w:t>
            </w:r>
            <w:r>
              <w:rPr>
                <w:b/>
                <w:bCs/>
                <w:spacing w:val="-3"/>
              </w:rPr>
              <w:t>年第</w:t>
            </w:r>
            <w:r>
              <w:rPr>
                <w:spacing w:val="-35"/>
              </w:rPr>
              <w:t xml:space="preserve"> </w:t>
            </w:r>
            <w:r>
              <w:rPr>
                <w:b/>
                <w:bCs/>
                <w:spacing w:val="-3"/>
              </w:rPr>
              <w:t>29</w:t>
            </w:r>
            <w:r>
              <w:rPr>
                <w:spacing w:val="-34"/>
              </w:rPr>
              <w:t xml:space="preserve"> </w:t>
            </w:r>
            <w:r>
              <w:rPr>
                <w:b/>
                <w:bCs/>
                <w:spacing w:val="-3"/>
              </w:rPr>
              <w:t>号）</w:t>
            </w:r>
          </w:p>
          <w:p w14:paraId="64255090">
            <w:pPr>
              <w:pStyle w:val="8"/>
              <w:spacing w:before="26" w:line="241" w:lineRule="auto"/>
              <w:ind w:left="110" w:right="25" w:firstLine="360"/>
              <w:jc w:val="both"/>
            </w:pPr>
            <w:r>
              <w:t>第二十五条  水路运输企业应当将本单位的装卸管理人员、申报员、检查员的以下信息及时报送具有</w:t>
            </w:r>
            <w:r>
              <w:rPr>
                <w:spacing w:val="3"/>
              </w:rPr>
              <w:t xml:space="preserve">  </w:t>
            </w:r>
            <w:r>
              <w:t>相应职责的管理部门，装卸管理人员信息报送港口所在地港口行政管理部门，申报员、检查员信息报送所</w:t>
            </w:r>
            <w:r>
              <w:rPr>
                <w:spacing w:val="3"/>
              </w:rPr>
              <w:t xml:space="preserve">  </w:t>
            </w:r>
            <w:r>
              <w:t>在地海事管理机构</w:t>
            </w:r>
            <w:r>
              <w:rPr>
                <w:spacing w:val="-24"/>
              </w:rPr>
              <w:t>：（</w:t>
            </w:r>
            <w:r>
              <w:t>一）被聘用从业人员的有效身份证明复印件</w:t>
            </w:r>
            <w:r>
              <w:rPr>
                <w:spacing w:val="-24"/>
              </w:rPr>
              <w:t>；（</w:t>
            </w:r>
            <w:r>
              <w:t>二）被聘用从业人员的《资格证书》</w:t>
            </w:r>
            <w:r>
              <w:rPr>
                <w:spacing w:val="2"/>
              </w:rPr>
              <w:t xml:space="preserve"> </w:t>
            </w:r>
            <w:r>
              <w:rPr>
                <w:spacing w:val="-2"/>
              </w:rPr>
              <w:t>编号；（三）被聘用从业人员的从业区域；（四）解聘从业人员的姓名、有效身份证明证号和《资格证书》</w:t>
            </w:r>
            <w:r>
              <w:t xml:space="preserve"> </w:t>
            </w:r>
            <w:r>
              <w:rPr>
                <w:spacing w:val="-8"/>
              </w:rPr>
              <w:t>编号。</w:t>
            </w:r>
          </w:p>
          <w:p w14:paraId="4EA8B5D2">
            <w:pPr>
              <w:pStyle w:val="8"/>
              <w:spacing w:before="25" w:line="237" w:lineRule="auto"/>
              <w:ind w:left="112" w:right="104" w:firstLine="358"/>
              <w:jc w:val="both"/>
            </w:pPr>
            <w:r>
              <w:t>第二十八条  未按本规定第二十五条报送信息的，分别由所在地港口行政管理部门或者海事管理机构</w:t>
            </w:r>
            <w:r>
              <w:rPr>
                <w:spacing w:val="6"/>
              </w:rPr>
              <w:t xml:space="preserve"> </w:t>
            </w:r>
            <w:r>
              <w:rPr>
                <w:spacing w:val="-3"/>
              </w:rPr>
              <w:t>按照职责分工责令限期改正，可处以</w:t>
            </w:r>
            <w:r>
              <w:rPr>
                <w:spacing w:val="-23"/>
              </w:rPr>
              <w:t xml:space="preserve"> </w:t>
            </w:r>
            <w:r>
              <w:rPr>
                <w:spacing w:val="-3"/>
              </w:rPr>
              <w:t>1000</w:t>
            </w:r>
            <w:r>
              <w:rPr>
                <w:spacing w:val="-37"/>
              </w:rPr>
              <w:t xml:space="preserve"> </w:t>
            </w:r>
            <w:r>
              <w:rPr>
                <w:spacing w:val="-3"/>
              </w:rPr>
              <w:t>元以下罚款；提供虚假信息或者</w:t>
            </w:r>
            <w:r>
              <w:rPr>
                <w:spacing w:val="-24"/>
              </w:rPr>
              <w:t xml:space="preserve"> </w:t>
            </w:r>
            <w:r>
              <w:rPr>
                <w:spacing w:val="-3"/>
              </w:rPr>
              <w:t>1</w:t>
            </w:r>
            <w:r>
              <w:rPr>
                <w:spacing w:val="-38"/>
              </w:rPr>
              <w:t xml:space="preserve"> </w:t>
            </w:r>
            <w:r>
              <w:rPr>
                <w:spacing w:val="-3"/>
              </w:rPr>
              <w:t>年之内多次未报信息的，处以</w:t>
            </w:r>
            <w:r>
              <w:t xml:space="preserve"> </w:t>
            </w:r>
            <w:r>
              <w:rPr>
                <w:spacing w:val="-5"/>
              </w:rPr>
              <w:t>3000</w:t>
            </w:r>
            <w:r>
              <w:rPr>
                <w:spacing w:val="-32"/>
              </w:rPr>
              <w:t xml:space="preserve"> </w:t>
            </w:r>
            <w:r>
              <w:rPr>
                <w:spacing w:val="-5"/>
              </w:rPr>
              <w:t>元以上</w:t>
            </w:r>
            <w:r>
              <w:rPr>
                <w:spacing w:val="-26"/>
              </w:rPr>
              <w:t xml:space="preserve"> </w:t>
            </w:r>
            <w:r>
              <w:rPr>
                <w:spacing w:val="-5"/>
              </w:rPr>
              <w:t>1</w:t>
            </w:r>
            <w:r>
              <w:rPr>
                <w:spacing w:val="-32"/>
              </w:rPr>
              <w:t xml:space="preserve"> </w:t>
            </w:r>
            <w:r>
              <w:rPr>
                <w:spacing w:val="-5"/>
              </w:rPr>
              <w:t>万元以下罚款。</w:t>
            </w:r>
          </w:p>
        </w:tc>
        <w:tc>
          <w:tcPr>
            <w:tcW w:w="1010" w:type="dxa"/>
            <w:vAlign w:val="top"/>
          </w:tcPr>
          <w:p w14:paraId="4A66C491">
            <w:pPr>
              <w:spacing w:line="280" w:lineRule="auto"/>
              <w:rPr>
                <w:rFonts w:ascii="Arial"/>
                <w:sz w:val="21"/>
              </w:rPr>
            </w:pPr>
          </w:p>
          <w:p w14:paraId="724AF080">
            <w:pPr>
              <w:spacing w:line="280" w:lineRule="auto"/>
              <w:rPr>
                <w:rFonts w:ascii="Arial"/>
                <w:sz w:val="21"/>
              </w:rPr>
            </w:pPr>
          </w:p>
          <w:p w14:paraId="1C99A00D">
            <w:pPr>
              <w:spacing w:line="280" w:lineRule="auto"/>
              <w:rPr>
                <w:rFonts w:ascii="Arial"/>
                <w:sz w:val="21"/>
              </w:rPr>
            </w:pPr>
          </w:p>
          <w:p w14:paraId="5096D18D">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7DAA0D2E">
            <w:pPr>
              <w:pStyle w:val="8"/>
              <w:spacing w:before="59" w:line="234" w:lineRule="auto"/>
              <w:ind w:left="530" w:right="104" w:hanging="413"/>
              <w:rPr>
                <w:rFonts w:hint="eastAsia"/>
                <w:spacing w:val="-12"/>
                <w:lang w:eastAsia="zh-CN"/>
              </w:rPr>
            </w:pPr>
          </w:p>
          <w:p w14:paraId="1E83FA1B">
            <w:pPr>
              <w:pStyle w:val="8"/>
              <w:spacing w:before="59" w:line="234" w:lineRule="auto"/>
              <w:ind w:left="530" w:right="104" w:hanging="413"/>
              <w:rPr>
                <w:rFonts w:hint="eastAsia"/>
                <w:spacing w:val="-12"/>
                <w:lang w:eastAsia="zh-CN"/>
              </w:rPr>
            </w:pPr>
          </w:p>
          <w:p w14:paraId="16E066D7">
            <w:pPr>
              <w:pStyle w:val="8"/>
              <w:spacing w:before="59" w:line="234" w:lineRule="auto"/>
              <w:ind w:left="530" w:right="104" w:hanging="413"/>
              <w:rPr>
                <w:rFonts w:hint="eastAsia"/>
                <w:spacing w:val="-12"/>
                <w:lang w:eastAsia="zh-CN"/>
              </w:rPr>
            </w:pPr>
          </w:p>
          <w:p w14:paraId="691BED77">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41938723">
            <w:pPr>
              <w:rPr>
                <w:rFonts w:ascii="Arial"/>
                <w:sz w:val="21"/>
              </w:rPr>
            </w:pPr>
          </w:p>
          <w:p w14:paraId="1AC6A732">
            <w:pPr>
              <w:rPr>
                <w:rFonts w:ascii="Arial"/>
                <w:sz w:val="21"/>
              </w:rPr>
            </w:pPr>
          </w:p>
          <w:p w14:paraId="22E4B77A">
            <w:pPr>
              <w:spacing w:line="241" w:lineRule="auto"/>
              <w:rPr>
                <w:rFonts w:ascii="Arial"/>
                <w:sz w:val="21"/>
              </w:rPr>
            </w:pPr>
          </w:p>
          <w:p w14:paraId="7A97DE68">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1EEC438D">
      <w:pPr>
        <w:pStyle w:val="2"/>
      </w:pPr>
    </w:p>
    <w:p w14:paraId="2757F3BB">
      <w:pPr>
        <w:sectPr>
          <w:footerReference r:id="rId152" w:type="default"/>
          <w:pgSz w:w="16839" w:h="11906"/>
          <w:pgMar w:top="1012" w:right="1034" w:bottom="967" w:left="1043" w:header="0" w:footer="768" w:gutter="0"/>
          <w:cols w:space="720" w:num="1"/>
        </w:sectPr>
      </w:pPr>
    </w:p>
    <w:p w14:paraId="721ACBFE">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0A18A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1EAD411A">
            <w:pPr>
              <w:pStyle w:val="8"/>
              <w:spacing w:before="259" w:line="221" w:lineRule="auto"/>
              <w:ind w:left="134"/>
            </w:pPr>
            <w:r>
              <w:rPr>
                <w:b/>
                <w:bCs/>
                <w:spacing w:val="-4"/>
              </w:rPr>
              <w:t>序号</w:t>
            </w:r>
          </w:p>
        </w:tc>
        <w:tc>
          <w:tcPr>
            <w:tcW w:w="1100" w:type="dxa"/>
            <w:vMerge w:val="restart"/>
            <w:tcBorders>
              <w:bottom w:val="nil"/>
            </w:tcBorders>
            <w:vAlign w:val="top"/>
          </w:tcPr>
          <w:p w14:paraId="3B846E04">
            <w:pPr>
              <w:pStyle w:val="8"/>
              <w:spacing w:before="260" w:line="220" w:lineRule="auto"/>
              <w:ind w:left="189"/>
            </w:pPr>
            <w:r>
              <w:rPr>
                <w:b/>
                <w:bCs/>
                <w:spacing w:val="-4"/>
              </w:rPr>
              <w:t>事项名称</w:t>
            </w:r>
          </w:p>
        </w:tc>
        <w:tc>
          <w:tcPr>
            <w:tcW w:w="1100" w:type="dxa"/>
            <w:vMerge w:val="restart"/>
            <w:tcBorders>
              <w:bottom w:val="nil"/>
            </w:tcBorders>
            <w:vAlign w:val="top"/>
          </w:tcPr>
          <w:p w14:paraId="0EB01612">
            <w:pPr>
              <w:pStyle w:val="8"/>
              <w:spacing w:before="260" w:line="219" w:lineRule="auto"/>
              <w:ind w:left="191"/>
            </w:pPr>
            <w:r>
              <w:rPr>
                <w:b/>
                <w:bCs/>
                <w:spacing w:val="-4"/>
              </w:rPr>
              <w:t>职权类型</w:t>
            </w:r>
          </w:p>
        </w:tc>
        <w:tc>
          <w:tcPr>
            <w:tcW w:w="8508" w:type="dxa"/>
            <w:vMerge w:val="restart"/>
            <w:tcBorders>
              <w:bottom w:val="nil"/>
            </w:tcBorders>
            <w:vAlign w:val="top"/>
          </w:tcPr>
          <w:p w14:paraId="764F01D2">
            <w:pPr>
              <w:pStyle w:val="8"/>
              <w:spacing w:before="259" w:line="219" w:lineRule="auto"/>
              <w:ind w:left="3900"/>
            </w:pPr>
            <w:r>
              <w:rPr>
                <w:b/>
                <w:bCs/>
                <w:spacing w:val="-5"/>
              </w:rPr>
              <w:t>实施依据</w:t>
            </w:r>
          </w:p>
        </w:tc>
        <w:tc>
          <w:tcPr>
            <w:tcW w:w="3425" w:type="dxa"/>
            <w:gridSpan w:val="3"/>
            <w:vAlign w:val="top"/>
          </w:tcPr>
          <w:p w14:paraId="108A151B">
            <w:pPr>
              <w:pStyle w:val="8"/>
              <w:spacing w:before="85" w:line="220" w:lineRule="auto"/>
              <w:ind w:left="1358"/>
            </w:pPr>
            <w:r>
              <w:rPr>
                <w:b/>
                <w:bCs/>
                <w:spacing w:val="-5"/>
              </w:rPr>
              <w:t>实施主体</w:t>
            </w:r>
          </w:p>
        </w:tc>
      </w:tr>
      <w:tr w14:paraId="2B6D0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24B0DBA1">
            <w:pPr>
              <w:rPr>
                <w:rFonts w:ascii="Arial"/>
                <w:sz w:val="21"/>
              </w:rPr>
            </w:pPr>
          </w:p>
        </w:tc>
        <w:tc>
          <w:tcPr>
            <w:tcW w:w="1100" w:type="dxa"/>
            <w:vMerge w:val="continue"/>
            <w:tcBorders>
              <w:top w:val="nil"/>
            </w:tcBorders>
            <w:vAlign w:val="top"/>
          </w:tcPr>
          <w:p w14:paraId="031B9F88">
            <w:pPr>
              <w:rPr>
                <w:rFonts w:ascii="Arial"/>
                <w:sz w:val="21"/>
              </w:rPr>
            </w:pPr>
          </w:p>
        </w:tc>
        <w:tc>
          <w:tcPr>
            <w:tcW w:w="1100" w:type="dxa"/>
            <w:vMerge w:val="continue"/>
            <w:tcBorders>
              <w:top w:val="nil"/>
            </w:tcBorders>
            <w:vAlign w:val="top"/>
          </w:tcPr>
          <w:p w14:paraId="3F5B4385">
            <w:pPr>
              <w:rPr>
                <w:rFonts w:ascii="Arial"/>
                <w:sz w:val="21"/>
              </w:rPr>
            </w:pPr>
          </w:p>
        </w:tc>
        <w:tc>
          <w:tcPr>
            <w:tcW w:w="8508" w:type="dxa"/>
            <w:vMerge w:val="continue"/>
            <w:tcBorders>
              <w:top w:val="nil"/>
            </w:tcBorders>
            <w:vAlign w:val="top"/>
          </w:tcPr>
          <w:p w14:paraId="3636CC1D">
            <w:pPr>
              <w:rPr>
                <w:rFonts w:ascii="Arial"/>
                <w:sz w:val="21"/>
              </w:rPr>
            </w:pPr>
          </w:p>
        </w:tc>
        <w:tc>
          <w:tcPr>
            <w:tcW w:w="1010" w:type="dxa"/>
            <w:vAlign w:val="top"/>
          </w:tcPr>
          <w:p w14:paraId="0310E5EC">
            <w:pPr>
              <w:pStyle w:val="8"/>
              <w:spacing w:before="81" w:line="219" w:lineRule="auto"/>
              <w:ind w:left="155"/>
            </w:pPr>
            <w:r>
              <w:rPr>
                <w:b/>
                <w:bCs/>
                <w:spacing w:val="-5"/>
              </w:rPr>
              <w:t>责任部门</w:t>
            </w:r>
          </w:p>
        </w:tc>
        <w:tc>
          <w:tcPr>
            <w:tcW w:w="1401" w:type="dxa"/>
            <w:vAlign w:val="top"/>
          </w:tcPr>
          <w:p w14:paraId="14C7B177">
            <w:pPr>
              <w:pStyle w:val="8"/>
              <w:spacing w:before="81" w:line="219" w:lineRule="auto"/>
              <w:ind w:left="164"/>
            </w:pPr>
            <w:r>
              <w:rPr>
                <w:b/>
                <w:bCs/>
                <w:spacing w:val="-3"/>
              </w:rPr>
              <w:t>第一责任层级</w:t>
            </w:r>
          </w:p>
        </w:tc>
        <w:tc>
          <w:tcPr>
            <w:tcW w:w="1014" w:type="dxa"/>
            <w:vAlign w:val="top"/>
          </w:tcPr>
          <w:p w14:paraId="22992015">
            <w:pPr>
              <w:pStyle w:val="8"/>
              <w:spacing w:before="81" w:line="219" w:lineRule="auto"/>
              <w:ind w:left="150"/>
            </w:pPr>
            <w:r>
              <w:rPr>
                <w:b/>
                <w:bCs/>
                <w:spacing w:val="-4"/>
              </w:rPr>
              <w:t>承办机构</w:t>
            </w:r>
          </w:p>
        </w:tc>
      </w:tr>
      <w:tr w14:paraId="3A61A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4" w:hRule="atLeast"/>
        </w:trPr>
        <w:tc>
          <w:tcPr>
            <w:tcW w:w="622" w:type="dxa"/>
            <w:vAlign w:val="top"/>
          </w:tcPr>
          <w:p w14:paraId="487EEA30">
            <w:pPr>
              <w:spacing w:line="247" w:lineRule="auto"/>
              <w:rPr>
                <w:rFonts w:ascii="Arial"/>
                <w:sz w:val="21"/>
              </w:rPr>
            </w:pPr>
          </w:p>
          <w:p w14:paraId="348D028D">
            <w:pPr>
              <w:spacing w:line="247" w:lineRule="auto"/>
              <w:rPr>
                <w:rFonts w:ascii="Arial"/>
                <w:sz w:val="21"/>
              </w:rPr>
            </w:pPr>
          </w:p>
          <w:p w14:paraId="78C5CD1F">
            <w:pPr>
              <w:spacing w:line="247" w:lineRule="auto"/>
              <w:rPr>
                <w:rFonts w:ascii="Arial"/>
                <w:sz w:val="21"/>
              </w:rPr>
            </w:pPr>
          </w:p>
          <w:p w14:paraId="6830FB38">
            <w:pPr>
              <w:spacing w:line="247" w:lineRule="auto"/>
              <w:rPr>
                <w:rFonts w:ascii="Arial"/>
                <w:sz w:val="21"/>
              </w:rPr>
            </w:pPr>
          </w:p>
          <w:p w14:paraId="15940DFA">
            <w:pPr>
              <w:spacing w:line="247" w:lineRule="auto"/>
              <w:rPr>
                <w:rFonts w:ascii="Arial"/>
                <w:sz w:val="21"/>
              </w:rPr>
            </w:pPr>
          </w:p>
          <w:p w14:paraId="3145A716">
            <w:pPr>
              <w:spacing w:line="247" w:lineRule="auto"/>
              <w:rPr>
                <w:rFonts w:ascii="Arial"/>
                <w:sz w:val="21"/>
              </w:rPr>
            </w:pPr>
          </w:p>
          <w:p w14:paraId="54CF10B6">
            <w:pPr>
              <w:spacing w:line="248" w:lineRule="auto"/>
              <w:rPr>
                <w:rFonts w:ascii="Arial"/>
                <w:sz w:val="21"/>
              </w:rPr>
            </w:pPr>
          </w:p>
          <w:p w14:paraId="68116852">
            <w:pPr>
              <w:pStyle w:val="8"/>
              <w:spacing w:before="59" w:line="183" w:lineRule="auto"/>
              <w:ind w:left="229"/>
            </w:pPr>
            <w:r>
              <w:rPr>
                <w:spacing w:val="-5"/>
              </w:rPr>
              <w:t>52</w:t>
            </w:r>
          </w:p>
        </w:tc>
        <w:tc>
          <w:tcPr>
            <w:tcW w:w="1100" w:type="dxa"/>
            <w:vAlign w:val="top"/>
          </w:tcPr>
          <w:p w14:paraId="28170DBF">
            <w:pPr>
              <w:spacing w:line="291" w:lineRule="auto"/>
              <w:rPr>
                <w:rFonts w:ascii="Arial"/>
                <w:sz w:val="21"/>
              </w:rPr>
            </w:pPr>
          </w:p>
          <w:p w14:paraId="3D049D0E">
            <w:pPr>
              <w:spacing w:line="291" w:lineRule="auto"/>
              <w:rPr>
                <w:rFonts w:ascii="Arial"/>
                <w:sz w:val="21"/>
              </w:rPr>
            </w:pPr>
          </w:p>
          <w:p w14:paraId="7EC9796F">
            <w:pPr>
              <w:spacing w:line="292" w:lineRule="auto"/>
              <w:rPr>
                <w:rFonts w:ascii="Arial"/>
                <w:sz w:val="21"/>
              </w:rPr>
            </w:pPr>
          </w:p>
          <w:p w14:paraId="4EC58581">
            <w:pPr>
              <w:pStyle w:val="8"/>
              <w:spacing w:before="58" w:line="243" w:lineRule="auto"/>
              <w:ind w:left="59" w:right="55"/>
            </w:pPr>
            <w:r>
              <w:rPr>
                <w:spacing w:val="16"/>
              </w:rPr>
              <w:t>对危险货物</w:t>
            </w:r>
            <w:r>
              <w:t xml:space="preserve"> </w:t>
            </w:r>
            <w:r>
              <w:rPr>
                <w:spacing w:val="16"/>
              </w:rPr>
              <w:t>水路运输从</w:t>
            </w:r>
            <w:r>
              <w:t xml:space="preserve"> </w:t>
            </w:r>
            <w:r>
              <w:rPr>
                <w:spacing w:val="16"/>
              </w:rPr>
              <w:t>业人员将资</w:t>
            </w:r>
            <w:r>
              <w:t xml:space="preserve"> </w:t>
            </w:r>
            <w:r>
              <w:rPr>
                <w:spacing w:val="16"/>
              </w:rPr>
              <w:t>格证书转借</w:t>
            </w:r>
            <w:r>
              <w:t xml:space="preserve"> </w:t>
            </w:r>
            <w:r>
              <w:rPr>
                <w:spacing w:val="10"/>
              </w:rPr>
              <w:t>他人使用、</w:t>
            </w:r>
            <w:r>
              <w:rPr>
                <w:spacing w:val="2"/>
              </w:rPr>
              <w:t xml:space="preserve"> </w:t>
            </w:r>
            <w:r>
              <w:rPr>
                <w:spacing w:val="16"/>
              </w:rPr>
              <w:t>涂改资格证</w:t>
            </w:r>
            <w:r>
              <w:t xml:space="preserve"> </w:t>
            </w:r>
            <w:r>
              <w:rPr>
                <w:spacing w:val="16"/>
              </w:rPr>
              <w:t>书等行为的</w:t>
            </w:r>
            <w:r>
              <w:t xml:space="preserve"> </w:t>
            </w:r>
            <w:r>
              <w:rPr>
                <w:spacing w:val="-2"/>
              </w:rPr>
              <w:t>行政处罚</w:t>
            </w:r>
          </w:p>
        </w:tc>
        <w:tc>
          <w:tcPr>
            <w:tcW w:w="1100" w:type="dxa"/>
            <w:vAlign w:val="top"/>
          </w:tcPr>
          <w:p w14:paraId="03347D49">
            <w:pPr>
              <w:spacing w:line="243" w:lineRule="auto"/>
              <w:rPr>
                <w:rFonts w:ascii="Arial"/>
                <w:sz w:val="21"/>
              </w:rPr>
            </w:pPr>
          </w:p>
          <w:p w14:paraId="080C640B">
            <w:pPr>
              <w:spacing w:line="243" w:lineRule="auto"/>
              <w:rPr>
                <w:rFonts w:ascii="Arial"/>
                <w:sz w:val="21"/>
              </w:rPr>
            </w:pPr>
          </w:p>
          <w:p w14:paraId="2859DCE1">
            <w:pPr>
              <w:spacing w:line="243" w:lineRule="auto"/>
              <w:rPr>
                <w:rFonts w:ascii="Arial"/>
                <w:sz w:val="21"/>
              </w:rPr>
            </w:pPr>
          </w:p>
          <w:p w14:paraId="053F291E">
            <w:pPr>
              <w:spacing w:line="243" w:lineRule="auto"/>
              <w:rPr>
                <w:rFonts w:ascii="Arial"/>
                <w:sz w:val="21"/>
              </w:rPr>
            </w:pPr>
          </w:p>
          <w:p w14:paraId="1CD60244">
            <w:pPr>
              <w:spacing w:line="243" w:lineRule="auto"/>
              <w:rPr>
                <w:rFonts w:ascii="Arial"/>
                <w:sz w:val="21"/>
              </w:rPr>
            </w:pPr>
          </w:p>
          <w:p w14:paraId="3ECC7ACD">
            <w:pPr>
              <w:spacing w:line="243" w:lineRule="auto"/>
              <w:rPr>
                <w:rFonts w:ascii="Arial"/>
                <w:sz w:val="21"/>
              </w:rPr>
            </w:pPr>
          </w:p>
          <w:p w14:paraId="3469DDC9">
            <w:pPr>
              <w:spacing w:line="244" w:lineRule="auto"/>
              <w:rPr>
                <w:rFonts w:ascii="Arial"/>
                <w:sz w:val="21"/>
              </w:rPr>
            </w:pPr>
          </w:p>
          <w:p w14:paraId="1C705CBC">
            <w:pPr>
              <w:pStyle w:val="8"/>
              <w:spacing w:before="58" w:line="220" w:lineRule="auto"/>
              <w:ind w:left="112"/>
            </w:pPr>
            <w:r>
              <w:rPr>
                <w:spacing w:val="-2"/>
              </w:rPr>
              <w:t>行政处罚</w:t>
            </w:r>
          </w:p>
        </w:tc>
        <w:tc>
          <w:tcPr>
            <w:tcW w:w="8508" w:type="dxa"/>
            <w:vAlign w:val="top"/>
          </w:tcPr>
          <w:p w14:paraId="4EDCE380">
            <w:pPr>
              <w:pStyle w:val="8"/>
              <w:spacing w:before="218" w:line="219" w:lineRule="auto"/>
              <w:ind w:left="484"/>
            </w:pPr>
            <w:r>
              <w:rPr>
                <w:b/>
                <w:bCs/>
                <w:spacing w:val="-4"/>
              </w:rPr>
              <w:t>1.《中华人民共和国行政许可法》</w:t>
            </w:r>
          </w:p>
          <w:p w14:paraId="631710CE">
            <w:pPr>
              <w:pStyle w:val="8"/>
              <w:spacing w:before="25" w:line="219" w:lineRule="auto"/>
              <w:ind w:left="471"/>
            </w:pPr>
            <w:r>
              <w:rPr>
                <w:spacing w:val="-1"/>
              </w:rPr>
              <w:t>第九条  依法取得的行政许可，除法律、法规规定依照法定条件和程序可以转让的外，不得转让。</w:t>
            </w:r>
          </w:p>
          <w:p w14:paraId="09559EA5">
            <w:pPr>
              <w:pStyle w:val="8"/>
              <w:spacing w:before="25" w:line="233" w:lineRule="auto"/>
              <w:ind w:left="112" w:right="44" w:firstLine="358"/>
            </w:pPr>
            <w:r>
              <w:t>第八十条第（一）项  被许可人有下列行为之一的，行政机关应当依法给予行政处罚；构成犯罪的，</w:t>
            </w:r>
            <w:r>
              <w:rPr>
                <w:spacing w:val="3"/>
              </w:rPr>
              <w:t xml:space="preserve"> </w:t>
            </w:r>
            <w:r>
              <w:rPr>
                <w:spacing w:val="-1"/>
              </w:rPr>
              <w:t>依法追究刑事责任</w:t>
            </w:r>
            <w:r>
              <w:rPr>
                <w:spacing w:val="-24"/>
              </w:rPr>
              <w:t>：（</w:t>
            </w:r>
            <w:r>
              <w:rPr>
                <w:spacing w:val="-1"/>
              </w:rPr>
              <w:t>一）涂改、倒卖、出租、出借行政</w:t>
            </w:r>
            <w:r>
              <w:rPr>
                <w:spacing w:val="-2"/>
              </w:rPr>
              <w:t>许可证件，或者以其他形式非法转让行政许可的。</w:t>
            </w:r>
          </w:p>
          <w:p w14:paraId="1A8AEE11">
            <w:pPr>
              <w:pStyle w:val="8"/>
              <w:spacing w:before="26" w:line="219" w:lineRule="auto"/>
              <w:ind w:left="473"/>
            </w:pPr>
            <w:r>
              <w:rPr>
                <w:b/>
                <w:bCs/>
                <w:spacing w:val="-2"/>
              </w:rPr>
              <w:t>2.《危险货物水路运输从业人员考核和从业资格管理</w:t>
            </w:r>
            <w:r>
              <w:rPr>
                <w:b/>
                <w:bCs/>
                <w:spacing w:val="-3"/>
              </w:rPr>
              <w:t>规定》（交通运输部令</w:t>
            </w:r>
            <w:r>
              <w:rPr>
                <w:spacing w:val="-35"/>
              </w:rPr>
              <w:t xml:space="preserve"> </w:t>
            </w:r>
            <w:r>
              <w:rPr>
                <w:b/>
                <w:bCs/>
                <w:spacing w:val="-3"/>
              </w:rPr>
              <w:t>2021</w:t>
            </w:r>
            <w:r>
              <w:rPr>
                <w:spacing w:val="-38"/>
              </w:rPr>
              <w:t xml:space="preserve"> </w:t>
            </w:r>
            <w:r>
              <w:rPr>
                <w:b/>
                <w:bCs/>
                <w:spacing w:val="-3"/>
              </w:rPr>
              <w:t>年第</w:t>
            </w:r>
            <w:r>
              <w:rPr>
                <w:spacing w:val="-33"/>
              </w:rPr>
              <w:t xml:space="preserve"> </w:t>
            </w:r>
            <w:r>
              <w:rPr>
                <w:b/>
                <w:bCs/>
                <w:spacing w:val="-3"/>
              </w:rPr>
              <w:t>29</w:t>
            </w:r>
            <w:r>
              <w:rPr>
                <w:spacing w:val="-34"/>
              </w:rPr>
              <w:t xml:space="preserve"> </w:t>
            </w:r>
            <w:r>
              <w:rPr>
                <w:b/>
                <w:bCs/>
                <w:spacing w:val="-3"/>
              </w:rPr>
              <w:t>号）</w:t>
            </w:r>
          </w:p>
          <w:p w14:paraId="511641E2">
            <w:pPr>
              <w:pStyle w:val="8"/>
              <w:spacing w:before="28" w:line="241" w:lineRule="auto"/>
              <w:ind w:left="110" w:right="104" w:firstLine="360"/>
              <w:jc w:val="both"/>
            </w:pPr>
            <w:r>
              <w:t>第十二条  装卸管理人员、申报员、检查员应当按照本规定经考核合格，具备相应从业条件，取得相</w:t>
            </w:r>
            <w:r>
              <w:rPr>
                <w:spacing w:val="6"/>
              </w:rPr>
              <w:t xml:space="preserve"> </w:t>
            </w:r>
            <w:r>
              <w:t>应种类的《危险化学品水路运输从业资格证书》（以下简称《资格证书》，见附件</w:t>
            </w:r>
            <w:r>
              <w:rPr>
                <w:spacing w:val="3"/>
              </w:rPr>
              <w:t>），</w:t>
            </w:r>
            <w:r>
              <w:t>方可从事相应的作</w:t>
            </w:r>
            <w:r>
              <w:rPr>
                <w:spacing w:val="1"/>
              </w:rPr>
              <w:t xml:space="preserve"> </w:t>
            </w:r>
            <w:r>
              <w:rPr>
                <w:spacing w:val="-9"/>
              </w:rPr>
              <w:t>业。</w:t>
            </w:r>
          </w:p>
          <w:p w14:paraId="1A8753DB">
            <w:pPr>
              <w:pStyle w:val="8"/>
              <w:spacing w:before="13" w:line="233" w:lineRule="auto"/>
              <w:ind w:left="112" w:right="112" w:firstLine="364"/>
            </w:pPr>
            <w:r>
              <w:t>《资格证书》按照危险化学品国际水路运输和国内水路运输类型，细分为包装、散</w:t>
            </w:r>
            <w:r>
              <w:rPr>
                <w:spacing w:val="-1"/>
              </w:rPr>
              <w:t>装固体、散装液体</w:t>
            </w:r>
            <w:r>
              <w:t xml:space="preserve"> </w:t>
            </w:r>
            <w:r>
              <w:rPr>
                <w:spacing w:val="-2"/>
              </w:rPr>
              <w:t>等种类，并在证书备注栏中予以注明。</w:t>
            </w:r>
          </w:p>
          <w:p w14:paraId="205DB76B">
            <w:pPr>
              <w:pStyle w:val="8"/>
              <w:spacing w:before="26" w:line="219" w:lineRule="auto"/>
              <w:ind w:left="476"/>
            </w:pPr>
            <w:r>
              <w:rPr>
                <w:spacing w:val="-2"/>
              </w:rPr>
              <w:t>《资格证书》由交通运输部统一式样及编号，在全国范围内有效。</w:t>
            </w:r>
          </w:p>
          <w:p w14:paraId="36D9236C">
            <w:pPr>
              <w:pStyle w:val="8"/>
              <w:spacing w:before="26" w:line="233" w:lineRule="auto"/>
              <w:ind w:left="112" w:right="77" w:firstLine="358"/>
            </w:pPr>
            <w:r>
              <w:t>第二十九条  装卸管理人员、申报员和检查员有下列行为之一的，分别由所在地港口行政管理部门或</w:t>
            </w:r>
            <w:r>
              <w:rPr>
                <w:spacing w:val="6"/>
              </w:rPr>
              <w:t xml:space="preserve"> </w:t>
            </w:r>
            <w:r>
              <w:rPr>
                <w:spacing w:val="-1"/>
              </w:rPr>
              <w:t>者海事管理机构按照职责分工责令改正，并处以</w:t>
            </w:r>
            <w:r>
              <w:rPr>
                <w:spacing w:val="-34"/>
              </w:rPr>
              <w:t xml:space="preserve"> </w:t>
            </w:r>
            <w:r>
              <w:rPr>
                <w:spacing w:val="-1"/>
              </w:rPr>
              <w:t>5000</w:t>
            </w:r>
            <w:r>
              <w:rPr>
                <w:spacing w:val="-39"/>
              </w:rPr>
              <w:t xml:space="preserve"> </w:t>
            </w:r>
            <w:r>
              <w:rPr>
                <w:spacing w:val="-1"/>
              </w:rPr>
              <w:t>元的罚款</w:t>
            </w:r>
            <w:r>
              <w:rPr>
                <w:spacing w:val="-6"/>
              </w:rPr>
              <w:t>：（</w:t>
            </w:r>
            <w:r>
              <w:rPr>
                <w:spacing w:val="-2"/>
              </w:rPr>
              <w:t>一）将《资格证书》转借他人使用的；</w:t>
            </w:r>
          </w:p>
          <w:p w14:paraId="70BFB99D">
            <w:pPr>
              <w:pStyle w:val="8"/>
              <w:spacing w:before="27" w:line="219" w:lineRule="auto"/>
              <w:ind w:left="121"/>
            </w:pPr>
            <w:r>
              <w:rPr>
                <w:spacing w:val="-4"/>
              </w:rPr>
              <w:t>（二）涂改《资格证书》的。</w:t>
            </w:r>
          </w:p>
        </w:tc>
        <w:tc>
          <w:tcPr>
            <w:tcW w:w="1010" w:type="dxa"/>
            <w:vAlign w:val="top"/>
          </w:tcPr>
          <w:p w14:paraId="1737D412">
            <w:pPr>
              <w:spacing w:line="264" w:lineRule="auto"/>
              <w:rPr>
                <w:rFonts w:ascii="Arial"/>
                <w:sz w:val="21"/>
              </w:rPr>
            </w:pPr>
          </w:p>
          <w:p w14:paraId="40CAF866">
            <w:pPr>
              <w:spacing w:line="265" w:lineRule="auto"/>
              <w:rPr>
                <w:rFonts w:ascii="Arial"/>
                <w:sz w:val="21"/>
              </w:rPr>
            </w:pPr>
          </w:p>
          <w:p w14:paraId="15755C4E">
            <w:pPr>
              <w:spacing w:line="265" w:lineRule="auto"/>
              <w:rPr>
                <w:rFonts w:ascii="Arial"/>
                <w:sz w:val="21"/>
              </w:rPr>
            </w:pPr>
          </w:p>
          <w:p w14:paraId="7F0EB44F">
            <w:pPr>
              <w:spacing w:line="265" w:lineRule="auto"/>
              <w:rPr>
                <w:rFonts w:ascii="Arial"/>
                <w:sz w:val="21"/>
              </w:rPr>
            </w:pPr>
          </w:p>
          <w:p w14:paraId="2AD150E9">
            <w:pPr>
              <w:spacing w:line="265" w:lineRule="auto"/>
              <w:rPr>
                <w:rFonts w:ascii="Arial"/>
                <w:sz w:val="21"/>
              </w:rPr>
            </w:pPr>
          </w:p>
          <w:p w14:paraId="124DF4DB">
            <w:pPr>
              <w:spacing w:line="265" w:lineRule="auto"/>
              <w:rPr>
                <w:rFonts w:ascii="Arial"/>
                <w:sz w:val="21"/>
              </w:rPr>
            </w:pPr>
          </w:p>
          <w:p w14:paraId="0F298C95">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55A79932">
            <w:pPr>
              <w:pStyle w:val="8"/>
              <w:spacing w:before="59" w:line="234" w:lineRule="auto"/>
              <w:ind w:left="530" w:right="104" w:hanging="413"/>
              <w:rPr>
                <w:rFonts w:hint="eastAsia"/>
                <w:spacing w:val="-12"/>
                <w:lang w:eastAsia="zh-CN"/>
              </w:rPr>
            </w:pPr>
          </w:p>
          <w:p w14:paraId="41623433">
            <w:pPr>
              <w:pStyle w:val="8"/>
              <w:spacing w:before="59" w:line="234" w:lineRule="auto"/>
              <w:ind w:left="530" w:right="104" w:hanging="413"/>
              <w:rPr>
                <w:rFonts w:hint="eastAsia"/>
                <w:spacing w:val="-12"/>
                <w:lang w:eastAsia="zh-CN"/>
              </w:rPr>
            </w:pPr>
          </w:p>
          <w:p w14:paraId="66A3EF9E">
            <w:pPr>
              <w:pStyle w:val="8"/>
              <w:spacing w:before="59" w:line="234" w:lineRule="auto"/>
              <w:ind w:left="530" w:right="104" w:hanging="413"/>
              <w:rPr>
                <w:rFonts w:hint="eastAsia"/>
                <w:spacing w:val="-12"/>
                <w:lang w:eastAsia="zh-CN"/>
              </w:rPr>
            </w:pPr>
          </w:p>
          <w:p w14:paraId="2C3646C4">
            <w:pPr>
              <w:pStyle w:val="8"/>
              <w:spacing w:before="59" w:line="234" w:lineRule="auto"/>
              <w:ind w:left="530" w:right="104" w:hanging="413"/>
              <w:rPr>
                <w:rFonts w:hint="eastAsia"/>
                <w:spacing w:val="-12"/>
                <w:lang w:eastAsia="zh-CN"/>
              </w:rPr>
            </w:pPr>
          </w:p>
          <w:p w14:paraId="79531EFE">
            <w:pPr>
              <w:pStyle w:val="8"/>
              <w:spacing w:before="59" w:line="234" w:lineRule="auto"/>
              <w:ind w:left="530" w:right="104" w:hanging="413"/>
              <w:rPr>
                <w:rFonts w:hint="eastAsia"/>
                <w:spacing w:val="-12"/>
                <w:lang w:eastAsia="zh-CN"/>
              </w:rPr>
            </w:pPr>
          </w:p>
          <w:p w14:paraId="0EE5C290">
            <w:pPr>
              <w:pStyle w:val="8"/>
              <w:spacing w:before="59" w:line="234" w:lineRule="auto"/>
              <w:ind w:left="530" w:right="104" w:hanging="413"/>
              <w:rPr>
                <w:rFonts w:hint="eastAsia"/>
                <w:spacing w:val="-12"/>
                <w:lang w:eastAsia="zh-CN"/>
              </w:rPr>
            </w:pPr>
          </w:p>
          <w:p w14:paraId="155B2E15">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7939C0BB">
            <w:pPr>
              <w:spacing w:line="245" w:lineRule="auto"/>
              <w:rPr>
                <w:rFonts w:ascii="Arial"/>
                <w:sz w:val="21"/>
              </w:rPr>
            </w:pPr>
          </w:p>
          <w:p w14:paraId="709C6580">
            <w:pPr>
              <w:spacing w:line="245" w:lineRule="auto"/>
              <w:rPr>
                <w:rFonts w:ascii="Arial"/>
                <w:sz w:val="21"/>
              </w:rPr>
            </w:pPr>
          </w:p>
          <w:p w14:paraId="6558327F">
            <w:pPr>
              <w:spacing w:line="245" w:lineRule="auto"/>
              <w:rPr>
                <w:rFonts w:ascii="Arial"/>
                <w:sz w:val="21"/>
              </w:rPr>
            </w:pPr>
          </w:p>
          <w:p w14:paraId="5F67356D">
            <w:pPr>
              <w:spacing w:line="245" w:lineRule="auto"/>
              <w:rPr>
                <w:rFonts w:ascii="Arial"/>
                <w:sz w:val="21"/>
              </w:rPr>
            </w:pPr>
          </w:p>
          <w:p w14:paraId="283BFB90">
            <w:pPr>
              <w:spacing w:line="245" w:lineRule="auto"/>
              <w:rPr>
                <w:rFonts w:ascii="Arial"/>
                <w:sz w:val="21"/>
              </w:rPr>
            </w:pPr>
          </w:p>
          <w:p w14:paraId="7B44EFD0">
            <w:pPr>
              <w:spacing w:line="246" w:lineRule="auto"/>
              <w:rPr>
                <w:rFonts w:ascii="Arial"/>
                <w:sz w:val="21"/>
              </w:rPr>
            </w:pPr>
          </w:p>
          <w:p w14:paraId="0F62451D">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7FA41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0" w:hRule="atLeast"/>
        </w:trPr>
        <w:tc>
          <w:tcPr>
            <w:tcW w:w="622" w:type="dxa"/>
            <w:vAlign w:val="top"/>
          </w:tcPr>
          <w:p w14:paraId="23C4917D">
            <w:pPr>
              <w:spacing w:line="264" w:lineRule="auto"/>
              <w:rPr>
                <w:rFonts w:ascii="Arial"/>
                <w:sz w:val="21"/>
              </w:rPr>
            </w:pPr>
          </w:p>
          <w:p w14:paraId="6CA98988">
            <w:pPr>
              <w:spacing w:line="264" w:lineRule="auto"/>
              <w:rPr>
                <w:rFonts w:ascii="Arial"/>
                <w:sz w:val="21"/>
              </w:rPr>
            </w:pPr>
          </w:p>
          <w:p w14:paraId="76AD4F11">
            <w:pPr>
              <w:spacing w:line="264" w:lineRule="auto"/>
              <w:rPr>
                <w:rFonts w:ascii="Arial"/>
                <w:sz w:val="21"/>
              </w:rPr>
            </w:pPr>
          </w:p>
          <w:p w14:paraId="1A1C04A5">
            <w:pPr>
              <w:spacing w:line="264" w:lineRule="auto"/>
              <w:rPr>
                <w:rFonts w:ascii="Arial"/>
                <w:sz w:val="21"/>
              </w:rPr>
            </w:pPr>
          </w:p>
          <w:p w14:paraId="566856B2">
            <w:pPr>
              <w:pStyle w:val="8"/>
              <w:spacing w:before="58" w:line="183" w:lineRule="auto"/>
              <w:ind w:left="229"/>
            </w:pPr>
            <w:r>
              <w:rPr>
                <w:spacing w:val="-5"/>
              </w:rPr>
              <w:t>53</w:t>
            </w:r>
          </w:p>
        </w:tc>
        <w:tc>
          <w:tcPr>
            <w:tcW w:w="1100" w:type="dxa"/>
            <w:vAlign w:val="top"/>
          </w:tcPr>
          <w:p w14:paraId="460A2046">
            <w:pPr>
              <w:spacing w:line="279" w:lineRule="auto"/>
              <w:rPr>
                <w:rFonts w:ascii="Arial"/>
                <w:sz w:val="21"/>
              </w:rPr>
            </w:pPr>
          </w:p>
          <w:p w14:paraId="4DBF49D7">
            <w:pPr>
              <w:spacing w:line="279" w:lineRule="auto"/>
              <w:rPr>
                <w:rFonts w:ascii="Arial"/>
                <w:sz w:val="21"/>
              </w:rPr>
            </w:pPr>
          </w:p>
          <w:p w14:paraId="283E4F53">
            <w:pPr>
              <w:pStyle w:val="8"/>
              <w:spacing w:before="59" w:line="241" w:lineRule="auto"/>
              <w:ind w:left="59" w:right="55"/>
              <w:jc w:val="both"/>
            </w:pPr>
            <w:r>
              <w:rPr>
                <w:spacing w:val="16"/>
              </w:rPr>
              <w:t>对擅自为航</w:t>
            </w:r>
            <w:r>
              <w:t xml:space="preserve"> </w:t>
            </w:r>
            <w:r>
              <w:rPr>
                <w:spacing w:val="16"/>
              </w:rPr>
              <w:t>行国际航线</w:t>
            </w:r>
            <w:r>
              <w:t xml:space="preserve"> </w:t>
            </w:r>
            <w:r>
              <w:rPr>
                <w:spacing w:val="16"/>
              </w:rPr>
              <w:t>船舶提供服</w:t>
            </w:r>
            <w:r>
              <w:t xml:space="preserve"> </w:t>
            </w:r>
            <w:r>
              <w:rPr>
                <w:spacing w:val="16"/>
              </w:rPr>
              <w:t>务行为的行</w:t>
            </w:r>
            <w:r>
              <w:t xml:space="preserve"> </w:t>
            </w:r>
            <w:r>
              <w:rPr>
                <w:spacing w:val="-2"/>
              </w:rPr>
              <w:t>政处罚</w:t>
            </w:r>
          </w:p>
        </w:tc>
        <w:tc>
          <w:tcPr>
            <w:tcW w:w="1100" w:type="dxa"/>
            <w:vAlign w:val="top"/>
          </w:tcPr>
          <w:p w14:paraId="683CDB60">
            <w:pPr>
              <w:spacing w:line="256" w:lineRule="auto"/>
              <w:rPr>
                <w:rFonts w:ascii="Arial"/>
                <w:sz w:val="21"/>
              </w:rPr>
            </w:pPr>
          </w:p>
          <w:p w14:paraId="50284954">
            <w:pPr>
              <w:spacing w:line="256" w:lineRule="auto"/>
              <w:rPr>
                <w:rFonts w:ascii="Arial"/>
                <w:sz w:val="21"/>
              </w:rPr>
            </w:pPr>
          </w:p>
          <w:p w14:paraId="7B788A13">
            <w:pPr>
              <w:spacing w:line="256" w:lineRule="auto"/>
              <w:rPr>
                <w:rFonts w:ascii="Arial"/>
                <w:sz w:val="21"/>
              </w:rPr>
            </w:pPr>
          </w:p>
          <w:p w14:paraId="28D17BC2">
            <w:pPr>
              <w:spacing w:line="257" w:lineRule="auto"/>
              <w:rPr>
                <w:rFonts w:ascii="Arial"/>
                <w:sz w:val="21"/>
              </w:rPr>
            </w:pPr>
          </w:p>
          <w:p w14:paraId="03EEA0EE">
            <w:pPr>
              <w:pStyle w:val="8"/>
              <w:spacing w:before="59" w:line="220" w:lineRule="auto"/>
              <w:ind w:left="112"/>
            </w:pPr>
            <w:r>
              <w:rPr>
                <w:spacing w:val="-2"/>
              </w:rPr>
              <w:t>行政处罚</w:t>
            </w:r>
          </w:p>
        </w:tc>
        <w:tc>
          <w:tcPr>
            <w:tcW w:w="8508" w:type="dxa"/>
            <w:vAlign w:val="top"/>
          </w:tcPr>
          <w:p w14:paraId="69003AFF">
            <w:pPr>
              <w:pStyle w:val="8"/>
              <w:spacing w:before="139" w:line="219" w:lineRule="auto"/>
              <w:ind w:left="476"/>
            </w:pPr>
            <w:r>
              <w:rPr>
                <w:b/>
                <w:bCs/>
                <w:spacing w:val="-3"/>
              </w:rPr>
              <w:t>《中华人民共和国港口设施保安规则》（交通运输部令</w:t>
            </w:r>
            <w:r>
              <w:rPr>
                <w:spacing w:val="-34"/>
              </w:rPr>
              <w:t xml:space="preserve"> </w:t>
            </w:r>
            <w:r>
              <w:rPr>
                <w:b/>
                <w:bCs/>
                <w:spacing w:val="-3"/>
              </w:rPr>
              <w:t>2019</w:t>
            </w:r>
            <w:r>
              <w:rPr>
                <w:spacing w:val="-38"/>
              </w:rPr>
              <w:t xml:space="preserve"> </w:t>
            </w:r>
            <w:r>
              <w:rPr>
                <w:b/>
                <w:bCs/>
                <w:spacing w:val="-3"/>
              </w:rPr>
              <w:t>年第</w:t>
            </w:r>
            <w:r>
              <w:rPr>
                <w:spacing w:val="-31"/>
              </w:rPr>
              <w:t xml:space="preserve"> </w:t>
            </w:r>
            <w:r>
              <w:rPr>
                <w:b/>
                <w:bCs/>
                <w:spacing w:val="-3"/>
              </w:rPr>
              <w:t>33</w:t>
            </w:r>
            <w:r>
              <w:rPr>
                <w:spacing w:val="-35"/>
              </w:rPr>
              <w:t xml:space="preserve"> </w:t>
            </w:r>
            <w:r>
              <w:rPr>
                <w:b/>
                <w:bCs/>
                <w:spacing w:val="-3"/>
              </w:rPr>
              <w:t>号）</w:t>
            </w:r>
          </w:p>
          <w:p w14:paraId="2338846D">
            <w:pPr>
              <w:pStyle w:val="8"/>
              <w:spacing w:before="26" w:line="238" w:lineRule="auto"/>
              <w:ind w:left="111" w:right="104" w:firstLine="360"/>
              <w:jc w:val="both"/>
            </w:pPr>
            <w:r>
              <w:t>第三十六条  非经常性地为国际航行船舶提供服务的港口设施和处于试生产阶段的港口设施，经港口</w:t>
            </w:r>
            <w:r>
              <w:rPr>
                <w:spacing w:val="6"/>
              </w:rPr>
              <w:t xml:space="preserve"> </w:t>
            </w:r>
            <w:r>
              <w:t>所在地港口行政管理部门同意，可以不制订《港口设施保安计划》，但应当采取适当的保安措施来达到保</w:t>
            </w:r>
            <w:r>
              <w:rPr>
                <w:spacing w:val="6"/>
              </w:rPr>
              <w:t xml:space="preserve"> </w:t>
            </w:r>
            <w:r>
              <w:rPr>
                <w:spacing w:val="-7"/>
              </w:rPr>
              <w:t>安要求。</w:t>
            </w:r>
          </w:p>
          <w:p w14:paraId="01002684">
            <w:pPr>
              <w:pStyle w:val="8"/>
              <w:spacing w:before="24" w:line="219" w:lineRule="auto"/>
              <w:ind w:left="470"/>
            </w:pPr>
            <w:r>
              <w:rPr>
                <w:spacing w:val="-1"/>
              </w:rPr>
              <w:t>港口所在地港口行政管理部门应当对港口设施采取的保安措施是否适当进行现场监管。</w:t>
            </w:r>
          </w:p>
          <w:p w14:paraId="3086A3F0">
            <w:pPr>
              <w:pStyle w:val="8"/>
              <w:spacing w:before="25" w:line="233" w:lineRule="auto"/>
              <w:ind w:left="110" w:right="104" w:firstLine="360"/>
            </w:pPr>
            <w:r>
              <w:t>第七十九条  未按规定取得有效《港口设施保安符合证书》且不符合本规则第三十六条规定的港口设</w:t>
            </w:r>
            <w:r>
              <w:rPr>
                <w:spacing w:val="6"/>
              </w:rPr>
              <w:t xml:space="preserve"> </w:t>
            </w:r>
            <w:r>
              <w:rPr>
                <w:spacing w:val="-2"/>
              </w:rPr>
              <w:t>施，不得为航行国际航线船舶提供服务。</w:t>
            </w:r>
          </w:p>
          <w:p w14:paraId="50111757">
            <w:pPr>
              <w:pStyle w:val="8"/>
              <w:spacing w:before="26" w:line="232" w:lineRule="auto"/>
              <w:ind w:left="116" w:right="104" w:firstLine="353"/>
            </w:pPr>
            <w:r>
              <w:t>对于违反前款规定，擅自为航行国际航线船舶提供服务的港口设施，由港口所在地港口行政管理部门</w:t>
            </w:r>
            <w:r>
              <w:rPr>
                <w:spacing w:val="7"/>
              </w:rPr>
              <w:t xml:space="preserve"> </w:t>
            </w:r>
            <w:r>
              <w:rPr>
                <w:spacing w:val="-2"/>
              </w:rPr>
              <w:t>予以警告并责令停止违法行为，并可处以</w:t>
            </w:r>
            <w:r>
              <w:rPr>
                <w:spacing w:val="-34"/>
              </w:rPr>
              <w:t xml:space="preserve"> </w:t>
            </w:r>
            <w:r>
              <w:rPr>
                <w:spacing w:val="-2"/>
              </w:rPr>
              <w:t>3</w:t>
            </w:r>
            <w:r>
              <w:rPr>
                <w:spacing w:val="-34"/>
              </w:rPr>
              <w:t xml:space="preserve"> </w:t>
            </w:r>
            <w:r>
              <w:rPr>
                <w:spacing w:val="-2"/>
              </w:rPr>
              <w:t>万元</w:t>
            </w:r>
            <w:r>
              <w:rPr>
                <w:spacing w:val="-3"/>
              </w:rPr>
              <w:t>以下罚款。</w:t>
            </w:r>
          </w:p>
        </w:tc>
        <w:tc>
          <w:tcPr>
            <w:tcW w:w="1010" w:type="dxa"/>
            <w:vAlign w:val="top"/>
          </w:tcPr>
          <w:p w14:paraId="791BFDFE">
            <w:pPr>
              <w:spacing w:line="305" w:lineRule="auto"/>
              <w:rPr>
                <w:rFonts w:ascii="Arial"/>
                <w:sz w:val="21"/>
              </w:rPr>
            </w:pPr>
          </w:p>
          <w:p w14:paraId="6DFADAA7">
            <w:pPr>
              <w:spacing w:line="305" w:lineRule="auto"/>
              <w:rPr>
                <w:rFonts w:ascii="Arial"/>
                <w:sz w:val="21"/>
              </w:rPr>
            </w:pPr>
          </w:p>
          <w:p w14:paraId="15F59DC2">
            <w:pPr>
              <w:spacing w:line="305" w:lineRule="auto"/>
              <w:rPr>
                <w:rFonts w:ascii="Arial"/>
                <w:sz w:val="21"/>
              </w:rPr>
            </w:pPr>
          </w:p>
          <w:p w14:paraId="2D8C6420">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63B73B68">
            <w:pPr>
              <w:pStyle w:val="8"/>
              <w:spacing w:before="59" w:line="234" w:lineRule="auto"/>
              <w:ind w:left="530" w:right="104" w:hanging="413"/>
              <w:rPr>
                <w:rFonts w:hint="eastAsia"/>
                <w:spacing w:val="-12"/>
                <w:lang w:eastAsia="zh-CN"/>
              </w:rPr>
            </w:pPr>
          </w:p>
          <w:p w14:paraId="0A1DA519">
            <w:pPr>
              <w:pStyle w:val="8"/>
              <w:spacing w:before="59" w:line="234" w:lineRule="auto"/>
              <w:ind w:left="530" w:right="104" w:hanging="413"/>
              <w:rPr>
                <w:rFonts w:hint="eastAsia"/>
                <w:spacing w:val="-12"/>
                <w:lang w:eastAsia="zh-CN"/>
              </w:rPr>
            </w:pPr>
          </w:p>
          <w:p w14:paraId="21A588FF">
            <w:pPr>
              <w:pStyle w:val="8"/>
              <w:spacing w:before="59" w:line="234" w:lineRule="auto"/>
              <w:ind w:left="530" w:right="104" w:hanging="413"/>
              <w:rPr>
                <w:rFonts w:hint="eastAsia"/>
                <w:spacing w:val="-12"/>
                <w:lang w:eastAsia="zh-CN"/>
              </w:rPr>
            </w:pPr>
          </w:p>
          <w:p w14:paraId="7268A788">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806C3F5">
            <w:pPr>
              <w:spacing w:line="265" w:lineRule="auto"/>
              <w:rPr>
                <w:rFonts w:ascii="Arial"/>
                <w:sz w:val="21"/>
              </w:rPr>
            </w:pPr>
          </w:p>
          <w:p w14:paraId="7C3CD70F">
            <w:pPr>
              <w:spacing w:line="265" w:lineRule="auto"/>
              <w:rPr>
                <w:rFonts w:ascii="Arial"/>
                <w:sz w:val="21"/>
              </w:rPr>
            </w:pPr>
          </w:p>
          <w:p w14:paraId="2EDBBEC8">
            <w:pPr>
              <w:spacing w:line="266" w:lineRule="auto"/>
              <w:rPr>
                <w:rFonts w:ascii="Arial"/>
                <w:sz w:val="21"/>
              </w:rPr>
            </w:pPr>
          </w:p>
          <w:p w14:paraId="627171A0">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0F84D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8" w:hRule="atLeast"/>
        </w:trPr>
        <w:tc>
          <w:tcPr>
            <w:tcW w:w="622" w:type="dxa"/>
            <w:vAlign w:val="top"/>
          </w:tcPr>
          <w:p w14:paraId="379F3ACD">
            <w:pPr>
              <w:spacing w:line="251" w:lineRule="auto"/>
              <w:rPr>
                <w:rFonts w:ascii="Arial"/>
                <w:sz w:val="21"/>
              </w:rPr>
            </w:pPr>
          </w:p>
          <w:p w14:paraId="667A3E32">
            <w:pPr>
              <w:spacing w:line="251" w:lineRule="auto"/>
              <w:rPr>
                <w:rFonts w:ascii="Arial"/>
                <w:sz w:val="21"/>
              </w:rPr>
            </w:pPr>
          </w:p>
          <w:p w14:paraId="25922DB5">
            <w:pPr>
              <w:spacing w:line="251" w:lineRule="auto"/>
              <w:rPr>
                <w:rFonts w:ascii="Arial"/>
                <w:sz w:val="21"/>
              </w:rPr>
            </w:pPr>
          </w:p>
          <w:p w14:paraId="3F9C7095">
            <w:pPr>
              <w:spacing w:line="252" w:lineRule="auto"/>
              <w:rPr>
                <w:rFonts w:ascii="Arial"/>
                <w:sz w:val="21"/>
              </w:rPr>
            </w:pPr>
          </w:p>
          <w:p w14:paraId="283FF8E6">
            <w:pPr>
              <w:spacing w:line="252" w:lineRule="auto"/>
              <w:rPr>
                <w:rFonts w:ascii="Arial"/>
                <w:sz w:val="21"/>
              </w:rPr>
            </w:pPr>
          </w:p>
          <w:p w14:paraId="2C0BEA6E">
            <w:pPr>
              <w:pStyle w:val="8"/>
              <w:spacing w:before="59" w:line="183" w:lineRule="auto"/>
              <w:ind w:left="229"/>
            </w:pPr>
            <w:r>
              <w:rPr>
                <w:spacing w:val="-5"/>
              </w:rPr>
              <w:t>54</w:t>
            </w:r>
          </w:p>
        </w:tc>
        <w:tc>
          <w:tcPr>
            <w:tcW w:w="1100" w:type="dxa"/>
            <w:vAlign w:val="top"/>
          </w:tcPr>
          <w:p w14:paraId="3B0188F6">
            <w:pPr>
              <w:spacing w:line="285" w:lineRule="auto"/>
              <w:rPr>
                <w:rFonts w:ascii="Arial"/>
                <w:sz w:val="21"/>
              </w:rPr>
            </w:pPr>
          </w:p>
          <w:p w14:paraId="789ACC0F">
            <w:pPr>
              <w:pStyle w:val="8"/>
              <w:spacing w:before="58" w:line="243" w:lineRule="auto"/>
              <w:ind w:left="59" w:right="55"/>
              <w:jc w:val="both"/>
            </w:pPr>
            <w:r>
              <w:rPr>
                <w:spacing w:val="16"/>
              </w:rPr>
              <w:t>对港口设施</w:t>
            </w:r>
            <w:r>
              <w:t xml:space="preserve"> </w:t>
            </w:r>
            <w:r>
              <w:rPr>
                <w:spacing w:val="16"/>
              </w:rPr>
              <w:t>保安主管和</w:t>
            </w:r>
            <w:r>
              <w:t xml:space="preserve"> </w:t>
            </w:r>
            <w:r>
              <w:rPr>
                <w:spacing w:val="16"/>
              </w:rPr>
              <w:t>相关人员未</w:t>
            </w:r>
            <w:r>
              <w:t xml:space="preserve"> </w:t>
            </w:r>
            <w:r>
              <w:rPr>
                <w:spacing w:val="16"/>
              </w:rPr>
              <w:t>经必要的培</w:t>
            </w:r>
            <w:r>
              <w:t xml:space="preserve"> </w:t>
            </w:r>
            <w:r>
              <w:rPr>
                <w:spacing w:val="6"/>
              </w:rPr>
              <w:t>训，</w:t>
            </w:r>
            <w:r>
              <w:rPr>
                <w:spacing w:val="-41"/>
              </w:rPr>
              <w:t xml:space="preserve"> </w:t>
            </w:r>
            <w:r>
              <w:rPr>
                <w:spacing w:val="6"/>
              </w:rPr>
              <w:t>港口行</w:t>
            </w:r>
            <w:r>
              <w:t xml:space="preserve"> </w:t>
            </w:r>
            <w:r>
              <w:rPr>
                <w:spacing w:val="16"/>
              </w:rPr>
              <w:t>政管理部门</w:t>
            </w:r>
            <w:r>
              <w:t xml:space="preserve"> </w:t>
            </w:r>
            <w:r>
              <w:rPr>
                <w:spacing w:val="16"/>
              </w:rPr>
              <w:t>可以责令更</w:t>
            </w:r>
            <w:r>
              <w:t xml:space="preserve"> </w:t>
            </w:r>
            <w:r>
              <w:rPr>
                <w:spacing w:val="16"/>
              </w:rPr>
              <w:t>换等行为的</w:t>
            </w:r>
            <w:r>
              <w:t xml:space="preserve"> </w:t>
            </w:r>
            <w:r>
              <w:rPr>
                <w:spacing w:val="-2"/>
              </w:rPr>
              <w:t>行政处罚</w:t>
            </w:r>
          </w:p>
        </w:tc>
        <w:tc>
          <w:tcPr>
            <w:tcW w:w="1100" w:type="dxa"/>
            <w:vAlign w:val="top"/>
          </w:tcPr>
          <w:p w14:paraId="6EE487FE">
            <w:pPr>
              <w:spacing w:line="245" w:lineRule="auto"/>
              <w:rPr>
                <w:rFonts w:ascii="Arial"/>
                <w:sz w:val="21"/>
              </w:rPr>
            </w:pPr>
          </w:p>
          <w:p w14:paraId="2BD4779C">
            <w:pPr>
              <w:spacing w:line="246" w:lineRule="auto"/>
              <w:rPr>
                <w:rFonts w:ascii="Arial"/>
                <w:sz w:val="21"/>
              </w:rPr>
            </w:pPr>
          </w:p>
          <w:p w14:paraId="77F6AB37">
            <w:pPr>
              <w:spacing w:line="246" w:lineRule="auto"/>
              <w:rPr>
                <w:rFonts w:ascii="Arial"/>
                <w:sz w:val="21"/>
              </w:rPr>
            </w:pPr>
          </w:p>
          <w:p w14:paraId="7F9F4B6F">
            <w:pPr>
              <w:spacing w:line="246" w:lineRule="auto"/>
              <w:rPr>
                <w:rFonts w:ascii="Arial"/>
                <w:sz w:val="21"/>
              </w:rPr>
            </w:pPr>
          </w:p>
          <w:p w14:paraId="5238C68B">
            <w:pPr>
              <w:spacing w:line="246" w:lineRule="auto"/>
              <w:rPr>
                <w:rFonts w:ascii="Arial"/>
                <w:sz w:val="21"/>
              </w:rPr>
            </w:pPr>
          </w:p>
          <w:p w14:paraId="51BD54CD">
            <w:pPr>
              <w:pStyle w:val="8"/>
              <w:spacing w:before="59" w:line="220" w:lineRule="auto"/>
              <w:ind w:left="112"/>
            </w:pPr>
            <w:r>
              <w:rPr>
                <w:spacing w:val="-2"/>
              </w:rPr>
              <w:t>行政处罚</w:t>
            </w:r>
          </w:p>
        </w:tc>
        <w:tc>
          <w:tcPr>
            <w:tcW w:w="8508" w:type="dxa"/>
            <w:vAlign w:val="top"/>
          </w:tcPr>
          <w:p w14:paraId="505F282F">
            <w:pPr>
              <w:pStyle w:val="8"/>
              <w:spacing w:before="222" w:line="219" w:lineRule="auto"/>
              <w:ind w:left="476"/>
            </w:pPr>
            <w:r>
              <w:rPr>
                <w:b/>
                <w:bCs/>
                <w:spacing w:val="-3"/>
              </w:rPr>
              <w:t>《中华人民共和国港口设施保安规则》（交通运输部令</w:t>
            </w:r>
            <w:r>
              <w:rPr>
                <w:spacing w:val="-34"/>
              </w:rPr>
              <w:t xml:space="preserve"> </w:t>
            </w:r>
            <w:r>
              <w:rPr>
                <w:b/>
                <w:bCs/>
                <w:spacing w:val="-3"/>
              </w:rPr>
              <w:t>2019</w:t>
            </w:r>
            <w:r>
              <w:rPr>
                <w:spacing w:val="-38"/>
              </w:rPr>
              <w:t xml:space="preserve"> </w:t>
            </w:r>
            <w:r>
              <w:rPr>
                <w:b/>
                <w:bCs/>
                <w:spacing w:val="-3"/>
              </w:rPr>
              <w:t>年第</w:t>
            </w:r>
            <w:r>
              <w:rPr>
                <w:spacing w:val="-31"/>
              </w:rPr>
              <w:t xml:space="preserve"> </w:t>
            </w:r>
            <w:r>
              <w:rPr>
                <w:b/>
                <w:bCs/>
                <w:spacing w:val="-3"/>
              </w:rPr>
              <w:t>33</w:t>
            </w:r>
            <w:r>
              <w:rPr>
                <w:spacing w:val="-35"/>
              </w:rPr>
              <w:t xml:space="preserve"> </w:t>
            </w:r>
            <w:r>
              <w:rPr>
                <w:b/>
                <w:bCs/>
                <w:spacing w:val="-3"/>
              </w:rPr>
              <w:t>号）</w:t>
            </w:r>
          </w:p>
          <w:p w14:paraId="33803DFF">
            <w:pPr>
              <w:pStyle w:val="8"/>
              <w:spacing w:before="24"/>
              <w:ind w:left="112" w:right="104" w:firstLine="358"/>
              <w:jc w:val="both"/>
            </w:pPr>
            <w:r>
              <w:rPr>
                <w:spacing w:val="2"/>
              </w:rPr>
              <w:t>第六十一条  港口设施保安主管及下列从事港口设施</w:t>
            </w:r>
            <w:r>
              <w:rPr>
                <w:spacing w:val="1"/>
              </w:rPr>
              <w:t>保安工作的人员，应当按照</w:t>
            </w:r>
            <w:r>
              <w:rPr>
                <w:spacing w:val="-25"/>
              </w:rPr>
              <w:t xml:space="preserve"> </w:t>
            </w:r>
            <w:r>
              <w:t>ISPS</w:t>
            </w:r>
            <w:r>
              <w:rPr>
                <w:spacing w:val="-35"/>
              </w:rPr>
              <w:t xml:space="preserve"> </w:t>
            </w:r>
            <w:r>
              <w:rPr>
                <w:spacing w:val="1"/>
              </w:rPr>
              <w:t>规则的有关要</w:t>
            </w:r>
            <w:r>
              <w:t xml:space="preserve"> 求，完成港口设施保安培训，具备履行其职责的港口保安管理、港口保安设备设施应用、港口保安风险分</w:t>
            </w:r>
            <w:r>
              <w:rPr>
                <w:spacing w:val="4"/>
              </w:rPr>
              <w:t xml:space="preserve"> </w:t>
            </w:r>
            <w:r>
              <w:rPr>
                <w:spacing w:val="1"/>
              </w:rPr>
              <w:t>析等方面的知识和能力</w:t>
            </w:r>
            <w:r>
              <w:rPr>
                <w:spacing w:val="-6"/>
              </w:rPr>
              <w:t>：（</w:t>
            </w:r>
            <w:r>
              <w:rPr>
                <w:spacing w:val="1"/>
              </w:rPr>
              <w:t>一）从事港口设施保安行政管理工</w:t>
            </w:r>
            <w:r>
              <w:t>作人员</w:t>
            </w:r>
            <w:r>
              <w:rPr>
                <w:spacing w:val="-6"/>
              </w:rPr>
              <w:t>；（</w:t>
            </w:r>
            <w:r>
              <w:t>二）从事港口设施保安评估的人</w:t>
            </w:r>
            <w:r>
              <w:rPr>
                <w:spacing w:val="3"/>
              </w:rPr>
              <w:t xml:space="preserve"> </w:t>
            </w:r>
            <w:r>
              <w:rPr>
                <w:spacing w:val="-1"/>
              </w:rPr>
              <w:t>员</w:t>
            </w:r>
            <w:r>
              <w:rPr>
                <w:spacing w:val="1"/>
              </w:rPr>
              <w:t>；（</w:t>
            </w:r>
            <w:r>
              <w:rPr>
                <w:spacing w:val="-1"/>
              </w:rPr>
              <w:t>三）制定《港口设施保安计划》的人员</w:t>
            </w:r>
            <w:r>
              <w:rPr>
                <w:spacing w:val="1"/>
              </w:rPr>
              <w:t>；（</w:t>
            </w:r>
            <w:r>
              <w:rPr>
                <w:spacing w:val="-1"/>
              </w:rPr>
              <w:t>四）港口设施经营人中主管安全、生产的负责人。</w:t>
            </w:r>
          </w:p>
          <w:p w14:paraId="6A54CB74">
            <w:pPr>
              <w:pStyle w:val="8"/>
              <w:spacing w:before="25" w:line="233" w:lineRule="auto"/>
              <w:ind w:left="114" w:right="104" w:firstLine="357"/>
            </w:pPr>
            <w:r>
              <w:rPr>
                <w:spacing w:val="-2"/>
              </w:rPr>
              <w:t>其他从事与港口设施保安有关工作的人员，应当按照</w:t>
            </w:r>
            <w:r>
              <w:rPr>
                <w:spacing w:val="-27"/>
              </w:rPr>
              <w:t xml:space="preserve"> </w:t>
            </w:r>
            <w:r>
              <w:rPr>
                <w:spacing w:val="-2"/>
              </w:rPr>
              <w:t>ISPS</w:t>
            </w:r>
            <w:r>
              <w:rPr>
                <w:spacing w:val="-38"/>
              </w:rPr>
              <w:t xml:space="preserve"> </w:t>
            </w:r>
            <w:r>
              <w:rPr>
                <w:spacing w:val="-2"/>
              </w:rPr>
              <w:t>规</w:t>
            </w:r>
            <w:r>
              <w:rPr>
                <w:spacing w:val="-3"/>
              </w:rPr>
              <w:t>则的有关要求，经过相应的培训，具备履</w:t>
            </w:r>
            <w:r>
              <w:t xml:space="preserve"> </w:t>
            </w:r>
            <w:r>
              <w:rPr>
                <w:spacing w:val="-3"/>
              </w:rPr>
              <w:t>行其担任职责方面的知识和能力。</w:t>
            </w:r>
          </w:p>
          <w:p w14:paraId="4134E6C3">
            <w:pPr>
              <w:pStyle w:val="8"/>
              <w:spacing w:before="26" w:line="237" w:lineRule="auto"/>
              <w:ind w:left="112" w:right="104" w:firstLine="358"/>
              <w:jc w:val="both"/>
            </w:pPr>
            <w:r>
              <w:t>第八十条  对于违反本规则规定，港口设施保安主管和相关人员未经必要的培训，港口行政管理部门</w:t>
            </w:r>
            <w:r>
              <w:rPr>
                <w:spacing w:val="6"/>
              </w:rPr>
              <w:t xml:space="preserve"> </w:t>
            </w:r>
            <w:r>
              <w:t>可以责令更换；港口设施保安主管和相关人员未能履行本规则规定的职责，港口行政管理部门可以责令其</w:t>
            </w:r>
            <w:r>
              <w:rPr>
                <w:spacing w:val="4"/>
              </w:rPr>
              <w:t xml:space="preserve"> </w:t>
            </w:r>
            <w:r>
              <w:rPr>
                <w:spacing w:val="-1"/>
              </w:rPr>
              <w:t>参加保安培训；情节严重的，可以责令暂停或者撤销其港口设施保安主管资格。</w:t>
            </w:r>
          </w:p>
        </w:tc>
        <w:tc>
          <w:tcPr>
            <w:tcW w:w="1010" w:type="dxa"/>
            <w:vAlign w:val="top"/>
          </w:tcPr>
          <w:p w14:paraId="7C3C66F4">
            <w:pPr>
              <w:spacing w:line="279" w:lineRule="auto"/>
              <w:rPr>
                <w:rFonts w:ascii="Arial"/>
                <w:sz w:val="21"/>
              </w:rPr>
            </w:pPr>
          </w:p>
          <w:p w14:paraId="3EF91F0E">
            <w:pPr>
              <w:spacing w:line="279" w:lineRule="auto"/>
              <w:rPr>
                <w:rFonts w:ascii="Arial"/>
                <w:sz w:val="21"/>
              </w:rPr>
            </w:pPr>
          </w:p>
          <w:p w14:paraId="3D89AF44">
            <w:pPr>
              <w:spacing w:line="279" w:lineRule="auto"/>
              <w:rPr>
                <w:rFonts w:ascii="Arial"/>
                <w:sz w:val="21"/>
              </w:rPr>
            </w:pPr>
          </w:p>
          <w:p w14:paraId="6635C940">
            <w:pPr>
              <w:spacing w:line="280" w:lineRule="auto"/>
              <w:rPr>
                <w:rFonts w:ascii="Arial"/>
                <w:sz w:val="21"/>
              </w:rPr>
            </w:pPr>
          </w:p>
          <w:p w14:paraId="45CB83D7">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4500CD7B">
            <w:pPr>
              <w:pStyle w:val="8"/>
              <w:spacing w:before="59" w:line="234" w:lineRule="auto"/>
              <w:ind w:left="530" w:right="104" w:hanging="413"/>
              <w:rPr>
                <w:rFonts w:hint="eastAsia"/>
                <w:spacing w:val="-12"/>
                <w:lang w:eastAsia="zh-CN"/>
              </w:rPr>
            </w:pPr>
          </w:p>
          <w:p w14:paraId="023FCF0C">
            <w:pPr>
              <w:pStyle w:val="8"/>
              <w:spacing w:before="59" w:line="234" w:lineRule="auto"/>
              <w:ind w:left="530" w:right="104" w:hanging="413"/>
              <w:rPr>
                <w:rFonts w:hint="eastAsia"/>
                <w:spacing w:val="-12"/>
                <w:lang w:eastAsia="zh-CN"/>
              </w:rPr>
            </w:pPr>
          </w:p>
          <w:p w14:paraId="2A897811">
            <w:pPr>
              <w:pStyle w:val="8"/>
              <w:spacing w:before="59" w:line="234" w:lineRule="auto"/>
              <w:ind w:left="530" w:right="104" w:hanging="413"/>
              <w:rPr>
                <w:rFonts w:hint="eastAsia"/>
                <w:spacing w:val="-12"/>
                <w:lang w:eastAsia="zh-CN"/>
              </w:rPr>
            </w:pPr>
          </w:p>
          <w:p w14:paraId="75175ADE">
            <w:pPr>
              <w:pStyle w:val="8"/>
              <w:spacing w:before="59" w:line="234" w:lineRule="auto"/>
              <w:ind w:left="530" w:right="104" w:hanging="413"/>
              <w:rPr>
                <w:rFonts w:hint="eastAsia"/>
                <w:spacing w:val="-12"/>
                <w:lang w:eastAsia="zh-CN"/>
              </w:rPr>
            </w:pPr>
          </w:p>
          <w:p w14:paraId="799B45B0">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F1BCFA0">
            <w:pPr>
              <w:spacing w:line="249" w:lineRule="auto"/>
              <w:rPr>
                <w:rFonts w:ascii="Arial"/>
                <w:sz w:val="21"/>
              </w:rPr>
            </w:pPr>
          </w:p>
          <w:p w14:paraId="520AD285">
            <w:pPr>
              <w:spacing w:line="249" w:lineRule="auto"/>
              <w:rPr>
                <w:rFonts w:ascii="Arial"/>
                <w:sz w:val="21"/>
              </w:rPr>
            </w:pPr>
          </w:p>
          <w:p w14:paraId="4C5318B8">
            <w:pPr>
              <w:spacing w:line="250" w:lineRule="auto"/>
              <w:rPr>
                <w:rFonts w:ascii="Arial"/>
                <w:sz w:val="21"/>
              </w:rPr>
            </w:pPr>
          </w:p>
          <w:p w14:paraId="1E5BE34D">
            <w:pPr>
              <w:spacing w:line="250" w:lineRule="auto"/>
              <w:rPr>
                <w:rFonts w:ascii="Arial"/>
                <w:sz w:val="21"/>
              </w:rPr>
            </w:pPr>
          </w:p>
          <w:p w14:paraId="1CC29ECA">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6419646A">
      <w:pPr>
        <w:spacing w:line="218" w:lineRule="exact"/>
        <w:rPr>
          <w:sz w:val="18"/>
          <w:szCs w:val="18"/>
        </w:rPr>
        <w:sectPr>
          <w:footerReference r:id="rId153" w:type="default"/>
          <w:pgSz w:w="16839" w:h="11906"/>
          <w:pgMar w:top="1012" w:right="1034" w:bottom="967" w:left="1043" w:header="0" w:footer="768" w:gutter="0"/>
          <w:cols w:space="720" w:num="1"/>
        </w:sectPr>
      </w:pPr>
    </w:p>
    <w:p w14:paraId="73DFC8F3">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22421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565A9CE9">
            <w:pPr>
              <w:pStyle w:val="8"/>
              <w:spacing w:before="259" w:line="221" w:lineRule="auto"/>
              <w:ind w:left="134"/>
            </w:pPr>
            <w:r>
              <w:rPr>
                <w:b/>
                <w:bCs/>
                <w:spacing w:val="-4"/>
              </w:rPr>
              <w:t>序号</w:t>
            </w:r>
          </w:p>
        </w:tc>
        <w:tc>
          <w:tcPr>
            <w:tcW w:w="1100" w:type="dxa"/>
            <w:vMerge w:val="restart"/>
            <w:tcBorders>
              <w:bottom w:val="nil"/>
            </w:tcBorders>
            <w:vAlign w:val="top"/>
          </w:tcPr>
          <w:p w14:paraId="385FABB8">
            <w:pPr>
              <w:pStyle w:val="8"/>
              <w:spacing w:before="260" w:line="220" w:lineRule="auto"/>
              <w:ind w:left="189"/>
            </w:pPr>
            <w:r>
              <w:rPr>
                <w:b/>
                <w:bCs/>
                <w:spacing w:val="-4"/>
              </w:rPr>
              <w:t>事项名称</w:t>
            </w:r>
          </w:p>
        </w:tc>
        <w:tc>
          <w:tcPr>
            <w:tcW w:w="1100" w:type="dxa"/>
            <w:vMerge w:val="restart"/>
            <w:tcBorders>
              <w:bottom w:val="nil"/>
            </w:tcBorders>
            <w:vAlign w:val="top"/>
          </w:tcPr>
          <w:p w14:paraId="62F9D141">
            <w:pPr>
              <w:pStyle w:val="8"/>
              <w:spacing w:before="260" w:line="219" w:lineRule="auto"/>
              <w:ind w:left="191"/>
            </w:pPr>
            <w:r>
              <w:rPr>
                <w:b/>
                <w:bCs/>
                <w:spacing w:val="-4"/>
              </w:rPr>
              <w:t>职权类型</w:t>
            </w:r>
          </w:p>
        </w:tc>
        <w:tc>
          <w:tcPr>
            <w:tcW w:w="8508" w:type="dxa"/>
            <w:vMerge w:val="restart"/>
            <w:tcBorders>
              <w:bottom w:val="nil"/>
            </w:tcBorders>
            <w:vAlign w:val="top"/>
          </w:tcPr>
          <w:p w14:paraId="429E6748">
            <w:pPr>
              <w:pStyle w:val="8"/>
              <w:spacing w:before="259" w:line="219" w:lineRule="auto"/>
              <w:ind w:left="3900"/>
            </w:pPr>
            <w:r>
              <w:rPr>
                <w:b/>
                <w:bCs/>
                <w:spacing w:val="-5"/>
              </w:rPr>
              <w:t>实施依据</w:t>
            </w:r>
          </w:p>
        </w:tc>
        <w:tc>
          <w:tcPr>
            <w:tcW w:w="3425" w:type="dxa"/>
            <w:gridSpan w:val="3"/>
            <w:vAlign w:val="top"/>
          </w:tcPr>
          <w:p w14:paraId="5C523B9F">
            <w:pPr>
              <w:pStyle w:val="8"/>
              <w:spacing w:before="85" w:line="220" w:lineRule="auto"/>
              <w:ind w:left="1358"/>
            </w:pPr>
            <w:r>
              <w:rPr>
                <w:b/>
                <w:bCs/>
                <w:spacing w:val="-5"/>
              </w:rPr>
              <w:t>实施主体</w:t>
            </w:r>
          </w:p>
        </w:tc>
      </w:tr>
      <w:tr w14:paraId="2515E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1B8CF73B">
            <w:pPr>
              <w:rPr>
                <w:rFonts w:ascii="Arial"/>
                <w:sz w:val="21"/>
              </w:rPr>
            </w:pPr>
          </w:p>
        </w:tc>
        <w:tc>
          <w:tcPr>
            <w:tcW w:w="1100" w:type="dxa"/>
            <w:vMerge w:val="continue"/>
            <w:tcBorders>
              <w:top w:val="nil"/>
            </w:tcBorders>
            <w:vAlign w:val="top"/>
          </w:tcPr>
          <w:p w14:paraId="2A86A18A">
            <w:pPr>
              <w:rPr>
                <w:rFonts w:ascii="Arial"/>
                <w:sz w:val="21"/>
              </w:rPr>
            </w:pPr>
          </w:p>
        </w:tc>
        <w:tc>
          <w:tcPr>
            <w:tcW w:w="1100" w:type="dxa"/>
            <w:vMerge w:val="continue"/>
            <w:tcBorders>
              <w:top w:val="nil"/>
            </w:tcBorders>
            <w:vAlign w:val="top"/>
          </w:tcPr>
          <w:p w14:paraId="55883501">
            <w:pPr>
              <w:rPr>
                <w:rFonts w:ascii="Arial"/>
                <w:sz w:val="21"/>
              </w:rPr>
            </w:pPr>
          </w:p>
        </w:tc>
        <w:tc>
          <w:tcPr>
            <w:tcW w:w="8508" w:type="dxa"/>
            <w:vMerge w:val="continue"/>
            <w:tcBorders>
              <w:top w:val="nil"/>
            </w:tcBorders>
            <w:vAlign w:val="top"/>
          </w:tcPr>
          <w:p w14:paraId="1B9C5496">
            <w:pPr>
              <w:rPr>
                <w:rFonts w:ascii="Arial"/>
                <w:sz w:val="21"/>
              </w:rPr>
            </w:pPr>
          </w:p>
        </w:tc>
        <w:tc>
          <w:tcPr>
            <w:tcW w:w="1010" w:type="dxa"/>
            <w:vAlign w:val="top"/>
          </w:tcPr>
          <w:p w14:paraId="60D94960">
            <w:pPr>
              <w:pStyle w:val="8"/>
              <w:spacing w:before="81" w:line="219" w:lineRule="auto"/>
              <w:ind w:left="155"/>
            </w:pPr>
            <w:r>
              <w:rPr>
                <w:b/>
                <w:bCs/>
                <w:spacing w:val="-5"/>
              </w:rPr>
              <w:t>责任部门</w:t>
            </w:r>
          </w:p>
        </w:tc>
        <w:tc>
          <w:tcPr>
            <w:tcW w:w="1401" w:type="dxa"/>
            <w:vAlign w:val="top"/>
          </w:tcPr>
          <w:p w14:paraId="62246B63">
            <w:pPr>
              <w:pStyle w:val="8"/>
              <w:spacing w:before="81" w:line="219" w:lineRule="auto"/>
              <w:ind w:left="164"/>
            </w:pPr>
            <w:r>
              <w:rPr>
                <w:b/>
                <w:bCs/>
                <w:spacing w:val="-3"/>
              </w:rPr>
              <w:t>第一责任层级</w:t>
            </w:r>
          </w:p>
        </w:tc>
        <w:tc>
          <w:tcPr>
            <w:tcW w:w="1014" w:type="dxa"/>
            <w:vAlign w:val="top"/>
          </w:tcPr>
          <w:p w14:paraId="456075F6">
            <w:pPr>
              <w:pStyle w:val="8"/>
              <w:spacing w:before="81" w:line="219" w:lineRule="auto"/>
              <w:ind w:left="150"/>
            </w:pPr>
            <w:r>
              <w:rPr>
                <w:b/>
                <w:bCs/>
                <w:spacing w:val="-4"/>
              </w:rPr>
              <w:t>承办机构</w:t>
            </w:r>
          </w:p>
        </w:tc>
      </w:tr>
      <w:tr w14:paraId="7DF8E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7" w:hRule="atLeast"/>
        </w:trPr>
        <w:tc>
          <w:tcPr>
            <w:tcW w:w="622" w:type="dxa"/>
            <w:vAlign w:val="top"/>
          </w:tcPr>
          <w:p w14:paraId="43C1170D">
            <w:pPr>
              <w:spacing w:line="271" w:lineRule="auto"/>
              <w:rPr>
                <w:rFonts w:ascii="Arial"/>
                <w:sz w:val="21"/>
              </w:rPr>
            </w:pPr>
          </w:p>
          <w:p w14:paraId="2623FC0C">
            <w:pPr>
              <w:spacing w:line="271" w:lineRule="auto"/>
              <w:rPr>
                <w:rFonts w:ascii="Arial"/>
                <w:sz w:val="21"/>
              </w:rPr>
            </w:pPr>
          </w:p>
          <w:p w14:paraId="791FAF17">
            <w:pPr>
              <w:spacing w:line="271" w:lineRule="auto"/>
              <w:rPr>
                <w:rFonts w:ascii="Arial"/>
                <w:sz w:val="21"/>
              </w:rPr>
            </w:pPr>
          </w:p>
          <w:p w14:paraId="3EAD6976">
            <w:pPr>
              <w:spacing w:line="272" w:lineRule="auto"/>
              <w:rPr>
                <w:rFonts w:ascii="Arial"/>
                <w:sz w:val="21"/>
              </w:rPr>
            </w:pPr>
          </w:p>
          <w:p w14:paraId="173E8F11">
            <w:pPr>
              <w:spacing w:line="272" w:lineRule="auto"/>
              <w:rPr>
                <w:rFonts w:ascii="Arial"/>
                <w:sz w:val="21"/>
              </w:rPr>
            </w:pPr>
          </w:p>
          <w:p w14:paraId="494161C9">
            <w:pPr>
              <w:pStyle w:val="8"/>
              <w:spacing w:before="58" w:line="182" w:lineRule="auto"/>
              <w:ind w:left="229"/>
            </w:pPr>
            <w:r>
              <w:rPr>
                <w:spacing w:val="-5"/>
              </w:rPr>
              <w:t>55</w:t>
            </w:r>
          </w:p>
        </w:tc>
        <w:tc>
          <w:tcPr>
            <w:tcW w:w="1100" w:type="dxa"/>
            <w:vAlign w:val="top"/>
          </w:tcPr>
          <w:p w14:paraId="07295A0C">
            <w:pPr>
              <w:spacing w:line="250" w:lineRule="auto"/>
              <w:rPr>
                <w:rFonts w:ascii="Arial"/>
                <w:sz w:val="21"/>
              </w:rPr>
            </w:pPr>
          </w:p>
          <w:p w14:paraId="6E2A578C">
            <w:pPr>
              <w:spacing w:line="250" w:lineRule="auto"/>
              <w:rPr>
                <w:rFonts w:ascii="Arial"/>
                <w:sz w:val="21"/>
              </w:rPr>
            </w:pPr>
          </w:p>
          <w:p w14:paraId="0B623C1C">
            <w:pPr>
              <w:pStyle w:val="8"/>
              <w:spacing w:before="58" w:line="243" w:lineRule="auto"/>
              <w:ind w:left="59" w:right="55"/>
              <w:jc w:val="both"/>
            </w:pPr>
            <w:r>
              <w:rPr>
                <w:spacing w:val="16"/>
              </w:rPr>
              <w:t>对未经许可</w:t>
            </w:r>
            <w:r>
              <w:t xml:space="preserve"> </w:t>
            </w:r>
            <w:r>
              <w:rPr>
                <w:spacing w:val="16"/>
              </w:rPr>
              <w:t>使用港口岸</w:t>
            </w:r>
            <w:r>
              <w:t xml:space="preserve"> </w:t>
            </w:r>
            <w:r>
              <w:rPr>
                <w:spacing w:val="16"/>
              </w:rPr>
              <w:t>线或者擅自</w:t>
            </w:r>
            <w:r>
              <w:t xml:space="preserve"> </w:t>
            </w:r>
            <w:r>
              <w:rPr>
                <w:spacing w:val="16"/>
              </w:rPr>
              <w:t>变更港口岸</w:t>
            </w:r>
            <w:r>
              <w:t xml:space="preserve"> </w:t>
            </w:r>
            <w:r>
              <w:rPr>
                <w:spacing w:val="16"/>
              </w:rPr>
              <w:t>线的使用权</w:t>
            </w:r>
            <w:r>
              <w:t xml:space="preserve"> </w:t>
            </w:r>
            <w:r>
              <w:rPr>
                <w:spacing w:val="16"/>
              </w:rPr>
              <w:t>人、用途或</w:t>
            </w:r>
            <w:r>
              <w:t xml:space="preserve"> </w:t>
            </w:r>
            <w:r>
              <w:rPr>
                <w:spacing w:val="16"/>
              </w:rPr>
              <w:t>者范围的行</w:t>
            </w:r>
            <w:r>
              <w:t xml:space="preserve"> </w:t>
            </w:r>
            <w:r>
              <w:rPr>
                <w:spacing w:val="-2"/>
              </w:rPr>
              <w:t>政处罚</w:t>
            </w:r>
          </w:p>
        </w:tc>
        <w:tc>
          <w:tcPr>
            <w:tcW w:w="1100" w:type="dxa"/>
            <w:vAlign w:val="top"/>
          </w:tcPr>
          <w:p w14:paraId="25C69003">
            <w:pPr>
              <w:spacing w:line="267" w:lineRule="auto"/>
              <w:rPr>
                <w:rFonts w:ascii="Arial"/>
                <w:sz w:val="21"/>
              </w:rPr>
            </w:pPr>
          </w:p>
          <w:p w14:paraId="42E9700B">
            <w:pPr>
              <w:spacing w:line="267" w:lineRule="auto"/>
              <w:rPr>
                <w:rFonts w:ascii="Arial"/>
                <w:sz w:val="21"/>
              </w:rPr>
            </w:pPr>
          </w:p>
          <w:p w14:paraId="3DD2535F">
            <w:pPr>
              <w:spacing w:line="267" w:lineRule="auto"/>
              <w:rPr>
                <w:rFonts w:ascii="Arial"/>
                <w:sz w:val="21"/>
              </w:rPr>
            </w:pPr>
          </w:p>
          <w:p w14:paraId="1C601E55">
            <w:pPr>
              <w:spacing w:line="267" w:lineRule="auto"/>
              <w:rPr>
                <w:rFonts w:ascii="Arial"/>
                <w:sz w:val="21"/>
              </w:rPr>
            </w:pPr>
          </w:p>
          <w:p w14:paraId="6DC23352">
            <w:pPr>
              <w:spacing w:line="267" w:lineRule="auto"/>
              <w:rPr>
                <w:rFonts w:ascii="Arial"/>
                <w:sz w:val="21"/>
              </w:rPr>
            </w:pPr>
          </w:p>
          <w:p w14:paraId="06622577">
            <w:pPr>
              <w:pStyle w:val="8"/>
              <w:spacing w:before="58" w:line="220" w:lineRule="auto"/>
              <w:ind w:left="112"/>
            </w:pPr>
            <w:r>
              <w:rPr>
                <w:spacing w:val="-2"/>
              </w:rPr>
              <w:t>行政处罚</w:t>
            </w:r>
          </w:p>
        </w:tc>
        <w:tc>
          <w:tcPr>
            <w:tcW w:w="8508" w:type="dxa"/>
            <w:vAlign w:val="top"/>
          </w:tcPr>
          <w:p w14:paraId="4B6B2213">
            <w:pPr>
              <w:spacing w:line="261" w:lineRule="auto"/>
              <w:rPr>
                <w:rFonts w:ascii="Arial"/>
                <w:sz w:val="21"/>
              </w:rPr>
            </w:pPr>
          </w:p>
          <w:p w14:paraId="11C578A4">
            <w:pPr>
              <w:pStyle w:val="8"/>
              <w:spacing w:before="59" w:line="219" w:lineRule="auto"/>
              <w:ind w:left="476"/>
            </w:pPr>
            <w:r>
              <w:rPr>
                <w:b/>
                <w:bCs/>
                <w:spacing w:val="-2"/>
              </w:rPr>
              <w:t>《湖南省实施</w:t>
            </w:r>
            <w:r>
              <w:rPr>
                <w:rFonts w:hint="eastAsia"/>
                <w:b/>
                <w:bCs/>
                <w:spacing w:val="-2"/>
                <w:lang w:eastAsia="zh-CN"/>
              </w:rPr>
              <w:t>〈</w:t>
            </w:r>
            <w:r>
              <w:rPr>
                <w:b/>
                <w:bCs/>
                <w:spacing w:val="-2"/>
              </w:rPr>
              <w:t>中华人民共和国港口法</w:t>
            </w:r>
            <w:r>
              <w:rPr>
                <w:rFonts w:hint="eastAsia"/>
                <w:b/>
                <w:bCs/>
                <w:spacing w:val="-2"/>
                <w:lang w:eastAsia="zh-CN"/>
              </w:rPr>
              <w:t>〉</w:t>
            </w:r>
            <w:r>
              <w:rPr>
                <w:b/>
                <w:bCs/>
                <w:spacing w:val="-2"/>
              </w:rPr>
              <w:t>办法》</w:t>
            </w:r>
          </w:p>
          <w:p w14:paraId="736A6BE2">
            <w:pPr>
              <w:pStyle w:val="8"/>
              <w:spacing w:before="27" w:line="237" w:lineRule="auto"/>
              <w:ind w:left="111" w:right="104" w:firstLine="359"/>
            </w:pPr>
            <w:r>
              <w:t>第九条  在港口总体规划区内新建、改建、扩建港口设施使用港口岸线的，应当在项目批准立项前依</w:t>
            </w:r>
            <w:r>
              <w:rPr>
                <w:spacing w:val="6"/>
              </w:rPr>
              <w:t xml:space="preserve"> </w:t>
            </w:r>
            <w:r>
              <w:t>法申请办理岸线使用审批手续。在原批准的港口岸线内改建、扩建港口设施，不变更港口岸线使用人和港</w:t>
            </w:r>
            <w:r>
              <w:rPr>
                <w:spacing w:val="5"/>
              </w:rPr>
              <w:t xml:space="preserve"> </w:t>
            </w:r>
            <w:r>
              <w:rPr>
                <w:spacing w:val="-2"/>
              </w:rPr>
              <w:t>口岸线用途的，不需重新办理港口岸线使用审批手续。</w:t>
            </w:r>
          </w:p>
          <w:p w14:paraId="701CAAAF">
            <w:pPr>
              <w:pStyle w:val="8"/>
              <w:spacing w:before="24" w:line="233" w:lineRule="auto"/>
              <w:ind w:left="112" w:right="104" w:firstLine="358"/>
            </w:pPr>
            <w:r>
              <w:t>第十三条第一款  港口岸线使用人应当按照批准的范围、用途及期限使用港口岸线，不得擅自转让使</w:t>
            </w:r>
            <w:r>
              <w:rPr>
                <w:spacing w:val="6"/>
              </w:rPr>
              <w:t xml:space="preserve"> </w:t>
            </w:r>
            <w:r>
              <w:rPr>
                <w:spacing w:val="-1"/>
              </w:rPr>
              <w:t>用权；需要变更使用权人、用途或者范围的，应当向原许可机关申请办理变更手续。</w:t>
            </w:r>
          </w:p>
          <w:p w14:paraId="18D1F07D">
            <w:pPr>
              <w:pStyle w:val="8"/>
              <w:spacing w:before="24"/>
              <w:ind w:left="111" w:right="30" w:firstLine="360"/>
            </w:pPr>
            <w:r>
              <w:rPr>
                <w:spacing w:val="-3"/>
              </w:rPr>
              <w:t>第三十五条第（一）项  违反本办法规定的，由有管辖权的港口</w:t>
            </w:r>
            <w:r>
              <w:rPr>
                <w:spacing w:val="-4"/>
              </w:rPr>
              <w:t>管理机构按照下列规定予以处理</w:t>
            </w:r>
            <w:r>
              <w:rPr>
                <w:spacing w:val="-42"/>
                <w:w w:val="87"/>
              </w:rPr>
              <w:t>：（</w:t>
            </w:r>
            <w:r>
              <w:rPr>
                <w:spacing w:val="-4"/>
              </w:rPr>
              <w:t>一）</w:t>
            </w:r>
            <w:r>
              <w:rPr>
                <w:spacing w:val="2"/>
              </w:rPr>
              <w:t xml:space="preserve"> </w:t>
            </w:r>
            <w:r>
              <w:t>违反本办法第九条、第十三条第一款规定，未经许可使用港口岸线或者擅自变更港口岸线的使用权人、用</w:t>
            </w:r>
            <w:r>
              <w:rPr>
                <w:spacing w:val="3"/>
              </w:rPr>
              <w:t xml:space="preserve">  </w:t>
            </w:r>
            <w:r>
              <w:t>途或者范围的，责令限期改正；对违法建筑物，责令限期拆除、恢复原状；逾期未拆除的，申请人民法院</w:t>
            </w:r>
            <w:r>
              <w:rPr>
                <w:spacing w:val="3"/>
              </w:rPr>
              <w:t xml:space="preserve">  </w:t>
            </w:r>
            <w:r>
              <w:rPr>
                <w:spacing w:val="-2"/>
              </w:rPr>
              <w:t>强制拆除，可以处五千元以上三万元以下罚款。</w:t>
            </w:r>
          </w:p>
        </w:tc>
        <w:tc>
          <w:tcPr>
            <w:tcW w:w="1010" w:type="dxa"/>
            <w:vAlign w:val="top"/>
          </w:tcPr>
          <w:p w14:paraId="7D474F47">
            <w:pPr>
              <w:spacing w:line="243" w:lineRule="auto"/>
              <w:rPr>
                <w:rFonts w:ascii="Arial"/>
                <w:sz w:val="21"/>
              </w:rPr>
            </w:pPr>
          </w:p>
          <w:p w14:paraId="396A281D">
            <w:pPr>
              <w:spacing w:line="243" w:lineRule="auto"/>
              <w:rPr>
                <w:rFonts w:ascii="Arial"/>
                <w:sz w:val="21"/>
              </w:rPr>
            </w:pPr>
          </w:p>
          <w:p w14:paraId="091664E1">
            <w:pPr>
              <w:spacing w:line="243" w:lineRule="auto"/>
              <w:rPr>
                <w:rFonts w:ascii="Arial"/>
                <w:sz w:val="21"/>
              </w:rPr>
            </w:pPr>
          </w:p>
          <w:p w14:paraId="7ECEB445">
            <w:pPr>
              <w:spacing w:line="243" w:lineRule="auto"/>
              <w:rPr>
                <w:rFonts w:ascii="Arial"/>
                <w:sz w:val="21"/>
              </w:rPr>
            </w:pPr>
          </w:p>
          <w:p w14:paraId="38E0965D">
            <w:pPr>
              <w:spacing w:line="243" w:lineRule="auto"/>
              <w:rPr>
                <w:rFonts w:ascii="Arial"/>
                <w:sz w:val="21"/>
              </w:rPr>
            </w:pPr>
          </w:p>
          <w:p w14:paraId="5B6E18D2">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7331E8EB">
            <w:pPr>
              <w:pStyle w:val="8"/>
              <w:spacing w:before="59" w:line="234" w:lineRule="auto"/>
              <w:ind w:left="530" w:right="104" w:hanging="413"/>
              <w:rPr>
                <w:rFonts w:hint="eastAsia"/>
                <w:spacing w:val="-12"/>
                <w:lang w:eastAsia="zh-CN"/>
              </w:rPr>
            </w:pPr>
          </w:p>
          <w:p w14:paraId="2230AA65">
            <w:pPr>
              <w:pStyle w:val="8"/>
              <w:spacing w:before="59" w:line="234" w:lineRule="auto"/>
              <w:ind w:left="530" w:right="104" w:hanging="413"/>
              <w:rPr>
                <w:rFonts w:hint="eastAsia"/>
                <w:spacing w:val="-12"/>
                <w:lang w:eastAsia="zh-CN"/>
              </w:rPr>
            </w:pPr>
          </w:p>
          <w:p w14:paraId="2420B539">
            <w:pPr>
              <w:pStyle w:val="8"/>
              <w:spacing w:before="59" w:line="234" w:lineRule="auto"/>
              <w:ind w:left="530" w:right="104" w:hanging="413"/>
              <w:rPr>
                <w:rFonts w:hint="eastAsia"/>
                <w:spacing w:val="-12"/>
                <w:lang w:eastAsia="zh-CN"/>
              </w:rPr>
            </w:pPr>
          </w:p>
          <w:p w14:paraId="227A614B">
            <w:pPr>
              <w:pStyle w:val="8"/>
              <w:spacing w:before="59" w:line="234" w:lineRule="auto"/>
              <w:ind w:left="530" w:right="104" w:hanging="413"/>
              <w:rPr>
                <w:rFonts w:hint="eastAsia"/>
                <w:spacing w:val="-12"/>
                <w:lang w:eastAsia="zh-CN"/>
              </w:rPr>
            </w:pPr>
          </w:p>
          <w:p w14:paraId="2E0F6DB8">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4D1825E5">
            <w:pPr>
              <w:spacing w:line="274" w:lineRule="auto"/>
              <w:rPr>
                <w:rFonts w:ascii="Arial"/>
                <w:sz w:val="21"/>
              </w:rPr>
            </w:pPr>
          </w:p>
          <w:p w14:paraId="761146B9">
            <w:pPr>
              <w:spacing w:line="274" w:lineRule="auto"/>
              <w:rPr>
                <w:rFonts w:ascii="Arial"/>
                <w:sz w:val="21"/>
              </w:rPr>
            </w:pPr>
          </w:p>
          <w:p w14:paraId="570B07A5">
            <w:pPr>
              <w:spacing w:line="274" w:lineRule="auto"/>
              <w:rPr>
                <w:rFonts w:ascii="Arial"/>
                <w:sz w:val="21"/>
              </w:rPr>
            </w:pPr>
          </w:p>
          <w:p w14:paraId="3BBB28CB">
            <w:pPr>
              <w:spacing w:line="274" w:lineRule="auto"/>
              <w:rPr>
                <w:rFonts w:ascii="Arial"/>
                <w:sz w:val="21"/>
              </w:rPr>
            </w:pPr>
          </w:p>
          <w:p w14:paraId="41C6ECCC">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232C5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1" w:hRule="atLeast"/>
        </w:trPr>
        <w:tc>
          <w:tcPr>
            <w:tcW w:w="622" w:type="dxa"/>
            <w:vAlign w:val="top"/>
          </w:tcPr>
          <w:p w14:paraId="0EA454D4">
            <w:pPr>
              <w:spacing w:line="289" w:lineRule="auto"/>
              <w:rPr>
                <w:rFonts w:ascii="Arial"/>
                <w:sz w:val="21"/>
              </w:rPr>
            </w:pPr>
          </w:p>
          <w:p w14:paraId="102FFFF3">
            <w:pPr>
              <w:spacing w:line="290" w:lineRule="auto"/>
              <w:rPr>
                <w:rFonts w:ascii="Arial"/>
                <w:sz w:val="21"/>
              </w:rPr>
            </w:pPr>
          </w:p>
          <w:p w14:paraId="55B58321">
            <w:pPr>
              <w:spacing w:line="290" w:lineRule="auto"/>
              <w:rPr>
                <w:rFonts w:ascii="Arial"/>
                <w:sz w:val="21"/>
              </w:rPr>
            </w:pPr>
          </w:p>
          <w:p w14:paraId="71AA4166">
            <w:pPr>
              <w:spacing w:line="290" w:lineRule="auto"/>
              <w:rPr>
                <w:rFonts w:ascii="Arial"/>
                <w:sz w:val="21"/>
              </w:rPr>
            </w:pPr>
          </w:p>
          <w:p w14:paraId="1D99E2A9">
            <w:pPr>
              <w:pStyle w:val="8"/>
              <w:spacing w:before="59" w:line="183" w:lineRule="auto"/>
              <w:ind w:left="229"/>
            </w:pPr>
            <w:r>
              <w:rPr>
                <w:spacing w:val="-5"/>
              </w:rPr>
              <w:t>56</w:t>
            </w:r>
          </w:p>
        </w:tc>
        <w:tc>
          <w:tcPr>
            <w:tcW w:w="1100" w:type="dxa"/>
            <w:vAlign w:val="top"/>
          </w:tcPr>
          <w:p w14:paraId="46602ED7">
            <w:pPr>
              <w:spacing w:line="420" w:lineRule="auto"/>
              <w:rPr>
                <w:rFonts w:ascii="Arial"/>
                <w:sz w:val="21"/>
              </w:rPr>
            </w:pPr>
          </w:p>
          <w:p w14:paraId="094D1A26">
            <w:pPr>
              <w:pStyle w:val="8"/>
              <w:spacing w:before="58" w:line="243" w:lineRule="auto"/>
              <w:ind w:left="59" w:right="55"/>
            </w:pPr>
            <w:r>
              <w:rPr>
                <w:spacing w:val="16"/>
              </w:rPr>
              <w:t>对在规划港</w:t>
            </w:r>
            <w:r>
              <w:t xml:space="preserve"> </w:t>
            </w:r>
            <w:r>
              <w:rPr>
                <w:spacing w:val="16"/>
              </w:rPr>
              <w:t>区内建设影</w:t>
            </w:r>
            <w:r>
              <w:t xml:space="preserve"> </w:t>
            </w:r>
            <w:r>
              <w:rPr>
                <w:spacing w:val="16"/>
              </w:rPr>
              <w:t>响港口规划</w:t>
            </w:r>
            <w:r>
              <w:t xml:space="preserve"> </w:t>
            </w:r>
            <w:r>
              <w:rPr>
                <w:spacing w:val="16"/>
              </w:rPr>
              <w:t>实施的永久</w:t>
            </w:r>
            <w:r>
              <w:t xml:space="preserve"> </w:t>
            </w:r>
            <w:r>
              <w:rPr>
                <w:spacing w:val="10"/>
              </w:rPr>
              <w:t>性建筑物、</w:t>
            </w:r>
            <w:r>
              <w:rPr>
                <w:spacing w:val="2"/>
              </w:rPr>
              <w:t xml:space="preserve"> </w:t>
            </w:r>
            <w:r>
              <w:rPr>
                <w:spacing w:val="16"/>
              </w:rPr>
              <w:t>构筑物的行</w:t>
            </w:r>
            <w:r>
              <w:t xml:space="preserve"> </w:t>
            </w:r>
            <w:r>
              <w:rPr>
                <w:spacing w:val="-2"/>
              </w:rPr>
              <w:t>政处罚</w:t>
            </w:r>
          </w:p>
        </w:tc>
        <w:tc>
          <w:tcPr>
            <w:tcW w:w="1100" w:type="dxa"/>
            <w:vAlign w:val="top"/>
          </w:tcPr>
          <w:p w14:paraId="788EE4E6">
            <w:pPr>
              <w:spacing w:line="284" w:lineRule="auto"/>
              <w:rPr>
                <w:rFonts w:ascii="Arial"/>
                <w:sz w:val="21"/>
              </w:rPr>
            </w:pPr>
          </w:p>
          <w:p w14:paraId="66C13A20">
            <w:pPr>
              <w:spacing w:line="284" w:lineRule="auto"/>
              <w:rPr>
                <w:rFonts w:ascii="Arial"/>
                <w:sz w:val="21"/>
              </w:rPr>
            </w:pPr>
          </w:p>
          <w:p w14:paraId="305A070D">
            <w:pPr>
              <w:spacing w:line="285" w:lineRule="auto"/>
              <w:rPr>
                <w:rFonts w:ascii="Arial"/>
                <w:sz w:val="21"/>
              </w:rPr>
            </w:pPr>
          </w:p>
          <w:p w14:paraId="157480A4">
            <w:pPr>
              <w:spacing w:line="285" w:lineRule="auto"/>
              <w:rPr>
                <w:rFonts w:ascii="Arial"/>
                <w:sz w:val="21"/>
              </w:rPr>
            </w:pPr>
          </w:p>
          <w:p w14:paraId="06DE8138">
            <w:pPr>
              <w:pStyle w:val="8"/>
              <w:spacing w:before="59" w:line="220" w:lineRule="auto"/>
              <w:ind w:left="112"/>
            </w:pPr>
            <w:r>
              <w:rPr>
                <w:spacing w:val="-2"/>
              </w:rPr>
              <w:t>行政处罚</w:t>
            </w:r>
          </w:p>
        </w:tc>
        <w:tc>
          <w:tcPr>
            <w:tcW w:w="8508" w:type="dxa"/>
            <w:vAlign w:val="top"/>
          </w:tcPr>
          <w:p w14:paraId="2F03291B">
            <w:pPr>
              <w:spacing w:line="271" w:lineRule="auto"/>
              <w:rPr>
                <w:rFonts w:ascii="Arial"/>
                <w:sz w:val="21"/>
              </w:rPr>
            </w:pPr>
          </w:p>
          <w:p w14:paraId="26D1C253">
            <w:pPr>
              <w:spacing w:line="271" w:lineRule="auto"/>
              <w:rPr>
                <w:rFonts w:ascii="Arial"/>
                <w:sz w:val="21"/>
              </w:rPr>
            </w:pPr>
          </w:p>
          <w:p w14:paraId="747FC498">
            <w:pPr>
              <w:pStyle w:val="8"/>
              <w:spacing w:before="59" w:line="219" w:lineRule="auto"/>
              <w:ind w:left="476"/>
            </w:pPr>
            <w:r>
              <w:rPr>
                <w:b/>
                <w:bCs/>
                <w:spacing w:val="-2"/>
              </w:rPr>
              <w:t>《湖南省实施</w:t>
            </w:r>
            <w:r>
              <w:rPr>
                <w:rFonts w:hint="eastAsia"/>
                <w:b/>
                <w:bCs/>
                <w:spacing w:val="-2"/>
                <w:lang w:eastAsia="zh-CN"/>
              </w:rPr>
              <w:t>〈</w:t>
            </w:r>
            <w:r>
              <w:rPr>
                <w:b/>
                <w:bCs/>
                <w:spacing w:val="-2"/>
              </w:rPr>
              <w:t>中华人民共和国港口法</w:t>
            </w:r>
            <w:r>
              <w:rPr>
                <w:rFonts w:hint="eastAsia"/>
                <w:b/>
                <w:bCs/>
                <w:spacing w:val="-2"/>
                <w:lang w:eastAsia="zh-CN"/>
              </w:rPr>
              <w:t>〉</w:t>
            </w:r>
            <w:r>
              <w:rPr>
                <w:b/>
                <w:bCs/>
                <w:spacing w:val="-2"/>
              </w:rPr>
              <w:t>办法》</w:t>
            </w:r>
          </w:p>
          <w:p w14:paraId="2C6FC89F">
            <w:pPr>
              <w:pStyle w:val="8"/>
              <w:spacing w:before="25" w:line="233" w:lineRule="auto"/>
              <w:ind w:left="110" w:right="104" w:firstLine="360"/>
            </w:pPr>
            <w:r>
              <w:t>第十八条  在规划港区内不得建设影响港口规划实施的永久性建筑物、构筑物。县级以上人民政府规</w:t>
            </w:r>
            <w:r>
              <w:rPr>
                <w:spacing w:val="6"/>
              </w:rPr>
              <w:t xml:space="preserve"> </w:t>
            </w:r>
            <w:r>
              <w:rPr>
                <w:spacing w:val="-1"/>
              </w:rPr>
              <w:t>划行政主管部门审批可能影响港口规划实施的建设项目时，应当听取港口管理机构的意见。</w:t>
            </w:r>
          </w:p>
          <w:p w14:paraId="095E8735">
            <w:pPr>
              <w:pStyle w:val="8"/>
              <w:spacing w:before="27" w:line="237" w:lineRule="auto"/>
              <w:ind w:left="111" w:right="30" w:firstLine="360"/>
            </w:pPr>
            <w:r>
              <w:rPr>
                <w:spacing w:val="-5"/>
              </w:rPr>
              <w:t>第三十五条第（二）项  违反本办法规定的，由有管辖权的港口管理</w:t>
            </w:r>
            <w:r>
              <w:rPr>
                <w:spacing w:val="-6"/>
              </w:rPr>
              <w:t>机构按照下列规定予以处理</w:t>
            </w:r>
            <w:r>
              <w:rPr>
                <w:spacing w:val="-21"/>
              </w:rPr>
              <w:t>：（</w:t>
            </w:r>
            <w:r>
              <w:rPr>
                <w:spacing w:val="-6"/>
              </w:rPr>
              <w:t>二）</w:t>
            </w:r>
            <w:r>
              <w:rPr>
                <w:spacing w:val="1"/>
              </w:rPr>
              <w:t xml:space="preserve"> </w:t>
            </w:r>
            <w:r>
              <w:t>违反本办法第十八条规定，在规划港区内建设影响港口规划实施的永久性建筑物、构筑物的，责令限</w:t>
            </w:r>
            <w:r>
              <w:rPr>
                <w:spacing w:val="-1"/>
              </w:rPr>
              <w:t>期拆</w:t>
            </w:r>
            <w:r>
              <w:t xml:space="preserve">  </w:t>
            </w:r>
            <w:r>
              <w:rPr>
                <w:spacing w:val="-1"/>
              </w:rPr>
              <w:t>除，恢复原状；逾期未拆除的，申请人民法院强制拆除，可以处一万元以上五万</w:t>
            </w:r>
            <w:r>
              <w:rPr>
                <w:spacing w:val="-2"/>
              </w:rPr>
              <w:t>元以下罚款；</w:t>
            </w:r>
          </w:p>
        </w:tc>
        <w:tc>
          <w:tcPr>
            <w:tcW w:w="1010" w:type="dxa"/>
            <w:vAlign w:val="top"/>
          </w:tcPr>
          <w:p w14:paraId="5AAE37F8">
            <w:pPr>
              <w:spacing w:line="254" w:lineRule="auto"/>
              <w:rPr>
                <w:rFonts w:ascii="Arial"/>
                <w:sz w:val="21"/>
              </w:rPr>
            </w:pPr>
          </w:p>
          <w:p w14:paraId="70937D28">
            <w:pPr>
              <w:spacing w:line="255" w:lineRule="auto"/>
              <w:rPr>
                <w:rFonts w:ascii="Arial"/>
                <w:sz w:val="21"/>
              </w:rPr>
            </w:pPr>
          </w:p>
          <w:p w14:paraId="4679F359">
            <w:pPr>
              <w:spacing w:line="255" w:lineRule="auto"/>
              <w:rPr>
                <w:rFonts w:ascii="Arial"/>
                <w:sz w:val="21"/>
              </w:rPr>
            </w:pPr>
          </w:p>
          <w:p w14:paraId="182FFEB4">
            <w:pPr>
              <w:spacing w:line="255" w:lineRule="auto"/>
              <w:rPr>
                <w:rFonts w:ascii="Arial"/>
                <w:sz w:val="21"/>
              </w:rPr>
            </w:pPr>
          </w:p>
          <w:p w14:paraId="2D9AD382">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580EE6A6">
            <w:pPr>
              <w:pStyle w:val="8"/>
              <w:spacing w:before="59" w:line="234" w:lineRule="auto"/>
              <w:ind w:left="530" w:right="104" w:hanging="413"/>
              <w:rPr>
                <w:rFonts w:hint="eastAsia"/>
                <w:spacing w:val="-12"/>
                <w:lang w:eastAsia="zh-CN"/>
              </w:rPr>
            </w:pPr>
          </w:p>
          <w:p w14:paraId="657EF610">
            <w:pPr>
              <w:pStyle w:val="8"/>
              <w:spacing w:before="59" w:line="234" w:lineRule="auto"/>
              <w:ind w:left="530" w:right="104" w:hanging="413"/>
              <w:rPr>
                <w:rFonts w:hint="eastAsia"/>
                <w:spacing w:val="-12"/>
                <w:lang w:eastAsia="zh-CN"/>
              </w:rPr>
            </w:pPr>
          </w:p>
          <w:p w14:paraId="3F9A8AA2">
            <w:pPr>
              <w:pStyle w:val="8"/>
              <w:spacing w:before="59" w:line="234" w:lineRule="auto"/>
              <w:ind w:left="530" w:right="104" w:hanging="413"/>
              <w:rPr>
                <w:rFonts w:hint="eastAsia"/>
                <w:spacing w:val="-12"/>
                <w:lang w:eastAsia="zh-CN"/>
              </w:rPr>
            </w:pPr>
          </w:p>
          <w:p w14:paraId="2D4439EA">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53F344C0">
            <w:pPr>
              <w:spacing w:line="300" w:lineRule="auto"/>
              <w:rPr>
                <w:rFonts w:ascii="Arial"/>
                <w:sz w:val="21"/>
              </w:rPr>
            </w:pPr>
          </w:p>
          <w:p w14:paraId="1C10821A">
            <w:pPr>
              <w:spacing w:line="300" w:lineRule="auto"/>
              <w:rPr>
                <w:rFonts w:ascii="Arial"/>
                <w:sz w:val="21"/>
              </w:rPr>
            </w:pPr>
          </w:p>
          <w:p w14:paraId="720D2D02">
            <w:pPr>
              <w:spacing w:line="300" w:lineRule="auto"/>
              <w:rPr>
                <w:rFonts w:ascii="Arial"/>
                <w:sz w:val="21"/>
              </w:rPr>
            </w:pPr>
          </w:p>
          <w:p w14:paraId="25A888FB">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7C295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6" w:hRule="atLeast"/>
        </w:trPr>
        <w:tc>
          <w:tcPr>
            <w:tcW w:w="622" w:type="dxa"/>
            <w:vAlign w:val="top"/>
          </w:tcPr>
          <w:p w14:paraId="4AA6E1A4">
            <w:pPr>
              <w:spacing w:line="283" w:lineRule="auto"/>
              <w:rPr>
                <w:rFonts w:ascii="Arial"/>
                <w:sz w:val="21"/>
              </w:rPr>
            </w:pPr>
          </w:p>
          <w:p w14:paraId="6326FF3C">
            <w:pPr>
              <w:spacing w:line="283" w:lineRule="auto"/>
              <w:rPr>
                <w:rFonts w:ascii="Arial"/>
                <w:sz w:val="21"/>
              </w:rPr>
            </w:pPr>
          </w:p>
          <w:p w14:paraId="625EB8A5">
            <w:pPr>
              <w:spacing w:line="283" w:lineRule="auto"/>
              <w:rPr>
                <w:rFonts w:ascii="Arial"/>
                <w:sz w:val="21"/>
              </w:rPr>
            </w:pPr>
          </w:p>
          <w:p w14:paraId="2DBAB4D8">
            <w:pPr>
              <w:spacing w:line="284" w:lineRule="auto"/>
              <w:rPr>
                <w:rFonts w:ascii="Arial"/>
                <w:sz w:val="21"/>
              </w:rPr>
            </w:pPr>
          </w:p>
          <w:p w14:paraId="31314473">
            <w:pPr>
              <w:spacing w:line="284" w:lineRule="auto"/>
              <w:rPr>
                <w:rFonts w:ascii="Arial"/>
                <w:sz w:val="21"/>
              </w:rPr>
            </w:pPr>
          </w:p>
          <w:p w14:paraId="794798E8">
            <w:pPr>
              <w:pStyle w:val="8"/>
              <w:spacing w:before="59" w:line="182" w:lineRule="auto"/>
              <w:ind w:left="229"/>
            </w:pPr>
            <w:r>
              <w:rPr>
                <w:spacing w:val="-5"/>
              </w:rPr>
              <w:t>57</w:t>
            </w:r>
          </w:p>
        </w:tc>
        <w:tc>
          <w:tcPr>
            <w:tcW w:w="1100" w:type="dxa"/>
            <w:vAlign w:val="top"/>
          </w:tcPr>
          <w:p w14:paraId="7F8168D6">
            <w:pPr>
              <w:spacing w:line="438" w:lineRule="auto"/>
              <w:rPr>
                <w:rFonts w:ascii="Arial"/>
                <w:sz w:val="21"/>
              </w:rPr>
            </w:pPr>
          </w:p>
          <w:p w14:paraId="668319A5">
            <w:pPr>
              <w:pStyle w:val="8"/>
              <w:spacing w:before="59" w:line="244" w:lineRule="auto"/>
              <w:ind w:left="59" w:right="55"/>
              <w:jc w:val="both"/>
            </w:pPr>
            <w:r>
              <w:rPr>
                <w:spacing w:val="16"/>
              </w:rPr>
              <w:t>对港口经营</w:t>
            </w:r>
            <w:r>
              <w:t xml:space="preserve"> </w:t>
            </w:r>
            <w:r>
              <w:rPr>
                <w:spacing w:val="15"/>
              </w:rPr>
              <w:t>人变更企业</w:t>
            </w:r>
            <w:r>
              <w:rPr>
                <w:spacing w:val="3"/>
              </w:rPr>
              <w:t xml:space="preserve"> </w:t>
            </w:r>
            <w:r>
              <w:rPr>
                <w:spacing w:val="-8"/>
              </w:rPr>
              <w:t>法</w:t>
            </w:r>
            <w:r>
              <w:rPr>
                <w:spacing w:val="10"/>
              </w:rPr>
              <w:t xml:space="preserve"> </w:t>
            </w:r>
            <w:r>
              <w:rPr>
                <w:spacing w:val="-8"/>
              </w:rPr>
              <w:t>定</w:t>
            </w:r>
            <w:r>
              <w:rPr>
                <w:spacing w:val="5"/>
              </w:rPr>
              <w:t xml:space="preserve"> </w:t>
            </w:r>
            <w:r>
              <w:rPr>
                <w:spacing w:val="-8"/>
              </w:rPr>
              <w:t>代</w:t>
            </w:r>
            <w:r>
              <w:rPr>
                <w:spacing w:val="5"/>
              </w:rPr>
              <w:t xml:space="preserve"> </w:t>
            </w:r>
            <w:r>
              <w:rPr>
                <w:spacing w:val="-8"/>
              </w:rPr>
              <w:t>表</w:t>
            </w:r>
            <w:r>
              <w:t xml:space="preserve"> </w:t>
            </w:r>
            <w:r>
              <w:rPr>
                <w:spacing w:val="15"/>
              </w:rPr>
              <w:t>人、经营范</w:t>
            </w:r>
            <w:r>
              <w:rPr>
                <w:spacing w:val="3"/>
              </w:rPr>
              <w:t xml:space="preserve"> </w:t>
            </w:r>
            <w:r>
              <w:rPr>
                <w:spacing w:val="15"/>
              </w:rPr>
              <w:t>围不向原许</w:t>
            </w:r>
            <w:r>
              <w:rPr>
                <w:spacing w:val="3"/>
              </w:rPr>
              <w:t xml:space="preserve"> </w:t>
            </w:r>
            <w:r>
              <w:rPr>
                <w:spacing w:val="15"/>
              </w:rPr>
              <w:t>可机关办理</w:t>
            </w:r>
            <w:r>
              <w:rPr>
                <w:spacing w:val="3"/>
              </w:rPr>
              <w:t xml:space="preserve"> </w:t>
            </w:r>
            <w:r>
              <w:rPr>
                <w:spacing w:val="15"/>
              </w:rPr>
              <w:t>变更登记手</w:t>
            </w:r>
            <w:r>
              <w:rPr>
                <w:spacing w:val="3"/>
              </w:rPr>
              <w:t xml:space="preserve"> </w:t>
            </w:r>
            <w:r>
              <w:rPr>
                <w:spacing w:val="15"/>
              </w:rPr>
              <w:t>续的行政处</w:t>
            </w:r>
            <w:r>
              <w:rPr>
                <w:spacing w:val="3"/>
              </w:rPr>
              <w:t xml:space="preserve"> </w:t>
            </w:r>
            <w:r>
              <w:t>罚</w:t>
            </w:r>
          </w:p>
        </w:tc>
        <w:tc>
          <w:tcPr>
            <w:tcW w:w="1100" w:type="dxa"/>
            <w:vAlign w:val="top"/>
          </w:tcPr>
          <w:p w14:paraId="76531233">
            <w:pPr>
              <w:spacing w:line="279" w:lineRule="auto"/>
              <w:rPr>
                <w:rFonts w:ascii="Arial"/>
                <w:sz w:val="21"/>
              </w:rPr>
            </w:pPr>
          </w:p>
          <w:p w14:paraId="1F23FED4">
            <w:pPr>
              <w:spacing w:line="279" w:lineRule="auto"/>
              <w:rPr>
                <w:rFonts w:ascii="Arial"/>
                <w:sz w:val="21"/>
              </w:rPr>
            </w:pPr>
          </w:p>
          <w:p w14:paraId="098EBFEB">
            <w:pPr>
              <w:spacing w:line="279" w:lineRule="auto"/>
              <w:rPr>
                <w:rFonts w:ascii="Arial"/>
                <w:sz w:val="21"/>
              </w:rPr>
            </w:pPr>
          </w:p>
          <w:p w14:paraId="713187B7">
            <w:pPr>
              <w:spacing w:line="279" w:lineRule="auto"/>
              <w:rPr>
                <w:rFonts w:ascii="Arial"/>
                <w:sz w:val="21"/>
              </w:rPr>
            </w:pPr>
          </w:p>
          <w:p w14:paraId="00512314">
            <w:pPr>
              <w:spacing w:line="279" w:lineRule="auto"/>
              <w:rPr>
                <w:rFonts w:ascii="Arial"/>
                <w:sz w:val="21"/>
              </w:rPr>
            </w:pPr>
          </w:p>
          <w:p w14:paraId="78DD82A9">
            <w:pPr>
              <w:pStyle w:val="8"/>
              <w:spacing w:before="59" w:line="220" w:lineRule="auto"/>
              <w:ind w:left="112"/>
            </w:pPr>
            <w:r>
              <w:rPr>
                <w:spacing w:val="-2"/>
              </w:rPr>
              <w:t>行政处罚</w:t>
            </w:r>
          </w:p>
        </w:tc>
        <w:tc>
          <w:tcPr>
            <w:tcW w:w="8508" w:type="dxa"/>
            <w:vAlign w:val="top"/>
          </w:tcPr>
          <w:p w14:paraId="317ECE0F">
            <w:pPr>
              <w:spacing w:line="266" w:lineRule="auto"/>
              <w:rPr>
                <w:rFonts w:ascii="Arial"/>
                <w:sz w:val="21"/>
              </w:rPr>
            </w:pPr>
          </w:p>
          <w:p w14:paraId="4260EBA8">
            <w:pPr>
              <w:spacing w:line="266" w:lineRule="auto"/>
              <w:rPr>
                <w:rFonts w:ascii="Arial"/>
                <w:sz w:val="21"/>
              </w:rPr>
            </w:pPr>
          </w:p>
          <w:p w14:paraId="691E01A2">
            <w:pPr>
              <w:spacing w:line="267" w:lineRule="auto"/>
              <w:rPr>
                <w:rFonts w:ascii="Arial"/>
                <w:sz w:val="21"/>
              </w:rPr>
            </w:pPr>
          </w:p>
          <w:p w14:paraId="7EA535C8">
            <w:pPr>
              <w:pStyle w:val="8"/>
              <w:spacing w:before="58" w:line="219" w:lineRule="auto"/>
              <w:ind w:left="476"/>
            </w:pPr>
            <w:r>
              <w:rPr>
                <w:b/>
                <w:bCs/>
                <w:spacing w:val="-2"/>
              </w:rPr>
              <w:t>《湖南省实施</w:t>
            </w:r>
            <w:r>
              <w:rPr>
                <w:rFonts w:hint="eastAsia"/>
                <w:b/>
                <w:bCs/>
                <w:spacing w:val="-2"/>
                <w:lang w:eastAsia="zh-CN"/>
              </w:rPr>
              <w:t>〈</w:t>
            </w:r>
            <w:r>
              <w:rPr>
                <w:b/>
                <w:bCs/>
                <w:spacing w:val="-2"/>
              </w:rPr>
              <w:t>中华人民共和国港口法</w:t>
            </w:r>
            <w:r>
              <w:rPr>
                <w:rFonts w:hint="eastAsia"/>
                <w:b/>
                <w:bCs/>
                <w:spacing w:val="-2"/>
                <w:lang w:eastAsia="zh-CN"/>
              </w:rPr>
              <w:t>〉</w:t>
            </w:r>
            <w:r>
              <w:rPr>
                <w:b/>
                <w:bCs/>
                <w:spacing w:val="-2"/>
              </w:rPr>
              <w:t>办法》</w:t>
            </w:r>
          </w:p>
          <w:p w14:paraId="4E68439E">
            <w:pPr>
              <w:pStyle w:val="8"/>
              <w:spacing w:before="25" w:line="219" w:lineRule="auto"/>
              <w:ind w:left="471"/>
            </w:pPr>
            <w:r>
              <w:t>第二十一条第二款  港口经营人变更企业法定代表人、经营范围的，应当向原许可机关办理变更登记</w:t>
            </w:r>
          </w:p>
          <w:p w14:paraId="020AD498">
            <w:pPr>
              <w:pStyle w:val="8"/>
              <w:spacing w:before="26" w:line="220" w:lineRule="auto"/>
              <w:ind w:left="111"/>
            </w:pPr>
            <w:r>
              <w:rPr>
                <w:spacing w:val="-9"/>
              </w:rPr>
              <w:t>手续。</w:t>
            </w:r>
          </w:p>
          <w:p w14:paraId="24317DCA">
            <w:pPr>
              <w:pStyle w:val="8"/>
              <w:spacing w:before="26" w:line="237" w:lineRule="auto"/>
              <w:ind w:left="111" w:right="30" w:firstLine="360"/>
              <w:jc w:val="both"/>
            </w:pPr>
            <w:r>
              <w:rPr>
                <w:spacing w:val="-5"/>
              </w:rPr>
              <w:t>第三十五条第（三）项  违反本办法规定的，由有管辖权的港口管理</w:t>
            </w:r>
            <w:r>
              <w:rPr>
                <w:spacing w:val="-6"/>
              </w:rPr>
              <w:t>机构按照下列规定予以处理</w:t>
            </w:r>
            <w:r>
              <w:rPr>
                <w:spacing w:val="-21"/>
              </w:rPr>
              <w:t>：（</w:t>
            </w:r>
            <w:r>
              <w:rPr>
                <w:spacing w:val="-6"/>
              </w:rPr>
              <w:t>三）</w:t>
            </w:r>
            <w:r>
              <w:rPr>
                <w:spacing w:val="1"/>
              </w:rPr>
              <w:t xml:space="preserve"> </w:t>
            </w:r>
            <w:r>
              <w:t>违反本办法第二十二条第二款规定，港口经营人变更企业法定代表人、经营范围不向原许可机关办理变更</w:t>
            </w:r>
            <w:r>
              <w:rPr>
                <w:spacing w:val="3"/>
              </w:rPr>
              <w:t xml:space="preserve">  </w:t>
            </w:r>
            <w:r>
              <w:rPr>
                <w:spacing w:val="-3"/>
              </w:rPr>
              <w:t>登记手续的，责令限期改正。</w:t>
            </w:r>
          </w:p>
        </w:tc>
        <w:tc>
          <w:tcPr>
            <w:tcW w:w="1010" w:type="dxa"/>
            <w:vAlign w:val="top"/>
          </w:tcPr>
          <w:p w14:paraId="7F47B807">
            <w:pPr>
              <w:spacing w:line="255" w:lineRule="auto"/>
              <w:rPr>
                <w:rFonts w:ascii="Arial"/>
                <w:sz w:val="21"/>
              </w:rPr>
            </w:pPr>
          </w:p>
          <w:p w14:paraId="1412F0D1">
            <w:pPr>
              <w:spacing w:line="255" w:lineRule="auto"/>
              <w:rPr>
                <w:rFonts w:ascii="Arial"/>
                <w:sz w:val="21"/>
              </w:rPr>
            </w:pPr>
          </w:p>
          <w:p w14:paraId="156BBFF2">
            <w:pPr>
              <w:spacing w:line="255" w:lineRule="auto"/>
              <w:rPr>
                <w:rFonts w:ascii="Arial"/>
                <w:sz w:val="21"/>
              </w:rPr>
            </w:pPr>
          </w:p>
          <w:p w14:paraId="40C98F34">
            <w:pPr>
              <w:spacing w:line="255" w:lineRule="auto"/>
              <w:rPr>
                <w:rFonts w:ascii="Arial"/>
                <w:sz w:val="21"/>
              </w:rPr>
            </w:pPr>
          </w:p>
          <w:p w14:paraId="681703F3">
            <w:pPr>
              <w:spacing w:line="255" w:lineRule="auto"/>
              <w:rPr>
                <w:rFonts w:ascii="Arial"/>
                <w:sz w:val="21"/>
              </w:rPr>
            </w:pPr>
          </w:p>
          <w:p w14:paraId="6DEEA8F1">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4C7B6696">
            <w:pPr>
              <w:pStyle w:val="8"/>
              <w:spacing w:before="59" w:line="234" w:lineRule="auto"/>
              <w:ind w:left="530" w:right="104" w:hanging="413"/>
              <w:rPr>
                <w:rFonts w:hint="eastAsia"/>
                <w:spacing w:val="-12"/>
                <w:lang w:eastAsia="zh-CN"/>
              </w:rPr>
            </w:pPr>
          </w:p>
          <w:p w14:paraId="75832B70">
            <w:pPr>
              <w:pStyle w:val="8"/>
              <w:spacing w:before="59" w:line="234" w:lineRule="auto"/>
              <w:ind w:left="530" w:right="104" w:hanging="413"/>
              <w:rPr>
                <w:rFonts w:hint="eastAsia"/>
                <w:spacing w:val="-12"/>
                <w:lang w:eastAsia="zh-CN"/>
              </w:rPr>
            </w:pPr>
          </w:p>
          <w:p w14:paraId="5F80FB3D">
            <w:pPr>
              <w:pStyle w:val="8"/>
              <w:spacing w:before="59" w:line="234" w:lineRule="auto"/>
              <w:ind w:left="530" w:right="104" w:hanging="413"/>
              <w:rPr>
                <w:rFonts w:hint="eastAsia"/>
                <w:spacing w:val="-12"/>
                <w:lang w:eastAsia="zh-CN"/>
              </w:rPr>
            </w:pPr>
          </w:p>
          <w:p w14:paraId="1783E4C5">
            <w:pPr>
              <w:pStyle w:val="8"/>
              <w:spacing w:before="59" w:line="234" w:lineRule="auto"/>
              <w:ind w:left="530" w:right="104" w:hanging="413"/>
              <w:rPr>
                <w:rFonts w:hint="eastAsia"/>
                <w:spacing w:val="-12"/>
                <w:lang w:eastAsia="zh-CN"/>
              </w:rPr>
            </w:pPr>
          </w:p>
          <w:p w14:paraId="74243057">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66BEB813">
            <w:pPr>
              <w:spacing w:line="289" w:lineRule="auto"/>
              <w:rPr>
                <w:rFonts w:ascii="Arial"/>
                <w:sz w:val="21"/>
              </w:rPr>
            </w:pPr>
          </w:p>
          <w:p w14:paraId="0CAE6AE7">
            <w:pPr>
              <w:spacing w:line="289" w:lineRule="auto"/>
              <w:rPr>
                <w:rFonts w:ascii="Arial"/>
                <w:sz w:val="21"/>
              </w:rPr>
            </w:pPr>
          </w:p>
          <w:p w14:paraId="51ABCEE6">
            <w:pPr>
              <w:spacing w:line="289" w:lineRule="auto"/>
              <w:rPr>
                <w:rFonts w:ascii="Arial"/>
                <w:sz w:val="21"/>
              </w:rPr>
            </w:pPr>
          </w:p>
          <w:p w14:paraId="7A056F15">
            <w:pPr>
              <w:spacing w:line="290" w:lineRule="auto"/>
              <w:rPr>
                <w:rFonts w:ascii="Arial"/>
                <w:sz w:val="21"/>
              </w:rPr>
            </w:pPr>
          </w:p>
          <w:p w14:paraId="71079864">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1DED5CBB">
      <w:pPr>
        <w:pStyle w:val="2"/>
      </w:pPr>
    </w:p>
    <w:p w14:paraId="7AC1AE40">
      <w:pPr>
        <w:sectPr>
          <w:footerReference r:id="rId154" w:type="default"/>
          <w:pgSz w:w="16839" w:h="11906"/>
          <w:pgMar w:top="1012" w:right="1034" w:bottom="967" w:left="1043" w:header="0" w:footer="768" w:gutter="0"/>
          <w:cols w:space="720" w:num="1"/>
        </w:sectPr>
      </w:pPr>
    </w:p>
    <w:p w14:paraId="62544B4F">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32E3B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0FB8E77B">
            <w:pPr>
              <w:pStyle w:val="8"/>
              <w:spacing w:before="259" w:line="221" w:lineRule="auto"/>
              <w:ind w:left="134"/>
            </w:pPr>
            <w:r>
              <w:rPr>
                <w:b/>
                <w:bCs/>
                <w:spacing w:val="-4"/>
              </w:rPr>
              <w:t>序号</w:t>
            </w:r>
          </w:p>
        </w:tc>
        <w:tc>
          <w:tcPr>
            <w:tcW w:w="1100" w:type="dxa"/>
            <w:vMerge w:val="restart"/>
            <w:tcBorders>
              <w:bottom w:val="nil"/>
            </w:tcBorders>
            <w:vAlign w:val="top"/>
          </w:tcPr>
          <w:p w14:paraId="329C1B5F">
            <w:pPr>
              <w:pStyle w:val="8"/>
              <w:spacing w:before="260" w:line="220" w:lineRule="auto"/>
              <w:ind w:left="189"/>
            </w:pPr>
            <w:r>
              <w:rPr>
                <w:b/>
                <w:bCs/>
                <w:spacing w:val="-4"/>
              </w:rPr>
              <w:t>事项名称</w:t>
            </w:r>
          </w:p>
        </w:tc>
        <w:tc>
          <w:tcPr>
            <w:tcW w:w="1100" w:type="dxa"/>
            <w:vMerge w:val="restart"/>
            <w:tcBorders>
              <w:bottom w:val="nil"/>
            </w:tcBorders>
            <w:vAlign w:val="top"/>
          </w:tcPr>
          <w:p w14:paraId="0CA53FF0">
            <w:pPr>
              <w:pStyle w:val="8"/>
              <w:spacing w:before="260" w:line="219" w:lineRule="auto"/>
              <w:ind w:left="191"/>
            </w:pPr>
            <w:r>
              <w:rPr>
                <w:b/>
                <w:bCs/>
                <w:spacing w:val="-4"/>
              </w:rPr>
              <w:t>职权类型</w:t>
            </w:r>
          </w:p>
        </w:tc>
        <w:tc>
          <w:tcPr>
            <w:tcW w:w="8508" w:type="dxa"/>
            <w:vMerge w:val="restart"/>
            <w:tcBorders>
              <w:bottom w:val="nil"/>
            </w:tcBorders>
            <w:vAlign w:val="top"/>
          </w:tcPr>
          <w:p w14:paraId="092B078E">
            <w:pPr>
              <w:pStyle w:val="8"/>
              <w:spacing w:before="259" w:line="219" w:lineRule="auto"/>
              <w:ind w:left="3900"/>
            </w:pPr>
            <w:r>
              <w:rPr>
                <w:b/>
                <w:bCs/>
                <w:spacing w:val="-5"/>
              </w:rPr>
              <w:t>实施依据</w:t>
            </w:r>
          </w:p>
        </w:tc>
        <w:tc>
          <w:tcPr>
            <w:tcW w:w="3425" w:type="dxa"/>
            <w:gridSpan w:val="3"/>
            <w:vAlign w:val="top"/>
          </w:tcPr>
          <w:p w14:paraId="0F7594D4">
            <w:pPr>
              <w:pStyle w:val="8"/>
              <w:spacing w:before="85" w:line="220" w:lineRule="auto"/>
              <w:ind w:left="1358"/>
            </w:pPr>
            <w:r>
              <w:rPr>
                <w:b/>
                <w:bCs/>
                <w:spacing w:val="-5"/>
              </w:rPr>
              <w:t>实施主体</w:t>
            </w:r>
          </w:p>
        </w:tc>
      </w:tr>
      <w:tr w14:paraId="0432F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094AED63">
            <w:pPr>
              <w:rPr>
                <w:rFonts w:ascii="Arial"/>
                <w:sz w:val="21"/>
              </w:rPr>
            </w:pPr>
          </w:p>
        </w:tc>
        <w:tc>
          <w:tcPr>
            <w:tcW w:w="1100" w:type="dxa"/>
            <w:vMerge w:val="continue"/>
            <w:tcBorders>
              <w:top w:val="nil"/>
            </w:tcBorders>
            <w:vAlign w:val="top"/>
          </w:tcPr>
          <w:p w14:paraId="05762160">
            <w:pPr>
              <w:rPr>
                <w:rFonts w:ascii="Arial"/>
                <w:sz w:val="21"/>
              </w:rPr>
            </w:pPr>
          </w:p>
        </w:tc>
        <w:tc>
          <w:tcPr>
            <w:tcW w:w="1100" w:type="dxa"/>
            <w:vMerge w:val="continue"/>
            <w:tcBorders>
              <w:top w:val="nil"/>
            </w:tcBorders>
            <w:vAlign w:val="top"/>
          </w:tcPr>
          <w:p w14:paraId="7CE9FFDC">
            <w:pPr>
              <w:rPr>
                <w:rFonts w:ascii="Arial"/>
                <w:sz w:val="21"/>
              </w:rPr>
            </w:pPr>
          </w:p>
        </w:tc>
        <w:tc>
          <w:tcPr>
            <w:tcW w:w="8508" w:type="dxa"/>
            <w:vMerge w:val="continue"/>
            <w:tcBorders>
              <w:top w:val="nil"/>
            </w:tcBorders>
            <w:vAlign w:val="top"/>
          </w:tcPr>
          <w:p w14:paraId="1B36B2F3">
            <w:pPr>
              <w:rPr>
                <w:rFonts w:ascii="Arial"/>
                <w:sz w:val="21"/>
              </w:rPr>
            </w:pPr>
          </w:p>
        </w:tc>
        <w:tc>
          <w:tcPr>
            <w:tcW w:w="1010" w:type="dxa"/>
            <w:vAlign w:val="top"/>
          </w:tcPr>
          <w:p w14:paraId="755FD478">
            <w:pPr>
              <w:pStyle w:val="8"/>
              <w:spacing w:before="81" w:line="219" w:lineRule="auto"/>
              <w:ind w:left="155"/>
            </w:pPr>
            <w:r>
              <w:rPr>
                <w:b/>
                <w:bCs/>
                <w:spacing w:val="-5"/>
              </w:rPr>
              <w:t>责任部门</w:t>
            </w:r>
          </w:p>
        </w:tc>
        <w:tc>
          <w:tcPr>
            <w:tcW w:w="1401" w:type="dxa"/>
            <w:vAlign w:val="top"/>
          </w:tcPr>
          <w:p w14:paraId="000D4065">
            <w:pPr>
              <w:pStyle w:val="8"/>
              <w:spacing w:before="81" w:line="219" w:lineRule="auto"/>
              <w:ind w:left="164"/>
            </w:pPr>
            <w:r>
              <w:rPr>
                <w:b/>
                <w:bCs/>
                <w:spacing w:val="-3"/>
              </w:rPr>
              <w:t>第一责任层级</w:t>
            </w:r>
          </w:p>
        </w:tc>
        <w:tc>
          <w:tcPr>
            <w:tcW w:w="1014" w:type="dxa"/>
            <w:vAlign w:val="top"/>
          </w:tcPr>
          <w:p w14:paraId="314E280E">
            <w:pPr>
              <w:pStyle w:val="8"/>
              <w:spacing w:before="81" w:line="219" w:lineRule="auto"/>
              <w:ind w:left="150"/>
            </w:pPr>
            <w:r>
              <w:rPr>
                <w:b/>
                <w:bCs/>
                <w:spacing w:val="-4"/>
              </w:rPr>
              <w:t>承办机构</w:t>
            </w:r>
          </w:p>
        </w:tc>
      </w:tr>
      <w:tr w14:paraId="23D0B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3" w:hRule="atLeast"/>
        </w:trPr>
        <w:tc>
          <w:tcPr>
            <w:tcW w:w="622" w:type="dxa"/>
            <w:vAlign w:val="top"/>
          </w:tcPr>
          <w:p w14:paraId="2D056EB6">
            <w:pPr>
              <w:spacing w:line="262" w:lineRule="auto"/>
              <w:rPr>
                <w:rFonts w:ascii="Arial"/>
                <w:sz w:val="21"/>
              </w:rPr>
            </w:pPr>
          </w:p>
          <w:p w14:paraId="0ACCFC85">
            <w:pPr>
              <w:spacing w:line="262" w:lineRule="auto"/>
              <w:rPr>
                <w:rFonts w:ascii="Arial"/>
                <w:sz w:val="21"/>
              </w:rPr>
            </w:pPr>
          </w:p>
          <w:p w14:paraId="6581F71D">
            <w:pPr>
              <w:spacing w:line="263" w:lineRule="auto"/>
              <w:rPr>
                <w:rFonts w:ascii="Arial"/>
                <w:sz w:val="21"/>
              </w:rPr>
            </w:pPr>
          </w:p>
          <w:p w14:paraId="7BF504CB">
            <w:pPr>
              <w:spacing w:line="263" w:lineRule="auto"/>
              <w:rPr>
                <w:rFonts w:ascii="Arial"/>
                <w:sz w:val="21"/>
              </w:rPr>
            </w:pPr>
          </w:p>
          <w:p w14:paraId="230B33F6">
            <w:pPr>
              <w:spacing w:line="263" w:lineRule="auto"/>
              <w:rPr>
                <w:rFonts w:ascii="Arial"/>
                <w:sz w:val="21"/>
              </w:rPr>
            </w:pPr>
          </w:p>
          <w:p w14:paraId="3C944F78">
            <w:pPr>
              <w:pStyle w:val="8"/>
              <w:spacing w:before="58" w:line="183" w:lineRule="auto"/>
              <w:ind w:left="229"/>
            </w:pPr>
            <w:r>
              <w:rPr>
                <w:spacing w:val="-5"/>
              </w:rPr>
              <w:t>58</w:t>
            </w:r>
          </w:p>
        </w:tc>
        <w:tc>
          <w:tcPr>
            <w:tcW w:w="1100" w:type="dxa"/>
            <w:vAlign w:val="top"/>
          </w:tcPr>
          <w:p w14:paraId="3F32A068">
            <w:pPr>
              <w:spacing w:line="347" w:lineRule="auto"/>
              <w:rPr>
                <w:rFonts w:ascii="Arial"/>
                <w:sz w:val="21"/>
              </w:rPr>
            </w:pPr>
          </w:p>
          <w:p w14:paraId="2D413097">
            <w:pPr>
              <w:spacing w:line="347" w:lineRule="auto"/>
              <w:rPr>
                <w:rFonts w:ascii="Arial"/>
                <w:sz w:val="21"/>
              </w:rPr>
            </w:pPr>
          </w:p>
          <w:p w14:paraId="37B3B205">
            <w:pPr>
              <w:pStyle w:val="8"/>
              <w:spacing w:before="59" w:line="242" w:lineRule="auto"/>
              <w:ind w:left="60" w:right="55" w:hanging="1"/>
              <w:jc w:val="both"/>
            </w:pPr>
            <w:r>
              <w:rPr>
                <w:spacing w:val="16"/>
              </w:rPr>
              <w:t>对违反港口</w:t>
            </w:r>
            <w:r>
              <w:t xml:space="preserve"> </w:t>
            </w:r>
            <w:r>
              <w:rPr>
                <w:spacing w:val="15"/>
              </w:rPr>
              <w:t>规划建设港</w:t>
            </w:r>
            <w:r>
              <w:rPr>
                <w:spacing w:val="2"/>
              </w:rPr>
              <w:t xml:space="preserve"> </w:t>
            </w:r>
            <w:r>
              <w:rPr>
                <w:spacing w:val="15"/>
              </w:rPr>
              <w:t>口、码头或</w:t>
            </w:r>
            <w:r>
              <w:rPr>
                <w:spacing w:val="2"/>
              </w:rPr>
              <w:t xml:space="preserve"> </w:t>
            </w:r>
            <w:r>
              <w:rPr>
                <w:spacing w:val="15"/>
              </w:rPr>
              <w:t>者其他港口</w:t>
            </w:r>
            <w:r>
              <w:rPr>
                <w:spacing w:val="2"/>
              </w:rPr>
              <w:t xml:space="preserve"> </w:t>
            </w:r>
            <w:r>
              <w:rPr>
                <w:spacing w:val="15"/>
              </w:rPr>
              <w:t>设施等行为</w:t>
            </w:r>
            <w:r>
              <w:rPr>
                <w:spacing w:val="2"/>
              </w:rPr>
              <w:t xml:space="preserve"> </w:t>
            </w:r>
            <w:r>
              <w:rPr>
                <w:spacing w:val="-2"/>
              </w:rPr>
              <w:t>的行政强制</w:t>
            </w:r>
          </w:p>
        </w:tc>
        <w:tc>
          <w:tcPr>
            <w:tcW w:w="1100" w:type="dxa"/>
            <w:vAlign w:val="top"/>
          </w:tcPr>
          <w:p w14:paraId="7A0D7487">
            <w:pPr>
              <w:spacing w:line="257" w:lineRule="auto"/>
              <w:rPr>
                <w:rFonts w:ascii="Arial"/>
                <w:sz w:val="21"/>
              </w:rPr>
            </w:pPr>
          </w:p>
          <w:p w14:paraId="62685DCF">
            <w:pPr>
              <w:spacing w:line="257" w:lineRule="auto"/>
              <w:rPr>
                <w:rFonts w:ascii="Arial"/>
                <w:sz w:val="21"/>
              </w:rPr>
            </w:pPr>
          </w:p>
          <w:p w14:paraId="2F00A75A">
            <w:pPr>
              <w:spacing w:line="257" w:lineRule="auto"/>
              <w:rPr>
                <w:rFonts w:ascii="Arial"/>
                <w:sz w:val="21"/>
              </w:rPr>
            </w:pPr>
          </w:p>
          <w:p w14:paraId="75DA72D4">
            <w:pPr>
              <w:spacing w:line="257" w:lineRule="auto"/>
              <w:rPr>
                <w:rFonts w:ascii="Arial"/>
                <w:sz w:val="21"/>
              </w:rPr>
            </w:pPr>
          </w:p>
          <w:p w14:paraId="1B9BCAFA">
            <w:pPr>
              <w:spacing w:line="257" w:lineRule="auto"/>
              <w:rPr>
                <w:rFonts w:ascii="Arial"/>
                <w:sz w:val="21"/>
              </w:rPr>
            </w:pPr>
          </w:p>
          <w:p w14:paraId="1BCAFB5F">
            <w:pPr>
              <w:pStyle w:val="8"/>
              <w:spacing w:before="58" w:line="220" w:lineRule="auto"/>
              <w:ind w:left="112"/>
            </w:pPr>
            <w:r>
              <w:rPr>
                <w:spacing w:val="-2"/>
              </w:rPr>
              <w:t>行政强制</w:t>
            </w:r>
          </w:p>
        </w:tc>
        <w:tc>
          <w:tcPr>
            <w:tcW w:w="8508" w:type="dxa"/>
            <w:vAlign w:val="top"/>
          </w:tcPr>
          <w:p w14:paraId="78029A3E">
            <w:pPr>
              <w:pStyle w:val="8"/>
              <w:spacing w:before="278" w:line="219" w:lineRule="auto"/>
              <w:ind w:left="476"/>
            </w:pPr>
            <w:r>
              <w:rPr>
                <w:b/>
                <w:bCs/>
                <w:spacing w:val="-4"/>
              </w:rPr>
              <w:t>《中华人民共和国港口法》</w:t>
            </w:r>
          </w:p>
          <w:p w14:paraId="327D27EA">
            <w:pPr>
              <w:pStyle w:val="8"/>
              <w:spacing w:before="24"/>
              <w:ind w:left="109" w:right="104" w:firstLine="361"/>
            </w:pPr>
            <w:r>
              <w:t>第十三条第一款  在港口总体规划区内建设港口设施，使用港口深水岸线的，由国务院交通主管部门</w:t>
            </w:r>
            <w:r>
              <w:rPr>
                <w:spacing w:val="6"/>
              </w:rPr>
              <w:t xml:space="preserve"> </w:t>
            </w:r>
            <w:r>
              <w:t>会同国务院经济综合宏观调控部门批准；建设港口设施，使用</w:t>
            </w:r>
            <w:r>
              <w:rPr>
                <w:spacing w:val="-1"/>
              </w:rPr>
              <w:t>非深水岸线的，由港口行政管理部门批准。</w:t>
            </w:r>
            <w:r>
              <w:t xml:space="preserve"> 但是，由国务院或者国务院经济综合宏观调控部门批准建设的项目使用港口岸线，不再另行办理使用港口</w:t>
            </w:r>
            <w:r>
              <w:rPr>
                <w:spacing w:val="7"/>
              </w:rPr>
              <w:t xml:space="preserve"> </w:t>
            </w:r>
            <w:r>
              <w:rPr>
                <w:spacing w:val="-4"/>
              </w:rPr>
              <w:t>岸线的审批手续。</w:t>
            </w:r>
          </w:p>
          <w:p w14:paraId="1DC844CF">
            <w:pPr>
              <w:pStyle w:val="8"/>
              <w:spacing w:before="25" w:line="219" w:lineRule="auto"/>
              <w:ind w:left="471"/>
            </w:pPr>
            <w:r>
              <w:rPr>
                <w:spacing w:val="-1"/>
              </w:rPr>
              <w:t>第十四条  港口建设应当符合港口规划。不得违反港口规划建设任何港口设</w:t>
            </w:r>
            <w:r>
              <w:rPr>
                <w:spacing w:val="-2"/>
              </w:rPr>
              <w:t>施。</w:t>
            </w:r>
          </w:p>
          <w:p w14:paraId="2F4A4A44">
            <w:pPr>
              <w:pStyle w:val="8"/>
              <w:spacing w:before="24"/>
              <w:ind w:left="111" w:right="104" w:firstLine="359"/>
            </w:pPr>
            <w:r>
              <w:t>第四十六条第一款  有下列行为之一的，由县级以上地方人民政府或者港口行政管理部门责令限期改</w:t>
            </w:r>
            <w:r>
              <w:rPr>
                <w:spacing w:val="6"/>
              </w:rPr>
              <w:t xml:space="preserve"> </w:t>
            </w:r>
            <w:r>
              <w:t>正；逾期不改正的，由作出限期改正决定的机关申请人民法院强制拆除违法建设的设施；可以处五万元以</w:t>
            </w:r>
            <w:r>
              <w:rPr>
                <w:spacing w:val="5"/>
              </w:rPr>
              <w:t xml:space="preserve"> </w:t>
            </w:r>
            <w:r>
              <w:rPr>
                <w:spacing w:val="1"/>
              </w:rPr>
              <w:t>下罚款</w:t>
            </w:r>
            <w:r>
              <w:rPr>
                <w:spacing w:val="-6"/>
              </w:rPr>
              <w:t>：（</w:t>
            </w:r>
            <w:r>
              <w:rPr>
                <w:spacing w:val="1"/>
              </w:rPr>
              <w:t>一）违反港口规划建设港口、码头或者其他港口设施的</w:t>
            </w:r>
            <w:r>
              <w:rPr>
                <w:spacing w:val="-6"/>
              </w:rPr>
              <w:t>；（</w:t>
            </w:r>
            <w:r>
              <w:t>二）未经依法批准，建设港口设施</w:t>
            </w:r>
            <w:r>
              <w:rPr>
                <w:spacing w:val="2"/>
              </w:rPr>
              <w:t xml:space="preserve"> </w:t>
            </w:r>
            <w:r>
              <w:rPr>
                <w:spacing w:val="-4"/>
              </w:rPr>
              <w:t>使用港口岸线的。</w:t>
            </w:r>
          </w:p>
        </w:tc>
        <w:tc>
          <w:tcPr>
            <w:tcW w:w="1010" w:type="dxa"/>
            <w:vAlign w:val="top"/>
          </w:tcPr>
          <w:p w14:paraId="2FC41A85">
            <w:pPr>
              <w:spacing w:line="293" w:lineRule="auto"/>
              <w:rPr>
                <w:rFonts w:ascii="Arial"/>
                <w:sz w:val="21"/>
              </w:rPr>
            </w:pPr>
          </w:p>
          <w:p w14:paraId="3F83126F">
            <w:pPr>
              <w:spacing w:line="293" w:lineRule="auto"/>
              <w:rPr>
                <w:rFonts w:ascii="Arial"/>
                <w:sz w:val="21"/>
              </w:rPr>
            </w:pPr>
          </w:p>
          <w:p w14:paraId="741C8343">
            <w:pPr>
              <w:spacing w:line="293" w:lineRule="auto"/>
              <w:rPr>
                <w:rFonts w:ascii="Arial"/>
                <w:sz w:val="21"/>
              </w:rPr>
            </w:pPr>
          </w:p>
          <w:p w14:paraId="787EB298">
            <w:pPr>
              <w:spacing w:line="293" w:lineRule="auto"/>
              <w:rPr>
                <w:rFonts w:ascii="Arial"/>
                <w:sz w:val="21"/>
              </w:rPr>
            </w:pPr>
          </w:p>
          <w:p w14:paraId="4E56BB86">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340F7467">
            <w:pPr>
              <w:pStyle w:val="8"/>
              <w:spacing w:before="59" w:line="234" w:lineRule="auto"/>
              <w:ind w:left="530" w:right="104" w:hanging="413"/>
              <w:rPr>
                <w:rFonts w:hint="eastAsia"/>
                <w:spacing w:val="-12"/>
                <w:lang w:eastAsia="zh-CN"/>
              </w:rPr>
            </w:pPr>
          </w:p>
          <w:p w14:paraId="66DF8600">
            <w:pPr>
              <w:pStyle w:val="8"/>
              <w:spacing w:before="59" w:line="234" w:lineRule="auto"/>
              <w:ind w:left="530" w:right="104" w:hanging="413"/>
              <w:rPr>
                <w:rFonts w:hint="eastAsia"/>
                <w:spacing w:val="-12"/>
                <w:lang w:eastAsia="zh-CN"/>
              </w:rPr>
            </w:pPr>
          </w:p>
          <w:p w14:paraId="422F76F1">
            <w:pPr>
              <w:pStyle w:val="8"/>
              <w:spacing w:before="59" w:line="234" w:lineRule="auto"/>
              <w:ind w:left="530" w:right="104" w:hanging="413"/>
              <w:rPr>
                <w:rFonts w:hint="eastAsia"/>
                <w:spacing w:val="-12"/>
                <w:lang w:eastAsia="zh-CN"/>
              </w:rPr>
            </w:pPr>
          </w:p>
          <w:p w14:paraId="2A6A13E1">
            <w:pPr>
              <w:pStyle w:val="8"/>
              <w:spacing w:before="59" w:line="234" w:lineRule="auto"/>
              <w:ind w:left="530" w:right="104" w:hanging="413"/>
              <w:rPr>
                <w:rFonts w:hint="eastAsia"/>
                <w:spacing w:val="-12"/>
                <w:lang w:eastAsia="zh-CN"/>
              </w:rPr>
            </w:pPr>
          </w:p>
          <w:p w14:paraId="38448401">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1EBD2BCE">
            <w:pPr>
              <w:spacing w:line="263" w:lineRule="auto"/>
              <w:rPr>
                <w:rFonts w:ascii="Arial"/>
                <w:sz w:val="21"/>
              </w:rPr>
            </w:pPr>
          </w:p>
          <w:p w14:paraId="75923D8E">
            <w:pPr>
              <w:spacing w:line="263" w:lineRule="auto"/>
              <w:rPr>
                <w:rFonts w:ascii="Arial"/>
                <w:sz w:val="21"/>
              </w:rPr>
            </w:pPr>
          </w:p>
          <w:p w14:paraId="007473B7">
            <w:pPr>
              <w:spacing w:line="263" w:lineRule="auto"/>
              <w:rPr>
                <w:rFonts w:ascii="Arial"/>
                <w:sz w:val="21"/>
              </w:rPr>
            </w:pPr>
          </w:p>
          <w:p w14:paraId="5AFFDFFF">
            <w:pPr>
              <w:spacing w:line="264" w:lineRule="auto"/>
              <w:rPr>
                <w:rFonts w:ascii="Arial"/>
                <w:sz w:val="21"/>
              </w:rPr>
            </w:pPr>
          </w:p>
          <w:p w14:paraId="5959E3ED">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36864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7" w:hRule="atLeast"/>
        </w:trPr>
        <w:tc>
          <w:tcPr>
            <w:tcW w:w="622" w:type="dxa"/>
            <w:vAlign w:val="top"/>
          </w:tcPr>
          <w:p w14:paraId="3975F9AD">
            <w:pPr>
              <w:spacing w:line="267" w:lineRule="auto"/>
              <w:rPr>
                <w:rFonts w:ascii="Arial"/>
                <w:sz w:val="21"/>
              </w:rPr>
            </w:pPr>
          </w:p>
          <w:p w14:paraId="35F62378">
            <w:pPr>
              <w:spacing w:line="267" w:lineRule="auto"/>
              <w:rPr>
                <w:rFonts w:ascii="Arial"/>
                <w:sz w:val="21"/>
              </w:rPr>
            </w:pPr>
          </w:p>
          <w:p w14:paraId="4B6C9A5E">
            <w:pPr>
              <w:spacing w:line="267" w:lineRule="auto"/>
              <w:rPr>
                <w:rFonts w:ascii="Arial"/>
                <w:sz w:val="21"/>
              </w:rPr>
            </w:pPr>
          </w:p>
          <w:p w14:paraId="43533D4D">
            <w:pPr>
              <w:spacing w:line="268" w:lineRule="auto"/>
              <w:rPr>
                <w:rFonts w:ascii="Arial"/>
                <w:sz w:val="21"/>
              </w:rPr>
            </w:pPr>
          </w:p>
          <w:p w14:paraId="4E9BC48A">
            <w:pPr>
              <w:pStyle w:val="8"/>
              <w:spacing w:before="58" w:line="183" w:lineRule="auto"/>
              <w:ind w:left="229"/>
            </w:pPr>
            <w:r>
              <w:rPr>
                <w:spacing w:val="-5"/>
              </w:rPr>
              <w:t>59</w:t>
            </w:r>
          </w:p>
        </w:tc>
        <w:tc>
          <w:tcPr>
            <w:tcW w:w="1100" w:type="dxa"/>
            <w:vAlign w:val="top"/>
          </w:tcPr>
          <w:p w14:paraId="0B64BB2D">
            <w:pPr>
              <w:spacing w:line="450" w:lineRule="auto"/>
              <w:rPr>
                <w:rFonts w:ascii="Arial"/>
                <w:sz w:val="21"/>
              </w:rPr>
            </w:pPr>
          </w:p>
          <w:p w14:paraId="51D54FF8">
            <w:pPr>
              <w:pStyle w:val="8"/>
              <w:spacing w:before="59" w:line="242" w:lineRule="auto"/>
              <w:ind w:left="60" w:right="55" w:hanging="1"/>
              <w:jc w:val="both"/>
            </w:pPr>
            <w:r>
              <w:rPr>
                <w:spacing w:val="16"/>
              </w:rPr>
              <w:t>对在港口水</w:t>
            </w:r>
            <w:r>
              <w:t xml:space="preserve"> </w:t>
            </w:r>
            <w:r>
              <w:rPr>
                <w:spacing w:val="15"/>
              </w:rPr>
              <w:t>域内从事养</w:t>
            </w:r>
            <w:r>
              <w:rPr>
                <w:spacing w:val="2"/>
              </w:rPr>
              <w:t xml:space="preserve"> </w:t>
            </w:r>
            <w:r>
              <w:rPr>
                <w:spacing w:val="15"/>
              </w:rPr>
              <w:t>殖、种植活</w:t>
            </w:r>
            <w:r>
              <w:rPr>
                <w:spacing w:val="2"/>
              </w:rPr>
              <w:t xml:space="preserve"> </w:t>
            </w:r>
            <w:r>
              <w:rPr>
                <w:spacing w:val="15"/>
              </w:rPr>
              <w:t>动逾期不改</w:t>
            </w:r>
            <w:r>
              <w:rPr>
                <w:spacing w:val="2"/>
              </w:rPr>
              <w:t xml:space="preserve"> </w:t>
            </w:r>
            <w:r>
              <w:rPr>
                <w:spacing w:val="15"/>
              </w:rPr>
              <w:t>正的行政强</w:t>
            </w:r>
            <w:r>
              <w:rPr>
                <w:spacing w:val="2"/>
              </w:rPr>
              <w:t xml:space="preserve"> </w:t>
            </w:r>
            <w:r>
              <w:t>制</w:t>
            </w:r>
          </w:p>
        </w:tc>
        <w:tc>
          <w:tcPr>
            <w:tcW w:w="1100" w:type="dxa"/>
            <w:vAlign w:val="top"/>
          </w:tcPr>
          <w:p w14:paraId="7AC06538">
            <w:pPr>
              <w:spacing w:line="259" w:lineRule="auto"/>
              <w:rPr>
                <w:rFonts w:ascii="Arial"/>
                <w:sz w:val="21"/>
              </w:rPr>
            </w:pPr>
          </w:p>
          <w:p w14:paraId="5CE1E493">
            <w:pPr>
              <w:spacing w:line="259" w:lineRule="auto"/>
              <w:rPr>
                <w:rFonts w:ascii="Arial"/>
                <w:sz w:val="21"/>
              </w:rPr>
            </w:pPr>
          </w:p>
          <w:p w14:paraId="04B44BFE">
            <w:pPr>
              <w:spacing w:line="260" w:lineRule="auto"/>
              <w:rPr>
                <w:rFonts w:ascii="Arial"/>
                <w:sz w:val="21"/>
              </w:rPr>
            </w:pPr>
          </w:p>
          <w:p w14:paraId="643755E9">
            <w:pPr>
              <w:spacing w:line="260" w:lineRule="auto"/>
              <w:rPr>
                <w:rFonts w:ascii="Arial"/>
                <w:sz w:val="21"/>
              </w:rPr>
            </w:pPr>
          </w:p>
          <w:p w14:paraId="6AA341E9">
            <w:pPr>
              <w:pStyle w:val="8"/>
              <w:spacing w:before="59" w:line="220" w:lineRule="auto"/>
              <w:ind w:left="112"/>
            </w:pPr>
            <w:r>
              <w:rPr>
                <w:spacing w:val="-2"/>
              </w:rPr>
              <w:t>行政强制</w:t>
            </w:r>
          </w:p>
        </w:tc>
        <w:tc>
          <w:tcPr>
            <w:tcW w:w="8508" w:type="dxa"/>
            <w:vAlign w:val="top"/>
          </w:tcPr>
          <w:p w14:paraId="5DBB23F9">
            <w:pPr>
              <w:spacing w:line="345" w:lineRule="auto"/>
              <w:rPr>
                <w:rFonts w:ascii="Arial"/>
                <w:sz w:val="21"/>
              </w:rPr>
            </w:pPr>
          </w:p>
          <w:p w14:paraId="50C629F1">
            <w:pPr>
              <w:spacing w:line="345" w:lineRule="auto"/>
              <w:rPr>
                <w:rFonts w:ascii="Arial"/>
                <w:sz w:val="21"/>
              </w:rPr>
            </w:pPr>
          </w:p>
          <w:p w14:paraId="30C4A1C5">
            <w:pPr>
              <w:pStyle w:val="8"/>
              <w:spacing w:before="59" w:line="219" w:lineRule="auto"/>
              <w:ind w:left="476"/>
            </w:pPr>
            <w:r>
              <w:rPr>
                <w:b/>
                <w:bCs/>
                <w:spacing w:val="-4"/>
              </w:rPr>
              <w:t>《中华人民共和国港口法》</w:t>
            </w:r>
          </w:p>
          <w:p w14:paraId="23E2EA79">
            <w:pPr>
              <w:pStyle w:val="8"/>
              <w:spacing w:before="26" w:line="219" w:lineRule="auto"/>
              <w:ind w:left="471"/>
            </w:pPr>
            <w:r>
              <w:rPr>
                <w:spacing w:val="-2"/>
              </w:rPr>
              <w:t>第三十七条第一款  禁止在港口水域内从事养殖、种植活动。</w:t>
            </w:r>
          </w:p>
          <w:p w14:paraId="5FBD7AFD">
            <w:pPr>
              <w:pStyle w:val="8"/>
              <w:spacing w:before="25" w:line="233" w:lineRule="auto"/>
              <w:ind w:left="111" w:right="104" w:firstLine="359"/>
            </w:pPr>
            <w:r>
              <w:t>第五十五条  港口水域内从事养殖、种植活动的，由海事管理机构责令限期改正；逾期不改正的，强</w:t>
            </w:r>
            <w:r>
              <w:rPr>
                <w:spacing w:val="6"/>
              </w:rPr>
              <w:t xml:space="preserve"> </w:t>
            </w:r>
            <w:r>
              <w:rPr>
                <w:spacing w:val="-1"/>
              </w:rPr>
              <w:t>制拆除养殖、种植设施，拆除费用由违法行为人承担；可以处一万元以下罚款。</w:t>
            </w:r>
          </w:p>
        </w:tc>
        <w:tc>
          <w:tcPr>
            <w:tcW w:w="1010" w:type="dxa"/>
            <w:vAlign w:val="top"/>
          </w:tcPr>
          <w:p w14:paraId="2CFF6EC9">
            <w:pPr>
              <w:spacing w:line="309" w:lineRule="auto"/>
              <w:rPr>
                <w:rFonts w:ascii="Arial"/>
                <w:sz w:val="21"/>
              </w:rPr>
            </w:pPr>
          </w:p>
          <w:p w14:paraId="7B720BB3">
            <w:pPr>
              <w:spacing w:line="309" w:lineRule="auto"/>
              <w:rPr>
                <w:rFonts w:ascii="Arial"/>
                <w:sz w:val="21"/>
              </w:rPr>
            </w:pPr>
          </w:p>
          <w:p w14:paraId="150D807C">
            <w:pPr>
              <w:spacing w:line="310" w:lineRule="auto"/>
              <w:rPr>
                <w:rFonts w:ascii="Arial"/>
                <w:sz w:val="21"/>
              </w:rPr>
            </w:pPr>
          </w:p>
          <w:p w14:paraId="57AA2D60">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25C32CA9">
            <w:pPr>
              <w:pStyle w:val="8"/>
              <w:spacing w:before="59" w:line="234" w:lineRule="auto"/>
              <w:ind w:left="530" w:right="104" w:hanging="413"/>
              <w:rPr>
                <w:rFonts w:hint="eastAsia"/>
                <w:spacing w:val="-12"/>
                <w:lang w:eastAsia="zh-CN"/>
              </w:rPr>
            </w:pPr>
          </w:p>
          <w:p w14:paraId="106347B8">
            <w:pPr>
              <w:pStyle w:val="8"/>
              <w:spacing w:before="59" w:line="234" w:lineRule="auto"/>
              <w:ind w:left="530" w:right="104" w:hanging="413"/>
              <w:rPr>
                <w:rFonts w:hint="eastAsia"/>
                <w:spacing w:val="-12"/>
                <w:lang w:eastAsia="zh-CN"/>
              </w:rPr>
            </w:pPr>
          </w:p>
          <w:p w14:paraId="7DC85367">
            <w:pPr>
              <w:pStyle w:val="8"/>
              <w:spacing w:before="59" w:line="234" w:lineRule="auto"/>
              <w:ind w:left="530" w:right="104" w:hanging="413"/>
              <w:rPr>
                <w:rFonts w:hint="eastAsia"/>
                <w:spacing w:val="-12"/>
                <w:lang w:eastAsia="zh-CN"/>
              </w:rPr>
            </w:pPr>
          </w:p>
          <w:p w14:paraId="126CD3B9">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2DEFBA80">
            <w:pPr>
              <w:spacing w:line="269" w:lineRule="auto"/>
              <w:rPr>
                <w:rFonts w:ascii="Arial"/>
                <w:sz w:val="21"/>
              </w:rPr>
            </w:pPr>
          </w:p>
          <w:p w14:paraId="79B2C403">
            <w:pPr>
              <w:spacing w:line="270" w:lineRule="auto"/>
              <w:rPr>
                <w:rFonts w:ascii="Arial"/>
                <w:sz w:val="21"/>
              </w:rPr>
            </w:pPr>
          </w:p>
          <w:p w14:paraId="00EB5995">
            <w:pPr>
              <w:spacing w:line="270" w:lineRule="auto"/>
              <w:rPr>
                <w:rFonts w:ascii="Arial"/>
                <w:sz w:val="21"/>
              </w:rPr>
            </w:pPr>
          </w:p>
          <w:p w14:paraId="7F4E12E8">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r w14:paraId="2FE22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2" w:hRule="atLeast"/>
        </w:trPr>
        <w:tc>
          <w:tcPr>
            <w:tcW w:w="622" w:type="dxa"/>
            <w:vAlign w:val="top"/>
          </w:tcPr>
          <w:p w14:paraId="0AD19C1A">
            <w:pPr>
              <w:spacing w:line="277" w:lineRule="auto"/>
              <w:rPr>
                <w:rFonts w:ascii="Arial"/>
                <w:sz w:val="21"/>
              </w:rPr>
            </w:pPr>
          </w:p>
          <w:p w14:paraId="47139070">
            <w:pPr>
              <w:spacing w:line="277" w:lineRule="auto"/>
              <w:rPr>
                <w:rFonts w:ascii="Arial"/>
                <w:sz w:val="21"/>
              </w:rPr>
            </w:pPr>
          </w:p>
          <w:p w14:paraId="29773B7C">
            <w:pPr>
              <w:spacing w:line="277" w:lineRule="auto"/>
              <w:rPr>
                <w:rFonts w:ascii="Arial"/>
                <w:sz w:val="21"/>
              </w:rPr>
            </w:pPr>
          </w:p>
          <w:p w14:paraId="1E1F76AC">
            <w:pPr>
              <w:spacing w:line="277" w:lineRule="auto"/>
              <w:rPr>
                <w:rFonts w:ascii="Arial"/>
                <w:sz w:val="21"/>
              </w:rPr>
            </w:pPr>
          </w:p>
          <w:p w14:paraId="18E8BC0D">
            <w:pPr>
              <w:spacing w:line="277" w:lineRule="auto"/>
              <w:rPr>
                <w:rFonts w:ascii="Arial"/>
                <w:sz w:val="21"/>
              </w:rPr>
            </w:pPr>
          </w:p>
          <w:p w14:paraId="07AD8182">
            <w:pPr>
              <w:spacing w:line="278" w:lineRule="auto"/>
              <w:rPr>
                <w:rFonts w:ascii="Arial"/>
                <w:sz w:val="21"/>
              </w:rPr>
            </w:pPr>
          </w:p>
          <w:p w14:paraId="2685612E">
            <w:pPr>
              <w:pStyle w:val="8"/>
              <w:spacing w:before="59" w:line="183" w:lineRule="auto"/>
              <w:ind w:left="227"/>
            </w:pPr>
            <w:r>
              <w:rPr>
                <w:spacing w:val="-4"/>
              </w:rPr>
              <w:t>60</w:t>
            </w:r>
          </w:p>
        </w:tc>
        <w:tc>
          <w:tcPr>
            <w:tcW w:w="1100" w:type="dxa"/>
            <w:vAlign w:val="top"/>
          </w:tcPr>
          <w:p w14:paraId="11F86B5C">
            <w:pPr>
              <w:spacing w:line="448" w:lineRule="auto"/>
              <w:rPr>
                <w:rFonts w:ascii="Arial"/>
                <w:sz w:val="21"/>
              </w:rPr>
            </w:pPr>
          </w:p>
          <w:p w14:paraId="2E3FB8D8">
            <w:pPr>
              <w:pStyle w:val="8"/>
              <w:spacing w:before="58" w:line="244" w:lineRule="auto"/>
              <w:ind w:left="59" w:right="55"/>
              <w:jc w:val="both"/>
            </w:pPr>
            <w:r>
              <w:rPr>
                <w:spacing w:val="16"/>
              </w:rPr>
              <w:t>对未经依法</w:t>
            </w:r>
            <w:r>
              <w:t xml:space="preserve"> </w:t>
            </w:r>
            <w:r>
              <w:rPr>
                <w:spacing w:val="16"/>
              </w:rPr>
              <w:t>批准在港口</w:t>
            </w:r>
            <w:r>
              <w:t xml:space="preserve"> </w:t>
            </w:r>
            <w:r>
              <w:rPr>
                <w:spacing w:val="-8"/>
              </w:rPr>
              <w:t>内</w:t>
            </w:r>
            <w:r>
              <w:rPr>
                <w:spacing w:val="7"/>
              </w:rPr>
              <w:t xml:space="preserve"> </w:t>
            </w:r>
            <w:r>
              <w:rPr>
                <w:spacing w:val="-8"/>
              </w:rPr>
              <w:t>进</w:t>
            </w:r>
            <w:r>
              <w:rPr>
                <w:spacing w:val="8"/>
              </w:rPr>
              <w:t xml:space="preserve"> </w:t>
            </w:r>
            <w:r>
              <w:rPr>
                <w:spacing w:val="-8"/>
              </w:rPr>
              <w:t>行</w:t>
            </w:r>
            <w:r>
              <w:rPr>
                <w:spacing w:val="6"/>
              </w:rPr>
              <w:t xml:space="preserve"> </w:t>
            </w:r>
            <w:r>
              <w:rPr>
                <w:spacing w:val="-8"/>
              </w:rPr>
              <w:t>采</w:t>
            </w:r>
            <w:r>
              <w:t xml:space="preserve"> </w:t>
            </w:r>
            <w:r>
              <w:rPr>
                <w:spacing w:val="16"/>
              </w:rPr>
              <w:t>掘、爆破等</w:t>
            </w:r>
            <w:r>
              <w:t xml:space="preserve"> </w:t>
            </w:r>
            <w:r>
              <w:rPr>
                <w:spacing w:val="2"/>
              </w:rPr>
              <w:t>活动的，</w:t>
            </w:r>
            <w:r>
              <w:rPr>
                <w:spacing w:val="-21"/>
              </w:rPr>
              <w:t xml:space="preserve"> </w:t>
            </w:r>
            <w:r>
              <w:rPr>
                <w:spacing w:val="2"/>
              </w:rPr>
              <w:t>向</w:t>
            </w:r>
            <w:r>
              <w:t xml:space="preserve"> </w:t>
            </w:r>
            <w:r>
              <w:rPr>
                <w:spacing w:val="16"/>
              </w:rPr>
              <w:t>港口水域倾</w:t>
            </w:r>
            <w:r>
              <w:t xml:space="preserve"> </w:t>
            </w:r>
            <w:r>
              <w:rPr>
                <w:spacing w:val="16"/>
              </w:rPr>
              <w:t>倒泥土、砂</w:t>
            </w:r>
            <w:r>
              <w:t xml:space="preserve"> </w:t>
            </w:r>
            <w:r>
              <w:rPr>
                <w:spacing w:val="16"/>
              </w:rPr>
              <w:t>石逾期不消</w:t>
            </w:r>
            <w:r>
              <w:t xml:space="preserve"> </w:t>
            </w:r>
            <w:r>
              <w:rPr>
                <w:spacing w:val="16"/>
              </w:rPr>
              <w:t>除安全隐患</w:t>
            </w:r>
            <w:r>
              <w:t xml:space="preserve"> </w:t>
            </w:r>
            <w:r>
              <w:rPr>
                <w:spacing w:val="16"/>
              </w:rPr>
              <w:t>行为的行政</w:t>
            </w:r>
            <w:r>
              <w:t xml:space="preserve"> </w:t>
            </w:r>
            <w:r>
              <w:rPr>
                <w:spacing w:val="-2"/>
              </w:rPr>
              <w:t>强制</w:t>
            </w:r>
          </w:p>
        </w:tc>
        <w:tc>
          <w:tcPr>
            <w:tcW w:w="1100" w:type="dxa"/>
            <w:vAlign w:val="top"/>
          </w:tcPr>
          <w:p w14:paraId="57249DFA">
            <w:pPr>
              <w:spacing w:line="272" w:lineRule="auto"/>
              <w:rPr>
                <w:rFonts w:ascii="Arial"/>
                <w:sz w:val="21"/>
              </w:rPr>
            </w:pPr>
          </w:p>
          <w:p w14:paraId="659B7F54">
            <w:pPr>
              <w:spacing w:line="272" w:lineRule="auto"/>
              <w:rPr>
                <w:rFonts w:ascii="Arial"/>
                <w:sz w:val="21"/>
              </w:rPr>
            </w:pPr>
          </w:p>
          <w:p w14:paraId="56AEF95C">
            <w:pPr>
              <w:spacing w:line="272" w:lineRule="auto"/>
              <w:rPr>
                <w:rFonts w:ascii="Arial"/>
                <w:sz w:val="21"/>
              </w:rPr>
            </w:pPr>
          </w:p>
          <w:p w14:paraId="39A4CB71">
            <w:pPr>
              <w:spacing w:line="272" w:lineRule="auto"/>
              <w:rPr>
                <w:rFonts w:ascii="Arial"/>
                <w:sz w:val="21"/>
              </w:rPr>
            </w:pPr>
          </w:p>
          <w:p w14:paraId="6AAC1D4E">
            <w:pPr>
              <w:spacing w:line="272" w:lineRule="auto"/>
              <w:rPr>
                <w:rFonts w:ascii="Arial"/>
                <w:sz w:val="21"/>
              </w:rPr>
            </w:pPr>
          </w:p>
          <w:p w14:paraId="03B5A64C">
            <w:pPr>
              <w:spacing w:line="273" w:lineRule="auto"/>
              <w:rPr>
                <w:rFonts w:ascii="Arial"/>
                <w:sz w:val="21"/>
              </w:rPr>
            </w:pPr>
          </w:p>
          <w:p w14:paraId="5037A261">
            <w:pPr>
              <w:pStyle w:val="8"/>
              <w:spacing w:before="58" w:line="220" w:lineRule="auto"/>
              <w:ind w:left="112"/>
            </w:pPr>
            <w:r>
              <w:rPr>
                <w:spacing w:val="-2"/>
              </w:rPr>
              <w:t>行政强制</w:t>
            </w:r>
          </w:p>
        </w:tc>
        <w:tc>
          <w:tcPr>
            <w:tcW w:w="8508" w:type="dxa"/>
            <w:vAlign w:val="top"/>
          </w:tcPr>
          <w:p w14:paraId="34B918E7">
            <w:pPr>
              <w:spacing w:line="450" w:lineRule="auto"/>
              <w:rPr>
                <w:rFonts w:ascii="Arial"/>
                <w:sz w:val="21"/>
              </w:rPr>
            </w:pPr>
          </w:p>
          <w:p w14:paraId="2EE6FC2C">
            <w:pPr>
              <w:pStyle w:val="8"/>
              <w:spacing w:before="58" w:line="219" w:lineRule="auto"/>
              <w:ind w:left="476"/>
            </w:pPr>
            <w:r>
              <w:rPr>
                <w:b/>
                <w:bCs/>
                <w:spacing w:val="-4"/>
              </w:rPr>
              <w:t>《中华人民共和国港口法》</w:t>
            </w:r>
          </w:p>
          <w:p w14:paraId="07E8E8E5">
            <w:pPr>
              <w:pStyle w:val="8"/>
              <w:spacing w:before="26"/>
              <w:ind w:left="110" w:right="104" w:firstLine="360"/>
              <w:jc w:val="both"/>
            </w:pPr>
            <w:r>
              <w:t>第三十七条第二款、第三款  不得在港口进行可能危及港口安全的采掘、爆破等活动；因工程建设等</w:t>
            </w:r>
            <w:r>
              <w:rPr>
                <w:spacing w:val="3"/>
              </w:rPr>
              <w:t xml:space="preserve"> </w:t>
            </w:r>
            <w:r>
              <w:t>确需进行的，必须采取相应的安全保护措施，并报经港口行政管理部门批准。港口行政管理部门应当将审</w:t>
            </w:r>
            <w:r>
              <w:rPr>
                <w:spacing w:val="7"/>
              </w:rPr>
              <w:t xml:space="preserve"> </w:t>
            </w:r>
            <w:r>
              <w:t>批情况及时通报海事管理机构，海事管理机构不再依照有关水上交通安全的法律、行政法规的规定进行审</w:t>
            </w:r>
            <w:r>
              <w:rPr>
                <w:spacing w:val="7"/>
              </w:rPr>
              <w:t xml:space="preserve"> </w:t>
            </w:r>
            <w:r>
              <w:rPr>
                <w:spacing w:val="-9"/>
              </w:rPr>
              <w:t>批。</w:t>
            </w:r>
          </w:p>
          <w:p w14:paraId="6527D5F7">
            <w:pPr>
              <w:pStyle w:val="8"/>
              <w:spacing w:before="24" w:line="233" w:lineRule="auto"/>
              <w:ind w:left="111" w:right="44" w:firstLine="359"/>
            </w:pPr>
            <w:r>
              <w:rPr>
                <w:spacing w:val="-2"/>
              </w:rPr>
              <w:t>禁止向港口水域倾倒泥土、砂石以及违反有关环</w:t>
            </w:r>
            <w:r>
              <w:rPr>
                <w:spacing w:val="-3"/>
              </w:rPr>
              <w:t>境保护的法律、法规的规定排放超过规定标准的有毒、</w:t>
            </w:r>
            <w:r>
              <w:t xml:space="preserve"> </w:t>
            </w:r>
            <w:r>
              <w:rPr>
                <w:spacing w:val="-6"/>
              </w:rPr>
              <w:t>有害物质。</w:t>
            </w:r>
          </w:p>
          <w:p w14:paraId="634EC40D">
            <w:pPr>
              <w:pStyle w:val="8"/>
              <w:spacing w:before="26" w:line="239" w:lineRule="auto"/>
              <w:ind w:left="111" w:right="104" w:firstLine="360"/>
              <w:jc w:val="both"/>
            </w:pPr>
            <w:r>
              <w:t>第五十六条  未经依法批准在港口进行可能危及港口安全的采掘、爆破等活动的，向港口水域倾倒泥</w:t>
            </w:r>
            <w:r>
              <w:rPr>
                <w:spacing w:val="6"/>
              </w:rPr>
              <w:t xml:space="preserve"> </w:t>
            </w:r>
            <w:r>
              <w:t>土、砂石的，由港口行政管理部门责令停止违法行为，限期消除因此造成的安全隐患；逾期不消除的，强</w:t>
            </w:r>
            <w:r>
              <w:rPr>
                <w:spacing w:val="6"/>
              </w:rPr>
              <w:t xml:space="preserve"> </w:t>
            </w:r>
            <w:r>
              <w:t>制消除，因此发生的费用由违法行为人承担；处五千元以上五万元以下罚款；依照有关水上交通安全的法</w:t>
            </w:r>
            <w:r>
              <w:rPr>
                <w:spacing w:val="6"/>
              </w:rPr>
              <w:t xml:space="preserve"> </w:t>
            </w:r>
            <w:r>
              <w:rPr>
                <w:spacing w:val="-1"/>
              </w:rPr>
              <w:t>律、行政法规的规定由海事管理机构处罚的，依照其规定；构成犯罪的，依法追究刑事责任。</w:t>
            </w:r>
          </w:p>
        </w:tc>
        <w:tc>
          <w:tcPr>
            <w:tcW w:w="1010" w:type="dxa"/>
            <w:vAlign w:val="top"/>
          </w:tcPr>
          <w:p w14:paraId="7B98695D">
            <w:pPr>
              <w:spacing w:line="253" w:lineRule="auto"/>
              <w:rPr>
                <w:rFonts w:ascii="Arial"/>
                <w:sz w:val="21"/>
              </w:rPr>
            </w:pPr>
          </w:p>
          <w:p w14:paraId="095E80F0">
            <w:pPr>
              <w:spacing w:line="254" w:lineRule="auto"/>
              <w:rPr>
                <w:rFonts w:ascii="Arial"/>
                <w:sz w:val="21"/>
              </w:rPr>
            </w:pPr>
          </w:p>
          <w:p w14:paraId="12BB8E31">
            <w:pPr>
              <w:spacing w:line="254" w:lineRule="auto"/>
              <w:rPr>
                <w:rFonts w:ascii="Arial"/>
                <w:sz w:val="21"/>
              </w:rPr>
            </w:pPr>
          </w:p>
          <w:p w14:paraId="27613DCE">
            <w:pPr>
              <w:spacing w:line="254" w:lineRule="auto"/>
              <w:rPr>
                <w:rFonts w:ascii="Arial"/>
                <w:sz w:val="21"/>
              </w:rPr>
            </w:pPr>
          </w:p>
          <w:p w14:paraId="15364EFA">
            <w:pPr>
              <w:spacing w:line="254" w:lineRule="auto"/>
              <w:rPr>
                <w:rFonts w:ascii="Arial"/>
                <w:sz w:val="21"/>
              </w:rPr>
            </w:pPr>
          </w:p>
          <w:p w14:paraId="5B0B97FB">
            <w:pPr>
              <w:spacing w:line="254" w:lineRule="auto"/>
              <w:rPr>
                <w:rFonts w:ascii="Arial"/>
                <w:sz w:val="21"/>
              </w:rPr>
            </w:pPr>
          </w:p>
          <w:p w14:paraId="63E8580E">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3D908858">
            <w:pPr>
              <w:pStyle w:val="8"/>
              <w:spacing w:before="59" w:line="234" w:lineRule="auto"/>
              <w:ind w:left="530" w:right="104" w:hanging="413"/>
              <w:rPr>
                <w:rFonts w:hint="eastAsia"/>
                <w:spacing w:val="-12"/>
                <w:lang w:eastAsia="zh-CN"/>
              </w:rPr>
            </w:pPr>
          </w:p>
          <w:p w14:paraId="55EF5EEB">
            <w:pPr>
              <w:pStyle w:val="8"/>
              <w:spacing w:before="59" w:line="234" w:lineRule="auto"/>
              <w:ind w:left="530" w:right="104" w:hanging="413"/>
              <w:rPr>
                <w:rFonts w:hint="eastAsia"/>
                <w:spacing w:val="-12"/>
                <w:lang w:eastAsia="zh-CN"/>
              </w:rPr>
            </w:pPr>
          </w:p>
          <w:p w14:paraId="49D86E18">
            <w:pPr>
              <w:pStyle w:val="8"/>
              <w:spacing w:before="59" w:line="234" w:lineRule="auto"/>
              <w:ind w:left="530" w:right="104" w:hanging="413"/>
              <w:rPr>
                <w:rFonts w:hint="eastAsia"/>
                <w:spacing w:val="-12"/>
                <w:lang w:eastAsia="zh-CN"/>
              </w:rPr>
            </w:pPr>
          </w:p>
          <w:p w14:paraId="0E231C04">
            <w:pPr>
              <w:pStyle w:val="8"/>
              <w:spacing w:before="59" w:line="234" w:lineRule="auto"/>
              <w:ind w:left="530" w:right="104" w:hanging="413"/>
              <w:rPr>
                <w:rFonts w:hint="eastAsia"/>
                <w:spacing w:val="-12"/>
                <w:lang w:eastAsia="zh-CN"/>
              </w:rPr>
            </w:pPr>
          </w:p>
          <w:p w14:paraId="22668642">
            <w:pPr>
              <w:pStyle w:val="8"/>
              <w:spacing w:before="59" w:line="234" w:lineRule="auto"/>
              <w:ind w:left="530" w:right="104" w:hanging="413"/>
              <w:rPr>
                <w:rFonts w:hint="eastAsia"/>
                <w:spacing w:val="-12"/>
                <w:lang w:eastAsia="zh-CN"/>
              </w:rPr>
            </w:pPr>
          </w:p>
          <w:p w14:paraId="2A1CDA3F">
            <w:pPr>
              <w:pStyle w:val="8"/>
              <w:spacing w:before="59" w:line="234" w:lineRule="auto"/>
              <w:ind w:left="530" w:right="104" w:hanging="413"/>
              <w:rPr>
                <w:rFonts w:hint="eastAsia"/>
                <w:spacing w:val="-12"/>
                <w:lang w:eastAsia="zh-CN"/>
              </w:rPr>
            </w:pPr>
            <w:r>
              <w:rPr>
                <w:rFonts w:hint="eastAsia"/>
                <w:spacing w:val="-12"/>
                <w:lang w:eastAsia="zh-CN"/>
              </w:rPr>
              <w:t>津市市交通运输局</w:t>
            </w:r>
          </w:p>
        </w:tc>
        <w:tc>
          <w:tcPr>
            <w:tcW w:w="1014" w:type="dxa"/>
            <w:vAlign w:val="top"/>
          </w:tcPr>
          <w:p w14:paraId="1A0DFA7E">
            <w:pPr>
              <w:spacing w:line="280" w:lineRule="auto"/>
              <w:rPr>
                <w:rFonts w:ascii="Arial"/>
                <w:sz w:val="21"/>
              </w:rPr>
            </w:pPr>
          </w:p>
          <w:p w14:paraId="148EA94E">
            <w:pPr>
              <w:spacing w:line="281" w:lineRule="auto"/>
              <w:rPr>
                <w:rFonts w:ascii="Arial"/>
                <w:sz w:val="21"/>
              </w:rPr>
            </w:pPr>
          </w:p>
          <w:p w14:paraId="0D65786D">
            <w:pPr>
              <w:spacing w:line="281" w:lineRule="auto"/>
              <w:rPr>
                <w:rFonts w:ascii="Arial"/>
                <w:sz w:val="21"/>
              </w:rPr>
            </w:pPr>
          </w:p>
          <w:p w14:paraId="2EFA3B45">
            <w:pPr>
              <w:spacing w:line="281" w:lineRule="auto"/>
              <w:rPr>
                <w:rFonts w:ascii="Arial"/>
                <w:sz w:val="21"/>
              </w:rPr>
            </w:pPr>
          </w:p>
          <w:p w14:paraId="40488703">
            <w:pPr>
              <w:spacing w:line="281" w:lineRule="auto"/>
              <w:rPr>
                <w:rFonts w:ascii="Arial"/>
                <w:sz w:val="21"/>
              </w:rPr>
            </w:pPr>
          </w:p>
          <w:p w14:paraId="76EEDB0B">
            <w:pPr>
              <w:pStyle w:val="8"/>
              <w:spacing w:before="58"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4467A489">
      <w:pPr>
        <w:spacing w:line="218" w:lineRule="exact"/>
        <w:rPr>
          <w:sz w:val="18"/>
          <w:szCs w:val="18"/>
        </w:rPr>
        <w:sectPr>
          <w:footerReference r:id="rId155" w:type="default"/>
          <w:pgSz w:w="16839" w:h="11906"/>
          <w:pgMar w:top="1012" w:right="1034" w:bottom="967" w:left="1043" w:header="0" w:footer="768" w:gutter="0"/>
          <w:cols w:space="720" w:num="1"/>
        </w:sectPr>
      </w:pPr>
    </w:p>
    <w:p w14:paraId="5697C9A8">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6207C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281082F7">
            <w:pPr>
              <w:pStyle w:val="8"/>
              <w:spacing w:before="259" w:line="221" w:lineRule="auto"/>
              <w:ind w:left="134"/>
            </w:pPr>
            <w:r>
              <w:rPr>
                <w:b/>
                <w:bCs/>
                <w:spacing w:val="-4"/>
              </w:rPr>
              <w:t>序号</w:t>
            </w:r>
          </w:p>
        </w:tc>
        <w:tc>
          <w:tcPr>
            <w:tcW w:w="1100" w:type="dxa"/>
            <w:vMerge w:val="restart"/>
            <w:tcBorders>
              <w:bottom w:val="nil"/>
            </w:tcBorders>
            <w:vAlign w:val="top"/>
          </w:tcPr>
          <w:p w14:paraId="674F316B">
            <w:pPr>
              <w:pStyle w:val="8"/>
              <w:spacing w:before="260" w:line="220" w:lineRule="auto"/>
              <w:ind w:left="189"/>
            </w:pPr>
            <w:r>
              <w:rPr>
                <w:b/>
                <w:bCs/>
                <w:spacing w:val="-4"/>
              </w:rPr>
              <w:t>事项名称</w:t>
            </w:r>
          </w:p>
        </w:tc>
        <w:tc>
          <w:tcPr>
            <w:tcW w:w="1100" w:type="dxa"/>
            <w:vMerge w:val="restart"/>
            <w:tcBorders>
              <w:bottom w:val="nil"/>
            </w:tcBorders>
            <w:vAlign w:val="top"/>
          </w:tcPr>
          <w:p w14:paraId="2317F3A1">
            <w:pPr>
              <w:pStyle w:val="8"/>
              <w:spacing w:before="260" w:line="219" w:lineRule="auto"/>
              <w:ind w:left="191"/>
            </w:pPr>
            <w:r>
              <w:rPr>
                <w:b/>
                <w:bCs/>
                <w:spacing w:val="-4"/>
              </w:rPr>
              <w:t>职权类型</w:t>
            </w:r>
          </w:p>
        </w:tc>
        <w:tc>
          <w:tcPr>
            <w:tcW w:w="8508" w:type="dxa"/>
            <w:vMerge w:val="restart"/>
            <w:tcBorders>
              <w:bottom w:val="nil"/>
            </w:tcBorders>
            <w:vAlign w:val="top"/>
          </w:tcPr>
          <w:p w14:paraId="2DA76AD7">
            <w:pPr>
              <w:pStyle w:val="8"/>
              <w:spacing w:before="259" w:line="219" w:lineRule="auto"/>
              <w:ind w:left="3900"/>
            </w:pPr>
            <w:r>
              <w:rPr>
                <w:b/>
                <w:bCs/>
                <w:spacing w:val="-5"/>
              </w:rPr>
              <w:t>实施依据</w:t>
            </w:r>
          </w:p>
        </w:tc>
        <w:tc>
          <w:tcPr>
            <w:tcW w:w="3425" w:type="dxa"/>
            <w:gridSpan w:val="3"/>
            <w:vAlign w:val="top"/>
          </w:tcPr>
          <w:p w14:paraId="6AB7067A">
            <w:pPr>
              <w:pStyle w:val="8"/>
              <w:spacing w:before="85" w:line="220" w:lineRule="auto"/>
              <w:ind w:left="1358"/>
            </w:pPr>
            <w:r>
              <w:rPr>
                <w:b/>
                <w:bCs/>
                <w:spacing w:val="-5"/>
              </w:rPr>
              <w:t>实施主体</w:t>
            </w:r>
          </w:p>
        </w:tc>
      </w:tr>
      <w:tr w14:paraId="581EE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1111F627">
            <w:pPr>
              <w:rPr>
                <w:rFonts w:ascii="Arial"/>
                <w:sz w:val="21"/>
              </w:rPr>
            </w:pPr>
          </w:p>
        </w:tc>
        <w:tc>
          <w:tcPr>
            <w:tcW w:w="1100" w:type="dxa"/>
            <w:vMerge w:val="continue"/>
            <w:tcBorders>
              <w:top w:val="nil"/>
            </w:tcBorders>
            <w:vAlign w:val="top"/>
          </w:tcPr>
          <w:p w14:paraId="25856B95">
            <w:pPr>
              <w:rPr>
                <w:rFonts w:ascii="Arial"/>
                <w:sz w:val="21"/>
              </w:rPr>
            </w:pPr>
          </w:p>
        </w:tc>
        <w:tc>
          <w:tcPr>
            <w:tcW w:w="1100" w:type="dxa"/>
            <w:vMerge w:val="continue"/>
            <w:tcBorders>
              <w:top w:val="nil"/>
            </w:tcBorders>
            <w:vAlign w:val="top"/>
          </w:tcPr>
          <w:p w14:paraId="1072207C">
            <w:pPr>
              <w:rPr>
                <w:rFonts w:ascii="Arial"/>
                <w:sz w:val="21"/>
              </w:rPr>
            </w:pPr>
          </w:p>
        </w:tc>
        <w:tc>
          <w:tcPr>
            <w:tcW w:w="8508" w:type="dxa"/>
            <w:vMerge w:val="continue"/>
            <w:tcBorders>
              <w:top w:val="nil"/>
            </w:tcBorders>
            <w:vAlign w:val="top"/>
          </w:tcPr>
          <w:p w14:paraId="73C2877A">
            <w:pPr>
              <w:rPr>
                <w:rFonts w:ascii="Arial"/>
                <w:sz w:val="21"/>
              </w:rPr>
            </w:pPr>
          </w:p>
        </w:tc>
        <w:tc>
          <w:tcPr>
            <w:tcW w:w="1010" w:type="dxa"/>
            <w:vAlign w:val="top"/>
          </w:tcPr>
          <w:p w14:paraId="3CE39274">
            <w:pPr>
              <w:pStyle w:val="8"/>
              <w:spacing w:before="81" w:line="219" w:lineRule="auto"/>
              <w:ind w:left="155"/>
            </w:pPr>
            <w:r>
              <w:rPr>
                <w:b/>
                <w:bCs/>
                <w:spacing w:val="-5"/>
              </w:rPr>
              <w:t>责任部门</w:t>
            </w:r>
          </w:p>
        </w:tc>
        <w:tc>
          <w:tcPr>
            <w:tcW w:w="1401" w:type="dxa"/>
            <w:vAlign w:val="top"/>
          </w:tcPr>
          <w:p w14:paraId="63DAA659">
            <w:pPr>
              <w:pStyle w:val="8"/>
              <w:spacing w:before="81" w:line="219" w:lineRule="auto"/>
              <w:ind w:left="164"/>
            </w:pPr>
            <w:r>
              <w:rPr>
                <w:b/>
                <w:bCs/>
                <w:spacing w:val="-3"/>
              </w:rPr>
              <w:t>第一责任层级</w:t>
            </w:r>
          </w:p>
        </w:tc>
        <w:tc>
          <w:tcPr>
            <w:tcW w:w="1014" w:type="dxa"/>
            <w:vAlign w:val="top"/>
          </w:tcPr>
          <w:p w14:paraId="34C994AD">
            <w:pPr>
              <w:pStyle w:val="8"/>
              <w:spacing w:before="81" w:line="219" w:lineRule="auto"/>
              <w:ind w:left="150"/>
            </w:pPr>
            <w:r>
              <w:rPr>
                <w:b/>
                <w:bCs/>
                <w:spacing w:val="-4"/>
              </w:rPr>
              <w:t>承办机构</w:t>
            </w:r>
          </w:p>
        </w:tc>
      </w:tr>
      <w:tr w14:paraId="2206A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3" w:hRule="atLeast"/>
        </w:trPr>
        <w:tc>
          <w:tcPr>
            <w:tcW w:w="622" w:type="dxa"/>
            <w:vAlign w:val="top"/>
          </w:tcPr>
          <w:p w14:paraId="297CE9FE">
            <w:pPr>
              <w:spacing w:line="245" w:lineRule="auto"/>
              <w:rPr>
                <w:rFonts w:ascii="Arial"/>
                <w:sz w:val="21"/>
              </w:rPr>
            </w:pPr>
          </w:p>
          <w:p w14:paraId="3029D17C">
            <w:pPr>
              <w:spacing w:line="245" w:lineRule="auto"/>
              <w:rPr>
                <w:rFonts w:ascii="Arial"/>
                <w:sz w:val="21"/>
              </w:rPr>
            </w:pPr>
          </w:p>
          <w:p w14:paraId="6DF4399E">
            <w:pPr>
              <w:spacing w:line="245" w:lineRule="auto"/>
              <w:rPr>
                <w:rFonts w:ascii="Arial"/>
                <w:sz w:val="21"/>
              </w:rPr>
            </w:pPr>
          </w:p>
          <w:p w14:paraId="1A4E974D">
            <w:pPr>
              <w:spacing w:line="246" w:lineRule="auto"/>
              <w:rPr>
                <w:rFonts w:ascii="Arial"/>
                <w:sz w:val="21"/>
              </w:rPr>
            </w:pPr>
          </w:p>
          <w:p w14:paraId="712CAFA9">
            <w:pPr>
              <w:spacing w:line="246" w:lineRule="auto"/>
              <w:rPr>
                <w:rFonts w:ascii="Arial"/>
                <w:sz w:val="21"/>
              </w:rPr>
            </w:pPr>
          </w:p>
          <w:p w14:paraId="5E1D678A">
            <w:pPr>
              <w:spacing w:line="246" w:lineRule="auto"/>
              <w:rPr>
                <w:rFonts w:ascii="Arial"/>
                <w:sz w:val="21"/>
              </w:rPr>
            </w:pPr>
          </w:p>
          <w:p w14:paraId="6EA74D6C">
            <w:pPr>
              <w:spacing w:line="246" w:lineRule="auto"/>
              <w:rPr>
                <w:rFonts w:ascii="Arial"/>
                <w:sz w:val="21"/>
              </w:rPr>
            </w:pPr>
          </w:p>
          <w:p w14:paraId="59EE7A3F">
            <w:pPr>
              <w:spacing w:line="246" w:lineRule="auto"/>
              <w:rPr>
                <w:rFonts w:ascii="Arial"/>
                <w:sz w:val="21"/>
              </w:rPr>
            </w:pPr>
          </w:p>
          <w:p w14:paraId="6862DDDE">
            <w:pPr>
              <w:spacing w:line="246" w:lineRule="auto"/>
              <w:rPr>
                <w:rFonts w:ascii="Arial"/>
                <w:sz w:val="21"/>
              </w:rPr>
            </w:pPr>
          </w:p>
          <w:p w14:paraId="5A49091F">
            <w:pPr>
              <w:spacing w:line="246" w:lineRule="auto"/>
              <w:rPr>
                <w:rFonts w:ascii="Arial"/>
                <w:sz w:val="21"/>
              </w:rPr>
            </w:pPr>
          </w:p>
          <w:p w14:paraId="57A481DD">
            <w:pPr>
              <w:spacing w:line="246" w:lineRule="auto"/>
              <w:rPr>
                <w:rFonts w:ascii="Arial"/>
                <w:sz w:val="21"/>
              </w:rPr>
            </w:pPr>
          </w:p>
          <w:p w14:paraId="5459EF31">
            <w:pPr>
              <w:spacing w:line="246" w:lineRule="auto"/>
              <w:rPr>
                <w:rFonts w:ascii="Arial"/>
                <w:sz w:val="21"/>
              </w:rPr>
            </w:pPr>
          </w:p>
          <w:p w14:paraId="0812EA24">
            <w:pPr>
              <w:spacing w:line="246" w:lineRule="auto"/>
              <w:rPr>
                <w:rFonts w:ascii="Arial"/>
                <w:sz w:val="21"/>
              </w:rPr>
            </w:pPr>
          </w:p>
          <w:p w14:paraId="012FCCC1">
            <w:pPr>
              <w:spacing w:line="246" w:lineRule="auto"/>
              <w:rPr>
                <w:rFonts w:ascii="Arial"/>
                <w:sz w:val="21"/>
              </w:rPr>
            </w:pPr>
          </w:p>
          <w:p w14:paraId="069FF443">
            <w:pPr>
              <w:spacing w:line="246" w:lineRule="auto"/>
              <w:rPr>
                <w:rFonts w:ascii="Arial"/>
                <w:sz w:val="21"/>
              </w:rPr>
            </w:pPr>
          </w:p>
          <w:p w14:paraId="5D00CDFD">
            <w:pPr>
              <w:spacing w:line="246" w:lineRule="auto"/>
              <w:rPr>
                <w:rFonts w:ascii="Arial"/>
                <w:sz w:val="21"/>
              </w:rPr>
            </w:pPr>
          </w:p>
          <w:p w14:paraId="371CEF66">
            <w:pPr>
              <w:spacing w:line="246" w:lineRule="auto"/>
              <w:rPr>
                <w:rFonts w:ascii="Arial"/>
                <w:sz w:val="21"/>
              </w:rPr>
            </w:pPr>
          </w:p>
          <w:p w14:paraId="09CAE3A5">
            <w:pPr>
              <w:pStyle w:val="8"/>
              <w:spacing w:before="58" w:line="184" w:lineRule="auto"/>
              <w:ind w:left="227"/>
            </w:pPr>
            <w:r>
              <w:rPr>
                <w:spacing w:val="-4"/>
              </w:rPr>
              <w:t>61</w:t>
            </w:r>
          </w:p>
        </w:tc>
        <w:tc>
          <w:tcPr>
            <w:tcW w:w="1100" w:type="dxa"/>
            <w:vAlign w:val="top"/>
          </w:tcPr>
          <w:p w14:paraId="4174E5F9">
            <w:pPr>
              <w:spacing w:line="254" w:lineRule="auto"/>
              <w:rPr>
                <w:rFonts w:ascii="Arial"/>
                <w:sz w:val="21"/>
              </w:rPr>
            </w:pPr>
          </w:p>
          <w:p w14:paraId="0848DDE3">
            <w:pPr>
              <w:spacing w:line="254" w:lineRule="auto"/>
              <w:rPr>
                <w:rFonts w:ascii="Arial"/>
                <w:sz w:val="21"/>
              </w:rPr>
            </w:pPr>
          </w:p>
          <w:p w14:paraId="3A6722FE">
            <w:pPr>
              <w:spacing w:line="254" w:lineRule="auto"/>
              <w:rPr>
                <w:rFonts w:ascii="Arial"/>
                <w:sz w:val="21"/>
              </w:rPr>
            </w:pPr>
          </w:p>
          <w:p w14:paraId="11EF0603">
            <w:pPr>
              <w:spacing w:line="254" w:lineRule="auto"/>
              <w:rPr>
                <w:rFonts w:ascii="Arial"/>
                <w:sz w:val="21"/>
              </w:rPr>
            </w:pPr>
          </w:p>
          <w:p w14:paraId="2BBC4AAC">
            <w:pPr>
              <w:spacing w:line="254" w:lineRule="auto"/>
              <w:rPr>
                <w:rFonts w:ascii="Arial"/>
                <w:sz w:val="21"/>
              </w:rPr>
            </w:pPr>
          </w:p>
          <w:p w14:paraId="72E476A8">
            <w:pPr>
              <w:spacing w:line="254" w:lineRule="auto"/>
              <w:rPr>
                <w:rFonts w:ascii="Arial"/>
                <w:sz w:val="21"/>
              </w:rPr>
            </w:pPr>
          </w:p>
          <w:p w14:paraId="4E8CC163">
            <w:pPr>
              <w:spacing w:line="254" w:lineRule="auto"/>
              <w:rPr>
                <w:rFonts w:ascii="Arial"/>
                <w:sz w:val="21"/>
              </w:rPr>
            </w:pPr>
          </w:p>
          <w:p w14:paraId="3958C2AF">
            <w:pPr>
              <w:spacing w:line="254" w:lineRule="auto"/>
              <w:rPr>
                <w:rFonts w:ascii="Arial"/>
                <w:sz w:val="21"/>
              </w:rPr>
            </w:pPr>
          </w:p>
          <w:p w14:paraId="5B0A960F">
            <w:pPr>
              <w:spacing w:line="255" w:lineRule="auto"/>
              <w:rPr>
                <w:rFonts w:ascii="Arial"/>
                <w:sz w:val="21"/>
              </w:rPr>
            </w:pPr>
          </w:p>
          <w:p w14:paraId="6874A0DE">
            <w:pPr>
              <w:spacing w:line="255" w:lineRule="auto"/>
              <w:rPr>
                <w:rFonts w:ascii="Arial"/>
                <w:sz w:val="21"/>
              </w:rPr>
            </w:pPr>
          </w:p>
          <w:p w14:paraId="02AA97DE">
            <w:pPr>
              <w:spacing w:line="255" w:lineRule="auto"/>
              <w:rPr>
                <w:rFonts w:ascii="Arial"/>
                <w:sz w:val="21"/>
              </w:rPr>
            </w:pPr>
          </w:p>
          <w:p w14:paraId="70BC99B5">
            <w:pPr>
              <w:spacing w:line="255" w:lineRule="auto"/>
              <w:rPr>
                <w:rFonts w:ascii="Arial"/>
                <w:sz w:val="21"/>
              </w:rPr>
            </w:pPr>
          </w:p>
          <w:p w14:paraId="7FA3DE5B">
            <w:pPr>
              <w:spacing w:line="255" w:lineRule="auto"/>
              <w:rPr>
                <w:rFonts w:ascii="Arial"/>
                <w:sz w:val="21"/>
              </w:rPr>
            </w:pPr>
          </w:p>
          <w:p w14:paraId="6D5B63EB">
            <w:pPr>
              <w:spacing w:line="255" w:lineRule="auto"/>
              <w:rPr>
                <w:rFonts w:ascii="Arial"/>
                <w:sz w:val="21"/>
              </w:rPr>
            </w:pPr>
          </w:p>
          <w:p w14:paraId="17BCABAF">
            <w:pPr>
              <w:pStyle w:val="8"/>
              <w:spacing w:before="58" w:line="242" w:lineRule="auto"/>
              <w:ind w:left="59" w:right="55"/>
              <w:jc w:val="both"/>
            </w:pPr>
            <w:r>
              <w:rPr>
                <w:spacing w:val="16"/>
              </w:rPr>
              <w:t>对港区内有</w:t>
            </w:r>
            <w:r>
              <w:t xml:space="preserve"> </w:t>
            </w:r>
            <w:r>
              <w:rPr>
                <w:spacing w:val="16"/>
              </w:rPr>
              <w:t>关违法储存</w:t>
            </w:r>
            <w:r>
              <w:t xml:space="preserve"> </w:t>
            </w:r>
            <w:r>
              <w:rPr>
                <w:spacing w:val="16"/>
              </w:rPr>
              <w:t>危险货物的</w:t>
            </w:r>
            <w:r>
              <w:t xml:space="preserve"> </w:t>
            </w:r>
            <w:r>
              <w:rPr>
                <w:spacing w:val="16"/>
              </w:rPr>
              <w:t>场所、危险</w:t>
            </w:r>
            <w:r>
              <w:t xml:space="preserve"> </w:t>
            </w:r>
            <w:r>
              <w:rPr>
                <w:spacing w:val="16"/>
              </w:rPr>
              <w:t>货物的行政</w:t>
            </w:r>
            <w:r>
              <w:t xml:space="preserve"> </w:t>
            </w:r>
            <w:r>
              <w:rPr>
                <w:spacing w:val="-2"/>
              </w:rPr>
              <w:t>强制</w:t>
            </w:r>
          </w:p>
        </w:tc>
        <w:tc>
          <w:tcPr>
            <w:tcW w:w="1100" w:type="dxa"/>
            <w:vAlign w:val="top"/>
          </w:tcPr>
          <w:p w14:paraId="3D659888">
            <w:pPr>
              <w:spacing w:line="244" w:lineRule="auto"/>
              <w:rPr>
                <w:rFonts w:ascii="Arial"/>
                <w:sz w:val="21"/>
              </w:rPr>
            </w:pPr>
          </w:p>
          <w:p w14:paraId="4FFB8746">
            <w:pPr>
              <w:spacing w:line="244" w:lineRule="auto"/>
              <w:rPr>
                <w:rFonts w:ascii="Arial"/>
                <w:sz w:val="21"/>
              </w:rPr>
            </w:pPr>
          </w:p>
          <w:p w14:paraId="012AF89D">
            <w:pPr>
              <w:spacing w:line="244" w:lineRule="auto"/>
              <w:rPr>
                <w:rFonts w:ascii="Arial"/>
                <w:sz w:val="21"/>
              </w:rPr>
            </w:pPr>
          </w:p>
          <w:p w14:paraId="0EDE87DA">
            <w:pPr>
              <w:spacing w:line="244" w:lineRule="auto"/>
              <w:rPr>
                <w:rFonts w:ascii="Arial"/>
                <w:sz w:val="21"/>
              </w:rPr>
            </w:pPr>
          </w:p>
          <w:p w14:paraId="436D89BC">
            <w:pPr>
              <w:spacing w:line="244" w:lineRule="auto"/>
              <w:rPr>
                <w:rFonts w:ascii="Arial"/>
                <w:sz w:val="21"/>
              </w:rPr>
            </w:pPr>
          </w:p>
          <w:p w14:paraId="332E3001">
            <w:pPr>
              <w:spacing w:line="244" w:lineRule="auto"/>
              <w:rPr>
                <w:rFonts w:ascii="Arial"/>
                <w:sz w:val="21"/>
              </w:rPr>
            </w:pPr>
          </w:p>
          <w:p w14:paraId="7AD87F50">
            <w:pPr>
              <w:spacing w:line="244" w:lineRule="auto"/>
              <w:rPr>
                <w:rFonts w:ascii="Arial"/>
                <w:sz w:val="21"/>
              </w:rPr>
            </w:pPr>
          </w:p>
          <w:p w14:paraId="70C5257C">
            <w:pPr>
              <w:spacing w:line="244" w:lineRule="auto"/>
              <w:rPr>
                <w:rFonts w:ascii="Arial"/>
                <w:sz w:val="21"/>
              </w:rPr>
            </w:pPr>
          </w:p>
          <w:p w14:paraId="05B770B8">
            <w:pPr>
              <w:spacing w:line="244" w:lineRule="auto"/>
              <w:rPr>
                <w:rFonts w:ascii="Arial"/>
                <w:sz w:val="21"/>
              </w:rPr>
            </w:pPr>
          </w:p>
          <w:p w14:paraId="5120853B">
            <w:pPr>
              <w:spacing w:line="244" w:lineRule="auto"/>
              <w:rPr>
                <w:rFonts w:ascii="Arial"/>
                <w:sz w:val="21"/>
              </w:rPr>
            </w:pPr>
          </w:p>
          <w:p w14:paraId="0845AB9D">
            <w:pPr>
              <w:spacing w:line="244" w:lineRule="auto"/>
              <w:rPr>
                <w:rFonts w:ascii="Arial"/>
                <w:sz w:val="21"/>
              </w:rPr>
            </w:pPr>
          </w:p>
          <w:p w14:paraId="3A41C2FA">
            <w:pPr>
              <w:spacing w:line="244" w:lineRule="auto"/>
              <w:rPr>
                <w:rFonts w:ascii="Arial"/>
                <w:sz w:val="21"/>
              </w:rPr>
            </w:pPr>
          </w:p>
          <w:p w14:paraId="46FC8F22">
            <w:pPr>
              <w:spacing w:line="244" w:lineRule="auto"/>
              <w:rPr>
                <w:rFonts w:ascii="Arial"/>
                <w:sz w:val="21"/>
              </w:rPr>
            </w:pPr>
          </w:p>
          <w:p w14:paraId="59C77F5F">
            <w:pPr>
              <w:spacing w:line="245" w:lineRule="auto"/>
              <w:rPr>
                <w:rFonts w:ascii="Arial"/>
                <w:sz w:val="21"/>
              </w:rPr>
            </w:pPr>
          </w:p>
          <w:p w14:paraId="2D89E46D">
            <w:pPr>
              <w:spacing w:line="245" w:lineRule="auto"/>
              <w:rPr>
                <w:rFonts w:ascii="Arial"/>
                <w:sz w:val="21"/>
              </w:rPr>
            </w:pPr>
          </w:p>
          <w:p w14:paraId="01D38A43">
            <w:pPr>
              <w:spacing w:line="245" w:lineRule="auto"/>
              <w:rPr>
                <w:rFonts w:ascii="Arial"/>
                <w:sz w:val="21"/>
              </w:rPr>
            </w:pPr>
          </w:p>
          <w:p w14:paraId="0AE3A700">
            <w:pPr>
              <w:spacing w:line="245" w:lineRule="auto"/>
              <w:rPr>
                <w:rFonts w:ascii="Arial"/>
                <w:sz w:val="21"/>
              </w:rPr>
            </w:pPr>
          </w:p>
          <w:p w14:paraId="3F2E807B">
            <w:pPr>
              <w:pStyle w:val="8"/>
              <w:spacing w:before="58" w:line="220" w:lineRule="auto"/>
              <w:ind w:left="112"/>
            </w:pPr>
            <w:r>
              <w:rPr>
                <w:spacing w:val="-2"/>
              </w:rPr>
              <w:t>行政强制</w:t>
            </w:r>
          </w:p>
        </w:tc>
        <w:tc>
          <w:tcPr>
            <w:tcW w:w="8508" w:type="dxa"/>
            <w:vAlign w:val="top"/>
          </w:tcPr>
          <w:p w14:paraId="628E9125">
            <w:pPr>
              <w:pStyle w:val="8"/>
              <w:spacing w:before="197" w:line="219" w:lineRule="auto"/>
              <w:ind w:left="484"/>
            </w:pPr>
            <w:r>
              <w:rPr>
                <w:b/>
                <w:bCs/>
                <w:spacing w:val="-4"/>
              </w:rPr>
              <w:t>1.《中华人民共和国安全生产法》</w:t>
            </w:r>
          </w:p>
          <w:p w14:paraId="0390713A">
            <w:pPr>
              <w:pStyle w:val="8"/>
              <w:spacing w:before="63" w:line="275" w:lineRule="auto"/>
              <w:ind w:left="116" w:right="104" w:firstLine="354"/>
            </w:pPr>
            <w:r>
              <w:t>第三十九条  生产、经营、运输、储存、使用危险物品或者处置废弃危险物品的，由有关主管部门依</w:t>
            </w:r>
            <w:r>
              <w:rPr>
                <w:spacing w:val="6"/>
              </w:rPr>
              <w:t xml:space="preserve"> </w:t>
            </w:r>
            <w:r>
              <w:rPr>
                <w:spacing w:val="-1"/>
              </w:rPr>
              <w:t>照有关法律、法规的规定和国家标准或者行业标准审批并</w:t>
            </w:r>
            <w:r>
              <w:rPr>
                <w:spacing w:val="-2"/>
              </w:rPr>
              <w:t>实施监督管理。</w:t>
            </w:r>
          </w:p>
          <w:p w14:paraId="042EB22E">
            <w:pPr>
              <w:pStyle w:val="8"/>
              <w:spacing w:before="25" w:line="278" w:lineRule="auto"/>
              <w:ind w:left="111" w:right="104" w:firstLine="360"/>
            </w:pPr>
            <w:r>
              <w:t>生产经营单位生产、经营、运输、储存、使用危险</w:t>
            </w:r>
            <w:r>
              <w:rPr>
                <w:spacing w:val="-1"/>
              </w:rPr>
              <w:t>物品或者处置废弃危险物品，必须执行有关法律、</w:t>
            </w:r>
            <w:r>
              <w:t xml:space="preserve"> 法规和国家标准或者行业标准，建立专门的安全管理制度，采取可靠的安全措施，接受有关主管部门依法</w:t>
            </w:r>
            <w:r>
              <w:rPr>
                <w:spacing w:val="5"/>
              </w:rPr>
              <w:t xml:space="preserve"> </w:t>
            </w:r>
            <w:r>
              <w:rPr>
                <w:spacing w:val="-4"/>
              </w:rPr>
              <w:t>实施的监督管理。</w:t>
            </w:r>
          </w:p>
          <w:p w14:paraId="31DEB742">
            <w:pPr>
              <w:pStyle w:val="8"/>
              <w:spacing w:before="28" w:line="281" w:lineRule="auto"/>
              <w:ind w:left="111" w:right="104" w:firstLine="359"/>
              <w:jc w:val="both"/>
            </w:pPr>
            <w:r>
              <w:t>第六十五条第一款第（四）项  应急管理部门和其他负有安全生产监督管理职责的部门依法开展安全</w:t>
            </w:r>
            <w:r>
              <w:rPr>
                <w:spacing w:val="6"/>
              </w:rPr>
              <w:t xml:space="preserve"> </w:t>
            </w:r>
            <w:r>
              <w:t>生产行政执法工作，对生产经营单位执行有关安全生产的法律、法规和国家标准或者行业标准的情况进行</w:t>
            </w:r>
            <w:r>
              <w:rPr>
                <w:spacing w:val="5"/>
              </w:rPr>
              <w:t xml:space="preserve"> </w:t>
            </w:r>
            <w:r>
              <w:t>监督检查，行使以下职权</w:t>
            </w:r>
            <w:r>
              <w:rPr>
                <w:spacing w:val="2"/>
              </w:rPr>
              <w:t>：（</w:t>
            </w:r>
            <w:r>
              <w:t>四）对有根据认为不符合保障安全生产的国家标准或者行业标准的设施、设</w:t>
            </w:r>
            <w:r>
              <w:rPr>
                <w:spacing w:val="1"/>
              </w:rPr>
              <w:t xml:space="preserve"> </w:t>
            </w:r>
            <w:r>
              <w:t>备、器材以及违法生产、储存、使用、经营、运输的危险物品予以查封或者扣押，对违法生产、储存、使</w:t>
            </w:r>
            <w:r>
              <w:rPr>
                <w:spacing w:val="5"/>
              </w:rPr>
              <w:t xml:space="preserve"> </w:t>
            </w:r>
            <w:r>
              <w:rPr>
                <w:spacing w:val="-1"/>
              </w:rPr>
              <w:t>用、经营危险物品的作业场所予以查封，并依法作</w:t>
            </w:r>
            <w:r>
              <w:rPr>
                <w:spacing w:val="-2"/>
              </w:rPr>
              <w:t>出处理决定。</w:t>
            </w:r>
          </w:p>
          <w:p w14:paraId="74B5C25F">
            <w:pPr>
              <w:pStyle w:val="8"/>
              <w:spacing w:before="28" w:line="219" w:lineRule="auto"/>
              <w:ind w:left="473"/>
            </w:pPr>
            <w:r>
              <w:rPr>
                <w:b/>
                <w:bCs/>
                <w:spacing w:val="-3"/>
              </w:rPr>
              <w:t>2.《危险化学品安全管理条例》</w:t>
            </w:r>
          </w:p>
          <w:p w14:paraId="24E153CC">
            <w:pPr>
              <w:pStyle w:val="8"/>
              <w:spacing w:before="65" w:line="281" w:lineRule="auto"/>
              <w:ind w:left="111" w:right="104" w:firstLine="359"/>
              <w:jc w:val="both"/>
            </w:pPr>
            <w:r>
              <w:t>第七条第一款第（四）项  负有危险化学品安全监督管理职责的部门依法进行监督检查，可以采取下</w:t>
            </w:r>
            <w:r>
              <w:rPr>
                <w:spacing w:val="3"/>
              </w:rPr>
              <w:t xml:space="preserve"> </w:t>
            </w:r>
            <w:r>
              <w:t>列措施</w:t>
            </w:r>
            <w:r>
              <w:rPr>
                <w:spacing w:val="2"/>
              </w:rPr>
              <w:t>：（</w:t>
            </w:r>
            <w:r>
              <w:t>四）经本部门主要负责人批准，查封违法生产、储存、使用、经营危险化学品的场所，扣押违</w:t>
            </w:r>
            <w:r>
              <w:rPr>
                <w:spacing w:val="1"/>
              </w:rPr>
              <w:t xml:space="preserve"> </w:t>
            </w:r>
            <w:r>
              <w:t>法生产、储存、使用、经营、运输的危险化学品以及用于违法生产、使用、运输危险化学品的原材料、设</w:t>
            </w:r>
            <w:r>
              <w:rPr>
                <w:spacing w:val="5"/>
              </w:rPr>
              <w:t xml:space="preserve"> </w:t>
            </w:r>
            <w:r>
              <w:rPr>
                <w:spacing w:val="-5"/>
              </w:rPr>
              <w:t>备、运输工具。</w:t>
            </w:r>
          </w:p>
          <w:p w14:paraId="3FEB750D">
            <w:pPr>
              <w:pStyle w:val="8"/>
              <w:spacing w:before="24" w:line="219" w:lineRule="auto"/>
              <w:ind w:left="474"/>
            </w:pPr>
            <w:r>
              <w:rPr>
                <w:b/>
                <w:bCs/>
                <w:spacing w:val="-2"/>
              </w:rPr>
              <w:t>3.《国务院关于特大安全事故行政责任追究的规定》（国务院令第三百零二号）</w:t>
            </w:r>
          </w:p>
          <w:p w14:paraId="581D396C">
            <w:pPr>
              <w:pStyle w:val="8"/>
              <w:spacing w:before="67" w:line="278" w:lineRule="auto"/>
              <w:ind w:left="113" w:right="104" w:firstLine="357"/>
              <w:jc w:val="both"/>
            </w:pPr>
            <w:r>
              <w:t>第十三条第一款  对未依法取得批准，擅自从事有关活动的，负责行政审批的政府部门或者机构发现</w:t>
            </w:r>
            <w:r>
              <w:rPr>
                <w:spacing w:val="6"/>
              </w:rPr>
              <w:t xml:space="preserve"> </w:t>
            </w:r>
            <w:r>
              <w:t>或者接到举报后，应当立即予以查封、取缔，并依法给予行政处罚；属于经营单位的，由工商行政管理部</w:t>
            </w:r>
            <w:r>
              <w:rPr>
                <w:spacing w:val="4"/>
              </w:rPr>
              <w:t xml:space="preserve"> </w:t>
            </w:r>
            <w:r>
              <w:rPr>
                <w:spacing w:val="-3"/>
              </w:rPr>
              <w:t>门依法相应吊销营业执照。</w:t>
            </w:r>
          </w:p>
          <w:p w14:paraId="3A3BF322">
            <w:pPr>
              <w:pStyle w:val="8"/>
              <w:spacing w:before="27" w:line="219" w:lineRule="auto"/>
              <w:ind w:left="470"/>
            </w:pPr>
            <w:r>
              <w:rPr>
                <w:b/>
                <w:bCs/>
                <w:spacing w:val="-3"/>
              </w:rPr>
              <w:t>4.《港口危险货物安全管理规定》（交通运输部令</w:t>
            </w:r>
            <w:r>
              <w:rPr>
                <w:spacing w:val="-28"/>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4B3670E8">
            <w:pPr>
              <w:pStyle w:val="8"/>
              <w:spacing w:before="69" w:line="280" w:lineRule="auto"/>
              <w:ind w:left="111" w:right="104" w:firstLine="360"/>
            </w:pPr>
            <w:r>
              <w:t>第三十八条  危险货物港口经营人不得装卸、储存未按本规定第三十七条规定提交相关资料的危险货</w:t>
            </w:r>
            <w:r>
              <w:rPr>
                <w:spacing w:val="6"/>
              </w:rPr>
              <w:t xml:space="preserve"> </w:t>
            </w:r>
            <w:r>
              <w:t>物。对涉嫌在普通货物中夹带危险货物，或者将危险货物匿报或者谎报为普通货物的，所在地港口行政管</w:t>
            </w:r>
            <w:r>
              <w:rPr>
                <w:spacing w:val="6"/>
              </w:rPr>
              <w:t xml:space="preserve"> </w:t>
            </w:r>
            <w:r>
              <w:t>理部门或者海事管理机构可以依法开拆查验，危险货物港口经营人应当予以配合。港口行政管理部门和海</w:t>
            </w:r>
            <w:r>
              <w:rPr>
                <w:spacing w:val="6"/>
              </w:rPr>
              <w:t xml:space="preserve"> </w:t>
            </w:r>
            <w:r>
              <w:rPr>
                <w:spacing w:val="-2"/>
              </w:rPr>
              <w:t>事管理机构应当将查验情况相互通报，避免重复开拆。</w:t>
            </w:r>
          </w:p>
          <w:p w14:paraId="782D8919">
            <w:pPr>
              <w:pStyle w:val="8"/>
              <w:spacing w:before="25" w:line="275" w:lineRule="auto"/>
              <w:ind w:left="123" w:right="104" w:firstLine="347"/>
            </w:pPr>
            <w:r>
              <w:t>第五十一条第二款  危险货物的储存方式、方法以及储存数量，包括危险货物集装箱直装直取和限时</w:t>
            </w:r>
            <w:r>
              <w:rPr>
                <w:spacing w:val="6"/>
              </w:rPr>
              <w:t xml:space="preserve"> </w:t>
            </w:r>
            <w:r>
              <w:rPr>
                <w:spacing w:val="-2"/>
              </w:rPr>
              <w:t>限量存放，应当符合国家标准、行业标准或者国家有关规定。</w:t>
            </w:r>
          </w:p>
          <w:p w14:paraId="5E8DCBE5">
            <w:pPr>
              <w:pStyle w:val="8"/>
              <w:spacing w:before="26" w:line="272" w:lineRule="auto"/>
              <w:ind w:left="124" w:right="59" w:firstLine="346"/>
            </w:pPr>
            <w:r>
              <w:t>第六十三条第一款第（七）项  所在地港口行政管理部门应当依法对危险货物港口作业和装卸、储存</w:t>
            </w:r>
            <w:r>
              <w:rPr>
                <w:spacing w:val="6"/>
              </w:rPr>
              <w:t xml:space="preserve"> </w:t>
            </w:r>
            <w:r>
              <w:rPr>
                <w:spacing w:val="-3"/>
              </w:rPr>
              <w:t>区域实施监督检查，并明确检查内容、方式、频次以及有关要求等。实施监督检查时，可以行使下列职</w:t>
            </w:r>
            <w:r>
              <w:rPr>
                <w:spacing w:val="-4"/>
              </w:rPr>
              <w:t>权：</w:t>
            </w:r>
          </w:p>
          <w:p w14:paraId="5E693C4B">
            <w:pPr>
              <w:pStyle w:val="8"/>
              <w:spacing w:before="28" w:line="219" w:lineRule="auto"/>
              <w:ind w:left="121"/>
            </w:pPr>
            <w:r>
              <w:rPr>
                <w:spacing w:val="-1"/>
              </w:rPr>
              <w:t>（七）经本部门主要负责人批准，依法查封违法储存危险货物的场所，扣押违法储存的</w:t>
            </w:r>
            <w:r>
              <w:rPr>
                <w:spacing w:val="-2"/>
              </w:rPr>
              <w:t>危险货物。</w:t>
            </w:r>
          </w:p>
        </w:tc>
        <w:tc>
          <w:tcPr>
            <w:tcW w:w="1010" w:type="dxa"/>
            <w:vAlign w:val="top"/>
          </w:tcPr>
          <w:p w14:paraId="6FD1DCDE">
            <w:pPr>
              <w:spacing w:line="252" w:lineRule="auto"/>
              <w:rPr>
                <w:rFonts w:ascii="Arial"/>
                <w:sz w:val="21"/>
              </w:rPr>
            </w:pPr>
          </w:p>
          <w:p w14:paraId="3D687858">
            <w:pPr>
              <w:spacing w:line="252" w:lineRule="auto"/>
              <w:rPr>
                <w:rFonts w:ascii="Arial"/>
                <w:sz w:val="21"/>
              </w:rPr>
            </w:pPr>
          </w:p>
          <w:p w14:paraId="62904F2C">
            <w:pPr>
              <w:spacing w:line="252" w:lineRule="auto"/>
              <w:rPr>
                <w:rFonts w:ascii="Arial"/>
                <w:sz w:val="21"/>
              </w:rPr>
            </w:pPr>
          </w:p>
          <w:p w14:paraId="6348F4F0">
            <w:pPr>
              <w:spacing w:line="252" w:lineRule="auto"/>
              <w:rPr>
                <w:rFonts w:ascii="Arial"/>
                <w:sz w:val="21"/>
              </w:rPr>
            </w:pPr>
          </w:p>
          <w:p w14:paraId="65FD9638">
            <w:pPr>
              <w:spacing w:line="252" w:lineRule="auto"/>
              <w:rPr>
                <w:rFonts w:ascii="Arial"/>
                <w:sz w:val="21"/>
              </w:rPr>
            </w:pPr>
          </w:p>
          <w:p w14:paraId="6A70293B">
            <w:pPr>
              <w:spacing w:line="252" w:lineRule="auto"/>
              <w:rPr>
                <w:rFonts w:ascii="Arial"/>
                <w:sz w:val="21"/>
              </w:rPr>
            </w:pPr>
          </w:p>
          <w:p w14:paraId="1C22BC23">
            <w:pPr>
              <w:spacing w:line="252" w:lineRule="auto"/>
              <w:rPr>
                <w:rFonts w:ascii="Arial"/>
                <w:sz w:val="21"/>
              </w:rPr>
            </w:pPr>
          </w:p>
          <w:p w14:paraId="63A8078A">
            <w:pPr>
              <w:spacing w:line="252" w:lineRule="auto"/>
              <w:rPr>
                <w:rFonts w:ascii="Arial"/>
                <w:sz w:val="21"/>
              </w:rPr>
            </w:pPr>
          </w:p>
          <w:p w14:paraId="1BB1904A">
            <w:pPr>
              <w:spacing w:line="252" w:lineRule="auto"/>
              <w:rPr>
                <w:rFonts w:ascii="Arial"/>
                <w:sz w:val="21"/>
              </w:rPr>
            </w:pPr>
          </w:p>
          <w:p w14:paraId="79BE4E10">
            <w:pPr>
              <w:spacing w:line="253" w:lineRule="auto"/>
              <w:rPr>
                <w:rFonts w:ascii="Arial"/>
                <w:sz w:val="21"/>
              </w:rPr>
            </w:pPr>
          </w:p>
          <w:p w14:paraId="0E9B695C">
            <w:pPr>
              <w:spacing w:line="253" w:lineRule="auto"/>
              <w:rPr>
                <w:rFonts w:ascii="Arial"/>
                <w:sz w:val="21"/>
              </w:rPr>
            </w:pPr>
          </w:p>
          <w:p w14:paraId="3830A192">
            <w:pPr>
              <w:spacing w:line="253" w:lineRule="auto"/>
              <w:rPr>
                <w:rFonts w:ascii="Arial"/>
                <w:sz w:val="21"/>
              </w:rPr>
            </w:pPr>
          </w:p>
          <w:p w14:paraId="623E4F98">
            <w:pPr>
              <w:spacing w:line="253" w:lineRule="auto"/>
              <w:rPr>
                <w:rFonts w:ascii="Arial"/>
                <w:sz w:val="21"/>
              </w:rPr>
            </w:pPr>
          </w:p>
          <w:p w14:paraId="422D5AF1">
            <w:pPr>
              <w:spacing w:line="253" w:lineRule="auto"/>
              <w:rPr>
                <w:rFonts w:ascii="Arial"/>
                <w:sz w:val="21"/>
              </w:rPr>
            </w:pPr>
          </w:p>
          <w:p w14:paraId="36BC184F">
            <w:pPr>
              <w:spacing w:line="253" w:lineRule="auto"/>
              <w:rPr>
                <w:rFonts w:ascii="Arial"/>
                <w:sz w:val="21"/>
              </w:rPr>
            </w:pPr>
          </w:p>
          <w:p w14:paraId="6B5F87C0">
            <w:pPr>
              <w:spacing w:line="253" w:lineRule="auto"/>
              <w:rPr>
                <w:rFonts w:ascii="Arial"/>
                <w:sz w:val="21"/>
              </w:rPr>
            </w:pPr>
          </w:p>
          <w:p w14:paraId="792C8576">
            <w:pPr>
              <w:pStyle w:val="8"/>
              <w:spacing w:before="59" w:line="233" w:lineRule="auto"/>
              <w:ind w:left="151" w:right="142" w:firstLine="2"/>
            </w:pPr>
            <w:r>
              <w:rPr>
                <w:spacing w:val="-3"/>
              </w:rPr>
              <w:t>交通运输</w:t>
            </w:r>
            <w:r>
              <w:t xml:space="preserve"> </w:t>
            </w:r>
            <w:r>
              <w:rPr>
                <w:spacing w:val="-3"/>
              </w:rPr>
              <w:t>主管部门</w:t>
            </w:r>
          </w:p>
        </w:tc>
        <w:tc>
          <w:tcPr>
            <w:tcW w:w="1401" w:type="dxa"/>
            <w:vAlign w:val="top"/>
          </w:tcPr>
          <w:p w14:paraId="40469B1F">
            <w:pPr>
              <w:spacing w:line="252" w:lineRule="auto"/>
              <w:rPr>
                <w:rFonts w:ascii="Arial"/>
                <w:sz w:val="21"/>
              </w:rPr>
            </w:pPr>
          </w:p>
          <w:p w14:paraId="723FF8E7">
            <w:pPr>
              <w:spacing w:line="252" w:lineRule="auto"/>
              <w:rPr>
                <w:rFonts w:ascii="Arial"/>
                <w:sz w:val="21"/>
              </w:rPr>
            </w:pPr>
          </w:p>
          <w:p w14:paraId="57F5A6A2">
            <w:pPr>
              <w:spacing w:line="252" w:lineRule="auto"/>
              <w:rPr>
                <w:rFonts w:ascii="Arial"/>
                <w:sz w:val="21"/>
              </w:rPr>
            </w:pPr>
          </w:p>
          <w:p w14:paraId="07E3EFC6">
            <w:pPr>
              <w:spacing w:line="252" w:lineRule="auto"/>
              <w:rPr>
                <w:rFonts w:ascii="Arial"/>
                <w:sz w:val="21"/>
              </w:rPr>
            </w:pPr>
          </w:p>
          <w:p w14:paraId="5FCAEA6C">
            <w:pPr>
              <w:spacing w:line="252" w:lineRule="auto"/>
              <w:rPr>
                <w:rFonts w:ascii="Arial"/>
                <w:sz w:val="21"/>
              </w:rPr>
            </w:pPr>
          </w:p>
          <w:p w14:paraId="5DA41ADF">
            <w:pPr>
              <w:spacing w:line="252" w:lineRule="auto"/>
              <w:rPr>
                <w:rFonts w:ascii="Arial"/>
                <w:sz w:val="21"/>
              </w:rPr>
            </w:pPr>
          </w:p>
          <w:p w14:paraId="30CB4E0D">
            <w:pPr>
              <w:spacing w:line="252" w:lineRule="auto"/>
              <w:rPr>
                <w:rFonts w:ascii="Arial"/>
                <w:sz w:val="21"/>
              </w:rPr>
            </w:pPr>
          </w:p>
          <w:p w14:paraId="2782F76A">
            <w:pPr>
              <w:spacing w:line="252" w:lineRule="auto"/>
              <w:rPr>
                <w:rFonts w:ascii="Arial"/>
                <w:sz w:val="21"/>
              </w:rPr>
            </w:pPr>
          </w:p>
          <w:p w14:paraId="5CAD7FAA">
            <w:pPr>
              <w:spacing w:line="252" w:lineRule="auto"/>
              <w:rPr>
                <w:rFonts w:ascii="Arial"/>
                <w:sz w:val="21"/>
              </w:rPr>
            </w:pPr>
          </w:p>
          <w:p w14:paraId="0FD61DE5">
            <w:pPr>
              <w:spacing w:line="253" w:lineRule="auto"/>
              <w:rPr>
                <w:rFonts w:ascii="Arial"/>
                <w:sz w:val="21"/>
              </w:rPr>
            </w:pPr>
          </w:p>
          <w:p w14:paraId="6DCF383C">
            <w:pPr>
              <w:spacing w:line="253" w:lineRule="auto"/>
              <w:rPr>
                <w:rFonts w:ascii="Arial"/>
                <w:sz w:val="21"/>
              </w:rPr>
            </w:pPr>
          </w:p>
          <w:p w14:paraId="798864A6">
            <w:pPr>
              <w:spacing w:line="253" w:lineRule="auto"/>
              <w:rPr>
                <w:rFonts w:ascii="Arial"/>
                <w:sz w:val="21"/>
              </w:rPr>
            </w:pPr>
          </w:p>
          <w:p w14:paraId="50A538BA">
            <w:pPr>
              <w:spacing w:line="253" w:lineRule="auto"/>
              <w:rPr>
                <w:rFonts w:ascii="Arial"/>
                <w:sz w:val="21"/>
              </w:rPr>
            </w:pPr>
          </w:p>
          <w:p w14:paraId="2A29C99D">
            <w:pPr>
              <w:spacing w:line="253" w:lineRule="auto"/>
              <w:rPr>
                <w:rFonts w:ascii="Arial"/>
                <w:sz w:val="21"/>
              </w:rPr>
            </w:pPr>
          </w:p>
          <w:p w14:paraId="1DE7CD4E">
            <w:pPr>
              <w:spacing w:line="253" w:lineRule="auto"/>
              <w:rPr>
                <w:rFonts w:ascii="Arial"/>
                <w:sz w:val="21"/>
              </w:rPr>
            </w:pPr>
          </w:p>
          <w:p w14:paraId="1172A28F">
            <w:pPr>
              <w:spacing w:line="253" w:lineRule="auto"/>
              <w:rPr>
                <w:rFonts w:ascii="Arial"/>
                <w:sz w:val="21"/>
              </w:rPr>
            </w:pPr>
          </w:p>
          <w:p w14:paraId="49F3B93C">
            <w:pPr>
              <w:pStyle w:val="8"/>
              <w:spacing w:before="59" w:line="234" w:lineRule="auto"/>
              <w:ind w:left="437" w:right="336" w:hanging="88"/>
              <w:rPr>
                <w:rFonts w:hint="eastAsia" w:eastAsia="宋体"/>
                <w:lang w:eastAsia="zh-CN"/>
              </w:rPr>
            </w:pPr>
            <w:r>
              <w:rPr>
                <w:rFonts w:hint="eastAsia"/>
                <w:spacing w:val="-3"/>
                <w:lang w:eastAsia="zh-CN"/>
              </w:rPr>
              <w:t>津市市交通运输局</w:t>
            </w:r>
          </w:p>
        </w:tc>
        <w:tc>
          <w:tcPr>
            <w:tcW w:w="1014" w:type="dxa"/>
            <w:vAlign w:val="top"/>
          </w:tcPr>
          <w:p w14:paraId="0AC07DC6">
            <w:pPr>
              <w:spacing w:line="245" w:lineRule="auto"/>
              <w:rPr>
                <w:rFonts w:ascii="Arial"/>
                <w:sz w:val="21"/>
              </w:rPr>
            </w:pPr>
          </w:p>
          <w:p w14:paraId="44CF1F11">
            <w:pPr>
              <w:spacing w:line="245" w:lineRule="auto"/>
              <w:rPr>
                <w:rFonts w:ascii="Arial"/>
                <w:sz w:val="21"/>
              </w:rPr>
            </w:pPr>
          </w:p>
          <w:p w14:paraId="055D984C">
            <w:pPr>
              <w:spacing w:line="245" w:lineRule="auto"/>
              <w:rPr>
                <w:rFonts w:ascii="Arial"/>
                <w:sz w:val="21"/>
              </w:rPr>
            </w:pPr>
          </w:p>
          <w:p w14:paraId="41ED9AD5">
            <w:pPr>
              <w:spacing w:line="245" w:lineRule="auto"/>
              <w:rPr>
                <w:rFonts w:ascii="Arial"/>
                <w:sz w:val="21"/>
              </w:rPr>
            </w:pPr>
          </w:p>
          <w:p w14:paraId="6C50F5D1">
            <w:pPr>
              <w:spacing w:line="245" w:lineRule="auto"/>
              <w:rPr>
                <w:rFonts w:ascii="Arial"/>
                <w:sz w:val="21"/>
              </w:rPr>
            </w:pPr>
          </w:p>
          <w:p w14:paraId="6AD915E7">
            <w:pPr>
              <w:spacing w:line="245" w:lineRule="auto"/>
              <w:rPr>
                <w:rFonts w:ascii="Arial"/>
                <w:sz w:val="21"/>
              </w:rPr>
            </w:pPr>
          </w:p>
          <w:p w14:paraId="7094BB69">
            <w:pPr>
              <w:spacing w:line="245" w:lineRule="auto"/>
              <w:rPr>
                <w:rFonts w:ascii="Arial"/>
                <w:sz w:val="21"/>
              </w:rPr>
            </w:pPr>
          </w:p>
          <w:p w14:paraId="715380E5">
            <w:pPr>
              <w:spacing w:line="245" w:lineRule="auto"/>
              <w:rPr>
                <w:rFonts w:ascii="Arial"/>
                <w:sz w:val="21"/>
              </w:rPr>
            </w:pPr>
          </w:p>
          <w:p w14:paraId="6F4933D1">
            <w:pPr>
              <w:spacing w:line="245" w:lineRule="auto"/>
              <w:rPr>
                <w:rFonts w:ascii="Arial"/>
                <w:sz w:val="21"/>
              </w:rPr>
            </w:pPr>
          </w:p>
          <w:p w14:paraId="444C3F1E">
            <w:pPr>
              <w:spacing w:line="245" w:lineRule="auto"/>
              <w:rPr>
                <w:rFonts w:ascii="Arial"/>
                <w:sz w:val="21"/>
              </w:rPr>
            </w:pPr>
          </w:p>
          <w:p w14:paraId="0A359E0F">
            <w:pPr>
              <w:spacing w:line="245" w:lineRule="auto"/>
              <w:rPr>
                <w:rFonts w:ascii="Arial"/>
                <w:sz w:val="21"/>
              </w:rPr>
            </w:pPr>
          </w:p>
          <w:p w14:paraId="0F014114">
            <w:pPr>
              <w:spacing w:line="245" w:lineRule="auto"/>
              <w:rPr>
                <w:rFonts w:ascii="Arial"/>
                <w:sz w:val="21"/>
              </w:rPr>
            </w:pPr>
          </w:p>
          <w:p w14:paraId="0794F661">
            <w:pPr>
              <w:spacing w:line="245" w:lineRule="auto"/>
              <w:rPr>
                <w:rFonts w:ascii="Arial"/>
                <w:sz w:val="21"/>
              </w:rPr>
            </w:pPr>
          </w:p>
          <w:p w14:paraId="301A1CAB">
            <w:pPr>
              <w:spacing w:line="245" w:lineRule="auto"/>
              <w:rPr>
                <w:rFonts w:ascii="Arial"/>
                <w:sz w:val="21"/>
              </w:rPr>
            </w:pPr>
          </w:p>
          <w:p w14:paraId="50E128CC">
            <w:pPr>
              <w:spacing w:line="245" w:lineRule="auto"/>
              <w:rPr>
                <w:rFonts w:ascii="Arial"/>
                <w:sz w:val="21"/>
              </w:rPr>
            </w:pPr>
          </w:p>
          <w:p w14:paraId="0E0B6B75">
            <w:pPr>
              <w:spacing w:line="245" w:lineRule="auto"/>
              <w:rPr>
                <w:rFonts w:ascii="Arial"/>
                <w:sz w:val="21"/>
              </w:rPr>
            </w:pPr>
          </w:p>
          <w:p w14:paraId="5B98E323">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1A421E2F">
      <w:pPr>
        <w:pStyle w:val="2"/>
      </w:pPr>
    </w:p>
    <w:p w14:paraId="309F71C8">
      <w:pPr>
        <w:sectPr>
          <w:footerReference r:id="rId156" w:type="default"/>
          <w:pgSz w:w="16839" w:h="11906"/>
          <w:pgMar w:top="1012" w:right="1034" w:bottom="967" w:left="1043" w:header="0" w:footer="768" w:gutter="0"/>
          <w:cols w:space="720" w:num="1"/>
        </w:sectPr>
      </w:pPr>
    </w:p>
    <w:p w14:paraId="3DC9AC2F">
      <w:pPr>
        <w:spacing w:line="121" w:lineRule="exact"/>
      </w:pPr>
    </w:p>
    <w:tbl>
      <w:tblPr>
        <w:tblStyle w:val="7"/>
        <w:tblW w:w="147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1100"/>
        <w:gridCol w:w="1100"/>
        <w:gridCol w:w="8508"/>
        <w:gridCol w:w="1010"/>
        <w:gridCol w:w="1401"/>
        <w:gridCol w:w="1014"/>
      </w:tblGrid>
      <w:tr w14:paraId="388E1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22" w:type="dxa"/>
            <w:vMerge w:val="restart"/>
            <w:tcBorders>
              <w:bottom w:val="nil"/>
            </w:tcBorders>
            <w:vAlign w:val="top"/>
          </w:tcPr>
          <w:p w14:paraId="45B158EE">
            <w:pPr>
              <w:pStyle w:val="8"/>
              <w:spacing w:before="259" w:line="221" w:lineRule="auto"/>
              <w:ind w:left="134"/>
            </w:pPr>
            <w:r>
              <w:rPr>
                <w:b/>
                <w:bCs/>
                <w:spacing w:val="-4"/>
              </w:rPr>
              <w:t>序号</w:t>
            </w:r>
          </w:p>
        </w:tc>
        <w:tc>
          <w:tcPr>
            <w:tcW w:w="1100" w:type="dxa"/>
            <w:vMerge w:val="restart"/>
            <w:tcBorders>
              <w:bottom w:val="nil"/>
            </w:tcBorders>
            <w:vAlign w:val="top"/>
          </w:tcPr>
          <w:p w14:paraId="5683EDDF">
            <w:pPr>
              <w:pStyle w:val="8"/>
              <w:spacing w:before="260" w:line="220" w:lineRule="auto"/>
              <w:ind w:left="189"/>
            </w:pPr>
            <w:r>
              <w:rPr>
                <w:b/>
                <w:bCs/>
                <w:spacing w:val="-4"/>
              </w:rPr>
              <w:t>事项名称</w:t>
            </w:r>
          </w:p>
        </w:tc>
        <w:tc>
          <w:tcPr>
            <w:tcW w:w="1100" w:type="dxa"/>
            <w:vMerge w:val="restart"/>
            <w:tcBorders>
              <w:bottom w:val="nil"/>
            </w:tcBorders>
            <w:vAlign w:val="top"/>
          </w:tcPr>
          <w:p w14:paraId="519B1982">
            <w:pPr>
              <w:pStyle w:val="8"/>
              <w:spacing w:before="260" w:line="219" w:lineRule="auto"/>
              <w:ind w:left="191"/>
            </w:pPr>
            <w:r>
              <w:rPr>
                <w:b/>
                <w:bCs/>
                <w:spacing w:val="-4"/>
              </w:rPr>
              <w:t>职权类型</w:t>
            </w:r>
          </w:p>
        </w:tc>
        <w:tc>
          <w:tcPr>
            <w:tcW w:w="8508" w:type="dxa"/>
            <w:vMerge w:val="restart"/>
            <w:tcBorders>
              <w:bottom w:val="nil"/>
            </w:tcBorders>
            <w:vAlign w:val="top"/>
          </w:tcPr>
          <w:p w14:paraId="5CD47227">
            <w:pPr>
              <w:pStyle w:val="8"/>
              <w:spacing w:before="259" w:line="219" w:lineRule="auto"/>
              <w:ind w:left="3900"/>
            </w:pPr>
            <w:r>
              <w:rPr>
                <w:b/>
                <w:bCs/>
                <w:spacing w:val="-5"/>
              </w:rPr>
              <w:t>实施依据</w:t>
            </w:r>
          </w:p>
        </w:tc>
        <w:tc>
          <w:tcPr>
            <w:tcW w:w="3425" w:type="dxa"/>
            <w:gridSpan w:val="3"/>
            <w:vAlign w:val="top"/>
          </w:tcPr>
          <w:p w14:paraId="64F03D5E">
            <w:pPr>
              <w:pStyle w:val="8"/>
              <w:spacing w:before="85" w:line="220" w:lineRule="auto"/>
              <w:ind w:left="1358"/>
            </w:pPr>
            <w:r>
              <w:rPr>
                <w:b/>
                <w:bCs/>
                <w:spacing w:val="-5"/>
              </w:rPr>
              <w:t>实施主体</w:t>
            </w:r>
          </w:p>
        </w:tc>
      </w:tr>
      <w:tr w14:paraId="1CCAA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22" w:type="dxa"/>
            <w:vMerge w:val="continue"/>
            <w:tcBorders>
              <w:top w:val="nil"/>
            </w:tcBorders>
            <w:vAlign w:val="top"/>
          </w:tcPr>
          <w:p w14:paraId="79ACC81F">
            <w:pPr>
              <w:rPr>
                <w:rFonts w:ascii="Arial"/>
                <w:sz w:val="21"/>
              </w:rPr>
            </w:pPr>
          </w:p>
        </w:tc>
        <w:tc>
          <w:tcPr>
            <w:tcW w:w="1100" w:type="dxa"/>
            <w:vMerge w:val="continue"/>
            <w:tcBorders>
              <w:top w:val="nil"/>
            </w:tcBorders>
            <w:vAlign w:val="top"/>
          </w:tcPr>
          <w:p w14:paraId="517F7F70">
            <w:pPr>
              <w:rPr>
                <w:rFonts w:ascii="Arial"/>
                <w:sz w:val="21"/>
              </w:rPr>
            </w:pPr>
          </w:p>
        </w:tc>
        <w:tc>
          <w:tcPr>
            <w:tcW w:w="1100" w:type="dxa"/>
            <w:vMerge w:val="continue"/>
            <w:tcBorders>
              <w:top w:val="nil"/>
            </w:tcBorders>
            <w:vAlign w:val="top"/>
          </w:tcPr>
          <w:p w14:paraId="17153869">
            <w:pPr>
              <w:rPr>
                <w:rFonts w:ascii="Arial"/>
                <w:sz w:val="21"/>
              </w:rPr>
            </w:pPr>
          </w:p>
        </w:tc>
        <w:tc>
          <w:tcPr>
            <w:tcW w:w="8508" w:type="dxa"/>
            <w:vMerge w:val="continue"/>
            <w:tcBorders>
              <w:top w:val="nil"/>
            </w:tcBorders>
            <w:vAlign w:val="top"/>
          </w:tcPr>
          <w:p w14:paraId="4F5573AD">
            <w:pPr>
              <w:rPr>
                <w:rFonts w:ascii="Arial"/>
                <w:sz w:val="21"/>
              </w:rPr>
            </w:pPr>
          </w:p>
        </w:tc>
        <w:tc>
          <w:tcPr>
            <w:tcW w:w="1010" w:type="dxa"/>
            <w:vAlign w:val="top"/>
          </w:tcPr>
          <w:p w14:paraId="29BFA425">
            <w:pPr>
              <w:pStyle w:val="8"/>
              <w:spacing w:before="81" w:line="219" w:lineRule="auto"/>
              <w:ind w:left="155"/>
            </w:pPr>
            <w:r>
              <w:rPr>
                <w:b/>
                <w:bCs/>
                <w:spacing w:val="-5"/>
              </w:rPr>
              <w:t>责任部门</w:t>
            </w:r>
          </w:p>
        </w:tc>
        <w:tc>
          <w:tcPr>
            <w:tcW w:w="1401" w:type="dxa"/>
            <w:vAlign w:val="top"/>
          </w:tcPr>
          <w:p w14:paraId="3D098FAC">
            <w:pPr>
              <w:pStyle w:val="8"/>
              <w:spacing w:before="81" w:line="219" w:lineRule="auto"/>
              <w:ind w:left="164"/>
            </w:pPr>
            <w:r>
              <w:rPr>
                <w:b/>
                <w:bCs/>
                <w:spacing w:val="-3"/>
              </w:rPr>
              <w:t>第一责任层级</w:t>
            </w:r>
          </w:p>
        </w:tc>
        <w:tc>
          <w:tcPr>
            <w:tcW w:w="1014" w:type="dxa"/>
            <w:vAlign w:val="top"/>
          </w:tcPr>
          <w:p w14:paraId="1D1FBACC">
            <w:pPr>
              <w:pStyle w:val="8"/>
              <w:spacing w:before="81" w:line="219" w:lineRule="auto"/>
              <w:ind w:left="150"/>
            </w:pPr>
            <w:r>
              <w:rPr>
                <w:b/>
                <w:bCs/>
                <w:spacing w:val="-4"/>
              </w:rPr>
              <w:t>承办机构</w:t>
            </w:r>
          </w:p>
        </w:tc>
      </w:tr>
      <w:tr w14:paraId="6938E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5" w:hRule="atLeast"/>
        </w:trPr>
        <w:tc>
          <w:tcPr>
            <w:tcW w:w="622" w:type="dxa"/>
            <w:vAlign w:val="top"/>
          </w:tcPr>
          <w:p w14:paraId="57BF38AE">
            <w:pPr>
              <w:spacing w:line="252" w:lineRule="auto"/>
              <w:rPr>
                <w:rFonts w:ascii="Arial"/>
                <w:sz w:val="21"/>
              </w:rPr>
            </w:pPr>
          </w:p>
          <w:p w14:paraId="5C1176A3">
            <w:pPr>
              <w:spacing w:line="253" w:lineRule="auto"/>
              <w:rPr>
                <w:rFonts w:ascii="Arial"/>
                <w:sz w:val="21"/>
              </w:rPr>
            </w:pPr>
          </w:p>
          <w:p w14:paraId="755C1D92">
            <w:pPr>
              <w:spacing w:line="253" w:lineRule="auto"/>
              <w:rPr>
                <w:rFonts w:ascii="Arial"/>
                <w:sz w:val="21"/>
              </w:rPr>
            </w:pPr>
          </w:p>
          <w:p w14:paraId="53388AFA">
            <w:pPr>
              <w:spacing w:line="253" w:lineRule="auto"/>
              <w:rPr>
                <w:rFonts w:ascii="Arial"/>
                <w:sz w:val="21"/>
              </w:rPr>
            </w:pPr>
          </w:p>
          <w:p w14:paraId="76479306">
            <w:pPr>
              <w:spacing w:line="253" w:lineRule="auto"/>
              <w:rPr>
                <w:rFonts w:ascii="Arial"/>
                <w:sz w:val="21"/>
              </w:rPr>
            </w:pPr>
          </w:p>
          <w:p w14:paraId="6A4EB7DA">
            <w:pPr>
              <w:spacing w:line="253" w:lineRule="auto"/>
              <w:rPr>
                <w:rFonts w:ascii="Arial"/>
                <w:sz w:val="21"/>
              </w:rPr>
            </w:pPr>
          </w:p>
          <w:p w14:paraId="7ACB0243">
            <w:pPr>
              <w:spacing w:line="253" w:lineRule="auto"/>
              <w:rPr>
                <w:rFonts w:ascii="Arial"/>
                <w:sz w:val="21"/>
              </w:rPr>
            </w:pPr>
          </w:p>
          <w:p w14:paraId="6B82A705">
            <w:pPr>
              <w:spacing w:line="253" w:lineRule="auto"/>
              <w:rPr>
                <w:rFonts w:ascii="Arial"/>
                <w:sz w:val="21"/>
              </w:rPr>
            </w:pPr>
          </w:p>
          <w:p w14:paraId="2FD0D3D3">
            <w:pPr>
              <w:spacing w:line="253" w:lineRule="auto"/>
              <w:rPr>
                <w:rFonts w:ascii="Arial"/>
                <w:sz w:val="21"/>
              </w:rPr>
            </w:pPr>
          </w:p>
          <w:p w14:paraId="4657433F">
            <w:pPr>
              <w:spacing w:line="253" w:lineRule="auto"/>
              <w:rPr>
                <w:rFonts w:ascii="Arial"/>
                <w:sz w:val="21"/>
              </w:rPr>
            </w:pPr>
          </w:p>
          <w:p w14:paraId="7E49C503">
            <w:pPr>
              <w:spacing w:line="253" w:lineRule="auto"/>
              <w:rPr>
                <w:rFonts w:ascii="Arial"/>
                <w:sz w:val="21"/>
              </w:rPr>
            </w:pPr>
          </w:p>
          <w:p w14:paraId="1942F242">
            <w:pPr>
              <w:spacing w:line="253" w:lineRule="auto"/>
              <w:rPr>
                <w:rFonts w:ascii="Arial"/>
                <w:sz w:val="21"/>
              </w:rPr>
            </w:pPr>
          </w:p>
          <w:p w14:paraId="1F9E32BF">
            <w:pPr>
              <w:spacing w:line="253" w:lineRule="auto"/>
              <w:rPr>
                <w:rFonts w:ascii="Arial"/>
                <w:sz w:val="21"/>
              </w:rPr>
            </w:pPr>
          </w:p>
          <w:p w14:paraId="3B05531A">
            <w:pPr>
              <w:spacing w:line="253" w:lineRule="auto"/>
              <w:rPr>
                <w:rFonts w:ascii="Arial"/>
                <w:sz w:val="21"/>
              </w:rPr>
            </w:pPr>
          </w:p>
          <w:p w14:paraId="54BE3276">
            <w:pPr>
              <w:pStyle w:val="8"/>
              <w:spacing w:before="58" w:line="183" w:lineRule="auto"/>
              <w:ind w:left="227"/>
            </w:pPr>
            <w:r>
              <w:rPr>
                <w:spacing w:val="-4"/>
              </w:rPr>
              <w:t>62</w:t>
            </w:r>
          </w:p>
        </w:tc>
        <w:tc>
          <w:tcPr>
            <w:tcW w:w="1100" w:type="dxa"/>
            <w:vAlign w:val="top"/>
          </w:tcPr>
          <w:p w14:paraId="1AC5ABCA">
            <w:pPr>
              <w:spacing w:line="244" w:lineRule="auto"/>
              <w:rPr>
                <w:rFonts w:ascii="Arial"/>
                <w:sz w:val="21"/>
              </w:rPr>
            </w:pPr>
          </w:p>
          <w:p w14:paraId="0607A764">
            <w:pPr>
              <w:spacing w:line="244" w:lineRule="auto"/>
              <w:rPr>
                <w:rFonts w:ascii="Arial"/>
                <w:sz w:val="21"/>
              </w:rPr>
            </w:pPr>
          </w:p>
          <w:p w14:paraId="078D2CAC">
            <w:pPr>
              <w:spacing w:line="244" w:lineRule="auto"/>
              <w:rPr>
                <w:rFonts w:ascii="Arial"/>
                <w:sz w:val="21"/>
              </w:rPr>
            </w:pPr>
          </w:p>
          <w:p w14:paraId="34E23C96">
            <w:pPr>
              <w:spacing w:line="244" w:lineRule="auto"/>
              <w:rPr>
                <w:rFonts w:ascii="Arial"/>
                <w:sz w:val="21"/>
              </w:rPr>
            </w:pPr>
          </w:p>
          <w:p w14:paraId="2B07B826">
            <w:pPr>
              <w:spacing w:line="244" w:lineRule="auto"/>
              <w:rPr>
                <w:rFonts w:ascii="Arial"/>
                <w:sz w:val="21"/>
              </w:rPr>
            </w:pPr>
          </w:p>
          <w:p w14:paraId="2667ED48">
            <w:pPr>
              <w:spacing w:line="244" w:lineRule="auto"/>
              <w:rPr>
                <w:rFonts w:ascii="Arial"/>
                <w:sz w:val="21"/>
              </w:rPr>
            </w:pPr>
          </w:p>
          <w:p w14:paraId="02E230B3">
            <w:pPr>
              <w:spacing w:line="244" w:lineRule="auto"/>
              <w:rPr>
                <w:rFonts w:ascii="Arial"/>
                <w:sz w:val="21"/>
              </w:rPr>
            </w:pPr>
          </w:p>
          <w:p w14:paraId="349A7AB9">
            <w:pPr>
              <w:spacing w:line="244" w:lineRule="auto"/>
              <w:rPr>
                <w:rFonts w:ascii="Arial"/>
                <w:sz w:val="21"/>
              </w:rPr>
            </w:pPr>
          </w:p>
          <w:p w14:paraId="12EDB45D">
            <w:pPr>
              <w:spacing w:line="245" w:lineRule="auto"/>
              <w:rPr>
                <w:rFonts w:ascii="Arial"/>
                <w:sz w:val="21"/>
              </w:rPr>
            </w:pPr>
          </w:p>
          <w:p w14:paraId="0CDBF3F3">
            <w:pPr>
              <w:spacing w:line="245" w:lineRule="auto"/>
              <w:rPr>
                <w:rFonts w:ascii="Arial"/>
                <w:sz w:val="21"/>
              </w:rPr>
            </w:pPr>
          </w:p>
          <w:p w14:paraId="1D1AE8B3">
            <w:pPr>
              <w:pStyle w:val="8"/>
              <w:spacing w:before="58" w:line="244" w:lineRule="auto"/>
              <w:ind w:left="59" w:right="55"/>
              <w:jc w:val="both"/>
            </w:pPr>
            <w:r>
              <w:rPr>
                <w:spacing w:val="16"/>
              </w:rPr>
              <w:t>对危险货物</w:t>
            </w:r>
            <w:r>
              <w:t xml:space="preserve"> </w:t>
            </w:r>
            <w:r>
              <w:rPr>
                <w:spacing w:val="16"/>
              </w:rPr>
              <w:t>港口经营人</w:t>
            </w:r>
            <w:r>
              <w:t xml:space="preserve"> </w:t>
            </w:r>
            <w:r>
              <w:rPr>
                <w:spacing w:val="16"/>
              </w:rPr>
              <w:t>等生产经营</w:t>
            </w:r>
            <w:r>
              <w:t xml:space="preserve"> </w:t>
            </w:r>
            <w:r>
              <w:rPr>
                <w:spacing w:val="16"/>
              </w:rPr>
              <w:t>单位拒不执</w:t>
            </w:r>
            <w:r>
              <w:t xml:space="preserve"> </w:t>
            </w:r>
            <w:r>
              <w:rPr>
                <w:spacing w:val="16"/>
              </w:rPr>
              <w:t>行停产停业</w:t>
            </w:r>
            <w:r>
              <w:t xml:space="preserve"> </w:t>
            </w:r>
            <w:r>
              <w:rPr>
                <w:spacing w:val="5"/>
              </w:rPr>
              <w:t>等决定，</w:t>
            </w:r>
            <w:r>
              <w:rPr>
                <w:spacing w:val="-36"/>
              </w:rPr>
              <w:t xml:space="preserve"> </w:t>
            </w:r>
            <w:r>
              <w:rPr>
                <w:spacing w:val="5"/>
              </w:rPr>
              <w:t>有</w:t>
            </w:r>
            <w:r>
              <w:t xml:space="preserve"> </w:t>
            </w:r>
            <w:r>
              <w:rPr>
                <w:spacing w:val="16"/>
              </w:rPr>
              <w:t>发生生产安</w:t>
            </w:r>
            <w:r>
              <w:t xml:space="preserve"> </w:t>
            </w:r>
            <w:r>
              <w:rPr>
                <w:spacing w:val="16"/>
              </w:rPr>
              <w:t>全事故的现</w:t>
            </w:r>
            <w:r>
              <w:t xml:space="preserve"> </w:t>
            </w:r>
            <w:r>
              <w:rPr>
                <w:spacing w:val="16"/>
              </w:rPr>
              <w:t>实危险的行</w:t>
            </w:r>
            <w:r>
              <w:t xml:space="preserve"> </w:t>
            </w:r>
            <w:r>
              <w:rPr>
                <w:spacing w:val="-2"/>
              </w:rPr>
              <w:t>政强制</w:t>
            </w:r>
          </w:p>
        </w:tc>
        <w:tc>
          <w:tcPr>
            <w:tcW w:w="1100" w:type="dxa"/>
            <w:vAlign w:val="top"/>
          </w:tcPr>
          <w:p w14:paraId="5B471FF2">
            <w:pPr>
              <w:spacing w:line="250" w:lineRule="auto"/>
              <w:rPr>
                <w:rFonts w:ascii="Arial"/>
                <w:sz w:val="21"/>
              </w:rPr>
            </w:pPr>
          </w:p>
          <w:p w14:paraId="01F71386">
            <w:pPr>
              <w:spacing w:line="250" w:lineRule="auto"/>
              <w:rPr>
                <w:rFonts w:ascii="Arial"/>
                <w:sz w:val="21"/>
              </w:rPr>
            </w:pPr>
          </w:p>
          <w:p w14:paraId="4F4825C4">
            <w:pPr>
              <w:spacing w:line="250" w:lineRule="auto"/>
              <w:rPr>
                <w:rFonts w:ascii="Arial"/>
                <w:sz w:val="21"/>
              </w:rPr>
            </w:pPr>
          </w:p>
          <w:p w14:paraId="13B69F37">
            <w:pPr>
              <w:spacing w:line="250" w:lineRule="auto"/>
              <w:rPr>
                <w:rFonts w:ascii="Arial"/>
                <w:sz w:val="21"/>
              </w:rPr>
            </w:pPr>
          </w:p>
          <w:p w14:paraId="33FE866A">
            <w:pPr>
              <w:spacing w:line="251" w:lineRule="auto"/>
              <w:rPr>
                <w:rFonts w:ascii="Arial"/>
                <w:sz w:val="21"/>
              </w:rPr>
            </w:pPr>
          </w:p>
          <w:p w14:paraId="6517DE08">
            <w:pPr>
              <w:spacing w:line="251" w:lineRule="auto"/>
              <w:rPr>
                <w:rFonts w:ascii="Arial"/>
                <w:sz w:val="21"/>
              </w:rPr>
            </w:pPr>
          </w:p>
          <w:p w14:paraId="639F59BC">
            <w:pPr>
              <w:spacing w:line="251" w:lineRule="auto"/>
              <w:rPr>
                <w:rFonts w:ascii="Arial"/>
                <w:sz w:val="21"/>
              </w:rPr>
            </w:pPr>
          </w:p>
          <w:p w14:paraId="791A4B89">
            <w:pPr>
              <w:spacing w:line="251" w:lineRule="auto"/>
              <w:rPr>
                <w:rFonts w:ascii="Arial"/>
                <w:sz w:val="21"/>
              </w:rPr>
            </w:pPr>
          </w:p>
          <w:p w14:paraId="0654EEC5">
            <w:pPr>
              <w:spacing w:line="251" w:lineRule="auto"/>
              <w:rPr>
                <w:rFonts w:ascii="Arial"/>
                <w:sz w:val="21"/>
              </w:rPr>
            </w:pPr>
          </w:p>
          <w:p w14:paraId="5759D78F">
            <w:pPr>
              <w:spacing w:line="251" w:lineRule="auto"/>
              <w:rPr>
                <w:rFonts w:ascii="Arial"/>
                <w:sz w:val="21"/>
              </w:rPr>
            </w:pPr>
          </w:p>
          <w:p w14:paraId="62EBBEE8">
            <w:pPr>
              <w:spacing w:line="251" w:lineRule="auto"/>
              <w:rPr>
                <w:rFonts w:ascii="Arial"/>
                <w:sz w:val="21"/>
              </w:rPr>
            </w:pPr>
          </w:p>
          <w:p w14:paraId="2034BF8A">
            <w:pPr>
              <w:spacing w:line="251" w:lineRule="auto"/>
              <w:rPr>
                <w:rFonts w:ascii="Arial"/>
                <w:sz w:val="21"/>
              </w:rPr>
            </w:pPr>
          </w:p>
          <w:p w14:paraId="68B76A80">
            <w:pPr>
              <w:spacing w:line="251" w:lineRule="auto"/>
              <w:rPr>
                <w:rFonts w:ascii="Arial"/>
                <w:sz w:val="21"/>
              </w:rPr>
            </w:pPr>
          </w:p>
          <w:p w14:paraId="7FB8FF77">
            <w:pPr>
              <w:spacing w:line="251" w:lineRule="auto"/>
              <w:rPr>
                <w:rFonts w:ascii="Arial"/>
                <w:sz w:val="21"/>
              </w:rPr>
            </w:pPr>
          </w:p>
          <w:p w14:paraId="24ED355F">
            <w:pPr>
              <w:pStyle w:val="8"/>
              <w:spacing w:before="58" w:line="220" w:lineRule="auto"/>
              <w:ind w:left="112"/>
            </w:pPr>
            <w:r>
              <w:rPr>
                <w:spacing w:val="-2"/>
              </w:rPr>
              <w:t>行政强制</w:t>
            </w:r>
          </w:p>
        </w:tc>
        <w:tc>
          <w:tcPr>
            <w:tcW w:w="8508" w:type="dxa"/>
            <w:vAlign w:val="top"/>
          </w:tcPr>
          <w:p w14:paraId="19D696F9">
            <w:pPr>
              <w:spacing w:line="300" w:lineRule="auto"/>
              <w:rPr>
                <w:rFonts w:ascii="Arial"/>
                <w:sz w:val="21"/>
              </w:rPr>
            </w:pPr>
          </w:p>
          <w:p w14:paraId="0201072B">
            <w:pPr>
              <w:pStyle w:val="8"/>
              <w:spacing w:before="58" w:line="219" w:lineRule="auto"/>
              <w:ind w:left="484"/>
            </w:pPr>
            <w:r>
              <w:rPr>
                <w:b/>
                <w:bCs/>
                <w:spacing w:val="-4"/>
              </w:rPr>
              <w:t>1.《中华人民共和国安全生产法》</w:t>
            </w:r>
          </w:p>
          <w:p w14:paraId="1C690E19">
            <w:pPr>
              <w:pStyle w:val="8"/>
              <w:spacing w:before="25" w:line="241" w:lineRule="auto"/>
              <w:ind w:left="111" w:right="104" w:firstLine="360"/>
            </w:pPr>
            <w:r>
              <w:t>第六十五条第一款第（三）项  项应急管理部门和其他负有安全生产监督管理职责的部门依法开展安</w:t>
            </w:r>
            <w:r>
              <w:rPr>
                <w:spacing w:val="6"/>
              </w:rPr>
              <w:t xml:space="preserve"> </w:t>
            </w:r>
            <w:r>
              <w:t>全生产行政执法工作，对生产经营单位执行有关安全生产的法律、法规和国家标准或者行业标准的情况进</w:t>
            </w:r>
            <w:r>
              <w:rPr>
                <w:spacing w:val="6"/>
              </w:rPr>
              <w:t xml:space="preserve"> </w:t>
            </w:r>
            <w:r>
              <w:t>行监督检查，行使以下职权</w:t>
            </w:r>
            <w:r>
              <w:rPr>
                <w:spacing w:val="3"/>
              </w:rPr>
              <w:t>：（</w:t>
            </w:r>
            <w:r>
              <w:t>三）对检查中发现的事故隐患，应当责令立即排除；重大事故隐患排除前 或者排除过程中无法保证安全的，应当责令从危险区域内撤出作业人员，责令暂时停产停业或者停止使用</w:t>
            </w:r>
            <w:r>
              <w:rPr>
                <w:spacing w:val="6"/>
              </w:rPr>
              <w:t xml:space="preserve"> </w:t>
            </w:r>
            <w:r>
              <w:rPr>
                <w:spacing w:val="-1"/>
              </w:rPr>
              <w:t>相关设施、设备；重大事故隐患排除后，经审查同意</w:t>
            </w:r>
            <w:r>
              <w:rPr>
                <w:spacing w:val="-2"/>
              </w:rPr>
              <w:t>，方可恢复生产经营和使用；</w:t>
            </w:r>
          </w:p>
          <w:p w14:paraId="1B36881E">
            <w:pPr>
              <w:pStyle w:val="8"/>
              <w:spacing w:before="24" w:line="241" w:lineRule="auto"/>
              <w:ind w:left="110" w:right="104" w:firstLine="360"/>
            </w:pPr>
            <w:r>
              <w:rPr>
                <w:spacing w:val="4"/>
              </w:rPr>
              <w:t>第七十条  负有安全生产监督管理职责的部门依法对存在重大事故隐患的生产经营单位作出停产停</w:t>
            </w:r>
            <w:r>
              <w:rPr>
                <w:spacing w:val="10"/>
              </w:rPr>
              <w:t xml:space="preserve"> </w:t>
            </w:r>
            <w:r>
              <w:t>业、停止施工、停止使用相关设施或者设备的决定，生产经营单位应当依法执行，及时消除事故隐患。生</w:t>
            </w:r>
            <w:r>
              <w:rPr>
                <w:spacing w:val="7"/>
              </w:rPr>
              <w:t xml:space="preserve"> </w:t>
            </w:r>
            <w:r>
              <w:t>产经营单位拒不执行，有发生生产安全事故的现实危险的，在保证安全的前提下，经本部门主要负责人批</w:t>
            </w:r>
            <w:r>
              <w:rPr>
                <w:spacing w:val="7"/>
              </w:rPr>
              <w:t xml:space="preserve"> </w:t>
            </w:r>
            <w:r>
              <w:t>准，负有安全生产监督管理职责的部门可以采取通知有关单位停止供电、停止供应民用爆炸物品等措施，</w:t>
            </w:r>
            <w:r>
              <w:rPr>
                <w:spacing w:val="4"/>
              </w:rPr>
              <w:t xml:space="preserve"> </w:t>
            </w:r>
            <w:r>
              <w:rPr>
                <w:spacing w:val="-1"/>
              </w:rPr>
              <w:t>强制生产经营单位履行决定。通知应当采用书面形式，有关单位应当予以配合。</w:t>
            </w:r>
          </w:p>
          <w:p w14:paraId="7D7A8696">
            <w:pPr>
              <w:pStyle w:val="8"/>
              <w:spacing w:before="27" w:line="237" w:lineRule="auto"/>
              <w:ind w:left="111" w:right="58" w:firstLine="367"/>
            </w:pPr>
            <w:r>
              <w:rPr>
                <w:spacing w:val="-3"/>
              </w:rPr>
              <w:t>负有安全生产监督管理职责的部门依照前款规定采取停止供电措施，除有危及生产安全的紧急情形外，</w:t>
            </w:r>
            <w:r>
              <w:t xml:space="preserve"> </w:t>
            </w:r>
            <w:r>
              <w:rPr>
                <w:spacing w:val="-3"/>
              </w:rPr>
              <w:t>应当提前二十四小时通知生产经营单位。生产经营单位依法履行行政决定、采取相应措施消除事故隐患的，</w:t>
            </w:r>
            <w:r>
              <w:rPr>
                <w:spacing w:val="13"/>
              </w:rPr>
              <w:t xml:space="preserve"> </w:t>
            </w:r>
            <w:r>
              <w:rPr>
                <w:spacing w:val="-1"/>
              </w:rPr>
              <w:t>负有安全生产监督管理职责的部门应当及时解除前款规定</w:t>
            </w:r>
            <w:r>
              <w:rPr>
                <w:spacing w:val="-2"/>
              </w:rPr>
              <w:t>的措施。</w:t>
            </w:r>
          </w:p>
          <w:p w14:paraId="22818A81">
            <w:pPr>
              <w:pStyle w:val="8"/>
              <w:spacing w:before="25" w:line="219" w:lineRule="auto"/>
              <w:ind w:left="473"/>
            </w:pPr>
            <w:r>
              <w:rPr>
                <w:b/>
                <w:bCs/>
                <w:spacing w:val="-3"/>
              </w:rPr>
              <w:t>2.《港口危险货物安全管理规定》（交通运输部令</w:t>
            </w:r>
            <w:r>
              <w:rPr>
                <w:spacing w:val="-31"/>
              </w:rPr>
              <w:t xml:space="preserve"> </w:t>
            </w:r>
            <w:r>
              <w:rPr>
                <w:b/>
                <w:bCs/>
                <w:spacing w:val="-3"/>
              </w:rPr>
              <w:t>2023</w:t>
            </w:r>
            <w:r>
              <w:rPr>
                <w:spacing w:val="-38"/>
              </w:rPr>
              <w:t xml:space="preserve"> </w:t>
            </w:r>
            <w:r>
              <w:rPr>
                <w:b/>
                <w:bCs/>
                <w:spacing w:val="-3"/>
              </w:rPr>
              <w:t>年第</w:t>
            </w:r>
            <w:r>
              <w:rPr>
                <w:spacing w:val="-37"/>
              </w:rPr>
              <w:t xml:space="preserve"> </w:t>
            </w:r>
            <w:r>
              <w:rPr>
                <w:b/>
                <w:bCs/>
                <w:spacing w:val="-3"/>
              </w:rPr>
              <w:t>8</w:t>
            </w:r>
            <w:r>
              <w:rPr>
                <w:spacing w:val="-32"/>
              </w:rPr>
              <w:t xml:space="preserve"> </w:t>
            </w:r>
            <w:r>
              <w:rPr>
                <w:b/>
                <w:bCs/>
                <w:spacing w:val="-3"/>
              </w:rPr>
              <w:t>号）</w:t>
            </w:r>
          </w:p>
          <w:p w14:paraId="27E9CCB7">
            <w:pPr>
              <w:pStyle w:val="8"/>
              <w:spacing w:before="26" w:line="241" w:lineRule="auto"/>
              <w:ind w:left="110" w:right="59" w:firstLine="360"/>
            </w:pPr>
            <w:r>
              <w:t>第六十三条第一款第（四）项  所在地港口行政管理部门应当依法对危险货物港口作业和装卸、储存</w:t>
            </w:r>
            <w:r>
              <w:rPr>
                <w:spacing w:val="6"/>
              </w:rPr>
              <w:t xml:space="preserve"> </w:t>
            </w:r>
            <w:r>
              <w:rPr>
                <w:spacing w:val="-3"/>
              </w:rPr>
              <w:t>区域实施监督检查，并明确检查内容、方式、频次以及有关要求等。实施监督检查时，可以行使下列职权：</w:t>
            </w:r>
            <w:r>
              <w:rPr>
                <w:spacing w:val="12"/>
              </w:rPr>
              <w:t xml:space="preserve"> </w:t>
            </w:r>
            <w:r>
              <w:t>（四）检查中发现事故隐患的，应当责令危险货物港口经营人立即排除；重大事故隐患排除前或者排除过</w:t>
            </w:r>
            <w:r>
              <w:rPr>
                <w:spacing w:val="7"/>
              </w:rPr>
              <w:t xml:space="preserve"> </w:t>
            </w:r>
            <w:r>
              <w:rPr>
                <w:spacing w:val="-3"/>
              </w:rPr>
              <w:t>程中无法保证安全的，应当责令从危险区域内撤出作业人员并暂时停产停业或者停止使用相关设施、设备；</w:t>
            </w:r>
            <w:r>
              <w:rPr>
                <w:spacing w:val="12"/>
              </w:rPr>
              <w:t xml:space="preserve"> </w:t>
            </w:r>
            <w:r>
              <w:rPr>
                <w:spacing w:val="-2"/>
              </w:rPr>
              <w:t>重大事故隐患排除后，经其审查同意，方可恢复作业；</w:t>
            </w:r>
          </w:p>
          <w:p w14:paraId="6A8AA760">
            <w:pPr>
              <w:pStyle w:val="8"/>
              <w:spacing w:before="25" w:line="241" w:lineRule="auto"/>
              <w:ind w:left="113" w:right="104" w:firstLine="357"/>
            </w:pPr>
            <w:r>
              <w:t>第六十四条  有关单位和个人对依法进行的监督检查应当予以配合，不得拒绝、阻碍。港口行政管理</w:t>
            </w:r>
            <w:r>
              <w:rPr>
                <w:spacing w:val="6"/>
              </w:rPr>
              <w:t xml:space="preserve"> </w:t>
            </w:r>
            <w:r>
              <w:t>部门依法对存在重大事故隐患作出停产停业的决定，危</w:t>
            </w:r>
            <w:r>
              <w:rPr>
                <w:spacing w:val="-1"/>
              </w:rPr>
              <w:t>险货物港口经营人应当依法执行，及时消除隐患。</w:t>
            </w:r>
            <w:r>
              <w:t xml:space="preserve"> 危险货物港口经营人拒不执行，有发生生产安全事故的现实危险的，在保证安全的前提下，经本部门主要</w:t>
            </w:r>
            <w:r>
              <w:rPr>
                <w:spacing w:val="4"/>
              </w:rPr>
              <w:t xml:space="preserve"> </w:t>
            </w:r>
            <w:r>
              <w:t>负责人批准，港口行政管理部门可以依法采取通知有关单位停止供电等措施，强制危险货物港口经营人履</w:t>
            </w:r>
            <w:r>
              <w:rPr>
                <w:spacing w:val="4"/>
              </w:rPr>
              <w:t xml:space="preserve"> </w:t>
            </w:r>
            <w:r>
              <w:rPr>
                <w:spacing w:val="-7"/>
              </w:rPr>
              <w:t>行决定。</w:t>
            </w:r>
          </w:p>
          <w:p w14:paraId="04770333">
            <w:pPr>
              <w:pStyle w:val="8"/>
              <w:spacing w:before="26" w:line="237" w:lineRule="auto"/>
              <w:ind w:left="113" w:right="104" w:firstLine="357"/>
              <w:jc w:val="both"/>
            </w:pPr>
            <w:r>
              <w:rPr>
                <w:spacing w:val="3"/>
              </w:rPr>
              <w:t>港口行政管理部门依照前款规定采取停止供电措施，除有危及生产安全的紧急情形外，应当</w:t>
            </w:r>
            <w:r>
              <w:rPr>
                <w:spacing w:val="2"/>
              </w:rPr>
              <w:t>提前</w:t>
            </w:r>
            <w:r>
              <w:rPr>
                <w:spacing w:val="-33"/>
              </w:rPr>
              <w:t xml:space="preserve"> </w:t>
            </w:r>
            <w:r>
              <w:rPr>
                <w:spacing w:val="2"/>
              </w:rPr>
              <w:t>24</w:t>
            </w:r>
            <w:r>
              <w:t xml:space="preserve"> 小时通知危险货物港口经营人。危险货物港口经营人履行决定、采取相应措施消除隐患的，港口行政管理</w:t>
            </w:r>
            <w:r>
              <w:rPr>
                <w:spacing w:val="4"/>
              </w:rPr>
              <w:t xml:space="preserve"> </w:t>
            </w:r>
            <w:r>
              <w:rPr>
                <w:spacing w:val="-3"/>
              </w:rPr>
              <w:t>部门应当及时解除停止供电措施。</w:t>
            </w:r>
          </w:p>
        </w:tc>
        <w:tc>
          <w:tcPr>
            <w:tcW w:w="1010" w:type="dxa"/>
            <w:vAlign w:val="top"/>
          </w:tcPr>
          <w:p w14:paraId="132421A7">
            <w:pPr>
              <w:spacing w:line="242" w:lineRule="auto"/>
              <w:rPr>
                <w:rFonts w:ascii="Arial"/>
                <w:sz w:val="21"/>
              </w:rPr>
            </w:pPr>
          </w:p>
          <w:p w14:paraId="632426E4">
            <w:pPr>
              <w:spacing w:line="242" w:lineRule="auto"/>
              <w:rPr>
                <w:rFonts w:ascii="Arial"/>
                <w:sz w:val="21"/>
              </w:rPr>
            </w:pPr>
          </w:p>
          <w:p w14:paraId="56C76417">
            <w:pPr>
              <w:spacing w:line="243" w:lineRule="auto"/>
              <w:rPr>
                <w:rFonts w:ascii="Arial"/>
                <w:sz w:val="21"/>
              </w:rPr>
            </w:pPr>
          </w:p>
          <w:p w14:paraId="0B367BB9">
            <w:pPr>
              <w:spacing w:line="243" w:lineRule="auto"/>
              <w:rPr>
                <w:rFonts w:ascii="Arial"/>
                <w:sz w:val="21"/>
              </w:rPr>
            </w:pPr>
          </w:p>
          <w:p w14:paraId="408890DE">
            <w:pPr>
              <w:spacing w:line="243" w:lineRule="auto"/>
              <w:rPr>
                <w:rFonts w:ascii="Arial"/>
                <w:sz w:val="21"/>
              </w:rPr>
            </w:pPr>
          </w:p>
          <w:p w14:paraId="57C087C4">
            <w:pPr>
              <w:spacing w:line="243" w:lineRule="auto"/>
              <w:rPr>
                <w:rFonts w:ascii="Arial"/>
                <w:sz w:val="21"/>
              </w:rPr>
            </w:pPr>
          </w:p>
          <w:p w14:paraId="1C4F7571">
            <w:pPr>
              <w:spacing w:line="243" w:lineRule="auto"/>
              <w:rPr>
                <w:rFonts w:ascii="Arial"/>
                <w:sz w:val="21"/>
              </w:rPr>
            </w:pPr>
          </w:p>
          <w:p w14:paraId="19294682">
            <w:pPr>
              <w:spacing w:line="243" w:lineRule="auto"/>
              <w:rPr>
                <w:rFonts w:ascii="Arial"/>
                <w:sz w:val="21"/>
              </w:rPr>
            </w:pPr>
          </w:p>
          <w:p w14:paraId="332822B4">
            <w:pPr>
              <w:spacing w:line="243" w:lineRule="auto"/>
              <w:rPr>
                <w:rFonts w:ascii="Arial"/>
                <w:sz w:val="21"/>
              </w:rPr>
            </w:pPr>
          </w:p>
          <w:p w14:paraId="5E5B3F6A">
            <w:pPr>
              <w:spacing w:line="243" w:lineRule="auto"/>
              <w:rPr>
                <w:rFonts w:ascii="Arial"/>
                <w:sz w:val="21"/>
              </w:rPr>
            </w:pPr>
          </w:p>
          <w:p w14:paraId="434A81D7">
            <w:pPr>
              <w:spacing w:line="243" w:lineRule="auto"/>
              <w:rPr>
                <w:rFonts w:ascii="Arial"/>
                <w:sz w:val="21"/>
              </w:rPr>
            </w:pPr>
          </w:p>
          <w:p w14:paraId="38254BD9">
            <w:pPr>
              <w:spacing w:line="243" w:lineRule="auto"/>
              <w:rPr>
                <w:rFonts w:ascii="Arial"/>
                <w:sz w:val="21"/>
              </w:rPr>
            </w:pPr>
          </w:p>
          <w:p w14:paraId="771D6F4C">
            <w:pPr>
              <w:spacing w:line="243" w:lineRule="auto"/>
              <w:rPr>
                <w:rFonts w:ascii="Arial"/>
                <w:sz w:val="21"/>
              </w:rPr>
            </w:pPr>
          </w:p>
          <w:p w14:paraId="751CB949">
            <w:pPr>
              <w:spacing w:line="243" w:lineRule="auto"/>
              <w:rPr>
                <w:rFonts w:ascii="Arial"/>
                <w:sz w:val="21"/>
              </w:rPr>
            </w:pPr>
          </w:p>
          <w:p w14:paraId="7C8D1013">
            <w:pPr>
              <w:pStyle w:val="8"/>
              <w:spacing w:before="58" w:line="233" w:lineRule="auto"/>
              <w:ind w:left="151" w:right="142" w:firstLine="2"/>
            </w:pPr>
            <w:r>
              <w:rPr>
                <w:spacing w:val="-3"/>
              </w:rPr>
              <w:t>交通运输</w:t>
            </w:r>
            <w:r>
              <w:t xml:space="preserve"> </w:t>
            </w:r>
            <w:r>
              <w:rPr>
                <w:spacing w:val="-3"/>
              </w:rPr>
              <w:t>主管部门</w:t>
            </w:r>
          </w:p>
        </w:tc>
        <w:tc>
          <w:tcPr>
            <w:tcW w:w="1401" w:type="dxa"/>
            <w:vAlign w:val="top"/>
          </w:tcPr>
          <w:p w14:paraId="7AEC0182">
            <w:pPr>
              <w:spacing w:line="242" w:lineRule="auto"/>
              <w:rPr>
                <w:rFonts w:ascii="Arial"/>
                <w:sz w:val="21"/>
              </w:rPr>
            </w:pPr>
          </w:p>
          <w:p w14:paraId="261008B7">
            <w:pPr>
              <w:spacing w:line="242" w:lineRule="auto"/>
              <w:rPr>
                <w:rFonts w:ascii="Arial"/>
                <w:sz w:val="21"/>
              </w:rPr>
            </w:pPr>
          </w:p>
          <w:p w14:paraId="6C2156E3">
            <w:pPr>
              <w:spacing w:line="243" w:lineRule="auto"/>
              <w:rPr>
                <w:rFonts w:ascii="Arial"/>
                <w:sz w:val="21"/>
              </w:rPr>
            </w:pPr>
          </w:p>
          <w:p w14:paraId="14640169">
            <w:pPr>
              <w:spacing w:line="243" w:lineRule="auto"/>
              <w:rPr>
                <w:rFonts w:ascii="Arial"/>
                <w:sz w:val="21"/>
              </w:rPr>
            </w:pPr>
          </w:p>
          <w:p w14:paraId="135208A9">
            <w:pPr>
              <w:spacing w:line="243" w:lineRule="auto"/>
              <w:rPr>
                <w:rFonts w:ascii="Arial"/>
                <w:sz w:val="21"/>
              </w:rPr>
            </w:pPr>
          </w:p>
          <w:p w14:paraId="319870D0">
            <w:pPr>
              <w:spacing w:line="243" w:lineRule="auto"/>
              <w:rPr>
                <w:rFonts w:ascii="Arial"/>
                <w:sz w:val="21"/>
              </w:rPr>
            </w:pPr>
          </w:p>
          <w:p w14:paraId="0F4F8287">
            <w:pPr>
              <w:spacing w:line="243" w:lineRule="auto"/>
              <w:rPr>
                <w:rFonts w:ascii="Arial"/>
                <w:sz w:val="21"/>
              </w:rPr>
            </w:pPr>
          </w:p>
          <w:p w14:paraId="22FB9999">
            <w:pPr>
              <w:spacing w:line="243" w:lineRule="auto"/>
              <w:rPr>
                <w:rFonts w:ascii="Arial"/>
                <w:sz w:val="21"/>
              </w:rPr>
            </w:pPr>
          </w:p>
          <w:p w14:paraId="126D3D98">
            <w:pPr>
              <w:spacing w:line="243" w:lineRule="auto"/>
              <w:rPr>
                <w:rFonts w:ascii="Arial"/>
                <w:sz w:val="21"/>
              </w:rPr>
            </w:pPr>
          </w:p>
          <w:p w14:paraId="7905D3BA">
            <w:pPr>
              <w:spacing w:line="243" w:lineRule="auto"/>
              <w:rPr>
                <w:rFonts w:ascii="Arial"/>
                <w:sz w:val="21"/>
              </w:rPr>
            </w:pPr>
          </w:p>
          <w:p w14:paraId="2DEDD227">
            <w:pPr>
              <w:spacing w:line="243" w:lineRule="auto"/>
              <w:rPr>
                <w:rFonts w:ascii="Arial"/>
                <w:sz w:val="21"/>
              </w:rPr>
            </w:pPr>
          </w:p>
          <w:p w14:paraId="6752185D">
            <w:pPr>
              <w:spacing w:line="243" w:lineRule="auto"/>
              <w:rPr>
                <w:rFonts w:ascii="Arial"/>
                <w:sz w:val="21"/>
              </w:rPr>
            </w:pPr>
          </w:p>
          <w:p w14:paraId="18A31BE8">
            <w:pPr>
              <w:spacing w:line="243" w:lineRule="auto"/>
              <w:rPr>
                <w:rFonts w:ascii="Arial"/>
                <w:sz w:val="21"/>
              </w:rPr>
            </w:pPr>
          </w:p>
          <w:p w14:paraId="02B7AC4E">
            <w:pPr>
              <w:spacing w:line="243" w:lineRule="auto"/>
              <w:rPr>
                <w:rFonts w:ascii="Arial"/>
                <w:sz w:val="21"/>
              </w:rPr>
            </w:pPr>
          </w:p>
          <w:p w14:paraId="5E0071EA">
            <w:pPr>
              <w:pStyle w:val="8"/>
              <w:spacing w:before="59" w:line="234" w:lineRule="auto"/>
              <w:ind w:left="437" w:right="336" w:hanging="88"/>
              <w:rPr>
                <w:rFonts w:hint="eastAsia" w:eastAsia="宋体"/>
                <w:lang w:eastAsia="zh-CN"/>
              </w:rPr>
            </w:pPr>
            <w:r>
              <w:rPr>
                <w:rFonts w:hint="eastAsia"/>
                <w:spacing w:val="-3"/>
                <w:lang w:eastAsia="zh-CN"/>
              </w:rPr>
              <w:t>津市市交通运输局</w:t>
            </w:r>
          </w:p>
        </w:tc>
        <w:tc>
          <w:tcPr>
            <w:tcW w:w="1014" w:type="dxa"/>
            <w:vAlign w:val="top"/>
          </w:tcPr>
          <w:p w14:paraId="233BEBAC">
            <w:pPr>
              <w:spacing w:line="252" w:lineRule="auto"/>
              <w:rPr>
                <w:rFonts w:ascii="Arial"/>
                <w:sz w:val="21"/>
              </w:rPr>
            </w:pPr>
          </w:p>
          <w:p w14:paraId="4C4DFFC7">
            <w:pPr>
              <w:spacing w:line="252" w:lineRule="auto"/>
              <w:rPr>
                <w:rFonts w:ascii="Arial"/>
                <w:sz w:val="21"/>
              </w:rPr>
            </w:pPr>
          </w:p>
          <w:p w14:paraId="570584FF">
            <w:pPr>
              <w:spacing w:line="252" w:lineRule="auto"/>
              <w:rPr>
                <w:rFonts w:ascii="Arial"/>
                <w:sz w:val="21"/>
              </w:rPr>
            </w:pPr>
          </w:p>
          <w:p w14:paraId="186CE683">
            <w:pPr>
              <w:spacing w:line="252" w:lineRule="auto"/>
              <w:rPr>
                <w:rFonts w:ascii="Arial"/>
                <w:sz w:val="21"/>
              </w:rPr>
            </w:pPr>
          </w:p>
          <w:p w14:paraId="2C22D78C">
            <w:pPr>
              <w:spacing w:line="252" w:lineRule="auto"/>
              <w:rPr>
                <w:rFonts w:ascii="Arial"/>
                <w:sz w:val="21"/>
              </w:rPr>
            </w:pPr>
          </w:p>
          <w:p w14:paraId="0410B825">
            <w:pPr>
              <w:spacing w:line="252" w:lineRule="auto"/>
              <w:rPr>
                <w:rFonts w:ascii="Arial"/>
                <w:sz w:val="21"/>
              </w:rPr>
            </w:pPr>
          </w:p>
          <w:p w14:paraId="5BDDBADC">
            <w:pPr>
              <w:spacing w:line="252" w:lineRule="auto"/>
              <w:rPr>
                <w:rFonts w:ascii="Arial"/>
                <w:sz w:val="21"/>
              </w:rPr>
            </w:pPr>
          </w:p>
          <w:p w14:paraId="4CF53A34">
            <w:pPr>
              <w:spacing w:line="252" w:lineRule="auto"/>
              <w:rPr>
                <w:rFonts w:ascii="Arial"/>
                <w:sz w:val="21"/>
              </w:rPr>
            </w:pPr>
          </w:p>
          <w:p w14:paraId="6CFC5483">
            <w:pPr>
              <w:spacing w:line="253" w:lineRule="auto"/>
              <w:rPr>
                <w:rFonts w:ascii="Arial"/>
                <w:sz w:val="21"/>
              </w:rPr>
            </w:pPr>
          </w:p>
          <w:p w14:paraId="6313D899">
            <w:pPr>
              <w:spacing w:line="253" w:lineRule="auto"/>
              <w:rPr>
                <w:rFonts w:ascii="Arial"/>
                <w:sz w:val="21"/>
              </w:rPr>
            </w:pPr>
          </w:p>
          <w:p w14:paraId="655437E7">
            <w:pPr>
              <w:spacing w:line="253" w:lineRule="auto"/>
              <w:rPr>
                <w:rFonts w:ascii="Arial"/>
                <w:sz w:val="21"/>
              </w:rPr>
            </w:pPr>
          </w:p>
          <w:p w14:paraId="11B80476">
            <w:pPr>
              <w:spacing w:line="253" w:lineRule="auto"/>
              <w:rPr>
                <w:rFonts w:ascii="Arial"/>
                <w:sz w:val="21"/>
              </w:rPr>
            </w:pPr>
          </w:p>
          <w:p w14:paraId="58AF8F63">
            <w:pPr>
              <w:spacing w:line="253" w:lineRule="auto"/>
              <w:rPr>
                <w:rFonts w:ascii="Arial"/>
                <w:sz w:val="21"/>
              </w:rPr>
            </w:pPr>
          </w:p>
          <w:p w14:paraId="09B47B2F">
            <w:pPr>
              <w:pStyle w:val="8"/>
              <w:spacing w:before="59" w:line="237" w:lineRule="auto"/>
              <w:ind w:left="62" w:right="54" w:firstLine="21"/>
              <w:jc w:val="both"/>
              <w:rPr>
                <w:rFonts w:hint="eastAsia" w:eastAsia="宋体"/>
                <w:lang w:eastAsia="zh-CN"/>
              </w:rPr>
            </w:pPr>
            <w:r>
              <w:rPr>
                <w:rFonts w:hint="eastAsia"/>
                <w:spacing w:val="-6"/>
                <w:lang w:eastAsia="zh-CN"/>
              </w:rPr>
              <w:t>津市市交通运输综合行政执法大队</w:t>
            </w:r>
          </w:p>
        </w:tc>
      </w:tr>
    </w:tbl>
    <w:p w14:paraId="36FB4BB8">
      <w:pPr>
        <w:pStyle w:val="2"/>
      </w:pPr>
    </w:p>
    <w:p w14:paraId="3B4D80E8">
      <w:pPr>
        <w:sectPr>
          <w:footerReference r:id="rId157" w:type="default"/>
          <w:pgSz w:w="16839" w:h="11906"/>
          <w:pgMar w:top="1012" w:right="1034" w:bottom="967" w:left="1043" w:header="0" w:footer="768" w:gutter="0"/>
          <w:cols w:space="720" w:num="1"/>
        </w:sectPr>
      </w:pPr>
    </w:p>
    <w:p w14:paraId="2A6107BA"/>
    <w:p w14:paraId="65163CDD">
      <w:pPr>
        <w:spacing w:before="197" w:line="228" w:lineRule="auto"/>
        <w:ind w:left="2918"/>
        <w:outlineLvl w:val="0"/>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spacing w:val="15"/>
          <w:sz w:val="31"/>
          <w:szCs w:val="31"/>
          <w:lang w:eastAsia="zh-CN"/>
        </w:rPr>
        <w:t>津市市</w:t>
      </w:r>
      <w:r>
        <w:rPr>
          <w:rFonts w:ascii="方正小标宋简体" w:hAnsi="方正小标宋简体" w:eastAsia="方正小标宋简体" w:cs="方正小标宋简体"/>
          <w:spacing w:val="15"/>
          <w:sz w:val="31"/>
          <w:szCs w:val="31"/>
        </w:rPr>
        <w:t>交通运输综合行政执法事项指导目录（航道管理  22</w:t>
      </w:r>
      <w:r>
        <w:rPr>
          <w:rFonts w:ascii="方正小标宋简体" w:hAnsi="方正小标宋简体" w:eastAsia="方正小标宋简体" w:cs="方正小标宋简体"/>
          <w:spacing w:val="43"/>
          <w:sz w:val="31"/>
          <w:szCs w:val="31"/>
        </w:rPr>
        <w:t xml:space="preserve"> </w:t>
      </w:r>
      <w:r>
        <w:rPr>
          <w:rFonts w:ascii="方正小标宋简体" w:hAnsi="方正小标宋简体" w:eastAsia="方正小标宋简体" w:cs="方正小标宋简体"/>
          <w:spacing w:val="15"/>
          <w:sz w:val="31"/>
          <w:szCs w:val="31"/>
        </w:rPr>
        <w:t>项）</w:t>
      </w: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0C3C8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397C6474">
            <w:pPr>
              <w:pStyle w:val="8"/>
              <w:spacing w:before="198" w:line="221" w:lineRule="auto"/>
              <w:ind w:left="138"/>
            </w:pPr>
            <w:r>
              <w:rPr>
                <w:b/>
                <w:bCs/>
                <w:spacing w:val="-6"/>
              </w:rPr>
              <w:t>序号</w:t>
            </w:r>
          </w:p>
        </w:tc>
        <w:tc>
          <w:tcPr>
            <w:tcW w:w="1110" w:type="dxa"/>
            <w:vMerge w:val="restart"/>
            <w:tcBorders>
              <w:bottom w:val="nil"/>
            </w:tcBorders>
            <w:vAlign w:val="top"/>
          </w:tcPr>
          <w:p w14:paraId="4977C35A">
            <w:pPr>
              <w:pStyle w:val="8"/>
              <w:spacing w:before="198" w:line="220" w:lineRule="auto"/>
              <w:ind w:left="204"/>
            </w:pPr>
            <w:r>
              <w:rPr>
                <w:b/>
                <w:bCs/>
                <w:spacing w:val="-6"/>
              </w:rPr>
              <w:t>事项名称</w:t>
            </w:r>
          </w:p>
        </w:tc>
        <w:tc>
          <w:tcPr>
            <w:tcW w:w="1111" w:type="dxa"/>
            <w:vMerge w:val="restart"/>
            <w:tcBorders>
              <w:bottom w:val="nil"/>
            </w:tcBorders>
            <w:vAlign w:val="top"/>
          </w:tcPr>
          <w:p w14:paraId="756852A6">
            <w:pPr>
              <w:pStyle w:val="8"/>
              <w:spacing w:before="198" w:line="219" w:lineRule="auto"/>
              <w:ind w:left="205"/>
            </w:pPr>
            <w:r>
              <w:rPr>
                <w:b/>
                <w:bCs/>
                <w:spacing w:val="-6"/>
              </w:rPr>
              <w:t>职权类型</w:t>
            </w:r>
          </w:p>
        </w:tc>
        <w:tc>
          <w:tcPr>
            <w:tcW w:w="8613" w:type="dxa"/>
            <w:vMerge w:val="restart"/>
            <w:tcBorders>
              <w:bottom w:val="nil"/>
            </w:tcBorders>
            <w:vAlign w:val="top"/>
          </w:tcPr>
          <w:p w14:paraId="3B76D235">
            <w:pPr>
              <w:pStyle w:val="8"/>
              <w:spacing w:before="198" w:line="219" w:lineRule="auto"/>
              <w:ind w:left="3963"/>
            </w:pPr>
            <w:r>
              <w:rPr>
                <w:b/>
                <w:bCs/>
                <w:spacing w:val="-8"/>
              </w:rPr>
              <w:t>实施依据</w:t>
            </w:r>
          </w:p>
        </w:tc>
        <w:tc>
          <w:tcPr>
            <w:tcW w:w="3458" w:type="dxa"/>
            <w:gridSpan w:val="3"/>
            <w:vAlign w:val="top"/>
          </w:tcPr>
          <w:p w14:paraId="4B5B6A09">
            <w:pPr>
              <w:pStyle w:val="8"/>
              <w:spacing w:before="37" w:line="199" w:lineRule="auto"/>
              <w:ind w:left="1376"/>
            </w:pPr>
            <w:r>
              <w:rPr>
                <w:b/>
                <w:bCs/>
                <w:spacing w:val="-5"/>
              </w:rPr>
              <w:t>实施主体</w:t>
            </w:r>
          </w:p>
        </w:tc>
      </w:tr>
      <w:tr w14:paraId="54640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26" w:type="dxa"/>
            <w:vMerge w:val="continue"/>
            <w:tcBorders>
              <w:top w:val="nil"/>
            </w:tcBorders>
            <w:vAlign w:val="top"/>
          </w:tcPr>
          <w:p w14:paraId="26AB4509">
            <w:pPr>
              <w:rPr>
                <w:rFonts w:ascii="Arial"/>
                <w:sz w:val="21"/>
              </w:rPr>
            </w:pPr>
          </w:p>
        </w:tc>
        <w:tc>
          <w:tcPr>
            <w:tcW w:w="1110" w:type="dxa"/>
            <w:vMerge w:val="continue"/>
            <w:tcBorders>
              <w:top w:val="nil"/>
            </w:tcBorders>
            <w:vAlign w:val="top"/>
          </w:tcPr>
          <w:p w14:paraId="005F6954">
            <w:pPr>
              <w:rPr>
                <w:rFonts w:ascii="Arial"/>
                <w:sz w:val="21"/>
              </w:rPr>
            </w:pPr>
          </w:p>
        </w:tc>
        <w:tc>
          <w:tcPr>
            <w:tcW w:w="1111" w:type="dxa"/>
            <w:vMerge w:val="continue"/>
            <w:tcBorders>
              <w:top w:val="nil"/>
            </w:tcBorders>
            <w:vAlign w:val="top"/>
          </w:tcPr>
          <w:p w14:paraId="140E6797">
            <w:pPr>
              <w:rPr>
                <w:rFonts w:ascii="Arial"/>
                <w:sz w:val="21"/>
              </w:rPr>
            </w:pPr>
          </w:p>
        </w:tc>
        <w:tc>
          <w:tcPr>
            <w:tcW w:w="8613" w:type="dxa"/>
            <w:vMerge w:val="continue"/>
            <w:tcBorders>
              <w:top w:val="nil"/>
            </w:tcBorders>
            <w:vAlign w:val="top"/>
          </w:tcPr>
          <w:p w14:paraId="45421CBE">
            <w:pPr>
              <w:rPr>
                <w:rFonts w:ascii="Arial"/>
                <w:sz w:val="21"/>
              </w:rPr>
            </w:pPr>
          </w:p>
        </w:tc>
        <w:tc>
          <w:tcPr>
            <w:tcW w:w="1020" w:type="dxa"/>
            <w:vAlign w:val="top"/>
          </w:tcPr>
          <w:p w14:paraId="4DFDFB70">
            <w:pPr>
              <w:pStyle w:val="8"/>
              <w:spacing w:before="76" w:line="219" w:lineRule="auto"/>
              <w:ind w:left="161"/>
            </w:pPr>
            <w:r>
              <w:rPr>
                <w:b/>
                <w:bCs/>
                <w:spacing w:val="-5"/>
              </w:rPr>
              <w:t>责任主体</w:t>
            </w:r>
          </w:p>
        </w:tc>
        <w:tc>
          <w:tcPr>
            <w:tcW w:w="1416" w:type="dxa"/>
            <w:vAlign w:val="top"/>
          </w:tcPr>
          <w:p w14:paraId="63004774">
            <w:pPr>
              <w:pStyle w:val="8"/>
              <w:spacing w:before="76" w:line="219" w:lineRule="auto"/>
              <w:ind w:left="172"/>
            </w:pPr>
            <w:r>
              <w:rPr>
                <w:b/>
                <w:bCs/>
                <w:spacing w:val="-3"/>
              </w:rPr>
              <w:t>第一责任层级</w:t>
            </w:r>
          </w:p>
        </w:tc>
        <w:tc>
          <w:tcPr>
            <w:tcW w:w="1022" w:type="dxa"/>
            <w:vAlign w:val="top"/>
          </w:tcPr>
          <w:p w14:paraId="7545EB23">
            <w:pPr>
              <w:pStyle w:val="8"/>
              <w:spacing w:before="76" w:line="219" w:lineRule="auto"/>
              <w:ind w:left="155"/>
            </w:pPr>
            <w:r>
              <w:rPr>
                <w:b/>
                <w:bCs/>
                <w:spacing w:val="-4"/>
              </w:rPr>
              <w:t>承办机构</w:t>
            </w:r>
          </w:p>
        </w:tc>
      </w:tr>
      <w:tr w14:paraId="67BCC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8" w:hRule="atLeast"/>
        </w:trPr>
        <w:tc>
          <w:tcPr>
            <w:tcW w:w="626" w:type="dxa"/>
            <w:vAlign w:val="top"/>
          </w:tcPr>
          <w:p w14:paraId="46A67E64">
            <w:pPr>
              <w:spacing w:line="258" w:lineRule="auto"/>
              <w:rPr>
                <w:rFonts w:ascii="Arial"/>
                <w:sz w:val="21"/>
              </w:rPr>
            </w:pPr>
          </w:p>
          <w:p w14:paraId="6C4D9603">
            <w:pPr>
              <w:spacing w:line="258" w:lineRule="auto"/>
              <w:rPr>
                <w:rFonts w:ascii="Arial"/>
                <w:sz w:val="21"/>
              </w:rPr>
            </w:pPr>
          </w:p>
          <w:p w14:paraId="6F084F00">
            <w:pPr>
              <w:spacing w:line="258" w:lineRule="auto"/>
              <w:rPr>
                <w:rFonts w:ascii="Arial"/>
                <w:sz w:val="21"/>
              </w:rPr>
            </w:pPr>
          </w:p>
          <w:p w14:paraId="639DB964">
            <w:pPr>
              <w:spacing w:line="258" w:lineRule="auto"/>
              <w:rPr>
                <w:rFonts w:ascii="Arial"/>
                <w:sz w:val="21"/>
              </w:rPr>
            </w:pPr>
          </w:p>
          <w:p w14:paraId="2DCD4F8F">
            <w:pPr>
              <w:spacing w:line="259" w:lineRule="auto"/>
              <w:rPr>
                <w:rFonts w:ascii="Arial"/>
                <w:sz w:val="21"/>
              </w:rPr>
            </w:pPr>
          </w:p>
          <w:p w14:paraId="13B50985">
            <w:pPr>
              <w:pStyle w:val="8"/>
              <w:spacing w:before="59" w:line="184" w:lineRule="auto"/>
              <w:ind w:left="284"/>
            </w:pPr>
            <w:r>
              <w:t>1</w:t>
            </w:r>
          </w:p>
        </w:tc>
        <w:tc>
          <w:tcPr>
            <w:tcW w:w="1110" w:type="dxa"/>
            <w:vAlign w:val="top"/>
          </w:tcPr>
          <w:p w14:paraId="7FBED742">
            <w:pPr>
              <w:spacing w:line="345" w:lineRule="auto"/>
              <w:rPr>
                <w:rFonts w:ascii="Arial"/>
                <w:sz w:val="21"/>
              </w:rPr>
            </w:pPr>
          </w:p>
          <w:p w14:paraId="35A7BF0B">
            <w:pPr>
              <w:spacing w:line="345" w:lineRule="auto"/>
              <w:rPr>
                <w:rFonts w:ascii="Arial"/>
                <w:sz w:val="21"/>
              </w:rPr>
            </w:pPr>
          </w:p>
          <w:p w14:paraId="3E25B3BF">
            <w:pPr>
              <w:pStyle w:val="8"/>
              <w:spacing w:before="59" w:line="242" w:lineRule="auto"/>
              <w:ind w:left="113" w:right="108"/>
              <w:jc w:val="both"/>
            </w:pPr>
            <w:r>
              <w:rPr>
                <w:spacing w:val="-4"/>
              </w:rPr>
              <w:t>对未依法报</w:t>
            </w:r>
            <w:r>
              <w:t xml:space="preserve"> </w:t>
            </w:r>
            <w:r>
              <w:rPr>
                <w:spacing w:val="-4"/>
              </w:rPr>
              <w:t>送航道通航</w:t>
            </w:r>
            <w:r>
              <w:rPr>
                <w:spacing w:val="1"/>
              </w:rPr>
              <w:t xml:space="preserve"> </w:t>
            </w:r>
            <w:r>
              <w:rPr>
                <w:spacing w:val="-4"/>
              </w:rPr>
              <w:t>条件影响评</w:t>
            </w:r>
            <w:r>
              <w:rPr>
                <w:spacing w:val="1"/>
              </w:rPr>
              <w:t xml:space="preserve"> </w:t>
            </w:r>
            <w:r>
              <w:rPr>
                <w:spacing w:val="-4"/>
              </w:rPr>
              <w:t>价材料而开</w:t>
            </w:r>
            <w:r>
              <w:rPr>
                <w:spacing w:val="1"/>
              </w:rPr>
              <w:t xml:space="preserve"> </w:t>
            </w:r>
            <w:r>
              <w:rPr>
                <w:spacing w:val="-4"/>
              </w:rPr>
              <w:t>工建设行为</w:t>
            </w:r>
            <w:r>
              <w:rPr>
                <w:spacing w:val="1"/>
              </w:rPr>
              <w:t xml:space="preserve"> </w:t>
            </w:r>
            <w:r>
              <w:rPr>
                <w:spacing w:val="-5"/>
              </w:rPr>
              <w:t>的行政处罚</w:t>
            </w:r>
          </w:p>
        </w:tc>
        <w:tc>
          <w:tcPr>
            <w:tcW w:w="1111" w:type="dxa"/>
            <w:vAlign w:val="top"/>
          </w:tcPr>
          <w:p w14:paraId="5129BF4D">
            <w:pPr>
              <w:spacing w:line="254" w:lineRule="auto"/>
              <w:rPr>
                <w:rFonts w:ascii="Arial"/>
                <w:sz w:val="21"/>
              </w:rPr>
            </w:pPr>
          </w:p>
          <w:p w14:paraId="503B80FB">
            <w:pPr>
              <w:spacing w:line="254" w:lineRule="auto"/>
              <w:rPr>
                <w:rFonts w:ascii="Arial"/>
                <w:sz w:val="21"/>
              </w:rPr>
            </w:pPr>
          </w:p>
          <w:p w14:paraId="6CFC2B3E">
            <w:pPr>
              <w:spacing w:line="255" w:lineRule="auto"/>
              <w:rPr>
                <w:rFonts w:ascii="Arial"/>
                <w:sz w:val="21"/>
              </w:rPr>
            </w:pPr>
          </w:p>
          <w:p w14:paraId="5C16CEC5">
            <w:pPr>
              <w:spacing w:line="255" w:lineRule="auto"/>
              <w:rPr>
                <w:rFonts w:ascii="Arial"/>
                <w:sz w:val="21"/>
              </w:rPr>
            </w:pPr>
          </w:p>
          <w:p w14:paraId="50E28A06">
            <w:pPr>
              <w:spacing w:line="255" w:lineRule="auto"/>
              <w:rPr>
                <w:rFonts w:ascii="Arial"/>
                <w:sz w:val="21"/>
              </w:rPr>
            </w:pPr>
          </w:p>
          <w:p w14:paraId="1A1F494C">
            <w:pPr>
              <w:pStyle w:val="8"/>
              <w:spacing w:before="59" w:line="220" w:lineRule="auto"/>
              <w:ind w:left="8"/>
            </w:pPr>
            <w:r>
              <w:rPr>
                <w:spacing w:val="-4"/>
              </w:rPr>
              <w:t>行政处罚</w:t>
            </w:r>
          </w:p>
        </w:tc>
        <w:tc>
          <w:tcPr>
            <w:tcW w:w="8613" w:type="dxa"/>
            <w:vAlign w:val="top"/>
          </w:tcPr>
          <w:p w14:paraId="1A67D5DE">
            <w:pPr>
              <w:pStyle w:val="8"/>
              <w:spacing w:before="34" w:line="219" w:lineRule="auto"/>
              <w:ind w:left="475"/>
            </w:pPr>
            <w:r>
              <w:rPr>
                <w:b/>
                <w:bCs/>
                <w:spacing w:val="-4"/>
              </w:rPr>
              <w:t>《中华人民共和国航道法》</w:t>
            </w:r>
          </w:p>
          <w:p w14:paraId="10280276">
            <w:pPr>
              <w:pStyle w:val="8"/>
              <w:spacing w:before="26" w:line="241" w:lineRule="auto"/>
              <w:ind w:left="115" w:right="105" w:firstLine="353"/>
              <w:jc w:val="both"/>
            </w:pPr>
            <w:r>
              <w:rPr>
                <w:spacing w:val="-1"/>
              </w:rPr>
              <w:t>第二十八条第一款、第二款  建设与航道有关的工</w:t>
            </w:r>
            <w:r>
              <w:rPr>
                <w:spacing w:val="-2"/>
              </w:rPr>
              <w:t>程，建设单位应当在工程可行性研究阶段就建设项目</w:t>
            </w:r>
            <w:r>
              <w:t xml:space="preserve"> </w:t>
            </w:r>
            <w:r>
              <w:rPr>
                <w:spacing w:val="2"/>
              </w:rPr>
              <w:t>对航道通航条件的影响作出评价，并报送有审核权的交通运输主管部门或者航道管理机构审核，但下列工</w:t>
            </w:r>
            <w:r>
              <w:rPr>
                <w:spacing w:val="10"/>
              </w:rPr>
              <w:t xml:space="preserve"> </w:t>
            </w:r>
            <w:r>
              <w:rPr>
                <w:spacing w:val="1"/>
              </w:rPr>
              <w:t>程除外</w:t>
            </w:r>
            <w:r>
              <w:rPr>
                <w:spacing w:val="-17"/>
              </w:rPr>
              <w:t>：（</w:t>
            </w:r>
            <w:r>
              <w:rPr>
                <w:spacing w:val="1"/>
              </w:rPr>
              <w:t>一）临河、临湖的中小河流治理工程</w:t>
            </w:r>
            <w:r>
              <w:rPr>
                <w:spacing w:val="-17"/>
              </w:rPr>
              <w:t>；（</w:t>
            </w:r>
            <w:r>
              <w:rPr>
                <w:spacing w:val="1"/>
              </w:rPr>
              <w:t>二）不通</w:t>
            </w:r>
            <w:r>
              <w:t>航河流上建设的水工程</w:t>
            </w:r>
            <w:r>
              <w:rPr>
                <w:spacing w:val="-17"/>
              </w:rPr>
              <w:t>；（</w:t>
            </w:r>
            <w:r>
              <w:t>三）现有水工程的</w:t>
            </w:r>
            <w:r>
              <w:rPr>
                <w:spacing w:val="2"/>
              </w:rPr>
              <w:t xml:space="preserve"> 水毁修复、除险加固、不涉及通航建筑物和不改变航道原通航条件的更新改造等不影响航道通航条件的工</w:t>
            </w:r>
            <w:r>
              <w:rPr>
                <w:spacing w:val="10"/>
              </w:rPr>
              <w:t xml:space="preserve"> </w:t>
            </w:r>
            <w:r>
              <w:rPr>
                <w:spacing w:val="-9"/>
              </w:rPr>
              <w:t>程。</w:t>
            </w:r>
          </w:p>
          <w:p w14:paraId="2AB5BAEE">
            <w:pPr>
              <w:pStyle w:val="8"/>
              <w:spacing w:before="24" w:line="233" w:lineRule="auto"/>
              <w:ind w:left="118" w:right="105" w:firstLine="343"/>
            </w:pPr>
            <w:r>
              <w:rPr>
                <w:spacing w:val="-1"/>
              </w:rPr>
              <w:t>建设单位报送的航道通航条件影响评价材料不符合本法规定的，可</w:t>
            </w:r>
            <w:r>
              <w:rPr>
                <w:spacing w:val="-2"/>
              </w:rPr>
              <w:t>以进行补充或者修改，重新报送审核</w:t>
            </w:r>
            <w:r>
              <w:t xml:space="preserve"> </w:t>
            </w:r>
            <w:r>
              <w:rPr>
                <w:spacing w:val="-5"/>
              </w:rPr>
              <w:t>部门审核。</w:t>
            </w:r>
          </w:p>
          <w:p w14:paraId="47BCB611">
            <w:pPr>
              <w:pStyle w:val="8"/>
              <w:spacing w:before="26" w:line="234" w:lineRule="auto"/>
              <w:ind w:left="116" w:right="105" w:firstLine="352"/>
              <w:jc w:val="both"/>
            </w:pPr>
            <w:r>
              <w:rPr>
                <w:spacing w:val="-1"/>
              </w:rPr>
              <w:t>第三十九条第一款  建设单位未依法报送航道通航</w:t>
            </w:r>
            <w:r>
              <w:rPr>
                <w:spacing w:val="-2"/>
              </w:rPr>
              <w:t>条件影响评价材料而开工建设的，由有审核权的交通</w:t>
            </w:r>
            <w:r>
              <w:t xml:space="preserve"> </w:t>
            </w:r>
            <w:r>
              <w:rPr>
                <w:spacing w:val="-2"/>
              </w:rPr>
              <w:t>运输主管部门或者航道管理机构责令停止建设，限期补办手续，处三万元以下的罚款；逾期不补办手续继续</w:t>
            </w:r>
            <w:r>
              <w:rPr>
                <w:spacing w:val="18"/>
              </w:rPr>
              <w:t xml:space="preserve"> </w:t>
            </w:r>
            <w:r>
              <w:rPr>
                <w:spacing w:val="2"/>
              </w:rPr>
              <w:t>建设的，由有审核权的交通运输主管部门或者航道管理机构责令恢复原状，处二十万元以上五十万元以下</w:t>
            </w:r>
            <w:r>
              <w:rPr>
                <w:spacing w:val="10"/>
              </w:rPr>
              <w:t xml:space="preserve"> </w:t>
            </w:r>
            <w:r>
              <w:rPr>
                <w:spacing w:val="-6"/>
              </w:rPr>
              <w:t>的罚款。</w:t>
            </w:r>
          </w:p>
        </w:tc>
        <w:tc>
          <w:tcPr>
            <w:tcW w:w="1020" w:type="dxa"/>
            <w:vAlign w:val="top"/>
          </w:tcPr>
          <w:p w14:paraId="219A38A7">
            <w:pPr>
              <w:spacing w:line="290" w:lineRule="auto"/>
              <w:rPr>
                <w:rFonts w:ascii="Arial"/>
                <w:sz w:val="21"/>
              </w:rPr>
            </w:pPr>
          </w:p>
          <w:p w14:paraId="13FAAEEB">
            <w:pPr>
              <w:spacing w:line="290" w:lineRule="auto"/>
              <w:rPr>
                <w:rFonts w:ascii="Arial"/>
                <w:sz w:val="21"/>
              </w:rPr>
            </w:pPr>
          </w:p>
          <w:p w14:paraId="0F51CF89">
            <w:pPr>
              <w:spacing w:line="291" w:lineRule="auto"/>
              <w:rPr>
                <w:rFonts w:ascii="Arial"/>
                <w:sz w:val="21"/>
              </w:rPr>
            </w:pPr>
          </w:p>
          <w:p w14:paraId="4BDF1D48">
            <w:pPr>
              <w:spacing w:line="291" w:lineRule="auto"/>
              <w:rPr>
                <w:rFonts w:ascii="Arial"/>
                <w:sz w:val="21"/>
              </w:rPr>
            </w:pPr>
          </w:p>
          <w:p w14:paraId="6CE0EB7E">
            <w:pPr>
              <w:pStyle w:val="8"/>
              <w:spacing w:before="58" w:line="235" w:lineRule="auto"/>
              <w:ind w:left="181" w:right="158" w:firstLine="2"/>
            </w:pPr>
            <w:r>
              <w:rPr>
                <w:spacing w:val="-12"/>
              </w:rPr>
              <w:t>交通运输</w:t>
            </w:r>
            <w:r>
              <w:t xml:space="preserve"> </w:t>
            </w:r>
            <w:r>
              <w:rPr>
                <w:spacing w:val="-12"/>
              </w:rPr>
              <w:t>主管部门</w:t>
            </w:r>
          </w:p>
        </w:tc>
        <w:tc>
          <w:tcPr>
            <w:tcW w:w="1416" w:type="dxa"/>
            <w:vAlign w:val="top"/>
          </w:tcPr>
          <w:p w14:paraId="023E12FF">
            <w:pPr>
              <w:spacing w:line="255" w:lineRule="auto"/>
              <w:rPr>
                <w:rFonts w:ascii="Arial"/>
                <w:sz w:val="21"/>
              </w:rPr>
            </w:pPr>
          </w:p>
          <w:p w14:paraId="6AC430C1">
            <w:pPr>
              <w:spacing w:line="255" w:lineRule="auto"/>
              <w:rPr>
                <w:rFonts w:ascii="Arial"/>
                <w:sz w:val="21"/>
              </w:rPr>
            </w:pPr>
          </w:p>
          <w:p w14:paraId="63471A37">
            <w:pPr>
              <w:spacing w:line="256" w:lineRule="auto"/>
              <w:rPr>
                <w:rFonts w:ascii="Arial"/>
                <w:sz w:val="21"/>
              </w:rPr>
            </w:pPr>
          </w:p>
          <w:p w14:paraId="101153BC">
            <w:pPr>
              <w:spacing w:line="256" w:lineRule="auto"/>
              <w:rPr>
                <w:rFonts w:ascii="Arial"/>
                <w:sz w:val="21"/>
              </w:rPr>
            </w:pPr>
          </w:p>
          <w:p w14:paraId="4667AF20">
            <w:pPr>
              <w:spacing w:line="256" w:lineRule="auto"/>
              <w:rPr>
                <w:rFonts w:ascii="Arial"/>
                <w:sz w:val="21"/>
              </w:rPr>
            </w:pPr>
          </w:p>
          <w:p w14:paraId="4B30086B">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179AECC7">
            <w:pPr>
              <w:spacing w:line="262" w:lineRule="auto"/>
              <w:rPr>
                <w:rFonts w:ascii="Arial"/>
                <w:sz w:val="21"/>
              </w:rPr>
            </w:pPr>
          </w:p>
          <w:p w14:paraId="76FDAE6E">
            <w:pPr>
              <w:spacing w:line="262" w:lineRule="auto"/>
              <w:rPr>
                <w:rFonts w:ascii="Arial"/>
                <w:sz w:val="21"/>
              </w:rPr>
            </w:pPr>
          </w:p>
          <w:p w14:paraId="61865F08">
            <w:pPr>
              <w:spacing w:line="262" w:lineRule="auto"/>
              <w:rPr>
                <w:rFonts w:ascii="Arial"/>
                <w:sz w:val="21"/>
              </w:rPr>
            </w:pPr>
          </w:p>
          <w:p w14:paraId="5D2EA134">
            <w:pPr>
              <w:spacing w:line="263" w:lineRule="auto"/>
              <w:rPr>
                <w:rFonts w:ascii="Arial"/>
                <w:sz w:val="21"/>
              </w:rPr>
            </w:pPr>
          </w:p>
          <w:p w14:paraId="5EF63A4B">
            <w:pPr>
              <w:pStyle w:val="8"/>
              <w:spacing w:before="59"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3D950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626" w:type="dxa"/>
            <w:vAlign w:val="top"/>
          </w:tcPr>
          <w:p w14:paraId="5BEDF7F1">
            <w:pPr>
              <w:spacing w:line="248" w:lineRule="auto"/>
              <w:rPr>
                <w:rFonts w:ascii="Arial"/>
                <w:sz w:val="21"/>
              </w:rPr>
            </w:pPr>
          </w:p>
          <w:p w14:paraId="5E1C9CDB">
            <w:pPr>
              <w:spacing w:line="248" w:lineRule="auto"/>
              <w:rPr>
                <w:rFonts w:ascii="Arial"/>
                <w:sz w:val="21"/>
              </w:rPr>
            </w:pPr>
          </w:p>
          <w:p w14:paraId="66560A86">
            <w:pPr>
              <w:spacing w:line="249" w:lineRule="auto"/>
              <w:rPr>
                <w:rFonts w:ascii="Arial"/>
                <w:sz w:val="21"/>
              </w:rPr>
            </w:pPr>
          </w:p>
          <w:p w14:paraId="1E25873B">
            <w:pPr>
              <w:pStyle w:val="8"/>
              <w:spacing w:before="59" w:line="183" w:lineRule="auto"/>
              <w:ind w:left="272"/>
            </w:pPr>
            <w:r>
              <w:t>2</w:t>
            </w:r>
          </w:p>
        </w:tc>
        <w:tc>
          <w:tcPr>
            <w:tcW w:w="1110" w:type="dxa"/>
            <w:vAlign w:val="top"/>
          </w:tcPr>
          <w:p w14:paraId="32AA4482">
            <w:pPr>
              <w:pStyle w:val="8"/>
              <w:spacing w:before="81" w:line="243" w:lineRule="auto"/>
              <w:ind w:left="114" w:right="108"/>
              <w:jc w:val="both"/>
            </w:pPr>
            <w:r>
              <w:rPr>
                <w:spacing w:val="-4"/>
              </w:rPr>
              <w:t>对报送的航</w:t>
            </w:r>
            <w:r>
              <w:t xml:space="preserve"> </w:t>
            </w:r>
            <w:r>
              <w:rPr>
                <w:spacing w:val="-4"/>
              </w:rPr>
              <w:t>道通航条件</w:t>
            </w:r>
            <w:r>
              <w:t xml:space="preserve"> </w:t>
            </w:r>
            <w:r>
              <w:rPr>
                <w:spacing w:val="-4"/>
              </w:rPr>
              <w:t>影响评价材</w:t>
            </w:r>
            <w:r>
              <w:t xml:space="preserve"> </w:t>
            </w:r>
            <w:r>
              <w:rPr>
                <w:spacing w:val="-4"/>
              </w:rPr>
              <w:t>料未通过审</w:t>
            </w:r>
            <w:r>
              <w:t xml:space="preserve"> </w:t>
            </w:r>
            <w:r>
              <w:rPr>
                <w:spacing w:val="-4"/>
              </w:rPr>
              <w:t>核而开工建</w:t>
            </w:r>
            <w:r>
              <w:t xml:space="preserve"> </w:t>
            </w:r>
            <w:r>
              <w:rPr>
                <w:spacing w:val="-4"/>
              </w:rPr>
              <w:t>设行为的行</w:t>
            </w:r>
            <w:r>
              <w:t xml:space="preserve"> </w:t>
            </w:r>
            <w:r>
              <w:rPr>
                <w:spacing w:val="-4"/>
              </w:rPr>
              <w:t>政处罚</w:t>
            </w:r>
          </w:p>
        </w:tc>
        <w:tc>
          <w:tcPr>
            <w:tcW w:w="1111" w:type="dxa"/>
            <w:vAlign w:val="top"/>
          </w:tcPr>
          <w:p w14:paraId="0497B384">
            <w:pPr>
              <w:spacing w:line="242" w:lineRule="auto"/>
              <w:rPr>
                <w:rFonts w:ascii="Arial"/>
                <w:sz w:val="21"/>
              </w:rPr>
            </w:pPr>
          </w:p>
          <w:p w14:paraId="114752A5">
            <w:pPr>
              <w:spacing w:line="242" w:lineRule="auto"/>
              <w:rPr>
                <w:rFonts w:ascii="Arial"/>
                <w:sz w:val="21"/>
              </w:rPr>
            </w:pPr>
          </w:p>
          <w:p w14:paraId="6CC266E9">
            <w:pPr>
              <w:spacing w:line="243" w:lineRule="auto"/>
              <w:rPr>
                <w:rFonts w:ascii="Arial"/>
                <w:sz w:val="21"/>
              </w:rPr>
            </w:pPr>
          </w:p>
          <w:p w14:paraId="40FE8463">
            <w:pPr>
              <w:pStyle w:val="8"/>
              <w:spacing w:before="58" w:line="220" w:lineRule="auto"/>
              <w:ind w:left="8"/>
            </w:pPr>
            <w:r>
              <w:rPr>
                <w:spacing w:val="-4"/>
              </w:rPr>
              <w:t>行政处罚</w:t>
            </w:r>
          </w:p>
        </w:tc>
        <w:tc>
          <w:tcPr>
            <w:tcW w:w="8613" w:type="dxa"/>
            <w:vAlign w:val="top"/>
          </w:tcPr>
          <w:p w14:paraId="60CE28F9">
            <w:pPr>
              <w:pStyle w:val="8"/>
              <w:spacing w:before="204" w:line="219" w:lineRule="auto"/>
              <w:ind w:left="475"/>
            </w:pPr>
            <w:r>
              <w:rPr>
                <w:b/>
                <w:bCs/>
                <w:spacing w:val="-4"/>
              </w:rPr>
              <w:t>《中华人民共和国航道法》</w:t>
            </w:r>
          </w:p>
          <w:p w14:paraId="2693FFE9">
            <w:pPr>
              <w:pStyle w:val="8"/>
              <w:spacing w:before="26" w:line="237" w:lineRule="auto"/>
              <w:ind w:left="117" w:right="108" w:firstLine="359"/>
              <w:jc w:val="both"/>
            </w:pPr>
            <w:r>
              <w:rPr>
                <w:spacing w:val="2"/>
              </w:rPr>
              <w:t>第二十八条第三款  未进行航道通航条件影响评价或者经审核部门审核认为建设项目不符合本法规定</w:t>
            </w:r>
            <w:r>
              <w:rPr>
                <w:spacing w:val="12"/>
              </w:rPr>
              <w:t xml:space="preserve"> </w:t>
            </w:r>
            <w:r>
              <w:rPr>
                <w:spacing w:val="-2"/>
              </w:rPr>
              <w:t>的，建设单位不得建设。政府投资项目未进行航道通航条件影响评价或者经审核部门审核认为建设项目不符</w:t>
            </w:r>
            <w:r>
              <w:rPr>
                <w:spacing w:val="15"/>
              </w:rPr>
              <w:t xml:space="preserve"> </w:t>
            </w:r>
            <w:r>
              <w:rPr>
                <w:spacing w:val="-3"/>
              </w:rPr>
              <w:t>合本法规定的，负责建设项目审批的部门不予</w:t>
            </w:r>
            <w:r>
              <w:rPr>
                <w:spacing w:val="-4"/>
              </w:rPr>
              <w:t>批准。</w:t>
            </w:r>
          </w:p>
          <w:p w14:paraId="75022A13">
            <w:pPr>
              <w:pStyle w:val="8"/>
              <w:spacing w:before="25" w:line="233" w:lineRule="auto"/>
              <w:ind w:left="131" w:right="105" w:firstLine="338"/>
            </w:pPr>
            <w:r>
              <w:rPr>
                <w:spacing w:val="-1"/>
              </w:rPr>
              <w:t>第三十九条第二款  报送的航道通航条件影响评价</w:t>
            </w:r>
            <w:r>
              <w:rPr>
                <w:spacing w:val="-2"/>
              </w:rPr>
              <w:t>材料未通过审核，建设单位开工建设的，由有审核权</w:t>
            </w:r>
            <w:r>
              <w:t xml:space="preserve"> </w:t>
            </w:r>
            <w:r>
              <w:rPr>
                <w:spacing w:val="-2"/>
              </w:rPr>
              <w:t>的交通运输主管部门或者航道管理机构责令停止建设、恢复原状，处二十万元以上五十万元以下的罚款。</w:t>
            </w:r>
          </w:p>
        </w:tc>
        <w:tc>
          <w:tcPr>
            <w:tcW w:w="1020" w:type="dxa"/>
            <w:vAlign w:val="top"/>
          </w:tcPr>
          <w:p w14:paraId="693C8A4E">
            <w:pPr>
              <w:spacing w:line="307" w:lineRule="auto"/>
              <w:rPr>
                <w:rFonts w:ascii="Arial"/>
                <w:sz w:val="21"/>
              </w:rPr>
            </w:pPr>
          </w:p>
          <w:p w14:paraId="1542114B">
            <w:pPr>
              <w:spacing w:line="308" w:lineRule="auto"/>
              <w:rPr>
                <w:rFonts w:ascii="Arial"/>
                <w:sz w:val="21"/>
              </w:rPr>
            </w:pPr>
          </w:p>
          <w:p w14:paraId="7356E0ED">
            <w:pPr>
              <w:pStyle w:val="8"/>
              <w:spacing w:before="58" w:line="230" w:lineRule="auto"/>
              <w:ind w:left="181" w:right="158" w:firstLine="2"/>
            </w:pPr>
            <w:r>
              <w:rPr>
                <w:spacing w:val="-12"/>
              </w:rPr>
              <w:t>交通运输</w:t>
            </w:r>
            <w:r>
              <w:t xml:space="preserve"> </w:t>
            </w:r>
            <w:r>
              <w:rPr>
                <w:spacing w:val="-12"/>
              </w:rPr>
              <w:t>主管部门</w:t>
            </w:r>
          </w:p>
        </w:tc>
        <w:tc>
          <w:tcPr>
            <w:tcW w:w="1416" w:type="dxa"/>
            <w:vAlign w:val="top"/>
          </w:tcPr>
          <w:p w14:paraId="76AC6BE3">
            <w:pPr>
              <w:spacing w:line="244" w:lineRule="auto"/>
              <w:rPr>
                <w:rFonts w:ascii="Arial"/>
                <w:sz w:val="21"/>
              </w:rPr>
            </w:pPr>
          </w:p>
          <w:p w14:paraId="2DAC2816">
            <w:pPr>
              <w:spacing w:line="244" w:lineRule="auto"/>
              <w:rPr>
                <w:rFonts w:ascii="Arial"/>
                <w:sz w:val="21"/>
              </w:rPr>
            </w:pPr>
          </w:p>
          <w:p w14:paraId="184F1E35">
            <w:pPr>
              <w:spacing w:line="244" w:lineRule="auto"/>
              <w:rPr>
                <w:rFonts w:ascii="Arial"/>
                <w:sz w:val="21"/>
              </w:rPr>
            </w:pPr>
          </w:p>
          <w:p w14:paraId="5FC982CE">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248BF3F1">
            <w:pPr>
              <w:spacing w:line="251" w:lineRule="auto"/>
              <w:rPr>
                <w:rFonts w:ascii="Arial"/>
                <w:sz w:val="21"/>
              </w:rPr>
            </w:pPr>
          </w:p>
          <w:p w14:paraId="210743C1">
            <w:pPr>
              <w:spacing w:line="251" w:lineRule="auto"/>
              <w:rPr>
                <w:rFonts w:ascii="Arial"/>
                <w:sz w:val="21"/>
              </w:rPr>
            </w:pPr>
          </w:p>
          <w:p w14:paraId="56C474F7">
            <w:pPr>
              <w:pStyle w:val="8"/>
              <w:spacing w:before="59"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7AC80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626" w:type="dxa"/>
            <w:vAlign w:val="top"/>
          </w:tcPr>
          <w:p w14:paraId="751BEA39">
            <w:pPr>
              <w:spacing w:line="266" w:lineRule="auto"/>
              <w:rPr>
                <w:rFonts w:ascii="Arial"/>
                <w:sz w:val="21"/>
              </w:rPr>
            </w:pPr>
          </w:p>
          <w:p w14:paraId="0E003F31">
            <w:pPr>
              <w:spacing w:line="267" w:lineRule="auto"/>
              <w:rPr>
                <w:rFonts w:ascii="Arial"/>
                <w:sz w:val="21"/>
              </w:rPr>
            </w:pPr>
          </w:p>
          <w:p w14:paraId="4AD55986">
            <w:pPr>
              <w:spacing w:line="267" w:lineRule="auto"/>
              <w:rPr>
                <w:rFonts w:ascii="Arial"/>
                <w:sz w:val="21"/>
              </w:rPr>
            </w:pPr>
          </w:p>
          <w:p w14:paraId="39E156CB">
            <w:pPr>
              <w:pStyle w:val="8"/>
              <w:spacing w:before="59" w:line="183" w:lineRule="auto"/>
              <w:ind w:left="274"/>
            </w:pPr>
            <w:r>
              <w:t>3</w:t>
            </w:r>
          </w:p>
        </w:tc>
        <w:tc>
          <w:tcPr>
            <w:tcW w:w="1110" w:type="dxa"/>
            <w:vAlign w:val="top"/>
          </w:tcPr>
          <w:p w14:paraId="07B88681">
            <w:pPr>
              <w:pStyle w:val="8"/>
              <w:spacing w:before="139" w:line="243" w:lineRule="auto"/>
              <w:ind w:left="114" w:right="108"/>
              <w:jc w:val="both"/>
            </w:pPr>
            <w:r>
              <w:rPr>
                <w:spacing w:val="-4"/>
              </w:rPr>
              <w:t>对未及时清</w:t>
            </w:r>
            <w:r>
              <w:t xml:space="preserve"> </w:t>
            </w:r>
            <w:r>
              <w:rPr>
                <w:spacing w:val="-4"/>
              </w:rPr>
              <w:t>除影响航道</w:t>
            </w:r>
            <w:r>
              <w:t xml:space="preserve"> </w:t>
            </w:r>
            <w:r>
              <w:rPr>
                <w:spacing w:val="-4"/>
              </w:rPr>
              <w:t>通航条件的</w:t>
            </w:r>
            <w:r>
              <w:t xml:space="preserve"> </w:t>
            </w:r>
            <w:r>
              <w:rPr>
                <w:spacing w:val="-4"/>
              </w:rPr>
              <w:t>临时设施及</w:t>
            </w:r>
            <w:r>
              <w:t xml:space="preserve"> </w:t>
            </w:r>
            <w:r>
              <w:rPr>
                <w:spacing w:val="-4"/>
              </w:rPr>
              <w:t>其残留物行</w:t>
            </w:r>
            <w:r>
              <w:t xml:space="preserve"> </w:t>
            </w:r>
            <w:r>
              <w:rPr>
                <w:spacing w:val="-4"/>
              </w:rPr>
              <w:t>为的行政处</w:t>
            </w:r>
            <w:r>
              <w:t xml:space="preserve"> 罚</w:t>
            </w:r>
          </w:p>
        </w:tc>
        <w:tc>
          <w:tcPr>
            <w:tcW w:w="1111" w:type="dxa"/>
            <w:vAlign w:val="top"/>
          </w:tcPr>
          <w:p w14:paraId="01C35F50">
            <w:pPr>
              <w:spacing w:line="260" w:lineRule="auto"/>
              <w:rPr>
                <w:rFonts w:ascii="Arial"/>
                <w:sz w:val="21"/>
              </w:rPr>
            </w:pPr>
          </w:p>
          <w:p w14:paraId="618722DD">
            <w:pPr>
              <w:spacing w:line="260" w:lineRule="auto"/>
              <w:rPr>
                <w:rFonts w:ascii="Arial"/>
                <w:sz w:val="21"/>
              </w:rPr>
            </w:pPr>
          </w:p>
          <w:p w14:paraId="0D8678CE">
            <w:pPr>
              <w:spacing w:line="261" w:lineRule="auto"/>
              <w:rPr>
                <w:rFonts w:ascii="Arial"/>
                <w:sz w:val="21"/>
              </w:rPr>
            </w:pPr>
          </w:p>
          <w:p w14:paraId="4E289DD0">
            <w:pPr>
              <w:pStyle w:val="8"/>
              <w:spacing w:before="59" w:line="220" w:lineRule="auto"/>
              <w:ind w:left="8"/>
            </w:pPr>
            <w:r>
              <w:rPr>
                <w:spacing w:val="-4"/>
              </w:rPr>
              <w:t>行政处罚</w:t>
            </w:r>
          </w:p>
        </w:tc>
        <w:tc>
          <w:tcPr>
            <w:tcW w:w="8613" w:type="dxa"/>
            <w:vAlign w:val="top"/>
          </w:tcPr>
          <w:p w14:paraId="54EDA5D1">
            <w:pPr>
              <w:pStyle w:val="8"/>
              <w:spacing w:before="259" w:line="219" w:lineRule="auto"/>
              <w:ind w:left="475"/>
            </w:pPr>
            <w:r>
              <w:rPr>
                <w:b/>
                <w:bCs/>
                <w:spacing w:val="-4"/>
              </w:rPr>
              <w:t>《中华人民共和国航道法》</w:t>
            </w:r>
          </w:p>
          <w:p w14:paraId="3491A5ED">
            <w:pPr>
              <w:pStyle w:val="8"/>
              <w:spacing w:before="26" w:line="219" w:lineRule="auto"/>
              <w:ind w:left="471"/>
            </w:pPr>
            <w:r>
              <w:rPr>
                <w:spacing w:val="2"/>
              </w:rPr>
              <w:t>第三十二条  与航道有关的工程竣工验收前，建设单位应当及时清除影响航道通航条件的临时设施及</w:t>
            </w:r>
          </w:p>
          <w:p w14:paraId="3BD044CA">
            <w:pPr>
              <w:pStyle w:val="8"/>
              <w:spacing w:before="26" w:line="220" w:lineRule="auto"/>
              <w:ind w:left="117"/>
            </w:pPr>
            <w:r>
              <w:rPr>
                <w:spacing w:val="-3"/>
              </w:rPr>
              <w:t>其残留物。</w:t>
            </w:r>
          </w:p>
          <w:p w14:paraId="3A09367F">
            <w:pPr>
              <w:pStyle w:val="8"/>
              <w:spacing w:before="25" w:line="237" w:lineRule="auto"/>
              <w:ind w:left="117" w:right="105" w:firstLine="359"/>
              <w:jc w:val="both"/>
            </w:pPr>
            <w:r>
              <w:rPr>
                <w:spacing w:val="2"/>
              </w:rPr>
              <w:t>第四十条  与航道有关的工程的建设单位违反本法规定，未及时清除影响航道通航条件的临时设施及</w:t>
            </w:r>
            <w:r>
              <w:rPr>
                <w:spacing w:val="12"/>
              </w:rPr>
              <w:t xml:space="preserve"> </w:t>
            </w:r>
            <w:r>
              <w:rPr>
                <w:spacing w:val="-2"/>
              </w:rPr>
              <w:t>其残留物的，由负责航道管理的部门责令限期清除，处二万元以下的罚款；逾期仍未清除的，处三万元以上</w:t>
            </w:r>
            <w:r>
              <w:rPr>
                <w:spacing w:val="17"/>
              </w:rPr>
              <w:t xml:space="preserve"> </w:t>
            </w:r>
            <w:r>
              <w:rPr>
                <w:spacing w:val="-1"/>
              </w:rPr>
              <w:t>二十万元以下的罚款，并由负责航道管理的部门依法组织</w:t>
            </w:r>
            <w:r>
              <w:rPr>
                <w:spacing w:val="-2"/>
              </w:rPr>
              <w:t>清除，所需费用由建设单位承担。</w:t>
            </w:r>
          </w:p>
        </w:tc>
        <w:tc>
          <w:tcPr>
            <w:tcW w:w="1020" w:type="dxa"/>
            <w:vAlign w:val="top"/>
          </w:tcPr>
          <w:p w14:paraId="02F34DC3">
            <w:pPr>
              <w:spacing w:line="336" w:lineRule="auto"/>
              <w:rPr>
                <w:rFonts w:ascii="Arial"/>
                <w:sz w:val="21"/>
              </w:rPr>
            </w:pPr>
          </w:p>
          <w:p w14:paraId="63D8E5A4">
            <w:pPr>
              <w:spacing w:line="336" w:lineRule="auto"/>
              <w:rPr>
                <w:rFonts w:ascii="Arial"/>
                <w:sz w:val="21"/>
              </w:rPr>
            </w:pPr>
          </w:p>
          <w:p w14:paraId="4310CCE1">
            <w:pPr>
              <w:pStyle w:val="8"/>
              <w:spacing w:before="58" w:line="229" w:lineRule="auto"/>
              <w:ind w:left="181" w:right="158" w:firstLine="2"/>
            </w:pPr>
            <w:r>
              <w:rPr>
                <w:spacing w:val="-12"/>
              </w:rPr>
              <w:t>交通运输</w:t>
            </w:r>
            <w:r>
              <w:t xml:space="preserve"> </w:t>
            </w:r>
            <w:r>
              <w:rPr>
                <w:spacing w:val="-12"/>
              </w:rPr>
              <w:t>主管部门</w:t>
            </w:r>
          </w:p>
        </w:tc>
        <w:tc>
          <w:tcPr>
            <w:tcW w:w="1416" w:type="dxa"/>
            <w:vAlign w:val="top"/>
          </w:tcPr>
          <w:p w14:paraId="4C877EB7">
            <w:pPr>
              <w:spacing w:line="263" w:lineRule="auto"/>
              <w:rPr>
                <w:rFonts w:ascii="Arial"/>
                <w:sz w:val="21"/>
              </w:rPr>
            </w:pPr>
          </w:p>
          <w:p w14:paraId="53E7F6B5">
            <w:pPr>
              <w:spacing w:line="263" w:lineRule="auto"/>
              <w:rPr>
                <w:rFonts w:ascii="Arial"/>
                <w:sz w:val="21"/>
              </w:rPr>
            </w:pPr>
          </w:p>
          <w:p w14:paraId="146C2345">
            <w:pPr>
              <w:spacing w:line="263" w:lineRule="auto"/>
              <w:rPr>
                <w:rFonts w:ascii="Arial"/>
                <w:sz w:val="21"/>
              </w:rPr>
            </w:pPr>
          </w:p>
          <w:p w14:paraId="35CAFF45">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1B4361EE">
            <w:pPr>
              <w:spacing w:line="278" w:lineRule="auto"/>
              <w:rPr>
                <w:rFonts w:ascii="Arial"/>
                <w:sz w:val="21"/>
              </w:rPr>
            </w:pPr>
          </w:p>
          <w:p w14:paraId="43B183CB">
            <w:pPr>
              <w:spacing w:line="279" w:lineRule="auto"/>
              <w:rPr>
                <w:rFonts w:ascii="Arial"/>
                <w:sz w:val="21"/>
              </w:rPr>
            </w:pPr>
          </w:p>
          <w:p w14:paraId="7E8BCDF8">
            <w:pPr>
              <w:pStyle w:val="8"/>
              <w:spacing w:before="59"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3BF92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0" w:hRule="atLeast"/>
        </w:trPr>
        <w:tc>
          <w:tcPr>
            <w:tcW w:w="626" w:type="dxa"/>
            <w:vAlign w:val="top"/>
          </w:tcPr>
          <w:p w14:paraId="57BE8B17">
            <w:pPr>
              <w:spacing w:line="255" w:lineRule="auto"/>
              <w:rPr>
                <w:rFonts w:ascii="Arial"/>
                <w:sz w:val="21"/>
              </w:rPr>
            </w:pPr>
          </w:p>
          <w:p w14:paraId="40ADFB63">
            <w:pPr>
              <w:spacing w:line="255" w:lineRule="auto"/>
              <w:rPr>
                <w:rFonts w:ascii="Arial"/>
                <w:sz w:val="21"/>
              </w:rPr>
            </w:pPr>
          </w:p>
          <w:p w14:paraId="63AF841F">
            <w:pPr>
              <w:spacing w:line="255" w:lineRule="auto"/>
              <w:rPr>
                <w:rFonts w:ascii="Arial"/>
                <w:sz w:val="21"/>
              </w:rPr>
            </w:pPr>
          </w:p>
          <w:p w14:paraId="42EB6684">
            <w:pPr>
              <w:pStyle w:val="8"/>
              <w:spacing w:before="58" w:line="183" w:lineRule="auto"/>
              <w:ind w:left="270"/>
            </w:pPr>
            <w:r>
              <w:t>4</w:t>
            </w:r>
          </w:p>
        </w:tc>
        <w:tc>
          <w:tcPr>
            <w:tcW w:w="1110" w:type="dxa"/>
            <w:vAlign w:val="top"/>
          </w:tcPr>
          <w:p w14:paraId="437B3677">
            <w:pPr>
              <w:pStyle w:val="8"/>
              <w:spacing w:before="107" w:line="242" w:lineRule="auto"/>
              <w:ind w:left="114" w:right="106"/>
              <w:jc w:val="both"/>
            </w:pPr>
            <w:r>
              <w:rPr>
                <w:spacing w:val="-4"/>
              </w:rPr>
              <w:t>对在通航水</w:t>
            </w:r>
            <w:r>
              <w:rPr>
                <w:spacing w:val="3"/>
              </w:rPr>
              <w:t xml:space="preserve"> </w:t>
            </w:r>
            <w:r>
              <w:rPr>
                <w:spacing w:val="-4"/>
              </w:rPr>
              <w:t>域上建设桥</w:t>
            </w:r>
            <w:r>
              <w:t xml:space="preserve"> </w:t>
            </w:r>
            <w:r>
              <w:rPr>
                <w:spacing w:val="-4"/>
              </w:rPr>
              <w:t>梁等建筑物</w:t>
            </w:r>
            <w:r>
              <w:t xml:space="preserve"> </w:t>
            </w:r>
            <w:r>
              <w:rPr>
                <w:spacing w:val="-4"/>
              </w:rPr>
              <w:t>未按照规定</w:t>
            </w:r>
            <w:r>
              <w:t xml:space="preserve"> </w:t>
            </w:r>
            <w:r>
              <w:rPr>
                <w:spacing w:val="-4"/>
              </w:rPr>
              <w:t>设置航标等</w:t>
            </w:r>
            <w:r>
              <w:t xml:space="preserve"> </w:t>
            </w:r>
            <w:r>
              <w:rPr>
                <w:spacing w:val="-4"/>
              </w:rPr>
              <w:t>设施行为的</w:t>
            </w:r>
            <w:r>
              <w:t xml:space="preserve"> </w:t>
            </w:r>
            <w:r>
              <w:rPr>
                <w:spacing w:val="-4"/>
              </w:rPr>
              <w:t>行政处罚</w:t>
            </w:r>
          </w:p>
        </w:tc>
        <w:tc>
          <w:tcPr>
            <w:tcW w:w="1111" w:type="dxa"/>
            <w:vAlign w:val="top"/>
          </w:tcPr>
          <w:p w14:paraId="61923714">
            <w:pPr>
              <w:spacing w:line="248" w:lineRule="auto"/>
              <w:rPr>
                <w:rFonts w:ascii="Arial"/>
                <w:sz w:val="21"/>
              </w:rPr>
            </w:pPr>
          </w:p>
          <w:p w14:paraId="0EA877CE">
            <w:pPr>
              <w:spacing w:line="249" w:lineRule="auto"/>
              <w:rPr>
                <w:rFonts w:ascii="Arial"/>
                <w:sz w:val="21"/>
              </w:rPr>
            </w:pPr>
          </w:p>
          <w:p w14:paraId="4645524B">
            <w:pPr>
              <w:spacing w:line="249" w:lineRule="auto"/>
              <w:rPr>
                <w:rFonts w:ascii="Arial"/>
                <w:sz w:val="21"/>
              </w:rPr>
            </w:pPr>
          </w:p>
          <w:p w14:paraId="60823B60">
            <w:pPr>
              <w:pStyle w:val="8"/>
              <w:spacing w:before="59" w:line="220" w:lineRule="auto"/>
              <w:ind w:left="8"/>
            </w:pPr>
            <w:r>
              <w:rPr>
                <w:spacing w:val="-4"/>
              </w:rPr>
              <w:t>行政处罚</w:t>
            </w:r>
          </w:p>
        </w:tc>
        <w:tc>
          <w:tcPr>
            <w:tcW w:w="8613" w:type="dxa"/>
            <w:vAlign w:val="top"/>
          </w:tcPr>
          <w:p w14:paraId="5ED648EE">
            <w:pPr>
              <w:spacing w:line="284" w:lineRule="auto"/>
              <w:rPr>
                <w:rFonts w:ascii="Arial"/>
                <w:sz w:val="21"/>
              </w:rPr>
            </w:pPr>
          </w:p>
          <w:p w14:paraId="1ED33AE0">
            <w:pPr>
              <w:pStyle w:val="8"/>
              <w:spacing w:before="58" w:line="219" w:lineRule="auto"/>
              <w:ind w:left="475"/>
            </w:pPr>
            <w:r>
              <w:rPr>
                <w:b/>
                <w:bCs/>
                <w:spacing w:val="-4"/>
              </w:rPr>
              <w:t>《中华人民共和国航道法》</w:t>
            </w:r>
          </w:p>
          <w:p w14:paraId="459910FD">
            <w:pPr>
              <w:pStyle w:val="8"/>
              <w:spacing w:before="25" w:line="233" w:lineRule="auto"/>
              <w:ind w:left="116" w:right="105" w:firstLine="352"/>
            </w:pPr>
            <w:r>
              <w:rPr>
                <w:spacing w:val="-1"/>
              </w:rPr>
              <w:t>第三十四条第一款  在通航水域上建设桥梁等建筑</w:t>
            </w:r>
            <w:r>
              <w:rPr>
                <w:spacing w:val="-2"/>
              </w:rPr>
              <w:t>物，建设单位应当按照国家有关规定和技术要求设置</w:t>
            </w:r>
            <w:r>
              <w:t xml:space="preserve"> </w:t>
            </w:r>
            <w:r>
              <w:rPr>
                <w:spacing w:val="-3"/>
              </w:rPr>
              <w:t>航标等设施，并承担相应费用。</w:t>
            </w:r>
          </w:p>
          <w:p w14:paraId="5D83FBC9">
            <w:pPr>
              <w:pStyle w:val="8"/>
              <w:spacing w:before="24" w:line="233" w:lineRule="auto"/>
              <w:ind w:left="118" w:right="108" w:firstLine="350"/>
            </w:pPr>
            <w:r>
              <w:rPr>
                <w:spacing w:val="-1"/>
              </w:rPr>
              <w:t>第四十一条  在通航水域上建设桥梁等建筑物</w:t>
            </w:r>
            <w:r>
              <w:rPr>
                <w:spacing w:val="-2"/>
              </w:rPr>
              <w:t>，建设单位未按照规定设置航标等设施的，由负责航道管</w:t>
            </w:r>
            <w:r>
              <w:t xml:space="preserve"> </w:t>
            </w:r>
            <w:r>
              <w:rPr>
                <w:spacing w:val="-2"/>
              </w:rPr>
              <w:t>理的部门或者海事管理机构责令改正，处五</w:t>
            </w:r>
            <w:r>
              <w:rPr>
                <w:spacing w:val="-3"/>
              </w:rPr>
              <w:t>万元以下罚款。</w:t>
            </w:r>
          </w:p>
        </w:tc>
        <w:tc>
          <w:tcPr>
            <w:tcW w:w="1020" w:type="dxa"/>
            <w:vAlign w:val="top"/>
          </w:tcPr>
          <w:p w14:paraId="77B52063">
            <w:pPr>
              <w:spacing w:line="318" w:lineRule="auto"/>
              <w:rPr>
                <w:rFonts w:ascii="Arial"/>
                <w:sz w:val="21"/>
              </w:rPr>
            </w:pPr>
          </w:p>
          <w:p w14:paraId="5A24F7DA">
            <w:pPr>
              <w:spacing w:line="319" w:lineRule="auto"/>
              <w:rPr>
                <w:rFonts w:ascii="Arial"/>
                <w:sz w:val="21"/>
              </w:rPr>
            </w:pPr>
          </w:p>
          <w:p w14:paraId="615B11AE">
            <w:pPr>
              <w:pStyle w:val="8"/>
              <w:spacing w:before="58" w:line="230" w:lineRule="auto"/>
              <w:ind w:left="181" w:right="158" w:firstLine="2"/>
            </w:pPr>
            <w:r>
              <w:rPr>
                <w:spacing w:val="-12"/>
              </w:rPr>
              <w:t>交通运输</w:t>
            </w:r>
            <w:r>
              <w:t xml:space="preserve"> </w:t>
            </w:r>
            <w:r>
              <w:rPr>
                <w:spacing w:val="-12"/>
              </w:rPr>
              <w:t>主管部门</w:t>
            </w:r>
          </w:p>
        </w:tc>
        <w:tc>
          <w:tcPr>
            <w:tcW w:w="1416" w:type="dxa"/>
            <w:vAlign w:val="top"/>
          </w:tcPr>
          <w:p w14:paraId="455B4E4B">
            <w:pPr>
              <w:spacing w:line="250" w:lineRule="auto"/>
              <w:rPr>
                <w:rFonts w:ascii="Arial"/>
                <w:sz w:val="21"/>
              </w:rPr>
            </w:pPr>
          </w:p>
          <w:p w14:paraId="790B9D86">
            <w:pPr>
              <w:spacing w:line="250" w:lineRule="auto"/>
              <w:rPr>
                <w:rFonts w:ascii="Arial"/>
                <w:sz w:val="21"/>
              </w:rPr>
            </w:pPr>
          </w:p>
          <w:p w14:paraId="5CFCB5A9">
            <w:pPr>
              <w:spacing w:line="251" w:lineRule="auto"/>
              <w:rPr>
                <w:rFonts w:ascii="Arial"/>
                <w:sz w:val="21"/>
              </w:rPr>
            </w:pPr>
          </w:p>
          <w:p w14:paraId="35547B03">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43CC70F2">
            <w:pPr>
              <w:spacing w:line="261" w:lineRule="auto"/>
              <w:rPr>
                <w:rFonts w:ascii="Arial"/>
                <w:sz w:val="21"/>
              </w:rPr>
            </w:pPr>
          </w:p>
          <w:p w14:paraId="1B010180">
            <w:pPr>
              <w:spacing w:line="261" w:lineRule="auto"/>
              <w:rPr>
                <w:rFonts w:ascii="Arial"/>
                <w:sz w:val="21"/>
              </w:rPr>
            </w:pPr>
          </w:p>
          <w:p w14:paraId="189E74E5">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34C18F6C">
      <w:pPr>
        <w:sectPr>
          <w:footerReference r:id="rId158" w:type="default"/>
          <w:pgSz w:w="16840" w:h="11906"/>
          <w:pgMar w:top="1012" w:right="957" w:bottom="967" w:left="957" w:header="0" w:footer="768" w:gutter="0"/>
          <w:cols w:space="720" w:num="1"/>
        </w:sectPr>
      </w:pPr>
    </w:p>
    <w:p w14:paraId="316B2854">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5F060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73ECA984">
            <w:pPr>
              <w:pStyle w:val="8"/>
              <w:spacing w:before="199" w:line="221" w:lineRule="auto"/>
              <w:ind w:left="138"/>
            </w:pPr>
            <w:r>
              <w:rPr>
                <w:b/>
                <w:bCs/>
                <w:spacing w:val="-6"/>
              </w:rPr>
              <w:t>序号</w:t>
            </w:r>
          </w:p>
        </w:tc>
        <w:tc>
          <w:tcPr>
            <w:tcW w:w="1110" w:type="dxa"/>
            <w:vMerge w:val="restart"/>
            <w:tcBorders>
              <w:bottom w:val="nil"/>
            </w:tcBorders>
            <w:vAlign w:val="top"/>
          </w:tcPr>
          <w:p w14:paraId="5BD63515">
            <w:pPr>
              <w:pStyle w:val="8"/>
              <w:spacing w:before="200" w:line="220" w:lineRule="auto"/>
              <w:ind w:left="204"/>
            </w:pPr>
            <w:r>
              <w:rPr>
                <w:b/>
                <w:bCs/>
                <w:spacing w:val="-6"/>
              </w:rPr>
              <w:t>事项名称</w:t>
            </w:r>
          </w:p>
        </w:tc>
        <w:tc>
          <w:tcPr>
            <w:tcW w:w="1111" w:type="dxa"/>
            <w:vMerge w:val="restart"/>
            <w:tcBorders>
              <w:bottom w:val="nil"/>
            </w:tcBorders>
            <w:vAlign w:val="top"/>
          </w:tcPr>
          <w:p w14:paraId="57F52667">
            <w:pPr>
              <w:pStyle w:val="8"/>
              <w:spacing w:before="200" w:line="219" w:lineRule="auto"/>
              <w:ind w:left="205"/>
            </w:pPr>
            <w:r>
              <w:rPr>
                <w:b/>
                <w:bCs/>
                <w:spacing w:val="-6"/>
              </w:rPr>
              <w:t>职权类型</w:t>
            </w:r>
          </w:p>
        </w:tc>
        <w:tc>
          <w:tcPr>
            <w:tcW w:w="8613" w:type="dxa"/>
            <w:vMerge w:val="restart"/>
            <w:tcBorders>
              <w:bottom w:val="nil"/>
            </w:tcBorders>
            <w:vAlign w:val="top"/>
          </w:tcPr>
          <w:p w14:paraId="774A8D0E">
            <w:pPr>
              <w:pStyle w:val="8"/>
              <w:spacing w:before="199" w:line="219" w:lineRule="auto"/>
              <w:ind w:left="3963"/>
            </w:pPr>
            <w:r>
              <w:rPr>
                <w:b/>
                <w:bCs/>
                <w:spacing w:val="-8"/>
              </w:rPr>
              <w:t>实施依据</w:t>
            </w:r>
          </w:p>
        </w:tc>
        <w:tc>
          <w:tcPr>
            <w:tcW w:w="3458" w:type="dxa"/>
            <w:gridSpan w:val="3"/>
            <w:vAlign w:val="top"/>
          </w:tcPr>
          <w:p w14:paraId="2514A94D">
            <w:pPr>
              <w:pStyle w:val="8"/>
              <w:spacing w:before="38" w:line="198" w:lineRule="auto"/>
              <w:ind w:left="1376"/>
            </w:pPr>
            <w:r>
              <w:rPr>
                <w:b/>
                <w:bCs/>
                <w:spacing w:val="-5"/>
              </w:rPr>
              <w:t>实施主体</w:t>
            </w:r>
          </w:p>
        </w:tc>
      </w:tr>
      <w:tr w14:paraId="563B5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26" w:type="dxa"/>
            <w:vMerge w:val="continue"/>
            <w:tcBorders>
              <w:top w:val="nil"/>
            </w:tcBorders>
            <w:vAlign w:val="top"/>
          </w:tcPr>
          <w:p w14:paraId="248F5A78">
            <w:pPr>
              <w:rPr>
                <w:rFonts w:ascii="Arial"/>
                <w:sz w:val="21"/>
              </w:rPr>
            </w:pPr>
          </w:p>
        </w:tc>
        <w:tc>
          <w:tcPr>
            <w:tcW w:w="1110" w:type="dxa"/>
            <w:vMerge w:val="continue"/>
            <w:tcBorders>
              <w:top w:val="nil"/>
            </w:tcBorders>
            <w:vAlign w:val="top"/>
          </w:tcPr>
          <w:p w14:paraId="55380C49">
            <w:pPr>
              <w:rPr>
                <w:rFonts w:ascii="Arial"/>
                <w:sz w:val="21"/>
              </w:rPr>
            </w:pPr>
          </w:p>
        </w:tc>
        <w:tc>
          <w:tcPr>
            <w:tcW w:w="1111" w:type="dxa"/>
            <w:vMerge w:val="continue"/>
            <w:tcBorders>
              <w:top w:val="nil"/>
            </w:tcBorders>
            <w:vAlign w:val="top"/>
          </w:tcPr>
          <w:p w14:paraId="53C2B352">
            <w:pPr>
              <w:rPr>
                <w:rFonts w:ascii="Arial"/>
                <w:sz w:val="21"/>
              </w:rPr>
            </w:pPr>
          </w:p>
        </w:tc>
        <w:tc>
          <w:tcPr>
            <w:tcW w:w="8613" w:type="dxa"/>
            <w:vMerge w:val="continue"/>
            <w:tcBorders>
              <w:top w:val="nil"/>
            </w:tcBorders>
            <w:vAlign w:val="top"/>
          </w:tcPr>
          <w:p w14:paraId="7A1AB264">
            <w:pPr>
              <w:rPr>
                <w:rFonts w:ascii="Arial"/>
                <w:sz w:val="21"/>
              </w:rPr>
            </w:pPr>
          </w:p>
        </w:tc>
        <w:tc>
          <w:tcPr>
            <w:tcW w:w="1020" w:type="dxa"/>
            <w:vAlign w:val="top"/>
          </w:tcPr>
          <w:p w14:paraId="57787B4B">
            <w:pPr>
              <w:pStyle w:val="8"/>
              <w:spacing w:before="75" w:line="219" w:lineRule="auto"/>
              <w:ind w:left="161"/>
            </w:pPr>
            <w:r>
              <w:rPr>
                <w:b/>
                <w:bCs/>
                <w:spacing w:val="-5"/>
              </w:rPr>
              <w:t>责任主体</w:t>
            </w:r>
          </w:p>
        </w:tc>
        <w:tc>
          <w:tcPr>
            <w:tcW w:w="1416" w:type="dxa"/>
            <w:vAlign w:val="top"/>
          </w:tcPr>
          <w:p w14:paraId="344F8CD9">
            <w:pPr>
              <w:pStyle w:val="8"/>
              <w:spacing w:before="75" w:line="219" w:lineRule="auto"/>
              <w:ind w:left="172"/>
            </w:pPr>
            <w:r>
              <w:rPr>
                <w:b/>
                <w:bCs/>
                <w:spacing w:val="-3"/>
              </w:rPr>
              <w:t>第一责任层级</w:t>
            </w:r>
          </w:p>
        </w:tc>
        <w:tc>
          <w:tcPr>
            <w:tcW w:w="1022" w:type="dxa"/>
            <w:vAlign w:val="top"/>
          </w:tcPr>
          <w:p w14:paraId="700C2C1A">
            <w:pPr>
              <w:pStyle w:val="8"/>
              <w:spacing w:before="75" w:line="219" w:lineRule="auto"/>
              <w:ind w:left="155"/>
            </w:pPr>
            <w:r>
              <w:rPr>
                <w:b/>
                <w:bCs/>
                <w:spacing w:val="-4"/>
              </w:rPr>
              <w:t>承办机构</w:t>
            </w:r>
          </w:p>
        </w:tc>
      </w:tr>
      <w:tr w14:paraId="3C010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8" w:hRule="atLeast"/>
        </w:trPr>
        <w:tc>
          <w:tcPr>
            <w:tcW w:w="626" w:type="dxa"/>
            <w:vAlign w:val="top"/>
          </w:tcPr>
          <w:p w14:paraId="7FD80BB3">
            <w:pPr>
              <w:spacing w:line="270" w:lineRule="auto"/>
              <w:rPr>
                <w:rFonts w:ascii="Arial"/>
                <w:sz w:val="21"/>
              </w:rPr>
            </w:pPr>
          </w:p>
          <w:p w14:paraId="2F6FD127">
            <w:pPr>
              <w:spacing w:line="270" w:lineRule="auto"/>
              <w:rPr>
                <w:rFonts w:ascii="Arial"/>
                <w:sz w:val="21"/>
              </w:rPr>
            </w:pPr>
          </w:p>
          <w:p w14:paraId="2B808EB3">
            <w:pPr>
              <w:spacing w:line="270" w:lineRule="auto"/>
              <w:rPr>
                <w:rFonts w:ascii="Arial"/>
                <w:sz w:val="21"/>
              </w:rPr>
            </w:pPr>
          </w:p>
          <w:p w14:paraId="6BF579D7">
            <w:pPr>
              <w:spacing w:line="270" w:lineRule="auto"/>
              <w:rPr>
                <w:rFonts w:ascii="Arial"/>
                <w:sz w:val="21"/>
              </w:rPr>
            </w:pPr>
          </w:p>
          <w:p w14:paraId="54B859B6">
            <w:pPr>
              <w:spacing w:line="270" w:lineRule="auto"/>
              <w:rPr>
                <w:rFonts w:ascii="Arial"/>
                <w:sz w:val="21"/>
              </w:rPr>
            </w:pPr>
          </w:p>
          <w:p w14:paraId="5CCB3DA5">
            <w:pPr>
              <w:spacing w:line="270" w:lineRule="auto"/>
              <w:rPr>
                <w:rFonts w:ascii="Arial"/>
                <w:sz w:val="21"/>
              </w:rPr>
            </w:pPr>
          </w:p>
          <w:p w14:paraId="53BE65FA">
            <w:pPr>
              <w:spacing w:line="271" w:lineRule="auto"/>
              <w:rPr>
                <w:rFonts w:ascii="Arial"/>
                <w:sz w:val="21"/>
              </w:rPr>
            </w:pPr>
          </w:p>
          <w:p w14:paraId="060F94F5">
            <w:pPr>
              <w:pStyle w:val="8"/>
              <w:spacing w:before="58" w:line="182" w:lineRule="auto"/>
              <w:ind w:left="274"/>
            </w:pPr>
            <w:r>
              <w:t>5</w:t>
            </w:r>
          </w:p>
        </w:tc>
        <w:tc>
          <w:tcPr>
            <w:tcW w:w="1110" w:type="dxa"/>
            <w:vAlign w:val="top"/>
          </w:tcPr>
          <w:p w14:paraId="5D392A79">
            <w:pPr>
              <w:spacing w:line="254" w:lineRule="auto"/>
              <w:rPr>
                <w:rFonts w:ascii="Arial"/>
                <w:sz w:val="21"/>
              </w:rPr>
            </w:pPr>
          </w:p>
          <w:p w14:paraId="60AE3E95">
            <w:pPr>
              <w:spacing w:line="254" w:lineRule="auto"/>
              <w:rPr>
                <w:rFonts w:ascii="Arial"/>
                <w:sz w:val="21"/>
              </w:rPr>
            </w:pPr>
          </w:p>
          <w:p w14:paraId="55945755">
            <w:pPr>
              <w:spacing w:line="254" w:lineRule="auto"/>
              <w:rPr>
                <w:rFonts w:ascii="Arial"/>
                <w:sz w:val="21"/>
              </w:rPr>
            </w:pPr>
          </w:p>
          <w:p w14:paraId="268E74DF">
            <w:pPr>
              <w:spacing w:line="254" w:lineRule="auto"/>
              <w:rPr>
                <w:rFonts w:ascii="Arial"/>
                <w:sz w:val="21"/>
              </w:rPr>
            </w:pPr>
          </w:p>
          <w:p w14:paraId="3D04B4CE">
            <w:pPr>
              <w:spacing w:line="255" w:lineRule="auto"/>
              <w:rPr>
                <w:rFonts w:ascii="Arial"/>
                <w:sz w:val="21"/>
              </w:rPr>
            </w:pPr>
          </w:p>
          <w:p w14:paraId="5A0F3097">
            <w:pPr>
              <w:spacing w:line="255" w:lineRule="auto"/>
              <w:rPr>
                <w:rFonts w:ascii="Arial"/>
                <w:sz w:val="21"/>
              </w:rPr>
            </w:pPr>
          </w:p>
          <w:p w14:paraId="568D9628">
            <w:pPr>
              <w:pStyle w:val="8"/>
              <w:spacing w:before="59" w:line="241" w:lineRule="auto"/>
              <w:ind w:left="114" w:right="108"/>
              <w:jc w:val="both"/>
            </w:pPr>
            <w:r>
              <w:rPr>
                <w:spacing w:val="-4"/>
              </w:rPr>
              <w:t>对危害航道</w:t>
            </w:r>
            <w:r>
              <w:t xml:space="preserve"> </w:t>
            </w:r>
            <w:r>
              <w:rPr>
                <w:spacing w:val="-4"/>
              </w:rPr>
              <w:t>通航安全行</w:t>
            </w:r>
            <w:r>
              <w:t xml:space="preserve"> </w:t>
            </w:r>
            <w:r>
              <w:rPr>
                <w:spacing w:val="-4"/>
              </w:rPr>
              <w:t>为的行政处</w:t>
            </w:r>
            <w:r>
              <w:t xml:space="preserve"> 罚</w:t>
            </w:r>
          </w:p>
        </w:tc>
        <w:tc>
          <w:tcPr>
            <w:tcW w:w="1111" w:type="dxa"/>
            <w:vAlign w:val="top"/>
          </w:tcPr>
          <w:p w14:paraId="0877B62D">
            <w:pPr>
              <w:spacing w:line="267" w:lineRule="auto"/>
              <w:rPr>
                <w:rFonts w:ascii="Arial"/>
                <w:sz w:val="21"/>
              </w:rPr>
            </w:pPr>
          </w:p>
          <w:p w14:paraId="52BB5F1F">
            <w:pPr>
              <w:spacing w:line="267" w:lineRule="auto"/>
              <w:rPr>
                <w:rFonts w:ascii="Arial"/>
                <w:sz w:val="21"/>
              </w:rPr>
            </w:pPr>
          </w:p>
          <w:p w14:paraId="07334123">
            <w:pPr>
              <w:spacing w:line="267" w:lineRule="auto"/>
              <w:rPr>
                <w:rFonts w:ascii="Arial"/>
                <w:sz w:val="21"/>
              </w:rPr>
            </w:pPr>
          </w:p>
          <w:p w14:paraId="0A4E0703">
            <w:pPr>
              <w:spacing w:line="267" w:lineRule="auto"/>
              <w:rPr>
                <w:rFonts w:ascii="Arial"/>
                <w:sz w:val="21"/>
              </w:rPr>
            </w:pPr>
          </w:p>
          <w:p w14:paraId="0F020741">
            <w:pPr>
              <w:spacing w:line="267" w:lineRule="auto"/>
              <w:rPr>
                <w:rFonts w:ascii="Arial"/>
                <w:sz w:val="21"/>
              </w:rPr>
            </w:pPr>
          </w:p>
          <w:p w14:paraId="6B161BCC">
            <w:pPr>
              <w:spacing w:line="268" w:lineRule="auto"/>
              <w:rPr>
                <w:rFonts w:ascii="Arial"/>
                <w:sz w:val="21"/>
              </w:rPr>
            </w:pPr>
          </w:p>
          <w:p w14:paraId="05EE731D">
            <w:pPr>
              <w:spacing w:line="268" w:lineRule="auto"/>
              <w:rPr>
                <w:rFonts w:ascii="Arial"/>
                <w:sz w:val="21"/>
              </w:rPr>
            </w:pPr>
          </w:p>
          <w:p w14:paraId="4BF0F9D8">
            <w:pPr>
              <w:pStyle w:val="8"/>
              <w:spacing w:before="59" w:line="220" w:lineRule="auto"/>
              <w:ind w:left="8"/>
            </w:pPr>
            <w:r>
              <w:rPr>
                <w:spacing w:val="-4"/>
              </w:rPr>
              <w:t>行政处罚</w:t>
            </w:r>
          </w:p>
        </w:tc>
        <w:tc>
          <w:tcPr>
            <w:tcW w:w="8613" w:type="dxa"/>
            <w:vAlign w:val="top"/>
          </w:tcPr>
          <w:p w14:paraId="7686D96A">
            <w:pPr>
              <w:pStyle w:val="8"/>
              <w:spacing w:before="36" w:line="219" w:lineRule="auto"/>
              <w:ind w:left="477"/>
            </w:pPr>
            <w:r>
              <w:rPr>
                <w:b/>
                <w:bCs/>
                <w:spacing w:val="-6"/>
              </w:rPr>
              <w:t>1.《中华人民共和国航道法》</w:t>
            </w:r>
          </w:p>
          <w:p w14:paraId="39AF8C84">
            <w:pPr>
              <w:pStyle w:val="8"/>
              <w:spacing w:before="24"/>
              <w:ind w:left="115" w:right="105" w:firstLine="355"/>
            </w:pPr>
            <w:r>
              <w:rPr>
                <w:spacing w:val="7"/>
              </w:rPr>
              <w:t>第三十五条  禁止下列危害航道通航安全的行为</w:t>
            </w:r>
            <w:r>
              <w:rPr>
                <w:spacing w:val="-3"/>
              </w:rPr>
              <w:t>：（</w:t>
            </w:r>
            <w:r>
              <w:rPr>
                <w:spacing w:val="7"/>
              </w:rPr>
              <w:t>一）在航道内设置渔具或者水产养殖设施的；</w:t>
            </w:r>
            <w:r>
              <w:rPr>
                <w:spacing w:val="1"/>
              </w:rPr>
              <w:t xml:space="preserve"> </w:t>
            </w:r>
            <w:r>
              <w:rPr>
                <w:spacing w:val="-1"/>
              </w:rPr>
              <w:t>（二）在航道和航道保护范围内倾倒砂石、泥土、垃圾以及其他废弃物的</w:t>
            </w:r>
            <w:r>
              <w:rPr>
                <w:spacing w:val="-14"/>
              </w:rPr>
              <w:t>；（</w:t>
            </w:r>
            <w:r>
              <w:rPr>
                <w:spacing w:val="-1"/>
              </w:rPr>
              <w:t>三）在通航建筑物及其引</w:t>
            </w:r>
            <w:r>
              <w:rPr>
                <w:spacing w:val="-2"/>
              </w:rPr>
              <w:t>航道</w:t>
            </w:r>
            <w:r>
              <w:t xml:space="preserve"> </w:t>
            </w:r>
            <w:r>
              <w:rPr>
                <w:spacing w:val="-1"/>
              </w:rPr>
              <w:t>和船舶调度区内从事货物装卸、水上加油、船舶维修、捕鱼等，影响通航建筑物正常运行的</w:t>
            </w:r>
            <w:r>
              <w:rPr>
                <w:spacing w:val="-15"/>
              </w:rPr>
              <w:t>；（</w:t>
            </w:r>
            <w:r>
              <w:rPr>
                <w:spacing w:val="-1"/>
              </w:rPr>
              <w:t>四）危害航</w:t>
            </w:r>
            <w:r>
              <w:t xml:space="preserve"> </w:t>
            </w:r>
            <w:r>
              <w:rPr>
                <w:spacing w:val="-3"/>
              </w:rPr>
              <w:t>道设施安全的</w:t>
            </w:r>
            <w:r>
              <w:rPr>
                <w:spacing w:val="-17"/>
              </w:rPr>
              <w:t>；（</w:t>
            </w:r>
            <w:r>
              <w:rPr>
                <w:spacing w:val="-3"/>
              </w:rPr>
              <w:t>五）其他危害航道通航安全的行为。</w:t>
            </w:r>
          </w:p>
          <w:p w14:paraId="1F7CFACF">
            <w:pPr>
              <w:pStyle w:val="8"/>
              <w:spacing w:before="25" w:line="241" w:lineRule="auto"/>
              <w:ind w:left="116" w:right="105" w:firstLine="360"/>
              <w:jc w:val="both"/>
            </w:pPr>
            <w:r>
              <w:rPr>
                <w:spacing w:val="2"/>
              </w:rPr>
              <w:t>第四十二条  违反本法规定，有下列行为之一的，由负责航道管理的部门责令改正，对单位处五万元</w:t>
            </w:r>
            <w:r>
              <w:rPr>
                <w:spacing w:val="9"/>
              </w:rPr>
              <w:t xml:space="preserve"> </w:t>
            </w:r>
            <w:r>
              <w:rPr>
                <w:spacing w:val="3"/>
              </w:rPr>
              <w:t>以下罚款，对个人处二千元以下罚款；造成损失的，依法承担赔偿责任</w:t>
            </w:r>
            <w:r>
              <w:rPr>
                <w:spacing w:val="-11"/>
              </w:rPr>
              <w:t>：（</w:t>
            </w:r>
            <w:r>
              <w:rPr>
                <w:spacing w:val="3"/>
              </w:rPr>
              <w:t>一）在航</w:t>
            </w:r>
            <w:r>
              <w:rPr>
                <w:spacing w:val="2"/>
              </w:rPr>
              <w:t>道内设置渔具或者水</w:t>
            </w:r>
            <w:r>
              <w:rPr>
                <w:spacing w:val="1"/>
              </w:rPr>
              <w:t xml:space="preserve"> </w:t>
            </w:r>
            <w:r>
              <w:rPr>
                <w:spacing w:val="-1"/>
              </w:rPr>
              <w:t>产养殖设施的</w:t>
            </w:r>
            <w:r>
              <w:rPr>
                <w:spacing w:val="-7"/>
              </w:rPr>
              <w:t>；（</w:t>
            </w:r>
            <w:r>
              <w:rPr>
                <w:spacing w:val="-1"/>
              </w:rPr>
              <w:t>二）在航道和航道保护范围内倾倒砂石、泥土、垃圾以及其他废弃物的</w:t>
            </w:r>
            <w:r>
              <w:rPr>
                <w:spacing w:val="-7"/>
              </w:rPr>
              <w:t>；（</w:t>
            </w:r>
            <w:r>
              <w:rPr>
                <w:spacing w:val="-2"/>
              </w:rPr>
              <w:t>三）在通航建</w:t>
            </w:r>
            <w:r>
              <w:rPr>
                <w:spacing w:val="1"/>
              </w:rPr>
              <w:t xml:space="preserve"> </w:t>
            </w:r>
            <w:r>
              <w:rPr>
                <w:spacing w:val="2"/>
              </w:rPr>
              <w:t>筑物及其引航道和船舶调度区内从事货物装卸、水上加油、船舶维修、捕鱼等，影响通航建筑物正常运行</w:t>
            </w:r>
            <w:r>
              <w:rPr>
                <w:spacing w:val="12"/>
              </w:rPr>
              <w:t xml:space="preserve"> </w:t>
            </w:r>
            <w:r>
              <w:rPr>
                <w:spacing w:val="-2"/>
              </w:rPr>
              <w:t>的</w:t>
            </w:r>
            <w:r>
              <w:rPr>
                <w:spacing w:val="-21"/>
              </w:rPr>
              <w:t>；（</w:t>
            </w:r>
            <w:r>
              <w:rPr>
                <w:spacing w:val="-2"/>
              </w:rPr>
              <w:t>四）危害航道设施安全的</w:t>
            </w:r>
            <w:r>
              <w:rPr>
                <w:spacing w:val="-21"/>
              </w:rPr>
              <w:t>；（</w:t>
            </w:r>
            <w:r>
              <w:rPr>
                <w:spacing w:val="-2"/>
              </w:rPr>
              <w:t>五）其他危害航道通航安全的行为。</w:t>
            </w:r>
          </w:p>
          <w:p w14:paraId="448E6F2B">
            <w:pPr>
              <w:pStyle w:val="8"/>
              <w:spacing w:before="25" w:line="219" w:lineRule="auto"/>
              <w:ind w:left="473"/>
            </w:pPr>
            <w:r>
              <w:rPr>
                <w:b/>
                <w:bCs/>
                <w:spacing w:val="-5"/>
              </w:rPr>
              <w:t>2.《中华人民共和国内河交通安全管理条例》</w:t>
            </w:r>
          </w:p>
          <w:p w14:paraId="76925FC2">
            <w:pPr>
              <w:pStyle w:val="8"/>
              <w:spacing w:before="26" w:line="219" w:lineRule="auto"/>
              <w:ind w:left="471"/>
            </w:pPr>
            <w:r>
              <w:rPr>
                <w:spacing w:val="-1"/>
              </w:rPr>
              <w:t>第二十七条  航道内不得养殖、种植植物、水生物和设置永久</w:t>
            </w:r>
            <w:r>
              <w:rPr>
                <w:spacing w:val="-2"/>
              </w:rPr>
              <w:t>性固定设施。</w:t>
            </w:r>
          </w:p>
          <w:p w14:paraId="3FECC9A8">
            <w:pPr>
              <w:pStyle w:val="8"/>
              <w:spacing w:before="25" w:line="233" w:lineRule="auto"/>
              <w:ind w:left="115" w:right="103" w:firstLine="343"/>
            </w:pPr>
            <w:r>
              <w:rPr>
                <w:spacing w:val="-1"/>
              </w:rPr>
              <w:t>划定航道，涉及水产养殖区的，航道主管部门应当征求渔业行政主管部门的意</w:t>
            </w:r>
            <w:r>
              <w:rPr>
                <w:spacing w:val="-2"/>
              </w:rPr>
              <w:t>见；设置水产养殖区，涉</w:t>
            </w:r>
            <w:r>
              <w:t xml:space="preserve"> </w:t>
            </w:r>
            <w:r>
              <w:rPr>
                <w:spacing w:val="-2"/>
              </w:rPr>
              <w:t>及航道的，渔业行政主管部门应当征求航道主管部门和海</w:t>
            </w:r>
            <w:r>
              <w:rPr>
                <w:spacing w:val="-3"/>
              </w:rPr>
              <w:t>事管理机构的意见。</w:t>
            </w:r>
          </w:p>
          <w:p w14:paraId="6730881C">
            <w:pPr>
              <w:pStyle w:val="8"/>
              <w:spacing w:before="26" w:line="230" w:lineRule="auto"/>
              <w:ind w:left="118" w:right="103" w:firstLine="341"/>
            </w:pPr>
            <w:r>
              <w:rPr>
                <w:spacing w:val="-1"/>
              </w:rPr>
              <w:t>第七十四条  违反本条例的规定，在内河通航水域的航道内养殖、种植植物、</w:t>
            </w:r>
            <w:r>
              <w:rPr>
                <w:spacing w:val="-2"/>
              </w:rPr>
              <w:t>水生物或者设置永久性固</w:t>
            </w:r>
            <w:r>
              <w:t xml:space="preserve"> </w:t>
            </w:r>
            <w:r>
              <w:rPr>
                <w:spacing w:val="2"/>
              </w:rPr>
              <w:t>定设施的，由海事管理机构责令限期改正；逾期不改正的，予以强制清除，因清除发生的费用由其所有人</w:t>
            </w:r>
            <w:r>
              <w:rPr>
                <w:spacing w:val="7"/>
              </w:rPr>
              <w:t xml:space="preserve"> </w:t>
            </w:r>
            <w:r>
              <w:rPr>
                <w:spacing w:val="-3"/>
              </w:rPr>
              <w:t>或者经营人承担。</w:t>
            </w:r>
          </w:p>
        </w:tc>
        <w:tc>
          <w:tcPr>
            <w:tcW w:w="1020" w:type="dxa"/>
            <w:vAlign w:val="top"/>
          </w:tcPr>
          <w:p w14:paraId="004BBFFB">
            <w:pPr>
              <w:spacing w:line="249" w:lineRule="auto"/>
              <w:rPr>
                <w:rFonts w:ascii="Arial"/>
                <w:sz w:val="21"/>
              </w:rPr>
            </w:pPr>
          </w:p>
          <w:p w14:paraId="161E6480">
            <w:pPr>
              <w:spacing w:line="249" w:lineRule="auto"/>
              <w:rPr>
                <w:rFonts w:ascii="Arial"/>
                <w:sz w:val="21"/>
              </w:rPr>
            </w:pPr>
          </w:p>
          <w:p w14:paraId="0E5C39B1">
            <w:pPr>
              <w:spacing w:line="249" w:lineRule="auto"/>
              <w:rPr>
                <w:rFonts w:ascii="Arial"/>
                <w:sz w:val="21"/>
              </w:rPr>
            </w:pPr>
          </w:p>
          <w:p w14:paraId="688C3955">
            <w:pPr>
              <w:spacing w:line="249" w:lineRule="auto"/>
              <w:rPr>
                <w:rFonts w:ascii="Arial"/>
                <w:sz w:val="21"/>
              </w:rPr>
            </w:pPr>
          </w:p>
          <w:p w14:paraId="01E4D15B">
            <w:pPr>
              <w:spacing w:line="249" w:lineRule="auto"/>
              <w:rPr>
                <w:rFonts w:ascii="Arial"/>
                <w:sz w:val="21"/>
              </w:rPr>
            </w:pPr>
          </w:p>
          <w:p w14:paraId="10BF4CDB">
            <w:pPr>
              <w:spacing w:line="249" w:lineRule="auto"/>
              <w:rPr>
                <w:rFonts w:ascii="Arial"/>
                <w:sz w:val="21"/>
              </w:rPr>
            </w:pPr>
          </w:p>
          <w:p w14:paraId="5320426B">
            <w:pPr>
              <w:spacing w:line="250" w:lineRule="auto"/>
              <w:rPr>
                <w:rFonts w:ascii="Arial"/>
                <w:sz w:val="21"/>
              </w:rPr>
            </w:pPr>
          </w:p>
          <w:p w14:paraId="6B0A9285">
            <w:pPr>
              <w:pStyle w:val="8"/>
              <w:spacing w:before="59" w:line="243" w:lineRule="auto"/>
              <w:ind w:left="181" w:right="158" w:firstLine="2"/>
            </w:pPr>
            <w:r>
              <w:rPr>
                <w:spacing w:val="-12"/>
              </w:rPr>
              <w:t>交通运输</w:t>
            </w:r>
            <w:r>
              <w:t xml:space="preserve"> </w:t>
            </w:r>
            <w:r>
              <w:rPr>
                <w:spacing w:val="-12"/>
              </w:rPr>
              <w:t>主管部门</w:t>
            </w:r>
          </w:p>
        </w:tc>
        <w:tc>
          <w:tcPr>
            <w:tcW w:w="1416" w:type="dxa"/>
            <w:vAlign w:val="top"/>
          </w:tcPr>
          <w:p w14:paraId="15894A78">
            <w:pPr>
              <w:spacing w:line="268" w:lineRule="auto"/>
              <w:rPr>
                <w:rFonts w:ascii="Arial"/>
                <w:sz w:val="21"/>
              </w:rPr>
            </w:pPr>
          </w:p>
          <w:p w14:paraId="6EF2AD37">
            <w:pPr>
              <w:spacing w:line="268" w:lineRule="auto"/>
              <w:rPr>
                <w:rFonts w:ascii="Arial"/>
                <w:sz w:val="21"/>
              </w:rPr>
            </w:pPr>
          </w:p>
          <w:p w14:paraId="032EA8E2">
            <w:pPr>
              <w:spacing w:line="268" w:lineRule="auto"/>
              <w:rPr>
                <w:rFonts w:ascii="Arial"/>
                <w:sz w:val="21"/>
              </w:rPr>
            </w:pPr>
          </w:p>
          <w:p w14:paraId="63FC0140">
            <w:pPr>
              <w:spacing w:line="268" w:lineRule="auto"/>
              <w:rPr>
                <w:rFonts w:ascii="Arial"/>
                <w:sz w:val="21"/>
              </w:rPr>
            </w:pPr>
          </w:p>
          <w:p w14:paraId="6FB116EE">
            <w:pPr>
              <w:spacing w:line="269" w:lineRule="auto"/>
              <w:rPr>
                <w:rFonts w:ascii="Arial"/>
                <w:sz w:val="21"/>
              </w:rPr>
            </w:pPr>
          </w:p>
          <w:p w14:paraId="4C277A55">
            <w:pPr>
              <w:spacing w:line="269" w:lineRule="auto"/>
              <w:rPr>
                <w:rFonts w:ascii="Arial"/>
                <w:sz w:val="21"/>
              </w:rPr>
            </w:pPr>
          </w:p>
          <w:p w14:paraId="3C3944A8">
            <w:pPr>
              <w:spacing w:line="269" w:lineRule="auto"/>
              <w:rPr>
                <w:rFonts w:ascii="Arial"/>
                <w:sz w:val="21"/>
              </w:rPr>
            </w:pPr>
          </w:p>
          <w:p w14:paraId="48FF9DB7">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429CD774">
            <w:pPr>
              <w:spacing w:line="274" w:lineRule="auto"/>
              <w:rPr>
                <w:rFonts w:ascii="Arial"/>
                <w:sz w:val="21"/>
              </w:rPr>
            </w:pPr>
          </w:p>
          <w:p w14:paraId="6D8AE3A4">
            <w:pPr>
              <w:spacing w:line="274" w:lineRule="auto"/>
              <w:rPr>
                <w:rFonts w:ascii="Arial"/>
                <w:sz w:val="21"/>
              </w:rPr>
            </w:pPr>
          </w:p>
          <w:p w14:paraId="07F43556">
            <w:pPr>
              <w:spacing w:line="274" w:lineRule="auto"/>
              <w:rPr>
                <w:rFonts w:ascii="Arial"/>
                <w:sz w:val="21"/>
              </w:rPr>
            </w:pPr>
          </w:p>
          <w:p w14:paraId="566C9968">
            <w:pPr>
              <w:spacing w:line="275" w:lineRule="auto"/>
              <w:rPr>
                <w:rFonts w:ascii="Arial"/>
                <w:sz w:val="21"/>
              </w:rPr>
            </w:pPr>
          </w:p>
          <w:p w14:paraId="04895F98">
            <w:pPr>
              <w:spacing w:line="275" w:lineRule="auto"/>
              <w:rPr>
                <w:rFonts w:ascii="Arial"/>
                <w:sz w:val="21"/>
              </w:rPr>
            </w:pPr>
          </w:p>
          <w:p w14:paraId="25C4CE9B">
            <w:pPr>
              <w:spacing w:line="275" w:lineRule="auto"/>
              <w:rPr>
                <w:rFonts w:ascii="Arial"/>
                <w:sz w:val="21"/>
              </w:rPr>
            </w:pPr>
          </w:p>
          <w:p w14:paraId="68BCA910">
            <w:pPr>
              <w:pStyle w:val="8"/>
              <w:spacing w:before="59"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5636A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8" w:hRule="atLeast"/>
        </w:trPr>
        <w:tc>
          <w:tcPr>
            <w:tcW w:w="626" w:type="dxa"/>
            <w:vAlign w:val="top"/>
          </w:tcPr>
          <w:p w14:paraId="23AEDA1E">
            <w:pPr>
              <w:spacing w:line="243" w:lineRule="auto"/>
              <w:rPr>
                <w:rFonts w:ascii="Arial"/>
                <w:sz w:val="21"/>
              </w:rPr>
            </w:pPr>
          </w:p>
          <w:p w14:paraId="086F39D5">
            <w:pPr>
              <w:spacing w:line="243" w:lineRule="auto"/>
              <w:rPr>
                <w:rFonts w:ascii="Arial"/>
                <w:sz w:val="21"/>
              </w:rPr>
            </w:pPr>
          </w:p>
          <w:p w14:paraId="4ED0D8FB">
            <w:pPr>
              <w:spacing w:line="243" w:lineRule="auto"/>
              <w:rPr>
                <w:rFonts w:ascii="Arial"/>
                <w:sz w:val="21"/>
              </w:rPr>
            </w:pPr>
          </w:p>
          <w:p w14:paraId="1A479B11">
            <w:pPr>
              <w:spacing w:line="243" w:lineRule="auto"/>
              <w:rPr>
                <w:rFonts w:ascii="Arial"/>
                <w:sz w:val="21"/>
              </w:rPr>
            </w:pPr>
          </w:p>
          <w:p w14:paraId="1A1D6BA2">
            <w:pPr>
              <w:spacing w:line="243" w:lineRule="auto"/>
              <w:rPr>
                <w:rFonts w:ascii="Arial"/>
                <w:sz w:val="21"/>
              </w:rPr>
            </w:pPr>
          </w:p>
          <w:p w14:paraId="350996B6">
            <w:pPr>
              <w:spacing w:line="243" w:lineRule="auto"/>
              <w:rPr>
                <w:rFonts w:ascii="Arial"/>
                <w:sz w:val="21"/>
              </w:rPr>
            </w:pPr>
          </w:p>
          <w:p w14:paraId="2BF3D23E">
            <w:pPr>
              <w:pStyle w:val="8"/>
              <w:spacing w:before="58" w:line="183" w:lineRule="auto"/>
              <w:ind w:left="272"/>
            </w:pPr>
            <w:r>
              <w:t>6</w:t>
            </w:r>
          </w:p>
        </w:tc>
        <w:tc>
          <w:tcPr>
            <w:tcW w:w="1110" w:type="dxa"/>
            <w:vAlign w:val="top"/>
          </w:tcPr>
          <w:p w14:paraId="746334F7">
            <w:pPr>
              <w:spacing w:line="310" w:lineRule="auto"/>
              <w:rPr>
                <w:rFonts w:ascii="Arial"/>
                <w:sz w:val="21"/>
              </w:rPr>
            </w:pPr>
          </w:p>
          <w:p w14:paraId="0C097A59">
            <w:pPr>
              <w:spacing w:line="311" w:lineRule="auto"/>
              <w:rPr>
                <w:rFonts w:ascii="Arial"/>
                <w:sz w:val="21"/>
              </w:rPr>
            </w:pPr>
          </w:p>
          <w:p w14:paraId="26926D2F">
            <w:pPr>
              <w:spacing w:line="311" w:lineRule="auto"/>
              <w:rPr>
                <w:rFonts w:ascii="Arial"/>
                <w:sz w:val="21"/>
              </w:rPr>
            </w:pPr>
          </w:p>
          <w:p w14:paraId="53195A35">
            <w:pPr>
              <w:pStyle w:val="8"/>
              <w:spacing w:before="59" w:line="242" w:lineRule="auto"/>
              <w:ind w:left="114" w:right="108"/>
            </w:pPr>
            <w:r>
              <w:rPr>
                <w:spacing w:val="-4"/>
              </w:rPr>
              <w:t>对在航道和</w:t>
            </w:r>
            <w:r>
              <w:t xml:space="preserve"> </w:t>
            </w:r>
            <w:r>
              <w:rPr>
                <w:spacing w:val="-4"/>
              </w:rPr>
              <w:t>航道保护范</w:t>
            </w:r>
            <w:r>
              <w:t xml:space="preserve"> </w:t>
            </w:r>
            <w:r>
              <w:rPr>
                <w:spacing w:val="-4"/>
              </w:rPr>
              <w:t>围内采砂，</w:t>
            </w:r>
            <w:r>
              <w:t xml:space="preserve"> </w:t>
            </w:r>
            <w:r>
              <w:rPr>
                <w:spacing w:val="-4"/>
              </w:rPr>
              <w:t>损害航道通</w:t>
            </w:r>
            <w:r>
              <w:t xml:space="preserve"> </w:t>
            </w:r>
            <w:r>
              <w:rPr>
                <w:spacing w:val="-4"/>
              </w:rPr>
              <w:t>航条件行为</w:t>
            </w:r>
            <w:r>
              <w:t xml:space="preserve"> </w:t>
            </w:r>
            <w:r>
              <w:rPr>
                <w:spacing w:val="-5"/>
              </w:rPr>
              <w:t>的行政处罚</w:t>
            </w:r>
          </w:p>
        </w:tc>
        <w:tc>
          <w:tcPr>
            <w:tcW w:w="1111" w:type="dxa"/>
            <w:vAlign w:val="top"/>
          </w:tcPr>
          <w:p w14:paraId="27ED3869">
            <w:pPr>
              <w:spacing w:line="252" w:lineRule="auto"/>
              <w:rPr>
                <w:rFonts w:ascii="Arial"/>
                <w:sz w:val="21"/>
              </w:rPr>
            </w:pPr>
          </w:p>
          <w:p w14:paraId="795FFA9F">
            <w:pPr>
              <w:spacing w:line="252" w:lineRule="auto"/>
              <w:rPr>
                <w:rFonts w:ascii="Arial"/>
                <w:sz w:val="21"/>
              </w:rPr>
            </w:pPr>
          </w:p>
          <w:p w14:paraId="41D8219F">
            <w:pPr>
              <w:spacing w:line="252" w:lineRule="auto"/>
              <w:rPr>
                <w:rFonts w:ascii="Arial"/>
                <w:sz w:val="21"/>
              </w:rPr>
            </w:pPr>
          </w:p>
          <w:p w14:paraId="52AFD46E">
            <w:pPr>
              <w:spacing w:line="253" w:lineRule="auto"/>
              <w:rPr>
                <w:rFonts w:ascii="Arial"/>
                <w:sz w:val="21"/>
              </w:rPr>
            </w:pPr>
          </w:p>
          <w:p w14:paraId="06B03291">
            <w:pPr>
              <w:spacing w:line="253" w:lineRule="auto"/>
              <w:rPr>
                <w:rFonts w:ascii="Arial"/>
                <w:sz w:val="21"/>
              </w:rPr>
            </w:pPr>
          </w:p>
          <w:p w14:paraId="18AD2A39">
            <w:pPr>
              <w:spacing w:line="253" w:lineRule="auto"/>
              <w:rPr>
                <w:rFonts w:ascii="Arial"/>
                <w:sz w:val="21"/>
              </w:rPr>
            </w:pPr>
          </w:p>
          <w:p w14:paraId="24527655">
            <w:pPr>
              <w:pStyle w:val="8"/>
              <w:spacing w:before="59" w:line="220" w:lineRule="auto"/>
              <w:ind w:left="8"/>
            </w:pPr>
            <w:r>
              <w:rPr>
                <w:spacing w:val="-4"/>
              </w:rPr>
              <w:t>行政处罚</w:t>
            </w:r>
          </w:p>
        </w:tc>
        <w:tc>
          <w:tcPr>
            <w:tcW w:w="8613" w:type="dxa"/>
            <w:vAlign w:val="top"/>
          </w:tcPr>
          <w:p w14:paraId="30306BEB">
            <w:pPr>
              <w:pStyle w:val="8"/>
              <w:spacing w:before="38" w:line="219" w:lineRule="auto"/>
              <w:ind w:left="477"/>
            </w:pPr>
            <w:r>
              <w:rPr>
                <w:b/>
                <w:bCs/>
                <w:spacing w:val="-7"/>
              </w:rPr>
              <w:t>1.《中华人民共和国航道法》</w:t>
            </w:r>
          </w:p>
          <w:p w14:paraId="0478E429">
            <w:pPr>
              <w:pStyle w:val="8"/>
              <w:spacing w:before="25" w:line="219" w:lineRule="auto"/>
              <w:ind w:left="471"/>
            </w:pPr>
            <w:r>
              <w:rPr>
                <w:spacing w:val="-2"/>
              </w:rPr>
              <w:t>第三十六条第二款  在航道和航道保护范围内采砂，不得损害航道通航条件。</w:t>
            </w:r>
          </w:p>
          <w:p w14:paraId="38CD925A">
            <w:pPr>
              <w:pStyle w:val="8"/>
              <w:spacing w:before="27" w:line="237" w:lineRule="auto"/>
              <w:ind w:left="115" w:right="105" w:firstLine="355"/>
            </w:pPr>
            <w:r>
              <w:rPr>
                <w:spacing w:val="2"/>
              </w:rPr>
              <w:t>第四十三条第二款  违反本法规定，在航道和航道保护范围内采砂，损害航道通航条件的，由负责航</w:t>
            </w:r>
            <w:r>
              <w:rPr>
                <w:spacing w:val="17"/>
              </w:rPr>
              <w:t xml:space="preserve"> </w:t>
            </w:r>
            <w:r>
              <w:rPr>
                <w:spacing w:val="-1"/>
              </w:rPr>
              <w:t>道管理的部门责令停止违法行为，没收违法</w:t>
            </w:r>
            <w:r>
              <w:rPr>
                <w:spacing w:val="-2"/>
              </w:rPr>
              <w:t>所得，可以扣押或者没收非法采砂船舶，并处五万元以上三十万</w:t>
            </w:r>
            <w:r>
              <w:t xml:space="preserve"> </w:t>
            </w:r>
            <w:r>
              <w:rPr>
                <w:spacing w:val="-3"/>
              </w:rPr>
              <w:t>元以下罚款；造成损失的，依法承担赔偿责任。</w:t>
            </w:r>
          </w:p>
          <w:p w14:paraId="78E57E59">
            <w:pPr>
              <w:pStyle w:val="8"/>
              <w:spacing w:before="26" w:line="219" w:lineRule="auto"/>
              <w:ind w:left="471"/>
            </w:pPr>
            <w:r>
              <w:rPr>
                <w:b/>
                <w:bCs/>
                <w:spacing w:val="-6"/>
              </w:rPr>
              <w:t>2.《湖南省水上交通安全条例》</w:t>
            </w:r>
          </w:p>
          <w:p w14:paraId="7025CA5D">
            <w:pPr>
              <w:pStyle w:val="8"/>
              <w:spacing w:before="25" w:line="233" w:lineRule="auto"/>
              <w:ind w:left="115" w:right="108" w:firstLine="353"/>
            </w:pPr>
            <w:r>
              <w:rPr>
                <w:spacing w:val="-1"/>
              </w:rPr>
              <w:t>第十二条第三款  任何单位和个人不得在渡口</w:t>
            </w:r>
            <w:r>
              <w:rPr>
                <w:spacing w:val="-2"/>
              </w:rPr>
              <w:t>水域保护范围内从事游泳、采砂、装卸、锚泊、养殖、捕</w:t>
            </w:r>
            <w:r>
              <w:t xml:space="preserve"> </w:t>
            </w:r>
            <w:r>
              <w:rPr>
                <w:spacing w:val="-4"/>
              </w:rPr>
              <w:t>捞、垂钓以及其他影响渡运安全的活动。</w:t>
            </w:r>
          </w:p>
          <w:p w14:paraId="2CF54716">
            <w:pPr>
              <w:pStyle w:val="8"/>
              <w:spacing w:before="26" w:line="219" w:lineRule="auto"/>
              <w:ind w:left="469"/>
            </w:pPr>
            <w:r>
              <w:rPr>
                <w:spacing w:val="-3"/>
              </w:rPr>
              <w:t>第十九条  禁止在航道内采砂。</w:t>
            </w:r>
          </w:p>
          <w:p w14:paraId="7A113FFB">
            <w:pPr>
              <w:pStyle w:val="8"/>
              <w:spacing w:before="25" w:line="238" w:lineRule="auto"/>
              <w:ind w:left="120" w:right="110" w:firstLine="347"/>
            </w:pPr>
            <w:r>
              <w:rPr>
                <w:spacing w:val="-1"/>
              </w:rPr>
              <w:t>在航道以外的河道从事采砂活动可能影响通航安全的，应当遵守下列规定</w:t>
            </w:r>
            <w:r>
              <w:rPr>
                <w:spacing w:val="-15"/>
              </w:rPr>
              <w:t>：（</w:t>
            </w:r>
            <w:r>
              <w:rPr>
                <w:spacing w:val="-1"/>
              </w:rPr>
              <w:t>一）按照国家规定设立信</w:t>
            </w:r>
            <w:r>
              <w:t xml:space="preserve"> </w:t>
            </w:r>
            <w:r>
              <w:rPr>
                <w:spacing w:val="4"/>
              </w:rPr>
              <w:t>号标志</w:t>
            </w:r>
            <w:r>
              <w:rPr>
                <w:spacing w:val="-11"/>
              </w:rPr>
              <w:t>；（</w:t>
            </w:r>
            <w:r>
              <w:rPr>
                <w:spacing w:val="4"/>
              </w:rPr>
              <w:t>二）及时清理现场、平整河道</w:t>
            </w:r>
            <w:r>
              <w:rPr>
                <w:spacing w:val="-11"/>
              </w:rPr>
              <w:t>；（</w:t>
            </w:r>
            <w:r>
              <w:rPr>
                <w:spacing w:val="4"/>
              </w:rPr>
              <w:t>三）不得为运砂船超限装载</w:t>
            </w:r>
            <w:r>
              <w:rPr>
                <w:spacing w:val="-11"/>
              </w:rPr>
              <w:t>；（</w:t>
            </w:r>
            <w:r>
              <w:rPr>
                <w:spacing w:val="4"/>
              </w:rPr>
              <w:t>四）不得在当日二</w:t>
            </w:r>
            <w:r>
              <w:rPr>
                <w:spacing w:val="3"/>
              </w:rPr>
              <w:t>十时至次</w:t>
            </w:r>
            <w:r>
              <w:rPr>
                <w:spacing w:val="5"/>
              </w:rPr>
              <w:t xml:space="preserve"> </w:t>
            </w:r>
            <w:r>
              <w:rPr>
                <w:spacing w:val="-4"/>
              </w:rPr>
              <w:t>日六时时段作业。</w:t>
            </w:r>
          </w:p>
          <w:p w14:paraId="41701C6C">
            <w:pPr>
              <w:pStyle w:val="8"/>
              <w:spacing w:before="25" w:line="221" w:lineRule="auto"/>
              <w:ind w:left="115" w:right="105" w:firstLine="355"/>
            </w:pPr>
            <w:r>
              <w:rPr>
                <w:spacing w:val="-1"/>
              </w:rPr>
              <w:t>水行政主管部门或者采砂管理机构应当落实</w:t>
            </w:r>
            <w:r>
              <w:rPr>
                <w:spacing w:val="-2"/>
              </w:rPr>
              <w:t>运砂船签单发航制度，水行政主管部门应当依法查处无证采</w:t>
            </w:r>
            <w:r>
              <w:t xml:space="preserve"> </w:t>
            </w:r>
            <w:r>
              <w:rPr>
                <w:spacing w:val="-3"/>
              </w:rPr>
              <w:t>砂、超限配载、夜间采挖等违法采砂行为。</w:t>
            </w:r>
          </w:p>
        </w:tc>
        <w:tc>
          <w:tcPr>
            <w:tcW w:w="1020" w:type="dxa"/>
            <w:vAlign w:val="top"/>
          </w:tcPr>
          <w:p w14:paraId="4EAA4D56">
            <w:pPr>
              <w:spacing w:line="281" w:lineRule="auto"/>
              <w:rPr>
                <w:rFonts w:ascii="Arial"/>
                <w:sz w:val="21"/>
              </w:rPr>
            </w:pPr>
          </w:p>
          <w:p w14:paraId="6E8FD0F2">
            <w:pPr>
              <w:spacing w:line="281" w:lineRule="auto"/>
              <w:rPr>
                <w:rFonts w:ascii="Arial"/>
                <w:sz w:val="21"/>
              </w:rPr>
            </w:pPr>
          </w:p>
          <w:p w14:paraId="25CB2324">
            <w:pPr>
              <w:spacing w:line="281" w:lineRule="auto"/>
              <w:rPr>
                <w:rFonts w:ascii="Arial"/>
                <w:sz w:val="21"/>
              </w:rPr>
            </w:pPr>
          </w:p>
          <w:p w14:paraId="773522E4">
            <w:pPr>
              <w:spacing w:line="281" w:lineRule="auto"/>
              <w:rPr>
                <w:rFonts w:ascii="Arial"/>
                <w:sz w:val="21"/>
              </w:rPr>
            </w:pPr>
          </w:p>
          <w:p w14:paraId="25FB764A">
            <w:pPr>
              <w:spacing w:line="281" w:lineRule="auto"/>
              <w:rPr>
                <w:rFonts w:ascii="Arial"/>
                <w:sz w:val="21"/>
              </w:rPr>
            </w:pPr>
          </w:p>
          <w:p w14:paraId="4B7824FE">
            <w:pPr>
              <w:pStyle w:val="8"/>
              <w:spacing w:before="58" w:line="227" w:lineRule="auto"/>
              <w:ind w:left="181" w:right="158" w:firstLine="2"/>
            </w:pPr>
            <w:r>
              <w:rPr>
                <w:spacing w:val="-12"/>
              </w:rPr>
              <w:t>交通运输</w:t>
            </w:r>
            <w:r>
              <w:t xml:space="preserve"> </w:t>
            </w:r>
            <w:r>
              <w:rPr>
                <w:spacing w:val="-12"/>
              </w:rPr>
              <w:t>主管部门</w:t>
            </w:r>
          </w:p>
        </w:tc>
        <w:tc>
          <w:tcPr>
            <w:tcW w:w="1416" w:type="dxa"/>
            <w:vAlign w:val="top"/>
          </w:tcPr>
          <w:p w14:paraId="11F12ADF">
            <w:pPr>
              <w:spacing w:line="253" w:lineRule="auto"/>
              <w:rPr>
                <w:rFonts w:ascii="Arial"/>
                <w:sz w:val="21"/>
              </w:rPr>
            </w:pPr>
          </w:p>
          <w:p w14:paraId="6838698C">
            <w:pPr>
              <w:spacing w:line="254" w:lineRule="auto"/>
              <w:rPr>
                <w:rFonts w:ascii="Arial"/>
                <w:sz w:val="21"/>
              </w:rPr>
            </w:pPr>
          </w:p>
          <w:p w14:paraId="3CF06CB5">
            <w:pPr>
              <w:spacing w:line="254" w:lineRule="auto"/>
              <w:rPr>
                <w:rFonts w:ascii="Arial"/>
                <w:sz w:val="21"/>
              </w:rPr>
            </w:pPr>
          </w:p>
          <w:p w14:paraId="7BA53A90">
            <w:pPr>
              <w:spacing w:line="254" w:lineRule="auto"/>
              <w:rPr>
                <w:rFonts w:ascii="Arial"/>
                <w:sz w:val="21"/>
              </w:rPr>
            </w:pPr>
          </w:p>
          <w:p w14:paraId="4E635FC1">
            <w:pPr>
              <w:spacing w:line="254" w:lineRule="auto"/>
              <w:rPr>
                <w:rFonts w:ascii="Arial"/>
                <w:sz w:val="21"/>
              </w:rPr>
            </w:pPr>
          </w:p>
          <w:p w14:paraId="4DEBA4FC">
            <w:pPr>
              <w:spacing w:line="254" w:lineRule="auto"/>
              <w:rPr>
                <w:rFonts w:ascii="Arial"/>
                <w:sz w:val="21"/>
              </w:rPr>
            </w:pPr>
          </w:p>
          <w:p w14:paraId="6313F367">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467355B7">
            <w:pPr>
              <w:spacing w:line="258" w:lineRule="auto"/>
              <w:rPr>
                <w:rFonts w:ascii="Arial"/>
                <w:sz w:val="21"/>
              </w:rPr>
            </w:pPr>
          </w:p>
          <w:p w14:paraId="41E91B8D">
            <w:pPr>
              <w:spacing w:line="258" w:lineRule="auto"/>
              <w:rPr>
                <w:rFonts w:ascii="Arial"/>
                <w:sz w:val="21"/>
              </w:rPr>
            </w:pPr>
          </w:p>
          <w:p w14:paraId="33B95038">
            <w:pPr>
              <w:spacing w:line="258" w:lineRule="auto"/>
              <w:rPr>
                <w:rFonts w:ascii="Arial"/>
                <w:sz w:val="21"/>
              </w:rPr>
            </w:pPr>
          </w:p>
          <w:p w14:paraId="576DCCFE">
            <w:pPr>
              <w:spacing w:line="258" w:lineRule="auto"/>
              <w:rPr>
                <w:rFonts w:ascii="Arial"/>
                <w:sz w:val="21"/>
              </w:rPr>
            </w:pPr>
          </w:p>
          <w:p w14:paraId="1AEB214D">
            <w:pPr>
              <w:spacing w:line="259" w:lineRule="auto"/>
              <w:rPr>
                <w:rFonts w:ascii="Arial"/>
                <w:sz w:val="21"/>
              </w:rPr>
            </w:pPr>
          </w:p>
          <w:p w14:paraId="06A64790">
            <w:pPr>
              <w:pStyle w:val="8"/>
              <w:spacing w:before="59"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3A318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626" w:type="dxa"/>
            <w:vAlign w:val="top"/>
          </w:tcPr>
          <w:p w14:paraId="58FBA41C">
            <w:pPr>
              <w:spacing w:line="291" w:lineRule="auto"/>
              <w:rPr>
                <w:rFonts w:ascii="Arial"/>
                <w:sz w:val="21"/>
              </w:rPr>
            </w:pPr>
          </w:p>
          <w:p w14:paraId="2120D56B">
            <w:pPr>
              <w:spacing w:line="292" w:lineRule="auto"/>
              <w:rPr>
                <w:rFonts w:ascii="Arial"/>
                <w:sz w:val="21"/>
              </w:rPr>
            </w:pPr>
          </w:p>
          <w:p w14:paraId="12DC4996">
            <w:pPr>
              <w:pStyle w:val="8"/>
              <w:spacing w:before="58" w:line="182" w:lineRule="auto"/>
              <w:ind w:left="275"/>
            </w:pPr>
            <w:r>
              <w:t>7</w:t>
            </w:r>
          </w:p>
        </w:tc>
        <w:tc>
          <w:tcPr>
            <w:tcW w:w="1110" w:type="dxa"/>
            <w:vAlign w:val="top"/>
          </w:tcPr>
          <w:p w14:paraId="12B56036">
            <w:pPr>
              <w:pStyle w:val="8"/>
              <w:spacing w:before="42" w:line="237" w:lineRule="auto"/>
              <w:ind w:left="114" w:right="108"/>
              <w:jc w:val="both"/>
            </w:pPr>
            <w:r>
              <w:rPr>
                <w:spacing w:val="-4"/>
              </w:rPr>
              <w:t>对通航建筑</w:t>
            </w:r>
            <w:r>
              <w:t xml:space="preserve"> </w:t>
            </w:r>
            <w:r>
              <w:rPr>
                <w:spacing w:val="-4"/>
              </w:rPr>
              <w:t>物运行单位</w:t>
            </w:r>
            <w:r>
              <w:t xml:space="preserve"> </w:t>
            </w:r>
            <w:r>
              <w:rPr>
                <w:spacing w:val="-4"/>
              </w:rPr>
              <w:t>未按规定编</w:t>
            </w:r>
            <w:r>
              <w:t xml:space="preserve"> </w:t>
            </w:r>
            <w:r>
              <w:rPr>
                <w:spacing w:val="-4"/>
              </w:rPr>
              <w:t>制运行方案</w:t>
            </w:r>
            <w:r>
              <w:t xml:space="preserve"> </w:t>
            </w:r>
            <w:r>
              <w:rPr>
                <w:spacing w:val="-4"/>
              </w:rPr>
              <w:t>等行为的行</w:t>
            </w:r>
            <w:r>
              <w:t xml:space="preserve"> </w:t>
            </w:r>
            <w:r>
              <w:rPr>
                <w:spacing w:val="-4"/>
              </w:rPr>
              <w:t>政处罚</w:t>
            </w:r>
          </w:p>
        </w:tc>
        <w:tc>
          <w:tcPr>
            <w:tcW w:w="1111" w:type="dxa"/>
            <w:vAlign w:val="top"/>
          </w:tcPr>
          <w:p w14:paraId="296F5350">
            <w:pPr>
              <w:spacing w:line="281" w:lineRule="auto"/>
              <w:rPr>
                <w:rFonts w:ascii="Arial"/>
                <w:sz w:val="21"/>
              </w:rPr>
            </w:pPr>
          </w:p>
          <w:p w14:paraId="31AAD46A">
            <w:pPr>
              <w:spacing w:line="282" w:lineRule="auto"/>
              <w:rPr>
                <w:rFonts w:ascii="Arial"/>
                <w:sz w:val="21"/>
              </w:rPr>
            </w:pPr>
          </w:p>
          <w:p w14:paraId="41DA0E01">
            <w:pPr>
              <w:pStyle w:val="8"/>
              <w:spacing w:before="58" w:line="220" w:lineRule="auto"/>
              <w:ind w:left="8"/>
            </w:pPr>
            <w:r>
              <w:rPr>
                <w:spacing w:val="-4"/>
              </w:rPr>
              <w:t>行政处罚</w:t>
            </w:r>
          </w:p>
        </w:tc>
        <w:tc>
          <w:tcPr>
            <w:tcW w:w="8613" w:type="dxa"/>
            <w:vAlign w:val="top"/>
          </w:tcPr>
          <w:p w14:paraId="278D822A">
            <w:pPr>
              <w:pStyle w:val="8"/>
              <w:spacing w:before="40" w:line="219" w:lineRule="auto"/>
              <w:ind w:left="477"/>
            </w:pPr>
            <w:r>
              <w:rPr>
                <w:b/>
                <w:bCs/>
                <w:spacing w:val="-6"/>
              </w:rPr>
              <w:t>1.《中华人民共和国航道法》</w:t>
            </w:r>
          </w:p>
          <w:p w14:paraId="50596930">
            <w:pPr>
              <w:pStyle w:val="8"/>
              <w:spacing w:before="25" w:line="233" w:lineRule="auto"/>
              <w:ind w:left="134" w:right="108" w:firstLine="342"/>
            </w:pPr>
            <w:r>
              <w:rPr>
                <w:spacing w:val="2"/>
              </w:rPr>
              <w:t>第二十五条  第四款通航建筑物的运行应当适应船舶通行需要，运行方案应当经负责航道管理的部门</w:t>
            </w:r>
            <w:r>
              <w:rPr>
                <w:spacing w:val="12"/>
              </w:rPr>
              <w:t xml:space="preserve"> </w:t>
            </w:r>
            <w:r>
              <w:rPr>
                <w:spacing w:val="-1"/>
              </w:rPr>
              <w:t>同意并公布。通航建筑物的建设单位或者管理单位应</w:t>
            </w:r>
            <w:r>
              <w:rPr>
                <w:spacing w:val="-2"/>
              </w:rPr>
              <w:t>当按照规定维护保养通航建筑物，保持其正常运行。</w:t>
            </w:r>
          </w:p>
          <w:p w14:paraId="7BA8BE6A">
            <w:pPr>
              <w:pStyle w:val="8"/>
              <w:spacing w:before="26" w:line="229" w:lineRule="auto"/>
              <w:ind w:left="116" w:right="108" w:firstLine="352"/>
            </w:pPr>
            <w:r>
              <w:rPr>
                <w:spacing w:val="-1"/>
              </w:rPr>
              <w:t>第四十二条第（五）项  违反本法规定，有下</w:t>
            </w:r>
            <w:r>
              <w:rPr>
                <w:spacing w:val="-2"/>
              </w:rPr>
              <w:t>列行为之一的，由负责航道管理的部门责令改正，对单位</w:t>
            </w:r>
            <w:r>
              <w:t xml:space="preserve"> </w:t>
            </w:r>
            <w:r>
              <w:rPr>
                <w:spacing w:val="3"/>
              </w:rPr>
              <w:t>处五万元以下罚款，对个人处二千元以下罚款；造成损失的，依法承担赔偿责任</w:t>
            </w:r>
            <w:r>
              <w:rPr>
                <w:spacing w:val="-11"/>
              </w:rPr>
              <w:t>：（</w:t>
            </w:r>
            <w:r>
              <w:rPr>
                <w:spacing w:val="2"/>
              </w:rPr>
              <w:t>五）其他危害航道通</w:t>
            </w:r>
            <w:r>
              <w:rPr>
                <w:spacing w:val="1"/>
              </w:rPr>
              <w:t xml:space="preserve"> </w:t>
            </w:r>
            <w:r>
              <w:rPr>
                <w:spacing w:val="-5"/>
              </w:rPr>
              <w:t>航安全的行为。</w:t>
            </w:r>
          </w:p>
        </w:tc>
        <w:tc>
          <w:tcPr>
            <w:tcW w:w="1020" w:type="dxa"/>
            <w:vAlign w:val="top"/>
          </w:tcPr>
          <w:p w14:paraId="520F46AD">
            <w:pPr>
              <w:spacing w:line="456" w:lineRule="auto"/>
              <w:rPr>
                <w:rFonts w:ascii="Arial"/>
                <w:sz w:val="21"/>
              </w:rPr>
            </w:pPr>
          </w:p>
          <w:p w14:paraId="54B4B3B1">
            <w:pPr>
              <w:pStyle w:val="8"/>
              <w:spacing w:before="59" w:line="225" w:lineRule="auto"/>
              <w:ind w:left="183" w:right="155" w:firstLine="2"/>
            </w:pPr>
            <w:r>
              <w:rPr>
                <w:spacing w:val="-12"/>
              </w:rPr>
              <w:t>交通运输</w:t>
            </w:r>
            <w:r>
              <w:t xml:space="preserve"> </w:t>
            </w:r>
            <w:r>
              <w:rPr>
                <w:spacing w:val="-12"/>
              </w:rPr>
              <w:t>主管部门</w:t>
            </w:r>
          </w:p>
        </w:tc>
        <w:tc>
          <w:tcPr>
            <w:tcW w:w="1416" w:type="dxa"/>
            <w:vAlign w:val="top"/>
          </w:tcPr>
          <w:p w14:paraId="532F30BD">
            <w:pPr>
              <w:spacing w:line="284" w:lineRule="auto"/>
              <w:rPr>
                <w:rFonts w:ascii="Arial"/>
                <w:sz w:val="21"/>
              </w:rPr>
            </w:pPr>
          </w:p>
          <w:p w14:paraId="4F39FF72">
            <w:pPr>
              <w:spacing w:line="284" w:lineRule="auto"/>
              <w:rPr>
                <w:rFonts w:ascii="Arial"/>
                <w:sz w:val="21"/>
              </w:rPr>
            </w:pPr>
          </w:p>
          <w:p w14:paraId="08F84C5E">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5B960A96">
            <w:pPr>
              <w:spacing w:line="339" w:lineRule="auto"/>
              <w:rPr>
                <w:rFonts w:ascii="Arial"/>
                <w:sz w:val="21"/>
              </w:rPr>
            </w:pPr>
          </w:p>
          <w:p w14:paraId="55BFBEFA">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527E7A1A">
      <w:pPr>
        <w:pStyle w:val="2"/>
      </w:pPr>
    </w:p>
    <w:p w14:paraId="547A73BD">
      <w:pPr>
        <w:sectPr>
          <w:footerReference r:id="rId159" w:type="default"/>
          <w:pgSz w:w="16840" w:h="11906"/>
          <w:pgMar w:top="1012" w:right="957" w:bottom="967" w:left="957" w:header="0" w:footer="768" w:gutter="0"/>
          <w:cols w:space="720" w:num="1"/>
        </w:sectPr>
      </w:pPr>
    </w:p>
    <w:p w14:paraId="5F350694">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30E12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51DF9730">
            <w:pPr>
              <w:pStyle w:val="8"/>
              <w:spacing w:before="199" w:line="221" w:lineRule="auto"/>
              <w:ind w:left="138"/>
            </w:pPr>
            <w:r>
              <w:rPr>
                <w:b/>
                <w:bCs/>
                <w:spacing w:val="-6"/>
              </w:rPr>
              <w:t>序号</w:t>
            </w:r>
          </w:p>
        </w:tc>
        <w:tc>
          <w:tcPr>
            <w:tcW w:w="1110" w:type="dxa"/>
            <w:vMerge w:val="restart"/>
            <w:tcBorders>
              <w:bottom w:val="nil"/>
            </w:tcBorders>
            <w:vAlign w:val="top"/>
          </w:tcPr>
          <w:p w14:paraId="5CFCD0CD">
            <w:pPr>
              <w:pStyle w:val="8"/>
              <w:spacing w:before="200" w:line="220" w:lineRule="auto"/>
              <w:ind w:left="204"/>
            </w:pPr>
            <w:r>
              <w:rPr>
                <w:b/>
                <w:bCs/>
                <w:spacing w:val="-6"/>
              </w:rPr>
              <w:t>事项名称</w:t>
            </w:r>
          </w:p>
        </w:tc>
        <w:tc>
          <w:tcPr>
            <w:tcW w:w="1111" w:type="dxa"/>
            <w:vMerge w:val="restart"/>
            <w:tcBorders>
              <w:bottom w:val="nil"/>
            </w:tcBorders>
            <w:vAlign w:val="top"/>
          </w:tcPr>
          <w:p w14:paraId="1117D2F4">
            <w:pPr>
              <w:pStyle w:val="8"/>
              <w:spacing w:before="200" w:line="219" w:lineRule="auto"/>
              <w:ind w:left="205"/>
            </w:pPr>
            <w:r>
              <w:rPr>
                <w:b/>
                <w:bCs/>
                <w:spacing w:val="-6"/>
              </w:rPr>
              <w:t>职权类型</w:t>
            </w:r>
          </w:p>
        </w:tc>
        <w:tc>
          <w:tcPr>
            <w:tcW w:w="8613" w:type="dxa"/>
            <w:vMerge w:val="restart"/>
            <w:tcBorders>
              <w:bottom w:val="nil"/>
            </w:tcBorders>
            <w:vAlign w:val="top"/>
          </w:tcPr>
          <w:p w14:paraId="58EE16C8">
            <w:pPr>
              <w:pStyle w:val="8"/>
              <w:spacing w:before="199" w:line="219" w:lineRule="auto"/>
              <w:ind w:left="3963"/>
            </w:pPr>
            <w:r>
              <w:rPr>
                <w:b/>
                <w:bCs/>
                <w:spacing w:val="-8"/>
              </w:rPr>
              <w:t>实施依据</w:t>
            </w:r>
          </w:p>
        </w:tc>
        <w:tc>
          <w:tcPr>
            <w:tcW w:w="3458" w:type="dxa"/>
            <w:gridSpan w:val="3"/>
            <w:vAlign w:val="top"/>
          </w:tcPr>
          <w:p w14:paraId="07892465">
            <w:pPr>
              <w:pStyle w:val="8"/>
              <w:spacing w:before="38" w:line="198" w:lineRule="auto"/>
              <w:ind w:left="1376"/>
            </w:pPr>
            <w:r>
              <w:rPr>
                <w:b/>
                <w:bCs/>
                <w:spacing w:val="-5"/>
              </w:rPr>
              <w:t>实施主体</w:t>
            </w:r>
          </w:p>
        </w:tc>
      </w:tr>
      <w:tr w14:paraId="3BB75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26" w:type="dxa"/>
            <w:vMerge w:val="continue"/>
            <w:tcBorders>
              <w:top w:val="nil"/>
            </w:tcBorders>
            <w:vAlign w:val="top"/>
          </w:tcPr>
          <w:p w14:paraId="11117C4A">
            <w:pPr>
              <w:rPr>
                <w:rFonts w:ascii="Arial"/>
                <w:sz w:val="21"/>
              </w:rPr>
            </w:pPr>
          </w:p>
        </w:tc>
        <w:tc>
          <w:tcPr>
            <w:tcW w:w="1110" w:type="dxa"/>
            <w:vMerge w:val="continue"/>
            <w:tcBorders>
              <w:top w:val="nil"/>
            </w:tcBorders>
            <w:vAlign w:val="top"/>
          </w:tcPr>
          <w:p w14:paraId="45F33A12">
            <w:pPr>
              <w:rPr>
                <w:rFonts w:ascii="Arial"/>
                <w:sz w:val="21"/>
              </w:rPr>
            </w:pPr>
          </w:p>
        </w:tc>
        <w:tc>
          <w:tcPr>
            <w:tcW w:w="1111" w:type="dxa"/>
            <w:vMerge w:val="continue"/>
            <w:tcBorders>
              <w:top w:val="nil"/>
            </w:tcBorders>
            <w:vAlign w:val="top"/>
          </w:tcPr>
          <w:p w14:paraId="165E61B7">
            <w:pPr>
              <w:rPr>
                <w:rFonts w:ascii="Arial"/>
                <w:sz w:val="21"/>
              </w:rPr>
            </w:pPr>
          </w:p>
        </w:tc>
        <w:tc>
          <w:tcPr>
            <w:tcW w:w="8613" w:type="dxa"/>
            <w:vMerge w:val="continue"/>
            <w:tcBorders>
              <w:top w:val="nil"/>
            </w:tcBorders>
            <w:vAlign w:val="top"/>
          </w:tcPr>
          <w:p w14:paraId="0BFDC6AB">
            <w:pPr>
              <w:rPr>
                <w:rFonts w:ascii="Arial"/>
                <w:sz w:val="21"/>
              </w:rPr>
            </w:pPr>
          </w:p>
        </w:tc>
        <w:tc>
          <w:tcPr>
            <w:tcW w:w="1020" w:type="dxa"/>
            <w:vAlign w:val="top"/>
          </w:tcPr>
          <w:p w14:paraId="120A1E49">
            <w:pPr>
              <w:pStyle w:val="8"/>
              <w:spacing w:before="75" w:line="219" w:lineRule="auto"/>
              <w:ind w:left="161"/>
            </w:pPr>
            <w:r>
              <w:rPr>
                <w:b/>
                <w:bCs/>
                <w:spacing w:val="-5"/>
              </w:rPr>
              <w:t>责任主体</w:t>
            </w:r>
          </w:p>
        </w:tc>
        <w:tc>
          <w:tcPr>
            <w:tcW w:w="1416" w:type="dxa"/>
            <w:vAlign w:val="top"/>
          </w:tcPr>
          <w:p w14:paraId="5CC1A3C8">
            <w:pPr>
              <w:pStyle w:val="8"/>
              <w:spacing w:before="75" w:line="219" w:lineRule="auto"/>
              <w:ind w:left="172"/>
            </w:pPr>
            <w:r>
              <w:rPr>
                <w:b/>
                <w:bCs/>
                <w:spacing w:val="-3"/>
              </w:rPr>
              <w:t>第一责任层级</w:t>
            </w:r>
          </w:p>
        </w:tc>
        <w:tc>
          <w:tcPr>
            <w:tcW w:w="1022" w:type="dxa"/>
            <w:vAlign w:val="top"/>
          </w:tcPr>
          <w:p w14:paraId="667F7F3F">
            <w:pPr>
              <w:pStyle w:val="8"/>
              <w:spacing w:before="75" w:line="219" w:lineRule="auto"/>
              <w:ind w:left="155"/>
            </w:pPr>
            <w:r>
              <w:rPr>
                <w:b/>
                <w:bCs/>
                <w:spacing w:val="-4"/>
              </w:rPr>
              <w:t>承办机构</w:t>
            </w:r>
          </w:p>
        </w:tc>
      </w:tr>
      <w:tr w14:paraId="0A447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7" w:hRule="atLeast"/>
        </w:trPr>
        <w:tc>
          <w:tcPr>
            <w:tcW w:w="626" w:type="dxa"/>
            <w:vAlign w:val="top"/>
          </w:tcPr>
          <w:p w14:paraId="0A681727">
            <w:pPr>
              <w:rPr>
                <w:rFonts w:ascii="Arial"/>
                <w:sz w:val="21"/>
              </w:rPr>
            </w:pPr>
          </w:p>
        </w:tc>
        <w:tc>
          <w:tcPr>
            <w:tcW w:w="1110" w:type="dxa"/>
            <w:vAlign w:val="top"/>
          </w:tcPr>
          <w:p w14:paraId="49A4286B">
            <w:pPr>
              <w:rPr>
                <w:rFonts w:ascii="Arial"/>
                <w:sz w:val="21"/>
              </w:rPr>
            </w:pPr>
          </w:p>
        </w:tc>
        <w:tc>
          <w:tcPr>
            <w:tcW w:w="1111" w:type="dxa"/>
            <w:vAlign w:val="top"/>
          </w:tcPr>
          <w:p w14:paraId="7228D833">
            <w:pPr>
              <w:rPr>
                <w:rFonts w:ascii="Arial"/>
                <w:sz w:val="21"/>
              </w:rPr>
            </w:pPr>
          </w:p>
        </w:tc>
        <w:tc>
          <w:tcPr>
            <w:tcW w:w="8613" w:type="dxa"/>
            <w:vAlign w:val="top"/>
          </w:tcPr>
          <w:p w14:paraId="28C1BB91">
            <w:pPr>
              <w:pStyle w:val="8"/>
              <w:spacing w:before="35" w:line="219" w:lineRule="auto"/>
              <w:ind w:left="471"/>
            </w:pPr>
            <w:r>
              <w:rPr>
                <w:b/>
                <w:bCs/>
                <w:spacing w:val="-4"/>
              </w:rPr>
              <w:t>2.《通航建筑物运行管理办法》（交通运输部令2019年第6号）</w:t>
            </w:r>
          </w:p>
          <w:p w14:paraId="673E6F9D">
            <w:pPr>
              <w:pStyle w:val="8"/>
              <w:spacing w:before="27" w:line="237" w:lineRule="auto"/>
              <w:ind w:left="116" w:right="108" w:firstLine="360"/>
              <w:jc w:val="both"/>
            </w:pPr>
            <w:r>
              <w:rPr>
                <w:spacing w:val="2"/>
              </w:rPr>
              <w:t>第六条  通航建筑物投入运行前，承担运行操作、船舶调度、设备设施养护等职责的单位（以下统称</w:t>
            </w:r>
            <w:r>
              <w:rPr>
                <w:spacing w:val="9"/>
              </w:rPr>
              <w:t xml:space="preserve"> </w:t>
            </w:r>
            <w:r>
              <w:rPr>
                <w:spacing w:val="2"/>
              </w:rPr>
              <w:t>运行单位）应当按照相关技术标准编制运行方案。同一枢纽或者同一通航建筑物存在多个运行单位的，应</w:t>
            </w:r>
            <w:r>
              <w:rPr>
                <w:spacing w:val="9"/>
              </w:rPr>
              <w:t xml:space="preserve"> </w:t>
            </w:r>
            <w:r>
              <w:rPr>
                <w:spacing w:val="-2"/>
              </w:rPr>
              <w:t>当联合编制运行方案。</w:t>
            </w:r>
          </w:p>
          <w:p w14:paraId="4903E28A">
            <w:pPr>
              <w:pStyle w:val="8"/>
              <w:spacing w:before="25" w:line="233" w:lineRule="auto"/>
              <w:ind w:left="117" w:right="108" w:firstLine="352"/>
            </w:pPr>
            <w:r>
              <w:rPr>
                <w:spacing w:val="-1"/>
              </w:rPr>
              <w:t>第十五条  运行单位应当严格执行经审查同意</w:t>
            </w:r>
            <w:r>
              <w:rPr>
                <w:spacing w:val="-2"/>
              </w:rPr>
              <w:t>的运行方案，不得随意变更。运行条件、开放时间、调度</w:t>
            </w:r>
            <w:r>
              <w:t xml:space="preserve"> </w:t>
            </w:r>
            <w:r>
              <w:rPr>
                <w:spacing w:val="-1"/>
              </w:rPr>
              <w:t>规则、养护停航安排等内容需要调整的，运行单位应当重新编制运行方案并</w:t>
            </w:r>
            <w:r>
              <w:rPr>
                <w:spacing w:val="-2"/>
              </w:rPr>
              <w:t>报送原审批部门审批。</w:t>
            </w:r>
          </w:p>
          <w:p w14:paraId="551D60F4">
            <w:pPr>
              <w:pStyle w:val="8"/>
              <w:spacing w:before="25" w:line="233" w:lineRule="auto"/>
              <w:ind w:left="116" w:right="110" w:firstLine="355"/>
            </w:pPr>
            <w:r>
              <w:rPr>
                <w:spacing w:val="2"/>
              </w:rPr>
              <w:t>第二十条  客船过闸期间，运行单位应当保证通航建筑物疏散通道和安全出口畅通、相关设施设备完</w:t>
            </w:r>
            <w:r>
              <w:rPr>
                <w:spacing w:val="14"/>
              </w:rPr>
              <w:t xml:space="preserve"> </w:t>
            </w:r>
            <w:r>
              <w:rPr>
                <w:spacing w:val="-9"/>
              </w:rPr>
              <w:t>好。</w:t>
            </w:r>
          </w:p>
          <w:p w14:paraId="48671871">
            <w:pPr>
              <w:pStyle w:val="8"/>
              <w:spacing w:before="27" w:line="232" w:lineRule="auto"/>
              <w:ind w:left="117" w:right="108" w:firstLine="354"/>
            </w:pPr>
            <w:r>
              <w:rPr>
                <w:spacing w:val="2"/>
              </w:rPr>
              <w:t>第二十九条  运行单位应当按照有关规定建立通航建筑物安全运行风险预防控制体系，开展安全运行</w:t>
            </w:r>
            <w:r>
              <w:rPr>
                <w:spacing w:val="16"/>
              </w:rPr>
              <w:t xml:space="preserve"> </w:t>
            </w:r>
            <w:r>
              <w:rPr>
                <w:spacing w:val="-2"/>
              </w:rPr>
              <w:t>风险辨识、评估，针对不同风险，制定具体的管控措施，落实管控责任。</w:t>
            </w:r>
          </w:p>
          <w:p w14:paraId="6A7A96B8">
            <w:pPr>
              <w:pStyle w:val="8"/>
              <w:spacing w:before="27" w:line="232" w:lineRule="auto"/>
              <w:ind w:left="118" w:right="108" w:firstLine="353"/>
            </w:pPr>
            <w:r>
              <w:rPr>
                <w:spacing w:val="7"/>
              </w:rPr>
              <w:t>运行单位应当对通航建筑物运行进行监测和巡查，掌握通航建筑</w:t>
            </w:r>
            <w:r>
              <w:rPr>
                <w:spacing w:val="6"/>
              </w:rPr>
              <w:t>物安全技术状况。对发现的异常情</w:t>
            </w:r>
            <w:r>
              <w:t xml:space="preserve"> </w:t>
            </w:r>
            <w:r>
              <w:rPr>
                <w:spacing w:val="-1"/>
              </w:rPr>
              <w:t>况、重大问题或者安全隐患，应当按照有关规定处理，并及时向负责航道管理的部</w:t>
            </w:r>
            <w:r>
              <w:rPr>
                <w:spacing w:val="-2"/>
              </w:rPr>
              <w:t>门和相关部门报告</w:t>
            </w:r>
          </w:p>
          <w:p w14:paraId="0DB659AC">
            <w:pPr>
              <w:pStyle w:val="8"/>
              <w:spacing w:before="26" w:line="238" w:lineRule="auto"/>
              <w:ind w:left="115" w:right="103" w:firstLine="353"/>
            </w:pPr>
            <w:r>
              <w:rPr>
                <w:spacing w:val="1"/>
              </w:rPr>
              <w:t>第三十七条  运行单位有下列行为之一的，</w:t>
            </w:r>
            <w:r>
              <w:t xml:space="preserve">由负责航道管理的部门责令限期改正；逾期未改正的，处1 </w:t>
            </w:r>
            <w:r>
              <w:rPr>
                <w:spacing w:val="2"/>
              </w:rPr>
              <w:t>万元以上3万元以下的罚款</w:t>
            </w:r>
            <w:r>
              <w:rPr>
                <w:spacing w:val="-17"/>
              </w:rPr>
              <w:t>：（</w:t>
            </w:r>
            <w:r>
              <w:rPr>
                <w:spacing w:val="2"/>
              </w:rPr>
              <w:t>一）未按照本办法规定编制运行方案的</w:t>
            </w:r>
            <w:r>
              <w:rPr>
                <w:spacing w:val="-17"/>
              </w:rPr>
              <w:t>；（</w:t>
            </w:r>
            <w:r>
              <w:rPr>
                <w:spacing w:val="2"/>
              </w:rPr>
              <w:t>二）未经负责航</w:t>
            </w:r>
            <w:r>
              <w:rPr>
                <w:spacing w:val="1"/>
              </w:rPr>
              <w:t>道管理的部门同</w:t>
            </w:r>
            <w:r>
              <w:rPr>
                <w:spacing w:val="2"/>
              </w:rPr>
              <w:t xml:space="preserve"> </w:t>
            </w:r>
            <w:r>
              <w:rPr>
                <w:spacing w:val="-4"/>
              </w:rPr>
              <w:t>意，对运行方案中的运行条件、开放时间、调度规则、养护停航安排等内容进行</w:t>
            </w:r>
            <w:r>
              <w:rPr>
                <w:spacing w:val="-5"/>
              </w:rPr>
              <w:t>调整的</w:t>
            </w:r>
            <w:r>
              <w:rPr>
                <w:spacing w:val="-29"/>
              </w:rPr>
              <w:t>；（</w:t>
            </w:r>
            <w:r>
              <w:rPr>
                <w:spacing w:val="-5"/>
              </w:rPr>
              <w:t>三）未按照运行方</w:t>
            </w:r>
            <w:r>
              <w:t xml:space="preserve"> 案开放通航建筑物的</w:t>
            </w:r>
            <w:r>
              <w:rPr>
                <w:spacing w:val="-20"/>
              </w:rPr>
              <w:t>；（</w:t>
            </w:r>
            <w:r>
              <w:t>四）未按照调度规则进行船舶调度或者无正当理由调整船舶过闸次序的</w:t>
            </w:r>
            <w:r>
              <w:rPr>
                <w:spacing w:val="-20"/>
              </w:rPr>
              <w:t>；（</w:t>
            </w:r>
            <w:r>
              <w:t>五）未</w:t>
            </w:r>
            <w:r>
              <w:rPr>
                <w:spacing w:val="3"/>
              </w:rPr>
              <w:t xml:space="preserve"> 及时开展养护，造成通航建筑物停止运行或者不能正常运行的</w:t>
            </w:r>
            <w:r>
              <w:rPr>
                <w:spacing w:val="-9"/>
              </w:rPr>
              <w:t>；（</w:t>
            </w:r>
            <w:r>
              <w:rPr>
                <w:spacing w:val="3"/>
              </w:rPr>
              <w:t>六）养护</w:t>
            </w:r>
            <w:r>
              <w:rPr>
                <w:spacing w:val="2"/>
              </w:rPr>
              <w:t>停航时间超出养护停航安排规</w:t>
            </w:r>
            <w:r>
              <w:rPr>
                <w:spacing w:val="1"/>
              </w:rPr>
              <w:t xml:space="preserve"> </w:t>
            </w:r>
            <w:r>
              <w:rPr>
                <w:spacing w:val="-3"/>
              </w:rPr>
              <w:t>定时限且未重新报批的。</w:t>
            </w:r>
          </w:p>
        </w:tc>
        <w:tc>
          <w:tcPr>
            <w:tcW w:w="1020" w:type="dxa"/>
            <w:vAlign w:val="top"/>
          </w:tcPr>
          <w:p w14:paraId="4BB3545E">
            <w:pPr>
              <w:rPr>
                <w:rFonts w:ascii="Arial"/>
                <w:sz w:val="21"/>
              </w:rPr>
            </w:pPr>
          </w:p>
        </w:tc>
        <w:tc>
          <w:tcPr>
            <w:tcW w:w="1416" w:type="dxa"/>
            <w:vAlign w:val="top"/>
          </w:tcPr>
          <w:p w14:paraId="6562D73B">
            <w:pPr>
              <w:rPr>
                <w:rFonts w:ascii="Arial"/>
                <w:sz w:val="21"/>
              </w:rPr>
            </w:pPr>
          </w:p>
        </w:tc>
        <w:tc>
          <w:tcPr>
            <w:tcW w:w="1022" w:type="dxa"/>
            <w:vAlign w:val="top"/>
          </w:tcPr>
          <w:p w14:paraId="4D54EB13">
            <w:pPr>
              <w:rPr>
                <w:rFonts w:ascii="Arial"/>
                <w:sz w:val="21"/>
              </w:rPr>
            </w:pPr>
          </w:p>
        </w:tc>
      </w:tr>
      <w:tr w14:paraId="12269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8" w:hRule="atLeast"/>
        </w:trPr>
        <w:tc>
          <w:tcPr>
            <w:tcW w:w="626" w:type="dxa"/>
            <w:vAlign w:val="top"/>
          </w:tcPr>
          <w:p w14:paraId="1E89F4D2">
            <w:pPr>
              <w:spacing w:line="268" w:lineRule="auto"/>
              <w:rPr>
                <w:rFonts w:ascii="Arial"/>
                <w:sz w:val="21"/>
              </w:rPr>
            </w:pPr>
          </w:p>
          <w:p w14:paraId="63272F87">
            <w:pPr>
              <w:spacing w:line="268" w:lineRule="auto"/>
              <w:rPr>
                <w:rFonts w:ascii="Arial"/>
                <w:sz w:val="21"/>
              </w:rPr>
            </w:pPr>
          </w:p>
          <w:p w14:paraId="6083C256">
            <w:pPr>
              <w:spacing w:line="269" w:lineRule="auto"/>
              <w:rPr>
                <w:rFonts w:ascii="Arial"/>
                <w:sz w:val="21"/>
              </w:rPr>
            </w:pPr>
          </w:p>
          <w:p w14:paraId="2FB52E3F">
            <w:pPr>
              <w:spacing w:line="269" w:lineRule="auto"/>
              <w:rPr>
                <w:rFonts w:ascii="Arial"/>
                <w:sz w:val="21"/>
              </w:rPr>
            </w:pPr>
          </w:p>
          <w:p w14:paraId="1914E615">
            <w:pPr>
              <w:spacing w:line="269" w:lineRule="auto"/>
              <w:rPr>
                <w:rFonts w:ascii="Arial"/>
                <w:sz w:val="21"/>
              </w:rPr>
            </w:pPr>
          </w:p>
          <w:p w14:paraId="1BCFDB13">
            <w:pPr>
              <w:spacing w:line="269" w:lineRule="auto"/>
              <w:rPr>
                <w:rFonts w:ascii="Arial"/>
                <w:sz w:val="21"/>
              </w:rPr>
            </w:pPr>
          </w:p>
          <w:p w14:paraId="5832480A">
            <w:pPr>
              <w:spacing w:line="269" w:lineRule="auto"/>
              <w:rPr>
                <w:rFonts w:ascii="Arial"/>
                <w:sz w:val="21"/>
              </w:rPr>
            </w:pPr>
          </w:p>
          <w:p w14:paraId="74716773">
            <w:pPr>
              <w:spacing w:line="269" w:lineRule="auto"/>
              <w:rPr>
                <w:rFonts w:ascii="Arial"/>
                <w:sz w:val="21"/>
              </w:rPr>
            </w:pPr>
          </w:p>
          <w:p w14:paraId="2D568127">
            <w:pPr>
              <w:pStyle w:val="8"/>
              <w:spacing w:before="59" w:line="183" w:lineRule="auto"/>
              <w:ind w:left="271"/>
            </w:pPr>
            <w:r>
              <w:t>8</w:t>
            </w:r>
          </w:p>
        </w:tc>
        <w:tc>
          <w:tcPr>
            <w:tcW w:w="1110" w:type="dxa"/>
            <w:vAlign w:val="top"/>
          </w:tcPr>
          <w:p w14:paraId="21E9F304">
            <w:pPr>
              <w:spacing w:line="278" w:lineRule="auto"/>
              <w:rPr>
                <w:rFonts w:ascii="Arial"/>
                <w:sz w:val="21"/>
              </w:rPr>
            </w:pPr>
          </w:p>
          <w:p w14:paraId="6ACB1068">
            <w:pPr>
              <w:spacing w:line="278" w:lineRule="auto"/>
              <w:rPr>
                <w:rFonts w:ascii="Arial"/>
                <w:sz w:val="21"/>
              </w:rPr>
            </w:pPr>
          </w:p>
          <w:p w14:paraId="114558C2">
            <w:pPr>
              <w:spacing w:line="278" w:lineRule="auto"/>
              <w:rPr>
                <w:rFonts w:ascii="Arial"/>
                <w:sz w:val="21"/>
              </w:rPr>
            </w:pPr>
          </w:p>
          <w:p w14:paraId="43BC320D">
            <w:pPr>
              <w:spacing w:line="278" w:lineRule="auto"/>
              <w:rPr>
                <w:rFonts w:ascii="Arial"/>
                <w:sz w:val="21"/>
              </w:rPr>
            </w:pPr>
          </w:p>
          <w:p w14:paraId="57F4AA46">
            <w:pPr>
              <w:spacing w:line="278" w:lineRule="auto"/>
              <w:rPr>
                <w:rFonts w:ascii="Arial"/>
                <w:sz w:val="21"/>
              </w:rPr>
            </w:pPr>
          </w:p>
          <w:p w14:paraId="1C1641D6">
            <w:pPr>
              <w:spacing w:line="279" w:lineRule="auto"/>
              <w:rPr>
                <w:rFonts w:ascii="Arial"/>
                <w:sz w:val="21"/>
              </w:rPr>
            </w:pPr>
          </w:p>
          <w:p w14:paraId="4A89F03A">
            <w:pPr>
              <w:pStyle w:val="8"/>
              <w:spacing w:before="58" w:line="241" w:lineRule="auto"/>
              <w:ind w:left="114" w:right="108"/>
              <w:jc w:val="both"/>
            </w:pPr>
            <w:r>
              <w:rPr>
                <w:spacing w:val="-11"/>
              </w:rPr>
              <w:t>对</w:t>
            </w:r>
            <w:r>
              <w:rPr>
                <w:spacing w:val="-27"/>
              </w:rPr>
              <w:t xml:space="preserve"> </w:t>
            </w:r>
            <w:r>
              <w:rPr>
                <w:spacing w:val="-11"/>
              </w:rPr>
              <w:t>过 闸</w:t>
            </w:r>
            <w:r>
              <w:rPr>
                <w:spacing w:val="-28"/>
              </w:rPr>
              <w:t xml:space="preserve"> </w:t>
            </w:r>
            <w:r>
              <w:rPr>
                <w:spacing w:val="-11"/>
              </w:rPr>
              <w:t>船</w:t>
            </w:r>
            <w:r>
              <w:t xml:space="preserve"> </w:t>
            </w:r>
            <w:r>
              <w:rPr>
                <w:spacing w:val="-4"/>
              </w:rPr>
              <w:t>舶、船员不</w:t>
            </w:r>
            <w:r>
              <w:t xml:space="preserve"> </w:t>
            </w:r>
            <w:r>
              <w:rPr>
                <w:spacing w:val="-4"/>
              </w:rPr>
              <w:t>遵守运行管</w:t>
            </w:r>
            <w:r>
              <w:t xml:space="preserve"> </w:t>
            </w:r>
            <w:r>
              <w:rPr>
                <w:spacing w:val="-4"/>
              </w:rPr>
              <w:t>理有关规定</w:t>
            </w:r>
            <w:r>
              <w:t xml:space="preserve"> </w:t>
            </w:r>
            <w:r>
              <w:rPr>
                <w:spacing w:val="-4"/>
              </w:rPr>
              <w:t>的行政处罚</w:t>
            </w:r>
          </w:p>
        </w:tc>
        <w:tc>
          <w:tcPr>
            <w:tcW w:w="1111" w:type="dxa"/>
            <w:vAlign w:val="top"/>
          </w:tcPr>
          <w:p w14:paraId="20B5CB88">
            <w:pPr>
              <w:spacing w:line="266" w:lineRule="auto"/>
              <w:rPr>
                <w:rFonts w:ascii="Arial"/>
                <w:sz w:val="21"/>
              </w:rPr>
            </w:pPr>
          </w:p>
          <w:p w14:paraId="4610197F">
            <w:pPr>
              <w:spacing w:line="266" w:lineRule="auto"/>
              <w:rPr>
                <w:rFonts w:ascii="Arial"/>
                <w:sz w:val="21"/>
              </w:rPr>
            </w:pPr>
          </w:p>
          <w:p w14:paraId="0569F015">
            <w:pPr>
              <w:spacing w:line="267" w:lineRule="auto"/>
              <w:rPr>
                <w:rFonts w:ascii="Arial"/>
                <w:sz w:val="21"/>
              </w:rPr>
            </w:pPr>
          </w:p>
          <w:p w14:paraId="5855E288">
            <w:pPr>
              <w:spacing w:line="267" w:lineRule="auto"/>
              <w:rPr>
                <w:rFonts w:ascii="Arial"/>
                <w:sz w:val="21"/>
              </w:rPr>
            </w:pPr>
          </w:p>
          <w:p w14:paraId="6BDC3F6D">
            <w:pPr>
              <w:spacing w:line="267" w:lineRule="auto"/>
              <w:rPr>
                <w:rFonts w:ascii="Arial"/>
                <w:sz w:val="21"/>
              </w:rPr>
            </w:pPr>
          </w:p>
          <w:p w14:paraId="7B7511C5">
            <w:pPr>
              <w:spacing w:line="267" w:lineRule="auto"/>
              <w:rPr>
                <w:rFonts w:ascii="Arial"/>
                <w:sz w:val="21"/>
              </w:rPr>
            </w:pPr>
          </w:p>
          <w:p w14:paraId="2832E49E">
            <w:pPr>
              <w:spacing w:line="267" w:lineRule="auto"/>
              <w:rPr>
                <w:rFonts w:ascii="Arial"/>
                <w:sz w:val="21"/>
              </w:rPr>
            </w:pPr>
          </w:p>
          <w:p w14:paraId="1B69F753">
            <w:pPr>
              <w:spacing w:line="267" w:lineRule="auto"/>
              <w:rPr>
                <w:rFonts w:ascii="Arial"/>
                <w:sz w:val="21"/>
              </w:rPr>
            </w:pPr>
          </w:p>
          <w:p w14:paraId="072197A5">
            <w:pPr>
              <w:pStyle w:val="8"/>
              <w:spacing w:before="59" w:line="220" w:lineRule="auto"/>
              <w:ind w:left="8"/>
            </w:pPr>
            <w:r>
              <w:rPr>
                <w:spacing w:val="-4"/>
              </w:rPr>
              <w:t>行政处罚</w:t>
            </w:r>
          </w:p>
        </w:tc>
        <w:tc>
          <w:tcPr>
            <w:tcW w:w="8613" w:type="dxa"/>
            <w:vAlign w:val="top"/>
          </w:tcPr>
          <w:p w14:paraId="115DF891">
            <w:pPr>
              <w:pStyle w:val="8"/>
              <w:spacing w:before="32" w:line="219" w:lineRule="auto"/>
              <w:ind w:left="477"/>
            </w:pPr>
            <w:r>
              <w:rPr>
                <w:b/>
                <w:bCs/>
                <w:spacing w:val="-6"/>
              </w:rPr>
              <w:t>1.《中华人民共和国航道法》</w:t>
            </w:r>
          </w:p>
          <w:p w14:paraId="11E5D6DC">
            <w:pPr>
              <w:pStyle w:val="8"/>
              <w:spacing w:before="16" w:line="230" w:lineRule="auto"/>
              <w:ind w:left="118" w:right="105" w:firstLine="353"/>
              <w:jc w:val="both"/>
            </w:pPr>
            <w:r>
              <w:rPr>
                <w:spacing w:val="-1"/>
              </w:rPr>
              <w:t>第三十五条第（三）项、第（四）项、第（五）项  禁止下列危害航道通航安全的行为</w:t>
            </w:r>
            <w:r>
              <w:rPr>
                <w:spacing w:val="-15"/>
              </w:rPr>
              <w:t>：（</w:t>
            </w:r>
            <w:r>
              <w:rPr>
                <w:spacing w:val="-1"/>
              </w:rPr>
              <w:t>三）在通航</w:t>
            </w:r>
            <w:r>
              <w:rPr>
                <w:spacing w:val="1"/>
              </w:rPr>
              <w:t xml:space="preserve"> </w:t>
            </w:r>
            <w:r>
              <w:rPr>
                <w:spacing w:val="-2"/>
              </w:rPr>
              <w:t>建筑物及其引航道和船舶调度区内从事货物装卸、水上加油、船舶维修、捕鱼等，影响通航建筑物正常运行</w:t>
            </w:r>
            <w:r>
              <w:rPr>
                <w:spacing w:val="16"/>
              </w:rPr>
              <w:t xml:space="preserve"> </w:t>
            </w:r>
            <w:r>
              <w:rPr>
                <w:spacing w:val="-2"/>
              </w:rPr>
              <w:t>的</w:t>
            </w:r>
            <w:r>
              <w:rPr>
                <w:spacing w:val="-10"/>
              </w:rPr>
              <w:t>；（</w:t>
            </w:r>
            <w:r>
              <w:rPr>
                <w:spacing w:val="-2"/>
              </w:rPr>
              <w:t>四）危害航道设施安全的</w:t>
            </w:r>
            <w:r>
              <w:rPr>
                <w:spacing w:val="-10"/>
              </w:rPr>
              <w:t>；（</w:t>
            </w:r>
            <w:r>
              <w:rPr>
                <w:spacing w:val="-2"/>
              </w:rPr>
              <w:t>五）其他危害航道通航安全的行为。</w:t>
            </w:r>
          </w:p>
          <w:p w14:paraId="2F01B31B">
            <w:pPr>
              <w:pStyle w:val="8"/>
              <w:spacing w:before="16" w:line="232" w:lineRule="auto"/>
              <w:ind w:left="115" w:right="105" w:firstLine="355"/>
              <w:jc w:val="both"/>
            </w:pPr>
            <w:r>
              <w:rPr>
                <w:spacing w:val="-1"/>
              </w:rPr>
              <w:t>第四十二条第（三）项、第（四）项、第（五）</w:t>
            </w:r>
            <w:r>
              <w:rPr>
                <w:spacing w:val="-2"/>
              </w:rPr>
              <w:t>项  违反本法规定，有下列行为之一的，由负责航道管</w:t>
            </w:r>
            <w:r>
              <w:t xml:space="preserve"> </w:t>
            </w:r>
            <w:r>
              <w:rPr>
                <w:spacing w:val="2"/>
              </w:rPr>
              <w:t>理的部门责令改正，对单位处五万元以下罚款，对个人处二千元以下罚款；造成损失的，依法承担赔偿责</w:t>
            </w:r>
            <w:r>
              <w:rPr>
                <w:spacing w:val="13"/>
              </w:rPr>
              <w:t xml:space="preserve"> </w:t>
            </w:r>
            <w:r>
              <w:rPr>
                <w:spacing w:val="-1"/>
              </w:rPr>
              <w:t>任</w:t>
            </w:r>
            <w:r>
              <w:rPr>
                <w:spacing w:val="-13"/>
              </w:rPr>
              <w:t>：（</w:t>
            </w:r>
            <w:r>
              <w:rPr>
                <w:spacing w:val="-1"/>
              </w:rPr>
              <w:t>三）在通航建筑物及其引航道和船舶调度区内从事货物装卸、水上加油、船舶维修、捕鱼等</w:t>
            </w:r>
            <w:r>
              <w:rPr>
                <w:spacing w:val="-2"/>
              </w:rPr>
              <w:t>，影响通</w:t>
            </w:r>
            <w:r>
              <w:t xml:space="preserve"> </w:t>
            </w:r>
            <w:r>
              <w:rPr>
                <w:spacing w:val="-1"/>
              </w:rPr>
              <w:t>航建筑物正常运行的</w:t>
            </w:r>
            <w:r>
              <w:rPr>
                <w:spacing w:val="-16"/>
              </w:rPr>
              <w:t>；（</w:t>
            </w:r>
            <w:r>
              <w:rPr>
                <w:spacing w:val="-1"/>
              </w:rPr>
              <w:t>四）危害航道设施安全的</w:t>
            </w:r>
            <w:r>
              <w:rPr>
                <w:spacing w:val="-16"/>
              </w:rPr>
              <w:t>；（</w:t>
            </w:r>
            <w:r>
              <w:rPr>
                <w:spacing w:val="-2"/>
              </w:rPr>
              <w:t>五）其他危害航道通航安全的行为。</w:t>
            </w:r>
          </w:p>
          <w:p w14:paraId="5EA90F8F">
            <w:pPr>
              <w:pStyle w:val="8"/>
              <w:spacing w:before="13" w:line="219" w:lineRule="auto"/>
              <w:ind w:left="471"/>
            </w:pPr>
            <w:r>
              <w:rPr>
                <w:b/>
                <w:bCs/>
                <w:spacing w:val="-4"/>
              </w:rPr>
              <w:t>2.《通航建筑物运行管理办法》（交通运输部令2019年第6号）</w:t>
            </w:r>
          </w:p>
          <w:p w14:paraId="1EAA02F2">
            <w:pPr>
              <w:pStyle w:val="8"/>
              <w:spacing w:before="18" w:line="227" w:lineRule="auto"/>
              <w:ind w:left="118" w:right="115" w:firstLine="350"/>
            </w:pPr>
            <w:r>
              <w:rPr>
                <w:spacing w:val="-1"/>
              </w:rPr>
              <w:t>第二十一条  有下列情形之一的，运行单位应当禁止船舶过闸</w:t>
            </w:r>
            <w:r>
              <w:rPr>
                <w:spacing w:val="-14"/>
              </w:rPr>
              <w:t>：（</w:t>
            </w:r>
            <w:r>
              <w:rPr>
                <w:spacing w:val="-1"/>
              </w:rPr>
              <w:t>一）船体受损、设备故</w:t>
            </w:r>
            <w:r>
              <w:rPr>
                <w:spacing w:val="-2"/>
              </w:rPr>
              <w:t>障等影响通航</w:t>
            </w:r>
            <w:r>
              <w:t xml:space="preserve"> </w:t>
            </w:r>
            <w:r>
              <w:rPr>
                <w:spacing w:val="7"/>
              </w:rPr>
              <w:t>建筑物运行安全的</w:t>
            </w:r>
            <w:r>
              <w:rPr>
                <w:spacing w:val="-6"/>
              </w:rPr>
              <w:t>；（</w:t>
            </w:r>
            <w:r>
              <w:rPr>
                <w:spacing w:val="7"/>
              </w:rPr>
              <w:t>二）最大平面尺度、吃水、水面以上高度等不</w:t>
            </w:r>
            <w:r>
              <w:rPr>
                <w:spacing w:val="6"/>
              </w:rPr>
              <w:t>符合通航建筑物运行限定标准的；</w:t>
            </w:r>
          </w:p>
          <w:p w14:paraId="1FD6D45F">
            <w:pPr>
              <w:pStyle w:val="8"/>
              <w:spacing w:before="17" w:line="219" w:lineRule="auto"/>
              <w:ind w:left="126"/>
            </w:pPr>
            <w:r>
              <w:rPr>
                <w:spacing w:val="-3"/>
              </w:rPr>
              <w:t>（三）交通运输部规定的禁止船舶过闸的其他情形</w:t>
            </w:r>
          </w:p>
          <w:p w14:paraId="7596F8AB">
            <w:pPr>
              <w:pStyle w:val="8"/>
              <w:spacing w:before="15" w:line="230" w:lineRule="auto"/>
              <w:ind w:left="116" w:right="105" w:firstLine="355"/>
              <w:jc w:val="both"/>
            </w:pPr>
            <w:r>
              <w:t>第二十二条  过闸船舶在通航建筑物内不得有下列行为</w:t>
            </w:r>
            <w:r>
              <w:rPr>
                <w:spacing w:val="-19"/>
              </w:rPr>
              <w:t>：（</w:t>
            </w:r>
            <w:r>
              <w:t>一）不服从调度指挥，抢档超越</w:t>
            </w:r>
            <w:r>
              <w:rPr>
                <w:spacing w:val="-19"/>
              </w:rPr>
              <w:t>；（</w:t>
            </w:r>
            <w:r>
              <w:t>二）从</w:t>
            </w:r>
            <w:r>
              <w:rPr>
                <w:spacing w:val="3"/>
              </w:rPr>
              <w:t xml:space="preserve"> </w:t>
            </w:r>
            <w:r>
              <w:t>事上下旅客、装卸货物、水上加油、船舶维修、捕鱼等活动</w:t>
            </w:r>
            <w:r>
              <w:rPr>
                <w:spacing w:val="-19"/>
              </w:rPr>
              <w:t>；（</w:t>
            </w:r>
            <w:r>
              <w:t>三）从事烧焊等明火作业</w:t>
            </w:r>
            <w:r>
              <w:rPr>
                <w:spacing w:val="-19"/>
              </w:rPr>
              <w:t>；（</w:t>
            </w:r>
            <w:r>
              <w:t xml:space="preserve">四）载运危险 </w:t>
            </w:r>
            <w:r>
              <w:rPr>
                <w:spacing w:val="-1"/>
              </w:rPr>
              <w:t>货物的船舶进行洗（清）舱作业</w:t>
            </w:r>
            <w:r>
              <w:rPr>
                <w:spacing w:val="-16"/>
              </w:rPr>
              <w:t>；（</w:t>
            </w:r>
            <w:r>
              <w:rPr>
                <w:spacing w:val="-1"/>
              </w:rPr>
              <w:t>五）丢弃物</w:t>
            </w:r>
            <w:r>
              <w:rPr>
                <w:spacing w:val="-2"/>
              </w:rPr>
              <w:t>品、倾倒垃圾、排放油污或者生活污水等行为。</w:t>
            </w:r>
          </w:p>
          <w:p w14:paraId="4BFA171E">
            <w:pPr>
              <w:pStyle w:val="8"/>
              <w:spacing w:before="19" w:line="230" w:lineRule="auto"/>
              <w:ind w:left="115" w:right="108" w:firstLine="355"/>
              <w:jc w:val="both"/>
            </w:pPr>
            <w:r>
              <w:rPr>
                <w:spacing w:val="2"/>
              </w:rPr>
              <w:t>第三十八条  过闸船舶、船员有下列行为之一，影响通航建筑物正常运行的，由负责航道管理的部门</w:t>
            </w:r>
            <w:r>
              <w:rPr>
                <w:spacing w:val="16"/>
              </w:rPr>
              <w:t xml:space="preserve"> </w:t>
            </w:r>
            <w:r>
              <w:t>责令改正，对船舶经营人处5万元以下的罚款，对责任人员处2000元以下的罚款；造成损失的，依法承担赔</w:t>
            </w:r>
            <w:r>
              <w:rPr>
                <w:spacing w:val="13"/>
              </w:rPr>
              <w:t xml:space="preserve"> </w:t>
            </w:r>
            <w:r>
              <w:rPr>
                <w:spacing w:val="11"/>
              </w:rPr>
              <w:t>偿责任</w:t>
            </w:r>
            <w:r>
              <w:rPr>
                <w:spacing w:val="-4"/>
              </w:rPr>
              <w:t>：（</w:t>
            </w:r>
            <w:r>
              <w:rPr>
                <w:spacing w:val="11"/>
              </w:rPr>
              <w:t>一）有本办法第二十一条规定的情形强行过闸的</w:t>
            </w:r>
            <w:r>
              <w:rPr>
                <w:spacing w:val="-4"/>
              </w:rPr>
              <w:t>；</w:t>
            </w:r>
            <w:r>
              <w:rPr>
                <w:spacing w:val="-66"/>
              </w:rPr>
              <w:t xml:space="preserve"> </w:t>
            </w:r>
            <w:r>
              <w:rPr>
                <w:spacing w:val="-4"/>
              </w:rPr>
              <w:t>（</w:t>
            </w:r>
            <w:r>
              <w:rPr>
                <w:spacing w:val="11"/>
              </w:rPr>
              <w:t>二）不服从调度指挥，抢档超越的；</w:t>
            </w:r>
          </w:p>
          <w:p w14:paraId="0299588C">
            <w:pPr>
              <w:pStyle w:val="8"/>
              <w:spacing w:before="17" w:line="219" w:lineRule="auto"/>
              <w:ind w:left="126"/>
            </w:pPr>
            <w:r>
              <w:rPr>
                <w:spacing w:val="3"/>
              </w:rPr>
              <w:t>（三）从事上下旅客、装卸货物、水上加油、船舶维修、</w:t>
            </w:r>
            <w:r>
              <w:rPr>
                <w:spacing w:val="2"/>
              </w:rPr>
              <w:t>捕鱼等活动的</w:t>
            </w:r>
            <w:r>
              <w:rPr>
                <w:spacing w:val="-11"/>
              </w:rPr>
              <w:t>；（</w:t>
            </w:r>
            <w:r>
              <w:rPr>
                <w:spacing w:val="2"/>
              </w:rPr>
              <w:t>四）从事烧焊等明火作业的；</w:t>
            </w:r>
          </w:p>
          <w:p w14:paraId="0DC31B96">
            <w:pPr>
              <w:pStyle w:val="8"/>
              <w:spacing w:before="16" w:line="191" w:lineRule="auto"/>
              <w:ind w:left="126"/>
            </w:pPr>
            <w:r>
              <w:rPr>
                <w:spacing w:val="-5"/>
              </w:rPr>
              <w:t>（五）载运危险货物的船舶进行洗（清）舱作业</w:t>
            </w:r>
            <w:r>
              <w:rPr>
                <w:spacing w:val="-6"/>
              </w:rPr>
              <w:t>的。</w:t>
            </w:r>
          </w:p>
        </w:tc>
        <w:tc>
          <w:tcPr>
            <w:tcW w:w="1020" w:type="dxa"/>
            <w:vAlign w:val="top"/>
          </w:tcPr>
          <w:p w14:paraId="0980326E">
            <w:pPr>
              <w:spacing w:line="253" w:lineRule="auto"/>
              <w:rPr>
                <w:rFonts w:ascii="Arial"/>
                <w:sz w:val="21"/>
              </w:rPr>
            </w:pPr>
          </w:p>
          <w:p w14:paraId="263C52E7">
            <w:pPr>
              <w:spacing w:line="253" w:lineRule="auto"/>
              <w:rPr>
                <w:rFonts w:ascii="Arial"/>
                <w:sz w:val="21"/>
              </w:rPr>
            </w:pPr>
          </w:p>
          <w:p w14:paraId="6D3E16CF">
            <w:pPr>
              <w:spacing w:line="253" w:lineRule="auto"/>
              <w:rPr>
                <w:rFonts w:ascii="Arial"/>
                <w:sz w:val="21"/>
              </w:rPr>
            </w:pPr>
          </w:p>
          <w:p w14:paraId="35E6D262">
            <w:pPr>
              <w:spacing w:line="253" w:lineRule="auto"/>
              <w:rPr>
                <w:rFonts w:ascii="Arial"/>
                <w:sz w:val="21"/>
              </w:rPr>
            </w:pPr>
          </w:p>
          <w:p w14:paraId="487499C2">
            <w:pPr>
              <w:spacing w:line="253" w:lineRule="auto"/>
              <w:rPr>
                <w:rFonts w:ascii="Arial"/>
                <w:sz w:val="21"/>
              </w:rPr>
            </w:pPr>
          </w:p>
          <w:p w14:paraId="72871C3E">
            <w:pPr>
              <w:spacing w:line="253" w:lineRule="auto"/>
              <w:rPr>
                <w:rFonts w:ascii="Arial"/>
                <w:sz w:val="21"/>
              </w:rPr>
            </w:pPr>
          </w:p>
          <w:p w14:paraId="01ED39DB">
            <w:pPr>
              <w:spacing w:line="253" w:lineRule="auto"/>
              <w:rPr>
                <w:rFonts w:ascii="Arial"/>
                <w:sz w:val="21"/>
              </w:rPr>
            </w:pPr>
          </w:p>
          <w:p w14:paraId="3459B1D6">
            <w:pPr>
              <w:spacing w:line="254" w:lineRule="auto"/>
              <w:rPr>
                <w:rFonts w:ascii="Arial"/>
                <w:sz w:val="21"/>
              </w:rPr>
            </w:pPr>
          </w:p>
          <w:p w14:paraId="339DD058">
            <w:pPr>
              <w:pStyle w:val="8"/>
              <w:spacing w:before="58" w:line="225" w:lineRule="auto"/>
              <w:ind w:left="183" w:right="155" w:firstLine="2"/>
            </w:pPr>
            <w:r>
              <w:rPr>
                <w:spacing w:val="-12"/>
              </w:rPr>
              <w:t>交通运输</w:t>
            </w:r>
            <w:r>
              <w:t xml:space="preserve"> </w:t>
            </w:r>
            <w:r>
              <w:rPr>
                <w:spacing w:val="-12"/>
              </w:rPr>
              <w:t>主管部门</w:t>
            </w:r>
          </w:p>
        </w:tc>
        <w:tc>
          <w:tcPr>
            <w:tcW w:w="1416" w:type="dxa"/>
            <w:vAlign w:val="top"/>
          </w:tcPr>
          <w:p w14:paraId="4C0028D8">
            <w:pPr>
              <w:spacing w:line="267" w:lineRule="auto"/>
              <w:rPr>
                <w:rFonts w:ascii="Arial"/>
                <w:sz w:val="21"/>
              </w:rPr>
            </w:pPr>
          </w:p>
          <w:p w14:paraId="660D7B74">
            <w:pPr>
              <w:spacing w:line="267" w:lineRule="auto"/>
              <w:rPr>
                <w:rFonts w:ascii="Arial"/>
                <w:sz w:val="21"/>
              </w:rPr>
            </w:pPr>
          </w:p>
          <w:p w14:paraId="11129931">
            <w:pPr>
              <w:spacing w:line="267" w:lineRule="auto"/>
              <w:rPr>
                <w:rFonts w:ascii="Arial"/>
                <w:sz w:val="21"/>
              </w:rPr>
            </w:pPr>
          </w:p>
          <w:p w14:paraId="7F5F41DE">
            <w:pPr>
              <w:spacing w:line="267" w:lineRule="auto"/>
              <w:rPr>
                <w:rFonts w:ascii="Arial"/>
                <w:sz w:val="21"/>
              </w:rPr>
            </w:pPr>
          </w:p>
          <w:p w14:paraId="3CD68905">
            <w:pPr>
              <w:spacing w:line="267" w:lineRule="auto"/>
              <w:rPr>
                <w:rFonts w:ascii="Arial"/>
                <w:sz w:val="21"/>
              </w:rPr>
            </w:pPr>
          </w:p>
          <w:p w14:paraId="006AC499">
            <w:pPr>
              <w:spacing w:line="268" w:lineRule="auto"/>
              <w:rPr>
                <w:rFonts w:ascii="Arial"/>
                <w:sz w:val="21"/>
              </w:rPr>
            </w:pPr>
          </w:p>
          <w:p w14:paraId="31D599C2">
            <w:pPr>
              <w:spacing w:line="268" w:lineRule="auto"/>
              <w:rPr>
                <w:rFonts w:ascii="Arial"/>
                <w:sz w:val="21"/>
              </w:rPr>
            </w:pPr>
          </w:p>
          <w:p w14:paraId="21450A95">
            <w:pPr>
              <w:spacing w:line="268" w:lineRule="auto"/>
              <w:rPr>
                <w:rFonts w:ascii="Arial"/>
                <w:sz w:val="21"/>
              </w:rPr>
            </w:pPr>
          </w:p>
          <w:p w14:paraId="233EF0B3">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28A614EB">
            <w:pPr>
              <w:spacing w:line="272" w:lineRule="auto"/>
              <w:rPr>
                <w:rFonts w:ascii="Arial"/>
                <w:sz w:val="21"/>
              </w:rPr>
            </w:pPr>
          </w:p>
          <w:p w14:paraId="24918373">
            <w:pPr>
              <w:spacing w:line="272" w:lineRule="auto"/>
              <w:rPr>
                <w:rFonts w:ascii="Arial"/>
                <w:sz w:val="21"/>
              </w:rPr>
            </w:pPr>
          </w:p>
          <w:p w14:paraId="717FA2EF">
            <w:pPr>
              <w:spacing w:line="272" w:lineRule="auto"/>
              <w:rPr>
                <w:rFonts w:ascii="Arial"/>
                <w:sz w:val="21"/>
              </w:rPr>
            </w:pPr>
          </w:p>
          <w:p w14:paraId="1FF623B7">
            <w:pPr>
              <w:spacing w:line="273" w:lineRule="auto"/>
              <w:rPr>
                <w:rFonts w:ascii="Arial"/>
                <w:sz w:val="21"/>
              </w:rPr>
            </w:pPr>
          </w:p>
          <w:p w14:paraId="4C0DE12C">
            <w:pPr>
              <w:spacing w:line="273" w:lineRule="auto"/>
              <w:rPr>
                <w:rFonts w:ascii="Arial"/>
                <w:sz w:val="21"/>
              </w:rPr>
            </w:pPr>
          </w:p>
          <w:p w14:paraId="01FC5A6E">
            <w:pPr>
              <w:spacing w:line="273" w:lineRule="auto"/>
              <w:rPr>
                <w:rFonts w:ascii="Arial"/>
                <w:sz w:val="21"/>
              </w:rPr>
            </w:pPr>
          </w:p>
          <w:p w14:paraId="70E8F415">
            <w:pPr>
              <w:spacing w:line="273" w:lineRule="auto"/>
              <w:rPr>
                <w:rFonts w:ascii="Arial"/>
                <w:sz w:val="21"/>
              </w:rPr>
            </w:pPr>
          </w:p>
          <w:p w14:paraId="4283BF56">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1DE032F8">
      <w:pPr>
        <w:pStyle w:val="2"/>
      </w:pPr>
    </w:p>
    <w:p w14:paraId="2298310E">
      <w:pPr>
        <w:sectPr>
          <w:footerReference r:id="rId160" w:type="default"/>
          <w:pgSz w:w="16840" w:h="11906"/>
          <w:pgMar w:top="1012" w:right="957" w:bottom="967" w:left="957" w:header="0" w:footer="768" w:gutter="0"/>
          <w:cols w:space="720" w:num="1"/>
        </w:sectPr>
      </w:pPr>
    </w:p>
    <w:p w14:paraId="164D581B">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1326C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77219A24">
            <w:pPr>
              <w:pStyle w:val="8"/>
              <w:spacing w:before="199" w:line="221" w:lineRule="auto"/>
              <w:ind w:left="138"/>
            </w:pPr>
            <w:r>
              <w:rPr>
                <w:b/>
                <w:bCs/>
                <w:spacing w:val="-6"/>
              </w:rPr>
              <w:t>序号</w:t>
            </w:r>
          </w:p>
        </w:tc>
        <w:tc>
          <w:tcPr>
            <w:tcW w:w="1110" w:type="dxa"/>
            <w:vMerge w:val="restart"/>
            <w:tcBorders>
              <w:bottom w:val="nil"/>
            </w:tcBorders>
            <w:vAlign w:val="top"/>
          </w:tcPr>
          <w:p w14:paraId="40EC1758">
            <w:pPr>
              <w:pStyle w:val="8"/>
              <w:spacing w:before="200" w:line="220" w:lineRule="auto"/>
              <w:ind w:left="204"/>
            </w:pPr>
            <w:r>
              <w:rPr>
                <w:b/>
                <w:bCs/>
                <w:spacing w:val="-6"/>
              </w:rPr>
              <w:t>事项名称</w:t>
            </w:r>
          </w:p>
        </w:tc>
        <w:tc>
          <w:tcPr>
            <w:tcW w:w="1111" w:type="dxa"/>
            <w:vMerge w:val="restart"/>
            <w:tcBorders>
              <w:bottom w:val="nil"/>
            </w:tcBorders>
            <w:vAlign w:val="top"/>
          </w:tcPr>
          <w:p w14:paraId="0292E7A6">
            <w:pPr>
              <w:pStyle w:val="8"/>
              <w:spacing w:before="200" w:line="219" w:lineRule="auto"/>
              <w:ind w:left="205"/>
            </w:pPr>
            <w:r>
              <w:rPr>
                <w:b/>
                <w:bCs/>
                <w:spacing w:val="-6"/>
              </w:rPr>
              <w:t>职权类型</w:t>
            </w:r>
          </w:p>
        </w:tc>
        <w:tc>
          <w:tcPr>
            <w:tcW w:w="8613" w:type="dxa"/>
            <w:vMerge w:val="restart"/>
            <w:tcBorders>
              <w:bottom w:val="nil"/>
            </w:tcBorders>
            <w:vAlign w:val="top"/>
          </w:tcPr>
          <w:p w14:paraId="2FEE7F25">
            <w:pPr>
              <w:pStyle w:val="8"/>
              <w:spacing w:before="199" w:line="219" w:lineRule="auto"/>
              <w:ind w:left="3963"/>
            </w:pPr>
            <w:r>
              <w:rPr>
                <w:b/>
                <w:bCs/>
                <w:spacing w:val="-8"/>
              </w:rPr>
              <w:t>实施依据</w:t>
            </w:r>
          </w:p>
        </w:tc>
        <w:tc>
          <w:tcPr>
            <w:tcW w:w="3458" w:type="dxa"/>
            <w:gridSpan w:val="3"/>
            <w:vAlign w:val="top"/>
          </w:tcPr>
          <w:p w14:paraId="00324EBD">
            <w:pPr>
              <w:pStyle w:val="8"/>
              <w:spacing w:before="38" w:line="198" w:lineRule="auto"/>
              <w:ind w:left="1376"/>
            </w:pPr>
            <w:r>
              <w:rPr>
                <w:b/>
                <w:bCs/>
                <w:spacing w:val="-5"/>
              </w:rPr>
              <w:t>实施主体</w:t>
            </w:r>
          </w:p>
        </w:tc>
      </w:tr>
      <w:tr w14:paraId="5169F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26" w:type="dxa"/>
            <w:vMerge w:val="continue"/>
            <w:tcBorders>
              <w:top w:val="nil"/>
            </w:tcBorders>
            <w:vAlign w:val="top"/>
          </w:tcPr>
          <w:p w14:paraId="473BD0F7">
            <w:pPr>
              <w:rPr>
                <w:rFonts w:ascii="Arial"/>
                <w:sz w:val="21"/>
              </w:rPr>
            </w:pPr>
          </w:p>
        </w:tc>
        <w:tc>
          <w:tcPr>
            <w:tcW w:w="1110" w:type="dxa"/>
            <w:vMerge w:val="continue"/>
            <w:tcBorders>
              <w:top w:val="nil"/>
            </w:tcBorders>
            <w:vAlign w:val="top"/>
          </w:tcPr>
          <w:p w14:paraId="5100DEC0">
            <w:pPr>
              <w:rPr>
                <w:rFonts w:ascii="Arial"/>
                <w:sz w:val="21"/>
              </w:rPr>
            </w:pPr>
          </w:p>
        </w:tc>
        <w:tc>
          <w:tcPr>
            <w:tcW w:w="1111" w:type="dxa"/>
            <w:vMerge w:val="continue"/>
            <w:tcBorders>
              <w:top w:val="nil"/>
            </w:tcBorders>
            <w:vAlign w:val="top"/>
          </w:tcPr>
          <w:p w14:paraId="6D3F2505">
            <w:pPr>
              <w:rPr>
                <w:rFonts w:ascii="Arial"/>
                <w:sz w:val="21"/>
              </w:rPr>
            </w:pPr>
          </w:p>
        </w:tc>
        <w:tc>
          <w:tcPr>
            <w:tcW w:w="8613" w:type="dxa"/>
            <w:vMerge w:val="continue"/>
            <w:tcBorders>
              <w:top w:val="nil"/>
            </w:tcBorders>
            <w:vAlign w:val="top"/>
          </w:tcPr>
          <w:p w14:paraId="606DCEB4">
            <w:pPr>
              <w:rPr>
                <w:rFonts w:ascii="Arial"/>
                <w:sz w:val="21"/>
              </w:rPr>
            </w:pPr>
          </w:p>
        </w:tc>
        <w:tc>
          <w:tcPr>
            <w:tcW w:w="1020" w:type="dxa"/>
            <w:vAlign w:val="top"/>
          </w:tcPr>
          <w:p w14:paraId="7E9BC909">
            <w:pPr>
              <w:pStyle w:val="8"/>
              <w:spacing w:before="75" w:line="219" w:lineRule="auto"/>
              <w:ind w:left="161"/>
            </w:pPr>
            <w:r>
              <w:rPr>
                <w:b/>
                <w:bCs/>
                <w:spacing w:val="-5"/>
              </w:rPr>
              <w:t>责任主体</w:t>
            </w:r>
          </w:p>
        </w:tc>
        <w:tc>
          <w:tcPr>
            <w:tcW w:w="1416" w:type="dxa"/>
            <w:vAlign w:val="top"/>
          </w:tcPr>
          <w:p w14:paraId="3A139530">
            <w:pPr>
              <w:pStyle w:val="8"/>
              <w:spacing w:before="75" w:line="219" w:lineRule="auto"/>
              <w:ind w:left="172"/>
            </w:pPr>
            <w:r>
              <w:rPr>
                <w:b/>
                <w:bCs/>
                <w:spacing w:val="-3"/>
              </w:rPr>
              <w:t>第一责任层级</w:t>
            </w:r>
          </w:p>
        </w:tc>
        <w:tc>
          <w:tcPr>
            <w:tcW w:w="1022" w:type="dxa"/>
            <w:vAlign w:val="top"/>
          </w:tcPr>
          <w:p w14:paraId="6269E44D">
            <w:pPr>
              <w:pStyle w:val="8"/>
              <w:spacing w:before="75" w:line="219" w:lineRule="auto"/>
              <w:ind w:left="155"/>
            </w:pPr>
            <w:r>
              <w:rPr>
                <w:b/>
                <w:bCs/>
                <w:spacing w:val="-4"/>
              </w:rPr>
              <w:t>承办机构</w:t>
            </w:r>
          </w:p>
        </w:tc>
      </w:tr>
      <w:tr w14:paraId="1A762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7" w:hRule="atLeast"/>
        </w:trPr>
        <w:tc>
          <w:tcPr>
            <w:tcW w:w="626" w:type="dxa"/>
            <w:vAlign w:val="top"/>
          </w:tcPr>
          <w:p w14:paraId="79ED94EC">
            <w:pPr>
              <w:spacing w:line="257" w:lineRule="auto"/>
              <w:rPr>
                <w:rFonts w:ascii="Arial"/>
                <w:sz w:val="21"/>
              </w:rPr>
            </w:pPr>
          </w:p>
          <w:p w14:paraId="01324D61">
            <w:pPr>
              <w:spacing w:line="257" w:lineRule="auto"/>
              <w:rPr>
                <w:rFonts w:ascii="Arial"/>
                <w:sz w:val="21"/>
              </w:rPr>
            </w:pPr>
          </w:p>
          <w:p w14:paraId="6DA7603F">
            <w:pPr>
              <w:spacing w:line="258" w:lineRule="auto"/>
              <w:rPr>
                <w:rFonts w:ascii="Arial"/>
                <w:sz w:val="21"/>
              </w:rPr>
            </w:pPr>
          </w:p>
          <w:p w14:paraId="4F93A164">
            <w:pPr>
              <w:spacing w:line="258" w:lineRule="auto"/>
              <w:rPr>
                <w:rFonts w:ascii="Arial"/>
                <w:sz w:val="21"/>
              </w:rPr>
            </w:pPr>
          </w:p>
          <w:p w14:paraId="6BF5AFB2">
            <w:pPr>
              <w:spacing w:line="258" w:lineRule="auto"/>
              <w:rPr>
                <w:rFonts w:ascii="Arial"/>
                <w:sz w:val="21"/>
              </w:rPr>
            </w:pPr>
          </w:p>
          <w:p w14:paraId="6EC0ECE3">
            <w:pPr>
              <w:spacing w:line="258" w:lineRule="auto"/>
              <w:rPr>
                <w:rFonts w:ascii="Arial"/>
                <w:sz w:val="21"/>
              </w:rPr>
            </w:pPr>
          </w:p>
          <w:p w14:paraId="39B996DE">
            <w:pPr>
              <w:pStyle w:val="8"/>
              <w:spacing w:before="59" w:line="183" w:lineRule="auto"/>
              <w:ind w:left="271"/>
            </w:pPr>
            <w:r>
              <w:t>9</w:t>
            </w:r>
          </w:p>
        </w:tc>
        <w:tc>
          <w:tcPr>
            <w:tcW w:w="1110" w:type="dxa"/>
            <w:vAlign w:val="top"/>
          </w:tcPr>
          <w:p w14:paraId="089150E5">
            <w:pPr>
              <w:spacing w:line="276" w:lineRule="auto"/>
              <w:rPr>
                <w:rFonts w:ascii="Arial"/>
                <w:sz w:val="21"/>
              </w:rPr>
            </w:pPr>
          </w:p>
          <w:p w14:paraId="5217E091">
            <w:pPr>
              <w:spacing w:line="277" w:lineRule="auto"/>
              <w:rPr>
                <w:rFonts w:ascii="Arial"/>
                <w:sz w:val="21"/>
              </w:rPr>
            </w:pPr>
          </w:p>
          <w:p w14:paraId="3B9798B6">
            <w:pPr>
              <w:spacing w:line="277" w:lineRule="auto"/>
              <w:rPr>
                <w:rFonts w:ascii="Arial"/>
                <w:sz w:val="21"/>
              </w:rPr>
            </w:pPr>
          </w:p>
          <w:p w14:paraId="7DEC9240">
            <w:pPr>
              <w:pStyle w:val="8"/>
              <w:spacing w:before="58" w:line="242" w:lineRule="auto"/>
              <w:ind w:left="114" w:right="108"/>
              <w:jc w:val="both"/>
            </w:pPr>
            <w:r>
              <w:rPr>
                <w:spacing w:val="-4"/>
              </w:rPr>
              <w:t>对过闸船舶</w:t>
            </w:r>
            <w:r>
              <w:t xml:space="preserve"> </w:t>
            </w:r>
            <w:r>
              <w:rPr>
                <w:spacing w:val="-4"/>
              </w:rPr>
              <w:t>未按规定向</w:t>
            </w:r>
            <w:r>
              <w:t xml:space="preserve"> </w:t>
            </w:r>
            <w:r>
              <w:rPr>
                <w:spacing w:val="-4"/>
              </w:rPr>
              <w:t>通航建筑物</w:t>
            </w:r>
            <w:r>
              <w:t xml:space="preserve"> </w:t>
            </w:r>
            <w:r>
              <w:rPr>
                <w:spacing w:val="-4"/>
              </w:rPr>
              <w:t>运行单位如</w:t>
            </w:r>
            <w:r>
              <w:t xml:space="preserve"> </w:t>
            </w:r>
            <w:r>
              <w:rPr>
                <w:spacing w:val="-4"/>
              </w:rPr>
              <w:t>实提供过闸</w:t>
            </w:r>
            <w:r>
              <w:t xml:space="preserve"> </w:t>
            </w:r>
            <w:r>
              <w:rPr>
                <w:spacing w:val="-4"/>
              </w:rPr>
              <w:t>信息行为的</w:t>
            </w:r>
            <w:r>
              <w:t xml:space="preserve"> </w:t>
            </w:r>
            <w:r>
              <w:rPr>
                <w:spacing w:val="-4"/>
              </w:rPr>
              <w:t>行政处罚</w:t>
            </w:r>
          </w:p>
        </w:tc>
        <w:tc>
          <w:tcPr>
            <w:tcW w:w="1111" w:type="dxa"/>
            <w:vAlign w:val="top"/>
          </w:tcPr>
          <w:p w14:paraId="17404D14">
            <w:pPr>
              <w:spacing w:line="254" w:lineRule="auto"/>
              <w:rPr>
                <w:rFonts w:ascii="Arial"/>
                <w:sz w:val="21"/>
              </w:rPr>
            </w:pPr>
          </w:p>
          <w:p w14:paraId="794AB694">
            <w:pPr>
              <w:spacing w:line="254" w:lineRule="auto"/>
              <w:rPr>
                <w:rFonts w:ascii="Arial"/>
                <w:sz w:val="21"/>
              </w:rPr>
            </w:pPr>
          </w:p>
          <w:p w14:paraId="7C299335">
            <w:pPr>
              <w:spacing w:line="255" w:lineRule="auto"/>
              <w:rPr>
                <w:rFonts w:ascii="Arial"/>
                <w:sz w:val="21"/>
              </w:rPr>
            </w:pPr>
          </w:p>
          <w:p w14:paraId="5E9ECBC8">
            <w:pPr>
              <w:spacing w:line="255" w:lineRule="auto"/>
              <w:rPr>
                <w:rFonts w:ascii="Arial"/>
                <w:sz w:val="21"/>
              </w:rPr>
            </w:pPr>
          </w:p>
          <w:p w14:paraId="719E94D7">
            <w:pPr>
              <w:spacing w:line="255" w:lineRule="auto"/>
              <w:rPr>
                <w:rFonts w:ascii="Arial"/>
                <w:sz w:val="21"/>
              </w:rPr>
            </w:pPr>
          </w:p>
          <w:p w14:paraId="287CE546">
            <w:pPr>
              <w:spacing w:line="255" w:lineRule="auto"/>
              <w:rPr>
                <w:rFonts w:ascii="Arial"/>
                <w:sz w:val="21"/>
              </w:rPr>
            </w:pPr>
          </w:p>
          <w:p w14:paraId="614C2A44">
            <w:pPr>
              <w:pStyle w:val="8"/>
              <w:spacing w:before="58" w:line="220" w:lineRule="auto"/>
              <w:ind w:left="8"/>
            </w:pPr>
            <w:r>
              <w:rPr>
                <w:spacing w:val="-4"/>
              </w:rPr>
              <w:t>行政处罚</w:t>
            </w:r>
          </w:p>
        </w:tc>
        <w:tc>
          <w:tcPr>
            <w:tcW w:w="8613" w:type="dxa"/>
            <w:vAlign w:val="top"/>
          </w:tcPr>
          <w:p w14:paraId="7CB4ADA7">
            <w:pPr>
              <w:spacing w:line="350" w:lineRule="auto"/>
              <w:rPr>
                <w:rFonts w:ascii="Arial"/>
                <w:sz w:val="21"/>
              </w:rPr>
            </w:pPr>
          </w:p>
          <w:p w14:paraId="3C3F5AB0">
            <w:pPr>
              <w:pStyle w:val="8"/>
              <w:spacing w:before="58" w:line="219" w:lineRule="auto"/>
              <w:ind w:left="477"/>
            </w:pPr>
            <w:r>
              <w:rPr>
                <w:b/>
                <w:bCs/>
                <w:spacing w:val="-6"/>
              </w:rPr>
              <w:t>1.《中华人民共和国航道法》</w:t>
            </w:r>
          </w:p>
          <w:p w14:paraId="013FFF5B">
            <w:pPr>
              <w:pStyle w:val="8"/>
              <w:spacing w:before="26" w:line="219" w:lineRule="auto"/>
              <w:ind w:left="471"/>
            </w:pPr>
            <w:r>
              <w:rPr>
                <w:spacing w:val="3"/>
              </w:rPr>
              <w:t>第三十五条第（四）项、第（五）项  禁止下列危害航道通航安全的行为</w:t>
            </w:r>
            <w:r>
              <w:rPr>
                <w:spacing w:val="-11"/>
              </w:rPr>
              <w:t>：（</w:t>
            </w:r>
            <w:r>
              <w:rPr>
                <w:spacing w:val="3"/>
              </w:rPr>
              <w:t>四）危害航道设施安全</w:t>
            </w:r>
          </w:p>
          <w:p w14:paraId="27AFF9F6">
            <w:pPr>
              <w:pStyle w:val="8"/>
              <w:spacing w:before="26" w:line="220" w:lineRule="auto"/>
              <w:ind w:left="131"/>
            </w:pPr>
            <w:r>
              <w:rPr>
                <w:spacing w:val="-3"/>
              </w:rPr>
              <w:t>的</w:t>
            </w:r>
            <w:r>
              <w:rPr>
                <w:spacing w:val="-18"/>
              </w:rPr>
              <w:t>；（</w:t>
            </w:r>
            <w:r>
              <w:rPr>
                <w:spacing w:val="-3"/>
              </w:rPr>
              <w:t>五）其他危害航道通航安全的行为。</w:t>
            </w:r>
          </w:p>
          <w:p w14:paraId="4B857538">
            <w:pPr>
              <w:pStyle w:val="8"/>
              <w:spacing w:before="24" w:line="238" w:lineRule="auto"/>
              <w:ind w:left="120" w:right="108" w:firstLine="351"/>
              <w:jc w:val="both"/>
            </w:pPr>
            <w:r>
              <w:rPr>
                <w:spacing w:val="-1"/>
              </w:rPr>
              <w:t>第四十二条第（四）项、第（五）项  违</w:t>
            </w:r>
            <w:r>
              <w:rPr>
                <w:spacing w:val="-2"/>
              </w:rPr>
              <w:t>反本法规定，有下列行为之一的，由负责航道管理的部门责令</w:t>
            </w:r>
            <w:r>
              <w:t xml:space="preserve"> </w:t>
            </w:r>
            <w:r>
              <w:rPr>
                <w:spacing w:val="2"/>
              </w:rPr>
              <w:t>改正，对单位处五万元以下罚款，对个人处二千元以下罚款；造成损失的，依法</w:t>
            </w:r>
            <w:r>
              <w:rPr>
                <w:spacing w:val="1"/>
              </w:rPr>
              <w:t>承担赔偿责任</w:t>
            </w:r>
            <w:r>
              <w:rPr>
                <w:spacing w:val="-11"/>
              </w:rPr>
              <w:t>：（</w:t>
            </w:r>
            <w:r>
              <w:rPr>
                <w:spacing w:val="1"/>
              </w:rPr>
              <w:t>四）</w:t>
            </w:r>
            <w:r>
              <w:rPr>
                <w:spacing w:val="-49"/>
              </w:rPr>
              <w:t xml:space="preserve"> </w:t>
            </w:r>
            <w:r>
              <w:rPr>
                <w:spacing w:val="1"/>
              </w:rPr>
              <w:t>危</w:t>
            </w:r>
            <w:r>
              <w:t xml:space="preserve"> </w:t>
            </w:r>
            <w:r>
              <w:rPr>
                <w:spacing w:val="-3"/>
              </w:rPr>
              <w:t>害航道设施安全的</w:t>
            </w:r>
            <w:r>
              <w:rPr>
                <w:spacing w:val="6"/>
              </w:rPr>
              <w:t>；（</w:t>
            </w:r>
            <w:r>
              <w:rPr>
                <w:spacing w:val="-3"/>
              </w:rPr>
              <w:t>五）其他危害航道通航安全的行为。</w:t>
            </w:r>
          </w:p>
          <w:p w14:paraId="3D98F2AD">
            <w:pPr>
              <w:pStyle w:val="8"/>
              <w:spacing w:before="24" w:line="219" w:lineRule="auto"/>
              <w:ind w:left="471"/>
            </w:pPr>
            <w:r>
              <w:rPr>
                <w:b/>
                <w:bCs/>
                <w:spacing w:val="-4"/>
              </w:rPr>
              <w:t>2.《通航建筑物运行管理办法》（交通运输部令2019年第6号）</w:t>
            </w:r>
          </w:p>
          <w:p w14:paraId="1B8EB88C">
            <w:pPr>
              <w:pStyle w:val="8"/>
              <w:spacing w:before="26" w:line="233" w:lineRule="auto"/>
              <w:ind w:left="118" w:right="108" w:firstLine="350"/>
            </w:pPr>
            <w:r>
              <w:rPr>
                <w:spacing w:val="-1"/>
              </w:rPr>
              <w:t>第十七条第一款  船舶过闸前应当向运行单位</w:t>
            </w:r>
            <w:r>
              <w:rPr>
                <w:spacing w:val="-2"/>
              </w:rPr>
              <w:t>提出过闸申请，并按照规定如实提供船名、船舶类型、最</w:t>
            </w:r>
            <w:r>
              <w:t xml:space="preserve"> </w:t>
            </w:r>
            <w:r>
              <w:rPr>
                <w:spacing w:val="-2"/>
              </w:rPr>
              <w:t>大平面尺度、吃水、货种、实际载货（客）</w:t>
            </w:r>
            <w:r>
              <w:rPr>
                <w:spacing w:val="-3"/>
              </w:rPr>
              <w:t>量等相关信息。</w:t>
            </w:r>
          </w:p>
          <w:p w14:paraId="680C0411">
            <w:pPr>
              <w:pStyle w:val="8"/>
              <w:spacing w:before="27" w:line="233" w:lineRule="auto"/>
              <w:ind w:left="120" w:right="108" w:firstLine="356"/>
            </w:pPr>
            <w:r>
              <w:rPr>
                <w:spacing w:val="6"/>
              </w:rPr>
              <w:t>第三十九条  过闸船舶未按照规定向运行单位</w:t>
            </w:r>
            <w:r>
              <w:rPr>
                <w:spacing w:val="5"/>
              </w:rPr>
              <w:t>如实提供过闸信息的，</w:t>
            </w:r>
            <w:r>
              <w:rPr>
                <w:spacing w:val="-49"/>
              </w:rPr>
              <w:t xml:space="preserve"> </w:t>
            </w:r>
            <w:r>
              <w:rPr>
                <w:spacing w:val="5"/>
              </w:rPr>
              <w:t>由负责航道管理的部门责令改</w:t>
            </w:r>
            <w:r>
              <w:t xml:space="preserve"> </w:t>
            </w:r>
            <w:r>
              <w:rPr>
                <w:spacing w:val="-5"/>
              </w:rPr>
              <w:t>正，处1000元以上1万元以下的罚款。</w:t>
            </w:r>
          </w:p>
        </w:tc>
        <w:tc>
          <w:tcPr>
            <w:tcW w:w="1020" w:type="dxa"/>
            <w:vAlign w:val="top"/>
          </w:tcPr>
          <w:p w14:paraId="12FC2D6C">
            <w:pPr>
              <w:spacing w:line="259" w:lineRule="auto"/>
              <w:rPr>
                <w:rFonts w:ascii="Arial"/>
                <w:sz w:val="21"/>
              </w:rPr>
            </w:pPr>
          </w:p>
          <w:p w14:paraId="079EE996">
            <w:pPr>
              <w:spacing w:line="259" w:lineRule="auto"/>
              <w:rPr>
                <w:rFonts w:ascii="Arial"/>
                <w:sz w:val="21"/>
              </w:rPr>
            </w:pPr>
          </w:p>
          <w:p w14:paraId="72E016F4">
            <w:pPr>
              <w:spacing w:line="259" w:lineRule="auto"/>
              <w:rPr>
                <w:rFonts w:ascii="Arial"/>
                <w:sz w:val="21"/>
              </w:rPr>
            </w:pPr>
          </w:p>
          <w:p w14:paraId="30E4E843">
            <w:pPr>
              <w:spacing w:line="260" w:lineRule="auto"/>
              <w:rPr>
                <w:rFonts w:ascii="Arial"/>
                <w:sz w:val="21"/>
              </w:rPr>
            </w:pPr>
          </w:p>
          <w:p w14:paraId="6F2B06B4">
            <w:pPr>
              <w:spacing w:line="260" w:lineRule="auto"/>
              <w:rPr>
                <w:rFonts w:ascii="Arial"/>
                <w:sz w:val="21"/>
              </w:rPr>
            </w:pPr>
          </w:p>
          <w:p w14:paraId="2FA10C23">
            <w:pPr>
              <w:pStyle w:val="8"/>
              <w:spacing w:before="59" w:line="235" w:lineRule="auto"/>
              <w:ind w:left="181" w:right="158" w:firstLine="2"/>
            </w:pPr>
            <w:r>
              <w:rPr>
                <w:spacing w:val="-12"/>
              </w:rPr>
              <w:t>交通运输</w:t>
            </w:r>
            <w:r>
              <w:t xml:space="preserve"> </w:t>
            </w:r>
            <w:r>
              <w:rPr>
                <w:spacing w:val="-12"/>
              </w:rPr>
              <w:t>主管部门</w:t>
            </w:r>
          </w:p>
        </w:tc>
        <w:tc>
          <w:tcPr>
            <w:tcW w:w="1416" w:type="dxa"/>
            <w:vAlign w:val="top"/>
          </w:tcPr>
          <w:p w14:paraId="28E39743">
            <w:pPr>
              <w:spacing w:line="255" w:lineRule="auto"/>
              <w:rPr>
                <w:rFonts w:ascii="Arial"/>
                <w:sz w:val="21"/>
              </w:rPr>
            </w:pPr>
          </w:p>
          <w:p w14:paraId="47FC05C8">
            <w:pPr>
              <w:spacing w:line="256" w:lineRule="auto"/>
              <w:rPr>
                <w:rFonts w:ascii="Arial"/>
                <w:sz w:val="21"/>
              </w:rPr>
            </w:pPr>
          </w:p>
          <w:p w14:paraId="37DDC391">
            <w:pPr>
              <w:spacing w:line="256" w:lineRule="auto"/>
              <w:rPr>
                <w:rFonts w:ascii="Arial"/>
                <w:sz w:val="21"/>
              </w:rPr>
            </w:pPr>
          </w:p>
          <w:p w14:paraId="2818FBFC">
            <w:pPr>
              <w:spacing w:line="256" w:lineRule="auto"/>
              <w:rPr>
                <w:rFonts w:ascii="Arial"/>
                <w:sz w:val="21"/>
              </w:rPr>
            </w:pPr>
          </w:p>
          <w:p w14:paraId="3BFB0ABD">
            <w:pPr>
              <w:spacing w:line="256" w:lineRule="auto"/>
              <w:rPr>
                <w:rFonts w:ascii="Arial"/>
                <w:sz w:val="21"/>
              </w:rPr>
            </w:pPr>
          </w:p>
          <w:p w14:paraId="4AF6772F">
            <w:pPr>
              <w:spacing w:line="256" w:lineRule="auto"/>
              <w:rPr>
                <w:rFonts w:ascii="Arial"/>
                <w:sz w:val="21"/>
              </w:rPr>
            </w:pPr>
          </w:p>
          <w:p w14:paraId="52158E2E">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5E186FAC">
            <w:pPr>
              <w:spacing w:line="260" w:lineRule="auto"/>
              <w:rPr>
                <w:rFonts w:ascii="Arial"/>
                <w:sz w:val="21"/>
              </w:rPr>
            </w:pPr>
          </w:p>
          <w:p w14:paraId="6B47558A">
            <w:pPr>
              <w:spacing w:line="261" w:lineRule="auto"/>
              <w:rPr>
                <w:rFonts w:ascii="Arial"/>
                <w:sz w:val="21"/>
              </w:rPr>
            </w:pPr>
          </w:p>
          <w:p w14:paraId="738107ED">
            <w:pPr>
              <w:spacing w:line="261" w:lineRule="auto"/>
              <w:rPr>
                <w:rFonts w:ascii="Arial"/>
                <w:sz w:val="21"/>
              </w:rPr>
            </w:pPr>
          </w:p>
          <w:p w14:paraId="3CEE7657">
            <w:pPr>
              <w:spacing w:line="261" w:lineRule="auto"/>
              <w:rPr>
                <w:rFonts w:ascii="Arial"/>
                <w:sz w:val="21"/>
              </w:rPr>
            </w:pPr>
          </w:p>
          <w:p w14:paraId="0939E229">
            <w:pPr>
              <w:spacing w:line="261" w:lineRule="auto"/>
              <w:rPr>
                <w:rFonts w:ascii="Arial"/>
                <w:sz w:val="21"/>
              </w:rPr>
            </w:pPr>
          </w:p>
          <w:p w14:paraId="633373D3">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192F8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8" w:hRule="atLeast"/>
        </w:trPr>
        <w:tc>
          <w:tcPr>
            <w:tcW w:w="626" w:type="dxa"/>
            <w:vAlign w:val="top"/>
          </w:tcPr>
          <w:p w14:paraId="476CA6D9">
            <w:pPr>
              <w:spacing w:line="246" w:lineRule="auto"/>
              <w:rPr>
                <w:rFonts w:ascii="Arial"/>
                <w:sz w:val="21"/>
              </w:rPr>
            </w:pPr>
          </w:p>
          <w:p w14:paraId="17AB1640">
            <w:pPr>
              <w:spacing w:line="246" w:lineRule="auto"/>
              <w:rPr>
                <w:rFonts w:ascii="Arial"/>
                <w:sz w:val="21"/>
              </w:rPr>
            </w:pPr>
          </w:p>
          <w:p w14:paraId="636F8B6E">
            <w:pPr>
              <w:spacing w:line="246" w:lineRule="auto"/>
              <w:rPr>
                <w:rFonts w:ascii="Arial"/>
                <w:sz w:val="21"/>
              </w:rPr>
            </w:pPr>
          </w:p>
          <w:p w14:paraId="21ED2D57">
            <w:pPr>
              <w:spacing w:line="246" w:lineRule="auto"/>
              <w:rPr>
                <w:rFonts w:ascii="Arial"/>
                <w:sz w:val="21"/>
              </w:rPr>
            </w:pPr>
          </w:p>
          <w:p w14:paraId="34F7DBD6">
            <w:pPr>
              <w:spacing w:line="246" w:lineRule="auto"/>
              <w:rPr>
                <w:rFonts w:ascii="Arial"/>
                <w:sz w:val="21"/>
              </w:rPr>
            </w:pPr>
          </w:p>
          <w:p w14:paraId="14BDCDC0">
            <w:pPr>
              <w:spacing w:line="246" w:lineRule="auto"/>
              <w:rPr>
                <w:rFonts w:ascii="Arial"/>
                <w:sz w:val="21"/>
              </w:rPr>
            </w:pPr>
          </w:p>
          <w:p w14:paraId="2DEFF016">
            <w:pPr>
              <w:spacing w:line="246" w:lineRule="auto"/>
              <w:rPr>
                <w:rFonts w:ascii="Arial"/>
                <w:sz w:val="21"/>
              </w:rPr>
            </w:pPr>
          </w:p>
          <w:p w14:paraId="07CF3761">
            <w:pPr>
              <w:spacing w:line="247" w:lineRule="auto"/>
              <w:rPr>
                <w:rFonts w:ascii="Arial"/>
                <w:sz w:val="21"/>
              </w:rPr>
            </w:pPr>
          </w:p>
          <w:p w14:paraId="5261E52B">
            <w:pPr>
              <w:spacing w:line="247" w:lineRule="auto"/>
              <w:rPr>
                <w:rFonts w:ascii="Arial"/>
                <w:sz w:val="21"/>
              </w:rPr>
            </w:pPr>
          </w:p>
          <w:p w14:paraId="30094987">
            <w:pPr>
              <w:spacing w:line="247" w:lineRule="auto"/>
              <w:rPr>
                <w:rFonts w:ascii="Arial"/>
                <w:sz w:val="21"/>
              </w:rPr>
            </w:pPr>
          </w:p>
          <w:p w14:paraId="477F27F5">
            <w:pPr>
              <w:pStyle w:val="8"/>
              <w:spacing w:before="59" w:line="184" w:lineRule="auto"/>
              <w:ind w:left="238"/>
            </w:pPr>
            <w:r>
              <w:rPr>
                <w:spacing w:val="-10"/>
              </w:rPr>
              <w:t>10</w:t>
            </w:r>
          </w:p>
        </w:tc>
        <w:tc>
          <w:tcPr>
            <w:tcW w:w="1110" w:type="dxa"/>
            <w:vAlign w:val="top"/>
          </w:tcPr>
          <w:p w14:paraId="3DEEA52A">
            <w:pPr>
              <w:spacing w:line="260" w:lineRule="auto"/>
              <w:rPr>
                <w:rFonts w:ascii="Arial"/>
                <w:sz w:val="21"/>
              </w:rPr>
            </w:pPr>
          </w:p>
          <w:p w14:paraId="2C8AB589">
            <w:pPr>
              <w:spacing w:line="260" w:lineRule="auto"/>
              <w:rPr>
                <w:rFonts w:ascii="Arial"/>
                <w:sz w:val="21"/>
              </w:rPr>
            </w:pPr>
          </w:p>
          <w:p w14:paraId="4BE1741F">
            <w:pPr>
              <w:spacing w:line="260" w:lineRule="auto"/>
              <w:rPr>
                <w:rFonts w:ascii="Arial"/>
                <w:sz w:val="21"/>
              </w:rPr>
            </w:pPr>
          </w:p>
          <w:p w14:paraId="2F360496">
            <w:pPr>
              <w:spacing w:line="260" w:lineRule="auto"/>
              <w:rPr>
                <w:rFonts w:ascii="Arial"/>
                <w:sz w:val="21"/>
              </w:rPr>
            </w:pPr>
          </w:p>
          <w:p w14:paraId="4B229DF2">
            <w:pPr>
              <w:spacing w:line="260" w:lineRule="auto"/>
              <w:rPr>
                <w:rFonts w:ascii="Arial"/>
                <w:sz w:val="21"/>
              </w:rPr>
            </w:pPr>
          </w:p>
          <w:p w14:paraId="1F09C5B5">
            <w:pPr>
              <w:spacing w:line="260" w:lineRule="auto"/>
              <w:rPr>
                <w:rFonts w:ascii="Arial"/>
                <w:sz w:val="21"/>
              </w:rPr>
            </w:pPr>
          </w:p>
          <w:p w14:paraId="4A056424">
            <w:pPr>
              <w:spacing w:line="261" w:lineRule="auto"/>
              <w:rPr>
                <w:rFonts w:ascii="Arial"/>
                <w:sz w:val="21"/>
              </w:rPr>
            </w:pPr>
          </w:p>
          <w:p w14:paraId="56175C50">
            <w:pPr>
              <w:pStyle w:val="8"/>
              <w:spacing w:before="58" w:line="242" w:lineRule="auto"/>
              <w:ind w:left="114" w:right="108"/>
              <w:jc w:val="both"/>
            </w:pPr>
            <w:r>
              <w:rPr>
                <w:spacing w:val="-4"/>
              </w:rPr>
              <w:t>对违规向河</w:t>
            </w:r>
            <w:r>
              <w:t xml:space="preserve"> </w:t>
            </w:r>
            <w:r>
              <w:rPr>
                <w:spacing w:val="-8"/>
              </w:rPr>
              <w:t>道</w:t>
            </w:r>
            <w:r>
              <w:rPr>
                <w:spacing w:val="-27"/>
              </w:rPr>
              <w:t xml:space="preserve"> </w:t>
            </w:r>
            <w:r>
              <w:rPr>
                <w:spacing w:val="-8"/>
              </w:rPr>
              <w:t>倾</w:t>
            </w:r>
            <w:r>
              <w:rPr>
                <w:spacing w:val="-24"/>
              </w:rPr>
              <w:t xml:space="preserve"> </w:t>
            </w:r>
            <w:r>
              <w:rPr>
                <w:spacing w:val="-8"/>
              </w:rPr>
              <w:t>倒</w:t>
            </w:r>
            <w:r>
              <w:rPr>
                <w:spacing w:val="-27"/>
              </w:rPr>
              <w:t xml:space="preserve"> </w:t>
            </w:r>
            <w:r>
              <w:rPr>
                <w:spacing w:val="-8"/>
              </w:rPr>
              <w:t>泥</w:t>
            </w:r>
            <w:r>
              <w:t xml:space="preserve"> </w:t>
            </w:r>
            <w:r>
              <w:rPr>
                <w:spacing w:val="-4"/>
              </w:rPr>
              <w:t>沙、石块和</w:t>
            </w:r>
            <w:r>
              <w:t xml:space="preserve"> </w:t>
            </w:r>
            <w:r>
              <w:rPr>
                <w:spacing w:val="-4"/>
              </w:rPr>
              <w:t>废弃物等行</w:t>
            </w:r>
            <w:r>
              <w:t xml:space="preserve"> </w:t>
            </w:r>
            <w:r>
              <w:rPr>
                <w:spacing w:val="-4"/>
              </w:rPr>
              <w:t>为的行政处</w:t>
            </w:r>
            <w:r>
              <w:t xml:space="preserve"> 罚</w:t>
            </w:r>
          </w:p>
        </w:tc>
        <w:tc>
          <w:tcPr>
            <w:tcW w:w="1111" w:type="dxa"/>
            <w:vAlign w:val="top"/>
          </w:tcPr>
          <w:p w14:paraId="27E2F166">
            <w:pPr>
              <w:spacing w:line="251" w:lineRule="auto"/>
              <w:rPr>
                <w:rFonts w:ascii="Arial"/>
                <w:sz w:val="21"/>
              </w:rPr>
            </w:pPr>
          </w:p>
          <w:p w14:paraId="63F8E0CC">
            <w:pPr>
              <w:spacing w:line="252" w:lineRule="auto"/>
              <w:rPr>
                <w:rFonts w:ascii="Arial"/>
                <w:sz w:val="21"/>
              </w:rPr>
            </w:pPr>
          </w:p>
          <w:p w14:paraId="0C092D87">
            <w:pPr>
              <w:spacing w:line="252" w:lineRule="auto"/>
              <w:rPr>
                <w:rFonts w:ascii="Arial"/>
                <w:sz w:val="21"/>
              </w:rPr>
            </w:pPr>
          </w:p>
          <w:p w14:paraId="6DDBF65D">
            <w:pPr>
              <w:spacing w:line="252" w:lineRule="auto"/>
              <w:rPr>
                <w:rFonts w:ascii="Arial"/>
                <w:sz w:val="21"/>
              </w:rPr>
            </w:pPr>
          </w:p>
          <w:p w14:paraId="5604FDFB">
            <w:pPr>
              <w:spacing w:line="252" w:lineRule="auto"/>
              <w:rPr>
                <w:rFonts w:ascii="Arial"/>
                <w:sz w:val="21"/>
              </w:rPr>
            </w:pPr>
          </w:p>
          <w:p w14:paraId="7B69E748">
            <w:pPr>
              <w:spacing w:line="252" w:lineRule="auto"/>
              <w:rPr>
                <w:rFonts w:ascii="Arial"/>
                <w:sz w:val="21"/>
              </w:rPr>
            </w:pPr>
          </w:p>
          <w:p w14:paraId="7166E2E3">
            <w:pPr>
              <w:spacing w:line="252" w:lineRule="auto"/>
              <w:rPr>
                <w:rFonts w:ascii="Arial"/>
                <w:sz w:val="21"/>
              </w:rPr>
            </w:pPr>
          </w:p>
          <w:p w14:paraId="7AAD402D">
            <w:pPr>
              <w:spacing w:line="252" w:lineRule="auto"/>
              <w:rPr>
                <w:rFonts w:ascii="Arial"/>
                <w:sz w:val="21"/>
              </w:rPr>
            </w:pPr>
          </w:p>
          <w:p w14:paraId="1A6652B0">
            <w:pPr>
              <w:spacing w:line="252" w:lineRule="auto"/>
              <w:rPr>
                <w:rFonts w:ascii="Arial"/>
                <w:sz w:val="21"/>
              </w:rPr>
            </w:pPr>
          </w:p>
          <w:p w14:paraId="1BDE3906">
            <w:pPr>
              <w:spacing w:line="252" w:lineRule="auto"/>
              <w:rPr>
                <w:rFonts w:ascii="Arial"/>
                <w:sz w:val="21"/>
              </w:rPr>
            </w:pPr>
          </w:p>
          <w:p w14:paraId="260ADAB0">
            <w:pPr>
              <w:pStyle w:val="8"/>
              <w:spacing w:before="59" w:line="220" w:lineRule="auto"/>
              <w:ind w:left="8"/>
            </w:pPr>
            <w:r>
              <w:rPr>
                <w:spacing w:val="-4"/>
              </w:rPr>
              <w:t>行政处罚</w:t>
            </w:r>
          </w:p>
        </w:tc>
        <w:tc>
          <w:tcPr>
            <w:tcW w:w="8613" w:type="dxa"/>
            <w:vAlign w:val="top"/>
          </w:tcPr>
          <w:p w14:paraId="1061F27D">
            <w:pPr>
              <w:spacing w:line="268" w:lineRule="auto"/>
              <w:rPr>
                <w:rFonts w:ascii="Arial"/>
                <w:sz w:val="21"/>
              </w:rPr>
            </w:pPr>
          </w:p>
          <w:p w14:paraId="10FAF09C">
            <w:pPr>
              <w:pStyle w:val="8"/>
              <w:spacing w:before="58" w:line="219" w:lineRule="auto"/>
              <w:ind w:left="477"/>
            </w:pPr>
            <w:r>
              <w:rPr>
                <w:b/>
                <w:bCs/>
                <w:spacing w:val="-6"/>
              </w:rPr>
              <w:t>1.《中华人民共和国航道法》</w:t>
            </w:r>
          </w:p>
          <w:p w14:paraId="18F12268">
            <w:pPr>
              <w:pStyle w:val="8"/>
              <w:spacing w:before="25" w:line="233" w:lineRule="auto"/>
              <w:ind w:left="117" w:right="120" w:firstLine="352"/>
            </w:pPr>
            <w:r>
              <w:rPr>
                <w:spacing w:val="2"/>
              </w:rPr>
              <w:t>第三十五条第（二）项  禁止下列危害航道通航安全的行为</w:t>
            </w:r>
            <w:r>
              <w:rPr>
                <w:spacing w:val="5"/>
              </w:rPr>
              <w:t>：（</w:t>
            </w:r>
            <w:r>
              <w:rPr>
                <w:spacing w:val="2"/>
              </w:rPr>
              <w:t>二）在航道和航道保护范围内倾倒砂</w:t>
            </w:r>
            <w:r>
              <w:rPr>
                <w:spacing w:val="1"/>
              </w:rPr>
              <w:t xml:space="preserve"> </w:t>
            </w:r>
            <w:r>
              <w:rPr>
                <w:spacing w:val="-5"/>
              </w:rPr>
              <w:t>石、泥土、垃圾以及其他废弃物的；</w:t>
            </w:r>
          </w:p>
          <w:p w14:paraId="29E28EE4">
            <w:pPr>
              <w:pStyle w:val="8"/>
              <w:spacing w:before="26" w:line="237" w:lineRule="auto"/>
              <w:ind w:left="120" w:right="108" w:firstLine="349"/>
              <w:jc w:val="both"/>
            </w:pPr>
            <w:r>
              <w:rPr>
                <w:spacing w:val="-1"/>
              </w:rPr>
              <w:t>第四十二条第（二）项  违反本法规定，有下</w:t>
            </w:r>
            <w:r>
              <w:rPr>
                <w:spacing w:val="-2"/>
              </w:rPr>
              <w:t>列行为之一的，由负责航道管理的部门责令改正，对单位</w:t>
            </w:r>
            <w:r>
              <w:t xml:space="preserve"> 处五万元以下罚款，对个人处二千元以下罚款；造成</w:t>
            </w:r>
            <w:r>
              <w:rPr>
                <w:spacing w:val="-1"/>
              </w:rPr>
              <w:t>损失的，依法承担赔偿责任</w:t>
            </w:r>
            <w:r>
              <w:rPr>
                <w:spacing w:val="-30"/>
              </w:rPr>
              <w:t>：（</w:t>
            </w:r>
            <w:r>
              <w:rPr>
                <w:spacing w:val="-1"/>
              </w:rPr>
              <w:t>二）在航道和航道保护</w:t>
            </w:r>
            <w:r>
              <w:t xml:space="preserve"> </w:t>
            </w:r>
            <w:r>
              <w:rPr>
                <w:spacing w:val="-4"/>
              </w:rPr>
              <w:t>范围内倾倒砂石、泥土、垃圾以及其他废弃</w:t>
            </w:r>
            <w:r>
              <w:rPr>
                <w:spacing w:val="-5"/>
              </w:rPr>
              <w:t>物的；</w:t>
            </w:r>
          </w:p>
          <w:p w14:paraId="0055FE6B">
            <w:pPr>
              <w:pStyle w:val="8"/>
              <w:spacing w:before="26" w:line="219" w:lineRule="auto"/>
              <w:ind w:left="471"/>
            </w:pPr>
            <w:r>
              <w:rPr>
                <w:b/>
                <w:bCs/>
                <w:spacing w:val="-4"/>
              </w:rPr>
              <w:t>2.《中华人民共和国航道管理条例》</w:t>
            </w:r>
          </w:p>
          <w:p w14:paraId="08540240">
            <w:pPr>
              <w:pStyle w:val="8"/>
              <w:spacing w:before="27" w:line="219" w:lineRule="auto"/>
              <w:ind w:left="469"/>
            </w:pPr>
            <w:r>
              <w:rPr>
                <w:spacing w:val="-3"/>
              </w:rPr>
              <w:t>第二十二条  禁止向河道倾倒沙石泥土和废弃物。</w:t>
            </w:r>
          </w:p>
          <w:p w14:paraId="71B83B6C">
            <w:pPr>
              <w:pStyle w:val="8"/>
              <w:spacing w:before="26" w:line="219" w:lineRule="auto"/>
              <w:ind w:left="468"/>
            </w:pPr>
            <w:r>
              <w:rPr>
                <w:spacing w:val="-2"/>
              </w:rPr>
              <w:t>在通航河道内挖取沙石泥土、堆存材料，不得恶化通</w:t>
            </w:r>
            <w:r>
              <w:rPr>
                <w:spacing w:val="-3"/>
              </w:rPr>
              <w:t>航条件。</w:t>
            </w:r>
          </w:p>
          <w:p w14:paraId="1D37D9FF">
            <w:pPr>
              <w:pStyle w:val="8"/>
              <w:spacing w:before="27" w:line="234" w:lineRule="auto"/>
              <w:ind w:left="131" w:right="108" w:firstLine="340"/>
            </w:pPr>
            <w:r>
              <w:rPr>
                <w:spacing w:val="2"/>
              </w:rPr>
              <w:t>第二十七条  对违反本条例规定的单位和个人，县以上交通主管部门可以视情节轻重给予警告、罚款</w:t>
            </w:r>
            <w:r>
              <w:rPr>
                <w:spacing w:val="16"/>
              </w:rPr>
              <w:t xml:space="preserve"> </w:t>
            </w:r>
            <w:r>
              <w:rPr>
                <w:spacing w:val="-10"/>
              </w:rPr>
              <w:t>的处罚。</w:t>
            </w:r>
          </w:p>
          <w:p w14:paraId="32E6018F">
            <w:pPr>
              <w:pStyle w:val="8"/>
              <w:spacing w:before="23" w:line="219" w:lineRule="auto"/>
              <w:ind w:left="475"/>
            </w:pPr>
            <w:r>
              <w:rPr>
                <w:b/>
                <w:bCs/>
                <w:spacing w:val="-3"/>
              </w:rPr>
              <w:t>3.《中华人民共和国航道管理条例实施细则》（交通运输部令〔2009〕第9号）</w:t>
            </w:r>
          </w:p>
          <w:p w14:paraId="4B537EAA">
            <w:pPr>
              <w:pStyle w:val="8"/>
              <w:spacing w:before="27" w:line="219" w:lineRule="auto"/>
              <w:ind w:left="471"/>
            </w:pPr>
            <w:r>
              <w:rPr>
                <w:spacing w:val="-1"/>
              </w:rPr>
              <w:t>第三十条  除疏浚、整治航道所</w:t>
            </w:r>
            <w:r>
              <w:rPr>
                <w:rFonts w:hint="eastAsia"/>
                <w:spacing w:val="-1"/>
                <w:lang w:eastAsia="zh-CN"/>
              </w:rPr>
              <w:t>必需的</w:t>
            </w:r>
            <w:r>
              <w:rPr>
                <w:spacing w:val="-1"/>
              </w:rPr>
              <w:t>排泥、抛石外，禁止向河道倾倒泥沙、石块</w:t>
            </w:r>
            <w:r>
              <w:rPr>
                <w:spacing w:val="-2"/>
              </w:rPr>
              <w:t>和废弃物。</w:t>
            </w:r>
          </w:p>
          <w:p w14:paraId="17718A37">
            <w:pPr>
              <w:pStyle w:val="8"/>
              <w:spacing w:before="25" w:line="233" w:lineRule="auto"/>
              <w:ind w:left="118" w:right="105" w:firstLine="340"/>
            </w:pPr>
            <w:r>
              <w:rPr>
                <w:spacing w:val="-1"/>
              </w:rPr>
              <w:t>在通航河道内挖取砂石泥土、开采砂金、堆放材料，必须报河道主管部门</w:t>
            </w:r>
            <w:r>
              <w:rPr>
                <w:spacing w:val="-2"/>
              </w:rPr>
              <w:t>会同航道主管部门批准，涉及</w:t>
            </w:r>
            <w:r>
              <w:t xml:space="preserve"> </w:t>
            </w:r>
            <w:r>
              <w:rPr>
                <w:spacing w:val="-2"/>
              </w:rPr>
              <w:t>水上交通安全的，事先征得港监部门同意，并按照批准的水域范围和作业方式开采，不得恶化通航条件。</w:t>
            </w:r>
          </w:p>
          <w:p w14:paraId="3A631912">
            <w:pPr>
              <w:pStyle w:val="8"/>
              <w:spacing w:before="25" w:line="241" w:lineRule="auto"/>
              <w:ind w:left="117" w:right="103" w:firstLine="359"/>
            </w:pPr>
            <w:r>
              <w:rPr>
                <w:spacing w:val="2"/>
              </w:rPr>
              <w:t>第三十八条第（四）项  对有违反《条例》和本《细则》规定行为的单位或个人，县以上交通运输主</w:t>
            </w:r>
            <w:r>
              <w:rPr>
                <w:spacing w:val="12"/>
              </w:rPr>
              <w:t xml:space="preserve"> </w:t>
            </w:r>
            <w:r>
              <w:rPr>
                <w:spacing w:val="2"/>
              </w:rPr>
              <w:t>管部门或其受委托的航道管理机构除责令其纠正违法行为，限期采取补救措施，排除障碍，赔偿损失外，</w:t>
            </w:r>
            <w:r>
              <w:rPr>
                <w:spacing w:val="6"/>
              </w:rPr>
              <w:t xml:space="preserve"> </w:t>
            </w:r>
            <w:r>
              <w:rPr>
                <w:spacing w:val="3"/>
              </w:rPr>
              <w:t>按下列规定予以处罚</w:t>
            </w:r>
            <w:r>
              <w:rPr>
                <w:spacing w:val="-9"/>
              </w:rPr>
              <w:t>：（</w:t>
            </w:r>
            <w:r>
              <w:rPr>
                <w:spacing w:val="3"/>
              </w:rPr>
              <w:t>四）违反《条例》第二十二条，本《细则》第三十条第一</w:t>
            </w:r>
            <w:r>
              <w:rPr>
                <w:spacing w:val="2"/>
              </w:rPr>
              <w:t>款的，责令停止违法行</w:t>
            </w:r>
            <w:r>
              <w:t xml:space="preserve"> </w:t>
            </w:r>
            <w:r>
              <w:rPr>
                <w:spacing w:val="-3"/>
              </w:rPr>
              <w:t>为，限期清理碍航物体，所需费用由违法者承担，并处以相当于</w:t>
            </w:r>
            <w:r>
              <w:rPr>
                <w:spacing w:val="-4"/>
              </w:rPr>
              <w:t>清理费用2倍的罚款。违反同条第二款的，责</w:t>
            </w:r>
            <w:r>
              <w:t xml:space="preserve"> </w:t>
            </w:r>
            <w:r>
              <w:rPr>
                <w:spacing w:val="-3"/>
              </w:rPr>
              <w:t>令立即停止作业，补办手续，限期清除碍航物</w:t>
            </w:r>
            <w:r>
              <w:rPr>
                <w:spacing w:val="-4"/>
              </w:rPr>
              <w:t>体，并处以1000元以上2000元以下罚款。</w:t>
            </w:r>
          </w:p>
        </w:tc>
        <w:tc>
          <w:tcPr>
            <w:tcW w:w="1020" w:type="dxa"/>
            <w:vAlign w:val="top"/>
          </w:tcPr>
          <w:p w14:paraId="4EFA3E69">
            <w:pPr>
              <w:spacing w:line="241" w:lineRule="auto"/>
              <w:rPr>
                <w:rFonts w:ascii="Arial"/>
                <w:sz w:val="21"/>
              </w:rPr>
            </w:pPr>
          </w:p>
          <w:p w14:paraId="094BD9E0">
            <w:pPr>
              <w:spacing w:line="241" w:lineRule="auto"/>
              <w:rPr>
                <w:rFonts w:ascii="Arial"/>
                <w:sz w:val="21"/>
              </w:rPr>
            </w:pPr>
          </w:p>
          <w:p w14:paraId="18D640B6">
            <w:pPr>
              <w:spacing w:line="241" w:lineRule="auto"/>
              <w:rPr>
                <w:rFonts w:ascii="Arial"/>
                <w:sz w:val="21"/>
              </w:rPr>
            </w:pPr>
          </w:p>
          <w:p w14:paraId="4863DA57">
            <w:pPr>
              <w:spacing w:line="241" w:lineRule="auto"/>
              <w:rPr>
                <w:rFonts w:ascii="Arial"/>
                <w:sz w:val="21"/>
              </w:rPr>
            </w:pPr>
          </w:p>
          <w:p w14:paraId="14A6554B">
            <w:pPr>
              <w:spacing w:line="241" w:lineRule="auto"/>
              <w:rPr>
                <w:rFonts w:ascii="Arial"/>
                <w:sz w:val="21"/>
              </w:rPr>
            </w:pPr>
          </w:p>
          <w:p w14:paraId="10268CF0">
            <w:pPr>
              <w:spacing w:line="241" w:lineRule="auto"/>
              <w:rPr>
                <w:rFonts w:ascii="Arial"/>
                <w:sz w:val="21"/>
              </w:rPr>
            </w:pPr>
          </w:p>
          <w:p w14:paraId="033F44CF">
            <w:pPr>
              <w:spacing w:line="241" w:lineRule="auto"/>
              <w:rPr>
                <w:rFonts w:ascii="Arial"/>
                <w:sz w:val="21"/>
              </w:rPr>
            </w:pPr>
          </w:p>
          <w:p w14:paraId="32FA8683">
            <w:pPr>
              <w:spacing w:line="241" w:lineRule="auto"/>
              <w:rPr>
                <w:rFonts w:ascii="Arial"/>
                <w:sz w:val="21"/>
              </w:rPr>
            </w:pPr>
          </w:p>
          <w:p w14:paraId="6FDEDB27">
            <w:pPr>
              <w:spacing w:line="241" w:lineRule="auto"/>
              <w:rPr>
                <w:rFonts w:ascii="Arial"/>
                <w:sz w:val="21"/>
              </w:rPr>
            </w:pPr>
          </w:p>
          <w:p w14:paraId="5C3C2746">
            <w:pPr>
              <w:spacing w:line="241" w:lineRule="auto"/>
              <w:rPr>
                <w:rFonts w:ascii="Arial"/>
                <w:sz w:val="21"/>
              </w:rPr>
            </w:pPr>
          </w:p>
          <w:p w14:paraId="0A39ADCE">
            <w:pPr>
              <w:pStyle w:val="8"/>
              <w:spacing w:before="58" w:line="229" w:lineRule="auto"/>
              <w:ind w:left="181" w:right="158" w:firstLine="2"/>
            </w:pPr>
            <w:r>
              <w:rPr>
                <w:spacing w:val="-12"/>
              </w:rPr>
              <w:t>交通运输</w:t>
            </w:r>
            <w:r>
              <w:t xml:space="preserve"> </w:t>
            </w:r>
            <w:r>
              <w:rPr>
                <w:spacing w:val="-12"/>
              </w:rPr>
              <w:t>主管部门</w:t>
            </w:r>
          </w:p>
        </w:tc>
        <w:tc>
          <w:tcPr>
            <w:tcW w:w="1416" w:type="dxa"/>
            <w:vAlign w:val="top"/>
          </w:tcPr>
          <w:p w14:paraId="01F20215">
            <w:pPr>
              <w:spacing w:line="252" w:lineRule="auto"/>
              <w:rPr>
                <w:rFonts w:ascii="Arial"/>
                <w:sz w:val="21"/>
              </w:rPr>
            </w:pPr>
          </w:p>
          <w:p w14:paraId="7AB4A32A">
            <w:pPr>
              <w:spacing w:line="252" w:lineRule="auto"/>
              <w:rPr>
                <w:rFonts w:ascii="Arial"/>
                <w:sz w:val="21"/>
              </w:rPr>
            </w:pPr>
          </w:p>
          <w:p w14:paraId="75B4E5F7">
            <w:pPr>
              <w:spacing w:line="252" w:lineRule="auto"/>
              <w:rPr>
                <w:rFonts w:ascii="Arial"/>
                <w:sz w:val="21"/>
              </w:rPr>
            </w:pPr>
          </w:p>
          <w:p w14:paraId="7AD4C5EF">
            <w:pPr>
              <w:spacing w:line="253" w:lineRule="auto"/>
              <w:rPr>
                <w:rFonts w:ascii="Arial"/>
                <w:sz w:val="21"/>
              </w:rPr>
            </w:pPr>
          </w:p>
          <w:p w14:paraId="110E9B4A">
            <w:pPr>
              <w:spacing w:line="253" w:lineRule="auto"/>
              <w:rPr>
                <w:rFonts w:ascii="Arial"/>
                <w:sz w:val="21"/>
              </w:rPr>
            </w:pPr>
          </w:p>
          <w:p w14:paraId="7EA5CE63">
            <w:pPr>
              <w:spacing w:line="253" w:lineRule="auto"/>
              <w:rPr>
                <w:rFonts w:ascii="Arial"/>
                <w:sz w:val="21"/>
              </w:rPr>
            </w:pPr>
          </w:p>
          <w:p w14:paraId="0A541D10">
            <w:pPr>
              <w:spacing w:line="253" w:lineRule="auto"/>
              <w:rPr>
                <w:rFonts w:ascii="Arial"/>
                <w:sz w:val="21"/>
              </w:rPr>
            </w:pPr>
          </w:p>
          <w:p w14:paraId="7B042A8F">
            <w:pPr>
              <w:spacing w:line="253" w:lineRule="auto"/>
              <w:rPr>
                <w:rFonts w:ascii="Arial"/>
                <w:sz w:val="21"/>
              </w:rPr>
            </w:pPr>
          </w:p>
          <w:p w14:paraId="705521DB">
            <w:pPr>
              <w:spacing w:line="253" w:lineRule="auto"/>
              <w:rPr>
                <w:rFonts w:ascii="Arial"/>
                <w:sz w:val="21"/>
              </w:rPr>
            </w:pPr>
          </w:p>
          <w:p w14:paraId="29A0AC03">
            <w:pPr>
              <w:spacing w:line="253" w:lineRule="auto"/>
              <w:rPr>
                <w:rFonts w:ascii="Arial"/>
                <w:sz w:val="21"/>
              </w:rPr>
            </w:pPr>
          </w:p>
          <w:p w14:paraId="3A13CE4D">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19E56BB4">
            <w:pPr>
              <w:spacing w:line="255" w:lineRule="auto"/>
              <w:rPr>
                <w:rFonts w:ascii="Arial"/>
                <w:sz w:val="21"/>
              </w:rPr>
            </w:pPr>
          </w:p>
          <w:p w14:paraId="6EDE490A">
            <w:pPr>
              <w:spacing w:line="255" w:lineRule="auto"/>
              <w:rPr>
                <w:rFonts w:ascii="Arial"/>
                <w:sz w:val="21"/>
              </w:rPr>
            </w:pPr>
          </w:p>
          <w:p w14:paraId="36AA3630">
            <w:pPr>
              <w:spacing w:line="255" w:lineRule="auto"/>
              <w:rPr>
                <w:rFonts w:ascii="Arial"/>
                <w:sz w:val="21"/>
              </w:rPr>
            </w:pPr>
          </w:p>
          <w:p w14:paraId="4CEBA6FB">
            <w:pPr>
              <w:spacing w:line="255" w:lineRule="auto"/>
              <w:rPr>
                <w:rFonts w:ascii="Arial"/>
                <w:sz w:val="21"/>
              </w:rPr>
            </w:pPr>
          </w:p>
          <w:p w14:paraId="6EE3BBB3">
            <w:pPr>
              <w:spacing w:line="255" w:lineRule="auto"/>
              <w:rPr>
                <w:rFonts w:ascii="Arial"/>
                <w:sz w:val="21"/>
              </w:rPr>
            </w:pPr>
          </w:p>
          <w:p w14:paraId="22E8C0B7">
            <w:pPr>
              <w:spacing w:line="255" w:lineRule="auto"/>
              <w:rPr>
                <w:rFonts w:ascii="Arial"/>
                <w:sz w:val="21"/>
              </w:rPr>
            </w:pPr>
          </w:p>
          <w:p w14:paraId="18AED262">
            <w:pPr>
              <w:spacing w:line="255" w:lineRule="auto"/>
              <w:rPr>
                <w:rFonts w:ascii="Arial"/>
                <w:sz w:val="21"/>
              </w:rPr>
            </w:pPr>
          </w:p>
          <w:p w14:paraId="1075CF5F">
            <w:pPr>
              <w:spacing w:line="255" w:lineRule="auto"/>
              <w:rPr>
                <w:rFonts w:ascii="Arial"/>
                <w:sz w:val="21"/>
              </w:rPr>
            </w:pPr>
          </w:p>
          <w:p w14:paraId="30FFB432">
            <w:pPr>
              <w:spacing w:line="255" w:lineRule="auto"/>
              <w:rPr>
                <w:rFonts w:ascii="Arial"/>
                <w:sz w:val="21"/>
              </w:rPr>
            </w:pPr>
          </w:p>
          <w:p w14:paraId="08D951CA">
            <w:pPr>
              <w:pStyle w:val="8"/>
              <w:spacing w:before="59"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469093D8">
      <w:pPr>
        <w:pStyle w:val="2"/>
      </w:pPr>
    </w:p>
    <w:p w14:paraId="43613CB5">
      <w:pPr>
        <w:sectPr>
          <w:footerReference r:id="rId161" w:type="default"/>
          <w:pgSz w:w="16840" w:h="11906"/>
          <w:pgMar w:top="1012" w:right="957" w:bottom="967" w:left="957" w:header="0" w:footer="768" w:gutter="0"/>
          <w:cols w:space="720" w:num="1"/>
        </w:sectPr>
      </w:pPr>
    </w:p>
    <w:p w14:paraId="53E6E22B">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464DF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79BBCA05">
            <w:pPr>
              <w:pStyle w:val="8"/>
              <w:spacing w:before="199" w:line="221" w:lineRule="auto"/>
              <w:ind w:left="138"/>
            </w:pPr>
            <w:r>
              <w:rPr>
                <w:b/>
                <w:bCs/>
                <w:spacing w:val="-6"/>
              </w:rPr>
              <w:t>序号</w:t>
            </w:r>
          </w:p>
        </w:tc>
        <w:tc>
          <w:tcPr>
            <w:tcW w:w="1110" w:type="dxa"/>
            <w:vMerge w:val="restart"/>
            <w:tcBorders>
              <w:bottom w:val="nil"/>
            </w:tcBorders>
            <w:vAlign w:val="top"/>
          </w:tcPr>
          <w:p w14:paraId="7AE433A8">
            <w:pPr>
              <w:pStyle w:val="8"/>
              <w:spacing w:before="200" w:line="220" w:lineRule="auto"/>
              <w:ind w:left="204"/>
            </w:pPr>
            <w:r>
              <w:rPr>
                <w:b/>
                <w:bCs/>
                <w:spacing w:val="-6"/>
              </w:rPr>
              <w:t>事项名称</w:t>
            </w:r>
          </w:p>
        </w:tc>
        <w:tc>
          <w:tcPr>
            <w:tcW w:w="1111" w:type="dxa"/>
            <w:vMerge w:val="restart"/>
            <w:tcBorders>
              <w:bottom w:val="nil"/>
            </w:tcBorders>
            <w:vAlign w:val="top"/>
          </w:tcPr>
          <w:p w14:paraId="1EA0C3F6">
            <w:pPr>
              <w:pStyle w:val="8"/>
              <w:spacing w:before="200" w:line="219" w:lineRule="auto"/>
              <w:ind w:left="205"/>
            </w:pPr>
            <w:r>
              <w:rPr>
                <w:b/>
                <w:bCs/>
                <w:spacing w:val="-6"/>
              </w:rPr>
              <w:t>职权类型</w:t>
            </w:r>
          </w:p>
        </w:tc>
        <w:tc>
          <w:tcPr>
            <w:tcW w:w="8613" w:type="dxa"/>
            <w:vMerge w:val="restart"/>
            <w:tcBorders>
              <w:bottom w:val="nil"/>
            </w:tcBorders>
            <w:vAlign w:val="top"/>
          </w:tcPr>
          <w:p w14:paraId="466F1DD9">
            <w:pPr>
              <w:pStyle w:val="8"/>
              <w:spacing w:before="199" w:line="219" w:lineRule="auto"/>
              <w:ind w:left="3963"/>
            </w:pPr>
            <w:r>
              <w:rPr>
                <w:b/>
                <w:bCs/>
                <w:spacing w:val="-8"/>
              </w:rPr>
              <w:t>实施依据</w:t>
            </w:r>
          </w:p>
        </w:tc>
        <w:tc>
          <w:tcPr>
            <w:tcW w:w="3458" w:type="dxa"/>
            <w:gridSpan w:val="3"/>
            <w:vAlign w:val="top"/>
          </w:tcPr>
          <w:p w14:paraId="73F6AE55">
            <w:pPr>
              <w:pStyle w:val="8"/>
              <w:spacing w:before="38" w:line="198" w:lineRule="auto"/>
              <w:ind w:left="1376"/>
            </w:pPr>
            <w:r>
              <w:rPr>
                <w:b/>
                <w:bCs/>
                <w:spacing w:val="-5"/>
              </w:rPr>
              <w:t>实施主体</w:t>
            </w:r>
          </w:p>
        </w:tc>
      </w:tr>
      <w:tr w14:paraId="51C72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26" w:type="dxa"/>
            <w:vMerge w:val="continue"/>
            <w:tcBorders>
              <w:top w:val="nil"/>
            </w:tcBorders>
            <w:vAlign w:val="top"/>
          </w:tcPr>
          <w:p w14:paraId="138E88CA">
            <w:pPr>
              <w:rPr>
                <w:rFonts w:ascii="Arial"/>
                <w:sz w:val="21"/>
              </w:rPr>
            </w:pPr>
          </w:p>
        </w:tc>
        <w:tc>
          <w:tcPr>
            <w:tcW w:w="1110" w:type="dxa"/>
            <w:vMerge w:val="continue"/>
            <w:tcBorders>
              <w:top w:val="nil"/>
            </w:tcBorders>
            <w:vAlign w:val="top"/>
          </w:tcPr>
          <w:p w14:paraId="15D0DEAD">
            <w:pPr>
              <w:rPr>
                <w:rFonts w:ascii="Arial"/>
                <w:sz w:val="21"/>
              </w:rPr>
            </w:pPr>
          </w:p>
        </w:tc>
        <w:tc>
          <w:tcPr>
            <w:tcW w:w="1111" w:type="dxa"/>
            <w:vMerge w:val="continue"/>
            <w:tcBorders>
              <w:top w:val="nil"/>
            </w:tcBorders>
            <w:vAlign w:val="top"/>
          </w:tcPr>
          <w:p w14:paraId="66F97D02">
            <w:pPr>
              <w:rPr>
                <w:rFonts w:ascii="Arial"/>
                <w:sz w:val="21"/>
              </w:rPr>
            </w:pPr>
          </w:p>
        </w:tc>
        <w:tc>
          <w:tcPr>
            <w:tcW w:w="8613" w:type="dxa"/>
            <w:vMerge w:val="continue"/>
            <w:tcBorders>
              <w:top w:val="nil"/>
            </w:tcBorders>
            <w:vAlign w:val="top"/>
          </w:tcPr>
          <w:p w14:paraId="31BF719F">
            <w:pPr>
              <w:rPr>
                <w:rFonts w:ascii="Arial"/>
                <w:sz w:val="21"/>
              </w:rPr>
            </w:pPr>
          </w:p>
        </w:tc>
        <w:tc>
          <w:tcPr>
            <w:tcW w:w="1020" w:type="dxa"/>
            <w:vAlign w:val="top"/>
          </w:tcPr>
          <w:p w14:paraId="03AE5720">
            <w:pPr>
              <w:pStyle w:val="8"/>
              <w:spacing w:before="75" w:line="219" w:lineRule="auto"/>
              <w:ind w:left="161"/>
            </w:pPr>
            <w:r>
              <w:rPr>
                <w:b/>
                <w:bCs/>
                <w:spacing w:val="-5"/>
              </w:rPr>
              <w:t>责任主体</w:t>
            </w:r>
          </w:p>
        </w:tc>
        <w:tc>
          <w:tcPr>
            <w:tcW w:w="1416" w:type="dxa"/>
            <w:vAlign w:val="top"/>
          </w:tcPr>
          <w:p w14:paraId="6EB729E9">
            <w:pPr>
              <w:pStyle w:val="8"/>
              <w:spacing w:before="75" w:line="219" w:lineRule="auto"/>
              <w:ind w:left="172"/>
            </w:pPr>
            <w:r>
              <w:rPr>
                <w:b/>
                <w:bCs/>
                <w:spacing w:val="-3"/>
              </w:rPr>
              <w:t>第一责任层级</w:t>
            </w:r>
          </w:p>
        </w:tc>
        <w:tc>
          <w:tcPr>
            <w:tcW w:w="1022" w:type="dxa"/>
            <w:vAlign w:val="top"/>
          </w:tcPr>
          <w:p w14:paraId="28170E19">
            <w:pPr>
              <w:pStyle w:val="8"/>
              <w:spacing w:before="75" w:line="219" w:lineRule="auto"/>
              <w:ind w:left="155"/>
            </w:pPr>
            <w:r>
              <w:rPr>
                <w:b/>
                <w:bCs/>
                <w:spacing w:val="-4"/>
              </w:rPr>
              <w:t>承办机构</w:t>
            </w:r>
          </w:p>
        </w:tc>
      </w:tr>
      <w:tr w14:paraId="1869D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7" w:hRule="atLeast"/>
        </w:trPr>
        <w:tc>
          <w:tcPr>
            <w:tcW w:w="626" w:type="dxa"/>
            <w:vAlign w:val="top"/>
          </w:tcPr>
          <w:p w14:paraId="333702FC">
            <w:pPr>
              <w:spacing w:line="246" w:lineRule="auto"/>
              <w:rPr>
                <w:rFonts w:ascii="Arial"/>
                <w:sz w:val="21"/>
              </w:rPr>
            </w:pPr>
          </w:p>
          <w:p w14:paraId="7CF69D21">
            <w:pPr>
              <w:spacing w:line="246" w:lineRule="auto"/>
              <w:rPr>
                <w:rFonts w:ascii="Arial"/>
                <w:sz w:val="21"/>
              </w:rPr>
            </w:pPr>
          </w:p>
          <w:p w14:paraId="686E304D">
            <w:pPr>
              <w:spacing w:line="247" w:lineRule="auto"/>
              <w:rPr>
                <w:rFonts w:ascii="Arial"/>
                <w:sz w:val="21"/>
              </w:rPr>
            </w:pPr>
          </w:p>
          <w:p w14:paraId="3E80FAB6">
            <w:pPr>
              <w:spacing w:line="247" w:lineRule="auto"/>
              <w:rPr>
                <w:rFonts w:ascii="Arial"/>
                <w:sz w:val="21"/>
              </w:rPr>
            </w:pPr>
          </w:p>
          <w:p w14:paraId="331191DC">
            <w:pPr>
              <w:spacing w:line="247" w:lineRule="auto"/>
              <w:rPr>
                <w:rFonts w:ascii="Arial"/>
                <w:sz w:val="21"/>
              </w:rPr>
            </w:pPr>
          </w:p>
          <w:p w14:paraId="74A253A0">
            <w:pPr>
              <w:spacing w:line="247" w:lineRule="auto"/>
              <w:rPr>
                <w:rFonts w:ascii="Arial"/>
                <w:sz w:val="21"/>
              </w:rPr>
            </w:pPr>
          </w:p>
          <w:p w14:paraId="6EE646C3">
            <w:pPr>
              <w:spacing w:line="247" w:lineRule="auto"/>
              <w:rPr>
                <w:rFonts w:ascii="Arial"/>
                <w:sz w:val="21"/>
              </w:rPr>
            </w:pPr>
          </w:p>
          <w:p w14:paraId="2FD9764B">
            <w:pPr>
              <w:spacing w:line="247" w:lineRule="auto"/>
              <w:rPr>
                <w:rFonts w:ascii="Arial"/>
                <w:sz w:val="21"/>
              </w:rPr>
            </w:pPr>
          </w:p>
          <w:p w14:paraId="7FDDF35E">
            <w:pPr>
              <w:spacing w:line="247" w:lineRule="auto"/>
              <w:rPr>
                <w:rFonts w:ascii="Arial"/>
                <w:sz w:val="21"/>
              </w:rPr>
            </w:pPr>
          </w:p>
          <w:p w14:paraId="48270BF5">
            <w:pPr>
              <w:pStyle w:val="8"/>
              <w:spacing w:before="58" w:line="184" w:lineRule="auto"/>
              <w:ind w:left="250"/>
            </w:pPr>
            <w:r>
              <w:rPr>
                <w:spacing w:val="-11"/>
              </w:rPr>
              <w:t>11</w:t>
            </w:r>
          </w:p>
        </w:tc>
        <w:tc>
          <w:tcPr>
            <w:tcW w:w="1110" w:type="dxa"/>
            <w:vAlign w:val="top"/>
          </w:tcPr>
          <w:p w14:paraId="0FAC81AD">
            <w:pPr>
              <w:spacing w:line="265" w:lineRule="auto"/>
              <w:rPr>
                <w:rFonts w:ascii="Arial"/>
                <w:sz w:val="21"/>
              </w:rPr>
            </w:pPr>
          </w:p>
          <w:p w14:paraId="07165774">
            <w:pPr>
              <w:spacing w:line="266" w:lineRule="auto"/>
              <w:rPr>
                <w:rFonts w:ascii="Arial"/>
                <w:sz w:val="21"/>
              </w:rPr>
            </w:pPr>
          </w:p>
          <w:p w14:paraId="74D55684">
            <w:pPr>
              <w:spacing w:line="266" w:lineRule="auto"/>
              <w:rPr>
                <w:rFonts w:ascii="Arial"/>
                <w:sz w:val="21"/>
              </w:rPr>
            </w:pPr>
          </w:p>
          <w:p w14:paraId="6A4EC64C">
            <w:pPr>
              <w:spacing w:line="266" w:lineRule="auto"/>
              <w:rPr>
                <w:rFonts w:ascii="Arial"/>
                <w:sz w:val="21"/>
              </w:rPr>
            </w:pPr>
          </w:p>
          <w:p w14:paraId="0056D206">
            <w:pPr>
              <w:spacing w:line="266" w:lineRule="auto"/>
              <w:rPr>
                <w:rFonts w:ascii="Arial"/>
                <w:sz w:val="21"/>
              </w:rPr>
            </w:pPr>
          </w:p>
          <w:p w14:paraId="33EB41E2">
            <w:pPr>
              <w:spacing w:line="266" w:lineRule="auto"/>
              <w:rPr>
                <w:rFonts w:ascii="Arial"/>
                <w:sz w:val="21"/>
              </w:rPr>
            </w:pPr>
          </w:p>
          <w:p w14:paraId="467370E3">
            <w:pPr>
              <w:spacing w:line="266" w:lineRule="auto"/>
              <w:rPr>
                <w:rFonts w:ascii="Arial"/>
                <w:sz w:val="21"/>
              </w:rPr>
            </w:pPr>
          </w:p>
          <w:p w14:paraId="2CE57AED">
            <w:pPr>
              <w:pStyle w:val="8"/>
              <w:spacing w:before="58"/>
              <w:ind w:left="114" w:right="108"/>
              <w:jc w:val="both"/>
            </w:pPr>
            <w:r>
              <w:rPr>
                <w:spacing w:val="-4"/>
              </w:rPr>
              <w:t>对侵占、破</w:t>
            </w:r>
            <w:r>
              <w:t xml:space="preserve"> </w:t>
            </w:r>
            <w:r>
              <w:rPr>
                <w:spacing w:val="-4"/>
              </w:rPr>
              <w:t>坏航道或航</w:t>
            </w:r>
            <w:r>
              <w:t xml:space="preserve"> </w:t>
            </w:r>
            <w:r>
              <w:rPr>
                <w:spacing w:val="-4"/>
              </w:rPr>
              <w:t>道设施行为</w:t>
            </w:r>
            <w:r>
              <w:t xml:space="preserve"> </w:t>
            </w:r>
            <w:r>
              <w:rPr>
                <w:spacing w:val="-5"/>
              </w:rPr>
              <w:t>的行政处罚</w:t>
            </w:r>
          </w:p>
        </w:tc>
        <w:tc>
          <w:tcPr>
            <w:tcW w:w="1111" w:type="dxa"/>
            <w:vAlign w:val="top"/>
          </w:tcPr>
          <w:p w14:paraId="610F7C6F">
            <w:pPr>
              <w:spacing w:line="245" w:lineRule="auto"/>
              <w:rPr>
                <w:rFonts w:ascii="Arial"/>
                <w:sz w:val="21"/>
              </w:rPr>
            </w:pPr>
          </w:p>
          <w:p w14:paraId="33CB82BF">
            <w:pPr>
              <w:spacing w:line="245" w:lineRule="auto"/>
              <w:rPr>
                <w:rFonts w:ascii="Arial"/>
                <w:sz w:val="21"/>
              </w:rPr>
            </w:pPr>
          </w:p>
          <w:p w14:paraId="1ABABDF3">
            <w:pPr>
              <w:spacing w:line="245" w:lineRule="auto"/>
              <w:rPr>
                <w:rFonts w:ascii="Arial"/>
                <w:sz w:val="21"/>
              </w:rPr>
            </w:pPr>
          </w:p>
          <w:p w14:paraId="3D5D6209">
            <w:pPr>
              <w:spacing w:line="245" w:lineRule="auto"/>
              <w:rPr>
                <w:rFonts w:ascii="Arial"/>
                <w:sz w:val="21"/>
              </w:rPr>
            </w:pPr>
          </w:p>
          <w:p w14:paraId="12E5D9BA">
            <w:pPr>
              <w:spacing w:line="245" w:lineRule="auto"/>
              <w:rPr>
                <w:rFonts w:ascii="Arial"/>
                <w:sz w:val="21"/>
              </w:rPr>
            </w:pPr>
          </w:p>
          <w:p w14:paraId="6D15025A">
            <w:pPr>
              <w:spacing w:line="245" w:lineRule="auto"/>
              <w:rPr>
                <w:rFonts w:ascii="Arial"/>
                <w:sz w:val="21"/>
              </w:rPr>
            </w:pPr>
          </w:p>
          <w:p w14:paraId="3E526680">
            <w:pPr>
              <w:spacing w:line="245" w:lineRule="auto"/>
              <w:rPr>
                <w:rFonts w:ascii="Arial"/>
                <w:sz w:val="21"/>
              </w:rPr>
            </w:pPr>
          </w:p>
          <w:p w14:paraId="420B9EB5">
            <w:pPr>
              <w:spacing w:line="245" w:lineRule="auto"/>
              <w:rPr>
                <w:rFonts w:ascii="Arial"/>
                <w:sz w:val="21"/>
              </w:rPr>
            </w:pPr>
          </w:p>
          <w:p w14:paraId="1F9397AC">
            <w:pPr>
              <w:spacing w:line="245" w:lineRule="auto"/>
              <w:rPr>
                <w:rFonts w:ascii="Arial"/>
                <w:sz w:val="21"/>
              </w:rPr>
            </w:pPr>
          </w:p>
          <w:p w14:paraId="74F00755">
            <w:pPr>
              <w:pStyle w:val="8"/>
              <w:spacing w:before="59" w:line="220" w:lineRule="auto"/>
              <w:ind w:left="8"/>
            </w:pPr>
            <w:r>
              <w:rPr>
                <w:spacing w:val="-4"/>
              </w:rPr>
              <w:t>行政处罚</w:t>
            </w:r>
          </w:p>
        </w:tc>
        <w:tc>
          <w:tcPr>
            <w:tcW w:w="8613" w:type="dxa"/>
            <w:vAlign w:val="top"/>
          </w:tcPr>
          <w:p w14:paraId="749484CB">
            <w:pPr>
              <w:pStyle w:val="8"/>
              <w:spacing w:before="132" w:line="219" w:lineRule="auto"/>
              <w:ind w:left="473"/>
            </w:pPr>
            <w:r>
              <w:rPr>
                <w:b/>
                <w:bCs/>
                <w:spacing w:val="-7"/>
              </w:rPr>
              <w:t>1.《中华人民共和国航道法》</w:t>
            </w:r>
          </w:p>
          <w:p w14:paraId="44C99E07">
            <w:pPr>
              <w:pStyle w:val="8"/>
              <w:spacing w:before="26" w:line="219" w:lineRule="auto"/>
              <w:ind w:left="459"/>
            </w:pPr>
            <w:r>
              <w:rPr>
                <w:spacing w:val="3"/>
              </w:rPr>
              <w:t>第三十五条第（四）项、第（五）项  禁止下列危害航道通航安全的行为</w:t>
            </w:r>
            <w:r>
              <w:rPr>
                <w:spacing w:val="-4"/>
              </w:rPr>
              <w:t>：（</w:t>
            </w:r>
            <w:r>
              <w:rPr>
                <w:spacing w:val="3"/>
              </w:rPr>
              <w:t>四）危害航道设施安全</w:t>
            </w:r>
          </w:p>
          <w:p w14:paraId="0497269E">
            <w:pPr>
              <w:pStyle w:val="8"/>
              <w:spacing w:before="26" w:line="220" w:lineRule="auto"/>
              <w:ind w:left="131"/>
            </w:pPr>
            <w:r>
              <w:rPr>
                <w:spacing w:val="-4"/>
              </w:rPr>
              <w:t>的</w:t>
            </w:r>
            <w:r>
              <w:rPr>
                <w:spacing w:val="-12"/>
              </w:rPr>
              <w:t>；（</w:t>
            </w:r>
            <w:r>
              <w:rPr>
                <w:spacing w:val="-4"/>
              </w:rPr>
              <w:t>五）其他危害航道通航安全的行为。</w:t>
            </w:r>
          </w:p>
          <w:p w14:paraId="3D95F041">
            <w:pPr>
              <w:pStyle w:val="8"/>
              <w:spacing w:before="24" w:line="238" w:lineRule="auto"/>
              <w:ind w:left="116" w:right="105" w:firstLine="343"/>
              <w:jc w:val="both"/>
            </w:pPr>
            <w:r>
              <w:rPr>
                <w:spacing w:val="-1"/>
              </w:rPr>
              <w:t>第四十二条第（四）项、第（五）项  违反本法规定，有下列行为之</w:t>
            </w:r>
            <w:r>
              <w:rPr>
                <w:spacing w:val="-2"/>
              </w:rPr>
              <w:t>一的，由负责航道管理的部门责令</w:t>
            </w:r>
            <w:r>
              <w:t xml:space="preserve"> </w:t>
            </w:r>
            <w:r>
              <w:rPr>
                <w:spacing w:val="-1"/>
              </w:rPr>
              <w:t>改正，对单位处五万元以下罚款，对个人处二千元以下罚款；造成损失的，依法承担赔偿责任</w:t>
            </w:r>
            <w:r>
              <w:rPr>
                <w:spacing w:val="-15"/>
              </w:rPr>
              <w:t>：（</w:t>
            </w:r>
            <w:r>
              <w:rPr>
                <w:spacing w:val="-1"/>
              </w:rPr>
              <w:t>四）</w:t>
            </w:r>
            <w:r>
              <w:rPr>
                <w:spacing w:val="-2"/>
              </w:rPr>
              <w:t>危害</w:t>
            </w:r>
            <w:r>
              <w:rPr>
                <w:spacing w:val="1"/>
              </w:rPr>
              <w:t xml:space="preserve"> </w:t>
            </w:r>
            <w:r>
              <w:rPr>
                <w:spacing w:val="-3"/>
              </w:rPr>
              <w:t>航道设施安全的</w:t>
            </w:r>
            <w:r>
              <w:rPr>
                <w:spacing w:val="-16"/>
              </w:rPr>
              <w:t>；（</w:t>
            </w:r>
            <w:r>
              <w:rPr>
                <w:spacing w:val="-3"/>
              </w:rPr>
              <w:t>五）其他危害航道通航安全的行为。</w:t>
            </w:r>
          </w:p>
          <w:p w14:paraId="7F1F800C">
            <w:pPr>
              <w:pStyle w:val="8"/>
              <w:spacing w:before="25" w:line="219" w:lineRule="auto"/>
              <w:ind w:left="461"/>
            </w:pPr>
            <w:r>
              <w:rPr>
                <w:b/>
                <w:bCs/>
                <w:spacing w:val="-6"/>
              </w:rPr>
              <w:t>2.《中华人民共和国航道管理条例》</w:t>
            </w:r>
          </w:p>
          <w:p w14:paraId="216CDD98">
            <w:pPr>
              <w:pStyle w:val="8"/>
              <w:spacing w:before="25" w:line="233" w:lineRule="auto"/>
              <w:ind w:left="115" w:right="105" w:firstLine="343"/>
            </w:pPr>
            <w:r>
              <w:rPr>
                <w:spacing w:val="-1"/>
              </w:rPr>
              <w:t>第十三条  航道和航道设施受国家保护，任何单位和个人均不得侵占或者</w:t>
            </w:r>
            <w:r>
              <w:rPr>
                <w:spacing w:val="-2"/>
              </w:rPr>
              <w:t>破坏。交通部门应当加强对航</w:t>
            </w:r>
            <w:r>
              <w:t xml:space="preserve"> </w:t>
            </w:r>
            <w:r>
              <w:rPr>
                <w:spacing w:val="-4"/>
              </w:rPr>
              <w:t>道的养护，保证航道畅通。</w:t>
            </w:r>
          </w:p>
          <w:p w14:paraId="42F996C1">
            <w:pPr>
              <w:pStyle w:val="8"/>
              <w:spacing w:before="26" w:line="218" w:lineRule="auto"/>
              <w:ind w:left="459"/>
            </w:pPr>
            <w:r>
              <w:rPr>
                <w:spacing w:val="-1"/>
              </w:rPr>
              <w:t>第二十七条  对违反本条例规定的单位和个人，县以上交通主管部门可以视情</w:t>
            </w:r>
            <w:r>
              <w:rPr>
                <w:spacing w:val="-2"/>
              </w:rPr>
              <w:t>节轻重给予警告、罚款的</w:t>
            </w:r>
          </w:p>
          <w:p w14:paraId="1773203C">
            <w:pPr>
              <w:pStyle w:val="8"/>
              <w:spacing w:before="27" w:line="224" w:lineRule="auto"/>
              <w:ind w:left="120"/>
            </w:pPr>
            <w:r>
              <w:rPr>
                <w:spacing w:val="-6"/>
              </w:rPr>
              <w:t>处罚。</w:t>
            </w:r>
          </w:p>
          <w:p w14:paraId="79534732">
            <w:pPr>
              <w:pStyle w:val="8"/>
              <w:spacing w:before="22" w:line="219" w:lineRule="auto"/>
              <w:ind w:left="463"/>
            </w:pPr>
            <w:r>
              <w:rPr>
                <w:b/>
                <w:bCs/>
                <w:spacing w:val="-5"/>
              </w:rPr>
              <w:t>3.《中华人民共和国航道管理条例实施细则》（交通运</w:t>
            </w:r>
            <w:r>
              <w:rPr>
                <w:b/>
                <w:bCs/>
                <w:spacing w:val="-6"/>
              </w:rPr>
              <w:t>输部令〔2009〕第9号）</w:t>
            </w:r>
          </w:p>
          <w:p w14:paraId="11957AF8">
            <w:pPr>
              <w:pStyle w:val="8"/>
              <w:spacing w:before="27" w:line="219" w:lineRule="auto"/>
              <w:ind w:left="459"/>
            </w:pPr>
            <w:r>
              <w:rPr>
                <w:spacing w:val="-4"/>
              </w:rPr>
              <w:t>第十六条</w:t>
            </w:r>
            <w:r>
              <w:rPr>
                <w:spacing w:val="85"/>
              </w:rPr>
              <w:t xml:space="preserve"> </w:t>
            </w:r>
            <w:r>
              <w:rPr>
                <w:spacing w:val="-4"/>
              </w:rPr>
              <w:t>航道和航道设施受国家保护，任何单位和个人不得侵占、</w:t>
            </w:r>
            <w:r>
              <w:rPr>
                <w:spacing w:val="-5"/>
              </w:rPr>
              <w:t>破坏。</w:t>
            </w:r>
          </w:p>
          <w:p w14:paraId="29D933BC">
            <w:pPr>
              <w:pStyle w:val="8"/>
              <w:spacing w:before="27" w:line="233" w:lineRule="auto"/>
              <w:ind w:left="119" w:right="105" w:firstLine="340"/>
            </w:pPr>
            <w:r>
              <w:rPr>
                <w:spacing w:val="-1"/>
              </w:rPr>
              <w:t>航道主管部门负责管理和保护航道及航道设施，有权依法制止、处理各</w:t>
            </w:r>
            <w:r>
              <w:rPr>
                <w:spacing w:val="-2"/>
              </w:rPr>
              <w:t>种侵占、破坏航道和航道设施的</w:t>
            </w:r>
            <w:r>
              <w:t xml:space="preserve"> </w:t>
            </w:r>
            <w:r>
              <w:rPr>
                <w:spacing w:val="-5"/>
              </w:rPr>
              <w:t>行为。</w:t>
            </w:r>
          </w:p>
          <w:p w14:paraId="0A3D5953">
            <w:pPr>
              <w:pStyle w:val="8"/>
              <w:spacing w:before="23"/>
              <w:ind w:left="118" w:right="105" w:firstLine="341"/>
              <w:jc w:val="both"/>
            </w:pPr>
            <w:r>
              <w:rPr>
                <w:spacing w:val="-1"/>
              </w:rPr>
              <w:t>第三十八条第（一）项  对有违反《条例》和本《细则》规定行为的单位</w:t>
            </w:r>
            <w:r>
              <w:rPr>
                <w:spacing w:val="-2"/>
              </w:rPr>
              <w:t>或个人，县以上交通运输主管</w:t>
            </w:r>
            <w:r>
              <w:t xml:space="preserve"> </w:t>
            </w:r>
            <w:r>
              <w:rPr>
                <w:spacing w:val="-2"/>
              </w:rPr>
              <w:t>部门或其受委托的航道管理机构除责令其纠正违法行为，限期采取补救措施，排除障碍，赔偿损失外，按下</w:t>
            </w:r>
            <w:r>
              <w:rPr>
                <w:spacing w:val="16"/>
              </w:rPr>
              <w:t xml:space="preserve"> </w:t>
            </w:r>
            <w:r>
              <w:rPr>
                <w:spacing w:val="-1"/>
              </w:rPr>
              <w:t>列规定予以处罚</w:t>
            </w:r>
            <w:r>
              <w:rPr>
                <w:spacing w:val="-15"/>
              </w:rPr>
              <w:t>：（</w:t>
            </w:r>
            <w:r>
              <w:rPr>
                <w:spacing w:val="-1"/>
              </w:rPr>
              <w:t>一）违反《条例》第十三条，本《细则》第十六条，侵占、破坏航道或航道设施</w:t>
            </w:r>
            <w:r>
              <w:rPr>
                <w:spacing w:val="-2"/>
              </w:rPr>
              <w:t>的，处</w:t>
            </w:r>
            <w:r>
              <w:t xml:space="preserve"> </w:t>
            </w:r>
            <w:r>
              <w:rPr>
                <w:spacing w:val="-5"/>
              </w:rPr>
              <w:t>以不超过损失赔偿费40%的罚款。</w:t>
            </w:r>
          </w:p>
        </w:tc>
        <w:tc>
          <w:tcPr>
            <w:tcW w:w="1020" w:type="dxa"/>
            <w:vAlign w:val="top"/>
          </w:tcPr>
          <w:p w14:paraId="47316D6F">
            <w:pPr>
              <w:spacing w:line="262" w:lineRule="auto"/>
              <w:rPr>
                <w:rFonts w:ascii="Arial"/>
                <w:sz w:val="21"/>
              </w:rPr>
            </w:pPr>
          </w:p>
          <w:p w14:paraId="4CB112F3">
            <w:pPr>
              <w:spacing w:line="262" w:lineRule="auto"/>
              <w:rPr>
                <w:rFonts w:ascii="Arial"/>
                <w:sz w:val="21"/>
              </w:rPr>
            </w:pPr>
          </w:p>
          <w:p w14:paraId="6F045A03">
            <w:pPr>
              <w:spacing w:line="262" w:lineRule="auto"/>
              <w:rPr>
                <w:rFonts w:ascii="Arial"/>
                <w:sz w:val="21"/>
              </w:rPr>
            </w:pPr>
          </w:p>
          <w:p w14:paraId="2197539A">
            <w:pPr>
              <w:spacing w:line="262" w:lineRule="auto"/>
              <w:rPr>
                <w:rFonts w:ascii="Arial"/>
                <w:sz w:val="21"/>
              </w:rPr>
            </w:pPr>
          </w:p>
          <w:p w14:paraId="5C87F23C">
            <w:pPr>
              <w:spacing w:line="262" w:lineRule="auto"/>
              <w:rPr>
                <w:rFonts w:ascii="Arial"/>
                <w:sz w:val="21"/>
              </w:rPr>
            </w:pPr>
          </w:p>
          <w:p w14:paraId="5FFB14F2">
            <w:pPr>
              <w:spacing w:line="262" w:lineRule="auto"/>
              <w:rPr>
                <w:rFonts w:ascii="Arial"/>
                <w:sz w:val="21"/>
              </w:rPr>
            </w:pPr>
          </w:p>
          <w:p w14:paraId="14E9CAC1">
            <w:pPr>
              <w:spacing w:line="262" w:lineRule="auto"/>
              <w:rPr>
                <w:rFonts w:ascii="Arial"/>
                <w:sz w:val="21"/>
              </w:rPr>
            </w:pPr>
          </w:p>
          <w:p w14:paraId="4BBBB1AC">
            <w:pPr>
              <w:spacing w:line="262" w:lineRule="auto"/>
              <w:rPr>
                <w:rFonts w:ascii="Arial"/>
                <w:sz w:val="21"/>
              </w:rPr>
            </w:pPr>
          </w:p>
          <w:p w14:paraId="42225B54">
            <w:pPr>
              <w:pStyle w:val="8"/>
              <w:spacing w:before="58" w:line="229" w:lineRule="auto"/>
              <w:ind w:left="181" w:right="158" w:firstLine="2"/>
            </w:pPr>
            <w:r>
              <w:rPr>
                <w:spacing w:val="-12"/>
              </w:rPr>
              <w:t>交通运输</w:t>
            </w:r>
            <w:r>
              <w:t xml:space="preserve"> </w:t>
            </w:r>
            <w:r>
              <w:rPr>
                <w:spacing w:val="-12"/>
              </w:rPr>
              <w:t>主管部门</w:t>
            </w:r>
          </w:p>
        </w:tc>
        <w:tc>
          <w:tcPr>
            <w:tcW w:w="1416" w:type="dxa"/>
            <w:vAlign w:val="top"/>
          </w:tcPr>
          <w:p w14:paraId="2E506C34">
            <w:pPr>
              <w:spacing w:line="245" w:lineRule="auto"/>
              <w:rPr>
                <w:rFonts w:ascii="Arial"/>
                <w:sz w:val="21"/>
              </w:rPr>
            </w:pPr>
          </w:p>
          <w:p w14:paraId="65A82675">
            <w:pPr>
              <w:spacing w:line="245" w:lineRule="auto"/>
              <w:rPr>
                <w:rFonts w:ascii="Arial"/>
                <w:sz w:val="21"/>
              </w:rPr>
            </w:pPr>
          </w:p>
          <w:p w14:paraId="14931A4D">
            <w:pPr>
              <w:spacing w:line="245" w:lineRule="auto"/>
              <w:rPr>
                <w:rFonts w:ascii="Arial"/>
                <w:sz w:val="21"/>
              </w:rPr>
            </w:pPr>
          </w:p>
          <w:p w14:paraId="7187BE4B">
            <w:pPr>
              <w:spacing w:line="245" w:lineRule="auto"/>
              <w:rPr>
                <w:rFonts w:ascii="Arial"/>
                <w:sz w:val="21"/>
              </w:rPr>
            </w:pPr>
          </w:p>
          <w:p w14:paraId="79C2407D">
            <w:pPr>
              <w:spacing w:line="245" w:lineRule="auto"/>
              <w:rPr>
                <w:rFonts w:ascii="Arial"/>
                <w:sz w:val="21"/>
              </w:rPr>
            </w:pPr>
          </w:p>
          <w:p w14:paraId="59D718B0">
            <w:pPr>
              <w:spacing w:line="245" w:lineRule="auto"/>
              <w:rPr>
                <w:rFonts w:ascii="Arial"/>
                <w:sz w:val="21"/>
              </w:rPr>
            </w:pPr>
          </w:p>
          <w:p w14:paraId="6E45AE0C">
            <w:pPr>
              <w:spacing w:line="246" w:lineRule="auto"/>
              <w:rPr>
                <w:rFonts w:ascii="Arial"/>
                <w:sz w:val="21"/>
              </w:rPr>
            </w:pPr>
          </w:p>
          <w:p w14:paraId="71BA9133">
            <w:pPr>
              <w:spacing w:line="246" w:lineRule="auto"/>
              <w:rPr>
                <w:rFonts w:ascii="Arial"/>
                <w:sz w:val="21"/>
              </w:rPr>
            </w:pPr>
          </w:p>
          <w:p w14:paraId="4EC0EE54">
            <w:pPr>
              <w:spacing w:line="246" w:lineRule="auto"/>
              <w:rPr>
                <w:rFonts w:ascii="Arial"/>
                <w:sz w:val="21"/>
              </w:rPr>
            </w:pPr>
          </w:p>
          <w:p w14:paraId="544DCB26">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3FE6A2EF">
            <w:pPr>
              <w:spacing w:line="247" w:lineRule="auto"/>
              <w:rPr>
                <w:rFonts w:ascii="Arial"/>
                <w:sz w:val="21"/>
              </w:rPr>
            </w:pPr>
          </w:p>
          <w:p w14:paraId="5A5C94F8">
            <w:pPr>
              <w:spacing w:line="247" w:lineRule="auto"/>
              <w:rPr>
                <w:rFonts w:ascii="Arial"/>
                <w:sz w:val="21"/>
              </w:rPr>
            </w:pPr>
          </w:p>
          <w:p w14:paraId="6DCE4839">
            <w:pPr>
              <w:spacing w:line="247" w:lineRule="auto"/>
              <w:rPr>
                <w:rFonts w:ascii="Arial"/>
                <w:sz w:val="21"/>
              </w:rPr>
            </w:pPr>
          </w:p>
          <w:p w14:paraId="1F7CBB34">
            <w:pPr>
              <w:spacing w:line="248" w:lineRule="auto"/>
              <w:rPr>
                <w:rFonts w:ascii="Arial"/>
                <w:sz w:val="21"/>
              </w:rPr>
            </w:pPr>
          </w:p>
          <w:p w14:paraId="0DDF114B">
            <w:pPr>
              <w:spacing w:line="248" w:lineRule="auto"/>
              <w:rPr>
                <w:rFonts w:ascii="Arial"/>
                <w:sz w:val="21"/>
              </w:rPr>
            </w:pPr>
          </w:p>
          <w:p w14:paraId="04020722">
            <w:pPr>
              <w:spacing w:line="248" w:lineRule="auto"/>
              <w:rPr>
                <w:rFonts w:ascii="Arial"/>
                <w:sz w:val="21"/>
              </w:rPr>
            </w:pPr>
          </w:p>
          <w:p w14:paraId="26907B05">
            <w:pPr>
              <w:spacing w:line="248" w:lineRule="auto"/>
              <w:rPr>
                <w:rFonts w:ascii="Arial"/>
                <w:sz w:val="21"/>
              </w:rPr>
            </w:pPr>
          </w:p>
          <w:p w14:paraId="698361B1">
            <w:pPr>
              <w:spacing w:line="248" w:lineRule="auto"/>
              <w:rPr>
                <w:rFonts w:ascii="Arial"/>
                <w:sz w:val="21"/>
              </w:rPr>
            </w:pPr>
          </w:p>
          <w:p w14:paraId="27CCA0E8">
            <w:pPr>
              <w:pStyle w:val="8"/>
              <w:spacing w:before="59"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3A741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8" w:hRule="atLeast"/>
        </w:trPr>
        <w:tc>
          <w:tcPr>
            <w:tcW w:w="626" w:type="dxa"/>
            <w:vAlign w:val="top"/>
          </w:tcPr>
          <w:p w14:paraId="1C160A2C">
            <w:pPr>
              <w:spacing w:line="270" w:lineRule="auto"/>
              <w:rPr>
                <w:rFonts w:ascii="Arial"/>
                <w:sz w:val="21"/>
              </w:rPr>
            </w:pPr>
          </w:p>
          <w:p w14:paraId="29EBEDCB">
            <w:pPr>
              <w:spacing w:line="270" w:lineRule="auto"/>
              <w:rPr>
                <w:rFonts w:ascii="Arial"/>
                <w:sz w:val="21"/>
              </w:rPr>
            </w:pPr>
          </w:p>
          <w:p w14:paraId="1CC84A76">
            <w:pPr>
              <w:spacing w:line="270" w:lineRule="auto"/>
              <w:rPr>
                <w:rFonts w:ascii="Arial"/>
                <w:sz w:val="21"/>
              </w:rPr>
            </w:pPr>
          </w:p>
          <w:p w14:paraId="2BB4D4A0">
            <w:pPr>
              <w:spacing w:line="270" w:lineRule="auto"/>
              <w:rPr>
                <w:rFonts w:ascii="Arial"/>
                <w:sz w:val="21"/>
              </w:rPr>
            </w:pPr>
          </w:p>
          <w:p w14:paraId="366858DB">
            <w:pPr>
              <w:spacing w:line="270" w:lineRule="auto"/>
              <w:rPr>
                <w:rFonts w:ascii="Arial"/>
                <w:sz w:val="21"/>
              </w:rPr>
            </w:pPr>
          </w:p>
          <w:p w14:paraId="77E0D40E">
            <w:pPr>
              <w:spacing w:line="270" w:lineRule="auto"/>
              <w:rPr>
                <w:rFonts w:ascii="Arial"/>
                <w:sz w:val="21"/>
              </w:rPr>
            </w:pPr>
          </w:p>
          <w:p w14:paraId="0C8C21C3">
            <w:pPr>
              <w:spacing w:line="271" w:lineRule="auto"/>
              <w:rPr>
                <w:rFonts w:ascii="Arial"/>
                <w:sz w:val="21"/>
              </w:rPr>
            </w:pPr>
          </w:p>
          <w:p w14:paraId="6D9FA4FB">
            <w:pPr>
              <w:pStyle w:val="8"/>
              <w:spacing w:before="59" w:line="184" w:lineRule="auto"/>
              <w:ind w:left="250"/>
            </w:pPr>
            <w:r>
              <w:rPr>
                <w:spacing w:val="-11"/>
              </w:rPr>
              <w:t>12</w:t>
            </w:r>
          </w:p>
        </w:tc>
        <w:tc>
          <w:tcPr>
            <w:tcW w:w="1110" w:type="dxa"/>
            <w:vAlign w:val="top"/>
          </w:tcPr>
          <w:p w14:paraId="5A3AF029">
            <w:pPr>
              <w:spacing w:line="282" w:lineRule="auto"/>
              <w:rPr>
                <w:rFonts w:ascii="Arial"/>
                <w:sz w:val="21"/>
              </w:rPr>
            </w:pPr>
          </w:p>
          <w:p w14:paraId="4C11C235">
            <w:pPr>
              <w:spacing w:line="282" w:lineRule="auto"/>
              <w:rPr>
                <w:rFonts w:ascii="Arial"/>
                <w:sz w:val="21"/>
              </w:rPr>
            </w:pPr>
          </w:p>
          <w:p w14:paraId="4AF0F464">
            <w:pPr>
              <w:spacing w:line="282" w:lineRule="auto"/>
              <w:rPr>
                <w:rFonts w:ascii="Arial"/>
                <w:sz w:val="21"/>
              </w:rPr>
            </w:pPr>
          </w:p>
          <w:p w14:paraId="12EDADD9">
            <w:pPr>
              <w:spacing w:line="282" w:lineRule="auto"/>
              <w:rPr>
                <w:rFonts w:ascii="Arial"/>
                <w:sz w:val="21"/>
              </w:rPr>
            </w:pPr>
          </w:p>
          <w:p w14:paraId="494809C7">
            <w:pPr>
              <w:spacing w:line="283" w:lineRule="auto"/>
              <w:rPr>
                <w:rFonts w:ascii="Arial"/>
                <w:sz w:val="21"/>
              </w:rPr>
            </w:pPr>
          </w:p>
          <w:p w14:paraId="00A88DD1">
            <w:pPr>
              <w:pStyle w:val="8"/>
              <w:spacing w:before="59" w:line="241" w:lineRule="auto"/>
              <w:ind w:left="113" w:right="108"/>
              <w:jc w:val="both"/>
            </w:pPr>
            <w:r>
              <w:rPr>
                <w:spacing w:val="-4"/>
              </w:rPr>
              <w:t>对未按主管</w:t>
            </w:r>
            <w:r>
              <w:t xml:space="preserve"> </w:t>
            </w:r>
            <w:r>
              <w:rPr>
                <w:spacing w:val="-4"/>
              </w:rPr>
              <w:t>部门意见设</w:t>
            </w:r>
            <w:r>
              <w:rPr>
                <w:spacing w:val="1"/>
              </w:rPr>
              <w:t xml:space="preserve"> </w:t>
            </w:r>
            <w:r>
              <w:rPr>
                <w:spacing w:val="-4"/>
              </w:rPr>
              <w:t>置必要的航</w:t>
            </w:r>
            <w:r>
              <w:rPr>
                <w:spacing w:val="1"/>
              </w:rPr>
              <w:t xml:space="preserve"> </w:t>
            </w:r>
            <w:r>
              <w:rPr>
                <w:spacing w:val="-4"/>
              </w:rPr>
              <w:t>标行为的行</w:t>
            </w:r>
            <w:r>
              <w:rPr>
                <w:spacing w:val="1"/>
              </w:rPr>
              <w:t xml:space="preserve"> </w:t>
            </w:r>
            <w:r>
              <w:rPr>
                <w:spacing w:val="-4"/>
              </w:rPr>
              <w:t>政处罚</w:t>
            </w:r>
          </w:p>
        </w:tc>
        <w:tc>
          <w:tcPr>
            <w:tcW w:w="1111" w:type="dxa"/>
            <w:vAlign w:val="top"/>
          </w:tcPr>
          <w:p w14:paraId="2FA820DE">
            <w:pPr>
              <w:spacing w:line="267" w:lineRule="auto"/>
              <w:rPr>
                <w:rFonts w:ascii="Arial"/>
                <w:sz w:val="21"/>
              </w:rPr>
            </w:pPr>
          </w:p>
          <w:p w14:paraId="2318588B">
            <w:pPr>
              <w:spacing w:line="267" w:lineRule="auto"/>
              <w:rPr>
                <w:rFonts w:ascii="Arial"/>
                <w:sz w:val="21"/>
              </w:rPr>
            </w:pPr>
          </w:p>
          <w:p w14:paraId="154BF0A6">
            <w:pPr>
              <w:spacing w:line="268" w:lineRule="auto"/>
              <w:rPr>
                <w:rFonts w:ascii="Arial"/>
                <w:sz w:val="21"/>
              </w:rPr>
            </w:pPr>
          </w:p>
          <w:p w14:paraId="38B998CD">
            <w:pPr>
              <w:spacing w:line="268" w:lineRule="auto"/>
              <w:rPr>
                <w:rFonts w:ascii="Arial"/>
                <w:sz w:val="21"/>
              </w:rPr>
            </w:pPr>
          </w:p>
          <w:p w14:paraId="1808B431">
            <w:pPr>
              <w:spacing w:line="268" w:lineRule="auto"/>
              <w:rPr>
                <w:rFonts w:ascii="Arial"/>
                <w:sz w:val="21"/>
              </w:rPr>
            </w:pPr>
          </w:p>
          <w:p w14:paraId="3F5E5603">
            <w:pPr>
              <w:spacing w:line="268" w:lineRule="auto"/>
              <w:rPr>
                <w:rFonts w:ascii="Arial"/>
                <w:sz w:val="21"/>
              </w:rPr>
            </w:pPr>
          </w:p>
          <w:p w14:paraId="6706A582">
            <w:pPr>
              <w:spacing w:line="268" w:lineRule="auto"/>
              <w:rPr>
                <w:rFonts w:ascii="Arial"/>
                <w:sz w:val="21"/>
              </w:rPr>
            </w:pPr>
          </w:p>
          <w:p w14:paraId="380FC64C">
            <w:pPr>
              <w:pStyle w:val="8"/>
              <w:spacing w:before="58" w:line="220" w:lineRule="auto"/>
              <w:ind w:left="8"/>
            </w:pPr>
            <w:r>
              <w:rPr>
                <w:spacing w:val="-4"/>
              </w:rPr>
              <w:t>行政处罚</w:t>
            </w:r>
          </w:p>
        </w:tc>
        <w:tc>
          <w:tcPr>
            <w:tcW w:w="8613" w:type="dxa"/>
            <w:vAlign w:val="top"/>
          </w:tcPr>
          <w:p w14:paraId="046190D2">
            <w:pPr>
              <w:pStyle w:val="8"/>
              <w:spacing w:before="38" w:line="219" w:lineRule="auto"/>
              <w:ind w:left="473"/>
            </w:pPr>
            <w:r>
              <w:rPr>
                <w:b/>
                <w:bCs/>
                <w:spacing w:val="-7"/>
              </w:rPr>
              <w:t>1.《中华人民共和国航道法》</w:t>
            </w:r>
          </w:p>
          <w:p w14:paraId="649E28B3">
            <w:pPr>
              <w:pStyle w:val="8"/>
              <w:spacing w:before="25" w:line="233" w:lineRule="auto"/>
              <w:ind w:left="116" w:right="105" w:firstLine="343"/>
            </w:pPr>
            <w:r>
              <w:rPr>
                <w:spacing w:val="-1"/>
              </w:rPr>
              <w:t>第三十四条第一款  在通航水域上建设桥梁等建筑物，建设单位应当按照</w:t>
            </w:r>
            <w:r>
              <w:rPr>
                <w:spacing w:val="-2"/>
              </w:rPr>
              <w:t>国家有关规定和技术要求设置</w:t>
            </w:r>
            <w:r>
              <w:t xml:space="preserve"> </w:t>
            </w:r>
            <w:r>
              <w:rPr>
                <w:spacing w:val="-4"/>
              </w:rPr>
              <w:t>航标等设施，并承担相应费用。</w:t>
            </w:r>
          </w:p>
          <w:p w14:paraId="391665BE">
            <w:pPr>
              <w:pStyle w:val="8"/>
              <w:spacing w:before="24" w:line="233" w:lineRule="auto"/>
              <w:ind w:left="118" w:right="105" w:firstLine="341"/>
            </w:pPr>
            <w:r>
              <w:rPr>
                <w:spacing w:val="-1"/>
              </w:rPr>
              <w:t>第四十一条  在通航水域上建设桥梁等建筑物，建设单位未按照规定设置</w:t>
            </w:r>
            <w:r>
              <w:rPr>
                <w:spacing w:val="-2"/>
              </w:rPr>
              <w:t>航标等设施的，由负责航道管</w:t>
            </w:r>
            <w:r>
              <w:t xml:space="preserve"> </w:t>
            </w:r>
            <w:r>
              <w:rPr>
                <w:spacing w:val="-4"/>
              </w:rPr>
              <w:t>理的部门或者海事管理机构责令改正，处五万元以下</w:t>
            </w:r>
            <w:r>
              <w:rPr>
                <w:spacing w:val="-5"/>
              </w:rPr>
              <w:t>罚款。</w:t>
            </w:r>
          </w:p>
          <w:p w14:paraId="2B02997B">
            <w:pPr>
              <w:pStyle w:val="8"/>
              <w:spacing w:before="27" w:line="219" w:lineRule="auto"/>
              <w:ind w:left="461"/>
            </w:pPr>
            <w:r>
              <w:rPr>
                <w:b/>
                <w:bCs/>
                <w:spacing w:val="-6"/>
              </w:rPr>
              <w:t>2.《中华人民共和国航道管理条例》</w:t>
            </w:r>
          </w:p>
          <w:p w14:paraId="574F2C17">
            <w:pPr>
              <w:pStyle w:val="8"/>
              <w:spacing w:before="27" w:line="219" w:lineRule="auto"/>
              <w:ind w:left="459"/>
            </w:pPr>
            <w:r>
              <w:rPr>
                <w:spacing w:val="-4"/>
              </w:rPr>
              <w:t>第二十一条  沿海和通航河流上设置的助航标志必须符合国家规定的标准。</w:t>
            </w:r>
          </w:p>
          <w:p w14:paraId="161C9C56">
            <w:pPr>
              <w:pStyle w:val="8"/>
              <w:spacing w:before="26" w:line="233" w:lineRule="auto"/>
              <w:ind w:left="118" w:right="105" w:firstLine="340"/>
            </w:pPr>
            <w:r>
              <w:rPr>
                <w:spacing w:val="-1"/>
              </w:rPr>
              <w:t>在沿海和通航河流上设置专用标志必须经交通主管部门同意；设置渔标和</w:t>
            </w:r>
            <w:r>
              <w:rPr>
                <w:spacing w:val="-2"/>
              </w:rPr>
              <w:t>军用标，必须报交通主管部门</w:t>
            </w:r>
            <w:r>
              <w:t xml:space="preserve"> </w:t>
            </w:r>
            <w:r>
              <w:rPr>
                <w:spacing w:val="-5"/>
              </w:rPr>
              <w:t>备案。</w:t>
            </w:r>
          </w:p>
          <w:p w14:paraId="46A4B357">
            <w:pPr>
              <w:pStyle w:val="8"/>
              <w:spacing w:before="25" w:line="218" w:lineRule="auto"/>
              <w:ind w:left="459"/>
            </w:pPr>
            <w:r>
              <w:rPr>
                <w:spacing w:val="-1"/>
              </w:rPr>
              <w:t>第二十七条  对违反本条例规定的单位和个人，县以上交通主管部门可以视情</w:t>
            </w:r>
            <w:r>
              <w:rPr>
                <w:spacing w:val="-2"/>
              </w:rPr>
              <w:t>节轻重给予警告、罚款的</w:t>
            </w:r>
          </w:p>
          <w:p w14:paraId="17D6241F">
            <w:pPr>
              <w:pStyle w:val="8"/>
              <w:spacing w:before="28" w:line="224" w:lineRule="auto"/>
              <w:ind w:left="120"/>
            </w:pPr>
            <w:r>
              <w:rPr>
                <w:spacing w:val="-6"/>
              </w:rPr>
              <w:t>处罚。</w:t>
            </w:r>
          </w:p>
          <w:p w14:paraId="0C5911A0">
            <w:pPr>
              <w:pStyle w:val="8"/>
              <w:spacing w:before="21" w:line="219" w:lineRule="auto"/>
              <w:ind w:left="463"/>
            </w:pPr>
            <w:r>
              <w:rPr>
                <w:b/>
                <w:bCs/>
                <w:spacing w:val="-5"/>
              </w:rPr>
              <w:t>3.《中华人民共和国航道管理条例实施细则》（交通运</w:t>
            </w:r>
            <w:r>
              <w:rPr>
                <w:b/>
                <w:bCs/>
                <w:spacing w:val="-6"/>
              </w:rPr>
              <w:t>输部令〔2009〕第9号）</w:t>
            </w:r>
          </w:p>
          <w:p w14:paraId="5FADF910">
            <w:pPr>
              <w:pStyle w:val="8"/>
              <w:spacing w:before="28" w:line="237" w:lineRule="auto"/>
              <w:ind w:left="117" w:right="103" w:firstLine="342"/>
              <w:jc w:val="both"/>
            </w:pPr>
            <w:r>
              <w:rPr>
                <w:spacing w:val="-1"/>
              </w:rPr>
              <w:t>第二十九条第一款、第二款  在通航河流上新建和已建桥梁，必须根据航道主</w:t>
            </w:r>
            <w:r>
              <w:rPr>
                <w:spacing w:val="-2"/>
              </w:rPr>
              <w:t>管部门的意见，建设桥涵</w:t>
            </w:r>
            <w:r>
              <w:t xml:space="preserve"> </w:t>
            </w:r>
            <w:r>
              <w:rPr>
                <w:spacing w:val="-2"/>
              </w:rPr>
              <w:t>标志或者桥梁河段航标，同时按港监部门的意见，增设航行安全设施，其建设和维护管理工作，由桥梁建设</w:t>
            </w:r>
            <w:r>
              <w:rPr>
                <w:spacing w:val="17"/>
              </w:rPr>
              <w:t xml:space="preserve"> </w:t>
            </w:r>
            <w:r>
              <w:rPr>
                <w:spacing w:val="-5"/>
              </w:rPr>
              <w:t>或者管理单位负责。</w:t>
            </w:r>
          </w:p>
          <w:p w14:paraId="7E81A218">
            <w:pPr>
              <w:pStyle w:val="8"/>
              <w:spacing w:before="26" w:line="220" w:lineRule="auto"/>
              <w:ind w:left="117" w:right="105" w:firstLine="344"/>
            </w:pPr>
            <w:r>
              <w:rPr>
                <w:spacing w:val="-1"/>
              </w:rPr>
              <w:t>建设其他与通航有关的设施，涉及到航行安全和设施自身安全的，</w:t>
            </w:r>
            <w:r>
              <w:rPr>
                <w:spacing w:val="-2"/>
              </w:rPr>
              <w:t>亦须设置航标予以标示，其设标和维</w:t>
            </w:r>
            <w:r>
              <w:t xml:space="preserve"> </w:t>
            </w:r>
            <w:r>
              <w:rPr>
                <w:spacing w:val="-5"/>
              </w:rPr>
              <w:t>护管理工作，亦由建设和管理单位负责。</w:t>
            </w:r>
          </w:p>
        </w:tc>
        <w:tc>
          <w:tcPr>
            <w:tcW w:w="1020" w:type="dxa"/>
            <w:vAlign w:val="top"/>
          </w:tcPr>
          <w:p w14:paraId="39FC3D18">
            <w:pPr>
              <w:spacing w:line="252" w:lineRule="auto"/>
              <w:rPr>
                <w:rFonts w:ascii="Arial"/>
                <w:sz w:val="21"/>
              </w:rPr>
            </w:pPr>
          </w:p>
          <w:p w14:paraId="39B1EEA8">
            <w:pPr>
              <w:spacing w:line="252" w:lineRule="auto"/>
              <w:rPr>
                <w:rFonts w:ascii="Arial"/>
                <w:sz w:val="21"/>
              </w:rPr>
            </w:pPr>
          </w:p>
          <w:p w14:paraId="6AEC252C">
            <w:pPr>
              <w:spacing w:line="252" w:lineRule="auto"/>
              <w:rPr>
                <w:rFonts w:ascii="Arial"/>
                <w:sz w:val="21"/>
              </w:rPr>
            </w:pPr>
          </w:p>
          <w:p w14:paraId="2221A1AA">
            <w:pPr>
              <w:spacing w:line="252" w:lineRule="auto"/>
              <w:rPr>
                <w:rFonts w:ascii="Arial"/>
                <w:sz w:val="21"/>
              </w:rPr>
            </w:pPr>
          </w:p>
          <w:p w14:paraId="5FAE7918">
            <w:pPr>
              <w:spacing w:line="252" w:lineRule="auto"/>
              <w:rPr>
                <w:rFonts w:ascii="Arial"/>
                <w:sz w:val="21"/>
              </w:rPr>
            </w:pPr>
          </w:p>
          <w:p w14:paraId="5E70B249">
            <w:pPr>
              <w:spacing w:line="252" w:lineRule="auto"/>
              <w:rPr>
                <w:rFonts w:ascii="Arial"/>
                <w:sz w:val="21"/>
              </w:rPr>
            </w:pPr>
          </w:p>
          <w:p w14:paraId="2C5ABA6A">
            <w:pPr>
              <w:spacing w:line="252" w:lineRule="auto"/>
              <w:rPr>
                <w:rFonts w:ascii="Arial"/>
                <w:sz w:val="21"/>
              </w:rPr>
            </w:pPr>
          </w:p>
          <w:p w14:paraId="43DB148F">
            <w:pPr>
              <w:pStyle w:val="8"/>
              <w:spacing w:before="58" w:line="229" w:lineRule="auto"/>
              <w:ind w:left="181" w:right="158" w:firstLine="2"/>
            </w:pPr>
            <w:r>
              <w:rPr>
                <w:spacing w:val="-12"/>
              </w:rPr>
              <w:t>交通运输</w:t>
            </w:r>
            <w:r>
              <w:t xml:space="preserve"> </w:t>
            </w:r>
            <w:r>
              <w:rPr>
                <w:spacing w:val="-12"/>
              </w:rPr>
              <w:t>主管部门</w:t>
            </w:r>
          </w:p>
        </w:tc>
        <w:tc>
          <w:tcPr>
            <w:tcW w:w="1416" w:type="dxa"/>
            <w:vAlign w:val="top"/>
          </w:tcPr>
          <w:p w14:paraId="40F3B9CE">
            <w:pPr>
              <w:spacing w:line="268" w:lineRule="auto"/>
              <w:rPr>
                <w:rFonts w:ascii="Arial"/>
                <w:sz w:val="21"/>
              </w:rPr>
            </w:pPr>
          </w:p>
          <w:p w14:paraId="0B65369B">
            <w:pPr>
              <w:spacing w:line="268" w:lineRule="auto"/>
              <w:rPr>
                <w:rFonts w:ascii="Arial"/>
                <w:sz w:val="21"/>
              </w:rPr>
            </w:pPr>
          </w:p>
          <w:p w14:paraId="23DD4BA2">
            <w:pPr>
              <w:spacing w:line="269" w:lineRule="auto"/>
              <w:rPr>
                <w:rFonts w:ascii="Arial"/>
                <w:sz w:val="21"/>
              </w:rPr>
            </w:pPr>
          </w:p>
          <w:p w14:paraId="21AD7685">
            <w:pPr>
              <w:spacing w:line="269" w:lineRule="auto"/>
              <w:rPr>
                <w:rFonts w:ascii="Arial"/>
                <w:sz w:val="21"/>
              </w:rPr>
            </w:pPr>
          </w:p>
          <w:p w14:paraId="19FE4015">
            <w:pPr>
              <w:spacing w:line="269" w:lineRule="auto"/>
              <w:rPr>
                <w:rFonts w:ascii="Arial"/>
                <w:sz w:val="21"/>
              </w:rPr>
            </w:pPr>
          </w:p>
          <w:p w14:paraId="40314985">
            <w:pPr>
              <w:spacing w:line="269" w:lineRule="auto"/>
              <w:rPr>
                <w:rFonts w:ascii="Arial"/>
                <w:sz w:val="21"/>
              </w:rPr>
            </w:pPr>
          </w:p>
          <w:p w14:paraId="55C38C7B">
            <w:pPr>
              <w:spacing w:line="269" w:lineRule="auto"/>
              <w:rPr>
                <w:rFonts w:ascii="Arial"/>
                <w:sz w:val="21"/>
              </w:rPr>
            </w:pPr>
          </w:p>
          <w:p w14:paraId="394CE641">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0F9854ED">
            <w:pPr>
              <w:spacing w:line="275" w:lineRule="auto"/>
              <w:rPr>
                <w:rFonts w:ascii="Arial"/>
                <w:sz w:val="21"/>
              </w:rPr>
            </w:pPr>
          </w:p>
          <w:p w14:paraId="2AE0F8A3">
            <w:pPr>
              <w:spacing w:line="275" w:lineRule="auto"/>
              <w:rPr>
                <w:rFonts w:ascii="Arial"/>
                <w:sz w:val="21"/>
              </w:rPr>
            </w:pPr>
          </w:p>
          <w:p w14:paraId="3D8C1964">
            <w:pPr>
              <w:spacing w:line="275" w:lineRule="auto"/>
              <w:rPr>
                <w:rFonts w:ascii="Arial"/>
                <w:sz w:val="21"/>
              </w:rPr>
            </w:pPr>
          </w:p>
          <w:p w14:paraId="18C84DAD">
            <w:pPr>
              <w:spacing w:line="275" w:lineRule="auto"/>
              <w:rPr>
                <w:rFonts w:ascii="Arial"/>
                <w:sz w:val="21"/>
              </w:rPr>
            </w:pPr>
          </w:p>
          <w:p w14:paraId="18A9E7A4">
            <w:pPr>
              <w:spacing w:line="275" w:lineRule="auto"/>
              <w:rPr>
                <w:rFonts w:ascii="Arial"/>
                <w:sz w:val="21"/>
              </w:rPr>
            </w:pPr>
          </w:p>
          <w:p w14:paraId="00852013">
            <w:pPr>
              <w:spacing w:line="275" w:lineRule="auto"/>
              <w:rPr>
                <w:rFonts w:ascii="Arial"/>
                <w:sz w:val="21"/>
              </w:rPr>
            </w:pPr>
          </w:p>
          <w:p w14:paraId="080F826D">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1B2018DB">
      <w:pPr>
        <w:pStyle w:val="2"/>
      </w:pPr>
    </w:p>
    <w:p w14:paraId="1CF50B58">
      <w:pPr>
        <w:sectPr>
          <w:footerReference r:id="rId162" w:type="default"/>
          <w:pgSz w:w="16840" w:h="11906"/>
          <w:pgMar w:top="1012" w:right="957" w:bottom="967" w:left="957" w:header="0" w:footer="768" w:gutter="0"/>
          <w:cols w:space="720" w:num="1"/>
        </w:sectPr>
      </w:pPr>
    </w:p>
    <w:p w14:paraId="45AC51A4">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426B8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5A6756FE">
            <w:pPr>
              <w:pStyle w:val="8"/>
              <w:spacing w:before="199" w:line="221" w:lineRule="auto"/>
              <w:ind w:left="138"/>
            </w:pPr>
            <w:r>
              <w:rPr>
                <w:b/>
                <w:bCs/>
                <w:spacing w:val="-6"/>
              </w:rPr>
              <w:t>序号</w:t>
            </w:r>
          </w:p>
        </w:tc>
        <w:tc>
          <w:tcPr>
            <w:tcW w:w="1110" w:type="dxa"/>
            <w:vMerge w:val="restart"/>
            <w:tcBorders>
              <w:bottom w:val="nil"/>
            </w:tcBorders>
            <w:vAlign w:val="top"/>
          </w:tcPr>
          <w:p w14:paraId="38263AA8">
            <w:pPr>
              <w:pStyle w:val="8"/>
              <w:spacing w:before="200" w:line="220" w:lineRule="auto"/>
              <w:ind w:left="204"/>
            </w:pPr>
            <w:r>
              <w:rPr>
                <w:b/>
                <w:bCs/>
                <w:spacing w:val="-6"/>
              </w:rPr>
              <w:t>事项名称</w:t>
            </w:r>
          </w:p>
        </w:tc>
        <w:tc>
          <w:tcPr>
            <w:tcW w:w="1111" w:type="dxa"/>
            <w:vMerge w:val="restart"/>
            <w:tcBorders>
              <w:bottom w:val="nil"/>
            </w:tcBorders>
            <w:vAlign w:val="top"/>
          </w:tcPr>
          <w:p w14:paraId="2C0CA9F1">
            <w:pPr>
              <w:pStyle w:val="8"/>
              <w:spacing w:before="200" w:line="219" w:lineRule="auto"/>
              <w:ind w:left="205"/>
            </w:pPr>
            <w:r>
              <w:rPr>
                <w:b/>
                <w:bCs/>
                <w:spacing w:val="-6"/>
              </w:rPr>
              <w:t>职权类型</w:t>
            </w:r>
          </w:p>
        </w:tc>
        <w:tc>
          <w:tcPr>
            <w:tcW w:w="8613" w:type="dxa"/>
            <w:vMerge w:val="restart"/>
            <w:tcBorders>
              <w:bottom w:val="nil"/>
            </w:tcBorders>
            <w:vAlign w:val="top"/>
          </w:tcPr>
          <w:p w14:paraId="7BC43D2B">
            <w:pPr>
              <w:pStyle w:val="8"/>
              <w:spacing w:before="199" w:line="219" w:lineRule="auto"/>
              <w:ind w:left="3963"/>
            </w:pPr>
            <w:r>
              <w:rPr>
                <w:b/>
                <w:bCs/>
                <w:spacing w:val="-8"/>
              </w:rPr>
              <w:t>实施依据</w:t>
            </w:r>
          </w:p>
        </w:tc>
        <w:tc>
          <w:tcPr>
            <w:tcW w:w="3458" w:type="dxa"/>
            <w:gridSpan w:val="3"/>
            <w:vAlign w:val="top"/>
          </w:tcPr>
          <w:p w14:paraId="6EB31F18">
            <w:pPr>
              <w:pStyle w:val="8"/>
              <w:spacing w:before="38" w:line="198" w:lineRule="auto"/>
              <w:ind w:left="1376"/>
            </w:pPr>
            <w:r>
              <w:rPr>
                <w:b/>
                <w:bCs/>
                <w:spacing w:val="-5"/>
              </w:rPr>
              <w:t>实施主体</w:t>
            </w:r>
          </w:p>
        </w:tc>
      </w:tr>
      <w:tr w14:paraId="4DFF0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26" w:type="dxa"/>
            <w:vMerge w:val="continue"/>
            <w:tcBorders>
              <w:top w:val="nil"/>
            </w:tcBorders>
            <w:vAlign w:val="top"/>
          </w:tcPr>
          <w:p w14:paraId="597D2504">
            <w:pPr>
              <w:rPr>
                <w:rFonts w:ascii="Arial"/>
                <w:sz w:val="21"/>
              </w:rPr>
            </w:pPr>
          </w:p>
        </w:tc>
        <w:tc>
          <w:tcPr>
            <w:tcW w:w="1110" w:type="dxa"/>
            <w:vMerge w:val="continue"/>
            <w:tcBorders>
              <w:top w:val="nil"/>
            </w:tcBorders>
            <w:vAlign w:val="top"/>
          </w:tcPr>
          <w:p w14:paraId="225B2EA0">
            <w:pPr>
              <w:rPr>
                <w:rFonts w:ascii="Arial"/>
                <w:sz w:val="21"/>
              </w:rPr>
            </w:pPr>
          </w:p>
        </w:tc>
        <w:tc>
          <w:tcPr>
            <w:tcW w:w="1111" w:type="dxa"/>
            <w:vMerge w:val="continue"/>
            <w:tcBorders>
              <w:top w:val="nil"/>
            </w:tcBorders>
            <w:vAlign w:val="top"/>
          </w:tcPr>
          <w:p w14:paraId="327DD2A0">
            <w:pPr>
              <w:rPr>
                <w:rFonts w:ascii="Arial"/>
                <w:sz w:val="21"/>
              </w:rPr>
            </w:pPr>
          </w:p>
        </w:tc>
        <w:tc>
          <w:tcPr>
            <w:tcW w:w="8613" w:type="dxa"/>
            <w:vMerge w:val="continue"/>
            <w:tcBorders>
              <w:top w:val="nil"/>
            </w:tcBorders>
            <w:vAlign w:val="top"/>
          </w:tcPr>
          <w:p w14:paraId="5EAA9035">
            <w:pPr>
              <w:rPr>
                <w:rFonts w:ascii="Arial"/>
                <w:sz w:val="21"/>
              </w:rPr>
            </w:pPr>
          </w:p>
        </w:tc>
        <w:tc>
          <w:tcPr>
            <w:tcW w:w="1020" w:type="dxa"/>
            <w:vAlign w:val="top"/>
          </w:tcPr>
          <w:p w14:paraId="7897697A">
            <w:pPr>
              <w:pStyle w:val="8"/>
              <w:spacing w:before="75" w:line="219" w:lineRule="auto"/>
              <w:ind w:left="161"/>
            </w:pPr>
            <w:r>
              <w:rPr>
                <w:b/>
                <w:bCs/>
                <w:spacing w:val="-5"/>
              </w:rPr>
              <w:t>责任主体</w:t>
            </w:r>
          </w:p>
        </w:tc>
        <w:tc>
          <w:tcPr>
            <w:tcW w:w="1416" w:type="dxa"/>
            <w:vAlign w:val="top"/>
          </w:tcPr>
          <w:p w14:paraId="28BA6E6E">
            <w:pPr>
              <w:pStyle w:val="8"/>
              <w:spacing w:before="75" w:line="219" w:lineRule="auto"/>
              <w:ind w:left="172"/>
            </w:pPr>
            <w:r>
              <w:rPr>
                <w:b/>
                <w:bCs/>
                <w:spacing w:val="-3"/>
              </w:rPr>
              <w:t>第一责任层级</w:t>
            </w:r>
          </w:p>
        </w:tc>
        <w:tc>
          <w:tcPr>
            <w:tcW w:w="1022" w:type="dxa"/>
            <w:vAlign w:val="top"/>
          </w:tcPr>
          <w:p w14:paraId="16F9D09D">
            <w:pPr>
              <w:pStyle w:val="8"/>
              <w:spacing w:before="75" w:line="219" w:lineRule="auto"/>
              <w:ind w:left="155"/>
            </w:pPr>
            <w:r>
              <w:rPr>
                <w:b/>
                <w:bCs/>
                <w:spacing w:val="-4"/>
              </w:rPr>
              <w:t>承办机构</w:t>
            </w:r>
          </w:p>
        </w:tc>
      </w:tr>
      <w:tr w14:paraId="58BEA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9" w:hRule="atLeast"/>
        </w:trPr>
        <w:tc>
          <w:tcPr>
            <w:tcW w:w="626" w:type="dxa"/>
            <w:vAlign w:val="top"/>
          </w:tcPr>
          <w:p w14:paraId="31704FFE">
            <w:pPr>
              <w:rPr>
                <w:rFonts w:ascii="Arial"/>
                <w:sz w:val="21"/>
              </w:rPr>
            </w:pPr>
          </w:p>
        </w:tc>
        <w:tc>
          <w:tcPr>
            <w:tcW w:w="1110" w:type="dxa"/>
            <w:vAlign w:val="top"/>
          </w:tcPr>
          <w:p w14:paraId="64642521">
            <w:pPr>
              <w:rPr>
                <w:rFonts w:ascii="Arial"/>
                <w:sz w:val="21"/>
              </w:rPr>
            </w:pPr>
          </w:p>
        </w:tc>
        <w:tc>
          <w:tcPr>
            <w:tcW w:w="1111" w:type="dxa"/>
            <w:vAlign w:val="top"/>
          </w:tcPr>
          <w:p w14:paraId="18DDF0D1">
            <w:pPr>
              <w:rPr>
                <w:rFonts w:ascii="Arial"/>
                <w:sz w:val="21"/>
              </w:rPr>
            </w:pPr>
          </w:p>
        </w:tc>
        <w:tc>
          <w:tcPr>
            <w:tcW w:w="8613" w:type="dxa"/>
            <w:vAlign w:val="top"/>
          </w:tcPr>
          <w:p w14:paraId="5F940B5C">
            <w:pPr>
              <w:pStyle w:val="8"/>
              <w:spacing w:before="36" w:line="241" w:lineRule="auto"/>
              <w:ind w:left="117" w:right="105" w:firstLine="342"/>
              <w:jc w:val="both"/>
            </w:pPr>
            <w:r>
              <w:rPr>
                <w:spacing w:val="-1"/>
              </w:rPr>
              <w:t>第三十八条第（三）项  对有违反《条例》和本《细则》规定行为的单位</w:t>
            </w:r>
            <w:r>
              <w:rPr>
                <w:spacing w:val="-2"/>
              </w:rPr>
              <w:t>或个人，县以上交通运输主管</w:t>
            </w:r>
            <w:r>
              <w:t xml:space="preserve"> </w:t>
            </w:r>
            <w:r>
              <w:rPr>
                <w:spacing w:val="-2"/>
              </w:rPr>
              <w:t>部门或其受委托的航道管理机构除责令纠正违法行为，限期采取补救措施，排除障碍，赔偿损失外，按下列</w:t>
            </w:r>
            <w:r>
              <w:rPr>
                <w:spacing w:val="17"/>
              </w:rPr>
              <w:t xml:space="preserve"> </w:t>
            </w:r>
            <w:r>
              <w:rPr>
                <w:spacing w:val="-1"/>
              </w:rPr>
              <w:t>规定予以处罚</w:t>
            </w:r>
            <w:r>
              <w:rPr>
                <w:spacing w:val="-15"/>
              </w:rPr>
              <w:t>：（</w:t>
            </w:r>
            <w:r>
              <w:rPr>
                <w:spacing w:val="-1"/>
              </w:rPr>
              <w:t>三）违反《条例》第二十一条，本《细则》第二十九条规定，未按主管部门意见设</w:t>
            </w:r>
            <w:r>
              <w:rPr>
                <w:spacing w:val="-2"/>
              </w:rPr>
              <w:t>置必要</w:t>
            </w:r>
            <w:r>
              <w:rPr>
                <w:spacing w:val="1"/>
              </w:rPr>
              <w:t xml:space="preserve"> </w:t>
            </w:r>
            <w:r>
              <w:rPr>
                <w:spacing w:val="-3"/>
              </w:rPr>
              <w:t>的航标，除责令其限期补设外，并处以500元以上2000以下罚款。如因未设航</w:t>
            </w:r>
            <w:r>
              <w:rPr>
                <w:spacing w:val="-4"/>
              </w:rPr>
              <w:t>标造成航行事故的，需承担法律</w:t>
            </w:r>
            <w:r>
              <w:t xml:space="preserve"> </w:t>
            </w:r>
            <w:r>
              <w:rPr>
                <w:spacing w:val="-5"/>
              </w:rPr>
              <w:t>责任。</w:t>
            </w:r>
          </w:p>
          <w:p w14:paraId="5A88CC2B">
            <w:pPr>
              <w:pStyle w:val="8"/>
              <w:spacing w:before="26" w:line="219" w:lineRule="auto"/>
              <w:ind w:left="459"/>
            </w:pPr>
            <w:r>
              <w:rPr>
                <w:b/>
                <w:bCs/>
                <w:spacing w:val="-6"/>
              </w:rPr>
              <w:t>4.《湖南省水上交通安全</w:t>
            </w:r>
            <w:r>
              <w:rPr>
                <w:rFonts w:hint="eastAsia"/>
                <w:b/>
                <w:bCs/>
                <w:spacing w:val="-6"/>
                <w:lang w:eastAsia="zh-CN"/>
              </w:rPr>
              <w:t>条例</w:t>
            </w:r>
            <w:r>
              <w:rPr>
                <w:b/>
                <w:bCs/>
                <w:spacing w:val="-6"/>
              </w:rPr>
              <w:t>》</w:t>
            </w:r>
          </w:p>
          <w:p w14:paraId="25165B0E">
            <w:pPr>
              <w:pStyle w:val="8"/>
              <w:spacing w:before="26" w:line="233" w:lineRule="auto"/>
              <w:ind w:left="119" w:right="105" w:firstLine="340"/>
            </w:pPr>
            <w:r>
              <w:rPr>
                <w:spacing w:val="-1"/>
              </w:rPr>
              <w:t>第十八条  在建和已建的拦、跨通航水域建筑物、构筑物，其建设单位或</w:t>
            </w:r>
            <w:r>
              <w:rPr>
                <w:spacing w:val="-2"/>
              </w:rPr>
              <w:t>者管理单位应当按照国家规定</w:t>
            </w:r>
            <w:r>
              <w:t xml:space="preserve"> </w:t>
            </w:r>
            <w:r>
              <w:rPr>
                <w:spacing w:val="-5"/>
              </w:rPr>
              <w:t>设置防撞设施、助航标志。</w:t>
            </w:r>
          </w:p>
          <w:p w14:paraId="6A21ACD2">
            <w:pPr>
              <w:pStyle w:val="8"/>
              <w:spacing w:before="24" w:line="197" w:lineRule="auto"/>
              <w:ind w:left="459"/>
            </w:pPr>
            <w:r>
              <w:rPr>
                <w:spacing w:val="-4"/>
              </w:rPr>
              <w:t>第四十四条  对违反本条例规定的其他行为，有关法律、法规、规章规定了法律责任的，从其规定。</w:t>
            </w:r>
          </w:p>
        </w:tc>
        <w:tc>
          <w:tcPr>
            <w:tcW w:w="1020" w:type="dxa"/>
            <w:vAlign w:val="top"/>
          </w:tcPr>
          <w:p w14:paraId="4DB18E50">
            <w:pPr>
              <w:rPr>
                <w:rFonts w:ascii="Arial"/>
                <w:sz w:val="21"/>
              </w:rPr>
            </w:pPr>
          </w:p>
        </w:tc>
        <w:tc>
          <w:tcPr>
            <w:tcW w:w="1416" w:type="dxa"/>
            <w:vAlign w:val="top"/>
          </w:tcPr>
          <w:p w14:paraId="3659BCC6">
            <w:pPr>
              <w:rPr>
                <w:rFonts w:ascii="Arial"/>
                <w:sz w:val="21"/>
              </w:rPr>
            </w:pPr>
          </w:p>
        </w:tc>
        <w:tc>
          <w:tcPr>
            <w:tcW w:w="1022" w:type="dxa"/>
            <w:vAlign w:val="top"/>
          </w:tcPr>
          <w:p w14:paraId="3DFC7EB4">
            <w:pPr>
              <w:rPr>
                <w:rFonts w:ascii="Arial"/>
                <w:sz w:val="21"/>
              </w:rPr>
            </w:pPr>
          </w:p>
        </w:tc>
      </w:tr>
      <w:tr w14:paraId="546B4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8" w:hRule="atLeast"/>
        </w:trPr>
        <w:tc>
          <w:tcPr>
            <w:tcW w:w="626" w:type="dxa"/>
            <w:vAlign w:val="top"/>
          </w:tcPr>
          <w:p w14:paraId="496F1A65">
            <w:pPr>
              <w:spacing w:line="270" w:lineRule="auto"/>
              <w:rPr>
                <w:rFonts w:ascii="Arial"/>
                <w:sz w:val="21"/>
              </w:rPr>
            </w:pPr>
          </w:p>
          <w:p w14:paraId="6C10F40C">
            <w:pPr>
              <w:spacing w:line="270" w:lineRule="auto"/>
              <w:rPr>
                <w:rFonts w:ascii="Arial"/>
                <w:sz w:val="21"/>
              </w:rPr>
            </w:pPr>
          </w:p>
          <w:p w14:paraId="65C4D5D8">
            <w:pPr>
              <w:spacing w:line="270" w:lineRule="auto"/>
              <w:rPr>
                <w:rFonts w:ascii="Arial"/>
                <w:sz w:val="21"/>
              </w:rPr>
            </w:pPr>
          </w:p>
          <w:p w14:paraId="72B8A29D">
            <w:pPr>
              <w:spacing w:line="270" w:lineRule="auto"/>
              <w:rPr>
                <w:rFonts w:ascii="Arial"/>
                <w:sz w:val="21"/>
              </w:rPr>
            </w:pPr>
          </w:p>
          <w:p w14:paraId="73E2BB09">
            <w:pPr>
              <w:spacing w:line="270" w:lineRule="auto"/>
              <w:rPr>
                <w:rFonts w:ascii="Arial"/>
                <w:sz w:val="21"/>
              </w:rPr>
            </w:pPr>
          </w:p>
          <w:p w14:paraId="3EA94687">
            <w:pPr>
              <w:spacing w:line="270" w:lineRule="auto"/>
              <w:rPr>
                <w:rFonts w:ascii="Arial"/>
                <w:sz w:val="21"/>
              </w:rPr>
            </w:pPr>
          </w:p>
          <w:p w14:paraId="743781BA">
            <w:pPr>
              <w:spacing w:line="271" w:lineRule="auto"/>
              <w:rPr>
                <w:rFonts w:ascii="Arial"/>
                <w:sz w:val="21"/>
              </w:rPr>
            </w:pPr>
          </w:p>
          <w:p w14:paraId="3A2EC710">
            <w:pPr>
              <w:pStyle w:val="8"/>
              <w:spacing w:before="58" w:line="184" w:lineRule="auto"/>
              <w:ind w:left="250"/>
            </w:pPr>
            <w:r>
              <w:rPr>
                <w:spacing w:val="-11"/>
              </w:rPr>
              <w:t>13</w:t>
            </w:r>
          </w:p>
        </w:tc>
        <w:tc>
          <w:tcPr>
            <w:tcW w:w="1110" w:type="dxa"/>
            <w:vAlign w:val="top"/>
          </w:tcPr>
          <w:p w14:paraId="48050F5B">
            <w:pPr>
              <w:spacing w:line="292" w:lineRule="auto"/>
              <w:rPr>
                <w:rFonts w:ascii="Arial"/>
                <w:sz w:val="21"/>
              </w:rPr>
            </w:pPr>
          </w:p>
          <w:p w14:paraId="77F10513">
            <w:pPr>
              <w:spacing w:line="293" w:lineRule="auto"/>
              <w:rPr>
                <w:rFonts w:ascii="Arial"/>
                <w:sz w:val="21"/>
              </w:rPr>
            </w:pPr>
          </w:p>
          <w:p w14:paraId="47F54BC4">
            <w:pPr>
              <w:spacing w:line="293" w:lineRule="auto"/>
              <w:rPr>
                <w:rFonts w:ascii="Arial"/>
                <w:sz w:val="21"/>
              </w:rPr>
            </w:pPr>
          </w:p>
          <w:p w14:paraId="670C032E">
            <w:pPr>
              <w:spacing w:line="293" w:lineRule="auto"/>
              <w:rPr>
                <w:rFonts w:ascii="Arial"/>
                <w:sz w:val="21"/>
              </w:rPr>
            </w:pPr>
          </w:p>
          <w:p w14:paraId="016F47D9">
            <w:pPr>
              <w:pStyle w:val="8"/>
              <w:spacing w:before="58" w:line="242" w:lineRule="auto"/>
              <w:ind w:left="113" w:right="108"/>
            </w:pPr>
            <w:r>
              <w:rPr>
                <w:spacing w:val="-16"/>
              </w:rPr>
              <w:t>对</w:t>
            </w:r>
            <w:r>
              <w:rPr>
                <w:spacing w:val="-25"/>
              </w:rPr>
              <w:t xml:space="preserve"> </w:t>
            </w:r>
            <w:r>
              <w:rPr>
                <w:spacing w:val="-16"/>
              </w:rPr>
              <w:t>擅</w:t>
            </w:r>
            <w:r>
              <w:rPr>
                <w:spacing w:val="4"/>
              </w:rPr>
              <w:t xml:space="preserve"> </w:t>
            </w:r>
            <w:r>
              <w:rPr>
                <w:spacing w:val="-16"/>
              </w:rPr>
              <w:t>自</w:t>
            </w:r>
            <w:r>
              <w:rPr>
                <w:spacing w:val="-25"/>
              </w:rPr>
              <w:t xml:space="preserve"> </w:t>
            </w:r>
            <w:r>
              <w:rPr>
                <w:spacing w:val="-16"/>
              </w:rPr>
              <w:t>设</w:t>
            </w:r>
            <w:r>
              <w:t xml:space="preserve"> </w:t>
            </w:r>
            <w:r>
              <w:rPr>
                <w:spacing w:val="-4"/>
              </w:rPr>
              <w:t>置、拆除、</w:t>
            </w:r>
            <w:r>
              <w:rPr>
                <w:spacing w:val="1"/>
              </w:rPr>
              <w:t xml:space="preserve"> </w:t>
            </w:r>
            <w:r>
              <w:rPr>
                <w:spacing w:val="-4"/>
              </w:rPr>
              <w:t>移动和其他</w:t>
            </w:r>
            <w:r>
              <w:rPr>
                <w:spacing w:val="1"/>
              </w:rPr>
              <w:t xml:space="preserve"> </w:t>
            </w:r>
            <w:r>
              <w:rPr>
                <w:spacing w:val="-4"/>
              </w:rPr>
              <w:t>改变专用航</w:t>
            </w:r>
            <w:r>
              <w:rPr>
                <w:spacing w:val="1"/>
              </w:rPr>
              <w:t xml:space="preserve"> </w:t>
            </w:r>
            <w:r>
              <w:rPr>
                <w:spacing w:val="-4"/>
              </w:rPr>
              <w:t>标状况行为</w:t>
            </w:r>
            <w:r>
              <w:rPr>
                <w:spacing w:val="1"/>
              </w:rPr>
              <w:t xml:space="preserve"> </w:t>
            </w:r>
            <w:r>
              <w:rPr>
                <w:spacing w:val="-4"/>
              </w:rPr>
              <w:t>的行政处罚</w:t>
            </w:r>
          </w:p>
        </w:tc>
        <w:tc>
          <w:tcPr>
            <w:tcW w:w="1111" w:type="dxa"/>
            <w:vAlign w:val="top"/>
          </w:tcPr>
          <w:p w14:paraId="70DD5E34">
            <w:pPr>
              <w:spacing w:line="267" w:lineRule="auto"/>
              <w:rPr>
                <w:rFonts w:ascii="Arial"/>
                <w:sz w:val="21"/>
              </w:rPr>
            </w:pPr>
          </w:p>
          <w:p w14:paraId="352E9C1C">
            <w:pPr>
              <w:spacing w:line="267" w:lineRule="auto"/>
              <w:rPr>
                <w:rFonts w:ascii="Arial"/>
                <w:sz w:val="21"/>
              </w:rPr>
            </w:pPr>
          </w:p>
          <w:p w14:paraId="00234FFD">
            <w:pPr>
              <w:spacing w:line="267" w:lineRule="auto"/>
              <w:rPr>
                <w:rFonts w:ascii="Arial"/>
                <w:sz w:val="21"/>
              </w:rPr>
            </w:pPr>
          </w:p>
          <w:p w14:paraId="2411475B">
            <w:pPr>
              <w:spacing w:line="268" w:lineRule="auto"/>
              <w:rPr>
                <w:rFonts w:ascii="Arial"/>
                <w:sz w:val="21"/>
              </w:rPr>
            </w:pPr>
          </w:p>
          <w:p w14:paraId="14DD05FA">
            <w:pPr>
              <w:spacing w:line="268" w:lineRule="auto"/>
              <w:rPr>
                <w:rFonts w:ascii="Arial"/>
                <w:sz w:val="21"/>
              </w:rPr>
            </w:pPr>
          </w:p>
          <w:p w14:paraId="2B890790">
            <w:pPr>
              <w:spacing w:line="268" w:lineRule="auto"/>
              <w:rPr>
                <w:rFonts w:ascii="Arial"/>
                <w:sz w:val="21"/>
              </w:rPr>
            </w:pPr>
          </w:p>
          <w:p w14:paraId="3F6BD1DE">
            <w:pPr>
              <w:spacing w:line="268" w:lineRule="auto"/>
              <w:rPr>
                <w:rFonts w:ascii="Arial"/>
                <w:sz w:val="21"/>
              </w:rPr>
            </w:pPr>
          </w:p>
          <w:p w14:paraId="4DA92762">
            <w:pPr>
              <w:pStyle w:val="8"/>
              <w:spacing w:before="59" w:line="220" w:lineRule="auto"/>
              <w:ind w:left="8"/>
            </w:pPr>
            <w:r>
              <w:rPr>
                <w:spacing w:val="-4"/>
              </w:rPr>
              <w:t>行政处罚</w:t>
            </w:r>
          </w:p>
        </w:tc>
        <w:tc>
          <w:tcPr>
            <w:tcW w:w="8613" w:type="dxa"/>
            <w:vAlign w:val="top"/>
          </w:tcPr>
          <w:p w14:paraId="4396A43A">
            <w:pPr>
              <w:pStyle w:val="8"/>
              <w:spacing w:before="38" w:line="219" w:lineRule="auto"/>
              <w:ind w:left="477"/>
            </w:pPr>
            <w:r>
              <w:rPr>
                <w:b/>
                <w:bCs/>
                <w:spacing w:val="-6"/>
              </w:rPr>
              <w:t>1.《中华人民共和国航标条例》</w:t>
            </w:r>
          </w:p>
          <w:p w14:paraId="6CEE740C">
            <w:pPr>
              <w:pStyle w:val="8"/>
              <w:spacing w:before="25" w:line="233" w:lineRule="auto"/>
              <w:ind w:left="122" w:right="105" w:firstLine="341"/>
            </w:pPr>
            <w:r>
              <w:rPr>
                <w:spacing w:val="-1"/>
              </w:rPr>
              <w:t>第六条第二款  专业单位可以自行设置自用的专用航标。专用</w:t>
            </w:r>
            <w:r>
              <w:rPr>
                <w:spacing w:val="-2"/>
              </w:rPr>
              <w:t>航标的设置、撤除、位置移动和其他状况</w:t>
            </w:r>
            <w:r>
              <w:t xml:space="preserve"> </w:t>
            </w:r>
            <w:r>
              <w:rPr>
                <w:spacing w:val="-5"/>
              </w:rPr>
              <w:t>改变，应当经航标管理机关同意。</w:t>
            </w:r>
          </w:p>
          <w:p w14:paraId="69A90E54">
            <w:pPr>
              <w:pStyle w:val="8"/>
              <w:spacing w:before="25" w:line="233" w:lineRule="auto"/>
              <w:ind w:left="116" w:right="110" w:firstLine="355"/>
            </w:pPr>
            <w:r>
              <w:rPr>
                <w:spacing w:val="2"/>
              </w:rPr>
              <w:t>第十九条  违反本条例第六条第二款的规定，擅自设置、撤除、移动专用航标或者改变专用航标的其</w:t>
            </w:r>
            <w:r>
              <w:rPr>
                <w:spacing w:val="14"/>
              </w:rPr>
              <w:t xml:space="preserve"> </w:t>
            </w:r>
            <w:r>
              <w:rPr>
                <w:spacing w:val="-2"/>
              </w:rPr>
              <w:t>他状况的，由航标管理机关责令限期拆除、重新设置、调整专</w:t>
            </w:r>
            <w:r>
              <w:rPr>
                <w:spacing w:val="-3"/>
              </w:rPr>
              <w:t>用航标。</w:t>
            </w:r>
          </w:p>
          <w:p w14:paraId="7BEB92FA">
            <w:pPr>
              <w:pStyle w:val="8"/>
              <w:spacing w:before="26" w:line="219" w:lineRule="auto"/>
              <w:ind w:left="471"/>
            </w:pPr>
            <w:r>
              <w:rPr>
                <w:b/>
                <w:bCs/>
                <w:spacing w:val="-4"/>
              </w:rPr>
              <w:t>2.《中华人民共和国航道管理条例》</w:t>
            </w:r>
          </w:p>
          <w:p w14:paraId="4FB2A79E">
            <w:pPr>
              <w:pStyle w:val="8"/>
              <w:spacing w:before="26" w:line="219" w:lineRule="auto"/>
              <w:ind w:left="471"/>
            </w:pPr>
            <w:r>
              <w:rPr>
                <w:spacing w:val="-1"/>
              </w:rPr>
              <w:t>第二十一条  沿海和通航河流上设置的助航标志必须符合</w:t>
            </w:r>
            <w:r>
              <w:rPr>
                <w:spacing w:val="-2"/>
              </w:rPr>
              <w:t>国家规定的标准。</w:t>
            </w:r>
          </w:p>
          <w:p w14:paraId="61D15791">
            <w:pPr>
              <w:pStyle w:val="8"/>
              <w:spacing w:before="27" w:line="233" w:lineRule="auto"/>
              <w:ind w:left="136" w:right="108" w:firstLine="334"/>
            </w:pPr>
            <w:r>
              <w:rPr>
                <w:spacing w:val="3"/>
              </w:rPr>
              <w:t>在沿海和通航河流上设置专用标志必须经交</w:t>
            </w:r>
            <w:r>
              <w:rPr>
                <w:spacing w:val="2"/>
              </w:rPr>
              <w:t>通主管部门同意；设置渔标和军用标，必须报交通主管部</w:t>
            </w:r>
            <w:r>
              <w:t xml:space="preserve"> </w:t>
            </w:r>
            <w:r>
              <w:rPr>
                <w:spacing w:val="-11"/>
              </w:rPr>
              <w:t>门备案。</w:t>
            </w:r>
          </w:p>
          <w:p w14:paraId="3370E7E4">
            <w:pPr>
              <w:pStyle w:val="8"/>
              <w:spacing w:before="24" w:line="219" w:lineRule="auto"/>
              <w:ind w:left="475"/>
            </w:pPr>
            <w:r>
              <w:rPr>
                <w:b/>
                <w:bCs/>
                <w:spacing w:val="-3"/>
              </w:rPr>
              <w:t>3.《中华人民共和国航道管理条例实施细则》（交通运输部令〔2009〕第9号）</w:t>
            </w:r>
          </w:p>
          <w:p w14:paraId="2EDE89A9">
            <w:pPr>
              <w:pStyle w:val="8"/>
              <w:spacing w:before="27" w:line="233" w:lineRule="auto"/>
              <w:ind w:left="122" w:right="112" w:firstLine="347"/>
            </w:pPr>
            <w:r>
              <w:rPr>
                <w:spacing w:val="-2"/>
              </w:rPr>
              <w:t>第二十七条第二款  非航标管理部门在沿海和通航河流上设置专用航标，必须经航标管理部门同意，标</w:t>
            </w:r>
            <w:r>
              <w:rPr>
                <w:spacing w:val="16"/>
              </w:rPr>
              <w:t xml:space="preserve"> </w:t>
            </w:r>
            <w:r>
              <w:rPr>
                <w:spacing w:val="-3"/>
              </w:rPr>
              <w:t>志设置单位应当经常维护，使之保持良好技术状态。</w:t>
            </w:r>
          </w:p>
          <w:p w14:paraId="3CF83B14">
            <w:pPr>
              <w:pStyle w:val="8"/>
              <w:spacing w:before="25" w:line="236" w:lineRule="auto"/>
              <w:ind w:left="118" w:right="105" w:firstLine="341"/>
              <w:jc w:val="both"/>
            </w:pPr>
            <w:r>
              <w:rPr>
                <w:spacing w:val="-1"/>
              </w:rPr>
              <w:t>第三十八条第（二）项  对有违反《条例》和本《细则》规定行为的单位</w:t>
            </w:r>
            <w:r>
              <w:rPr>
                <w:spacing w:val="-2"/>
              </w:rPr>
              <w:t>或个人，县以上交通运输主管</w:t>
            </w:r>
            <w:r>
              <w:t xml:space="preserve"> </w:t>
            </w:r>
            <w:r>
              <w:rPr>
                <w:spacing w:val="2"/>
              </w:rPr>
              <w:t>部门或其受委托的航道管理机构除责令其纠正违法行为，限期采取补救措施，排除障碍，赔偿损失外，按</w:t>
            </w:r>
            <w:r>
              <w:rPr>
                <w:spacing w:val="7"/>
              </w:rPr>
              <w:t xml:space="preserve"> </w:t>
            </w:r>
            <w:r>
              <w:rPr>
                <w:spacing w:val="3"/>
              </w:rPr>
              <w:t>下列规定予以处罚</w:t>
            </w:r>
            <w:r>
              <w:rPr>
                <w:spacing w:val="-10"/>
              </w:rPr>
              <w:t>：（</w:t>
            </w:r>
            <w:r>
              <w:rPr>
                <w:spacing w:val="3"/>
              </w:rPr>
              <w:t>二）违反《条例》第二十一条，本《细则》第二十七条，</w:t>
            </w:r>
            <w:r>
              <w:rPr>
                <w:spacing w:val="2"/>
              </w:rPr>
              <w:t>未经交通运输主管部门同</w:t>
            </w:r>
            <w:r>
              <w:rPr>
                <w:spacing w:val="1"/>
              </w:rPr>
              <w:t xml:space="preserve"> </w:t>
            </w:r>
            <w:r>
              <w:rPr>
                <w:spacing w:val="-1"/>
              </w:rPr>
              <w:t>意，擅自设置专用航标，应在主管部门规定的期限</w:t>
            </w:r>
            <w:r>
              <w:rPr>
                <w:spacing w:val="-2"/>
              </w:rPr>
              <w:t>内补办手续，或拆除标志，并处以1000元以上2000元以下</w:t>
            </w:r>
            <w:r>
              <w:t xml:space="preserve"> </w:t>
            </w:r>
            <w:r>
              <w:rPr>
                <w:spacing w:val="-4"/>
              </w:rPr>
              <w:t>罚款。</w:t>
            </w:r>
          </w:p>
        </w:tc>
        <w:tc>
          <w:tcPr>
            <w:tcW w:w="1020" w:type="dxa"/>
            <w:vAlign w:val="top"/>
          </w:tcPr>
          <w:p w14:paraId="573A5B8F">
            <w:pPr>
              <w:spacing w:line="249" w:lineRule="auto"/>
              <w:rPr>
                <w:rFonts w:ascii="Arial"/>
                <w:sz w:val="21"/>
              </w:rPr>
            </w:pPr>
          </w:p>
          <w:p w14:paraId="1D23903D">
            <w:pPr>
              <w:spacing w:line="249" w:lineRule="auto"/>
              <w:rPr>
                <w:rFonts w:ascii="Arial"/>
                <w:sz w:val="21"/>
              </w:rPr>
            </w:pPr>
          </w:p>
          <w:p w14:paraId="779C4D3A">
            <w:pPr>
              <w:spacing w:line="249" w:lineRule="auto"/>
              <w:rPr>
                <w:rFonts w:ascii="Arial"/>
                <w:sz w:val="21"/>
              </w:rPr>
            </w:pPr>
          </w:p>
          <w:p w14:paraId="6DD98808">
            <w:pPr>
              <w:spacing w:line="249" w:lineRule="auto"/>
              <w:rPr>
                <w:rFonts w:ascii="Arial"/>
                <w:sz w:val="21"/>
              </w:rPr>
            </w:pPr>
          </w:p>
          <w:p w14:paraId="51EF6D95">
            <w:pPr>
              <w:spacing w:line="250" w:lineRule="auto"/>
              <w:rPr>
                <w:rFonts w:ascii="Arial"/>
                <w:sz w:val="21"/>
              </w:rPr>
            </w:pPr>
          </w:p>
          <w:p w14:paraId="54DDF80E">
            <w:pPr>
              <w:spacing w:line="250" w:lineRule="auto"/>
              <w:rPr>
                <w:rFonts w:ascii="Arial"/>
                <w:sz w:val="21"/>
              </w:rPr>
            </w:pPr>
          </w:p>
          <w:p w14:paraId="3600A48E">
            <w:pPr>
              <w:spacing w:line="250" w:lineRule="auto"/>
              <w:rPr>
                <w:rFonts w:ascii="Arial"/>
                <w:sz w:val="21"/>
              </w:rPr>
            </w:pPr>
          </w:p>
          <w:p w14:paraId="50477C6F">
            <w:pPr>
              <w:pStyle w:val="8"/>
              <w:spacing w:before="59" w:line="243" w:lineRule="auto"/>
              <w:ind w:left="181" w:right="158" w:firstLine="2"/>
            </w:pPr>
            <w:r>
              <w:rPr>
                <w:spacing w:val="-12"/>
              </w:rPr>
              <w:t>交通运输</w:t>
            </w:r>
            <w:r>
              <w:t xml:space="preserve"> </w:t>
            </w:r>
            <w:r>
              <w:rPr>
                <w:spacing w:val="-12"/>
              </w:rPr>
              <w:t>主管部门</w:t>
            </w:r>
          </w:p>
        </w:tc>
        <w:tc>
          <w:tcPr>
            <w:tcW w:w="1416" w:type="dxa"/>
            <w:vAlign w:val="top"/>
          </w:tcPr>
          <w:p w14:paraId="4C7539B9">
            <w:pPr>
              <w:spacing w:line="268" w:lineRule="auto"/>
              <w:rPr>
                <w:rFonts w:ascii="Arial"/>
                <w:sz w:val="21"/>
              </w:rPr>
            </w:pPr>
          </w:p>
          <w:p w14:paraId="38FCD7F8">
            <w:pPr>
              <w:spacing w:line="268" w:lineRule="auto"/>
              <w:rPr>
                <w:rFonts w:ascii="Arial"/>
                <w:sz w:val="21"/>
              </w:rPr>
            </w:pPr>
          </w:p>
          <w:p w14:paraId="6740EB31">
            <w:pPr>
              <w:spacing w:line="269" w:lineRule="auto"/>
              <w:rPr>
                <w:rFonts w:ascii="Arial"/>
                <w:sz w:val="21"/>
              </w:rPr>
            </w:pPr>
          </w:p>
          <w:p w14:paraId="1E1CC11F">
            <w:pPr>
              <w:spacing w:line="269" w:lineRule="auto"/>
              <w:rPr>
                <w:rFonts w:ascii="Arial"/>
                <w:sz w:val="21"/>
              </w:rPr>
            </w:pPr>
          </w:p>
          <w:p w14:paraId="221329F8">
            <w:pPr>
              <w:spacing w:line="269" w:lineRule="auto"/>
              <w:rPr>
                <w:rFonts w:ascii="Arial"/>
                <w:sz w:val="21"/>
              </w:rPr>
            </w:pPr>
          </w:p>
          <w:p w14:paraId="058166D2">
            <w:pPr>
              <w:spacing w:line="269" w:lineRule="auto"/>
              <w:rPr>
                <w:rFonts w:ascii="Arial"/>
                <w:sz w:val="21"/>
              </w:rPr>
            </w:pPr>
          </w:p>
          <w:p w14:paraId="447EBA14">
            <w:pPr>
              <w:spacing w:line="269" w:lineRule="auto"/>
              <w:rPr>
                <w:rFonts w:ascii="Arial"/>
                <w:sz w:val="21"/>
              </w:rPr>
            </w:pPr>
          </w:p>
          <w:p w14:paraId="4722DE8C">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0469D394">
            <w:pPr>
              <w:spacing w:line="274" w:lineRule="auto"/>
              <w:rPr>
                <w:rFonts w:ascii="Arial"/>
                <w:sz w:val="21"/>
              </w:rPr>
            </w:pPr>
          </w:p>
          <w:p w14:paraId="42D894D8">
            <w:pPr>
              <w:spacing w:line="275" w:lineRule="auto"/>
              <w:rPr>
                <w:rFonts w:ascii="Arial"/>
                <w:sz w:val="21"/>
              </w:rPr>
            </w:pPr>
          </w:p>
          <w:p w14:paraId="265E4A04">
            <w:pPr>
              <w:spacing w:line="275" w:lineRule="auto"/>
              <w:rPr>
                <w:rFonts w:ascii="Arial"/>
                <w:sz w:val="21"/>
              </w:rPr>
            </w:pPr>
          </w:p>
          <w:p w14:paraId="0E42E587">
            <w:pPr>
              <w:spacing w:line="275" w:lineRule="auto"/>
              <w:rPr>
                <w:rFonts w:ascii="Arial"/>
                <w:sz w:val="21"/>
              </w:rPr>
            </w:pPr>
          </w:p>
          <w:p w14:paraId="79ACD553">
            <w:pPr>
              <w:spacing w:line="275" w:lineRule="auto"/>
              <w:rPr>
                <w:rFonts w:ascii="Arial"/>
                <w:sz w:val="21"/>
              </w:rPr>
            </w:pPr>
          </w:p>
          <w:p w14:paraId="666FEF82">
            <w:pPr>
              <w:spacing w:line="275" w:lineRule="auto"/>
              <w:rPr>
                <w:rFonts w:ascii="Arial"/>
                <w:sz w:val="21"/>
              </w:rPr>
            </w:pPr>
          </w:p>
          <w:p w14:paraId="25F57A3E">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07AF0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9" w:hRule="atLeast"/>
        </w:trPr>
        <w:tc>
          <w:tcPr>
            <w:tcW w:w="626" w:type="dxa"/>
            <w:vAlign w:val="top"/>
          </w:tcPr>
          <w:p w14:paraId="4D549E7A">
            <w:pPr>
              <w:spacing w:line="247" w:lineRule="auto"/>
              <w:rPr>
                <w:rFonts w:ascii="Arial"/>
                <w:sz w:val="21"/>
              </w:rPr>
            </w:pPr>
          </w:p>
          <w:p w14:paraId="36099101">
            <w:pPr>
              <w:spacing w:line="247" w:lineRule="auto"/>
              <w:rPr>
                <w:rFonts w:ascii="Arial"/>
                <w:sz w:val="21"/>
              </w:rPr>
            </w:pPr>
          </w:p>
          <w:p w14:paraId="08ADC17E">
            <w:pPr>
              <w:spacing w:line="247" w:lineRule="auto"/>
              <w:rPr>
                <w:rFonts w:ascii="Arial"/>
                <w:sz w:val="21"/>
              </w:rPr>
            </w:pPr>
          </w:p>
          <w:p w14:paraId="6A38E3FB">
            <w:pPr>
              <w:spacing w:line="248" w:lineRule="auto"/>
              <w:rPr>
                <w:rFonts w:ascii="Arial"/>
                <w:sz w:val="21"/>
              </w:rPr>
            </w:pPr>
          </w:p>
          <w:p w14:paraId="799B99B7">
            <w:pPr>
              <w:spacing w:line="248" w:lineRule="auto"/>
              <w:rPr>
                <w:rFonts w:ascii="Arial"/>
                <w:sz w:val="21"/>
              </w:rPr>
            </w:pPr>
          </w:p>
          <w:p w14:paraId="7E76BB75">
            <w:pPr>
              <w:pStyle w:val="8"/>
              <w:spacing w:before="58" w:line="184" w:lineRule="auto"/>
              <w:ind w:left="250"/>
            </w:pPr>
            <w:r>
              <w:rPr>
                <w:spacing w:val="-11"/>
              </w:rPr>
              <w:t>14</w:t>
            </w:r>
          </w:p>
        </w:tc>
        <w:tc>
          <w:tcPr>
            <w:tcW w:w="1110" w:type="dxa"/>
            <w:vAlign w:val="top"/>
          </w:tcPr>
          <w:p w14:paraId="29AD7411">
            <w:pPr>
              <w:spacing w:line="318" w:lineRule="auto"/>
              <w:rPr>
                <w:rFonts w:ascii="Arial"/>
                <w:sz w:val="21"/>
              </w:rPr>
            </w:pPr>
          </w:p>
          <w:p w14:paraId="1734EC40">
            <w:pPr>
              <w:spacing w:line="318" w:lineRule="auto"/>
              <w:rPr>
                <w:rFonts w:ascii="Arial"/>
                <w:sz w:val="21"/>
              </w:rPr>
            </w:pPr>
          </w:p>
          <w:p w14:paraId="5C7F7B6B">
            <w:pPr>
              <w:pStyle w:val="8"/>
              <w:spacing w:before="58" w:line="242" w:lineRule="auto"/>
              <w:ind w:left="114" w:right="108"/>
              <w:jc w:val="both"/>
            </w:pPr>
            <w:r>
              <w:rPr>
                <w:spacing w:val="-4"/>
              </w:rPr>
              <w:t>对实施危害</w:t>
            </w:r>
            <w:r>
              <w:t xml:space="preserve"> </w:t>
            </w:r>
            <w:r>
              <w:rPr>
                <w:spacing w:val="-4"/>
              </w:rPr>
              <w:t>航标及其辅</w:t>
            </w:r>
            <w:r>
              <w:t xml:space="preserve"> </w:t>
            </w:r>
            <w:r>
              <w:rPr>
                <w:spacing w:val="-4"/>
              </w:rPr>
              <w:t>助设施或者</w:t>
            </w:r>
            <w:r>
              <w:t xml:space="preserve"> </w:t>
            </w:r>
            <w:r>
              <w:rPr>
                <w:spacing w:val="-4"/>
              </w:rPr>
              <w:t>影响航标工</w:t>
            </w:r>
            <w:r>
              <w:t xml:space="preserve"> </w:t>
            </w:r>
            <w:r>
              <w:rPr>
                <w:spacing w:val="-4"/>
              </w:rPr>
              <w:t>作效能行为</w:t>
            </w:r>
            <w:r>
              <w:t xml:space="preserve"> </w:t>
            </w:r>
            <w:r>
              <w:rPr>
                <w:spacing w:val="-5"/>
              </w:rPr>
              <w:t>的行政处罚</w:t>
            </w:r>
          </w:p>
        </w:tc>
        <w:tc>
          <w:tcPr>
            <w:tcW w:w="1111" w:type="dxa"/>
            <w:vAlign w:val="top"/>
          </w:tcPr>
          <w:p w14:paraId="7EDF8BD3">
            <w:pPr>
              <w:spacing w:line="243" w:lineRule="auto"/>
              <w:rPr>
                <w:rFonts w:ascii="Arial"/>
                <w:sz w:val="21"/>
              </w:rPr>
            </w:pPr>
          </w:p>
          <w:p w14:paraId="3C6C59EE">
            <w:pPr>
              <w:spacing w:line="244" w:lineRule="auto"/>
              <w:rPr>
                <w:rFonts w:ascii="Arial"/>
                <w:sz w:val="21"/>
              </w:rPr>
            </w:pPr>
          </w:p>
          <w:p w14:paraId="0CFA0991">
            <w:pPr>
              <w:spacing w:line="244" w:lineRule="auto"/>
              <w:rPr>
                <w:rFonts w:ascii="Arial"/>
                <w:sz w:val="21"/>
              </w:rPr>
            </w:pPr>
          </w:p>
          <w:p w14:paraId="4912C7E5">
            <w:pPr>
              <w:spacing w:line="244" w:lineRule="auto"/>
              <w:rPr>
                <w:rFonts w:ascii="Arial"/>
                <w:sz w:val="21"/>
              </w:rPr>
            </w:pPr>
          </w:p>
          <w:p w14:paraId="421DE9A5">
            <w:pPr>
              <w:spacing w:line="244" w:lineRule="auto"/>
              <w:rPr>
                <w:rFonts w:ascii="Arial"/>
                <w:sz w:val="21"/>
              </w:rPr>
            </w:pPr>
          </w:p>
          <w:p w14:paraId="7DEB25FD">
            <w:pPr>
              <w:pStyle w:val="8"/>
              <w:spacing w:before="58" w:line="220" w:lineRule="auto"/>
              <w:ind w:left="8"/>
            </w:pPr>
            <w:r>
              <w:rPr>
                <w:spacing w:val="-4"/>
              </w:rPr>
              <w:t>行政处罚</w:t>
            </w:r>
          </w:p>
        </w:tc>
        <w:tc>
          <w:tcPr>
            <w:tcW w:w="8613" w:type="dxa"/>
            <w:vAlign w:val="top"/>
          </w:tcPr>
          <w:p w14:paraId="0725CC5B">
            <w:pPr>
              <w:pStyle w:val="8"/>
              <w:spacing w:before="32" w:line="219" w:lineRule="auto"/>
              <w:ind w:left="473"/>
            </w:pPr>
            <w:r>
              <w:rPr>
                <w:b/>
                <w:bCs/>
                <w:spacing w:val="-7"/>
              </w:rPr>
              <w:t>1.《中华人民共和国航标条例》</w:t>
            </w:r>
          </w:p>
          <w:p w14:paraId="578BE25F">
            <w:pPr>
              <w:pStyle w:val="8"/>
              <w:spacing w:before="16" w:line="219" w:lineRule="auto"/>
              <w:ind w:left="459"/>
            </w:pPr>
            <w:r>
              <w:rPr>
                <w:spacing w:val="-1"/>
              </w:rPr>
              <w:t>第十一条  任何单位和个人不得在航标附近设置可能被误认为航标或者影响</w:t>
            </w:r>
            <w:r>
              <w:rPr>
                <w:spacing w:val="-2"/>
              </w:rPr>
              <w:t>航标工作效能的灯光或者音</w:t>
            </w:r>
          </w:p>
          <w:p w14:paraId="7F866364">
            <w:pPr>
              <w:pStyle w:val="8"/>
              <w:spacing w:before="17" w:line="220" w:lineRule="auto"/>
              <w:ind w:left="125"/>
            </w:pPr>
            <w:r>
              <w:rPr>
                <w:spacing w:val="-6"/>
              </w:rPr>
              <w:t>响装置。</w:t>
            </w:r>
          </w:p>
          <w:p w14:paraId="2FBDB6A1">
            <w:pPr>
              <w:pStyle w:val="8"/>
              <w:spacing w:before="13" w:line="228" w:lineRule="auto"/>
              <w:ind w:left="118" w:right="105" w:firstLine="341"/>
            </w:pPr>
            <w:r>
              <w:rPr>
                <w:spacing w:val="-1"/>
              </w:rPr>
              <w:t>第十三条  在视觉航标的通视方向或者无线电导航设施的发射方向，不得</w:t>
            </w:r>
            <w:r>
              <w:rPr>
                <w:spacing w:val="-2"/>
              </w:rPr>
              <w:t>构筑影响航标正常工作效能的</w:t>
            </w:r>
            <w:r>
              <w:t xml:space="preserve"> </w:t>
            </w:r>
            <w:r>
              <w:rPr>
                <w:spacing w:val="-4"/>
              </w:rPr>
              <w:t>建筑物、构筑物，不得种植影响航标正常工作效能的</w:t>
            </w:r>
            <w:r>
              <w:rPr>
                <w:spacing w:val="-5"/>
              </w:rPr>
              <w:t>植物。</w:t>
            </w:r>
          </w:p>
          <w:p w14:paraId="7D0CED63">
            <w:pPr>
              <w:pStyle w:val="8"/>
              <w:spacing w:before="17" w:line="230" w:lineRule="auto"/>
              <w:ind w:left="126" w:right="113" w:firstLine="333"/>
            </w:pPr>
            <w:r>
              <w:rPr>
                <w:spacing w:val="3"/>
              </w:rPr>
              <w:t>第十五条  禁止下列危害航标的行为</w:t>
            </w:r>
            <w:r>
              <w:rPr>
                <w:spacing w:val="-8"/>
              </w:rPr>
              <w:t>：（</w:t>
            </w:r>
            <w:r>
              <w:rPr>
                <w:spacing w:val="3"/>
              </w:rPr>
              <w:t>一）盗窃、哄抢或者以其他方式非法侵占航标、航标器材；</w:t>
            </w:r>
            <w:r>
              <w:t xml:space="preserve"> </w:t>
            </w:r>
            <w:r>
              <w:rPr>
                <w:spacing w:val="-2"/>
              </w:rPr>
              <w:t>（二）非法移动、攀登或者涂抹航标</w:t>
            </w:r>
            <w:r>
              <w:rPr>
                <w:spacing w:val="-14"/>
              </w:rPr>
              <w:t>；（</w:t>
            </w:r>
            <w:r>
              <w:rPr>
                <w:spacing w:val="-2"/>
              </w:rPr>
              <w:t>三）</w:t>
            </w:r>
            <w:r>
              <w:rPr>
                <w:spacing w:val="-41"/>
              </w:rPr>
              <w:t xml:space="preserve"> </w:t>
            </w:r>
            <w:r>
              <w:rPr>
                <w:spacing w:val="-2"/>
              </w:rPr>
              <w:t>向航标射击或者投掷物品</w:t>
            </w:r>
            <w:r>
              <w:rPr>
                <w:spacing w:val="-14"/>
              </w:rPr>
              <w:t>；（</w:t>
            </w:r>
            <w:r>
              <w:rPr>
                <w:spacing w:val="-2"/>
              </w:rPr>
              <w:t>四）在航标上攀架物品，拴系牲</w:t>
            </w:r>
            <w:r>
              <w:t xml:space="preserve"> </w:t>
            </w:r>
            <w:r>
              <w:rPr>
                <w:spacing w:val="-4"/>
              </w:rPr>
              <w:t>畜、船只、渔业捕捞器具、爆炸物品等</w:t>
            </w:r>
            <w:r>
              <w:rPr>
                <w:spacing w:val="-9"/>
              </w:rPr>
              <w:t>；（</w:t>
            </w:r>
            <w:r>
              <w:rPr>
                <w:spacing w:val="-4"/>
              </w:rPr>
              <w:t>五）损坏航标的其他行为。</w:t>
            </w:r>
          </w:p>
          <w:p w14:paraId="297DFC33">
            <w:pPr>
              <w:pStyle w:val="8"/>
              <w:spacing w:before="18" w:line="219" w:lineRule="auto"/>
              <w:ind w:left="459"/>
            </w:pPr>
            <w:r>
              <w:rPr>
                <w:spacing w:val="-5"/>
              </w:rPr>
              <w:t>第十六条</w:t>
            </w:r>
            <w:r>
              <w:rPr>
                <w:spacing w:val="99"/>
              </w:rPr>
              <w:t xml:space="preserve"> </w:t>
            </w:r>
            <w:r>
              <w:rPr>
                <w:spacing w:val="-5"/>
              </w:rPr>
              <w:t>禁止破坏航标辅助设施的行为。</w:t>
            </w:r>
          </w:p>
          <w:p w14:paraId="58320183">
            <w:pPr>
              <w:pStyle w:val="8"/>
              <w:spacing w:before="15" w:line="221" w:lineRule="auto"/>
              <w:ind w:left="116" w:right="105" w:firstLine="346"/>
            </w:pPr>
            <w:r>
              <w:rPr>
                <w:spacing w:val="-1"/>
              </w:rPr>
              <w:t>前款所称航标辅助设施，是指为航标及其管理人员提供能源、水</w:t>
            </w:r>
            <w:r>
              <w:rPr>
                <w:spacing w:val="-2"/>
              </w:rPr>
              <w:t>和其他所需物资而设置的各类设施，包</w:t>
            </w:r>
            <w:r>
              <w:t xml:space="preserve"> </w:t>
            </w:r>
            <w:r>
              <w:rPr>
                <w:spacing w:val="-2"/>
              </w:rPr>
              <w:t>括航标场地、直升机平台、登陆点、码头、趸船、水塔、储水池、水井、油（水）泵房、电力设施、业务用</w:t>
            </w:r>
            <w:r>
              <w:rPr>
                <w:spacing w:val="18"/>
              </w:rPr>
              <w:t xml:space="preserve"> </w:t>
            </w:r>
            <w:r>
              <w:rPr>
                <w:spacing w:val="-4"/>
              </w:rPr>
              <w:t>房以及专用道路、仓库等。</w:t>
            </w:r>
          </w:p>
        </w:tc>
        <w:tc>
          <w:tcPr>
            <w:tcW w:w="1020" w:type="dxa"/>
            <w:vAlign w:val="top"/>
          </w:tcPr>
          <w:p w14:paraId="23CFAA5E">
            <w:pPr>
              <w:spacing w:line="272" w:lineRule="auto"/>
              <w:rPr>
                <w:rFonts w:ascii="Arial"/>
                <w:sz w:val="21"/>
              </w:rPr>
            </w:pPr>
          </w:p>
          <w:p w14:paraId="0BB22C05">
            <w:pPr>
              <w:spacing w:line="272" w:lineRule="auto"/>
              <w:rPr>
                <w:rFonts w:ascii="Arial"/>
                <w:sz w:val="21"/>
              </w:rPr>
            </w:pPr>
          </w:p>
          <w:p w14:paraId="4992B25C">
            <w:pPr>
              <w:spacing w:line="273" w:lineRule="auto"/>
              <w:rPr>
                <w:rFonts w:ascii="Arial"/>
                <w:sz w:val="21"/>
              </w:rPr>
            </w:pPr>
          </w:p>
          <w:p w14:paraId="460753CC">
            <w:pPr>
              <w:spacing w:line="273" w:lineRule="auto"/>
              <w:rPr>
                <w:rFonts w:ascii="Arial"/>
                <w:sz w:val="21"/>
              </w:rPr>
            </w:pPr>
          </w:p>
          <w:p w14:paraId="37E601C3">
            <w:pPr>
              <w:pStyle w:val="8"/>
              <w:spacing w:before="59" w:line="245" w:lineRule="auto"/>
              <w:ind w:left="181" w:right="158" w:firstLine="2"/>
            </w:pPr>
            <w:r>
              <w:rPr>
                <w:spacing w:val="-12"/>
              </w:rPr>
              <w:t>交通运输</w:t>
            </w:r>
            <w:r>
              <w:t xml:space="preserve"> </w:t>
            </w:r>
            <w:r>
              <w:rPr>
                <w:spacing w:val="-12"/>
              </w:rPr>
              <w:t>主管部门</w:t>
            </w:r>
          </w:p>
        </w:tc>
        <w:tc>
          <w:tcPr>
            <w:tcW w:w="1416" w:type="dxa"/>
            <w:vAlign w:val="top"/>
          </w:tcPr>
          <w:p w14:paraId="08DD5289">
            <w:pPr>
              <w:spacing w:line="244" w:lineRule="auto"/>
              <w:rPr>
                <w:rFonts w:ascii="Arial"/>
                <w:sz w:val="21"/>
              </w:rPr>
            </w:pPr>
          </w:p>
          <w:p w14:paraId="038CA4C8">
            <w:pPr>
              <w:spacing w:line="245" w:lineRule="auto"/>
              <w:rPr>
                <w:rFonts w:ascii="Arial"/>
                <w:sz w:val="21"/>
              </w:rPr>
            </w:pPr>
          </w:p>
          <w:p w14:paraId="77DD613D">
            <w:pPr>
              <w:spacing w:line="245" w:lineRule="auto"/>
              <w:rPr>
                <w:rFonts w:ascii="Arial"/>
                <w:sz w:val="21"/>
              </w:rPr>
            </w:pPr>
          </w:p>
          <w:p w14:paraId="66FE453A">
            <w:pPr>
              <w:spacing w:line="245" w:lineRule="auto"/>
              <w:rPr>
                <w:rFonts w:ascii="Arial"/>
                <w:sz w:val="21"/>
              </w:rPr>
            </w:pPr>
          </w:p>
          <w:p w14:paraId="5927F8A7">
            <w:pPr>
              <w:spacing w:line="245" w:lineRule="auto"/>
              <w:rPr>
                <w:rFonts w:ascii="Arial"/>
                <w:sz w:val="21"/>
              </w:rPr>
            </w:pPr>
          </w:p>
          <w:p w14:paraId="4B09F222">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12D96348">
            <w:pPr>
              <w:spacing w:line="248" w:lineRule="auto"/>
              <w:rPr>
                <w:rFonts w:ascii="Arial"/>
                <w:sz w:val="21"/>
              </w:rPr>
            </w:pPr>
          </w:p>
          <w:p w14:paraId="2BD56D59">
            <w:pPr>
              <w:spacing w:line="249" w:lineRule="auto"/>
              <w:rPr>
                <w:rFonts w:ascii="Arial"/>
                <w:sz w:val="21"/>
              </w:rPr>
            </w:pPr>
          </w:p>
          <w:p w14:paraId="04FFBC76">
            <w:pPr>
              <w:spacing w:line="249" w:lineRule="auto"/>
              <w:rPr>
                <w:rFonts w:ascii="Arial"/>
                <w:sz w:val="21"/>
              </w:rPr>
            </w:pPr>
          </w:p>
          <w:p w14:paraId="40068DF6">
            <w:pPr>
              <w:spacing w:line="249" w:lineRule="auto"/>
              <w:rPr>
                <w:rFonts w:ascii="Arial"/>
                <w:sz w:val="21"/>
              </w:rPr>
            </w:pPr>
          </w:p>
          <w:p w14:paraId="3623A448">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69A6AD23">
      <w:pPr>
        <w:pStyle w:val="2"/>
        <w:spacing w:line="206" w:lineRule="exact"/>
        <w:rPr>
          <w:sz w:val="17"/>
        </w:rPr>
      </w:pPr>
    </w:p>
    <w:p w14:paraId="66BA046B">
      <w:pPr>
        <w:spacing w:line="206" w:lineRule="exact"/>
        <w:rPr>
          <w:sz w:val="17"/>
          <w:szCs w:val="17"/>
        </w:rPr>
        <w:sectPr>
          <w:footerReference r:id="rId163" w:type="default"/>
          <w:pgSz w:w="16840" w:h="11906"/>
          <w:pgMar w:top="1012" w:right="957" w:bottom="967" w:left="957" w:header="0" w:footer="768" w:gutter="0"/>
          <w:cols w:space="720" w:num="1"/>
        </w:sectPr>
      </w:pPr>
    </w:p>
    <w:p w14:paraId="30D09E89">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18426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243E0FBD">
            <w:pPr>
              <w:pStyle w:val="8"/>
              <w:spacing w:before="199" w:line="221" w:lineRule="auto"/>
              <w:ind w:left="138"/>
            </w:pPr>
            <w:r>
              <w:rPr>
                <w:b/>
                <w:bCs/>
                <w:spacing w:val="-6"/>
              </w:rPr>
              <w:t>序号</w:t>
            </w:r>
          </w:p>
        </w:tc>
        <w:tc>
          <w:tcPr>
            <w:tcW w:w="1110" w:type="dxa"/>
            <w:vMerge w:val="restart"/>
            <w:tcBorders>
              <w:bottom w:val="nil"/>
            </w:tcBorders>
            <w:vAlign w:val="top"/>
          </w:tcPr>
          <w:p w14:paraId="4FFF6B72">
            <w:pPr>
              <w:pStyle w:val="8"/>
              <w:spacing w:before="200" w:line="220" w:lineRule="auto"/>
              <w:ind w:left="204"/>
            </w:pPr>
            <w:r>
              <w:rPr>
                <w:b/>
                <w:bCs/>
                <w:spacing w:val="-6"/>
              </w:rPr>
              <w:t>事项名称</w:t>
            </w:r>
          </w:p>
        </w:tc>
        <w:tc>
          <w:tcPr>
            <w:tcW w:w="1111" w:type="dxa"/>
            <w:vMerge w:val="restart"/>
            <w:tcBorders>
              <w:bottom w:val="nil"/>
            </w:tcBorders>
            <w:vAlign w:val="top"/>
          </w:tcPr>
          <w:p w14:paraId="3F937E8D">
            <w:pPr>
              <w:pStyle w:val="8"/>
              <w:spacing w:before="200" w:line="219" w:lineRule="auto"/>
              <w:ind w:left="205"/>
            </w:pPr>
            <w:r>
              <w:rPr>
                <w:b/>
                <w:bCs/>
                <w:spacing w:val="-6"/>
              </w:rPr>
              <w:t>职权类型</w:t>
            </w:r>
          </w:p>
        </w:tc>
        <w:tc>
          <w:tcPr>
            <w:tcW w:w="8613" w:type="dxa"/>
            <w:vMerge w:val="restart"/>
            <w:tcBorders>
              <w:bottom w:val="nil"/>
            </w:tcBorders>
            <w:vAlign w:val="top"/>
          </w:tcPr>
          <w:p w14:paraId="60523EBE">
            <w:pPr>
              <w:pStyle w:val="8"/>
              <w:spacing w:before="199" w:line="219" w:lineRule="auto"/>
              <w:ind w:left="3963"/>
            </w:pPr>
            <w:r>
              <w:rPr>
                <w:b/>
                <w:bCs/>
                <w:spacing w:val="-8"/>
              </w:rPr>
              <w:t>实施依据</w:t>
            </w:r>
          </w:p>
        </w:tc>
        <w:tc>
          <w:tcPr>
            <w:tcW w:w="3458" w:type="dxa"/>
            <w:gridSpan w:val="3"/>
            <w:vAlign w:val="top"/>
          </w:tcPr>
          <w:p w14:paraId="7B8E6B93">
            <w:pPr>
              <w:pStyle w:val="8"/>
              <w:spacing w:before="38" w:line="198" w:lineRule="auto"/>
              <w:ind w:left="1376"/>
            </w:pPr>
            <w:r>
              <w:rPr>
                <w:b/>
                <w:bCs/>
                <w:spacing w:val="-5"/>
              </w:rPr>
              <w:t>实施主体</w:t>
            </w:r>
          </w:p>
        </w:tc>
      </w:tr>
      <w:tr w14:paraId="0AE69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26" w:type="dxa"/>
            <w:vMerge w:val="continue"/>
            <w:tcBorders>
              <w:top w:val="nil"/>
            </w:tcBorders>
            <w:vAlign w:val="top"/>
          </w:tcPr>
          <w:p w14:paraId="1970FFED">
            <w:pPr>
              <w:rPr>
                <w:rFonts w:ascii="Arial"/>
                <w:sz w:val="21"/>
              </w:rPr>
            </w:pPr>
          </w:p>
        </w:tc>
        <w:tc>
          <w:tcPr>
            <w:tcW w:w="1110" w:type="dxa"/>
            <w:vMerge w:val="continue"/>
            <w:tcBorders>
              <w:top w:val="nil"/>
            </w:tcBorders>
            <w:vAlign w:val="top"/>
          </w:tcPr>
          <w:p w14:paraId="1FF27FE6">
            <w:pPr>
              <w:rPr>
                <w:rFonts w:ascii="Arial"/>
                <w:sz w:val="21"/>
              </w:rPr>
            </w:pPr>
          </w:p>
        </w:tc>
        <w:tc>
          <w:tcPr>
            <w:tcW w:w="1111" w:type="dxa"/>
            <w:vMerge w:val="continue"/>
            <w:tcBorders>
              <w:top w:val="nil"/>
            </w:tcBorders>
            <w:vAlign w:val="top"/>
          </w:tcPr>
          <w:p w14:paraId="6B574E8C">
            <w:pPr>
              <w:rPr>
                <w:rFonts w:ascii="Arial"/>
                <w:sz w:val="21"/>
              </w:rPr>
            </w:pPr>
          </w:p>
        </w:tc>
        <w:tc>
          <w:tcPr>
            <w:tcW w:w="8613" w:type="dxa"/>
            <w:vMerge w:val="continue"/>
            <w:tcBorders>
              <w:top w:val="nil"/>
            </w:tcBorders>
            <w:vAlign w:val="top"/>
          </w:tcPr>
          <w:p w14:paraId="56925CD2">
            <w:pPr>
              <w:rPr>
                <w:rFonts w:ascii="Arial"/>
                <w:sz w:val="21"/>
              </w:rPr>
            </w:pPr>
          </w:p>
        </w:tc>
        <w:tc>
          <w:tcPr>
            <w:tcW w:w="1020" w:type="dxa"/>
            <w:vAlign w:val="top"/>
          </w:tcPr>
          <w:p w14:paraId="0D6804A5">
            <w:pPr>
              <w:pStyle w:val="8"/>
              <w:spacing w:before="75" w:line="219" w:lineRule="auto"/>
              <w:ind w:left="161"/>
            </w:pPr>
            <w:r>
              <w:rPr>
                <w:b/>
                <w:bCs/>
                <w:spacing w:val="-5"/>
              </w:rPr>
              <w:t>责任主体</w:t>
            </w:r>
          </w:p>
        </w:tc>
        <w:tc>
          <w:tcPr>
            <w:tcW w:w="1416" w:type="dxa"/>
            <w:vAlign w:val="top"/>
          </w:tcPr>
          <w:p w14:paraId="193D55DA">
            <w:pPr>
              <w:pStyle w:val="8"/>
              <w:spacing w:before="75" w:line="219" w:lineRule="auto"/>
              <w:ind w:left="172"/>
            </w:pPr>
            <w:r>
              <w:rPr>
                <w:b/>
                <w:bCs/>
                <w:spacing w:val="-3"/>
              </w:rPr>
              <w:t>第一责任层级</w:t>
            </w:r>
          </w:p>
        </w:tc>
        <w:tc>
          <w:tcPr>
            <w:tcW w:w="1022" w:type="dxa"/>
            <w:vAlign w:val="top"/>
          </w:tcPr>
          <w:p w14:paraId="0422F2DB">
            <w:pPr>
              <w:pStyle w:val="8"/>
              <w:spacing w:before="75" w:line="219" w:lineRule="auto"/>
              <w:ind w:left="155"/>
            </w:pPr>
            <w:r>
              <w:rPr>
                <w:b/>
                <w:bCs/>
                <w:spacing w:val="-4"/>
              </w:rPr>
              <w:t>承办机构</w:t>
            </w:r>
          </w:p>
        </w:tc>
      </w:tr>
      <w:tr w14:paraId="13506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6" w:hRule="atLeast"/>
        </w:trPr>
        <w:tc>
          <w:tcPr>
            <w:tcW w:w="626" w:type="dxa"/>
            <w:vAlign w:val="top"/>
          </w:tcPr>
          <w:p w14:paraId="3C327126">
            <w:pPr>
              <w:rPr>
                <w:rFonts w:ascii="Arial"/>
                <w:sz w:val="21"/>
              </w:rPr>
            </w:pPr>
          </w:p>
        </w:tc>
        <w:tc>
          <w:tcPr>
            <w:tcW w:w="1110" w:type="dxa"/>
            <w:vAlign w:val="top"/>
          </w:tcPr>
          <w:p w14:paraId="2EBA13C5">
            <w:pPr>
              <w:rPr>
                <w:rFonts w:ascii="Arial"/>
                <w:sz w:val="21"/>
              </w:rPr>
            </w:pPr>
          </w:p>
        </w:tc>
        <w:tc>
          <w:tcPr>
            <w:tcW w:w="1111" w:type="dxa"/>
            <w:vAlign w:val="top"/>
          </w:tcPr>
          <w:p w14:paraId="28D84E5C">
            <w:pPr>
              <w:rPr>
                <w:rFonts w:ascii="Arial"/>
                <w:sz w:val="21"/>
              </w:rPr>
            </w:pPr>
          </w:p>
        </w:tc>
        <w:tc>
          <w:tcPr>
            <w:tcW w:w="8613" w:type="dxa"/>
            <w:vAlign w:val="top"/>
          </w:tcPr>
          <w:p w14:paraId="7F935C72">
            <w:pPr>
              <w:pStyle w:val="8"/>
              <w:spacing w:before="35" w:line="241" w:lineRule="auto"/>
              <w:ind w:left="115" w:right="105" w:firstLine="344"/>
            </w:pPr>
            <w:r>
              <w:rPr>
                <w:spacing w:val="-1"/>
              </w:rPr>
              <w:t>第十七条  禁止下列影响航标工作效能的行为</w:t>
            </w:r>
            <w:r>
              <w:rPr>
                <w:spacing w:val="-14"/>
              </w:rPr>
              <w:t>：（</w:t>
            </w:r>
            <w:r>
              <w:rPr>
                <w:spacing w:val="-1"/>
              </w:rPr>
              <w:t>一）在航标周围20米内或者在埋有航标地下管道、线</w:t>
            </w:r>
            <w:r>
              <w:rPr>
                <w:spacing w:val="1"/>
              </w:rPr>
              <w:t xml:space="preserve"> 路的地面钻孔、挖坑、采掘土石、堆放物品或者进行明火作业</w:t>
            </w:r>
            <w:r>
              <w:rPr>
                <w:spacing w:val="-8"/>
              </w:rPr>
              <w:t>；（</w:t>
            </w:r>
            <w:r>
              <w:rPr>
                <w:spacing w:val="1"/>
              </w:rPr>
              <w:t>二）</w:t>
            </w:r>
            <w:r>
              <w:t xml:space="preserve">在航标周围150米内进行爆破作业； </w:t>
            </w:r>
            <w:r>
              <w:rPr>
                <w:spacing w:val="-3"/>
              </w:rPr>
              <w:t>（三）在航标周围500米内烧荒</w:t>
            </w:r>
            <w:r>
              <w:rPr>
                <w:spacing w:val="-12"/>
              </w:rPr>
              <w:t>；（</w:t>
            </w:r>
            <w:r>
              <w:rPr>
                <w:spacing w:val="-3"/>
              </w:rPr>
              <w:t>四）在无线电导航设施附近设置、使用影响导航设施工作效能的高频电磁</w:t>
            </w:r>
            <w:r>
              <w:t xml:space="preserve"> </w:t>
            </w:r>
            <w:r>
              <w:rPr>
                <w:spacing w:val="-1"/>
              </w:rPr>
              <w:t>辐射装置、设备</w:t>
            </w:r>
            <w:r>
              <w:rPr>
                <w:spacing w:val="-4"/>
              </w:rPr>
              <w:t>；（</w:t>
            </w:r>
            <w:r>
              <w:rPr>
                <w:spacing w:val="-1"/>
              </w:rPr>
              <w:t>五）在航标架空线路上附挂其他电力、通</w:t>
            </w:r>
            <w:r>
              <w:rPr>
                <w:spacing w:val="-2"/>
              </w:rPr>
              <w:t>信线路</w:t>
            </w:r>
            <w:r>
              <w:rPr>
                <w:spacing w:val="-4"/>
              </w:rPr>
              <w:t>；（</w:t>
            </w:r>
            <w:r>
              <w:rPr>
                <w:spacing w:val="-2"/>
              </w:rPr>
              <w:t>六）在航标周围抛锚、拖锚、捕鱼</w:t>
            </w:r>
            <w:r>
              <w:rPr>
                <w:spacing w:val="3"/>
              </w:rPr>
              <w:t xml:space="preserve"> </w:t>
            </w:r>
            <w:r>
              <w:rPr>
                <w:spacing w:val="-3"/>
              </w:rPr>
              <w:t>或者养殖水生物</w:t>
            </w:r>
            <w:r>
              <w:rPr>
                <w:spacing w:val="-15"/>
              </w:rPr>
              <w:t>；（</w:t>
            </w:r>
            <w:r>
              <w:rPr>
                <w:spacing w:val="-3"/>
              </w:rPr>
              <w:t>七）影响航标工作效能的其他行为。</w:t>
            </w:r>
          </w:p>
          <w:p w14:paraId="6984DA97">
            <w:pPr>
              <w:pStyle w:val="8"/>
              <w:spacing w:before="26" w:line="237" w:lineRule="auto"/>
              <w:ind w:left="116" w:right="105" w:firstLine="343"/>
            </w:pPr>
            <w:r>
              <w:rPr>
                <w:spacing w:val="-1"/>
              </w:rPr>
              <w:t>第二十条  有下列行为之一的，由航标管理机关责令限期改正或者采取相应的补救措施</w:t>
            </w:r>
            <w:r>
              <w:rPr>
                <w:spacing w:val="-8"/>
              </w:rPr>
              <w:t>：（</w:t>
            </w:r>
            <w:r>
              <w:rPr>
                <w:spacing w:val="-1"/>
              </w:rPr>
              <w:t>一）违反本</w:t>
            </w:r>
            <w:r>
              <w:rPr>
                <w:spacing w:val="1"/>
              </w:rPr>
              <w:t xml:space="preserve"> </w:t>
            </w:r>
            <w:r>
              <w:rPr>
                <w:spacing w:val="-1"/>
              </w:rPr>
              <w:t>条例第十一条的规定，在航标附近设置灯光或者音响装置的</w:t>
            </w:r>
            <w:r>
              <w:rPr>
                <w:spacing w:val="-15"/>
              </w:rPr>
              <w:t>；（</w:t>
            </w:r>
            <w:r>
              <w:rPr>
                <w:spacing w:val="-1"/>
              </w:rPr>
              <w:t>二）违反本条例第十三条的规定，构筑</w:t>
            </w:r>
            <w:r>
              <w:rPr>
                <w:spacing w:val="-2"/>
              </w:rPr>
              <w:t>建筑</w:t>
            </w:r>
            <w:r>
              <w:rPr>
                <w:spacing w:val="1"/>
              </w:rPr>
              <w:t xml:space="preserve"> </w:t>
            </w:r>
            <w:r>
              <w:rPr>
                <w:spacing w:val="-4"/>
              </w:rPr>
              <w:t>物、构筑物或者种植植物的。</w:t>
            </w:r>
          </w:p>
          <w:p w14:paraId="0C3159B1">
            <w:pPr>
              <w:pStyle w:val="8"/>
              <w:spacing w:before="26" w:line="237" w:lineRule="auto"/>
              <w:ind w:left="118" w:right="105" w:firstLine="341"/>
              <w:jc w:val="both"/>
            </w:pPr>
            <w:r>
              <w:rPr>
                <w:spacing w:val="-1"/>
              </w:rPr>
              <w:t>第二十二条  违反本条例第十五条、第十六条、第十七条的规定，危害航</w:t>
            </w:r>
            <w:r>
              <w:rPr>
                <w:spacing w:val="-2"/>
              </w:rPr>
              <w:t>标及其辅助设施或者影响航标</w:t>
            </w:r>
            <w:r>
              <w:t xml:space="preserve"> </w:t>
            </w:r>
            <w:r>
              <w:rPr>
                <w:spacing w:val="-1"/>
              </w:rPr>
              <w:t>工作效能的，由航标管理机关责令其限期改正，</w:t>
            </w:r>
            <w:r>
              <w:rPr>
                <w:spacing w:val="-2"/>
              </w:rPr>
              <w:t>给予警告，可以并处2000元以下的罚款；造成损失的，应当</w:t>
            </w:r>
            <w:r>
              <w:t xml:space="preserve"> </w:t>
            </w:r>
            <w:r>
              <w:rPr>
                <w:spacing w:val="-5"/>
              </w:rPr>
              <w:t>依法赔偿。</w:t>
            </w:r>
          </w:p>
          <w:p w14:paraId="6478D468">
            <w:pPr>
              <w:pStyle w:val="8"/>
              <w:spacing w:before="25" w:line="233" w:lineRule="auto"/>
              <w:ind w:left="138" w:right="150" w:firstLine="321"/>
            </w:pPr>
            <w:r>
              <w:rPr>
                <w:spacing w:val="-2"/>
              </w:rPr>
              <w:t>第二十三条  违反本条例，危害军用航标及其辅助设施或者影响军用航标工</w:t>
            </w:r>
            <w:r>
              <w:rPr>
                <w:spacing w:val="-3"/>
              </w:rPr>
              <w:t>作效能，应当处以罚款的，</w:t>
            </w:r>
            <w:r>
              <w:t xml:space="preserve"> </w:t>
            </w:r>
            <w:r>
              <w:rPr>
                <w:spacing w:val="-5"/>
              </w:rPr>
              <w:t>由军队的航标管理机构移交航标管理机关处</w:t>
            </w:r>
            <w:r>
              <w:rPr>
                <w:spacing w:val="-6"/>
              </w:rPr>
              <w:t>罚。</w:t>
            </w:r>
          </w:p>
          <w:p w14:paraId="407A7C2D">
            <w:pPr>
              <w:pStyle w:val="8"/>
              <w:spacing w:before="26" w:line="219" w:lineRule="auto"/>
              <w:ind w:left="461"/>
            </w:pPr>
            <w:r>
              <w:rPr>
                <w:b/>
                <w:bCs/>
                <w:spacing w:val="-7"/>
              </w:rPr>
              <w:t>2.《内河航标管理办法》</w:t>
            </w:r>
            <w:r>
              <w:rPr>
                <w:spacing w:val="-39"/>
              </w:rPr>
              <w:t xml:space="preserve"> </w:t>
            </w:r>
            <w:r>
              <w:rPr>
                <w:b/>
                <w:bCs/>
                <w:spacing w:val="-7"/>
              </w:rPr>
              <w:t>(交通部令〔1996年第2号〕)</w:t>
            </w:r>
          </w:p>
          <w:p w14:paraId="50EF2319">
            <w:pPr>
              <w:pStyle w:val="8"/>
              <w:spacing w:before="26" w:line="233" w:lineRule="auto"/>
              <w:ind w:left="459" w:right="264"/>
            </w:pPr>
            <w:r>
              <w:rPr>
                <w:spacing w:val="-5"/>
              </w:rPr>
              <w:t>第四十条</w:t>
            </w:r>
            <w:r>
              <w:rPr>
                <w:spacing w:val="92"/>
              </w:rPr>
              <w:t xml:space="preserve"> </w:t>
            </w:r>
            <w:r>
              <w:rPr>
                <w:spacing w:val="-5"/>
              </w:rPr>
              <w:t>航标是船舶安全航行的重要助航设施，受国家法律保护，任何单位或个人不得侵占、破坏。</w:t>
            </w:r>
            <w:r>
              <w:t xml:space="preserve"> </w:t>
            </w:r>
            <w:r>
              <w:rPr>
                <w:spacing w:val="-5"/>
              </w:rPr>
              <w:t>第四十一条  航标管理机构在设置、移动或撤销航标时，任何单位或个人不得阻挠，干涉或索取费用。</w:t>
            </w:r>
          </w:p>
          <w:p w14:paraId="43184E08">
            <w:pPr>
              <w:pStyle w:val="8"/>
              <w:spacing w:before="27" w:line="237" w:lineRule="auto"/>
              <w:ind w:left="117" w:right="105" w:firstLine="342"/>
              <w:jc w:val="both"/>
            </w:pPr>
            <w:r>
              <w:rPr>
                <w:spacing w:val="-1"/>
              </w:rPr>
              <w:t>第四十二条  在航标设施的保护范围内，不得种植影响其工作效能的竹、</w:t>
            </w:r>
            <w:r>
              <w:rPr>
                <w:spacing w:val="-2"/>
              </w:rPr>
              <w:t>木、高杆作物及水生物和设置</w:t>
            </w:r>
            <w:r>
              <w:t xml:space="preserve"> </w:t>
            </w:r>
            <w:r>
              <w:rPr>
                <w:spacing w:val="-2"/>
              </w:rPr>
              <w:t>渔簖、渔栅、渔网等；不得堆放物件或修建建筑物和其他标志。对影响航标发挥正常工作效能的灯光，应妥</w:t>
            </w:r>
            <w:r>
              <w:rPr>
                <w:spacing w:val="17"/>
              </w:rPr>
              <w:t xml:space="preserve"> </w:t>
            </w:r>
            <w:r>
              <w:rPr>
                <w:spacing w:val="-4"/>
              </w:rPr>
              <w:t>善遮蔽。</w:t>
            </w:r>
          </w:p>
          <w:p w14:paraId="47510F73">
            <w:pPr>
              <w:pStyle w:val="8"/>
              <w:spacing w:before="26" w:line="233" w:lineRule="auto"/>
              <w:ind w:left="118" w:right="105" w:firstLine="341"/>
            </w:pPr>
            <w:r>
              <w:rPr>
                <w:spacing w:val="-1"/>
              </w:rPr>
              <w:t>第四十三条  在进行与通航有关的设施建设及其他施工作业时，需移动或</w:t>
            </w:r>
            <w:r>
              <w:rPr>
                <w:spacing w:val="-2"/>
              </w:rPr>
              <w:t>拆迁航标，必须经航标管理机</w:t>
            </w:r>
            <w:r>
              <w:t xml:space="preserve"> </w:t>
            </w:r>
            <w:r>
              <w:rPr>
                <w:spacing w:val="-4"/>
              </w:rPr>
              <w:t>构同意，其移动或拆迁费用由工程建设或管理单位承</w:t>
            </w:r>
            <w:r>
              <w:rPr>
                <w:spacing w:val="-5"/>
              </w:rPr>
              <w:t>担。</w:t>
            </w:r>
          </w:p>
          <w:p w14:paraId="443AFD5D">
            <w:pPr>
              <w:pStyle w:val="8"/>
              <w:spacing w:before="26" w:line="237" w:lineRule="auto"/>
              <w:ind w:left="118" w:right="105" w:firstLine="341"/>
            </w:pPr>
            <w:r>
              <w:rPr>
                <w:spacing w:val="4"/>
              </w:rPr>
              <w:t>第四十四条  禁止下列危害航标的行为</w:t>
            </w:r>
            <w:r>
              <w:rPr>
                <w:spacing w:val="-10"/>
              </w:rPr>
              <w:t>：（</w:t>
            </w:r>
            <w:r>
              <w:rPr>
                <w:spacing w:val="4"/>
              </w:rPr>
              <w:t>一）盗窃、破坏、哄抢、侵占航标</w:t>
            </w:r>
            <w:r>
              <w:rPr>
                <w:spacing w:val="-10"/>
              </w:rPr>
              <w:t>；（</w:t>
            </w:r>
            <w:r>
              <w:rPr>
                <w:spacing w:val="4"/>
              </w:rPr>
              <w:t>二）非</w:t>
            </w:r>
            <w:r>
              <w:rPr>
                <w:spacing w:val="3"/>
              </w:rPr>
              <w:t>法移动、攀</w:t>
            </w:r>
            <w:r>
              <w:rPr>
                <w:spacing w:val="2"/>
              </w:rPr>
              <w:t xml:space="preserve"> </w:t>
            </w:r>
            <w:r>
              <w:rPr>
                <w:spacing w:val="-2"/>
              </w:rPr>
              <w:t>登、涂抹航标</w:t>
            </w:r>
            <w:r>
              <w:rPr>
                <w:spacing w:val="-10"/>
              </w:rPr>
              <w:t>；（</w:t>
            </w:r>
            <w:r>
              <w:rPr>
                <w:spacing w:val="-2"/>
              </w:rPr>
              <w:t>三）</w:t>
            </w:r>
            <w:r>
              <w:rPr>
                <w:spacing w:val="-42"/>
              </w:rPr>
              <w:t xml:space="preserve"> </w:t>
            </w:r>
            <w:r>
              <w:rPr>
                <w:spacing w:val="-2"/>
              </w:rPr>
              <w:t>向航标射击、投掷物品</w:t>
            </w:r>
            <w:r>
              <w:rPr>
                <w:spacing w:val="-10"/>
              </w:rPr>
              <w:t>；（</w:t>
            </w:r>
            <w:r>
              <w:rPr>
                <w:spacing w:val="-2"/>
              </w:rPr>
              <w:t>四）在航标上攀架物品、拴系牲畜、船只、渔捞器具、爆</w:t>
            </w:r>
            <w:r>
              <w:t xml:space="preserve"> </w:t>
            </w:r>
            <w:r>
              <w:rPr>
                <w:spacing w:val="-3"/>
              </w:rPr>
              <w:t>炸物品等</w:t>
            </w:r>
            <w:r>
              <w:rPr>
                <w:spacing w:val="-14"/>
              </w:rPr>
              <w:t>；（</w:t>
            </w:r>
            <w:r>
              <w:rPr>
                <w:spacing w:val="-3"/>
              </w:rPr>
              <w:t>五）其他损坏航标的行为。</w:t>
            </w:r>
          </w:p>
          <w:p w14:paraId="6704B8C5">
            <w:pPr>
              <w:pStyle w:val="8"/>
              <w:spacing w:before="26" w:line="229" w:lineRule="auto"/>
              <w:ind w:left="120" w:right="105" w:firstLine="338"/>
              <w:jc w:val="both"/>
            </w:pPr>
            <w:r>
              <w:rPr>
                <w:spacing w:val="-1"/>
              </w:rPr>
              <w:t>第五十条  对违反本办法第四十条、第四十一条、第四十二条、第四十三</w:t>
            </w:r>
            <w:r>
              <w:rPr>
                <w:spacing w:val="-2"/>
              </w:rPr>
              <w:t>条、第四十四条规定的，航标</w:t>
            </w:r>
            <w:r>
              <w:t xml:space="preserve"> </w:t>
            </w:r>
            <w:r>
              <w:rPr>
                <w:spacing w:val="-2"/>
              </w:rPr>
              <w:t>管理机构有权责令其停止违法活动、限期恢复原状、归还原物；造成损失的，航标管理部门应责令其赔偿损</w:t>
            </w:r>
            <w:r>
              <w:rPr>
                <w:spacing w:val="14"/>
              </w:rPr>
              <w:t xml:space="preserve"> </w:t>
            </w:r>
            <w:r>
              <w:rPr>
                <w:spacing w:val="-6"/>
              </w:rPr>
              <w:t>失。</w:t>
            </w:r>
          </w:p>
        </w:tc>
        <w:tc>
          <w:tcPr>
            <w:tcW w:w="1020" w:type="dxa"/>
            <w:vAlign w:val="top"/>
          </w:tcPr>
          <w:p w14:paraId="01FCD146">
            <w:pPr>
              <w:rPr>
                <w:rFonts w:ascii="Arial"/>
                <w:sz w:val="21"/>
              </w:rPr>
            </w:pPr>
          </w:p>
        </w:tc>
        <w:tc>
          <w:tcPr>
            <w:tcW w:w="1416" w:type="dxa"/>
            <w:vAlign w:val="top"/>
          </w:tcPr>
          <w:p w14:paraId="2022602D">
            <w:pPr>
              <w:rPr>
                <w:rFonts w:ascii="Arial"/>
                <w:sz w:val="21"/>
              </w:rPr>
            </w:pPr>
          </w:p>
        </w:tc>
        <w:tc>
          <w:tcPr>
            <w:tcW w:w="1022" w:type="dxa"/>
            <w:vAlign w:val="top"/>
          </w:tcPr>
          <w:p w14:paraId="79C888BD">
            <w:pPr>
              <w:rPr>
                <w:rFonts w:ascii="Arial"/>
                <w:sz w:val="21"/>
              </w:rPr>
            </w:pPr>
          </w:p>
        </w:tc>
      </w:tr>
      <w:tr w14:paraId="50534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1" w:hRule="atLeast"/>
        </w:trPr>
        <w:tc>
          <w:tcPr>
            <w:tcW w:w="626" w:type="dxa"/>
            <w:vAlign w:val="top"/>
          </w:tcPr>
          <w:p w14:paraId="661BB183">
            <w:pPr>
              <w:spacing w:line="253" w:lineRule="auto"/>
              <w:rPr>
                <w:rFonts w:ascii="Arial"/>
                <w:sz w:val="21"/>
              </w:rPr>
            </w:pPr>
          </w:p>
          <w:p w14:paraId="18351F9E">
            <w:pPr>
              <w:spacing w:line="253" w:lineRule="auto"/>
              <w:rPr>
                <w:rFonts w:ascii="Arial"/>
                <w:sz w:val="21"/>
              </w:rPr>
            </w:pPr>
          </w:p>
          <w:p w14:paraId="4A685E40">
            <w:pPr>
              <w:spacing w:line="253" w:lineRule="auto"/>
              <w:rPr>
                <w:rFonts w:ascii="Arial"/>
                <w:sz w:val="21"/>
              </w:rPr>
            </w:pPr>
          </w:p>
          <w:p w14:paraId="5E1ED4ED">
            <w:pPr>
              <w:spacing w:line="254" w:lineRule="auto"/>
              <w:rPr>
                <w:rFonts w:ascii="Arial"/>
                <w:sz w:val="21"/>
              </w:rPr>
            </w:pPr>
          </w:p>
          <w:p w14:paraId="09AFBB01">
            <w:pPr>
              <w:pStyle w:val="8"/>
              <w:spacing w:before="58" w:line="184" w:lineRule="auto"/>
              <w:ind w:left="250"/>
            </w:pPr>
            <w:r>
              <w:rPr>
                <w:spacing w:val="-11"/>
              </w:rPr>
              <w:t>15</w:t>
            </w:r>
          </w:p>
        </w:tc>
        <w:tc>
          <w:tcPr>
            <w:tcW w:w="1110" w:type="dxa"/>
            <w:vAlign w:val="top"/>
          </w:tcPr>
          <w:p w14:paraId="0886497E">
            <w:pPr>
              <w:spacing w:line="248" w:lineRule="auto"/>
              <w:rPr>
                <w:rFonts w:ascii="Arial"/>
                <w:sz w:val="21"/>
              </w:rPr>
            </w:pPr>
          </w:p>
          <w:p w14:paraId="7187E5C6">
            <w:pPr>
              <w:spacing w:line="248" w:lineRule="auto"/>
              <w:rPr>
                <w:rFonts w:ascii="Arial"/>
                <w:sz w:val="21"/>
              </w:rPr>
            </w:pPr>
          </w:p>
          <w:p w14:paraId="6F793821">
            <w:pPr>
              <w:spacing w:line="249" w:lineRule="auto"/>
              <w:rPr>
                <w:rFonts w:ascii="Arial"/>
                <w:sz w:val="21"/>
              </w:rPr>
            </w:pPr>
          </w:p>
          <w:p w14:paraId="2F0C29C0">
            <w:pPr>
              <w:pStyle w:val="8"/>
              <w:spacing w:before="59" w:line="238" w:lineRule="auto"/>
              <w:ind w:left="117" w:right="108" w:hanging="3"/>
              <w:jc w:val="both"/>
            </w:pPr>
            <w:r>
              <w:rPr>
                <w:spacing w:val="-4"/>
              </w:rPr>
              <w:t>对触碰航标</w:t>
            </w:r>
            <w:r>
              <w:t xml:space="preserve"> </w:t>
            </w:r>
            <w:r>
              <w:rPr>
                <w:spacing w:val="-5"/>
              </w:rPr>
              <w:t>不报告行为</w:t>
            </w:r>
            <w:r>
              <w:rPr>
                <w:spacing w:val="2"/>
              </w:rPr>
              <w:t xml:space="preserve"> </w:t>
            </w:r>
            <w:r>
              <w:rPr>
                <w:spacing w:val="-6"/>
              </w:rPr>
              <w:t>的行政处罚</w:t>
            </w:r>
          </w:p>
        </w:tc>
        <w:tc>
          <w:tcPr>
            <w:tcW w:w="1111" w:type="dxa"/>
            <w:vAlign w:val="top"/>
          </w:tcPr>
          <w:p w14:paraId="7418D8ED">
            <w:pPr>
              <w:spacing w:line="246" w:lineRule="auto"/>
              <w:rPr>
                <w:rFonts w:ascii="Arial"/>
                <w:sz w:val="21"/>
              </w:rPr>
            </w:pPr>
          </w:p>
          <w:p w14:paraId="3AF84957">
            <w:pPr>
              <w:spacing w:line="246" w:lineRule="auto"/>
              <w:rPr>
                <w:rFonts w:ascii="Arial"/>
                <w:sz w:val="21"/>
              </w:rPr>
            </w:pPr>
          </w:p>
          <w:p w14:paraId="7463FEB7">
            <w:pPr>
              <w:spacing w:line="246" w:lineRule="auto"/>
              <w:rPr>
                <w:rFonts w:ascii="Arial"/>
                <w:sz w:val="21"/>
              </w:rPr>
            </w:pPr>
          </w:p>
          <w:p w14:paraId="6A4D49D6">
            <w:pPr>
              <w:spacing w:line="247" w:lineRule="auto"/>
              <w:rPr>
                <w:rFonts w:ascii="Arial"/>
                <w:sz w:val="21"/>
              </w:rPr>
            </w:pPr>
          </w:p>
          <w:p w14:paraId="0753E1AB">
            <w:pPr>
              <w:pStyle w:val="8"/>
              <w:spacing w:before="59" w:line="220" w:lineRule="auto"/>
              <w:ind w:left="8"/>
            </w:pPr>
            <w:r>
              <w:rPr>
                <w:spacing w:val="-4"/>
              </w:rPr>
              <w:t>行政处罚</w:t>
            </w:r>
          </w:p>
        </w:tc>
        <w:tc>
          <w:tcPr>
            <w:tcW w:w="8613" w:type="dxa"/>
            <w:vAlign w:val="top"/>
          </w:tcPr>
          <w:p w14:paraId="7ABDE636">
            <w:pPr>
              <w:pStyle w:val="8"/>
              <w:spacing w:before="90" w:line="219" w:lineRule="auto"/>
              <w:ind w:left="473"/>
            </w:pPr>
            <w:r>
              <w:rPr>
                <w:b/>
                <w:bCs/>
                <w:spacing w:val="-7"/>
              </w:rPr>
              <w:t>1.《中华人民共和国航标条例》</w:t>
            </w:r>
          </w:p>
          <w:p w14:paraId="5D1CEE32">
            <w:pPr>
              <w:pStyle w:val="8"/>
              <w:spacing w:before="26" w:line="218" w:lineRule="auto"/>
              <w:ind w:left="459"/>
            </w:pPr>
            <w:r>
              <w:rPr>
                <w:spacing w:val="-4"/>
              </w:rPr>
              <w:t>第十四条第二款</w:t>
            </w:r>
            <w:r>
              <w:rPr>
                <w:spacing w:val="85"/>
                <w:w w:val="101"/>
              </w:rPr>
              <w:t xml:space="preserve"> </w:t>
            </w:r>
            <w:r>
              <w:rPr>
                <w:spacing w:val="-4"/>
              </w:rPr>
              <w:t>船舶触碰航标，应当立即向航标管理</w:t>
            </w:r>
            <w:r>
              <w:rPr>
                <w:spacing w:val="-5"/>
              </w:rPr>
              <w:t>机关报告。</w:t>
            </w:r>
          </w:p>
          <w:p w14:paraId="23E4C858">
            <w:pPr>
              <w:pStyle w:val="8"/>
              <w:spacing w:before="26" w:line="233" w:lineRule="auto"/>
              <w:ind w:left="120" w:right="105" w:firstLine="339"/>
            </w:pPr>
            <w:r>
              <w:rPr>
                <w:spacing w:val="-1"/>
              </w:rPr>
              <w:t>第二十一条  船舶违反本条例第十四条第二款的规定，触碰航标不报告的</w:t>
            </w:r>
            <w:r>
              <w:rPr>
                <w:spacing w:val="-2"/>
              </w:rPr>
              <w:t>，航标管理机关可以根据情节</w:t>
            </w:r>
            <w:r>
              <w:t xml:space="preserve"> </w:t>
            </w:r>
            <w:r>
              <w:rPr>
                <w:spacing w:val="-5"/>
              </w:rPr>
              <w:t>处以2万元以下的罚款；造成损失的，应当依法赔偿。</w:t>
            </w:r>
          </w:p>
          <w:p w14:paraId="6240FF86">
            <w:pPr>
              <w:pStyle w:val="8"/>
              <w:spacing w:before="26" w:line="219" w:lineRule="auto"/>
              <w:ind w:left="461"/>
            </w:pPr>
            <w:r>
              <w:rPr>
                <w:b/>
                <w:bCs/>
                <w:spacing w:val="-7"/>
              </w:rPr>
              <w:t>2.《内河航标管理办法》</w:t>
            </w:r>
            <w:r>
              <w:rPr>
                <w:spacing w:val="-39"/>
              </w:rPr>
              <w:t xml:space="preserve"> </w:t>
            </w:r>
            <w:r>
              <w:rPr>
                <w:b/>
                <w:bCs/>
                <w:spacing w:val="-7"/>
              </w:rPr>
              <w:t>(交通部令〔1996年第2号〕)</w:t>
            </w:r>
          </w:p>
          <w:p w14:paraId="3D1D2EB4">
            <w:pPr>
              <w:pStyle w:val="8"/>
              <w:spacing w:before="26" w:line="218" w:lineRule="auto"/>
              <w:ind w:left="459"/>
            </w:pPr>
            <w:r>
              <w:rPr>
                <w:spacing w:val="-1"/>
              </w:rPr>
              <w:t>第四十五条  船舶、排筏碰撞航标后，其所有人或经营人必须立即报告就近航</w:t>
            </w:r>
            <w:r>
              <w:rPr>
                <w:spacing w:val="-2"/>
              </w:rPr>
              <w:t>标管理机构和港航监督机</w:t>
            </w:r>
          </w:p>
          <w:p w14:paraId="4E2B72FB">
            <w:pPr>
              <w:pStyle w:val="8"/>
              <w:spacing w:before="27" w:line="220" w:lineRule="auto"/>
              <w:ind w:left="118"/>
            </w:pPr>
            <w:r>
              <w:rPr>
                <w:spacing w:val="-5"/>
              </w:rPr>
              <w:t>构。</w:t>
            </w:r>
          </w:p>
          <w:p w14:paraId="6719118C">
            <w:pPr>
              <w:pStyle w:val="8"/>
              <w:spacing w:before="26" w:line="233" w:lineRule="auto"/>
              <w:ind w:left="117" w:right="105" w:firstLine="342"/>
            </w:pPr>
            <w:r>
              <w:rPr>
                <w:spacing w:val="-1"/>
              </w:rPr>
              <w:t>第五十一条  对违反本办法第四十五条规定造成航标损毁的，应按损失情</w:t>
            </w:r>
            <w:r>
              <w:rPr>
                <w:spacing w:val="-2"/>
              </w:rPr>
              <w:t>况赔偿，航标管理机构可以视</w:t>
            </w:r>
            <w:r>
              <w:t xml:space="preserve"> </w:t>
            </w:r>
            <w:r>
              <w:rPr>
                <w:spacing w:val="-4"/>
              </w:rPr>
              <w:t>情节轻重，给予2万元以下的罚款；造成事故的要承担法律</w:t>
            </w:r>
            <w:r>
              <w:rPr>
                <w:spacing w:val="-5"/>
              </w:rPr>
              <w:t>责任。</w:t>
            </w:r>
          </w:p>
        </w:tc>
        <w:tc>
          <w:tcPr>
            <w:tcW w:w="1020" w:type="dxa"/>
            <w:vAlign w:val="top"/>
          </w:tcPr>
          <w:p w14:paraId="6B9ECF31">
            <w:pPr>
              <w:spacing w:line="246" w:lineRule="auto"/>
              <w:rPr>
                <w:rFonts w:ascii="Arial"/>
                <w:sz w:val="21"/>
              </w:rPr>
            </w:pPr>
          </w:p>
          <w:p w14:paraId="7C9DA983">
            <w:pPr>
              <w:spacing w:line="246" w:lineRule="auto"/>
              <w:rPr>
                <w:rFonts w:ascii="Arial"/>
                <w:sz w:val="21"/>
              </w:rPr>
            </w:pPr>
          </w:p>
          <w:p w14:paraId="1A7EE52C">
            <w:pPr>
              <w:spacing w:line="246" w:lineRule="auto"/>
              <w:rPr>
                <w:rFonts w:ascii="Arial"/>
                <w:sz w:val="21"/>
              </w:rPr>
            </w:pPr>
          </w:p>
          <w:p w14:paraId="4DEE927D">
            <w:pPr>
              <w:spacing w:line="247" w:lineRule="auto"/>
              <w:rPr>
                <w:rFonts w:ascii="Arial"/>
                <w:sz w:val="21"/>
              </w:rPr>
            </w:pPr>
          </w:p>
          <w:p w14:paraId="4F8B0103">
            <w:pPr>
              <w:pStyle w:val="8"/>
              <w:spacing w:before="59" w:line="233" w:lineRule="auto"/>
              <w:ind w:left="345" w:hanging="328"/>
            </w:pPr>
            <w:r>
              <w:rPr>
                <w:spacing w:val="-15"/>
              </w:rPr>
              <w:t>交通运输</w:t>
            </w:r>
            <w:r>
              <w:rPr>
                <w:spacing w:val="-14"/>
              </w:rPr>
              <w:t>主</w:t>
            </w:r>
            <w:r>
              <w:rPr>
                <w:spacing w:val="-10"/>
              </w:rPr>
              <w:t>管</w:t>
            </w:r>
            <w:r>
              <w:t xml:space="preserve"> </w:t>
            </w:r>
            <w:r>
              <w:rPr>
                <w:spacing w:val="-6"/>
              </w:rPr>
              <w:t>部门</w:t>
            </w:r>
          </w:p>
        </w:tc>
        <w:tc>
          <w:tcPr>
            <w:tcW w:w="1416" w:type="dxa"/>
            <w:vAlign w:val="top"/>
          </w:tcPr>
          <w:p w14:paraId="5556E6FF">
            <w:pPr>
              <w:spacing w:line="246" w:lineRule="auto"/>
              <w:rPr>
                <w:rFonts w:ascii="Arial"/>
                <w:sz w:val="21"/>
              </w:rPr>
            </w:pPr>
          </w:p>
          <w:p w14:paraId="517CE59A">
            <w:pPr>
              <w:spacing w:line="246" w:lineRule="auto"/>
              <w:rPr>
                <w:rFonts w:ascii="Arial"/>
                <w:sz w:val="21"/>
              </w:rPr>
            </w:pPr>
          </w:p>
          <w:p w14:paraId="47314DC9">
            <w:pPr>
              <w:spacing w:line="247" w:lineRule="auto"/>
              <w:rPr>
                <w:rFonts w:ascii="Arial"/>
                <w:sz w:val="21"/>
              </w:rPr>
            </w:pPr>
          </w:p>
          <w:p w14:paraId="537E7244">
            <w:pPr>
              <w:spacing w:line="247" w:lineRule="auto"/>
              <w:rPr>
                <w:rFonts w:ascii="Arial"/>
                <w:sz w:val="21"/>
              </w:rPr>
            </w:pPr>
          </w:p>
          <w:p w14:paraId="68C6D8FE">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0BE85007">
            <w:pPr>
              <w:spacing w:line="249" w:lineRule="auto"/>
              <w:rPr>
                <w:rFonts w:ascii="Arial"/>
                <w:sz w:val="21"/>
              </w:rPr>
            </w:pPr>
          </w:p>
          <w:p w14:paraId="6C6A0ED2">
            <w:pPr>
              <w:spacing w:line="249" w:lineRule="auto"/>
              <w:rPr>
                <w:rFonts w:ascii="Arial"/>
                <w:sz w:val="21"/>
              </w:rPr>
            </w:pPr>
          </w:p>
          <w:p w14:paraId="35317788">
            <w:pPr>
              <w:spacing w:line="249" w:lineRule="auto"/>
              <w:rPr>
                <w:rFonts w:ascii="Arial"/>
                <w:sz w:val="21"/>
              </w:rPr>
            </w:pPr>
          </w:p>
          <w:p w14:paraId="2B344C97">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181E7705">
      <w:pPr>
        <w:pStyle w:val="2"/>
      </w:pPr>
    </w:p>
    <w:p w14:paraId="32378098">
      <w:pPr>
        <w:sectPr>
          <w:footerReference r:id="rId164" w:type="default"/>
          <w:pgSz w:w="16840" w:h="11906"/>
          <w:pgMar w:top="1012" w:right="957" w:bottom="967" w:left="957" w:header="0" w:footer="768" w:gutter="0"/>
          <w:cols w:space="720" w:num="1"/>
        </w:sectPr>
      </w:pPr>
    </w:p>
    <w:p w14:paraId="71DFABA4">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20132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6A26C73A">
            <w:pPr>
              <w:pStyle w:val="8"/>
              <w:spacing w:before="199" w:line="221" w:lineRule="auto"/>
              <w:ind w:left="138"/>
            </w:pPr>
            <w:r>
              <w:rPr>
                <w:b/>
                <w:bCs/>
                <w:spacing w:val="-6"/>
              </w:rPr>
              <w:t>序号</w:t>
            </w:r>
          </w:p>
        </w:tc>
        <w:tc>
          <w:tcPr>
            <w:tcW w:w="1110" w:type="dxa"/>
            <w:vMerge w:val="restart"/>
            <w:tcBorders>
              <w:bottom w:val="nil"/>
            </w:tcBorders>
            <w:vAlign w:val="top"/>
          </w:tcPr>
          <w:p w14:paraId="3894DD65">
            <w:pPr>
              <w:pStyle w:val="8"/>
              <w:spacing w:before="200" w:line="220" w:lineRule="auto"/>
              <w:ind w:left="204"/>
            </w:pPr>
            <w:r>
              <w:rPr>
                <w:b/>
                <w:bCs/>
                <w:spacing w:val="-6"/>
              </w:rPr>
              <w:t>事项名称</w:t>
            </w:r>
          </w:p>
        </w:tc>
        <w:tc>
          <w:tcPr>
            <w:tcW w:w="1111" w:type="dxa"/>
            <w:vMerge w:val="restart"/>
            <w:tcBorders>
              <w:bottom w:val="nil"/>
            </w:tcBorders>
            <w:vAlign w:val="top"/>
          </w:tcPr>
          <w:p w14:paraId="4A8E5482">
            <w:pPr>
              <w:pStyle w:val="8"/>
              <w:spacing w:before="200" w:line="219" w:lineRule="auto"/>
              <w:ind w:left="205"/>
            </w:pPr>
            <w:r>
              <w:rPr>
                <w:b/>
                <w:bCs/>
                <w:spacing w:val="-6"/>
              </w:rPr>
              <w:t>职权类型</w:t>
            </w:r>
          </w:p>
        </w:tc>
        <w:tc>
          <w:tcPr>
            <w:tcW w:w="8613" w:type="dxa"/>
            <w:vMerge w:val="restart"/>
            <w:tcBorders>
              <w:bottom w:val="nil"/>
            </w:tcBorders>
            <w:vAlign w:val="top"/>
          </w:tcPr>
          <w:p w14:paraId="5812A497">
            <w:pPr>
              <w:pStyle w:val="8"/>
              <w:spacing w:before="199" w:line="219" w:lineRule="auto"/>
              <w:ind w:left="3963"/>
            </w:pPr>
            <w:r>
              <w:rPr>
                <w:b/>
                <w:bCs/>
                <w:spacing w:val="-8"/>
              </w:rPr>
              <w:t>实施依据</w:t>
            </w:r>
          </w:p>
        </w:tc>
        <w:tc>
          <w:tcPr>
            <w:tcW w:w="3458" w:type="dxa"/>
            <w:gridSpan w:val="3"/>
            <w:vAlign w:val="top"/>
          </w:tcPr>
          <w:p w14:paraId="6B14552C">
            <w:pPr>
              <w:pStyle w:val="8"/>
              <w:spacing w:before="38" w:line="198" w:lineRule="auto"/>
              <w:ind w:left="1376"/>
            </w:pPr>
            <w:r>
              <w:rPr>
                <w:b/>
                <w:bCs/>
                <w:spacing w:val="-5"/>
              </w:rPr>
              <w:t>实施主体</w:t>
            </w:r>
          </w:p>
        </w:tc>
      </w:tr>
      <w:tr w14:paraId="3AF52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26" w:type="dxa"/>
            <w:vMerge w:val="continue"/>
            <w:tcBorders>
              <w:top w:val="nil"/>
            </w:tcBorders>
            <w:vAlign w:val="top"/>
          </w:tcPr>
          <w:p w14:paraId="16CEBC00">
            <w:pPr>
              <w:rPr>
                <w:rFonts w:ascii="Arial"/>
                <w:sz w:val="21"/>
              </w:rPr>
            </w:pPr>
          </w:p>
        </w:tc>
        <w:tc>
          <w:tcPr>
            <w:tcW w:w="1110" w:type="dxa"/>
            <w:vMerge w:val="continue"/>
            <w:tcBorders>
              <w:top w:val="nil"/>
            </w:tcBorders>
            <w:vAlign w:val="top"/>
          </w:tcPr>
          <w:p w14:paraId="40D29EE1">
            <w:pPr>
              <w:rPr>
                <w:rFonts w:ascii="Arial"/>
                <w:sz w:val="21"/>
              </w:rPr>
            </w:pPr>
          </w:p>
        </w:tc>
        <w:tc>
          <w:tcPr>
            <w:tcW w:w="1111" w:type="dxa"/>
            <w:vMerge w:val="continue"/>
            <w:tcBorders>
              <w:top w:val="nil"/>
            </w:tcBorders>
            <w:vAlign w:val="top"/>
          </w:tcPr>
          <w:p w14:paraId="0F5F100A">
            <w:pPr>
              <w:rPr>
                <w:rFonts w:ascii="Arial"/>
                <w:sz w:val="21"/>
              </w:rPr>
            </w:pPr>
          </w:p>
        </w:tc>
        <w:tc>
          <w:tcPr>
            <w:tcW w:w="8613" w:type="dxa"/>
            <w:vMerge w:val="continue"/>
            <w:tcBorders>
              <w:top w:val="nil"/>
            </w:tcBorders>
            <w:vAlign w:val="top"/>
          </w:tcPr>
          <w:p w14:paraId="4A9E2398">
            <w:pPr>
              <w:rPr>
                <w:rFonts w:ascii="Arial"/>
                <w:sz w:val="21"/>
              </w:rPr>
            </w:pPr>
          </w:p>
        </w:tc>
        <w:tc>
          <w:tcPr>
            <w:tcW w:w="1020" w:type="dxa"/>
            <w:vAlign w:val="top"/>
          </w:tcPr>
          <w:p w14:paraId="75584F0F">
            <w:pPr>
              <w:pStyle w:val="8"/>
              <w:spacing w:before="75" w:line="219" w:lineRule="auto"/>
              <w:ind w:left="161"/>
            </w:pPr>
            <w:r>
              <w:rPr>
                <w:b/>
                <w:bCs/>
                <w:spacing w:val="-5"/>
              </w:rPr>
              <w:t>责任主体</w:t>
            </w:r>
          </w:p>
        </w:tc>
        <w:tc>
          <w:tcPr>
            <w:tcW w:w="1416" w:type="dxa"/>
            <w:vAlign w:val="top"/>
          </w:tcPr>
          <w:p w14:paraId="288EA6AC">
            <w:pPr>
              <w:pStyle w:val="8"/>
              <w:spacing w:before="75" w:line="219" w:lineRule="auto"/>
              <w:ind w:left="172"/>
            </w:pPr>
            <w:r>
              <w:rPr>
                <w:b/>
                <w:bCs/>
                <w:spacing w:val="-3"/>
              </w:rPr>
              <w:t>第一责任层级</w:t>
            </w:r>
          </w:p>
        </w:tc>
        <w:tc>
          <w:tcPr>
            <w:tcW w:w="1022" w:type="dxa"/>
            <w:vAlign w:val="top"/>
          </w:tcPr>
          <w:p w14:paraId="2315F6A7">
            <w:pPr>
              <w:pStyle w:val="8"/>
              <w:spacing w:before="75" w:line="219" w:lineRule="auto"/>
              <w:ind w:left="155"/>
            </w:pPr>
            <w:r>
              <w:rPr>
                <w:b/>
                <w:bCs/>
                <w:spacing w:val="-4"/>
              </w:rPr>
              <w:t>承办机构</w:t>
            </w:r>
          </w:p>
        </w:tc>
      </w:tr>
      <w:tr w14:paraId="3637C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5" w:hRule="atLeast"/>
        </w:trPr>
        <w:tc>
          <w:tcPr>
            <w:tcW w:w="626" w:type="dxa"/>
            <w:vAlign w:val="top"/>
          </w:tcPr>
          <w:p w14:paraId="565051BE">
            <w:pPr>
              <w:spacing w:line="281" w:lineRule="auto"/>
              <w:rPr>
                <w:rFonts w:ascii="Arial"/>
                <w:sz w:val="21"/>
              </w:rPr>
            </w:pPr>
          </w:p>
          <w:p w14:paraId="2CAD58C8">
            <w:pPr>
              <w:spacing w:line="281" w:lineRule="auto"/>
              <w:rPr>
                <w:rFonts w:ascii="Arial"/>
                <w:sz w:val="21"/>
              </w:rPr>
            </w:pPr>
          </w:p>
          <w:p w14:paraId="6F7333AC">
            <w:pPr>
              <w:spacing w:line="281" w:lineRule="auto"/>
              <w:rPr>
                <w:rFonts w:ascii="Arial"/>
                <w:sz w:val="21"/>
              </w:rPr>
            </w:pPr>
          </w:p>
          <w:p w14:paraId="5C5AF6A3">
            <w:pPr>
              <w:spacing w:line="281" w:lineRule="auto"/>
              <w:rPr>
                <w:rFonts w:ascii="Arial"/>
                <w:sz w:val="21"/>
              </w:rPr>
            </w:pPr>
          </w:p>
          <w:p w14:paraId="10AECDA2">
            <w:pPr>
              <w:spacing w:line="281" w:lineRule="auto"/>
              <w:rPr>
                <w:rFonts w:ascii="Arial"/>
                <w:sz w:val="21"/>
              </w:rPr>
            </w:pPr>
          </w:p>
          <w:p w14:paraId="24C20FEA">
            <w:pPr>
              <w:pStyle w:val="8"/>
              <w:spacing w:before="58" w:line="184" w:lineRule="auto"/>
              <w:ind w:left="250"/>
            </w:pPr>
            <w:r>
              <w:rPr>
                <w:spacing w:val="-11"/>
              </w:rPr>
              <w:t>16</w:t>
            </w:r>
          </w:p>
        </w:tc>
        <w:tc>
          <w:tcPr>
            <w:tcW w:w="1110" w:type="dxa"/>
            <w:vAlign w:val="top"/>
          </w:tcPr>
          <w:p w14:paraId="2BD0ED59">
            <w:pPr>
              <w:spacing w:line="284" w:lineRule="auto"/>
              <w:rPr>
                <w:rFonts w:ascii="Arial"/>
                <w:sz w:val="21"/>
              </w:rPr>
            </w:pPr>
          </w:p>
          <w:p w14:paraId="6378729E">
            <w:pPr>
              <w:spacing w:line="285" w:lineRule="auto"/>
              <w:rPr>
                <w:rFonts w:ascii="Arial"/>
                <w:sz w:val="21"/>
              </w:rPr>
            </w:pPr>
          </w:p>
          <w:p w14:paraId="15F44AED">
            <w:pPr>
              <w:pStyle w:val="8"/>
              <w:spacing w:before="58" w:line="243" w:lineRule="auto"/>
              <w:ind w:left="114" w:right="108"/>
            </w:pPr>
            <w:r>
              <w:rPr>
                <w:spacing w:val="-4"/>
              </w:rPr>
              <w:t>对湘江高等</w:t>
            </w:r>
            <w:r>
              <w:t xml:space="preserve"> </w:t>
            </w:r>
            <w:r>
              <w:rPr>
                <w:spacing w:val="-4"/>
              </w:rPr>
              <w:t>级航道枢纽</w:t>
            </w:r>
            <w:r>
              <w:t xml:space="preserve"> </w:t>
            </w:r>
            <w:r>
              <w:rPr>
                <w:spacing w:val="-4"/>
              </w:rPr>
              <w:t>船闸业主单</w:t>
            </w:r>
            <w:r>
              <w:t xml:space="preserve"> </w:t>
            </w:r>
            <w:r>
              <w:rPr>
                <w:spacing w:val="-4"/>
              </w:rPr>
              <w:t>位因维护不</w:t>
            </w:r>
            <w:r>
              <w:t xml:space="preserve"> </w:t>
            </w:r>
            <w:r>
              <w:rPr>
                <w:spacing w:val="-4"/>
              </w:rPr>
              <w:t>力，造成船</w:t>
            </w:r>
            <w:r>
              <w:t xml:space="preserve"> </w:t>
            </w:r>
            <w:r>
              <w:rPr>
                <w:spacing w:val="-4"/>
              </w:rPr>
              <w:t>闸设备不能</w:t>
            </w:r>
            <w:r>
              <w:t xml:space="preserve"> </w:t>
            </w:r>
            <w:r>
              <w:rPr>
                <w:spacing w:val="-4"/>
              </w:rPr>
              <w:t>正常运转、</w:t>
            </w:r>
            <w:r>
              <w:t xml:space="preserve"> </w:t>
            </w:r>
            <w:r>
              <w:rPr>
                <w:spacing w:val="-4"/>
              </w:rPr>
              <w:t>影响通航的</w:t>
            </w:r>
            <w:r>
              <w:t xml:space="preserve"> </w:t>
            </w:r>
            <w:r>
              <w:rPr>
                <w:spacing w:val="-4"/>
              </w:rPr>
              <w:t>行政处罚</w:t>
            </w:r>
          </w:p>
        </w:tc>
        <w:tc>
          <w:tcPr>
            <w:tcW w:w="1111" w:type="dxa"/>
            <w:vAlign w:val="top"/>
          </w:tcPr>
          <w:p w14:paraId="040628D9">
            <w:pPr>
              <w:spacing w:line="280" w:lineRule="auto"/>
              <w:rPr>
                <w:rFonts w:ascii="Arial"/>
                <w:sz w:val="21"/>
              </w:rPr>
            </w:pPr>
          </w:p>
          <w:p w14:paraId="567AD970">
            <w:pPr>
              <w:spacing w:line="280" w:lineRule="auto"/>
              <w:rPr>
                <w:rFonts w:ascii="Arial"/>
                <w:sz w:val="21"/>
              </w:rPr>
            </w:pPr>
          </w:p>
          <w:p w14:paraId="17F11263">
            <w:pPr>
              <w:spacing w:line="280" w:lineRule="auto"/>
              <w:rPr>
                <w:rFonts w:ascii="Arial"/>
                <w:sz w:val="21"/>
              </w:rPr>
            </w:pPr>
          </w:p>
          <w:p w14:paraId="38751238">
            <w:pPr>
              <w:spacing w:line="280" w:lineRule="auto"/>
              <w:rPr>
                <w:rFonts w:ascii="Arial"/>
                <w:sz w:val="21"/>
              </w:rPr>
            </w:pPr>
          </w:p>
          <w:p w14:paraId="4EF84706">
            <w:pPr>
              <w:spacing w:line="281" w:lineRule="auto"/>
              <w:rPr>
                <w:rFonts w:ascii="Arial"/>
                <w:sz w:val="21"/>
              </w:rPr>
            </w:pPr>
          </w:p>
          <w:p w14:paraId="5DA82854">
            <w:pPr>
              <w:pStyle w:val="8"/>
              <w:spacing w:before="59" w:line="220" w:lineRule="auto"/>
              <w:ind w:left="8"/>
            </w:pPr>
            <w:r>
              <w:rPr>
                <w:spacing w:val="-4"/>
              </w:rPr>
              <w:t>行政处罚</w:t>
            </w:r>
          </w:p>
        </w:tc>
        <w:tc>
          <w:tcPr>
            <w:tcW w:w="8613" w:type="dxa"/>
            <w:vAlign w:val="top"/>
          </w:tcPr>
          <w:p w14:paraId="6D3492E7">
            <w:pPr>
              <w:spacing w:line="343" w:lineRule="auto"/>
              <w:rPr>
                <w:rFonts w:ascii="Arial"/>
                <w:sz w:val="21"/>
              </w:rPr>
            </w:pPr>
          </w:p>
          <w:p w14:paraId="3F946F80">
            <w:pPr>
              <w:spacing w:line="343" w:lineRule="auto"/>
              <w:rPr>
                <w:rFonts w:ascii="Arial"/>
                <w:sz w:val="21"/>
              </w:rPr>
            </w:pPr>
          </w:p>
          <w:p w14:paraId="65E5DCEA">
            <w:pPr>
              <w:pStyle w:val="8"/>
              <w:spacing w:before="59" w:line="219" w:lineRule="auto"/>
              <w:ind w:left="465"/>
            </w:pPr>
            <w:r>
              <w:rPr>
                <w:b/>
                <w:bCs/>
                <w:spacing w:val="-6"/>
              </w:rPr>
              <w:t>《湖南省湘江保护条例》</w:t>
            </w:r>
          </w:p>
          <w:p w14:paraId="360FF619">
            <w:pPr>
              <w:pStyle w:val="8"/>
              <w:spacing w:before="25" w:line="233" w:lineRule="auto"/>
              <w:ind w:left="117" w:right="103" w:firstLine="342"/>
            </w:pPr>
            <w:r>
              <w:rPr>
                <w:spacing w:val="3"/>
              </w:rPr>
              <w:t>第六十三条  湘江高等级航道枢纽船闸业主单位应当按照国家和交通行业</w:t>
            </w:r>
            <w:r>
              <w:rPr>
                <w:spacing w:val="2"/>
              </w:rPr>
              <w:t>标准，维护船闸设备正常运</w:t>
            </w:r>
            <w:r>
              <w:t xml:space="preserve"> </w:t>
            </w:r>
            <w:r>
              <w:rPr>
                <w:spacing w:val="-4"/>
              </w:rPr>
              <w:t>转，保障船闸通行安全和效率。</w:t>
            </w:r>
          </w:p>
          <w:p w14:paraId="4FE7CAFE">
            <w:pPr>
              <w:pStyle w:val="8"/>
              <w:spacing w:before="25" w:line="219" w:lineRule="auto"/>
              <w:ind w:left="461"/>
            </w:pPr>
            <w:r>
              <w:rPr>
                <w:spacing w:val="-4"/>
              </w:rPr>
              <w:t>建立湘江干流枢纽船闸联合调度机制。湘江干流枢纽船闸联合调度应当服从湘江防汛抗旱的统</w:t>
            </w:r>
            <w:r>
              <w:rPr>
                <w:spacing w:val="-5"/>
              </w:rPr>
              <w:t>一调度。</w:t>
            </w:r>
          </w:p>
          <w:p w14:paraId="389180DC">
            <w:pPr>
              <w:pStyle w:val="8"/>
              <w:spacing w:before="26" w:line="238" w:lineRule="auto"/>
              <w:ind w:left="119" w:right="105" w:firstLine="340"/>
            </w:pPr>
            <w:r>
              <w:rPr>
                <w:spacing w:val="-1"/>
              </w:rPr>
              <w:t>第八十条  违反本条例第六十三条规定，湘江高等级航道枢纽船闸业主单</w:t>
            </w:r>
            <w:r>
              <w:rPr>
                <w:spacing w:val="-2"/>
              </w:rPr>
              <w:t>位因维护不力，造成船闸设备</w:t>
            </w:r>
            <w:r>
              <w:t xml:space="preserve"> </w:t>
            </w:r>
            <w:r>
              <w:rPr>
                <w:spacing w:val="-2"/>
              </w:rPr>
              <w:t>不能正常运转、影响通航的，由航道管理机构责令限期改正；逾期不改正的，可以并处一万元以上五万元以</w:t>
            </w:r>
            <w:r>
              <w:rPr>
                <w:spacing w:val="15"/>
              </w:rPr>
              <w:t xml:space="preserve"> </w:t>
            </w:r>
            <w:r>
              <w:rPr>
                <w:spacing w:val="-5"/>
              </w:rPr>
              <w:t>下的罚款。</w:t>
            </w:r>
          </w:p>
        </w:tc>
        <w:tc>
          <w:tcPr>
            <w:tcW w:w="1020" w:type="dxa"/>
            <w:vAlign w:val="top"/>
          </w:tcPr>
          <w:p w14:paraId="1DE7354C">
            <w:pPr>
              <w:spacing w:line="281" w:lineRule="auto"/>
              <w:rPr>
                <w:rFonts w:ascii="Arial"/>
                <w:sz w:val="21"/>
              </w:rPr>
            </w:pPr>
          </w:p>
          <w:p w14:paraId="78C13004">
            <w:pPr>
              <w:spacing w:line="281" w:lineRule="auto"/>
              <w:rPr>
                <w:rFonts w:ascii="Arial"/>
                <w:sz w:val="21"/>
              </w:rPr>
            </w:pPr>
          </w:p>
          <w:p w14:paraId="0B34DD36">
            <w:pPr>
              <w:spacing w:line="282" w:lineRule="auto"/>
              <w:rPr>
                <w:rFonts w:ascii="Arial"/>
                <w:sz w:val="21"/>
              </w:rPr>
            </w:pPr>
          </w:p>
          <w:p w14:paraId="36D264F4">
            <w:pPr>
              <w:spacing w:line="282" w:lineRule="auto"/>
              <w:rPr>
                <w:rFonts w:ascii="Arial"/>
                <w:sz w:val="21"/>
              </w:rPr>
            </w:pPr>
          </w:p>
          <w:p w14:paraId="6D3215BE">
            <w:pPr>
              <w:spacing w:line="282" w:lineRule="auto"/>
              <w:rPr>
                <w:rFonts w:ascii="Arial"/>
                <w:sz w:val="21"/>
              </w:rPr>
            </w:pPr>
          </w:p>
          <w:p w14:paraId="48B0B9B4">
            <w:pPr>
              <w:pStyle w:val="8"/>
              <w:spacing w:before="58" w:line="227" w:lineRule="auto"/>
              <w:ind w:left="181" w:right="158" w:firstLine="2"/>
            </w:pPr>
            <w:r>
              <w:rPr>
                <w:spacing w:val="-12"/>
              </w:rPr>
              <w:t>交通运输</w:t>
            </w:r>
            <w:r>
              <w:t xml:space="preserve"> </w:t>
            </w:r>
            <w:r>
              <w:rPr>
                <w:spacing w:val="-12"/>
              </w:rPr>
              <w:t>主管部门</w:t>
            </w:r>
          </w:p>
        </w:tc>
        <w:tc>
          <w:tcPr>
            <w:tcW w:w="1416" w:type="dxa"/>
            <w:vAlign w:val="top"/>
          </w:tcPr>
          <w:p w14:paraId="04B2A1FB">
            <w:pPr>
              <w:spacing w:line="279" w:lineRule="auto"/>
              <w:rPr>
                <w:rFonts w:ascii="Arial"/>
                <w:sz w:val="21"/>
              </w:rPr>
            </w:pPr>
          </w:p>
          <w:p w14:paraId="2DC3BFB9">
            <w:pPr>
              <w:spacing w:line="279" w:lineRule="auto"/>
              <w:rPr>
                <w:rFonts w:ascii="Arial"/>
                <w:sz w:val="21"/>
              </w:rPr>
            </w:pPr>
          </w:p>
          <w:p w14:paraId="3E9884E9">
            <w:pPr>
              <w:spacing w:line="279" w:lineRule="auto"/>
              <w:rPr>
                <w:rFonts w:ascii="Arial"/>
                <w:sz w:val="21"/>
              </w:rPr>
            </w:pPr>
          </w:p>
          <w:p w14:paraId="4D846E9C">
            <w:pPr>
              <w:spacing w:line="279" w:lineRule="auto"/>
              <w:rPr>
                <w:rFonts w:ascii="Arial"/>
                <w:sz w:val="21"/>
              </w:rPr>
            </w:pPr>
          </w:p>
          <w:p w14:paraId="7CD2614F">
            <w:pPr>
              <w:spacing w:line="279" w:lineRule="auto"/>
              <w:rPr>
                <w:rFonts w:ascii="Arial"/>
                <w:sz w:val="21"/>
              </w:rPr>
            </w:pPr>
          </w:p>
          <w:p w14:paraId="7FFB5732">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20B75D76">
            <w:pPr>
              <w:spacing w:line="290" w:lineRule="auto"/>
              <w:rPr>
                <w:rFonts w:ascii="Arial"/>
                <w:sz w:val="21"/>
              </w:rPr>
            </w:pPr>
          </w:p>
          <w:p w14:paraId="7CCF69B9">
            <w:pPr>
              <w:spacing w:line="291" w:lineRule="auto"/>
              <w:rPr>
                <w:rFonts w:ascii="Arial"/>
                <w:sz w:val="21"/>
              </w:rPr>
            </w:pPr>
          </w:p>
          <w:p w14:paraId="62F59D84">
            <w:pPr>
              <w:spacing w:line="291" w:lineRule="auto"/>
              <w:rPr>
                <w:rFonts w:ascii="Arial"/>
                <w:sz w:val="21"/>
              </w:rPr>
            </w:pPr>
          </w:p>
          <w:p w14:paraId="4A3D8884">
            <w:pPr>
              <w:spacing w:line="291" w:lineRule="auto"/>
              <w:rPr>
                <w:rFonts w:ascii="Arial"/>
                <w:sz w:val="21"/>
              </w:rPr>
            </w:pPr>
          </w:p>
          <w:p w14:paraId="1E61567F">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38F0E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7" w:hRule="atLeast"/>
        </w:trPr>
        <w:tc>
          <w:tcPr>
            <w:tcW w:w="626" w:type="dxa"/>
            <w:vAlign w:val="top"/>
          </w:tcPr>
          <w:p w14:paraId="332607E3">
            <w:pPr>
              <w:spacing w:line="290" w:lineRule="auto"/>
              <w:rPr>
                <w:rFonts w:ascii="Arial"/>
                <w:sz w:val="21"/>
              </w:rPr>
            </w:pPr>
          </w:p>
          <w:p w14:paraId="13BA264C">
            <w:pPr>
              <w:spacing w:line="290" w:lineRule="auto"/>
              <w:rPr>
                <w:rFonts w:ascii="Arial"/>
                <w:sz w:val="21"/>
              </w:rPr>
            </w:pPr>
          </w:p>
          <w:p w14:paraId="1CC4532E">
            <w:pPr>
              <w:spacing w:line="290" w:lineRule="auto"/>
              <w:rPr>
                <w:rFonts w:ascii="Arial"/>
                <w:sz w:val="21"/>
              </w:rPr>
            </w:pPr>
          </w:p>
          <w:p w14:paraId="18AA43A5">
            <w:pPr>
              <w:spacing w:line="290" w:lineRule="auto"/>
              <w:rPr>
                <w:rFonts w:ascii="Arial"/>
                <w:sz w:val="21"/>
              </w:rPr>
            </w:pPr>
          </w:p>
          <w:p w14:paraId="475C3248">
            <w:pPr>
              <w:pStyle w:val="8"/>
              <w:spacing w:before="58" w:line="184" w:lineRule="auto"/>
              <w:ind w:left="250"/>
            </w:pPr>
            <w:r>
              <w:rPr>
                <w:spacing w:val="-11"/>
              </w:rPr>
              <w:t>17</w:t>
            </w:r>
          </w:p>
        </w:tc>
        <w:tc>
          <w:tcPr>
            <w:tcW w:w="1110" w:type="dxa"/>
            <w:vAlign w:val="top"/>
          </w:tcPr>
          <w:p w14:paraId="524E8994">
            <w:pPr>
              <w:pStyle w:val="8"/>
              <w:spacing w:before="259" w:line="244" w:lineRule="auto"/>
              <w:ind w:left="114" w:right="108"/>
              <w:jc w:val="both"/>
            </w:pPr>
            <w:r>
              <w:rPr>
                <w:spacing w:val="-4"/>
              </w:rPr>
              <w:t>对湘江航道</w:t>
            </w:r>
            <w:r>
              <w:t xml:space="preserve"> </w:t>
            </w:r>
            <w:r>
              <w:rPr>
                <w:spacing w:val="-4"/>
              </w:rPr>
              <w:t>上航行的船</w:t>
            </w:r>
            <w:r>
              <w:t xml:space="preserve"> </w:t>
            </w:r>
            <w:r>
              <w:rPr>
                <w:spacing w:val="-4"/>
              </w:rPr>
              <w:t>舶超过航道</w:t>
            </w:r>
            <w:r>
              <w:t xml:space="preserve"> </w:t>
            </w:r>
            <w:r>
              <w:rPr>
                <w:spacing w:val="-4"/>
              </w:rPr>
              <w:t>等级限制或</w:t>
            </w:r>
            <w:r>
              <w:t xml:space="preserve"> </w:t>
            </w:r>
            <w:r>
              <w:rPr>
                <w:spacing w:val="-4"/>
              </w:rPr>
              <w:t>者船舶吃水</w:t>
            </w:r>
            <w:r>
              <w:t xml:space="preserve"> </w:t>
            </w:r>
            <w:r>
              <w:rPr>
                <w:spacing w:val="-4"/>
              </w:rPr>
              <w:t>高于航道实</w:t>
            </w:r>
            <w:r>
              <w:t xml:space="preserve"> </w:t>
            </w:r>
            <w:r>
              <w:rPr>
                <w:spacing w:val="-4"/>
              </w:rPr>
              <w:t>际水深使用</w:t>
            </w:r>
            <w:r>
              <w:t xml:space="preserve"> </w:t>
            </w:r>
            <w:r>
              <w:rPr>
                <w:spacing w:val="-4"/>
              </w:rPr>
              <w:t>航道的行政</w:t>
            </w:r>
            <w:r>
              <w:t xml:space="preserve"> </w:t>
            </w:r>
            <w:r>
              <w:rPr>
                <w:spacing w:val="-4"/>
              </w:rPr>
              <w:t>处罚</w:t>
            </w:r>
          </w:p>
        </w:tc>
        <w:tc>
          <w:tcPr>
            <w:tcW w:w="1111" w:type="dxa"/>
            <w:vAlign w:val="top"/>
          </w:tcPr>
          <w:p w14:paraId="546D47B4">
            <w:pPr>
              <w:spacing w:line="289" w:lineRule="auto"/>
              <w:rPr>
                <w:rFonts w:ascii="Arial"/>
                <w:sz w:val="21"/>
              </w:rPr>
            </w:pPr>
          </w:p>
          <w:p w14:paraId="2EA8A4B3">
            <w:pPr>
              <w:spacing w:line="289" w:lineRule="auto"/>
              <w:rPr>
                <w:rFonts w:ascii="Arial"/>
                <w:sz w:val="21"/>
              </w:rPr>
            </w:pPr>
          </w:p>
          <w:p w14:paraId="339DD083">
            <w:pPr>
              <w:spacing w:line="289" w:lineRule="auto"/>
              <w:rPr>
                <w:rFonts w:ascii="Arial"/>
                <w:sz w:val="21"/>
              </w:rPr>
            </w:pPr>
          </w:p>
          <w:p w14:paraId="61B5966C">
            <w:pPr>
              <w:spacing w:line="289" w:lineRule="auto"/>
              <w:rPr>
                <w:rFonts w:ascii="Arial"/>
                <w:sz w:val="21"/>
              </w:rPr>
            </w:pPr>
          </w:p>
          <w:p w14:paraId="5AE15114">
            <w:pPr>
              <w:pStyle w:val="8"/>
              <w:spacing w:before="59" w:line="220" w:lineRule="auto"/>
              <w:ind w:left="8"/>
            </w:pPr>
            <w:r>
              <w:rPr>
                <w:spacing w:val="-4"/>
              </w:rPr>
              <w:t>行政处罚</w:t>
            </w:r>
          </w:p>
        </w:tc>
        <w:tc>
          <w:tcPr>
            <w:tcW w:w="8613" w:type="dxa"/>
            <w:vAlign w:val="top"/>
          </w:tcPr>
          <w:p w14:paraId="2FD14E9E">
            <w:pPr>
              <w:spacing w:line="339" w:lineRule="auto"/>
              <w:rPr>
                <w:rFonts w:ascii="Arial"/>
                <w:sz w:val="21"/>
              </w:rPr>
            </w:pPr>
          </w:p>
          <w:p w14:paraId="184CA92B">
            <w:pPr>
              <w:spacing w:line="340" w:lineRule="auto"/>
              <w:rPr>
                <w:rFonts w:ascii="Arial"/>
                <w:sz w:val="21"/>
              </w:rPr>
            </w:pPr>
          </w:p>
          <w:p w14:paraId="1D525E36">
            <w:pPr>
              <w:pStyle w:val="8"/>
              <w:spacing w:before="59" w:line="219" w:lineRule="auto"/>
              <w:ind w:left="465"/>
            </w:pPr>
            <w:r>
              <w:rPr>
                <w:b/>
                <w:bCs/>
                <w:spacing w:val="-6"/>
              </w:rPr>
              <w:t>《湖南省湘江保护条例》</w:t>
            </w:r>
          </w:p>
          <w:p w14:paraId="01F8A430">
            <w:pPr>
              <w:pStyle w:val="8"/>
              <w:spacing w:before="26" w:line="219" w:lineRule="auto"/>
              <w:ind w:left="459"/>
            </w:pPr>
            <w:r>
              <w:rPr>
                <w:spacing w:val="-1"/>
              </w:rPr>
              <w:t>第六十四条  湘江航道上航行的船舶应当遵守湘江航道等级限制规定。禁止船</w:t>
            </w:r>
            <w:r>
              <w:rPr>
                <w:spacing w:val="-2"/>
              </w:rPr>
              <w:t>舶吃水高于航道实际水深</w:t>
            </w:r>
          </w:p>
          <w:p w14:paraId="0A1D4D16">
            <w:pPr>
              <w:pStyle w:val="8"/>
              <w:spacing w:before="26" w:line="219" w:lineRule="auto"/>
              <w:ind w:left="117"/>
            </w:pPr>
            <w:r>
              <w:rPr>
                <w:spacing w:val="-4"/>
              </w:rPr>
              <w:t>使用航道。</w:t>
            </w:r>
          </w:p>
          <w:p w14:paraId="2B3F0C93">
            <w:pPr>
              <w:pStyle w:val="8"/>
              <w:spacing w:before="27" w:line="237" w:lineRule="auto"/>
              <w:ind w:left="116" w:right="105" w:firstLine="343"/>
              <w:jc w:val="both"/>
            </w:pPr>
            <w:r>
              <w:rPr>
                <w:spacing w:val="-1"/>
              </w:rPr>
              <w:t>第八十一条  违反本条例第六十四条规定，湘江航道上航行的船舶超过航</w:t>
            </w:r>
            <w:r>
              <w:rPr>
                <w:spacing w:val="-2"/>
              </w:rPr>
              <w:t>道等级限制或者船舶吃水高于</w:t>
            </w:r>
            <w:r>
              <w:t xml:space="preserve"> </w:t>
            </w:r>
            <w:r>
              <w:rPr>
                <w:spacing w:val="-2"/>
              </w:rPr>
              <w:t>航道实际水深使用航道的，航道管理机构应当责令停止航行，限期改正；逾期不改正的，由航道管理机构暂</w:t>
            </w:r>
            <w:r>
              <w:rPr>
                <w:spacing w:val="18"/>
              </w:rPr>
              <w:t xml:space="preserve"> </w:t>
            </w:r>
            <w:r>
              <w:rPr>
                <w:spacing w:val="-4"/>
              </w:rPr>
              <w:t>扣船舶，可以并处一万元以下的罚款。</w:t>
            </w:r>
          </w:p>
        </w:tc>
        <w:tc>
          <w:tcPr>
            <w:tcW w:w="1020" w:type="dxa"/>
            <w:vAlign w:val="top"/>
          </w:tcPr>
          <w:p w14:paraId="4F5C9D95">
            <w:pPr>
              <w:spacing w:line="257" w:lineRule="auto"/>
              <w:rPr>
                <w:rFonts w:ascii="Arial"/>
                <w:sz w:val="21"/>
              </w:rPr>
            </w:pPr>
          </w:p>
          <w:p w14:paraId="2450AF95">
            <w:pPr>
              <w:spacing w:line="257" w:lineRule="auto"/>
              <w:rPr>
                <w:rFonts w:ascii="Arial"/>
                <w:sz w:val="21"/>
              </w:rPr>
            </w:pPr>
          </w:p>
          <w:p w14:paraId="68977207">
            <w:pPr>
              <w:spacing w:line="258" w:lineRule="auto"/>
              <w:rPr>
                <w:rFonts w:ascii="Arial"/>
                <w:sz w:val="21"/>
              </w:rPr>
            </w:pPr>
          </w:p>
          <w:p w14:paraId="36B3A2C1">
            <w:pPr>
              <w:spacing w:line="258" w:lineRule="auto"/>
              <w:rPr>
                <w:rFonts w:ascii="Arial"/>
                <w:sz w:val="21"/>
              </w:rPr>
            </w:pPr>
          </w:p>
          <w:p w14:paraId="0F791CEA">
            <w:pPr>
              <w:pStyle w:val="8"/>
              <w:spacing w:before="59" w:line="235" w:lineRule="auto"/>
              <w:ind w:left="181" w:right="158" w:firstLine="2"/>
            </w:pPr>
            <w:r>
              <w:rPr>
                <w:spacing w:val="-12"/>
              </w:rPr>
              <w:t>交通运输</w:t>
            </w:r>
            <w:r>
              <w:t xml:space="preserve"> </w:t>
            </w:r>
            <w:r>
              <w:rPr>
                <w:spacing w:val="-12"/>
              </w:rPr>
              <w:t>主管部门</w:t>
            </w:r>
          </w:p>
        </w:tc>
        <w:tc>
          <w:tcPr>
            <w:tcW w:w="1416" w:type="dxa"/>
            <w:vAlign w:val="top"/>
          </w:tcPr>
          <w:p w14:paraId="6BB70B62">
            <w:pPr>
              <w:spacing w:line="286" w:lineRule="auto"/>
              <w:rPr>
                <w:rFonts w:ascii="Arial"/>
                <w:sz w:val="21"/>
              </w:rPr>
            </w:pPr>
          </w:p>
          <w:p w14:paraId="3DC8AD76">
            <w:pPr>
              <w:spacing w:line="287" w:lineRule="auto"/>
              <w:rPr>
                <w:rFonts w:ascii="Arial"/>
                <w:sz w:val="21"/>
              </w:rPr>
            </w:pPr>
          </w:p>
          <w:p w14:paraId="6A5173F6">
            <w:pPr>
              <w:spacing w:line="287" w:lineRule="auto"/>
              <w:rPr>
                <w:rFonts w:ascii="Arial"/>
                <w:sz w:val="21"/>
              </w:rPr>
            </w:pPr>
          </w:p>
          <w:p w14:paraId="3D09C72E">
            <w:pPr>
              <w:spacing w:line="287" w:lineRule="auto"/>
              <w:rPr>
                <w:rFonts w:ascii="Arial"/>
                <w:sz w:val="21"/>
              </w:rPr>
            </w:pPr>
          </w:p>
          <w:p w14:paraId="065F9D1B">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103655CE">
            <w:pPr>
              <w:spacing w:line="306" w:lineRule="auto"/>
              <w:rPr>
                <w:rFonts w:ascii="Arial"/>
                <w:sz w:val="21"/>
              </w:rPr>
            </w:pPr>
          </w:p>
          <w:p w14:paraId="350B8EB7">
            <w:pPr>
              <w:spacing w:line="306" w:lineRule="auto"/>
              <w:rPr>
                <w:rFonts w:ascii="Arial"/>
                <w:sz w:val="21"/>
              </w:rPr>
            </w:pPr>
          </w:p>
          <w:p w14:paraId="3DFD613B">
            <w:pPr>
              <w:spacing w:line="306" w:lineRule="auto"/>
              <w:rPr>
                <w:rFonts w:ascii="Arial"/>
                <w:sz w:val="21"/>
              </w:rPr>
            </w:pPr>
          </w:p>
          <w:p w14:paraId="0C83529C">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553DB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1" w:hRule="atLeast"/>
        </w:trPr>
        <w:tc>
          <w:tcPr>
            <w:tcW w:w="626" w:type="dxa"/>
            <w:vAlign w:val="top"/>
          </w:tcPr>
          <w:p w14:paraId="70D47727">
            <w:pPr>
              <w:spacing w:line="287" w:lineRule="auto"/>
              <w:rPr>
                <w:rFonts w:ascii="Arial"/>
                <w:sz w:val="21"/>
              </w:rPr>
            </w:pPr>
          </w:p>
          <w:p w14:paraId="4B539EBB">
            <w:pPr>
              <w:spacing w:line="287" w:lineRule="auto"/>
              <w:rPr>
                <w:rFonts w:ascii="Arial"/>
                <w:sz w:val="21"/>
              </w:rPr>
            </w:pPr>
          </w:p>
          <w:p w14:paraId="4ED4F4AA">
            <w:pPr>
              <w:spacing w:line="287" w:lineRule="auto"/>
              <w:rPr>
                <w:rFonts w:ascii="Arial"/>
                <w:sz w:val="21"/>
              </w:rPr>
            </w:pPr>
          </w:p>
          <w:p w14:paraId="4D774A4D">
            <w:pPr>
              <w:spacing w:line="287" w:lineRule="auto"/>
              <w:rPr>
                <w:rFonts w:ascii="Arial"/>
                <w:sz w:val="21"/>
              </w:rPr>
            </w:pPr>
          </w:p>
          <w:p w14:paraId="45FA11AE">
            <w:pPr>
              <w:spacing w:line="287" w:lineRule="auto"/>
              <w:rPr>
                <w:rFonts w:ascii="Arial"/>
                <w:sz w:val="21"/>
              </w:rPr>
            </w:pPr>
          </w:p>
          <w:p w14:paraId="53E76B47">
            <w:pPr>
              <w:pStyle w:val="8"/>
              <w:spacing w:before="59" w:line="184" w:lineRule="auto"/>
              <w:ind w:left="250"/>
            </w:pPr>
            <w:r>
              <w:rPr>
                <w:spacing w:val="-11"/>
              </w:rPr>
              <w:t>18</w:t>
            </w:r>
          </w:p>
        </w:tc>
        <w:tc>
          <w:tcPr>
            <w:tcW w:w="1110" w:type="dxa"/>
            <w:vAlign w:val="top"/>
          </w:tcPr>
          <w:p w14:paraId="176FA93F">
            <w:pPr>
              <w:pStyle w:val="8"/>
              <w:spacing w:before="273" w:line="244" w:lineRule="auto"/>
              <w:ind w:left="114" w:right="108"/>
              <w:jc w:val="both"/>
            </w:pPr>
            <w:r>
              <w:rPr>
                <w:spacing w:val="-4"/>
              </w:rPr>
              <w:t>对在禁采期</w:t>
            </w:r>
            <w:r>
              <w:t xml:space="preserve"> </w:t>
            </w:r>
            <w:r>
              <w:rPr>
                <w:spacing w:val="-4"/>
              </w:rPr>
              <w:t>或者在可采</w:t>
            </w:r>
            <w:r>
              <w:t xml:space="preserve"> </w:t>
            </w:r>
            <w:r>
              <w:rPr>
                <w:spacing w:val="-4"/>
              </w:rPr>
              <w:t>期但未取得</w:t>
            </w:r>
            <w:r>
              <w:t xml:space="preserve"> </w:t>
            </w:r>
            <w:r>
              <w:rPr>
                <w:spacing w:val="-4"/>
              </w:rPr>
              <w:t>河道采砂许</w:t>
            </w:r>
            <w:r>
              <w:t xml:space="preserve"> </w:t>
            </w:r>
            <w:r>
              <w:rPr>
                <w:spacing w:val="-4"/>
              </w:rPr>
              <w:t>可证，未按</w:t>
            </w:r>
            <w:r>
              <w:t xml:space="preserve"> </w:t>
            </w:r>
            <w:r>
              <w:rPr>
                <w:spacing w:val="-4"/>
              </w:rPr>
              <w:t>照县级人民</w:t>
            </w:r>
            <w:r>
              <w:t xml:space="preserve"> </w:t>
            </w:r>
            <w:r>
              <w:rPr>
                <w:spacing w:val="-4"/>
              </w:rPr>
              <w:t>政府交通运</w:t>
            </w:r>
            <w:r>
              <w:t xml:space="preserve"> </w:t>
            </w:r>
            <w:r>
              <w:rPr>
                <w:spacing w:val="-4"/>
              </w:rPr>
              <w:t>输主管部门</w:t>
            </w:r>
            <w:r>
              <w:t xml:space="preserve"> </w:t>
            </w:r>
            <w:r>
              <w:rPr>
                <w:spacing w:val="-4"/>
              </w:rPr>
              <w:t>指定的集中</w:t>
            </w:r>
            <w:r>
              <w:t xml:space="preserve"> </w:t>
            </w:r>
            <w:r>
              <w:rPr>
                <w:spacing w:val="-4"/>
              </w:rPr>
              <w:t>停靠点停放</w:t>
            </w:r>
            <w:r>
              <w:t xml:space="preserve"> </w:t>
            </w:r>
            <w:r>
              <w:rPr>
                <w:spacing w:val="-5"/>
              </w:rPr>
              <w:t>的行政处罚</w:t>
            </w:r>
          </w:p>
        </w:tc>
        <w:tc>
          <w:tcPr>
            <w:tcW w:w="1111" w:type="dxa"/>
            <w:vAlign w:val="top"/>
          </w:tcPr>
          <w:p w14:paraId="3FC7B5A5">
            <w:pPr>
              <w:spacing w:line="281" w:lineRule="auto"/>
              <w:rPr>
                <w:rFonts w:ascii="Arial"/>
                <w:sz w:val="21"/>
              </w:rPr>
            </w:pPr>
          </w:p>
          <w:p w14:paraId="6D1B6DA2">
            <w:pPr>
              <w:spacing w:line="281" w:lineRule="auto"/>
              <w:rPr>
                <w:rFonts w:ascii="Arial"/>
                <w:sz w:val="21"/>
              </w:rPr>
            </w:pPr>
          </w:p>
          <w:p w14:paraId="5DD50623">
            <w:pPr>
              <w:spacing w:line="282" w:lineRule="auto"/>
              <w:rPr>
                <w:rFonts w:ascii="Arial"/>
                <w:sz w:val="21"/>
              </w:rPr>
            </w:pPr>
          </w:p>
          <w:p w14:paraId="7DA28BAB">
            <w:pPr>
              <w:spacing w:line="282" w:lineRule="auto"/>
              <w:rPr>
                <w:rFonts w:ascii="Arial"/>
                <w:sz w:val="21"/>
              </w:rPr>
            </w:pPr>
          </w:p>
          <w:p w14:paraId="1803EC6F">
            <w:pPr>
              <w:spacing w:line="282" w:lineRule="auto"/>
              <w:rPr>
                <w:rFonts w:ascii="Arial"/>
                <w:sz w:val="21"/>
              </w:rPr>
            </w:pPr>
          </w:p>
          <w:p w14:paraId="3D2034EC">
            <w:pPr>
              <w:pStyle w:val="8"/>
              <w:spacing w:before="59" w:line="220" w:lineRule="auto"/>
              <w:ind w:left="8"/>
            </w:pPr>
            <w:r>
              <w:rPr>
                <w:spacing w:val="-4"/>
              </w:rPr>
              <w:t>行政处罚</w:t>
            </w:r>
          </w:p>
        </w:tc>
        <w:tc>
          <w:tcPr>
            <w:tcW w:w="8613" w:type="dxa"/>
            <w:vAlign w:val="top"/>
          </w:tcPr>
          <w:p w14:paraId="7391B2BB">
            <w:pPr>
              <w:spacing w:line="346" w:lineRule="auto"/>
              <w:rPr>
                <w:rFonts w:ascii="Arial"/>
                <w:sz w:val="21"/>
              </w:rPr>
            </w:pPr>
          </w:p>
          <w:p w14:paraId="6ED5E5A2">
            <w:pPr>
              <w:spacing w:line="346" w:lineRule="auto"/>
              <w:rPr>
                <w:rFonts w:ascii="Arial"/>
                <w:sz w:val="21"/>
              </w:rPr>
            </w:pPr>
          </w:p>
          <w:p w14:paraId="3B11CDEF">
            <w:pPr>
              <w:pStyle w:val="8"/>
              <w:spacing w:before="59" w:line="219" w:lineRule="auto"/>
              <w:ind w:left="465"/>
            </w:pPr>
            <w:r>
              <w:rPr>
                <w:b/>
                <w:bCs/>
                <w:spacing w:val="-6"/>
              </w:rPr>
              <w:t>《湖南省河道采砂管理条例》</w:t>
            </w:r>
          </w:p>
          <w:p w14:paraId="102DCA4C">
            <w:pPr>
              <w:pStyle w:val="8"/>
              <w:spacing w:before="26" w:line="233" w:lineRule="auto"/>
              <w:ind w:left="120" w:right="105" w:firstLine="339"/>
            </w:pPr>
            <w:r>
              <w:rPr>
                <w:spacing w:val="-1"/>
              </w:rPr>
              <w:t>第三十二条第二款  采砂船舶在禁采期或者在可采期但未取得河道采砂许</w:t>
            </w:r>
            <w:r>
              <w:rPr>
                <w:spacing w:val="-2"/>
              </w:rPr>
              <w:t>可证的，应当在县级人民政府</w:t>
            </w:r>
            <w:r>
              <w:t xml:space="preserve"> </w:t>
            </w:r>
            <w:r>
              <w:rPr>
                <w:spacing w:val="-5"/>
              </w:rPr>
              <w:t>交通运输主管部门指定的集中停靠点停放。</w:t>
            </w:r>
          </w:p>
          <w:p w14:paraId="24D42A62">
            <w:pPr>
              <w:pStyle w:val="8"/>
              <w:spacing w:before="24"/>
              <w:ind w:left="118" w:right="105" w:firstLine="341"/>
            </w:pPr>
            <w:r>
              <w:rPr>
                <w:spacing w:val="-1"/>
              </w:rPr>
              <w:t>第四十四条  违反本条例第三十二条第二款规定，采砂船舶在禁采期或者</w:t>
            </w:r>
            <w:r>
              <w:rPr>
                <w:spacing w:val="-2"/>
              </w:rPr>
              <w:t>在可采期但未取得河道采砂许</w:t>
            </w:r>
            <w:r>
              <w:t xml:space="preserve"> </w:t>
            </w:r>
            <w:r>
              <w:rPr>
                <w:spacing w:val="-2"/>
              </w:rPr>
              <w:t>可证，未按照县级人民政府交通运输主管部门指定的集中停靠点停放的，由县级人民政府交通运输主管部门</w:t>
            </w:r>
            <w:r>
              <w:rPr>
                <w:spacing w:val="17"/>
              </w:rPr>
              <w:t xml:space="preserve"> </w:t>
            </w:r>
            <w:r>
              <w:rPr>
                <w:spacing w:val="-2"/>
              </w:rPr>
              <w:t>责令限期改正；逾期不改正的，由县级人民政府交通运输主管部门采取措施将采砂船舶拖移至集中停靠点，</w:t>
            </w:r>
            <w:r>
              <w:rPr>
                <w:spacing w:val="17"/>
              </w:rPr>
              <w:t xml:space="preserve"> </w:t>
            </w:r>
            <w:r>
              <w:rPr>
                <w:spacing w:val="-5"/>
              </w:rPr>
              <w:t>处一万元以上三万元以下罚款。</w:t>
            </w:r>
          </w:p>
        </w:tc>
        <w:tc>
          <w:tcPr>
            <w:tcW w:w="1020" w:type="dxa"/>
            <w:vAlign w:val="top"/>
          </w:tcPr>
          <w:p w14:paraId="36A58FFD">
            <w:pPr>
              <w:spacing w:line="257" w:lineRule="auto"/>
              <w:rPr>
                <w:rFonts w:ascii="Arial"/>
                <w:sz w:val="21"/>
              </w:rPr>
            </w:pPr>
          </w:p>
          <w:p w14:paraId="7405E6EC">
            <w:pPr>
              <w:spacing w:line="258" w:lineRule="auto"/>
              <w:rPr>
                <w:rFonts w:ascii="Arial"/>
                <w:sz w:val="21"/>
              </w:rPr>
            </w:pPr>
          </w:p>
          <w:p w14:paraId="707A218F">
            <w:pPr>
              <w:spacing w:line="258" w:lineRule="auto"/>
              <w:rPr>
                <w:rFonts w:ascii="Arial"/>
                <w:sz w:val="21"/>
              </w:rPr>
            </w:pPr>
          </w:p>
          <w:p w14:paraId="6AE8F5D6">
            <w:pPr>
              <w:spacing w:line="258" w:lineRule="auto"/>
              <w:rPr>
                <w:rFonts w:ascii="Arial"/>
                <w:sz w:val="21"/>
              </w:rPr>
            </w:pPr>
          </w:p>
          <w:p w14:paraId="14360596">
            <w:pPr>
              <w:spacing w:line="258" w:lineRule="auto"/>
              <w:rPr>
                <w:rFonts w:ascii="Arial"/>
                <w:sz w:val="21"/>
              </w:rPr>
            </w:pPr>
          </w:p>
          <w:p w14:paraId="1EC08528">
            <w:pPr>
              <w:pStyle w:val="8"/>
              <w:spacing w:before="58" w:line="233" w:lineRule="auto"/>
              <w:ind w:left="181" w:right="158" w:firstLine="2"/>
            </w:pPr>
            <w:r>
              <w:rPr>
                <w:spacing w:val="-12"/>
              </w:rPr>
              <w:t>交通运输</w:t>
            </w:r>
            <w:r>
              <w:t xml:space="preserve"> </w:t>
            </w:r>
            <w:r>
              <w:rPr>
                <w:spacing w:val="-12"/>
              </w:rPr>
              <w:t>主管部门</w:t>
            </w:r>
          </w:p>
        </w:tc>
        <w:tc>
          <w:tcPr>
            <w:tcW w:w="1416" w:type="dxa"/>
            <w:vAlign w:val="top"/>
          </w:tcPr>
          <w:p w14:paraId="4CA2B2A0">
            <w:pPr>
              <w:spacing w:line="281" w:lineRule="auto"/>
              <w:rPr>
                <w:rFonts w:ascii="Arial"/>
                <w:sz w:val="21"/>
              </w:rPr>
            </w:pPr>
          </w:p>
          <w:p w14:paraId="48E17BE8">
            <w:pPr>
              <w:spacing w:line="281" w:lineRule="auto"/>
              <w:rPr>
                <w:rFonts w:ascii="Arial"/>
                <w:sz w:val="21"/>
              </w:rPr>
            </w:pPr>
          </w:p>
          <w:p w14:paraId="7BFD594A">
            <w:pPr>
              <w:spacing w:line="282" w:lineRule="auto"/>
              <w:rPr>
                <w:rFonts w:ascii="Arial"/>
                <w:sz w:val="21"/>
              </w:rPr>
            </w:pPr>
          </w:p>
          <w:p w14:paraId="2900B547">
            <w:pPr>
              <w:spacing w:line="282" w:lineRule="auto"/>
              <w:rPr>
                <w:rFonts w:ascii="Arial"/>
                <w:sz w:val="21"/>
              </w:rPr>
            </w:pPr>
          </w:p>
          <w:p w14:paraId="41F3ACD2">
            <w:pPr>
              <w:spacing w:line="282" w:lineRule="auto"/>
              <w:rPr>
                <w:rFonts w:ascii="Arial"/>
                <w:sz w:val="21"/>
              </w:rPr>
            </w:pPr>
          </w:p>
          <w:p w14:paraId="3E448960">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51503512">
            <w:pPr>
              <w:spacing w:line="292" w:lineRule="auto"/>
              <w:rPr>
                <w:rFonts w:ascii="Arial"/>
                <w:sz w:val="21"/>
              </w:rPr>
            </w:pPr>
          </w:p>
          <w:p w14:paraId="588418A3">
            <w:pPr>
              <w:spacing w:line="292" w:lineRule="auto"/>
              <w:rPr>
                <w:rFonts w:ascii="Arial"/>
                <w:sz w:val="21"/>
              </w:rPr>
            </w:pPr>
          </w:p>
          <w:p w14:paraId="4487712B">
            <w:pPr>
              <w:spacing w:line="293" w:lineRule="auto"/>
              <w:rPr>
                <w:rFonts w:ascii="Arial"/>
                <w:sz w:val="21"/>
              </w:rPr>
            </w:pPr>
          </w:p>
          <w:p w14:paraId="7596BC90">
            <w:pPr>
              <w:spacing w:line="293" w:lineRule="auto"/>
              <w:rPr>
                <w:rFonts w:ascii="Arial"/>
                <w:sz w:val="21"/>
              </w:rPr>
            </w:pPr>
          </w:p>
          <w:p w14:paraId="3596E461">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25CD4E39">
      <w:pPr>
        <w:pStyle w:val="2"/>
      </w:pPr>
    </w:p>
    <w:p w14:paraId="568BC4A2">
      <w:pPr>
        <w:sectPr>
          <w:footerReference r:id="rId165" w:type="default"/>
          <w:pgSz w:w="16840" w:h="11906"/>
          <w:pgMar w:top="1012" w:right="957" w:bottom="967" w:left="957" w:header="0" w:footer="768" w:gutter="0"/>
          <w:cols w:space="720" w:num="1"/>
        </w:sectPr>
      </w:pPr>
    </w:p>
    <w:p w14:paraId="59471B6E">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08FED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4E57F749">
            <w:pPr>
              <w:pStyle w:val="8"/>
              <w:spacing w:before="199" w:line="221" w:lineRule="auto"/>
              <w:ind w:left="138"/>
            </w:pPr>
            <w:r>
              <w:rPr>
                <w:b/>
                <w:bCs/>
                <w:spacing w:val="-6"/>
              </w:rPr>
              <w:t>序号</w:t>
            </w:r>
          </w:p>
        </w:tc>
        <w:tc>
          <w:tcPr>
            <w:tcW w:w="1110" w:type="dxa"/>
            <w:vMerge w:val="restart"/>
            <w:tcBorders>
              <w:bottom w:val="nil"/>
            </w:tcBorders>
            <w:vAlign w:val="top"/>
          </w:tcPr>
          <w:p w14:paraId="11A7D7AE">
            <w:pPr>
              <w:pStyle w:val="8"/>
              <w:spacing w:before="200" w:line="220" w:lineRule="auto"/>
              <w:ind w:left="204"/>
            </w:pPr>
            <w:r>
              <w:rPr>
                <w:b/>
                <w:bCs/>
                <w:spacing w:val="-6"/>
              </w:rPr>
              <w:t>事项名称</w:t>
            </w:r>
          </w:p>
        </w:tc>
        <w:tc>
          <w:tcPr>
            <w:tcW w:w="1111" w:type="dxa"/>
            <w:vMerge w:val="restart"/>
            <w:tcBorders>
              <w:bottom w:val="nil"/>
            </w:tcBorders>
            <w:vAlign w:val="top"/>
          </w:tcPr>
          <w:p w14:paraId="7BC12FF9">
            <w:pPr>
              <w:pStyle w:val="8"/>
              <w:spacing w:before="200" w:line="219" w:lineRule="auto"/>
              <w:ind w:left="205"/>
            </w:pPr>
            <w:r>
              <w:rPr>
                <w:b/>
                <w:bCs/>
                <w:spacing w:val="-6"/>
              </w:rPr>
              <w:t>职权类型</w:t>
            </w:r>
          </w:p>
        </w:tc>
        <w:tc>
          <w:tcPr>
            <w:tcW w:w="8613" w:type="dxa"/>
            <w:vMerge w:val="restart"/>
            <w:tcBorders>
              <w:bottom w:val="nil"/>
            </w:tcBorders>
            <w:vAlign w:val="top"/>
          </w:tcPr>
          <w:p w14:paraId="536295E5">
            <w:pPr>
              <w:pStyle w:val="8"/>
              <w:spacing w:before="199" w:line="219" w:lineRule="auto"/>
              <w:ind w:left="3963"/>
            </w:pPr>
            <w:r>
              <w:rPr>
                <w:b/>
                <w:bCs/>
                <w:spacing w:val="-8"/>
              </w:rPr>
              <w:t>实施依据</w:t>
            </w:r>
          </w:p>
        </w:tc>
        <w:tc>
          <w:tcPr>
            <w:tcW w:w="3458" w:type="dxa"/>
            <w:gridSpan w:val="3"/>
            <w:vAlign w:val="top"/>
          </w:tcPr>
          <w:p w14:paraId="0818F32F">
            <w:pPr>
              <w:pStyle w:val="8"/>
              <w:spacing w:before="38" w:line="198" w:lineRule="auto"/>
              <w:ind w:left="1376"/>
            </w:pPr>
            <w:r>
              <w:rPr>
                <w:b/>
                <w:bCs/>
                <w:spacing w:val="-5"/>
              </w:rPr>
              <w:t>实施主体</w:t>
            </w:r>
          </w:p>
        </w:tc>
      </w:tr>
      <w:tr w14:paraId="66C21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26" w:type="dxa"/>
            <w:vMerge w:val="continue"/>
            <w:tcBorders>
              <w:top w:val="nil"/>
            </w:tcBorders>
            <w:vAlign w:val="top"/>
          </w:tcPr>
          <w:p w14:paraId="605930A4">
            <w:pPr>
              <w:rPr>
                <w:rFonts w:ascii="Arial"/>
                <w:sz w:val="21"/>
              </w:rPr>
            </w:pPr>
          </w:p>
        </w:tc>
        <w:tc>
          <w:tcPr>
            <w:tcW w:w="1110" w:type="dxa"/>
            <w:vMerge w:val="continue"/>
            <w:tcBorders>
              <w:top w:val="nil"/>
            </w:tcBorders>
            <w:vAlign w:val="top"/>
          </w:tcPr>
          <w:p w14:paraId="4D36F131">
            <w:pPr>
              <w:rPr>
                <w:rFonts w:ascii="Arial"/>
                <w:sz w:val="21"/>
              </w:rPr>
            </w:pPr>
          </w:p>
        </w:tc>
        <w:tc>
          <w:tcPr>
            <w:tcW w:w="1111" w:type="dxa"/>
            <w:vMerge w:val="continue"/>
            <w:tcBorders>
              <w:top w:val="nil"/>
            </w:tcBorders>
            <w:vAlign w:val="top"/>
          </w:tcPr>
          <w:p w14:paraId="3971A056">
            <w:pPr>
              <w:rPr>
                <w:rFonts w:ascii="Arial"/>
                <w:sz w:val="21"/>
              </w:rPr>
            </w:pPr>
          </w:p>
        </w:tc>
        <w:tc>
          <w:tcPr>
            <w:tcW w:w="8613" w:type="dxa"/>
            <w:vMerge w:val="continue"/>
            <w:tcBorders>
              <w:top w:val="nil"/>
            </w:tcBorders>
            <w:vAlign w:val="top"/>
          </w:tcPr>
          <w:p w14:paraId="1DD3A60A">
            <w:pPr>
              <w:rPr>
                <w:rFonts w:ascii="Arial"/>
                <w:sz w:val="21"/>
              </w:rPr>
            </w:pPr>
          </w:p>
        </w:tc>
        <w:tc>
          <w:tcPr>
            <w:tcW w:w="1020" w:type="dxa"/>
            <w:vAlign w:val="top"/>
          </w:tcPr>
          <w:p w14:paraId="268BA4E7">
            <w:pPr>
              <w:pStyle w:val="8"/>
              <w:spacing w:before="75" w:line="219" w:lineRule="auto"/>
              <w:ind w:left="161"/>
            </w:pPr>
            <w:r>
              <w:rPr>
                <w:b/>
                <w:bCs/>
                <w:spacing w:val="-5"/>
              </w:rPr>
              <w:t>责任主体</w:t>
            </w:r>
          </w:p>
        </w:tc>
        <w:tc>
          <w:tcPr>
            <w:tcW w:w="1416" w:type="dxa"/>
            <w:vAlign w:val="top"/>
          </w:tcPr>
          <w:p w14:paraId="1E9AB61C">
            <w:pPr>
              <w:pStyle w:val="8"/>
              <w:spacing w:before="75" w:line="219" w:lineRule="auto"/>
              <w:ind w:left="172"/>
            </w:pPr>
            <w:r>
              <w:rPr>
                <w:b/>
                <w:bCs/>
                <w:spacing w:val="-3"/>
              </w:rPr>
              <w:t>第一责任层级</w:t>
            </w:r>
          </w:p>
        </w:tc>
        <w:tc>
          <w:tcPr>
            <w:tcW w:w="1022" w:type="dxa"/>
            <w:vAlign w:val="top"/>
          </w:tcPr>
          <w:p w14:paraId="68BC37AA">
            <w:pPr>
              <w:pStyle w:val="8"/>
              <w:spacing w:before="75" w:line="219" w:lineRule="auto"/>
              <w:ind w:left="155"/>
            </w:pPr>
            <w:r>
              <w:rPr>
                <w:b/>
                <w:bCs/>
                <w:spacing w:val="-4"/>
              </w:rPr>
              <w:t>承办机构</w:t>
            </w:r>
          </w:p>
        </w:tc>
      </w:tr>
      <w:tr w14:paraId="0ED52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8" w:hRule="atLeast"/>
        </w:trPr>
        <w:tc>
          <w:tcPr>
            <w:tcW w:w="626" w:type="dxa"/>
            <w:vAlign w:val="top"/>
          </w:tcPr>
          <w:p w14:paraId="060E48D6">
            <w:pPr>
              <w:spacing w:line="264" w:lineRule="auto"/>
              <w:rPr>
                <w:rFonts w:ascii="Arial"/>
                <w:sz w:val="21"/>
              </w:rPr>
            </w:pPr>
          </w:p>
          <w:p w14:paraId="21616A55">
            <w:pPr>
              <w:spacing w:line="264" w:lineRule="auto"/>
              <w:rPr>
                <w:rFonts w:ascii="Arial"/>
                <w:sz w:val="21"/>
              </w:rPr>
            </w:pPr>
          </w:p>
          <w:p w14:paraId="06482717">
            <w:pPr>
              <w:spacing w:line="264" w:lineRule="auto"/>
              <w:rPr>
                <w:rFonts w:ascii="Arial"/>
                <w:sz w:val="21"/>
              </w:rPr>
            </w:pPr>
          </w:p>
          <w:p w14:paraId="7C9282DB">
            <w:pPr>
              <w:spacing w:line="264" w:lineRule="auto"/>
              <w:rPr>
                <w:rFonts w:ascii="Arial"/>
                <w:sz w:val="21"/>
              </w:rPr>
            </w:pPr>
          </w:p>
          <w:p w14:paraId="4F1EE6B6">
            <w:pPr>
              <w:spacing w:line="264" w:lineRule="auto"/>
              <w:rPr>
                <w:rFonts w:ascii="Arial"/>
                <w:sz w:val="21"/>
              </w:rPr>
            </w:pPr>
          </w:p>
          <w:p w14:paraId="67314235">
            <w:pPr>
              <w:spacing w:line="264" w:lineRule="auto"/>
              <w:rPr>
                <w:rFonts w:ascii="Arial"/>
                <w:sz w:val="21"/>
              </w:rPr>
            </w:pPr>
          </w:p>
          <w:p w14:paraId="7DBCBA0A">
            <w:pPr>
              <w:pStyle w:val="8"/>
              <w:spacing w:before="58" w:line="184" w:lineRule="auto"/>
              <w:ind w:left="250"/>
            </w:pPr>
            <w:r>
              <w:rPr>
                <w:spacing w:val="-11"/>
              </w:rPr>
              <w:t>19</w:t>
            </w:r>
          </w:p>
        </w:tc>
        <w:tc>
          <w:tcPr>
            <w:tcW w:w="1110" w:type="dxa"/>
            <w:vAlign w:val="top"/>
          </w:tcPr>
          <w:p w14:paraId="354336F4">
            <w:pPr>
              <w:spacing w:line="250" w:lineRule="auto"/>
              <w:rPr>
                <w:rFonts w:ascii="Arial"/>
                <w:sz w:val="21"/>
              </w:rPr>
            </w:pPr>
          </w:p>
          <w:p w14:paraId="38BCBF32">
            <w:pPr>
              <w:pStyle w:val="8"/>
              <w:spacing w:before="58" w:line="244" w:lineRule="auto"/>
              <w:ind w:left="114" w:right="108"/>
              <w:jc w:val="both"/>
            </w:pPr>
            <w:r>
              <w:rPr>
                <w:spacing w:val="-4"/>
              </w:rPr>
              <w:t>对违反航道</w:t>
            </w:r>
            <w:r>
              <w:t xml:space="preserve"> </w:t>
            </w:r>
            <w:r>
              <w:rPr>
                <w:spacing w:val="-4"/>
              </w:rPr>
              <w:t>通航条件影</w:t>
            </w:r>
            <w:r>
              <w:t xml:space="preserve"> </w:t>
            </w:r>
            <w:r>
              <w:rPr>
                <w:spacing w:val="-4"/>
              </w:rPr>
              <w:t>响评价规定</w:t>
            </w:r>
            <w:r>
              <w:t xml:space="preserve"> </w:t>
            </w:r>
            <w:r>
              <w:rPr>
                <w:spacing w:val="-4"/>
              </w:rPr>
              <w:t>建成的项目</w:t>
            </w:r>
            <w:r>
              <w:t xml:space="preserve"> </w:t>
            </w:r>
            <w:r>
              <w:rPr>
                <w:spacing w:val="-4"/>
              </w:rPr>
              <w:t>导致航道通</w:t>
            </w:r>
            <w:r>
              <w:t xml:space="preserve"> </w:t>
            </w:r>
            <w:r>
              <w:rPr>
                <w:spacing w:val="-4"/>
              </w:rPr>
              <w:t>航条件严重</w:t>
            </w:r>
            <w:r>
              <w:t xml:space="preserve"> </w:t>
            </w:r>
            <w:r>
              <w:rPr>
                <w:spacing w:val="-4"/>
              </w:rPr>
              <w:t>下降，逾期</w:t>
            </w:r>
            <w:r>
              <w:t xml:space="preserve"> </w:t>
            </w:r>
            <w:r>
              <w:rPr>
                <w:spacing w:val="-4"/>
              </w:rPr>
              <w:t>未采取补救</w:t>
            </w:r>
            <w:r>
              <w:t xml:space="preserve"> </w:t>
            </w:r>
            <w:r>
              <w:rPr>
                <w:spacing w:val="-4"/>
              </w:rPr>
              <w:t>措施或者拆</w:t>
            </w:r>
            <w:r>
              <w:t xml:space="preserve"> </w:t>
            </w:r>
            <w:r>
              <w:rPr>
                <w:spacing w:val="-4"/>
              </w:rPr>
              <w:t>除等行为的</w:t>
            </w:r>
            <w:r>
              <w:t xml:space="preserve"> </w:t>
            </w:r>
            <w:r>
              <w:rPr>
                <w:spacing w:val="-4"/>
              </w:rPr>
              <w:t>行政处罚</w:t>
            </w:r>
          </w:p>
        </w:tc>
        <w:tc>
          <w:tcPr>
            <w:tcW w:w="1111" w:type="dxa"/>
            <w:vAlign w:val="top"/>
          </w:tcPr>
          <w:p w14:paraId="2262E253">
            <w:pPr>
              <w:spacing w:line="260" w:lineRule="auto"/>
              <w:rPr>
                <w:rFonts w:ascii="Arial"/>
                <w:sz w:val="21"/>
              </w:rPr>
            </w:pPr>
          </w:p>
          <w:p w14:paraId="2AA30994">
            <w:pPr>
              <w:spacing w:line="260" w:lineRule="auto"/>
              <w:rPr>
                <w:rFonts w:ascii="Arial"/>
                <w:sz w:val="21"/>
              </w:rPr>
            </w:pPr>
          </w:p>
          <w:p w14:paraId="100C0D2D">
            <w:pPr>
              <w:spacing w:line="261" w:lineRule="auto"/>
              <w:rPr>
                <w:rFonts w:ascii="Arial"/>
                <w:sz w:val="21"/>
              </w:rPr>
            </w:pPr>
          </w:p>
          <w:p w14:paraId="2A1AFB86">
            <w:pPr>
              <w:spacing w:line="261" w:lineRule="auto"/>
              <w:rPr>
                <w:rFonts w:ascii="Arial"/>
                <w:sz w:val="21"/>
              </w:rPr>
            </w:pPr>
          </w:p>
          <w:p w14:paraId="496AA00D">
            <w:pPr>
              <w:spacing w:line="261" w:lineRule="auto"/>
              <w:rPr>
                <w:rFonts w:ascii="Arial"/>
                <w:sz w:val="21"/>
              </w:rPr>
            </w:pPr>
          </w:p>
          <w:p w14:paraId="2045AC2A">
            <w:pPr>
              <w:spacing w:line="261" w:lineRule="auto"/>
              <w:rPr>
                <w:rFonts w:ascii="Arial"/>
                <w:sz w:val="21"/>
              </w:rPr>
            </w:pPr>
          </w:p>
          <w:p w14:paraId="66175B5E">
            <w:pPr>
              <w:pStyle w:val="8"/>
              <w:spacing w:before="58" w:line="220" w:lineRule="auto"/>
              <w:ind w:left="8"/>
            </w:pPr>
            <w:r>
              <w:rPr>
                <w:spacing w:val="-4"/>
              </w:rPr>
              <w:t>行政处罚</w:t>
            </w:r>
          </w:p>
        </w:tc>
        <w:tc>
          <w:tcPr>
            <w:tcW w:w="8613" w:type="dxa"/>
            <w:vAlign w:val="top"/>
          </w:tcPr>
          <w:p w14:paraId="7F74994C">
            <w:pPr>
              <w:pStyle w:val="8"/>
              <w:spacing w:before="192" w:line="219" w:lineRule="auto"/>
              <w:ind w:left="465"/>
            </w:pPr>
            <w:r>
              <w:rPr>
                <w:b/>
                <w:bCs/>
                <w:spacing w:val="-6"/>
              </w:rPr>
              <w:t>《中华人民共和国航道法》</w:t>
            </w:r>
          </w:p>
          <w:p w14:paraId="2C58EF6B">
            <w:pPr>
              <w:pStyle w:val="8"/>
              <w:spacing w:before="25" w:line="233" w:lineRule="auto"/>
              <w:ind w:left="118" w:right="105" w:firstLine="341"/>
            </w:pPr>
            <w:r>
              <w:rPr>
                <w:spacing w:val="-1"/>
              </w:rPr>
              <w:t>第二十八条第二、第三款  建设单位报送的航道通航条件影响评价材料不</w:t>
            </w:r>
            <w:r>
              <w:rPr>
                <w:spacing w:val="-2"/>
              </w:rPr>
              <w:t>符合本法规定的，可以进行补</w:t>
            </w:r>
            <w:r>
              <w:t xml:space="preserve"> </w:t>
            </w:r>
            <w:r>
              <w:rPr>
                <w:spacing w:val="-5"/>
              </w:rPr>
              <w:t>充或者修改，重新报送审核部门审核。</w:t>
            </w:r>
          </w:p>
          <w:p w14:paraId="664D2F28">
            <w:pPr>
              <w:pStyle w:val="8"/>
              <w:spacing w:before="26" w:line="237" w:lineRule="auto"/>
              <w:ind w:left="118" w:right="105" w:firstLine="343"/>
              <w:jc w:val="both"/>
            </w:pPr>
            <w:r>
              <w:rPr>
                <w:spacing w:val="3"/>
              </w:rPr>
              <w:t>未进行航道通航条件影响评价或者经审核部门审核认为建设项目不符</w:t>
            </w:r>
            <w:r>
              <w:rPr>
                <w:spacing w:val="2"/>
              </w:rPr>
              <w:t>合本法规定的，建设单位不得建</w:t>
            </w:r>
            <w:r>
              <w:t xml:space="preserve"> </w:t>
            </w:r>
            <w:r>
              <w:rPr>
                <w:spacing w:val="-2"/>
              </w:rPr>
              <w:t>设。政府投资项目未进行航道通航条件影响评价或者经审核部门审核认为建设项目不符合本法规定的，负责</w:t>
            </w:r>
            <w:r>
              <w:rPr>
                <w:spacing w:val="16"/>
              </w:rPr>
              <w:t xml:space="preserve"> </w:t>
            </w:r>
            <w:r>
              <w:rPr>
                <w:spacing w:val="-5"/>
              </w:rPr>
              <w:t>建设项目审批的部门不予批准。</w:t>
            </w:r>
          </w:p>
          <w:p w14:paraId="08F86A75">
            <w:pPr>
              <w:pStyle w:val="8"/>
              <w:spacing w:before="24"/>
              <w:ind w:left="116" w:right="105" w:firstLine="343"/>
              <w:jc w:val="both"/>
            </w:pPr>
            <w:r>
              <w:rPr>
                <w:spacing w:val="-1"/>
              </w:rPr>
              <w:t>第三十九条第三款  违反航道通航条件影响评价的规定建成的项目导致航</w:t>
            </w:r>
            <w:r>
              <w:rPr>
                <w:spacing w:val="-2"/>
              </w:rPr>
              <w:t>道通航条件严重下降的，由前</w:t>
            </w:r>
            <w:r>
              <w:t xml:space="preserve"> </w:t>
            </w:r>
            <w:r>
              <w:rPr>
                <w:spacing w:val="-2"/>
              </w:rPr>
              <w:t>两款规定的交通运输主管部门或者航道管理机构责令限期采取补救措施或者拆除；逾期未采取补救措施或者</w:t>
            </w:r>
            <w:r>
              <w:rPr>
                <w:spacing w:val="18"/>
              </w:rPr>
              <w:t xml:space="preserve"> </w:t>
            </w:r>
            <w:r>
              <w:rPr>
                <w:spacing w:val="-2"/>
              </w:rPr>
              <w:t>拆除的，由交通运输主管部门或者航道管理机构代为采取补救措施或者依法组织拆除，所需费用由建设单位</w:t>
            </w:r>
            <w:r>
              <w:rPr>
                <w:spacing w:val="18"/>
              </w:rPr>
              <w:t xml:space="preserve"> </w:t>
            </w:r>
            <w:r>
              <w:rPr>
                <w:spacing w:val="-4"/>
              </w:rPr>
              <w:t>承担。</w:t>
            </w:r>
          </w:p>
          <w:p w14:paraId="14ECDD0C">
            <w:pPr>
              <w:pStyle w:val="8"/>
              <w:spacing w:before="26" w:line="237" w:lineRule="auto"/>
              <w:ind w:left="116" w:right="105" w:firstLine="343"/>
              <w:jc w:val="both"/>
            </w:pPr>
            <w:r>
              <w:rPr>
                <w:spacing w:val="-1"/>
              </w:rPr>
              <w:t>第四十条  与航道有关的工程的建设单位违反本法规定，未及时清除影响</w:t>
            </w:r>
            <w:r>
              <w:rPr>
                <w:spacing w:val="-2"/>
              </w:rPr>
              <w:t>航道通航条件的临时设施及其</w:t>
            </w:r>
            <w:r>
              <w:t xml:space="preserve"> </w:t>
            </w:r>
            <w:r>
              <w:rPr>
                <w:spacing w:val="-2"/>
              </w:rPr>
              <w:t>残留物的，由负责航道管理的部门责令限期清除，处二万元以下的罚款；逾期仍未清除的，处三万元以上二</w:t>
            </w:r>
            <w:r>
              <w:rPr>
                <w:spacing w:val="18"/>
              </w:rPr>
              <w:t xml:space="preserve"> </w:t>
            </w:r>
            <w:r>
              <w:rPr>
                <w:spacing w:val="-4"/>
              </w:rPr>
              <w:t>十万元以下的罚款，并由负责航道管理的部门依法组织清除，所需费用由建设单位承</w:t>
            </w:r>
            <w:r>
              <w:rPr>
                <w:spacing w:val="-5"/>
              </w:rPr>
              <w:t>担。</w:t>
            </w:r>
          </w:p>
        </w:tc>
        <w:tc>
          <w:tcPr>
            <w:tcW w:w="1020" w:type="dxa"/>
            <w:vAlign w:val="top"/>
          </w:tcPr>
          <w:p w14:paraId="19609635">
            <w:pPr>
              <w:spacing w:line="241" w:lineRule="auto"/>
              <w:rPr>
                <w:rFonts w:ascii="Arial"/>
                <w:sz w:val="21"/>
              </w:rPr>
            </w:pPr>
          </w:p>
          <w:p w14:paraId="7D603BB8">
            <w:pPr>
              <w:spacing w:line="241" w:lineRule="auto"/>
              <w:rPr>
                <w:rFonts w:ascii="Arial"/>
                <w:sz w:val="21"/>
              </w:rPr>
            </w:pPr>
          </w:p>
          <w:p w14:paraId="09445A2E">
            <w:pPr>
              <w:spacing w:line="241" w:lineRule="auto"/>
              <w:rPr>
                <w:rFonts w:ascii="Arial"/>
                <w:sz w:val="21"/>
              </w:rPr>
            </w:pPr>
          </w:p>
          <w:p w14:paraId="41444052">
            <w:pPr>
              <w:spacing w:line="241" w:lineRule="auto"/>
              <w:rPr>
                <w:rFonts w:ascii="Arial"/>
                <w:sz w:val="21"/>
              </w:rPr>
            </w:pPr>
          </w:p>
          <w:p w14:paraId="0DE24003">
            <w:pPr>
              <w:spacing w:line="241" w:lineRule="auto"/>
              <w:rPr>
                <w:rFonts w:ascii="Arial"/>
                <w:sz w:val="21"/>
              </w:rPr>
            </w:pPr>
          </w:p>
          <w:p w14:paraId="05F1E975">
            <w:pPr>
              <w:spacing w:line="241" w:lineRule="auto"/>
              <w:rPr>
                <w:rFonts w:ascii="Arial"/>
                <w:sz w:val="21"/>
              </w:rPr>
            </w:pPr>
          </w:p>
          <w:p w14:paraId="199E1217">
            <w:pPr>
              <w:pStyle w:val="8"/>
              <w:spacing w:before="59" w:line="223" w:lineRule="auto"/>
              <w:ind w:left="181" w:right="158" w:firstLine="2"/>
            </w:pPr>
            <w:r>
              <w:rPr>
                <w:spacing w:val="-12"/>
              </w:rPr>
              <w:t>交通运输</w:t>
            </w:r>
            <w:r>
              <w:t xml:space="preserve"> </w:t>
            </w:r>
            <w:r>
              <w:rPr>
                <w:spacing w:val="-12"/>
              </w:rPr>
              <w:t>主管部门</w:t>
            </w:r>
          </w:p>
        </w:tc>
        <w:tc>
          <w:tcPr>
            <w:tcW w:w="1416" w:type="dxa"/>
            <w:vAlign w:val="top"/>
          </w:tcPr>
          <w:p w14:paraId="5F74F468">
            <w:pPr>
              <w:spacing w:line="259" w:lineRule="auto"/>
              <w:rPr>
                <w:rFonts w:ascii="Arial"/>
                <w:sz w:val="21"/>
              </w:rPr>
            </w:pPr>
          </w:p>
          <w:p w14:paraId="5D41D1FF">
            <w:pPr>
              <w:spacing w:line="259" w:lineRule="auto"/>
              <w:rPr>
                <w:rFonts w:ascii="Arial"/>
                <w:sz w:val="21"/>
              </w:rPr>
            </w:pPr>
          </w:p>
          <w:p w14:paraId="017D2BF2">
            <w:pPr>
              <w:spacing w:line="259" w:lineRule="auto"/>
              <w:rPr>
                <w:rFonts w:ascii="Arial"/>
                <w:sz w:val="21"/>
              </w:rPr>
            </w:pPr>
          </w:p>
          <w:p w14:paraId="3F98C7EB">
            <w:pPr>
              <w:spacing w:line="260" w:lineRule="auto"/>
              <w:rPr>
                <w:rFonts w:ascii="Arial"/>
                <w:sz w:val="21"/>
              </w:rPr>
            </w:pPr>
          </w:p>
          <w:p w14:paraId="570C316C">
            <w:pPr>
              <w:spacing w:line="260" w:lineRule="auto"/>
              <w:rPr>
                <w:rFonts w:ascii="Arial"/>
                <w:sz w:val="21"/>
              </w:rPr>
            </w:pPr>
          </w:p>
          <w:p w14:paraId="592AB7BB">
            <w:pPr>
              <w:spacing w:line="260" w:lineRule="auto"/>
              <w:rPr>
                <w:rFonts w:ascii="Arial"/>
                <w:sz w:val="21"/>
              </w:rPr>
            </w:pPr>
          </w:p>
          <w:p w14:paraId="26EB3FFA">
            <w:pPr>
              <w:pStyle w:val="8"/>
              <w:spacing w:before="58"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438EFCFE">
            <w:pPr>
              <w:spacing w:line="267" w:lineRule="auto"/>
              <w:rPr>
                <w:rFonts w:ascii="Arial"/>
                <w:sz w:val="21"/>
              </w:rPr>
            </w:pPr>
          </w:p>
          <w:p w14:paraId="6D60F68E">
            <w:pPr>
              <w:spacing w:line="267" w:lineRule="auto"/>
              <w:rPr>
                <w:rFonts w:ascii="Arial"/>
                <w:sz w:val="21"/>
              </w:rPr>
            </w:pPr>
          </w:p>
          <w:p w14:paraId="4C91220E">
            <w:pPr>
              <w:spacing w:line="267" w:lineRule="auto"/>
              <w:rPr>
                <w:rFonts w:ascii="Arial"/>
                <w:sz w:val="21"/>
              </w:rPr>
            </w:pPr>
          </w:p>
          <w:p w14:paraId="2A4EAA00">
            <w:pPr>
              <w:spacing w:line="267" w:lineRule="auto"/>
              <w:rPr>
                <w:rFonts w:ascii="Arial"/>
                <w:sz w:val="21"/>
              </w:rPr>
            </w:pPr>
          </w:p>
          <w:p w14:paraId="29740804">
            <w:pPr>
              <w:spacing w:line="268" w:lineRule="auto"/>
              <w:rPr>
                <w:rFonts w:ascii="Arial"/>
                <w:sz w:val="21"/>
              </w:rPr>
            </w:pPr>
          </w:p>
          <w:p w14:paraId="26BDFE73">
            <w:pPr>
              <w:pStyle w:val="8"/>
              <w:spacing w:before="59" w:line="224"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5AAEC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3" w:hRule="atLeast"/>
        </w:trPr>
        <w:tc>
          <w:tcPr>
            <w:tcW w:w="626" w:type="dxa"/>
            <w:vAlign w:val="top"/>
          </w:tcPr>
          <w:p w14:paraId="69F3013E">
            <w:pPr>
              <w:spacing w:line="267" w:lineRule="auto"/>
              <w:rPr>
                <w:rFonts w:ascii="Arial"/>
                <w:sz w:val="21"/>
              </w:rPr>
            </w:pPr>
          </w:p>
          <w:p w14:paraId="4BC3D4FF">
            <w:pPr>
              <w:spacing w:line="267" w:lineRule="auto"/>
              <w:rPr>
                <w:rFonts w:ascii="Arial"/>
                <w:sz w:val="21"/>
              </w:rPr>
            </w:pPr>
          </w:p>
          <w:p w14:paraId="5AF838A8">
            <w:pPr>
              <w:spacing w:line="267" w:lineRule="auto"/>
              <w:rPr>
                <w:rFonts w:ascii="Arial"/>
                <w:sz w:val="21"/>
              </w:rPr>
            </w:pPr>
          </w:p>
          <w:p w14:paraId="1F3CC4A5">
            <w:pPr>
              <w:spacing w:line="268" w:lineRule="auto"/>
              <w:rPr>
                <w:rFonts w:ascii="Arial"/>
                <w:sz w:val="21"/>
              </w:rPr>
            </w:pPr>
          </w:p>
          <w:p w14:paraId="538A7BC5">
            <w:pPr>
              <w:spacing w:line="268" w:lineRule="auto"/>
              <w:rPr>
                <w:rFonts w:ascii="Arial"/>
                <w:sz w:val="21"/>
              </w:rPr>
            </w:pPr>
          </w:p>
          <w:p w14:paraId="2DB3B7FF">
            <w:pPr>
              <w:spacing w:line="268" w:lineRule="auto"/>
              <w:rPr>
                <w:rFonts w:ascii="Arial"/>
                <w:sz w:val="21"/>
              </w:rPr>
            </w:pPr>
          </w:p>
          <w:p w14:paraId="0B153CC3">
            <w:pPr>
              <w:pStyle w:val="8"/>
              <w:spacing w:before="59" w:line="183" w:lineRule="auto"/>
              <w:ind w:left="239"/>
            </w:pPr>
            <w:r>
              <w:rPr>
                <w:spacing w:val="-5"/>
              </w:rPr>
              <w:t>20</w:t>
            </w:r>
          </w:p>
        </w:tc>
        <w:tc>
          <w:tcPr>
            <w:tcW w:w="1110" w:type="dxa"/>
            <w:vAlign w:val="top"/>
          </w:tcPr>
          <w:p w14:paraId="129DC26B">
            <w:pPr>
              <w:spacing w:line="377" w:lineRule="auto"/>
              <w:rPr>
                <w:rFonts w:ascii="Arial"/>
                <w:sz w:val="21"/>
              </w:rPr>
            </w:pPr>
          </w:p>
          <w:p w14:paraId="47A30214">
            <w:pPr>
              <w:pStyle w:val="8"/>
              <w:spacing w:before="59" w:line="244" w:lineRule="auto"/>
              <w:ind w:left="114" w:right="108"/>
              <w:jc w:val="both"/>
            </w:pPr>
            <w:r>
              <w:rPr>
                <w:spacing w:val="-4"/>
              </w:rPr>
              <w:t>对违反航道</w:t>
            </w:r>
            <w:r>
              <w:t xml:space="preserve"> </w:t>
            </w:r>
            <w:r>
              <w:rPr>
                <w:spacing w:val="-4"/>
              </w:rPr>
              <w:t>通航条件影</w:t>
            </w:r>
            <w:r>
              <w:t xml:space="preserve"> </w:t>
            </w:r>
            <w:r>
              <w:rPr>
                <w:spacing w:val="-4"/>
              </w:rPr>
              <w:t>响评价规定</w:t>
            </w:r>
            <w:r>
              <w:t xml:space="preserve"> </w:t>
            </w:r>
            <w:r>
              <w:rPr>
                <w:spacing w:val="-4"/>
              </w:rPr>
              <w:t>建成的项目</w:t>
            </w:r>
            <w:r>
              <w:t xml:space="preserve"> </w:t>
            </w:r>
            <w:r>
              <w:rPr>
                <w:spacing w:val="-4"/>
              </w:rPr>
              <w:t>导致航道通</w:t>
            </w:r>
            <w:r>
              <w:t xml:space="preserve"> </w:t>
            </w:r>
            <w:r>
              <w:rPr>
                <w:spacing w:val="-4"/>
              </w:rPr>
              <w:t>航条件严重</w:t>
            </w:r>
            <w:r>
              <w:t xml:space="preserve"> </w:t>
            </w:r>
            <w:r>
              <w:rPr>
                <w:spacing w:val="-4"/>
              </w:rPr>
              <w:t>下降，逾期</w:t>
            </w:r>
            <w:r>
              <w:t xml:space="preserve"> </w:t>
            </w:r>
            <w:r>
              <w:rPr>
                <w:spacing w:val="-4"/>
              </w:rPr>
              <w:t>未采取补救</w:t>
            </w:r>
            <w:r>
              <w:t xml:space="preserve"> </w:t>
            </w:r>
            <w:r>
              <w:rPr>
                <w:spacing w:val="-4"/>
              </w:rPr>
              <w:t>措施或者拆</w:t>
            </w:r>
            <w:r>
              <w:t xml:space="preserve"> </w:t>
            </w:r>
            <w:r>
              <w:rPr>
                <w:spacing w:val="-4"/>
              </w:rPr>
              <w:t>除等行为的</w:t>
            </w:r>
            <w:r>
              <w:t xml:space="preserve"> </w:t>
            </w:r>
            <w:r>
              <w:rPr>
                <w:spacing w:val="-4"/>
              </w:rPr>
              <w:t>行政强制</w:t>
            </w:r>
          </w:p>
        </w:tc>
        <w:tc>
          <w:tcPr>
            <w:tcW w:w="1111" w:type="dxa"/>
            <w:vAlign w:val="top"/>
          </w:tcPr>
          <w:p w14:paraId="1DDAB85D">
            <w:pPr>
              <w:spacing w:line="262" w:lineRule="auto"/>
              <w:rPr>
                <w:rFonts w:ascii="Arial"/>
                <w:sz w:val="21"/>
              </w:rPr>
            </w:pPr>
          </w:p>
          <w:p w14:paraId="4D89B85B">
            <w:pPr>
              <w:spacing w:line="262" w:lineRule="auto"/>
              <w:rPr>
                <w:rFonts w:ascii="Arial"/>
                <w:sz w:val="21"/>
              </w:rPr>
            </w:pPr>
          </w:p>
          <w:p w14:paraId="24D68700">
            <w:pPr>
              <w:spacing w:line="262" w:lineRule="auto"/>
              <w:rPr>
                <w:rFonts w:ascii="Arial"/>
                <w:sz w:val="21"/>
              </w:rPr>
            </w:pPr>
          </w:p>
          <w:p w14:paraId="52CE5CD3">
            <w:pPr>
              <w:spacing w:line="262" w:lineRule="auto"/>
              <w:rPr>
                <w:rFonts w:ascii="Arial"/>
                <w:sz w:val="21"/>
              </w:rPr>
            </w:pPr>
          </w:p>
          <w:p w14:paraId="18003EF5">
            <w:pPr>
              <w:spacing w:line="262" w:lineRule="auto"/>
              <w:rPr>
                <w:rFonts w:ascii="Arial"/>
                <w:sz w:val="21"/>
              </w:rPr>
            </w:pPr>
          </w:p>
          <w:p w14:paraId="7B4E094D">
            <w:pPr>
              <w:spacing w:line="262" w:lineRule="auto"/>
              <w:rPr>
                <w:rFonts w:ascii="Arial"/>
                <w:sz w:val="21"/>
              </w:rPr>
            </w:pPr>
          </w:p>
          <w:p w14:paraId="26CEA5DE">
            <w:pPr>
              <w:pStyle w:val="8"/>
              <w:spacing w:before="59" w:line="220" w:lineRule="auto"/>
              <w:ind w:left="8"/>
            </w:pPr>
            <w:r>
              <w:rPr>
                <w:spacing w:val="-4"/>
              </w:rPr>
              <w:t>行政强制</w:t>
            </w:r>
          </w:p>
        </w:tc>
        <w:tc>
          <w:tcPr>
            <w:tcW w:w="8613" w:type="dxa"/>
            <w:vAlign w:val="top"/>
          </w:tcPr>
          <w:p w14:paraId="6C56BDF2">
            <w:pPr>
              <w:pStyle w:val="8"/>
              <w:spacing w:before="201" w:line="219" w:lineRule="auto"/>
              <w:ind w:left="465"/>
            </w:pPr>
            <w:r>
              <w:rPr>
                <w:b/>
                <w:bCs/>
                <w:spacing w:val="-6"/>
              </w:rPr>
              <w:t>《中华人民共和国航道法》</w:t>
            </w:r>
          </w:p>
          <w:p w14:paraId="66C7395A">
            <w:pPr>
              <w:pStyle w:val="8"/>
              <w:spacing w:before="25" w:line="233" w:lineRule="auto"/>
              <w:ind w:left="116" w:right="103" w:firstLine="343"/>
            </w:pPr>
            <w:r>
              <w:rPr>
                <w:spacing w:val="-1"/>
              </w:rPr>
              <w:t>第二十八条第二款、第三款  建设单位报送的航道通航条件影响评价材料不符</w:t>
            </w:r>
            <w:r>
              <w:rPr>
                <w:spacing w:val="-2"/>
              </w:rPr>
              <w:t>合本法规定的，可以进行</w:t>
            </w:r>
            <w:r>
              <w:t xml:space="preserve"> </w:t>
            </w:r>
            <w:r>
              <w:rPr>
                <w:spacing w:val="-4"/>
              </w:rPr>
              <w:t>补充或者修改，重新报送审核部门审核。</w:t>
            </w:r>
          </w:p>
          <w:p w14:paraId="5D0616F0">
            <w:pPr>
              <w:pStyle w:val="8"/>
              <w:spacing w:before="26" w:line="237" w:lineRule="auto"/>
              <w:ind w:left="118" w:right="105" w:firstLine="343"/>
              <w:jc w:val="both"/>
            </w:pPr>
            <w:r>
              <w:rPr>
                <w:spacing w:val="3"/>
              </w:rPr>
              <w:t>未进行航道通航条件影响评价或者经审核部门审核认为建设项目不符</w:t>
            </w:r>
            <w:r>
              <w:rPr>
                <w:spacing w:val="2"/>
              </w:rPr>
              <w:t>合本法规定的，建设单位不得建</w:t>
            </w:r>
            <w:r>
              <w:t xml:space="preserve"> </w:t>
            </w:r>
            <w:r>
              <w:rPr>
                <w:spacing w:val="-2"/>
              </w:rPr>
              <w:t>设。政府投资项目未进行航道通航条件影响评价或者经审核部门审核认为建设项目不符合本法规定的，负责</w:t>
            </w:r>
            <w:r>
              <w:rPr>
                <w:spacing w:val="16"/>
              </w:rPr>
              <w:t xml:space="preserve"> </w:t>
            </w:r>
            <w:r>
              <w:rPr>
                <w:spacing w:val="-5"/>
              </w:rPr>
              <w:t>建设项目审批的部门不予批准。</w:t>
            </w:r>
          </w:p>
          <w:p w14:paraId="5D2A4604">
            <w:pPr>
              <w:pStyle w:val="8"/>
              <w:spacing w:before="23"/>
              <w:ind w:left="116" w:right="103" w:firstLine="343"/>
              <w:jc w:val="both"/>
            </w:pPr>
            <w:r>
              <w:rPr>
                <w:spacing w:val="-3"/>
              </w:rPr>
              <w:t>第三十九条第三款   违反航道通航条件影响评价的规定建成的项目导致航道通航条件严重</w:t>
            </w:r>
            <w:r>
              <w:rPr>
                <w:spacing w:val="-4"/>
              </w:rPr>
              <w:t>下降的，由前</w:t>
            </w:r>
            <w:r>
              <w:t xml:space="preserve"> </w:t>
            </w:r>
            <w:r>
              <w:rPr>
                <w:spacing w:val="-2"/>
              </w:rPr>
              <w:t>两款规定的交通运输主管部门或者航道管理机构责令限期采取补救措施或者拆除；逾期未采取补救措施或者</w:t>
            </w:r>
            <w:r>
              <w:rPr>
                <w:spacing w:val="18"/>
              </w:rPr>
              <w:t xml:space="preserve"> </w:t>
            </w:r>
            <w:r>
              <w:rPr>
                <w:spacing w:val="-2"/>
              </w:rPr>
              <w:t>拆除的，由交通运输主管部门或者航道管理机构代为采取补救措施或者依法组织拆除，所需费用由建设单位</w:t>
            </w:r>
            <w:r>
              <w:rPr>
                <w:spacing w:val="18"/>
              </w:rPr>
              <w:t xml:space="preserve"> </w:t>
            </w:r>
            <w:r>
              <w:rPr>
                <w:spacing w:val="-4"/>
              </w:rPr>
              <w:t>承担。</w:t>
            </w:r>
          </w:p>
          <w:p w14:paraId="53ED1BFF">
            <w:pPr>
              <w:pStyle w:val="8"/>
              <w:spacing w:before="26" w:line="237" w:lineRule="auto"/>
              <w:ind w:left="116" w:right="105" w:firstLine="343"/>
              <w:jc w:val="both"/>
            </w:pPr>
            <w:r>
              <w:rPr>
                <w:spacing w:val="-1"/>
              </w:rPr>
              <w:t>第四十条  与航道有关的工程的建设单位违反本法规定，未及时清除影响</w:t>
            </w:r>
            <w:r>
              <w:rPr>
                <w:spacing w:val="-2"/>
              </w:rPr>
              <w:t>航道通航条件的临时设施及其</w:t>
            </w:r>
            <w:r>
              <w:t xml:space="preserve"> </w:t>
            </w:r>
            <w:r>
              <w:rPr>
                <w:spacing w:val="-2"/>
              </w:rPr>
              <w:t>残留物的，由负责航道管理的部门责令限期清除，处二万元以下的罚款；逾期仍未清除的，处三万元以上二</w:t>
            </w:r>
            <w:r>
              <w:rPr>
                <w:spacing w:val="18"/>
              </w:rPr>
              <w:t xml:space="preserve"> </w:t>
            </w:r>
            <w:r>
              <w:rPr>
                <w:spacing w:val="-4"/>
              </w:rPr>
              <w:t>十万元以下的罚款，并由负责航道管理的部门依法组织清除，所需费用由建设单位承</w:t>
            </w:r>
            <w:r>
              <w:rPr>
                <w:spacing w:val="-5"/>
              </w:rPr>
              <w:t>担。</w:t>
            </w:r>
          </w:p>
        </w:tc>
        <w:tc>
          <w:tcPr>
            <w:tcW w:w="1020" w:type="dxa"/>
            <w:vAlign w:val="top"/>
          </w:tcPr>
          <w:p w14:paraId="35B92416">
            <w:pPr>
              <w:spacing w:line="241" w:lineRule="auto"/>
              <w:rPr>
                <w:rFonts w:ascii="Arial"/>
                <w:sz w:val="21"/>
              </w:rPr>
            </w:pPr>
          </w:p>
          <w:p w14:paraId="594A0935">
            <w:pPr>
              <w:spacing w:line="241" w:lineRule="auto"/>
              <w:rPr>
                <w:rFonts w:ascii="Arial"/>
                <w:sz w:val="21"/>
              </w:rPr>
            </w:pPr>
          </w:p>
          <w:p w14:paraId="7795649B">
            <w:pPr>
              <w:spacing w:line="241" w:lineRule="auto"/>
              <w:rPr>
                <w:rFonts w:ascii="Arial"/>
                <w:sz w:val="21"/>
              </w:rPr>
            </w:pPr>
          </w:p>
          <w:p w14:paraId="23F66780">
            <w:pPr>
              <w:spacing w:line="241" w:lineRule="auto"/>
              <w:rPr>
                <w:rFonts w:ascii="Arial"/>
                <w:sz w:val="21"/>
              </w:rPr>
            </w:pPr>
          </w:p>
          <w:p w14:paraId="374A5960">
            <w:pPr>
              <w:spacing w:line="241" w:lineRule="auto"/>
              <w:rPr>
                <w:rFonts w:ascii="Arial"/>
                <w:sz w:val="21"/>
              </w:rPr>
            </w:pPr>
          </w:p>
          <w:p w14:paraId="7FC36F5E">
            <w:pPr>
              <w:spacing w:line="242" w:lineRule="auto"/>
              <w:rPr>
                <w:rFonts w:ascii="Arial"/>
                <w:sz w:val="21"/>
              </w:rPr>
            </w:pPr>
          </w:p>
          <w:p w14:paraId="14828CB8">
            <w:pPr>
              <w:pStyle w:val="8"/>
              <w:spacing w:before="59" w:line="253" w:lineRule="auto"/>
              <w:ind w:left="181" w:right="158" w:firstLine="2"/>
            </w:pPr>
            <w:r>
              <w:rPr>
                <w:spacing w:val="-12"/>
              </w:rPr>
              <w:t>交通运输</w:t>
            </w:r>
            <w:r>
              <w:t xml:space="preserve"> </w:t>
            </w:r>
            <w:r>
              <w:rPr>
                <w:spacing w:val="-12"/>
              </w:rPr>
              <w:t>主管部门</w:t>
            </w:r>
          </w:p>
        </w:tc>
        <w:tc>
          <w:tcPr>
            <w:tcW w:w="1416" w:type="dxa"/>
            <w:vAlign w:val="top"/>
          </w:tcPr>
          <w:p w14:paraId="352FD8A4">
            <w:pPr>
              <w:spacing w:line="262" w:lineRule="auto"/>
              <w:rPr>
                <w:rFonts w:ascii="Arial"/>
                <w:sz w:val="21"/>
              </w:rPr>
            </w:pPr>
          </w:p>
          <w:p w14:paraId="160F3733">
            <w:pPr>
              <w:spacing w:line="263" w:lineRule="auto"/>
              <w:rPr>
                <w:rFonts w:ascii="Arial"/>
                <w:sz w:val="21"/>
              </w:rPr>
            </w:pPr>
          </w:p>
          <w:p w14:paraId="074D5915">
            <w:pPr>
              <w:spacing w:line="263" w:lineRule="auto"/>
              <w:rPr>
                <w:rFonts w:ascii="Arial"/>
                <w:sz w:val="21"/>
              </w:rPr>
            </w:pPr>
          </w:p>
          <w:p w14:paraId="4714AC72">
            <w:pPr>
              <w:spacing w:line="263" w:lineRule="auto"/>
              <w:rPr>
                <w:rFonts w:ascii="Arial"/>
                <w:sz w:val="21"/>
              </w:rPr>
            </w:pPr>
          </w:p>
          <w:p w14:paraId="45285239">
            <w:pPr>
              <w:spacing w:line="263" w:lineRule="auto"/>
              <w:rPr>
                <w:rFonts w:ascii="Arial"/>
                <w:sz w:val="21"/>
              </w:rPr>
            </w:pPr>
          </w:p>
          <w:p w14:paraId="41E47F87">
            <w:pPr>
              <w:spacing w:line="263" w:lineRule="auto"/>
              <w:rPr>
                <w:rFonts w:ascii="Arial"/>
                <w:sz w:val="21"/>
              </w:rPr>
            </w:pPr>
          </w:p>
          <w:p w14:paraId="356936A3">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1D966F1E">
            <w:pPr>
              <w:spacing w:line="263" w:lineRule="auto"/>
              <w:rPr>
                <w:rFonts w:ascii="Arial"/>
                <w:sz w:val="21"/>
              </w:rPr>
            </w:pPr>
          </w:p>
          <w:p w14:paraId="1C459A07">
            <w:pPr>
              <w:spacing w:line="264" w:lineRule="auto"/>
              <w:rPr>
                <w:rFonts w:ascii="Arial"/>
                <w:sz w:val="21"/>
              </w:rPr>
            </w:pPr>
          </w:p>
          <w:p w14:paraId="5B1AD456">
            <w:pPr>
              <w:spacing w:line="264" w:lineRule="auto"/>
              <w:rPr>
                <w:rFonts w:ascii="Arial"/>
                <w:sz w:val="21"/>
              </w:rPr>
            </w:pPr>
          </w:p>
          <w:p w14:paraId="55E2D389">
            <w:pPr>
              <w:spacing w:line="264" w:lineRule="auto"/>
              <w:rPr>
                <w:rFonts w:ascii="Arial"/>
                <w:sz w:val="21"/>
              </w:rPr>
            </w:pPr>
          </w:p>
          <w:p w14:paraId="15124DDB">
            <w:pPr>
              <w:spacing w:line="264" w:lineRule="auto"/>
              <w:rPr>
                <w:rFonts w:ascii="Arial"/>
                <w:sz w:val="21"/>
              </w:rPr>
            </w:pPr>
          </w:p>
          <w:p w14:paraId="55E85B94">
            <w:pPr>
              <w:pStyle w:val="8"/>
              <w:spacing w:before="59" w:line="258" w:lineRule="auto"/>
              <w:ind w:left="77" w:right="64" w:firstLine="21"/>
              <w:jc w:val="both"/>
              <w:rPr>
                <w:rFonts w:hint="eastAsia" w:eastAsia="宋体"/>
                <w:lang w:eastAsia="zh-CN"/>
              </w:rPr>
            </w:pPr>
            <w:r>
              <w:rPr>
                <w:rFonts w:hint="eastAsia"/>
                <w:spacing w:val="-10"/>
                <w:lang w:eastAsia="zh-CN"/>
              </w:rPr>
              <w:t>津市市交通运输综合行政执法大队</w:t>
            </w:r>
          </w:p>
        </w:tc>
      </w:tr>
      <w:tr w14:paraId="00B86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7" w:hRule="atLeast"/>
        </w:trPr>
        <w:tc>
          <w:tcPr>
            <w:tcW w:w="626" w:type="dxa"/>
            <w:vAlign w:val="top"/>
          </w:tcPr>
          <w:p w14:paraId="4C6CECB1">
            <w:pPr>
              <w:spacing w:line="291" w:lineRule="auto"/>
              <w:rPr>
                <w:rFonts w:ascii="Arial"/>
                <w:sz w:val="21"/>
              </w:rPr>
            </w:pPr>
          </w:p>
          <w:p w14:paraId="6BC87172">
            <w:pPr>
              <w:spacing w:line="291" w:lineRule="auto"/>
              <w:rPr>
                <w:rFonts w:ascii="Arial"/>
                <w:sz w:val="21"/>
              </w:rPr>
            </w:pPr>
          </w:p>
          <w:p w14:paraId="11D76E36">
            <w:pPr>
              <w:spacing w:line="291" w:lineRule="auto"/>
              <w:rPr>
                <w:rFonts w:ascii="Arial"/>
                <w:sz w:val="21"/>
              </w:rPr>
            </w:pPr>
          </w:p>
          <w:p w14:paraId="2E226894">
            <w:pPr>
              <w:pStyle w:val="8"/>
              <w:spacing w:before="58" w:line="184" w:lineRule="auto"/>
              <w:ind w:left="232"/>
            </w:pPr>
            <w:r>
              <w:rPr>
                <w:spacing w:val="-5"/>
              </w:rPr>
              <w:t>21</w:t>
            </w:r>
          </w:p>
        </w:tc>
        <w:tc>
          <w:tcPr>
            <w:tcW w:w="1110" w:type="dxa"/>
            <w:vAlign w:val="top"/>
          </w:tcPr>
          <w:p w14:paraId="0D862F61">
            <w:pPr>
              <w:spacing w:line="272" w:lineRule="auto"/>
              <w:rPr>
                <w:rFonts w:ascii="Arial"/>
                <w:sz w:val="21"/>
              </w:rPr>
            </w:pPr>
          </w:p>
          <w:p w14:paraId="3C8268BF">
            <w:pPr>
              <w:pStyle w:val="8"/>
              <w:spacing w:before="58" w:line="242" w:lineRule="auto"/>
              <w:ind w:left="114" w:right="108"/>
            </w:pPr>
            <w:r>
              <w:rPr>
                <w:spacing w:val="-4"/>
              </w:rPr>
              <w:t>对在航道和</w:t>
            </w:r>
            <w:r>
              <w:t xml:space="preserve"> </w:t>
            </w:r>
            <w:r>
              <w:rPr>
                <w:spacing w:val="-4"/>
              </w:rPr>
              <w:t>航道保护范</w:t>
            </w:r>
            <w:r>
              <w:t xml:space="preserve"> </w:t>
            </w:r>
            <w:r>
              <w:rPr>
                <w:spacing w:val="-4"/>
              </w:rPr>
              <w:t>围内采砂，</w:t>
            </w:r>
            <w:r>
              <w:t xml:space="preserve"> </w:t>
            </w:r>
            <w:r>
              <w:rPr>
                <w:spacing w:val="-4"/>
              </w:rPr>
              <w:t>损害航道通</w:t>
            </w:r>
            <w:r>
              <w:t xml:space="preserve"> </w:t>
            </w:r>
            <w:r>
              <w:rPr>
                <w:spacing w:val="-4"/>
              </w:rPr>
              <w:t>航条件的行</w:t>
            </w:r>
            <w:r>
              <w:t xml:space="preserve"> </w:t>
            </w:r>
            <w:r>
              <w:rPr>
                <w:spacing w:val="-4"/>
              </w:rPr>
              <w:t>政强制</w:t>
            </w:r>
          </w:p>
        </w:tc>
        <w:tc>
          <w:tcPr>
            <w:tcW w:w="1111" w:type="dxa"/>
            <w:vAlign w:val="top"/>
          </w:tcPr>
          <w:p w14:paraId="02C4B284">
            <w:pPr>
              <w:spacing w:line="285" w:lineRule="auto"/>
              <w:rPr>
                <w:rFonts w:ascii="Arial"/>
                <w:sz w:val="21"/>
              </w:rPr>
            </w:pPr>
          </w:p>
          <w:p w14:paraId="3A1A9FB8">
            <w:pPr>
              <w:spacing w:line="285" w:lineRule="auto"/>
              <w:rPr>
                <w:rFonts w:ascii="Arial"/>
                <w:sz w:val="21"/>
              </w:rPr>
            </w:pPr>
          </w:p>
          <w:p w14:paraId="42D35D69">
            <w:pPr>
              <w:spacing w:line="285" w:lineRule="auto"/>
              <w:rPr>
                <w:rFonts w:ascii="Arial"/>
                <w:sz w:val="21"/>
              </w:rPr>
            </w:pPr>
          </w:p>
          <w:p w14:paraId="47F88E95">
            <w:pPr>
              <w:pStyle w:val="8"/>
              <w:spacing w:before="58" w:line="220" w:lineRule="auto"/>
              <w:ind w:left="8"/>
            </w:pPr>
            <w:r>
              <w:rPr>
                <w:spacing w:val="-4"/>
              </w:rPr>
              <w:t>行政强制</w:t>
            </w:r>
          </w:p>
        </w:tc>
        <w:tc>
          <w:tcPr>
            <w:tcW w:w="8613" w:type="dxa"/>
            <w:vAlign w:val="top"/>
          </w:tcPr>
          <w:p w14:paraId="62866A74">
            <w:pPr>
              <w:pStyle w:val="8"/>
              <w:spacing w:before="213" w:line="219" w:lineRule="auto"/>
              <w:ind w:left="465"/>
            </w:pPr>
            <w:r>
              <w:rPr>
                <w:b/>
                <w:bCs/>
                <w:spacing w:val="-6"/>
              </w:rPr>
              <w:t>《中华人民共和国航道法》</w:t>
            </w:r>
          </w:p>
          <w:p w14:paraId="3E879578">
            <w:pPr>
              <w:pStyle w:val="8"/>
              <w:spacing w:before="25" w:line="233" w:lineRule="auto"/>
              <w:ind w:left="116" w:right="105" w:firstLine="343"/>
            </w:pPr>
            <w:r>
              <w:rPr>
                <w:spacing w:val="-1"/>
              </w:rPr>
              <w:t>第三十六条  在河道内采砂，应当依照有关法律、行政法规的规定进行。</w:t>
            </w:r>
            <w:r>
              <w:rPr>
                <w:spacing w:val="-2"/>
              </w:rPr>
              <w:t>禁止在河道内依法划定的砂石</w:t>
            </w:r>
            <w:r>
              <w:t xml:space="preserve"> </w:t>
            </w:r>
            <w:r>
              <w:rPr>
                <w:spacing w:val="-4"/>
              </w:rPr>
              <w:t>禁采区采砂、无证采砂、未按批准的范围和作业方式采砂等非法采砂行</w:t>
            </w:r>
            <w:r>
              <w:rPr>
                <w:spacing w:val="-5"/>
              </w:rPr>
              <w:t>为。</w:t>
            </w:r>
          </w:p>
          <w:p w14:paraId="181E9DCC">
            <w:pPr>
              <w:pStyle w:val="8"/>
              <w:spacing w:before="26" w:line="219" w:lineRule="auto"/>
              <w:ind w:left="459"/>
            </w:pPr>
            <w:r>
              <w:rPr>
                <w:spacing w:val="-4"/>
              </w:rPr>
              <w:t>在航道和航道保护范围内采砂，不得损害航道通航条件。</w:t>
            </w:r>
          </w:p>
          <w:p w14:paraId="03D6DB37">
            <w:pPr>
              <w:pStyle w:val="8"/>
              <w:spacing w:before="27" w:line="237" w:lineRule="auto"/>
              <w:ind w:left="120" w:right="105" w:firstLine="338"/>
            </w:pPr>
            <w:r>
              <w:rPr>
                <w:spacing w:val="-1"/>
              </w:rPr>
              <w:t>第四十三条第二款  违反本法规定，在航道和航道保护范围内采砂，损害</w:t>
            </w:r>
            <w:r>
              <w:rPr>
                <w:spacing w:val="-2"/>
              </w:rPr>
              <w:t>航道通航条件的，由负责航道</w:t>
            </w:r>
            <w:r>
              <w:t xml:space="preserve"> </w:t>
            </w:r>
            <w:r>
              <w:rPr>
                <w:spacing w:val="-2"/>
              </w:rPr>
              <w:t>管理的部门责令停止违法行为，没收违法所得，可以扣押或者没收非法采砂船舶，并处五万元以上三十万元</w:t>
            </w:r>
            <w:r>
              <w:rPr>
                <w:spacing w:val="14"/>
              </w:rPr>
              <w:t xml:space="preserve"> </w:t>
            </w:r>
            <w:r>
              <w:rPr>
                <w:spacing w:val="-5"/>
              </w:rPr>
              <w:t>以下罚款；造成损失的，依法承担赔偿责任。</w:t>
            </w:r>
          </w:p>
        </w:tc>
        <w:tc>
          <w:tcPr>
            <w:tcW w:w="1020" w:type="dxa"/>
            <w:vAlign w:val="top"/>
          </w:tcPr>
          <w:p w14:paraId="3D47DFDB">
            <w:pPr>
              <w:spacing w:line="246" w:lineRule="auto"/>
              <w:rPr>
                <w:rFonts w:ascii="Arial"/>
                <w:sz w:val="21"/>
              </w:rPr>
            </w:pPr>
          </w:p>
          <w:p w14:paraId="39F48A3F">
            <w:pPr>
              <w:spacing w:line="247" w:lineRule="auto"/>
              <w:rPr>
                <w:rFonts w:ascii="Arial"/>
                <w:sz w:val="21"/>
              </w:rPr>
            </w:pPr>
          </w:p>
          <w:p w14:paraId="55A50429">
            <w:pPr>
              <w:spacing w:line="247" w:lineRule="auto"/>
              <w:rPr>
                <w:rFonts w:ascii="Arial"/>
                <w:sz w:val="21"/>
              </w:rPr>
            </w:pPr>
          </w:p>
          <w:p w14:paraId="3C2FC8FF">
            <w:pPr>
              <w:pStyle w:val="8"/>
              <w:spacing w:before="58" w:line="243" w:lineRule="auto"/>
              <w:ind w:left="181" w:right="158" w:firstLine="2"/>
            </w:pPr>
            <w:r>
              <w:rPr>
                <w:spacing w:val="-12"/>
              </w:rPr>
              <w:t>交通运输</w:t>
            </w:r>
            <w:r>
              <w:t xml:space="preserve"> </w:t>
            </w:r>
            <w:r>
              <w:rPr>
                <w:spacing w:val="-12"/>
              </w:rPr>
              <w:t>主管部门</w:t>
            </w:r>
          </w:p>
        </w:tc>
        <w:tc>
          <w:tcPr>
            <w:tcW w:w="1416" w:type="dxa"/>
            <w:vAlign w:val="top"/>
          </w:tcPr>
          <w:p w14:paraId="641D6DCD">
            <w:pPr>
              <w:spacing w:line="287" w:lineRule="auto"/>
              <w:rPr>
                <w:rFonts w:ascii="Arial"/>
                <w:sz w:val="21"/>
              </w:rPr>
            </w:pPr>
          </w:p>
          <w:p w14:paraId="79597220">
            <w:pPr>
              <w:spacing w:line="287" w:lineRule="auto"/>
              <w:rPr>
                <w:rFonts w:ascii="Arial"/>
                <w:sz w:val="21"/>
              </w:rPr>
            </w:pPr>
          </w:p>
          <w:p w14:paraId="44EAFE24">
            <w:pPr>
              <w:spacing w:line="288" w:lineRule="auto"/>
              <w:rPr>
                <w:rFonts w:ascii="Arial"/>
                <w:sz w:val="21"/>
              </w:rPr>
            </w:pPr>
          </w:p>
          <w:p w14:paraId="3E70EB34">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4B9EB676">
            <w:pPr>
              <w:spacing w:line="315" w:lineRule="auto"/>
              <w:rPr>
                <w:rFonts w:ascii="Arial"/>
                <w:sz w:val="21"/>
              </w:rPr>
            </w:pPr>
          </w:p>
          <w:p w14:paraId="172B151F">
            <w:pPr>
              <w:spacing w:line="316" w:lineRule="auto"/>
              <w:rPr>
                <w:rFonts w:ascii="Arial"/>
                <w:sz w:val="21"/>
              </w:rPr>
            </w:pPr>
          </w:p>
          <w:p w14:paraId="07059651">
            <w:pPr>
              <w:pStyle w:val="8"/>
              <w:spacing w:before="58"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20EBA15E">
      <w:pPr>
        <w:pStyle w:val="2"/>
      </w:pPr>
    </w:p>
    <w:p w14:paraId="63D4524E">
      <w:pPr>
        <w:sectPr>
          <w:footerReference r:id="rId166" w:type="default"/>
          <w:pgSz w:w="16840" w:h="11906"/>
          <w:pgMar w:top="1012" w:right="957" w:bottom="967" w:left="957" w:header="0" w:footer="768" w:gutter="0"/>
          <w:cols w:space="720" w:num="1"/>
        </w:sectPr>
      </w:pPr>
    </w:p>
    <w:p w14:paraId="75BA3CC7">
      <w:pPr>
        <w:spacing w:line="121" w:lineRule="exact"/>
      </w:pPr>
    </w:p>
    <w:tbl>
      <w:tblPr>
        <w:tblStyle w:val="7"/>
        <w:tblW w:w="14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110"/>
        <w:gridCol w:w="1111"/>
        <w:gridCol w:w="8613"/>
        <w:gridCol w:w="1020"/>
        <w:gridCol w:w="1416"/>
        <w:gridCol w:w="1022"/>
      </w:tblGrid>
      <w:tr w14:paraId="31878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26" w:type="dxa"/>
            <w:vMerge w:val="restart"/>
            <w:tcBorders>
              <w:bottom w:val="nil"/>
            </w:tcBorders>
            <w:vAlign w:val="top"/>
          </w:tcPr>
          <w:p w14:paraId="6E387D6E">
            <w:pPr>
              <w:pStyle w:val="8"/>
              <w:spacing w:before="199" w:line="221" w:lineRule="auto"/>
              <w:ind w:left="138"/>
            </w:pPr>
            <w:r>
              <w:rPr>
                <w:b/>
                <w:bCs/>
                <w:spacing w:val="-6"/>
              </w:rPr>
              <w:t>序号</w:t>
            </w:r>
          </w:p>
        </w:tc>
        <w:tc>
          <w:tcPr>
            <w:tcW w:w="1110" w:type="dxa"/>
            <w:vMerge w:val="restart"/>
            <w:tcBorders>
              <w:bottom w:val="nil"/>
            </w:tcBorders>
            <w:vAlign w:val="top"/>
          </w:tcPr>
          <w:p w14:paraId="0C5629B1">
            <w:pPr>
              <w:pStyle w:val="8"/>
              <w:spacing w:before="200" w:line="220" w:lineRule="auto"/>
              <w:ind w:left="204"/>
            </w:pPr>
            <w:r>
              <w:rPr>
                <w:b/>
                <w:bCs/>
                <w:spacing w:val="-6"/>
              </w:rPr>
              <w:t>事项名称</w:t>
            </w:r>
          </w:p>
        </w:tc>
        <w:tc>
          <w:tcPr>
            <w:tcW w:w="1111" w:type="dxa"/>
            <w:vMerge w:val="restart"/>
            <w:tcBorders>
              <w:bottom w:val="nil"/>
            </w:tcBorders>
            <w:vAlign w:val="top"/>
          </w:tcPr>
          <w:p w14:paraId="34A277DD">
            <w:pPr>
              <w:pStyle w:val="8"/>
              <w:spacing w:before="200" w:line="219" w:lineRule="auto"/>
              <w:ind w:left="205"/>
            </w:pPr>
            <w:r>
              <w:rPr>
                <w:b/>
                <w:bCs/>
                <w:spacing w:val="-6"/>
              </w:rPr>
              <w:t>职权类型</w:t>
            </w:r>
          </w:p>
        </w:tc>
        <w:tc>
          <w:tcPr>
            <w:tcW w:w="8613" w:type="dxa"/>
            <w:vMerge w:val="restart"/>
            <w:tcBorders>
              <w:bottom w:val="nil"/>
            </w:tcBorders>
            <w:vAlign w:val="top"/>
          </w:tcPr>
          <w:p w14:paraId="4BB49F44">
            <w:pPr>
              <w:pStyle w:val="8"/>
              <w:spacing w:before="199" w:line="219" w:lineRule="auto"/>
              <w:ind w:left="3963"/>
            </w:pPr>
            <w:r>
              <w:rPr>
                <w:b/>
                <w:bCs/>
                <w:spacing w:val="-8"/>
              </w:rPr>
              <w:t>实施依据</w:t>
            </w:r>
          </w:p>
        </w:tc>
        <w:tc>
          <w:tcPr>
            <w:tcW w:w="3458" w:type="dxa"/>
            <w:gridSpan w:val="3"/>
            <w:vAlign w:val="top"/>
          </w:tcPr>
          <w:p w14:paraId="6E7C67F9">
            <w:pPr>
              <w:pStyle w:val="8"/>
              <w:spacing w:before="38" w:line="198" w:lineRule="auto"/>
              <w:ind w:left="1376"/>
            </w:pPr>
            <w:r>
              <w:rPr>
                <w:b/>
                <w:bCs/>
                <w:spacing w:val="-5"/>
              </w:rPr>
              <w:t>实施主体</w:t>
            </w:r>
          </w:p>
        </w:tc>
      </w:tr>
      <w:tr w14:paraId="72837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26" w:type="dxa"/>
            <w:vMerge w:val="continue"/>
            <w:tcBorders>
              <w:top w:val="nil"/>
            </w:tcBorders>
            <w:vAlign w:val="top"/>
          </w:tcPr>
          <w:p w14:paraId="411F1AAC">
            <w:pPr>
              <w:rPr>
                <w:rFonts w:ascii="Arial"/>
                <w:sz w:val="21"/>
              </w:rPr>
            </w:pPr>
          </w:p>
        </w:tc>
        <w:tc>
          <w:tcPr>
            <w:tcW w:w="1110" w:type="dxa"/>
            <w:vMerge w:val="continue"/>
            <w:tcBorders>
              <w:top w:val="nil"/>
            </w:tcBorders>
            <w:vAlign w:val="top"/>
          </w:tcPr>
          <w:p w14:paraId="42044276">
            <w:pPr>
              <w:rPr>
                <w:rFonts w:ascii="Arial"/>
                <w:sz w:val="21"/>
              </w:rPr>
            </w:pPr>
          </w:p>
        </w:tc>
        <w:tc>
          <w:tcPr>
            <w:tcW w:w="1111" w:type="dxa"/>
            <w:vMerge w:val="continue"/>
            <w:tcBorders>
              <w:top w:val="nil"/>
            </w:tcBorders>
            <w:vAlign w:val="top"/>
          </w:tcPr>
          <w:p w14:paraId="6DE6987F">
            <w:pPr>
              <w:rPr>
                <w:rFonts w:ascii="Arial"/>
                <w:sz w:val="21"/>
              </w:rPr>
            </w:pPr>
          </w:p>
        </w:tc>
        <w:tc>
          <w:tcPr>
            <w:tcW w:w="8613" w:type="dxa"/>
            <w:vMerge w:val="continue"/>
            <w:tcBorders>
              <w:top w:val="nil"/>
            </w:tcBorders>
            <w:vAlign w:val="top"/>
          </w:tcPr>
          <w:p w14:paraId="1C9DA5D0">
            <w:pPr>
              <w:rPr>
                <w:rFonts w:ascii="Arial"/>
                <w:sz w:val="21"/>
              </w:rPr>
            </w:pPr>
          </w:p>
        </w:tc>
        <w:tc>
          <w:tcPr>
            <w:tcW w:w="1020" w:type="dxa"/>
            <w:vAlign w:val="top"/>
          </w:tcPr>
          <w:p w14:paraId="427550A3">
            <w:pPr>
              <w:pStyle w:val="8"/>
              <w:spacing w:before="75" w:line="219" w:lineRule="auto"/>
              <w:ind w:left="161"/>
            </w:pPr>
            <w:r>
              <w:rPr>
                <w:b/>
                <w:bCs/>
                <w:spacing w:val="-5"/>
              </w:rPr>
              <w:t>责任主体</w:t>
            </w:r>
          </w:p>
        </w:tc>
        <w:tc>
          <w:tcPr>
            <w:tcW w:w="1416" w:type="dxa"/>
            <w:vAlign w:val="top"/>
          </w:tcPr>
          <w:p w14:paraId="1CF70692">
            <w:pPr>
              <w:pStyle w:val="8"/>
              <w:spacing w:before="75" w:line="219" w:lineRule="auto"/>
              <w:ind w:left="172"/>
            </w:pPr>
            <w:r>
              <w:rPr>
                <w:b/>
                <w:bCs/>
                <w:spacing w:val="-3"/>
              </w:rPr>
              <w:t>第一责任层级</w:t>
            </w:r>
          </w:p>
        </w:tc>
        <w:tc>
          <w:tcPr>
            <w:tcW w:w="1022" w:type="dxa"/>
            <w:vAlign w:val="top"/>
          </w:tcPr>
          <w:p w14:paraId="4562FCF9">
            <w:pPr>
              <w:pStyle w:val="8"/>
              <w:spacing w:before="75" w:line="219" w:lineRule="auto"/>
              <w:ind w:left="155"/>
            </w:pPr>
            <w:r>
              <w:rPr>
                <w:b/>
                <w:bCs/>
                <w:spacing w:val="-4"/>
              </w:rPr>
              <w:t>承办机构</w:t>
            </w:r>
          </w:p>
        </w:tc>
      </w:tr>
      <w:tr w14:paraId="5DCF1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3" w:hRule="atLeast"/>
        </w:trPr>
        <w:tc>
          <w:tcPr>
            <w:tcW w:w="626" w:type="dxa"/>
            <w:vAlign w:val="top"/>
          </w:tcPr>
          <w:p w14:paraId="216F4F76">
            <w:pPr>
              <w:spacing w:line="262" w:lineRule="auto"/>
              <w:rPr>
                <w:rFonts w:ascii="Arial"/>
                <w:sz w:val="21"/>
              </w:rPr>
            </w:pPr>
          </w:p>
          <w:p w14:paraId="75AF269D">
            <w:pPr>
              <w:spacing w:line="262" w:lineRule="auto"/>
              <w:rPr>
                <w:rFonts w:ascii="Arial"/>
                <w:sz w:val="21"/>
              </w:rPr>
            </w:pPr>
          </w:p>
          <w:p w14:paraId="6FFEF38D">
            <w:pPr>
              <w:spacing w:line="262" w:lineRule="auto"/>
              <w:rPr>
                <w:rFonts w:ascii="Arial"/>
                <w:sz w:val="21"/>
              </w:rPr>
            </w:pPr>
          </w:p>
          <w:p w14:paraId="52AE4EC8">
            <w:pPr>
              <w:spacing w:line="263" w:lineRule="auto"/>
              <w:rPr>
                <w:rFonts w:ascii="Arial"/>
                <w:sz w:val="21"/>
              </w:rPr>
            </w:pPr>
          </w:p>
          <w:p w14:paraId="543CB4FD">
            <w:pPr>
              <w:pStyle w:val="8"/>
              <w:spacing w:before="58" w:line="183" w:lineRule="auto"/>
              <w:ind w:left="232"/>
            </w:pPr>
            <w:r>
              <w:rPr>
                <w:spacing w:val="-5"/>
              </w:rPr>
              <w:t>22</w:t>
            </w:r>
          </w:p>
        </w:tc>
        <w:tc>
          <w:tcPr>
            <w:tcW w:w="1110" w:type="dxa"/>
            <w:vAlign w:val="top"/>
          </w:tcPr>
          <w:p w14:paraId="05997712">
            <w:pPr>
              <w:pStyle w:val="8"/>
              <w:spacing w:before="152" w:line="243" w:lineRule="auto"/>
              <w:ind w:left="114" w:right="108"/>
              <w:jc w:val="both"/>
            </w:pPr>
            <w:r>
              <w:rPr>
                <w:spacing w:val="-4"/>
              </w:rPr>
              <w:t>对湘江航道</w:t>
            </w:r>
            <w:r>
              <w:t xml:space="preserve"> </w:t>
            </w:r>
            <w:r>
              <w:rPr>
                <w:spacing w:val="-4"/>
              </w:rPr>
              <w:t>上航行的船</w:t>
            </w:r>
            <w:r>
              <w:t xml:space="preserve"> </w:t>
            </w:r>
            <w:r>
              <w:rPr>
                <w:spacing w:val="-4"/>
              </w:rPr>
              <w:t>舶超过航道</w:t>
            </w:r>
            <w:r>
              <w:t xml:space="preserve"> </w:t>
            </w:r>
            <w:r>
              <w:rPr>
                <w:spacing w:val="-4"/>
              </w:rPr>
              <w:t>等级限制或</w:t>
            </w:r>
            <w:r>
              <w:t xml:space="preserve"> </w:t>
            </w:r>
            <w:r>
              <w:rPr>
                <w:spacing w:val="-4"/>
              </w:rPr>
              <w:t>者船舶吃水</w:t>
            </w:r>
            <w:r>
              <w:t xml:space="preserve"> </w:t>
            </w:r>
            <w:r>
              <w:rPr>
                <w:spacing w:val="-4"/>
              </w:rPr>
              <w:t>高于航道实</w:t>
            </w:r>
            <w:r>
              <w:t xml:space="preserve"> </w:t>
            </w:r>
            <w:r>
              <w:rPr>
                <w:spacing w:val="-4"/>
              </w:rPr>
              <w:t>际水深使用</w:t>
            </w:r>
            <w:r>
              <w:t xml:space="preserve"> </w:t>
            </w:r>
            <w:r>
              <w:rPr>
                <w:spacing w:val="-4"/>
              </w:rPr>
              <w:t>航道的行政</w:t>
            </w:r>
            <w:r>
              <w:t xml:space="preserve"> </w:t>
            </w:r>
            <w:r>
              <w:rPr>
                <w:spacing w:val="-4"/>
              </w:rPr>
              <w:t>强制</w:t>
            </w:r>
          </w:p>
        </w:tc>
        <w:tc>
          <w:tcPr>
            <w:tcW w:w="1111" w:type="dxa"/>
            <w:vAlign w:val="top"/>
          </w:tcPr>
          <w:p w14:paraId="7167F3DE">
            <w:pPr>
              <w:spacing w:line="257" w:lineRule="auto"/>
              <w:rPr>
                <w:rFonts w:ascii="Arial"/>
                <w:sz w:val="21"/>
              </w:rPr>
            </w:pPr>
          </w:p>
          <w:p w14:paraId="43BA2427">
            <w:pPr>
              <w:spacing w:line="257" w:lineRule="auto"/>
              <w:rPr>
                <w:rFonts w:ascii="Arial"/>
                <w:sz w:val="21"/>
              </w:rPr>
            </w:pPr>
          </w:p>
          <w:p w14:paraId="5B771551">
            <w:pPr>
              <w:spacing w:line="258" w:lineRule="auto"/>
              <w:rPr>
                <w:rFonts w:ascii="Arial"/>
                <w:sz w:val="21"/>
              </w:rPr>
            </w:pPr>
          </w:p>
          <w:p w14:paraId="4361D3A4">
            <w:pPr>
              <w:spacing w:line="258" w:lineRule="auto"/>
              <w:rPr>
                <w:rFonts w:ascii="Arial"/>
                <w:sz w:val="21"/>
              </w:rPr>
            </w:pPr>
          </w:p>
          <w:p w14:paraId="5933396B">
            <w:pPr>
              <w:pStyle w:val="8"/>
              <w:spacing w:before="59" w:line="220" w:lineRule="auto"/>
              <w:ind w:left="8"/>
            </w:pPr>
            <w:r>
              <w:rPr>
                <w:spacing w:val="-4"/>
              </w:rPr>
              <w:t>行政强制</w:t>
            </w:r>
          </w:p>
        </w:tc>
        <w:tc>
          <w:tcPr>
            <w:tcW w:w="8613" w:type="dxa"/>
            <w:vAlign w:val="top"/>
          </w:tcPr>
          <w:p w14:paraId="1373FA0B">
            <w:pPr>
              <w:spacing w:line="449" w:lineRule="auto"/>
              <w:rPr>
                <w:rFonts w:ascii="Arial"/>
                <w:sz w:val="21"/>
              </w:rPr>
            </w:pPr>
          </w:p>
          <w:p w14:paraId="169302E0">
            <w:pPr>
              <w:pStyle w:val="8"/>
              <w:spacing w:before="58" w:line="219" w:lineRule="auto"/>
              <w:ind w:left="465"/>
            </w:pPr>
            <w:r>
              <w:rPr>
                <w:b/>
                <w:bCs/>
                <w:spacing w:val="-6"/>
              </w:rPr>
              <w:t>《湖南省湘江保护条例》</w:t>
            </w:r>
          </w:p>
          <w:p w14:paraId="6364BBA2">
            <w:pPr>
              <w:pStyle w:val="8"/>
              <w:spacing w:before="26" w:line="219" w:lineRule="auto"/>
              <w:ind w:left="459"/>
            </w:pPr>
            <w:r>
              <w:rPr>
                <w:spacing w:val="-1"/>
              </w:rPr>
              <w:t>第六十四条  湘江航道上航行的船舶应当遵守湘江航道等级限制规定。禁止船</w:t>
            </w:r>
            <w:r>
              <w:rPr>
                <w:spacing w:val="-2"/>
              </w:rPr>
              <w:t>舶吃水高于航道实际水深</w:t>
            </w:r>
          </w:p>
          <w:p w14:paraId="08DF839C">
            <w:pPr>
              <w:pStyle w:val="8"/>
              <w:spacing w:before="26" w:line="219" w:lineRule="auto"/>
              <w:ind w:left="117"/>
            </w:pPr>
            <w:r>
              <w:rPr>
                <w:spacing w:val="-4"/>
              </w:rPr>
              <w:t>使用航道。</w:t>
            </w:r>
          </w:p>
          <w:p w14:paraId="590CBF77">
            <w:pPr>
              <w:pStyle w:val="8"/>
              <w:spacing w:before="27" w:line="237" w:lineRule="auto"/>
              <w:ind w:left="116" w:right="105" w:firstLine="343"/>
              <w:jc w:val="both"/>
            </w:pPr>
            <w:r>
              <w:rPr>
                <w:spacing w:val="-1"/>
              </w:rPr>
              <w:t>第八十一条  违反本条例第六十四条规定，湘江航道上航行的船舶超过航</w:t>
            </w:r>
            <w:r>
              <w:rPr>
                <w:spacing w:val="-2"/>
              </w:rPr>
              <w:t>道等级限制或者船舶吃水高于</w:t>
            </w:r>
            <w:r>
              <w:t xml:space="preserve"> </w:t>
            </w:r>
            <w:r>
              <w:rPr>
                <w:spacing w:val="-2"/>
              </w:rPr>
              <w:t>航道实际水深使用航道的，航道管理机构应当责令停止航行，限期改正；逾期不改正的，由航道管理机构暂</w:t>
            </w:r>
            <w:r>
              <w:rPr>
                <w:spacing w:val="18"/>
              </w:rPr>
              <w:t xml:space="preserve"> </w:t>
            </w:r>
            <w:r>
              <w:rPr>
                <w:spacing w:val="-4"/>
              </w:rPr>
              <w:t>扣船舶，可以并处一万元以下的罚款。</w:t>
            </w:r>
          </w:p>
        </w:tc>
        <w:tc>
          <w:tcPr>
            <w:tcW w:w="1020" w:type="dxa"/>
            <w:vAlign w:val="top"/>
          </w:tcPr>
          <w:p w14:paraId="26F9A318">
            <w:pPr>
              <w:spacing w:line="262" w:lineRule="auto"/>
              <w:rPr>
                <w:rFonts w:ascii="Arial"/>
                <w:sz w:val="21"/>
              </w:rPr>
            </w:pPr>
          </w:p>
          <w:p w14:paraId="73938E32">
            <w:pPr>
              <w:spacing w:line="262" w:lineRule="auto"/>
              <w:rPr>
                <w:rFonts w:ascii="Arial"/>
                <w:sz w:val="21"/>
              </w:rPr>
            </w:pPr>
          </w:p>
          <w:p w14:paraId="5746B0C8">
            <w:pPr>
              <w:spacing w:line="262" w:lineRule="auto"/>
              <w:rPr>
                <w:rFonts w:ascii="Arial"/>
                <w:sz w:val="21"/>
              </w:rPr>
            </w:pPr>
          </w:p>
          <w:p w14:paraId="481BE9BC">
            <w:pPr>
              <w:pStyle w:val="8"/>
              <w:spacing w:before="59" w:line="248" w:lineRule="auto"/>
              <w:ind w:left="181" w:right="158" w:firstLine="2"/>
            </w:pPr>
            <w:r>
              <w:rPr>
                <w:spacing w:val="-12"/>
              </w:rPr>
              <w:t>交通运输</w:t>
            </w:r>
            <w:r>
              <w:t xml:space="preserve"> </w:t>
            </w:r>
            <w:r>
              <w:rPr>
                <w:spacing w:val="-12"/>
              </w:rPr>
              <w:t>主管部门</w:t>
            </w:r>
          </w:p>
        </w:tc>
        <w:tc>
          <w:tcPr>
            <w:tcW w:w="1416" w:type="dxa"/>
            <w:vAlign w:val="top"/>
          </w:tcPr>
          <w:p w14:paraId="4F18CD19">
            <w:pPr>
              <w:spacing w:line="258" w:lineRule="auto"/>
              <w:rPr>
                <w:rFonts w:ascii="Arial"/>
                <w:sz w:val="21"/>
              </w:rPr>
            </w:pPr>
          </w:p>
          <w:p w14:paraId="687B3604">
            <w:pPr>
              <w:spacing w:line="259" w:lineRule="auto"/>
              <w:rPr>
                <w:rFonts w:ascii="Arial"/>
                <w:sz w:val="21"/>
              </w:rPr>
            </w:pPr>
          </w:p>
          <w:p w14:paraId="2AF8D995">
            <w:pPr>
              <w:spacing w:line="259" w:lineRule="auto"/>
              <w:rPr>
                <w:rFonts w:ascii="Arial"/>
                <w:sz w:val="21"/>
              </w:rPr>
            </w:pPr>
          </w:p>
          <w:p w14:paraId="7DA4B724">
            <w:pPr>
              <w:spacing w:line="259" w:lineRule="auto"/>
              <w:rPr>
                <w:rFonts w:ascii="Arial"/>
                <w:sz w:val="21"/>
              </w:rPr>
            </w:pPr>
          </w:p>
          <w:p w14:paraId="0E561096">
            <w:pPr>
              <w:pStyle w:val="8"/>
              <w:spacing w:before="59" w:line="219" w:lineRule="auto"/>
              <w:ind w:left="129"/>
              <w:rPr>
                <w:rFonts w:hint="eastAsia" w:eastAsia="宋体"/>
                <w:lang w:eastAsia="zh-CN"/>
              </w:rPr>
            </w:pPr>
            <w:r>
              <w:rPr>
                <w:rFonts w:hint="eastAsia"/>
                <w:spacing w:val="-10"/>
                <w:lang w:eastAsia="zh-CN"/>
              </w:rPr>
              <w:t>津市市交通运输局</w:t>
            </w:r>
          </w:p>
        </w:tc>
        <w:tc>
          <w:tcPr>
            <w:tcW w:w="1022" w:type="dxa"/>
            <w:vAlign w:val="top"/>
          </w:tcPr>
          <w:p w14:paraId="449786FE">
            <w:pPr>
              <w:spacing w:line="268" w:lineRule="auto"/>
              <w:rPr>
                <w:rFonts w:ascii="Arial"/>
                <w:sz w:val="21"/>
              </w:rPr>
            </w:pPr>
          </w:p>
          <w:p w14:paraId="46862DE2">
            <w:pPr>
              <w:spacing w:line="269" w:lineRule="auto"/>
              <w:rPr>
                <w:rFonts w:ascii="Arial"/>
                <w:sz w:val="21"/>
              </w:rPr>
            </w:pPr>
          </w:p>
          <w:p w14:paraId="61D01849">
            <w:pPr>
              <w:spacing w:line="269" w:lineRule="auto"/>
              <w:rPr>
                <w:rFonts w:ascii="Arial"/>
                <w:sz w:val="21"/>
              </w:rPr>
            </w:pPr>
          </w:p>
          <w:p w14:paraId="042392D8">
            <w:pPr>
              <w:pStyle w:val="8"/>
              <w:spacing w:before="59" w:line="237" w:lineRule="auto"/>
              <w:ind w:left="77" w:right="64" w:firstLine="21"/>
              <w:jc w:val="both"/>
              <w:rPr>
                <w:rFonts w:hint="eastAsia" w:eastAsia="宋体"/>
                <w:lang w:eastAsia="zh-CN"/>
              </w:rPr>
            </w:pPr>
            <w:r>
              <w:rPr>
                <w:rFonts w:hint="eastAsia"/>
                <w:spacing w:val="-10"/>
                <w:lang w:eastAsia="zh-CN"/>
              </w:rPr>
              <w:t>津市市交通运输综合行政执法大队</w:t>
            </w:r>
          </w:p>
        </w:tc>
      </w:tr>
    </w:tbl>
    <w:p w14:paraId="58B50AFF">
      <w:pPr>
        <w:pStyle w:val="2"/>
      </w:pPr>
    </w:p>
    <w:p w14:paraId="686C1590">
      <w:pPr>
        <w:sectPr>
          <w:footerReference r:id="rId167" w:type="default"/>
          <w:pgSz w:w="16840" w:h="11906"/>
          <w:pgMar w:top="1012" w:right="957" w:bottom="967" w:left="957" w:header="0" w:footer="768" w:gutter="0"/>
          <w:cols w:space="720" w:num="1"/>
        </w:sectPr>
      </w:pPr>
    </w:p>
    <w:p w14:paraId="72389729">
      <w:pPr>
        <w:spacing w:before="240" w:line="241" w:lineRule="auto"/>
        <w:ind w:left="2961"/>
        <w:outlineLvl w:val="0"/>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spacing w:val="21"/>
          <w:sz w:val="31"/>
          <w:szCs w:val="31"/>
          <w:lang w:eastAsia="zh-CN"/>
        </w:rPr>
        <w:t>津市市</w:t>
      </w:r>
      <w:r>
        <w:rPr>
          <w:rFonts w:ascii="方正小标宋简体" w:hAnsi="方正小标宋简体" w:eastAsia="方正小标宋简体" w:cs="方正小标宋简体"/>
          <w:spacing w:val="21"/>
          <w:sz w:val="31"/>
          <w:szCs w:val="31"/>
        </w:rPr>
        <w:t>交通运输综合行政执法事项指导目录（海事</w:t>
      </w:r>
      <w:r>
        <w:rPr>
          <w:rFonts w:ascii="方正小标宋简体" w:hAnsi="方正小标宋简体" w:eastAsia="方正小标宋简体" w:cs="方正小标宋简体"/>
          <w:spacing w:val="20"/>
          <w:sz w:val="31"/>
          <w:szCs w:val="31"/>
        </w:rPr>
        <w:t>领域</w:t>
      </w:r>
      <w:r>
        <w:rPr>
          <w:rFonts w:ascii="方正小标宋简体" w:hAnsi="方正小标宋简体" w:eastAsia="方正小标宋简体" w:cs="方正小标宋简体"/>
          <w:spacing w:val="40"/>
          <w:sz w:val="31"/>
          <w:szCs w:val="31"/>
        </w:rPr>
        <w:t xml:space="preserve"> </w:t>
      </w:r>
      <w:r>
        <w:rPr>
          <w:rFonts w:ascii="方正小标宋简体" w:hAnsi="方正小标宋简体" w:eastAsia="方正小标宋简体" w:cs="方正小标宋简体"/>
          <w:spacing w:val="20"/>
          <w:sz w:val="31"/>
          <w:szCs w:val="31"/>
        </w:rPr>
        <w:t>104 项）</w:t>
      </w:r>
    </w:p>
    <w:p w14:paraId="3012734A">
      <w:pPr>
        <w:spacing w:line="23"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2276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41" w:type="dxa"/>
            <w:vMerge w:val="restart"/>
            <w:tcBorders>
              <w:bottom w:val="nil"/>
            </w:tcBorders>
            <w:vAlign w:val="top"/>
          </w:tcPr>
          <w:p w14:paraId="0554B443">
            <w:pPr>
              <w:pStyle w:val="8"/>
              <w:spacing w:before="267" w:line="221" w:lineRule="auto"/>
              <w:ind w:left="142"/>
            </w:pPr>
            <w:r>
              <w:rPr>
                <w:b/>
                <w:bCs/>
                <w:spacing w:val="-4"/>
              </w:rPr>
              <w:t>序号</w:t>
            </w:r>
          </w:p>
        </w:tc>
        <w:tc>
          <w:tcPr>
            <w:tcW w:w="1136" w:type="dxa"/>
            <w:vMerge w:val="restart"/>
            <w:tcBorders>
              <w:bottom w:val="nil"/>
            </w:tcBorders>
            <w:vAlign w:val="top"/>
          </w:tcPr>
          <w:p w14:paraId="0D909B43">
            <w:pPr>
              <w:pStyle w:val="8"/>
              <w:spacing w:before="267" w:line="220" w:lineRule="auto"/>
              <w:ind w:left="208"/>
            </w:pPr>
            <w:r>
              <w:rPr>
                <w:b/>
                <w:bCs/>
                <w:spacing w:val="-4"/>
              </w:rPr>
              <w:t>事项名称</w:t>
            </w:r>
          </w:p>
        </w:tc>
        <w:tc>
          <w:tcPr>
            <w:tcW w:w="1136" w:type="dxa"/>
            <w:vMerge w:val="restart"/>
            <w:tcBorders>
              <w:bottom w:val="nil"/>
            </w:tcBorders>
            <w:vAlign w:val="top"/>
          </w:tcPr>
          <w:p w14:paraId="4EDF62D5">
            <w:pPr>
              <w:pStyle w:val="8"/>
              <w:spacing w:before="267" w:line="219" w:lineRule="auto"/>
              <w:ind w:left="210"/>
            </w:pPr>
            <w:r>
              <w:rPr>
                <w:b/>
                <w:bCs/>
                <w:spacing w:val="-4"/>
              </w:rPr>
              <w:t>职权类型</w:t>
            </w:r>
          </w:p>
        </w:tc>
        <w:tc>
          <w:tcPr>
            <w:tcW w:w="8806" w:type="dxa"/>
            <w:vMerge w:val="restart"/>
            <w:tcBorders>
              <w:bottom w:val="nil"/>
            </w:tcBorders>
            <w:vAlign w:val="top"/>
          </w:tcPr>
          <w:p w14:paraId="3DAA8FDE">
            <w:pPr>
              <w:pStyle w:val="8"/>
              <w:spacing w:before="267" w:line="219" w:lineRule="auto"/>
              <w:ind w:left="4050"/>
            </w:pPr>
            <w:r>
              <w:rPr>
                <w:b/>
                <w:bCs/>
                <w:spacing w:val="-5"/>
              </w:rPr>
              <w:t>实施依据</w:t>
            </w:r>
          </w:p>
        </w:tc>
        <w:tc>
          <w:tcPr>
            <w:tcW w:w="3538" w:type="dxa"/>
            <w:gridSpan w:val="3"/>
            <w:vAlign w:val="top"/>
          </w:tcPr>
          <w:p w14:paraId="7068A5F0">
            <w:pPr>
              <w:pStyle w:val="8"/>
              <w:spacing w:before="92" w:line="220" w:lineRule="auto"/>
              <w:ind w:left="1415"/>
            </w:pPr>
            <w:r>
              <w:rPr>
                <w:b/>
                <w:bCs/>
                <w:spacing w:val="-5"/>
              </w:rPr>
              <w:t>实施主体</w:t>
            </w:r>
          </w:p>
        </w:tc>
      </w:tr>
      <w:tr w14:paraId="26CC5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0AE3576">
            <w:pPr>
              <w:rPr>
                <w:rFonts w:ascii="Arial"/>
                <w:sz w:val="21"/>
              </w:rPr>
            </w:pPr>
          </w:p>
        </w:tc>
        <w:tc>
          <w:tcPr>
            <w:tcW w:w="1136" w:type="dxa"/>
            <w:vMerge w:val="continue"/>
            <w:tcBorders>
              <w:top w:val="nil"/>
            </w:tcBorders>
            <w:vAlign w:val="top"/>
          </w:tcPr>
          <w:p w14:paraId="3DE2E84F">
            <w:pPr>
              <w:rPr>
                <w:rFonts w:ascii="Arial"/>
                <w:sz w:val="21"/>
              </w:rPr>
            </w:pPr>
          </w:p>
        </w:tc>
        <w:tc>
          <w:tcPr>
            <w:tcW w:w="1136" w:type="dxa"/>
            <w:vMerge w:val="continue"/>
            <w:tcBorders>
              <w:top w:val="nil"/>
            </w:tcBorders>
            <w:vAlign w:val="top"/>
          </w:tcPr>
          <w:p w14:paraId="57557CFA">
            <w:pPr>
              <w:rPr>
                <w:rFonts w:ascii="Arial"/>
                <w:sz w:val="21"/>
              </w:rPr>
            </w:pPr>
          </w:p>
        </w:tc>
        <w:tc>
          <w:tcPr>
            <w:tcW w:w="8806" w:type="dxa"/>
            <w:vMerge w:val="continue"/>
            <w:tcBorders>
              <w:top w:val="nil"/>
            </w:tcBorders>
            <w:vAlign w:val="top"/>
          </w:tcPr>
          <w:p w14:paraId="53946228">
            <w:pPr>
              <w:rPr>
                <w:rFonts w:ascii="Arial"/>
                <w:sz w:val="21"/>
              </w:rPr>
            </w:pPr>
          </w:p>
        </w:tc>
        <w:tc>
          <w:tcPr>
            <w:tcW w:w="1043" w:type="dxa"/>
            <w:vAlign w:val="top"/>
          </w:tcPr>
          <w:p w14:paraId="2A0E9864">
            <w:pPr>
              <w:pStyle w:val="8"/>
              <w:spacing w:before="87" w:line="219" w:lineRule="auto"/>
              <w:ind w:left="171"/>
            </w:pPr>
            <w:r>
              <w:rPr>
                <w:b/>
                <w:bCs/>
                <w:spacing w:val="-5"/>
              </w:rPr>
              <w:t>责任部门</w:t>
            </w:r>
          </w:p>
        </w:tc>
        <w:tc>
          <w:tcPr>
            <w:tcW w:w="1448" w:type="dxa"/>
            <w:vAlign w:val="top"/>
          </w:tcPr>
          <w:p w14:paraId="031F4EDE">
            <w:pPr>
              <w:pStyle w:val="8"/>
              <w:spacing w:before="87" w:line="219" w:lineRule="auto"/>
              <w:ind w:left="187"/>
            </w:pPr>
            <w:r>
              <w:rPr>
                <w:b/>
                <w:bCs/>
                <w:spacing w:val="-3"/>
              </w:rPr>
              <w:t>第一责任层级</w:t>
            </w:r>
          </w:p>
        </w:tc>
        <w:tc>
          <w:tcPr>
            <w:tcW w:w="1047" w:type="dxa"/>
            <w:vAlign w:val="top"/>
          </w:tcPr>
          <w:p w14:paraId="77E6C538">
            <w:pPr>
              <w:pStyle w:val="8"/>
              <w:spacing w:before="87" w:line="219" w:lineRule="auto"/>
              <w:ind w:left="165"/>
            </w:pPr>
            <w:r>
              <w:rPr>
                <w:b/>
                <w:bCs/>
                <w:spacing w:val="-4"/>
              </w:rPr>
              <w:t>承办机构</w:t>
            </w:r>
          </w:p>
        </w:tc>
      </w:tr>
      <w:tr w14:paraId="2FDCD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3" w:hRule="atLeast"/>
        </w:trPr>
        <w:tc>
          <w:tcPr>
            <w:tcW w:w="641" w:type="dxa"/>
            <w:vAlign w:val="top"/>
          </w:tcPr>
          <w:p w14:paraId="7EDE74AD">
            <w:pPr>
              <w:spacing w:line="299" w:lineRule="auto"/>
              <w:rPr>
                <w:rFonts w:ascii="Arial"/>
                <w:sz w:val="21"/>
              </w:rPr>
            </w:pPr>
          </w:p>
          <w:p w14:paraId="60D849E4">
            <w:pPr>
              <w:spacing w:line="300" w:lineRule="auto"/>
              <w:rPr>
                <w:rFonts w:ascii="Arial"/>
                <w:sz w:val="21"/>
              </w:rPr>
            </w:pPr>
          </w:p>
          <w:p w14:paraId="3C0B5089">
            <w:pPr>
              <w:spacing w:line="300" w:lineRule="auto"/>
              <w:rPr>
                <w:rFonts w:ascii="Arial"/>
                <w:sz w:val="21"/>
              </w:rPr>
            </w:pPr>
          </w:p>
          <w:p w14:paraId="64720700">
            <w:pPr>
              <w:spacing w:line="300" w:lineRule="auto"/>
              <w:rPr>
                <w:rFonts w:ascii="Arial"/>
                <w:sz w:val="21"/>
              </w:rPr>
            </w:pPr>
          </w:p>
          <w:p w14:paraId="580439BE">
            <w:pPr>
              <w:pStyle w:val="8"/>
              <w:spacing w:before="58" w:line="184" w:lineRule="auto"/>
              <w:ind w:left="293"/>
            </w:pPr>
            <w:r>
              <w:t>1</w:t>
            </w:r>
          </w:p>
        </w:tc>
        <w:tc>
          <w:tcPr>
            <w:tcW w:w="1136" w:type="dxa"/>
            <w:vAlign w:val="top"/>
          </w:tcPr>
          <w:p w14:paraId="3C1FA1A0">
            <w:pPr>
              <w:pStyle w:val="8"/>
              <w:spacing w:before="37" w:line="242" w:lineRule="auto"/>
              <w:ind w:left="109" w:right="99"/>
              <w:jc w:val="both"/>
            </w:pPr>
            <w:r>
              <w:rPr>
                <w:spacing w:val="3"/>
              </w:rPr>
              <w:t>对以拒绝进</w:t>
            </w:r>
            <w:r>
              <w:rPr>
                <w:spacing w:val="1"/>
              </w:rPr>
              <w:t xml:space="preserve"> </w:t>
            </w:r>
            <w:r>
              <w:rPr>
                <w:spacing w:val="3"/>
              </w:rPr>
              <w:t>入现场等方</w:t>
            </w:r>
            <w:r>
              <w:rPr>
                <w:spacing w:val="1"/>
              </w:rPr>
              <w:t xml:space="preserve"> </w:t>
            </w:r>
            <w:r>
              <w:rPr>
                <w:spacing w:val="3"/>
              </w:rPr>
              <w:t>式拒不接受</w:t>
            </w:r>
            <w:r>
              <w:rPr>
                <w:spacing w:val="1"/>
              </w:rPr>
              <w:t xml:space="preserve"> </w:t>
            </w:r>
            <w:r>
              <w:rPr>
                <w:spacing w:val="3"/>
              </w:rPr>
              <w:t>海事管理机</w:t>
            </w:r>
            <w:r>
              <w:rPr>
                <w:spacing w:val="1"/>
              </w:rPr>
              <w:t xml:space="preserve"> </w:t>
            </w:r>
            <w:r>
              <w:rPr>
                <w:spacing w:val="3"/>
              </w:rPr>
              <w:t>构进行船舶</w:t>
            </w:r>
            <w:r>
              <w:rPr>
                <w:spacing w:val="1"/>
              </w:rPr>
              <w:t xml:space="preserve"> </w:t>
            </w:r>
            <w:r>
              <w:rPr>
                <w:spacing w:val="3"/>
              </w:rPr>
              <w:t>大气污染监</w:t>
            </w:r>
            <w:r>
              <w:rPr>
                <w:spacing w:val="1"/>
              </w:rPr>
              <w:t xml:space="preserve"> </w:t>
            </w:r>
            <w:r>
              <w:rPr>
                <w:spacing w:val="3"/>
              </w:rPr>
              <w:t>督检查或者</w:t>
            </w:r>
            <w:r>
              <w:rPr>
                <w:spacing w:val="1"/>
              </w:rPr>
              <w:t xml:space="preserve"> </w:t>
            </w:r>
            <w:r>
              <w:rPr>
                <w:spacing w:val="3"/>
              </w:rPr>
              <w:t>在接受监督</w:t>
            </w:r>
            <w:r>
              <w:rPr>
                <w:spacing w:val="1"/>
              </w:rPr>
              <w:t xml:space="preserve"> </w:t>
            </w:r>
            <w:r>
              <w:rPr>
                <w:spacing w:val="4"/>
              </w:rPr>
              <w:t>检查时弄虚</w:t>
            </w:r>
            <w:r>
              <w:rPr>
                <w:spacing w:val="1"/>
              </w:rPr>
              <w:t xml:space="preserve"> </w:t>
            </w:r>
            <w:r>
              <w:rPr>
                <w:spacing w:val="4"/>
              </w:rPr>
              <w:t>作假行为的</w:t>
            </w:r>
            <w:r>
              <w:t xml:space="preserve"> </w:t>
            </w:r>
            <w:r>
              <w:rPr>
                <w:spacing w:val="-4"/>
              </w:rPr>
              <w:t>行政处罚</w:t>
            </w:r>
          </w:p>
        </w:tc>
        <w:tc>
          <w:tcPr>
            <w:tcW w:w="1136" w:type="dxa"/>
            <w:vAlign w:val="top"/>
          </w:tcPr>
          <w:p w14:paraId="159C3505">
            <w:pPr>
              <w:spacing w:line="292" w:lineRule="auto"/>
              <w:rPr>
                <w:rFonts w:ascii="Arial"/>
                <w:sz w:val="21"/>
              </w:rPr>
            </w:pPr>
          </w:p>
          <w:p w14:paraId="11F55E5C">
            <w:pPr>
              <w:spacing w:line="293" w:lineRule="auto"/>
              <w:rPr>
                <w:rFonts w:ascii="Arial"/>
                <w:sz w:val="21"/>
              </w:rPr>
            </w:pPr>
          </w:p>
          <w:p w14:paraId="2D6EB08B">
            <w:pPr>
              <w:spacing w:line="293" w:lineRule="auto"/>
              <w:rPr>
                <w:rFonts w:ascii="Arial"/>
                <w:sz w:val="21"/>
              </w:rPr>
            </w:pPr>
          </w:p>
          <w:p w14:paraId="4DBE601E">
            <w:pPr>
              <w:spacing w:line="293" w:lineRule="auto"/>
              <w:rPr>
                <w:rFonts w:ascii="Arial"/>
                <w:sz w:val="21"/>
              </w:rPr>
            </w:pPr>
          </w:p>
          <w:p w14:paraId="342F6784">
            <w:pPr>
              <w:pStyle w:val="8"/>
              <w:spacing w:before="59" w:line="220" w:lineRule="auto"/>
              <w:ind w:left="114"/>
            </w:pPr>
            <w:r>
              <w:rPr>
                <w:spacing w:val="-7"/>
              </w:rPr>
              <w:t>行政处罚</w:t>
            </w:r>
          </w:p>
        </w:tc>
        <w:tc>
          <w:tcPr>
            <w:tcW w:w="8806" w:type="dxa"/>
            <w:vAlign w:val="top"/>
          </w:tcPr>
          <w:p w14:paraId="4A59E4A9">
            <w:pPr>
              <w:spacing w:line="456" w:lineRule="auto"/>
              <w:rPr>
                <w:rFonts w:ascii="Arial"/>
                <w:sz w:val="21"/>
              </w:rPr>
            </w:pPr>
          </w:p>
          <w:p w14:paraId="633039DC">
            <w:pPr>
              <w:pStyle w:val="8"/>
              <w:spacing w:before="59" w:line="219" w:lineRule="auto"/>
              <w:ind w:left="473"/>
            </w:pPr>
            <w:r>
              <w:rPr>
                <w:b/>
                <w:bCs/>
                <w:spacing w:val="-5"/>
              </w:rPr>
              <w:t>《中华人民共和国大气污染防治法》</w:t>
            </w:r>
          </w:p>
          <w:p w14:paraId="64F868E4">
            <w:pPr>
              <w:pStyle w:val="8"/>
              <w:spacing w:before="25" w:line="233" w:lineRule="auto"/>
              <w:ind w:left="468" w:right="1960"/>
            </w:pPr>
            <w:r>
              <w:rPr>
                <w:spacing w:val="-2"/>
              </w:rPr>
              <w:t>第五条  县级以上人民政府生态环境主管部门对大气污染防治实施</w:t>
            </w:r>
            <w:r>
              <w:rPr>
                <w:spacing w:val="-3"/>
              </w:rPr>
              <w:t>统一监督管理</w:t>
            </w:r>
            <w:r>
              <w:t xml:space="preserve">  </w:t>
            </w:r>
            <w:r>
              <w:rPr>
                <w:spacing w:val="-3"/>
              </w:rPr>
              <w:t>县级以上人民政府其他有关部门在各自职责范围内对大气污染防治实施监督管</w:t>
            </w:r>
            <w:r>
              <w:rPr>
                <w:spacing w:val="-4"/>
              </w:rPr>
              <w:t>理。</w:t>
            </w:r>
          </w:p>
          <w:p w14:paraId="3B01C746">
            <w:pPr>
              <w:pStyle w:val="8"/>
              <w:spacing w:before="27" w:line="239" w:lineRule="auto"/>
              <w:ind w:left="109" w:right="103" w:firstLine="358"/>
              <w:jc w:val="both"/>
            </w:pPr>
            <w:r>
              <w:rPr>
                <w:spacing w:val="-1"/>
              </w:rPr>
              <w:t>第九十八条  违反本法规定，以拒绝进入现场等方式拒不接受生态环境主管部门及其环境执法</w:t>
            </w:r>
            <w:r>
              <w:rPr>
                <w:spacing w:val="-2"/>
              </w:rPr>
              <w:t>机构或者其</w:t>
            </w:r>
            <w:r>
              <w:t xml:space="preserve"> </w:t>
            </w:r>
            <w:r>
              <w:rPr>
                <w:spacing w:val="-1"/>
              </w:rPr>
              <w:t>他负有大气环境保护监督管理职责的部门的监督检查，或者在接受监督检查时弄虚作假的，由县</w:t>
            </w:r>
            <w:r>
              <w:rPr>
                <w:spacing w:val="-2"/>
              </w:rPr>
              <w:t>级以上</w:t>
            </w:r>
            <w:r>
              <w:rPr>
                <w:rFonts w:hint="eastAsia"/>
                <w:spacing w:val="-2"/>
                <w:lang w:eastAsia="zh-CN"/>
              </w:rPr>
              <w:t>人民政府</w:t>
            </w:r>
            <w:r>
              <w:rPr>
                <w:spacing w:val="-1"/>
              </w:rPr>
              <w:t>生态环境主管部门或者其他负有大气环境保护监督管理职责的部门责令改正，处二万元以上二</w:t>
            </w:r>
            <w:r>
              <w:rPr>
                <w:spacing w:val="-2"/>
              </w:rPr>
              <w:t>十万元以下的</w:t>
            </w:r>
            <w:r>
              <w:t xml:space="preserve"> </w:t>
            </w:r>
            <w:r>
              <w:rPr>
                <w:spacing w:val="-2"/>
              </w:rPr>
              <w:t>罚款；构成违反治安管理行为的，由公安机关依法予</w:t>
            </w:r>
            <w:r>
              <w:rPr>
                <w:spacing w:val="-3"/>
              </w:rPr>
              <w:t>以处罚。</w:t>
            </w:r>
          </w:p>
        </w:tc>
        <w:tc>
          <w:tcPr>
            <w:tcW w:w="1043" w:type="dxa"/>
            <w:vAlign w:val="top"/>
          </w:tcPr>
          <w:p w14:paraId="4AD22154">
            <w:pPr>
              <w:spacing w:line="263" w:lineRule="auto"/>
              <w:rPr>
                <w:rFonts w:ascii="Arial"/>
                <w:sz w:val="21"/>
              </w:rPr>
            </w:pPr>
          </w:p>
          <w:p w14:paraId="74FCCE5E">
            <w:pPr>
              <w:spacing w:line="263" w:lineRule="auto"/>
              <w:rPr>
                <w:rFonts w:ascii="Arial"/>
                <w:sz w:val="21"/>
              </w:rPr>
            </w:pPr>
          </w:p>
          <w:p w14:paraId="64F0C6C7">
            <w:pPr>
              <w:spacing w:line="263" w:lineRule="auto"/>
              <w:rPr>
                <w:rFonts w:ascii="Arial"/>
                <w:sz w:val="21"/>
              </w:rPr>
            </w:pPr>
          </w:p>
          <w:p w14:paraId="1D479062">
            <w:pPr>
              <w:spacing w:line="263" w:lineRule="auto"/>
              <w:rPr>
                <w:rFonts w:ascii="Arial"/>
                <w:sz w:val="21"/>
              </w:rPr>
            </w:pPr>
          </w:p>
          <w:p w14:paraId="2EFE9020">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7735E4B">
            <w:pPr>
              <w:spacing w:line="293" w:lineRule="auto"/>
              <w:rPr>
                <w:rFonts w:ascii="Arial"/>
                <w:sz w:val="21"/>
              </w:rPr>
            </w:pPr>
          </w:p>
          <w:p w14:paraId="2D143E1E">
            <w:pPr>
              <w:spacing w:line="293" w:lineRule="auto"/>
              <w:rPr>
                <w:rFonts w:ascii="Arial"/>
                <w:sz w:val="21"/>
              </w:rPr>
            </w:pPr>
          </w:p>
          <w:p w14:paraId="7341AB58">
            <w:pPr>
              <w:spacing w:line="293" w:lineRule="auto"/>
              <w:rPr>
                <w:rFonts w:ascii="Arial"/>
                <w:sz w:val="21"/>
              </w:rPr>
            </w:pPr>
          </w:p>
          <w:p w14:paraId="223EC6B9">
            <w:pPr>
              <w:spacing w:line="293" w:lineRule="auto"/>
              <w:rPr>
                <w:rFonts w:ascii="Arial"/>
                <w:sz w:val="21"/>
              </w:rPr>
            </w:pPr>
          </w:p>
          <w:p w14:paraId="05EAC672">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ACCF656">
            <w:pPr>
              <w:spacing w:line="271" w:lineRule="auto"/>
              <w:rPr>
                <w:rFonts w:ascii="Arial"/>
                <w:sz w:val="21"/>
              </w:rPr>
            </w:pPr>
          </w:p>
          <w:p w14:paraId="0C279956">
            <w:pPr>
              <w:spacing w:line="272" w:lineRule="auto"/>
              <w:rPr>
                <w:rFonts w:ascii="Arial"/>
                <w:sz w:val="21"/>
              </w:rPr>
            </w:pPr>
          </w:p>
          <w:p w14:paraId="0A6EE2BC">
            <w:pPr>
              <w:spacing w:line="272" w:lineRule="auto"/>
              <w:rPr>
                <w:rFonts w:ascii="Arial"/>
                <w:sz w:val="21"/>
              </w:rPr>
            </w:pPr>
          </w:p>
          <w:p w14:paraId="17D7B11B">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26C2D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0" w:hRule="atLeast"/>
        </w:trPr>
        <w:tc>
          <w:tcPr>
            <w:tcW w:w="641" w:type="dxa"/>
            <w:vAlign w:val="top"/>
          </w:tcPr>
          <w:p w14:paraId="364C152D">
            <w:pPr>
              <w:spacing w:line="282" w:lineRule="auto"/>
              <w:rPr>
                <w:rFonts w:ascii="Arial"/>
                <w:sz w:val="21"/>
              </w:rPr>
            </w:pPr>
          </w:p>
          <w:p w14:paraId="5B0D387C">
            <w:pPr>
              <w:spacing w:line="282" w:lineRule="auto"/>
              <w:rPr>
                <w:rFonts w:ascii="Arial"/>
                <w:sz w:val="21"/>
              </w:rPr>
            </w:pPr>
          </w:p>
          <w:p w14:paraId="4C60284C">
            <w:pPr>
              <w:pStyle w:val="8"/>
              <w:spacing w:before="59" w:line="183" w:lineRule="auto"/>
              <w:ind w:left="282"/>
            </w:pPr>
            <w:r>
              <w:t>2</w:t>
            </w:r>
          </w:p>
        </w:tc>
        <w:tc>
          <w:tcPr>
            <w:tcW w:w="1136" w:type="dxa"/>
            <w:vAlign w:val="top"/>
          </w:tcPr>
          <w:p w14:paraId="424C7F7D">
            <w:pPr>
              <w:pStyle w:val="8"/>
              <w:spacing w:before="118" w:line="241" w:lineRule="auto"/>
              <w:ind w:left="110" w:right="104" w:hanging="1"/>
              <w:jc w:val="both"/>
            </w:pPr>
            <w:r>
              <w:rPr>
                <w:spacing w:val="3"/>
              </w:rPr>
              <w:t>对使用不符</w:t>
            </w:r>
            <w:r>
              <w:rPr>
                <w:spacing w:val="1"/>
              </w:rPr>
              <w:t xml:space="preserve"> </w:t>
            </w:r>
            <w:r>
              <w:rPr>
                <w:spacing w:val="3"/>
              </w:rPr>
              <w:t>合标准或者</w:t>
            </w:r>
            <w:r>
              <w:t xml:space="preserve"> </w:t>
            </w:r>
            <w:r>
              <w:rPr>
                <w:spacing w:val="3"/>
              </w:rPr>
              <w:t>要求的船舶</w:t>
            </w:r>
            <w:r>
              <w:t xml:space="preserve"> </w:t>
            </w:r>
            <w:r>
              <w:rPr>
                <w:spacing w:val="3"/>
              </w:rPr>
              <w:t>用燃油行为</w:t>
            </w:r>
            <w:r>
              <w:t xml:space="preserve"> </w:t>
            </w:r>
            <w:r>
              <w:rPr>
                <w:spacing w:val="-4"/>
              </w:rPr>
              <w:t>的行政处罚</w:t>
            </w:r>
          </w:p>
        </w:tc>
        <w:tc>
          <w:tcPr>
            <w:tcW w:w="1136" w:type="dxa"/>
            <w:vAlign w:val="top"/>
          </w:tcPr>
          <w:p w14:paraId="5F718F3F">
            <w:pPr>
              <w:spacing w:line="268" w:lineRule="auto"/>
              <w:rPr>
                <w:rFonts w:ascii="Arial"/>
                <w:sz w:val="21"/>
              </w:rPr>
            </w:pPr>
          </w:p>
          <w:p w14:paraId="31DEB2BA">
            <w:pPr>
              <w:spacing w:line="268" w:lineRule="auto"/>
              <w:rPr>
                <w:rFonts w:ascii="Arial"/>
                <w:sz w:val="21"/>
              </w:rPr>
            </w:pPr>
          </w:p>
          <w:p w14:paraId="23CDE13A">
            <w:pPr>
              <w:pStyle w:val="8"/>
              <w:spacing w:before="59" w:line="220" w:lineRule="auto"/>
              <w:ind w:left="114"/>
            </w:pPr>
            <w:r>
              <w:rPr>
                <w:spacing w:val="-7"/>
              </w:rPr>
              <w:t>行政处罚</w:t>
            </w:r>
          </w:p>
        </w:tc>
        <w:tc>
          <w:tcPr>
            <w:tcW w:w="8806" w:type="dxa"/>
            <w:vAlign w:val="top"/>
          </w:tcPr>
          <w:p w14:paraId="7AF6BA2D">
            <w:pPr>
              <w:pStyle w:val="8"/>
              <w:spacing w:before="118" w:line="219" w:lineRule="auto"/>
              <w:ind w:left="473"/>
            </w:pPr>
            <w:r>
              <w:rPr>
                <w:b/>
                <w:bCs/>
                <w:spacing w:val="-5"/>
              </w:rPr>
              <w:t>《中华人民共和国大气污染防治法》</w:t>
            </w:r>
          </w:p>
          <w:p w14:paraId="23D505A9">
            <w:pPr>
              <w:pStyle w:val="8"/>
              <w:spacing w:before="25" w:line="233" w:lineRule="auto"/>
              <w:ind w:left="111" w:right="103" w:firstLine="356"/>
            </w:pPr>
            <w:r>
              <w:rPr>
                <w:spacing w:val="-1"/>
              </w:rPr>
              <w:t>第六十三条第一款  内河和江海直达船舶应当使用符合标准的普通柴油。远洋船舶靠港后应当</w:t>
            </w:r>
            <w:r>
              <w:rPr>
                <w:spacing w:val="-2"/>
              </w:rPr>
              <w:t>使用符合大</w:t>
            </w:r>
            <w:r>
              <w:t xml:space="preserve"> </w:t>
            </w:r>
            <w:r>
              <w:rPr>
                <w:spacing w:val="-3"/>
              </w:rPr>
              <w:t>气污染物控制要求的船舶用燃油。</w:t>
            </w:r>
          </w:p>
          <w:p w14:paraId="02FC2765">
            <w:pPr>
              <w:pStyle w:val="8"/>
              <w:spacing w:before="25" w:line="233" w:lineRule="auto"/>
              <w:ind w:left="130" w:right="103" w:firstLine="337"/>
            </w:pPr>
            <w:r>
              <w:rPr>
                <w:spacing w:val="-1"/>
              </w:rPr>
              <w:t>第一百零六条  违反本法规定，使用不符合标准或者要求的船舶用燃油的，由海事管理机构、</w:t>
            </w:r>
            <w:r>
              <w:rPr>
                <w:spacing w:val="-2"/>
              </w:rPr>
              <w:t>渔业主管部</w:t>
            </w:r>
            <w:r>
              <w:t xml:space="preserve"> </w:t>
            </w:r>
            <w:r>
              <w:rPr>
                <w:spacing w:val="-4"/>
              </w:rPr>
              <w:t>门按照职责处一万元以上十万元以下的罚款。</w:t>
            </w:r>
          </w:p>
        </w:tc>
        <w:tc>
          <w:tcPr>
            <w:tcW w:w="1043" w:type="dxa"/>
            <w:vAlign w:val="top"/>
          </w:tcPr>
          <w:p w14:paraId="0CEB9584">
            <w:pPr>
              <w:spacing w:line="417" w:lineRule="auto"/>
              <w:rPr>
                <w:rFonts w:ascii="Arial"/>
                <w:sz w:val="21"/>
              </w:rPr>
            </w:pPr>
          </w:p>
          <w:p w14:paraId="1A35398C">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590078D0">
            <w:pPr>
              <w:spacing w:line="268" w:lineRule="auto"/>
              <w:rPr>
                <w:rFonts w:ascii="Arial"/>
                <w:sz w:val="21"/>
              </w:rPr>
            </w:pPr>
          </w:p>
          <w:p w14:paraId="44A456E7">
            <w:pPr>
              <w:spacing w:line="268" w:lineRule="auto"/>
              <w:rPr>
                <w:rFonts w:ascii="Arial"/>
                <w:sz w:val="21"/>
              </w:rPr>
            </w:pPr>
          </w:p>
          <w:p w14:paraId="75C29217">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7A66347">
            <w:pPr>
              <w:pStyle w:val="8"/>
              <w:spacing w:before="23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7A899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2" w:hRule="atLeast"/>
        </w:trPr>
        <w:tc>
          <w:tcPr>
            <w:tcW w:w="641" w:type="dxa"/>
            <w:vAlign w:val="top"/>
          </w:tcPr>
          <w:p w14:paraId="6B9CE0AD">
            <w:pPr>
              <w:spacing w:line="246" w:lineRule="auto"/>
              <w:rPr>
                <w:rFonts w:ascii="Arial"/>
                <w:sz w:val="21"/>
              </w:rPr>
            </w:pPr>
          </w:p>
          <w:p w14:paraId="1D363DBB">
            <w:pPr>
              <w:spacing w:line="246" w:lineRule="auto"/>
              <w:rPr>
                <w:rFonts w:ascii="Arial"/>
                <w:sz w:val="21"/>
              </w:rPr>
            </w:pPr>
          </w:p>
          <w:p w14:paraId="10D59CC9">
            <w:pPr>
              <w:spacing w:line="247" w:lineRule="auto"/>
              <w:rPr>
                <w:rFonts w:ascii="Arial"/>
                <w:sz w:val="21"/>
              </w:rPr>
            </w:pPr>
          </w:p>
          <w:p w14:paraId="6F5875C4">
            <w:pPr>
              <w:pStyle w:val="8"/>
              <w:spacing w:before="59" w:line="183" w:lineRule="auto"/>
              <w:ind w:left="284"/>
            </w:pPr>
            <w:r>
              <w:t>3</w:t>
            </w:r>
          </w:p>
        </w:tc>
        <w:tc>
          <w:tcPr>
            <w:tcW w:w="1136" w:type="dxa"/>
            <w:vAlign w:val="top"/>
          </w:tcPr>
          <w:p w14:paraId="3B09EB04">
            <w:pPr>
              <w:pStyle w:val="8"/>
              <w:spacing w:before="173" w:line="242" w:lineRule="auto"/>
              <w:ind w:left="109" w:right="104"/>
              <w:jc w:val="both"/>
            </w:pPr>
            <w:r>
              <w:rPr>
                <w:spacing w:val="3"/>
              </w:rPr>
              <w:t>对伪造船舶</w:t>
            </w:r>
            <w:r>
              <w:rPr>
                <w:spacing w:val="1"/>
              </w:rPr>
              <w:t xml:space="preserve"> </w:t>
            </w:r>
            <w:r>
              <w:rPr>
                <w:spacing w:val="3"/>
              </w:rPr>
              <w:t>排放检验结</w:t>
            </w:r>
            <w:r>
              <w:rPr>
                <w:spacing w:val="1"/>
              </w:rPr>
              <w:t xml:space="preserve"> </w:t>
            </w:r>
            <w:r>
              <w:rPr>
                <w:spacing w:val="3"/>
              </w:rPr>
              <w:t>果或者出具</w:t>
            </w:r>
            <w:r>
              <w:rPr>
                <w:spacing w:val="1"/>
              </w:rPr>
              <w:t xml:space="preserve"> </w:t>
            </w:r>
            <w:r>
              <w:rPr>
                <w:spacing w:val="3"/>
              </w:rPr>
              <w:t>虚假排放检</w:t>
            </w:r>
            <w:r>
              <w:rPr>
                <w:spacing w:val="1"/>
              </w:rPr>
              <w:t xml:space="preserve"> </w:t>
            </w:r>
            <w:r>
              <w:rPr>
                <w:spacing w:val="3"/>
              </w:rPr>
              <w:t>验报告行为</w:t>
            </w:r>
            <w:r>
              <w:rPr>
                <w:spacing w:val="1"/>
              </w:rPr>
              <w:t xml:space="preserve"> </w:t>
            </w:r>
            <w:r>
              <w:rPr>
                <w:spacing w:val="-4"/>
              </w:rPr>
              <w:t>的行政处罚</w:t>
            </w:r>
          </w:p>
        </w:tc>
        <w:tc>
          <w:tcPr>
            <w:tcW w:w="1136" w:type="dxa"/>
            <w:vAlign w:val="top"/>
          </w:tcPr>
          <w:p w14:paraId="46CCA1DD">
            <w:pPr>
              <w:spacing w:line="355" w:lineRule="auto"/>
              <w:rPr>
                <w:rFonts w:ascii="Arial"/>
                <w:sz w:val="21"/>
              </w:rPr>
            </w:pPr>
          </w:p>
          <w:p w14:paraId="3CD1ED8E">
            <w:pPr>
              <w:spacing w:line="356" w:lineRule="auto"/>
              <w:rPr>
                <w:rFonts w:ascii="Arial"/>
                <w:sz w:val="21"/>
              </w:rPr>
            </w:pPr>
          </w:p>
          <w:p w14:paraId="540D7102">
            <w:pPr>
              <w:pStyle w:val="8"/>
              <w:spacing w:before="58" w:line="220" w:lineRule="auto"/>
              <w:ind w:left="114"/>
            </w:pPr>
            <w:r>
              <w:rPr>
                <w:spacing w:val="-7"/>
              </w:rPr>
              <w:t>行政处罚</w:t>
            </w:r>
          </w:p>
        </w:tc>
        <w:tc>
          <w:tcPr>
            <w:tcW w:w="8806" w:type="dxa"/>
            <w:vAlign w:val="top"/>
          </w:tcPr>
          <w:p w14:paraId="2172D8C0">
            <w:pPr>
              <w:pStyle w:val="8"/>
              <w:spacing w:before="54" w:line="219" w:lineRule="auto"/>
              <w:ind w:left="473"/>
            </w:pPr>
            <w:r>
              <w:rPr>
                <w:b/>
                <w:bCs/>
                <w:spacing w:val="-5"/>
              </w:rPr>
              <w:t>《中华人民共和国大气污染防治法》</w:t>
            </w:r>
          </w:p>
          <w:p w14:paraId="3DAA43D2">
            <w:pPr>
              <w:pStyle w:val="8"/>
              <w:spacing w:before="25" w:line="219" w:lineRule="auto"/>
              <w:ind w:left="468"/>
            </w:pPr>
            <w:r>
              <w:rPr>
                <w:spacing w:val="-1"/>
              </w:rPr>
              <w:t>第六十二条  船舶检验机构对船舶发动机及有关设备进行排放检验。经检验符合国家排放标准的</w:t>
            </w:r>
            <w:r>
              <w:rPr>
                <w:spacing w:val="-2"/>
              </w:rPr>
              <w:t>，船舶方</w:t>
            </w:r>
          </w:p>
          <w:p w14:paraId="57ABE205">
            <w:pPr>
              <w:pStyle w:val="8"/>
              <w:spacing w:before="26" w:line="220" w:lineRule="auto"/>
              <w:ind w:left="112"/>
            </w:pPr>
            <w:r>
              <w:rPr>
                <w:spacing w:val="-4"/>
              </w:rPr>
              <w:t>可运营。</w:t>
            </w:r>
          </w:p>
          <w:p w14:paraId="68C7261A">
            <w:pPr>
              <w:pStyle w:val="8"/>
              <w:spacing w:before="25" w:line="233" w:lineRule="auto"/>
              <w:ind w:left="125" w:right="103" w:firstLine="342"/>
            </w:pPr>
            <w:r>
              <w:rPr>
                <w:spacing w:val="-1"/>
              </w:rPr>
              <w:t>第六十四条  国务院交通运输主管部门可以在沿海海域划定船舶大气污染物排放控制区，进入</w:t>
            </w:r>
            <w:r>
              <w:rPr>
                <w:spacing w:val="-2"/>
              </w:rPr>
              <w:t>排放控制区</w:t>
            </w:r>
            <w:r>
              <w:t xml:space="preserve"> </w:t>
            </w:r>
            <w:r>
              <w:rPr>
                <w:spacing w:val="-4"/>
              </w:rPr>
              <w:t>的船舶应当符合船舶相关排放要求。</w:t>
            </w:r>
          </w:p>
          <w:p w14:paraId="70B78D1A">
            <w:pPr>
              <w:pStyle w:val="8"/>
              <w:spacing w:before="26" w:line="218" w:lineRule="auto"/>
              <w:ind w:left="468"/>
            </w:pPr>
            <w:r>
              <w:rPr>
                <w:spacing w:val="-1"/>
              </w:rPr>
              <w:t>第一百一十二条第二款  违反本法规定，伪造船舶排放检验结果或者出具虚假排放检验报告的</w:t>
            </w:r>
            <w:r>
              <w:rPr>
                <w:spacing w:val="-2"/>
              </w:rPr>
              <w:t>，由海事管</w:t>
            </w:r>
          </w:p>
          <w:p w14:paraId="52E6EE34">
            <w:pPr>
              <w:pStyle w:val="8"/>
              <w:spacing w:before="27" w:line="213" w:lineRule="auto"/>
              <w:ind w:left="112"/>
            </w:pPr>
            <w:r>
              <w:rPr>
                <w:spacing w:val="-3"/>
              </w:rPr>
              <w:t>理机构依法予以处罚。</w:t>
            </w:r>
          </w:p>
        </w:tc>
        <w:tc>
          <w:tcPr>
            <w:tcW w:w="1043" w:type="dxa"/>
            <w:vAlign w:val="top"/>
          </w:tcPr>
          <w:p w14:paraId="0AE1E940">
            <w:pPr>
              <w:spacing w:line="295" w:lineRule="auto"/>
              <w:rPr>
                <w:rFonts w:ascii="Arial"/>
                <w:sz w:val="21"/>
              </w:rPr>
            </w:pPr>
          </w:p>
          <w:p w14:paraId="0F0DFA89">
            <w:pPr>
              <w:spacing w:line="296" w:lineRule="auto"/>
              <w:rPr>
                <w:rFonts w:ascii="Arial"/>
                <w:sz w:val="21"/>
              </w:rPr>
            </w:pPr>
          </w:p>
          <w:p w14:paraId="39171510">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2F0DF05F">
            <w:pPr>
              <w:spacing w:line="355" w:lineRule="auto"/>
              <w:rPr>
                <w:rFonts w:ascii="Arial"/>
                <w:sz w:val="21"/>
              </w:rPr>
            </w:pPr>
          </w:p>
          <w:p w14:paraId="7034B7C8">
            <w:pPr>
              <w:spacing w:line="356" w:lineRule="auto"/>
              <w:rPr>
                <w:rFonts w:ascii="Arial"/>
                <w:sz w:val="21"/>
              </w:rPr>
            </w:pPr>
          </w:p>
          <w:p w14:paraId="24560F02">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98710A7">
            <w:pPr>
              <w:spacing w:line="354" w:lineRule="auto"/>
              <w:rPr>
                <w:rFonts w:ascii="Arial"/>
                <w:sz w:val="21"/>
              </w:rPr>
            </w:pPr>
          </w:p>
          <w:p w14:paraId="7FA72019">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5E6DF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4" w:hRule="atLeast"/>
        </w:trPr>
        <w:tc>
          <w:tcPr>
            <w:tcW w:w="641" w:type="dxa"/>
            <w:vAlign w:val="top"/>
          </w:tcPr>
          <w:p w14:paraId="5A6E83B3">
            <w:pPr>
              <w:spacing w:line="286" w:lineRule="auto"/>
              <w:rPr>
                <w:rFonts w:ascii="Arial"/>
                <w:sz w:val="21"/>
              </w:rPr>
            </w:pPr>
          </w:p>
          <w:p w14:paraId="29C6BD36">
            <w:pPr>
              <w:spacing w:line="286" w:lineRule="auto"/>
              <w:rPr>
                <w:rFonts w:ascii="Arial"/>
                <w:sz w:val="21"/>
              </w:rPr>
            </w:pPr>
          </w:p>
          <w:p w14:paraId="77227876">
            <w:pPr>
              <w:spacing w:line="286" w:lineRule="auto"/>
              <w:rPr>
                <w:rFonts w:ascii="Arial"/>
                <w:sz w:val="21"/>
              </w:rPr>
            </w:pPr>
          </w:p>
          <w:p w14:paraId="09B6CD09">
            <w:pPr>
              <w:spacing w:line="286" w:lineRule="auto"/>
              <w:rPr>
                <w:rFonts w:ascii="Arial"/>
                <w:sz w:val="21"/>
              </w:rPr>
            </w:pPr>
          </w:p>
          <w:p w14:paraId="0545E17E">
            <w:pPr>
              <w:pStyle w:val="8"/>
              <w:spacing w:before="58" w:line="183" w:lineRule="auto"/>
              <w:ind w:left="279"/>
            </w:pPr>
            <w:r>
              <w:t>4</w:t>
            </w:r>
          </w:p>
        </w:tc>
        <w:tc>
          <w:tcPr>
            <w:tcW w:w="1136" w:type="dxa"/>
            <w:vAlign w:val="top"/>
          </w:tcPr>
          <w:p w14:paraId="2E04EE91">
            <w:pPr>
              <w:pStyle w:val="8"/>
              <w:spacing w:before="223" w:line="243" w:lineRule="auto"/>
              <w:ind w:left="110" w:right="104" w:hanging="1"/>
              <w:jc w:val="both"/>
            </w:pPr>
            <w:r>
              <w:rPr>
                <w:spacing w:val="3"/>
              </w:rPr>
              <w:t>对拒绝海事</w:t>
            </w:r>
            <w:r>
              <w:rPr>
                <w:spacing w:val="1"/>
              </w:rPr>
              <w:t xml:space="preserve"> </w:t>
            </w:r>
            <w:r>
              <w:rPr>
                <w:spacing w:val="3"/>
              </w:rPr>
              <w:t>管理机构依</w:t>
            </w:r>
            <w:r>
              <w:t xml:space="preserve"> </w:t>
            </w:r>
            <w:r>
              <w:rPr>
                <w:spacing w:val="3"/>
              </w:rPr>
              <w:t>法进行的水</w:t>
            </w:r>
            <w:r>
              <w:t xml:space="preserve"> </w:t>
            </w:r>
            <w:r>
              <w:rPr>
                <w:spacing w:val="3"/>
              </w:rPr>
              <w:t>污染防治监</w:t>
            </w:r>
            <w:r>
              <w:t xml:space="preserve"> </w:t>
            </w:r>
            <w:r>
              <w:rPr>
                <w:spacing w:val="3"/>
              </w:rPr>
              <w:t>督检查，或</w:t>
            </w:r>
            <w:r>
              <w:t xml:space="preserve"> </w:t>
            </w:r>
            <w:r>
              <w:rPr>
                <w:spacing w:val="3"/>
              </w:rPr>
              <w:t>者在接受监</w:t>
            </w:r>
            <w:r>
              <w:t xml:space="preserve"> </w:t>
            </w:r>
            <w:r>
              <w:rPr>
                <w:spacing w:val="3"/>
              </w:rPr>
              <w:t>督检查时弄</w:t>
            </w:r>
            <w:r>
              <w:t xml:space="preserve"> </w:t>
            </w:r>
            <w:r>
              <w:rPr>
                <w:spacing w:val="3"/>
              </w:rPr>
              <w:t>虚作假行为</w:t>
            </w:r>
            <w:r>
              <w:t xml:space="preserve"> </w:t>
            </w:r>
            <w:r>
              <w:rPr>
                <w:spacing w:val="-4"/>
              </w:rPr>
              <w:t>的行政处罚</w:t>
            </w:r>
          </w:p>
        </w:tc>
        <w:tc>
          <w:tcPr>
            <w:tcW w:w="1136" w:type="dxa"/>
            <w:vAlign w:val="top"/>
          </w:tcPr>
          <w:p w14:paraId="7531E698">
            <w:pPr>
              <w:spacing w:line="278" w:lineRule="auto"/>
              <w:rPr>
                <w:rFonts w:ascii="Arial"/>
                <w:sz w:val="21"/>
              </w:rPr>
            </w:pPr>
          </w:p>
          <w:p w14:paraId="223CBCA6">
            <w:pPr>
              <w:spacing w:line="279" w:lineRule="auto"/>
              <w:rPr>
                <w:rFonts w:ascii="Arial"/>
                <w:sz w:val="21"/>
              </w:rPr>
            </w:pPr>
          </w:p>
          <w:p w14:paraId="359048CD">
            <w:pPr>
              <w:spacing w:line="279" w:lineRule="auto"/>
              <w:rPr>
                <w:rFonts w:ascii="Arial"/>
                <w:sz w:val="21"/>
              </w:rPr>
            </w:pPr>
          </w:p>
          <w:p w14:paraId="4BB819F3">
            <w:pPr>
              <w:spacing w:line="279" w:lineRule="auto"/>
              <w:rPr>
                <w:rFonts w:ascii="Arial"/>
                <w:sz w:val="21"/>
              </w:rPr>
            </w:pPr>
          </w:p>
          <w:p w14:paraId="6757045D">
            <w:pPr>
              <w:pStyle w:val="8"/>
              <w:spacing w:before="59" w:line="220" w:lineRule="auto"/>
              <w:ind w:left="114"/>
            </w:pPr>
            <w:r>
              <w:rPr>
                <w:spacing w:val="-7"/>
              </w:rPr>
              <w:t>行政处罚</w:t>
            </w:r>
          </w:p>
        </w:tc>
        <w:tc>
          <w:tcPr>
            <w:tcW w:w="8806" w:type="dxa"/>
            <w:vAlign w:val="top"/>
          </w:tcPr>
          <w:p w14:paraId="6EE2565A">
            <w:pPr>
              <w:pStyle w:val="8"/>
              <w:spacing w:before="101" w:line="219" w:lineRule="auto"/>
              <w:ind w:left="481"/>
            </w:pPr>
            <w:r>
              <w:rPr>
                <w:b/>
                <w:bCs/>
                <w:spacing w:val="-5"/>
              </w:rPr>
              <w:t>1.《中华人民共和国水污染防治法》</w:t>
            </w:r>
          </w:p>
          <w:p w14:paraId="109E35D2">
            <w:pPr>
              <w:pStyle w:val="8"/>
              <w:spacing w:before="27" w:line="237" w:lineRule="auto"/>
              <w:ind w:left="109" w:right="103" w:firstLine="359"/>
              <w:jc w:val="both"/>
            </w:pPr>
            <w:r>
              <w:rPr>
                <w:spacing w:val="-1"/>
              </w:rPr>
              <w:t>第三十条  环境保护主管部门和其他依照本法规定行使监督管理权的部门，有权对管辖范围内</w:t>
            </w:r>
            <w:r>
              <w:rPr>
                <w:spacing w:val="-2"/>
              </w:rPr>
              <w:t>的排污单位</w:t>
            </w:r>
            <w:r>
              <w:t xml:space="preserve"> </w:t>
            </w:r>
            <w:r>
              <w:rPr>
                <w:spacing w:val="-1"/>
              </w:rPr>
              <w:t>进行现场检查，被检查的单位应当如实反映情况，提供必要的资料。检查机关有义务为被检查的单</w:t>
            </w:r>
            <w:r>
              <w:rPr>
                <w:spacing w:val="-2"/>
              </w:rPr>
              <w:t>位保守在检</w:t>
            </w:r>
            <w:r>
              <w:t xml:space="preserve"> </w:t>
            </w:r>
            <w:r>
              <w:rPr>
                <w:spacing w:val="-3"/>
              </w:rPr>
              <w:t>查中获取的商业秘密。</w:t>
            </w:r>
          </w:p>
          <w:p w14:paraId="45D3C43C">
            <w:pPr>
              <w:pStyle w:val="8"/>
              <w:spacing w:before="26" w:line="237" w:lineRule="auto"/>
              <w:ind w:left="111" w:right="103" w:firstLine="356"/>
              <w:jc w:val="both"/>
            </w:pPr>
            <w:r>
              <w:rPr>
                <w:spacing w:val="-1"/>
              </w:rPr>
              <w:t>第八十一条  以拖延、围堵、滞留执法人员等方式拒绝、阻挠环境保护主管部门或者其他依照</w:t>
            </w:r>
            <w:r>
              <w:rPr>
                <w:spacing w:val="-2"/>
              </w:rPr>
              <w:t>本法规定行</w:t>
            </w:r>
            <w:r>
              <w:t xml:space="preserve"> </w:t>
            </w:r>
            <w:r>
              <w:rPr>
                <w:spacing w:val="-1"/>
              </w:rPr>
              <w:t>使监督管理权的部门的监督检查，或者在接受监督检查时弄虚作假的，由县级以上人民政府环</w:t>
            </w:r>
            <w:r>
              <w:rPr>
                <w:spacing w:val="-2"/>
              </w:rPr>
              <w:t>境保护主管部门</w:t>
            </w:r>
            <w:r>
              <w:t xml:space="preserve"> </w:t>
            </w:r>
            <w:r>
              <w:rPr>
                <w:spacing w:val="-2"/>
              </w:rPr>
              <w:t>或者其他依照本法规定行使监督管理权的部门责令改</w:t>
            </w:r>
            <w:r>
              <w:rPr>
                <w:spacing w:val="-3"/>
              </w:rPr>
              <w:t>正，处二万元以上二十万元以下的罚款。</w:t>
            </w:r>
          </w:p>
          <w:p w14:paraId="40A40942">
            <w:pPr>
              <w:pStyle w:val="8"/>
              <w:spacing w:before="26" w:line="207" w:lineRule="auto"/>
              <w:ind w:left="470"/>
            </w:pPr>
            <w:r>
              <w:rPr>
                <w:b/>
                <w:bCs/>
                <w:spacing w:val="-3"/>
              </w:rPr>
              <w:t>2.《中华人民共和国内河海事行政处罚规定》（交通运输部令202</w:t>
            </w:r>
            <w:r>
              <w:rPr>
                <w:b/>
                <w:bCs/>
                <w:spacing w:val="-4"/>
              </w:rPr>
              <w:t>2年第28号）</w:t>
            </w:r>
          </w:p>
          <w:p w14:paraId="54983024">
            <w:pPr>
              <w:pStyle w:val="8"/>
              <w:spacing w:before="1" w:line="263" w:lineRule="auto"/>
              <w:ind w:left="116" w:right="103" w:firstLine="352"/>
            </w:pPr>
            <w:r>
              <w:rPr>
                <w:spacing w:val="-1"/>
              </w:rPr>
              <w:t>第三十五条  违反《</w:t>
            </w:r>
            <w:r>
              <w:fldChar w:fldCharType="begin"/>
            </w:r>
            <w:r>
              <w:instrText xml:space="preserve"> HYPERLINK "https://www.pkulaw.com/chl/javascript:SLC(297378)" </w:instrText>
            </w:r>
            <w:r>
              <w:fldChar w:fldCharType="separate"/>
            </w:r>
            <w:r>
              <w:rPr>
                <w:spacing w:val="-1"/>
              </w:rPr>
              <w:t>水污染防治法</w:t>
            </w:r>
            <w:r>
              <w:rPr>
                <w:spacing w:val="-1"/>
              </w:rPr>
              <w:fldChar w:fldCharType="end"/>
            </w:r>
            <w:r>
              <w:rPr>
                <w:spacing w:val="-1"/>
              </w:rPr>
              <w:t>》第</w:t>
            </w:r>
            <w:r>
              <w:fldChar w:fldCharType="begin"/>
            </w:r>
            <w:r>
              <w:instrText xml:space="preserve"> HYPERLINK "https://www.pkulaw.com/chl/javascript:SLC(297378,30)" </w:instrText>
            </w:r>
            <w:r>
              <w:fldChar w:fldCharType="separate"/>
            </w:r>
            <w:r>
              <w:rPr>
                <w:spacing w:val="-1"/>
              </w:rPr>
              <w:t>三十条</w:t>
            </w:r>
            <w:r>
              <w:rPr>
                <w:spacing w:val="-1"/>
              </w:rPr>
              <w:fldChar w:fldCharType="end"/>
            </w:r>
            <w:r>
              <w:rPr>
                <w:spacing w:val="-1"/>
              </w:rPr>
              <w:t>的规定，拒绝海事管理机构现场检查，或者弄虚</w:t>
            </w:r>
            <w:r>
              <w:rPr>
                <w:spacing w:val="-2"/>
              </w:rPr>
              <w:t>作假的，依</w:t>
            </w:r>
            <w:r>
              <w:t xml:space="preserve"> </w:t>
            </w:r>
            <w:r>
              <w:rPr>
                <w:spacing w:val="-3"/>
              </w:rPr>
              <w:t>照《</w:t>
            </w:r>
            <w:r>
              <w:fldChar w:fldCharType="begin"/>
            </w:r>
            <w:r>
              <w:instrText xml:space="preserve"> HYPERLINK "https://www.pkulaw.com/chl/javascript:SLC(297378)" </w:instrText>
            </w:r>
            <w:r>
              <w:fldChar w:fldCharType="separate"/>
            </w:r>
            <w:r>
              <w:rPr>
                <w:spacing w:val="-3"/>
              </w:rPr>
              <w:t>水污染防治法》第八十一条</w:t>
            </w:r>
            <w:r>
              <w:rPr>
                <w:spacing w:val="-3"/>
              </w:rPr>
              <w:fldChar w:fldCharType="end"/>
            </w:r>
            <w:r>
              <w:rPr>
                <w:spacing w:val="-3"/>
              </w:rPr>
              <w:t>的规定进行处罚。</w:t>
            </w:r>
          </w:p>
        </w:tc>
        <w:tc>
          <w:tcPr>
            <w:tcW w:w="1043" w:type="dxa"/>
            <w:vAlign w:val="top"/>
          </w:tcPr>
          <w:p w14:paraId="3609473C">
            <w:pPr>
              <w:spacing w:line="249" w:lineRule="auto"/>
              <w:rPr>
                <w:rFonts w:ascii="Arial"/>
                <w:sz w:val="21"/>
              </w:rPr>
            </w:pPr>
          </w:p>
          <w:p w14:paraId="3595401B">
            <w:pPr>
              <w:spacing w:line="249" w:lineRule="auto"/>
              <w:rPr>
                <w:rFonts w:ascii="Arial"/>
                <w:sz w:val="21"/>
              </w:rPr>
            </w:pPr>
          </w:p>
          <w:p w14:paraId="50BA394E">
            <w:pPr>
              <w:spacing w:line="249" w:lineRule="auto"/>
              <w:rPr>
                <w:rFonts w:ascii="Arial"/>
                <w:sz w:val="21"/>
              </w:rPr>
            </w:pPr>
          </w:p>
          <w:p w14:paraId="4BB9BD55">
            <w:pPr>
              <w:spacing w:line="249" w:lineRule="auto"/>
              <w:rPr>
                <w:rFonts w:ascii="Arial"/>
                <w:sz w:val="21"/>
              </w:rPr>
            </w:pPr>
          </w:p>
          <w:p w14:paraId="5225C259">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4CE0E7A">
            <w:pPr>
              <w:spacing w:line="279" w:lineRule="auto"/>
              <w:rPr>
                <w:rFonts w:ascii="Arial"/>
                <w:sz w:val="21"/>
              </w:rPr>
            </w:pPr>
          </w:p>
          <w:p w14:paraId="7C6CB183">
            <w:pPr>
              <w:spacing w:line="279" w:lineRule="auto"/>
              <w:rPr>
                <w:rFonts w:ascii="Arial"/>
                <w:sz w:val="21"/>
              </w:rPr>
            </w:pPr>
          </w:p>
          <w:p w14:paraId="63F606E2">
            <w:pPr>
              <w:spacing w:line="279" w:lineRule="auto"/>
              <w:rPr>
                <w:rFonts w:ascii="Arial"/>
                <w:sz w:val="21"/>
              </w:rPr>
            </w:pPr>
          </w:p>
          <w:p w14:paraId="565A7887">
            <w:pPr>
              <w:spacing w:line="279" w:lineRule="auto"/>
              <w:rPr>
                <w:rFonts w:ascii="Arial"/>
                <w:sz w:val="21"/>
              </w:rPr>
            </w:pPr>
          </w:p>
          <w:p w14:paraId="55EA00EC">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29BC162">
            <w:pPr>
              <w:spacing w:line="253" w:lineRule="auto"/>
              <w:rPr>
                <w:rFonts w:ascii="Arial"/>
                <w:sz w:val="21"/>
              </w:rPr>
            </w:pPr>
          </w:p>
          <w:p w14:paraId="703BDE1C">
            <w:pPr>
              <w:spacing w:line="253" w:lineRule="auto"/>
              <w:rPr>
                <w:rFonts w:ascii="Arial"/>
                <w:sz w:val="21"/>
              </w:rPr>
            </w:pPr>
          </w:p>
          <w:p w14:paraId="3AD5BEFD">
            <w:pPr>
              <w:spacing w:line="253" w:lineRule="auto"/>
              <w:rPr>
                <w:rFonts w:ascii="Arial"/>
                <w:sz w:val="21"/>
              </w:rPr>
            </w:pPr>
          </w:p>
          <w:p w14:paraId="189C0597">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47C35CB2">
      <w:pPr>
        <w:pStyle w:val="2"/>
        <w:spacing w:line="201" w:lineRule="exact"/>
        <w:rPr>
          <w:sz w:val="17"/>
        </w:rPr>
      </w:pPr>
    </w:p>
    <w:p w14:paraId="27DEDFF1">
      <w:pPr>
        <w:spacing w:line="201" w:lineRule="exact"/>
        <w:rPr>
          <w:sz w:val="17"/>
          <w:szCs w:val="17"/>
        </w:rPr>
        <w:sectPr>
          <w:footerReference r:id="rId168" w:type="default"/>
          <w:pgSz w:w="16839" w:h="11906"/>
          <w:pgMar w:top="1012" w:right="788" w:bottom="967" w:left="787" w:header="0" w:footer="768" w:gutter="0"/>
          <w:cols w:space="720" w:num="1"/>
        </w:sectPr>
      </w:pPr>
    </w:p>
    <w:p w14:paraId="040C4074">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3505C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15A818EF">
            <w:pPr>
              <w:pStyle w:val="8"/>
              <w:spacing w:before="267" w:line="221" w:lineRule="auto"/>
              <w:ind w:left="142"/>
            </w:pPr>
            <w:r>
              <w:rPr>
                <w:b/>
                <w:bCs/>
                <w:spacing w:val="-4"/>
              </w:rPr>
              <w:t>序号</w:t>
            </w:r>
          </w:p>
        </w:tc>
        <w:tc>
          <w:tcPr>
            <w:tcW w:w="1136" w:type="dxa"/>
            <w:vMerge w:val="restart"/>
            <w:tcBorders>
              <w:bottom w:val="nil"/>
            </w:tcBorders>
            <w:vAlign w:val="top"/>
          </w:tcPr>
          <w:p w14:paraId="7EFFE2CB">
            <w:pPr>
              <w:pStyle w:val="8"/>
              <w:spacing w:before="267" w:line="220" w:lineRule="auto"/>
              <w:ind w:left="208"/>
            </w:pPr>
            <w:r>
              <w:rPr>
                <w:b/>
                <w:bCs/>
                <w:spacing w:val="-4"/>
              </w:rPr>
              <w:t>事项名称</w:t>
            </w:r>
          </w:p>
        </w:tc>
        <w:tc>
          <w:tcPr>
            <w:tcW w:w="1136" w:type="dxa"/>
            <w:vMerge w:val="restart"/>
            <w:tcBorders>
              <w:bottom w:val="nil"/>
            </w:tcBorders>
            <w:vAlign w:val="top"/>
          </w:tcPr>
          <w:p w14:paraId="50D2FE93">
            <w:pPr>
              <w:pStyle w:val="8"/>
              <w:spacing w:before="267" w:line="219" w:lineRule="auto"/>
              <w:ind w:left="210"/>
            </w:pPr>
            <w:r>
              <w:rPr>
                <w:b/>
                <w:bCs/>
                <w:spacing w:val="-4"/>
              </w:rPr>
              <w:t>职权类型</w:t>
            </w:r>
          </w:p>
        </w:tc>
        <w:tc>
          <w:tcPr>
            <w:tcW w:w="8806" w:type="dxa"/>
            <w:vMerge w:val="restart"/>
            <w:tcBorders>
              <w:bottom w:val="nil"/>
            </w:tcBorders>
            <w:vAlign w:val="top"/>
          </w:tcPr>
          <w:p w14:paraId="4D198968">
            <w:pPr>
              <w:pStyle w:val="8"/>
              <w:spacing w:before="267" w:line="219" w:lineRule="auto"/>
              <w:ind w:left="4050"/>
            </w:pPr>
            <w:r>
              <w:rPr>
                <w:b/>
                <w:bCs/>
                <w:spacing w:val="-5"/>
              </w:rPr>
              <w:t>实施依据</w:t>
            </w:r>
          </w:p>
        </w:tc>
        <w:tc>
          <w:tcPr>
            <w:tcW w:w="3538" w:type="dxa"/>
            <w:gridSpan w:val="3"/>
            <w:vAlign w:val="top"/>
          </w:tcPr>
          <w:p w14:paraId="44F7352B">
            <w:pPr>
              <w:pStyle w:val="8"/>
              <w:spacing w:before="92" w:line="220" w:lineRule="auto"/>
              <w:ind w:left="1415"/>
            </w:pPr>
            <w:r>
              <w:rPr>
                <w:b/>
                <w:bCs/>
                <w:spacing w:val="-5"/>
              </w:rPr>
              <w:t>实施主体</w:t>
            </w:r>
          </w:p>
        </w:tc>
      </w:tr>
      <w:tr w14:paraId="79AAC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5F8406F1">
            <w:pPr>
              <w:rPr>
                <w:rFonts w:ascii="Arial"/>
                <w:sz w:val="21"/>
              </w:rPr>
            </w:pPr>
          </w:p>
        </w:tc>
        <w:tc>
          <w:tcPr>
            <w:tcW w:w="1136" w:type="dxa"/>
            <w:vMerge w:val="continue"/>
            <w:tcBorders>
              <w:top w:val="nil"/>
            </w:tcBorders>
            <w:vAlign w:val="top"/>
          </w:tcPr>
          <w:p w14:paraId="03C2DE71">
            <w:pPr>
              <w:rPr>
                <w:rFonts w:ascii="Arial"/>
                <w:sz w:val="21"/>
              </w:rPr>
            </w:pPr>
          </w:p>
        </w:tc>
        <w:tc>
          <w:tcPr>
            <w:tcW w:w="1136" w:type="dxa"/>
            <w:vMerge w:val="continue"/>
            <w:tcBorders>
              <w:top w:val="nil"/>
            </w:tcBorders>
            <w:vAlign w:val="top"/>
          </w:tcPr>
          <w:p w14:paraId="5FC3EB23">
            <w:pPr>
              <w:rPr>
                <w:rFonts w:ascii="Arial"/>
                <w:sz w:val="21"/>
              </w:rPr>
            </w:pPr>
          </w:p>
        </w:tc>
        <w:tc>
          <w:tcPr>
            <w:tcW w:w="8806" w:type="dxa"/>
            <w:vMerge w:val="continue"/>
            <w:tcBorders>
              <w:top w:val="nil"/>
            </w:tcBorders>
            <w:vAlign w:val="top"/>
          </w:tcPr>
          <w:p w14:paraId="4543D791">
            <w:pPr>
              <w:rPr>
                <w:rFonts w:ascii="Arial"/>
                <w:sz w:val="21"/>
              </w:rPr>
            </w:pPr>
          </w:p>
        </w:tc>
        <w:tc>
          <w:tcPr>
            <w:tcW w:w="1043" w:type="dxa"/>
            <w:vAlign w:val="top"/>
          </w:tcPr>
          <w:p w14:paraId="769A1552">
            <w:pPr>
              <w:pStyle w:val="8"/>
              <w:spacing w:before="88" w:line="219" w:lineRule="auto"/>
              <w:ind w:left="171"/>
            </w:pPr>
            <w:r>
              <w:rPr>
                <w:b/>
                <w:bCs/>
                <w:spacing w:val="-5"/>
              </w:rPr>
              <w:t>责任部门</w:t>
            </w:r>
          </w:p>
        </w:tc>
        <w:tc>
          <w:tcPr>
            <w:tcW w:w="1448" w:type="dxa"/>
            <w:vAlign w:val="top"/>
          </w:tcPr>
          <w:p w14:paraId="0C909150">
            <w:pPr>
              <w:pStyle w:val="8"/>
              <w:spacing w:before="88" w:line="219" w:lineRule="auto"/>
              <w:ind w:left="187"/>
            </w:pPr>
            <w:r>
              <w:rPr>
                <w:b/>
                <w:bCs/>
                <w:spacing w:val="-3"/>
              </w:rPr>
              <w:t>第一责任层级</w:t>
            </w:r>
          </w:p>
        </w:tc>
        <w:tc>
          <w:tcPr>
            <w:tcW w:w="1047" w:type="dxa"/>
            <w:vAlign w:val="top"/>
          </w:tcPr>
          <w:p w14:paraId="75C531A0">
            <w:pPr>
              <w:pStyle w:val="8"/>
              <w:spacing w:before="88" w:line="219" w:lineRule="auto"/>
              <w:ind w:left="165"/>
            </w:pPr>
            <w:r>
              <w:rPr>
                <w:b/>
                <w:bCs/>
                <w:spacing w:val="-4"/>
              </w:rPr>
              <w:t>承办机构</w:t>
            </w:r>
          </w:p>
        </w:tc>
      </w:tr>
      <w:tr w14:paraId="387F3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41" w:type="dxa"/>
            <w:vAlign w:val="top"/>
          </w:tcPr>
          <w:p w14:paraId="63890B2A">
            <w:pPr>
              <w:spacing w:line="270" w:lineRule="auto"/>
              <w:rPr>
                <w:rFonts w:ascii="Arial"/>
                <w:sz w:val="21"/>
              </w:rPr>
            </w:pPr>
          </w:p>
          <w:p w14:paraId="59CAF4B8">
            <w:pPr>
              <w:spacing w:line="270" w:lineRule="auto"/>
              <w:rPr>
                <w:rFonts w:ascii="Arial"/>
                <w:sz w:val="21"/>
              </w:rPr>
            </w:pPr>
          </w:p>
          <w:p w14:paraId="07ED5AFB">
            <w:pPr>
              <w:spacing w:line="271" w:lineRule="auto"/>
              <w:rPr>
                <w:rFonts w:ascii="Arial"/>
                <w:sz w:val="21"/>
              </w:rPr>
            </w:pPr>
          </w:p>
          <w:p w14:paraId="6979EA60">
            <w:pPr>
              <w:spacing w:line="271" w:lineRule="auto"/>
              <w:rPr>
                <w:rFonts w:ascii="Arial"/>
                <w:sz w:val="21"/>
              </w:rPr>
            </w:pPr>
          </w:p>
          <w:p w14:paraId="04AADE80">
            <w:pPr>
              <w:pStyle w:val="8"/>
              <w:spacing w:before="59" w:line="182" w:lineRule="auto"/>
              <w:ind w:left="284"/>
            </w:pPr>
            <w:r>
              <w:t>5</w:t>
            </w:r>
          </w:p>
        </w:tc>
        <w:tc>
          <w:tcPr>
            <w:tcW w:w="1136" w:type="dxa"/>
            <w:vAlign w:val="top"/>
          </w:tcPr>
          <w:p w14:paraId="6B7D930A">
            <w:pPr>
              <w:pStyle w:val="8"/>
              <w:spacing w:before="34" w:line="242" w:lineRule="auto"/>
              <w:ind w:left="108" w:right="104"/>
              <w:jc w:val="both"/>
            </w:pPr>
            <w:r>
              <w:rPr>
                <w:spacing w:val="3"/>
              </w:rPr>
              <w:t>对船舶未配</w:t>
            </w:r>
            <w:r>
              <w:rPr>
                <w:spacing w:val="1"/>
              </w:rPr>
              <w:t xml:space="preserve"> </w:t>
            </w:r>
            <w:r>
              <w:rPr>
                <w:spacing w:val="3"/>
              </w:rPr>
              <w:t>置相应的防</w:t>
            </w:r>
            <w:r>
              <w:rPr>
                <w:spacing w:val="2"/>
              </w:rPr>
              <w:t xml:space="preserve"> </w:t>
            </w:r>
            <w:r>
              <w:rPr>
                <w:spacing w:val="3"/>
              </w:rPr>
              <w:t>污染设备和</w:t>
            </w:r>
            <w:r>
              <w:rPr>
                <w:spacing w:val="2"/>
              </w:rPr>
              <w:t xml:space="preserve"> </w:t>
            </w:r>
            <w:r>
              <w:rPr>
                <w:spacing w:val="3"/>
              </w:rPr>
              <w:t>器材，或者</w:t>
            </w:r>
            <w:r>
              <w:rPr>
                <w:spacing w:val="2"/>
              </w:rPr>
              <w:t xml:space="preserve"> </w:t>
            </w:r>
            <w:r>
              <w:rPr>
                <w:spacing w:val="3"/>
              </w:rPr>
              <w:t>未持有合法</w:t>
            </w:r>
            <w:r>
              <w:rPr>
                <w:spacing w:val="2"/>
              </w:rPr>
              <w:t xml:space="preserve"> </w:t>
            </w:r>
            <w:r>
              <w:rPr>
                <w:spacing w:val="3"/>
              </w:rPr>
              <w:t>有效的防止</w:t>
            </w:r>
            <w:r>
              <w:rPr>
                <w:spacing w:val="2"/>
              </w:rPr>
              <w:t xml:space="preserve"> </w:t>
            </w:r>
            <w:r>
              <w:rPr>
                <w:spacing w:val="3"/>
              </w:rPr>
              <w:t>水域环境污</w:t>
            </w:r>
            <w:r>
              <w:rPr>
                <w:spacing w:val="2"/>
              </w:rPr>
              <w:t xml:space="preserve"> </w:t>
            </w:r>
            <w:r>
              <w:rPr>
                <w:spacing w:val="3"/>
              </w:rPr>
              <w:t>染的证书与</w:t>
            </w:r>
            <w:r>
              <w:rPr>
                <w:spacing w:val="2"/>
              </w:rPr>
              <w:t xml:space="preserve"> </w:t>
            </w:r>
            <w:r>
              <w:rPr>
                <w:spacing w:val="3"/>
              </w:rPr>
              <w:t>文书行为的</w:t>
            </w:r>
            <w:r>
              <w:rPr>
                <w:spacing w:val="2"/>
              </w:rPr>
              <w:t xml:space="preserve"> </w:t>
            </w:r>
            <w:r>
              <w:rPr>
                <w:spacing w:val="-4"/>
              </w:rPr>
              <w:t>行政处罚</w:t>
            </w:r>
          </w:p>
        </w:tc>
        <w:tc>
          <w:tcPr>
            <w:tcW w:w="1136" w:type="dxa"/>
            <w:vAlign w:val="top"/>
          </w:tcPr>
          <w:p w14:paraId="471A4FB5">
            <w:pPr>
              <w:spacing w:line="263" w:lineRule="auto"/>
              <w:rPr>
                <w:rFonts w:ascii="Arial"/>
                <w:sz w:val="21"/>
              </w:rPr>
            </w:pPr>
          </w:p>
          <w:p w14:paraId="5F920233">
            <w:pPr>
              <w:spacing w:line="263" w:lineRule="auto"/>
              <w:rPr>
                <w:rFonts w:ascii="Arial"/>
                <w:sz w:val="21"/>
              </w:rPr>
            </w:pPr>
          </w:p>
          <w:p w14:paraId="01624840">
            <w:pPr>
              <w:spacing w:line="263" w:lineRule="auto"/>
              <w:rPr>
                <w:rFonts w:ascii="Arial"/>
                <w:sz w:val="21"/>
              </w:rPr>
            </w:pPr>
          </w:p>
          <w:p w14:paraId="79342D5A">
            <w:pPr>
              <w:spacing w:line="264" w:lineRule="auto"/>
              <w:rPr>
                <w:rFonts w:ascii="Arial"/>
                <w:sz w:val="21"/>
              </w:rPr>
            </w:pPr>
          </w:p>
          <w:p w14:paraId="6EF19176">
            <w:pPr>
              <w:pStyle w:val="8"/>
              <w:spacing w:before="59" w:line="220" w:lineRule="auto"/>
              <w:ind w:left="114"/>
            </w:pPr>
            <w:r>
              <w:rPr>
                <w:spacing w:val="-7"/>
              </w:rPr>
              <w:t>行政处罚</w:t>
            </w:r>
          </w:p>
        </w:tc>
        <w:tc>
          <w:tcPr>
            <w:tcW w:w="8806" w:type="dxa"/>
            <w:vAlign w:val="top"/>
          </w:tcPr>
          <w:p w14:paraId="3F955C73">
            <w:pPr>
              <w:spacing w:line="338" w:lineRule="auto"/>
              <w:rPr>
                <w:rFonts w:ascii="Arial"/>
                <w:sz w:val="21"/>
              </w:rPr>
            </w:pPr>
          </w:p>
          <w:p w14:paraId="46388A5B">
            <w:pPr>
              <w:pStyle w:val="8"/>
              <w:spacing w:before="58" w:line="219" w:lineRule="auto"/>
              <w:ind w:left="473"/>
            </w:pPr>
            <w:r>
              <w:rPr>
                <w:b/>
                <w:bCs/>
                <w:spacing w:val="-4"/>
              </w:rPr>
              <w:t>《中华人民共和国水污染防治法》</w:t>
            </w:r>
          </w:p>
          <w:p w14:paraId="738241D2">
            <w:pPr>
              <w:pStyle w:val="8"/>
              <w:spacing w:before="25" w:line="233" w:lineRule="auto"/>
              <w:ind w:left="111" w:right="103" w:firstLine="356"/>
            </w:pPr>
            <w:r>
              <w:rPr>
                <w:spacing w:val="-1"/>
              </w:rPr>
              <w:t>第六十条第一款  船舶应当按照国家有关规定配置相应的防污设备和器材，并持有合法有效的</w:t>
            </w:r>
            <w:r>
              <w:rPr>
                <w:spacing w:val="-2"/>
              </w:rPr>
              <w:t>防止水域环</w:t>
            </w:r>
            <w:r>
              <w:t xml:space="preserve"> </w:t>
            </w:r>
            <w:r>
              <w:rPr>
                <w:spacing w:val="-5"/>
              </w:rPr>
              <w:t>境污染</w:t>
            </w:r>
            <w:r>
              <w:rPr>
                <w:spacing w:val="23"/>
              </w:rPr>
              <w:t xml:space="preserve"> </w:t>
            </w:r>
            <w:r>
              <w:rPr>
                <w:spacing w:val="-5"/>
              </w:rPr>
              <w:t>的证书与文书。</w:t>
            </w:r>
          </w:p>
          <w:p w14:paraId="2129DCE4">
            <w:pPr>
              <w:pStyle w:val="8"/>
              <w:spacing w:before="26" w:line="237" w:lineRule="auto"/>
              <w:ind w:left="109" w:right="103" w:firstLine="359"/>
            </w:pPr>
            <w:r>
              <w:rPr>
                <w:spacing w:val="-1"/>
              </w:rPr>
              <w:t>第八十九条第一款  船舶未配置相应的防污染设备和器材，或者未持有合法有效的防止水域环</w:t>
            </w:r>
            <w:r>
              <w:rPr>
                <w:spacing w:val="-2"/>
              </w:rPr>
              <w:t>境污染的证</w:t>
            </w:r>
            <w:r>
              <w:t xml:space="preserve"> </w:t>
            </w:r>
            <w:r>
              <w:rPr>
                <w:spacing w:val="-3"/>
              </w:rPr>
              <w:t>书与文书的，由海事管理机构、渔业主管部门按照职责分工责令限期改正， 处二千元以上二万元以下的罚款；</w:t>
            </w:r>
            <w:r>
              <w:rPr>
                <w:spacing w:val="4"/>
              </w:rPr>
              <w:t xml:space="preserve"> </w:t>
            </w:r>
            <w:r>
              <w:rPr>
                <w:spacing w:val="-3"/>
              </w:rPr>
              <w:t>逾期不改正的， 责令船舶临时停航。</w:t>
            </w:r>
          </w:p>
        </w:tc>
        <w:tc>
          <w:tcPr>
            <w:tcW w:w="1043" w:type="dxa"/>
            <w:vAlign w:val="top"/>
          </w:tcPr>
          <w:p w14:paraId="5B88A44C">
            <w:pPr>
              <w:spacing w:line="311" w:lineRule="auto"/>
              <w:rPr>
                <w:rFonts w:ascii="Arial"/>
                <w:sz w:val="21"/>
              </w:rPr>
            </w:pPr>
          </w:p>
          <w:p w14:paraId="75A099A3">
            <w:pPr>
              <w:spacing w:line="311" w:lineRule="auto"/>
              <w:rPr>
                <w:rFonts w:ascii="Arial"/>
                <w:sz w:val="21"/>
              </w:rPr>
            </w:pPr>
          </w:p>
          <w:p w14:paraId="4FB7626A">
            <w:pPr>
              <w:spacing w:line="312" w:lineRule="auto"/>
              <w:rPr>
                <w:rFonts w:ascii="Arial"/>
                <w:sz w:val="21"/>
              </w:rPr>
            </w:pPr>
          </w:p>
          <w:p w14:paraId="4716E3C3">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3CEF65D3">
            <w:pPr>
              <w:spacing w:line="263" w:lineRule="auto"/>
              <w:rPr>
                <w:rFonts w:ascii="Arial"/>
                <w:sz w:val="21"/>
              </w:rPr>
            </w:pPr>
          </w:p>
          <w:p w14:paraId="06D20C7D">
            <w:pPr>
              <w:spacing w:line="263" w:lineRule="auto"/>
              <w:rPr>
                <w:rFonts w:ascii="Arial"/>
                <w:sz w:val="21"/>
              </w:rPr>
            </w:pPr>
          </w:p>
          <w:p w14:paraId="2941F2BC">
            <w:pPr>
              <w:spacing w:line="263" w:lineRule="auto"/>
              <w:rPr>
                <w:rFonts w:ascii="Arial"/>
                <w:sz w:val="21"/>
              </w:rPr>
            </w:pPr>
          </w:p>
          <w:p w14:paraId="1E3B0749">
            <w:pPr>
              <w:spacing w:line="264" w:lineRule="auto"/>
              <w:rPr>
                <w:rFonts w:ascii="Arial"/>
                <w:sz w:val="21"/>
              </w:rPr>
            </w:pPr>
          </w:p>
          <w:p w14:paraId="0F58BB0E">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1C3D4A6">
            <w:pPr>
              <w:spacing w:line="348" w:lineRule="auto"/>
              <w:rPr>
                <w:rFonts w:ascii="Arial"/>
                <w:sz w:val="21"/>
              </w:rPr>
            </w:pPr>
          </w:p>
          <w:p w14:paraId="51C24AE6">
            <w:pPr>
              <w:spacing w:line="349" w:lineRule="auto"/>
              <w:rPr>
                <w:rFonts w:ascii="Arial"/>
                <w:sz w:val="21"/>
              </w:rPr>
            </w:pPr>
          </w:p>
          <w:p w14:paraId="2E4609DA">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7FAA0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41" w:type="dxa"/>
            <w:vAlign w:val="top"/>
          </w:tcPr>
          <w:p w14:paraId="198F79B3">
            <w:pPr>
              <w:spacing w:line="270" w:lineRule="auto"/>
              <w:rPr>
                <w:rFonts w:ascii="Arial"/>
                <w:sz w:val="21"/>
              </w:rPr>
            </w:pPr>
          </w:p>
          <w:p w14:paraId="12994AEF">
            <w:pPr>
              <w:spacing w:line="270" w:lineRule="auto"/>
              <w:rPr>
                <w:rFonts w:ascii="Arial"/>
                <w:sz w:val="21"/>
              </w:rPr>
            </w:pPr>
          </w:p>
          <w:p w14:paraId="480C3727">
            <w:pPr>
              <w:spacing w:line="271" w:lineRule="auto"/>
              <w:rPr>
                <w:rFonts w:ascii="Arial"/>
                <w:sz w:val="21"/>
              </w:rPr>
            </w:pPr>
          </w:p>
          <w:p w14:paraId="60E2BF74">
            <w:pPr>
              <w:spacing w:line="271" w:lineRule="auto"/>
              <w:rPr>
                <w:rFonts w:ascii="Arial"/>
                <w:sz w:val="21"/>
              </w:rPr>
            </w:pPr>
          </w:p>
          <w:p w14:paraId="618709AD">
            <w:pPr>
              <w:pStyle w:val="8"/>
              <w:spacing w:before="58" w:line="183" w:lineRule="auto"/>
              <w:ind w:left="281"/>
            </w:pPr>
            <w:r>
              <w:t>6</w:t>
            </w:r>
          </w:p>
        </w:tc>
        <w:tc>
          <w:tcPr>
            <w:tcW w:w="1136" w:type="dxa"/>
            <w:vAlign w:val="top"/>
          </w:tcPr>
          <w:p w14:paraId="5B1DF32D">
            <w:pPr>
              <w:pStyle w:val="8"/>
              <w:spacing w:before="34" w:line="242" w:lineRule="auto"/>
              <w:ind w:left="109" w:right="104"/>
              <w:jc w:val="both"/>
            </w:pPr>
            <w:r>
              <w:rPr>
                <w:spacing w:val="3"/>
              </w:rPr>
              <w:t>对船舶进行</w:t>
            </w:r>
            <w:r>
              <w:rPr>
                <w:spacing w:val="1"/>
              </w:rPr>
              <w:t xml:space="preserve"> </w:t>
            </w:r>
            <w:r>
              <w:rPr>
                <w:spacing w:val="3"/>
              </w:rPr>
              <w:t>涉及污染物</w:t>
            </w:r>
            <w:r>
              <w:rPr>
                <w:spacing w:val="1"/>
              </w:rPr>
              <w:t xml:space="preserve"> </w:t>
            </w:r>
            <w:r>
              <w:rPr>
                <w:spacing w:val="-10"/>
              </w:rPr>
              <w:t>排</w:t>
            </w:r>
            <w:r>
              <w:rPr>
                <w:spacing w:val="-14"/>
              </w:rPr>
              <w:t xml:space="preserve"> </w:t>
            </w:r>
            <w:r>
              <w:rPr>
                <w:spacing w:val="-10"/>
              </w:rPr>
              <w:t>放 的 作</w:t>
            </w:r>
            <w:r>
              <w:t xml:space="preserve"> </w:t>
            </w:r>
            <w:r>
              <w:rPr>
                <w:spacing w:val="3"/>
              </w:rPr>
              <w:t>业，未遵守</w:t>
            </w:r>
            <w:r>
              <w:rPr>
                <w:spacing w:val="1"/>
              </w:rPr>
              <w:t xml:space="preserve"> </w:t>
            </w:r>
            <w:r>
              <w:rPr>
                <w:spacing w:val="3"/>
              </w:rPr>
              <w:t>操作规程或</w:t>
            </w:r>
            <w:r>
              <w:rPr>
                <w:spacing w:val="1"/>
              </w:rPr>
              <w:t xml:space="preserve"> </w:t>
            </w:r>
            <w:r>
              <w:rPr>
                <w:spacing w:val="3"/>
              </w:rPr>
              <w:t>者未在相应</w:t>
            </w:r>
            <w:r>
              <w:rPr>
                <w:spacing w:val="1"/>
              </w:rPr>
              <w:t xml:space="preserve"> </w:t>
            </w:r>
            <w:r>
              <w:rPr>
                <w:spacing w:val="3"/>
              </w:rPr>
              <w:t>的记录簿上</w:t>
            </w:r>
            <w:r>
              <w:rPr>
                <w:spacing w:val="1"/>
              </w:rPr>
              <w:t xml:space="preserve"> </w:t>
            </w:r>
            <w:r>
              <w:rPr>
                <w:spacing w:val="3"/>
              </w:rPr>
              <w:t>如实记载行</w:t>
            </w:r>
            <w:r>
              <w:rPr>
                <w:spacing w:val="1"/>
              </w:rPr>
              <w:t xml:space="preserve"> </w:t>
            </w:r>
            <w:r>
              <w:rPr>
                <w:spacing w:val="3"/>
              </w:rPr>
              <w:t>为的行政处</w:t>
            </w:r>
            <w:r>
              <w:rPr>
                <w:spacing w:val="1"/>
              </w:rPr>
              <w:t xml:space="preserve"> </w:t>
            </w:r>
            <w:r>
              <w:t>罚</w:t>
            </w:r>
          </w:p>
        </w:tc>
        <w:tc>
          <w:tcPr>
            <w:tcW w:w="1136" w:type="dxa"/>
            <w:vAlign w:val="top"/>
          </w:tcPr>
          <w:p w14:paraId="194192F3">
            <w:pPr>
              <w:spacing w:line="263" w:lineRule="auto"/>
              <w:rPr>
                <w:rFonts w:ascii="Arial"/>
                <w:sz w:val="21"/>
              </w:rPr>
            </w:pPr>
          </w:p>
          <w:p w14:paraId="586040C5">
            <w:pPr>
              <w:spacing w:line="263" w:lineRule="auto"/>
              <w:rPr>
                <w:rFonts w:ascii="Arial"/>
                <w:sz w:val="21"/>
              </w:rPr>
            </w:pPr>
          </w:p>
          <w:p w14:paraId="00C8686B">
            <w:pPr>
              <w:spacing w:line="264" w:lineRule="auto"/>
              <w:rPr>
                <w:rFonts w:ascii="Arial"/>
                <w:sz w:val="21"/>
              </w:rPr>
            </w:pPr>
          </w:p>
          <w:p w14:paraId="6FF1F58D">
            <w:pPr>
              <w:spacing w:line="264" w:lineRule="auto"/>
              <w:rPr>
                <w:rFonts w:ascii="Arial"/>
                <w:sz w:val="21"/>
              </w:rPr>
            </w:pPr>
          </w:p>
          <w:p w14:paraId="3EDEB8B0">
            <w:pPr>
              <w:pStyle w:val="8"/>
              <w:spacing w:before="58" w:line="220" w:lineRule="auto"/>
              <w:ind w:left="114"/>
            </w:pPr>
            <w:r>
              <w:rPr>
                <w:spacing w:val="-7"/>
              </w:rPr>
              <w:t>行政处罚</w:t>
            </w:r>
          </w:p>
        </w:tc>
        <w:tc>
          <w:tcPr>
            <w:tcW w:w="8806" w:type="dxa"/>
            <w:vAlign w:val="top"/>
          </w:tcPr>
          <w:p w14:paraId="15FDF9D5">
            <w:pPr>
              <w:spacing w:line="288" w:lineRule="auto"/>
              <w:rPr>
                <w:rFonts w:ascii="Arial"/>
                <w:sz w:val="21"/>
              </w:rPr>
            </w:pPr>
          </w:p>
          <w:p w14:paraId="53C95220">
            <w:pPr>
              <w:spacing w:line="289" w:lineRule="auto"/>
              <w:rPr>
                <w:rFonts w:ascii="Arial"/>
                <w:sz w:val="21"/>
              </w:rPr>
            </w:pPr>
          </w:p>
          <w:p w14:paraId="35FB9769">
            <w:pPr>
              <w:pStyle w:val="8"/>
              <w:spacing w:before="58" w:line="219" w:lineRule="auto"/>
              <w:ind w:left="473"/>
            </w:pPr>
            <w:r>
              <w:rPr>
                <w:b/>
                <w:bCs/>
                <w:spacing w:val="-4"/>
              </w:rPr>
              <w:t>《中华人民共和国水污染防治法》</w:t>
            </w:r>
          </w:p>
          <w:p w14:paraId="5A6CFA37">
            <w:pPr>
              <w:pStyle w:val="8"/>
              <w:spacing w:before="25" w:line="219" w:lineRule="auto"/>
              <w:ind w:left="468"/>
            </w:pPr>
            <w:r>
              <w:rPr>
                <w:spacing w:val="-1"/>
              </w:rPr>
              <w:t>第六十条第二款  船舶进行涉及污染物排放的作业，应当严格遵守操作规程，并在相应的记录簿</w:t>
            </w:r>
            <w:r>
              <w:rPr>
                <w:spacing w:val="-2"/>
              </w:rPr>
              <w:t>上如实记</w:t>
            </w:r>
          </w:p>
          <w:p w14:paraId="7F8DBF96">
            <w:pPr>
              <w:pStyle w:val="8"/>
              <w:spacing w:before="26" w:line="220" w:lineRule="auto"/>
              <w:ind w:left="111"/>
            </w:pPr>
            <w:r>
              <w:rPr>
                <w:spacing w:val="-4"/>
              </w:rPr>
              <w:t>载。</w:t>
            </w:r>
          </w:p>
          <w:p w14:paraId="00924A0D">
            <w:pPr>
              <w:pStyle w:val="8"/>
              <w:spacing w:before="25" w:line="233" w:lineRule="auto"/>
              <w:ind w:left="125" w:right="103" w:firstLine="342"/>
            </w:pPr>
            <w:r>
              <w:rPr>
                <w:spacing w:val="-1"/>
              </w:rPr>
              <w:t>第八十九条第二款  船舶进行涉及污染物排放的作业，未遵守操作规程或者未在相应的记录簿</w:t>
            </w:r>
            <w:r>
              <w:rPr>
                <w:spacing w:val="-2"/>
              </w:rPr>
              <w:t>上如实记载</w:t>
            </w:r>
            <w:r>
              <w:t xml:space="preserve"> </w:t>
            </w:r>
            <w:r>
              <w:rPr>
                <w:spacing w:val="-2"/>
              </w:rPr>
              <w:t>的，由 海事管理机构、渔业主管部门按照职责分工</w:t>
            </w:r>
            <w:r>
              <w:rPr>
                <w:spacing w:val="-3"/>
              </w:rPr>
              <w:t>责令改正，处二千元以上二万元以下的罚款。</w:t>
            </w:r>
          </w:p>
        </w:tc>
        <w:tc>
          <w:tcPr>
            <w:tcW w:w="1043" w:type="dxa"/>
            <w:vAlign w:val="top"/>
          </w:tcPr>
          <w:p w14:paraId="5F8AACAB">
            <w:pPr>
              <w:spacing w:line="311" w:lineRule="auto"/>
              <w:rPr>
                <w:rFonts w:ascii="Arial"/>
                <w:sz w:val="21"/>
              </w:rPr>
            </w:pPr>
          </w:p>
          <w:p w14:paraId="0BE12338">
            <w:pPr>
              <w:spacing w:line="311" w:lineRule="auto"/>
              <w:rPr>
                <w:rFonts w:ascii="Arial"/>
                <w:sz w:val="21"/>
              </w:rPr>
            </w:pPr>
          </w:p>
          <w:p w14:paraId="5BCA3414">
            <w:pPr>
              <w:spacing w:line="312" w:lineRule="auto"/>
              <w:rPr>
                <w:rFonts w:ascii="Arial"/>
                <w:sz w:val="21"/>
              </w:rPr>
            </w:pPr>
          </w:p>
          <w:p w14:paraId="01106DD8">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B832D95">
            <w:pPr>
              <w:spacing w:line="263" w:lineRule="auto"/>
              <w:rPr>
                <w:rFonts w:ascii="Arial"/>
                <w:sz w:val="21"/>
              </w:rPr>
            </w:pPr>
          </w:p>
          <w:p w14:paraId="693A1670">
            <w:pPr>
              <w:spacing w:line="263" w:lineRule="auto"/>
              <w:rPr>
                <w:rFonts w:ascii="Arial"/>
                <w:sz w:val="21"/>
              </w:rPr>
            </w:pPr>
          </w:p>
          <w:p w14:paraId="530B5366">
            <w:pPr>
              <w:spacing w:line="264" w:lineRule="auto"/>
              <w:rPr>
                <w:rFonts w:ascii="Arial"/>
                <w:sz w:val="21"/>
              </w:rPr>
            </w:pPr>
          </w:p>
          <w:p w14:paraId="045AB785">
            <w:pPr>
              <w:spacing w:line="264" w:lineRule="auto"/>
              <w:rPr>
                <w:rFonts w:ascii="Arial"/>
                <w:sz w:val="21"/>
              </w:rPr>
            </w:pPr>
          </w:p>
          <w:p w14:paraId="0EF00623">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4D59D12">
            <w:pPr>
              <w:spacing w:line="348" w:lineRule="auto"/>
              <w:rPr>
                <w:rFonts w:ascii="Arial"/>
                <w:sz w:val="21"/>
              </w:rPr>
            </w:pPr>
          </w:p>
          <w:p w14:paraId="3D4CF6FD">
            <w:pPr>
              <w:spacing w:line="349" w:lineRule="auto"/>
              <w:rPr>
                <w:rFonts w:ascii="Arial"/>
                <w:sz w:val="21"/>
              </w:rPr>
            </w:pPr>
          </w:p>
          <w:p w14:paraId="2B864D17">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45F88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5" w:hRule="atLeast"/>
        </w:trPr>
        <w:tc>
          <w:tcPr>
            <w:tcW w:w="641" w:type="dxa"/>
            <w:vAlign w:val="top"/>
          </w:tcPr>
          <w:p w14:paraId="27C02CE6">
            <w:pPr>
              <w:rPr>
                <w:rFonts w:ascii="Arial"/>
                <w:sz w:val="21"/>
              </w:rPr>
            </w:pPr>
          </w:p>
          <w:p w14:paraId="19F94983">
            <w:pPr>
              <w:rPr>
                <w:rFonts w:ascii="Arial"/>
                <w:sz w:val="21"/>
              </w:rPr>
            </w:pPr>
          </w:p>
          <w:p w14:paraId="2C83EC4B">
            <w:pPr>
              <w:rPr>
                <w:rFonts w:ascii="Arial"/>
                <w:sz w:val="21"/>
              </w:rPr>
            </w:pPr>
          </w:p>
          <w:p w14:paraId="646C89E8">
            <w:pPr>
              <w:rPr>
                <w:rFonts w:ascii="Arial"/>
                <w:sz w:val="21"/>
              </w:rPr>
            </w:pPr>
          </w:p>
          <w:p w14:paraId="00D3F8B8">
            <w:pPr>
              <w:rPr>
                <w:rFonts w:ascii="Arial"/>
                <w:sz w:val="21"/>
              </w:rPr>
            </w:pPr>
          </w:p>
          <w:p w14:paraId="09FE9A1F">
            <w:pPr>
              <w:rPr>
                <w:rFonts w:ascii="Arial"/>
                <w:sz w:val="21"/>
              </w:rPr>
            </w:pPr>
          </w:p>
          <w:p w14:paraId="681A2DC0">
            <w:pPr>
              <w:rPr>
                <w:rFonts w:ascii="Arial"/>
                <w:sz w:val="21"/>
              </w:rPr>
            </w:pPr>
          </w:p>
          <w:p w14:paraId="18CAFB28">
            <w:pPr>
              <w:spacing w:line="241" w:lineRule="auto"/>
              <w:rPr>
                <w:rFonts w:ascii="Arial"/>
                <w:sz w:val="21"/>
              </w:rPr>
            </w:pPr>
          </w:p>
          <w:p w14:paraId="1A09125D">
            <w:pPr>
              <w:pStyle w:val="8"/>
              <w:spacing w:before="58" w:line="182" w:lineRule="auto"/>
              <w:ind w:left="284"/>
            </w:pPr>
            <w:r>
              <w:t>7</w:t>
            </w:r>
          </w:p>
        </w:tc>
        <w:tc>
          <w:tcPr>
            <w:tcW w:w="1136" w:type="dxa"/>
            <w:vAlign w:val="top"/>
          </w:tcPr>
          <w:p w14:paraId="45B600EA">
            <w:pPr>
              <w:spacing w:line="255" w:lineRule="auto"/>
              <w:rPr>
                <w:rFonts w:ascii="Arial"/>
                <w:sz w:val="21"/>
              </w:rPr>
            </w:pPr>
          </w:p>
          <w:p w14:paraId="4DB320E7">
            <w:pPr>
              <w:spacing w:line="255" w:lineRule="auto"/>
              <w:rPr>
                <w:rFonts w:ascii="Arial"/>
                <w:sz w:val="21"/>
              </w:rPr>
            </w:pPr>
          </w:p>
          <w:p w14:paraId="1DAE29A6">
            <w:pPr>
              <w:spacing w:line="255" w:lineRule="auto"/>
              <w:rPr>
                <w:rFonts w:ascii="Arial"/>
                <w:sz w:val="21"/>
              </w:rPr>
            </w:pPr>
          </w:p>
          <w:p w14:paraId="666D4EF7">
            <w:pPr>
              <w:spacing w:line="256" w:lineRule="auto"/>
              <w:rPr>
                <w:rFonts w:ascii="Arial"/>
                <w:sz w:val="21"/>
              </w:rPr>
            </w:pPr>
          </w:p>
          <w:p w14:paraId="4C856C05">
            <w:pPr>
              <w:spacing w:line="256" w:lineRule="auto"/>
              <w:rPr>
                <w:rFonts w:ascii="Arial"/>
                <w:sz w:val="21"/>
              </w:rPr>
            </w:pPr>
          </w:p>
          <w:p w14:paraId="2CCCCC42">
            <w:pPr>
              <w:spacing w:line="256" w:lineRule="auto"/>
              <w:rPr>
                <w:rFonts w:ascii="Arial"/>
                <w:sz w:val="21"/>
              </w:rPr>
            </w:pPr>
          </w:p>
          <w:p w14:paraId="5FB5A01A">
            <w:pPr>
              <w:pStyle w:val="8"/>
              <w:spacing w:before="59"/>
              <w:ind w:left="109" w:right="104"/>
              <w:jc w:val="both"/>
            </w:pPr>
            <w:r>
              <w:rPr>
                <w:spacing w:val="3"/>
              </w:rPr>
              <w:t>对向水体倾</w:t>
            </w:r>
            <w:r>
              <w:rPr>
                <w:spacing w:val="1"/>
              </w:rPr>
              <w:t xml:space="preserve"> </w:t>
            </w:r>
            <w:r>
              <w:rPr>
                <w:spacing w:val="3"/>
              </w:rPr>
              <w:t>倒船舶垃圾</w:t>
            </w:r>
            <w:r>
              <w:rPr>
                <w:spacing w:val="1"/>
              </w:rPr>
              <w:t xml:space="preserve"> </w:t>
            </w:r>
            <w:r>
              <w:rPr>
                <w:spacing w:val="3"/>
              </w:rPr>
              <w:t>等行为的行</w:t>
            </w:r>
            <w:r>
              <w:rPr>
                <w:spacing w:val="1"/>
              </w:rPr>
              <w:t xml:space="preserve"> </w:t>
            </w:r>
            <w:r>
              <w:rPr>
                <w:spacing w:val="-4"/>
              </w:rPr>
              <w:t>政处罚</w:t>
            </w:r>
          </w:p>
        </w:tc>
        <w:tc>
          <w:tcPr>
            <w:tcW w:w="1136" w:type="dxa"/>
            <w:vAlign w:val="top"/>
          </w:tcPr>
          <w:p w14:paraId="66DD2AE2">
            <w:pPr>
              <w:spacing w:line="270" w:lineRule="auto"/>
              <w:rPr>
                <w:rFonts w:ascii="Arial"/>
                <w:sz w:val="21"/>
              </w:rPr>
            </w:pPr>
          </w:p>
          <w:p w14:paraId="6555EB17">
            <w:pPr>
              <w:spacing w:line="270" w:lineRule="auto"/>
              <w:rPr>
                <w:rFonts w:ascii="Arial"/>
                <w:sz w:val="21"/>
              </w:rPr>
            </w:pPr>
          </w:p>
          <w:p w14:paraId="71D57C5B">
            <w:pPr>
              <w:spacing w:line="270" w:lineRule="auto"/>
              <w:rPr>
                <w:rFonts w:ascii="Arial"/>
                <w:sz w:val="21"/>
              </w:rPr>
            </w:pPr>
          </w:p>
          <w:p w14:paraId="305C3165">
            <w:pPr>
              <w:spacing w:line="270" w:lineRule="auto"/>
              <w:rPr>
                <w:rFonts w:ascii="Arial"/>
                <w:sz w:val="21"/>
              </w:rPr>
            </w:pPr>
          </w:p>
          <w:p w14:paraId="684313A8">
            <w:pPr>
              <w:spacing w:line="270" w:lineRule="auto"/>
              <w:rPr>
                <w:rFonts w:ascii="Arial"/>
                <w:sz w:val="21"/>
              </w:rPr>
            </w:pPr>
          </w:p>
          <w:p w14:paraId="0FFBB2A1">
            <w:pPr>
              <w:spacing w:line="271" w:lineRule="auto"/>
              <w:rPr>
                <w:rFonts w:ascii="Arial"/>
                <w:sz w:val="21"/>
              </w:rPr>
            </w:pPr>
          </w:p>
          <w:p w14:paraId="16C3F43D">
            <w:pPr>
              <w:spacing w:line="271" w:lineRule="auto"/>
              <w:rPr>
                <w:rFonts w:ascii="Arial"/>
                <w:sz w:val="21"/>
              </w:rPr>
            </w:pPr>
          </w:p>
          <w:p w14:paraId="38E1210B">
            <w:pPr>
              <w:pStyle w:val="8"/>
              <w:spacing w:before="58" w:line="220" w:lineRule="auto"/>
              <w:ind w:left="114"/>
            </w:pPr>
            <w:r>
              <w:rPr>
                <w:spacing w:val="-7"/>
              </w:rPr>
              <w:t>行政处罚</w:t>
            </w:r>
          </w:p>
        </w:tc>
        <w:tc>
          <w:tcPr>
            <w:tcW w:w="8806" w:type="dxa"/>
            <w:vAlign w:val="top"/>
          </w:tcPr>
          <w:p w14:paraId="65402743">
            <w:pPr>
              <w:pStyle w:val="8"/>
              <w:spacing w:before="42" w:line="219" w:lineRule="auto"/>
              <w:ind w:left="481"/>
            </w:pPr>
            <w:r>
              <w:rPr>
                <w:b/>
                <w:bCs/>
                <w:spacing w:val="-5"/>
              </w:rPr>
              <w:t>1.《中华人民共和国水污染防治法》</w:t>
            </w:r>
          </w:p>
          <w:p w14:paraId="7302EE5E">
            <w:pPr>
              <w:pStyle w:val="8"/>
              <w:spacing w:before="25" w:line="233" w:lineRule="auto"/>
              <w:ind w:left="109" w:right="93" w:firstLine="358"/>
            </w:pPr>
            <w:r>
              <w:rPr>
                <w:spacing w:val="-10"/>
              </w:rPr>
              <w:t>第五十九条</w:t>
            </w:r>
            <w:r>
              <w:rPr>
                <w:spacing w:val="78"/>
              </w:rPr>
              <w:t xml:space="preserve"> </w:t>
            </w:r>
            <w:r>
              <w:rPr>
                <w:spacing w:val="-10"/>
              </w:rPr>
              <w:t>船舶排放含油污水、生活污水， 应当符合船舶污染物排放标准。从事海洋航运的船舶进入内河和</w:t>
            </w:r>
            <w:r>
              <w:t xml:space="preserve"> </w:t>
            </w:r>
            <w:r>
              <w:rPr>
                <w:spacing w:val="-10"/>
              </w:rPr>
              <w:t>港 口的，应当遵守内河的船舶污染物排放标准。</w:t>
            </w:r>
          </w:p>
          <w:p w14:paraId="0C92D901">
            <w:pPr>
              <w:pStyle w:val="8"/>
              <w:spacing w:before="26" w:line="219" w:lineRule="auto"/>
              <w:ind w:left="468"/>
            </w:pPr>
            <w:r>
              <w:rPr>
                <w:spacing w:val="-10"/>
              </w:rPr>
              <w:t>船舶的残油、废油应当回收禁止排入水体。 禁止向水体倾倒船舶垃圾。</w:t>
            </w:r>
          </w:p>
          <w:p w14:paraId="3D87F5A4">
            <w:pPr>
              <w:pStyle w:val="8"/>
              <w:spacing w:before="25" w:line="219" w:lineRule="auto"/>
              <w:ind w:left="465"/>
            </w:pPr>
            <w:r>
              <w:rPr>
                <w:spacing w:val="-10"/>
              </w:rPr>
              <w:t>船舶装载运输油类或者有毒货物，应当采取防止溢流和渗漏的措施，防止货物落水造成水污染。</w:t>
            </w:r>
          </w:p>
          <w:p w14:paraId="4C15C1C0">
            <w:pPr>
              <w:pStyle w:val="8"/>
              <w:spacing w:before="26" w:line="233" w:lineRule="auto"/>
              <w:ind w:left="111" w:right="93" w:firstLine="355"/>
            </w:pPr>
            <w:r>
              <w:rPr>
                <w:spacing w:val="-8"/>
              </w:rPr>
              <w:t>进入中华人民共和国内河的国际航线船舶排放压载水的，应当采用压载</w:t>
            </w:r>
            <w:r>
              <w:rPr>
                <w:spacing w:val="-9"/>
              </w:rPr>
              <w:t>水处理装置或者采取其他等效措施，对</w:t>
            </w:r>
            <w:r>
              <w:t xml:space="preserve"> </w:t>
            </w:r>
            <w:r>
              <w:rPr>
                <w:spacing w:val="-10"/>
              </w:rPr>
              <w:t>压 载水进行灭活等处理。禁止排放不符合规定的船舶压载水。</w:t>
            </w:r>
          </w:p>
          <w:p w14:paraId="599376F3">
            <w:pPr>
              <w:pStyle w:val="8"/>
              <w:spacing w:before="25" w:line="233" w:lineRule="auto"/>
              <w:ind w:left="121" w:right="54" w:firstLine="346"/>
            </w:pPr>
            <w:r>
              <w:rPr>
                <w:spacing w:val="-11"/>
              </w:rPr>
              <w:t>第六十二条</w:t>
            </w:r>
            <w:r>
              <w:rPr>
                <w:spacing w:val="75"/>
              </w:rPr>
              <w:t xml:space="preserve"> </w:t>
            </w:r>
            <w:r>
              <w:rPr>
                <w:spacing w:val="-11"/>
              </w:rPr>
              <w:t>船舶及有关作业单位从事有污染风险的作业活动，应当按照有关法律法规和标准，采取有效措施，</w:t>
            </w:r>
            <w:r>
              <w:t xml:space="preserve"> </w:t>
            </w:r>
            <w:r>
              <w:rPr>
                <w:spacing w:val="-10"/>
              </w:rPr>
              <w:t>防止造成水污染。海事管理机构、渔业主管部门应当加强对船舶及有关作业活动的监督管理。</w:t>
            </w:r>
          </w:p>
          <w:p w14:paraId="302F0AA2">
            <w:pPr>
              <w:pStyle w:val="8"/>
              <w:spacing w:before="26" w:line="233" w:lineRule="auto"/>
              <w:ind w:left="109" w:right="95" w:firstLine="358"/>
            </w:pPr>
            <w:r>
              <w:rPr>
                <w:spacing w:val="-8"/>
              </w:rPr>
              <w:t>船舶进行散装液体污染危害性货物的过驳作业，应当编制作业</w:t>
            </w:r>
            <w:r>
              <w:rPr>
                <w:spacing w:val="-9"/>
              </w:rPr>
              <w:t>方案，采取有效的安全和污染防治措施，并报作</w:t>
            </w:r>
            <w:r>
              <w:t xml:space="preserve"> </w:t>
            </w:r>
            <w:r>
              <w:rPr>
                <w:spacing w:val="-9"/>
              </w:rPr>
              <w:t>业 地海事管理机构批准。</w:t>
            </w:r>
          </w:p>
          <w:p w14:paraId="613CA9CE">
            <w:pPr>
              <w:pStyle w:val="8"/>
              <w:spacing w:before="26" w:line="219" w:lineRule="auto"/>
              <w:ind w:left="468"/>
            </w:pPr>
            <w:r>
              <w:rPr>
                <w:spacing w:val="-10"/>
              </w:rPr>
              <w:t>禁止采取冲滩方式进行船舶拆解作业。</w:t>
            </w:r>
          </w:p>
          <w:p w14:paraId="12277455">
            <w:pPr>
              <w:pStyle w:val="8"/>
              <w:spacing w:before="29" w:line="236" w:lineRule="auto"/>
              <w:ind w:left="110" w:right="54" w:firstLine="357"/>
            </w:pPr>
            <w:r>
              <w:rPr>
                <w:spacing w:val="-14"/>
              </w:rPr>
              <w:t>第九十条</w:t>
            </w:r>
            <w:r>
              <w:rPr>
                <w:spacing w:val="68"/>
              </w:rPr>
              <w:t xml:space="preserve"> </w:t>
            </w:r>
            <w:r>
              <w:rPr>
                <w:spacing w:val="-14"/>
              </w:rPr>
              <w:t>违反本法规定，有下列行为之一的，由海事管理机构、渔业主管部门</w:t>
            </w:r>
            <w:r>
              <w:rPr>
                <w:spacing w:val="-15"/>
              </w:rPr>
              <w:t>按照职责分工责令停止违法行为，</w:t>
            </w:r>
            <w:r>
              <w:t xml:space="preserve"> </w:t>
            </w:r>
            <w:r>
              <w:rPr>
                <w:spacing w:val="-11"/>
              </w:rPr>
              <w:t>处一万元以上十万元以下的罚款；造成水污染的，责令限期采</w:t>
            </w:r>
            <w:r>
              <w:rPr>
                <w:spacing w:val="-12"/>
              </w:rPr>
              <w:t>取治理措施，消除污染，处二万元以上二十万元以下的</w:t>
            </w:r>
            <w:r>
              <w:t xml:space="preserve"> </w:t>
            </w:r>
            <w:r>
              <w:rPr>
                <w:spacing w:val="-11"/>
              </w:rPr>
              <w:t>罚款；逾期不采取治理措施的，海事管理机构、渔业主管部门</w:t>
            </w:r>
            <w:r>
              <w:rPr>
                <w:spacing w:val="-12"/>
              </w:rPr>
              <w:t>按照职责分工可以指定有治理能力的单位代为治理，所</w:t>
            </w:r>
            <w:r>
              <w:t xml:space="preserve"> </w:t>
            </w:r>
            <w:r>
              <w:rPr>
                <w:spacing w:val="-11"/>
              </w:rPr>
              <w:t>需费用由船舶承担</w:t>
            </w:r>
            <w:r>
              <w:rPr>
                <w:spacing w:val="-47"/>
              </w:rPr>
              <w:t>：（</w:t>
            </w:r>
            <w:r>
              <w:rPr>
                <w:spacing w:val="-11"/>
              </w:rPr>
              <w:t>一）向水体倾倒船舶垃圾或者排放船舶的残油、废油的</w:t>
            </w:r>
            <w:r>
              <w:rPr>
                <w:spacing w:val="-47"/>
              </w:rPr>
              <w:t>；（</w:t>
            </w:r>
            <w:r>
              <w:rPr>
                <w:spacing w:val="-11"/>
              </w:rPr>
              <w:t>二）未经作</w:t>
            </w:r>
            <w:r>
              <w:rPr>
                <w:spacing w:val="-12"/>
              </w:rPr>
              <w:t>业地海事管理机构批准，</w:t>
            </w:r>
            <w:r>
              <w:rPr>
                <w:spacing w:val="1"/>
              </w:rPr>
              <w:t xml:space="preserve"> </w:t>
            </w:r>
            <w:r>
              <w:rPr>
                <w:spacing w:val="-10"/>
              </w:rPr>
              <w:t>船舶进行散装液体污染危害性货物的过驳作业的</w:t>
            </w:r>
            <w:r>
              <w:rPr>
                <w:spacing w:val="-43"/>
              </w:rPr>
              <w:t>；（</w:t>
            </w:r>
            <w:r>
              <w:rPr>
                <w:spacing w:val="-10"/>
              </w:rPr>
              <w:t>三）船舶及有关作业单位从事有污染风险的作业活动，未按照规</w:t>
            </w:r>
          </w:p>
        </w:tc>
        <w:tc>
          <w:tcPr>
            <w:tcW w:w="1043" w:type="dxa"/>
            <w:vAlign w:val="top"/>
          </w:tcPr>
          <w:p w14:paraId="5B58EE5F">
            <w:pPr>
              <w:spacing w:line="253" w:lineRule="auto"/>
              <w:rPr>
                <w:rFonts w:ascii="Arial"/>
                <w:sz w:val="21"/>
              </w:rPr>
            </w:pPr>
          </w:p>
          <w:p w14:paraId="7A1F7623">
            <w:pPr>
              <w:spacing w:line="253" w:lineRule="auto"/>
              <w:rPr>
                <w:rFonts w:ascii="Arial"/>
                <w:sz w:val="21"/>
              </w:rPr>
            </w:pPr>
          </w:p>
          <w:p w14:paraId="7CB65F2F">
            <w:pPr>
              <w:spacing w:line="253" w:lineRule="auto"/>
              <w:rPr>
                <w:rFonts w:ascii="Arial"/>
                <w:sz w:val="21"/>
              </w:rPr>
            </w:pPr>
          </w:p>
          <w:p w14:paraId="29AC4444">
            <w:pPr>
              <w:spacing w:line="253" w:lineRule="auto"/>
              <w:rPr>
                <w:rFonts w:ascii="Arial"/>
                <w:sz w:val="21"/>
              </w:rPr>
            </w:pPr>
          </w:p>
          <w:p w14:paraId="0FFFC0F0">
            <w:pPr>
              <w:spacing w:line="253" w:lineRule="auto"/>
              <w:rPr>
                <w:rFonts w:ascii="Arial"/>
                <w:sz w:val="21"/>
              </w:rPr>
            </w:pPr>
          </w:p>
          <w:p w14:paraId="2CB80B03">
            <w:pPr>
              <w:spacing w:line="253" w:lineRule="auto"/>
              <w:rPr>
                <w:rFonts w:ascii="Arial"/>
                <w:sz w:val="21"/>
              </w:rPr>
            </w:pPr>
          </w:p>
          <w:p w14:paraId="1C720D32">
            <w:pPr>
              <w:spacing w:line="254" w:lineRule="auto"/>
              <w:rPr>
                <w:rFonts w:ascii="Arial"/>
                <w:sz w:val="21"/>
              </w:rPr>
            </w:pPr>
          </w:p>
          <w:p w14:paraId="6E06956D">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72FC3867">
            <w:pPr>
              <w:spacing w:line="270" w:lineRule="auto"/>
              <w:rPr>
                <w:rFonts w:ascii="Arial"/>
                <w:sz w:val="21"/>
              </w:rPr>
            </w:pPr>
          </w:p>
          <w:p w14:paraId="2EC6E80D">
            <w:pPr>
              <w:spacing w:line="270" w:lineRule="auto"/>
              <w:rPr>
                <w:rFonts w:ascii="Arial"/>
                <w:sz w:val="21"/>
              </w:rPr>
            </w:pPr>
          </w:p>
          <w:p w14:paraId="5096ED5A">
            <w:pPr>
              <w:spacing w:line="270" w:lineRule="auto"/>
              <w:rPr>
                <w:rFonts w:ascii="Arial"/>
                <w:sz w:val="21"/>
              </w:rPr>
            </w:pPr>
          </w:p>
          <w:p w14:paraId="3C67256C">
            <w:pPr>
              <w:spacing w:line="270" w:lineRule="auto"/>
              <w:rPr>
                <w:rFonts w:ascii="Arial"/>
                <w:sz w:val="21"/>
              </w:rPr>
            </w:pPr>
          </w:p>
          <w:p w14:paraId="5ABDD3C3">
            <w:pPr>
              <w:spacing w:line="270" w:lineRule="auto"/>
              <w:rPr>
                <w:rFonts w:ascii="Arial"/>
                <w:sz w:val="21"/>
              </w:rPr>
            </w:pPr>
          </w:p>
          <w:p w14:paraId="0ACB30CA">
            <w:pPr>
              <w:spacing w:line="271" w:lineRule="auto"/>
              <w:rPr>
                <w:rFonts w:ascii="Arial"/>
                <w:sz w:val="21"/>
              </w:rPr>
            </w:pPr>
          </w:p>
          <w:p w14:paraId="34661C43">
            <w:pPr>
              <w:spacing w:line="271" w:lineRule="auto"/>
              <w:rPr>
                <w:rFonts w:ascii="Arial"/>
                <w:sz w:val="21"/>
              </w:rPr>
            </w:pPr>
          </w:p>
          <w:p w14:paraId="77EC90FA">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EC4E3F7">
            <w:pPr>
              <w:spacing w:line="255" w:lineRule="auto"/>
              <w:rPr>
                <w:rFonts w:ascii="Arial"/>
                <w:sz w:val="21"/>
              </w:rPr>
            </w:pPr>
          </w:p>
          <w:p w14:paraId="6117D169">
            <w:pPr>
              <w:spacing w:line="256" w:lineRule="auto"/>
              <w:rPr>
                <w:rFonts w:ascii="Arial"/>
                <w:sz w:val="21"/>
              </w:rPr>
            </w:pPr>
          </w:p>
          <w:p w14:paraId="66B4F609">
            <w:pPr>
              <w:spacing w:line="256" w:lineRule="auto"/>
              <w:rPr>
                <w:rFonts w:ascii="Arial"/>
                <w:sz w:val="21"/>
              </w:rPr>
            </w:pPr>
          </w:p>
          <w:p w14:paraId="0DD7EC68">
            <w:pPr>
              <w:spacing w:line="256" w:lineRule="auto"/>
              <w:rPr>
                <w:rFonts w:ascii="Arial"/>
                <w:sz w:val="21"/>
              </w:rPr>
            </w:pPr>
          </w:p>
          <w:p w14:paraId="7E98E09B">
            <w:pPr>
              <w:spacing w:line="256" w:lineRule="auto"/>
              <w:rPr>
                <w:rFonts w:ascii="Arial"/>
                <w:sz w:val="21"/>
              </w:rPr>
            </w:pPr>
          </w:p>
          <w:p w14:paraId="6F18518F">
            <w:pPr>
              <w:spacing w:line="256" w:lineRule="auto"/>
              <w:rPr>
                <w:rFonts w:ascii="Arial"/>
                <w:sz w:val="21"/>
              </w:rPr>
            </w:pPr>
          </w:p>
          <w:p w14:paraId="4D031746">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3CF09BE7">
      <w:pPr>
        <w:pStyle w:val="2"/>
        <w:spacing w:line="177" w:lineRule="exact"/>
        <w:rPr>
          <w:sz w:val="15"/>
        </w:rPr>
      </w:pPr>
    </w:p>
    <w:p w14:paraId="12DBD258">
      <w:pPr>
        <w:spacing w:line="177" w:lineRule="exact"/>
        <w:rPr>
          <w:sz w:val="15"/>
          <w:szCs w:val="15"/>
        </w:rPr>
        <w:sectPr>
          <w:footerReference r:id="rId169" w:type="default"/>
          <w:pgSz w:w="16839" w:h="11906"/>
          <w:pgMar w:top="1012" w:right="788" w:bottom="967" w:left="787" w:header="0" w:footer="768" w:gutter="0"/>
          <w:cols w:space="720" w:num="1"/>
        </w:sectPr>
      </w:pPr>
    </w:p>
    <w:p w14:paraId="2D0633B5">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8AE8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41" w:type="dxa"/>
            <w:vMerge w:val="restart"/>
            <w:tcBorders>
              <w:bottom w:val="nil"/>
            </w:tcBorders>
            <w:vAlign w:val="top"/>
          </w:tcPr>
          <w:p w14:paraId="144A2CAF">
            <w:pPr>
              <w:pStyle w:val="8"/>
              <w:spacing w:before="267" w:line="221" w:lineRule="auto"/>
              <w:ind w:left="142"/>
            </w:pPr>
            <w:r>
              <w:rPr>
                <w:b/>
                <w:bCs/>
                <w:spacing w:val="-4"/>
              </w:rPr>
              <w:t>序号</w:t>
            </w:r>
          </w:p>
        </w:tc>
        <w:tc>
          <w:tcPr>
            <w:tcW w:w="1136" w:type="dxa"/>
            <w:vMerge w:val="restart"/>
            <w:tcBorders>
              <w:bottom w:val="nil"/>
            </w:tcBorders>
            <w:vAlign w:val="top"/>
          </w:tcPr>
          <w:p w14:paraId="2B8DFBB4">
            <w:pPr>
              <w:pStyle w:val="8"/>
              <w:spacing w:before="267" w:line="220" w:lineRule="auto"/>
              <w:ind w:left="208"/>
            </w:pPr>
            <w:r>
              <w:rPr>
                <w:b/>
                <w:bCs/>
                <w:spacing w:val="-4"/>
              </w:rPr>
              <w:t>事项名称</w:t>
            </w:r>
          </w:p>
        </w:tc>
        <w:tc>
          <w:tcPr>
            <w:tcW w:w="1136" w:type="dxa"/>
            <w:vMerge w:val="restart"/>
            <w:tcBorders>
              <w:bottom w:val="nil"/>
            </w:tcBorders>
            <w:vAlign w:val="top"/>
          </w:tcPr>
          <w:p w14:paraId="5E136625">
            <w:pPr>
              <w:pStyle w:val="8"/>
              <w:spacing w:before="267" w:line="219" w:lineRule="auto"/>
              <w:ind w:left="210"/>
            </w:pPr>
            <w:r>
              <w:rPr>
                <w:b/>
                <w:bCs/>
                <w:spacing w:val="-4"/>
              </w:rPr>
              <w:t>职权类型</w:t>
            </w:r>
          </w:p>
        </w:tc>
        <w:tc>
          <w:tcPr>
            <w:tcW w:w="8806" w:type="dxa"/>
            <w:vMerge w:val="restart"/>
            <w:tcBorders>
              <w:bottom w:val="nil"/>
            </w:tcBorders>
            <w:vAlign w:val="top"/>
          </w:tcPr>
          <w:p w14:paraId="3A1B228C">
            <w:pPr>
              <w:pStyle w:val="8"/>
              <w:spacing w:before="267" w:line="219" w:lineRule="auto"/>
              <w:ind w:left="4050"/>
            </w:pPr>
            <w:r>
              <w:rPr>
                <w:b/>
                <w:bCs/>
                <w:spacing w:val="-5"/>
              </w:rPr>
              <w:t>实施依据</w:t>
            </w:r>
          </w:p>
        </w:tc>
        <w:tc>
          <w:tcPr>
            <w:tcW w:w="3538" w:type="dxa"/>
            <w:gridSpan w:val="3"/>
            <w:vAlign w:val="top"/>
          </w:tcPr>
          <w:p w14:paraId="3A620BA3">
            <w:pPr>
              <w:pStyle w:val="8"/>
              <w:spacing w:before="92" w:line="220" w:lineRule="auto"/>
              <w:ind w:left="1415"/>
            </w:pPr>
            <w:r>
              <w:rPr>
                <w:b/>
                <w:bCs/>
                <w:spacing w:val="-5"/>
              </w:rPr>
              <w:t>实施主体</w:t>
            </w:r>
          </w:p>
        </w:tc>
      </w:tr>
      <w:tr w14:paraId="5F5E8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57291B27">
            <w:pPr>
              <w:rPr>
                <w:rFonts w:ascii="Arial"/>
                <w:sz w:val="21"/>
              </w:rPr>
            </w:pPr>
          </w:p>
        </w:tc>
        <w:tc>
          <w:tcPr>
            <w:tcW w:w="1136" w:type="dxa"/>
            <w:vMerge w:val="continue"/>
            <w:tcBorders>
              <w:top w:val="nil"/>
            </w:tcBorders>
            <w:vAlign w:val="top"/>
          </w:tcPr>
          <w:p w14:paraId="4D4BD323">
            <w:pPr>
              <w:rPr>
                <w:rFonts w:ascii="Arial"/>
                <w:sz w:val="21"/>
              </w:rPr>
            </w:pPr>
          </w:p>
        </w:tc>
        <w:tc>
          <w:tcPr>
            <w:tcW w:w="1136" w:type="dxa"/>
            <w:vMerge w:val="continue"/>
            <w:tcBorders>
              <w:top w:val="nil"/>
            </w:tcBorders>
            <w:vAlign w:val="top"/>
          </w:tcPr>
          <w:p w14:paraId="79337369">
            <w:pPr>
              <w:rPr>
                <w:rFonts w:ascii="Arial"/>
                <w:sz w:val="21"/>
              </w:rPr>
            </w:pPr>
          </w:p>
        </w:tc>
        <w:tc>
          <w:tcPr>
            <w:tcW w:w="8806" w:type="dxa"/>
            <w:vMerge w:val="continue"/>
            <w:tcBorders>
              <w:top w:val="nil"/>
            </w:tcBorders>
            <w:vAlign w:val="top"/>
          </w:tcPr>
          <w:p w14:paraId="5CA29B1B">
            <w:pPr>
              <w:rPr>
                <w:rFonts w:ascii="Arial"/>
                <w:sz w:val="21"/>
              </w:rPr>
            </w:pPr>
          </w:p>
        </w:tc>
        <w:tc>
          <w:tcPr>
            <w:tcW w:w="1043" w:type="dxa"/>
            <w:vAlign w:val="top"/>
          </w:tcPr>
          <w:p w14:paraId="20CEF7BE">
            <w:pPr>
              <w:pStyle w:val="8"/>
              <w:spacing w:before="87" w:line="219" w:lineRule="auto"/>
              <w:ind w:left="171"/>
            </w:pPr>
            <w:r>
              <w:rPr>
                <w:b/>
                <w:bCs/>
                <w:spacing w:val="-5"/>
              </w:rPr>
              <w:t>责任部门</w:t>
            </w:r>
          </w:p>
        </w:tc>
        <w:tc>
          <w:tcPr>
            <w:tcW w:w="1448" w:type="dxa"/>
            <w:vAlign w:val="top"/>
          </w:tcPr>
          <w:p w14:paraId="39FF09AC">
            <w:pPr>
              <w:pStyle w:val="8"/>
              <w:spacing w:before="87" w:line="219" w:lineRule="auto"/>
              <w:ind w:left="187"/>
            </w:pPr>
            <w:r>
              <w:rPr>
                <w:b/>
                <w:bCs/>
                <w:spacing w:val="-3"/>
              </w:rPr>
              <w:t>第一责任层级</w:t>
            </w:r>
          </w:p>
        </w:tc>
        <w:tc>
          <w:tcPr>
            <w:tcW w:w="1047" w:type="dxa"/>
            <w:vAlign w:val="top"/>
          </w:tcPr>
          <w:p w14:paraId="52AC9CCB">
            <w:pPr>
              <w:pStyle w:val="8"/>
              <w:spacing w:before="87" w:line="219" w:lineRule="auto"/>
              <w:ind w:left="165"/>
            </w:pPr>
            <w:r>
              <w:rPr>
                <w:b/>
                <w:bCs/>
                <w:spacing w:val="-4"/>
              </w:rPr>
              <w:t>承办机构</w:t>
            </w:r>
          </w:p>
        </w:tc>
      </w:tr>
      <w:tr w14:paraId="121D2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641" w:type="dxa"/>
            <w:vAlign w:val="top"/>
          </w:tcPr>
          <w:p w14:paraId="7E6FA956">
            <w:pPr>
              <w:rPr>
                <w:rFonts w:ascii="Arial"/>
                <w:sz w:val="21"/>
              </w:rPr>
            </w:pPr>
          </w:p>
        </w:tc>
        <w:tc>
          <w:tcPr>
            <w:tcW w:w="1136" w:type="dxa"/>
            <w:vAlign w:val="top"/>
          </w:tcPr>
          <w:p w14:paraId="3F60AACE">
            <w:pPr>
              <w:rPr>
                <w:rFonts w:ascii="Arial"/>
                <w:sz w:val="21"/>
              </w:rPr>
            </w:pPr>
          </w:p>
        </w:tc>
        <w:tc>
          <w:tcPr>
            <w:tcW w:w="1136" w:type="dxa"/>
            <w:vAlign w:val="top"/>
          </w:tcPr>
          <w:p w14:paraId="16B44C92">
            <w:pPr>
              <w:rPr>
                <w:rFonts w:ascii="Arial"/>
                <w:sz w:val="21"/>
              </w:rPr>
            </w:pPr>
          </w:p>
        </w:tc>
        <w:tc>
          <w:tcPr>
            <w:tcW w:w="8806" w:type="dxa"/>
            <w:vAlign w:val="top"/>
          </w:tcPr>
          <w:p w14:paraId="2F5EBA10">
            <w:pPr>
              <w:pStyle w:val="8"/>
              <w:spacing w:before="37" w:line="219" w:lineRule="auto"/>
              <w:ind w:left="114"/>
            </w:pPr>
            <w:r>
              <w:rPr>
                <w:spacing w:val="-9"/>
              </w:rPr>
              <w:t>定采取污染防治措施的</w:t>
            </w:r>
            <w:r>
              <w:rPr>
                <w:spacing w:val="-34"/>
              </w:rPr>
              <w:t>；（</w:t>
            </w:r>
            <w:r>
              <w:rPr>
                <w:spacing w:val="-9"/>
              </w:rPr>
              <w:t>四）以冲滩方式进行船舶拆解的</w:t>
            </w:r>
            <w:r>
              <w:rPr>
                <w:spacing w:val="-34"/>
              </w:rPr>
              <w:t>；（</w:t>
            </w:r>
            <w:r>
              <w:rPr>
                <w:spacing w:val="-10"/>
              </w:rPr>
              <w:t>五）进入中华人民共和国内河的国际航线船舶，排放</w:t>
            </w:r>
          </w:p>
          <w:p w14:paraId="07A5D118">
            <w:pPr>
              <w:pStyle w:val="8"/>
              <w:spacing w:before="27" w:line="219" w:lineRule="auto"/>
              <w:ind w:left="113"/>
            </w:pPr>
            <w:r>
              <w:rPr>
                <w:spacing w:val="-10"/>
              </w:rPr>
              <w:t>不符合规定的船舶压载水的。</w:t>
            </w:r>
          </w:p>
          <w:p w14:paraId="0CF14D44">
            <w:pPr>
              <w:pStyle w:val="8"/>
              <w:spacing w:before="25" w:line="233" w:lineRule="auto"/>
              <w:ind w:left="110" w:right="93" w:firstLine="357"/>
            </w:pPr>
            <w:r>
              <w:rPr>
                <w:spacing w:val="-11"/>
              </w:rPr>
              <w:t>第九十四条第二款、第三款</w:t>
            </w:r>
            <w:r>
              <w:rPr>
                <w:spacing w:val="65"/>
              </w:rPr>
              <w:t xml:space="preserve"> </w:t>
            </w:r>
            <w:r>
              <w:rPr>
                <w:spacing w:val="-11"/>
              </w:rPr>
              <w:t>对造成一般或者</w:t>
            </w:r>
            <w:r>
              <w:rPr>
                <w:spacing w:val="-12"/>
              </w:rPr>
              <w:t>较大水污染事故的，按照水污染事故造成的直接损失的百分之二十</w:t>
            </w:r>
            <w:r>
              <w:t xml:space="preserve"> </w:t>
            </w:r>
            <w:r>
              <w:rPr>
                <w:spacing w:val="-10"/>
              </w:rPr>
              <w:t>计算罚款；对造成重大或者特大水污染事故的，按照水污染事故造成的直接损失的百分之三十计算罚款。</w:t>
            </w:r>
          </w:p>
          <w:p w14:paraId="15BEF7E9">
            <w:pPr>
              <w:pStyle w:val="8"/>
              <w:spacing w:before="24" w:line="233" w:lineRule="auto"/>
              <w:ind w:left="132" w:right="133" w:firstLine="335"/>
            </w:pPr>
            <w:r>
              <w:rPr>
                <w:spacing w:val="-11"/>
              </w:rPr>
              <w:t>造成渔业污染事故或者渔业船舶造成水污染事故的，由渔业主管部门进行处罚；其他船舶造成水 污染事故的，</w:t>
            </w:r>
            <w:r>
              <w:rPr>
                <w:spacing w:val="7"/>
              </w:rPr>
              <w:t xml:space="preserve"> </w:t>
            </w:r>
            <w:r>
              <w:rPr>
                <w:spacing w:val="-11"/>
              </w:rPr>
              <w:t>由海事管理机构进行处罚。</w:t>
            </w:r>
          </w:p>
          <w:p w14:paraId="47B192D6">
            <w:pPr>
              <w:pStyle w:val="8"/>
              <w:spacing w:before="26" w:line="208" w:lineRule="auto"/>
              <w:ind w:left="467"/>
            </w:pPr>
            <w:r>
              <w:rPr>
                <w:b/>
                <w:bCs/>
                <w:spacing w:val="-10"/>
              </w:rPr>
              <w:t>2.《中华人民共和国内河海事行政处罚规定》（交通运输部令2022年第28号）</w:t>
            </w:r>
          </w:p>
          <w:p w14:paraId="2CA62F11">
            <w:pPr>
              <w:pStyle w:val="8"/>
              <w:spacing w:before="40" w:line="238" w:lineRule="auto"/>
              <w:ind w:left="110" w:right="93" w:firstLine="357"/>
              <w:jc w:val="both"/>
            </w:pPr>
            <w:r>
              <w:rPr>
                <w:spacing w:val="-10"/>
              </w:rPr>
              <w:t>第三十四条</w:t>
            </w:r>
            <w:r>
              <w:rPr>
                <w:spacing w:val="75"/>
                <w:w w:val="101"/>
              </w:rPr>
              <w:t xml:space="preserve"> </w:t>
            </w:r>
            <w:r>
              <w:rPr>
                <w:spacing w:val="-10"/>
              </w:rPr>
              <w:t>违反《</w:t>
            </w:r>
            <w:r>
              <w:fldChar w:fldCharType="begin"/>
            </w:r>
            <w:r>
              <w:instrText xml:space="preserve"> HYPERLINK "https://www.pkulaw.com/chl/javascript:SLC(297378)" </w:instrText>
            </w:r>
            <w:r>
              <w:fldChar w:fldCharType="separate"/>
            </w:r>
            <w:r>
              <w:rPr>
                <w:spacing w:val="-10"/>
              </w:rPr>
              <w:t>水污染防治法</w:t>
            </w:r>
            <w:r>
              <w:rPr>
                <w:spacing w:val="-10"/>
              </w:rPr>
              <w:fldChar w:fldCharType="end"/>
            </w:r>
            <w:r>
              <w:rPr>
                <w:spacing w:val="-10"/>
              </w:rPr>
              <w:t>》规定， 有下列行为之一的，依照《</w:t>
            </w:r>
            <w:r>
              <w:fldChar w:fldCharType="begin"/>
            </w:r>
            <w:r>
              <w:instrText xml:space="preserve"> HYPERLINK "https://www.pkulaw.com/chl/javascript:SLC(297378)" </w:instrText>
            </w:r>
            <w:r>
              <w:fldChar w:fldCharType="separate"/>
            </w:r>
            <w:r>
              <w:rPr>
                <w:spacing w:val="-10"/>
              </w:rPr>
              <w:t>水污染防治法</w:t>
            </w:r>
            <w:r>
              <w:rPr>
                <w:spacing w:val="-10"/>
              </w:rPr>
              <w:fldChar w:fldCharType="end"/>
            </w:r>
            <w:r>
              <w:rPr>
                <w:spacing w:val="-10"/>
              </w:rPr>
              <w:t>》第</w:t>
            </w:r>
            <w:r>
              <w:fldChar w:fldCharType="begin"/>
            </w:r>
            <w:r>
              <w:instrText xml:space="preserve"> HYPERLINK "https://www.pkulaw.com/chl/javascript:SLC(297378,90)" </w:instrText>
            </w:r>
            <w:r>
              <w:fldChar w:fldCharType="separate"/>
            </w:r>
            <w:r>
              <w:rPr>
                <w:spacing w:val="-10"/>
              </w:rPr>
              <w:t>九十条</w:t>
            </w:r>
            <w:r>
              <w:rPr>
                <w:spacing w:val="-10"/>
              </w:rPr>
              <w:fldChar w:fldCharType="end"/>
            </w:r>
            <w:r>
              <w:rPr>
                <w:spacing w:val="-10"/>
              </w:rPr>
              <w:t>的规定进行处</w:t>
            </w:r>
            <w:r>
              <w:t xml:space="preserve"> </w:t>
            </w:r>
            <w:r>
              <w:rPr>
                <w:spacing w:val="-7"/>
              </w:rPr>
              <w:t>罚</w:t>
            </w:r>
            <w:r>
              <w:rPr>
                <w:spacing w:val="-22"/>
              </w:rPr>
              <w:t>：（</w:t>
            </w:r>
            <w:r>
              <w:rPr>
                <w:spacing w:val="-7"/>
              </w:rPr>
              <w:t>一）向水体倾倒船舶垃圾或者排放船舶的残油、废油的</w:t>
            </w:r>
            <w:r>
              <w:rPr>
                <w:spacing w:val="-22"/>
              </w:rPr>
              <w:t>；（</w:t>
            </w:r>
            <w:r>
              <w:rPr>
                <w:spacing w:val="-7"/>
              </w:rPr>
              <w:t>二）未经作业地海事管理机构批准，船舶进行散</w:t>
            </w:r>
            <w:r>
              <w:rPr>
                <w:spacing w:val="3"/>
              </w:rPr>
              <w:t xml:space="preserve"> </w:t>
            </w:r>
            <w:r>
              <w:rPr>
                <w:spacing w:val="-9"/>
              </w:rPr>
              <w:t>装液体 污染危害性货物的过驳作业的</w:t>
            </w:r>
            <w:r>
              <w:rPr>
                <w:spacing w:val="-27"/>
              </w:rPr>
              <w:t>；（</w:t>
            </w:r>
            <w:r>
              <w:rPr>
                <w:spacing w:val="-9"/>
              </w:rPr>
              <w:t>三）船舶及有关作业单位从事有污染风险的作业活动，未按照规定采取污</w:t>
            </w:r>
            <w:r>
              <w:t xml:space="preserve"> </w:t>
            </w:r>
            <w:r>
              <w:rPr>
                <w:spacing w:val="-9"/>
              </w:rPr>
              <w:t>染防治措 施的</w:t>
            </w:r>
            <w:r>
              <w:rPr>
                <w:spacing w:val="-19"/>
              </w:rPr>
              <w:t>；（</w:t>
            </w:r>
            <w:r>
              <w:rPr>
                <w:spacing w:val="-9"/>
              </w:rPr>
              <w:t>四）以冲滩方式进行船舶拆解的</w:t>
            </w:r>
            <w:r>
              <w:rPr>
                <w:spacing w:val="-19"/>
              </w:rPr>
              <w:t>；（</w:t>
            </w:r>
            <w:r>
              <w:rPr>
                <w:spacing w:val="-9"/>
              </w:rPr>
              <w:t>五）进入中华人民共和国内河的国际航线船舶，排放不符合</w:t>
            </w:r>
            <w:r>
              <w:rPr>
                <w:spacing w:val="2"/>
              </w:rPr>
              <w:t xml:space="preserve"> </w:t>
            </w:r>
            <w:r>
              <w:rPr>
                <w:spacing w:val="-9"/>
              </w:rPr>
              <w:t>规定的船舶 压载水的。</w:t>
            </w:r>
          </w:p>
          <w:p w14:paraId="07B6187B">
            <w:pPr>
              <w:pStyle w:val="8"/>
              <w:spacing w:before="1" w:line="242" w:lineRule="auto"/>
              <w:ind w:left="112" w:right="40" w:firstLine="355"/>
            </w:pPr>
            <w:r>
              <w:rPr>
                <w:spacing w:val="-8"/>
              </w:rPr>
              <w:t>违反《</w:t>
            </w:r>
            <w:r>
              <w:fldChar w:fldCharType="begin"/>
            </w:r>
            <w:r>
              <w:instrText xml:space="preserve"> HYPERLINK "https://www.pkulaw.com/chl/javascript:SLC(297378)" </w:instrText>
            </w:r>
            <w:r>
              <w:fldChar w:fldCharType="separate"/>
            </w:r>
            <w:r>
              <w:rPr>
                <w:spacing w:val="-8"/>
              </w:rPr>
              <w:t>水污染防治法</w:t>
            </w:r>
            <w:r>
              <w:rPr>
                <w:spacing w:val="-8"/>
              </w:rPr>
              <w:fldChar w:fldCharType="end"/>
            </w:r>
            <w:r>
              <w:rPr>
                <w:spacing w:val="-8"/>
              </w:rPr>
              <w:t>》的规定，船舶造成水污染事故的，依照《</w:t>
            </w:r>
            <w:r>
              <w:fldChar w:fldCharType="begin"/>
            </w:r>
            <w:r>
              <w:instrText xml:space="preserve"> HYPERLINK "https://www.pkulaw.com/chl/javascript:SLC(297378)" </w:instrText>
            </w:r>
            <w:r>
              <w:fldChar w:fldCharType="separate"/>
            </w:r>
            <w:r>
              <w:rPr>
                <w:spacing w:val="-8"/>
              </w:rPr>
              <w:t>水污</w:t>
            </w:r>
            <w:r>
              <w:rPr>
                <w:spacing w:val="-9"/>
              </w:rPr>
              <w:t>染防治法</w:t>
            </w:r>
            <w:r>
              <w:rPr>
                <w:spacing w:val="-9"/>
              </w:rPr>
              <w:fldChar w:fldCharType="end"/>
            </w:r>
            <w:r>
              <w:rPr>
                <w:spacing w:val="-9"/>
              </w:rPr>
              <w:t>》</w:t>
            </w:r>
            <w:r>
              <w:fldChar w:fldCharType="begin"/>
            </w:r>
            <w:r>
              <w:instrText xml:space="preserve"> HYPERLINK "https://www.pkulaw.com/chl/javascript:SLC(297378,94)" </w:instrText>
            </w:r>
            <w:r>
              <w:fldChar w:fldCharType="separate"/>
            </w:r>
            <w:r>
              <w:rPr>
                <w:spacing w:val="-9"/>
              </w:rPr>
              <w:t>第九十四条</w:t>
            </w:r>
            <w:r>
              <w:rPr>
                <w:spacing w:val="-9"/>
              </w:rPr>
              <w:fldChar w:fldCharType="end"/>
            </w:r>
            <w:r>
              <w:rPr>
                <w:spacing w:val="-9"/>
              </w:rPr>
              <w:t>的规定，造成一般</w:t>
            </w:r>
            <w:r>
              <w:t xml:space="preserve"> </w:t>
            </w:r>
            <w:r>
              <w:rPr>
                <w:spacing w:val="-13"/>
              </w:rPr>
              <w:t>或者较大水污染事故的，处以直接损失的20％的罚款；造成重大或者特大水污染事故的，处以</w:t>
            </w:r>
            <w:r>
              <w:rPr>
                <w:spacing w:val="-14"/>
              </w:rPr>
              <w:t>直接损失的30％的罚款。</w:t>
            </w:r>
          </w:p>
        </w:tc>
        <w:tc>
          <w:tcPr>
            <w:tcW w:w="1043" w:type="dxa"/>
            <w:vAlign w:val="top"/>
          </w:tcPr>
          <w:p w14:paraId="74BC1126">
            <w:pPr>
              <w:rPr>
                <w:rFonts w:ascii="Arial"/>
                <w:sz w:val="21"/>
              </w:rPr>
            </w:pPr>
          </w:p>
        </w:tc>
        <w:tc>
          <w:tcPr>
            <w:tcW w:w="1448" w:type="dxa"/>
            <w:vAlign w:val="top"/>
          </w:tcPr>
          <w:p w14:paraId="21B26C48">
            <w:pPr>
              <w:rPr>
                <w:rFonts w:ascii="Arial"/>
                <w:sz w:val="21"/>
              </w:rPr>
            </w:pPr>
          </w:p>
        </w:tc>
        <w:tc>
          <w:tcPr>
            <w:tcW w:w="1047" w:type="dxa"/>
            <w:vAlign w:val="top"/>
          </w:tcPr>
          <w:p w14:paraId="3EB4A2CE">
            <w:pPr>
              <w:rPr>
                <w:rFonts w:ascii="Arial"/>
                <w:sz w:val="21"/>
              </w:rPr>
            </w:pPr>
          </w:p>
        </w:tc>
      </w:tr>
      <w:tr w14:paraId="13217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3" w:hRule="atLeast"/>
        </w:trPr>
        <w:tc>
          <w:tcPr>
            <w:tcW w:w="641" w:type="dxa"/>
            <w:vAlign w:val="top"/>
          </w:tcPr>
          <w:p w14:paraId="5EA29A3E">
            <w:pPr>
              <w:spacing w:line="276" w:lineRule="auto"/>
              <w:rPr>
                <w:rFonts w:ascii="Arial"/>
                <w:sz w:val="21"/>
              </w:rPr>
            </w:pPr>
          </w:p>
          <w:p w14:paraId="5FF699CB">
            <w:pPr>
              <w:spacing w:line="276" w:lineRule="auto"/>
              <w:rPr>
                <w:rFonts w:ascii="Arial"/>
                <w:sz w:val="21"/>
              </w:rPr>
            </w:pPr>
          </w:p>
          <w:p w14:paraId="38E13749">
            <w:pPr>
              <w:spacing w:line="276" w:lineRule="auto"/>
              <w:rPr>
                <w:rFonts w:ascii="Arial"/>
                <w:sz w:val="21"/>
              </w:rPr>
            </w:pPr>
          </w:p>
          <w:p w14:paraId="432C193B">
            <w:pPr>
              <w:spacing w:line="276" w:lineRule="auto"/>
              <w:rPr>
                <w:rFonts w:ascii="Arial"/>
                <w:sz w:val="21"/>
              </w:rPr>
            </w:pPr>
          </w:p>
          <w:p w14:paraId="17D90FB8">
            <w:pPr>
              <w:spacing w:line="276" w:lineRule="auto"/>
              <w:rPr>
                <w:rFonts w:ascii="Arial"/>
                <w:sz w:val="21"/>
              </w:rPr>
            </w:pPr>
          </w:p>
          <w:p w14:paraId="69E3E2D9">
            <w:pPr>
              <w:pStyle w:val="8"/>
              <w:spacing w:before="59" w:line="183" w:lineRule="auto"/>
              <w:ind w:left="281"/>
            </w:pPr>
            <w:r>
              <w:t>8</w:t>
            </w:r>
          </w:p>
        </w:tc>
        <w:tc>
          <w:tcPr>
            <w:tcW w:w="1136" w:type="dxa"/>
            <w:vAlign w:val="top"/>
          </w:tcPr>
          <w:p w14:paraId="7A0711AE">
            <w:pPr>
              <w:spacing w:line="400" w:lineRule="auto"/>
              <w:rPr>
                <w:rFonts w:ascii="Arial"/>
                <w:sz w:val="21"/>
              </w:rPr>
            </w:pPr>
          </w:p>
          <w:p w14:paraId="20B3485A">
            <w:pPr>
              <w:pStyle w:val="8"/>
              <w:spacing w:before="59" w:line="243" w:lineRule="auto"/>
              <w:ind w:left="109" w:right="104"/>
              <w:jc w:val="both"/>
            </w:pPr>
            <w:r>
              <w:rPr>
                <w:spacing w:val="3"/>
              </w:rPr>
              <w:t>对拒绝海事</w:t>
            </w:r>
            <w:r>
              <w:rPr>
                <w:spacing w:val="1"/>
              </w:rPr>
              <w:t xml:space="preserve"> </w:t>
            </w:r>
            <w:r>
              <w:rPr>
                <w:spacing w:val="3"/>
              </w:rPr>
              <w:t>管理机构进</w:t>
            </w:r>
            <w:r>
              <w:t xml:space="preserve"> </w:t>
            </w:r>
            <w:r>
              <w:rPr>
                <w:spacing w:val="3"/>
              </w:rPr>
              <w:t>行有关船舶</w:t>
            </w:r>
            <w:r>
              <w:t xml:space="preserve"> </w:t>
            </w:r>
            <w:r>
              <w:rPr>
                <w:spacing w:val="3"/>
              </w:rPr>
              <w:t>噪声污染环</w:t>
            </w:r>
            <w:r>
              <w:t xml:space="preserve"> </w:t>
            </w:r>
            <w:r>
              <w:rPr>
                <w:spacing w:val="3"/>
              </w:rPr>
              <w:t>境的现场检</w:t>
            </w:r>
            <w:r>
              <w:t xml:space="preserve"> </w:t>
            </w:r>
            <w:r>
              <w:rPr>
                <w:spacing w:val="3"/>
              </w:rPr>
              <w:t>查或者在被</w:t>
            </w:r>
            <w:r>
              <w:t xml:space="preserve"> </w:t>
            </w:r>
            <w:r>
              <w:rPr>
                <w:spacing w:val="3"/>
              </w:rPr>
              <w:t>检查时弄虚</w:t>
            </w:r>
            <w:r>
              <w:t xml:space="preserve"> </w:t>
            </w:r>
            <w:r>
              <w:rPr>
                <w:spacing w:val="3"/>
              </w:rPr>
              <w:t>作假的行为</w:t>
            </w:r>
            <w:r>
              <w:t xml:space="preserve"> </w:t>
            </w:r>
            <w:r>
              <w:rPr>
                <w:spacing w:val="-4"/>
              </w:rPr>
              <w:t>的行政处罚</w:t>
            </w:r>
          </w:p>
        </w:tc>
        <w:tc>
          <w:tcPr>
            <w:tcW w:w="1136" w:type="dxa"/>
            <w:vAlign w:val="top"/>
          </w:tcPr>
          <w:p w14:paraId="68664A92">
            <w:pPr>
              <w:spacing w:line="270" w:lineRule="auto"/>
              <w:rPr>
                <w:rFonts w:ascii="Arial"/>
                <w:sz w:val="21"/>
              </w:rPr>
            </w:pPr>
          </w:p>
          <w:p w14:paraId="26588BBC">
            <w:pPr>
              <w:spacing w:line="270" w:lineRule="auto"/>
              <w:rPr>
                <w:rFonts w:ascii="Arial"/>
                <w:sz w:val="21"/>
              </w:rPr>
            </w:pPr>
          </w:p>
          <w:p w14:paraId="41221723">
            <w:pPr>
              <w:spacing w:line="270" w:lineRule="auto"/>
              <w:rPr>
                <w:rFonts w:ascii="Arial"/>
                <w:sz w:val="21"/>
              </w:rPr>
            </w:pPr>
          </w:p>
          <w:p w14:paraId="6446B322">
            <w:pPr>
              <w:spacing w:line="271" w:lineRule="auto"/>
              <w:rPr>
                <w:rFonts w:ascii="Arial"/>
                <w:sz w:val="21"/>
              </w:rPr>
            </w:pPr>
          </w:p>
          <w:p w14:paraId="2806B730">
            <w:pPr>
              <w:spacing w:line="271" w:lineRule="auto"/>
              <w:rPr>
                <w:rFonts w:ascii="Arial"/>
                <w:sz w:val="21"/>
              </w:rPr>
            </w:pPr>
          </w:p>
          <w:p w14:paraId="56C6F64A">
            <w:pPr>
              <w:pStyle w:val="8"/>
              <w:spacing w:before="58" w:line="220" w:lineRule="auto"/>
              <w:ind w:left="114"/>
            </w:pPr>
            <w:r>
              <w:rPr>
                <w:spacing w:val="-7"/>
              </w:rPr>
              <w:t>行政处罚</w:t>
            </w:r>
          </w:p>
        </w:tc>
        <w:tc>
          <w:tcPr>
            <w:tcW w:w="8806" w:type="dxa"/>
            <w:vAlign w:val="top"/>
          </w:tcPr>
          <w:p w14:paraId="57D9D4F7">
            <w:pPr>
              <w:pStyle w:val="8"/>
              <w:spacing w:before="219" w:line="219" w:lineRule="auto"/>
              <w:ind w:left="471"/>
            </w:pPr>
            <w:r>
              <w:rPr>
                <w:b/>
                <w:bCs/>
                <w:spacing w:val="-11"/>
              </w:rPr>
              <w:t>《中华人民共和国噪声污染防治法》</w:t>
            </w:r>
          </w:p>
          <w:p w14:paraId="1375D5A2">
            <w:pPr>
              <w:pStyle w:val="8"/>
              <w:spacing w:before="26" w:line="219" w:lineRule="auto"/>
              <w:ind w:left="468"/>
            </w:pPr>
            <w:r>
              <w:rPr>
                <w:spacing w:val="-10"/>
              </w:rPr>
              <w:t>第八条  国务院生态环境主管部门对全国环境噪声污染防治实施统一监督管理。</w:t>
            </w:r>
          </w:p>
          <w:p w14:paraId="3799D27D">
            <w:pPr>
              <w:pStyle w:val="8"/>
              <w:spacing w:before="25" w:line="219" w:lineRule="auto"/>
              <w:ind w:left="465"/>
            </w:pPr>
            <w:r>
              <w:rPr>
                <w:spacing w:val="-10"/>
              </w:rPr>
              <w:t>地方人民政府生态环境主管部门对本行政区域内的环境噪声污染防治实施统一监督管理。</w:t>
            </w:r>
          </w:p>
          <w:p w14:paraId="0AC80BDE">
            <w:pPr>
              <w:pStyle w:val="8"/>
              <w:spacing w:before="25" w:line="233" w:lineRule="auto"/>
              <w:ind w:left="109" w:right="96" w:firstLine="358"/>
            </w:pPr>
            <w:r>
              <w:rPr>
                <w:spacing w:val="-8"/>
              </w:rPr>
              <w:t>各级住房和城乡建设、公安、交通运输、铁路监督管理、民用</w:t>
            </w:r>
            <w:r>
              <w:rPr>
                <w:spacing w:val="-9"/>
              </w:rPr>
              <w:t>航空、海事等部门，在各自职责范围内，对建筑</w:t>
            </w:r>
            <w:r>
              <w:t xml:space="preserve"> </w:t>
            </w:r>
            <w:r>
              <w:rPr>
                <w:spacing w:val="-10"/>
              </w:rPr>
              <w:t>施工、交通运输和社会生活噪声污染防治实施监督管理。</w:t>
            </w:r>
          </w:p>
          <w:p w14:paraId="7244F371">
            <w:pPr>
              <w:pStyle w:val="8"/>
              <w:spacing w:before="28" w:line="237" w:lineRule="auto"/>
              <w:ind w:left="109" w:right="93" w:firstLine="359"/>
            </w:pPr>
            <w:r>
              <w:rPr>
                <w:spacing w:val="-12"/>
              </w:rPr>
              <w:t>第二十九条</w:t>
            </w:r>
            <w:r>
              <w:rPr>
                <w:spacing w:val="84"/>
              </w:rPr>
              <w:t xml:space="preserve"> </w:t>
            </w:r>
            <w:r>
              <w:rPr>
                <w:spacing w:val="-12"/>
              </w:rPr>
              <w:t>生态环境主管部门和其他负有噪声污染防治监督管理职责的部门，有权对排放噪声的单位或者场所</w:t>
            </w:r>
            <w:r>
              <w:t xml:space="preserve"> </w:t>
            </w:r>
            <w:r>
              <w:rPr>
                <w:spacing w:val="-11"/>
              </w:rPr>
              <w:t>进行现场检查。被检查者应当如实反映情况，提供必要的资</w:t>
            </w:r>
            <w:r>
              <w:rPr>
                <w:spacing w:val="-12"/>
              </w:rPr>
              <w:t>料，不得拒绝或者阻挠。实施检查的部门、人员对现场检</w:t>
            </w:r>
            <w:r>
              <w:t xml:space="preserve"> </w:t>
            </w:r>
            <w:r>
              <w:rPr>
                <w:spacing w:val="-9"/>
              </w:rPr>
              <w:t>查中知悉的商业秘密应当保密。</w:t>
            </w:r>
          </w:p>
          <w:p w14:paraId="4EF39949">
            <w:pPr>
              <w:pStyle w:val="8"/>
              <w:spacing w:before="26" w:line="219" w:lineRule="auto"/>
              <w:ind w:left="468"/>
            </w:pPr>
            <w:r>
              <w:rPr>
                <w:spacing w:val="-10"/>
              </w:rPr>
              <w:t>检查人员进行现场检查，不得少于两人，并应当主动出示执法证件。</w:t>
            </w:r>
          </w:p>
          <w:p w14:paraId="66C65B17">
            <w:pPr>
              <w:pStyle w:val="8"/>
              <w:spacing w:before="25" w:line="233" w:lineRule="auto"/>
              <w:ind w:left="112" w:right="95" w:firstLine="356"/>
            </w:pPr>
            <w:r>
              <w:rPr>
                <w:spacing w:val="-12"/>
              </w:rPr>
              <w:t>第七十一条</w:t>
            </w:r>
            <w:r>
              <w:rPr>
                <w:spacing w:val="81"/>
                <w:w w:val="101"/>
              </w:rPr>
              <w:t xml:space="preserve"> </w:t>
            </w:r>
            <w:r>
              <w:rPr>
                <w:spacing w:val="-12"/>
              </w:rPr>
              <w:t>违反本法规定，拒绝、阻挠监督检查，或者在接受监督检查时弄虚作假的，由生态环境主管部门或</w:t>
            </w:r>
            <w:r>
              <w:t xml:space="preserve"> </w:t>
            </w:r>
            <w:r>
              <w:rPr>
                <w:spacing w:val="-10"/>
              </w:rPr>
              <w:t>者其他负有噪声污染防治监督管理职责的部门责令改正，处二万元以上二十万元以下的罚款。</w:t>
            </w:r>
          </w:p>
        </w:tc>
        <w:tc>
          <w:tcPr>
            <w:tcW w:w="1043" w:type="dxa"/>
            <w:vAlign w:val="top"/>
          </w:tcPr>
          <w:p w14:paraId="655ECD35">
            <w:pPr>
              <w:spacing w:line="246" w:lineRule="auto"/>
              <w:rPr>
                <w:rFonts w:ascii="Arial"/>
                <w:sz w:val="21"/>
              </w:rPr>
            </w:pPr>
          </w:p>
          <w:p w14:paraId="09AFC88A">
            <w:pPr>
              <w:spacing w:line="246" w:lineRule="auto"/>
              <w:rPr>
                <w:rFonts w:ascii="Arial"/>
                <w:sz w:val="21"/>
              </w:rPr>
            </w:pPr>
          </w:p>
          <w:p w14:paraId="27ADD300">
            <w:pPr>
              <w:spacing w:line="246" w:lineRule="auto"/>
              <w:rPr>
                <w:rFonts w:ascii="Arial"/>
                <w:sz w:val="21"/>
              </w:rPr>
            </w:pPr>
          </w:p>
          <w:p w14:paraId="5D0E46FB">
            <w:pPr>
              <w:spacing w:line="247" w:lineRule="auto"/>
              <w:rPr>
                <w:rFonts w:ascii="Arial"/>
                <w:sz w:val="21"/>
              </w:rPr>
            </w:pPr>
          </w:p>
          <w:p w14:paraId="043DC0DA">
            <w:pPr>
              <w:spacing w:line="247" w:lineRule="auto"/>
              <w:rPr>
                <w:rFonts w:ascii="Arial"/>
                <w:sz w:val="21"/>
              </w:rPr>
            </w:pPr>
          </w:p>
          <w:p w14:paraId="5730D1A9">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CE94AC5">
            <w:pPr>
              <w:spacing w:line="270" w:lineRule="auto"/>
              <w:rPr>
                <w:rFonts w:ascii="Arial"/>
                <w:sz w:val="21"/>
              </w:rPr>
            </w:pPr>
          </w:p>
          <w:p w14:paraId="03F28E9B">
            <w:pPr>
              <w:spacing w:line="270" w:lineRule="auto"/>
              <w:rPr>
                <w:rFonts w:ascii="Arial"/>
                <w:sz w:val="21"/>
              </w:rPr>
            </w:pPr>
          </w:p>
          <w:p w14:paraId="412DDF02">
            <w:pPr>
              <w:spacing w:line="270" w:lineRule="auto"/>
              <w:rPr>
                <w:rFonts w:ascii="Arial"/>
                <w:sz w:val="21"/>
              </w:rPr>
            </w:pPr>
          </w:p>
          <w:p w14:paraId="6FE5812D">
            <w:pPr>
              <w:spacing w:line="271" w:lineRule="auto"/>
              <w:rPr>
                <w:rFonts w:ascii="Arial"/>
                <w:sz w:val="21"/>
              </w:rPr>
            </w:pPr>
          </w:p>
          <w:p w14:paraId="3E5A37CD">
            <w:pPr>
              <w:spacing w:line="271" w:lineRule="auto"/>
              <w:rPr>
                <w:rFonts w:ascii="Arial"/>
                <w:sz w:val="21"/>
              </w:rPr>
            </w:pPr>
          </w:p>
          <w:p w14:paraId="73AA0792">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33EF2A6">
            <w:pPr>
              <w:spacing w:line="248" w:lineRule="auto"/>
              <w:rPr>
                <w:rFonts w:ascii="Arial"/>
                <w:sz w:val="21"/>
              </w:rPr>
            </w:pPr>
          </w:p>
          <w:p w14:paraId="164CF328">
            <w:pPr>
              <w:spacing w:line="249" w:lineRule="auto"/>
              <w:rPr>
                <w:rFonts w:ascii="Arial"/>
                <w:sz w:val="21"/>
              </w:rPr>
            </w:pPr>
          </w:p>
          <w:p w14:paraId="2BE19341">
            <w:pPr>
              <w:spacing w:line="249" w:lineRule="auto"/>
              <w:rPr>
                <w:rFonts w:ascii="Arial"/>
                <w:sz w:val="21"/>
              </w:rPr>
            </w:pPr>
          </w:p>
          <w:p w14:paraId="276C44D4">
            <w:pPr>
              <w:spacing w:line="249" w:lineRule="auto"/>
              <w:rPr>
                <w:rFonts w:ascii="Arial"/>
                <w:sz w:val="21"/>
              </w:rPr>
            </w:pPr>
          </w:p>
          <w:p w14:paraId="352ABF7E">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2631B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8" w:hRule="atLeast"/>
        </w:trPr>
        <w:tc>
          <w:tcPr>
            <w:tcW w:w="641" w:type="dxa"/>
            <w:vAlign w:val="top"/>
          </w:tcPr>
          <w:p w14:paraId="528EB1AA">
            <w:pPr>
              <w:spacing w:line="269" w:lineRule="auto"/>
              <w:rPr>
                <w:rFonts w:ascii="Arial"/>
                <w:sz w:val="21"/>
              </w:rPr>
            </w:pPr>
          </w:p>
          <w:p w14:paraId="03A604AA">
            <w:pPr>
              <w:spacing w:line="269" w:lineRule="auto"/>
              <w:rPr>
                <w:rFonts w:ascii="Arial"/>
                <w:sz w:val="21"/>
              </w:rPr>
            </w:pPr>
          </w:p>
          <w:p w14:paraId="762FFCF8">
            <w:pPr>
              <w:spacing w:line="269" w:lineRule="auto"/>
              <w:rPr>
                <w:rFonts w:ascii="Arial"/>
                <w:sz w:val="21"/>
              </w:rPr>
            </w:pPr>
          </w:p>
          <w:p w14:paraId="4955EDB9">
            <w:pPr>
              <w:spacing w:line="269" w:lineRule="auto"/>
              <w:rPr>
                <w:rFonts w:ascii="Arial"/>
                <w:sz w:val="21"/>
              </w:rPr>
            </w:pPr>
          </w:p>
          <w:p w14:paraId="1AE5DB6D">
            <w:pPr>
              <w:pStyle w:val="8"/>
              <w:spacing w:before="59" w:line="183" w:lineRule="auto"/>
              <w:ind w:left="281"/>
            </w:pPr>
            <w:r>
              <w:t>9</w:t>
            </w:r>
          </w:p>
        </w:tc>
        <w:tc>
          <w:tcPr>
            <w:tcW w:w="1136" w:type="dxa"/>
            <w:vAlign w:val="top"/>
          </w:tcPr>
          <w:p w14:paraId="68B1419C">
            <w:pPr>
              <w:spacing w:line="330" w:lineRule="auto"/>
              <w:rPr>
                <w:rFonts w:ascii="Arial"/>
                <w:sz w:val="21"/>
              </w:rPr>
            </w:pPr>
          </w:p>
          <w:p w14:paraId="32AE33DC">
            <w:pPr>
              <w:pStyle w:val="8"/>
              <w:spacing w:before="58" w:line="243" w:lineRule="auto"/>
              <w:ind w:left="109" w:right="104"/>
              <w:jc w:val="both"/>
            </w:pPr>
            <w:r>
              <w:rPr>
                <w:spacing w:val="3"/>
              </w:rPr>
              <w:t>对在城市市</w:t>
            </w:r>
            <w:r>
              <w:t xml:space="preserve"> </w:t>
            </w:r>
            <w:r>
              <w:rPr>
                <w:spacing w:val="3"/>
              </w:rPr>
              <w:t>区的内河航</w:t>
            </w:r>
            <w:r>
              <w:t xml:space="preserve"> </w:t>
            </w:r>
            <w:r>
              <w:rPr>
                <w:spacing w:val="3"/>
              </w:rPr>
              <w:t>道航行时未</w:t>
            </w:r>
            <w:r>
              <w:rPr>
                <w:spacing w:val="1"/>
              </w:rPr>
              <w:t xml:space="preserve"> </w:t>
            </w:r>
            <w:r>
              <w:rPr>
                <w:spacing w:val="3"/>
              </w:rPr>
              <w:t>按照规定使</w:t>
            </w:r>
            <w:r>
              <w:rPr>
                <w:spacing w:val="1"/>
              </w:rPr>
              <w:t xml:space="preserve"> </w:t>
            </w:r>
            <w:r>
              <w:rPr>
                <w:spacing w:val="3"/>
              </w:rPr>
              <w:t>用声响装置</w:t>
            </w:r>
            <w:r>
              <w:rPr>
                <w:spacing w:val="1"/>
              </w:rPr>
              <w:t xml:space="preserve"> </w:t>
            </w:r>
            <w:r>
              <w:rPr>
                <w:spacing w:val="3"/>
              </w:rPr>
              <w:t>的行为的行</w:t>
            </w:r>
            <w:r>
              <w:rPr>
                <w:spacing w:val="1"/>
              </w:rPr>
              <w:t xml:space="preserve"> </w:t>
            </w:r>
            <w:r>
              <w:rPr>
                <w:spacing w:val="-4"/>
              </w:rPr>
              <w:t>政处罚</w:t>
            </w:r>
          </w:p>
        </w:tc>
        <w:tc>
          <w:tcPr>
            <w:tcW w:w="1136" w:type="dxa"/>
            <w:vAlign w:val="top"/>
          </w:tcPr>
          <w:p w14:paraId="364344C4">
            <w:pPr>
              <w:spacing w:line="262" w:lineRule="auto"/>
              <w:rPr>
                <w:rFonts w:ascii="Arial"/>
                <w:sz w:val="21"/>
              </w:rPr>
            </w:pPr>
          </w:p>
          <w:p w14:paraId="466971BF">
            <w:pPr>
              <w:spacing w:line="262" w:lineRule="auto"/>
              <w:rPr>
                <w:rFonts w:ascii="Arial"/>
                <w:sz w:val="21"/>
              </w:rPr>
            </w:pPr>
          </w:p>
          <w:p w14:paraId="7C142878">
            <w:pPr>
              <w:spacing w:line="262" w:lineRule="auto"/>
              <w:rPr>
                <w:rFonts w:ascii="Arial"/>
                <w:sz w:val="21"/>
              </w:rPr>
            </w:pPr>
          </w:p>
          <w:p w14:paraId="2BFC3478">
            <w:pPr>
              <w:spacing w:line="262" w:lineRule="auto"/>
              <w:rPr>
                <w:rFonts w:ascii="Arial"/>
                <w:sz w:val="21"/>
              </w:rPr>
            </w:pPr>
          </w:p>
          <w:p w14:paraId="1A0917FF">
            <w:pPr>
              <w:pStyle w:val="8"/>
              <w:spacing w:before="59" w:line="220" w:lineRule="auto"/>
              <w:ind w:left="114"/>
            </w:pPr>
            <w:r>
              <w:rPr>
                <w:spacing w:val="-7"/>
              </w:rPr>
              <w:t>行政处罚</w:t>
            </w:r>
          </w:p>
        </w:tc>
        <w:tc>
          <w:tcPr>
            <w:tcW w:w="8806" w:type="dxa"/>
            <w:vAlign w:val="top"/>
          </w:tcPr>
          <w:p w14:paraId="13CE3A65">
            <w:pPr>
              <w:pStyle w:val="8"/>
              <w:spacing w:before="273" w:line="219" w:lineRule="auto"/>
              <w:ind w:left="481"/>
            </w:pPr>
            <w:r>
              <w:rPr>
                <w:b/>
                <w:bCs/>
                <w:spacing w:val="-11"/>
              </w:rPr>
              <w:t>1.《中华人民共和国噪声污染防治法》</w:t>
            </w:r>
          </w:p>
          <w:p w14:paraId="76202B61">
            <w:pPr>
              <w:pStyle w:val="8"/>
              <w:spacing w:before="25" w:line="233" w:lineRule="auto"/>
              <w:ind w:left="114" w:right="95" w:firstLine="353"/>
            </w:pPr>
            <w:r>
              <w:rPr>
                <w:spacing w:val="-12"/>
              </w:rPr>
              <w:t>第四十八条第一款</w:t>
            </w:r>
            <w:r>
              <w:rPr>
                <w:spacing w:val="81"/>
                <w:w w:val="101"/>
              </w:rPr>
              <w:t xml:space="preserve"> </w:t>
            </w:r>
            <w:r>
              <w:rPr>
                <w:spacing w:val="-12"/>
              </w:rPr>
              <w:t>机动车、铁路机车车辆、城市轨道交通车辆、机动船舶等交通运输工具运行时，应当按照规</w:t>
            </w:r>
            <w:r>
              <w:t xml:space="preserve"> </w:t>
            </w:r>
            <w:r>
              <w:rPr>
                <w:spacing w:val="-10"/>
              </w:rPr>
              <w:t>定使用喇叭等声响装置。</w:t>
            </w:r>
          </w:p>
          <w:p w14:paraId="215110FF">
            <w:pPr>
              <w:pStyle w:val="8"/>
              <w:spacing w:before="26" w:line="237" w:lineRule="auto"/>
              <w:ind w:left="111" w:right="95" w:firstLine="356"/>
              <w:jc w:val="both"/>
            </w:pPr>
            <w:r>
              <w:rPr>
                <w:spacing w:val="-12"/>
              </w:rPr>
              <w:t>第七十九条第二款</w:t>
            </w:r>
            <w:r>
              <w:rPr>
                <w:spacing w:val="81"/>
              </w:rPr>
              <w:t xml:space="preserve"> </w:t>
            </w:r>
            <w:r>
              <w:rPr>
                <w:spacing w:val="-12"/>
              </w:rPr>
              <w:t>违反本法规定，铁路机车车辆、城市轨道交通车辆、机动船舶等交通运输工具运行时未按照</w:t>
            </w:r>
            <w:r>
              <w:t xml:space="preserve"> </w:t>
            </w:r>
            <w:r>
              <w:rPr>
                <w:spacing w:val="-11"/>
              </w:rPr>
              <w:t>规定使用声响装置的，由交通运输、铁路监督管理、海</w:t>
            </w:r>
            <w:r>
              <w:rPr>
                <w:spacing w:val="-12"/>
              </w:rPr>
              <w:t>事等部门或者地方人民政府指定的城市轨道交通有关部门按照</w:t>
            </w:r>
            <w:r>
              <w:t xml:space="preserve"> </w:t>
            </w:r>
            <w:r>
              <w:rPr>
                <w:spacing w:val="-10"/>
              </w:rPr>
              <w:t>职责责令改正，处五千元以上一万元以下的罚款。</w:t>
            </w:r>
          </w:p>
          <w:p w14:paraId="7F22CA39">
            <w:pPr>
              <w:pStyle w:val="8"/>
              <w:spacing w:before="26" w:line="219" w:lineRule="auto"/>
              <w:ind w:left="467"/>
            </w:pPr>
            <w:r>
              <w:rPr>
                <w:b/>
                <w:bCs/>
                <w:spacing w:val="-10"/>
              </w:rPr>
              <w:t>2.《中华人民共和国防治船舶污染内河水域环境管理规定》（交通运输部令2022年第</w:t>
            </w:r>
            <w:r>
              <w:rPr>
                <w:b/>
                <w:bCs/>
                <w:spacing w:val="-11"/>
              </w:rPr>
              <w:t>26号）</w:t>
            </w:r>
          </w:p>
          <w:p w14:paraId="6856BE16">
            <w:pPr>
              <w:pStyle w:val="8"/>
              <w:spacing w:before="27" w:line="219" w:lineRule="auto"/>
              <w:ind w:left="468"/>
            </w:pPr>
            <w:r>
              <w:rPr>
                <w:spacing w:val="-9"/>
              </w:rPr>
              <w:t>第十七条</w:t>
            </w:r>
            <w:r>
              <w:rPr>
                <w:spacing w:val="68"/>
              </w:rPr>
              <w:t xml:space="preserve"> </w:t>
            </w:r>
            <w:r>
              <w:rPr>
                <w:spacing w:val="-9"/>
              </w:rPr>
              <w:t>船舶在内河航行时，应当按照规定使用声响装置，并符合环</w:t>
            </w:r>
            <w:r>
              <w:rPr>
                <w:spacing w:val="-10"/>
              </w:rPr>
              <w:t>境噪声污染防治有关要求。</w:t>
            </w:r>
          </w:p>
        </w:tc>
        <w:tc>
          <w:tcPr>
            <w:tcW w:w="1043" w:type="dxa"/>
            <w:vAlign w:val="top"/>
          </w:tcPr>
          <w:p w14:paraId="20A3B27F">
            <w:pPr>
              <w:spacing w:line="309" w:lineRule="auto"/>
              <w:rPr>
                <w:rFonts w:ascii="Arial"/>
                <w:sz w:val="21"/>
              </w:rPr>
            </w:pPr>
          </w:p>
          <w:p w14:paraId="3ABBE9A5">
            <w:pPr>
              <w:spacing w:line="310" w:lineRule="auto"/>
              <w:rPr>
                <w:rFonts w:ascii="Arial"/>
                <w:sz w:val="21"/>
              </w:rPr>
            </w:pPr>
          </w:p>
          <w:p w14:paraId="382E33C2">
            <w:pPr>
              <w:spacing w:line="310" w:lineRule="auto"/>
              <w:rPr>
                <w:rFonts w:ascii="Arial"/>
                <w:sz w:val="21"/>
              </w:rPr>
            </w:pPr>
          </w:p>
          <w:p w14:paraId="58CC7DA1">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2FB6CB21">
            <w:pPr>
              <w:spacing w:line="262" w:lineRule="auto"/>
              <w:rPr>
                <w:rFonts w:ascii="Arial"/>
                <w:sz w:val="21"/>
              </w:rPr>
            </w:pPr>
          </w:p>
          <w:p w14:paraId="340A2595">
            <w:pPr>
              <w:spacing w:line="262" w:lineRule="auto"/>
              <w:rPr>
                <w:rFonts w:ascii="Arial"/>
                <w:sz w:val="21"/>
              </w:rPr>
            </w:pPr>
          </w:p>
          <w:p w14:paraId="19A2CA6E">
            <w:pPr>
              <w:spacing w:line="262" w:lineRule="auto"/>
              <w:rPr>
                <w:rFonts w:ascii="Arial"/>
                <w:sz w:val="21"/>
              </w:rPr>
            </w:pPr>
          </w:p>
          <w:p w14:paraId="051D7CD5">
            <w:pPr>
              <w:spacing w:line="262" w:lineRule="auto"/>
              <w:rPr>
                <w:rFonts w:ascii="Arial"/>
                <w:sz w:val="21"/>
              </w:rPr>
            </w:pPr>
          </w:p>
          <w:p w14:paraId="532AA213">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28FF57D">
            <w:pPr>
              <w:spacing w:line="346" w:lineRule="auto"/>
              <w:rPr>
                <w:rFonts w:ascii="Arial"/>
                <w:sz w:val="21"/>
              </w:rPr>
            </w:pPr>
          </w:p>
          <w:p w14:paraId="1A96B1D5">
            <w:pPr>
              <w:spacing w:line="346" w:lineRule="auto"/>
              <w:rPr>
                <w:rFonts w:ascii="Arial"/>
                <w:sz w:val="21"/>
              </w:rPr>
            </w:pPr>
          </w:p>
          <w:p w14:paraId="4C309A36">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1570864D">
      <w:pPr>
        <w:pStyle w:val="2"/>
      </w:pPr>
    </w:p>
    <w:p w14:paraId="34E0D19A">
      <w:pPr>
        <w:sectPr>
          <w:footerReference r:id="rId170" w:type="default"/>
          <w:pgSz w:w="16839" w:h="11906"/>
          <w:pgMar w:top="1012" w:right="788" w:bottom="967" w:left="787" w:header="0" w:footer="768" w:gutter="0"/>
          <w:cols w:space="720" w:num="1"/>
        </w:sectPr>
      </w:pPr>
    </w:p>
    <w:p w14:paraId="19802B31">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0951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43EBECCC">
            <w:pPr>
              <w:pStyle w:val="8"/>
              <w:spacing w:before="267" w:line="221" w:lineRule="auto"/>
              <w:ind w:left="142"/>
            </w:pPr>
            <w:r>
              <w:rPr>
                <w:b/>
                <w:bCs/>
                <w:spacing w:val="-4"/>
              </w:rPr>
              <w:t>序号</w:t>
            </w:r>
          </w:p>
        </w:tc>
        <w:tc>
          <w:tcPr>
            <w:tcW w:w="1136" w:type="dxa"/>
            <w:vMerge w:val="restart"/>
            <w:tcBorders>
              <w:bottom w:val="nil"/>
            </w:tcBorders>
            <w:vAlign w:val="top"/>
          </w:tcPr>
          <w:p w14:paraId="58C74D4F">
            <w:pPr>
              <w:pStyle w:val="8"/>
              <w:spacing w:before="267" w:line="220" w:lineRule="auto"/>
              <w:ind w:left="208"/>
            </w:pPr>
            <w:r>
              <w:rPr>
                <w:b/>
                <w:bCs/>
                <w:spacing w:val="-4"/>
              </w:rPr>
              <w:t>事项名称</w:t>
            </w:r>
          </w:p>
        </w:tc>
        <w:tc>
          <w:tcPr>
            <w:tcW w:w="1136" w:type="dxa"/>
            <w:vMerge w:val="restart"/>
            <w:tcBorders>
              <w:bottom w:val="nil"/>
            </w:tcBorders>
            <w:vAlign w:val="top"/>
          </w:tcPr>
          <w:p w14:paraId="6948C75B">
            <w:pPr>
              <w:pStyle w:val="8"/>
              <w:spacing w:before="267" w:line="219" w:lineRule="auto"/>
              <w:ind w:left="210"/>
            </w:pPr>
            <w:r>
              <w:rPr>
                <w:b/>
                <w:bCs/>
                <w:spacing w:val="-4"/>
              </w:rPr>
              <w:t>职权类型</w:t>
            </w:r>
          </w:p>
        </w:tc>
        <w:tc>
          <w:tcPr>
            <w:tcW w:w="8806" w:type="dxa"/>
            <w:vMerge w:val="restart"/>
            <w:tcBorders>
              <w:bottom w:val="nil"/>
            </w:tcBorders>
            <w:vAlign w:val="top"/>
          </w:tcPr>
          <w:p w14:paraId="586521DA">
            <w:pPr>
              <w:pStyle w:val="8"/>
              <w:spacing w:before="267" w:line="219" w:lineRule="auto"/>
              <w:ind w:left="4050"/>
            </w:pPr>
            <w:r>
              <w:rPr>
                <w:b/>
                <w:bCs/>
                <w:spacing w:val="-5"/>
              </w:rPr>
              <w:t>实施依据</w:t>
            </w:r>
          </w:p>
        </w:tc>
        <w:tc>
          <w:tcPr>
            <w:tcW w:w="3538" w:type="dxa"/>
            <w:gridSpan w:val="3"/>
            <w:vAlign w:val="top"/>
          </w:tcPr>
          <w:p w14:paraId="21F1648C">
            <w:pPr>
              <w:pStyle w:val="8"/>
              <w:spacing w:before="92" w:line="220" w:lineRule="auto"/>
              <w:ind w:left="1415"/>
            </w:pPr>
            <w:r>
              <w:rPr>
                <w:b/>
                <w:bCs/>
                <w:spacing w:val="-5"/>
              </w:rPr>
              <w:t>实施主体</w:t>
            </w:r>
          </w:p>
        </w:tc>
      </w:tr>
      <w:tr w14:paraId="35429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4E6F8B58">
            <w:pPr>
              <w:rPr>
                <w:rFonts w:ascii="Arial"/>
                <w:sz w:val="21"/>
              </w:rPr>
            </w:pPr>
          </w:p>
        </w:tc>
        <w:tc>
          <w:tcPr>
            <w:tcW w:w="1136" w:type="dxa"/>
            <w:vMerge w:val="continue"/>
            <w:tcBorders>
              <w:top w:val="nil"/>
            </w:tcBorders>
            <w:vAlign w:val="top"/>
          </w:tcPr>
          <w:p w14:paraId="0A047289">
            <w:pPr>
              <w:rPr>
                <w:rFonts w:ascii="Arial"/>
                <w:sz w:val="21"/>
              </w:rPr>
            </w:pPr>
          </w:p>
        </w:tc>
        <w:tc>
          <w:tcPr>
            <w:tcW w:w="1136" w:type="dxa"/>
            <w:vMerge w:val="continue"/>
            <w:tcBorders>
              <w:top w:val="nil"/>
            </w:tcBorders>
            <w:vAlign w:val="top"/>
          </w:tcPr>
          <w:p w14:paraId="19A79BDE">
            <w:pPr>
              <w:rPr>
                <w:rFonts w:ascii="Arial"/>
                <w:sz w:val="21"/>
              </w:rPr>
            </w:pPr>
          </w:p>
        </w:tc>
        <w:tc>
          <w:tcPr>
            <w:tcW w:w="8806" w:type="dxa"/>
            <w:vMerge w:val="continue"/>
            <w:tcBorders>
              <w:top w:val="nil"/>
            </w:tcBorders>
            <w:vAlign w:val="top"/>
          </w:tcPr>
          <w:p w14:paraId="7D0EEA8E">
            <w:pPr>
              <w:rPr>
                <w:rFonts w:ascii="Arial"/>
                <w:sz w:val="21"/>
              </w:rPr>
            </w:pPr>
          </w:p>
        </w:tc>
        <w:tc>
          <w:tcPr>
            <w:tcW w:w="1043" w:type="dxa"/>
            <w:vAlign w:val="top"/>
          </w:tcPr>
          <w:p w14:paraId="40D625CC">
            <w:pPr>
              <w:pStyle w:val="8"/>
              <w:spacing w:before="88" w:line="219" w:lineRule="auto"/>
              <w:ind w:left="171"/>
            </w:pPr>
            <w:r>
              <w:rPr>
                <w:b/>
                <w:bCs/>
                <w:spacing w:val="-5"/>
              </w:rPr>
              <w:t>责任部门</w:t>
            </w:r>
          </w:p>
        </w:tc>
        <w:tc>
          <w:tcPr>
            <w:tcW w:w="1448" w:type="dxa"/>
            <w:vAlign w:val="top"/>
          </w:tcPr>
          <w:p w14:paraId="6B829606">
            <w:pPr>
              <w:pStyle w:val="8"/>
              <w:spacing w:before="88" w:line="219" w:lineRule="auto"/>
              <w:ind w:left="187"/>
            </w:pPr>
            <w:r>
              <w:rPr>
                <w:b/>
                <w:bCs/>
                <w:spacing w:val="-3"/>
              </w:rPr>
              <w:t>第一责任层级</w:t>
            </w:r>
          </w:p>
        </w:tc>
        <w:tc>
          <w:tcPr>
            <w:tcW w:w="1047" w:type="dxa"/>
            <w:vAlign w:val="top"/>
          </w:tcPr>
          <w:p w14:paraId="76C0B410">
            <w:pPr>
              <w:pStyle w:val="8"/>
              <w:spacing w:before="88" w:line="219" w:lineRule="auto"/>
              <w:ind w:left="165"/>
            </w:pPr>
            <w:r>
              <w:rPr>
                <w:b/>
                <w:bCs/>
                <w:spacing w:val="-4"/>
              </w:rPr>
              <w:t>承办机构</w:t>
            </w:r>
          </w:p>
        </w:tc>
      </w:tr>
      <w:tr w14:paraId="399DA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4" w:hRule="atLeast"/>
        </w:trPr>
        <w:tc>
          <w:tcPr>
            <w:tcW w:w="641" w:type="dxa"/>
            <w:vAlign w:val="top"/>
          </w:tcPr>
          <w:p w14:paraId="1B524B2C">
            <w:pPr>
              <w:spacing w:line="264" w:lineRule="auto"/>
              <w:rPr>
                <w:rFonts w:ascii="Arial"/>
                <w:sz w:val="21"/>
              </w:rPr>
            </w:pPr>
          </w:p>
          <w:p w14:paraId="2D0770D8">
            <w:pPr>
              <w:spacing w:line="264" w:lineRule="auto"/>
              <w:rPr>
                <w:rFonts w:ascii="Arial"/>
                <w:sz w:val="21"/>
              </w:rPr>
            </w:pPr>
          </w:p>
          <w:p w14:paraId="1EA4BFBD">
            <w:pPr>
              <w:spacing w:line="264" w:lineRule="auto"/>
              <w:rPr>
                <w:rFonts w:ascii="Arial"/>
                <w:sz w:val="21"/>
              </w:rPr>
            </w:pPr>
          </w:p>
          <w:p w14:paraId="38070446">
            <w:pPr>
              <w:spacing w:line="265" w:lineRule="auto"/>
              <w:rPr>
                <w:rFonts w:ascii="Arial"/>
                <w:sz w:val="21"/>
              </w:rPr>
            </w:pPr>
          </w:p>
          <w:p w14:paraId="1E2984B3">
            <w:pPr>
              <w:pStyle w:val="8"/>
              <w:spacing w:before="58" w:line="184" w:lineRule="auto"/>
              <w:ind w:left="248"/>
            </w:pPr>
            <w:r>
              <w:rPr>
                <w:spacing w:val="-10"/>
              </w:rPr>
              <w:t>10</w:t>
            </w:r>
          </w:p>
        </w:tc>
        <w:tc>
          <w:tcPr>
            <w:tcW w:w="1136" w:type="dxa"/>
            <w:vAlign w:val="top"/>
          </w:tcPr>
          <w:p w14:paraId="787ABA43">
            <w:pPr>
              <w:pStyle w:val="8"/>
              <w:spacing w:before="131" w:line="244" w:lineRule="auto"/>
              <w:ind w:left="109" w:right="104"/>
              <w:jc w:val="both"/>
            </w:pPr>
            <w:r>
              <w:rPr>
                <w:spacing w:val="3"/>
              </w:rPr>
              <w:t>对在长江流</w:t>
            </w:r>
            <w:r>
              <w:rPr>
                <w:spacing w:val="1"/>
              </w:rPr>
              <w:t xml:space="preserve"> </w:t>
            </w:r>
            <w:r>
              <w:rPr>
                <w:spacing w:val="3"/>
              </w:rPr>
              <w:t>域水上运输</w:t>
            </w:r>
            <w:r>
              <w:rPr>
                <w:spacing w:val="1"/>
              </w:rPr>
              <w:t xml:space="preserve"> </w:t>
            </w:r>
            <w:r>
              <w:rPr>
                <w:spacing w:val="3"/>
              </w:rPr>
              <w:t>剧毒化学品</w:t>
            </w:r>
            <w:r>
              <w:rPr>
                <w:spacing w:val="1"/>
              </w:rPr>
              <w:t xml:space="preserve"> </w:t>
            </w:r>
            <w:r>
              <w:rPr>
                <w:spacing w:val="3"/>
              </w:rPr>
              <w:t>和国家规定</w:t>
            </w:r>
            <w:r>
              <w:rPr>
                <w:spacing w:val="1"/>
              </w:rPr>
              <w:t xml:space="preserve"> </w:t>
            </w:r>
            <w:r>
              <w:rPr>
                <w:spacing w:val="3"/>
              </w:rPr>
              <w:t>禁止通过内</w:t>
            </w:r>
            <w:r>
              <w:rPr>
                <w:spacing w:val="1"/>
              </w:rPr>
              <w:t xml:space="preserve"> </w:t>
            </w:r>
            <w:r>
              <w:rPr>
                <w:spacing w:val="3"/>
              </w:rPr>
              <w:t>河运输的其</w:t>
            </w:r>
            <w:r>
              <w:rPr>
                <w:spacing w:val="1"/>
              </w:rPr>
              <w:t xml:space="preserve"> </w:t>
            </w:r>
            <w:r>
              <w:rPr>
                <w:spacing w:val="3"/>
              </w:rPr>
              <w:t>他危险化学</w:t>
            </w:r>
            <w:r>
              <w:rPr>
                <w:spacing w:val="1"/>
              </w:rPr>
              <w:t xml:space="preserve"> </w:t>
            </w:r>
            <w:r>
              <w:rPr>
                <w:spacing w:val="3"/>
              </w:rPr>
              <w:t>品的行政处</w:t>
            </w:r>
            <w:r>
              <w:rPr>
                <w:spacing w:val="1"/>
              </w:rPr>
              <w:t xml:space="preserve"> </w:t>
            </w:r>
            <w:r>
              <w:t>罚</w:t>
            </w:r>
          </w:p>
        </w:tc>
        <w:tc>
          <w:tcPr>
            <w:tcW w:w="1136" w:type="dxa"/>
            <w:vAlign w:val="top"/>
          </w:tcPr>
          <w:p w14:paraId="59AEB087">
            <w:pPr>
              <w:spacing w:line="257" w:lineRule="auto"/>
              <w:rPr>
                <w:rFonts w:ascii="Arial"/>
                <w:sz w:val="21"/>
              </w:rPr>
            </w:pPr>
          </w:p>
          <w:p w14:paraId="55ECFA2A">
            <w:pPr>
              <w:spacing w:line="257" w:lineRule="auto"/>
              <w:rPr>
                <w:rFonts w:ascii="Arial"/>
                <w:sz w:val="21"/>
              </w:rPr>
            </w:pPr>
          </w:p>
          <w:p w14:paraId="27AED596">
            <w:pPr>
              <w:spacing w:line="257" w:lineRule="auto"/>
              <w:rPr>
                <w:rFonts w:ascii="Arial"/>
                <w:sz w:val="21"/>
              </w:rPr>
            </w:pPr>
          </w:p>
          <w:p w14:paraId="22062E46">
            <w:pPr>
              <w:spacing w:line="258" w:lineRule="auto"/>
              <w:rPr>
                <w:rFonts w:ascii="Arial"/>
                <w:sz w:val="21"/>
              </w:rPr>
            </w:pPr>
          </w:p>
          <w:p w14:paraId="2C327198">
            <w:pPr>
              <w:pStyle w:val="8"/>
              <w:spacing w:before="59" w:line="220" w:lineRule="auto"/>
              <w:ind w:left="114"/>
            </w:pPr>
            <w:r>
              <w:rPr>
                <w:spacing w:val="-7"/>
              </w:rPr>
              <w:t>行政处罚</w:t>
            </w:r>
          </w:p>
        </w:tc>
        <w:tc>
          <w:tcPr>
            <w:tcW w:w="8806" w:type="dxa"/>
            <w:vAlign w:val="top"/>
          </w:tcPr>
          <w:p w14:paraId="6D8CE9DC">
            <w:pPr>
              <w:pStyle w:val="8"/>
              <w:spacing w:before="134" w:line="219" w:lineRule="auto"/>
              <w:ind w:left="471"/>
            </w:pPr>
            <w:r>
              <w:rPr>
                <w:b/>
                <w:bCs/>
                <w:spacing w:val="-4"/>
              </w:rPr>
              <w:t>《中华人民共和国长江保护法》</w:t>
            </w:r>
          </w:p>
          <w:p w14:paraId="6063BA73">
            <w:pPr>
              <w:pStyle w:val="8"/>
              <w:spacing w:before="25" w:line="233" w:lineRule="auto"/>
              <w:ind w:left="122" w:right="103" w:firstLine="345"/>
            </w:pPr>
            <w:r>
              <w:rPr>
                <w:spacing w:val="-1"/>
              </w:rPr>
              <w:t>第五十一条  国家建立长江流域危险货物运输船舶污染责任保险与财务担保相结合机制。具体</w:t>
            </w:r>
            <w:r>
              <w:rPr>
                <w:spacing w:val="-2"/>
              </w:rPr>
              <w:t>办法由国务</w:t>
            </w:r>
            <w:r>
              <w:t xml:space="preserve"> </w:t>
            </w:r>
            <w:r>
              <w:rPr>
                <w:spacing w:val="-3"/>
              </w:rPr>
              <w:t>院交通运输主管部门会同国务院有关部门制定。</w:t>
            </w:r>
          </w:p>
          <w:p w14:paraId="08F54ABC">
            <w:pPr>
              <w:pStyle w:val="8"/>
              <w:spacing w:before="25" w:line="233" w:lineRule="auto"/>
              <w:ind w:left="110" w:right="103" w:firstLine="357"/>
            </w:pPr>
            <w:r>
              <w:rPr>
                <w:spacing w:val="-1"/>
              </w:rPr>
              <w:t>禁止在长江流域水上运输剧毒化学品和国家规定禁止通过内河运输的其他危险化学品。长江</w:t>
            </w:r>
            <w:r>
              <w:rPr>
                <w:spacing w:val="-2"/>
              </w:rPr>
              <w:t>流域县级以上</w:t>
            </w:r>
            <w:r>
              <w:t xml:space="preserve"> </w:t>
            </w:r>
            <w:r>
              <w:rPr>
                <w:spacing w:val="-2"/>
              </w:rPr>
              <w:t>地方人民政府交通运输主管部门会同本级人民政府有关部门加强对长江流域危险化学品运</w:t>
            </w:r>
            <w:r>
              <w:rPr>
                <w:spacing w:val="-3"/>
              </w:rPr>
              <w:t>输的管控。</w:t>
            </w:r>
          </w:p>
          <w:p w14:paraId="13E7B363">
            <w:pPr>
              <w:pStyle w:val="8"/>
              <w:spacing w:before="27" w:line="239" w:lineRule="auto"/>
              <w:ind w:left="113" w:right="103" w:firstLine="354"/>
            </w:pPr>
            <w:r>
              <w:rPr>
                <w:spacing w:val="-1"/>
              </w:rPr>
              <w:t>第九十条  违反本法规定，在长江流域水上运输剧毒化学品和国家规定禁止通过内河运输的其</w:t>
            </w:r>
            <w:r>
              <w:rPr>
                <w:spacing w:val="-2"/>
              </w:rPr>
              <w:t>他危险化学</w:t>
            </w:r>
            <w:r>
              <w:t xml:space="preserve"> </w:t>
            </w:r>
            <w:r>
              <w:rPr>
                <w:spacing w:val="-1"/>
              </w:rPr>
              <w:t>品的，由县级以上人民政府交通运输主管部门或者海事管理机构责令改正，没收违法所得</w:t>
            </w:r>
            <w:r>
              <w:rPr>
                <w:spacing w:val="-2"/>
              </w:rPr>
              <w:t>，并处二十万元以上</w:t>
            </w:r>
            <w:r>
              <w:t xml:space="preserve"> </w:t>
            </w:r>
            <w:r>
              <w:rPr>
                <w:spacing w:val="-1"/>
              </w:rPr>
              <w:t>二百万元以下罚款，对直接负责的主管人员和其他直接责任人员处五万元以上十万元以下</w:t>
            </w:r>
            <w:r>
              <w:rPr>
                <w:spacing w:val="-2"/>
              </w:rPr>
              <w:t>罚款；情节严重的，</w:t>
            </w:r>
            <w:r>
              <w:t xml:space="preserve"> </w:t>
            </w:r>
            <w:r>
              <w:rPr>
                <w:spacing w:val="-4"/>
              </w:rPr>
              <w:t>责令停业整顿，或者吊销相关许可证。</w:t>
            </w:r>
          </w:p>
        </w:tc>
        <w:tc>
          <w:tcPr>
            <w:tcW w:w="1043" w:type="dxa"/>
            <w:vAlign w:val="top"/>
          </w:tcPr>
          <w:p w14:paraId="48791FA7">
            <w:pPr>
              <w:spacing w:line="303" w:lineRule="auto"/>
              <w:rPr>
                <w:rFonts w:ascii="Arial"/>
                <w:sz w:val="21"/>
              </w:rPr>
            </w:pPr>
          </w:p>
          <w:p w14:paraId="2B8B9F14">
            <w:pPr>
              <w:spacing w:line="303" w:lineRule="auto"/>
              <w:rPr>
                <w:rFonts w:ascii="Arial"/>
                <w:sz w:val="21"/>
              </w:rPr>
            </w:pPr>
          </w:p>
          <w:p w14:paraId="6EDE981F">
            <w:pPr>
              <w:spacing w:line="304" w:lineRule="auto"/>
              <w:rPr>
                <w:rFonts w:ascii="Arial"/>
                <w:sz w:val="21"/>
              </w:rPr>
            </w:pPr>
          </w:p>
          <w:p w14:paraId="526DA437">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43EC25AE">
            <w:pPr>
              <w:spacing w:line="303" w:lineRule="auto"/>
              <w:rPr>
                <w:rFonts w:ascii="Arial"/>
                <w:sz w:val="21"/>
              </w:rPr>
            </w:pPr>
          </w:p>
          <w:p w14:paraId="3D6A0DA0">
            <w:pPr>
              <w:spacing w:line="303" w:lineRule="auto"/>
              <w:rPr>
                <w:rFonts w:ascii="Arial"/>
                <w:sz w:val="21"/>
              </w:rPr>
            </w:pPr>
          </w:p>
          <w:p w14:paraId="54840BCA">
            <w:pPr>
              <w:spacing w:line="304" w:lineRule="auto"/>
              <w:rPr>
                <w:rFonts w:ascii="Arial"/>
                <w:sz w:val="21"/>
              </w:rPr>
            </w:pPr>
          </w:p>
          <w:p w14:paraId="0B4044EF">
            <w:pPr>
              <w:pStyle w:val="8"/>
              <w:spacing w:before="58" w:line="233" w:lineRule="auto"/>
              <w:ind w:left="388" w:right="110" w:hanging="260"/>
              <w:rPr>
                <w:rFonts w:hint="eastAsia" w:eastAsia="宋体"/>
                <w:lang w:eastAsia="zh-CN"/>
              </w:rPr>
            </w:pPr>
            <w:r>
              <w:rPr>
                <w:rFonts w:hint="eastAsia"/>
                <w:spacing w:val="-8"/>
                <w:lang w:eastAsia="zh-CN"/>
              </w:rPr>
              <w:t>津市市交通运输局</w:t>
            </w:r>
          </w:p>
        </w:tc>
        <w:tc>
          <w:tcPr>
            <w:tcW w:w="1047" w:type="dxa"/>
            <w:vAlign w:val="top"/>
          </w:tcPr>
          <w:p w14:paraId="56116724">
            <w:pPr>
              <w:spacing w:line="336" w:lineRule="auto"/>
              <w:rPr>
                <w:rFonts w:ascii="Arial"/>
                <w:sz w:val="21"/>
              </w:rPr>
            </w:pPr>
          </w:p>
          <w:p w14:paraId="65928781">
            <w:pPr>
              <w:spacing w:line="337" w:lineRule="auto"/>
              <w:rPr>
                <w:rFonts w:ascii="Arial"/>
                <w:sz w:val="21"/>
              </w:rPr>
            </w:pPr>
          </w:p>
          <w:p w14:paraId="790BF83A">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0803B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9" w:hRule="atLeast"/>
        </w:trPr>
        <w:tc>
          <w:tcPr>
            <w:tcW w:w="641" w:type="dxa"/>
            <w:vAlign w:val="top"/>
          </w:tcPr>
          <w:p w14:paraId="2185F3D0">
            <w:pPr>
              <w:spacing w:line="253" w:lineRule="auto"/>
              <w:rPr>
                <w:rFonts w:ascii="Arial"/>
                <w:sz w:val="21"/>
              </w:rPr>
            </w:pPr>
          </w:p>
          <w:p w14:paraId="40E90102">
            <w:pPr>
              <w:spacing w:line="253" w:lineRule="auto"/>
              <w:rPr>
                <w:rFonts w:ascii="Arial"/>
                <w:sz w:val="21"/>
              </w:rPr>
            </w:pPr>
          </w:p>
          <w:p w14:paraId="691016F1">
            <w:pPr>
              <w:spacing w:line="254" w:lineRule="auto"/>
              <w:rPr>
                <w:rFonts w:ascii="Arial"/>
                <w:sz w:val="21"/>
              </w:rPr>
            </w:pPr>
          </w:p>
          <w:p w14:paraId="5752D025">
            <w:pPr>
              <w:spacing w:line="254" w:lineRule="auto"/>
              <w:rPr>
                <w:rFonts w:ascii="Arial"/>
                <w:sz w:val="21"/>
              </w:rPr>
            </w:pPr>
          </w:p>
          <w:p w14:paraId="13D5D7A9">
            <w:pPr>
              <w:pStyle w:val="8"/>
              <w:spacing w:before="58" w:line="184" w:lineRule="auto"/>
              <w:ind w:left="252"/>
            </w:pPr>
            <w:r>
              <w:rPr>
                <w:spacing w:val="-11"/>
              </w:rPr>
              <w:t>11</w:t>
            </w:r>
          </w:p>
        </w:tc>
        <w:tc>
          <w:tcPr>
            <w:tcW w:w="1136" w:type="dxa"/>
            <w:vAlign w:val="top"/>
          </w:tcPr>
          <w:p w14:paraId="49B5E58C">
            <w:pPr>
              <w:spacing w:line="393" w:lineRule="auto"/>
              <w:rPr>
                <w:rFonts w:ascii="Arial"/>
                <w:sz w:val="21"/>
              </w:rPr>
            </w:pPr>
          </w:p>
          <w:p w14:paraId="6950B997">
            <w:pPr>
              <w:pStyle w:val="8"/>
              <w:spacing w:before="58" w:line="242" w:lineRule="auto"/>
              <w:ind w:left="109" w:right="99"/>
              <w:jc w:val="both"/>
            </w:pPr>
            <w:r>
              <w:rPr>
                <w:spacing w:val="4"/>
              </w:rPr>
              <w:t>对应当报废</w:t>
            </w:r>
            <w:r>
              <w:rPr>
                <w:spacing w:val="1"/>
              </w:rPr>
              <w:t xml:space="preserve"> </w:t>
            </w:r>
            <w:r>
              <w:rPr>
                <w:spacing w:val="4"/>
              </w:rPr>
              <w:t>的船舶、浮</w:t>
            </w:r>
            <w:r>
              <w:rPr>
                <w:spacing w:val="1"/>
              </w:rPr>
              <w:t xml:space="preserve"> </w:t>
            </w:r>
            <w:r>
              <w:rPr>
                <w:spacing w:val="4"/>
              </w:rPr>
              <w:t>动设施在内</w:t>
            </w:r>
            <w:r>
              <w:rPr>
                <w:spacing w:val="1"/>
              </w:rPr>
              <w:t xml:space="preserve"> </w:t>
            </w:r>
            <w:r>
              <w:rPr>
                <w:spacing w:val="4"/>
              </w:rPr>
              <w:t>河航行或者</w:t>
            </w:r>
            <w:r>
              <w:rPr>
                <w:spacing w:val="1"/>
              </w:rPr>
              <w:t xml:space="preserve"> </w:t>
            </w:r>
            <w:r>
              <w:rPr>
                <w:spacing w:val="4"/>
              </w:rPr>
              <w:t>作业的行政</w:t>
            </w:r>
            <w:r>
              <w:rPr>
                <w:spacing w:val="1"/>
              </w:rPr>
              <w:t xml:space="preserve"> </w:t>
            </w:r>
            <w:r>
              <w:rPr>
                <w:spacing w:val="-4"/>
              </w:rPr>
              <w:t>处罚</w:t>
            </w:r>
          </w:p>
        </w:tc>
        <w:tc>
          <w:tcPr>
            <w:tcW w:w="1136" w:type="dxa"/>
            <w:vAlign w:val="top"/>
          </w:tcPr>
          <w:p w14:paraId="3FF98526">
            <w:pPr>
              <w:spacing w:line="246" w:lineRule="auto"/>
              <w:rPr>
                <w:rFonts w:ascii="Arial"/>
                <w:sz w:val="21"/>
              </w:rPr>
            </w:pPr>
          </w:p>
          <w:p w14:paraId="06DBEA37">
            <w:pPr>
              <w:spacing w:line="247" w:lineRule="auto"/>
              <w:rPr>
                <w:rFonts w:ascii="Arial"/>
                <w:sz w:val="21"/>
              </w:rPr>
            </w:pPr>
          </w:p>
          <w:p w14:paraId="448F525C">
            <w:pPr>
              <w:spacing w:line="247" w:lineRule="auto"/>
              <w:rPr>
                <w:rFonts w:ascii="Arial"/>
                <w:sz w:val="21"/>
              </w:rPr>
            </w:pPr>
          </w:p>
          <w:p w14:paraId="38E07436">
            <w:pPr>
              <w:spacing w:line="247" w:lineRule="auto"/>
              <w:rPr>
                <w:rFonts w:ascii="Arial"/>
                <w:sz w:val="21"/>
              </w:rPr>
            </w:pPr>
          </w:p>
          <w:p w14:paraId="1DB3C6B3">
            <w:pPr>
              <w:pStyle w:val="8"/>
              <w:spacing w:before="58" w:line="220" w:lineRule="auto"/>
              <w:ind w:left="114"/>
            </w:pPr>
            <w:r>
              <w:rPr>
                <w:spacing w:val="-7"/>
              </w:rPr>
              <w:t>行政处罚</w:t>
            </w:r>
          </w:p>
        </w:tc>
        <w:tc>
          <w:tcPr>
            <w:tcW w:w="8806" w:type="dxa"/>
            <w:vAlign w:val="top"/>
          </w:tcPr>
          <w:p w14:paraId="01A87944">
            <w:pPr>
              <w:pStyle w:val="8"/>
              <w:spacing w:before="211" w:line="219" w:lineRule="auto"/>
              <w:ind w:left="467"/>
            </w:pPr>
            <w:r>
              <w:rPr>
                <w:b/>
                <w:bCs/>
                <w:spacing w:val="-10"/>
              </w:rPr>
              <w:t>1.《中华人民共和国内河交通安全管理条例》</w:t>
            </w:r>
          </w:p>
          <w:p w14:paraId="4B6C5E81">
            <w:pPr>
              <w:pStyle w:val="8"/>
              <w:spacing w:before="26" w:line="219" w:lineRule="auto"/>
              <w:ind w:left="470"/>
            </w:pPr>
            <w:r>
              <w:rPr>
                <w:spacing w:val="-8"/>
              </w:rPr>
              <w:t>第十四条第二款</w:t>
            </w:r>
            <w:r>
              <w:rPr>
                <w:spacing w:val="81"/>
              </w:rPr>
              <w:t xml:space="preserve"> </w:t>
            </w:r>
            <w:r>
              <w:rPr>
                <w:spacing w:val="-8"/>
              </w:rPr>
              <w:t>按照国家规定应当报废的船舶、浮动设施，不得航行或者作业。</w:t>
            </w:r>
          </w:p>
          <w:p w14:paraId="3330D12E">
            <w:pPr>
              <w:pStyle w:val="8"/>
              <w:spacing w:before="25" w:line="233" w:lineRule="auto"/>
              <w:ind w:left="110" w:right="95" w:firstLine="360"/>
            </w:pPr>
            <w:r>
              <w:rPr>
                <w:spacing w:val="-8"/>
              </w:rPr>
              <w:t>第六十三条</w:t>
            </w:r>
            <w:r>
              <w:rPr>
                <w:spacing w:val="73"/>
              </w:rPr>
              <w:t xml:space="preserve"> </w:t>
            </w:r>
            <w:r>
              <w:rPr>
                <w:spacing w:val="-8"/>
              </w:rPr>
              <w:t>违反本条例的规定，应当报废的船舶、浮动设施在内河航行或者</w:t>
            </w:r>
            <w:r>
              <w:rPr>
                <w:spacing w:val="-9"/>
              </w:rPr>
              <w:t>作业的，由海事管理机构责令停</w:t>
            </w:r>
            <w:r>
              <w:t xml:space="preserve"> </w:t>
            </w:r>
            <w:r>
              <w:rPr>
                <w:spacing w:val="-8"/>
              </w:rPr>
              <w:t>航或者停止作业，并对船舶、浮动设施予以没收。</w:t>
            </w:r>
          </w:p>
          <w:p w14:paraId="5772FF90">
            <w:pPr>
              <w:pStyle w:val="8"/>
              <w:spacing w:before="25" w:line="219" w:lineRule="auto"/>
              <w:ind w:left="455"/>
            </w:pPr>
            <w:r>
              <w:rPr>
                <w:b/>
                <w:bCs/>
                <w:spacing w:val="-8"/>
              </w:rPr>
              <w:t>2.《中华人民共和国内河海事行政处罚规定》（交通运输部令2</w:t>
            </w:r>
            <w:r>
              <w:rPr>
                <w:b/>
                <w:bCs/>
                <w:spacing w:val="-9"/>
              </w:rPr>
              <w:t>022年第28号）</w:t>
            </w:r>
          </w:p>
          <w:p w14:paraId="2EC4E2B4">
            <w:pPr>
              <w:pStyle w:val="8"/>
              <w:spacing w:before="26" w:line="233" w:lineRule="auto"/>
              <w:ind w:left="125" w:right="95" w:firstLine="345"/>
            </w:pPr>
            <w:r>
              <w:rPr>
                <w:spacing w:val="-8"/>
              </w:rPr>
              <w:t>第十五条</w:t>
            </w:r>
            <w:r>
              <w:rPr>
                <w:spacing w:val="73"/>
              </w:rPr>
              <w:t xml:space="preserve"> </w:t>
            </w:r>
            <w:r>
              <w:rPr>
                <w:spacing w:val="-8"/>
              </w:rPr>
              <w:t>违反《内河交通安全管理条例》第十四条的规定，应当报废的船舶</w:t>
            </w:r>
            <w:r>
              <w:rPr>
                <w:spacing w:val="-9"/>
              </w:rPr>
              <w:t>、浮动设施在内河航行或者作业</w:t>
            </w:r>
            <w:r>
              <w:t xml:space="preserve"> </w:t>
            </w:r>
            <w:r>
              <w:rPr>
                <w:spacing w:val="-8"/>
              </w:rPr>
              <w:t>的，依照《内河交通安全管理条例》第六十三条的规定，责令停航或者停止作业</w:t>
            </w:r>
            <w:r>
              <w:rPr>
                <w:spacing w:val="-9"/>
              </w:rPr>
              <w:t>，并予以没收。</w:t>
            </w:r>
          </w:p>
          <w:p w14:paraId="5C9FD4E6">
            <w:pPr>
              <w:pStyle w:val="8"/>
              <w:spacing w:before="26" w:line="219" w:lineRule="auto"/>
              <w:ind w:left="471"/>
            </w:pPr>
            <w:r>
              <w:rPr>
                <w:spacing w:val="-8"/>
              </w:rPr>
              <w:t>本条前款所称应当报废的船舶，是指达到国家强制报废年限或者以废钢船名义购买的船舶。</w:t>
            </w:r>
          </w:p>
        </w:tc>
        <w:tc>
          <w:tcPr>
            <w:tcW w:w="1043" w:type="dxa"/>
            <w:vAlign w:val="top"/>
          </w:tcPr>
          <w:p w14:paraId="3BBE3025">
            <w:pPr>
              <w:spacing w:line="289" w:lineRule="auto"/>
              <w:rPr>
                <w:rFonts w:ascii="Arial"/>
                <w:sz w:val="21"/>
              </w:rPr>
            </w:pPr>
          </w:p>
          <w:p w14:paraId="12B64A9A">
            <w:pPr>
              <w:spacing w:line="289" w:lineRule="auto"/>
              <w:rPr>
                <w:rFonts w:ascii="Arial"/>
                <w:sz w:val="21"/>
              </w:rPr>
            </w:pPr>
          </w:p>
          <w:p w14:paraId="7248611A">
            <w:pPr>
              <w:spacing w:line="289" w:lineRule="auto"/>
              <w:rPr>
                <w:rFonts w:ascii="Arial"/>
                <w:sz w:val="21"/>
              </w:rPr>
            </w:pPr>
          </w:p>
          <w:p w14:paraId="7331D9BB">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7BB3E89F">
            <w:pPr>
              <w:spacing w:line="246" w:lineRule="auto"/>
              <w:rPr>
                <w:rFonts w:ascii="Arial"/>
                <w:sz w:val="21"/>
              </w:rPr>
            </w:pPr>
          </w:p>
          <w:p w14:paraId="3A04F83D">
            <w:pPr>
              <w:spacing w:line="247" w:lineRule="auto"/>
              <w:rPr>
                <w:rFonts w:ascii="Arial"/>
                <w:sz w:val="21"/>
              </w:rPr>
            </w:pPr>
          </w:p>
          <w:p w14:paraId="78A70E95">
            <w:pPr>
              <w:spacing w:line="247" w:lineRule="auto"/>
              <w:rPr>
                <w:rFonts w:ascii="Arial"/>
                <w:sz w:val="21"/>
              </w:rPr>
            </w:pPr>
          </w:p>
          <w:p w14:paraId="63532C2B">
            <w:pPr>
              <w:spacing w:line="247" w:lineRule="auto"/>
              <w:rPr>
                <w:rFonts w:ascii="Arial"/>
                <w:sz w:val="21"/>
              </w:rPr>
            </w:pPr>
          </w:p>
          <w:p w14:paraId="3F041976">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52D7780">
            <w:pPr>
              <w:spacing w:line="315" w:lineRule="auto"/>
              <w:rPr>
                <w:rFonts w:ascii="Arial"/>
                <w:sz w:val="21"/>
              </w:rPr>
            </w:pPr>
          </w:p>
          <w:p w14:paraId="644A7FB1">
            <w:pPr>
              <w:spacing w:line="315" w:lineRule="auto"/>
              <w:rPr>
                <w:rFonts w:ascii="Arial"/>
                <w:sz w:val="21"/>
              </w:rPr>
            </w:pPr>
          </w:p>
          <w:p w14:paraId="6E214A97">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69724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5" w:hRule="atLeast"/>
        </w:trPr>
        <w:tc>
          <w:tcPr>
            <w:tcW w:w="641" w:type="dxa"/>
            <w:vAlign w:val="top"/>
          </w:tcPr>
          <w:p w14:paraId="654F33E2">
            <w:pPr>
              <w:spacing w:line="274" w:lineRule="auto"/>
              <w:rPr>
                <w:rFonts w:ascii="Arial"/>
                <w:sz w:val="21"/>
              </w:rPr>
            </w:pPr>
          </w:p>
          <w:p w14:paraId="42B46717">
            <w:pPr>
              <w:spacing w:line="274" w:lineRule="auto"/>
              <w:rPr>
                <w:rFonts w:ascii="Arial"/>
                <w:sz w:val="21"/>
              </w:rPr>
            </w:pPr>
          </w:p>
          <w:p w14:paraId="47FF057D">
            <w:pPr>
              <w:spacing w:line="274" w:lineRule="auto"/>
              <w:rPr>
                <w:rFonts w:ascii="Arial"/>
                <w:sz w:val="21"/>
              </w:rPr>
            </w:pPr>
          </w:p>
          <w:p w14:paraId="180DB6CF">
            <w:pPr>
              <w:spacing w:line="274" w:lineRule="auto"/>
              <w:rPr>
                <w:rFonts w:ascii="Arial"/>
                <w:sz w:val="21"/>
              </w:rPr>
            </w:pPr>
          </w:p>
          <w:p w14:paraId="05D79619">
            <w:pPr>
              <w:spacing w:line="274" w:lineRule="auto"/>
              <w:rPr>
                <w:rFonts w:ascii="Arial"/>
                <w:sz w:val="21"/>
              </w:rPr>
            </w:pPr>
          </w:p>
          <w:p w14:paraId="76654FD2">
            <w:pPr>
              <w:spacing w:line="274" w:lineRule="auto"/>
              <w:rPr>
                <w:rFonts w:ascii="Arial"/>
                <w:sz w:val="21"/>
              </w:rPr>
            </w:pPr>
          </w:p>
          <w:p w14:paraId="62660414">
            <w:pPr>
              <w:spacing w:line="275" w:lineRule="auto"/>
              <w:rPr>
                <w:rFonts w:ascii="Arial"/>
                <w:sz w:val="21"/>
              </w:rPr>
            </w:pPr>
          </w:p>
          <w:p w14:paraId="192D0C29">
            <w:pPr>
              <w:pStyle w:val="8"/>
              <w:spacing w:before="59" w:line="184" w:lineRule="auto"/>
              <w:ind w:left="248"/>
            </w:pPr>
            <w:r>
              <w:rPr>
                <w:spacing w:val="-10"/>
              </w:rPr>
              <w:t>12</w:t>
            </w:r>
          </w:p>
        </w:tc>
        <w:tc>
          <w:tcPr>
            <w:tcW w:w="1136" w:type="dxa"/>
            <w:vAlign w:val="top"/>
          </w:tcPr>
          <w:p w14:paraId="7289DC92">
            <w:pPr>
              <w:spacing w:line="349" w:lineRule="auto"/>
              <w:rPr>
                <w:rFonts w:ascii="Arial"/>
                <w:sz w:val="21"/>
              </w:rPr>
            </w:pPr>
          </w:p>
          <w:p w14:paraId="6F70D37B">
            <w:pPr>
              <w:spacing w:line="349" w:lineRule="auto"/>
              <w:rPr>
                <w:rFonts w:ascii="Arial"/>
                <w:sz w:val="21"/>
              </w:rPr>
            </w:pPr>
          </w:p>
          <w:p w14:paraId="2F4D41DB">
            <w:pPr>
              <w:pStyle w:val="8"/>
              <w:spacing w:before="59" w:line="244" w:lineRule="auto"/>
              <w:ind w:left="109" w:right="99"/>
              <w:jc w:val="both"/>
            </w:pPr>
            <w:r>
              <w:rPr>
                <w:spacing w:val="4"/>
              </w:rPr>
              <w:t>对未持有合</w:t>
            </w:r>
            <w:r>
              <w:rPr>
                <w:spacing w:val="1"/>
              </w:rPr>
              <w:t xml:space="preserve"> </w:t>
            </w:r>
            <w:r>
              <w:rPr>
                <w:spacing w:val="4"/>
              </w:rPr>
              <w:t>格的检验证</w:t>
            </w:r>
            <w:r>
              <w:t xml:space="preserve"> </w:t>
            </w:r>
            <w:r>
              <w:rPr>
                <w:spacing w:val="4"/>
              </w:rPr>
              <w:t>书、登记证</w:t>
            </w:r>
            <w:r>
              <w:t xml:space="preserve"> </w:t>
            </w:r>
            <w:r>
              <w:rPr>
                <w:spacing w:val="4"/>
              </w:rPr>
              <w:t>书或者船舶</w:t>
            </w:r>
            <w:r>
              <w:t xml:space="preserve"> </w:t>
            </w:r>
            <w:r>
              <w:rPr>
                <w:spacing w:val="4"/>
              </w:rPr>
              <w:t>未持有必要</w:t>
            </w:r>
            <w:r>
              <w:t xml:space="preserve"> </w:t>
            </w:r>
            <w:r>
              <w:rPr>
                <w:spacing w:val="-9"/>
              </w:rPr>
              <w:t>的</w:t>
            </w:r>
            <w:r>
              <w:rPr>
                <w:spacing w:val="-14"/>
              </w:rPr>
              <w:t xml:space="preserve"> </w:t>
            </w:r>
            <w:r>
              <w:rPr>
                <w:spacing w:val="-9"/>
              </w:rPr>
              <w:t>航</w:t>
            </w:r>
            <w:r>
              <w:rPr>
                <w:spacing w:val="-11"/>
              </w:rPr>
              <w:t xml:space="preserve"> </w:t>
            </w:r>
            <w:r>
              <w:rPr>
                <w:spacing w:val="-9"/>
              </w:rPr>
              <w:t>行 资</w:t>
            </w:r>
            <w:r>
              <w:t xml:space="preserve"> </w:t>
            </w:r>
            <w:r>
              <w:rPr>
                <w:spacing w:val="4"/>
              </w:rPr>
              <w:t>料，擅自航</w:t>
            </w:r>
            <w:r>
              <w:t xml:space="preserve"> </w:t>
            </w:r>
            <w:r>
              <w:rPr>
                <w:spacing w:val="4"/>
              </w:rPr>
              <w:t>行或者作业</w:t>
            </w:r>
            <w:r>
              <w:t xml:space="preserve"> </w:t>
            </w:r>
            <w:r>
              <w:rPr>
                <w:spacing w:val="4"/>
              </w:rPr>
              <w:t>行为的行政</w:t>
            </w:r>
            <w:r>
              <w:t xml:space="preserve"> </w:t>
            </w:r>
            <w:r>
              <w:rPr>
                <w:spacing w:val="-4"/>
              </w:rPr>
              <w:t>处罚</w:t>
            </w:r>
          </w:p>
        </w:tc>
        <w:tc>
          <w:tcPr>
            <w:tcW w:w="1136" w:type="dxa"/>
            <w:vAlign w:val="top"/>
          </w:tcPr>
          <w:p w14:paraId="43FBE186">
            <w:pPr>
              <w:spacing w:line="270" w:lineRule="auto"/>
              <w:rPr>
                <w:rFonts w:ascii="Arial"/>
                <w:sz w:val="21"/>
              </w:rPr>
            </w:pPr>
          </w:p>
          <w:p w14:paraId="0D615156">
            <w:pPr>
              <w:spacing w:line="270" w:lineRule="auto"/>
              <w:rPr>
                <w:rFonts w:ascii="Arial"/>
                <w:sz w:val="21"/>
              </w:rPr>
            </w:pPr>
          </w:p>
          <w:p w14:paraId="536D44AD">
            <w:pPr>
              <w:spacing w:line="270" w:lineRule="auto"/>
              <w:rPr>
                <w:rFonts w:ascii="Arial"/>
                <w:sz w:val="21"/>
              </w:rPr>
            </w:pPr>
          </w:p>
          <w:p w14:paraId="29F7772F">
            <w:pPr>
              <w:spacing w:line="270" w:lineRule="auto"/>
              <w:rPr>
                <w:rFonts w:ascii="Arial"/>
                <w:sz w:val="21"/>
              </w:rPr>
            </w:pPr>
          </w:p>
          <w:p w14:paraId="5C30F52E">
            <w:pPr>
              <w:spacing w:line="270" w:lineRule="auto"/>
              <w:rPr>
                <w:rFonts w:ascii="Arial"/>
                <w:sz w:val="21"/>
              </w:rPr>
            </w:pPr>
          </w:p>
          <w:p w14:paraId="177E93B1">
            <w:pPr>
              <w:spacing w:line="271" w:lineRule="auto"/>
              <w:rPr>
                <w:rFonts w:ascii="Arial"/>
                <w:sz w:val="21"/>
              </w:rPr>
            </w:pPr>
          </w:p>
          <w:p w14:paraId="7632898E">
            <w:pPr>
              <w:spacing w:line="271" w:lineRule="auto"/>
              <w:rPr>
                <w:rFonts w:ascii="Arial"/>
                <w:sz w:val="21"/>
              </w:rPr>
            </w:pPr>
          </w:p>
          <w:p w14:paraId="41D441F6">
            <w:pPr>
              <w:pStyle w:val="8"/>
              <w:spacing w:before="58" w:line="220" w:lineRule="auto"/>
              <w:ind w:left="114"/>
            </w:pPr>
            <w:r>
              <w:rPr>
                <w:spacing w:val="-7"/>
              </w:rPr>
              <w:t>行政处罚</w:t>
            </w:r>
          </w:p>
        </w:tc>
        <w:tc>
          <w:tcPr>
            <w:tcW w:w="8806" w:type="dxa"/>
            <w:vAlign w:val="top"/>
          </w:tcPr>
          <w:p w14:paraId="0DE2BF08">
            <w:pPr>
              <w:pStyle w:val="8"/>
              <w:spacing w:before="42" w:line="219" w:lineRule="auto"/>
              <w:ind w:left="467"/>
            </w:pPr>
            <w:r>
              <w:rPr>
                <w:b/>
                <w:bCs/>
                <w:spacing w:val="-10"/>
              </w:rPr>
              <w:t>1.《中华人民共和国内河交通安全管理条例》</w:t>
            </w:r>
          </w:p>
          <w:p w14:paraId="473873D4">
            <w:pPr>
              <w:pStyle w:val="8"/>
              <w:spacing w:before="24" w:line="238" w:lineRule="auto"/>
              <w:ind w:left="110" w:right="95" w:firstLine="360"/>
            </w:pPr>
            <w:r>
              <w:rPr>
                <w:spacing w:val="-8"/>
              </w:rPr>
              <w:t>第六条第（一）项、第（二）项、第（四）项</w:t>
            </w:r>
            <w:r>
              <w:rPr>
                <w:spacing w:val="73"/>
              </w:rPr>
              <w:t xml:space="preserve"> </w:t>
            </w:r>
            <w:r>
              <w:rPr>
                <w:spacing w:val="-8"/>
              </w:rPr>
              <w:t>船舶具备下列条件，方可航行</w:t>
            </w:r>
            <w:r>
              <w:rPr>
                <w:spacing w:val="-15"/>
              </w:rPr>
              <w:t>：（</w:t>
            </w:r>
            <w:r>
              <w:rPr>
                <w:spacing w:val="-8"/>
              </w:rPr>
              <w:t>一）经海事管理机构认可的</w:t>
            </w:r>
            <w:r>
              <w:t xml:space="preserve"> </w:t>
            </w:r>
            <w:r>
              <w:rPr>
                <w:spacing w:val="-7"/>
              </w:rPr>
              <w:t>船舶检验机构依法检验并持有合格的船舶检验证书</w:t>
            </w:r>
            <w:r>
              <w:rPr>
                <w:spacing w:val="-22"/>
              </w:rPr>
              <w:t>；（</w:t>
            </w:r>
            <w:r>
              <w:rPr>
                <w:spacing w:val="-7"/>
              </w:rPr>
              <w:t>二）经海事管理机构依法登记并持有船舶登记</w:t>
            </w:r>
            <w:r>
              <w:rPr>
                <w:spacing w:val="-8"/>
              </w:rPr>
              <w:t>证书</w:t>
            </w:r>
            <w:r>
              <w:rPr>
                <w:spacing w:val="-22"/>
              </w:rPr>
              <w:t>；（</w:t>
            </w:r>
            <w:r>
              <w:rPr>
                <w:spacing w:val="-8"/>
              </w:rPr>
              <w:t>四）</w:t>
            </w:r>
            <w:r>
              <w:rPr>
                <w:spacing w:val="2"/>
              </w:rPr>
              <w:t xml:space="preserve"> </w:t>
            </w:r>
            <w:r>
              <w:rPr>
                <w:spacing w:val="-8"/>
              </w:rPr>
              <w:t>配备必要的航行资料。</w:t>
            </w:r>
          </w:p>
          <w:p w14:paraId="71B8C772">
            <w:pPr>
              <w:pStyle w:val="8"/>
              <w:spacing w:before="24" w:line="219" w:lineRule="auto"/>
              <w:ind w:left="470"/>
            </w:pPr>
            <w:r>
              <w:rPr>
                <w:spacing w:val="-7"/>
              </w:rPr>
              <w:t>第七条第（一）项</w:t>
            </w:r>
            <w:r>
              <w:rPr>
                <w:spacing w:val="75"/>
              </w:rPr>
              <w:t xml:space="preserve"> </w:t>
            </w:r>
            <w:r>
              <w:rPr>
                <w:spacing w:val="-7"/>
              </w:rPr>
              <w:t>浮动设施具备下列条件，方可从事</w:t>
            </w:r>
            <w:r>
              <w:rPr>
                <w:spacing w:val="-8"/>
              </w:rPr>
              <w:t>有关活动</w:t>
            </w:r>
            <w:r>
              <w:rPr>
                <w:spacing w:val="-24"/>
              </w:rPr>
              <w:t>：（</w:t>
            </w:r>
            <w:r>
              <w:rPr>
                <w:spacing w:val="-8"/>
              </w:rPr>
              <w:t>一）经海事管理机构认可的船舶检验机构</w:t>
            </w:r>
          </w:p>
          <w:p w14:paraId="64ACBB80">
            <w:pPr>
              <w:pStyle w:val="8"/>
              <w:spacing w:before="26" w:line="219" w:lineRule="auto"/>
              <w:ind w:left="112"/>
            </w:pPr>
            <w:r>
              <w:rPr>
                <w:spacing w:val="-8"/>
              </w:rPr>
              <w:t>依法检验并持有合格的检验证书；</w:t>
            </w:r>
          </w:p>
          <w:p w14:paraId="50C54BE1">
            <w:pPr>
              <w:pStyle w:val="8"/>
              <w:spacing w:before="28" w:line="237" w:lineRule="auto"/>
              <w:ind w:left="111" w:right="95" w:firstLine="359"/>
              <w:jc w:val="both"/>
            </w:pPr>
            <w:r>
              <w:rPr>
                <w:spacing w:val="-8"/>
              </w:rPr>
              <w:t>第六十四条</w:t>
            </w:r>
            <w:r>
              <w:rPr>
                <w:spacing w:val="73"/>
              </w:rPr>
              <w:t xml:space="preserve"> </w:t>
            </w:r>
            <w:r>
              <w:rPr>
                <w:spacing w:val="-8"/>
              </w:rPr>
              <w:t>违反本条例的规定，船舶、浮动设施未持有合格的检验证书</w:t>
            </w:r>
            <w:r>
              <w:rPr>
                <w:spacing w:val="-9"/>
              </w:rPr>
              <w:t>、登记证书或者船舶未持有必要的航</w:t>
            </w:r>
            <w:r>
              <w:t xml:space="preserve"> </w:t>
            </w:r>
            <w:r>
              <w:rPr>
                <w:spacing w:val="-8"/>
              </w:rPr>
              <w:t>行资料，擅自航行或者作业的，由海事管理机构责令停止航行或者作业；拒不停止的，暂扣船舶</w:t>
            </w:r>
            <w:r>
              <w:rPr>
                <w:spacing w:val="-9"/>
              </w:rPr>
              <w:t>、浮动设施；情节</w:t>
            </w:r>
            <w:r>
              <w:t xml:space="preserve"> </w:t>
            </w:r>
            <w:r>
              <w:rPr>
                <w:spacing w:val="-7"/>
              </w:rPr>
              <w:t>严重的，予以没收。</w:t>
            </w:r>
          </w:p>
          <w:p w14:paraId="6AB4878D">
            <w:pPr>
              <w:pStyle w:val="8"/>
              <w:spacing w:before="26" w:line="219" w:lineRule="auto"/>
              <w:ind w:left="455"/>
            </w:pPr>
            <w:r>
              <w:rPr>
                <w:b/>
                <w:bCs/>
                <w:spacing w:val="-8"/>
              </w:rPr>
              <w:t>2.《船舶检验管理规定》（交通运输部令2016年第2</w:t>
            </w:r>
            <w:r>
              <w:rPr>
                <w:b/>
                <w:bCs/>
                <w:spacing w:val="-9"/>
              </w:rPr>
              <w:t>号）</w:t>
            </w:r>
          </w:p>
          <w:p w14:paraId="639CDFDE">
            <w:pPr>
              <w:pStyle w:val="8"/>
              <w:spacing w:before="24"/>
              <w:ind w:left="112" w:right="26" w:firstLine="358"/>
              <w:jc w:val="both"/>
            </w:pPr>
            <w:r>
              <w:rPr>
                <w:spacing w:val="-14"/>
              </w:rPr>
              <w:t>第五十四条第二款、第三款</w:t>
            </w:r>
            <w:r>
              <w:rPr>
                <w:spacing w:val="79"/>
              </w:rPr>
              <w:t xml:space="preserve"> </w:t>
            </w:r>
            <w:r>
              <w:rPr>
                <w:spacing w:val="-14"/>
              </w:rPr>
              <w:t>违反《中华人民共和国内河交通安全管理条例》第六条第（一）项、第七条第（一）</w:t>
            </w:r>
            <w:r>
              <w:t xml:space="preserve"> </w:t>
            </w:r>
            <w:r>
              <w:rPr>
                <w:spacing w:val="-8"/>
              </w:rPr>
              <w:t>项的规定，船舶、水上设施未持有合格的检验证书擅自航行或者作业的，依照《中华人民</w:t>
            </w:r>
            <w:r>
              <w:rPr>
                <w:spacing w:val="-9"/>
              </w:rPr>
              <w:t>共和国内河交通安全管理</w:t>
            </w:r>
            <w:r>
              <w:t xml:space="preserve">  </w:t>
            </w:r>
            <w:r>
              <w:rPr>
                <w:spacing w:val="-10"/>
              </w:rPr>
              <w:t>条例》第六十四条的规定，责令停止航行或者作业；拒不停止航行或者作业的，暂扣船舶、浮动</w:t>
            </w:r>
            <w:r>
              <w:rPr>
                <w:spacing w:val="-11"/>
              </w:rPr>
              <w:t>设施；情节严重的，</w:t>
            </w:r>
            <w:r>
              <w:t xml:space="preserve"> </w:t>
            </w:r>
            <w:r>
              <w:rPr>
                <w:spacing w:val="-7"/>
              </w:rPr>
              <w:t>予以没收。</w:t>
            </w:r>
          </w:p>
          <w:p w14:paraId="108C5A14">
            <w:pPr>
              <w:pStyle w:val="8"/>
              <w:spacing w:before="25" w:line="233" w:lineRule="auto"/>
              <w:ind w:left="110" w:right="95" w:firstLine="360"/>
            </w:pPr>
            <w:r>
              <w:rPr>
                <w:spacing w:val="-8"/>
              </w:rPr>
              <w:t>本条第一款、第二款所称无相应的有效的检验证书及未持有合格的检验证书，包括下列情形</w:t>
            </w:r>
            <w:r>
              <w:rPr>
                <w:spacing w:val="-20"/>
              </w:rPr>
              <w:t>：（</w:t>
            </w:r>
            <w:r>
              <w:rPr>
                <w:spacing w:val="-8"/>
              </w:rPr>
              <w:t>一）没有取得</w:t>
            </w:r>
            <w:r>
              <w:t xml:space="preserve"> </w:t>
            </w:r>
            <w:r>
              <w:rPr>
                <w:spacing w:val="-8"/>
              </w:rPr>
              <w:t>相应的检验证书</w:t>
            </w:r>
            <w:r>
              <w:rPr>
                <w:spacing w:val="-19"/>
              </w:rPr>
              <w:t>；（</w:t>
            </w:r>
            <w:r>
              <w:rPr>
                <w:spacing w:val="-8"/>
              </w:rPr>
              <w:t>二）持有的检验证书属于伪造、变造、转让、买卖或者租借的</w:t>
            </w:r>
            <w:r>
              <w:rPr>
                <w:spacing w:val="-19"/>
              </w:rPr>
              <w:t>；（</w:t>
            </w:r>
            <w:r>
              <w:rPr>
                <w:spacing w:val="-8"/>
              </w:rPr>
              <w:t>三）持有的检验证书失效；</w:t>
            </w:r>
          </w:p>
          <w:p w14:paraId="28A8A6BD">
            <w:pPr>
              <w:pStyle w:val="8"/>
              <w:spacing w:before="27" w:line="198" w:lineRule="auto"/>
              <w:ind w:left="120"/>
            </w:pPr>
            <w:r>
              <w:rPr>
                <w:spacing w:val="-8"/>
              </w:rPr>
              <w:t>（四）检验证书损毁、遗失但不按照规定补</w:t>
            </w:r>
            <w:r>
              <w:rPr>
                <w:spacing w:val="-9"/>
              </w:rPr>
              <w:t>办。</w:t>
            </w:r>
          </w:p>
        </w:tc>
        <w:tc>
          <w:tcPr>
            <w:tcW w:w="1043" w:type="dxa"/>
            <w:vAlign w:val="top"/>
          </w:tcPr>
          <w:p w14:paraId="0EDEE236">
            <w:pPr>
              <w:spacing w:line="253" w:lineRule="auto"/>
              <w:rPr>
                <w:rFonts w:ascii="Arial"/>
                <w:sz w:val="21"/>
              </w:rPr>
            </w:pPr>
          </w:p>
          <w:p w14:paraId="67E54310">
            <w:pPr>
              <w:spacing w:line="253" w:lineRule="auto"/>
              <w:rPr>
                <w:rFonts w:ascii="Arial"/>
                <w:sz w:val="21"/>
              </w:rPr>
            </w:pPr>
          </w:p>
          <w:p w14:paraId="236F6D4F">
            <w:pPr>
              <w:spacing w:line="253" w:lineRule="auto"/>
              <w:rPr>
                <w:rFonts w:ascii="Arial"/>
                <w:sz w:val="21"/>
              </w:rPr>
            </w:pPr>
          </w:p>
          <w:p w14:paraId="46768E59">
            <w:pPr>
              <w:spacing w:line="253" w:lineRule="auto"/>
              <w:rPr>
                <w:rFonts w:ascii="Arial"/>
                <w:sz w:val="21"/>
              </w:rPr>
            </w:pPr>
          </w:p>
          <w:p w14:paraId="2BB0917F">
            <w:pPr>
              <w:spacing w:line="253" w:lineRule="auto"/>
              <w:rPr>
                <w:rFonts w:ascii="Arial"/>
                <w:sz w:val="21"/>
              </w:rPr>
            </w:pPr>
          </w:p>
          <w:p w14:paraId="04112B3C">
            <w:pPr>
              <w:spacing w:line="253" w:lineRule="auto"/>
              <w:rPr>
                <w:rFonts w:ascii="Arial"/>
                <w:sz w:val="21"/>
              </w:rPr>
            </w:pPr>
          </w:p>
          <w:p w14:paraId="45C87340">
            <w:pPr>
              <w:spacing w:line="254" w:lineRule="auto"/>
              <w:rPr>
                <w:rFonts w:ascii="Arial"/>
                <w:sz w:val="21"/>
              </w:rPr>
            </w:pPr>
          </w:p>
          <w:p w14:paraId="3D575C31">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542E409E">
            <w:pPr>
              <w:spacing w:line="270" w:lineRule="auto"/>
              <w:rPr>
                <w:rFonts w:ascii="Arial"/>
                <w:sz w:val="21"/>
              </w:rPr>
            </w:pPr>
          </w:p>
          <w:p w14:paraId="596ECD27">
            <w:pPr>
              <w:spacing w:line="270" w:lineRule="auto"/>
              <w:rPr>
                <w:rFonts w:ascii="Arial"/>
                <w:sz w:val="21"/>
              </w:rPr>
            </w:pPr>
          </w:p>
          <w:p w14:paraId="65A81B9B">
            <w:pPr>
              <w:spacing w:line="270" w:lineRule="auto"/>
              <w:rPr>
                <w:rFonts w:ascii="Arial"/>
                <w:sz w:val="21"/>
              </w:rPr>
            </w:pPr>
          </w:p>
          <w:p w14:paraId="6EB0FFB1">
            <w:pPr>
              <w:spacing w:line="270" w:lineRule="auto"/>
              <w:rPr>
                <w:rFonts w:ascii="Arial"/>
                <w:sz w:val="21"/>
              </w:rPr>
            </w:pPr>
          </w:p>
          <w:p w14:paraId="41622E9E">
            <w:pPr>
              <w:spacing w:line="270" w:lineRule="auto"/>
              <w:rPr>
                <w:rFonts w:ascii="Arial"/>
                <w:sz w:val="21"/>
              </w:rPr>
            </w:pPr>
          </w:p>
          <w:p w14:paraId="132F5C3F">
            <w:pPr>
              <w:spacing w:line="271" w:lineRule="auto"/>
              <w:rPr>
                <w:rFonts w:ascii="Arial"/>
                <w:sz w:val="21"/>
              </w:rPr>
            </w:pPr>
          </w:p>
          <w:p w14:paraId="19FA5CC4">
            <w:pPr>
              <w:spacing w:line="271" w:lineRule="auto"/>
              <w:rPr>
                <w:rFonts w:ascii="Arial"/>
                <w:sz w:val="21"/>
              </w:rPr>
            </w:pPr>
          </w:p>
          <w:p w14:paraId="12AE634E">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A3EE81A">
            <w:pPr>
              <w:spacing w:line="255" w:lineRule="auto"/>
              <w:rPr>
                <w:rFonts w:ascii="Arial"/>
                <w:sz w:val="21"/>
              </w:rPr>
            </w:pPr>
          </w:p>
          <w:p w14:paraId="63564A38">
            <w:pPr>
              <w:spacing w:line="256" w:lineRule="auto"/>
              <w:rPr>
                <w:rFonts w:ascii="Arial"/>
                <w:sz w:val="21"/>
              </w:rPr>
            </w:pPr>
          </w:p>
          <w:p w14:paraId="7EFC5AC2">
            <w:pPr>
              <w:spacing w:line="256" w:lineRule="auto"/>
              <w:rPr>
                <w:rFonts w:ascii="Arial"/>
                <w:sz w:val="21"/>
              </w:rPr>
            </w:pPr>
          </w:p>
          <w:p w14:paraId="2C65896B">
            <w:pPr>
              <w:spacing w:line="256" w:lineRule="auto"/>
              <w:rPr>
                <w:rFonts w:ascii="Arial"/>
                <w:sz w:val="21"/>
              </w:rPr>
            </w:pPr>
          </w:p>
          <w:p w14:paraId="5082BACC">
            <w:pPr>
              <w:spacing w:line="256" w:lineRule="auto"/>
              <w:rPr>
                <w:rFonts w:ascii="Arial"/>
                <w:sz w:val="21"/>
              </w:rPr>
            </w:pPr>
          </w:p>
          <w:p w14:paraId="05307709">
            <w:pPr>
              <w:spacing w:line="256" w:lineRule="auto"/>
              <w:rPr>
                <w:rFonts w:ascii="Arial"/>
                <w:sz w:val="21"/>
              </w:rPr>
            </w:pPr>
          </w:p>
          <w:p w14:paraId="18572E12">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7B1E74E7">
      <w:pPr>
        <w:pStyle w:val="2"/>
      </w:pPr>
    </w:p>
    <w:p w14:paraId="47A26B33">
      <w:pPr>
        <w:sectPr>
          <w:footerReference r:id="rId171" w:type="default"/>
          <w:pgSz w:w="16839" w:h="11906"/>
          <w:pgMar w:top="1012" w:right="788" w:bottom="967" w:left="787" w:header="0" w:footer="768" w:gutter="0"/>
          <w:cols w:space="720" w:num="1"/>
        </w:sectPr>
      </w:pPr>
    </w:p>
    <w:p w14:paraId="5D120465">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3A6C3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2F563B9B">
            <w:pPr>
              <w:pStyle w:val="8"/>
              <w:spacing w:before="267" w:line="221" w:lineRule="auto"/>
              <w:ind w:left="142"/>
            </w:pPr>
            <w:r>
              <w:rPr>
                <w:b/>
                <w:bCs/>
                <w:spacing w:val="-4"/>
              </w:rPr>
              <w:t>序号</w:t>
            </w:r>
          </w:p>
        </w:tc>
        <w:tc>
          <w:tcPr>
            <w:tcW w:w="1136" w:type="dxa"/>
            <w:vMerge w:val="restart"/>
            <w:tcBorders>
              <w:bottom w:val="nil"/>
            </w:tcBorders>
            <w:vAlign w:val="top"/>
          </w:tcPr>
          <w:p w14:paraId="50A612DD">
            <w:pPr>
              <w:pStyle w:val="8"/>
              <w:spacing w:before="267" w:line="220" w:lineRule="auto"/>
              <w:ind w:left="208"/>
            </w:pPr>
            <w:r>
              <w:rPr>
                <w:b/>
                <w:bCs/>
                <w:spacing w:val="-4"/>
              </w:rPr>
              <w:t>事项名称</w:t>
            </w:r>
          </w:p>
        </w:tc>
        <w:tc>
          <w:tcPr>
            <w:tcW w:w="1136" w:type="dxa"/>
            <w:vMerge w:val="restart"/>
            <w:tcBorders>
              <w:bottom w:val="nil"/>
            </w:tcBorders>
            <w:vAlign w:val="top"/>
          </w:tcPr>
          <w:p w14:paraId="7B2725CC">
            <w:pPr>
              <w:pStyle w:val="8"/>
              <w:spacing w:before="267" w:line="219" w:lineRule="auto"/>
              <w:ind w:left="210"/>
            </w:pPr>
            <w:r>
              <w:rPr>
                <w:b/>
                <w:bCs/>
                <w:spacing w:val="-4"/>
              </w:rPr>
              <w:t>职权类型</w:t>
            </w:r>
          </w:p>
        </w:tc>
        <w:tc>
          <w:tcPr>
            <w:tcW w:w="8806" w:type="dxa"/>
            <w:vMerge w:val="restart"/>
            <w:tcBorders>
              <w:bottom w:val="nil"/>
            </w:tcBorders>
            <w:vAlign w:val="top"/>
          </w:tcPr>
          <w:p w14:paraId="120C8FE0">
            <w:pPr>
              <w:pStyle w:val="8"/>
              <w:spacing w:before="267" w:line="219" w:lineRule="auto"/>
              <w:ind w:left="4050"/>
            </w:pPr>
            <w:r>
              <w:rPr>
                <w:b/>
                <w:bCs/>
                <w:spacing w:val="-5"/>
              </w:rPr>
              <w:t>实施依据</w:t>
            </w:r>
          </w:p>
        </w:tc>
        <w:tc>
          <w:tcPr>
            <w:tcW w:w="3538" w:type="dxa"/>
            <w:gridSpan w:val="3"/>
            <w:vAlign w:val="top"/>
          </w:tcPr>
          <w:p w14:paraId="42F7CD86">
            <w:pPr>
              <w:pStyle w:val="8"/>
              <w:spacing w:before="92" w:line="220" w:lineRule="auto"/>
              <w:ind w:left="1415"/>
            </w:pPr>
            <w:r>
              <w:rPr>
                <w:b/>
                <w:bCs/>
                <w:spacing w:val="-5"/>
              </w:rPr>
              <w:t>实施主体</w:t>
            </w:r>
          </w:p>
        </w:tc>
      </w:tr>
      <w:tr w14:paraId="6B3FC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64555F4D">
            <w:pPr>
              <w:rPr>
                <w:rFonts w:ascii="Arial"/>
                <w:sz w:val="21"/>
              </w:rPr>
            </w:pPr>
          </w:p>
        </w:tc>
        <w:tc>
          <w:tcPr>
            <w:tcW w:w="1136" w:type="dxa"/>
            <w:vMerge w:val="continue"/>
            <w:tcBorders>
              <w:top w:val="nil"/>
            </w:tcBorders>
            <w:vAlign w:val="top"/>
          </w:tcPr>
          <w:p w14:paraId="0FC2D8D8">
            <w:pPr>
              <w:rPr>
                <w:rFonts w:ascii="Arial"/>
                <w:sz w:val="21"/>
              </w:rPr>
            </w:pPr>
          </w:p>
        </w:tc>
        <w:tc>
          <w:tcPr>
            <w:tcW w:w="1136" w:type="dxa"/>
            <w:vMerge w:val="continue"/>
            <w:tcBorders>
              <w:top w:val="nil"/>
            </w:tcBorders>
            <w:vAlign w:val="top"/>
          </w:tcPr>
          <w:p w14:paraId="63498CCD">
            <w:pPr>
              <w:rPr>
                <w:rFonts w:ascii="Arial"/>
                <w:sz w:val="21"/>
              </w:rPr>
            </w:pPr>
          </w:p>
        </w:tc>
        <w:tc>
          <w:tcPr>
            <w:tcW w:w="8806" w:type="dxa"/>
            <w:vMerge w:val="continue"/>
            <w:tcBorders>
              <w:top w:val="nil"/>
            </w:tcBorders>
            <w:vAlign w:val="top"/>
          </w:tcPr>
          <w:p w14:paraId="51473F90">
            <w:pPr>
              <w:rPr>
                <w:rFonts w:ascii="Arial"/>
                <w:sz w:val="21"/>
              </w:rPr>
            </w:pPr>
          </w:p>
        </w:tc>
        <w:tc>
          <w:tcPr>
            <w:tcW w:w="1043" w:type="dxa"/>
            <w:vAlign w:val="top"/>
          </w:tcPr>
          <w:p w14:paraId="5F988B0F">
            <w:pPr>
              <w:pStyle w:val="8"/>
              <w:spacing w:before="88" w:line="219" w:lineRule="auto"/>
              <w:ind w:left="171"/>
            </w:pPr>
            <w:r>
              <w:rPr>
                <w:b/>
                <w:bCs/>
                <w:spacing w:val="-5"/>
              </w:rPr>
              <w:t>责任部门</w:t>
            </w:r>
          </w:p>
        </w:tc>
        <w:tc>
          <w:tcPr>
            <w:tcW w:w="1448" w:type="dxa"/>
            <w:vAlign w:val="top"/>
          </w:tcPr>
          <w:p w14:paraId="12ABC6DF">
            <w:pPr>
              <w:pStyle w:val="8"/>
              <w:spacing w:before="88" w:line="219" w:lineRule="auto"/>
              <w:ind w:left="187"/>
            </w:pPr>
            <w:r>
              <w:rPr>
                <w:b/>
                <w:bCs/>
                <w:spacing w:val="-3"/>
              </w:rPr>
              <w:t>第一责任层级</w:t>
            </w:r>
          </w:p>
        </w:tc>
        <w:tc>
          <w:tcPr>
            <w:tcW w:w="1047" w:type="dxa"/>
            <w:vAlign w:val="top"/>
          </w:tcPr>
          <w:p w14:paraId="09863B18">
            <w:pPr>
              <w:pStyle w:val="8"/>
              <w:spacing w:before="88" w:line="219" w:lineRule="auto"/>
              <w:ind w:left="165"/>
            </w:pPr>
            <w:r>
              <w:rPr>
                <w:b/>
                <w:bCs/>
                <w:spacing w:val="-4"/>
              </w:rPr>
              <w:t>承办机构</w:t>
            </w:r>
          </w:p>
        </w:tc>
      </w:tr>
      <w:tr w14:paraId="5B2FD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641" w:type="dxa"/>
            <w:vAlign w:val="top"/>
          </w:tcPr>
          <w:p w14:paraId="492A0EE9">
            <w:pPr>
              <w:rPr>
                <w:rFonts w:ascii="Arial"/>
                <w:sz w:val="21"/>
              </w:rPr>
            </w:pPr>
          </w:p>
        </w:tc>
        <w:tc>
          <w:tcPr>
            <w:tcW w:w="1136" w:type="dxa"/>
            <w:vAlign w:val="top"/>
          </w:tcPr>
          <w:p w14:paraId="6C985F39">
            <w:pPr>
              <w:rPr>
                <w:rFonts w:ascii="Arial"/>
                <w:sz w:val="21"/>
              </w:rPr>
            </w:pPr>
          </w:p>
        </w:tc>
        <w:tc>
          <w:tcPr>
            <w:tcW w:w="1136" w:type="dxa"/>
            <w:vAlign w:val="top"/>
          </w:tcPr>
          <w:p w14:paraId="7EC37048">
            <w:pPr>
              <w:rPr>
                <w:rFonts w:ascii="Arial"/>
                <w:sz w:val="21"/>
              </w:rPr>
            </w:pPr>
          </w:p>
        </w:tc>
        <w:tc>
          <w:tcPr>
            <w:tcW w:w="8806" w:type="dxa"/>
            <w:vAlign w:val="top"/>
          </w:tcPr>
          <w:p w14:paraId="13D00162">
            <w:pPr>
              <w:pStyle w:val="8"/>
              <w:spacing w:before="38" w:line="219" w:lineRule="auto"/>
              <w:ind w:left="457"/>
            </w:pPr>
            <w:r>
              <w:rPr>
                <w:b/>
                <w:bCs/>
                <w:spacing w:val="-8"/>
              </w:rPr>
              <w:t>3.《中华人民共和国内河海事行政处罚规定》（交通运输部令</w:t>
            </w:r>
            <w:r>
              <w:rPr>
                <w:b/>
                <w:bCs/>
                <w:spacing w:val="-9"/>
              </w:rPr>
              <w:t>2022年第28号）</w:t>
            </w:r>
          </w:p>
          <w:p w14:paraId="1C6B2DEE">
            <w:pPr>
              <w:pStyle w:val="8"/>
              <w:spacing w:before="27" w:line="237" w:lineRule="auto"/>
              <w:ind w:left="109" w:right="98" w:firstLine="360"/>
              <w:jc w:val="both"/>
            </w:pPr>
            <w:r>
              <w:rPr>
                <w:spacing w:val="-8"/>
              </w:rPr>
              <w:t>第八条</w:t>
            </w:r>
            <w:r>
              <w:rPr>
                <w:spacing w:val="73"/>
              </w:rPr>
              <w:t xml:space="preserve"> </w:t>
            </w:r>
            <w:r>
              <w:rPr>
                <w:spacing w:val="-8"/>
              </w:rPr>
              <w:t>违反《内河交通安全管理条例》第六条第（一）项、第七条第（</w:t>
            </w:r>
            <w:r>
              <w:rPr>
                <w:spacing w:val="-9"/>
              </w:rPr>
              <w:t>一）项的规定，船舶、浮动设施未持</w:t>
            </w:r>
            <w:r>
              <w:t xml:space="preserve"> </w:t>
            </w:r>
            <w:r>
              <w:rPr>
                <w:spacing w:val="-8"/>
              </w:rPr>
              <w:t>有合格的检验证书擅自航行或者作业的，依照《内河交通安全管理条例》第六十四条的规定，</w:t>
            </w:r>
            <w:r>
              <w:rPr>
                <w:spacing w:val="-9"/>
              </w:rPr>
              <w:t>责令停止航行或者作</w:t>
            </w:r>
            <w:r>
              <w:t xml:space="preserve"> </w:t>
            </w:r>
            <w:r>
              <w:rPr>
                <w:spacing w:val="-8"/>
              </w:rPr>
              <w:t>业；拒不停止航行或者作业的，暂扣船舶、浮动设施；情节严重的，予以没收。</w:t>
            </w:r>
          </w:p>
          <w:p w14:paraId="20CCDA36">
            <w:pPr>
              <w:pStyle w:val="8"/>
              <w:spacing w:before="26" w:line="237" w:lineRule="auto"/>
              <w:ind w:left="110" w:right="95" w:firstLine="360"/>
              <w:jc w:val="both"/>
            </w:pPr>
            <w:r>
              <w:rPr>
                <w:spacing w:val="-7"/>
              </w:rPr>
              <w:t>本条前款所称未持有合格的检验证书，包括下列情形</w:t>
            </w:r>
            <w:r>
              <w:rPr>
                <w:spacing w:val="-24"/>
              </w:rPr>
              <w:t>：（</w:t>
            </w:r>
            <w:r>
              <w:rPr>
                <w:spacing w:val="-7"/>
              </w:rPr>
              <w:t>一）没有取得相应的检验证书</w:t>
            </w:r>
            <w:r>
              <w:rPr>
                <w:spacing w:val="-24"/>
              </w:rPr>
              <w:t>；（</w:t>
            </w:r>
            <w:r>
              <w:rPr>
                <w:spacing w:val="-7"/>
              </w:rPr>
              <w:t>二</w:t>
            </w:r>
            <w:r>
              <w:rPr>
                <w:spacing w:val="-8"/>
              </w:rPr>
              <w:t>）持有的检验证</w:t>
            </w:r>
            <w:r>
              <w:rPr>
                <w:spacing w:val="1"/>
              </w:rPr>
              <w:t xml:space="preserve"> </w:t>
            </w:r>
            <w:r>
              <w:rPr>
                <w:spacing w:val="-7"/>
              </w:rPr>
              <w:t>书属于伪造、变造、转让、买卖或者租借的</w:t>
            </w:r>
            <w:r>
              <w:rPr>
                <w:spacing w:val="-22"/>
              </w:rPr>
              <w:t>；（</w:t>
            </w:r>
            <w:r>
              <w:rPr>
                <w:spacing w:val="-7"/>
              </w:rPr>
              <w:t>三）持失效的检验证书</w:t>
            </w:r>
            <w:r>
              <w:rPr>
                <w:spacing w:val="-22"/>
              </w:rPr>
              <w:t>；（</w:t>
            </w:r>
            <w:r>
              <w:rPr>
                <w:spacing w:val="-7"/>
              </w:rPr>
              <w:t>四）检验证书损毁、遗失但不按照规定</w:t>
            </w:r>
            <w:r>
              <w:rPr>
                <w:spacing w:val="3"/>
              </w:rPr>
              <w:t xml:space="preserve"> </w:t>
            </w:r>
            <w:r>
              <w:rPr>
                <w:spacing w:val="-7"/>
              </w:rPr>
              <w:t>补办</w:t>
            </w:r>
            <w:r>
              <w:rPr>
                <w:spacing w:val="-19"/>
              </w:rPr>
              <w:t>；（</w:t>
            </w:r>
            <w:r>
              <w:rPr>
                <w:spacing w:val="-7"/>
              </w:rPr>
              <w:t>五）其他不符合法律、行政法规和规章规定情形的检验证书。</w:t>
            </w:r>
          </w:p>
          <w:p w14:paraId="1F6EBCB5">
            <w:pPr>
              <w:pStyle w:val="8"/>
              <w:spacing w:before="26" w:line="219" w:lineRule="auto"/>
              <w:ind w:left="453"/>
            </w:pPr>
            <w:r>
              <w:rPr>
                <w:b/>
                <w:bCs/>
                <w:spacing w:val="-8"/>
              </w:rPr>
              <w:t>4.《湖南省水上交通安全条例》</w:t>
            </w:r>
          </w:p>
          <w:p w14:paraId="4449E2D8">
            <w:pPr>
              <w:pStyle w:val="8"/>
              <w:spacing w:before="26" w:line="231" w:lineRule="auto"/>
              <w:ind w:left="114" w:right="98" w:firstLine="338"/>
            </w:pPr>
            <w:r>
              <w:rPr>
                <w:spacing w:val="-8"/>
              </w:rPr>
              <w:t>第十七条第一款</w:t>
            </w:r>
            <w:r>
              <w:rPr>
                <w:spacing w:val="73"/>
              </w:rPr>
              <w:t xml:space="preserve"> </w:t>
            </w:r>
            <w:r>
              <w:rPr>
                <w:spacing w:val="-8"/>
              </w:rPr>
              <w:t>船舶航行、停泊、作业应当随船携带船舶国籍证书、船舶检验证书、船舶营运证件和其他法</w:t>
            </w:r>
            <w:r>
              <w:t xml:space="preserve"> </w:t>
            </w:r>
            <w:r>
              <w:rPr>
                <w:spacing w:val="-8"/>
              </w:rPr>
              <w:t>定文书,配备必要的航行资料。</w:t>
            </w:r>
          </w:p>
          <w:p w14:paraId="7DD718DB">
            <w:pPr>
              <w:pStyle w:val="8"/>
              <w:spacing w:before="29" w:line="219" w:lineRule="auto"/>
              <w:ind w:left="469"/>
            </w:pPr>
            <w:r>
              <w:rPr>
                <w:b/>
                <w:bCs/>
                <w:spacing w:val="-5"/>
              </w:rPr>
              <w:t>5.《游艇安全管理规定》（交通运输部令</w:t>
            </w:r>
            <w:r>
              <w:rPr>
                <w:spacing w:val="-27"/>
              </w:rPr>
              <w:t xml:space="preserve"> </w:t>
            </w:r>
            <w:r>
              <w:rPr>
                <w:b/>
                <w:bCs/>
                <w:spacing w:val="-5"/>
              </w:rPr>
              <w:t>2023</w:t>
            </w:r>
            <w:r>
              <w:rPr>
                <w:spacing w:val="-43"/>
              </w:rPr>
              <w:t xml:space="preserve"> </w:t>
            </w:r>
            <w:r>
              <w:rPr>
                <w:b/>
                <w:bCs/>
                <w:spacing w:val="-5"/>
              </w:rPr>
              <w:t>年第</w:t>
            </w:r>
            <w:r>
              <w:rPr>
                <w:spacing w:val="-24"/>
              </w:rPr>
              <w:t xml:space="preserve"> </w:t>
            </w:r>
            <w:r>
              <w:rPr>
                <w:b/>
                <w:bCs/>
                <w:spacing w:val="-5"/>
              </w:rPr>
              <w:t>11</w:t>
            </w:r>
            <w:r>
              <w:rPr>
                <w:spacing w:val="-37"/>
              </w:rPr>
              <w:t xml:space="preserve"> </w:t>
            </w:r>
            <w:r>
              <w:rPr>
                <w:b/>
                <w:bCs/>
                <w:spacing w:val="-5"/>
              </w:rPr>
              <w:t>号）</w:t>
            </w:r>
          </w:p>
          <w:p w14:paraId="0A39E2D6">
            <w:pPr>
              <w:pStyle w:val="8"/>
              <w:spacing w:before="26" w:line="219" w:lineRule="auto"/>
              <w:ind w:left="465"/>
            </w:pPr>
            <w:r>
              <w:rPr>
                <w:spacing w:val="-2"/>
              </w:rPr>
              <w:t>第十五条第一款  游艇应当随船携带有关船舶证书、文书及必备的航行资料，并做好航行等相关</w:t>
            </w:r>
            <w:r>
              <w:rPr>
                <w:spacing w:val="-3"/>
              </w:rPr>
              <w:t>记录。</w:t>
            </w:r>
          </w:p>
          <w:p w14:paraId="56309279">
            <w:pPr>
              <w:pStyle w:val="8"/>
              <w:spacing w:before="27" w:line="219" w:lineRule="auto"/>
              <w:ind w:left="465"/>
            </w:pPr>
            <w:r>
              <w:rPr>
                <w:spacing w:val="-2"/>
              </w:rPr>
              <w:t>第十五条第三款  游艇操作人员驾驶游艇时应当携带游艇操作人员适任</w:t>
            </w:r>
            <w:r>
              <w:rPr>
                <w:spacing w:val="-3"/>
              </w:rPr>
              <w:t>证书。</w:t>
            </w:r>
          </w:p>
          <w:p w14:paraId="22D5CB6F">
            <w:pPr>
              <w:pStyle w:val="8"/>
              <w:spacing w:before="26" w:line="223" w:lineRule="auto"/>
              <w:ind w:left="112" w:right="153" w:firstLine="353"/>
            </w:pPr>
            <w:r>
              <w:rPr>
                <w:spacing w:val="-2"/>
              </w:rPr>
              <w:t>第三十七条第二款  违反本规定，在内河航行的游艇未持有合格的检验证书、登记证书的，</w:t>
            </w:r>
            <w:r>
              <w:rPr>
                <w:spacing w:val="-3"/>
              </w:rPr>
              <w:t>由海事管理机</w:t>
            </w:r>
            <w:r>
              <w:t xml:space="preserve"> </w:t>
            </w:r>
            <w:r>
              <w:rPr>
                <w:spacing w:val="-2"/>
              </w:rPr>
              <w:t>构责令其停止航行，拒不停止的，暂扣游艇；情节严重的</w:t>
            </w:r>
            <w:r>
              <w:rPr>
                <w:spacing w:val="-3"/>
              </w:rPr>
              <w:t>，予以没收。</w:t>
            </w:r>
          </w:p>
        </w:tc>
        <w:tc>
          <w:tcPr>
            <w:tcW w:w="1043" w:type="dxa"/>
            <w:vAlign w:val="top"/>
          </w:tcPr>
          <w:p w14:paraId="177634A7">
            <w:pPr>
              <w:rPr>
                <w:rFonts w:ascii="Arial"/>
                <w:sz w:val="21"/>
              </w:rPr>
            </w:pPr>
          </w:p>
        </w:tc>
        <w:tc>
          <w:tcPr>
            <w:tcW w:w="1448" w:type="dxa"/>
            <w:vAlign w:val="top"/>
          </w:tcPr>
          <w:p w14:paraId="7202633E">
            <w:pPr>
              <w:rPr>
                <w:rFonts w:ascii="Arial"/>
                <w:sz w:val="21"/>
              </w:rPr>
            </w:pPr>
          </w:p>
        </w:tc>
        <w:tc>
          <w:tcPr>
            <w:tcW w:w="1047" w:type="dxa"/>
            <w:vAlign w:val="top"/>
          </w:tcPr>
          <w:p w14:paraId="4A32255F">
            <w:pPr>
              <w:rPr>
                <w:rFonts w:ascii="Arial"/>
                <w:sz w:val="21"/>
              </w:rPr>
            </w:pPr>
          </w:p>
        </w:tc>
      </w:tr>
      <w:tr w14:paraId="1DB7F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0" w:hRule="atLeast"/>
        </w:trPr>
        <w:tc>
          <w:tcPr>
            <w:tcW w:w="641" w:type="dxa"/>
            <w:vAlign w:val="top"/>
          </w:tcPr>
          <w:p w14:paraId="06930B7E">
            <w:pPr>
              <w:spacing w:line="251" w:lineRule="auto"/>
              <w:rPr>
                <w:rFonts w:ascii="Arial"/>
                <w:sz w:val="21"/>
              </w:rPr>
            </w:pPr>
          </w:p>
          <w:p w14:paraId="11E8BC61">
            <w:pPr>
              <w:spacing w:line="251" w:lineRule="auto"/>
              <w:rPr>
                <w:rFonts w:ascii="Arial"/>
                <w:sz w:val="21"/>
              </w:rPr>
            </w:pPr>
          </w:p>
          <w:p w14:paraId="480440CA">
            <w:pPr>
              <w:spacing w:line="251" w:lineRule="auto"/>
              <w:rPr>
                <w:rFonts w:ascii="Arial"/>
                <w:sz w:val="21"/>
              </w:rPr>
            </w:pPr>
          </w:p>
          <w:p w14:paraId="1EB0AF15">
            <w:pPr>
              <w:spacing w:line="251" w:lineRule="auto"/>
              <w:rPr>
                <w:rFonts w:ascii="Arial"/>
                <w:sz w:val="21"/>
              </w:rPr>
            </w:pPr>
          </w:p>
          <w:p w14:paraId="6C7E1840">
            <w:pPr>
              <w:spacing w:line="251" w:lineRule="auto"/>
              <w:rPr>
                <w:rFonts w:ascii="Arial"/>
                <w:sz w:val="21"/>
              </w:rPr>
            </w:pPr>
          </w:p>
          <w:p w14:paraId="32EDCBD8">
            <w:pPr>
              <w:spacing w:line="252" w:lineRule="auto"/>
              <w:rPr>
                <w:rFonts w:ascii="Arial"/>
                <w:sz w:val="21"/>
              </w:rPr>
            </w:pPr>
          </w:p>
          <w:p w14:paraId="60DA28B6">
            <w:pPr>
              <w:spacing w:line="252" w:lineRule="auto"/>
              <w:rPr>
                <w:rFonts w:ascii="Arial"/>
                <w:sz w:val="21"/>
              </w:rPr>
            </w:pPr>
          </w:p>
          <w:p w14:paraId="21F76A95">
            <w:pPr>
              <w:spacing w:line="252" w:lineRule="auto"/>
              <w:rPr>
                <w:rFonts w:ascii="Arial"/>
                <w:sz w:val="21"/>
              </w:rPr>
            </w:pPr>
          </w:p>
          <w:p w14:paraId="78557565">
            <w:pPr>
              <w:spacing w:line="252" w:lineRule="auto"/>
              <w:rPr>
                <w:rFonts w:ascii="Arial"/>
                <w:sz w:val="21"/>
              </w:rPr>
            </w:pPr>
          </w:p>
          <w:p w14:paraId="78BF807B">
            <w:pPr>
              <w:pStyle w:val="8"/>
              <w:spacing w:before="58" w:line="184" w:lineRule="auto"/>
              <w:ind w:left="248"/>
            </w:pPr>
            <w:r>
              <w:rPr>
                <w:spacing w:val="-10"/>
              </w:rPr>
              <w:t>13</w:t>
            </w:r>
          </w:p>
        </w:tc>
        <w:tc>
          <w:tcPr>
            <w:tcW w:w="1136" w:type="dxa"/>
            <w:vAlign w:val="top"/>
          </w:tcPr>
          <w:p w14:paraId="402DF520">
            <w:pPr>
              <w:spacing w:line="251" w:lineRule="auto"/>
              <w:rPr>
                <w:rFonts w:ascii="Arial"/>
                <w:sz w:val="21"/>
              </w:rPr>
            </w:pPr>
          </w:p>
          <w:p w14:paraId="21FB79E1">
            <w:pPr>
              <w:spacing w:line="251" w:lineRule="auto"/>
              <w:rPr>
                <w:rFonts w:ascii="Arial"/>
                <w:sz w:val="21"/>
              </w:rPr>
            </w:pPr>
          </w:p>
          <w:p w14:paraId="681D7E61">
            <w:pPr>
              <w:spacing w:line="251" w:lineRule="auto"/>
              <w:rPr>
                <w:rFonts w:ascii="Arial"/>
                <w:sz w:val="21"/>
              </w:rPr>
            </w:pPr>
          </w:p>
          <w:p w14:paraId="140437F3">
            <w:pPr>
              <w:spacing w:line="251" w:lineRule="auto"/>
              <w:rPr>
                <w:rFonts w:ascii="Arial"/>
                <w:sz w:val="21"/>
              </w:rPr>
            </w:pPr>
          </w:p>
          <w:p w14:paraId="32BE4CD8">
            <w:pPr>
              <w:spacing w:line="251" w:lineRule="auto"/>
              <w:rPr>
                <w:rFonts w:ascii="Arial"/>
                <w:sz w:val="21"/>
              </w:rPr>
            </w:pPr>
          </w:p>
          <w:p w14:paraId="27BD76B2">
            <w:pPr>
              <w:spacing w:line="251" w:lineRule="auto"/>
              <w:rPr>
                <w:rFonts w:ascii="Arial"/>
                <w:sz w:val="21"/>
              </w:rPr>
            </w:pPr>
          </w:p>
          <w:p w14:paraId="7FBF7A03">
            <w:pPr>
              <w:spacing w:line="252" w:lineRule="auto"/>
              <w:rPr>
                <w:rFonts w:ascii="Arial"/>
                <w:sz w:val="21"/>
              </w:rPr>
            </w:pPr>
          </w:p>
          <w:p w14:paraId="532FD619">
            <w:pPr>
              <w:pStyle w:val="8"/>
              <w:spacing w:before="59" w:line="241" w:lineRule="auto"/>
              <w:ind w:left="109" w:right="104"/>
              <w:jc w:val="both"/>
            </w:pPr>
            <w:r>
              <w:rPr>
                <w:spacing w:val="3"/>
              </w:rPr>
              <w:t>对船舶未按</w:t>
            </w:r>
            <w:r>
              <w:rPr>
                <w:spacing w:val="1"/>
              </w:rPr>
              <w:t xml:space="preserve"> </w:t>
            </w:r>
            <w:r>
              <w:rPr>
                <w:spacing w:val="3"/>
              </w:rPr>
              <w:t>照规定配备</w:t>
            </w:r>
            <w:r>
              <w:t xml:space="preserve"> </w:t>
            </w:r>
            <w:r>
              <w:rPr>
                <w:spacing w:val="3"/>
              </w:rPr>
              <w:t>船员擅自航</w:t>
            </w:r>
            <w:r>
              <w:t xml:space="preserve"> </w:t>
            </w:r>
            <w:r>
              <w:rPr>
                <w:spacing w:val="3"/>
              </w:rPr>
              <w:t>行等行为的</w:t>
            </w:r>
            <w:r>
              <w:t xml:space="preserve"> </w:t>
            </w:r>
            <w:r>
              <w:rPr>
                <w:spacing w:val="-4"/>
              </w:rPr>
              <w:t>行政处罚</w:t>
            </w:r>
          </w:p>
        </w:tc>
        <w:tc>
          <w:tcPr>
            <w:tcW w:w="1136" w:type="dxa"/>
            <w:vAlign w:val="top"/>
          </w:tcPr>
          <w:p w14:paraId="2781A7B1">
            <w:pPr>
              <w:spacing w:line="248" w:lineRule="auto"/>
              <w:rPr>
                <w:rFonts w:ascii="Arial"/>
                <w:sz w:val="21"/>
              </w:rPr>
            </w:pPr>
          </w:p>
          <w:p w14:paraId="2FE4150B">
            <w:pPr>
              <w:spacing w:line="248" w:lineRule="auto"/>
              <w:rPr>
                <w:rFonts w:ascii="Arial"/>
                <w:sz w:val="21"/>
              </w:rPr>
            </w:pPr>
          </w:p>
          <w:p w14:paraId="02703E69">
            <w:pPr>
              <w:spacing w:line="248" w:lineRule="auto"/>
              <w:rPr>
                <w:rFonts w:ascii="Arial"/>
                <w:sz w:val="21"/>
              </w:rPr>
            </w:pPr>
          </w:p>
          <w:p w14:paraId="63F4771F">
            <w:pPr>
              <w:spacing w:line="248" w:lineRule="auto"/>
              <w:rPr>
                <w:rFonts w:ascii="Arial"/>
                <w:sz w:val="21"/>
              </w:rPr>
            </w:pPr>
          </w:p>
          <w:p w14:paraId="50D5903B">
            <w:pPr>
              <w:spacing w:line="248" w:lineRule="auto"/>
              <w:rPr>
                <w:rFonts w:ascii="Arial"/>
                <w:sz w:val="21"/>
              </w:rPr>
            </w:pPr>
          </w:p>
          <w:p w14:paraId="2AD866F6">
            <w:pPr>
              <w:spacing w:line="248" w:lineRule="auto"/>
              <w:rPr>
                <w:rFonts w:ascii="Arial"/>
                <w:sz w:val="21"/>
              </w:rPr>
            </w:pPr>
          </w:p>
          <w:p w14:paraId="1D73FF4B">
            <w:pPr>
              <w:spacing w:line="249" w:lineRule="auto"/>
              <w:rPr>
                <w:rFonts w:ascii="Arial"/>
                <w:sz w:val="21"/>
              </w:rPr>
            </w:pPr>
          </w:p>
          <w:p w14:paraId="613766CB">
            <w:pPr>
              <w:spacing w:line="249" w:lineRule="auto"/>
              <w:rPr>
                <w:rFonts w:ascii="Arial"/>
                <w:sz w:val="21"/>
              </w:rPr>
            </w:pPr>
          </w:p>
          <w:p w14:paraId="52F555BF">
            <w:pPr>
              <w:spacing w:line="249" w:lineRule="auto"/>
              <w:rPr>
                <w:rFonts w:ascii="Arial"/>
                <w:sz w:val="21"/>
              </w:rPr>
            </w:pPr>
          </w:p>
          <w:p w14:paraId="287997BE">
            <w:pPr>
              <w:pStyle w:val="8"/>
              <w:spacing w:before="59" w:line="220" w:lineRule="auto"/>
              <w:ind w:left="114"/>
            </w:pPr>
            <w:r>
              <w:rPr>
                <w:spacing w:val="-7"/>
              </w:rPr>
              <w:t>行政处罚</w:t>
            </w:r>
          </w:p>
        </w:tc>
        <w:tc>
          <w:tcPr>
            <w:tcW w:w="8806" w:type="dxa"/>
            <w:vAlign w:val="top"/>
          </w:tcPr>
          <w:p w14:paraId="5681E145">
            <w:pPr>
              <w:spacing w:line="283" w:lineRule="auto"/>
              <w:rPr>
                <w:rFonts w:ascii="Arial"/>
                <w:sz w:val="21"/>
              </w:rPr>
            </w:pPr>
          </w:p>
          <w:p w14:paraId="3482E91B">
            <w:pPr>
              <w:spacing w:line="283" w:lineRule="auto"/>
              <w:rPr>
                <w:rFonts w:ascii="Arial"/>
                <w:sz w:val="21"/>
              </w:rPr>
            </w:pPr>
          </w:p>
          <w:p w14:paraId="150ACB13">
            <w:pPr>
              <w:pStyle w:val="8"/>
              <w:spacing w:before="59" w:line="219" w:lineRule="auto"/>
              <w:ind w:left="479"/>
            </w:pPr>
            <w:r>
              <w:rPr>
                <w:b/>
                <w:bCs/>
                <w:spacing w:val="-4"/>
              </w:rPr>
              <w:t>1.《中华人民共和国内河交通安全管理条例》</w:t>
            </w:r>
          </w:p>
          <w:p w14:paraId="655AC951">
            <w:pPr>
              <w:pStyle w:val="8"/>
              <w:spacing w:before="26" w:line="219" w:lineRule="auto"/>
              <w:ind w:left="465"/>
            </w:pPr>
            <w:r>
              <w:rPr>
                <w:spacing w:val="-1"/>
              </w:rPr>
              <w:t>第六条第（三）项  船舶具备下列条件，方可航行</w:t>
            </w:r>
            <w:r>
              <w:rPr>
                <w:spacing w:val="-16"/>
              </w:rPr>
              <w:t>：（</w:t>
            </w:r>
            <w:r>
              <w:rPr>
                <w:spacing w:val="-1"/>
              </w:rPr>
              <w:t>三</w:t>
            </w:r>
            <w:r>
              <w:rPr>
                <w:spacing w:val="-2"/>
              </w:rPr>
              <w:t>）配备符合国务院交通主管部门规定的船员；</w:t>
            </w:r>
          </w:p>
          <w:p w14:paraId="41BC8D8B">
            <w:pPr>
              <w:pStyle w:val="8"/>
              <w:spacing w:before="25" w:line="233" w:lineRule="auto"/>
              <w:ind w:left="114" w:right="153" w:firstLine="350"/>
            </w:pPr>
            <w:r>
              <w:rPr>
                <w:spacing w:val="-1"/>
              </w:rPr>
              <w:t>第七条第（三）项  浮动设施具备下列条件，</w:t>
            </w:r>
            <w:r>
              <w:rPr>
                <w:spacing w:val="-2"/>
              </w:rPr>
              <w:t>方可从事有关活动</w:t>
            </w:r>
            <w:r>
              <w:rPr>
                <w:spacing w:val="-16"/>
              </w:rPr>
              <w:t>：（</w:t>
            </w:r>
            <w:r>
              <w:rPr>
                <w:spacing w:val="-2"/>
              </w:rPr>
              <w:t>三）配备符合国务院交通主管部门规</w:t>
            </w:r>
            <w:r>
              <w:rPr>
                <w:spacing w:val="1"/>
              </w:rPr>
              <w:t xml:space="preserve"> </w:t>
            </w:r>
            <w:r>
              <w:rPr>
                <w:spacing w:val="-3"/>
              </w:rPr>
              <w:t>定的掌握水上交通安全技能的船员。</w:t>
            </w:r>
          </w:p>
          <w:p w14:paraId="6D5E78C1">
            <w:pPr>
              <w:pStyle w:val="8"/>
              <w:spacing w:before="24"/>
              <w:ind w:left="109" w:right="103" w:firstLine="355"/>
              <w:jc w:val="both"/>
            </w:pPr>
            <w:r>
              <w:rPr>
                <w:spacing w:val="-2"/>
              </w:rPr>
              <w:t>第六十五条  违反本条例的规定，船舶未按照国务院交通主管部门的规定配备船员擅自航行</w:t>
            </w:r>
            <w:r>
              <w:rPr>
                <w:spacing w:val="-3"/>
              </w:rPr>
              <w:t>，或者浮动设</w:t>
            </w:r>
            <w:r>
              <w:t xml:space="preserve"> </w:t>
            </w:r>
            <w:r>
              <w:rPr>
                <w:spacing w:val="-2"/>
              </w:rPr>
              <w:t>施未按照国务院交通主管部门的规定配备掌握水上交通安全技能的船员擅自作业的，由海事管理</w:t>
            </w:r>
            <w:r>
              <w:rPr>
                <w:spacing w:val="-3"/>
              </w:rPr>
              <w:t>机构责令限期</w:t>
            </w:r>
            <w:r>
              <w:t xml:space="preserve"> </w:t>
            </w:r>
            <w:r>
              <w:rPr>
                <w:spacing w:val="-3"/>
              </w:rPr>
              <w:t>改正，对船舶、浮动设施所有人或者经营人处1万元以上10万元以下的罚款；逾期不改正的，责令停航或者停止</w:t>
            </w:r>
            <w:r>
              <w:rPr>
                <w:spacing w:val="7"/>
              </w:rPr>
              <w:t xml:space="preserve"> </w:t>
            </w:r>
            <w:r>
              <w:rPr>
                <w:spacing w:val="-3"/>
              </w:rPr>
              <w:t>作业。</w:t>
            </w:r>
          </w:p>
          <w:p w14:paraId="55DAA2FC">
            <w:pPr>
              <w:pStyle w:val="8"/>
              <w:spacing w:before="24" w:line="219" w:lineRule="auto"/>
              <w:ind w:left="467"/>
            </w:pPr>
            <w:r>
              <w:rPr>
                <w:b/>
                <w:bCs/>
                <w:spacing w:val="-3"/>
              </w:rPr>
              <w:t>2.《中华人民共和国内河海事行政处罚规定》（交通运输部令202</w:t>
            </w:r>
            <w:r>
              <w:rPr>
                <w:b/>
                <w:bCs/>
                <w:spacing w:val="-4"/>
              </w:rPr>
              <w:t>2年第28号）</w:t>
            </w:r>
          </w:p>
          <w:p w14:paraId="444709B1">
            <w:pPr>
              <w:pStyle w:val="8"/>
              <w:spacing w:before="29" w:line="239" w:lineRule="auto"/>
              <w:ind w:left="110" w:right="26" w:firstLine="355"/>
              <w:jc w:val="both"/>
            </w:pPr>
            <w:r>
              <w:rPr>
                <w:spacing w:val="-2"/>
              </w:rPr>
              <w:t>第十四条  船舶、浮动设施的所有人或者经营人违反《内河交通安全管理条例》第六条第（</w:t>
            </w:r>
            <w:r>
              <w:rPr>
                <w:spacing w:val="-3"/>
              </w:rPr>
              <w:t>三）项、第七</w:t>
            </w:r>
            <w:r>
              <w:t xml:space="preserve">  </w:t>
            </w:r>
            <w:r>
              <w:rPr>
                <w:spacing w:val="-2"/>
              </w:rPr>
              <w:t>条第（三）项的规定，船舶未按照国务院交通运输主管部门的规定配备船员擅自航行的，或者浮</w:t>
            </w:r>
            <w:r>
              <w:rPr>
                <w:spacing w:val="-3"/>
              </w:rPr>
              <w:t>动设施未按照</w:t>
            </w:r>
            <w:r>
              <w:t xml:space="preserve">  </w:t>
            </w:r>
            <w:r>
              <w:rPr>
                <w:spacing w:val="-3"/>
              </w:rPr>
              <w:t>国务院交通运输主管部门的规定配备掌握水上交通安全技能的船员擅自作业的，依照《内</w:t>
            </w:r>
            <w:r>
              <w:rPr>
                <w:spacing w:val="-4"/>
              </w:rPr>
              <w:t>河交通安全管理条例》</w:t>
            </w:r>
            <w:r>
              <w:t xml:space="preserve"> </w:t>
            </w:r>
            <w:r>
              <w:rPr>
                <w:spacing w:val="-5"/>
              </w:rPr>
              <w:t>第六十五条的规定，责令限期改正，并处以1万元以上10万元以下罚款；逾期不改正的，责令停航或</w:t>
            </w:r>
            <w:r>
              <w:rPr>
                <w:spacing w:val="-6"/>
              </w:rPr>
              <w:t>者停止作业。</w:t>
            </w:r>
          </w:p>
          <w:p w14:paraId="4497DBB4">
            <w:pPr>
              <w:pStyle w:val="8"/>
              <w:spacing w:before="25" w:line="233" w:lineRule="auto"/>
              <w:ind w:left="110" w:right="45" w:firstLine="355"/>
            </w:pPr>
            <w:r>
              <w:rPr>
                <w:spacing w:val="-2"/>
              </w:rPr>
              <w:t>本条前款所称船舶未按照国务院交通运输主管部门的规定配备船员擅自航行，包括下列情形</w:t>
            </w:r>
            <w:r>
              <w:rPr>
                <w:spacing w:val="-7"/>
              </w:rPr>
              <w:t>：（</w:t>
            </w:r>
            <w:r>
              <w:rPr>
                <w:spacing w:val="-2"/>
              </w:rPr>
              <w:t>一）船舶</w:t>
            </w:r>
            <w:r>
              <w:t xml:space="preserve">  </w:t>
            </w:r>
            <w:r>
              <w:rPr>
                <w:spacing w:val="-2"/>
              </w:rPr>
              <w:t>所配船员的数量低于船舶最低安全配员证书规定的</w:t>
            </w:r>
            <w:r>
              <w:rPr>
                <w:spacing w:val="-3"/>
              </w:rPr>
              <w:t>定额要求</w:t>
            </w:r>
            <w:r>
              <w:rPr>
                <w:spacing w:val="-29"/>
              </w:rPr>
              <w:t>；（</w:t>
            </w:r>
            <w:r>
              <w:rPr>
                <w:spacing w:val="-3"/>
              </w:rPr>
              <w:t>二）船舶未持有有效的船舶最低安全配员证书。</w:t>
            </w:r>
          </w:p>
        </w:tc>
        <w:tc>
          <w:tcPr>
            <w:tcW w:w="1043" w:type="dxa"/>
            <w:vAlign w:val="top"/>
          </w:tcPr>
          <w:p w14:paraId="290DB548">
            <w:pPr>
              <w:spacing w:line="264" w:lineRule="auto"/>
              <w:rPr>
                <w:rFonts w:ascii="Arial"/>
                <w:sz w:val="21"/>
              </w:rPr>
            </w:pPr>
          </w:p>
          <w:p w14:paraId="4400EAA8">
            <w:pPr>
              <w:spacing w:line="264" w:lineRule="auto"/>
              <w:rPr>
                <w:rFonts w:ascii="Arial"/>
                <w:sz w:val="21"/>
              </w:rPr>
            </w:pPr>
          </w:p>
          <w:p w14:paraId="735872EF">
            <w:pPr>
              <w:spacing w:line="264" w:lineRule="auto"/>
              <w:rPr>
                <w:rFonts w:ascii="Arial"/>
                <w:sz w:val="21"/>
              </w:rPr>
            </w:pPr>
          </w:p>
          <w:p w14:paraId="08357ADE">
            <w:pPr>
              <w:spacing w:line="264" w:lineRule="auto"/>
              <w:rPr>
                <w:rFonts w:ascii="Arial"/>
                <w:sz w:val="21"/>
              </w:rPr>
            </w:pPr>
          </w:p>
          <w:p w14:paraId="7DCA0A4D">
            <w:pPr>
              <w:spacing w:line="265" w:lineRule="auto"/>
              <w:rPr>
                <w:rFonts w:ascii="Arial"/>
                <w:sz w:val="21"/>
              </w:rPr>
            </w:pPr>
          </w:p>
          <w:p w14:paraId="3BAB882F">
            <w:pPr>
              <w:spacing w:line="265" w:lineRule="auto"/>
              <w:rPr>
                <w:rFonts w:ascii="Arial"/>
                <w:sz w:val="21"/>
              </w:rPr>
            </w:pPr>
          </w:p>
          <w:p w14:paraId="3296731C">
            <w:pPr>
              <w:spacing w:line="265" w:lineRule="auto"/>
              <w:rPr>
                <w:rFonts w:ascii="Arial"/>
                <w:sz w:val="21"/>
              </w:rPr>
            </w:pPr>
          </w:p>
          <w:p w14:paraId="0BB6A7F5">
            <w:pPr>
              <w:spacing w:line="265" w:lineRule="auto"/>
              <w:rPr>
                <w:rFonts w:ascii="Arial"/>
                <w:sz w:val="21"/>
              </w:rPr>
            </w:pPr>
          </w:p>
          <w:p w14:paraId="1B054E4F">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7EA69891">
            <w:pPr>
              <w:spacing w:line="248" w:lineRule="auto"/>
              <w:rPr>
                <w:rFonts w:ascii="Arial"/>
                <w:sz w:val="21"/>
              </w:rPr>
            </w:pPr>
          </w:p>
          <w:p w14:paraId="02637952">
            <w:pPr>
              <w:spacing w:line="248" w:lineRule="auto"/>
              <w:rPr>
                <w:rFonts w:ascii="Arial"/>
                <w:sz w:val="21"/>
              </w:rPr>
            </w:pPr>
          </w:p>
          <w:p w14:paraId="5E857C53">
            <w:pPr>
              <w:spacing w:line="248" w:lineRule="auto"/>
              <w:rPr>
                <w:rFonts w:ascii="Arial"/>
                <w:sz w:val="21"/>
              </w:rPr>
            </w:pPr>
          </w:p>
          <w:p w14:paraId="57C9B5C1">
            <w:pPr>
              <w:spacing w:line="248" w:lineRule="auto"/>
              <w:rPr>
                <w:rFonts w:ascii="Arial"/>
                <w:sz w:val="21"/>
              </w:rPr>
            </w:pPr>
          </w:p>
          <w:p w14:paraId="34A2A47C">
            <w:pPr>
              <w:spacing w:line="248" w:lineRule="auto"/>
              <w:rPr>
                <w:rFonts w:ascii="Arial"/>
                <w:sz w:val="21"/>
              </w:rPr>
            </w:pPr>
          </w:p>
          <w:p w14:paraId="4056384B">
            <w:pPr>
              <w:spacing w:line="249" w:lineRule="auto"/>
              <w:rPr>
                <w:rFonts w:ascii="Arial"/>
                <w:sz w:val="21"/>
              </w:rPr>
            </w:pPr>
          </w:p>
          <w:p w14:paraId="3C1E1B9B">
            <w:pPr>
              <w:spacing w:line="249" w:lineRule="auto"/>
              <w:rPr>
                <w:rFonts w:ascii="Arial"/>
                <w:sz w:val="21"/>
              </w:rPr>
            </w:pPr>
          </w:p>
          <w:p w14:paraId="50698413">
            <w:pPr>
              <w:spacing w:line="249" w:lineRule="auto"/>
              <w:rPr>
                <w:rFonts w:ascii="Arial"/>
                <w:sz w:val="21"/>
              </w:rPr>
            </w:pPr>
          </w:p>
          <w:p w14:paraId="4543A68E">
            <w:pPr>
              <w:spacing w:line="249" w:lineRule="auto"/>
              <w:rPr>
                <w:rFonts w:ascii="Arial"/>
                <w:sz w:val="21"/>
              </w:rPr>
            </w:pPr>
          </w:p>
          <w:p w14:paraId="7E41DA0D">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C10A445">
            <w:pPr>
              <w:spacing w:line="268" w:lineRule="auto"/>
              <w:rPr>
                <w:rFonts w:ascii="Arial"/>
                <w:sz w:val="21"/>
              </w:rPr>
            </w:pPr>
          </w:p>
          <w:p w14:paraId="7C9A29CC">
            <w:pPr>
              <w:spacing w:line="268" w:lineRule="auto"/>
              <w:rPr>
                <w:rFonts w:ascii="Arial"/>
                <w:sz w:val="21"/>
              </w:rPr>
            </w:pPr>
          </w:p>
          <w:p w14:paraId="0BDE05F1">
            <w:pPr>
              <w:spacing w:line="268" w:lineRule="auto"/>
              <w:rPr>
                <w:rFonts w:ascii="Arial"/>
                <w:sz w:val="21"/>
              </w:rPr>
            </w:pPr>
          </w:p>
          <w:p w14:paraId="73DE928A">
            <w:pPr>
              <w:spacing w:line="268" w:lineRule="auto"/>
              <w:rPr>
                <w:rFonts w:ascii="Arial"/>
                <w:sz w:val="21"/>
              </w:rPr>
            </w:pPr>
          </w:p>
          <w:p w14:paraId="4DE2B386">
            <w:pPr>
              <w:spacing w:line="269" w:lineRule="auto"/>
              <w:rPr>
                <w:rFonts w:ascii="Arial"/>
                <w:sz w:val="21"/>
              </w:rPr>
            </w:pPr>
          </w:p>
          <w:p w14:paraId="2BA077D5">
            <w:pPr>
              <w:spacing w:line="269" w:lineRule="auto"/>
              <w:rPr>
                <w:rFonts w:ascii="Arial"/>
                <w:sz w:val="21"/>
              </w:rPr>
            </w:pPr>
          </w:p>
          <w:p w14:paraId="38EABC9C">
            <w:pPr>
              <w:spacing w:line="269" w:lineRule="auto"/>
              <w:rPr>
                <w:rFonts w:ascii="Arial"/>
                <w:sz w:val="21"/>
              </w:rPr>
            </w:pPr>
          </w:p>
          <w:p w14:paraId="22118FA4">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353AE638">
      <w:pPr>
        <w:pStyle w:val="2"/>
      </w:pPr>
    </w:p>
    <w:p w14:paraId="55E179B4">
      <w:pPr>
        <w:sectPr>
          <w:footerReference r:id="rId172" w:type="default"/>
          <w:pgSz w:w="16839" w:h="11906"/>
          <w:pgMar w:top="1012" w:right="788" w:bottom="967" w:left="787" w:header="0" w:footer="768" w:gutter="0"/>
          <w:cols w:space="720" w:num="1"/>
        </w:sectPr>
      </w:pPr>
    </w:p>
    <w:p w14:paraId="43DC94ED">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430E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41" w:type="dxa"/>
            <w:vMerge w:val="restart"/>
            <w:tcBorders>
              <w:bottom w:val="nil"/>
            </w:tcBorders>
            <w:vAlign w:val="top"/>
          </w:tcPr>
          <w:p w14:paraId="79C6096B">
            <w:pPr>
              <w:pStyle w:val="8"/>
              <w:spacing w:before="267" w:line="221" w:lineRule="auto"/>
              <w:ind w:left="142"/>
            </w:pPr>
            <w:r>
              <w:rPr>
                <w:b/>
                <w:bCs/>
                <w:spacing w:val="-4"/>
              </w:rPr>
              <w:t>序号</w:t>
            </w:r>
          </w:p>
        </w:tc>
        <w:tc>
          <w:tcPr>
            <w:tcW w:w="1136" w:type="dxa"/>
            <w:vMerge w:val="restart"/>
            <w:tcBorders>
              <w:bottom w:val="nil"/>
            </w:tcBorders>
            <w:vAlign w:val="top"/>
          </w:tcPr>
          <w:p w14:paraId="5E128DAB">
            <w:pPr>
              <w:pStyle w:val="8"/>
              <w:spacing w:before="267" w:line="220" w:lineRule="auto"/>
              <w:ind w:left="208"/>
            </w:pPr>
            <w:r>
              <w:rPr>
                <w:b/>
                <w:bCs/>
                <w:spacing w:val="-4"/>
              </w:rPr>
              <w:t>事项名称</w:t>
            </w:r>
          </w:p>
        </w:tc>
        <w:tc>
          <w:tcPr>
            <w:tcW w:w="1136" w:type="dxa"/>
            <w:vMerge w:val="restart"/>
            <w:tcBorders>
              <w:bottom w:val="nil"/>
            </w:tcBorders>
            <w:vAlign w:val="top"/>
          </w:tcPr>
          <w:p w14:paraId="6936A731">
            <w:pPr>
              <w:pStyle w:val="8"/>
              <w:spacing w:before="267" w:line="219" w:lineRule="auto"/>
              <w:ind w:left="210"/>
            </w:pPr>
            <w:r>
              <w:rPr>
                <w:b/>
                <w:bCs/>
                <w:spacing w:val="-4"/>
              </w:rPr>
              <w:t>职权类型</w:t>
            </w:r>
          </w:p>
        </w:tc>
        <w:tc>
          <w:tcPr>
            <w:tcW w:w="8806" w:type="dxa"/>
            <w:vMerge w:val="restart"/>
            <w:tcBorders>
              <w:bottom w:val="nil"/>
            </w:tcBorders>
            <w:vAlign w:val="top"/>
          </w:tcPr>
          <w:p w14:paraId="101AAE7D">
            <w:pPr>
              <w:pStyle w:val="8"/>
              <w:spacing w:before="267" w:line="219" w:lineRule="auto"/>
              <w:ind w:left="4050"/>
            </w:pPr>
            <w:r>
              <w:rPr>
                <w:b/>
                <w:bCs/>
                <w:spacing w:val="-5"/>
              </w:rPr>
              <w:t>实施依据</w:t>
            </w:r>
          </w:p>
        </w:tc>
        <w:tc>
          <w:tcPr>
            <w:tcW w:w="3538" w:type="dxa"/>
            <w:gridSpan w:val="3"/>
            <w:vAlign w:val="top"/>
          </w:tcPr>
          <w:p w14:paraId="3EC51C61">
            <w:pPr>
              <w:pStyle w:val="8"/>
              <w:spacing w:before="92" w:line="220" w:lineRule="auto"/>
              <w:ind w:left="1415"/>
            </w:pPr>
            <w:r>
              <w:rPr>
                <w:b/>
                <w:bCs/>
                <w:spacing w:val="-5"/>
              </w:rPr>
              <w:t>实施主体</w:t>
            </w:r>
          </w:p>
        </w:tc>
      </w:tr>
      <w:tr w14:paraId="7167E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7AA5DDFA">
            <w:pPr>
              <w:rPr>
                <w:rFonts w:ascii="Arial"/>
                <w:sz w:val="21"/>
              </w:rPr>
            </w:pPr>
          </w:p>
        </w:tc>
        <w:tc>
          <w:tcPr>
            <w:tcW w:w="1136" w:type="dxa"/>
            <w:vMerge w:val="continue"/>
            <w:tcBorders>
              <w:top w:val="nil"/>
            </w:tcBorders>
            <w:vAlign w:val="top"/>
          </w:tcPr>
          <w:p w14:paraId="3709E26B">
            <w:pPr>
              <w:rPr>
                <w:rFonts w:ascii="Arial"/>
                <w:sz w:val="21"/>
              </w:rPr>
            </w:pPr>
          </w:p>
        </w:tc>
        <w:tc>
          <w:tcPr>
            <w:tcW w:w="1136" w:type="dxa"/>
            <w:vMerge w:val="continue"/>
            <w:tcBorders>
              <w:top w:val="nil"/>
            </w:tcBorders>
            <w:vAlign w:val="top"/>
          </w:tcPr>
          <w:p w14:paraId="0FBD3817">
            <w:pPr>
              <w:rPr>
                <w:rFonts w:ascii="Arial"/>
                <w:sz w:val="21"/>
              </w:rPr>
            </w:pPr>
          </w:p>
        </w:tc>
        <w:tc>
          <w:tcPr>
            <w:tcW w:w="8806" w:type="dxa"/>
            <w:vMerge w:val="continue"/>
            <w:tcBorders>
              <w:top w:val="nil"/>
            </w:tcBorders>
            <w:vAlign w:val="top"/>
          </w:tcPr>
          <w:p w14:paraId="14D41298">
            <w:pPr>
              <w:rPr>
                <w:rFonts w:ascii="Arial"/>
                <w:sz w:val="21"/>
              </w:rPr>
            </w:pPr>
          </w:p>
        </w:tc>
        <w:tc>
          <w:tcPr>
            <w:tcW w:w="1043" w:type="dxa"/>
            <w:vAlign w:val="top"/>
          </w:tcPr>
          <w:p w14:paraId="18C6D6B8">
            <w:pPr>
              <w:pStyle w:val="8"/>
              <w:spacing w:before="87" w:line="219" w:lineRule="auto"/>
              <w:ind w:left="171"/>
            </w:pPr>
            <w:r>
              <w:rPr>
                <w:b/>
                <w:bCs/>
                <w:spacing w:val="-5"/>
              </w:rPr>
              <w:t>责任部门</w:t>
            </w:r>
          </w:p>
        </w:tc>
        <w:tc>
          <w:tcPr>
            <w:tcW w:w="1448" w:type="dxa"/>
            <w:vAlign w:val="top"/>
          </w:tcPr>
          <w:p w14:paraId="6381A6BF">
            <w:pPr>
              <w:pStyle w:val="8"/>
              <w:spacing w:before="87" w:line="219" w:lineRule="auto"/>
              <w:ind w:left="187"/>
            </w:pPr>
            <w:r>
              <w:rPr>
                <w:b/>
                <w:bCs/>
                <w:spacing w:val="-3"/>
              </w:rPr>
              <w:t>第一责任层级</w:t>
            </w:r>
          </w:p>
        </w:tc>
        <w:tc>
          <w:tcPr>
            <w:tcW w:w="1047" w:type="dxa"/>
            <w:vAlign w:val="top"/>
          </w:tcPr>
          <w:p w14:paraId="5AEA6A1C">
            <w:pPr>
              <w:pStyle w:val="8"/>
              <w:spacing w:before="87" w:line="219" w:lineRule="auto"/>
              <w:ind w:left="165"/>
            </w:pPr>
            <w:r>
              <w:rPr>
                <w:b/>
                <w:bCs/>
                <w:spacing w:val="-4"/>
              </w:rPr>
              <w:t>承办机构</w:t>
            </w:r>
          </w:p>
        </w:tc>
      </w:tr>
      <w:tr w14:paraId="790E7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641" w:type="dxa"/>
            <w:vAlign w:val="top"/>
          </w:tcPr>
          <w:p w14:paraId="2977ABAE">
            <w:pPr>
              <w:spacing w:line="287" w:lineRule="auto"/>
              <w:rPr>
                <w:rFonts w:ascii="Arial"/>
                <w:sz w:val="21"/>
              </w:rPr>
            </w:pPr>
          </w:p>
          <w:p w14:paraId="3379EF2E">
            <w:pPr>
              <w:spacing w:line="287" w:lineRule="auto"/>
              <w:rPr>
                <w:rFonts w:ascii="Arial"/>
                <w:sz w:val="21"/>
              </w:rPr>
            </w:pPr>
          </w:p>
          <w:p w14:paraId="72279119">
            <w:pPr>
              <w:spacing w:line="287" w:lineRule="auto"/>
              <w:rPr>
                <w:rFonts w:ascii="Arial"/>
                <w:sz w:val="21"/>
              </w:rPr>
            </w:pPr>
          </w:p>
          <w:p w14:paraId="719F23EF">
            <w:pPr>
              <w:spacing w:line="288" w:lineRule="auto"/>
              <w:rPr>
                <w:rFonts w:ascii="Arial"/>
                <w:sz w:val="21"/>
              </w:rPr>
            </w:pPr>
          </w:p>
          <w:p w14:paraId="4F8D76CD">
            <w:pPr>
              <w:spacing w:line="288" w:lineRule="auto"/>
              <w:rPr>
                <w:rFonts w:ascii="Arial"/>
                <w:sz w:val="21"/>
              </w:rPr>
            </w:pPr>
          </w:p>
          <w:p w14:paraId="42B2507D">
            <w:pPr>
              <w:pStyle w:val="8"/>
              <w:spacing w:before="59" w:line="184" w:lineRule="auto"/>
              <w:ind w:left="248"/>
            </w:pPr>
            <w:r>
              <w:rPr>
                <w:spacing w:val="-10"/>
              </w:rPr>
              <w:t>14</w:t>
            </w:r>
          </w:p>
        </w:tc>
        <w:tc>
          <w:tcPr>
            <w:tcW w:w="1136" w:type="dxa"/>
            <w:vAlign w:val="top"/>
          </w:tcPr>
          <w:p w14:paraId="769E8766">
            <w:pPr>
              <w:spacing w:line="348" w:lineRule="auto"/>
              <w:rPr>
                <w:rFonts w:ascii="Arial"/>
                <w:sz w:val="21"/>
              </w:rPr>
            </w:pPr>
          </w:p>
          <w:p w14:paraId="1E482C4B">
            <w:pPr>
              <w:spacing w:line="349" w:lineRule="auto"/>
              <w:rPr>
                <w:rFonts w:ascii="Arial"/>
                <w:sz w:val="21"/>
              </w:rPr>
            </w:pPr>
          </w:p>
          <w:p w14:paraId="55462420">
            <w:pPr>
              <w:pStyle w:val="8"/>
              <w:spacing w:before="59" w:line="242" w:lineRule="auto"/>
              <w:ind w:left="109" w:right="104"/>
              <w:jc w:val="both"/>
            </w:pPr>
            <w:r>
              <w:rPr>
                <w:spacing w:val="3"/>
              </w:rPr>
              <w:t>对未取得适</w:t>
            </w:r>
            <w:r>
              <w:rPr>
                <w:spacing w:val="1"/>
              </w:rPr>
              <w:t xml:space="preserve"> </w:t>
            </w:r>
            <w:r>
              <w:rPr>
                <w:spacing w:val="3"/>
              </w:rPr>
              <w:t>任证书或者</w:t>
            </w:r>
            <w:r>
              <w:rPr>
                <w:spacing w:val="1"/>
              </w:rPr>
              <w:t xml:space="preserve"> </w:t>
            </w:r>
            <w:r>
              <w:rPr>
                <w:spacing w:val="3"/>
              </w:rPr>
              <w:t>其他适任证</w:t>
            </w:r>
            <w:r>
              <w:rPr>
                <w:spacing w:val="1"/>
              </w:rPr>
              <w:t xml:space="preserve"> </w:t>
            </w:r>
            <w:r>
              <w:rPr>
                <w:spacing w:val="3"/>
              </w:rPr>
              <w:t>件的人员擅</w:t>
            </w:r>
            <w:r>
              <w:rPr>
                <w:spacing w:val="1"/>
              </w:rPr>
              <w:t xml:space="preserve"> </w:t>
            </w:r>
            <w:r>
              <w:rPr>
                <w:spacing w:val="3"/>
              </w:rPr>
              <w:t>自从事船舶</w:t>
            </w:r>
            <w:r>
              <w:rPr>
                <w:spacing w:val="1"/>
              </w:rPr>
              <w:t xml:space="preserve"> </w:t>
            </w:r>
            <w:r>
              <w:rPr>
                <w:spacing w:val="3"/>
              </w:rPr>
              <w:t>航行行为的</w:t>
            </w:r>
            <w:r>
              <w:rPr>
                <w:spacing w:val="1"/>
              </w:rPr>
              <w:t xml:space="preserve"> </w:t>
            </w:r>
            <w:r>
              <w:rPr>
                <w:spacing w:val="-4"/>
              </w:rPr>
              <w:t>行政处罚</w:t>
            </w:r>
          </w:p>
        </w:tc>
        <w:tc>
          <w:tcPr>
            <w:tcW w:w="1136" w:type="dxa"/>
            <w:vAlign w:val="top"/>
          </w:tcPr>
          <w:p w14:paraId="541D4579">
            <w:pPr>
              <w:spacing w:line="282" w:lineRule="auto"/>
              <w:rPr>
                <w:rFonts w:ascii="Arial"/>
                <w:sz w:val="21"/>
              </w:rPr>
            </w:pPr>
          </w:p>
          <w:p w14:paraId="6690E329">
            <w:pPr>
              <w:spacing w:line="282" w:lineRule="auto"/>
              <w:rPr>
                <w:rFonts w:ascii="Arial"/>
                <w:sz w:val="21"/>
              </w:rPr>
            </w:pPr>
          </w:p>
          <w:p w14:paraId="6C4CEC11">
            <w:pPr>
              <w:spacing w:line="282" w:lineRule="auto"/>
              <w:rPr>
                <w:rFonts w:ascii="Arial"/>
                <w:sz w:val="21"/>
              </w:rPr>
            </w:pPr>
          </w:p>
          <w:p w14:paraId="628BE95D">
            <w:pPr>
              <w:spacing w:line="282" w:lineRule="auto"/>
              <w:rPr>
                <w:rFonts w:ascii="Arial"/>
                <w:sz w:val="21"/>
              </w:rPr>
            </w:pPr>
          </w:p>
          <w:p w14:paraId="606A4C4C">
            <w:pPr>
              <w:spacing w:line="282" w:lineRule="auto"/>
              <w:rPr>
                <w:rFonts w:ascii="Arial"/>
                <w:sz w:val="21"/>
              </w:rPr>
            </w:pPr>
          </w:p>
          <w:p w14:paraId="173AC84D">
            <w:pPr>
              <w:pStyle w:val="8"/>
              <w:spacing w:before="58" w:line="220" w:lineRule="auto"/>
              <w:ind w:left="114"/>
            </w:pPr>
            <w:r>
              <w:rPr>
                <w:spacing w:val="-7"/>
              </w:rPr>
              <w:t>行政处罚</w:t>
            </w:r>
          </w:p>
        </w:tc>
        <w:tc>
          <w:tcPr>
            <w:tcW w:w="8806" w:type="dxa"/>
            <w:vAlign w:val="top"/>
          </w:tcPr>
          <w:p w14:paraId="3E79C55B">
            <w:pPr>
              <w:pStyle w:val="8"/>
              <w:spacing w:before="37" w:line="219" w:lineRule="auto"/>
              <w:ind w:left="476"/>
            </w:pPr>
            <w:r>
              <w:rPr>
                <w:b/>
                <w:bCs/>
                <w:spacing w:val="-6"/>
              </w:rPr>
              <w:t>1.《中华人民共和国内河交通安全管理条例》</w:t>
            </w:r>
          </w:p>
          <w:p w14:paraId="1463BFF8">
            <w:pPr>
              <w:pStyle w:val="8"/>
              <w:spacing w:before="26" w:line="237" w:lineRule="auto"/>
              <w:ind w:left="114" w:right="151" w:firstLine="351"/>
            </w:pPr>
            <w:r>
              <w:rPr>
                <w:spacing w:val="-2"/>
              </w:rPr>
              <w:t>第九条  船员经水上交通安全专业培训，其中客船和载运危险货物船舶的船员还应当经相应的特</w:t>
            </w:r>
            <w:r>
              <w:rPr>
                <w:spacing w:val="-3"/>
              </w:rPr>
              <w:t>殊培训，</w:t>
            </w:r>
            <w:r>
              <w:t xml:space="preserve"> </w:t>
            </w:r>
            <w:r>
              <w:rPr>
                <w:spacing w:val="-2"/>
              </w:rPr>
              <w:t>并经海事管理机构考试合格，取得相应的适任证书或者其他适任证件，方可担任船员职</w:t>
            </w:r>
            <w:r>
              <w:rPr>
                <w:spacing w:val="-3"/>
              </w:rPr>
              <w:t>务。严禁未取得适任证</w:t>
            </w:r>
            <w:r>
              <w:t xml:space="preserve"> </w:t>
            </w:r>
            <w:r>
              <w:rPr>
                <w:spacing w:val="-3"/>
              </w:rPr>
              <w:t>书或者其他适任证件的船员上岗。</w:t>
            </w:r>
          </w:p>
          <w:p w14:paraId="137FDF7F">
            <w:pPr>
              <w:pStyle w:val="8"/>
              <w:spacing w:before="26" w:line="219" w:lineRule="auto"/>
              <w:ind w:left="465"/>
            </w:pPr>
            <w:r>
              <w:rPr>
                <w:spacing w:val="-2"/>
              </w:rPr>
              <w:t>船员应当遵守职业道德，提高业务素质，严格依法</w:t>
            </w:r>
            <w:r>
              <w:rPr>
                <w:spacing w:val="-3"/>
              </w:rPr>
              <w:t>履行职责。</w:t>
            </w:r>
          </w:p>
          <w:p w14:paraId="10877712">
            <w:pPr>
              <w:pStyle w:val="8"/>
              <w:spacing w:before="25" w:line="238" w:lineRule="auto"/>
              <w:ind w:left="112" w:right="151" w:firstLine="353"/>
            </w:pPr>
            <w:r>
              <w:rPr>
                <w:spacing w:val="-2"/>
              </w:rPr>
              <w:t>第六十六条  违反本条例的规定，未经考试合格并取得适任证书或者其他适任证件的人员擅</w:t>
            </w:r>
            <w:r>
              <w:rPr>
                <w:spacing w:val="-3"/>
              </w:rPr>
              <w:t>自从事船舶航</w:t>
            </w:r>
            <w:r>
              <w:t xml:space="preserve"> </w:t>
            </w:r>
            <w:r>
              <w:rPr>
                <w:spacing w:val="-2"/>
              </w:rPr>
              <w:t>行的，由海事管理机构责令其立即离岗，对直接责任人员处2000元以上2万元以下的罚款，并对聘用单位处</w:t>
            </w:r>
            <w:r>
              <w:rPr>
                <w:spacing w:val="-3"/>
              </w:rPr>
              <w:t>1万</w:t>
            </w:r>
            <w:r>
              <w:t xml:space="preserve"> </w:t>
            </w:r>
            <w:r>
              <w:rPr>
                <w:spacing w:val="-3"/>
              </w:rPr>
              <w:t>元以上10万元以下的罚款。</w:t>
            </w:r>
          </w:p>
          <w:p w14:paraId="2E4D7D84">
            <w:pPr>
              <w:pStyle w:val="8"/>
              <w:spacing w:before="25" w:line="219" w:lineRule="auto"/>
              <w:ind w:left="467"/>
            </w:pPr>
            <w:r>
              <w:rPr>
                <w:b/>
                <w:bCs/>
                <w:spacing w:val="-4"/>
              </w:rPr>
              <w:t>2.《中华人民共和国船员条例》</w:t>
            </w:r>
          </w:p>
          <w:p w14:paraId="084C2740">
            <w:pPr>
              <w:pStyle w:val="8"/>
              <w:spacing w:before="26" w:line="219" w:lineRule="auto"/>
              <w:ind w:left="470"/>
            </w:pPr>
            <w:r>
              <w:rPr>
                <w:spacing w:val="-2"/>
              </w:rPr>
              <w:t>第二十三条第二款  船员用人单位不得招用未取得本条例规定证件的人员</w:t>
            </w:r>
            <w:r>
              <w:rPr>
                <w:spacing w:val="-3"/>
              </w:rPr>
              <w:t>上船工作。</w:t>
            </w:r>
          </w:p>
          <w:p w14:paraId="64C7E3DE">
            <w:pPr>
              <w:pStyle w:val="8"/>
              <w:spacing w:before="27" w:line="219" w:lineRule="auto"/>
              <w:ind w:left="474"/>
            </w:pPr>
            <w:r>
              <w:rPr>
                <w:b/>
                <w:bCs/>
                <w:spacing w:val="-4"/>
              </w:rPr>
              <w:t>3.《湖南省水上交通安全条例》</w:t>
            </w:r>
          </w:p>
          <w:p w14:paraId="546340F8">
            <w:pPr>
              <w:pStyle w:val="8"/>
              <w:spacing w:before="27" w:line="223" w:lineRule="auto"/>
              <w:ind w:left="110" w:right="148" w:firstLine="360"/>
            </w:pPr>
            <w:r>
              <w:rPr>
                <w:spacing w:val="-2"/>
              </w:rPr>
              <w:t>第十条第一款  担任船员职务应当取得相应的适任证书或者其他适任证件,驾驶船舶时,应当随身</w:t>
            </w:r>
            <w:r>
              <w:rPr>
                <w:spacing w:val="-3"/>
              </w:rPr>
              <w:t>携带船员</w:t>
            </w:r>
            <w:r>
              <w:t xml:space="preserve"> </w:t>
            </w:r>
            <w:r>
              <w:rPr>
                <w:spacing w:val="-2"/>
              </w:rPr>
              <w:t>适任证书或者其他适任证件。任何单位和个人不得聘用无适任证书</w:t>
            </w:r>
            <w:r>
              <w:rPr>
                <w:spacing w:val="-3"/>
              </w:rPr>
              <w:t>或者其他适任证件的人员担任船员职务。</w:t>
            </w:r>
          </w:p>
        </w:tc>
        <w:tc>
          <w:tcPr>
            <w:tcW w:w="1043" w:type="dxa"/>
            <w:vAlign w:val="top"/>
          </w:tcPr>
          <w:p w14:paraId="760E722D">
            <w:pPr>
              <w:spacing w:line="258" w:lineRule="auto"/>
              <w:rPr>
                <w:rFonts w:ascii="Arial"/>
                <w:sz w:val="21"/>
              </w:rPr>
            </w:pPr>
          </w:p>
          <w:p w14:paraId="31F0B2F3">
            <w:pPr>
              <w:spacing w:line="258" w:lineRule="auto"/>
              <w:rPr>
                <w:rFonts w:ascii="Arial"/>
                <w:sz w:val="21"/>
              </w:rPr>
            </w:pPr>
          </w:p>
          <w:p w14:paraId="1FC01874">
            <w:pPr>
              <w:spacing w:line="258" w:lineRule="auto"/>
              <w:rPr>
                <w:rFonts w:ascii="Arial"/>
                <w:sz w:val="21"/>
              </w:rPr>
            </w:pPr>
          </w:p>
          <w:p w14:paraId="1D0CAD87">
            <w:pPr>
              <w:spacing w:line="258" w:lineRule="auto"/>
              <w:rPr>
                <w:rFonts w:ascii="Arial"/>
                <w:sz w:val="21"/>
              </w:rPr>
            </w:pPr>
          </w:p>
          <w:p w14:paraId="3D3A68B9">
            <w:pPr>
              <w:spacing w:line="258" w:lineRule="auto"/>
              <w:rPr>
                <w:rFonts w:ascii="Arial"/>
                <w:sz w:val="21"/>
              </w:rPr>
            </w:pPr>
          </w:p>
          <w:p w14:paraId="094AF76D">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2C744E6">
            <w:pPr>
              <w:spacing w:line="282" w:lineRule="auto"/>
              <w:rPr>
                <w:rFonts w:ascii="Arial"/>
                <w:sz w:val="21"/>
              </w:rPr>
            </w:pPr>
          </w:p>
          <w:p w14:paraId="4DBEA4E1">
            <w:pPr>
              <w:spacing w:line="282" w:lineRule="auto"/>
              <w:rPr>
                <w:rFonts w:ascii="Arial"/>
                <w:sz w:val="21"/>
              </w:rPr>
            </w:pPr>
          </w:p>
          <w:p w14:paraId="0A7FA95E">
            <w:pPr>
              <w:spacing w:line="282" w:lineRule="auto"/>
              <w:rPr>
                <w:rFonts w:ascii="Arial"/>
                <w:sz w:val="21"/>
              </w:rPr>
            </w:pPr>
          </w:p>
          <w:p w14:paraId="6471CCEB">
            <w:pPr>
              <w:spacing w:line="282" w:lineRule="auto"/>
              <w:rPr>
                <w:rFonts w:ascii="Arial"/>
                <w:sz w:val="21"/>
              </w:rPr>
            </w:pPr>
          </w:p>
          <w:p w14:paraId="195AEBB1">
            <w:pPr>
              <w:spacing w:line="282" w:lineRule="auto"/>
              <w:rPr>
                <w:rFonts w:ascii="Arial"/>
                <w:sz w:val="21"/>
              </w:rPr>
            </w:pPr>
          </w:p>
          <w:p w14:paraId="52474B60">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AAA4B63">
            <w:pPr>
              <w:spacing w:line="263" w:lineRule="auto"/>
              <w:rPr>
                <w:rFonts w:ascii="Arial"/>
                <w:sz w:val="21"/>
              </w:rPr>
            </w:pPr>
          </w:p>
          <w:p w14:paraId="797043E9">
            <w:pPr>
              <w:spacing w:line="263" w:lineRule="auto"/>
              <w:rPr>
                <w:rFonts w:ascii="Arial"/>
                <w:sz w:val="21"/>
              </w:rPr>
            </w:pPr>
          </w:p>
          <w:p w14:paraId="4BF5876A">
            <w:pPr>
              <w:spacing w:line="263" w:lineRule="auto"/>
              <w:rPr>
                <w:rFonts w:ascii="Arial"/>
                <w:sz w:val="21"/>
              </w:rPr>
            </w:pPr>
          </w:p>
          <w:p w14:paraId="2234BF41">
            <w:pPr>
              <w:spacing w:line="264" w:lineRule="auto"/>
              <w:rPr>
                <w:rFonts w:ascii="Arial"/>
                <w:sz w:val="21"/>
              </w:rPr>
            </w:pPr>
          </w:p>
          <w:p w14:paraId="21462DBA">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4AE74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3" w:hRule="atLeast"/>
        </w:trPr>
        <w:tc>
          <w:tcPr>
            <w:tcW w:w="641" w:type="dxa"/>
            <w:vAlign w:val="top"/>
          </w:tcPr>
          <w:p w14:paraId="509A969A">
            <w:pPr>
              <w:spacing w:line="264" w:lineRule="auto"/>
              <w:rPr>
                <w:rFonts w:ascii="Arial"/>
                <w:sz w:val="21"/>
              </w:rPr>
            </w:pPr>
          </w:p>
          <w:p w14:paraId="2D5B5F9C">
            <w:pPr>
              <w:spacing w:line="264" w:lineRule="auto"/>
              <w:rPr>
                <w:rFonts w:ascii="Arial"/>
                <w:sz w:val="21"/>
              </w:rPr>
            </w:pPr>
          </w:p>
          <w:p w14:paraId="2A2BCE35">
            <w:pPr>
              <w:spacing w:line="264" w:lineRule="auto"/>
              <w:rPr>
                <w:rFonts w:ascii="Arial"/>
                <w:sz w:val="21"/>
              </w:rPr>
            </w:pPr>
          </w:p>
          <w:p w14:paraId="783B546F">
            <w:pPr>
              <w:spacing w:line="264" w:lineRule="auto"/>
              <w:rPr>
                <w:rFonts w:ascii="Arial"/>
                <w:sz w:val="21"/>
              </w:rPr>
            </w:pPr>
          </w:p>
          <w:p w14:paraId="22B04999">
            <w:pPr>
              <w:spacing w:line="264" w:lineRule="auto"/>
              <w:rPr>
                <w:rFonts w:ascii="Arial"/>
                <w:sz w:val="21"/>
              </w:rPr>
            </w:pPr>
          </w:p>
          <w:p w14:paraId="12400D1C">
            <w:pPr>
              <w:pStyle w:val="8"/>
              <w:spacing w:before="58" w:line="184" w:lineRule="auto"/>
              <w:ind w:left="248"/>
            </w:pPr>
            <w:r>
              <w:rPr>
                <w:spacing w:val="-10"/>
              </w:rPr>
              <w:t>15</w:t>
            </w:r>
          </w:p>
        </w:tc>
        <w:tc>
          <w:tcPr>
            <w:tcW w:w="1136" w:type="dxa"/>
            <w:vAlign w:val="top"/>
          </w:tcPr>
          <w:p w14:paraId="7B2E52B8">
            <w:pPr>
              <w:spacing w:line="341" w:lineRule="auto"/>
              <w:rPr>
                <w:rFonts w:ascii="Arial"/>
                <w:sz w:val="21"/>
              </w:rPr>
            </w:pPr>
          </w:p>
          <w:p w14:paraId="498ECEC7">
            <w:pPr>
              <w:pStyle w:val="8"/>
              <w:spacing w:before="58" w:line="243" w:lineRule="auto"/>
              <w:ind w:left="110" w:right="89" w:hanging="1"/>
              <w:jc w:val="both"/>
            </w:pPr>
            <w:r>
              <w:rPr>
                <w:spacing w:val="3"/>
              </w:rPr>
              <w:t>对未取得船</w:t>
            </w:r>
            <w:r>
              <w:rPr>
                <w:spacing w:val="1"/>
              </w:rPr>
              <w:t xml:space="preserve"> </w:t>
            </w:r>
            <w:r>
              <w:rPr>
                <w:spacing w:val="3"/>
              </w:rPr>
              <w:t>舶污染损害</w:t>
            </w:r>
            <w:r>
              <w:t xml:space="preserve"> </w:t>
            </w:r>
            <w:r>
              <w:rPr>
                <w:spacing w:val="4"/>
              </w:rPr>
              <w:t>责任、沉船</w:t>
            </w:r>
            <w:r>
              <w:t xml:space="preserve"> </w:t>
            </w:r>
            <w:r>
              <w:rPr>
                <w:spacing w:val="3"/>
              </w:rPr>
              <w:t>打捞责任保</w:t>
            </w:r>
            <w:r>
              <w:rPr>
                <w:spacing w:val="2"/>
              </w:rPr>
              <w:t xml:space="preserve"> </w:t>
            </w:r>
            <w:r>
              <w:rPr>
                <w:spacing w:val="3"/>
              </w:rPr>
              <w:t>险文书或者</w:t>
            </w:r>
            <w:r>
              <w:t xml:space="preserve"> </w:t>
            </w:r>
            <w:r>
              <w:rPr>
                <w:spacing w:val="6"/>
              </w:rPr>
              <w:t>财务担保证</w:t>
            </w:r>
            <w:r>
              <w:t xml:space="preserve"> </w:t>
            </w:r>
            <w:r>
              <w:rPr>
                <w:spacing w:val="3"/>
              </w:rPr>
              <w:t>明，逾期不</w:t>
            </w:r>
            <w:r>
              <w:rPr>
                <w:spacing w:val="2"/>
              </w:rPr>
              <w:t xml:space="preserve"> </w:t>
            </w:r>
            <w:r>
              <w:rPr>
                <w:spacing w:val="3"/>
              </w:rPr>
              <w:t>改正的行为</w:t>
            </w:r>
            <w:r>
              <w:t xml:space="preserve"> </w:t>
            </w:r>
            <w:r>
              <w:rPr>
                <w:spacing w:val="-4"/>
              </w:rPr>
              <w:t>的行政处罚</w:t>
            </w:r>
          </w:p>
        </w:tc>
        <w:tc>
          <w:tcPr>
            <w:tcW w:w="1136" w:type="dxa"/>
            <w:vAlign w:val="top"/>
          </w:tcPr>
          <w:p w14:paraId="4CB35C6F">
            <w:pPr>
              <w:spacing w:line="258" w:lineRule="auto"/>
              <w:rPr>
                <w:rFonts w:ascii="Arial"/>
                <w:sz w:val="21"/>
              </w:rPr>
            </w:pPr>
          </w:p>
          <w:p w14:paraId="08E94471">
            <w:pPr>
              <w:spacing w:line="258" w:lineRule="auto"/>
              <w:rPr>
                <w:rFonts w:ascii="Arial"/>
                <w:sz w:val="21"/>
              </w:rPr>
            </w:pPr>
          </w:p>
          <w:p w14:paraId="64534C72">
            <w:pPr>
              <w:spacing w:line="258" w:lineRule="auto"/>
              <w:rPr>
                <w:rFonts w:ascii="Arial"/>
                <w:sz w:val="21"/>
              </w:rPr>
            </w:pPr>
          </w:p>
          <w:p w14:paraId="563F9FCC">
            <w:pPr>
              <w:spacing w:line="259" w:lineRule="auto"/>
              <w:rPr>
                <w:rFonts w:ascii="Arial"/>
                <w:sz w:val="21"/>
              </w:rPr>
            </w:pPr>
          </w:p>
          <w:p w14:paraId="71D4B5EA">
            <w:pPr>
              <w:spacing w:line="259" w:lineRule="auto"/>
              <w:rPr>
                <w:rFonts w:ascii="Arial"/>
                <w:sz w:val="21"/>
              </w:rPr>
            </w:pPr>
          </w:p>
          <w:p w14:paraId="53ABF521">
            <w:pPr>
              <w:pStyle w:val="8"/>
              <w:spacing w:before="59" w:line="220" w:lineRule="auto"/>
              <w:ind w:left="114"/>
            </w:pPr>
            <w:r>
              <w:rPr>
                <w:spacing w:val="-7"/>
              </w:rPr>
              <w:t>行政处罚</w:t>
            </w:r>
          </w:p>
        </w:tc>
        <w:tc>
          <w:tcPr>
            <w:tcW w:w="8806" w:type="dxa"/>
            <w:vAlign w:val="top"/>
          </w:tcPr>
          <w:p w14:paraId="6687C272">
            <w:pPr>
              <w:pStyle w:val="8"/>
              <w:spacing w:before="39" w:line="219" w:lineRule="auto"/>
              <w:ind w:left="471"/>
            </w:pPr>
            <w:r>
              <w:rPr>
                <w:b/>
                <w:bCs/>
                <w:spacing w:val="-8"/>
              </w:rPr>
              <w:t>1.《危险化学品安全管理条例》</w:t>
            </w:r>
          </w:p>
          <w:p w14:paraId="074A55D3">
            <w:pPr>
              <w:pStyle w:val="8"/>
              <w:spacing w:before="25" w:line="233" w:lineRule="auto"/>
              <w:ind w:left="120" w:right="103" w:firstLine="347"/>
            </w:pPr>
            <w:r>
              <w:rPr>
                <w:spacing w:val="-1"/>
              </w:rPr>
              <w:t>第五十七条第二款  通过内河运输危险化学品的船舶，其所有人或者经营人应当取得船舶污染</w:t>
            </w:r>
            <w:r>
              <w:rPr>
                <w:spacing w:val="-2"/>
              </w:rPr>
              <w:t>损害责任保</w:t>
            </w:r>
            <w:r>
              <w:t xml:space="preserve"> </w:t>
            </w:r>
            <w:r>
              <w:rPr>
                <w:spacing w:val="-2"/>
              </w:rPr>
              <w:t>险证书或者财务担保证明。船舶污染损害责任保险证书或者财务</w:t>
            </w:r>
            <w:r>
              <w:rPr>
                <w:spacing w:val="-3"/>
              </w:rPr>
              <w:t>担保证明的副本应当随船携带。</w:t>
            </w:r>
          </w:p>
          <w:p w14:paraId="087D1409">
            <w:pPr>
              <w:pStyle w:val="8"/>
              <w:spacing w:before="27" w:line="237" w:lineRule="auto"/>
              <w:ind w:left="111" w:right="100" w:firstLine="349"/>
            </w:pPr>
            <w:r>
              <w:rPr>
                <w:spacing w:val="-5"/>
              </w:rPr>
              <w:t>第九十二条第一款第（二）项  有下列情形之一的，依照《中华人民共和国内河交通安全管理条例》的规定</w:t>
            </w:r>
            <w:r>
              <w:rPr>
                <w:spacing w:val="18"/>
              </w:rPr>
              <w:t xml:space="preserve"> </w:t>
            </w:r>
            <w:r>
              <w:rPr>
                <w:spacing w:val="-2"/>
              </w:rPr>
              <w:t>处罚</w:t>
            </w:r>
            <w:r>
              <w:rPr>
                <w:spacing w:val="-10"/>
              </w:rPr>
              <w:t>：（</w:t>
            </w:r>
            <w:r>
              <w:rPr>
                <w:spacing w:val="-2"/>
              </w:rPr>
              <w:t>二）通过内河运输危险化学品的船舶的所有人或者经营人未取得船舶污染损害责任保险证书或者财务</w:t>
            </w:r>
            <w:r>
              <w:t xml:space="preserve"> </w:t>
            </w:r>
            <w:r>
              <w:rPr>
                <w:spacing w:val="-5"/>
              </w:rPr>
              <w:t>担保证明的；</w:t>
            </w:r>
          </w:p>
          <w:p w14:paraId="2DBAF60A">
            <w:pPr>
              <w:pStyle w:val="8"/>
              <w:spacing w:before="26" w:line="219" w:lineRule="auto"/>
              <w:ind w:left="463"/>
            </w:pPr>
            <w:r>
              <w:rPr>
                <w:b/>
                <w:bCs/>
                <w:spacing w:val="-6"/>
              </w:rPr>
              <w:t>2.《中华人民共和国内河交通安全管理条例》</w:t>
            </w:r>
          </w:p>
          <w:p w14:paraId="433D65E9">
            <w:pPr>
              <w:pStyle w:val="8"/>
              <w:spacing w:before="25" w:line="233" w:lineRule="auto"/>
              <w:ind w:left="110" w:right="115" w:firstLine="357"/>
            </w:pPr>
            <w:r>
              <w:rPr>
                <w:spacing w:val="-5"/>
              </w:rPr>
              <w:t>第十二条  按照国家规定必须取得船舶污染损害责任、沉船打捞责任的保险文书或者财务保证书的</w:t>
            </w:r>
            <w:r>
              <w:rPr>
                <w:spacing w:val="-6"/>
              </w:rPr>
              <w:t>船舶，其</w:t>
            </w:r>
            <w:r>
              <w:t xml:space="preserve"> </w:t>
            </w:r>
            <w:r>
              <w:rPr>
                <w:spacing w:val="-3"/>
              </w:rPr>
              <w:t>所有人或者经营人必须取得相应的保险文书或者财务担保证明，并随船携带其副本。</w:t>
            </w:r>
          </w:p>
          <w:p w14:paraId="6385F980">
            <w:pPr>
              <w:pStyle w:val="8"/>
              <w:spacing w:before="27" w:line="230" w:lineRule="auto"/>
              <w:ind w:left="112" w:right="54" w:firstLine="356"/>
            </w:pPr>
            <w:r>
              <w:rPr>
                <w:spacing w:val="-2"/>
              </w:rPr>
              <w:t>第六十七条  违反本条例的规定，按照国家规定必须取得船舶污染损害责任、沉船打捞</w:t>
            </w:r>
            <w:r>
              <w:rPr>
                <w:spacing w:val="-3"/>
              </w:rPr>
              <w:t>责任的保险文书或</w:t>
            </w:r>
            <w:r>
              <w:t xml:space="preserve">  </w:t>
            </w:r>
            <w:r>
              <w:rPr>
                <w:spacing w:val="-11"/>
              </w:rPr>
              <w:t>者财务保证书的船舶的所有人或者经营人，未取得船舶污染损害责任、沉船打捞责任保险文书或者财务担保证明的，</w:t>
            </w:r>
            <w:r>
              <w:rPr>
                <w:spacing w:val="14"/>
              </w:rPr>
              <w:t xml:space="preserve"> </w:t>
            </w:r>
            <w:r>
              <w:rPr>
                <w:spacing w:val="-5"/>
              </w:rPr>
              <w:t>由海事管理机构责令限期改正；逾期不改正的，责令停航，并处1万元以上10万元以下的罚款。</w:t>
            </w:r>
          </w:p>
        </w:tc>
        <w:tc>
          <w:tcPr>
            <w:tcW w:w="1043" w:type="dxa"/>
            <w:vAlign w:val="top"/>
          </w:tcPr>
          <w:p w14:paraId="50D07917">
            <w:pPr>
              <w:spacing w:line="293" w:lineRule="auto"/>
              <w:rPr>
                <w:rFonts w:ascii="Arial"/>
                <w:sz w:val="21"/>
              </w:rPr>
            </w:pPr>
          </w:p>
          <w:p w14:paraId="2014A7B8">
            <w:pPr>
              <w:spacing w:line="293" w:lineRule="auto"/>
              <w:rPr>
                <w:rFonts w:ascii="Arial"/>
                <w:sz w:val="21"/>
              </w:rPr>
            </w:pPr>
          </w:p>
          <w:p w14:paraId="76C19BCE">
            <w:pPr>
              <w:spacing w:line="293" w:lineRule="auto"/>
              <w:rPr>
                <w:rFonts w:ascii="Arial"/>
                <w:sz w:val="21"/>
              </w:rPr>
            </w:pPr>
          </w:p>
          <w:p w14:paraId="03739A64">
            <w:pPr>
              <w:spacing w:line="294" w:lineRule="auto"/>
              <w:rPr>
                <w:rFonts w:ascii="Arial"/>
                <w:sz w:val="21"/>
              </w:rPr>
            </w:pPr>
          </w:p>
          <w:p w14:paraId="21A3F7E8">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0ACDBCAA">
            <w:pPr>
              <w:spacing w:line="258" w:lineRule="auto"/>
              <w:rPr>
                <w:rFonts w:ascii="Arial"/>
                <w:sz w:val="21"/>
              </w:rPr>
            </w:pPr>
          </w:p>
          <w:p w14:paraId="3FE88DDC">
            <w:pPr>
              <w:spacing w:line="258" w:lineRule="auto"/>
              <w:rPr>
                <w:rFonts w:ascii="Arial"/>
                <w:sz w:val="21"/>
              </w:rPr>
            </w:pPr>
          </w:p>
          <w:p w14:paraId="41215108">
            <w:pPr>
              <w:spacing w:line="259" w:lineRule="auto"/>
              <w:rPr>
                <w:rFonts w:ascii="Arial"/>
                <w:sz w:val="21"/>
              </w:rPr>
            </w:pPr>
          </w:p>
          <w:p w14:paraId="2C1D1434">
            <w:pPr>
              <w:spacing w:line="259" w:lineRule="auto"/>
              <w:rPr>
                <w:rFonts w:ascii="Arial"/>
                <w:sz w:val="21"/>
              </w:rPr>
            </w:pPr>
          </w:p>
          <w:p w14:paraId="649D9335">
            <w:pPr>
              <w:spacing w:line="259" w:lineRule="auto"/>
              <w:rPr>
                <w:rFonts w:ascii="Arial"/>
                <w:sz w:val="21"/>
              </w:rPr>
            </w:pPr>
          </w:p>
          <w:p w14:paraId="4A14ED74">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3289811">
            <w:pPr>
              <w:spacing w:line="312" w:lineRule="auto"/>
              <w:rPr>
                <w:rFonts w:ascii="Arial"/>
                <w:sz w:val="21"/>
              </w:rPr>
            </w:pPr>
          </w:p>
          <w:p w14:paraId="00F98DFE">
            <w:pPr>
              <w:spacing w:line="312" w:lineRule="auto"/>
              <w:rPr>
                <w:rFonts w:ascii="Arial"/>
                <w:sz w:val="21"/>
              </w:rPr>
            </w:pPr>
          </w:p>
          <w:p w14:paraId="56140BBC">
            <w:pPr>
              <w:spacing w:line="312" w:lineRule="auto"/>
              <w:rPr>
                <w:rFonts w:ascii="Arial"/>
                <w:sz w:val="21"/>
              </w:rPr>
            </w:pPr>
          </w:p>
          <w:p w14:paraId="1CC81A11">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2566C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6" w:hRule="atLeast"/>
        </w:trPr>
        <w:tc>
          <w:tcPr>
            <w:tcW w:w="641" w:type="dxa"/>
            <w:vAlign w:val="top"/>
          </w:tcPr>
          <w:p w14:paraId="3E54DF03">
            <w:pPr>
              <w:spacing w:line="264" w:lineRule="auto"/>
              <w:rPr>
                <w:rFonts w:ascii="Arial"/>
                <w:sz w:val="21"/>
              </w:rPr>
            </w:pPr>
          </w:p>
          <w:p w14:paraId="2A445FA6">
            <w:pPr>
              <w:spacing w:line="265" w:lineRule="auto"/>
              <w:rPr>
                <w:rFonts w:ascii="Arial"/>
                <w:sz w:val="21"/>
              </w:rPr>
            </w:pPr>
          </w:p>
          <w:p w14:paraId="48F4A548">
            <w:pPr>
              <w:spacing w:line="265" w:lineRule="auto"/>
              <w:rPr>
                <w:rFonts w:ascii="Arial"/>
                <w:sz w:val="21"/>
              </w:rPr>
            </w:pPr>
          </w:p>
          <w:p w14:paraId="24597408">
            <w:pPr>
              <w:spacing w:line="265" w:lineRule="auto"/>
              <w:rPr>
                <w:rFonts w:ascii="Arial"/>
                <w:sz w:val="21"/>
              </w:rPr>
            </w:pPr>
          </w:p>
          <w:p w14:paraId="66F53FC4">
            <w:pPr>
              <w:spacing w:line="265" w:lineRule="auto"/>
              <w:rPr>
                <w:rFonts w:ascii="Arial"/>
                <w:sz w:val="21"/>
              </w:rPr>
            </w:pPr>
          </w:p>
          <w:p w14:paraId="37128D6F">
            <w:pPr>
              <w:pStyle w:val="8"/>
              <w:spacing w:before="58" w:line="184" w:lineRule="auto"/>
              <w:ind w:left="248"/>
            </w:pPr>
            <w:r>
              <w:rPr>
                <w:spacing w:val="-10"/>
              </w:rPr>
              <w:t>16</w:t>
            </w:r>
          </w:p>
        </w:tc>
        <w:tc>
          <w:tcPr>
            <w:tcW w:w="1136" w:type="dxa"/>
            <w:vAlign w:val="top"/>
          </w:tcPr>
          <w:p w14:paraId="1C5B9317">
            <w:pPr>
              <w:spacing w:line="290" w:lineRule="auto"/>
              <w:rPr>
                <w:rFonts w:ascii="Arial"/>
                <w:sz w:val="21"/>
              </w:rPr>
            </w:pPr>
          </w:p>
          <w:p w14:paraId="37AC121F">
            <w:pPr>
              <w:spacing w:line="290" w:lineRule="auto"/>
              <w:rPr>
                <w:rFonts w:ascii="Arial"/>
                <w:sz w:val="21"/>
              </w:rPr>
            </w:pPr>
          </w:p>
          <w:p w14:paraId="0493F1EA">
            <w:pPr>
              <w:pStyle w:val="8"/>
              <w:spacing w:before="59" w:line="243" w:lineRule="auto"/>
              <w:ind w:left="109" w:right="46"/>
              <w:jc w:val="both"/>
            </w:pPr>
            <w:r>
              <w:rPr>
                <w:spacing w:val="3"/>
              </w:rPr>
              <w:t>对未按照规</w:t>
            </w:r>
            <w:r>
              <w:rPr>
                <w:spacing w:val="1"/>
              </w:rPr>
              <w:t xml:space="preserve"> </w:t>
            </w:r>
            <w:r>
              <w:rPr>
                <w:spacing w:val="-12"/>
              </w:rPr>
              <w:t>定 悬</w:t>
            </w:r>
            <w:r>
              <w:rPr>
                <w:spacing w:val="-16"/>
              </w:rPr>
              <w:t xml:space="preserve"> </w:t>
            </w:r>
            <w:r>
              <w:rPr>
                <w:spacing w:val="-12"/>
              </w:rPr>
              <w:t>挂</w:t>
            </w:r>
            <w:r>
              <w:rPr>
                <w:spacing w:val="5"/>
              </w:rPr>
              <w:t xml:space="preserve"> </w:t>
            </w:r>
            <w:r>
              <w:rPr>
                <w:spacing w:val="-12"/>
              </w:rPr>
              <w:t>国</w:t>
            </w:r>
            <w:r>
              <w:t xml:space="preserve"> </w:t>
            </w:r>
            <w:r>
              <w:rPr>
                <w:spacing w:val="4"/>
              </w:rPr>
              <w:t>旗，标明船</w:t>
            </w:r>
            <w:r>
              <w:t xml:space="preserve"> </w:t>
            </w:r>
            <w:r>
              <w:rPr>
                <w:spacing w:val="-18"/>
              </w:rPr>
              <w:t>名、船籍港、</w:t>
            </w:r>
            <w:r>
              <w:rPr>
                <w:spacing w:val="2"/>
              </w:rPr>
              <w:t xml:space="preserve"> </w:t>
            </w:r>
            <w:r>
              <w:rPr>
                <w:spacing w:val="3"/>
              </w:rPr>
              <w:t>载重线等行</w:t>
            </w:r>
            <w:r>
              <w:rPr>
                <w:spacing w:val="1"/>
              </w:rPr>
              <w:t xml:space="preserve"> </w:t>
            </w:r>
            <w:r>
              <w:rPr>
                <w:spacing w:val="3"/>
              </w:rPr>
              <w:t>为的行政处</w:t>
            </w:r>
            <w:r>
              <w:rPr>
                <w:spacing w:val="1"/>
              </w:rPr>
              <w:t xml:space="preserve"> </w:t>
            </w:r>
            <w:r>
              <w:t>罚</w:t>
            </w:r>
          </w:p>
        </w:tc>
        <w:tc>
          <w:tcPr>
            <w:tcW w:w="1136" w:type="dxa"/>
            <w:vAlign w:val="top"/>
          </w:tcPr>
          <w:p w14:paraId="325FCB52">
            <w:pPr>
              <w:spacing w:line="259" w:lineRule="auto"/>
              <w:rPr>
                <w:rFonts w:ascii="Arial"/>
                <w:sz w:val="21"/>
              </w:rPr>
            </w:pPr>
          </w:p>
          <w:p w14:paraId="704266EE">
            <w:pPr>
              <w:spacing w:line="259" w:lineRule="auto"/>
              <w:rPr>
                <w:rFonts w:ascii="Arial"/>
                <w:sz w:val="21"/>
              </w:rPr>
            </w:pPr>
          </w:p>
          <w:p w14:paraId="300CE5F1">
            <w:pPr>
              <w:spacing w:line="259" w:lineRule="auto"/>
              <w:rPr>
                <w:rFonts w:ascii="Arial"/>
                <w:sz w:val="21"/>
              </w:rPr>
            </w:pPr>
          </w:p>
          <w:p w14:paraId="361CCCC4">
            <w:pPr>
              <w:spacing w:line="259" w:lineRule="auto"/>
              <w:rPr>
                <w:rFonts w:ascii="Arial"/>
                <w:sz w:val="21"/>
              </w:rPr>
            </w:pPr>
          </w:p>
          <w:p w14:paraId="4E3A77E8">
            <w:pPr>
              <w:spacing w:line="260" w:lineRule="auto"/>
              <w:rPr>
                <w:rFonts w:ascii="Arial"/>
                <w:sz w:val="21"/>
              </w:rPr>
            </w:pPr>
          </w:p>
          <w:p w14:paraId="0B33C491">
            <w:pPr>
              <w:pStyle w:val="8"/>
              <w:spacing w:before="59" w:line="220" w:lineRule="auto"/>
              <w:ind w:left="114"/>
            </w:pPr>
            <w:r>
              <w:rPr>
                <w:spacing w:val="-7"/>
              </w:rPr>
              <w:t>行政处罚</w:t>
            </w:r>
          </w:p>
        </w:tc>
        <w:tc>
          <w:tcPr>
            <w:tcW w:w="8806" w:type="dxa"/>
            <w:vAlign w:val="top"/>
          </w:tcPr>
          <w:p w14:paraId="3DB563CB">
            <w:pPr>
              <w:pStyle w:val="8"/>
              <w:spacing w:before="43" w:line="219" w:lineRule="auto"/>
              <w:ind w:left="481"/>
            </w:pPr>
            <w:r>
              <w:rPr>
                <w:b/>
                <w:bCs/>
                <w:spacing w:val="-9"/>
              </w:rPr>
              <w:t>1.《中华人民共和国内河交通安全管理条例》</w:t>
            </w:r>
          </w:p>
          <w:p w14:paraId="733B5755">
            <w:pPr>
              <w:pStyle w:val="8"/>
              <w:spacing w:before="25" w:line="219" w:lineRule="auto"/>
              <w:ind w:left="468"/>
            </w:pPr>
            <w:r>
              <w:rPr>
                <w:spacing w:val="-3"/>
              </w:rPr>
              <w:t>第十四条第一款  船舶在内河航行，应当悬挂国旗，标明船名、船籍港、载重线。</w:t>
            </w:r>
          </w:p>
          <w:p w14:paraId="2ADFB7BC">
            <w:pPr>
              <w:pStyle w:val="8"/>
              <w:spacing w:before="26" w:line="233" w:lineRule="auto"/>
              <w:ind w:left="112" w:right="151" w:firstLine="356"/>
            </w:pPr>
            <w:r>
              <w:rPr>
                <w:spacing w:val="-2"/>
              </w:rPr>
              <w:t>第十八条  船舶进出内河港口，应当向海事管理机构报告船舶的航次计划、适航状态、船员</w:t>
            </w:r>
            <w:r>
              <w:rPr>
                <w:spacing w:val="-3"/>
              </w:rPr>
              <w:t>配备和载货载</w:t>
            </w:r>
            <w:r>
              <w:t xml:space="preserve"> </w:t>
            </w:r>
            <w:r>
              <w:rPr>
                <w:spacing w:val="-3"/>
              </w:rPr>
              <w:t>客等情况。</w:t>
            </w:r>
          </w:p>
          <w:p w14:paraId="0B1914CE">
            <w:pPr>
              <w:pStyle w:val="8"/>
              <w:spacing w:before="26" w:line="237" w:lineRule="auto"/>
              <w:ind w:left="112" w:right="44" w:firstLine="358"/>
            </w:pPr>
            <w:r>
              <w:rPr>
                <w:spacing w:val="-1"/>
              </w:rPr>
              <w:t>第十九条  下列船舶在内河航行，应当向引航机构申请</w:t>
            </w:r>
            <w:r>
              <w:rPr>
                <w:spacing w:val="-2"/>
              </w:rPr>
              <w:t>引航</w:t>
            </w:r>
            <w:r>
              <w:rPr>
                <w:spacing w:val="-42"/>
              </w:rPr>
              <w:t>：（</w:t>
            </w:r>
            <w:r>
              <w:rPr>
                <w:spacing w:val="-2"/>
              </w:rPr>
              <w:t>一）外国籍船舶</w:t>
            </w:r>
            <w:r>
              <w:rPr>
                <w:spacing w:val="-42"/>
              </w:rPr>
              <w:t>；（</w:t>
            </w:r>
            <w:r>
              <w:rPr>
                <w:spacing w:val="-2"/>
              </w:rPr>
              <w:t>二）1000总吨以上的海</w:t>
            </w:r>
            <w:r>
              <w:rPr>
                <w:spacing w:val="1"/>
              </w:rPr>
              <w:t xml:space="preserve"> </w:t>
            </w:r>
            <w:r>
              <w:rPr>
                <w:spacing w:val="-2"/>
              </w:rPr>
              <w:t>上机动船舶，但船长驾驶同一类型的海上机动船舶在同一内河通航水域航行与上一航次间隔2个月以内的除外；</w:t>
            </w:r>
            <w:r>
              <w:rPr>
                <w:spacing w:val="11"/>
              </w:rPr>
              <w:t xml:space="preserve"> </w:t>
            </w:r>
            <w:r>
              <w:rPr>
                <w:spacing w:val="-2"/>
              </w:rPr>
              <w:t>（三）通航条件受限制的船舶</w:t>
            </w:r>
            <w:r>
              <w:rPr>
                <w:spacing w:val="-11"/>
              </w:rPr>
              <w:t>；（</w:t>
            </w:r>
            <w:r>
              <w:rPr>
                <w:spacing w:val="-2"/>
              </w:rPr>
              <w:t>四）国务院交通主管部门规定应当申请引航的客船、载运危</w:t>
            </w:r>
            <w:r>
              <w:rPr>
                <w:spacing w:val="-3"/>
              </w:rPr>
              <w:t>险货物的船舶。</w:t>
            </w:r>
          </w:p>
          <w:p w14:paraId="42A03176">
            <w:pPr>
              <w:pStyle w:val="8"/>
              <w:spacing w:before="25" w:line="233" w:lineRule="auto"/>
              <w:ind w:left="112" w:right="112" w:firstLine="357"/>
            </w:pPr>
            <w:r>
              <w:rPr>
                <w:spacing w:val="-5"/>
              </w:rPr>
              <w:t>第二十条  船舶进出港口和通过交通管制区、通航密集区或者航行条件受限制的区域，应当遵守海</w:t>
            </w:r>
            <w:r>
              <w:rPr>
                <w:spacing w:val="-6"/>
              </w:rPr>
              <w:t>事管理机</w:t>
            </w:r>
            <w:r>
              <w:t xml:space="preserve"> </w:t>
            </w:r>
            <w:r>
              <w:rPr>
                <w:spacing w:val="-7"/>
              </w:rPr>
              <w:t>构发布的有关通航规定。</w:t>
            </w:r>
          </w:p>
          <w:p w14:paraId="023F6B8B">
            <w:pPr>
              <w:pStyle w:val="8"/>
              <w:spacing w:before="26" w:line="219" w:lineRule="auto"/>
              <w:ind w:left="469"/>
            </w:pPr>
            <w:r>
              <w:rPr>
                <w:spacing w:val="-4"/>
              </w:rPr>
              <w:t>任何船舶不得擅自进入或者穿越海事管理机构公布的禁航区。</w:t>
            </w:r>
          </w:p>
          <w:p w14:paraId="75D7422E">
            <w:pPr>
              <w:pStyle w:val="8"/>
              <w:spacing w:before="27" w:line="222" w:lineRule="auto"/>
              <w:ind w:left="113" w:right="98" w:firstLine="357"/>
            </w:pPr>
            <w:r>
              <w:rPr>
                <w:spacing w:val="-8"/>
              </w:rPr>
              <w:t>第二十二条</w:t>
            </w:r>
            <w:r>
              <w:rPr>
                <w:spacing w:val="81"/>
              </w:rPr>
              <w:t xml:space="preserve"> </w:t>
            </w:r>
            <w:r>
              <w:rPr>
                <w:spacing w:val="-8"/>
              </w:rPr>
              <w:t>船舶在内河通航水域载运或者拖带超重、</w:t>
            </w:r>
            <w:r>
              <w:rPr>
                <w:spacing w:val="-9"/>
              </w:rPr>
              <w:t>超长、超高、超宽、半潜的物体，必须在装船或者拖带</w:t>
            </w:r>
            <w:r>
              <w:t xml:space="preserve"> </w:t>
            </w:r>
            <w:r>
              <w:rPr>
                <w:spacing w:val="-8"/>
              </w:rPr>
              <w:t>前24小时报海事管理机构核定拟航行的航路、时间，并采取必要的安全措施，保障船舶载运或者拖带安全</w:t>
            </w:r>
            <w:r>
              <w:rPr>
                <w:spacing w:val="-9"/>
              </w:rPr>
              <w:t>。船舶需</w:t>
            </w:r>
          </w:p>
        </w:tc>
        <w:tc>
          <w:tcPr>
            <w:tcW w:w="1043" w:type="dxa"/>
            <w:vAlign w:val="top"/>
          </w:tcPr>
          <w:p w14:paraId="31AB0BE3">
            <w:pPr>
              <w:spacing w:line="294" w:lineRule="auto"/>
              <w:rPr>
                <w:rFonts w:ascii="Arial"/>
                <w:sz w:val="21"/>
              </w:rPr>
            </w:pPr>
          </w:p>
          <w:p w14:paraId="7BA9BA5B">
            <w:pPr>
              <w:spacing w:line="294" w:lineRule="auto"/>
              <w:rPr>
                <w:rFonts w:ascii="Arial"/>
                <w:sz w:val="21"/>
              </w:rPr>
            </w:pPr>
          </w:p>
          <w:p w14:paraId="098B93E1">
            <w:pPr>
              <w:spacing w:line="294" w:lineRule="auto"/>
              <w:rPr>
                <w:rFonts w:ascii="Arial"/>
                <w:sz w:val="21"/>
              </w:rPr>
            </w:pPr>
          </w:p>
          <w:p w14:paraId="602A7532">
            <w:pPr>
              <w:spacing w:line="295" w:lineRule="auto"/>
              <w:rPr>
                <w:rFonts w:ascii="Arial"/>
                <w:sz w:val="21"/>
              </w:rPr>
            </w:pPr>
          </w:p>
          <w:p w14:paraId="21810080">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1FC99EA8">
            <w:pPr>
              <w:spacing w:line="259" w:lineRule="auto"/>
              <w:rPr>
                <w:rFonts w:ascii="Arial"/>
                <w:sz w:val="21"/>
              </w:rPr>
            </w:pPr>
          </w:p>
          <w:p w14:paraId="5FCCF884">
            <w:pPr>
              <w:spacing w:line="259" w:lineRule="auto"/>
              <w:rPr>
                <w:rFonts w:ascii="Arial"/>
                <w:sz w:val="21"/>
              </w:rPr>
            </w:pPr>
          </w:p>
          <w:p w14:paraId="6C4D3C44">
            <w:pPr>
              <w:spacing w:line="259" w:lineRule="auto"/>
              <w:rPr>
                <w:rFonts w:ascii="Arial"/>
                <w:sz w:val="21"/>
              </w:rPr>
            </w:pPr>
          </w:p>
          <w:p w14:paraId="2130360F">
            <w:pPr>
              <w:spacing w:line="260" w:lineRule="auto"/>
              <w:rPr>
                <w:rFonts w:ascii="Arial"/>
                <w:sz w:val="21"/>
              </w:rPr>
            </w:pPr>
          </w:p>
          <w:p w14:paraId="234C60DF">
            <w:pPr>
              <w:spacing w:line="260" w:lineRule="auto"/>
              <w:rPr>
                <w:rFonts w:ascii="Arial"/>
                <w:sz w:val="21"/>
              </w:rPr>
            </w:pPr>
          </w:p>
          <w:p w14:paraId="64A57672">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934F3BB">
            <w:pPr>
              <w:spacing w:line="313" w:lineRule="auto"/>
              <w:rPr>
                <w:rFonts w:ascii="Arial"/>
                <w:sz w:val="21"/>
              </w:rPr>
            </w:pPr>
          </w:p>
          <w:p w14:paraId="65DDFDCD">
            <w:pPr>
              <w:spacing w:line="313" w:lineRule="auto"/>
              <w:rPr>
                <w:rFonts w:ascii="Arial"/>
                <w:sz w:val="21"/>
              </w:rPr>
            </w:pPr>
          </w:p>
          <w:p w14:paraId="0FFCB758">
            <w:pPr>
              <w:spacing w:line="314" w:lineRule="auto"/>
              <w:rPr>
                <w:rFonts w:ascii="Arial"/>
                <w:sz w:val="21"/>
              </w:rPr>
            </w:pPr>
          </w:p>
          <w:p w14:paraId="79EF0093">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05494CC4">
      <w:pPr>
        <w:pStyle w:val="2"/>
        <w:spacing w:line="177" w:lineRule="exact"/>
        <w:rPr>
          <w:sz w:val="15"/>
        </w:rPr>
      </w:pPr>
    </w:p>
    <w:p w14:paraId="13EDA228">
      <w:pPr>
        <w:spacing w:line="177" w:lineRule="exact"/>
        <w:rPr>
          <w:sz w:val="15"/>
          <w:szCs w:val="15"/>
        </w:rPr>
        <w:sectPr>
          <w:footerReference r:id="rId173" w:type="default"/>
          <w:pgSz w:w="16839" w:h="11906"/>
          <w:pgMar w:top="1012" w:right="788" w:bottom="967" w:left="787" w:header="0" w:footer="768" w:gutter="0"/>
          <w:cols w:space="720" w:num="1"/>
        </w:sectPr>
      </w:pPr>
    </w:p>
    <w:p w14:paraId="1FFB308E">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59AA8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641" w:type="dxa"/>
            <w:vMerge w:val="restart"/>
            <w:tcBorders>
              <w:bottom w:val="nil"/>
            </w:tcBorders>
            <w:vAlign w:val="top"/>
          </w:tcPr>
          <w:p w14:paraId="3A7D1BEE">
            <w:pPr>
              <w:pStyle w:val="8"/>
              <w:spacing w:before="267" w:line="221" w:lineRule="auto"/>
              <w:ind w:left="142"/>
            </w:pPr>
            <w:r>
              <w:rPr>
                <w:b/>
                <w:bCs/>
                <w:spacing w:val="-4"/>
              </w:rPr>
              <w:t>序号</w:t>
            </w:r>
          </w:p>
        </w:tc>
        <w:tc>
          <w:tcPr>
            <w:tcW w:w="1136" w:type="dxa"/>
            <w:vMerge w:val="restart"/>
            <w:tcBorders>
              <w:bottom w:val="nil"/>
            </w:tcBorders>
            <w:vAlign w:val="top"/>
          </w:tcPr>
          <w:p w14:paraId="4018187F">
            <w:pPr>
              <w:pStyle w:val="8"/>
              <w:spacing w:before="267" w:line="220" w:lineRule="auto"/>
              <w:ind w:left="208"/>
            </w:pPr>
            <w:r>
              <w:rPr>
                <w:b/>
                <w:bCs/>
                <w:spacing w:val="-4"/>
              </w:rPr>
              <w:t>事项名称</w:t>
            </w:r>
          </w:p>
        </w:tc>
        <w:tc>
          <w:tcPr>
            <w:tcW w:w="1136" w:type="dxa"/>
            <w:vMerge w:val="restart"/>
            <w:tcBorders>
              <w:bottom w:val="nil"/>
            </w:tcBorders>
            <w:vAlign w:val="top"/>
          </w:tcPr>
          <w:p w14:paraId="5D1B9DB4">
            <w:pPr>
              <w:pStyle w:val="8"/>
              <w:spacing w:before="267" w:line="219" w:lineRule="auto"/>
              <w:ind w:left="210"/>
            </w:pPr>
            <w:r>
              <w:rPr>
                <w:b/>
                <w:bCs/>
                <w:spacing w:val="-4"/>
              </w:rPr>
              <w:t>职权类型</w:t>
            </w:r>
          </w:p>
        </w:tc>
        <w:tc>
          <w:tcPr>
            <w:tcW w:w="8806" w:type="dxa"/>
            <w:vMerge w:val="restart"/>
            <w:tcBorders>
              <w:bottom w:val="nil"/>
            </w:tcBorders>
            <w:vAlign w:val="top"/>
          </w:tcPr>
          <w:p w14:paraId="6C7C61D6">
            <w:pPr>
              <w:pStyle w:val="8"/>
              <w:spacing w:before="267" w:line="219" w:lineRule="auto"/>
              <w:ind w:left="4050"/>
            </w:pPr>
            <w:r>
              <w:rPr>
                <w:b/>
                <w:bCs/>
                <w:spacing w:val="-5"/>
              </w:rPr>
              <w:t>实施依据</w:t>
            </w:r>
          </w:p>
        </w:tc>
        <w:tc>
          <w:tcPr>
            <w:tcW w:w="3538" w:type="dxa"/>
            <w:gridSpan w:val="3"/>
            <w:vAlign w:val="top"/>
          </w:tcPr>
          <w:p w14:paraId="0B0A7437">
            <w:pPr>
              <w:pStyle w:val="8"/>
              <w:spacing w:before="92" w:line="220" w:lineRule="auto"/>
              <w:ind w:left="1415"/>
            </w:pPr>
            <w:r>
              <w:rPr>
                <w:b/>
                <w:bCs/>
                <w:spacing w:val="-5"/>
              </w:rPr>
              <w:t>实施主体</w:t>
            </w:r>
          </w:p>
        </w:tc>
      </w:tr>
      <w:tr w14:paraId="186F8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1257846D">
            <w:pPr>
              <w:rPr>
                <w:rFonts w:ascii="Arial"/>
                <w:sz w:val="21"/>
              </w:rPr>
            </w:pPr>
          </w:p>
        </w:tc>
        <w:tc>
          <w:tcPr>
            <w:tcW w:w="1136" w:type="dxa"/>
            <w:vMerge w:val="continue"/>
            <w:tcBorders>
              <w:top w:val="nil"/>
            </w:tcBorders>
            <w:vAlign w:val="top"/>
          </w:tcPr>
          <w:p w14:paraId="392D2205">
            <w:pPr>
              <w:rPr>
                <w:rFonts w:ascii="Arial"/>
                <w:sz w:val="21"/>
              </w:rPr>
            </w:pPr>
          </w:p>
        </w:tc>
        <w:tc>
          <w:tcPr>
            <w:tcW w:w="1136" w:type="dxa"/>
            <w:vMerge w:val="continue"/>
            <w:tcBorders>
              <w:top w:val="nil"/>
            </w:tcBorders>
            <w:vAlign w:val="top"/>
          </w:tcPr>
          <w:p w14:paraId="777BA316">
            <w:pPr>
              <w:rPr>
                <w:rFonts w:ascii="Arial"/>
                <w:sz w:val="21"/>
              </w:rPr>
            </w:pPr>
          </w:p>
        </w:tc>
        <w:tc>
          <w:tcPr>
            <w:tcW w:w="8806" w:type="dxa"/>
            <w:vMerge w:val="continue"/>
            <w:tcBorders>
              <w:top w:val="nil"/>
            </w:tcBorders>
            <w:vAlign w:val="top"/>
          </w:tcPr>
          <w:p w14:paraId="093369BF">
            <w:pPr>
              <w:rPr>
                <w:rFonts w:ascii="Arial"/>
                <w:sz w:val="21"/>
              </w:rPr>
            </w:pPr>
          </w:p>
        </w:tc>
        <w:tc>
          <w:tcPr>
            <w:tcW w:w="1043" w:type="dxa"/>
            <w:vAlign w:val="top"/>
          </w:tcPr>
          <w:p w14:paraId="427B8A9B">
            <w:pPr>
              <w:pStyle w:val="8"/>
              <w:spacing w:before="88" w:line="219" w:lineRule="auto"/>
              <w:ind w:left="171"/>
            </w:pPr>
            <w:r>
              <w:rPr>
                <w:b/>
                <w:bCs/>
                <w:spacing w:val="-5"/>
              </w:rPr>
              <w:t>责任部门</w:t>
            </w:r>
          </w:p>
        </w:tc>
        <w:tc>
          <w:tcPr>
            <w:tcW w:w="1448" w:type="dxa"/>
            <w:vAlign w:val="top"/>
          </w:tcPr>
          <w:p w14:paraId="76A40F1A">
            <w:pPr>
              <w:pStyle w:val="8"/>
              <w:spacing w:before="88" w:line="219" w:lineRule="auto"/>
              <w:ind w:left="187"/>
            </w:pPr>
            <w:r>
              <w:rPr>
                <w:b/>
                <w:bCs/>
                <w:spacing w:val="-3"/>
              </w:rPr>
              <w:t>第一责任层级</w:t>
            </w:r>
          </w:p>
        </w:tc>
        <w:tc>
          <w:tcPr>
            <w:tcW w:w="1047" w:type="dxa"/>
            <w:vAlign w:val="top"/>
          </w:tcPr>
          <w:p w14:paraId="00C92E5A">
            <w:pPr>
              <w:pStyle w:val="8"/>
              <w:spacing w:before="88" w:line="219" w:lineRule="auto"/>
              <w:ind w:left="165"/>
            </w:pPr>
            <w:r>
              <w:rPr>
                <w:b/>
                <w:bCs/>
                <w:spacing w:val="-4"/>
              </w:rPr>
              <w:t>承办机构</w:t>
            </w:r>
          </w:p>
        </w:tc>
      </w:tr>
      <w:tr w14:paraId="6577F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2" w:hRule="atLeast"/>
        </w:trPr>
        <w:tc>
          <w:tcPr>
            <w:tcW w:w="641" w:type="dxa"/>
            <w:vAlign w:val="top"/>
          </w:tcPr>
          <w:p w14:paraId="6C583575">
            <w:pPr>
              <w:rPr>
                <w:rFonts w:ascii="Arial"/>
                <w:sz w:val="21"/>
              </w:rPr>
            </w:pPr>
          </w:p>
        </w:tc>
        <w:tc>
          <w:tcPr>
            <w:tcW w:w="1136" w:type="dxa"/>
            <w:vAlign w:val="top"/>
          </w:tcPr>
          <w:p w14:paraId="28A19B8F">
            <w:pPr>
              <w:rPr>
                <w:rFonts w:ascii="Arial"/>
                <w:sz w:val="21"/>
              </w:rPr>
            </w:pPr>
          </w:p>
        </w:tc>
        <w:tc>
          <w:tcPr>
            <w:tcW w:w="1136" w:type="dxa"/>
            <w:vAlign w:val="top"/>
          </w:tcPr>
          <w:p w14:paraId="1ED4D2BD">
            <w:pPr>
              <w:rPr>
                <w:rFonts w:ascii="Arial"/>
                <w:sz w:val="21"/>
              </w:rPr>
            </w:pPr>
          </w:p>
        </w:tc>
        <w:tc>
          <w:tcPr>
            <w:tcW w:w="8806" w:type="dxa"/>
            <w:vAlign w:val="top"/>
          </w:tcPr>
          <w:p w14:paraId="50169CC3">
            <w:pPr>
              <w:pStyle w:val="8"/>
              <w:spacing w:before="38" w:line="219" w:lineRule="auto"/>
              <w:ind w:left="111"/>
            </w:pPr>
            <w:r>
              <w:rPr>
                <w:spacing w:val="-5"/>
              </w:rPr>
              <w:t>要护航的，应当向海事管理机构申请护航。</w:t>
            </w:r>
          </w:p>
          <w:p w14:paraId="0468B3DF">
            <w:pPr>
              <w:pStyle w:val="8"/>
              <w:spacing w:before="25" w:line="243" w:lineRule="auto"/>
              <w:ind w:left="110" w:right="79" w:firstLine="360"/>
              <w:jc w:val="both"/>
            </w:pPr>
            <w:r>
              <w:rPr>
                <w:spacing w:val="-1"/>
              </w:rPr>
              <w:t>第六十八条  违反本条例的规定，船舶在内河航行时，有下列情形之一的，由海事管理机</w:t>
            </w:r>
            <w:r>
              <w:rPr>
                <w:spacing w:val="-2"/>
              </w:rPr>
              <w:t>构责令改正，处</w:t>
            </w:r>
            <w:r>
              <w:t xml:space="preserve"> </w:t>
            </w:r>
            <w:r>
              <w:rPr>
                <w:spacing w:val="-3"/>
              </w:rPr>
              <w:t>5000元以上5万元以下的罚款；情节严重的，禁止船舶进出港口或者责令停航，并可以对责任船员给予暂扣适任</w:t>
            </w:r>
            <w:r>
              <w:rPr>
                <w:spacing w:val="11"/>
              </w:rPr>
              <w:t xml:space="preserve"> </w:t>
            </w:r>
            <w:r>
              <w:rPr>
                <w:spacing w:val="-6"/>
              </w:rPr>
              <w:t>证书或者其他适任证件3个月至6个月的处罚</w:t>
            </w:r>
            <w:r>
              <w:rPr>
                <w:spacing w:val="-26"/>
              </w:rPr>
              <w:t>：（</w:t>
            </w:r>
            <w:r>
              <w:rPr>
                <w:spacing w:val="-6"/>
              </w:rPr>
              <w:t>一）未按照规定悬挂国旗，标明船名、船籍港、</w:t>
            </w:r>
            <w:r>
              <w:rPr>
                <w:spacing w:val="-7"/>
              </w:rPr>
              <w:t>载重线的</w:t>
            </w:r>
            <w:r>
              <w:rPr>
                <w:spacing w:val="-26"/>
              </w:rPr>
              <w:t>；（</w:t>
            </w:r>
            <w:r>
              <w:rPr>
                <w:spacing w:val="-7"/>
              </w:rPr>
              <w:t>二）</w:t>
            </w:r>
            <w:r>
              <w:rPr>
                <w:spacing w:val="2"/>
              </w:rPr>
              <w:t xml:space="preserve"> </w:t>
            </w:r>
            <w:r>
              <w:rPr>
                <w:spacing w:val="-2"/>
              </w:rPr>
              <w:t>未按照规定向海事管理机构报告船舶的航次计划、适航状态、船员配备和载货载客等情况的</w:t>
            </w:r>
            <w:r>
              <w:rPr>
                <w:spacing w:val="-8"/>
              </w:rPr>
              <w:t>；（</w:t>
            </w:r>
            <w:r>
              <w:rPr>
                <w:spacing w:val="-2"/>
              </w:rPr>
              <w:t>三）未按照规</w:t>
            </w:r>
            <w:r>
              <w:t xml:space="preserve">  </w:t>
            </w:r>
            <w:r>
              <w:rPr>
                <w:spacing w:val="-2"/>
              </w:rPr>
              <w:t>定申请引航的</w:t>
            </w:r>
            <w:r>
              <w:rPr>
                <w:spacing w:val="-15"/>
              </w:rPr>
              <w:t>；（</w:t>
            </w:r>
            <w:r>
              <w:rPr>
                <w:spacing w:val="-2"/>
              </w:rPr>
              <w:t>四）擅自进出内河港口，强行通过交通管制区、通航密集区、航行条件受限制区域或者禁航</w:t>
            </w:r>
            <w:r>
              <w:t xml:space="preserve">  </w:t>
            </w:r>
            <w:r>
              <w:rPr>
                <w:spacing w:val="-2"/>
              </w:rPr>
              <w:t>区的</w:t>
            </w:r>
            <w:r>
              <w:rPr>
                <w:spacing w:val="-4"/>
              </w:rPr>
              <w:t>；（</w:t>
            </w:r>
            <w:r>
              <w:rPr>
                <w:spacing w:val="-2"/>
              </w:rPr>
              <w:t>五）载运或者拖带超重、超长、超高、超宽、半潜的物体，未申请或者未按照核定的航路、时</w:t>
            </w:r>
            <w:r>
              <w:rPr>
                <w:spacing w:val="-3"/>
              </w:rPr>
              <w:t>间航行</w:t>
            </w:r>
            <w:r>
              <w:t xml:space="preserve">  </w:t>
            </w:r>
            <w:r>
              <w:rPr>
                <w:spacing w:val="-4"/>
              </w:rPr>
              <w:t>的。</w:t>
            </w:r>
          </w:p>
          <w:p w14:paraId="42EC30BB">
            <w:pPr>
              <w:pStyle w:val="8"/>
              <w:spacing w:before="23" w:line="219" w:lineRule="auto"/>
              <w:ind w:left="472"/>
            </w:pPr>
            <w:r>
              <w:rPr>
                <w:b/>
                <w:bCs/>
                <w:spacing w:val="-4"/>
              </w:rPr>
              <w:t>2.《危险化学品安全管理条例》</w:t>
            </w:r>
          </w:p>
          <w:p w14:paraId="5699BD21">
            <w:pPr>
              <w:pStyle w:val="8"/>
              <w:spacing w:before="26" w:line="219" w:lineRule="auto"/>
              <w:ind w:right="11"/>
              <w:jc w:val="right"/>
            </w:pPr>
            <w:r>
              <w:rPr>
                <w:spacing w:val="-3"/>
              </w:rPr>
              <w:t>第六十一条第二款  载运危险化学品的船舶在内河航行，按照国务院交通运输主管部门的规定需要引航的，</w:t>
            </w:r>
          </w:p>
          <w:p w14:paraId="275DA5ED">
            <w:pPr>
              <w:pStyle w:val="8"/>
              <w:spacing w:before="26" w:line="219" w:lineRule="auto"/>
              <w:ind w:left="110"/>
            </w:pPr>
            <w:r>
              <w:rPr>
                <w:spacing w:val="-3"/>
              </w:rPr>
              <w:t>应当申请引航。</w:t>
            </w:r>
          </w:p>
          <w:p w14:paraId="3D3D4DF0">
            <w:pPr>
              <w:pStyle w:val="8"/>
              <w:spacing w:before="27" w:line="237" w:lineRule="auto"/>
              <w:ind w:left="114" w:right="148" w:firstLine="355"/>
              <w:jc w:val="both"/>
            </w:pPr>
            <w:r>
              <w:rPr>
                <w:spacing w:val="-2"/>
              </w:rPr>
              <w:t>第九十二条第一款第（四）项  有下列情形之一的，依照《中华人民共和国内河交通安全管</w:t>
            </w:r>
            <w:r>
              <w:rPr>
                <w:spacing w:val="-3"/>
              </w:rPr>
              <w:t>理条例》的规</w:t>
            </w:r>
            <w:r>
              <w:t xml:space="preserve"> </w:t>
            </w:r>
            <w:r>
              <w:rPr>
                <w:spacing w:val="-2"/>
              </w:rPr>
              <w:t>定处罚</w:t>
            </w:r>
            <w:r>
              <w:rPr>
                <w:spacing w:val="-8"/>
              </w:rPr>
              <w:t>：（</w:t>
            </w:r>
            <w:r>
              <w:rPr>
                <w:spacing w:val="-2"/>
              </w:rPr>
              <w:t>四）载运危险化学品的船舶在内河航行、装卸或者停泊，未悬挂专用的警示标志，或者未按照规定</w:t>
            </w:r>
            <w:r>
              <w:rPr>
                <w:spacing w:val="1"/>
              </w:rPr>
              <w:t xml:space="preserve"> </w:t>
            </w:r>
            <w:r>
              <w:rPr>
                <w:spacing w:val="-3"/>
              </w:rPr>
              <w:t>显示专用信号，或者未按照规定申请引航的。</w:t>
            </w:r>
          </w:p>
          <w:p w14:paraId="6F11BC6D">
            <w:pPr>
              <w:pStyle w:val="8"/>
              <w:spacing w:before="25" w:line="219" w:lineRule="auto"/>
              <w:ind w:left="474"/>
            </w:pPr>
            <w:r>
              <w:rPr>
                <w:b/>
                <w:bCs/>
                <w:spacing w:val="-3"/>
              </w:rPr>
              <w:t>3.《中华人民共和国内河海事行政处罚规定》（交通运输部令20</w:t>
            </w:r>
            <w:r>
              <w:rPr>
                <w:b/>
                <w:bCs/>
                <w:spacing w:val="-4"/>
              </w:rPr>
              <w:t>22年第28号）</w:t>
            </w:r>
          </w:p>
          <w:p w14:paraId="467868CC">
            <w:pPr>
              <w:pStyle w:val="8"/>
              <w:spacing w:before="25" w:line="241" w:lineRule="auto"/>
              <w:ind w:left="109" w:right="31" w:firstLine="360"/>
              <w:jc w:val="both"/>
            </w:pPr>
            <w:r>
              <w:rPr>
                <w:spacing w:val="-2"/>
              </w:rPr>
              <w:t>第十六条  违反《内河交通安全管理条例》第十四条、第十八条、第十九条、第二十条、第</w:t>
            </w:r>
            <w:r>
              <w:rPr>
                <w:spacing w:val="-3"/>
              </w:rPr>
              <w:t>二十二条的规</w:t>
            </w:r>
            <w:r>
              <w:t xml:space="preserve">  </w:t>
            </w:r>
            <w:r>
              <w:rPr>
                <w:spacing w:val="-2"/>
              </w:rPr>
              <w:t>定，船舶在内河航行有下列行为之一的，依照《内河交通安全管理条例》第六十八条的规定，责</w:t>
            </w:r>
            <w:r>
              <w:rPr>
                <w:spacing w:val="-3"/>
              </w:rPr>
              <w:t>令改正，处以</w:t>
            </w:r>
            <w:r>
              <w:t xml:space="preserve">  </w:t>
            </w:r>
            <w:r>
              <w:rPr>
                <w:spacing w:val="-3"/>
              </w:rPr>
              <w:t>5000元以上5万元以下罚款；情节严重的，禁止船舶进出港口或者责令停航，并可以对责任船员给予扣留船员适</w:t>
            </w:r>
            <w:r>
              <w:rPr>
                <w:spacing w:val="5"/>
              </w:rPr>
              <w:t xml:space="preserve">  </w:t>
            </w:r>
            <w:r>
              <w:rPr>
                <w:spacing w:val="-1"/>
              </w:rPr>
              <w:t>任证书或者其他适任证件3个月至6个月的处罚</w:t>
            </w:r>
            <w:r>
              <w:rPr>
                <w:spacing w:val="-15"/>
              </w:rPr>
              <w:t>：（</w:t>
            </w:r>
            <w:r>
              <w:rPr>
                <w:spacing w:val="-1"/>
              </w:rPr>
              <w:t>一）未按照规定悬挂国旗</w:t>
            </w:r>
            <w:r>
              <w:rPr>
                <w:spacing w:val="-15"/>
              </w:rPr>
              <w:t>；（</w:t>
            </w:r>
            <w:r>
              <w:rPr>
                <w:spacing w:val="-1"/>
              </w:rPr>
              <w:t>二）未按照规定标明船名、船</w:t>
            </w:r>
            <w:r>
              <w:rPr>
                <w:spacing w:val="1"/>
              </w:rPr>
              <w:t xml:space="preserve">  </w:t>
            </w:r>
            <w:r>
              <w:rPr>
                <w:spacing w:val="-1"/>
              </w:rPr>
              <w:t>籍港、载重线，或者遮挡船名、船籍港、载</w:t>
            </w:r>
            <w:r>
              <w:rPr>
                <w:spacing w:val="-2"/>
              </w:rPr>
              <w:t>重线</w:t>
            </w:r>
            <w:r>
              <w:rPr>
                <w:spacing w:val="-15"/>
              </w:rPr>
              <w:t>；（</w:t>
            </w:r>
            <w:r>
              <w:rPr>
                <w:spacing w:val="-2"/>
              </w:rPr>
              <w:t>三）国内航行船舶进出港口未按照规定向海事管理机构报</w:t>
            </w:r>
            <w:r>
              <w:t xml:space="preserve">  </w:t>
            </w:r>
            <w:r>
              <w:rPr>
                <w:spacing w:val="-5"/>
              </w:rPr>
              <w:t>告船舶的航次计划、适航状态、船员配备和载货载客等情况，国际航行船舶未按照规定办理进出口岸手续</w:t>
            </w:r>
            <w:r>
              <w:rPr>
                <w:spacing w:val="-47"/>
                <w:w w:val="98"/>
              </w:rPr>
              <w:t>；（</w:t>
            </w:r>
            <w:r>
              <w:rPr>
                <w:spacing w:val="-5"/>
              </w:rPr>
              <w:t>四）</w:t>
            </w:r>
            <w:r>
              <w:t xml:space="preserve"> </w:t>
            </w:r>
            <w:r>
              <w:rPr>
                <w:spacing w:val="-1"/>
              </w:rPr>
              <w:t>未按照规定申请引航</w:t>
            </w:r>
            <w:r>
              <w:rPr>
                <w:spacing w:val="-15"/>
              </w:rPr>
              <w:t>；（</w:t>
            </w:r>
            <w:r>
              <w:rPr>
                <w:spacing w:val="-1"/>
              </w:rPr>
              <w:t>五）船舶进出港口和通</w:t>
            </w:r>
            <w:r>
              <w:rPr>
                <w:spacing w:val="-2"/>
              </w:rPr>
              <w:t>过交通管制区、通航密集区、航行条件受到限制区域，未遵守</w:t>
            </w:r>
            <w:r>
              <w:t xml:space="preserve">  </w:t>
            </w:r>
            <w:r>
              <w:rPr>
                <w:spacing w:val="-1"/>
              </w:rPr>
              <w:t>海事管理机构发布的特别规定</w:t>
            </w:r>
            <w:r>
              <w:rPr>
                <w:spacing w:val="-25"/>
              </w:rPr>
              <w:t>；（</w:t>
            </w:r>
            <w:r>
              <w:rPr>
                <w:spacing w:val="-1"/>
              </w:rPr>
              <w:t>六）船舶无正当理由进入或者穿越</w:t>
            </w:r>
            <w:r>
              <w:rPr>
                <w:spacing w:val="-2"/>
              </w:rPr>
              <w:t>禁航区</w:t>
            </w:r>
            <w:r>
              <w:rPr>
                <w:spacing w:val="-25"/>
              </w:rPr>
              <w:t>；（</w:t>
            </w:r>
            <w:r>
              <w:rPr>
                <w:spacing w:val="-2"/>
              </w:rPr>
              <w:t>七）载运或者拖带超重、超长、</w:t>
            </w:r>
            <w:r>
              <w:rPr>
                <w:spacing w:val="1"/>
              </w:rPr>
              <w:t xml:space="preserve"> </w:t>
            </w:r>
            <w:r>
              <w:rPr>
                <w:spacing w:val="-2"/>
              </w:rPr>
              <w:t>超高、超宽、半潜的物体，未申请核定航路、航行时间或者未按照核定的航路、</w:t>
            </w:r>
            <w:r>
              <w:rPr>
                <w:spacing w:val="-3"/>
              </w:rPr>
              <w:t>时间航行。</w:t>
            </w:r>
          </w:p>
        </w:tc>
        <w:tc>
          <w:tcPr>
            <w:tcW w:w="1043" w:type="dxa"/>
            <w:vAlign w:val="top"/>
          </w:tcPr>
          <w:p w14:paraId="09B9A3D0">
            <w:pPr>
              <w:rPr>
                <w:rFonts w:ascii="Arial"/>
                <w:sz w:val="21"/>
              </w:rPr>
            </w:pPr>
          </w:p>
        </w:tc>
        <w:tc>
          <w:tcPr>
            <w:tcW w:w="1448" w:type="dxa"/>
            <w:vAlign w:val="top"/>
          </w:tcPr>
          <w:p w14:paraId="12D9E8BD">
            <w:pPr>
              <w:rPr>
                <w:rFonts w:ascii="Arial"/>
                <w:sz w:val="21"/>
              </w:rPr>
            </w:pPr>
          </w:p>
        </w:tc>
        <w:tc>
          <w:tcPr>
            <w:tcW w:w="1047" w:type="dxa"/>
            <w:vAlign w:val="top"/>
          </w:tcPr>
          <w:p w14:paraId="643FBBCC">
            <w:pPr>
              <w:rPr>
                <w:rFonts w:ascii="Arial"/>
                <w:sz w:val="21"/>
              </w:rPr>
            </w:pPr>
          </w:p>
        </w:tc>
      </w:tr>
      <w:tr w14:paraId="5C01B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2" w:hRule="atLeast"/>
        </w:trPr>
        <w:tc>
          <w:tcPr>
            <w:tcW w:w="641" w:type="dxa"/>
            <w:vAlign w:val="top"/>
          </w:tcPr>
          <w:p w14:paraId="22A5863D">
            <w:pPr>
              <w:spacing w:line="266" w:lineRule="auto"/>
              <w:rPr>
                <w:rFonts w:ascii="Arial"/>
                <w:sz w:val="21"/>
              </w:rPr>
            </w:pPr>
          </w:p>
          <w:p w14:paraId="75BF79FA">
            <w:pPr>
              <w:spacing w:line="266" w:lineRule="auto"/>
              <w:rPr>
                <w:rFonts w:ascii="Arial"/>
                <w:sz w:val="21"/>
              </w:rPr>
            </w:pPr>
          </w:p>
          <w:p w14:paraId="02AB2F5C">
            <w:pPr>
              <w:spacing w:line="267" w:lineRule="auto"/>
              <w:rPr>
                <w:rFonts w:ascii="Arial"/>
                <w:sz w:val="21"/>
              </w:rPr>
            </w:pPr>
          </w:p>
          <w:p w14:paraId="234B5311">
            <w:pPr>
              <w:spacing w:line="267" w:lineRule="auto"/>
              <w:rPr>
                <w:rFonts w:ascii="Arial"/>
                <w:sz w:val="21"/>
              </w:rPr>
            </w:pPr>
          </w:p>
          <w:p w14:paraId="35E69BA3">
            <w:pPr>
              <w:pStyle w:val="8"/>
              <w:spacing w:before="59" w:line="184" w:lineRule="auto"/>
              <w:ind w:left="248"/>
            </w:pPr>
            <w:r>
              <w:rPr>
                <w:spacing w:val="-10"/>
              </w:rPr>
              <w:t>17</w:t>
            </w:r>
          </w:p>
        </w:tc>
        <w:tc>
          <w:tcPr>
            <w:tcW w:w="1136" w:type="dxa"/>
            <w:vAlign w:val="top"/>
          </w:tcPr>
          <w:p w14:paraId="764B9EB7">
            <w:pPr>
              <w:spacing w:line="320" w:lineRule="auto"/>
              <w:rPr>
                <w:rFonts w:ascii="Arial"/>
                <w:sz w:val="21"/>
              </w:rPr>
            </w:pPr>
          </w:p>
          <w:p w14:paraId="038F6B76">
            <w:pPr>
              <w:pStyle w:val="8"/>
              <w:spacing w:before="59" w:line="243" w:lineRule="auto"/>
              <w:ind w:left="109" w:right="104"/>
              <w:jc w:val="both"/>
            </w:pPr>
            <w:r>
              <w:rPr>
                <w:spacing w:val="3"/>
              </w:rPr>
              <w:t>对船舶进出</w:t>
            </w:r>
            <w:r>
              <w:rPr>
                <w:spacing w:val="1"/>
              </w:rPr>
              <w:t xml:space="preserve"> </w:t>
            </w:r>
            <w:r>
              <w:rPr>
                <w:spacing w:val="3"/>
              </w:rPr>
              <w:t>港口未按照</w:t>
            </w:r>
            <w:r>
              <w:rPr>
                <w:spacing w:val="1"/>
              </w:rPr>
              <w:t xml:space="preserve"> </w:t>
            </w:r>
            <w:r>
              <w:rPr>
                <w:spacing w:val="3"/>
              </w:rPr>
              <w:t>规定向海事</w:t>
            </w:r>
            <w:r>
              <w:rPr>
                <w:spacing w:val="1"/>
              </w:rPr>
              <w:t xml:space="preserve"> </w:t>
            </w:r>
            <w:r>
              <w:rPr>
                <w:spacing w:val="3"/>
              </w:rPr>
              <w:t>管理机构报</w:t>
            </w:r>
            <w:r>
              <w:rPr>
                <w:spacing w:val="1"/>
              </w:rPr>
              <w:t xml:space="preserve"> </w:t>
            </w:r>
            <w:r>
              <w:rPr>
                <w:spacing w:val="3"/>
              </w:rPr>
              <w:t>告船舶进出</w:t>
            </w:r>
            <w:r>
              <w:rPr>
                <w:spacing w:val="1"/>
              </w:rPr>
              <w:t xml:space="preserve"> </w:t>
            </w:r>
            <w:r>
              <w:rPr>
                <w:spacing w:val="3"/>
              </w:rPr>
              <w:t>港信息的行</w:t>
            </w:r>
            <w:r>
              <w:rPr>
                <w:spacing w:val="1"/>
              </w:rPr>
              <w:t xml:space="preserve"> </w:t>
            </w:r>
            <w:r>
              <w:rPr>
                <w:spacing w:val="-4"/>
              </w:rPr>
              <w:t>政处罚</w:t>
            </w:r>
          </w:p>
        </w:tc>
        <w:tc>
          <w:tcPr>
            <w:tcW w:w="1136" w:type="dxa"/>
            <w:vAlign w:val="top"/>
          </w:tcPr>
          <w:p w14:paraId="7629CC5E">
            <w:pPr>
              <w:spacing w:line="259" w:lineRule="auto"/>
              <w:rPr>
                <w:rFonts w:ascii="Arial"/>
                <w:sz w:val="21"/>
              </w:rPr>
            </w:pPr>
          </w:p>
          <w:p w14:paraId="0B6AB36C">
            <w:pPr>
              <w:spacing w:line="260" w:lineRule="auto"/>
              <w:rPr>
                <w:rFonts w:ascii="Arial"/>
                <w:sz w:val="21"/>
              </w:rPr>
            </w:pPr>
          </w:p>
          <w:p w14:paraId="78AF6096">
            <w:pPr>
              <w:spacing w:line="260" w:lineRule="auto"/>
              <w:rPr>
                <w:rFonts w:ascii="Arial"/>
                <w:sz w:val="21"/>
              </w:rPr>
            </w:pPr>
          </w:p>
          <w:p w14:paraId="18F5789E">
            <w:pPr>
              <w:spacing w:line="260" w:lineRule="auto"/>
              <w:rPr>
                <w:rFonts w:ascii="Arial"/>
                <w:sz w:val="21"/>
              </w:rPr>
            </w:pPr>
          </w:p>
          <w:p w14:paraId="37885D68">
            <w:pPr>
              <w:pStyle w:val="8"/>
              <w:spacing w:before="59" w:line="220" w:lineRule="auto"/>
              <w:ind w:left="114"/>
            </w:pPr>
            <w:r>
              <w:rPr>
                <w:spacing w:val="-7"/>
              </w:rPr>
              <w:t>行政处罚</w:t>
            </w:r>
          </w:p>
        </w:tc>
        <w:tc>
          <w:tcPr>
            <w:tcW w:w="8806" w:type="dxa"/>
            <w:vAlign w:val="top"/>
          </w:tcPr>
          <w:p w14:paraId="5870E02A">
            <w:pPr>
              <w:pStyle w:val="8"/>
              <w:spacing w:before="144" w:line="219" w:lineRule="auto"/>
              <w:ind w:left="481"/>
            </w:pPr>
            <w:r>
              <w:rPr>
                <w:b/>
                <w:bCs/>
                <w:spacing w:val="-9"/>
              </w:rPr>
              <w:t>1.《中华人民共和国内河交通安全管理条例》</w:t>
            </w:r>
          </w:p>
          <w:p w14:paraId="16A99896">
            <w:pPr>
              <w:pStyle w:val="8"/>
              <w:spacing w:before="26" w:line="237" w:lineRule="auto"/>
              <w:ind w:left="111" w:right="100" w:firstLine="359"/>
              <w:jc w:val="both"/>
            </w:pPr>
            <w:r>
              <w:rPr>
                <w:spacing w:val="-1"/>
              </w:rPr>
              <w:t>第六十八条第（二）项  违反本条例的规定，船舶在内河航行时，有下列情形之一的，由</w:t>
            </w:r>
            <w:r>
              <w:rPr>
                <w:spacing w:val="-2"/>
              </w:rPr>
              <w:t>海事管理机构责</w:t>
            </w:r>
            <w:r>
              <w:t xml:space="preserve"> </w:t>
            </w:r>
            <w:r>
              <w:rPr>
                <w:spacing w:val="-3"/>
              </w:rPr>
              <w:t>令改正，处5000元以上5万元以下的罚款；情节严重的，禁止船舶进出港口或者责令停航，并可以对责任船员给</w:t>
            </w:r>
            <w:r>
              <w:rPr>
                <w:spacing w:val="11"/>
              </w:rPr>
              <w:t xml:space="preserve"> </w:t>
            </w:r>
            <w:r>
              <w:rPr>
                <w:spacing w:val="-5"/>
              </w:rPr>
              <w:t>予暂扣适任证书或者其他适任证件3个月至6个月的处罚：</w:t>
            </w:r>
          </w:p>
          <w:p w14:paraId="3D6337A8">
            <w:pPr>
              <w:pStyle w:val="8"/>
              <w:spacing w:before="26" w:line="219" w:lineRule="auto"/>
              <w:ind w:left="472"/>
            </w:pPr>
            <w:r>
              <w:rPr>
                <w:b/>
                <w:bCs/>
                <w:spacing w:val="-3"/>
              </w:rPr>
              <w:t>2.《中华人民共和国船舶安全监督规则》（交通运输部令</w:t>
            </w:r>
            <w:r>
              <w:rPr>
                <w:spacing w:val="-25"/>
              </w:rPr>
              <w:t xml:space="preserve"> </w:t>
            </w:r>
            <w:r>
              <w:rPr>
                <w:b/>
                <w:bCs/>
                <w:spacing w:val="-3"/>
              </w:rPr>
              <w:t>2022</w:t>
            </w:r>
            <w:r>
              <w:rPr>
                <w:spacing w:val="-37"/>
              </w:rPr>
              <w:t xml:space="preserve"> </w:t>
            </w:r>
            <w:r>
              <w:rPr>
                <w:b/>
                <w:bCs/>
                <w:spacing w:val="-3"/>
              </w:rPr>
              <w:t>年第</w:t>
            </w:r>
            <w:r>
              <w:rPr>
                <w:spacing w:val="-36"/>
              </w:rPr>
              <w:t xml:space="preserve"> </w:t>
            </w:r>
            <w:r>
              <w:rPr>
                <w:b/>
                <w:bCs/>
                <w:spacing w:val="-3"/>
              </w:rPr>
              <w:t>27</w:t>
            </w:r>
            <w:r>
              <w:rPr>
                <w:spacing w:val="-31"/>
              </w:rPr>
              <w:t xml:space="preserve"> </w:t>
            </w:r>
            <w:r>
              <w:rPr>
                <w:b/>
                <w:bCs/>
                <w:spacing w:val="-3"/>
              </w:rPr>
              <w:t>号）</w:t>
            </w:r>
          </w:p>
          <w:p w14:paraId="2A01A128">
            <w:pPr>
              <w:pStyle w:val="8"/>
              <w:spacing w:before="26" w:line="233" w:lineRule="auto"/>
              <w:ind w:left="110" w:right="105" w:firstLine="360"/>
            </w:pPr>
            <w:r>
              <w:rPr>
                <w:spacing w:val="-1"/>
              </w:rPr>
              <w:t>第五十四条  船舶进出内河港口，未按照规定向海事管理机构报告船舶进出港信息</w:t>
            </w:r>
            <w:r>
              <w:rPr>
                <w:spacing w:val="-2"/>
              </w:rPr>
              <w:t>的，对船舶所有人或者</w:t>
            </w:r>
            <w:r>
              <w:t xml:space="preserve"> </w:t>
            </w:r>
            <w:r>
              <w:rPr>
                <w:spacing w:val="-4"/>
              </w:rPr>
              <w:t>船舶经营人处</w:t>
            </w:r>
            <w:r>
              <w:rPr>
                <w:spacing w:val="-19"/>
              </w:rPr>
              <w:t xml:space="preserve"> </w:t>
            </w:r>
            <w:r>
              <w:rPr>
                <w:spacing w:val="-4"/>
              </w:rPr>
              <w:t>5000</w:t>
            </w:r>
            <w:r>
              <w:rPr>
                <w:spacing w:val="-37"/>
              </w:rPr>
              <w:t xml:space="preserve"> </w:t>
            </w:r>
            <w:r>
              <w:rPr>
                <w:spacing w:val="-4"/>
              </w:rPr>
              <w:t>元以上</w:t>
            </w:r>
            <w:r>
              <w:rPr>
                <w:spacing w:val="-36"/>
              </w:rPr>
              <w:t xml:space="preserve"> </w:t>
            </w:r>
            <w:r>
              <w:rPr>
                <w:spacing w:val="-4"/>
              </w:rPr>
              <w:t>5</w:t>
            </w:r>
            <w:r>
              <w:rPr>
                <w:spacing w:val="-32"/>
              </w:rPr>
              <w:t xml:space="preserve"> </w:t>
            </w:r>
            <w:r>
              <w:rPr>
                <w:spacing w:val="-4"/>
              </w:rPr>
              <w:t>万元以下罚款。</w:t>
            </w:r>
          </w:p>
          <w:p w14:paraId="05CCE99E">
            <w:pPr>
              <w:pStyle w:val="8"/>
              <w:spacing w:before="25" w:line="233" w:lineRule="auto"/>
              <w:ind w:left="114" w:right="88" w:firstLine="355"/>
            </w:pPr>
            <w:r>
              <w:rPr>
                <w:spacing w:val="-1"/>
              </w:rPr>
              <w:t>船舶进出沿海港口，未按照规定向海事管理机构报告船舶进出港信息的，对船舶所有人或者船舶经营人、</w:t>
            </w:r>
            <w:r>
              <w:rPr>
                <w:spacing w:val="6"/>
              </w:rPr>
              <w:t xml:space="preserve"> </w:t>
            </w:r>
            <w:r>
              <w:rPr>
                <w:spacing w:val="-4"/>
              </w:rPr>
              <w:t>管理人处</w:t>
            </w:r>
            <w:r>
              <w:rPr>
                <w:spacing w:val="-31"/>
              </w:rPr>
              <w:t xml:space="preserve"> </w:t>
            </w:r>
            <w:r>
              <w:rPr>
                <w:spacing w:val="-4"/>
              </w:rPr>
              <w:t>3000</w:t>
            </w:r>
            <w:r>
              <w:rPr>
                <w:spacing w:val="-37"/>
              </w:rPr>
              <w:t xml:space="preserve"> </w:t>
            </w:r>
            <w:r>
              <w:rPr>
                <w:spacing w:val="-4"/>
              </w:rPr>
              <w:t>元以上</w:t>
            </w:r>
            <w:r>
              <w:rPr>
                <w:spacing w:val="-37"/>
              </w:rPr>
              <w:t xml:space="preserve"> </w:t>
            </w:r>
            <w:r>
              <w:rPr>
                <w:spacing w:val="-4"/>
              </w:rPr>
              <w:t>3</w:t>
            </w:r>
            <w:r>
              <w:rPr>
                <w:spacing w:val="-31"/>
              </w:rPr>
              <w:t xml:space="preserve"> </w:t>
            </w:r>
            <w:r>
              <w:rPr>
                <w:spacing w:val="-4"/>
              </w:rPr>
              <w:t>万元以下罚款。</w:t>
            </w:r>
          </w:p>
        </w:tc>
        <w:tc>
          <w:tcPr>
            <w:tcW w:w="1043" w:type="dxa"/>
            <w:vAlign w:val="top"/>
          </w:tcPr>
          <w:p w14:paraId="3FE50723">
            <w:pPr>
              <w:spacing w:line="306" w:lineRule="auto"/>
              <w:rPr>
                <w:rFonts w:ascii="Arial"/>
                <w:sz w:val="21"/>
              </w:rPr>
            </w:pPr>
          </w:p>
          <w:p w14:paraId="236DA0D0">
            <w:pPr>
              <w:spacing w:line="306" w:lineRule="auto"/>
              <w:rPr>
                <w:rFonts w:ascii="Arial"/>
                <w:sz w:val="21"/>
              </w:rPr>
            </w:pPr>
          </w:p>
          <w:p w14:paraId="3CE5A576">
            <w:pPr>
              <w:spacing w:line="307" w:lineRule="auto"/>
              <w:rPr>
                <w:rFonts w:ascii="Arial"/>
                <w:sz w:val="21"/>
              </w:rPr>
            </w:pPr>
          </w:p>
          <w:p w14:paraId="2F5D9FA8">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F7674CA">
            <w:pPr>
              <w:spacing w:line="259" w:lineRule="auto"/>
              <w:rPr>
                <w:rFonts w:ascii="Arial"/>
                <w:sz w:val="21"/>
              </w:rPr>
            </w:pPr>
          </w:p>
          <w:p w14:paraId="2864C3AE">
            <w:pPr>
              <w:spacing w:line="260" w:lineRule="auto"/>
              <w:rPr>
                <w:rFonts w:ascii="Arial"/>
                <w:sz w:val="21"/>
              </w:rPr>
            </w:pPr>
          </w:p>
          <w:p w14:paraId="5DE7946E">
            <w:pPr>
              <w:spacing w:line="260" w:lineRule="auto"/>
              <w:rPr>
                <w:rFonts w:ascii="Arial"/>
                <w:sz w:val="21"/>
              </w:rPr>
            </w:pPr>
          </w:p>
          <w:p w14:paraId="5B1A72C4">
            <w:pPr>
              <w:spacing w:line="260" w:lineRule="auto"/>
              <w:rPr>
                <w:rFonts w:ascii="Arial"/>
                <w:sz w:val="21"/>
              </w:rPr>
            </w:pPr>
          </w:p>
          <w:p w14:paraId="151735A9">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9AB3ADA">
            <w:pPr>
              <w:spacing w:line="341" w:lineRule="auto"/>
              <w:rPr>
                <w:rFonts w:ascii="Arial"/>
                <w:sz w:val="21"/>
              </w:rPr>
            </w:pPr>
          </w:p>
          <w:p w14:paraId="622EB1F8">
            <w:pPr>
              <w:spacing w:line="341" w:lineRule="auto"/>
              <w:rPr>
                <w:rFonts w:ascii="Arial"/>
                <w:sz w:val="21"/>
              </w:rPr>
            </w:pPr>
          </w:p>
          <w:p w14:paraId="661B4444">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7DADDDF3">
      <w:pPr>
        <w:pStyle w:val="2"/>
      </w:pPr>
    </w:p>
    <w:p w14:paraId="1F99F10F">
      <w:pPr>
        <w:sectPr>
          <w:footerReference r:id="rId174" w:type="default"/>
          <w:pgSz w:w="16839" w:h="11906"/>
          <w:pgMar w:top="1012" w:right="788" w:bottom="967" w:left="787" w:header="0" w:footer="768" w:gutter="0"/>
          <w:cols w:space="720" w:num="1"/>
        </w:sectPr>
      </w:pPr>
    </w:p>
    <w:p w14:paraId="11A8172F">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64D20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7F02B4AF">
            <w:pPr>
              <w:pStyle w:val="8"/>
              <w:spacing w:before="267" w:line="221" w:lineRule="auto"/>
              <w:ind w:left="142"/>
            </w:pPr>
            <w:r>
              <w:rPr>
                <w:b/>
                <w:bCs/>
                <w:spacing w:val="-4"/>
              </w:rPr>
              <w:t>序号</w:t>
            </w:r>
          </w:p>
        </w:tc>
        <w:tc>
          <w:tcPr>
            <w:tcW w:w="1136" w:type="dxa"/>
            <w:vMerge w:val="restart"/>
            <w:tcBorders>
              <w:bottom w:val="nil"/>
            </w:tcBorders>
            <w:vAlign w:val="top"/>
          </w:tcPr>
          <w:p w14:paraId="5E36187B">
            <w:pPr>
              <w:pStyle w:val="8"/>
              <w:spacing w:before="267" w:line="220" w:lineRule="auto"/>
              <w:ind w:left="208"/>
            </w:pPr>
            <w:r>
              <w:rPr>
                <w:b/>
                <w:bCs/>
                <w:spacing w:val="-4"/>
              </w:rPr>
              <w:t>事项名称</w:t>
            </w:r>
          </w:p>
        </w:tc>
        <w:tc>
          <w:tcPr>
            <w:tcW w:w="1136" w:type="dxa"/>
            <w:vMerge w:val="restart"/>
            <w:tcBorders>
              <w:bottom w:val="nil"/>
            </w:tcBorders>
            <w:vAlign w:val="top"/>
          </w:tcPr>
          <w:p w14:paraId="7B187880">
            <w:pPr>
              <w:pStyle w:val="8"/>
              <w:spacing w:before="267" w:line="219" w:lineRule="auto"/>
              <w:ind w:left="210"/>
            </w:pPr>
            <w:r>
              <w:rPr>
                <w:b/>
                <w:bCs/>
                <w:spacing w:val="-4"/>
              </w:rPr>
              <w:t>职权类型</w:t>
            </w:r>
          </w:p>
        </w:tc>
        <w:tc>
          <w:tcPr>
            <w:tcW w:w="8806" w:type="dxa"/>
            <w:vMerge w:val="restart"/>
            <w:tcBorders>
              <w:bottom w:val="nil"/>
            </w:tcBorders>
            <w:vAlign w:val="top"/>
          </w:tcPr>
          <w:p w14:paraId="7E7B9344">
            <w:pPr>
              <w:pStyle w:val="8"/>
              <w:spacing w:before="267" w:line="219" w:lineRule="auto"/>
              <w:ind w:left="4050"/>
            </w:pPr>
            <w:r>
              <w:rPr>
                <w:b/>
                <w:bCs/>
                <w:spacing w:val="-5"/>
              </w:rPr>
              <w:t>实施依据</w:t>
            </w:r>
          </w:p>
        </w:tc>
        <w:tc>
          <w:tcPr>
            <w:tcW w:w="3538" w:type="dxa"/>
            <w:gridSpan w:val="3"/>
            <w:vAlign w:val="top"/>
          </w:tcPr>
          <w:p w14:paraId="4540ED6D">
            <w:pPr>
              <w:pStyle w:val="8"/>
              <w:spacing w:before="92" w:line="220" w:lineRule="auto"/>
              <w:ind w:left="1415"/>
            </w:pPr>
            <w:r>
              <w:rPr>
                <w:b/>
                <w:bCs/>
                <w:spacing w:val="-5"/>
              </w:rPr>
              <w:t>实施主体</w:t>
            </w:r>
          </w:p>
        </w:tc>
      </w:tr>
      <w:tr w14:paraId="51886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6A4B181F">
            <w:pPr>
              <w:rPr>
                <w:rFonts w:ascii="Arial"/>
                <w:sz w:val="21"/>
              </w:rPr>
            </w:pPr>
          </w:p>
        </w:tc>
        <w:tc>
          <w:tcPr>
            <w:tcW w:w="1136" w:type="dxa"/>
            <w:vMerge w:val="continue"/>
            <w:tcBorders>
              <w:top w:val="nil"/>
            </w:tcBorders>
            <w:vAlign w:val="top"/>
          </w:tcPr>
          <w:p w14:paraId="3BCAC8A7">
            <w:pPr>
              <w:rPr>
                <w:rFonts w:ascii="Arial"/>
                <w:sz w:val="21"/>
              </w:rPr>
            </w:pPr>
          </w:p>
        </w:tc>
        <w:tc>
          <w:tcPr>
            <w:tcW w:w="1136" w:type="dxa"/>
            <w:vMerge w:val="continue"/>
            <w:tcBorders>
              <w:top w:val="nil"/>
            </w:tcBorders>
            <w:vAlign w:val="top"/>
          </w:tcPr>
          <w:p w14:paraId="009F8C85">
            <w:pPr>
              <w:rPr>
                <w:rFonts w:ascii="Arial"/>
                <w:sz w:val="21"/>
              </w:rPr>
            </w:pPr>
          </w:p>
        </w:tc>
        <w:tc>
          <w:tcPr>
            <w:tcW w:w="8806" w:type="dxa"/>
            <w:vMerge w:val="continue"/>
            <w:tcBorders>
              <w:top w:val="nil"/>
            </w:tcBorders>
            <w:vAlign w:val="top"/>
          </w:tcPr>
          <w:p w14:paraId="138D87B4">
            <w:pPr>
              <w:rPr>
                <w:rFonts w:ascii="Arial"/>
                <w:sz w:val="21"/>
              </w:rPr>
            </w:pPr>
          </w:p>
        </w:tc>
        <w:tc>
          <w:tcPr>
            <w:tcW w:w="1043" w:type="dxa"/>
            <w:vAlign w:val="top"/>
          </w:tcPr>
          <w:p w14:paraId="1D31DF81">
            <w:pPr>
              <w:pStyle w:val="8"/>
              <w:spacing w:before="88" w:line="219" w:lineRule="auto"/>
              <w:ind w:left="171"/>
            </w:pPr>
            <w:r>
              <w:rPr>
                <w:b/>
                <w:bCs/>
                <w:spacing w:val="-5"/>
              </w:rPr>
              <w:t>责任部门</w:t>
            </w:r>
          </w:p>
        </w:tc>
        <w:tc>
          <w:tcPr>
            <w:tcW w:w="1448" w:type="dxa"/>
            <w:vAlign w:val="top"/>
          </w:tcPr>
          <w:p w14:paraId="05A85348">
            <w:pPr>
              <w:pStyle w:val="8"/>
              <w:spacing w:before="88" w:line="219" w:lineRule="auto"/>
              <w:ind w:left="187"/>
            </w:pPr>
            <w:r>
              <w:rPr>
                <w:b/>
                <w:bCs/>
                <w:spacing w:val="-3"/>
              </w:rPr>
              <w:t>第一责任层级</w:t>
            </w:r>
          </w:p>
        </w:tc>
        <w:tc>
          <w:tcPr>
            <w:tcW w:w="1047" w:type="dxa"/>
            <w:vAlign w:val="top"/>
          </w:tcPr>
          <w:p w14:paraId="3F93C9B6">
            <w:pPr>
              <w:pStyle w:val="8"/>
              <w:spacing w:before="88" w:line="219" w:lineRule="auto"/>
              <w:ind w:left="165"/>
            </w:pPr>
            <w:r>
              <w:rPr>
                <w:b/>
                <w:bCs/>
                <w:spacing w:val="-4"/>
              </w:rPr>
              <w:t>承办机构</w:t>
            </w:r>
          </w:p>
        </w:tc>
      </w:tr>
      <w:tr w14:paraId="54EF6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3" w:hRule="atLeast"/>
        </w:trPr>
        <w:tc>
          <w:tcPr>
            <w:tcW w:w="641" w:type="dxa"/>
            <w:vAlign w:val="top"/>
          </w:tcPr>
          <w:p w14:paraId="0AEA9CE9">
            <w:pPr>
              <w:spacing w:line="253" w:lineRule="auto"/>
              <w:rPr>
                <w:rFonts w:ascii="Arial"/>
                <w:sz w:val="21"/>
              </w:rPr>
            </w:pPr>
          </w:p>
          <w:p w14:paraId="79DD660C">
            <w:pPr>
              <w:spacing w:line="253" w:lineRule="auto"/>
              <w:rPr>
                <w:rFonts w:ascii="Arial"/>
                <w:sz w:val="21"/>
              </w:rPr>
            </w:pPr>
          </w:p>
          <w:p w14:paraId="5BF68C97">
            <w:pPr>
              <w:spacing w:line="253" w:lineRule="auto"/>
              <w:rPr>
                <w:rFonts w:ascii="Arial"/>
                <w:sz w:val="21"/>
              </w:rPr>
            </w:pPr>
          </w:p>
          <w:p w14:paraId="5670CABA">
            <w:pPr>
              <w:spacing w:line="253" w:lineRule="auto"/>
              <w:rPr>
                <w:rFonts w:ascii="Arial"/>
                <w:sz w:val="21"/>
              </w:rPr>
            </w:pPr>
          </w:p>
          <w:p w14:paraId="260C5778">
            <w:pPr>
              <w:spacing w:line="253" w:lineRule="auto"/>
              <w:rPr>
                <w:rFonts w:ascii="Arial"/>
                <w:sz w:val="21"/>
              </w:rPr>
            </w:pPr>
          </w:p>
          <w:p w14:paraId="40BCE756">
            <w:pPr>
              <w:spacing w:line="253" w:lineRule="auto"/>
              <w:rPr>
                <w:rFonts w:ascii="Arial"/>
                <w:sz w:val="21"/>
              </w:rPr>
            </w:pPr>
          </w:p>
          <w:p w14:paraId="7BDC4BF9">
            <w:pPr>
              <w:spacing w:line="253" w:lineRule="auto"/>
              <w:rPr>
                <w:rFonts w:ascii="Arial"/>
                <w:sz w:val="21"/>
              </w:rPr>
            </w:pPr>
          </w:p>
          <w:p w14:paraId="5AC50205">
            <w:pPr>
              <w:spacing w:line="253" w:lineRule="auto"/>
              <w:rPr>
                <w:rFonts w:ascii="Arial"/>
                <w:sz w:val="21"/>
              </w:rPr>
            </w:pPr>
          </w:p>
          <w:p w14:paraId="23A43C99">
            <w:pPr>
              <w:spacing w:line="253" w:lineRule="auto"/>
              <w:rPr>
                <w:rFonts w:ascii="Arial"/>
                <w:sz w:val="21"/>
              </w:rPr>
            </w:pPr>
          </w:p>
          <w:p w14:paraId="68485EFE">
            <w:pPr>
              <w:spacing w:line="253" w:lineRule="auto"/>
              <w:rPr>
                <w:rFonts w:ascii="Arial"/>
                <w:sz w:val="21"/>
              </w:rPr>
            </w:pPr>
          </w:p>
          <w:p w14:paraId="6950E053">
            <w:pPr>
              <w:spacing w:line="253" w:lineRule="auto"/>
              <w:rPr>
                <w:rFonts w:ascii="Arial"/>
                <w:sz w:val="21"/>
              </w:rPr>
            </w:pPr>
          </w:p>
          <w:p w14:paraId="24007C57">
            <w:pPr>
              <w:spacing w:line="253" w:lineRule="auto"/>
              <w:rPr>
                <w:rFonts w:ascii="Arial"/>
                <w:sz w:val="21"/>
              </w:rPr>
            </w:pPr>
          </w:p>
          <w:p w14:paraId="5C47B7AA">
            <w:pPr>
              <w:spacing w:line="253" w:lineRule="auto"/>
              <w:rPr>
                <w:rFonts w:ascii="Arial"/>
                <w:sz w:val="21"/>
              </w:rPr>
            </w:pPr>
          </w:p>
          <w:p w14:paraId="4477C1A1">
            <w:pPr>
              <w:spacing w:line="253" w:lineRule="auto"/>
              <w:rPr>
                <w:rFonts w:ascii="Arial"/>
                <w:sz w:val="21"/>
              </w:rPr>
            </w:pPr>
          </w:p>
          <w:p w14:paraId="15F31E87">
            <w:pPr>
              <w:spacing w:line="253" w:lineRule="auto"/>
              <w:rPr>
                <w:rFonts w:ascii="Arial"/>
                <w:sz w:val="21"/>
              </w:rPr>
            </w:pPr>
          </w:p>
          <w:p w14:paraId="419CF56F">
            <w:pPr>
              <w:spacing w:line="253" w:lineRule="auto"/>
              <w:rPr>
                <w:rFonts w:ascii="Arial"/>
                <w:sz w:val="21"/>
              </w:rPr>
            </w:pPr>
          </w:p>
          <w:p w14:paraId="479592B1">
            <w:pPr>
              <w:spacing w:line="253" w:lineRule="auto"/>
              <w:rPr>
                <w:rFonts w:ascii="Arial"/>
                <w:sz w:val="21"/>
              </w:rPr>
            </w:pPr>
          </w:p>
          <w:p w14:paraId="1D99E0F9">
            <w:pPr>
              <w:pStyle w:val="8"/>
              <w:spacing w:before="58" w:line="184" w:lineRule="auto"/>
              <w:ind w:left="248"/>
            </w:pPr>
            <w:r>
              <w:rPr>
                <w:spacing w:val="-10"/>
              </w:rPr>
              <w:t>18</w:t>
            </w:r>
          </w:p>
        </w:tc>
        <w:tc>
          <w:tcPr>
            <w:tcW w:w="1136" w:type="dxa"/>
            <w:vAlign w:val="top"/>
          </w:tcPr>
          <w:p w14:paraId="16FD856E">
            <w:pPr>
              <w:spacing w:line="256" w:lineRule="auto"/>
              <w:rPr>
                <w:rFonts w:ascii="Arial"/>
                <w:sz w:val="21"/>
              </w:rPr>
            </w:pPr>
          </w:p>
          <w:p w14:paraId="7D213C12">
            <w:pPr>
              <w:spacing w:line="256" w:lineRule="auto"/>
              <w:rPr>
                <w:rFonts w:ascii="Arial"/>
                <w:sz w:val="21"/>
              </w:rPr>
            </w:pPr>
          </w:p>
          <w:p w14:paraId="19FD0F84">
            <w:pPr>
              <w:spacing w:line="256" w:lineRule="auto"/>
              <w:rPr>
                <w:rFonts w:ascii="Arial"/>
                <w:sz w:val="21"/>
              </w:rPr>
            </w:pPr>
          </w:p>
          <w:p w14:paraId="48D5A78A">
            <w:pPr>
              <w:spacing w:line="256" w:lineRule="auto"/>
              <w:rPr>
                <w:rFonts w:ascii="Arial"/>
                <w:sz w:val="21"/>
              </w:rPr>
            </w:pPr>
          </w:p>
          <w:p w14:paraId="3177F51F">
            <w:pPr>
              <w:spacing w:line="256" w:lineRule="auto"/>
              <w:rPr>
                <w:rFonts w:ascii="Arial"/>
                <w:sz w:val="21"/>
              </w:rPr>
            </w:pPr>
          </w:p>
          <w:p w14:paraId="6100F08D">
            <w:pPr>
              <w:spacing w:line="256" w:lineRule="auto"/>
              <w:rPr>
                <w:rFonts w:ascii="Arial"/>
                <w:sz w:val="21"/>
              </w:rPr>
            </w:pPr>
          </w:p>
          <w:p w14:paraId="2DD8DDB4">
            <w:pPr>
              <w:spacing w:line="257" w:lineRule="auto"/>
              <w:rPr>
                <w:rFonts w:ascii="Arial"/>
                <w:sz w:val="21"/>
              </w:rPr>
            </w:pPr>
          </w:p>
          <w:p w14:paraId="51219F84">
            <w:pPr>
              <w:spacing w:line="257" w:lineRule="auto"/>
              <w:rPr>
                <w:rFonts w:ascii="Arial"/>
                <w:sz w:val="21"/>
              </w:rPr>
            </w:pPr>
          </w:p>
          <w:p w14:paraId="498A91AF">
            <w:pPr>
              <w:spacing w:line="257" w:lineRule="auto"/>
              <w:rPr>
                <w:rFonts w:ascii="Arial"/>
                <w:sz w:val="21"/>
              </w:rPr>
            </w:pPr>
          </w:p>
          <w:p w14:paraId="4EA6613E">
            <w:pPr>
              <w:spacing w:line="257" w:lineRule="auto"/>
              <w:rPr>
                <w:rFonts w:ascii="Arial"/>
                <w:sz w:val="21"/>
              </w:rPr>
            </w:pPr>
          </w:p>
          <w:p w14:paraId="3B08721A">
            <w:pPr>
              <w:spacing w:line="257" w:lineRule="auto"/>
              <w:rPr>
                <w:rFonts w:ascii="Arial"/>
                <w:sz w:val="21"/>
              </w:rPr>
            </w:pPr>
          </w:p>
          <w:p w14:paraId="09E2C80C">
            <w:pPr>
              <w:spacing w:line="257" w:lineRule="auto"/>
              <w:rPr>
                <w:rFonts w:ascii="Arial"/>
                <w:sz w:val="21"/>
              </w:rPr>
            </w:pPr>
          </w:p>
          <w:p w14:paraId="503E940A">
            <w:pPr>
              <w:pStyle w:val="8"/>
              <w:spacing w:before="59" w:line="244" w:lineRule="auto"/>
              <w:ind w:left="109" w:right="101"/>
              <w:jc w:val="both"/>
            </w:pPr>
            <w:r>
              <w:rPr>
                <w:spacing w:val="3"/>
              </w:rPr>
              <w:t>对在内河通</w:t>
            </w:r>
            <w:r>
              <w:rPr>
                <w:spacing w:val="1"/>
              </w:rPr>
              <w:t xml:space="preserve"> </w:t>
            </w:r>
            <w:r>
              <w:rPr>
                <w:spacing w:val="3"/>
              </w:rPr>
              <w:t>航水域或者</w:t>
            </w:r>
            <w:r>
              <w:rPr>
                <w:spacing w:val="1"/>
              </w:rPr>
              <w:t xml:space="preserve"> </w:t>
            </w:r>
            <w:r>
              <w:rPr>
                <w:spacing w:val="3"/>
              </w:rPr>
              <w:t>岸线上进行</w:t>
            </w:r>
            <w:r>
              <w:rPr>
                <w:spacing w:val="1"/>
              </w:rPr>
              <w:t xml:space="preserve"> </w:t>
            </w:r>
            <w:r>
              <w:rPr>
                <w:spacing w:val="3"/>
              </w:rPr>
              <w:t>有关作业或</w:t>
            </w:r>
            <w:r>
              <w:rPr>
                <w:spacing w:val="1"/>
              </w:rPr>
              <w:t xml:space="preserve"> </w:t>
            </w:r>
            <w:r>
              <w:rPr>
                <w:spacing w:val="3"/>
              </w:rPr>
              <w:t>者活动未经</w:t>
            </w:r>
            <w:r>
              <w:rPr>
                <w:spacing w:val="1"/>
              </w:rPr>
              <w:t xml:space="preserve"> 批</w:t>
            </w:r>
            <w:r>
              <w:rPr>
                <w:spacing w:val="-26"/>
              </w:rPr>
              <w:t xml:space="preserve"> </w:t>
            </w:r>
            <w:r>
              <w:rPr>
                <w:spacing w:val="1"/>
              </w:rPr>
              <w:t>准</w:t>
            </w:r>
            <w:r>
              <w:rPr>
                <w:spacing w:val="-28"/>
              </w:rPr>
              <w:t xml:space="preserve"> </w:t>
            </w:r>
            <w:r>
              <w:rPr>
                <w:spacing w:val="1"/>
              </w:rPr>
              <w:t>或</w:t>
            </w:r>
            <w:r>
              <w:rPr>
                <w:spacing w:val="-26"/>
              </w:rPr>
              <w:t xml:space="preserve"> </w:t>
            </w:r>
            <w:r>
              <w:rPr>
                <w:spacing w:val="1"/>
              </w:rPr>
              <w:t>者</w:t>
            </w:r>
            <w:r>
              <w:t xml:space="preserve"> </w:t>
            </w:r>
            <w:r>
              <w:rPr>
                <w:spacing w:val="3"/>
              </w:rPr>
              <w:t>备案，或者</w:t>
            </w:r>
            <w:r>
              <w:t xml:space="preserve"> </w:t>
            </w:r>
            <w:r>
              <w:rPr>
                <w:spacing w:val="2"/>
              </w:rPr>
              <w:t>未</w:t>
            </w:r>
            <w:r>
              <w:rPr>
                <w:spacing w:val="-25"/>
              </w:rPr>
              <w:t xml:space="preserve"> </w:t>
            </w:r>
            <w:r>
              <w:rPr>
                <w:spacing w:val="2"/>
              </w:rPr>
              <w:t>设</w:t>
            </w:r>
            <w:r>
              <w:rPr>
                <w:spacing w:val="-32"/>
              </w:rPr>
              <w:t xml:space="preserve"> </w:t>
            </w:r>
            <w:r>
              <w:rPr>
                <w:spacing w:val="2"/>
              </w:rPr>
              <w:t>置</w:t>
            </w:r>
            <w:r>
              <w:rPr>
                <w:spacing w:val="-27"/>
              </w:rPr>
              <w:t xml:space="preserve"> </w:t>
            </w:r>
            <w:r>
              <w:rPr>
                <w:spacing w:val="2"/>
              </w:rPr>
              <w:t>标</w:t>
            </w:r>
            <w:r>
              <w:t xml:space="preserve"> </w:t>
            </w:r>
            <w:r>
              <w:rPr>
                <w:spacing w:val="3"/>
              </w:rPr>
              <w:t>志、显示信</w:t>
            </w:r>
            <w:r>
              <w:rPr>
                <w:spacing w:val="1"/>
              </w:rPr>
              <w:t xml:space="preserve"> </w:t>
            </w:r>
            <w:r>
              <w:rPr>
                <w:spacing w:val="3"/>
              </w:rPr>
              <w:t xml:space="preserve">号等行为的 </w:t>
            </w:r>
            <w:r>
              <w:rPr>
                <w:spacing w:val="-4"/>
              </w:rPr>
              <w:t>行政处罚</w:t>
            </w:r>
          </w:p>
        </w:tc>
        <w:tc>
          <w:tcPr>
            <w:tcW w:w="1136" w:type="dxa"/>
            <w:vAlign w:val="top"/>
          </w:tcPr>
          <w:p w14:paraId="7F2148B7">
            <w:pPr>
              <w:spacing w:line="251" w:lineRule="auto"/>
              <w:rPr>
                <w:rFonts w:ascii="Arial"/>
                <w:sz w:val="21"/>
              </w:rPr>
            </w:pPr>
          </w:p>
          <w:p w14:paraId="3725A392">
            <w:pPr>
              <w:spacing w:line="251" w:lineRule="auto"/>
              <w:rPr>
                <w:rFonts w:ascii="Arial"/>
                <w:sz w:val="21"/>
              </w:rPr>
            </w:pPr>
          </w:p>
          <w:p w14:paraId="7BB05905">
            <w:pPr>
              <w:spacing w:line="251" w:lineRule="auto"/>
              <w:rPr>
                <w:rFonts w:ascii="Arial"/>
                <w:sz w:val="21"/>
              </w:rPr>
            </w:pPr>
          </w:p>
          <w:p w14:paraId="78ACA26C">
            <w:pPr>
              <w:spacing w:line="251" w:lineRule="auto"/>
              <w:rPr>
                <w:rFonts w:ascii="Arial"/>
                <w:sz w:val="21"/>
              </w:rPr>
            </w:pPr>
          </w:p>
          <w:p w14:paraId="27D99AE3">
            <w:pPr>
              <w:spacing w:line="251" w:lineRule="auto"/>
              <w:rPr>
                <w:rFonts w:ascii="Arial"/>
                <w:sz w:val="21"/>
              </w:rPr>
            </w:pPr>
          </w:p>
          <w:p w14:paraId="0166844B">
            <w:pPr>
              <w:spacing w:line="251" w:lineRule="auto"/>
              <w:rPr>
                <w:rFonts w:ascii="Arial"/>
                <w:sz w:val="21"/>
              </w:rPr>
            </w:pPr>
          </w:p>
          <w:p w14:paraId="031D39DE">
            <w:pPr>
              <w:spacing w:line="251" w:lineRule="auto"/>
              <w:rPr>
                <w:rFonts w:ascii="Arial"/>
                <w:sz w:val="21"/>
              </w:rPr>
            </w:pPr>
          </w:p>
          <w:p w14:paraId="3AE66E45">
            <w:pPr>
              <w:spacing w:line="251" w:lineRule="auto"/>
              <w:rPr>
                <w:rFonts w:ascii="Arial"/>
                <w:sz w:val="21"/>
              </w:rPr>
            </w:pPr>
          </w:p>
          <w:p w14:paraId="2CC011D6">
            <w:pPr>
              <w:spacing w:line="251" w:lineRule="auto"/>
              <w:rPr>
                <w:rFonts w:ascii="Arial"/>
                <w:sz w:val="21"/>
              </w:rPr>
            </w:pPr>
          </w:p>
          <w:p w14:paraId="6E77FFB8">
            <w:pPr>
              <w:spacing w:line="251" w:lineRule="auto"/>
              <w:rPr>
                <w:rFonts w:ascii="Arial"/>
                <w:sz w:val="21"/>
              </w:rPr>
            </w:pPr>
          </w:p>
          <w:p w14:paraId="33392BB3">
            <w:pPr>
              <w:spacing w:line="251" w:lineRule="auto"/>
              <w:rPr>
                <w:rFonts w:ascii="Arial"/>
                <w:sz w:val="21"/>
              </w:rPr>
            </w:pPr>
          </w:p>
          <w:p w14:paraId="0B1F5BAC">
            <w:pPr>
              <w:spacing w:line="252" w:lineRule="auto"/>
              <w:rPr>
                <w:rFonts w:ascii="Arial"/>
                <w:sz w:val="21"/>
              </w:rPr>
            </w:pPr>
          </w:p>
          <w:p w14:paraId="1FEE90BE">
            <w:pPr>
              <w:spacing w:line="252" w:lineRule="auto"/>
              <w:rPr>
                <w:rFonts w:ascii="Arial"/>
                <w:sz w:val="21"/>
              </w:rPr>
            </w:pPr>
          </w:p>
          <w:p w14:paraId="4BC38C3B">
            <w:pPr>
              <w:spacing w:line="252" w:lineRule="auto"/>
              <w:rPr>
                <w:rFonts w:ascii="Arial"/>
                <w:sz w:val="21"/>
              </w:rPr>
            </w:pPr>
          </w:p>
          <w:p w14:paraId="79D4622B">
            <w:pPr>
              <w:spacing w:line="252" w:lineRule="auto"/>
              <w:rPr>
                <w:rFonts w:ascii="Arial"/>
                <w:sz w:val="21"/>
              </w:rPr>
            </w:pPr>
          </w:p>
          <w:p w14:paraId="3E3ABFA8">
            <w:pPr>
              <w:spacing w:line="252" w:lineRule="auto"/>
              <w:rPr>
                <w:rFonts w:ascii="Arial"/>
                <w:sz w:val="21"/>
              </w:rPr>
            </w:pPr>
          </w:p>
          <w:p w14:paraId="5587ED26">
            <w:pPr>
              <w:spacing w:line="252" w:lineRule="auto"/>
              <w:rPr>
                <w:rFonts w:ascii="Arial"/>
                <w:sz w:val="21"/>
              </w:rPr>
            </w:pPr>
          </w:p>
          <w:p w14:paraId="6CB6DF68">
            <w:pPr>
              <w:pStyle w:val="8"/>
              <w:spacing w:before="59" w:line="220" w:lineRule="auto"/>
              <w:ind w:left="114"/>
            </w:pPr>
            <w:r>
              <w:rPr>
                <w:spacing w:val="-7"/>
              </w:rPr>
              <w:t>行政处罚</w:t>
            </w:r>
          </w:p>
        </w:tc>
        <w:tc>
          <w:tcPr>
            <w:tcW w:w="8806" w:type="dxa"/>
            <w:vAlign w:val="top"/>
          </w:tcPr>
          <w:p w14:paraId="79C14E04">
            <w:pPr>
              <w:pStyle w:val="8"/>
              <w:spacing w:before="38" w:line="219" w:lineRule="auto"/>
              <w:ind w:left="483"/>
            </w:pPr>
            <w:r>
              <w:rPr>
                <w:b/>
                <w:bCs/>
                <w:spacing w:val="-4"/>
              </w:rPr>
              <w:t>1.《中华人民共和国内河交通安全管理条例》</w:t>
            </w:r>
          </w:p>
          <w:p w14:paraId="66F0C90A">
            <w:pPr>
              <w:pStyle w:val="8"/>
              <w:spacing w:before="27" w:line="239" w:lineRule="auto"/>
              <w:ind w:left="112" w:right="151" w:firstLine="358"/>
            </w:pPr>
            <w:r>
              <w:rPr>
                <w:spacing w:val="-2"/>
              </w:rPr>
              <w:t>第二十五条  在内河通航水域或者岸线上进行下列可能影响通航安全的作业或者活动的</w:t>
            </w:r>
            <w:r>
              <w:rPr>
                <w:spacing w:val="-3"/>
              </w:rPr>
              <w:t>，应当在进行作业</w:t>
            </w:r>
            <w:r>
              <w:t xml:space="preserve"> </w:t>
            </w:r>
            <w:r>
              <w:rPr>
                <w:spacing w:val="-1"/>
              </w:rPr>
              <w:t>或者活动前报海事管理机构批准</w:t>
            </w:r>
            <w:r>
              <w:rPr>
                <w:spacing w:val="-10"/>
              </w:rPr>
              <w:t>：（</w:t>
            </w:r>
            <w:r>
              <w:rPr>
                <w:spacing w:val="-1"/>
              </w:rPr>
              <w:t>一）勘探、采掘、爆破</w:t>
            </w:r>
            <w:r>
              <w:rPr>
                <w:spacing w:val="-10"/>
              </w:rPr>
              <w:t>；（</w:t>
            </w:r>
            <w:r>
              <w:rPr>
                <w:spacing w:val="-2"/>
              </w:rPr>
              <w:t>二）构筑、设置、维修、拆除水上水下构筑物</w:t>
            </w:r>
            <w:r>
              <w:t xml:space="preserve"> 或者设施</w:t>
            </w:r>
            <w:r>
              <w:rPr>
                <w:spacing w:val="-15"/>
              </w:rPr>
              <w:t>；（</w:t>
            </w:r>
            <w:r>
              <w:t>三）架设桥梁、索道</w:t>
            </w:r>
            <w:r>
              <w:rPr>
                <w:spacing w:val="-15"/>
              </w:rPr>
              <w:t>；（</w:t>
            </w:r>
            <w:r>
              <w:t>四）铺设、检修、拆除水上水下</w:t>
            </w:r>
            <w:r>
              <w:rPr>
                <w:spacing w:val="-1"/>
              </w:rPr>
              <w:t>电缆或者管道</w:t>
            </w:r>
            <w:r>
              <w:rPr>
                <w:spacing w:val="-15"/>
              </w:rPr>
              <w:t>；（</w:t>
            </w:r>
            <w:r>
              <w:rPr>
                <w:spacing w:val="-1"/>
              </w:rPr>
              <w:t>五）设置系船浮筒、</w:t>
            </w:r>
            <w:r>
              <w:rPr>
                <w:spacing w:val="1"/>
              </w:rPr>
              <w:t xml:space="preserve"> </w:t>
            </w:r>
            <w:r>
              <w:rPr>
                <w:spacing w:val="-2"/>
              </w:rPr>
              <w:t>浮趸、缆桩等设施</w:t>
            </w:r>
            <w:r>
              <w:rPr>
                <w:spacing w:val="-7"/>
              </w:rPr>
              <w:t>；（</w:t>
            </w:r>
            <w:r>
              <w:rPr>
                <w:spacing w:val="-2"/>
              </w:rPr>
              <w:t>六）航道建设，航道、码头前沿水域疏浚</w:t>
            </w:r>
            <w:r>
              <w:rPr>
                <w:spacing w:val="-7"/>
              </w:rPr>
              <w:t>；（</w:t>
            </w:r>
            <w:r>
              <w:rPr>
                <w:spacing w:val="-2"/>
              </w:rPr>
              <w:t>七）举行大型群众性活动、体育比赛。</w:t>
            </w:r>
          </w:p>
          <w:p w14:paraId="13A50061">
            <w:pPr>
              <w:pStyle w:val="8"/>
              <w:spacing w:before="25" w:line="233" w:lineRule="auto"/>
              <w:ind w:left="112" w:right="61" w:firstLine="357"/>
            </w:pPr>
            <w:r>
              <w:rPr>
                <w:spacing w:val="-4"/>
              </w:rPr>
              <w:t>进行前款所列作业或者活动，需要进行可行性研究的，在进行可行性研究时应当征求海事管理机构的</w:t>
            </w:r>
            <w:r>
              <w:rPr>
                <w:spacing w:val="-5"/>
              </w:rPr>
              <w:t>意见；</w:t>
            </w:r>
            <w:r>
              <w:t xml:space="preserve"> </w:t>
            </w:r>
            <w:r>
              <w:rPr>
                <w:spacing w:val="-2"/>
              </w:rPr>
              <w:t>依照法律、行政法规的规定，需经其他有关部门审批的，还应当依法办理</w:t>
            </w:r>
            <w:r>
              <w:rPr>
                <w:spacing w:val="-3"/>
              </w:rPr>
              <w:t>有关审批手续。</w:t>
            </w:r>
          </w:p>
          <w:p w14:paraId="1C53CA76">
            <w:pPr>
              <w:pStyle w:val="8"/>
              <w:spacing w:before="27" w:line="237" w:lineRule="auto"/>
              <w:ind w:left="110" w:right="60" w:firstLine="357"/>
            </w:pPr>
            <w:r>
              <w:rPr>
                <w:spacing w:val="-4"/>
              </w:rPr>
              <w:t>第二十八条  在内河通航水域进行下列可能影响通航安全的作业，应当在进行作业前向海事管理机构备案：</w:t>
            </w:r>
            <w:r>
              <w:rPr>
                <w:spacing w:val="3"/>
              </w:rPr>
              <w:t xml:space="preserve"> </w:t>
            </w:r>
            <w:r>
              <w:rPr>
                <w:spacing w:val="-1"/>
              </w:rPr>
              <w:t>（一）气象观测、测量、地质调查</w:t>
            </w:r>
            <w:r>
              <w:rPr>
                <w:spacing w:val="-10"/>
              </w:rPr>
              <w:t>；（</w:t>
            </w:r>
            <w:r>
              <w:rPr>
                <w:spacing w:val="-1"/>
              </w:rPr>
              <w:t>二）航道日常养护</w:t>
            </w:r>
            <w:r>
              <w:rPr>
                <w:spacing w:val="-10"/>
              </w:rPr>
              <w:t>；（</w:t>
            </w:r>
            <w:r>
              <w:rPr>
                <w:spacing w:val="-1"/>
              </w:rPr>
              <w:t>三）大面积清除水面垃圾</w:t>
            </w:r>
            <w:r>
              <w:rPr>
                <w:spacing w:val="-10"/>
              </w:rPr>
              <w:t>；（</w:t>
            </w:r>
            <w:r>
              <w:rPr>
                <w:spacing w:val="-1"/>
              </w:rPr>
              <w:t>四）可能影响内河</w:t>
            </w:r>
            <w:r>
              <w:t xml:space="preserve">  </w:t>
            </w:r>
            <w:r>
              <w:rPr>
                <w:spacing w:val="-3"/>
              </w:rPr>
              <w:t>通航水域交通安全的其他行为。</w:t>
            </w:r>
          </w:p>
          <w:p w14:paraId="5268B45A">
            <w:pPr>
              <w:pStyle w:val="8"/>
              <w:spacing w:before="25" w:line="233" w:lineRule="auto"/>
              <w:ind w:left="116" w:right="107" w:firstLine="352"/>
            </w:pPr>
            <w:r>
              <w:rPr>
                <w:spacing w:val="-5"/>
              </w:rPr>
              <w:t>第二十九条  进行本条例第二十五条、第二十八条规定的作业或者活动时，应当在作业或者活动区域设置标</w:t>
            </w:r>
            <w:r>
              <w:rPr>
                <w:spacing w:val="3"/>
              </w:rPr>
              <w:t xml:space="preserve"> </w:t>
            </w:r>
            <w:r>
              <w:rPr>
                <w:spacing w:val="-3"/>
              </w:rPr>
              <w:t>志和显示信号，并按照海事管理机构的规定，采取相应的安全措施，保障通航安全。</w:t>
            </w:r>
          </w:p>
          <w:p w14:paraId="3B6CB0FE">
            <w:pPr>
              <w:pStyle w:val="8"/>
              <w:spacing w:before="27" w:line="219" w:lineRule="auto"/>
              <w:ind w:left="471"/>
            </w:pPr>
            <w:r>
              <w:rPr>
                <w:spacing w:val="-4"/>
              </w:rPr>
              <w:t>前款作业或者活动完成后，不得遗留任何妨碍航行</w:t>
            </w:r>
            <w:r>
              <w:rPr>
                <w:spacing w:val="-5"/>
              </w:rPr>
              <w:t>的物体。</w:t>
            </w:r>
          </w:p>
          <w:p w14:paraId="430361DF">
            <w:pPr>
              <w:pStyle w:val="8"/>
              <w:spacing w:before="25" w:line="233" w:lineRule="auto"/>
              <w:ind w:left="112" w:right="157" w:firstLine="358"/>
            </w:pPr>
            <w:r>
              <w:rPr>
                <w:spacing w:val="-2"/>
              </w:rPr>
              <w:t>第七十条  违反本条例的规定，在内河通航水域或者岸线上进行有关作业</w:t>
            </w:r>
            <w:r>
              <w:rPr>
                <w:spacing w:val="-3"/>
              </w:rPr>
              <w:t>或者活动未经批准或者备案，或</w:t>
            </w:r>
            <w:r>
              <w:t xml:space="preserve"> </w:t>
            </w:r>
            <w:r>
              <w:rPr>
                <w:spacing w:val="-2"/>
              </w:rPr>
              <w:t>者未设置标志、显示信号的，由海事管理机构责令改正，处5000元以上5万元以下的罚</w:t>
            </w:r>
            <w:r>
              <w:rPr>
                <w:spacing w:val="-3"/>
              </w:rPr>
              <w:t>款。</w:t>
            </w:r>
          </w:p>
          <w:p w14:paraId="771E2A6F">
            <w:pPr>
              <w:pStyle w:val="8"/>
              <w:spacing w:before="26" w:line="219" w:lineRule="auto"/>
              <w:ind w:left="472"/>
            </w:pPr>
            <w:r>
              <w:rPr>
                <w:b/>
                <w:bCs/>
                <w:spacing w:val="-3"/>
              </w:rPr>
              <w:t>2.《中华人民共和国内河海事行政处罚规定》（交通运输部令202</w:t>
            </w:r>
            <w:r>
              <w:rPr>
                <w:b/>
                <w:bCs/>
                <w:spacing w:val="-4"/>
              </w:rPr>
              <w:t>2年第28号）</w:t>
            </w:r>
          </w:p>
          <w:p w14:paraId="67B3C776">
            <w:pPr>
              <w:pStyle w:val="8"/>
              <w:spacing w:before="26" w:line="233" w:lineRule="auto"/>
              <w:ind w:left="114" w:right="151" w:firstLine="353"/>
            </w:pPr>
            <w:r>
              <w:rPr>
                <w:spacing w:val="-2"/>
              </w:rPr>
              <w:t>第十九条  违反《内河交通安全管理条例》第二十八条的规定，在内河通航水域进行有关作</w:t>
            </w:r>
            <w:r>
              <w:rPr>
                <w:spacing w:val="-3"/>
              </w:rPr>
              <w:t>业，不按照规</w:t>
            </w:r>
            <w:r>
              <w:t xml:space="preserve"> </w:t>
            </w:r>
            <w:r>
              <w:rPr>
                <w:spacing w:val="-2"/>
              </w:rPr>
              <w:t>定备案的，依照《内河交通安全管理条例》第七十条的规定，责令改正，处以5000元以上5万元以下罚</w:t>
            </w:r>
            <w:r>
              <w:rPr>
                <w:spacing w:val="-3"/>
              </w:rPr>
              <w:t>款。</w:t>
            </w:r>
          </w:p>
          <w:p w14:paraId="6BF24A82">
            <w:pPr>
              <w:pStyle w:val="8"/>
              <w:spacing w:before="26" w:line="219" w:lineRule="auto"/>
              <w:ind w:right="11"/>
              <w:jc w:val="right"/>
            </w:pPr>
            <w:r>
              <w:rPr>
                <w:spacing w:val="-1"/>
              </w:rPr>
              <w:t>本条前款所称有关作业，包括以下作业</w:t>
            </w:r>
            <w:r>
              <w:rPr>
                <w:spacing w:val="-25"/>
              </w:rPr>
              <w:t>：（</w:t>
            </w:r>
            <w:r>
              <w:rPr>
                <w:spacing w:val="-1"/>
              </w:rPr>
              <w:t>一）气象观测、测量、地质调查</w:t>
            </w:r>
            <w:r>
              <w:rPr>
                <w:spacing w:val="-25"/>
              </w:rPr>
              <w:t>；（</w:t>
            </w:r>
            <w:r>
              <w:rPr>
                <w:spacing w:val="-1"/>
              </w:rPr>
              <w:t>二）大面积清除水面垃圾；</w:t>
            </w:r>
          </w:p>
          <w:p w14:paraId="23641B41">
            <w:pPr>
              <w:pStyle w:val="8"/>
              <w:spacing w:before="28" w:line="219" w:lineRule="auto"/>
              <w:ind w:left="120"/>
            </w:pPr>
            <w:r>
              <w:rPr>
                <w:spacing w:val="-4"/>
              </w:rPr>
              <w:t>（三）可能影响内河通航水域交通安全的其他行为。</w:t>
            </w:r>
          </w:p>
          <w:p w14:paraId="1C0CC201">
            <w:pPr>
              <w:pStyle w:val="8"/>
              <w:spacing w:before="25"/>
              <w:ind w:left="110" w:right="45" w:firstLine="358"/>
              <w:jc w:val="both"/>
            </w:pPr>
            <w:r>
              <w:rPr>
                <w:spacing w:val="-2"/>
              </w:rPr>
              <w:t>本条第二款第（三）项所称可能影响内河通航水域交通安全的其他行为，包括下列行为</w:t>
            </w:r>
            <w:r>
              <w:rPr>
                <w:spacing w:val="-7"/>
              </w:rPr>
              <w:t>：（</w:t>
            </w:r>
            <w:r>
              <w:rPr>
                <w:spacing w:val="-2"/>
              </w:rPr>
              <w:t>一）检修影响</w:t>
            </w:r>
            <w:r>
              <w:t xml:space="preserve">  </w:t>
            </w:r>
            <w:r>
              <w:rPr>
                <w:spacing w:val="-1"/>
              </w:rPr>
              <w:t>船舶适航性能设备</w:t>
            </w:r>
            <w:r>
              <w:rPr>
                <w:spacing w:val="-19"/>
              </w:rPr>
              <w:t>；（</w:t>
            </w:r>
            <w:r>
              <w:rPr>
                <w:spacing w:val="-1"/>
              </w:rPr>
              <w:t>二）检修通信设备和消防、救</w:t>
            </w:r>
            <w:r>
              <w:rPr>
                <w:spacing w:val="-2"/>
              </w:rPr>
              <w:t>生设备</w:t>
            </w:r>
            <w:r>
              <w:rPr>
                <w:spacing w:val="-19"/>
              </w:rPr>
              <w:t>；（</w:t>
            </w:r>
            <w:r>
              <w:rPr>
                <w:spacing w:val="-2"/>
              </w:rPr>
              <w:t>三）船舶烧焊或者明火作业</w:t>
            </w:r>
            <w:r>
              <w:rPr>
                <w:spacing w:val="-19"/>
              </w:rPr>
              <w:t>；（</w:t>
            </w:r>
            <w:r>
              <w:rPr>
                <w:spacing w:val="-2"/>
              </w:rPr>
              <w:t>四）在非锚地、</w:t>
            </w:r>
            <w:r>
              <w:rPr>
                <w:spacing w:val="3"/>
              </w:rPr>
              <w:t xml:space="preserve"> </w:t>
            </w:r>
            <w:r>
              <w:t>非停泊区进行编、解队作业</w:t>
            </w:r>
            <w:r>
              <w:rPr>
                <w:spacing w:val="-15"/>
              </w:rPr>
              <w:t>；（</w:t>
            </w:r>
            <w:r>
              <w:t>五）船舶试航、试车</w:t>
            </w:r>
            <w:r>
              <w:rPr>
                <w:spacing w:val="-15"/>
              </w:rPr>
              <w:t>；（</w:t>
            </w:r>
            <w:r>
              <w:t>六）船舶悬挂彩灯</w:t>
            </w:r>
            <w:r>
              <w:rPr>
                <w:spacing w:val="-15"/>
              </w:rPr>
              <w:t>；（</w:t>
            </w:r>
            <w:r>
              <w:t>七</w:t>
            </w:r>
            <w:r>
              <w:rPr>
                <w:spacing w:val="-1"/>
              </w:rPr>
              <w:t>）船舶放艇（筏）进行救生</w:t>
            </w:r>
            <w:r>
              <w:t xml:space="preserve">  </w:t>
            </w:r>
            <w:r>
              <w:rPr>
                <w:spacing w:val="-4"/>
              </w:rPr>
              <w:t>演习。</w:t>
            </w:r>
          </w:p>
          <w:p w14:paraId="7CAEA41B">
            <w:pPr>
              <w:pStyle w:val="8"/>
              <w:spacing w:before="24" w:line="219" w:lineRule="auto"/>
              <w:ind w:left="474"/>
            </w:pPr>
            <w:r>
              <w:rPr>
                <w:b/>
                <w:bCs/>
                <w:spacing w:val="-3"/>
              </w:rPr>
              <w:t>3.《中华人民共和国水上水下作业和活动通航安全管理规定》（交通运输部令</w:t>
            </w:r>
            <w:r>
              <w:rPr>
                <w:b/>
                <w:bCs/>
                <w:spacing w:val="-4"/>
              </w:rPr>
              <w:t>2021年第24号）</w:t>
            </w:r>
          </w:p>
          <w:p w14:paraId="4C988DE5">
            <w:pPr>
              <w:pStyle w:val="8"/>
              <w:spacing w:before="28" w:line="239" w:lineRule="auto"/>
              <w:ind w:left="110" w:right="21" w:firstLine="360"/>
            </w:pPr>
            <w:r>
              <w:rPr>
                <w:spacing w:val="-1"/>
              </w:rPr>
              <w:t>第六条  在内河通航水域或者岸线上进行下列水上水下作业或者活动，应当经海事管理机</w:t>
            </w:r>
            <w:r>
              <w:rPr>
                <w:spacing w:val="-2"/>
              </w:rPr>
              <w:t>构许可，并根据</w:t>
            </w:r>
            <w:r>
              <w:t xml:space="preserve">  </w:t>
            </w:r>
            <w:r>
              <w:rPr>
                <w:spacing w:val="-13"/>
              </w:rPr>
              <w:t>需要核定相应安全作业区</w:t>
            </w:r>
            <w:r>
              <w:rPr>
                <w:spacing w:val="-33"/>
              </w:rPr>
              <w:t>：（</w:t>
            </w:r>
            <w:r>
              <w:rPr>
                <w:spacing w:val="-13"/>
              </w:rPr>
              <w:t>一）勘探，港外采掘、爆破</w:t>
            </w:r>
            <w:r>
              <w:rPr>
                <w:spacing w:val="-33"/>
              </w:rPr>
              <w:t>；（</w:t>
            </w:r>
            <w:r>
              <w:rPr>
                <w:spacing w:val="-13"/>
              </w:rPr>
              <w:t>二）构筑、设置、维修、拆除水上水下构筑物或者设施；</w:t>
            </w:r>
            <w:r>
              <w:rPr>
                <w:spacing w:val="1"/>
              </w:rPr>
              <w:t xml:space="preserve"> </w:t>
            </w:r>
            <w:r>
              <w:rPr>
                <w:spacing w:val="-20"/>
              </w:rPr>
              <w:t>（三）架设桥梁、索道</w:t>
            </w:r>
            <w:r>
              <w:rPr>
                <w:spacing w:val="-41"/>
              </w:rPr>
              <w:t>；（</w:t>
            </w:r>
            <w:r>
              <w:rPr>
                <w:spacing w:val="-20"/>
              </w:rPr>
              <w:t>四）铺设、检修、拆除水上水下电缆或者管道</w:t>
            </w:r>
            <w:r>
              <w:rPr>
                <w:spacing w:val="-41"/>
              </w:rPr>
              <w:t>；（</w:t>
            </w:r>
            <w:r>
              <w:rPr>
                <w:spacing w:val="-20"/>
              </w:rPr>
              <w:t>五）设置系船浮筒</w:t>
            </w:r>
            <w:r>
              <w:rPr>
                <w:spacing w:val="-21"/>
              </w:rPr>
              <w:t>、浮趸、缆桩等设施</w:t>
            </w:r>
            <w:r>
              <w:rPr>
                <w:spacing w:val="-41"/>
              </w:rPr>
              <w:t>；（</w:t>
            </w:r>
            <w:r>
              <w:rPr>
                <w:spacing w:val="-21"/>
              </w:rPr>
              <w:t>六）</w:t>
            </w:r>
            <w:r>
              <w:rPr>
                <w:spacing w:val="4"/>
              </w:rPr>
              <w:t xml:space="preserve"> </w:t>
            </w:r>
            <w:r>
              <w:rPr>
                <w:spacing w:val="-1"/>
              </w:rPr>
              <w:t>航道建设施工、码头前沿水域疏浚</w:t>
            </w:r>
            <w:r>
              <w:rPr>
                <w:spacing w:val="-8"/>
              </w:rPr>
              <w:t>；（</w:t>
            </w:r>
            <w:r>
              <w:rPr>
                <w:spacing w:val="-1"/>
              </w:rPr>
              <w:t>七）举行大型群众性活动、体育比赛</w:t>
            </w:r>
            <w:r>
              <w:rPr>
                <w:spacing w:val="-8"/>
              </w:rPr>
              <w:t>；（</w:t>
            </w:r>
            <w:r>
              <w:rPr>
                <w:spacing w:val="-1"/>
              </w:rPr>
              <w:t>八）</w:t>
            </w:r>
            <w:r>
              <w:rPr>
                <w:spacing w:val="-2"/>
              </w:rPr>
              <w:t>打捞沉船沉物。</w:t>
            </w:r>
          </w:p>
          <w:p w14:paraId="261DA65C">
            <w:pPr>
              <w:pStyle w:val="8"/>
              <w:spacing w:before="26"/>
              <w:ind w:left="111" w:right="151" w:firstLine="356"/>
            </w:pPr>
            <w:r>
              <w:rPr>
                <w:spacing w:val="-2"/>
              </w:rPr>
              <w:t>第十四条  许可证上注明的船舶、海上设施或者内河浮动设施在水上水下作业或者活动期间</w:t>
            </w:r>
            <w:r>
              <w:rPr>
                <w:spacing w:val="-3"/>
              </w:rPr>
              <w:t>发生变更的，</w:t>
            </w:r>
            <w:r>
              <w:t xml:space="preserve"> </w:t>
            </w:r>
            <w:r>
              <w:rPr>
                <w:spacing w:val="-2"/>
              </w:rPr>
              <w:t>建设单位、主办单位或者施工单位应当及时向作出许可决定的海事管理机构申请办理变更手续</w:t>
            </w:r>
            <w:r>
              <w:rPr>
                <w:spacing w:val="-3"/>
              </w:rPr>
              <w:t>，提交变更申请</w:t>
            </w:r>
            <w:r>
              <w:t xml:space="preserve"> </w:t>
            </w:r>
            <w:r>
              <w:rPr>
                <w:spacing w:val="-2"/>
              </w:rPr>
              <w:t>书和相关说明材料。在变更手续未办妥前，变更的船舶、海上设施或者内河浮动设施不得从事</w:t>
            </w:r>
            <w:r>
              <w:rPr>
                <w:spacing w:val="-3"/>
              </w:rPr>
              <w:t>相应的水上水下</w:t>
            </w:r>
            <w:r>
              <w:t xml:space="preserve"> </w:t>
            </w:r>
            <w:r>
              <w:rPr>
                <w:spacing w:val="-3"/>
              </w:rPr>
              <w:t>作业或者活动。</w:t>
            </w:r>
          </w:p>
          <w:p w14:paraId="59F96F47">
            <w:pPr>
              <w:pStyle w:val="8"/>
              <w:spacing w:before="25" w:line="233" w:lineRule="auto"/>
              <w:ind w:left="112" w:right="151" w:firstLine="356"/>
            </w:pPr>
            <w:r>
              <w:rPr>
                <w:spacing w:val="-2"/>
              </w:rPr>
              <w:t>许可证上注明的从事水上水下作业或者活动的单位、内容、水域发生变更的，建设单</w:t>
            </w:r>
            <w:r>
              <w:rPr>
                <w:spacing w:val="-3"/>
              </w:rPr>
              <w:t>位、主办单位或者施</w:t>
            </w:r>
            <w:r>
              <w:t xml:space="preserve"> </w:t>
            </w:r>
            <w:r>
              <w:rPr>
                <w:spacing w:val="-3"/>
              </w:rPr>
              <w:t>工单位应当重新申请许可证。</w:t>
            </w:r>
          </w:p>
          <w:p w14:paraId="4A0F5FBB">
            <w:pPr>
              <w:pStyle w:val="8"/>
              <w:spacing w:before="25" w:line="223" w:lineRule="auto"/>
              <w:ind w:left="111" w:right="103" w:firstLine="356"/>
            </w:pPr>
            <w:r>
              <w:rPr>
                <w:spacing w:val="-2"/>
              </w:rPr>
              <w:t>第十八条第三款  建设单位、主办单位或者施工单位应当在安全作业区设置相关的安全警示</w:t>
            </w:r>
            <w:r>
              <w:rPr>
                <w:spacing w:val="-3"/>
              </w:rPr>
              <w:t>标志、配备必</w:t>
            </w:r>
            <w:r>
              <w:t xml:space="preserve"> </w:t>
            </w:r>
            <w:r>
              <w:rPr>
                <w:spacing w:val="-5"/>
              </w:rPr>
              <w:t>要的安全设施或者警戒船。第三十二条  在内河通航水域或者岸线上进行水上水下作业或者活动，有下列情形之</w:t>
            </w:r>
          </w:p>
        </w:tc>
        <w:tc>
          <w:tcPr>
            <w:tcW w:w="1043" w:type="dxa"/>
            <w:vAlign w:val="top"/>
          </w:tcPr>
          <w:p w14:paraId="1E87A6E5">
            <w:pPr>
              <w:spacing w:line="244" w:lineRule="auto"/>
              <w:rPr>
                <w:rFonts w:ascii="Arial"/>
                <w:sz w:val="21"/>
              </w:rPr>
            </w:pPr>
          </w:p>
          <w:p w14:paraId="784E5551">
            <w:pPr>
              <w:spacing w:line="244" w:lineRule="auto"/>
              <w:rPr>
                <w:rFonts w:ascii="Arial"/>
                <w:sz w:val="21"/>
              </w:rPr>
            </w:pPr>
          </w:p>
          <w:p w14:paraId="3CE19FB4">
            <w:pPr>
              <w:spacing w:line="244" w:lineRule="auto"/>
              <w:rPr>
                <w:rFonts w:ascii="Arial"/>
                <w:sz w:val="21"/>
              </w:rPr>
            </w:pPr>
          </w:p>
          <w:p w14:paraId="0A70376E">
            <w:pPr>
              <w:spacing w:line="244" w:lineRule="auto"/>
              <w:rPr>
                <w:rFonts w:ascii="Arial"/>
                <w:sz w:val="21"/>
              </w:rPr>
            </w:pPr>
          </w:p>
          <w:p w14:paraId="4D6372C7">
            <w:pPr>
              <w:spacing w:line="244" w:lineRule="auto"/>
              <w:rPr>
                <w:rFonts w:ascii="Arial"/>
                <w:sz w:val="21"/>
              </w:rPr>
            </w:pPr>
          </w:p>
          <w:p w14:paraId="340B77D2">
            <w:pPr>
              <w:spacing w:line="244" w:lineRule="auto"/>
              <w:rPr>
                <w:rFonts w:ascii="Arial"/>
                <w:sz w:val="21"/>
              </w:rPr>
            </w:pPr>
          </w:p>
          <w:p w14:paraId="427D14F8">
            <w:pPr>
              <w:spacing w:line="244" w:lineRule="auto"/>
              <w:rPr>
                <w:rFonts w:ascii="Arial"/>
                <w:sz w:val="21"/>
              </w:rPr>
            </w:pPr>
          </w:p>
          <w:p w14:paraId="1AC14331">
            <w:pPr>
              <w:spacing w:line="244" w:lineRule="auto"/>
              <w:rPr>
                <w:rFonts w:ascii="Arial"/>
                <w:sz w:val="21"/>
              </w:rPr>
            </w:pPr>
          </w:p>
          <w:p w14:paraId="099E5690">
            <w:pPr>
              <w:spacing w:line="244" w:lineRule="auto"/>
              <w:rPr>
                <w:rFonts w:ascii="Arial"/>
                <w:sz w:val="21"/>
              </w:rPr>
            </w:pPr>
          </w:p>
          <w:p w14:paraId="08A754AB">
            <w:pPr>
              <w:spacing w:line="244" w:lineRule="auto"/>
              <w:rPr>
                <w:rFonts w:ascii="Arial"/>
                <w:sz w:val="21"/>
              </w:rPr>
            </w:pPr>
          </w:p>
          <w:p w14:paraId="545896AA">
            <w:pPr>
              <w:spacing w:line="244" w:lineRule="auto"/>
              <w:rPr>
                <w:rFonts w:ascii="Arial"/>
                <w:sz w:val="21"/>
              </w:rPr>
            </w:pPr>
          </w:p>
          <w:p w14:paraId="05383BEF">
            <w:pPr>
              <w:spacing w:line="245" w:lineRule="auto"/>
              <w:rPr>
                <w:rFonts w:ascii="Arial"/>
                <w:sz w:val="21"/>
              </w:rPr>
            </w:pPr>
          </w:p>
          <w:p w14:paraId="5D7F8CEC">
            <w:pPr>
              <w:spacing w:line="245" w:lineRule="auto"/>
              <w:rPr>
                <w:rFonts w:ascii="Arial"/>
                <w:sz w:val="21"/>
              </w:rPr>
            </w:pPr>
          </w:p>
          <w:p w14:paraId="12AB8769">
            <w:pPr>
              <w:spacing w:line="245" w:lineRule="auto"/>
              <w:rPr>
                <w:rFonts w:ascii="Arial"/>
                <w:sz w:val="21"/>
              </w:rPr>
            </w:pPr>
          </w:p>
          <w:p w14:paraId="0CAE4AC0">
            <w:pPr>
              <w:spacing w:line="245" w:lineRule="auto"/>
              <w:rPr>
                <w:rFonts w:ascii="Arial"/>
                <w:sz w:val="21"/>
              </w:rPr>
            </w:pPr>
          </w:p>
          <w:p w14:paraId="793764A3">
            <w:pPr>
              <w:spacing w:line="245" w:lineRule="auto"/>
              <w:rPr>
                <w:rFonts w:ascii="Arial"/>
                <w:sz w:val="21"/>
              </w:rPr>
            </w:pPr>
          </w:p>
          <w:p w14:paraId="1C2243FD">
            <w:pPr>
              <w:spacing w:line="245" w:lineRule="auto"/>
              <w:rPr>
                <w:rFonts w:ascii="Arial"/>
                <w:sz w:val="21"/>
              </w:rPr>
            </w:pPr>
          </w:p>
          <w:p w14:paraId="362A96D8">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6FF986E5">
            <w:pPr>
              <w:spacing w:line="251" w:lineRule="auto"/>
              <w:rPr>
                <w:rFonts w:ascii="Arial"/>
                <w:sz w:val="21"/>
              </w:rPr>
            </w:pPr>
          </w:p>
          <w:p w14:paraId="33F1CBDB">
            <w:pPr>
              <w:spacing w:line="251" w:lineRule="auto"/>
              <w:rPr>
                <w:rFonts w:ascii="Arial"/>
                <w:sz w:val="21"/>
              </w:rPr>
            </w:pPr>
          </w:p>
          <w:p w14:paraId="1C20FA85">
            <w:pPr>
              <w:spacing w:line="251" w:lineRule="auto"/>
              <w:rPr>
                <w:rFonts w:ascii="Arial"/>
                <w:sz w:val="21"/>
              </w:rPr>
            </w:pPr>
          </w:p>
          <w:p w14:paraId="4EBAD503">
            <w:pPr>
              <w:spacing w:line="251" w:lineRule="auto"/>
              <w:rPr>
                <w:rFonts w:ascii="Arial"/>
                <w:sz w:val="21"/>
              </w:rPr>
            </w:pPr>
          </w:p>
          <w:p w14:paraId="3764C055">
            <w:pPr>
              <w:spacing w:line="251" w:lineRule="auto"/>
              <w:rPr>
                <w:rFonts w:ascii="Arial"/>
                <w:sz w:val="21"/>
              </w:rPr>
            </w:pPr>
          </w:p>
          <w:p w14:paraId="684D6A46">
            <w:pPr>
              <w:spacing w:line="251" w:lineRule="auto"/>
              <w:rPr>
                <w:rFonts w:ascii="Arial"/>
                <w:sz w:val="21"/>
              </w:rPr>
            </w:pPr>
          </w:p>
          <w:p w14:paraId="3FBA88F7">
            <w:pPr>
              <w:spacing w:line="251" w:lineRule="auto"/>
              <w:rPr>
                <w:rFonts w:ascii="Arial"/>
                <w:sz w:val="21"/>
              </w:rPr>
            </w:pPr>
          </w:p>
          <w:p w14:paraId="22ECF7CF">
            <w:pPr>
              <w:spacing w:line="251" w:lineRule="auto"/>
              <w:rPr>
                <w:rFonts w:ascii="Arial"/>
                <w:sz w:val="21"/>
              </w:rPr>
            </w:pPr>
          </w:p>
          <w:p w14:paraId="5641F2E9">
            <w:pPr>
              <w:spacing w:line="251" w:lineRule="auto"/>
              <w:rPr>
                <w:rFonts w:ascii="Arial"/>
                <w:sz w:val="21"/>
              </w:rPr>
            </w:pPr>
          </w:p>
          <w:p w14:paraId="28A84D58">
            <w:pPr>
              <w:spacing w:line="251" w:lineRule="auto"/>
              <w:rPr>
                <w:rFonts w:ascii="Arial"/>
                <w:sz w:val="21"/>
              </w:rPr>
            </w:pPr>
          </w:p>
          <w:p w14:paraId="5F87826E">
            <w:pPr>
              <w:spacing w:line="252" w:lineRule="auto"/>
              <w:rPr>
                <w:rFonts w:ascii="Arial"/>
                <w:sz w:val="21"/>
              </w:rPr>
            </w:pPr>
          </w:p>
          <w:p w14:paraId="1F8C0F30">
            <w:pPr>
              <w:spacing w:line="252" w:lineRule="auto"/>
              <w:rPr>
                <w:rFonts w:ascii="Arial"/>
                <w:sz w:val="21"/>
              </w:rPr>
            </w:pPr>
          </w:p>
          <w:p w14:paraId="4B9D7491">
            <w:pPr>
              <w:spacing w:line="252" w:lineRule="auto"/>
              <w:rPr>
                <w:rFonts w:ascii="Arial"/>
                <w:sz w:val="21"/>
              </w:rPr>
            </w:pPr>
          </w:p>
          <w:p w14:paraId="751DC383">
            <w:pPr>
              <w:spacing w:line="252" w:lineRule="auto"/>
              <w:rPr>
                <w:rFonts w:ascii="Arial"/>
                <w:sz w:val="21"/>
              </w:rPr>
            </w:pPr>
          </w:p>
          <w:p w14:paraId="66981816">
            <w:pPr>
              <w:spacing w:line="252" w:lineRule="auto"/>
              <w:rPr>
                <w:rFonts w:ascii="Arial"/>
                <w:sz w:val="21"/>
              </w:rPr>
            </w:pPr>
          </w:p>
          <w:p w14:paraId="7A17D266">
            <w:pPr>
              <w:spacing w:line="252" w:lineRule="auto"/>
              <w:rPr>
                <w:rFonts w:ascii="Arial"/>
                <w:sz w:val="21"/>
              </w:rPr>
            </w:pPr>
          </w:p>
          <w:p w14:paraId="6C179499">
            <w:pPr>
              <w:spacing w:line="252" w:lineRule="auto"/>
              <w:rPr>
                <w:rFonts w:ascii="Arial"/>
                <w:sz w:val="21"/>
              </w:rPr>
            </w:pPr>
          </w:p>
          <w:p w14:paraId="1425B615">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F483873">
            <w:pPr>
              <w:spacing w:line="244" w:lineRule="auto"/>
              <w:rPr>
                <w:rFonts w:ascii="Arial"/>
                <w:sz w:val="21"/>
              </w:rPr>
            </w:pPr>
          </w:p>
          <w:p w14:paraId="6C706E7E">
            <w:pPr>
              <w:spacing w:line="244" w:lineRule="auto"/>
              <w:rPr>
                <w:rFonts w:ascii="Arial"/>
                <w:sz w:val="21"/>
              </w:rPr>
            </w:pPr>
          </w:p>
          <w:p w14:paraId="6C9016C2">
            <w:pPr>
              <w:spacing w:line="244" w:lineRule="auto"/>
              <w:rPr>
                <w:rFonts w:ascii="Arial"/>
                <w:sz w:val="21"/>
              </w:rPr>
            </w:pPr>
          </w:p>
          <w:p w14:paraId="05DECE84">
            <w:pPr>
              <w:spacing w:line="245" w:lineRule="auto"/>
              <w:rPr>
                <w:rFonts w:ascii="Arial"/>
                <w:sz w:val="21"/>
              </w:rPr>
            </w:pPr>
          </w:p>
          <w:p w14:paraId="60ABAD17">
            <w:pPr>
              <w:spacing w:line="245" w:lineRule="auto"/>
              <w:rPr>
                <w:rFonts w:ascii="Arial"/>
                <w:sz w:val="21"/>
              </w:rPr>
            </w:pPr>
          </w:p>
          <w:p w14:paraId="127BA470">
            <w:pPr>
              <w:spacing w:line="245" w:lineRule="auto"/>
              <w:rPr>
                <w:rFonts w:ascii="Arial"/>
                <w:sz w:val="21"/>
              </w:rPr>
            </w:pPr>
          </w:p>
          <w:p w14:paraId="74925B90">
            <w:pPr>
              <w:spacing w:line="245" w:lineRule="auto"/>
              <w:rPr>
                <w:rFonts w:ascii="Arial"/>
                <w:sz w:val="21"/>
              </w:rPr>
            </w:pPr>
          </w:p>
          <w:p w14:paraId="139D98D3">
            <w:pPr>
              <w:spacing w:line="245" w:lineRule="auto"/>
              <w:rPr>
                <w:rFonts w:ascii="Arial"/>
                <w:sz w:val="21"/>
              </w:rPr>
            </w:pPr>
          </w:p>
          <w:p w14:paraId="6D008384">
            <w:pPr>
              <w:spacing w:line="245" w:lineRule="auto"/>
              <w:rPr>
                <w:rFonts w:ascii="Arial"/>
                <w:sz w:val="21"/>
              </w:rPr>
            </w:pPr>
          </w:p>
          <w:p w14:paraId="037CCD5D">
            <w:pPr>
              <w:spacing w:line="245" w:lineRule="auto"/>
              <w:rPr>
                <w:rFonts w:ascii="Arial"/>
                <w:sz w:val="21"/>
              </w:rPr>
            </w:pPr>
          </w:p>
          <w:p w14:paraId="1D8051F1">
            <w:pPr>
              <w:spacing w:line="245" w:lineRule="auto"/>
              <w:rPr>
                <w:rFonts w:ascii="Arial"/>
                <w:sz w:val="21"/>
              </w:rPr>
            </w:pPr>
          </w:p>
          <w:p w14:paraId="379E4A64">
            <w:pPr>
              <w:spacing w:line="245" w:lineRule="auto"/>
              <w:rPr>
                <w:rFonts w:ascii="Arial"/>
                <w:sz w:val="21"/>
              </w:rPr>
            </w:pPr>
          </w:p>
          <w:p w14:paraId="40749FC7">
            <w:pPr>
              <w:spacing w:line="245" w:lineRule="auto"/>
              <w:rPr>
                <w:rFonts w:ascii="Arial"/>
                <w:sz w:val="21"/>
              </w:rPr>
            </w:pPr>
          </w:p>
          <w:p w14:paraId="49D97ECB">
            <w:pPr>
              <w:spacing w:line="245" w:lineRule="auto"/>
              <w:rPr>
                <w:rFonts w:ascii="Arial"/>
                <w:sz w:val="21"/>
              </w:rPr>
            </w:pPr>
          </w:p>
          <w:p w14:paraId="59911E91">
            <w:pPr>
              <w:spacing w:line="245" w:lineRule="auto"/>
              <w:rPr>
                <w:rFonts w:ascii="Arial"/>
                <w:sz w:val="21"/>
              </w:rPr>
            </w:pPr>
          </w:p>
          <w:p w14:paraId="7CA5772D">
            <w:pPr>
              <w:spacing w:line="245" w:lineRule="auto"/>
              <w:rPr>
                <w:rFonts w:ascii="Arial"/>
                <w:sz w:val="21"/>
              </w:rPr>
            </w:pPr>
          </w:p>
          <w:p w14:paraId="2263EA35">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3CB20D80">
      <w:pPr>
        <w:pStyle w:val="2"/>
        <w:spacing w:line="197" w:lineRule="exact"/>
        <w:rPr>
          <w:sz w:val="17"/>
        </w:rPr>
      </w:pPr>
    </w:p>
    <w:p w14:paraId="14B9501A">
      <w:pPr>
        <w:spacing w:line="197" w:lineRule="exact"/>
        <w:rPr>
          <w:sz w:val="17"/>
          <w:szCs w:val="17"/>
        </w:rPr>
        <w:sectPr>
          <w:footerReference r:id="rId175" w:type="default"/>
          <w:pgSz w:w="16839" w:h="11906"/>
          <w:pgMar w:top="1012" w:right="788" w:bottom="967" w:left="787" w:header="0" w:footer="768" w:gutter="0"/>
          <w:cols w:space="720" w:num="1"/>
        </w:sectPr>
      </w:pPr>
    </w:p>
    <w:p w14:paraId="4F4557D8">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56B2A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9E1FDA5">
            <w:pPr>
              <w:pStyle w:val="8"/>
              <w:spacing w:before="267" w:line="221" w:lineRule="auto"/>
              <w:ind w:left="142"/>
            </w:pPr>
            <w:r>
              <w:rPr>
                <w:b/>
                <w:bCs/>
                <w:spacing w:val="-4"/>
              </w:rPr>
              <w:t>序号</w:t>
            </w:r>
          </w:p>
        </w:tc>
        <w:tc>
          <w:tcPr>
            <w:tcW w:w="1136" w:type="dxa"/>
            <w:vMerge w:val="restart"/>
            <w:tcBorders>
              <w:bottom w:val="nil"/>
            </w:tcBorders>
            <w:vAlign w:val="top"/>
          </w:tcPr>
          <w:p w14:paraId="0D9523AD">
            <w:pPr>
              <w:pStyle w:val="8"/>
              <w:spacing w:before="267" w:line="220" w:lineRule="auto"/>
              <w:ind w:left="208"/>
            </w:pPr>
            <w:r>
              <w:rPr>
                <w:b/>
                <w:bCs/>
                <w:spacing w:val="-4"/>
              </w:rPr>
              <w:t>事项名称</w:t>
            </w:r>
          </w:p>
        </w:tc>
        <w:tc>
          <w:tcPr>
            <w:tcW w:w="1136" w:type="dxa"/>
            <w:vMerge w:val="restart"/>
            <w:tcBorders>
              <w:bottom w:val="nil"/>
            </w:tcBorders>
            <w:vAlign w:val="top"/>
          </w:tcPr>
          <w:p w14:paraId="0D9DFB41">
            <w:pPr>
              <w:pStyle w:val="8"/>
              <w:spacing w:before="267" w:line="219" w:lineRule="auto"/>
              <w:ind w:left="210"/>
            </w:pPr>
            <w:r>
              <w:rPr>
                <w:b/>
                <w:bCs/>
                <w:spacing w:val="-4"/>
              </w:rPr>
              <w:t>职权类型</w:t>
            </w:r>
          </w:p>
        </w:tc>
        <w:tc>
          <w:tcPr>
            <w:tcW w:w="8806" w:type="dxa"/>
            <w:vMerge w:val="restart"/>
            <w:tcBorders>
              <w:bottom w:val="nil"/>
            </w:tcBorders>
            <w:vAlign w:val="top"/>
          </w:tcPr>
          <w:p w14:paraId="08E763AE">
            <w:pPr>
              <w:pStyle w:val="8"/>
              <w:spacing w:before="267" w:line="219" w:lineRule="auto"/>
              <w:ind w:left="4050"/>
            </w:pPr>
            <w:r>
              <w:rPr>
                <w:b/>
                <w:bCs/>
                <w:spacing w:val="-5"/>
              </w:rPr>
              <w:t>实施依据</w:t>
            </w:r>
          </w:p>
        </w:tc>
        <w:tc>
          <w:tcPr>
            <w:tcW w:w="3538" w:type="dxa"/>
            <w:gridSpan w:val="3"/>
            <w:vAlign w:val="top"/>
          </w:tcPr>
          <w:p w14:paraId="71BDD5F1">
            <w:pPr>
              <w:pStyle w:val="8"/>
              <w:spacing w:before="92" w:line="220" w:lineRule="auto"/>
              <w:ind w:left="1415"/>
            </w:pPr>
            <w:r>
              <w:rPr>
                <w:b/>
                <w:bCs/>
                <w:spacing w:val="-5"/>
              </w:rPr>
              <w:t>实施主体</w:t>
            </w:r>
          </w:p>
        </w:tc>
      </w:tr>
      <w:tr w14:paraId="260AE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1BAC689D">
            <w:pPr>
              <w:rPr>
                <w:rFonts w:ascii="Arial"/>
                <w:sz w:val="21"/>
              </w:rPr>
            </w:pPr>
          </w:p>
        </w:tc>
        <w:tc>
          <w:tcPr>
            <w:tcW w:w="1136" w:type="dxa"/>
            <w:vMerge w:val="continue"/>
            <w:tcBorders>
              <w:top w:val="nil"/>
            </w:tcBorders>
            <w:vAlign w:val="top"/>
          </w:tcPr>
          <w:p w14:paraId="30E0F899">
            <w:pPr>
              <w:rPr>
                <w:rFonts w:ascii="Arial"/>
                <w:sz w:val="21"/>
              </w:rPr>
            </w:pPr>
          </w:p>
        </w:tc>
        <w:tc>
          <w:tcPr>
            <w:tcW w:w="1136" w:type="dxa"/>
            <w:vMerge w:val="continue"/>
            <w:tcBorders>
              <w:top w:val="nil"/>
            </w:tcBorders>
            <w:vAlign w:val="top"/>
          </w:tcPr>
          <w:p w14:paraId="1DE1EB12">
            <w:pPr>
              <w:rPr>
                <w:rFonts w:ascii="Arial"/>
                <w:sz w:val="21"/>
              </w:rPr>
            </w:pPr>
          </w:p>
        </w:tc>
        <w:tc>
          <w:tcPr>
            <w:tcW w:w="8806" w:type="dxa"/>
            <w:vMerge w:val="continue"/>
            <w:tcBorders>
              <w:top w:val="nil"/>
            </w:tcBorders>
            <w:vAlign w:val="top"/>
          </w:tcPr>
          <w:p w14:paraId="076E8423">
            <w:pPr>
              <w:rPr>
                <w:rFonts w:ascii="Arial"/>
                <w:sz w:val="21"/>
              </w:rPr>
            </w:pPr>
          </w:p>
        </w:tc>
        <w:tc>
          <w:tcPr>
            <w:tcW w:w="1043" w:type="dxa"/>
            <w:vAlign w:val="top"/>
          </w:tcPr>
          <w:p w14:paraId="2C9095F1">
            <w:pPr>
              <w:pStyle w:val="8"/>
              <w:spacing w:before="88" w:line="219" w:lineRule="auto"/>
              <w:ind w:left="171"/>
            </w:pPr>
            <w:r>
              <w:rPr>
                <w:b/>
                <w:bCs/>
                <w:spacing w:val="-5"/>
              </w:rPr>
              <w:t>责任部门</w:t>
            </w:r>
          </w:p>
        </w:tc>
        <w:tc>
          <w:tcPr>
            <w:tcW w:w="1448" w:type="dxa"/>
            <w:vAlign w:val="top"/>
          </w:tcPr>
          <w:p w14:paraId="36D2875E">
            <w:pPr>
              <w:pStyle w:val="8"/>
              <w:spacing w:before="88" w:line="219" w:lineRule="auto"/>
              <w:ind w:left="187"/>
            </w:pPr>
            <w:r>
              <w:rPr>
                <w:b/>
                <w:bCs/>
                <w:spacing w:val="-3"/>
              </w:rPr>
              <w:t>第一责任层级</w:t>
            </w:r>
          </w:p>
        </w:tc>
        <w:tc>
          <w:tcPr>
            <w:tcW w:w="1047" w:type="dxa"/>
            <w:vAlign w:val="top"/>
          </w:tcPr>
          <w:p w14:paraId="457B4CD9">
            <w:pPr>
              <w:pStyle w:val="8"/>
              <w:spacing w:before="88" w:line="219" w:lineRule="auto"/>
              <w:ind w:left="165"/>
            </w:pPr>
            <w:r>
              <w:rPr>
                <w:b/>
                <w:bCs/>
                <w:spacing w:val="-4"/>
              </w:rPr>
              <w:t>承办机构</w:t>
            </w:r>
          </w:p>
        </w:tc>
      </w:tr>
      <w:tr w14:paraId="3AFC0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4" w:hRule="atLeast"/>
        </w:trPr>
        <w:tc>
          <w:tcPr>
            <w:tcW w:w="641" w:type="dxa"/>
            <w:vAlign w:val="top"/>
          </w:tcPr>
          <w:p w14:paraId="1B357EDA">
            <w:pPr>
              <w:rPr>
                <w:rFonts w:ascii="Arial"/>
                <w:sz w:val="21"/>
              </w:rPr>
            </w:pPr>
          </w:p>
        </w:tc>
        <w:tc>
          <w:tcPr>
            <w:tcW w:w="1136" w:type="dxa"/>
            <w:vAlign w:val="top"/>
          </w:tcPr>
          <w:p w14:paraId="4FBDB668">
            <w:pPr>
              <w:rPr>
                <w:rFonts w:ascii="Arial"/>
                <w:sz w:val="21"/>
              </w:rPr>
            </w:pPr>
          </w:p>
        </w:tc>
        <w:tc>
          <w:tcPr>
            <w:tcW w:w="1136" w:type="dxa"/>
            <w:vAlign w:val="top"/>
          </w:tcPr>
          <w:p w14:paraId="1E63A0E8">
            <w:pPr>
              <w:rPr>
                <w:rFonts w:ascii="Arial"/>
                <w:sz w:val="21"/>
              </w:rPr>
            </w:pPr>
          </w:p>
        </w:tc>
        <w:tc>
          <w:tcPr>
            <w:tcW w:w="8806" w:type="dxa"/>
            <w:vAlign w:val="top"/>
          </w:tcPr>
          <w:p w14:paraId="11C1DDDE">
            <w:pPr>
              <w:pStyle w:val="8"/>
              <w:spacing w:before="38" w:line="237" w:lineRule="auto"/>
              <w:ind w:left="112" w:right="79" w:firstLine="1"/>
              <w:jc w:val="both"/>
            </w:pPr>
            <w:r>
              <w:rPr>
                <w:spacing w:val="-2"/>
              </w:rPr>
              <w:t>一的，海事管理机构应当责令立即停止作业或者活动，责令限期改正，处5000元以上5万元以下的罚款</w:t>
            </w:r>
            <w:r>
              <w:rPr>
                <w:spacing w:val="-13"/>
              </w:rPr>
              <w:t>：（</w:t>
            </w:r>
            <w:r>
              <w:rPr>
                <w:spacing w:val="-2"/>
              </w:rPr>
              <w:t>一）</w:t>
            </w:r>
            <w:r>
              <w:rPr>
                <w:spacing w:val="1"/>
              </w:rPr>
              <w:t xml:space="preserve"> </w:t>
            </w:r>
            <w:r>
              <w:rPr>
                <w:spacing w:val="-2"/>
              </w:rPr>
              <w:t>未取得许可证擅自进行水上水下作业或者活动的</w:t>
            </w:r>
            <w:r>
              <w:rPr>
                <w:spacing w:val="-6"/>
              </w:rPr>
              <w:t>；（</w:t>
            </w:r>
            <w:r>
              <w:rPr>
                <w:spacing w:val="-2"/>
              </w:rPr>
              <w:t>二）使用涂改或者非法受让的许可证进行水上水下作业或</w:t>
            </w:r>
            <w:r>
              <w:t xml:space="preserve">  </w:t>
            </w:r>
            <w:r>
              <w:rPr>
                <w:spacing w:val="-1"/>
              </w:rPr>
              <w:t>者活动的</w:t>
            </w:r>
            <w:r>
              <w:rPr>
                <w:spacing w:val="-14"/>
              </w:rPr>
              <w:t>；（</w:t>
            </w:r>
            <w:r>
              <w:rPr>
                <w:spacing w:val="-1"/>
              </w:rPr>
              <w:t>三）未按照本规定报备水上水下作业的</w:t>
            </w:r>
            <w:r>
              <w:rPr>
                <w:spacing w:val="-14"/>
              </w:rPr>
              <w:t>；（</w:t>
            </w:r>
            <w:r>
              <w:rPr>
                <w:spacing w:val="-1"/>
              </w:rPr>
              <w:t>四）擅自扩大作业或者活动水域范围的。</w:t>
            </w:r>
          </w:p>
          <w:p w14:paraId="39372091">
            <w:pPr>
              <w:pStyle w:val="8"/>
              <w:spacing w:before="25" w:line="233" w:lineRule="auto"/>
              <w:ind w:left="112" w:right="141" w:firstLine="356"/>
            </w:pPr>
            <w:r>
              <w:rPr>
                <w:spacing w:val="-6"/>
              </w:rPr>
              <w:t>第三十五条第二款  建设单位、主办单位或者施工单位在内河通航水域或者岸线水上水下作业或者活动，未</w:t>
            </w:r>
            <w:r>
              <w:rPr>
                <w:spacing w:val="18"/>
              </w:rPr>
              <w:t xml:space="preserve"> </w:t>
            </w:r>
            <w:r>
              <w:rPr>
                <w:spacing w:val="-3"/>
              </w:rPr>
              <w:t>按照规定采取设置标志、显示信号等措施的，海事管理机构应当责令改正，处5000元以上5万元以下的罚款。</w:t>
            </w:r>
          </w:p>
        </w:tc>
        <w:tc>
          <w:tcPr>
            <w:tcW w:w="1043" w:type="dxa"/>
            <w:vAlign w:val="top"/>
          </w:tcPr>
          <w:p w14:paraId="0D282DD8">
            <w:pPr>
              <w:rPr>
                <w:rFonts w:ascii="Arial"/>
                <w:sz w:val="21"/>
              </w:rPr>
            </w:pPr>
          </w:p>
        </w:tc>
        <w:tc>
          <w:tcPr>
            <w:tcW w:w="1448" w:type="dxa"/>
            <w:vAlign w:val="top"/>
          </w:tcPr>
          <w:p w14:paraId="6FCF0C21">
            <w:pPr>
              <w:rPr>
                <w:rFonts w:ascii="Arial"/>
                <w:sz w:val="21"/>
              </w:rPr>
            </w:pPr>
          </w:p>
        </w:tc>
        <w:tc>
          <w:tcPr>
            <w:tcW w:w="1047" w:type="dxa"/>
            <w:vAlign w:val="top"/>
          </w:tcPr>
          <w:p w14:paraId="5704F4F4">
            <w:pPr>
              <w:rPr>
                <w:rFonts w:ascii="Arial"/>
                <w:sz w:val="21"/>
              </w:rPr>
            </w:pPr>
          </w:p>
        </w:tc>
      </w:tr>
      <w:tr w14:paraId="69957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8" w:hRule="atLeast"/>
        </w:trPr>
        <w:tc>
          <w:tcPr>
            <w:tcW w:w="641" w:type="dxa"/>
            <w:vAlign w:val="top"/>
          </w:tcPr>
          <w:p w14:paraId="3CCBF3F4">
            <w:pPr>
              <w:spacing w:line="251" w:lineRule="auto"/>
              <w:rPr>
                <w:rFonts w:ascii="Arial"/>
                <w:sz w:val="21"/>
              </w:rPr>
            </w:pPr>
          </w:p>
          <w:p w14:paraId="00724042">
            <w:pPr>
              <w:spacing w:line="251" w:lineRule="auto"/>
              <w:rPr>
                <w:rFonts w:ascii="Arial"/>
                <w:sz w:val="21"/>
              </w:rPr>
            </w:pPr>
          </w:p>
          <w:p w14:paraId="5C91F2F7">
            <w:pPr>
              <w:spacing w:line="251" w:lineRule="auto"/>
              <w:rPr>
                <w:rFonts w:ascii="Arial"/>
                <w:sz w:val="21"/>
              </w:rPr>
            </w:pPr>
          </w:p>
          <w:p w14:paraId="13791ADF">
            <w:pPr>
              <w:spacing w:line="251" w:lineRule="auto"/>
              <w:rPr>
                <w:rFonts w:ascii="Arial"/>
                <w:sz w:val="21"/>
              </w:rPr>
            </w:pPr>
          </w:p>
          <w:p w14:paraId="102C272D">
            <w:pPr>
              <w:spacing w:line="251" w:lineRule="auto"/>
              <w:rPr>
                <w:rFonts w:ascii="Arial"/>
                <w:sz w:val="21"/>
              </w:rPr>
            </w:pPr>
          </w:p>
          <w:p w14:paraId="75E09F73">
            <w:pPr>
              <w:spacing w:line="252" w:lineRule="auto"/>
              <w:rPr>
                <w:rFonts w:ascii="Arial"/>
                <w:sz w:val="21"/>
              </w:rPr>
            </w:pPr>
          </w:p>
          <w:p w14:paraId="0BDE251B">
            <w:pPr>
              <w:spacing w:line="252" w:lineRule="auto"/>
              <w:rPr>
                <w:rFonts w:ascii="Arial"/>
                <w:sz w:val="21"/>
              </w:rPr>
            </w:pPr>
          </w:p>
          <w:p w14:paraId="2993F3B0">
            <w:pPr>
              <w:spacing w:line="252" w:lineRule="auto"/>
              <w:rPr>
                <w:rFonts w:ascii="Arial"/>
                <w:sz w:val="21"/>
              </w:rPr>
            </w:pPr>
          </w:p>
          <w:p w14:paraId="0AE91852">
            <w:pPr>
              <w:spacing w:line="252" w:lineRule="auto"/>
              <w:rPr>
                <w:rFonts w:ascii="Arial"/>
                <w:sz w:val="21"/>
              </w:rPr>
            </w:pPr>
          </w:p>
          <w:p w14:paraId="4C6E1106">
            <w:pPr>
              <w:spacing w:line="252" w:lineRule="auto"/>
              <w:rPr>
                <w:rFonts w:ascii="Arial"/>
                <w:sz w:val="21"/>
              </w:rPr>
            </w:pPr>
          </w:p>
          <w:p w14:paraId="77E28FE6">
            <w:pPr>
              <w:spacing w:line="252" w:lineRule="auto"/>
              <w:rPr>
                <w:rFonts w:ascii="Arial"/>
                <w:sz w:val="21"/>
              </w:rPr>
            </w:pPr>
          </w:p>
          <w:p w14:paraId="088665D4">
            <w:pPr>
              <w:spacing w:line="252" w:lineRule="auto"/>
              <w:rPr>
                <w:rFonts w:ascii="Arial"/>
                <w:sz w:val="21"/>
              </w:rPr>
            </w:pPr>
          </w:p>
          <w:p w14:paraId="0B36D330">
            <w:pPr>
              <w:spacing w:line="252" w:lineRule="auto"/>
              <w:rPr>
                <w:rFonts w:ascii="Arial"/>
                <w:sz w:val="21"/>
              </w:rPr>
            </w:pPr>
          </w:p>
          <w:p w14:paraId="34182C13">
            <w:pPr>
              <w:pStyle w:val="8"/>
              <w:spacing w:before="59" w:line="184" w:lineRule="auto"/>
              <w:ind w:left="248"/>
            </w:pPr>
            <w:r>
              <w:rPr>
                <w:spacing w:val="-10"/>
              </w:rPr>
              <w:t>19</w:t>
            </w:r>
          </w:p>
        </w:tc>
        <w:tc>
          <w:tcPr>
            <w:tcW w:w="1136" w:type="dxa"/>
            <w:vAlign w:val="top"/>
          </w:tcPr>
          <w:p w14:paraId="2B5EF3EB">
            <w:pPr>
              <w:spacing w:line="256" w:lineRule="auto"/>
              <w:rPr>
                <w:rFonts w:ascii="Arial"/>
                <w:sz w:val="21"/>
              </w:rPr>
            </w:pPr>
          </w:p>
          <w:p w14:paraId="58FB79E8">
            <w:pPr>
              <w:spacing w:line="256" w:lineRule="auto"/>
              <w:rPr>
                <w:rFonts w:ascii="Arial"/>
                <w:sz w:val="21"/>
              </w:rPr>
            </w:pPr>
          </w:p>
          <w:p w14:paraId="6DC2D8F1">
            <w:pPr>
              <w:spacing w:line="256" w:lineRule="auto"/>
              <w:rPr>
                <w:rFonts w:ascii="Arial"/>
                <w:sz w:val="21"/>
              </w:rPr>
            </w:pPr>
          </w:p>
          <w:p w14:paraId="61209B3D">
            <w:pPr>
              <w:spacing w:line="257" w:lineRule="auto"/>
              <w:rPr>
                <w:rFonts w:ascii="Arial"/>
                <w:sz w:val="21"/>
              </w:rPr>
            </w:pPr>
          </w:p>
          <w:p w14:paraId="36223941">
            <w:pPr>
              <w:spacing w:line="257" w:lineRule="auto"/>
              <w:rPr>
                <w:rFonts w:ascii="Arial"/>
                <w:sz w:val="21"/>
              </w:rPr>
            </w:pPr>
          </w:p>
          <w:p w14:paraId="2DAF0556">
            <w:pPr>
              <w:spacing w:line="257" w:lineRule="auto"/>
              <w:rPr>
                <w:rFonts w:ascii="Arial"/>
                <w:sz w:val="21"/>
              </w:rPr>
            </w:pPr>
          </w:p>
          <w:p w14:paraId="6A79190F">
            <w:pPr>
              <w:spacing w:line="257" w:lineRule="auto"/>
              <w:rPr>
                <w:rFonts w:ascii="Arial"/>
                <w:sz w:val="21"/>
              </w:rPr>
            </w:pPr>
          </w:p>
          <w:p w14:paraId="14CECC75">
            <w:pPr>
              <w:spacing w:line="257" w:lineRule="auto"/>
              <w:rPr>
                <w:rFonts w:ascii="Arial"/>
                <w:sz w:val="21"/>
              </w:rPr>
            </w:pPr>
          </w:p>
          <w:p w14:paraId="2469BA3A">
            <w:pPr>
              <w:pStyle w:val="8"/>
              <w:spacing w:before="58" w:line="244" w:lineRule="auto"/>
              <w:ind w:left="109" w:right="104"/>
              <w:jc w:val="both"/>
            </w:pPr>
            <w:r>
              <w:rPr>
                <w:spacing w:val="3"/>
              </w:rPr>
              <w:t>对从事危险</w:t>
            </w:r>
            <w:r>
              <w:rPr>
                <w:spacing w:val="1"/>
              </w:rPr>
              <w:t xml:space="preserve"> </w:t>
            </w:r>
            <w:r>
              <w:rPr>
                <w:spacing w:val="3"/>
              </w:rPr>
              <w:t>货物运输的</w:t>
            </w:r>
            <w:r>
              <w:t xml:space="preserve"> </w:t>
            </w:r>
            <w:r>
              <w:rPr>
                <w:spacing w:val="3"/>
              </w:rPr>
              <w:t>船舶，未编</w:t>
            </w:r>
            <w:r>
              <w:t xml:space="preserve"> </w:t>
            </w:r>
            <w:r>
              <w:rPr>
                <w:spacing w:val="3"/>
              </w:rPr>
              <w:t>制危险货物</w:t>
            </w:r>
            <w:r>
              <w:t xml:space="preserve"> </w:t>
            </w:r>
            <w:r>
              <w:rPr>
                <w:spacing w:val="3"/>
              </w:rPr>
              <w:t>事故应急预</w:t>
            </w:r>
            <w:r>
              <w:t xml:space="preserve"> </w:t>
            </w:r>
            <w:r>
              <w:rPr>
                <w:spacing w:val="3"/>
              </w:rPr>
              <w:t>案或者未配</w:t>
            </w:r>
            <w:r>
              <w:t xml:space="preserve"> </w:t>
            </w:r>
            <w:r>
              <w:rPr>
                <w:spacing w:val="3"/>
              </w:rPr>
              <w:t>备相应的应</w:t>
            </w:r>
            <w:r>
              <w:t xml:space="preserve"> </w:t>
            </w:r>
            <w:r>
              <w:rPr>
                <w:spacing w:val="3"/>
              </w:rPr>
              <w:t>急救援设备</w:t>
            </w:r>
            <w:r>
              <w:t xml:space="preserve"> </w:t>
            </w:r>
            <w:r>
              <w:rPr>
                <w:spacing w:val="3"/>
              </w:rPr>
              <w:t>和器材等行</w:t>
            </w:r>
            <w:r>
              <w:t xml:space="preserve"> </w:t>
            </w:r>
            <w:r>
              <w:rPr>
                <w:spacing w:val="3"/>
              </w:rPr>
              <w:t>为的行政处</w:t>
            </w:r>
            <w:r>
              <w:t xml:space="preserve"> 罚</w:t>
            </w:r>
          </w:p>
        </w:tc>
        <w:tc>
          <w:tcPr>
            <w:tcW w:w="1136" w:type="dxa"/>
            <w:vAlign w:val="top"/>
          </w:tcPr>
          <w:p w14:paraId="5A9BCCE4">
            <w:pPr>
              <w:spacing w:line="249" w:lineRule="auto"/>
              <w:rPr>
                <w:rFonts w:ascii="Arial"/>
                <w:sz w:val="21"/>
              </w:rPr>
            </w:pPr>
          </w:p>
          <w:p w14:paraId="165AAB6C">
            <w:pPr>
              <w:spacing w:line="249" w:lineRule="auto"/>
              <w:rPr>
                <w:rFonts w:ascii="Arial"/>
                <w:sz w:val="21"/>
              </w:rPr>
            </w:pPr>
          </w:p>
          <w:p w14:paraId="72AB4B16">
            <w:pPr>
              <w:spacing w:line="249" w:lineRule="auto"/>
              <w:rPr>
                <w:rFonts w:ascii="Arial"/>
                <w:sz w:val="21"/>
              </w:rPr>
            </w:pPr>
          </w:p>
          <w:p w14:paraId="05AE6EE8">
            <w:pPr>
              <w:spacing w:line="249" w:lineRule="auto"/>
              <w:rPr>
                <w:rFonts w:ascii="Arial"/>
                <w:sz w:val="21"/>
              </w:rPr>
            </w:pPr>
          </w:p>
          <w:p w14:paraId="7C4F1BDC">
            <w:pPr>
              <w:spacing w:line="249" w:lineRule="auto"/>
              <w:rPr>
                <w:rFonts w:ascii="Arial"/>
                <w:sz w:val="21"/>
              </w:rPr>
            </w:pPr>
          </w:p>
          <w:p w14:paraId="5E04A206">
            <w:pPr>
              <w:spacing w:line="249" w:lineRule="auto"/>
              <w:rPr>
                <w:rFonts w:ascii="Arial"/>
                <w:sz w:val="21"/>
              </w:rPr>
            </w:pPr>
          </w:p>
          <w:p w14:paraId="6DBEBA04">
            <w:pPr>
              <w:spacing w:line="250" w:lineRule="auto"/>
              <w:rPr>
                <w:rFonts w:ascii="Arial"/>
                <w:sz w:val="21"/>
              </w:rPr>
            </w:pPr>
          </w:p>
          <w:p w14:paraId="3DD33AC7">
            <w:pPr>
              <w:spacing w:line="250" w:lineRule="auto"/>
              <w:rPr>
                <w:rFonts w:ascii="Arial"/>
                <w:sz w:val="21"/>
              </w:rPr>
            </w:pPr>
          </w:p>
          <w:p w14:paraId="1BD4928B">
            <w:pPr>
              <w:spacing w:line="250" w:lineRule="auto"/>
              <w:rPr>
                <w:rFonts w:ascii="Arial"/>
                <w:sz w:val="21"/>
              </w:rPr>
            </w:pPr>
          </w:p>
          <w:p w14:paraId="6959E23F">
            <w:pPr>
              <w:spacing w:line="250" w:lineRule="auto"/>
              <w:rPr>
                <w:rFonts w:ascii="Arial"/>
                <w:sz w:val="21"/>
              </w:rPr>
            </w:pPr>
          </w:p>
          <w:p w14:paraId="1A2C764A">
            <w:pPr>
              <w:spacing w:line="250" w:lineRule="auto"/>
              <w:rPr>
                <w:rFonts w:ascii="Arial"/>
                <w:sz w:val="21"/>
              </w:rPr>
            </w:pPr>
          </w:p>
          <w:p w14:paraId="5EA623E8">
            <w:pPr>
              <w:spacing w:line="250" w:lineRule="auto"/>
              <w:rPr>
                <w:rFonts w:ascii="Arial"/>
                <w:sz w:val="21"/>
              </w:rPr>
            </w:pPr>
          </w:p>
          <w:p w14:paraId="72807EFA">
            <w:pPr>
              <w:spacing w:line="250" w:lineRule="auto"/>
              <w:rPr>
                <w:rFonts w:ascii="Arial"/>
                <w:sz w:val="21"/>
              </w:rPr>
            </w:pPr>
          </w:p>
          <w:p w14:paraId="71324B6F">
            <w:pPr>
              <w:pStyle w:val="8"/>
              <w:spacing w:before="58" w:line="220" w:lineRule="auto"/>
              <w:ind w:left="114"/>
            </w:pPr>
            <w:r>
              <w:rPr>
                <w:spacing w:val="-7"/>
              </w:rPr>
              <w:t>行政处罚</w:t>
            </w:r>
          </w:p>
        </w:tc>
        <w:tc>
          <w:tcPr>
            <w:tcW w:w="8806" w:type="dxa"/>
            <w:vAlign w:val="top"/>
          </w:tcPr>
          <w:p w14:paraId="3C6865E1">
            <w:pPr>
              <w:pStyle w:val="8"/>
              <w:spacing w:before="203" w:line="219" w:lineRule="auto"/>
              <w:ind w:left="471"/>
            </w:pPr>
            <w:r>
              <w:rPr>
                <w:b/>
                <w:bCs/>
                <w:spacing w:val="-5"/>
              </w:rPr>
              <w:t>1.《危险化学品安全管理条例》</w:t>
            </w:r>
          </w:p>
          <w:p w14:paraId="4EBFBF56">
            <w:pPr>
              <w:pStyle w:val="8"/>
              <w:spacing w:before="26" w:line="237" w:lineRule="auto"/>
              <w:ind w:left="109" w:right="103" w:firstLine="360"/>
              <w:jc w:val="both"/>
            </w:pPr>
            <w:r>
              <w:rPr>
                <w:spacing w:val="-1"/>
              </w:rPr>
              <w:t>第五十七条第一款  通过内河运输危险化学品，应当使用依法取得危险货物适装证书的运</w:t>
            </w:r>
            <w:r>
              <w:rPr>
                <w:spacing w:val="-2"/>
              </w:rPr>
              <w:t>输船舶。水路运</w:t>
            </w:r>
            <w:r>
              <w:t xml:space="preserve"> </w:t>
            </w:r>
            <w:r>
              <w:rPr>
                <w:spacing w:val="-2"/>
              </w:rPr>
              <w:t>输企业应当针对所运输的危险化学品的危险特性，制定运输船舶危险化学品事故应急救援预案，</w:t>
            </w:r>
            <w:r>
              <w:rPr>
                <w:spacing w:val="-3"/>
              </w:rPr>
              <w:t>并为运输船舶</w:t>
            </w:r>
            <w:r>
              <w:t xml:space="preserve"> </w:t>
            </w:r>
            <w:r>
              <w:rPr>
                <w:spacing w:val="-5"/>
              </w:rPr>
              <w:t>配备充足、有效的应急救援器材和设备。</w:t>
            </w:r>
          </w:p>
          <w:p w14:paraId="702D389D">
            <w:pPr>
              <w:pStyle w:val="8"/>
              <w:spacing w:before="26" w:line="237" w:lineRule="auto"/>
              <w:ind w:left="112" w:right="100" w:firstLine="350"/>
              <w:jc w:val="both"/>
            </w:pPr>
            <w:r>
              <w:rPr>
                <w:spacing w:val="-5"/>
              </w:rPr>
              <w:t>第九十二条第一款第（一）项  有下列情形之一的，依照《中华人民共和国内河交通安全管理条例》的规定</w:t>
            </w:r>
            <w:r>
              <w:rPr>
                <w:spacing w:val="15"/>
              </w:rPr>
              <w:t xml:space="preserve"> </w:t>
            </w:r>
            <w:r>
              <w:rPr>
                <w:spacing w:val="-2"/>
              </w:rPr>
              <w:t>处罚</w:t>
            </w:r>
            <w:r>
              <w:rPr>
                <w:spacing w:val="-10"/>
              </w:rPr>
              <w:t>：（</w:t>
            </w:r>
            <w:r>
              <w:rPr>
                <w:spacing w:val="-2"/>
              </w:rPr>
              <w:t>一）通过内河运输危险化学品的水路运输企业未制定运输船舶危险化学品事故应急救援预案，或者未</w:t>
            </w:r>
            <w:r>
              <w:t xml:space="preserve"> </w:t>
            </w:r>
            <w:r>
              <w:rPr>
                <w:spacing w:val="-5"/>
              </w:rPr>
              <w:t>为运输船舶配备充足、有效的应急救援器材和设备的；</w:t>
            </w:r>
          </w:p>
          <w:p w14:paraId="0A43D5B8">
            <w:pPr>
              <w:pStyle w:val="8"/>
              <w:spacing w:before="26" w:line="219" w:lineRule="auto"/>
              <w:ind w:left="467"/>
            </w:pPr>
            <w:r>
              <w:rPr>
                <w:b/>
                <w:bCs/>
                <w:spacing w:val="-4"/>
              </w:rPr>
              <w:t>2.《中华人民共和国内河交通安全管理条例》</w:t>
            </w:r>
          </w:p>
          <w:p w14:paraId="406E12EA">
            <w:pPr>
              <w:pStyle w:val="8"/>
              <w:spacing w:before="25" w:line="237" w:lineRule="auto"/>
              <w:ind w:left="112" w:right="95" w:firstLine="345"/>
              <w:jc w:val="both"/>
            </w:pPr>
            <w:r>
              <w:rPr>
                <w:spacing w:val="-8"/>
              </w:rPr>
              <w:t>第三十二条</w:t>
            </w:r>
            <w:r>
              <w:rPr>
                <w:spacing w:val="80"/>
              </w:rPr>
              <w:t xml:space="preserve"> </w:t>
            </w:r>
            <w:r>
              <w:rPr>
                <w:spacing w:val="-8"/>
              </w:rPr>
              <w:t>船舶装卸、过驳危险物或者载运危险货物进出港口，应当将危险货物的名称</w:t>
            </w:r>
            <w:r>
              <w:rPr>
                <w:spacing w:val="-9"/>
              </w:rPr>
              <w:t>、特性、包装、装卸</w:t>
            </w:r>
            <w:r>
              <w:t xml:space="preserve"> </w:t>
            </w:r>
            <w:r>
              <w:rPr>
                <w:spacing w:val="-8"/>
              </w:rPr>
              <w:t>或者过驳的时间、地点以及进出港时间等事项，事先报</w:t>
            </w:r>
            <w:r>
              <w:rPr>
                <w:spacing w:val="-9"/>
              </w:rPr>
              <w:t>告海事管理机构和港口管理机构，经其同意后，方可进行装</w:t>
            </w:r>
            <w:r>
              <w:t xml:space="preserve"> </w:t>
            </w:r>
            <w:r>
              <w:rPr>
                <w:spacing w:val="-3"/>
              </w:rPr>
              <w:t>卸、过驳作业或者进出港口；但是，定船、定线、定货的船舶可以定期报告。</w:t>
            </w:r>
          </w:p>
          <w:p w14:paraId="3A49E13E">
            <w:pPr>
              <w:pStyle w:val="8"/>
              <w:spacing w:before="27" w:line="233" w:lineRule="auto"/>
              <w:ind w:left="112" w:right="95" w:firstLine="345"/>
            </w:pPr>
            <w:r>
              <w:rPr>
                <w:spacing w:val="-8"/>
              </w:rPr>
              <w:t>第三十四条  从事危险货物装卸的码头、泊位和载运危险货物的船舶，必须编制危险货物事故应急预案</w:t>
            </w:r>
            <w:r>
              <w:rPr>
                <w:spacing w:val="-9"/>
              </w:rPr>
              <w:t>，并配</w:t>
            </w:r>
            <w:r>
              <w:t xml:space="preserve"> </w:t>
            </w:r>
            <w:r>
              <w:rPr>
                <w:spacing w:val="-6"/>
              </w:rPr>
              <w:t>备相应的应急救援设备和器材。</w:t>
            </w:r>
          </w:p>
          <w:p w14:paraId="26FBC06D">
            <w:pPr>
              <w:pStyle w:val="8"/>
              <w:spacing w:before="25" w:line="241" w:lineRule="auto"/>
              <w:ind w:left="109" w:right="100" w:firstLine="355"/>
              <w:jc w:val="both"/>
            </w:pPr>
            <w:r>
              <w:rPr>
                <w:spacing w:val="-2"/>
              </w:rPr>
              <w:t>第七十一条  违反本条例的规定，从事危险货物作业，有下列情形之一的，由海事管理机构</w:t>
            </w:r>
            <w:r>
              <w:rPr>
                <w:spacing w:val="-3"/>
              </w:rPr>
              <w:t>责令停止作业</w:t>
            </w:r>
            <w:r>
              <w:t xml:space="preserve"> </w:t>
            </w:r>
            <w:r>
              <w:rPr>
                <w:spacing w:val="-3"/>
              </w:rPr>
              <w:t>或者航行，对负有责任的主管人员或者其他直接责任人员处2万元以上10万元以下的罚款；属于船员的，并给予</w:t>
            </w:r>
            <w:r>
              <w:rPr>
                <w:spacing w:val="9"/>
              </w:rPr>
              <w:t xml:space="preserve"> </w:t>
            </w:r>
            <w:r>
              <w:rPr>
                <w:spacing w:val="-1"/>
              </w:rPr>
              <w:t>暂扣适任证书或者其他适任证件6个月以上直至吊销适任证书或者其他适任</w:t>
            </w:r>
            <w:r>
              <w:rPr>
                <w:spacing w:val="-2"/>
              </w:rPr>
              <w:t>证件的处罚</w:t>
            </w:r>
            <w:r>
              <w:rPr>
                <w:spacing w:val="-41"/>
              </w:rPr>
              <w:t>：（</w:t>
            </w:r>
            <w:r>
              <w:rPr>
                <w:spacing w:val="-2"/>
              </w:rPr>
              <w:t>一）从事危险货物运</w:t>
            </w:r>
            <w:r>
              <w:t xml:space="preserve"> </w:t>
            </w:r>
            <w:r>
              <w:rPr>
                <w:spacing w:val="-1"/>
              </w:rPr>
              <w:t>输的船舶，未编制危险货物事故应急预案或者未配备相应的应急救援设备和器材的</w:t>
            </w:r>
            <w:r>
              <w:rPr>
                <w:spacing w:val="-2"/>
              </w:rPr>
              <w:t>；（</w:t>
            </w:r>
            <w:r>
              <w:rPr>
                <w:spacing w:val="-1"/>
              </w:rPr>
              <w:t>二）船舶</w:t>
            </w:r>
            <w:r>
              <w:rPr>
                <w:spacing w:val="-2"/>
              </w:rPr>
              <w:t>装卸、过驳危</w:t>
            </w:r>
            <w:r>
              <w:t xml:space="preserve"> </w:t>
            </w:r>
            <w:r>
              <w:rPr>
                <w:spacing w:val="-1"/>
              </w:rPr>
              <w:t>险货物或者载运危险货物进出港口未经海事管理机构、港口管理机构同意的。</w:t>
            </w:r>
          </w:p>
          <w:p w14:paraId="3E1D8A72">
            <w:pPr>
              <w:pStyle w:val="8"/>
              <w:spacing w:before="26" w:line="233" w:lineRule="auto"/>
              <w:ind w:left="125" w:right="115" w:firstLine="348"/>
            </w:pPr>
            <w:r>
              <w:rPr>
                <w:spacing w:val="-1"/>
              </w:rPr>
              <w:t>未持有危险货物适装证书擅自载运危险货物或者未按</w:t>
            </w:r>
            <w:r>
              <w:rPr>
                <w:spacing w:val="-2"/>
              </w:rPr>
              <w:t>照安全技术规范进行配载和运输的，依照《危险化学</w:t>
            </w:r>
            <w:r>
              <w:t xml:space="preserve"> </w:t>
            </w:r>
            <w:r>
              <w:rPr>
                <w:spacing w:val="-4"/>
              </w:rPr>
              <w:t>品安全管理条例》的规定处罚。</w:t>
            </w:r>
          </w:p>
          <w:p w14:paraId="1E3861CC">
            <w:pPr>
              <w:pStyle w:val="8"/>
              <w:spacing w:before="26" w:line="219" w:lineRule="auto"/>
              <w:ind w:left="469"/>
            </w:pPr>
            <w:r>
              <w:rPr>
                <w:b/>
                <w:bCs/>
                <w:spacing w:val="-3"/>
              </w:rPr>
              <w:t>3.《中华人民共和国内河海事行政处罚规定》（交通运输部令20</w:t>
            </w:r>
            <w:r>
              <w:rPr>
                <w:b/>
                <w:bCs/>
                <w:spacing w:val="-4"/>
              </w:rPr>
              <w:t>22年第28号）</w:t>
            </w:r>
          </w:p>
          <w:p w14:paraId="05027BF4">
            <w:pPr>
              <w:pStyle w:val="8"/>
              <w:spacing w:before="24" w:line="242" w:lineRule="auto"/>
              <w:ind w:left="110" w:right="95" w:firstLine="348"/>
              <w:jc w:val="both"/>
            </w:pPr>
            <w:r>
              <w:rPr>
                <w:spacing w:val="-8"/>
              </w:rPr>
              <w:t>第二十一条</w:t>
            </w:r>
            <w:r>
              <w:rPr>
                <w:spacing w:val="80"/>
              </w:rPr>
              <w:t xml:space="preserve"> </w:t>
            </w:r>
            <w:r>
              <w:rPr>
                <w:spacing w:val="-8"/>
              </w:rPr>
              <w:t>违反《内河交通安全管理条例》第三十二条、第三十四条的规定，从事危险</w:t>
            </w:r>
            <w:r>
              <w:rPr>
                <w:spacing w:val="-9"/>
              </w:rPr>
              <w:t>货物作业，有下列情</w:t>
            </w:r>
            <w:r>
              <w:t xml:space="preserve"> </w:t>
            </w:r>
            <w:r>
              <w:rPr>
                <w:spacing w:val="-2"/>
              </w:rPr>
              <w:t>形之一的，依照《内河交通安全管理条例》第七十一条的规定，责令停止作业或者航</w:t>
            </w:r>
            <w:r>
              <w:rPr>
                <w:spacing w:val="-3"/>
              </w:rPr>
              <w:t>行，对负有责任的主管人</w:t>
            </w:r>
            <w:r>
              <w:t xml:space="preserve"> </w:t>
            </w:r>
            <w:r>
              <w:rPr>
                <w:spacing w:val="-3"/>
              </w:rPr>
              <w:t>员或者其他直接责任人员处2万元以上10万元以下的罚款；属于船员的，并给予扣留适任证书或者其他适任证件</w:t>
            </w:r>
            <w:r>
              <w:rPr>
                <w:spacing w:val="8"/>
              </w:rPr>
              <w:t xml:space="preserve"> </w:t>
            </w:r>
            <w:r>
              <w:rPr>
                <w:spacing w:val="-1"/>
              </w:rPr>
              <w:t>6个月以上直至吊销适任证书或者其他适任证件的处罚</w:t>
            </w:r>
            <w:r>
              <w:rPr>
                <w:spacing w:val="-43"/>
              </w:rPr>
              <w:t>：（</w:t>
            </w:r>
            <w:r>
              <w:rPr>
                <w:spacing w:val="-1"/>
              </w:rPr>
              <w:t>一）从事危险货物</w:t>
            </w:r>
            <w:r>
              <w:rPr>
                <w:spacing w:val="-2"/>
              </w:rPr>
              <w:t>运输的船舶，未编制危险货物事故</w:t>
            </w:r>
            <w:r>
              <w:rPr>
                <w:spacing w:val="1"/>
              </w:rPr>
              <w:t xml:space="preserve"> </w:t>
            </w:r>
            <w:r>
              <w:rPr>
                <w:spacing w:val="-1"/>
              </w:rPr>
              <w:t>应急预案或者未配备相应的应急救援设备和器材的</w:t>
            </w:r>
            <w:r>
              <w:rPr>
                <w:spacing w:val="-9"/>
              </w:rPr>
              <w:t>；（</w:t>
            </w:r>
            <w:r>
              <w:rPr>
                <w:spacing w:val="-1"/>
              </w:rPr>
              <w:t>二）船舶载运危险货物进出港或者在港口外装卸、过驳</w:t>
            </w:r>
            <w:r>
              <w:t xml:space="preserve"> </w:t>
            </w:r>
            <w:r>
              <w:rPr>
                <w:spacing w:val="-5"/>
              </w:rPr>
              <w:t>危险货物未经海事管理机构同意的。</w:t>
            </w:r>
          </w:p>
        </w:tc>
        <w:tc>
          <w:tcPr>
            <w:tcW w:w="1043" w:type="dxa"/>
            <w:vAlign w:val="top"/>
          </w:tcPr>
          <w:p w14:paraId="2774F2FC">
            <w:pPr>
              <w:rPr>
                <w:rFonts w:ascii="Arial"/>
                <w:sz w:val="21"/>
              </w:rPr>
            </w:pPr>
          </w:p>
          <w:p w14:paraId="6F730C76">
            <w:pPr>
              <w:rPr>
                <w:rFonts w:ascii="Arial"/>
                <w:sz w:val="21"/>
              </w:rPr>
            </w:pPr>
          </w:p>
          <w:p w14:paraId="41B4A541">
            <w:pPr>
              <w:rPr>
                <w:rFonts w:ascii="Arial"/>
                <w:sz w:val="21"/>
              </w:rPr>
            </w:pPr>
          </w:p>
          <w:p w14:paraId="77992D79">
            <w:pPr>
              <w:rPr>
                <w:rFonts w:ascii="Arial"/>
                <w:sz w:val="21"/>
              </w:rPr>
            </w:pPr>
          </w:p>
          <w:p w14:paraId="545453ED">
            <w:pPr>
              <w:rPr>
                <w:rFonts w:ascii="Arial"/>
                <w:sz w:val="21"/>
              </w:rPr>
            </w:pPr>
          </w:p>
          <w:p w14:paraId="04D5CB9C">
            <w:pPr>
              <w:rPr>
                <w:rFonts w:ascii="Arial"/>
                <w:sz w:val="21"/>
              </w:rPr>
            </w:pPr>
          </w:p>
          <w:p w14:paraId="27FF80DA">
            <w:pPr>
              <w:rPr>
                <w:rFonts w:ascii="Arial"/>
                <w:sz w:val="21"/>
              </w:rPr>
            </w:pPr>
          </w:p>
          <w:p w14:paraId="3644BD5D">
            <w:pPr>
              <w:rPr>
                <w:rFonts w:ascii="Arial"/>
                <w:sz w:val="21"/>
              </w:rPr>
            </w:pPr>
          </w:p>
          <w:p w14:paraId="453F503D">
            <w:pPr>
              <w:rPr>
                <w:rFonts w:ascii="Arial"/>
                <w:sz w:val="21"/>
              </w:rPr>
            </w:pPr>
          </w:p>
          <w:p w14:paraId="03DEB606">
            <w:pPr>
              <w:spacing w:line="241" w:lineRule="auto"/>
              <w:rPr>
                <w:rFonts w:ascii="Arial"/>
                <w:sz w:val="21"/>
              </w:rPr>
            </w:pPr>
          </w:p>
          <w:p w14:paraId="71476ACA">
            <w:pPr>
              <w:spacing w:line="241" w:lineRule="auto"/>
              <w:rPr>
                <w:rFonts w:ascii="Arial"/>
                <w:sz w:val="21"/>
              </w:rPr>
            </w:pPr>
          </w:p>
          <w:p w14:paraId="65B88AF1">
            <w:pPr>
              <w:spacing w:line="241" w:lineRule="auto"/>
              <w:rPr>
                <w:rFonts w:ascii="Arial"/>
                <w:sz w:val="21"/>
              </w:rPr>
            </w:pPr>
          </w:p>
          <w:p w14:paraId="6EB3A915">
            <w:pPr>
              <w:spacing w:line="241" w:lineRule="auto"/>
              <w:rPr>
                <w:rFonts w:ascii="Arial"/>
                <w:sz w:val="21"/>
              </w:rPr>
            </w:pPr>
          </w:p>
          <w:p w14:paraId="62700F8F">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3BD1BC09">
            <w:pPr>
              <w:spacing w:line="249" w:lineRule="auto"/>
              <w:rPr>
                <w:rFonts w:ascii="Arial"/>
                <w:sz w:val="21"/>
              </w:rPr>
            </w:pPr>
          </w:p>
          <w:p w14:paraId="68138D59">
            <w:pPr>
              <w:spacing w:line="249" w:lineRule="auto"/>
              <w:rPr>
                <w:rFonts w:ascii="Arial"/>
                <w:sz w:val="21"/>
              </w:rPr>
            </w:pPr>
          </w:p>
          <w:p w14:paraId="1284C61C">
            <w:pPr>
              <w:spacing w:line="249" w:lineRule="auto"/>
              <w:rPr>
                <w:rFonts w:ascii="Arial"/>
                <w:sz w:val="21"/>
              </w:rPr>
            </w:pPr>
          </w:p>
          <w:p w14:paraId="05B2A845">
            <w:pPr>
              <w:spacing w:line="249" w:lineRule="auto"/>
              <w:rPr>
                <w:rFonts w:ascii="Arial"/>
                <w:sz w:val="21"/>
              </w:rPr>
            </w:pPr>
          </w:p>
          <w:p w14:paraId="702193E0">
            <w:pPr>
              <w:spacing w:line="249" w:lineRule="auto"/>
              <w:rPr>
                <w:rFonts w:ascii="Arial"/>
                <w:sz w:val="21"/>
              </w:rPr>
            </w:pPr>
          </w:p>
          <w:p w14:paraId="0719231D">
            <w:pPr>
              <w:spacing w:line="249" w:lineRule="auto"/>
              <w:rPr>
                <w:rFonts w:ascii="Arial"/>
                <w:sz w:val="21"/>
              </w:rPr>
            </w:pPr>
          </w:p>
          <w:p w14:paraId="66FC56C0">
            <w:pPr>
              <w:spacing w:line="250" w:lineRule="auto"/>
              <w:rPr>
                <w:rFonts w:ascii="Arial"/>
                <w:sz w:val="21"/>
              </w:rPr>
            </w:pPr>
          </w:p>
          <w:p w14:paraId="5044062D">
            <w:pPr>
              <w:spacing w:line="250" w:lineRule="auto"/>
              <w:rPr>
                <w:rFonts w:ascii="Arial"/>
                <w:sz w:val="21"/>
              </w:rPr>
            </w:pPr>
          </w:p>
          <w:p w14:paraId="25C948CC">
            <w:pPr>
              <w:spacing w:line="250" w:lineRule="auto"/>
              <w:rPr>
                <w:rFonts w:ascii="Arial"/>
                <w:sz w:val="21"/>
              </w:rPr>
            </w:pPr>
          </w:p>
          <w:p w14:paraId="6A19447C">
            <w:pPr>
              <w:spacing w:line="250" w:lineRule="auto"/>
              <w:rPr>
                <w:rFonts w:ascii="Arial"/>
                <w:sz w:val="21"/>
              </w:rPr>
            </w:pPr>
          </w:p>
          <w:p w14:paraId="5BCD83A0">
            <w:pPr>
              <w:spacing w:line="250" w:lineRule="auto"/>
              <w:rPr>
                <w:rFonts w:ascii="Arial"/>
                <w:sz w:val="21"/>
              </w:rPr>
            </w:pPr>
          </w:p>
          <w:p w14:paraId="2BED7A66">
            <w:pPr>
              <w:spacing w:line="250" w:lineRule="auto"/>
              <w:rPr>
                <w:rFonts w:ascii="Arial"/>
                <w:sz w:val="21"/>
              </w:rPr>
            </w:pPr>
          </w:p>
          <w:p w14:paraId="555DC8E8">
            <w:pPr>
              <w:spacing w:line="250" w:lineRule="auto"/>
              <w:rPr>
                <w:rFonts w:ascii="Arial"/>
                <w:sz w:val="21"/>
              </w:rPr>
            </w:pPr>
          </w:p>
          <w:p w14:paraId="04672E83">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356EF82">
            <w:pPr>
              <w:rPr>
                <w:rFonts w:ascii="Arial"/>
                <w:sz w:val="21"/>
              </w:rPr>
            </w:pPr>
          </w:p>
          <w:p w14:paraId="5ED7A7C0">
            <w:pPr>
              <w:rPr>
                <w:rFonts w:ascii="Arial"/>
                <w:sz w:val="21"/>
              </w:rPr>
            </w:pPr>
          </w:p>
          <w:p w14:paraId="1CA03CDD">
            <w:pPr>
              <w:rPr>
                <w:rFonts w:ascii="Arial"/>
                <w:sz w:val="21"/>
              </w:rPr>
            </w:pPr>
          </w:p>
          <w:p w14:paraId="46C0F71F">
            <w:pPr>
              <w:rPr>
                <w:rFonts w:ascii="Arial"/>
                <w:sz w:val="21"/>
              </w:rPr>
            </w:pPr>
          </w:p>
          <w:p w14:paraId="4816B8B5">
            <w:pPr>
              <w:rPr>
                <w:rFonts w:ascii="Arial"/>
                <w:sz w:val="21"/>
              </w:rPr>
            </w:pPr>
          </w:p>
          <w:p w14:paraId="29BB20B3">
            <w:pPr>
              <w:spacing w:line="241" w:lineRule="auto"/>
              <w:rPr>
                <w:rFonts w:ascii="Arial"/>
                <w:sz w:val="21"/>
              </w:rPr>
            </w:pPr>
          </w:p>
          <w:p w14:paraId="0CE33758">
            <w:pPr>
              <w:spacing w:line="241" w:lineRule="auto"/>
              <w:rPr>
                <w:rFonts w:ascii="Arial"/>
                <w:sz w:val="21"/>
              </w:rPr>
            </w:pPr>
          </w:p>
          <w:p w14:paraId="535BFBC0">
            <w:pPr>
              <w:spacing w:line="241" w:lineRule="auto"/>
              <w:rPr>
                <w:rFonts w:ascii="Arial"/>
                <w:sz w:val="21"/>
              </w:rPr>
            </w:pPr>
          </w:p>
          <w:p w14:paraId="5C87F759">
            <w:pPr>
              <w:spacing w:line="241" w:lineRule="auto"/>
              <w:rPr>
                <w:rFonts w:ascii="Arial"/>
                <w:sz w:val="21"/>
              </w:rPr>
            </w:pPr>
          </w:p>
          <w:p w14:paraId="4FC74ADC">
            <w:pPr>
              <w:spacing w:line="241" w:lineRule="auto"/>
              <w:rPr>
                <w:rFonts w:ascii="Arial"/>
                <w:sz w:val="21"/>
              </w:rPr>
            </w:pPr>
          </w:p>
          <w:p w14:paraId="65347447">
            <w:pPr>
              <w:spacing w:line="241" w:lineRule="auto"/>
              <w:rPr>
                <w:rFonts w:ascii="Arial"/>
                <w:sz w:val="21"/>
              </w:rPr>
            </w:pPr>
          </w:p>
          <w:p w14:paraId="10951DBF">
            <w:pPr>
              <w:spacing w:line="241" w:lineRule="auto"/>
              <w:rPr>
                <w:rFonts w:ascii="Arial"/>
                <w:sz w:val="21"/>
              </w:rPr>
            </w:pPr>
          </w:p>
          <w:p w14:paraId="72310E91">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546B358D">
      <w:pPr>
        <w:pStyle w:val="2"/>
      </w:pPr>
    </w:p>
    <w:p w14:paraId="73A156C0">
      <w:pPr>
        <w:sectPr>
          <w:footerReference r:id="rId176" w:type="default"/>
          <w:pgSz w:w="16839" w:h="11906"/>
          <w:pgMar w:top="1012" w:right="788" w:bottom="967" w:left="787" w:header="0" w:footer="768" w:gutter="0"/>
          <w:cols w:space="720" w:num="1"/>
        </w:sectPr>
      </w:pPr>
    </w:p>
    <w:p w14:paraId="7832478C">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73B10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D0AB4B9">
            <w:pPr>
              <w:pStyle w:val="8"/>
              <w:spacing w:before="267" w:line="221" w:lineRule="auto"/>
              <w:ind w:left="142"/>
            </w:pPr>
            <w:r>
              <w:rPr>
                <w:b/>
                <w:bCs/>
                <w:spacing w:val="-4"/>
              </w:rPr>
              <w:t>序号</w:t>
            </w:r>
          </w:p>
        </w:tc>
        <w:tc>
          <w:tcPr>
            <w:tcW w:w="1136" w:type="dxa"/>
            <w:vMerge w:val="restart"/>
            <w:tcBorders>
              <w:bottom w:val="nil"/>
            </w:tcBorders>
            <w:vAlign w:val="top"/>
          </w:tcPr>
          <w:p w14:paraId="6A4AC3A2">
            <w:pPr>
              <w:pStyle w:val="8"/>
              <w:spacing w:before="267" w:line="220" w:lineRule="auto"/>
              <w:ind w:left="208"/>
            </w:pPr>
            <w:r>
              <w:rPr>
                <w:b/>
                <w:bCs/>
                <w:spacing w:val="-4"/>
              </w:rPr>
              <w:t>事项名称</w:t>
            </w:r>
          </w:p>
        </w:tc>
        <w:tc>
          <w:tcPr>
            <w:tcW w:w="1136" w:type="dxa"/>
            <w:vMerge w:val="restart"/>
            <w:tcBorders>
              <w:bottom w:val="nil"/>
            </w:tcBorders>
            <w:vAlign w:val="top"/>
          </w:tcPr>
          <w:p w14:paraId="7CC0EF83">
            <w:pPr>
              <w:pStyle w:val="8"/>
              <w:spacing w:before="267" w:line="219" w:lineRule="auto"/>
              <w:ind w:left="210"/>
            </w:pPr>
            <w:r>
              <w:rPr>
                <w:b/>
                <w:bCs/>
                <w:spacing w:val="-4"/>
              </w:rPr>
              <w:t>职权类型</w:t>
            </w:r>
          </w:p>
        </w:tc>
        <w:tc>
          <w:tcPr>
            <w:tcW w:w="8806" w:type="dxa"/>
            <w:vMerge w:val="restart"/>
            <w:tcBorders>
              <w:bottom w:val="nil"/>
            </w:tcBorders>
            <w:vAlign w:val="top"/>
          </w:tcPr>
          <w:p w14:paraId="09BFF6DF">
            <w:pPr>
              <w:pStyle w:val="8"/>
              <w:spacing w:before="267" w:line="219" w:lineRule="auto"/>
              <w:ind w:left="4050"/>
            </w:pPr>
            <w:r>
              <w:rPr>
                <w:b/>
                <w:bCs/>
                <w:spacing w:val="-5"/>
              </w:rPr>
              <w:t>实施依据</w:t>
            </w:r>
          </w:p>
        </w:tc>
        <w:tc>
          <w:tcPr>
            <w:tcW w:w="3538" w:type="dxa"/>
            <w:gridSpan w:val="3"/>
            <w:vAlign w:val="top"/>
          </w:tcPr>
          <w:p w14:paraId="59766F6E">
            <w:pPr>
              <w:pStyle w:val="8"/>
              <w:spacing w:before="92" w:line="220" w:lineRule="auto"/>
              <w:ind w:left="1415"/>
            </w:pPr>
            <w:r>
              <w:rPr>
                <w:b/>
                <w:bCs/>
                <w:spacing w:val="-5"/>
              </w:rPr>
              <w:t>实施主体</w:t>
            </w:r>
          </w:p>
        </w:tc>
      </w:tr>
      <w:tr w14:paraId="40398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21DFEDFA">
            <w:pPr>
              <w:rPr>
                <w:rFonts w:ascii="Arial"/>
                <w:sz w:val="21"/>
              </w:rPr>
            </w:pPr>
          </w:p>
        </w:tc>
        <w:tc>
          <w:tcPr>
            <w:tcW w:w="1136" w:type="dxa"/>
            <w:vMerge w:val="continue"/>
            <w:tcBorders>
              <w:top w:val="nil"/>
            </w:tcBorders>
            <w:vAlign w:val="top"/>
          </w:tcPr>
          <w:p w14:paraId="359F8362">
            <w:pPr>
              <w:rPr>
                <w:rFonts w:ascii="Arial"/>
                <w:sz w:val="21"/>
              </w:rPr>
            </w:pPr>
          </w:p>
        </w:tc>
        <w:tc>
          <w:tcPr>
            <w:tcW w:w="1136" w:type="dxa"/>
            <w:vMerge w:val="continue"/>
            <w:tcBorders>
              <w:top w:val="nil"/>
            </w:tcBorders>
            <w:vAlign w:val="top"/>
          </w:tcPr>
          <w:p w14:paraId="30346212">
            <w:pPr>
              <w:rPr>
                <w:rFonts w:ascii="Arial"/>
                <w:sz w:val="21"/>
              </w:rPr>
            </w:pPr>
          </w:p>
        </w:tc>
        <w:tc>
          <w:tcPr>
            <w:tcW w:w="8806" w:type="dxa"/>
            <w:vMerge w:val="continue"/>
            <w:tcBorders>
              <w:top w:val="nil"/>
            </w:tcBorders>
            <w:vAlign w:val="top"/>
          </w:tcPr>
          <w:p w14:paraId="013BD2A5">
            <w:pPr>
              <w:rPr>
                <w:rFonts w:ascii="Arial"/>
                <w:sz w:val="21"/>
              </w:rPr>
            </w:pPr>
          </w:p>
        </w:tc>
        <w:tc>
          <w:tcPr>
            <w:tcW w:w="1043" w:type="dxa"/>
            <w:vAlign w:val="top"/>
          </w:tcPr>
          <w:p w14:paraId="49837204">
            <w:pPr>
              <w:pStyle w:val="8"/>
              <w:spacing w:before="88" w:line="219" w:lineRule="auto"/>
              <w:ind w:left="171"/>
            </w:pPr>
            <w:r>
              <w:rPr>
                <w:b/>
                <w:bCs/>
                <w:spacing w:val="-5"/>
              </w:rPr>
              <w:t>责任部门</w:t>
            </w:r>
          </w:p>
        </w:tc>
        <w:tc>
          <w:tcPr>
            <w:tcW w:w="1448" w:type="dxa"/>
            <w:vAlign w:val="top"/>
          </w:tcPr>
          <w:p w14:paraId="10F5E142">
            <w:pPr>
              <w:pStyle w:val="8"/>
              <w:spacing w:before="88" w:line="219" w:lineRule="auto"/>
              <w:ind w:left="187"/>
            </w:pPr>
            <w:r>
              <w:rPr>
                <w:b/>
                <w:bCs/>
                <w:spacing w:val="-3"/>
              </w:rPr>
              <w:t>第一责任层级</w:t>
            </w:r>
          </w:p>
        </w:tc>
        <w:tc>
          <w:tcPr>
            <w:tcW w:w="1047" w:type="dxa"/>
            <w:vAlign w:val="top"/>
          </w:tcPr>
          <w:p w14:paraId="3508FE4D">
            <w:pPr>
              <w:pStyle w:val="8"/>
              <w:spacing w:before="88" w:line="219" w:lineRule="auto"/>
              <w:ind w:left="165"/>
            </w:pPr>
            <w:r>
              <w:rPr>
                <w:b/>
                <w:bCs/>
                <w:spacing w:val="-4"/>
              </w:rPr>
              <w:t>承办机构</w:t>
            </w:r>
          </w:p>
        </w:tc>
      </w:tr>
      <w:tr w14:paraId="237BA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6" w:hRule="atLeast"/>
        </w:trPr>
        <w:tc>
          <w:tcPr>
            <w:tcW w:w="641" w:type="dxa"/>
            <w:vAlign w:val="top"/>
          </w:tcPr>
          <w:p w14:paraId="09507217">
            <w:pPr>
              <w:spacing w:line="241" w:lineRule="auto"/>
              <w:rPr>
                <w:rFonts w:ascii="Arial"/>
                <w:sz w:val="21"/>
              </w:rPr>
            </w:pPr>
          </w:p>
          <w:p w14:paraId="7A283E36">
            <w:pPr>
              <w:spacing w:line="241" w:lineRule="auto"/>
              <w:rPr>
                <w:rFonts w:ascii="Arial"/>
                <w:sz w:val="21"/>
              </w:rPr>
            </w:pPr>
          </w:p>
          <w:p w14:paraId="4CC009BA">
            <w:pPr>
              <w:spacing w:line="241" w:lineRule="auto"/>
              <w:rPr>
                <w:rFonts w:ascii="Arial"/>
                <w:sz w:val="21"/>
              </w:rPr>
            </w:pPr>
          </w:p>
          <w:p w14:paraId="6C08D0DE">
            <w:pPr>
              <w:spacing w:line="242" w:lineRule="auto"/>
              <w:rPr>
                <w:rFonts w:ascii="Arial"/>
                <w:sz w:val="21"/>
              </w:rPr>
            </w:pPr>
          </w:p>
          <w:p w14:paraId="21656A0D">
            <w:pPr>
              <w:pStyle w:val="8"/>
              <w:spacing w:before="58" w:line="183" w:lineRule="auto"/>
              <w:ind w:left="236"/>
            </w:pPr>
            <w:r>
              <w:rPr>
                <w:spacing w:val="-4"/>
              </w:rPr>
              <w:t>20</w:t>
            </w:r>
          </w:p>
        </w:tc>
        <w:tc>
          <w:tcPr>
            <w:tcW w:w="1136" w:type="dxa"/>
            <w:vAlign w:val="top"/>
          </w:tcPr>
          <w:p w14:paraId="0E79A66B">
            <w:pPr>
              <w:spacing w:line="339" w:lineRule="auto"/>
              <w:rPr>
                <w:rFonts w:ascii="Arial"/>
                <w:sz w:val="21"/>
              </w:rPr>
            </w:pPr>
          </w:p>
          <w:p w14:paraId="05BEFD82">
            <w:pPr>
              <w:pStyle w:val="8"/>
              <w:spacing w:before="58" w:line="242" w:lineRule="auto"/>
              <w:ind w:left="109" w:right="101"/>
              <w:jc w:val="both"/>
            </w:pPr>
            <w:r>
              <w:rPr>
                <w:spacing w:val="3"/>
              </w:rPr>
              <w:t>对渡口船舶</w:t>
            </w:r>
            <w:r>
              <w:rPr>
                <w:spacing w:val="1"/>
              </w:rPr>
              <w:t xml:space="preserve"> </w:t>
            </w:r>
            <w:r>
              <w:rPr>
                <w:spacing w:val="3"/>
              </w:rPr>
              <w:t>未标明识别</w:t>
            </w:r>
            <w:r>
              <w:t xml:space="preserve"> </w:t>
            </w:r>
            <w:r>
              <w:rPr>
                <w:spacing w:val="3"/>
              </w:rPr>
              <w:t>标志、载客 定额、安全</w:t>
            </w:r>
            <w:r>
              <w:t xml:space="preserve"> </w:t>
            </w:r>
            <w:r>
              <w:rPr>
                <w:spacing w:val="3"/>
              </w:rPr>
              <w:t>注意事项的</w:t>
            </w:r>
            <w:r>
              <w:t xml:space="preserve"> </w:t>
            </w:r>
            <w:r>
              <w:rPr>
                <w:spacing w:val="-4"/>
              </w:rPr>
              <w:t>行政处罚</w:t>
            </w:r>
          </w:p>
        </w:tc>
        <w:tc>
          <w:tcPr>
            <w:tcW w:w="1136" w:type="dxa"/>
            <w:vAlign w:val="top"/>
          </w:tcPr>
          <w:p w14:paraId="2BCC7C17">
            <w:pPr>
              <w:spacing w:line="312" w:lineRule="auto"/>
              <w:rPr>
                <w:rFonts w:ascii="Arial"/>
                <w:sz w:val="21"/>
              </w:rPr>
            </w:pPr>
          </w:p>
          <w:p w14:paraId="66A53259">
            <w:pPr>
              <w:spacing w:line="312" w:lineRule="auto"/>
              <w:rPr>
                <w:rFonts w:ascii="Arial"/>
                <w:sz w:val="21"/>
              </w:rPr>
            </w:pPr>
          </w:p>
          <w:p w14:paraId="298E9E8E">
            <w:pPr>
              <w:spacing w:line="312" w:lineRule="auto"/>
              <w:rPr>
                <w:rFonts w:ascii="Arial"/>
                <w:sz w:val="21"/>
              </w:rPr>
            </w:pPr>
          </w:p>
          <w:p w14:paraId="149B3E59">
            <w:pPr>
              <w:pStyle w:val="8"/>
              <w:spacing w:before="59" w:line="220" w:lineRule="auto"/>
              <w:ind w:left="114"/>
            </w:pPr>
            <w:r>
              <w:rPr>
                <w:spacing w:val="-7"/>
              </w:rPr>
              <w:t>行政处罚</w:t>
            </w:r>
          </w:p>
        </w:tc>
        <w:tc>
          <w:tcPr>
            <w:tcW w:w="8806" w:type="dxa"/>
            <w:vAlign w:val="top"/>
          </w:tcPr>
          <w:p w14:paraId="6F77494E">
            <w:pPr>
              <w:spacing w:line="459" w:lineRule="auto"/>
              <w:rPr>
                <w:rFonts w:ascii="Arial"/>
                <w:sz w:val="21"/>
              </w:rPr>
            </w:pPr>
          </w:p>
          <w:p w14:paraId="096260EC">
            <w:pPr>
              <w:pStyle w:val="8"/>
              <w:spacing w:before="59" w:line="219" w:lineRule="auto"/>
              <w:ind w:left="471"/>
            </w:pPr>
            <w:r>
              <w:rPr>
                <w:b/>
                <w:bCs/>
                <w:spacing w:val="-4"/>
              </w:rPr>
              <w:t>《中华人民共和国内河交通安全管理条例》</w:t>
            </w:r>
          </w:p>
          <w:p w14:paraId="1F4C2F22">
            <w:pPr>
              <w:pStyle w:val="8"/>
              <w:spacing w:before="26" w:line="233" w:lineRule="auto"/>
              <w:ind w:left="110" w:right="177" w:firstLine="348"/>
            </w:pPr>
            <w:r>
              <w:rPr>
                <w:spacing w:val="-6"/>
              </w:rPr>
              <w:t>第三十九条第一款</w:t>
            </w:r>
            <w:r>
              <w:rPr>
                <w:spacing w:val="80"/>
                <w:w w:val="101"/>
              </w:rPr>
              <w:t xml:space="preserve"> </w:t>
            </w:r>
            <w:r>
              <w:rPr>
                <w:spacing w:val="-6"/>
              </w:rPr>
              <w:t>渡口载客船舶应当有符合国家规定的识别标志，并在明显位置</w:t>
            </w:r>
            <w:r>
              <w:rPr>
                <w:spacing w:val="-7"/>
              </w:rPr>
              <w:t>标明载客定额、安全注意</w:t>
            </w:r>
            <w:r>
              <w:t xml:space="preserve"> </w:t>
            </w:r>
            <w:r>
              <w:rPr>
                <w:spacing w:val="-5"/>
              </w:rPr>
              <w:t>事项。</w:t>
            </w:r>
          </w:p>
          <w:p w14:paraId="11796A2E">
            <w:pPr>
              <w:pStyle w:val="8"/>
              <w:spacing w:before="24" w:line="233" w:lineRule="auto"/>
              <w:ind w:left="112" w:right="95" w:firstLine="341"/>
            </w:pPr>
            <w:r>
              <w:rPr>
                <w:spacing w:val="-8"/>
              </w:rPr>
              <w:t>第七十三条</w:t>
            </w:r>
            <w:r>
              <w:rPr>
                <w:spacing w:val="76"/>
              </w:rPr>
              <w:t xml:space="preserve"> </w:t>
            </w:r>
            <w:r>
              <w:rPr>
                <w:spacing w:val="-8"/>
              </w:rPr>
              <w:t>违反本条例的规定，渡口船舶未标明识别标志、载客定额、安全注意事项的，由渡口所在地县级</w:t>
            </w:r>
            <w:r>
              <w:t xml:space="preserve"> </w:t>
            </w:r>
            <w:r>
              <w:rPr>
                <w:spacing w:val="-4"/>
              </w:rPr>
              <w:t>人民政府指定的部门责令改正，处2000</w:t>
            </w:r>
            <w:r>
              <w:rPr>
                <w:spacing w:val="-5"/>
              </w:rPr>
              <w:t>元以上1万元以下的罚款；逾期不改正的，责令停航。</w:t>
            </w:r>
          </w:p>
        </w:tc>
        <w:tc>
          <w:tcPr>
            <w:tcW w:w="1043" w:type="dxa"/>
            <w:vAlign w:val="top"/>
          </w:tcPr>
          <w:p w14:paraId="5A7100C7">
            <w:pPr>
              <w:spacing w:line="272" w:lineRule="auto"/>
              <w:rPr>
                <w:rFonts w:ascii="Arial"/>
                <w:sz w:val="21"/>
              </w:rPr>
            </w:pPr>
          </w:p>
          <w:p w14:paraId="5AF663CC">
            <w:pPr>
              <w:spacing w:line="272" w:lineRule="auto"/>
              <w:rPr>
                <w:rFonts w:ascii="Arial"/>
                <w:sz w:val="21"/>
              </w:rPr>
            </w:pPr>
          </w:p>
          <w:p w14:paraId="174C34C4">
            <w:pPr>
              <w:spacing w:line="273" w:lineRule="auto"/>
              <w:rPr>
                <w:rFonts w:ascii="Arial"/>
                <w:sz w:val="21"/>
              </w:rPr>
            </w:pPr>
          </w:p>
          <w:p w14:paraId="51B292FB">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B98F7D3">
            <w:pPr>
              <w:spacing w:line="312" w:lineRule="auto"/>
              <w:rPr>
                <w:rFonts w:ascii="Arial"/>
                <w:sz w:val="21"/>
              </w:rPr>
            </w:pPr>
          </w:p>
          <w:p w14:paraId="599ECE6B">
            <w:pPr>
              <w:spacing w:line="312" w:lineRule="auto"/>
              <w:rPr>
                <w:rFonts w:ascii="Arial"/>
                <w:sz w:val="21"/>
              </w:rPr>
            </w:pPr>
          </w:p>
          <w:p w14:paraId="4C1AD874">
            <w:pPr>
              <w:spacing w:line="313" w:lineRule="auto"/>
              <w:rPr>
                <w:rFonts w:ascii="Arial"/>
                <w:sz w:val="21"/>
              </w:rPr>
            </w:pPr>
          </w:p>
          <w:p w14:paraId="7D5BCC3A">
            <w:pPr>
              <w:pStyle w:val="8"/>
              <w:spacing w:before="58" w:line="221" w:lineRule="auto"/>
            </w:pPr>
            <w:r>
              <w:rPr>
                <w:rFonts w:hint="eastAsia"/>
                <w:spacing w:val="-8"/>
                <w:lang w:eastAsia="zh-CN"/>
              </w:rPr>
              <w:t>津市市交通运输局</w:t>
            </w:r>
          </w:p>
        </w:tc>
        <w:tc>
          <w:tcPr>
            <w:tcW w:w="1047" w:type="dxa"/>
            <w:vAlign w:val="top"/>
          </w:tcPr>
          <w:p w14:paraId="230AE531">
            <w:pPr>
              <w:spacing w:line="290" w:lineRule="auto"/>
              <w:rPr>
                <w:rFonts w:ascii="Arial"/>
                <w:sz w:val="21"/>
              </w:rPr>
            </w:pPr>
          </w:p>
          <w:p w14:paraId="3083F698">
            <w:pPr>
              <w:spacing w:line="290" w:lineRule="auto"/>
              <w:rPr>
                <w:rFonts w:ascii="Arial"/>
                <w:sz w:val="21"/>
              </w:rPr>
            </w:pPr>
          </w:p>
          <w:p w14:paraId="74077E48">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0EF92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4" w:hRule="atLeast"/>
        </w:trPr>
        <w:tc>
          <w:tcPr>
            <w:tcW w:w="641" w:type="dxa"/>
            <w:vAlign w:val="top"/>
          </w:tcPr>
          <w:p w14:paraId="2FE1DC75">
            <w:pPr>
              <w:spacing w:line="258" w:lineRule="auto"/>
              <w:rPr>
                <w:rFonts w:ascii="Arial"/>
                <w:sz w:val="21"/>
              </w:rPr>
            </w:pPr>
          </w:p>
          <w:p w14:paraId="68751F9B">
            <w:pPr>
              <w:spacing w:line="258" w:lineRule="auto"/>
              <w:rPr>
                <w:rFonts w:ascii="Arial"/>
                <w:sz w:val="21"/>
              </w:rPr>
            </w:pPr>
          </w:p>
          <w:p w14:paraId="39894919">
            <w:pPr>
              <w:spacing w:line="258" w:lineRule="auto"/>
              <w:rPr>
                <w:rFonts w:ascii="Arial"/>
                <w:sz w:val="21"/>
              </w:rPr>
            </w:pPr>
          </w:p>
          <w:p w14:paraId="3B0784C2">
            <w:pPr>
              <w:spacing w:line="258" w:lineRule="auto"/>
              <w:rPr>
                <w:rFonts w:ascii="Arial"/>
                <w:sz w:val="21"/>
              </w:rPr>
            </w:pPr>
          </w:p>
          <w:p w14:paraId="5BA54C27">
            <w:pPr>
              <w:spacing w:line="258" w:lineRule="auto"/>
              <w:rPr>
                <w:rFonts w:ascii="Arial"/>
                <w:sz w:val="21"/>
              </w:rPr>
            </w:pPr>
          </w:p>
          <w:p w14:paraId="7AA1EC17">
            <w:pPr>
              <w:spacing w:line="258" w:lineRule="auto"/>
              <w:rPr>
                <w:rFonts w:ascii="Arial"/>
                <w:sz w:val="21"/>
              </w:rPr>
            </w:pPr>
          </w:p>
          <w:p w14:paraId="45797A3F">
            <w:pPr>
              <w:spacing w:line="258" w:lineRule="auto"/>
              <w:rPr>
                <w:rFonts w:ascii="Arial"/>
                <w:sz w:val="21"/>
              </w:rPr>
            </w:pPr>
          </w:p>
          <w:p w14:paraId="45F4C23D">
            <w:pPr>
              <w:spacing w:line="258" w:lineRule="auto"/>
              <w:rPr>
                <w:rFonts w:ascii="Arial"/>
                <w:sz w:val="21"/>
              </w:rPr>
            </w:pPr>
          </w:p>
          <w:p w14:paraId="56897142">
            <w:pPr>
              <w:spacing w:line="258" w:lineRule="auto"/>
              <w:rPr>
                <w:rFonts w:ascii="Arial"/>
                <w:sz w:val="21"/>
              </w:rPr>
            </w:pPr>
          </w:p>
          <w:p w14:paraId="1E4A48CF">
            <w:pPr>
              <w:spacing w:line="259" w:lineRule="auto"/>
              <w:rPr>
                <w:rFonts w:ascii="Arial"/>
                <w:sz w:val="21"/>
              </w:rPr>
            </w:pPr>
          </w:p>
          <w:p w14:paraId="301ACB1A">
            <w:pPr>
              <w:spacing w:line="259" w:lineRule="auto"/>
              <w:rPr>
                <w:rFonts w:ascii="Arial"/>
                <w:sz w:val="21"/>
              </w:rPr>
            </w:pPr>
          </w:p>
          <w:p w14:paraId="141E5C16">
            <w:pPr>
              <w:spacing w:line="259" w:lineRule="auto"/>
              <w:rPr>
                <w:rFonts w:ascii="Arial"/>
                <w:sz w:val="21"/>
              </w:rPr>
            </w:pPr>
          </w:p>
          <w:p w14:paraId="69366456">
            <w:pPr>
              <w:pStyle w:val="8"/>
              <w:spacing w:before="59" w:line="184" w:lineRule="auto"/>
              <w:ind w:left="236"/>
            </w:pPr>
            <w:r>
              <w:rPr>
                <w:spacing w:val="-4"/>
              </w:rPr>
              <w:t>21</w:t>
            </w:r>
          </w:p>
        </w:tc>
        <w:tc>
          <w:tcPr>
            <w:tcW w:w="1136" w:type="dxa"/>
            <w:vAlign w:val="top"/>
          </w:tcPr>
          <w:p w14:paraId="4585B869">
            <w:pPr>
              <w:spacing w:line="247" w:lineRule="auto"/>
              <w:rPr>
                <w:rFonts w:ascii="Arial"/>
                <w:sz w:val="21"/>
              </w:rPr>
            </w:pPr>
          </w:p>
          <w:p w14:paraId="631DAB5E">
            <w:pPr>
              <w:spacing w:line="247" w:lineRule="auto"/>
              <w:rPr>
                <w:rFonts w:ascii="Arial"/>
                <w:sz w:val="21"/>
              </w:rPr>
            </w:pPr>
          </w:p>
          <w:p w14:paraId="5A677381">
            <w:pPr>
              <w:spacing w:line="247" w:lineRule="auto"/>
              <w:rPr>
                <w:rFonts w:ascii="Arial"/>
                <w:sz w:val="21"/>
              </w:rPr>
            </w:pPr>
          </w:p>
          <w:p w14:paraId="04B5E2D9">
            <w:pPr>
              <w:spacing w:line="247" w:lineRule="auto"/>
              <w:rPr>
                <w:rFonts w:ascii="Arial"/>
                <w:sz w:val="21"/>
              </w:rPr>
            </w:pPr>
          </w:p>
          <w:p w14:paraId="7214F78A">
            <w:pPr>
              <w:spacing w:line="247" w:lineRule="auto"/>
              <w:rPr>
                <w:rFonts w:ascii="Arial"/>
                <w:sz w:val="21"/>
              </w:rPr>
            </w:pPr>
          </w:p>
          <w:p w14:paraId="40F45434">
            <w:pPr>
              <w:spacing w:line="248" w:lineRule="auto"/>
              <w:rPr>
                <w:rFonts w:ascii="Arial"/>
                <w:sz w:val="21"/>
              </w:rPr>
            </w:pPr>
          </w:p>
          <w:p w14:paraId="5E455470">
            <w:pPr>
              <w:spacing w:line="248" w:lineRule="auto"/>
              <w:rPr>
                <w:rFonts w:ascii="Arial"/>
                <w:sz w:val="21"/>
              </w:rPr>
            </w:pPr>
          </w:p>
          <w:p w14:paraId="613FCF20">
            <w:pPr>
              <w:spacing w:line="248" w:lineRule="auto"/>
              <w:rPr>
                <w:rFonts w:ascii="Arial"/>
                <w:sz w:val="21"/>
              </w:rPr>
            </w:pPr>
          </w:p>
          <w:p w14:paraId="06C74AA3">
            <w:pPr>
              <w:spacing w:line="248" w:lineRule="auto"/>
              <w:rPr>
                <w:rFonts w:ascii="Arial"/>
                <w:sz w:val="21"/>
              </w:rPr>
            </w:pPr>
          </w:p>
          <w:p w14:paraId="10C4ADAC">
            <w:pPr>
              <w:spacing w:line="248" w:lineRule="auto"/>
              <w:rPr>
                <w:rFonts w:ascii="Arial"/>
                <w:sz w:val="21"/>
              </w:rPr>
            </w:pPr>
          </w:p>
          <w:p w14:paraId="47339E51">
            <w:pPr>
              <w:pStyle w:val="8"/>
              <w:spacing w:before="58" w:line="242" w:lineRule="auto"/>
              <w:ind w:left="110" w:right="104" w:hanging="1"/>
              <w:jc w:val="both"/>
            </w:pPr>
            <w:r>
              <w:rPr>
                <w:spacing w:val="3"/>
              </w:rPr>
              <w:t>对船舶、浮</w:t>
            </w:r>
            <w:r>
              <w:rPr>
                <w:spacing w:val="1"/>
              </w:rPr>
              <w:t xml:space="preserve"> </w:t>
            </w:r>
            <w:r>
              <w:rPr>
                <w:spacing w:val="3"/>
              </w:rPr>
              <w:t>动设施遇险</w:t>
            </w:r>
            <w:r>
              <w:t xml:space="preserve"> </w:t>
            </w:r>
            <w:r>
              <w:rPr>
                <w:spacing w:val="3"/>
              </w:rPr>
              <w:t>后未履行报</w:t>
            </w:r>
            <w:r>
              <w:t xml:space="preserve"> </w:t>
            </w:r>
            <w:r>
              <w:rPr>
                <w:spacing w:val="3"/>
              </w:rPr>
              <w:t>告义务或者</w:t>
            </w:r>
            <w:r>
              <w:t xml:space="preserve"> </w:t>
            </w:r>
            <w:r>
              <w:rPr>
                <w:spacing w:val="3"/>
              </w:rPr>
              <w:t>不积极施救</w:t>
            </w:r>
            <w:r>
              <w:t xml:space="preserve"> </w:t>
            </w:r>
            <w:r>
              <w:rPr>
                <w:spacing w:val="-4"/>
              </w:rPr>
              <w:t>的行政处罚</w:t>
            </w:r>
          </w:p>
        </w:tc>
        <w:tc>
          <w:tcPr>
            <w:tcW w:w="1136" w:type="dxa"/>
            <w:vAlign w:val="top"/>
          </w:tcPr>
          <w:p w14:paraId="41F939DC">
            <w:pPr>
              <w:spacing w:line="256" w:lineRule="auto"/>
              <w:rPr>
                <w:rFonts w:ascii="Arial"/>
                <w:sz w:val="21"/>
              </w:rPr>
            </w:pPr>
          </w:p>
          <w:p w14:paraId="55220206">
            <w:pPr>
              <w:spacing w:line="256" w:lineRule="auto"/>
              <w:rPr>
                <w:rFonts w:ascii="Arial"/>
                <w:sz w:val="21"/>
              </w:rPr>
            </w:pPr>
          </w:p>
          <w:p w14:paraId="5CCC5D8A">
            <w:pPr>
              <w:spacing w:line="256" w:lineRule="auto"/>
              <w:rPr>
                <w:rFonts w:ascii="Arial"/>
                <w:sz w:val="21"/>
              </w:rPr>
            </w:pPr>
          </w:p>
          <w:p w14:paraId="4A899301">
            <w:pPr>
              <w:spacing w:line="256" w:lineRule="auto"/>
              <w:rPr>
                <w:rFonts w:ascii="Arial"/>
                <w:sz w:val="21"/>
              </w:rPr>
            </w:pPr>
          </w:p>
          <w:p w14:paraId="2DC2B27D">
            <w:pPr>
              <w:spacing w:line="256" w:lineRule="auto"/>
              <w:rPr>
                <w:rFonts w:ascii="Arial"/>
                <w:sz w:val="21"/>
              </w:rPr>
            </w:pPr>
          </w:p>
          <w:p w14:paraId="164F6E85">
            <w:pPr>
              <w:spacing w:line="256" w:lineRule="auto"/>
              <w:rPr>
                <w:rFonts w:ascii="Arial"/>
                <w:sz w:val="21"/>
              </w:rPr>
            </w:pPr>
          </w:p>
          <w:p w14:paraId="11ED00C2">
            <w:pPr>
              <w:spacing w:line="256" w:lineRule="auto"/>
              <w:rPr>
                <w:rFonts w:ascii="Arial"/>
                <w:sz w:val="21"/>
              </w:rPr>
            </w:pPr>
          </w:p>
          <w:p w14:paraId="192EB0D0">
            <w:pPr>
              <w:spacing w:line="256" w:lineRule="auto"/>
              <w:rPr>
                <w:rFonts w:ascii="Arial"/>
                <w:sz w:val="21"/>
              </w:rPr>
            </w:pPr>
          </w:p>
          <w:p w14:paraId="11BD4349">
            <w:pPr>
              <w:spacing w:line="256" w:lineRule="auto"/>
              <w:rPr>
                <w:rFonts w:ascii="Arial"/>
                <w:sz w:val="21"/>
              </w:rPr>
            </w:pPr>
          </w:p>
          <w:p w14:paraId="48EEE936">
            <w:pPr>
              <w:spacing w:line="256" w:lineRule="auto"/>
              <w:rPr>
                <w:rFonts w:ascii="Arial"/>
                <w:sz w:val="21"/>
              </w:rPr>
            </w:pPr>
          </w:p>
          <w:p w14:paraId="38A0FC11">
            <w:pPr>
              <w:spacing w:line="256" w:lineRule="auto"/>
              <w:rPr>
                <w:rFonts w:ascii="Arial"/>
                <w:sz w:val="21"/>
              </w:rPr>
            </w:pPr>
          </w:p>
          <w:p w14:paraId="79F8C1B1">
            <w:pPr>
              <w:spacing w:line="256" w:lineRule="auto"/>
              <w:rPr>
                <w:rFonts w:ascii="Arial"/>
                <w:sz w:val="21"/>
              </w:rPr>
            </w:pPr>
          </w:p>
          <w:p w14:paraId="39D74ED5">
            <w:pPr>
              <w:pStyle w:val="8"/>
              <w:spacing w:before="59" w:line="220" w:lineRule="auto"/>
              <w:ind w:left="114"/>
            </w:pPr>
            <w:r>
              <w:rPr>
                <w:spacing w:val="-7"/>
              </w:rPr>
              <w:t>行政处罚</w:t>
            </w:r>
          </w:p>
        </w:tc>
        <w:tc>
          <w:tcPr>
            <w:tcW w:w="8806" w:type="dxa"/>
            <w:vAlign w:val="top"/>
          </w:tcPr>
          <w:p w14:paraId="2D81CE3E">
            <w:pPr>
              <w:spacing w:line="449" w:lineRule="auto"/>
              <w:rPr>
                <w:rFonts w:ascii="Arial"/>
                <w:sz w:val="21"/>
              </w:rPr>
            </w:pPr>
          </w:p>
          <w:p w14:paraId="27039B9E">
            <w:pPr>
              <w:pStyle w:val="8"/>
              <w:spacing w:before="58" w:line="219" w:lineRule="auto"/>
              <w:ind w:left="481"/>
            </w:pPr>
            <w:r>
              <w:rPr>
                <w:b/>
                <w:bCs/>
                <w:spacing w:val="-4"/>
              </w:rPr>
              <w:t>1.《中华人民共和国内河交通安全管理条</w:t>
            </w:r>
            <w:r>
              <w:rPr>
                <w:b/>
                <w:bCs/>
                <w:spacing w:val="-5"/>
              </w:rPr>
              <w:t>例》</w:t>
            </w:r>
          </w:p>
          <w:p w14:paraId="7BC5888D">
            <w:pPr>
              <w:pStyle w:val="8"/>
              <w:spacing w:before="25" w:line="219" w:lineRule="auto"/>
              <w:ind w:left="468"/>
            </w:pPr>
            <w:r>
              <w:rPr>
                <w:spacing w:val="-3"/>
              </w:rPr>
              <w:t>第四十六条  船舶、浮动设施遇险，应当采取一切有效措施进行自救。</w:t>
            </w:r>
          </w:p>
          <w:p w14:paraId="2637CC84">
            <w:pPr>
              <w:pStyle w:val="8"/>
              <w:spacing w:before="27" w:line="236" w:lineRule="auto"/>
              <w:ind w:left="112" w:right="151" w:firstLine="356"/>
            </w:pPr>
            <w:r>
              <w:rPr>
                <w:spacing w:val="-2"/>
              </w:rPr>
              <w:t>船舶、浮动设施发生碰撞等事故，任何一方应当在不危及自身安全的情况下，积极救助</w:t>
            </w:r>
            <w:r>
              <w:rPr>
                <w:spacing w:val="-3"/>
              </w:rPr>
              <w:t>遇险的他方，不得</w:t>
            </w:r>
            <w:r>
              <w:t xml:space="preserve"> </w:t>
            </w:r>
            <w:r>
              <w:rPr>
                <w:spacing w:val="-4"/>
              </w:rPr>
              <w:t>逃逸。</w:t>
            </w:r>
          </w:p>
          <w:p w14:paraId="23C81352">
            <w:pPr>
              <w:pStyle w:val="8"/>
              <w:spacing w:before="19" w:line="232" w:lineRule="auto"/>
              <w:ind w:left="130" w:right="167" w:firstLine="337"/>
            </w:pPr>
            <w:r>
              <w:rPr>
                <w:spacing w:val="-13"/>
              </w:rPr>
              <w:t>船舶、浮动设施遇险，必须迅速将遇险的时间、地点、遇险状况、</w:t>
            </w:r>
            <w:r>
              <w:rPr>
                <w:spacing w:val="-14"/>
              </w:rPr>
              <w:t>遇险原因、救助要求，向遇险地海事管理机构</w:t>
            </w:r>
            <w:r>
              <w:t xml:space="preserve"> </w:t>
            </w:r>
            <w:r>
              <w:rPr>
                <w:spacing w:val="-7"/>
              </w:rPr>
              <w:t>以及船舶、浮动设施所有人、经营人报告。</w:t>
            </w:r>
          </w:p>
          <w:p w14:paraId="4076C082">
            <w:pPr>
              <w:pStyle w:val="8"/>
              <w:spacing w:before="27" w:line="232" w:lineRule="auto"/>
              <w:ind w:left="114" w:right="151" w:firstLine="353"/>
            </w:pPr>
            <w:r>
              <w:rPr>
                <w:spacing w:val="-2"/>
              </w:rPr>
              <w:t>第四十七条  船员、浮动设施上的工作人员或者其他人员发现其他船舶、浮动设施遇险，或</w:t>
            </w:r>
            <w:r>
              <w:rPr>
                <w:spacing w:val="-3"/>
              </w:rPr>
              <w:t>者收到求救信</w:t>
            </w:r>
            <w:r>
              <w:t xml:space="preserve"> </w:t>
            </w:r>
            <w:r>
              <w:rPr>
                <w:spacing w:val="-3"/>
              </w:rPr>
              <w:t>号后，必须尽力救助遇险人员，并将有关情况及时向遇险地海事管理机构报告。</w:t>
            </w:r>
          </w:p>
          <w:p w14:paraId="2497CA57">
            <w:pPr>
              <w:pStyle w:val="8"/>
              <w:spacing w:before="29" w:line="237" w:lineRule="auto"/>
              <w:ind w:left="109" w:right="95" w:firstLine="358"/>
            </w:pPr>
            <w:r>
              <w:rPr>
                <w:spacing w:val="-8"/>
              </w:rPr>
              <w:t>第七十六条</w:t>
            </w:r>
            <w:r>
              <w:rPr>
                <w:spacing w:val="73"/>
                <w:w w:val="101"/>
              </w:rPr>
              <w:t xml:space="preserve"> </w:t>
            </w:r>
            <w:r>
              <w:rPr>
                <w:spacing w:val="-8"/>
              </w:rPr>
              <w:t>违反本条例的规定，船舶、浮动设施遇险后未履行报告义务或者不积</w:t>
            </w:r>
            <w:r>
              <w:rPr>
                <w:spacing w:val="-9"/>
              </w:rPr>
              <w:t>极施救的，由海事管理机构</w:t>
            </w:r>
            <w:r>
              <w:t xml:space="preserve"> </w:t>
            </w:r>
            <w:r>
              <w:rPr>
                <w:spacing w:val="-2"/>
              </w:rPr>
              <w:t>给予警告，并可以对责任船员给予暂扣适任证书或者其他适任证件3个</w:t>
            </w:r>
            <w:r>
              <w:rPr>
                <w:spacing w:val="-3"/>
              </w:rPr>
              <w:t>月至6个月直至吊销适任证书或者其他适</w:t>
            </w:r>
            <w:r>
              <w:t xml:space="preserve"> </w:t>
            </w:r>
            <w:r>
              <w:rPr>
                <w:spacing w:val="-3"/>
              </w:rPr>
              <w:t>任证件的处罚。</w:t>
            </w:r>
          </w:p>
          <w:p w14:paraId="4EEE5DCA">
            <w:pPr>
              <w:pStyle w:val="8"/>
              <w:spacing w:before="25" w:line="219" w:lineRule="auto"/>
              <w:ind w:left="470"/>
            </w:pPr>
            <w:r>
              <w:rPr>
                <w:b/>
                <w:bCs/>
                <w:spacing w:val="-3"/>
              </w:rPr>
              <w:t>2.《中华人民共和国内河海事行政处罚规定》（交通运输部令202</w:t>
            </w:r>
            <w:r>
              <w:rPr>
                <w:b/>
                <w:bCs/>
                <w:spacing w:val="-4"/>
              </w:rPr>
              <w:t>2年第28号）</w:t>
            </w:r>
          </w:p>
          <w:p w14:paraId="16B87C96">
            <w:pPr>
              <w:pStyle w:val="8"/>
              <w:spacing w:before="25"/>
              <w:ind w:left="109" w:right="151" w:firstLine="358"/>
            </w:pPr>
            <w:r>
              <w:rPr>
                <w:spacing w:val="-2"/>
              </w:rPr>
              <w:t>第二十九条  违反《内河交通安全管理条例》第四十六条、第四十七条的规定，遇险后未履</w:t>
            </w:r>
            <w:r>
              <w:rPr>
                <w:spacing w:val="-3"/>
              </w:rPr>
              <w:t>行报告义务，</w:t>
            </w:r>
            <w:r>
              <w:t xml:space="preserve"> </w:t>
            </w:r>
            <w:r>
              <w:rPr>
                <w:spacing w:val="-2"/>
              </w:rPr>
              <w:t>或者不积极施救的，依照《内河交通安全管理条例》第七十六条的规定，对船舶、浮动设施或者</w:t>
            </w:r>
            <w:r>
              <w:rPr>
                <w:spacing w:val="-3"/>
              </w:rPr>
              <w:t>责任人员给予</w:t>
            </w:r>
            <w:r>
              <w:t xml:space="preserve"> </w:t>
            </w:r>
            <w:r>
              <w:rPr>
                <w:spacing w:val="-2"/>
              </w:rPr>
              <w:t>警告，并对责任船员给予扣留船员适任证书或者其他适任证件3个月至6个月直至吊销适任证书或者其他</w:t>
            </w:r>
            <w:r>
              <w:rPr>
                <w:spacing w:val="-3"/>
              </w:rPr>
              <w:t>适任证</w:t>
            </w:r>
            <w:r>
              <w:t xml:space="preserve"> </w:t>
            </w:r>
            <w:r>
              <w:rPr>
                <w:spacing w:val="-6"/>
              </w:rPr>
              <w:t>件的处罚。</w:t>
            </w:r>
          </w:p>
          <w:p w14:paraId="7AA4BA3B">
            <w:pPr>
              <w:pStyle w:val="8"/>
              <w:spacing w:before="26" w:line="239" w:lineRule="auto"/>
              <w:ind w:left="109" w:right="151" w:firstLine="359"/>
              <w:jc w:val="both"/>
            </w:pPr>
            <w:r>
              <w:rPr>
                <w:spacing w:val="-2"/>
              </w:rPr>
              <w:t>本条前款所称遇险后未履行报告义务，包括下列情形</w:t>
            </w:r>
            <w:r>
              <w:rPr>
                <w:spacing w:val="-7"/>
              </w:rPr>
              <w:t>：（</w:t>
            </w:r>
            <w:r>
              <w:rPr>
                <w:spacing w:val="-2"/>
              </w:rPr>
              <w:t>一）船舶、浮动设施遇险后，未按照规定迅速向</w:t>
            </w:r>
            <w:r>
              <w:rPr>
                <w:spacing w:val="1"/>
              </w:rPr>
              <w:t xml:space="preserve"> </w:t>
            </w:r>
            <w:r>
              <w:rPr>
                <w:spacing w:val="-1"/>
              </w:rPr>
              <w:t>遇险地海事管理机构以及船舶、浮动设施所</w:t>
            </w:r>
            <w:r>
              <w:rPr>
                <w:spacing w:val="-2"/>
              </w:rPr>
              <w:t>有人、经营人报告</w:t>
            </w:r>
            <w:r>
              <w:rPr>
                <w:spacing w:val="-15"/>
              </w:rPr>
              <w:t>；（</w:t>
            </w:r>
            <w:r>
              <w:rPr>
                <w:spacing w:val="-2"/>
              </w:rPr>
              <w:t>二）船舶、浮动设施遇险后，未按照规定报</w:t>
            </w:r>
            <w:r>
              <w:rPr>
                <w:spacing w:val="1"/>
              </w:rPr>
              <w:t xml:space="preserve"> </w:t>
            </w:r>
            <w:r>
              <w:rPr>
                <w:spacing w:val="-1"/>
              </w:rPr>
              <w:t>告遇险的时间、地点、遇险状况、遇险原因、救</w:t>
            </w:r>
            <w:r>
              <w:rPr>
                <w:spacing w:val="-2"/>
              </w:rPr>
              <w:t>助要求</w:t>
            </w:r>
            <w:r>
              <w:rPr>
                <w:spacing w:val="-16"/>
              </w:rPr>
              <w:t>；（</w:t>
            </w:r>
            <w:r>
              <w:rPr>
                <w:spacing w:val="-2"/>
              </w:rPr>
              <w:t>三）发现其他船舶、浮动设施遇险，或者收到求救</w:t>
            </w:r>
            <w:r>
              <w:rPr>
                <w:spacing w:val="1"/>
              </w:rPr>
              <w:t xml:space="preserve"> </w:t>
            </w:r>
            <w:r>
              <w:rPr>
                <w:spacing w:val="-2"/>
              </w:rPr>
              <w:t>信号，船舶、浮动设施上的船员或者其他人员未将有关</w:t>
            </w:r>
            <w:r>
              <w:rPr>
                <w:spacing w:val="-3"/>
              </w:rPr>
              <w:t>情况及时向遇险地海事管理机构报告。</w:t>
            </w:r>
          </w:p>
          <w:p w14:paraId="6557F79E">
            <w:pPr>
              <w:pStyle w:val="8"/>
              <w:spacing w:before="28" w:line="237" w:lineRule="auto"/>
              <w:ind w:left="112" w:right="31" w:firstLine="356"/>
              <w:jc w:val="both"/>
            </w:pPr>
            <w:r>
              <w:rPr>
                <w:spacing w:val="-2"/>
              </w:rPr>
              <w:t>本条第一款所称不积极施救，包括下列情形</w:t>
            </w:r>
            <w:r>
              <w:rPr>
                <w:spacing w:val="-7"/>
              </w:rPr>
              <w:t>：（</w:t>
            </w:r>
            <w:r>
              <w:rPr>
                <w:spacing w:val="-2"/>
              </w:rPr>
              <w:t>一）船舶、浮动设施遇险后，不积极采取有效措施进行自</w:t>
            </w:r>
            <w:r>
              <w:t xml:space="preserve">  </w:t>
            </w:r>
            <w:r>
              <w:rPr>
                <w:spacing w:val="-2"/>
              </w:rPr>
              <w:t>救</w:t>
            </w:r>
            <w:r>
              <w:rPr>
                <w:spacing w:val="-19"/>
              </w:rPr>
              <w:t>；（</w:t>
            </w:r>
            <w:r>
              <w:rPr>
                <w:spacing w:val="-2"/>
              </w:rPr>
              <w:t>二）船舶、浮动设施发生碰撞等事故后，在不严重危及自身安全的情况下，不积极救助遇险他方</w:t>
            </w:r>
            <w:r>
              <w:rPr>
                <w:spacing w:val="-19"/>
              </w:rPr>
              <w:t>；（</w:t>
            </w:r>
            <w:r>
              <w:rPr>
                <w:spacing w:val="-2"/>
              </w:rPr>
              <w:t>三）</w:t>
            </w:r>
            <w:r>
              <w:rPr>
                <w:spacing w:val="2"/>
              </w:rPr>
              <w:t xml:space="preserve"> </w:t>
            </w:r>
            <w:r>
              <w:rPr>
                <w:spacing w:val="-3"/>
              </w:rPr>
              <w:t>附近船舶、浮动设施遇险，或者收到求救信号后，船</w:t>
            </w:r>
            <w:r>
              <w:rPr>
                <w:spacing w:val="-4"/>
              </w:rPr>
              <w:t>舶、浮动设施上的船员或者其他人员未尽力救助遇险人员。</w:t>
            </w:r>
          </w:p>
        </w:tc>
        <w:tc>
          <w:tcPr>
            <w:tcW w:w="1043" w:type="dxa"/>
            <w:vAlign w:val="top"/>
          </w:tcPr>
          <w:p w14:paraId="22AE2D2F">
            <w:pPr>
              <w:spacing w:line="246" w:lineRule="auto"/>
              <w:rPr>
                <w:rFonts w:ascii="Arial"/>
                <w:sz w:val="21"/>
              </w:rPr>
            </w:pPr>
          </w:p>
          <w:p w14:paraId="06903AA3">
            <w:pPr>
              <w:spacing w:line="246" w:lineRule="auto"/>
              <w:rPr>
                <w:rFonts w:ascii="Arial"/>
                <w:sz w:val="21"/>
              </w:rPr>
            </w:pPr>
          </w:p>
          <w:p w14:paraId="6E60A030">
            <w:pPr>
              <w:spacing w:line="246" w:lineRule="auto"/>
              <w:rPr>
                <w:rFonts w:ascii="Arial"/>
                <w:sz w:val="21"/>
              </w:rPr>
            </w:pPr>
          </w:p>
          <w:p w14:paraId="08D3B3AF">
            <w:pPr>
              <w:spacing w:line="246" w:lineRule="auto"/>
              <w:rPr>
                <w:rFonts w:ascii="Arial"/>
                <w:sz w:val="21"/>
              </w:rPr>
            </w:pPr>
          </w:p>
          <w:p w14:paraId="0E9E245E">
            <w:pPr>
              <w:spacing w:line="246" w:lineRule="auto"/>
              <w:rPr>
                <w:rFonts w:ascii="Arial"/>
                <w:sz w:val="21"/>
              </w:rPr>
            </w:pPr>
          </w:p>
          <w:p w14:paraId="0999EE4F">
            <w:pPr>
              <w:spacing w:line="246" w:lineRule="auto"/>
              <w:rPr>
                <w:rFonts w:ascii="Arial"/>
                <w:sz w:val="21"/>
              </w:rPr>
            </w:pPr>
          </w:p>
          <w:p w14:paraId="13CF7FFA">
            <w:pPr>
              <w:spacing w:line="246" w:lineRule="auto"/>
              <w:rPr>
                <w:rFonts w:ascii="Arial"/>
                <w:sz w:val="21"/>
              </w:rPr>
            </w:pPr>
          </w:p>
          <w:p w14:paraId="337B4FB2">
            <w:pPr>
              <w:spacing w:line="246" w:lineRule="auto"/>
              <w:rPr>
                <w:rFonts w:ascii="Arial"/>
                <w:sz w:val="21"/>
              </w:rPr>
            </w:pPr>
          </w:p>
          <w:p w14:paraId="641BF0AC">
            <w:pPr>
              <w:spacing w:line="246" w:lineRule="auto"/>
              <w:rPr>
                <w:rFonts w:ascii="Arial"/>
                <w:sz w:val="21"/>
              </w:rPr>
            </w:pPr>
          </w:p>
          <w:p w14:paraId="645DF277">
            <w:pPr>
              <w:spacing w:line="246" w:lineRule="auto"/>
              <w:rPr>
                <w:rFonts w:ascii="Arial"/>
                <w:sz w:val="21"/>
              </w:rPr>
            </w:pPr>
          </w:p>
          <w:p w14:paraId="4FDC3450">
            <w:pPr>
              <w:spacing w:line="246" w:lineRule="auto"/>
              <w:rPr>
                <w:rFonts w:ascii="Arial"/>
                <w:sz w:val="21"/>
              </w:rPr>
            </w:pPr>
          </w:p>
          <w:p w14:paraId="0FFEDF72">
            <w:pPr>
              <w:spacing w:line="247" w:lineRule="auto"/>
              <w:rPr>
                <w:rFonts w:ascii="Arial"/>
                <w:sz w:val="21"/>
              </w:rPr>
            </w:pPr>
          </w:p>
          <w:p w14:paraId="34838F72">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5D2D988C">
            <w:pPr>
              <w:spacing w:line="256" w:lineRule="auto"/>
              <w:rPr>
                <w:rFonts w:ascii="Arial"/>
                <w:sz w:val="21"/>
              </w:rPr>
            </w:pPr>
          </w:p>
          <w:p w14:paraId="6556EB46">
            <w:pPr>
              <w:spacing w:line="256" w:lineRule="auto"/>
              <w:rPr>
                <w:rFonts w:ascii="Arial"/>
                <w:sz w:val="21"/>
              </w:rPr>
            </w:pPr>
          </w:p>
          <w:p w14:paraId="1CBD2F8E">
            <w:pPr>
              <w:spacing w:line="256" w:lineRule="auto"/>
              <w:rPr>
                <w:rFonts w:ascii="Arial"/>
                <w:sz w:val="21"/>
              </w:rPr>
            </w:pPr>
          </w:p>
          <w:p w14:paraId="7402C2BD">
            <w:pPr>
              <w:spacing w:line="256" w:lineRule="auto"/>
              <w:rPr>
                <w:rFonts w:ascii="Arial"/>
                <w:sz w:val="21"/>
              </w:rPr>
            </w:pPr>
          </w:p>
          <w:p w14:paraId="2E293D91">
            <w:pPr>
              <w:spacing w:line="256" w:lineRule="auto"/>
              <w:rPr>
                <w:rFonts w:ascii="Arial"/>
                <w:sz w:val="21"/>
              </w:rPr>
            </w:pPr>
          </w:p>
          <w:p w14:paraId="1B0657E5">
            <w:pPr>
              <w:spacing w:line="256" w:lineRule="auto"/>
              <w:rPr>
                <w:rFonts w:ascii="Arial"/>
                <w:sz w:val="21"/>
              </w:rPr>
            </w:pPr>
          </w:p>
          <w:p w14:paraId="5377FB98">
            <w:pPr>
              <w:spacing w:line="256" w:lineRule="auto"/>
              <w:rPr>
                <w:rFonts w:ascii="Arial"/>
                <w:sz w:val="21"/>
              </w:rPr>
            </w:pPr>
          </w:p>
          <w:p w14:paraId="397F6062">
            <w:pPr>
              <w:spacing w:line="256" w:lineRule="auto"/>
              <w:rPr>
                <w:rFonts w:ascii="Arial"/>
                <w:sz w:val="21"/>
              </w:rPr>
            </w:pPr>
          </w:p>
          <w:p w14:paraId="6BD6E12A">
            <w:pPr>
              <w:spacing w:line="256" w:lineRule="auto"/>
              <w:rPr>
                <w:rFonts w:ascii="Arial"/>
                <w:sz w:val="21"/>
              </w:rPr>
            </w:pPr>
          </w:p>
          <w:p w14:paraId="6FED1977">
            <w:pPr>
              <w:spacing w:line="256" w:lineRule="auto"/>
              <w:rPr>
                <w:rFonts w:ascii="Arial"/>
                <w:sz w:val="21"/>
              </w:rPr>
            </w:pPr>
          </w:p>
          <w:p w14:paraId="44F9CECC">
            <w:pPr>
              <w:spacing w:line="256" w:lineRule="auto"/>
              <w:rPr>
                <w:rFonts w:ascii="Arial"/>
                <w:sz w:val="21"/>
              </w:rPr>
            </w:pPr>
          </w:p>
          <w:p w14:paraId="78E8526B">
            <w:pPr>
              <w:spacing w:line="256" w:lineRule="auto"/>
              <w:rPr>
                <w:rFonts w:ascii="Arial"/>
                <w:sz w:val="21"/>
              </w:rPr>
            </w:pPr>
          </w:p>
          <w:p w14:paraId="24A9EBA6">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69DA47A">
            <w:pPr>
              <w:spacing w:line="246" w:lineRule="auto"/>
              <w:rPr>
                <w:rFonts w:ascii="Arial"/>
                <w:sz w:val="21"/>
              </w:rPr>
            </w:pPr>
          </w:p>
          <w:p w14:paraId="746323A0">
            <w:pPr>
              <w:spacing w:line="247" w:lineRule="auto"/>
              <w:rPr>
                <w:rFonts w:ascii="Arial"/>
                <w:sz w:val="21"/>
              </w:rPr>
            </w:pPr>
          </w:p>
          <w:p w14:paraId="06572193">
            <w:pPr>
              <w:spacing w:line="247" w:lineRule="auto"/>
              <w:rPr>
                <w:rFonts w:ascii="Arial"/>
                <w:sz w:val="21"/>
              </w:rPr>
            </w:pPr>
          </w:p>
          <w:p w14:paraId="0EEA8D28">
            <w:pPr>
              <w:spacing w:line="247" w:lineRule="auto"/>
              <w:rPr>
                <w:rFonts w:ascii="Arial"/>
                <w:sz w:val="21"/>
              </w:rPr>
            </w:pPr>
          </w:p>
          <w:p w14:paraId="6F210A69">
            <w:pPr>
              <w:spacing w:line="247" w:lineRule="auto"/>
              <w:rPr>
                <w:rFonts w:ascii="Arial"/>
                <w:sz w:val="21"/>
              </w:rPr>
            </w:pPr>
          </w:p>
          <w:p w14:paraId="4625719D">
            <w:pPr>
              <w:spacing w:line="247" w:lineRule="auto"/>
              <w:rPr>
                <w:rFonts w:ascii="Arial"/>
                <w:sz w:val="21"/>
              </w:rPr>
            </w:pPr>
          </w:p>
          <w:p w14:paraId="29CE19F9">
            <w:pPr>
              <w:spacing w:line="247" w:lineRule="auto"/>
              <w:rPr>
                <w:rFonts w:ascii="Arial"/>
                <w:sz w:val="21"/>
              </w:rPr>
            </w:pPr>
          </w:p>
          <w:p w14:paraId="0B63D468">
            <w:pPr>
              <w:spacing w:line="247" w:lineRule="auto"/>
              <w:rPr>
                <w:rFonts w:ascii="Arial"/>
                <w:sz w:val="21"/>
              </w:rPr>
            </w:pPr>
          </w:p>
          <w:p w14:paraId="6454EE21">
            <w:pPr>
              <w:spacing w:line="247" w:lineRule="auto"/>
              <w:rPr>
                <w:rFonts w:ascii="Arial"/>
                <w:sz w:val="21"/>
              </w:rPr>
            </w:pPr>
          </w:p>
          <w:p w14:paraId="4FD85933">
            <w:pPr>
              <w:spacing w:line="247" w:lineRule="auto"/>
              <w:rPr>
                <w:rFonts w:ascii="Arial"/>
                <w:sz w:val="21"/>
              </w:rPr>
            </w:pPr>
          </w:p>
          <w:p w14:paraId="693D0F07">
            <w:pPr>
              <w:spacing w:line="247" w:lineRule="auto"/>
              <w:rPr>
                <w:rFonts w:ascii="Arial"/>
                <w:sz w:val="21"/>
              </w:rPr>
            </w:pPr>
          </w:p>
          <w:p w14:paraId="41DF787F">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533D5D27">
      <w:pPr>
        <w:pStyle w:val="2"/>
      </w:pPr>
    </w:p>
    <w:p w14:paraId="77439C6E">
      <w:pPr>
        <w:sectPr>
          <w:footerReference r:id="rId177" w:type="default"/>
          <w:pgSz w:w="16839" w:h="11906"/>
          <w:pgMar w:top="1012" w:right="788" w:bottom="967" w:left="787" w:header="0" w:footer="768" w:gutter="0"/>
          <w:cols w:space="720" w:num="1"/>
        </w:sectPr>
      </w:pPr>
    </w:p>
    <w:p w14:paraId="482F1D60">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4E3F0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7B9B2593">
            <w:pPr>
              <w:pStyle w:val="8"/>
              <w:spacing w:before="267" w:line="221" w:lineRule="auto"/>
              <w:ind w:left="142"/>
            </w:pPr>
            <w:r>
              <w:rPr>
                <w:b/>
                <w:bCs/>
                <w:spacing w:val="-4"/>
              </w:rPr>
              <w:t>序号</w:t>
            </w:r>
          </w:p>
        </w:tc>
        <w:tc>
          <w:tcPr>
            <w:tcW w:w="1136" w:type="dxa"/>
            <w:vMerge w:val="restart"/>
            <w:tcBorders>
              <w:bottom w:val="nil"/>
            </w:tcBorders>
            <w:vAlign w:val="top"/>
          </w:tcPr>
          <w:p w14:paraId="5BF4D502">
            <w:pPr>
              <w:pStyle w:val="8"/>
              <w:spacing w:before="267" w:line="220" w:lineRule="auto"/>
              <w:ind w:left="208"/>
            </w:pPr>
            <w:r>
              <w:rPr>
                <w:b/>
                <w:bCs/>
                <w:spacing w:val="-4"/>
              </w:rPr>
              <w:t>事项名称</w:t>
            </w:r>
          </w:p>
        </w:tc>
        <w:tc>
          <w:tcPr>
            <w:tcW w:w="1136" w:type="dxa"/>
            <w:vMerge w:val="restart"/>
            <w:tcBorders>
              <w:bottom w:val="nil"/>
            </w:tcBorders>
            <w:vAlign w:val="top"/>
          </w:tcPr>
          <w:p w14:paraId="42E07805">
            <w:pPr>
              <w:pStyle w:val="8"/>
              <w:spacing w:before="267" w:line="219" w:lineRule="auto"/>
              <w:ind w:left="210"/>
            </w:pPr>
            <w:r>
              <w:rPr>
                <w:b/>
                <w:bCs/>
                <w:spacing w:val="-4"/>
              </w:rPr>
              <w:t>职权类型</w:t>
            </w:r>
          </w:p>
        </w:tc>
        <w:tc>
          <w:tcPr>
            <w:tcW w:w="8806" w:type="dxa"/>
            <w:vMerge w:val="restart"/>
            <w:tcBorders>
              <w:bottom w:val="nil"/>
            </w:tcBorders>
            <w:vAlign w:val="top"/>
          </w:tcPr>
          <w:p w14:paraId="376FB6FB">
            <w:pPr>
              <w:pStyle w:val="8"/>
              <w:spacing w:before="267" w:line="219" w:lineRule="auto"/>
              <w:ind w:left="4050"/>
            </w:pPr>
            <w:r>
              <w:rPr>
                <w:b/>
                <w:bCs/>
                <w:spacing w:val="-5"/>
              </w:rPr>
              <w:t>实施依据</w:t>
            </w:r>
          </w:p>
        </w:tc>
        <w:tc>
          <w:tcPr>
            <w:tcW w:w="3538" w:type="dxa"/>
            <w:gridSpan w:val="3"/>
            <w:vAlign w:val="top"/>
          </w:tcPr>
          <w:p w14:paraId="4712841A">
            <w:pPr>
              <w:pStyle w:val="8"/>
              <w:spacing w:before="92" w:line="220" w:lineRule="auto"/>
              <w:ind w:left="1415"/>
            </w:pPr>
            <w:r>
              <w:rPr>
                <w:b/>
                <w:bCs/>
                <w:spacing w:val="-5"/>
              </w:rPr>
              <w:t>实施主体</w:t>
            </w:r>
          </w:p>
        </w:tc>
      </w:tr>
      <w:tr w14:paraId="6CCED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1CE41D94">
            <w:pPr>
              <w:rPr>
                <w:rFonts w:ascii="Arial"/>
                <w:sz w:val="21"/>
              </w:rPr>
            </w:pPr>
          </w:p>
        </w:tc>
        <w:tc>
          <w:tcPr>
            <w:tcW w:w="1136" w:type="dxa"/>
            <w:vMerge w:val="continue"/>
            <w:tcBorders>
              <w:top w:val="nil"/>
            </w:tcBorders>
            <w:vAlign w:val="top"/>
          </w:tcPr>
          <w:p w14:paraId="32DCBFC1">
            <w:pPr>
              <w:rPr>
                <w:rFonts w:ascii="Arial"/>
                <w:sz w:val="21"/>
              </w:rPr>
            </w:pPr>
          </w:p>
        </w:tc>
        <w:tc>
          <w:tcPr>
            <w:tcW w:w="1136" w:type="dxa"/>
            <w:vMerge w:val="continue"/>
            <w:tcBorders>
              <w:top w:val="nil"/>
            </w:tcBorders>
            <w:vAlign w:val="top"/>
          </w:tcPr>
          <w:p w14:paraId="30EB9F89">
            <w:pPr>
              <w:rPr>
                <w:rFonts w:ascii="Arial"/>
                <w:sz w:val="21"/>
              </w:rPr>
            </w:pPr>
          </w:p>
        </w:tc>
        <w:tc>
          <w:tcPr>
            <w:tcW w:w="8806" w:type="dxa"/>
            <w:vMerge w:val="continue"/>
            <w:tcBorders>
              <w:top w:val="nil"/>
            </w:tcBorders>
            <w:vAlign w:val="top"/>
          </w:tcPr>
          <w:p w14:paraId="1FF7A700">
            <w:pPr>
              <w:rPr>
                <w:rFonts w:ascii="Arial"/>
                <w:sz w:val="21"/>
              </w:rPr>
            </w:pPr>
          </w:p>
        </w:tc>
        <w:tc>
          <w:tcPr>
            <w:tcW w:w="1043" w:type="dxa"/>
            <w:vAlign w:val="top"/>
          </w:tcPr>
          <w:p w14:paraId="0D62388C">
            <w:pPr>
              <w:pStyle w:val="8"/>
              <w:spacing w:before="88" w:line="219" w:lineRule="auto"/>
              <w:ind w:left="171"/>
            </w:pPr>
            <w:r>
              <w:rPr>
                <w:b/>
                <w:bCs/>
                <w:spacing w:val="-5"/>
              </w:rPr>
              <w:t>责任部门</w:t>
            </w:r>
          </w:p>
        </w:tc>
        <w:tc>
          <w:tcPr>
            <w:tcW w:w="1448" w:type="dxa"/>
            <w:vAlign w:val="top"/>
          </w:tcPr>
          <w:p w14:paraId="6A8950F1">
            <w:pPr>
              <w:pStyle w:val="8"/>
              <w:spacing w:before="88" w:line="219" w:lineRule="auto"/>
              <w:ind w:left="187"/>
            </w:pPr>
            <w:r>
              <w:rPr>
                <w:b/>
                <w:bCs/>
                <w:spacing w:val="-3"/>
              </w:rPr>
              <w:t>第一责任层级</w:t>
            </w:r>
          </w:p>
        </w:tc>
        <w:tc>
          <w:tcPr>
            <w:tcW w:w="1047" w:type="dxa"/>
            <w:vAlign w:val="top"/>
          </w:tcPr>
          <w:p w14:paraId="1CBE4927">
            <w:pPr>
              <w:pStyle w:val="8"/>
              <w:spacing w:before="88" w:line="219" w:lineRule="auto"/>
              <w:ind w:left="165"/>
            </w:pPr>
            <w:r>
              <w:rPr>
                <w:b/>
                <w:bCs/>
                <w:spacing w:val="-4"/>
              </w:rPr>
              <w:t>承办机构</w:t>
            </w:r>
          </w:p>
        </w:tc>
      </w:tr>
      <w:tr w14:paraId="5BE70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8" w:hRule="atLeast"/>
        </w:trPr>
        <w:tc>
          <w:tcPr>
            <w:tcW w:w="641" w:type="dxa"/>
            <w:vAlign w:val="top"/>
          </w:tcPr>
          <w:p w14:paraId="20FB8DCF">
            <w:pPr>
              <w:spacing w:line="255" w:lineRule="auto"/>
              <w:rPr>
                <w:rFonts w:ascii="Arial"/>
                <w:sz w:val="21"/>
              </w:rPr>
            </w:pPr>
          </w:p>
          <w:p w14:paraId="31E7C413">
            <w:pPr>
              <w:spacing w:line="255" w:lineRule="auto"/>
              <w:rPr>
                <w:rFonts w:ascii="Arial"/>
                <w:sz w:val="21"/>
              </w:rPr>
            </w:pPr>
          </w:p>
          <w:p w14:paraId="27F6CF16">
            <w:pPr>
              <w:spacing w:line="255" w:lineRule="auto"/>
              <w:rPr>
                <w:rFonts w:ascii="Arial"/>
                <w:sz w:val="21"/>
              </w:rPr>
            </w:pPr>
          </w:p>
          <w:p w14:paraId="2A53662D">
            <w:pPr>
              <w:spacing w:line="255" w:lineRule="auto"/>
              <w:rPr>
                <w:rFonts w:ascii="Arial"/>
                <w:sz w:val="21"/>
              </w:rPr>
            </w:pPr>
          </w:p>
          <w:p w14:paraId="27A9814D">
            <w:pPr>
              <w:spacing w:line="255" w:lineRule="auto"/>
              <w:rPr>
                <w:rFonts w:ascii="Arial"/>
                <w:sz w:val="21"/>
              </w:rPr>
            </w:pPr>
          </w:p>
          <w:p w14:paraId="7A40FD81">
            <w:pPr>
              <w:spacing w:line="256" w:lineRule="auto"/>
              <w:rPr>
                <w:rFonts w:ascii="Arial"/>
                <w:sz w:val="21"/>
              </w:rPr>
            </w:pPr>
          </w:p>
          <w:p w14:paraId="6AAF816B">
            <w:pPr>
              <w:spacing w:line="256" w:lineRule="auto"/>
              <w:rPr>
                <w:rFonts w:ascii="Arial"/>
                <w:sz w:val="21"/>
              </w:rPr>
            </w:pPr>
          </w:p>
          <w:p w14:paraId="5B5632A7">
            <w:pPr>
              <w:spacing w:line="256" w:lineRule="auto"/>
              <w:rPr>
                <w:rFonts w:ascii="Arial"/>
                <w:sz w:val="21"/>
              </w:rPr>
            </w:pPr>
          </w:p>
          <w:p w14:paraId="288C8379">
            <w:pPr>
              <w:pStyle w:val="8"/>
              <w:spacing w:before="58" w:line="183" w:lineRule="auto"/>
              <w:ind w:left="236"/>
            </w:pPr>
            <w:r>
              <w:rPr>
                <w:spacing w:val="-4"/>
              </w:rPr>
              <w:t>22</w:t>
            </w:r>
          </w:p>
        </w:tc>
        <w:tc>
          <w:tcPr>
            <w:tcW w:w="1136" w:type="dxa"/>
            <w:vAlign w:val="top"/>
          </w:tcPr>
          <w:p w14:paraId="648C7FA1">
            <w:pPr>
              <w:spacing w:line="256" w:lineRule="auto"/>
              <w:rPr>
                <w:rFonts w:ascii="Arial"/>
                <w:sz w:val="21"/>
              </w:rPr>
            </w:pPr>
          </w:p>
          <w:p w14:paraId="2D4DCBA7">
            <w:pPr>
              <w:spacing w:line="256" w:lineRule="auto"/>
              <w:rPr>
                <w:rFonts w:ascii="Arial"/>
                <w:sz w:val="21"/>
              </w:rPr>
            </w:pPr>
          </w:p>
          <w:p w14:paraId="4414BA88">
            <w:pPr>
              <w:spacing w:line="256" w:lineRule="auto"/>
              <w:rPr>
                <w:rFonts w:ascii="Arial"/>
                <w:sz w:val="21"/>
              </w:rPr>
            </w:pPr>
          </w:p>
          <w:p w14:paraId="67ECA15B">
            <w:pPr>
              <w:spacing w:line="256" w:lineRule="auto"/>
              <w:rPr>
                <w:rFonts w:ascii="Arial"/>
                <w:sz w:val="21"/>
              </w:rPr>
            </w:pPr>
          </w:p>
          <w:p w14:paraId="1287A90E">
            <w:pPr>
              <w:spacing w:line="256" w:lineRule="auto"/>
              <w:rPr>
                <w:rFonts w:ascii="Arial"/>
                <w:sz w:val="21"/>
              </w:rPr>
            </w:pPr>
          </w:p>
          <w:p w14:paraId="0934EA1F">
            <w:pPr>
              <w:spacing w:line="256" w:lineRule="auto"/>
              <w:rPr>
                <w:rFonts w:ascii="Arial"/>
                <w:sz w:val="21"/>
              </w:rPr>
            </w:pPr>
          </w:p>
          <w:p w14:paraId="22FE26B5">
            <w:pPr>
              <w:pStyle w:val="8"/>
              <w:spacing w:before="58" w:line="242" w:lineRule="auto"/>
              <w:ind w:left="109" w:right="104"/>
              <w:jc w:val="both"/>
            </w:pPr>
            <w:r>
              <w:rPr>
                <w:spacing w:val="3"/>
              </w:rPr>
              <w:t>对违反有关</w:t>
            </w:r>
            <w:r>
              <w:rPr>
                <w:spacing w:val="1"/>
              </w:rPr>
              <w:t xml:space="preserve"> </w:t>
            </w:r>
            <w:r>
              <w:rPr>
                <w:spacing w:val="3"/>
              </w:rPr>
              <w:t>规定造成内</w:t>
            </w:r>
            <w:r>
              <w:rPr>
                <w:spacing w:val="1"/>
              </w:rPr>
              <w:t xml:space="preserve"> </w:t>
            </w:r>
            <w:r>
              <w:rPr>
                <w:spacing w:val="3"/>
              </w:rPr>
              <w:t>河交通事故</w:t>
            </w:r>
            <w:r>
              <w:rPr>
                <w:spacing w:val="1"/>
              </w:rPr>
              <w:t xml:space="preserve"> </w:t>
            </w:r>
            <w:r>
              <w:rPr>
                <w:spacing w:val="3"/>
              </w:rPr>
              <w:t>行为的行政</w:t>
            </w:r>
            <w:r>
              <w:rPr>
                <w:spacing w:val="1"/>
              </w:rPr>
              <w:t xml:space="preserve"> </w:t>
            </w:r>
            <w:r>
              <w:rPr>
                <w:spacing w:val="-4"/>
              </w:rPr>
              <w:t>处罚</w:t>
            </w:r>
          </w:p>
        </w:tc>
        <w:tc>
          <w:tcPr>
            <w:tcW w:w="1136" w:type="dxa"/>
            <w:vAlign w:val="top"/>
          </w:tcPr>
          <w:p w14:paraId="1EC404C8">
            <w:pPr>
              <w:spacing w:line="251" w:lineRule="auto"/>
              <w:rPr>
                <w:rFonts w:ascii="Arial"/>
                <w:sz w:val="21"/>
              </w:rPr>
            </w:pPr>
          </w:p>
          <w:p w14:paraId="276657D3">
            <w:pPr>
              <w:spacing w:line="251" w:lineRule="auto"/>
              <w:rPr>
                <w:rFonts w:ascii="Arial"/>
                <w:sz w:val="21"/>
              </w:rPr>
            </w:pPr>
          </w:p>
          <w:p w14:paraId="37B3D785">
            <w:pPr>
              <w:spacing w:line="252" w:lineRule="auto"/>
              <w:rPr>
                <w:rFonts w:ascii="Arial"/>
                <w:sz w:val="21"/>
              </w:rPr>
            </w:pPr>
          </w:p>
          <w:p w14:paraId="19324C0A">
            <w:pPr>
              <w:spacing w:line="252" w:lineRule="auto"/>
              <w:rPr>
                <w:rFonts w:ascii="Arial"/>
                <w:sz w:val="21"/>
              </w:rPr>
            </w:pPr>
          </w:p>
          <w:p w14:paraId="473E34CD">
            <w:pPr>
              <w:spacing w:line="252" w:lineRule="auto"/>
              <w:rPr>
                <w:rFonts w:ascii="Arial"/>
                <w:sz w:val="21"/>
              </w:rPr>
            </w:pPr>
          </w:p>
          <w:p w14:paraId="2942BD3A">
            <w:pPr>
              <w:spacing w:line="252" w:lineRule="auto"/>
              <w:rPr>
                <w:rFonts w:ascii="Arial"/>
                <w:sz w:val="21"/>
              </w:rPr>
            </w:pPr>
          </w:p>
          <w:p w14:paraId="0020CCC9">
            <w:pPr>
              <w:spacing w:line="252" w:lineRule="auto"/>
              <w:rPr>
                <w:rFonts w:ascii="Arial"/>
                <w:sz w:val="21"/>
              </w:rPr>
            </w:pPr>
          </w:p>
          <w:p w14:paraId="57F5B9BE">
            <w:pPr>
              <w:spacing w:line="252" w:lineRule="auto"/>
              <w:rPr>
                <w:rFonts w:ascii="Arial"/>
                <w:sz w:val="21"/>
              </w:rPr>
            </w:pPr>
          </w:p>
          <w:p w14:paraId="410508E9">
            <w:pPr>
              <w:pStyle w:val="8"/>
              <w:spacing w:before="59" w:line="220" w:lineRule="auto"/>
              <w:ind w:left="114"/>
            </w:pPr>
            <w:r>
              <w:rPr>
                <w:spacing w:val="-7"/>
              </w:rPr>
              <w:t>行政处罚</w:t>
            </w:r>
          </w:p>
        </w:tc>
        <w:tc>
          <w:tcPr>
            <w:tcW w:w="8806" w:type="dxa"/>
            <w:vAlign w:val="top"/>
          </w:tcPr>
          <w:p w14:paraId="47A6CE9F">
            <w:pPr>
              <w:pStyle w:val="8"/>
              <w:spacing w:before="46" w:line="219" w:lineRule="auto"/>
              <w:ind w:left="481"/>
            </w:pPr>
            <w:r>
              <w:rPr>
                <w:b/>
                <w:bCs/>
                <w:spacing w:val="-4"/>
              </w:rPr>
              <w:t>1.《中华人民共和国内河交通安全管理条</w:t>
            </w:r>
            <w:r>
              <w:rPr>
                <w:b/>
                <w:bCs/>
                <w:spacing w:val="-5"/>
              </w:rPr>
              <w:t>例》</w:t>
            </w:r>
          </w:p>
          <w:p w14:paraId="10EF9C99">
            <w:pPr>
              <w:pStyle w:val="8"/>
              <w:spacing w:before="25" w:line="219" w:lineRule="auto"/>
              <w:ind w:left="470"/>
            </w:pPr>
            <w:r>
              <w:rPr>
                <w:spacing w:val="-2"/>
              </w:rPr>
              <w:t>第七十七条  违反本条例的规定，船舶、浮动设施发生内河交通事故的，除依法承担相应的</w:t>
            </w:r>
            <w:r>
              <w:rPr>
                <w:spacing w:val="-3"/>
              </w:rPr>
              <w:t>法律责任外，</w:t>
            </w:r>
          </w:p>
          <w:p w14:paraId="7F009EB6">
            <w:pPr>
              <w:pStyle w:val="8"/>
              <w:spacing w:before="26" w:line="233" w:lineRule="auto"/>
              <w:ind w:left="112" w:right="103" w:firstLine="20"/>
            </w:pPr>
            <w:r>
              <w:rPr>
                <w:spacing w:val="-3"/>
              </w:rPr>
              <w:t>由海事管理机构根据调查结论，对责任船员给予暂扣适任证书或者其</w:t>
            </w:r>
            <w:r>
              <w:rPr>
                <w:spacing w:val="-4"/>
              </w:rPr>
              <w:t>他适任证件6个月以上直至吊销适任证书或</w:t>
            </w:r>
            <w:r>
              <w:t xml:space="preserve"> </w:t>
            </w:r>
            <w:r>
              <w:rPr>
                <w:spacing w:val="-4"/>
              </w:rPr>
              <w:t>者其他适任证件的处罚。</w:t>
            </w:r>
          </w:p>
          <w:p w14:paraId="511F837E">
            <w:pPr>
              <w:pStyle w:val="8"/>
              <w:spacing w:before="25" w:line="219" w:lineRule="auto"/>
              <w:ind w:left="470"/>
            </w:pPr>
            <w:r>
              <w:rPr>
                <w:b/>
                <w:bCs/>
                <w:spacing w:val="-3"/>
              </w:rPr>
              <w:t>2.《中华人民共和国内河海事行政处罚规定》（交通运输部令202</w:t>
            </w:r>
            <w:r>
              <w:rPr>
                <w:b/>
                <w:bCs/>
                <w:spacing w:val="-4"/>
              </w:rPr>
              <w:t>2年第28号）</w:t>
            </w:r>
          </w:p>
          <w:p w14:paraId="50CE2F6F">
            <w:pPr>
              <w:pStyle w:val="8"/>
              <w:spacing w:before="28" w:line="239" w:lineRule="auto"/>
              <w:ind w:left="109" w:right="31" w:firstLine="360"/>
            </w:pPr>
            <w:r>
              <w:rPr>
                <w:spacing w:val="-2"/>
              </w:rPr>
              <w:t>第三十二条  违反《内河交通安全管理条例》的有关规定，船舶、浮动设施造成内河交</w:t>
            </w:r>
            <w:r>
              <w:rPr>
                <w:spacing w:val="-3"/>
              </w:rPr>
              <w:t>通事故的，除依法</w:t>
            </w:r>
            <w:r>
              <w:t xml:space="preserve">  </w:t>
            </w:r>
            <w:r>
              <w:rPr>
                <w:spacing w:val="-2"/>
              </w:rPr>
              <w:t>承担相应的法律责任外，依照《内河交通安全管理条例》第七十七条的规定，对责任船员给予下</w:t>
            </w:r>
            <w:r>
              <w:rPr>
                <w:spacing w:val="-3"/>
              </w:rPr>
              <w:t>列处罚</w:t>
            </w:r>
            <w:r>
              <w:rPr>
                <w:spacing w:val="-31"/>
              </w:rPr>
              <w:t>：（</w:t>
            </w:r>
            <w:r>
              <w:rPr>
                <w:spacing w:val="-3"/>
              </w:rPr>
              <w:t>一）</w:t>
            </w:r>
            <w:r>
              <w:t xml:space="preserve"> </w:t>
            </w:r>
            <w:r>
              <w:rPr>
                <w:spacing w:val="-2"/>
              </w:rPr>
              <w:t>造成特别重大事故的，对负有全部责任、主要责任的船员吊销船员适任</w:t>
            </w:r>
            <w:r>
              <w:rPr>
                <w:spacing w:val="-3"/>
              </w:rPr>
              <w:t>证书或者其他适任证件，对负有次要责</w:t>
            </w:r>
            <w:r>
              <w:t xml:space="preserve">  </w:t>
            </w:r>
            <w:r>
              <w:rPr>
                <w:spacing w:val="-2"/>
              </w:rPr>
              <w:t>任的船员扣留船员适任证书或者其他适任证件12个月直至吊销船员适任证书或者其他适任证件；责任相当的，</w:t>
            </w:r>
          </w:p>
          <w:p w14:paraId="4055DBE2">
            <w:pPr>
              <w:pStyle w:val="8"/>
              <w:spacing w:before="25" w:line="242" w:lineRule="auto"/>
              <w:ind w:left="109" w:right="59"/>
            </w:pPr>
            <w:r>
              <w:rPr>
                <w:spacing w:val="-2"/>
              </w:rPr>
              <w:t>对责任船员扣留船员适任证书或者其他适任证件24个月或者吊销船员适任证书或者其他适任证件。（</w:t>
            </w:r>
            <w:r>
              <w:rPr>
                <w:spacing w:val="-3"/>
              </w:rPr>
              <w:t>二）造成</w:t>
            </w:r>
            <w:r>
              <w:t xml:space="preserve">  </w:t>
            </w:r>
            <w:r>
              <w:rPr>
                <w:spacing w:val="-2"/>
              </w:rPr>
              <w:t>重大事故的，对负有全部责任、主要责任的船员吊销船员适任证书或者其他适任证件；对负有次</w:t>
            </w:r>
            <w:r>
              <w:rPr>
                <w:spacing w:val="-3"/>
              </w:rPr>
              <w:t>要责任的船员</w:t>
            </w:r>
            <w:r>
              <w:t xml:space="preserve">  </w:t>
            </w:r>
            <w:r>
              <w:rPr>
                <w:spacing w:val="-2"/>
              </w:rPr>
              <w:t>扣留船员适任证书或者其他适任证件12个月至24个月；责任相当的，对责任船员扣留船员适任证书或者其</w:t>
            </w:r>
            <w:r>
              <w:rPr>
                <w:spacing w:val="-3"/>
              </w:rPr>
              <w:t>他适</w:t>
            </w:r>
            <w:r>
              <w:t xml:space="preserve">  </w:t>
            </w:r>
            <w:r>
              <w:rPr>
                <w:spacing w:val="-2"/>
              </w:rPr>
              <w:t>任证件18个月或者吊销船员适任证书或者其他适任证件。（三）造成较大事故的，对负有全部责任、</w:t>
            </w:r>
            <w:r>
              <w:rPr>
                <w:spacing w:val="-3"/>
              </w:rPr>
              <w:t>主要责任</w:t>
            </w:r>
            <w:r>
              <w:t xml:space="preserve">  </w:t>
            </w:r>
            <w:r>
              <w:rPr>
                <w:spacing w:val="-2"/>
              </w:rPr>
              <w:t>的船员扣留船员适任证书或者其他适任证件12个月至24个月或者吊销船员适任证书或者其他适任证件，对</w:t>
            </w:r>
            <w:r>
              <w:rPr>
                <w:spacing w:val="-3"/>
              </w:rPr>
              <w:t>负有</w:t>
            </w:r>
            <w:r>
              <w:t xml:space="preserve">  </w:t>
            </w:r>
            <w:r>
              <w:rPr>
                <w:spacing w:val="-3"/>
              </w:rPr>
              <w:t>次要责任的船员扣留船员适任证书或者其他适任证件6个月；责任相当的，对责任船员扣留船员适任证书或者其</w:t>
            </w:r>
            <w:r>
              <w:rPr>
                <w:spacing w:val="4"/>
              </w:rPr>
              <w:t xml:space="preserve"> </w:t>
            </w:r>
            <w:r>
              <w:rPr>
                <w:spacing w:val="-2"/>
              </w:rPr>
              <w:t>他适任证件12个月。（四）造成一般事故的，对负有全部责任、主要责任的船员扣留船员适任证书或</w:t>
            </w:r>
            <w:r>
              <w:rPr>
                <w:spacing w:val="-3"/>
              </w:rPr>
              <w:t>者其他适</w:t>
            </w:r>
            <w:r>
              <w:t xml:space="preserve">  </w:t>
            </w:r>
            <w:r>
              <w:rPr>
                <w:spacing w:val="-5"/>
              </w:rPr>
              <w:t>任证件9个月至12个月，对负有次要责任的船员扣留船员适任证书或者</w:t>
            </w:r>
            <w:r>
              <w:rPr>
                <w:spacing w:val="-6"/>
              </w:rPr>
              <w:t>其他适任证件6个月至9个月；责任相当的，</w:t>
            </w:r>
            <w:r>
              <w:t xml:space="preserve"> </w:t>
            </w:r>
            <w:r>
              <w:rPr>
                <w:spacing w:val="-2"/>
              </w:rPr>
              <w:t>对责任船员扣留船员适任证书或者其他适任证件9个</w:t>
            </w:r>
            <w:r>
              <w:rPr>
                <w:spacing w:val="-3"/>
              </w:rPr>
              <w:t>月。</w:t>
            </w:r>
          </w:p>
        </w:tc>
        <w:tc>
          <w:tcPr>
            <w:tcW w:w="1043" w:type="dxa"/>
            <w:vAlign w:val="top"/>
          </w:tcPr>
          <w:p w14:paraId="08B8CA4D">
            <w:pPr>
              <w:spacing w:line="270" w:lineRule="auto"/>
              <w:rPr>
                <w:rFonts w:ascii="Arial"/>
                <w:sz w:val="21"/>
              </w:rPr>
            </w:pPr>
          </w:p>
          <w:p w14:paraId="7C5D4F82">
            <w:pPr>
              <w:spacing w:line="270" w:lineRule="auto"/>
              <w:rPr>
                <w:rFonts w:ascii="Arial"/>
                <w:sz w:val="21"/>
              </w:rPr>
            </w:pPr>
          </w:p>
          <w:p w14:paraId="17A9FB8F">
            <w:pPr>
              <w:spacing w:line="271" w:lineRule="auto"/>
              <w:rPr>
                <w:rFonts w:ascii="Arial"/>
                <w:sz w:val="21"/>
              </w:rPr>
            </w:pPr>
          </w:p>
          <w:p w14:paraId="6C06B51C">
            <w:pPr>
              <w:spacing w:line="271" w:lineRule="auto"/>
              <w:rPr>
                <w:rFonts w:ascii="Arial"/>
                <w:sz w:val="21"/>
              </w:rPr>
            </w:pPr>
          </w:p>
          <w:p w14:paraId="0BF9CA2D">
            <w:pPr>
              <w:spacing w:line="271" w:lineRule="auto"/>
              <w:rPr>
                <w:rFonts w:ascii="Arial"/>
                <w:sz w:val="21"/>
              </w:rPr>
            </w:pPr>
          </w:p>
          <w:p w14:paraId="3C3D731B">
            <w:pPr>
              <w:spacing w:line="271" w:lineRule="auto"/>
              <w:rPr>
                <w:rFonts w:ascii="Arial"/>
                <w:sz w:val="21"/>
              </w:rPr>
            </w:pPr>
          </w:p>
          <w:p w14:paraId="2C300B1D">
            <w:pPr>
              <w:spacing w:line="271" w:lineRule="auto"/>
              <w:rPr>
                <w:rFonts w:ascii="Arial"/>
                <w:sz w:val="21"/>
              </w:rPr>
            </w:pPr>
          </w:p>
          <w:p w14:paraId="7D9F49A7">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C07A0D7">
            <w:pPr>
              <w:spacing w:line="251" w:lineRule="auto"/>
              <w:rPr>
                <w:rFonts w:ascii="Arial"/>
                <w:sz w:val="21"/>
              </w:rPr>
            </w:pPr>
          </w:p>
          <w:p w14:paraId="2B3640F0">
            <w:pPr>
              <w:spacing w:line="252" w:lineRule="auto"/>
              <w:rPr>
                <w:rFonts w:ascii="Arial"/>
                <w:sz w:val="21"/>
              </w:rPr>
            </w:pPr>
          </w:p>
          <w:p w14:paraId="201318F1">
            <w:pPr>
              <w:spacing w:line="252" w:lineRule="auto"/>
              <w:rPr>
                <w:rFonts w:ascii="Arial"/>
                <w:sz w:val="21"/>
              </w:rPr>
            </w:pPr>
          </w:p>
          <w:p w14:paraId="69F5CCAC">
            <w:pPr>
              <w:spacing w:line="252" w:lineRule="auto"/>
              <w:rPr>
                <w:rFonts w:ascii="Arial"/>
                <w:sz w:val="21"/>
              </w:rPr>
            </w:pPr>
          </w:p>
          <w:p w14:paraId="2646DCDB">
            <w:pPr>
              <w:spacing w:line="252" w:lineRule="auto"/>
              <w:rPr>
                <w:rFonts w:ascii="Arial"/>
                <w:sz w:val="21"/>
              </w:rPr>
            </w:pPr>
          </w:p>
          <w:p w14:paraId="736EBDFD">
            <w:pPr>
              <w:spacing w:line="252" w:lineRule="auto"/>
              <w:rPr>
                <w:rFonts w:ascii="Arial"/>
                <w:sz w:val="21"/>
              </w:rPr>
            </w:pPr>
          </w:p>
          <w:p w14:paraId="7CD27CD9">
            <w:pPr>
              <w:spacing w:line="252" w:lineRule="auto"/>
              <w:rPr>
                <w:rFonts w:ascii="Arial"/>
                <w:sz w:val="21"/>
              </w:rPr>
            </w:pPr>
          </w:p>
          <w:p w14:paraId="435B316B">
            <w:pPr>
              <w:spacing w:line="252" w:lineRule="auto"/>
              <w:rPr>
                <w:rFonts w:ascii="Arial"/>
                <w:sz w:val="21"/>
              </w:rPr>
            </w:pPr>
          </w:p>
          <w:p w14:paraId="0A837F9D">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D621925">
            <w:pPr>
              <w:spacing w:line="276" w:lineRule="auto"/>
              <w:rPr>
                <w:rFonts w:ascii="Arial"/>
                <w:sz w:val="21"/>
              </w:rPr>
            </w:pPr>
          </w:p>
          <w:p w14:paraId="5A7FE0DF">
            <w:pPr>
              <w:spacing w:line="276" w:lineRule="auto"/>
              <w:rPr>
                <w:rFonts w:ascii="Arial"/>
                <w:sz w:val="21"/>
              </w:rPr>
            </w:pPr>
          </w:p>
          <w:p w14:paraId="3A5C3858">
            <w:pPr>
              <w:spacing w:line="276" w:lineRule="auto"/>
              <w:rPr>
                <w:rFonts w:ascii="Arial"/>
                <w:sz w:val="21"/>
              </w:rPr>
            </w:pPr>
          </w:p>
          <w:p w14:paraId="6CB0E3AE">
            <w:pPr>
              <w:spacing w:line="276" w:lineRule="auto"/>
              <w:rPr>
                <w:rFonts w:ascii="Arial"/>
                <w:sz w:val="21"/>
              </w:rPr>
            </w:pPr>
          </w:p>
          <w:p w14:paraId="733512F6">
            <w:pPr>
              <w:spacing w:line="277" w:lineRule="auto"/>
              <w:rPr>
                <w:rFonts w:ascii="Arial"/>
                <w:sz w:val="21"/>
              </w:rPr>
            </w:pPr>
          </w:p>
          <w:p w14:paraId="07EFED75">
            <w:pPr>
              <w:spacing w:line="277" w:lineRule="auto"/>
              <w:rPr>
                <w:rFonts w:ascii="Arial"/>
                <w:sz w:val="21"/>
              </w:rPr>
            </w:pPr>
          </w:p>
          <w:p w14:paraId="4F3FB402">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4C041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6" w:hRule="atLeast"/>
        </w:trPr>
        <w:tc>
          <w:tcPr>
            <w:tcW w:w="641" w:type="dxa"/>
            <w:vAlign w:val="top"/>
          </w:tcPr>
          <w:p w14:paraId="42347E2F">
            <w:pPr>
              <w:spacing w:line="287" w:lineRule="auto"/>
              <w:rPr>
                <w:rFonts w:ascii="Arial"/>
                <w:sz w:val="21"/>
              </w:rPr>
            </w:pPr>
          </w:p>
          <w:p w14:paraId="7A87A2DB">
            <w:pPr>
              <w:spacing w:line="287" w:lineRule="auto"/>
              <w:rPr>
                <w:rFonts w:ascii="Arial"/>
                <w:sz w:val="21"/>
              </w:rPr>
            </w:pPr>
          </w:p>
          <w:p w14:paraId="631CFE37">
            <w:pPr>
              <w:spacing w:line="287" w:lineRule="auto"/>
              <w:rPr>
                <w:rFonts w:ascii="Arial"/>
                <w:sz w:val="21"/>
              </w:rPr>
            </w:pPr>
          </w:p>
          <w:p w14:paraId="20A3E0FE">
            <w:pPr>
              <w:spacing w:line="288" w:lineRule="auto"/>
              <w:rPr>
                <w:rFonts w:ascii="Arial"/>
                <w:sz w:val="21"/>
              </w:rPr>
            </w:pPr>
          </w:p>
          <w:p w14:paraId="676285ED">
            <w:pPr>
              <w:pStyle w:val="8"/>
              <w:spacing w:before="59" w:line="183" w:lineRule="auto"/>
              <w:ind w:left="236"/>
            </w:pPr>
            <w:r>
              <w:rPr>
                <w:spacing w:val="-4"/>
              </w:rPr>
              <w:t>23</w:t>
            </w:r>
          </w:p>
        </w:tc>
        <w:tc>
          <w:tcPr>
            <w:tcW w:w="1136" w:type="dxa"/>
            <w:vAlign w:val="top"/>
          </w:tcPr>
          <w:p w14:paraId="596D0EC3">
            <w:pPr>
              <w:spacing w:line="322" w:lineRule="auto"/>
              <w:rPr>
                <w:rFonts w:ascii="Arial"/>
                <w:sz w:val="21"/>
              </w:rPr>
            </w:pPr>
          </w:p>
          <w:p w14:paraId="56F1BB49">
            <w:pPr>
              <w:spacing w:line="322" w:lineRule="auto"/>
              <w:rPr>
                <w:rFonts w:ascii="Arial"/>
                <w:sz w:val="21"/>
              </w:rPr>
            </w:pPr>
          </w:p>
          <w:p w14:paraId="2A1A2084">
            <w:pPr>
              <w:pStyle w:val="8"/>
              <w:spacing w:before="58" w:line="241" w:lineRule="auto"/>
              <w:ind w:left="109" w:right="104"/>
              <w:jc w:val="both"/>
            </w:pPr>
            <w:r>
              <w:rPr>
                <w:spacing w:val="3"/>
              </w:rPr>
              <w:t>对不服从海</w:t>
            </w:r>
            <w:r>
              <w:rPr>
                <w:spacing w:val="1"/>
              </w:rPr>
              <w:t xml:space="preserve"> </w:t>
            </w:r>
            <w:r>
              <w:rPr>
                <w:spacing w:val="3"/>
              </w:rPr>
              <w:t>事管理机构</w:t>
            </w:r>
            <w:r>
              <w:t xml:space="preserve"> </w:t>
            </w:r>
            <w:r>
              <w:rPr>
                <w:spacing w:val="3"/>
              </w:rPr>
              <w:t>的统一调度</w:t>
            </w:r>
            <w:r>
              <w:t xml:space="preserve"> </w:t>
            </w:r>
            <w:r>
              <w:rPr>
                <w:spacing w:val="3"/>
              </w:rPr>
              <w:t>和指挥行为</w:t>
            </w:r>
            <w:r>
              <w:t xml:space="preserve"> </w:t>
            </w:r>
            <w:r>
              <w:rPr>
                <w:spacing w:val="-4"/>
              </w:rPr>
              <w:t>的行政处罚</w:t>
            </w:r>
          </w:p>
        </w:tc>
        <w:tc>
          <w:tcPr>
            <w:tcW w:w="1136" w:type="dxa"/>
            <w:vAlign w:val="top"/>
          </w:tcPr>
          <w:p w14:paraId="203AAB54">
            <w:pPr>
              <w:spacing w:line="280" w:lineRule="auto"/>
              <w:rPr>
                <w:rFonts w:ascii="Arial"/>
                <w:sz w:val="21"/>
              </w:rPr>
            </w:pPr>
          </w:p>
          <w:p w14:paraId="59B23794">
            <w:pPr>
              <w:spacing w:line="280" w:lineRule="auto"/>
              <w:rPr>
                <w:rFonts w:ascii="Arial"/>
                <w:sz w:val="21"/>
              </w:rPr>
            </w:pPr>
          </w:p>
          <w:p w14:paraId="2E2FFF49">
            <w:pPr>
              <w:spacing w:line="280" w:lineRule="auto"/>
              <w:rPr>
                <w:rFonts w:ascii="Arial"/>
                <w:sz w:val="21"/>
              </w:rPr>
            </w:pPr>
          </w:p>
          <w:p w14:paraId="55C01306">
            <w:pPr>
              <w:spacing w:line="281" w:lineRule="auto"/>
              <w:rPr>
                <w:rFonts w:ascii="Arial"/>
                <w:sz w:val="21"/>
              </w:rPr>
            </w:pPr>
          </w:p>
          <w:p w14:paraId="04F2BEBD">
            <w:pPr>
              <w:pStyle w:val="8"/>
              <w:spacing w:before="58" w:line="220" w:lineRule="auto"/>
              <w:ind w:left="114"/>
            </w:pPr>
            <w:r>
              <w:rPr>
                <w:spacing w:val="-7"/>
              </w:rPr>
              <w:t>行政处罚</w:t>
            </w:r>
          </w:p>
        </w:tc>
        <w:tc>
          <w:tcPr>
            <w:tcW w:w="8806" w:type="dxa"/>
            <w:vAlign w:val="top"/>
          </w:tcPr>
          <w:p w14:paraId="27D3B8FE">
            <w:pPr>
              <w:pStyle w:val="8"/>
              <w:spacing w:before="107" w:line="219" w:lineRule="auto"/>
              <w:ind w:left="476"/>
            </w:pPr>
            <w:r>
              <w:rPr>
                <w:b/>
                <w:bCs/>
                <w:spacing w:val="-5"/>
              </w:rPr>
              <w:t>1.《中华人民共和国内河交通安全管理条例》</w:t>
            </w:r>
          </w:p>
          <w:p w14:paraId="0D313940">
            <w:pPr>
              <w:pStyle w:val="8"/>
              <w:spacing w:before="25" w:line="219" w:lineRule="auto"/>
              <w:ind w:left="465"/>
            </w:pPr>
            <w:r>
              <w:rPr>
                <w:spacing w:val="-2"/>
              </w:rPr>
              <w:t>第四十九条第二款  遇险现场和附近的船舶、人员，必须服从海事管理机构的统一调度</w:t>
            </w:r>
            <w:r>
              <w:rPr>
                <w:spacing w:val="-3"/>
              </w:rPr>
              <w:t>和指挥。</w:t>
            </w:r>
          </w:p>
          <w:p w14:paraId="752B32DC">
            <w:pPr>
              <w:pStyle w:val="8"/>
              <w:spacing w:before="27" w:line="237" w:lineRule="auto"/>
              <w:ind w:left="110" w:right="59" w:firstLine="355"/>
            </w:pPr>
            <w:r>
              <w:rPr>
                <w:spacing w:val="-4"/>
              </w:rPr>
              <w:t>第七十八条  违反本条例的规定，遇险现场和附近的船舶、船员不服从海事管理机构的统一调度和指挥的，</w:t>
            </w:r>
            <w:r>
              <w:rPr>
                <w:spacing w:val="6"/>
              </w:rPr>
              <w:t xml:space="preserve"> </w:t>
            </w:r>
            <w:r>
              <w:rPr>
                <w:spacing w:val="-3"/>
              </w:rPr>
              <w:t>由海事管理机构给予警告，并可以对责任船员给予暂扣适任证书或者其他适任证件3个月至6个月直至吊销适任</w:t>
            </w:r>
            <w:r>
              <w:rPr>
                <w:spacing w:val="5"/>
              </w:rPr>
              <w:t xml:space="preserve">  </w:t>
            </w:r>
            <w:r>
              <w:rPr>
                <w:spacing w:val="-6"/>
              </w:rPr>
              <w:t>证书或者其他适任证件的处罚。</w:t>
            </w:r>
          </w:p>
          <w:p w14:paraId="5B59B7CD">
            <w:pPr>
              <w:pStyle w:val="8"/>
              <w:spacing w:before="26" w:line="219" w:lineRule="auto"/>
              <w:ind w:left="467"/>
            </w:pPr>
            <w:r>
              <w:rPr>
                <w:b/>
                <w:bCs/>
                <w:spacing w:val="-3"/>
              </w:rPr>
              <w:t>2.《中华人民共和国内河海事行政处罚规定》（交通运输部令202</w:t>
            </w:r>
            <w:r>
              <w:rPr>
                <w:b/>
                <w:bCs/>
                <w:spacing w:val="-4"/>
              </w:rPr>
              <w:t>2年第28号）</w:t>
            </w:r>
          </w:p>
          <w:p w14:paraId="2D5EFA51">
            <w:pPr>
              <w:pStyle w:val="8"/>
              <w:spacing w:before="28" w:line="239" w:lineRule="auto"/>
              <w:ind w:left="112" w:right="100" w:firstLine="358"/>
              <w:jc w:val="both"/>
            </w:pPr>
            <w:r>
              <w:rPr>
                <w:spacing w:val="-1"/>
              </w:rPr>
              <w:t>第三十条  违反《内河交通安全管理条例》第四十九条第二款的规定，遇险现场和附近的</w:t>
            </w:r>
            <w:r>
              <w:rPr>
                <w:spacing w:val="-2"/>
              </w:rPr>
              <w:t>船舶、船员不服</w:t>
            </w:r>
            <w:r>
              <w:t xml:space="preserve"> </w:t>
            </w:r>
            <w:r>
              <w:rPr>
                <w:spacing w:val="-5"/>
              </w:rPr>
              <w:t>从海事管理机构的统一调度和指挥的，依照《内河交通安全管理条例》第七十八条的规定，对船舶、浮动设施或</w:t>
            </w:r>
            <w:r>
              <w:rPr>
                <w:spacing w:val="12"/>
              </w:rPr>
              <w:t xml:space="preserve"> </w:t>
            </w:r>
            <w:r>
              <w:rPr>
                <w:spacing w:val="-5"/>
              </w:rPr>
              <w:t>者责任人员给予警告，并对责任船员给予扣留船员适任证书或者其他适任证件3个月至6个月直至吊销船员适任证</w:t>
            </w:r>
            <w:r>
              <w:rPr>
                <w:spacing w:val="17"/>
              </w:rPr>
              <w:t xml:space="preserve"> </w:t>
            </w:r>
            <w:r>
              <w:rPr>
                <w:spacing w:val="-6"/>
              </w:rPr>
              <w:t>书或者其他适任证件的处罚。</w:t>
            </w:r>
          </w:p>
        </w:tc>
        <w:tc>
          <w:tcPr>
            <w:tcW w:w="1043" w:type="dxa"/>
            <w:vAlign w:val="top"/>
          </w:tcPr>
          <w:p w14:paraId="5168C219">
            <w:pPr>
              <w:spacing w:line="250" w:lineRule="auto"/>
              <w:rPr>
                <w:rFonts w:ascii="Arial"/>
                <w:sz w:val="21"/>
              </w:rPr>
            </w:pPr>
          </w:p>
          <w:p w14:paraId="13DDE354">
            <w:pPr>
              <w:spacing w:line="250" w:lineRule="auto"/>
              <w:rPr>
                <w:rFonts w:ascii="Arial"/>
                <w:sz w:val="21"/>
              </w:rPr>
            </w:pPr>
          </w:p>
          <w:p w14:paraId="486A00CB">
            <w:pPr>
              <w:spacing w:line="250" w:lineRule="auto"/>
              <w:rPr>
                <w:rFonts w:ascii="Arial"/>
                <w:sz w:val="21"/>
              </w:rPr>
            </w:pPr>
          </w:p>
          <w:p w14:paraId="6CE326AF">
            <w:pPr>
              <w:spacing w:line="251" w:lineRule="auto"/>
              <w:rPr>
                <w:rFonts w:ascii="Arial"/>
                <w:sz w:val="21"/>
              </w:rPr>
            </w:pPr>
          </w:p>
          <w:p w14:paraId="600E0D9E">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795A4BF0">
            <w:pPr>
              <w:spacing w:line="280" w:lineRule="auto"/>
              <w:rPr>
                <w:rFonts w:ascii="Arial"/>
                <w:sz w:val="21"/>
              </w:rPr>
            </w:pPr>
          </w:p>
          <w:p w14:paraId="4B5913CE">
            <w:pPr>
              <w:spacing w:line="280" w:lineRule="auto"/>
              <w:rPr>
                <w:rFonts w:ascii="Arial"/>
                <w:sz w:val="21"/>
              </w:rPr>
            </w:pPr>
          </w:p>
          <w:p w14:paraId="2B98CA33">
            <w:pPr>
              <w:spacing w:line="280" w:lineRule="auto"/>
              <w:rPr>
                <w:rFonts w:ascii="Arial"/>
                <w:sz w:val="21"/>
              </w:rPr>
            </w:pPr>
          </w:p>
          <w:p w14:paraId="2A529199">
            <w:pPr>
              <w:spacing w:line="281" w:lineRule="auto"/>
              <w:rPr>
                <w:rFonts w:ascii="Arial"/>
                <w:sz w:val="21"/>
              </w:rPr>
            </w:pPr>
          </w:p>
          <w:p w14:paraId="6B3ECD6B">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347349D">
            <w:pPr>
              <w:spacing w:line="254" w:lineRule="auto"/>
              <w:rPr>
                <w:rFonts w:ascii="Arial"/>
                <w:sz w:val="21"/>
              </w:rPr>
            </w:pPr>
          </w:p>
          <w:p w14:paraId="4C51F5C8">
            <w:pPr>
              <w:spacing w:line="255" w:lineRule="auto"/>
              <w:rPr>
                <w:rFonts w:ascii="Arial"/>
                <w:sz w:val="21"/>
              </w:rPr>
            </w:pPr>
          </w:p>
          <w:p w14:paraId="7271C0A4">
            <w:pPr>
              <w:spacing w:line="255" w:lineRule="auto"/>
              <w:rPr>
                <w:rFonts w:ascii="Arial"/>
                <w:sz w:val="21"/>
              </w:rPr>
            </w:pPr>
          </w:p>
          <w:p w14:paraId="249D8129">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448D0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641" w:type="dxa"/>
            <w:vAlign w:val="top"/>
          </w:tcPr>
          <w:p w14:paraId="7F86A469">
            <w:pPr>
              <w:spacing w:line="295" w:lineRule="auto"/>
              <w:rPr>
                <w:rFonts w:ascii="Arial"/>
                <w:sz w:val="21"/>
              </w:rPr>
            </w:pPr>
          </w:p>
          <w:p w14:paraId="72134385">
            <w:pPr>
              <w:spacing w:line="296" w:lineRule="auto"/>
              <w:rPr>
                <w:rFonts w:ascii="Arial"/>
                <w:sz w:val="21"/>
              </w:rPr>
            </w:pPr>
          </w:p>
          <w:p w14:paraId="2B97E129">
            <w:pPr>
              <w:spacing w:line="296" w:lineRule="auto"/>
              <w:rPr>
                <w:rFonts w:ascii="Arial"/>
                <w:sz w:val="21"/>
              </w:rPr>
            </w:pPr>
          </w:p>
          <w:p w14:paraId="68D4281A">
            <w:pPr>
              <w:pStyle w:val="8"/>
              <w:spacing w:before="59" w:line="183" w:lineRule="auto"/>
              <w:ind w:left="236"/>
            </w:pPr>
            <w:r>
              <w:rPr>
                <w:spacing w:val="-4"/>
              </w:rPr>
              <w:t>24</w:t>
            </w:r>
          </w:p>
        </w:tc>
        <w:tc>
          <w:tcPr>
            <w:tcW w:w="1136" w:type="dxa"/>
            <w:vAlign w:val="top"/>
          </w:tcPr>
          <w:p w14:paraId="1E31C05D">
            <w:pPr>
              <w:pStyle w:val="8"/>
              <w:spacing w:before="8" w:line="204" w:lineRule="auto"/>
              <w:ind w:left="109" w:right="101"/>
            </w:pPr>
            <w:r>
              <w:rPr>
                <w:spacing w:val="3"/>
              </w:rPr>
              <w:t>对伪造、变</w:t>
            </w:r>
            <w:r>
              <w:rPr>
                <w:spacing w:val="1"/>
              </w:rPr>
              <w:t xml:space="preserve"> </w:t>
            </w:r>
            <w:r>
              <w:rPr>
                <w:spacing w:val="-2"/>
              </w:rPr>
              <w:t>造、买卖、</w:t>
            </w:r>
            <w:r>
              <w:t xml:space="preserve"> </w:t>
            </w:r>
            <w:r>
              <w:rPr>
                <w:spacing w:val="3"/>
              </w:rPr>
              <w:t>转借、冒用</w:t>
            </w:r>
            <w:r>
              <w:rPr>
                <w:spacing w:val="1"/>
              </w:rPr>
              <w:t xml:space="preserve"> </w:t>
            </w:r>
            <w:r>
              <w:rPr>
                <w:spacing w:val="3"/>
              </w:rPr>
              <w:t>船舶检验证</w:t>
            </w:r>
            <w:r>
              <w:rPr>
                <w:spacing w:val="1"/>
              </w:rPr>
              <w:t xml:space="preserve"> </w:t>
            </w:r>
            <w:r>
              <w:rPr>
                <w:spacing w:val="3"/>
              </w:rPr>
              <w:t>书、船舶登</w:t>
            </w:r>
            <w:r>
              <w:rPr>
                <w:spacing w:val="1"/>
              </w:rPr>
              <w:t xml:space="preserve"> </w:t>
            </w:r>
            <w:r>
              <w:rPr>
                <w:spacing w:val="3"/>
              </w:rPr>
              <w:t>记证书、船</w:t>
            </w:r>
            <w:r>
              <w:rPr>
                <w:spacing w:val="1"/>
              </w:rPr>
              <w:t xml:space="preserve"> </w:t>
            </w:r>
            <w:r>
              <w:rPr>
                <w:spacing w:val="4"/>
              </w:rPr>
              <w:t>员适任证书</w:t>
            </w:r>
            <w:r>
              <w:t xml:space="preserve"> </w:t>
            </w:r>
            <w:r>
              <w:rPr>
                <w:spacing w:val="3"/>
              </w:rPr>
              <w:t>或者其他适</w:t>
            </w:r>
            <w:r>
              <w:rPr>
                <w:spacing w:val="1"/>
              </w:rPr>
              <w:t xml:space="preserve"> </w:t>
            </w:r>
            <w:r>
              <w:rPr>
                <w:spacing w:val="3"/>
              </w:rPr>
              <w:t>任证件行为</w:t>
            </w:r>
            <w:r>
              <w:rPr>
                <w:spacing w:val="1"/>
              </w:rPr>
              <w:t xml:space="preserve"> </w:t>
            </w:r>
            <w:r>
              <w:rPr>
                <w:spacing w:val="-4"/>
              </w:rPr>
              <w:t>的行政处罚</w:t>
            </w:r>
          </w:p>
        </w:tc>
        <w:tc>
          <w:tcPr>
            <w:tcW w:w="1136" w:type="dxa"/>
            <w:vAlign w:val="top"/>
          </w:tcPr>
          <w:p w14:paraId="3E42A17E">
            <w:pPr>
              <w:spacing w:line="286" w:lineRule="auto"/>
              <w:rPr>
                <w:rFonts w:ascii="Arial"/>
                <w:sz w:val="21"/>
              </w:rPr>
            </w:pPr>
          </w:p>
          <w:p w14:paraId="0A60DB8E">
            <w:pPr>
              <w:spacing w:line="286" w:lineRule="auto"/>
              <w:rPr>
                <w:rFonts w:ascii="Arial"/>
                <w:sz w:val="21"/>
              </w:rPr>
            </w:pPr>
          </w:p>
          <w:p w14:paraId="7BE7857D">
            <w:pPr>
              <w:spacing w:line="287" w:lineRule="auto"/>
              <w:rPr>
                <w:rFonts w:ascii="Arial"/>
                <w:sz w:val="21"/>
              </w:rPr>
            </w:pPr>
          </w:p>
          <w:p w14:paraId="4B597AC9">
            <w:pPr>
              <w:pStyle w:val="8"/>
              <w:spacing w:before="59" w:line="220" w:lineRule="auto"/>
              <w:ind w:left="114"/>
            </w:pPr>
            <w:r>
              <w:rPr>
                <w:spacing w:val="-7"/>
              </w:rPr>
              <w:t>行政处罚</w:t>
            </w:r>
          </w:p>
        </w:tc>
        <w:tc>
          <w:tcPr>
            <w:tcW w:w="8806" w:type="dxa"/>
            <w:vAlign w:val="top"/>
          </w:tcPr>
          <w:p w14:paraId="7FC91C19">
            <w:pPr>
              <w:pStyle w:val="8"/>
              <w:spacing w:before="203" w:line="219" w:lineRule="auto"/>
              <w:ind w:left="469"/>
            </w:pPr>
            <w:r>
              <w:rPr>
                <w:b/>
                <w:bCs/>
                <w:spacing w:val="-6"/>
              </w:rPr>
              <w:t>《中华人民共和国内河交通安全管理条例》</w:t>
            </w:r>
          </w:p>
          <w:p w14:paraId="79DBC564">
            <w:pPr>
              <w:pStyle w:val="8"/>
              <w:spacing w:before="25" w:line="233" w:lineRule="auto"/>
              <w:ind w:left="110" w:right="98" w:firstLine="348"/>
            </w:pPr>
            <w:r>
              <w:rPr>
                <w:spacing w:val="-4"/>
              </w:rPr>
              <w:t>第十三条</w:t>
            </w:r>
            <w:r>
              <w:rPr>
                <w:spacing w:val="83"/>
              </w:rPr>
              <w:t xml:space="preserve"> </w:t>
            </w:r>
            <w:r>
              <w:rPr>
                <w:spacing w:val="-4"/>
              </w:rPr>
              <w:t>禁止伪造、变造、买卖、租借、冒用</w:t>
            </w:r>
            <w:r>
              <w:rPr>
                <w:spacing w:val="-5"/>
              </w:rPr>
              <w:t>船舶检验证书、船舶登记证书、船员适任证书或者其他适任</w:t>
            </w:r>
            <w:r>
              <w:t xml:space="preserve"> </w:t>
            </w:r>
            <w:r>
              <w:rPr>
                <w:spacing w:val="-5"/>
              </w:rPr>
              <w:t>证件。</w:t>
            </w:r>
          </w:p>
          <w:p w14:paraId="6A4A43C0">
            <w:pPr>
              <w:pStyle w:val="8"/>
              <w:spacing w:before="27" w:line="239" w:lineRule="auto"/>
              <w:ind w:left="109" w:right="100" w:firstLine="355"/>
              <w:jc w:val="both"/>
            </w:pPr>
            <w:r>
              <w:rPr>
                <w:spacing w:val="-1"/>
              </w:rPr>
              <w:t>第七十九条  违反本条例的规定，伪造、变造、买卖、转借、冒用船舶检验证书、船舶登记证书、船</w:t>
            </w:r>
            <w:r>
              <w:rPr>
                <w:spacing w:val="-2"/>
              </w:rPr>
              <w:t>员适</w:t>
            </w:r>
            <w:r>
              <w:t xml:space="preserve"> </w:t>
            </w:r>
            <w:r>
              <w:rPr>
                <w:spacing w:val="-1"/>
              </w:rPr>
              <w:t>任证书或者其他适任证件的，由海事管理机构没收有关的证书或者证件；有违法所得的，没收违法所得</w:t>
            </w:r>
            <w:r>
              <w:rPr>
                <w:spacing w:val="-2"/>
              </w:rPr>
              <w:t>，并处</w:t>
            </w:r>
            <w:r>
              <w:t xml:space="preserve"> </w:t>
            </w:r>
            <w:r>
              <w:rPr>
                <w:spacing w:val="-6"/>
              </w:rPr>
              <w:t>违法所得2倍以上5倍以下的罚款；没有违法所得或者违法所得不足2万元的，处1万元以上5万</w:t>
            </w:r>
            <w:r>
              <w:rPr>
                <w:spacing w:val="-7"/>
              </w:rPr>
              <w:t>元以下的罚款；触犯</w:t>
            </w:r>
            <w:r>
              <w:t xml:space="preserve"> </w:t>
            </w:r>
            <w:r>
              <w:rPr>
                <w:spacing w:val="-3"/>
              </w:rPr>
              <w:t>刑律的，依照刑法关于伪造、变造、买卖国家机关公文、证件罪或者其他罪的规定，依法追究刑事责任。</w:t>
            </w:r>
          </w:p>
        </w:tc>
        <w:tc>
          <w:tcPr>
            <w:tcW w:w="1043" w:type="dxa"/>
            <w:vAlign w:val="top"/>
          </w:tcPr>
          <w:p w14:paraId="1A00337A">
            <w:pPr>
              <w:spacing w:line="246" w:lineRule="auto"/>
              <w:rPr>
                <w:rFonts w:ascii="Arial"/>
                <w:sz w:val="21"/>
              </w:rPr>
            </w:pPr>
          </w:p>
          <w:p w14:paraId="0E877EB9">
            <w:pPr>
              <w:spacing w:line="247" w:lineRule="auto"/>
              <w:rPr>
                <w:rFonts w:ascii="Arial"/>
                <w:sz w:val="21"/>
              </w:rPr>
            </w:pPr>
          </w:p>
          <w:p w14:paraId="3CDED299">
            <w:pPr>
              <w:spacing w:line="247" w:lineRule="auto"/>
              <w:rPr>
                <w:rFonts w:ascii="Arial"/>
                <w:sz w:val="21"/>
              </w:rPr>
            </w:pPr>
          </w:p>
          <w:p w14:paraId="1FB6934E">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6BA9F469">
            <w:pPr>
              <w:spacing w:line="286" w:lineRule="auto"/>
              <w:rPr>
                <w:rFonts w:ascii="Arial"/>
                <w:sz w:val="21"/>
              </w:rPr>
            </w:pPr>
          </w:p>
          <w:p w14:paraId="5C3FA2BE">
            <w:pPr>
              <w:spacing w:line="286" w:lineRule="auto"/>
              <w:rPr>
                <w:rFonts w:ascii="Arial"/>
                <w:sz w:val="21"/>
              </w:rPr>
            </w:pPr>
          </w:p>
          <w:p w14:paraId="76DE2C0A">
            <w:pPr>
              <w:spacing w:line="287" w:lineRule="auto"/>
              <w:rPr>
                <w:rFonts w:ascii="Arial"/>
                <w:sz w:val="21"/>
              </w:rPr>
            </w:pPr>
          </w:p>
          <w:p w14:paraId="6FB0A38D">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EBC165F">
            <w:pPr>
              <w:spacing w:line="251" w:lineRule="auto"/>
              <w:rPr>
                <w:rFonts w:ascii="Arial"/>
                <w:sz w:val="21"/>
              </w:rPr>
            </w:pPr>
          </w:p>
          <w:p w14:paraId="4E0ED362">
            <w:pPr>
              <w:spacing w:line="252" w:lineRule="auto"/>
              <w:rPr>
                <w:rFonts w:ascii="Arial"/>
                <w:sz w:val="21"/>
              </w:rPr>
            </w:pPr>
          </w:p>
          <w:p w14:paraId="172CAA9A">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2F911113">
      <w:pPr>
        <w:pStyle w:val="2"/>
        <w:spacing w:line="189" w:lineRule="exact"/>
        <w:rPr>
          <w:sz w:val="16"/>
        </w:rPr>
      </w:pPr>
    </w:p>
    <w:p w14:paraId="498435B5">
      <w:pPr>
        <w:spacing w:line="189" w:lineRule="exact"/>
        <w:rPr>
          <w:sz w:val="16"/>
          <w:szCs w:val="16"/>
        </w:rPr>
        <w:sectPr>
          <w:footerReference r:id="rId178" w:type="default"/>
          <w:pgSz w:w="16839" w:h="11906"/>
          <w:pgMar w:top="1012" w:right="788" w:bottom="967" w:left="787" w:header="0" w:footer="768" w:gutter="0"/>
          <w:cols w:space="720" w:num="1"/>
        </w:sectPr>
      </w:pPr>
    </w:p>
    <w:p w14:paraId="30617F45">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7284E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0C69CA07">
            <w:pPr>
              <w:pStyle w:val="8"/>
              <w:spacing w:before="267" w:line="221" w:lineRule="auto"/>
              <w:ind w:left="142"/>
            </w:pPr>
            <w:r>
              <w:rPr>
                <w:b/>
                <w:bCs/>
                <w:spacing w:val="-4"/>
              </w:rPr>
              <w:t>序号</w:t>
            </w:r>
          </w:p>
        </w:tc>
        <w:tc>
          <w:tcPr>
            <w:tcW w:w="1136" w:type="dxa"/>
            <w:vMerge w:val="restart"/>
            <w:tcBorders>
              <w:bottom w:val="nil"/>
            </w:tcBorders>
            <w:vAlign w:val="top"/>
          </w:tcPr>
          <w:p w14:paraId="11B595D8">
            <w:pPr>
              <w:pStyle w:val="8"/>
              <w:spacing w:before="267" w:line="220" w:lineRule="auto"/>
              <w:ind w:left="208"/>
            </w:pPr>
            <w:r>
              <w:rPr>
                <w:b/>
                <w:bCs/>
                <w:spacing w:val="-4"/>
              </w:rPr>
              <w:t>事项名称</w:t>
            </w:r>
          </w:p>
        </w:tc>
        <w:tc>
          <w:tcPr>
            <w:tcW w:w="1136" w:type="dxa"/>
            <w:vMerge w:val="restart"/>
            <w:tcBorders>
              <w:bottom w:val="nil"/>
            </w:tcBorders>
            <w:vAlign w:val="top"/>
          </w:tcPr>
          <w:p w14:paraId="4BC78CEF">
            <w:pPr>
              <w:pStyle w:val="8"/>
              <w:spacing w:before="267" w:line="219" w:lineRule="auto"/>
              <w:ind w:left="210"/>
            </w:pPr>
            <w:r>
              <w:rPr>
                <w:b/>
                <w:bCs/>
                <w:spacing w:val="-4"/>
              </w:rPr>
              <w:t>职权类型</w:t>
            </w:r>
          </w:p>
        </w:tc>
        <w:tc>
          <w:tcPr>
            <w:tcW w:w="8806" w:type="dxa"/>
            <w:vMerge w:val="restart"/>
            <w:tcBorders>
              <w:bottom w:val="nil"/>
            </w:tcBorders>
            <w:vAlign w:val="top"/>
          </w:tcPr>
          <w:p w14:paraId="0C2F45FB">
            <w:pPr>
              <w:pStyle w:val="8"/>
              <w:spacing w:before="267" w:line="219" w:lineRule="auto"/>
              <w:ind w:left="4050"/>
            </w:pPr>
            <w:r>
              <w:rPr>
                <w:b/>
                <w:bCs/>
                <w:spacing w:val="-5"/>
              </w:rPr>
              <w:t>实施依据</w:t>
            </w:r>
          </w:p>
        </w:tc>
        <w:tc>
          <w:tcPr>
            <w:tcW w:w="3538" w:type="dxa"/>
            <w:gridSpan w:val="3"/>
            <w:vAlign w:val="top"/>
          </w:tcPr>
          <w:p w14:paraId="68DDBCE8">
            <w:pPr>
              <w:pStyle w:val="8"/>
              <w:spacing w:before="92" w:line="220" w:lineRule="auto"/>
              <w:ind w:left="1415"/>
            </w:pPr>
            <w:r>
              <w:rPr>
                <w:b/>
                <w:bCs/>
                <w:spacing w:val="-5"/>
              </w:rPr>
              <w:t>实施主体</w:t>
            </w:r>
          </w:p>
        </w:tc>
      </w:tr>
      <w:tr w14:paraId="60664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73CC5164">
            <w:pPr>
              <w:rPr>
                <w:rFonts w:ascii="Arial"/>
                <w:sz w:val="21"/>
              </w:rPr>
            </w:pPr>
          </w:p>
        </w:tc>
        <w:tc>
          <w:tcPr>
            <w:tcW w:w="1136" w:type="dxa"/>
            <w:vMerge w:val="continue"/>
            <w:tcBorders>
              <w:top w:val="nil"/>
            </w:tcBorders>
            <w:vAlign w:val="top"/>
          </w:tcPr>
          <w:p w14:paraId="3A5EFEC1">
            <w:pPr>
              <w:rPr>
                <w:rFonts w:ascii="Arial"/>
                <w:sz w:val="21"/>
              </w:rPr>
            </w:pPr>
          </w:p>
        </w:tc>
        <w:tc>
          <w:tcPr>
            <w:tcW w:w="1136" w:type="dxa"/>
            <w:vMerge w:val="continue"/>
            <w:tcBorders>
              <w:top w:val="nil"/>
            </w:tcBorders>
            <w:vAlign w:val="top"/>
          </w:tcPr>
          <w:p w14:paraId="4D12A745">
            <w:pPr>
              <w:rPr>
                <w:rFonts w:ascii="Arial"/>
                <w:sz w:val="21"/>
              </w:rPr>
            </w:pPr>
          </w:p>
        </w:tc>
        <w:tc>
          <w:tcPr>
            <w:tcW w:w="8806" w:type="dxa"/>
            <w:vMerge w:val="continue"/>
            <w:tcBorders>
              <w:top w:val="nil"/>
            </w:tcBorders>
            <w:vAlign w:val="top"/>
          </w:tcPr>
          <w:p w14:paraId="74FAB97D">
            <w:pPr>
              <w:rPr>
                <w:rFonts w:ascii="Arial"/>
                <w:sz w:val="21"/>
              </w:rPr>
            </w:pPr>
          </w:p>
        </w:tc>
        <w:tc>
          <w:tcPr>
            <w:tcW w:w="1043" w:type="dxa"/>
            <w:vAlign w:val="top"/>
          </w:tcPr>
          <w:p w14:paraId="16D2C076">
            <w:pPr>
              <w:pStyle w:val="8"/>
              <w:spacing w:before="88" w:line="219" w:lineRule="auto"/>
              <w:ind w:left="171"/>
            </w:pPr>
            <w:r>
              <w:rPr>
                <w:b/>
                <w:bCs/>
                <w:spacing w:val="-5"/>
              </w:rPr>
              <w:t>责任部门</w:t>
            </w:r>
          </w:p>
        </w:tc>
        <w:tc>
          <w:tcPr>
            <w:tcW w:w="1448" w:type="dxa"/>
            <w:vAlign w:val="top"/>
          </w:tcPr>
          <w:p w14:paraId="187F0578">
            <w:pPr>
              <w:pStyle w:val="8"/>
              <w:spacing w:before="88" w:line="219" w:lineRule="auto"/>
              <w:ind w:left="187"/>
            </w:pPr>
            <w:r>
              <w:rPr>
                <w:b/>
                <w:bCs/>
                <w:spacing w:val="-3"/>
              </w:rPr>
              <w:t>第一责任层级</w:t>
            </w:r>
          </w:p>
        </w:tc>
        <w:tc>
          <w:tcPr>
            <w:tcW w:w="1047" w:type="dxa"/>
            <w:vAlign w:val="top"/>
          </w:tcPr>
          <w:p w14:paraId="3021533F">
            <w:pPr>
              <w:pStyle w:val="8"/>
              <w:spacing w:before="88" w:line="219" w:lineRule="auto"/>
              <w:ind w:left="165"/>
            </w:pPr>
            <w:r>
              <w:rPr>
                <w:b/>
                <w:bCs/>
                <w:spacing w:val="-4"/>
              </w:rPr>
              <w:t>承办机构</w:t>
            </w:r>
          </w:p>
        </w:tc>
      </w:tr>
      <w:tr w14:paraId="3A173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4" w:hRule="atLeast"/>
        </w:trPr>
        <w:tc>
          <w:tcPr>
            <w:tcW w:w="641" w:type="dxa"/>
            <w:vAlign w:val="top"/>
          </w:tcPr>
          <w:p w14:paraId="32F1AD7F">
            <w:pPr>
              <w:spacing w:line="293" w:lineRule="auto"/>
              <w:rPr>
                <w:rFonts w:ascii="Arial"/>
                <w:sz w:val="21"/>
              </w:rPr>
            </w:pPr>
          </w:p>
          <w:p w14:paraId="5E6A13C5">
            <w:pPr>
              <w:spacing w:line="293" w:lineRule="auto"/>
              <w:rPr>
                <w:rFonts w:ascii="Arial"/>
                <w:sz w:val="21"/>
              </w:rPr>
            </w:pPr>
          </w:p>
          <w:p w14:paraId="27F97C0C">
            <w:pPr>
              <w:spacing w:line="293" w:lineRule="auto"/>
              <w:rPr>
                <w:rFonts w:ascii="Arial"/>
                <w:sz w:val="21"/>
              </w:rPr>
            </w:pPr>
          </w:p>
          <w:p w14:paraId="401556AC">
            <w:pPr>
              <w:pStyle w:val="8"/>
              <w:spacing w:before="58" w:line="183" w:lineRule="auto"/>
              <w:ind w:left="236"/>
            </w:pPr>
            <w:r>
              <w:rPr>
                <w:spacing w:val="-4"/>
              </w:rPr>
              <w:t>25</w:t>
            </w:r>
          </w:p>
        </w:tc>
        <w:tc>
          <w:tcPr>
            <w:tcW w:w="1136" w:type="dxa"/>
            <w:vAlign w:val="top"/>
          </w:tcPr>
          <w:p w14:paraId="2AB2D098">
            <w:pPr>
              <w:pStyle w:val="8"/>
              <w:spacing w:before="218" w:line="234" w:lineRule="auto"/>
              <w:ind w:left="110" w:right="101" w:hanging="1"/>
            </w:pPr>
            <w:r>
              <w:rPr>
                <w:spacing w:val="3"/>
              </w:rPr>
              <w:t>对船舶、浮</w:t>
            </w:r>
            <w:r>
              <w:rPr>
                <w:spacing w:val="1"/>
              </w:rPr>
              <w:t xml:space="preserve"> </w:t>
            </w:r>
            <w:r>
              <w:rPr>
                <w:spacing w:val="3"/>
              </w:rPr>
              <w:t>动设施的所</w:t>
            </w:r>
            <w:r>
              <w:t xml:space="preserve"> </w:t>
            </w:r>
            <w:r>
              <w:rPr>
                <w:spacing w:val="3"/>
              </w:rPr>
              <w:t>有人或者经</w:t>
            </w:r>
            <w:r>
              <w:t xml:space="preserve"> </w:t>
            </w:r>
            <w:r>
              <w:rPr>
                <w:spacing w:val="-2"/>
              </w:rPr>
              <w:t>营人指使、</w:t>
            </w:r>
            <w:r>
              <w:rPr>
                <w:spacing w:val="1"/>
              </w:rPr>
              <w:t xml:space="preserve"> </w:t>
            </w:r>
            <w:r>
              <w:rPr>
                <w:spacing w:val="3"/>
              </w:rPr>
              <w:t>强令船员违</w:t>
            </w:r>
            <w:r>
              <w:rPr>
                <w:spacing w:val="2"/>
              </w:rPr>
              <w:t xml:space="preserve"> </w:t>
            </w:r>
            <w:r>
              <w:rPr>
                <w:spacing w:val="3"/>
              </w:rPr>
              <w:t>章操作行为</w:t>
            </w:r>
            <w:r>
              <w:t xml:space="preserve"> </w:t>
            </w:r>
            <w:r>
              <w:rPr>
                <w:spacing w:val="-4"/>
              </w:rPr>
              <w:t>的行政处罚</w:t>
            </w:r>
          </w:p>
        </w:tc>
        <w:tc>
          <w:tcPr>
            <w:tcW w:w="1136" w:type="dxa"/>
            <w:vAlign w:val="top"/>
          </w:tcPr>
          <w:p w14:paraId="79D0318D">
            <w:pPr>
              <w:spacing w:line="282" w:lineRule="auto"/>
              <w:rPr>
                <w:rFonts w:ascii="Arial"/>
                <w:sz w:val="21"/>
              </w:rPr>
            </w:pPr>
          </w:p>
          <w:p w14:paraId="1FC620D5">
            <w:pPr>
              <w:spacing w:line="283" w:lineRule="auto"/>
              <w:rPr>
                <w:rFonts w:ascii="Arial"/>
                <w:sz w:val="21"/>
              </w:rPr>
            </w:pPr>
          </w:p>
          <w:p w14:paraId="31B7C162">
            <w:pPr>
              <w:spacing w:line="283" w:lineRule="auto"/>
              <w:rPr>
                <w:rFonts w:ascii="Arial"/>
                <w:sz w:val="21"/>
              </w:rPr>
            </w:pPr>
          </w:p>
          <w:p w14:paraId="7086A59B">
            <w:pPr>
              <w:pStyle w:val="8"/>
              <w:spacing w:before="59" w:line="220" w:lineRule="auto"/>
              <w:ind w:left="114"/>
            </w:pPr>
            <w:r>
              <w:rPr>
                <w:spacing w:val="-7"/>
              </w:rPr>
              <w:t>行政处罚</w:t>
            </w:r>
          </w:p>
        </w:tc>
        <w:tc>
          <w:tcPr>
            <w:tcW w:w="8806" w:type="dxa"/>
            <w:vAlign w:val="top"/>
          </w:tcPr>
          <w:p w14:paraId="598C61A9">
            <w:pPr>
              <w:pStyle w:val="8"/>
              <w:spacing w:before="194" w:line="219" w:lineRule="auto"/>
              <w:ind w:left="469"/>
            </w:pPr>
            <w:r>
              <w:rPr>
                <w:b/>
                <w:bCs/>
                <w:spacing w:val="-6"/>
              </w:rPr>
              <w:t>《中华人民共和国内河交通安全管理条例》</w:t>
            </w:r>
          </w:p>
          <w:p w14:paraId="6E41A6B2">
            <w:pPr>
              <w:pStyle w:val="8"/>
              <w:spacing w:before="26" w:line="237" w:lineRule="auto"/>
              <w:ind w:left="111" w:right="91" w:firstLine="335"/>
              <w:jc w:val="both"/>
            </w:pPr>
            <w:r>
              <w:rPr>
                <w:spacing w:val="-11"/>
              </w:rPr>
              <w:t>第十条</w:t>
            </w:r>
            <w:r>
              <w:rPr>
                <w:spacing w:val="64"/>
              </w:rPr>
              <w:t xml:space="preserve"> </w:t>
            </w:r>
            <w:r>
              <w:rPr>
                <w:spacing w:val="-11"/>
              </w:rPr>
              <w:t>船舶、浮动设施的所有人或者经营人，应当加强对船舶、浮动设施的安全管理，建立、健全相</w:t>
            </w:r>
            <w:r>
              <w:rPr>
                <w:spacing w:val="-12"/>
              </w:rPr>
              <w:t>应的交通</w:t>
            </w:r>
            <w:r>
              <w:t xml:space="preserve"> </w:t>
            </w:r>
            <w:r>
              <w:rPr>
                <w:spacing w:val="-8"/>
              </w:rPr>
              <w:t>安全管理制度，并对船舶、浮动设施的交通安全负责；不得聘用无适任证书或者其他适任证件的</w:t>
            </w:r>
            <w:r>
              <w:rPr>
                <w:spacing w:val="-9"/>
              </w:rPr>
              <w:t>人员担任船员；不</w:t>
            </w:r>
            <w:r>
              <w:t xml:space="preserve"> </w:t>
            </w:r>
            <w:r>
              <w:rPr>
                <w:spacing w:val="-6"/>
              </w:rPr>
              <w:t>得指使、强令船员违章操作。</w:t>
            </w:r>
          </w:p>
          <w:p w14:paraId="124DB90F">
            <w:pPr>
              <w:pStyle w:val="8"/>
              <w:spacing w:before="26" w:line="237" w:lineRule="auto"/>
              <w:ind w:left="112" w:right="98" w:firstLine="358"/>
              <w:jc w:val="both"/>
            </w:pPr>
            <w:r>
              <w:rPr>
                <w:spacing w:val="-1"/>
              </w:rPr>
              <w:t>第八十条  违反本条例的规定，船舶、浮动设施的所有人或者经营人指使、强令船员违章</w:t>
            </w:r>
            <w:r>
              <w:rPr>
                <w:spacing w:val="-2"/>
              </w:rPr>
              <w:t>操作的，由海事</w:t>
            </w:r>
            <w:r>
              <w:t xml:space="preserve"> </w:t>
            </w:r>
            <w:r>
              <w:rPr>
                <w:spacing w:val="-4"/>
              </w:rPr>
              <w:t>管理机构给予警告，处1万元以上5万元以</w:t>
            </w:r>
            <w:r>
              <w:rPr>
                <w:spacing w:val="-5"/>
              </w:rPr>
              <w:t>下的罚款，并可以责令停航或者停止作业；造成重大伤亡事故或者严重</w:t>
            </w:r>
            <w:r>
              <w:t xml:space="preserve"> </w:t>
            </w:r>
            <w:r>
              <w:rPr>
                <w:spacing w:val="-3"/>
              </w:rPr>
              <w:t>后果的，依照刑法关于重大责任事故罪或者其他罪的规定，依法追究刑事责任。</w:t>
            </w:r>
          </w:p>
        </w:tc>
        <w:tc>
          <w:tcPr>
            <w:tcW w:w="1043" w:type="dxa"/>
            <w:vAlign w:val="top"/>
          </w:tcPr>
          <w:p w14:paraId="7741C214">
            <w:pPr>
              <w:spacing w:line="243" w:lineRule="auto"/>
              <w:rPr>
                <w:rFonts w:ascii="Arial"/>
                <w:sz w:val="21"/>
              </w:rPr>
            </w:pPr>
          </w:p>
          <w:p w14:paraId="33284ABE">
            <w:pPr>
              <w:spacing w:line="244" w:lineRule="auto"/>
              <w:rPr>
                <w:rFonts w:ascii="Arial"/>
                <w:sz w:val="21"/>
              </w:rPr>
            </w:pPr>
          </w:p>
          <w:p w14:paraId="2011F832">
            <w:pPr>
              <w:spacing w:line="244" w:lineRule="auto"/>
              <w:rPr>
                <w:rFonts w:ascii="Arial"/>
                <w:sz w:val="21"/>
              </w:rPr>
            </w:pPr>
          </w:p>
          <w:p w14:paraId="6FED0BBB">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88692E7">
            <w:pPr>
              <w:spacing w:line="283" w:lineRule="auto"/>
              <w:rPr>
                <w:rFonts w:ascii="Arial"/>
                <w:sz w:val="21"/>
              </w:rPr>
            </w:pPr>
          </w:p>
          <w:p w14:paraId="408EE16F">
            <w:pPr>
              <w:spacing w:line="284" w:lineRule="auto"/>
              <w:rPr>
                <w:rFonts w:ascii="Arial"/>
                <w:sz w:val="21"/>
              </w:rPr>
            </w:pPr>
          </w:p>
          <w:p w14:paraId="201D9D59">
            <w:pPr>
              <w:spacing w:line="284" w:lineRule="auto"/>
              <w:rPr>
                <w:rFonts w:ascii="Arial"/>
                <w:sz w:val="21"/>
              </w:rPr>
            </w:pPr>
          </w:p>
          <w:p w14:paraId="531C887D">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E60D086">
            <w:pPr>
              <w:spacing w:line="247" w:lineRule="auto"/>
              <w:rPr>
                <w:rFonts w:ascii="Arial"/>
                <w:sz w:val="21"/>
              </w:rPr>
            </w:pPr>
          </w:p>
          <w:p w14:paraId="4391A9BB">
            <w:pPr>
              <w:spacing w:line="247" w:lineRule="auto"/>
              <w:rPr>
                <w:rFonts w:ascii="Arial"/>
                <w:sz w:val="21"/>
              </w:rPr>
            </w:pPr>
          </w:p>
          <w:p w14:paraId="117EB795">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5E583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4" w:hRule="atLeast"/>
        </w:trPr>
        <w:tc>
          <w:tcPr>
            <w:tcW w:w="641" w:type="dxa"/>
            <w:vAlign w:val="top"/>
          </w:tcPr>
          <w:p w14:paraId="1F2C26AB">
            <w:pPr>
              <w:spacing w:line="245" w:lineRule="auto"/>
              <w:rPr>
                <w:rFonts w:ascii="Arial"/>
                <w:sz w:val="21"/>
              </w:rPr>
            </w:pPr>
          </w:p>
          <w:p w14:paraId="42815584">
            <w:pPr>
              <w:spacing w:line="245" w:lineRule="auto"/>
              <w:rPr>
                <w:rFonts w:ascii="Arial"/>
                <w:sz w:val="21"/>
              </w:rPr>
            </w:pPr>
          </w:p>
          <w:p w14:paraId="3673CC29">
            <w:pPr>
              <w:spacing w:line="245" w:lineRule="auto"/>
              <w:rPr>
                <w:rFonts w:ascii="Arial"/>
                <w:sz w:val="21"/>
              </w:rPr>
            </w:pPr>
          </w:p>
          <w:p w14:paraId="690385B7">
            <w:pPr>
              <w:spacing w:line="246" w:lineRule="auto"/>
              <w:rPr>
                <w:rFonts w:ascii="Arial"/>
                <w:sz w:val="21"/>
              </w:rPr>
            </w:pPr>
          </w:p>
          <w:p w14:paraId="48D2E5EE">
            <w:pPr>
              <w:spacing w:line="246" w:lineRule="auto"/>
              <w:rPr>
                <w:rFonts w:ascii="Arial"/>
                <w:sz w:val="21"/>
              </w:rPr>
            </w:pPr>
          </w:p>
          <w:p w14:paraId="3D721F35">
            <w:pPr>
              <w:spacing w:line="246" w:lineRule="auto"/>
              <w:rPr>
                <w:rFonts w:ascii="Arial"/>
                <w:sz w:val="21"/>
              </w:rPr>
            </w:pPr>
          </w:p>
          <w:p w14:paraId="1B7C111E">
            <w:pPr>
              <w:spacing w:line="246" w:lineRule="auto"/>
              <w:rPr>
                <w:rFonts w:ascii="Arial"/>
                <w:sz w:val="21"/>
              </w:rPr>
            </w:pPr>
          </w:p>
          <w:p w14:paraId="38F0E6A2">
            <w:pPr>
              <w:spacing w:line="246" w:lineRule="auto"/>
              <w:rPr>
                <w:rFonts w:ascii="Arial"/>
                <w:sz w:val="21"/>
              </w:rPr>
            </w:pPr>
          </w:p>
          <w:p w14:paraId="588AC0F0">
            <w:pPr>
              <w:spacing w:line="246" w:lineRule="auto"/>
              <w:rPr>
                <w:rFonts w:ascii="Arial"/>
                <w:sz w:val="21"/>
              </w:rPr>
            </w:pPr>
          </w:p>
          <w:p w14:paraId="4813965E">
            <w:pPr>
              <w:spacing w:line="246" w:lineRule="auto"/>
              <w:rPr>
                <w:rFonts w:ascii="Arial"/>
                <w:sz w:val="21"/>
              </w:rPr>
            </w:pPr>
          </w:p>
          <w:p w14:paraId="6ACD40C4">
            <w:pPr>
              <w:spacing w:line="246" w:lineRule="auto"/>
              <w:rPr>
                <w:rFonts w:ascii="Arial"/>
                <w:sz w:val="21"/>
              </w:rPr>
            </w:pPr>
          </w:p>
          <w:p w14:paraId="27CB168C">
            <w:pPr>
              <w:spacing w:line="246" w:lineRule="auto"/>
              <w:rPr>
                <w:rFonts w:ascii="Arial"/>
                <w:sz w:val="21"/>
              </w:rPr>
            </w:pPr>
          </w:p>
          <w:p w14:paraId="41A26D1B">
            <w:pPr>
              <w:spacing w:line="246" w:lineRule="auto"/>
              <w:rPr>
                <w:rFonts w:ascii="Arial"/>
                <w:sz w:val="21"/>
              </w:rPr>
            </w:pPr>
          </w:p>
          <w:p w14:paraId="2C899551">
            <w:pPr>
              <w:pStyle w:val="8"/>
              <w:spacing w:before="58" w:line="183" w:lineRule="auto"/>
              <w:ind w:left="236"/>
            </w:pPr>
            <w:r>
              <w:rPr>
                <w:spacing w:val="-4"/>
              </w:rPr>
              <w:t>26</w:t>
            </w:r>
          </w:p>
        </w:tc>
        <w:tc>
          <w:tcPr>
            <w:tcW w:w="1136" w:type="dxa"/>
            <w:vAlign w:val="top"/>
          </w:tcPr>
          <w:p w14:paraId="3F957672">
            <w:pPr>
              <w:spacing w:line="259" w:lineRule="auto"/>
              <w:rPr>
                <w:rFonts w:ascii="Arial"/>
                <w:sz w:val="21"/>
              </w:rPr>
            </w:pPr>
          </w:p>
          <w:p w14:paraId="0239D658">
            <w:pPr>
              <w:spacing w:line="259" w:lineRule="auto"/>
              <w:rPr>
                <w:rFonts w:ascii="Arial"/>
                <w:sz w:val="21"/>
              </w:rPr>
            </w:pPr>
          </w:p>
          <w:p w14:paraId="430CFC87">
            <w:pPr>
              <w:spacing w:line="259" w:lineRule="auto"/>
              <w:rPr>
                <w:rFonts w:ascii="Arial"/>
                <w:sz w:val="21"/>
              </w:rPr>
            </w:pPr>
          </w:p>
          <w:p w14:paraId="5D6F1D91">
            <w:pPr>
              <w:spacing w:line="259" w:lineRule="auto"/>
              <w:rPr>
                <w:rFonts w:ascii="Arial"/>
                <w:sz w:val="21"/>
              </w:rPr>
            </w:pPr>
          </w:p>
          <w:p w14:paraId="43FFF047">
            <w:pPr>
              <w:spacing w:line="259" w:lineRule="auto"/>
              <w:rPr>
                <w:rFonts w:ascii="Arial"/>
                <w:sz w:val="21"/>
              </w:rPr>
            </w:pPr>
          </w:p>
          <w:p w14:paraId="7BBD5B2A">
            <w:pPr>
              <w:spacing w:line="260" w:lineRule="auto"/>
              <w:rPr>
                <w:rFonts w:ascii="Arial"/>
                <w:sz w:val="21"/>
              </w:rPr>
            </w:pPr>
          </w:p>
          <w:p w14:paraId="18515DE0">
            <w:pPr>
              <w:spacing w:line="260" w:lineRule="auto"/>
              <w:rPr>
                <w:rFonts w:ascii="Arial"/>
                <w:sz w:val="21"/>
              </w:rPr>
            </w:pPr>
          </w:p>
          <w:p w14:paraId="605AD7EB">
            <w:pPr>
              <w:spacing w:line="260" w:lineRule="auto"/>
              <w:rPr>
                <w:rFonts w:ascii="Arial"/>
                <w:sz w:val="21"/>
              </w:rPr>
            </w:pPr>
          </w:p>
          <w:p w14:paraId="6D1C238E">
            <w:pPr>
              <w:spacing w:line="260" w:lineRule="auto"/>
              <w:rPr>
                <w:rFonts w:ascii="Arial"/>
                <w:sz w:val="21"/>
              </w:rPr>
            </w:pPr>
          </w:p>
          <w:p w14:paraId="686D7CAE">
            <w:pPr>
              <w:pStyle w:val="8"/>
              <w:spacing w:before="58" w:line="243" w:lineRule="auto"/>
              <w:ind w:left="109" w:right="94"/>
              <w:jc w:val="both"/>
            </w:pPr>
            <w:r>
              <w:rPr>
                <w:spacing w:val="3"/>
              </w:rPr>
              <w:t>对不遵守航</w:t>
            </w:r>
            <w:r>
              <w:rPr>
                <w:spacing w:val="1"/>
              </w:rPr>
              <w:t xml:space="preserve"> </w:t>
            </w:r>
            <w:r>
              <w:rPr>
                <w:spacing w:val="3"/>
              </w:rPr>
              <w:t>行、避让和 信号显示规</w:t>
            </w:r>
            <w:r>
              <w:t xml:space="preserve"> </w:t>
            </w:r>
            <w:r>
              <w:rPr>
                <w:spacing w:val="5"/>
              </w:rPr>
              <w:t>则在内河航</w:t>
            </w:r>
            <w:r>
              <w:t xml:space="preserve"> </w:t>
            </w:r>
            <w:r>
              <w:rPr>
                <w:spacing w:val="3"/>
              </w:rPr>
              <w:t>行、停泊或</w:t>
            </w:r>
            <w:r>
              <w:t xml:space="preserve"> </w:t>
            </w:r>
            <w:r>
              <w:rPr>
                <w:spacing w:val="3"/>
              </w:rPr>
              <w:t>者作业等行</w:t>
            </w:r>
            <w:r>
              <w:t xml:space="preserve"> </w:t>
            </w:r>
            <w:r>
              <w:rPr>
                <w:spacing w:val="3"/>
              </w:rPr>
              <w:t>为的行政处</w:t>
            </w:r>
            <w:r>
              <w:t xml:space="preserve"> 罚</w:t>
            </w:r>
          </w:p>
        </w:tc>
        <w:tc>
          <w:tcPr>
            <w:tcW w:w="1136" w:type="dxa"/>
            <w:vAlign w:val="top"/>
          </w:tcPr>
          <w:p w14:paraId="3431B16E">
            <w:pPr>
              <w:spacing w:line="243" w:lineRule="auto"/>
              <w:rPr>
                <w:rFonts w:ascii="Arial"/>
                <w:sz w:val="21"/>
              </w:rPr>
            </w:pPr>
          </w:p>
          <w:p w14:paraId="50B0027D">
            <w:pPr>
              <w:spacing w:line="243" w:lineRule="auto"/>
              <w:rPr>
                <w:rFonts w:ascii="Arial"/>
                <w:sz w:val="21"/>
              </w:rPr>
            </w:pPr>
          </w:p>
          <w:p w14:paraId="755996DF">
            <w:pPr>
              <w:spacing w:line="243" w:lineRule="auto"/>
              <w:rPr>
                <w:rFonts w:ascii="Arial"/>
                <w:sz w:val="21"/>
              </w:rPr>
            </w:pPr>
          </w:p>
          <w:p w14:paraId="5FF573F8">
            <w:pPr>
              <w:spacing w:line="243" w:lineRule="auto"/>
              <w:rPr>
                <w:rFonts w:ascii="Arial"/>
                <w:sz w:val="21"/>
              </w:rPr>
            </w:pPr>
          </w:p>
          <w:p w14:paraId="495BF2C9">
            <w:pPr>
              <w:spacing w:line="243" w:lineRule="auto"/>
              <w:rPr>
                <w:rFonts w:ascii="Arial"/>
                <w:sz w:val="21"/>
              </w:rPr>
            </w:pPr>
          </w:p>
          <w:p w14:paraId="6C9E733A">
            <w:pPr>
              <w:spacing w:line="244" w:lineRule="auto"/>
              <w:rPr>
                <w:rFonts w:ascii="Arial"/>
                <w:sz w:val="21"/>
              </w:rPr>
            </w:pPr>
          </w:p>
          <w:p w14:paraId="7A13DE87">
            <w:pPr>
              <w:spacing w:line="244" w:lineRule="auto"/>
              <w:rPr>
                <w:rFonts w:ascii="Arial"/>
                <w:sz w:val="21"/>
              </w:rPr>
            </w:pPr>
          </w:p>
          <w:p w14:paraId="409BB396">
            <w:pPr>
              <w:spacing w:line="244" w:lineRule="auto"/>
              <w:rPr>
                <w:rFonts w:ascii="Arial"/>
                <w:sz w:val="21"/>
              </w:rPr>
            </w:pPr>
          </w:p>
          <w:p w14:paraId="391FC1D4">
            <w:pPr>
              <w:spacing w:line="244" w:lineRule="auto"/>
              <w:rPr>
                <w:rFonts w:ascii="Arial"/>
                <w:sz w:val="21"/>
              </w:rPr>
            </w:pPr>
          </w:p>
          <w:p w14:paraId="41288365">
            <w:pPr>
              <w:spacing w:line="244" w:lineRule="auto"/>
              <w:rPr>
                <w:rFonts w:ascii="Arial"/>
                <w:sz w:val="21"/>
              </w:rPr>
            </w:pPr>
          </w:p>
          <w:p w14:paraId="4D33A76E">
            <w:pPr>
              <w:spacing w:line="244" w:lineRule="auto"/>
              <w:rPr>
                <w:rFonts w:ascii="Arial"/>
                <w:sz w:val="21"/>
              </w:rPr>
            </w:pPr>
          </w:p>
          <w:p w14:paraId="34565679">
            <w:pPr>
              <w:spacing w:line="244" w:lineRule="auto"/>
              <w:rPr>
                <w:rFonts w:ascii="Arial"/>
                <w:sz w:val="21"/>
              </w:rPr>
            </w:pPr>
          </w:p>
          <w:p w14:paraId="58F29F43">
            <w:pPr>
              <w:spacing w:line="244" w:lineRule="auto"/>
              <w:rPr>
                <w:rFonts w:ascii="Arial"/>
                <w:sz w:val="21"/>
              </w:rPr>
            </w:pPr>
          </w:p>
          <w:p w14:paraId="0DA74C9E">
            <w:pPr>
              <w:pStyle w:val="8"/>
              <w:spacing w:before="58" w:line="220" w:lineRule="auto"/>
              <w:ind w:left="114"/>
            </w:pPr>
            <w:r>
              <w:rPr>
                <w:spacing w:val="-7"/>
              </w:rPr>
              <w:t>行政处罚</w:t>
            </w:r>
          </w:p>
        </w:tc>
        <w:tc>
          <w:tcPr>
            <w:tcW w:w="8806" w:type="dxa"/>
            <w:vAlign w:val="top"/>
          </w:tcPr>
          <w:p w14:paraId="373DD04F">
            <w:pPr>
              <w:pStyle w:val="8"/>
              <w:spacing w:before="125" w:line="219" w:lineRule="auto"/>
              <w:ind w:left="476"/>
            </w:pPr>
            <w:r>
              <w:rPr>
                <w:b/>
                <w:bCs/>
                <w:spacing w:val="-5"/>
              </w:rPr>
              <w:t>1.《中华人民共和国内河交通安全管理条例》</w:t>
            </w:r>
          </w:p>
          <w:p w14:paraId="4BF92426">
            <w:pPr>
              <w:pStyle w:val="8"/>
              <w:spacing w:before="25" w:line="233" w:lineRule="auto"/>
              <w:ind w:left="119" w:right="100" w:firstLine="346"/>
            </w:pPr>
            <w:r>
              <w:rPr>
                <w:spacing w:val="-5"/>
              </w:rPr>
              <w:t>第十七条</w:t>
            </w:r>
            <w:r>
              <w:rPr>
                <w:spacing w:val="93"/>
              </w:rPr>
              <w:t xml:space="preserve"> </w:t>
            </w:r>
            <w:r>
              <w:rPr>
                <w:spacing w:val="-5"/>
              </w:rPr>
              <w:t>船舶在内河航行时，应当谨慎驾驶，保障安全；对来船动态不明、声号不统一或者遇有紧迫情况</w:t>
            </w:r>
            <w:r>
              <w:t xml:space="preserve"> </w:t>
            </w:r>
            <w:r>
              <w:rPr>
                <w:spacing w:val="-5"/>
              </w:rPr>
              <w:t>时，应当减速、停车或者倒车，防止碰撞。</w:t>
            </w:r>
          </w:p>
          <w:p w14:paraId="3663452A">
            <w:pPr>
              <w:pStyle w:val="8"/>
              <w:spacing w:before="24" w:line="233" w:lineRule="auto"/>
              <w:ind w:left="110" w:right="100" w:firstLine="352"/>
            </w:pPr>
            <w:r>
              <w:rPr>
                <w:spacing w:val="-5"/>
              </w:rPr>
              <w:t>船舶相遇，各方应当注意避让。按照船舶航行规则应当让路的船舶，必须主动避让被让路船舶；被让路船舶</w:t>
            </w:r>
            <w:r>
              <w:rPr>
                <w:spacing w:val="10"/>
              </w:rPr>
              <w:t xml:space="preserve"> </w:t>
            </w:r>
            <w:r>
              <w:rPr>
                <w:spacing w:val="-4"/>
              </w:rPr>
              <w:t>应当注意让路船舶的行动，并适时采取措施，协助避让。</w:t>
            </w:r>
          </w:p>
          <w:p w14:paraId="06346112">
            <w:pPr>
              <w:pStyle w:val="8"/>
              <w:spacing w:before="26" w:line="233" w:lineRule="auto"/>
              <w:ind w:left="111" w:right="100" w:firstLine="352"/>
            </w:pPr>
            <w:r>
              <w:rPr>
                <w:spacing w:val="-5"/>
              </w:rPr>
              <w:t>船舶避让时，各方避让意图经统一后，任何一方不得擅自改变避让行动。船舶航行、避让和信号显示的具体</w:t>
            </w:r>
            <w:r>
              <w:rPr>
                <w:spacing w:val="10"/>
              </w:rPr>
              <w:t xml:space="preserve"> </w:t>
            </w:r>
            <w:r>
              <w:rPr>
                <w:spacing w:val="-4"/>
              </w:rPr>
              <w:t>规则，由国务院交通主管部门制定。</w:t>
            </w:r>
          </w:p>
          <w:p w14:paraId="52D50A75">
            <w:pPr>
              <w:pStyle w:val="8"/>
              <w:spacing w:before="27" w:line="239" w:lineRule="auto"/>
              <w:ind w:left="109" w:right="91" w:firstLine="336"/>
              <w:jc w:val="both"/>
            </w:pPr>
            <w:r>
              <w:rPr>
                <w:spacing w:val="-11"/>
              </w:rPr>
              <w:t>第八十一条</w:t>
            </w:r>
            <w:r>
              <w:rPr>
                <w:spacing w:val="66"/>
              </w:rPr>
              <w:t xml:space="preserve"> </w:t>
            </w:r>
            <w:r>
              <w:rPr>
                <w:spacing w:val="-11"/>
              </w:rPr>
              <w:t>违反本条例的规定，船舶在内河航行、停泊或者作业，不遵守航行、避让和信号显示</w:t>
            </w:r>
            <w:r>
              <w:rPr>
                <w:spacing w:val="-12"/>
              </w:rPr>
              <w:t>规则的，由海</w:t>
            </w:r>
            <w:r>
              <w:t xml:space="preserve"> </w:t>
            </w:r>
            <w:r>
              <w:rPr>
                <w:spacing w:val="-3"/>
              </w:rPr>
              <w:t>事管理机构责令改正，处1000元以上1万元以下的罚款；情节严重的，对责任船员给予暂扣适任证书或者其他适</w:t>
            </w:r>
            <w:r>
              <w:rPr>
                <w:spacing w:val="12"/>
              </w:rPr>
              <w:t xml:space="preserve"> </w:t>
            </w:r>
            <w:r>
              <w:rPr>
                <w:spacing w:val="-4"/>
              </w:rPr>
              <w:t>任证件3个月至6个月直至吊销适任证书或</w:t>
            </w:r>
            <w:r>
              <w:rPr>
                <w:spacing w:val="-5"/>
              </w:rPr>
              <w:t>者其他适任证件的处罚；造成重大内河交通事故的，依照刑法关于交通</w:t>
            </w:r>
            <w:r>
              <w:t xml:space="preserve"> </w:t>
            </w:r>
            <w:r>
              <w:rPr>
                <w:spacing w:val="-4"/>
              </w:rPr>
              <w:t>肇事罪或者其他罪的规定，依法追究刑事责任。</w:t>
            </w:r>
          </w:p>
          <w:p w14:paraId="01E355A4">
            <w:pPr>
              <w:pStyle w:val="8"/>
              <w:spacing w:before="27" w:line="219" w:lineRule="auto"/>
              <w:ind w:left="465"/>
            </w:pPr>
            <w:r>
              <w:rPr>
                <w:b/>
                <w:bCs/>
                <w:spacing w:val="-5"/>
              </w:rPr>
              <w:t>2.《中华人民共和国内河海事行政处罚规定》（交通运输部令2022年第28号）</w:t>
            </w:r>
          </w:p>
          <w:p w14:paraId="320828BA">
            <w:pPr>
              <w:pStyle w:val="8"/>
              <w:spacing w:before="25"/>
              <w:ind w:left="109" w:right="56" w:firstLine="341"/>
              <w:jc w:val="both"/>
            </w:pPr>
            <w:r>
              <w:rPr>
                <w:spacing w:val="-11"/>
              </w:rPr>
              <w:t>第十七条</w:t>
            </w:r>
            <w:r>
              <w:rPr>
                <w:spacing w:val="69"/>
              </w:rPr>
              <w:t xml:space="preserve"> </w:t>
            </w:r>
            <w:r>
              <w:rPr>
                <w:spacing w:val="-11"/>
              </w:rPr>
              <w:t>违反《内河交通安全管理条例》的有关规定，船舶在内河航行、</w:t>
            </w:r>
            <w:r>
              <w:rPr>
                <w:spacing w:val="-12"/>
              </w:rPr>
              <w:t>停泊或者作业，不遵守航行、避让和</w:t>
            </w:r>
            <w:r>
              <w:t xml:space="preserve"> </w:t>
            </w:r>
            <w:r>
              <w:rPr>
                <w:spacing w:val="-8"/>
              </w:rPr>
              <w:t>信号显示规则，依照《内河交通安全管理条例</w:t>
            </w:r>
            <w:r>
              <w:rPr>
                <w:spacing w:val="-9"/>
              </w:rPr>
              <w:t>》第八十一条的规定，处以1000元以上1万元以下罚款；情节严重的，</w:t>
            </w:r>
            <w:r>
              <w:t xml:space="preserve"> </w:t>
            </w:r>
            <w:r>
              <w:rPr>
                <w:spacing w:val="-1"/>
              </w:rPr>
              <w:t>还应当对责任船员给予扣留船员适任证书或者其他适任证件3个月至6个月直至吊销船员适任证书或者</w:t>
            </w:r>
            <w:r>
              <w:rPr>
                <w:spacing w:val="-2"/>
              </w:rPr>
              <w:t>其他适任</w:t>
            </w:r>
            <w:r>
              <w:t xml:space="preserve"> </w:t>
            </w:r>
            <w:r>
              <w:rPr>
                <w:spacing w:val="-7"/>
              </w:rPr>
              <w:t>证件的处罚。</w:t>
            </w:r>
          </w:p>
          <w:p w14:paraId="6A9D9DF2">
            <w:pPr>
              <w:pStyle w:val="8"/>
              <w:spacing w:before="23" w:line="244" w:lineRule="auto"/>
              <w:ind w:left="109" w:right="31" w:firstLine="354"/>
            </w:pPr>
            <w:r>
              <w:rPr>
                <w:spacing w:val="-3"/>
              </w:rPr>
              <w:t>本条前款所称不遵守航行、避让和信号显示规则，包括以下情形</w:t>
            </w:r>
            <w:r>
              <w:rPr>
                <w:spacing w:val="-22"/>
              </w:rPr>
              <w:t>：（</w:t>
            </w:r>
            <w:r>
              <w:rPr>
                <w:spacing w:val="-3"/>
              </w:rPr>
              <w:t>一）未采</w:t>
            </w:r>
            <w:r>
              <w:rPr>
                <w:spacing w:val="-4"/>
              </w:rPr>
              <w:t>用安全航速航行</w:t>
            </w:r>
            <w:r>
              <w:rPr>
                <w:spacing w:val="-22"/>
              </w:rPr>
              <w:t>；（</w:t>
            </w:r>
            <w:r>
              <w:rPr>
                <w:spacing w:val="-4"/>
              </w:rPr>
              <w:t>二）未按</w:t>
            </w:r>
            <w:r>
              <w:rPr>
                <w:spacing w:val="3"/>
              </w:rPr>
              <w:t xml:space="preserve"> </w:t>
            </w:r>
            <w:r>
              <w:rPr>
                <w:spacing w:val="-4"/>
              </w:rPr>
              <w:t>照要求保持正规了望</w:t>
            </w:r>
            <w:r>
              <w:rPr>
                <w:spacing w:val="-28"/>
              </w:rPr>
              <w:t>；（</w:t>
            </w:r>
            <w:r>
              <w:rPr>
                <w:spacing w:val="-4"/>
              </w:rPr>
              <w:t>三）未按照规定的航路或者航行规则航行</w:t>
            </w:r>
            <w:r>
              <w:rPr>
                <w:spacing w:val="-28"/>
              </w:rPr>
              <w:t>；（</w:t>
            </w:r>
            <w:r>
              <w:rPr>
                <w:spacing w:val="-4"/>
              </w:rPr>
              <w:t>四）未按照规定倒车、调头、追越</w:t>
            </w:r>
            <w:r>
              <w:rPr>
                <w:spacing w:val="-28"/>
              </w:rPr>
              <w:t>；（</w:t>
            </w:r>
            <w:r>
              <w:rPr>
                <w:spacing w:val="-4"/>
              </w:rPr>
              <w:t>五）</w:t>
            </w:r>
            <w:r>
              <w:rPr>
                <w:spacing w:val="3"/>
              </w:rPr>
              <w:t xml:space="preserve"> </w:t>
            </w:r>
            <w:r>
              <w:rPr>
                <w:spacing w:val="-3"/>
              </w:rPr>
              <w:t>未按照规定显示号灯、号型或者鸣放声号</w:t>
            </w:r>
            <w:r>
              <w:rPr>
                <w:spacing w:val="-21"/>
              </w:rPr>
              <w:t>；（</w:t>
            </w:r>
            <w:r>
              <w:rPr>
                <w:spacing w:val="-3"/>
              </w:rPr>
              <w:t>六）未按照规定擅自夜航</w:t>
            </w:r>
            <w:r>
              <w:rPr>
                <w:spacing w:val="-21"/>
              </w:rPr>
              <w:t>；（</w:t>
            </w:r>
            <w:r>
              <w:rPr>
                <w:spacing w:val="-3"/>
              </w:rPr>
              <w:t>七）在规</w:t>
            </w:r>
            <w:r>
              <w:rPr>
                <w:spacing w:val="-4"/>
              </w:rPr>
              <w:t>定必须报告船位的地点，未</w:t>
            </w:r>
            <w:r>
              <w:rPr>
                <w:spacing w:val="1"/>
              </w:rPr>
              <w:t xml:space="preserve"> </w:t>
            </w:r>
            <w:r>
              <w:rPr>
                <w:spacing w:val="-3"/>
              </w:rPr>
              <w:t>报告船位</w:t>
            </w:r>
            <w:r>
              <w:rPr>
                <w:spacing w:val="-22"/>
              </w:rPr>
              <w:t>；（</w:t>
            </w:r>
            <w:r>
              <w:rPr>
                <w:spacing w:val="-3"/>
              </w:rPr>
              <w:t>八）在禁止横穿航道的航段，穿越航道</w:t>
            </w:r>
            <w:r>
              <w:rPr>
                <w:spacing w:val="-22"/>
              </w:rPr>
              <w:t>；（</w:t>
            </w:r>
            <w:r>
              <w:rPr>
                <w:spacing w:val="-3"/>
              </w:rPr>
              <w:t>九）在限制航速的区域和汛期高</w:t>
            </w:r>
            <w:r>
              <w:rPr>
                <w:spacing w:val="-4"/>
              </w:rPr>
              <w:t>水位期间未按照海事管</w:t>
            </w:r>
            <w:r>
              <w:rPr>
                <w:spacing w:val="3"/>
              </w:rPr>
              <w:t xml:space="preserve"> </w:t>
            </w:r>
            <w:r>
              <w:rPr>
                <w:spacing w:val="-3"/>
              </w:rPr>
              <w:t>理机构规定的航速航行</w:t>
            </w:r>
            <w:r>
              <w:rPr>
                <w:spacing w:val="-23"/>
              </w:rPr>
              <w:t>；（</w:t>
            </w:r>
            <w:r>
              <w:rPr>
                <w:spacing w:val="-3"/>
              </w:rPr>
              <w:t>十）不遵守海事管理机构发布的在能见度不良时的航行规定</w:t>
            </w:r>
            <w:r>
              <w:rPr>
                <w:spacing w:val="-23"/>
              </w:rPr>
              <w:t>；（</w:t>
            </w:r>
            <w:r>
              <w:rPr>
                <w:spacing w:val="-3"/>
              </w:rPr>
              <w:t>十一）不</w:t>
            </w:r>
            <w:r>
              <w:rPr>
                <w:spacing w:val="-4"/>
              </w:rPr>
              <w:t>遵守海事管</w:t>
            </w:r>
            <w:r>
              <w:rPr>
                <w:spacing w:val="2"/>
              </w:rPr>
              <w:t xml:space="preserve"> </w:t>
            </w:r>
            <w:r>
              <w:rPr>
                <w:spacing w:val="-3"/>
              </w:rPr>
              <w:t>理机构发布的有关航行、避让和信号规则规定</w:t>
            </w:r>
            <w:r>
              <w:rPr>
                <w:spacing w:val="-17"/>
              </w:rPr>
              <w:t>；（</w:t>
            </w:r>
            <w:r>
              <w:rPr>
                <w:spacing w:val="-3"/>
              </w:rPr>
              <w:t>十二）不遵守海</w:t>
            </w:r>
            <w:r>
              <w:rPr>
                <w:spacing w:val="-4"/>
              </w:rPr>
              <w:t>事管理机构发布的航行通告、航行警告规定；</w:t>
            </w:r>
            <w:r>
              <w:t xml:space="preserve"> </w:t>
            </w:r>
            <w:r>
              <w:rPr>
                <w:spacing w:val="-3"/>
              </w:rPr>
              <w:t>（十三）船舶装卸、载运危险货物或者空舱内有</w:t>
            </w:r>
            <w:r>
              <w:rPr>
                <w:spacing w:val="-4"/>
              </w:rPr>
              <w:t>可燃气体时，未按照规定悬挂或者显示信号</w:t>
            </w:r>
            <w:r>
              <w:rPr>
                <w:spacing w:val="-32"/>
              </w:rPr>
              <w:t>；（</w:t>
            </w:r>
            <w:r>
              <w:rPr>
                <w:spacing w:val="-4"/>
              </w:rPr>
              <w:t>十四）不按照规</w:t>
            </w:r>
            <w:r>
              <w:rPr>
                <w:spacing w:val="1"/>
              </w:rPr>
              <w:t xml:space="preserve"> </w:t>
            </w:r>
            <w:r>
              <w:rPr>
                <w:spacing w:val="-5"/>
              </w:rPr>
              <w:t>定保持船舶自动识别系统处于正常工作状态，或者不按照规定在船舶自动识别设备中输入准确信息，或者船舶自</w:t>
            </w:r>
            <w:r>
              <w:rPr>
                <w:spacing w:val="15"/>
              </w:rPr>
              <w:t xml:space="preserve"> </w:t>
            </w:r>
            <w:r>
              <w:rPr>
                <w:spacing w:val="-3"/>
              </w:rPr>
              <w:t>动识别系统发生故障未及时向海事机构报告</w:t>
            </w:r>
            <w:r>
              <w:rPr>
                <w:spacing w:val="-22"/>
              </w:rPr>
              <w:t>；（</w:t>
            </w:r>
            <w:r>
              <w:rPr>
                <w:spacing w:val="-3"/>
              </w:rPr>
              <w:t>十五）未在规定的甚高频通信频道上</w:t>
            </w:r>
            <w:r>
              <w:rPr>
                <w:spacing w:val="-4"/>
              </w:rPr>
              <w:t>守听</w:t>
            </w:r>
            <w:r>
              <w:rPr>
                <w:spacing w:val="-22"/>
              </w:rPr>
              <w:t>；（</w:t>
            </w:r>
            <w:r>
              <w:rPr>
                <w:spacing w:val="-4"/>
              </w:rPr>
              <w:t>十六）未按照规定</w:t>
            </w:r>
            <w:r>
              <w:t xml:space="preserve">  </w:t>
            </w:r>
            <w:r>
              <w:rPr>
                <w:spacing w:val="-2"/>
              </w:rPr>
              <w:t>进行无线电遇险设备测试</w:t>
            </w:r>
            <w:r>
              <w:rPr>
                <w:spacing w:val="-17"/>
              </w:rPr>
              <w:t>；（</w:t>
            </w:r>
            <w:r>
              <w:rPr>
                <w:spacing w:val="-2"/>
              </w:rPr>
              <w:t>十七）船舶停泊未按照规</w:t>
            </w:r>
            <w:r>
              <w:rPr>
                <w:spacing w:val="-3"/>
              </w:rPr>
              <w:t>定留足值班人员</w:t>
            </w:r>
            <w:r>
              <w:rPr>
                <w:spacing w:val="-17"/>
              </w:rPr>
              <w:t>；（</w:t>
            </w:r>
            <w:r>
              <w:rPr>
                <w:spacing w:val="-3"/>
              </w:rPr>
              <w:t>十八）未按照规定采取保障人员上、</w:t>
            </w:r>
            <w:r>
              <w:rPr>
                <w:spacing w:val="2"/>
              </w:rPr>
              <w:t xml:space="preserve"> </w:t>
            </w:r>
            <w:r>
              <w:rPr>
                <w:spacing w:val="-3"/>
              </w:rPr>
              <w:t>下船舶、设施安全的措施</w:t>
            </w:r>
            <w:r>
              <w:rPr>
                <w:spacing w:val="-17"/>
              </w:rPr>
              <w:t>；（</w:t>
            </w:r>
            <w:r>
              <w:rPr>
                <w:spacing w:val="-3"/>
              </w:rPr>
              <w:t>十九）不遵守航行、避让和信号显示</w:t>
            </w:r>
            <w:r>
              <w:rPr>
                <w:spacing w:val="-4"/>
              </w:rPr>
              <w:t>规则的其他情形。</w:t>
            </w:r>
          </w:p>
        </w:tc>
        <w:tc>
          <w:tcPr>
            <w:tcW w:w="1043" w:type="dxa"/>
            <w:vAlign w:val="top"/>
          </w:tcPr>
          <w:p w14:paraId="2DD37B6F">
            <w:pPr>
              <w:spacing w:line="253" w:lineRule="auto"/>
              <w:rPr>
                <w:rFonts w:ascii="Arial"/>
                <w:sz w:val="21"/>
              </w:rPr>
            </w:pPr>
          </w:p>
          <w:p w14:paraId="788338C6">
            <w:pPr>
              <w:spacing w:line="254" w:lineRule="auto"/>
              <w:rPr>
                <w:rFonts w:ascii="Arial"/>
                <w:sz w:val="21"/>
              </w:rPr>
            </w:pPr>
          </w:p>
          <w:p w14:paraId="2CCA7FD9">
            <w:pPr>
              <w:spacing w:line="254" w:lineRule="auto"/>
              <w:rPr>
                <w:rFonts w:ascii="Arial"/>
                <w:sz w:val="21"/>
              </w:rPr>
            </w:pPr>
          </w:p>
          <w:p w14:paraId="0778666A">
            <w:pPr>
              <w:spacing w:line="254" w:lineRule="auto"/>
              <w:rPr>
                <w:rFonts w:ascii="Arial"/>
                <w:sz w:val="21"/>
              </w:rPr>
            </w:pPr>
          </w:p>
          <w:p w14:paraId="20538835">
            <w:pPr>
              <w:spacing w:line="254" w:lineRule="auto"/>
              <w:rPr>
                <w:rFonts w:ascii="Arial"/>
                <w:sz w:val="21"/>
              </w:rPr>
            </w:pPr>
          </w:p>
          <w:p w14:paraId="02EE789B">
            <w:pPr>
              <w:spacing w:line="254" w:lineRule="auto"/>
              <w:rPr>
                <w:rFonts w:ascii="Arial"/>
                <w:sz w:val="21"/>
              </w:rPr>
            </w:pPr>
          </w:p>
          <w:p w14:paraId="29ED2536">
            <w:pPr>
              <w:spacing w:line="254" w:lineRule="auto"/>
              <w:rPr>
                <w:rFonts w:ascii="Arial"/>
                <w:sz w:val="21"/>
              </w:rPr>
            </w:pPr>
          </w:p>
          <w:p w14:paraId="5C499475">
            <w:pPr>
              <w:spacing w:line="254" w:lineRule="auto"/>
              <w:rPr>
                <w:rFonts w:ascii="Arial"/>
                <w:sz w:val="21"/>
              </w:rPr>
            </w:pPr>
          </w:p>
          <w:p w14:paraId="5AE3F843">
            <w:pPr>
              <w:spacing w:line="254" w:lineRule="auto"/>
              <w:rPr>
                <w:rFonts w:ascii="Arial"/>
                <w:sz w:val="21"/>
              </w:rPr>
            </w:pPr>
          </w:p>
          <w:p w14:paraId="36D50FA3">
            <w:pPr>
              <w:spacing w:line="254" w:lineRule="auto"/>
              <w:rPr>
                <w:rFonts w:ascii="Arial"/>
                <w:sz w:val="21"/>
              </w:rPr>
            </w:pPr>
          </w:p>
          <w:p w14:paraId="089BE14C">
            <w:pPr>
              <w:spacing w:line="254" w:lineRule="auto"/>
              <w:rPr>
                <w:rFonts w:ascii="Arial"/>
                <w:sz w:val="21"/>
              </w:rPr>
            </w:pPr>
          </w:p>
          <w:p w14:paraId="5561BD17">
            <w:pPr>
              <w:spacing w:line="254" w:lineRule="auto"/>
              <w:rPr>
                <w:rFonts w:ascii="Arial"/>
                <w:sz w:val="21"/>
              </w:rPr>
            </w:pPr>
          </w:p>
          <w:p w14:paraId="2112BFF1">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318F90D2">
            <w:pPr>
              <w:spacing w:line="243" w:lineRule="auto"/>
              <w:rPr>
                <w:rFonts w:ascii="Arial"/>
                <w:sz w:val="21"/>
              </w:rPr>
            </w:pPr>
          </w:p>
          <w:p w14:paraId="4D280A9A">
            <w:pPr>
              <w:spacing w:line="243" w:lineRule="auto"/>
              <w:rPr>
                <w:rFonts w:ascii="Arial"/>
                <w:sz w:val="21"/>
              </w:rPr>
            </w:pPr>
          </w:p>
          <w:p w14:paraId="778F4F72">
            <w:pPr>
              <w:spacing w:line="243" w:lineRule="auto"/>
              <w:rPr>
                <w:rFonts w:ascii="Arial"/>
                <w:sz w:val="21"/>
              </w:rPr>
            </w:pPr>
          </w:p>
          <w:p w14:paraId="718C83E0">
            <w:pPr>
              <w:spacing w:line="243" w:lineRule="auto"/>
              <w:rPr>
                <w:rFonts w:ascii="Arial"/>
                <w:sz w:val="21"/>
              </w:rPr>
            </w:pPr>
          </w:p>
          <w:p w14:paraId="50793969">
            <w:pPr>
              <w:spacing w:line="243" w:lineRule="auto"/>
              <w:rPr>
                <w:rFonts w:ascii="Arial"/>
                <w:sz w:val="21"/>
              </w:rPr>
            </w:pPr>
          </w:p>
          <w:p w14:paraId="6FC89EF4">
            <w:pPr>
              <w:spacing w:line="244" w:lineRule="auto"/>
              <w:rPr>
                <w:rFonts w:ascii="Arial"/>
                <w:sz w:val="21"/>
              </w:rPr>
            </w:pPr>
          </w:p>
          <w:p w14:paraId="4E3B3DCC">
            <w:pPr>
              <w:spacing w:line="244" w:lineRule="auto"/>
              <w:rPr>
                <w:rFonts w:ascii="Arial"/>
                <w:sz w:val="21"/>
              </w:rPr>
            </w:pPr>
          </w:p>
          <w:p w14:paraId="540416C8">
            <w:pPr>
              <w:spacing w:line="244" w:lineRule="auto"/>
              <w:rPr>
                <w:rFonts w:ascii="Arial"/>
                <w:sz w:val="21"/>
              </w:rPr>
            </w:pPr>
          </w:p>
          <w:p w14:paraId="710C9325">
            <w:pPr>
              <w:spacing w:line="244" w:lineRule="auto"/>
              <w:rPr>
                <w:rFonts w:ascii="Arial"/>
                <w:sz w:val="21"/>
              </w:rPr>
            </w:pPr>
          </w:p>
          <w:p w14:paraId="565F1895">
            <w:pPr>
              <w:spacing w:line="244" w:lineRule="auto"/>
              <w:rPr>
                <w:rFonts w:ascii="Arial"/>
                <w:sz w:val="21"/>
              </w:rPr>
            </w:pPr>
          </w:p>
          <w:p w14:paraId="44AA5A0B">
            <w:pPr>
              <w:spacing w:line="244" w:lineRule="auto"/>
              <w:rPr>
                <w:rFonts w:ascii="Arial"/>
                <w:sz w:val="21"/>
              </w:rPr>
            </w:pPr>
          </w:p>
          <w:p w14:paraId="5D11A63D">
            <w:pPr>
              <w:spacing w:line="244" w:lineRule="auto"/>
              <w:rPr>
                <w:rFonts w:ascii="Arial"/>
                <w:sz w:val="21"/>
              </w:rPr>
            </w:pPr>
          </w:p>
          <w:p w14:paraId="0518304C">
            <w:pPr>
              <w:spacing w:line="244" w:lineRule="auto"/>
              <w:rPr>
                <w:rFonts w:ascii="Arial"/>
                <w:sz w:val="21"/>
              </w:rPr>
            </w:pPr>
          </w:p>
          <w:p w14:paraId="00523FE9">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ECE208C">
            <w:pPr>
              <w:spacing w:line="255" w:lineRule="auto"/>
              <w:rPr>
                <w:rFonts w:ascii="Arial"/>
                <w:sz w:val="21"/>
              </w:rPr>
            </w:pPr>
          </w:p>
          <w:p w14:paraId="3F2E1D47">
            <w:pPr>
              <w:spacing w:line="255" w:lineRule="auto"/>
              <w:rPr>
                <w:rFonts w:ascii="Arial"/>
                <w:sz w:val="21"/>
              </w:rPr>
            </w:pPr>
          </w:p>
          <w:p w14:paraId="61C5D6F9">
            <w:pPr>
              <w:spacing w:line="255" w:lineRule="auto"/>
              <w:rPr>
                <w:rFonts w:ascii="Arial"/>
                <w:sz w:val="21"/>
              </w:rPr>
            </w:pPr>
          </w:p>
          <w:p w14:paraId="080869AD">
            <w:pPr>
              <w:spacing w:line="255" w:lineRule="auto"/>
              <w:rPr>
                <w:rFonts w:ascii="Arial"/>
                <w:sz w:val="21"/>
              </w:rPr>
            </w:pPr>
          </w:p>
          <w:p w14:paraId="7AEF5432">
            <w:pPr>
              <w:spacing w:line="255" w:lineRule="auto"/>
              <w:rPr>
                <w:rFonts w:ascii="Arial"/>
                <w:sz w:val="21"/>
              </w:rPr>
            </w:pPr>
          </w:p>
          <w:p w14:paraId="0D2BA544">
            <w:pPr>
              <w:spacing w:line="255" w:lineRule="auto"/>
              <w:rPr>
                <w:rFonts w:ascii="Arial"/>
                <w:sz w:val="21"/>
              </w:rPr>
            </w:pPr>
          </w:p>
          <w:p w14:paraId="4585F63B">
            <w:pPr>
              <w:spacing w:line="256" w:lineRule="auto"/>
              <w:rPr>
                <w:rFonts w:ascii="Arial"/>
                <w:sz w:val="21"/>
              </w:rPr>
            </w:pPr>
          </w:p>
          <w:p w14:paraId="6535BEF1">
            <w:pPr>
              <w:spacing w:line="256" w:lineRule="auto"/>
              <w:rPr>
                <w:rFonts w:ascii="Arial"/>
                <w:sz w:val="21"/>
              </w:rPr>
            </w:pPr>
          </w:p>
          <w:p w14:paraId="1F300BA2">
            <w:pPr>
              <w:spacing w:line="256" w:lineRule="auto"/>
              <w:rPr>
                <w:rFonts w:ascii="Arial"/>
                <w:sz w:val="21"/>
              </w:rPr>
            </w:pPr>
          </w:p>
          <w:p w14:paraId="0687A2E3">
            <w:pPr>
              <w:spacing w:line="256" w:lineRule="auto"/>
              <w:rPr>
                <w:rFonts w:ascii="Arial"/>
                <w:sz w:val="21"/>
              </w:rPr>
            </w:pPr>
          </w:p>
          <w:p w14:paraId="5C8A7FAA">
            <w:pPr>
              <w:spacing w:line="256" w:lineRule="auto"/>
              <w:rPr>
                <w:rFonts w:ascii="Arial"/>
                <w:sz w:val="21"/>
              </w:rPr>
            </w:pPr>
          </w:p>
          <w:p w14:paraId="06C13D02">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688F90B1">
      <w:pPr>
        <w:pStyle w:val="2"/>
      </w:pPr>
    </w:p>
    <w:p w14:paraId="571F4667">
      <w:pPr>
        <w:sectPr>
          <w:footerReference r:id="rId179" w:type="default"/>
          <w:pgSz w:w="16839" w:h="11906"/>
          <w:pgMar w:top="1012" w:right="788" w:bottom="967" w:left="787" w:header="0" w:footer="768" w:gutter="0"/>
          <w:cols w:space="720" w:num="1"/>
        </w:sectPr>
      </w:pPr>
    </w:p>
    <w:p w14:paraId="29FD3699">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08A16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C76741F">
            <w:pPr>
              <w:pStyle w:val="8"/>
              <w:spacing w:before="267" w:line="221" w:lineRule="auto"/>
              <w:ind w:left="142"/>
            </w:pPr>
            <w:r>
              <w:rPr>
                <w:b/>
                <w:bCs/>
                <w:spacing w:val="-4"/>
              </w:rPr>
              <w:t>序号</w:t>
            </w:r>
          </w:p>
        </w:tc>
        <w:tc>
          <w:tcPr>
            <w:tcW w:w="1136" w:type="dxa"/>
            <w:vMerge w:val="restart"/>
            <w:tcBorders>
              <w:bottom w:val="nil"/>
            </w:tcBorders>
            <w:vAlign w:val="top"/>
          </w:tcPr>
          <w:p w14:paraId="79CE59F3">
            <w:pPr>
              <w:pStyle w:val="8"/>
              <w:spacing w:before="267" w:line="220" w:lineRule="auto"/>
              <w:ind w:left="208"/>
            </w:pPr>
            <w:r>
              <w:rPr>
                <w:b/>
                <w:bCs/>
                <w:spacing w:val="-4"/>
              </w:rPr>
              <w:t>事项名称</w:t>
            </w:r>
          </w:p>
        </w:tc>
        <w:tc>
          <w:tcPr>
            <w:tcW w:w="1136" w:type="dxa"/>
            <w:vMerge w:val="restart"/>
            <w:tcBorders>
              <w:bottom w:val="nil"/>
            </w:tcBorders>
            <w:vAlign w:val="top"/>
          </w:tcPr>
          <w:p w14:paraId="54E40355">
            <w:pPr>
              <w:pStyle w:val="8"/>
              <w:spacing w:before="267" w:line="219" w:lineRule="auto"/>
              <w:ind w:left="210"/>
            </w:pPr>
            <w:r>
              <w:rPr>
                <w:b/>
                <w:bCs/>
                <w:spacing w:val="-4"/>
              </w:rPr>
              <w:t>职权类型</w:t>
            </w:r>
          </w:p>
        </w:tc>
        <w:tc>
          <w:tcPr>
            <w:tcW w:w="8806" w:type="dxa"/>
            <w:vMerge w:val="restart"/>
            <w:tcBorders>
              <w:bottom w:val="nil"/>
            </w:tcBorders>
            <w:vAlign w:val="top"/>
          </w:tcPr>
          <w:p w14:paraId="6A39003E">
            <w:pPr>
              <w:pStyle w:val="8"/>
              <w:spacing w:before="267" w:line="219" w:lineRule="auto"/>
              <w:ind w:left="4050"/>
            </w:pPr>
            <w:r>
              <w:rPr>
                <w:b/>
                <w:bCs/>
                <w:spacing w:val="-5"/>
              </w:rPr>
              <w:t>实施依据</w:t>
            </w:r>
          </w:p>
        </w:tc>
        <w:tc>
          <w:tcPr>
            <w:tcW w:w="3538" w:type="dxa"/>
            <w:gridSpan w:val="3"/>
            <w:vAlign w:val="top"/>
          </w:tcPr>
          <w:p w14:paraId="05374841">
            <w:pPr>
              <w:pStyle w:val="8"/>
              <w:spacing w:before="92" w:line="220" w:lineRule="auto"/>
              <w:ind w:left="1415"/>
            </w:pPr>
            <w:r>
              <w:rPr>
                <w:b/>
                <w:bCs/>
                <w:spacing w:val="-5"/>
              </w:rPr>
              <w:t>实施主体</w:t>
            </w:r>
          </w:p>
        </w:tc>
      </w:tr>
      <w:tr w14:paraId="2F16F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73B9DC8B">
            <w:pPr>
              <w:rPr>
                <w:rFonts w:ascii="Arial"/>
                <w:sz w:val="21"/>
              </w:rPr>
            </w:pPr>
          </w:p>
        </w:tc>
        <w:tc>
          <w:tcPr>
            <w:tcW w:w="1136" w:type="dxa"/>
            <w:vMerge w:val="continue"/>
            <w:tcBorders>
              <w:top w:val="nil"/>
            </w:tcBorders>
            <w:vAlign w:val="top"/>
          </w:tcPr>
          <w:p w14:paraId="13D15B8C">
            <w:pPr>
              <w:rPr>
                <w:rFonts w:ascii="Arial"/>
                <w:sz w:val="21"/>
              </w:rPr>
            </w:pPr>
          </w:p>
        </w:tc>
        <w:tc>
          <w:tcPr>
            <w:tcW w:w="1136" w:type="dxa"/>
            <w:vMerge w:val="continue"/>
            <w:tcBorders>
              <w:top w:val="nil"/>
            </w:tcBorders>
            <w:vAlign w:val="top"/>
          </w:tcPr>
          <w:p w14:paraId="5FC68407">
            <w:pPr>
              <w:rPr>
                <w:rFonts w:ascii="Arial"/>
                <w:sz w:val="21"/>
              </w:rPr>
            </w:pPr>
          </w:p>
        </w:tc>
        <w:tc>
          <w:tcPr>
            <w:tcW w:w="8806" w:type="dxa"/>
            <w:vMerge w:val="continue"/>
            <w:tcBorders>
              <w:top w:val="nil"/>
            </w:tcBorders>
            <w:vAlign w:val="top"/>
          </w:tcPr>
          <w:p w14:paraId="78EC9575">
            <w:pPr>
              <w:rPr>
                <w:rFonts w:ascii="Arial"/>
                <w:sz w:val="21"/>
              </w:rPr>
            </w:pPr>
          </w:p>
        </w:tc>
        <w:tc>
          <w:tcPr>
            <w:tcW w:w="1043" w:type="dxa"/>
            <w:vAlign w:val="top"/>
          </w:tcPr>
          <w:p w14:paraId="5B44E925">
            <w:pPr>
              <w:pStyle w:val="8"/>
              <w:spacing w:before="88" w:line="219" w:lineRule="auto"/>
              <w:ind w:left="171"/>
            </w:pPr>
            <w:r>
              <w:rPr>
                <w:b/>
                <w:bCs/>
                <w:spacing w:val="-5"/>
              </w:rPr>
              <w:t>责任部门</w:t>
            </w:r>
          </w:p>
        </w:tc>
        <w:tc>
          <w:tcPr>
            <w:tcW w:w="1448" w:type="dxa"/>
            <w:vAlign w:val="top"/>
          </w:tcPr>
          <w:p w14:paraId="1149897C">
            <w:pPr>
              <w:pStyle w:val="8"/>
              <w:spacing w:before="88" w:line="219" w:lineRule="auto"/>
              <w:ind w:left="187"/>
            </w:pPr>
            <w:r>
              <w:rPr>
                <w:b/>
                <w:bCs/>
                <w:spacing w:val="-3"/>
              </w:rPr>
              <w:t>第一责任层级</w:t>
            </w:r>
          </w:p>
        </w:tc>
        <w:tc>
          <w:tcPr>
            <w:tcW w:w="1047" w:type="dxa"/>
            <w:vAlign w:val="top"/>
          </w:tcPr>
          <w:p w14:paraId="64124708">
            <w:pPr>
              <w:pStyle w:val="8"/>
              <w:spacing w:before="88" w:line="219" w:lineRule="auto"/>
              <w:ind w:left="165"/>
            </w:pPr>
            <w:r>
              <w:rPr>
                <w:b/>
                <w:bCs/>
                <w:spacing w:val="-4"/>
              </w:rPr>
              <w:t>承办机构</w:t>
            </w:r>
          </w:p>
        </w:tc>
      </w:tr>
      <w:tr w14:paraId="5BFBD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3" w:hRule="atLeast"/>
        </w:trPr>
        <w:tc>
          <w:tcPr>
            <w:tcW w:w="641" w:type="dxa"/>
            <w:vAlign w:val="top"/>
          </w:tcPr>
          <w:p w14:paraId="6AF71AB5">
            <w:pPr>
              <w:spacing w:line="246" w:lineRule="auto"/>
              <w:rPr>
                <w:rFonts w:ascii="Arial"/>
                <w:sz w:val="21"/>
              </w:rPr>
            </w:pPr>
          </w:p>
          <w:p w14:paraId="49D2BFE0">
            <w:pPr>
              <w:spacing w:line="246" w:lineRule="auto"/>
              <w:rPr>
                <w:rFonts w:ascii="Arial"/>
                <w:sz w:val="21"/>
              </w:rPr>
            </w:pPr>
          </w:p>
          <w:p w14:paraId="04EDAF82">
            <w:pPr>
              <w:spacing w:line="246" w:lineRule="auto"/>
              <w:rPr>
                <w:rFonts w:ascii="Arial"/>
                <w:sz w:val="21"/>
              </w:rPr>
            </w:pPr>
          </w:p>
          <w:p w14:paraId="238593D3">
            <w:pPr>
              <w:spacing w:line="246" w:lineRule="auto"/>
              <w:rPr>
                <w:rFonts w:ascii="Arial"/>
                <w:sz w:val="21"/>
              </w:rPr>
            </w:pPr>
          </w:p>
          <w:p w14:paraId="5238AAE6">
            <w:pPr>
              <w:spacing w:line="246" w:lineRule="auto"/>
              <w:rPr>
                <w:rFonts w:ascii="Arial"/>
                <w:sz w:val="21"/>
              </w:rPr>
            </w:pPr>
          </w:p>
          <w:p w14:paraId="2FD59A6A">
            <w:pPr>
              <w:spacing w:line="246" w:lineRule="auto"/>
              <w:rPr>
                <w:rFonts w:ascii="Arial"/>
                <w:sz w:val="21"/>
              </w:rPr>
            </w:pPr>
          </w:p>
          <w:p w14:paraId="32CC415B">
            <w:pPr>
              <w:spacing w:line="246" w:lineRule="auto"/>
              <w:rPr>
                <w:rFonts w:ascii="Arial"/>
                <w:sz w:val="21"/>
              </w:rPr>
            </w:pPr>
          </w:p>
          <w:p w14:paraId="2A88F202">
            <w:pPr>
              <w:spacing w:line="246" w:lineRule="auto"/>
              <w:rPr>
                <w:rFonts w:ascii="Arial"/>
                <w:sz w:val="21"/>
              </w:rPr>
            </w:pPr>
          </w:p>
          <w:p w14:paraId="7C4A855E">
            <w:pPr>
              <w:spacing w:line="246" w:lineRule="auto"/>
              <w:rPr>
                <w:rFonts w:ascii="Arial"/>
                <w:sz w:val="21"/>
              </w:rPr>
            </w:pPr>
          </w:p>
          <w:p w14:paraId="79CED7D1">
            <w:pPr>
              <w:spacing w:line="246" w:lineRule="auto"/>
              <w:rPr>
                <w:rFonts w:ascii="Arial"/>
                <w:sz w:val="21"/>
              </w:rPr>
            </w:pPr>
          </w:p>
          <w:p w14:paraId="7DA281DC">
            <w:pPr>
              <w:spacing w:line="246" w:lineRule="auto"/>
              <w:rPr>
                <w:rFonts w:ascii="Arial"/>
                <w:sz w:val="21"/>
              </w:rPr>
            </w:pPr>
          </w:p>
          <w:p w14:paraId="6333DB31">
            <w:pPr>
              <w:spacing w:line="247" w:lineRule="auto"/>
              <w:rPr>
                <w:rFonts w:ascii="Arial"/>
                <w:sz w:val="21"/>
              </w:rPr>
            </w:pPr>
          </w:p>
          <w:p w14:paraId="2010E4FF">
            <w:pPr>
              <w:spacing w:line="247" w:lineRule="auto"/>
              <w:rPr>
                <w:rFonts w:ascii="Arial"/>
                <w:sz w:val="21"/>
              </w:rPr>
            </w:pPr>
          </w:p>
          <w:p w14:paraId="4C531C88">
            <w:pPr>
              <w:pStyle w:val="8"/>
              <w:spacing w:before="58" w:line="183" w:lineRule="auto"/>
              <w:ind w:left="236"/>
            </w:pPr>
            <w:r>
              <w:rPr>
                <w:spacing w:val="-4"/>
              </w:rPr>
              <w:t>27</w:t>
            </w:r>
          </w:p>
        </w:tc>
        <w:tc>
          <w:tcPr>
            <w:tcW w:w="1136" w:type="dxa"/>
            <w:vAlign w:val="top"/>
          </w:tcPr>
          <w:p w14:paraId="43EDECA5">
            <w:pPr>
              <w:spacing w:line="246" w:lineRule="auto"/>
              <w:rPr>
                <w:rFonts w:ascii="Arial"/>
                <w:sz w:val="21"/>
              </w:rPr>
            </w:pPr>
          </w:p>
          <w:p w14:paraId="7B8562CD">
            <w:pPr>
              <w:spacing w:line="246" w:lineRule="auto"/>
              <w:rPr>
                <w:rFonts w:ascii="Arial"/>
                <w:sz w:val="21"/>
              </w:rPr>
            </w:pPr>
          </w:p>
          <w:p w14:paraId="6AF59CD7">
            <w:pPr>
              <w:spacing w:line="246" w:lineRule="auto"/>
              <w:rPr>
                <w:rFonts w:ascii="Arial"/>
                <w:sz w:val="21"/>
              </w:rPr>
            </w:pPr>
          </w:p>
          <w:p w14:paraId="55505738">
            <w:pPr>
              <w:spacing w:line="246" w:lineRule="auto"/>
              <w:rPr>
                <w:rFonts w:ascii="Arial"/>
                <w:sz w:val="21"/>
              </w:rPr>
            </w:pPr>
          </w:p>
          <w:p w14:paraId="63598B83">
            <w:pPr>
              <w:spacing w:line="246" w:lineRule="auto"/>
              <w:rPr>
                <w:rFonts w:ascii="Arial"/>
                <w:sz w:val="21"/>
              </w:rPr>
            </w:pPr>
          </w:p>
          <w:p w14:paraId="445F2BAB">
            <w:pPr>
              <w:spacing w:line="246" w:lineRule="auto"/>
              <w:rPr>
                <w:rFonts w:ascii="Arial"/>
                <w:sz w:val="21"/>
              </w:rPr>
            </w:pPr>
          </w:p>
          <w:p w14:paraId="0ECCFE8F">
            <w:pPr>
              <w:spacing w:line="246" w:lineRule="auto"/>
              <w:rPr>
                <w:rFonts w:ascii="Arial"/>
                <w:sz w:val="21"/>
              </w:rPr>
            </w:pPr>
          </w:p>
          <w:p w14:paraId="42EEC7D4">
            <w:pPr>
              <w:spacing w:line="246" w:lineRule="auto"/>
              <w:rPr>
                <w:rFonts w:ascii="Arial"/>
                <w:sz w:val="21"/>
              </w:rPr>
            </w:pPr>
          </w:p>
          <w:p w14:paraId="661D2A07">
            <w:pPr>
              <w:spacing w:line="246" w:lineRule="auto"/>
              <w:rPr>
                <w:rFonts w:ascii="Arial"/>
                <w:sz w:val="21"/>
              </w:rPr>
            </w:pPr>
          </w:p>
          <w:p w14:paraId="1FCE4849">
            <w:pPr>
              <w:pStyle w:val="8"/>
              <w:spacing w:before="59" w:line="244" w:lineRule="auto"/>
              <w:ind w:left="109" w:right="104"/>
              <w:jc w:val="both"/>
            </w:pPr>
            <w:r>
              <w:rPr>
                <w:spacing w:val="3"/>
              </w:rPr>
              <w:t>对船舶不具</w:t>
            </w:r>
            <w:r>
              <w:rPr>
                <w:spacing w:val="1"/>
              </w:rPr>
              <w:t xml:space="preserve"> </w:t>
            </w:r>
            <w:r>
              <w:rPr>
                <w:spacing w:val="3"/>
              </w:rPr>
              <w:t>备安全技术</w:t>
            </w:r>
            <w:r>
              <w:rPr>
                <w:spacing w:val="1"/>
              </w:rPr>
              <w:t xml:space="preserve"> </w:t>
            </w:r>
            <w:r>
              <w:rPr>
                <w:spacing w:val="3"/>
              </w:rPr>
              <w:t>条件从事货</w:t>
            </w:r>
            <w:r>
              <w:rPr>
                <w:spacing w:val="1"/>
              </w:rPr>
              <w:t xml:space="preserve"> </w:t>
            </w:r>
            <w:r>
              <w:rPr>
                <w:spacing w:val="3"/>
              </w:rPr>
              <w:t>物、旅客运</w:t>
            </w:r>
            <w:r>
              <w:rPr>
                <w:spacing w:val="1"/>
              </w:rPr>
              <w:t xml:space="preserve"> </w:t>
            </w:r>
            <w:r>
              <w:rPr>
                <w:spacing w:val="3"/>
              </w:rPr>
              <w:t>输，或者超</w:t>
            </w:r>
            <w:r>
              <w:rPr>
                <w:spacing w:val="1"/>
              </w:rPr>
              <w:t xml:space="preserve"> </w:t>
            </w:r>
            <w:r>
              <w:rPr>
                <w:spacing w:val="-8"/>
              </w:rPr>
              <w:t>载</w:t>
            </w:r>
            <w:r>
              <w:rPr>
                <w:spacing w:val="-16"/>
              </w:rPr>
              <w:t xml:space="preserve"> </w:t>
            </w:r>
            <w:r>
              <w:rPr>
                <w:spacing w:val="-8"/>
              </w:rPr>
              <w:t>运</w:t>
            </w:r>
            <w:r>
              <w:rPr>
                <w:spacing w:val="-14"/>
              </w:rPr>
              <w:t xml:space="preserve"> </w:t>
            </w:r>
            <w:r>
              <w:rPr>
                <w:spacing w:val="-8"/>
              </w:rPr>
              <w:t>输</w:t>
            </w:r>
            <w:r>
              <w:rPr>
                <w:spacing w:val="-12"/>
              </w:rPr>
              <w:t xml:space="preserve"> </w:t>
            </w:r>
            <w:r>
              <w:rPr>
                <w:spacing w:val="-8"/>
              </w:rPr>
              <w:t>货</w:t>
            </w:r>
            <w:r>
              <w:t xml:space="preserve"> </w:t>
            </w:r>
            <w:r>
              <w:rPr>
                <w:spacing w:val="3"/>
              </w:rPr>
              <w:t>物、旅客的</w:t>
            </w:r>
            <w:r>
              <w:rPr>
                <w:spacing w:val="1"/>
              </w:rPr>
              <w:t xml:space="preserve"> </w:t>
            </w:r>
            <w:r>
              <w:rPr>
                <w:spacing w:val="3"/>
              </w:rPr>
              <w:t>行为的行政</w:t>
            </w:r>
            <w:r>
              <w:rPr>
                <w:spacing w:val="1"/>
              </w:rPr>
              <w:t xml:space="preserve"> </w:t>
            </w:r>
            <w:r>
              <w:rPr>
                <w:spacing w:val="-4"/>
              </w:rPr>
              <w:t>处罚</w:t>
            </w:r>
          </w:p>
        </w:tc>
        <w:tc>
          <w:tcPr>
            <w:tcW w:w="1136" w:type="dxa"/>
            <w:vAlign w:val="top"/>
          </w:tcPr>
          <w:p w14:paraId="442CF9A0">
            <w:pPr>
              <w:spacing w:line="243" w:lineRule="auto"/>
              <w:rPr>
                <w:rFonts w:ascii="Arial"/>
                <w:sz w:val="21"/>
              </w:rPr>
            </w:pPr>
          </w:p>
          <w:p w14:paraId="368286ED">
            <w:pPr>
              <w:spacing w:line="244" w:lineRule="auto"/>
              <w:rPr>
                <w:rFonts w:ascii="Arial"/>
                <w:sz w:val="21"/>
              </w:rPr>
            </w:pPr>
          </w:p>
          <w:p w14:paraId="73092178">
            <w:pPr>
              <w:spacing w:line="244" w:lineRule="auto"/>
              <w:rPr>
                <w:rFonts w:ascii="Arial"/>
                <w:sz w:val="21"/>
              </w:rPr>
            </w:pPr>
          </w:p>
          <w:p w14:paraId="2660BC5B">
            <w:pPr>
              <w:spacing w:line="244" w:lineRule="auto"/>
              <w:rPr>
                <w:rFonts w:ascii="Arial"/>
                <w:sz w:val="21"/>
              </w:rPr>
            </w:pPr>
          </w:p>
          <w:p w14:paraId="7316625F">
            <w:pPr>
              <w:spacing w:line="244" w:lineRule="auto"/>
              <w:rPr>
                <w:rFonts w:ascii="Arial"/>
                <w:sz w:val="21"/>
              </w:rPr>
            </w:pPr>
          </w:p>
          <w:p w14:paraId="11B3334D">
            <w:pPr>
              <w:spacing w:line="244" w:lineRule="auto"/>
              <w:rPr>
                <w:rFonts w:ascii="Arial"/>
                <w:sz w:val="21"/>
              </w:rPr>
            </w:pPr>
          </w:p>
          <w:p w14:paraId="058DE876">
            <w:pPr>
              <w:spacing w:line="244" w:lineRule="auto"/>
              <w:rPr>
                <w:rFonts w:ascii="Arial"/>
                <w:sz w:val="21"/>
              </w:rPr>
            </w:pPr>
          </w:p>
          <w:p w14:paraId="6856550F">
            <w:pPr>
              <w:spacing w:line="244" w:lineRule="auto"/>
              <w:rPr>
                <w:rFonts w:ascii="Arial"/>
                <w:sz w:val="21"/>
              </w:rPr>
            </w:pPr>
          </w:p>
          <w:p w14:paraId="0875FB9D">
            <w:pPr>
              <w:spacing w:line="244" w:lineRule="auto"/>
              <w:rPr>
                <w:rFonts w:ascii="Arial"/>
                <w:sz w:val="21"/>
              </w:rPr>
            </w:pPr>
          </w:p>
          <w:p w14:paraId="7FB8AB5A">
            <w:pPr>
              <w:spacing w:line="244" w:lineRule="auto"/>
              <w:rPr>
                <w:rFonts w:ascii="Arial"/>
                <w:sz w:val="21"/>
              </w:rPr>
            </w:pPr>
          </w:p>
          <w:p w14:paraId="20FA42AC">
            <w:pPr>
              <w:spacing w:line="244" w:lineRule="auto"/>
              <w:rPr>
                <w:rFonts w:ascii="Arial"/>
                <w:sz w:val="21"/>
              </w:rPr>
            </w:pPr>
          </w:p>
          <w:p w14:paraId="1765CC4D">
            <w:pPr>
              <w:spacing w:line="244" w:lineRule="auto"/>
              <w:rPr>
                <w:rFonts w:ascii="Arial"/>
                <w:sz w:val="21"/>
              </w:rPr>
            </w:pPr>
          </w:p>
          <w:p w14:paraId="40C527E5">
            <w:pPr>
              <w:spacing w:line="244" w:lineRule="auto"/>
              <w:rPr>
                <w:rFonts w:ascii="Arial"/>
                <w:sz w:val="21"/>
              </w:rPr>
            </w:pPr>
          </w:p>
          <w:p w14:paraId="6FE31681">
            <w:pPr>
              <w:pStyle w:val="8"/>
              <w:spacing w:before="59" w:line="220" w:lineRule="auto"/>
              <w:ind w:left="114"/>
            </w:pPr>
            <w:r>
              <w:rPr>
                <w:spacing w:val="-7"/>
              </w:rPr>
              <w:t>行政处罚</w:t>
            </w:r>
          </w:p>
        </w:tc>
        <w:tc>
          <w:tcPr>
            <w:tcW w:w="8806" w:type="dxa"/>
            <w:vAlign w:val="top"/>
          </w:tcPr>
          <w:p w14:paraId="4697FFF1">
            <w:pPr>
              <w:pStyle w:val="8"/>
              <w:spacing w:before="250" w:line="219" w:lineRule="auto"/>
              <w:ind w:left="476"/>
            </w:pPr>
            <w:r>
              <w:rPr>
                <w:b/>
                <w:bCs/>
                <w:spacing w:val="-5"/>
              </w:rPr>
              <w:t>1.《中华人民共和国内河交通安全管理条例》</w:t>
            </w:r>
          </w:p>
          <w:p w14:paraId="2D153CEA">
            <w:pPr>
              <w:pStyle w:val="8"/>
              <w:spacing w:before="25" w:line="233" w:lineRule="auto"/>
              <w:ind w:left="463" w:right="1982" w:firstLine="2"/>
            </w:pPr>
            <w:r>
              <w:rPr>
                <w:spacing w:val="-3"/>
              </w:rPr>
              <w:t>第八条  船舶、浮动设施应当保持适于安全</w:t>
            </w:r>
            <w:r>
              <w:rPr>
                <w:spacing w:val="-4"/>
              </w:rPr>
              <w:t>航行、停泊或者从事有关活动的状态。</w:t>
            </w:r>
            <w:r>
              <w:t xml:space="preserve"> </w:t>
            </w:r>
            <w:r>
              <w:rPr>
                <w:spacing w:val="-4"/>
              </w:rPr>
              <w:t>船舶、浮动设施的配载和系固应当符合国家安全技术规范。</w:t>
            </w:r>
          </w:p>
          <w:p w14:paraId="6A50D0B6">
            <w:pPr>
              <w:pStyle w:val="8"/>
              <w:spacing w:before="24" w:line="233" w:lineRule="auto"/>
              <w:ind w:left="112" w:right="103" w:firstLine="353"/>
            </w:pPr>
            <w:r>
              <w:rPr>
                <w:spacing w:val="-1"/>
              </w:rPr>
              <w:t>第二十一条  从事货物或者旅客运输的船舶，必须符合船舶强度、稳性、吃水、消防和救生等安全技</w:t>
            </w:r>
            <w:r>
              <w:rPr>
                <w:spacing w:val="-2"/>
              </w:rPr>
              <w:t>术要</w:t>
            </w:r>
            <w:r>
              <w:t xml:space="preserve"> </w:t>
            </w:r>
            <w:r>
              <w:rPr>
                <w:spacing w:val="-4"/>
              </w:rPr>
              <w:t>求和国务院交通主管部门规定的载货或者载客条件。</w:t>
            </w:r>
          </w:p>
          <w:p w14:paraId="189EDD8F">
            <w:pPr>
              <w:pStyle w:val="8"/>
              <w:spacing w:before="26" w:line="219" w:lineRule="auto"/>
              <w:ind w:left="457"/>
            </w:pPr>
            <w:r>
              <w:rPr>
                <w:spacing w:val="-6"/>
              </w:rPr>
              <w:t>任何船舶不得超载运输货物或者旅客。</w:t>
            </w:r>
          </w:p>
          <w:p w14:paraId="28DB55F5">
            <w:pPr>
              <w:pStyle w:val="8"/>
              <w:spacing w:before="25" w:line="241" w:lineRule="auto"/>
              <w:ind w:left="109" w:right="100" w:firstLine="353"/>
            </w:pPr>
            <w:r>
              <w:rPr>
                <w:spacing w:val="-5"/>
              </w:rPr>
              <w:t>第八十二条</w:t>
            </w:r>
            <w:r>
              <w:rPr>
                <w:spacing w:val="95"/>
                <w:w w:val="101"/>
              </w:rPr>
              <w:t xml:space="preserve"> </w:t>
            </w:r>
            <w:r>
              <w:rPr>
                <w:spacing w:val="-5"/>
              </w:rPr>
              <w:t>违反本条例的规定，船舶不具备安全技术条件从事货物、旅客运输，或者超载运输货物、旅客</w:t>
            </w:r>
            <w:r>
              <w:t xml:space="preserve"> </w:t>
            </w:r>
            <w:r>
              <w:rPr>
                <w:spacing w:val="-3"/>
              </w:rPr>
              <w:t>的，由海事管理机构责令改正，处2万元以上10万元以下的罚款，可以对责任船员给予暂扣适任证书或者其他适</w:t>
            </w:r>
            <w:r>
              <w:rPr>
                <w:spacing w:val="6"/>
              </w:rPr>
              <w:t xml:space="preserve"> </w:t>
            </w:r>
            <w:r>
              <w:rPr>
                <w:spacing w:val="-3"/>
              </w:rPr>
              <w:t>任证件6个月以上直至吊销适任证书或者其他适任证件的处罚，并对超载运输的船舶强制卸载，因卸载而发生的</w:t>
            </w:r>
            <w:r>
              <w:rPr>
                <w:spacing w:val="3"/>
              </w:rPr>
              <w:t xml:space="preserve"> </w:t>
            </w:r>
            <w:r>
              <w:rPr>
                <w:spacing w:val="-5"/>
              </w:rPr>
              <w:t>卸货费、存货费、旅客安置费和船舶监管费由船舶所有人或者经营人承担；发生重大伤亡事故或者造成其他严重</w:t>
            </w:r>
            <w:r>
              <w:rPr>
                <w:spacing w:val="14"/>
              </w:rPr>
              <w:t xml:space="preserve"> </w:t>
            </w:r>
            <w:r>
              <w:rPr>
                <w:spacing w:val="-4"/>
              </w:rPr>
              <w:t>后果的，依照刑法关于重大劳动安全事故罪或者其他罪的规定，依法追究刑事责任。</w:t>
            </w:r>
          </w:p>
          <w:p w14:paraId="65D6829E">
            <w:pPr>
              <w:pStyle w:val="8"/>
              <w:spacing w:before="26" w:line="219" w:lineRule="auto"/>
              <w:ind w:left="465"/>
            </w:pPr>
            <w:r>
              <w:rPr>
                <w:b/>
                <w:bCs/>
                <w:spacing w:val="-5"/>
              </w:rPr>
              <w:t>2.《中华人民共和国内河海事行政处罚规定》（交通运输部令2022年第28号）</w:t>
            </w:r>
          </w:p>
          <w:p w14:paraId="67C3B73C">
            <w:pPr>
              <w:pStyle w:val="8"/>
              <w:spacing w:before="26" w:line="241" w:lineRule="auto"/>
              <w:ind w:left="109" w:right="96" w:firstLine="355"/>
            </w:pPr>
            <w:r>
              <w:rPr>
                <w:spacing w:val="-1"/>
              </w:rPr>
              <w:t>第十八条  违反《内河交通安全管理条例》第八条、第二十一条的规定，船舶不具备安全技术条件从</w:t>
            </w:r>
            <w:r>
              <w:rPr>
                <w:spacing w:val="-2"/>
              </w:rPr>
              <w:t>事货</w:t>
            </w:r>
            <w:r>
              <w:t xml:space="preserve"> </w:t>
            </w:r>
            <w:r>
              <w:rPr>
                <w:spacing w:val="-8"/>
              </w:rPr>
              <w:t>物、旅客运输，或者超载运输货物、超定额运输旅客，依照《内河交通安全管理条例》第八十二条的</w:t>
            </w:r>
            <w:r>
              <w:rPr>
                <w:spacing w:val="-9"/>
              </w:rPr>
              <w:t>规定，责令改</w:t>
            </w:r>
            <w:r>
              <w:t xml:space="preserve"> </w:t>
            </w:r>
            <w:r>
              <w:rPr>
                <w:spacing w:val="-8"/>
              </w:rPr>
              <w:t>正，处以2万元以上10万元以下罚款，并可以对责任船员给予扣留船员适任证书或者其他适任证件6个月以上直至吊</w:t>
            </w:r>
            <w:r>
              <w:rPr>
                <w:spacing w:val="7"/>
              </w:rPr>
              <w:t xml:space="preserve"> </w:t>
            </w:r>
            <w:r>
              <w:rPr>
                <w:spacing w:val="-1"/>
              </w:rPr>
              <w:t>销船员适任证书或者其他适任证件的处罚，并对超载运输的船舶强制卸载，因卸载而发生的卸货费、存</w:t>
            </w:r>
            <w:r>
              <w:rPr>
                <w:spacing w:val="-2"/>
              </w:rPr>
              <w:t>货费、</w:t>
            </w:r>
            <w:r>
              <w:t xml:space="preserve"> </w:t>
            </w:r>
            <w:r>
              <w:rPr>
                <w:spacing w:val="-4"/>
              </w:rPr>
              <w:t>旅客安置费和船舶监管费由船舶所有人或者经营人承担。</w:t>
            </w:r>
          </w:p>
          <w:p w14:paraId="0D701319">
            <w:pPr>
              <w:pStyle w:val="8"/>
              <w:spacing w:before="25" w:line="242" w:lineRule="auto"/>
              <w:ind w:left="111" w:right="86" w:firstLine="352"/>
              <w:jc w:val="both"/>
            </w:pPr>
            <w:r>
              <w:rPr>
                <w:spacing w:val="-4"/>
              </w:rPr>
              <w:t>本条前款所称船舶不具备安全技术条件从事货物、旅客运输，包括以下情形</w:t>
            </w:r>
            <w:r>
              <w:rPr>
                <w:spacing w:val="-23"/>
              </w:rPr>
              <w:t>：（</w:t>
            </w:r>
            <w:r>
              <w:rPr>
                <w:spacing w:val="-4"/>
              </w:rPr>
              <w:t>一）不遵守船舶、设施的配</w:t>
            </w:r>
            <w:r>
              <w:rPr>
                <w:spacing w:val="1"/>
              </w:rPr>
              <w:t xml:space="preserve"> </w:t>
            </w:r>
            <w:r>
              <w:rPr>
                <w:spacing w:val="-3"/>
              </w:rPr>
              <w:t>载和系固安全技术规范</w:t>
            </w:r>
            <w:r>
              <w:rPr>
                <w:spacing w:val="-22"/>
              </w:rPr>
              <w:t>；（</w:t>
            </w:r>
            <w:r>
              <w:rPr>
                <w:spacing w:val="-3"/>
              </w:rPr>
              <w:t>二）不按照规定载运易流态化货物，或者不按照规定</w:t>
            </w:r>
            <w:r>
              <w:rPr>
                <w:spacing w:val="-4"/>
              </w:rPr>
              <w:t>向海事管理机构备案</w:t>
            </w:r>
            <w:r>
              <w:rPr>
                <w:spacing w:val="-22"/>
              </w:rPr>
              <w:t>；（</w:t>
            </w:r>
            <w:r>
              <w:rPr>
                <w:spacing w:val="-4"/>
              </w:rPr>
              <w:t>三）遇</w:t>
            </w:r>
            <w:r>
              <w:rPr>
                <w:spacing w:val="3"/>
              </w:rPr>
              <w:t xml:space="preserve"> </w:t>
            </w:r>
            <w:r>
              <w:rPr>
                <w:spacing w:val="-3"/>
              </w:rPr>
              <w:t>有不符合安全开航条件的情况而冒险开航</w:t>
            </w:r>
            <w:r>
              <w:rPr>
                <w:spacing w:val="-15"/>
              </w:rPr>
              <w:t>；（</w:t>
            </w:r>
            <w:r>
              <w:rPr>
                <w:spacing w:val="-3"/>
              </w:rPr>
              <w:t>四）超过核定航区航行</w:t>
            </w:r>
            <w:r>
              <w:rPr>
                <w:spacing w:val="-15"/>
              </w:rPr>
              <w:t>；（</w:t>
            </w:r>
            <w:r>
              <w:rPr>
                <w:spacing w:val="-3"/>
              </w:rPr>
              <w:t>五）船舶违规使用低闪点燃油</w:t>
            </w:r>
            <w:r>
              <w:rPr>
                <w:spacing w:val="-15"/>
              </w:rPr>
              <w:t>；（</w:t>
            </w:r>
            <w:r>
              <w:rPr>
                <w:spacing w:val="-3"/>
              </w:rPr>
              <w:t>六）</w:t>
            </w:r>
            <w:r>
              <w:rPr>
                <w:spacing w:val="1"/>
              </w:rPr>
              <w:t xml:space="preserve"> </w:t>
            </w:r>
            <w:r>
              <w:rPr>
                <w:spacing w:val="-3"/>
              </w:rPr>
              <w:t>未按照规定拖带或者非拖船从事拖带作业</w:t>
            </w:r>
            <w:r>
              <w:rPr>
                <w:spacing w:val="-23"/>
              </w:rPr>
              <w:t>；（</w:t>
            </w:r>
            <w:r>
              <w:rPr>
                <w:spacing w:val="-3"/>
              </w:rPr>
              <w:t>七）未经核准从事大型设施或者移动式平台的</w:t>
            </w:r>
            <w:r>
              <w:rPr>
                <w:spacing w:val="-4"/>
              </w:rPr>
              <w:t>水上拖带</w:t>
            </w:r>
            <w:r>
              <w:rPr>
                <w:spacing w:val="-23"/>
              </w:rPr>
              <w:t>；（</w:t>
            </w:r>
            <w:r>
              <w:rPr>
                <w:spacing w:val="-4"/>
              </w:rPr>
              <w:t>八）未</w:t>
            </w:r>
            <w:r>
              <w:rPr>
                <w:spacing w:val="2"/>
              </w:rPr>
              <w:t xml:space="preserve"> </w:t>
            </w:r>
            <w:r>
              <w:rPr>
                <w:spacing w:val="-3"/>
              </w:rPr>
              <w:t>持有《乘客定额证书》</w:t>
            </w:r>
            <w:r>
              <w:rPr>
                <w:spacing w:val="-25"/>
              </w:rPr>
              <w:t>；（</w:t>
            </w:r>
            <w:r>
              <w:rPr>
                <w:spacing w:val="-3"/>
              </w:rPr>
              <w:t>九）未按照规定配备救生设施</w:t>
            </w:r>
            <w:r>
              <w:rPr>
                <w:spacing w:val="-25"/>
              </w:rPr>
              <w:t>；（</w:t>
            </w:r>
            <w:r>
              <w:rPr>
                <w:spacing w:val="-3"/>
              </w:rPr>
              <w:t>十）船舶不具备安全技术条件从事货物、旅客运输</w:t>
            </w:r>
            <w:r>
              <w:rPr>
                <w:spacing w:val="3"/>
              </w:rPr>
              <w:t xml:space="preserve"> </w:t>
            </w:r>
            <w:r>
              <w:rPr>
                <w:spacing w:val="-5"/>
              </w:rPr>
              <w:t>的其他情形。</w:t>
            </w:r>
          </w:p>
          <w:p w14:paraId="5A46CE75">
            <w:pPr>
              <w:pStyle w:val="8"/>
              <w:spacing w:before="26" w:line="237" w:lineRule="auto"/>
              <w:ind w:left="110" w:right="100" w:firstLine="353"/>
              <w:jc w:val="both"/>
            </w:pPr>
            <w:r>
              <w:rPr>
                <w:spacing w:val="-3"/>
              </w:rPr>
              <w:t>本条第一款所称超载运输货物、超定额运输旅客，包括以下情形</w:t>
            </w:r>
            <w:r>
              <w:rPr>
                <w:spacing w:val="-21"/>
              </w:rPr>
              <w:t>：（</w:t>
            </w:r>
            <w:r>
              <w:rPr>
                <w:spacing w:val="-3"/>
              </w:rPr>
              <w:t>一）</w:t>
            </w:r>
            <w:r>
              <w:rPr>
                <w:spacing w:val="-4"/>
              </w:rPr>
              <w:t>超核定载重线载运货物</w:t>
            </w:r>
            <w:r>
              <w:rPr>
                <w:spacing w:val="-21"/>
              </w:rPr>
              <w:t>；（</w:t>
            </w:r>
            <w:r>
              <w:rPr>
                <w:spacing w:val="-4"/>
              </w:rPr>
              <w:t>二）集</w:t>
            </w:r>
            <w:r>
              <w:rPr>
                <w:spacing w:val="1"/>
              </w:rPr>
              <w:t xml:space="preserve"> </w:t>
            </w:r>
            <w:r>
              <w:rPr>
                <w:spacing w:val="-3"/>
              </w:rPr>
              <w:t>装箱船装载超过核定箱数</w:t>
            </w:r>
            <w:r>
              <w:rPr>
                <w:spacing w:val="-22"/>
              </w:rPr>
              <w:t>；（</w:t>
            </w:r>
            <w:r>
              <w:rPr>
                <w:spacing w:val="-3"/>
              </w:rPr>
              <w:t>三）集装箱载运货物超过集装箱装载限额</w:t>
            </w:r>
            <w:r>
              <w:rPr>
                <w:spacing w:val="-22"/>
              </w:rPr>
              <w:t>；（</w:t>
            </w:r>
            <w:r>
              <w:rPr>
                <w:spacing w:val="-3"/>
              </w:rPr>
              <w:t>四）滚装船</w:t>
            </w:r>
            <w:r>
              <w:rPr>
                <w:spacing w:val="-4"/>
              </w:rPr>
              <w:t>装载超出检验证书核定的</w:t>
            </w:r>
            <w:r>
              <w:t xml:space="preserve"> </w:t>
            </w:r>
            <w:r>
              <w:rPr>
                <w:spacing w:val="-2"/>
              </w:rPr>
              <w:t>车辆数量</w:t>
            </w:r>
            <w:r>
              <w:rPr>
                <w:spacing w:val="-17"/>
              </w:rPr>
              <w:t>；（</w:t>
            </w:r>
            <w:r>
              <w:rPr>
                <w:spacing w:val="-2"/>
              </w:rPr>
              <w:t>五）未经核准乘客定额载客航行</w:t>
            </w:r>
            <w:r>
              <w:rPr>
                <w:spacing w:val="-17"/>
              </w:rPr>
              <w:t>；（</w:t>
            </w:r>
            <w:r>
              <w:rPr>
                <w:spacing w:val="-2"/>
              </w:rPr>
              <w:t>六）超</w:t>
            </w:r>
            <w:r>
              <w:rPr>
                <w:spacing w:val="-3"/>
              </w:rPr>
              <w:t>乘客定额载运旅客。</w:t>
            </w:r>
          </w:p>
        </w:tc>
        <w:tc>
          <w:tcPr>
            <w:tcW w:w="1043" w:type="dxa"/>
            <w:vAlign w:val="top"/>
          </w:tcPr>
          <w:p w14:paraId="607BAF7E">
            <w:pPr>
              <w:spacing w:line="254" w:lineRule="auto"/>
              <w:rPr>
                <w:rFonts w:ascii="Arial"/>
                <w:sz w:val="21"/>
              </w:rPr>
            </w:pPr>
          </w:p>
          <w:p w14:paraId="4B997CB7">
            <w:pPr>
              <w:spacing w:line="254" w:lineRule="auto"/>
              <w:rPr>
                <w:rFonts w:ascii="Arial"/>
                <w:sz w:val="21"/>
              </w:rPr>
            </w:pPr>
          </w:p>
          <w:p w14:paraId="68570C55">
            <w:pPr>
              <w:spacing w:line="254" w:lineRule="auto"/>
              <w:rPr>
                <w:rFonts w:ascii="Arial"/>
                <w:sz w:val="21"/>
              </w:rPr>
            </w:pPr>
          </w:p>
          <w:p w14:paraId="14A83C58">
            <w:pPr>
              <w:spacing w:line="254" w:lineRule="auto"/>
              <w:rPr>
                <w:rFonts w:ascii="Arial"/>
                <w:sz w:val="21"/>
              </w:rPr>
            </w:pPr>
          </w:p>
          <w:p w14:paraId="68D1B7D6">
            <w:pPr>
              <w:spacing w:line="254" w:lineRule="auto"/>
              <w:rPr>
                <w:rFonts w:ascii="Arial"/>
                <w:sz w:val="21"/>
              </w:rPr>
            </w:pPr>
          </w:p>
          <w:p w14:paraId="4704AC5E">
            <w:pPr>
              <w:spacing w:line="254" w:lineRule="auto"/>
              <w:rPr>
                <w:rFonts w:ascii="Arial"/>
                <w:sz w:val="21"/>
              </w:rPr>
            </w:pPr>
          </w:p>
          <w:p w14:paraId="1AFD3E5B">
            <w:pPr>
              <w:spacing w:line="254" w:lineRule="auto"/>
              <w:rPr>
                <w:rFonts w:ascii="Arial"/>
                <w:sz w:val="21"/>
              </w:rPr>
            </w:pPr>
          </w:p>
          <w:p w14:paraId="72A24E74">
            <w:pPr>
              <w:spacing w:line="254" w:lineRule="auto"/>
              <w:rPr>
                <w:rFonts w:ascii="Arial"/>
                <w:sz w:val="21"/>
              </w:rPr>
            </w:pPr>
          </w:p>
          <w:p w14:paraId="767660F6">
            <w:pPr>
              <w:spacing w:line="255" w:lineRule="auto"/>
              <w:rPr>
                <w:rFonts w:ascii="Arial"/>
                <w:sz w:val="21"/>
              </w:rPr>
            </w:pPr>
          </w:p>
          <w:p w14:paraId="6FD771A8">
            <w:pPr>
              <w:spacing w:line="255" w:lineRule="auto"/>
              <w:rPr>
                <w:rFonts w:ascii="Arial"/>
                <w:sz w:val="21"/>
              </w:rPr>
            </w:pPr>
          </w:p>
          <w:p w14:paraId="0BC97C89">
            <w:pPr>
              <w:spacing w:line="255" w:lineRule="auto"/>
              <w:rPr>
                <w:rFonts w:ascii="Arial"/>
                <w:sz w:val="21"/>
              </w:rPr>
            </w:pPr>
          </w:p>
          <w:p w14:paraId="0E48C00B">
            <w:pPr>
              <w:spacing w:line="255" w:lineRule="auto"/>
              <w:rPr>
                <w:rFonts w:ascii="Arial"/>
                <w:sz w:val="21"/>
              </w:rPr>
            </w:pPr>
          </w:p>
          <w:p w14:paraId="02357149">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FC3C72D">
            <w:pPr>
              <w:spacing w:line="244" w:lineRule="auto"/>
              <w:rPr>
                <w:rFonts w:ascii="Arial"/>
                <w:sz w:val="21"/>
              </w:rPr>
            </w:pPr>
          </w:p>
          <w:p w14:paraId="4DAAF2AA">
            <w:pPr>
              <w:spacing w:line="244" w:lineRule="auto"/>
              <w:rPr>
                <w:rFonts w:ascii="Arial"/>
                <w:sz w:val="21"/>
              </w:rPr>
            </w:pPr>
          </w:p>
          <w:p w14:paraId="00EFC7E0">
            <w:pPr>
              <w:spacing w:line="244" w:lineRule="auto"/>
              <w:rPr>
                <w:rFonts w:ascii="Arial"/>
                <w:sz w:val="21"/>
              </w:rPr>
            </w:pPr>
          </w:p>
          <w:p w14:paraId="502842EE">
            <w:pPr>
              <w:spacing w:line="244" w:lineRule="auto"/>
              <w:rPr>
                <w:rFonts w:ascii="Arial"/>
                <w:sz w:val="21"/>
              </w:rPr>
            </w:pPr>
          </w:p>
          <w:p w14:paraId="413C2C6B">
            <w:pPr>
              <w:spacing w:line="244" w:lineRule="auto"/>
              <w:rPr>
                <w:rFonts w:ascii="Arial"/>
                <w:sz w:val="21"/>
              </w:rPr>
            </w:pPr>
          </w:p>
          <w:p w14:paraId="359B6C17">
            <w:pPr>
              <w:spacing w:line="244" w:lineRule="auto"/>
              <w:rPr>
                <w:rFonts w:ascii="Arial"/>
                <w:sz w:val="21"/>
              </w:rPr>
            </w:pPr>
          </w:p>
          <w:p w14:paraId="139661C8">
            <w:pPr>
              <w:spacing w:line="244" w:lineRule="auto"/>
              <w:rPr>
                <w:rFonts w:ascii="Arial"/>
                <w:sz w:val="21"/>
              </w:rPr>
            </w:pPr>
          </w:p>
          <w:p w14:paraId="45E85594">
            <w:pPr>
              <w:spacing w:line="244" w:lineRule="auto"/>
              <w:rPr>
                <w:rFonts w:ascii="Arial"/>
                <w:sz w:val="21"/>
              </w:rPr>
            </w:pPr>
          </w:p>
          <w:p w14:paraId="25BC7C11">
            <w:pPr>
              <w:spacing w:line="244" w:lineRule="auto"/>
              <w:rPr>
                <w:rFonts w:ascii="Arial"/>
                <w:sz w:val="21"/>
              </w:rPr>
            </w:pPr>
          </w:p>
          <w:p w14:paraId="05CA473C">
            <w:pPr>
              <w:spacing w:line="244" w:lineRule="auto"/>
              <w:rPr>
                <w:rFonts w:ascii="Arial"/>
                <w:sz w:val="21"/>
              </w:rPr>
            </w:pPr>
          </w:p>
          <w:p w14:paraId="7CF30910">
            <w:pPr>
              <w:spacing w:line="244" w:lineRule="auto"/>
              <w:rPr>
                <w:rFonts w:ascii="Arial"/>
                <w:sz w:val="21"/>
              </w:rPr>
            </w:pPr>
          </w:p>
          <w:p w14:paraId="2EC102F5">
            <w:pPr>
              <w:spacing w:line="244" w:lineRule="auto"/>
              <w:rPr>
                <w:rFonts w:ascii="Arial"/>
                <w:sz w:val="21"/>
              </w:rPr>
            </w:pPr>
          </w:p>
          <w:p w14:paraId="4C15A0C8">
            <w:pPr>
              <w:spacing w:line="244" w:lineRule="auto"/>
              <w:rPr>
                <w:rFonts w:ascii="Arial"/>
                <w:sz w:val="21"/>
              </w:rPr>
            </w:pPr>
          </w:p>
          <w:p w14:paraId="4E01720C">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7C1F694">
            <w:pPr>
              <w:spacing w:line="255" w:lineRule="auto"/>
              <w:rPr>
                <w:rFonts w:ascii="Arial"/>
                <w:sz w:val="21"/>
              </w:rPr>
            </w:pPr>
          </w:p>
          <w:p w14:paraId="08902933">
            <w:pPr>
              <w:spacing w:line="256" w:lineRule="auto"/>
              <w:rPr>
                <w:rFonts w:ascii="Arial"/>
                <w:sz w:val="21"/>
              </w:rPr>
            </w:pPr>
          </w:p>
          <w:p w14:paraId="5FA3223A">
            <w:pPr>
              <w:spacing w:line="256" w:lineRule="auto"/>
              <w:rPr>
                <w:rFonts w:ascii="Arial"/>
                <w:sz w:val="21"/>
              </w:rPr>
            </w:pPr>
          </w:p>
          <w:p w14:paraId="7C3262CD">
            <w:pPr>
              <w:spacing w:line="256" w:lineRule="auto"/>
              <w:rPr>
                <w:rFonts w:ascii="Arial"/>
                <w:sz w:val="21"/>
              </w:rPr>
            </w:pPr>
          </w:p>
          <w:p w14:paraId="2F292E03">
            <w:pPr>
              <w:spacing w:line="256" w:lineRule="auto"/>
              <w:rPr>
                <w:rFonts w:ascii="Arial"/>
                <w:sz w:val="21"/>
              </w:rPr>
            </w:pPr>
          </w:p>
          <w:p w14:paraId="1218B60B">
            <w:pPr>
              <w:spacing w:line="256" w:lineRule="auto"/>
              <w:rPr>
                <w:rFonts w:ascii="Arial"/>
                <w:sz w:val="21"/>
              </w:rPr>
            </w:pPr>
          </w:p>
          <w:p w14:paraId="268A9920">
            <w:pPr>
              <w:spacing w:line="256" w:lineRule="auto"/>
              <w:rPr>
                <w:rFonts w:ascii="Arial"/>
                <w:sz w:val="21"/>
              </w:rPr>
            </w:pPr>
          </w:p>
          <w:p w14:paraId="694BE5FB">
            <w:pPr>
              <w:spacing w:line="256" w:lineRule="auto"/>
              <w:rPr>
                <w:rFonts w:ascii="Arial"/>
                <w:sz w:val="21"/>
              </w:rPr>
            </w:pPr>
          </w:p>
          <w:p w14:paraId="1AB8F88B">
            <w:pPr>
              <w:spacing w:line="256" w:lineRule="auto"/>
              <w:rPr>
                <w:rFonts w:ascii="Arial"/>
                <w:sz w:val="21"/>
              </w:rPr>
            </w:pPr>
          </w:p>
          <w:p w14:paraId="184BD270">
            <w:pPr>
              <w:spacing w:line="256" w:lineRule="auto"/>
              <w:rPr>
                <w:rFonts w:ascii="Arial"/>
                <w:sz w:val="21"/>
              </w:rPr>
            </w:pPr>
          </w:p>
          <w:p w14:paraId="0E74DEEF">
            <w:pPr>
              <w:spacing w:line="256" w:lineRule="auto"/>
              <w:rPr>
                <w:rFonts w:ascii="Arial"/>
                <w:sz w:val="21"/>
              </w:rPr>
            </w:pPr>
          </w:p>
          <w:p w14:paraId="3E2E3350">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6F60B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3" w:hRule="atLeast"/>
        </w:trPr>
        <w:tc>
          <w:tcPr>
            <w:tcW w:w="641" w:type="dxa"/>
            <w:vAlign w:val="top"/>
          </w:tcPr>
          <w:p w14:paraId="50059731">
            <w:pPr>
              <w:spacing w:line="298" w:lineRule="auto"/>
              <w:rPr>
                <w:rFonts w:ascii="Arial"/>
                <w:sz w:val="21"/>
              </w:rPr>
            </w:pPr>
          </w:p>
          <w:p w14:paraId="6442E7B1">
            <w:pPr>
              <w:spacing w:line="298" w:lineRule="auto"/>
              <w:rPr>
                <w:rFonts w:ascii="Arial"/>
                <w:sz w:val="21"/>
              </w:rPr>
            </w:pPr>
          </w:p>
          <w:p w14:paraId="5F0DA770">
            <w:pPr>
              <w:spacing w:line="299" w:lineRule="auto"/>
              <w:rPr>
                <w:rFonts w:ascii="Arial"/>
                <w:sz w:val="21"/>
              </w:rPr>
            </w:pPr>
          </w:p>
          <w:p w14:paraId="496C814F">
            <w:pPr>
              <w:pStyle w:val="8"/>
              <w:spacing w:before="58" w:line="183" w:lineRule="auto"/>
              <w:ind w:left="236"/>
            </w:pPr>
            <w:r>
              <w:rPr>
                <w:spacing w:val="-4"/>
              </w:rPr>
              <w:t>28</w:t>
            </w:r>
          </w:p>
        </w:tc>
        <w:tc>
          <w:tcPr>
            <w:tcW w:w="1136" w:type="dxa"/>
            <w:vAlign w:val="top"/>
          </w:tcPr>
          <w:p w14:paraId="0D8A5A5F">
            <w:pPr>
              <w:spacing w:line="270" w:lineRule="auto"/>
              <w:rPr>
                <w:rFonts w:ascii="Arial"/>
                <w:sz w:val="21"/>
              </w:rPr>
            </w:pPr>
          </w:p>
          <w:p w14:paraId="5AE90773">
            <w:pPr>
              <w:pStyle w:val="8"/>
              <w:spacing w:before="58" w:line="242" w:lineRule="auto"/>
              <w:ind w:left="109" w:right="104"/>
              <w:jc w:val="both"/>
            </w:pPr>
            <w:r>
              <w:rPr>
                <w:spacing w:val="3"/>
              </w:rPr>
              <w:t>对船舶、浮</w:t>
            </w:r>
            <w:r>
              <w:rPr>
                <w:spacing w:val="1"/>
              </w:rPr>
              <w:t xml:space="preserve"> </w:t>
            </w:r>
            <w:r>
              <w:rPr>
                <w:spacing w:val="3"/>
              </w:rPr>
              <w:t>动设施发生</w:t>
            </w:r>
            <w:r>
              <w:rPr>
                <w:spacing w:val="1"/>
              </w:rPr>
              <w:t xml:space="preserve"> </w:t>
            </w:r>
            <w:r>
              <w:rPr>
                <w:spacing w:val="3"/>
              </w:rPr>
              <w:t>内河水上交</w:t>
            </w:r>
            <w:r>
              <w:rPr>
                <w:spacing w:val="1"/>
              </w:rPr>
              <w:t xml:space="preserve"> </w:t>
            </w:r>
            <w:r>
              <w:rPr>
                <w:spacing w:val="3"/>
              </w:rPr>
              <w:t>通事故后逃</w:t>
            </w:r>
            <w:r>
              <w:rPr>
                <w:spacing w:val="1"/>
              </w:rPr>
              <w:t xml:space="preserve"> </w:t>
            </w:r>
            <w:r>
              <w:rPr>
                <w:spacing w:val="3"/>
              </w:rPr>
              <w:t>逸行为的行</w:t>
            </w:r>
            <w:r>
              <w:rPr>
                <w:spacing w:val="1"/>
              </w:rPr>
              <w:t xml:space="preserve"> </w:t>
            </w:r>
            <w:r>
              <w:rPr>
                <w:spacing w:val="-4"/>
              </w:rPr>
              <w:t>政处罚</w:t>
            </w:r>
          </w:p>
        </w:tc>
        <w:tc>
          <w:tcPr>
            <w:tcW w:w="1136" w:type="dxa"/>
            <w:vAlign w:val="top"/>
          </w:tcPr>
          <w:p w14:paraId="1D9CB8B8">
            <w:pPr>
              <w:spacing w:line="288" w:lineRule="auto"/>
              <w:rPr>
                <w:rFonts w:ascii="Arial"/>
                <w:sz w:val="21"/>
              </w:rPr>
            </w:pPr>
          </w:p>
          <w:p w14:paraId="7B3F26E6">
            <w:pPr>
              <w:spacing w:line="289" w:lineRule="auto"/>
              <w:rPr>
                <w:rFonts w:ascii="Arial"/>
                <w:sz w:val="21"/>
              </w:rPr>
            </w:pPr>
          </w:p>
          <w:p w14:paraId="73FD2237">
            <w:pPr>
              <w:spacing w:line="289" w:lineRule="auto"/>
              <w:rPr>
                <w:rFonts w:ascii="Arial"/>
                <w:sz w:val="21"/>
              </w:rPr>
            </w:pPr>
          </w:p>
          <w:p w14:paraId="784053C7">
            <w:pPr>
              <w:pStyle w:val="8"/>
              <w:spacing w:before="59" w:line="220" w:lineRule="auto"/>
              <w:ind w:left="114"/>
            </w:pPr>
            <w:r>
              <w:rPr>
                <w:spacing w:val="-7"/>
              </w:rPr>
              <w:t>行政处罚</w:t>
            </w:r>
          </w:p>
        </w:tc>
        <w:tc>
          <w:tcPr>
            <w:tcW w:w="8806" w:type="dxa"/>
            <w:vAlign w:val="top"/>
          </w:tcPr>
          <w:p w14:paraId="1ED11379">
            <w:pPr>
              <w:spacing w:line="270" w:lineRule="auto"/>
              <w:rPr>
                <w:rFonts w:ascii="Arial"/>
                <w:sz w:val="21"/>
              </w:rPr>
            </w:pPr>
          </w:p>
          <w:p w14:paraId="79C1D39C">
            <w:pPr>
              <w:pStyle w:val="8"/>
              <w:spacing w:before="59" w:line="219" w:lineRule="auto"/>
              <w:ind w:left="469"/>
            </w:pPr>
            <w:r>
              <w:rPr>
                <w:b/>
                <w:bCs/>
                <w:spacing w:val="-6"/>
              </w:rPr>
              <w:t>《中华人民共和国内河交通安全管理条例》</w:t>
            </w:r>
          </w:p>
          <w:p w14:paraId="74779360">
            <w:pPr>
              <w:pStyle w:val="8"/>
              <w:spacing w:before="25" w:line="233" w:lineRule="auto"/>
              <w:ind w:left="109" w:right="100" w:firstLine="353"/>
            </w:pPr>
            <w:r>
              <w:rPr>
                <w:spacing w:val="-5"/>
              </w:rPr>
              <w:t>第四十六条第二款</w:t>
            </w:r>
            <w:r>
              <w:rPr>
                <w:spacing w:val="95"/>
                <w:w w:val="101"/>
              </w:rPr>
              <w:t xml:space="preserve"> </w:t>
            </w:r>
            <w:r>
              <w:rPr>
                <w:spacing w:val="-5"/>
              </w:rPr>
              <w:t>船舶、浮动设施发生碰撞等事故，任何一方应当在不危及自身安全的情况下，积极救助</w:t>
            </w:r>
            <w:r>
              <w:t xml:space="preserve"> </w:t>
            </w:r>
            <w:r>
              <w:rPr>
                <w:spacing w:val="-4"/>
              </w:rPr>
              <w:t>遇险的他方，不得逃逸。</w:t>
            </w:r>
          </w:p>
          <w:p w14:paraId="710897D8">
            <w:pPr>
              <w:pStyle w:val="8"/>
              <w:spacing w:before="26" w:line="237" w:lineRule="auto"/>
              <w:ind w:left="111" w:right="100" w:firstLine="352"/>
              <w:jc w:val="both"/>
            </w:pPr>
            <w:r>
              <w:rPr>
                <w:spacing w:val="-5"/>
              </w:rPr>
              <w:t>第八十三条</w:t>
            </w:r>
            <w:r>
              <w:rPr>
                <w:spacing w:val="95"/>
              </w:rPr>
              <w:t xml:space="preserve"> </w:t>
            </w:r>
            <w:r>
              <w:rPr>
                <w:spacing w:val="-5"/>
              </w:rPr>
              <w:t>违反本条例的规定，船舶、浮动设施发生内河交通事故后逃逸的，由海事管理机构对责任船员</w:t>
            </w:r>
            <w:r>
              <w:t xml:space="preserve"> </w:t>
            </w:r>
            <w:r>
              <w:rPr>
                <w:spacing w:val="-3"/>
              </w:rPr>
              <w:t>给予吊销适任证书或者其他适任证件的处罚；证书或者证件吊销后，5年内不得重新从业；触犯刑律的，依照刑</w:t>
            </w:r>
            <w:r>
              <w:rPr>
                <w:spacing w:val="4"/>
              </w:rPr>
              <w:t xml:space="preserve"> </w:t>
            </w:r>
            <w:r>
              <w:rPr>
                <w:spacing w:val="-4"/>
              </w:rPr>
              <w:t>法关于交通肇事罪或者其他罪的规定，依法追究刑事责任。</w:t>
            </w:r>
          </w:p>
        </w:tc>
        <w:tc>
          <w:tcPr>
            <w:tcW w:w="1043" w:type="dxa"/>
            <w:vAlign w:val="top"/>
          </w:tcPr>
          <w:p w14:paraId="4DD53395">
            <w:pPr>
              <w:spacing w:line="249" w:lineRule="auto"/>
              <w:rPr>
                <w:rFonts w:ascii="Arial"/>
                <w:sz w:val="21"/>
              </w:rPr>
            </w:pPr>
          </w:p>
          <w:p w14:paraId="6B4F1BFE">
            <w:pPr>
              <w:spacing w:line="249" w:lineRule="auto"/>
              <w:rPr>
                <w:rFonts w:ascii="Arial"/>
                <w:sz w:val="21"/>
              </w:rPr>
            </w:pPr>
          </w:p>
          <w:p w14:paraId="5EB7610C">
            <w:pPr>
              <w:spacing w:line="249" w:lineRule="auto"/>
              <w:rPr>
                <w:rFonts w:ascii="Arial"/>
                <w:sz w:val="21"/>
              </w:rPr>
            </w:pPr>
          </w:p>
          <w:p w14:paraId="664FBDAD">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31A3E843">
            <w:pPr>
              <w:spacing w:line="289" w:lineRule="auto"/>
              <w:rPr>
                <w:rFonts w:ascii="Arial"/>
                <w:sz w:val="21"/>
              </w:rPr>
            </w:pPr>
          </w:p>
          <w:p w14:paraId="294A400D">
            <w:pPr>
              <w:spacing w:line="289" w:lineRule="auto"/>
              <w:rPr>
                <w:rFonts w:ascii="Arial"/>
                <w:sz w:val="21"/>
              </w:rPr>
            </w:pPr>
          </w:p>
          <w:p w14:paraId="65D59FC0">
            <w:pPr>
              <w:spacing w:line="289" w:lineRule="auto"/>
              <w:rPr>
                <w:rFonts w:ascii="Arial"/>
                <w:sz w:val="21"/>
              </w:rPr>
            </w:pPr>
          </w:p>
          <w:p w14:paraId="2A969085">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989F541">
            <w:pPr>
              <w:spacing w:line="255" w:lineRule="auto"/>
              <w:rPr>
                <w:rFonts w:ascii="Arial"/>
                <w:sz w:val="21"/>
              </w:rPr>
            </w:pPr>
          </w:p>
          <w:p w14:paraId="3CE36612">
            <w:pPr>
              <w:spacing w:line="255" w:lineRule="auto"/>
              <w:rPr>
                <w:rFonts w:ascii="Arial"/>
                <w:sz w:val="21"/>
              </w:rPr>
            </w:pPr>
          </w:p>
          <w:p w14:paraId="354D8A78">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2F0ED79D">
      <w:pPr>
        <w:pStyle w:val="2"/>
      </w:pPr>
    </w:p>
    <w:p w14:paraId="5AFFF30E">
      <w:pPr>
        <w:sectPr>
          <w:footerReference r:id="rId180" w:type="default"/>
          <w:pgSz w:w="16839" w:h="11906"/>
          <w:pgMar w:top="1012" w:right="788" w:bottom="967" w:left="787" w:header="0" w:footer="768" w:gutter="0"/>
          <w:cols w:space="720" w:num="1"/>
        </w:sectPr>
      </w:pPr>
    </w:p>
    <w:p w14:paraId="065CD5C0">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655B8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4F2238F">
            <w:pPr>
              <w:pStyle w:val="8"/>
              <w:spacing w:before="267" w:line="221" w:lineRule="auto"/>
              <w:ind w:left="142"/>
            </w:pPr>
            <w:r>
              <w:rPr>
                <w:b/>
                <w:bCs/>
                <w:spacing w:val="-4"/>
              </w:rPr>
              <w:t>序号</w:t>
            </w:r>
          </w:p>
        </w:tc>
        <w:tc>
          <w:tcPr>
            <w:tcW w:w="1136" w:type="dxa"/>
            <w:vMerge w:val="restart"/>
            <w:tcBorders>
              <w:bottom w:val="nil"/>
            </w:tcBorders>
            <w:vAlign w:val="top"/>
          </w:tcPr>
          <w:p w14:paraId="196D3409">
            <w:pPr>
              <w:pStyle w:val="8"/>
              <w:spacing w:before="267" w:line="220" w:lineRule="auto"/>
              <w:ind w:left="208"/>
            </w:pPr>
            <w:r>
              <w:rPr>
                <w:b/>
                <w:bCs/>
                <w:spacing w:val="-4"/>
              </w:rPr>
              <w:t>事项名称</w:t>
            </w:r>
          </w:p>
        </w:tc>
        <w:tc>
          <w:tcPr>
            <w:tcW w:w="1136" w:type="dxa"/>
            <w:vMerge w:val="restart"/>
            <w:tcBorders>
              <w:bottom w:val="nil"/>
            </w:tcBorders>
            <w:vAlign w:val="top"/>
          </w:tcPr>
          <w:p w14:paraId="4132DFCA">
            <w:pPr>
              <w:pStyle w:val="8"/>
              <w:spacing w:before="267" w:line="219" w:lineRule="auto"/>
              <w:ind w:left="210"/>
            </w:pPr>
            <w:r>
              <w:rPr>
                <w:b/>
                <w:bCs/>
                <w:spacing w:val="-4"/>
              </w:rPr>
              <w:t>职权类型</w:t>
            </w:r>
          </w:p>
        </w:tc>
        <w:tc>
          <w:tcPr>
            <w:tcW w:w="8806" w:type="dxa"/>
            <w:vMerge w:val="restart"/>
            <w:tcBorders>
              <w:bottom w:val="nil"/>
            </w:tcBorders>
            <w:vAlign w:val="top"/>
          </w:tcPr>
          <w:p w14:paraId="288B678F">
            <w:pPr>
              <w:pStyle w:val="8"/>
              <w:spacing w:before="267" w:line="219" w:lineRule="auto"/>
              <w:ind w:left="4050"/>
            </w:pPr>
            <w:r>
              <w:rPr>
                <w:b/>
                <w:bCs/>
                <w:spacing w:val="-5"/>
              </w:rPr>
              <w:t>实施依据</w:t>
            </w:r>
          </w:p>
        </w:tc>
        <w:tc>
          <w:tcPr>
            <w:tcW w:w="3538" w:type="dxa"/>
            <w:gridSpan w:val="3"/>
            <w:vAlign w:val="top"/>
          </w:tcPr>
          <w:p w14:paraId="6BDC34B8">
            <w:pPr>
              <w:pStyle w:val="8"/>
              <w:spacing w:before="92" w:line="220" w:lineRule="auto"/>
              <w:ind w:left="1415"/>
            </w:pPr>
            <w:r>
              <w:rPr>
                <w:b/>
                <w:bCs/>
                <w:spacing w:val="-5"/>
              </w:rPr>
              <w:t>实施主体</w:t>
            </w:r>
          </w:p>
        </w:tc>
      </w:tr>
      <w:tr w14:paraId="2F8A1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05AC5AD">
            <w:pPr>
              <w:rPr>
                <w:rFonts w:ascii="Arial"/>
                <w:sz w:val="21"/>
              </w:rPr>
            </w:pPr>
          </w:p>
        </w:tc>
        <w:tc>
          <w:tcPr>
            <w:tcW w:w="1136" w:type="dxa"/>
            <w:vMerge w:val="continue"/>
            <w:tcBorders>
              <w:top w:val="nil"/>
            </w:tcBorders>
            <w:vAlign w:val="top"/>
          </w:tcPr>
          <w:p w14:paraId="5317D407">
            <w:pPr>
              <w:rPr>
                <w:rFonts w:ascii="Arial"/>
                <w:sz w:val="21"/>
              </w:rPr>
            </w:pPr>
          </w:p>
        </w:tc>
        <w:tc>
          <w:tcPr>
            <w:tcW w:w="1136" w:type="dxa"/>
            <w:vMerge w:val="continue"/>
            <w:tcBorders>
              <w:top w:val="nil"/>
            </w:tcBorders>
            <w:vAlign w:val="top"/>
          </w:tcPr>
          <w:p w14:paraId="6CAD9D28">
            <w:pPr>
              <w:rPr>
                <w:rFonts w:ascii="Arial"/>
                <w:sz w:val="21"/>
              </w:rPr>
            </w:pPr>
          </w:p>
        </w:tc>
        <w:tc>
          <w:tcPr>
            <w:tcW w:w="8806" w:type="dxa"/>
            <w:vMerge w:val="continue"/>
            <w:tcBorders>
              <w:top w:val="nil"/>
            </w:tcBorders>
            <w:vAlign w:val="top"/>
          </w:tcPr>
          <w:p w14:paraId="3DF278FD">
            <w:pPr>
              <w:rPr>
                <w:rFonts w:ascii="Arial"/>
                <w:sz w:val="21"/>
              </w:rPr>
            </w:pPr>
          </w:p>
        </w:tc>
        <w:tc>
          <w:tcPr>
            <w:tcW w:w="1043" w:type="dxa"/>
            <w:vAlign w:val="top"/>
          </w:tcPr>
          <w:p w14:paraId="109C1DB8">
            <w:pPr>
              <w:pStyle w:val="8"/>
              <w:spacing w:before="88" w:line="219" w:lineRule="auto"/>
              <w:ind w:left="171"/>
            </w:pPr>
            <w:r>
              <w:rPr>
                <w:b/>
                <w:bCs/>
                <w:spacing w:val="-5"/>
              </w:rPr>
              <w:t>责任部门</w:t>
            </w:r>
          </w:p>
        </w:tc>
        <w:tc>
          <w:tcPr>
            <w:tcW w:w="1448" w:type="dxa"/>
            <w:vAlign w:val="top"/>
          </w:tcPr>
          <w:p w14:paraId="59BAD3E3">
            <w:pPr>
              <w:pStyle w:val="8"/>
              <w:spacing w:before="88" w:line="219" w:lineRule="auto"/>
              <w:ind w:left="187"/>
            </w:pPr>
            <w:r>
              <w:rPr>
                <w:b/>
                <w:bCs/>
                <w:spacing w:val="-3"/>
              </w:rPr>
              <w:t>第一责任层级</w:t>
            </w:r>
          </w:p>
        </w:tc>
        <w:tc>
          <w:tcPr>
            <w:tcW w:w="1047" w:type="dxa"/>
            <w:vAlign w:val="top"/>
          </w:tcPr>
          <w:p w14:paraId="7FCE076B">
            <w:pPr>
              <w:pStyle w:val="8"/>
              <w:spacing w:before="88" w:line="219" w:lineRule="auto"/>
              <w:ind w:left="165"/>
            </w:pPr>
            <w:r>
              <w:rPr>
                <w:b/>
                <w:bCs/>
                <w:spacing w:val="-4"/>
              </w:rPr>
              <w:t>承办机构</w:t>
            </w:r>
          </w:p>
        </w:tc>
      </w:tr>
      <w:tr w14:paraId="41817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2" w:hRule="atLeast"/>
        </w:trPr>
        <w:tc>
          <w:tcPr>
            <w:tcW w:w="641" w:type="dxa"/>
            <w:vAlign w:val="top"/>
          </w:tcPr>
          <w:p w14:paraId="177C9C97">
            <w:pPr>
              <w:rPr>
                <w:rFonts w:ascii="Arial"/>
                <w:sz w:val="21"/>
              </w:rPr>
            </w:pPr>
          </w:p>
          <w:p w14:paraId="6A25066E">
            <w:pPr>
              <w:rPr>
                <w:rFonts w:ascii="Arial"/>
                <w:sz w:val="21"/>
              </w:rPr>
            </w:pPr>
          </w:p>
          <w:p w14:paraId="35219F3C">
            <w:pPr>
              <w:rPr>
                <w:rFonts w:ascii="Arial"/>
                <w:sz w:val="21"/>
              </w:rPr>
            </w:pPr>
          </w:p>
          <w:p w14:paraId="1D6AA1BE">
            <w:pPr>
              <w:rPr>
                <w:rFonts w:ascii="Arial"/>
                <w:sz w:val="21"/>
              </w:rPr>
            </w:pPr>
          </w:p>
          <w:p w14:paraId="5ACAD6D6">
            <w:pPr>
              <w:rPr>
                <w:rFonts w:ascii="Arial"/>
                <w:sz w:val="21"/>
              </w:rPr>
            </w:pPr>
          </w:p>
          <w:p w14:paraId="100D308A">
            <w:pPr>
              <w:rPr>
                <w:rFonts w:ascii="Arial"/>
                <w:sz w:val="21"/>
              </w:rPr>
            </w:pPr>
          </w:p>
          <w:p w14:paraId="09C5FE02">
            <w:pPr>
              <w:rPr>
                <w:rFonts w:ascii="Arial"/>
                <w:sz w:val="21"/>
              </w:rPr>
            </w:pPr>
          </w:p>
          <w:p w14:paraId="7EF9D678">
            <w:pPr>
              <w:spacing w:line="241" w:lineRule="auto"/>
              <w:rPr>
                <w:rFonts w:ascii="Arial"/>
                <w:sz w:val="21"/>
              </w:rPr>
            </w:pPr>
          </w:p>
          <w:p w14:paraId="7E12F03A">
            <w:pPr>
              <w:spacing w:line="241" w:lineRule="auto"/>
              <w:rPr>
                <w:rFonts w:ascii="Arial"/>
                <w:sz w:val="21"/>
              </w:rPr>
            </w:pPr>
          </w:p>
          <w:p w14:paraId="7628ADDF">
            <w:pPr>
              <w:spacing w:line="241" w:lineRule="auto"/>
              <w:rPr>
                <w:rFonts w:ascii="Arial"/>
                <w:sz w:val="21"/>
              </w:rPr>
            </w:pPr>
          </w:p>
          <w:p w14:paraId="580248BD">
            <w:pPr>
              <w:pStyle w:val="8"/>
              <w:spacing w:before="58" w:line="183" w:lineRule="auto"/>
              <w:ind w:left="236"/>
            </w:pPr>
            <w:r>
              <w:rPr>
                <w:spacing w:val="-4"/>
              </w:rPr>
              <w:t>29</w:t>
            </w:r>
          </w:p>
        </w:tc>
        <w:tc>
          <w:tcPr>
            <w:tcW w:w="1136" w:type="dxa"/>
            <w:vAlign w:val="top"/>
          </w:tcPr>
          <w:p w14:paraId="3785CF28">
            <w:pPr>
              <w:spacing w:line="257" w:lineRule="auto"/>
              <w:rPr>
                <w:rFonts w:ascii="Arial"/>
                <w:sz w:val="21"/>
              </w:rPr>
            </w:pPr>
          </w:p>
          <w:p w14:paraId="6716A5FA">
            <w:pPr>
              <w:spacing w:line="257" w:lineRule="auto"/>
              <w:rPr>
                <w:rFonts w:ascii="Arial"/>
                <w:sz w:val="21"/>
              </w:rPr>
            </w:pPr>
          </w:p>
          <w:p w14:paraId="0E9F99F4">
            <w:pPr>
              <w:spacing w:line="257" w:lineRule="auto"/>
              <w:rPr>
                <w:rFonts w:ascii="Arial"/>
                <w:sz w:val="21"/>
              </w:rPr>
            </w:pPr>
          </w:p>
          <w:p w14:paraId="0900211F">
            <w:pPr>
              <w:spacing w:line="257" w:lineRule="auto"/>
              <w:rPr>
                <w:rFonts w:ascii="Arial"/>
                <w:sz w:val="21"/>
              </w:rPr>
            </w:pPr>
          </w:p>
          <w:p w14:paraId="1CAD6A7F">
            <w:pPr>
              <w:spacing w:line="257" w:lineRule="auto"/>
              <w:rPr>
                <w:rFonts w:ascii="Arial"/>
                <w:sz w:val="21"/>
              </w:rPr>
            </w:pPr>
          </w:p>
          <w:p w14:paraId="2AE904DD">
            <w:pPr>
              <w:spacing w:line="258" w:lineRule="auto"/>
              <w:rPr>
                <w:rFonts w:ascii="Arial"/>
                <w:sz w:val="21"/>
              </w:rPr>
            </w:pPr>
          </w:p>
          <w:p w14:paraId="2991852B">
            <w:pPr>
              <w:pStyle w:val="8"/>
              <w:spacing w:before="58" w:line="243" w:lineRule="auto"/>
              <w:ind w:left="108" w:right="101"/>
            </w:pPr>
            <w:r>
              <w:rPr>
                <w:spacing w:val="3"/>
              </w:rPr>
              <w:t>对阻碍、妨</w:t>
            </w:r>
            <w:r>
              <w:rPr>
                <w:spacing w:val="1"/>
              </w:rPr>
              <w:t xml:space="preserve"> </w:t>
            </w:r>
            <w:r>
              <w:rPr>
                <w:spacing w:val="3"/>
              </w:rPr>
              <w:t>碍内河交通</w:t>
            </w:r>
            <w:r>
              <w:t xml:space="preserve"> </w:t>
            </w:r>
            <w:r>
              <w:rPr>
                <w:spacing w:val="4"/>
              </w:rPr>
              <w:t>事故调查取</w:t>
            </w:r>
            <w:r>
              <w:t xml:space="preserve"> </w:t>
            </w:r>
            <w:r>
              <w:rPr>
                <w:spacing w:val="4"/>
              </w:rPr>
              <w:t>证，或者谎</w:t>
            </w:r>
            <w:r>
              <w:t xml:space="preserve"> </w:t>
            </w:r>
            <w:r>
              <w:rPr>
                <w:spacing w:val="-2"/>
              </w:rPr>
              <w:t>报、匿报、</w:t>
            </w:r>
            <w:r>
              <w:rPr>
                <w:spacing w:val="1"/>
              </w:rPr>
              <w:t xml:space="preserve"> </w:t>
            </w:r>
            <w:r>
              <w:rPr>
                <w:spacing w:val="3"/>
              </w:rPr>
              <w:t>毁灭证据等</w:t>
            </w:r>
            <w:r>
              <w:rPr>
                <w:spacing w:val="2"/>
              </w:rPr>
              <w:t xml:space="preserve"> </w:t>
            </w:r>
            <w:r>
              <w:rPr>
                <w:spacing w:val="3"/>
              </w:rPr>
              <w:t>行为的行政</w:t>
            </w:r>
            <w:r>
              <w:rPr>
                <w:spacing w:val="2"/>
              </w:rPr>
              <w:t xml:space="preserve"> </w:t>
            </w:r>
            <w:r>
              <w:rPr>
                <w:spacing w:val="-3"/>
              </w:rPr>
              <w:t>处罚</w:t>
            </w:r>
          </w:p>
        </w:tc>
        <w:tc>
          <w:tcPr>
            <w:tcW w:w="1136" w:type="dxa"/>
            <w:vAlign w:val="top"/>
          </w:tcPr>
          <w:p w14:paraId="74760603">
            <w:pPr>
              <w:spacing w:line="263" w:lineRule="auto"/>
              <w:rPr>
                <w:rFonts w:ascii="Arial"/>
                <w:sz w:val="21"/>
              </w:rPr>
            </w:pPr>
          </w:p>
          <w:p w14:paraId="606F3989">
            <w:pPr>
              <w:spacing w:line="264" w:lineRule="auto"/>
              <w:rPr>
                <w:rFonts w:ascii="Arial"/>
                <w:sz w:val="21"/>
              </w:rPr>
            </w:pPr>
          </w:p>
          <w:p w14:paraId="44736F04">
            <w:pPr>
              <w:spacing w:line="264" w:lineRule="auto"/>
              <w:rPr>
                <w:rFonts w:ascii="Arial"/>
                <w:sz w:val="21"/>
              </w:rPr>
            </w:pPr>
          </w:p>
          <w:p w14:paraId="6C6A6A30">
            <w:pPr>
              <w:spacing w:line="264" w:lineRule="auto"/>
              <w:rPr>
                <w:rFonts w:ascii="Arial"/>
                <w:sz w:val="21"/>
              </w:rPr>
            </w:pPr>
          </w:p>
          <w:p w14:paraId="3A70D3F3">
            <w:pPr>
              <w:spacing w:line="264" w:lineRule="auto"/>
              <w:rPr>
                <w:rFonts w:ascii="Arial"/>
                <w:sz w:val="21"/>
              </w:rPr>
            </w:pPr>
          </w:p>
          <w:p w14:paraId="64A29ED5">
            <w:pPr>
              <w:spacing w:line="264" w:lineRule="auto"/>
              <w:rPr>
                <w:rFonts w:ascii="Arial"/>
                <w:sz w:val="21"/>
              </w:rPr>
            </w:pPr>
          </w:p>
          <w:p w14:paraId="15F4F556">
            <w:pPr>
              <w:spacing w:line="264" w:lineRule="auto"/>
              <w:rPr>
                <w:rFonts w:ascii="Arial"/>
                <w:sz w:val="21"/>
              </w:rPr>
            </w:pPr>
          </w:p>
          <w:p w14:paraId="52DD1B2C">
            <w:pPr>
              <w:spacing w:line="264" w:lineRule="auto"/>
              <w:rPr>
                <w:rFonts w:ascii="Arial"/>
                <w:sz w:val="21"/>
              </w:rPr>
            </w:pPr>
          </w:p>
          <w:p w14:paraId="0C45B8A3">
            <w:pPr>
              <w:spacing w:line="264" w:lineRule="auto"/>
              <w:rPr>
                <w:rFonts w:ascii="Arial"/>
                <w:sz w:val="21"/>
              </w:rPr>
            </w:pPr>
          </w:p>
          <w:p w14:paraId="64FC53F6">
            <w:pPr>
              <w:pStyle w:val="8"/>
              <w:spacing w:before="58" w:line="220" w:lineRule="auto"/>
              <w:ind w:left="114"/>
            </w:pPr>
            <w:r>
              <w:rPr>
                <w:spacing w:val="-7"/>
              </w:rPr>
              <w:t>行政处罚</w:t>
            </w:r>
          </w:p>
        </w:tc>
        <w:tc>
          <w:tcPr>
            <w:tcW w:w="8806" w:type="dxa"/>
            <w:vAlign w:val="top"/>
          </w:tcPr>
          <w:p w14:paraId="77D64DB0">
            <w:pPr>
              <w:pStyle w:val="8"/>
              <w:spacing w:before="31" w:line="219" w:lineRule="auto"/>
              <w:ind w:left="476"/>
            </w:pPr>
            <w:r>
              <w:rPr>
                <w:b/>
                <w:bCs/>
                <w:spacing w:val="-6"/>
              </w:rPr>
              <w:t>1.《中华人民共和国内河交通安全管理条例》</w:t>
            </w:r>
          </w:p>
          <w:p w14:paraId="384D5286">
            <w:pPr>
              <w:pStyle w:val="8"/>
              <w:spacing w:before="16" w:line="227" w:lineRule="auto"/>
              <w:ind w:left="114" w:right="100" w:firstLine="348"/>
            </w:pPr>
            <w:r>
              <w:rPr>
                <w:spacing w:val="-5"/>
              </w:rPr>
              <w:t>第五十条</w:t>
            </w:r>
            <w:r>
              <w:rPr>
                <w:spacing w:val="95"/>
              </w:rPr>
              <w:t xml:space="preserve"> </w:t>
            </w:r>
            <w:r>
              <w:rPr>
                <w:spacing w:val="-5"/>
              </w:rPr>
              <w:t>船舶、浮动设施发生交通事故，其所有人或者经营人必须立即向交通事故发生地海事管理机构报</w:t>
            </w:r>
            <w:r>
              <w:t xml:space="preserve"> </w:t>
            </w:r>
            <w:r>
              <w:rPr>
                <w:spacing w:val="-5"/>
              </w:rPr>
              <w:t>告，并做好现场保护工作。</w:t>
            </w:r>
          </w:p>
          <w:p w14:paraId="4FE6FB9D">
            <w:pPr>
              <w:pStyle w:val="8"/>
              <w:spacing w:before="15" w:line="228" w:lineRule="auto"/>
              <w:ind w:left="114" w:right="42" w:firstLine="349"/>
            </w:pPr>
            <w:r>
              <w:rPr>
                <w:spacing w:val="-7"/>
              </w:rPr>
              <w:t>第五十二条  接受海事管理机构调查、取证的有关人员，应当如实提供有关情况和证据，不得谎报或</w:t>
            </w:r>
            <w:r>
              <w:rPr>
                <w:spacing w:val="-8"/>
              </w:rPr>
              <w:t>者隐匿、</w:t>
            </w:r>
            <w:r>
              <w:t xml:space="preserve"> </w:t>
            </w:r>
            <w:r>
              <w:rPr>
                <w:spacing w:val="-5"/>
              </w:rPr>
              <w:t>毁灭证据。</w:t>
            </w:r>
          </w:p>
          <w:p w14:paraId="6251F2A1">
            <w:pPr>
              <w:pStyle w:val="8"/>
              <w:spacing w:before="16" w:line="232" w:lineRule="auto"/>
              <w:ind w:left="110" w:right="100" w:firstLine="352"/>
              <w:jc w:val="both"/>
            </w:pPr>
            <w:r>
              <w:rPr>
                <w:spacing w:val="-5"/>
              </w:rPr>
              <w:t>第八十四条</w:t>
            </w:r>
            <w:r>
              <w:rPr>
                <w:spacing w:val="95"/>
                <w:w w:val="101"/>
              </w:rPr>
              <w:t xml:space="preserve"> </w:t>
            </w:r>
            <w:r>
              <w:rPr>
                <w:spacing w:val="-5"/>
              </w:rPr>
              <w:t>违反本条例的规定，阻碍、妨碍内河交通事故调查取证，或者谎报、隐匿、毁灭证据的，由海</w:t>
            </w:r>
            <w:r>
              <w:t xml:space="preserve"> </w:t>
            </w:r>
            <w:r>
              <w:rPr>
                <w:spacing w:val="-3"/>
              </w:rPr>
              <w:t>事管理机构给予警告，并对直接责任人员处1000元以上1万元以下的罚款；属于船员的，并给予暂扣适任证书或</w:t>
            </w:r>
            <w:r>
              <w:rPr>
                <w:spacing w:val="11"/>
              </w:rPr>
              <w:t xml:space="preserve"> </w:t>
            </w:r>
            <w:r>
              <w:rPr>
                <w:spacing w:val="-5"/>
              </w:rPr>
              <w:t>者其他适任证件12个月以上直至吊销适任证书或者其他适任证件的处罚；以暴力、威胁方法阻碍内河交通事故调</w:t>
            </w:r>
            <w:r>
              <w:rPr>
                <w:spacing w:val="18"/>
              </w:rPr>
              <w:t xml:space="preserve"> </w:t>
            </w:r>
            <w:r>
              <w:rPr>
                <w:spacing w:val="-4"/>
              </w:rPr>
              <w:t>查取证的，依照刑法关于妨害公务罪的规定，依法追究刑事责任。</w:t>
            </w:r>
          </w:p>
          <w:p w14:paraId="50010EF5">
            <w:pPr>
              <w:pStyle w:val="8"/>
              <w:spacing w:before="14" w:line="219" w:lineRule="auto"/>
              <w:ind w:left="465"/>
            </w:pPr>
            <w:r>
              <w:rPr>
                <w:b/>
                <w:bCs/>
                <w:spacing w:val="-5"/>
              </w:rPr>
              <w:t>2.《中华人民共和国内河海事行政处罚规定》（交通运输部令2022年第28号）</w:t>
            </w:r>
          </w:p>
          <w:p w14:paraId="3B047CE9">
            <w:pPr>
              <w:pStyle w:val="8"/>
              <w:spacing w:before="17" w:line="232" w:lineRule="auto"/>
              <w:ind w:left="110" w:right="100" w:firstLine="352"/>
              <w:jc w:val="both"/>
            </w:pPr>
            <w:r>
              <w:rPr>
                <w:spacing w:val="-5"/>
              </w:rPr>
              <w:t>第三十一条</w:t>
            </w:r>
            <w:r>
              <w:rPr>
                <w:spacing w:val="95"/>
              </w:rPr>
              <w:t xml:space="preserve"> </w:t>
            </w:r>
            <w:r>
              <w:rPr>
                <w:spacing w:val="-5"/>
              </w:rPr>
              <w:t>违反《内河交通安全管理条例》第五十条、第五十二条的规定，船舶、浮动设施发生水上交通</w:t>
            </w:r>
            <w:r>
              <w:t xml:space="preserve"> </w:t>
            </w:r>
            <w:r>
              <w:rPr>
                <w:spacing w:val="-5"/>
              </w:rPr>
              <w:t>事故，阻碍、妨碍内河交通事故调查取证，或者谎报、匿报、毁灭证据的，依照《内河交通安全管理条例》第八</w:t>
            </w:r>
            <w:r>
              <w:rPr>
                <w:spacing w:val="13"/>
              </w:rPr>
              <w:t xml:space="preserve"> </w:t>
            </w:r>
            <w:r>
              <w:rPr>
                <w:spacing w:val="-3"/>
              </w:rPr>
              <w:t>十四条的规定，给予警告，并对直接责任人员处以1000元以上1万元以下的罚款；属于船员的，并给予扣留船员</w:t>
            </w:r>
            <w:r>
              <w:rPr>
                <w:spacing w:val="11"/>
              </w:rPr>
              <w:t xml:space="preserve"> </w:t>
            </w:r>
            <w:r>
              <w:rPr>
                <w:spacing w:val="-4"/>
              </w:rPr>
              <w:t>适任证书或者其他适任证件12个月以上直至吊销船员适任证书或者其他适任证件的处罚。</w:t>
            </w:r>
          </w:p>
          <w:p w14:paraId="08C68BE1">
            <w:pPr>
              <w:pStyle w:val="8"/>
              <w:spacing w:before="16" w:line="233" w:lineRule="auto"/>
              <w:ind w:left="109" w:right="86" w:firstLine="354"/>
              <w:jc w:val="both"/>
            </w:pPr>
            <w:r>
              <w:rPr>
                <w:spacing w:val="-3"/>
              </w:rPr>
              <w:t>本条前款所称阻碍、妨碍内河交通事故调查取证，包括下列情形</w:t>
            </w:r>
            <w:r>
              <w:rPr>
                <w:spacing w:val="-17"/>
              </w:rPr>
              <w:t>：（</w:t>
            </w:r>
            <w:r>
              <w:rPr>
                <w:spacing w:val="-4"/>
              </w:rPr>
              <w:t>一）未按照规定立即报告事故</w:t>
            </w:r>
            <w:r>
              <w:rPr>
                <w:spacing w:val="-17"/>
              </w:rPr>
              <w:t>；（</w:t>
            </w:r>
            <w:r>
              <w:rPr>
                <w:spacing w:val="-4"/>
              </w:rPr>
              <w:t>二）</w:t>
            </w:r>
            <w:r>
              <w:rPr>
                <w:spacing w:val="1"/>
              </w:rPr>
              <w:t xml:space="preserve"> </w:t>
            </w:r>
            <w:r>
              <w:rPr>
                <w:spacing w:val="-3"/>
              </w:rPr>
              <w:t>事故报告内容不真实，不符合规定要求</w:t>
            </w:r>
            <w:r>
              <w:rPr>
                <w:spacing w:val="-21"/>
              </w:rPr>
              <w:t>；（</w:t>
            </w:r>
            <w:r>
              <w:rPr>
                <w:spacing w:val="-3"/>
              </w:rPr>
              <w:t>三）事故发生后，未做好现场</w:t>
            </w:r>
            <w:r>
              <w:rPr>
                <w:spacing w:val="-4"/>
              </w:rPr>
              <w:t>保护，影响事故调查进行</w:t>
            </w:r>
            <w:r>
              <w:rPr>
                <w:spacing w:val="-21"/>
              </w:rPr>
              <w:t>；（</w:t>
            </w:r>
            <w:r>
              <w:rPr>
                <w:spacing w:val="-4"/>
              </w:rPr>
              <w:t>四）在未</w:t>
            </w:r>
            <w:r>
              <w:rPr>
                <w:spacing w:val="3"/>
              </w:rPr>
              <w:t xml:space="preserve"> </w:t>
            </w:r>
            <w:r>
              <w:rPr>
                <w:spacing w:val="-3"/>
              </w:rPr>
              <w:t>出现危及船舶安全的情况下，未经海事管理机构的同意擅</w:t>
            </w:r>
            <w:r>
              <w:rPr>
                <w:spacing w:val="-4"/>
              </w:rPr>
              <w:t>自驶离指定地点</w:t>
            </w:r>
            <w:r>
              <w:rPr>
                <w:spacing w:val="-34"/>
              </w:rPr>
              <w:t>；（</w:t>
            </w:r>
            <w:r>
              <w:rPr>
                <w:spacing w:val="-4"/>
              </w:rPr>
              <w:t>五）未按照海事管理机构的要求驶</w:t>
            </w:r>
            <w:r>
              <w:t xml:space="preserve"> </w:t>
            </w:r>
            <w:r>
              <w:rPr>
                <w:spacing w:val="-3"/>
              </w:rPr>
              <w:t>往指定地点影响事故调查工作</w:t>
            </w:r>
            <w:r>
              <w:rPr>
                <w:spacing w:val="-22"/>
              </w:rPr>
              <w:t>；（</w:t>
            </w:r>
            <w:r>
              <w:rPr>
                <w:spacing w:val="-3"/>
              </w:rPr>
              <w:t>六）拒绝接受事故调查或者阻碍、妨碍进行事故调</w:t>
            </w:r>
            <w:r>
              <w:rPr>
                <w:spacing w:val="-4"/>
              </w:rPr>
              <w:t>查取证</w:t>
            </w:r>
            <w:r>
              <w:rPr>
                <w:spacing w:val="-22"/>
              </w:rPr>
              <w:t>；（</w:t>
            </w:r>
            <w:r>
              <w:rPr>
                <w:spacing w:val="-4"/>
              </w:rPr>
              <w:t>七）因水上交通</w:t>
            </w:r>
            <w:r>
              <w:t xml:space="preserve"> </w:t>
            </w:r>
            <w:r>
              <w:rPr>
                <w:spacing w:val="-5"/>
              </w:rPr>
              <w:t>事故致使船舶、设施发生损害，未按照规定进行检验或者鉴定，或者不向海事管理机构提交检验或者鉴定报告副</w:t>
            </w:r>
            <w:r>
              <w:rPr>
                <w:spacing w:val="14"/>
              </w:rPr>
              <w:t xml:space="preserve"> </w:t>
            </w:r>
            <w:r>
              <w:rPr>
                <w:spacing w:val="-3"/>
              </w:rPr>
              <w:t>本，影响事故调查</w:t>
            </w:r>
            <w:r>
              <w:rPr>
                <w:spacing w:val="-17"/>
              </w:rPr>
              <w:t>；（</w:t>
            </w:r>
            <w:r>
              <w:rPr>
                <w:spacing w:val="-3"/>
              </w:rPr>
              <w:t>八）其他阻碍、妨碍内河交通事故调</w:t>
            </w:r>
            <w:r>
              <w:rPr>
                <w:spacing w:val="-4"/>
              </w:rPr>
              <w:t>查取证的情形。</w:t>
            </w:r>
          </w:p>
          <w:p w14:paraId="2186C5D1">
            <w:pPr>
              <w:pStyle w:val="8"/>
              <w:spacing w:before="18" w:line="215" w:lineRule="auto"/>
              <w:ind w:left="113" w:right="86" w:firstLine="350"/>
            </w:pPr>
            <w:r>
              <w:rPr>
                <w:spacing w:val="-3"/>
              </w:rPr>
              <w:t>本条第一款所称谎报、匿报、毁灭证据，包括下列情形</w:t>
            </w:r>
            <w:r>
              <w:rPr>
                <w:spacing w:val="-18"/>
              </w:rPr>
              <w:t>：（</w:t>
            </w:r>
            <w:r>
              <w:rPr>
                <w:spacing w:val="-3"/>
              </w:rPr>
              <w:t>一）隐瞒事实</w:t>
            </w:r>
            <w:r>
              <w:rPr>
                <w:spacing w:val="-4"/>
              </w:rPr>
              <w:t>或者提供虚假证明、证词</w:t>
            </w:r>
            <w:r>
              <w:rPr>
                <w:spacing w:val="-18"/>
              </w:rPr>
              <w:t>；（</w:t>
            </w:r>
            <w:r>
              <w:rPr>
                <w:spacing w:val="-4"/>
              </w:rPr>
              <w:t>二）</w:t>
            </w:r>
            <w:r>
              <w:rPr>
                <w:spacing w:val="3"/>
              </w:rPr>
              <w:t xml:space="preserve"> </w:t>
            </w:r>
            <w:r>
              <w:rPr>
                <w:spacing w:val="-3"/>
              </w:rPr>
              <w:t>故意涂改航海日志等法定文书、文件</w:t>
            </w:r>
            <w:r>
              <w:rPr>
                <w:spacing w:val="-17"/>
              </w:rPr>
              <w:t>；（</w:t>
            </w:r>
            <w:r>
              <w:rPr>
                <w:spacing w:val="-3"/>
              </w:rPr>
              <w:t>三）其他谎</w:t>
            </w:r>
            <w:r>
              <w:rPr>
                <w:spacing w:val="-4"/>
              </w:rPr>
              <w:t>报、匿报、毁灭证据的情形。</w:t>
            </w:r>
          </w:p>
        </w:tc>
        <w:tc>
          <w:tcPr>
            <w:tcW w:w="1043" w:type="dxa"/>
            <w:vAlign w:val="top"/>
          </w:tcPr>
          <w:p w14:paraId="5EEB702B">
            <w:pPr>
              <w:spacing w:line="250" w:lineRule="auto"/>
              <w:rPr>
                <w:rFonts w:ascii="Arial"/>
                <w:sz w:val="21"/>
              </w:rPr>
            </w:pPr>
          </w:p>
          <w:p w14:paraId="58598478">
            <w:pPr>
              <w:spacing w:line="250" w:lineRule="auto"/>
              <w:rPr>
                <w:rFonts w:ascii="Arial"/>
                <w:sz w:val="21"/>
              </w:rPr>
            </w:pPr>
          </w:p>
          <w:p w14:paraId="10737BEF">
            <w:pPr>
              <w:spacing w:line="250" w:lineRule="auto"/>
              <w:rPr>
                <w:rFonts w:ascii="Arial"/>
                <w:sz w:val="21"/>
              </w:rPr>
            </w:pPr>
          </w:p>
          <w:p w14:paraId="02593FA9">
            <w:pPr>
              <w:spacing w:line="250" w:lineRule="auto"/>
              <w:rPr>
                <w:rFonts w:ascii="Arial"/>
                <w:sz w:val="21"/>
              </w:rPr>
            </w:pPr>
          </w:p>
          <w:p w14:paraId="433B68F5">
            <w:pPr>
              <w:spacing w:line="251" w:lineRule="auto"/>
              <w:rPr>
                <w:rFonts w:ascii="Arial"/>
                <w:sz w:val="21"/>
              </w:rPr>
            </w:pPr>
          </w:p>
          <w:p w14:paraId="79FF1321">
            <w:pPr>
              <w:spacing w:line="251" w:lineRule="auto"/>
              <w:rPr>
                <w:rFonts w:ascii="Arial"/>
                <w:sz w:val="21"/>
              </w:rPr>
            </w:pPr>
          </w:p>
          <w:p w14:paraId="68A2E9E3">
            <w:pPr>
              <w:spacing w:line="251" w:lineRule="auto"/>
              <w:rPr>
                <w:rFonts w:ascii="Arial"/>
                <w:sz w:val="21"/>
              </w:rPr>
            </w:pPr>
          </w:p>
          <w:p w14:paraId="7DD5A1F9">
            <w:pPr>
              <w:spacing w:line="251" w:lineRule="auto"/>
              <w:rPr>
                <w:rFonts w:ascii="Arial"/>
                <w:sz w:val="21"/>
              </w:rPr>
            </w:pPr>
          </w:p>
          <w:p w14:paraId="0CAD9176">
            <w:pPr>
              <w:spacing w:line="251" w:lineRule="auto"/>
              <w:rPr>
                <w:rFonts w:ascii="Arial"/>
                <w:sz w:val="21"/>
              </w:rPr>
            </w:pPr>
          </w:p>
          <w:p w14:paraId="0B69B9DB">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F87391C">
            <w:pPr>
              <w:spacing w:line="263" w:lineRule="auto"/>
              <w:rPr>
                <w:rFonts w:ascii="Arial"/>
                <w:sz w:val="21"/>
              </w:rPr>
            </w:pPr>
          </w:p>
          <w:p w14:paraId="36D3C70A">
            <w:pPr>
              <w:spacing w:line="264" w:lineRule="auto"/>
              <w:rPr>
                <w:rFonts w:ascii="Arial"/>
                <w:sz w:val="21"/>
              </w:rPr>
            </w:pPr>
          </w:p>
          <w:p w14:paraId="0B1499E3">
            <w:pPr>
              <w:spacing w:line="264" w:lineRule="auto"/>
              <w:rPr>
                <w:rFonts w:ascii="Arial"/>
                <w:sz w:val="21"/>
              </w:rPr>
            </w:pPr>
          </w:p>
          <w:p w14:paraId="499BC9B0">
            <w:pPr>
              <w:spacing w:line="264" w:lineRule="auto"/>
              <w:rPr>
                <w:rFonts w:ascii="Arial"/>
                <w:sz w:val="21"/>
              </w:rPr>
            </w:pPr>
          </w:p>
          <w:p w14:paraId="33F2C7CD">
            <w:pPr>
              <w:spacing w:line="264" w:lineRule="auto"/>
              <w:rPr>
                <w:rFonts w:ascii="Arial"/>
                <w:sz w:val="21"/>
              </w:rPr>
            </w:pPr>
          </w:p>
          <w:p w14:paraId="60964DFC">
            <w:pPr>
              <w:spacing w:line="264" w:lineRule="auto"/>
              <w:rPr>
                <w:rFonts w:ascii="Arial"/>
                <w:sz w:val="21"/>
              </w:rPr>
            </w:pPr>
          </w:p>
          <w:p w14:paraId="3F028575">
            <w:pPr>
              <w:spacing w:line="264" w:lineRule="auto"/>
              <w:rPr>
                <w:rFonts w:ascii="Arial"/>
                <w:sz w:val="21"/>
              </w:rPr>
            </w:pPr>
          </w:p>
          <w:p w14:paraId="68453A86">
            <w:pPr>
              <w:spacing w:line="264" w:lineRule="auto"/>
              <w:rPr>
                <w:rFonts w:ascii="Arial"/>
                <w:sz w:val="21"/>
              </w:rPr>
            </w:pPr>
          </w:p>
          <w:p w14:paraId="47FA2C4E">
            <w:pPr>
              <w:spacing w:line="264" w:lineRule="auto"/>
              <w:rPr>
                <w:rFonts w:ascii="Arial"/>
                <w:sz w:val="21"/>
              </w:rPr>
            </w:pPr>
          </w:p>
          <w:p w14:paraId="75787CA3">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8C97E2B">
            <w:pPr>
              <w:spacing w:line="252" w:lineRule="auto"/>
              <w:rPr>
                <w:rFonts w:ascii="Arial"/>
                <w:sz w:val="21"/>
              </w:rPr>
            </w:pPr>
          </w:p>
          <w:p w14:paraId="29037A93">
            <w:pPr>
              <w:spacing w:line="252" w:lineRule="auto"/>
              <w:rPr>
                <w:rFonts w:ascii="Arial"/>
                <w:sz w:val="21"/>
              </w:rPr>
            </w:pPr>
          </w:p>
          <w:p w14:paraId="2C7EC0B2">
            <w:pPr>
              <w:spacing w:line="252" w:lineRule="auto"/>
              <w:rPr>
                <w:rFonts w:ascii="Arial"/>
                <w:sz w:val="21"/>
              </w:rPr>
            </w:pPr>
          </w:p>
          <w:p w14:paraId="7C7B0C6D">
            <w:pPr>
              <w:spacing w:line="252" w:lineRule="auto"/>
              <w:rPr>
                <w:rFonts w:ascii="Arial"/>
                <w:sz w:val="21"/>
              </w:rPr>
            </w:pPr>
          </w:p>
          <w:p w14:paraId="1EEAED08">
            <w:pPr>
              <w:spacing w:line="252" w:lineRule="auto"/>
              <w:rPr>
                <w:rFonts w:ascii="Arial"/>
                <w:sz w:val="21"/>
              </w:rPr>
            </w:pPr>
          </w:p>
          <w:p w14:paraId="0BC82C66">
            <w:pPr>
              <w:spacing w:line="252" w:lineRule="auto"/>
              <w:rPr>
                <w:rFonts w:ascii="Arial"/>
                <w:sz w:val="21"/>
              </w:rPr>
            </w:pPr>
          </w:p>
          <w:p w14:paraId="6BE569EA">
            <w:pPr>
              <w:spacing w:line="253" w:lineRule="auto"/>
              <w:rPr>
                <w:rFonts w:ascii="Arial"/>
                <w:sz w:val="21"/>
              </w:rPr>
            </w:pPr>
          </w:p>
          <w:p w14:paraId="211ECBCD">
            <w:pPr>
              <w:spacing w:line="253" w:lineRule="auto"/>
              <w:rPr>
                <w:rFonts w:ascii="Arial"/>
                <w:sz w:val="21"/>
              </w:rPr>
            </w:pPr>
          </w:p>
          <w:p w14:paraId="0057138C">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6899C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6" w:hRule="atLeast"/>
        </w:trPr>
        <w:tc>
          <w:tcPr>
            <w:tcW w:w="641" w:type="dxa"/>
            <w:vAlign w:val="top"/>
          </w:tcPr>
          <w:p w14:paraId="46B85A35">
            <w:pPr>
              <w:spacing w:line="257" w:lineRule="auto"/>
              <w:rPr>
                <w:rFonts w:ascii="Arial"/>
                <w:sz w:val="21"/>
              </w:rPr>
            </w:pPr>
          </w:p>
          <w:p w14:paraId="59DA7D77">
            <w:pPr>
              <w:spacing w:line="257" w:lineRule="auto"/>
              <w:rPr>
                <w:rFonts w:ascii="Arial"/>
                <w:sz w:val="21"/>
              </w:rPr>
            </w:pPr>
          </w:p>
          <w:p w14:paraId="37E6654E">
            <w:pPr>
              <w:spacing w:line="257" w:lineRule="auto"/>
              <w:rPr>
                <w:rFonts w:ascii="Arial"/>
                <w:sz w:val="21"/>
              </w:rPr>
            </w:pPr>
          </w:p>
          <w:p w14:paraId="71D46FAA">
            <w:pPr>
              <w:spacing w:line="257" w:lineRule="auto"/>
              <w:rPr>
                <w:rFonts w:ascii="Arial"/>
                <w:sz w:val="21"/>
              </w:rPr>
            </w:pPr>
          </w:p>
          <w:p w14:paraId="3A136CC5">
            <w:pPr>
              <w:spacing w:line="257" w:lineRule="auto"/>
              <w:rPr>
                <w:rFonts w:ascii="Arial"/>
                <w:sz w:val="21"/>
              </w:rPr>
            </w:pPr>
          </w:p>
          <w:p w14:paraId="074E67E5">
            <w:pPr>
              <w:spacing w:line="258" w:lineRule="auto"/>
              <w:rPr>
                <w:rFonts w:ascii="Arial"/>
                <w:sz w:val="21"/>
              </w:rPr>
            </w:pPr>
          </w:p>
          <w:p w14:paraId="444A6930">
            <w:pPr>
              <w:spacing w:line="258" w:lineRule="auto"/>
              <w:rPr>
                <w:rFonts w:ascii="Arial"/>
                <w:sz w:val="21"/>
              </w:rPr>
            </w:pPr>
          </w:p>
          <w:p w14:paraId="1A4266FD">
            <w:pPr>
              <w:pStyle w:val="8"/>
              <w:spacing w:before="59" w:line="183" w:lineRule="auto"/>
              <w:ind w:left="238"/>
            </w:pPr>
            <w:r>
              <w:rPr>
                <w:spacing w:val="-5"/>
              </w:rPr>
              <w:t>30</w:t>
            </w:r>
          </w:p>
        </w:tc>
        <w:tc>
          <w:tcPr>
            <w:tcW w:w="1136" w:type="dxa"/>
            <w:vAlign w:val="top"/>
          </w:tcPr>
          <w:p w14:paraId="1751A02B">
            <w:pPr>
              <w:spacing w:line="273" w:lineRule="auto"/>
              <w:rPr>
                <w:rFonts w:ascii="Arial"/>
                <w:sz w:val="21"/>
              </w:rPr>
            </w:pPr>
          </w:p>
          <w:p w14:paraId="29576C50">
            <w:pPr>
              <w:spacing w:line="274" w:lineRule="auto"/>
              <w:rPr>
                <w:rFonts w:ascii="Arial"/>
                <w:sz w:val="21"/>
              </w:rPr>
            </w:pPr>
          </w:p>
          <w:p w14:paraId="3DDADFFF">
            <w:pPr>
              <w:spacing w:line="274" w:lineRule="auto"/>
              <w:rPr>
                <w:rFonts w:ascii="Arial"/>
                <w:sz w:val="21"/>
              </w:rPr>
            </w:pPr>
          </w:p>
          <w:p w14:paraId="2CD2D86E">
            <w:pPr>
              <w:pStyle w:val="8"/>
              <w:spacing w:before="59" w:line="243" w:lineRule="auto"/>
              <w:ind w:left="109" w:right="97"/>
              <w:jc w:val="both"/>
            </w:pPr>
            <w:r>
              <w:rPr>
                <w:spacing w:val="3"/>
              </w:rPr>
              <w:t>对以不正当</w:t>
            </w:r>
            <w:r>
              <w:rPr>
                <w:spacing w:val="1"/>
              </w:rPr>
              <w:t xml:space="preserve"> </w:t>
            </w:r>
            <w:r>
              <w:rPr>
                <w:spacing w:val="4"/>
              </w:rPr>
              <w:t>手段取得船</w:t>
            </w:r>
            <w:r>
              <w:t xml:space="preserve"> </w:t>
            </w:r>
            <w:r>
              <w:rPr>
                <w:spacing w:val="-7"/>
              </w:rPr>
              <w:t>员</w:t>
            </w:r>
            <w:r>
              <w:rPr>
                <w:spacing w:val="-16"/>
              </w:rPr>
              <w:t xml:space="preserve"> </w:t>
            </w:r>
            <w:r>
              <w:rPr>
                <w:spacing w:val="-7"/>
              </w:rPr>
              <w:t>适</w:t>
            </w:r>
            <w:r>
              <w:rPr>
                <w:spacing w:val="-15"/>
              </w:rPr>
              <w:t xml:space="preserve"> </w:t>
            </w:r>
            <w:r>
              <w:rPr>
                <w:spacing w:val="-7"/>
              </w:rPr>
              <w:t>任</w:t>
            </w:r>
            <w:r>
              <w:rPr>
                <w:spacing w:val="-16"/>
              </w:rPr>
              <w:t xml:space="preserve"> </w:t>
            </w:r>
            <w:r>
              <w:rPr>
                <w:spacing w:val="-7"/>
              </w:rPr>
              <w:t>证</w:t>
            </w:r>
            <w:r>
              <w:t xml:space="preserve"> </w:t>
            </w:r>
            <w:r>
              <w:rPr>
                <w:spacing w:val="3"/>
              </w:rPr>
              <w:t>书、船员培</w:t>
            </w:r>
            <w:r>
              <w:t xml:space="preserve"> </w:t>
            </w:r>
            <w:r>
              <w:rPr>
                <w:spacing w:val="-8"/>
              </w:rPr>
              <w:t>训</w:t>
            </w:r>
            <w:r>
              <w:rPr>
                <w:spacing w:val="-13"/>
              </w:rPr>
              <w:t xml:space="preserve"> </w:t>
            </w:r>
            <w:r>
              <w:rPr>
                <w:spacing w:val="-8"/>
              </w:rPr>
              <w:t>合</w:t>
            </w:r>
            <w:r>
              <w:rPr>
                <w:spacing w:val="-14"/>
              </w:rPr>
              <w:t xml:space="preserve"> </w:t>
            </w:r>
            <w:r>
              <w:rPr>
                <w:spacing w:val="-8"/>
              </w:rPr>
              <w:t>格</w:t>
            </w:r>
            <w:r>
              <w:rPr>
                <w:spacing w:val="-16"/>
              </w:rPr>
              <w:t xml:space="preserve"> </w:t>
            </w:r>
            <w:r>
              <w:rPr>
                <w:spacing w:val="-8"/>
              </w:rPr>
              <w:t>证</w:t>
            </w:r>
            <w:r>
              <w:t xml:space="preserve"> </w:t>
            </w:r>
            <w:r>
              <w:rPr>
                <w:spacing w:val="2"/>
              </w:rPr>
              <w:t>书、</w:t>
            </w:r>
            <w:r>
              <w:rPr>
                <w:rFonts w:hint="eastAsia"/>
                <w:spacing w:val="2"/>
                <w:lang w:eastAsia="zh-CN"/>
              </w:rPr>
              <w:t>中华人民</w:t>
            </w:r>
            <w:r>
              <w:rPr>
                <w:spacing w:val="3"/>
              </w:rPr>
              <w:t>共和国海</w:t>
            </w:r>
            <w:r>
              <w:t xml:space="preserve"> </w:t>
            </w:r>
            <w:r>
              <w:rPr>
                <w:spacing w:val="4"/>
              </w:rPr>
              <w:t>员证行为的</w:t>
            </w:r>
            <w:r>
              <w:rPr>
                <w:spacing w:val="3"/>
              </w:rPr>
              <w:t xml:space="preserve"> </w:t>
            </w:r>
            <w:r>
              <w:rPr>
                <w:spacing w:val="-3"/>
              </w:rPr>
              <w:t>行政处罚</w:t>
            </w:r>
          </w:p>
        </w:tc>
        <w:tc>
          <w:tcPr>
            <w:tcW w:w="1136" w:type="dxa"/>
            <w:vAlign w:val="top"/>
          </w:tcPr>
          <w:p w14:paraId="7997AB69">
            <w:pPr>
              <w:spacing w:line="253" w:lineRule="auto"/>
              <w:rPr>
                <w:rFonts w:ascii="Arial"/>
                <w:sz w:val="21"/>
              </w:rPr>
            </w:pPr>
          </w:p>
          <w:p w14:paraId="0CBA9063">
            <w:pPr>
              <w:spacing w:line="253" w:lineRule="auto"/>
              <w:rPr>
                <w:rFonts w:ascii="Arial"/>
                <w:sz w:val="21"/>
              </w:rPr>
            </w:pPr>
          </w:p>
          <w:p w14:paraId="5C7CF1FD">
            <w:pPr>
              <w:spacing w:line="253" w:lineRule="auto"/>
              <w:rPr>
                <w:rFonts w:ascii="Arial"/>
                <w:sz w:val="21"/>
              </w:rPr>
            </w:pPr>
          </w:p>
          <w:p w14:paraId="42795CF0">
            <w:pPr>
              <w:spacing w:line="253" w:lineRule="auto"/>
              <w:rPr>
                <w:rFonts w:ascii="Arial"/>
                <w:sz w:val="21"/>
              </w:rPr>
            </w:pPr>
          </w:p>
          <w:p w14:paraId="5CB0C94B">
            <w:pPr>
              <w:spacing w:line="253" w:lineRule="auto"/>
              <w:rPr>
                <w:rFonts w:ascii="Arial"/>
                <w:sz w:val="21"/>
              </w:rPr>
            </w:pPr>
          </w:p>
          <w:p w14:paraId="7440A415">
            <w:pPr>
              <w:spacing w:line="254" w:lineRule="auto"/>
              <w:rPr>
                <w:rFonts w:ascii="Arial"/>
                <w:sz w:val="21"/>
              </w:rPr>
            </w:pPr>
          </w:p>
          <w:p w14:paraId="0A4AD126">
            <w:pPr>
              <w:spacing w:line="254" w:lineRule="auto"/>
              <w:rPr>
                <w:rFonts w:ascii="Arial"/>
                <w:sz w:val="21"/>
              </w:rPr>
            </w:pPr>
          </w:p>
          <w:p w14:paraId="0E00179F">
            <w:pPr>
              <w:pStyle w:val="8"/>
              <w:spacing w:before="58" w:line="220" w:lineRule="auto"/>
              <w:ind w:left="114"/>
            </w:pPr>
            <w:r>
              <w:rPr>
                <w:spacing w:val="-7"/>
              </w:rPr>
              <w:t>行政处罚</w:t>
            </w:r>
          </w:p>
        </w:tc>
        <w:tc>
          <w:tcPr>
            <w:tcW w:w="8806" w:type="dxa"/>
            <w:vAlign w:val="top"/>
          </w:tcPr>
          <w:p w14:paraId="6AA9004B">
            <w:pPr>
              <w:pStyle w:val="8"/>
              <w:spacing w:before="43" w:line="219" w:lineRule="auto"/>
              <w:ind w:left="476"/>
            </w:pPr>
            <w:r>
              <w:rPr>
                <w:b/>
                <w:bCs/>
                <w:spacing w:val="-6"/>
              </w:rPr>
              <w:t>1.《中华人民共和国船员条例》</w:t>
            </w:r>
          </w:p>
          <w:p w14:paraId="43F0A822">
            <w:pPr>
              <w:pStyle w:val="8"/>
              <w:spacing w:before="25" w:line="219" w:lineRule="auto"/>
              <w:ind w:left="463"/>
            </w:pPr>
            <w:r>
              <w:rPr>
                <w:spacing w:val="-4"/>
              </w:rPr>
              <w:t>第五条</w:t>
            </w:r>
            <w:r>
              <w:rPr>
                <w:spacing w:val="83"/>
              </w:rPr>
              <w:t xml:space="preserve"> </w:t>
            </w:r>
            <w:r>
              <w:rPr>
                <w:spacing w:val="-4"/>
              </w:rPr>
              <w:t>船员应当依照本条例的规定取得相应的船员适</w:t>
            </w:r>
            <w:r>
              <w:rPr>
                <w:spacing w:val="-5"/>
              </w:rPr>
              <w:t>任证书。</w:t>
            </w:r>
          </w:p>
          <w:p w14:paraId="6A7E9B82">
            <w:pPr>
              <w:pStyle w:val="8"/>
              <w:spacing w:before="25" w:line="233" w:lineRule="auto"/>
              <w:ind w:left="111" w:right="100" w:firstLine="375"/>
            </w:pPr>
            <w:r>
              <w:rPr>
                <w:spacing w:val="-5"/>
              </w:rPr>
              <w:t>申请船员适任证书，应当具备下列条件：(一)年满18周岁(在船实习、见习人员年满16周岁)且初次申请不超</w:t>
            </w:r>
            <w:r>
              <w:rPr>
                <w:spacing w:val="7"/>
              </w:rPr>
              <w:t xml:space="preserve"> </w:t>
            </w:r>
            <w:r>
              <w:rPr>
                <w:spacing w:val="-5"/>
              </w:rPr>
              <w:t>过60周岁；(二)符合船员任职岗位健康要求；</w:t>
            </w:r>
            <w:r>
              <w:rPr>
                <w:spacing w:val="-44"/>
              </w:rPr>
              <w:t xml:space="preserve"> </w:t>
            </w:r>
            <w:r>
              <w:rPr>
                <w:spacing w:val="-5"/>
              </w:rPr>
              <w:t>(三)经过船员基本安全培训。</w:t>
            </w:r>
          </w:p>
          <w:p w14:paraId="5F27C6C4">
            <w:pPr>
              <w:pStyle w:val="8"/>
              <w:spacing w:before="26" w:line="233" w:lineRule="auto"/>
              <w:ind w:left="111" w:right="100" w:firstLine="353"/>
            </w:pPr>
            <w:r>
              <w:rPr>
                <w:spacing w:val="-5"/>
              </w:rPr>
              <w:t>参加航行和轮机值班的船员还应当经过相应的船员适任培训、特殊培训，具备相应的船员任职资历，并且任</w:t>
            </w:r>
            <w:r>
              <w:rPr>
                <w:spacing w:val="9"/>
              </w:rPr>
              <w:t xml:space="preserve"> </w:t>
            </w:r>
            <w:r>
              <w:rPr>
                <w:spacing w:val="-4"/>
              </w:rPr>
              <w:t>职表现和安全记录良好。</w:t>
            </w:r>
          </w:p>
          <w:p w14:paraId="16770B05">
            <w:pPr>
              <w:pStyle w:val="8"/>
              <w:spacing w:before="25" w:line="219" w:lineRule="auto"/>
              <w:ind w:left="481"/>
            </w:pPr>
            <w:r>
              <w:rPr>
                <w:spacing w:val="-5"/>
              </w:rPr>
              <w:t>国际航行船舶的船员申请适任证书的，还应当通过船员专业外语考试。</w:t>
            </w:r>
          </w:p>
          <w:p w14:paraId="196B8B04">
            <w:pPr>
              <w:pStyle w:val="8"/>
              <w:spacing w:before="27" w:line="237" w:lineRule="auto"/>
              <w:ind w:left="109" w:right="100" w:firstLine="359"/>
            </w:pPr>
            <w:r>
              <w:rPr>
                <w:spacing w:val="-5"/>
              </w:rPr>
              <w:t>第六条  申请船员适任证书，可以向任何有相应船员适任证书签发权限的海事管理机构提出书面申请，并附</w:t>
            </w:r>
            <w:r>
              <w:rPr>
                <w:spacing w:val="11"/>
              </w:rPr>
              <w:t xml:space="preserve"> </w:t>
            </w:r>
            <w:r>
              <w:rPr>
                <w:spacing w:val="-5"/>
              </w:rPr>
              <w:t>送申请人符合本条例第五条规定条件的证明材料。对符合规定条件并通过国家海事管理机构组织的船员任职考试</w:t>
            </w:r>
            <w:r>
              <w:rPr>
                <w:spacing w:val="14"/>
              </w:rPr>
              <w:t xml:space="preserve"> </w:t>
            </w:r>
            <w:r>
              <w:rPr>
                <w:spacing w:val="-4"/>
              </w:rPr>
              <w:t>的，海事管理机构应当发给相应的船员适任证书及船员服务簿。</w:t>
            </w:r>
          </w:p>
          <w:p w14:paraId="0032C940">
            <w:pPr>
              <w:pStyle w:val="8"/>
              <w:spacing w:before="26" w:line="233" w:lineRule="auto"/>
              <w:ind w:left="110" w:right="100" w:firstLine="357"/>
            </w:pPr>
            <w:r>
              <w:rPr>
                <w:spacing w:val="-5"/>
              </w:rPr>
              <w:t>第十一条  以海员身份出入国境和在国外船舶上从事工作的中国籍船员，应当向国家海事管理机构指定的海</w:t>
            </w:r>
            <w:r>
              <w:rPr>
                <w:spacing w:val="11"/>
              </w:rPr>
              <w:t xml:space="preserve"> </w:t>
            </w:r>
            <w:r>
              <w:rPr>
                <w:spacing w:val="-4"/>
              </w:rPr>
              <w:t>事管理机构申请中华人民共和国海员证。</w:t>
            </w:r>
          </w:p>
          <w:p w14:paraId="492CA4D2">
            <w:pPr>
              <w:pStyle w:val="8"/>
              <w:spacing w:before="25" w:line="233" w:lineRule="auto"/>
              <w:ind w:left="110" w:right="100" w:firstLine="380"/>
            </w:pPr>
            <w:r>
              <w:rPr>
                <w:spacing w:val="-5"/>
              </w:rPr>
              <w:t>申请中华人民共和国海员证，应当符合下列条件：(一)是中华人民共和国公民；(二)持有</w:t>
            </w:r>
            <w:r>
              <w:rPr>
                <w:spacing w:val="-6"/>
              </w:rPr>
              <w:t>国际航行船舶船员</w:t>
            </w:r>
            <w:r>
              <w:t xml:space="preserve"> </w:t>
            </w:r>
            <w:r>
              <w:rPr>
                <w:spacing w:val="-5"/>
              </w:rPr>
              <w:t>适任证书或者有确定的船员出境任务；</w:t>
            </w:r>
            <w:r>
              <w:rPr>
                <w:spacing w:val="-50"/>
              </w:rPr>
              <w:t xml:space="preserve"> </w:t>
            </w:r>
            <w:r>
              <w:rPr>
                <w:spacing w:val="-5"/>
              </w:rPr>
              <w:t>(三)无法律、行政法规规定禁止出境的情形。</w:t>
            </w:r>
          </w:p>
          <w:p w14:paraId="22D5B66D">
            <w:pPr>
              <w:pStyle w:val="8"/>
              <w:spacing w:before="27" w:line="222" w:lineRule="auto"/>
              <w:ind w:left="112" w:right="100" w:firstLine="356"/>
            </w:pPr>
            <w:r>
              <w:rPr>
                <w:spacing w:val="-5"/>
              </w:rPr>
              <w:t>第四十八条</w:t>
            </w:r>
            <w:r>
              <w:rPr>
                <w:spacing w:val="91"/>
              </w:rPr>
              <w:t xml:space="preserve"> </w:t>
            </w:r>
            <w:r>
              <w:rPr>
                <w:spacing w:val="-5"/>
              </w:rPr>
              <w:t>违反本条例的规定，以欺骗、贿赂等不正当手段取得船员适任证书、船员培训合格证书、中</w:t>
            </w:r>
            <w:r>
              <w:rPr>
                <w:rFonts w:hint="eastAsia"/>
                <w:spacing w:val="-5"/>
                <w:lang w:eastAsia="zh-CN"/>
              </w:rPr>
              <w:t>华</w:t>
            </w:r>
            <w:r>
              <w:rPr>
                <w:spacing w:val="-4"/>
              </w:rPr>
              <w:t>人民共和国海员证的，由海事管理机构吊销有关证件，并处2000元以上2万元以下罚款。</w:t>
            </w:r>
          </w:p>
        </w:tc>
        <w:tc>
          <w:tcPr>
            <w:tcW w:w="1043" w:type="dxa"/>
            <w:vAlign w:val="top"/>
          </w:tcPr>
          <w:p w14:paraId="604EF614">
            <w:pPr>
              <w:spacing w:line="275" w:lineRule="auto"/>
              <w:rPr>
                <w:rFonts w:ascii="Arial"/>
                <w:sz w:val="21"/>
              </w:rPr>
            </w:pPr>
          </w:p>
          <w:p w14:paraId="76F72512">
            <w:pPr>
              <w:spacing w:line="275" w:lineRule="auto"/>
              <w:rPr>
                <w:rFonts w:ascii="Arial"/>
                <w:sz w:val="21"/>
              </w:rPr>
            </w:pPr>
          </w:p>
          <w:p w14:paraId="5B8D41ED">
            <w:pPr>
              <w:spacing w:line="275" w:lineRule="auto"/>
              <w:rPr>
                <w:rFonts w:ascii="Arial"/>
                <w:sz w:val="21"/>
              </w:rPr>
            </w:pPr>
          </w:p>
          <w:p w14:paraId="3A84E5C5">
            <w:pPr>
              <w:spacing w:line="276" w:lineRule="auto"/>
              <w:rPr>
                <w:rFonts w:ascii="Arial"/>
                <w:sz w:val="21"/>
              </w:rPr>
            </w:pPr>
          </w:p>
          <w:p w14:paraId="280668EE">
            <w:pPr>
              <w:spacing w:line="276" w:lineRule="auto"/>
              <w:rPr>
                <w:rFonts w:ascii="Arial"/>
                <w:sz w:val="21"/>
              </w:rPr>
            </w:pPr>
          </w:p>
          <w:p w14:paraId="3E6CC691">
            <w:pPr>
              <w:spacing w:line="276" w:lineRule="auto"/>
              <w:rPr>
                <w:rFonts w:ascii="Arial"/>
                <w:sz w:val="21"/>
              </w:rPr>
            </w:pPr>
          </w:p>
          <w:p w14:paraId="6BE51554">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4805CDC9">
            <w:pPr>
              <w:spacing w:line="253" w:lineRule="auto"/>
              <w:rPr>
                <w:rFonts w:ascii="Arial"/>
                <w:sz w:val="21"/>
              </w:rPr>
            </w:pPr>
          </w:p>
          <w:p w14:paraId="033945FB">
            <w:pPr>
              <w:spacing w:line="253" w:lineRule="auto"/>
              <w:rPr>
                <w:rFonts w:ascii="Arial"/>
                <w:sz w:val="21"/>
              </w:rPr>
            </w:pPr>
          </w:p>
          <w:p w14:paraId="79181B7C">
            <w:pPr>
              <w:spacing w:line="253" w:lineRule="auto"/>
              <w:rPr>
                <w:rFonts w:ascii="Arial"/>
                <w:sz w:val="21"/>
              </w:rPr>
            </w:pPr>
          </w:p>
          <w:p w14:paraId="619B2371">
            <w:pPr>
              <w:spacing w:line="253" w:lineRule="auto"/>
              <w:rPr>
                <w:rFonts w:ascii="Arial"/>
                <w:sz w:val="21"/>
              </w:rPr>
            </w:pPr>
          </w:p>
          <w:p w14:paraId="4CFE4A59">
            <w:pPr>
              <w:spacing w:line="253" w:lineRule="auto"/>
              <w:rPr>
                <w:rFonts w:ascii="Arial"/>
                <w:sz w:val="21"/>
              </w:rPr>
            </w:pPr>
          </w:p>
          <w:p w14:paraId="4B33CA60">
            <w:pPr>
              <w:spacing w:line="254" w:lineRule="auto"/>
              <w:rPr>
                <w:rFonts w:ascii="Arial"/>
                <w:sz w:val="21"/>
              </w:rPr>
            </w:pPr>
          </w:p>
          <w:p w14:paraId="75DF9FD4">
            <w:pPr>
              <w:spacing w:line="254" w:lineRule="auto"/>
              <w:rPr>
                <w:rFonts w:ascii="Arial"/>
                <w:sz w:val="21"/>
              </w:rPr>
            </w:pPr>
          </w:p>
          <w:p w14:paraId="21A88EFD">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465C2AF">
            <w:pPr>
              <w:spacing w:line="283" w:lineRule="auto"/>
              <w:rPr>
                <w:rFonts w:ascii="Arial"/>
                <w:sz w:val="21"/>
              </w:rPr>
            </w:pPr>
          </w:p>
          <w:p w14:paraId="68F5D9C2">
            <w:pPr>
              <w:spacing w:line="283" w:lineRule="auto"/>
              <w:rPr>
                <w:rFonts w:ascii="Arial"/>
                <w:sz w:val="21"/>
              </w:rPr>
            </w:pPr>
          </w:p>
          <w:p w14:paraId="2D8E0950">
            <w:pPr>
              <w:spacing w:line="283" w:lineRule="auto"/>
              <w:rPr>
                <w:rFonts w:ascii="Arial"/>
                <w:sz w:val="21"/>
              </w:rPr>
            </w:pPr>
          </w:p>
          <w:p w14:paraId="4879E7E9">
            <w:pPr>
              <w:spacing w:line="283" w:lineRule="auto"/>
              <w:rPr>
                <w:rFonts w:ascii="Arial"/>
                <w:sz w:val="21"/>
              </w:rPr>
            </w:pPr>
          </w:p>
          <w:p w14:paraId="1384B40A">
            <w:pPr>
              <w:spacing w:line="284" w:lineRule="auto"/>
              <w:rPr>
                <w:rFonts w:ascii="Arial"/>
                <w:sz w:val="21"/>
              </w:rPr>
            </w:pPr>
          </w:p>
          <w:p w14:paraId="0112390D">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56CF35D5">
      <w:pPr>
        <w:pStyle w:val="2"/>
        <w:spacing w:line="167" w:lineRule="exact"/>
        <w:rPr>
          <w:sz w:val="14"/>
        </w:rPr>
      </w:pPr>
    </w:p>
    <w:p w14:paraId="1E6D0BA2">
      <w:pPr>
        <w:spacing w:line="167" w:lineRule="exact"/>
        <w:rPr>
          <w:sz w:val="14"/>
          <w:szCs w:val="14"/>
        </w:rPr>
        <w:sectPr>
          <w:footerReference r:id="rId181" w:type="default"/>
          <w:pgSz w:w="16839" w:h="11906"/>
          <w:pgMar w:top="1012" w:right="788" w:bottom="967" w:left="787" w:header="0" w:footer="768" w:gutter="0"/>
          <w:cols w:space="720" w:num="1"/>
        </w:sectPr>
      </w:pPr>
    </w:p>
    <w:p w14:paraId="67645E01">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5D3DC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F5781E0">
            <w:pPr>
              <w:pStyle w:val="8"/>
              <w:spacing w:before="267" w:line="221" w:lineRule="auto"/>
              <w:ind w:left="142"/>
            </w:pPr>
            <w:r>
              <w:rPr>
                <w:b/>
                <w:bCs/>
                <w:spacing w:val="-4"/>
              </w:rPr>
              <w:t>序号</w:t>
            </w:r>
          </w:p>
        </w:tc>
        <w:tc>
          <w:tcPr>
            <w:tcW w:w="1136" w:type="dxa"/>
            <w:vMerge w:val="restart"/>
            <w:tcBorders>
              <w:bottom w:val="nil"/>
            </w:tcBorders>
            <w:vAlign w:val="top"/>
          </w:tcPr>
          <w:p w14:paraId="1ABCCAF5">
            <w:pPr>
              <w:pStyle w:val="8"/>
              <w:spacing w:before="267" w:line="220" w:lineRule="auto"/>
              <w:ind w:left="208"/>
            </w:pPr>
            <w:r>
              <w:rPr>
                <w:b/>
                <w:bCs/>
                <w:spacing w:val="-4"/>
              </w:rPr>
              <w:t>事项名称</w:t>
            </w:r>
          </w:p>
        </w:tc>
        <w:tc>
          <w:tcPr>
            <w:tcW w:w="1136" w:type="dxa"/>
            <w:vMerge w:val="restart"/>
            <w:tcBorders>
              <w:bottom w:val="nil"/>
            </w:tcBorders>
            <w:vAlign w:val="top"/>
          </w:tcPr>
          <w:p w14:paraId="65FE6652">
            <w:pPr>
              <w:pStyle w:val="8"/>
              <w:spacing w:before="267" w:line="219" w:lineRule="auto"/>
              <w:ind w:left="210"/>
            </w:pPr>
            <w:r>
              <w:rPr>
                <w:b/>
                <w:bCs/>
                <w:spacing w:val="-4"/>
              </w:rPr>
              <w:t>职权类型</w:t>
            </w:r>
          </w:p>
        </w:tc>
        <w:tc>
          <w:tcPr>
            <w:tcW w:w="8806" w:type="dxa"/>
            <w:vMerge w:val="restart"/>
            <w:tcBorders>
              <w:bottom w:val="nil"/>
            </w:tcBorders>
            <w:vAlign w:val="top"/>
          </w:tcPr>
          <w:p w14:paraId="54DECED7">
            <w:pPr>
              <w:pStyle w:val="8"/>
              <w:spacing w:before="267" w:line="219" w:lineRule="auto"/>
              <w:ind w:left="4050"/>
            </w:pPr>
            <w:r>
              <w:rPr>
                <w:b/>
                <w:bCs/>
                <w:spacing w:val="-5"/>
              </w:rPr>
              <w:t>实施依据</w:t>
            </w:r>
          </w:p>
        </w:tc>
        <w:tc>
          <w:tcPr>
            <w:tcW w:w="3538" w:type="dxa"/>
            <w:gridSpan w:val="3"/>
            <w:vAlign w:val="top"/>
          </w:tcPr>
          <w:p w14:paraId="0469E6C1">
            <w:pPr>
              <w:pStyle w:val="8"/>
              <w:spacing w:before="92" w:line="220" w:lineRule="auto"/>
              <w:ind w:left="1415"/>
            </w:pPr>
            <w:r>
              <w:rPr>
                <w:b/>
                <w:bCs/>
                <w:spacing w:val="-5"/>
              </w:rPr>
              <w:t>实施主体</w:t>
            </w:r>
          </w:p>
        </w:tc>
      </w:tr>
      <w:tr w14:paraId="7961D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DAA2826">
            <w:pPr>
              <w:rPr>
                <w:rFonts w:ascii="Arial"/>
                <w:sz w:val="21"/>
              </w:rPr>
            </w:pPr>
          </w:p>
        </w:tc>
        <w:tc>
          <w:tcPr>
            <w:tcW w:w="1136" w:type="dxa"/>
            <w:vMerge w:val="continue"/>
            <w:tcBorders>
              <w:top w:val="nil"/>
            </w:tcBorders>
            <w:vAlign w:val="top"/>
          </w:tcPr>
          <w:p w14:paraId="0F3AB4D1">
            <w:pPr>
              <w:rPr>
                <w:rFonts w:ascii="Arial"/>
                <w:sz w:val="21"/>
              </w:rPr>
            </w:pPr>
          </w:p>
        </w:tc>
        <w:tc>
          <w:tcPr>
            <w:tcW w:w="1136" w:type="dxa"/>
            <w:vMerge w:val="continue"/>
            <w:tcBorders>
              <w:top w:val="nil"/>
            </w:tcBorders>
            <w:vAlign w:val="top"/>
          </w:tcPr>
          <w:p w14:paraId="7C948C76">
            <w:pPr>
              <w:rPr>
                <w:rFonts w:ascii="Arial"/>
                <w:sz w:val="21"/>
              </w:rPr>
            </w:pPr>
          </w:p>
        </w:tc>
        <w:tc>
          <w:tcPr>
            <w:tcW w:w="8806" w:type="dxa"/>
            <w:vMerge w:val="continue"/>
            <w:tcBorders>
              <w:top w:val="nil"/>
            </w:tcBorders>
            <w:vAlign w:val="top"/>
          </w:tcPr>
          <w:p w14:paraId="3285FD55">
            <w:pPr>
              <w:rPr>
                <w:rFonts w:ascii="Arial"/>
                <w:sz w:val="21"/>
              </w:rPr>
            </w:pPr>
          </w:p>
        </w:tc>
        <w:tc>
          <w:tcPr>
            <w:tcW w:w="1043" w:type="dxa"/>
            <w:vAlign w:val="top"/>
          </w:tcPr>
          <w:p w14:paraId="307729AE">
            <w:pPr>
              <w:pStyle w:val="8"/>
              <w:spacing w:before="88" w:line="219" w:lineRule="auto"/>
              <w:ind w:left="171"/>
            </w:pPr>
            <w:r>
              <w:rPr>
                <w:b/>
                <w:bCs/>
                <w:spacing w:val="-5"/>
              </w:rPr>
              <w:t>责任部门</w:t>
            </w:r>
          </w:p>
        </w:tc>
        <w:tc>
          <w:tcPr>
            <w:tcW w:w="1448" w:type="dxa"/>
            <w:vAlign w:val="top"/>
          </w:tcPr>
          <w:p w14:paraId="4813454C">
            <w:pPr>
              <w:pStyle w:val="8"/>
              <w:spacing w:before="88" w:line="219" w:lineRule="auto"/>
              <w:ind w:left="187"/>
            </w:pPr>
            <w:r>
              <w:rPr>
                <w:b/>
                <w:bCs/>
                <w:spacing w:val="-3"/>
              </w:rPr>
              <w:t>第一责任层级</w:t>
            </w:r>
          </w:p>
        </w:tc>
        <w:tc>
          <w:tcPr>
            <w:tcW w:w="1047" w:type="dxa"/>
            <w:vAlign w:val="top"/>
          </w:tcPr>
          <w:p w14:paraId="393B3FAC">
            <w:pPr>
              <w:pStyle w:val="8"/>
              <w:spacing w:before="88" w:line="219" w:lineRule="auto"/>
              <w:ind w:left="165"/>
            </w:pPr>
            <w:r>
              <w:rPr>
                <w:b/>
                <w:bCs/>
                <w:spacing w:val="-4"/>
              </w:rPr>
              <w:t>承办机构</w:t>
            </w:r>
          </w:p>
        </w:tc>
      </w:tr>
      <w:tr w14:paraId="57D69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8" w:hRule="atLeast"/>
        </w:trPr>
        <w:tc>
          <w:tcPr>
            <w:tcW w:w="641" w:type="dxa"/>
            <w:vAlign w:val="top"/>
          </w:tcPr>
          <w:p w14:paraId="408C3D57">
            <w:pPr>
              <w:rPr>
                <w:rFonts w:ascii="Arial"/>
                <w:sz w:val="21"/>
              </w:rPr>
            </w:pPr>
          </w:p>
        </w:tc>
        <w:tc>
          <w:tcPr>
            <w:tcW w:w="1136" w:type="dxa"/>
            <w:vAlign w:val="top"/>
          </w:tcPr>
          <w:p w14:paraId="0BCCC5CF">
            <w:pPr>
              <w:rPr>
                <w:rFonts w:ascii="Arial"/>
                <w:sz w:val="21"/>
              </w:rPr>
            </w:pPr>
          </w:p>
        </w:tc>
        <w:tc>
          <w:tcPr>
            <w:tcW w:w="1136" w:type="dxa"/>
            <w:vAlign w:val="top"/>
          </w:tcPr>
          <w:p w14:paraId="7808D31C">
            <w:pPr>
              <w:rPr>
                <w:rFonts w:ascii="Arial"/>
                <w:sz w:val="21"/>
              </w:rPr>
            </w:pPr>
          </w:p>
        </w:tc>
        <w:tc>
          <w:tcPr>
            <w:tcW w:w="8806" w:type="dxa"/>
            <w:vAlign w:val="top"/>
          </w:tcPr>
          <w:p w14:paraId="0CA50109">
            <w:pPr>
              <w:pStyle w:val="8"/>
              <w:spacing w:before="81" w:line="219" w:lineRule="auto"/>
              <w:ind w:left="465"/>
            </w:pPr>
            <w:r>
              <w:rPr>
                <w:b/>
                <w:bCs/>
                <w:spacing w:val="-5"/>
              </w:rPr>
              <w:t>2.《游艇安全管理规定》（交通运输部令2023年第11号）</w:t>
            </w:r>
          </w:p>
          <w:p w14:paraId="2BF432E4">
            <w:pPr>
              <w:pStyle w:val="8"/>
              <w:spacing w:before="25" w:line="233" w:lineRule="auto"/>
              <w:ind w:left="111" w:right="153" w:firstLine="354"/>
            </w:pPr>
            <w:r>
              <w:rPr>
                <w:spacing w:val="-2"/>
              </w:rPr>
              <w:t>第七条  游艇操作人员应当经过专门的培训、考试，具备与驾驶的游艇、航行的水域相适应</w:t>
            </w:r>
            <w:r>
              <w:rPr>
                <w:spacing w:val="-3"/>
              </w:rPr>
              <w:t>的专业知识和</w:t>
            </w:r>
            <w:r>
              <w:t xml:space="preserve"> </w:t>
            </w:r>
            <w:r>
              <w:rPr>
                <w:spacing w:val="-2"/>
              </w:rPr>
              <w:t>技能，掌握水上消防、救生和应急反应的基本要求，取得海事管理机构颁发的游艇操作人</w:t>
            </w:r>
            <w:r>
              <w:rPr>
                <w:spacing w:val="-3"/>
              </w:rPr>
              <w:t>员适任证书。</w:t>
            </w:r>
          </w:p>
          <w:p w14:paraId="39BDE975">
            <w:pPr>
              <w:pStyle w:val="8"/>
              <w:spacing w:before="26" w:line="219" w:lineRule="auto"/>
              <w:ind w:left="467"/>
            </w:pPr>
            <w:r>
              <w:rPr>
                <w:spacing w:val="-3"/>
              </w:rPr>
              <w:t>取得游艇操作人员适任证书的人员不得驾驶游艇。</w:t>
            </w:r>
          </w:p>
          <w:p w14:paraId="1A7F5B8D">
            <w:pPr>
              <w:pStyle w:val="8"/>
              <w:spacing w:before="25" w:line="233" w:lineRule="auto"/>
              <w:ind w:left="112" w:right="153" w:firstLine="353"/>
            </w:pPr>
            <w:r>
              <w:rPr>
                <w:spacing w:val="-2"/>
              </w:rPr>
              <w:t>第三十八条  第二款内河游艇操作人员持有的适任证书是以欺骗、贿赂等不正当手段取得的</w:t>
            </w:r>
            <w:r>
              <w:rPr>
                <w:spacing w:val="-3"/>
              </w:rPr>
              <w:t>，海事管理机</w:t>
            </w:r>
            <w:r>
              <w:t xml:space="preserve"> </w:t>
            </w:r>
            <w:r>
              <w:rPr>
                <w:spacing w:val="-3"/>
              </w:rPr>
              <w:t>构应当吊销该适任证书，并处</w:t>
            </w:r>
            <w:r>
              <w:rPr>
                <w:spacing w:val="-38"/>
              </w:rPr>
              <w:t xml:space="preserve"> </w:t>
            </w:r>
            <w:r>
              <w:rPr>
                <w:spacing w:val="-3"/>
              </w:rPr>
              <w:t>2000</w:t>
            </w:r>
            <w:r>
              <w:rPr>
                <w:spacing w:val="-37"/>
              </w:rPr>
              <w:t xml:space="preserve"> </w:t>
            </w:r>
            <w:r>
              <w:rPr>
                <w:spacing w:val="-3"/>
              </w:rPr>
              <w:t>元以上</w:t>
            </w:r>
            <w:r>
              <w:rPr>
                <w:spacing w:val="-40"/>
              </w:rPr>
              <w:t xml:space="preserve"> </w:t>
            </w:r>
            <w:r>
              <w:rPr>
                <w:spacing w:val="-3"/>
              </w:rPr>
              <w:t>2</w:t>
            </w:r>
            <w:r>
              <w:rPr>
                <w:spacing w:val="-34"/>
              </w:rPr>
              <w:t xml:space="preserve"> </w:t>
            </w:r>
            <w:r>
              <w:rPr>
                <w:spacing w:val="-3"/>
              </w:rPr>
              <w:t>万元</w:t>
            </w:r>
            <w:r>
              <w:rPr>
                <w:spacing w:val="-4"/>
              </w:rPr>
              <w:t>以下的罚款。</w:t>
            </w:r>
          </w:p>
          <w:p w14:paraId="726CF32E">
            <w:pPr>
              <w:pStyle w:val="8"/>
              <w:spacing w:before="26" w:line="219" w:lineRule="auto"/>
              <w:ind w:left="469"/>
            </w:pPr>
            <w:r>
              <w:rPr>
                <w:b/>
                <w:bCs/>
                <w:spacing w:val="-4"/>
              </w:rPr>
              <w:t>3.《中华人民共和国内河海事行政处罚规定》（交通运输部令</w:t>
            </w:r>
            <w:r>
              <w:rPr>
                <w:spacing w:val="-35"/>
              </w:rPr>
              <w:t xml:space="preserve"> </w:t>
            </w:r>
            <w:r>
              <w:rPr>
                <w:b/>
                <w:bCs/>
                <w:spacing w:val="-4"/>
              </w:rPr>
              <w:t>2022</w:t>
            </w:r>
            <w:r>
              <w:rPr>
                <w:spacing w:val="-43"/>
              </w:rPr>
              <w:t xml:space="preserve"> </w:t>
            </w:r>
            <w:r>
              <w:rPr>
                <w:b/>
                <w:bCs/>
                <w:spacing w:val="-4"/>
              </w:rPr>
              <w:t>年第</w:t>
            </w:r>
            <w:r>
              <w:rPr>
                <w:spacing w:val="-35"/>
              </w:rPr>
              <w:t xml:space="preserve"> </w:t>
            </w:r>
            <w:r>
              <w:rPr>
                <w:b/>
                <w:bCs/>
                <w:spacing w:val="-4"/>
              </w:rPr>
              <w:t>2</w:t>
            </w:r>
            <w:r>
              <w:rPr>
                <w:b/>
                <w:bCs/>
                <w:spacing w:val="-5"/>
              </w:rPr>
              <w:t>8</w:t>
            </w:r>
            <w:r>
              <w:rPr>
                <w:spacing w:val="-37"/>
              </w:rPr>
              <w:t xml:space="preserve"> </w:t>
            </w:r>
            <w:r>
              <w:rPr>
                <w:b/>
                <w:bCs/>
                <w:spacing w:val="-5"/>
              </w:rPr>
              <w:t>号）</w:t>
            </w:r>
          </w:p>
          <w:p w14:paraId="6D2C299E">
            <w:pPr>
              <w:pStyle w:val="8"/>
              <w:spacing w:before="26"/>
              <w:ind w:left="109" w:right="103" w:firstLine="355"/>
              <w:jc w:val="both"/>
            </w:pPr>
            <w:r>
              <w:rPr>
                <w:spacing w:val="-2"/>
              </w:rPr>
              <w:t>第十条第一款  违反《内河交通安全管理条例》第九条的规定，未经考试合格并取得适任证</w:t>
            </w:r>
            <w:r>
              <w:rPr>
                <w:spacing w:val="-3"/>
              </w:rPr>
              <w:t>书或者其他适</w:t>
            </w:r>
            <w:r>
              <w:t xml:space="preserve"> </w:t>
            </w:r>
            <w:r>
              <w:rPr>
                <w:spacing w:val="-2"/>
              </w:rPr>
              <w:t>任证件的人员擅自从事船舶航行或者操作的，依照《内河交通安全管理条例》第六十六条和《船</w:t>
            </w:r>
            <w:r>
              <w:rPr>
                <w:spacing w:val="-3"/>
              </w:rPr>
              <w:t>员条例》第五</w:t>
            </w:r>
            <w:r>
              <w:t xml:space="preserve"> </w:t>
            </w:r>
            <w:r>
              <w:rPr>
                <w:spacing w:val="-4"/>
              </w:rPr>
              <w:t>十五条的规定，责令其立即离岗，对直接责任人员处以</w:t>
            </w:r>
            <w:r>
              <w:rPr>
                <w:spacing w:val="-29"/>
              </w:rPr>
              <w:t xml:space="preserve"> </w:t>
            </w:r>
            <w:r>
              <w:rPr>
                <w:spacing w:val="-4"/>
              </w:rPr>
              <w:t>2000</w:t>
            </w:r>
            <w:r>
              <w:rPr>
                <w:spacing w:val="-40"/>
              </w:rPr>
              <w:t xml:space="preserve"> </w:t>
            </w:r>
            <w:r>
              <w:rPr>
                <w:spacing w:val="-4"/>
              </w:rPr>
              <w:t>元以上</w:t>
            </w:r>
            <w:r>
              <w:rPr>
                <w:spacing w:val="-37"/>
              </w:rPr>
              <w:t xml:space="preserve"> </w:t>
            </w:r>
            <w:r>
              <w:rPr>
                <w:spacing w:val="-4"/>
              </w:rPr>
              <w:t>2</w:t>
            </w:r>
            <w:r>
              <w:rPr>
                <w:spacing w:val="-35"/>
              </w:rPr>
              <w:t xml:space="preserve"> </w:t>
            </w:r>
            <w:r>
              <w:rPr>
                <w:spacing w:val="-4"/>
              </w:rPr>
              <w:t>万元以下罚款，并对聘用单位处以</w:t>
            </w:r>
            <w:r>
              <w:rPr>
                <w:spacing w:val="-38"/>
              </w:rPr>
              <w:t xml:space="preserve"> </w:t>
            </w:r>
            <w:r>
              <w:rPr>
                <w:spacing w:val="-4"/>
              </w:rPr>
              <w:t>3</w:t>
            </w:r>
            <w:r>
              <w:rPr>
                <w:spacing w:val="-34"/>
              </w:rPr>
              <w:t xml:space="preserve"> </w:t>
            </w:r>
            <w:r>
              <w:rPr>
                <w:spacing w:val="-4"/>
              </w:rPr>
              <w:t>万元</w:t>
            </w:r>
            <w:r>
              <w:t xml:space="preserve"> </w:t>
            </w:r>
            <w:r>
              <w:rPr>
                <w:spacing w:val="-5"/>
              </w:rPr>
              <w:t>以上</w:t>
            </w:r>
            <w:r>
              <w:rPr>
                <w:spacing w:val="-24"/>
              </w:rPr>
              <w:t xml:space="preserve"> </w:t>
            </w:r>
            <w:r>
              <w:rPr>
                <w:spacing w:val="-5"/>
              </w:rPr>
              <w:t>15</w:t>
            </w:r>
            <w:r>
              <w:rPr>
                <w:spacing w:val="-34"/>
              </w:rPr>
              <w:t xml:space="preserve"> </w:t>
            </w:r>
            <w:r>
              <w:rPr>
                <w:spacing w:val="-5"/>
              </w:rPr>
              <w:t>万元以下罚款。</w:t>
            </w:r>
          </w:p>
          <w:p w14:paraId="1EF3D69A">
            <w:pPr>
              <w:pStyle w:val="8"/>
              <w:spacing w:before="25" w:line="219" w:lineRule="auto"/>
              <w:ind w:right="11"/>
              <w:jc w:val="right"/>
            </w:pPr>
            <w:r>
              <w:rPr>
                <w:spacing w:val="-3"/>
              </w:rPr>
              <w:t>第十条第二款第（三）项  本条前款所称未经考试合格并取得适任证书或者其他适任证件，包括下列情形：</w:t>
            </w:r>
          </w:p>
          <w:p w14:paraId="3B8948D7">
            <w:pPr>
              <w:pStyle w:val="8"/>
              <w:spacing w:before="26" w:line="219" w:lineRule="auto"/>
              <w:ind w:left="120"/>
            </w:pPr>
            <w:r>
              <w:rPr>
                <w:spacing w:val="-4"/>
              </w:rPr>
              <w:t>（三）持采取弄虚作假的方式取得的船员职务证书；</w:t>
            </w:r>
          </w:p>
          <w:p w14:paraId="79C1BDCD">
            <w:pPr>
              <w:pStyle w:val="8"/>
              <w:spacing w:before="27" w:line="219" w:lineRule="auto"/>
              <w:ind w:left="462"/>
            </w:pPr>
            <w:r>
              <w:rPr>
                <w:b/>
                <w:bCs/>
                <w:spacing w:val="-5"/>
              </w:rPr>
              <w:t>4.《中华人民共和国引航员管理办法》（交通运输部令2024年第13号）</w:t>
            </w:r>
          </w:p>
          <w:p w14:paraId="400BB59D">
            <w:pPr>
              <w:pStyle w:val="8"/>
              <w:spacing w:before="26" w:line="219" w:lineRule="auto"/>
              <w:ind w:right="11"/>
              <w:jc w:val="right"/>
            </w:pPr>
            <w:r>
              <w:rPr>
                <w:spacing w:val="-3"/>
              </w:rPr>
              <w:t>第八条第二款  引航员应当依照本办法的规定取得引航员适任证书后，才可以引领相应种类和长度的船舶。</w:t>
            </w:r>
          </w:p>
          <w:p w14:paraId="0A4F2081">
            <w:pPr>
              <w:pStyle w:val="8"/>
              <w:spacing w:before="26" w:line="233" w:lineRule="auto"/>
              <w:ind w:left="110" w:right="153" w:firstLine="355"/>
            </w:pPr>
            <w:r>
              <w:rPr>
                <w:spacing w:val="-2"/>
              </w:rPr>
              <w:t>第三十九条  违反本办法的规定，以欺骗、贿赂等不正当手段取得引航员适任证书、培训合</w:t>
            </w:r>
            <w:r>
              <w:rPr>
                <w:spacing w:val="-3"/>
              </w:rPr>
              <w:t>格证的，由海</w:t>
            </w:r>
            <w:r>
              <w:t xml:space="preserve"> </w:t>
            </w:r>
            <w:r>
              <w:rPr>
                <w:spacing w:val="-3"/>
              </w:rPr>
              <w:t>事管理机构吊销有关证件，并处</w:t>
            </w:r>
            <w:r>
              <w:rPr>
                <w:spacing w:val="-38"/>
              </w:rPr>
              <w:t xml:space="preserve"> </w:t>
            </w:r>
            <w:r>
              <w:rPr>
                <w:spacing w:val="-3"/>
              </w:rPr>
              <w:t>2000</w:t>
            </w:r>
            <w:r>
              <w:rPr>
                <w:spacing w:val="-37"/>
              </w:rPr>
              <w:t xml:space="preserve"> </w:t>
            </w:r>
            <w:r>
              <w:rPr>
                <w:spacing w:val="-3"/>
              </w:rPr>
              <w:t>元以上</w:t>
            </w:r>
            <w:r>
              <w:rPr>
                <w:spacing w:val="-37"/>
              </w:rPr>
              <w:t xml:space="preserve"> </w:t>
            </w:r>
            <w:r>
              <w:rPr>
                <w:spacing w:val="-3"/>
              </w:rPr>
              <w:t>2</w:t>
            </w:r>
            <w:r>
              <w:rPr>
                <w:spacing w:val="-37"/>
              </w:rPr>
              <w:t xml:space="preserve"> </w:t>
            </w:r>
            <w:r>
              <w:rPr>
                <w:spacing w:val="-3"/>
              </w:rPr>
              <w:t>万元以</w:t>
            </w:r>
            <w:r>
              <w:rPr>
                <w:spacing w:val="-4"/>
              </w:rPr>
              <w:t>下罚款。</w:t>
            </w:r>
          </w:p>
        </w:tc>
        <w:tc>
          <w:tcPr>
            <w:tcW w:w="1043" w:type="dxa"/>
            <w:vAlign w:val="top"/>
          </w:tcPr>
          <w:p w14:paraId="55C68F0A">
            <w:pPr>
              <w:rPr>
                <w:rFonts w:ascii="Arial"/>
                <w:sz w:val="21"/>
              </w:rPr>
            </w:pPr>
          </w:p>
        </w:tc>
        <w:tc>
          <w:tcPr>
            <w:tcW w:w="1448" w:type="dxa"/>
            <w:vAlign w:val="top"/>
          </w:tcPr>
          <w:p w14:paraId="11BAC0D4">
            <w:pPr>
              <w:rPr>
                <w:rFonts w:ascii="Arial"/>
                <w:sz w:val="21"/>
              </w:rPr>
            </w:pPr>
          </w:p>
        </w:tc>
        <w:tc>
          <w:tcPr>
            <w:tcW w:w="1047" w:type="dxa"/>
            <w:vAlign w:val="top"/>
          </w:tcPr>
          <w:p w14:paraId="5611257C">
            <w:pPr>
              <w:rPr>
                <w:rFonts w:ascii="Arial"/>
                <w:sz w:val="21"/>
              </w:rPr>
            </w:pPr>
          </w:p>
        </w:tc>
      </w:tr>
      <w:tr w14:paraId="0939A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1" w:type="dxa"/>
            <w:vAlign w:val="top"/>
          </w:tcPr>
          <w:p w14:paraId="3E49FD24">
            <w:pPr>
              <w:spacing w:line="242" w:lineRule="auto"/>
              <w:rPr>
                <w:rFonts w:ascii="Arial"/>
                <w:sz w:val="21"/>
              </w:rPr>
            </w:pPr>
          </w:p>
          <w:p w14:paraId="77429E30">
            <w:pPr>
              <w:spacing w:line="242" w:lineRule="auto"/>
              <w:rPr>
                <w:rFonts w:ascii="Arial"/>
                <w:sz w:val="21"/>
              </w:rPr>
            </w:pPr>
          </w:p>
          <w:p w14:paraId="671A5178">
            <w:pPr>
              <w:spacing w:line="242" w:lineRule="auto"/>
              <w:rPr>
                <w:rFonts w:ascii="Arial"/>
                <w:sz w:val="21"/>
              </w:rPr>
            </w:pPr>
          </w:p>
          <w:p w14:paraId="3B5DBE22">
            <w:pPr>
              <w:pStyle w:val="8"/>
              <w:spacing w:before="58" w:line="184" w:lineRule="auto"/>
              <w:ind w:left="238"/>
            </w:pPr>
            <w:r>
              <w:rPr>
                <w:spacing w:val="-5"/>
              </w:rPr>
              <w:t>31</w:t>
            </w:r>
          </w:p>
        </w:tc>
        <w:tc>
          <w:tcPr>
            <w:tcW w:w="1136" w:type="dxa"/>
            <w:vAlign w:val="top"/>
          </w:tcPr>
          <w:p w14:paraId="030B9473">
            <w:pPr>
              <w:pStyle w:val="8"/>
              <w:spacing w:before="160" w:line="242" w:lineRule="auto"/>
              <w:ind w:left="109" w:right="99"/>
              <w:jc w:val="both"/>
            </w:pPr>
            <w:r>
              <w:rPr>
                <w:spacing w:val="4"/>
              </w:rPr>
              <w:t>对伪造、变</w:t>
            </w:r>
            <w:r>
              <w:rPr>
                <w:spacing w:val="1"/>
              </w:rPr>
              <w:t xml:space="preserve"> </w:t>
            </w:r>
            <w:r>
              <w:rPr>
                <w:spacing w:val="4"/>
              </w:rPr>
              <w:t>造或者买卖</w:t>
            </w:r>
            <w:r>
              <w:rPr>
                <w:spacing w:val="1"/>
              </w:rPr>
              <w:t xml:space="preserve"> </w:t>
            </w:r>
            <w:r>
              <w:rPr>
                <w:spacing w:val="4"/>
              </w:rPr>
              <w:t>船员适任证</w:t>
            </w:r>
            <w:r>
              <w:rPr>
                <w:spacing w:val="1"/>
              </w:rPr>
              <w:t xml:space="preserve"> </w:t>
            </w:r>
            <w:r>
              <w:rPr>
                <w:spacing w:val="4"/>
              </w:rPr>
              <w:t>书、船员培</w:t>
            </w:r>
            <w:r>
              <w:rPr>
                <w:spacing w:val="1"/>
              </w:rPr>
              <w:t xml:space="preserve"> </w:t>
            </w:r>
            <w:r>
              <w:rPr>
                <w:spacing w:val="4"/>
              </w:rPr>
              <w:t>训合格证书</w:t>
            </w:r>
            <w:r>
              <w:rPr>
                <w:spacing w:val="1"/>
              </w:rPr>
              <w:t xml:space="preserve"> </w:t>
            </w:r>
            <w:r>
              <w:rPr>
                <w:spacing w:val="-7"/>
              </w:rPr>
              <w:t>的行政处罚</w:t>
            </w:r>
          </w:p>
        </w:tc>
        <w:tc>
          <w:tcPr>
            <w:tcW w:w="1136" w:type="dxa"/>
            <w:vAlign w:val="top"/>
          </w:tcPr>
          <w:p w14:paraId="01B11E71">
            <w:pPr>
              <w:spacing w:line="349" w:lineRule="auto"/>
              <w:rPr>
                <w:rFonts w:ascii="Arial"/>
                <w:sz w:val="21"/>
              </w:rPr>
            </w:pPr>
          </w:p>
          <w:p w14:paraId="748BC1D1">
            <w:pPr>
              <w:spacing w:line="349" w:lineRule="auto"/>
              <w:rPr>
                <w:rFonts w:ascii="Arial"/>
                <w:sz w:val="21"/>
              </w:rPr>
            </w:pPr>
          </w:p>
          <w:p w14:paraId="73C23D34">
            <w:pPr>
              <w:pStyle w:val="8"/>
              <w:spacing w:before="59" w:line="220" w:lineRule="auto"/>
              <w:ind w:left="114"/>
            </w:pPr>
            <w:r>
              <w:rPr>
                <w:spacing w:val="-7"/>
              </w:rPr>
              <w:t>行政处罚</w:t>
            </w:r>
          </w:p>
        </w:tc>
        <w:tc>
          <w:tcPr>
            <w:tcW w:w="8806" w:type="dxa"/>
            <w:vAlign w:val="top"/>
          </w:tcPr>
          <w:p w14:paraId="562D0FD2">
            <w:pPr>
              <w:pStyle w:val="8"/>
              <w:spacing w:before="41" w:line="219" w:lineRule="auto"/>
              <w:ind w:left="476"/>
            </w:pPr>
            <w:r>
              <w:rPr>
                <w:b/>
                <w:bCs/>
                <w:spacing w:val="-6"/>
              </w:rPr>
              <w:t>1.《中华人民共和国船员条例》</w:t>
            </w:r>
          </w:p>
          <w:p w14:paraId="18895D22">
            <w:pPr>
              <w:pStyle w:val="8"/>
              <w:spacing w:before="27" w:line="237" w:lineRule="auto"/>
              <w:ind w:left="111" w:right="100" w:firstLine="352"/>
              <w:jc w:val="both"/>
            </w:pPr>
            <w:r>
              <w:rPr>
                <w:spacing w:val="-5"/>
              </w:rPr>
              <w:t>第四十九条</w:t>
            </w:r>
            <w:r>
              <w:rPr>
                <w:spacing w:val="95"/>
                <w:w w:val="101"/>
              </w:rPr>
              <w:t xml:space="preserve"> </w:t>
            </w:r>
            <w:r>
              <w:rPr>
                <w:spacing w:val="-5"/>
              </w:rPr>
              <w:t>违反本条例的规定，伪造、变造或者买卖船员服务簿、船员适任证书、船员培训合格证书、中</w:t>
            </w:r>
            <w:r>
              <w:rPr>
                <w:spacing w:val="-3"/>
              </w:rPr>
              <w:t>华人民共和国海员证的，由海事管理机构收缴有关证件，处2万元以上10万元以下罚款，有违法所得的，还应当</w:t>
            </w:r>
            <w:r>
              <w:rPr>
                <w:spacing w:val="7"/>
              </w:rPr>
              <w:t xml:space="preserve"> </w:t>
            </w:r>
            <w:r>
              <w:rPr>
                <w:spacing w:val="-4"/>
              </w:rPr>
              <w:t>没收违法所得。</w:t>
            </w:r>
          </w:p>
          <w:p w14:paraId="11A97113">
            <w:pPr>
              <w:pStyle w:val="8"/>
              <w:spacing w:before="25" w:line="219" w:lineRule="auto"/>
              <w:ind w:left="465"/>
            </w:pPr>
            <w:r>
              <w:rPr>
                <w:b/>
                <w:bCs/>
                <w:spacing w:val="-5"/>
              </w:rPr>
              <w:t>2.《中华人民共和国引航员管理办法》（交通运输部令2024年第13号）</w:t>
            </w:r>
          </w:p>
          <w:p w14:paraId="37C0B34D">
            <w:pPr>
              <w:pStyle w:val="8"/>
              <w:spacing w:before="26" w:line="222" w:lineRule="auto"/>
              <w:ind w:left="111" w:right="100" w:firstLine="352"/>
            </w:pPr>
            <w:r>
              <w:rPr>
                <w:spacing w:val="-5"/>
              </w:rPr>
              <w:t>第四十条  违反本办法的规定，伪造、变造或者买卖引航员适任证书、培训合格证的，由海事管理机构收缴</w:t>
            </w:r>
            <w:r>
              <w:rPr>
                <w:spacing w:val="15"/>
              </w:rPr>
              <w:t xml:space="preserve"> </w:t>
            </w:r>
            <w:r>
              <w:rPr>
                <w:spacing w:val="-4"/>
              </w:rPr>
              <w:t>有关证件，处2万元以上10万元以下罚款，有违法所得的，还应当没收违法所得。</w:t>
            </w:r>
          </w:p>
        </w:tc>
        <w:tc>
          <w:tcPr>
            <w:tcW w:w="1043" w:type="dxa"/>
            <w:vAlign w:val="top"/>
          </w:tcPr>
          <w:p w14:paraId="3835D469">
            <w:pPr>
              <w:spacing w:line="289" w:lineRule="auto"/>
              <w:rPr>
                <w:rFonts w:ascii="Arial"/>
                <w:sz w:val="21"/>
              </w:rPr>
            </w:pPr>
          </w:p>
          <w:p w14:paraId="515E2F00">
            <w:pPr>
              <w:spacing w:line="290" w:lineRule="auto"/>
              <w:rPr>
                <w:rFonts w:ascii="Arial"/>
                <w:sz w:val="21"/>
              </w:rPr>
            </w:pPr>
          </w:p>
          <w:p w14:paraId="6FEDB179">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C5CD079">
            <w:pPr>
              <w:spacing w:line="349" w:lineRule="auto"/>
              <w:rPr>
                <w:rFonts w:ascii="Arial"/>
                <w:sz w:val="21"/>
              </w:rPr>
            </w:pPr>
          </w:p>
          <w:p w14:paraId="26CDADD2">
            <w:pPr>
              <w:spacing w:line="350" w:lineRule="auto"/>
              <w:rPr>
                <w:rFonts w:ascii="Arial"/>
                <w:sz w:val="21"/>
              </w:rPr>
            </w:pPr>
          </w:p>
          <w:p w14:paraId="6721FF91">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5223DC6">
            <w:pPr>
              <w:spacing w:line="342" w:lineRule="auto"/>
              <w:rPr>
                <w:rFonts w:ascii="Arial"/>
                <w:sz w:val="21"/>
              </w:rPr>
            </w:pPr>
          </w:p>
          <w:p w14:paraId="3B02E096">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5A8F3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41" w:type="dxa"/>
            <w:vAlign w:val="top"/>
          </w:tcPr>
          <w:p w14:paraId="6B2723BE">
            <w:pPr>
              <w:spacing w:line="244" w:lineRule="auto"/>
              <w:rPr>
                <w:rFonts w:ascii="Arial"/>
                <w:sz w:val="21"/>
              </w:rPr>
            </w:pPr>
          </w:p>
          <w:p w14:paraId="452867BD">
            <w:pPr>
              <w:spacing w:line="245" w:lineRule="auto"/>
              <w:rPr>
                <w:rFonts w:ascii="Arial"/>
                <w:sz w:val="21"/>
              </w:rPr>
            </w:pPr>
          </w:p>
          <w:p w14:paraId="6EB3717E">
            <w:pPr>
              <w:pStyle w:val="8"/>
              <w:spacing w:before="58" w:line="183" w:lineRule="auto"/>
              <w:ind w:left="238"/>
            </w:pPr>
            <w:r>
              <w:rPr>
                <w:spacing w:val="-5"/>
              </w:rPr>
              <w:t>32</w:t>
            </w:r>
          </w:p>
        </w:tc>
        <w:tc>
          <w:tcPr>
            <w:tcW w:w="1136" w:type="dxa"/>
            <w:vAlign w:val="top"/>
          </w:tcPr>
          <w:p w14:paraId="788A7E35">
            <w:pPr>
              <w:pStyle w:val="8"/>
              <w:spacing w:before="43" w:line="236" w:lineRule="auto"/>
              <w:ind w:left="109" w:right="99"/>
              <w:jc w:val="both"/>
            </w:pPr>
            <w:r>
              <w:rPr>
                <w:spacing w:val="4"/>
              </w:rPr>
              <w:t>对未按规定</w:t>
            </w:r>
            <w:r>
              <w:rPr>
                <w:spacing w:val="1"/>
              </w:rPr>
              <w:t xml:space="preserve"> </w:t>
            </w:r>
            <w:r>
              <w:rPr>
                <w:spacing w:val="4"/>
              </w:rPr>
              <w:t>办理船员服</w:t>
            </w:r>
            <w:r>
              <w:rPr>
                <w:spacing w:val="1"/>
              </w:rPr>
              <w:t xml:space="preserve"> </w:t>
            </w:r>
            <w:r>
              <w:rPr>
                <w:spacing w:val="4"/>
              </w:rPr>
              <w:t>务簿变更手</w:t>
            </w:r>
            <w:r>
              <w:rPr>
                <w:spacing w:val="1"/>
              </w:rPr>
              <w:t xml:space="preserve"> </w:t>
            </w:r>
            <w:r>
              <w:rPr>
                <w:spacing w:val="4"/>
              </w:rPr>
              <w:t>续行为的行</w:t>
            </w:r>
            <w:r>
              <w:rPr>
                <w:spacing w:val="1"/>
              </w:rPr>
              <w:t xml:space="preserve"> </w:t>
            </w:r>
            <w:r>
              <w:rPr>
                <w:spacing w:val="-5"/>
              </w:rPr>
              <w:t>政处罚</w:t>
            </w:r>
          </w:p>
        </w:tc>
        <w:tc>
          <w:tcPr>
            <w:tcW w:w="1136" w:type="dxa"/>
            <w:vAlign w:val="top"/>
          </w:tcPr>
          <w:p w14:paraId="7029BA07">
            <w:pPr>
              <w:spacing w:line="460" w:lineRule="auto"/>
              <w:rPr>
                <w:rFonts w:ascii="Arial"/>
                <w:sz w:val="21"/>
              </w:rPr>
            </w:pPr>
          </w:p>
          <w:p w14:paraId="7B7A90BB">
            <w:pPr>
              <w:pStyle w:val="8"/>
              <w:spacing w:before="59" w:line="220" w:lineRule="auto"/>
              <w:ind w:left="114"/>
            </w:pPr>
            <w:r>
              <w:rPr>
                <w:spacing w:val="-7"/>
              </w:rPr>
              <w:t>行政处罚</w:t>
            </w:r>
          </w:p>
        </w:tc>
        <w:tc>
          <w:tcPr>
            <w:tcW w:w="8806" w:type="dxa"/>
            <w:vAlign w:val="top"/>
          </w:tcPr>
          <w:p w14:paraId="67BC564D">
            <w:pPr>
              <w:pStyle w:val="8"/>
              <w:spacing w:before="162" w:line="219" w:lineRule="auto"/>
              <w:ind w:left="473"/>
            </w:pPr>
            <w:r>
              <w:rPr>
                <w:b/>
                <w:bCs/>
                <w:spacing w:val="-6"/>
              </w:rPr>
              <w:t>《中华人民共和国船员条例》</w:t>
            </w:r>
          </w:p>
          <w:p w14:paraId="2B390804">
            <w:pPr>
              <w:pStyle w:val="8"/>
              <w:spacing w:before="25" w:line="219" w:lineRule="auto"/>
              <w:ind w:left="468"/>
            </w:pPr>
            <w:r>
              <w:rPr>
                <w:spacing w:val="-4"/>
              </w:rPr>
              <w:t>第七条第四款</w:t>
            </w:r>
            <w:r>
              <w:rPr>
                <w:spacing w:val="82"/>
              </w:rPr>
              <w:t xml:space="preserve"> </w:t>
            </w:r>
            <w:r>
              <w:rPr>
                <w:spacing w:val="-4"/>
              </w:rPr>
              <w:t>船员服务簿记载的事项发生变更的，船员应当向海事管理机构办理变更手</w:t>
            </w:r>
            <w:r>
              <w:rPr>
                <w:spacing w:val="-5"/>
              </w:rPr>
              <w:t>续。</w:t>
            </w:r>
          </w:p>
          <w:p w14:paraId="234B9160">
            <w:pPr>
              <w:pStyle w:val="8"/>
              <w:spacing w:before="25" w:line="233" w:lineRule="auto"/>
              <w:ind w:left="116" w:right="100" w:firstLine="351"/>
            </w:pPr>
            <w:r>
              <w:rPr>
                <w:spacing w:val="-5"/>
              </w:rPr>
              <w:t>第五十条</w:t>
            </w:r>
            <w:r>
              <w:rPr>
                <w:spacing w:val="91"/>
              </w:rPr>
              <w:t xml:space="preserve"> </w:t>
            </w:r>
            <w:r>
              <w:rPr>
                <w:spacing w:val="-5"/>
              </w:rPr>
              <w:t>违反本条例的规定，船员服务簿记载的事项发生变更，船员未办理变更手续的，由海事管理机构</w:t>
            </w:r>
            <w:r>
              <w:t xml:space="preserve"> </w:t>
            </w:r>
            <w:r>
              <w:rPr>
                <w:spacing w:val="-4"/>
              </w:rPr>
              <w:t>责令改正，可以处1000元以下罚款。</w:t>
            </w:r>
          </w:p>
        </w:tc>
        <w:tc>
          <w:tcPr>
            <w:tcW w:w="1043" w:type="dxa"/>
            <w:vAlign w:val="top"/>
          </w:tcPr>
          <w:p w14:paraId="2440348E">
            <w:pPr>
              <w:spacing w:line="341" w:lineRule="auto"/>
              <w:rPr>
                <w:rFonts w:ascii="Arial"/>
                <w:sz w:val="21"/>
              </w:rPr>
            </w:pPr>
          </w:p>
          <w:p w14:paraId="78248AE6">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BCA4E72">
            <w:pPr>
              <w:spacing w:line="461" w:lineRule="auto"/>
              <w:rPr>
                <w:rFonts w:ascii="Arial"/>
                <w:sz w:val="21"/>
              </w:rPr>
            </w:pPr>
          </w:p>
          <w:p w14:paraId="625D4698">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96A6D3A">
            <w:pPr>
              <w:pStyle w:val="8"/>
              <w:spacing w:before="163"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7DA21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7" w:hRule="atLeast"/>
        </w:trPr>
        <w:tc>
          <w:tcPr>
            <w:tcW w:w="641" w:type="dxa"/>
            <w:vAlign w:val="top"/>
          </w:tcPr>
          <w:p w14:paraId="623D34A2">
            <w:pPr>
              <w:spacing w:line="242" w:lineRule="auto"/>
              <w:rPr>
                <w:rFonts w:ascii="Arial"/>
                <w:sz w:val="21"/>
              </w:rPr>
            </w:pPr>
          </w:p>
          <w:p w14:paraId="2278FFA1">
            <w:pPr>
              <w:spacing w:line="243" w:lineRule="auto"/>
              <w:rPr>
                <w:rFonts w:ascii="Arial"/>
                <w:sz w:val="21"/>
              </w:rPr>
            </w:pPr>
          </w:p>
          <w:p w14:paraId="12013B61">
            <w:pPr>
              <w:spacing w:line="243" w:lineRule="auto"/>
              <w:rPr>
                <w:rFonts w:ascii="Arial"/>
                <w:sz w:val="21"/>
              </w:rPr>
            </w:pPr>
          </w:p>
          <w:p w14:paraId="6A2AD637">
            <w:pPr>
              <w:pStyle w:val="8"/>
              <w:spacing w:before="58" w:line="183" w:lineRule="auto"/>
              <w:ind w:left="238"/>
            </w:pPr>
            <w:r>
              <w:rPr>
                <w:spacing w:val="-5"/>
              </w:rPr>
              <w:t>33</w:t>
            </w:r>
          </w:p>
        </w:tc>
        <w:tc>
          <w:tcPr>
            <w:tcW w:w="1136" w:type="dxa"/>
            <w:vAlign w:val="top"/>
          </w:tcPr>
          <w:p w14:paraId="0F2ACC32">
            <w:pPr>
              <w:pStyle w:val="8"/>
              <w:spacing w:before="165" w:line="242" w:lineRule="auto"/>
              <w:ind w:left="110" w:right="104" w:hanging="1"/>
              <w:jc w:val="both"/>
            </w:pPr>
            <w:r>
              <w:rPr>
                <w:spacing w:val="3"/>
              </w:rPr>
              <w:t>对船员未遵</w:t>
            </w:r>
            <w:r>
              <w:rPr>
                <w:spacing w:val="1"/>
              </w:rPr>
              <w:t xml:space="preserve"> </w:t>
            </w:r>
            <w:r>
              <w:rPr>
                <w:spacing w:val="3"/>
              </w:rPr>
              <w:t>守值班规定</w:t>
            </w:r>
            <w:r>
              <w:t xml:space="preserve"> </w:t>
            </w:r>
            <w:r>
              <w:rPr>
                <w:spacing w:val="3"/>
              </w:rPr>
              <w:t>擅自离开工</w:t>
            </w:r>
            <w:r>
              <w:t xml:space="preserve"> </w:t>
            </w:r>
            <w:r>
              <w:rPr>
                <w:spacing w:val="3"/>
              </w:rPr>
              <w:t>作岗位等行</w:t>
            </w:r>
            <w:r>
              <w:t xml:space="preserve"> </w:t>
            </w:r>
            <w:r>
              <w:rPr>
                <w:spacing w:val="3"/>
              </w:rPr>
              <w:t>为的行政处</w:t>
            </w:r>
            <w:r>
              <w:t xml:space="preserve"> 罚</w:t>
            </w:r>
          </w:p>
        </w:tc>
        <w:tc>
          <w:tcPr>
            <w:tcW w:w="1136" w:type="dxa"/>
            <w:vAlign w:val="top"/>
          </w:tcPr>
          <w:p w14:paraId="6474E95B">
            <w:pPr>
              <w:spacing w:line="349" w:lineRule="auto"/>
              <w:rPr>
                <w:rFonts w:ascii="Arial"/>
                <w:sz w:val="21"/>
              </w:rPr>
            </w:pPr>
          </w:p>
          <w:p w14:paraId="339372C6">
            <w:pPr>
              <w:spacing w:line="350" w:lineRule="auto"/>
              <w:rPr>
                <w:rFonts w:ascii="Arial"/>
                <w:sz w:val="21"/>
              </w:rPr>
            </w:pPr>
          </w:p>
          <w:p w14:paraId="56EBB71B">
            <w:pPr>
              <w:pStyle w:val="8"/>
              <w:spacing w:before="59" w:line="220" w:lineRule="auto"/>
              <w:ind w:left="114"/>
            </w:pPr>
            <w:r>
              <w:rPr>
                <w:spacing w:val="-7"/>
              </w:rPr>
              <w:t>行政处罚</w:t>
            </w:r>
          </w:p>
        </w:tc>
        <w:tc>
          <w:tcPr>
            <w:tcW w:w="8806" w:type="dxa"/>
            <w:vAlign w:val="top"/>
          </w:tcPr>
          <w:p w14:paraId="59CC988A">
            <w:pPr>
              <w:pStyle w:val="8"/>
              <w:spacing w:before="43" w:line="219" w:lineRule="auto"/>
              <w:ind w:left="476"/>
            </w:pPr>
            <w:r>
              <w:rPr>
                <w:b/>
                <w:bCs/>
                <w:spacing w:val="-6"/>
              </w:rPr>
              <w:t>1.《中华人民共和国船员条例》</w:t>
            </w:r>
          </w:p>
          <w:p w14:paraId="75CD017F">
            <w:pPr>
              <w:pStyle w:val="8"/>
              <w:spacing w:before="28" w:line="238" w:lineRule="auto"/>
              <w:ind w:left="110" w:right="100" w:firstLine="352"/>
              <w:jc w:val="both"/>
            </w:pPr>
            <w:r>
              <w:rPr>
                <w:spacing w:val="-4"/>
              </w:rPr>
              <w:t>第十六条</w:t>
            </w:r>
            <w:r>
              <w:rPr>
                <w:spacing w:val="85"/>
                <w:w w:val="101"/>
              </w:rPr>
              <w:t xml:space="preserve"> </w:t>
            </w:r>
            <w:r>
              <w:rPr>
                <w:spacing w:val="-4"/>
              </w:rPr>
              <w:t>船员在船工作期间，应当符合下列要</w:t>
            </w:r>
            <w:r>
              <w:rPr>
                <w:spacing w:val="-5"/>
              </w:rPr>
              <w:t>求：(一)携带本条例规定的有效证件；(二)掌握船舶的适航</w:t>
            </w:r>
            <w:r>
              <w:t xml:space="preserve"> </w:t>
            </w:r>
            <w:r>
              <w:rPr>
                <w:spacing w:val="-5"/>
              </w:rPr>
              <w:t>状况和航线的通航保障情况，以及有关航区气象、海况等必要的信息；(三)遵守船舶的管理制度和值班规定，按</w:t>
            </w:r>
            <w:r>
              <w:rPr>
                <w:spacing w:val="18"/>
              </w:rPr>
              <w:t xml:space="preserve"> </w:t>
            </w:r>
            <w:r>
              <w:rPr>
                <w:spacing w:val="-5"/>
              </w:rPr>
              <w:t>照水上交通安全和防治船舶污染的操作规则操纵、控制和管理船舶，如实填写有关船舶法定文书，不得隐匿、篡</w:t>
            </w:r>
            <w:r>
              <w:rPr>
                <w:spacing w:val="13"/>
              </w:rPr>
              <w:t xml:space="preserve"> </w:t>
            </w:r>
            <w:r>
              <w:rPr>
                <w:spacing w:val="-5"/>
              </w:rPr>
              <w:t>改或者销毁有关船舶法定证书、文书；(四)参加船舶应急训练、演习，按照船舶应急部署的要求，落实各项应急</w:t>
            </w:r>
            <w:r>
              <w:rPr>
                <w:spacing w:val="18"/>
              </w:rPr>
              <w:t xml:space="preserve"> </w:t>
            </w:r>
            <w:r>
              <w:rPr>
                <w:spacing w:val="-5"/>
              </w:rPr>
              <w:t>预防措施；(五)遵守船舶报告制度，发现或者发生险情、事故、保安事件或者影响航行安全的情况，应当及时报</w:t>
            </w:r>
            <w:r>
              <w:rPr>
                <w:spacing w:val="16"/>
              </w:rPr>
              <w:t xml:space="preserve"> </w:t>
            </w:r>
            <w:r>
              <w:rPr>
                <w:spacing w:val="-4"/>
              </w:rPr>
              <w:t>告；(六)在不严重危及自身安全的情况下，尽</w:t>
            </w:r>
            <w:r>
              <w:rPr>
                <w:spacing w:val="-5"/>
              </w:rPr>
              <w:t>力救助遇险人员；(七)不得利用船舶私载旅客、货物，不得携带违</w:t>
            </w:r>
          </w:p>
        </w:tc>
        <w:tc>
          <w:tcPr>
            <w:tcW w:w="1043" w:type="dxa"/>
            <w:vAlign w:val="top"/>
          </w:tcPr>
          <w:p w14:paraId="71A55AC0">
            <w:pPr>
              <w:spacing w:line="290" w:lineRule="auto"/>
              <w:rPr>
                <w:rFonts w:ascii="Arial"/>
                <w:sz w:val="21"/>
              </w:rPr>
            </w:pPr>
          </w:p>
          <w:p w14:paraId="21978C08">
            <w:pPr>
              <w:spacing w:line="290" w:lineRule="auto"/>
              <w:rPr>
                <w:rFonts w:ascii="Arial"/>
                <w:sz w:val="21"/>
              </w:rPr>
            </w:pPr>
          </w:p>
          <w:p w14:paraId="2F18959C">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81251F1">
            <w:pPr>
              <w:spacing w:line="350" w:lineRule="auto"/>
              <w:rPr>
                <w:rFonts w:ascii="Arial"/>
                <w:sz w:val="21"/>
              </w:rPr>
            </w:pPr>
          </w:p>
          <w:p w14:paraId="3447D672">
            <w:pPr>
              <w:spacing w:line="350" w:lineRule="auto"/>
              <w:rPr>
                <w:rFonts w:ascii="Arial"/>
                <w:sz w:val="21"/>
              </w:rPr>
            </w:pPr>
          </w:p>
          <w:p w14:paraId="0BBF4E14">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9893CD3">
            <w:pPr>
              <w:spacing w:line="343" w:lineRule="auto"/>
              <w:rPr>
                <w:rFonts w:ascii="Arial"/>
                <w:sz w:val="21"/>
              </w:rPr>
            </w:pPr>
          </w:p>
          <w:p w14:paraId="59CCA1DC">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62450704">
      <w:pPr>
        <w:pStyle w:val="2"/>
      </w:pPr>
    </w:p>
    <w:p w14:paraId="4F92FE35">
      <w:pPr>
        <w:sectPr>
          <w:footerReference r:id="rId182" w:type="default"/>
          <w:pgSz w:w="16839" w:h="11906"/>
          <w:pgMar w:top="1012" w:right="788" w:bottom="967" w:left="787" w:header="0" w:footer="768" w:gutter="0"/>
          <w:cols w:space="720" w:num="1"/>
        </w:sectPr>
      </w:pPr>
    </w:p>
    <w:p w14:paraId="4BB7BDF2">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0E6EF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1A336A98">
            <w:pPr>
              <w:pStyle w:val="8"/>
              <w:spacing w:before="267" w:line="221" w:lineRule="auto"/>
              <w:ind w:left="142"/>
            </w:pPr>
            <w:r>
              <w:rPr>
                <w:b/>
                <w:bCs/>
                <w:spacing w:val="-4"/>
              </w:rPr>
              <w:t>序号</w:t>
            </w:r>
          </w:p>
        </w:tc>
        <w:tc>
          <w:tcPr>
            <w:tcW w:w="1136" w:type="dxa"/>
            <w:vMerge w:val="restart"/>
            <w:tcBorders>
              <w:bottom w:val="nil"/>
            </w:tcBorders>
            <w:vAlign w:val="top"/>
          </w:tcPr>
          <w:p w14:paraId="7A25525B">
            <w:pPr>
              <w:pStyle w:val="8"/>
              <w:spacing w:before="267" w:line="220" w:lineRule="auto"/>
              <w:ind w:left="208"/>
            </w:pPr>
            <w:r>
              <w:rPr>
                <w:b/>
                <w:bCs/>
                <w:spacing w:val="-4"/>
              </w:rPr>
              <w:t>事项名称</w:t>
            </w:r>
          </w:p>
        </w:tc>
        <w:tc>
          <w:tcPr>
            <w:tcW w:w="1136" w:type="dxa"/>
            <w:vMerge w:val="restart"/>
            <w:tcBorders>
              <w:bottom w:val="nil"/>
            </w:tcBorders>
            <w:vAlign w:val="top"/>
          </w:tcPr>
          <w:p w14:paraId="40757552">
            <w:pPr>
              <w:pStyle w:val="8"/>
              <w:spacing w:before="267" w:line="219" w:lineRule="auto"/>
              <w:ind w:left="210"/>
            </w:pPr>
            <w:r>
              <w:rPr>
                <w:b/>
                <w:bCs/>
                <w:spacing w:val="-4"/>
              </w:rPr>
              <w:t>职权类型</w:t>
            </w:r>
          </w:p>
        </w:tc>
        <w:tc>
          <w:tcPr>
            <w:tcW w:w="8806" w:type="dxa"/>
            <w:vMerge w:val="restart"/>
            <w:tcBorders>
              <w:bottom w:val="nil"/>
            </w:tcBorders>
            <w:vAlign w:val="top"/>
          </w:tcPr>
          <w:p w14:paraId="110693F8">
            <w:pPr>
              <w:pStyle w:val="8"/>
              <w:spacing w:before="267" w:line="219" w:lineRule="auto"/>
              <w:ind w:left="4050"/>
            </w:pPr>
            <w:r>
              <w:rPr>
                <w:b/>
                <w:bCs/>
                <w:spacing w:val="-5"/>
              </w:rPr>
              <w:t>实施依据</w:t>
            </w:r>
          </w:p>
        </w:tc>
        <w:tc>
          <w:tcPr>
            <w:tcW w:w="3538" w:type="dxa"/>
            <w:gridSpan w:val="3"/>
            <w:vAlign w:val="top"/>
          </w:tcPr>
          <w:p w14:paraId="264EC106">
            <w:pPr>
              <w:pStyle w:val="8"/>
              <w:spacing w:before="92" w:line="220" w:lineRule="auto"/>
              <w:ind w:left="1415"/>
            </w:pPr>
            <w:r>
              <w:rPr>
                <w:b/>
                <w:bCs/>
                <w:spacing w:val="-5"/>
              </w:rPr>
              <w:t>实施主体</w:t>
            </w:r>
          </w:p>
        </w:tc>
      </w:tr>
      <w:tr w14:paraId="5C9CA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46E0B921">
            <w:pPr>
              <w:rPr>
                <w:rFonts w:ascii="Arial"/>
                <w:sz w:val="21"/>
              </w:rPr>
            </w:pPr>
          </w:p>
        </w:tc>
        <w:tc>
          <w:tcPr>
            <w:tcW w:w="1136" w:type="dxa"/>
            <w:vMerge w:val="continue"/>
            <w:tcBorders>
              <w:top w:val="nil"/>
            </w:tcBorders>
            <w:vAlign w:val="top"/>
          </w:tcPr>
          <w:p w14:paraId="3327D3CF">
            <w:pPr>
              <w:rPr>
                <w:rFonts w:ascii="Arial"/>
                <w:sz w:val="21"/>
              </w:rPr>
            </w:pPr>
          </w:p>
        </w:tc>
        <w:tc>
          <w:tcPr>
            <w:tcW w:w="1136" w:type="dxa"/>
            <w:vMerge w:val="continue"/>
            <w:tcBorders>
              <w:top w:val="nil"/>
            </w:tcBorders>
            <w:vAlign w:val="top"/>
          </w:tcPr>
          <w:p w14:paraId="0425EC0C">
            <w:pPr>
              <w:rPr>
                <w:rFonts w:ascii="Arial"/>
                <w:sz w:val="21"/>
              </w:rPr>
            </w:pPr>
          </w:p>
        </w:tc>
        <w:tc>
          <w:tcPr>
            <w:tcW w:w="8806" w:type="dxa"/>
            <w:vMerge w:val="continue"/>
            <w:tcBorders>
              <w:top w:val="nil"/>
            </w:tcBorders>
            <w:vAlign w:val="top"/>
          </w:tcPr>
          <w:p w14:paraId="0F6CF792">
            <w:pPr>
              <w:rPr>
                <w:rFonts w:ascii="Arial"/>
                <w:sz w:val="21"/>
              </w:rPr>
            </w:pPr>
          </w:p>
        </w:tc>
        <w:tc>
          <w:tcPr>
            <w:tcW w:w="1043" w:type="dxa"/>
            <w:vAlign w:val="top"/>
          </w:tcPr>
          <w:p w14:paraId="70D54E41">
            <w:pPr>
              <w:pStyle w:val="8"/>
              <w:spacing w:before="88" w:line="219" w:lineRule="auto"/>
              <w:ind w:left="171"/>
            </w:pPr>
            <w:r>
              <w:rPr>
                <w:b/>
                <w:bCs/>
                <w:spacing w:val="-5"/>
              </w:rPr>
              <w:t>责任部门</w:t>
            </w:r>
          </w:p>
        </w:tc>
        <w:tc>
          <w:tcPr>
            <w:tcW w:w="1448" w:type="dxa"/>
            <w:vAlign w:val="top"/>
          </w:tcPr>
          <w:p w14:paraId="070758FB">
            <w:pPr>
              <w:pStyle w:val="8"/>
              <w:spacing w:before="88" w:line="219" w:lineRule="auto"/>
              <w:ind w:left="187"/>
            </w:pPr>
            <w:r>
              <w:rPr>
                <w:b/>
                <w:bCs/>
                <w:spacing w:val="-3"/>
              </w:rPr>
              <w:t>第一责任层级</w:t>
            </w:r>
          </w:p>
        </w:tc>
        <w:tc>
          <w:tcPr>
            <w:tcW w:w="1047" w:type="dxa"/>
            <w:vAlign w:val="top"/>
          </w:tcPr>
          <w:p w14:paraId="64062444">
            <w:pPr>
              <w:pStyle w:val="8"/>
              <w:spacing w:before="88" w:line="219" w:lineRule="auto"/>
              <w:ind w:left="165"/>
            </w:pPr>
            <w:r>
              <w:rPr>
                <w:b/>
                <w:bCs/>
                <w:spacing w:val="-4"/>
              </w:rPr>
              <w:t>承办机构</w:t>
            </w:r>
          </w:p>
        </w:tc>
      </w:tr>
      <w:tr w14:paraId="63319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3" w:hRule="atLeast"/>
        </w:trPr>
        <w:tc>
          <w:tcPr>
            <w:tcW w:w="641" w:type="dxa"/>
            <w:vAlign w:val="top"/>
          </w:tcPr>
          <w:p w14:paraId="41282B2C">
            <w:pPr>
              <w:rPr>
                <w:rFonts w:ascii="Arial"/>
                <w:sz w:val="21"/>
              </w:rPr>
            </w:pPr>
          </w:p>
        </w:tc>
        <w:tc>
          <w:tcPr>
            <w:tcW w:w="1136" w:type="dxa"/>
            <w:vAlign w:val="top"/>
          </w:tcPr>
          <w:p w14:paraId="19C9782D">
            <w:pPr>
              <w:rPr>
                <w:rFonts w:ascii="Arial"/>
                <w:sz w:val="21"/>
              </w:rPr>
            </w:pPr>
          </w:p>
        </w:tc>
        <w:tc>
          <w:tcPr>
            <w:tcW w:w="1136" w:type="dxa"/>
            <w:vAlign w:val="top"/>
          </w:tcPr>
          <w:p w14:paraId="280C06E5">
            <w:pPr>
              <w:rPr>
                <w:rFonts w:ascii="Arial"/>
                <w:sz w:val="21"/>
              </w:rPr>
            </w:pPr>
          </w:p>
        </w:tc>
        <w:tc>
          <w:tcPr>
            <w:tcW w:w="8806" w:type="dxa"/>
            <w:vAlign w:val="top"/>
          </w:tcPr>
          <w:p w14:paraId="3AE45596">
            <w:pPr>
              <w:pStyle w:val="8"/>
              <w:spacing w:before="38" w:line="219" w:lineRule="auto"/>
              <w:ind w:left="110"/>
            </w:pPr>
            <w:r>
              <w:rPr>
                <w:spacing w:val="-4"/>
              </w:rPr>
              <w:t>禁物品。</w:t>
            </w:r>
          </w:p>
          <w:p w14:paraId="4C95E1C7">
            <w:pPr>
              <w:pStyle w:val="8"/>
              <w:spacing w:before="23" w:line="242" w:lineRule="auto"/>
              <w:ind w:left="110" w:right="42" w:firstLine="352"/>
            </w:pPr>
            <w:r>
              <w:rPr>
                <w:spacing w:val="-3"/>
              </w:rPr>
              <w:t>第五十一条  违反本条例的规定，船员有下列情形之一的，由海事管理机构处1000元以上1万元以下罚款；</w:t>
            </w:r>
            <w:r>
              <w:rPr>
                <w:spacing w:val="18"/>
              </w:rPr>
              <w:t xml:space="preserve"> </w:t>
            </w:r>
            <w:r>
              <w:rPr>
                <w:spacing w:val="-4"/>
              </w:rPr>
              <w:t>情节严重的，并给予暂扣船员适任证书6个月以上2年以下直至吊销船员适任证书的处罚</w:t>
            </w:r>
            <w:r>
              <w:rPr>
                <w:spacing w:val="-20"/>
              </w:rPr>
              <w:t>：（</w:t>
            </w:r>
            <w:r>
              <w:rPr>
                <w:spacing w:val="-4"/>
              </w:rPr>
              <w:t>一）未遵守值班规定</w:t>
            </w:r>
            <w:r>
              <w:t xml:space="preserve"> </w:t>
            </w:r>
            <w:r>
              <w:rPr>
                <w:spacing w:val="-2"/>
              </w:rPr>
              <w:t>擅自离开工作岗位的</w:t>
            </w:r>
            <w:r>
              <w:rPr>
                <w:spacing w:val="-31"/>
              </w:rPr>
              <w:t>；（</w:t>
            </w:r>
            <w:r>
              <w:rPr>
                <w:spacing w:val="-2"/>
              </w:rPr>
              <w:t>二）未按照水上交通安全和防治船</w:t>
            </w:r>
            <w:r>
              <w:rPr>
                <w:spacing w:val="-3"/>
              </w:rPr>
              <w:t>舶污染操作规则操纵、控制和管理船舶的</w:t>
            </w:r>
            <w:r>
              <w:rPr>
                <w:spacing w:val="-31"/>
              </w:rPr>
              <w:t>；（</w:t>
            </w:r>
            <w:r>
              <w:rPr>
                <w:spacing w:val="-3"/>
              </w:rPr>
              <w:t>三）发</w:t>
            </w:r>
            <w:r>
              <w:rPr>
                <w:spacing w:val="3"/>
              </w:rPr>
              <w:t xml:space="preserve"> </w:t>
            </w:r>
            <w:r>
              <w:rPr>
                <w:spacing w:val="-5"/>
              </w:rPr>
              <w:t>现或者发生险情、事故、保安事件或者影响航行安全的情况未及时报告的</w:t>
            </w:r>
            <w:r>
              <w:rPr>
                <w:spacing w:val="-47"/>
                <w:w w:val="98"/>
              </w:rPr>
              <w:t>；（</w:t>
            </w:r>
            <w:r>
              <w:rPr>
                <w:spacing w:val="-5"/>
              </w:rPr>
              <w:t>四）未</w:t>
            </w:r>
            <w:r>
              <w:rPr>
                <w:spacing w:val="-6"/>
              </w:rPr>
              <w:t>如实填写或者记载有关船舶、</w:t>
            </w:r>
            <w:r>
              <w:t xml:space="preserve"> </w:t>
            </w:r>
            <w:r>
              <w:rPr>
                <w:spacing w:val="-2"/>
              </w:rPr>
              <w:t>船员法定文书的</w:t>
            </w:r>
            <w:r>
              <w:rPr>
                <w:spacing w:val="-30"/>
              </w:rPr>
              <w:t>；（</w:t>
            </w:r>
            <w:r>
              <w:rPr>
                <w:spacing w:val="-2"/>
              </w:rPr>
              <w:t>五）隐匿、篡改或者销毁有关船舶</w:t>
            </w:r>
            <w:r>
              <w:rPr>
                <w:spacing w:val="-3"/>
              </w:rPr>
              <w:t>、船员法定证书、文书的</w:t>
            </w:r>
            <w:r>
              <w:rPr>
                <w:spacing w:val="-30"/>
              </w:rPr>
              <w:t>；（</w:t>
            </w:r>
            <w:r>
              <w:rPr>
                <w:spacing w:val="-3"/>
              </w:rPr>
              <w:t>六）不依法履行救助义务或</w:t>
            </w:r>
            <w:r>
              <w:rPr>
                <w:spacing w:val="1"/>
              </w:rPr>
              <w:t xml:space="preserve"> </w:t>
            </w:r>
            <w:r>
              <w:rPr>
                <w:spacing w:val="-3"/>
              </w:rPr>
              <w:t>者肇事逃逸的</w:t>
            </w:r>
            <w:r>
              <w:rPr>
                <w:spacing w:val="-18"/>
              </w:rPr>
              <w:t>；（</w:t>
            </w:r>
            <w:r>
              <w:rPr>
                <w:spacing w:val="-3"/>
              </w:rPr>
              <w:t>七）利用船舶私载旅客、货物或者携带违禁物品的。</w:t>
            </w:r>
          </w:p>
          <w:p w14:paraId="41978E3E">
            <w:pPr>
              <w:pStyle w:val="8"/>
              <w:spacing w:before="26" w:line="208" w:lineRule="auto"/>
              <w:ind w:left="465"/>
            </w:pPr>
            <w:r>
              <w:rPr>
                <w:b/>
                <w:bCs/>
                <w:spacing w:val="-5"/>
              </w:rPr>
              <w:t>2.《中华人民共和国内河海事行政处罚规定》（交通运输部令2022年第28号）</w:t>
            </w:r>
          </w:p>
          <w:p w14:paraId="7D747F9E">
            <w:pPr>
              <w:pStyle w:val="8"/>
              <w:spacing w:before="3" w:line="248" w:lineRule="auto"/>
              <w:ind w:left="112" w:right="100" w:firstLine="350"/>
              <w:jc w:val="both"/>
            </w:pPr>
            <w:r>
              <w:rPr>
                <w:spacing w:val="-5"/>
              </w:rPr>
              <w:t>第十一条</w:t>
            </w:r>
            <w:r>
              <w:rPr>
                <w:spacing w:val="95"/>
                <w:w w:val="101"/>
              </w:rPr>
              <w:t xml:space="preserve"> </w:t>
            </w:r>
            <w:r>
              <w:rPr>
                <w:spacing w:val="-5"/>
              </w:rPr>
              <w:t>违反《</w:t>
            </w:r>
            <w:r>
              <w:fldChar w:fldCharType="begin"/>
            </w:r>
            <w:r>
              <w:instrText xml:space="preserve"> HYPERLINK "https://www.pkulaw.com/chl/4ec1101dd6552414bdfb.html" </w:instrText>
            </w:r>
            <w:r>
              <w:fldChar w:fldCharType="separate"/>
            </w:r>
            <w:r>
              <w:rPr>
                <w:spacing w:val="-5"/>
              </w:rPr>
              <w:t>船员条例</w:t>
            </w:r>
            <w:r>
              <w:rPr>
                <w:spacing w:val="-5"/>
              </w:rPr>
              <w:fldChar w:fldCharType="end"/>
            </w:r>
            <w:r>
              <w:rPr>
                <w:spacing w:val="-5"/>
              </w:rPr>
              <w:t>》</w:t>
            </w:r>
            <w:r>
              <w:fldChar w:fldCharType="begin"/>
            </w:r>
            <w:r>
              <w:instrText xml:space="preserve"> HYPERLINK "https://www.pkulaw.com/chl/4ec1101dd6552414bdfb.html" </w:instrText>
            </w:r>
            <w:r>
              <w:fldChar w:fldCharType="separate"/>
            </w:r>
            <w:r>
              <w:rPr>
                <w:spacing w:val="-5"/>
              </w:rPr>
              <w:t>第十六条</w:t>
            </w:r>
            <w:r>
              <w:rPr>
                <w:spacing w:val="-5"/>
              </w:rPr>
              <w:fldChar w:fldCharType="end"/>
            </w:r>
            <w:r>
              <w:rPr>
                <w:spacing w:val="-5"/>
              </w:rPr>
              <w:t>的规定，船员有下列情形之一的，依照《</w:t>
            </w:r>
            <w:r>
              <w:fldChar w:fldCharType="begin"/>
            </w:r>
            <w:r>
              <w:instrText xml:space="preserve"> HYPERLINK "https://www.pkulaw.com/chl/4ec1101dd6552414bdfb.html" </w:instrText>
            </w:r>
            <w:r>
              <w:fldChar w:fldCharType="separate"/>
            </w:r>
            <w:r>
              <w:rPr>
                <w:spacing w:val="-5"/>
              </w:rPr>
              <w:t>船员条例</w:t>
            </w:r>
            <w:r>
              <w:rPr>
                <w:spacing w:val="-5"/>
              </w:rPr>
              <w:fldChar w:fldCharType="end"/>
            </w:r>
            <w:r>
              <w:rPr>
                <w:spacing w:val="-5"/>
              </w:rPr>
              <w:t>》</w:t>
            </w:r>
            <w:r>
              <w:fldChar w:fldCharType="begin"/>
            </w:r>
            <w:r>
              <w:instrText xml:space="preserve"> HYPERLINK "https://www.pkulaw.com/chl/4ec1101dd6552414bdfb.html" </w:instrText>
            </w:r>
            <w:r>
              <w:fldChar w:fldCharType="separate"/>
            </w:r>
            <w:r>
              <w:rPr>
                <w:spacing w:val="-5"/>
              </w:rPr>
              <w:t>第五十二条</w:t>
            </w:r>
            <w:r>
              <w:rPr>
                <w:spacing w:val="-5"/>
              </w:rPr>
              <w:fldChar w:fldCharType="end"/>
            </w:r>
            <w:r>
              <w:rPr>
                <w:spacing w:val="-5"/>
              </w:rPr>
              <w:t>的规</w:t>
            </w:r>
            <w:r>
              <w:t xml:space="preserve"> </w:t>
            </w:r>
            <w:r>
              <w:rPr>
                <w:spacing w:val="-4"/>
              </w:rPr>
              <w:t>定，处以1000元以上1万元以下罚款；情节严重的，并给予扣留船</w:t>
            </w:r>
            <w:r>
              <w:rPr>
                <w:spacing w:val="-5"/>
              </w:rPr>
              <w:t>员适任证书6个月至24个月直至吊销船员适任证</w:t>
            </w:r>
            <w:r>
              <w:t xml:space="preserve"> </w:t>
            </w:r>
            <w:r>
              <w:rPr>
                <w:spacing w:val="-3"/>
              </w:rPr>
              <w:t>书的处罚</w:t>
            </w:r>
            <w:r>
              <w:rPr>
                <w:spacing w:val="-25"/>
              </w:rPr>
              <w:t>：（</w:t>
            </w:r>
            <w:r>
              <w:rPr>
                <w:spacing w:val="-3"/>
              </w:rPr>
              <w:t>一）在船在岗期间饮酒，体内酒精含量超过规定标准</w:t>
            </w:r>
            <w:r>
              <w:rPr>
                <w:spacing w:val="-25"/>
              </w:rPr>
              <w:t>；（</w:t>
            </w:r>
            <w:r>
              <w:rPr>
                <w:spacing w:val="-3"/>
              </w:rPr>
              <w:t>二）在船在岗期间，服用国家管制的麻醉</w:t>
            </w:r>
            <w:r>
              <w:rPr>
                <w:spacing w:val="1"/>
              </w:rPr>
              <w:t xml:space="preserve"> </w:t>
            </w:r>
            <w:r>
              <w:rPr>
                <w:spacing w:val="-5"/>
              </w:rPr>
              <w:t>药品或者精神药品。</w:t>
            </w:r>
          </w:p>
          <w:p w14:paraId="59B29FDF">
            <w:pPr>
              <w:pStyle w:val="8"/>
              <w:spacing w:before="26" w:line="219" w:lineRule="auto"/>
              <w:ind w:left="467"/>
            </w:pPr>
            <w:r>
              <w:rPr>
                <w:b/>
                <w:bCs/>
                <w:spacing w:val="-6"/>
              </w:rPr>
              <w:t>3.《中华人民共和国内河船舶船员值班规则》</w:t>
            </w:r>
            <w:r>
              <w:rPr>
                <w:spacing w:val="-48"/>
              </w:rPr>
              <w:t xml:space="preserve"> </w:t>
            </w:r>
            <w:r>
              <w:rPr>
                <w:b/>
                <w:bCs/>
                <w:spacing w:val="-6"/>
              </w:rPr>
              <w:t>(交通运输部令2020年第15号)</w:t>
            </w:r>
          </w:p>
          <w:p w14:paraId="407D612A">
            <w:pPr>
              <w:pStyle w:val="8"/>
              <w:spacing w:before="28" w:line="233" w:lineRule="auto"/>
              <w:ind w:left="113" w:right="100" w:firstLine="349"/>
            </w:pPr>
            <w:r>
              <w:rPr>
                <w:spacing w:val="-5"/>
              </w:rPr>
              <w:t>第十四条</w:t>
            </w:r>
            <w:r>
              <w:rPr>
                <w:spacing w:val="95"/>
              </w:rPr>
              <w:t xml:space="preserve"> </w:t>
            </w:r>
            <w:r>
              <w:rPr>
                <w:spacing w:val="-5"/>
              </w:rPr>
              <w:t>值班船员应当按规定升降国旗，正确显示号灯、号型和旗号，不得擅离岗位，不得从事与值班无</w:t>
            </w:r>
            <w:r>
              <w:t xml:space="preserve"> </w:t>
            </w:r>
            <w:r>
              <w:rPr>
                <w:spacing w:val="-5"/>
              </w:rPr>
              <w:t>关的事项。</w:t>
            </w:r>
          </w:p>
          <w:p w14:paraId="77465223">
            <w:pPr>
              <w:pStyle w:val="8"/>
              <w:spacing w:before="25" w:line="219" w:lineRule="auto"/>
              <w:ind w:left="463"/>
            </w:pPr>
            <w:r>
              <w:rPr>
                <w:spacing w:val="-4"/>
              </w:rPr>
              <w:t>值班船员应当按规定记载航行日志、轮机日志等法定文书。船长、轮机长应当按规定进行审核并签</w:t>
            </w:r>
            <w:r>
              <w:rPr>
                <w:spacing w:val="-5"/>
              </w:rPr>
              <w:t>名。</w:t>
            </w:r>
          </w:p>
          <w:p w14:paraId="68951D31">
            <w:pPr>
              <w:pStyle w:val="8"/>
              <w:spacing w:before="26" w:line="237" w:lineRule="auto"/>
              <w:ind w:left="109" w:right="100" w:firstLine="353"/>
            </w:pPr>
            <w:r>
              <w:rPr>
                <w:spacing w:val="-5"/>
              </w:rPr>
              <w:t>第十九条  驾驶值班船员应当充分利用视觉、听觉及其他一切有效手段始终保持正规了望，同时在规定的频</w:t>
            </w:r>
            <w:r>
              <w:rPr>
                <w:spacing w:val="15"/>
              </w:rPr>
              <w:t xml:space="preserve"> </w:t>
            </w:r>
            <w:r>
              <w:rPr>
                <w:spacing w:val="-3"/>
              </w:rPr>
              <w:t>道上守听甚高频电话（VHF</w:t>
            </w:r>
            <w:r>
              <w:rPr>
                <w:spacing w:val="1"/>
              </w:rPr>
              <w:t>），</w:t>
            </w:r>
            <w:r>
              <w:rPr>
                <w:spacing w:val="-3"/>
              </w:rPr>
              <w:t>必要时做好记录，掌握来往船舶动态和周围环境情况，以便对局面和碰撞危险作</w:t>
            </w:r>
            <w:r>
              <w:rPr>
                <w:spacing w:val="1"/>
              </w:rPr>
              <w:t xml:space="preserve"> </w:t>
            </w:r>
            <w:r>
              <w:rPr>
                <w:spacing w:val="-4"/>
              </w:rPr>
              <w:t>出充分的估计。</w:t>
            </w:r>
          </w:p>
          <w:p w14:paraId="5766E2FC">
            <w:pPr>
              <w:pStyle w:val="8"/>
              <w:spacing w:before="28" w:line="219" w:lineRule="auto"/>
              <w:ind w:left="466"/>
            </w:pPr>
            <w:r>
              <w:rPr>
                <w:spacing w:val="-4"/>
              </w:rPr>
              <w:t>夜间、能见度不良及其他特殊情况下应当加</w:t>
            </w:r>
            <w:r>
              <w:rPr>
                <w:spacing w:val="-5"/>
              </w:rPr>
              <w:t>强了望。</w:t>
            </w:r>
          </w:p>
          <w:p w14:paraId="20FB67B2">
            <w:pPr>
              <w:pStyle w:val="8"/>
              <w:spacing w:before="26" w:line="219" w:lineRule="auto"/>
              <w:ind w:left="463"/>
            </w:pPr>
            <w:r>
              <w:rPr>
                <w:spacing w:val="-5"/>
              </w:rPr>
              <w:t>第二十一条第一款</w:t>
            </w:r>
            <w:r>
              <w:rPr>
                <w:spacing w:val="103"/>
              </w:rPr>
              <w:t xml:space="preserve"> </w:t>
            </w:r>
            <w:r>
              <w:rPr>
                <w:spacing w:val="-5"/>
              </w:rPr>
              <w:t>值班驾驶人员应当使用安全航速。</w:t>
            </w:r>
          </w:p>
          <w:p w14:paraId="4147E625">
            <w:pPr>
              <w:pStyle w:val="8"/>
              <w:spacing w:before="26" w:line="233" w:lineRule="auto"/>
              <w:ind w:left="110" w:right="119" w:firstLine="352"/>
            </w:pPr>
            <w:r>
              <w:rPr>
                <w:spacing w:val="-5"/>
              </w:rPr>
              <w:t>第二十六条  船长在驾驶台但未声明亲自操纵时，值班驾驶人员应当正常履行值班职责。船长接替操</w:t>
            </w:r>
            <w:r>
              <w:rPr>
                <w:spacing w:val="-6"/>
              </w:rPr>
              <w:t>纵后，</w:t>
            </w:r>
            <w:r>
              <w:t xml:space="preserve"> </w:t>
            </w:r>
            <w:r>
              <w:rPr>
                <w:spacing w:val="-4"/>
              </w:rPr>
              <w:t>值班驾驶人员仍负有协助的责任。</w:t>
            </w:r>
          </w:p>
          <w:p w14:paraId="2D911F57">
            <w:pPr>
              <w:pStyle w:val="8"/>
              <w:spacing w:before="24"/>
              <w:ind w:left="109" w:right="31" w:firstLine="353"/>
            </w:pPr>
            <w:r>
              <w:rPr>
                <w:spacing w:val="-4"/>
              </w:rPr>
              <w:t>第二十八条</w:t>
            </w:r>
            <w:r>
              <w:rPr>
                <w:spacing w:val="87"/>
              </w:rPr>
              <w:t xml:space="preserve"> </w:t>
            </w:r>
            <w:r>
              <w:rPr>
                <w:spacing w:val="-4"/>
              </w:rPr>
              <w:t>遇下列情况时，值班驾驶人员应当及时采取措施，并立即报告船长</w:t>
            </w:r>
            <w:r>
              <w:rPr>
                <w:spacing w:val="-38"/>
              </w:rPr>
              <w:t>：（</w:t>
            </w:r>
            <w:r>
              <w:rPr>
                <w:spacing w:val="-4"/>
              </w:rPr>
              <w:t>一</w:t>
            </w:r>
            <w:r>
              <w:rPr>
                <w:spacing w:val="-5"/>
              </w:rPr>
              <w:t>）能见度不良</w:t>
            </w:r>
            <w:r>
              <w:rPr>
                <w:spacing w:val="-38"/>
              </w:rPr>
              <w:t>；（</w:t>
            </w:r>
            <w:r>
              <w:rPr>
                <w:spacing w:val="-5"/>
              </w:rPr>
              <w:t>二）</w:t>
            </w:r>
            <w:r>
              <w:t xml:space="preserve"> </w:t>
            </w:r>
            <w:r>
              <w:rPr>
                <w:spacing w:val="-2"/>
              </w:rPr>
              <w:t>对通航条件有疑虑</w:t>
            </w:r>
            <w:r>
              <w:rPr>
                <w:spacing w:val="-25"/>
              </w:rPr>
              <w:t>；（</w:t>
            </w:r>
            <w:r>
              <w:rPr>
                <w:spacing w:val="-2"/>
              </w:rPr>
              <w:t>三）对船长指令有疑问</w:t>
            </w:r>
            <w:r>
              <w:rPr>
                <w:spacing w:val="-25"/>
              </w:rPr>
              <w:t>；（</w:t>
            </w:r>
            <w:r>
              <w:rPr>
                <w:spacing w:val="-2"/>
              </w:rPr>
              <w:t>四）遇恶劣天气威胁航行安全</w:t>
            </w:r>
            <w:r>
              <w:rPr>
                <w:spacing w:val="-25"/>
              </w:rPr>
              <w:t>；（</w:t>
            </w:r>
            <w:r>
              <w:rPr>
                <w:spacing w:val="-2"/>
              </w:rPr>
              <w:t>五）发现遇险信号或者危及</w:t>
            </w:r>
            <w:r>
              <w:rPr>
                <w:spacing w:val="5"/>
              </w:rPr>
              <w:t xml:space="preserve"> </w:t>
            </w:r>
            <w:r>
              <w:rPr>
                <w:spacing w:val="-2"/>
              </w:rPr>
              <w:t>航行安全的可疑物</w:t>
            </w:r>
            <w:r>
              <w:rPr>
                <w:spacing w:val="-17"/>
              </w:rPr>
              <w:t>；（</w:t>
            </w:r>
            <w:r>
              <w:rPr>
                <w:spacing w:val="-2"/>
              </w:rPr>
              <w:t>六）主机、舵机或者其他主要</w:t>
            </w:r>
            <w:r>
              <w:rPr>
                <w:spacing w:val="-3"/>
              </w:rPr>
              <w:t>的操纵设备和助航仪器发生故障</w:t>
            </w:r>
            <w:r>
              <w:rPr>
                <w:spacing w:val="-17"/>
              </w:rPr>
              <w:t>；（</w:t>
            </w:r>
            <w:r>
              <w:rPr>
                <w:spacing w:val="-3"/>
              </w:rPr>
              <w:t>七）发生碰撞、触礁、</w:t>
            </w:r>
            <w:r>
              <w:rPr>
                <w:spacing w:val="2"/>
              </w:rPr>
              <w:t xml:space="preserve"> </w:t>
            </w:r>
            <w:r>
              <w:rPr>
                <w:spacing w:val="-3"/>
              </w:rPr>
              <w:t>搁浅、火警、人员落水、环境污染、船舶进水等紧急情况</w:t>
            </w:r>
            <w:r>
              <w:rPr>
                <w:spacing w:val="-17"/>
              </w:rPr>
              <w:t>；（</w:t>
            </w:r>
            <w:r>
              <w:rPr>
                <w:spacing w:val="-3"/>
              </w:rPr>
              <w:t>八</w:t>
            </w:r>
            <w:r>
              <w:rPr>
                <w:spacing w:val="-4"/>
              </w:rPr>
              <w:t>）出现危及航行安全的其他情况。</w:t>
            </w:r>
          </w:p>
          <w:p w14:paraId="4A274432">
            <w:pPr>
              <w:pStyle w:val="8"/>
              <w:spacing w:before="26" w:line="218" w:lineRule="auto"/>
              <w:ind w:left="478"/>
            </w:pPr>
            <w:r>
              <w:rPr>
                <w:spacing w:val="-4"/>
              </w:rPr>
              <w:t>出现前款第（五）至第（八）项情形的，还</w:t>
            </w:r>
            <w:r>
              <w:rPr>
                <w:spacing w:val="-5"/>
              </w:rPr>
              <w:t>应当及时报告事发地海事管理机构。</w:t>
            </w:r>
          </w:p>
          <w:p w14:paraId="48FCBCB2">
            <w:pPr>
              <w:pStyle w:val="8"/>
              <w:spacing w:before="28" w:line="219" w:lineRule="auto"/>
              <w:ind w:left="463"/>
            </w:pPr>
            <w:r>
              <w:rPr>
                <w:spacing w:val="-4"/>
              </w:rPr>
              <w:t>第四十一条</w:t>
            </w:r>
            <w:r>
              <w:rPr>
                <w:spacing w:val="85"/>
              </w:rPr>
              <w:t xml:space="preserve"> </w:t>
            </w:r>
            <w:r>
              <w:rPr>
                <w:spacing w:val="-4"/>
              </w:rPr>
              <w:t>接班船员应当提前15分钟到达值班岗位，熟悉情况，做好接班前的准备工作。</w:t>
            </w:r>
          </w:p>
          <w:p w14:paraId="2A65DB42">
            <w:pPr>
              <w:pStyle w:val="8"/>
              <w:spacing w:before="25" w:line="233" w:lineRule="auto"/>
              <w:ind w:left="110" w:right="100" w:firstLine="352"/>
            </w:pPr>
            <w:r>
              <w:rPr>
                <w:spacing w:val="-5"/>
              </w:rPr>
              <w:t>第四十八条</w:t>
            </w:r>
            <w:r>
              <w:rPr>
                <w:spacing w:val="95"/>
                <w:w w:val="101"/>
              </w:rPr>
              <w:t xml:space="preserve"> </w:t>
            </w:r>
            <w:r>
              <w:rPr>
                <w:spacing w:val="-5"/>
              </w:rPr>
              <w:t>轮机值班船员负责对船舶机电设备进行安全有效的操作、检查、测试和保养，维持既定的正常</w:t>
            </w:r>
            <w:r>
              <w:t xml:space="preserve"> </w:t>
            </w:r>
            <w:r>
              <w:rPr>
                <w:spacing w:val="-4"/>
              </w:rPr>
              <w:t>值班安排，保证安全值班。</w:t>
            </w:r>
          </w:p>
          <w:p w14:paraId="2DB1CD26">
            <w:pPr>
              <w:pStyle w:val="8"/>
              <w:spacing w:before="28" w:line="239" w:lineRule="auto"/>
              <w:ind w:left="111" w:right="100" w:firstLine="352"/>
              <w:jc w:val="both"/>
            </w:pPr>
            <w:r>
              <w:rPr>
                <w:spacing w:val="-5"/>
              </w:rPr>
              <w:t>第五十七条</w:t>
            </w:r>
            <w:r>
              <w:rPr>
                <w:spacing w:val="95"/>
                <w:w w:val="101"/>
              </w:rPr>
              <w:t xml:space="preserve"> </w:t>
            </w:r>
            <w:r>
              <w:rPr>
                <w:spacing w:val="-5"/>
              </w:rPr>
              <w:t>在保证安全值班的前提下，轮机值班船员在配合日常维修人员进行设备的修理、测试、转换使</w:t>
            </w:r>
            <w:r>
              <w:t xml:space="preserve"> </w:t>
            </w:r>
            <w:r>
              <w:rPr>
                <w:spacing w:val="-3"/>
              </w:rPr>
              <w:t>用时，应当做好下列工作</w:t>
            </w:r>
            <w:r>
              <w:rPr>
                <w:spacing w:val="-25"/>
              </w:rPr>
              <w:t>：（</w:t>
            </w:r>
            <w:r>
              <w:rPr>
                <w:spacing w:val="-3"/>
              </w:rPr>
              <w:t>一）对要进行处理的机电设备采取安全防护措施</w:t>
            </w:r>
            <w:r>
              <w:rPr>
                <w:spacing w:val="-25"/>
              </w:rPr>
              <w:t>；（</w:t>
            </w:r>
            <w:r>
              <w:rPr>
                <w:spacing w:val="-3"/>
              </w:rPr>
              <w:t>二）在维修期间，将其他的设</w:t>
            </w:r>
            <w:r>
              <w:rPr>
                <w:spacing w:val="3"/>
              </w:rPr>
              <w:t xml:space="preserve"> </w:t>
            </w:r>
            <w:r>
              <w:rPr>
                <w:spacing w:val="-4"/>
              </w:rPr>
              <w:t>备调节至充分和安全地发挥功能的状态</w:t>
            </w:r>
            <w:r>
              <w:rPr>
                <w:spacing w:val="-17"/>
              </w:rPr>
              <w:t>；（</w:t>
            </w:r>
            <w:r>
              <w:rPr>
                <w:spacing w:val="-4"/>
              </w:rPr>
              <w:t>三）在轮机日志或者其他适当的文件上详细</w:t>
            </w:r>
            <w:r>
              <w:rPr>
                <w:spacing w:val="-5"/>
              </w:rPr>
              <w:t>记录已维修保养的设备、</w:t>
            </w:r>
            <w:r>
              <w:rPr>
                <w:spacing w:val="1"/>
              </w:rPr>
              <w:t xml:space="preserve"> </w:t>
            </w:r>
            <w:r>
              <w:rPr>
                <w:spacing w:val="-4"/>
              </w:rPr>
              <w:t>测试结果、使用时间以及采取的安全措施。</w:t>
            </w:r>
          </w:p>
          <w:p w14:paraId="70E5E518">
            <w:pPr>
              <w:pStyle w:val="8"/>
              <w:spacing w:before="26" w:line="223" w:lineRule="auto"/>
              <w:ind w:left="123" w:right="100" w:firstLine="339"/>
            </w:pPr>
            <w:r>
              <w:rPr>
                <w:spacing w:val="-5"/>
              </w:rPr>
              <w:t>第八十九条</w:t>
            </w:r>
            <w:r>
              <w:rPr>
                <w:spacing w:val="95"/>
                <w:w w:val="101"/>
              </w:rPr>
              <w:t xml:space="preserve"> </w:t>
            </w:r>
            <w:r>
              <w:rPr>
                <w:spacing w:val="-5"/>
              </w:rPr>
              <w:t>船员有下列行为之一的，依据《中华人民共和国船员条例》第五十二条，由海事管理机构处以</w:t>
            </w:r>
            <w:r>
              <w:t xml:space="preserve"> </w:t>
            </w:r>
            <w:r>
              <w:rPr>
                <w:spacing w:val="-4"/>
              </w:rPr>
              <w:t>1000元以上1万元以下罚款；情节严重的</w:t>
            </w:r>
            <w:r>
              <w:rPr>
                <w:spacing w:val="-5"/>
              </w:rPr>
              <w:t>，并给予暂扣船员适任证书6个月以上24个月以下直至吊船员适任证书的</w:t>
            </w:r>
          </w:p>
        </w:tc>
        <w:tc>
          <w:tcPr>
            <w:tcW w:w="1043" w:type="dxa"/>
            <w:vAlign w:val="top"/>
          </w:tcPr>
          <w:p w14:paraId="5580C460">
            <w:pPr>
              <w:rPr>
                <w:rFonts w:ascii="Arial"/>
                <w:sz w:val="21"/>
              </w:rPr>
            </w:pPr>
          </w:p>
        </w:tc>
        <w:tc>
          <w:tcPr>
            <w:tcW w:w="1448" w:type="dxa"/>
            <w:vAlign w:val="top"/>
          </w:tcPr>
          <w:p w14:paraId="284E0886">
            <w:pPr>
              <w:rPr>
                <w:rFonts w:ascii="Arial"/>
                <w:sz w:val="21"/>
              </w:rPr>
            </w:pPr>
          </w:p>
        </w:tc>
        <w:tc>
          <w:tcPr>
            <w:tcW w:w="1047" w:type="dxa"/>
            <w:vAlign w:val="top"/>
          </w:tcPr>
          <w:p w14:paraId="3A5D502C">
            <w:pPr>
              <w:rPr>
                <w:rFonts w:ascii="Arial"/>
                <w:sz w:val="21"/>
              </w:rPr>
            </w:pPr>
          </w:p>
        </w:tc>
      </w:tr>
    </w:tbl>
    <w:p w14:paraId="6F1AA0BD">
      <w:pPr>
        <w:pStyle w:val="2"/>
        <w:spacing w:line="197" w:lineRule="exact"/>
        <w:rPr>
          <w:sz w:val="17"/>
        </w:rPr>
      </w:pPr>
    </w:p>
    <w:p w14:paraId="58CDB92E">
      <w:pPr>
        <w:spacing w:line="197" w:lineRule="exact"/>
        <w:rPr>
          <w:sz w:val="17"/>
          <w:szCs w:val="17"/>
        </w:rPr>
        <w:sectPr>
          <w:footerReference r:id="rId183" w:type="default"/>
          <w:pgSz w:w="16839" w:h="11906"/>
          <w:pgMar w:top="1012" w:right="788" w:bottom="967" w:left="787" w:header="0" w:footer="768" w:gutter="0"/>
          <w:cols w:space="720" w:num="1"/>
        </w:sectPr>
      </w:pPr>
    </w:p>
    <w:p w14:paraId="7BE70302">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286F5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144368A0">
            <w:pPr>
              <w:pStyle w:val="8"/>
              <w:spacing w:before="267" w:line="221" w:lineRule="auto"/>
              <w:ind w:left="142"/>
            </w:pPr>
            <w:r>
              <w:rPr>
                <w:b/>
                <w:bCs/>
                <w:spacing w:val="-4"/>
              </w:rPr>
              <w:t>序号</w:t>
            </w:r>
          </w:p>
        </w:tc>
        <w:tc>
          <w:tcPr>
            <w:tcW w:w="1136" w:type="dxa"/>
            <w:vMerge w:val="restart"/>
            <w:tcBorders>
              <w:bottom w:val="nil"/>
            </w:tcBorders>
            <w:vAlign w:val="top"/>
          </w:tcPr>
          <w:p w14:paraId="3007BE7B">
            <w:pPr>
              <w:pStyle w:val="8"/>
              <w:spacing w:before="267" w:line="220" w:lineRule="auto"/>
              <w:ind w:left="208"/>
            </w:pPr>
            <w:r>
              <w:rPr>
                <w:b/>
                <w:bCs/>
                <w:spacing w:val="-4"/>
              </w:rPr>
              <w:t>事项名称</w:t>
            </w:r>
          </w:p>
        </w:tc>
        <w:tc>
          <w:tcPr>
            <w:tcW w:w="1136" w:type="dxa"/>
            <w:vMerge w:val="restart"/>
            <w:tcBorders>
              <w:bottom w:val="nil"/>
            </w:tcBorders>
            <w:vAlign w:val="top"/>
          </w:tcPr>
          <w:p w14:paraId="45E83030">
            <w:pPr>
              <w:pStyle w:val="8"/>
              <w:spacing w:before="267" w:line="219" w:lineRule="auto"/>
              <w:ind w:left="210"/>
            </w:pPr>
            <w:r>
              <w:rPr>
                <w:b/>
                <w:bCs/>
                <w:spacing w:val="-4"/>
              </w:rPr>
              <w:t>职权类型</w:t>
            </w:r>
          </w:p>
        </w:tc>
        <w:tc>
          <w:tcPr>
            <w:tcW w:w="8806" w:type="dxa"/>
            <w:vMerge w:val="restart"/>
            <w:tcBorders>
              <w:bottom w:val="nil"/>
            </w:tcBorders>
            <w:vAlign w:val="top"/>
          </w:tcPr>
          <w:p w14:paraId="4E7A2268">
            <w:pPr>
              <w:pStyle w:val="8"/>
              <w:spacing w:before="267" w:line="219" w:lineRule="auto"/>
              <w:ind w:left="4050"/>
            </w:pPr>
            <w:r>
              <w:rPr>
                <w:b/>
                <w:bCs/>
                <w:spacing w:val="-5"/>
              </w:rPr>
              <w:t>实施依据</w:t>
            </w:r>
          </w:p>
        </w:tc>
        <w:tc>
          <w:tcPr>
            <w:tcW w:w="3538" w:type="dxa"/>
            <w:gridSpan w:val="3"/>
            <w:vAlign w:val="top"/>
          </w:tcPr>
          <w:p w14:paraId="342904BA">
            <w:pPr>
              <w:pStyle w:val="8"/>
              <w:spacing w:before="92" w:line="220" w:lineRule="auto"/>
              <w:ind w:left="1415"/>
            </w:pPr>
            <w:r>
              <w:rPr>
                <w:b/>
                <w:bCs/>
                <w:spacing w:val="-5"/>
              </w:rPr>
              <w:t>实施主体</w:t>
            </w:r>
          </w:p>
        </w:tc>
      </w:tr>
      <w:tr w14:paraId="7730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538401F">
            <w:pPr>
              <w:rPr>
                <w:rFonts w:ascii="Arial"/>
                <w:sz w:val="21"/>
              </w:rPr>
            </w:pPr>
          </w:p>
        </w:tc>
        <w:tc>
          <w:tcPr>
            <w:tcW w:w="1136" w:type="dxa"/>
            <w:vMerge w:val="continue"/>
            <w:tcBorders>
              <w:top w:val="nil"/>
            </w:tcBorders>
            <w:vAlign w:val="top"/>
          </w:tcPr>
          <w:p w14:paraId="2DDAD396">
            <w:pPr>
              <w:rPr>
                <w:rFonts w:ascii="Arial"/>
                <w:sz w:val="21"/>
              </w:rPr>
            </w:pPr>
          </w:p>
        </w:tc>
        <w:tc>
          <w:tcPr>
            <w:tcW w:w="1136" w:type="dxa"/>
            <w:vMerge w:val="continue"/>
            <w:tcBorders>
              <w:top w:val="nil"/>
            </w:tcBorders>
            <w:vAlign w:val="top"/>
          </w:tcPr>
          <w:p w14:paraId="05BBBFC0">
            <w:pPr>
              <w:rPr>
                <w:rFonts w:ascii="Arial"/>
                <w:sz w:val="21"/>
              </w:rPr>
            </w:pPr>
          </w:p>
        </w:tc>
        <w:tc>
          <w:tcPr>
            <w:tcW w:w="8806" w:type="dxa"/>
            <w:vMerge w:val="continue"/>
            <w:tcBorders>
              <w:top w:val="nil"/>
            </w:tcBorders>
            <w:vAlign w:val="top"/>
          </w:tcPr>
          <w:p w14:paraId="13CE3B0E">
            <w:pPr>
              <w:rPr>
                <w:rFonts w:ascii="Arial"/>
                <w:sz w:val="21"/>
              </w:rPr>
            </w:pPr>
          </w:p>
        </w:tc>
        <w:tc>
          <w:tcPr>
            <w:tcW w:w="1043" w:type="dxa"/>
            <w:vAlign w:val="top"/>
          </w:tcPr>
          <w:p w14:paraId="0F0CEA68">
            <w:pPr>
              <w:pStyle w:val="8"/>
              <w:spacing w:before="88" w:line="219" w:lineRule="auto"/>
              <w:ind w:left="171"/>
            </w:pPr>
            <w:r>
              <w:rPr>
                <w:b/>
                <w:bCs/>
                <w:spacing w:val="-5"/>
              </w:rPr>
              <w:t>责任部门</w:t>
            </w:r>
          </w:p>
        </w:tc>
        <w:tc>
          <w:tcPr>
            <w:tcW w:w="1448" w:type="dxa"/>
            <w:vAlign w:val="top"/>
          </w:tcPr>
          <w:p w14:paraId="512F500C">
            <w:pPr>
              <w:pStyle w:val="8"/>
              <w:spacing w:before="88" w:line="219" w:lineRule="auto"/>
              <w:ind w:left="187"/>
            </w:pPr>
            <w:r>
              <w:rPr>
                <w:b/>
                <w:bCs/>
                <w:spacing w:val="-3"/>
              </w:rPr>
              <w:t>第一责任层级</w:t>
            </w:r>
          </w:p>
        </w:tc>
        <w:tc>
          <w:tcPr>
            <w:tcW w:w="1047" w:type="dxa"/>
            <w:vAlign w:val="top"/>
          </w:tcPr>
          <w:p w14:paraId="0533CA6E">
            <w:pPr>
              <w:pStyle w:val="8"/>
              <w:spacing w:before="88" w:line="219" w:lineRule="auto"/>
              <w:ind w:left="165"/>
            </w:pPr>
            <w:r>
              <w:rPr>
                <w:b/>
                <w:bCs/>
                <w:spacing w:val="-4"/>
              </w:rPr>
              <w:t>承办机构</w:t>
            </w:r>
          </w:p>
        </w:tc>
      </w:tr>
      <w:tr w14:paraId="2348F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1" w:type="dxa"/>
            <w:vAlign w:val="top"/>
          </w:tcPr>
          <w:p w14:paraId="5606BD79">
            <w:pPr>
              <w:rPr>
                <w:rFonts w:ascii="Arial"/>
                <w:sz w:val="21"/>
              </w:rPr>
            </w:pPr>
          </w:p>
        </w:tc>
        <w:tc>
          <w:tcPr>
            <w:tcW w:w="1136" w:type="dxa"/>
            <w:vAlign w:val="top"/>
          </w:tcPr>
          <w:p w14:paraId="3C71880C">
            <w:pPr>
              <w:rPr>
                <w:rFonts w:ascii="Arial"/>
                <w:sz w:val="21"/>
              </w:rPr>
            </w:pPr>
          </w:p>
        </w:tc>
        <w:tc>
          <w:tcPr>
            <w:tcW w:w="1136" w:type="dxa"/>
            <w:vAlign w:val="top"/>
          </w:tcPr>
          <w:p w14:paraId="22DD426B">
            <w:pPr>
              <w:rPr>
                <w:rFonts w:ascii="Arial"/>
                <w:sz w:val="21"/>
              </w:rPr>
            </w:pPr>
          </w:p>
        </w:tc>
        <w:tc>
          <w:tcPr>
            <w:tcW w:w="8806" w:type="dxa"/>
            <w:vAlign w:val="top"/>
          </w:tcPr>
          <w:p w14:paraId="204E1A17">
            <w:pPr>
              <w:pStyle w:val="8"/>
              <w:spacing w:before="38" w:line="237" w:lineRule="auto"/>
              <w:ind w:left="109" w:right="45" w:firstLine="4"/>
              <w:jc w:val="both"/>
            </w:pPr>
            <w:r>
              <w:rPr>
                <w:spacing w:val="-1"/>
              </w:rPr>
              <w:t>处罚</w:t>
            </w:r>
            <w:r>
              <w:rPr>
                <w:spacing w:val="-23"/>
              </w:rPr>
              <w:t>：（</w:t>
            </w:r>
            <w:r>
              <w:rPr>
                <w:spacing w:val="-1"/>
              </w:rPr>
              <w:t>一）未保持正规了望</w:t>
            </w:r>
            <w:r>
              <w:rPr>
                <w:spacing w:val="-23"/>
              </w:rPr>
              <w:t>；（</w:t>
            </w:r>
            <w:r>
              <w:rPr>
                <w:spacing w:val="-1"/>
              </w:rPr>
              <w:t>二）未正确履行值班职责</w:t>
            </w:r>
            <w:r>
              <w:rPr>
                <w:spacing w:val="-23"/>
              </w:rPr>
              <w:t>；（</w:t>
            </w:r>
            <w:r>
              <w:rPr>
                <w:spacing w:val="-1"/>
              </w:rPr>
              <w:t>三）</w:t>
            </w:r>
            <w:r>
              <w:rPr>
                <w:spacing w:val="-2"/>
              </w:rPr>
              <w:t>未按照要求值班交接</w:t>
            </w:r>
            <w:r>
              <w:rPr>
                <w:spacing w:val="-23"/>
              </w:rPr>
              <w:t>；（</w:t>
            </w:r>
            <w:r>
              <w:rPr>
                <w:spacing w:val="-2"/>
              </w:rPr>
              <w:t>四）不采用安全航</w:t>
            </w:r>
            <w:r>
              <w:rPr>
                <w:spacing w:val="7"/>
              </w:rPr>
              <w:t xml:space="preserve"> </w:t>
            </w:r>
            <w:r>
              <w:rPr>
                <w:spacing w:val="-4"/>
              </w:rPr>
              <w:t>速</w:t>
            </w:r>
            <w:r>
              <w:rPr>
                <w:spacing w:val="-30"/>
              </w:rPr>
              <w:t>；（</w:t>
            </w:r>
            <w:r>
              <w:rPr>
                <w:spacing w:val="-4"/>
              </w:rPr>
              <w:t>五）不按照规定守听航行通信</w:t>
            </w:r>
            <w:r>
              <w:rPr>
                <w:spacing w:val="-30"/>
              </w:rPr>
              <w:t>；（</w:t>
            </w:r>
            <w:r>
              <w:rPr>
                <w:spacing w:val="-4"/>
              </w:rPr>
              <w:t>六）不按照规定测试、检修船舶设备</w:t>
            </w:r>
            <w:r>
              <w:rPr>
                <w:spacing w:val="-30"/>
              </w:rPr>
              <w:t>；（</w:t>
            </w:r>
            <w:r>
              <w:rPr>
                <w:spacing w:val="-4"/>
              </w:rPr>
              <w:t>七）发现或者发生险情、事故、</w:t>
            </w:r>
            <w:r>
              <w:t xml:space="preserve"> </w:t>
            </w:r>
            <w:r>
              <w:rPr>
                <w:spacing w:val="-3"/>
              </w:rPr>
              <w:t>保安事件或者影响航行安全的情况未及时报告</w:t>
            </w:r>
            <w:r>
              <w:rPr>
                <w:spacing w:val="-17"/>
              </w:rPr>
              <w:t>；（</w:t>
            </w:r>
            <w:r>
              <w:rPr>
                <w:spacing w:val="-3"/>
              </w:rPr>
              <w:t>八）未按照</w:t>
            </w:r>
            <w:r>
              <w:rPr>
                <w:spacing w:val="-4"/>
              </w:rPr>
              <w:t>规定填写或者记载有关船舶法定文书。</w:t>
            </w:r>
          </w:p>
          <w:p w14:paraId="2BE41185">
            <w:pPr>
              <w:pStyle w:val="8"/>
              <w:spacing w:before="26" w:line="219" w:lineRule="auto"/>
              <w:ind w:left="465"/>
            </w:pPr>
            <w:r>
              <w:rPr>
                <w:b/>
                <w:bCs/>
                <w:spacing w:val="-4"/>
              </w:rPr>
              <w:t>4.《中华人民共和国引航员管理办法》（交通运输部令</w:t>
            </w:r>
            <w:r>
              <w:rPr>
                <w:spacing w:val="-38"/>
              </w:rPr>
              <w:t xml:space="preserve"> </w:t>
            </w:r>
            <w:r>
              <w:rPr>
                <w:b/>
                <w:bCs/>
                <w:spacing w:val="-4"/>
              </w:rPr>
              <w:t>2</w:t>
            </w:r>
            <w:r>
              <w:rPr>
                <w:b/>
                <w:bCs/>
                <w:spacing w:val="-5"/>
              </w:rPr>
              <w:t>024</w:t>
            </w:r>
            <w:r>
              <w:rPr>
                <w:spacing w:val="-42"/>
              </w:rPr>
              <w:t xml:space="preserve"> </w:t>
            </w:r>
            <w:r>
              <w:rPr>
                <w:b/>
                <w:bCs/>
                <w:spacing w:val="-5"/>
              </w:rPr>
              <w:t>年第</w:t>
            </w:r>
            <w:r>
              <w:rPr>
                <w:spacing w:val="-24"/>
              </w:rPr>
              <w:t xml:space="preserve"> </w:t>
            </w:r>
            <w:r>
              <w:rPr>
                <w:b/>
                <w:bCs/>
                <w:spacing w:val="-5"/>
              </w:rPr>
              <w:t>13</w:t>
            </w:r>
            <w:r>
              <w:rPr>
                <w:spacing w:val="-37"/>
              </w:rPr>
              <w:t xml:space="preserve"> </w:t>
            </w:r>
            <w:r>
              <w:rPr>
                <w:b/>
                <w:bCs/>
                <w:spacing w:val="-5"/>
              </w:rPr>
              <w:t>号）</w:t>
            </w:r>
          </w:p>
          <w:p w14:paraId="35524710">
            <w:pPr>
              <w:pStyle w:val="8"/>
              <w:spacing w:before="26" w:line="231" w:lineRule="auto"/>
              <w:ind w:left="110" w:right="100" w:firstLine="355"/>
              <w:jc w:val="both"/>
            </w:pPr>
            <w:r>
              <w:rPr>
                <w:spacing w:val="-2"/>
              </w:rPr>
              <w:t>第四十二条  违反本办法的规定，引航员未按照水上交通安全和防治船舶污染操作规则引领</w:t>
            </w:r>
            <w:r>
              <w:rPr>
                <w:spacing w:val="-3"/>
              </w:rPr>
              <w:t>船舶的，由海</w:t>
            </w:r>
            <w:r>
              <w:t xml:space="preserve"> </w:t>
            </w:r>
            <w:r>
              <w:rPr>
                <w:spacing w:val="-4"/>
              </w:rPr>
              <w:t>事管理机构处</w:t>
            </w:r>
            <w:r>
              <w:rPr>
                <w:spacing w:val="-29"/>
              </w:rPr>
              <w:t xml:space="preserve"> </w:t>
            </w:r>
            <w:r>
              <w:rPr>
                <w:spacing w:val="-4"/>
              </w:rPr>
              <w:t>1000</w:t>
            </w:r>
            <w:r>
              <w:rPr>
                <w:spacing w:val="-39"/>
              </w:rPr>
              <w:t xml:space="preserve"> </w:t>
            </w:r>
            <w:r>
              <w:rPr>
                <w:spacing w:val="-4"/>
              </w:rPr>
              <w:t>元以上</w:t>
            </w:r>
            <w:r>
              <w:rPr>
                <w:spacing w:val="-27"/>
              </w:rPr>
              <w:t xml:space="preserve"> </w:t>
            </w:r>
            <w:r>
              <w:rPr>
                <w:spacing w:val="-4"/>
              </w:rPr>
              <w:t>1</w:t>
            </w:r>
            <w:r>
              <w:rPr>
                <w:spacing w:val="-34"/>
              </w:rPr>
              <w:t xml:space="preserve"> </w:t>
            </w:r>
            <w:r>
              <w:rPr>
                <w:spacing w:val="-4"/>
              </w:rPr>
              <w:t>万元以下罚款；情节严重的，并给予暂扣</w:t>
            </w:r>
            <w:r>
              <w:rPr>
                <w:spacing w:val="-5"/>
              </w:rPr>
              <w:t>引航员适任证书</w:t>
            </w:r>
            <w:r>
              <w:rPr>
                <w:spacing w:val="-41"/>
              </w:rPr>
              <w:t xml:space="preserve"> </w:t>
            </w:r>
            <w:r>
              <w:rPr>
                <w:spacing w:val="-5"/>
              </w:rPr>
              <w:t>6</w:t>
            </w:r>
            <w:r>
              <w:rPr>
                <w:spacing w:val="-38"/>
              </w:rPr>
              <w:t xml:space="preserve"> </w:t>
            </w:r>
            <w:r>
              <w:rPr>
                <w:spacing w:val="-5"/>
              </w:rPr>
              <w:t>个月以上</w:t>
            </w:r>
            <w:r>
              <w:rPr>
                <w:spacing w:val="-38"/>
              </w:rPr>
              <w:t xml:space="preserve"> </w:t>
            </w:r>
            <w:r>
              <w:rPr>
                <w:spacing w:val="-5"/>
              </w:rPr>
              <w:t>2</w:t>
            </w:r>
            <w:r>
              <w:rPr>
                <w:spacing w:val="-38"/>
              </w:rPr>
              <w:t xml:space="preserve"> </w:t>
            </w:r>
            <w:r>
              <w:rPr>
                <w:spacing w:val="-5"/>
              </w:rPr>
              <w:t>年以下直至</w:t>
            </w:r>
            <w:r>
              <w:t xml:space="preserve"> </w:t>
            </w:r>
            <w:r>
              <w:rPr>
                <w:spacing w:val="-3"/>
              </w:rPr>
              <w:t>吊销引航员适任证书的处罚。</w:t>
            </w:r>
          </w:p>
        </w:tc>
        <w:tc>
          <w:tcPr>
            <w:tcW w:w="1043" w:type="dxa"/>
            <w:vAlign w:val="top"/>
          </w:tcPr>
          <w:p w14:paraId="0C9307B0">
            <w:pPr>
              <w:rPr>
                <w:rFonts w:ascii="Arial"/>
                <w:sz w:val="21"/>
              </w:rPr>
            </w:pPr>
          </w:p>
        </w:tc>
        <w:tc>
          <w:tcPr>
            <w:tcW w:w="1448" w:type="dxa"/>
            <w:vAlign w:val="top"/>
          </w:tcPr>
          <w:p w14:paraId="5CD099E5">
            <w:pPr>
              <w:rPr>
                <w:rFonts w:ascii="Arial"/>
                <w:sz w:val="21"/>
              </w:rPr>
            </w:pPr>
          </w:p>
        </w:tc>
        <w:tc>
          <w:tcPr>
            <w:tcW w:w="1047" w:type="dxa"/>
            <w:vAlign w:val="top"/>
          </w:tcPr>
          <w:p w14:paraId="7AD92397">
            <w:pPr>
              <w:rPr>
                <w:rFonts w:ascii="Arial"/>
                <w:sz w:val="21"/>
              </w:rPr>
            </w:pPr>
          </w:p>
        </w:tc>
      </w:tr>
      <w:tr w14:paraId="3183B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4" w:hRule="atLeast"/>
        </w:trPr>
        <w:tc>
          <w:tcPr>
            <w:tcW w:w="641" w:type="dxa"/>
            <w:vAlign w:val="top"/>
          </w:tcPr>
          <w:p w14:paraId="24E2736B">
            <w:pPr>
              <w:spacing w:line="245" w:lineRule="auto"/>
              <w:rPr>
                <w:rFonts w:ascii="Arial"/>
                <w:sz w:val="21"/>
              </w:rPr>
            </w:pPr>
          </w:p>
          <w:p w14:paraId="0865AC8F">
            <w:pPr>
              <w:spacing w:line="245" w:lineRule="auto"/>
              <w:rPr>
                <w:rFonts w:ascii="Arial"/>
                <w:sz w:val="21"/>
              </w:rPr>
            </w:pPr>
          </w:p>
          <w:p w14:paraId="6115A453">
            <w:pPr>
              <w:spacing w:line="245" w:lineRule="auto"/>
              <w:rPr>
                <w:rFonts w:ascii="Arial"/>
                <w:sz w:val="21"/>
              </w:rPr>
            </w:pPr>
          </w:p>
          <w:p w14:paraId="4CEFFD91">
            <w:pPr>
              <w:spacing w:line="245" w:lineRule="auto"/>
              <w:rPr>
                <w:rFonts w:ascii="Arial"/>
                <w:sz w:val="21"/>
              </w:rPr>
            </w:pPr>
          </w:p>
          <w:p w14:paraId="20A53C03">
            <w:pPr>
              <w:spacing w:line="245" w:lineRule="auto"/>
              <w:rPr>
                <w:rFonts w:ascii="Arial"/>
                <w:sz w:val="21"/>
              </w:rPr>
            </w:pPr>
          </w:p>
          <w:p w14:paraId="1112DCA8">
            <w:pPr>
              <w:spacing w:line="245" w:lineRule="auto"/>
              <w:rPr>
                <w:rFonts w:ascii="Arial"/>
                <w:sz w:val="21"/>
              </w:rPr>
            </w:pPr>
          </w:p>
          <w:p w14:paraId="391C8B9A">
            <w:pPr>
              <w:spacing w:line="245" w:lineRule="auto"/>
              <w:rPr>
                <w:rFonts w:ascii="Arial"/>
                <w:sz w:val="21"/>
              </w:rPr>
            </w:pPr>
          </w:p>
          <w:p w14:paraId="06B18E3D">
            <w:pPr>
              <w:spacing w:line="245" w:lineRule="auto"/>
              <w:rPr>
                <w:rFonts w:ascii="Arial"/>
                <w:sz w:val="21"/>
              </w:rPr>
            </w:pPr>
          </w:p>
          <w:p w14:paraId="5D2AA5A4">
            <w:pPr>
              <w:spacing w:line="245" w:lineRule="auto"/>
              <w:rPr>
                <w:rFonts w:ascii="Arial"/>
                <w:sz w:val="21"/>
              </w:rPr>
            </w:pPr>
          </w:p>
          <w:p w14:paraId="221D1FC8">
            <w:pPr>
              <w:spacing w:line="245" w:lineRule="auto"/>
              <w:rPr>
                <w:rFonts w:ascii="Arial"/>
                <w:sz w:val="21"/>
              </w:rPr>
            </w:pPr>
          </w:p>
          <w:p w14:paraId="72C767D6">
            <w:pPr>
              <w:spacing w:line="246" w:lineRule="auto"/>
              <w:rPr>
                <w:rFonts w:ascii="Arial"/>
                <w:sz w:val="21"/>
              </w:rPr>
            </w:pPr>
          </w:p>
          <w:p w14:paraId="795798C1">
            <w:pPr>
              <w:spacing w:line="246" w:lineRule="auto"/>
              <w:rPr>
                <w:rFonts w:ascii="Arial"/>
                <w:sz w:val="21"/>
              </w:rPr>
            </w:pPr>
          </w:p>
          <w:p w14:paraId="0A45CE6A">
            <w:pPr>
              <w:spacing w:line="246" w:lineRule="auto"/>
              <w:rPr>
                <w:rFonts w:ascii="Arial"/>
                <w:sz w:val="21"/>
              </w:rPr>
            </w:pPr>
          </w:p>
          <w:p w14:paraId="72ADC618">
            <w:pPr>
              <w:spacing w:line="246" w:lineRule="auto"/>
              <w:rPr>
                <w:rFonts w:ascii="Arial"/>
                <w:sz w:val="21"/>
              </w:rPr>
            </w:pPr>
          </w:p>
          <w:p w14:paraId="2EC686E0">
            <w:pPr>
              <w:pStyle w:val="8"/>
              <w:spacing w:before="58" w:line="183" w:lineRule="auto"/>
              <w:ind w:left="238"/>
            </w:pPr>
            <w:r>
              <w:rPr>
                <w:spacing w:val="-5"/>
              </w:rPr>
              <w:t>34</w:t>
            </w:r>
          </w:p>
        </w:tc>
        <w:tc>
          <w:tcPr>
            <w:tcW w:w="1136" w:type="dxa"/>
            <w:vAlign w:val="top"/>
          </w:tcPr>
          <w:p w14:paraId="2C0183C8">
            <w:pPr>
              <w:spacing w:line="244" w:lineRule="auto"/>
              <w:rPr>
                <w:rFonts w:ascii="Arial"/>
                <w:sz w:val="21"/>
              </w:rPr>
            </w:pPr>
          </w:p>
          <w:p w14:paraId="09975437">
            <w:pPr>
              <w:spacing w:line="245" w:lineRule="auto"/>
              <w:rPr>
                <w:rFonts w:ascii="Arial"/>
                <w:sz w:val="21"/>
              </w:rPr>
            </w:pPr>
          </w:p>
          <w:p w14:paraId="461F9A8A">
            <w:pPr>
              <w:spacing w:line="245" w:lineRule="auto"/>
              <w:rPr>
                <w:rFonts w:ascii="Arial"/>
                <w:sz w:val="21"/>
              </w:rPr>
            </w:pPr>
          </w:p>
          <w:p w14:paraId="41F602FA">
            <w:pPr>
              <w:spacing w:line="245" w:lineRule="auto"/>
              <w:rPr>
                <w:rFonts w:ascii="Arial"/>
                <w:sz w:val="21"/>
              </w:rPr>
            </w:pPr>
          </w:p>
          <w:p w14:paraId="3E8ED403">
            <w:pPr>
              <w:spacing w:line="245" w:lineRule="auto"/>
              <w:rPr>
                <w:rFonts w:ascii="Arial"/>
                <w:sz w:val="21"/>
              </w:rPr>
            </w:pPr>
          </w:p>
          <w:p w14:paraId="357D3A5F">
            <w:pPr>
              <w:spacing w:line="245" w:lineRule="auto"/>
              <w:rPr>
                <w:rFonts w:ascii="Arial"/>
                <w:sz w:val="21"/>
              </w:rPr>
            </w:pPr>
          </w:p>
          <w:p w14:paraId="55FB600D">
            <w:pPr>
              <w:spacing w:line="245" w:lineRule="auto"/>
              <w:rPr>
                <w:rFonts w:ascii="Arial"/>
                <w:sz w:val="21"/>
              </w:rPr>
            </w:pPr>
          </w:p>
          <w:p w14:paraId="63D5A3F9">
            <w:pPr>
              <w:spacing w:line="245" w:lineRule="auto"/>
              <w:rPr>
                <w:rFonts w:ascii="Arial"/>
                <w:sz w:val="21"/>
              </w:rPr>
            </w:pPr>
          </w:p>
          <w:p w14:paraId="666542E4">
            <w:pPr>
              <w:spacing w:line="245" w:lineRule="auto"/>
              <w:rPr>
                <w:rFonts w:ascii="Arial"/>
                <w:sz w:val="21"/>
              </w:rPr>
            </w:pPr>
          </w:p>
          <w:p w14:paraId="7009D74D">
            <w:pPr>
              <w:spacing w:line="245" w:lineRule="auto"/>
              <w:rPr>
                <w:rFonts w:ascii="Arial"/>
                <w:sz w:val="21"/>
              </w:rPr>
            </w:pPr>
          </w:p>
          <w:p w14:paraId="06EDBE42">
            <w:pPr>
              <w:pStyle w:val="8"/>
              <w:spacing w:before="58" w:line="244" w:lineRule="auto"/>
              <w:ind w:left="109" w:right="97"/>
              <w:jc w:val="both"/>
            </w:pPr>
            <w:r>
              <w:rPr>
                <w:spacing w:val="3"/>
              </w:rPr>
              <w:t>对船长未保</w:t>
            </w:r>
            <w:r>
              <w:rPr>
                <w:spacing w:val="1"/>
              </w:rPr>
              <w:t xml:space="preserve"> </w:t>
            </w:r>
            <w:r>
              <w:rPr>
                <w:spacing w:val="3"/>
              </w:rPr>
              <w:t>证船舶和船</w:t>
            </w:r>
            <w:r>
              <w:t xml:space="preserve"> </w:t>
            </w:r>
            <w:r>
              <w:rPr>
                <w:spacing w:val="3"/>
              </w:rPr>
              <w:t>员携带符合 法定要求的</w:t>
            </w:r>
            <w:r>
              <w:t xml:space="preserve"> </w:t>
            </w:r>
            <w:r>
              <w:rPr>
                <w:spacing w:val="3"/>
              </w:rPr>
              <w:t>证书、文书</w:t>
            </w:r>
            <w:r>
              <w:t xml:space="preserve"> </w:t>
            </w:r>
            <w:r>
              <w:rPr>
                <w:spacing w:val="3"/>
              </w:rPr>
              <w:t>以及有关航</w:t>
            </w:r>
            <w:r>
              <w:t xml:space="preserve"> </w:t>
            </w:r>
            <w:r>
              <w:rPr>
                <w:spacing w:val="4"/>
              </w:rPr>
              <w:t>行资料等行</w:t>
            </w:r>
            <w:r>
              <w:t xml:space="preserve"> </w:t>
            </w:r>
            <w:r>
              <w:rPr>
                <w:spacing w:val="4"/>
              </w:rPr>
              <w:t>为的行政处</w:t>
            </w:r>
            <w:r>
              <w:rPr>
                <w:spacing w:val="3"/>
              </w:rPr>
              <w:t xml:space="preserve"> </w:t>
            </w:r>
            <w:r>
              <w:t>罚</w:t>
            </w:r>
          </w:p>
        </w:tc>
        <w:tc>
          <w:tcPr>
            <w:tcW w:w="1136" w:type="dxa"/>
            <w:vAlign w:val="top"/>
          </w:tcPr>
          <w:p w14:paraId="28F31610">
            <w:pPr>
              <w:spacing w:line="243" w:lineRule="auto"/>
              <w:rPr>
                <w:rFonts w:ascii="Arial"/>
                <w:sz w:val="21"/>
              </w:rPr>
            </w:pPr>
          </w:p>
          <w:p w14:paraId="7ADCE00B">
            <w:pPr>
              <w:spacing w:line="243" w:lineRule="auto"/>
              <w:rPr>
                <w:rFonts w:ascii="Arial"/>
                <w:sz w:val="21"/>
              </w:rPr>
            </w:pPr>
          </w:p>
          <w:p w14:paraId="709CBDBC">
            <w:pPr>
              <w:spacing w:line="243" w:lineRule="auto"/>
              <w:rPr>
                <w:rFonts w:ascii="Arial"/>
                <w:sz w:val="21"/>
              </w:rPr>
            </w:pPr>
          </w:p>
          <w:p w14:paraId="46535E23">
            <w:pPr>
              <w:spacing w:line="243" w:lineRule="auto"/>
              <w:rPr>
                <w:rFonts w:ascii="Arial"/>
                <w:sz w:val="21"/>
              </w:rPr>
            </w:pPr>
          </w:p>
          <w:p w14:paraId="3EAC0FF8">
            <w:pPr>
              <w:spacing w:line="243" w:lineRule="auto"/>
              <w:rPr>
                <w:rFonts w:ascii="Arial"/>
                <w:sz w:val="21"/>
              </w:rPr>
            </w:pPr>
          </w:p>
          <w:p w14:paraId="49018B5C">
            <w:pPr>
              <w:spacing w:line="243" w:lineRule="auto"/>
              <w:rPr>
                <w:rFonts w:ascii="Arial"/>
                <w:sz w:val="21"/>
              </w:rPr>
            </w:pPr>
          </w:p>
          <w:p w14:paraId="5537FF05">
            <w:pPr>
              <w:spacing w:line="243" w:lineRule="auto"/>
              <w:rPr>
                <w:rFonts w:ascii="Arial"/>
                <w:sz w:val="21"/>
              </w:rPr>
            </w:pPr>
          </w:p>
          <w:p w14:paraId="17D1ECB8">
            <w:pPr>
              <w:spacing w:line="243" w:lineRule="auto"/>
              <w:rPr>
                <w:rFonts w:ascii="Arial"/>
                <w:sz w:val="21"/>
              </w:rPr>
            </w:pPr>
          </w:p>
          <w:p w14:paraId="73DDDEDE">
            <w:pPr>
              <w:spacing w:line="243" w:lineRule="auto"/>
              <w:rPr>
                <w:rFonts w:ascii="Arial"/>
                <w:sz w:val="21"/>
              </w:rPr>
            </w:pPr>
          </w:p>
          <w:p w14:paraId="1C573F4D">
            <w:pPr>
              <w:spacing w:line="243" w:lineRule="auto"/>
              <w:rPr>
                <w:rFonts w:ascii="Arial"/>
                <w:sz w:val="21"/>
              </w:rPr>
            </w:pPr>
          </w:p>
          <w:p w14:paraId="1F7FE7A2">
            <w:pPr>
              <w:spacing w:line="244" w:lineRule="auto"/>
              <w:rPr>
                <w:rFonts w:ascii="Arial"/>
                <w:sz w:val="21"/>
              </w:rPr>
            </w:pPr>
          </w:p>
          <w:p w14:paraId="0E143A6F">
            <w:pPr>
              <w:spacing w:line="244" w:lineRule="auto"/>
              <w:rPr>
                <w:rFonts w:ascii="Arial"/>
                <w:sz w:val="21"/>
              </w:rPr>
            </w:pPr>
          </w:p>
          <w:p w14:paraId="05AC4D46">
            <w:pPr>
              <w:spacing w:line="244" w:lineRule="auto"/>
              <w:rPr>
                <w:rFonts w:ascii="Arial"/>
                <w:sz w:val="21"/>
              </w:rPr>
            </w:pPr>
          </w:p>
          <w:p w14:paraId="492C5273">
            <w:pPr>
              <w:spacing w:line="244" w:lineRule="auto"/>
              <w:rPr>
                <w:rFonts w:ascii="Arial"/>
                <w:sz w:val="21"/>
              </w:rPr>
            </w:pPr>
          </w:p>
          <w:p w14:paraId="7A92AB78">
            <w:pPr>
              <w:pStyle w:val="8"/>
              <w:spacing w:before="58" w:line="220" w:lineRule="auto"/>
              <w:ind w:left="114"/>
            </w:pPr>
            <w:r>
              <w:rPr>
                <w:spacing w:val="-7"/>
              </w:rPr>
              <w:t>行政处罚</w:t>
            </w:r>
          </w:p>
        </w:tc>
        <w:tc>
          <w:tcPr>
            <w:tcW w:w="8806" w:type="dxa"/>
            <w:vAlign w:val="top"/>
          </w:tcPr>
          <w:p w14:paraId="5807E2AA">
            <w:pPr>
              <w:pStyle w:val="8"/>
              <w:spacing w:before="32" w:line="219" w:lineRule="auto"/>
              <w:ind w:left="476"/>
            </w:pPr>
            <w:r>
              <w:rPr>
                <w:b/>
                <w:bCs/>
                <w:spacing w:val="-6"/>
              </w:rPr>
              <w:t>1.《中华人民共和国船员条例》</w:t>
            </w:r>
          </w:p>
          <w:p w14:paraId="0CAB1A61">
            <w:pPr>
              <w:pStyle w:val="8"/>
              <w:spacing w:before="19" w:line="234" w:lineRule="auto"/>
              <w:ind w:left="110" w:right="100" w:firstLine="352"/>
            </w:pPr>
            <w:r>
              <w:rPr>
                <w:spacing w:val="-5"/>
              </w:rPr>
              <w:t>第十八条</w:t>
            </w:r>
            <w:r>
              <w:rPr>
                <w:spacing w:val="100"/>
                <w:w w:val="101"/>
              </w:rPr>
              <w:t xml:space="preserve"> </w:t>
            </w:r>
            <w:r>
              <w:rPr>
                <w:spacing w:val="-5"/>
              </w:rPr>
              <w:t>船长管理和指挥船舶时，应当符合下列要求：(一)保证船舶和船员携带符合法定要求的证书、文</w:t>
            </w:r>
            <w:r>
              <w:t xml:space="preserve"> </w:t>
            </w:r>
            <w:r>
              <w:rPr>
                <w:spacing w:val="-4"/>
              </w:rPr>
              <w:t>书以及有关航行资料；(二)制订船舶应急计划并保</w:t>
            </w:r>
            <w:r>
              <w:rPr>
                <w:spacing w:val="-5"/>
              </w:rPr>
              <w:t>证其有效实施；(三)保证船舶和船员在开航时处于适航、适任</w:t>
            </w:r>
            <w:r>
              <w:t xml:space="preserve"> </w:t>
            </w:r>
            <w:r>
              <w:rPr>
                <w:spacing w:val="-5"/>
              </w:rPr>
              <w:t>状态，按照规定保障船舶的最低安全配员，保证船舶的正常值班；(四)执行海事管理机构有关水上交通安全和防</w:t>
            </w:r>
            <w:r>
              <w:rPr>
                <w:spacing w:val="18"/>
              </w:rPr>
              <w:t xml:space="preserve"> </w:t>
            </w:r>
            <w:r>
              <w:rPr>
                <w:spacing w:val="-5"/>
              </w:rPr>
              <w:t>治船舶污染的指令，船舶发生水上交通事故或者污染事故的，向海事管理机构提交事故报告；(五)对本船船员进</w:t>
            </w:r>
            <w:r>
              <w:rPr>
                <w:spacing w:val="18"/>
              </w:rPr>
              <w:t xml:space="preserve"> </w:t>
            </w:r>
            <w:r>
              <w:rPr>
                <w:spacing w:val="-5"/>
              </w:rPr>
              <w:t>行日常训练和考核，在本船船员的船员服务簿内如实记载船员的履职情况；(六)船舶进港、出港、靠泊、离泊，</w:t>
            </w:r>
            <w:r>
              <w:rPr>
                <w:spacing w:val="18"/>
              </w:rPr>
              <w:t xml:space="preserve"> </w:t>
            </w:r>
            <w:r>
              <w:rPr>
                <w:spacing w:val="-5"/>
              </w:rPr>
              <w:t>通过交通密集区、危险航区等区域，或者遇有恶劣天气和海况，或者发生水上交通事故、船舶污染事故、船舶保</w:t>
            </w:r>
            <w:r>
              <w:rPr>
                <w:spacing w:val="13"/>
              </w:rPr>
              <w:t xml:space="preserve"> </w:t>
            </w:r>
            <w:r>
              <w:rPr>
                <w:spacing w:val="-5"/>
              </w:rPr>
              <w:t>安事件以及其他紧急情况时，应当在驾驶台值班，必要时应当直接指挥船舶；(七)保障船舶上人员和临时上船人</w:t>
            </w:r>
            <w:r>
              <w:rPr>
                <w:spacing w:val="18"/>
              </w:rPr>
              <w:t xml:space="preserve"> </w:t>
            </w:r>
            <w:r>
              <w:rPr>
                <w:spacing w:val="-4"/>
              </w:rPr>
              <w:t>员的安全；(八)船舶发生事故，危及船舶上人员</w:t>
            </w:r>
            <w:r>
              <w:rPr>
                <w:spacing w:val="-5"/>
              </w:rPr>
              <w:t>和财产安全时，应当组织船员和船舶上其他人员尽力施救；(九)</w:t>
            </w:r>
            <w:r>
              <w:t xml:space="preserve"> </w:t>
            </w:r>
            <w:r>
              <w:rPr>
                <w:spacing w:val="-5"/>
              </w:rPr>
              <w:t>弃船时，应当采取一切措施，首先组织旅客安全离船，然后安排船员离船，船长应当最后离船，在离船前，船长</w:t>
            </w:r>
            <w:r>
              <w:rPr>
                <w:spacing w:val="11"/>
              </w:rPr>
              <w:t xml:space="preserve"> </w:t>
            </w:r>
            <w:r>
              <w:rPr>
                <w:spacing w:val="-5"/>
              </w:rPr>
              <w:t>应当指挥船员尽力抢救航海日志、机舱日志、油类记录簿、无线电台日志、本航次使用过的航行图和文件，以及</w:t>
            </w:r>
            <w:r>
              <w:rPr>
                <w:spacing w:val="11"/>
              </w:rPr>
              <w:t xml:space="preserve"> </w:t>
            </w:r>
            <w:r>
              <w:rPr>
                <w:spacing w:val="-4"/>
              </w:rPr>
              <w:t>贵重物品、邮件和现金。</w:t>
            </w:r>
          </w:p>
          <w:p w14:paraId="79591F39">
            <w:pPr>
              <w:pStyle w:val="8"/>
              <w:spacing w:before="16" w:line="219" w:lineRule="auto"/>
              <w:ind w:left="463"/>
            </w:pPr>
            <w:r>
              <w:rPr>
                <w:spacing w:val="-4"/>
              </w:rPr>
              <w:t>第五十二条</w:t>
            </w:r>
            <w:r>
              <w:rPr>
                <w:spacing w:val="92"/>
              </w:rPr>
              <w:t xml:space="preserve"> </w:t>
            </w:r>
            <w:r>
              <w:rPr>
                <w:spacing w:val="-4"/>
              </w:rPr>
              <w:t>违反本条例的规定，船长有下列情形之一的，由海事管理机构处2000元以上2万元以下罚款；</w:t>
            </w:r>
          </w:p>
          <w:p w14:paraId="4B2F459C">
            <w:pPr>
              <w:pStyle w:val="8"/>
              <w:spacing w:before="17" w:line="233" w:lineRule="auto"/>
              <w:ind w:left="109" w:right="28" w:firstLine="1"/>
            </w:pPr>
            <w:r>
              <w:rPr>
                <w:spacing w:val="-4"/>
              </w:rPr>
              <w:t>情节严重的，并给予暂扣船员适任证书6个月以上2年以下直至吊销船员适任证书的处罚</w:t>
            </w:r>
            <w:r>
              <w:rPr>
                <w:spacing w:val="-20"/>
              </w:rPr>
              <w:t>：（</w:t>
            </w:r>
            <w:r>
              <w:rPr>
                <w:spacing w:val="-4"/>
              </w:rPr>
              <w:t>一）未保证船舶和船</w:t>
            </w:r>
            <w:r>
              <w:t xml:space="preserve">  </w:t>
            </w:r>
            <w:r>
              <w:rPr>
                <w:spacing w:val="-5"/>
              </w:rPr>
              <w:t>员携带符合法定要求的证书、文书以及有关航行资料的</w:t>
            </w:r>
            <w:r>
              <w:rPr>
                <w:spacing w:val="-47"/>
                <w:w w:val="98"/>
              </w:rPr>
              <w:t>；（</w:t>
            </w:r>
            <w:r>
              <w:rPr>
                <w:spacing w:val="-5"/>
              </w:rPr>
              <w:t>二）未保证船舶和船员在开航时处于适航、适任状态，</w:t>
            </w:r>
            <w:r>
              <w:rPr>
                <w:spacing w:val="2"/>
              </w:rPr>
              <w:t xml:space="preserve"> </w:t>
            </w:r>
            <w:r>
              <w:rPr>
                <w:spacing w:val="-3"/>
              </w:rPr>
              <w:t>或者未按照规定保障船舶的最低安全配员，或者未保证船</w:t>
            </w:r>
            <w:r>
              <w:rPr>
                <w:spacing w:val="-4"/>
              </w:rPr>
              <w:t>舶的正常值班的</w:t>
            </w:r>
            <w:r>
              <w:rPr>
                <w:spacing w:val="-34"/>
              </w:rPr>
              <w:t>；（</w:t>
            </w:r>
            <w:r>
              <w:rPr>
                <w:spacing w:val="-4"/>
              </w:rPr>
              <w:t>三）未在船员服务簿内如实记载船</w:t>
            </w:r>
            <w:r>
              <w:t xml:space="preserve">  </w:t>
            </w:r>
            <w:r>
              <w:rPr>
                <w:spacing w:val="-4"/>
              </w:rPr>
              <w:t>员的履职情况的</w:t>
            </w:r>
            <w:r>
              <w:rPr>
                <w:spacing w:val="-22"/>
              </w:rPr>
              <w:t>；（</w:t>
            </w:r>
            <w:r>
              <w:rPr>
                <w:spacing w:val="-4"/>
              </w:rPr>
              <w:t>四）船舶进港、出港、靠泊、离泊，通过交通密集区、危险航区等区域，或者遇有恶劣天气</w:t>
            </w:r>
            <w:r>
              <w:t xml:space="preserve">  </w:t>
            </w:r>
            <w:r>
              <w:rPr>
                <w:spacing w:val="-5"/>
              </w:rPr>
              <w:t>和海况，或者发生水上交通事故、船舶污染事故、船舶保安事件以及其他紧急情况时，未在驾</w:t>
            </w:r>
            <w:r>
              <w:rPr>
                <w:spacing w:val="-6"/>
              </w:rPr>
              <w:t>驶台值班的</w:t>
            </w:r>
            <w:r>
              <w:rPr>
                <w:spacing w:val="-46"/>
              </w:rPr>
              <w:t>；（</w:t>
            </w:r>
            <w:r>
              <w:rPr>
                <w:spacing w:val="-6"/>
              </w:rPr>
              <w:t>五）</w:t>
            </w:r>
            <w:r>
              <w:t xml:space="preserve"> </w:t>
            </w:r>
            <w:r>
              <w:rPr>
                <w:spacing w:val="-4"/>
              </w:rPr>
              <w:t>在弃船或者撤离船舶时未最后离船的。</w:t>
            </w:r>
          </w:p>
          <w:p w14:paraId="030C8157">
            <w:pPr>
              <w:pStyle w:val="8"/>
              <w:spacing w:before="16" w:line="219" w:lineRule="auto"/>
              <w:ind w:left="465"/>
            </w:pPr>
            <w:r>
              <w:rPr>
                <w:b/>
                <w:bCs/>
                <w:spacing w:val="-5"/>
              </w:rPr>
              <w:t>2.《中华人民共和国内河海事行政处罚规定》（交通运输部令2022年第28号）</w:t>
            </w:r>
          </w:p>
          <w:p w14:paraId="75A380E5">
            <w:pPr>
              <w:pStyle w:val="8"/>
              <w:spacing w:before="17" w:line="233" w:lineRule="auto"/>
              <w:ind w:left="111" w:right="100" w:firstLine="352"/>
              <w:jc w:val="both"/>
            </w:pPr>
            <w:r>
              <w:rPr>
                <w:spacing w:val="-4"/>
              </w:rPr>
              <w:t>第六条</w:t>
            </w:r>
            <w:r>
              <w:rPr>
                <w:spacing w:val="84"/>
              </w:rPr>
              <w:t xml:space="preserve"> </w:t>
            </w:r>
            <w:r>
              <w:rPr>
                <w:spacing w:val="-4"/>
              </w:rPr>
              <w:t>违反船舶安全营运管理秩序，有下列行为之一的，对船舶所有人或者船舶经营人处以5000元以上3</w:t>
            </w:r>
            <w:r>
              <w:t xml:space="preserve"> </w:t>
            </w:r>
            <w:r>
              <w:rPr>
                <w:spacing w:val="-4"/>
              </w:rPr>
              <w:t>万元以下罚款；对船长处以2000元以上2万元以下的罚款，情节严重的</w:t>
            </w:r>
            <w:r>
              <w:rPr>
                <w:spacing w:val="-5"/>
              </w:rPr>
              <w:t>，并给予扣留船员适任证书6个月至24个月</w:t>
            </w:r>
            <w:r>
              <w:t xml:space="preserve"> </w:t>
            </w:r>
            <w:r>
              <w:rPr>
                <w:spacing w:val="-5"/>
              </w:rPr>
              <w:t>直至吊销船员适任证书的处罚。（一）未按规定取得船舶安全管理证书或者临时船舶安全管理证书从事航行或者</w:t>
            </w:r>
            <w:r>
              <w:rPr>
                <w:spacing w:val="10"/>
              </w:rPr>
              <w:t xml:space="preserve"> </w:t>
            </w:r>
            <w:r>
              <w:rPr>
                <w:spacing w:val="-5"/>
              </w:rPr>
              <w:t>其他有关活动。（二）隐瞒事实真相或者提供虚假材料或以其他不正当手段骗取船舶安全管理证书或者临时船舶</w:t>
            </w:r>
            <w:r>
              <w:rPr>
                <w:spacing w:val="12"/>
              </w:rPr>
              <w:t xml:space="preserve"> </w:t>
            </w:r>
            <w:r>
              <w:rPr>
                <w:spacing w:val="-5"/>
              </w:rPr>
              <w:t>安全管理证书。（三）伪造、变造船舶安全管理证书或者临时船舶安全管理证书。（四）转让、买卖、租借、冒</w:t>
            </w:r>
            <w:r>
              <w:rPr>
                <w:spacing w:val="13"/>
              </w:rPr>
              <w:t xml:space="preserve"> </w:t>
            </w:r>
            <w:r>
              <w:rPr>
                <w:spacing w:val="-4"/>
              </w:rPr>
              <w:t>用船舶安全管理证书或者临时船舶安全管理证书。</w:t>
            </w:r>
          </w:p>
          <w:p w14:paraId="1468D494">
            <w:pPr>
              <w:pStyle w:val="8"/>
              <w:spacing w:before="17" w:line="219" w:lineRule="auto"/>
              <w:ind w:left="467"/>
            </w:pPr>
            <w:r>
              <w:rPr>
                <w:b/>
                <w:bCs/>
                <w:spacing w:val="-5"/>
              </w:rPr>
              <w:t>3.《中华人民共和国内河船舶船员值班规则》（交通运输部令2020年第15号）</w:t>
            </w:r>
          </w:p>
          <w:p w14:paraId="20DEEDE6">
            <w:pPr>
              <w:pStyle w:val="8"/>
              <w:spacing w:before="16" w:line="227" w:lineRule="auto"/>
              <w:ind w:left="112" w:right="95" w:firstLine="346"/>
            </w:pPr>
            <w:r>
              <w:rPr>
                <w:spacing w:val="-8"/>
              </w:rPr>
              <w:t>第六条</w:t>
            </w:r>
            <w:r>
              <w:rPr>
                <w:spacing w:val="80"/>
              </w:rPr>
              <w:t xml:space="preserve"> </w:t>
            </w:r>
            <w:r>
              <w:rPr>
                <w:spacing w:val="-8"/>
              </w:rPr>
              <w:t>船舶所有人、船舶经营人、船舶管理人和船长应当编制船舶值班制度，公示在船</w:t>
            </w:r>
            <w:r>
              <w:rPr>
                <w:spacing w:val="-9"/>
              </w:rPr>
              <w:t>舶的显著位置，并要</w:t>
            </w:r>
            <w:r>
              <w:t xml:space="preserve"> </w:t>
            </w:r>
            <w:r>
              <w:rPr>
                <w:spacing w:val="-8"/>
              </w:rPr>
              <w:t>求全体船员遵守执行。</w:t>
            </w:r>
          </w:p>
          <w:p w14:paraId="432FFC6A">
            <w:pPr>
              <w:pStyle w:val="8"/>
              <w:spacing w:before="16" w:line="217" w:lineRule="auto"/>
              <w:ind w:left="111" w:right="151" w:firstLine="354"/>
            </w:pPr>
            <w:r>
              <w:rPr>
                <w:spacing w:val="-2"/>
              </w:rPr>
              <w:t>船长应当安排合格船员值班，明确值班船员职责。值班安排应当符合保证船舶、货物、</w:t>
            </w:r>
            <w:r>
              <w:rPr>
                <w:spacing w:val="-3"/>
              </w:rPr>
              <w:t>人员安全及保护水</w:t>
            </w:r>
            <w:r>
              <w:t xml:space="preserve"> </w:t>
            </w:r>
            <w:r>
              <w:rPr>
                <w:spacing w:val="-2"/>
              </w:rPr>
              <w:t>域环境的要求，考虑值班船员资格和经验，根据情况合理安排值班船员，并保证值班船员得到</w:t>
            </w:r>
            <w:r>
              <w:rPr>
                <w:spacing w:val="-3"/>
              </w:rPr>
              <w:t>充分休息，防止</w:t>
            </w:r>
          </w:p>
        </w:tc>
        <w:tc>
          <w:tcPr>
            <w:tcW w:w="1043" w:type="dxa"/>
            <w:vAlign w:val="top"/>
          </w:tcPr>
          <w:p w14:paraId="01635498">
            <w:pPr>
              <w:spacing w:line="252" w:lineRule="auto"/>
              <w:rPr>
                <w:rFonts w:ascii="Arial"/>
                <w:sz w:val="21"/>
              </w:rPr>
            </w:pPr>
          </w:p>
          <w:p w14:paraId="317ECEB2">
            <w:pPr>
              <w:spacing w:line="252" w:lineRule="auto"/>
              <w:rPr>
                <w:rFonts w:ascii="Arial"/>
                <w:sz w:val="21"/>
              </w:rPr>
            </w:pPr>
          </w:p>
          <w:p w14:paraId="457DE326">
            <w:pPr>
              <w:spacing w:line="252" w:lineRule="auto"/>
              <w:rPr>
                <w:rFonts w:ascii="Arial"/>
                <w:sz w:val="21"/>
              </w:rPr>
            </w:pPr>
          </w:p>
          <w:p w14:paraId="390A62E7">
            <w:pPr>
              <w:spacing w:line="253" w:lineRule="auto"/>
              <w:rPr>
                <w:rFonts w:ascii="Arial"/>
                <w:sz w:val="21"/>
              </w:rPr>
            </w:pPr>
          </w:p>
          <w:p w14:paraId="01C04703">
            <w:pPr>
              <w:spacing w:line="253" w:lineRule="auto"/>
              <w:rPr>
                <w:rFonts w:ascii="Arial"/>
                <w:sz w:val="21"/>
              </w:rPr>
            </w:pPr>
          </w:p>
          <w:p w14:paraId="2CFD0106">
            <w:pPr>
              <w:spacing w:line="253" w:lineRule="auto"/>
              <w:rPr>
                <w:rFonts w:ascii="Arial"/>
                <w:sz w:val="21"/>
              </w:rPr>
            </w:pPr>
          </w:p>
          <w:p w14:paraId="7C399CAA">
            <w:pPr>
              <w:spacing w:line="253" w:lineRule="auto"/>
              <w:rPr>
                <w:rFonts w:ascii="Arial"/>
                <w:sz w:val="21"/>
              </w:rPr>
            </w:pPr>
          </w:p>
          <w:p w14:paraId="5278C3D7">
            <w:pPr>
              <w:spacing w:line="253" w:lineRule="auto"/>
              <w:rPr>
                <w:rFonts w:ascii="Arial"/>
                <w:sz w:val="21"/>
              </w:rPr>
            </w:pPr>
          </w:p>
          <w:p w14:paraId="4446DF5A">
            <w:pPr>
              <w:spacing w:line="253" w:lineRule="auto"/>
              <w:rPr>
                <w:rFonts w:ascii="Arial"/>
                <w:sz w:val="21"/>
              </w:rPr>
            </w:pPr>
          </w:p>
          <w:p w14:paraId="3CBD3D78">
            <w:pPr>
              <w:spacing w:line="253" w:lineRule="auto"/>
              <w:rPr>
                <w:rFonts w:ascii="Arial"/>
                <w:sz w:val="21"/>
              </w:rPr>
            </w:pPr>
          </w:p>
          <w:p w14:paraId="45FBA75E">
            <w:pPr>
              <w:spacing w:line="253" w:lineRule="auto"/>
              <w:rPr>
                <w:rFonts w:ascii="Arial"/>
                <w:sz w:val="21"/>
              </w:rPr>
            </w:pPr>
          </w:p>
          <w:p w14:paraId="2E8288B7">
            <w:pPr>
              <w:spacing w:line="253" w:lineRule="auto"/>
              <w:rPr>
                <w:rFonts w:ascii="Arial"/>
                <w:sz w:val="21"/>
              </w:rPr>
            </w:pPr>
          </w:p>
          <w:p w14:paraId="7DD94629">
            <w:pPr>
              <w:spacing w:line="253" w:lineRule="auto"/>
              <w:rPr>
                <w:rFonts w:ascii="Arial"/>
                <w:sz w:val="21"/>
              </w:rPr>
            </w:pPr>
          </w:p>
          <w:p w14:paraId="1BB3E99B">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40E3023C">
            <w:pPr>
              <w:spacing w:line="243" w:lineRule="auto"/>
              <w:rPr>
                <w:rFonts w:ascii="Arial"/>
                <w:sz w:val="21"/>
              </w:rPr>
            </w:pPr>
          </w:p>
          <w:p w14:paraId="3CD57A18">
            <w:pPr>
              <w:spacing w:line="243" w:lineRule="auto"/>
              <w:rPr>
                <w:rFonts w:ascii="Arial"/>
                <w:sz w:val="21"/>
              </w:rPr>
            </w:pPr>
          </w:p>
          <w:p w14:paraId="11196495">
            <w:pPr>
              <w:spacing w:line="243" w:lineRule="auto"/>
              <w:rPr>
                <w:rFonts w:ascii="Arial"/>
                <w:sz w:val="21"/>
              </w:rPr>
            </w:pPr>
          </w:p>
          <w:p w14:paraId="7BFC3D53">
            <w:pPr>
              <w:spacing w:line="243" w:lineRule="auto"/>
              <w:rPr>
                <w:rFonts w:ascii="Arial"/>
                <w:sz w:val="21"/>
              </w:rPr>
            </w:pPr>
          </w:p>
          <w:p w14:paraId="09177B57">
            <w:pPr>
              <w:spacing w:line="243" w:lineRule="auto"/>
              <w:rPr>
                <w:rFonts w:ascii="Arial"/>
                <w:sz w:val="21"/>
              </w:rPr>
            </w:pPr>
          </w:p>
          <w:p w14:paraId="42DCD098">
            <w:pPr>
              <w:spacing w:line="243" w:lineRule="auto"/>
              <w:rPr>
                <w:rFonts w:ascii="Arial"/>
                <w:sz w:val="21"/>
              </w:rPr>
            </w:pPr>
          </w:p>
          <w:p w14:paraId="44E66460">
            <w:pPr>
              <w:spacing w:line="243" w:lineRule="auto"/>
              <w:rPr>
                <w:rFonts w:ascii="Arial"/>
                <w:sz w:val="21"/>
              </w:rPr>
            </w:pPr>
          </w:p>
          <w:p w14:paraId="3F943739">
            <w:pPr>
              <w:spacing w:line="243" w:lineRule="auto"/>
              <w:rPr>
                <w:rFonts w:ascii="Arial"/>
                <w:sz w:val="21"/>
              </w:rPr>
            </w:pPr>
          </w:p>
          <w:p w14:paraId="1351C47D">
            <w:pPr>
              <w:spacing w:line="243" w:lineRule="auto"/>
              <w:rPr>
                <w:rFonts w:ascii="Arial"/>
                <w:sz w:val="21"/>
              </w:rPr>
            </w:pPr>
          </w:p>
          <w:p w14:paraId="64EC369E">
            <w:pPr>
              <w:spacing w:line="243" w:lineRule="auto"/>
              <w:rPr>
                <w:rFonts w:ascii="Arial"/>
                <w:sz w:val="21"/>
              </w:rPr>
            </w:pPr>
          </w:p>
          <w:p w14:paraId="232A0ADD">
            <w:pPr>
              <w:spacing w:line="244" w:lineRule="auto"/>
              <w:rPr>
                <w:rFonts w:ascii="Arial"/>
                <w:sz w:val="21"/>
              </w:rPr>
            </w:pPr>
          </w:p>
          <w:p w14:paraId="2A9EF07F">
            <w:pPr>
              <w:spacing w:line="244" w:lineRule="auto"/>
              <w:rPr>
                <w:rFonts w:ascii="Arial"/>
                <w:sz w:val="21"/>
              </w:rPr>
            </w:pPr>
          </w:p>
          <w:p w14:paraId="3B47E5DB">
            <w:pPr>
              <w:spacing w:line="244" w:lineRule="auto"/>
              <w:rPr>
                <w:rFonts w:ascii="Arial"/>
                <w:sz w:val="21"/>
              </w:rPr>
            </w:pPr>
          </w:p>
          <w:p w14:paraId="49D27D3B">
            <w:pPr>
              <w:spacing w:line="244" w:lineRule="auto"/>
              <w:rPr>
                <w:rFonts w:ascii="Arial"/>
                <w:sz w:val="21"/>
              </w:rPr>
            </w:pPr>
          </w:p>
          <w:p w14:paraId="10C1F691">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2C4DDC0">
            <w:pPr>
              <w:spacing w:line="254" w:lineRule="auto"/>
              <w:rPr>
                <w:rFonts w:ascii="Arial"/>
                <w:sz w:val="21"/>
              </w:rPr>
            </w:pPr>
          </w:p>
          <w:p w14:paraId="0C49F45E">
            <w:pPr>
              <w:spacing w:line="254" w:lineRule="auto"/>
              <w:rPr>
                <w:rFonts w:ascii="Arial"/>
                <w:sz w:val="21"/>
              </w:rPr>
            </w:pPr>
          </w:p>
          <w:p w14:paraId="5F47FA9B">
            <w:pPr>
              <w:spacing w:line="254" w:lineRule="auto"/>
              <w:rPr>
                <w:rFonts w:ascii="Arial"/>
                <w:sz w:val="21"/>
              </w:rPr>
            </w:pPr>
          </w:p>
          <w:p w14:paraId="1100ADCC">
            <w:pPr>
              <w:spacing w:line="254" w:lineRule="auto"/>
              <w:rPr>
                <w:rFonts w:ascii="Arial"/>
                <w:sz w:val="21"/>
              </w:rPr>
            </w:pPr>
          </w:p>
          <w:p w14:paraId="6CEC3782">
            <w:pPr>
              <w:spacing w:line="254" w:lineRule="auto"/>
              <w:rPr>
                <w:rFonts w:ascii="Arial"/>
                <w:sz w:val="21"/>
              </w:rPr>
            </w:pPr>
          </w:p>
          <w:p w14:paraId="2934F592">
            <w:pPr>
              <w:spacing w:line="254" w:lineRule="auto"/>
              <w:rPr>
                <w:rFonts w:ascii="Arial"/>
                <w:sz w:val="21"/>
              </w:rPr>
            </w:pPr>
          </w:p>
          <w:p w14:paraId="4BF22545">
            <w:pPr>
              <w:spacing w:line="254" w:lineRule="auto"/>
              <w:rPr>
                <w:rFonts w:ascii="Arial"/>
                <w:sz w:val="21"/>
              </w:rPr>
            </w:pPr>
          </w:p>
          <w:p w14:paraId="37DC69AE">
            <w:pPr>
              <w:spacing w:line="254" w:lineRule="auto"/>
              <w:rPr>
                <w:rFonts w:ascii="Arial"/>
                <w:sz w:val="21"/>
              </w:rPr>
            </w:pPr>
          </w:p>
          <w:p w14:paraId="16B197C8">
            <w:pPr>
              <w:spacing w:line="254" w:lineRule="auto"/>
              <w:rPr>
                <w:rFonts w:ascii="Arial"/>
                <w:sz w:val="21"/>
              </w:rPr>
            </w:pPr>
          </w:p>
          <w:p w14:paraId="6B679876">
            <w:pPr>
              <w:spacing w:line="254" w:lineRule="auto"/>
              <w:rPr>
                <w:rFonts w:ascii="Arial"/>
                <w:sz w:val="21"/>
              </w:rPr>
            </w:pPr>
          </w:p>
          <w:p w14:paraId="275D32C8">
            <w:pPr>
              <w:spacing w:line="254" w:lineRule="auto"/>
              <w:rPr>
                <w:rFonts w:ascii="Arial"/>
                <w:sz w:val="21"/>
              </w:rPr>
            </w:pPr>
          </w:p>
          <w:p w14:paraId="320C49E2">
            <w:pPr>
              <w:spacing w:line="255" w:lineRule="auto"/>
              <w:rPr>
                <w:rFonts w:ascii="Arial"/>
                <w:sz w:val="21"/>
              </w:rPr>
            </w:pPr>
          </w:p>
          <w:p w14:paraId="30960BD9">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75B6C3DF">
      <w:pPr>
        <w:pStyle w:val="2"/>
      </w:pPr>
    </w:p>
    <w:p w14:paraId="222A5F18">
      <w:pPr>
        <w:sectPr>
          <w:footerReference r:id="rId184" w:type="default"/>
          <w:pgSz w:w="16839" w:h="11906"/>
          <w:pgMar w:top="1012" w:right="788" w:bottom="967" w:left="787" w:header="0" w:footer="768" w:gutter="0"/>
          <w:cols w:space="720" w:num="1"/>
        </w:sectPr>
      </w:pPr>
    </w:p>
    <w:p w14:paraId="5558C01D">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44CF4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641" w:type="dxa"/>
            <w:vMerge w:val="restart"/>
            <w:tcBorders>
              <w:bottom w:val="nil"/>
            </w:tcBorders>
            <w:vAlign w:val="top"/>
          </w:tcPr>
          <w:p w14:paraId="41C76A0B">
            <w:pPr>
              <w:pStyle w:val="8"/>
              <w:spacing w:before="267" w:line="221" w:lineRule="auto"/>
              <w:ind w:left="142"/>
            </w:pPr>
            <w:r>
              <w:rPr>
                <w:b/>
                <w:bCs/>
                <w:spacing w:val="-4"/>
              </w:rPr>
              <w:t>序号</w:t>
            </w:r>
          </w:p>
        </w:tc>
        <w:tc>
          <w:tcPr>
            <w:tcW w:w="1136" w:type="dxa"/>
            <w:vMerge w:val="restart"/>
            <w:tcBorders>
              <w:bottom w:val="nil"/>
            </w:tcBorders>
            <w:vAlign w:val="top"/>
          </w:tcPr>
          <w:p w14:paraId="1FF290CE">
            <w:pPr>
              <w:pStyle w:val="8"/>
              <w:spacing w:before="267" w:line="220" w:lineRule="auto"/>
              <w:ind w:left="208"/>
            </w:pPr>
            <w:r>
              <w:rPr>
                <w:b/>
                <w:bCs/>
                <w:spacing w:val="-4"/>
              </w:rPr>
              <w:t>事项名称</w:t>
            </w:r>
          </w:p>
        </w:tc>
        <w:tc>
          <w:tcPr>
            <w:tcW w:w="1136" w:type="dxa"/>
            <w:vMerge w:val="restart"/>
            <w:tcBorders>
              <w:bottom w:val="nil"/>
            </w:tcBorders>
            <w:vAlign w:val="top"/>
          </w:tcPr>
          <w:p w14:paraId="3C867E11">
            <w:pPr>
              <w:pStyle w:val="8"/>
              <w:spacing w:before="267" w:line="219" w:lineRule="auto"/>
              <w:ind w:left="210"/>
            </w:pPr>
            <w:r>
              <w:rPr>
                <w:b/>
                <w:bCs/>
                <w:spacing w:val="-4"/>
              </w:rPr>
              <w:t>职权类型</w:t>
            </w:r>
          </w:p>
        </w:tc>
        <w:tc>
          <w:tcPr>
            <w:tcW w:w="8806" w:type="dxa"/>
            <w:vMerge w:val="restart"/>
            <w:tcBorders>
              <w:bottom w:val="nil"/>
            </w:tcBorders>
            <w:vAlign w:val="top"/>
          </w:tcPr>
          <w:p w14:paraId="25A5FFBD">
            <w:pPr>
              <w:pStyle w:val="8"/>
              <w:spacing w:before="267" w:line="219" w:lineRule="auto"/>
              <w:ind w:left="4050"/>
            </w:pPr>
            <w:r>
              <w:rPr>
                <w:b/>
                <w:bCs/>
                <w:spacing w:val="-5"/>
              </w:rPr>
              <w:t>实施依据</w:t>
            </w:r>
          </w:p>
        </w:tc>
        <w:tc>
          <w:tcPr>
            <w:tcW w:w="3538" w:type="dxa"/>
            <w:gridSpan w:val="3"/>
            <w:vAlign w:val="top"/>
          </w:tcPr>
          <w:p w14:paraId="7D6E297E">
            <w:pPr>
              <w:pStyle w:val="8"/>
              <w:spacing w:before="92" w:line="220" w:lineRule="auto"/>
              <w:ind w:left="1415"/>
            </w:pPr>
            <w:r>
              <w:rPr>
                <w:b/>
                <w:bCs/>
                <w:spacing w:val="-5"/>
              </w:rPr>
              <w:t>实施主体</w:t>
            </w:r>
          </w:p>
        </w:tc>
      </w:tr>
      <w:tr w14:paraId="3C101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344C2AC2">
            <w:pPr>
              <w:rPr>
                <w:rFonts w:ascii="Arial"/>
                <w:sz w:val="21"/>
              </w:rPr>
            </w:pPr>
          </w:p>
        </w:tc>
        <w:tc>
          <w:tcPr>
            <w:tcW w:w="1136" w:type="dxa"/>
            <w:vMerge w:val="continue"/>
            <w:tcBorders>
              <w:top w:val="nil"/>
            </w:tcBorders>
            <w:vAlign w:val="top"/>
          </w:tcPr>
          <w:p w14:paraId="285FB3B4">
            <w:pPr>
              <w:rPr>
                <w:rFonts w:ascii="Arial"/>
                <w:sz w:val="21"/>
              </w:rPr>
            </w:pPr>
          </w:p>
        </w:tc>
        <w:tc>
          <w:tcPr>
            <w:tcW w:w="1136" w:type="dxa"/>
            <w:vMerge w:val="continue"/>
            <w:tcBorders>
              <w:top w:val="nil"/>
            </w:tcBorders>
            <w:vAlign w:val="top"/>
          </w:tcPr>
          <w:p w14:paraId="1F6F6B35">
            <w:pPr>
              <w:rPr>
                <w:rFonts w:ascii="Arial"/>
                <w:sz w:val="21"/>
              </w:rPr>
            </w:pPr>
          </w:p>
        </w:tc>
        <w:tc>
          <w:tcPr>
            <w:tcW w:w="8806" w:type="dxa"/>
            <w:vMerge w:val="continue"/>
            <w:tcBorders>
              <w:top w:val="nil"/>
            </w:tcBorders>
            <w:vAlign w:val="top"/>
          </w:tcPr>
          <w:p w14:paraId="05B82096">
            <w:pPr>
              <w:rPr>
                <w:rFonts w:ascii="Arial"/>
                <w:sz w:val="21"/>
              </w:rPr>
            </w:pPr>
          </w:p>
        </w:tc>
        <w:tc>
          <w:tcPr>
            <w:tcW w:w="1043" w:type="dxa"/>
            <w:vAlign w:val="top"/>
          </w:tcPr>
          <w:p w14:paraId="77128E9F">
            <w:pPr>
              <w:pStyle w:val="8"/>
              <w:spacing w:before="88" w:line="219" w:lineRule="auto"/>
              <w:ind w:left="171"/>
            </w:pPr>
            <w:r>
              <w:rPr>
                <w:b/>
                <w:bCs/>
                <w:spacing w:val="-5"/>
              </w:rPr>
              <w:t>责任部门</w:t>
            </w:r>
          </w:p>
        </w:tc>
        <w:tc>
          <w:tcPr>
            <w:tcW w:w="1448" w:type="dxa"/>
            <w:vAlign w:val="top"/>
          </w:tcPr>
          <w:p w14:paraId="059AB8E0">
            <w:pPr>
              <w:pStyle w:val="8"/>
              <w:spacing w:before="88" w:line="219" w:lineRule="auto"/>
              <w:ind w:left="187"/>
            </w:pPr>
            <w:r>
              <w:rPr>
                <w:b/>
                <w:bCs/>
                <w:spacing w:val="-3"/>
              </w:rPr>
              <w:t>第一责任层级</w:t>
            </w:r>
          </w:p>
        </w:tc>
        <w:tc>
          <w:tcPr>
            <w:tcW w:w="1047" w:type="dxa"/>
            <w:vAlign w:val="top"/>
          </w:tcPr>
          <w:p w14:paraId="5A455D94">
            <w:pPr>
              <w:pStyle w:val="8"/>
              <w:spacing w:before="88" w:line="219" w:lineRule="auto"/>
              <w:ind w:left="165"/>
            </w:pPr>
            <w:r>
              <w:rPr>
                <w:b/>
                <w:bCs/>
                <w:spacing w:val="-4"/>
              </w:rPr>
              <w:t>承办机构</w:t>
            </w:r>
          </w:p>
        </w:tc>
      </w:tr>
      <w:tr w14:paraId="1FCEF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4" w:hRule="atLeast"/>
        </w:trPr>
        <w:tc>
          <w:tcPr>
            <w:tcW w:w="641" w:type="dxa"/>
            <w:vAlign w:val="top"/>
          </w:tcPr>
          <w:p w14:paraId="5E4CDB3A">
            <w:pPr>
              <w:rPr>
                <w:rFonts w:ascii="Arial"/>
                <w:sz w:val="21"/>
              </w:rPr>
            </w:pPr>
          </w:p>
        </w:tc>
        <w:tc>
          <w:tcPr>
            <w:tcW w:w="1136" w:type="dxa"/>
            <w:vAlign w:val="top"/>
          </w:tcPr>
          <w:p w14:paraId="64F5F20E">
            <w:pPr>
              <w:rPr>
                <w:rFonts w:ascii="Arial"/>
                <w:sz w:val="21"/>
              </w:rPr>
            </w:pPr>
          </w:p>
        </w:tc>
        <w:tc>
          <w:tcPr>
            <w:tcW w:w="1136" w:type="dxa"/>
            <w:vAlign w:val="top"/>
          </w:tcPr>
          <w:p w14:paraId="6BBB4C95">
            <w:pPr>
              <w:rPr>
                <w:rFonts w:ascii="Arial"/>
                <w:sz w:val="21"/>
              </w:rPr>
            </w:pPr>
          </w:p>
        </w:tc>
        <w:tc>
          <w:tcPr>
            <w:tcW w:w="8806" w:type="dxa"/>
            <w:vAlign w:val="top"/>
          </w:tcPr>
          <w:p w14:paraId="082B8811">
            <w:pPr>
              <w:pStyle w:val="8"/>
              <w:spacing w:before="31" w:line="219" w:lineRule="auto"/>
              <w:ind w:left="111"/>
            </w:pPr>
            <w:r>
              <w:rPr>
                <w:spacing w:val="-6"/>
              </w:rPr>
              <w:t>疲劳值班。</w:t>
            </w:r>
          </w:p>
          <w:p w14:paraId="6976C3A2">
            <w:pPr>
              <w:pStyle w:val="8"/>
              <w:spacing w:before="16" w:line="219" w:lineRule="auto"/>
              <w:ind w:left="465"/>
            </w:pPr>
            <w:r>
              <w:rPr>
                <w:spacing w:val="-3"/>
              </w:rPr>
              <w:t>第十条第二款  船员在值班期间不得安排影响其值班的其他工作。</w:t>
            </w:r>
          </w:p>
          <w:p w14:paraId="703B38C1">
            <w:pPr>
              <w:pStyle w:val="8"/>
              <w:spacing w:before="16" w:line="219" w:lineRule="auto"/>
              <w:ind w:left="465"/>
            </w:pPr>
            <w:r>
              <w:rPr>
                <w:spacing w:val="-2"/>
              </w:rPr>
              <w:t>第十三条  船长应当对值班情况进行监督检查，及时发现并纠正船员的不良</w:t>
            </w:r>
            <w:r>
              <w:rPr>
                <w:spacing w:val="-3"/>
              </w:rPr>
              <w:t>操作行为。</w:t>
            </w:r>
          </w:p>
          <w:p w14:paraId="5C9C992F">
            <w:pPr>
              <w:pStyle w:val="8"/>
              <w:spacing w:before="14" w:line="228" w:lineRule="auto"/>
              <w:ind w:left="114" w:right="179" w:firstLine="343"/>
            </w:pPr>
            <w:r>
              <w:rPr>
                <w:spacing w:val="-6"/>
              </w:rPr>
              <w:t>在遇到能见度不良、恶劣天气、航行条件复杂等可能影响船舶安全的情</w:t>
            </w:r>
            <w:r>
              <w:rPr>
                <w:spacing w:val="-7"/>
              </w:rPr>
              <w:t>形时，船长应当亲自操纵船舶或者监</w:t>
            </w:r>
            <w:r>
              <w:t xml:space="preserve"> </w:t>
            </w:r>
            <w:r>
              <w:rPr>
                <w:spacing w:val="-7"/>
              </w:rPr>
              <w:t>督航行。</w:t>
            </w:r>
          </w:p>
          <w:p w14:paraId="1B3FAE0F">
            <w:pPr>
              <w:pStyle w:val="8"/>
              <w:spacing w:before="17" w:line="227" w:lineRule="auto"/>
              <w:ind w:left="111" w:right="98" w:firstLine="342"/>
            </w:pPr>
            <w:r>
              <w:rPr>
                <w:spacing w:val="-8"/>
              </w:rPr>
              <w:t>第四十条</w:t>
            </w:r>
            <w:r>
              <w:rPr>
                <w:spacing w:val="73"/>
              </w:rPr>
              <w:t xml:space="preserve"> </w:t>
            </w:r>
            <w:r>
              <w:rPr>
                <w:spacing w:val="-8"/>
              </w:rPr>
              <w:t>在作业期间、船舶开航前和航行中，值班驾驶人员应当亲自或者安排其他人员对旅客情况、货物积</w:t>
            </w:r>
            <w:r>
              <w:t xml:space="preserve"> </w:t>
            </w:r>
            <w:r>
              <w:rPr>
                <w:spacing w:val="-3"/>
              </w:rPr>
              <w:t>载、系固状况、船舶强度和稳性进行检查和判断，并采取必要的措施保障旅客、货物和船舶安全。</w:t>
            </w:r>
          </w:p>
          <w:p w14:paraId="2D5D9B74">
            <w:pPr>
              <w:pStyle w:val="8"/>
              <w:spacing w:before="18" w:line="226" w:lineRule="auto"/>
              <w:ind w:left="112" w:right="103" w:firstLine="357"/>
            </w:pPr>
            <w:r>
              <w:rPr>
                <w:spacing w:val="-1"/>
              </w:rPr>
              <w:t>第九十条  船长有下列情形之一的，依据《中华人民共和国船员条例》第五十三条，由海</w:t>
            </w:r>
            <w:r>
              <w:rPr>
                <w:spacing w:val="-2"/>
              </w:rPr>
              <w:t>事管理机构处以</w:t>
            </w:r>
            <w:r>
              <w:t xml:space="preserve"> </w:t>
            </w:r>
            <w:r>
              <w:rPr>
                <w:spacing w:val="-2"/>
              </w:rPr>
              <w:t>2000元以上2万元以下罚款；情节严重的，并给予暂扣船员适任证书6个月以上24个月以</w:t>
            </w:r>
            <w:r>
              <w:rPr>
                <w:spacing w:val="-3"/>
              </w:rPr>
              <w:t>下直至吊销船员适任证</w:t>
            </w:r>
            <w:r>
              <w:t xml:space="preserve"> 书的处罚</w:t>
            </w:r>
            <w:r>
              <w:rPr>
                <w:spacing w:val="-25"/>
              </w:rPr>
              <w:t>：（</w:t>
            </w:r>
            <w:r>
              <w:t>一）航行条件复杂和情况紧急时未亲自操纵船舶或</w:t>
            </w:r>
            <w:r>
              <w:rPr>
                <w:spacing w:val="-1"/>
              </w:rPr>
              <w:t>者监航</w:t>
            </w:r>
            <w:r>
              <w:rPr>
                <w:spacing w:val="-25"/>
              </w:rPr>
              <w:t>；（</w:t>
            </w:r>
            <w:r>
              <w:rPr>
                <w:spacing w:val="-1"/>
              </w:rPr>
              <w:t>二）未根据航次任务落实好开航前</w:t>
            </w:r>
            <w:r>
              <w:rPr>
                <w:spacing w:val="2"/>
              </w:rPr>
              <w:t xml:space="preserve"> </w:t>
            </w:r>
            <w:r>
              <w:rPr>
                <w:spacing w:val="-2"/>
              </w:rPr>
              <w:t>的各项准备工作；（三）未按规定保障船员充分休息；（四）安排船员值班期间承担</w:t>
            </w:r>
            <w:r>
              <w:rPr>
                <w:spacing w:val="-3"/>
              </w:rPr>
              <w:t>影响其值班的其他工作。</w:t>
            </w:r>
          </w:p>
        </w:tc>
        <w:tc>
          <w:tcPr>
            <w:tcW w:w="1043" w:type="dxa"/>
            <w:vAlign w:val="top"/>
          </w:tcPr>
          <w:p w14:paraId="40F531CF">
            <w:pPr>
              <w:rPr>
                <w:rFonts w:ascii="Arial"/>
                <w:sz w:val="21"/>
              </w:rPr>
            </w:pPr>
          </w:p>
        </w:tc>
        <w:tc>
          <w:tcPr>
            <w:tcW w:w="1448" w:type="dxa"/>
            <w:vAlign w:val="top"/>
          </w:tcPr>
          <w:p w14:paraId="03161DDA">
            <w:pPr>
              <w:rPr>
                <w:rFonts w:ascii="Arial"/>
                <w:sz w:val="21"/>
              </w:rPr>
            </w:pPr>
          </w:p>
        </w:tc>
        <w:tc>
          <w:tcPr>
            <w:tcW w:w="1047" w:type="dxa"/>
            <w:vAlign w:val="top"/>
          </w:tcPr>
          <w:p w14:paraId="33C3679E">
            <w:pPr>
              <w:rPr>
                <w:rFonts w:ascii="Arial"/>
                <w:sz w:val="21"/>
              </w:rPr>
            </w:pPr>
          </w:p>
        </w:tc>
      </w:tr>
      <w:tr w14:paraId="1091E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7" w:hRule="atLeast"/>
        </w:trPr>
        <w:tc>
          <w:tcPr>
            <w:tcW w:w="641" w:type="dxa"/>
            <w:vAlign w:val="top"/>
          </w:tcPr>
          <w:p w14:paraId="0A0B21EF">
            <w:pPr>
              <w:spacing w:line="260" w:lineRule="auto"/>
              <w:rPr>
                <w:rFonts w:ascii="Arial"/>
                <w:sz w:val="21"/>
              </w:rPr>
            </w:pPr>
          </w:p>
          <w:p w14:paraId="51AD312A">
            <w:pPr>
              <w:spacing w:line="260" w:lineRule="auto"/>
              <w:rPr>
                <w:rFonts w:ascii="Arial"/>
                <w:sz w:val="21"/>
              </w:rPr>
            </w:pPr>
          </w:p>
          <w:p w14:paraId="655A2804">
            <w:pPr>
              <w:spacing w:line="260" w:lineRule="auto"/>
              <w:rPr>
                <w:rFonts w:ascii="Arial"/>
                <w:sz w:val="21"/>
              </w:rPr>
            </w:pPr>
          </w:p>
          <w:p w14:paraId="7B5C366B">
            <w:pPr>
              <w:spacing w:line="261" w:lineRule="auto"/>
              <w:rPr>
                <w:rFonts w:ascii="Arial"/>
                <w:sz w:val="21"/>
              </w:rPr>
            </w:pPr>
          </w:p>
          <w:p w14:paraId="4D9C6916">
            <w:pPr>
              <w:spacing w:line="261" w:lineRule="auto"/>
              <w:rPr>
                <w:rFonts w:ascii="Arial"/>
                <w:sz w:val="21"/>
              </w:rPr>
            </w:pPr>
          </w:p>
          <w:p w14:paraId="1B380E73">
            <w:pPr>
              <w:spacing w:line="261" w:lineRule="auto"/>
              <w:rPr>
                <w:rFonts w:ascii="Arial"/>
                <w:sz w:val="21"/>
              </w:rPr>
            </w:pPr>
          </w:p>
          <w:p w14:paraId="3255B075">
            <w:pPr>
              <w:spacing w:line="261" w:lineRule="auto"/>
              <w:rPr>
                <w:rFonts w:ascii="Arial"/>
                <w:sz w:val="21"/>
              </w:rPr>
            </w:pPr>
          </w:p>
          <w:p w14:paraId="25FE3CE8">
            <w:pPr>
              <w:spacing w:line="261" w:lineRule="auto"/>
              <w:rPr>
                <w:rFonts w:ascii="Arial"/>
                <w:sz w:val="21"/>
              </w:rPr>
            </w:pPr>
          </w:p>
          <w:p w14:paraId="0D8FDB51">
            <w:pPr>
              <w:spacing w:line="261" w:lineRule="auto"/>
              <w:rPr>
                <w:rFonts w:ascii="Arial"/>
                <w:sz w:val="21"/>
              </w:rPr>
            </w:pPr>
          </w:p>
          <w:p w14:paraId="2BDA437B">
            <w:pPr>
              <w:spacing w:line="261" w:lineRule="auto"/>
              <w:rPr>
                <w:rFonts w:ascii="Arial"/>
                <w:sz w:val="21"/>
              </w:rPr>
            </w:pPr>
          </w:p>
          <w:p w14:paraId="7B0B6A21">
            <w:pPr>
              <w:spacing w:line="261" w:lineRule="auto"/>
              <w:rPr>
                <w:rFonts w:ascii="Arial"/>
                <w:sz w:val="21"/>
              </w:rPr>
            </w:pPr>
          </w:p>
          <w:p w14:paraId="683AEE4F">
            <w:pPr>
              <w:pStyle w:val="8"/>
              <w:spacing w:before="59" w:line="183" w:lineRule="auto"/>
              <w:ind w:left="238"/>
            </w:pPr>
            <w:r>
              <w:rPr>
                <w:spacing w:val="-5"/>
              </w:rPr>
              <w:t>35</w:t>
            </w:r>
          </w:p>
        </w:tc>
        <w:tc>
          <w:tcPr>
            <w:tcW w:w="1136" w:type="dxa"/>
            <w:vAlign w:val="top"/>
          </w:tcPr>
          <w:p w14:paraId="38A1789C">
            <w:pPr>
              <w:spacing w:line="249" w:lineRule="auto"/>
              <w:rPr>
                <w:rFonts w:ascii="Arial"/>
                <w:sz w:val="21"/>
              </w:rPr>
            </w:pPr>
          </w:p>
          <w:p w14:paraId="54DE538B">
            <w:pPr>
              <w:spacing w:line="249" w:lineRule="auto"/>
              <w:rPr>
                <w:rFonts w:ascii="Arial"/>
                <w:sz w:val="21"/>
              </w:rPr>
            </w:pPr>
          </w:p>
          <w:p w14:paraId="569BD858">
            <w:pPr>
              <w:spacing w:line="249" w:lineRule="auto"/>
              <w:rPr>
                <w:rFonts w:ascii="Arial"/>
                <w:sz w:val="21"/>
              </w:rPr>
            </w:pPr>
          </w:p>
          <w:p w14:paraId="67E662A3">
            <w:pPr>
              <w:spacing w:line="249" w:lineRule="auto"/>
              <w:rPr>
                <w:rFonts w:ascii="Arial"/>
                <w:sz w:val="21"/>
              </w:rPr>
            </w:pPr>
          </w:p>
          <w:p w14:paraId="51556422">
            <w:pPr>
              <w:spacing w:line="249" w:lineRule="auto"/>
              <w:rPr>
                <w:rFonts w:ascii="Arial"/>
                <w:sz w:val="21"/>
              </w:rPr>
            </w:pPr>
          </w:p>
          <w:p w14:paraId="439566B6">
            <w:pPr>
              <w:spacing w:line="249" w:lineRule="auto"/>
              <w:rPr>
                <w:rFonts w:ascii="Arial"/>
                <w:sz w:val="21"/>
              </w:rPr>
            </w:pPr>
          </w:p>
          <w:p w14:paraId="6D04466B">
            <w:pPr>
              <w:spacing w:line="249" w:lineRule="auto"/>
              <w:rPr>
                <w:rFonts w:ascii="Arial"/>
                <w:sz w:val="21"/>
              </w:rPr>
            </w:pPr>
          </w:p>
          <w:p w14:paraId="2A4A6910">
            <w:pPr>
              <w:spacing w:line="250" w:lineRule="auto"/>
              <w:rPr>
                <w:rFonts w:ascii="Arial"/>
                <w:sz w:val="21"/>
              </w:rPr>
            </w:pPr>
          </w:p>
          <w:p w14:paraId="3A13E465">
            <w:pPr>
              <w:spacing w:line="250" w:lineRule="auto"/>
              <w:rPr>
                <w:rFonts w:ascii="Arial"/>
                <w:sz w:val="21"/>
              </w:rPr>
            </w:pPr>
          </w:p>
          <w:p w14:paraId="2B3BA2D6">
            <w:pPr>
              <w:pStyle w:val="8"/>
              <w:spacing w:before="59" w:line="242" w:lineRule="auto"/>
              <w:ind w:left="109" w:right="104"/>
              <w:jc w:val="both"/>
            </w:pPr>
            <w:r>
              <w:rPr>
                <w:spacing w:val="3"/>
              </w:rPr>
              <w:t>对中国籍船</w:t>
            </w:r>
            <w:r>
              <w:t xml:space="preserve"> </w:t>
            </w:r>
            <w:r>
              <w:rPr>
                <w:spacing w:val="3"/>
              </w:rPr>
              <w:t>舶擅自招用</w:t>
            </w:r>
            <w:r>
              <w:t xml:space="preserve"> </w:t>
            </w:r>
            <w:r>
              <w:rPr>
                <w:spacing w:val="3"/>
              </w:rPr>
              <w:t>外国籍船员</w:t>
            </w:r>
            <w:r>
              <w:t xml:space="preserve"> </w:t>
            </w:r>
            <w:r>
              <w:rPr>
                <w:spacing w:val="3"/>
              </w:rPr>
              <w:t>担任船长的</w:t>
            </w:r>
            <w:r>
              <w:t xml:space="preserve"> </w:t>
            </w:r>
            <w:r>
              <w:rPr>
                <w:spacing w:val="3"/>
              </w:rPr>
              <w:t>等行为的行</w:t>
            </w:r>
            <w:r>
              <w:rPr>
                <w:spacing w:val="1"/>
              </w:rPr>
              <w:t xml:space="preserve"> </w:t>
            </w:r>
            <w:r>
              <w:rPr>
                <w:spacing w:val="-4"/>
              </w:rPr>
              <w:t>政处罚</w:t>
            </w:r>
          </w:p>
        </w:tc>
        <w:tc>
          <w:tcPr>
            <w:tcW w:w="1136" w:type="dxa"/>
            <w:vAlign w:val="top"/>
          </w:tcPr>
          <w:p w14:paraId="6078041A">
            <w:pPr>
              <w:spacing w:line="258" w:lineRule="auto"/>
              <w:rPr>
                <w:rFonts w:ascii="Arial"/>
                <w:sz w:val="21"/>
              </w:rPr>
            </w:pPr>
          </w:p>
          <w:p w14:paraId="5DA4B648">
            <w:pPr>
              <w:spacing w:line="258" w:lineRule="auto"/>
              <w:rPr>
                <w:rFonts w:ascii="Arial"/>
                <w:sz w:val="21"/>
              </w:rPr>
            </w:pPr>
          </w:p>
          <w:p w14:paraId="4E88B41D">
            <w:pPr>
              <w:spacing w:line="258" w:lineRule="auto"/>
              <w:rPr>
                <w:rFonts w:ascii="Arial"/>
                <w:sz w:val="21"/>
              </w:rPr>
            </w:pPr>
          </w:p>
          <w:p w14:paraId="40FBAC3E">
            <w:pPr>
              <w:spacing w:line="258" w:lineRule="auto"/>
              <w:rPr>
                <w:rFonts w:ascii="Arial"/>
                <w:sz w:val="21"/>
              </w:rPr>
            </w:pPr>
          </w:p>
          <w:p w14:paraId="02428DCF">
            <w:pPr>
              <w:spacing w:line="258" w:lineRule="auto"/>
              <w:rPr>
                <w:rFonts w:ascii="Arial"/>
                <w:sz w:val="21"/>
              </w:rPr>
            </w:pPr>
          </w:p>
          <w:p w14:paraId="38D93138">
            <w:pPr>
              <w:spacing w:line="258" w:lineRule="auto"/>
              <w:rPr>
                <w:rFonts w:ascii="Arial"/>
                <w:sz w:val="21"/>
              </w:rPr>
            </w:pPr>
          </w:p>
          <w:p w14:paraId="4B0CF707">
            <w:pPr>
              <w:spacing w:line="258" w:lineRule="auto"/>
              <w:rPr>
                <w:rFonts w:ascii="Arial"/>
                <w:sz w:val="21"/>
              </w:rPr>
            </w:pPr>
          </w:p>
          <w:p w14:paraId="7C2374BD">
            <w:pPr>
              <w:spacing w:line="258" w:lineRule="auto"/>
              <w:rPr>
                <w:rFonts w:ascii="Arial"/>
                <w:sz w:val="21"/>
              </w:rPr>
            </w:pPr>
          </w:p>
          <w:p w14:paraId="0C7E9068">
            <w:pPr>
              <w:spacing w:line="258" w:lineRule="auto"/>
              <w:rPr>
                <w:rFonts w:ascii="Arial"/>
                <w:sz w:val="21"/>
              </w:rPr>
            </w:pPr>
          </w:p>
          <w:p w14:paraId="102AC367">
            <w:pPr>
              <w:spacing w:line="259" w:lineRule="auto"/>
              <w:rPr>
                <w:rFonts w:ascii="Arial"/>
                <w:sz w:val="21"/>
              </w:rPr>
            </w:pPr>
          </w:p>
          <w:p w14:paraId="282200CE">
            <w:pPr>
              <w:spacing w:line="259" w:lineRule="auto"/>
              <w:rPr>
                <w:rFonts w:ascii="Arial"/>
                <w:sz w:val="21"/>
              </w:rPr>
            </w:pPr>
          </w:p>
          <w:p w14:paraId="6F889AF7">
            <w:pPr>
              <w:pStyle w:val="8"/>
              <w:spacing w:before="58" w:line="220" w:lineRule="auto"/>
              <w:ind w:left="114"/>
            </w:pPr>
            <w:r>
              <w:rPr>
                <w:spacing w:val="-7"/>
              </w:rPr>
              <w:t>行政处罚</w:t>
            </w:r>
          </w:p>
        </w:tc>
        <w:tc>
          <w:tcPr>
            <w:tcW w:w="8806" w:type="dxa"/>
            <w:vAlign w:val="top"/>
          </w:tcPr>
          <w:p w14:paraId="1845B484">
            <w:pPr>
              <w:pStyle w:val="8"/>
              <w:spacing w:before="39" w:line="219" w:lineRule="auto"/>
              <w:ind w:left="481"/>
            </w:pPr>
            <w:r>
              <w:rPr>
                <w:b/>
                <w:bCs/>
                <w:spacing w:val="-6"/>
              </w:rPr>
              <w:t>1.《中华人民共和国船员条例》</w:t>
            </w:r>
          </w:p>
          <w:p w14:paraId="3B8E1E0C">
            <w:pPr>
              <w:pStyle w:val="8"/>
              <w:spacing w:before="16" w:line="226" w:lineRule="auto"/>
              <w:ind w:left="114" w:right="56" w:firstLine="353"/>
            </w:pPr>
            <w:r>
              <w:rPr>
                <w:spacing w:val="-7"/>
              </w:rPr>
              <w:t>第十五条  在中国籍船舶上工作的外国籍船员，应当依照</w:t>
            </w:r>
            <w:r>
              <w:rPr>
                <w:spacing w:val="-8"/>
              </w:rPr>
              <w:t>法律、行政法规和国家其他有关规定取得就业许可，</w:t>
            </w:r>
            <w:r>
              <w:t xml:space="preserve"> </w:t>
            </w:r>
            <w:r>
              <w:rPr>
                <w:spacing w:val="-4"/>
              </w:rPr>
              <w:t>并持有国务院交通主管部门规定的相应证书和其所属国政府签发的相</w:t>
            </w:r>
            <w:r>
              <w:rPr>
                <w:spacing w:val="-5"/>
              </w:rPr>
              <w:t>关身份证件。</w:t>
            </w:r>
          </w:p>
          <w:p w14:paraId="316D6ED5">
            <w:pPr>
              <w:pStyle w:val="8"/>
              <w:spacing w:before="18" w:line="227" w:lineRule="auto"/>
              <w:ind w:left="113" w:right="100" w:firstLine="354"/>
            </w:pPr>
            <w:r>
              <w:rPr>
                <w:spacing w:val="-5"/>
              </w:rPr>
              <w:t>在中华人民共和国管辖水域航行、停泊、作业的外国籍船舶上任职的外国籍船员，应当持有中华人民共和国</w:t>
            </w:r>
            <w:r>
              <w:rPr>
                <w:spacing w:val="6"/>
              </w:rPr>
              <w:t xml:space="preserve"> </w:t>
            </w:r>
            <w:r>
              <w:rPr>
                <w:spacing w:val="-4"/>
              </w:rPr>
              <w:t>缔结或者加入的国际条  约规定的相应证书和其所属国政府签发的相关身份</w:t>
            </w:r>
            <w:r>
              <w:rPr>
                <w:spacing w:val="-5"/>
              </w:rPr>
              <w:t>证件。</w:t>
            </w:r>
          </w:p>
          <w:p w14:paraId="183273D9">
            <w:pPr>
              <w:pStyle w:val="8"/>
              <w:spacing w:before="20" w:line="234" w:lineRule="auto"/>
              <w:ind w:left="110" w:right="100" w:firstLine="357"/>
            </w:pPr>
            <w:r>
              <w:rPr>
                <w:spacing w:val="-5"/>
              </w:rPr>
              <w:t>第十八条</w:t>
            </w:r>
            <w:r>
              <w:rPr>
                <w:spacing w:val="96"/>
              </w:rPr>
              <w:t xml:space="preserve"> </w:t>
            </w:r>
            <w:r>
              <w:rPr>
                <w:spacing w:val="-5"/>
              </w:rPr>
              <w:t>船长管理和指挥船舶时，应当符合下列要求：(一)保证船舶和船员携带符合法定要求的证书、文</w:t>
            </w:r>
            <w:r>
              <w:t xml:space="preserve"> </w:t>
            </w:r>
            <w:r>
              <w:rPr>
                <w:spacing w:val="-4"/>
              </w:rPr>
              <w:t>书以及有关航行资料；(二)制订船舶应急计划并保</w:t>
            </w:r>
            <w:r>
              <w:rPr>
                <w:spacing w:val="-5"/>
              </w:rPr>
              <w:t>证其有效实施；(三)保证船舶和船员在开航时处于适航、适任</w:t>
            </w:r>
            <w:r>
              <w:t xml:space="preserve"> </w:t>
            </w:r>
            <w:r>
              <w:rPr>
                <w:spacing w:val="-5"/>
              </w:rPr>
              <w:t>状态，按照规定保障船舶的最低安全配员，保证船舶的正常值班；(四)执行海事管理机构有关水上交通安全和防</w:t>
            </w:r>
            <w:r>
              <w:rPr>
                <w:spacing w:val="18"/>
              </w:rPr>
              <w:t xml:space="preserve"> </w:t>
            </w:r>
            <w:r>
              <w:rPr>
                <w:spacing w:val="-5"/>
              </w:rPr>
              <w:t>治船舶污染的指令，船舶发生水上交通事故或者污染事故的，向海事管理机构提交事故报告；(五)对本船船员进</w:t>
            </w:r>
            <w:r>
              <w:rPr>
                <w:spacing w:val="18"/>
              </w:rPr>
              <w:t xml:space="preserve"> </w:t>
            </w:r>
            <w:r>
              <w:rPr>
                <w:spacing w:val="-5"/>
              </w:rPr>
              <w:t>行日常训练和考核，在本船船员的船员服务簿内如实记载船员的履职情况；(六)船舶进港、出港、靠泊、离泊，</w:t>
            </w:r>
            <w:r>
              <w:rPr>
                <w:spacing w:val="18"/>
              </w:rPr>
              <w:t xml:space="preserve"> </w:t>
            </w:r>
            <w:r>
              <w:rPr>
                <w:spacing w:val="-5"/>
              </w:rPr>
              <w:t>通过交通密集区、危险航区等区域，或者遇有恶劣天气和海况，或者发生水上交通事故、船舶污染事故、船舶保</w:t>
            </w:r>
            <w:r>
              <w:rPr>
                <w:spacing w:val="13"/>
              </w:rPr>
              <w:t xml:space="preserve"> </w:t>
            </w:r>
            <w:r>
              <w:rPr>
                <w:spacing w:val="-5"/>
              </w:rPr>
              <w:t>安事件以及其他紧急情况时，应当在驾驶台值班，必要时应当直接指挥船舶；(七)保障船舶上人员和临时上船人</w:t>
            </w:r>
            <w:r>
              <w:rPr>
                <w:spacing w:val="18"/>
              </w:rPr>
              <w:t xml:space="preserve"> </w:t>
            </w:r>
            <w:r>
              <w:rPr>
                <w:spacing w:val="-4"/>
              </w:rPr>
              <w:t>员的安全；(八)船舶发生事故，危及船舶上人员</w:t>
            </w:r>
            <w:r>
              <w:rPr>
                <w:spacing w:val="-5"/>
              </w:rPr>
              <w:t>和财产安全时，应当组织船员和船舶上其他人员尽力施救；(九)</w:t>
            </w:r>
            <w:r>
              <w:t xml:space="preserve"> </w:t>
            </w:r>
            <w:r>
              <w:rPr>
                <w:spacing w:val="-5"/>
              </w:rPr>
              <w:t>弃船时，应当采取一切措施，首先组织旅客安全离船，然后安排船员离船，船长应当最后离船，在离船前，船长</w:t>
            </w:r>
            <w:r>
              <w:rPr>
                <w:spacing w:val="11"/>
              </w:rPr>
              <w:t xml:space="preserve"> </w:t>
            </w:r>
            <w:r>
              <w:rPr>
                <w:spacing w:val="-5"/>
              </w:rPr>
              <w:t>应当指挥船员尽力抢救航海日志、机舱日志、油类记录簿、无线电台日志、本航次使用过的航行图和文件，以及</w:t>
            </w:r>
            <w:r>
              <w:rPr>
                <w:spacing w:val="11"/>
              </w:rPr>
              <w:t xml:space="preserve"> </w:t>
            </w:r>
            <w:r>
              <w:rPr>
                <w:spacing w:val="-4"/>
              </w:rPr>
              <w:t>贵重物品、邮件和现金。</w:t>
            </w:r>
          </w:p>
          <w:p w14:paraId="36EECEB8">
            <w:pPr>
              <w:pStyle w:val="8"/>
              <w:spacing w:before="16" w:line="219" w:lineRule="auto"/>
              <w:ind w:left="468"/>
            </w:pPr>
            <w:r>
              <w:rPr>
                <w:spacing w:val="-4"/>
              </w:rPr>
              <w:t>第二十三条第二款</w:t>
            </w:r>
            <w:r>
              <w:rPr>
                <w:spacing w:val="85"/>
              </w:rPr>
              <w:t xml:space="preserve"> </w:t>
            </w:r>
            <w:r>
              <w:rPr>
                <w:spacing w:val="-4"/>
              </w:rPr>
              <w:t>船员用人单位不得招用未取得本条例规定证件的人员上</w:t>
            </w:r>
            <w:r>
              <w:rPr>
                <w:spacing w:val="-5"/>
              </w:rPr>
              <w:t>船工作。</w:t>
            </w:r>
          </w:p>
          <w:p w14:paraId="0118990A">
            <w:pPr>
              <w:pStyle w:val="8"/>
              <w:spacing w:before="16" w:line="231" w:lineRule="auto"/>
              <w:ind w:left="112" w:right="56" w:firstLine="355"/>
            </w:pPr>
            <w:r>
              <w:rPr>
                <w:spacing w:val="-7"/>
              </w:rPr>
              <w:t>第五十四条  违反本条例的规定，船员用人单位、船舶所</w:t>
            </w:r>
            <w:r>
              <w:rPr>
                <w:spacing w:val="-8"/>
              </w:rPr>
              <w:t>有人有下列行为之一的，由海事管理机构责令改正，</w:t>
            </w:r>
            <w:r>
              <w:t xml:space="preserve"> </w:t>
            </w:r>
            <w:r>
              <w:rPr>
                <w:spacing w:val="-2"/>
              </w:rPr>
              <w:t>处3万元以上15万元以下罚款</w:t>
            </w:r>
            <w:r>
              <w:rPr>
                <w:spacing w:val="-13"/>
              </w:rPr>
              <w:t>：（</w:t>
            </w:r>
            <w:r>
              <w:rPr>
                <w:spacing w:val="-2"/>
              </w:rPr>
              <w:t>一）中国籍船舶擅自招用外国籍船员担任船长的</w:t>
            </w:r>
            <w:r>
              <w:rPr>
                <w:spacing w:val="-13"/>
              </w:rPr>
              <w:t>；（</w:t>
            </w:r>
            <w:r>
              <w:rPr>
                <w:spacing w:val="-2"/>
              </w:rPr>
              <w:t>二）船员在船舶上生活和</w:t>
            </w:r>
            <w:r>
              <w:t xml:space="preserve"> </w:t>
            </w:r>
            <w:r>
              <w:rPr>
                <w:spacing w:val="-3"/>
              </w:rPr>
              <w:t>工作的场所不符合国家船舶检验规范中有关船员生活环境、</w:t>
            </w:r>
            <w:r>
              <w:rPr>
                <w:spacing w:val="-4"/>
              </w:rPr>
              <w:t>作业安全和防护要求的</w:t>
            </w:r>
            <w:r>
              <w:rPr>
                <w:spacing w:val="-18"/>
              </w:rPr>
              <w:t>；（</w:t>
            </w:r>
            <w:r>
              <w:rPr>
                <w:spacing w:val="-4"/>
              </w:rPr>
              <w:t>三）不履行遣返义务的；</w:t>
            </w:r>
          </w:p>
          <w:p w14:paraId="13B8B05C">
            <w:pPr>
              <w:pStyle w:val="8"/>
              <w:spacing w:before="14" w:line="219" w:lineRule="auto"/>
              <w:ind w:left="120"/>
            </w:pPr>
            <w:r>
              <w:rPr>
                <w:spacing w:val="-5"/>
              </w:rPr>
              <w:t>（四）船员在船工作期间患病或者受伤，未及时给予救治的。</w:t>
            </w:r>
          </w:p>
          <w:p w14:paraId="451A0EDC">
            <w:pPr>
              <w:pStyle w:val="8"/>
              <w:spacing w:before="16" w:line="206" w:lineRule="auto"/>
              <w:ind w:left="470"/>
            </w:pPr>
            <w:r>
              <w:rPr>
                <w:b/>
                <w:bCs/>
                <w:spacing w:val="-5"/>
              </w:rPr>
              <w:t>2.《中华人民共和国内河海事行政处罚规定》（交通运输部令2022年第28号）</w:t>
            </w:r>
          </w:p>
          <w:p w14:paraId="13C358FC">
            <w:pPr>
              <w:pStyle w:val="8"/>
              <w:spacing w:before="3" w:line="235" w:lineRule="auto"/>
              <w:ind w:left="111" w:right="100" w:firstLine="356"/>
              <w:jc w:val="both"/>
            </w:pPr>
            <w:r>
              <w:rPr>
                <w:spacing w:val="-5"/>
              </w:rPr>
              <w:t>第十二条</w:t>
            </w:r>
            <w:r>
              <w:rPr>
                <w:spacing w:val="90"/>
                <w:w w:val="101"/>
              </w:rPr>
              <w:t xml:space="preserve"> </w:t>
            </w:r>
            <w:r>
              <w:rPr>
                <w:spacing w:val="-5"/>
              </w:rPr>
              <w:t>违反《</w:t>
            </w:r>
            <w:r>
              <w:fldChar w:fldCharType="begin"/>
            </w:r>
            <w:r>
              <w:instrText xml:space="preserve"> HYPERLINK "https://www.pkulaw.com/chl/4ec1101dd6552414bdfb.html" </w:instrText>
            </w:r>
            <w:r>
              <w:fldChar w:fldCharType="separate"/>
            </w:r>
            <w:r>
              <w:rPr>
                <w:spacing w:val="-5"/>
              </w:rPr>
              <w:t>船员条例</w:t>
            </w:r>
            <w:r>
              <w:rPr>
                <w:spacing w:val="-5"/>
              </w:rPr>
              <w:fldChar w:fldCharType="end"/>
            </w:r>
            <w:r>
              <w:rPr>
                <w:spacing w:val="-5"/>
              </w:rPr>
              <w:t>》</w:t>
            </w:r>
            <w:r>
              <w:fldChar w:fldCharType="begin"/>
            </w:r>
            <w:r>
              <w:instrText xml:space="preserve"> HYPERLINK "https://www.pkulaw.com/chl/4ec1101dd6552414bdfb.html" </w:instrText>
            </w:r>
            <w:r>
              <w:fldChar w:fldCharType="separate"/>
            </w:r>
            <w:r>
              <w:rPr>
                <w:spacing w:val="-5"/>
              </w:rPr>
              <w:t>第十五条</w:t>
            </w:r>
            <w:r>
              <w:rPr>
                <w:spacing w:val="-5"/>
              </w:rPr>
              <w:fldChar w:fldCharType="end"/>
            </w:r>
            <w:r>
              <w:rPr>
                <w:spacing w:val="-5"/>
              </w:rPr>
              <w:t>的规定，船员用人单位、船舶所有人有下列未按照规定招用外国籍船</w:t>
            </w:r>
            <w:r>
              <w:t xml:space="preserve"> </w:t>
            </w:r>
            <w:r>
              <w:rPr>
                <w:spacing w:val="-3"/>
              </w:rPr>
              <w:t>员在中国籍船舶上任职情形的，依照《</w:t>
            </w:r>
            <w:r>
              <w:fldChar w:fldCharType="begin"/>
            </w:r>
            <w:r>
              <w:instrText xml:space="preserve"> HYPERLINK "https://www.pkulaw.com/chl/4ec1101dd6552414bdfb.html" </w:instrText>
            </w:r>
            <w:r>
              <w:fldChar w:fldCharType="separate"/>
            </w:r>
            <w:r>
              <w:rPr>
                <w:spacing w:val="-3"/>
              </w:rPr>
              <w:t>船员条例</w:t>
            </w:r>
            <w:r>
              <w:rPr>
                <w:spacing w:val="-3"/>
              </w:rPr>
              <w:fldChar w:fldCharType="end"/>
            </w:r>
            <w:r>
              <w:rPr>
                <w:spacing w:val="-3"/>
              </w:rPr>
              <w:t>》第</w:t>
            </w:r>
            <w:r>
              <w:fldChar w:fldCharType="begin"/>
            </w:r>
            <w:r>
              <w:instrText xml:space="preserve"> HYPERLINK "https://www.pkulaw.com/chl/4ec1101dd6552414bdfb.html" </w:instrText>
            </w:r>
            <w:r>
              <w:fldChar w:fldCharType="separate"/>
            </w:r>
            <w:r>
              <w:rPr>
                <w:spacing w:val="-3"/>
              </w:rPr>
              <w:t>五十五条</w:t>
            </w:r>
            <w:r>
              <w:rPr>
                <w:spacing w:val="-3"/>
              </w:rPr>
              <w:fldChar w:fldCharType="end"/>
            </w:r>
            <w:r>
              <w:rPr>
                <w:spacing w:val="-3"/>
              </w:rPr>
              <w:t>的规定，责令改正，处以3万元以上15万元以下罚</w:t>
            </w:r>
            <w:r>
              <w:rPr>
                <w:spacing w:val="8"/>
              </w:rPr>
              <w:t xml:space="preserve"> </w:t>
            </w:r>
            <w:r>
              <w:rPr>
                <w:spacing w:val="-3"/>
              </w:rPr>
              <w:t>款</w:t>
            </w:r>
            <w:r>
              <w:rPr>
                <w:spacing w:val="-22"/>
              </w:rPr>
              <w:t>：（</w:t>
            </w:r>
            <w:r>
              <w:rPr>
                <w:spacing w:val="-3"/>
              </w:rPr>
              <w:t>一）未依照法律、行政法规和国家其他规定取得就业许可</w:t>
            </w:r>
            <w:r>
              <w:rPr>
                <w:spacing w:val="-22"/>
              </w:rPr>
              <w:t>；（</w:t>
            </w:r>
            <w:r>
              <w:rPr>
                <w:spacing w:val="-3"/>
              </w:rPr>
              <w:t>二）未持有</w:t>
            </w:r>
            <w:r>
              <w:rPr>
                <w:spacing w:val="-4"/>
              </w:rPr>
              <w:t>合格的且签发国与我国签订了船</w:t>
            </w:r>
            <w:r>
              <w:rPr>
                <w:spacing w:val="2"/>
              </w:rPr>
              <w:t xml:space="preserve"> </w:t>
            </w:r>
            <w:r>
              <w:rPr>
                <w:spacing w:val="-4"/>
              </w:rPr>
              <w:t>员证书认可协议的船员证书。</w:t>
            </w:r>
          </w:p>
        </w:tc>
        <w:tc>
          <w:tcPr>
            <w:tcW w:w="1043" w:type="dxa"/>
            <w:vAlign w:val="top"/>
          </w:tcPr>
          <w:p w14:paraId="076FD949">
            <w:pPr>
              <w:spacing w:line="247" w:lineRule="auto"/>
              <w:rPr>
                <w:rFonts w:ascii="Arial"/>
                <w:sz w:val="21"/>
              </w:rPr>
            </w:pPr>
          </w:p>
          <w:p w14:paraId="75C04A70">
            <w:pPr>
              <w:spacing w:line="247" w:lineRule="auto"/>
              <w:rPr>
                <w:rFonts w:ascii="Arial"/>
                <w:sz w:val="21"/>
              </w:rPr>
            </w:pPr>
          </w:p>
          <w:p w14:paraId="118D376C">
            <w:pPr>
              <w:spacing w:line="247" w:lineRule="auto"/>
              <w:rPr>
                <w:rFonts w:ascii="Arial"/>
                <w:sz w:val="21"/>
              </w:rPr>
            </w:pPr>
          </w:p>
          <w:p w14:paraId="5E31F9C2">
            <w:pPr>
              <w:spacing w:line="247" w:lineRule="auto"/>
              <w:rPr>
                <w:rFonts w:ascii="Arial"/>
                <w:sz w:val="21"/>
              </w:rPr>
            </w:pPr>
          </w:p>
          <w:p w14:paraId="18DE5CD3">
            <w:pPr>
              <w:spacing w:line="247" w:lineRule="auto"/>
              <w:rPr>
                <w:rFonts w:ascii="Arial"/>
                <w:sz w:val="21"/>
              </w:rPr>
            </w:pPr>
          </w:p>
          <w:p w14:paraId="267E6820">
            <w:pPr>
              <w:spacing w:line="247" w:lineRule="auto"/>
              <w:rPr>
                <w:rFonts w:ascii="Arial"/>
                <w:sz w:val="21"/>
              </w:rPr>
            </w:pPr>
          </w:p>
          <w:p w14:paraId="061065BB">
            <w:pPr>
              <w:spacing w:line="247" w:lineRule="auto"/>
              <w:rPr>
                <w:rFonts w:ascii="Arial"/>
                <w:sz w:val="21"/>
              </w:rPr>
            </w:pPr>
          </w:p>
          <w:p w14:paraId="0E8917F7">
            <w:pPr>
              <w:spacing w:line="247" w:lineRule="auto"/>
              <w:rPr>
                <w:rFonts w:ascii="Arial"/>
                <w:sz w:val="21"/>
              </w:rPr>
            </w:pPr>
          </w:p>
          <w:p w14:paraId="4FCA971A">
            <w:pPr>
              <w:spacing w:line="248" w:lineRule="auto"/>
              <w:rPr>
                <w:rFonts w:ascii="Arial"/>
                <w:sz w:val="21"/>
              </w:rPr>
            </w:pPr>
          </w:p>
          <w:p w14:paraId="3FD21916">
            <w:pPr>
              <w:spacing w:line="248" w:lineRule="auto"/>
              <w:rPr>
                <w:rFonts w:ascii="Arial"/>
                <w:sz w:val="21"/>
              </w:rPr>
            </w:pPr>
          </w:p>
          <w:p w14:paraId="77C32237">
            <w:pPr>
              <w:spacing w:line="248" w:lineRule="auto"/>
              <w:rPr>
                <w:rFonts w:ascii="Arial"/>
                <w:sz w:val="21"/>
              </w:rPr>
            </w:pPr>
          </w:p>
          <w:p w14:paraId="105BAB8B">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5311B0FA">
            <w:pPr>
              <w:spacing w:line="258" w:lineRule="auto"/>
              <w:rPr>
                <w:rFonts w:ascii="Arial"/>
                <w:sz w:val="21"/>
              </w:rPr>
            </w:pPr>
          </w:p>
          <w:p w14:paraId="15AA6587">
            <w:pPr>
              <w:spacing w:line="258" w:lineRule="auto"/>
              <w:rPr>
                <w:rFonts w:ascii="Arial"/>
                <w:sz w:val="21"/>
              </w:rPr>
            </w:pPr>
          </w:p>
          <w:p w14:paraId="045B1499">
            <w:pPr>
              <w:spacing w:line="258" w:lineRule="auto"/>
              <w:rPr>
                <w:rFonts w:ascii="Arial"/>
                <w:sz w:val="21"/>
              </w:rPr>
            </w:pPr>
          </w:p>
          <w:p w14:paraId="6D3BFD2B">
            <w:pPr>
              <w:spacing w:line="258" w:lineRule="auto"/>
              <w:rPr>
                <w:rFonts w:ascii="Arial"/>
                <w:sz w:val="21"/>
              </w:rPr>
            </w:pPr>
          </w:p>
          <w:p w14:paraId="0F9B085C">
            <w:pPr>
              <w:spacing w:line="258" w:lineRule="auto"/>
              <w:rPr>
                <w:rFonts w:ascii="Arial"/>
                <w:sz w:val="21"/>
              </w:rPr>
            </w:pPr>
          </w:p>
          <w:p w14:paraId="1E73025C">
            <w:pPr>
              <w:spacing w:line="258" w:lineRule="auto"/>
              <w:rPr>
                <w:rFonts w:ascii="Arial"/>
                <w:sz w:val="21"/>
              </w:rPr>
            </w:pPr>
          </w:p>
          <w:p w14:paraId="066D98EA">
            <w:pPr>
              <w:spacing w:line="258" w:lineRule="auto"/>
              <w:rPr>
                <w:rFonts w:ascii="Arial"/>
                <w:sz w:val="21"/>
              </w:rPr>
            </w:pPr>
          </w:p>
          <w:p w14:paraId="5B101D16">
            <w:pPr>
              <w:spacing w:line="258" w:lineRule="auto"/>
              <w:rPr>
                <w:rFonts w:ascii="Arial"/>
                <w:sz w:val="21"/>
              </w:rPr>
            </w:pPr>
          </w:p>
          <w:p w14:paraId="4445E8F5">
            <w:pPr>
              <w:spacing w:line="258" w:lineRule="auto"/>
              <w:rPr>
                <w:rFonts w:ascii="Arial"/>
                <w:sz w:val="21"/>
              </w:rPr>
            </w:pPr>
          </w:p>
          <w:p w14:paraId="04F07F8B">
            <w:pPr>
              <w:spacing w:line="259" w:lineRule="auto"/>
              <w:rPr>
                <w:rFonts w:ascii="Arial"/>
                <w:sz w:val="21"/>
              </w:rPr>
            </w:pPr>
          </w:p>
          <w:p w14:paraId="760EFEE3">
            <w:pPr>
              <w:spacing w:line="259" w:lineRule="auto"/>
              <w:rPr>
                <w:rFonts w:ascii="Arial"/>
                <w:sz w:val="21"/>
              </w:rPr>
            </w:pPr>
          </w:p>
          <w:p w14:paraId="35866BA7">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DBA1335">
            <w:pPr>
              <w:spacing w:line="248" w:lineRule="auto"/>
              <w:rPr>
                <w:rFonts w:ascii="Arial"/>
                <w:sz w:val="21"/>
              </w:rPr>
            </w:pPr>
          </w:p>
          <w:p w14:paraId="0F7A4CBF">
            <w:pPr>
              <w:spacing w:line="248" w:lineRule="auto"/>
              <w:rPr>
                <w:rFonts w:ascii="Arial"/>
                <w:sz w:val="21"/>
              </w:rPr>
            </w:pPr>
          </w:p>
          <w:p w14:paraId="6D18D133">
            <w:pPr>
              <w:spacing w:line="248" w:lineRule="auto"/>
              <w:rPr>
                <w:rFonts w:ascii="Arial"/>
                <w:sz w:val="21"/>
              </w:rPr>
            </w:pPr>
          </w:p>
          <w:p w14:paraId="7E521417">
            <w:pPr>
              <w:spacing w:line="248" w:lineRule="auto"/>
              <w:rPr>
                <w:rFonts w:ascii="Arial"/>
                <w:sz w:val="21"/>
              </w:rPr>
            </w:pPr>
          </w:p>
          <w:p w14:paraId="2EAF083E">
            <w:pPr>
              <w:spacing w:line="248" w:lineRule="auto"/>
              <w:rPr>
                <w:rFonts w:ascii="Arial"/>
                <w:sz w:val="21"/>
              </w:rPr>
            </w:pPr>
          </w:p>
          <w:p w14:paraId="422AF6AE">
            <w:pPr>
              <w:spacing w:line="248" w:lineRule="auto"/>
              <w:rPr>
                <w:rFonts w:ascii="Arial"/>
                <w:sz w:val="21"/>
              </w:rPr>
            </w:pPr>
          </w:p>
          <w:p w14:paraId="4BEBD377">
            <w:pPr>
              <w:spacing w:line="248" w:lineRule="auto"/>
              <w:rPr>
                <w:rFonts w:ascii="Arial"/>
                <w:sz w:val="21"/>
              </w:rPr>
            </w:pPr>
          </w:p>
          <w:p w14:paraId="252BFC83">
            <w:pPr>
              <w:spacing w:line="249" w:lineRule="auto"/>
              <w:rPr>
                <w:rFonts w:ascii="Arial"/>
                <w:sz w:val="21"/>
              </w:rPr>
            </w:pPr>
          </w:p>
          <w:p w14:paraId="5C59D9E2">
            <w:pPr>
              <w:spacing w:line="249" w:lineRule="auto"/>
              <w:rPr>
                <w:rFonts w:ascii="Arial"/>
                <w:sz w:val="21"/>
              </w:rPr>
            </w:pPr>
          </w:p>
          <w:p w14:paraId="71995EBE">
            <w:pPr>
              <w:spacing w:line="249" w:lineRule="auto"/>
              <w:rPr>
                <w:rFonts w:ascii="Arial"/>
                <w:sz w:val="21"/>
              </w:rPr>
            </w:pPr>
          </w:p>
          <w:p w14:paraId="1E46A97C">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6E79E039">
      <w:pPr>
        <w:pStyle w:val="2"/>
      </w:pPr>
    </w:p>
    <w:p w14:paraId="0921C879">
      <w:pPr>
        <w:sectPr>
          <w:footerReference r:id="rId185" w:type="default"/>
          <w:pgSz w:w="16839" w:h="11906"/>
          <w:pgMar w:top="1012" w:right="788" w:bottom="967" w:left="787" w:header="0" w:footer="768" w:gutter="0"/>
          <w:cols w:space="720" w:num="1"/>
        </w:sectPr>
      </w:pPr>
    </w:p>
    <w:p w14:paraId="12C45483">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3B30B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7FB64F43">
            <w:pPr>
              <w:pStyle w:val="8"/>
              <w:spacing w:before="267" w:line="221" w:lineRule="auto"/>
              <w:ind w:left="142"/>
            </w:pPr>
            <w:r>
              <w:rPr>
                <w:b/>
                <w:bCs/>
                <w:spacing w:val="-4"/>
              </w:rPr>
              <w:t>序号</w:t>
            </w:r>
          </w:p>
        </w:tc>
        <w:tc>
          <w:tcPr>
            <w:tcW w:w="1136" w:type="dxa"/>
            <w:vMerge w:val="restart"/>
            <w:tcBorders>
              <w:bottom w:val="nil"/>
            </w:tcBorders>
            <w:vAlign w:val="top"/>
          </w:tcPr>
          <w:p w14:paraId="58BE2E2B">
            <w:pPr>
              <w:pStyle w:val="8"/>
              <w:spacing w:before="267" w:line="220" w:lineRule="auto"/>
              <w:ind w:left="208"/>
            </w:pPr>
            <w:r>
              <w:rPr>
                <w:b/>
                <w:bCs/>
                <w:spacing w:val="-4"/>
              </w:rPr>
              <w:t>事项名称</w:t>
            </w:r>
          </w:p>
        </w:tc>
        <w:tc>
          <w:tcPr>
            <w:tcW w:w="1136" w:type="dxa"/>
            <w:vMerge w:val="restart"/>
            <w:tcBorders>
              <w:bottom w:val="nil"/>
            </w:tcBorders>
            <w:vAlign w:val="top"/>
          </w:tcPr>
          <w:p w14:paraId="6CC3CCBE">
            <w:pPr>
              <w:pStyle w:val="8"/>
              <w:spacing w:before="267" w:line="219" w:lineRule="auto"/>
              <w:ind w:left="210"/>
            </w:pPr>
            <w:r>
              <w:rPr>
                <w:b/>
                <w:bCs/>
                <w:spacing w:val="-4"/>
              </w:rPr>
              <w:t>职权类型</w:t>
            </w:r>
          </w:p>
        </w:tc>
        <w:tc>
          <w:tcPr>
            <w:tcW w:w="8806" w:type="dxa"/>
            <w:vMerge w:val="restart"/>
            <w:tcBorders>
              <w:bottom w:val="nil"/>
            </w:tcBorders>
            <w:vAlign w:val="top"/>
          </w:tcPr>
          <w:p w14:paraId="76031615">
            <w:pPr>
              <w:pStyle w:val="8"/>
              <w:spacing w:before="267" w:line="219" w:lineRule="auto"/>
              <w:ind w:left="4050"/>
            </w:pPr>
            <w:r>
              <w:rPr>
                <w:b/>
                <w:bCs/>
                <w:spacing w:val="-5"/>
              </w:rPr>
              <w:t>实施依据</w:t>
            </w:r>
          </w:p>
        </w:tc>
        <w:tc>
          <w:tcPr>
            <w:tcW w:w="3538" w:type="dxa"/>
            <w:gridSpan w:val="3"/>
            <w:vAlign w:val="top"/>
          </w:tcPr>
          <w:p w14:paraId="7FDBF415">
            <w:pPr>
              <w:pStyle w:val="8"/>
              <w:spacing w:before="92" w:line="220" w:lineRule="auto"/>
              <w:ind w:left="1415"/>
            </w:pPr>
            <w:r>
              <w:rPr>
                <w:b/>
                <w:bCs/>
                <w:spacing w:val="-5"/>
              </w:rPr>
              <w:t>实施主体</w:t>
            </w:r>
          </w:p>
        </w:tc>
      </w:tr>
      <w:tr w14:paraId="4D177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522D0C37">
            <w:pPr>
              <w:rPr>
                <w:rFonts w:ascii="Arial"/>
                <w:sz w:val="21"/>
              </w:rPr>
            </w:pPr>
          </w:p>
        </w:tc>
        <w:tc>
          <w:tcPr>
            <w:tcW w:w="1136" w:type="dxa"/>
            <w:vMerge w:val="continue"/>
            <w:tcBorders>
              <w:top w:val="nil"/>
            </w:tcBorders>
            <w:vAlign w:val="top"/>
          </w:tcPr>
          <w:p w14:paraId="112C8DC1">
            <w:pPr>
              <w:rPr>
                <w:rFonts w:ascii="Arial"/>
                <w:sz w:val="21"/>
              </w:rPr>
            </w:pPr>
          </w:p>
        </w:tc>
        <w:tc>
          <w:tcPr>
            <w:tcW w:w="1136" w:type="dxa"/>
            <w:vMerge w:val="continue"/>
            <w:tcBorders>
              <w:top w:val="nil"/>
            </w:tcBorders>
            <w:vAlign w:val="top"/>
          </w:tcPr>
          <w:p w14:paraId="1A3C7983">
            <w:pPr>
              <w:rPr>
                <w:rFonts w:ascii="Arial"/>
                <w:sz w:val="21"/>
              </w:rPr>
            </w:pPr>
          </w:p>
        </w:tc>
        <w:tc>
          <w:tcPr>
            <w:tcW w:w="8806" w:type="dxa"/>
            <w:vMerge w:val="continue"/>
            <w:tcBorders>
              <w:top w:val="nil"/>
            </w:tcBorders>
            <w:vAlign w:val="top"/>
          </w:tcPr>
          <w:p w14:paraId="0FBE4402">
            <w:pPr>
              <w:rPr>
                <w:rFonts w:ascii="Arial"/>
                <w:sz w:val="21"/>
              </w:rPr>
            </w:pPr>
          </w:p>
        </w:tc>
        <w:tc>
          <w:tcPr>
            <w:tcW w:w="1043" w:type="dxa"/>
            <w:vAlign w:val="top"/>
          </w:tcPr>
          <w:p w14:paraId="67D34E51">
            <w:pPr>
              <w:pStyle w:val="8"/>
              <w:spacing w:before="88" w:line="219" w:lineRule="auto"/>
              <w:ind w:left="171"/>
            </w:pPr>
            <w:r>
              <w:rPr>
                <w:b/>
                <w:bCs/>
                <w:spacing w:val="-5"/>
              </w:rPr>
              <w:t>责任部门</w:t>
            </w:r>
          </w:p>
        </w:tc>
        <w:tc>
          <w:tcPr>
            <w:tcW w:w="1448" w:type="dxa"/>
            <w:vAlign w:val="top"/>
          </w:tcPr>
          <w:p w14:paraId="1478BA6E">
            <w:pPr>
              <w:pStyle w:val="8"/>
              <w:spacing w:before="88" w:line="219" w:lineRule="auto"/>
              <w:ind w:left="187"/>
            </w:pPr>
            <w:r>
              <w:rPr>
                <w:b/>
                <w:bCs/>
                <w:spacing w:val="-3"/>
              </w:rPr>
              <w:t>第一责任层级</w:t>
            </w:r>
          </w:p>
        </w:tc>
        <w:tc>
          <w:tcPr>
            <w:tcW w:w="1047" w:type="dxa"/>
            <w:vAlign w:val="top"/>
          </w:tcPr>
          <w:p w14:paraId="179F83A7">
            <w:pPr>
              <w:pStyle w:val="8"/>
              <w:spacing w:before="88" w:line="219" w:lineRule="auto"/>
              <w:ind w:left="165"/>
            </w:pPr>
            <w:r>
              <w:rPr>
                <w:b/>
                <w:bCs/>
                <w:spacing w:val="-4"/>
              </w:rPr>
              <w:t>承办机构</w:t>
            </w:r>
          </w:p>
        </w:tc>
      </w:tr>
      <w:tr w14:paraId="6844A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8" w:hRule="atLeast"/>
        </w:trPr>
        <w:tc>
          <w:tcPr>
            <w:tcW w:w="641" w:type="dxa"/>
            <w:vAlign w:val="top"/>
          </w:tcPr>
          <w:p w14:paraId="03A06DCD">
            <w:pPr>
              <w:spacing w:line="252" w:lineRule="auto"/>
              <w:rPr>
                <w:rFonts w:ascii="Arial"/>
                <w:sz w:val="21"/>
              </w:rPr>
            </w:pPr>
          </w:p>
          <w:p w14:paraId="4F49A392">
            <w:pPr>
              <w:spacing w:line="252" w:lineRule="auto"/>
              <w:rPr>
                <w:rFonts w:ascii="Arial"/>
                <w:sz w:val="21"/>
              </w:rPr>
            </w:pPr>
          </w:p>
          <w:p w14:paraId="2BC6CF8C">
            <w:pPr>
              <w:spacing w:line="252" w:lineRule="auto"/>
              <w:rPr>
                <w:rFonts w:ascii="Arial"/>
                <w:sz w:val="21"/>
              </w:rPr>
            </w:pPr>
          </w:p>
          <w:p w14:paraId="4FD111F9">
            <w:pPr>
              <w:spacing w:line="252" w:lineRule="auto"/>
              <w:rPr>
                <w:rFonts w:ascii="Arial"/>
                <w:sz w:val="21"/>
              </w:rPr>
            </w:pPr>
          </w:p>
          <w:p w14:paraId="06E97E1C">
            <w:pPr>
              <w:spacing w:line="252" w:lineRule="auto"/>
              <w:rPr>
                <w:rFonts w:ascii="Arial"/>
                <w:sz w:val="21"/>
              </w:rPr>
            </w:pPr>
          </w:p>
          <w:p w14:paraId="3AA87DD1">
            <w:pPr>
              <w:spacing w:line="252" w:lineRule="auto"/>
              <w:rPr>
                <w:rFonts w:ascii="Arial"/>
                <w:sz w:val="21"/>
              </w:rPr>
            </w:pPr>
          </w:p>
          <w:p w14:paraId="26573D3C">
            <w:pPr>
              <w:spacing w:line="252" w:lineRule="auto"/>
              <w:rPr>
                <w:rFonts w:ascii="Arial"/>
                <w:sz w:val="21"/>
              </w:rPr>
            </w:pPr>
          </w:p>
          <w:p w14:paraId="3EEE815A">
            <w:pPr>
              <w:spacing w:line="252" w:lineRule="auto"/>
              <w:rPr>
                <w:rFonts w:ascii="Arial"/>
                <w:sz w:val="21"/>
              </w:rPr>
            </w:pPr>
          </w:p>
          <w:p w14:paraId="68341C78">
            <w:pPr>
              <w:spacing w:line="252" w:lineRule="auto"/>
              <w:rPr>
                <w:rFonts w:ascii="Arial"/>
                <w:sz w:val="21"/>
              </w:rPr>
            </w:pPr>
          </w:p>
          <w:p w14:paraId="5484B51F">
            <w:pPr>
              <w:spacing w:line="252" w:lineRule="auto"/>
              <w:rPr>
                <w:rFonts w:ascii="Arial"/>
                <w:sz w:val="21"/>
              </w:rPr>
            </w:pPr>
          </w:p>
          <w:p w14:paraId="7E1FB9F5">
            <w:pPr>
              <w:spacing w:line="252" w:lineRule="auto"/>
              <w:rPr>
                <w:rFonts w:ascii="Arial"/>
                <w:sz w:val="21"/>
              </w:rPr>
            </w:pPr>
          </w:p>
          <w:p w14:paraId="4043E7B4">
            <w:pPr>
              <w:spacing w:line="253" w:lineRule="auto"/>
              <w:rPr>
                <w:rFonts w:ascii="Arial"/>
                <w:sz w:val="21"/>
              </w:rPr>
            </w:pPr>
          </w:p>
          <w:p w14:paraId="17E38CCC">
            <w:pPr>
              <w:spacing w:line="253" w:lineRule="auto"/>
              <w:rPr>
                <w:rFonts w:ascii="Arial"/>
                <w:sz w:val="21"/>
              </w:rPr>
            </w:pPr>
          </w:p>
          <w:p w14:paraId="425E1A8E">
            <w:pPr>
              <w:spacing w:line="253" w:lineRule="auto"/>
              <w:rPr>
                <w:rFonts w:ascii="Arial"/>
                <w:sz w:val="21"/>
              </w:rPr>
            </w:pPr>
          </w:p>
          <w:p w14:paraId="3604A51B">
            <w:pPr>
              <w:spacing w:line="253" w:lineRule="auto"/>
              <w:rPr>
                <w:rFonts w:ascii="Arial"/>
                <w:sz w:val="21"/>
              </w:rPr>
            </w:pPr>
          </w:p>
          <w:p w14:paraId="7CDC217F">
            <w:pPr>
              <w:spacing w:line="253" w:lineRule="auto"/>
              <w:rPr>
                <w:rFonts w:ascii="Arial"/>
                <w:sz w:val="21"/>
              </w:rPr>
            </w:pPr>
          </w:p>
          <w:p w14:paraId="051DB794">
            <w:pPr>
              <w:spacing w:line="253" w:lineRule="auto"/>
              <w:rPr>
                <w:rFonts w:ascii="Arial"/>
                <w:sz w:val="21"/>
              </w:rPr>
            </w:pPr>
          </w:p>
          <w:p w14:paraId="1D6B24EA">
            <w:pPr>
              <w:pStyle w:val="8"/>
              <w:spacing w:before="58" w:line="183" w:lineRule="auto"/>
              <w:ind w:left="238"/>
            </w:pPr>
            <w:r>
              <w:rPr>
                <w:spacing w:val="-5"/>
              </w:rPr>
              <w:t>36</w:t>
            </w:r>
          </w:p>
        </w:tc>
        <w:tc>
          <w:tcPr>
            <w:tcW w:w="1136" w:type="dxa"/>
            <w:vAlign w:val="top"/>
          </w:tcPr>
          <w:p w14:paraId="7D599928">
            <w:pPr>
              <w:spacing w:line="251" w:lineRule="auto"/>
              <w:rPr>
                <w:rFonts w:ascii="Arial"/>
                <w:sz w:val="21"/>
              </w:rPr>
            </w:pPr>
          </w:p>
          <w:p w14:paraId="75724974">
            <w:pPr>
              <w:spacing w:line="251" w:lineRule="auto"/>
              <w:rPr>
                <w:rFonts w:ascii="Arial"/>
                <w:sz w:val="21"/>
              </w:rPr>
            </w:pPr>
          </w:p>
          <w:p w14:paraId="0AF926BE">
            <w:pPr>
              <w:spacing w:line="251" w:lineRule="auto"/>
              <w:rPr>
                <w:rFonts w:ascii="Arial"/>
                <w:sz w:val="21"/>
              </w:rPr>
            </w:pPr>
          </w:p>
          <w:p w14:paraId="25545506">
            <w:pPr>
              <w:spacing w:line="251" w:lineRule="auto"/>
              <w:rPr>
                <w:rFonts w:ascii="Arial"/>
                <w:sz w:val="21"/>
              </w:rPr>
            </w:pPr>
          </w:p>
          <w:p w14:paraId="65C77001">
            <w:pPr>
              <w:spacing w:line="251" w:lineRule="auto"/>
              <w:rPr>
                <w:rFonts w:ascii="Arial"/>
                <w:sz w:val="21"/>
              </w:rPr>
            </w:pPr>
          </w:p>
          <w:p w14:paraId="15B7EEDB">
            <w:pPr>
              <w:spacing w:line="251" w:lineRule="auto"/>
              <w:rPr>
                <w:rFonts w:ascii="Arial"/>
                <w:sz w:val="21"/>
              </w:rPr>
            </w:pPr>
          </w:p>
          <w:p w14:paraId="7B303222">
            <w:pPr>
              <w:spacing w:line="251" w:lineRule="auto"/>
              <w:rPr>
                <w:rFonts w:ascii="Arial"/>
                <w:sz w:val="21"/>
              </w:rPr>
            </w:pPr>
          </w:p>
          <w:p w14:paraId="3052014A">
            <w:pPr>
              <w:spacing w:line="251" w:lineRule="auto"/>
              <w:rPr>
                <w:rFonts w:ascii="Arial"/>
                <w:sz w:val="21"/>
              </w:rPr>
            </w:pPr>
          </w:p>
          <w:p w14:paraId="6A97AC9E">
            <w:pPr>
              <w:spacing w:line="251" w:lineRule="auto"/>
              <w:rPr>
                <w:rFonts w:ascii="Arial"/>
                <w:sz w:val="21"/>
              </w:rPr>
            </w:pPr>
          </w:p>
          <w:p w14:paraId="29C38AEE">
            <w:pPr>
              <w:spacing w:line="251" w:lineRule="auto"/>
              <w:rPr>
                <w:rFonts w:ascii="Arial"/>
                <w:sz w:val="21"/>
              </w:rPr>
            </w:pPr>
          </w:p>
          <w:p w14:paraId="08F309CE">
            <w:pPr>
              <w:spacing w:line="251" w:lineRule="auto"/>
              <w:rPr>
                <w:rFonts w:ascii="Arial"/>
                <w:sz w:val="21"/>
              </w:rPr>
            </w:pPr>
          </w:p>
          <w:p w14:paraId="32ED9A7D">
            <w:pPr>
              <w:spacing w:line="252" w:lineRule="auto"/>
              <w:rPr>
                <w:rFonts w:ascii="Arial"/>
                <w:sz w:val="21"/>
              </w:rPr>
            </w:pPr>
          </w:p>
          <w:p w14:paraId="724875B3">
            <w:pPr>
              <w:spacing w:line="252" w:lineRule="auto"/>
              <w:rPr>
                <w:rFonts w:ascii="Arial"/>
                <w:sz w:val="21"/>
              </w:rPr>
            </w:pPr>
          </w:p>
          <w:p w14:paraId="55DB548E">
            <w:pPr>
              <w:spacing w:line="252" w:lineRule="auto"/>
              <w:rPr>
                <w:rFonts w:ascii="Arial"/>
                <w:sz w:val="21"/>
              </w:rPr>
            </w:pPr>
          </w:p>
          <w:p w14:paraId="46FB3CC6">
            <w:pPr>
              <w:spacing w:line="252" w:lineRule="auto"/>
              <w:rPr>
                <w:rFonts w:ascii="Arial"/>
                <w:sz w:val="21"/>
              </w:rPr>
            </w:pPr>
          </w:p>
          <w:p w14:paraId="400E9AF9">
            <w:pPr>
              <w:spacing w:line="252" w:lineRule="auto"/>
              <w:rPr>
                <w:rFonts w:ascii="Arial"/>
                <w:sz w:val="21"/>
              </w:rPr>
            </w:pPr>
          </w:p>
          <w:p w14:paraId="0247D780">
            <w:pPr>
              <w:pStyle w:val="8"/>
              <w:spacing w:before="59" w:line="238" w:lineRule="auto"/>
              <w:ind w:left="109" w:right="104"/>
              <w:jc w:val="both"/>
            </w:pPr>
            <w:r>
              <w:rPr>
                <w:spacing w:val="3"/>
              </w:rPr>
              <w:t>对擅自从事</w:t>
            </w:r>
            <w:r>
              <w:rPr>
                <w:spacing w:val="1"/>
              </w:rPr>
              <w:t xml:space="preserve"> </w:t>
            </w:r>
            <w:r>
              <w:rPr>
                <w:spacing w:val="3"/>
              </w:rPr>
              <w:t>船员培训的</w:t>
            </w:r>
            <w:r>
              <w:t xml:space="preserve"> </w:t>
            </w:r>
            <w:r>
              <w:rPr>
                <w:spacing w:val="-4"/>
              </w:rPr>
              <w:t>行政处罚</w:t>
            </w:r>
          </w:p>
        </w:tc>
        <w:tc>
          <w:tcPr>
            <w:tcW w:w="1136" w:type="dxa"/>
            <w:vAlign w:val="top"/>
          </w:tcPr>
          <w:p w14:paraId="7E38B633">
            <w:pPr>
              <w:spacing w:line="250" w:lineRule="auto"/>
              <w:rPr>
                <w:rFonts w:ascii="Arial"/>
                <w:sz w:val="21"/>
              </w:rPr>
            </w:pPr>
          </w:p>
          <w:p w14:paraId="06C81E57">
            <w:pPr>
              <w:spacing w:line="250" w:lineRule="auto"/>
              <w:rPr>
                <w:rFonts w:ascii="Arial"/>
                <w:sz w:val="21"/>
              </w:rPr>
            </w:pPr>
          </w:p>
          <w:p w14:paraId="089E199E">
            <w:pPr>
              <w:spacing w:line="250" w:lineRule="auto"/>
              <w:rPr>
                <w:rFonts w:ascii="Arial"/>
                <w:sz w:val="21"/>
              </w:rPr>
            </w:pPr>
          </w:p>
          <w:p w14:paraId="742713CA">
            <w:pPr>
              <w:spacing w:line="250" w:lineRule="auto"/>
              <w:rPr>
                <w:rFonts w:ascii="Arial"/>
                <w:sz w:val="21"/>
              </w:rPr>
            </w:pPr>
          </w:p>
          <w:p w14:paraId="741305C6">
            <w:pPr>
              <w:spacing w:line="250" w:lineRule="auto"/>
              <w:rPr>
                <w:rFonts w:ascii="Arial"/>
                <w:sz w:val="21"/>
              </w:rPr>
            </w:pPr>
          </w:p>
          <w:p w14:paraId="11771124">
            <w:pPr>
              <w:spacing w:line="250" w:lineRule="auto"/>
              <w:rPr>
                <w:rFonts w:ascii="Arial"/>
                <w:sz w:val="21"/>
              </w:rPr>
            </w:pPr>
          </w:p>
          <w:p w14:paraId="1E1DA32A">
            <w:pPr>
              <w:spacing w:line="251" w:lineRule="auto"/>
              <w:rPr>
                <w:rFonts w:ascii="Arial"/>
                <w:sz w:val="21"/>
              </w:rPr>
            </w:pPr>
          </w:p>
          <w:p w14:paraId="42B9051A">
            <w:pPr>
              <w:spacing w:line="251" w:lineRule="auto"/>
              <w:rPr>
                <w:rFonts w:ascii="Arial"/>
                <w:sz w:val="21"/>
              </w:rPr>
            </w:pPr>
          </w:p>
          <w:p w14:paraId="56B8A128">
            <w:pPr>
              <w:spacing w:line="251" w:lineRule="auto"/>
              <w:rPr>
                <w:rFonts w:ascii="Arial"/>
                <w:sz w:val="21"/>
              </w:rPr>
            </w:pPr>
          </w:p>
          <w:p w14:paraId="2ADCCA3F">
            <w:pPr>
              <w:spacing w:line="251" w:lineRule="auto"/>
              <w:rPr>
                <w:rFonts w:ascii="Arial"/>
                <w:sz w:val="21"/>
              </w:rPr>
            </w:pPr>
          </w:p>
          <w:p w14:paraId="7FFBD18B">
            <w:pPr>
              <w:spacing w:line="251" w:lineRule="auto"/>
              <w:rPr>
                <w:rFonts w:ascii="Arial"/>
                <w:sz w:val="21"/>
              </w:rPr>
            </w:pPr>
          </w:p>
          <w:p w14:paraId="235E8719">
            <w:pPr>
              <w:spacing w:line="251" w:lineRule="auto"/>
              <w:rPr>
                <w:rFonts w:ascii="Arial"/>
                <w:sz w:val="21"/>
              </w:rPr>
            </w:pPr>
          </w:p>
          <w:p w14:paraId="49212EDC">
            <w:pPr>
              <w:spacing w:line="251" w:lineRule="auto"/>
              <w:rPr>
                <w:rFonts w:ascii="Arial"/>
                <w:sz w:val="21"/>
              </w:rPr>
            </w:pPr>
          </w:p>
          <w:p w14:paraId="7D649110">
            <w:pPr>
              <w:spacing w:line="251" w:lineRule="auto"/>
              <w:rPr>
                <w:rFonts w:ascii="Arial"/>
                <w:sz w:val="21"/>
              </w:rPr>
            </w:pPr>
          </w:p>
          <w:p w14:paraId="048A729F">
            <w:pPr>
              <w:spacing w:line="251" w:lineRule="auto"/>
              <w:rPr>
                <w:rFonts w:ascii="Arial"/>
                <w:sz w:val="21"/>
              </w:rPr>
            </w:pPr>
          </w:p>
          <w:p w14:paraId="324D0BE0">
            <w:pPr>
              <w:spacing w:line="251" w:lineRule="auto"/>
              <w:rPr>
                <w:rFonts w:ascii="Arial"/>
                <w:sz w:val="21"/>
              </w:rPr>
            </w:pPr>
          </w:p>
          <w:p w14:paraId="1F29E2AD">
            <w:pPr>
              <w:spacing w:line="251" w:lineRule="auto"/>
              <w:rPr>
                <w:rFonts w:ascii="Arial"/>
                <w:sz w:val="21"/>
              </w:rPr>
            </w:pPr>
          </w:p>
          <w:p w14:paraId="4175462D">
            <w:pPr>
              <w:pStyle w:val="8"/>
              <w:spacing w:before="59" w:line="220" w:lineRule="auto"/>
              <w:ind w:left="114"/>
            </w:pPr>
            <w:r>
              <w:rPr>
                <w:spacing w:val="-7"/>
              </w:rPr>
              <w:t>行政处罚</w:t>
            </w:r>
          </w:p>
        </w:tc>
        <w:tc>
          <w:tcPr>
            <w:tcW w:w="8806" w:type="dxa"/>
            <w:vAlign w:val="top"/>
          </w:tcPr>
          <w:p w14:paraId="327D5F1D">
            <w:pPr>
              <w:spacing w:line="282" w:lineRule="auto"/>
              <w:rPr>
                <w:rFonts w:ascii="Arial"/>
                <w:sz w:val="21"/>
              </w:rPr>
            </w:pPr>
          </w:p>
          <w:p w14:paraId="6C2CDD01">
            <w:pPr>
              <w:spacing w:line="282" w:lineRule="auto"/>
              <w:rPr>
                <w:rFonts w:ascii="Arial"/>
                <w:sz w:val="21"/>
              </w:rPr>
            </w:pPr>
          </w:p>
          <w:p w14:paraId="02B67ACF">
            <w:pPr>
              <w:pStyle w:val="8"/>
              <w:spacing w:before="59" w:line="219" w:lineRule="auto"/>
              <w:ind w:left="476"/>
            </w:pPr>
            <w:r>
              <w:rPr>
                <w:b/>
                <w:bCs/>
                <w:spacing w:val="-6"/>
              </w:rPr>
              <w:t>1.《中华人民共和国船员条例》</w:t>
            </w:r>
          </w:p>
          <w:p w14:paraId="678D5EA1">
            <w:pPr>
              <w:pStyle w:val="8"/>
              <w:spacing w:before="27" w:line="237" w:lineRule="auto"/>
              <w:ind w:left="109" w:right="100" w:firstLine="353"/>
            </w:pPr>
            <w:r>
              <w:rPr>
                <w:spacing w:val="-4"/>
              </w:rPr>
              <w:t>第三十二条  依法设立的培训机构从事船员</w:t>
            </w:r>
            <w:r>
              <w:rPr>
                <w:spacing w:val="-5"/>
              </w:rPr>
              <w:t>培训，应当符合下列条件：(一)有符合船员培训要求的场地、设</w:t>
            </w:r>
            <w:r>
              <w:t xml:space="preserve"> </w:t>
            </w:r>
            <w:r>
              <w:rPr>
                <w:spacing w:val="-6"/>
              </w:rPr>
              <w:t>施和设备；</w:t>
            </w:r>
            <w:r>
              <w:rPr>
                <w:spacing w:val="-51"/>
              </w:rPr>
              <w:t xml:space="preserve"> </w:t>
            </w:r>
            <w:r>
              <w:rPr>
                <w:spacing w:val="-6"/>
              </w:rPr>
              <w:t>(二)有与船员培训相适应的教学人员、管理人员；</w:t>
            </w:r>
            <w:r>
              <w:rPr>
                <w:spacing w:val="-54"/>
              </w:rPr>
              <w:t xml:space="preserve"> </w:t>
            </w:r>
            <w:r>
              <w:rPr>
                <w:spacing w:val="-6"/>
              </w:rPr>
              <w:t>(三)有健全的船员培训管理制度、安全防护制度；</w:t>
            </w:r>
            <w:r>
              <w:t xml:space="preserve"> </w:t>
            </w:r>
            <w:r>
              <w:rPr>
                <w:spacing w:val="-4"/>
              </w:rPr>
              <w:t>(四)有符合国务院交通主管部门规定的船员培训质量控制体系。</w:t>
            </w:r>
          </w:p>
          <w:p w14:paraId="21DFA4E8">
            <w:pPr>
              <w:pStyle w:val="8"/>
              <w:spacing w:before="24" w:line="233" w:lineRule="auto"/>
              <w:ind w:left="111" w:right="100" w:firstLine="352"/>
            </w:pPr>
            <w:r>
              <w:rPr>
                <w:spacing w:val="-5"/>
              </w:rPr>
              <w:t>第三十三条第一款  依法设立的培训机构从事船员培训业务，应当向国家海事管理机构提出申请，并附送符</w:t>
            </w:r>
            <w:r>
              <w:rPr>
                <w:spacing w:val="15"/>
              </w:rPr>
              <w:t xml:space="preserve"> </w:t>
            </w:r>
            <w:r>
              <w:rPr>
                <w:spacing w:val="-4"/>
              </w:rPr>
              <w:t>合本条例第三十二条规定条件的证明材料。</w:t>
            </w:r>
          </w:p>
          <w:p w14:paraId="279CC2DE">
            <w:pPr>
              <w:pStyle w:val="8"/>
              <w:spacing w:before="26" w:line="233" w:lineRule="auto"/>
              <w:ind w:left="114" w:right="119" w:firstLine="349"/>
            </w:pPr>
            <w:r>
              <w:rPr>
                <w:spacing w:val="-5"/>
              </w:rPr>
              <w:t>第五十五条  违反本条例的规定，未取得船员培训许可证擅自从事船员培训的，由海事管理机构责令</w:t>
            </w:r>
            <w:r>
              <w:rPr>
                <w:spacing w:val="-6"/>
              </w:rPr>
              <w:t>改正，</w:t>
            </w:r>
            <w:r>
              <w:t xml:space="preserve"> </w:t>
            </w:r>
            <w:r>
              <w:rPr>
                <w:spacing w:val="-4"/>
              </w:rPr>
              <w:t>处5万元以上25万元以下罚款，有违法所得的，还应当没收违法所得。</w:t>
            </w:r>
          </w:p>
          <w:p w14:paraId="5FB8C7E9">
            <w:pPr>
              <w:pStyle w:val="8"/>
              <w:spacing w:before="25" w:line="219" w:lineRule="auto"/>
              <w:ind w:left="465"/>
            </w:pPr>
            <w:r>
              <w:rPr>
                <w:b/>
                <w:bCs/>
                <w:spacing w:val="-5"/>
              </w:rPr>
              <w:t>2.《中华人民共和国船员培训管理规则》（交通运输部令2019年第5号）</w:t>
            </w:r>
          </w:p>
          <w:p w14:paraId="15A19C7F">
            <w:pPr>
              <w:pStyle w:val="8"/>
              <w:spacing w:before="27" w:line="219" w:lineRule="auto"/>
              <w:ind w:left="463"/>
            </w:pPr>
            <w:r>
              <w:rPr>
                <w:spacing w:val="-5"/>
              </w:rPr>
              <w:t>第十条</w:t>
            </w:r>
            <w:r>
              <w:rPr>
                <w:spacing w:val="94"/>
              </w:rPr>
              <w:t xml:space="preserve"> </w:t>
            </w:r>
            <w:r>
              <w:rPr>
                <w:spacing w:val="-5"/>
              </w:rPr>
              <w:t>船员培训实行许可制度。</w:t>
            </w:r>
          </w:p>
          <w:p w14:paraId="1A108696">
            <w:pPr>
              <w:pStyle w:val="8"/>
              <w:spacing w:before="26" w:line="233" w:lineRule="auto"/>
              <w:ind w:left="125" w:right="100" w:firstLine="338"/>
            </w:pPr>
            <w:r>
              <w:rPr>
                <w:spacing w:val="-5"/>
              </w:rPr>
              <w:t>培训机构从事第二章规定的船员培训，应当按照本规则的规定，针对不同的船员培训项目，申请并取得特定</w:t>
            </w:r>
            <w:r>
              <w:rPr>
                <w:spacing w:val="10"/>
              </w:rPr>
              <w:t xml:space="preserve"> </w:t>
            </w:r>
            <w:r>
              <w:rPr>
                <w:spacing w:val="-5"/>
              </w:rPr>
              <w:t>的船员培训许可，方可开展相应的船员培训业务。</w:t>
            </w:r>
          </w:p>
          <w:p w14:paraId="1B58B8CC">
            <w:pPr>
              <w:pStyle w:val="8"/>
              <w:spacing w:before="25" w:line="219" w:lineRule="auto"/>
              <w:ind w:left="466"/>
            </w:pPr>
            <w:r>
              <w:rPr>
                <w:spacing w:val="-4"/>
              </w:rPr>
              <w:t>前款培训机构指依法成立的院校、企事业单位或者社</w:t>
            </w:r>
            <w:r>
              <w:rPr>
                <w:spacing w:val="-5"/>
              </w:rPr>
              <w:t>会团体。</w:t>
            </w:r>
          </w:p>
          <w:p w14:paraId="4A05D782">
            <w:pPr>
              <w:pStyle w:val="8"/>
              <w:spacing w:before="26" w:line="233" w:lineRule="auto"/>
              <w:ind w:left="114" w:right="100" w:firstLine="359"/>
            </w:pPr>
            <w:r>
              <w:rPr>
                <w:spacing w:val="-5"/>
              </w:rPr>
              <w:t>除为本单位自有的公务船船员开展培训外，任何国家机关以及船员培训和考试的主管部门均不得举办或者参</w:t>
            </w:r>
            <w:r>
              <w:t xml:space="preserve"> </w:t>
            </w:r>
            <w:r>
              <w:rPr>
                <w:spacing w:val="-5"/>
              </w:rPr>
              <w:t>与举办船员培训。</w:t>
            </w:r>
          </w:p>
          <w:p w14:paraId="6C804286">
            <w:pPr>
              <w:pStyle w:val="8"/>
              <w:spacing w:before="27" w:line="233" w:lineRule="auto"/>
              <w:ind w:left="114" w:right="100" w:firstLine="348"/>
            </w:pPr>
            <w:r>
              <w:rPr>
                <w:spacing w:val="-5"/>
              </w:rPr>
              <w:t>第十一条  培训机构从事船员培训业务，其开展培训的类别和项目，应当符合《海事行政许可条件规定》规</w:t>
            </w:r>
            <w:r>
              <w:rPr>
                <w:spacing w:val="15"/>
              </w:rPr>
              <w:t xml:space="preserve"> </w:t>
            </w:r>
            <w:r>
              <w:rPr>
                <w:spacing w:val="-5"/>
              </w:rPr>
              <w:t>定的条件。</w:t>
            </w:r>
          </w:p>
          <w:p w14:paraId="7B035BF3">
            <w:pPr>
              <w:pStyle w:val="8"/>
              <w:spacing w:before="25" w:line="233" w:lineRule="auto"/>
              <w:ind w:left="112" w:right="160" w:firstLine="351"/>
            </w:pPr>
            <w:r>
              <w:rPr>
                <w:spacing w:val="-4"/>
              </w:rPr>
              <w:t>第四十五条</w:t>
            </w:r>
            <w:r>
              <w:rPr>
                <w:spacing w:val="85"/>
                <w:w w:val="101"/>
              </w:rPr>
              <w:t xml:space="preserve"> </w:t>
            </w:r>
            <w:r>
              <w:rPr>
                <w:spacing w:val="-4"/>
              </w:rPr>
              <w:t>违反本规则的规定，未取得《船员培训许可证》擅自从事船员培训的，由海事管</w:t>
            </w:r>
            <w:r>
              <w:rPr>
                <w:spacing w:val="-5"/>
              </w:rPr>
              <w:t>理机构处5万</w:t>
            </w:r>
            <w:r>
              <w:t xml:space="preserve"> </w:t>
            </w:r>
            <w:r>
              <w:rPr>
                <w:spacing w:val="-4"/>
              </w:rPr>
              <w:t>元以上25万元以下罚款，有违法所得的，还应当没收违法所得。</w:t>
            </w:r>
          </w:p>
          <w:p w14:paraId="16435387">
            <w:pPr>
              <w:pStyle w:val="8"/>
              <w:spacing w:before="27" w:line="237" w:lineRule="auto"/>
              <w:ind w:left="110" w:right="81" w:firstLine="355"/>
            </w:pPr>
            <w:r>
              <w:rPr>
                <w:spacing w:val="-4"/>
              </w:rPr>
              <w:t>前款“未取得《船员培训许可证》擅自从事船员</w:t>
            </w:r>
            <w:r>
              <w:rPr>
                <w:spacing w:val="-5"/>
              </w:rPr>
              <w:t>培训</w:t>
            </w:r>
            <w:r>
              <w:rPr>
                <w:spacing w:val="-67"/>
              </w:rPr>
              <w:t xml:space="preserve"> </w:t>
            </w:r>
            <w:r>
              <w:rPr>
                <w:spacing w:val="-5"/>
              </w:rPr>
              <w:t>”包括下列情形</w:t>
            </w:r>
            <w:r>
              <w:rPr>
                <w:spacing w:val="-23"/>
              </w:rPr>
              <w:t>：（</w:t>
            </w:r>
            <w:r>
              <w:rPr>
                <w:spacing w:val="-5"/>
              </w:rPr>
              <w:t>一）无《船员培训许可证》擅自从</w:t>
            </w:r>
            <w:r>
              <w:t xml:space="preserve"> </w:t>
            </w:r>
            <w:r>
              <w:rPr>
                <w:spacing w:val="-3"/>
              </w:rPr>
              <w:t>事船员培训的</w:t>
            </w:r>
            <w:r>
              <w:rPr>
                <w:spacing w:val="-18"/>
              </w:rPr>
              <w:t>；（</w:t>
            </w:r>
            <w:r>
              <w:rPr>
                <w:spacing w:val="-3"/>
              </w:rPr>
              <w:t>二）以欺骗、贿赂等非法手段取得《船员培训许可证》的</w:t>
            </w:r>
            <w:r>
              <w:rPr>
                <w:spacing w:val="-18"/>
              </w:rPr>
              <w:t>；（</w:t>
            </w:r>
            <w:r>
              <w:rPr>
                <w:spacing w:val="-3"/>
              </w:rPr>
              <w:t>三）未按照《船员</w:t>
            </w:r>
            <w:r>
              <w:rPr>
                <w:spacing w:val="-4"/>
              </w:rPr>
              <w:t>培训许可证》</w:t>
            </w:r>
            <w:r>
              <w:t xml:space="preserve"> </w:t>
            </w:r>
            <w:r>
              <w:rPr>
                <w:spacing w:val="-4"/>
              </w:rPr>
              <w:t>载明的事项从事船员培训的。</w:t>
            </w:r>
          </w:p>
          <w:p w14:paraId="3E0B709C">
            <w:pPr>
              <w:pStyle w:val="8"/>
              <w:spacing w:before="26" w:line="219" w:lineRule="auto"/>
              <w:ind w:left="467"/>
            </w:pPr>
            <w:r>
              <w:rPr>
                <w:b/>
                <w:bCs/>
                <w:spacing w:val="-5"/>
              </w:rPr>
              <w:t>3.《游艇安全管理规定》（交通运输部令2023年第11号）</w:t>
            </w:r>
          </w:p>
          <w:p w14:paraId="7AE8E156">
            <w:pPr>
              <w:pStyle w:val="8"/>
              <w:spacing w:before="26" w:line="233" w:lineRule="auto"/>
              <w:ind w:left="111" w:right="100" w:firstLine="352"/>
            </w:pPr>
            <w:r>
              <w:rPr>
                <w:spacing w:val="-5"/>
              </w:rPr>
              <w:t>第十三条  依法设立的从事游艇操作人员培训的机构，应当具备相应的条件，并按照国家有关船员培训管理</w:t>
            </w:r>
            <w:r>
              <w:rPr>
                <w:spacing w:val="15"/>
              </w:rPr>
              <w:t xml:space="preserve"> </w:t>
            </w:r>
            <w:r>
              <w:rPr>
                <w:spacing w:val="-4"/>
              </w:rPr>
              <w:t>规定的要求，经过交通运输部海事局批准。</w:t>
            </w:r>
          </w:p>
          <w:p w14:paraId="026F57CF">
            <w:pPr>
              <w:pStyle w:val="8"/>
              <w:spacing w:before="26" w:line="233" w:lineRule="auto"/>
              <w:ind w:left="112" w:right="100" w:firstLine="350"/>
            </w:pPr>
            <w:r>
              <w:rPr>
                <w:spacing w:val="-5"/>
              </w:rPr>
              <w:t>第三十一条</w:t>
            </w:r>
            <w:r>
              <w:rPr>
                <w:spacing w:val="95"/>
                <w:w w:val="101"/>
              </w:rPr>
              <w:t xml:space="preserve"> </w:t>
            </w:r>
            <w:r>
              <w:rPr>
                <w:spacing w:val="-5"/>
              </w:rPr>
              <w:t>海事管理机构应当依法对游艇、游艇俱乐部和游艇操作人员培训机构实施监督检查。游艇俱乐</w:t>
            </w:r>
            <w:r>
              <w:t xml:space="preserve"> </w:t>
            </w:r>
            <w:r>
              <w:rPr>
                <w:spacing w:val="-4"/>
              </w:rPr>
              <w:t>部和游艇所有人应当配合，对发现的安全缺陷和隐患，应当及时进行整改</w:t>
            </w:r>
            <w:r>
              <w:rPr>
                <w:spacing w:val="-5"/>
              </w:rPr>
              <w:t>、消除。</w:t>
            </w:r>
          </w:p>
          <w:p w14:paraId="2311D52D">
            <w:pPr>
              <w:pStyle w:val="8"/>
              <w:spacing w:before="25" w:line="233" w:lineRule="auto"/>
              <w:ind w:left="111" w:right="100" w:firstLine="352"/>
            </w:pPr>
            <w:r>
              <w:rPr>
                <w:spacing w:val="-5"/>
              </w:rPr>
              <w:t>第三十五条</w:t>
            </w:r>
            <w:r>
              <w:rPr>
                <w:spacing w:val="95"/>
              </w:rPr>
              <w:t xml:space="preserve"> </w:t>
            </w:r>
            <w:r>
              <w:rPr>
                <w:spacing w:val="-5"/>
              </w:rPr>
              <w:t>违反本规定，未取得游艇操作人员培训许可擅自从事游艇操作人员培训的，由海事管理机构责</w:t>
            </w:r>
            <w:r>
              <w:t xml:space="preserve"> </w:t>
            </w:r>
            <w:r>
              <w:rPr>
                <w:spacing w:val="-4"/>
              </w:rPr>
              <w:t>令改正，处5万元以上25万元以下罚款；有违法所得的，还应当没收违法所得。</w:t>
            </w:r>
          </w:p>
          <w:p w14:paraId="430151CC">
            <w:pPr>
              <w:pStyle w:val="8"/>
              <w:spacing w:before="27" w:line="219" w:lineRule="auto"/>
              <w:ind w:left="462"/>
            </w:pPr>
            <w:r>
              <w:rPr>
                <w:b/>
                <w:bCs/>
                <w:spacing w:val="-5"/>
              </w:rPr>
              <w:t>4.《中华人民共和国游艇操作人员培训、考试和发证办法》（海船员〔2021〕163号）</w:t>
            </w:r>
          </w:p>
          <w:p w14:paraId="5FB7285B">
            <w:pPr>
              <w:pStyle w:val="8"/>
              <w:spacing w:before="26" w:line="233" w:lineRule="auto"/>
              <w:ind w:left="114" w:right="100" w:firstLine="348"/>
            </w:pPr>
            <w:r>
              <w:rPr>
                <w:spacing w:val="-5"/>
              </w:rPr>
              <w:t>第八条第一款</w:t>
            </w:r>
            <w:r>
              <w:rPr>
                <w:spacing w:val="100"/>
              </w:rPr>
              <w:t xml:space="preserve"> </w:t>
            </w:r>
            <w:r>
              <w:rPr>
                <w:spacing w:val="-5"/>
              </w:rPr>
              <w:t>游艇操作人员的培训  从事海上游艇操作人员培训的机构应按照《中华人民共和国船员培训</w:t>
            </w:r>
            <w:r>
              <w:t xml:space="preserve"> </w:t>
            </w:r>
            <w:r>
              <w:rPr>
                <w:spacing w:val="-5"/>
              </w:rPr>
              <w:t>管理规则》规定，取得相应的《中华人民共和国船员培训许</w:t>
            </w:r>
            <w:r>
              <w:rPr>
                <w:spacing w:val="-6"/>
              </w:rPr>
              <w:t>可证》。</w:t>
            </w:r>
          </w:p>
        </w:tc>
        <w:tc>
          <w:tcPr>
            <w:tcW w:w="1043" w:type="dxa"/>
            <w:vAlign w:val="top"/>
          </w:tcPr>
          <w:p w14:paraId="3B9F21D0">
            <w:pPr>
              <w:spacing w:line="243" w:lineRule="auto"/>
              <w:rPr>
                <w:rFonts w:ascii="Arial"/>
                <w:sz w:val="21"/>
              </w:rPr>
            </w:pPr>
          </w:p>
          <w:p w14:paraId="536EC8ED">
            <w:pPr>
              <w:spacing w:line="243" w:lineRule="auto"/>
              <w:rPr>
                <w:rFonts w:ascii="Arial"/>
                <w:sz w:val="21"/>
              </w:rPr>
            </w:pPr>
          </w:p>
          <w:p w14:paraId="03ADA9D6">
            <w:pPr>
              <w:spacing w:line="243" w:lineRule="auto"/>
              <w:rPr>
                <w:rFonts w:ascii="Arial"/>
                <w:sz w:val="21"/>
              </w:rPr>
            </w:pPr>
          </w:p>
          <w:p w14:paraId="2F28009E">
            <w:pPr>
              <w:spacing w:line="243" w:lineRule="auto"/>
              <w:rPr>
                <w:rFonts w:ascii="Arial"/>
                <w:sz w:val="21"/>
              </w:rPr>
            </w:pPr>
          </w:p>
          <w:p w14:paraId="40E50DC3">
            <w:pPr>
              <w:spacing w:line="243" w:lineRule="auto"/>
              <w:rPr>
                <w:rFonts w:ascii="Arial"/>
                <w:sz w:val="21"/>
              </w:rPr>
            </w:pPr>
          </w:p>
          <w:p w14:paraId="30F98300">
            <w:pPr>
              <w:spacing w:line="243" w:lineRule="auto"/>
              <w:rPr>
                <w:rFonts w:ascii="Arial"/>
                <w:sz w:val="21"/>
              </w:rPr>
            </w:pPr>
          </w:p>
          <w:p w14:paraId="70341487">
            <w:pPr>
              <w:spacing w:line="244" w:lineRule="auto"/>
              <w:rPr>
                <w:rFonts w:ascii="Arial"/>
                <w:sz w:val="21"/>
              </w:rPr>
            </w:pPr>
          </w:p>
          <w:p w14:paraId="66AE372C">
            <w:pPr>
              <w:spacing w:line="244" w:lineRule="auto"/>
              <w:rPr>
                <w:rFonts w:ascii="Arial"/>
                <w:sz w:val="21"/>
              </w:rPr>
            </w:pPr>
          </w:p>
          <w:p w14:paraId="486C027D">
            <w:pPr>
              <w:spacing w:line="244" w:lineRule="auto"/>
              <w:rPr>
                <w:rFonts w:ascii="Arial"/>
                <w:sz w:val="21"/>
              </w:rPr>
            </w:pPr>
          </w:p>
          <w:p w14:paraId="1D6CB3D0">
            <w:pPr>
              <w:spacing w:line="244" w:lineRule="auto"/>
              <w:rPr>
                <w:rFonts w:ascii="Arial"/>
                <w:sz w:val="21"/>
              </w:rPr>
            </w:pPr>
          </w:p>
          <w:p w14:paraId="4C74AED6">
            <w:pPr>
              <w:spacing w:line="244" w:lineRule="auto"/>
              <w:rPr>
                <w:rFonts w:ascii="Arial"/>
                <w:sz w:val="21"/>
              </w:rPr>
            </w:pPr>
          </w:p>
          <w:p w14:paraId="220E2B9F">
            <w:pPr>
              <w:spacing w:line="244" w:lineRule="auto"/>
              <w:rPr>
                <w:rFonts w:ascii="Arial"/>
                <w:sz w:val="21"/>
              </w:rPr>
            </w:pPr>
          </w:p>
          <w:p w14:paraId="591D3198">
            <w:pPr>
              <w:spacing w:line="244" w:lineRule="auto"/>
              <w:rPr>
                <w:rFonts w:ascii="Arial"/>
                <w:sz w:val="21"/>
              </w:rPr>
            </w:pPr>
          </w:p>
          <w:p w14:paraId="1B9863E5">
            <w:pPr>
              <w:spacing w:line="244" w:lineRule="auto"/>
              <w:rPr>
                <w:rFonts w:ascii="Arial"/>
                <w:sz w:val="21"/>
              </w:rPr>
            </w:pPr>
          </w:p>
          <w:p w14:paraId="73A62C04">
            <w:pPr>
              <w:spacing w:line="244" w:lineRule="auto"/>
              <w:rPr>
                <w:rFonts w:ascii="Arial"/>
                <w:sz w:val="21"/>
              </w:rPr>
            </w:pPr>
          </w:p>
          <w:p w14:paraId="4BA357D3">
            <w:pPr>
              <w:spacing w:line="244" w:lineRule="auto"/>
              <w:rPr>
                <w:rFonts w:ascii="Arial"/>
                <w:sz w:val="21"/>
              </w:rPr>
            </w:pPr>
          </w:p>
          <w:p w14:paraId="7A95F6DA">
            <w:pPr>
              <w:spacing w:line="244" w:lineRule="auto"/>
              <w:rPr>
                <w:rFonts w:ascii="Arial"/>
                <w:sz w:val="21"/>
              </w:rPr>
            </w:pPr>
          </w:p>
          <w:p w14:paraId="7607F0AC">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70C8E67C">
            <w:pPr>
              <w:spacing w:line="250" w:lineRule="auto"/>
              <w:rPr>
                <w:rFonts w:ascii="Arial"/>
                <w:sz w:val="21"/>
              </w:rPr>
            </w:pPr>
          </w:p>
          <w:p w14:paraId="1E984215">
            <w:pPr>
              <w:spacing w:line="250" w:lineRule="auto"/>
              <w:rPr>
                <w:rFonts w:ascii="Arial"/>
                <w:sz w:val="21"/>
              </w:rPr>
            </w:pPr>
          </w:p>
          <w:p w14:paraId="49E306E3">
            <w:pPr>
              <w:spacing w:line="250" w:lineRule="auto"/>
              <w:rPr>
                <w:rFonts w:ascii="Arial"/>
                <w:sz w:val="21"/>
              </w:rPr>
            </w:pPr>
          </w:p>
          <w:p w14:paraId="7510302C">
            <w:pPr>
              <w:spacing w:line="250" w:lineRule="auto"/>
              <w:rPr>
                <w:rFonts w:ascii="Arial"/>
                <w:sz w:val="21"/>
              </w:rPr>
            </w:pPr>
          </w:p>
          <w:p w14:paraId="11A0DDE1">
            <w:pPr>
              <w:spacing w:line="250" w:lineRule="auto"/>
              <w:rPr>
                <w:rFonts w:ascii="Arial"/>
                <w:sz w:val="21"/>
              </w:rPr>
            </w:pPr>
          </w:p>
          <w:p w14:paraId="3CBC410F">
            <w:pPr>
              <w:spacing w:line="251" w:lineRule="auto"/>
              <w:rPr>
                <w:rFonts w:ascii="Arial"/>
                <w:sz w:val="21"/>
              </w:rPr>
            </w:pPr>
          </w:p>
          <w:p w14:paraId="212FCB2D">
            <w:pPr>
              <w:spacing w:line="251" w:lineRule="auto"/>
              <w:rPr>
                <w:rFonts w:ascii="Arial"/>
                <w:sz w:val="21"/>
              </w:rPr>
            </w:pPr>
          </w:p>
          <w:p w14:paraId="297C44D6">
            <w:pPr>
              <w:spacing w:line="251" w:lineRule="auto"/>
              <w:rPr>
                <w:rFonts w:ascii="Arial"/>
                <w:sz w:val="21"/>
              </w:rPr>
            </w:pPr>
          </w:p>
          <w:p w14:paraId="4A11E9DF">
            <w:pPr>
              <w:spacing w:line="251" w:lineRule="auto"/>
              <w:rPr>
                <w:rFonts w:ascii="Arial"/>
                <w:sz w:val="21"/>
              </w:rPr>
            </w:pPr>
          </w:p>
          <w:p w14:paraId="103E5856">
            <w:pPr>
              <w:spacing w:line="251" w:lineRule="auto"/>
              <w:rPr>
                <w:rFonts w:ascii="Arial"/>
                <w:sz w:val="21"/>
              </w:rPr>
            </w:pPr>
          </w:p>
          <w:p w14:paraId="73C5F447">
            <w:pPr>
              <w:spacing w:line="251" w:lineRule="auto"/>
              <w:rPr>
                <w:rFonts w:ascii="Arial"/>
                <w:sz w:val="21"/>
              </w:rPr>
            </w:pPr>
          </w:p>
          <w:p w14:paraId="599FF4A6">
            <w:pPr>
              <w:spacing w:line="251" w:lineRule="auto"/>
              <w:rPr>
                <w:rFonts w:ascii="Arial"/>
                <w:sz w:val="21"/>
              </w:rPr>
            </w:pPr>
          </w:p>
          <w:p w14:paraId="38EC35E7">
            <w:pPr>
              <w:spacing w:line="251" w:lineRule="auto"/>
              <w:rPr>
                <w:rFonts w:ascii="Arial"/>
                <w:sz w:val="21"/>
              </w:rPr>
            </w:pPr>
          </w:p>
          <w:p w14:paraId="5D7497D2">
            <w:pPr>
              <w:spacing w:line="251" w:lineRule="auto"/>
              <w:rPr>
                <w:rFonts w:ascii="Arial"/>
                <w:sz w:val="21"/>
              </w:rPr>
            </w:pPr>
          </w:p>
          <w:p w14:paraId="43A9841D">
            <w:pPr>
              <w:spacing w:line="251" w:lineRule="auto"/>
              <w:rPr>
                <w:rFonts w:ascii="Arial"/>
                <w:sz w:val="21"/>
              </w:rPr>
            </w:pPr>
          </w:p>
          <w:p w14:paraId="3219F12D">
            <w:pPr>
              <w:spacing w:line="251" w:lineRule="auto"/>
              <w:rPr>
                <w:rFonts w:ascii="Arial"/>
                <w:sz w:val="21"/>
              </w:rPr>
            </w:pPr>
          </w:p>
          <w:p w14:paraId="16256FAA">
            <w:pPr>
              <w:spacing w:line="251" w:lineRule="auto"/>
              <w:rPr>
                <w:rFonts w:ascii="Arial"/>
                <w:sz w:val="21"/>
              </w:rPr>
            </w:pPr>
          </w:p>
          <w:p w14:paraId="05A8AAB8">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F4E90DC">
            <w:pPr>
              <w:spacing w:line="244" w:lineRule="auto"/>
              <w:rPr>
                <w:rFonts w:ascii="Arial"/>
                <w:sz w:val="21"/>
              </w:rPr>
            </w:pPr>
          </w:p>
          <w:p w14:paraId="7F78C30D">
            <w:pPr>
              <w:spacing w:line="244" w:lineRule="auto"/>
              <w:rPr>
                <w:rFonts w:ascii="Arial"/>
                <w:sz w:val="21"/>
              </w:rPr>
            </w:pPr>
          </w:p>
          <w:p w14:paraId="42817AB1">
            <w:pPr>
              <w:spacing w:line="244" w:lineRule="auto"/>
              <w:rPr>
                <w:rFonts w:ascii="Arial"/>
                <w:sz w:val="21"/>
              </w:rPr>
            </w:pPr>
          </w:p>
          <w:p w14:paraId="436A708F">
            <w:pPr>
              <w:spacing w:line="244" w:lineRule="auto"/>
              <w:rPr>
                <w:rFonts w:ascii="Arial"/>
                <w:sz w:val="21"/>
              </w:rPr>
            </w:pPr>
          </w:p>
          <w:p w14:paraId="3C77E9DB">
            <w:pPr>
              <w:spacing w:line="244" w:lineRule="auto"/>
              <w:rPr>
                <w:rFonts w:ascii="Arial"/>
                <w:sz w:val="21"/>
              </w:rPr>
            </w:pPr>
          </w:p>
          <w:p w14:paraId="488674D2">
            <w:pPr>
              <w:spacing w:line="244" w:lineRule="auto"/>
              <w:rPr>
                <w:rFonts w:ascii="Arial"/>
                <w:sz w:val="21"/>
              </w:rPr>
            </w:pPr>
          </w:p>
          <w:p w14:paraId="080886ED">
            <w:pPr>
              <w:spacing w:line="244" w:lineRule="auto"/>
              <w:rPr>
                <w:rFonts w:ascii="Arial"/>
                <w:sz w:val="21"/>
              </w:rPr>
            </w:pPr>
          </w:p>
          <w:p w14:paraId="13DC786A">
            <w:pPr>
              <w:spacing w:line="244" w:lineRule="auto"/>
              <w:rPr>
                <w:rFonts w:ascii="Arial"/>
                <w:sz w:val="21"/>
              </w:rPr>
            </w:pPr>
          </w:p>
          <w:p w14:paraId="17FFA60F">
            <w:pPr>
              <w:spacing w:line="244" w:lineRule="auto"/>
              <w:rPr>
                <w:rFonts w:ascii="Arial"/>
                <w:sz w:val="21"/>
              </w:rPr>
            </w:pPr>
          </w:p>
          <w:p w14:paraId="6E8441EB">
            <w:pPr>
              <w:spacing w:line="244" w:lineRule="auto"/>
              <w:rPr>
                <w:rFonts w:ascii="Arial"/>
                <w:sz w:val="21"/>
              </w:rPr>
            </w:pPr>
          </w:p>
          <w:p w14:paraId="7085D0CF">
            <w:pPr>
              <w:spacing w:line="244" w:lineRule="auto"/>
              <w:rPr>
                <w:rFonts w:ascii="Arial"/>
                <w:sz w:val="21"/>
              </w:rPr>
            </w:pPr>
          </w:p>
          <w:p w14:paraId="02B112FF">
            <w:pPr>
              <w:spacing w:line="244" w:lineRule="auto"/>
              <w:rPr>
                <w:rFonts w:ascii="Arial"/>
                <w:sz w:val="21"/>
              </w:rPr>
            </w:pPr>
          </w:p>
          <w:p w14:paraId="5CE9EF66">
            <w:pPr>
              <w:spacing w:line="244" w:lineRule="auto"/>
              <w:rPr>
                <w:rFonts w:ascii="Arial"/>
                <w:sz w:val="21"/>
              </w:rPr>
            </w:pPr>
          </w:p>
          <w:p w14:paraId="0E983C9A">
            <w:pPr>
              <w:spacing w:line="244" w:lineRule="auto"/>
              <w:rPr>
                <w:rFonts w:ascii="Arial"/>
                <w:sz w:val="21"/>
              </w:rPr>
            </w:pPr>
          </w:p>
          <w:p w14:paraId="7E9400E6">
            <w:pPr>
              <w:spacing w:line="244" w:lineRule="auto"/>
              <w:rPr>
                <w:rFonts w:ascii="Arial"/>
                <w:sz w:val="21"/>
              </w:rPr>
            </w:pPr>
          </w:p>
          <w:p w14:paraId="1724E12B">
            <w:pPr>
              <w:spacing w:line="245" w:lineRule="auto"/>
              <w:rPr>
                <w:rFonts w:ascii="Arial"/>
                <w:sz w:val="21"/>
              </w:rPr>
            </w:pPr>
          </w:p>
          <w:p w14:paraId="39CA5098">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1692818E">
      <w:pPr>
        <w:pStyle w:val="2"/>
        <w:spacing w:line="222" w:lineRule="exact"/>
        <w:rPr>
          <w:sz w:val="19"/>
        </w:rPr>
      </w:pPr>
    </w:p>
    <w:p w14:paraId="2D4763F8">
      <w:pPr>
        <w:spacing w:line="222" w:lineRule="exact"/>
        <w:rPr>
          <w:sz w:val="19"/>
          <w:szCs w:val="19"/>
        </w:rPr>
        <w:sectPr>
          <w:footerReference r:id="rId186" w:type="default"/>
          <w:pgSz w:w="16839" w:h="11906"/>
          <w:pgMar w:top="1012" w:right="788" w:bottom="967" w:left="787" w:header="0" w:footer="768" w:gutter="0"/>
          <w:cols w:space="720" w:num="1"/>
        </w:sectPr>
      </w:pPr>
    </w:p>
    <w:p w14:paraId="0DD3575F">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1A7A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61A1921D">
            <w:pPr>
              <w:pStyle w:val="8"/>
              <w:spacing w:before="267" w:line="221" w:lineRule="auto"/>
              <w:ind w:left="142"/>
            </w:pPr>
            <w:r>
              <w:rPr>
                <w:b/>
                <w:bCs/>
                <w:spacing w:val="-4"/>
              </w:rPr>
              <w:t>序号</w:t>
            </w:r>
          </w:p>
        </w:tc>
        <w:tc>
          <w:tcPr>
            <w:tcW w:w="1136" w:type="dxa"/>
            <w:vMerge w:val="restart"/>
            <w:tcBorders>
              <w:bottom w:val="nil"/>
            </w:tcBorders>
            <w:vAlign w:val="top"/>
          </w:tcPr>
          <w:p w14:paraId="451C05B3">
            <w:pPr>
              <w:pStyle w:val="8"/>
              <w:spacing w:before="267" w:line="220" w:lineRule="auto"/>
              <w:ind w:left="208"/>
            </w:pPr>
            <w:r>
              <w:rPr>
                <w:b/>
                <w:bCs/>
                <w:spacing w:val="-4"/>
              </w:rPr>
              <w:t>事项名称</w:t>
            </w:r>
          </w:p>
        </w:tc>
        <w:tc>
          <w:tcPr>
            <w:tcW w:w="1136" w:type="dxa"/>
            <w:vMerge w:val="restart"/>
            <w:tcBorders>
              <w:bottom w:val="nil"/>
            </w:tcBorders>
            <w:vAlign w:val="top"/>
          </w:tcPr>
          <w:p w14:paraId="25417533">
            <w:pPr>
              <w:pStyle w:val="8"/>
              <w:spacing w:before="267" w:line="219" w:lineRule="auto"/>
              <w:ind w:left="210"/>
            </w:pPr>
            <w:r>
              <w:rPr>
                <w:b/>
                <w:bCs/>
                <w:spacing w:val="-4"/>
              </w:rPr>
              <w:t>职权类型</w:t>
            </w:r>
          </w:p>
        </w:tc>
        <w:tc>
          <w:tcPr>
            <w:tcW w:w="8806" w:type="dxa"/>
            <w:vMerge w:val="restart"/>
            <w:tcBorders>
              <w:bottom w:val="nil"/>
            </w:tcBorders>
            <w:vAlign w:val="top"/>
          </w:tcPr>
          <w:p w14:paraId="3DBFF83A">
            <w:pPr>
              <w:pStyle w:val="8"/>
              <w:spacing w:before="267" w:line="219" w:lineRule="auto"/>
              <w:ind w:left="4050"/>
            </w:pPr>
            <w:r>
              <w:rPr>
                <w:b/>
                <w:bCs/>
                <w:spacing w:val="-5"/>
              </w:rPr>
              <w:t>实施依据</w:t>
            </w:r>
          </w:p>
        </w:tc>
        <w:tc>
          <w:tcPr>
            <w:tcW w:w="3538" w:type="dxa"/>
            <w:gridSpan w:val="3"/>
            <w:vAlign w:val="top"/>
          </w:tcPr>
          <w:p w14:paraId="0206A76D">
            <w:pPr>
              <w:pStyle w:val="8"/>
              <w:spacing w:before="92" w:line="220" w:lineRule="auto"/>
              <w:ind w:left="1415"/>
            </w:pPr>
            <w:r>
              <w:rPr>
                <w:b/>
                <w:bCs/>
                <w:spacing w:val="-5"/>
              </w:rPr>
              <w:t>实施主体</w:t>
            </w:r>
          </w:p>
        </w:tc>
      </w:tr>
      <w:tr w14:paraId="1644E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109B3921">
            <w:pPr>
              <w:rPr>
                <w:rFonts w:ascii="Arial"/>
                <w:sz w:val="21"/>
              </w:rPr>
            </w:pPr>
          </w:p>
        </w:tc>
        <w:tc>
          <w:tcPr>
            <w:tcW w:w="1136" w:type="dxa"/>
            <w:vMerge w:val="continue"/>
            <w:tcBorders>
              <w:top w:val="nil"/>
            </w:tcBorders>
            <w:vAlign w:val="top"/>
          </w:tcPr>
          <w:p w14:paraId="0710BEF8">
            <w:pPr>
              <w:rPr>
                <w:rFonts w:ascii="Arial"/>
                <w:sz w:val="21"/>
              </w:rPr>
            </w:pPr>
          </w:p>
        </w:tc>
        <w:tc>
          <w:tcPr>
            <w:tcW w:w="1136" w:type="dxa"/>
            <w:vMerge w:val="continue"/>
            <w:tcBorders>
              <w:top w:val="nil"/>
            </w:tcBorders>
            <w:vAlign w:val="top"/>
          </w:tcPr>
          <w:p w14:paraId="62C6185E">
            <w:pPr>
              <w:rPr>
                <w:rFonts w:ascii="Arial"/>
                <w:sz w:val="21"/>
              </w:rPr>
            </w:pPr>
          </w:p>
        </w:tc>
        <w:tc>
          <w:tcPr>
            <w:tcW w:w="8806" w:type="dxa"/>
            <w:vMerge w:val="continue"/>
            <w:tcBorders>
              <w:top w:val="nil"/>
            </w:tcBorders>
            <w:vAlign w:val="top"/>
          </w:tcPr>
          <w:p w14:paraId="3BD6D5F2">
            <w:pPr>
              <w:rPr>
                <w:rFonts w:ascii="Arial"/>
                <w:sz w:val="21"/>
              </w:rPr>
            </w:pPr>
          </w:p>
        </w:tc>
        <w:tc>
          <w:tcPr>
            <w:tcW w:w="1043" w:type="dxa"/>
            <w:vAlign w:val="top"/>
          </w:tcPr>
          <w:p w14:paraId="5EDAC486">
            <w:pPr>
              <w:pStyle w:val="8"/>
              <w:spacing w:before="88" w:line="219" w:lineRule="auto"/>
              <w:ind w:left="171"/>
            </w:pPr>
            <w:r>
              <w:rPr>
                <w:b/>
                <w:bCs/>
                <w:spacing w:val="-5"/>
              </w:rPr>
              <w:t>责任部门</w:t>
            </w:r>
          </w:p>
        </w:tc>
        <w:tc>
          <w:tcPr>
            <w:tcW w:w="1448" w:type="dxa"/>
            <w:vAlign w:val="top"/>
          </w:tcPr>
          <w:p w14:paraId="2C767CBA">
            <w:pPr>
              <w:pStyle w:val="8"/>
              <w:spacing w:before="88" w:line="219" w:lineRule="auto"/>
              <w:ind w:left="187"/>
            </w:pPr>
            <w:r>
              <w:rPr>
                <w:b/>
                <w:bCs/>
                <w:spacing w:val="-3"/>
              </w:rPr>
              <w:t>第一责任层级</w:t>
            </w:r>
          </w:p>
        </w:tc>
        <w:tc>
          <w:tcPr>
            <w:tcW w:w="1047" w:type="dxa"/>
            <w:vAlign w:val="top"/>
          </w:tcPr>
          <w:p w14:paraId="2BF7F90A">
            <w:pPr>
              <w:pStyle w:val="8"/>
              <w:spacing w:before="88" w:line="219" w:lineRule="auto"/>
              <w:ind w:left="165"/>
            </w:pPr>
            <w:r>
              <w:rPr>
                <w:b/>
                <w:bCs/>
                <w:spacing w:val="-4"/>
              </w:rPr>
              <w:t>承办机构</w:t>
            </w:r>
          </w:p>
        </w:tc>
      </w:tr>
      <w:tr w14:paraId="21B1E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0" w:hRule="atLeast"/>
        </w:trPr>
        <w:tc>
          <w:tcPr>
            <w:tcW w:w="641" w:type="dxa"/>
            <w:vAlign w:val="top"/>
          </w:tcPr>
          <w:p w14:paraId="4951E9AF">
            <w:pPr>
              <w:spacing w:line="244" w:lineRule="auto"/>
              <w:rPr>
                <w:rFonts w:ascii="Arial"/>
                <w:sz w:val="21"/>
              </w:rPr>
            </w:pPr>
          </w:p>
          <w:p w14:paraId="4476C65B">
            <w:pPr>
              <w:spacing w:line="244" w:lineRule="auto"/>
              <w:rPr>
                <w:rFonts w:ascii="Arial"/>
                <w:sz w:val="21"/>
              </w:rPr>
            </w:pPr>
          </w:p>
          <w:p w14:paraId="37C02AC8">
            <w:pPr>
              <w:spacing w:line="244" w:lineRule="auto"/>
              <w:rPr>
                <w:rFonts w:ascii="Arial"/>
                <w:sz w:val="21"/>
              </w:rPr>
            </w:pPr>
          </w:p>
          <w:p w14:paraId="3838D99F">
            <w:pPr>
              <w:spacing w:line="244" w:lineRule="auto"/>
              <w:rPr>
                <w:rFonts w:ascii="Arial"/>
                <w:sz w:val="21"/>
              </w:rPr>
            </w:pPr>
          </w:p>
          <w:p w14:paraId="67E6418C">
            <w:pPr>
              <w:spacing w:line="244" w:lineRule="auto"/>
              <w:rPr>
                <w:rFonts w:ascii="Arial"/>
                <w:sz w:val="21"/>
              </w:rPr>
            </w:pPr>
          </w:p>
          <w:p w14:paraId="263B7561">
            <w:pPr>
              <w:spacing w:line="244" w:lineRule="auto"/>
              <w:rPr>
                <w:rFonts w:ascii="Arial"/>
                <w:sz w:val="21"/>
              </w:rPr>
            </w:pPr>
          </w:p>
          <w:p w14:paraId="09883154">
            <w:pPr>
              <w:spacing w:line="244" w:lineRule="auto"/>
              <w:rPr>
                <w:rFonts w:ascii="Arial"/>
                <w:sz w:val="21"/>
              </w:rPr>
            </w:pPr>
          </w:p>
          <w:p w14:paraId="026B3DA9">
            <w:pPr>
              <w:spacing w:line="245" w:lineRule="auto"/>
              <w:rPr>
                <w:rFonts w:ascii="Arial"/>
                <w:sz w:val="21"/>
              </w:rPr>
            </w:pPr>
          </w:p>
          <w:p w14:paraId="083529EA">
            <w:pPr>
              <w:spacing w:line="245" w:lineRule="auto"/>
              <w:rPr>
                <w:rFonts w:ascii="Arial"/>
                <w:sz w:val="21"/>
              </w:rPr>
            </w:pPr>
          </w:p>
          <w:p w14:paraId="2AC88F5B">
            <w:pPr>
              <w:spacing w:line="245" w:lineRule="auto"/>
              <w:rPr>
                <w:rFonts w:ascii="Arial"/>
                <w:sz w:val="21"/>
              </w:rPr>
            </w:pPr>
          </w:p>
          <w:p w14:paraId="307FB473">
            <w:pPr>
              <w:spacing w:line="245" w:lineRule="auto"/>
              <w:rPr>
                <w:rFonts w:ascii="Arial"/>
                <w:sz w:val="21"/>
              </w:rPr>
            </w:pPr>
          </w:p>
          <w:p w14:paraId="2D50BF70">
            <w:pPr>
              <w:spacing w:line="245" w:lineRule="auto"/>
              <w:rPr>
                <w:rFonts w:ascii="Arial"/>
                <w:sz w:val="21"/>
              </w:rPr>
            </w:pPr>
          </w:p>
          <w:p w14:paraId="5ABE663D">
            <w:pPr>
              <w:spacing w:line="245" w:lineRule="auto"/>
              <w:rPr>
                <w:rFonts w:ascii="Arial"/>
                <w:sz w:val="21"/>
              </w:rPr>
            </w:pPr>
          </w:p>
          <w:p w14:paraId="4923ABE7">
            <w:pPr>
              <w:spacing w:line="245" w:lineRule="auto"/>
              <w:rPr>
                <w:rFonts w:ascii="Arial"/>
                <w:sz w:val="21"/>
              </w:rPr>
            </w:pPr>
          </w:p>
          <w:p w14:paraId="54A988C8">
            <w:pPr>
              <w:spacing w:line="245" w:lineRule="auto"/>
              <w:rPr>
                <w:rFonts w:ascii="Arial"/>
                <w:sz w:val="21"/>
              </w:rPr>
            </w:pPr>
          </w:p>
          <w:p w14:paraId="507992BF">
            <w:pPr>
              <w:spacing w:line="245" w:lineRule="auto"/>
              <w:rPr>
                <w:rFonts w:ascii="Arial"/>
                <w:sz w:val="21"/>
              </w:rPr>
            </w:pPr>
          </w:p>
          <w:p w14:paraId="2E34B590">
            <w:pPr>
              <w:pStyle w:val="8"/>
              <w:spacing w:before="58" w:line="183" w:lineRule="auto"/>
              <w:ind w:left="238"/>
            </w:pPr>
            <w:r>
              <w:rPr>
                <w:spacing w:val="-5"/>
              </w:rPr>
              <w:t>37</w:t>
            </w:r>
          </w:p>
        </w:tc>
        <w:tc>
          <w:tcPr>
            <w:tcW w:w="1136" w:type="dxa"/>
            <w:vAlign w:val="top"/>
          </w:tcPr>
          <w:p w14:paraId="6C8FBB1D">
            <w:pPr>
              <w:spacing w:line="243" w:lineRule="auto"/>
              <w:rPr>
                <w:rFonts w:ascii="Arial"/>
                <w:sz w:val="21"/>
              </w:rPr>
            </w:pPr>
          </w:p>
          <w:p w14:paraId="59366003">
            <w:pPr>
              <w:spacing w:line="243" w:lineRule="auto"/>
              <w:rPr>
                <w:rFonts w:ascii="Arial"/>
                <w:sz w:val="21"/>
              </w:rPr>
            </w:pPr>
          </w:p>
          <w:p w14:paraId="2700BF68">
            <w:pPr>
              <w:spacing w:line="243" w:lineRule="auto"/>
              <w:rPr>
                <w:rFonts w:ascii="Arial"/>
                <w:sz w:val="21"/>
              </w:rPr>
            </w:pPr>
          </w:p>
          <w:p w14:paraId="2A5DD33D">
            <w:pPr>
              <w:spacing w:line="243" w:lineRule="auto"/>
              <w:rPr>
                <w:rFonts w:ascii="Arial"/>
                <w:sz w:val="21"/>
              </w:rPr>
            </w:pPr>
          </w:p>
          <w:p w14:paraId="38A442BA">
            <w:pPr>
              <w:spacing w:line="243" w:lineRule="auto"/>
              <w:rPr>
                <w:rFonts w:ascii="Arial"/>
                <w:sz w:val="21"/>
              </w:rPr>
            </w:pPr>
          </w:p>
          <w:p w14:paraId="6D70B025">
            <w:pPr>
              <w:spacing w:line="243" w:lineRule="auto"/>
              <w:rPr>
                <w:rFonts w:ascii="Arial"/>
                <w:sz w:val="21"/>
              </w:rPr>
            </w:pPr>
          </w:p>
          <w:p w14:paraId="503AD52A">
            <w:pPr>
              <w:spacing w:line="243" w:lineRule="auto"/>
              <w:rPr>
                <w:rFonts w:ascii="Arial"/>
                <w:sz w:val="21"/>
              </w:rPr>
            </w:pPr>
          </w:p>
          <w:p w14:paraId="334B241D">
            <w:pPr>
              <w:spacing w:line="243" w:lineRule="auto"/>
              <w:rPr>
                <w:rFonts w:ascii="Arial"/>
                <w:sz w:val="21"/>
              </w:rPr>
            </w:pPr>
          </w:p>
          <w:p w14:paraId="46188641">
            <w:pPr>
              <w:spacing w:line="243" w:lineRule="auto"/>
              <w:rPr>
                <w:rFonts w:ascii="Arial"/>
                <w:sz w:val="21"/>
              </w:rPr>
            </w:pPr>
          </w:p>
          <w:p w14:paraId="4F789EBA">
            <w:pPr>
              <w:spacing w:line="244" w:lineRule="auto"/>
              <w:rPr>
                <w:rFonts w:ascii="Arial"/>
                <w:sz w:val="21"/>
              </w:rPr>
            </w:pPr>
          </w:p>
          <w:p w14:paraId="5E8E422B">
            <w:pPr>
              <w:spacing w:line="244" w:lineRule="auto"/>
              <w:rPr>
                <w:rFonts w:ascii="Arial"/>
                <w:sz w:val="21"/>
              </w:rPr>
            </w:pPr>
          </w:p>
          <w:p w14:paraId="7CC68329">
            <w:pPr>
              <w:spacing w:line="244" w:lineRule="auto"/>
              <w:rPr>
                <w:rFonts w:ascii="Arial"/>
                <w:sz w:val="21"/>
              </w:rPr>
            </w:pPr>
          </w:p>
          <w:p w14:paraId="3BEC2204">
            <w:pPr>
              <w:spacing w:line="244" w:lineRule="auto"/>
              <w:rPr>
                <w:rFonts w:ascii="Arial"/>
                <w:sz w:val="21"/>
              </w:rPr>
            </w:pPr>
          </w:p>
          <w:p w14:paraId="4B433A21">
            <w:pPr>
              <w:spacing w:line="244" w:lineRule="auto"/>
              <w:rPr>
                <w:rFonts w:ascii="Arial"/>
                <w:sz w:val="21"/>
              </w:rPr>
            </w:pPr>
          </w:p>
          <w:p w14:paraId="606AB1E7">
            <w:pPr>
              <w:pStyle w:val="8"/>
              <w:spacing w:before="59" w:line="241" w:lineRule="auto"/>
              <w:ind w:left="112" w:right="104" w:hanging="3"/>
              <w:jc w:val="both"/>
            </w:pPr>
            <w:r>
              <w:rPr>
                <w:spacing w:val="3"/>
              </w:rPr>
              <w:t>对不按照规</w:t>
            </w:r>
            <w:r>
              <w:rPr>
                <w:spacing w:val="1"/>
              </w:rPr>
              <w:t xml:space="preserve"> </w:t>
            </w:r>
            <w:r>
              <w:rPr>
                <w:spacing w:val="2"/>
              </w:rPr>
              <w:t>定的培训大</w:t>
            </w:r>
            <w:r>
              <w:rPr>
                <w:spacing w:val="3"/>
              </w:rPr>
              <w:t xml:space="preserve"> </w:t>
            </w:r>
            <w:r>
              <w:rPr>
                <w:spacing w:val="2"/>
              </w:rPr>
              <w:t>纲和要求进</w:t>
            </w:r>
            <w:r>
              <w:rPr>
                <w:spacing w:val="3"/>
              </w:rPr>
              <w:t xml:space="preserve"> </w:t>
            </w:r>
            <w:r>
              <w:rPr>
                <w:spacing w:val="2"/>
              </w:rPr>
              <w:t>行培训行为</w:t>
            </w:r>
            <w:r>
              <w:rPr>
                <w:spacing w:val="3"/>
              </w:rPr>
              <w:t xml:space="preserve"> </w:t>
            </w:r>
            <w:r>
              <w:rPr>
                <w:spacing w:val="-5"/>
              </w:rPr>
              <w:t>的行政处罚</w:t>
            </w:r>
          </w:p>
        </w:tc>
        <w:tc>
          <w:tcPr>
            <w:tcW w:w="1136" w:type="dxa"/>
            <w:vAlign w:val="top"/>
          </w:tcPr>
          <w:p w14:paraId="79744175">
            <w:pPr>
              <w:spacing w:line="242" w:lineRule="auto"/>
              <w:rPr>
                <w:rFonts w:ascii="Arial"/>
                <w:sz w:val="21"/>
              </w:rPr>
            </w:pPr>
          </w:p>
          <w:p w14:paraId="524F6850">
            <w:pPr>
              <w:spacing w:line="242" w:lineRule="auto"/>
              <w:rPr>
                <w:rFonts w:ascii="Arial"/>
                <w:sz w:val="21"/>
              </w:rPr>
            </w:pPr>
          </w:p>
          <w:p w14:paraId="5B5295E5">
            <w:pPr>
              <w:spacing w:line="242" w:lineRule="auto"/>
              <w:rPr>
                <w:rFonts w:ascii="Arial"/>
                <w:sz w:val="21"/>
              </w:rPr>
            </w:pPr>
          </w:p>
          <w:p w14:paraId="1DA553D5">
            <w:pPr>
              <w:spacing w:line="242" w:lineRule="auto"/>
              <w:rPr>
                <w:rFonts w:ascii="Arial"/>
                <w:sz w:val="21"/>
              </w:rPr>
            </w:pPr>
          </w:p>
          <w:p w14:paraId="55A7229B">
            <w:pPr>
              <w:spacing w:line="243" w:lineRule="auto"/>
              <w:rPr>
                <w:rFonts w:ascii="Arial"/>
                <w:sz w:val="21"/>
              </w:rPr>
            </w:pPr>
          </w:p>
          <w:p w14:paraId="75287D9C">
            <w:pPr>
              <w:spacing w:line="243" w:lineRule="auto"/>
              <w:rPr>
                <w:rFonts w:ascii="Arial"/>
                <w:sz w:val="21"/>
              </w:rPr>
            </w:pPr>
          </w:p>
          <w:p w14:paraId="0320673A">
            <w:pPr>
              <w:spacing w:line="243" w:lineRule="auto"/>
              <w:rPr>
                <w:rFonts w:ascii="Arial"/>
                <w:sz w:val="21"/>
              </w:rPr>
            </w:pPr>
          </w:p>
          <w:p w14:paraId="0D6A1ED9">
            <w:pPr>
              <w:spacing w:line="243" w:lineRule="auto"/>
              <w:rPr>
                <w:rFonts w:ascii="Arial"/>
                <w:sz w:val="21"/>
              </w:rPr>
            </w:pPr>
          </w:p>
          <w:p w14:paraId="6B3FE9DA">
            <w:pPr>
              <w:spacing w:line="243" w:lineRule="auto"/>
              <w:rPr>
                <w:rFonts w:ascii="Arial"/>
                <w:sz w:val="21"/>
              </w:rPr>
            </w:pPr>
          </w:p>
          <w:p w14:paraId="265790E2">
            <w:pPr>
              <w:spacing w:line="243" w:lineRule="auto"/>
              <w:rPr>
                <w:rFonts w:ascii="Arial"/>
                <w:sz w:val="21"/>
              </w:rPr>
            </w:pPr>
          </w:p>
          <w:p w14:paraId="78BB0877">
            <w:pPr>
              <w:spacing w:line="243" w:lineRule="auto"/>
              <w:rPr>
                <w:rFonts w:ascii="Arial"/>
                <w:sz w:val="21"/>
              </w:rPr>
            </w:pPr>
          </w:p>
          <w:p w14:paraId="59377C8D">
            <w:pPr>
              <w:spacing w:line="243" w:lineRule="auto"/>
              <w:rPr>
                <w:rFonts w:ascii="Arial"/>
                <w:sz w:val="21"/>
              </w:rPr>
            </w:pPr>
          </w:p>
          <w:p w14:paraId="1D85A7A4">
            <w:pPr>
              <w:spacing w:line="243" w:lineRule="auto"/>
              <w:rPr>
                <w:rFonts w:ascii="Arial"/>
                <w:sz w:val="21"/>
              </w:rPr>
            </w:pPr>
          </w:p>
          <w:p w14:paraId="70BE2B8A">
            <w:pPr>
              <w:spacing w:line="243" w:lineRule="auto"/>
              <w:rPr>
                <w:rFonts w:ascii="Arial"/>
                <w:sz w:val="21"/>
              </w:rPr>
            </w:pPr>
          </w:p>
          <w:p w14:paraId="379EFFB8">
            <w:pPr>
              <w:spacing w:line="243" w:lineRule="auto"/>
              <w:rPr>
                <w:rFonts w:ascii="Arial"/>
                <w:sz w:val="21"/>
              </w:rPr>
            </w:pPr>
          </w:p>
          <w:p w14:paraId="17D3EB17">
            <w:pPr>
              <w:spacing w:line="243" w:lineRule="auto"/>
              <w:rPr>
                <w:rFonts w:ascii="Arial"/>
                <w:sz w:val="21"/>
              </w:rPr>
            </w:pPr>
          </w:p>
          <w:p w14:paraId="145515BB">
            <w:pPr>
              <w:pStyle w:val="8"/>
              <w:spacing w:before="59" w:line="220" w:lineRule="auto"/>
              <w:ind w:left="114"/>
            </w:pPr>
            <w:r>
              <w:rPr>
                <w:spacing w:val="-7"/>
              </w:rPr>
              <w:t>行政处罚</w:t>
            </w:r>
          </w:p>
        </w:tc>
        <w:tc>
          <w:tcPr>
            <w:tcW w:w="8806" w:type="dxa"/>
            <w:vAlign w:val="top"/>
          </w:tcPr>
          <w:p w14:paraId="724BC137">
            <w:pPr>
              <w:spacing w:line="255" w:lineRule="auto"/>
              <w:rPr>
                <w:rFonts w:ascii="Arial"/>
                <w:sz w:val="21"/>
              </w:rPr>
            </w:pPr>
          </w:p>
          <w:p w14:paraId="2C898685">
            <w:pPr>
              <w:spacing w:line="255" w:lineRule="auto"/>
              <w:rPr>
                <w:rFonts w:ascii="Arial"/>
                <w:sz w:val="21"/>
              </w:rPr>
            </w:pPr>
          </w:p>
          <w:p w14:paraId="58DB5B5A">
            <w:pPr>
              <w:spacing w:line="256" w:lineRule="auto"/>
              <w:rPr>
                <w:rFonts w:ascii="Arial"/>
                <w:sz w:val="21"/>
              </w:rPr>
            </w:pPr>
          </w:p>
          <w:p w14:paraId="7493DD4E">
            <w:pPr>
              <w:spacing w:line="256" w:lineRule="auto"/>
              <w:rPr>
                <w:rFonts w:ascii="Arial"/>
                <w:sz w:val="21"/>
              </w:rPr>
            </w:pPr>
          </w:p>
          <w:p w14:paraId="2996F0D7">
            <w:pPr>
              <w:pStyle w:val="8"/>
              <w:spacing w:before="59" w:line="219" w:lineRule="auto"/>
              <w:ind w:left="471"/>
            </w:pPr>
            <w:r>
              <w:rPr>
                <w:b/>
                <w:bCs/>
                <w:spacing w:val="-8"/>
              </w:rPr>
              <w:t>1.《中华人民共和国船员条例》</w:t>
            </w:r>
          </w:p>
          <w:p w14:paraId="24AF54CE">
            <w:pPr>
              <w:pStyle w:val="8"/>
              <w:spacing w:before="25" w:line="233" w:lineRule="auto"/>
              <w:ind w:left="112" w:right="153" w:firstLine="353"/>
            </w:pPr>
            <w:r>
              <w:rPr>
                <w:spacing w:val="-3"/>
              </w:rPr>
              <w:t>第三十二条第（四）项  依法设立的培训机构从事船员培训，应当符合下列条件：</w:t>
            </w:r>
            <w:r>
              <w:rPr>
                <w:spacing w:val="-46"/>
              </w:rPr>
              <w:t xml:space="preserve"> </w:t>
            </w:r>
            <w:r>
              <w:rPr>
                <w:spacing w:val="-3"/>
              </w:rPr>
              <w:t>(四)有符合国务院交通</w:t>
            </w:r>
            <w:r>
              <w:t xml:space="preserve"> </w:t>
            </w:r>
            <w:r>
              <w:rPr>
                <w:spacing w:val="-3"/>
              </w:rPr>
              <w:t>主管部门规定的船员培训质量控制体系。</w:t>
            </w:r>
          </w:p>
          <w:p w14:paraId="39CCCE07">
            <w:pPr>
              <w:pStyle w:val="8"/>
              <w:spacing w:before="25" w:line="233" w:lineRule="auto"/>
              <w:ind w:left="110" w:right="153" w:firstLine="355"/>
            </w:pPr>
            <w:r>
              <w:rPr>
                <w:spacing w:val="-2"/>
              </w:rPr>
              <w:t>第三十四条  从事船员培训业务的机构，应当按照国务院交通主管部门规定的船员培训大纲</w:t>
            </w:r>
            <w:r>
              <w:rPr>
                <w:spacing w:val="-3"/>
              </w:rPr>
              <w:t>和水上交通安</w:t>
            </w:r>
            <w:r>
              <w:t xml:space="preserve"> </w:t>
            </w:r>
            <w:r>
              <w:rPr>
                <w:spacing w:val="-2"/>
              </w:rPr>
              <w:t>全、防治船舶污染、船舶保安等要求，在核定的范围内开展船员培训，确保船</w:t>
            </w:r>
            <w:r>
              <w:rPr>
                <w:spacing w:val="-3"/>
              </w:rPr>
              <w:t>员培训质量。</w:t>
            </w:r>
          </w:p>
          <w:p w14:paraId="329A6364">
            <w:pPr>
              <w:pStyle w:val="8"/>
              <w:spacing w:before="26" w:line="237" w:lineRule="auto"/>
              <w:ind w:left="110" w:right="100" w:firstLine="355"/>
            </w:pPr>
            <w:r>
              <w:rPr>
                <w:spacing w:val="-2"/>
              </w:rPr>
              <w:t>第五十六条  违反本条例的规定，船员培训机构不按照国务院交通主管部门规定的培训大纲</w:t>
            </w:r>
            <w:r>
              <w:rPr>
                <w:spacing w:val="-3"/>
              </w:rPr>
              <w:t>和水上交通安</w:t>
            </w:r>
            <w:r>
              <w:t xml:space="preserve"> </w:t>
            </w:r>
            <w:r>
              <w:rPr>
                <w:spacing w:val="-3"/>
              </w:rPr>
              <w:t>全、防治船舶污染等要求，进行培训的，由海事管理机构责令改正，可以处2万元以上10万元以下罚款；情节严</w:t>
            </w:r>
            <w:r>
              <w:rPr>
                <w:spacing w:val="8"/>
              </w:rPr>
              <w:t xml:space="preserve"> </w:t>
            </w:r>
            <w:r>
              <w:rPr>
                <w:spacing w:val="-4"/>
              </w:rPr>
              <w:t>重的，给予暂扣船员培训许可证6个月以上2年以下直至吊销船员培训许可证的处罚。</w:t>
            </w:r>
          </w:p>
          <w:p w14:paraId="06874D03">
            <w:pPr>
              <w:pStyle w:val="8"/>
              <w:spacing w:before="26" w:line="219" w:lineRule="auto"/>
              <w:ind w:left="460"/>
            </w:pPr>
            <w:r>
              <w:rPr>
                <w:b/>
                <w:bCs/>
                <w:spacing w:val="-7"/>
              </w:rPr>
              <w:t>2.《中华人民共和国船员培训管理规则》（交通运输部令2019年第5号）</w:t>
            </w:r>
          </w:p>
          <w:p w14:paraId="49DE39E9">
            <w:pPr>
              <w:pStyle w:val="8"/>
              <w:spacing w:before="26" w:line="233" w:lineRule="auto"/>
              <w:ind w:left="109" w:right="153" w:firstLine="356"/>
            </w:pPr>
            <w:r>
              <w:rPr>
                <w:spacing w:val="-2"/>
              </w:rPr>
              <w:t>第二十二条  培训机构应当按照交通运输部规定的船员培训大纲和水上交通安全、防治船舶</w:t>
            </w:r>
            <w:r>
              <w:rPr>
                <w:spacing w:val="-3"/>
              </w:rPr>
              <w:t>污染等要求设</w:t>
            </w:r>
            <w:r>
              <w:t xml:space="preserve"> </w:t>
            </w:r>
            <w:r>
              <w:rPr>
                <w:spacing w:val="-5"/>
              </w:rPr>
              <w:t>置培训课程、制定培训计划并开展培训。</w:t>
            </w:r>
          </w:p>
          <w:p w14:paraId="1BE11738">
            <w:pPr>
              <w:pStyle w:val="8"/>
              <w:spacing w:before="26" w:line="219" w:lineRule="auto"/>
              <w:ind w:left="464"/>
            </w:pPr>
            <w:r>
              <w:rPr>
                <w:spacing w:val="-4"/>
              </w:rPr>
              <w:t>培训机构开展培训的课程应当经过海事管理机构确</w:t>
            </w:r>
            <w:r>
              <w:rPr>
                <w:spacing w:val="-5"/>
              </w:rPr>
              <w:t>认。</w:t>
            </w:r>
          </w:p>
          <w:p w14:paraId="569AD3D3">
            <w:pPr>
              <w:pStyle w:val="8"/>
              <w:spacing w:before="26" w:line="233" w:lineRule="auto"/>
              <w:ind w:left="112" w:right="153" w:firstLine="353"/>
            </w:pPr>
            <w:r>
              <w:rPr>
                <w:spacing w:val="-2"/>
              </w:rPr>
              <w:t>第二十九条  培训机构应当确保培训质量，有效运行船员培训质量控制体系，对质量控制体</w:t>
            </w:r>
            <w:r>
              <w:rPr>
                <w:spacing w:val="-3"/>
              </w:rPr>
              <w:t>系进行定期内</w:t>
            </w:r>
            <w:r>
              <w:t xml:space="preserve"> </w:t>
            </w:r>
            <w:r>
              <w:rPr>
                <w:spacing w:val="-2"/>
              </w:rPr>
              <w:t>部审核，并接受海事管理机构组织的外部审核，及时纠正</w:t>
            </w:r>
            <w:r>
              <w:rPr>
                <w:spacing w:val="-3"/>
              </w:rPr>
              <w:t>发现的缺陷。</w:t>
            </w:r>
          </w:p>
          <w:p w14:paraId="2469C08A">
            <w:pPr>
              <w:pStyle w:val="8"/>
              <w:spacing w:before="27" w:line="237" w:lineRule="auto"/>
              <w:ind w:left="110" w:right="103" w:firstLine="355"/>
            </w:pPr>
            <w:r>
              <w:rPr>
                <w:spacing w:val="-2"/>
              </w:rPr>
              <w:t>第四十六条  违反本规则的规定，船员培训机构未按照交通运输部规定的培训大纲和水上交</w:t>
            </w:r>
            <w:r>
              <w:rPr>
                <w:spacing w:val="-3"/>
              </w:rPr>
              <w:t>通安全、防治</w:t>
            </w:r>
            <w:r>
              <w:t xml:space="preserve"> </w:t>
            </w:r>
            <w:r>
              <w:rPr>
                <w:spacing w:val="-3"/>
              </w:rPr>
              <w:t>船舶污染等要求进行培训的，由海事管理机构责令改正，可以处2万元以上10万元以下罚款；情节严重的，给予</w:t>
            </w:r>
            <w:r>
              <w:rPr>
                <w:spacing w:val="6"/>
              </w:rPr>
              <w:t xml:space="preserve"> </w:t>
            </w:r>
            <w:r>
              <w:rPr>
                <w:spacing w:val="-4"/>
              </w:rPr>
              <w:t>暂扣《船员培训许可证》6个月以上2年以下直至吊销《船员培训许可证》的处罚。</w:t>
            </w:r>
          </w:p>
          <w:p w14:paraId="51AD72AC">
            <w:pPr>
              <w:pStyle w:val="8"/>
              <w:spacing w:before="26" w:line="219" w:lineRule="auto"/>
              <w:ind w:left="462"/>
            </w:pPr>
            <w:r>
              <w:rPr>
                <w:b/>
                <w:bCs/>
                <w:spacing w:val="-7"/>
              </w:rPr>
              <w:t>3.《游艇安全管理规定》（交通运输部令2023年第11号）</w:t>
            </w:r>
          </w:p>
          <w:p w14:paraId="6384BF78">
            <w:pPr>
              <w:pStyle w:val="8"/>
              <w:spacing w:before="26" w:line="233" w:lineRule="auto"/>
              <w:ind w:left="114" w:right="111" w:firstLine="350"/>
            </w:pPr>
            <w:r>
              <w:rPr>
                <w:spacing w:val="-3"/>
              </w:rPr>
              <w:t>第三十六条  游艇操作人员培训机构有下列行为之一的，由海事管理机构责令改正，可以处</w:t>
            </w:r>
            <w:r>
              <w:rPr>
                <w:spacing w:val="-31"/>
              </w:rPr>
              <w:t xml:space="preserve"> </w:t>
            </w:r>
            <w:r>
              <w:rPr>
                <w:spacing w:val="-3"/>
              </w:rPr>
              <w:t>2</w:t>
            </w:r>
            <w:r>
              <w:rPr>
                <w:spacing w:val="-36"/>
              </w:rPr>
              <w:t xml:space="preserve"> </w:t>
            </w:r>
            <w:r>
              <w:rPr>
                <w:spacing w:val="-3"/>
              </w:rPr>
              <w:t>万元以上</w:t>
            </w:r>
            <w:r>
              <w:rPr>
                <w:spacing w:val="-27"/>
              </w:rPr>
              <w:t xml:space="preserve"> </w:t>
            </w:r>
            <w:r>
              <w:rPr>
                <w:spacing w:val="-3"/>
              </w:rPr>
              <w:t>10</w:t>
            </w:r>
            <w:r>
              <w:t xml:space="preserve"> </w:t>
            </w:r>
            <w:r>
              <w:rPr>
                <w:spacing w:val="-3"/>
              </w:rPr>
              <w:t>万元以下罚款；情节严重的，给予暂扣培训许可</w:t>
            </w:r>
            <w:r>
              <w:rPr>
                <w:spacing w:val="-4"/>
              </w:rPr>
              <w:t>证</w:t>
            </w:r>
            <w:r>
              <w:rPr>
                <w:spacing w:val="-38"/>
              </w:rPr>
              <w:t xml:space="preserve"> </w:t>
            </w:r>
            <w:r>
              <w:rPr>
                <w:spacing w:val="-4"/>
              </w:rPr>
              <w:t>6</w:t>
            </w:r>
            <w:r>
              <w:rPr>
                <w:spacing w:val="-38"/>
              </w:rPr>
              <w:t xml:space="preserve"> </w:t>
            </w:r>
            <w:r>
              <w:rPr>
                <w:spacing w:val="-4"/>
              </w:rPr>
              <w:t>个月以上</w:t>
            </w:r>
            <w:r>
              <w:rPr>
                <w:spacing w:val="-38"/>
              </w:rPr>
              <w:t xml:space="preserve"> </w:t>
            </w:r>
            <w:r>
              <w:rPr>
                <w:spacing w:val="-4"/>
              </w:rPr>
              <w:t>2</w:t>
            </w:r>
            <w:r>
              <w:rPr>
                <w:spacing w:val="-38"/>
              </w:rPr>
              <w:t xml:space="preserve"> </w:t>
            </w:r>
            <w:r>
              <w:rPr>
                <w:spacing w:val="-4"/>
              </w:rPr>
              <w:t>年以下直至吊销的处罚：</w:t>
            </w:r>
          </w:p>
          <w:p w14:paraId="7E185095">
            <w:pPr>
              <w:pStyle w:val="8"/>
              <w:spacing w:before="26" w:line="219" w:lineRule="auto"/>
              <w:ind w:left="475"/>
            </w:pPr>
            <w:r>
              <w:rPr>
                <w:spacing w:val="-2"/>
              </w:rPr>
              <w:t>（一）不按照本规定要求和游艇操作人员培训纲要进</w:t>
            </w:r>
            <w:r>
              <w:rPr>
                <w:spacing w:val="-3"/>
              </w:rPr>
              <w:t>行培训，或者擅自降低培训标准；</w:t>
            </w:r>
          </w:p>
          <w:p w14:paraId="56E5F687">
            <w:pPr>
              <w:pStyle w:val="8"/>
              <w:spacing w:before="27" w:line="220" w:lineRule="auto"/>
              <w:ind w:left="475"/>
            </w:pPr>
            <w:r>
              <w:rPr>
                <w:spacing w:val="-3"/>
              </w:rPr>
              <w:t>（二）培训质量低下，达不到规定要求。</w:t>
            </w:r>
          </w:p>
          <w:p w14:paraId="02745D0F">
            <w:pPr>
              <w:pStyle w:val="8"/>
              <w:spacing w:before="26" w:line="219" w:lineRule="auto"/>
              <w:ind w:left="457"/>
            </w:pPr>
            <w:r>
              <w:rPr>
                <w:b/>
                <w:bCs/>
                <w:spacing w:val="-6"/>
              </w:rPr>
              <w:t>4.《中华人民共和国游艇操作人员培训、考试</w:t>
            </w:r>
            <w:r>
              <w:rPr>
                <w:b/>
                <w:bCs/>
                <w:spacing w:val="-7"/>
              </w:rPr>
              <w:t>和发证办法》（海船员〔2021〕163号）</w:t>
            </w:r>
          </w:p>
          <w:p w14:paraId="5A9A92A4">
            <w:pPr>
              <w:pStyle w:val="8"/>
              <w:spacing w:before="26" w:line="232" w:lineRule="auto"/>
              <w:ind w:left="116" w:right="168" w:firstLine="349"/>
            </w:pPr>
            <w:r>
              <w:rPr>
                <w:spacing w:val="-2"/>
              </w:rPr>
              <w:t>第八条第二款  游艇操作人员的培训  游艇操作人员的培训应</w:t>
            </w:r>
            <w:r>
              <w:rPr>
                <w:spacing w:val="-3"/>
              </w:rPr>
              <w:t>按《游艇操作人员理论培训与考试大纲》和</w:t>
            </w:r>
            <w:r>
              <w:t xml:space="preserve"> </w:t>
            </w:r>
            <w:r>
              <w:rPr>
                <w:spacing w:val="-3"/>
              </w:rPr>
              <w:t>《游艇操作人员实际操作培训与评估大纲》的要求进行。</w:t>
            </w:r>
          </w:p>
        </w:tc>
        <w:tc>
          <w:tcPr>
            <w:tcW w:w="1043" w:type="dxa"/>
            <w:vAlign w:val="top"/>
          </w:tcPr>
          <w:p w14:paraId="7C34D499">
            <w:pPr>
              <w:spacing w:line="251" w:lineRule="auto"/>
              <w:rPr>
                <w:rFonts w:ascii="Arial"/>
                <w:sz w:val="21"/>
              </w:rPr>
            </w:pPr>
          </w:p>
          <w:p w14:paraId="53ACC8C2">
            <w:pPr>
              <w:spacing w:line="251" w:lineRule="auto"/>
              <w:rPr>
                <w:rFonts w:ascii="Arial"/>
                <w:sz w:val="21"/>
              </w:rPr>
            </w:pPr>
          </w:p>
          <w:p w14:paraId="130ED5A8">
            <w:pPr>
              <w:spacing w:line="251" w:lineRule="auto"/>
              <w:rPr>
                <w:rFonts w:ascii="Arial"/>
                <w:sz w:val="21"/>
              </w:rPr>
            </w:pPr>
          </w:p>
          <w:p w14:paraId="15D6812A">
            <w:pPr>
              <w:spacing w:line="251" w:lineRule="auto"/>
              <w:rPr>
                <w:rFonts w:ascii="Arial"/>
                <w:sz w:val="21"/>
              </w:rPr>
            </w:pPr>
          </w:p>
          <w:p w14:paraId="56C5516D">
            <w:pPr>
              <w:spacing w:line="251" w:lineRule="auto"/>
              <w:rPr>
                <w:rFonts w:ascii="Arial"/>
                <w:sz w:val="21"/>
              </w:rPr>
            </w:pPr>
          </w:p>
          <w:p w14:paraId="77F3EAB4">
            <w:pPr>
              <w:spacing w:line="251" w:lineRule="auto"/>
              <w:rPr>
                <w:rFonts w:ascii="Arial"/>
                <w:sz w:val="21"/>
              </w:rPr>
            </w:pPr>
          </w:p>
          <w:p w14:paraId="5D2B3E31">
            <w:pPr>
              <w:spacing w:line="251" w:lineRule="auto"/>
              <w:rPr>
                <w:rFonts w:ascii="Arial"/>
                <w:sz w:val="21"/>
              </w:rPr>
            </w:pPr>
          </w:p>
          <w:p w14:paraId="54BDF67C">
            <w:pPr>
              <w:spacing w:line="251" w:lineRule="auto"/>
              <w:rPr>
                <w:rFonts w:ascii="Arial"/>
                <w:sz w:val="21"/>
              </w:rPr>
            </w:pPr>
          </w:p>
          <w:p w14:paraId="28483D50">
            <w:pPr>
              <w:spacing w:line="251" w:lineRule="auto"/>
              <w:rPr>
                <w:rFonts w:ascii="Arial"/>
                <w:sz w:val="21"/>
              </w:rPr>
            </w:pPr>
          </w:p>
          <w:p w14:paraId="2B461425">
            <w:pPr>
              <w:spacing w:line="251" w:lineRule="auto"/>
              <w:rPr>
                <w:rFonts w:ascii="Arial"/>
                <w:sz w:val="21"/>
              </w:rPr>
            </w:pPr>
          </w:p>
          <w:p w14:paraId="404DDBEF">
            <w:pPr>
              <w:spacing w:line="251" w:lineRule="auto"/>
              <w:rPr>
                <w:rFonts w:ascii="Arial"/>
                <w:sz w:val="21"/>
              </w:rPr>
            </w:pPr>
          </w:p>
          <w:p w14:paraId="36AD9748">
            <w:pPr>
              <w:spacing w:line="251" w:lineRule="auto"/>
              <w:rPr>
                <w:rFonts w:ascii="Arial"/>
                <w:sz w:val="21"/>
              </w:rPr>
            </w:pPr>
          </w:p>
          <w:p w14:paraId="26975C93">
            <w:pPr>
              <w:spacing w:line="251" w:lineRule="auto"/>
              <w:rPr>
                <w:rFonts w:ascii="Arial"/>
                <w:sz w:val="21"/>
              </w:rPr>
            </w:pPr>
          </w:p>
          <w:p w14:paraId="7464BA67">
            <w:pPr>
              <w:spacing w:line="251" w:lineRule="auto"/>
              <w:rPr>
                <w:rFonts w:ascii="Arial"/>
                <w:sz w:val="21"/>
              </w:rPr>
            </w:pPr>
          </w:p>
          <w:p w14:paraId="00554B40">
            <w:pPr>
              <w:spacing w:line="251" w:lineRule="auto"/>
              <w:rPr>
                <w:rFonts w:ascii="Arial"/>
                <w:sz w:val="21"/>
              </w:rPr>
            </w:pPr>
          </w:p>
          <w:p w14:paraId="5FECF68A">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6300E09">
            <w:pPr>
              <w:spacing w:line="242" w:lineRule="auto"/>
              <w:rPr>
                <w:rFonts w:ascii="Arial"/>
                <w:sz w:val="21"/>
              </w:rPr>
            </w:pPr>
          </w:p>
          <w:p w14:paraId="46D9B835">
            <w:pPr>
              <w:spacing w:line="242" w:lineRule="auto"/>
              <w:rPr>
                <w:rFonts w:ascii="Arial"/>
                <w:sz w:val="21"/>
              </w:rPr>
            </w:pPr>
          </w:p>
          <w:p w14:paraId="4B5C0CC1">
            <w:pPr>
              <w:spacing w:line="242" w:lineRule="auto"/>
              <w:rPr>
                <w:rFonts w:ascii="Arial"/>
                <w:sz w:val="21"/>
              </w:rPr>
            </w:pPr>
          </w:p>
          <w:p w14:paraId="1A284193">
            <w:pPr>
              <w:spacing w:line="243" w:lineRule="auto"/>
              <w:rPr>
                <w:rFonts w:ascii="Arial"/>
                <w:sz w:val="21"/>
              </w:rPr>
            </w:pPr>
          </w:p>
          <w:p w14:paraId="154D3C29">
            <w:pPr>
              <w:spacing w:line="243" w:lineRule="auto"/>
              <w:rPr>
                <w:rFonts w:ascii="Arial"/>
                <w:sz w:val="21"/>
              </w:rPr>
            </w:pPr>
          </w:p>
          <w:p w14:paraId="4989ABA4">
            <w:pPr>
              <w:spacing w:line="243" w:lineRule="auto"/>
              <w:rPr>
                <w:rFonts w:ascii="Arial"/>
                <w:sz w:val="21"/>
              </w:rPr>
            </w:pPr>
          </w:p>
          <w:p w14:paraId="1484445C">
            <w:pPr>
              <w:spacing w:line="243" w:lineRule="auto"/>
              <w:rPr>
                <w:rFonts w:ascii="Arial"/>
                <w:sz w:val="21"/>
              </w:rPr>
            </w:pPr>
          </w:p>
          <w:p w14:paraId="73C04C8C">
            <w:pPr>
              <w:spacing w:line="243" w:lineRule="auto"/>
              <w:rPr>
                <w:rFonts w:ascii="Arial"/>
                <w:sz w:val="21"/>
              </w:rPr>
            </w:pPr>
          </w:p>
          <w:p w14:paraId="7004A10B">
            <w:pPr>
              <w:spacing w:line="243" w:lineRule="auto"/>
              <w:rPr>
                <w:rFonts w:ascii="Arial"/>
                <w:sz w:val="21"/>
              </w:rPr>
            </w:pPr>
          </w:p>
          <w:p w14:paraId="1B675C87">
            <w:pPr>
              <w:spacing w:line="243" w:lineRule="auto"/>
              <w:rPr>
                <w:rFonts w:ascii="Arial"/>
                <w:sz w:val="21"/>
              </w:rPr>
            </w:pPr>
          </w:p>
          <w:p w14:paraId="42872B7E">
            <w:pPr>
              <w:spacing w:line="243" w:lineRule="auto"/>
              <w:rPr>
                <w:rFonts w:ascii="Arial"/>
                <w:sz w:val="21"/>
              </w:rPr>
            </w:pPr>
          </w:p>
          <w:p w14:paraId="00ECDB6C">
            <w:pPr>
              <w:spacing w:line="243" w:lineRule="auto"/>
              <w:rPr>
                <w:rFonts w:ascii="Arial"/>
                <w:sz w:val="21"/>
              </w:rPr>
            </w:pPr>
          </w:p>
          <w:p w14:paraId="0917CDF5">
            <w:pPr>
              <w:spacing w:line="243" w:lineRule="auto"/>
              <w:rPr>
                <w:rFonts w:ascii="Arial"/>
                <w:sz w:val="21"/>
              </w:rPr>
            </w:pPr>
          </w:p>
          <w:p w14:paraId="70EBABE6">
            <w:pPr>
              <w:spacing w:line="243" w:lineRule="auto"/>
              <w:rPr>
                <w:rFonts w:ascii="Arial"/>
                <w:sz w:val="21"/>
              </w:rPr>
            </w:pPr>
          </w:p>
          <w:p w14:paraId="22E28338">
            <w:pPr>
              <w:spacing w:line="243" w:lineRule="auto"/>
              <w:rPr>
                <w:rFonts w:ascii="Arial"/>
                <w:sz w:val="21"/>
              </w:rPr>
            </w:pPr>
          </w:p>
          <w:p w14:paraId="1CC36E67">
            <w:pPr>
              <w:spacing w:line="243" w:lineRule="auto"/>
              <w:rPr>
                <w:rFonts w:ascii="Arial"/>
                <w:sz w:val="21"/>
              </w:rPr>
            </w:pPr>
          </w:p>
          <w:p w14:paraId="50F98396">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0236032">
            <w:pPr>
              <w:spacing w:line="252" w:lineRule="auto"/>
              <w:rPr>
                <w:rFonts w:ascii="Arial"/>
                <w:sz w:val="21"/>
              </w:rPr>
            </w:pPr>
          </w:p>
          <w:p w14:paraId="0D155506">
            <w:pPr>
              <w:spacing w:line="252" w:lineRule="auto"/>
              <w:rPr>
                <w:rFonts w:ascii="Arial"/>
                <w:sz w:val="21"/>
              </w:rPr>
            </w:pPr>
          </w:p>
          <w:p w14:paraId="55094EAF">
            <w:pPr>
              <w:spacing w:line="252" w:lineRule="auto"/>
              <w:rPr>
                <w:rFonts w:ascii="Arial"/>
                <w:sz w:val="21"/>
              </w:rPr>
            </w:pPr>
          </w:p>
          <w:p w14:paraId="0AD67972">
            <w:pPr>
              <w:spacing w:line="252" w:lineRule="auto"/>
              <w:rPr>
                <w:rFonts w:ascii="Arial"/>
                <w:sz w:val="21"/>
              </w:rPr>
            </w:pPr>
          </w:p>
          <w:p w14:paraId="4D8DD6AE">
            <w:pPr>
              <w:spacing w:line="252" w:lineRule="auto"/>
              <w:rPr>
                <w:rFonts w:ascii="Arial"/>
                <w:sz w:val="21"/>
              </w:rPr>
            </w:pPr>
          </w:p>
          <w:p w14:paraId="45F780C9">
            <w:pPr>
              <w:spacing w:line="252" w:lineRule="auto"/>
              <w:rPr>
                <w:rFonts w:ascii="Arial"/>
                <w:sz w:val="21"/>
              </w:rPr>
            </w:pPr>
          </w:p>
          <w:p w14:paraId="637DEF61">
            <w:pPr>
              <w:spacing w:line="252" w:lineRule="auto"/>
              <w:rPr>
                <w:rFonts w:ascii="Arial"/>
                <w:sz w:val="21"/>
              </w:rPr>
            </w:pPr>
          </w:p>
          <w:p w14:paraId="301B0220">
            <w:pPr>
              <w:spacing w:line="252" w:lineRule="auto"/>
              <w:rPr>
                <w:rFonts w:ascii="Arial"/>
                <w:sz w:val="21"/>
              </w:rPr>
            </w:pPr>
          </w:p>
          <w:p w14:paraId="0A3E66AA">
            <w:pPr>
              <w:spacing w:line="252" w:lineRule="auto"/>
              <w:rPr>
                <w:rFonts w:ascii="Arial"/>
                <w:sz w:val="21"/>
              </w:rPr>
            </w:pPr>
          </w:p>
          <w:p w14:paraId="262FB441">
            <w:pPr>
              <w:spacing w:line="252" w:lineRule="auto"/>
              <w:rPr>
                <w:rFonts w:ascii="Arial"/>
                <w:sz w:val="21"/>
              </w:rPr>
            </w:pPr>
          </w:p>
          <w:p w14:paraId="749CB1D3">
            <w:pPr>
              <w:spacing w:line="252" w:lineRule="auto"/>
              <w:rPr>
                <w:rFonts w:ascii="Arial"/>
                <w:sz w:val="21"/>
              </w:rPr>
            </w:pPr>
          </w:p>
          <w:p w14:paraId="6429AC74">
            <w:pPr>
              <w:spacing w:line="252" w:lineRule="auto"/>
              <w:rPr>
                <w:rFonts w:ascii="Arial"/>
                <w:sz w:val="21"/>
              </w:rPr>
            </w:pPr>
          </w:p>
          <w:p w14:paraId="17BE1DE1">
            <w:pPr>
              <w:spacing w:line="252" w:lineRule="auto"/>
              <w:rPr>
                <w:rFonts w:ascii="Arial"/>
                <w:sz w:val="21"/>
              </w:rPr>
            </w:pPr>
          </w:p>
          <w:p w14:paraId="35F6B9EC">
            <w:pPr>
              <w:spacing w:line="252" w:lineRule="auto"/>
              <w:rPr>
                <w:rFonts w:ascii="Arial"/>
                <w:sz w:val="21"/>
              </w:rPr>
            </w:pPr>
          </w:p>
          <w:p w14:paraId="12C85331">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7889E0DD">
      <w:pPr>
        <w:pStyle w:val="2"/>
      </w:pPr>
    </w:p>
    <w:p w14:paraId="4A838FE8">
      <w:pPr>
        <w:sectPr>
          <w:footerReference r:id="rId187" w:type="default"/>
          <w:pgSz w:w="16839" w:h="11906"/>
          <w:pgMar w:top="1012" w:right="788" w:bottom="967" w:left="787" w:header="0" w:footer="768" w:gutter="0"/>
          <w:cols w:space="720" w:num="1"/>
        </w:sectPr>
      </w:pPr>
    </w:p>
    <w:p w14:paraId="32896367">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70D48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7FE0552F">
            <w:pPr>
              <w:pStyle w:val="8"/>
              <w:spacing w:before="267" w:line="221" w:lineRule="auto"/>
              <w:ind w:left="142"/>
            </w:pPr>
            <w:r>
              <w:rPr>
                <w:b/>
                <w:bCs/>
                <w:spacing w:val="-4"/>
              </w:rPr>
              <w:t>序号</w:t>
            </w:r>
          </w:p>
        </w:tc>
        <w:tc>
          <w:tcPr>
            <w:tcW w:w="1136" w:type="dxa"/>
            <w:vMerge w:val="restart"/>
            <w:tcBorders>
              <w:bottom w:val="nil"/>
            </w:tcBorders>
            <w:vAlign w:val="top"/>
          </w:tcPr>
          <w:p w14:paraId="63C7778C">
            <w:pPr>
              <w:pStyle w:val="8"/>
              <w:spacing w:before="267" w:line="220" w:lineRule="auto"/>
              <w:ind w:left="208"/>
            </w:pPr>
            <w:r>
              <w:rPr>
                <w:b/>
                <w:bCs/>
                <w:spacing w:val="-4"/>
              </w:rPr>
              <w:t>事项名称</w:t>
            </w:r>
          </w:p>
        </w:tc>
        <w:tc>
          <w:tcPr>
            <w:tcW w:w="1136" w:type="dxa"/>
            <w:vMerge w:val="restart"/>
            <w:tcBorders>
              <w:bottom w:val="nil"/>
            </w:tcBorders>
            <w:vAlign w:val="top"/>
          </w:tcPr>
          <w:p w14:paraId="04F6A9DC">
            <w:pPr>
              <w:pStyle w:val="8"/>
              <w:spacing w:before="267" w:line="219" w:lineRule="auto"/>
              <w:ind w:left="210"/>
            </w:pPr>
            <w:r>
              <w:rPr>
                <w:b/>
                <w:bCs/>
                <w:spacing w:val="-4"/>
              </w:rPr>
              <w:t>职权类型</w:t>
            </w:r>
          </w:p>
        </w:tc>
        <w:tc>
          <w:tcPr>
            <w:tcW w:w="8806" w:type="dxa"/>
            <w:vMerge w:val="restart"/>
            <w:tcBorders>
              <w:bottom w:val="nil"/>
            </w:tcBorders>
            <w:vAlign w:val="top"/>
          </w:tcPr>
          <w:p w14:paraId="29BD475E">
            <w:pPr>
              <w:pStyle w:val="8"/>
              <w:spacing w:before="267" w:line="219" w:lineRule="auto"/>
              <w:ind w:left="4050"/>
            </w:pPr>
            <w:r>
              <w:rPr>
                <w:b/>
                <w:bCs/>
                <w:spacing w:val="-5"/>
              </w:rPr>
              <w:t>实施依据</w:t>
            </w:r>
          </w:p>
        </w:tc>
        <w:tc>
          <w:tcPr>
            <w:tcW w:w="3538" w:type="dxa"/>
            <w:gridSpan w:val="3"/>
            <w:vAlign w:val="top"/>
          </w:tcPr>
          <w:p w14:paraId="1245F6EB">
            <w:pPr>
              <w:pStyle w:val="8"/>
              <w:spacing w:before="92" w:line="220" w:lineRule="auto"/>
              <w:ind w:left="1415"/>
            </w:pPr>
            <w:r>
              <w:rPr>
                <w:b/>
                <w:bCs/>
                <w:spacing w:val="-5"/>
              </w:rPr>
              <w:t>实施主体</w:t>
            </w:r>
          </w:p>
        </w:tc>
      </w:tr>
      <w:tr w14:paraId="0855C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1CD1B96A">
            <w:pPr>
              <w:rPr>
                <w:rFonts w:ascii="Arial"/>
                <w:sz w:val="21"/>
              </w:rPr>
            </w:pPr>
          </w:p>
        </w:tc>
        <w:tc>
          <w:tcPr>
            <w:tcW w:w="1136" w:type="dxa"/>
            <w:vMerge w:val="continue"/>
            <w:tcBorders>
              <w:top w:val="nil"/>
            </w:tcBorders>
            <w:vAlign w:val="top"/>
          </w:tcPr>
          <w:p w14:paraId="72C58C39">
            <w:pPr>
              <w:rPr>
                <w:rFonts w:ascii="Arial"/>
                <w:sz w:val="21"/>
              </w:rPr>
            </w:pPr>
          </w:p>
        </w:tc>
        <w:tc>
          <w:tcPr>
            <w:tcW w:w="1136" w:type="dxa"/>
            <w:vMerge w:val="continue"/>
            <w:tcBorders>
              <w:top w:val="nil"/>
            </w:tcBorders>
            <w:vAlign w:val="top"/>
          </w:tcPr>
          <w:p w14:paraId="47BF662A">
            <w:pPr>
              <w:rPr>
                <w:rFonts w:ascii="Arial"/>
                <w:sz w:val="21"/>
              </w:rPr>
            </w:pPr>
          </w:p>
        </w:tc>
        <w:tc>
          <w:tcPr>
            <w:tcW w:w="8806" w:type="dxa"/>
            <w:vMerge w:val="continue"/>
            <w:tcBorders>
              <w:top w:val="nil"/>
            </w:tcBorders>
            <w:vAlign w:val="top"/>
          </w:tcPr>
          <w:p w14:paraId="77E6889B">
            <w:pPr>
              <w:rPr>
                <w:rFonts w:ascii="Arial"/>
                <w:sz w:val="21"/>
              </w:rPr>
            </w:pPr>
          </w:p>
        </w:tc>
        <w:tc>
          <w:tcPr>
            <w:tcW w:w="1043" w:type="dxa"/>
            <w:vAlign w:val="top"/>
          </w:tcPr>
          <w:p w14:paraId="44A96B3A">
            <w:pPr>
              <w:pStyle w:val="8"/>
              <w:spacing w:before="88" w:line="219" w:lineRule="auto"/>
              <w:ind w:left="171"/>
            </w:pPr>
            <w:r>
              <w:rPr>
                <w:b/>
                <w:bCs/>
                <w:spacing w:val="-5"/>
              </w:rPr>
              <w:t>责任部门</w:t>
            </w:r>
          </w:p>
        </w:tc>
        <w:tc>
          <w:tcPr>
            <w:tcW w:w="1448" w:type="dxa"/>
            <w:vAlign w:val="top"/>
          </w:tcPr>
          <w:p w14:paraId="4AF8C40C">
            <w:pPr>
              <w:pStyle w:val="8"/>
              <w:spacing w:before="88" w:line="219" w:lineRule="auto"/>
              <w:ind w:left="187"/>
            </w:pPr>
            <w:r>
              <w:rPr>
                <w:b/>
                <w:bCs/>
                <w:spacing w:val="-3"/>
              </w:rPr>
              <w:t>第一责任层级</w:t>
            </w:r>
          </w:p>
        </w:tc>
        <w:tc>
          <w:tcPr>
            <w:tcW w:w="1047" w:type="dxa"/>
            <w:vAlign w:val="top"/>
          </w:tcPr>
          <w:p w14:paraId="4390F923">
            <w:pPr>
              <w:pStyle w:val="8"/>
              <w:spacing w:before="88" w:line="219" w:lineRule="auto"/>
              <w:ind w:left="165"/>
            </w:pPr>
            <w:r>
              <w:rPr>
                <w:b/>
                <w:bCs/>
                <w:spacing w:val="-4"/>
              </w:rPr>
              <w:t>承办机构</w:t>
            </w:r>
          </w:p>
        </w:tc>
      </w:tr>
      <w:tr w14:paraId="73F60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8" w:hRule="atLeast"/>
        </w:trPr>
        <w:tc>
          <w:tcPr>
            <w:tcW w:w="641" w:type="dxa"/>
            <w:vAlign w:val="top"/>
          </w:tcPr>
          <w:p w14:paraId="0E6AFD73">
            <w:pPr>
              <w:spacing w:line="255" w:lineRule="auto"/>
              <w:rPr>
                <w:rFonts w:ascii="Arial"/>
                <w:sz w:val="21"/>
              </w:rPr>
            </w:pPr>
          </w:p>
          <w:p w14:paraId="37557E59">
            <w:pPr>
              <w:spacing w:line="255" w:lineRule="auto"/>
              <w:rPr>
                <w:rFonts w:ascii="Arial"/>
                <w:sz w:val="21"/>
              </w:rPr>
            </w:pPr>
          </w:p>
          <w:p w14:paraId="50C7CCD8">
            <w:pPr>
              <w:spacing w:line="255" w:lineRule="auto"/>
              <w:rPr>
                <w:rFonts w:ascii="Arial"/>
                <w:sz w:val="21"/>
              </w:rPr>
            </w:pPr>
          </w:p>
          <w:p w14:paraId="317B10F2">
            <w:pPr>
              <w:spacing w:line="255" w:lineRule="auto"/>
              <w:rPr>
                <w:rFonts w:ascii="Arial"/>
                <w:sz w:val="21"/>
              </w:rPr>
            </w:pPr>
          </w:p>
          <w:p w14:paraId="41E669D0">
            <w:pPr>
              <w:spacing w:line="255" w:lineRule="auto"/>
              <w:rPr>
                <w:rFonts w:ascii="Arial"/>
                <w:sz w:val="21"/>
              </w:rPr>
            </w:pPr>
          </w:p>
          <w:p w14:paraId="1951F069">
            <w:pPr>
              <w:spacing w:line="255" w:lineRule="auto"/>
              <w:rPr>
                <w:rFonts w:ascii="Arial"/>
                <w:sz w:val="21"/>
              </w:rPr>
            </w:pPr>
          </w:p>
          <w:p w14:paraId="21A4105B">
            <w:pPr>
              <w:spacing w:line="255" w:lineRule="auto"/>
              <w:rPr>
                <w:rFonts w:ascii="Arial"/>
                <w:sz w:val="21"/>
              </w:rPr>
            </w:pPr>
          </w:p>
          <w:p w14:paraId="3A6DAC18">
            <w:pPr>
              <w:pStyle w:val="8"/>
              <w:spacing w:before="59" w:line="183" w:lineRule="auto"/>
              <w:ind w:left="238"/>
            </w:pPr>
            <w:r>
              <w:rPr>
                <w:spacing w:val="-5"/>
              </w:rPr>
              <w:t>38</w:t>
            </w:r>
          </w:p>
        </w:tc>
        <w:tc>
          <w:tcPr>
            <w:tcW w:w="1136" w:type="dxa"/>
            <w:vAlign w:val="top"/>
          </w:tcPr>
          <w:p w14:paraId="3179F08C">
            <w:pPr>
              <w:spacing w:line="261" w:lineRule="auto"/>
              <w:rPr>
                <w:rFonts w:ascii="Arial"/>
                <w:sz w:val="21"/>
              </w:rPr>
            </w:pPr>
          </w:p>
          <w:p w14:paraId="717316C7">
            <w:pPr>
              <w:spacing w:line="261" w:lineRule="auto"/>
              <w:rPr>
                <w:rFonts w:ascii="Arial"/>
                <w:sz w:val="21"/>
              </w:rPr>
            </w:pPr>
          </w:p>
          <w:p w14:paraId="3849A94D">
            <w:pPr>
              <w:spacing w:line="261" w:lineRule="auto"/>
              <w:rPr>
                <w:rFonts w:ascii="Arial"/>
                <w:sz w:val="21"/>
              </w:rPr>
            </w:pPr>
          </w:p>
          <w:p w14:paraId="3EAF23EF">
            <w:pPr>
              <w:spacing w:line="261" w:lineRule="auto"/>
              <w:rPr>
                <w:rFonts w:ascii="Arial"/>
                <w:sz w:val="21"/>
              </w:rPr>
            </w:pPr>
          </w:p>
          <w:p w14:paraId="02C6F2AE">
            <w:pPr>
              <w:pStyle w:val="8"/>
              <w:spacing w:before="59" w:line="242" w:lineRule="auto"/>
              <w:ind w:left="109" w:right="104"/>
              <w:jc w:val="both"/>
            </w:pPr>
            <w:r>
              <w:rPr>
                <w:spacing w:val="3"/>
              </w:rPr>
              <w:t>对未将招用</w:t>
            </w:r>
            <w:r>
              <w:rPr>
                <w:spacing w:val="1"/>
              </w:rPr>
              <w:t xml:space="preserve"> </w:t>
            </w:r>
            <w:r>
              <w:rPr>
                <w:spacing w:val="3"/>
              </w:rPr>
              <w:t>或者管理的</w:t>
            </w:r>
            <w:r>
              <w:rPr>
                <w:spacing w:val="1"/>
              </w:rPr>
              <w:t xml:space="preserve"> </w:t>
            </w:r>
            <w:r>
              <w:rPr>
                <w:spacing w:val="3"/>
              </w:rPr>
              <w:t>船员的有关</w:t>
            </w:r>
            <w:r>
              <w:rPr>
                <w:spacing w:val="1"/>
              </w:rPr>
              <w:t xml:space="preserve"> </w:t>
            </w:r>
            <w:r>
              <w:rPr>
                <w:spacing w:val="3"/>
              </w:rPr>
              <w:t>情况定期报</w:t>
            </w:r>
            <w:r>
              <w:rPr>
                <w:spacing w:val="1"/>
              </w:rPr>
              <w:t xml:space="preserve"> </w:t>
            </w:r>
            <w:r>
              <w:rPr>
                <w:spacing w:val="3"/>
              </w:rPr>
              <w:t>海事管理机</w:t>
            </w:r>
            <w:r>
              <w:rPr>
                <w:spacing w:val="1"/>
              </w:rPr>
              <w:t xml:space="preserve"> </w:t>
            </w:r>
            <w:r>
              <w:rPr>
                <w:spacing w:val="3"/>
              </w:rPr>
              <w:t>构备案行为</w:t>
            </w:r>
            <w:r>
              <w:rPr>
                <w:spacing w:val="1"/>
              </w:rPr>
              <w:t xml:space="preserve"> </w:t>
            </w:r>
            <w:r>
              <w:rPr>
                <w:spacing w:val="-4"/>
              </w:rPr>
              <w:t>的行政处罚</w:t>
            </w:r>
          </w:p>
        </w:tc>
        <w:tc>
          <w:tcPr>
            <w:tcW w:w="1136" w:type="dxa"/>
            <w:vAlign w:val="top"/>
          </w:tcPr>
          <w:p w14:paraId="4ED33765">
            <w:pPr>
              <w:spacing w:line="251" w:lineRule="auto"/>
              <w:rPr>
                <w:rFonts w:ascii="Arial"/>
                <w:sz w:val="21"/>
              </w:rPr>
            </w:pPr>
          </w:p>
          <w:p w14:paraId="394D9F15">
            <w:pPr>
              <w:spacing w:line="251" w:lineRule="auto"/>
              <w:rPr>
                <w:rFonts w:ascii="Arial"/>
                <w:sz w:val="21"/>
              </w:rPr>
            </w:pPr>
          </w:p>
          <w:p w14:paraId="20EE5D6C">
            <w:pPr>
              <w:spacing w:line="251" w:lineRule="auto"/>
              <w:rPr>
                <w:rFonts w:ascii="Arial"/>
                <w:sz w:val="21"/>
              </w:rPr>
            </w:pPr>
          </w:p>
          <w:p w14:paraId="1832307A">
            <w:pPr>
              <w:spacing w:line="251" w:lineRule="auto"/>
              <w:rPr>
                <w:rFonts w:ascii="Arial"/>
                <w:sz w:val="21"/>
              </w:rPr>
            </w:pPr>
          </w:p>
          <w:p w14:paraId="59A1FA84">
            <w:pPr>
              <w:spacing w:line="251" w:lineRule="auto"/>
              <w:rPr>
                <w:rFonts w:ascii="Arial"/>
                <w:sz w:val="21"/>
              </w:rPr>
            </w:pPr>
          </w:p>
          <w:p w14:paraId="7920F855">
            <w:pPr>
              <w:spacing w:line="251" w:lineRule="auto"/>
              <w:rPr>
                <w:rFonts w:ascii="Arial"/>
                <w:sz w:val="21"/>
              </w:rPr>
            </w:pPr>
          </w:p>
          <w:p w14:paraId="4B15F18E">
            <w:pPr>
              <w:spacing w:line="251" w:lineRule="auto"/>
              <w:rPr>
                <w:rFonts w:ascii="Arial"/>
                <w:sz w:val="21"/>
              </w:rPr>
            </w:pPr>
          </w:p>
          <w:p w14:paraId="1019DE16">
            <w:pPr>
              <w:pStyle w:val="8"/>
              <w:spacing w:before="58" w:line="220" w:lineRule="auto"/>
              <w:ind w:left="114"/>
            </w:pPr>
            <w:r>
              <w:rPr>
                <w:spacing w:val="-7"/>
              </w:rPr>
              <w:t>行政处罚</w:t>
            </w:r>
          </w:p>
        </w:tc>
        <w:tc>
          <w:tcPr>
            <w:tcW w:w="8806" w:type="dxa"/>
            <w:vAlign w:val="top"/>
          </w:tcPr>
          <w:p w14:paraId="0AAFB7AF">
            <w:pPr>
              <w:spacing w:line="326" w:lineRule="auto"/>
              <w:rPr>
                <w:rFonts w:ascii="Arial"/>
                <w:sz w:val="21"/>
              </w:rPr>
            </w:pPr>
          </w:p>
          <w:p w14:paraId="78408168">
            <w:pPr>
              <w:pStyle w:val="8"/>
              <w:spacing w:before="58" w:line="219" w:lineRule="auto"/>
              <w:ind w:left="471"/>
            </w:pPr>
            <w:r>
              <w:rPr>
                <w:b/>
                <w:bCs/>
                <w:spacing w:val="-8"/>
              </w:rPr>
              <w:t>1.《中华人民共和国船员条例》</w:t>
            </w:r>
          </w:p>
          <w:p w14:paraId="6EA2CD88">
            <w:pPr>
              <w:pStyle w:val="8"/>
              <w:spacing w:before="26" w:line="241" w:lineRule="auto"/>
              <w:ind w:left="110" w:right="151" w:firstLine="355"/>
              <w:jc w:val="both"/>
            </w:pPr>
            <w:r>
              <w:rPr>
                <w:spacing w:val="-2"/>
              </w:rPr>
              <w:t>第三十六条第一款  从事代理船员办理申请培训、考试、申领证书(包括外国海洋船舶船员证书)</w:t>
            </w:r>
            <w:r>
              <w:rPr>
                <w:spacing w:val="-3"/>
              </w:rPr>
              <w:t>等有关手</w:t>
            </w:r>
            <w:r>
              <w:t xml:space="preserve"> </w:t>
            </w:r>
            <w:r>
              <w:rPr>
                <w:spacing w:val="-2"/>
              </w:rPr>
              <w:t>续，代理船员用人单位管理船员事务，提供船舶配员等船员服务业务的机构(以下简称船员服务</w:t>
            </w:r>
            <w:r>
              <w:rPr>
                <w:spacing w:val="-3"/>
              </w:rPr>
              <w:t>机构)应当建立</w:t>
            </w:r>
            <w:r>
              <w:t xml:space="preserve"> </w:t>
            </w:r>
            <w:r>
              <w:rPr>
                <w:spacing w:val="-2"/>
              </w:rPr>
              <w:t>船员档案，加强船舶配员管理，掌握船员的培训、任职资历、安全记录、健康状况等情况并将上</w:t>
            </w:r>
            <w:r>
              <w:rPr>
                <w:spacing w:val="-3"/>
              </w:rPr>
              <w:t>述情况定期报</w:t>
            </w:r>
            <w:r>
              <w:t xml:space="preserve"> </w:t>
            </w:r>
            <w:r>
              <w:rPr>
                <w:spacing w:val="-2"/>
              </w:rPr>
              <w:t>监管机构备案。关于船员劳务派遣业务的信息报劳动保障行政部门备案，关于其他业务的信息报</w:t>
            </w:r>
            <w:r>
              <w:rPr>
                <w:spacing w:val="-3"/>
              </w:rPr>
              <w:t>海事管理机构</w:t>
            </w:r>
            <w:r>
              <w:t xml:space="preserve"> </w:t>
            </w:r>
            <w:r>
              <w:rPr>
                <w:spacing w:val="-4"/>
              </w:rPr>
              <w:t>备案。</w:t>
            </w:r>
          </w:p>
          <w:p w14:paraId="02457F8F">
            <w:pPr>
              <w:pStyle w:val="8"/>
              <w:spacing w:before="24" w:line="233" w:lineRule="auto"/>
              <w:ind w:left="112" w:right="153" w:firstLine="353"/>
            </w:pPr>
            <w:r>
              <w:rPr>
                <w:spacing w:val="-2"/>
              </w:rPr>
              <w:t>第五十七条  违反本条例的规定，船员服务机构和船员用人单位未将其招用或者管理的船员</w:t>
            </w:r>
            <w:r>
              <w:rPr>
                <w:spacing w:val="-3"/>
              </w:rPr>
              <w:t>的有关情况定</w:t>
            </w:r>
            <w:r>
              <w:t xml:space="preserve"> </w:t>
            </w:r>
            <w:r>
              <w:rPr>
                <w:spacing w:val="-3"/>
              </w:rPr>
              <w:t>期报海事管理机构备案的，由海事管理机构或者劳动保障行政部门责令改正，处5000元以上2万元以下罚款。</w:t>
            </w:r>
          </w:p>
          <w:p w14:paraId="40B2A636">
            <w:pPr>
              <w:pStyle w:val="8"/>
              <w:spacing w:before="26" w:line="219" w:lineRule="auto"/>
              <w:ind w:left="460"/>
            </w:pPr>
            <w:r>
              <w:rPr>
                <w:b/>
                <w:bCs/>
                <w:spacing w:val="-7"/>
              </w:rPr>
              <w:t>2.《中华人民共和国内河海事行政处罚规定》（交通运输部令2022年第28号）</w:t>
            </w:r>
          </w:p>
          <w:p w14:paraId="7F113604">
            <w:pPr>
              <w:pStyle w:val="8"/>
              <w:spacing w:before="26" w:line="233" w:lineRule="auto"/>
              <w:ind w:left="112" w:right="247" w:firstLine="358"/>
            </w:pPr>
            <w:r>
              <w:t>第十三条  船员服务机构和船员用人单位未将其招用或者管理</w:t>
            </w:r>
            <w:r>
              <w:rPr>
                <w:spacing w:val="-1"/>
              </w:rPr>
              <w:t>的船员的有关情况定期向海事管理机构备</w:t>
            </w:r>
            <w:r>
              <w:t xml:space="preserve"> </w:t>
            </w:r>
            <w:r>
              <w:rPr>
                <w:spacing w:val="-4"/>
              </w:rPr>
              <w:t>案的，按照《</w:t>
            </w:r>
            <w:r>
              <w:fldChar w:fldCharType="begin"/>
            </w:r>
            <w:r>
              <w:instrText xml:space="preserve"> HYPERLINK "https://www.pkulaw.com/chl/4ec1101dd6552414bdfb.html" </w:instrText>
            </w:r>
            <w:r>
              <w:fldChar w:fldCharType="separate"/>
            </w:r>
            <w:r>
              <w:rPr>
                <w:spacing w:val="-4"/>
              </w:rPr>
              <w:t>船员条例</w:t>
            </w:r>
            <w:r>
              <w:rPr>
                <w:spacing w:val="-4"/>
              </w:rPr>
              <w:fldChar w:fldCharType="end"/>
            </w:r>
            <w:r>
              <w:rPr>
                <w:spacing w:val="-4"/>
              </w:rPr>
              <w:t>》第</w:t>
            </w:r>
            <w:r>
              <w:fldChar w:fldCharType="begin"/>
            </w:r>
            <w:r>
              <w:instrText xml:space="preserve"> HYPERLINK "https://www.pkulaw.com/chl/4ec1101dd6552414bdfb.html" </w:instrText>
            </w:r>
            <w:r>
              <w:fldChar w:fldCharType="separate"/>
            </w:r>
            <w:r>
              <w:rPr>
                <w:spacing w:val="-4"/>
              </w:rPr>
              <w:t>五十八条</w:t>
            </w:r>
            <w:r>
              <w:rPr>
                <w:spacing w:val="-4"/>
              </w:rPr>
              <w:fldChar w:fldCharType="end"/>
            </w:r>
            <w:r>
              <w:rPr>
                <w:spacing w:val="-4"/>
              </w:rPr>
              <w:t>的规定，对责任单位处以5000元以上2万元以下罚款。</w:t>
            </w:r>
          </w:p>
          <w:p w14:paraId="578B84F9">
            <w:pPr>
              <w:pStyle w:val="8"/>
              <w:spacing w:before="25" w:line="233" w:lineRule="auto"/>
              <w:ind w:left="114" w:right="156" w:firstLine="356"/>
            </w:pPr>
            <w:r>
              <w:rPr>
                <w:spacing w:val="-1"/>
              </w:rPr>
              <w:t>本条第一款所称船员服务机构和船员用人单位未定期向海事管理机构备案，包括下列情形</w:t>
            </w:r>
            <w:r>
              <w:rPr>
                <w:spacing w:val="-32"/>
              </w:rPr>
              <w:t>：（</w:t>
            </w:r>
            <w:r>
              <w:rPr>
                <w:spacing w:val="-1"/>
              </w:rPr>
              <w:t>一）未按规</w:t>
            </w:r>
            <w:r>
              <w:t xml:space="preserve"> </w:t>
            </w:r>
            <w:r>
              <w:rPr>
                <w:spacing w:val="-1"/>
              </w:rPr>
              <w:t>定进行备案，或者备案内容不全面、不真实</w:t>
            </w:r>
            <w:r>
              <w:rPr>
                <w:spacing w:val="-8"/>
              </w:rPr>
              <w:t>；（</w:t>
            </w:r>
            <w:r>
              <w:rPr>
                <w:spacing w:val="-1"/>
              </w:rPr>
              <w:t>二）未按照规定时</w:t>
            </w:r>
            <w:r>
              <w:rPr>
                <w:spacing w:val="-2"/>
              </w:rPr>
              <w:t>间备案</w:t>
            </w:r>
            <w:r>
              <w:rPr>
                <w:spacing w:val="-8"/>
              </w:rPr>
              <w:t>；（</w:t>
            </w:r>
            <w:r>
              <w:rPr>
                <w:spacing w:val="-2"/>
              </w:rPr>
              <w:t>三）未按照规定的形式备案。</w:t>
            </w:r>
          </w:p>
        </w:tc>
        <w:tc>
          <w:tcPr>
            <w:tcW w:w="1043" w:type="dxa"/>
            <w:vAlign w:val="top"/>
          </w:tcPr>
          <w:p w14:paraId="2300BB0F">
            <w:pPr>
              <w:spacing w:line="272" w:lineRule="auto"/>
              <w:rPr>
                <w:rFonts w:ascii="Arial"/>
                <w:sz w:val="21"/>
              </w:rPr>
            </w:pPr>
          </w:p>
          <w:p w14:paraId="65ECA459">
            <w:pPr>
              <w:spacing w:line="273" w:lineRule="auto"/>
              <w:rPr>
                <w:rFonts w:ascii="Arial"/>
                <w:sz w:val="21"/>
              </w:rPr>
            </w:pPr>
          </w:p>
          <w:p w14:paraId="73626FA6">
            <w:pPr>
              <w:spacing w:line="273" w:lineRule="auto"/>
              <w:rPr>
                <w:rFonts w:ascii="Arial"/>
                <w:sz w:val="21"/>
              </w:rPr>
            </w:pPr>
          </w:p>
          <w:p w14:paraId="7F282501">
            <w:pPr>
              <w:spacing w:line="273" w:lineRule="auto"/>
              <w:rPr>
                <w:rFonts w:ascii="Arial"/>
                <w:sz w:val="21"/>
              </w:rPr>
            </w:pPr>
          </w:p>
          <w:p w14:paraId="591BE91D">
            <w:pPr>
              <w:spacing w:line="273" w:lineRule="auto"/>
              <w:rPr>
                <w:rFonts w:ascii="Arial"/>
                <w:sz w:val="21"/>
              </w:rPr>
            </w:pPr>
          </w:p>
          <w:p w14:paraId="3645E048">
            <w:pPr>
              <w:spacing w:line="273" w:lineRule="auto"/>
              <w:rPr>
                <w:rFonts w:ascii="Arial"/>
                <w:sz w:val="21"/>
              </w:rPr>
            </w:pPr>
          </w:p>
          <w:p w14:paraId="69F05A1E">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6175629F">
            <w:pPr>
              <w:spacing w:line="251" w:lineRule="auto"/>
              <w:rPr>
                <w:rFonts w:ascii="Arial"/>
                <w:sz w:val="21"/>
              </w:rPr>
            </w:pPr>
          </w:p>
          <w:p w14:paraId="63890474">
            <w:pPr>
              <w:spacing w:line="251" w:lineRule="auto"/>
              <w:rPr>
                <w:rFonts w:ascii="Arial"/>
                <w:sz w:val="21"/>
              </w:rPr>
            </w:pPr>
          </w:p>
          <w:p w14:paraId="7627FCC5">
            <w:pPr>
              <w:spacing w:line="251" w:lineRule="auto"/>
              <w:rPr>
                <w:rFonts w:ascii="Arial"/>
                <w:sz w:val="21"/>
              </w:rPr>
            </w:pPr>
          </w:p>
          <w:p w14:paraId="70288738">
            <w:pPr>
              <w:spacing w:line="251" w:lineRule="auto"/>
              <w:rPr>
                <w:rFonts w:ascii="Arial"/>
                <w:sz w:val="21"/>
              </w:rPr>
            </w:pPr>
          </w:p>
          <w:p w14:paraId="0BBE5E07">
            <w:pPr>
              <w:spacing w:line="251" w:lineRule="auto"/>
              <w:rPr>
                <w:rFonts w:ascii="Arial"/>
                <w:sz w:val="21"/>
              </w:rPr>
            </w:pPr>
          </w:p>
          <w:p w14:paraId="3831730C">
            <w:pPr>
              <w:spacing w:line="251" w:lineRule="auto"/>
              <w:rPr>
                <w:rFonts w:ascii="Arial"/>
                <w:sz w:val="21"/>
              </w:rPr>
            </w:pPr>
          </w:p>
          <w:p w14:paraId="097B8C6F">
            <w:pPr>
              <w:spacing w:line="251" w:lineRule="auto"/>
              <w:rPr>
                <w:rFonts w:ascii="Arial"/>
                <w:sz w:val="21"/>
              </w:rPr>
            </w:pPr>
          </w:p>
          <w:p w14:paraId="75119C35">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46548EE">
            <w:pPr>
              <w:spacing w:line="280" w:lineRule="auto"/>
              <w:rPr>
                <w:rFonts w:ascii="Arial"/>
                <w:sz w:val="21"/>
              </w:rPr>
            </w:pPr>
          </w:p>
          <w:p w14:paraId="199AFE2B">
            <w:pPr>
              <w:spacing w:line="280" w:lineRule="auto"/>
              <w:rPr>
                <w:rFonts w:ascii="Arial"/>
                <w:sz w:val="21"/>
              </w:rPr>
            </w:pPr>
          </w:p>
          <w:p w14:paraId="78E4ADCA">
            <w:pPr>
              <w:spacing w:line="280" w:lineRule="auto"/>
              <w:rPr>
                <w:rFonts w:ascii="Arial"/>
                <w:sz w:val="21"/>
              </w:rPr>
            </w:pPr>
          </w:p>
          <w:p w14:paraId="507F7C50">
            <w:pPr>
              <w:spacing w:line="280" w:lineRule="auto"/>
              <w:rPr>
                <w:rFonts w:ascii="Arial"/>
                <w:sz w:val="21"/>
              </w:rPr>
            </w:pPr>
          </w:p>
          <w:p w14:paraId="09FA9253">
            <w:pPr>
              <w:spacing w:line="280" w:lineRule="auto"/>
              <w:rPr>
                <w:rFonts w:ascii="Arial"/>
                <w:sz w:val="21"/>
              </w:rPr>
            </w:pPr>
          </w:p>
          <w:p w14:paraId="6443614A">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C997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4" w:hRule="atLeast"/>
        </w:trPr>
        <w:tc>
          <w:tcPr>
            <w:tcW w:w="641" w:type="dxa"/>
            <w:vAlign w:val="top"/>
          </w:tcPr>
          <w:p w14:paraId="3E9587ED">
            <w:pPr>
              <w:spacing w:line="257" w:lineRule="auto"/>
              <w:rPr>
                <w:rFonts w:ascii="Arial"/>
                <w:sz w:val="21"/>
              </w:rPr>
            </w:pPr>
          </w:p>
          <w:p w14:paraId="7C042D28">
            <w:pPr>
              <w:spacing w:line="257" w:lineRule="auto"/>
              <w:rPr>
                <w:rFonts w:ascii="Arial"/>
                <w:sz w:val="21"/>
              </w:rPr>
            </w:pPr>
          </w:p>
          <w:p w14:paraId="7BF10133">
            <w:pPr>
              <w:spacing w:line="257" w:lineRule="auto"/>
              <w:rPr>
                <w:rFonts w:ascii="Arial"/>
                <w:sz w:val="21"/>
              </w:rPr>
            </w:pPr>
          </w:p>
          <w:p w14:paraId="47707A51">
            <w:pPr>
              <w:pStyle w:val="8"/>
              <w:spacing w:before="59" w:line="183" w:lineRule="auto"/>
              <w:ind w:left="238"/>
            </w:pPr>
            <w:r>
              <w:rPr>
                <w:spacing w:val="-5"/>
              </w:rPr>
              <w:t>39</w:t>
            </w:r>
          </w:p>
        </w:tc>
        <w:tc>
          <w:tcPr>
            <w:tcW w:w="1136" w:type="dxa"/>
            <w:vAlign w:val="top"/>
          </w:tcPr>
          <w:p w14:paraId="7B5A5DDF">
            <w:pPr>
              <w:pStyle w:val="8"/>
              <w:spacing w:before="83" w:line="243" w:lineRule="auto"/>
              <w:ind w:left="109" w:right="101"/>
            </w:pPr>
            <w:r>
              <w:rPr>
                <w:spacing w:val="3"/>
              </w:rPr>
              <w:t>对船员服务</w:t>
            </w:r>
            <w:r>
              <w:rPr>
                <w:spacing w:val="1"/>
              </w:rPr>
              <w:t xml:space="preserve"> </w:t>
            </w:r>
            <w:r>
              <w:rPr>
                <w:spacing w:val="3"/>
              </w:rPr>
              <w:t>机构提供船</w:t>
            </w:r>
            <w:r>
              <w:rPr>
                <w:spacing w:val="1"/>
              </w:rPr>
              <w:t xml:space="preserve"> </w:t>
            </w:r>
            <w:r>
              <w:rPr>
                <w:spacing w:val="3"/>
              </w:rPr>
              <w:t>员服务时，</w:t>
            </w:r>
            <w:r>
              <w:t xml:space="preserve"> </w:t>
            </w:r>
            <w:r>
              <w:rPr>
                <w:spacing w:val="4"/>
              </w:rPr>
              <w:t>提供虚假信</w:t>
            </w:r>
            <w:r>
              <w:t xml:space="preserve"> </w:t>
            </w:r>
            <w:r>
              <w:rPr>
                <w:spacing w:val="3"/>
              </w:rPr>
              <w:t>息，欺诈船</w:t>
            </w:r>
            <w:r>
              <w:t xml:space="preserve"> </w:t>
            </w:r>
            <w:r>
              <w:rPr>
                <w:spacing w:val="3"/>
              </w:rPr>
              <w:t>员行为的行</w:t>
            </w:r>
            <w:r>
              <w:rPr>
                <w:spacing w:val="1"/>
              </w:rPr>
              <w:t xml:space="preserve"> </w:t>
            </w:r>
            <w:r>
              <w:rPr>
                <w:spacing w:val="-4"/>
              </w:rPr>
              <w:t>政处罚</w:t>
            </w:r>
          </w:p>
        </w:tc>
        <w:tc>
          <w:tcPr>
            <w:tcW w:w="1136" w:type="dxa"/>
            <w:vAlign w:val="top"/>
          </w:tcPr>
          <w:p w14:paraId="21F36AA3">
            <w:pPr>
              <w:spacing w:line="247" w:lineRule="auto"/>
              <w:rPr>
                <w:rFonts w:ascii="Arial"/>
                <w:sz w:val="21"/>
              </w:rPr>
            </w:pPr>
          </w:p>
          <w:p w14:paraId="2F1DB08A">
            <w:pPr>
              <w:spacing w:line="248" w:lineRule="auto"/>
              <w:rPr>
                <w:rFonts w:ascii="Arial"/>
                <w:sz w:val="21"/>
              </w:rPr>
            </w:pPr>
          </w:p>
          <w:p w14:paraId="1B79A0D1">
            <w:pPr>
              <w:spacing w:line="248" w:lineRule="auto"/>
              <w:rPr>
                <w:rFonts w:ascii="Arial"/>
                <w:sz w:val="21"/>
              </w:rPr>
            </w:pPr>
          </w:p>
          <w:p w14:paraId="15F22162">
            <w:pPr>
              <w:pStyle w:val="8"/>
              <w:spacing w:before="59" w:line="220" w:lineRule="auto"/>
              <w:ind w:left="114"/>
            </w:pPr>
            <w:r>
              <w:rPr>
                <w:spacing w:val="-7"/>
              </w:rPr>
              <w:t>行政处罚</w:t>
            </w:r>
          </w:p>
        </w:tc>
        <w:tc>
          <w:tcPr>
            <w:tcW w:w="8806" w:type="dxa"/>
            <w:vAlign w:val="top"/>
          </w:tcPr>
          <w:p w14:paraId="07859ADC">
            <w:pPr>
              <w:pStyle w:val="8"/>
              <w:spacing w:before="207" w:line="219" w:lineRule="auto"/>
              <w:ind w:left="473"/>
            </w:pPr>
            <w:r>
              <w:rPr>
                <w:b/>
                <w:bCs/>
                <w:spacing w:val="-5"/>
              </w:rPr>
              <w:t>《中华人民共和国船员条例》</w:t>
            </w:r>
          </w:p>
          <w:p w14:paraId="34AF153E">
            <w:pPr>
              <w:pStyle w:val="8"/>
              <w:spacing w:before="25" w:line="219" w:lineRule="auto"/>
              <w:ind w:left="468"/>
            </w:pPr>
            <w:r>
              <w:rPr>
                <w:spacing w:val="-2"/>
              </w:rPr>
              <w:t>第三十八条  船员服务机构为船员提供服务，应当诚实守信，不得提供虚假信息，不得损害</w:t>
            </w:r>
            <w:r>
              <w:rPr>
                <w:spacing w:val="-3"/>
              </w:rPr>
              <w:t>船员的合法权</w:t>
            </w:r>
          </w:p>
          <w:p w14:paraId="36F5FC89">
            <w:pPr>
              <w:pStyle w:val="8"/>
              <w:spacing w:before="27" w:line="229" w:lineRule="auto"/>
              <w:ind w:left="112"/>
            </w:pPr>
            <w:r>
              <w:rPr>
                <w:spacing w:val="-5"/>
              </w:rPr>
              <w:t>益。</w:t>
            </w:r>
          </w:p>
          <w:p w14:paraId="6A4DCD43">
            <w:pPr>
              <w:pStyle w:val="8"/>
              <w:spacing w:before="17" w:line="237" w:lineRule="auto"/>
              <w:ind w:left="110" w:right="153" w:firstLine="357"/>
              <w:jc w:val="both"/>
            </w:pPr>
            <w:r>
              <w:rPr>
                <w:spacing w:val="-2"/>
              </w:rPr>
              <w:t>第五十八条  违反本条例的规定，船员服务机构在提供船员服务时，提供虚假信息，欺</w:t>
            </w:r>
            <w:r>
              <w:rPr>
                <w:spacing w:val="-3"/>
              </w:rPr>
              <w:t>诈船员的，由海事</w:t>
            </w:r>
            <w:r>
              <w:t xml:space="preserve"> </w:t>
            </w:r>
            <w:r>
              <w:rPr>
                <w:spacing w:val="-2"/>
              </w:rPr>
              <w:t>管理机构或者劳动保障行政部门责令改正，处3万元以上15万元以下罚款；情节严重的</w:t>
            </w:r>
            <w:r>
              <w:rPr>
                <w:spacing w:val="-3"/>
              </w:rPr>
              <w:t>，并给予暂停船员服务6</w:t>
            </w:r>
            <w:r>
              <w:t xml:space="preserve"> </w:t>
            </w:r>
            <w:r>
              <w:rPr>
                <w:spacing w:val="-5"/>
              </w:rPr>
              <w:t>个月以上2年以下直至吊销相关业务经营许可的处罚。</w:t>
            </w:r>
          </w:p>
        </w:tc>
        <w:tc>
          <w:tcPr>
            <w:tcW w:w="1043" w:type="dxa"/>
            <w:vAlign w:val="top"/>
          </w:tcPr>
          <w:p w14:paraId="2595B2E2">
            <w:pPr>
              <w:spacing w:line="312" w:lineRule="auto"/>
              <w:rPr>
                <w:rFonts w:ascii="Arial"/>
                <w:sz w:val="21"/>
              </w:rPr>
            </w:pPr>
          </w:p>
          <w:p w14:paraId="5F6AF6BB">
            <w:pPr>
              <w:spacing w:line="312" w:lineRule="auto"/>
              <w:rPr>
                <w:rFonts w:ascii="Arial"/>
                <w:sz w:val="21"/>
              </w:rPr>
            </w:pPr>
          </w:p>
          <w:p w14:paraId="4B314ACD">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018E26F5">
            <w:pPr>
              <w:spacing w:line="248" w:lineRule="auto"/>
              <w:rPr>
                <w:rFonts w:ascii="Arial"/>
                <w:sz w:val="21"/>
              </w:rPr>
            </w:pPr>
          </w:p>
          <w:p w14:paraId="79357916">
            <w:pPr>
              <w:spacing w:line="248" w:lineRule="auto"/>
              <w:rPr>
                <w:rFonts w:ascii="Arial"/>
                <w:sz w:val="21"/>
              </w:rPr>
            </w:pPr>
          </w:p>
          <w:p w14:paraId="538CA229">
            <w:pPr>
              <w:spacing w:line="248" w:lineRule="auto"/>
              <w:rPr>
                <w:rFonts w:ascii="Arial"/>
                <w:sz w:val="21"/>
              </w:rPr>
            </w:pPr>
          </w:p>
          <w:p w14:paraId="49DC5CE0">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1368185">
            <w:pPr>
              <w:spacing w:line="387" w:lineRule="auto"/>
              <w:rPr>
                <w:rFonts w:ascii="Arial"/>
                <w:sz w:val="21"/>
              </w:rPr>
            </w:pPr>
          </w:p>
          <w:p w14:paraId="146491E6">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BF90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4" w:hRule="atLeast"/>
        </w:trPr>
        <w:tc>
          <w:tcPr>
            <w:tcW w:w="641" w:type="dxa"/>
            <w:vAlign w:val="top"/>
          </w:tcPr>
          <w:p w14:paraId="03DD8618">
            <w:pPr>
              <w:spacing w:line="257" w:lineRule="auto"/>
              <w:rPr>
                <w:rFonts w:ascii="Arial"/>
                <w:sz w:val="21"/>
              </w:rPr>
            </w:pPr>
          </w:p>
          <w:p w14:paraId="15532F11">
            <w:pPr>
              <w:spacing w:line="257" w:lineRule="auto"/>
              <w:rPr>
                <w:rFonts w:ascii="Arial"/>
                <w:sz w:val="21"/>
              </w:rPr>
            </w:pPr>
          </w:p>
          <w:p w14:paraId="7AFE99FB">
            <w:pPr>
              <w:spacing w:line="257" w:lineRule="auto"/>
              <w:rPr>
                <w:rFonts w:ascii="Arial"/>
                <w:sz w:val="21"/>
              </w:rPr>
            </w:pPr>
          </w:p>
          <w:p w14:paraId="52B2DE34">
            <w:pPr>
              <w:pStyle w:val="8"/>
              <w:spacing w:before="58" w:line="183" w:lineRule="auto"/>
              <w:ind w:left="234"/>
            </w:pPr>
            <w:r>
              <w:rPr>
                <w:spacing w:val="-3"/>
              </w:rPr>
              <w:t>40</w:t>
            </w:r>
          </w:p>
        </w:tc>
        <w:tc>
          <w:tcPr>
            <w:tcW w:w="1136" w:type="dxa"/>
            <w:vAlign w:val="top"/>
          </w:tcPr>
          <w:p w14:paraId="4EE536C4">
            <w:pPr>
              <w:pStyle w:val="8"/>
              <w:spacing w:before="205" w:line="242" w:lineRule="auto"/>
              <w:ind w:left="109" w:right="99"/>
              <w:jc w:val="both"/>
            </w:pPr>
            <w:r>
              <w:rPr>
                <w:spacing w:val="3"/>
              </w:rPr>
              <w:t>对假冒中</w:t>
            </w:r>
            <w:r>
              <w:rPr>
                <w:rFonts w:hint="eastAsia"/>
                <w:spacing w:val="3"/>
                <w:lang w:eastAsia="zh-CN"/>
              </w:rPr>
              <w:t>华</w:t>
            </w:r>
            <w:r>
              <w:rPr>
                <w:spacing w:val="3"/>
              </w:rPr>
              <w:t>人民共和国</w:t>
            </w:r>
            <w:r>
              <w:rPr>
                <w:spacing w:val="1"/>
              </w:rPr>
              <w:t xml:space="preserve"> </w:t>
            </w:r>
            <w:r>
              <w:rPr>
                <w:spacing w:val="4"/>
              </w:rPr>
              <w:t>国籍、悬挂</w:t>
            </w:r>
            <w:r>
              <w:rPr>
                <w:spacing w:val="1"/>
              </w:rPr>
              <w:t xml:space="preserve"> </w:t>
            </w:r>
            <w:r>
              <w:rPr>
                <w:spacing w:val="4"/>
              </w:rPr>
              <w:t>中国国旗航</w:t>
            </w:r>
            <w:r>
              <w:rPr>
                <w:spacing w:val="1"/>
              </w:rPr>
              <w:t xml:space="preserve"> </w:t>
            </w:r>
            <w:r>
              <w:rPr>
                <w:spacing w:val="4"/>
              </w:rPr>
              <w:t>行行为的行</w:t>
            </w:r>
            <w:r>
              <w:t xml:space="preserve"> </w:t>
            </w:r>
            <w:r>
              <w:rPr>
                <w:spacing w:val="-3"/>
              </w:rPr>
              <w:t>政处罚</w:t>
            </w:r>
          </w:p>
        </w:tc>
        <w:tc>
          <w:tcPr>
            <w:tcW w:w="1136" w:type="dxa"/>
            <w:vAlign w:val="top"/>
          </w:tcPr>
          <w:p w14:paraId="47E757C6">
            <w:pPr>
              <w:spacing w:line="247" w:lineRule="auto"/>
              <w:rPr>
                <w:rFonts w:ascii="Arial"/>
                <w:sz w:val="21"/>
              </w:rPr>
            </w:pPr>
          </w:p>
          <w:p w14:paraId="5F3B3ED8">
            <w:pPr>
              <w:spacing w:line="248" w:lineRule="auto"/>
              <w:rPr>
                <w:rFonts w:ascii="Arial"/>
                <w:sz w:val="21"/>
              </w:rPr>
            </w:pPr>
          </w:p>
          <w:p w14:paraId="634F0D4D">
            <w:pPr>
              <w:spacing w:line="248" w:lineRule="auto"/>
              <w:rPr>
                <w:rFonts w:ascii="Arial"/>
                <w:sz w:val="21"/>
              </w:rPr>
            </w:pPr>
          </w:p>
          <w:p w14:paraId="28E92102">
            <w:pPr>
              <w:pStyle w:val="8"/>
              <w:spacing w:before="58" w:line="220" w:lineRule="auto"/>
              <w:ind w:left="114"/>
            </w:pPr>
            <w:r>
              <w:rPr>
                <w:spacing w:val="-7"/>
              </w:rPr>
              <w:t>行政处罚</w:t>
            </w:r>
          </w:p>
        </w:tc>
        <w:tc>
          <w:tcPr>
            <w:tcW w:w="8806" w:type="dxa"/>
            <w:vAlign w:val="top"/>
          </w:tcPr>
          <w:p w14:paraId="60CAE95E">
            <w:pPr>
              <w:pStyle w:val="8"/>
              <w:spacing w:before="206" w:line="219" w:lineRule="auto"/>
              <w:ind w:left="473"/>
            </w:pPr>
            <w:r>
              <w:rPr>
                <w:b/>
                <w:bCs/>
                <w:spacing w:val="-4"/>
              </w:rPr>
              <w:t>《中华人民共和国船舶登记条例》</w:t>
            </w:r>
          </w:p>
          <w:p w14:paraId="4C914FEF">
            <w:pPr>
              <w:pStyle w:val="8"/>
              <w:spacing w:before="25" w:line="233" w:lineRule="auto"/>
              <w:ind w:left="113" w:right="196" w:firstLine="354"/>
            </w:pPr>
            <w:r>
              <w:rPr>
                <w:spacing w:val="-3"/>
              </w:rPr>
              <w:t>第三条  船舶经依法登记，取得中华人民共和国国籍，方可悬挂中华人民共和国国旗航行；未经</w:t>
            </w:r>
            <w:r>
              <w:rPr>
                <w:spacing w:val="-4"/>
              </w:rPr>
              <w:t>登记的，</w:t>
            </w:r>
            <w:r>
              <w:t xml:space="preserve"> </w:t>
            </w:r>
            <w:r>
              <w:rPr>
                <w:spacing w:val="-6"/>
              </w:rPr>
              <w:t>不得悬挂中华人民共和国国旗航行。</w:t>
            </w:r>
          </w:p>
          <w:p w14:paraId="12120CD7">
            <w:pPr>
              <w:pStyle w:val="8"/>
              <w:spacing w:before="25" w:line="233" w:lineRule="auto"/>
              <w:ind w:left="112" w:right="153" w:firstLine="355"/>
            </w:pPr>
            <w:r>
              <w:rPr>
                <w:spacing w:val="-2"/>
              </w:rPr>
              <w:t>第四十九条  假冒中华人民共和国国籍，悬挂中华人民共和国国旗航行的，由船舶登记</w:t>
            </w:r>
            <w:r>
              <w:rPr>
                <w:spacing w:val="-3"/>
              </w:rPr>
              <w:t>机关依法没收该船</w:t>
            </w:r>
            <w:r>
              <w:t xml:space="preserve"> </w:t>
            </w:r>
            <w:r>
              <w:rPr>
                <w:spacing w:val="-5"/>
              </w:rPr>
              <w:t>舶。</w:t>
            </w:r>
          </w:p>
          <w:p w14:paraId="4CE5EE97">
            <w:pPr>
              <w:pStyle w:val="8"/>
              <w:spacing w:before="25" w:line="219" w:lineRule="auto"/>
              <w:ind w:left="485"/>
            </w:pPr>
            <w:r>
              <w:rPr>
                <w:spacing w:val="-5"/>
              </w:rPr>
              <w:t>中国籍船舶假冒外国国籍，悬挂外国国旗航行的，适用前款规定。</w:t>
            </w:r>
          </w:p>
        </w:tc>
        <w:tc>
          <w:tcPr>
            <w:tcW w:w="1043" w:type="dxa"/>
            <w:vAlign w:val="top"/>
          </w:tcPr>
          <w:p w14:paraId="0B75BB6D">
            <w:pPr>
              <w:spacing w:line="311" w:lineRule="auto"/>
              <w:rPr>
                <w:rFonts w:ascii="Arial"/>
                <w:sz w:val="21"/>
              </w:rPr>
            </w:pPr>
          </w:p>
          <w:p w14:paraId="1BD0FF4C">
            <w:pPr>
              <w:spacing w:line="312" w:lineRule="auto"/>
              <w:rPr>
                <w:rFonts w:ascii="Arial"/>
                <w:sz w:val="21"/>
              </w:rPr>
            </w:pPr>
          </w:p>
          <w:p w14:paraId="2914CCF0">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61AB410A">
            <w:pPr>
              <w:spacing w:line="247" w:lineRule="auto"/>
              <w:rPr>
                <w:rFonts w:ascii="Arial"/>
                <w:sz w:val="21"/>
              </w:rPr>
            </w:pPr>
          </w:p>
          <w:p w14:paraId="1E53A938">
            <w:pPr>
              <w:spacing w:line="248" w:lineRule="auto"/>
              <w:rPr>
                <w:rFonts w:ascii="Arial"/>
                <w:sz w:val="21"/>
              </w:rPr>
            </w:pPr>
          </w:p>
          <w:p w14:paraId="3C669CB5">
            <w:pPr>
              <w:spacing w:line="248" w:lineRule="auto"/>
              <w:rPr>
                <w:rFonts w:ascii="Arial"/>
                <w:sz w:val="21"/>
              </w:rPr>
            </w:pPr>
          </w:p>
          <w:p w14:paraId="63C8FE09">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E1A54D4">
            <w:pPr>
              <w:spacing w:line="386" w:lineRule="auto"/>
              <w:rPr>
                <w:rFonts w:ascii="Arial"/>
                <w:sz w:val="21"/>
              </w:rPr>
            </w:pPr>
          </w:p>
          <w:p w14:paraId="32E93B53">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18802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641" w:type="dxa"/>
            <w:vAlign w:val="top"/>
          </w:tcPr>
          <w:p w14:paraId="79834F31">
            <w:pPr>
              <w:spacing w:line="303" w:lineRule="auto"/>
              <w:rPr>
                <w:rFonts w:ascii="Arial"/>
                <w:sz w:val="21"/>
              </w:rPr>
            </w:pPr>
          </w:p>
          <w:p w14:paraId="4B7DCE7C">
            <w:pPr>
              <w:spacing w:line="304" w:lineRule="auto"/>
              <w:rPr>
                <w:rFonts w:ascii="Arial"/>
                <w:sz w:val="21"/>
              </w:rPr>
            </w:pPr>
          </w:p>
          <w:p w14:paraId="4F9FE638">
            <w:pPr>
              <w:pStyle w:val="8"/>
              <w:spacing w:before="59" w:line="184" w:lineRule="auto"/>
              <w:ind w:left="234"/>
            </w:pPr>
            <w:r>
              <w:rPr>
                <w:spacing w:val="-3"/>
              </w:rPr>
              <w:t>41</w:t>
            </w:r>
          </w:p>
        </w:tc>
        <w:tc>
          <w:tcPr>
            <w:tcW w:w="1136" w:type="dxa"/>
            <w:vAlign w:val="top"/>
          </w:tcPr>
          <w:p w14:paraId="47DFBB76">
            <w:pPr>
              <w:pStyle w:val="8"/>
              <w:spacing w:before="44" w:line="238" w:lineRule="auto"/>
              <w:ind w:left="109" w:right="99"/>
              <w:jc w:val="both"/>
            </w:pPr>
            <w:r>
              <w:rPr>
                <w:spacing w:val="3"/>
              </w:rPr>
              <w:t>对中国籍船</w:t>
            </w:r>
            <w:r>
              <w:rPr>
                <w:spacing w:val="1"/>
              </w:rPr>
              <w:t xml:space="preserve"> </w:t>
            </w:r>
            <w:r>
              <w:rPr>
                <w:spacing w:val="3"/>
              </w:rPr>
              <w:t>舶假冒外国</w:t>
            </w:r>
            <w:r>
              <w:rPr>
                <w:spacing w:val="1"/>
              </w:rPr>
              <w:t xml:space="preserve"> </w:t>
            </w:r>
            <w:r>
              <w:rPr>
                <w:spacing w:val="4"/>
              </w:rPr>
              <w:t>国籍、悬挂</w:t>
            </w:r>
            <w:r>
              <w:rPr>
                <w:spacing w:val="1"/>
              </w:rPr>
              <w:t xml:space="preserve"> </w:t>
            </w:r>
            <w:r>
              <w:rPr>
                <w:spacing w:val="4"/>
              </w:rPr>
              <w:t>外国国旗航</w:t>
            </w:r>
            <w:r>
              <w:t xml:space="preserve"> </w:t>
            </w:r>
            <w:r>
              <w:rPr>
                <w:spacing w:val="4"/>
              </w:rPr>
              <w:t>行行为的行</w:t>
            </w:r>
            <w:r>
              <w:t xml:space="preserve"> </w:t>
            </w:r>
            <w:r>
              <w:rPr>
                <w:spacing w:val="-3"/>
              </w:rPr>
              <w:t>政处罚</w:t>
            </w:r>
          </w:p>
        </w:tc>
        <w:tc>
          <w:tcPr>
            <w:tcW w:w="1136" w:type="dxa"/>
            <w:vAlign w:val="top"/>
          </w:tcPr>
          <w:p w14:paraId="1580F4DE">
            <w:pPr>
              <w:spacing w:line="290" w:lineRule="auto"/>
              <w:rPr>
                <w:rFonts w:ascii="Arial"/>
                <w:sz w:val="21"/>
              </w:rPr>
            </w:pPr>
          </w:p>
          <w:p w14:paraId="091815D0">
            <w:pPr>
              <w:spacing w:line="290" w:lineRule="auto"/>
              <w:rPr>
                <w:rFonts w:ascii="Arial"/>
                <w:sz w:val="21"/>
              </w:rPr>
            </w:pPr>
          </w:p>
          <w:p w14:paraId="1A5307E0">
            <w:pPr>
              <w:pStyle w:val="8"/>
              <w:spacing w:before="58" w:line="220" w:lineRule="auto"/>
              <w:ind w:left="114"/>
            </w:pPr>
            <w:r>
              <w:rPr>
                <w:spacing w:val="-7"/>
              </w:rPr>
              <w:t>行政处罚</w:t>
            </w:r>
          </w:p>
        </w:tc>
        <w:tc>
          <w:tcPr>
            <w:tcW w:w="8806" w:type="dxa"/>
            <w:vAlign w:val="top"/>
          </w:tcPr>
          <w:p w14:paraId="47F9EC90">
            <w:pPr>
              <w:pStyle w:val="8"/>
              <w:spacing w:before="42" w:line="219" w:lineRule="auto"/>
              <w:ind w:left="473"/>
            </w:pPr>
            <w:r>
              <w:rPr>
                <w:b/>
                <w:bCs/>
                <w:spacing w:val="-4"/>
              </w:rPr>
              <w:t>《中华人民共和国船舶登记条例》</w:t>
            </w:r>
          </w:p>
          <w:p w14:paraId="230E2D9B">
            <w:pPr>
              <w:pStyle w:val="8"/>
              <w:spacing w:before="25" w:line="233" w:lineRule="auto"/>
              <w:ind w:left="113" w:right="196" w:firstLine="354"/>
            </w:pPr>
            <w:r>
              <w:rPr>
                <w:spacing w:val="-3"/>
              </w:rPr>
              <w:t>第三条  船舶经依法登记，取得中华人民共和国国籍，方可悬挂中华人民共和国国旗航行；未经</w:t>
            </w:r>
            <w:r>
              <w:rPr>
                <w:spacing w:val="-4"/>
              </w:rPr>
              <w:t>登记的，</w:t>
            </w:r>
            <w:r>
              <w:t xml:space="preserve"> </w:t>
            </w:r>
            <w:r>
              <w:rPr>
                <w:spacing w:val="-6"/>
              </w:rPr>
              <w:t>不得悬挂中华人民共和国国旗航行。</w:t>
            </w:r>
          </w:p>
          <w:p w14:paraId="415A8827">
            <w:pPr>
              <w:pStyle w:val="8"/>
              <w:spacing w:before="25" w:line="233" w:lineRule="auto"/>
              <w:ind w:left="112" w:right="153" w:firstLine="355"/>
            </w:pPr>
            <w:r>
              <w:rPr>
                <w:spacing w:val="-2"/>
              </w:rPr>
              <w:t>第四十九条  假冒中华人民共和国国籍，悬挂中华人民共和国国旗航行的，由船舶登记</w:t>
            </w:r>
            <w:r>
              <w:rPr>
                <w:spacing w:val="-3"/>
              </w:rPr>
              <w:t>机关依法没收该船</w:t>
            </w:r>
            <w:r>
              <w:t xml:space="preserve"> </w:t>
            </w:r>
            <w:r>
              <w:rPr>
                <w:spacing w:val="-5"/>
              </w:rPr>
              <w:t>舶。</w:t>
            </w:r>
          </w:p>
          <w:p w14:paraId="476C6935">
            <w:pPr>
              <w:pStyle w:val="8"/>
              <w:spacing w:before="25" w:line="200" w:lineRule="auto"/>
              <w:ind w:left="485"/>
            </w:pPr>
            <w:r>
              <w:rPr>
                <w:spacing w:val="-5"/>
              </w:rPr>
              <w:t>中国籍船舶假冒外国国籍，悬挂外国国旗航行的，适用前款规定。</w:t>
            </w:r>
          </w:p>
        </w:tc>
        <w:tc>
          <w:tcPr>
            <w:tcW w:w="1043" w:type="dxa"/>
            <w:vAlign w:val="top"/>
          </w:tcPr>
          <w:p w14:paraId="7175F5F8">
            <w:pPr>
              <w:spacing w:line="460" w:lineRule="auto"/>
              <w:rPr>
                <w:rFonts w:ascii="Arial"/>
                <w:sz w:val="21"/>
              </w:rPr>
            </w:pPr>
          </w:p>
          <w:p w14:paraId="27D0A3ED">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69FA7202">
            <w:pPr>
              <w:spacing w:line="290" w:lineRule="auto"/>
              <w:rPr>
                <w:rFonts w:ascii="Arial"/>
                <w:sz w:val="21"/>
              </w:rPr>
            </w:pPr>
          </w:p>
          <w:p w14:paraId="6B8AAF98">
            <w:pPr>
              <w:spacing w:line="290" w:lineRule="auto"/>
              <w:rPr>
                <w:rFonts w:ascii="Arial"/>
                <w:sz w:val="21"/>
              </w:rPr>
            </w:pPr>
          </w:p>
          <w:p w14:paraId="1CC80DA2">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6BCE2F7">
            <w:pPr>
              <w:pStyle w:val="8"/>
              <w:spacing w:before="283"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72C52C09">
      <w:pPr>
        <w:pStyle w:val="2"/>
      </w:pPr>
    </w:p>
    <w:p w14:paraId="65AFAA6A">
      <w:pPr>
        <w:sectPr>
          <w:footerReference r:id="rId188" w:type="default"/>
          <w:pgSz w:w="16839" w:h="11906"/>
          <w:pgMar w:top="1012" w:right="788" w:bottom="967" w:left="787" w:header="0" w:footer="768" w:gutter="0"/>
          <w:cols w:space="720" w:num="1"/>
        </w:sectPr>
      </w:pPr>
    </w:p>
    <w:p w14:paraId="2AC2A11E">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6281C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641" w:type="dxa"/>
            <w:vMerge w:val="restart"/>
            <w:tcBorders>
              <w:bottom w:val="nil"/>
            </w:tcBorders>
            <w:vAlign w:val="top"/>
          </w:tcPr>
          <w:p w14:paraId="5F194E6C">
            <w:pPr>
              <w:pStyle w:val="8"/>
              <w:spacing w:before="267" w:line="221" w:lineRule="auto"/>
              <w:ind w:left="142"/>
            </w:pPr>
            <w:r>
              <w:rPr>
                <w:b/>
                <w:bCs/>
                <w:spacing w:val="-4"/>
              </w:rPr>
              <w:t>序号</w:t>
            </w:r>
          </w:p>
        </w:tc>
        <w:tc>
          <w:tcPr>
            <w:tcW w:w="1136" w:type="dxa"/>
            <w:vMerge w:val="restart"/>
            <w:tcBorders>
              <w:bottom w:val="nil"/>
            </w:tcBorders>
            <w:vAlign w:val="top"/>
          </w:tcPr>
          <w:p w14:paraId="415E2E39">
            <w:pPr>
              <w:pStyle w:val="8"/>
              <w:spacing w:before="267" w:line="220" w:lineRule="auto"/>
              <w:ind w:left="208"/>
            </w:pPr>
            <w:r>
              <w:rPr>
                <w:b/>
                <w:bCs/>
                <w:spacing w:val="-4"/>
              </w:rPr>
              <w:t>事项名称</w:t>
            </w:r>
          </w:p>
        </w:tc>
        <w:tc>
          <w:tcPr>
            <w:tcW w:w="1136" w:type="dxa"/>
            <w:vMerge w:val="restart"/>
            <w:tcBorders>
              <w:bottom w:val="nil"/>
            </w:tcBorders>
            <w:vAlign w:val="top"/>
          </w:tcPr>
          <w:p w14:paraId="56305FAC">
            <w:pPr>
              <w:pStyle w:val="8"/>
              <w:spacing w:before="267" w:line="219" w:lineRule="auto"/>
              <w:ind w:left="210"/>
            </w:pPr>
            <w:r>
              <w:rPr>
                <w:b/>
                <w:bCs/>
                <w:spacing w:val="-4"/>
              </w:rPr>
              <w:t>职权类型</w:t>
            </w:r>
          </w:p>
        </w:tc>
        <w:tc>
          <w:tcPr>
            <w:tcW w:w="8806" w:type="dxa"/>
            <w:vMerge w:val="restart"/>
            <w:tcBorders>
              <w:bottom w:val="nil"/>
            </w:tcBorders>
            <w:vAlign w:val="top"/>
          </w:tcPr>
          <w:p w14:paraId="6DA742C4">
            <w:pPr>
              <w:pStyle w:val="8"/>
              <w:spacing w:before="267" w:line="219" w:lineRule="auto"/>
              <w:ind w:left="4050"/>
            </w:pPr>
            <w:r>
              <w:rPr>
                <w:b/>
                <w:bCs/>
                <w:spacing w:val="-5"/>
              </w:rPr>
              <w:t>实施依据</w:t>
            </w:r>
          </w:p>
        </w:tc>
        <w:tc>
          <w:tcPr>
            <w:tcW w:w="3538" w:type="dxa"/>
            <w:gridSpan w:val="3"/>
            <w:vAlign w:val="top"/>
          </w:tcPr>
          <w:p w14:paraId="7460CC58">
            <w:pPr>
              <w:pStyle w:val="8"/>
              <w:spacing w:before="92" w:line="220" w:lineRule="auto"/>
              <w:ind w:left="1415"/>
            </w:pPr>
            <w:r>
              <w:rPr>
                <w:b/>
                <w:bCs/>
                <w:spacing w:val="-5"/>
              </w:rPr>
              <w:t>实施主体</w:t>
            </w:r>
          </w:p>
        </w:tc>
      </w:tr>
      <w:tr w14:paraId="6E6FB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421209F5">
            <w:pPr>
              <w:rPr>
                <w:rFonts w:ascii="Arial"/>
                <w:sz w:val="21"/>
              </w:rPr>
            </w:pPr>
          </w:p>
        </w:tc>
        <w:tc>
          <w:tcPr>
            <w:tcW w:w="1136" w:type="dxa"/>
            <w:vMerge w:val="continue"/>
            <w:tcBorders>
              <w:top w:val="nil"/>
            </w:tcBorders>
            <w:vAlign w:val="top"/>
          </w:tcPr>
          <w:p w14:paraId="1D509C7F">
            <w:pPr>
              <w:rPr>
                <w:rFonts w:ascii="Arial"/>
                <w:sz w:val="21"/>
              </w:rPr>
            </w:pPr>
          </w:p>
        </w:tc>
        <w:tc>
          <w:tcPr>
            <w:tcW w:w="1136" w:type="dxa"/>
            <w:vMerge w:val="continue"/>
            <w:tcBorders>
              <w:top w:val="nil"/>
            </w:tcBorders>
            <w:vAlign w:val="top"/>
          </w:tcPr>
          <w:p w14:paraId="7E056DC2">
            <w:pPr>
              <w:rPr>
                <w:rFonts w:ascii="Arial"/>
                <w:sz w:val="21"/>
              </w:rPr>
            </w:pPr>
          </w:p>
        </w:tc>
        <w:tc>
          <w:tcPr>
            <w:tcW w:w="8806" w:type="dxa"/>
            <w:vMerge w:val="continue"/>
            <w:tcBorders>
              <w:top w:val="nil"/>
            </w:tcBorders>
            <w:vAlign w:val="top"/>
          </w:tcPr>
          <w:p w14:paraId="04D07202">
            <w:pPr>
              <w:rPr>
                <w:rFonts w:ascii="Arial"/>
                <w:sz w:val="21"/>
              </w:rPr>
            </w:pPr>
          </w:p>
        </w:tc>
        <w:tc>
          <w:tcPr>
            <w:tcW w:w="1043" w:type="dxa"/>
            <w:vAlign w:val="top"/>
          </w:tcPr>
          <w:p w14:paraId="6101C33C">
            <w:pPr>
              <w:pStyle w:val="8"/>
              <w:spacing w:before="88" w:line="219" w:lineRule="auto"/>
              <w:ind w:left="171"/>
            </w:pPr>
            <w:r>
              <w:rPr>
                <w:b/>
                <w:bCs/>
                <w:spacing w:val="-5"/>
              </w:rPr>
              <w:t>责任部门</w:t>
            </w:r>
          </w:p>
        </w:tc>
        <w:tc>
          <w:tcPr>
            <w:tcW w:w="1448" w:type="dxa"/>
            <w:vAlign w:val="top"/>
          </w:tcPr>
          <w:p w14:paraId="3144336C">
            <w:pPr>
              <w:pStyle w:val="8"/>
              <w:spacing w:before="88" w:line="219" w:lineRule="auto"/>
              <w:ind w:left="187"/>
            </w:pPr>
            <w:r>
              <w:rPr>
                <w:b/>
                <w:bCs/>
                <w:spacing w:val="-3"/>
              </w:rPr>
              <w:t>第一责任层级</w:t>
            </w:r>
          </w:p>
        </w:tc>
        <w:tc>
          <w:tcPr>
            <w:tcW w:w="1047" w:type="dxa"/>
            <w:vAlign w:val="top"/>
          </w:tcPr>
          <w:p w14:paraId="04E1F5CC">
            <w:pPr>
              <w:pStyle w:val="8"/>
              <w:spacing w:before="88" w:line="219" w:lineRule="auto"/>
              <w:ind w:left="165"/>
            </w:pPr>
            <w:r>
              <w:rPr>
                <w:b/>
                <w:bCs/>
                <w:spacing w:val="-4"/>
              </w:rPr>
              <w:t>承办机构</w:t>
            </w:r>
          </w:p>
        </w:tc>
      </w:tr>
      <w:tr w14:paraId="1BF7D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7" w:hRule="atLeast"/>
        </w:trPr>
        <w:tc>
          <w:tcPr>
            <w:tcW w:w="641" w:type="dxa"/>
            <w:vAlign w:val="top"/>
          </w:tcPr>
          <w:p w14:paraId="00697AC0">
            <w:pPr>
              <w:spacing w:line="294" w:lineRule="auto"/>
              <w:rPr>
                <w:rFonts w:ascii="Arial"/>
                <w:sz w:val="21"/>
              </w:rPr>
            </w:pPr>
          </w:p>
          <w:p w14:paraId="0702C942">
            <w:pPr>
              <w:spacing w:line="295" w:lineRule="auto"/>
              <w:rPr>
                <w:rFonts w:ascii="Arial"/>
                <w:sz w:val="21"/>
              </w:rPr>
            </w:pPr>
          </w:p>
          <w:p w14:paraId="441E6967">
            <w:pPr>
              <w:spacing w:line="295" w:lineRule="auto"/>
              <w:rPr>
                <w:rFonts w:ascii="Arial"/>
                <w:sz w:val="21"/>
              </w:rPr>
            </w:pPr>
          </w:p>
          <w:p w14:paraId="60DCA1AC">
            <w:pPr>
              <w:spacing w:line="295" w:lineRule="auto"/>
              <w:rPr>
                <w:rFonts w:ascii="Arial"/>
                <w:sz w:val="21"/>
              </w:rPr>
            </w:pPr>
          </w:p>
          <w:p w14:paraId="5D438170">
            <w:pPr>
              <w:pStyle w:val="8"/>
              <w:spacing w:before="59" w:line="183" w:lineRule="auto"/>
              <w:ind w:left="234"/>
            </w:pPr>
            <w:r>
              <w:rPr>
                <w:spacing w:val="-3"/>
              </w:rPr>
              <w:t>42</w:t>
            </w:r>
          </w:p>
        </w:tc>
        <w:tc>
          <w:tcPr>
            <w:tcW w:w="1136" w:type="dxa"/>
            <w:vAlign w:val="top"/>
          </w:tcPr>
          <w:p w14:paraId="08F4BE34">
            <w:pPr>
              <w:spacing w:line="264" w:lineRule="auto"/>
              <w:rPr>
                <w:rFonts w:ascii="Arial"/>
                <w:sz w:val="21"/>
              </w:rPr>
            </w:pPr>
          </w:p>
          <w:p w14:paraId="16F977A7">
            <w:pPr>
              <w:spacing w:line="264" w:lineRule="auto"/>
              <w:rPr>
                <w:rFonts w:ascii="Arial"/>
                <w:sz w:val="21"/>
              </w:rPr>
            </w:pPr>
          </w:p>
          <w:p w14:paraId="5BE6ED9C">
            <w:pPr>
              <w:spacing w:line="264" w:lineRule="auto"/>
              <w:rPr>
                <w:rFonts w:ascii="Arial"/>
                <w:sz w:val="21"/>
              </w:rPr>
            </w:pPr>
          </w:p>
          <w:p w14:paraId="3EBA494F">
            <w:pPr>
              <w:pStyle w:val="8"/>
              <w:spacing w:before="58"/>
              <w:ind w:left="109" w:right="97"/>
              <w:jc w:val="both"/>
            </w:pPr>
            <w:r>
              <w:rPr>
                <w:spacing w:val="4"/>
              </w:rPr>
              <w:t>对隐瞒登记</w:t>
            </w:r>
            <w:r>
              <w:rPr>
                <w:spacing w:val="3"/>
              </w:rPr>
              <w:t xml:space="preserve"> </w:t>
            </w:r>
            <w:r>
              <w:rPr>
                <w:spacing w:val="4"/>
              </w:rPr>
              <w:t>事实造成双</w:t>
            </w:r>
            <w:r>
              <w:rPr>
                <w:spacing w:val="3"/>
              </w:rPr>
              <w:t xml:space="preserve"> 重国籍行为</w:t>
            </w:r>
            <w:r>
              <w:t xml:space="preserve"> </w:t>
            </w:r>
            <w:r>
              <w:rPr>
                <w:spacing w:val="-4"/>
              </w:rPr>
              <w:t>的行政处罚</w:t>
            </w:r>
          </w:p>
        </w:tc>
        <w:tc>
          <w:tcPr>
            <w:tcW w:w="1136" w:type="dxa"/>
            <w:vAlign w:val="top"/>
          </w:tcPr>
          <w:p w14:paraId="10AD9D60">
            <w:pPr>
              <w:spacing w:line="287" w:lineRule="auto"/>
              <w:rPr>
                <w:rFonts w:ascii="Arial"/>
                <w:sz w:val="21"/>
              </w:rPr>
            </w:pPr>
          </w:p>
          <w:p w14:paraId="200A5E3A">
            <w:pPr>
              <w:spacing w:line="288" w:lineRule="auto"/>
              <w:rPr>
                <w:rFonts w:ascii="Arial"/>
                <w:sz w:val="21"/>
              </w:rPr>
            </w:pPr>
          </w:p>
          <w:p w14:paraId="21B952DA">
            <w:pPr>
              <w:spacing w:line="288" w:lineRule="auto"/>
              <w:rPr>
                <w:rFonts w:ascii="Arial"/>
                <w:sz w:val="21"/>
              </w:rPr>
            </w:pPr>
          </w:p>
          <w:p w14:paraId="768CD49D">
            <w:pPr>
              <w:spacing w:line="288" w:lineRule="auto"/>
              <w:rPr>
                <w:rFonts w:ascii="Arial"/>
                <w:sz w:val="21"/>
              </w:rPr>
            </w:pPr>
          </w:p>
          <w:p w14:paraId="5574CF70">
            <w:pPr>
              <w:pStyle w:val="8"/>
              <w:spacing w:before="58" w:line="220" w:lineRule="auto"/>
              <w:ind w:left="114"/>
            </w:pPr>
            <w:r>
              <w:rPr>
                <w:spacing w:val="-7"/>
              </w:rPr>
              <w:t>行政处罚</w:t>
            </w:r>
          </w:p>
        </w:tc>
        <w:tc>
          <w:tcPr>
            <w:tcW w:w="8806" w:type="dxa"/>
            <w:vAlign w:val="top"/>
          </w:tcPr>
          <w:p w14:paraId="690F4D31">
            <w:pPr>
              <w:spacing w:line="436" w:lineRule="auto"/>
              <w:rPr>
                <w:rFonts w:ascii="Arial"/>
                <w:sz w:val="21"/>
              </w:rPr>
            </w:pPr>
          </w:p>
          <w:p w14:paraId="7DDCA397">
            <w:pPr>
              <w:pStyle w:val="8"/>
              <w:spacing w:before="58" w:line="219" w:lineRule="auto"/>
              <w:ind w:left="473"/>
            </w:pPr>
            <w:r>
              <w:rPr>
                <w:b/>
                <w:bCs/>
                <w:spacing w:val="-4"/>
              </w:rPr>
              <w:t>《中华人民共和国船舶登记条例》</w:t>
            </w:r>
          </w:p>
          <w:p w14:paraId="2E7F00D5">
            <w:pPr>
              <w:pStyle w:val="8"/>
              <w:spacing w:before="25" w:line="233" w:lineRule="auto"/>
              <w:ind w:left="112" w:right="151" w:firstLine="356"/>
            </w:pPr>
            <w:r>
              <w:rPr>
                <w:spacing w:val="-2"/>
              </w:rPr>
              <w:t>第四条  船舶不得具有双重国籍。凡在外国登记的船舶，未中止或者注销原登记国国籍的，</w:t>
            </w:r>
            <w:r>
              <w:rPr>
                <w:spacing w:val="-3"/>
              </w:rPr>
              <w:t>不得取得中</w:t>
            </w:r>
            <w:r>
              <w:rPr>
                <w:rFonts w:hint="eastAsia"/>
                <w:spacing w:val="-3"/>
                <w:lang w:eastAsia="zh-CN"/>
              </w:rPr>
              <w:t>华</w:t>
            </w:r>
            <w:r>
              <w:rPr>
                <w:spacing w:val="-3"/>
              </w:rPr>
              <w:t>人民共和国国籍。</w:t>
            </w:r>
          </w:p>
          <w:p w14:paraId="1502BC06">
            <w:pPr>
              <w:pStyle w:val="8"/>
              <w:spacing w:before="25"/>
              <w:ind w:left="112" w:right="101" w:firstLine="356"/>
              <w:jc w:val="both"/>
            </w:pPr>
            <w:r>
              <w:rPr>
                <w:spacing w:val="-2"/>
              </w:rPr>
              <w:t>第五十条  隐瞒在境内或者境外的登记事实，造成双重国籍的，由船籍港船舶登记机关吊销</w:t>
            </w:r>
            <w:r>
              <w:rPr>
                <w:spacing w:val="-3"/>
              </w:rPr>
              <w:t>其船舶国籍证</w:t>
            </w:r>
            <w:r>
              <w:t xml:space="preserve"> </w:t>
            </w:r>
            <w:r>
              <w:rPr>
                <w:spacing w:val="-1"/>
              </w:rPr>
              <w:t>书，并视情节处以下列罚款</w:t>
            </w:r>
            <w:r>
              <w:rPr>
                <w:spacing w:val="-20"/>
              </w:rPr>
              <w:t>：（</w:t>
            </w:r>
            <w:r>
              <w:rPr>
                <w:spacing w:val="-1"/>
              </w:rPr>
              <w:t>一）500总吨以下的船舶，处2000元以上、10</w:t>
            </w:r>
            <w:r>
              <w:rPr>
                <w:spacing w:val="-2"/>
              </w:rPr>
              <w:t>000元以下的罚款</w:t>
            </w:r>
            <w:r>
              <w:rPr>
                <w:spacing w:val="-20"/>
              </w:rPr>
              <w:t>；（</w:t>
            </w:r>
            <w:r>
              <w:rPr>
                <w:spacing w:val="-2"/>
              </w:rPr>
              <w:t>二）501总吨</w:t>
            </w:r>
            <w:r>
              <w:rPr>
                <w:spacing w:val="2"/>
              </w:rPr>
              <w:t xml:space="preserve"> </w:t>
            </w:r>
            <w:r>
              <w:rPr>
                <w:spacing w:val="-4"/>
              </w:rPr>
              <w:t>以上、10000总吨以下的船舶，处以10000元以上、50000元以下的罚款</w:t>
            </w:r>
            <w:r>
              <w:rPr>
                <w:spacing w:val="-42"/>
              </w:rPr>
              <w:t>；（</w:t>
            </w:r>
            <w:r>
              <w:rPr>
                <w:spacing w:val="-4"/>
              </w:rPr>
              <w:t>三）10001总吨以上的船舶，处以50000</w:t>
            </w:r>
            <w:r>
              <w:t xml:space="preserve"> </w:t>
            </w:r>
            <w:r>
              <w:rPr>
                <w:spacing w:val="-2"/>
              </w:rPr>
              <w:t>元以上、200000元以下的罚款。</w:t>
            </w:r>
          </w:p>
        </w:tc>
        <w:tc>
          <w:tcPr>
            <w:tcW w:w="1043" w:type="dxa"/>
            <w:vAlign w:val="top"/>
          </w:tcPr>
          <w:p w14:paraId="107EC429">
            <w:pPr>
              <w:spacing w:line="257" w:lineRule="auto"/>
              <w:rPr>
                <w:rFonts w:ascii="Arial"/>
                <w:sz w:val="21"/>
              </w:rPr>
            </w:pPr>
          </w:p>
          <w:p w14:paraId="5430642E">
            <w:pPr>
              <w:spacing w:line="258" w:lineRule="auto"/>
              <w:rPr>
                <w:rFonts w:ascii="Arial"/>
                <w:sz w:val="21"/>
              </w:rPr>
            </w:pPr>
          </w:p>
          <w:p w14:paraId="6D4BA569">
            <w:pPr>
              <w:spacing w:line="258" w:lineRule="auto"/>
              <w:rPr>
                <w:rFonts w:ascii="Arial"/>
                <w:sz w:val="21"/>
              </w:rPr>
            </w:pPr>
          </w:p>
          <w:p w14:paraId="7D6B1A71">
            <w:pPr>
              <w:spacing w:line="258" w:lineRule="auto"/>
              <w:rPr>
                <w:rFonts w:ascii="Arial"/>
                <w:sz w:val="21"/>
              </w:rPr>
            </w:pPr>
          </w:p>
          <w:p w14:paraId="3C047C61">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305C2B6A">
            <w:pPr>
              <w:spacing w:line="287" w:lineRule="auto"/>
              <w:rPr>
                <w:rFonts w:ascii="Arial"/>
                <w:sz w:val="21"/>
              </w:rPr>
            </w:pPr>
          </w:p>
          <w:p w14:paraId="1CE73DBA">
            <w:pPr>
              <w:spacing w:line="288" w:lineRule="auto"/>
              <w:rPr>
                <w:rFonts w:ascii="Arial"/>
                <w:sz w:val="21"/>
              </w:rPr>
            </w:pPr>
          </w:p>
          <w:p w14:paraId="11834A10">
            <w:pPr>
              <w:spacing w:line="288" w:lineRule="auto"/>
              <w:rPr>
                <w:rFonts w:ascii="Arial"/>
                <w:sz w:val="21"/>
              </w:rPr>
            </w:pPr>
          </w:p>
          <w:p w14:paraId="092793C0">
            <w:pPr>
              <w:spacing w:line="288" w:lineRule="auto"/>
              <w:rPr>
                <w:rFonts w:ascii="Arial"/>
                <w:sz w:val="21"/>
              </w:rPr>
            </w:pPr>
          </w:p>
          <w:p w14:paraId="772B6823">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DCC979D">
            <w:pPr>
              <w:spacing w:line="264" w:lineRule="auto"/>
              <w:rPr>
                <w:rFonts w:ascii="Arial"/>
                <w:sz w:val="21"/>
              </w:rPr>
            </w:pPr>
          </w:p>
          <w:p w14:paraId="714B6203">
            <w:pPr>
              <w:spacing w:line="265" w:lineRule="auto"/>
              <w:rPr>
                <w:rFonts w:ascii="Arial"/>
                <w:sz w:val="21"/>
              </w:rPr>
            </w:pPr>
          </w:p>
          <w:p w14:paraId="3D8981D3">
            <w:pPr>
              <w:spacing w:line="265" w:lineRule="auto"/>
              <w:rPr>
                <w:rFonts w:ascii="Arial"/>
                <w:sz w:val="21"/>
              </w:rPr>
            </w:pPr>
          </w:p>
          <w:p w14:paraId="28279AB8">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5AB0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5" w:hRule="atLeast"/>
        </w:trPr>
        <w:tc>
          <w:tcPr>
            <w:tcW w:w="641" w:type="dxa"/>
            <w:vAlign w:val="top"/>
          </w:tcPr>
          <w:p w14:paraId="4AFD388E">
            <w:pPr>
              <w:spacing w:line="262" w:lineRule="auto"/>
              <w:rPr>
                <w:rFonts w:ascii="Arial"/>
                <w:sz w:val="21"/>
              </w:rPr>
            </w:pPr>
          </w:p>
          <w:p w14:paraId="3AAACE90">
            <w:pPr>
              <w:spacing w:line="263" w:lineRule="auto"/>
              <w:rPr>
                <w:rFonts w:ascii="Arial"/>
                <w:sz w:val="21"/>
              </w:rPr>
            </w:pPr>
          </w:p>
          <w:p w14:paraId="27F64E1D">
            <w:pPr>
              <w:spacing w:line="263" w:lineRule="auto"/>
              <w:rPr>
                <w:rFonts w:ascii="Arial"/>
                <w:sz w:val="21"/>
              </w:rPr>
            </w:pPr>
          </w:p>
          <w:p w14:paraId="744523CC">
            <w:pPr>
              <w:spacing w:line="263" w:lineRule="auto"/>
              <w:rPr>
                <w:rFonts w:ascii="Arial"/>
                <w:sz w:val="21"/>
              </w:rPr>
            </w:pPr>
          </w:p>
          <w:p w14:paraId="2E783411">
            <w:pPr>
              <w:spacing w:line="263" w:lineRule="auto"/>
              <w:rPr>
                <w:rFonts w:ascii="Arial"/>
                <w:sz w:val="21"/>
              </w:rPr>
            </w:pPr>
          </w:p>
          <w:p w14:paraId="5CC97B78">
            <w:pPr>
              <w:spacing w:line="263" w:lineRule="auto"/>
              <w:rPr>
                <w:rFonts w:ascii="Arial"/>
                <w:sz w:val="21"/>
              </w:rPr>
            </w:pPr>
          </w:p>
          <w:p w14:paraId="200DA197">
            <w:pPr>
              <w:spacing w:line="263" w:lineRule="auto"/>
              <w:rPr>
                <w:rFonts w:ascii="Arial"/>
                <w:sz w:val="21"/>
              </w:rPr>
            </w:pPr>
          </w:p>
          <w:p w14:paraId="4F5DB3BB">
            <w:pPr>
              <w:spacing w:line="263" w:lineRule="auto"/>
              <w:rPr>
                <w:rFonts w:ascii="Arial"/>
                <w:sz w:val="21"/>
              </w:rPr>
            </w:pPr>
          </w:p>
          <w:p w14:paraId="2B7112A7">
            <w:pPr>
              <w:spacing w:line="263" w:lineRule="auto"/>
              <w:rPr>
                <w:rFonts w:ascii="Arial"/>
                <w:sz w:val="21"/>
              </w:rPr>
            </w:pPr>
          </w:p>
          <w:p w14:paraId="1A2B0ED3">
            <w:pPr>
              <w:spacing w:line="263" w:lineRule="auto"/>
              <w:rPr>
                <w:rFonts w:ascii="Arial"/>
                <w:sz w:val="21"/>
              </w:rPr>
            </w:pPr>
          </w:p>
          <w:p w14:paraId="5A12C7DE">
            <w:pPr>
              <w:pStyle w:val="8"/>
              <w:spacing w:before="59" w:line="183" w:lineRule="auto"/>
              <w:ind w:left="234"/>
            </w:pPr>
            <w:r>
              <w:rPr>
                <w:spacing w:val="-3"/>
              </w:rPr>
              <w:t>43</w:t>
            </w:r>
          </w:p>
        </w:tc>
        <w:tc>
          <w:tcPr>
            <w:tcW w:w="1136" w:type="dxa"/>
            <w:vAlign w:val="top"/>
          </w:tcPr>
          <w:p w14:paraId="16770546">
            <w:pPr>
              <w:spacing w:line="252" w:lineRule="auto"/>
              <w:rPr>
                <w:rFonts w:ascii="Arial"/>
                <w:sz w:val="21"/>
              </w:rPr>
            </w:pPr>
          </w:p>
          <w:p w14:paraId="390B2A1D">
            <w:pPr>
              <w:spacing w:line="252" w:lineRule="auto"/>
              <w:rPr>
                <w:rFonts w:ascii="Arial"/>
                <w:sz w:val="21"/>
              </w:rPr>
            </w:pPr>
          </w:p>
          <w:p w14:paraId="0D171E5B">
            <w:pPr>
              <w:spacing w:line="252" w:lineRule="auto"/>
              <w:rPr>
                <w:rFonts w:ascii="Arial"/>
                <w:sz w:val="21"/>
              </w:rPr>
            </w:pPr>
          </w:p>
          <w:p w14:paraId="185FA39A">
            <w:pPr>
              <w:spacing w:line="252" w:lineRule="auto"/>
              <w:rPr>
                <w:rFonts w:ascii="Arial"/>
                <w:sz w:val="21"/>
              </w:rPr>
            </w:pPr>
          </w:p>
          <w:p w14:paraId="62736EF8">
            <w:pPr>
              <w:spacing w:line="252" w:lineRule="auto"/>
              <w:rPr>
                <w:rFonts w:ascii="Arial"/>
                <w:sz w:val="21"/>
              </w:rPr>
            </w:pPr>
          </w:p>
          <w:p w14:paraId="67584998">
            <w:pPr>
              <w:spacing w:line="252" w:lineRule="auto"/>
              <w:rPr>
                <w:rFonts w:ascii="Arial"/>
                <w:sz w:val="21"/>
              </w:rPr>
            </w:pPr>
          </w:p>
          <w:p w14:paraId="54760F49">
            <w:pPr>
              <w:spacing w:line="253" w:lineRule="auto"/>
              <w:rPr>
                <w:rFonts w:ascii="Arial"/>
                <w:sz w:val="21"/>
              </w:rPr>
            </w:pPr>
          </w:p>
          <w:p w14:paraId="5732A909">
            <w:pPr>
              <w:pStyle w:val="8"/>
              <w:spacing w:before="59" w:line="243" w:lineRule="auto"/>
              <w:ind w:left="109" w:right="104"/>
              <w:jc w:val="both"/>
            </w:pPr>
            <w:r>
              <w:rPr>
                <w:spacing w:val="3"/>
              </w:rPr>
              <w:t>对在办登记</w:t>
            </w:r>
            <w:r>
              <w:rPr>
                <w:spacing w:val="1"/>
              </w:rPr>
              <w:t xml:space="preserve"> </w:t>
            </w:r>
            <w:r>
              <w:rPr>
                <w:spacing w:val="3"/>
              </w:rPr>
              <w:t>手续时隐瞒</w:t>
            </w:r>
            <w:r>
              <w:t xml:space="preserve"> </w:t>
            </w:r>
            <w:r>
              <w:rPr>
                <w:spacing w:val="3"/>
              </w:rPr>
              <w:t>真实情况弄</w:t>
            </w:r>
            <w:r>
              <w:t xml:space="preserve"> </w:t>
            </w:r>
            <w:r>
              <w:rPr>
                <w:spacing w:val="3"/>
              </w:rPr>
              <w:t>虚作假或者</w:t>
            </w:r>
            <w:r>
              <w:t xml:space="preserve"> </w:t>
            </w:r>
            <w:r>
              <w:rPr>
                <w:spacing w:val="3"/>
              </w:rPr>
              <w:t>隐瞒登记事</w:t>
            </w:r>
            <w:r>
              <w:t xml:space="preserve"> </w:t>
            </w:r>
            <w:r>
              <w:rPr>
                <w:spacing w:val="3"/>
              </w:rPr>
              <w:t>实造成重复</w:t>
            </w:r>
            <w:r>
              <w:t xml:space="preserve"> </w:t>
            </w:r>
            <w:r>
              <w:rPr>
                <w:spacing w:val="3"/>
              </w:rPr>
              <w:t>登记行为的</w:t>
            </w:r>
            <w:r>
              <w:t xml:space="preserve"> </w:t>
            </w:r>
            <w:r>
              <w:rPr>
                <w:spacing w:val="-4"/>
              </w:rPr>
              <w:t>行政处罚</w:t>
            </w:r>
          </w:p>
        </w:tc>
        <w:tc>
          <w:tcPr>
            <w:tcW w:w="1136" w:type="dxa"/>
            <w:vAlign w:val="top"/>
          </w:tcPr>
          <w:p w14:paraId="48F335A9">
            <w:pPr>
              <w:spacing w:line="260" w:lineRule="auto"/>
              <w:rPr>
                <w:rFonts w:ascii="Arial"/>
                <w:sz w:val="21"/>
              </w:rPr>
            </w:pPr>
          </w:p>
          <w:p w14:paraId="06BEB951">
            <w:pPr>
              <w:spacing w:line="260" w:lineRule="auto"/>
              <w:rPr>
                <w:rFonts w:ascii="Arial"/>
                <w:sz w:val="21"/>
              </w:rPr>
            </w:pPr>
          </w:p>
          <w:p w14:paraId="58848817">
            <w:pPr>
              <w:spacing w:line="260" w:lineRule="auto"/>
              <w:rPr>
                <w:rFonts w:ascii="Arial"/>
                <w:sz w:val="21"/>
              </w:rPr>
            </w:pPr>
          </w:p>
          <w:p w14:paraId="1777C909">
            <w:pPr>
              <w:spacing w:line="260" w:lineRule="auto"/>
              <w:rPr>
                <w:rFonts w:ascii="Arial"/>
                <w:sz w:val="21"/>
              </w:rPr>
            </w:pPr>
          </w:p>
          <w:p w14:paraId="499B21A4">
            <w:pPr>
              <w:spacing w:line="260" w:lineRule="auto"/>
              <w:rPr>
                <w:rFonts w:ascii="Arial"/>
                <w:sz w:val="21"/>
              </w:rPr>
            </w:pPr>
          </w:p>
          <w:p w14:paraId="07C8231E">
            <w:pPr>
              <w:spacing w:line="260" w:lineRule="auto"/>
              <w:rPr>
                <w:rFonts w:ascii="Arial"/>
                <w:sz w:val="21"/>
              </w:rPr>
            </w:pPr>
          </w:p>
          <w:p w14:paraId="50E5483C">
            <w:pPr>
              <w:spacing w:line="260" w:lineRule="auto"/>
              <w:rPr>
                <w:rFonts w:ascii="Arial"/>
                <w:sz w:val="21"/>
              </w:rPr>
            </w:pPr>
          </w:p>
          <w:p w14:paraId="3E5ED149">
            <w:pPr>
              <w:spacing w:line="260" w:lineRule="auto"/>
              <w:rPr>
                <w:rFonts w:ascii="Arial"/>
                <w:sz w:val="21"/>
              </w:rPr>
            </w:pPr>
          </w:p>
          <w:p w14:paraId="11FA260C">
            <w:pPr>
              <w:spacing w:line="260" w:lineRule="auto"/>
              <w:rPr>
                <w:rFonts w:ascii="Arial"/>
                <w:sz w:val="21"/>
              </w:rPr>
            </w:pPr>
          </w:p>
          <w:p w14:paraId="63962569">
            <w:pPr>
              <w:spacing w:line="261" w:lineRule="auto"/>
              <w:rPr>
                <w:rFonts w:ascii="Arial"/>
                <w:sz w:val="21"/>
              </w:rPr>
            </w:pPr>
          </w:p>
          <w:p w14:paraId="36529F37">
            <w:pPr>
              <w:pStyle w:val="8"/>
              <w:spacing w:before="58" w:line="220" w:lineRule="auto"/>
              <w:ind w:left="114"/>
            </w:pPr>
            <w:r>
              <w:rPr>
                <w:spacing w:val="-7"/>
              </w:rPr>
              <w:t>行政处罚</w:t>
            </w:r>
          </w:p>
        </w:tc>
        <w:tc>
          <w:tcPr>
            <w:tcW w:w="8806" w:type="dxa"/>
            <w:vAlign w:val="top"/>
          </w:tcPr>
          <w:p w14:paraId="11272F0E">
            <w:pPr>
              <w:spacing w:line="287" w:lineRule="auto"/>
              <w:rPr>
                <w:rFonts w:ascii="Arial"/>
                <w:sz w:val="21"/>
              </w:rPr>
            </w:pPr>
          </w:p>
          <w:p w14:paraId="41B35BEB">
            <w:pPr>
              <w:spacing w:line="287" w:lineRule="auto"/>
              <w:rPr>
                <w:rFonts w:ascii="Arial"/>
                <w:sz w:val="21"/>
              </w:rPr>
            </w:pPr>
          </w:p>
          <w:p w14:paraId="42DB9FCE">
            <w:pPr>
              <w:pStyle w:val="8"/>
              <w:spacing w:before="58" w:line="219" w:lineRule="auto"/>
              <w:ind w:left="471"/>
            </w:pPr>
            <w:r>
              <w:rPr>
                <w:b/>
                <w:bCs/>
                <w:spacing w:val="-4"/>
              </w:rPr>
              <w:t>《中华人民共和国船舶登记条例》</w:t>
            </w:r>
          </w:p>
          <w:p w14:paraId="26D98BF6">
            <w:pPr>
              <w:pStyle w:val="8"/>
              <w:spacing w:before="25" w:line="233" w:lineRule="auto"/>
              <w:ind w:left="114" w:right="59" w:firstLine="350"/>
            </w:pPr>
            <w:r>
              <w:rPr>
                <w:spacing w:val="-4"/>
              </w:rPr>
              <w:t>第十三条  船舶所有人申请船舶所有权登记，应当向船籍港船舶登记机关交验足以证明其合法身份的文件，</w:t>
            </w:r>
            <w:r>
              <w:rPr>
                <w:spacing w:val="6"/>
              </w:rPr>
              <w:t xml:space="preserve"> </w:t>
            </w:r>
            <w:r>
              <w:rPr>
                <w:spacing w:val="-2"/>
              </w:rPr>
              <w:t>并提供有关船舶技术资料和船舶所有权取得的证明</w:t>
            </w:r>
            <w:r>
              <w:rPr>
                <w:spacing w:val="-3"/>
              </w:rPr>
              <w:t>文件的正本、副本。</w:t>
            </w:r>
          </w:p>
          <w:p w14:paraId="5FF2C166">
            <w:pPr>
              <w:pStyle w:val="8"/>
              <w:spacing w:before="27" w:line="237" w:lineRule="auto"/>
              <w:ind w:left="109" w:right="151" w:firstLine="357"/>
            </w:pPr>
            <w:r>
              <w:rPr>
                <w:spacing w:val="-2"/>
              </w:rPr>
              <w:t>就购买取得的船舶申请船舶所有权登记的，应当提供下列文件</w:t>
            </w:r>
            <w:r>
              <w:rPr>
                <w:spacing w:val="-7"/>
              </w:rPr>
              <w:t>：（</w:t>
            </w:r>
            <w:r>
              <w:rPr>
                <w:spacing w:val="-2"/>
              </w:rPr>
              <w:t>一）购船发票或者船舶的买卖合同和交</w:t>
            </w:r>
            <w:r>
              <w:rPr>
                <w:spacing w:val="1"/>
              </w:rPr>
              <w:t xml:space="preserve"> </w:t>
            </w:r>
            <w:r>
              <w:rPr>
                <w:spacing w:val="-1"/>
              </w:rPr>
              <w:t>接文件</w:t>
            </w:r>
            <w:r>
              <w:rPr>
                <w:spacing w:val="-9"/>
              </w:rPr>
              <w:t>；（</w:t>
            </w:r>
            <w:r>
              <w:rPr>
                <w:spacing w:val="-1"/>
              </w:rPr>
              <w:t>二）原船籍港船舶登记机关出具的船舶所有</w:t>
            </w:r>
            <w:r>
              <w:rPr>
                <w:spacing w:val="-2"/>
              </w:rPr>
              <w:t>权登记注销证明书</w:t>
            </w:r>
            <w:r>
              <w:rPr>
                <w:spacing w:val="-9"/>
              </w:rPr>
              <w:t>；（</w:t>
            </w:r>
            <w:r>
              <w:rPr>
                <w:spacing w:val="-2"/>
              </w:rPr>
              <w:t>三）未进行抵押的证明文件或者</w:t>
            </w:r>
            <w:r>
              <w:t xml:space="preserve"> </w:t>
            </w:r>
            <w:r>
              <w:rPr>
                <w:spacing w:val="-3"/>
              </w:rPr>
              <w:t>抵押权人同意被抵押船舶转让他人的文件。</w:t>
            </w:r>
          </w:p>
          <w:p w14:paraId="478022B6">
            <w:pPr>
              <w:pStyle w:val="8"/>
              <w:spacing w:before="26" w:line="237" w:lineRule="auto"/>
              <w:ind w:left="110" w:right="151" w:firstLine="356"/>
              <w:jc w:val="both"/>
            </w:pPr>
            <w:r>
              <w:rPr>
                <w:spacing w:val="-2"/>
              </w:rPr>
              <w:t>就新造船舶申请船舶所有权登记的，应当提供船舶建造合同和交接文件。但是，就建</w:t>
            </w:r>
            <w:r>
              <w:rPr>
                <w:spacing w:val="-3"/>
              </w:rPr>
              <w:t>造中的船舶申请船舶</w:t>
            </w:r>
            <w:r>
              <w:t xml:space="preserve"> </w:t>
            </w:r>
            <w:r>
              <w:rPr>
                <w:spacing w:val="-2"/>
              </w:rPr>
              <w:t>所有权登记的，仅需提供船舶建造合同；就自造自用船舶申请船舶所有权登记的，应当提供足以</w:t>
            </w:r>
            <w:r>
              <w:rPr>
                <w:spacing w:val="-3"/>
              </w:rPr>
              <w:t>证明其所有权</w:t>
            </w:r>
            <w:r>
              <w:t xml:space="preserve"> </w:t>
            </w:r>
            <w:r>
              <w:rPr>
                <w:spacing w:val="-3"/>
              </w:rPr>
              <w:t>取得的文件。</w:t>
            </w:r>
          </w:p>
          <w:p w14:paraId="54B0C539">
            <w:pPr>
              <w:pStyle w:val="8"/>
              <w:spacing w:before="25" w:line="233" w:lineRule="auto"/>
              <w:ind w:left="125" w:right="153" w:firstLine="341"/>
            </w:pPr>
            <w:r>
              <w:rPr>
                <w:spacing w:val="-2"/>
              </w:rPr>
              <w:t>就因继承、赠与、依法拍卖以及法院判决取得的船舶申请船舶所有权登记的，应当提</w:t>
            </w:r>
            <w:r>
              <w:rPr>
                <w:spacing w:val="-3"/>
              </w:rPr>
              <w:t>供具有相应法律效力</w:t>
            </w:r>
            <w:r>
              <w:t xml:space="preserve"> </w:t>
            </w:r>
            <w:r>
              <w:rPr>
                <w:spacing w:val="-4"/>
              </w:rPr>
              <w:t>的船舶所有权取得的证明文件。</w:t>
            </w:r>
          </w:p>
          <w:p w14:paraId="6796AE0C">
            <w:pPr>
              <w:pStyle w:val="8"/>
              <w:spacing w:before="25"/>
              <w:ind w:left="112" w:right="101" w:firstLine="353"/>
              <w:jc w:val="both"/>
            </w:pPr>
            <w:r>
              <w:rPr>
                <w:spacing w:val="-2"/>
              </w:rPr>
              <w:t>第五十条  隐瞒在境内或者境外的登记事实，造成双重国籍的，由船籍港船舶登记机关吊销</w:t>
            </w:r>
            <w:r>
              <w:rPr>
                <w:spacing w:val="-3"/>
              </w:rPr>
              <w:t>其船舶国籍证</w:t>
            </w:r>
            <w:r>
              <w:t xml:space="preserve"> </w:t>
            </w:r>
            <w:r>
              <w:rPr>
                <w:spacing w:val="-1"/>
              </w:rPr>
              <w:t>书，并视情节处以下列罚款</w:t>
            </w:r>
            <w:r>
              <w:rPr>
                <w:spacing w:val="-20"/>
              </w:rPr>
              <w:t>：（</w:t>
            </w:r>
            <w:r>
              <w:rPr>
                <w:spacing w:val="-1"/>
              </w:rPr>
              <w:t>一）500总吨以下的船舶，处2000元以上、10</w:t>
            </w:r>
            <w:r>
              <w:rPr>
                <w:spacing w:val="-2"/>
              </w:rPr>
              <w:t>000元以下的罚款</w:t>
            </w:r>
            <w:r>
              <w:rPr>
                <w:spacing w:val="-20"/>
              </w:rPr>
              <w:t>；（</w:t>
            </w:r>
            <w:r>
              <w:rPr>
                <w:spacing w:val="-2"/>
              </w:rPr>
              <w:t>二）501总吨</w:t>
            </w:r>
            <w:r>
              <w:rPr>
                <w:spacing w:val="2"/>
              </w:rPr>
              <w:t xml:space="preserve"> </w:t>
            </w:r>
            <w:r>
              <w:rPr>
                <w:spacing w:val="-4"/>
              </w:rPr>
              <w:t>以上、10000总吨以下的船舶，处以10000元以上、50000元以下的罚款</w:t>
            </w:r>
            <w:r>
              <w:rPr>
                <w:spacing w:val="-42"/>
              </w:rPr>
              <w:t>；（</w:t>
            </w:r>
            <w:r>
              <w:rPr>
                <w:spacing w:val="-4"/>
              </w:rPr>
              <w:t>三）10001总吨以上的船舶，处以50000</w:t>
            </w:r>
            <w:r>
              <w:t xml:space="preserve"> </w:t>
            </w:r>
            <w:r>
              <w:rPr>
                <w:spacing w:val="-2"/>
              </w:rPr>
              <w:t>元以上、200000元以下的罚款。</w:t>
            </w:r>
          </w:p>
          <w:p w14:paraId="060B02A7">
            <w:pPr>
              <w:pStyle w:val="8"/>
              <w:spacing w:before="25" w:line="237" w:lineRule="auto"/>
              <w:ind w:left="114" w:right="45" w:firstLine="351"/>
              <w:jc w:val="both"/>
            </w:pPr>
            <w:r>
              <w:rPr>
                <w:spacing w:val="-2"/>
              </w:rPr>
              <w:t>第五十一条  违反本条例规定，有下列情形之一的，船籍港船舶登记机关可以视情节给予警</w:t>
            </w:r>
            <w:r>
              <w:rPr>
                <w:spacing w:val="-3"/>
              </w:rPr>
              <w:t>告、根据船舶</w:t>
            </w:r>
            <w:r>
              <w:t xml:space="preserve">  </w:t>
            </w:r>
            <w:r>
              <w:rPr>
                <w:spacing w:val="-3"/>
              </w:rPr>
              <w:t>吨位处以本条例第五十条规定的罚款数额的50%直至没收船舶登记证书</w:t>
            </w:r>
            <w:r>
              <w:rPr>
                <w:spacing w:val="-43"/>
                <w:w w:val="90"/>
              </w:rPr>
              <w:t>：（</w:t>
            </w:r>
            <w:r>
              <w:rPr>
                <w:spacing w:val="-3"/>
              </w:rPr>
              <w:t>一）在办理登记手续时隐瞒真实情</w:t>
            </w:r>
            <w:r>
              <w:rPr>
                <w:spacing w:val="-4"/>
              </w:rPr>
              <w:t>况、</w:t>
            </w:r>
            <w:r>
              <w:rPr>
                <w:spacing w:val="1"/>
              </w:rPr>
              <w:t xml:space="preserve"> </w:t>
            </w:r>
            <w:r>
              <w:rPr>
                <w:spacing w:val="-3"/>
              </w:rPr>
              <w:t>弄虚作假的;（二）隐瞒登记事实，造成重复登记的。</w:t>
            </w:r>
          </w:p>
        </w:tc>
        <w:tc>
          <w:tcPr>
            <w:tcW w:w="1043" w:type="dxa"/>
            <w:vAlign w:val="top"/>
          </w:tcPr>
          <w:p w14:paraId="4BEF352C">
            <w:pPr>
              <w:spacing w:line="248" w:lineRule="auto"/>
              <w:rPr>
                <w:rFonts w:ascii="Arial"/>
                <w:sz w:val="21"/>
              </w:rPr>
            </w:pPr>
          </w:p>
          <w:p w14:paraId="49109C27">
            <w:pPr>
              <w:spacing w:line="248" w:lineRule="auto"/>
              <w:rPr>
                <w:rFonts w:ascii="Arial"/>
                <w:sz w:val="21"/>
              </w:rPr>
            </w:pPr>
          </w:p>
          <w:p w14:paraId="2340315E">
            <w:pPr>
              <w:spacing w:line="248" w:lineRule="auto"/>
              <w:rPr>
                <w:rFonts w:ascii="Arial"/>
                <w:sz w:val="21"/>
              </w:rPr>
            </w:pPr>
          </w:p>
          <w:p w14:paraId="2678A8C4">
            <w:pPr>
              <w:spacing w:line="248" w:lineRule="auto"/>
              <w:rPr>
                <w:rFonts w:ascii="Arial"/>
                <w:sz w:val="21"/>
              </w:rPr>
            </w:pPr>
          </w:p>
          <w:p w14:paraId="35FE457C">
            <w:pPr>
              <w:spacing w:line="248" w:lineRule="auto"/>
              <w:rPr>
                <w:rFonts w:ascii="Arial"/>
                <w:sz w:val="21"/>
              </w:rPr>
            </w:pPr>
          </w:p>
          <w:p w14:paraId="6AD1D908">
            <w:pPr>
              <w:spacing w:line="248" w:lineRule="auto"/>
              <w:rPr>
                <w:rFonts w:ascii="Arial"/>
                <w:sz w:val="21"/>
              </w:rPr>
            </w:pPr>
          </w:p>
          <w:p w14:paraId="255035ED">
            <w:pPr>
              <w:spacing w:line="248" w:lineRule="auto"/>
              <w:rPr>
                <w:rFonts w:ascii="Arial"/>
                <w:sz w:val="21"/>
              </w:rPr>
            </w:pPr>
          </w:p>
          <w:p w14:paraId="0FFEDC12">
            <w:pPr>
              <w:spacing w:line="248" w:lineRule="auto"/>
              <w:rPr>
                <w:rFonts w:ascii="Arial"/>
                <w:sz w:val="21"/>
              </w:rPr>
            </w:pPr>
          </w:p>
          <w:p w14:paraId="49CE488B">
            <w:pPr>
              <w:spacing w:line="248" w:lineRule="auto"/>
              <w:rPr>
                <w:rFonts w:ascii="Arial"/>
                <w:sz w:val="21"/>
              </w:rPr>
            </w:pPr>
          </w:p>
          <w:p w14:paraId="044DE2D4">
            <w:pPr>
              <w:spacing w:line="249" w:lineRule="auto"/>
              <w:rPr>
                <w:rFonts w:ascii="Arial"/>
                <w:sz w:val="21"/>
              </w:rPr>
            </w:pPr>
          </w:p>
          <w:p w14:paraId="228425BC">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98AA5CB">
            <w:pPr>
              <w:spacing w:line="260" w:lineRule="auto"/>
              <w:rPr>
                <w:rFonts w:ascii="Arial"/>
                <w:sz w:val="21"/>
              </w:rPr>
            </w:pPr>
          </w:p>
          <w:p w14:paraId="6583E0A5">
            <w:pPr>
              <w:spacing w:line="260" w:lineRule="auto"/>
              <w:rPr>
                <w:rFonts w:ascii="Arial"/>
                <w:sz w:val="21"/>
              </w:rPr>
            </w:pPr>
          </w:p>
          <w:p w14:paraId="25437919">
            <w:pPr>
              <w:spacing w:line="260" w:lineRule="auto"/>
              <w:rPr>
                <w:rFonts w:ascii="Arial"/>
                <w:sz w:val="21"/>
              </w:rPr>
            </w:pPr>
          </w:p>
          <w:p w14:paraId="268524F3">
            <w:pPr>
              <w:spacing w:line="260" w:lineRule="auto"/>
              <w:rPr>
                <w:rFonts w:ascii="Arial"/>
                <w:sz w:val="21"/>
              </w:rPr>
            </w:pPr>
          </w:p>
          <w:p w14:paraId="7BCED4C0">
            <w:pPr>
              <w:spacing w:line="260" w:lineRule="auto"/>
              <w:rPr>
                <w:rFonts w:ascii="Arial"/>
                <w:sz w:val="21"/>
              </w:rPr>
            </w:pPr>
          </w:p>
          <w:p w14:paraId="391FE33F">
            <w:pPr>
              <w:spacing w:line="260" w:lineRule="auto"/>
              <w:rPr>
                <w:rFonts w:ascii="Arial"/>
                <w:sz w:val="21"/>
              </w:rPr>
            </w:pPr>
          </w:p>
          <w:p w14:paraId="0952ADF9">
            <w:pPr>
              <w:spacing w:line="260" w:lineRule="auto"/>
              <w:rPr>
                <w:rFonts w:ascii="Arial"/>
                <w:sz w:val="21"/>
              </w:rPr>
            </w:pPr>
          </w:p>
          <w:p w14:paraId="354A3C98">
            <w:pPr>
              <w:spacing w:line="260" w:lineRule="auto"/>
              <w:rPr>
                <w:rFonts w:ascii="Arial"/>
                <w:sz w:val="21"/>
              </w:rPr>
            </w:pPr>
          </w:p>
          <w:p w14:paraId="20FA4DD4">
            <w:pPr>
              <w:spacing w:line="260" w:lineRule="auto"/>
              <w:rPr>
                <w:rFonts w:ascii="Arial"/>
                <w:sz w:val="21"/>
              </w:rPr>
            </w:pPr>
          </w:p>
          <w:p w14:paraId="4CBF5568">
            <w:pPr>
              <w:spacing w:line="261" w:lineRule="auto"/>
              <w:rPr>
                <w:rFonts w:ascii="Arial"/>
                <w:sz w:val="21"/>
              </w:rPr>
            </w:pPr>
          </w:p>
          <w:p w14:paraId="1676E17D">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9EAF7BB">
            <w:pPr>
              <w:spacing w:line="249" w:lineRule="auto"/>
              <w:rPr>
                <w:rFonts w:ascii="Arial"/>
                <w:sz w:val="21"/>
              </w:rPr>
            </w:pPr>
          </w:p>
          <w:p w14:paraId="28A973E4">
            <w:pPr>
              <w:spacing w:line="249" w:lineRule="auto"/>
              <w:rPr>
                <w:rFonts w:ascii="Arial"/>
                <w:sz w:val="21"/>
              </w:rPr>
            </w:pPr>
          </w:p>
          <w:p w14:paraId="6129E9CB">
            <w:pPr>
              <w:spacing w:line="249" w:lineRule="auto"/>
              <w:rPr>
                <w:rFonts w:ascii="Arial"/>
                <w:sz w:val="21"/>
              </w:rPr>
            </w:pPr>
          </w:p>
          <w:p w14:paraId="1E0EA616">
            <w:pPr>
              <w:spacing w:line="249" w:lineRule="auto"/>
              <w:rPr>
                <w:rFonts w:ascii="Arial"/>
                <w:sz w:val="21"/>
              </w:rPr>
            </w:pPr>
          </w:p>
          <w:p w14:paraId="7D75BEFA">
            <w:pPr>
              <w:spacing w:line="249" w:lineRule="auto"/>
              <w:rPr>
                <w:rFonts w:ascii="Arial"/>
                <w:sz w:val="21"/>
              </w:rPr>
            </w:pPr>
          </w:p>
          <w:p w14:paraId="46CA5CE7">
            <w:pPr>
              <w:spacing w:line="249" w:lineRule="auto"/>
              <w:rPr>
                <w:rFonts w:ascii="Arial"/>
                <w:sz w:val="21"/>
              </w:rPr>
            </w:pPr>
          </w:p>
          <w:p w14:paraId="2289D0AF">
            <w:pPr>
              <w:spacing w:line="250" w:lineRule="auto"/>
              <w:rPr>
                <w:rFonts w:ascii="Arial"/>
                <w:sz w:val="21"/>
              </w:rPr>
            </w:pPr>
          </w:p>
          <w:p w14:paraId="7319CA57">
            <w:pPr>
              <w:spacing w:line="250" w:lineRule="auto"/>
              <w:rPr>
                <w:rFonts w:ascii="Arial"/>
                <w:sz w:val="21"/>
              </w:rPr>
            </w:pPr>
          </w:p>
          <w:p w14:paraId="34B04376">
            <w:pPr>
              <w:spacing w:line="250" w:lineRule="auto"/>
              <w:rPr>
                <w:rFonts w:ascii="Arial"/>
                <w:sz w:val="21"/>
              </w:rPr>
            </w:pPr>
          </w:p>
          <w:p w14:paraId="1CF1E3C9">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51EDDB41">
      <w:pPr>
        <w:pStyle w:val="2"/>
      </w:pPr>
    </w:p>
    <w:p w14:paraId="6716B559">
      <w:pPr>
        <w:sectPr>
          <w:footerReference r:id="rId189" w:type="default"/>
          <w:pgSz w:w="16839" w:h="11906"/>
          <w:pgMar w:top="1012" w:right="788" w:bottom="966" w:left="787" w:header="0" w:footer="768" w:gutter="0"/>
          <w:cols w:space="720" w:num="1"/>
        </w:sectPr>
      </w:pPr>
    </w:p>
    <w:p w14:paraId="0B403CF0">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3EF26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641" w:type="dxa"/>
            <w:vMerge w:val="restart"/>
            <w:tcBorders>
              <w:bottom w:val="nil"/>
            </w:tcBorders>
            <w:vAlign w:val="top"/>
          </w:tcPr>
          <w:p w14:paraId="71EE9AF8">
            <w:pPr>
              <w:pStyle w:val="8"/>
              <w:spacing w:before="267" w:line="221" w:lineRule="auto"/>
              <w:ind w:left="142"/>
            </w:pPr>
            <w:r>
              <w:rPr>
                <w:b/>
                <w:bCs/>
                <w:spacing w:val="-4"/>
              </w:rPr>
              <w:t>序号</w:t>
            </w:r>
          </w:p>
        </w:tc>
        <w:tc>
          <w:tcPr>
            <w:tcW w:w="1136" w:type="dxa"/>
            <w:vMerge w:val="restart"/>
            <w:tcBorders>
              <w:bottom w:val="nil"/>
            </w:tcBorders>
            <w:vAlign w:val="top"/>
          </w:tcPr>
          <w:p w14:paraId="2407296E">
            <w:pPr>
              <w:pStyle w:val="8"/>
              <w:spacing w:before="267" w:line="220" w:lineRule="auto"/>
              <w:ind w:left="208"/>
            </w:pPr>
            <w:r>
              <w:rPr>
                <w:b/>
                <w:bCs/>
                <w:spacing w:val="-4"/>
              </w:rPr>
              <w:t>事项名称</w:t>
            </w:r>
          </w:p>
        </w:tc>
        <w:tc>
          <w:tcPr>
            <w:tcW w:w="1136" w:type="dxa"/>
            <w:vMerge w:val="restart"/>
            <w:tcBorders>
              <w:bottom w:val="nil"/>
            </w:tcBorders>
            <w:vAlign w:val="top"/>
          </w:tcPr>
          <w:p w14:paraId="43CD1247">
            <w:pPr>
              <w:pStyle w:val="8"/>
              <w:spacing w:before="267" w:line="219" w:lineRule="auto"/>
              <w:ind w:left="210"/>
            </w:pPr>
            <w:r>
              <w:rPr>
                <w:b/>
                <w:bCs/>
                <w:spacing w:val="-4"/>
              </w:rPr>
              <w:t>职权类型</w:t>
            </w:r>
          </w:p>
        </w:tc>
        <w:tc>
          <w:tcPr>
            <w:tcW w:w="8806" w:type="dxa"/>
            <w:vMerge w:val="restart"/>
            <w:tcBorders>
              <w:bottom w:val="nil"/>
            </w:tcBorders>
            <w:vAlign w:val="top"/>
          </w:tcPr>
          <w:p w14:paraId="6F1ABFDC">
            <w:pPr>
              <w:pStyle w:val="8"/>
              <w:spacing w:before="267" w:line="219" w:lineRule="auto"/>
              <w:ind w:left="4050"/>
            </w:pPr>
            <w:r>
              <w:rPr>
                <w:b/>
                <w:bCs/>
                <w:spacing w:val="-5"/>
              </w:rPr>
              <w:t>实施依据</w:t>
            </w:r>
          </w:p>
        </w:tc>
        <w:tc>
          <w:tcPr>
            <w:tcW w:w="3538" w:type="dxa"/>
            <w:gridSpan w:val="3"/>
            <w:vAlign w:val="top"/>
          </w:tcPr>
          <w:p w14:paraId="0B3D2301">
            <w:pPr>
              <w:pStyle w:val="8"/>
              <w:spacing w:before="92" w:line="220" w:lineRule="auto"/>
              <w:ind w:left="1415"/>
            </w:pPr>
            <w:r>
              <w:rPr>
                <w:b/>
                <w:bCs/>
                <w:spacing w:val="-5"/>
              </w:rPr>
              <w:t>实施主体</w:t>
            </w:r>
          </w:p>
        </w:tc>
      </w:tr>
      <w:tr w14:paraId="5D60B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FE46D25">
            <w:pPr>
              <w:rPr>
                <w:rFonts w:ascii="Arial"/>
                <w:sz w:val="21"/>
              </w:rPr>
            </w:pPr>
          </w:p>
        </w:tc>
        <w:tc>
          <w:tcPr>
            <w:tcW w:w="1136" w:type="dxa"/>
            <w:vMerge w:val="continue"/>
            <w:tcBorders>
              <w:top w:val="nil"/>
            </w:tcBorders>
            <w:vAlign w:val="top"/>
          </w:tcPr>
          <w:p w14:paraId="4B6D5FB3">
            <w:pPr>
              <w:rPr>
                <w:rFonts w:ascii="Arial"/>
                <w:sz w:val="21"/>
              </w:rPr>
            </w:pPr>
          </w:p>
        </w:tc>
        <w:tc>
          <w:tcPr>
            <w:tcW w:w="1136" w:type="dxa"/>
            <w:vMerge w:val="continue"/>
            <w:tcBorders>
              <w:top w:val="nil"/>
            </w:tcBorders>
            <w:vAlign w:val="top"/>
          </w:tcPr>
          <w:p w14:paraId="07A3D4D2">
            <w:pPr>
              <w:rPr>
                <w:rFonts w:ascii="Arial"/>
                <w:sz w:val="21"/>
              </w:rPr>
            </w:pPr>
          </w:p>
        </w:tc>
        <w:tc>
          <w:tcPr>
            <w:tcW w:w="8806" w:type="dxa"/>
            <w:vMerge w:val="continue"/>
            <w:tcBorders>
              <w:top w:val="nil"/>
            </w:tcBorders>
            <w:vAlign w:val="top"/>
          </w:tcPr>
          <w:p w14:paraId="0F6F64D3">
            <w:pPr>
              <w:rPr>
                <w:rFonts w:ascii="Arial"/>
                <w:sz w:val="21"/>
              </w:rPr>
            </w:pPr>
          </w:p>
        </w:tc>
        <w:tc>
          <w:tcPr>
            <w:tcW w:w="1043" w:type="dxa"/>
            <w:vAlign w:val="top"/>
          </w:tcPr>
          <w:p w14:paraId="4FED4BC5">
            <w:pPr>
              <w:pStyle w:val="8"/>
              <w:spacing w:before="88" w:line="219" w:lineRule="auto"/>
              <w:ind w:left="171"/>
            </w:pPr>
            <w:r>
              <w:rPr>
                <w:b/>
                <w:bCs/>
                <w:spacing w:val="-5"/>
              </w:rPr>
              <w:t>责任部门</w:t>
            </w:r>
          </w:p>
        </w:tc>
        <w:tc>
          <w:tcPr>
            <w:tcW w:w="1448" w:type="dxa"/>
            <w:vAlign w:val="top"/>
          </w:tcPr>
          <w:p w14:paraId="7959314D">
            <w:pPr>
              <w:pStyle w:val="8"/>
              <w:spacing w:before="88" w:line="219" w:lineRule="auto"/>
              <w:ind w:left="187"/>
            </w:pPr>
            <w:r>
              <w:rPr>
                <w:b/>
                <w:bCs/>
                <w:spacing w:val="-3"/>
              </w:rPr>
              <w:t>第一责任层级</w:t>
            </w:r>
          </w:p>
        </w:tc>
        <w:tc>
          <w:tcPr>
            <w:tcW w:w="1047" w:type="dxa"/>
            <w:vAlign w:val="top"/>
          </w:tcPr>
          <w:p w14:paraId="481092F8">
            <w:pPr>
              <w:pStyle w:val="8"/>
              <w:spacing w:before="88" w:line="219" w:lineRule="auto"/>
              <w:ind w:left="165"/>
            </w:pPr>
            <w:r>
              <w:rPr>
                <w:b/>
                <w:bCs/>
                <w:spacing w:val="-4"/>
              </w:rPr>
              <w:t>承办机构</w:t>
            </w:r>
          </w:p>
        </w:tc>
      </w:tr>
      <w:tr w14:paraId="60F59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5" w:hRule="atLeast"/>
        </w:trPr>
        <w:tc>
          <w:tcPr>
            <w:tcW w:w="641" w:type="dxa"/>
            <w:vAlign w:val="top"/>
          </w:tcPr>
          <w:p w14:paraId="7277D0D7">
            <w:pPr>
              <w:spacing w:line="256" w:lineRule="auto"/>
              <w:rPr>
                <w:rFonts w:ascii="Arial"/>
                <w:sz w:val="21"/>
              </w:rPr>
            </w:pPr>
          </w:p>
          <w:p w14:paraId="61542293">
            <w:pPr>
              <w:spacing w:line="256" w:lineRule="auto"/>
              <w:rPr>
                <w:rFonts w:ascii="Arial"/>
                <w:sz w:val="21"/>
              </w:rPr>
            </w:pPr>
          </w:p>
          <w:p w14:paraId="152EAC94">
            <w:pPr>
              <w:spacing w:line="256" w:lineRule="auto"/>
              <w:rPr>
                <w:rFonts w:ascii="Arial"/>
                <w:sz w:val="21"/>
              </w:rPr>
            </w:pPr>
          </w:p>
          <w:p w14:paraId="3904BFDE">
            <w:pPr>
              <w:spacing w:line="256" w:lineRule="auto"/>
              <w:rPr>
                <w:rFonts w:ascii="Arial"/>
                <w:sz w:val="21"/>
              </w:rPr>
            </w:pPr>
          </w:p>
          <w:p w14:paraId="31CA00A6">
            <w:pPr>
              <w:spacing w:line="257" w:lineRule="auto"/>
              <w:rPr>
                <w:rFonts w:ascii="Arial"/>
                <w:sz w:val="21"/>
              </w:rPr>
            </w:pPr>
          </w:p>
          <w:p w14:paraId="567AFD20">
            <w:pPr>
              <w:spacing w:line="257" w:lineRule="auto"/>
              <w:rPr>
                <w:rFonts w:ascii="Arial"/>
                <w:sz w:val="21"/>
              </w:rPr>
            </w:pPr>
          </w:p>
          <w:p w14:paraId="722288C7">
            <w:pPr>
              <w:spacing w:line="257" w:lineRule="auto"/>
              <w:rPr>
                <w:rFonts w:ascii="Arial"/>
                <w:sz w:val="21"/>
              </w:rPr>
            </w:pPr>
          </w:p>
          <w:p w14:paraId="5B055689">
            <w:pPr>
              <w:spacing w:line="257" w:lineRule="auto"/>
              <w:rPr>
                <w:rFonts w:ascii="Arial"/>
                <w:sz w:val="21"/>
              </w:rPr>
            </w:pPr>
          </w:p>
          <w:p w14:paraId="56C6C5F7">
            <w:pPr>
              <w:pStyle w:val="8"/>
              <w:spacing w:before="59" w:line="183" w:lineRule="auto"/>
              <w:ind w:left="234"/>
            </w:pPr>
            <w:r>
              <w:rPr>
                <w:spacing w:val="-3"/>
              </w:rPr>
              <w:t>44</w:t>
            </w:r>
          </w:p>
        </w:tc>
        <w:tc>
          <w:tcPr>
            <w:tcW w:w="1136" w:type="dxa"/>
            <w:vAlign w:val="top"/>
          </w:tcPr>
          <w:p w14:paraId="765824DF">
            <w:pPr>
              <w:spacing w:line="315" w:lineRule="auto"/>
              <w:rPr>
                <w:rFonts w:ascii="Arial"/>
                <w:sz w:val="21"/>
              </w:rPr>
            </w:pPr>
          </w:p>
          <w:p w14:paraId="0708C95C">
            <w:pPr>
              <w:spacing w:line="316" w:lineRule="auto"/>
              <w:rPr>
                <w:rFonts w:ascii="Arial"/>
                <w:sz w:val="21"/>
              </w:rPr>
            </w:pPr>
          </w:p>
          <w:p w14:paraId="49CBEAAA">
            <w:pPr>
              <w:spacing w:line="316" w:lineRule="auto"/>
              <w:rPr>
                <w:rFonts w:ascii="Arial"/>
                <w:sz w:val="21"/>
              </w:rPr>
            </w:pPr>
          </w:p>
          <w:p w14:paraId="75D42119">
            <w:pPr>
              <w:pStyle w:val="8"/>
              <w:spacing w:before="59" w:line="244" w:lineRule="auto"/>
              <w:ind w:left="109" w:right="104"/>
              <w:jc w:val="both"/>
            </w:pPr>
            <w:r>
              <w:rPr>
                <w:spacing w:val="3"/>
              </w:rPr>
              <w:t>对不按照规</w:t>
            </w:r>
            <w:r>
              <w:rPr>
                <w:spacing w:val="1"/>
              </w:rPr>
              <w:t xml:space="preserve"> </w:t>
            </w:r>
            <w:r>
              <w:rPr>
                <w:spacing w:val="3"/>
              </w:rPr>
              <w:t>定办理变更</w:t>
            </w:r>
            <w:r>
              <w:rPr>
                <w:spacing w:val="1"/>
              </w:rPr>
              <w:t xml:space="preserve"> </w:t>
            </w:r>
            <w:r>
              <w:rPr>
                <w:spacing w:val="3"/>
              </w:rPr>
              <w:t>或者注销登</w:t>
            </w:r>
            <w:r>
              <w:rPr>
                <w:spacing w:val="1"/>
              </w:rPr>
              <w:t xml:space="preserve"> </w:t>
            </w:r>
            <w:r>
              <w:rPr>
                <w:spacing w:val="3"/>
              </w:rPr>
              <w:t>记的，或者</w:t>
            </w:r>
            <w:r>
              <w:rPr>
                <w:spacing w:val="1"/>
              </w:rPr>
              <w:t xml:space="preserve"> </w:t>
            </w:r>
            <w:r>
              <w:rPr>
                <w:spacing w:val="3"/>
              </w:rPr>
              <w:t>使用过期的</w:t>
            </w:r>
            <w:r>
              <w:rPr>
                <w:spacing w:val="1"/>
              </w:rPr>
              <w:t xml:space="preserve"> </w:t>
            </w:r>
            <w:r>
              <w:rPr>
                <w:spacing w:val="3"/>
              </w:rPr>
              <w:t>船舶国籍证</w:t>
            </w:r>
            <w:r>
              <w:rPr>
                <w:spacing w:val="1"/>
              </w:rPr>
              <w:t xml:space="preserve"> </w:t>
            </w:r>
            <w:r>
              <w:rPr>
                <w:spacing w:val="3"/>
              </w:rPr>
              <w:t>书或者临时</w:t>
            </w:r>
            <w:r>
              <w:rPr>
                <w:spacing w:val="1"/>
              </w:rPr>
              <w:t xml:space="preserve"> </w:t>
            </w:r>
            <w:r>
              <w:rPr>
                <w:spacing w:val="3"/>
              </w:rPr>
              <w:t>船舶国籍证</w:t>
            </w:r>
            <w:r>
              <w:rPr>
                <w:spacing w:val="1"/>
              </w:rPr>
              <w:t xml:space="preserve"> </w:t>
            </w:r>
            <w:r>
              <w:rPr>
                <w:spacing w:val="3"/>
              </w:rPr>
              <w:t>书行为的行</w:t>
            </w:r>
            <w:r>
              <w:rPr>
                <w:spacing w:val="1"/>
              </w:rPr>
              <w:t xml:space="preserve"> </w:t>
            </w:r>
            <w:r>
              <w:rPr>
                <w:spacing w:val="-3"/>
              </w:rPr>
              <w:t>政处罚</w:t>
            </w:r>
          </w:p>
        </w:tc>
        <w:tc>
          <w:tcPr>
            <w:tcW w:w="1136" w:type="dxa"/>
            <w:vAlign w:val="top"/>
          </w:tcPr>
          <w:p w14:paraId="434D0643">
            <w:pPr>
              <w:spacing w:line="253" w:lineRule="auto"/>
              <w:rPr>
                <w:rFonts w:ascii="Arial"/>
                <w:sz w:val="21"/>
              </w:rPr>
            </w:pPr>
          </w:p>
          <w:p w14:paraId="6517609C">
            <w:pPr>
              <w:spacing w:line="253" w:lineRule="auto"/>
              <w:rPr>
                <w:rFonts w:ascii="Arial"/>
                <w:sz w:val="21"/>
              </w:rPr>
            </w:pPr>
          </w:p>
          <w:p w14:paraId="6454FE61">
            <w:pPr>
              <w:spacing w:line="253" w:lineRule="auto"/>
              <w:rPr>
                <w:rFonts w:ascii="Arial"/>
                <w:sz w:val="21"/>
              </w:rPr>
            </w:pPr>
          </w:p>
          <w:p w14:paraId="362C05D0">
            <w:pPr>
              <w:spacing w:line="253" w:lineRule="auto"/>
              <w:rPr>
                <w:rFonts w:ascii="Arial"/>
                <w:sz w:val="21"/>
              </w:rPr>
            </w:pPr>
          </w:p>
          <w:p w14:paraId="3F5D3AB0">
            <w:pPr>
              <w:spacing w:line="253" w:lineRule="auto"/>
              <w:rPr>
                <w:rFonts w:ascii="Arial"/>
                <w:sz w:val="21"/>
              </w:rPr>
            </w:pPr>
          </w:p>
          <w:p w14:paraId="4E9BA034">
            <w:pPr>
              <w:spacing w:line="253" w:lineRule="auto"/>
              <w:rPr>
                <w:rFonts w:ascii="Arial"/>
                <w:sz w:val="21"/>
              </w:rPr>
            </w:pPr>
          </w:p>
          <w:p w14:paraId="5AC68F42">
            <w:pPr>
              <w:spacing w:line="253" w:lineRule="auto"/>
              <w:rPr>
                <w:rFonts w:ascii="Arial"/>
                <w:sz w:val="21"/>
              </w:rPr>
            </w:pPr>
          </w:p>
          <w:p w14:paraId="3340D449">
            <w:pPr>
              <w:spacing w:line="253" w:lineRule="auto"/>
              <w:rPr>
                <w:rFonts w:ascii="Arial"/>
                <w:sz w:val="21"/>
              </w:rPr>
            </w:pPr>
          </w:p>
          <w:p w14:paraId="7797F262">
            <w:pPr>
              <w:pStyle w:val="8"/>
              <w:spacing w:before="58" w:line="220" w:lineRule="auto"/>
              <w:ind w:left="114"/>
            </w:pPr>
            <w:r>
              <w:rPr>
                <w:spacing w:val="-7"/>
              </w:rPr>
              <w:t>行政处罚</w:t>
            </w:r>
          </w:p>
        </w:tc>
        <w:tc>
          <w:tcPr>
            <w:tcW w:w="8806" w:type="dxa"/>
            <w:vAlign w:val="top"/>
          </w:tcPr>
          <w:p w14:paraId="765DC0AC">
            <w:pPr>
              <w:pStyle w:val="8"/>
              <w:spacing w:before="175" w:line="219" w:lineRule="auto"/>
              <w:ind w:left="471"/>
            </w:pPr>
            <w:r>
              <w:rPr>
                <w:b/>
                <w:bCs/>
                <w:spacing w:val="-4"/>
              </w:rPr>
              <w:t>《中华人民共和国船舶登记条例》</w:t>
            </w:r>
          </w:p>
          <w:p w14:paraId="21966824">
            <w:pPr>
              <w:pStyle w:val="8"/>
              <w:spacing w:before="25" w:line="233" w:lineRule="auto"/>
              <w:ind w:left="112" w:right="155" w:firstLine="353"/>
            </w:pPr>
            <w:r>
              <w:rPr>
                <w:spacing w:val="-2"/>
              </w:rPr>
              <w:t>第十六条  依照本条例第十三条  规定申请登记的船舶，经核准后，船舶登记机关发给船舶</w:t>
            </w:r>
            <w:r>
              <w:rPr>
                <w:spacing w:val="-3"/>
              </w:rPr>
              <w:t>国籍证书。船</w:t>
            </w:r>
            <w:r>
              <w:t xml:space="preserve"> </w:t>
            </w:r>
            <w:r>
              <w:rPr>
                <w:spacing w:val="-3"/>
              </w:rPr>
              <w:t>舶国籍证书的有效期为5年。</w:t>
            </w:r>
          </w:p>
          <w:p w14:paraId="581E8669">
            <w:pPr>
              <w:pStyle w:val="8"/>
              <w:spacing w:before="26" w:line="219" w:lineRule="auto"/>
              <w:ind w:left="463"/>
            </w:pPr>
            <w:r>
              <w:rPr>
                <w:spacing w:val="-2"/>
              </w:rPr>
              <w:t>第十八条  临时船舶国籍证书的有效期一般不超过</w:t>
            </w:r>
            <w:r>
              <w:rPr>
                <w:spacing w:val="-3"/>
              </w:rPr>
              <w:t>1年。</w:t>
            </w:r>
          </w:p>
          <w:p w14:paraId="5ED5F351">
            <w:pPr>
              <w:pStyle w:val="8"/>
              <w:spacing w:before="25" w:line="233" w:lineRule="auto"/>
              <w:ind w:left="130" w:right="45"/>
              <w:jc w:val="right"/>
            </w:pPr>
            <w:r>
              <w:rPr>
                <w:spacing w:val="-3"/>
              </w:rPr>
              <w:t>以光船租赁条件从境外租进的船舶，临时船舶国籍证书的期限可以根据租</w:t>
            </w:r>
            <w:r>
              <w:rPr>
                <w:spacing w:val="-4"/>
              </w:rPr>
              <w:t>期确定，但是最长不得超过2年。光船</w:t>
            </w:r>
            <w:r>
              <w:t xml:space="preserve"> </w:t>
            </w:r>
            <w:r>
              <w:rPr>
                <w:spacing w:val="-5"/>
              </w:rPr>
              <w:t>租赁合同期限超过2年的，承租人应当在证书有效期内，到船籍港船舶登记机关申请换发临时船舶国籍证书。</w:t>
            </w:r>
          </w:p>
          <w:p w14:paraId="3A0462F0">
            <w:pPr>
              <w:pStyle w:val="8"/>
              <w:spacing w:before="25" w:line="233" w:lineRule="auto"/>
              <w:ind w:left="110" w:right="153" w:firstLine="355"/>
            </w:pPr>
            <w:r>
              <w:rPr>
                <w:spacing w:val="-2"/>
              </w:rPr>
              <w:t>第三十五条  船舶登记项目发生变更时，船舶所有人应当持船舶登记的有关证明文件和变更</w:t>
            </w:r>
            <w:r>
              <w:rPr>
                <w:spacing w:val="-3"/>
              </w:rPr>
              <w:t>证明文件，到</w:t>
            </w:r>
            <w:r>
              <w:t xml:space="preserve"> </w:t>
            </w:r>
            <w:r>
              <w:rPr>
                <w:spacing w:val="-3"/>
              </w:rPr>
              <w:t>船籍港船舶登记机关办理变更登记。</w:t>
            </w:r>
          </w:p>
          <w:p w14:paraId="607A0E34">
            <w:pPr>
              <w:pStyle w:val="8"/>
              <w:spacing w:before="26" w:line="233" w:lineRule="auto"/>
              <w:ind w:left="125" w:right="153" w:firstLine="340"/>
            </w:pPr>
            <w:r>
              <w:rPr>
                <w:spacing w:val="-2"/>
              </w:rPr>
              <w:t>第三十七条  船舶共有情况发生变更时，船舶所有人应当持船舶所有权登记证书和有关船舶</w:t>
            </w:r>
            <w:r>
              <w:rPr>
                <w:spacing w:val="-3"/>
              </w:rPr>
              <w:t>共有情况变更</w:t>
            </w:r>
            <w:r>
              <w:t xml:space="preserve"> </w:t>
            </w:r>
            <w:r>
              <w:rPr>
                <w:spacing w:val="-3"/>
              </w:rPr>
              <w:t>的证明文件，到船籍港船舶登记机关办理有关变更登记。</w:t>
            </w:r>
          </w:p>
          <w:p w14:paraId="24B7692F">
            <w:pPr>
              <w:pStyle w:val="8"/>
              <w:spacing w:before="25"/>
              <w:ind w:left="112" w:right="101" w:firstLine="353"/>
            </w:pPr>
            <w:r>
              <w:rPr>
                <w:spacing w:val="-2"/>
              </w:rPr>
              <w:t>第五十条  隐瞒在境内或者境外的登记事实，造成双重国籍的，由船籍港船舶登记机关吊销</w:t>
            </w:r>
            <w:r>
              <w:rPr>
                <w:spacing w:val="-3"/>
              </w:rPr>
              <w:t>其船舶国籍证</w:t>
            </w:r>
            <w:r>
              <w:t xml:space="preserve"> </w:t>
            </w:r>
            <w:r>
              <w:rPr>
                <w:spacing w:val="-1"/>
              </w:rPr>
              <w:t>书，并视情节处以下列罚款</w:t>
            </w:r>
            <w:r>
              <w:rPr>
                <w:spacing w:val="-20"/>
              </w:rPr>
              <w:t>：（</w:t>
            </w:r>
            <w:r>
              <w:rPr>
                <w:spacing w:val="-1"/>
              </w:rPr>
              <w:t>一）500总吨以下的船舶，处2000元以上、10</w:t>
            </w:r>
            <w:r>
              <w:rPr>
                <w:spacing w:val="-2"/>
              </w:rPr>
              <w:t>000元以下的罚款</w:t>
            </w:r>
            <w:r>
              <w:rPr>
                <w:spacing w:val="-20"/>
              </w:rPr>
              <w:t>；（</w:t>
            </w:r>
            <w:r>
              <w:rPr>
                <w:spacing w:val="-2"/>
              </w:rPr>
              <w:t>二）501总吨</w:t>
            </w:r>
            <w:r>
              <w:rPr>
                <w:spacing w:val="2"/>
              </w:rPr>
              <w:t xml:space="preserve"> </w:t>
            </w:r>
            <w:r>
              <w:rPr>
                <w:spacing w:val="-4"/>
              </w:rPr>
              <w:t>以上、10000总吨以下的船舶，处以10000元以上、50000元以下的罚款</w:t>
            </w:r>
            <w:r>
              <w:rPr>
                <w:spacing w:val="-42"/>
              </w:rPr>
              <w:t>；（</w:t>
            </w:r>
            <w:r>
              <w:rPr>
                <w:spacing w:val="-4"/>
              </w:rPr>
              <w:t>三）10001总吨以上的船舶，处以50000</w:t>
            </w:r>
            <w:r>
              <w:t xml:space="preserve"> </w:t>
            </w:r>
            <w:r>
              <w:rPr>
                <w:spacing w:val="-2"/>
              </w:rPr>
              <w:t>元以上、200000元以下的罚款。</w:t>
            </w:r>
          </w:p>
          <w:p w14:paraId="0E24C3DE">
            <w:pPr>
              <w:pStyle w:val="8"/>
              <w:spacing w:before="26" w:line="237" w:lineRule="auto"/>
              <w:ind w:left="114" w:right="151" w:firstLine="350"/>
              <w:jc w:val="both"/>
            </w:pPr>
            <w:r>
              <w:rPr>
                <w:spacing w:val="-2"/>
              </w:rPr>
              <w:t>第五十二条  不按照规定办理变更或者注销登记的，或者使用过期的船舶国籍证书或者临时</w:t>
            </w:r>
            <w:r>
              <w:rPr>
                <w:spacing w:val="-3"/>
              </w:rPr>
              <w:t>船舶国籍证书</w:t>
            </w:r>
            <w:r>
              <w:t xml:space="preserve"> </w:t>
            </w:r>
            <w:r>
              <w:rPr>
                <w:spacing w:val="-2"/>
              </w:rPr>
              <w:t>的，由船籍港船舶登记机关责令其补办有关登记手续；情节严重的，可以根据船舶吨</w:t>
            </w:r>
            <w:r>
              <w:rPr>
                <w:spacing w:val="-3"/>
              </w:rPr>
              <w:t>位处以本条例第五十条规</w:t>
            </w:r>
            <w:r>
              <w:t xml:space="preserve"> </w:t>
            </w:r>
            <w:r>
              <w:rPr>
                <w:spacing w:val="-3"/>
              </w:rPr>
              <w:t>定的罚款数额的10%。</w:t>
            </w:r>
          </w:p>
        </w:tc>
        <w:tc>
          <w:tcPr>
            <w:tcW w:w="1043" w:type="dxa"/>
            <w:vAlign w:val="top"/>
          </w:tcPr>
          <w:p w14:paraId="70F9C220">
            <w:pPr>
              <w:spacing w:line="272" w:lineRule="auto"/>
              <w:rPr>
                <w:rFonts w:ascii="Arial"/>
                <w:sz w:val="21"/>
              </w:rPr>
            </w:pPr>
          </w:p>
          <w:p w14:paraId="122536A0">
            <w:pPr>
              <w:spacing w:line="272" w:lineRule="auto"/>
              <w:rPr>
                <w:rFonts w:ascii="Arial"/>
                <w:sz w:val="21"/>
              </w:rPr>
            </w:pPr>
          </w:p>
          <w:p w14:paraId="1C5EDD38">
            <w:pPr>
              <w:spacing w:line="272" w:lineRule="auto"/>
              <w:rPr>
                <w:rFonts w:ascii="Arial"/>
                <w:sz w:val="21"/>
              </w:rPr>
            </w:pPr>
          </w:p>
          <w:p w14:paraId="0644AA40">
            <w:pPr>
              <w:spacing w:line="272" w:lineRule="auto"/>
              <w:rPr>
                <w:rFonts w:ascii="Arial"/>
                <w:sz w:val="21"/>
              </w:rPr>
            </w:pPr>
          </w:p>
          <w:p w14:paraId="2347EB75">
            <w:pPr>
              <w:spacing w:line="272" w:lineRule="auto"/>
              <w:rPr>
                <w:rFonts w:ascii="Arial"/>
                <w:sz w:val="21"/>
              </w:rPr>
            </w:pPr>
          </w:p>
          <w:p w14:paraId="63B2F346">
            <w:pPr>
              <w:spacing w:line="272" w:lineRule="auto"/>
              <w:rPr>
                <w:rFonts w:ascii="Arial"/>
                <w:sz w:val="21"/>
              </w:rPr>
            </w:pPr>
          </w:p>
          <w:p w14:paraId="03F59166">
            <w:pPr>
              <w:spacing w:line="272" w:lineRule="auto"/>
              <w:rPr>
                <w:rFonts w:ascii="Arial"/>
                <w:sz w:val="21"/>
              </w:rPr>
            </w:pPr>
          </w:p>
          <w:p w14:paraId="751BC7C7">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5487CFE5">
            <w:pPr>
              <w:spacing w:line="253" w:lineRule="auto"/>
              <w:rPr>
                <w:rFonts w:ascii="Arial"/>
                <w:sz w:val="21"/>
              </w:rPr>
            </w:pPr>
          </w:p>
          <w:p w14:paraId="55E5CA81">
            <w:pPr>
              <w:spacing w:line="253" w:lineRule="auto"/>
              <w:rPr>
                <w:rFonts w:ascii="Arial"/>
                <w:sz w:val="21"/>
              </w:rPr>
            </w:pPr>
          </w:p>
          <w:p w14:paraId="02044D1D">
            <w:pPr>
              <w:spacing w:line="253" w:lineRule="auto"/>
              <w:rPr>
                <w:rFonts w:ascii="Arial"/>
                <w:sz w:val="21"/>
              </w:rPr>
            </w:pPr>
          </w:p>
          <w:p w14:paraId="6143B93F">
            <w:pPr>
              <w:spacing w:line="253" w:lineRule="auto"/>
              <w:rPr>
                <w:rFonts w:ascii="Arial"/>
                <w:sz w:val="21"/>
              </w:rPr>
            </w:pPr>
          </w:p>
          <w:p w14:paraId="37857C13">
            <w:pPr>
              <w:spacing w:line="253" w:lineRule="auto"/>
              <w:rPr>
                <w:rFonts w:ascii="Arial"/>
                <w:sz w:val="21"/>
              </w:rPr>
            </w:pPr>
          </w:p>
          <w:p w14:paraId="646CEF8B">
            <w:pPr>
              <w:spacing w:line="253" w:lineRule="auto"/>
              <w:rPr>
                <w:rFonts w:ascii="Arial"/>
                <w:sz w:val="21"/>
              </w:rPr>
            </w:pPr>
          </w:p>
          <w:p w14:paraId="19F2634F">
            <w:pPr>
              <w:spacing w:line="253" w:lineRule="auto"/>
              <w:rPr>
                <w:rFonts w:ascii="Arial"/>
                <w:sz w:val="21"/>
              </w:rPr>
            </w:pPr>
          </w:p>
          <w:p w14:paraId="288F5FE3">
            <w:pPr>
              <w:spacing w:line="253" w:lineRule="auto"/>
              <w:rPr>
                <w:rFonts w:ascii="Arial"/>
                <w:sz w:val="21"/>
              </w:rPr>
            </w:pPr>
          </w:p>
          <w:p w14:paraId="6D50B391">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5FE9A3D">
            <w:pPr>
              <w:spacing w:line="277" w:lineRule="auto"/>
              <w:rPr>
                <w:rFonts w:ascii="Arial"/>
                <w:sz w:val="21"/>
              </w:rPr>
            </w:pPr>
          </w:p>
          <w:p w14:paraId="6A371CD0">
            <w:pPr>
              <w:spacing w:line="278" w:lineRule="auto"/>
              <w:rPr>
                <w:rFonts w:ascii="Arial"/>
                <w:sz w:val="21"/>
              </w:rPr>
            </w:pPr>
          </w:p>
          <w:p w14:paraId="40B86E34">
            <w:pPr>
              <w:spacing w:line="278" w:lineRule="auto"/>
              <w:rPr>
                <w:rFonts w:ascii="Arial"/>
                <w:sz w:val="21"/>
              </w:rPr>
            </w:pPr>
          </w:p>
          <w:p w14:paraId="14DB412A">
            <w:pPr>
              <w:spacing w:line="278" w:lineRule="auto"/>
              <w:rPr>
                <w:rFonts w:ascii="Arial"/>
                <w:sz w:val="21"/>
              </w:rPr>
            </w:pPr>
          </w:p>
          <w:p w14:paraId="1A653909">
            <w:pPr>
              <w:spacing w:line="278" w:lineRule="auto"/>
              <w:rPr>
                <w:rFonts w:ascii="Arial"/>
                <w:sz w:val="21"/>
              </w:rPr>
            </w:pPr>
          </w:p>
          <w:p w14:paraId="1A575BE6">
            <w:pPr>
              <w:spacing w:line="278" w:lineRule="auto"/>
              <w:rPr>
                <w:rFonts w:ascii="Arial"/>
                <w:sz w:val="21"/>
              </w:rPr>
            </w:pPr>
          </w:p>
          <w:p w14:paraId="3D81995B">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69B85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41" w:type="dxa"/>
            <w:vAlign w:val="top"/>
          </w:tcPr>
          <w:p w14:paraId="42ABA614">
            <w:pPr>
              <w:spacing w:line="271" w:lineRule="auto"/>
              <w:rPr>
                <w:rFonts w:ascii="Arial"/>
                <w:sz w:val="21"/>
              </w:rPr>
            </w:pPr>
          </w:p>
          <w:p w14:paraId="1D72B5FA">
            <w:pPr>
              <w:spacing w:line="271" w:lineRule="auto"/>
              <w:rPr>
                <w:rFonts w:ascii="Arial"/>
                <w:sz w:val="21"/>
              </w:rPr>
            </w:pPr>
          </w:p>
          <w:p w14:paraId="252526A9">
            <w:pPr>
              <w:spacing w:line="271" w:lineRule="auto"/>
              <w:rPr>
                <w:rFonts w:ascii="Arial"/>
                <w:sz w:val="21"/>
              </w:rPr>
            </w:pPr>
          </w:p>
          <w:p w14:paraId="1C9DD0E4">
            <w:pPr>
              <w:spacing w:line="272" w:lineRule="auto"/>
              <w:rPr>
                <w:rFonts w:ascii="Arial"/>
                <w:sz w:val="21"/>
              </w:rPr>
            </w:pPr>
          </w:p>
          <w:p w14:paraId="207153EB">
            <w:pPr>
              <w:pStyle w:val="8"/>
              <w:spacing w:before="58" w:line="183" w:lineRule="auto"/>
              <w:ind w:left="234"/>
            </w:pPr>
            <w:r>
              <w:rPr>
                <w:spacing w:val="-3"/>
              </w:rPr>
              <w:t>45</w:t>
            </w:r>
          </w:p>
        </w:tc>
        <w:tc>
          <w:tcPr>
            <w:tcW w:w="1136" w:type="dxa"/>
            <w:vAlign w:val="top"/>
          </w:tcPr>
          <w:p w14:paraId="2849699C">
            <w:pPr>
              <w:spacing w:line="460" w:lineRule="auto"/>
              <w:rPr>
                <w:rFonts w:ascii="Arial"/>
                <w:sz w:val="21"/>
              </w:rPr>
            </w:pPr>
          </w:p>
          <w:p w14:paraId="4D623086">
            <w:pPr>
              <w:pStyle w:val="8"/>
              <w:spacing w:before="58" w:line="242" w:lineRule="auto"/>
              <w:ind w:left="109" w:right="101"/>
              <w:jc w:val="both"/>
            </w:pPr>
            <w:r>
              <w:rPr>
                <w:spacing w:val="3"/>
              </w:rPr>
              <w:t>对使用他人</w:t>
            </w:r>
            <w:r>
              <w:rPr>
                <w:spacing w:val="1"/>
              </w:rPr>
              <w:t xml:space="preserve"> </w:t>
            </w:r>
            <w:r>
              <w:rPr>
                <w:spacing w:val="3"/>
              </w:rPr>
              <w:t>业经登记的</w:t>
            </w:r>
            <w:r>
              <w:rPr>
                <w:spacing w:val="1"/>
              </w:rPr>
              <w:t xml:space="preserve"> </w:t>
            </w:r>
            <w:r>
              <w:rPr>
                <w:spacing w:val="3"/>
              </w:rPr>
              <w:t>船舶烟囱标</w:t>
            </w:r>
            <w:r>
              <w:rPr>
                <w:spacing w:val="1"/>
              </w:rPr>
              <w:t xml:space="preserve"> </w:t>
            </w:r>
            <w:r>
              <w:rPr>
                <w:spacing w:val="4"/>
              </w:rPr>
              <w:t>志、公司旗</w:t>
            </w:r>
            <w:r>
              <w:t xml:space="preserve"> </w:t>
            </w:r>
            <w:r>
              <w:rPr>
                <w:spacing w:val="3"/>
              </w:rPr>
              <w:t>的行为的行</w:t>
            </w:r>
            <w:r>
              <w:rPr>
                <w:spacing w:val="1"/>
              </w:rPr>
              <w:t xml:space="preserve"> </w:t>
            </w:r>
            <w:r>
              <w:rPr>
                <w:spacing w:val="-3"/>
              </w:rPr>
              <w:t>政处罚</w:t>
            </w:r>
          </w:p>
        </w:tc>
        <w:tc>
          <w:tcPr>
            <w:tcW w:w="1136" w:type="dxa"/>
            <w:vAlign w:val="top"/>
          </w:tcPr>
          <w:p w14:paraId="38C863B5">
            <w:pPr>
              <w:spacing w:line="264" w:lineRule="auto"/>
              <w:rPr>
                <w:rFonts w:ascii="Arial"/>
                <w:sz w:val="21"/>
              </w:rPr>
            </w:pPr>
          </w:p>
          <w:p w14:paraId="08C842E3">
            <w:pPr>
              <w:spacing w:line="264" w:lineRule="auto"/>
              <w:rPr>
                <w:rFonts w:ascii="Arial"/>
                <w:sz w:val="21"/>
              </w:rPr>
            </w:pPr>
          </w:p>
          <w:p w14:paraId="33E21755">
            <w:pPr>
              <w:spacing w:line="264" w:lineRule="auto"/>
              <w:rPr>
                <w:rFonts w:ascii="Arial"/>
                <w:sz w:val="21"/>
              </w:rPr>
            </w:pPr>
          </w:p>
          <w:p w14:paraId="05EABFB2">
            <w:pPr>
              <w:spacing w:line="264" w:lineRule="auto"/>
              <w:rPr>
                <w:rFonts w:ascii="Arial"/>
                <w:sz w:val="21"/>
              </w:rPr>
            </w:pPr>
          </w:p>
          <w:p w14:paraId="45C12352">
            <w:pPr>
              <w:pStyle w:val="8"/>
              <w:spacing w:before="59" w:line="220" w:lineRule="auto"/>
              <w:ind w:left="114"/>
            </w:pPr>
            <w:r>
              <w:rPr>
                <w:spacing w:val="-7"/>
              </w:rPr>
              <w:t>行政处罚</w:t>
            </w:r>
          </w:p>
        </w:tc>
        <w:tc>
          <w:tcPr>
            <w:tcW w:w="8806" w:type="dxa"/>
            <w:vAlign w:val="top"/>
          </w:tcPr>
          <w:p w14:paraId="08F59EDE">
            <w:pPr>
              <w:pStyle w:val="8"/>
              <w:spacing w:before="42" w:line="219" w:lineRule="auto"/>
              <w:ind w:left="476"/>
            </w:pPr>
            <w:r>
              <w:rPr>
                <w:b/>
                <w:bCs/>
                <w:spacing w:val="-6"/>
              </w:rPr>
              <w:t>《中华人民共和国船舶登记条例》</w:t>
            </w:r>
          </w:p>
          <w:p w14:paraId="5DF14C2B">
            <w:pPr>
              <w:pStyle w:val="8"/>
              <w:spacing w:before="25" w:line="233" w:lineRule="auto"/>
              <w:ind w:left="112" w:right="100" w:firstLine="355"/>
            </w:pPr>
            <w:r>
              <w:rPr>
                <w:spacing w:val="-5"/>
              </w:rPr>
              <w:t>第三十四条  船籍港船舶登记机关对经核准予以登记的船舶烟囱标志、公司旗应当予以公告。业经登记的船</w:t>
            </w:r>
            <w:r>
              <w:rPr>
                <w:spacing w:val="11"/>
              </w:rPr>
              <w:t xml:space="preserve"> </w:t>
            </w:r>
            <w:r>
              <w:rPr>
                <w:spacing w:val="-4"/>
              </w:rPr>
              <w:t>舶烟囱标志、公司旗属登记申请人专用，其他船舶或者公司不得使</w:t>
            </w:r>
            <w:r>
              <w:rPr>
                <w:spacing w:val="-5"/>
              </w:rPr>
              <w:t>用。</w:t>
            </w:r>
          </w:p>
          <w:p w14:paraId="6366C1EA">
            <w:pPr>
              <w:pStyle w:val="8"/>
              <w:spacing w:before="24"/>
              <w:ind w:left="112" w:right="101" w:firstLine="356"/>
            </w:pPr>
            <w:r>
              <w:rPr>
                <w:spacing w:val="-2"/>
              </w:rPr>
              <w:t>第五十条  隐瞒在境内或者境外的登记事实，造成双重国籍的，由船籍港船舶登记机关吊销</w:t>
            </w:r>
            <w:r>
              <w:rPr>
                <w:spacing w:val="-3"/>
              </w:rPr>
              <w:t>其船舶国籍证</w:t>
            </w:r>
            <w:r>
              <w:t xml:space="preserve"> </w:t>
            </w:r>
            <w:r>
              <w:rPr>
                <w:spacing w:val="-1"/>
              </w:rPr>
              <w:t>书，并视情节处以下列罚款</w:t>
            </w:r>
            <w:r>
              <w:rPr>
                <w:spacing w:val="-20"/>
              </w:rPr>
              <w:t>：（</w:t>
            </w:r>
            <w:r>
              <w:rPr>
                <w:spacing w:val="-1"/>
              </w:rPr>
              <w:t>一）500总吨以下的船舶，处2000元以上、10</w:t>
            </w:r>
            <w:r>
              <w:rPr>
                <w:spacing w:val="-2"/>
              </w:rPr>
              <w:t>000元以下的罚款</w:t>
            </w:r>
            <w:r>
              <w:rPr>
                <w:spacing w:val="-20"/>
              </w:rPr>
              <w:t>；（</w:t>
            </w:r>
            <w:r>
              <w:rPr>
                <w:spacing w:val="-2"/>
              </w:rPr>
              <w:t>二）501总吨</w:t>
            </w:r>
            <w:r>
              <w:rPr>
                <w:spacing w:val="2"/>
              </w:rPr>
              <w:t xml:space="preserve"> </w:t>
            </w:r>
            <w:r>
              <w:rPr>
                <w:spacing w:val="-4"/>
              </w:rPr>
              <w:t>以上、10000总吨以下的船舶，处以10000元以上、50000元以下的罚款</w:t>
            </w:r>
            <w:r>
              <w:rPr>
                <w:spacing w:val="-42"/>
              </w:rPr>
              <w:t>；（</w:t>
            </w:r>
            <w:r>
              <w:rPr>
                <w:spacing w:val="-4"/>
              </w:rPr>
              <w:t>三）10001总吨以上的船舶，处以50000</w:t>
            </w:r>
            <w:r>
              <w:t xml:space="preserve"> </w:t>
            </w:r>
            <w:r>
              <w:rPr>
                <w:spacing w:val="-2"/>
              </w:rPr>
              <w:t>元以上、200000元以下的罚款。</w:t>
            </w:r>
          </w:p>
          <w:p w14:paraId="588678E6">
            <w:pPr>
              <w:pStyle w:val="8"/>
              <w:spacing w:before="24" w:line="230" w:lineRule="auto"/>
              <w:ind w:left="111" w:right="103" w:firstLine="356"/>
              <w:jc w:val="both"/>
            </w:pPr>
            <w:r>
              <w:rPr>
                <w:spacing w:val="-5"/>
              </w:rPr>
              <w:t>第五十三条  违反本条例规定，使用他人业经登记的船舶烟囱标志、公司旗的，由船籍港船舶登记机关责令</w:t>
            </w:r>
            <w:r>
              <w:rPr>
                <w:spacing w:val="8"/>
              </w:rPr>
              <w:t xml:space="preserve"> </w:t>
            </w:r>
            <w:r>
              <w:rPr>
                <w:spacing w:val="-5"/>
              </w:rPr>
              <w:t>其改正；拒不改正的，可以根据船舶吨位处以本条例第五十条规定的罚款数额的百分之十；情节严重的，并可以</w:t>
            </w:r>
            <w:r>
              <w:rPr>
                <w:spacing w:val="10"/>
              </w:rPr>
              <w:t xml:space="preserve"> </w:t>
            </w:r>
            <w:r>
              <w:rPr>
                <w:spacing w:val="-5"/>
              </w:rPr>
              <w:t>吊销其船舶国籍证书或者临时船舶国籍证书。</w:t>
            </w:r>
          </w:p>
        </w:tc>
        <w:tc>
          <w:tcPr>
            <w:tcW w:w="1043" w:type="dxa"/>
            <w:vAlign w:val="top"/>
          </w:tcPr>
          <w:p w14:paraId="5F4BF009">
            <w:pPr>
              <w:spacing w:line="312" w:lineRule="auto"/>
              <w:rPr>
                <w:rFonts w:ascii="Arial"/>
                <w:sz w:val="21"/>
              </w:rPr>
            </w:pPr>
          </w:p>
          <w:p w14:paraId="3477EAEA">
            <w:pPr>
              <w:spacing w:line="312" w:lineRule="auto"/>
              <w:rPr>
                <w:rFonts w:ascii="Arial"/>
                <w:sz w:val="21"/>
              </w:rPr>
            </w:pPr>
          </w:p>
          <w:p w14:paraId="779DBA9C">
            <w:pPr>
              <w:spacing w:line="313" w:lineRule="auto"/>
              <w:rPr>
                <w:rFonts w:ascii="Arial"/>
                <w:sz w:val="21"/>
              </w:rPr>
            </w:pPr>
          </w:p>
          <w:p w14:paraId="448A0BB3">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01E8419D">
            <w:pPr>
              <w:spacing w:line="264" w:lineRule="auto"/>
              <w:rPr>
                <w:rFonts w:ascii="Arial"/>
                <w:sz w:val="21"/>
              </w:rPr>
            </w:pPr>
          </w:p>
          <w:p w14:paraId="6ED83256">
            <w:pPr>
              <w:spacing w:line="264" w:lineRule="auto"/>
              <w:rPr>
                <w:rFonts w:ascii="Arial"/>
                <w:sz w:val="21"/>
              </w:rPr>
            </w:pPr>
          </w:p>
          <w:p w14:paraId="50909D3A">
            <w:pPr>
              <w:spacing w:line="264" w:lineRule="auto"/>
              <w:rPr>
                <w:rFonts w:ascii="Arial"/>
                <w:sz w:val="21"/>
              </w:rPr>
            </w:pPr>
          </w:p>
          <w:p w14:paraId="53E6F6D4">
            <w:pPr>
              <w:spacing w:line="265" w:lineRule="auto"/>
              <w:rPr>
                <w:rFonts w:ascii="Arial"/>
                <w:sz w:val="21"/>
              </w:rPr>
            </w:pPr>
          </w:p>
          <w:p w14:paraId="713C0968">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5314852">
            <w:pPr>
              <w:spacing w:line="350" w:lineRule="auto"/>
              <w:rPr>
                <w:rFonts w:ascii="Arial"/>
                <w:sz w:val="21"/>
              </w:rPr>
            </w:pPr>
          </w:p>
          <w:p w14:paraId="56FCA10A">
            <w:pPr>
              <w:spacing w:line="350" w:lineRule="auto"/>
              <w:rPr>
                <w:rFonts w:ascii="Arial"/>
                <w:sz w:val="21"/>
              </w:rPr>
            </w:pPr>
          </w:p>
          <w:p w14:paraId="396B8DD9">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5926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7" w:hRule="atLeast"/>
        </w:trPr>
        <w:tc>
          <w:tcPr>
            <w:tcW w:w="641" w:type="dxa"/>
            <w:vAlign w:val="top"/>
          </w:tcPr>
          <w:p w14:paraId="7CC8C445">
            <w:pPr>
              <w:spacing w:line="282" w:lineRule="auto"/>
              <w:rPr>
                <w:rFonts w:ascii="Arial"/>
                <w:sz w:val="21"/>
              </w:rPr>
            </w:pPr>
          </w:p>
          <w:p w14:paraId="657FA702">
            <w:pPr>
              <w:spacing w:line="282" w:lineRule="auto"/>
              <w:rPr>
                <w:rFonts w:ascii="Arial"/>
                <w:sz w:val="21"/>
              </w:rPr>
            </w:pPr>
          </w:p>
          <w:p w14:paraId="17F42813">
            <w:pPr>
              <w:spacing w:line="283" w:lineRule="auto"/>
              <w:rPr>
                <w:rFonts w:ascii="Arial"/>
                <w:sz w:val="21"/>
              </w:rPr>
            </w:pPr>
          </w:p>
          <w:p w14:paraId="68F4D0DA">
            <w:pPr>
              <w:pStyle w:val="8"/>
              <w:spacing w:before="58" w:line="183" w:lineRule="auto"/>
              <w:ind w:left="234"/>
            </w:pPr>
            <w:r>
              <w:rPr>
                <w:spacing w:val="-3"/>
              </w:rPr>
              <w:t>46</w:t>
            </w:r>
          </w:p>
        </w:tc>
        <w:tc>
          <w:tcPr>
            <w:tcW w:w="1136" w:type="dxa"/>
            <w:vAlign w:val="top"/>
          </w:tcPr>
          <w:p w14:paraId="746DC6E6">
            <w:pPr>
              <w:pStyle w:val="8"/>
              <w:spacing w:before="45"/>
              <w:ind w:left="109" w:right="104"/>
            </w:pPr>
            <w:r>
              <w:rPr>
                <w:spacing w:val="3"/>
              </w:rPr>
              <w:t>对发生污染</w:t>
            </w:r>
            <w:r>
              <w:rPr>
                <w:spacing w:val="1"/>
              </w:rPr>
              <w:t xml:space="preserve"> </w:t>
            </w:r>
            <w:r>
              <w:rPr>
                <w:spacing w:val="3"/>
              </w:rPr>
              <w:t>损害事故，</w:t>
            </w:r>
            <w:r>
              <w:t xml:space="preserve"> </w:t>
            </w:r>
            <w:r>
              <w:rPr>
                <w:spacing w:val="3"/>
              </w:rPr>
              <w:t>不向海事管</w:t>
            </w:r>
            <w:r>
              <w:t xml:space="preserve"> </w:t>
            </w:r>
            <w:r>
              <w:rPr>
                <w:spacing w:val="3"/>
              </w:rPr>
              <w:t>理机构报告</w:t>
            </w:r>
            <w:r>
              <w:t xml:space="preserve"> </w:t>
            </w:r>
            <w:r>
              <w:rPr>
                <w:spacing w:val="3"/>
              </w:rPr>
              <w:t>拆船污染损</w:t>
            </w:r>
            <w:r>
              <w:t xml:space="preserve"> </w:t>
            </w:r>
            <w:r>
              <w:rPr>
                <w:spacing w:val="3"/>
              </w:rPr>
              <w:t>害事故，也</w:t>
            </w:r>
            <w:r>
              <w:t xml:space="preserve"> </w:t>
            </w:r>
            <w:r>
              <w:rPr>
                <w:spacing w:val="3"/>
              </w:rPr>
              <w:t>不采取消除</w:t>
            </w:r>
            <w:r>
              <w:t xml:space="preserve"> </w:t>
            </w:r>
            <w:r>
              <w:rPr>
                <w:spacing w:val="3"/>
              </w:rPr>
              <w:t>或者控制污</w:t>
            </w:r>
          </w:p>
        </w:tc>
        <w:tc>
          <w:tcPr>
            <w:tcW w:w="1136" w:type="dxa"/>
            <w:vAlign w:val="top"/>
          </w:tcPr>
          <w:p w14:paraId="7113D071">
            <w:pPr>
              <w:spacing w:line="272" w:lineRule="auto"/>
              <w:rPr>
                <w:rFonts w:ascii="Arial"/>
                <w:sz w:val="21"/>
              </w:rPr>
            </w:pPr>
          </w:p>
          <w:p w14:paraId="3E471D44">
            <w:pPr>
              <w:spacing w:line="273" w:lineRule="auto"/>
              <w:rPr>
                <w:rFonts w:ascii="Arial"/>
                <w:sz w:val="21"/>
              </w:rPr>
            </w:pPr>
          </w:p>
          <w:p w14:paraId="5EE28C35">
            <w:pPr>
              <w:spacing w:line="273" w:lineRule="auto"/>
              <w:rPr>
                <w:rFonts w:ascii="Arial"/>
                <w:sz w:val="21"/>
              </w:rPr>
            </w:pPr>
          </w:p>
          <w:p w14:paraId="0F818D0F">
            <w:pPr>
              <w:pStyle w:val="8"/>
              <w:spacing w:before="59" w:line="220" w:lineRule="auto"/>
              <w:ind w:left="114"/>
            </w:pPr>
            <w:r>
              <w:rPr>
                <w:spacing w:val="-7"/>
              </w:rPr>
              <w:t>行政处罚</w:t>
            </w:r>
          </w:p>
        </w:tc>
        <w:tc>
          <w:tcPr>
            <w:tcW w:w="8806" w:type="dxa"/>
            <w:vAlign w:val="top"/>
          </w:tcPr>
          <w:p w14:paraId="00AAC03E">
            <w:pPr>
              <w:pStyle w:val="8"/>
              <w:spacing w:before="42" w:line="219" w:lineRule="auto"/>
              <w:ind w:left="483"/>
            </w:pPr>
            <w:r>
              <w:rPr>
                <w:b/>
                <w:bCs/>
                <w:spacing w:val="-6"/>
              </w:rPr>
              <w:t>1.《防止拆船污染环境管理条例》</w:t>
            </w:r>
          </w:p>
          <w:p w14:paraId="2E57EBAD">
            <w:pPr>
              <w:pStyle w:val="8"/>
              <w:spacing w:before="24" w:line="238" w:lineRule="auto"/>
              <w:ind w:left="112" w:right="151" w:firstLine="356"/>
            </w:pPr>
            <w:r>
              <w:rPr>
                <w:spacing w:val="-2"/>
              </w:rPr>
              <w:t>第十一条  拆船单位在废船拆解前，必须清除易燃、易爆和有毒物质；关闭海底阀和封闭可</w:t>
            </w:r>
            <w:r>
              <w:rPr>
                <w:spacing w:val="-3"/>
              </w:rPr>
              <w:t>能引起油污水</w:t>
            </w:r>
            <w:r>
              <w:t xml:space="preserve"> </w:t>
            </w:r>
            <w:r>
              <w:rPr>
                <w:spacing w:val="-2"/>
              </w:rPr>
              <w:t>外溢的管道。垃圾、残油、废油、油泥、含油污水和易燃易爆物品等废弃物必须送到岸上集</w:t>
            </w:r>
            <w:r>
              <w:rPr>
                <w:spacing w:val="-3"/>
              </w:rPr>
              <w:t>中处理，并不得采</w:t>
            </w:r>
            <w:r>
              <w:t xml:space="preserve"> </w:t>
            </w:r>
            <w:r>
              <w:rPr>
                <w:spacing w:val="-3"/>
              </w:rPr>
              <w:t>用渗坑、渗井的处理方式。</w:t>
            </w:r>
          </w:p>
          <w:p w14:paraId="24305B66">
            <w:pPr>
              <w:pStyle w:val="8"/>
              <w:spacing w:before="25" w:line="218" w:lineRule="auto"/>
              <w:ind w:left="467"/>
            </w:pPr>
            <w:r>
              <w:rPr>
                <w:spacing w:val="-2"/>
              </w:rPr>
              <w:t>废油船在拆解前，必须进行洗舱、排污、清舱、测爆</w:t>
            </w:r>
            <w:r>
              <w:rPr>
                <w:spacing w:val="-3"/>
              </w:rPr>
              <w:t>等工作。</w:t>
            </w:r>
          </w:p>
          <w:p w14:paraId="5993F2C4">
            <w:pPr>
              <w:pStyle w:val="8"/>
              <w:spacing w:before="27" w:line="232" w:lineRule="auto"/>
              <w:ind w:left="109" w:right="151" w:firstLine="359"/>
            </w:pPr>
            <w:r>
              <w:rPr>
                <w:spacing w:val="-2"/>
              </w:rPr>
              <w:t>第十五条  发生拆船污染损害事故时，拆船单位或者个人必须立即采取消除或者控制污染的</w:t>
            </w:r>
            <w:r>
              <w:rPr>
                <w:spacing w:val="-3"/>
              </w:rPr>
              <w:t>措施，并迅速</w:t>
            </w:r>
            <w:r>
              <w:t xml:space="preserve"> </w:t>
            </w:r>
            <w:r>
              <w:rPr>
                <w:spacing w:val="-3"/>
              </w:rPr>
              <w:t>报告监督拆船污染的主管部门。</w:t>
            </w:r>
          </w:p>
          <w:p w14:paraId="44036566">
            <w:pPr>
              <w:pStyle w:val="8"/>
              <w:spacing w:before="27" w:line="200" w:lineRule="auto"/>
              <w:ind w:left="469"/>
            </w:pPr>
            <w:r>
              <w:rPr>
                <w:spacing w:val="-2"/>
              </w:rPr>
              <w:t>污染损害事故发生后，拆船单位必须向监督拆船污染的主管部门提交《污染事故报告书》</w:t>
            </w:r>
            <w:r>
              <w:rPr>
                <w:spacing w:val="-3"/>
              </w:rPr>
              <w:t>，报告污染发生</w:t>
            </w:r>
          </w:p>
        </w:tc>
        <w:tc>
          <w:tcPr>
            <w:tcW w:w="1043" w:type="dxa"/>
            <w:vAlign w:val="top"/>
          </w:tcPr>
          <w:p w14:paraId="49ACC88B">
            <w:pPr>
              <w:spacing w:line="349" w:lineRule="auto"/>
              <w:rPr>
                <w:rFonts w:ascii="Arial"/>
                <w:sz w:val="21"/>
              </w:rPr>
            </w:pPr>
          </w:p>
          <w:p w14:paraId="65EB46E8">
            <w:pPr>
              <w:spacing w:line="350" w:lineRule="auto"/>
              <w:rPr>
                <w:rFonts w:ascii="Arial"/>
                <w:sz w:val="21"/>
              </w:rPr>
            </w:pPr>
          </w:p>
          <w:p w14:paraId="7C8D02BA">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3B203A62">
            <w:pPr>
              <w:spacing w:line="273" w:lineRule="auto"/>
              <w:rPr>
                <w:rFonts w:ascii="Arial"/>
                <w:sz w:val="21"/>
              </w:rPr>
            </w:pPr>
          </w:p>
          <w:p w14:paraId="762D258C">
            <w:pPr>
              <w:spacing w:line="273" w:lineRule="auto"/>
              <w:rPr>
                <w:rFonts w:ascii="Arial"/>
                <w:sz w:val="21"/>
              </w:rPr>
            </w:pPr>
          </w:p>
          <w:p w14:paraId="78F2A572">
            <w:pPr>
              <w:spacing w:line="273" w:lineRule="auto"/>
              <w:rPr>
                <w:rFonts w:ascii="Arial"/>
                <w:sz w:val="21"/>
              </w:rPr>
            </w:pPr>
          </w:p>
          <w:p w14:paraId="1A82D392">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960DBDE">
            <w:pPr>
              <w:spacing w:line="462" w:lineRule="auto"/>
              <w:rPr>
                <w:rFonts w:ascii="Arial"/>
                <w:sz w:val="21"/>
              </w:rPr>
            </w:pPr>
          </w:p>
          <w:p w14:paraId="19429C21">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6044F1B5">
      <w:pPr>
        <w:pStyle w:val="2"/>
      </w:pPr>
    </w:p>
    <w:p w14:paraId="3B22C39A">
      <w:pPr>
        <w:sectPr>
          <w:footerReference r:id="rId190" w:type="default"/>
          <w:pgSz w:w="16839" w:h="11906"/>
          <w:pgMar w:top="1012" w:right="788" w:bottom="967" w:left="787" w:header="0" w:footer="768" w:gutter="0"/>
          <w:cols w:space="720" w:num="1"/>
        </w:sectPr>
      </w:pPr>
    </w:p>
    <w:p w14:paraId="69B6CF41">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282D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641" w:type="dxa"/>
            <w:vMerge w:val="restart"/>
            <w:tcBorders>
              <w:bottom w:val="nil"/>
            </w:tcBorders>
            <w:vAlign w:val="top"/>
          </w:tcPr>
          <w:p w14:paraId="08E73EF5">
            <w:pPr>
              <w:pStyle w:val="8"/>
              <w:spacing w:before="267" w:line="221" w:lineRule="auto"/>
              <w:ind w:left="142"/>
            </w:pPr>
            <w:r>
              <w:rPr>
                <w:b/>
                <w:bCs/>
                <w:spacing w:val="-4"/>
              </w:rPr>
              <w:t>序号</w:t>
            </w:r>
          </w:p>
        </w:tc>
        <w:tc>
          <w:tcPr>
            <w:tcW w:w="1136" w:type="dxa"/>
            <w:vMerge w:val="restart"/>
            <w:tcBorders>
              <w:bottom w:val="nil"/>
            </w:tcBorders>
            <w:vAlign w:val="top"/>
          </w:tcPr>
          <w:p w14:paraId="61C14E2E">
            <w:pPr>
              <w:pStyle w:val="8"/>
              <w:spacing w:before="267" w:line="220" w:lineRule="auto"/>
              <w:ind w:left="208"/>
            </w:pPr>
            <w:r>
              <w:rPr>
                <w:b/>
                <w:bCs/>
                <w:spacing w:val="-4"/>
              </w:rPr>
              <w:t>事项名称</w:t>
            </w:r>
          </w:p>
        </w:tc>
        <w:tc>
          <w:tcPr>
            <w:tcW w:w="1136" w:type="dxa"/>
            <w:vMerge w:val="restart"/>
            <w:tcBorders>
              <w:bottom w:val="nil"/>
            </w:tcBorders>
            <w:vAlign w:val="top"/>
          </w:tcPr>
          <w:p w14:paraId="547A7E76">
            <w:pPr>
              <w:pStyle w:val="8"/>
              <w:spacing w:before="267" w:line="219" w:lineRule="auto"/>
              <w:ind w:left="210"/>
            </w:pPr>
            <w:r>
              <w:rPr>
                <w:b/>
                <w:bCs/>
                <w:spacing w:val="-4"/>
              </w:rPr>
              <w:t>职权类型</w:t>
            </w:r>
          </w:p>
        </w:tc>
        <w:tc>
          <w:tcPr>
            <w:tcW w:w="8806" w:type="dxa"/>
            <w:vMerge w:val="restart"/>
            <w:tcBorders>
              <w:bottom w:val="nil"/>
            </w:tcBorders>
            <w:vAlign w:val="top"/>
          </w:tcPr>
          <w:p w14:paraId="3628A3D2">
            <w:pPr>
              <w:pStyle w:val="8"/>
              <w:spacing w:before="267" w:line="219" w:lineRule="auto"/>
              <w:ind w:left="4050"/>
            </w:pPr>
            <w:r>
              <w:rPr>
                <w:b/>
                <w:bCs/>
                <w:spacing w:val="-5"/>
              </w:rPr>
              <w:t>实施依据</w:t>
            </w:r>
          </w:p>
        </w:tc>
        <w:tc>
          <w:tcPr>
            <w:tcW w:w="3538" w:type="dxa"/>
            <w:gridSpan w:val="3"/>
            <w:vAlign w:val="top"/>
          </w:tcPr>
          <w:p w14:paraId="7493B2B1">
            <w:pPr>
              <w:pStyle w:val="8"/>
              <w:spacing w:before="92" w:line="220" w:lineRule="auto"/>
              <w:ind w:left="1415"/>
            </w:pPr>
            <w:r>
              <w:rPr>
                <w:b/>
                <w:bCs/>
                <w:spacing w:val="-5"/>
              </w:rPr>
              <w:t>实施主体</w:t>
            </w:r>
          </w:p>
        </w:tc>
      </w:tr>
      <w:tr w14:paraId="3D2FC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1659F4BE">
            <w:pPr>
              <w:rPr>
                <w:rFonts w:ascii="Arial"/>
                <w:sz w:val="21"/>
              </w:rPr>
            </w:pPr>
          </w:p>
        </w:tc>
        <w:tc>
          <w:tcPr>
            <w:tcW w:w="1136" w:type="dxa"/>
            <w:vMerge w:val="continue"/>
            <w:tcBorders>
              <w:top w:val="nil"/>
            </w:tcBorders>
            <w:vAlign w:val="top"/>
          </w:tcPr>
          <w:p w14:paraId="017A1783">
            <w:pPr>
              <w:rPr>
                <w:rFonts w:ascii="Arial"/>
                <w:sz w:val="21"/>
              </w:rPr>
            </w:pPr>
          </w:p>
        </w:tc>
        <w:tc>
          <w:tcPr>
            <w:tcW w:w="1136" w:type="dxa"/>
            <w:vMerge w:val="continue"/>
            <w:tcBorders>
              <w:top w:val="nil"/>
            </w:tcBorders>
            <w:vAlign w:val="top"/>
          </w:tcPr>
          <w:p w14:paraId="4D07B246">
            <w:pPr>
              <w:rPr>
                <w:rFonts w:ascii="Arial"/>
                <w:sz w:val="21"/>
              </w:rPr>
            </w:pPr>
          </w:p>
        </w:tc>
        <w:tc>
          <w:tcPr>
            <w:tcW w:w="8806" w:type="dxa"/>
            <w:vMerge w:val="continue"/>
            <w:tcBorders>
              <w:top w:val="nil"/>
            </w:tcBorders>
            <w:vAlign w:val="top"/>
          </w:tcPr>
          <w:p w14:paraId="10F24C95">
            <w:pPr>
              <w:rPr>
                <w:rFonts w:ascii="Arial"/>
                <w:sz w:val="21"/>
              </w:rPr>
            </w:pPr>
          </w:p>
        </w:tc>
        <w:tc>
          <w:tcPr>
            <w:tcW w:w="1043" w:type="dxa"/>
            <w:vAlign w:val="top"/>
          </w:tcPr>
          <w:p w14:paraId="2153CF3B">
            <w:pPr>
              <w:pStyle w:val="8"/>
              <w:spacing w:before="88" w:line="219" w:lineRule="auto"/>
              <w:ind w:left="171"/>
            </w:pPr>
            <w:r>
              <w:rPr>
                <w:b/>
                <w:bCs/>
                <w:spacing w:val="-5"/>
              </w:rPr>
              <w:t>责任部门</w:t>
            </w:r>
          </w:p>
        </w:tc>
        <w:tc>
          <w:tcPr>
            <w:tcW w:w="1448" w:type="dxa"/>
            <w:vAlign w:val="top"/>
          </w:tcPr>
          <w:p w14:paraId="6374980E">
            <w:pPr>
              <w:pStyle w:val="8"/>
              <w:spacing w:before="88" w:line="219" w:lineRule="auto"/>
              <w:ind w:left="187"/>
            </w:pPr>
            <w:r>
              <w:rPr>
                <w:b/>
                <w:bCs/>
                <w:spacing w:val="-3"/>
              </w:rPr>
              <w:t>第一责任层级</w:t>
            </w:r>
          </w:p>
        </w:tc>
        <w:tc>
          <w:tcPr>
            <w:tcW w:w="1047" w:type="dxa"/>
            <w:vAlign w:val="top"/>
          </w:tcPr>
          <w:p w14:paraId="390279E6">
            <w:pPr>
              <w:pStyle w:val="8"/>
              <w:spacing w:before="88" w:line="219" w:lineRule="auto"/>
              <w:ind w:left="165"/>
            </w:pPr>
            <w:r>
              <w:rPr>
                <w:b/>
                <w:bCs/>
                <w:spacing w:val="-4"/>
              </w:rPr>
              <w:t>承办机构</w:t>
            </w:r>
          </w:p>
        </w:tc>
      </w:tr>
      <w:tr w14:paraId="5394A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641" w:type="dxa"/>
            <w:vAlign w:val="top"/>
          </w:tcPr>
          <w:p w14:paraId="186DAB85">
            <w:pPr>
              <w:rPr>
                <w:rFonts w:ascii="Arial"/>
                <w:sz w:val="21"/>
              </w:rPr>
            </w:pPr>
          </w:p>
        </w:tc>
        <w:tc>
          <w:tcPr>
            <w:tcW w:w="1136" w:type="dxa"/>
            <w:vAlign w:val="top"/>
          </w:tcPr>
          <w:p w14:paraId="57E96440">
            <w:pPr>
              <w:pStyle w:val="8"/>
              <w:spacing w:before="37" w:line="239" w:lineRule="auto"/>
              <w:ind w:left="111" w:right="104"/>
              <w:jc w:val="both"/>
            </w:pPr>
            <w:r>
              <w:rPr>
                <w:spacing w:val="2"/>
              </w:rPr>
              <w:t>染措施等行</w:t>
            </w:r>
            <w:r>
              <w:rPr>
                <w:spacing w:val="3"/>
              </w:rPr>
              <w:t xml:space="preserve"> </w:t>
            </w:r>
            <w:r>
              <w:rPr>
                <w:spacing w:val="2"/>
              </w:rPr>
              <w:t>为的行政处</w:t>
            </w:r>
            <w:r>
              <w:rPr>
                <w:spacing w:val="3"/>
              </w:rPr>
              <w:t xml:space="preserve"> </w:t>
            </w:r>
            <w:r>
              <w:t>罚</w:t>
            </w:r>
          </w:p>
        </w:tc>
        <w:tc>
          <w:tcPr>
            <w:tcW w:w="1136" w:type="dxa"/>
            <w:vAlign w:val="top"/>
          </w:tcPr>
          <w:p w14:paraId="41CB329F">
            <w:pPr>
              <w:rPr>
                <w:rFonts w:ascii="Arial"/>
                <w:sz w:val="21"/>
              </w:rPr>
            </w:pPr>
          </w:p>
        </w:tc>
        <w:tc>
          <w:tcPr>
            <w:tcW w:w="8806" w:type="dxa"/>
            <w:vAlign w:val="top"/>
          </w:tcPr>
          <w:p w14:paraId="384C2B59">
            <w:pPr>
              <w:pStyle w:val="8"/>
              <w:spacing w:before="38" w:line="219" w:lineRule="auto"/>
              <w:ind w:left="125"/>
            </w:pPr>
            <w:r>
              <w:rPr>
                <w:spacing w:val="-2"/>
              </w:rPr>
              <w:t>的原因、经过、排污数量、采取的抢救措施、已造成和可</w:t>
            </w:r>
            <w:r>
              <w:rPr>
                <w:spacing w:val="-3"/>
              </w:rPr>
              <w:t>能造成的污染损害后果等，并接受调查处理。</w:t>
            </w:r>
          </w:p>
          <w:p w14:paraId="7BEAA5D8">
            <w:pPr>
              <w:pStyle w:val="8"/>
              <w:spacing w:before="24"/>
              <w:ind w:left="109" w:right="151" w:firstLine="359"/>
              <w:jc w:val="both"/>
            </w:pPr>
            <w:r>
              <w:rPr>
                <w:spacing w:val="-2"/>
              </w:rPr>
              <w:t>第十七条  违反本条例规定，有下列情形之一的，监督拆船污染的主管部门除责令其限期纠</w:t>
            </w:r>
            <w:r>
              <w:rPr>
                <w:spacing w:val="-3"/>
              </w:rPr>
              <w:t>正外，还可以</w:t>
            </w:r>
            <w:r>
              <w:t xml:space="preserve"> </w:t>
            </w:r>
            <w:r>
              <w:rPr>
                <w:spacing w:val="-1"/>
              </w:rPr>
              <w:t>根据不同情节，处以一万元以上十万元以下的罚</w:t>
            </w:r>
            <w:r>
              <w:rPr>
                <w:spacing w:val="-2"/>
              </w:rPr>
              <w:t>款</w:t>
            </w:r>
            <w:r>
              <w:rPr>
                <w:spacing w:val="-15"/>
              </w:rPr>
              <w:t>：（</w:t>
            </w:r>
            <w:r>
              <w:rPr>
                <w:spacing w:val="-2"/>
              </w:rPr>
              <w:t>一）发生污染损害事故，不向监督拆船污染的主管部门</w:t>
            </w:r>
            <w:r>
              <w:t xml:space="preserve"> </w:t>
            </w:r>
            <w:r>
              <w:rPr>
                <w:spacing w:val="-1"/>
              </w:rPr>
              <w:t>报告也不采取消除或者控制污染措施的</w:t>
            </w:r>
            <w:r>
              <w:rPr>
                <w:spacing w:val="-15"/>
              </w:rPr>
              <w:t>；（</w:t>
            </w:r>
            <w:r>
              <w:rPr>
                <w:spacing w:val="-1"/>
              </w:rPr>
              <w:t>二）废油船未经洗舱、排污、清舱和测爆即行拆解的</w:t>
            </w:r>
            <w:r>
              <w:rPr>
                <w:spacing w:val="-15"/>
              </w:rPr>
              <w:t>；（</w:t>
            </w:r>
            <w:r>
              <w:rPr>
                <w:spacing w:val="-1"/>
              </w:rPr>
              <w:t>三）任意</w:t>
            </w:r>
            <w:r>
              <w:rPr>
                <w:spacing w:val="3"/>
              </w:rPr>
              <w:t xml:space="preserve"> </w:t>
            </w:r>
            <w:r>
              <w:rPr>
                <w:spacing w:val="-3"/>
              </w:rPr>
              <w:t>排放或者丢弃污染物造成严重污染的。</w:t>
            </w:r>
          </w:p>
          <w:p w14:paraId="7E1DB76D">
            <w:pPr>
              <w:pStyle w:val="8"/>
              <w:spacing w:before="24" w:line="233" w:lineRule="auto"/>
              <w:ind w:left="130" w:right="151" w:firstLine="337"/>
            </w:pPr>
            <w:r>
              <w:rPr>
                <w:spacing w:val="-2"/>
              </w:rPr>
              <w:t>违反本条例规定，擅自在第五条第二款所指的区域设置拆船厂并进行拆船的，按照分级</w:t>
            </w:r>
            <w:r>
              <w:rPr>
                <w:spacing w:val="-3"/>
              </w:rPr>
              <w:t>管理原则，由县级</w:t>
            </w:r>
            <w:r>
              <w:t xml:space="preserve"> </w:t>
            </w:r>
            <w:r>
              <w:rPr>
                <w:spacing w:val="-5"/>
              </w:rPr>
              <w:t>以上人民政府责令限期关闭或者搬迁。</w:t>
            </w:r>
          </w:p>
          <w:p w14:paraId="6B39400D">
            <w:pPr>
              <w:pStyle w:val="8"/>
              <w:spacing w:before="26" w:line="218" w:lineRule="auto"/>
              <w:ind w:left="470"/>
            </w:pPr>
            <w:r>
              <w:rPr>
                <w:spacing w:val="-2"/>
              </w:rPr>
              <w:t>拆船厂未依法进行环境影响评价擅自开工建设的，依照《中华人民共和国环境保护法》的</w:t>
            </w:r>
            <w:r>
              <w:rPr>
                <w:spacing w:val="-3"/>
              </w:rPr>
              <w:t>规定处罚。</w:t>
            </w:r>
          </w:p>
          <w:p w14:paraId="3841F8BB">
            <w:pPr>
              <w:pStyle w:val="8"/>
              <w:spacing w:before="27" w:line="219" w:lineRule="auto"/>
              <w:ind w:left="472"/>
            </w:pPr>
            <w:r>
              <w:rPr>
                <w:b/>
                <w:bCs/>
                <w:spacing w:val="-5"/>
              </w:rPr>
              <w:t>2.《中华人民共和国内河海事行政处罚规定》（交通运输部令2022年第28号）</w:t>
            </w:r>
          </w:p>
          <w:p w14:paraId="0FF4DE58">
            <w:pPr>
              <w:pStyle w:val="8"/>
              <w:spacing w:before="28" w:line="239" w:lineRule="auto"/>
              <w:ind w:left="112" w:right="59" w:firstLine="356"/>
            </w:pPr>
            <w:r>
              <w:rPr>
                <w:spacing w:val="-2"/>
              </w:rPr>
              <w:t>第三十六条  拆船单位违反《防止拆船污染环境管理条例》的规定，有下列情形之一的</w:t>
            </w:r>
            <w:r>
              <w:rPr>
                <w:spacing w:val="-3"/>
              </w:rPr>
              <w:t>，依照《防止拆船</w:t>
            </w:r>
            <w:r>
              <w:t xml:space="preserve">  </w:t>
            </w:r>
            <w:r>
              <w:rPr>
                <w:spacing w:val="-3"/>
              </w:rPr>
              <w:t>污染环境管理条例》第十七条的规定，除责令限期纠正外，还可以根据不同情节，处以1万元以上10万元以下的</w:t>
            </w:r>
            <w:r>
              <w:rPr>
                <w:spacing w:val="7"/>
              </w:rPr>
              <w:t xml:space="preserve"> </w:t>
            </w:r>
            <w:r>
              <w:rPr>
                <w:spacing w:val="-1"/>
              </w:rPr>
              <w:t>罚款</w:t>
            </w:r>
            <w:r>
              <w:rPr>
                <w:spacing w:val="-21"/>
              </w:rPr>
              <w:t>：（</w:t>
            </w:r>
            <w:r>
              <w:rPr>
                <w:spacing w:val="-1"/>
              </w:rPr>
              <w:t>一）未持有经批准的环境影响报告书（表</w:t>
            </w:r>
            <w:r>
              <w:rPr>
                <w:spacing w:val="-21"/>
              </w:rPr>
              <w:t>），</w:t>
            </w:r>
            <w:r>
              <w:rPr>
                <w:spacing w:val="-2"/>
              </w:rPr>
              <w:t>擅自设置拆船厂进行拆船的</w:t>
            </w:r>
            <w:r>
              <w:rPr>
                <w:spacing w:val="-21"/>
              </w:rPr>
              <w:t>；（</w:t>
            </w:r>
            <w:r>
              <w:rPr>
                <w:spacing w:val="-2"/>
              </w:rPr>
              <w:t>二）发生污染损害事故，</w:t>
            </w:r>
            <w:r>
              <w:t xml:space="preserve"> </w:t>
            </w:r>
            <w:r>
              <w:rPr>
                <w:spacing w:val="-1"/>
              </w:rPr>
              <w:t>不向监督拆船污染的海事管理机构报告，也</w:t>
            </w:r>
            <w:r>
              <w:rPr>
                <w:spacing w:val="-2"/>
              </w:rPr>
              <w:t>不采取消除或者控制污染措施的</w:t>
            </w:r>
            <w:r>
              <w:rPr>
                <w:spacing w:val="-14"/>
              </w:rPr>
              <w:t>；（</w:t>
            </w:r>
            <w:r>
              <w:rPr>
                <w:spacing w:val="-2"/>
              </w:rPr>
              <w:t>三）废油船未经洗舱、排污、</w:t>
            </w:r>
          </w:p>
          <w:p w14:paraId="12ADE5A2">
            <w:pPr>
              <w:pStyle w:val="8"/>
              <w:spacing w:before="27" w:line="199" w:lineRule="auto"/>
              <w:ind w:left="110"/>
            </w:pPr>
            <w:r>
              <w:rPr>
                <w:spacing w:val="-1"/>
              </w:rPr>
              <w:t>清舱和测爆即进行拆解的</w:t>
            </w:r>
            <w:r>
              <w:rPr>
                <w:spacing w:val="-15"/>
              </w:rPr>
              <w:t>；（</w:t>
            </w:r>
            <w:r>
              <w:rPr>
                <w:spacing w:val="-1"/>
              </w:rPr>
              <w:t>四）任意排放或者丢弃</w:t>
            </w:r>
            <w:r>
              <w:rPr>
                <w:spacing w:val="-2"/>
              </w:rPr>
              <w:t>污染物造成严重污染的。</w:t>
            </w:r>
          </w:p>
        </w:tc>
        <w:tc>
          <w:tcPr>
            <w:tcW w:w="1043" w:type="dxa"/>
            <w:vAlign w:val="top"/>
          </w:tcPr>
          <w:p w14:paraId="51A531A5">
            <w:pPr>
              <w:rPr>
                <w:rFonts w:ascii="Arial"/>
                <w:sz w:val="21"/>
              </w:rPr>
            </w:pPr>
          </w:p>
        </w:tc>
        <w:tc>
          <w:tcPr>
            <w:tcW w:w="1448" w:type="dxa"/>
            <w:vAlign w:val="top"/>
          </w:tcPr>
          <w:p w14:paraId="741F0C20">
            <w:pPr>
              <w:rPr>
                <w:rFonts w:ascii="Arial"/>
                <w:sz w:val="21"/>
              </w:rPr>
            </w:pPr>
          </w:p>
        </w:tc>
        <w:tc>
          <w:tcPr>
            <w:tcW w:w="1047" w:type="dxa"/>
            <w:vAlign w:val="top"/>
          </w:tcPr>
          <w:p w14:paraId="3F704BC9">
            <w:pPr>
              <w:rPr>
                <w:rFonts w:ascii="Arial"/>
                <w:sz w:val="21"/>
              </w:rPr>
            </w:pPr>
          </w:p>
        </w:tc>
      </w:tr>
      <w:tr w14:paraId="4BA5E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5" w:hRule="atLeast"/>
        </w:trPr>
        <w:tc>
          <w:tcPr>
            <w:tcW w:w="641" w:type="dxa"/>
            <w:vAlign w:val="top"/>
          </w:tcPr>
          <w:p w14:paraId="43F52D4C">
            <w:pPr>
              <w:spacing w:line="263" w:lineRule="auto"/>
              <w:rPr>
                <w:rFonts w:ascii="Arial"/>
                <w:sz w:val="21"/>
              </w:rPr>
            </w:pPr>
          </w:p>
          <w:p w14:paraId="45E14FD2">
            <w:pPr>
              <w:spacing w:line="263" w:lineRule="auto"/>
              <w:rPr>
                <w:rFonts w:ascii="Arial"/>
                <w:sz w:val="21"/>
              </w:rPr>
            </w:pPr>
          </w:p>
          <w:p w14:paraId="40ADDE6F">
            <w:pPr>
              <w:spacing w:line="263" w:lineRule="auto"/>
              <w:rPr>
                <w:rFonts w:ascii="Arial"/>
                <w:sz w:val="21"/>
              </w:rPr>
            </w:pPr>
          </w:p>
          <w:p w14:paraId="4B6F90EC">
            <w:pPr>
              <w:spacing w:line="263" w:lineRule="auto"/>
              <w:rPr>
                <w:rFonts w:ascii="Arial"/>
                <w:sz w:val="21"/>
              </w:rPr>
            </w:pPr>
          </w:p>
          <w:p w14:paraId="052FA753">
            <w:pPr>
              <w:spacing w:line="263" w:lineRule="auto"/>
              <w:rPr>
                <w:rFonts w:ascii="Arial"/>
                <w:sz w:val="21"/>
              </w:rPr>
            </w:pPr>
          </w:p>
          <w:p w14:paraId="5F390945">
            <w:pPr>
              <w:spacing w:line="263" w:lineRule="auto"/>
              <w:rPr>
                <w:rFonts w:ascii="Arial"/>
                <w:sz w:val="21"/>
              </w:rPr>
            </w:pPr>
          </w:p>
          <w:p w14:paraId="5E038EF1">
            <w:pPr>
              <w:spacing w:line="263" w:lineRule="auto"/>
              <w:rPr>
                <w:rFonts w:ascii="Arial"/>
                <w:sz w:val="21"/>
              </w:rPr>
            </w:pPr>
          </w:p>
          <w:p w14:paraId="05941B52">
            <w:pPr>
              <w:spacing w:line="264" w:lineRule="auto"/>
              <w:rPr>
                <w:rFonts w:ascii="Arial"/>
                <w:sz w:val="21"/>
              </w:rPr>
            </w:pPr>
          </w:p>
          <w:p w14:paraId="1ABF8753">
            <w:pPr>
              <w:spacing w:line="264" w:lineRule="auto"/>
              <w:rPr>
                <w:rFonts w:ascii="Arial"/>
                <w:sz w:val="21"/>
              </w:rPr>
            </w:pPr>
          </w:p>
          <w:p w14:paraId="6EE0B935">
            <w:pPr>
              <w:spacing w:line="264" w:lineRule="auto"/>
              <w:rPr>
                <w:rFonts w:ascii="Arial"/>
                <w:sz w:val="21"/>
              </w:rPr>
            </w:pPr>
          </w:p>
          <w:p w14:paraId="32F1B15B">
            <w:pPr>
              <w:pStyle w:val="8"/>
              <w:spacing w:before="59" w:line="183" w:lineRule="auto"/>
              <w:ind w:left="234"/>
            </w:pPr>
            <w:r>
              <w:rPr>
                <w:spacing w:val="-3"/>
              </w:rPr>
              <w:t>47</w:t>
            </w:r>
          </w:p>
        </w:tc>
        <w:tc>
          <w:tcPr>
            <w:tcW w:w="1136" w:type="dxa"/>
            <w:vAlign w:val="top"/>
          </w:tcPr>
          <w:p w14:paraId="1D3DACA4">
            <w:pPr>
              <w:spacing w:line="252" w:lineRule="auto"/>
              <w:rPr>
                <w:rFonts w:ascii="Arial"/>
                <w:sz w:val="21"/>
              </w:rPr>
            </w:pPr>
          </w:p>
          <w:p w14:paraId="216A3A8D">
            <w:pPr>
              <w:spacing w:line="253" w:lineRule="auto"/>
              <w:rPr>
                <w:rFonts w:ascii="Arial"/>
                <w:sz w:val="21"/>
              </w:rPr>
            </w:pPr>
          </w:p>
          <w:p w14:paraId="631BF499">
            <w:pPr>
              <w:spacing w:line="253" w:lineRule="auto"/>
              <w:rPr>
                <w:rFonts w:ascii="Arial"/>
                <w:sz w:val="21"/>
              </w:rPr>
            </w:pPr>
          </w:p>
          <w:p w14:paraId="1E09C14D">
            <w:pPr>
              <w:spacing w:line="253" w:lineRule="auto"/>
              <w:rPr>
                <w:rFonts w:ascii="Arial"/>
                <w:sz w:val="21"/>
              </w:rPr>
            </w:pPr>
          </w:p>
          <w:p w14:paraId="32F9CA70">
            <w:pPr>
              <w:spacing w:line="253" w:lineRule="auto"/>
              <w:rPr>
                <w:rFonts w:ascii="Arial"/>
                <w:sz w:val="21"/>
              </w:rPr>
            </w:pPr>
          </w:p>
          <w:p w14:paraId="0F4911A3">
            <w:pPr>
              <w:spacing w:line="253" w:lineRule="auto"/>
              <w:rPr>
                <w:rFonts w:ascii="Arial"/>
                <w:sz w:val="21"/>
              </w:rPr>
            </w:pPr>
          </w:p>
          <w:p w14:paraId="30C3EED8">
            <w:pPr>
              <w:spacing w:line="253" w:lineRule="auto"/>
              <w:rPr>
                <w:rFonts w:ascii="Arial"/>
                <w:sz w:val="21"/>
              </w:rPr>
            </w:pPr>
          </w:p>
          <w:p w14:paraId="46D05B06">
            <w:pPr>
              <w:pStyle w:val="8"/>
              <w:spacing w:before="58" w:line="243" w:lineRule="auto"/>
              <w:ind w:left="109" w:right="104"/>
              <w:jc w:val="both"/>
            </w:pPr>
            <w:r>
              <w:rPr>
                <w:spacing w:val="3"/>
              </w:rPr>
              <w:t>对拒绝或者</w:t>
            </w:r>
            <w:r>
              <w:rPr>
                <w:spacing w:val="1"/>
              </w:rPr>
              <w:t xml:space="preserve"> </w:t>
            </w:r>
            <w:r>
              <w:rPr>
                <w:spacing w:val="3"/>
              </w:rPr>
              <w:t>阻挠海事管</w:t>
            </w:r>
            <w:r>
              <w:t xml:space="preserve"> </w:t>
            </w:r>
            <w:r>
              <w:rPr>
                <w:spacing w:val="3"/>
              </w:rPr>
              <w:t>理机构进行</w:t>
            </w:r>
            <w:r>
              <w:t xml:space="preserve"> </w:t>
            </w:r>
            <w:r>
              <w:rPr>
                <w:spacing w:val="3"/>
              </w:rPr>
              <w:t>拆船现场检</w:t>
            </w:r>
            <w:r>
              <w:t xml:space="preserve"> </w:t>
            </w:r>
            <w:r>
              <w:rPr>
                <w:spacing w:val="3"/>
              </w:rPr>
              <w:t>查或者在被</w:t>
            </w:r>
            <w:r>
              <w:t xml:space="preserve"> </w:t>
            </w:r>
            <w:r>
              <w:rPr>
                <w:spacing w:val="3"/>
              </w:rPr>
              <w:t>检查时弄虚</w:t>
            </w:r>
            <w:r>
              <w:t xml:space="preserve"> </w:t>
            </w:r>
            <w:r>
              <w:rPr>
                <w:spacing w:val="3"/>
              </w:rPr>
              <w:t>作假等行为</w:t>
            </w:r>
            <w:r>
              <w:t xml:space="preserve"> </w:t>
            </w:r>
            <w:r>
              <w:rPr>
                <w:spacing w:val="-4"/>
              </w:rPr>
              <w:t>的行政处罚</w:t>
            </w:r>
          </w:p>
        </w:tc>
        <w:tc>
          <w:tcPr>
            <w:tcW w:w="1136" w:type="dxa"/>
            <w:vAlign w:val="top"/>
          </w:tcPr>
          <w:p w14:paraId="4522BB9F">
            <w:pPr>
              <w:spacing w:line="260" w:lineRule="auto"/>
              <w:rPr>
                <w:rFonts w:ascii="Arial"/>
                <w:sz w:val="21"/>
              </w:rPr>
            </w:pPr>
          </w:p>
          <w:p w14:paraId="49B2909B">
            <w:pPr>
              <w:spacing w:line="260" w:lineRule="auto"/>
              <w:rPr>
                <w:rFonts w:ascii="Arial"/>
                <w:sz w:val="21"/>
              </w:rPr>
            </w:pPr>
          </w:p>
          <w:p w14:paraId="15B4BC46">
            <w:pPr>
              <w:spacing w:line="260" w:lineRule="auto"/>
              <w:rPr>
                <w:rFonts w:ascii="Arial"/>
                <w:sz w:val="21"/>
              </w:rPr>
            </w:pPr>
          </w:p>
          <w:p w14:paraId="052E91E0">
            <w:pPr>
              <w:spacing w:line="260" w:lineRule="auto"/>
              <w:rPr>
                <w:rFonts w:ascii="Arial"/>
                <w:sz w:val="21"/>
              </w:rPr>
            </w:pPr>
          </w:p>
          <w:p w14:paraId="0BE2B345">
            <w:pPr>
              <w:spacing w:line="260" w:lineRule="auto"/>
              <w:rPr>
                <w:rFonts w:ascii="Arial"/>
                <w:sz w:val="21"/>
              </w:rPr>
            </w:pPr>
          </w:p>
          <w:p w14:paraId="7B89B2BB">
            <w:pPr>
              <w:spacing w:line="261" w:lineRule="auto"/>
              <w:rPr>
                <w:rFonts w:ascii="Arial"/>
                <w:sz w:val="21"/>
              </w:rPr>
            </w:pPr>
          </w:p>
          <w:p w14:paraId="5919CC02">
            <w:pPr>
              <w:spacing w:line="261" w:lineRule="auto"/>
              <w:rPr>
                <w:rFonts w:ascii="Arial"/>
                <w:sz w:val="21"/>
              </w:rPr>
            </w:pPr>
          </w:p>
          <w:p w14:paraId="722761BD">
            <w:pPr>
              <w:spacing w:line="261" w:lineRule="auto"/>
              <w:rPr>
                <w:rFonts w:ascii="Arial"/>
                <w:sz w:val="21"/>
              </w:rPr>
            </w:pPr>
          </w:p>
          <w:p w14:paraId="1ABCD8B2">
            <w:pPr>
              <w:spacing w:line="261" w:lineRule="auto"/>
              <w:rPr>
                <w:rFonts w:ascii="Arial"/>
                <w:sz w:val="21"/>
              </w:rPr>
            </w:pPr>
          </w:p>
          <w:p w14:paraId="2504844C">
            <w:pPr>
              <w:spacing w:line="261" w:lineRule="auto"/>
              <w:rPr>
                <w:rFonts w:ascii="Arial"/>
                <w:sz w:val="21"/>
              </w:rPr>
            </w:pPr>
          </w:p>
          <w:p w14:paraId="2DC18C3B">
            <w:pPr>
              <w:pStyle w:val="8"/>
              <w:spacing w:before="59" w:line="220" w:lineRule="auto"/>
              <w:ind w:left="114"/>
            </w:pPr>
            <w:r>
              <w:rPr>
                <w:spacing w:val="-7"/>
              </w:rPr>
              <w:t>行政处罚</w:t>
            </w:r>
          </w:p>
        </w:tc>
        <w:tc>
          <w:tcPr>
            <w:tcW w:w="8806" w:type="dxa"/>
            <w:vAlign w:val="top"/>
          </w:tcPr>
          <w:p w14:paraId="613997C2">
            <w:pPr>
              <w:pStyle w:val="8"/>
              <w:spacing w:before="33" w:line="219" w:lineRule="auto"/>
              <w:ind w:left="467"/>
            </w:pPr>
            <w:r>
              <w:rPr>
                <w:b/>
                <w:bCs/>
                <w:spacing w:val="-10"/>
              </w:rPr>
              <w:t>1.《防止拆船污染环境管理条例》</w:t>
            </w:r>
          </w:p>
          <w:p w14:paraId="0717FF7F">
            <w:pPr>
              <w:pStyle w:val="8"/>
              <w:spacing w:before="17" w:line="227" w:lineRule="auto"/>
              <w:ind w:left="111" w:right="54" w:firstLine="342"/>
            </w:pPr>
            <w:r>
              <w:rPr>
                <w:spacing w:val="-11"/>
              </w:rPr>
              <w:t>第七条第一款</w:t>
            </w:r>
            <w:r>
              <w:rPr>
                <w:spacing w:val="89"/>
              </w:rPr>
              <w:t xml:space="preserve"> </w:t>
            </w:r>
            <w:r>
              <w:rPr>
                <w:spacing w:val="-11"/>
              </w:rPr>
              <w:t>监督拆船污染的主管部门有权对拆船单位的拆船活动进行检查，被检查单位必须如实反映情况，</w:t>
            </w:r>
            <w:r>
              <w:t xml:space="preserve"> </w:t>
            </w:r>
            <w:r>
              <w:rPr>
                <w:spacing w:val="-7"/>
              </w:rPr>
              <w:t>提供必要的资料。</w:t>
            </w:r>
          </w:p>
          <w:p w14:paraId="7D306626">
            <w:pPr>
              <w:pStyle w:val="8"/>
              <w:spacing w:before="17" w:line="230" w:lineRule="auto"/>
              <w:ind w:left="112" w:right="96" w:firstLine="341"/>
              <w:jc w:val="both"/>
            </w:pPr>
            <w:r>
              <w:rPr>
                <w:spacing w:val="-8"/>
              </w:rPr>
              <w:t>第十条</w:t>
            </w:r>
            <w:r>
              <w:rPr>
                <w:spacing w:val="76"/>
              </w:rPr>
              <w:t xml:space="preserve"> </w:t>
            </w:r>
            <w:r>
              <w:rPr>
                <w:spacing w:val="-8"/>
              </w:rPr>
              <w:t>拆船单位必须配备或者设置防止拆船污染必需的拦油装置、废油接收设备、含油污水接收处理设施或</w:t>
            </w:r>
            <w:r>
              <w:t xml:space="preserve"> </w:t>
            </w:r>
            <w:r>
              <w:rPr>
                <w:spacing w:val="-8"/>
              </w:rPr>
              <w:t>者设备、废弃物回收处置场等，并经批准环境影响报告书（表）的环境保护部门验收合格</w:t>
            </w:r>
            <w:r>
              <w:rPr>
                <w:spacing w:val="-9"/>
              </w:rPr>
              <w:t>，发给验收合格证后，方</w:t>
            </w:r>
            <w:r>
              <w:t xml:space="preserve"> </w:t>
            </w:r>
            <w:r>
              <w:rPr>
                <w:spacing w:val="-7"/>
              </w:rPr>
              <w:t>可进船拆解。</w:t>
            </w:r>
          </w:p>
          <w:p w14:paraId="66222318">
            <w:pPr>
              <w:pStyle w:val="8"/>
              <w:spacing w:before="15" w:line="228" w:lineRule="auto"/>
              <w:ind w:left="111" w:right="98" w:firstLine="342"/>
            </w:pPr>
            <w:r>
              <w:rPr>
                <w:spacing w:val="-8"/>
              </w:rPr>
              <w:t>第十五条</w:t>
            </w:r>
            <w:r>
              <w:rPr>
                <w:spacing w:val="76"/>
              </w:rPr>
              <w:t xml:space="preserve"> </w:t>
            </w:r>
            <w:r>
              <w:rPr>
                <w:spacing w:val="-8"/>
              </w:rPr>
              <w:t>发生拆船污染损害事故时，拆船单位或者个人必须立即采取消除或者控制污染的措施，并迅</w:t>
            </w:r>
            <w:r>
              <w:rPr>
                <w:spacing w:val="-9"/>
              </w:rPr>
              <w:t>速报告</w:t>
            </w:r>
            <w:r>
              <w:t xml:space="preserve"> </w:t>
            </w:r>
            <w:r>
              <w:rPr>
                <w:spacing w:val="-8"/>
              </w:rPr>
              <w:t>监督拆船污染的主管部门。</w:t>
            </w:r>
          </w:p>
          <w:p w14:paraId="5DDFCE54">
            <w:pPr>
              <w:pStyle w:val="8"/>
              <w:spacing w:before="17" w:line="227" w:lineRule="auto"/>
              <w:ind w:left="124" w:right="95" w:firstLine="330"/>
            </w:pPr>
            <w:r>
              <w:rPr>
                <w:spacing w:val="-8"/>
              </w:rPr>
              <w:t>污染损害事故发生后，拆船单位必须向监督拆船污染的主管部门提交《污染事故报告书》，</w:t>
            </w:r>
            <w:r>
              <w:rPr>
                <w:spacing w:val="-9"/>
              </w:rPr>
              <w:t>报告污染发生的原</w:t>
            </w:r>
            <w:r>
              <w:t xml:space="preserve"> </w:t>
            </w:r>
            <w:r>
              <w:rPr>
                <w:spacing w:val="-8"/>
              </w:rPr>
              <w:t>因、经过、排污数量、采取的抢救措施、已造成和可能造成的污染损害后果等，</w:t>
            </w:r>
            <w:r>
              <w:rPr>
                <w:spacing w:val="-9"/>
              </w:rPr>
              <w:t>并接受调查处理。</w:t>
            </w:r>
          </w:p>
          <w:p w14:paraId="7AC8F1C1">
            <w:pPr>
              <w:pStyle w:val="8"/>
              <w:spacing w:before="14" w:line="228" w:lineRule="auto"/>
              <w:ind w:left="109" w:right="98" w:firstLine="343"/>
            </w:pPr>
            <w:r>
              <w:rPr>
                <w:spacing w:val="-8"/>
              </w:rPr>
              <w:t>第十六条</w:t>
            </w:r>
            <w:r>
              <w:rPr>
                <w:spacing w:val="73"/>
              </w:rPr>
              <w:t xml:space="preserve"> </w:t>
            </w:r>
            <w:r>
              <w:rPr>
                <w:spacing w:val="-8"/>
              </w:rPr>
              <w:t>拆船单位关闭或者搬迁后，必须及时清理原厂址遗留的污染物，并由监督拆船污染的主管部门检查</w:t>
            </w:r>
            <w:r>
              <w:t xml:space="preserve"> </w:t>
            </w:r>
            <w:r>
              <w:rPr>
                <w:spacing w:val="-5"/>
              </w:rPr>
              <w:t>验收。</w:t>
            </w:r>
          </w:p>
          <w:p w14:paraId="7B044BE4">
            <w:pPr>
              <w:pStyle w:val="8"/>
              <w:spacing w:before="19" w:line="232" w:lineRule="auto"/>
              <w:ind w:left="109" w:right="95" w:firstLine="343"/>
              <w:jc w:val="both"/>
            </w:pPr>
            <w:r>
              <w:rPr>
                <w:spacing w:val="-8"/>
              </w:rPr>
              <w:t>第十八条</w:t>
            </w:r>
            <w:r>
              <w:rPr>
                <w:spacing w:val="73"/>
              </w:rPr>
              <w:t xml:space="preserve"> </w:t>
            </w:r>
            <w:r>
              <w:rPr>
                <w:spacing w:val="-8"/>
              </w:rPr>
              <w:t>违反本条例规定，有下列情形之一的，监督拆船污染的主管部门除责令其限期纠正外，还可以根据</w:t>
            </w:r>
            <w:r>
              <w:t xml:space="preserve"> </w:t>
            </w:r>
            <w:r>
              <w:rPr>
                <w:spacing w:val="-7"/>
              </w:rPr>
              <w:t>不同情节，给予警告或者处以一万元以下的罚款</w:t>
            </w:r>
            <w:r>
              <w:rPr>
                <w:spacing w:val="-23"/>
              </w:rPr>
              <w:t>：（</w:t>
            </w:r>
            <w:r>
              <w:rPr>
                <w:spacing w:val="-7"/>
              </w:rPr>
              <w:t>一）</w:t>
            </w:r>
            <w:r>
              <w:rPr>
                <w:spacing w:val="-8"/>
              </w:rPr>
              <w:t>拒绝或者阻挠监督拆船污染的主管部门进行现场检查或者</w:t>
            </w:r>
            <w:r>
              <w:rPr>
                <w:spacing w:val="1"/>
              </w:rPr>
              <w:t xml:space="preserve"> </w:t>
            </w:r>
            <w:r>
              <w:rPr>
                <w:spacing w:val="-7"/>
              </w:rPr>
              <w:t>在被检查时弄虚作假的</w:t>
            </w:r>
            <w:r>
              <w:rPr>
                <w:spacing w:val="-22"/>
              </w:rPr>
              <w:t>；（</w:t>
            </w:r>
            <w:r>
              <w:rPr>
                <w:spacing w:val="-7"/>
              </w:rPr>
              <w:t>二）未按规定要求配备和使用防污设施、设备和器材，造成环境污染的</w:t>
            </w:r>
            <w:r>
              <w:rPr>
                <w:spacing w:val="-22"/>
              </w:rPr>
              <w:t>；（</w:t>
            </w:r>
            <w:r>
              <w:rPr>
                <w:spacing w:val="-7"/>
              </w:rPr>
              <w:t>三）发生污</w:t>
            </w:r>
            <w:r>
              <w:rPr>
                <w:spacing w:val="1"/>
              </w:rPr>
              <w:t xml:space="preserve"> </w:t>
            </w:r>
            <w:r>
              <w:rPr>
                <w:spacing w:val="-7"/>
              </w:rPr>
              <w:t>染损害事故，虽采取消除或者控制污染措施，但不向</w:t>
            </w:r>
            <w:r>
              <w:rPr>
                <w:spacing w:val="-8"/>
              </w:rPr>
              <w:t>监督拆船污染的主管部门报告的</w:t>
            </w:r>
            <w:r>
              <w:rPr>
                <w:spacing w:val="-23"/>
              </w:rPr>
              <w:t>；（</w:t>
            </w:r>
            <w:r>
              <w:rPr>
                <w:spacing w:val="-8"/>
              </w:rPr>
              <w:t>四）拆船单位关闭、搬迁</w:t>
            </w:r>
            <w:r>
              <w:rPr>
                <w:spacing w:val="1"/>
              </w:rPr>
              <w:t xml:space="preserve"> </w:t>
            </w:r>
            <w:r>
              <w:rPr>
                <w:spacing w:val="-8"/>
              </w:rPr>
              <w:t>后，原厂址的现场清理不合格的。</w:t>
            </w:r>
          </w:p>
          <w:p w14:paraId="1D549116">
            <w:pPr>
              <w:pStyle w:val="8"/>
              <w:spacing w:before="16" w:line="219" w:lineRule="auto"/>
              <w:ind w:left="455"/>
            </w:pPr>
            <w:r>
              <w:rPr>
                <w:b/>
                <w:bCs/>
                <w:spacing w:val="-8"/>
              </w:rPr>
              <w:t>2.《中华人民共和国内河海事行政处罚规定》（交通运输部令2</w:t>
            </w:r>
            <w:r>
              <w:rPr>
                <w:b/>
                <w:bCs/>
                <w:spacing w:val="-9"/>
              </w:rPr>
              <w:t>022年第28号）</w:t>
            </w:r>
          </w:p>
          <w:p w14:paraId="4455E287">
            <w:pPr>
              <w:pStyle w:val="8"/>
              <w:spacing w:before="20" w:line="229" w:lineRule="auto"/>
              <w:ind w:left="109" w:right="95" w:firstLine="343"/>
              <w:jc w:val="both"/>
            </w:pPr>
            <w:r>
              <w:rPr>
                <w:spacing w:val="-8"/>
              </w:rPr>
              <w:t>第三十七条</w:t>
            </w:r>
            <w:r>
              <w:rPr>
                <w:spacing w:val="73"/>
              </w:rPr>
              <w:t xml:space="preserve"> </w:t>
            </w:r>
            <w:r>
              <w:rPr>
                <w:spacing w:val="-8"/>
              </w:rPr>
              <w:t>拆船单位违反《防止拆船污染环境管理条例》第七条、第十条、第十五条、第十六条的规定，有</w:t>
            </w:r>
            <w:r>
              <w:t xml:space="preserve"> </w:t>
            </w:r>
            <w:r>
              <w:rPr>
                <w:spacing w:val="-8"/>
              </w:rPr>
              <w:t>下列行为之一的，依照《防止拆船污染环境管理条例》第十八条的规定，除责令其限期纠正外，还可</w:t>
            </w:r>
            <w:r>
              <w:rPr>
                <w:spacing w:val="-9"/>
              </w:rPr>
              <w:t>以根据不同情</w:t>
            </w:r>
            <w:r>
              <w:t xml:space="preserve"> </w:t>
            </w:r>
            <w:r>
              <w:rPr>
                <w:spacing w:val="-7"/>
              </w:rPr>
              <w:t>节，处以警告或者处以1万元以下的罚款</w:t>
            </w:r>
            <w:r>
              <w:rPr>
                <w:spacing w:val="-22"/>
              </w:rPr>
              <w:t>：（</w:t>
            </w:r>
            <w:r>
              <w:rPr>
                <w:spacing w:val="-7"/>
              </w:rPr>
              <w:t>一）拒绝或者阻挠海事管理机</w:t>
            </w:r>
            <w:r>
              <w:rPr>
                <w:spacing w:val="-8"/>
              </w:rPr>
              <w:t>构进行拆船现场检查或者在被检查时弄</w:t>
            </w:r>
            <w:r>
              <w:t xml:space="preserve">  </w:t>
            </w:r>
            <w:r>
              <w:rPr>
                <w:spacing w:val="-7"/>
              </w:rPr>
              <w:t>虚作假的</w:t>
            </w:r>
            <w:r>
              <w:rPr>
                <w:spacing w:val="-21"/>
              </w:rPr>
              <w:t>；（</w:t>
            </w:r>
            <w:r>
              <w:rPr>
                <w:spacing w:val="-7"/>
              </w:rPr>
              <w:t>二）未按照规定要求配备和使用防污设施、设备和器材，造成水域污染的</w:t>
            </w:r>
            <w:r>
              <w:rPr>
                <w:spacing w:val="-21"/>
              </w:rPr>
              <w:t>；（</w:t>
            </w:r>
            <w:r>
              <w:rPr>
                <w:spacing w:val="-7"/>
              </w:rPr>
              <w:t>三）发生污染事故，虽</w:t>
            </w:r>
            <w:r>
              <w:t xml:space="preserve"> </w:t>
            </w:r>
            <w:r>
              <w:rPr>
                <w:spacing w:val="-4"/>
              </w:rPr>
              <w:t>采取消除或者控制污染措施，但不向海事管理机构报告的</w:t>
            </w:r>
            <w:r>
              <w:rPr>
                <w:spacing w:val="-18"/>
              </w:rPr>
              <w:t>；（</w:t>
            </w:r>
            <w:r>
              <w:rPr>
                <w:spacing w:val="-4"/>
              </w:rPr>
              <w:t>四）拆船单位关闭、搬迁后</w:t>
            </w:r>
            <w:r>
              <w:rPr>
                <w:spacing w:val="-5"/>
              </w:rPr>
              <w:t>，原厂址的现场清理不</w:t>
            </w:r>
            <w:r>
              <w:rPr>
                <w:spacing w:val="1"/>
              </w:rPr>
              <w:t xml:space="preserve"> </w:t>
            </w:r>
            <w:r>
              <w:rPr>
                <w:spacing w:val="-3"/>
              </w:rPr>
              <w:t>合格的。</w:t>
            </w:r>
          </w:p>
        </w:tc>
        <w:tc>
          <w:tcPr>
            <w:tcW w:w="1043" w:type="dxa"/>
            <w:vAlign w:val="top"/>
          </w:tcPr>
          <w:p w14:paraId="0022130F">
            <w:pPr>
              <w:spacing w:line="248" w:lineRule="auto"/>
              <w:rPr>
                <w:rFonts w:ascii="Arial"/>
                <w:sz w:val="21"/>
              </w:rPr>
            </w:pPr>
          </w:p>
          <w:p w14:paraId="476879EA">
            <w:pPr>
              <w:spacing w:line="248" w:lineRule="auto"/>
              <w:rPr>
                <w:rFonts w:ascii="Arial"/>
                <w:sz w:val="21"/>
              </w:rPr>
            </w:pPr>
          </w:p>
          <w:p w14:paraId="4A48C701">
            <w:pPr>
              <w:spacing w:line="248" w:lineRule="auto"/>
              <w:rPr>
                <w:rFonts w:ascii="Arial"/>
                <w:sz w:val="21"/>
              </w:rPr>
            </w:pPr>
          </w:p>
          <w:p w14:paraId="4CE8C812">
            <w:pPr>
              <w:spacing w:line="248" w:lineRule="auto"/>
              <w:rPr>
                <w:rFonts w:ascii="Arial"/>
                <w:sz w:val="21"/>
              </w:rPr>
            </w:pPr>
          </w:p>
          <w:p w14:paraId="701E43A4">
            <w:pPr>
              <w:spacing w:line="249" w:lineRule="auto"/>
              <w:rPr>
                <w:rFonts w:ascii="Arial"/>
                <w:sz w:val="21"/>
              </w:rPr>
            </w:pPr>
          </w:p>
          <w:p w14:paraId="457D704B">
            <w:pPr>
              <w:spacing w:line="249" w:lineRule="auto"/>
              <w:rPr>
                <w:rFonts w:ascii="Arial"/>
                <w:sz w:val="21"/>
              </w:rPr>
            </w:pPr>
          </w:p>
          <w:p w14:paraId="37BD17FB">
            <w:pPr>
              <w:spacing w:line="249" w:lineRule="auto"/>
              <w:rPr>
                <w:rFonts w:ascii="Arial"/>
                <w:sz w:val="21"/>
              </w:rPr>
            </w:pPr>
          </w:p>
          <w:p w14:paraId="23C0EDF8">
            <w:pPr>
              <w:spacing w:line="249" w:lineRule="auto"/>
              <w:rPr>
                <w:rFonts w:ascii="Arial"/>
                <w:sz w:val="21"/>
              </w:rPr>
            </w:pPr>
          </w:p>
          <w:p w14:paraId="0C0B050E">
            <w:pPr>
              <w:spacing w:line="249" w:lineRule="auto"/>
              <w:rPr>
                <w:rFonts w:ascii="Arial"/>
                <w:sz w:val="21"/>
              </w:rPr>
            </w:pPr>
          </w:p>
          <w:p w14:paraId="478AF335">
            <w:pPr>
              <w:spacing w:line="249" w:lineRule="auto"/>
              <w:rPr>
                <w:rFonts w:ascii="Arial"/>
                <w:sz w:val="21"/>
              </w:rPr>
            </w:pPr>
          </w:p>
          <w:p w14:paraId="4243D5DC">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3CBBB7CF">
            <w:pPr>
              <w:spacing w:line="260" w:lineRule="auto"/>
              <w:rPr>
                <w:rFonts w:ascii="Arial"/>
                <w:sz w:val="21"/>
              </w:rPr>
            </w:pPr>
          </w:p>
          <w:p w14:paraId="4A838719">
            <w:pPr>
              <w:spacing w:line="260" w:lineRule="auto"/>
              <w:rPr>
                <w:rFonts w:ascii="Arial"/>
                <w:sz w:val="21"/>
              </w:rPr>
            </w:pPr>
          </w:p>
          <w:p w14:paraId="57130EDD">
            <w:pPr>
              <w:spacing w:line="260" w:lineRule="auto"/>
              <w:rPr>
                <w:rFonts w:ascii="Arial"/>
                <w:sz w:val="21"/>
              </w:rPr>
            </w:pPr>
          </w:p>
          <w:p w14:paraId="0AB76FC5">
            <w:pPr>
              <w:spacing w:line="260" w:lineRule="auto"/>
              <w:rPr>
                <w:rFonts w:ascii="Arial"/>
                <w:sz w:val="21"/>
              </w:rPr>
            </w:pPr>
          </w:p>
          <w:p w14:paraId="3C0333D0">
            <w:pPr>
              <w:spacing w:line="260" w:lineRule="auto"/>
              <w:rPr>
                <w:rFonts w:ascii="Arial"/>
                <w:sz w:val="21"/>
              </w:rPr>
            </w:pPr>
          </w:p>
          <w:p w14:paraId="04A60D91">
            <w:pPr>
              <w:spacing w:line="261" w:lineRule="auto"/>
              <w:rPr>
                <w:rFonts w:ascii="Arial"/>
                <w:sz w:val="21"/>
              </w:rPr>
            </w:pPr>
          </w:p>
          <w:p w14:paraId="13C62FB7">
            <w:pPr>
              <w:spacing w:line="261" w:lineRule="auto"/>
              <w:rPr>
                <w:rFonts w:ascii="Arial"/>
                <w:sz w:val="21"/>
              </w:rPr>
            </w:pPr>
          </w:p>
          <w:p w14:paraId="4592BBBD">
            <w:pPr>
              <w:spacing w:line="261" w:lineRule="auto"/>
              <w:rPr>
                <w:rFonts w:ascii="Arial"/>
                <w:sz w:val="21"/>
              </w:rPr>
            </w:pPr>
          </w:p>
          <w:p w14:paraId="788ABA2E">
            <w:pPr>
              <w:spacing w:line="261" w:lineRule="auto"/>
              <w:rPr>
                <w:rFonts w:ascii="Arial"/>
                <w:sz w:val="21"/>
              </w:rPr>
            </w:pPr>
          </w:p>
          <w:p w14:paraId="20822227">
            <w:pPr>
              <w:spacing w:line="261" w:lineRule="auto"/>
              <w:rPr>
                <w:rFonts w:ascii="Arial"/>
                <w:sz w:val="21"/>
              </w:rPr>
            </w:pPr>
          </w:p>
          <w:p w14:paraId="590C6AA1">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99D6AF1">
            <w:pPr>
              <w:spacing w:line="249" w:lineRule="auto"/>
              <w:rPr>
                <w:rFonts w:ascii="Arial"/>
                <w:sz w:val="21"/>
              </w:rPr>
            </w:pPr>
          </w:p>
          <w:p w14:paraId="287B53BD">
            <w:pPr>
              <w:spacing w:line="250" w:lineRule="auto"/>
              <w:rPr>
                <w:rFonts w:ascii="Arial"/>
                <w:sz w:val="21"/>
              </w:rPr>
            </w:pPr>
          </w:p>
          <w:p w14:paraId="4677ADB6">
            <w:pPr>
              <w:spacing w:line="250" w:lineRule="auto"/>
              <w:rPr>
                <w:rFonts w:ascii="Arial"/>
                <w:sz w:val="21"/>
              </w:rPr>
            </w:pPr>
          </w:p>
          <w:p w14:paraId="3A9E73E6">
            <w:pPr>
              <w:spacing w:line="250" w:lineRule="auto"/>
              <w:rPr>
                <w:rFonts w:ascii="Arial"/>
                <w:sz w:val="21"/>
              </w:rPr>
            </w:pPr>
          </w:p>
          <w:p w14:paraId="60C3BDA1">
            <w:pPr>
              <w:spacing w:line="250" w:lineRule="auto"/>
              <w:rPr>
                <w:rFonts w:ascii="Arial"/>
                <w:sz w:val="21"/>
              </w:rPr>
            </w:pPr>
          </w:p>
          <w:p w14:paraId="17CF79C3">
            <w:pPr>
              <w:spacing w:line="250" w:lineRule="auto"/>
              <w:rPr>
                <w:rFonts w:ascii="Arial"/>
                <w:sz w:val="21"/>
              </w:rPr>
            </w:pPr>
          </w:p>
          <w:p w14:paraId="1FDBB622">
            <w:pPr>
              <w:spacing w:line="250" w:lineRule="auto"/>
              <w:rPr>
                <w:rFonts w:ascii="Arial"/>
                <w:sz w:val="21"/>
              </w:rPr>
            </w:pPr>
          </w:p>
          <w:p w14:paraId="608AD59A">
            <w:pPr>
              <w:spacing w:line="250" w:lineRule="auto"/>
              <w:rPr>
                <w:rFonts w:ascii="Arial"/>
                <w:sz w:val="21"/>
              </w:rPr>
            </w:pPr>
          </w:p>
          <w:p w14:paraId="54A5A760">
            <w:pPr>
              <w:spacing w:line="250" w:lineRule="auto"/>
              <w:rPr>
                <w:rFonts w:ascii="Arial"/>
                <w:sz w:val="21"/>
              </w:rPr>
            </w:pPr>
          </w:p>
          <w:p w14:paraId="2126FC12">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643831BD">
      <w:pPr>
        <w:pStyle w:val="2"/>
        <w:spacing w:line="187" w:lineRule="exact"/>
        <w:rPr>
          <w:sz w:val="16"/>
        </w:rPr>
      </w:pPr>
    </w:p>
    <w:p w14:paraId="1DF1178B">
      <w:pPr>
        <w:spacing w:line="187" w:lineRule="exact"/>
        <w:rPr>
          <w:sz w:val="16"/>
          <w:szCs w:val="16"/>
        </w:rPr>
        <w:sectPr>
          <w:footerReference r:id="rId191" w:type="default"/>
          <w:pgSz w:w="16839" w:h="11906"/>
          <w:pgMar w:top="1012" w:right="788" w:bottom="966" w:left="787" w:header="0" w:footer="768" w:gutter="0"/>
          <w:cols w:space="720" w:num="1"/>
        </w:sectPr>
      </w:pPr>
    </w:p>
    <w:p w14:paraId="43DCC744">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08595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731E916B">
            <w:pPr>
              <w:pStyle w:val="8"/>
              <w:spacing w:before="267" w:line="221" w:lineRule="auto"/>
              <w:ind w:left="142"/>
            </w:pPr>
            <w:r>
              <w:rPr>
                <w:b/>
                <w:bCs/>
                <w:spacing w:val="-4"/>
              </w:rPr>
              <w:t>序号</w:t>
            </w:r>
          </w:p>
        </w:tc>
        <w:tc>
          <w:tcPr>
            <w:tcW w:w="1136" w:type="dxa"/>
            <w:vMerge w:val="restart"/>
            <w:tcBorders>
              <w:bottom w:val="nil"/>
            </w:tcBorders>
            <w:vAlign w:val="top"/>
          </w:tcPr>
          <w:p w14:paraId="30C3AC75">
            <w:pPr>
              <w:pStyle w:val="8"/>
              <w:spacing w:before="267" w:line="220" w:lineRule="auto"/>
              <w:ind w:left="208"/>
            </w:pPr>
            <w:r>
              <w:rPr>
                <w:b/>
                <w:bCs/>
                <w:spacing w:val="-4"/>
              </w:rPr>
              <w:t>事项名称</w:t>
            </w:r>
          </w:p>
        </w:tc>
        <w:tc>
          <w:tcPr>
            <w:tcW w:w="1136" w:type="dxa"/>
            <w:vMerge w:val="restart"/>
            <w:tcBorders>
              <w:bottom w:val="nil"/>
            </w:tcBorders>
            <w:vAlign w:val="top"/>
          </w:tcPr>
          <w:p w14:paraId="5CFABBE5">
            <w:pPr>
              <w:pStyle w:val="8"/>
              <w:spacing w:before="267" w:line="219" w:lineRule="auto"/>
              <w:ind w:left="210"/>
            </w:pPr>
            <w:r>
              <w:rPr>
                <w:b/>
                <w:bCs/>
                <w:spacing w:val="-4"/>
              </w:rPr>
              <w:t>职权类型</w:t>
            </w:r>
          </w:p>
        </w:tc>
        <w:tc>
          <w:tcPr>
            <w:tcW w:w="8806" w:type="dxa"/>
            <w:vMerge w:val="restart"/>
            <w:tcBorders>
              <w:bottom w:val="nil"/>
            </w:tcBorders>
            <w:vAlign w:val="top"/>
          </w:tcPr>
          <w:p w14:paraId="587DCA2A">
            <w:pPr>
              <w:pStyle w:val="8"/>
              <w:spacing w:before="267" w:line="219" w:lineRule="auto"/>
              <w:ind w:left="4050"/>
            </w:pPr>
            <w:r>
              <w:rPr>
                <w:b/>
                <w:bCs/>
                <w:spacing w:val="-5"/>
              </w:rPr>
              <w:t>实施依据</w:t>
            </w:r>
          </w:p>
        </w:tc>
        <w:tc>
          <w:tcPr>
            <w:tcW w:w="3538" w:type="dxa"/>
            <w:gridSpan w:val="3"/>
            <w:vAlign w:val="top"/>
          </w:tcPr>
          <w:p w14:paraId="0D0C8305">
            <w:pPr>
              <w:pStyle w:val="8"/>
              <w:spacing w:before="92" w:line="220" w:lineRule="auto"/>
              <w:ind w:left="1415"/>
            </w:pPr>
            <w:r>
              <w:rPr>
                <w:b/>
                <w:bCs/>
                <w:spacing w:val="-5"/>
              </w:rPr>
              <w:t>实施主体</w:t>
            </w:r>
          </w:p>
        </w:tc>
      </w:tr>
      <w:tr w14:paraId="71899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714F64E">
            <w:pPr>
              <w:rPr>
                <w:rFonts w:ascii="Arial"/>
                <w:sz w:val="21"/>
              </w:rPr>
            </w:pPr>
          </w:p>
        </w:tc>
        <w:tc>
          <w:tcPr>
            <w:tcW w:w="1136" w:type="dxa"/>
            <w:vMerge w:val="continue"/>
            <w:tcBorders>
              <w:top w:val="nil"/>
            </w:tcBorders>
            <w:vAlign w:val="top"/>
          </w:tcPr>
          <w:p w14:paraId="08F80838">
            <w:pPr>
              <w:rPr>
                <w:rFonts w:ascii="Arial"/>
                <w:sz w:val="21"/>
              </w:rPr>
            </w:pPr>
          </w:p>
        </w:tc>
        <w:tc>
          <w:tcPr>
            <w:tcW w:w="1136" w:type="dxa"/>
            <w:vMerge w:val="continue"/>
            <w:tcBorders>
              <w:top w:val="nil"/>
            </w:tcBorders>
            <w:vAlign w:val="top"/>
          </w:tcPr>
          <w:p w14:paraId="690F1F2D">
            <w:pPr>
              <w:rPr>
                <w:rFonts w:ascii="Arial"/>
                <w:sz w:val="21"/>
              </w:rPr>
            </w:pPr>
          </w:p>
        </w:tc>
        <w:tc>
          <w:tcPr>
            <w:tcW w:w="8806" w:type="dxa"/>
            <w:vMerge w:val="continue"/>
            <w:tcBorders>
              <w:top w:val="nil"/>
            </w:tcBorders>
            <w:vAlign w:val="top"/>
          </w:tcPr>
          <w:p w14:paraId="39CBCE29">
            <w:pPr>
              <w:rPr>
                <w:rFonts w:ascii="Arial"/>
                <w:sz w:val="21"/>
              </w:rPr>
            </w:pPr>
          </w:p>
        </w:tc>
        <w:tc>
          <w:tcPr>
            <w:tcW w:w="1043" w:type="dxa"/>
            <w:vAlign w:val="top"/>
          </w:tcPr>
          <w:p w14:paraId="52541DE7">
            <w:pPr>
              <w:pStyle w:val="8"/>
              <w:spacing w:before="88" w:line="219" w:lineRule="auto"/>
              <w:ind w:left="171"/>
            </w:pPr>
            <w:r>
              <w:rPr>
                <w:b/>
                <w:bCs/>
                <w:spacing w:val="-5"/>
              </w:rPr>
              <w:t>责任部门</w:t>
            </w:r>
          </w:p>
        </w:tc>
        <w:tc>
          <w:tcPr>
            <w:tcW w:w="1448" w:type="dxa"/>
            <w:vAlign w:val="top"/>
          </w:tcPr>
          <w:p w14:paraId="0C88B157">
            <w:pPr>
              <w:pStyle w:val="8"/>
              <w:spacing w:before="88" w:line="219" w:lineRule="auto"/>
              <w:ind w:left="187"/>
            </w:pPr>
            <w:r>
              <w:rPr>
                <w:b/>
                <w:bCs/>
                <w:spacing w:val="-3"/>
              </w:rPr>
              <w:t>第一责任层级</w:t>
            </w:r>
          </w:p>
        </w:tc>
        <w:tc>
          <w:tcPr>
            <w:tcW w:w="1047" w:type="dxa"/>
            <w:vAlign w:val="top"/>
          </w:tcPr>
          <w:p w14:paraId="7D28FE66">
            <w:pPr>
              <w:pStyle w:val="8"/>
              <w:spacing w:before="88" w:line="219" w:lineRule="auto"/>
              <w:ind w:left="165"/>
            </w:pPr>
            <w:r>
              <w:rPr>
                <w:b/>
                <w:bCs/>
                <w:spacing w:val="-4"/>
              </w:rPr>
              <w:t>承办机构</w:t>
            </w:r>
          </w:p>
        </w:tc>
      </w:tr>
      <w:tr w14:paraId="3504E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5" w:hRule="atLeast"/>
        </w:trPr>
        <w:tc>
          <w:tcPr>
            <w:tcW w:w="641" w:type="dxa"/>
            <w:vAlign w:val="top"/>
          </w:tcPr>
          <w:p w14:paraId="69C98BF7">
            <w:pPr>
              <w:spacing w:line="252" w:lineRule="auto"/>
              <w:rPr>
                <w:rFonts w:ascii="Arial"/>
                <w:sz w:val="21"/>
              </w:rPr>
            </w:pPr>
          </w:p>
          <w:p w14:paraId="4C71EF7D">
            <w:pPr>
              <w:spacing w:line="253" w:lineRule="auto"/>
              <w:rPr>
                <w:rFonts w:ascii="Arial"/>
                <w:sz w:val="21"/>
              </w:rPr>
            </w:pPr>
          </w:p>
          <w:p w14:paraId="457F6597">
            <w:pPr>
              <w:spacing w:line="253" w:lineRule="auto"/>
              <w:rPr>
                <w:rFonts w:ascii="Arial"/>
                <w:sz w:val="21"/>
              </w:rPr>
            </w:pPr>
          </w:p>
          <w:p w14:paraId="0DD83E71">
            <w:pPr>
              <w:spacing w:line="253" w:lineRule="auto"/>
              <w:rPr>
                <w:rFonts w:ascii="Arial"/>
                <w:sz w:val="21"/>
              </w:rPr>
            </w:pPr>
          </w:p>
          <w:p w14:paraId="53ABE782">
            <w:pPr>
              <w:spacing w:line="253" w:lineRule="auto"/>
              <w:rPr>
                <w:rFonts w:ascii="Arial"/>
                <w:sz w:val="21"/>
              </w:rPr>
            </w:pPr>
          </w:p>
          <w:p w14:paraId="6D6F69A8">
            <w:pPr>
              <w:spacing w:line="253" w:lineRule="auto"/>
              <w:rPr>
                <w:rFonts w:ascii="Arial"/>
                <w:sz w:val="21"/>
              </w:rPr>
            </w:pPr>
          </w:p>
          <w:p w14:paraId="72D1B4FF">
            <w:pPr>
              <w:spacing w:line="253" w:lineRule="auto"/>
              <w:rPr>
                <w:rFonts w:ascii="Arial"/>
                <w:sz w:val="21"/>
              </w:rPr>
            </w:pPr>
          </w:p>
          <w:p w14:paraId="707CCCCE">
            <w:pPr>
              <w:spacing w:line="253" w:lineRule="auto"/>
              <w:rPr>
                <w:rFonts w:ascii="Arial"/>
                <w:sz w:val="21"/>
              </w:rPr>
            </w:pPr>
          </w:p>
          <w:p w14:paraId="38984192">
            <w:pPr>
              <w:spacing w:line="253" w:lineRule="auto"/>
              <w:rPr>
                <w:rFonts w:ascii="Arial"/>
                <w:sz w:val="21"/>
              </w:rPr>
            </w:pPr>
          </w:p>
          <w:p w14:paraId="154C5F1F">
            <w:pPr>
              <w:spacing w:line="253" w:lineRule="auto"/>
              <w:rPr>
                <w:rFonts w:ascii="Arial"/>
                <w:sz w:val="21"/>
              </w:rPr>
            </w:pPr>
          </w:p>
          <w:p w14:paraId="621402EA">
            <w:pPr>
              <w:pStyle w:val="8"/>
              <w:spacing w:before="59" w:line="183" w:lineRule="auto"/>
              <w:ind w:left="234"/>
            </w:pPr>
            <w:r>
              <w:rPr>
                <w:spacing w:val="-3"/>
              </w:rPr>
              <w:t>48</w:t>
            </w:r>
          </w:p>
        </w:tc>
        <w:tc>
          <w:tcPr>
            <w:tcW w:w="1136" w:type="dxa"/>
            <w:vAlign w:val="top"/>
          </w:tcPr>
          <w:p w14:paraId="2611EA3A">
            <w:pPr>
              <w:spacing w:line="278" w:lineRule="auto"/>
              <w:rPr>
                <w:rFonts w:ascii="Arial"/>
                <w:sz w:val="21"/>
              </w:rPr>
            </w:pPr>
          </w:p>
          <w:p w14:paraId="0B0FB218">
            <w:pPr>
              <w:spacing w:line="278" w:lineRule="auto"/>
              <w:rPr>
                <w:rFonts w:ascii="Arial"/>
                <w:sz w:val="21"/>
              </w:rPr>
            </w:pPr>
          </w:p>
          <w:p w14:paraId="0D145082">
            <w:pPr>
              <w:spacing w:line="278" w:lineRule="auto"/>
              <w:rPr>
                <w:rFonts w:ascii="Arial"/>
                <w:sz w:val="21"/>
              </w:rPr>
            </w:pPr>
          </w:p>
          <w:p w14:paraId="210227E0">
            <w:pPr>
              <w:spacing w:line="278" w:lineRule="auto"/>
              <w:rPr>
                <w:rFonts w:ascii="Arial"/>
                <w:sz w:val="21"/>
              </w:rPr>
            </w:pPr>
          </w:p>
          <w:p w14:paraId="20767AF7">
            <w:pPr>
              <w:spacing w:line="278" w:lineRule="auto"/>
              <w:rPr>
                <w:rFonts w:ascii="Arial"/>
                <w:sz w:val="21"/>
              </w:rPr>
            </w:pPr>
          </w:p>
          <w:p w14:paraId="620837CB">
            <w:pPr>
              <w:spacing w:line="279" w:lineRule="auto"/>
              <w:rPr>
                <w:rFonts w:ascii="Arial"/>
                <w:sz w:val="21"/>
              </w:rPr>
            </w:pPr>
          </w:p>
          <w:p w14:paraId="5251389D">
            <w:pPr>
              <w:pStyle w:val="8"/>
              <w:spacing w:before="59" w:line="243" w:lineRule="auto"/>
              <w:ind w:left="109" w:right="104"/>
              <w:jc w:val="both"/>
            </w:pPr>
            <w:r>
              <w:rPr>
                <w:spacing w:val="3"/>
              </w:rPr>
              <w:t>对将未经检</w:t>
            </w:r>
            <w:r>
              <w:rPr>
                <w:spacing w:val="1"/>
              </w:rPr>
              <w:t xml:space="preserve"> </w:t>
            </w:r>
            <w:r>
              <w:rPr>
                <w:spacing w:val="3"/>
              </w:rPr>
              <w:t>验合格的运</w:t>
            </w:r>
            <w:r>
              <w:rPr>
                <w:spacing w:val="1"/>
              </w:rPr>
              <w:t xml:space="preserve"> </w:t>
            </w:r>
            <w:r>
              <w:rPr>
                <w:spacing w:val="3"/>
              </w:rPr>
              <w:t>输危险化学</w:t>
            </w:r>
            <w:r>
              <w:rPr>
                <w:spacing w:val="1"/>
              </w:rPr>
              <w:t xml:space="preserve"> </w:t>
            </w:r>
            <w:r>
              <w:rPr>
                <w:spacing w:val="3"/>
              </w:rPr>
              <w:t>品的船舶及</w:t>
            </w:r>
            <w:r>
              <w:rPr>
                <w:spacing w:val="1"/>
              </w:rPr>
              <w:t xml:space="preserve"> </w:t>
            </w:r>
            <w:r>
              <w:rPr>
                <w:spacing w:val="3"/>
              </w:rPr>
              <w:t>其配载的容</w:t>
            </w:r>
            <w:r>
              <w:rPr>
                <w:spacing w:val="1"/>
              </w:rPr>
              <w:t xml:space="preserve"> </w:t>
            </w:r>
            <w:r>
              <w:rPr>
                <w:spacing w:val="3"/>
              </w:rPr>
              <w:t>器投入使用</w:t>
            </w:r>
            <w:r>
              <w:rPr>
                <w:spacing w:val="1"/>
              </w:rPr>
              <w:t xml:space="preserve"> </w:t>
            </w:r>
            <w:r>
              <w:rPr>
                <w:spacing w:val="3"/>
              </w:rPr>
              <w:t>行为的行政</w:t>
            </w:r>
            <w:r>
              <w:rPr>
                <w:spacing w:val="1"/>
              </w:rPr>
              <w:t xml:space="preserve"> </w:t>
            </w:r>
            <w:r>
              <w:rPr>
                <w:spacing w:val="-4"/>
              </w:rPr>
              <w:t>处罚</w:t>
            </w:r>
          </w:p>
        </w:tc>
        <w:tc>
          <w:tcPr>
            <w:tcW w:w="1136" w:type="dxa"/>
            <w:vAlign w:val="top"/>
          </w:tcPr>
          <w:p w14:paraId="6B8E2BEF">
            <w:pPr>
              <w:spacing w:line="250" w:lineRule="auto"/>
              <w:rPr>
                <w:rFonts w:ascii="Arial"/>
                <w:sz w:val="21"/>
              </w:rPr>
            </w:pPr>
          </w:p>
          <w:p w14:paraId="2AD3825B">
            <w:pPr>
              <w:spacing w:line="250" w:lineRule="auto"/>
              <w:rPr>
                <w:rFonts w:ascii="Arial"/>
                <w:sz w:val="21"/>
              </w:rPr>
            </w:pPr>
          </w:p>
          <w:p w14:paraId="478E17D4">
            <w:pPr>
              <w:spacing w:line="250" w:lineRule="auto"/>
              <w:rPr>
                <w:rFonts w:ascii="Arial"/>
                <w:sz w:val="21"/>
              </w:rPr>
            </w:pPr>
          </w:p>
          <w:p w14:paraId="5D07DA94">
            <w:pPr>
              <w:spacing w:line="250" w:lineRule="auto"/>
              <w:rPr>
                <w:rFonts w:ascii="Arial"/>
                <w:sz w:val="21"/>
              </w:rPr>
            </w:pPr>
          </w:p>
          <w:p w14:paraId="52AB8010">
            <w:pPr>
              <w:spacing w:line="250" w:lineRule="auto"/>
              <w:rPr>
                <w:rFonts w:ascii="Arial"/>
                <w:sz w:val="21"/>
              </w:rPr>
            </w:pPr>
          </w:p>
          <w:p w14:paraId="6B8C78CB">
            <w:pPr>
              <w:spacing w:line="250" w:lineRule="auto"/>
              <w:rPr>
                <w:rFonts w:ascii="Arial"/>
                <w:sz w:val="21"/>
              </w:rPr>
            </w:pPr>
          </w:p>
          <w:p w14:paraId="762386CE">
            <w:pPr>
              <w:spacing w:line="250" w:lineRule="auto"/>
              <w:rPr>
                <w:rFonts w:ascii="Arial"/>
                <w:sz w:val="21"/>
              </w:rPr>
            </w:pPr>
          </w:p>
          <w:p w14:paraId="6743427A">
            <w:pPr>
              <w:spacing w:line="250" w:lineRule="auto"/>
              <w:rPr>
                <w:rFonts w:ascii="Arial"/>
                <w:sz w:val="21"/>
              </w:rPr>
            </w:pPr>
          </w:p>
          <w:p w14:paraId="40F1F563">
            <w:pPr>
              <w:spacing w:line="250" w:lineRule="auto"/>
              <w:rPr>
                <w:rFonts w:ascii="Arial"/>
                <w:sz w:val="21"/>
              </w:rPr>
            </w:pPr>
          </w:p>
          <w:p w14:paraId="3DCD35CF">
            <w:pPr>
              <w:spacing w:line="251" w:lineRule="auto"/>
              <w:rPr>
                <w:rFonts w:ascii="Arial"/>
                <w:sz w:val="21"/>
              </w:rPr>
            </w:pPr>
          </w:p>
          <w:p w14:paraId="3CC984AA">
            <w:pPr>
              <w:pStyle w:val="8"/>
              <w:spacing w:before="59" w:line="220" w:lineRule="auto"/>
              <w:ind w:left="114"/>
            </w:pPr>
            <w:r>
              <w:rPr>
                <w:spacing w:val="-7"/>
              </w:rPr>
              <w:t>行政处罚</w:t>
            </w:r>
          </w:p>
        </w:tc>
        <w:tc>
          <w:tcPr>
            <w:tcW w:w="8806" w:type="dxa"/>
            <w:vAlign w:val="top"/>
          </w:tcPr>
          <w:p w14:paraId="2405402E">
            <w:pPr>
              <w:pStyle w:val="8"/>
              <w:spacing w:before="175" w:line="219" w:lineRule="auto"/>
              <w:ind w:left="483"/>
            </w:pPr>
            <w:r>
              <w:rPr>
                <w:b/>
                <w:bCs/>
                <w:spacing w:val="-5"/>
              </w:rPr>
              <w:t>1.《危险化学品安全管理条例》</w:t>
            </w:r>
          </w:p>
          <w:p w14:paraId="65CEFD23">
            <w:pPr>
              <w:pStyle w:val="8"/>
              <w:spacing w:before="26" w:line="237" w:lineRule="auto"/>
              <w:ind w:left="110" w:right="103" w:firstLine="355"/>
              <w:jc w:val="both"/>
            </w:pPr>
            <w:r>
              <w:rPr>
                <w:spacing w:val="-3"/>
              </w:rPr>
              <w:t>第十八条  生产列入国家实行生产许可证制度的工业产品目录的危险化学品包装物、容器的企业， 应当依</w:t>
            </w:r>
            <w:r>
              <w:rPr>
                <w:spacing w:val="5"/>
              </w:rPr>
              <w:t xml:space="preserve"> </w:t>
            </w:r>
            <w:r>
              <w:rPr>
                <w:spacing w:val="-3"/>
              </w:rPr>
              <w:t>照《中华人民共和国工业产品生产许可证管理条例》的规定，取得工业产品生产许可证；其生产的危险化学品</w:t>
            </w:r>
            <w:r>
              <w:rPr>
                <w:spacing w:val="3"/>
              </w:rPr>
              <w:t xml:space="preserve"> </w:t>
            </w:r>
            <w:r>
              <w:rPr>
                <w:spacing w:val="-2"/>
              </w:rPr>
              <w:t>包装物、容器 经国务院质量监督检验检疫部门认定的</w:t>
            </w:r>
            <w:r>
              <w:rPr>
                <w:spacing w:val="-3"/>
              </w:rPr>
              <w:t>检验机构检验合格，方可出厂销售。</w:t>
            </w:r>
          </w:p>
          <w:p w14:paraId="63BD3EF9">
            <w:pPr>
              <w:pStyle w:val="8"/>
              <w:spacing w:before="25" w:line="233" w:lineRule="auto"/>
              <w:ind w:left="110" w:right="153" w:firstLine="355"/>
            </w:pPr>
            <w:r>
              <w:rPr>
                <w:spacing w:val="-2"/>
              </w:rPr>
              <w:t>运输危险化学品的船舶及其配载的容器，应当按照国家船舶检验规范进行生产，并经海</w:t>
            </w:r>
            <w:r>
              <w:rPr>
                <w:spacing w:val="-3"/>
              </w:rPr>
              <w:t>事管理机构认定的</w:t>
            </w:r>
            <w:r>
              <w:t xml:space="preserve"> </w:t>
            </w:r>
            <w:r>
              <w:rPr>
                <w:spacing w:val="-3"/>
              </w:rPr>
              <w:t>船舶检 验机构检验合格，方可投入使用。</w:t>
            </w:r>
          </w:p>
          <w:p w14:paraId="29A37AC0">
            <w:pPr>
              <w:pStyle w:val="8"/>
              <w:spacing w:before="26" w:line="233" w:lineRule="auto"/>
              <w:ind w:left="121" w:right="103" w:firstLine="347"/>
            </w:pPr>
            <w:r>
              <w:rPr>
                <w:spacing w:val="-3"/>
              </w:rPr>
              <w:t>对重复使用的危险化学品包装物、容器， 使用单位在重复使用前应当进行检查；发现存在安全隐患的</w:t>
            </w:r>
            <w:r>
              <w:rPr>
                <w:spacing w:val="-4"/>
              </w:rPr>
              <w:t>，应</w:t>
            </w:r>
            <w:r>
              <w:t xml:space="preserve"> </w:t>
            </w:r>
            <w:r>
              <w:rPr>
                <w:spacing w:val="-2"/>
              </w:rPr>
              <w:t>当维修 或者更换。使用单位应当对检查情况作出记录，</w:t>
            </w:r>
            <w:r>
              <w:rPr>
                <w:spacing w:val="-3"/>
              </w:rPr>
              <w:t>记录的保存期限不得少于2年。</w:t>
            </w:r>
          </w:p>
          <w:p w14:paraId="440A86C7">
            <w:pPr>
              <w:pStyle w:val="8"/>
              <w:spacing w:before="26" w:line="237" w:lineRule="auto"/>
              <w:ind w:left="109" w:right="181" w:firstLine="355"/>
            </w:pPr>
            <w:r>
              <w:rPr>
                <w:spacing w:val="-3"/>
              </w:rPr>
              <w:t>第七十九条  危险化学品包装物、容器生产企业销售未经检验或者经检验不合格的危险化学品包装物、容</w:t>
            </w:r>
            <w:r>
              <w:rPr>
                <w:spacing w:val="13"/>
              </w:rPr>
              <w:t xml:space="preserve"> </w:t>
            </w:r>
            <w:r>
              <w:rPr>
                <w:spacing w:val="-3"/>
              </w:rPr>
              <w:t>器的，由质量监督检验检疫部门责令改正，处10万元以上20万元以下的罚款，有违法所得的，没收违法所得；</w:t>
            </w:r>
            <w:r>
              <w:rPr>
                <w:spacing w:val="18"/>
              </w:rPr>
              <w:t xml:space="preserve"> </w:t>
            </w:r>
            <w:r>
              <w:rPr>
                <w:spacing w:val="-2"/>
              </w:rPr>
              <w:t>拒不改正的，责令停产停业整顿；构成犯罪的，依法追究刑事</w:t>
            </w:r>
            <w:r>
              <w:rPr>
                <w:spacing w:val="-3"/>
              </w:rPr>
              <w:t>责任。</w:t>
            </w:r>
          </w:p>
          <w:p w14:paraId="13D0BDA5">
            <w:pPr>
              <w:pStyle w:val="8"/>
              <w:spacing w:before="26" w:line="235" w:lineRule="auto"/>
              <w:ind w:left="114" w:right="153" w:firstLine="350"/>
            </w:pPr>
            <w:r>
              <w:rPr>
                <w:spacing w:val="-2"/>
              </w:rPr>
              <w:t>将未经检验合格的运输危险化学品的船舶及其配载的容器投入使用的，由海事管理机构依</w:t>
            </w:r>
            <w:r>
              <w:rPr>
                <w:spacing w:val="-3"/>
              </w:rPr>
              <w:t>照前款规定予以</w:t>
            </w:r>
            <w:r>
              <w:t xml:space="preserve"> </w:t>
            </w:r>
            <w:r>
              <w:rPr>
                <w:spacing w:val="-5"/>
              </w:rPr>
              <w:t>处罚。</w:t>
            </w:r>
          </w:p>
          <w:p w14:paraId="0711A452">
            <w:pPr>
              <w:pStyle w:val="8"/>
              <w:spacing w:before="22" w:line="219" w:lineRule="auto"/>
              <w:ind w:left="472"/>
            </w:pPr>
            <w:r>
              <w:rPr>
                <w:b/>
                <w:bCs/>
                <w:spacing w:val="-4"/>
              </w:rPr>
              <w:t>2.《中华人民共和国内河交通安全管理条例》</w:t>
            </w:r>
          </w:p>
          <w:p w14:paraId="48608E7A">
            <w:pPr>
              <w:pStyle w:val="8"/>
              <w:spacing w:before="25" w:line="233" w:lineRule="auto"/>
              <w:ind w:left="114" w:right="156" w:firstLine="350"/>
            </w:pPr>
            <w:r>
              <w:rPr>
                <w:spacing w:val="-2"/>
              </w:rPr>
              <w:t>第三十一条  载运危险货物的船舶，必须持有经海事管理机构认可的船舶检验机构依法</w:t>
            </w:r>
            <w:r>
              <w:rPr>
                <w:spacing w:val="-3"/>
              </w:rPr>
              <w:t>检验并颁发的危险</w:t>
            </w:r>
            <w:r>
              <w:t xml:space="preserve"> </w:t>
            </w:r>
            <w:r>
              <w:rPr>
                <w:spacing w:val="-2"/>
              </w:rPr>
              <w:t>货物适装证书，并按照国家有关危险货物运输的规定和安全技术规</w:t>
            </w:r>
            <w:r>
              <w:rPr>
                <w:spacing w:val="-3"/>
              </w:rPr>
              <w:t>范进行配载和运输。</w:t>
            </w:r>
          </w:p>
          <w:p w14:paraId="0A442DDC">
            <w:pPr>
              <w:pStyle w:val="8"/>
              <w:spacing w:before="27" w:line="219" w:lineRule="auto"/>
              <w:ind w:left="474"/>
            </w:pPr>
            <w:r>
              <w:rPr>
                <w:b/>
                <w:bCs/>
                <w:spacing w:val="-3"/>
              </w:rPr>
              <w:t>3.《中华人民共和国内河海事行政处罚规定》（交通运输部令20</w:t>
            </w:r>
            <w:r>
              <w:rPr>
                <w:b/>
                <w:bCs/>
                <w:spacing w:val="-4"/>
              </w:rPr>
              <w:t>22年第28号）</w:t>
            </w:r>
          </w:p>
          <w:p w14:paraId="6323F588">
            <w:pPr>
              <w:pStyle w:val="8"/>
              <w:spacing w:before="28" w:line="239" w:lineRule="auto"/>
              <w:ind w:left="110" w:right="59" w:firstLine="357"/>
              <w:jc w:val="both"/>
            </w:pPr>
            <w:r>
              <w:rPr>
                <w:spacing w:val="-4"/>
              </w:rPr>
              <w:t>第二十三条  违反《内河交通安全管理条例》第三十一条、《危险化学品安全管理条例》第十八条的规定，</w:t>
            </w:r>
            <w:r>
              <w:rPr>
                <w:spacing w:val="4"/>
              </w:rPr>
              <w:t xml:space="preserve"> </w:t>
            </w:r>
            <w:r>
              <w:rPr>
                <w:spacing w:val="-2"/>
              </w:rPr>
              <w:t>运输危险化学品的船舶及其配载的容器未经检验合格而投入使用的，依照《危险化学品安</w:t>
            </w:r>
            <w:r>
              <w:rPr>
                <w:spacing w:val="-3"/>
              </w:rPr>
              <w:t>全管理条例》第七十</w:t>
            </w:r>
            <w:r>
              <w:t xml:space="preserve">  </w:t>
            </w:r>
            <w:r>
              <w:rPr>
                <w:spacing w:val="-2"/>
              </w:rPr>
              <w:t>九条的规定，责令改正，对船舶所有人或者经营人处以10万元以上20万元以下的罚款，有违法所得的，没</w:t>
            </w:r>
            <w:r>
              <w:rPr>
                <w:spacing w:val="-3"/>
              </w:rPr>
              <w:t>收违</w:t>
            </w:r>
            <w:r>
              <w:t xml:space="preserve">  </w:t>
            </w:r>
            <w:r>
              <w:rPr>
                <w:spacing w:val="-3"/>
              </w:rPr>
              <w:t>法所得；拒不改正 的，责令停航整顿。</w:t>
            </w:r>
          </w:p>
        </w:tc>
        <w:tc>
          <w:tcPr>
            <w:tcW w:w="1043" w:type="dxa"/>
            <w:vAlign w:val="top"/>
          </w:tcPr>
          <w:p w14:paraId="70B453E1">
            <w:pPr>
              <w:spacing w:line="265" w:lineRule="auto"/>
              <w:rPr>
                <w:rFonts w:ascii="Arial"/>
                <w:sz w:val="21"/>
              </w:rPr>
            </w:pPr>
          </w:p>
          <w:p w14:paraId="30240CA8">
            <w:pPr>
              <w:spacing w:line="265" w:lineRule="auto"/>
              <w:rPr>
                <w:rFonts w:ascii="Arial"/>
                <w:sz w:val="21"/>
              </w:rPr>
            </w:pPr>
          </w:p>
          <w:p w14:paraId="1B7F7AC8">
            <w:pPr>
              <w:spacing w:line="265" w:lineRule="auto"/>
              <w:rPr>
                <w:rFonts w:ascii="Arial"/>
                <w:sz w:val="21"/>
              </w:rPr>
            </w:pPr>
          </w:p>
          <w:p w14:paraId="10B504CD">
            <w:pPr>
              <w:spacing w:line="266" w:lineRule="auto"/>
              <w:rPr>
                <w:rFonts w:ascii="Arial"/>
                <w:sz w:val="21"/>
              </w:rPr>
            </w:pPr>
          </w:p>
          <w:p w14:paraId="76B80340">
            <w:pPr>
              <w:spacing w:line="266" w:lineRule="auto"/>
              <w:rPr>
                <w:rFonts w:ascii="Arial"/>
                <w:sz w:val="21"/>
              </w:rPr>
            </w:pPr>
          </w:p>
          <w:p w14:paraId="578A387F">
            <w:pPr>
              <w:spacing w:line="266" w:lineRule="auto"/>
              <w:rPr>
                <w:rFonts w:ascii="Arial"/>
                <w:sz w:val="21"/>
              </w:rPr>
            </w:pPr>
          </w:p>
          <w:p w14:paraId="39585BF8">
            <w:pPr>
              <w:spacing w:line="266" w:lineRule="auto"/>
              <w:rPr>
                <w:rFonts w:ascii="Arial"/>
                <w:sz w:val="21"/>
              </w:rPr>
            </w:pPr>
          </w:p>
          <w:p w14:paraId="79A0C474">
            <w:pPr>
              <w:spacing w:line="266" w:lineRule="auto"/>
              <w:rPr>
                <w:rFonts w:ascii="Arial"/>
                <w:sz w:val="21"/>
              </w:rPr>
            </w:pPr>
          </w:p>
          <w:p w14:paraId="00B8641D">
            <w:pPr>
              <w:spacing w:line="266" w:lineRule="auto"/>
              <w:rPr>
                <w:rFonts w:ascii="Arial"/>
                <w:sz w:val="21"/>
              </w:rPr>
            </w:pPr>
          </w:p>
          <w:p w14:paraId="52F5B427">
            <w:pPr>
              <w:pStyle w:val="8"/>
              <w:spacing w:before="59" w:line="224" w:lineRule="auto"/>
              <w:ind w:left="183" w:right="166" w:firstLine="2"/>
            </w:pPr>
            <w:r>
              <w:rPr>
                <w:spacing w:val="-9"/>
              </w:rPr>
              <w:t>交通运输</w:t>
            </w:r>
            <w:r>
              <w:t xml:space="preserve"> </w:t>
            </w:r>
            <w:r>
              <w:rPr>
                <w:spacing w:val="-9"/>
              </w:rPr>
              <w:t>主管部门</w:t>
            </w:r>
          </w:p>
        </w:tc>
        <w:tc>
          <w:tcPr>
            <w:tcW w:w="1448" w:type="dxa"/>
            <w:vAlign w:val="top"/>
          </w:tcPr>
          <w:p w14:paraId="3773FFBF">
            <w:pPr>
              <w:spacing w:line="250" w:lineRule="auto"/>
              <w:rPr>
                <w:rFonts w:ascii="Arial"/>
                <w:sz w:val="21"/>
              </w:rPr>
            </w:pPr>
          </w:p>
          <w:p w14:paraId="2DF819D5">
            <w:pPr>
              <w:spacing w:line="250" w:lineRule="auto"/>
              <w:rPr>
                <w:rFonts w:ascii="Arial"/>
                <w:sz w:val="21"/>
              </w:rPr>
            </w:pPr>
          </w:p>
          <w:p w14:paraId="3E9EA99D">
            <w:pPr>
              <w:spacing w:line="250" w:lineRule="auto"/>
              <w:rPr>
                <w:rFonts w:ascii="Arial"/>
                <w:sz w:val="21"/>
              </w:rPr>
            </w:pPr>
          </w:p>
          <w:p w14:paraId="0CBBBD6F">
            <w:pPr>
              <w:spacing w:line="250" w:lineRule="auto"/>
              <w:rPr>
                <w:rFonts w:ascii="Arial"/>
                <w:sz w:val="21"/>
              </w:rPr>
            </w:pPr>
          </w:p>
          <w:p w14:paraId="19AF9854">
            <w:pPr>
              <w:spacing w:line="250" w:lineRule="auto"/>
              <w:rPr>
                <w:rFonts w:ascii="Arial"/>
                <w:sz w:val="21"/>
              </w:rPr>
            </w:pPr>
          </w:p>
          <w:p w14:paraId="05FAB09E">
            <w:pPr>
              <w:spacing w:line="250" w:lineRule="auto"/>
              <w:rPr>
                <w:rFonts w:ascii="Arial"/>
                <w:sz w:val="21"/>
              </w:rPr>
            </w:pPr>
          </w:p>
          <w:p w14:paraId="1D619ECB">
            <w:pPr>
              <w:spacing w:line="250" w:lineRule="auto"/>
              <w:rPr>
                <w:rFonts w:ascii="Arial"/>
                <w:sz w:val="21"/>
              </w:rPr>
            </w:pPr>
          </w:p>
          <w:p w14:paraId="157B20A9">
            <w:pPr>
              <w:spacing w:line="250" w:lineRule="auto"/>
              <w:rPr>
                <w:rFonts w:ascii="Arial"/>
                <w:sz w:val="21"/>
              </w:rPr>
            </w:pPr>
          </w:p>
          <w:p w14:paraId="07CB6ED1">
            <w:pPr>
              <w:spacing w:line="250" w:lineRule="auto"/>
              <w:rPr>
                <w:rFonts w:ascii="Arial"/>
                <w:sz w:val="21"/>
              </w:rPr>
            </w:pPr>
          </w:p>
          <w:p w14:paraId="25EF83A6">
            <w:pPr>
              <w:spacing w:line="251" w:lineRule="auto"/>
              <w:rPr>
                <w:rFonts w:ascii="Arial"/>
                <w:sz w:val="21"/>
              </w:rPr>
            </w:pPr>
          </w:p>
          <w:p w14:paraId="260FA854">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88F9D29">
            <w:pPr>
              <w:spacing w:line="268" w:lineRule="auto"/>
              <w:rPr>
                <w:rFonts w:ascii="Arial"/>
                <w:sz w:val="21"/>
              </w:rPr>
            </w:pPr>
          </w:p>
          <w:p w14:paraId="542617CB">
            <w:pPr>
              <w:spacing w:line="268" w:lineRule="auto"/>
              <w:rPr>
                <w:rFonts w:ascii="Arial"/>
                <w:sz w:val="21"/>
              </w:rPr>
            </w:pPr>
          </w:p>
          <w:p w14:paraId="1E44BBBF">
            <w:pPr>
              <w:spacing w:line="268" w:lineRule="auto"/>
              <w:rPr>
                <w:rFonts w:ascii="Arial"/>
                <w:sz w:val="21"/>
              </w:rPr>
            </w:pPr>
          </w:p>
          <w:p w14:paraId="3D4F4B12">
            <w:pPr>
              <w:spacing w:line="268" w:lineRule="auto"/>
              <w:rPr>
                <w:rFonts w:ascii="Arial"/>
                <w:sz w:val="21"/>
              </w:rPr>
            </w:pPr>
          </w:p>
          <w:p w14:paraId="370F1208">
            <w:pPr>
              <w:spacing w:line="268" w:lineRule="auto"/>
              <w:rPr>
                <w:rFonts w:ascii="Arial"/>
                <w:sz w:val="21"/>
              </w:rPr>
            </w:pPr>
          </w:p>
          <w:p w14:paraId="16096EC6">
            <w:pPr>
              <w:spacing w:line="268" w:lineRule="auto"/>
              <w:rPr>
                <w:rFonts w:ascii="Arial"/>
                <w:sz w:val="21"/>
              </w:rPr>
            </w:pPr>
          </w:p>
          <w:p w14:paraId="30A3C094">
            <w:pPr>
              <w:spacing w:line="268" w:lineRule="auto"/>
              <w:rPr>
                <w:rFonts w:ascii="Arial"/>
                <w:sz w:val="21"/>
              </w:rPr>
            </w:pPr>
          </w:p>
          <w:p w14:paraId="0BE2DF0F">
            <w:pPr>
              <w:spacing w:line="268" w:lineRule="auto"/>
              <w:rPr>
                <w:rFonts w:ascii="Arial"/>
                <w:sz w:val="21"/>
              </w:rPr>
            </w:pPr>
          </w:p>
          <w:p w14:paraId="0FC3C0C1">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0BB08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6" w:hRule="atLeast"/>
        </w:trPr>
        <w:tc>
          <w:tcPr>
            <w:tcW w:w="641" w:type="dxa"/>
            <w:vAlign w:val="top"/>
          </w:tcPr>
          <w:p w14:paraId="4BE4C12F">
            <w:pPr>
              <w:spacing w:line="272" w:lineRule="auto"/>
              <w:rPr>
                <w:rFonts w:ascii="Arial"/>
                <w:sz w:val="21"/>
              </w:rPr>
            </w:pPr>
          </w:p>
          <w:p w14:paraId="1435677B">
            <w:pPr>
              <w:spacing w:line="272" w:lineRule="auto"/>
              <w:rPr>
                <w:rFonts w:ascii="Arial"/>
                <w:sz w:val="21"/>
              </w:rPr>
            </w:pPr>
          </w:p>
          <w:p w14:paraId="4B361C70">
            <w:pPr>
              <w:spacing w:line="273" w:lineRule="auto"/>
              <w:rPr>
                <w:rFonts w:ascii="Arial"/>
                <w:sz w:val="21"/>
              </w:rPr>
            </w:pPr>
          </w:p>
          <w:p w14:paraId="7906C193">
            <w:pPr>
              <w:spacing w:line="273" w:lineRule="auto"/>
              <w:rPr>
                <w:rFonts w:ascii="Arial"/>
                <w:sz w:val="21"/>
              </w:rPr>
            </w:pPr>
          </w:p>
          <w:p w14:paraId="0B49AEB2">
            <w:pPr>
              <w:spacing w:line="273" w:lineRule="auto"/>
              <w:rPr>
                <w:rFonts w:ascii="Arial"/>
                <w:sz w:val="21"/>
              </w:rPr>
            </w:pPr>
          </w:p>
          <w:p w14:paraId="3FD6FDD9">
            <w:pPr>
              <w:spacing w:line="273" w:lineRule="auto"/>
              <w:rPr>
                <w:rFonts w:ascii="Arial"/>
                <w:sz w:val="21"/>
              </w:rPr>
            </w:pPr>
          </w:p>
          <w:p w14:paraId="017965EA">
            <w:pPr>
              <w:pStyle w:val="8"/>
              <w:spacing w:before="58" w:line="183" w:lineRule="auto"/>
              <w:ind w:left="234"/>
            </w:pPr>
            <w:r>
              <w:rPr>
                <w:spacing w:val="-3"/>
              </w:rPr>
              <w:t>49</w:t>
            </w:r>
          </w:p>
        </w:tc>
        <w:tc>
          <w:tcPr>
            <w:tcW w:w="1136" w:type="dxa"/>
            <w:vAlign w:val="top"/>
          </w:tcPr>
          <w:p w14:paraId="57C2EF48">
            <w:pPr>
              <w:spacing w:line="252" w:lineRule="auto"/>
              <w:rPr>
                <w:rFonts w:ascii="Arial"/>
                <w:sz w:val="21"/>
              </w:rPr>
            </w:pPr>
          </w:p>
          <w:p w14:paraId="179DD8CA">
            <w:pPr>
              <w:spacing w:line="252" w:lineRule="auto"/>
              <w:rPr>
                <w:rFonts w:ascii="Arial"/>
                <w:sz w:val="21"/>
              </w:rPr>
            </w:pPr>
          </w:p>
          <w:p w14:paraId="69D8FEB7">
            <w:pPr>
              <w:spacing w:line="253" w:lineRule="auto"/>
              <w:rPr>
                <w:rFonts w:ascii="Arial"/>
                <w:sz w:val="21"/>
              </w:rPr>
            </w:pPr>
          </w:p>
          <w:p w14:paraId="4B3DC6A6">
            <w:pPr>
              <w:spacing w:line="253" w:lineRule="auto"/>
              <w:rPr>
                <w:rFonts w:ascii="Arial"/>
                <w:sz w:val="21"/>
              </w:rPr>
            </w:pPr>
          </w:p>
          <w:p w14:paraId="6823F1E4">
            <w:pPr>
              <w:pStyle w:val="8"/>
              <w:spacing w:before="59" w:line="242" w:lineRule="auto"/>
              <w:ind w:left="109" w:right="109"/>
              <w:jc w:val="both"/>
            </w:pPr>
            <w:r>
              <w:rPr>
                <w:spacing w:val="2"/>
              </w:rPr>
              <w:t>对危险货物</w:t>
            </w:r>
            <w:r>
              <w:rPr>
                <w:spacing w:val="1"/>
              </w:rPr>
              <w:t xml:space="preserve"> </w:t>
            </w:r>
            <w:r>
              <w:rPr>
                <w:spacing w:val="2"/>
              </w:rPr>
              <w:t>水路运输企</w:t>
            </w:r>
            <w:r>
              <w:rPr>
                <w:spacing w:val="1"/>
              </w:rPr>
              <w:t xml:space="preserve"> </w:t>
            </w:r>
            <w:r>
              <w:rPr>
                <w:spacing w:val="2"/>
              </w:rPr>
              <w:t>业的船员未</w:t>
            </w:r>
            <w:r>
              <w:rPr>
                <w:spacing w:val="1"/>
              </w:rPr>
              <w:t xml:space="preserve"> </w:t>
            </w:r>
            <w:r>
              <w:rPr>
                <w:spacing w:val="2"/>
              </w:rPr>
              <w:t>取得特殊培</w:t>
            </w:r>
            <w:r>
              <w:rPr>
                <w:spacing w:val="1"/>
              </w:rPr>
              <w:t xml:space="preserve"> </w:t>
            </w:r>
            <w:r>
              <w:rPr>
                <w:spacing w:val="2"/>
              </w:rPr>
              <w:t>训合格证的</w:t>
            </w:r>
            <w:r>
              <w:rPr>
                <w:spacing w:val="1"/>
              </w:rPr>
              <w:t xml:space="preserve"> </w:t>
            </w:r>
            <w:r>
              <w:rPr>
                <w:spacing w:val="-2"/>
              </w:rPr>
              <w:t>行政处罚</w:t>
            </w:r>
          </w:p>
        </w:tc>
        <w:tc>
          <w:tcPr>
            <w:tcW w:w="1136" w:type="dxa"/>
            <w:vAlign w:val="top"/>
          </w:tcPr>
          <w:p w14:paraId="6721B31D">
            <w:pPr>
              <w:spacing w:line="267" w:lineRule="auto"/>
              <w:rPr>
                <w:rFonts w:ascii="Arial"/>
                <w:sz w:val="21"/>
              </w:rPr>
            </w:pPr>
          </w:p>
          <w:p w14:paraId="636E855E">
            <w:pPr>
              <w:spacing w:line="268" w:lineRule="auto"/>
              <w:rPr>
                <w:rFonts w:ascii="Arial"/>
                <w:sz w:val="21"/>
              </w:rPr>
            </w:pPr>
          </w:p>
          <w:p w14:paraId="0F86EC3F">
            <w:pPr>
              <w:spacing w:line="268" w:lineRule="auto"/>
              <w:rPr>
                <w:rFonts w:ascii="Arial"/>
                <w:sz w:val="21"/>
              </w:rPr>
            </w:pPr>
          </w:p>
          <w:p w14:paraId="6CE1B0D7">
            <w:pPr>
              <w:spacing w:line="268" w:lineRule="auto"/>
              <w:rPr>
                <w:rFonts w:ascii="Arial"/>
                <w:sz w:val="21"/>
              </w:rPr>
            </w:pPr>
          </w:p>
          <w:p w14:paraId="479218AF">
            <w:pPr>
              <w:spacing w:line="268" w:lineRule="auto"/>
              <w:rPr>
                <w:rFonts w:ascii="Arial"/>
                <w:sz w:val="21"/>
              </w:rPr>
            </w:pPr>
          </w:p>
          <w:p w14:paraId="46B105C5">
            <w:pPr>
              <w:spacing w:line="268" w:lineRule="auto"/>
              <w:rPr>
                <w:rFonts w:ascii="Arial"/>
                <w:sz w:val="21"/>
              </w:rPr>
            </w:pPr>
          </w:p>
          <w:p w14:paraId="4AB81FA0">
            <w:pPr>
              <w:pStyle w:val="8"/>
              <w:spacing w:before="59" w:line="220" w:lineRule="auto"/>
              <w:ind w:left="114"/>
            </w:pPr>
            <w:r>
              <w:rPr>
                <w:spacing w:val="-7"/>
              </w:rPr>
              <w:t>行政处罚</w:t>
            </w:r>
          </w:p>
        </w:tc>
        <w:tc>
          <w:tcPr>
            <w:tcW w:w="8806" w:type="dxa"/>
            <w:vAlign w:val="top"/>
          </w:tcPr>
          <w:p w14:paraId="6E92FD54">
            <w:pPr>
              <w:pStyle w:val="8"/>
              <w:spacing w:before="66" w:line="219" w:lineRule="auto"/>
              <w:ind w:left="481"/>
            </w:pPr>
            <w:r>
              <w:rPr>
                <w:b/>
                <w:bCs/>
                <w:spacing w:val="-10"/>
              </w:rPr>
              <w:t>1.《危险化学品安全管理条例》</w:t>
            </w:r>
          </w:p>
          <w:p w14:paraId="5DD95DF1">
            <w:pPr>
              <w:pStyle w:val="8"/>
              <w:spacing w:before="57" w:line="268" w:lineRule="auto"/>
              <w:ind w:left="112" w:right="98" w:firstLine="356"/>
            </w:pPr>
            <w:r>
              <w:rPr>
                <w:spacing w:val="-8"/>
              </w:rPr>
              <w:t>第四十四条第一款</w:t>
            </w:r>
            <w:r>
              <w:rPr>
                <w:spacing w:val="73"/>
              </w:rPr>
              <w:t xml:space="preserve"> </w:t>
            </w:r>
            <w:r>
              <w:rPr>
                <w:spacing w:val="-8"/>
              </w:rPr>
              <w:t>危险化学品道路运输企业、水路运输企业的驾驶人员、船</w:t>
            </w:r>
            <w:r>
              <w:rPr>
                <w:spacing w:val="-9"/>
              </w:rPr>
              <w:t>员、装卸管理人员、押运人员、</w:t>
            </w:r>
            <w:r>
              <w:t xml:space="preserve"> </w:t>
            </w:r>
            <w:r>
              <w:rPr>
                <w:spacing w:val="-8"/>
              </w:rPr>
              <w:t>申报人员、集装箱装箱现场检查员应当经交通运输主管部门考核合格，取得从业资格。具</w:t>
            </w:r>
            <w:r>
              <w:rPr>
                <w:spacing w:val="-9"/>
              </w:rPr>
              <w:t>体办法由国务院交通运输</w:t>
            </w:r>
            <w:r>
              <w:t xml:space="preserve"> </w:t>
            </w:r>
            <w:r>
              <w:rPr>
                <w:spacing w:val="-8"/>
              </w:rPr>
              <w:t>主管部门制定。</w:t>
            </w:r>
          </w:p>
          <w:p w14:paraId="600B062C">
            <w:pPr>
              <w:pStyle w:val="8"/>
              <w:spacing w:before="26" w:line="271" w:lineRule="auto"/>
              <w:ind w:left="109" w:right="95" w:firstLine="358"/>
              <w:jc w:val="both"/>
            </w:pPr>
            <w:r>
              <w:rPr>
                <w:spacing w:val="-7"/>
              </w:rPr>
              <w:t>第八十六条第（一）项</w:t>
            </w:r>
            <w:r>
              <w:rPr>
                <w:spacing w:val="77"/>
              </w:rPr>
              <w:t xml:space="preserve"> </w:t>
            </w:r>
            <w:r>
              <w:rPr>
                <w:spacing w:val="-7"/>
              </w:rPr>
              <w:t>有下列情形之一的，由交通运输主管部门责令改正，处</w:t>
            </w:r>
            <w:r>
              <w:rPr>
                <w:spacing w:val="-41"/>
              </w:rPr>
              <w:t xml:space="preserve"> </w:t>
            </w:r>
            <w:r>
              <w:rPr>
                <w:spacing w:val="-7"/>
              </w:rPr>
              <w:t>5</w:t>
            </w:r>
            <w:r>
              <w:rPr>
                <w:spacing w:val="-36"/>
              </w:rPr>
              <w:t xml:space="preserve"> </w:t>
            </w:r>
            <w:r>
              <w:rPr>
                <w:spacing w:val="-7"/>
              </w:rPr>
              <w:t>万元以上</w:t>
            </w:r>
            <w:r>
              <w:rPr>
                <w:spacing w:val="-34"/>
              </w:rPr>
              <w:t xml:space="preserve"> </w:t>
            </w:r>
            <w:r>
              <w:rPr>
                <w:spacing w:val="-7"/>
              </w:rPr>
              <w:t>10</w:t>
            </w:r>
            <w:r>
              <w:rPr>
                <w:spacing w:val="-42"/>
              </w:rPr>
              <w:t xml:space="preserve"> </w:t>
            </w:r>
            <w:r>
              <w:rPr>
                <w:spacing w:val="-7"/>
              </w:rPr>
              <w:t>万元以下的罚</w:t>
            </w:r>
            <w:r>
              <w:t xml:space="preserve"> </w:t>
            </w:r>
            <w:r>
              <w:rPr>
                <w:spacing w:val="-7"/>
              </w:rPr>
              <w:t>款；拒不改正的，责令停产停业整顿；构成犯罪</w:t>
            </w:r>
            <w:r>
              <w:rPr>
                <w:spacing w:val="-8"/>
              </w:rPr>
              <w:t>的，依法追究刑事责任</w:t>
            </w:r>
            <w:r>
              <w:rPr>
                <w:spacing w:val="-23"/>
              </w:rPr>
              <w:t>：（</w:t>
            </w:r>
            <w:r>
              <w:rPr>
                <w:spacing w:val="-8"/>
              </w:rPr>
              <w:t>一）危险化学品道路运输企业、水路运</w:t>
            </w:r>
            <w:r>
              <w:t xml:space="preserve"> </w:t>
            </w:r>
            <w:r>
              <w:rPr>
                <w:spacing w:val="-8"/>
              </w:rPr>
              <w:t>输企业的驾驶人员、船员、装卸管理人员、押运人员、申报人员、集装箱装箱现场检查员未取</w:t>
            </w:r>
            <w:r>
              <w:rPr>
                <w:spacing w:val="-9"/>
              </w:rPr>
              <w:t>得从业资格上岗作业</w:t>
            </w:r>
            <w:r>
              <w:t xml:space="preserve"> </w:t>
            </w:r>
            <w:r>
              <w:rPr>
                <w:spacing w:val="-4"/>
              </w:rPr>
              <w:t>的。</w:t>
            </w:r>
          </w:p>
          <w:p w14:paraId="20BB9966">
            <w:pPr>
              <w:pStyle w:val="8"/>
              <w:spacing w:before="21" w:line="219" w:lineRule="auto"/>
              <w:ind w:left="470"/>
            </w:pPr>
            <w:r>
              <w:rPr>
                <w:b/>
                <w:bCs/>
                <w:spacing w:val="-9"/>
              </w:rPr>
              <w:t>2.《中华人民共和国内河海事行政处罚规定》（交通运输部令</w:t>
            </w:r>
            <w:r>
              <w:rPr>
                <w:spacing w:val="-27"/>
              </w:rPr>
              <w:t xml:space="preserve"> </w:t>
            </w:r>
            <w:r>
              <w:rPr>
                <w:b/>
                <w:bCs/>
                <w:spacing w:val="-9"/>
              </w:rPr>
              <w:t>2022</w:t>
            </w:r>
            <w:r>
              <w:rPr>
                <w:spacing w:val="-47"/>
              </w:rPr>
              <w:t xml:space="preserve"> </w:t>
            </w:r>
            <w:r>
              <w:rPr>
                <w:b/>
                <w:bCs/>
                <w:spacing w:val="-9"/>
              </w:rPr>
              <w:t>年第</w:t>
            </w:r>
            <w:r>
              <w:rPr>
                <w:spacing w:val="-45"/>
              </w:rPr>
              <w:t xml:space="preserve"> </w:t>
            </w:r>
            <w:r>
              <w:rPr>
                <w:b/>
                <w:bCs/>
                <w:spacing w:val="-9"/>
              </w:rPr>
              <w:t>28</w:t>
            </w:r>
            <w:r>
              <w:rPr>
                <w:spacing w:val="-42"/>
              </w:rPr>
              <w:t xml:space="preserve"> </w:t>
            </w:r>
            <w:r>
              <w:rPr>
                <w:b/>
                <w:bCs/>
                <w:spacing w:val="-9"/>
              </w:rPr>
              <w:t>号）</w:t>
            </w:r>
          </w:p>
          <w:p w14:paraId="54FC3575">
            <w:pPr>
              <w:pStyle w:val="8"/>
              <w:spacing w:before="56" w:line="259" w:lineRule="auto"/>
              <w:ind w:left="110" w:right="95" w:firstLine="360"/>
            </w:pPr>
            <w:r>
              <w:rPr>
                <w:spacing w:val="-8"/>
              </w:rPr>
              <w:t>第二十二条</w:t>
            </w:r>
            <w:r>
              <w:rPr>
                <w:spacing w:val="73"/>
              </w:rPr>
              <w:t xml:space="preserve"> </w:t>
            </w:r>
            <w:r>
              <w:rPr>
                <w:spacing w:val="-8"/>
              </w:rPr>
              <w:t>违反《危险化学品安全管理条例》第四十四条的规定，有下</w:t>
            </w:r>
            <w:r>
              <w:rPr>
                <w:spacing w:val="-9"/>
              </w:rPr>
              <w:t>列情形之一的，依照《危险化学品安</w:t>
            </w:r>
            <w:r>
              <w:t xml:space="preserve"> </w:t>
            </w:r>
            <w:r>
              <w:rPr>
                <w:spacing w:val="-7"/>
              </w:rPr>
              <w:t>全管理条例》第八十六条的规定，由海事管理机构责令改正，处以</w:t>
            </w:r>
            <w:r>
              <w:rPr>
                <w:spacing w:val="-35"/>
              </w:rPr>
              <w:t xml:space="preserve"> </w:t>
            </w:r>
            <w:r>
              <w:rPr>
                <w:spacing w:val="-7"/>
              </w:rPr>
              <w:t>5</w:t>
            </w:r>
            <w:r>
              <w:rPr>
                <w:spacing w:val="-39"/>
              </w:rPr>
              <w:t xml:space="preserve"> </w:t>
            </w:r>
            <w:r>
              <w:rPr>
                <w:spacing w:val="-7"/>
              </w:rPr>
              <w:t>万元以上</w:t>
            </w:r>
            <w:r>
              <w:rPr>
                <w:spacing w:val="-31"/>
              </w:rPr>
              <w:t xml:space="preserve"> </w:t>
            </w:r>
            <w:r>
              <w:rPr>
                <w:spacing w:val="-7"/>
              </w:rPr>
              <w:t>10</w:t>
            </w:r>
            <w:r>
              <w:rPr>
                <w:spacing w:val="-42"/>
              </w:rPr>
              <w:t xml:space="preserve"> </w:t>
            </w:r>
            <w:r>
              <w:rPr>
                <w:spacing w:val="-7"/>
              </w:rPr>
              <w:t>万元以下的罚款；拒不改正的，</w:t>
            </w:r>
            <w:r>
              <w:t xml:space="preserve"> </w:t>
            </w:r>
            <w:r>
              <w:rPr>
                <w:spacing w:val="-6"/>
              </w:rPr>
              <w:t>责令停航、停业整顿</w:t>
            </w:r>
            <w:r>
              <w:rPr>
                <w:spacing w:val="-26"/>
              </w:rPr>
              <w:t>：（</w:t>
            </w:r>
            <w:r>
              <w:rPr>
                <w:spacing w:val="-6"/>
              </w:rPr>
              <w:t>一）从事危险化学品运</w:t>
            </w:r>
            <w:r>
              <w:rPr>
                <w:spacing w:val="-7"/>
              </w:rPr>
              <w:t>输的船员未取得相应的船员适任证书和培训合格证明</w:t>
            </w:r>
            <w:r>
              <w:rPr>
                <w:spacing w:val="-26"/>
              </w:rPr>
              <w:t>；（</w:t>
            </w:r>
            <w:r>
              <w:rPr>
                <w:spacing w:val="-7"/>
              </w:rPr>
              <w:t>二）危险</w:t>
            </w:r>
            <w:r>
              <w:t xml:space="preserve"> </w:t>
            </w:r>
            <w:r>
              <w:rPr>
                <w:spacing w:val="-8"/>
              </w:rPr>
              <w:t>化学品运输申报人员、集装箱装箱现场检查员未取得从业资格。</w:t>
            </w:r>
          </w:p>
        </w:tc>
        <w:tc>
          <w:tcPr>
            <w:tcW w:w="1043" w:type="dxa"/>
            <w:vAlign w:val="top"/>
          </w:tcPr>
          <w:p w14:paraId="6F4A3A62">
            <w:pPr>
              <w:spacing w:line="247" w:lineRule="auto"/>
              <w:rPr>
                <w:rFonts w:ascii="Arial"/>
                <w:sz w:val="21"/>
              </w:rPr>
            </w:pPr>
          </w:p>
          <w:p w14:paraId="419EAC3B">
            <w:pPr>
              <w:spacing w:line="247" w:lineRule="auto"/>
              <w:rPr>
                <w:rFonts w:ascii="Arial"/>
                <w:sz w:val="21"/>
              </w:rPr>
            </w:pPr>
          </w:p>
          <w:p w14:paraId="6535AFD1">
            <w:pPr>
              <w:spacing w:line="247" w:lineRule="auto"/>
              <w:rPr>
                <w:rFonts w:ascii="Arial"/>
                <w:sz w:val="21"/>
              </w:rPr>
            </w:pPr>
          </w:p>
          <w:p w14:paraId="79D513DB">
            <w:pPr>
              <w:spacing w:line="247" w:lineRule="auto"/>
              <w:rPr>
                <w:rFonts w:ascii="Arial"/>
                <w:sz w:val="21"/>
              </w:rPr>
            </w:pPr>
          </w:p>
          <w:p w14:paraId="20CF311F">
            <w:pPr>
              <w:spacing w:line="248" w:lineRule="auto"/>
              <w:rPr>
                <w:rFonts w:ascii="Arial"/>
                <w:sz w:val="21"/>
              </w:rPr>
            </w:pPr>
          </w:p>
          <w:p w14:paraId="4269CCE1">
            <w:pPr>
              <w:spacing w:line="248" w:lineRule="auto"/>
              <w:rPr>
                <w:rFonts w:ascii="Arial"/>
                <w:sz w:val="21"/>
              </w:rPr>
            </w:pPr>
          </w:p>
          <w:p w14:paraId="26AED8AC">
            <w:pPr>
              <w:pStyle w:val="8"/>
              <w:spacing w:before="58" w:line="230" w:lineRule="auto"/>
              <w:ind w:left="171" w:right="162" w:firstLine="2"/>
            </w:pPr>
            <w:r>
              <w:rPr>
                <w:spacing w:val="-5"/>
              </w:rPr>
              <w:t>交通运输</w:t>
            </w:r>
            <w:r>
              <w:rPr>
                <w:spacing w:val="1"/>
              </w:rPr>
              <w:t xml:space="preserve"> </w:t>
            </w:r>
            <w:r>
              <w:rPr>
                <w:spacing w:val="-4"/>
              </w:rPr>
              <w:t>主管部门</w:t>
            </w:r>
          </w:p>
        </w:tc>
        <w:tc>
          <w:tcPr>
            <w:tcW w:w="1448" w:type="dxa"/>
            <w:vAlign w:val="top"/>
          </w:tcPr>
          <w:p w14:paraId="4CF02E90">
            <w:pPr>
              <w:spacing w:line="268" w:lineRule="auto"/>
              <w:rPr>
                <w:rFonts w:ascii="Arial"/>
                <w:sz w:val="21"/>
              </w:rPr>
            </w:pPr>
          </w:p>
          <w:p w14:paraId="25DD76C4">
            <w:pPr>
              <w:spacing w:line="268" w:lineRule="auto"/>
              <w:rPr>
                <w:rFonts w:ascii="Arial"/>
                <w:sz w:val="21"/>
              </w:rPr>
            </w:pPr>
          </w:p>
          <w:p w14:paraId="3BFA2E42">
            <w:pPr>
              <w:spacing w:line="268" w:lineRule="auto"/>
              <w:rPr>
                <w:rFonts w:ascii="Arial"/>
                <w:sz w:val="21"/>
              </w:rPr>
            </w:pPr>
          </w:p>
          <w:p w14:paraId="129CD8A5">
            <w:pPr>
              <w:spacing w:line="268" w:lineRule="auto"/>
              <w:rPr>
                <w:rFonts w:ascii="Arial"/>
                <w:sz w:val="21"/>
              </w:rPr>
            </w:pPr>
          </w:p>
          <w:p w14:paraId="4C857BBC">
            <w:pPr>
              <w:spacing w:line="268" w:lineRule="auto"/>
              <w:rPr>
                <w:rFonts w:ascii="Arial"/>
                <w:sz w:val="21"/>
              </w:rPr>
            </w:pPr>
          </w:p>
          <w:p w14:paraId="73C4F1B3">
            <w:pPr>
              <w:spacing w:line="268" w:lineRule="auto"/>
              <w:rPr>
                <w:rFonts w:ascii="Arial"/>
                <w:sz w:val="21"/>
              </w:rPr>
            </w:pPr>
          </w:p>
          <w:p w14:paraId="762D9FAA">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3843304">
            <w:pPr>
              <w:spacing w:line="250" w:lineRule="auto"/>
              <w:rPr>
                <w:rFonts w:ascii="Arial"/>
                <w:sz w:val="21"/>
              </w:rPr>
            </w:pPr>
          </w:p>
          <w:p w14:paraId="2C4FBFBF">
            <w:pPr>
              <w:spacing w:line="250" w:lineRule="auto"/>
              <w:rPr>
                <w:rFonts w:ascii="Arial"/>
                <w:sz w:val="21"/>
              </w:rPr>
            </w:pPr>
          </w:p>
          <w:p w14:paraId="07047DED">
            <w:pPr>
              <w:spacing w:line="250" w:lineRule="auto"/>
              <w:rPr>
                <w:rFonts w:ascii="Arial"/>
                <w:sz w:val="21"/>
              </w:rPr>
            </w:pPr>
          </w:p>
          <w:p w14:paraId="000410CF">
            <w:pPr>
              <w:spacing w:line="250" w:lineRule="auto"/>
              <w:rPr>
                <w:rFonts w:ascii="Arial"/>
                <w:sz w:val="21"/>
              </w:rPr>
            </w:pPr>
          </w:p>
          <w:p w14:paraId="25E88E8D">
            <w:pPr>
              <w:spacing w:line="251" w:lineRule="auto"/>
              <w:rPr>
                <w:rFonts w:ascii="Arial"/>
                <w:sz w:val="21"/>
              </w:rPr>
            </w:pPr>
          </w:p>
          <w:p w14:paraId="5A2B2D30">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13D82CCB">
      <w:pPr>
        <w:pStyle w:val="2"/>
      </w:pPr>
    </w:p>
    <w:p w14:paraId="783898C2">
      <w:pPr>
        <w:sectPr>
          <w:footerReference r:id="rId192" w:type="default"/>
          <w:pgSz w:w="16839" w:h="11906"/>
          <w:pgMar w:top="1012" w:right="788" w:bottom="966" w:left="787" w:header="0" w:footer="768" w:gutter="0"/>
          <w:cols w:space="720" w:num="1"/>
        </w:sectPr>
      </w:pPr>
    </w:p>
    <w:p w14:paraId="63B72F68">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31B7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4DC14DB">
            <w:pPr>
              <w:pStyle w:val="8"/>
              <w:spacing w:before="267" w:line="221" w:lineRule="auto"/>
              <w:ind w:left="142"/>
            </w:pPr>
            <w:r>
              <w:rPr>
                <w:b/>
                <w:bCs/>
                <w:spacing w:val="-4"/>
              </w:rPr>
              <w:t>序号</w:t>
            </w:r>
          </w:p>
        </w:tc>
        <w:tc>
          <w:tcPr>
            <w:tcW w:w="1136" w:type="dxa"/>
            <w:vMerge w:val="restart"/>
            <w:tcBorders>
              <w:bottom w:val="nil"/>
            </w:tcBorders>
            <w:vAlign w:val="top"/>
          </w:tcPr>
          <w:p w14:paraId="2545AED9">
            <w:pPr>
              <w:pStyle w:val="8"/>
              <w:spacing w:before="267" w:line="220" w:lineRule="auto"/>
              <w:ind w:left="208"/>
            </w:pPr>
            <w:r>
              <w:rPr>
                <w:b/>
                <w:bCs/>
                <w:spacing w:val="-4"/>
              </w:rPr>
              <w:t>事项名称</w:t>
            </w:r>
          </w:p>
        </w:tc>
        <w:tc>
          <w:tcPr>
            <w:tcW w:w="1136" w:type="dxa"/>
            <w:vMerge w:val="restart"/>
            <w:tcBorders>
              <w:bottom w:val="nil"/>
            </w:tcBorders>
            <w:vAlign w:val="top"/>
          </w:tcPr>
          <w:p w14:paraId="5F5FC5DE">
            <w:pPr>
              <w:pStyle w:val="8"/>
              <w:spacing w:before="267" w:line="219" w:lineRule="auto"/>
              <w:ind w:left="210"/>
            </w:pPr>
            <w:r>
              <w:rPr>
                <w:b/>
                <w:bCs/>
                <w:spacing w:val="-4"/>
              </w:rPr>
              <w:t>职权类型</w:t>
            </w:r>
          </w:p>
        </w:tc>
        <w:tc>
          <w:tcPr>
            <w:tcW w:w="8806" w:type="dxa"/>
            <w:vMerge w:val="restart"/>
            <w:tcBorders>
              <w:bottom w:val="nil"/>
            </w:tcBorders>
            <w:vAlign w:val="top"/>
          </w:tcPr>
          <w:p w14:paraId="0C3A5829">
            <w:pPr>
              <w:pStyle w:val="8"/>
              <w:spacing w:before="267" w:line="219" w:lineRule="auto"/>
              <w:ind w:left="4050"/>
            </w:pPr>
            <w:r>
              <w:rPr>
                <w:b/>
                <w:bCs/>
                <w:spacing w:val="-5"/>
              </w:rPr>
              <w:t>实施依据</w:t>
            </w:r>
          </w:p>
        </w:tc>
        <w:tc>
          <w:tcPr>
            <w:tcW w:w="3538" w:type="dxa"/>
            <w:gridSpan w:val="3"/>
            <w:vAlign w:val="top"/>
          </w:tcPr>
          <w:p w14:paraId="67F1C689">
            <w:pPr>
              <w:pStyle w:val="8"/>
              <w:spacing w:before="92" w:line="220" w:lineRule="auto"/>
              <w:ind w:left="1415"/>
            </w:pPr>
            <w:r>
              <w:rPr>
                <w:b/>
                <w:bCs/>
                <w:spacing w:val="-5"/>
              </w:rPr>
              <w:t>实施主体</w:t>
            </w:r>
          </w:p>
        </w:tc>
      </w:tr>
      <w:tr w14:paraId="223E0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3BF25BF6">
            <w:pPr>
              <w:rPr>
                <w:rFonts w:ascii="Arial"/>
                <w:sz w:val="21"/>
              </w:rPr>
            </w:pPr>
          </w:p>
        </w:tc>
        <w:tc>
          <w:tcPr>
            <w:tcW w:w="1136" w:type="dxa"/>
            <w:vMerge w:val="continue"/>
            <w:tcBorders>
              <w:top w:val="nil"/>
            </w:tcBorders>
            <w:vAlign w:val="top"/>
          </w:tcPr>
          <w:p w14:paraId="323AD5DC">
            <w:pPr>
              <w:rPr>
                <w:rFonts w:ascii="Arial"/>
                <w:sz w:val="21"/>
              </w:rPr>
            </w:pPr>
          </w:p>
        </w:tc>
        <w:tc>
          <w:tcPr>
            <w:tcW w:w="1136" w:type="dxa"/>
            <w:vMerge w:val="continue"/>
            <w:tcBorders>
              <w:top w:val="nil"/>
            </w:tcBorders>
            <w:vAlign w:val="top"/>
          </w:tcPr>
          <w:p w14:paraId="5A898877">
            <w:pPr>
              <w:rPr>
                <w:rFonts w:ascii="Arial"/>
                <w:sz w:val="21"/>
              </w:rPr>
            </w:pPr>
          </w:p>
        </w:tc>
        <w:tc>
          <w:tcPr>
            <w:tcW w:w="8806" w:type="dxa"/>
            <w:vMerge w:val="continue"/>
            <w:tcBorders>
              <w:top w:val="nil"/>
            </w:tcBorders>
            <w:vAlign w:val="top"/>
          </w:tcPr>
          <w:p w14:paraId="7592DA73">
            <w:pPr>
              <w:rPr>
                <w:rFonts w:ascii="Arial"/>
                <w:sz w:val="21"/>
              </w:rPr>
            </w:pPr>
          </w:p>
        </w:tc>
        <w:tc>
          <w:tcPr>
            <w:tcW w:w="1043" w:type="dxa"/>
            <w:vAlign w:val="top"/>
          </w:tcPr>
          <w:p w14:paraId="1A204A07">
            <w:pPr>
              <w:pStyle w:val="8"/>
              <w:spacing w:before="88" w:line="219" w:lineRule="auto"/>
              <w:ind w:left="171"/>
            </w:pPr>
            <w:r>
              <w:rPr>
                <w:b/>
                <w:bCs/>
                <w:spacing w:val="-5"/>
              </w:rPr>
              <w:t>责任部门</w:t>
            </w:r>
          </w:p>
        </w:tc>
        <w:tc>
          <w:tcPr>
            <w:tcW w:w="1448" w:type="dxa"/>
            <w:vAlign w:val="top"/>
          </w:tcPr>
          <w:p w14:paraId="511A0881">
            <w:pPr>
              <w:pStyle w:val="8"/>
              <w:spacing w:before="88" w:line="219" w:lineRule="auto"/>
              <w:ind w:left="187"/>
            </w:pPr>
            <w:r>
              <w:rPr>
                <w:b/>
                <w:bCs/>
                <w:spacing w:val="-3"/>
              </w:rPr>
              <w:t>第一责任层级</w:t>
            </w:r>
          </w:p>
        </w:tc>
        <w:tc>
          <w:tcPr>
            <w:tcW w:w="1047" w:type="dxa"/>
            <w:vAlign w:val="top"/>
          </w:tcPr>
          <w:p w14:paraId="2138454E">
            <w:pPr>
              <w:pStyle w:val="8"/>
              <w:spacing w:before="88" w:line="219" w:lineRule="auto"/>
              <w:ind w:left="165"/>
            </w:pPr>
            <w:r>
              <w:rPr>
                <w:b/>
                <w:bCs/>
                <w:spacing w:val="-4"/>
              </w:rPr>
              <w:t>承办机构</w:t>
            </w:r>
          </w:p>
        </w:tc>
      </w:tr>
      <w:tr w14:paraId="77A43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3" w:hRule="atLeast"/>
        </w:trPr>
        <w:tc>
          <w:tcPr>
            <w:tcW w:w="641" w:type="dxa"/>
            <w:vAlign w:val="top"/>
          </w:tcPr>
          <w:p w14:paraId="538D4B4D">
            <w:pPr>
              <w:spacing w:line="253" w:lineRule="auto"/>
              <w:rPr>
                <w:rFonts w:ascii="Arial"/>
                <w:sz w:val="21"/>
              </w:rPr>
            </w:pPr>
          </w:p>
          <w:p w14:paraId="3ADE69B6">
            <w:pPr>
              <w:spacing w:line="253" w:lineRule="auto"/>
              <w:rPr>
                <w:rFonts w:ascii="Arial"/>
                <w:sz w:val="21"/>
              </w:rPr>
            </w:pPr>
          </w:p>
          <w:p w14:paraId="5549271A">
            <w:pPr>
              <w:spacing w:line="253" w:lineRule="auto"/>
              <w:rPr>
                <w:rFonts w:ascii="Arial"/>
                <w:sz w:val="21"/>
              </w:rPr>
            </w:pPr>
          </w:p>
          <w:p w14:paraId="623186DE">
            <w:pPr>
              <w:spacing w:line="253" w:lineRule="auto"/>
              <w:rPr>
                <w:rFonts w:ascii="Arial"/>
                <w:sz w:val="21"/>
              </w:rPr>
            </w:pPr>
          </w:p>
          <w:p w14:paraId="0430D30C">
            <w:pPr>
              <w:spacing w:line="253" w:lineRule="auto"/>
              <w:rPr>
                <w:rFonts w:ascii="Arial"/>
                <w:sz w:val="21"/>
              </w:rPr>
            </w:pPr>
          </w:p>
          <w:p w14:paraId="01FF3F02">
            <w:pPr>
              <w:spacing w:line="253" w:lineRule="auto"/>
              <w:rPr>
                <w:rFonts w:ascii="Arial"/>
                <w:sz w:val="21"/>
              </w:rPr>
            </w:pPr>
          </w:p>
          <w:p w14:paraId="3065AB28">
            <w:pPr>
              <w:spacing w:line="253" w:lineRule="auto"/>
              <w:rPr>
                <w:rFonts w:ascii="Arial"/>
                <w:sz w:val="21"/>
              </w:rPr>
            </w:pPr>
          </w:p>
          <w:p w14:paraId="4F258725">
            <w:pPr>
              <w:spacing w:line="253" w:lineRule="auto"/>
              <w:rPr>
                <w:rFonts w:ascii="Arial"/>
                <w:sz w:val="21"/>
              </w:rPr>
            </w:pPr>
          </w:p>
          <w:p w14:paraId="43AF79FE">
            <w:pPr>
              <w:spacing w:line="253" w:lineRule="auto"/>
              <w:rPr>
                <w:rFonts w:ascii="Arial"/>
                <w:sz w:val="21"/>
              </w:rPr>
            </w:pPr>
          </w:p>
          <w:p w14:paraId="0D031BEB">
            <w:pPr>
              <w:spacing w:line="253" w:lineRule="auto"/>
              <w:rPr>
                <w:rFonts w:ascii="Arial"/>
                <w:sz w:val="21"/>
              </w:rPr>
            </w:pPr>
          </w:p>
          <w:p w14:paraId="16C60428">
            <w:pPr>
              <w:spacing w:line="253" w:lineRule="auto"/>
              <w:rPr>
                <w:rFonts w:ascii="Arial"/>
                <w:sz w:val="21"/>
              </w:rPr>
            </w:pPr>
          </w:p>
          <w:p w14:paraId="6F4ECB3D">
            <w:pPr>
              <w:spacing w:line="253" w:lineRule="auto"/>
              <w:rPr>
                <w:rFonts w:ascii="Arial"/>
                <w:sz w:val="21"/>
              </w:rPr>
            </w:pPr>
          </w:p>
          <w:p w14:paraId="627E3170">
            <w:pPr>
              <w:spacing w:line="253" w:lineRule="auto"/>
              <w:rPr>
                <w:rFonts w:ascii="Arial"/>
                <w:sz w:val="21"/>
              </w:rPr>
            </w:pPr>
          </w:p>
          <w:p w14:paraId="3D5FDE8B">
            <w:pPr>
              <w:spacing w:line="253" w:lineRule="auto"/>
              <w:rPr>
                <w:rFonts w:ascii="Arial"/>
                <w:sz w:val="21"/>
              </w:rPr>
            </w:pPr>
          </w:p>
          <w:p w14:paraId="3D968D96">
            <w:pPr>
              <w:spacing w:line="253" w:lineRule="auto"/>
              <w:rPr>
                <w:rFonts w:ascii="Arial"/>
                <w:sz w:val="21"/>
              </w:rPr>
            </w:pPr>
          </w:p>
          <w:p w14:paraId="044CFA51">
            <w:pPr>
              <w:spacing w:line="253" w:lineRule="auto"/>
              <w:rPr>
                <w:rFonts w:ascii="Arial"/>
                <w:sz w:val="21"/>
              </w:rPr>
            </w:pPr>
          </w:p>
          <w:p w14:paraId="6B7B07BA">
            <w:pPr>
              <w:spacing w:line="254" w:lineRule="auto"/>
              <w:rPr>
                <w:rFonts w:ascii="Arial"/>
                <w:sz w:val="21"/>
              </w:rPr>
            </w:pPr>
          </w:p>
          <w:p w14:paraId="4FC6CE34">
            <w:pPr>
              <w:pStyle w:val="8"/>
              <w:spacing w:before="58" w:line="183" w:lineRule="auto"/>
              <w:ind w:left="238"/>
            </w:pPr>
            <w:r>
              <w:rPr>
                <w:spacing w:val="-5"/>
              </w:rPr>
              <w:t>50</w:t>
            </w:r>
          </w:p>
        </w:tc>
        <w:tc>
          <w:tcPr>
            <w:tcW w:w="1136" w:type="dxa"/>
            <w:vAlign w:val="top"/>
          </w:tcPr>
          <w:p w14:paraId="04C5C2B8">
            <w:pPr>
              <w:spacing w:line="245" w:lineRule="auto"/>
              <w:rPr>
                <w:rFonts w:ascii="Arial"/>
                <w:sz w:val="21"/>
              </w:rPr>
            </w:pPr>
          </w:p>
          <w:p w14:paraId="36045EBE">
            <w:pPr>
              <w:spacing w:line="245" w:lineRule="auto"/>
              <w:rPr>
                <w:rFonts w:ascii="Arial"/>
                <w:sz w:val="21"/>
              </w:rPr>
            </w:pPr>
          </w:p>
          <w:p w14:paraId="4D8266B4">
            <w:pPr>
              <w:spacing w:line="245" w:lineRule="auto"/>
              <w:rPr>
                <w:rFonts w:ascii="Arial"/>
                <w:sz w:val="21"/>
              </w:rPr>
            </w:pPr>
          </w:p>
          <w:p w14:paraId="1A6F92A7">
            <w:pPr>
              <w:spacing w:line="245" w:lineRule="auto"/>
              <w:rPr>
                <w:rFonts w:ascii="Arial"/>
                <w:sz w:val="21"/>
              </w:rPr>
            </w:pPr>
          </w:p>
          <w:p w14:paraId="1425B11B">
            <w:pPr>
              <w:spacing w:line="245" w:lineRule="auto"/>
              <w:rPr>
                <w:rFonts w:ascii="Arial"/>
                <w:sz w:val="21"/>
              </w:rPr>
            </w:pPr>
          </w:p>
          <w:p w14:paraId="1D137EEB">
            <w:pPr>
              <w:spacing w:line="245" w:lineRule="auto"/>
              <w:rPr>
                <w:rFonts w:ascii="Arial"/>
                <w:sz w:val="21"/>
              </w:rPr>
            </w:pPr>
          </w:p>
          <w:p w14:paraId="1A291EC5">
            <w:pPr>
              <w:spacing w:line="246" w:lineRule="auto"/>
              <w:rPr>
                <w:rFonts w:ascii="Arial"/>
                <w:sz w:val="21"/>
              </w:rPr>
            </w:pPr>
          </w:p>
          <w:p w14:paraId="6102E50E">
            <w:pPr>
              <w:spacing w:line="246" w:lineRule="auto"/>
              <w:rPr>
                <w:rFonts w:ascii="Arial"/>
                <w:sz w:val="21"/>
              </w:rPr>
            </w:pPr>
          </w:p>
          <w:p w14:paraId="653350B9">
            <w:pPr>
              <w:spacing w:line="246" w:lineRule="auto"/>
              <w:rPr>
                <w:rFonts w:ascii="Arial"/>
                <w:sz w:val="21"/>
              </w:rPr>
            </w:pPr>
          </w:p>
          <w:p w14:paraId="11FBE1ED">
            <w:pPr>
              <w:spacing w:line="246" w:lineRule="auto"/>
              <w:rPr>
                <w:rFonts w:ascii="Arial"/>
                <w:sz w:val="21"/>
              </w:rPr>
            </w:pPr>
          </w:p>
          <w:p w14:paraId="3EE7DF9D">
            <w:pPr>
              <w:spacing w:line="246" w:lineRule="auto"/>
              <w:rPr>
                <w:rFonts w:ascii="Arial"/>
                <w:sz w:val="21"/>
              </w:rPr>
            </w:pPr>
          </w:p>
          <w:p w14:paraId="71C2ACEE">
            <w:pPr>
              <w:spacing w:line="246" w:lineRule="auto"/>
              <w:rPr>
                <w:rFonts w:ascii="Arial"/>
                <w:sz w:val="21"/>
              </w:rPr>
            </w:pPr>
          </w:p>
          <w:p w14:paraId="077F0520">
            <w:pPr>
              <w:spacing w:line="246" w:lineRule="auto"/>
              <w:rPr>
                <w:rFonts w:ascii="Arial"/>
                <w:sz w:val="21"/>
              </w:rPr>
            </w:pPr>
          </w:p>
          <w:p w14:paraId="52159B96">
            <w:pPr>
              <w:spacing w:line="246" w:lineRule="auto"/>
              <w:rPr>
                <w:rFonts w:ascii="Arial"/>
                <w:sz w:val="21"/>
              </w:rPr>
            </w:pPr>
          </w:p>
          <w:p w14:paraId="42962ABE">
            <w:pPr>
              <w:pStyle w:val="8"/>
              <w:spacing w:before="59" w:line="243" w:lineRule="auto"/>
              <w:ind w:left="110" w:right="97" w:hanging="1"/>
              <w:jc w:val="both"/>
            </w:pPr>
            <w:r>
              <w:rPr>
                <w:spacing w:val="3"/>
              </w:rPr>
              <w:t>对船舶载运</w:t>
            </w:r>
            <w:r>
              <w:rPr>
                <w:spacing w:val="1"/>
              </w:rPr>
              <w:t xml:space="preserve"> </w:t>
            </w:r>
            <w:r>
              <w:rPr>
                <w:spacing w:val="4"/>
              </w:rPr>
              <w:t>的危险化学</w:t>
            </w:r>
            <w:r>
              <w:t xml:space="preserve"> </w:t>
            </w:r>
            <w:r>
              <w:rPr>
                <w:spacing w:val="4"/>
              </w:rPr>
              <w:t>品，未按规</w:t>
            </w:r>
            <w:r>
              <w:rPr>
                <w:spacing w:val="2"/>
              </w:rPr>
              <w:t xml:space="preserve"> </w:t>
            </w:r>
            <w:r>
              <w:rPr>
                <w:spacing w:val="3"/>
              </w:rPr>
              <w:t>定进行积载</w:t>
            </w:r>
            <w:r>
              <w:t xml:space="preserve"> </w:t>
            </w:r>
            <w:r>
              <w:rPr>
                <w:spacing w:val="3"/>
              </w:rPr>
              <w:t>和隔离等行</w:t>
            </w:r>
            <w:r>
              <w:t xml:space="preserve"> </w:t>
            </w:r>
            <w:r>
              <w:rPr>
                <w:spacing w:val="3"/>
              </w:rPr>
              <w:t>为的行政处</w:t>
            </w:r>
            <w:r>
              <w:t xml:space="preserve"> 罚</w:t>
            </w:r>
          </w:p>
        </w:tc>
        <w:tc>
          <w:tcPr>
            <w:tcW w:w="1136" w:type="dxa"/>
            <w:vAlign w:val="top"/>
          </w:tcPr>
          <w:p w14:paraId="7D92921D">
            <w:pPr>
              <w:spacing w:line="251" w:lineRule="auto"/>
              <w:rPr>
                <w:rFonts w:ascii="Arial"/>
                <w:sz w:val="21"/>
              </w:rPr>
            </w:pPr>
          </w:p>
          <w:p w14:paraId="6566BF0C">
            <w:pPr>
              <w:spacing w:line="251" w:lineRule="auto"/>
              <w:rPr>
                <w:rFonts w:ascii="Arial"/>
                <w:sz w:val="21"/>
              </w:rPr>
            </w:pPr>
          </w:p>
          <w:p w14:paraId="4CBD6871">
            <w:pPr>
              <w:spacing w:line="251" w:lineRule="auto"/>
              <w:rPr>
                <w:rFonts w:ascii="Arial"/>
                <w:sz w:val="21"/>
              </w:rPr>
            </w:pPr>
          </w:p>
          <w:p w14:paraId="1203A8A9">
            <w:pPr>
              <w:spacing w:line="251" w:lineRule="auto"/>
              <w:rPr>
                <w:rFonts w:ascii="Arial"/>
                <w:sz w:val="21"/>
              </w:rPr>
            </w:pPr>
          </w:p>
          <w:p w14:paraId="768951B6">
            <w:pPr>
              <w:spacing w:line="251" w:lineRule="auto"/>
              <w:rPr>
                <w:rFonts w:ascii="Arial"/>
                <w:sz w:val="21"/>
              </w:rPr>
            </w:pPr>
          </w:p>
          <w:p w14:paraId="1D062C98">
            <w:pPr>
              <w:spacing w:line="251" w:lineRule="auto"/>
              <w:rPr>
                <w:rFonts w:ascii="Arial"/>
                <w:sz w:val="21"/>
              </w:rPr>
            </w:pPr>
          </w:p>
          <w:p w14:paraId="57994663">
            <w:pPr>
              <w:spacing w:line="251" w:lineRule="auto"/>
              <w:rPr>
                <w:rFonts w:ascii="Arial"/>
                <w:sz w:val="21"/>
              </w:rPr>
            </w:pPr>
          </w:p>
          <w:p w14:paraId="48DF621C">
            <w:pPr>
              <w:spacing w:line="251" w:lineRule="auto"/>
              <w:rPr>
                <w:rFonts w:ascii="Arial"/>
                <w:sz w:val="21"/>
              </w:rPr>
            </w:pPr>
          </w:p>
          <w:p w14:paraId="669572F5">
            <w:pPr>
              <w:spacing w:line="251" w:lineRule="auto"/>
              <w:rPr>
                <w:rFonts w:ascii="Arial"/>
                <w:sz w:val="21"/>
              </w:rPr>
            </w:pPr>
          </w:p>
          <w:p w14:paraId="62C5A84F">
            <w:pPr>
              <w:spacing w:line="251" w:lineRule="auto"/>
              <w:rPr>
                <w:rFonts w:ascii="Arial"/>
                <w:sz w:val="21"/>
              </w:rPr>
            </w:pPr>
          </w:p>
          <w:p w14:paraId="15F1CA6C">
            <w:pPr>
              <w:spacing w:line="251" w:lineRule="auto"/>
              <w:rPr>
                <w:rFonts w:ascii="Arial"/>
                <w:sz w:val="21"/>
              </w:rPr>
            </w:pPr>
          </w:p>
          <w:p w14:paraId="4A6C03EE">
            <w:pPr>
              <w:spacing w:line="252" w:lineRule="auto"/>
              <w:rPr>
                <w:rFonts w:ascii="Arial"/>
                <w:sz w:val="21"/>
              </w:rPr>
            </w:pPr>
          </w:p>
          <w:p w14:paraId="50E81E57">
            <w:pPr>
              <w:spacing w:line="252" w:lineRule="auto"/>
              <w:rPr>
                <w:rFonts w:ascii="Arial"/>
                <w:sz w:val="21"/>
              </w:rPr>
            </w:pPr>
          </w:p>
          <w:p w14:paraId="211338FA">
            <w:pPr>
              <w:spacing w:line="252" w:lineRule="auto"/>
              <w:rPr>
                <w:rFonts w:ascii="Arial"/>
                <w:sz w:val="21"/>
              </w:rPr>
            </w:pPr>
          </w:p>
          <w:p w14:paraId="499D3578">
            <w:pPr>
              <w:spacing w:line="252" w:lineRule="auto"/>
              <w:rPr>
                <w:rFonts w:ascii="Arial"/>
                <w:sz w:val="21"/>
              </w:rPr>
            </w:pPr>
          </w:p>
          <w:p w14:paraId="3927B450">
            <w:pPr>
              <w:spacing w:line="252" w:lineRule="auto"/>
              <w:rPr>
                <w:rFonts w:ascii="Arial"/>
                <w:sz w:val="21"/>
              </w:rPr>
            </w:pPr>
          </w:p>
          <w:p w14:paraId="741DB1E0">
            <w:pPr>
              <w:spacing w:line="252" w:lineRule="auto"/>
              <w:rPr>
                <w:rFonts w:ascii="Arial"/>
                <w:sz w:val="21"/>
              </w:rPr>
            </w:pPr>
          </w:p>
          <w:p w14:paraId="3F1E3201">
            <w:pPr>
              <w:pStyle w:val="8"/>
              <w:spacing w:before="59" w:line="220" w:lineRule="auto"/>
              <w:ind w:left="114"/>
            </w:pPr>
            <w:r>
              <w:rPr>
                <w:spacing w:val="-7"/>
              </w:rPr>
              <w:t>行政处罚</w:t>
            </w:r>
          </w:p>
        </w:tc>
        <w:tc>
          <w:tcPr>
            <w:tcW w:w="8806" w:type="dxa"/>
            <w:vAlign w:val="top"/>
          </w:tcPr>
          <w:p w14:paraId="3D62E678">
            <w:pPr>
              <w:pStyle w:val="8"/>
              <w:spacing w:before="38" w:line="219" w:lineRule="auto"/>
              <w:ind w:left="471"/>
            </w:pPr>
            <w:r>
              <w:rPr>
                <w:b/>
                <w:bCs/>
                <w:spacing w:val="-8"/>
              </w:rPr>
              <w:t>1.《危险化学品安全管理条例》</w:t>
            </w:r>
          </w:p>
          <w:p w14:paraId="0130893F">
            <w:pPr>
              <w:pStyle w:val="8"/>
              <w:spacing w:before="26" w:line="237" w:lineRule="auto"/>
              <w:ind w:left="112" w:right="165" w:firstLine="345"/>
              <w:jc w:val="both"/>
            </w:pPr>
            <w:r>
              <w:rPr>
                <w:spacing w:val="-6"/>
              </w:rPr>
              <w:t>第四十四条第二款</w:t>
            </w:r>
            <w:r>
              <w:rPr>
                <w:spacing w:val="82"/>
              </w:rPr>
              <w:t xml:space="preserve"> </w:t>
            </w:r>
            <w:r>
              <w:rPr>
                <w:spacing w:val="-6"/>
              </w:rPr>
              <w:t>危险化学品的装卸作业应当遵守安全作业标准、规程和制度，并在装</w:t>
            </w:r>
            <w:r>
              <w:rPr>
                <w:spacing w:val="-7"/>
              </w:rPr>
              <w:t>卸管理人员的现场</w:t>
            </w:r>
            <w:r>
              <w:t xml:space="preserve"> </w:t>
            </w:r>
            <w:r>
              <w:rPr>
                <w:spacing w:val="-6"/>
              </w:rPr>
              <w:t>指挥或者监控下进行。水路运输危险化学品的集装箱装箱作业应当在集装箱装箱现场检查员的指挥或</w:t>
            </w:r>
            <w:r>
              <w:rPr>
                <w:spacing w:val="-7"/>
              </w:rPr>
              <w:t>者监控下进</w:t>
            </w:r>
            <w:r>
              <w:t xml:space="preserve"> </w:t>
            </w:r>
            <w:r>
              <w:rPr>
                <w:spacing w:val="-6"/>
              </w:rPr>
              <w:t>行，并符合积载、隔离的规范和要求；装箱作业完毕后，集装箱装箱现场检查员应当签署装箱证明书。</w:t>
            </w:r>
          </w:p>
          <w:p w14:paraId="33420A65">
            <w:pPr>
              <w:pStyle w:val="8"/>
              <w:spacing w:before="25" w:line="233" w:lineRule="auto"/>
              <w:ind w:left="111" w:right="170" w:firstLine="347"/>
            </w:pPr>
            <w:r>
              <w:rPr>
                <w:spacing w:val="-6"/>
              </w:rPr>
              <w:t>第四十五条</w:t>
            </w:r>
            <w:r>
              <w:rPr>
                <w:spacing w:val="80"/>
              </w:rPr>
              <w:t xml:space="preserve"> </w:t>
            </w:r>
            <w:r>
              <w:rPr>
                <w:spacing w:val="-6"/>
              </w:rPr>
              <w:t>运输危险化学品，应当根据危险化学品的危险特性采取相应的安全防护措施，并配备</w:t>
            </w:r>
            <w:r>
              <w:rPr>
                <w:spacing w:val="-7"/>
              </w:rPr>
              <w:t>必要的防</w:t>
            </w:r>
            <w:r>
              <w:t xml:space="preserve"> </w:t>
            </w:r>
            <w:r>
              <w:rPr>
                <w:spacing w:val="-6"/>
              </w:rPr>
              <w:t>护用品和应急救援器材。</w:t>
            </w:r>
          </w:p>
          <w:p w14:paraId="34B15079">
            <w:pPr>
              <w:pStyle w:val="8"/>
              <w:spacing w:before="26" w:line="233" w:lineRule="auto"/>
              <w:ind w:left="112" w:right="165" w:firstLine="348"/>
            </w:pPr>
            <w:r>
              <w:rPr>
                <w:spacing w:val="-6"/>
              </w:rPr>
              <w:t>用于运输危险化学品的槽罐以及其他容器应当封口严密，能够防止危险化学品在运输过程中因温度</w:t>
            </w:r>
            <w:r>
              <w:rPr>
                <w:spacing w:val="-7"/>
              </w:rPr>
              <w:t>、湿度或</w:t>
            </w:r>
            <w:r>
              <w:t xml:space="preserve"> </w:t>
            </w:r>
            <w:r>
              <w:rPr>
                <w:spacing w:val="-6"/>
              </w:rPr>
              <w:t>者压力的变化发生渗漏、洒漏；槽罐以及其他容器的溢流和泄压装置应当设置准确、起闭灵活。</w:t>
            </w:r>
          </w:p>
          <w:p w14:paraId="373A1001">
            <w:pPr>
              <w:pStyle w:val="8"/>
              <w:spacing w:before="25" w:line="233" w:lineRule="auto"/>
              <w:ind w:left="109" w:right="165" w:firstLine="348"/>
            </w:pPr>
            <w:r>
              <w:rPr>
                <w:spacing w:val="-6"/>
              </w:rPr>
              <w:t>运输危险化学品的驾驶人员、船员、装卸管理人员、押运人员、申报人员、集装箱装箱现场检查员，</w:t>
            </w:r>
            <w:r>
              <w:rPr>
                <w:spacing w:val="-7"/>
              </w:rPr>
              <w:t>应当了</w:t>
            </w:r>
            <w:r>
              <w:t xml:space="preserve"> </w:t>
            </w:r>
            <w:r>
              <w:rPr>
                <w:spacing w:val="-6"/>
              </w:rPr>
              <w:t>解所运输的危险化学品的危险特性及其包装物、容器的使用要求和出现危险情况时的应急处置方法。</w:t>
            </w:r>
          </w:p>
          <w:p w14:paraId="655677A7">
            <w:pPr>
              <w:pStyle w:val="8"/>
              <w:spacing w:before="25" w:line="238" w:lineRule="auto"/>
              <w:ind w:left="109" w:right="165" w:firstLine="348"/>
            </w:pPr>
            <w:r>
              <w:rPr>
                <w:spacing w:val="-6"/>
              </w:rPr>
              <w:t>第六十三条</w:t>
            </w:r>
            <w:r>
              <w:rPr>
                <w:spacing w:val="80"/>
              </w:rPr>
              <w:t xml:space="preserve"> </w:t>
            </w:r>
            <w:r>
              <w:rPr>
                <w:spacing w:val="-6"/>
              </w:rPr>
              <w:t>托运危险化学品的，托运人应当向承运人说明所托运的危险化学品的种类、数量、危</w:t>
            </w:r>
            <w:r>
              <w:rPr>
                <w:spacing w:val="-7"/>
              </w:rPr>
              <w:t>险特性以</w:t>
            </w:r>
            <w:r>
              <w:t xml:space="preserve"> </w:t>
            </w:r>
            <w:r>
              <w:rPr>
                <w:spacing w:val="-6"/>
              </w:rPr>
              <w:t>及发生危险情况的应急处置措施，并按照国家有关规定对所托运的危险化学品妥善包装，在外包装上设置相</w:t>
            </w:r>
            <w:r>
              <w:rPr>
                <w:spacing w:val="-7"/>
              </w:rPr>
              <w:t>应的</w:t>
            </w:r>
            <w:r>
              <w:t xml:space="preserve"> </w:t>
            </w:r>
            <w:r>
              <w:rPr>
                <w:spacing w:val="-5"/>
              </w:rPr>
              <w:t>标志。</w:t>
            </w:r>
          </w:p>
          <w:p w14:paraId="296D6792">
            <w:pPr>
              <w:pStyle w:val="8"/>
              <w:spacing w:before="25" w:line="218" w:lineRule="auto"/>
              <w:ind w:left="458"/>
            </w:pPr>
            <w:r>
              <w:rPr>
                <w:spacing w:val="-6"/>
              </w:rPr>
              <w:t>运输危险化学品需要添加抑制剂或者稳定剂的，托运人应当添加，并将有关情况告知承运人。</w:t>
            </w:r>
          </w:p>
          <w:p w14:paraId="6D50AB05">
            <w:pPr>
              <w:pStyle w:val="8"/>
              <w:spacing w:before="30" w:line="241" w:lineRule="auto"/>
              <w:ind w:left="109" w:right="101" w:firstLine="349"/>
            </w:pPr>
            <w:r>
              <w:rPr>
                <w:spacing w:val="-6"/>
              </w:rPr>
              <w:t>第八十六条第（二）项、第（六）项、第（七）项</w:t>
            </w:r>
            <w:r>
              <w:rPr>
                <w:spacing w:val="78"/>
              </w:rPr>
              <w:t xml:space="preserve"> </w:t>
            </w:r>
            <w:r>
              <w:rPr>
                <w:spacing w:val="-6"/>
              </w:rPr>
              <w:t>有下列情形之一的</w:t>
            </w:r>
            <w:r>
              <w:rPr>
                <w:spacing w:val="-7"/>
              </w:rPr>
              <w:t>，由交通运输主管部门责令改正，处5</w:t>
            </w:r>
            <w:r>
              <w:t xml:space="preserve"> </w:t>
            </w:r>
            <w:r>
              <w:rPr>
                <w:spacing w:val="-5"/>
              </w:rPr>
              <w:t>万元以上10万元以下的罚款；拒不改正的，责令停产停业整顿；构成</w:t>
            </w:r>
            <w:r>
              <w:rPr>
                <w:spacing w:val="-6"/>
              </w:rPr>
              <w:t>犯罪的，依法追究刑事责任</w:t>
            </w:r>
            <w:r>
              <w:rPr>
                <w:spacing w:val="-19"/>
              </w:rPr>
              <w:t>：（</w:t>
            </w:r>
            <w:r>
              <w:rPr>
                <w:spacing w:val="-6"/>
              </w:rPr>
              <w:t>二）运输危</w:t>
            </w:r>
            <w:r>
              <w:t xml:space="preserve"> </w:t>
            </w:r>
            <w:r>
              <w:rPr>
                <w:spacing w:val="-6"/>
              </w:rPr>
              <w:t>险化学品，未根据危险化学品的危险特性采取相应的安全防护措施，或者未配备必要的防护用品和应急救援器材</w:t>
            </w:r>
            <w:r>
              <w:t xml:space="preserve"> </w:t>
            </w:r>
            <w:r>
              <w:rPr>
                <w:spacing w:val="-6"/>
              </w:rPr>
              <w:t>的；……（六）托运人不向承运人说明所托运的危险化学品的种类、数量、危险特性以及发生危险情况的应急处</w:t>
            </w:r>
            <w:r>
              <w:t xml:space="preserve"> </w:t>
            </w:r>
            <w:r>
              <w:rPr>
                <w:spacing w:val="-5"/>
              </w:rPr>
              <w:t>置措施，或者未按照国家有关规定对所托运的危险</w:t>
            </w:r>
            <w:r>
              <w:rPr>
                <w:spacing w:val="-6"/>
              </w:rPr>
              <w:t>化学品妥善包装并在外包装上设置相应标志的</w:t>
            </w:r>
            <w:r>
              <w:rPr>
                <w:spacing w:val="-18"/>
              </w:rPr>
              <w:t>；（</w:t>
            </w:r>
            <w:r>
              <w:rPr>
                <w:spacing w:val="-6"/>
              </w:rPr>
              <w:t>七）运输危</w:t>
            </w:r>
            <w:r>
              <w:rPr>
                <w:spacing w:val="1"/>
              </w:rPr>
              <w:t xml:space="preserve"> </w:t>
            </w:r>
            <w:r>
              <w:rPr>
                <w:spacing w:val="-6"/>
              </w:rPr>
              <w:t>险化学品需要添加抑制剂或者稳定剂，托运人未添加或者未将有关情况告知承运人的。</w:t>
            </w:r>
          </w:p>
          <w:p w14:paraId="61AFCEDD">
            <w:pPr>
              <w:pStyle w:val="8"/>
              <w:spacing w:before="27" w:line="219" w:lineRule="auto"/>
              <w:ind w:left="460"/>
            </w:pPr>
            <w:r>
              <w:rPr>
                <w:b/>
                <w:bCs/>
                <w:spacing w:val="-7"/>
              </w:rPr>
              <w:t>2.《中华人民共和国内河海事行政处罚规定》（交通运输部令2022年第28号）</w:t>
            </w:r>
          </w:p>
          <w:p w14:paraId="6B64FD36">
            <w:pPr>
              <w:pStyle w:val="8"/>
              <w:spacing w:before="28" w:line="239" w:lineRule="auto"/>
              <w:ind w:left="110" w:right="101" w:firstLine="348"/>
            </w:pPr>
            <w:r>
              <w:rPr>
                <w:spacing w:val="-6"/>
              </w:rPr>
              <w:t>第二十四条</w:t>
            </w:r>
            <w:r>
              <w:rPr>
                <w:spacing w:val="80"/>
              </w:rPr>
              <w:t xml:space="preserve"> </w:t>
            </w:r>
            <w:r>
              <w:rPr>
                <w:spacing w:val="-6"/>
              </w:rPr>
              <w:t>违反《内河交通安全管理条例》和《危险化学品安全管理条例》第四十五条的规定，</w:t>
            </w:r>
            <w:r>
              <w:rPr>
                <w:spacing w:val="-7"/>
              </w:rPr>
              <w:t>船舶配载</w:t>
            </w:r>
            <w:r>
              <w:t xml:space="preserve"> </w:t>
            </w:r>
            <w:r>
              <w:rPr>
                <w:spacing w:val="-6"/>
              </w:rPr>
              <w:t>和运输危险货物不符合国家有关法律、法规、规章的规定和国家标准，或者未按照危险化学品的特性采取</w:t>
            </w:r>
            <w:r>
              <w:rPr>
                <w:spacing w:val="-7"/>
              </w:rPr>
              <w:t>必要安</w:t>
            </w:r>
            <w:r>
              <w:t xml:space="preserve"> </w:t>
            </w:r>
            <w:r>
              <w:rPr>
                <w:spacing w:val="-6"/>
              </w:rPr>
              <w:t>全防护措施的，依照《危险化学品安全管理条例》第八十六条</w:t>
            </w:r>
            <w:r>
              <w:rPr>
                <w:spacing w:val="-7"/>
              </w:rPr>
              <w:t>的规定，责令改正，对船舶所有人或者经营人处以5</w:t>
            </w:r>
            <w:r>
              <w:t xml:space="preserve"> </w:t>
            </w:r>
            <w:r>
              <w:rPr>
                <w:spacing w:val="-6"/>
              </w:rPr>
              <w:t>万元以上10万元以下的罚款；拒不改正的，责令停航整顿。</w:t>
            </w:r>
          </w:p>
          <w:p w14:paraId="24B85B33">
            <w:pPr>
              <w:pStyle w:val="8"/>
              <w:spacing w:before="27" w:line="237" w:lineRule="auto"/>
              <w:ind w:left="114" w:right="165" w:firstLine="344"/>
            </w:pPr>
            <w:r>
              <w:rPr>
                <w:spacing w:val="-6"/>
              </w:rPr>
              <w:t>本条前款所称不符合国家有关法律、法规、规章的规定和国家标准，并按照危险化学品的特性采取</w:t>
            </w:r>
            <w:r>
              <w:rPr>
                <w:spacing w:val="-7"/>
              </w:rPr>
              <w:t>必要安全</w:t>
            </w:r>
            <w:r>
              <w:t xml:space="preserve"> </w:t>
            </w:r>
            <w:r>
              <w:rPr>
                <w:spacing w:val="-5"/>
              </w:rPr>
              <w:t>防护措施的，包括下列情形</w:t>
            </w:r>
            <w:r>
              <w:rPr>
                <w:spacing w:val="-19"/>
              </w:rPr>
              <w:t>：（</w:t>
            </w:r>
            <w:r>
              <w:rPr>
                <w:spacing w:val="-5"/>
              </w:rPr>
              <w:t>一）船舶未按照规定进行积载和隔离</w:t>
            </w:r>
            <w:r>
              <w:rPr>
                <w:spacing w:val="-19"/>
              </w:rPr>
              <w:t>；（</w:t>
            </w:r>
            <w:r>
              <w:rPr>
                <w:spacing w:val="-5"/>
              </w:rPr>
              <w:t>二）船舶载运不符合规定的集装箱危险</w:t>
            </w:r>
            <w:r>
              <w:t xml:space="preserve"> </w:t>
            </w:r>
            <w:r>
              <w:rPr>
                <w:spacing w:val="-5"/>
              </w:rPr>
              <w:t>货物</w:t>
            </w:r>
            <w:r>
              <w:rPr>
                <w:spacing w:val="-18"/>
              </w:rPr>
              <w:t>；（</w:t>
            </w:r>
            <w:r>
              <w:rPr>
                <w:spacing w:val="-5"/>
              </w:rPr>
              <w:t>三）装载危险货物的集装箱进出口或者中转未持有《集装箱装箱证明书》或者等效的证明文件</w:t>
            </w:r>
            <w:r>
              <w:rPr>
                <w:spacing w:val="-18"/>
              </w:rPr>
              <w:t>；（</w:t>
            </w:r>
            <w:r>
              <w:rPr>
                <w:spacing w:val="-5"/>
              </w:rPr>
              <w:t>四）</w:t>
            </w:r>
          </w:p>
          <w:p w14:paraId="5E96098C">
            <w:pPr>
              <w:pStyle w:val="8"/>
              <w:spacing w:before="27" w:line="218" w:lineRule="auto"/>
              <w:ind w:left="110"/>
            </w:pPr>
            <w:r>
              <w:rPr>
                <w:spacing w:val="-5"/>
              </w:rPr>
              <w:t>船舶装载危险货物</w:t>
            </w:r>
            <w:r>
              <w:rPr>
                <w:spacing w:val="81"/>
              </w:rPr>
              <w:t xml:space="preserve"> </w:t>
            </w:r>
            <w:r>
              <w:rPr>
                <w:spacing w:val="-5"/>
              </w:rPr>
              <w:t>违反限量、衬垫、紧固规定</w:t>
            </w:r>
            <w:r>
              <w:rPr>
                <w:spacing w:val="-17"/>
              </w:rPr>
              <w:t>；（</w:t>
            </w:r>
            <w:r>
              <w:rPr>
                <w:spacing w:val="-5"/>
              </w:rPr>
              <w:t>五）船舶擅自装运未经评估核定危害性的新化学品</w:t>
            </w:r>
            <w:r>
              <w:rPr>
                <w:spacing w:val="-17"/>
              </w:rPr>
              <w:t>；（</w:t>
            </w:r>
            <w:r>
              <w:rPr>
                <w:spacing w:val="-5"/>
              </w:rPr>
              <w:t>六）</w:t>
            </w:r>
          </w:p>
          <w:p w14:paraId="527904E5">
            <w:pPr>
              <w:pStyle w:val="8"/>
              <w:spacing w:before="29" w:line="242" w:lineRule="auto"/>
              <w:ind w:left="110" w:right="98"/>
            </w:pPr>
            <w:r>
              <w:rPr>
                <w:spacing w:val="-6"/>
              </w:rPr>
              <w:t>使用不符合要求的船舶装  卸设备、机具装卸危险货物，或者违反安全操作规程进行作业，或者影响装卸作</w:t>
            </w:r>
            <w:r>
              <w:rPr>
                <w:spacing w:val="-7"/>
              </w:rPr>
              <w:t>业安</w:t>
            </w:r>
            <w:r>
              <w:t xml:space="preserve">  </w:t>
            </w:r>
            <w:r>
              <w:rPr>
                <w:spacing w:val="-6"/>
              </w:rPr>
              <w:t>全的设备出现故障、存在缺陷， 不及时纠正而继续进行装卸作业</w:t>
            </w:r>
            <w:r>
              <w:rPr>
                <w:spacing w:val="-17"/>
              </w:rPr>
              <w:t>；（</w:t>
            </w:r>
            <w:r>
              <w:rPr>
                <w:spacing w:val="-6"/>
              </w:rPr>
              <w:t>七）船舶装卸危险货物时，未经批准，在装</w:t>
            </w:r>
            <w:r>
              <w:t xml:space="preserve"> </w:t>
            </w:r>
            <w:r>
              <w:rPr>
                <w:spacing w:val="-6"/>
              </w:rPr>
              <w:t>卸作业现场进行明火作业</w:t>
            </w:r>
            <w:r>
              <w:rPr>
                <w:spacing w:val="-21"/>
              </w:rPr>
              <w:t>；（</w:t>
            </w:r>
            <w:r>
              <w:rPr>
                <w:spacing w:val="-6"/>
              </w:rPr>
              <w:t>八）船</w:t>
            </w:r>
            <w:r>
              <w:rPr>
                <w:spacing w:val="81"/>
              </w:rPr>
              <w:t xml:space="preserve"> </w:t>
            </w:r>
            <w:r>
              <w:rPr>
                <w:spacing w:val="-6"/>
              </w:rPr>
              <w:t>舶在装卸爆炸品、闪点23</w:t>
            </w:r>
            <w:r>
              <w:rPr>
                <w:spacing w:val="-70"/>
              </w:rPr>
              <w:t xml:space="preserve"> </w:t>
            </w:r>
            <w:r>
              <w:rPr>
                <w:spacing w:val="-6"/>
              </w:rPr>
              <w:t>°C以下的易燃液体，或者散化、液化气体船在装</w:t>
            </w:r>
            <w:r>
              <w:t xml:space="preserve"> </w:t>
            </w:r>
            <w:r>
              <w:rPr>
                <w:spacing w:val="-6"/>
              </w:rPr>
              <w:t>卸易燃易爆货物过程中， 检修或者使用雷</w:t>
            </w:r>
            <w:r>
              <w:rPr>
                <w:spacing w:val="78"/>
              </w:rPr>
              <w:t xml:space="preserve"> </w:t>
            </w:r>
            <w:r>
              <w:rPr>
                <w:spacing w:val="-6"/>
              </w:rPr>
              <w:t>达、无线电发射机和易产生火花的工（</w:t>
            </w:r>
            <w:r>
              <w:rPr>
                <w:spacing w:val="-7"/>
              </w:rPr>
              <w:t>机）具拷铲，或者进行加油、</w:t>
            </w:r>
            <w:r>
              <w:t xml:space="preserve"> </w:t>
            </w:r>
            <w:r>
              <w:rPr>
                <w:spacing w:val="-6"/>
              </w:rPr>
              <w:t>允许他船并靠加水作业</w:t>
            </w:r>
            <w:r>
              <w:rPr>
                <w:spacing w:val="-17"/>
              </w:rPr>
              <w:t>；（</w:t>
            </w:r>
            <w:r>
              <w:rPr>
                <w:spacing w:val="-6"/>
              </w:rPr>
              <w:t>九）装载易燃液体、 挥发性易燃易爆散装化学品和液化气体的船舶在修理前不按照规</w:t>
            </w:r>
            <w:r>
              <w:t xml:space="preserve"> </w:t>
            </w:r>
            <w:r>
              <w:rPr>
                <w:spacing w:val="-5"/>
              </w:rPr>
              <w:t>定通风测爆</w:t>
            </w:r>
            <w:r>
              <w:rPr>
                <w:spacing w:val="-18"/>
              </w:rPr>
              <w:t>；（</w:t>
            </w:r>
            <w:r>
              <w:rPr>
                <w:spacing w:val="-5"/>
              </w:rPr>
              <w:t>十）液货船未按照规定进行驱气或者</w:t>
            </w:r>
            <w:r>
              <w:rPr>
                <w:spacing w:val="80"/>
                <w:w w:val="101"/>
              </w:rPr>
              <w:t xml:space="preserve"> </w:t>
            </w:r>
            <w:r>
              <w:rPr>
                <w:spacing w:val="-5"/>
              </w:rPr>
              <w:t>洗舱作业</w:t>
            </w:r>
            <w:r>
              <w:rPr>
                <w:spacing w:val="-18"/>
              </w:rPr>
              <w:t>；（</w:t>
            </w:r>
            <w:r>
              <w:rPr>
                <w:spacing w:val="-5"/>
              </w:rPr>
              <w:t>十一）液货船在装卸作业时不按照规定采取</w:t>
            </w:r>
            <w:r>
              <w:t xml:space="preserve">  </w:t>
            </w:r>
            <w:r>
              <w:rPr>
                <w:spacing w:val="-5"/>
              </w:rPr>
              <w:t>安全措施</w:t>
            </w:r>
            <w:r>
              <w:rPr>
                <w:spacing w:val="-17"/>
              </w:rPr>
              <w:t>；（</w:t>
            </w:r>
            <w:r>
              <w:rPr>
                <w:spacing w:val="-5"/>
              </w:rPr>
              <w:t>十二）在液货船上随身携带易燃物品或者在甲</w:t>
            </w:r>
            <w:r>
              <w:rPr>
                <w:spacing w:val="81"/>
              </w:rPr>
              <w:t xml:space="preserve"> </w:t>
            </w:r>
            <w:r>
              <w:rPr>
                <w:spacing w:val="-5"/>
              </w:rPr>
              <w:t>板上放置、使用聚焦物品</w:t>
            </w:r>
            <w:r>
              <w:rPr>
                <w:spacing w:val="-17"/>
              </w:rPr>
              <w:t>；（</w:t>
            </w:r>
            <w:r>
              <w:rPr>
                <w:spacing w:val="-5"/>
              </w:rPr>
              <w:t>十三）在禁止吸烟、</w:t>
            </w:r>
          </w:p>
          <w:p w14:paraId="449BF9B3">
            <w:pPr>
              <w:pStyle w:val="8"/>
              <w:spacing w:before="27" w:line="199" w:lineRule="auto"/>
              <w:ind w:left="127"/>
            </w:pPr>
            <w:r>
              <w:rPr>
                <w:spacing w:val="-6"/>
              </w:rPr>
              <w:t>明火的船舶处所吸烟或者使用明火</w:t>
            </w:r>
            <w:r>
              <w:rPr>
                <w:spacing w:val="-14"/>
              </w:rPr>
              <w:t>；（</w:t>
            </w:r>
            <w:r>
              <w:rPr>
                <w:spacing w:val="-6"/>
              </w:rPr>
              <w:t>十四）在装卸、载运易燃易爆货物或者空舱内仍有可燃气体的船舶作业现</w:t>
            </w:r>
          </w:p>
        </w:tc>
        <w:tc>
          <w:tcPr>
            <w:tcW w:w="1043" w:type="dxa"/>
            <w:vAlign w:val="top"/>
          </w:tcPr>
          <w:p w14:paraId="4AA6A3B9">
            <w:pPr>
              <w:spacing w:line="244" w:lineRule="auto"/>
              <w:rPr>
                <w:rFonts w:ascii="Arial"/>
                <w:sz w:val="21"/>
              </w:rPr>
            </w:pPr>
          </w:p>
          <w:p w14:paraId="6DF76000">
            <w:pPr>
              <w:spacing w:line="244" w:lineRule="auto"/>
              <w:rPr>
                <w:rFonts w:ascii="Arial"/>
                <w:sz w:val="21"/>
              </w:rPr>
            </w:pPr>
          </w:p>
          <w:p w14:paraId="03FE5972">
            <w:pPr>
              <w:spacing w:line="244" w:lineRule="auto"/>
              <w:rPr>
                <w:rFonts w:ascii="Arial"/>
                <w:sz w:val="21"/>
              </w:rPr>
            </w:pPr>
          </w:p>
          <w:p w14:paraId="6355B4B6">
            <w:pPr>
              <w:spacing w:line="244" w:lineRule="auto"/>
              <w:rPr>
                <w:rFonts w:ascii="Arial"/>
                <w:sz w:val="21"/>
              </w:rPr>
            </w:pPr>
          </w:p>
          <w:p w14:paraId="49DB4E19">
            <w:pPr>
              <w:spacing w:line="244" w:lineRule="auto"/>
              <w:rPr>
                <w:rFonts w:ascii="Arial"/>
                <w:sz w:val="21"/>
              </w:rPr>
            </w:pPr>
          </w:p>
          <w:p w14:paraId="21B4D9DE">
            <w:pPr>
              <w:spacing w:line="244" w:lineRule="auto"/>
              <w:rPr>
                <w:rFonts w:ascii="Arial"/>
                <w:sz w:val="21"/>
              </w:rPr>
            </w:pPr>
          </w:p>
          <w:p w14:paraId="20A08983">
            <w:pPr>
              <w:spacing w:line="244" w:lineRule="auto"/>
              <w:rPr>
                <w:rFonts w:ascii="Arial"/>
                <w:sz w:val="21"/>
              </w:rPr>
            </w:pPr>
          </w:p>
          <w:p w14:paraId="0583C78A">
            <w:pPr>
              <w:spacing w:line="244" w:lineRule="auto"/>
              <w:rPr>
                <w:rFonts w:ascii="Arial"/>
                <w:sz w:val="21"/>
              </w:rPr>
            </w:pPr>
          </w:p>
          <w:p w14:paraId="2CBCB49D">
            <w:pPr>
              <w:spacing w:line="244" w:lineRule="auto"/>
              <w:rPr>
                <w:rFonts w:ascii="Arial"/>
                <w:sz w:val="21"/>
              </w:rPr>
            </w:pPr>
          </w:p>
          <w:p w14:paraId="5B76DD07">
            <w:pPr>
              <w:spacing w:line="244" w:lineRule="auto"/>
              <w:rPr>
                <w:rFonts w:ascii="Arial"/>
                <w:sz w:val="21"/>
              </w:rPr>
            </w:pPr>
          </w:p>
          <w:p w14:paraId="6FDD6C0D">
            <w:pPr>
              <w:spacing w:line="244" w:lineRule="auto"/>
              <w:rPr>
                <w:rFonts w:ascii="Arial"/>
                <w:sz w:val="21"/>
              </w:rPr>
            </w:pPr>
          </w:p>
          <w:p w14:paraId="0E90B780">
            <w:pPr>
              <w:spacing w:line="245" w:lineRule="auto"/>
              <w:rPr>
                <w:rFonts w:ascii="Arial"/>
                <w:sz w:val="21"/>
              </w:rPr>
            </w:pPr>
          </w:p>
          <w:p w14:paraId="039D4272">
            <w:pPr>
              <w:spacing w:line="245" w:lineRule="auto"/>
              <w:rPr>
                <w:rFonts w:ascii="Arial"/>
                <w:sz w:val="21"/>
              </w:rPr>
            </w:pPr>
          </w:p>
          <w:p w14:paraId="1B487C75">
            <w:pPr>
              <w:spacing w:line="245" w:lineRule="auto"/>
              <w:rPr>
                <w:rFonts w:ascii="Arial"/>
                <w:sz w:val="21"/>
              </w:rPr>
            </w:pPr>
          </w:p>
          <w:p w14:paraId="0DE02E7D">
            <w:pPr>
              <w:spacing w:line="245" w:lineRule="auto"/>
              <w:rPr>
                <w:rFonts w:ascii="Arial"/>
                <w:sz w:val="21"/>
              </w:rPr>
            </w:pPr>
          </w:p>
          <w:p w14:paraId="0388B19B">
            <w:pPr>
              <w:spacing w:line="245" w:lineRule="auto"/>
              <w:rPr>
                <w:rFonts w:ascii="Arial"/>
                <w:sz w:val="21"/>
              </w:rPr>
            </w:pPr>
          </w:p>
          <w:p w14:paraId="16DCB1CC">
            <w:pPr>
              <w:spacing w:line="245" w:lineRule="auto"/>
              <w:rPr>
                <w:rFonts w:ascii="Arial"/>
                <w:sz w:val="21"/>
              </w:rPr>
            </w:pPr>
          </w:p>
          <w:p w14:paraId="6F55BE40">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04421AE4">
            <w:pPr>
              <w:spacing w:line="251" w:lineRule="auto"/>
              <w:rPr>
                <w:rFonts w:ascii="Arial"/>
                <w:sz w:val="21"/>
              </w:rPr>
            </w:pPr>
          </w:p>
          <w:p w14:paraId="1922D087">
            <w:pPr>
              <w:spacing w:line="251" w:lineRule="auto"/>
              <w:rPr>
                <w:rFonts w:ascii="Arial"/>
                <w:sz w:val="21"/>
              </w:rPr>
            </w:pPr>
          </w:p>
          <w:p w14:paraId="75FE06B1">
            <w:pPr>
              <w:spacing w:line="251" w:lineRule="auto"/>
              <w:rPr>
                <w:rFonts w:ascii="Arial"/>
                <w:sz w:val="21"/>
              </w:rPr>
            </w:pPr>
          </w:p>
          <w:p w14:paraId="0EEA0012">
            <w:pPr>
              <w:spacing w:line="251" w:lineRule="auto"/>
              <w:rPr>
                <w:rFonts w:ascii="Arial"/>
                <w:sz w:val="21"/>
              </w:rPr>
            </w:pPr>
          </w:p>
          <w:p w14:paraId="13960FA4">
            <w:pPr>
              <w:spacing w:line="251" w:lineRule="auto"/>
              <w:rPr>
                <w:rFonts w:ascii="Arial"/>
                <w:sz w:val="21"/>
              </w:rPr>
            </w:pPr>
          </w:p>
          <w:p w14:paraId="702F040A">
            <w:pPr>
              <w:spacing w:line="251" w:lineRule="auto"/>
              <w:rPr>
                <w:rFonts w:ascii="Arial"/>
                <w:sz w:val="21"/>
              </w:rPr>
            </w:pPr>
          </w:p>
          <w:p w14:paraId="081B29C5">
            <w:pPr>
              <w:spacing w:line="251" w:lineRule="auto"/>
              <w:rPr>
                <w:rFonts w:ascii="Arial"/>
                <w:sz w:val="21"/>
              </w:rPr>
            </w:pPr>
          </w:p>
          <w:p w14:paraId="44300201">
            <w:pPr>
              <w:spacing w:line="251" w:lineRule="auto"/>
              <w:rPr>
                <w:rFonts w:ascii="Arial"/>
                <w:sz w:val="21"/>
              </w:rPr>
            </w:pPr>
          </w:p>
          <w:p w14:paraId="33672108">
            <w:pPr>
              <w:spacing w:line="251" w:lineRule="auto"/>
              <w:rPr>
                <w:rFonts w:ascii="Arial"/>
                <w:sz w:val="21"/>
              </w:rPr>
            </w:pPr>
          </w:p>
          <w:p w14:paraId="0569E5A9">
            <w:pPr>
              <w:spacing w:line="251" w:lineRule="auto"/>
              <w:rPr>
                <w:rFonts w:ascii="Arial"/>
                <w:sz w:val="21"/>
              </w:rPr>
            </w:pPr>
          </w:p>
          <w:p w14:paraId="36F055BB">
            <w:pPr>
              <w:spacing w:line="252" w:lineRule="auto"/>
              <w:rPr>
                <w:rFonts w:ascii="Arial"/>
                <w:sz w:val="21"/>
              </w:rPr>
            </w:pPr>
          </w:p>
          <w:p w14:paraId="32A30EB8">
            <w:pPr>
              <w:spacing w:line="252" w:lineRule="auto"/>
              <w:rPr>
                <w:rFonts w:ascii="Arial"/>
                <w:sz w:val="21"/>
              </w:rPr>
            </w:pPr>
          </w:p>
          <w:p w14:paraId="64EA1576">
            <w:pPr>
              <w:spacing w:line="252" w:lineRule="auto"/>
              <w:rPr>
                <w:rFonts w:ascii="Arial"/>
                <w:sz w:val="21"/>
              </w:rPr>
            </w:pPr>
          </w:p>
          <w:p w14:paraId="40A04C43">
            <w:pPr>
              <w:spacing w:line="252" w:lineRule="auto"/>
              <w:rPr>
                <w:rFonts w:ascii="Arial"/>
                <w:sz w:val="21"/>
              </w:rPr>
            </w:pPr>
          </w:p>
          <w:p w14:paraId="17354F8E">
            <w:pPr>
              <w:spacing w:line="252" w:lineRule="auto"/>
              <w:rPr>
                <w:rFonts w:ascii="Arial"/>
                <w:sz w:val="21"/>
              </w:rPr>
            </w:pPr>
          </w:p>
          <w:p w14:paraId="212AA47A">
            <w:pPr>
              <w:spacing w:line="252" w:lineRule="auto"/>
              <w:rPr>
                <w:rFonts w:ascii="Arial"/>
                <w:sz w:val="21"/>
              </w:rPr>
            </w:pPr>
          </w:p>
          <w:p w14:paraId="5B690284">
            <w:pPr>
              <w:spacing w:line="252" w:lineRule="auto"/>
              <w:rPr>
                <w:rFonts w:ascii="Arial"/>
                <w:sz w:val="21"/>
              </w:rPr>
            </w:pPr>
          </w:p>
          <w:p w14:paraId="10B0236F">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C92CC12">
            <w:pPr>
              <w:spacing w:line="244" w:lineRule="auto"/>
              <w:rPr>
                <w:rFonts w:ascii="Arial"/>
                <w:sz w:val="21"/>
              </w:rPr>
            </w:pPr>
          </w:p>
          <w:p w14:paraId="244CEDFA">
            <w:pPr>
              <w:spacing w:line="244" w:lineRule="auto"/>
              <w:rPr>
                <w:rFonts w:ascii="Arial"/>
                <w:sz w:val="21"/>
              </w:rPr>
            </w:pPr>
          </w:p>
          <w:p w14:paraId="011E974B">
            <w:pPr>
              <w:spacing w:line="244" w:lineRule="auto"/>
              <w:rPr>
                <w:rFonts w:ascii="Arial"/>
                <w:sz w:val="21"/>
              </w:rPr>
            </w:pPr>
          </w:p>
          <w:p w14:paraId="54A384F4">
            <w:pPr>
              <w:spacing w:line="245" w:lineRule="auto"/>
              <w:rPr>
                <w:rFonts w:ascii="Arial"/>
                <w:sz w:val="21"/>
              </w:rPr>
            </w:pPr>
          </w:p>
          <w:p w14:paraId="5914C735">
            <w:pPr>
              <w:spacing w:line="245" w:lineRule="auto"/>
              <w:rPr>
                <w:rFonts w:ascii="Arial"/>
                <w:sz w:val="21"/>
              </w:rPr>
            </w:pPr>
          </w:p>
          <w:p w14:paraId="7C3364D5">
            <w:pPr>
              <w:spacing w:line="245" w:lineRule="auto"/>
              <w:rPr>
                <w:rFonts w:ascii="Arial"/>
                <w:sz w:val="21"/>
              </w:rPr>
            </w:pPr>
          </w:p>
          <w:p w14:paraId="33D1AD9A">
            <w:pPr>
              <w:spacing w:line="245" w:lineRule="auto"/>
              <w:rPr>
                <w:rFonts w:ascii="Arial"/>
                <w:sz w:val="21"/>
              </w:rPr>
            </w:pPr>
          </w:p>
          <w:p w14:paraId="78A49AEA">
            <w:pPr>
              <w:spacing w:line="245" w:lineRule="auto"/>
              <w:rPr>
                <w:rFonts w:ascii="Arial"/>
                <w:sz w:val="21"/>
              </w:rPr>
            </w:pPr>
          </w:p>
          <w:p w14:paraId="70A874AD">
            <w:pPr>
              <w:spacing w:line="245" w:lineRule="auto"/>
              <w:rPr>
                <w:rFonts w:ascii="Arial"/>
                <w:sz w:val="21"/>
              </w:rPr>
            </w:pPr>
          </w:p>
          <w:p w14:paraId="5A5FA00C">
            <w:pPr>
              <w:spacing w:line="245" w:lineRule="auto"/>
              <w:rPr>
                <w:rFonts w:ascii="Arial"/>
                <w:sz w:val="21"/>
              </w:rPr>
            </w:pPr>
          </w:p>
          <w:p w14:paraId="22C8E359">
            <w:pPr>
              <w:spacing w:line="245" w:lineRule="auto"/>
              <w:rPr>
                <w:rFonts w:ascii="Arial"/>
                <w:sz w:val="21"/>
              </w:rPr>
            </w:pPr>
          </w:p>
          <w:p w14:paraId="612558B6">
            <w:pPr>
              <w:spacing w:line="245" w:lineRule="auto"/>
              <w:rPr>
                <w:rFonts w:ascii="Arial"/>
                <w:sz w:val="21"/>
              </w:rPr>
            </w:pPr>
          </w:p>
          <w:p w14:paraId="4B89DC04">
            <w:pPr>
              <w:spacing w:line="245" w:lineRule="auto"/>
              <w:rPr>
                <w:rFonts w:ascii="Arial"/>
                <w:sz w:val="21"/>
              </w:rPr>
            </w:pPr>
          </w:p>
          <w:p w14:paraId="7427F57E">
            <w:pPr>
              <w:spacing w:line="245" w:lineRule="auto"/>
              <w:rPr>
                <w:rFonts w:ascii="Arial"/>
                <w:sz w:val="21"/>
              </w:rPr>
            </w:pPr>
          </w:p>
          <w:p w14:paraId="470A2880">
            <w:pPr>
              <w:spacing w:line="245" w:lineRule="auto"/>
              <w:rPr>
                <w:rFonts w:ascii="Arial"/>
                <w:sz w:val="21"/>
              </w:rPr>
            </w:pPr>
          </w:p>
          <w:p w14:paraId="6443E1E3">
            <w:pPr>
              <w:spacing w:line="245" w:lineRule="auto"/>
              <w:rPr>
                <w:rFonts w:ascii="Arial"/>
                <w:sz w:val="21"/>
              </w:rPr>
            </w:pPr>
          </w:p>
          <w:p w14:paraId="6EFEF8CB">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457AFA22">
      <w:pPr>
        <w:pStyle w:val="2"/>
        <w:spacing w:line="197" w:lineRule="exact"/>
        <w:rPr>
          <w:sz w:val="17"/>
        </w:rPr>
      </w:pPr>
    </w:p>
    <w:p w14:paraId="1F7F4B03">
      <w:pPr>
        <w:spacing w:line="197" w:lineRule="exact"/>
        <w:rPr>
          <w:sz w:val="17"/>
          <w:szCs w:val="17"/>
        </w:rPr>
        <w:sectPr>
          <w:footerReference r:id="rId193" w:type="default"/>
          <w:pgSz w:w="16839" w:h="11906"/>
          <w:pgMar w:top="1012" w:right="788" w:bottom="966" w:left="787" w:header="0" w:footer="768" w:gutter="0"/>
          <w:cols w:space="720" w:num="1"/>
        </w:sectPr>
      </w:pPr>
    </w:p>
    <w:p w14:paraId="63219D22">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7A803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660B191B">
            <w:pPr>
              <w:pStyle w:val="8"/>
              <w:spacing w:before="267" w:line="221" w:lineRule="auto"/>
              <w:ind w:left="142"/>
            </w:pPr>
            <w:r>
              <w:rPr>
                <w:b/>
                <w:bCs/>
                <w:spacing w:val="-4"/>
              </w:rPr>
              <w:t>序号</w:t>
            </w:r>
          </w:p>
        </w:tc>
        <w:tc>
          <w:tcPr>
            <w:tcW w:w="1136" w:type="dxa"/>
            <w:vMerge w:val="restart"/>
            <w:tcBorders>
              <w:bottom w:val="nil"/>
            </w:tcBorders>
            <w:vAlign w:val="top"/>
          </w:tcPr>
          <w:p w14:paraId="18F44886">
            <w:pPr>
              <w:pStyle w:val="8"/>
              <w:spacing w:before="267" w:line="220" w:lineRule="auto"/>
              <w:ind w:left="208"/>
            </w:pPr>
            <w:r>
              <w:rPr>
                <w:b/>
                <w:bCs/>
                <w:spacing w:val="-4"/>
              </w:rPr>
              <w:t>事项名称</w:t>
            </w:r>
          </w:p>
        </w:tc>
        <w:tc>
          <w:tcPr>
            <w:tcW w:w="1136" w:type="dxa"/>
            <w:vMerge w:val="restart"/>
            <w:tcBorders>
              <w:bottom w:val="nil"/>
            </w:tcBorders>
            <w:vAlign w:val="top"/>
          </w:tcPr>
          <w:p w14:paraId="02473B22">
            <w:pPr>
              <w:pStyle w:val="8"/>
              <w:spacing w:before="267" w:line="219" w:lineRule="auto"/>
              <w:ind w:left="210"/>
            </w:pPr>
            <w:r>
              <w:rPr>
                <w:b/>
                <w:bCs/>
                <w:spacing w:val="-4"/>
              </w:rPr>
              <w:t>职权类型</w:t>
            </w:r>
          </w:p>
        </w:tc>
        <w:tc>
          <w:tcPr>
            <w:tcW w:w="8806" w:type="dxa"/>
            <w:vMerge w:val="restart"/>
            <w:tcBorders>
              <w:bottom w:val="nil"/>
            </w:tcBorders>
            <w:vAlign w:val="top"/>
          </w:tcPr>
          <w:p w14:paraId="3EA55408">
            <w:pPr>
              <w:pStyle w:val="8"/>
              <w:spacing w:before="267" w:line="219" w:lineRule="auto"/>
              <w:ind w:left="4050"/>
            </w:pPr>
            <w:r>
              <w:rPr>
                <w:b/>
                <w:bCs/>
                <w:spacing w:val="-5"/>
              </w:rPr>
              <w:t>实施依据</w:t>
            </w:r>
          </w:p>
        </w:tc>
        <w:tc>
          <w:tcPr>
            <w:tcW w:w="3538" w:type="dxa"/>
            <w:gridSpan w:val="3"/>
            <w:vAlign w:val="top"/>
          </w:tcPr>
          <w:p w14:paraId="21BE9216">
            <w:pPr>
              <w:pStyle w:val="8"/>
              <w:spacing w:before="92" w:line="220" w:lineRule="auto"/>
              <w:ind w:left="1415"/>
            </w:pPr>
            <w:r>
              <w:rPr>
                <w:b/>
                <w:bCs/>
                <w:spacing w:val="-5"/>
              </w:rPr>
              <w:t>实施主体</w:t>
            </w:r>
          </w:p>
        </w:tc>
      </w:tr>
      <w:tr w14:paraId="4EA76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776871AD">
            <w:pPr>
              <w:rPr>
                <w:rFonts w:ascii="Arial"/>
                <w:sz w:val="21"/>
              </w:rPr>
            </w:pPr>
          </w:p>
        </w:tc>
        <w:tc>
          <w:tcPr>
            <w:tcW w:w="1136" w:type="dxa"/>
            <w:vMerge w:val="continue"/>
            <w:tcBorders>
              <w:top w:val="nil"/>
            </w:tcBorders>
            <w:vAlign w:val="top"/>
          </w:tcPr>
          <w:p w14:paraId="4230DB5F">
            <w:pPr>
              <w:rPr>
                <w:rFonts w:ascii="Arial"/>
                <w:sz w:val="21"/>
              </w:rPr>
            </w:pPr>
          </w:p>
        </w:tc>
        <w:tc>
          <w:tcPr>
            <w:tcW w:w="1136" w:type="dxa"/>
            <w:vMerge w:val="continue"/>
            <w:tcBorders>
              <w:top w:val="nil"/>
            </w:tcBorders>
            <w:vAlign w:val="top"/>
          </w:tcPr>
          <w:p w14:paraId="662F7D10">
            <w:pPr>
              <w:rPr>
                <w:rFonts w:ascii="Arial"/>
                <w:sz w:val="21"/>
              </w:rPr>
            </w:pPr>
          </w:p>
        </w:tc>
        <w:tc>
          <w:tcPr>
            <w:tcW w:w="8806" w:type="dxa"/>
            <w:vMerge w:val="continue"/>
            <w:tcBorders>
              <w:top w:val="nil"/>
            </w:tcBorders>
            <w:vAlign w:val="top"/>
          </w:tcPr>
          <w:p w14:paraId="28227977">
            <w:pPr>
              <w:rPr>
                <w:rFonts w:ascii="Arial"/>
                <w:sz w:val="21"/>
              </w:rPr>
            </w:pPr>
          </w:p>
        </w:tc>
        <w:tc>
          <w:tcPr>
            <w:tcW w:w="1043" w:type="dxa"/>
            <w:vAlign w:val="top"/>
          </w:tcPr>
          <w:p w14:paraId="296BDD7C">
            <w:pPr>
              <w:pStyle w:val="8"/>
              <w:spacing w:before="88" w:line="219" w:lineRule="auto"/>
              <w:ind w:left="171"/>
            </w:pPr>
            <w:r>
              <w:rPr>
                <w:b/>
                <w:bCs/>
                <w:spacing w:val="-5"/>
              </w:rPr>
              <w:t>责任部门</w:t>
            </w:r>
          </w:p>
        </w:tc>
        <w:tc>
          <w:tcPr>
            <w:tcW w:w="1448" w:type="dxa"/>
            <w:vAlign w:val="top"/>
          </w:tcPr>
          <w:p w14:paraId="2DACE919">
            <w:pPr>
              <w:pStyle w:val="8"/>
              <w:spacing w:before="88" w:line="219" w:lineRule="auto"/>
              <w:ind w:left="187"/>
            </w:pPr>
            <w:r>
              <w:rPr>
                <w:b/>
                <w:bCs/>
                <w:spacing w:val="-3"/>
              </w:rPr>
              <w:t>第一责任层级</w:t>
            </w:r>
          </w:p>
        </w:tc>
        <w:tc>
          <w:tcPr>
            <w:tcW w:w="1047" w:type="dxa"/>
            <w:vAlign w:val="top"/>
          </w:tcPr>
          <w:p w14:paraId="56717BDF">
            <w:pPr>
              <w:pStyle w:val="8"/>
              <w:spacing w:before="88" w:line="219" w:lineRule="auto"/>
              <w:ind w:left="165"/>
            </w:pPr>
            <w:r>
              <w:rPr>
                <w:b/>
                <w:bCs/>
                <w:spacing w:val="-4"/>
              </w:rPr>
              <w:t>承办机构</w:t>
            </w:r>
          </w:p>
        </w:tc>
      </w:tr>
      <w:tr w14:paraId="5610C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9" w:hRule="atLeast"/>
        </w:trPr>
        <w:tc>
          <w:tcPr>
            <w:tcW w:w="641" w:type="dxa"/>
            <w:vAlign w:val="top"/>
          </w:tcPr>
          <w:p w14:paraId="159798E7">
            <w:pPr>
              <w:rPr>
                <w:rFonts w:ascii="Arial"/>
                <w:sz w:val="21"/>
              </w:rPr>
            </w:pPr>
          </w:p>
        </w:tc>
        <w:tc>
          <w:tcPr>
            <w:tcW w:w="1136" w:type="dxa"/>
            <w:vAlign w:val="top"/>
          </w:tcPr>
          <w:p w14:paraId="4860319B">
            <w:pPr>
              <w:rPr>
                <w:rFonts w:ascii="Arial"/>
                <w:sz w:val="21"/>
              </w:rPr>
            </w:pPr>
          </w:p>
        </w:tc>
        <w:tc>
          <w:tcPr>
            <w:tcW w:w="1136" w:type="dxa"/>
            <w:vAlign w:val="top"/>
          </w:tcPr>
          <w:p w14:paraId="5B44692E">
            <w:pPr>
              <w:rPr>
                <w:rFonts w:ascii="Arial"/>
                <w:sz w:val="21"/>
              </w:rPr>
            </w:pPr>
          </w:p>
        </w:tc>
        <w:tc>
          <w:tcPr>
            <w:tcW w:w="8806" w:type="dxa"/>
            <w:vAlign w:val="top"/>
          </w:tcPr>
          <w:p w14:paraId="688BF416">
            <w:pPr>
              <w:pStyle w:val="8"/>
              <w:spacing w:before="40" w:line="238" w:lineRule="auto"/>
              <w:ind w:left="109" w:right="28"/>
              <w:jc w:val="both"/>
            </w:pPr>
            <w:r>
              <w:rPr>
                <w:spacing w:val="-5"/>
              </w:rPr>
              <w:t>场穿带钉的鞋靴或者穿着、更换化纤服装</w:t>
            </w:r>
            <w:r>
              <w:rPr>
                <w:spacing w:val="-22"/>
              </w:rPr>
              <w:t>；（</w:t>
            </w:r>
            <w:r>
              <w:rPr>
                <w:spacing w:val="-5"/>
              </w:rPr>
              <w:t>十五）在海</w:t>
            </w:r>
            <w:r>
              <w:rPr>
                <w:spacing w:val="-6"/>
              </w:rPr>
              <w:t>事管理机构公布的水域以外擅自从事过驳作业</w:t>
            </w:r>
            <w:r>
              <w:rPr>
                <w:spacing w:val="-22"/>
              </w:rPr>
              <w:t>；（</w:t>
            </w:r>
            <w:r>
              <w:rPr>
                <w:spacing w:val="-6"/>
              </w:rPr>
              <w:t>十六）</w:t>
            </w:r>
            <w:r>
              <w:rPr>
                <w:spacing w:val="2"/>
              </w:rPr>
              <w:t xml:space="preserve"> </w:t>
            </w:r>
            <w:r>
              <w:rPr>
                <w:spacing w:val="-5"/>
              </w:rPr>
              <w:t>在进行液货船水上过驳作业时违反安全与防污染管理规</w:t>
            </w:r>
            <w:r>
              <w:rPr>
                <w:spacing w:val="-6"/>
              </w:rPr>
              <w:t>定，或者违反安全操作规程</w:t>
            </w:r>
            <w:r>
              <w:rPr>
                <w:spacing w:val="-19"/>
              </w:rPr>
              <w:t>；（</w:t>
            </w:r>
            <w:r>
              <w:rPr>
                <w:spacing w:val="-6"/>
              </w:rPr>
              <w:t>十七）船舶进行供油作业</w:t>
            </w:r>
            <w:r>
              <w:t xml:space="preserve">  </w:t>
            </w:r>
            <w:r>
              <w:rPr>
                <w:spacing w:val="-7"/>
              </w:rPr>
              <w:t>时，不按照规定填写《供受油作业安全检查表》，或者不按照《供受油作业安全检查表》采取安全和防污染措施；</w:t>
            </w:r>
            <w:r>
              <w:rPr>
                <w:spacing w:val="11"/>
              </w:rPr>
              <w:t xml:space="preserve"> </w:t>
            </w:r>
            <w:r>
              <w:rPr>
                <w:spacing w:val="-6"/>
              </w:rPr>
              <w:t>（十八）船舶载运危险货物，向海事管理机构申报时隐瞒、谎报危险货物性质或者提交涂改、伪造、变造的</w:t>
            </w:r>
            <w:r>
              <w:rPr>
                <w:spacing w:val="-7"/>
              </w:rPr>
              <w:t>危险</w:t>
            </w:r>
            <w:r>
              <w:t xml:space="preserve">  </w:t>
            </w:r>
            <w:r>
              <w:rPr>
                <w:spacing w:val="-5"/>
              </w:rPr>
              <w:t>货物单证</w:t>
            </w:r>
            <w:r>
              <w:rPr>
                <w:spacing w:val="-19"/>
              </w:rPr>
              <w:t>；（</w:t>
            </w:r>
            <w:r>
              <w:rPr>
                <w:spacing w:val="-5"/>
              </w:rPr>
              <w:t>十九）在航行、装卸或者停泊时，未按照规定显示信号。</w:t>
            </w:r>
          </w:p>
          <w:p w14:paraId="48B2E977">
            <w:pPr>
              <w:pStyle w:val="8"/>
              <w:spacing w:before="3" w:line="248" w:lineRule="auto"/>
              <w:ind w:left="110" w:right="42" w:firstLine="348"/>
              <w:jc w:val="both"/>
            </w:pPr>
            <w:r>
              <w:rPr>
                <w:spacing w:val="-6"/>
              </w:rPr>
              <w:t>第二十五条</w:t>
            </w:r>
            <w:r>
              <w:rPr>
                <w:spacing w:val="81"/>
              </w:rPr>
              <w:t xml:space="preserve"> </w:t>
            </w:r>
            <w:r>
              <w:rPr>
                <w:spacing w:val="-6"/>
              </w:rPr>
              <w:t>违反《</w:t>
            </w:r>
            <w:r>
              <w:fldChar w:fldCharType="begin"/>
            </w:r>
            <w:r>
              <w:instrText xml:space="preserve"> HYPERLINK "https://lawv4.wkinfo.com.cn/document/show?collection=legislation&amp;aid=MTAxMDAxMDgzMDU=&amp;language=%E4%B8%AD%E6%96%87" </w:instrText>
            </w:r>
            <w:r>
              <w:fldChar w:fldCharType="separate"/>
            </w:r>
            <w:r>
              <w:rPr>
                <w:spacing w:val="-6"/>
              </w:rPr>
              <w:t>危险化学品安全管理条例</w:t>
            </w:r>
            <w:r>
              <w:rPr>
                <w:spacing w:val="-6"/>
              </w:rPr>
              <w:fldChar w:fldCharType="end"/>
            </w:r>
            <w:r>
              <w:rPr>
                <w:spacing w:val="-6"/>
              </w:rPr>
              <w:t>》</w:t>
            </w:r>
            <w:r>
              <w:fldChar w:fldCharType="begin"/>
            </w:r>
            <w:r>
              <w:instrText xml:space="preserve"> HYPERLINK "https://lawv4.wkinfo.com.cn/document/show?collection=legislation&amp;aid=MTAxMDAxMDgzMDU=&amp;language=%E4%B8%AD%E6%96%87" </w:instrText>
            </w:r>
            <w:r>
              <w:fldChar w:fldCharType="separate"/>
            </w:r>
            <w:r>
              <w:rPr>
                <w:spacing w:val="-6"/>
              </w:rPr>
              <w:t>第六十三条</w:t>
            </w:r>
            <w:r>
              <w:rPr>
                <w:spacing w:val="-6"/>
              </w:rPr>
              <w:fldChar w:fldCharType="end"/>
            </w:r>
            <w:r>
              <w:rPr>
                <w:spacing w:val="-6"/>
              </w:rPr>
              <w:t>的规定，通过船舶载运危险化学品，托</w:t>
            </w:r>
            <w:r>
              <w:rPr>
                <w:spacing w:val="-7"/>
              </w:rPr>
              <w:t>运人不向</w:t>
            </w:r>
            <w:r>
              <w:t xml:space="preserve">  </w:t>
            </w:r>
            <w:r>
              <w:rPr>
                <w:spacing w:val="-6"/>
              </w:rPr>
              <w:t>承运人说明所托运的危险化学品的种类、数量、危险特性以及发生危险情况的应急处置措施，或者未按照</w:t>
            </w:r>
            <w:r>
              <w:rPr>
                <w:spacing w:val="-7"/>
              </w:rPr>
              <w:t>国家有</w:t>
            </w:r>
            <w:r>
              <w:t xml:space="preserve">  </w:t>
            </w:r>
            <w:r>
              <w:rPr>
                <w:spacing w:val="-6"/>
              </w:rPr>
              <w:t>关规定对所托运的危险化学品妥善包装并在外包装上设置相应标志的，依照《</w:t>
            </w:r>
            <w:r>
              <w:fldChar w:fldCharType="begin"/>
            </w:r>
            <w:r>
              <w:instrText xml:space="preserve"> HYPERLINK "https://lawv4.wkinfo.com.cn/document/show?collection=legislation&amp;aid=MTAxMDAxMDgzMDU=&amp;language=%E4%B8%AD%E6%96%87" </w:instrText>
            </w:r>
            <w:r>
              <w:fldChar w:fldCharType="separate"/>
            </w:r>
            <w:r>
              <w:rPr>
                <w:spacing w:val="-6"/>
              </w:rPr>
              <w:t>危险化学品安全管理条例</w:t>
            </w:r>
            <w:r>
              <w:rPr>
                <w:spacing w:val="-6"/>
              </w:rPr>
              <w:fldChar w:fldCharType="end"/>
            </w:r>
            <w:r>
              <w:rPr>
                <w:spacing w:val="-6"/>
              </w:rPr>
              <w:t>》</w:t>
            </w:r>
            <w:r>
              <w:fldChar w:fldCharType="begin"/>
            </w:r>
            <w:r>
              <w:instrText xml:space="preserve"> HYPERLINK "https://lawv4.wkinfo.com.cn/document/show?collection=legislation&amp;aid=MTAxMDAxMDgzMDU=&amp;language=%E4%B8%AD%E6%96%87" </w:instrText>
            </w:r>
            <w:r>
              <w:fldChar w:fldCharType="separate"/>
            </w:r>
            <w:r>
              <w:rPr>
                <w:spacing w:val="-7"/>
              </w:rPr>
              <w:t>第八十</w:t>
            </w:r>
            <w:r>
              <w:rPr>
                <w:spacing w:val="-7"/>
              </w:rPr>
              <w:fldChar w:fldCharType="end"/>
            </w:r>
            <w:r>
              <w:t xml:space="preserve">  </w:t>
            </w:r>
            <w:r>
              <w:rPr>
                <w:spacing w:val="-8"/>
              </w:rPr>
              <w:t>六条的规定，由海事管理机构责令改正，对托运人处以</w:t>
            </w:r>
            <w:r>
              <w:rPr>
                <w:spacing w:val="-9"/>
              </w:rPr>
              <w:t>5万元以上10万元以下的罚款；拒不改正的，责令停航整顿。</w:t>
            </w:r>
          </w:p>
        </w:tc>
        <w:tc>
          <w:tcPr>
            <w:tcW w:w="1043" w:type="dxa"/>
            <w:vAlign w:val="top"/>
          </w:tcPr>
          <w:p w14:paraId="0F779E60">
            <w:pPr>
              <w:rPr>
                <w:rFonts w:ascii="Arial"/>
                <w:sz w:val="21"/>
              </w:rPr>
            </w:pPr>
          </w:p>
        </w:tc>
        <w:tc>
          <w:tcPr>
            <w:tcW w:w="1448" w:type="dxa"/>
            <w:vAlign w:val="top"/>
          </w:tcPr>
          <w:p w14:paraId="7162932E">
            <w:pPr>
              <w:rPr>
                <w:rFonts w:ascii="Arial"/>
                <w:sz w:val="21"/>
              </w:rPr>
            </w:pPr>
          </w:p>
        </w:tc>
        <w:tc>
          <w:tcPr>
            <w:tcW w:w="1047" w:type="dxa"/>
            <w:vAlign w:val="top"/>
          </w:tcPr>
          <w:p w14:paraId="3CA0B2DE">
            <w:pPr>
              <w:rPr>
                <w:rFonts w:ascii="Arial"/>
                <w:sz w:val="21"/>
              </w:rPr>
            </w:pPr>
          </w:p>
        </w:tc>
      </w:tr>
      <w:tr w14:paraId="2D7A6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5" w:hRule="atLeast"/>
        </w:trPr>
        <w:tc>
          <w:tcPr>
            <w:tcW w:w="641" w:type="dxa"/>
            <w:vAlign w:val="top"/>
          </w:tcPr>
          <w:p w14:paraId="7C13577E">
            <w:pPr>
              <w:spacing w:line="282" w:lineRule="auto"/>
              <w:rPr>
                <w:rFonts w:ascii="Arial"/>
                <w:sz w:val="21"/>
              </w:rPr>
            </w:pPr>
          </w:p>
          <w:p w14:paraId="7D722743">
            <w:pPr>
              <w:spacing w:line="282" w:lineRule="auto"/>
              <w:rPr>
                <w:rFonts w:ascii="Arial"/>
                <w:sz w:val="21"/>
              </w:rPr>
            </w:pPr>
          </w:p>
          <w:p w14:paraId="1529F96B">
            <w:pPr>
              <w:spacing w:line="282" w:lineRule="auto"/>
              <w:rPr>
                <w:rFonts w:ascii="Arial"/>
                <w:sz w:val="21"/>
              </w:rPr>
            </w:pPr>
          </w:p>
          <w:p w14:paraId="34F45FBA">
            <w:pPr>
              <w:spacing w:line="282" w:lineRule="auto"/>
              <w:rPr>
                <w:rFonts w:ascii="Arial"/>
                <w:sz w:val="21"/>
              </w:rPr>
            </w:pPr>
          </w:p>
          <w:p w14:paraId="28139BE2">
            <w:pPr>
              <w:pStyle w:val="8"/>
              <w:spacing w:before="58" w:line="184" w:lineRule="auto"/>
              <w:ind w:left="238"/>
            </w:pPr>
            <w:r>
              <w:rPr>
                <w:spacing w:val="-5"/>
              </w:rPr>
              <w:t>51</w:t>
            </w:r>
          </w:p>
        </w:tc>
        <w:tc>
          <w:tcPr>
            <w:tcW w:w="1136" w:type="dxa"/>
            <w:vAlign w:val="top"/>
          </w:tcPr>
          <w:p w14:paraId="767BD679">
            <w:pPr>
              <w:spacing w:line="266" w:lineRule="auto"/>
              <w:rPr>
                <w:rFonts w:ascii="Arial"/>
                <w:sz w:val="21"/>
              </w:rPr>
            </w:pPr>
          </w:p>
          <w:p w14:paraId="56AB92E6">
            <w:pPr>
              <w:pStyle w:val="8"/>
              <w:spacing w:before="58" w:line="243" w:lineRule="auto"/>
              <w:ind w:left="109" w:right="104"/>
            </w:pPr>
            <w:r>
              <w:rPr>
                <w:spacing w:val="3"/>
              </w:rPr>
              <w:t>对使用未依</w:t>
            </w:r>
            <w:r>
              <w:rPr>
                <w:spacing w:val="1"/>
              </w:rPr>
              <w:t xml:space="preserve"> </w:t>
            </w:r>
            <w:r>
              <w:rPr>
                <w:spacing w:val="3"/>
              </w:rPr>
              <w:t>法取得危险</w:t>
            </w:r>
            <w:r>
              <w:rPr>
                <w:spacing w:val="1"/>
              </w:rPr>
              <w:t xml:space="preserve"> </w:t>
            </w:r>
            <w:r>
              <w:rPr>
                <w:spacing w:val="3"/>
              </w:rPr>
              <w:t>货物适装证</w:t>
            </w:r>
            <w:r>
              <w:rPr>
                <w:spacing w:val="1"/>
              </w:rPr>
              <w:t xml:space="preserve"> </w:t>
            </w:r>
            <w:r>
              <w:rPr>
                <w:spacing w:val="2"/>
              </w:rPr>
              <w:t>书的船舶，</w:t>
            </w:r>
            <w:r>
              <w:t xml:space="preserve"> </w:t>
            </w:r>
            <w:r>
              <w:rPr>
                <w:spacing w:val="3"/>
              </w:rPr>
              <w:t>通过内河运</w:t>
            </w:r>
            <w:r>
              <w:rPr>
                <w:spacing w:val="1"/>
              </w:rPr>
              <w:t xml:space="preserve"> </w:t>
            </w:r>
            <w:r>
              <w:rPr>
                <w:spacing w:val="3"/>
              </w:rPr>
              <w:t>输危险化学</w:t>
            </w:r>
            <w:r>
              <w:rPr>
                <w:spacing w:val="1"/>
              </w:rPr>
              <w:t xml:space="preserve"> </w:t>
            </w:r>
            <w:r>
              <w:rPr>
                <w:spacing w:val="3"/>
              </w:rPr>
              <w:t>品行为的行</w:t>
            </w:r>
            <w:r>
              <w:rPr>
                <w:spacing w:val="1"/>
              </w:rPr>
              <w:t xml:space="preserve"> </w:t>
            </w:r>
            <w:r>
              <w:rPr>
                <w:spacing w:val="-4"/>
              </w:rPr>
              <w:t>政处罚</w:t>
            </w:r>
          </w:p>
        </w:tc>
        <w:tc>
          <w:tcPr>
            <w:tcW w:w="1136" w:type="dxa"/>
            <w:vAlign w:val="top"/>
          </w:tcPr>
          <w:p w14:paraId="4D44380A">
            <w:pPr>
              <w:spacing w:line="275" w:lineRule="auto"/>
              <w:rPr>
                <w:rFonts w:ascii="Arial"/>
                <w:sz w:val="21"/>
              </w:rPr>
            </w:pPr>
          </w:p>
          <w:p w14:paraId="3BDD6DBB">
            <w:pPr>
              <w:spacing w:line="275" w:lineRule="auto"/>
              <w:rPr>
                <w:rFonts w:ascii="Arial"/>
                <w:sz w:val="21"/>
              </w:rPr>
            </w:pPr>
          </w:p>
          <w:p w14:paraId="21380F4B">
            <w:pPr>
              <w:spacing w:line="275" w:lineRule="auto"/>
              <w:rPr>
                <w:rFonts w:ascii="Arial"/>
                <w:sz w:val="21"/>
              </w:rPr>
            </w:pPr>
          </w:p>
          <w:p w14:paraId="33A750FA">
            <w:pPr>
              <w:spacing w:line="275" w:lineRule="auto"/>
              <w:rPr>
                <w:rFonts w:ascii="Arial"/>
                <w:sz w:val="21"/>
              </w:rPr>
            </w:pPr>
          </w:p>
          <w:p w14:paraId="4AC71EFA">
            <w:pPr>
              <w:pStyle w:val="8"/>
              <w:spacing w:before="59" w:line="220" w:lineRule="auto"/>
              <w:ind w:left="114"/>
            </w:pPr>
            <w:r>
              <w:rPr>
                <w:spacing w:val="-7"/>
              </w:rPr>
              <w:t>行政处罚</w:t>
            </w:r>
          </w:p>
        </w:tc>
        <w:tc>
          <w:tcPr>
            <w:tcW w:w="8806" w:type="dxa"/>
            <w:vAlign w:val="top"/>
          </w:tcPr>
          <w:p w14:paraId="08AD5591">
            <w:pPr>
              <w:pStyle w:val="8"/>
              <w:spacing w:before="206" w:line="219" w:lineRule="auto"/>
              <w:ind w:left="464"/>
            </w:pPr>
            <w:r>
              <w:rPr>
                <w:b/>
                <w:bCs/>
                <w:spacing w:val="-8"/>
              </w:rPr>
              <w:t>《危险化学品安全管理条例》</w:t>
            </w:r>
          </w:p>
          <w:p w14:paraId="747DDB23">
            <w:pPr>
              <w:pStyle w:val="8"/>
              <w:spacing w:before="26" w:line="237" w:lineRule="auto"/>
              <w:ind w:left="110" w:right="95" w:firstLine="355"/>
              <w:jc w:val="both"/>
            </w:pPr>
            <w:r>
              <w:rPr>
                <w:spacing w:val="-8"/>
              </w:rPr>
              <w:t>第五十七条</w:t>
            </w:r>
            <w:r>
              <w:rPr>
                <w:spacing w:val="73"/>
              </w:rPr>
              <w:t xml:space="preserve"> </w:t>
            </w:r>
            <w:r>
              <w:rPr>
                <w:spacing w:val="-8"/>
              </w:rPr>
              <w:t>通过内河运输危险化学品，应当使用依法取得危险货物适装证书的运输船舶</w:t>
            </w:r>
            <w:r>
              <w:rPr>
                <w:spacing w:val="-9"/>
              </w:rPr>
              <w:t>。水路运输企业应当</w:t>
            </w:r>
            <w:r>
              <w:t xml:space="preserve"> </w:t>
            </w:r>
            <w:r>
              <w:rPr>
                <w:spacing w:val="-8"/>
              </w:rPr>
              <w:t>针对所运输的危险化学品的危险特性，制定运输船舶危险化学品事故应急救援预案，并为运输船舶</w:t>
            </w:r>
            <w:r>
              <w:rPr>
                <w:spacing w:val="-9"/>
              </w:rPr>
              <w:t>配备充足、有效</w:t>
            </w:r>
            <w:r>
              <w:t xml:space="preserve"> </w:t>
            </w:r>
            <w:r>
              <w:rPr>
                <w:spacing w:val="-8"/>
              </w:rPr>
              <w:t>的应急救援器材和设备。</w:t>
            </w:r>
          </w:p>
          <w:p w14:paraId="57253587">
            <w:pPr>
              <w:pStyle w:val="8"/>
              <w:spacing w:before="25" w:line="233" w:lineRule="auto"/>
              <w:ind w:left="127" w:right="249" w:firstLine="338"/>
            </w:pPr>
            <w:r>
              <w:rPr>
                <w:spacing w:val="-8"/>
              </w:rPr>
              <w:t>通过内河运输危险化学品的船舶，其所有人或者经营人应当取得船舶污染损害责任保险证书或者财务担保证</w:t>
            </w:r>
            <w:r>
              <w:t xml:space="preserve"> </w:t>
            </w:r>
            <w:r>
              <w:rPr>
                <w:spacing w:val="-8"/>
              </w:rPr>
              <w:t>明。船舶污染损害责任保险证书或者财务担保证明</w:t>
            </w:r>
            <w:r>
              <w:rPr>
                <w:spacing w:val="-9"/>
              </w:rPr>
              <w:t>的副本应当随船携带。</w:t>
            </w:r>
          </w:p>
          <w:p w14:paraId="2F268A2B">
            <w:pPr>
              <w:pStyle w:val="8"/>
              <w:spacing w:before="27" w:line="237" w:lineRule="auto"/>
              <w:ind w:left="109" w:right="56" w:firstLine="355"/>
            </w:pPr>
            <w:r>
              <w:rPr>
                <w:spacing w:val="-9"/>
              </w:rPr>
              <w:t>第八十六条第（三）项</w:t>
            </w:r>
            <w:r>
              <w:rPr>
                <w:spacing w:val="78"/>
              </w:rPr>
              <w:t xml:space="preserve"> </w:t>
            </w:r>
            <w:r>
              <w:rPr>
                <w:spacing w:val="-9"/>
              </w:rPr>
              <w:t>有下列情形之一的，由交通运输主管部门责令改正，处5万元以上10万元以下的罚款；</w:t>
            </w:r>
            <w:r>
              <w:t xml:space="preserve"> </w:t>
            </w:r>
            <w:r>
              <w:rPr>
                <w:spacing w:val="-7"/>
              </w:rPr>
              <w:t>拒不改正的，责令停产停业整顿；构成犯罪的，</w:t>
            </w:r>
            <w:r>
              <w:rPr>
                <w:spacing w:val="-8"/>
              </w:rPr>
              <w:t>依法追究刑事责任</w:t>
            </w:r>
            <w:r>
              <w:rPr>
                <w:spacing w:val="-22"/>
              </w:rPr>
              <w:t>：（</w:t>
            </w:r>
            <w:r>
              <w:rPr>
                <w:spacing w:val="-8"/>
              </w:rPr>
              <w:t>三）使用未依法取得危险货物适装证书的船</w:t>
            </w:r>
            <w:r>
              <w:rPr>
                <w:spacing w:val="1"/>
              </w:rPr>
              <w:t xml:space="preserve"> </w:t>
            </w:r>
            <w:r>
              <w:rPr>
                <w:spacing w:val="-8"/>
              </w:rPr>
              <w:t>舶，通过内河运输危险化学品的。</w:t>
            </w:r>
          </w:p>
        </w:tc>
        <w:tc>
          <w:tcPr>
            <w:tcW w:w="1043" w:type="dxa"/>
            <w:vAlign w:val="top"/>
          </w:tcPr>
          <w:p w14:paraId="0B68698F">
            <w:pPr>
              <w:spacing w:line="245" w:lineRule="auto"/>
              <w:rPr>
                <w:rFonts w:ascii="Arial"/>
                <w:sz w:val="21"/>
              </w:rPr>
            </w:pPr>
          </w:p>
          <w:p w14:paraId="2C6C1BF6">
            <w:pPr>
              <w:spacing w:line="245" w:lineRule="auto"/>
              <w:rPr>
                <w:rFonts w:ascii="Arial"/>
                <w:sz w:val="21"/>
              </w:rPr>
            </w:pPr>
          </w:p>
          <w:p w14:paraId="491E9A0F">
            <w:pPr>
              <w:spacing w:line="245" w:lineRule="auto"/>
              <w:rPr>
                <w:rFonts w:ascii="Arial"/>
                <w:sz w:val="21"/>
              </w:rPr>
            </w:pPr>
          </w:p>
          <w:p w14:paraId="1AB186FD">
            <w:pPr>
              <w:spacing w:line="246" w:lineRule="auto"/>
              <w:rPr>
                <w:rFonts w:ascii="Arial"/>
                <w:sz w:val="21"/>
              </w:rPr>
            </w:pPr>
          </w:p>
          <w:p w14:paraId="3F11EB10">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32FA80F5">
            <w:pPr>
              <w:spacing w:line="275" w:lineRule="auto"/>
              <w:rPr>
                <w:rFonts w:ascii="Arial"/>
                <w:sz w:val="21"/>
              </w:rPr>
            </w:pPr>
          </w:p>
          <w:p w14:paraId="103CC6D8">
            <w:pPr>
              <w:spacing w:line="275" w:lineRule="auto"/>
              <w:rPr>
                <w:rFonts w:ascii="Arial"/>
                <w:sz w:val="21"/>
              </w:rPr>
            </w:pPr>
          </w:p>
          <w:p w14:paraId="64A187B1">
            <w:pPr>
              <w:spacing w:line="275" w:lineRule="auto"/>
              <w:rPr>
                <w:rFonts w:ascii="Arial"/>
                <w:sz w:val="21"/>
              </w:rPr>
            </w:pPr>
          </w:p>
          <w:p w14:paraId="364D39B5">
            <w:pPr>
              <w:spacing w:line="276" w:lineRule="auto"/>
              <w:rPr>
                <w:rFonts w:ascii="Arial"/>
                <w:sz w:val="21"/>
              </w:rPr>
            </w:pPr>
          </w:p>
          <w:p w14:paraId="7913709F">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7C3B4A5">
            <w:pPr>
              <w:spacing w:line="248" w:lineRule="auto"/>
              <w:rPr>
                <w:rFonts w:ascii="Arial"/>
                <w:sz w:val="21"/>
              </w:rPr>
            </w:pPr>
          </w:p>
          <w:p w14:paraId="144013FD">
            <w:pPr>
              <w:spacing w:line="248" w:lineRule="auto"/>
              <w:rPr>
                <w:rFonts w:ascii="Arial"/>
                <w:sz w:val="21"/>
              </w:rPr>
            </w:pPr>
          </w:p>
          <w:p w14:paraId="6D4E8116">
            <w:pPr>
              <w:spacing w:line="248" w:lineRule="auto"/>
              <w:rPr>
                <w:rFonts w:ascii="Arial"/>
                <w:sz w:val="21"/>
              </w:rPr>
            </w:pPr>
          </w:p>
          <w:p w14:paraId="4B11C6FA">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A5C3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9" w:hRule="atLeast"/>
        </w:trPr>
        <w:tc>
          <w:tcPr>
            <w:tcW w:w="641" w:type="dxa"/>
            <w:vAlign w:val="top"/>
          </w:tcPr>
          <w:p w14:paraId="4174A142">
            <w:pPr>
              <w:spacing w:line="258" w:lineRule="auto"/>
              <w:rPr>
                <w:rFonts w:ascii="Arial"/>
                <w:sz w:val="21"/>
              </w:rPr>
            </w:pPr>
          </w:p>
          <w:p w14:paraId="3F81B3FC">
            <w:pPr>
              <w:spacing w:line="258" w:lineRule="auto"/>
              <w:rPr>
                <w:rFonts w:ascii="Arial"/>
                <w:sz w:val="21"/>
              </w:rPr>
            </w:pPr>
          </w:p>
          <w:p w14:paraId="6D02B90D">
            <w:pPr>
              <w:spacing w:line="258" w:lineRule="auto"/>
              <w:rPr>
                <w:rFonts w:ascii="Arial"/>
                <w:sz w:val="21"/>
              </w:rPr>
            </w:pPr>
          </w:p>
          <w:p w14:paraId="00753144">
            <w:pPr>
              <w:spacing w:line="258" w:lineRule="auto"/>
              <w:rPr>
                <w:rFonts w:ascii="Arial"/>
                <w:sz w:val="21"/>
              </w:rPr>
            </w:pPr>
          </w:p>
          <w:p w14:paraId="0E3FA361">
            <w:pPr>
              <w:spacing w:line="258" w:lineRule="auto"/>
              <w:rPr>
                <w:rFonts w:ascii="Arial"/>
                <w:sz w:val="21"/>
              </w:rPr>
            </w:pPr>
          </w:p>
          <w:p w14:paraId="51D4268F">
            <w:pPr>
              <w:spacing w:line="258" w:lineRule="auto"/>
              <w:rPr>
                <w:rFonts w:ascii="Arial"/>
                <w:sz w:val="21"/>
              </w:rPr>
            </w:pPr>
          </w:p>
          <w:p w14:paraId="6A4DFFA9">
            <w:pPr>
              <w:spacing w:line="259" w:lineRule="auto"/>
              <w:rPr>
                <w:rFonts w:ascii="Arial"/>
                <w:sz w:val="21"/>
              </w:rPr>
            </w:pPr>
          </w:p>
          <w:p w14:paraId="014B9785">
            <w:pPr>
              <w:pStyle w:val="8"/>
              <w:spacing w:before="58" w:line="183" w:lineRule="auto"/>
              <w:ind w:left="238"/>
            </w:pPr>
            <w:r>
              <w:rPr>
                <w:spacing w:val="-5"/>
              </w:rPr>
              <w:t>52</w:t>
            </w:r>
          </w:p>
        </w:tc>
        <w:tc>
          <w:tcPr>
            <w:tcW w:w="1136" w:type="dxa"/>
            <w:vAlign w:val="top"/>
          </w:tcPr>
          <w:p w14:paraId="5A3E561A">
            <w:pPr>
              <w:spacing w:line="353" w:lineRule="auto"/>
              <w:rPr>
                <w:rFonts w:ascii="Arial"/>
                <w:sz w:val="21"/>
              </w:rPr>
            </w:pPr>
          </w:p>
          <w:p w14:paraId="0474A594">
            <w:pPr>
              <w:pStyle w:val="8"/>
              <w:spacing w:before="58" w:line="244" w:lineRule="auto"/>
              <w:ind w:left="109" w:right="104"/>
              <w:jc w:val="both"/>
            </w:pPr>
            <w:r>
              <w:rPr>
                <w:spacing w:val="3"/>
              </w:rPr>
              <w:t>对通过内河</w:t>
            </w:r>
            <w:r>
              <w:rPr>
                <w:spacing w:val="1"/>
              </w:rPr>
              <w:t xml:space="preserve"> </w:t>
            </w:r>
            <w:r>
              <w:rPr>
                <w:spacing w:val="3"/>
              </w:rPr>
              <w:t>运输危险化</w:t>
            </w:r>
            <w:r>
              <w:t xml:space="preserve"> </w:t>
            </w:r>
            <w:r>
              <w:rPr>
                <w:spacing w:val="3"/>
              </w:rPr>
              <w:t>学品的承运</w:t>
            </w:r>
            <w:r>
              <w:t xml:space="preserve"> </w:t>
            </w:r>
            <w:r>
              <w:rPr>
                <w:spacing w:val="3"/>
              </w:rPr>
              <w:t>人违反国务</w:t>
            </w:r>
            <w:r>
              <w:t xml:space="preserve"> </w:t>
            </w:r>
            <w:r>
              <w:rPr>
                <w:spacing w:val="3"/>
              </w:rPr>
              <w:t>院交通运输</w:t>
            </w:r>
            <w:r>
              <w:t xml:space="preserve"> </w:t>
            </w:r>
            <w:r>
              <w:rPr>
                <w:spacing w:val="3"/>
              </w:rPr>
              <w:t>主管部门对</w:t>
            </w:r>
            <w:r>
              <w:t xml:space="preserve"> </w:t>
            </w:r>
            <w:r>
              <w:rPr>
                <w:spacing w:val="3"/>
              </w:rPr>
              <w:t>单船运输的</w:t>
            </w:r>
            <w:r>
              <w:t xml:space="preserve"> </w:t>
            </w:r>
            <w:r>
              <w:rPr>
                <w:spacing w:val="3"/>
              </w:rPr>
              <w:t>危险化学品</w:t>
            </w:r>
            <w:r>
              <w:t xml:space="preserve"> </w:t>
            </w:r>
            <w:r>
              <w:rPr>
                <w:spacing w:val="3"/>
              </w:rPr>
              <w:t>数量的限制</w:t>
            </w:r>
            <w:r>
              <w:t xml:space="preserve"> </w:t>
            </w:r>
            <w:r>
              <w:rPr>
                <w:spacing w:val="3"/>
              </w:rPr>
              <w:t>性规定运输</w:t>
            </w:r>
            <w:r>
              <w:t xml:space="preserve"> </w:t>
            </w:r>
            <w:r>
              <w:rPr>
                <w:spacing w:val="3"/>
              </w:rPr>
              <w:t>危险化学品</w:t>
            </w:r>
            <w:r>
              <w:t xml:space="preserve"> </w:t>
            </w:r>
            <w:r>
              <w:rPr>
                <w:spacing w:val="3"/>
              </w:rPr>
              <w:t>行为的行政</w:t>
            </w:r>
            <w:r>
              <w:t xml:space="preserve"> </w:t>
            </w:r>
            <w:r>
              <w:rPr>
                <w:spacing w:val="-4"/>
              </w:rPr>
              <w:t>处罚</w:t>
            </w:r>
          </w:p>
        </w:tc>
        <w:tc>
          <w:tcPr>
            <w:tcW w:w="1136" w:type="dxa"/>
            <w:vAlign w:val="top"/>
          </w:tcPr>
          <w:p w14:paraId="18C953A5">
            <w:pPr>
              <w:spacing w:line="254" w:lineRule="auto"/>
              <w:rPr>
                <w:rFonts w:ascii="Arial"/>
                <w:sz w:val="21"/>
              </w:rPr>
            </w:pPr>
          </w:p>
          <w:p w14:paraId="6BA9524B">
            <w:pPr>
              <w:spacing w:line="254" w:lineRule="auto"/>
              <w:rPr>
                <w:rFonts w:ascii="Arial"/>
                <w:sz w:val="21"/>
              </w:rPr>
            </w:pPr>
          </w:p>
          <w:p w14:paraId="26035491">
            <w:pPr>
              <w:spacing w:line="254" w:lineRule="auto"/>
              <w:rPr>
                <w:rFonts w:ascii="Arial"/>
                <w:sz w:val="21"/>
              </w:rPr>
            </w:pPr>
          </w:p>
          <w:p w14:paraId="639C823F">
            <w:pPr>
              <w:spacing w:line="254" w:lineRule="auto"/>
              <w:rPr>
                <w:rFonts w:ascii="Arial"/>
                <w:sz w:val="21"/>
              </w:rPr>
            </w:pPr>
          </w:p>
          <w:p w14:paraId="3B484F9A">
            <w:pPr>
              <w:spacing w:line="254" w:lineRule="auto"/>
              <w:rPr>
                <w:rFonts w:ascii="Arial"/>
                <w:sz w:val="21"/>
              </w:rPr>
            </w:pPr>
          </w:p>
          <w:p w14:paraId="4F99F6E9">
            <w:pPr>
              <w:spacing w:line="254" w:lineRule="auto"/>
              <w:rPr>
                <w:rFonts w:ascii="Arial"/>
                <w:sz w:val="21"/>
              </w:rPr>
            </w:pPr>
          </w:p>
          <w:p w14:paraId="4AC70819">
            <w:pPr>
              <w:spacing w:line="255" w:lineRule="auto"/>
              <w:rPr>
                <w:rFonts w:ascii="Arial"/>
                <w:sz w:val="21"/>
              </w:rPr>
            </w:pPr>
          </w:p>
          <w:p w14:paraId="47038F76">
            <w:pPr>
              <w:pStyle w:val="8"/>
              <w:spacing w:before="58" w:line="220" w:lineRule="auto"/>
              <w:ind w:left="114"/>
            </w:pPr>
            <w:r>
              <w:rPr>
                <w:spacing w:val="-7"/>
              </w:rPr>
              <w:t>行政处罚</w:t>
            </w:r>
          </w:p>
        </w:tc>
        <w:tc>
          <w:tcPr>
            <w:tcW w:w="8806" w:type="dxa"/>
            <w:vAlign w:val="top"/>
          </w:tcPr>
          <w:p w14:paraId="5AAC63F4">
            <w:pPr>
              <w:spacing w:line="265" w:lineRule="auto"/>
              <w:rPr>
                <w:rFonts w:ascii="Arial"/>
                <w:sz w:val="21"/>
              </w:rPr>
            </w:pPr>
          </w:p>
          <w:p w14:paraId="06B99C56">
            <w:pPr>
              <w:spacing w:line="266" w:lineRule="auto"/>
              <w:rPr>
                <w:rFonts w:ascii="Arial"/>
                <w:sz w:val="21"/>
              </w:rPr>
            </w:pPr>
          </w:p>
          <w:p w14:paraId="27792141">
            <w:pPr>
              <w:spacing w:line="266" w:lineRule="auto"/>
              <w:rPr>
                <w:rFonts w:ascii="Arial"/>
                <w:sz w:val="21"/>
              </w:rPr>
            </w:pPr>
          </w:p>
          <w:p w14:paraId="653E7C6D">
            <w:pPr>
              <w:spacing w:line="266" w:lineRule="auto"/>
              <w:rPr>
                <w:rFonts w:ascii="Arial"/>
                <w:sz w:val="21"/>
              </w:rPr>
            </w:pPr>
          </w:p>
          <w:p w14:paraId="232D531B">
            <w:pPr>
              <w:pStyle w:val="8"/>
              <w:spacing w:before="59" w:line="219" w:lineRule="auto"/>
              <w:ind w:left="464"/>
            </w:pPr>
            <w:r>
              <w:rPr>
                <w:b/>
                <w:bCs/>
                <w:spacing w:val="-8"/>
              </w:rPr>
              <w:t>《危险化学品安全管理条例》</w:t>
            </w:r>
          </w:p>
          <w:p w14:paraId="4B712DE4">
            <w:pPr>
              <w:pStyle w:val="8"/>
              <w:spacing w:before="27" w:line="237" w:lineRule="auto"/>
              <w:ind w:left="109" w:right="95" w:firstLine="355"/>
              <w:jc w:val="both"/>
            </w:pPr>
            <w:r>
              <w:rPr>
                <w:spacing w:val="-8"/>
              </w:rPr>
              <w:t>第五十八条</w:t>
            </w:r>
            <w:r>
              <w:rPr>
                <w:spacing w:val="73"/>
                <w:w w:val="101"/>
              </w:rPr>
              <w:t xml:space="preserve"> </w:t>
            </w:r>
            <w:r>
              <w:rPr>
                <w:spacing w:val="-8"/>
              </w:rPr>
              <w:t>通过内河运输危险化学品，危险化学品包装物的材质、型式、强度以</w:t>
            </w:r>
            <w:r>
              <w:rPr>
                <w:spacing w:val="-9"/>
              </w:rPr>
              <w:t>及包装方法应当符合水路运</w:t>
            </w:r>
            <w:r>
              <w:t xml:space="preserve"> </w:t>
            </w:r>
            <w:r>
              <w:rPr>
                <w:spacing w:val="-8"/>
              </w:rPr>
              <w:t>输危险化学品包装规范的要求。国务院交通运输主管部门对单船运输的危险化学品数量有限制性规定</w:t>
            </w:r>
            <w:r>
              <w:rPr>
                <w:spacing w:val="-9"/>
              </w:rPr>
              <w:t>的，承运人应</w:t>
            </w:r>
            <w:r>
              <w:t xml:space="preserve"> </w:t>
            </w:r>
            <w:r>
              <w:rPr>
                <w:spacing w:val="-8"/>
              </w:rPr>
              <w:t>当按照规定安排运输数量。</w:t>
            </w:r>
          </w:p>
          <w:p w14:paraId="0E08647B">
            <w:pPr>
              <w:pStyle w:val="8"/>
              <w:spacing w:before="26" w:line="237" w:lineRule="auto"/>
              <w:ind w:left="109" w:right="56" w:firstLine="355"/>
              <w:jc w:val="both"/>
            </w:pPr>
            <w:r>
              <w:rPr>
                <w:spacing w:val="-9"/>
              </w:rPr>
              <w:t>第八十六条第（四）项</w:t>
            </w:r>
            <w:r>
              <w:rPr>
                <w:spacing w:val="78"/>
              </w:rPr>
              <w:t xml:space="preserve"> </w:t>
            </w:r>
            <w:r>
              <w:rPr>
                <w:spacing w:val="-9"/>
              </w:rPr>
              <w:t>有下列情形之一的，由交通运输主管部门责令改正，处5万元以上10万元以下的罚款；</w:t>
            </w:r>
            <w:r>
              <w:t xml:space="preserve"> </w:t>
            </w:r>
            <w:r>
              <w:rPr>
                <w:spacing w:val="-7"/>
              </w:rPr>
              <w:t>拒不改正的，责令停产停业整顿；构成犯罪的，</w:t>
            </w:r>
            <w:r>
              <w:rPr>
                <w:spacing w:val="-8"/>
              </w:rPr>
              <w:t>依法追究刑事责任</w:t>
            </w:r>
            <w:r>
              <w:rPr>
                <w:spacing w:val="-22"/>
              </w:rPr>
              <w:t>：（</w:t>
            </w:r>
            <w:r>
              <w:rPr>
                <w:spacing w:val="-8"/>
              </w:rPr>
              <w:t>四）通过内河运输危险化学品的承运人违反</w:t>
            </w:r>
            <w:r>
              <w:rPr>
                <w:spacing w:val="1"/>
              </w:rPr>
              <w:t xml:space="preserve"> </w:t>
            </w:r>
            <w:r>
              <w:rPr>
                <w:spacing w:val="-8"/>
              </w:rPr>
              <w:t>国务院交通运输主管部门对单船运输的危险化学品数量的限制性规定运输危险化学品的。</w:t>
            </w:r>
          </w:p>
        </w:tc>
        <w:tc>
          <w:tcPr>
            <w:tcW w:w="1043" w:type="dxa"/>
            <w:vAlign w:val="top"/>
          </w:tcPr>
          <w:p w14:paraId="2F8D1BD0">
            <w:pPr>
              <w:spacing w:line="276" w:lineRule="auto"/>
              <w:rPr>
                <w:rFonts w:ascii="Arial"/>
                <w:sz w:val="21"/>
              </w:rPr>
            </w:pPr>
          </w:p>
          <w:p w14:paraId="621912E2">
            <w:pPr>
              <w:spacing w:line="276" w:lineRule="auto"/>
              <w:rPr>
                <w:rFonts w:ascii="Arial"/>
                <w:sz w:val="21"/>
              </w:rPr>
            </w:pPr>
          </w:p>
          <w:p w14:paraId="77CA7092">
            <w:pPr>
              <w:spacing w:line="276" w:lineRule="auto"/>
              <w:rPr>
                <w:rFonts w:ascii="Arial"/>
                <w:sz w:val="21"/>
              </w:rPr>
            </w:pPr>
          </w:p>
          <w:p w14:paraId="1A56F068">
            <w:pPr>
              <w:spacing w:line="277" w:lineRule="auto"/>
              <w:rPr>
                <w:rFonts w:ascii="Arial"/>
                <w:sz w:val="21"/>
              </w:rPr>
            </w:pPr>
          </w:p>
          <w:p w14:paraId="675DF6BE">
            <w:pPr>
              <w:spacing w:line="277" w:lineRule="auto"/>
              <w:rPr>
                <w:rFonts w:ascii="Arial"/>
                <w:sz w:val="21"/>
              </w:rPr>
            </w:pPr>
          </w:p>
          <w:p w14:paraId="55F30680">
            <w:pPr>
              <w:spacing w:line="277" w:lineRule="auto"/>
              <w:rPr>
                <w:rFonts w:ascii="Arial"/>
                <w:sz w:val="21"/>
              </w:rPr>
            </w:pPr>
          </w:p>
          <w:p w14:paraId="0E2A5787">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EAF4231">
            <w:pPr>
              <w:spacing w:line="254" w:lineRule="auto"/>
              <w:rPr>
                <w:rFonts w:ascii="Arial"/>
                <w:sz w:val="21"/>
              </w:rPr>
            </w:pPr>
          </w:p>
          <w:p w14:paraId="62773F9F">
            <w:pPr>
              <w:spacing w:line="254" w:lineRule="auto"/>
              <w:rPr>
                <w:rFonts w:ascii="Arial"/>
                <w:sz w:val="21"/>
              </w:rPr>
            </w:pPr>
          </w:p>
          <w:p w14:paraId="345A52C5">
            <w:pPr>
              <w:spacing w:line="254" w:lineRule="auto"/>
              <w:rPr>
                <w:rFonts w:ascii="Arial"/>
                <w:sz w:val="21"/>
              </w:rPr>
            </w:pPr>
          </w:p>
          <w:p w14:paraId="77511E8D">
            <w:pPr>
              <w:spacing w:line="254" w:lineRule="auto"/>
              <w:rPr>
                <w:rFonts w:ascii="Arial"/>
                <w:sz w:val="21"/>
              </w:rPr>
            </w:pPr>
          </w:p>
          <w:p w14:paraId="13C361E3">
            <w:pPr>
              <w:spacing w:line="254" w:lineRule="auto"/>
              <w:rPr>
                <w:rFonts w:ascii="Arial"/>
                <w:sz w:val="21"/>
              </w:rPr>
            </w:pPr>
          </w:p>
          <w:p w14:paraId="5AB1A22A">
            <w:pPr>
              <w:spacing w:line="254" w:lineRule="auto"/>
              <w:rPr>
                <w:rFonts w:ascii="Arial"/>
                <w:sz w:val="21"/>
              </w:rPr>
            </w:pPr>
          </w:p>
          <w:p w14:paraId="00411AF5">
            <w:pPr>
              <w:spacing w:line="255" w:lineRule="auto"/>
              <w:rPr>
                <w:rFonts w:ascii="Arial"/>
                <w:sz w:val="21"/>
              </w:rPr>
            </w:pPr>
          </w:p>
          <w:p w14:paraId="1038BE0C">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75B69A7">
            <w:pPr>
              <w:spacing w:line="284" w:lineRule="auto"/>
              <w:rPr>
                <w:rFonts w:ascii="Arial"/>
                <w:sz w:val="21"/>
              </w:rPr>
            </w:pPr>
          </w:p>
          <w:p w14:paraId="70A6CB98">
            <w:pPr>
              <w:spacing w:line="284" w:lineRule="auto"/>
              <w:rPr>
                <w:rFonts w:ascii="Arial"/>
                <w:sz w:val="21"/>
              </w:rPr>
            </w:pPr>
          </w:p>
          <w:p w14:paraId="765064C5">
            <w:pPr>
              <w:spacing w:line="284" w:lineRule="auto"/>
              <w:rPr>
                <w:rFonts w:ascii="Arial"/>
                <w:sz w:val="21"/>
              </w:rPr>
            </w:pPr>
          </w:p>
          <w:p w14:paraId="4594D712">
            <w:pPr>
              <w:spacing w:line="285" w:lineRule="auto"/>
              <w:rPr>
                <w:rFonts w:ascii="Arial"/>
                <w:sz w:val="21"/>
              </w:rPr>
            </w:pPr>
          </w:p>
          <w:p w14:paraId="3BFF8084">
            <w:pPr>
              <w:spacing w:line="285" w:lineRule="auto"/>
              <w:rPr>
                <w:rFonts w:ascii="Arial"/>
                <w:sz w:val="21"/>
              </w:rPr>
            </w:pPr>
          </w:p>
          <w:p w14:paraId="5C2F2D90">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096D73BA">
      <w:pPr>
        <w:pStyle w:val="2"/>
        <w:spacing w:line="227" w:lineRule="exact"/>
        <w:rPr>
          <w:sz w:val="19"/>
        </w:rPr>
      </w:pPr>
    </w:p>
    <w:p w14:paraId="3B19C58F">
      <w:pPr>
        <w:spacing w:line="227" w:lineRule="exact"/>
        <w:rPr>
          <w:sz w:val="19"/>
          <w:szCs w:val="19"/>
        </w:rPr>
        <w:sectPr>
          <w:footerReference r:id="rId194" w:type="default"/>
          <w:pgSz w:w="16839" w:h="11906"/>
          <w:pgMar w:top="1012" w:right="788" w:bottom="966" w:left="787" w:header="0" w:footer="768" w:gutter="0"/>
          <w:cols w:space="720" w:num="1"/>
        </w:sectPr>
      </w:pPr>
    </w:p>
    <w:p w14:paraId="2CEC2564">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AD7D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7877B4EC">
            <w:pPr>
              <w:pStyle w:val="8"/>
              <w:spacing w:before="267" w:line="221" w:lineRule="auto"/>
              <w:ind w:left="142"/>
            </w:pPr>
            <w:r>
              <w:rPr>
                <w:b/>
                <w:bCs/>
                <w:spacing w:val="-4"/>
              </w:rPr>
              <w:t>序号</w:t>
            </w:r>
          </w:p>
        </w:tc>
        <w:tc>
          <w:tcPr>
            <w:tcW w:w="1136" w:type="dxa"/>
            <w:vMerge w:val="restart"/>
            <w:tcBorders>
              <w:bottom w:val="nil"/>
            </w:tcBorders>
            <w:vAlign w:val="top"/>
          </w:tcPr>
          <w:p w14:paraId="295E4593">
            <w:pPr>
              <w:pStyle w:val="8"/>
              <w:spacing w:before="267" w:line="220" w:lineRule="auto"/>
              <w:ind w:left="208"/>
            </w:pPr>
            <w:r>
              <w:rPr>
                <w:b/>
                <w:bCs/>
                <w:spacing w:val="-4"/>
              </w:rPr>
              <w:t>事项名称</w:t>
            </w:r>
          </w:p>
        </w:tc>
        <w:tc>
          <w:tcPr>
            <w:tcW w:w="1136" w:type="dxa"/>
            <w:vMerge w:val="restart"/>
            <w:tcBorders>
              <w:bottom w:val="nil"/>
            </w:tcBorders>
            <w:vAlign w:val="top"/>
          </w:tcPr>
          <w:p w14:paraId="48DA0475">
            <w:pPr>
              <w:pStyle w:val="8"/>
              <w:spacing w:before="267" w:line="219" w:lineRule="auto"/>
              <w:ind w:left="210"/>
            </w:pPr>
            <w:r>
              <w:rPr>
                <w:b/>
                <w:bCs/>
                <w:spacing w:val="-4"/>
              </w:rPr>
              <w:t>职权类型</w:t>
            </w:r>
          </w:p>
        </w:tc>
        <w:tc>
          <w:tcPr>
            <w:tcW w:w="8806" w:type="dxa"/>
            <w:vMerge w:val="restart"/>
            <w:tcBorders>
              <w:bottom w:val="nil"/>
            </w:tcBorders>
            <w:vAlign w:val="top"/>
          </w:tcPr>
          <w:p w14:paraId="4D4FE02F">
            <w:pPr>
              <w:pStyle w:val="8"/>
              <w:spacing w:before="267" w:line="219" w:lineRule="auto"/>
              <w:ind w:left="4050"/>
            </w:pPr>
            <w:r>
              <w:rPr>
                <w:b/>
                <w:bCs/>
                <w:spacing w:val="-5"/>
              </w:rPr>
              <w:t>实施依据</w:t>
            </w:r>
          </w:p>
        </w:tc>
        <w:tc>
          <w:tcPr>
            <w:tcW w:w="3538" w:type="dxa"/>
            <w:gridSpan w:val="3"/>
            <w:vAlign w:val="top"/>
          </w:tcPr>
          <w:p w14:paraId="217E85DB">
            <w:pPr>
              <w:pStyle w:val="8"/>
              <w:spacing w:before="92" w:line="220" w:lineRule="auto"/>
              <w:ind w:left="1415"/>
            </w:pPr>
            <w:r>
              <w:rPr>
                <w:b/>
                <w:bCs/>
                <w:spacing w:val="-5"/>
              </w:rPr>
              <w:t>实施主体</w:t>
            </w:r>
          </w:p>
        </w:tc>
      </w:tr>
      <w:tr w14:paraId="2E8B6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4C3614BB">
            <w:pPr>
              <w:rPr>
                <w:rFonts w:ascii="Arial"/>
                <w:sz w:val="21"/>
              </w:rPr>
            </w:pPr>
          </w:p>
        </w:tc>
        <w:tc>
          <w:tcPr>
            <w:tcW w:w="1136" w:type="dxa"/>
            <w:vMerge w:val="continue"/>
            <w:tcBorders>
              <w:top w:val="nil"/>
            </w:tcBorders>
            <w:vAlign w:val="top"/>
          </w:tcPr>
          <w:p w14:paraId="5C644857">
            <w:pPr>
              <w:rPr>
                <w:rFonts w:ascii="Arial"/>
                <w:sz w:val="21"/>
              </w:rPr>
            </w:pPr>
          </w:p>
        </w:tc>
        <w:tc>
          <w:tcPr>
            <w:tcW w:w="1136" w:type="dxa"/>
            <w:vMerge w:val="continue"/>
            <w:tcBorders>
              <w:top w:val="nil"/>
            </w:tcBorders>
            <w:vAlign w:val="top"/>
          </w:tcPr>
          <w:p w14:paraId="617B71C9">
            <w:pPr>
              <w:rPr>
                <w:rFonts w:ascii="Arial"/>
                <w:sz w:val="21"/>
              </w:rPr>
            </w:pPr>
          </w:p>
        </w:tc>
        <w:tc>
          <w:tcPr>
            <w:tcW w:w="8806" w:type="dxa"/>
            <w:vMerge w:val="continue"/>
            <w:tcBorders>
              <w:top w:val="nil"/>
            </w:tcBorders>
            <w:vAlign w:val="top"/>
          </w:tcPr>
          <w:p w14:paraId="1A49506C">
            <w:pPr>
              <w:rPr>
                <w:rFonts w:ascii="Arial"/>
                <w:sz w:val="21"/>
              </w:rPr>
            </w:pPr>
          </w:p>
        </w:tc>
        <w:tc>
          <w:tcPr>
            <w:tcW w:w="1043" w:type="dxa"/>
            <w:vAlign w:val="top"/>
          </w:tcPr>
          <w:p w14:paraId="3850250A">
            <w:pPr>
              <w:pStyle w:val="8"/>
              <w:spacing w:before="88" w:line="219" w:lineRule="auto"/>
              <w:ind w:left="171"/>
            </w:pPr>
            <w:r>
              <w:rPr>
                <w:b/>
                <w:bCs/>
                <w:spacing w:val="-5"/>
              </w:rPr>
              <w:t>责任部门</w:t>
            </w:r>
          </w:p>
        </w:tc>
        <w:tc>
          <w:tcPr>
            <w:tcW w:w="1448" w:type="dxa"/>
            <w:vAlign w:val="top"/>
          </w:tcPr>
          <w:p w14:paraId="6DD5E12F">
            <w:pPr>
              <w:pStyle w:val="8"/>
              <w:spacing w:before="88" w:line="219" w:lineRule="auto"/>
              <w:ind w:left="187"/>
            </w:pPr>
            <w:r>
              <w:rPr>
                <w:b/>
                <w:bCs/>
                <w:spacing w:val="-3"/>
              </w:rPr>
              <w:t>第一责任层级</w:t>
            </w:r>
          </w:p>
        </w:tc>
        <w:tc>
          <w:tcPr>
            <w:tcW w:w="1047" w:type="dxa"/>
            <w:vAlign w:val="top"/>
          </w:tcPr>
          <w:p w14:paraId="6FF48811">
            <w:pPr>
              <w:pStyle w:val="8"/>
              <w:spacing w:before="88" w:line="219" w:lineRule="auto"/>
              <w:ind w:left="165"/>
            </w:pPr>
            <w:r>
              <w:rPr>
                <w:b/>
                <w:bCs/>
                <w:spacing w:val="-4"/>
              </w:rPr>
              <w:t>承办机构</w:t>
            </w:r>
          </w:p>
        </w:tc>
      </w:tr>
      <w:tr w14:paraId="419CD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5" w:hRule="atLeast"/>
        </w:trPr>
        <w:tc>
          <w:tcPr>
            <w:tcW w:w="641" w:type="dxa"/>
            <w:vAlign w:val="top"/>
          </w:tcPr>
          <w:p w14:paraId="14C46656">
            <w:pPr>
              <w:spacing w:line="279" w:lineRule="auto"/>
              <w:rPr>
                <w:rFonts w:ascii="Arial"/>
                <w:sz w:val="21"/>
              </w:rPr>
            </w:pPr>
          </w:p>
          <w:p w14:paraId="0B76B918">
            <w:pPr>
              <w:spacing w:line="279" w:lineRule="auto"/>
              <w:rPr>
                <w:rFonts w:ascii="Arial"/>
                <w:sz w:val="21"/>
              </w:rPr>
            </w:pPr>
          </w:p>
          <w:p w14:paraId="4B02F45C">
            <w:pPr>
              <w:spacing w:line="279" w:lineRule="auto"/>
              <w:rPr>
                <w:rFonts w:ascii="Arial"/>
                <w:sz w:val="21"/>
              </w:rPr>
            </w:pPr>
          </w:p>
          <w:p w14:paraId="4AF3BD83">
            <w:pPr>
              <w:spacing w:line="280" w:lineRule="auto"/>
              <w:rPr>
                <w:rFonts w:ascii="Arial"/>
                <w:sz w:val="21"/>
              </w:rPr>
            </w:pPr>
          </w:p>
          <w:p w14:paraId="11320038">
            <w:pPr>
              <w:pStyle w:val="8"/>
              <w:spacing w:before="59" w:line="183" w:lineRule="auto"/>
              <w:ind w:left="238"/>
            </w:pPr>
            <w:r>
              <w:rPr>
                <w:spacing w:val="-5"/>
              </w:rPr>
              <w:t>53</w:t>
            </w:r>
          </w:p>
        </w:tc>
        <w:tc>
          <w:tcPr>
            <w:tcW w:w="1136" w:type="dxa"/>
            <w:vAlign w:val="top"/>
          </w:tcPr>
          <w:p w14:paraId="6D75FB1B">
            <w:pPr>
              <w:spacing w:line="257" w:lineRule="auto"/>
              <w:rPr>
                <w:rFonts w:ascii="Arial"/>
                <w:sz w:val="21"/>
              </w:rPr>
            </w:pPr>
          </w:p>
          <w:p w14:paraId="0FBD4D7B">
            <w:pPr>
              <w:pStyle w:val="8"/>
              <w:spacing w:before="58" w:line="243" w:lineRule="auto"/>
              <w:ind w:left="109" w:right="99"/>
              <w:jc w:val="both"/>
            </w:pPr>
            <w:r>
              <w:rPr>
                <w:spacing w:val="4"/>
              </w:rPr>
              <w:t>对用于危险</w:t>
            </w:r>
            <w:r>
              <w:rPr>
                <w:spacing w:val="1"/>
              </w:rPr>
              <w:t xml:space="preserve"> </w:t>
            </w:r>
            <w:r>
              <w:rPr>
                <w:spacing w:val="4"/>
              </w:rPr>
              <w:t>化学品运输</w:t>
            </w:r>
            <w:r>
              <w:rPr>
                <w:spacing w:val="1"/>
              </w:rPr>
              <w:t xml:space="preserve"> </w:t>
            </w:r>
            <w:r>
              <w:rPr>
                <w:spacing w:val="4"/>
              </w:rPr>
              <w:t>作业的内河</w:t>
            </w:r>
            <w:r>
              <w:rPr>
                <w:spacing w:val="1"/>
              </w:rPr>
              <w:t xml:space="preserve"> </w:t>
            </w:r>
            <w:r>
              <w:rPr>
                <w:spacing w:val="4"/>
              </w:rPr>
              <w:t>码头、泊位</w:t>
            </w:r>
            <w:r>
              <w:rPr>
                <w:spacing w:val="1"/>
              </w:rPr>
              <w:t xml:space="preserve"> </w:t>
            </w:r>
            <w:r>
              <w:rPr>
                <w:spacing w:val="4"/>
              </w:rPr>
              <w:t>不符合国家</w:t>
            </w:r>
            <w:r>
              <w:rPr>
                <w:spacing w:val="1"/>
              </w:rPr>
              <w:t xml:space="preserve"> </w:t>
            </w:r>
            <w:r>
              <w:rPr>
                <w:spacing w:val="4"/>
              </w:rPr>
              <w:t>有关安全规</w:t>
            </w:r>
            <w:r>
              <w:rPr>
                <w:spacing w:val="1"/>
              </w:rPr>
              <w:t xml:space="preserve"> </w:t>
            </w:r>
            <w:r>
              <w:rPr>
                <w:spacing w:val="4"/>
              </w:rPr>
              <w:t>范等的行政</w:t>
            </w:r>
            <w:r>
              <w:rPr>
                <w:spacing w:val="1"/>
              </w:rPr>
              <w:t xml:space="preserve"> </w:t>
            </w:r>
            <w:r>
              <w:rPr>
                <w:spacing w:val="-4"/>
              </w:rPr>
              <w:t>处罚</w:t>
            </w:r>
          </w:p>
        </w:tc>
        <w:tc>
          <w:tcPr>
            <w:tcW w:w="1136" w:type="dxa"/>
            <w:vAlign w:val="top"/>
          </w:tcPr>
          <w:p w14:paraId="06A7E808">
            <w:pPr>
              <w:spacing w:line="272" w:lineRule="auto"/>
              <w:rPr>
                <w:rFonts w:ascii="Arial"/>
                <w:sz w:val="21"/>
              </w:rPr>
            </w:pPr>
          </w:p>
          <w:p w14:paraId="421636A5">
            <w:pPr>
              <w:spacing w:line="272" w:lineRule="auto"/>
              <w:rPr>
                <w:rFonts w:ascii="Arial"/>
                <w:sz w:val="21"/>
              </w:rPr>
            </w:pPr>
          </w:p>
          <w:p w14:paraId="501C7223">
            <w:pPr>
              <w:spacing w:line="272" w:lineRule="auto"/>
              <w:rPr>
                <w:rFonts w:ascii="Arial"/>
                <w:sz w:val="21"/>
              </w:rPr>
            </w:pPr>
          </w:p>
          <w:p w14:paraId="4337887D">
            <w:pPr>
              <w:spacing w:line="273" w:lineRule="auto"/>
              <w:rPr>
                <w:rFonts w:ascii="Arial"/>
                <w:sz w:val="21"/>
              </w:rPr>
            </w:pPr>
          </w:p>
          <w:p w14:paraId="3E769D1F">
            <w:pPr>
              <w:pStyle w:val="8"/>
              <w:spacing w:before="58" w:line="220" w:lineRule="auto"/>
              <w:ind w:left="114"/>
            </w:pPr>
            <w:r>
              <w:rPr>
                <w:spacing w:val="-7"/>
              </w:rPr>
              <w:t>行政处罚</w:t>
            </w:r>
          </w:p>
        </w:tc>
        <w:tc>
          <w:tcPr>
            <w:tcW w:w="8806" w:type="dxa"/>
            <w:vAlign w:val="top"/>
          </w:tcPr>
          <w:p w14:paraId="4904A1D7">
            <w:pPr>
              <w:pStyle w:val="8"/>
              <w:spacing w:before="194" w:line="219" w:lineRule="auto"/>
              <w:ind w:left="464"/>
            </w:pPr>
            <w:r>
              <w:rPr>
                <w:b/>
                <w:bCs/>
                <w:spacing w:val="-8"/>
              </w:rPr>
              <w:t>《危险化学品安全管理条例》</w:t>
            </w:r>
          </w:p>
          <w:p w14:paraId="38CDC218">
            <w:pPr>
              <w:pStyle w:val="8"/>
              <w:spacing w:before="26" w:line="237" w:lineRule="auto"/>
              <w:ind w:left="112" w:right="98" w:firstLine="341"/>
              <w:jc w:val="both"/>
            </w:pPr>
            <w:r>
              <w:rPr>
                <w:spacing w:val="-8"/>
              </w:rPr>
              <w:t>第五十九条</w:t>
            </w:r>
            <w:r>
              <w:rPr>
                <w:spacing w:val="74"/>
              </w:rPr>
              <w:t xml:space="preserve"> </w:t>
            </w:r>
            <w:r>
              <w:rPr>
                <w:spacing w:val="-8"/>
              </w:rPr>
              <w:t>用于危险化学品运输作业的内河码头、泊位应当符合国家有关安全规范，与饮用水取水口保持国</w:t>
            </w:r>
            <w:r>
              <w:t xml:space="preserve"> </w:t>
            </w:r>
            <w:r>
              <w:rPr>
                <w:spacing w:val="-8"/>
              </w:rPr>
              <w:t>家规定的距离。有关管理单位应当制定码头、泊位危险化学品事故应急预案，并为码头、</w:t>
            </w:r>
            <w:r>
              <w:rPr>
                <w:spacing w:val="-9"/>
              </w:rPr>
              <w:t>泊位配备充足、有效的应</w:t>
            </w:r>
            <w:r>
              <w:t xml:space="preserve"> </w:t>
            </w:r>
            <w:r>
              <w:rPr>
                <w:spacing w:val="-8"/>
              </w:rPr>
              <w:t>急救援器材和设备。</w:t>
            </w:r>
          </w:p>
          <w:p w14:paraId="5D78CDB3">
            <w:pPr>
              <w:pStyle w:val="8"/>
              <w:spacing w:before="25" w:line="233" w:lineRule="auto"/>
              <w:ind w:left="465" w:right="56" w:hanging="17"/>
            </w:pPr>
            <w:r>
              <w:rPr>
                <w:spacing w:val="-12"/>
              </w:rPr>
              <w:t>用于危险化学品运输作业的内河码头、泊位，经交通运输主管部门按照国家有关规定验收合格后方可投入使用。</w:t>
            </w:r>
            <w:r>
              <w:rPr>
                <w:spacing w:val="14"/>
              </w:rPr>
              <w:t xml:space="preserve"> </w:t>
            </w:r>
            <w:r>
              <w:rPr>
                <w:spacing w:val="-9"/>
              </w:rPr>
              <w:t>第八十六条第（五）项</w:t>
            </w:r>
            <w:r>
              <w:rPr>
                <w:spacing w:val="78"/>
              </w:rPr>
              <w:t xml:space="preserve"> </w:t>
            </w:r>
            <w:r>
              <w:rPr>
                <w:spacing w:val="-9"/>
              </w:rPr>
              <w:t>有下列情形之一的，由交通运输主管部门责令改正，处5万元以上10万元以下的罚款；</w:t>
            </w:r>
          </w:p>
          <w:p w14:paraId="3198CA13">
            <w:pPr>
              <w:pStyle w:val="8"/>
              <w:spacing w:before="27" w:line="237" w:lineRule="auto"/>
              <w:ind w:left="110" w:right="95" w:hanging="1"/>
            </w:pPr>
            <w:r>
              <w:rPr>
                <w:spacing w:val="-7"/>
              </w:rPr>
              <w:t>拒不改正的，责令停产停业整顿；构成犯罪的，</w:t>
            </w:r>
            <w:r>
              <w:rPr>
                <w:spacing w:val="-8"/>
              </w:rPr>
              <w:t>依法追究刑事责任</w:t>
            </w:r>
            <w:r>
              <w:rPr>
                <w:spacing w:val="-22"/>
              </w:rPr>
              <w:t>：（</w:t>
            </w:r>
            <w:r>
              <w:rPr>
                <w:spacing w:val="-8"/>
              </w:rPr>
              <w:t>五）用于危险化学品运输作业的内河码头、</w:t>
            </w:r>
            <w:r>
              <w:rPr>
                <w:spacing w:val="1"/>
              </w:rPr>
              <w:t xml:space="preserve"> </w:t>
            </w:r>
            <w:r>
              <w:rPr>
                <w:spacing w:val="-8"/>
              </w:rPr>
              <w:t>泊位不符合国家有关安全规范，或者未与饮用水取水口保持国家规定的安全距离，或者未经交通</w:t>
            </w:r>
            <w:r>
              <w:rPr>
                <w:spacing w:val="-9"/>
              </w:rPr>
              <w:t>运输主管部门验收</w:t>
            </w:r>
            <w:r>
              <w:t xml:space="preserve"> </w:t>
            </w:r>
            <w:r>
              <w:rPr>
                <w:spacing w:val="-7"/>
              </w:rPr>
              <w:t>合格投入使用的。</w:t>
            </w:r>
          </w:p>
        </w:tc>
        <w:tc>
          <w:tcPr>
            <w:tcW w:w="1043" w:type="dxa"/>
            <w:vAlign w:val="top"/>
          </w:tcPr>
          <w:p w14:paraId="4383606B">
            <w:pPr>
              <w:spacing w:line="242" w:lineRule="auto"/>
              <w:rPr>
                <w:rFonts w:ascii="Arial"/>
                <w:sz w:val="21"/>
              </w:rPr>
            </w:pPr>
          </w:p>
          <w:p w14:paraId="34B6B2BE">
            <w:pPr>
              <w:spacing w:line="242" w:lineRule="auto"/>
              <w:rPr>
                <w:rFonts w:ascii="Arial"/>
                <w:sz w:val="21"/>
              </w:rPr>
            </w:pPr>
          </w:p>
          <w:p w14:paraId="50EF44D9">
            <w:pPr>
              <w:spacing w:line="242" w:lineRule="auto"/>
              <w:rPr>
                <w:rFonts w:ascii="Arial"/>
                <w:sz w:val="21"/>
              </w:rPr>
            </w:pPr>
          </w:p>
          <w:p w14:paraId="4EBB9CB7">
            <w:pPr>
              <w:spacing w:line="243" w:lineRule="auto"/>
              <w:rPr>
                <w:rFonts w:ascii="Arial"/>
                <w:sz w:val="21"/>
              </w:rPr>
            </w:pPr>
          </w:p>
          <w:p w14:paraId="7E13EAB9">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8E7D957">
            <w:pPr>
              <w:spacing w:line="272" w:lineRule="auto"/>
              <w:rPr>
                <w:rFonts w:ascii="Arial"/>
                <w:sz w:val="21"/>
              </w:rPr>
            </w:pPr>
          </w:p>
          <w:p w14:paraId="3ADBBA49">
            <w:pPr>
              <w:spacing w:line="272" w:lineRule="auto"/>
              <w:rPr>
                <w:rFonts w:ascii="Arial"/>
                <w:sz w:val="21"/>
              </w:rPr>
            </w:pPr>
          </w:p>
          <w:p w14:paraId="32E87F10">
            <w:pPr>
              <w:spacing w:line="272" w:lineRule="auto"/>
              <w:rPr>
                <w:rFonts w:ascii="Arial"/>
                <w:sz w:val="21"/>
              </w:rPr>
            </w:pPr>
          </w:p>
          <w:p w14:paraId="68FDB505">
            <w:pPr>
              <w:spacing w:line="273" w:lineRule="auto"/>
              <w:rPr>
                <w:rFonts w:ascii="Arial"/>
                <w:sz w:val="21"/>
              </w:rPr>
            </w:pPr>
          </w:p>
          <w:p w14:paraId="5E79E9FC">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67629CD">
            <w:pPr>
              <w:spacing w:line="244" w:lineRule="auto"/>
              <w:rPr>
                <w:rFonts w:ascii="Arial"/>
                <w:sz w:val="21"/>
              </w:rPr>
            </w:pPr>
          </w:p>
          <w:p w14:paraId="39E226DC">
            <w:pPr>
              <w:spacing w:line="244" w:lineRule="auto"/>
              <w:rPr>
                <w:rFonts w:ascii="Arial"/>
                <w:sz w:val="21"/>
              </w:rPr>
            </w:pPr>
          </w:p>
          <w:p w14:paraId="02AD5440">
            <w:pPr>
              <w:spacing w:line="244" w:lineRule="auto"/>
              <w:rPr>
                <w:rFonts w:ascii="Arial"/>
                <w:sz w:val="21"/>
              </w:rPr>
            </w:pPr>
          </w:p>
          <w:p w14:paraId="4EA1AE83">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FF63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4" w:hRule="atLeast"/>
        </w:trPr>
        <w:tc>
          <w:tcPr>
            <w:tcW w:w="641" w:type="dxa"/>
            <w:vAlign w:val="top"/>
          </w:tcPr>
          <w:p w14:paraId="6C59C700">
            <w:pPr>
              <w:spacing w:line="273" w:lineRule="auto"/>
              <w:rPr>
                <w:rFonts w:ascii="Arial"/>
                <w:sz w:val="21"/>
              </w:rPr>
            </w:pPr>
          </w:p>
          <w:p w14:paraId="142F9D6B">
            <w:pPr>
              <w:spacing w:line="274" w:lineRule="auto"/>
              <w:rPr>
                <w:rFonts w:ascii="Arial"/>
                <w:sz w:val="21"/>
              </w:rPr>
            </w:pPr>
          </w:p>
          <w:p w14:paraId="109D2B35">
            <w:pPr>
              <w:spacing w:line="274" w:lineRule="auto"/>
              <w:rPr>
                <w:rFonts w:ascii="Arial"/>
                <w:sz w:val="21"/>
              </w:rPr>
            </w:pPr>
          </w:p>
          <w:p w14:paraId="6CA7816C">
            <w:pPr>
              <w:pStyle w:val="8"/>
              <w:spacing w:before="58" w:line="183" w:lineRule="auto"/>
              <w:ind w:left="238"/>
            </w:pPr>
            <w:r>
              <w:rPr>
                <w:spacing w:val="-5"/>
              </w:rPr>
              <w:t>54</w:t>
            </w:r>
          </w:p>
        </w:tc>
        <w:tc>
          <w:tcPr>
            <w:tcW w:w="1136" w:type="dxa"/>
            <w:vAlign w:val="top"/>
          </w:tcPr>
          <w:p w14:paraId="55DBF98F">
            <w:pPr>
              <w:pStyle w:val="8"/>
              <w:spacing w:before="139" w:line="242" w:lineRule="auto"/>
              <w:ind w:left="109" w:right="104"/>
              <w:jc w:val="both"/>
            </w:pPr>
            <w:r>
              <w:rPr>
                <w:spacing w:val="3"/>
              </w:rPr>
              <w:t>对委托未依</w:t>
            </w:r>
            <w:r>
              <w:rPr>
                <w:spacing w:val="1"/>
              </w:rPr>
              <w:t xml:space="preserve"> </w:t>
            </w:r>
            <w:r>
              <w:rPr>
                <w:spacing w:val="3"/>
              </w:rPr>
              <w:t>法取得危险</w:t>
            </w:r>
            <w:r>
              <w:rPr>
                <w:spacing w:val="1"/>
              </w:rPr>
              <w:t xml:space="preserve"> </w:t>
            </w:r>
            <w:r>
              <w:rPr>
                <w:spacing w:val="3"/>
              </w:rPr>
              <w:t>货物水路运</w:t>
            </w:r>
            <w:r>
              <w:rPr>
                <w:spacing w:val="1"/>
              </w:rPr>
              <w:t xml:space="preserve"> </w:t>
            </w:r>
            <w:r>
              <w:rPr>
                <w:spacing w:val="3"/>
              </w:rPr>
              <w:t>输许可的企</w:t>
            </w:r>
            <w:r>
              <w:rPr>
                <w:spacing w:val="1"/>
              </w:rPr>
              <w:t xml:space="preserve"> </w:t>
            </w:r>
            <w:r>
              <w:rPr>
                <w:spacing w:val="3"/>
              </w:rPr>
              <w:t>业承运危险</w:t>
            </w:r>
            <w:r>
              <w:rPr>
                <w:spacing w:val="1"/>
              </w:rPr>
              <w:t xml:space="preserve"> </w:t>
            </w:r>
            <w:r>
              <w:rPr>
                <w:spacing w:val="3"/>
              </w:rPr>
              <w:t>化学品行为</w:t>
            </w:r>
            <w:r>
              <w:rPr>
                <w:spacing w:val="1"/>
              </w:rPr>
              <w:t xml:space="preserve"> </w:t>
            </w:r>
            <w:r>
              <w:rPr>
                <w:spacing w:val="-4"/>
              </w:rPr>
              <w:t>的行政处罚</w:t>
            </w:r>
          </w:p>
        </w:tc>
        <w:tc>
          <w:tcPr>
            <w:tcW w:w="1136" w:type="dxa"/>
            <w:vAlign w:val="top"/>
          </w:tcPr>
          <w:p w14:paraId="39C2116B">
            <w:pPr>
              <w:spacing w:line="264" w:lineRule="auto"/>
              <w:rPr>
                <w:rFonts w:ascii="Arial"/>
                <w:sz w:val="21"/>
              </w:rPr>
            </w:pPr>
          </w:p>
          <w:p w14:paraId="79B0FE3C">
            <w:pPr>
              <w:spacing w:line="264" w:lineRule="auto"/>
              <w:rPr>
                <w:rFonts w:ascii="Arial"/>
                <w:sz w:val="21"/>
              </w:rPr>
            </w:pPr>
          </w:p>
          <w:p w14:paraId="1645B5A1">
            <w:pPr>
              <w:spacing w:line="264" w:lineRule="auto"/>
              <w:rPr>
                <w:rFonts w:ascii="Arial"/>
                <w:sz w:val="21"/>
              </w:rPr>
            </w:pPr>
          </w:p>
          <w:p w14:paraId="23A7B009">
            <w:pPr>
              <w:pStyle w:val="8"/>
              <w:spacing w:before="59" w:line="220" w:lineRule="auto"/>
              <w:ind w:left="114"/>
            </w:pPr>
            <w:r>
              <w:rPr>
                <w:spacing w:val="-7"/>
              </w:rPr>
              <w:t>行政处罚</w:t>
            </w:r>
          </w:p>
        </w:tc>
        <w:tc>
          <w:tcPr>
            <w:tcW w:w="8806" w:type="dxa"/>
            <w:vAlign w:val="top"/>
          </w:tcPr>
          <w:p w14:paraId="285DD54F">
            <w:pPr>
              <w:pStyle w:val="8"/>
              <w:spacing w:before="136" w:line="219" w:lineRule="auto"/>
              <w:ind w:left="471"/>
            </w:pPr>
            <w:r>
              <w:rPr>
                <w:b/>
                <w:bCs/>
                <w:spacing w:val="-9"/>
              </w:rPr>
              <w:t>《危险化学品安全管理条例》</w:t>
            </w:r>
          </w:p>
          <w:p w14:paraId="6BA9253B">
            <w:pPr>
              <w:pStyle w:val="8"/>
              <w:spacing w:before="27" w:line="237" w:lineRule="auto"/>
              <w:ind w:left="110" w:right="95" w:firstLine="355"/>
              <w:jc w:val="both"/>
            </w:pPr>
            <w:r>
              <w:rPr>
                <w:spacing w:val="-8"/>
              </w:rPr>
              <w:t>第五十六条</w:t>
            </w:r>
            <w:r>
              <w:rPr>
                <w:spacing w:val="73"/>
                <w:w w:val="101"/>
              </w:rPr>
              <w:t xml:space="preserve"> </w:t>
            </w:r>
            <w:r>
              <w:rPr>
                <w:spacing w:val="-8"/>
              </w:rPr>
              <w:t>通过内河运输危险化学品，应当由依法取得危险货物水路运输许可的</w:t>
            </w:r>
            <w:r>
              <w:rPr>
                <w:spacing w:val="-9"/>
              </w:rPr>
              <w:t>水路运输企业承运，其他单</w:t>
            </w:r>
            <w:r>
              <w:t xml:space="preserve"> </w:t>
            </w:r>
            <w:r>
              <w:rPr>
                <w:spacing w:val="-8"/>
              </w:rPr>
              <w:t>位和个人不得承运。托运人应当委托依法取得危险货物水路运输许可的水路运输企业承运，不得委</w:t>
            </w:r>
            <w:r>
              <w:rPr>
                <w:spacing w:val="-9"/>
              </w:rPr>
              <w:t>托其他单位和个</w:t>
            </w:r>
            <w:r>
              <w:t xml:space="preserve"> </w:t>
            </w:r>
            <w:r>
              <w:rPr>
                <w:spacing w:val="-6"/>
              </w:rPr>
              <w:t>人承运。</w:t>
            </w:r>
          </w:p>
          <w:p w14:paraId="31AEEA29">
            <w:pPr>
              <w:pStyle w:val="8"/>
              <w:spacing w:before="26" w:line="237" w:lineRule="auto"/>
              <w:ind w:left="109" w:right="26" w:firstLine="355"/>
              <w:jc w:val="both"/>
            </w:pPr>
            <w:r>
              <w:rPr>
                <w:spacing w:val="-8"/>
              </w:rPr>
              <w:t>第八十七条第一款第（一）项</w:t>
            </w:r>
            <w:r>
              <w:rPr>
                <w:spacing w:val="80"/>
              </w:rPr>
              <w:t xml:space="preserve"> </w:t>
            </w:r>
            <w:r>
              <w:rPr>
                <w:spacing w:val="-8"/>
              </w:rPr>
              <w:t>有下列情形之一的，由交通运输主管部门责令改正，处10万元以上20万元以下</w:t>
            </w:r>
            <w:r>
              <w:t xml:space="preserve"> </w:t>
            </w:r>
            <w:r>
              <w:rPr>
                <w:spacing w:val="-9"/>
              </w:rPr>
              <w:t>的罚款，有违法所得的，没收违法所得；拒不改正的，责令停产停业整顿；构成犯罪的</w:t>
            </w:r>
            <w:r>
              <w:rPr>
                <w:spacing w:val="-10"/>
              </w:rPr>
              <w:t>，依法追究刑事责任</w:t>
            </w:r>
            <w:r>
              <w:rPr>
                <w:spacing w:val="-33"/>
              </w:rPr>
              <w:t>：（</w:t>
            </w:r>
            <w:r>
              <w:rPr>
                <w:spacing w:val="-10"/>
              </w:rPr>
              <w:t>一）</w:t>
            </w:r>
            <w:r>
              <w:rPr>
                <w:spacing w:val="1"/>
              </w:rPr>
              <w:t xml:space="preserve"> </w:t>
            </w:r>
            <w:r>
              <w:rPr>
                <w:spacing w:val="-8"/>
              </w:rPr>
              <w:t>委托未依法取得危险货物道路运输许可、危险货物水路运输许可的企业承运危险化学品的。</w:t>
            </w:r>
          </w:p>
        </w:tc>
        <w:tc>
          <w:tcPr>
            <w:tcW w:w="1043" w:type="dxa"/>
            <w:vAlign w:val="top"/>
          </w:tcPr>
          <w:p w14:paraId="1660883B">
            <w:pPr>
              <w:spacing w:line="336" w:lineRule="auto"/>
              <w:rPr>
                <w:rFonts w:ascii="Arial"/>
                <w:sz w:val="21"/>
              </w:rPr>
            </w:pPr>
          </w:p>
          <w:p w14:paraId="420F4C94">
            <w:pPr>
              <w:spacing w:line="337" w:lineRule="auto"/>
              <w:rPr>
                <w:rFonts w:ascii="Arial"/>
                <w:sz w:val="21"/>
              </w:rPr>
            </w:pPr>
          </w:p>
          <w:p w14:paraId="1AA6A88C">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DBCC766">
            <w:pPr>
              <w:spacing w:line="264" w:lineRule="auto"/>
              <w:rPr>
                <w:rFonts w:ascii="Arial"/>
                <w:sz w:val="21"/>
              </w:rPr>
            </w:pPr>
          </w:p>
          <w:p w14:paraId="11CC50B5">
            <w:pPr>
              <w:spacing w:line="264" w:lineRule="auto"/>
              <w:rPr>
                <w:rFonts w:ascii="Arial"/>
                <w:sz w:val="21"/>
              </w:rPr>
            </w:pPr>
          </w:p>
          <w:p w14:paraId="26EF3B59">
            <w:pPr>
              <w:spacing w:line="265" w:lineRule="auto"/>
              <w:rPr>
                <w:rFonts w:ascii="Arial"/>
                <w:sz w:val="21"/>
              </w:rPr>
            </w:pPr>
          </w:p>
          <w:p w14:paraId="65408C74">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CF3A435">
            <w:pPr>
              <w:spacing w:line="436" w:lineRule="auto"/>
              <w:rPr>
                <w:rFonts w:ascii="Arial"/>
                <w:sz w:val="21"/>
              </w:rPr>
            </w:pPr>
          </w:p>
          <w:p w14:paraId="3160AD53">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069D9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8" w:hRule="atLeast"/>
        </w:trPr>
        <w:tc>
          <w:tcPr>
            <w:tcW w:w="641" w:type="dxa"/>
            <w:vAlign w:val="top"/>
          </w:tcPr>
          <w:p w14:paraId="266F0D7E">
            <w:pPr>
              <w:spacing w:line="265" w:lineRule="auto"/>
              <w:rPr>
                <w:rFonts w:ascii="Arial"/>
                <w:sz w:val="21"/>
              </w:rPr>
            </w:pPr>
          </w:p>
          <w:p w14:paraId="780C7CF2">
            <w:pPr>
              <w:spacing w:line="265" w:lineRule="auto"/>
              <w:rPr>
                <w:rFonts w:ascii="Arial"/>
                <w:sz w:val="21"/>
              </w:rPr>
            </w:pPr>
          </w:p>
          <w:p w14:paraId="0F150D1F">
            <w:pPr>
              <w:spacing w:line="265" w:lineRule="auto"/>
              <w:rPr>
                <w:rFonts w:ascii="Arial"/>
                <w:sz w:val="21"/>
              </w:rPr>
            </w:pPr>
          </w:p>
          <w:p w14:paraId="35DC6A83">
            <w:pPr>
              <w:spacing w:line="265" w:lineRule="auto"/>
              <w:rPr>
                <w:rFonts w:ascii="Arial"/>
                <w:sz w:val="21"/>
              </w:rPr>
            </w:pPr>
          </w:p>
          <w:p w14:paraId="68B0DA91">
            <w:pPr>
              <w:spacing w:line="266" w:lineRule="auto"/>
              <w:rPr>
                <w:rFonts w:ascii="Arial"/>
                <w:sz w:val="21"/>
              </w:rPr>
            </w:pPr>
          </w:p>
          <w:p w14:paraId="0D40EF69">
            <w:pPr>
              <w:spacing w:line="266" w:lineRule="auto"/>
              <w:rPr>
                <w:rFonts w:ascii="Arial"/>
                <w:sz w:val="21"/>
              </w:rPr>
            </w:pPr>
          </w:p>
          <w:p w14:paraId="3F664D2B">
            <w:pPr>
              <w:spacing w:line="266" w:lineRule="auto"/>
              <w:rPr>
                <w:rFonts w:ascii="Arial"/>
                <w:sz w:val="21"/>
              </w:rPr>
            </w:pPr>
          </w:p>
          <w:p w14:paraId="6DD5EF9F">
            <w:pPr>
              <w:spacing w:line="266" w:lineRule="auto"/>
              <w:rPr>
                <w:rFonts w:ascii="Arial"/>
                <w:sz w:val="21"/>
              </w:rPr>
            </w:pPr>
          </w:p>
          <w:p w14:paraId="2CD04E7E">
            <w:pPr>
              <w:pStyle w:val="8"/>
              <w:spacing w:before="59" w:line="182" w:lineRule="auto"/>
              <w:ind w:left="238"/>
            </w:pPr>
            <w:r>
              <w:rPr>
                <w:spacing w:val="-5"/>
              </w:rPr>
              <w:t>55</w:t>
            </w:r>
          </w:p>
        </w:tc>
        <w:tc>
          <w:tcPr>
            <w:tcW w:w="1136" w:type="dxa"/>
            <w:vAlign w:val="top"/>
          </w:tcPr>
          <w:p w14:paraId="4E52EA07">
            <w:pPr>
              <w:spacing w:line="255" w:lineRule="auto"/>
              <w:rPr>
                <w:rFonts w:ascii="Arial"/>
                <w:sz w:val="21"/>
              </w:rPr>
            </w:pPr>
          </w:p>
          <w:p w14:paraId="51E581AC">
            <w:pPr>
              <w:spacing w:line="255" w:lineRule="auto"/>
              <w:rPr>
                <w:rFonts w:ascii="Arial"/>
                <w:sz w:val="21"/>
              </w:rPr>
            </w:pPr>
          </w:p>
          <w:p w14:paraId="26445CE4">
            <w:pPr>
              <w:spacing w:line="255" w:lineRule="auto"/>
              <w:rPr>
                <w:rFonts w:ascii="Arial"/>
                <w:sz w:val="21"/>
              </w:rPr>
            </w:pPr>
          </w:p>
          <w:p w14:paraId="0D70CBB0">
            <w:pPr>
              <w:spacing w:line="256" w:lineRule="auto"/>
              <w:rPr>
                <w:rFonts w:ascii="Arial"/>
                <w:sz w:val="21"/>
              </w:rPr>
            </w:pPr>
          </w:p>
          <w:p w14:paraId="1A7A3FE5">
            <w:pPr>
              <w:pStyle w:val="8"/>
              <w:spacing w:before="58" w:line="244" w:lineRule="auto"/>
              <w:ind w:left="109" w:right="104"/>
              <w:jc w:val="both"/>
            </w:pPr>
            <w:r>
              <w:rPr>
                <w:spacing w:val="3"/>
              </w:rPr>
              <w:t>对通过内河</w:t>
            </w:r>
            <w:r>
              <w:rPr>
                <w:spacing w:val="1"/>
              </w:rPr>
              <w:t xml:space="preserve"> </w:t>
            </w:r>
            <w:r>
              <w:rPr>
                <w:spacing w:val="3"/>
              </w:rPr>
              <w:t>封闭水域运</w:t>
            </w:r>
            <w:r>
              <w:rPr>
                <w:spacing w:val="1"/>
              </w:rPr>
              <w:t xml:space="preserve"> </w:t>
            </w:r>
            <w:r>
              <w:rPr>
                <w:spacing w:val="3"/>
              </w:rPr>
              <w:t>输剧毒化学</w:t>
            </w:r>
            <w:r>
              <w:rPr>
                <w:spacing w:val="1"/>
              </w:rPr>
              <w:t xml:space="preserve"> </w:t>
            </w:r>
            <w:r>
              <w:rPr>
                <w:spacing w:val="3"/>
              </w:rPr>
              <w:t>品以及国家</w:t>
            </w:r>
            <w:r>
              <w:rPr>
                <w:spacing w:val="1"/>
              </w:rPr>
              <w:t xml:space="preserve"> </w:t>
            </w:r>
            <w:r>
              <w:rPr>
                <w:spacing w:val="3"/>
              </w:rPr>
              <w:t>规定禁止通</w:t>
            </w:r>
            <w:r>
              <w:rPr>
                <w:spacing w:val="1"/>
              </w:rPr>
              <w:t xml:space="preserve"> </w:t>
            </w:r>
            <w:r>
              <w:rPr>
                <w:spacing w:val="3"/>
              </w:rPr>
              <w:t>过内河运输</w:t>
            </w:r>
            <w:r>
              <w:rPr>
                <w:spacing w:val="1"/>
              </w:rPr>
              <w:t xml:space="preserve"> </w:t>
            </w:r>
            <w:r>
              <w:rPr>
                <w:spacing w:val="3"/>
              </w:rPr>
              <w:t>的其他危险</w:t>
            </w:r>
            <w:r>
              <w:rPr>
                <w:spacing w:val="1"/>
              </w:rPr>
              <w:t xml:space="preserve"> </w:t>
            </w:r>
            <w:r>
              <w:rPr>
                <w:spacing w:val="3"/>
              </w:rPr>
              <w:t>化学品等行</w:t>
            </w:r>
            <w:r>
              <w:rPr>
                <w:spacing w:val="1"/>
              </w:rPr>
              <w:t xml:space="preserve"> </w:t>
            </w:r>
            <w:r>
              <w:rPr>
                <w:spacing w:val="3"/>
              </w:rPr>
              <w:t>为的行政处</w:t>
            </w:r>
            <w:r>
              <w:rPr>
                <w:spacing w:val="1"/>
              </w:rPr>
              <w:t xml:space="preserve"> </w:t>
            </w:r>
            <w:r>
              <w:t>罚</w:t>
            </w:r>
          </w:p>
        </w:tc>
        <w:tc>
          <w:tcPr>
            <w:tcW w:w="1136" w:type="dxa"/>
            <w:vAlign w:val="top"/>
          </w:tcPr>
          <w:p w14:paraId="6790113E">
            <w:pPr>
              <w:spacing w:line="261" w:lineRule="auto"/>
              <w:rPr>
                <w:rFonts w:ascii="Arial"/>
                <w:sz w:val="21"/>
              </w:rPr>
            </w:pPr>
          </w:p>
          <w:p w14:paraId="65654A52">
            <w:pPr>
              <w:spacing w:line="262" w:lineRule="auto"/>
              <w:rPr>
                <w:rFonts w:ascii="Arial"/>
                <w:sz w:val="21"/>
              </w:rPr>
            </w:pPr>
          </w:p>
          <w:p w14:paraId="05FCFEB4">
            <w:pPr>
              <w:spacing w:line="262" w:lineRule="auto"/>
              <w:rPr>
                <w:rFonts w:ascii="Arial"/>
                <w:sz w:val="21"/>
              </w:rPr>
            </w:pPr>
          </w:p>
          <w:p w14:paraId="4AD5D64E">
            <w:pPr>
              <w:spacing w:line="262" w:lineRule="auto"/>
              <w:rPr>
                <w:rFonts w:ascii="Arial"/>
                <w:sz w:val="21"/>
              </w:rPr>
            </w:pPr>
          </w:p>
          <w:p w14:paraId="023DF033">
            <w:pPr>
              <w:spacing w:line="262" w:lineRule="auto"/>
              <w:rPr>
                <w:rFonts w:ascii="Arial"/>
                <w:sz w:val="21"/>
              </w:rPr>
            </w:pPr>
          </w:p>
          <w:p w14:paraId="2B85132E">
            <w:pPr>
              <w:spacing w:line="262" w:lineRule="auto"/>
              <w:rPr>
                <w:rFonts w:ascii="Arial"/>
                <w:sz w:val="21"/>
              </w:rPr>
            </w:pPr>
          </w:p>
          <w:p w14:paraId="3CDFAC78">
            <w:pPr>
              <w:spacing w:line="262" w:lineRule="auto"/>
              <w:rPr>
                <w:rFonts w:ascii="Arial"/>
                <w:sz w:val="21"/>
              </w:rPr>
            </w:pPr>
          </w:p>
          <w:p w14:paraId="546F1CAA">
            <w:pPr>
              <w:spacing w:line="262" w:lineRule="auto"/>
              <w:rPr>
                <w:rFonts w:ascii="Arial"/>
                <w:sz w:val="21"/>
              </w:rPr>
            </w:pPr>
          </w:p>
          <w:p w14:paraId="7D007C74">
            <w:pPr>
              <w:pStyle w:val="8"/>
              <w:spacing w:before="58" w:line="220" w:lineRule="auto"/>
              <w:ind w:left="114"/>
            </w:pPr>
            <w:r>
              <w:rPr>
                <w:spacing w:val="-7"/>
              </w:rPr>
              <w:t>行政处罚</w:t>
            </w:r>
          </w:p>
        </w:tc>
        <w:tc>
          <w:tcPr>
            <w:tcW w:w="8806" w:type="dxa"/>
            <w:vAlign w:val="top"/>
          </w:tcPr>
          <w:p w14:paraId="3B1B0B45">
            <w:pPr>
              <w:pStyle w:val="8"/>
              <w:spacing w:before="127" w:line="219" w:lineRule="auto"/>
              <w:ind w:left="479"/>
            </w:pPr>
            <w:r>
              <w:rPr>
                <w:b/>
                <w:bCs/>
                <w:spacing w:val="-10"/>
              </w:rPr>
              <w:t>1.《危险化学品安全管理条例》</w:t>
            </w:r>
          </w:p>
          <w:p w14:paraId="69714041">
            <w:pPr>
              <w:pStyle w:val="8"/>
              <w:spacing w:before="25" w:line="233" w:lineRule="auto"/>
              <w:ind w:left="111" w:right="95" w:firstLine="354"/>
            </w:pPr>
            <w:r>
              <w:rPr>
                <w:spacing w:val="-8"/>
              </w:rPr>
              <w:t>第五十四条</w:t>
            </w:r>
            <w:r>
              <w:rPr>
                <w:spacing w:val="73"/>
              </w:rPr>
              <w:t xml:space="preserve"> </w:t>
            </w:r>
            <w:r>
              <w:rPr>
                <w:spacing w:val="-8"/>
              </w:rPr>
              <w:t>禁止通过内河封闭水域运输剧毒化学品以及国家规定禁止通过内河运输的其</w:t>
            </w:r>
            <w:r>
              <w:rPr>
                <w:spacing w:val="-9"/>
              </w:rPr>
              <w:t>他危险化学品。前款</w:t>
            </w:r>
            <w:r>
              <w:t xml:space="preserve"> </w:t>
            </w:r>
            <w:r>
              <w:rPr>
                <w:spacing w:val="-8"/>
              </w:rPr>
              <w:t>规定以外的内河水域，禁止运输国家规定禁止通过内河运输的剧毒化学品以及其他危险化学品。</w:t>
            </w:r>
          </w:p>
          <w:p w14:paraId="677B5EC9">
            <w:pPr>
              <w:pStyle w:val="8"/>
              <w:spacing w:before="26" w:line="237" w:lineRule="auto"/>
              <w:ind w:left="110" w:right="95" w:firstLine="355"/>
            </w:pPr>
            <w:r>
              <w:rPr>
                <w:spacing w:val="-8"/>
              </w:rPr>
              <w:t>禁止通过内河运输的剧毒化学品以及其他危险化学品的范围，</w:t>
            </w:r>
            <w:r>
              <w:rPr>
                <w:spacing w:val="-9"/>
              </w:rPr>
              <w:t>由国务院交通运输主管部门会同国务院环境保护</w:t>
            </w:r>
            <w:r>
              <w:t xml:space="preserve"> </w:t>
            </w:r>
            <w:r>
              <w:rPr>
                <w:spacing w:val="-8"/>
              </w:rPr>
              <w:t>主管部门、工业和信息化主管部门、安全生产监督管理部门，根据危险化学品的危险特性、危险化</w:t>
            </w:r>
            <w:r>
              <w:rPr>
                <w:spacing w:val="-9"/>
              </w:rPr>
              <w:t>学品对人体和水</w:t>
            </w:r>
            <w:r>
              <w:t xml:space="preserve"> </w:t>
            </w:r>
            <w:r>
              <w:rPr>
                <w:spacing w:val="-8"/>
              </w:rPr>
              <w:t>环境的危害程度以及消除危害后果的难易程度等因素规定并公布。</w:t>
            </w:r>
          </w:p>
          <w:p w14:paraId="118FC243">
            <w:pPr>
              <w:pStyle w:val="8"/>
              <w:spacing w:before="24"/>
              <w:ind w:left="112" w:right="95" w:firstLine="353"/>
            </w:pPr>
            <w:r>
              <w:rPr>
                <w:spacing w:val="-8"/>
              </w:rPr>
              <w:t>第八十七条第一款第（二）、第（三）项</w:t>
            </w:r>
            <w:r>
              <w:rPr>
                <w:spacing w:val="73"/>
                <w:w w:val="101"/>
              </w:rPr>
              <w:t xml:space="preserve"> </w:t>
            </w:r>
            <w:r>
              <w:rPr>
                <w:spacing w:val="-8"/>
              </w:rPr>
              <w:t>有下列情形之一的，由交通运输主管部门责令改正，处10</w:t>
            </w:r>
            <w:r>
              <w:rPr>
                <w:spacing w:val="-9"/>
              </w:rPr>
              <w:t>万元以上</w:t>
            </w:r>
            <w:r>
              <w:t xml:space="preserve"> </w:t>
            </w:r>
            <w:r>
              <w:rPr>
                <w:spacing w:val="-8"/>
              </w:rPr>
              <w:t>20万元以下的罚款，有违法所得的，没收违法所得；拒不改正的，责令停产停业整顿；构成犯罪的，依法</w:t>
            </w:r>
            <w:r>
              <w:rPr>
                <w:spacing w:val="-9"/>
              </w:rPr>
              <w:t>追究刑事</w:t>
            </w:r>
            <w:r>
              <w:t xml:space="preserve"> </w:t>
            </w:r>
            <w:r>
              <w:rPr>
                <w:spacing w:val="-7"/>
              </w:rPr>
              <w:t>责任</w:t>
            </w:r>
            <w:r>
              <w:rPr>
                <w:spacing w:val="-22"/>
              </w:rPr>
              <w:t>：（</w:t>
            </w:r>
            <w:r>
              <w:rPr>
                <w:spacing w:val="-7"/>
              </w:rPr>
              <w:t>二）通过内河封闭水域运输剧毒化学品以及国家规定禁止通过内河运输的其他危险化学品的</w:t>
            </w:r>
            <w:r>
              <w:rPr>
                <w:spacing w:val="-22"/>
              </w:rPr>
              <w:t>；（</w:t>
            </w:r>
            <w:r>
              <w:rPr>
                <w:spacing w:val="-7"/>
              </w:rPr>
              <w:t>三）通过</w:t>
            </w:r>
            <w:r>
              <w:rPr>
                <w:spacing w:val="1"/>
              </w:rPr>
              <w:t xml:space="preserve"> </w:t>
            </w:r>
            <w:r>
              <w:rPr>
                <w:spacing w:val="-8"/>
              </w:rPr>
              <w:t>内河运输国家规定禁止通过内河运输的剧毒化学品以及其他危险化学品的。</w:t>
            </w:r>
          </w:p>
          <w:p w14:paraId="544F1161">
            <w:pPr>
              <w:pStyle w:val="8"/>
              <w:spacing w:before="26" w:line="219" w:lineRule="auto"/>
              <w:ind w:left="467"/>
            </w:pPr>
            <w:r>
              <w:rPr>
                <w:b/>
                <w:bCs/>
                <w:spacing w:val="-9"/>
              </w:rPr>
              <w:t>2.《中华人民共和国内河交通安全管理条例》</w:t>
            </w:r>
          </w:p>
          <w:p w14:paraId="731AD0BF">
            <w:pPr>
              <w:pStyle w:val="8"/>
              <w:spacing w:before="25" w:line="219" w:lineRule="auto"/>
              <w:ind w:left="465"/>
            </w:pPr>
            <w:r>
              <w:rPr>
                <w:spacing w:val="-8"/>
              </w:rPr>
              <w:t>第三十条第二款</w:t>
            </w:r>
            <w:r>
              <w:rPr>
                <w:spacing w:val="81"/>
              </w:rPr>
              <w:t xml:space="preserve"> </w:t>
            </w:r>
            <w:r>
              <w:rPr>
                <w:spacing w:val="-8"/>
              </w:rPr>
              <w:t>禁止在内河运输法律、行政法规以及国务院交通主管部门规定禁止运输的危险货物。</w:t>
            </w:r>
          </w:p>
          <w:p w14:paraId="0F0E27D9">
            <w:pPr>
              <w:pStyle w:val="8"/>
              <w:spacing w:before="27" w:line="219" w:lineRule="auto"/>
              <w:ind w:left="469"/>
            </w:pPr>
            <w:r>
              <w:rPr>
                <w:b/>
                <w:bCs/>
                <w:spacing w:val="-8"/>
              </w:rPr>
              <w:t>3.《中华人民共和国内河海事行政处罚规定》（交通运输部令</w:t>
            </w:r>
            <w:r>
              <w:rPr>
                <w:b/>
                <w:bCs/>
                <w:spacing w:val="-9"/>
              </w:rPr>
              <w:t>2022年第28号）</w:t>
            </w:r>
          </w:p>
          <w:p w14:paraId="5F904A4E">
            <w:pPr>
              <w:pStyle w:val="8"/>
              <w:spacing w:before="26" w:line="241" w:lineRule="auto"/>
              <w:ind w:left="111" w:right="54" w:firstLine="354"/>
              <w:jc w:val="both"/>
            </w:pPr>
            <w:r>
              <w:rPr>
                <w:spacing w:val="-11"/>
              </w:rPr>
              <w:t>第二十条</w:t>
            </w:r>
            <w:r>
              <w:rPr>
                <w:spacing w:val="77"/>
              </w:rPr>
              <w:t xml:space="preserve"> </w:t>
            </w:r>
            <w:r>
              <w:rPr>
                <w:spacing w:val="-11"/>
              </w:rPr>
              <w:t>违反《内河交通安全管理条例》第三十条第二款和《危险化学品安全管理条例》第五十四条的规定，</w:t>
            </w:r>
            <w:r>
              <w:t xml:space="preserve"> </w:t>
            </w:r>
            <w:r>
              <w:rPr>
                <w:spacing w:val="-8"/>
              </w:rPr>
              <w:t>有下列情形之一的，依照《危险化学品安全管理条例》第八十七条规定，责令改正，对船舶所有</w:t>
            </w:r>
            <w:r>
              <w:rPr>
                <w:spacing w:val="-9"/>
              </w:rPr>
              <w:t>人或者经营人处以</w:t>
            </w:r>
            <w:r>
              <w:t xml:space="preserve"> </w:t>
            </w:r>
            <w:r>
              <w:rPr>
                <w:spacing w:val="-7"/>
              </w:rPr>
              <w:t>10万元以上20万元以下的罚款，有违法所得的，没收违法所得；拒不改</w:t>
            </w:r>
            <w:r>
              <w:rPr>
                <w:spacing w:val="-8"/>
              </w:rPr>
              <w:t>正的，责令停航整顿</w:t>
            </w:r>
            <w:r>
              <w:rPr>
                <w:spacing w:val="-22"/>
              </w:rPr>
              <w:t>：（</w:t>
            </w:r>
            <w:r>
              <w:rPr>
                <w:spacing w:val="-8"/>
              </w:rPr>
              <w:t>一）通过内河封闭</w:t>
            </w:r>
            <w:r>
              <w:rPr>
                <w:spacing w:val="1"/>
              </w:rPr>
              <w:t xml:space="preserve"> </w:t>
            </w:r>
            <w:r>
              <w:rPr>
                <w:spacing w:val="-7"/>
              </w:rPr>
              <w:t>水域运输剧毒化学品以及国家规定禁止通过内河运输的</w:t>
            </w:r>
            <w:r>
              <w:rPr>
                <w:spacing w:val="-8"/>
              </w:rPr>
              <w:t>其他危险化学品的</w:t>
            </w:r>
            <w:r>
              <w:rPr>
                <w:spacing w:val="-24"/>
              </w:rPr>
              <w:t>；（</w:t>
            </w:r>
            <w:r>
              <w:rPr>
                <w:spacing w:val="-8"/>
              </w:rPr>
              <w:t>二）通过内河运输国家规定禁止通过</w:t>
            </w:r>
            <w:r>
              <w:t xml:space="preserve"> </w:t>
            </w:r>
            <w:r>
              <w:rPr>
                <w:spacing w:val="-8"/>
              </w:rPr>
              <w:t>内河运输的剧毒化学品以及其他危险化学品的。</w:t>
            </w:r>
          </w:p>
        </w:tc>
        <w:tc>
          <w:tcPr>
            <w:tcW w:w="1043" w:type="dxa"/>
            <w:vAlign w:val="top"/>
          </w:tcPr>
          <w:p w14:paraId="0CBF8A15">
            <w:pPr>
              <w:spacing w:line="246" w:lineRule="auto"/>
              <w:rPr>
                <w:rFonts w:ascii="Arial"/>
                <w:sz w:val="21"/>
              </w:rPr>
            </w:pPr>
          </w:p>
          <w:p w14:paraId="03C5DD2A">
            <w:pPr>
              <w:spacing w:line="247" w:lineRule="auto"/>
              <w:rPr>
                <w:rFonts w:ascii="Arial"/>
                <w:sz w:val="21"/>
              </w:rPr>
            </w:pPr>
          </w:p>
          <w:p w14:paraId="3BCF0F4B">
            <w:pPr>
              <w:spacing w:line="247" w:lineRule="auto"/>
              <w:rPr>
                <w:rFonts w:ascii="Arial"/>
                <w:sz w:val="21"/>
              </w:rPr>
            </w:pPr>
          </w:p>
          <w:p w14:paraId="1BF33061">
            <w:pPr>
              <w:spacing w:line="247" w:lineRule="auto"/>
              <w:rPr>
                <w:rFonts w:ascii="Arial"/>
                <w:sz w:val="21"/>
              </w:rPr>
            </w:pPr>
          </w:p>
          <w:p w14:paraId="7D5794FB">
            <w:pPr>
              <w:spacing w:line="247" w:lineRule="auto"/>
              <w:rPr>
                <w:rFonts w:ascii="Arial"/>
                <w:sz w:val="21"/>
              </w:rPr>
            </w:pPr>
          </w:p>
          <w:p w14:paraId="1E9C84BB">
            <w:pPr>
              <w:spacing w:line="247" w:lineRule="auto"/>
              <w:rPr>
                <w:rFonts w:ascii="Arial"/>
                <w:sz w:val="21"/>
              </w:rPr>
            </w:pPr>
          </w:p>
          <w:p w14:paraId="63D68325">
            <w:pPr>
              <w:spacing w:line="247" w:lineRule="auto"/>
              <w:rPr>
                <w:rFonts w:ascii="Arial"/>
                <w:sz w:val="21"/>
              </w:rPr>
            </w:pPr>
          </w:p>
          <w:p w14:paraId="6C2AD1F1">
            <w:pPr>
              <w:spacing w:line="247" w:lineRule="auto"/>
              <w:rPr>
                <w:rFonts w:ascii="Arial"/>
                <w:sz w:val="21"/>
              </w:rPr>
            </w:pPr>
          </w:p>
          <w:p w14:paraId="54383200">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4336B50E">
            <w:pPr>
              <w:spacing w:line="261" w:lineRule="auto"/>
              <w:rPr>
                <w:rFonts w:ascii="Arial"/>
                <w:sz w:val="21"/>
              </w:rPr>
            </w:pPr>
          </w:p>
          <w:p w14:paraId="3CACE522">
            <w:pPr>
              <w:spacing w:line="262" w:lineRule="auto"/>
              <w:rPr>
                <w:rFonts w:ascii="Arial"/>
                <w:sz w:val="21"/>
              </w:rPr>
            </w:pPr>
          </w:p>
          <w:p w14:paraId="6013C1C9">
            <w:pPr>
              <w:spacing w:line="262" w:lineRule="auto"/>
              <w:rPr>
                <w:rFonts w:ascii="Arial"/>
                <w:sz w:val="21"/>
              </w:rPr>
            </w:pPr>
          </w:p>
          <w:p w14:paraId="0BF8C5A0">
            <w:pPr>
              <w:spacing w:line="262" w:lineRule="auto"/>
              <w:rPr>
                <w:rFonts w:ascii="Arial"/>
                <w:sz w:val="21"/>
              </w:rPr>
            </w:pPr>
          </w:p>
          <w:p w14:paraId="78D65F76">
            <w:pPr>
              <w:spacing w:line="262" w:lineRule="auto"/>
              <w:rPr>
                <w:rFonts w:ascii="Arial"/>
                <w:sz w:val="21"/>
              </w:rPr>
            </w:pPr>
          </w:p>
          <w:p w14:paraId="5B9C201B">
            <w:pPr>
              <w:spacing w:line="262" w:lineRule="auto"/>
              <w:rPr>
                <w:rFonts w:ascii="Arial"/>
                <w:sz w:val="21"/>
              </w:rPr>
            </w:pPr>
          </w:p>
          <w:p w14:paraId="2BB4F623">
            <w:pPr>
              <w:spacing w:line="262" w:lineRule="auto"/>
              <w:rPr>
                <w:rFonts w:ascii="Arial"/>
                <w:sz w:val="21"/>
              </w:rPr>
            </w:pPr>
          </w:p>
          <w:p w14:paraId="42ACA031">
            <w:pPr>
              <w:spacing w:line="262" w:lineRule="auto"/>
              <w:rPr>
                <w:rFonts w:ascii="Arial"/>
                <w:sz w:val="21"/>
              </w:rPr>
            </w:pPr>
          </w:p>
          <w:p w14:paraId="08045EEB">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847B237">
            <w:pPr>
              <w:spacing w:line="248" w:lineRule="auto"/>
              <w:rPr>
                <w:rFonts w:ascii="Arial"/>
                <w:sz w:val="21"/>
              </w:rPr>
            </w:pPr>
          </w:p>
          <w:p w14:paraId="185D4C35">
            <w:pPr>
              <w:spacing w:line="248" w:lineRule="auto"/>
              <w:rPr>
                <w:rFonts w:ascii="Arial"/>
                <w:sz w:val="21"/>
              </w:rPr>
            </w:pPr>
          </w:p>
          <w:p w14:paraId="2EE3E818">
            <w:pPr>
              <w:spacing w:line="248" w:lineRule="auto"/>
              <w:rPr>
                <w:rFonts w:ascii="Arial"/>
                <w:sz w:val="21"/>
              </w:rPr>
            </w:pPr>
          </w:p>
          <w:p w14:paraId="680F21BE">
            <w:pPr>
              <w:spacing w:line="248" w:lineRule="auto"/>
              <w:rPr>
                <w:rFonts w:ascii="Arial"/>
                <w:sz w:val="21"/>
              </w:rPr>
            </w:pPr>
          </w:p>
          <w:p w14:paraId="42301E23">
            <w:pPr>
              <w:spacing w:line="248" w:lineRule="auto"/>
              <w:rPr>
                <w:rFonts w:ascii="Arial"/>
                <w:sz w:val="21"/>
              </w:rPr>
            </w:pPr>
          </w:p>
          <w:p w14:paraId="5F24004B">
            <w:pPr>
              <w:spacing w:line="249" w:lineRule="auto"/>
              <w:rPr>
                <w:rFonts w:ascii="Arial"/>
                <w:sz w:val="21"/>
              </w:rPr>
            </w:pPr>
          </w:p>
          <w:p w14:paraId="60473EB4">
            <w:pPr>
              <w:spacing w:line="249" w:lineRule="auto"/>
              <w:rPr>
                <w:rFonts w:ascii="Arial"/>
                <w:sz w:val="21"/>
              </w:rPr>
            </w:pPr>
          </w:p>
          <w:p w14:paraId="7FDA63D2">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161AC544">
      <w:pPr>
        <w:pStyle w:val="2"/>
        <w:spacing w:line="223" w:lineRule="exact"/>
        <w:rPr>
          <w:sz w:val="19"/>
        </w:rPr>
      </w:pPr>
    </w:p>
    <w:p w14:paraId="57833B94">
      <w:pPr>
        <w:spacing w:line="223" w:lineRule="exact"/>
        <w:rPr>
          <w:sz w:val="19"/>
          <w:szCs w:val="19"/>
        </w:rPr>
        <w:sectPr>
          <w:footerReference r:id="rId195" w:type="default"/>
          <w:pgSz w:w="16839" w:h="11906"/>
          <w:pgMar w:top="1012" w:right="788" w:bottom="966" w:left="787" w:header="0" w:footer="768" w:gutter="0"/>
          <w:cols w:space="720" w:num="1"/>
        </w:sectPr>
      </w:pPr>
    </w:p>
    <w:p w14:paraId="49383A9D">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3CD71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41" w:type="dxa"/>
            <w:vMerge w:val="restart"/>
            <w:tcBorders>
              <w:bottom w:val="nil"/>
            </w:tcBorders>
            <w:vAlign w:val="top"/>
          </w:tcPr>
          <w:p w14:paraId="222B168F">
            <w:pPr>
              <w:pStyle w:val="8"/>
              <w:spacing w:before="267" w:line="221" w:lineRule="auto"/>
              <w:ind w:left="142"/>
            </w:pPr>
            <w:r>
              <w:rPr>
                <w:b/>
                <w:bCs/>
                <w:spacing w:val="-4"/>
              </w:rPr>
              <w:t>序号</w:t>
            </w:r>
          </w:p>
        </w:tc>
        <w:tc>
          <w:tcPr>
            <w:tcW w:w="1136" w:type="dxa"/>
            <w:vMerge w:val="restart"/>
            <w:tcBorders>
              <w:bottom w:val="nil"/>
            </w:tcBorders>
            <w:vAlign w:val="top"/>
          </w:tcPr>
          <w:p w14:paraId="0A5287FE">
            <w:pPr>
              <w:pStyle w:val="8"/>
              <w:spacing w:before="267" w:line="220" w:lineRule="auto"/>
              <w:ind w:left="208"/>
            </w:pPr>
            <w:r>
              <w:rPr>
                <w:b/>
                <w:bCs/>
                <w:spacing w:val="-4"/>
              </w:rPr>
              <w:t>事项名称</w:t>
            </w:r>
          </w:p>
        </w:tc>
        <w:tc>
          <w:tcPr>
            <w:tcW w:w="1136" w:type="dxa"/>
            <w:vMerge w:val="restart"/>
            <w:tcBorders>
              <w:bottom w:val="nil"/>
            </w:tcBorders>
            <w:vAlign w:val="top"/>
          </w:tcPr>
          <w:p w14:paraId="4C686A55">
            <w:pPr>
              <w:pStyle w:val="8"/>
              <w:spacing w:before="267" w:line="219" w:lineRule="auto"/>
              <w:ind w:left="210"/>
            </w:pPr>
            <w:r>
              <w:rPr>
                <w:b/>
                <w:bCs/>
                <w:spacing w:val="-4"/>
              </w:rPr>
              <w:t>职权类型</w:t>
            </w:r>
          </w:p>
        </w:tc>
        <w:tc>
          <w:tcPr>
            <w:tcW w:w="8806" w:type="dxa"/>
            <w:vMerge w:val="restart"/>
            <w:tcBorders>
              <w:bottom w:val="nil"/>
            </w:tcBorders>
            <w:vAlign w:val="top"/>
          </w:tcPr>
          <w:p w14:paraId="3A163E5B">
            <w:pPr>
              <w:pStyle w:val="8"/>
              <w:spacing w:before="267" w:line="219" w:lineRule="auto"/>
              <w:ind w:left="4050"/>
            </w:pPr>
            <w:r>
              <w:rPr>
                <w:b/>
                <w:bCs/>
                <w:spacing w:val="-5"/>
              </w:rPr>
              <w:t>实施依据</w:t>
            </w:r>
          </w:p>
        </w:tc>
        <w:tc>
          <w:tcPr>
            <w:tcW w:w="3538" w:type="dxa"/>
            <w:gridSpan w:val="3"/>
            <w:vAlign w:val="top"/>
          </w:tcPr>
          <w:p w14:paraId="4C0A306C">
            <w:pPr>
              <w:pStyle w:val="8"/>
              <w:spacing w:before="92" w:line="220" w:lineRule="auto"/>
              <w:ind w:left="1415"/>
            </w:pPr>
            <w:r>
              <w:rPr>
                <w:b/>
                <w:bCs/>
                <w:spacing w:val="-5"/>
              </w:rPr>
              <w:t>实施主体</w:t>
            </w:r>
          </w:p>
        </w:tc>
      </w:tr>
      <w:tr w14:paraId="5664E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2472B94D">
            <w:pPr>
              <w:rPr>
                <w:rFonts w:ascii="Arial"/>
                <w:sz w:val="21"/>
              </w:rPr>
            </w:pPr>
          </w:p>
        </w:tc>
        <w:tc>
          <w:tcPr>
            <w:tcW w:w="1136" w:type="dxa"/>
            <w:vMerge w:val="continue"/>
            <w:tcBorders>
              <w:top w:val="nil"/>
            </w:tcBorders>
            <w:vAlign w:val="top"/>
          </w:tcPr>
          <w:p w14:paraId="3AA4E706">
            <w:pPr>
              <w:rPr>
                <w:rFonts w:ascii="Arial"/>
                <w:sz w:val="21"/>
              </w:rPr>
            </w:pPr>
          </w:p>
        </w:tc>
        <w:tc>
          <w:tcPr>
            <w:tcW w:w="1136" w:type="dxa"/>
            <w:vMerge w:val="continue"/>
            <w:tcBorders>
              <w:top w:val="nil"/>
            </w:tcBorders>
            <w:vAlign w:val="top"/>
          </w:tcPr>
          <w:p w14:paraId="382D1FBA">
            <w:pPr>
              <w:rPr>
                <w:rFonts w:ascii="Arial"/>
                <w:sz w:val="21"/>
              </w:rPr>
            </w:pPr>
          </w:p>
        </w:tc>
        <w:tc>
          <w:tcPr>
            <w:tcW w:w="8806" w:type="dxa"/>
            <w:vMerge w:val="continue"/>
            <w:tcBorders>
              <w:top w:val="nil"/>
            </w:tcBorders>
            <w:vAlign w:val="top"/>
          </w:tcPr>
          <w:p w14:paraId="13135FA1">
            <w:pPr>
              <w:rPr>
                <w:rFonts w:ascii="Arial"/>
                <w:sz w:val="21"/>
              </w:rPr>
            </w:pPr>
          </w:p>
        </w:tc>
        <w:tc>
          <w:tcPr>
            <w:tcW w:w="1043" w:type="dxa"/>
            <w:vAlign w:val="top"/>
          </w:tcPr>
          <w:p w14:paraId="44DFC9B6">
            <w:pPr>
              <w:pStyle w:val="8"/>
              <w:spacing w:before="87" w:line="219" w:lineRule="auto"/>
              <w:ind w:left="171"/>
            </w:pPr>
            <w:r>
              <w:rPr>
                <w:b/>
                <w:bCs/>
                <w:spacing w:val="-5"/>
              </w:rPr>
              <w:t>责任部门</w:t>
            </w:r>
          </w:p>
        </w:tc>
        <w:tc>
          <w:tcPr>
            <w:tcW w:w="1448" w:type="dxa"/>
            <w:vAlign w:val="top"/>
          </w:tcPr>
          <w:p w14:paraId="66E8B9F7">
            <w:pPr>
              <w:pStyle w:val="8"/>
              <w:spacing w:before="87" w:line="219" w:lineRule="auto"/>
              <w:ind w:left="187"/>
            </w:pPr>
            <w:r>
              <w:rPr>
                <w:b/>
                <w:bCs/>
                <w:spacing w:val="-3"/>
              </w:rPr>
              <w:t>第一责任层级</w:t>
            </w:r>
          </w:p>
        </w:tc>
        <w:tc>
          <w:tcPr>
            <w:tcW w:w="1047" w:type="dxa"/>
            <w:vAlign w:val="top"/>
          </w:tcPr>
          <w:p w14:paraId="1EA0609B">
            <w:pPr>
              <w:pStyle w:val="8"/>
              <w:spacing w:before="87" w:line="219" w:lineRule="auto"/>
              <w:ind w:left="165"/>
            </w:pPr>
            <w:r>
              <w:rPr>
                <w:b/>
                <w:bCs/>
                <w:spacing w:val="-4"/>
              </w:rPr>
              <w:t>承办机构</w:t>
            </w:r>
          </w:p>
        </w:tc>
      </w:tr>
      <w:tr w14:paraId="6B2F5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6" w:hRule="atLeast"/>
        </w:trPr>
        <w:tc>
          <w:tcPr>
            <w:tcW w:w="641" w:type="dxa"/>
            <w:vAlign w:val="top"/>
          </w:tcPr>
          <w:p w14:paraId="1C89F7F1">
            <w:pPr>
              <w:spacing w:line="268" w:lineRule="auto"/>
              <w:rPr>
                <w:rFonts w:ascii="Arial"/>
                <w:sz w:val="21"/>
              </w:rPr>
            </w:pPr>
          </w:p>
          <w:p w14:paraId="24910D52">
            <w:pPr>
              <w:spacing w:line="268" w:lineRule="auto"/>
              <w:rPr>
                <w:rFonts w:ascii="Arial"/>
                <w:sz w:val="21"/>
              </w:rPr>
            </w:pPr>
          </w:p>
          <w:p w14:paraId="4D588982">
            <w:pPr>
              <w:spacing w:line="268" w:lineRule="auto"/>
              <w:rPr>
                <w:rFonts w:ascii="Arial"/>
                <w:sz w:val="21"/>
              </w:rPr>
            </w:pPr>
          </w:p>
          <w:p w14:paraId="3D3991BD">
            <w:pPr>
              <w:spacing w:line="268" w:lineRule="auto"/>
              <w:rPr>
                <w:rFonts w:ascii="Arial"/>
                <w:sz w:val="21"/>
              </w:rPr>
            </w:pPr>
          </w:p>
          <w:p w14:paraId="4663F12D">
            <w:pPr>
              <w:spacing w:line="268" w:lineRule="auto"/>
              <w:rPr>
                <w:rFonts w:ascii="Arial"/>
                <w:sz w:val="21"/>
              </w:rPr>
            </w:pPr>
          </w:p>
          <w:p w14:paraId="3C442F67">
            <w:pPr>
              <w:spacing w:line="269" w:lineRule="auto"/>
              <w:rPr>
                <w:rFonts w:ascii="Arial"/>
                <w:sz w:val="21"/>
              </w:rPr>
            </w:pPr>
          </w:p>
          <w:p w14:paraId="3632FA09">
            <w:pPr>
              <w:spacing w:line="269" w:lineRule="auto"/>
              <w:rPr>
                <w:rFonts w:ascii="Arial"/>
                <w:sz w:val="21"/>
              </w:rPr>
            </w:pPr>
          </w:p>
          <w:p w14:paraId="523FE92B">
            <w:pPr>
              <w:spacing w:line="269" w:lineRule="auto"/>
              <w:rPr>
                <w:rFonts w:ascii="Arial"/>
                <w:sz w:val="21"/>
              </w:rPr>
            </w:pPr>
          </w:p>
          <w:p w14:paraId="710B1A0B">
            <w:pPr>
              <w:pStyle w:val="8"/>
              <w:spacing w:before="58" w:line="183" w:lineRule="auto"/>
              <w:ind w:left="238"/>
            </w:pPr>
            <w:r>
              <w:rPr>
                <w:spacing w:val="-5"/>
              </w:rPr>
              <w:t>56</w:t>
            </w:r>
          </w:p>
        </w:tc>
        <w:tc>
          <w:tcPr>
            <w:tcW w:w="1136" w:type="dxa"/>
            <w:vAlign w:val="top"/>
          </w:tcPr>
          <w:p w14:paraId="45D41412">
            <w:pPr>
              <w:spacing w:line="344" w:lineRule="auto"/>
              <w:rPr>
                <w:rFonts w:ascii="Arial"/>
                <w:sz w:val="21"/>
              </w:rPr>
            </w:pPr>
          </w:p>
          <w:p w14:paraId="4FD698FD">
            <w:pPr>
              <w:spacing w:line="344" w:lineRule="auto"/>
              <w:rPr>
                <w:rFonts w:ascii="Arial"/>
                <w:sz w:val="21"/>
              </w:rPr>
            </w:pPr>
          </w:p>
          <w:p w14:paraId="1B64181D">
            <w:pPr>
              <w:pStyle w:val="8"/>
              <w:spacing w:before="58" w:line="244" w:lineRule="auto"/>
              <w:ind w:left="109" w:right="104"/>
            </w:pPr>
            <w:r>
              <w:rPr>
                <w:spacing w:val="3"/>
              </w:rPr>
              <w:t>对通过船舶</w:t>
            </w:r>
            <w:r>
              <w:rPr>
                <w:spacing w:val="1"/>
              </w:rPr>
              <w:t xml:space="preserve"> </w:t>
            </w:r>
            <w:r>
              <w:rPr>
                <w:spacing w:val="3"/>
              </w:rPr>
              <w:t>载运危险化</w:t>
            </w:r>
            <w:r>
              <w:rPr>
                <w:spacing w:val="1"/>
              </w:rPr>
              <w:t xml:space="preserve"> </w:t>
            </w:r>
            <w:r>
              <w:rPr>
                <w:spacing w:val="3"/>
              </w:rPr>
              <w:t>学品，在托</w:t>
            </w:r>
            <w:r>
              <w:rPr>
                <w:spacing w:val="1"/>
              </w:rPr>
              <w:t xml:space="preserve"> </w:t>
            </w:r>
            <w:r>
              <w:rPr>
                <w:spacing w:val="3"/>
              </w:rPr>
              <w:t>运的普通货</w:t>
            </w:r>
            <w:r>
              <w:rPr>
                <w:spacing w:val="1"/>
              </w:rPr>
              <w:t xml:space="preserve"> </w:t>
            </w:r>
            <w:r>
              <w:rPr>
                <w:spacing w:val="3"/>
              </w:rPr>
              <w:t>物中夹带危</w:t>
            </w:r>
            <w:r>
              <w:rPr>
                <w:spacing w:val="1"/>
              </w:rPr>
              <w:t xml:space="preserve"> </w:t>
            </w:r>
            <w:r>
              <w:rPr>
                <w:spacing w:val="2"/>
              </w:rPr>
              <w:t>险化学品，</w:t>
            </w:r>
            <w:r>
              <w:t xml:space="preserve"> </w:t>
            </w:r>
            <w:r>
              <w:rPr>
                <w:spacing w:val="3"/>
              </w:rPr>
              <w:t>或者将危险</w:t>
            </w:r>
            <w:r>
              <w:rPr>
                <w:spacing w:val="1"/>
              </w:rPr>
              <w:t xml:space="preserve"> </w:t>
            </w:r>
            <w:r>
              <w:rPr>
                <w:spacing w:val="3"/>
              </w:rPr>
              <w:t>化学品谎报</w:t>
            </w:r>
            <w:r>
              <w:rPr>
                <w:spacing w:val="1"/>
              </w:rPr>
              <w:t xml:space="preserve"> </w:t>
            </w:r>
            <w:r>
              <w:rPr>
                <w:spacing w:val="3"/>
              </w:rPr>
              <w:t>或者匿报为</w:t>
            </w:r>
            <w:r>
              <w:rPr>
                <w:spacing w:val="1"/>
              </w:rPr>
              <w:t xml:space="preserve"> </w:t>
            </w:r>
            <w:r>
              <w:rPr>
                <w:spacing w:val="3"/>
              </w:rPr>
              <w:t>普通货物托</w:t>
            </w:r>
            <w:r>
              <w:rPr>
                <w:spacing w:val="1"/>
              </w:rPr>
              <w:t xml:space="preserve"> </w:t>
            </w:r>
            <w:r>
              <w:rPr>
                <w:spacing w:val="3"/>
              </w:rPr>
              <w:t>运行为的行</w:t>
            </w:r>
            <w:r>
              <w:rPr>
                <w:spacing w:val="1"/>
              </w:rPr>
              <w:t xml:space="preserve"> </w:t>
            </w:r>
            <w:r>
              <w:rPr>
                <w:spacing w:val="-4"/>
              </w:rPr>
              <w:t>政处罚</w:t>
            </w:r>
          </w:p>
        </w:tc>
        <w:tc>
          <w:tcPr>
            <w:tcW w:w="1136" w:type="dxa"/>
            <w:vAlign w:val="top"/>
          </w:tcPr>
          <w:p w14:paraId="221A4856">
            <w:pPr>
              <w:spacing w:line="264" w:lineRule="auto"/>
              <w:rPr>
                <w:rFonts w:ascii="Arial"/>
                <w:sz w:val="21"/>
              </w:rPr>
            </w:pPr>
          </w:p>
          <w:p w14:paraId="3898590F">
            <w:pPr>
              <w:spacing w:line="264" w:lineRule="auto"/>
              <w:rPr>
                <w:rFonts w:ascii="Arial"/>
                <w:sz w:val="21"/>
              </w:rPr>
            </w:pPr>
          </w:p>
          <w:p w14:paraId="2B27DDC4">
            <w:pPr>
              <w:spacing w:line="265" w:lineRule="auto"/>
              <w:rPr>
                <w:rFonts w:ascii="Arial"/>
                <w:sz w:val="21"/>
              </w:rPr>
            </w:pPr>
          </w:p>
          <w:p w14:paraId="5DDC1579">
            <w:pPr>
              <w:spacing w:line="265" w:lineRule="auto"/>
              <w:rPr>
                <w:rFonts w:ascii="Arial"/>
                <w:sz w:val="21"/>
              </w:rPr>
            </w:pPr>
          </w:p>
          <w:p w14:paraId="499939BF">
            <w:pPr>
              <w:spacing w:line="265" w:lineRule="auto"/>
              <w:rPr>
                <w:rFonts w:ascii="Arial"/>
                <w:sz w:val="21"/>
              </w:rPr>
            </w:pPr>
          </w:p>
          <w:p w14:paraId="6EC114FB">
            <w:pPr>
              <w:spacing w:line="265" w:lineRule="auto"/>
              <w:rPr>
                <w:rFonts w:ascii="Arial"/>
                <w:sz w:val="21"/>
              </w:rPr>
            </w:pPr>
          </w:p>
          <w:p w14:paraId="7F6AC1C3">
            <w:pPr>
              <w:spacing w:line="265" w:lineRule="auto"/>
              <w:rPr>
                <w:rFonts w:ascii="Arial"/>
                <w:sz w:val="21"/>
              </w:rPr>
            </w:pPr>
          </w:p>
          <w:p w14:paraId="46A2CE38">
            <w:pPr>
              <w:spacing w:line="265" w:lineRule="auto"/>
              <w:rPr>
                <w:rFonts w:ascii="Arial"/>
                <w:sz w:val="21"/>
              </w:rPr>
            </w:pPr>
          </w:p>
          <w:p w14:paraId="30825711">
            <w:pPr>
              <w:pStyle w:val="8"/>
              <w:spacing w:before="59" w:line="220" w:lineRule="auto"/>
              <w:ind w:left="114"/>
            </w:pPr>
            <w:r>
              <w:rPr>
                <w:spacing w:val="-7"/>
              </w:rPr>
              <w:t>行政处罚</w:t>
            </w:r>
          </w:p>
        </w:tc>
        <w:tc>
          <w:tcPr>
            <w:tcW w:w="8806" w:type="dxa"/>
            <w:vAlign w:val="top"/>
          </w:tcPr>
          <w:p w14:paraId="6F4FDD41">
            <w:pPr>
              <w:spacing w:line="330" w:lineRule="auto"/>
              <w:rPr>
                <w:rFonts w:ascii="Arial"/>
                <w:sz w:val="21"/>
              </w:rPr>
            </w:pPr>
          </w:p>
          <w:p w14:paraId="3C7701B3">
            <w:pPr>
              <w:pStyle w:val="8"/>
              <w:spacing w:before="58" w:line="219" w:lineRule="auto"/>
              <w:ind w:left="481"/>
            </w:pPr>
            <w:r>
              <w:rPr>
                <w:b/>
                <w:bCs/>
                <w:spacing w:val="-5"/>
              </w:rPr>
              <w:t>1.《危险化学品安全管理条例》</w:t>
            </w:r>
          </w:p>
          <w:p w14:paraId="25280A14">
            <w:pPr>
              <w:pStyle w:val="8"/>
              <w:spacing w:before="25" w:line="219" w:lineRule="auto"/>
              <w:ind w:left="468"/>
            </w:pPr>
            <w:r>
              <w:rPr>
                <w:spacing w:val="-2"/>
              </w:rPr>
              <w:t>第六十四条  托运人不得在托运的普通货物中夹带危险化学品，不得将危险化学品匿报或者</w:t>
            </w:r>
            <w:r>
              <w:rPr>
                <w:spacing w:val="-3"/>
              </w:rPr>
              <w:t>谎报为普通货</w:t>
            </w:r>
          </w:p>
          <w:p w14:paraId="293DF8EA">
            <w:pPr>
              <w:pStyle w:val="8"/>
              <w:spacing w:before="26" w:line="221" w:lineRule="auto"/>
              <w:ind w:left="110"/>
            </w:pPr>
            <w:r>
              <w:rPr>
                <w:spacing w:val="-3"/>
              </w:rPr>
              <w:t>物托运。</w:t>
            </w:r>
          </w:p>
          <w:p w14:paraId="5896DFC5">
            <w:pPr>
              <w:pStyle w:val="8"/>
              <w:spacing w:before="24" w:line="233" w:lineRule="auto"/>
              <w:ind w:left="109" w:right="151" w:firstLine="358"/>
            </w:pPr>
            <w:r>
              <w:rPr>
                <w:spacing w:val="-2"/>
              </w:rPr>
              <w:t>任何单位和个人不得交寄危险化学品或者在邮件、快件内夹带危险化学品，不得将危险化</w:t>
            </w:r>
            <w:r>
              <w:rPr>
                <w:spacing w:val="-3"/>
              </w:rPr>
              <w:t>学品匿报或者谎</w:t>
            </w:r>
            <w:r>
              <w:t xml:space="preserve"> </w:t>
            </w:r>
            <w:r>
              <w:rPr>
                <w:spacing w:val="-2"/>
              </w:rPr>
              <w:t>报为普通物品交寄。邮政企业、快递企业不得收寄危险</w:t>
            </w:r>
            <w:r>
              <w:rPr>
                <w:spacing w:val="-3"/>
              </w:rPr>
              <w:t>化学品。</w:t>
            </w:r>
          </w:p>
          <w:p w14:paraId="7CEFB049">
            <w:pPr>
              <w:pStyle w:val="8"/>
              <w:spacing w:before="26" w:line="219" w:lineRule="auto"/>
              <w:ind w:left="467"/>
            </w:pPr>
            <w:r>
              <w:rPr>
                <w:spacing w:val="-2"/>
              </w:rPr>
              <w:t>对涉嫌违反本条第一款、第二款规定的，交通运输主管部门、邮政管理部门可以依法开拆</w:t>
            </w:r>
            <w:r>
              <w:rPr>
                <w:spacing w:val="-3"/>
              </w:rPr>
              <w:t>查验。</w:t>
            </w:r>
          </w:p>
          <w:p w14:paraId="339287F4">
            <w:pPr>
              <w:pStyle w:val="8"/>
              <w:spacing w:before="27" w:line="237" w:lineRule="auto"/>
              <w:ind w:left="109" w:right="151" w:firstLine="358"/>
            </w:pPr>
            <w:r>
              <w:rPr>
                <w:spacing w:val="-2"/>
              </w:rPr>
              <w:t>第八十七条第一款第（四）项  有下列情形之一的，由交通运输主管部门责令改正，处10万元以上20</w:t>
            </w:r>
            <w:r>
              <w:rPr>
                <w:spacing w:val="-3"/>
              </w:rPr>
              <w:t>万元</w:t>
            </w:r>
            <w:r>
              <w:t xml:space="preserve"> </w:t>
            </w:r>
            <w:r>
              <w:rPr>
                <w:spacing w:val="-2"/>
              </w:rPr>
              <w:t>以下的罚款，有违法所得的，没收违法所得；拒不改正的，责令停产停业整顿；构成犯罪的，依</w:t>
            </w:r>
            <w:r>
              <w:rPr>
                <w:spacing w:val="-3"/>
              </w:rPr>
              <w:t>法追究刑事责</w:t>
            </w:r>
            <w:r>
              <w:t xml:space="preserve"> </w:t>
            </w:r>
            <w:r>
              <w:rPr>
                <w:spacing w:val="-1"/>
              </w:rPr>
              <w:t>任</w:t>
            </w:r>
            <w:r>
              <w:rPr>
                <w:spacing w:val="-15"/>
              </w:rPr>
              <w:t>：（</w:t>
            </w:r>
            <w:r>
              <w:rPr>
                <w:spacing w:val="-1"/>
              </w:rPr>
              <w:t>四）在托运的普通货物中夹带危险化学品，或者</w:t>
            </w:r>
            <w:r>
              <w:rPr>
                <w:spacing w:val="-2"/>
              </w:rPr>
              <w:t>将危险化学品谎报或者匿报为普通货物托运的。</w:t>
            </w:r>
          </w:p>
          <w:p w14:paraId="7F8CEF11">
            <w:pPr>
              <w:pStyle w:val="8"/>
              <w:spacing w:before="27" w:line="219" w:lineRule="auto"/>
              <w:ind w:left="470"/>
            </w:pPr>
            <w:r>
              <w:rPr>
                <w:b/>
                <w:bCs/>
                <w:spacing w:val="-4"/>
              </w:rPr>
              <w:t>2.《中华人民共和国内河交通安全管理条例》</w:t>
            </w:r>
          </w:p>
          <w:p w14:paraId="726B38FB">
            <w:pPr>
              <w:pStyle w:val="8"/>
              <w:spacing w:before="25" w:line="219" w:lineRule="auto"/>
              <w:ind w:left="468"/>
            </w:pPr>
            <w:r>
              <w:rPr>
                <w:spacing w:val="-2"/>
              </w:rPr>
              <w:t>第三十条第二款  禁止在内河运输法律、行政法规以及国</w:t>
            </w:r>
            <w:r>
              <w:rPr>
                <w:spacing w:val="-3"/>
              </w:rPr>
              <w:t>务院交通主管部门规定禁止运输的危险货物。</w:t>
            </w:r>
          </w:p>
          <w:p w14:paraId="5C9271FE">
            <w:pPr>
              <w:pStyle w:val="8"/>
              <w:spacing w:before="27" w:line="219" w:lineRule="auto"/>
              <w:ind w:left="471"/>
            </w:pPr>
            <w:r>
              <w:rPr>
                <w:b/>
                <w:bCs/>
                <w:spacing w:val="-3"/>
              </w:rPr>
              <w:t>3.《中华人民共和国内河海事行政处罚规定》（交通运输部令20</w:t>
            </w:r>
            <w:r>
              <w:rPr>
                <w:b/>
                <w:bCs/>
                <w:spacing w:val="-4"/>
              </w:rPr>
              <w:t>22年第28号）</w:t>
            </w:r>
          </w:p>
          <w:p w14:paraId="2A8BCC4E">
            <w:pPr>
              <w:pStyle w:val="8"/>
              <w:spacing w:before="28" w:line="239" w:lineRule="auto"/>
              <w:ind w:left="109" w:right="151" w:firstLine="358"/>
              <w:jc w:val="both"/>
            </w:pPr>
            <w:r>
              <w:rPr>
                <w:spacing w:val="-2"/>
              </w:rPr>
              <w:t>第二十六条  违反《危险化学品安全管理条例》第六十四条的规定，通过船舶载运危险</w:t>
            </w:r>
            <w:r>
              <w:rPr>
                <w:spacing w:val="-3"/>
              </w:rPr>
              <w:t>化学品，在托运的</w:t>
            </w:r>
            <w:r>
              <w:t xml:space="preserve"> </w:t>
            </w:r>
            <w:r>
              <w:rPr>
                <w:spacing w:val="-2"/>
              </w:rPr>
              <w:t>普通货物中夹带危险化学品，或者将危险化学品谎报或者匿报为普通货物托运的，依照《危险化</w:t>
            </w:r>
            <w:r>
              <w:rPr>
                <w:spacing w:val="-3"/>
              </w:rPr>
              <w:t>学品安全管理</w:t>
            </w:r>
            <w:r>
              <w:t xml:space="preserve"> </w:t>
            </w:r>
            <w:r>
              <w:rPr>
                <w:spacing w:val="-2"/>
              </w:rPr>
              <w:t>条例》第八十七条的规定，由海事管理机构责令改正，对托运人处以10万元以上20万元以下的罚款，有违法所</w:t>
            </w:r>
            <w:r>
              <w:t xml:space="preserve"> </w:t>
            </w:r>
            <w:r>
              <w:rPr>
                <w:spacing w:val="-3"/>
              </w:rPr>
              <w:t>得的，没收违法所得；拒不改正的，责令停航整顿。</w:t>
            </w:r>
          </w:p>
        </w:tc>
        <w:tc>
          <w:tcPr>
            <w:tcW w:w="1043" w:type="dxa"/>
            <w:vAlign w:val="top"/>
          </w:tcPr>
          <w:p w14:paraId="2D66D4C1">
            <w:pPr>
              <w:spacing w:line="249" w:lineRule="auto"/>
              <w:rPr>
                <w:rFonts w:ascii="Arial"/>
                <w:sz w:val="21"/>
              </w:rPr>
            </w:pPr>
          </w:p>
          <w:p w14:paraId="7DF7E311">
            <w:pPr>
              <w:spacing w:line="250" w:lineRule="auto"/>
              <w:rPr>
                <w:rFonts w:ascii="Arial"/>
                <w:sz w:val="21"/>
              </w:rPr>
            </w:pPr>
          </w:p>
          <w:p w14:paraId="74DCB70F">
            <w:pPr>
              <w:spacing w:line="250" w:lineRule="auto"/>
              <w:rPr>
                <w:rFonts w:ascii="Arial"/>
                <w:sz w:val="21"/>
              </w:rPr>
            </w:pPr>
          </w:p>
          <w:p w14:paraId="12DB1CD4">
            <w:pPr>
              <w:spacing w:line="250" w:lineRule="auto"/>
              <w:rPr>
                <w:rFonts w:ascii="Arial"/>
                <w:sz w:val="21"/>
              </w:rPr>
            </w:pPr>
          </w:p>
          <w:p w14:paraId="27106C61">
            <w:pPr>
              <w:spacing w:line="250" w:lineRule="auto"/>
              <w:rPr>
                <w:rFonts w:ascii="Arial"/>
                <w:sz w:val="21"/>
              </w:rPr>
            </w:pPr>
          </w:p>
          <w:p w14:paraId="032DDE55">
            <w:pPr>
              <w:spacing w:line="250" w:lineRule="auto"/>
              <w:rPr>
                <w:rFonts w:ascii="Arial"/>
                <w:sz w:val="21"/>
              </w:rPr>
            </w:pPr>
          </w:p>
          <w:p w14:paraId="65623A48">
            <w:pPr>
              <w:spacing w:line="250" w:lineRule="auto"/>
              <w:rPr>
                <w:rFonts w:ascii="Arial"/>
                <w:sz w:val="21"/>
              </w:rPr>
            </w:pPr>
          </w:p>
          <w:p w14:paraId="4325DE88">
            <w:pPr>
              <w:spacing w:line="250" w:lineRule="auto"/>
              <w:rPr>
                <w:rFonts w:ascii="Arial"/>
                <w:sz w:val="21"/>
              </w:rPr>
            </w:pPr>
          </w:p>
          <w:p w14:paraId="39F17779">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FBADD69">
            <w:pPr>
              <w:spacing w:line="264" w:lineRule="auto"/>
              <w:rPr>
                <w:rFonts w:ascii="Arial"/>
                <w:sz w:val="21"/>
              </w:rPr>
            </w:pPr>
          </w:p>
          <w:p w14:paraId="78A4F494">
            <w:pPr>
              <w:spacing w:line="265" w:lineRule="auto"/>
              <w:rPr>
                <w:rFonts w:ascii="Arial"/>
                <w:sz w:val="21"/>
              </w:rPr>
            </w:pPr>
          </w:p>
          <w:p w14:paraId="3F8BEEB1">
            <w:pPr>
              <w:spacing w:line="265" w:lineRule="auto"/>
              <w:rPr>
                <w:rFonts w:ascii="Arial"/>
                <w:sz w:val="21"/>
              </w:rPr>
            </w:pPr>
          </w:p>
          <w:p w14:paraId="0E0FB258">
            <w:pPr>
              <w:spacing w:line="265" w:lineRule="auto"/>
              <w:rPr>
                <w:rFonts w:ascii="Arial"/>
                <w:sz w:val="21"/>
              </w:rPr>
            </w:pPr>
          </w:p>
          <w:p w14:paraId="20DE54FF">
            <w:pPr>
              <w:spacing w:line="265" w:lineRule="auto"/>
              <w:rPr>
                <w:rFonts w:ascii="Arial"/>
                <w:sz w:val="21"/>
              </w:rPr>
            </w:pPr>
          </w:p>
          <w:p w14:paraId="7E822E3B">
            <w:pPr>
              <w:spacing w:line="265" w:lineRule="auto"/>
              <w:rPr>
                <w:rFonts w:ascii="Arial"/>
                <w:sz w:val="21"/>
              </w:rPr>
            </w:pPr>
          </w:p>
          <w:p w14:paraId="492CA5D5">
            <w:pPr>
              <w:spacing w:line="265" w:lineRule="auto"/>
              <w:rPr>
                <w:rFonts w:ascii="Arial"/>
                <w:sz w:val="21"/>
              </w:rPr>
            </w:pPr>
          </w:p>
          <w:p w14:paraId="39E6791E">
            <w:pPr>
              <w:spacing w:line="265" w:lineRule="auto"/>
              <w:rPr>
                <w:rFonts w:ascii="Arial"/>
                <w:sz w:val="21"/>
              </w:rPr>
            </w:pPr>
          </w:p>
          <w:p w14:paraId="1E1FD905">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CEBFC8B">
            <w:pPr>
              <w:spacing w:line="251" w:lineRule="auto"/>
              <w:rPr>
                <w:rFonts w:ascii="Arial"/>
                <w:sz w:val="21"/>
              </w:rPr>
            </w:pPr>
          </w:p>
          <w:p w14:paraId="4B300B6C">
            <w:pPr>
              <w:spacing w:line="251" w:lineRule="auto"/>
              <w:rPr>
                <w:rFonts w:ascii="Arial"/>
                <w:sz w:val="21"/>
              </w:rPr>
            </w:pPr>
          </w:p>
          <w:p w14:paraId="18973220">
            <w:pPr>
              <w:spacing w:line="252" w:lineRule="auto"/>
              <w:rPr>
                <w:rFonts w:ascii="Arial"/>
                <w:sz w:val="21"/>
              </w:rPr>
            </w:pPr>
          </w:p>
          <w:p w14:paraId="511FBB5C">
            <w:pPr>
              <w:spacing w:line="252" w:lineRule="auto"/>
              <w:rPr>
                <w:rFonts w:ascii="Arial"/>
                <w:sz w:val="21"/>
              </w:rPr>
            </w:pPr>
          </w:p>
          <w:p w14:paraId="3779FC88">
            <w:pPr>
              <w:spacing w:line="252" w:lineRule="auto"/>
              <w:rPr>
                <w:rFonts w:ascii="Arial"/>
                <w:sz w:val="21"/>
              </w:rPr>
            </w:pPr>
          </w:p>
          <w:p w14:paraId="41EDFD23">
            <w:pPr>
              <w:spacing w:line="252" w:lineRule="auto"/>
              <w:rPr>
                <w:rFonts w:ascii="Arial"/>
                <w:sz w:val="21"/>
              </w:rPr>
            </w:pPr>
          </w:p>
          <w:p w14:paraId="542BF209">
            <w:pPr>
              <w:spacing w:line="252" w:lineRule="auto"/>
              <w:rPr>
                <w:rFonts w:ascii="Arial"/>
                <w:sz w:val="21"/>
              </w:rPr>
            </w:pPr>
          </w:p>
          <w:p w14:paraId="2405F14C">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75151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0" w:hRule="atLeast"/>
        </w:trPr>
        <w:tc>
          <w:tcPr>
            <w:tcW w:w="641" w:type="dxa"/>
            <w:vAlign w:val="top"/>
          </w:tcPr>
          <w:p w14:paraId="41DF7775">
            <w:pPr>
              <w:spacing w:line="256" w:lineRule="auto"/>
              <w:rPr>
                <w:rFonts w:ascii="Arial"/>
                <w:sz w:val="21"/>
              </w:rPr>
            </w:pPr>
          </w:p>
          <w:p w14:paraId="2934D895">
            <w:pPr>
              <w:spacing w:line="256" w:lineRule="auto"/>
              <w:rPr>
                <w:rFonts w:ascii="Arial"/>
                <w:sz w:val="21"/>
              </w:rPr>
            </w:pPr>
          </w:p>
          <w:p w14:paraId="3B46C066">
            <w:pPr>
              <w:spacing w:line="256" w:lineRule="auto"/>
              <w:rPr>
                <w:rFonts w:ascii="Arial"/>
                <w:sz w:val="21"/>
              </w:rPr>
            </w:pPr>
          </w:p>
          <w:p w14:paraId="4FE5E119">
            <w:pPr>
              <w:spacing w:line="256" w:lineRule="auto"/>
              <w:rPr>
                <w:rFonts w:ascii="Arial"/>
                <w:sz w:val="21"/>
              </w:rPr>
            </w:pPr>
          </w:p>
          <w:p w14:paraId="67DD99F2">
            <w:pPr>
              <w:spacing w:line="257" w:lineRule="auto"/>
              <w:rPr>
                <w:rFonts w:ascii="Arial"/>
                <w:sz w:val="21"/>
              </w:rPr>
            </w:pPr>
          </w:p>
          <w:p w14:paraId="6A1B5F02">
            <w:pPr>
              <w:pStyle w:val="8"/>
              <w:spacing w:before="59" w:line="182" w:lineRule="auto"/>
              <w:ind w:left="238"/>
            </w:pPr>
            <w:r>
              <w:rPr>
                <w:spacing w:val="-5"/>
              </w:rPr>
              <w:t>57</w:t>
            </w:r>
          </w:p>
        </w:tc>
        <w:tc>
          <w:tcPr>
            <w:tcW w:w="1136" w:type="dxa"/>
            <w:vAlign w:val="top"/>
          </w:tcPr>
          <w:p w14:paraId="323A2F68">
            <w:pPr>
              <w:spacing w:line="269" w:lineRule="auto"/>
              <w:rPr>
                <w:rFonts w:ascii="Arial"/>
                <w:sz w:val="21"/>
              </w:rPr>
            </w:pPr>
          </w:p>
          <w:p w14:paraId="01C83777">
            <w:pPr>
              <w:spacing w:line="270" w:lineRule="auto"/>
              <w:rPr>
                <w:rFonts w:ascii="Arial"/>
                <w:sz w:val="21"/>
              </w:rPr>
            </w:pPr>
          </w:p>
          <w:p w14:paraId="34A62F33">
            <w:pPr>
              <w:pStyle w:val="8"/>
              <w:spacing w:before="59" w:line="242" w:lineRule="auto"/>
              <w:ind w:left="109" w:right="104"/>
              <w:jc w:val="both"/>
            </w:pPr>
            <w:r>
              <w:rPr>
                <w:spacing w:val="3"/>
              </w:rPr>
              <w:t>对渔业船舶</w:t>
            </w:r>
            <w:r>
              <w:rPr>
                <w:spacing w:val="1"/>
              </w:rPr>
              <w:t xml:space="preserve"> </w:t>
            </w:r>
            <w:r>
              <w:rPr>
                <w:spacing w:val="3"/>
              </w:rPr>
              <w:t>检验机构的</w:t>
            </w:r>
            <w:r>
              <w:rPr>
                <w:spacing w:val="1"/>
              </w:rPr>
              <w:t xml:space="preserve"> </w:t>
            </w:r>
            <w:r>
              <w:rPr>
                <w:spacing w:val="3"/>
              </w:rPr>
              <w:t>工作人员未</w:t>
            </w:r>
            <w:r>
              <w:rPr>
                <w:spacing w:val="1"/>
              </w:rPr>
              <w:t xml:space="preserve"> </w:t>
            </w:r>
            <w:r>
              <w:rPr>
                <w:spacing w:val="3"/>
              </w:rPr>
              <w:t>经考核从事</w:t>
            </w:r>
            <w:r>
              <w:rPr>
                <w:spacing w:val="1"/>
              </w:rPr>
              <w:t xml:space="preserve"> </w:t>
            </w:r>
            <w:r>
              <w:rPr>
                <w:spacing w:val="3"/>
              </w:rPr>
              <w:t>渔业船舶检</w:t>
            </w:r>
            <w:r>
              <w:rPr>
                <w:spacing w:val="1"/>
              </w:rPr>
              <w:t xml:space="preserve"> </w:t>
            </w:r>
            <w:r>
              <w:rPr>
                <w:spacing w:val="3"/>
              </w:rPr>
              <w:t>验工作行为</w:t>
            </w:r>
            <w:r>
              <w:rPr>
                <w:spacing w:val="1"/>
              </w:rPr>
              <w:t xml:space="preserve"> </w:t>
            </w:r>
            <w:r>
              <w:rPr>
                <w:spacing w:val="-4"/>
              </w:rPr>
              <w:t>的行政处罚</w:t>
            </w:r>
          </w:p>
        </w:tc>
        <w:tc>
          <w:tcPr>
            <w:tcW w:w="1136" w:type="dxa"/>
            <w:vAlign w:val="top"/>
          </w:tcPr>
          <w:p w14:paraId="199AED8C">
            <w:pPr>
              <w:spacing w:line="250" w:lineRule="auto"/>
              <w:rPr>
                <w:rFonts w:ascii="Arial"/>
                <w:sz w:val="21"/>
              </w:rPr>
            </w:pPr>
          </w:p>
          <w:p w14:paraId="688CC03E">
            <w:pPr>
              <w:spacing w:line="250" w:lineRule="auto"/>
              <w:rPr>
                <w:rFonts w:ascii="Arial"/>
                <w:sz w:val="21"/>
              </w:rPr>
            </w:pPr>
          </w:p>
          <w:p w14:paraId="63C3B593">
            <w:pPr>
              <w:spacing w:line="250" w:lineRule="auto"/>
              <w:rPr>
                <w:rFonts w:ascii="Arial"/>
                <w:sz w:val="21"/>
              </w:rPr>
            </w:pPr>
          </w:p>
          <w:p w14:paraId="5A3364AB">
            <w:pPr>
              <w:spacing w:line="251" w:lineRule="auto"/>
              <w:rPr>
                <w:rFonts w:ascii="Arial"/>
                <w:sz w:val="21"/>
              </w:rPr>
            </w:pPr>
          </w:p>
          <w:p w14:paraId="2B98D525">
            <w:pPr>
              <w:spacing w:line="251" w:lineRule="auto"/>
              <w:rPr>
                <w:rFonts w:ascii="Arial"/>
                <w:sz w:val="21"/>
              </w:rPr>
            </w:pPr>
          </w:p>
          <w:p w14:paraId="657DE1CD">
            <w:pPr>
              <w:pStyle w:val="8"/>
              <w:spacing w:before="58" w:line="220" w:lineRule="auto"/>
              <w:ind w:left="114"/>
            </w:pPr>
            <w:r>
              <w:rPr>
                <w:spacing w:val="-7"/>
              </w:rPr>
              <w:t>行政处罚</w:t>
            </w:r>
          </w:p>
        </w:tc>
        <w:tc>
          <w:tcPr>
            <w:tcW w:w="8806" w:type="dxa"/>
            <w:vAlign w:val="top"/>
          </w:tcPr>
          <w:p w14:paraId="454E1ECC">
            <w:pPr>
              <w:pStyle w:val="8"/>
              <w:spacing w:before="118" w:line="219" w:lineRule="auto"/>
              <w:ind w:left="479"/>
            </w:pPr>
            <w:r>
              <w:rPr>
                <w:b/>
                <w:bCs/>
                <w:spacing w:val="-10"/>
              </w:rPr>
              <w:t>1.《中华人民共和国渔业船舶检验条例》</w:t>
            </w:r>
          </w:p>
          <w:p w14:paraId="5868F227">
            <w:pPr>
              <w:pStyle w:val="8"/>
              <w:spacing w:before="26" w:line="233" w:lineRule="auto"/>
              <w:ind w:left="109" w:right="98" w:firstLine="355"/>
            </w:pPr>
            <w:r>
              <w:rPr>
                <w:spacing w:val="-8"/>
              </w:rPr>
              <w:t>第二十五条</w:t>
            </w:r>
            <w:r>
              <w:rPr>
                <w:spacing w:val="75"/>
                <w:w w:val="101"/>
              </w:rPr>
              <w:t xml:space="preserve"> </w:t>
            </w:r>
            <w:r>
              <w:rPr>
                <w:spacing w:val="-8"/>
              </w:rPr>
              <w:t>从事渔业船舶检验的人员应当经国家渔业船舶检验机构考核合格</w:t>
            </w:r>
            <w:r>
              <w:rPr>
                <w:spacing w:val="-9"/>
              </w:rPr>
              <w:t>后，方可从事相应的渔业船舶检</w:t>
            </w:r>
            <w:r>
              <w:t xml:space="preserve"> </w:t>
            </w:r>
            <w:r>
              <w:rPr>
                <w:spacing w:val="-6"/>
              </w:rPr>
              <w:t>验 工作。</w:t>
            </w:r>
          </w:p>
          <w:p w14:paraId="32131DA4">
            <w:pPr>
              <w:pStyle w:val="8"/>
              <w:spacing w:before="25" w:line="233" w:lineRule="auto"/>
              <w:ind w:left="123" w:right="95" w:firstLine="341"/>
            </w:pPr>
            <w:r>
              <w:rPr>
                <w:spacing w:val="-8"/>
              </w:rPr>
              <w:t>第三十五条</w:t>
            </w:r>
            <w:r>
              <w:rPr>
                <w:spacing w:val="74"/>
              </w:rPr>
              <w:t xml:space="preserve"> </w:t>
            </w:r>
            <w:r>
              <w:rPr>
                <w:spacing w:val="-8"/>
              </w:rPr>
              <w:t>渔业船舶检验机构的工作人员未经考核合格从事渔业船舶检验工作的，责</w:t>
            </w:r>
            <w:r>
              <w:rPr>
                <w:spacing w:val="-9"/>
              </w:rPr>
              <w:t>令其立即停止工作，处</w:t>
            </w:r>
            <w:r>
              <w:t xml:space="preserve"> </w:t>
            </w:r>
            <w:r>
              <w:rPr>
                <w:spacing w:val="-7"/>
              </w:rPr>
              <w:t>1000元以上5000元以下的罚款。</w:t>
            </w:r>
          </w:p>
          <w:p w14:paraId="514711C7">
            <w:pPr>
              <w:pStyle w:val="8"/>
              <w:spacing w:before="24" w:line="219" w:lineRule="auto"/>
              <w:ind w:left="467"/>
            </w:pPr>
            <w:r>
              <w:rPr>
                <w:b/>
                <w:bCs/>
                <w:spacing w:val="-8"/>
              </w:rPr>
              <w:t>2.《渔业船舶检验管理规定》（交通运输部令2019年第28号）</w:t>
            </w:r>
          </w:p>
          <w:p w14:paraId="7790206A">
            <w:pPr>
              <w:pStyle w:val="8"/>
              <w:spacing w:before="27" w:line="233" w:lineRule="auto"/>
              <w:ind w:left="110" w:right="98" w:firstLine="355"/>
            </w:pPr>
            <w:r>
              <w:rPr>
                <w:spacing w:val="-8"/>
              </w:rPr>
              <w:t>第六条</w:t>
            </w:r>
            <w:r>
              <w:rPr>
                <w:spacing w:val="73"/>
                <w:w w:val="101"/>
              </w:rPr>
              <w:t xml:space="preserve"> </w:t>
            </w:r>
            <w:r>
              <w:rPr>
                <w:spacing w:val="-8"/>
              </w:rPr>
              <w:t>渔业船舶检验人员应当具备相应的专业知识和检验技能，满足国家有关检</w:t>
            </w:r>
            <w:r>
              <w:rPr>
                <w:spacing w:val="-9"/>
              </w:rPr>
              <w:t>验人员管理的要求，经交通</w:t>
            </w:r>
            <w:r>
              <w:t xml:space="preserve"> </w:t>
            </w:r>
            <w:r>
              <w:rPr>
                <w:spacing w:val="-8"/>
              </w:rPr>
              <w:t>运输部海事局考核合格，方可从事相应的渔业船舶检验工作。</w:t>
            </w:r>
          </w:p>
          <w:p w14:paraId="31BDA00B">
            <w:pPr>
              <w:pStyle w:val="8"/>
              <w:spacing w:before="26" w:line="219" w:lineRule="auto"/>
              <w:ind w:left="469"/>
            </w:pPr>
            <w:r>
              <w:rPr>
                <w:spacing w:val="-8"/>
              </w:rPr>
              <w:t>交通运输部海事局负责统一组织渔业船舶检验人员考试，并按照国家有关规定发放检验人员证书。</w:t>
            </w:r>
          </w:p>
          <w:p w14:paraId="1EC9DB9C">
            <w:pPr>
              <w:pStyle w:val="8"/>
              <w:spacing w:before="27" w:line="233" w:lineRule="auto"/>
              <w:ind w:left="111" w:right="256" w:firstLine="354"/>
            </w:pPr>
            <w:r>
              <w:rPr>
                <w:spacing w:val="-8"/>
              </w:rPr>
              <w:t>第三十八条</w:t>
            </w:r>
            <w:r>
              <w:rPr>
                <w:spacing w:val="75"/>
              </w:rPr>
              <w:t xml:space="preserve"> </w:t>
            </w:r>
            <w:r>
              <w:rPr>
                <w:spacing w:val="-8"/>
              </w:rPr>
              <w:t>渔业船舶检验机构的工作人员未经考核合格从事渔业船舶检验工作的，责令其立即停止检验工</w:t>
            </w:r>
            <w:r>
              <w:t xml:space="preserve"> </w:t>
            </w:r>
            <w:r>
              <w:rPr>
                <w:spacing w:val="-7"/>
              </w:rPr>
              <w:t>作，处1000元以上5000元以下的罚款。</w:t>
            </w:r>
          </w:p>
        </w:tc>
        <w:tc>
          <w:tcPr>
            <w:tcW w:w="1043" w:type="dxa"/>
            <w:vAlign w:val="top"/>
          </w:tcPr>
          <w:p w14:paraId="1C38BE70">
            <w:pPr>
              <w:spacing w:line="283" w:lineRule="auto"/>
              <w:rPr>
                <w:rFonts w:ascii="Arial"/>
                <w:sz w:val="21"/>
              </w:rPr>
            </w:pPr>
          </w:p>
          <w:p w14:paraId="3E33148F">
            <w:pPr>
              <w:spacing w:line="283" w:lineRule="auto"/>
              <w:rPr>
                <w:rFonts w:ascii="Arial"/>
                <w:sz w:val="21"/>
              </w:rPr>
            </w:pPr>
          </w:p>
          <w:p w14:paraId="1EC285D4">
            <w:pPr>
              <w:spacing w:line="283" w:lineRule="auto"/>
              <w:rPr>
                <w:rFonts w:ascii="Arial"/>
                <w:sz w:val="21"/>
              </w:rPr>
            </w:pPr>
          </w:p>
          <w:p w14:paraId="572F8D04">
            <w:pPr>
              <w:spacing w:line="283" w:lineRule="auto"/>
              <w:rPr>
                <w:rFonts w:ascii="Arial"/>
                <w:sz w:val="21"/>
              </w:rPr>
            </w:pPr>
          </w:p>
          <w:p w14:paraId="7BB4883B">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6EC722CA">
            <w:pPr>
              <w:spacing w:line="283" w:lineRule="auto"/>
              <w:rPr>
                <w:rFonts w:ascii="Arial"/>
                <w:sz w:val="21"/>
              </w:rPr>
            </w:pPr>
          </w:p>
          <w:p w14:paraId="3AA0AC97">
            <w:pPr>
              <w:spacing w:line="283" w:lineRule="auto"/>
              <w:rPr>
                <w:rFonts w:ascii="Arial"/>
                <w:sz w:val="21"/>
              </w:rPr>
            </w:pPr>
          </w:p>
          <w:p w14:paraId="4A15A273">
            <w:pPr>
              <w:spacing w:line="283" w:lineRule="auto"/>
              <w:rPr>
                <w:rFonts w:ascii="Arial"/>
                <w:sz w:val="21"/>
              </w:rPr>
            </w:pPr>
          </w:p>
          <w:p w14:paraId="537945BE">
            <w:pPr>
              <w:spacing w:line="283" w:lineRule="auto"/>
              <w:rPr>
                <w:rFonts w:ascii="Arial"/>
                <w:sz w:val="21"/>
              </w:rPr>
            </w:pPr>
          </w:p>
          <w:p w14:paraId="0F379CDA">
            <w:pPr>
              <w:pStyle w:val="8"/>
              <w:spacing w:before="59" w:line="234" w:lineRule="auto"/>
              <w:ind w:left="557" w:right="110" w:hanging="427"/>
              <w:rPr>
                <w:rFonts w:hint="eastAsia" w:eastAsia="宋体"/>
                <w:lang w:eastAsia="zh-CN"/>
              </w:rPr>
            </w:pPr>
            <w:r>
              <w:rPr>
                <w:rFonts w:hint="eastAsia"/>
                <w:spacing w:val="-9"/>
                <w:lang w:eastAsia="zh-CN"/>
              </w:rPr>
              <w:t>津市市交通运输局</w:t>
            </w:r>
          </w:p>
        </w:tc>
        <w:tc>
          <w:tcPr>
            <w:tcW w:w="1047" w:type="dxa"/>
            <w:vAlign w:val="top"/>
          </w:tcPr>
          <w:p w14:paraId="0BFB005D">
            <w:pPr>
              <w:spacing w:line="298" w:lineRule="auto"/>
              <w:rPr>
                <w:rFonts w:ascii="Arial"/>
                <w:sz w:val="21"/>
              </w:rPr>
            </w:pPr>
          </w:p>
          <w:p w14:paraId="60DC1DE9">
            <w:pPr>
              <w:spacing w:line="298" w:lineRule="auto"/>
              <w:rPr>
                <w:rFonts w:ascii="Arial"/>
                <w:sz w:val="21"/>
              </w:rPr>
            </w:pPr>
          </w:p>
          <w:p w14:paraId="4726D414">
            <w:pPr>
              <w:spacing w:line="299" w:lineRule="auto"/>
              <w:rPr>
                <w:rFonts w:ascii="Arial"/>
                <w:sz w:val="21"/>
              </w:rPr>
            </w:pPr>
          </w:p>
          <w:p w14:paraId="296BBD19">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EC74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641" w:type="dxa"/>
            <w:vAlign w:val="top"/>
          </w:tcPr>
          <w:p w14:paraId="734E30D9">
            <w:pPr>
              <w:spacing w:line="304" w:lineRule="auto"/>
              <w:rPr>
                <w:rFonts w:ascii="Arial"/>
                <w:sz w:val="21"/>
              </w:rPr>
            </w:pPr>
          </w:p>
          <w:p w14:paraId="026003D3">
            <w:pPr>
              <w:spacing w:line="304" w:lineRule="auto"/>
              <w:rPr>
                <w:rFonts w:ascii="Arial"/>
                <w:sz w:val="21"/>
              </w:rPr>
            </w:pPr>
          </w:p>
          <w:p w14:paraId="563FA0B1">
            <w:pPr>
              <w:pStyle w:val="8"/>
              <w:spacing w:before="59" w:line="183" w:lineRule="auto"/>
              <w:ind w:left="238"/>
            </w:pPr>
            <w:r>
              <w:rPr>
                <w:spacing w:val="-5"/>
              </w:rPr>
              <w:t>58</w:t>
            </w:r>
          </w:p>
        </w:tc>
        <w:tc>
          <w:tcPr>
            <w:tcW w:w="1136" w:type="dxa"/>
            <w:vAlign w:val="top"/>
          </w:tcPr>
          <w:p w14:paraId="17E00F0F">
            <w:pPr>
              <w:pStyle w:val="8"/>
              <w:spacing w:before="44" w:line="238" w:lineRule="auto"/>
              <w:ind w:left="109" w:right="104"/>
              <w:jc w:val="both"/>
            </w:pPr>
            <w:r>
              <w:rPr>
                <w:spacing w:val="3"/>
              </w:rPr>
              <w:t>对伪造船舶</w:t>
            </w:r>
            <w:r>
              <w:rPr>
                <w:spacing w:val="1"/>
              </w:rPr>
              <w:t xml:space="preserve"> </w:t>
            </w:r>
            <w:r>
              <w:rPr>
                <w:spacing w:val="3"/>
              </w:rPr>
              <w:t>检验证书或</w:t>
            </w:r>
            <w:r>
              <w:t xml:space="preserve"> </w:t>
            </w:r>
            <w:r>
              <w:rPr>
                <w:spacing w:val="3"/>
              </w:rPr>
              <w:t>者擅自更改</w:t>
            </w:r>
            <w:r>
              <w:t xml:space="preserve"> </w:t>
            </w:r>
            <w:r>
              <w:rPr>
                <w:spacing w:val="3"/>
              </w:rPr>
              <w:t>船舶载重线</w:t>
            </w:r>
            <w:r>
              <w:t xml:space="preserve"> </w:t>
            </w:r>
            <w:r>
              <w:rPr>
                <w:spacing w:val="3"/>
              </w:rPr>
              <w:t>行为的行政</w:t>
            </w:r>
            <w:r>
              <w:t xml:space="preserve"> </w:t>
            </w:r>
            <w:r>
              <w:rPr>
                <w:spacing w:val="-4"/>
              </w:rPr>
              <w:t>处罚</w:t>
            </w:r>
          </w:p>
        </w:tc>
        <w:tc>
          <w:tcPr>
            <w:tcW w:w="1136" w:type="dxa"/>
            <w:vAlign w:val="top"/>
          </w:tcPr>
          <w:p w14:paraId="35EC7F70">
            <w:pPr>
              <w:spacing w:line="290" w:lineRule="auto"/>
              <w:rPr>
                <w:rFonts w:ascii="Arial"/>
                <w:sz w:val="21"/>
              </w:rPr>
            </w:pPr>
          </w:p>
          <w:p w14:paraId="08A7F8A6">
            <w:pPr>
              <w:spacing w:line="290" w:lineRule="auto"/>
              <w:rPr>
                <w:rFonts w:ascii="Arial"/>
                <w:sz w:val="21"/>
              </w:rPr>
            </w:pPr>
          </w:p>
          <w:p w14:paraId="19FAE19D">
            <w:pPr>
              <w:pStyle w:val="8"/>
              <w:spacing w:before="58" w:line="220" w:lineRule="auto"/>
              <w:ind w:left="114"/>
            </w:pPr>
            <w:r>
              <w:rPr>
                <w:spacing w:val="-7"/>
              </w:rPr>
              <w:t>行政处罚</w:t>
            </w:r>
          </w:p>
        </w:tc>
        <w:tc>
          <w:tcPr>
            <w:tcW w:w="8806" w:type="dxa"/>
            <w:vAlign w:val="top"/>
          </w:tcPr>
          <w:p w14:paraId="376456A8">
            <w:pPr>
              <w:pStyle w:val="8"/>
              <w:spacing w:before="282" w:line="219" w:lineRule="auto"/>
              <w:ind w:left="473"/>
            </w:pPr>
            <w:r>
              <w:rPr>
                <w:b/>
                <w:bCs/>
                <w:spacing w:val="-4"/>
              </w:rPr>
              <w:t>《中华人民共和国船舶和海上设施检验条例》</w:t>
            </w:r>
          </w:p>
          <w:p w14:paraId="25E148E7">
            <w:pPr>
              <w:pStyle w:val="8"/>
              <w:spacing w:before="25" w:line="219" w:lineRule="auto"/>
              <w:ind w:left="468"/>
            </w:pPr>
            <w:r>
              <w:rPr>
                <w:spacing w:val="-2"/>
              </w:rPr>
              <w:t>第二十四条  任何单位和个人不得涂改、伪造检验证书，不得擅自更改船舶检验机构勘划的</w:t>
            </w:r>
            <w:r>
              <w:rPr>
                <w:spacing w:val="-3"/>
              </w:rPr>
              <w:t>船舶载重线。</w:t>
            </w:r>
          </w:p>
          <w:p w14:paraId="2E358215">
            <w:pPr>
              <w:pStyle w:val="8"/>
              <w:spacing w:before="25" w:line="233" w:lineRule="auto"/>
              <w:ind w:left="114" w:right="103" w:firstLine="354"/>
            </w:pPr>
            <w:r>
              <w:rPr>
                <w:spacing w:val="-1"/>
              </w:rPr>
              <w:t>第二十七条  伪造船舶检验证书或者擅自更改船舶载重线的，由有关行政主管机关给予通报批</w:t>
            </w:r>
            <w:r>
              <w:rPr>
                <w:spacing w:val="-2"/>
              </w:rPr>
              <w:t>评，并可以</w:t>
            </w:r>
            <w:r>
              <w:t xml:space="preserve"> </w:t>
            </w:r>
            <w:r>
              <w:rPr>
                <w:spacing w:val="-2"/>
              </w:rPr>
              <w:t>处以相 当于相应的检验费一倍至五倍的罚款；构成犯罪的，由司法机关依</w:t>
            </w:r>
            <w:r>
              <w:rPr>
                <w:spacing w:val="-3"/>
              </w:rPr>
              <w:t>法追究刑事责任。</w:t>
            </w:r>
          </w:p>
        </w:tc>
        <w:tc>
          <w:tcPr>
            <w:tcW w:w="1043" w:type="dxa"/>
            <w:vAlign w:val="top"/>
          </w:tcPr>
          <w:p w14:paraId="7FA2813B">
            <w:pPr>
              <w:spacing w:line="460" w:lineRule="auto"/>
              <w:rPr>
                <w:rFonts w:ascii="Arial"/>
                <w:sz w:val="21"/>
              </w:rPr>
            </w:pPr>
          </w:p>
          <w:p w14:paraId="75E2C7BA">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1A18A337">
            <w:pPr>
              <w:spacing w:line="290" w:lineRule="auto"/>
              <w:rPr>
                <w:rFonts w:ascii="Arial"/>
                <w:sz w:val="21"/>
              </w:rPr>
            </w:pPr>
          </w:p>
          <w:p w14:paraId="5B2D3DFF">
            <w:pPr>
              <w:spacing w:line="290" w:lineRule="auto"/>
              <w:rPr>
                <w:rFonts w:ascii="Arial"/>
                <w:sz w:val="21"/>
              </w:rPr>
            </w:pPr>
          </w:p>
          <w:p w14:paraId="0229B97C">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4FE1F2F">
            <w:pPr>
              <w:pStyle w:val="8"/>
              <w:spacing w:before="283"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6242C5FD">
      <w:pPr>
        <w:pStyle w:val="2"/>
      </w:pPr>
    </w:p>
    <w:p w14:paraId="1DBA9C73">
      <w:pPr>
        <w:sectPr>
          <w:footerReference r:id="rId196" w:type="default"/>
          <w:pgSz w:w="16839" w:h="11906"/>
          <w:pgMar w:top="1012" w:right="788" w:bottom="966" w:left="787" w:header="0" w:footer="768" w:gutter="0"/>
          <w:cols w:space="720" w:num="1"/>
        </w:sectPr>
      </w:pPr>
    </w:p>
    <w:p w14:paraId="12A44A46">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621D7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59D3F07">
            <w:pPr>
              <w:pStyle w:val="8"/>
              <w:spacing w:before="267" w:line="221" w:lineRule="auto"/>
              <w:ind w:left="142"/>
            </w:pPr>
            <w:r>
              <w:rPr>
                <w:b/>
                <w:bCs/>
                <w:spacing w:val="-4"/>
              </w:rPr>
              <w:t>序号</w:t>
            </w:r>
          </w:p>
        </w:tc>
        <w:tc>
          <w:tcPr>
            <w:tcW w:w="1136" w:type="dxa"/>
            <w:vMerge w:val="restart"/>
            <w:tcBorders>
              <w:bottom w:val="nil"/>
            </w:tcBorders>
            <w:vAlign w:val="top"/>
          </w:tcPr>
          <w:p w14:paraId="09E0E53E">
            <w:pPr>
              <w:pStyle w:val="8"/>
              <w:spacing w:before="267" w:line="220" w:lineRule="auto"/>
              <w:ind w:left="208"/>
            </w:pPr>
            <w:r>
              <w:rPr>
                <w:b/>
                <w:bCs/>
                <w:spacing w:val="-4"/>
              </w:rPr>
              <w:t>事项名称</w:t>
            </w:r>
          </w:p>
        </w:tc>
        <w:tc>
          <w:tcPr>
            <w:tcW w:w="1136" w:type="dxa"/>
            <w:vMerge w:val="restart"/>
            <w:tcBorders>
              <w:bottom w:val="nil"/>
            </w:tcBorders>
            <w:vAlign w:val="top"/>
          </w:tcPr>
          <w:p w14:paraId="503FA9AB">
            <w:pPr>
              <w:pStyle w:val="8"/>
              <w:spacing w:before="267" w:line="219" w:lineRule="auto"/>
              <w:ind w:left="210"/>
            </w:pPr>
            <w:r>
              <w:rPr>
                <w:b/>
                <w:bCs/>
                <w:spacing w:val="-4"/>
              </w:rPr>
              <w:t>职权类型</w:t>
            </w:r>
          </w:p>
        </w:tc>
        <w:tc>
          <w:tcPr>
            <w:tcW w:w="8806" w:type="dxa"/>
            <w:vMerge w:val="restart"/>
            <w:tcBorders>
              <w:bottom w:val="nil"/>
            </w:tcBorders>
            <w:vAlign w:val="top"/>
          </w:tcPr>
          <w:p w14:paraId="0B18CE3A">
            <w:pPr>
              <w:pStyle w:val="8"/>
              <w:spacing w:before="267" w:line="219" w:lineRule="auto"/>
              <w:ind w:left="4050"/>
            </w:pPr>
            <w:r>
              <w:rPr>
                <w:b/>
                <w:bCs/>
                <w:spacing w:val="-5"/>
              </w:rPr>
              <w:t>实施依据</w:t>
            </w:r>
          </w:p>
        </w:tc>
        <w:tc>
          <w:tcPr>
            <w:tcW w:w="3538" w:type="dxa"/>
            <w:gridSpan w:val="3"/>
            <w:vAlign w:val="top"/>
          </w:tcPr>
          <w:p w14:paraId="48260735">
            <w:pPr>
              <w:pStyle w:val="8"/>
              <w:spacing w:before="92" w:line="220" w:lineRule="auto"/>
              <w:ind w:left="1415"/>
            </w:pPr>
            <w:r>
              <w:rPr>
                <w:b/>
                <w:bCs/>
                <w:spacing w:val="-5"/>
              </w:rPr>
              <w:t>实施主体</w:t>
            </w:r>
          </w:p>
        </w:tc>
      </w:tr>
      <w:tr w14:paraId="0DE4B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4BA7435">
            <w:pPr>
              <w:rPr>
                <w:rFonts w:ascii="Arial"/>
                <w:sz w:val="21"/>
              </w:rPr>
            </w:pPr>
          </w:p>
        </w:tc>
        <w:tc>
          <w:tcPr>
            <w:tcW w:w="1136" w:type="dxa"/>
            <w:vMerge w:val="continue"/>
            <w:tcBorders>
              <w:top w:val="nil"/>
            </w:tcBorders>
            <w:vAlign w:val="top"/>
          </w:tcPr>
          <w:p w14:paraId="03176857">
            <w:pPr>
              <w:rPr>
                <w:rFonts w:ascii="Arial"/>
                <w:sz w:val="21"/>
              </w:rPr>
            </w:pPr>
          </w:p>
        </w:tc>
        <w:tc>
          <w:tcPr>
            <w:tcW w:w="1136" w:type="dxa"/>
            <w:vMerge w:val="continue"/>
            <w:tcBorders>
              <w:top w:val="nil"/>
            </w:tcBorders>
            <w:vAlign w:val="top"/>
          </w:tcPr>
          <w:p w14:paraId="726A0D7D">
            <w:pPr>
              <w:rPr>
                <w:rFonts w:ascii="Arial"/>
                <w:sz w:val="21"/>
              </w:rPr>
            </w:pPr>
          </w:p>
        </w:tc>
        <w:tc>
          <w:tcPr>
            <w:tcW w:w="8806" w:type="dxa"/>
            <w:vMerge w:val="continue"/>
            <w:tcBorders>
              <w:top w:val="nil"/>
            </w:tcBorders>
            <w:vAlign w:val="top"/>
          </w:tcPr>
          <w:p w14:paraId="7F9E7960">
            <w:pPr>
              <w:rPr>
                <w:rFonts w:ascii="Arial"/>
                <w:sz w:val="21"/>
              </w:rPr>
            </w:pPr>
          </w:p>
        </w:tc>
        <w:tc>
          <w:tcPr>
            <w:tcW w:w="1043" w:type="dxa"/>
            <w:vAlign w:val="top"/>
          </w:tcPr>
          <w:p w14:paraId="68D58B27">
            <w:pPr>
              <w:pStyle w:val="8"/>
              <w:spacing w:before="88" w:line="219" w:lineRule="auto"/>
              <w:ind w:left="171"/>
            </w:pPr>
            <w:r>
              <w:rPr>
                <w:b/>
                <w:bCs/>
                <w:spacing w:val="-5"/>
              </w:rPr>
              <w:t>责任部门</w:t>
            </w:r>
          </w:p>
        </w:tc>
        <w:tc>
          <w:tcPr>
            <w:tcW w:w="1448" w:type="dxa"/>
            <w:vAlign w:val="top"/>
          </w:tcPr>
          <w:p w14:paraId="59388B9F">
            <w:pPr>
              <w:pStyle w:val="8"/>
              <w:spacing w:before="88" w:line="219" w:lineRule="auto"/>
              <w:ind w:left="187"/>
            </w:pPr>
            <w:r>
              <w:rPr>
                <w:b/>
                <w:bCs/>
                <w:spacing w:val="-3"/>
              </w:rPr>
              <w:t>第一责任层级</w:t>
            </w:r>
          </w:p>
        </w:tc>
        <w:tc>
          <w:tcPr>
            <w:tcW w:w="1047" w:type="dxa"/>
            <w:vAlign w:val="top"/>
          </w:tcPr>
          <w:p w14:paraId="5BA8AA4B">
            <w:pPr>
              <w:pStyle w:val="8"/>
              <w:spacing w:before="88" w:line="219" w:lineRule="auto"/>
              <w:ind w:left="165"/>
            </w:pPr>
            <w:r>
              <w:rPr>
                <w:b/>
                <w:bCs/>
                <w:spacing w:val="-4"/>
              </w:rPr>
              <w:t>承办机构</w:t>
            </w:r>
          </w:p>
        </w:tc>
      </w:tr>
      <w:tr w14:paraId="056B4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3" w:hRule="atLeast"/>
        </w:trPr>
        <w:tc>
          <w:tcPr>
            <w:tcW w:w="641" w:type="dxa"/>
            <w:vAlign w:val="top"/>
          </w:tcPr>
          <w:p w14:paraId="3D53E60B">
            <w:pPr>
              <w:spacing w:line="243" w:lineRule="auto"/>
              <w:rPr>
                <w:rFonts w:ascii="Arial"/>
                <w:sz w:val="21"/>
              </w:rPr>
            </w:pPr>
          </w:p>
          <w:p w14:paraId="4D52D8F2">
            <w:pPr>
              <w:spacing w:line="243" w:lineRule="auto"/>
              <w:rPr>
                <w:rFonts w:ascii="Arial"/>
                <w:sz w:val="21"/>
              </w:rPr>
            </w:pPr>
          </w:p>
          <w:p w14:paraId="65871BD3">
            <w:pPr>
              <w:spacing w:line="243" w:lineRule="auto"/>
              <w:rPr>
                <w:rFonts w:ascii="Arial"/>
                <w:sz w:val="21"/>
              </w:rPr>
            </w:pPr>
          </w:p>
          <w:p w14:paraId="6451E223">
            <w:pPr>
              <w:spacing w:line="243" w:lineRule="auto"/>
              <w:rPr>
                <w:rFonts w:ascii="Arial"/>
                <w:sz w:val="21"/>
              </w:rPr>
            </w:pPr>
          </w:p>
          <w:p w14:paraId="1B02936D">
            <w:pPr>
              <w:spacing w:line="243" w:lineRule="auto"/>
              <w:rPr>
                <w:rFonts w:ascii="Arial"/>
                <w:sz w:val="21"/>
              </w:rPr>
            </w:pPr>
          </w:p>
          <w:p w14:paraId="1558F67E">
            <w:pPr>
              <w:spacing w:line="244" w:lineRule="auto"/>
              <w:rPr>
                <w:rFonts w:ascii="Arial"/>
                <w:sz w:val="21"/>
              </w:rPr>
            </w:pPr>
          </w:p>
          <w:p w14:paraId="7C67DCC0">
            <w:pPr>
              <w:spacing w:line="244" w:lineRule="auto"/>
              <w:rPr>
                <w:rFonts w:ascii="Arial"/>
                <w:sz w:val="21"/>
              </w:rPr>
            </w:pPr>
          </w:p>
          <w:p w14:paraId="3C0D8342">
            <w:pPr>
              <w:spacing w:line="244" w:lineRule="auto"/>
              <w:rPr>
                <w:rFonts w:ascii="Arial"/>
                <w:sz w:val="21"/>
              </w:rPr>
            </w:pPr>
          </w:p>
          <w:p w14:paraId="6CE578A7">
            <w:pPr>
              <w:pStyle w:val="8"/>
              <w:spacing w:before="59" w:line="183" w:lineRule="auto"/>
              <w:ind w:left="238"/>
            </w:pPr>
            <w:r>
              <w:rPr>
                <w:spacing w:val="-5"/>
              </w:rPr>
              <w:t>59</w:t>
            </w:r>
          </w:p>
        </w:tc>
        <w:tc>
          <w:tcPr>
            <w:tcW w:w="1136" w:type="dxa"/>
            <w:vAlign w:val="top"/>
          </w:tcPr>
          <w:p w14:paraId="622075F3">
            <w:pPr>
              <w:rPr>
                <w:rFonts w:ascii="Arial"/>
                <w:sz w:val="21"/>
              </w:rPr>
            </w:pPr>
          </w:p>
          <w:p w14:paraId="7FFA8BD9">
            <w:pPr>
              <w:rPr>
                <w:rFonts w:ascii="Arial"/>
                <w:sz w:val="21"/>
              </w:rPr>
            </w:pPr>
          </w:p>
          <w:p w14:paraId="431D339F">
            <w:pPr>
              <w:rPr>
                <w:rFonts w:ascii="Arial"/>
                <w:sz w:val="21"/>
              </w:rPr>
            </w:pPr>
          </w:p>
          <w:p w14:paraId="1251652E">
            <w:pPr>
              <w:rPr>
                <w:rFonts w:ascii="Arial"/>
                <w:sz w:val="21"/>
              </w:rPr>
            </w:pPr>
          </w:p>
          <w:p w14:paraId="3DCDC7D0">
            <w:pPr>
              <w:spacing w:line="241" w:lineRule="auto"/>
              <w:rPr>
                <w:rFonts w:ascii="Arial"/>
                <w:sz w:val="21"/>
              </w:rPr>
            </w:pPr>
          </w:p>
          <w:p w14:paraId="5ACE4151">
            <w:pPr>
              <w:spacing w:line="241" w:lineRule="auto"/>
              <w:rPr>
                <w:rFonts w:ascii="Arial"/>
                <w:sz w:val="21"/>
              </w:rPr>
            </w:pPr>
          </w:p>
          <w:p w14:paraId="41F35837">
            <w:pPr>
              <w:pStyle w:val="8"/>
              <w:spacing w:before="58" w:line="241" w:lineRule="auto"/>
              <w:ind w:left="109" w:right="104"/>
              <w:jc w:val="both"/>
            </w:pPr>
            <w:r>
              <w:rPr>
                <w:spacing w:val="3"/>
              </w:rPr>
              <w:t>对船舶检验</w:t>
            </w:r>
            <w:r>
              <w:rPr>
                <w:spacing w:val="1"/>
              </w:rPr>
              <w:t xml:space="preserve"> </w:t>
            </w:r>
            <w:r>
              <w:rPr>
                <w:spacing w:val="3"/>
              </w:rPr>
              <w:t>人员违反规</w:t>
            </w:r>
            <w:r>
              <w:t xml:space="preserve"> </w:t>
            </w:r>
            <w:r>
              <w:rPr>
                <w:spacing w:val="3"/>
              </w:rPr>
              <w:t>定开展船舶</w:t>
            </w:r>
            <w:r>
              <w:t xml:space="preserve"> </w:t>
            </w:r>
            <w:r>
              <w:rPr>
                <w:spacing w:val="3"/>
              </w:rPr>
              <w:t>检验行为的</w:t>
            </w:r>
            <w:r>
              <w:t xml:space="preserve"> </w:t>
            </w:r>
            <w:r>
              <w:rPr>
                <w:spacing w:val="-4"/>
              </w:rPr>
              <w:t>行政处罚</w:t>
            </w:r>
          </w:p>
        </w:tc>
        <w:tc>
          <w:tcPr>
            <w:tcW w:w="1136" w:type="dxa"/>
            <w:vAlign w:val="top"/>
          </w:tcPr>
          <w:p w14:paraId="174D454C">
            <w:pPr>
              <w:spacing w:line="274" w:lineRule="auto"/>
              <w:rPr>
                <w:rFonts w:ascii="Arial"/>
                <w:sz w:val="21"/>
              </w:rPr>
            </w:pPr>
          </w:p>
          <w:p w14:paraId="0810F758">
            <w:pPr>
              <w:spacing w:line="274" w:lineRule="auto"/>
              <w:rPr>
                <w:rFonts w:ascii="Arial"/>
                <w:sz w:val="21"/>
              </w:rPr>
            </w:pPr>
          </w:p>
          <w:p w14:paraId="27731BDB">
            <w:pPr>
              <w:spacing w:line="274" w:lineRule="auto"/>
              <w:rPr>
                <w:rFonts w:ascii="Arial"/>
                <w:sz w:val="21"/>
              </w:rPr>
            </w:pPr>
          </w:p>
          <w:p w14:paraId="013CFFFA">
            <w:pPr>
              <w:spacing w:line="274" w:lineRule="auto"/>
              <w:rPr>
                <w:rFonts w:ascii="Arial"/>
                <w:sz w:val="21"/>
              </w:rPr>
            </w:pPr>
          </w:p>
          <w:p w14:paraId="2B6FE168">
            <w:pPr>
              <w:spacing w:line="274" w:lineRule="auto"/>
              <w:rPr>
                <w:rFonts w:ascii="Arial"/>
                <w:sz w:val="21"/>
              </w:rPr>
            </w:pPr>
          </w:p>
          <w:p w14:paraId="55508D15">
            <w:pPr>
              <w:spacing w:line="274" w:lineRule="auto"/>
              <w:rPr>
                <w:rFonts w:ascii="Arial"/>
                <w:sz w:val="21"/>
              </w:rPr>
            </w:pPr>
          </w:p>
          <w:p w14:paraId="5A29E392">
            <w:pPr>
              <w:spacing w:line="275" w:lineRule="auto"/>
              <w:rPr>
                <w:rFonts w:ascii="Arial"/>
                <w:sz w:val="21"/>
              </w:rPr>
            </w:pPr>
          </w:p>
          <w:p w14:paraId="52950042">
            <w:pPr>
              <w:pStyle w:val="8"/>
              <w:spacing w:before="59" w:line="220" w:lineRule="auto"/>
              <w:ind w:left="114"/>
            </w:pPr>
            <w:r>
              <w:rPr>
                <w:spacing w:val="-7"/>
              </w:rPr>
              <w:t>行政处罚</w:t>
            </w:r>
          </w:p>
        </w:tc>
        <w:tc>
          <w:tcPr>
            <w:tcW w:w="8806" w:type="dxa"/>
            <w:vAlign w:val="top"/>
          </w:tcPr>
          <w:p w14:paraId="6B3AC674">
            <w:pPr>
              <w:pStyle w:val="8"/>
              <w:spacing w:before="31" w:line="219" w:lineRule="auto"/>
              <w:ind w:left="481"/>
            </w:pPr>
            <w:r>
              <w:rPr>
                <w:b/>
                <w:bCs/>
                <w:spacing w:val="-5"/>
              </w:rPr>
              <w:t>1.《中华人民共和国船舶和海上设施检验条例》</w:t>
            </w:r>
          </w:p>
          <w:p w14:paraId="6DE469AF">
            <w:pPr>
              <w:pStyle w:val="8"/>
              <w:spacing w:before="16" w:line="219" w:lineRule="auto"/>
              <w:ind w:left="468"/>
            </w:pPr>
            <w:r>
              <w:rPr>
                <w:spacing w:val="-2"/>
              </w:rPr>
              <w:t>第二十条  船舶检验机构的检验人员，必须具备相应的专业知识和检验技能，并经考</w:t>
            </w:r>
            <w:r>
              <w:rPr>
                <w:spacing w:val="-3"/>
              </w:rPr>
              <w:t>核合格。</w:t>
            </w:r>
          </w:p>
          <w:p w14:paraId="574DD33A">
            <w:pPr>
              <w:pStyle w:val="8"/>
              <w:spacing w:before="17" w:line="226" w:lineRule="auto"/>
              <w:ind w:left="113" w:right="103" w:firstLine="354"/>
            </w:pPr>
            <w:r>
              <w:rPr>
                <w:spacing w:val="-1"/>
              </w:rPr>
              <w:t>第二十八条  船舶检验机构的检验人员滥用职权、徇私舞弊、玩忽职守、严重失职的，由所在</w:t>
            </w:r>
            <w:r>
              <w:rPr>
                <w:spacing w:val="-2"/>
              </w:rPr>
              <w:t>单位或者上</w:t>
            </w:r>
            <w:r>
              <w:t xml:space="preserve"> </w:t>
            </w:r>
            <w:r>
              <w:rPr>
                <w:spacing w:val="-2"/>
              </w:rPr>
              <w:t>级机关给予行政处分或者撤销其检验资格；情节严重，构成犯罪的，由司法机关依</w:t>
            </w:r>
            <w:r>
              <w:rPr>
                <w:spacing w:val="-3"/>
              </w:rPr>
              <w:t>法追究刑事责任。</w:t>
            </w:r>
          </w:p>
          <w:p w14:paraId="4231807E">
            <w:pPr>
              <w:pStyle w:val="8"/>
              <w:spacing w:before="16" w:line="219" w:lineRule="auto"/>
              <w:ind w:left="470"/>
            </w:pPr>
            <w:r>
              <w:rPr>
                <w:b/>
                <w:bCs/>
                <w:spacing w:val="-3"/>
              </w:rPr>
              <w:t>2.《中华人民共和国内河海事行政处罚规定》（交通运输部令202</w:t>
            </w:r>
            <w:r>
              <w:rPr>
                <w:b/>
                <w:bCs/>
                <w:spacing w:val="-4"/>
              </w:rPr>
              <w:t>2年第28号）</w:t>
            </w:r>
          </w:p>
          <w:p w14:paraId="12001217">
            <w:pPr>
              <w:pStyle w:val="8"/>
              <w:spacing w:before="18" w:line="232" w:lineRule="auto"/>
              <w:ind w:left="110" w:right="103" w:firstLine="357"/>
              <w:jc w:val="both"/>
            </w:pPr>
            <w:r>
              <w:rPr>
                <w:spacing w:val="-1"/>
              </w:rPr>
              <w:t>第九条  船舶检验机构的检验人员违反《船舶和海上设施检验条例》的规定，滥用职权、徇私</w:t>
            </w:r>
            <w:r>
              <w:rPr>
                <w:spacing w:val="-2"/>
              </w:rPr>
              <w:t>舞弊、玩忽</w:t>
            </w:r>
            <w:r>
              <w:t xml:space="preserve"> </w:t>
            </w:r>
            <w:r>
              <w:rPr>
                <w:spacing w:val="-1"/>
              </w:rPr>
              <w:t>职守、严重失职，有下列行为之一的，依照《船舶和海上设施检验条例》第二十八条的规定，按</w:t>
            </w:r>
            <w:r>
              <w:rPr>
                <w:spacing w:val="-2"/>
              </w:rPr>
              <w:t>其情节给予警</w:t>
            </w:r>
            <w:r>
              <w:t xml:space="preserve"> 告、暂停检验资格或者注销验船人员注册证书的处罚</w:t>
            </w:r>
            <w:r>
              <w:rPr>
                <w:spacing w:val="-14"/>
              </w:rPr>
              <w:t>：（</w:t>
            </w:r>
            <w:r>
              <w:t>一）超越职权范围进行船舶、设施检验</w:t>
            </w:r>
            <w:r>
              <w:rPr>
                <w:spacing w:val="-14"/>
              </w:rPr>
              <w:t>；（</w:t>
            </w:r>
            <w:r>
              <w:t>二）擅自</w:t>
            </w:r>
            <w:r>
              <w:rPr>
                <w:spacing w:val="2"/>
              </w:rPr>
              <w:t xml:space="preserve"> </w:t>
            </w:r>
            <w:r>
              <w:rPr>
                <w:spacing w:val="-1"/>
              </w:rPr>
              <w:t>降低规范要求进行船舶、设施检验</w:t>
            </w:r>
            <w:r>
              <w:rPr>
                <w:spacing w:val="-3"/>
              </w:rPr>
              <w:t>；（</w:t>
            </w:r>
            <w:r>
              <w:rPr>
                <w:spacing w:val="-1"/>
              </w:rPr>
              <w:t>三）未按照规定的检验项目进行船舶、设施检验</w:t>
            </w:r>
            <w:r>
              <w:rPr>
                <w:spacing w:val="-3"/>
              </w:rPr>
              <w:t>；（</w:t>
            </w:r>
            <w:r>
              <w:rPr>
                <w:spacing w:val="-1"/>
              </w:rPr>
              <w:t>四）未按照规定的</w:t>
            </w:r>
            <w:r>
              <w:rPr>
                <w:spacing w:val="2"/>
              </w:rPr>
              <w:t xml:space="preserve"> </w:t>
            </w:r>
            <w:r>
              <w:rPr>
                <w:spacing w:val="-2"/>
              </w:rPr>
              <w:t>检验程序进行船舶、设施检 验</w:t>
            </w:r>
            <w:r>
              <w:rPr>
                <w:spacing w:val="-11"/>
              </w:rPr>
              <w:t>；（</w:t>
            </w:r>
            <w:r>
              <w:rPr>
                <w:spacing w:val="-2"/>
              </w:rPr>
              <w:t>五）所签发的船舶检验证书或者检验报告与船舶、设施的实际情况不符。</w:t>
            </w:r>
          </w:p>
          <w:p w14:paraId="5B292999">
            <w:pPr>
              <w:pStyle w:val="8"/>
              <w:spacing w:before="17" w:line="219" w:lineRule="auto"/>
              <w:ind w:left="471"/>
            </w:pPr>
            <w:r>
              <w:rPr>
                <w:b/>
                <w:bCs/>
                <w:spacing w:val="-3"/>
              </w:rPr>
              <w:t>3.《船舶检验管理规定》（交通运输部令</w:t>
            </w:r>
            <w:r>
              <w:rPr>
                <w:b/>
                <w:bCs/>
                <w:spacing w:val="-4"/>
              </w:rPr>
              <w:t>2016年第2号）</w:t>
            </w:r>
          </w:p>
          <w:p w14:paraId="5E2750F2">
            <w:pPr>
              <w:pStyle w:val="8"/>
              <w:spacing w:before="17" w:line="228" w:lineRule="auto"/>
              <w:ind w:left="111" w:right="148" w:firstLine="356"/>
            </w:pPr>
            <w:r>
              <w:rPr>
                <w:spacing w:val="-2"/>
              </w:rPr>
              <w:t>第三十四条第三款  船舶检验人员应当严格按照相关的法律、法规和检验技术规范的要求开展检验</w:t>
            </w:r>
            <w:r>
              <w:rPr>
                <w:spacing w:val="-3"/>
              </w:rPr>
              <w:t>工作，</w:t>
            </w:r>
            <w:r>
              <w:t xml:space="preserve"> </w:t>
            </w:r>
            <w:r>
              <w:rPr>
                <w:spacing w:val="-3"/>
              </w:rPr>
              <w:t>恪守职业道德和执业纪律。</w:t>
            </w:r>
          </w:p>
          <w:p w14:paraId="6E808444">
            <w:pPr>
              <w:pStyle w:val="8"/>
              <w:spacing w:before="17" w:line="228" w:lineRule="auto"/>
              <w:ind w:left="109" w:right="31" w:firstLine="358"/>
              <w:jc w:val="both"/>
            </w:pPr>
            <w:r>
              <w:rPr>
                <w:spacing w:val="-1"/>
              </w:rPr>
              <w:t>第五十七条  船舶检验人员有下列情形之一的，依照《中华人民共和国船舶和海上设施检验条</w:t>
            </w:r>
            <w:r>
              <w:rPr>
                <w:spacing w:val="-2"/>
              </w:rPr>
              <w:t>例》第二十</w:t>
            </w:r>
            <w:r>
              <w:t xml:space="preserve">  </w:t>
            </w:r>
            <w:r>
              <w:rPr>
                <w:spacing w:val="-3"/>
              </w:rPr>
              <w:t>八条的规定，海事管理机构可视情节给予警告、撤销其检验资格</w:t>
            </w:r>
            <w:r>
              <w:rPr>
                <w:spacing w:val="-47"/>
                <w:w w:val="97"/>
              </w:rPr>
              <w:t>：（</w:t>
            </w:r>
            <w:r>
              <w:rPr>
                <w:spacing w:val="-3"/>
              </w:rPr>
              <w:t>一）未进行检验而签发相关检验证书</w:t>
            </w:r>
            <w:r>
              <w:rPr>
                <w:spacing w:val="-47"/>
                <w:w w:val="97"/>
              </w:rPr>
              <w:t>；（</w:t>
            </w:r>
            <w:r>
              <w:rPr>
                <w:spacing w:val="-3"/>
              </w:rPr>
              <w:t>二）</w:t>
            </w:r>
            <w:r>
              <w:rPr>
                <w:spacing w:val="6"/>
              </w:rPr>
              <w:t xml:space="preserve"> </w:t>
            </w:r>
            <w:r>
              <w:rPr>
                <w:spacing w:val="-1"/>
              </w:rPr>
              <w:t>超出所持 证书范围开展检验业务</w:t>
            </w:r>
            <w:r>
              <w:rPr>
                <w:spacing w:val="-21"/>
              </w:rPr>
              <w:t>；（</w:t>
            </w:r>
            <w:r>
              <w:rPr>
                <w:spacing w:val="-1"/>
              </w:rPr>
              <w:t>三）未按照法定检验技术规范执行检验</w:t>
            </w:r>
            <w:r>
              <w:rPr>
                <w:spacing w:val="-21"/>
              </w:rPr>
              <w:t>；（</w:t>
            </w:r>
            <w:r>
              <w:rPr>
                <w:spacing w:val="-2"/>
              </w:rPr>
              <w:t>四）未按规定的检验程序和项</w:t>
            </w:r>
            <w:r>
              <w:rPr>
                <w:spacing w:val="1"/>
              </w:rPr>
              <w:t xml:space="preserve"> </w:t>
            </w:r>
            <w:r>
              <w:t>目进行检验</w:t>
            </w:r>
            <w:r>
              <w:rPr>
                <w:spacing w:val="-10"/>
              </w:rPr>
              <w:t>；（</w:t>
            </w:r>
            <w:r>
              <w:t>五）所签发的船舶检验证书或者检验报告与船舶、水</w:t>
            </w:r>
            <w:r>
              <w:rPr>
                <w:spacing w:val="-1"/>
              </w:rPr>
              <w:t>上设施的实际情况不符</w:t>
            </w:r>
            <w:r>
              <w:rPr>
                <w:spacing w:val="-10"/>
              </w:rPr>
              <w:t>；（</w:t>
            </w:r>
            <w:r>
              <w:rPr>
                <w:spacing w:val="-1"/>
              </w:rPr>
              <w:t>六）发生重大</w:t>
            </w:r>
            <w:r>
              <w:rPr>
                <w:spacing w:val="1"/>
              </w:rPr>
              <w:t xml:space="preserve">  </w:t>
            </w:r>
            <w:r>
              <w:rPr>
                <w:spacing w:val="-2"/>
              </w:rPr>
              <w:t>检验质量责任问题</w:t>
            </w:r>
            <w:r>
              <w:rPr>
                <w:spacing w:val="-4"/>
              </w:rPr>
              <w:t>；（</w:t>
            </w:r>
            <w:r>
              <w:rPr>
                <w:spacing w:val="-2"/>
              </w:rPr>
              <w:t>七）不配合事故调查或者在调查过程中提供虚假证明。</w:t>
            </w:r>
          </w:p>
        </w:tc>
        <w:tc>
          <w:tcPr>
            <w:tcW w:w="1043" w:type="dxa"/>
            <w:vAlign w:val="top"/>
          </w:tcPr>
          <w:p w14:paraId="061F0282">
            <w:pPr>
              <w:spacing w:line="257" w:lineRule="auto"/>
              <w:rPr>
                <w:rFonts w:ascii="Arial"/>
                <w:sz w:val="21"/>
              </w:rPr>
            </w:pPr>
          </w:p>
          <w:p w14:paraId="548433DF">
            <w:pPr>
              <w:spacing w:line="257" w:lineRule="auto"/>
              <w:rPr>
                <w:rFonts w:ascii="Arial"/>
                <w:sz w:val="21"/>
              </w:rPr>
            </w:pPr>
          </w:p>
          <w:p w14:paraId="4625CA42">
            <w:pPr>
              <w:spacing w:line="257" w:lineRule="auto"/>
              <w:rPr>
                <w:rFonts w:ascii="Arial"/>
                <w:sz w:val="21"/>
              </w:rPr>
            </w:pPr>
          </w:p>
          <w:p w14:paraId="45D7300D">
            <w:pPr>
              <w:spacing w:line="257" w:lineRule="auto"/>
              <w:rPr>
                <w:rFonts w:ascii="Arial"/>
                <w:sz w:val="21"/>
              </w:rPr>
            </w:pPr>
          </w:p>
          <w:p w14:paraId="6BC59138">
            <w:pPr>
              <w:spacing w:line="257" w:lineRule="auto"/>
              <w:rPr>
                <w:rFonts w:ascii="Arial"/>
                <w:sz w:val="21"/>
              </w:rPr>
            </w:pPr>
          </w:p>
          <w:p w14:paraId="532273DC">
            <w:pPr>
              <w:spacing w:line="257" w:lineRule="auto"/>
              <w:rPr>
                <w:rFonts w:ascii="Arial"/>
                <w:sz w:val="21"/>
              </w:rPr>
            </w:pPr>
          </w:p>
          <w:p w14:paraId="0B133720">
            <w:pPr>
              <w:spacing w:line="257" w:lineRule="auto"/>
              <w:rPr>
                <w:rFonts w:ascii="Arial"/>
                <w:sz w:val="21"/>
              </w:rPr>
            </w:pPr>
          </w:p>
          <w:p w14:paraId="46E49AA2">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0F21A5D">
            <w:pPr>
              <w:spacing w:line="274" w:lineRule="auto"/>
              <w:rPr>
                <w:rFonts w:ascii="Arial"/>
                <w:sz w:val="21"/>
              </w:rPr>
            </w:pPr>
          </w:p>
          <w:p w14:paraId="70D3B1DB">
            <w:pPr>
              <w:spacing w:line="274" w:lineRule="auto"/>
              <w:rPr>
                <w:rFonts w:ascii="Arial"/>
                <w:sz w:val="21"/>
              </w:rPr>
            </w:pPr>
          </w:p>
          <w:p w14:paraId="7F8D0158">
            <w:pPr>
              <w:spacing w:line="274" w:lineRule="auto"/>
              <w:rPr>
                <w:rFonts w:ascii="Arial"/>
                <w:sz w:val="21"/>
              </w:rPr>
            </w:pPr>
          </w:p>
          <w:p w14:paraId="78F020E1">
            <w:pPr>
              <w:spacing w:line="274" w:lineRule="auto"/>
              <w:rPr>
                <w:rFonts w:ascii="Arial"/>
                <w:sz w:val="21"/>
              </w:rPr>
            </w:pPr>
          </w:p>
          <w:p w14:paraId="33D6D9C0">
            <w:pPr>
              <w:spacing w:line="274" w:lineRule="auto"/>
              <w:rPr>
                <w:rFonts w:ascii="Arial"/>
                <w:sz w:val="21"/>
              </w:rPr>
            </w:pPr>
          </w:p>
          <w:p w14:paraId="6377D63E">
            <w:pPr>
              <w:spacing w:line="274" w:lineRule="auto"/>
              <w:rPr>
                <w:rFonts w:ascii="Arial"/>
                <w:sz w:val="21"/>
              </w:rPr>
            </w:pPr>
          </w:p>
          <w:p w14:paraId="4C6E533B">
            <w:pPr>
              <w:spacing w:line="275" w:lineRule="auto"/>
              <w:rPr>
                <w:rFonts w:ascii="Arial"/>
                <w:sz w:val="21"/>
              </w:rPr>
            </w:pPr>
          </w:p>
          <w:p w14:paraId="59BFA139">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3373A64">
            <w:pPr>
              <w:spacing w:line="260" w:lineRule="auto"/>
              <w:rPr>
                <w:rFonts w:ascii="Arial"/>
                <w:sz w:val="21"/>
              </w:rPr>
            </w:pPr>
          </w:p>
          <w:p w14:paraId="3D4D4F9B">
            <w:pPr>
              <w:spacing w:line="260" w:lineRule="auto"/>
              <w:rPr>
                <w:rFonts w:ascii="Arial"/>
                <w:sz w:val="21"/>
              </w:rPr>
            </w:pPr>
          </w:p>
          <w:p w14:paraId="48FD8E02">
            <w:pPr>
              <w:spacing w:line="260" w:lineRule="auto"/>
              <w:rPr>
                <w:rFonts w:ascii="Arial"/>
                <w:sz w:val="21"/>
              </w:rPr>
            </w:pPr>
          </w:p>
          <w:p w14:paraId="519B830D">
            <w:pPr>
              <w:spacing w:line="260" w:lineRule="auto"/>
              <w:rPr>
                <w:rFonts w:ascii="Arial"/>
                <w:sz w:val="21"/>
              </w:rPr>
            </w:pPr>
          </w:p>
          <w:p w14:paraId="1698BBA9">
            <w:pPr>
              <w:spacing w:line="261" w:lineRule="auto"/>
              <w:rPr>
                <w:rFonts w:ascii="Arial"/>
                <w:sz w:val="21"/>
              </w:rPr>
            </w:pPr>
          </w:p>
          <w:p w14:paraId="1BC929E1">
            <w:pPr>
              <w:spacing w:line="261" w:lineRule="auto"/>
              <w:rPr>
                <w:rFonts w:ascii="Arial"/>
                <w:sz w:val="21"/>
              </w:rPr>
            </w:pPr>
          </w:p>
          <w:p w14:paraId="68221B57">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66BDA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5" w:hRule="atLeast"/>
        </w:trPr>
        <w:tc>
          <w:tcPr>
            <w:tcW w:w="641" w:type="dxa"/>
            <w:vAlign w:val="top"/>
          </w:tcPr>
          <w:p w14:paraId="60623DB3">
            <w:pPr>
              <w:spacing w:line="242" w:lineRule="auto"/>
              <w:rPr>
                <w:rFonts w:ascii="Arial"/>
                <w:sz w:val="21"/>
              </w:rPr>
            </w:pPr>
          </w:p>
          <w:p w14:paraId="12EF58B8">
            <w:pPr>
              <w:spacing w:line="242" w:lineRule="auto"/>
              <w:rPr>
                <w:rFonts w:ascii="Arial"/>
                <w:sz w:val="21"/>
              </w:rPr>
            </w:pPr>
          </w:p>
          <w:p w14:paraId="4830C982">
            <w:pPr>
              <w:spacing w:line="242" w:lineRule="auto"/>
              <w:rPr>
                <w:rFonts w:ascii="Arial"/>
                <w:sz w:val="21"/>
              </w:rPr>
            </w:pPr>
          </w:p>
          <w:p w14:paraId="01655DC1">
            <w:pPr>
              <w:spacing w:line="242" w:lineRule="auto"/>
              <w:rPr>
                <w:rFonts w:ascii="Arial"/>
                <w:sz w:val="21"/>
              </w:rPr>
            </w:pPr>
          </w:p>
          <w:p w14:paraId="35551C4C">
            <w:pPr>
              <w:spacing w:line="242" w:lineRule="auto"/>
              <w:rPr>
                <w:rFonts w:ascii="Arial"/>
                <w:sz w:val="21"/>
              </w:rPr>
            </w:pPr>
          </w:p>
          <w:p w14:paraId="37F4556D">
            <w:pPr>
              <w:spacing w:line="242" w:lineRule="auto"/>
              <w:rPr>
                <w:rFonts w:ascii="Arial"/>
                <w:sz w:val="21"/>
              </w:rPr>
            </w:pPr>
          </w:p>
          <w:p w14:paraId="58B89E85">
            <w:pPr>
              <w:spacing w:line="242" w:lineRule="auto"/>
              <w:rPr>
                <w:rFonts w:ascii="Arial"/>
                <w:sz w:val="21"/>
              </w:rPr>
            </w:pPr>
          </w:p>
          <w:p w14:paraId="2CE3E012">
            <w:pPr>
              <w:spacing w:line="242" w:lineRule="auto"/>
              <w:rPr>
                <w:rFonts w:ascii="Arial"/>
                <w:sz w:val="21"/>
              </w:rPr>
            </w:pPr>
          </w:p>
          <w:p w14:paraId="5239F723">
            <w:pPr>
              <w:spacing w:line="242" w:lineRule="auto"/>
              <w:rPr>
                <w:rFonts w:ascii="Arial"/>
                <w:sz w:val="21"/>
              </w:rPr>
            </w:pPr>
          </w:p>
          <w:p w14:paraId="50F4C4EF">
            <w:pPr>
              <w:pStyle w:val="8"/>
              <w:spacing w:before="58" w:line="183" w:lineRule="auto"/>
              <w:ind w:left="236"/>
            </w:pPr>
            <w:r>
              <w:rPr>
                <w:spacing w:val="-4"/>
              </w:rPr>
              <w:t>60</w:t>
            </w:r>
          </w:p>
        </w:tc>
        <w:tc>
          <w:tcPr>
            <w:tcW w:w="1136" w:type="dxa"/>
            <w:vAlign w:val="top"/>
          </w:tcPr>
          <w:p w14:paraId="2CCE9F75">
            <w:pPr>
              <w:spacing w:line="317" w:lineRule="auto"/>
              <w:rPr>
                <w:rFonts w:ascii="Arial"/>
                <w:sz w:val="21"/>
              </w:rPr>
            </w:pPr>
          </w:p>
          <w:p w14:paraId="1D7F1A15">
            <w:pPr>
              <w:spacing w:line="318" w:lineRule="auto"/>
              <w:rPr>
                <w:rFonts w:ascii="Arial"/>
                <w:sz w:val="21"/>
              </w:rPr>
            </w:pPr>
          </w:p>
          <w:p w14:paraId="1D26282F">
            <w:pPr>
              <w:spacing w:line="318" w:lineRule="auto"/>
              <w:rPr>
                <w:rFonts w:ascii="Arial"/>
                <w:sz w:val="21"/>
              </w:rPr>
            </w:pPr>
          </w:p>
          <w:p w14:paraId="2B3DB176">
            <w:pPr>
              <w:pStyle w:val="8"/>
              <w:spacing w:before="58" w:line="244" w:lineRule="auto"/>
              <w:ind w:left="109" w:right="99"/>
              <w:jc w:val="both"/>
            </w:pPr>
            <w:r>
              <w:rPr>
                <w:spacing w:val="4"/>
              </w:rPr>
              <w:t>对游艇未在</w:t>
            </w:r>
            <w:r>
              <w:rPr>
                <w:spacing w:val="1"/>
              </w:rPr>
              <w:t xml:space="preserve"> </w:t>
            </w:r>
            <w:r>
              <w:rPr>
                <w:spacing w:val="4"/>
              </w:rPr>
              <w:t>海事管理机</w:t>
            </w:r>
            <w:r>
              <w:rPr>
                <w:spacing w:val="1"/>
              </w:rPr>
              <w:t xml:space="preserve"> </w:t>
            </w:r>
            <w:r>
              <w:rPr>
                <w:spacing w:val="4"/>
              </w:rPr>
              <w:t>构公布的专</w:t>
            </w:r>
            <w:r>
              <w:rPr>
                <w:spacing w:val="1"/>
              </w:rPr>
              <w:t xml:space="preserve"> </w:t>
            </w:r>
            <w:r>
              <w:rPr>
                <w:spacing w:val="4"/>
              </w:rPr>
              <w:t>用停泊水域</w:t>
            </w:r>
            <w:r>
              <w:rPr>
                <w:spacing w:val="1"/>
              </w:rPr>
              <w:t xml:space="preserve"> </w:t>
            </w:r>
            <w:r>
              <w:rPr>
                <w:spacing w:val="4"/>
              </w:rPr>
              <w:t>或者停泊点</w:t>
            </w:r>
            <w:r>
              <w:rPr>
                <w:spacing w:val="1"/>
              </w:rPr>
              <w:t xml:space="preserve"> </w:t>
            </w:r>
            <w:r>
              <w:rPr>
                <w:spacing w:val="4"/>
              </w:rPr>
              <w:t>停泊，或者</w:t>
            </w:r>
            <w:r>
              <w:rPr>
                <w:spacing w:val="1"/>
              </w:rPr>
              <w:t xml:space="preserve"> </w:t>
            </w:r>
            <w:r>
              <w:rPr>
                <w:spacing w:val="4"/>
              </w:rPr>
              <w:t>临时停泊的</w:t>
            </w:r>
            <w:r>
              <w:rPr>
                <w:spacing w:val="1"/>
              </w:rPr>
              <w:t xml:space="preserve"> </w:t>
            </w:r>
            <w:r>
              <w:rPr>
                <w:spacing w:val="4"/>
              </w:rPr>
              <w:t>水域不符合</w:t>
            </w:r>
            <w:r>
              <w:rPr>
                <w:spacing w:val="1"/>
              </w:rPr>
              <w:t xml:space="preserve"> </w:t>
            </w:r>
            <w:r>
              <w:rPr>
                <w:spacing w:val="4"/>
              </w:rPr>
              <w:t>要求等行为</w:t>
            </w:r>
            <w:r>
              <w:rPr>
                <w:spacing w:val="1"/>
              </w:rPr>
              <w:t xml:space="preserve"> </w:t>
            </w:r>
            <w:r>
              <w:rPr>
                <w:spacing w:val="-7"/>
              </w:rPr>
              <w:t>的行政处罚</w:t>
            </w:r>
          </w:p>
        </w:tc>
        <w:tc>
          <w:tcPr>
            <w:tcW w:w="1136" w:type="dxa"/>
            <w:vAlign w:val="top"/>
          </w:tcPr>
          <w:p w14:paraId="7C2707DF">
            <w:pPr>
              <w:spacing w:line="268" w:lineRule="auto"/>
              <w:rPr>
                <w:rFonts w:ascii="Arial"/>
                <w:sz w:val="21"/>
              </w:rPr>
            </w:pPr>
          </w:p>
          <w:p w14:paraId="0FD2BE0B">
            <w:pPr>
              <w:spacing w:line="268" w:lineRule="auto"/>
              <w:rPr>
                <w:rFonts w:ascii="Arial"/>
                <w:sz w:val="21"/>
              </w:rPr>
            </w:pPr>
          </w:p>
          <w:p w14:paraId="32DBE7C5">
            <w:pPr>
              <w:spacing w:line="269" w:lineRule="auto"/>
              <w:rPr>
                <w:rFonts w:ascii="Arial"/>
                <w:sz w:val="21"/>
              </w:rPr>
            </w:pPr>
          </w:p>
          <w:p w14:paraId="566F4B91">
            <w:pPr>
              <w:spacing w:line="269" w:lineRule="auto"/>
              <w:rPr>
                <w:rFonts w:ascii="Arial"/>
                <w:sz w:val="21"/>
              </w:rPr>
            </w:pPr>
          </w:p>
          <w:p w14:paraId="017CDEDB">
            <w:pPr>
              <w:spacing w:line="269" w:lineRule="auto"/>
              <w:rPr>
                <w:rFonts w:ascii="Arial"/>
                <w:sz w:val="21"/>
              </w:rPr>
            </w:pPr>
          </w:p>
          <w:p w14:paraId="6F1AD23D">
            <w:pPr>
              <w:spacing w:line="269" w:lineRule="auto"/>
              <w:rPr>
                <w:rFonts w:ascii="Arial"/>
                <w:sz w:val="21"/>
              </w:rPr>
            </w:pPr>
          </w:p>
          <w:p w14:paraId="261D6B3C">
            <w:pPr>
              <w:spacing w:line="269" w:lineRule="auto"/>
              <w:rPr>
                <w:rFonts w:ascii="Arial"/>
                <w:sz w:val="21"/>
              </w:rPr>
            </w:pPr>
          </w:p>
          <w:p w14:paraId="41C6A163">
            <w:pPr>
              <w:spacing w:line="269" w:lineRule="auto"/>
              <w:rPr>
                <w:rFonts w:ascii="Arial"/>
                <w:sz w:val="21"/>
              </w:rPr>
            </w:pPr>
          </w:p>
          <w:p w14:paraId="24914416">
            <w:pPr>
              <w:pStyle w:val="8"/>
              <w:spacing w:before="58" w:line="220" w:lineRule="auto"/>
              <w:ind w:left="114"/>
            </w:pPr>
            <w:r>
              <w:rPr>
                <w:spacing w:val="-7"/>
              </w:rPr>
              <w:t>行政处罚</w:t>
            </w:r>
          </w:p>
        </w:tc>
        <w:tc>
          <w:tcPr>
            <w:tcW w:w="8806" w:type="dxa"/>
            <w:vAlign w:val="top"/>
          </w:tcPr>
          <w:p w14:paraId="66A73812">
            <w:pPr>
              <w:pStyle w:val="8"/>
              <w:spacing w:before="33" w:line="219" w:lineRule="auto"/>
              <w:ind w:left="467"/>
            </w:pPr>
            <w:r>
              <w:rPr>
                <w:b/>
                <w:bCs/>
                <w:spacing w:val="-9"/>
              </w:rPr>
              <w:t>1.《中华人民共和国内河交通安全管理条</w:t>
            </w:r>
            <w:r>
              <w:rPr>
                <w:b/>
                <w:bCs/>
                <w:spacing w:val="-10"/>
              </w:rPr>
              <w:t>例》</w:t>
            </w:r>
          </w:p>
          <w:p w14:paraId="6B05DF97">
            <w:pPr>
              <w:pStyle w:val="8"/>
              <w:spacing w:before="16" w:line="227" w:lineRule="auto"/>
              <w:ind w:left="109" w:right="98" w:firstLine="343"/>
            </w:pPr>
            <w:r>
              <w:rPr>
                <w:spacing w:val="-8"/>
              </w:rPr>
              <w:t>第二十四条第一款</w:t>
            </w:r>
            <w:r>
              <w:rPr>
                <w:spacing w:val="73"/>
              </w:rPr>
              <w:t xml:space="preserve"> </w:t>
            </w:r>
            <w:r>
              <w:rPr>
                <w:spacing w:val="-8"/>
              </w:rPr>
              <w:t>船舶应当在码头、泊位或者依法公布的锚地、停泊区、作业区停泊；遇有紧急情况，需要</w:t>
            </w:r>
            <w:r>
              <w:t xml:space="preserve"> </w:t>
            </w:r>
            <w:r>
              <w:rPr>
                <w:spacing w:val="-8"/>
              </w:rPr>
              <w:t>在其他水域停泊的，应当向海事管理机构报告。</w:t>
            </w:r>
          </w:p>
          <w:p w14:paraId="42EEE8AE">
            <w:pPr>
              <w:pStyle w:val="8"/>
              <w:spacing w:before="18" w:line="219" w:lineRule="auto"/>
              <w:ind w:left="455"/>
            </w:pPr>
            <w:r>
              <w:rPr>
                <w:b/>
                <w:bCs/>
                <w:spacing w:val="-9"/>
              </w:rPr>
              <w:t>2.《湖南省水上交通安全条例》</w:t>
            </w:r>
          </w:p>
          <w:p w14:paraId="082AE2B6">
            <w:pPr>
              <w:pStyle w:val="8"/>
              <w:spacing w:before="14" w:line="226" w:lineRule="auto"/>
              <w:ind w:left="111" w:right="98" w:firstLine="342"/>
            </w:pPr>
            <w:r>
              <w:rPr>
                <w:spacing w:val="-8"/>
              </w:rPr>
              <w:t>第二十二条第一款</w:t>
            </w:r>
            <w:r>
              <w:rPr>
                <w:spacing w:val="81"/>
                <w:w w:val="101"/>
              </w:rPr>
              <w:t xml:space="preserve"> </w:t>
            </w:r>
            <w:r>
              <w:rPr>
                <w:spacing w:val="-8"/>
              </w:rPr>
              <w:t>船舶应当在码头、泊位或者依法公布的锚地、停泊区、作业区停泊;遇有紧急情况,需要在</w:t>
            </w:r>
            <w:r>
              <w:t xml:space="preserve"> </w:t>
            </w:r>
            <w:r>
              <w:rPr>
                <w:spacing w:val="-8"/>
              </w:rPr>
              <w:t>其他水域停泊的,应当向海事管理机构报告。</w:t>
            </w:r>
          </w:p>
          <w:p w14:paraId="32DAB900">
            <w:pPr>
              <w:pStyle w:val="8"/>
              <w:spacing w:before="19" w:line="219" w:lineRule="auto"/>
              <w:ind w:left="457"/>
            </w:pPr>
            <w:r>
              <w:rPr>
                <w:b/>
                <w:bCs/>
                <w:spacing w:val="-8"/>
              </w:rPr>
              <w:t>3.《游艇安全管理规定》（交通运输部令2023年第11号）</w:t>
            </w:r>
          </w:p>
          <w:p w14:paraId="75CEDCD2">
            <w:pPr>
              <w:pStyle w:val="8"/>
              <w:spacing w:before="18" w:line="227" w:lineRule="auto"/>
              <w:ind w:left="125" w:right="95" w:firstLine="328"/>
            </w:pPr>
            <w:r>
              <w:rPr>
                <w:spacing w:val="-8"/>
              </w:rPr>
              <w:t>第六条第一款</w:t>
            </w:r>
            <w:r>
              <w:rPr>
                <w:spacing w:val="76"/>
              </w:rPr>
              <w:t xml:space="preserve"> </w:t>
            </w:r>
            <w:r>
              <w:rPr>
                <w:spacing w:val="-8"/>
              </w:rPr>
              <w:t>在中华人民共和国管辖水域航行、停泊的游艇，应当取得船舶国籍证书。未持有船舶国籍证书</w:t>
            </w:r>
            <w:r>
              <w:t xml:space="preserve"> </w:t>
            </w:r>
            <w:r>
              <w:rPr>
                <w:spacing w:val="-9"/>
              </w:rPr>
              <w:t>的游艇，不得在中华人民共和国管辖水域航行、停泊。</w:t>
            </w:r>
          </w:p>
          <w:p w14:paraId="188E2B13">
            <w:pPr>
              <w:pStyle w:val="8"/>
              <w:spacing w:before="17" w:line="219" w:lineRule="auto"/>
              <w:ind w:left="453"/>
            </w:pPr>
            <w:r>
              <w:rPr>
                <w:spacing w:val="-8"/>
              </w:rPr>
              <w:t>第十七条</w:t>
            </w:r>
            <w:r>
              <w:rPr>
                <w:spacing w:val="81"/>
              </w:rPr>
              <w:t xml:space="preserve"> </w:t>
            </w:r>
            <w:r>
              <w:rPr>
                <w:spacing w:val="-8"/>
              </w:rPr>
              <w:t>游艇应当在其检验证书所确定的适航范围内航行。</w:t>
            </w:r>
          </w:p>
          <w:p w14:paraId="5E77BC37">
            <w:pPr>
              <w:pStyle w:val="8"/>
              <w:spacing w:before="14" w:line="231" w:lineRule="auto"/>
              <w:ind w:left="113" w:right="98" w:firstLine="340"/>
            </w:pPr>
            <w:r>
              <w:rPr>
                <w:spacing w:val="-8"/>
              </w:rPr>
              <w:t>游艇所有人或者游艇俱乐部在第一次出航前，应当将游艇的航行水域向当地海事管理机构</w:t>
            </w:r>
            <w:r>
              <w:rPr>
                <w:spacing w:val="-9"/>
              </w:rPr>
              <w:t>备案。游艇每一次航</w:t>
            </w:r>
            <w:r>
              <w:t xml:space="preserve"> </w:t>
            </w:r>
            <w:r>
              <w:rPr>
                <w:spacing w:val="-8"/>
              </w:rPr>
              <w:t>行时，如果航行水域超出备案范围， 游艇所有人或者游艇俱乐部应当在游艇出航前向海事管理机构报告</w:t>
            </w:r>
            <w:r>
              <w:rPr>
                <w:spacing w:val="-9"/>
              </w:rPr>
              <w:t>船名、航</w:t>
            </w:r>
            <w:r>
              <w:t xml:space="preserve">  </w:t>
            </w:r>
            <w:r>
              <w:rPr>
                <w:spacing w:val="-8"/>
              </w:rPr>
              <w:t>行计划、游艇操作人员或者乘员的名单、应急联系方式。</w:t>
            </w:r>
          </w:p>
          <w:p w14:paraId="749D7587">
            <w:pPr>
              <w:pStyle w:val="8"/>
              <w:spacing w:before="16" w:line="219" w:lineRule="auto"/>
              <w:ind w:left="453"/>
            </w:pPr>
            <w:r>
              <w:rPr>
                <w:spacing w:val="-8"/>
              </w:rPr>
              <w:t>第二十条</w:t>
            </w:r>
            <w:r>
              <w:rPr>
                <w:spacing w:val="81"/>
              </w:rPr>
              <w:t xml:space="preserve"> </w:t>
            </w:r>
            <w:r>
              <w:rPr>
                <w:spacing w:val="-8"/>
              </w:rPr>
              <w:t>游艇应当在海事管理机构公布的专用停泊水域或者停泊点停泊。</w:t>
            </w:r>
          </w:p>
          <w:p w14:paraId="59461C16">
            <w:pPr>
              <w:pStyle w:val="8"/>
              <w:spacing w:before="17" w:line="228" w:lineRule="auto"/>
              <w:ind w:left="453" w:right="1154"/>
            </w:pPr>
            <w:r>
              <w:rPr>
                <w:spacing w:val="-9"/>
              </w:rPr>
              <w:t>游艇的专用停泊水域或者停泊点，应当符合游艇安全靠泊、避风以及便利人员安全登离的要求。</w:t>
            </w:r>
            <w:r>
              <w:rPr>
                <w:spacing w:val="9"/>
              </w:rPr>
              <w:t xml:space="preserve"> </w:t>
            </w:r>
            <w:r>
              <w:rPr>
                <w:spacing w:val="-8"/>
              </w:rPr>
              <w:t>游艇停泊的专用水域属于港口水域的，应当符合有关港口规划。</w:t>
            </w:r>
          </w:p>
          <w:p w14:paraId="7EB6D22F">
            <w:pPr>
              <w:pStyle w:val="8"/>
              <w:spacing w:before="15" w:line="226" w:lineRule="auto"/>
              <w:ind w:left="110" w:right="28" w:firstLine="343"/>
              <w:jc w:val="both"/>
            </w:pPr>
            <w:r>
              <w:rPr>
                <w:spacing w:val="-10"/>
              </w:rPr>
              <w:t>第三十九条</w:t>
            </w:r>
            <w:r>
              <w:rPr>
                <w:spacing w:val="75"/>
              </w:rPr>
              <w:t xml:space="preserve"> </w:t>
            </w:r>
            <w:r>
              <w:rPr>
                <w:spacing w:val="-10"/>
              </w:rPr>
              <w:t>违反本规定，游艇有下列行为之</w:t>
            </w:r>
            <w:r>
              <w:rPr>
                <w:spacing w:val="-11"/>
              </w:rPr>
              <w:t>一的，由海事管理机构责令改正，并可处以1000元以下罚款</w:t>
            </w:r>
            <w:r>
              <w:rPr>
                <w:spacing w:val="-38"/>
                <w:w w:val="80"/>
              </w:rPr>
              <w:t>：（</w:t>
            </w:r>
            <w:r>
              <w:rPr>
                <w:spacing w:val="-11"/>
              </w:rPr>
              <w:t>一）</w:t>
            </w:r>
            <w:r>
              <w:t xml:space="preserve"> </w:t>
            </w:r>
            <w:r>
              <w:rPr>
                <w:spacing w:val="-7"/>
              </w:rPr>
              <w:t>未在海事管理机构公布的专用停泊水域或者停</w:t>
            </w:r>
            <w:r>
              <w:rPr>
                <w:spacing w:val="-8"/>
              </w:rPr>
              <w:t>泊点停泊，或者临时停泊的水域不符合本规定的要求</w:t>
            </w:r>
            <w:r>
              <w:rPr>
                <w:spacing w:val="-23"/>
              </w:rPr>
              <w:t>；（</w:t>
            </w:r>
            <w:r>
              <w:rPr>
                <w:spacing w:val="-8"/>
              </w:rPr>
              <w:t>二）游艇的</w:t>
            </w:r>
            <w:r>
              <w:rPr>
                <w:spacing w:val="1"/>
              </w:rPr>
              <w:t xml:space="preserve"> </w:t>
            </w:r>
            <w:r>
              <w:rPr>
                <w:spacing w:val="-8"/>
              </w:rPr>
              <w:t>航行水域超出备案范围，而游艇所有人或者游艇俱乐部未在游艇出航前将船名、航行计划、游艇操</w:t>
            </w:r>
            <w:r>
              <w:rPr>
                <w:spacing w:val="-9"/>
              </w:rPr>
              <w:t>作人员或者乘员</w:t>
            </w:r>
            <w:r>
              <w:t xml:space="preserve"> </w:t>
            </w:r>
            <w:r>
              <w:rPr>
                <w:spacing w:val="-8"/>
              </w:rPr>
              <w:t>的名单、应急联系方式等向海事管理机构备案。</w:t>
            </w:r>
          </w:p>
        </w:tc>
        <w:tc>
          <w:tcPr>
            <w:tcW w:w="1043" w:type="dxa"/>
            <w:vAlign w:val="top"/>
          </w:tcPr>
          <w:p w14:paraId="24DE2613">
            <w:pPr>
              <w:spacing w:line="253" w:lineRule="auto"/>
              <w:rPr>
                <w:rFonts w:ascii="Arial"/>
                <w:sz w:val="21"/>
              </w:rPr>
            </w:pPr>
          </w:p>
          <w:p w14:paraId="316BC8BF">
            <w:pPr>
              <w:spacing w:line="253" w:lineRule="auto"/>
              <w:rPr>
                <w:rFonts w:ascii="Arial"/>
                <w:sz w:val="21"/>
              </w:rPr>
            </w:pPr>
          </w:p>
          <w:p w14:paraId="44400493">
            <w:pPr>
              <w:spacing w:line="254" w:lineRule="auto"/>
              <w:rPr>
                <w:rFonts w:ascii="Arial"/>
                <w:sz w:val="21"/>
              </w:rPr>
            </w:pPr>
          </w:p>
          <w:p w14:paraId="35DB7397">
            <w:pPr>
              <w:spacing w:line="254" w:lineRule="auto"/>
              <w:rPr>
                <w:rFonts w:ascii="Arial"/>
                <w:sz w:val="21"/>
              </w:rPr>
            </w:pPr>
          </w:p>
          <w:p w14:paraId="674D549D">
            <w:pPr>
              <w:spacing w:line="254" w:lineRule="auto"/>
              <w:rPr>
                <w:rFonts w:ascii="Arial"/>
                <w:sz w:val="21"/>
              </w:rPr>
            </w:pPr>
          </w:p>
          <w:p w14:paraId="0AA71908">
            <w:pPr>
              <w:spacing w:line="254" w:lineRule="auto"/>
              <w:rPr>
                <w:rFonts w:ascii="Arial"/>
                <w:sz w:val="21"/>
              </w:rPr>
            </w:pPr>
          </w:p>
          <w:p w14:paraId="61F4C18D">
            <w:pPr>
              <w:spacing w:line="254" w:lineRule="auto"/>
              <w:rPr>
                <w:rFonts w:ascii="Arial"/>
                <w:sz w:val="21"/>
              </w:rPr>
            </w:pPr>
          </w:p>
          <w:p w14:paraId="1A0408B6">
            <w:pPr>
              <w:spacing w:line="254" w:lineRule="auto"/>
              <w:rPr>
                <w:rFonts w:ascii="Arial"/>
                <w:sz w:val="21"/>
              </w:rPr>
            </w:pPr>
          </w:p>
          <w:p w14:paraId="11EE05E5">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500368EA">
            <w:pPr>
              <w:spacing w:line="268" w:lineRule="auto"/>
              <w:rPr>
                <w:rFonts w:ascii="Arial"/>
                <w:sz w:val="21"/>
              </w:rPr>
            </w:pPr>
          </w:p>
          <w:p w14:paraId="36379E95">
            <w:pPr>
              <w:spacing w:line="268" w:lineRule="auto"/>
              <w:rPr>
                <w:rFonts w:ascii="Arial"/>
                <w:sz w:val="21"/>
              </w:rPr>
            </w:pPr>
          </w:p>
          <w:p w14:paraId="7D7D14A0">
            <w:pPr>
              <w:spacing w:line="269" w:lineRule="auto"/>
              <w:rPr>
                <w:rFonts w:ascii="Arial"/>
                <w:sz w:val="21"/>
              </w:rPr>
            </w:pPr>
          </w:p>
          <w:p w14:paraId="1D6015CF">
            <w:pPr>
              <w:spacing w:line="269" w:lineRule="auto"/>
              <w:rPr>
                <w:rFonts w:ascii="Arial"/>
                <w:sz w:val="21"/>
              </w:rPr>
            </w:pPr>
          </w:p>
          <w:p w14:paraId="2DC070BA">
            <w:pPr>
              <w:spacing w:line="269" w:lineRule="auto"/>
              <w:rPr>
                <w:rFonts w:ascii="Arial"/>
                <w:sz w:val="21"/>
              </w:rPr>
            </w:pPr>
          </w:p>
          <w:p w14:paraId="1B0C2E19">
            <w:pPr>
              <w:spacing w:line="269" w:lineRule="auto"/>
              <w:rPr>
                <w:rFonts w:ascii="Arial"/>
                <w:sz w:val="21"/>
              </w:rPr>
            </w:pPr>
          </w:p>
          <w:p w14:paraId="20C4F148">
            <w:pPr>
              <w:spacing w:line="269" w:lineRule="auto"/>
              <w:rPr>
                <w:rFonts w:ascii="Arial"/>
                <w:sz w:val="21"/>
              </w:rPr>
            </w:pPr>
          </w:p>
          <w:p w14:paraId="660390C5">
            <w:pPr>
              <w:spacing w:line="269" w:lineRule="auto"/>
              <w:rPr>
                <w:rFonts w:ascii="Arial"/>
                <w:sz w:val="21"/>
              </w:rPr>
            </w:pPr>
          </w:p>
          <w:p w14:paraId="487A4A6A">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052EEC0">
            <w:pPr>
              <w:spacing w:line="256" w:lineRule="auto"/>
              <w:rPr>
                <w:rFonts w:ascii="Arial"/>
                <w:sz w:val="21"/>
              </w:rPr>
            </w:pPr>
          </w:p>
          <w:p w14:paraId="3587C6A4">
            <w:pPr>
              <w:spacing w:line="256" w:lineRule="auto"/>
              <w:rPr>
                <w:rFonts w:ascii="Arial"/>
                <w:sz w:val="21"/>
              </w:rPr>
            </w:pPr>
          </w:p>
          <w:p w14:paraId="65605304">
            <w:pPr>
              <w:spacing w:line="256" w:lineRule="auto"/>
              <w:rPr>
                <w:rFonts w:ascii="Arial"/>
                <w:sz w:val="21"/>
              </w:rPr>
            </w:pPr>
          </w:p>
          <w:p w14:paraId="67F460F1">
            <w:pPr>
              <w:spacing w:line="256" w:lineRule="auto"/>
              <w:rPr>
                <w:rFonts w:ascii="Arial"/>
                <w:sz w:val="21"/>
              </w:rPr>
            </w:pPr>
          </w:p>
          <w:p w14:paraId="70ADAE73">
            <w:pPr>
              <w:spacing w:line="256" w:lineRule="auto"/>
              <w:rPr>
                <w:rFonts w:ascii="Arial"/>
                <w:sz w:val="21"/>
              </w:rPr>
            </w:pPr>
          </w:p>
          <w:p w14:paraId="16F87D06">
            <w:pPr>
              <w:spacing w:line="256" w:lineRule="auto"/>
              <w:rPr>
                <w:rFonts w:ascii="Arial"/>
                <w:sz w:val="21"/>
              </w:rPr>
            </w:pPr>
          </w:p>
          <w:p w14:paraId="28C63A17">
            <w:pPr>
              <w:spacing w:line="257" w:lineRule="auto"/>
              <w:rPr>
                <w:rFonts w:ascii="Arial"/>
                <w:sz w:val="21"/>
              </w:rPr>
            </w:pPr>
          </w:p>
          <w:p w14:paraId="77924B0A">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0FD41814">
      <w:pPr>
        <w:pStyle w:val="2"/>
      </w:pPr>
    </w:p>
    <w:p w14:paraId="3FDED48E">
      <w:pPr>
        <w:sectPr>
          <w:footerReference r:id="rId197" w:type="default"/>
          <w:pgSz w:w="16839" w:h="11906"/>
          <w:pgMar w:top="1012" w:right="788" w:bottom="966" w:left="787" w:header="0" w:footer="768" w:gutter="0"/>
          <w:cols w:space="720" w:num="1"/>
        </w:sectPr>
      </w:pPr>
    </w:p>
    <w:p w14:paraId="54A0B533">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5A7FC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2A847F0">
            <w:pPr>
              <w:pStyle w:val="8"/>
              <w:spacing w:before="267" w:line="221" w:lineRule="auto"/>
              <w:ind w:left="142"/>
            </w:pPr>
            <w:r>
              <w:rPr>
                <w:b/>
                <w:bCs/>
                <w:spacing w:val="-4"/>
              </w:rPr>
              <w:t>序号</w:t>
            </w:r>
          </w:p>
        </w:tc>
        <w:tc>
          <w:tcPr>
            <w:tcW w:w="1136" w:type="dxa"/>
            <w:vMerge w:val="restart"/>
            <w:tcBorders>
              <w:bottom w:val="nil"/>
            </w:tcBorders>
            <w:vAlign w:val="top"/>
          </w:tcPr>
          <w:p w14:paraId="18AAD3F4">
            <w:pPr>
              <w:pStyle w:val="8"/>
              <w:spacing w:before="267" w:line="220" w:lineRule="auto"/>
              <w:ind w:left="208"/>
            </w:pPr>
            <w:r>
              <w:rPr>
                <w:b/>
                <w:bCs/>
                <w:spacing w:val="-4"/>
              </w:rPr>
              <w:t>事项名称</w:t>
            </w:r>
          </w:p>
        </w:tc>
        <w:tc>
          <w:tcPr>
            <w:tcW w:w="1136" w:type="dxa"/>
            <w:vMerge w:val="restart"/>
            <w:tcBorders>
              <w:bottom w:val="nil"/>
            </w:tcBorders>
            <w:vAlign w:val="top"/>
          </w:tcPr>
          <w:p w14:paraId="29C85409">
            <w:pPr>
              <w:pStyle w:val="8"/>
              <w:spacing w:before="267" w:line="219" w:lineRule="auto"/>
              <w:ind w:left="210"/>
            </w:pPr>
            <w:r>
              <w:rPr>
                <w:b/>
                <w:bCs/>
                <w:spacing w:val="-4"/>
              </w:rPr>
              <w:t>职权类型</w:t>
            </w:r>
          </w:p>
        </w:tc>
        <w:tc>
          <w:tcPr>
            <w:tcW w:w="8806" w:type="dxa"/>
            <w:vMerge w:val="restart"/>
            <w:tcBorders>
              <w:bottom w:val="nil"/>
            </w:tcBorders>
            <w:vAlign w:val="top"/>
          </w:tcPr>
          <w:p w14:paraId="11924C4E">
            <w:pPr>
              <w:pStyle w:val="8"/>
              <w:spacing w:before="267" w:line="219" w:lineRule="auto"/>
              <w:ind w:left="4050"/>
            </w:pPr>
            <w:r>
              <w:rPr>
                <w:b/>
                <w:bCs/>
                <w:spacing w:val="-5"/>
              </w:rPr>
              <w:t>实施依据</w:t>
            </w:r>
          </w:p>
        </w:tc>
        <w:tc>
          <w:tcPr>
            <w:tcW w:w="3538" w:type="dxa"/>
            <w:gridSpan w:val="3"/>
            <w:vAlign w:val="top"/>
          </w:tcPr>
          <w:p w14:paraId="5736C380">
            <w:pPr>
              <w:pStyle w:val="8"/>
              <w:spacing w:before="92" w:line="220" w:lineRule="auto"/>
              <w:ind w:left="1415"/>
            </w:pPr>
            <w:r>
              <w:rPr>
                <w:b/>
                <w:bCs/>
                <w:spacing w:val="-5"/>
              </w:rPr>
              <w:t>实施主体</w:t>
            </w:r>
          </w:p>
        </w:tc>
      </w:tr>
      <w:tr w14:paraId="79150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3A44ACE2">
            <w:pPr>
              <w:rPr>
                <w:rFonts w:ascii="Arial"/>
                <w:sz w:val="21"/>
              </w:rPr>
            </w:pPr>
          </w:p>
        </w:tc>
        <w:tc>
          <w:tcPr>
            <w:tcW w:w="1136" w:type="dxa"/>
            <w:vMerge w:val="continue"/>
            <w:tcBorders>
              <w:top w:val="nil"/>
            </w:tcBorders>
            <w:vAlign w:val="top"/>
          </w:tcPr>
          <w:p w14:paraId="4BC4A97C">
            <w:pPr>
              <w:rPr>
                <w:rFonts w:ascii="Arial"/>
                <w:sz w:val="21"/>
              </w:rPr>
            </w:pPr>
          </w:p>
        </w:tc>
        <w:tc>
          <w:tcPr>
            <w:tcW w:w="1136" w:type="dxa"/>
            <w:vMerge w:val="continue"/>
            <w:tcBorders>
              <w:top w:val="nil"/>
            </w:tcBorders>
            <w:vAlign w:val="top"/>
          </w:tcPr>
          <w:p w14:paraId="1E37F94A">
            <w:pPr>
              <w:rPr>
                <w:rFonts w:ascii="Arial"/>
                <w:sz w:val="21"/>
              </w:rPr>
            </w:pPr>
          </w:p>
        </w:tc>
        <w:tc>
          <w:tcPr>
            <w:tcW w:w="8806" w:type="dxa"/>
            <w:vMerge w:val="continue"/>
            <w:tcBorders>
              <w:top w:val="nil"/>
            </w:tcBorders>
            <w:vAlign w:val="top"/>
          </w:tcPr>
          <w:p w14:paraId="29DC063D">
            <w:pPr>
              <w:rPr>
                <w:rFonts w:ascii="Arial"/>
                <w:sz w:val="21"/>
              </w:rPr>
            </w:pPr>
          </w:p>
        </w:tc>
        <w:tc>
          <w:tcPr>
            <w:tcW w:w="1043" w:type="dxa"/>
            <w:vAlign w:val="top"/>
          </w:tcPr>
          <w:p w14:paraId="1E5CA186">
            <w:pPr>
              <w:pStyle w:val="8"/>
              <w:spacing w:before="88" w:line="219" w:lineRule="auto"/>
              <w:ind w:left="171"/>
            </w:pPr>
            <w:r>
              <w:rPr>
                <w:b/>
                <w:bCs/>
                <w:spacing w:val="-5"/>
              </w:rPr>
              <w:t>责任部门</w:t>
            </w:r>
          </w:p>
        </w:tc>
        <w:tc>
          <w:tcPr>
            <w:tcW w:w="1448" w:type="dxa"/>
            <w:vAlign w:val="top"/>
          </w:tcPr>
          <w:p w14:paraId="2CDD5A19">
            <w:pPr>
              <w:pStyle w:val="8"/>
              <w:spacing w:before="88" w:line="219" w:lineRule="auto"/>
              <w:ind w:left="187"/>
            </w:pPr>
            <w:r>
              <w:rPr>
                <w:b/>
                <w:bCs/>
                <w:spacing w:val="-3"/>
              </w:rPr>
              <w:t>第一责任层级</w:t>
            </w:r>
          </w:p>
        </w:tc>
        <w:tc>
          <w:tcPr>
            <w:tcW w:w="1047" w:type="dxa"/>
            <w:vAlign w:val="top"/>
          </w:tcPr>
          <w:p w14:paraId="339D3AF3">
            <w:pPr>
              <w:pStyle w:val="8"/>
              <w:spacing w:before="88" w:line="219" w:lineRule="auto"/>
              <w:ind w:left="165"/>
            </w:pPr>
            <w:r>
              <w:rPr>
                <w:b/>
                <w:bCs/>
                <w:spacing w:val="-4"/>
              </w:rPr>
              <w:t>承办机构</w:t>
            </w:r>
          </w:p>
        </w:tc>
      </w:tr>
      <w:tr w14:paraId="39837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641" w:type="dxa"/>
            <w:vAlign w:val="top"/>
          </w:tcPr>
          <w:p w14:paraId="5DBECA78">
            <w:pPr>
              <w:rPr>
                <w:rFonts w:ascii="Arial"/>
                <w:sz w:val="21"/>
              </w:rPr>
            </w:pPr>
          </w:p>
          <w:p w14:paraId="36E3A2B7">
            <w:pPr>
              <w:rPr>
                <w:rFonts w:ascii="Arial"/>
                <w:sz w:val="21"/>
              </w:rPr>
            </w:pPr>
          </w:p>
          <w:p w14:paraId="6D2877CB">
            <w:pPr>
              <w:rPr>
                <w:rFonts w:ascii="Arial"/>
                <w:sz w:val="21"/>
              </w:rPr>
            </w:pPr>
          </w:p>
          <w:p w14:paraId="15400253">
            <w:pPr>
              <w:spacing w:line="241" w:lineRule="auto"/>
              <w:rPr>
                <w:rFonts w:ascii="Arial"/>
                <w:sz w:val="21"/>
              </w:rPr>
            </w:pPr>
          </w:p>
          <w:p w14:paraId="79F489B8">
            <w:pPr>
              <w:pStyle w:val="8"/>
              <w:spacing w:before="59" w:line="184" w:lineRule="auto"/>
              <w:ind w:left="236"/>
            </w:pPr>
            <w:r>
              <w:rPr>
                <w:spacing w:val="-4"/>
              </w:rPr>
              <w:t>61</w:t>
            </w:r>
          </w:p>
        </w:tc>
        <w:tc>
          <w:tcPr>
            <w:tcW w:w="1136" w:type="dxa"/>
            <w:vAlign w:val="top"/>
          </w:tcPr>
          <w:p w14:paraId="7A77B890">
            <w:pPr>
              <w:pStyle w:val="8"/>
              <w:spacing w:before="39" w:line="241" w:lineRule="auto"/>
              <w:ind w:left="109" w:right="46"/>
            </w:pPr>
            <w:r>
              <w:rPr>
                <w:spacing w:val="-8"/>
              </w:rPr>
              <w:t>对</w:t>
            </w:r>
            <w:r>
              <w:rPr>
                <w:spacing w:val="-13"/>
              </w:rPr>
              <w:t xml:space="preserve"> </w:t>
            </w:r>
            <w:r>
              <w:rPr>
                <w:spacing w:val="-8"/>
              </w:rPr>
              <w:t>移</w:t>
            </w:r>
            <w:r>
              <w:rPr>
                <w:spacing w:val="-12"/>
              </w:rPr>
              <w:t xml:space="preserve"> </w:t>
            </w:r>
            <w:r>
              <w:rPr>
                <w:spacing w:val="-8"/>
              </w:rPr>
              <w:t>动</w:t>
            </w:r>
            <w:r>
              <w:rPr>
                <w:spacing w:val="-17"/>
              </w:rPr>
              <w:t xml:space="preserve"> </w:t>
            </w:r>
            <w:r>
              <w:rPr>
                <w:spacing w:val="-8"/>
              </w:rPr>
              <w:t>平</w:t>
            </w:r>
            <w:r>
              <w:t xml:space="preserve"> </w:t>
            </w:r>
            <w:r>
              <w:rPr>
                <w:spacing w:val="-18"/>
              </w:rPr>
              <w:t>台、浮船坞、</w:t>
            </w:r>
            <w:r>
              <w:rPr>
                <w:spacing w:val="2"/>
              </w:rPr>
              <w:t xml:space="preserve"> </w:t>
            </w:r>
            <w:r>
              <w:rPr>
                <w:spacing w:val="-2"/>
              </w:rPr>
              <w:t>大型船舶、</w:t>
            </w:r>
            <w:r>
              <w:t xml:space="preserve">  </w:t>
            </w:r>
            <w:r>
              <w:rPr>
                <w:spacing w:val="3"/>
              </w:rPr>
              <w:t>水上设施拖</w:t>
            </w:r>
            <w:r>
              <w:rPr>
                <w:spacing w:val="1"/>
              </w:rPr>
              <w:t xml:space="preserve"> </w:t>
            </w:r>
            <w:r>
              <w:rPr>
                <w:spacing w:val="3"/>
              </w:rPr>
              <w:t>带航行，未</w:t>
            </w:r>
            <w:r>
              <w:rPr>
                <w:spacing w:val="1"/>
              </w:rPr>
              <w:t xml:space="preserve"> </w:t>
            </w:r>
            <w:r>
              <w:rPr>
                <w:spacing w:val="3"/>
              </w:rPr>
              <w:t>经船舶检验</w:t>
            </w:r>
            <w:r>
              <w:rPr>
                <w:spacing w:val="1"/>
              </w:rPr>
              <w:t xml:space="preserve"> </w:t>
            </w:r>
            <w:r>
              <w:rPr>
                <w:spacing w:val="3"/>
              </w:rPr>
              <w:t>机构进行拖</w:t>
            </w:r>
            <w:r>
              <w:rPr>
                <w:spacing w:val="1"/>
              </w:rPr>
              <w:t xml:space="preserve"> </w:t>
            </w:r>
            <w:r>
              <w:rPr>
                <w:spacing w:val="3"/>
              </w:rPr>
              <w:t>航检验行为</w:t>
            </w:r>
            <w:r>
              <w:rPr>
                <w:spacing w:val="1"/>
              </w:rPr>
              <w:t xml:space="preserve"> </w:t>
            </w:r>
            <w:r>
              <w:rPr>
                <w:spacing w:val="-4"/>
              </w:rPr>
              <w:t>的行政处罚</w:t>
            </w:r>
          </w:p>
        </w:tc>
        <w:tc>
          <w:tcPr>
            <w:tcW w:w="1136" w:type="dxa"/>
            <w:vAlign w:val="top"/>
          </w:tcPr>
          <w:p w14:paraId="1BCB4EF1">
            <w:pPr>
              <w:spacing w:line="311" w:lineRule="auto"/>
              <w:rPr>
                <w:rFonts w:ascii="Arial"/>
                <w:sz w:val="21"/>
              </w:rPr>
            </w:pPr>
          </w:p>
          <w:p w14:paraId="685E9028">
            <w:pPr>
              <w:spacing w:line="311" w:lineRule="auto"/>
              <w:rPr>
                <w:rFonts w:ascii="Arial"/>
                <w:sz w:val="21"/>
              </w:rPr>
            </w:pPr>
          </w:p>
          <w:p w14:paraId="12CCEBB7">
            <w:pPr>
              <w:spacing w:line="312" w:lineRule="auto"/>
              <w:rPr>
                <w:rFonts w:ascii="Arial"/>
                <w:sz w:val="21"/>
              </w:rPr>
            </w:pPr>
          </w:p>
          <w:p w14:paraId="1B0B2741">
            <w:pPr>
              <w:pStyle w:val="8"/>
              <w:spacing w:before="58" w:line="220" w:lineRule="auto"/>
              <w:ind w:left="114"/>
            </w:pPr>
            <w:r>
              <w:rPr>
                <w:spacing w:val="-7"/>
              </w:rPr>
              <w:t>行政处罚</w:t>
            </w:r>
          </w:p>
        </w:tc>
        <w:tc>
          <w:tcPr>
            <w:tcW w:w="8806" w:type="dxa"/>
            <w:vAlign w:val="top"/>
          </w:tcPr>
          <w:p w14:paraId="58116F17">
            <w:pPr>
              <w:pStyle w:val="8"/>
              <w:spacing w:before="278" w:line="219" w:lineRule="auto"/>
              <w:ind w:left="473"/>
            </w:pPr>
            <w:r>
              <w:rPr>
                <w:b/>
                <w:bCs/>
                <w:spacing w:val="-5"/>
              </w:rPr>
              <w:t>《船舶检验管理规定》（交通运输部令2016年</w:t>
            </w:r>
            <w:r>
              <w:rPr>
                <w:b/>
                <w:bCs/>
                <w:spacing w:val="-6"/>
              </w:rPr>
              <w:t>第2号）</w:t>
            </w:r>
          </w:p>
          <w:p w14:paraId="0FE6DB68">
            <w:pPr>
              <w:pStyle w:val="8"/>
              <w:spacing w:before="26" w:line="233" w:lineRule="auto"/>
              <w:ind w:left="111" w:right="100" w:firstLine="356"/>
            </w:pPr>
            <w:r>
              <w:rPr>
                <w:spacing w:val="-5"/>
              </w:rPr>
              <w:t>第十六条  中华人民共和国管辖水域内对移动式平台、浮船坞和其他大型船舶、水上设施进行拖带航行，起</w:t>
            </w:r>
            <w:r>
              <w:rPr>
                <w:spacing w:val="11"/>
              </w:rPr>
              <w:t xml:space="preserve"> </w:t>
            </w:r>
            <w:r>
              <w:rPr>
                <w:spacing w:val="-4"/>
              </w:rPr>
              <w:t>拖前应当申请拖行检验。</w:t>
            </w:r>
          </w:p>
          <w:p w14:paraId="653E1309">
            <w:pPr>
              <w:pStyle w:val="8"/>
              <w:spacing w:before="24"/>
              <w:ind w:left="111" w:right="100" w:firstLine="356"/>
              <w:jc w:val="both"/>
            </w:pPr>
            <w:r>
              <w:rPr>
                <w:spacing w:val="-5"/>
              </w:rPr>
              <w:t>第五十条</w:t>
            </w:r>
            <w:r>
              <w:rPr>
                <w:spacing w:val="91"/>
              </w:rPr>
              <w:t xml:space="preserve"> </w:t>
            </w:r>
            <w:r>
              <w:rPr>
                <w:spacing w:val="-5"/>
              </w:rPr>
              <w:t>违反本规定第十六条，移动平台、浮船坞、大型船舶、水上设施拖带航行，未经船舶检验机构进</w:t>
            </w:r>
            <w:r>
              <w:t xml:space="preserve"> </w:t>
            </w:r>
            <w:r>
              <w:rPr>
                <w:spacing w:val="-3"/>
              </w:rPr>
              <w:t>行拖航检验，由海事管理机构责令其停止拖航，并对船舶、设施所有人或者经营人处以2000元以上2万元以下罚</w:t>
            </w:r>
            <w:r>
              <w:rPr>
                <w:spacing w:val="11"/>
              </w:rPr>
              <w:t xml:space="preserve"> </w:t>
            </w:r>
            <w:r>
              <w:rPr>
                <w:spacing w:val="-4"/>
              </w:rPr>
              <w:t>款，对船长处以1000元以上1万元以下罚款，并扣留船员适任证书6至12个月，对水上设施</w:t>
            </w:r>
            <w:r>
              <w:rPr>
                <w:spacing w:val="-5"/>
              </w:rPr>
              <w:t>主要负责人处以1000元</w:t>
            </w:r>
            <w:r>
              <w:t xml:space="preserve"> </w:t>
            </w:r>
            <w:r>
              <w:rPr>
                <w:spacing w:val="-4"/>
              </w:rPr>
              <w:t>以上1万元以下罚款。</w:t>
            </w:r>
          </w:p>
        </w:tc>
        <w:tc>
          <w:tcPr>
            <w:tcW w:w="1043" w:type="dxa"/>
            <w:vAlign w:val="top"/>
          </w:tcPr>
          <w:p w14:paraId="6DC6C205">
            <w:pPr>
              <w:spacing w:line="271" w:lineRule="auto"/>
              <w:rPr>
                <w:rFonts w:ascii="Arial"/>
                <w:sz w:val="21"/>
              </w:rPr>
            </w:pPr>
          </w:p>
          <w:p w14:paraId="73EF6B2C">
            <w:pPr>
              <w:spacing w:line="271" w:lineRule="auto"/>
              <w:rPr>
                <w:rFonts w:ascii="Arial"/>
                <w:sz w:val="21"/>
              </w:rPr>
            </w:pPr>
          </w:p>
          <w:p w14:paraId="5F95B2A2">
            <w:pPr>
              <w:spacing w:line="272" w:lineRule="auto"/>
              <w:rPr>
                <w:rFonts w:ascii="Arial"/>
                <w:sz w:val="21"/>
              </w:rPr>
            </w:pPr>
          </w:p>
          <w:p w14:paraId="4EF88D47">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5CA810F5">
            <w:pPr>
              <w:spacing w:line="311" w:lineRule="auto"/>
              <w:rPr>
                <w:rFonts w:ascii="Arial"/>
                <w:sz w:val="21"/>
              </w:rPr>
            </w:pPr>
          </w:p>
          <w:p w14:paraId="47D2778D">
            <w:pPr>
              <w:spacing w:line="311" w:lineRule="auto"/>
              <w:rPr>
                <w:rFonts w:ascii="Arial"/>
                <w:sz w:val="21"/>
              </w:rPr>
            </w:pPr>
          </w:p>
          <w:p w14:paraId="553E2264">
            <w:pPr>
              <w:spacing w:line="312" w:lineRule="auto"/>
              <w:rPr>
                <w:rFonts w:ascii="Arial"/>
                <w:sz w:val="21"/>
              </w:rPr>
            </w:pPr>
          </w:p>
          <w:p w14:paraId="6D2FA6A3">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6A7C9AF">
            <w:pPr>
              <w:spacing w:line="288" w:lineRule="auto"/>
              <w:rPr>
                <w:rFonts w:ascii="Arial"/>
                <w:sz w:val="21"/>
              </w:rPr>
            </w:pPr>
          </w:p>
          <w:p w14:paraId="6938C454">
            <w:pPr>
              <w:spacing w:line="289" w:lineRule="auto"/>
              <w:rPr>
                <w:rFonts w:ascii="Arial"/>
                <w:sz w:val="21"/>
              </w:rPr>
            </w:pPr>
          </w:p>
          <w:p w14:paraId="655527D5">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707D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641" w:type="dxa"/>
            <w:vAlign w:val="top"/>
          </w:tcPr>
          <w:p w14:paraId="63B4DE8C">
            <w:pPr>
              <w:spacing w:line="281" w:lineRule="auto"/>
              <w:rPr>
                <w:rFonts w:ascii="Arial"/>
                <w:sz w:val="21"/>
              </w:rPr>
            </w:pPr>
          </w:p>
          <w:p w14:paraId="64FC7968">
            <w:pPr>
              <w:spacing w:line="281" w:lineRule="auto"/>
              <w:rPr>
                <w:rFonts w:ascii="Arial"/>
                <w:sz w:val="21"/>
              </w:rPr>
            </w:pPr>
          </w:p>
          <w:p w14:paraId="213A2240">
            <w:pPr>
              <w:spacing w:line="281" w:lineRule="auto"/>
              <w:rPr>
                <w:rFonts w:ascii="Arial"/>
                <w:sz w:val="21"/>
              </w:rPr>
            </w:pPr>
          </w:p>
          <w:p w14:paraId="6779E858">
            <w:pPr>
              <w:pStyle w:val="8"/>
              <w:spacing w:before="59" w:line="183" w:lineRule="auto"/>
              <w:ind w:left="236"/>
            </w:pPr>
            <w:r>
              <w:rPr>
                <w:spacing w:val="-4"/>
              </w:rPr>
              <w:t>62</w:t>
            </w:r>
          </w:p>
        </w:tc>
        <w:tc>
          <w:tcPr>
            <w:tcW w:w="1136" w:type="dxa"/>
            <w:vAlign w:val="top"/>
          </w:tcPr>
          <w:p w14:paraId="05BA18C8">
            <w:pPr>
              <w:spacing w:line="338" w:lineRule="auto"/>
              <w:rPr>
                <w:rFonts w:ascii="Arial"/>
                <w:sz w:val="21"/>
              </w:rPr>
            </w:pPr>
          </w:p>
          <w:p w14:paraId="6BB82880">
            <w:pPr>
              <w:pStyle w:val="8"/>
              <w:spacing w:before="59" w:line="241" w:lineRule="auto"/>
              <w:ind w:left="109" w:right="104"/>
              <w:jc w:val="both"/>
            </w:pPr>
            <w:r>
              <w:rPr>
                <w:spacing w:val="3"/>
              </w:rPr>
              <w:t>对试航船舶</w:t>
            </w:r>
            <w:r>
              <w:rPr>
                <w:spacing w:val="1"/>
              </w:rPr>
              <w:t xml:space="preserve"> </w:t>
            </w:r>
            <w:r>
              <w:rPr>
                <w:spacing w:val="3"/>
              </w:rPr>
              <w:t>未经试航检</w:t>
            </w:r>
            <w:r>
              <w:rPr>
                <w:spacing w:val="1"/>
              </w:rPr>
              <w:t xml:space="preserve"> </w:t>
            </w:r>
            <w:r>
              <w:rPr>
                <w:spacing w:val="3"/>
              </w:rPr>
              <w:t>验并持有试</w:t>
            </w:r>
            <w:r>
              <w:rPr>
                <w:spacing w:val="1"/>
              </w:rPr>
              <w:t xml:space="preserve"> </w:t>
            </w:r>
            <w:r>
              <w:rPr>
                <w:spacing w:val="3"/>
              </w:rPr>
              <w:t>航证书行为</w:t>
            </w:r>
            <w:r>
              <w:rPr>
                <w:spacing w:val="1"/>
              </w:rPr>
              <w:t xml:space="preserve"> </w:t>
            </w:r>
            <w:r>
              <w:rPr>
                <w:spacing w:val="-3"/>
              </w:rPr>
              <w:t>的行政处罚</w:t>
            </w:r>
          </w:p>
        </w:tc>
        <w:tc>
          <w:tcPr>
            <w:tcW w:w="1136" w:type="dxa"/>
            <w:vAlign w:val="top"/>
          </w:tcPr>
          <w:p w14:paraId="3C5E971A">
            <w:pPr>
              <w:spacing w:line="271" w:lineRule="auto"/>
              <w:rPr>
                <w:rFonts w:ascii="Arial"/>
                <w:sz w:val="21"/>
              </w:rPr>
            </w:pPr>
          </w:p>
          <w:p w14:paraId="160BF684">
            <w:pPr>
              <w:spacing w:line="272" w:lineRule="auto"/>
              <w:rPr>
                <w:rFonts w:ascii="Arial"/>
                <w:sz w:val="21"/>
              </w:rPr>
            </w:pPr>
          </w:p>
          <w:p w14:paraId="05E83BB5">
            <w:pPr>
              <w:spacing w:line="272" w:lineRule="auto"/>
              <w:rPr>
                <w:rFonts w:ascii="Arial"/>
                <w:sz w:val="21"/>
              </w:rPr>
            </w:pPr>
          </w:p>
          <w:p w14:paraId="2628D97B">
            <w:pPr>
              <w:pStyle w:val="8"/>
              <w:spacing w:before="59" w:line="220" w:lineRule="auto"/>
              <w:ind w:left="114"/>
            </w:pPr>
            <w:r>
              <w:rPr>
                <w:spacing w:val="-7"/>
              </w:rPr>
              <w:t>行政处罚</w:t>
            </w:r>
          </w:p>
        </w:tc>
        <w:tc>
          <w:tcPr>
            <w:tcW w:w="8806" w:type="dxa"/>
            <w:vAlign w:val="top"/>
          </w:tcPr>
          <w:p w14:paraId="2F2010EF">
            <w:pPr>
              <w:pStyle w:val="8"/>
              <w:spacing w:before="38" w:line="219" w:lineRule="auto"/>
              <w:ind w:left="473"/>
            </w:pPr>
            <w:r>
              <w:rPr>
                <w:b/>
                <w:bCs/>
                <w:spacing w:val="-5"/>
              </w:rPr>
              <w:t>《船舶检验管理规定》（交通运输部令2016年</w:t>
            </w:r>
            <w:r>
              <w:rPr>
                <w:b/>
                <w:bCs/>
                <w:spacing w:val="-6"/>
              </w:rPr>
              <w:t>第2号）</w:t>
            </w:r>
          </w:p>
          <w:p w14:paraId="3542FB1F">
            <w:pPr>
              <w:pStyle w:val="8"/>
              <w:spacing w:before="25" w:line="233" w:lineRule="auto"/>
              <w:ind w:left="114" w:right="100" w:firstLine="354"/>
            </w:pPr>
            <w:r>
              <w:rPr>
                <w:spacing w:val="-5"/>
              </w:rPr>
              <w:t>第十七条</w:t>
            </w:r>
            <w:r>
              <w:rPr>
                <w:spacing w:val="91"/>
              </w:rPr>
              <w:t xml:space="preserve"> </w:t>
            </w:r>
            <w:r>
              <w:rPr>
                <w:spacing w:val="-5"/>
              </w:rPr>
              <w:t>船舶试航前，船舶所有人或者经营人应当向国内船舶检验机构申请试航检验，并取得试航检验证</w:t>
            </w:r>
            <w:r>
              <w:t xml:space="preserve"> </w:t>
            </w:r>
            <w:r>
              <w:rPr>
                <w:spacing w:val="-6"/>
              </w:rPr>
              <w:t>书。</w:t>
            </w:r>
          </w:p>
          <w:p w14:paraId="070D3050">
            <w:pPr>
              <w:pStyle w:val="8"/>
              <w:spacing w:before="25" w:line="233" w:lineRule="auto"/>
              <w:ind w:left="114" w:right="100" w:firstLine="370"/>
            </w:pPr>
            <w:r>
              <w:rPr>
                <w:spacing w:val="-5"/>
              </w:rPr>
              <w:t>国内船舶检验机构在签发试航检验证书前，应当按照相关技术检验要求进行检验</w:t>
            </w:r>
            <w:r>
              <w:rPr>
                <w:spacing w:val="-6"/>
              </w:rPr>
              <w:t>，并确认船舶试航状态符合</w:t>
            </w:r>
            <w:r>
              <w:t xml:space="preserve"> </w:t>
            </w:r>
            <w:r>
              <w:rPr>
                <w:spacing w:val="-4"/>
              </w:rPr>
              <w:t>实施船舶图纸审查、建造检验的船舶检验机构批准的船舶配载</w:t>
            </w:r>
            <w:r>
              <w:rPr>
                <w:spacing w:val="-5"/>
              </w:rPr>
              <w:t>及稳性状态。</w:t>
            </w:r>
          </w:p>
          <w:p w14:paraId="251FFEBE">
            <w:pPr>
              <w:pStyle w:val="8"/>
              <w:spacing w:before="26" w:line="231" w:lineRule="auto"/>
              <w:ind w:left="111" w:right="100" w:firstLine="356"/>
            </w:pPr>
            <w:r>
              <w:rPr>
                <w:spacing w:val="-5"/>
              </w:rPr>
              <w:t>第五十一条</w:t>
            </w:r>
            <w:r>
              <w:rPr>
                <w:spacing w:val="91"/>
              </w:rPr>
              <w:t xml:space="preserve"> </w:t>
            </w:r>
            <w:r>
              <w:rPr>
                <w:spacing w:val="-5"/>
              </w:rPr>
              <w:t>违反本规定第十七条规定，试航船舶未经试航检验并持有试航证书的，由海事管理机构责令停</w:t>
            </w:r>
            <w:r>
              <w:t xml:space="preserve"> </w:t>
            </w:r>
            <w:r>
              <w:rPr>
                <w:spacing w:val="-4"/>
              </w:rPr>
              <w:t>止试航，并对船舶所有人或者经营人处以2000元以上2万元以下罚款，对试航船长</w:t>
            </w:r>
            <w:r>
              <w:rPr>
                <w:spacing w:val="-5"/>
              </w:rPr>
              <w:t>处以1000元以上1万元以下罚款</w:t>
            </w:r>
            <w:r>
              <w:t xml:space="preserve"> </w:t>
            </w:r>
            <w:r>
              <w:rPr>
                <w:spacing w:val="-4"/>
              </w:rPr>
              <w:t>并扣留船员适任证书6至12个月。</w:t>
            </w:r>
          </w:p>
        </w:tc>
        <w:tc>
          <w:tcPr>
            <w:tcW w:w="1043" w:type="dxa"/>
            <w:vAlign w:val="top"/>
          </w:tcPr>
          <w:p w14:paraId="72B2F876">
            <w:pPr>
              <w:spacing w:line="348" w:lineRule="auto"/>
              <w:rPr>
                <w:rFonts w:ascii="Arial"/>
                <w:sz w:val="21"/>
              </w:rPr>
            </w:pPr>
          </w:p>
          <w:p w14:paraId="7F1E347C">
            <w:pPr>
              <w:spacing w:line="348" w:lineRule="auto"/>
              <w:rPr>
                <w:rFonts w:ascii="Arial"/>
                <w:sz w:val="21"/>
              </w:rPr>
            </w:pPr>
          </w:p>
          <w:p w14:paraId="089271F0">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922146C">
            <w:pPr>
              <w:spacing w:line="271" w:lineRule="auto"/>
              <w:rPr>
                <w:rFonts w:ascii="Arial"/>
                <w:sz w:val="21"/>
              </w:rPr>
            </w:pPr>
          </w:p>
          <w:p w14:paraId="30E14671">
            <w:pPr>
              <w:spacing w:line="272" w:lineRule="auto"/>
              <w:rPr>
                <w:rFonts w:ascii="Arial"/>
                <w:sz w:val="21"/>
              </w:rPr>
            </w:pPr>
          </w:p>
          <w:p w14:paraId="1000B231">
            <w:pPr>
              <w:spacing w:line="272" w:lineRule="auto"/>
              <w:rPr>
                <w:rFonts w:ascii="Arial"/>
                <w:sz w:val="21"/>
              </w:rPr>
            </w:pPr>
          </w:p>
          <w:p w14:paraId="24C7A682">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93FA62A">
            <w:pPr>
              <w:spacing w:line="459" w:lineRule="auto"/>
              <w:rPr>
                <w:rFonts w:ascii="Arial"/>
                <w:sz w:val="21"/>
              </w:rPr>
            </w:pPr>
          </w:p>
          <w:p w14:paraId="5409360D">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6AB0A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41" w:type="dxa"/>
            <w:vAlign w:val="top"/>
          </w:tcPr>
          <w:p w14:paraId="1452A2F3">
            <w:pPr>
              <w:spacing w:line="242" w:lineRule="auto"/>
              <w:rPr>
                <w:rFonts w:ascii="Arial"/>
                <w:sz w:val="21"/>
              </w:rPr>
            </w:pPr>
          </w:p>
          <w:p w14:paraId="51655D48">
            <w:pPr>
              <w:spacing w:line="242" w:lineRule="auto"/>
              <w:rPr>
                <w:rFonts w:ascii="Arial"/>
                <w:sz w:val="21"/>
              </w:rPr>
            </w:pPr>
          </w:p>
          <w:p w14:paraId="70A3AFF4">
            <w:pPr>
              <w:spacing w:line="243" w:lineRule="auto"/>
              <w:rPr>
                <w:rFonts w:ascii="Arial"/>
                <w:sz w:val="21"/>
              </w:rPr>
            </w:pPr>
          </w:p>
          <w:p w14:paraId="26354E18">
            <w:pPr>
              <w:pStyle w:val="8"/>
              <w:spacing w:before="59" w:line="183" w:lineRule="auto"/>
              <w:ind w:left="236"/>
            </w:pPr>
            <w:r>
              <w:rPr>
                <w:spacing w:val="-4"/>
              </w:rPr>
              <w:t>63</w:t>
            </w:r>
          </w:p>
        </w:tc>
        <w:tc>
          <w:tcPr>
            <w:tcW w:w="1136" w:type="dxa"/>
            <w:vAlign w:val="top"/>
          </w:tcPr>
          <w:p w14:paraId="6449A351">
            <w:pPr>
              <w:pStyle w:val="8"/>
              <w:spacing w:before="42" w:line="239" w:lineRule="auto"/>
              <w:ind w:left="109" w:right="104"/>
              <w:jc w:val="both"/>
            </w:pPr>
            <w:r>
              <w:rPr>
                <w:spacing w:val="3"/>
              </w:rPr>
              <w:t>对报废船舶</w:t>
            </w:r>
            <w:r>
              <w:rPr>
                <w:spacing w:val="1"/>
              </w:rPr>
              <w:t xml:space="preserve"> </w:t>
            </w:r>
            <w:r>
              <w:rPr>
                <w:spacing w:val="3"/>
              </w:rPr>
              <w:t>的所有人或</w:t>
            </w:r>
            <w:r>
              <w:rPr>
                <w:spacing w:val="1"/>
              </w:rPr>
              <w:t xml:space="preserve"> </w:t>
            </w:r>
            <w:r>
              <w:rPr>
                <w:spacing w:val="3"/>
              </w:rPr>
              <w:t>者经营人未</w:t>
            </w:r>
            <w:r>
              <w:rPr>
                <w:spacing w:val="1"/>
              </w:rPr>
              <w:t xml:space="preserve"> </w:t>
            </w:r>
            <w:r>
              <w:rPr>
                <w:spacing w:val="3"/>
              </w:rPr>
              <w:t>向船舶检验</w:t>
            </w:r>
            <w:r>
              <w:rPr>
                <w:spacing w:val="1"/>
              </w:rPr>
              <w:t xml:space="preserve"> </w:t>
            </w:r>
            <w:r>
              <w:rPr>
                <w:spacing w:val="3"/>
              </w:rPr>
              <w:t>机构报告行</w:t>
            </w:r>
            <w:r>
              <w:rPr>
                <w:spacing w:val="1"/>
              </w:rPr>
              <w:t xml:space="preserve"> </w:t>
            </w:r>
            <w:r>
              <w:rPr>
                <w:spacing w:val="3"/>
              </w:rPr>
              <w:t>为的行政处</w:t>
            </w:r>
            <w:r>
              <w:rPr>
                <w:spacing w:val="1"/>
              </w:rPr>
              <w:t xml:space="preserve"> </w:t>
            </w:r>
            <w:r>
              <w:t>罚</w:t>
            </w:r>
          </w:p>
        </w:tc>
        <w:tc>
          <w:tcPr>
            <w:tcW w:w="1136" w:type="dxa"/>
            <w:vAlign w:val="top"/>
          </w:tcPr>
          <w:p w14:paraId="65C4BCB0">
            <w:pPr>
              <w:spacing w:line="349" w:lineRule="auto"/>
              <w:rPr>
                <w:rFonts w:ascii="Arial"/>
                <w:sz w:val="21"/>
              </w:rPr>
            </w:pPr>
          </w:p>
          <w:p w14:paraId="2719117E">
            <w:pPr>
              <w:spacing w:line="350" w:lineRule="auto"/>
              <w:rPr>
                <w:rFonts w:ascii="Arial"/>
                <w:sz w:val="21"/>
              </w:rPr>
            </w:pPr>
          </w:p>
          <w:p w14:paraId="36BE4CF2">
            <w:pPr>
              <w:pStyle w:val="8"/>
              <w:spacing w:before="58" w:line="220" w:lineRule="auto"/>
              <w:ind w:left="114"/>
            </w:pPr>
            <w:r>
              <w:rPr>
                <w:spacing w:val="-7"/>
              </w:rPr>
              <w:t>行政处罚</w:t>
            </w:r>
          </w:p>
        </w:tc>
        <w:tc>
          <w:tcPr>
            <w:tcW w:w="8806" w:type="dxa"/>
            <w:vAlign w:val="top"/>
          </w:tcPr>
          <w:p w14:paraId="779878E7">
            <w:pPr>
              <w:pStyle w:val="8"/>
              <w:spacing w:before="281" w:line="219" w:lineRule="auto"/>
              <w:ind w:left="473"/>
            </w:pPr>
            <w:r>
              <w:rPr>
                <w:b/>
                <w:bCs/>
                <w:spacing w:val="-5"/>
              </w:rPr>
              <w:t>《船舶检验管理规定》（交通运输部令2016年</w:t>
            </w:r>
            <w:r>
              <w:rPr>
                <w:b/>
                <w:bCs/>
                <w:spacing w:val="-6"/>
              </w:rPr>
              <w:t>第2号）</w:t>
            </w:r>
          </w:p>
          <w:p w14:paraId="65DD7827">
            <w:pPr>
              <w:pStyle w:val="8"/>
              <w:spacing w:before="25" w:line="233" w:lineRule="auto"/>
              <w:ind w:left="109" w:right="100" w:firstLine="358"/>
            </w:pPr>
            <w:r>
              <w:rPr>
                <w:spacing w:val="-5"/>
              </w:rPr>
              <w:t>第三十九条  中国籍船舶、水上设施报废的，其所有人或者经营人应当报告国内船舶检验机构，国内船舶检</w:t>
            </w:r>
            <w:r>
              <w:rPr>
                <w:spacing w:val="11"/>
              </w:rPr>
              <w:t xml:space="preserve"> </w:t>
            </w:r>
            <w:r>
              <w:rPr>
                <w:spacing w:val="-4"/>
              </w:rPr>
              <w:t>验机构应当注销检验证书。</w:t>
            </w:r>
          </w:p>
          <w:p w14:paraId="52780BDF">
            <w:pPr>
              <w:pStyle w:val="8"/>
              <w:spacing w:before="27" w:line="233" w:lineRule="auto"/>
              <w:ind w:left="112" w:right="100" w:firstLine="355"/>
            </w:pPr>
            <w:r>
              <w:rPr>
                <w:spacing w:val="-5"/>
              </w:rPr>
              <w:t>第五十三条</w:t>
            </w:r>
            <w:r>
              <w:rPr>
                <w:spacing w:val="91"/>
              </w:rPr>
              <w:t xml:space="preserve"> </w:t>
            </w:r>
            <w:r>
              <w:rPr>
                <w:spacing w:val="-5"/>
              </w:rPr>
              <w:t>违反本规定第三十九条，报废船舶的所有人或者经营人未向船舶检验机构报告，由海事管理机</w:t>
            </w:r>
            <w:r>
              <w:t xml:space="preserve"> </w:t>
            </w:r>
            <w:r>
              <w:rPr>
                <w:spacing w:val="-4"/>
              </w:rPr>
              <w:t>构对其所有人或者经营人处以5000元以上3万元以下罚款</w:t>
            </w:r>
          </w:p>
        </w:tc>
        <w:tc>
          <w:tcPr>
            <w:tcW w:w="1043" w:type="dxa"/>
            <w:vAlign w:val="top"/>
          </w:tcPr>
          <w:p w14:paraId="46340D86">
            <w:pPr>
              <w:spacing w:line="289" w:lineRule="auto"/>
              <w:rPr>
                <w:rFonts w:ascii="Arial"/>
                <w:sz w:val="21"/>
              </w:rPr>
            </w:pPr>
          </w:p>
          <w:p w14:paraId="74C22463">
            <w:pPr>
              <w:spacing w:line="290" w:lineRule="auto"/>
              <w:rPr>
                <w:rFonts w:ascii="Arial"/>
                <w:sz w:val="21"/>
              </w:rPr>
            </w:pPr>
          </w:p>
          <w:p w14:paraId="0F990061">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3012513C">
            <w:pPr>
              <w:spacing w:line="349" w:lineRule="auto"/>
              <w:rPr>
                <w:rFonts w:ascii="Arial"/>
                <w:sz w:val="21"/>
              </w:rPr>
            </w:pPr>
          </w:p>
          <w:p w14:paraId="0B76C00E">
            <w:pPr>
              <w:spacing w:line="350" w:lineRule="auto"/>
              <w:rPr>
                <w:rFonts w:ascii="Arial"/>
                <w:sz w:val="21"/>
              </w:rPr>
            </w:pPr>
          </w:p>
          <w:p w14:paraId="2E158118">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259FC3A">
            <w:pPr>
              <w:spacing w:line="342" w:lineRule="auto"/>
              <w:rPr>
                <w:rFonts w:ascii="Arial"/>
                <w:sz w:val="21"/>
              </w:rPr>
            </w:pPr>
          </w:p>
          <w:p w14:paraId="43732F46">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0DFC8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0" w:hRule="atLeast"/>
        </w:trPr>
        <w:tc>
          <w:tcPr>
            <w:tcW w:w="641" w:type="dxa"/>
            <w:vAlign w:val="top"/>
          </w:tcPr>
          <w:p w14:paraId="613CFED5">
            <w:pPr>
              <w:spacing w:line="284" w:lineRule="auto"/>
              <w:rPr>
                <w:rFonts w:ascii="Arial"/>
                <w:sz w:val="21"/>
              </w:rPr>
            </w:pPr>
          </w:p>
          <w:p w14:paraId="729B4CBB">
            <w:pPr>
              <w:spacing w:line="285" w:lineRule="auto"/>
              <w:rPr>
                <w:rFonts w:ascii="Arial"/>
                <w:sz w:val="21"/>
              </w:rPr>
            </w:pPr>
          </w:p>
          <w:p w14:paraId="7D7967A3">
            <w:pPr>
              <w:spacing w:line="285" w:lineRule="auto"/>
              <w:rPr>
                <w:rFonts w:ascii="Arial"/>
                <w:sz w:val="21"/>
              </w:rPr>
            </w:pPr>
          </w:p>
          <w:p w14:paraId="2BF22506">
            <w:pPr>
              <w:spacing w:line="285" w:lineRule="auto"/>
              <w:rPr>
                <w:rFonts w:ascii="Arial"/>
                <w:sz w:val="21"/>
              </w:rPr>
            </w:pPr>
          </w:p>
          <w:p w14:paraId="2F1635A1">
            <w:pPr>
              <w:spacing w:line="285" w:lineRule="auto"/>
              <w:rPr>
                <w:rFonts w:ascii="Arial"/>
                <w:sz w:val="21"/>
              </w:rPr>
            </w:pPr>
          </w:p>
          <w:p w14:paraId="6F0D4570">
            <w:pPr>
              <w:pStyle w:val="8"/>
              <w:spacing w:before="59" w:line="183" w:lineRule="auto"/>
              <w:ind w:left="236"/>
            </w:pPr>
            <w:r>
              <w:rPr>
                <w:spacing w:val="-4"/>
              </w:rPr>
              <w:t>64</w:t>
            </w:r>
          </w:p>
        </w:tc>
        <w:tc>
          <w:tcPr>
            <w:tcW w:w="1136" w:type="dxa"/>
            <w:vAlign w:val="top"/>
          </w:tcPr>
          <w:p w14:paraId="62DF0A8E">
            <w:pPr>
              <w:spacing w:line="306" w:lineRule="auto"/>
              <w:rPr>
                <w:rFonts w:ascii="Arial"/>
                <w:sz w:val="21"/>
              </w:rPr>
            </w:pPr>
          </w:p>
          <w:p w14:paraId="1A13FE7B">
            <w:pPr>
              <w:spacing w:line="307" w:lineRule="auto"/>
              <w:rPr>
                <w:rFonts w:ascii="Arial"/>
                <w:sz w:val="21"/>
              </w:rPr>
            </w:pPr>
          </w:p>
          <w:p w14:paraId="7FD08FE3">
            <w:pPr>
              <w:spacing w:line="307" w:lineRule="auto"/>
              <w:rPr>
                <w:rFonts w:ascii="Arial"/>
                <w:sz w:val="21"/>
              </w:rPr>
            </w:pPr>
          </w:p>
          <w:p w14:paraId="320DAFFD">
            <w:pPr>
              <w:pStyle w:val="8"/>
              <w:spacing w:before="58" w:line="241" w:lineRule="auto"/>
              <w:ind w:left="108" w:right="104"/>
              <w:jc w:val="both"/>
            </w:pPr>
            <w:r>
              <w:rPr>
                <w:spacing w:val="3"/>
              </w:rPr>
              <w:t>对弄虚作假</w:t>
            </w:r>
            <w:r>
              <w:rPr>
                <w:spacing w:val="1"/>
              </w:rPr>
              <w:t xml:space="preserve"> </w:t>
            </w:r>
            <w:r>
              <w:rPr>
                <w:spacing w:val="3"/>
              </w:rPr>
              <w:t>欺骗海事行</w:t>
            </w:r>
            <w:r>
              <w:rPr>
                <w:spacing w:val="2"/>
              </w:rPr>
              <w:t xml:space="preserve"> </w:t>
            </w:r>
            <w:r>
              <w:rPr>
                <w:spacing w:val="3"/>
              </w:rPr>
              <w:t>政执法人员</w:t>
            </w:r>
            <w:r>
              <w:rPr>
                <w:spacing w:val="2"/>
              </w:rPr>
              <w:t xml:space="preserve"> </w:t>
            </w:r>
            <w:r>
              <w:rPr>
                <w:spacing w:val="3"/>
              </w:rPr>
              <w:t>等行为的行</w:t>
            </w:r>
            <w:r>
              <w:rPr>
                <w:spacing w:val="2"/>
              </w:rPr>
              <w:t xml:space="preserve"> </w:t>
            </w:r>
            <w:r>
              <w:rPr>
                <w:spacing w:val="-4"/>
              </w:rPr>
              <w:t>政处罚</w:t>
            </w:r>
          </w:p>
        </w:tc>
        <w:tc>
          <w:tcPr>
            <w:tcW w:w="1136" w:type="dxa"/>
            <w:vAlign w:val="top"/>
          </w:tcPr>
          <w:p w14:paraId="1B9ECF91">
            <w:pPr>
              <w:spacing w:line="279" w:lineRule="auto"/>
              <w:rPr>
                <w:rFonts w:ascii="Arial"/>
                <w:sz w:val="21"/>
              </w:rPr>
            </w:pPr>
          </w:p>
          <w:p w14:paraId="0E5B6705">
            <w:pPr>
              <w:spacing w:line="279" w:lineRule="auto"/>
              <w:rPr>
                <w:rFonts w:ascii="Arial"/>
                <w:sz w:val="21"/>
              </w:rPr>
            </w:pPr>
          </w:p>
          <w:p w14:paraId="68D13E93">
            <w:pPr>
              <w:spacing w:line="279" w:lineRule="auto"/>
              <w:rPr>
                <w:rFonts w:ascii="Arial"/>
                <w:sz w:val="21"/>
              </w:rPr>
            </w:pPr>
          </w:p>
          <w:p w14:paraId="7295A31F">
            <w:pPr>
              <w:spacing w:line="279" w:lineRule="auto"/>
              <w:rPr>
                <w:rFonts w:ascii="Arial"/>
                <w:sz w:val="21"/>
              </w:rPr>
            </w:pPr>
          </w:p>
          <w:p w14:paraId="5143D638">
            <w:pPr>
              <w:spacing w:line="280" w:lineRule="auto"/>
              <w:rPr>
                <w:rFonts w:ascii="Arial"/>
                <w:sz w:val="21"/>
              </w:rPr>
            </w:pPr>
          </w:p>
          <w:p w14:paraId="2D94E781">
            <w:pPr>
              <w:pStyle w:val="8"/>
              <w:spacing w:before="59" w:line="220" w:lineRule="auto"/>
              <w:ind w:left="114"/>
            </w:pPr>
            <w:r>
              <w:rPr>
                <w:spacing w:val="-7"/>
              </w:rPr>
              <w:t>行政处罚</w:t>
            </w:r>
          </w:p>
        </w:tc>
        <w:tc>
          <w:tcPr>
            <w:tcW w:w="8806" w:type="dxa"/>
            <w:vAlign w:val="top"/>
          </w:tcPr>
          <w:p w14:paraId="6DC09E0A">
            <w:pPr>
              <w:pStyle w:val="8"/>
              <w:spacing w:before="143" w:line="219" w:lineRule="auto"/>
              <w:ind w:left="473"/>
            </w:pPr>
            <w:r>
              <w:rPr>
                <w:b/>
                <w:bCs/>
                <w:spacing w:val="-3"/>
              </w:rPr>
              <w:t>《中华人民共和国船舶安全监督规则》（交通运</w:t>
            </w:r>
            <w:r>
              <w:rPr>
                <w:b/>
                <w:bCs/>
                <w:spacing w:val="-4"/>
              </w:rPr>
              <w:t>输部令2022年第27号）</w:t>
            </w:r>
          </w:p>
          <w:p w14:paraId="04A9C2DF">
            <w:pPr>
              <w:pStyle w:val="8"/>
              <w:spacing w:before="28" w:line="239" w:lineRule="auto"/>
              <w:ind w:left="111" w:right="31" w:firstLine="356"/>
            </w:pPr>
            <w:r>
              <w:rPr>
                <w:spacing w:val="-2"/>
              </w:rPr>
              <w:t>第二十七条  海事行政执法人员在船舶安全监督过程中发现船舶存在缺陷的，应当按照相关</w:t>
            </w:r>
            <w:r>
              <w:rPr>
                <w:spacing w:val="-3"/>
              </w:rPr>
              <w:t>法律、法规、</w:t>
            </w:r>
            <w:r>
              <w:t xml:space="preserve">  规章和公约的规定，提出下列处理意见</w:t>
            </w:r>
            <w:r>
              <w:rPr>
                <w:spacing w:val="-16"/>
              </w:rPr>
              <w:t>：（</w:t>
            </w:r>
            <w:r>
              <w:t>一）警示教育</w:t>
            </w:r>
            <w:r>
              <w:rPr>
                <w:spacing w:val="-16"/>
              </w:rPr>
              <w:t>；（</w:t>
            </w:r>
            <w:r>
              <w:t>二）开航前纠正缺陷</w:t>
            </w:r>
            <w:r>
              <w:rPr>
                <w:spacing w:val="-16"/>
              </w:rPr>
              <w:t>；（</w:t>
            </w:r>
            <w:r>
              <w:rPr>
                <w:spacing w:val="-1"/>
              </w:rPr>
              <w:t>三）在开航后限定的期</w:t>
            </w:r>
            <w:r>
              <w:rPr>
                <w:spacing w:val="1"/>
              </w:rPr>
              <w:t xml:space="preserve">  限内纠正缺陷</w:t>
            </w:r>
            <w:r>
              <w:rPr>
                <w:spacing w:val="-37"/>
              </w:rPr>
              <w:t>；（</w:t>
            </w:r>
            <w:r>
              <w:rPr>
                <w:spacing w:val="1"/>
              </w:rPr>
              <w:t>四）滞留</w:t>
            </w:r>
            <w:r>
              <w:rPr>
                <w:spacing w:val="-37"/>
              </w:rPr>
              <w:t>；（</w:t>
            </w:r>
            <w:r>
              <w:rPr>
                <w:spacing w:val="1"/>
              </w:rPr>
              <w:t>五）禁止船舶进港</w:t>
            </w:r>
            <w:r>
              <w:rPr>
                <w:spacing w:val="-37"/>
              </w:rPr>
              <w:t>；（</w:t>
            </w:r>
            <w:r>
              <w:rPr>
                <w:spacing w:val="1"/>
              </w:rPr>
              <w:t>六）限制船舶</w:t>
            </w:r>
            <w:r>
              <w:t>操作</w:t>
            </w:r>
            <w:r>
              <w:rPr>
                <w:spacing w:val="-37"/>
              </w:rPr>
              <w:t>；（</w:t>
            </w:r>
            <w:r>
              <w:t>七）责令船舶驶向指定区域</w:t>
            </w:r>
            <w:r>
              <w:rPr>
                <w:spacing w:val="-37"/>
              </w:rPr>
              <w:t>；（</w:t>
            </w:r>
            <w:r>
              <w:t>八）</w:t>
            </w:r>
            <w:r>
              <w:rPr>
                <w:spacing w:val="3"/>
              </w:rPr>
              <w:t xml:space="preserve"> </w:t>
            </w:r>
            <w:r>
              <w:rPr>
                <w:spacing w:val="-3"/>
              </w:rPr>
              <w:t>责令船舶离港。</w:t>
            </w:r>
          </w:p>
          <w:p w14:paraId="3BA92BAC">
            <w:pPr>
              <w:pStyle w:val="8"/>
              <w:spacing w:before="27" w:line="239" w:lineRule="auto"/>
              <w:ind w:left="110" w:right="151" w:firstLine="357"/>
            </w:pPr>
            <w:r>
              <w:t>第三十条  由于存在缺陷，被采取本规则第二十七条第（四</w:t>
            </w:r>
            <w:r>
              <w:rPr>
                <w:spacing w:val="-15"/>
              </w:rPr>
              <w:t>）（</w:t>
            </w:r>
            <w:r>
              <w:t>五</w:t>
            </w:r>
            <w:r>
              <w:rPr>
                <w:spacing w:val="-15"/>
              </w:rPr>
              <w:t>）（</w:t>
            </w:r>
            <w:r>
              <w:t>六</w:t>
            </w:r>
            <w:r>
              <w:rPr>
                <w:spacing w:val="-15"/>
              </w:rPr>
              <w:t>）（</w:t>
            </w:r>
            <w:r>
              <w:rPr>
                <w:spacing w:val="-1"/>
              </w:rPr>
              <w:t>八）项措施的船舶，应当在</w:t>
            </w:r>
            <w:r>
              <w:rPr>
                <w:spacing w:val="2"/>
              </w:rPr>
              <w:t xml:space="preserve"> </w:t>
            </w:r>
            <w:r>
              <w:rPr>
                <w:spacing w:val="-2"/>
              </w:rPr>
              <w:t>相应的缺陷纠正后向海事管理机构申请复查。被采取其他措施的船舶，可以在相应缺陷纠正后向</w:t>
            </w:r>
            <w:r>
              <w:rPr>
                <w:spacing w:val="-3"/>
              </w:rPr>
              <w:t>海事管理机构</w:t>
            </w:r>
            <w:r>
              <w:t xml:space="preserve"> </w:t>
            </w:r>
            <w:r>
              <w:rPr>
                <w:spacing w:val="-2"/>
              </w:rPr>
              <w:t>申请复查，不申请复查的，在下次船舶安全检查时由海事管理机构进行复查。海事管理机构收到</w:t>
            </w:r>
            <w:r>
              <w:rPr>
                <w:spacing w:val="-3"/>
              </w:rPr>
              <w:t>复查申请后，</w:t>
            </w:r>
            <w:r>
              <w:t xml:space="preserve"> </w:t>
            </w:r>
            <w:r>
              <w:rPr>
                <w:spacing w:val="-2"/>
              </w:rPr>
              <w:t>决定不予本港复查的，应当及时通知申请人在下次船舶安全检查时</w:t>
            </w:r>
            <w:r>
              <w:rPr>
                <w:spacing w:val="-3"/>
              </w:rPr>
              <w:t>接受复查。</w:t>
            </w:r>
          </w:p>
          <w:p w14:paraId="2D00A466">
            <w:pPr>
              <w:pStyle w:val="8"/>
              <w:spacing w:before="26" w:line="219" w:lineRule="auto"/>
              <w:ind w:left="473"/>
            </w:pPr>
            <w:r>
              <w:rPr>
                <w:spacing w:val="-3"/>
              </w:rPr>
              <w:t>复查合格的，海事管理机构应当及时解除相应的处理措施。</w:t>
            </w:r>
          </w:p>
          <w:p w14:paraId="7B92F7E4">
            <w:pPr>
              <w:pStyle w:val="8"/>
              <w:spacing w:before="27" w:line="232" w:lineRule="auto"/>
              <w:ind w:left="114" w:right="103" w:firstLine="354"/>
            </w:pPr>
            <w:r>
              <w:rPr>
                <w:spacing w:val="-1"/>
              </w:rPr>
              <w:t>第三十四条第一款  船舶以及相关人员，应当按照海事管理机构签发的《船舶现场监督报告》</w:t>
            </w:r>
            <w:r>
              <w:rPr>
                <w:spacing w:val="-2"/>
              </w:rPr>
              <w:t>《船旗国监</w:t>
            </w:r>
            <w:r>
              <w:t xml:space="preserve"> </w:t>
            </w:r>
            <w:r>
              <w:rPr>
                <w:spacing w:val="-2"/>
              </w:rPr>
              <w:t>督检查报告》《港口国监督检查报告》等的要求，对存</w:t>
            </w:r>
            <w:r>
              <w:rPr>
                <w:spacing w:val="-3"/>
              </w:rPr>
              <w:t>在的缺陷进行纠正。</w:t>
            </w:r>
          </w:p>
        </w:tc>
        <w:tc>
          <w:tcPr>
            <w:tcW w:w="1043" w:type="dxa"/>
            <w:vAlign w:val="top"/>
          </w:tcPr>
          <w:p w14:paraId="7AB1F86B">
            <w:pPr>
              <w:spacing w:line="255" w:lineRule="auto"/>
              <w:rPr>
                <w:rFonts w:ascii="Arial"/>
                <w:sz w:val="21"/>
              </w:rPr>
            </w:pPr>
          </w:p>
          <w:p w14:paraId="622A6348">
            <w:pPr>
              <w:spacing w:line="255" w:lineRule="auto"/>
              <w:rPr>
                <w:rFonts w:ascii="Arial"/>
                <w:sz w:val="21"/>
              </w:rPr>
            </w:pPr>
          </w:p>
          <w:p w14:paraId="004771C8">
            <w:pPr>
              <w:spacing w:line="255" w:lineRule="auto"/>
              <w:rPr>
                <w:rFonts w:ascii="Arial"/>
                <w:sz w:val="21"/>
              </w:rPr>
            </w:pPr>
          </w:p>
          <w:p w14:paraId="5CCA2297">
            <w:pPr>
              <w:spacing w:line="255" w:lineRule="auto"/>
              <w:rPr>
                <w:rFonts w:ascii="Arial"/>
                <w:sz w:val="21"/>
              </w:rPr>
            </w:pPr>
          </w:p>
          <w:p w14:paraId="45BDCF04">
            <w:pPr>
              <w:spacing w:line="256" w:lineRule="auto"/>
              <w:rPr>
                <w:rFonts w:ascii="Arial"/>
                <w:sz w:val="21"/>
              </w:rPr>
            </w:pPr>
          </w:p>
          <w:p w14:paraId="2D382050">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0C1CBBA7">
            <w:pPr>
              <w:spacing w:line="279" w:lineRule="auto"/>
              <w:rPr>
                <w:rFonts w:ascii="Arial"/>
                <w:sz w:val="21"/>
              </w:rPr>
            </w:pPr>
          </w:p>
          <w:p w14:paraId="4FD7425A">
            <w:pPr>
              <w:spacing w:line="279" w:lineRule="auto"/>
              <w:rPr>
                <w:rFonts w:ascii="Arial"/>
                <w:sz w:val="21"/>
              </w:rPr>
            </w:pPr>
          </w:p>
          <w:p w14:paraId="54285164">
            <w:pPr>
              <w:spacing w:line="279" w:lineRule="auto"/>
              <w:rPr>
                <w:rFonts w:ascii="Arial"/>
                <w:sz w:val="21"/>
              </w:rPr>
            </w:pPr>
          </w:p>
          <w:p w14:paraId="295120D6">
            <w:pPr>
              <w:spacing w:line="279" w:lineRule="auto"/>
              <w:rPr>
                <w:rFonts w:ascii="Arial"/>
                <w:sz w:val="21"/>
              </w:rPr>
            </w:pPr>
          </w:p>
          <w:p w14:paraId="15EC9184">
            <w:pPr>
              <w:spacing w:line="280" w:lineRule="auto"/>
              <w:rPr>
                <w:rFonts w:ascii="Arial"/>
                <w:sz w:val="21"/>
              </w:rPr>
            </w:pPr>
          </w:p>
          <w:p w14:paraId="52C88841">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D7301DF">
            <w:pPr>
              <w:spacing w:line="259" w:lineRule="auto"/>
              <w:rPr>
                <w:rFonts w:ascii="Arial"/>
                <w:sz w:val="21"/>
              </w:rPr>
            </w:pPr>
          </w:p>
          <w:p w14:paraId="0DA0E71D">
            <w:pPr>
              <w:spacing w:line="260" w:lineRule="auto"/>
              <w:rPr>
                <w:rFonts w:ascii="Arial"/>
                <w:sz w:val="21"/>
              </w:rPr>
            </w:pPr>
          </w:p>
          <w:p w14:paraId="0C2F29F3">
            <w:pPr>
              <w:spacing w:line="260" w:lineRule="auto"/>
              <w:rPr>
                <w:rFonts w:ascii="Arial"/>
                <w:sz w:val="21"/>
              </w:rPr>
            </w:pPr>
          </w:p>
          <w:p w14:paraId="3963E933">
            <w:pPr>
              <w:spacing w:line="260" w:lineRule="auto"/>
              <w:rPr>
                <w:rFonts w:ascii="Arial"/>
                <w:sz w:val="21"/>
              </w:rPr>
            </w:pPr>
          </w:p>
          <w:p w14:paraId="13387B93">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202B3548">
      <w:pPr>
        <w:pStyle w:val="2"/>
        <w:spacing w:line="203" w:lineRule="exact"/>
        <w:rPr>
          <w:sz w:val="17"/>
        </w:rPr>
      </w:pPr>
    </w:p>
    <w:p w14:paraId="0F0062A5">
      <w:pPr>
        <w:spacing w:line="203" w:lineRule="exact"/>
        <w:rPr>
          <w:sz w:val="17"/>
          <w:szCs w:val="17"/>
        </w:rPr>
        <w:sectPr>
          <w:footerReference r:id="rId198" w:type="default"/>
          <w:pgSz w:w="16839" w:h="11906"/>
          <w:pgMar w:top="1012" w:right="788" w:bottom="966" w:left="787" w:header="0" w:footer="768" w:gutter="0"/>
          <w:cols w:space="720" w:num="1"/>
        </w:sectPr>
      </w:pPr>
    </w:p>
    <w:p w14:paraId="52BC372F">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2EB64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40ED087F">
            <w:pPr>
              <w:pStyle w:val="8"/>
              <w:spacing w:before="267" w:line="221" w:lineRule="auto"/>
              <w:ind w:left="142"/>
            </w:pPr>
            <w:r>
              <w:rPr>
                <w:b/>
                <w:bCs/>
                <w:spacing w:val="-4"/>
              </w:rPr>
              <w:t>序号</w:t>
            </w:r>
          </w:p>
        </w:tc>
        <w:tc>
          <w:tcPr>
            <w:tcW w:w="1136" w:type="dxa"/>
            <w:vMerge w:val="restart"/>
            <w:tcBorders>
              <w:bottom w:val="nil"/>
            </w:tcBorders>
            <w:vAlign w:val="top"/>
          </w:tcPr>
          <w:p w14:paraId="1735DED6">
            <w:pPr>
              <w:pStyle w:val="8"/>
              <w:spacing w:before="267" w:line="220" w:lineRule="auto"/>
              <w:ind w:left="208"/>
            </w:pPr>
            <w:r>
              <w:rPr>
                <w:b/>
                <w:bCs/>
                <w:spacing w:val="-4"/>
              </w:rPr>
              <w:t>事项名称</w:t>
            </w:r>
          </w:p>
        </w:tc>
        <w:tc>
          <w:tcPr>
            <w:tcW w:w="1136" w:type="dxa"/>
            <w:vMerge w:val="restart"/>
            <w:tcBorders>
              <w:bottom w:val="nil"/>
            </w:tcBorders>
            <w:vAlign w:val="top"/>
          </w:tcPr>
          <w:p w14:paraId="7FA59CEB">
            <w:pPr>
              <w:pStyle w:val="8"/>
              <w:spacing w:before="267" w:line="219" w:lineRule="auto"/>
              <w:ind w:left="210"/>
            </w:pPr>
            <w:r>
              <w:rPr>
                <w:b/>
                <w:bCs/>
                <w:spacing w:val="-4"/>
              </w:rPr>
              <w:t>职权类型</w:t>
            </w:r>
          </w:p>
        </w:tc>
        <w:tc>
          <w:tcPr>
            <w:tcW w:w="8806" w:type="dxa"/>
            <w:vMerge w:val="restart"/>
            <w:tcBorders>
              <w:bottom w:val="nil"/>
            </w:tcBorders>
            <w:vAlign w:val="top"/>
          </w:tcPr>
          <w:p w14:paraId="68315A73">
            <w:pPr>
              <w:pStyle w:val="8"/>
              <w:spacing w:before="267" w:line="219" w:lineRule="auto"/>
              <w:ind w:left="4050"/>
            </w:pPr>
            <w:r>
              <w:rPr>
                <w:b/>
                <w:bCs/>
                <w:spacing w:val="-5"/>
              </w:rPr>
              <w:t>实施依据</w:t>
            </w:r>
          </w:p>
        </w:tc>
        <w:tc>
          <w:tcPr>
            <w:tcW w:w="3538" w:type="dxa"/>
            <w:gridSpan w:val="3"/>
            <w:vAlign w:val="top"/>
          </w:tcPr>
          <w:p w14:paraId="5974D9B4">
            <w:pPr>
              <w:pStyle w:val="8"/>
              <w:spacing w:before="92" w:line="220" w:lineRule="auto"/>
              <w:ind w:left="1415"/>
            </w:pPr>
            <w:r>
              <w:rPr>
                <w:b/>
                <w:bCs/>
                <w:spacing w:val="-5"/>
              </w:rPr>
              <w:t>实施主体</w:t>
            </w:r>
          </w:p>
        </w:tc>
      </w:tr>
      <w:tr w14:paraId="615B0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6B2CBE2D">
            <w:pPr>
              <w:rPr>
                <w:rFonts w:ascii="Arial"/>
                <w:sz w:val="21"/>
              </w:rPr>
            </w:pPr>
          </w:p>
        </w:tc>
        <w:tc>
          <w:tcPr>
            <w:tcW w:w="1136" w:type="dxa"/>
            <w:vMerge w:val="continue"/>
            <w:tcBorders>
              <w:top w:val="nil"/>
            </w:tcBorders>
            <w:vAlign w:val="top"/>
          </w:tcPr>
          <w:p w14:paraId="3E4B868A">
            <w:pPr>
              <w:rPr>
                <w:rFonts w:ascii="Arial"/>
                <w:sz w:val="21"/>
              </w:rPr>
            </w:pPr>
          </w:p>
        </w:tc>
        <w:tc>
          <w:tcPr>
            <w:tcW w:w="1136" w:type="dxa"/>
            <w:vMerge w:val="continue"/>
            <w:tcBorders>
              <w:top w:val="nil"/>
            </w:tcBorders>
            <w:vAlign w:val="top"/>
          </w:tcPr>
          <w:p w14:paraId="00495D92">
            <w:pPr>
              <w:rPr>
                <w:rFonts w:ascii="Arial"/>
                <w:sz w:val="21"/>
              </w:rPr>
            </w:pPr>
          </w:p>
        </w:tc>
        <w:tc>
          <w:tcPr>
            <w:tcW w:w="8806" w:type="dxa"/>
            <w:vMerge w:val="continue"/>
            <w:tcBorders>
              <w:top w:val="nil"/>
            </w:tcBorders>
            <w:vAlign w:val="top"/>
          </w:tcPr>
          <w:p w14:paraId="736DE001">
            <w:pPr>
              <w:rPr>
                <w:rFonts w:ascii="Arial"/>
                <w:sz w:val="21"/>
              </w:rPr>
            </w:pPr>
          </w:p>
        </w:tc>
        <w:tc>
          <w:tcPr>
            <w:tcW w:w="1043" w:type="dxa"/>
            <w:vAlign w:val="top"/>
          </w:tcPr>
          <w:p w14:paraId="4D3703C5">
            <w:pPr>
              <w:pStyle w:val="8"/>
              <w:spacing w:before="88" w:line="219" w:lineRule="auto"/>
              <w:ind w:left="171"/>
            </w:pPr>
            <w:r>
              <w:rPr>
                <w:b/>
                <w:bCs/>
                <w:spacing w:val="-5"/>
              </w:rPr>
              <w:t>责任部门</w:t>
            </w:r>
          </w:p>
        </w:tc>
        <w:tc>
          <w:tcPr>
            <w:tcW w:w="1448" w:type="dxa"/>
            <w:vAlign w:val="top"/>
          </w:tcPr>
          <w:p w14:paraId="046E8702">
            <w:pPr>
              <w:pStyle w:val="8"/>
              <w:spacing w:before="88" w:line="219" w:lineRule="auto"/>
              <w:ind w:left="187"/>
            </w:pPr>
            <w:r>
              <w:rPr>
                <w:b/>
                <w:bCs/>
                <w:spacing w:val="-3"/>
              </w:rPr>
              <w:t>第一责任层级</w:t>
            </w:r>
          </w:p>
        </w:tc>
        <w:tc>
          <w:tcPr>
            <w:tcW w:w="1047" w:type="dxa"/>
            <w:vAlign w:val="top"/>
          </w:tcPr>
          <w:p w14:paraId="114A2C95">
            <w:pPr>
              <w:pStyle w:val="8"/>
              <w:spacing w:before="88" w:line="219" w:lineRule="auto"/>
              <w:ind w:left="165"/>
            </w:pPr>
            <w:r>
              <w:rPr>
                <w:b/>
                <w:bCs/>
                <w:spacing w:val="-4"/>
              </w:rPr>
              <w:t>承办机构</w:t>
            </w:r>
          </w:p>
        </w:tc>
      </w:tr>
      <w:tr w14:paraId="58A3B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641" w:type="dxa"/>
            <w:vAlign w:val="top"/>
          </w:tcPr>
          <w:p w14:paraId="21C74401">
            <w:pPr>
              <w:rPr>
                <w:rFonts w:ascii="Arial"/>
                <w:sz w:val="21"/>
              </w:rPr>
            </w:pPr>
          </w:p>
        </w:tc>
        <w:tc>
          <w:tcPr>
            <w:tcW w:w="1136" w:type="dxa"/>
            <w:vAlign w:val="top"/>
          </w:tcPr>
          <w:p w14:paraId="28EE33E3">
            <w:pPr>
              <w:rPr>
                <w:rFonts w:ascii="Arial"/>
                <w:sz w:val="21"/>
              </w:rPr>
            </w:pPr>
          </w:p>
        </w:tc>
        <w:tc>
          <w:tcPr>
            <w:tcW w:w="1136" w:type="dxa"/>
            <w:vAlign w:val="top"/>
          </w:tcPr>
          <w:p w14:paraId="17805330">
            <w:pPr>
              <w:rPr>
                <w:rFonts w:ascii="Arial"/>
                <w:sz w:val="21"/>
              </w:rPr>
            </w:pPr>
          </w:p>
        </w:tc>
        <w:tc>
          <w:tcPr>
            <w:tcW w:w="8806" w:type="dxa"/>
            <w:vAlign w:val="top"/>
          </w:tcPr>
          <w:p w14:paraId="40328793">
            <w:pPr>
              <w:pStyle w:val="8"/>
              <w:spacing w:before="38" w:line="232" w:lineRule="auto"/>
              <w:ind w:left="114" w:right="153" w:firstLine="354"/>
            </w:pPr>
            <w:r>
              <w:rPr>
                <w:spacing w:val="-2"/>
              </w:rPr>
              <w:t>第三十八条  任何单位和个人，不得擅自涂改、故意损毁、伪造、变造、租借、骗取和</w:t>
            </w:r>
            <w:r>
              <w:rPr>
                <w:spacing w:val="-3"/>
              </w:rPr>
              <w:t>冒用《船舶现场监</w:t>
            </w:r>
            <w:r>
              <w:t xml:space="preserve"> </w:t>
            </w:r>
            <w:r>
              <w:rPr>
                <w:spacing w:val="-4"/>
              </w:rPr>
              <w:t>督报告》《船旗国监督检查报告》《港口国监督检查报告》。</w:t>
            </w:r>
          </w:p>
          <w:p w14:paraId="00ECF1D9">
            <w:pPr>
              <w:pStyle w:val="8"/>
              <w:spacing w:before="27" w:line="233" w:lineRule="auto"/>
              <w:ind w:left="128" w:right="151" w:firstLine="339"/>
            </w:pPr>
            <w:r>
              <w:rPr>
                <w:spacing w:val="-2"/>
              </w:rPr>
              <w:t>第五十条  海事行政执法人员在开展船舶安全监督时，船长应当指派人员配合。指派的配合</w:t>
            </w:r>
            <w:r>
              <w:rPr>
                <w:spacing w:val="-3"/>
              </w:rPr>
              <w:t>人员应当如实</w:t>
            </w:r>
            <w:r>
              <w:t xml:space="preserve"> </w:t>
            </w:r>
            <w:r>
              <w:rPr>
                <w:spacing w:val="-4"/>
              </w:rPr>
              <w:t>回答询问，并按照要求测试和操纵船舶设施、设备。</w:t>
            </w:r>
          </w:p>
          <w:p w14:paraId="59F642DB">
            <w:pPr>
              <w:pStyle w:val="8"/>
              <w:spacing w:before="25" w:line="237" w:lineRule="auto"/>
              <w:ind w:left="110" w:right="151" w:firstLine="357"/>
            </w:pPr>
            <w:r>
              <w:rPr>
                <w:spacing w:val="-2"/>
              </w:rPr>
              <w:t>第五十二条  违反本规则，有下列行为之一的，由海事管理机构对违法船舶所有人或者船舶经营人处1</w:t>
            </w:r>
            <w:r>
              <w:rPr>
                <w:spacing w:val="-3"/>
              </w:rPr>
              <w:t>000</w:t>
            </w:r>
            <w:r>
              <w:t xml:space="preserve"> </w:t>
            </w:r>
            <w:r>
              <w:rPr>
                <w:spacing w:val="-2"/>
              </w:rPr>
              <w:t>元以上1万元以下罚款；情节严重的，处1万元以上3万元以下罚款。对船长或者其他责任人员处100元以上1000</w:t>
            </w:r>
            <w:r>
              <w:rPr>
                <w:spacing w:val="3"/>
              </w:rPr>
              <w:t xml:space="preserve"> </w:t>
            </w:r>
            <w:r>
              <w:rPr>
                <w:spacing w:val="-1"/>
              </w:rPr>
              <w:t>元以下罚款；情节严重的，处1000元以上3000元以下罚款</w:t>
            </w:r>
            <w:r>
              <w:rPr>
                <w:spacing w:val="-16"/>
              </w:rPr>
              <w:t>：（</w:t>
            </w:r>
            <w:r>
              <w:rPr>
                <w:spacing w:val="-1"/>
              </w:rPr>
              <w:t>一）弄虚作假欺骗海事行政</w:t>
            </w:r>
            <w:r>
              <w:rPr>
                <w:spacing w:val="-2"/>
              </w:rPr>
              <w:t>执法人员的</w:t>
            </w:r>
            <w:r>
              <w:rPr>
                <w:spacing w:val="-16"/>
              </w:rPr>
              <w:t>；（</w:t>
            </w:r>
            <w:r>
              <w:rPr>
                <w:spacing w:val="-2"/>
              </w:rPr>
              <w:t>二）</w:t>
            </w:r>
            <w:r>
              <w:rPr>
                <w:spacing w:val="2"/>
              </w:rPr>
              <w:t xml:space="preserve"> </w:t>
            </w:r>
            <w:r>
              <w:rPr>
                <w:spacing w:val="-2"/>
              </w:rPr>
              <w:t>未按照《船舶现场监督报告》《船旗国监督检查报告》《港口国监督检查报告》的处理意见纠正</w:t>
            </w:r>
            <w:r>
              <w:rPr>
                <w:spacing w:val="-3"/>
              </w:rPr>
              <w:t>缺陷或者采取</w:t>
            </w:r>
            <w:r>
              <w:t xml:space="preserve"> </w:t>
            </w:r>
            <w:r>
              <w:rPr>
                <w:spacing w:val="-1"/>
              </w:rPr>
              <w:t>措施的</w:t>
            </w:r>
            <w:r>
              <w:rPr>
                <w:spacing w:val="-15"/>
              </w:rPr>
              <w:t>；（</w:t>
            </w:r>
            <w:r>
              <w:rPr>
                <w:spacing w:val="-1"/>
              </w:rPr>
              <w:t>三）按照第三十条第一款规定应当申请复</w:t>
            </w:r>
            <w:r>
              <w:rPr>
                <w:spacing w:val="-2"/>
              </w:rPr>
              <w:t>查而未申请的。</w:t>
            </w:r>
          </w:p>
        </w:tc>
        <w:tc>
          <w:tcPr>
            <w:tcW w:w="1043" w:type="dxa"/>
            <w:vAlign w:val="top"/>
          </w:tcPr>
          <w:p w14:paraId="65BB688A">
            <w:pPr>
              <w:rPr>
                <w:rFonts w:ascii="Arial"/>
                <w:sz w:val="21"/>
              </w:rPr>
            </w:pPr>
          </w:p>
        </w:tc>
        <w:tc>
          <w:tcPr>
            <w:tcW w:w="1448" w:type="dxa"/>
            <w:vAlign w:val="top"/>
          </w:tcPr>
          <w:p w14:paraId="43E7F9F7">
            <w:pPr>
              <w:rPr>
                <w:rFonts w:ascii="Arial"/>
                <w:sz w:val="21"/>
              </w:rPr>
            </w:pPr>
          </w:p>
        </w:tc>
        <w:tc>
          <w:tcPr>
            <w:tcW w:w="1047" w:type="dxa"/>
            <w:vAlign w:val="top"/>
          </w:tcPr>
          <w:p w14:paraId="765E8F67">
            <w:pPr>
              <w:rPr>
                <w:rFonts w:ascii="Arial"/>
                <w:sz w:val="21"/>
              </w:rPr>
            </w:pPr>
          </w:p>
        </w:tc>
      </w:tr>
      <w:tr w14:paraId="0A777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4" w:hRule="atLeast"/>
        </w:trPr>
        <w:tc>
          <w:tcPr>
            <w:tcW w:w="641" w:type="dxa"/>
            <w:vAlign w:val="top"/>
          </w:tcPr>
          <w:p w14:paraId="7CD7C83B">
            <w:pPr>
              <w:spacing w:line="311" w:lineRule="auto"/>
              <w:rPr>
                <w:rFonts w:ascii="Arial"/>
                <w:sz w:val="21"/>
              </w:rPr>
            </w:pPr>
          </w:p>
          <w:p w14:paraId="1B5C6C1B">
            <w:pPr>
              <w:spacing w:line="311" w:lineRule="auto"/>
              <w:rPr>
                <w:rFonts w:ascii="Arial"/>
                <w:sz w:val="21"/>
              </w:rPr>
            </w:pPr>
          </w:p>
          <w:p w14:paraId="125EE5DD">
            <w:pPr>
              <w:spacing w:line="312" w:lineRule="auto"/>
              <w:rPr>
                <w:rFonts w:ascii="Arial"/>
                <w:sz w:val="21"/>
              </w:rPr>
            </w:pPr>
          </w:p>
          <w:p w14:paraId="197DAF71">
            <w:pPr>
              <w:pStyle w:val="8"/>
              <w:spacing w:before="59" w:line="183" w:lineRule="auto"/>
              <w:ind w:left="236"/>
            </w:pPr>
            <w:r>
              <w:rPr>
                <w:spacing w:val="-4"/>
              </w:rPr>
              <w:t>65</w:t>
            </w:r>
          </w:p>
        </w:tc>
        <w:tc>
          <w:tcPr>
            <w:tcW w:w="1136" w:type="dxa"/>
            <w:vAlign w:val="top"/>
          </w:tcPr>
          <w:p w14:paraId="55093468">
            <w:pPr>
              <w:spacing w:line="309" w:lineRule="auto"/>
              <w:rPr>
                <w:rFonts w:ascii="Arial"/>
                <w:sz w:val="21"/>
              </w:rPr>
            </w:pPr>
          </w:p>
          <w:p w14:paraId="055255C2">
            <w:pPr>
              <w:pStyle w:val="8"/>
              <w:spacing w:before="58" w:line="242" w:lineRule="auto"/>
              <w:ind w:left="110" w:right="104" w:hanging="1"/>
              <w:jc w:val="both"/>
            </w:pPr>
            <w:r>
              <w:rPr>
                <w:spacing w:val="3"/>
              </w:rPr>
              <w:t>对未按照规</w:t>
            </w:r>
            <w:r>
              <w:rPr>
                <w:spacing w:val="1"/>
              </w:rPr>
              <w:t xml:space="preserve"> </w:t>
            </w:r>
            <w:r>
              <w:rPr>
                <w:spacing w:val="3"/>
              </w:rPr>
              <w:t>定开展自查</w:t>
            </w:r>
            <w:r>
              <w:t xml:space="preserve"> </w:t>
            </w:r>
            <w:r>
              <w:rPr>
                <w:spacing w:val="3"/>
              </w:rPr>
              <w:t>或者未随船</w:t>
            </w:r>
            <w:r>
              <w:t xml:space="preserve"> </w:t>
            </w:r>
            <w:r>
              <w:rPr>
                <w:spacing w:val="3"/>
              </w:rPr>
              <w:t>保存船舶自</w:t>
            </w:r>
            <w:r>
              <w:t xml:space="preserve"> </w:t>
            </w:r>
            <w:r>
              <w:rPr>
                <w:spacing w:val="3"/>
              </w:rPr>
              <w:t>查记录行为</w:t>
            </w:r>
            <w:r>
              <w:t xml:space="preserve"> </w:t>
            </w:r>
            <w:r>
              <w:rPr>
                <w:spacing w:val="-4"/>
              </w:rPr>
              <w:t>的行政处罚</w:t>
            </w:r>
          </w:p>
        </w:tc>
        <w:tc>
          <w:tcPr>
            <w:tcW w:w="1136" w:type="dxa"/>
            <w:vAlign w:val="top"/>
          </w:tcPr>
          <w:p w14:paraId="68FA6493">
            <w:pPr>
              <w:spacing w:line="302" w:lineRule="auto"/>
              <w:rPr>
                <w:rFonts w:ascii="Arial"/>
                <w:sz w:val="21"/>
              </w:rPr>
            </w:pPr>
          </w:p>
          <w:p w14:paraId="12057FC9">
            <w:pPr>
              <w:spacing w:line="302" w:lineRule="auto"/>
              <w:rPr>
                <w:rFonts w:ascii="Arial"/>
                <w:sz w:val="21"/>
              </w:rPr>
            </w:pPr>
          </w:p>
          <w:p w14:paraId="06BE7857">
            <w:pPr>
              <w:spacing w:line="302" w:lineRule="auto"/>
              <w:rPr>
                <w:rFonts w:ascii="Arial"/>
                <w:sz w:val="21"/>
              </w:rPr>
            </w:pPr>
          </w:p>
          <w:p w14:paraId="739F8C8A">
            <w:pPr>
              <w:pStyle w:val="8"/>
              <w:spacing w:before="58" w:line="220" w:lineRule="auto"/>
              <w:ind w:left="114"/>
            </w:pPr>
            <w:r>
              <w:rPr>
                <w:spacing w:val="-7"/>
              </w:rPr>
              <w:t>行政处罚</w:t>
            </w:r>
          </w:p>
        </w:tc>
        <w:tc>
          <w:tcPr>
            <w:tcW w:w="8806" w:type="dxa"/>
            <w:vAlign w:val="top"/>
          </w:tcPr>
          <w:p w14:paraId="1A66B188">
            <w:pPr>
              <w:pStyle w:val="8"/>
              <w:spacing w:before="130" w:line="219" w:lineRule="auto"/>
              <w:ind w:left="469"/>
            </w:pPr>
            <w:r>
              <w:rPr>
                <w:b/>
                <w:bCs/>
                <w:spacing w:val="-5"/>
              </w:rPr>
              <w:t>《中华人民共和国船舶安全监督规则》（交通运输部令2022年第27</w:t>
            </w:r>
            <w:r>
              <w:rPr>
                <w:b/>
                <w:bCs/>
                <w:spacing w:val="-6"/>
              </w:rPr>
              <w:t>号）</w:t>
            </w:r>
          </w:p>
          <w:p w14:paraId="099BDBAF">
            <w:pPr>
              <w:pStyle w:val="8"/>
              <w:spacing w:before="26" w:line="238" w:lineRule="auto"/>
              <w:ind w:left="110" w:right="177" w:firstLine="331"/>
              <w:jc w:val="both"/>
            </w:pPr>
            <w:r>
              <w:rPr>
                <w:spacing w:val="-2"/>
              </w:rPr>
              <w:t>第四十二条  中国籍船舶应当建立开航前自查制度。船舶在离泊前应当对船舶安全技术</w:t>
            </w:r>
            <w:r>
              <w:rPr>
                <w:spacing w:val="-3"/>
              </w:rPr>
              <w:t>状况和货物装载情</w:t>
            </w:r>
            <w:r>
              <w:t xml:space="preserve"> </w:t>
            </w:r>
            <w:r>
              <w:rPr>
                <w:spacing w:val="-4"/>
              </w:rPr>
              <w:t>况进行自查，按照国家海事管理机构规定的格式填写《船舶</w:t>
            </w:r>
            <w:r>
              <w:rPr>
                <w:spacing w:val="-5"/>
              </w:rPr>
              <w:t>开航前安全自查清单》， 并在开航前由船长签字确</w:t>
            </w:r>
            <w:r>
              <w:t xml:space="preserve"> </w:t>
            </w:r>
            <w:r>
              <w:rPr>
                <w:spacing w:val="-4"/>
              </w:rPr>
              <w:t>认。</w:t>
            </w:r>
          </w:p>
          <w:p w14:paraId="679EF10D">
            <w:pPr>
              <w:pStyle w:val="8"/>
              <w:spacing w:before="24" w:line="233" w:lineRule="auto"/>
              <w:ind w:left="116" w:right="42" w:firstLine="325"/>
            </w:pPr>
            <w:r>
              <w:rPr>
                <w:spacing w:val="-5"/>
              </w:rPr>
              <w:t>船舶在固定航线航行且单次航程不超过2小时的，无须每次开航前均进行自查，但一天内应当至少自查一次。</w:t>
            </w:r>
            <w:r>
              <w:rPr>
                <w:spacing w:val="5"/>
              </w:rPr>
              <w:t xml:space="preserve"> </w:t>
            </w:r>
            <w:r>
              <w:rPr>
                <w:spacing w:val="-5"/>
              </w:rPr>
              <w:t>《船舶开航前安全自查清单》应当在船上保存至少2年。</w:t>
            </w:r>
          </w:p>
          <w:p w14:paraId="2ED1510E">
            <w:pPr>
              <w:pStyle w:val="8"/>
              <w:spacing w:before="26" w:line="233" w:lineRule="auto"/>
              <w:ind w:left="123" w:right="105" w:firstLine="344"/>
            </w:pPr>
            <w:r>
              <w:rPr>
                <w:spacing w:val="-1"/>
              </w:rPr>
              <w:t>第五十三条  船舶未按照规定开展自查或者未随船保存船舶自查记录的，对船舶所有人或</w:t>
            </w:r>
            <w:r>
              <w:rPr>
                <w:spacing w:val="-2"/>
              </w:rPr>
              <w:t>者船舶经营人处</w:t>
            </w:r>
            <w:r>
              <w:t xml:space="preserve"> </w:t>
            </w:r>
            <w:r>
              <w:rPr>
                <w:spacing w:val="-9"/>
              </w:rPr>
              <w:t>1000元以上1万元以下罚款。</w:t>
            </w:r>
          </w:p>
        </w:tc>
        <w:tc>
          <w:tcPr>
            <w:tcW w:w="1043" w:type="dxa"/>
            <w:vAlign w:val="top"/>
          </w:tcPr>
          <w:p w14:paraId="6206F766">
            <w:pPr>
              <w:spacing w:line="262" w:lineRule="auto"/>
              <w:rPr>
                <w:rFonts w:ascii="Arial"/>
                <w:sz w:val="21"/>
              </w:rPr>
            </w:pPr>
          </w:p>
          <w:p w14:paraId="2CCB98DB">
            <w:pPr>
              <w:spacing w:line="262" w:lineRule="auto"/>
              <w:rPr>
                <w:rFonts w:ascii="Arial"/>
                <w:sz w:val="21"/>
              </w:rPr>
            </w:pPr>
          </w:p>
          <w:p w14:paraId="0C1C357B">
            <w:pPr>
              <w:spacing w:line="262" w:lineRule="auto"/>
              <w:rPr>
                <w:rFonts w:ascii="Arial"/>
                <w:sz w:val="21"/>
              </w:rPr>
            </w:pPr>
          </w:p>
          <w:p w14:paraId="743E5C53">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62381416">
            <w:pPr>
              <w:spacing w:line="302" w:lineRule="auto"/>
              <w:rPr>
                <w:rFonts w:ascii="Arial"/>
                <w:sz w:val="21"/>
              </w:rPr>
            </w:pPr>
          </w:p>
          <w:p w14:paraId="66876821">
            <w:pPr>
              <w:spacing w:line="302" w:lineRule="auto"/>
              <w:rPr>
                <w:rFonts w:ascii="Arial"/>
                <w:sz w:val="21"/>
              </w:rPr>
            </w:pPr>
          </w:p>
          <w:p w14:paraId="6C26EB17">
            <w:pPr>
              <w:spacing w:line="302" w:lineRule="auto"/>
              <w:rPr>
                <w:rFonts w:ascii="Arial"/>
                <w:sz w:val="21"/>
              </w:rPr>
            </w:pPr>
          </w:p>
          <w:p w14:paraId="4FE1D313">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870A69E">
            <w:pPr>
              <w:spacing w:line="274" w:lineRule="auto"/>
              <w:rPr>
                <w:rFonts w:ascii="Arial"/>
                <w:sz w:val="21"/>
              </w:rPr>
            </w:pPr>
          </w:p>
          <w:p w14:paraId="3C3038B2">
            <w:pPr>
              <w:spacing w:line="275" w:lineRule="auto"/>
              <w:rPr>
                <w:rFonts w:ascii="Arial"/>
                <w:sz w:val="21"/>
              </w:rPr>
            </w:pPr>
          </w:p>
          <w:p w14:paraId="4A1EBA89">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C7EA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3" w:hRule="atLeast"/>
        </w:trPr>
        <w:tc>
          <w:tcPr>
            <w:tcW w:w="641" w:type="dxa"/>
            <w:vAlign w:val="top"/>
          </w:tcPr>
          <w:p w14:paraId="52D916A8">
            <w:pPr>
              <w:rPr>
                <w:rFonts w:ascii="Arial"/>
                <w:sz w:val="21"/>
              </w:rPr>
            </w:pPr>
          </w:p>
          <w:p w14:paraId="71A644EF">
            <w:pPr>
              <w:spacing w:line="241" w:lineRule="auto"/>
              <w:rPr>
                <w:rFonts w:ascii="Arial"/>
                <w:sz w:val="21"/>
              </w:rPr>
            </w:pPr>
          </w:p>
          <w:p w14:paraId="4F26B5BD">
            <w:pPr>
              <w:spacing w:line="241" w:lineRule="auto"/>
              <w:rPr>
                <w:rFonts w:ascii="Arial"/>
                <w:sz w:val="21"/>
              </w:rPr>
            </w:pPr>
          </w:p>
          <w:p w14:paraId="0EDA43E9">
            <w:pPr>
              <w:spacing w:line="241" w:lineRule="auto"/>
              <w:rPr>
                <w:rFonts w:ascii="Arial"/>
                <w:sz w:val="21"/>
              </w:rPr>
            </w:pPr>
          </w:p>
          <w:p w14:paraId="0C06D9D9">
            <w:pPr>
              <w:spacing w:line="241" w:lineRule="auto"/>
              <w:rPr>
                <w:rFonts w:ascii="Arial"/>
                <w:sz w:val="21"/>
              </w:rPr>
            </w:pPr>
          </w:p>
          <w:p w14:paraId="67588554">
            <w:pPr>
              <w:pStyle w:val="8"/>
              <w:spacing w:before="59" w:line="183" w:lineRule="auto"/>
              <w:ind w:left="236"/>
            </w:pPr>
            <w:r>
              <w:rPr>
                <w:spacing w:val="-4"/>
              </w:rPr>
              <w:t>66</w:t>
            </w:r>
          </w:p>
        </w:tc>
        <w:tc>
          <w:tcPr>
            <w:tcW w:w="1136" w:type="dxa"/>
            <w:vAlign w:val="top"/>
          </w:tcPr>
          <w:p w14:paraId="195014C3">
            <w:pPr>
              <w:pStyle w:val="8"/>
              <w:spacing w:before="37" w:line="244" w:lineRule="auto"/>
              <w:ind w:left="109" w:right="92"/>
              <w:jc w:val="both"/>
            </w:pPr>
            <w:r>
              <w:rPr>
                <w:spacing w:val="3"/>
              </w:rPr>
              <w:t>对在船舶国</w:t>
            </w:r>
            <w:r>
              <w:rPr>
                <w:spacing w:val="1"/>
              </w:rPr>
              <w:t xml:space="preserve"> </w:t>
            </w:r>
            <w:r>
              <w:rPr>
                <w:spacing w:val="4"/>
              </w:rPr>
              <w:t>际集装箱货</w:t>
            </w:r>
            <w:r>
              <w:t xml:space="preserve"> </w:t>
            </w:r>
            <w:r>
              <w:rPr>
                <w:spacing w:val="3"/>
              </w:rPr>
              <w:t>物运输经营</w:t>
            </w:r>
            <w:r>
              <w:t xml:space="preserve"> </w:t>
            </w:r>
            <w:r>
              <w:rPr>
                <w:spacing w:val="3"/>
              </w:rPr>
              <w:t>活动中托运</w:t>
            </w:r>
            <w:r>
              <w:t xml:space="preserve"> </w:t>
            </w:r>
            <w:r>
              <w:rPr>
                <w:spacing w:val="3"/>
              </w:rPr>
              <w:t>人提供的验</w:t>
            </w:r>
            <w:r>
              <w:t xml:space="preserve"> </w:t>
            </w:r>
            <w:r>
              <w:rPr>
                <w:spacing w:val="3"/>
              </w:rPr>
              <w:t>证重量与实</w:t>
            </w:r>
            <w:r>
              <w:t xml:space="preserve"> </w:t>
            </w:r>
            <w:r>
              <w:rPr>
                <w:spacing w:val="3"/>
              </w:rPr>
              <w:t>际重量的误</w:t>
            </w:r>
            <w:r>
              <w:t xml:space="preserve"> </w:t>
            </w:r>
            <w:r>
              <w:rPr>
                <w:spacing w:val="3"/>
              </w:rPr>
              <w:t>差超过5%或</w:t>
            </w:r>
            <w:r>
              <w:rPr>
                <w:spacing w:val="2"/>
              </w:rPr>
              <w:t xml:space="preserve"> </w:t>
            </w:r>
            <w:r>
              <w:rPr>
                <w:spacing w:val="-11"/>
              </w:rPr>
              <w:t>者1吨等行为</w:t>
            </w:r>
            <w:r>
              <w:rPr>
                <w:spacing w:val="3"/>
              </w:rPr>
              <w:t xml:space="preserve"> </w:t>
            </w:r>
            <w:r>
              <w:rPr>
                <w:spacing w:val="-4"/>
              </w:rPr>
              <w:t>的行政处罚</w:t>
            </w:r>
          </w:p>
        </w:tc>
        <w:tc>
          <w:tcPr>
            <w:tcW w:w="1136" w:type="dxa"/>
            <w:vAlign w:val="top"/>
          </w:tcPr>
          <w:p w14:paraId="5964200C">
            <w:pPr>
              <w:spacing w:line="294" w:lineRule="auto"/>
              <w:rPr>
                <w:rFonts w:ascii="Arial"/>
                <w:sz w:val="21"/>
              </w:rPr>
            </w:pPr>
          </w:p>
          <w:p w14:paraId="120AB61C">
            <w:pPr>
              <w:spacing w:line="294" w:lineRule="auto"/>
              <w:rPr>
                <w:rFonts w:ascii="Arial"/>
                <w:sz w:val="21"/>
              </w:rPr>
            </w:pPr>
          </w:p>
          <w:p w14:paraId="08717837">
            <w:pPr>
              <w:spacing w:line="294" w:lineRule="auto"/>
              <w:rPr>
                <w:rFonts w:ascii="Arial"/>
                <w:sz w:val="21"/>
              </w:rPr>
            </w:pPr>
          </w:p>
          <w:p w14:paraId="3D49A393">
            <w:pPr>
              <w:spacing w:line="294" w:lineRule="auto"/>
              <w:rPr>
                <w:rFonts w:ascii="Arial"/>
                <w:sz w:val="21"/>
              </w:rPr>
            </w:pPr>
          </w:p>
          <w:p w14:paraId="23BB49BC">
            <w:pPr>
              <w:pStyle w:val="8"/>
              <w:spacing w:before="58" w:line="220" w:lineRule="auto"/>
              <w:ind w:left="114"/>
            </w:pPr>
            <w:r>
              <w:rPr>
                <w:spacing w:val="-7"/>
              </w:rPr>
              <w:t>行政处罚</w:t>
            </w:r>
          </w:p>
        </w:tc>
        <w:tc>
          <w:tcPr>
            <w:tcW w:w="8806" w:type="dxa"/>
            <w:vAlign w:val="top"/>
          </w:tcPr>
          <w:p w14:paraId="286B2123">
            <w:pPr>
              <w:pStyle w:val="8"/>
              <w:spacing w:before="161" w:line="219" w:lineRule="auto"/>
              <w:ind w:left="447"/>
            </w:pPr>
            <w:r>
              <w:rPr>
                <w:b/>
                <w:bCs/>
                <w:spacing w:val="-3"/>
              </w:rPr>
              <w:t>《中华人民共和国船舶安全监督规则》（交通运输</w:t>
            </w:r>
            <w:r>
              <w:rPr>
                <w:b/>
                <w:bCs/>
                <w:spacing w:val="-4"/>
              </w:rPr>
              <w:t>部令2022年第27号）</w:t>
            </w:r>
          </w:p>
          <w:p w14:paraId="545893B6">
            <w:pPr>
              <w:pStyle w:val="8"/>
              <w:spacing w:before="24"/>
              <w:ind w:left="110" w:right="103" w:firstLine="331"/>
              <w:jc w:val="both"/>
            </w:pPr>
            <w:r>
              <w:rPr>
                <w:spacing w:val="-2"/>
              </w:rPr>
              <w:t>第四十七条  拟交付船舶国际运输的载货集装箱，其托运人应当在交付船舶运输前，采</w:t>
            </w:r>
            <w:r>
              <w:rPr>
                <w:spacing w:val="-3"/>
              </w:rPr>
              <w:t>取整体称重法或者</w:t>
            </w:r>
            <w:r>
              <w:t xml:space="preserve">  </w:t>
            </w:r>
            <w:r>
              <w:rPr>
                <w:spacing w:val="-2"/>
              </w:rPr>
              <w:t>累加计算法对集装箱的重量进行验证，确保集装箱的验证重量不超过其标称的最大营运总质量，</w:t>
            </w:r>
            <w:r>
              <w:rPr>
                <w:spacing w:val="-3"/>
              </w:rPr>
              <w:t>与实际重量的</w:t>
            </w:r>
            <w:r>
              <w:t xml:space="preserve"> </w:t>
            </w:r>
            <w:r>
              <w:rPr>
                <w:spacing w:val="-3"/>
              </w:rPr>
              <w:t>误差不超过5%且最大误差不超过1吨，并在运输单据上注明验证重量、验证方法和验证声明等验证信息，提供给</w:t>
            </w:r>
            <w:r>
              <w:rPr>
                <w:spacing w:val="6"/>
              </w:rPr>
              <w:t xml:space="preserve"> </w:t>
            </w:r>
            <w:r>
              <w:rPr>
                <w:spacing w:val="-3"/>
              </w:rPr>
              <w:t>承运人、港口经营人。</w:t>
            </w:r>
          </w:p>
          <w:p w14:paraId="1DFB0A51">
            <w:pPr>
              <w:pStyle w:val="8"/>
              <w:spacing w:before="25" w:line="233" w:lineRule="auto"/>
              <w:ind w:left="110" w:right="177" w:firstLine="330"/>
            </w:pPr>
            <w:r>
              <w:rPr>
                <w:spacing w:val="-2"/>
              </w:rPr>
              <w:t>采取累加计算法的托运人，应当制定符合交通运输部规定的重量验证程序，并按照程序进</w:t>
            </w:r>
            <w:r>
              <w:rPr>
                <w:spacing w:val="-3"/>
              </w:rPr>
              <w:t>行载货集装箱重</w:t>
            </w:r>
            <w:r>
              <w:t xml:space="preserve"> </w:t>
            </w:r>
            <w:r>
              <w:rPr>
                <w:spacing w:val="-2"/>
              </w:rPr>
              <w:t>量验证。未取得验证信息或者验证重量超过最大营运总质量的集装箱，承运人</w:t>
            </w:r>
            <w:r>
              <w:rPr>
                <w:spacing w:val="-3"/>
              </w:rPr>
              <w:t>不得装船。</w:t>
            </w:r>
          </w:p>
          <w:p w14:paraId="08B2D197">
            <w:pPr>
              <w:pStyle w:val="8"/>
              <w:spacing w:before="27" w:line="237" w:lineRule="auto"/>
              <w:ind w:left="112" w:right="151" w:firstLine="329"/>
            </w:pPr>
            <w:r>
              <w:rPr>
                <w:spacing w:val="-2"/>
              </w:rPr>
              <w:t>第五十五条  违反本规则，在船舶国际集装箱货物运输经营活动中，有下列情形之一的</w:t>
            </w:r>
            <w:r>
              <w:rPr>
                <w:spacing w:val="-3"/>
              </w:rPr>
              <w:t>，由海事管理机构</w:t>
            </w:r>
            <w:r>
              <w:t xml:space="preserve"> </w:t>
            </w:r>
            <w:r>
              <w:rPr>
                <w:spacing w:val="-1"/>
              </w:rPr>
              <w:t>处1000元以上3万元以下罚款</w:t>
            </w:r>
            <w:r>
              <w:rPr>
                <w:spacing w:val="-10"/>
              </w:rPr>
              <w:t>：（</w:t>
            </w:r>
            <w:r>
              <w:rPr>
                <w:spacing w:val="-1"/>
              </w:rPr>
              <w:t>一）托运人提供的验证重量与实际重量</w:t>
            </w:r>
            <w:r>
              <w:rPr>
                <w:spacing w:val="-2"/>
              </w:rPr>
              <w:t>的误差超过5%或者1吨的</w:t>
            </w:r>
            <w:r>
              <w:rPr>
                <w:spacing w:val="-10"/>
              </w:rPr>
              <w:t>；（</w:t>
            </w:r>
            <w:r>
              <w:rPr>
                <w:spacing w:val="-2"/>
              </w:rPr>
              <w:t>二）承运</w:t>
            </w:r>
            <w:r>
              <w:t xml:space="preserve"> </w:t>
            </w:r>
            <w:r>
              <w:rPr>
                <w:spacing w:val="-2"/>
              </w:rPr>
              <w:t>人载运未取得验证信息或者验证重量超过最大营运总质量</w:t>
            </w:r>
            <w:r>
              <w:rPr>
                <w:spacing w:val="-3"/>
              </w:rPr>
              <w:t>的集装箱的。</w:t>
            </w:r>
          </w:p>
        </w:tc>
        <w:tc>
          <w:tcPr>
            <w:tcW w:w="1043" w:type="dxa"/>
            <w:vAlign w:val="top"/>
          </w:tcPr>
          <w:p w14:paraId="47682D9C">
            <w:pPr>
              <w:spacing w:line="264" w:lineRule="auto"/>
              <w:rPr>
                <w:rFonts w:ascii="Arial"/>
                <w:sz w:val="21"/>
              </w:rPr>
            </w:pPr>
          </w:p>
          <w:p w14:paraId="3ECAA22A">
            <w:pPr>
              <w:spacing w:line="264" w:lineRule="auto"/>
              <w:rPr>
                <w:rFonts w:ascii="Arial"/>
                <w:sz w:val="21"/>
              </w:rPr>
            </w:pPr>
          </w:p>
          <w:p w14:paraId="100FA707">
            <w:pPr>
              <w:spacing w:line="264" w:lineRule="auto"/>
              <w:rPr>
                <w:rFonts w:ascii="Arial"/>
                <w:sz w:val="21"/>
              </w:rPr>
            </w:pPr>
          </w:p>
          <w:p w14:paraId="2E0F9BB6">
            <w:pPr>
              <w:spacing w:line="264" w:lineRule="auto"/>
              <w:rPr>
                <w:rFonts w:ascii="Arial"/>
                <w:sz w:val="21"/>
              </w:rPr>
            </w:pPr>
          </w:p>
          <w:p w14:paraId="6720FAA1">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671A5506">
            <w:pPr>
              <w:spacing w:line="294" w:lineRule="auto"/>
              <w:rPr>
                <w:rFonts w:ascii="Arial"/>
                <w:sz w:val="21"/>
              </w:rPr>
            </w:pPr>
          </w:p>
          <w:p w14:paraId="50CF9CD1">
            <w:pPr>
              <w:spacing w:line="294" w:lineRule="auto"/>
              <w:rPr>
                <w:rFonts w:ascii="Arial"/>
                <w:sz w:val="21"/>
              </w:rPr>
            </w:pPr>
          </w:p>
          <w:p w14:paraId="4DB6A1AE">
            <w:pPr>
              <w:spacing w:line="294" w:lineRule="auto"/>
              <w:rPr>
                <w:rFonts w:ascii="Arial"/>
                <w:sz w:val="21"/>
              </w:rPr>
            </w:pPr>
          </w:p>
          <w:p w14:paraId="617075F6">
            <w:pPr>
              <w:spacing w:line="294" w:lineRule="auto"/>
              <w:rPr>
                <w:rFonts w:ascii="Arial"/>
                <w:sz w:val="21"/>
              </w:rPr>
            </w:pPr>
          </w:p>
          <w:p w14:paraId="3494C522">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8750C60">
            <w:pPr>
              <w:spacing w:line="273" w:lineRule="auto"/>
              <w:rPr>
                <w:rFonts w:ascii="Arial"/>
                <w:sz w:val="21"/>
              </w:rPr>
            </w:pPr>
          </w:p>
          <w:p w14:paraId="2459F048">
            <w:pPr>
              <w:spacing w:line="273" w:lineRule="auto"/>
              <w:rPr>
                <w:rFonts w:ascii="Arial"/>
                <w:sz w:val="21"/>
              </w:rPr>
            </w:pPr>
          </w:p>
          <w:p w14:paraId="59079E7F">
            <w:pPr>
              <w:spacing w:line="273" w:lineRule="auto"/>
              <w:rPr>
                <w:rFonts w:ascii="Arial"/>
                <w:sz w:val="21"/>
              </w:rPr>
            </w:pPr>
          </w:p>
          <w:p w14:paraId="160FAE03">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53929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7" w:hRule="atLeast"/>
        </w:trPr>
        <w:tc>
          <w:tcPr>
            <w:tcW w:w="641" w:type="dxa"/>
            <w:vAlign w:val="top"/>
          </w:tcPr>
          <w:p w14:paraId="78531FF8">
            <w:pPr>
              <w:spacing w:line="282" w:lineRule="auto"/>
              <w:rPr>
                <w:rFonts w:ascii="Arial"/>
                <w:sz w:val="21"/>
              </w:rPr>
            </w:pPr>
          </w:p>
          <w:p w14:paraId="0DD6EE0C">
            <w:pPr>
              <w:spacing w:line="283" w:lineRule="auto"/>
              <w:rPr>
                <w:rFonts w:ascii="Arial"/>
                <w:sz w:val="21"/>
              </w:rPr>
            </w:pPr>
          </w:p>
          <w:p w14:paraId="740E8FBF">
            <w:pPr>
              <w:spacing w:line="283" w:lineRule="auto"/>
              <w:rPr>
                <w:rFonts w:ascii="Arial"/>
                <w:sz w:val="21"/>
              </w:rPr>
            </w:pPr>
          </w:p>
          <w:p w14:paraId="285C7225">
            <w:pPr>
              <w:pStyle w:val="8"/>
              <w:spacing w:before="59" w:line="183" w:lineRule="auto"/>
              <w:ind w:left="236"/>
            </w:pPr>
            <w:r>
              <w:rPr>
                <w:spacing w:val="-4"/>
              </w:rPr>
              <w:t>67</w:t>
            </w:r>
          </w:p>
        </w:tc>
        <w:tc>
          <w:tcPr>
            <w:tcW w:w="1136" w:type="dxa"/>
            <w:vAlign w:val="top"/>
          </w:tcPr>
          <w:p w14:paraId="77B09A0E">
            <w:pPr>
              <w:pStyle w:val="8"/>
              <w:spacing w:before="282" w:line="242" w:lineRule="auto"/>
              <w:ind w:left="110" w:right="99" w:hanging="1"/>
              <w:jc w:val="both"/>
            </w:pPr>
            <w:r>
              <w:rPr>
                <w:spacing w:val="3"/>
              </w:rPr>
              <w:t>对船舶超过</w:t>
            </w:r>
            <w:r>
              <w:rPr>
                <w:spacing w:val="1"/>
              </w:rPr>
              <w:t xml:space="preserve"> </w:t>
            </w:r>
            <w:r>
              <w:rPr>
                <w:spacing w:val="3"/>
              </w:rPr>
              <w:t>标准向内河</w:t>
            </w:r>
            <w:r>
              <w:t xml:space="preserve"> </w:t>
            </w:r>
            <w:r>
              <w:rPr>
                <w:spacing w:val="3"/>
              </w:rPr>
              <w:t>水域排放生</w:t>
            </w:r>
            <w:r>
              <w:t xml:space="preserve"> </w:t>
            </w:r>
            <w:r>
              <w:rPr>
                <w:spacing w:val="3"/>
              </w:rPr>
              <w:t>活污水、含</w:t>
            </w:r>
            <w:r>
              <w:rPr>
                <w:spacing w:val="2"/>
              </w:rPr>
              <w:t xml:space="preserve"> </w:t>
            </w:r>
            <w:r>
              <w:rPr>
                <w:spacing w:val="4"/>
              </w:rPr>
              <w:t>油污水、的</w:t>
            </w:r>
            <w:r>
              <w:t xml:space="preserve"> </w:t>
            </w:r>
            <w:r>
              <w:rPr>
                <w:spacing w:val="-7"/>
              </w:rPr>
              <w:t>行政处罚</w:t>
            </w:r>
          </w:p>
        </w:tc>
        <w:tc>
          <w:tcPr>
            <w:tcW w:w="1136" w:type="dxa"/>
            <w:vAlign w:val="top"/>
          </w:tcPr>
          <w:p w14:paraId="68BE079E">
            <w:pPr>
              <w:spacing w:line="273" w:lineRule="auto"/>
              <w:rPr>
                <w:rFonts w:ascii="Arial"/>
                <w:sz w:val="21"/>
              </w:rPr>
            </w:pPr>
          </w:p>
          <w:p w14:paraId="0ABF8CFE">
            <w:pPr>
              <w:spacing w:line="273" w:lineRule="auto"/>
              <w:rPr>
                <w:rFonts w:ascii="Arial"/>
                <w:sz w:val="21"/>
              </w:rPr>
            </w:pPr>
          </w:p>
          <w:p w14:paraId="2C2B4838">
            <w:pPr>
              <w:spacing w:line="274" w:lineRule="auto"/>
              <w:rPr>
                <w:rFonts w:ascii="Arial"/>
                <w:sz w:val="21"/>
              </w:rPr>
            </w:pPr>
          </w:p>
          <w:p w14:paraId="4073B42C">
            <w:pPr>
              <w:pStyle w:val="8"/>
              <w:spacing w:before="58" w:line="220" w:lineRule="auto"/>
              <w:ind w:left="114"/>
            </w:pPr>
            <w:r>
              <w:rPr>
                <w:spacing w:val="-7"/>
              </w:rPr>
              <w:t>行政处罚</w:t>
            </w:r>
          </w:p>
        </w:tc>
        <w:tc>
          <w:tcPr>
            <w:tcW w:w="8806" w:type="dxa"/>
            <w:vAlign w:val="top"/>
          </w:tcPr>
          <w:p w14:paraId="39BAA0CC">
            <w:pPr>
              <w:pStyle w:val="8"/>
              <w:spacing w:before="43" w:line="219" w:lineRule="auto"/>
              <w:ind w:left="447"/>
            </w:pPr>
            <w:r>
              <w:rPr>
                <w:b/>
                <w:bCs/>
                <w:spacing w:val="-3"/>
              </w:rPr>
              <w:t>《中华人民共和国防治船舶污染内河水域环境管理规定》（</w:t>
            </w:r>
            <w:r>
              <w:rPr>
                <w:b/>
                <w:bCs/>
                <w:spacing w:val="-4"/>
              </w:rPr>
              <w:t>交通运输部令2022年第26号）</w:t>
            </w:r>
          </w:p>
          <w:p w14:paraId="18AFD719">
            <w:pPr>
              <w:pStyle w:val="8"/>
              <w:spacing w:before="27" w:line="237" w:lineRule="auto"/>
              <w:ind w:left="111" w:right="103" w:firstLine="330"/>
              <w:jc w:val="both"/>
            </w:pPr>
            <w:r>
              <w:rPr>
                <w:spacing w:val="-2"/>
              </w:rPr>
              <w:t>第十三条  在内河水域航行、停泊和作业的船舶，不得违反法律、行政法规、规范、标准和</w:t>
            </w:r>
            <w:r>
              <w:rPr>
                <w:spacing w:val="-3"/>
              </w:rPr>
              <w:t>交通运输部的</w:t>
            </w:r>
            <w:r>
              <w:t xml:space="preserve">  </w:t>
            </w:r>
            <w:r>
              <w:rPr>
                <w:spacing w:val="-3"/>
              </w:rPr>
              <w:t>规定向</w:t>
            </w:r>
            <w:r>
              <w:rPr>
                <w:spacing w:val="25"/>
              </w:rPr>
              <w:t xml:space="preserve"> </w:t>
            </w:r>
            <w:r>
              <w:rPr>
                <w:spacing w:val="-3"/>
              </w:rPr>
              <w:t>内河水域排放污染物。不符合排放规定的船</w:t>
            </w:r>
            <w:r>
              <w:rPr>
                <w:spacing w:val="-4"/>
              </w:rPr>
              <w:t>舶污染物应当交由港口、码头、装卸站或者有资质的单位接</w:t>
            </w:r>
            <w:r>
              <w:t xml:space="preserve"> </w:t>
            </w:r>
            <w:r>
              <w:rPr>
                <w:spacing w:val="-4"/>
              </w:rPr>
              <w:t>收处理。</w:t>
            </w:r>
          </w:p>
          <w:p w14:paraId="5E855E8F">
            <w:pPr>
              <w:pStyle w:val="8"/>
              <w:spacing w:before="24" w:line="233" w:lineRule="auto"/>
              <w:ind w:left="441" w:right="208"/>
            </w:pPr>
            <w:r>
              <w:rPr>
                <w:spacing w:val="-3"/>
              </w:rPr>
              <w:t>禁止船舶向内河水体排放有毒液体物质及其残余物或者含有此类物质的压载水、洗舱水或者其他混合物。</w:t>
            </w:r>
            <w:r>
              <w:rPr>
                <w:spacing w:val="7"/>
              </w:rPr>
              <w:t xml:space="preserve"> </w:t>
            </w:r>
            <w:r>
              <w:rPr>
                <w:spacing w:val="-3"/>
              </w:rPr>
              <w:t>禁止船舶在内河水域使用焚烧炉。</w:t>
            </w:r>
          </w:p>
          <w:p w14:paraId="6E7655D1">
            <w:pPr>
              <w:pStyle w:val="8"/>
              <w:spacing w:before="26" w:line="219" w:lineRule="auto"/>
              <w:ind w:left="441"/>
            </w:pPr>
            <w:r>
              <w:rPr>
                <w:spacing w:val="-3"/>
              </w:rPr>
              <w:t>禁止在内河水域使用溢油分散剂。</w:t>
            </w:r>
          </w:p>
          <w:p w14:paraId="3C77724A">
            <w:pPr>
              <w:pStyle w:val="8"/>
              <w:spacing w:before="27" w:line="198" w:lineRule="auto"/>
              <w:ind w:left="441"/>
            </w:pPr>
            <w:r>
              <w:rPr>
                <w:spacing w:val="-2"/>
              </w:rPr>
              <w:t>第十八条  船舶使用的燃料应当符合有关法律法规和标准要求，鼓励船舶使用</w:t>
            </w:r>
            <w:r>
              <w:rPr>
                <w:spacing w:val="-3"/>
              </w:rPr>
              <w:t>清洁能源。</w:t>
            </w:r>
          </w:p>
        </w:tc>
        <w:tc>
          <w:tcPr>
            <w:tcW w:w="1043" w:type="dxa"/>
            <w:vAlign w:val="top"/>
          </w:tcPr>
          <w:p w14:paraId="533B087E">
            <w:pPr>
              <w:spacing w:line="350" w:lineRule="auto"/>
              <w:rPr>
                <w:rFonts w:ascii="Arial"/>
                <w:sz w:val="21"/>
              </w:rPr>
            </w:pPr>
          </w:p>
          <w:p w14:paraId="29C17C62">
            <w:pPr>
              <w:spacing w:line="350" w:lineRule="auto"/>
              <w:rPr>
                <w:rFonts w:ascii="Arial"/>
                <w:sz w:val="21"/>
              </w:rPr>
            </w:pPr>
          </w:p>
          <w:p w14:paraId="31C1A859">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06163188">
            <w:pPr>
              <w:spacing w:line="273" w:lineRule="auto"/>
              <w:rPr>
                <w:rFonts w:ascii="Arial"/>
                <w:sz w:val="21"/>
              </w:rPr>
            </w:pPr>
          </w:p>
          <w:p w14:paraId="64B80141">
            <w:pPr>
              <w:spacing w:line="273" w:lineRule="auto"/>
              <w:rPr>
                <w:rFonts w:ascii="Arial"/>
                <w:sz w:val="21"/>
              </w:rPr>
            </w:pPr>
          </w:p>
          <w:p w14:paraId="1DD08174">
            <w:pPr>
              <w:spacing w:line="274" w:lineRule="auto"/>
              <w:rPr>
                <w:rFonts w:ascii="Arial"/>
                <w:sz w:val="21"/>
              </w:rPr>
            </w:pPr>
          </w:p>
          <w:p w14:paraId="58325D5B">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8186065">
            <w:pPr>
              <w:spacing w:line="463" w:lineRule="auto"/>
              <w:rPr>
                <w:rFonts w:ascii="Arial"/>
                <w:sz w:val="21"/>
              </w:rPr>
            </w:pPr>
          </w:p>
          <w:p w14:paraId="774ECFA5">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26AEA410">
      <w:pPr>
        <w:pStyle w:val="2"/>
        <w:spacing w:line="227" w:lineRule="exact"/>
        <w:rPr>
          <w:sz w:val="19"/>
        </w:rPr>
      </w:pPr>
    </w:p>
    <w:p w14:paraId="3FA1F3F1">
      <w:pPr>
        <w:spacing w:line="227" w:lineRule="exact"/>
        <w:rPr>
          <w:sz w:val="19"/>
          <w:szCs w:val="19"/>
        </w:rPr>
        <w:sectPr>
          <w:footerReference r:id="rId199" w:type="default"/>
          <w:pgSz w:w="16839" w:h="11906"/>
          <w:pgMar w:top="1012" w:right="788" w:bottom="967" w:left="787" w:header="0" w:footer="768" w:gutter="0"/>
          <w:cols w:space="720" w:num="1"/>
        </w:sectPr>
      </w:pPr>
    </w:p>
    <w:p w14:paraId="198A37D3">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62226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284FFDF8">
            <w:pPr>
              <w:pStyle w:val="8"/>
              <w:spacing w:before="267" w:line="221" w:lineRule="auto"/>
              <w:ind w:left="142"/>
            </w:pPr>
            <w:r>
              <w:rPr>
                <w:b/>
                <w:bCs/>
                <w:spacing w:val="-4"/>
              </w:rPr>
              <w:t>序号</w:t>
            </w:r>
          </w:p>
        </w:tc>
        <w:tc>
          <w:tcPr>
            <w:tcW w:w="1136" w:type="dxa"/>
            <w:vMerge w:val="restart"/>
            <w:tcBorders>
              <w:bottom w:val="nil"/>
            </w:tcBorders>
            <w:vAlign w:val="top"/>
          </w:tcPr>
          <w:p w14:paraId="45FEA352">
            <w:pPr>
              <w:pStyle w:val="8"/>
              <w:spacing w:before="267" w:line="220" w:lineRule="auto"/>
              <w:ind w:left="208"/>
            </w:pPr>
            <w:r>
              <w:rPr>
                <w:b/>
                <w:bCs/>
                <w:spacing w:val="-4"/>
              </w:rPr>
              <w:t>事项名称</w:t>
            </w:r>
          </w:p>
        </w:tc>
        <w:tc>
          <w:tcPr>
            <w:tcW w:w="1136" w:type="dxa"/>
            <w:vMerge w:val="restart"/>
            <w:tcBorders>
              <w:bottom w:val="nil"/>
            </w:tcBorders>
            <w:vAlign w:val="top"/>
          </w:tcPr>
          <w:p w14:paraId="6E1145F1">
            <w:pPr>
              <w:pStyle w:val="8"/>
              <w:spacing w:before="267" w:line="219" w:lineRule="auto"/>
              <w:ind w:left="210"/>
            </w:pPr>
            <w:r>
              <w:rPr>
                <w:b/>
                <w:bCs/>
                <w:spacing w:val="-4"/>
              </w:rPr>
              <w:t>职权类型</w:t>
            </w:r>
          </w:p>
        </w:tc>
        <w:tc>
          <w:tcPr>
            <w:tcW w:w="8806" w:type="dxa"/>
            <w:vMerge w:val="restart"/>
            <w:tcBorders>
              <w:bottom w:val="nil"/>
            </w:tcBorders>
            <w:vAlign w:val="top"/>
          </w:tcPr>
          <w:p w14:paraId="264AB4A5">
            <w:pPr>
              <w:pStyle w:val="8"/>
              <w:spacing w:before="267" w:line="219" w:lineRule="auto"/>
              <w:ind w:left="4050"/>
            </w:pPr>
            <w:r>
              <w:rPr>
                <w:b/>
                <w:bCs/>
                <w:spacing w:val="-5"/>
              </w:rPr>
              <w:t>实施依据</w:t>
            </w:r>
          </w:p>
        </w:tc>
        <w:tc>
          <w:tcPr>
            <w:tcW w:w="3538" w:type="dxa"/>
            <w:gridSpan w:val="3"/>
            <w:vAlign w:val="top"/>
          </w:tcPr>
          <w:p w14:paraId="7A8277EE">
            <w:pPr>
              <w:pStyle w:val="8"/>
              <w:spacing w:before="92" w:line="220" w:lineRule="auto"/>
              <w:ind w:left="1415"/>
            </w:pPr>
            <w:r>
              <w:rPr>
                <w:b/>
                <w:bCs/>
                <w:spacing w:val="-5"/>
              </w:rPr>
              <w:t>实施主体</w:t>
            </w:r>
          </w:p>
        </w:tc>
      </w:tr>
      <w:tr w14:paraId="62128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321BBB65">
            <w:pPr>
              <w:rPr>
                <w:rFonts w:ascii="Arial"/>
                <w:sz w:val="21"/>
              </w:rPr>
            </w:pPr>
          </w:p>
        </w:tc>
        <w:tc>
          <w:tcPr>
            <w:tcW w:w="1136" w:type="dxa"/>
            <w:vMerge w:val="continue"/>
            <w:tcBorders>
              <w:top w:val="nil"/>
            </w:tcBorders>
            <w:vAlign w:val="top"/>
          </w:tcPr>
          <w:p w14:paraId="2359619E">
            <w:pPr>
              <w:rPr>
                <w:rFonts w:ascii="Arial"/>
                <w:sz w:val="21"/>
              </w:rPr>
            </w:pPr>
          </w:p>
        </w:tc>
        <w:tc>
          <w:tcPr>
            <w:tcW w:w="1136" w:type="dxa"/>
            <w:vMerge w:val="continue"/>
            <w:tcBorders>
              <w:top w:val="nil"/>
            </w:tcBorders>
            <w:vAlign w:val="top"/>
          </w:tcPr>
          <w:p w14:paraId="4AD4E56B">
            <w:pPr>
              <w:rPr>
                <w:rFonts w:ascii="Arial"/>
                <w:sz w:val="21"/>
              </w:rPr>
            </w:pPr>
          </w:p>
        </w:tc>
        <w:tc>
          <w:tcPr>
            <w:tcW w:w="8806" w:type="dxa"/>
            <w:vMerge w:val="continue"/>
            <w:tcBorders>
              <w:top w:val="nil"/>
            </w:tcBorders>
            <w:vAlign w:val="top"/>
          </w:tcPr>
          <w:p w14:paraId="1CDEAC23">
            <w:pPr>
              <w:rPr>
                <w:rFonts w:ascii="Arial"/>
                <w:sz w:val="21"/>
              </w:rPr>
            </w:pPr>
          </w:p>
        </w:tc>
        <w:tc>
          <w:tcPr>
            <w:tcW w:w="1043" w:type="dxa"/>
            <w:vAlign w:val="top"/>
          </w:tcPr>
          <w:p w14:paraId="3561E996">
            <w:pPr>
              <w:pStyle w:val="8"/>
              <w:spacing w:before="88" w:line="219" w:lineRule="auto"/>
              <w:ind w:left="171"/>
            </w:pPr>
            <w:r>
              <w:rPr>
                <w:b/>
                <w:bCs/>
                <w:spacing w:val="-5"/>
              </w:rPr>
              <w:t>责任部门</w:t>
            </w:r>
          </w:p>
        </w:tc>
        <w:tc>
          <w:tcPr>
            <w:tcW w:w="1448" w:type="dxa"/>
            <w:vAlign w:val="top"/>
          </w:tcPr>
          <w:p w14:paraId="35025996">
            <w:pPr>
              <w:pStyle w:val="8"/>
              <w:spacing w:before="88" w:line="219" w:lineRule="auto"/>
              <w:ind w:left="187"/>
            </w:pPr>
            <w:r>
              <w:rPr>
                <w:b/>
                <w:bCs/>
                <w:spacing w:val="-3"/>
              </w:rPr>
              <w:t>第一责任层级</w:t>
            </w:r>
          </w:p>
        </w:tc>
        <w:tc>
          <w:tcPr>
            <w:tcW w:w="1047" w:type="dxa"/>
            <w:vAlign w:val="top"/>
          </w:tcPr>
          <w:p w14:paraId="0F3DBB69">
            <w:pPr>
              <w:pStyle w:val="8"/>
              <w:spacing w:before="88" w:line="219" w:lineRule="auto"/>
              <w:ind w:left="165"/>
            </w:pPr>
            <w:r>
              <w:rPr>
                <w:b/>
                <w:bCs/>
                <w:spacing w:val="-4"/>
              </w:rPr>
              <w:t>承办机构</w:t>
            </w:r>
          </w:p>
        </w:tc>
      </w:tr>
      <w:tr w14:paraId="17F6D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641" w:type="dxa"/>
            <w:vAlign w:val="top"/>
          </w:tcPr>
          <w:p w14:paraId="7CEB9350">
            <w:pPr>
              <w:rPr>
                <w:rFonts w:ascii="Arial"/>
                <w:sz w:val="21"/>
              </w:rPr>
            </w:pPr>
          </w:p>
        </w:tc>
        <w:tc>
          <w:tcPr>
            <w:tcW w:w="1136" w:type="dxa"/>
            <w:vAlign w:val="top"/>
          </w:tcPr>
          <w:p w14:paraId="020301D0">
            <w:pPr>
              <w:rPr>
                <w:rFonts w:ascii="Arial"/>
                <w:sz w:val="21"/>
              </w:rPr>
            </w:pPr>
          </w:p>
        </w:tc>
        <w:tc>
          <w:tcPr>
            <w:tcW w:w="1136" w:type="dxa"/>
            <w:vAlign w:val="top"/>
          </w:tcPr>
          <w:p w14:paraId="7DACF037">
            <w:pPr>
              <w:rPr>
                <w:rFonts w:ascii="Arial"/>
                <w:sz w:val="21"/>
              </w:rPr>
            </w:pPr>
          </w:p>
        </w:tc>
        <w:tc>
          <w:tcPr>
            <w:tcW w:w="8806" w:type="dxa"/>
            <w:vAlign w:val="top"/>
          </w:tcPr>
          <w:p w14:paraId="4CA63461">
            <w:pPr>
              <w:pStyle w:val="8"/>
              <w:spacing w:before="38" w:line="219" w:lineRule="auto"/>
              <w:ind w:left="441"/>
            </w:pPr>
            <w:r>
              <w:rPr>
                <w:spacing w:val="-2"/>
              </w:rPr>
              <w:t>船舶不得超过相关标准向大气排放动力装置运转产生的废气以及船上产生的挥发性有机</w:t>
            </w:r>
            <w:r>
              <w:rPr>
                <w:spacing w:val="-3"/>
              </w:rPr>
              <w:t>化合物。</w:t>
            </w:r>
          </w:p>
          <w:p w14:paraId="5B012B20">
            <w:pPr>
              <w:pStyle w:val="8"/>
              <w:spacing w:before="26" w:line="233" w:lineRule="auto"/>
              <w:ind w:left="112" w:right="184" w:firstLine="329"/>
            </w:pPr>
            <w:r>
              <w:rPr>
                <w:spacing w:val="-2"/>
              </w:rPr>
              <w:t>第十九条  来自疫区船舶的船舶垃圾、压载水、生活污水等船舶污染物，应</w:t>
            </w:r>
            <w:r>
              <w:rPr>
                <w:spacing w:val="-3"/>
              </w:rPr>
              <w:t>当经检疫部门检疫合格后，方</w:t>
            </w:r>
            <w:r>
              <w:t xml:space="preserve"> </w:t>
            </w:r>
            <w:r>
              <w:rPr>
                <w:spacing w:val="-3"/>
              </w:rPr>
              <w:t>可进行 接收和处理。</w:t>
            </w:r>
          </w:p>
          <w:p w14:paraId="0DAB60DB">
            <w:pPr>
              <w:pStyle w:val="8"/>
              <w:spacing w:before="27" w:line="239" w:lineRule="auto"/>
              <w:ind w:left="109" w:right="151" w:firstLine="331"/>
              <w:jc w:val="both"/>
            </w:pPr>
            <w:r>
              <w:rPr>
                <w:spacing w:val="-2"/>
              </w:rPr>
              <w:t>第四十五条  违反本规定，有下列情形之一的，由海事管理机构责令改正，并处以2万元以上3万</w:t>
            </w:r>
            <w:r>
              <w:rPr>
                <w:spacing w:val="-3"/>
              </w:rPr>
              <w:t>元以下的</w:t>
            </w:r>
            <w:r>
              <w:t xml:space="preserve"> </w:t>
            </w:r>
            <w:r>
              <w:rPr>
                <w:spacing w:val="-1"/>
              </w:rPr>
              <w:t>罚款</w:t>
            </w:r>
            <w:r>
              <w:rPr>
                <w:spacing w:val="-15"/>
              </w:rPr>
              <w:t>：（</w:t>
            </w:r>
            <w:r>
              <w:rPr>
                <w:spacing w:val="-1"/>
              </w:rPr>
              <w:t>一）船舶超过标准向内河水域排放生活污水、含油污水等</w:t>
            </w:r>
            <w:r>
              <w:rPr>
                <w:spacing w:val="-15"/>
              </w:rPr>
              <w:t>；（</w:t>
            </w:r>
            <w:r>
              <w:rPr>
                <w:spacing w:val="-1"/>
              </w:rPr>
              <w:t>二）船舶超过标准向大气排放船舶动力</w:t>
            </w:r>
            <w:r>
              <w:rPr>
                <w:spacing w:val="2"/>
              </w:rPr>
              <w:t xml:space="preserve"> </w:t>
            </w:r>
            <w:r>
              <w:rPr>
                <w:spacing w:val="-1"/>
              </w:rPr>
              <w:t>装置运转产生的废气</w:t>
            </w:r>
            <w:r>
              <w:rPr>
                <w:spacing w:val="-15"/>
              </w:rPr>
              <w:t>；（</w:t>
            </w:r>
            <w:r>
              <w:rPr>
                <w:spacing w:val="-1"/>
              </w:rPr>
              <w:t>三）船舶在内河水域排</w:t>
            </w:r>
            <w:r>
              <w:rPr>
                <w:spacing w:val="-2"/>
              </w:rPr>
              <w:t>放有毒液体物质的残余物或者含有此类物质的压载水、洗舱水</w:t>
            </w:r>
            <w:r>
              <w:rPr>
                <w:spacing w:val="1"/>
              </w:rPr>
              <w:t xml:space="preserve"> </w:t>
            </w:r>
            <w:r>
              <w:rPr>
                <w:spacing w:val="-1"/>
              </w:rPr>
              <w:t>及其他混合物</w:t>
            </w:r>
            <w:r>
              <w:rPr>
                <w:spacing w:val="-12"/>
              </w:rPr>
              <w:t>；（</w:t>
            </w:r>
            <w:r>
              <w:rPr>
                <w:spacing w:val="-1"/>
              </w:rPr>
              <w:t>四）船舶在内河水域使用焚烧炉</w:t>
            </w:r>
            <w:r>
              <w:rPr>
                <w:spacing w:val="-12"/>
              </w:rPr>
              <w:t>；（</w:t>
            </w:r>
            <w:r>
              <w:rPr>
                <w:spacing w:val="-1"/>
              </w:rPr>
              <w:t>五）未按规定使用溢油分散剂。</w:t>
            </w:r>
          </w:p>
        </w:tc>
        <w:tc>
          <w:tcPr>
            <w:tcW w:w="1043" w:type="dxa"/>
            <w:vAlign w:val="top"/>
          </w:tcPr>
          <w:p w14:paraId="2CF15C26">
            <w:pPr>
              <w:rPr>
                <w:rFonts w:ascii="Arial"/>
                <w:sz w:val="21"/>
              </w:rPr>
            </w:pPr>
          </w:p>
        </w:tc>
        <w:tc>
          <w:tcPr>
            <w:tcW w:w="1448" w:type="dxa"/>
            <w:vAlign w:val="top"/>
          </w:tcPr>
          <w:p w14:paraId="23F5E408">
            <w:pPr>
              <w:rPr>
                <w:rFonts w:ascii="Arial"/>
                <w:sz w:val="21"/>
              </w:rPr>
            </w:pPr>
          </w:p>
        </w:tc>
        <w:tc>
          <w:tcPr>
            <w:tcW w:w="1047" w:type="dxa"/>
            <w:vAlign w:val="top"/>
          </w:tcPr>
          <w:p w14:paraId="524FC631">
            <w:pPr>
              <w:rPr>
                <w:rFonts w:ascii="Arial"/>
                <w:sz w:val="21"/>
              </w:rPr>
            </w:pPr>
          </w:p>
        </w:tc>
      </w:tr>
      <w:tr w14:paraId="6D5A0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5" w:hRule="atLeast"/>
        </w:trPr>
        <w:tc>
          <w:tcPr>
            <w:tcW w:w="641" w:type="dxa"/>
            <w:vAlign w:val="top"/>
          </w:tcPr>
          <w:p w14:paraId="558C298F">
            <w:pPr>
              <w:spacing w:line="251" w:lineRule="auto"/>
              <w:rPr>
                <w:rFonts w:ascii="Arial"/>
                <w:sz w:val="21"/>
              </w:rPr>
            </w:pPr>
          </w:p>
          <w:p w14:paraId="2E52012F">
            <w:pPr>
              <w:spacing w:line="251" w:lineRule="auto"/>
              <w:rPr>
                <w:rFonts w:ascii="Arial"/>
                <w:sz w:val="21"/>
              </w:rPr>
            </w:pPr>
          </w:p>
          <w:p w14:paraId="5461280B">
            <w:pPr>
              <w:spacing w:line="252" w:lineRule="auto"/>
              <w:rPr>
                <w:rFonts w:ascii="Arial"/>
                <w:sz w:val="21"/>
              </w:rPr>
            </w:pPr>
          </w:p>
          <w:p w14:paraId="571BA785">
            <w:pPr>
              <w:spacing w:line="252" w:lineRule="auto"/>
              <w:rPr>
                <w:rFonts w:ascii="Arial"/>
                <w:sz w:val="21"/>
              </w:rPr>
            </w:pPr>
          </w:p>
          <w:p w14:paraId="4C26A0F5">
            <w:pPr>
              <w:spacing w:line="252" w:lineRule="auto"/>
              <w:rPr>
                <w:rFonts w:ascii="Arial"/>
                <w:sz w:val="21"/>
              </w:rPr>
            </w:pPr>
          </w:p>
          <w:p w14:paraId="42741B3F">
            <w:pPr>
              <w:spacing w:line="252" w:lineRule="auto"/>
              <w:rPr>
                <w:rFonts w:ascii="Arial"/>
                <w:sz w:val="21"/>
              </w:rPr>
            </w:pPr>
          </w:p>
          <w:p w14:paraId="3D129CB1">
            <w:pPr>
              <w:spacing w:line="252" w:lineRule="auto"/>
              <w:rPr>
                <w:rFonts w:ascii="Arial"/>
                <w:sz w:val="21"/>
              </w:rPr>
            </w:pPr>
          </w:p>
          <w:p w14:paraId="3135FAF9">
            <w:pPr>
              <w:spacing w:line="252" w:lineRule="auto"/>
              <w:rPr>
                <w:rFonts w:ascii="Arial"/>
                <w:sz w:val="21"/>
              </w:rPr>
            </w:pPr>
          </w:p>
          <w:p w14:paraId="694F011B">
            <w:pPr>
              <w:spacing w:line="252" w:lineRule="auto"/>
              <w:rPr>
                <w:rFonts w:ascii="Arial"/>
                <w:sz w:val="21"/>
              </w:rPr>
            </w:pPr>
          </w:p>
          <w:p w14:paraId="4EAF5C38">
            <w:pPr>
              <w:spacing w:line="252" w:lineRule="auto"/>
              <w:rPr>
                <w:rFonts w:ascii="Arial"/>
                <w:sz w:val="21"/>
              </w:rPr>
            </w:pPr>
          </w:p>
          <w:p w14:paraId="68BAF5A0">
            <w:pPr>
              <w:spacing w:line="252" w:lineRule="auto"/>
              <w:rPr>
                <w:rFonts w:ascii="Arial"/>
                <w:sz w:val="21"/>
              </w:rPr>
            </w:pPr>
          </w:p>
          <w:p w14:paraId="7581115A">
            <w:pPr>
              <w:spacing w:line="252" w:lineRule="auto"/>
              <w:rPr>
                <w:rFonts w:ascii="Arial"/>
                <w:sz w:val="21"/>
              </w:rPr>
            </w:pPr>
          </w:p>
          <w:p w14:paraId="2176D2B6">
            <w:pPr>
              <w:spacing w:line="252" w:lineRule="auto"/>
              <w:rPr>
                <w:rFonts w:ascii="Arial"/>
                <w:sz w:val="21"/>
              </w:rPr>
            </w:pPr>
          </w:p>
          <w:p w14:paraId="4B5DE235">
            <w:pPr>
              <w:pStyle w:val="8"/>
              <w:spacing w:before="59" w:line="183" w:lineRule="auto"/>
              <w:ind w:left="236"/>
            </w:pPr>
            <w:r>
              <w:rPr>
                <w:spacing w:val="-4"/>
              </w:rPr>
              <w:t>68</w:t>
            </w:r>
          </w:p>
        </w:tc>
        <w:tc>
          <w:tcPr>
            <w:tcW w:w="1136" w:type="dxa"/>
            <w:vAlign w:val="top"/>
          </w:tcPr>
          <w:p w14:paraId="572E8C8D">
            <w:pPr>
              <w:spacing w:line="254" w:lineRule="auto"/>
              <w:rPr>
                <w:rFonts w:ascii="Arial"/>
                <w:sz w:val="21"/>
              </w:rPr>
            </w:pPr>
          </w:p>
          <w:p w14:paraId="4CB42966">
            <w:pPr>
              <w:spacing w:line="254" w:lineRule="auto"/>
              <w:rPr>
                <w:rFonts w:ascii="Arial"/>
                <w:sz w:val="21"/>
              </w:rPr>
            </w:pPr>
          </w:p>
          <w:p w14:paraId="3B8667B2">
            <w:pPr>
              <w:spacing w:line="254" w:lineRule="auto"/>
              <w:rPr>
                <w:rFonts w:ascii="Arial"/>
                <w:sz w:val="21"/>
              </w:rPr>
            </w:pPr>
          </w:p>
          <w:p w14:paraId="16398C55">
            <w:pPr>
              <w:spacing w:line="254" w:lineRule="auto"/>
              <w:rPr>
                <w:rFonts w:ascii="Arial"/>
                <w:sz w:val="21"/>
              </w:rPr>
            </w:pPr>
          </w:p>
          <w:p w14:paraId="3E4F23B6">
            <w:pPr>
              <w:spacing w:line="254" w:lineRule="auto"/>
              <w:rPr>
                <w:rFonts w:ascii="Arial"/>
                <w:sz w:val="21"/>
              </w:rPr>
            </w:pPr>
          </w:p>
          <w:p w14:paraId="7209DC7F">
            <w:pPr>
              <w:spacing w:line="254" w:lineRule="auto"/>
              <w:rPr>
                <w:rFonts w:ascii="Arial"/>
                <w:sz w:val="21"/>
              </w:rPr>
            </w:pPr>
          </w:p>
          <w:p w14:paraId="224314B3">
            <w:pPr>
              <w:spacing w:line="255" w:lineRule="auto"/>
              <w:rPr>
                <w:rFonts w:ascii="Arial"/>
                <w:sz w:val="21"/>
              </w:rPr>
            </w:pPr>
          </w:p>
          <w:p w14:paraId="14CD1C34">
            <w:pPr>
              <w:spacing w:line="255" w:lineRule="auto"/>
              <w:rPr>
                <w:rFonts w:ascii="Arial"/>
                <w:sz w:val="21"/>
              </w:rPr>
            </w:pPr>
          </w:p>
          <w:p w14:paraId="18646C6B">
            <w:pPr>
              <w:spacing w:line="255" w:lineRule="auto"/>
              <w:rPr>
                <w:rFonts w:ascii="Arial"/>
                <w:sz w:val="21"/>
              </w:rPr>
            </w:pPr>
          </w:p>
          <w:p w14:paraId="69C4FE78">
            <w:pPr>
              <w:pStyle w:val="8"/>
              <w:spacing w:before="58" w:line="244" w:lineRule="auto"/>
              <w:ind w:left="109" w:right="48"/>
              <w:jc w:val="both"/>
            </w:pPr>
            <w:r>
              <w:rPr>
                <w:spacing w:val="3"/>
              </w:rPr>
              <w:t>对船舶未按</w:t>
            </w:r>
            <w:r>
              <w:rPr>
                <w:spacing w:val="1"/>
              </w:rPr>
              <w:t xml:space="preserve"> </w:t>
            </w:r>
            <w:r>
              <w:rPr>
                <w:spacing w:val="3"/>
              </w:rPr>
              <w:t>规定如实记</w:t>
            </w:r>
            <w:r>
              <w:rPr>
                <w:spacing w:val="1"/>
              </w:rPr>
              <w:t xml:space="preserve"> </w:t>
            </w:r>
            <w:r>
              <w:rPr>
                <w:spacing w:val="-18"/>
              </w:rPr>
              <w:t>录油类作业、</w:t>
            </w:r>
            <w:r>
              <w:t xml:space="preserve"> </w:t>
            </w:r>
            <w:r>
              <w:rPr>
                <w:spacing w:val="3"/>
              </w:rPr>
              <w:t>散装有毒液</w:t>
            </w:r>
            <w:r>
              <w:rPr>
                <w:spacing w:val="1"/>
              </w:rPr>
              <w:t xml:space="preserve"> </w:t>
            </w:r>
            <w:r>
              <w:rPr>
                <w:spacing w:val="-18"/>
              </w:rPr>
              <w:t>体物质作业、</w:t>
            </w:r>
            <w:r>
              <w:t xml:space="preserve"> </w:t>
            </w:r>
            <w:r>
              <w:rPr>
                <w:spacing w:val="3"/>
              </w:rPr>
              <w:t>垃圾收集处</w:t>
            </w:r>
            <w:r>
              <w:rPr>
                <w:spacing w:val="1"/>
              </w:rPr>
              <w:t xml:space="preserve"> </w:t>
            </w:r>
            <w:r>
              <w:rPr>
                <w:spacing w:val="3"/>
              </w:rPr>
              <w:t>理情况等行</w:t>
            </w:r>
            <w:r>
              <w:rPr>
                <w:spacing w:val="1"/>
              </w:rPr>
              <w:t xml:space="preserve"> </w:t>
            </w:r>
            <w:r>
              <w:rPr>
                <w:spacing w:val="3"/>
              </w:rPr>
              <w:t>为的行政处</w:t>
            </w:r>
            <w:r>
              <w:rPr>
                <w:spacing w:val="1"/>
              </w:rPr>
              <w:t xml:space="preserve"> </w:t>
            </w:r>
            <w:r>
              <w:t>罚</w:t>
            </w:r>
          </w:p>
        </w:tc>
        <w:tc>
          <w:tcPr>
            <w:tcW w:w="1136" w:type="dxa"/>
            <w:vAlign w:val="top"/>
          </w:tcPr>
          <w:p w14:paraId="5ED82E3A">
            <w:pPr>
              <w:spacing w:line="249" w:lineRule="auto"/>
              <w:rPr>
                <w:rFonts w:ascii="Arial"/>
                <w:sz w:val="21"/>
              </w:rPr>
            </w:pPr>
          </w:p>
          <w:p w14:paraId="5CF8619C">
            <w:pPr>
              <w:spacing w:line="249" w:lineRule="auto"/>
              <w:rPr>
                <w:rFonts w:ascii="Arial"/>
                <w:sz w:val="21"/>
              </w:rPr>
            </w:pPr>
          </w:p>
          <w:p w14:paraId="186D89CC">
            <w:pPr>
              <w:spacing w:line="249" w:lineRule="auto"/>
              <w:rPr>
                <w:rFonts w:ascii="Arial"/>
                <w:sz w:val="21"/>
              </w:rPr>
            </w:pPr>
          </w:p>
          <w:p w14:paraId="45A7FF19">
            <w:pPr>
              <w:spacing w:line="249" w:lineRule="auto"/>
              <w:rPr>
                <w:rFonts w:ascii="Arial"/>
                <w:sz w:val="21"/>
              </w:rPr>
            </w:pPr>
          </w:p>
          <w:p w14:paraId="72D8A7F8">
            <w:pPr>
              <w:spacing w:line="250" w:lineRule="auto"/>
              <w:rPr>
                <w:rFonts w:ascii="Arial"/>
                <w:sz w:val="21"/>
              </w:rPr>
            </w:pPr>
          </w:p>
          <w:p w14:paraId="3C8DB1E1">
            <w:pPr>
              <w:spacing w:line="250" w:lineRule="auto"/>
              <w:rPr>
                <w:rFonts w:ascii="Arial"/>
                <w:sz w:val="21"/>
              </w:rPr>
            </w:pPr>
          </w:p>
          <w:p w14:paraId="535D7615">
            <w:pPr>
              <w:spacing w:line="250" w:lineRule="auto"/>
              <w:rPr>
                <w:rFonts w:ascii="Arial"/>
                <w:sz w:val="21"/>
              </w:rPr>
            </w:pPr>
          </w:p>
          <w:p w14:paraId="5D426A19">
            <w:pPr>
              <w:spacing w:line="250" w:lineRule="auto"/>
              <w:rPr>
                <w:rFonts w:ascii="Arial"/>
                <w:sz w:val="21"/>
              </w:rPr>
            </w:pPr>
          </w:p>
          <w:p w14:paraId="3EBC921F">
            <w:pPr>
              <w:spacing w:line="250" w:lineRule="auto"/>
              <w:rPr>
                <w:rFonts w:ascii="Arial"/>
                <w:sz w:val="21"/>
              </w:rPr>
            </w:pPr>
          </w:p>
          <w:p w14:paraId="548882FB">
            <w:pPr>
              <w:spacing w:line="250" w:lineRule="auto"/>
              <w:rPr>
                <w:rFonts w:ascii="Arial"/>
                <w:sz w:val="21"/>
              </w:rPr>
            </w:pPr>
          </w:p>
          <w:p w14:paraId="0B36C62E">
            <w:pPr>
              <w:spacing w:line="250" w:lineRule="auto"/>
              <w:rPr>
                <w:rFonts w:ascii="Arial"/>
                <w:sz w:val="21"/>
              </w:rPr>
            </w:pPr>
          </w:p>
          <w:p w14:paraId="4480939D">
            <w:pPr>
              <w:spacing w:line="250" w:lineRule="auto"/>
              <w:rPr>
                <w:rFonts w:ascii="Arial"/>
                <w:sz w:val="21"/>
              </w:rPr>
            </w:pPr>
          </w:p>
          <w:p w14:paraId="7DAE3DC8">
            <w:pPr>
              <w:spacing w:line="250" w:lineRule="auto"/>
              <w:rPr>
                <w:rFonts w:ascii="Arial"/>
                <w:sz w:val="21"/>
              </w:rPr>
            </w:pPr>
          </w:p>
          <w:p w14:paraId="799179A5">
            <w:pPr>
              <w:pStyle w:val="8"/>
              <w:spacing w:before="58" w:line="220" w:lineRule="auto"/>
              <w:ind w:left="114"/>
            </w:pPr>
            <w:r>
              <w:rPr>
                <w:spacing w:val="-7"/>
              </w:rPr>
              <w:t>行政处罚</w:t>
            </w:r>
          </w:p>
        </w:tc>
        <w:tc>
          <w:tcPr>
            <w:tcW w:w="8806" w:type="dxa"/>
            <w:vAlign w:val="top"/>
          </w:tcPr>
          <w:p w14:paraId="3ADC9DE1">
            <w:pPr>
              <w:spacing w:line="383" w:lineRule="auto"/>
              <w:rPr>
                <w:rFonts w:ascii="Arial"/>
                <w:sz w:val="21"/>
              </w:rPr>
            </w:pPr>
          </w:p>
          <w:p w14:paraId="757FCC3E">
            <w:pPr>
              <w:pStyle w:val="8"/>
              <w:spacing w:before="59" w:line="219" w:lineRule="auto"/>
              <w:ind w:left="447"/>
            </w:pPr>
            <w:r>
              <w:rPr>
                <w:b/>
                <w:bCs/>
                <w:spacing w:val="-3"/>
              </w:rPr>
              <w:t>《中华人民共和国防治船舶污染内河水域环境管理规定》（</w:t>
            </w:r>
            <w:r>
              <w:rPr>
                <w:b/>
                <w:bCs/>
                <w:spacing w:val="-4"/>
              </w:rPr>
              <w:t>交通运输部令2022年第26号）</w:t>
            </w:r>
          </w:p>
          <w:p w14:paraId="2D9F3C10">
            <w:pPr>
              <w:pStyle w:val="8"/>
              <w:spacing w:before="25" w:line="233" w:lineRule="auto"/>
              <w:ind w:left="112" w:right="179" w:firstLine="329"/>
            </w:pPr>
            <w:r>
              <w:rPr>
                <w:spacing w:val="-2"/>
              </w:rPr>
              <w:t>第十四条  150总吨及以上的油船、油驳和400总吨及以上的非油船、非油驳的拖驳船队应当将油类作</w:t>
            </w:r>
            <w:r>
              <w:rPr>
                <w:spacing w:val="-3"/>
              </w:rPr>
              <w:t>业情</w:t>
            </w:r>
            <w:r>
              <w:t xml:space="preserve"> </w:t>
            </w:r>
            <w:r>
              <w:rPr>
                <w:spacing w:val="-2"/>
              </w:rPr>
              <w:t>况如 实、规范地记录在经海事管理机构签注的《油类</w:t>
            </w:r>
            <w:r>
              <w:rPr>
                <w:spacing w:val="-3"/>
              </w:rPr>
              <w:t>记录簿》中。</w:t>
            </w:r>
          </w:p>
          <w:p w14:paraId="5D17CB24">
            <w:pPr>
              <w:pStyle w:val="8"/>
              <w:spacing w:before="27" w:line="232" w:lineRule="auto"/>
              <w:ind w:left="109" w:right="177" w:firstLine="345"/>
            </w:pPr>
            <w:r>
              <w:rPr>
                <w:spacing w:val="-2"/>
              </w:rPr>
              <w:t>150总吨以下的油船、油驳和400总吨以下的非油船、非油驳的拖驳船队</w:t>
            </w:r>
            <w:r>
              <w:rPr>
                <w:spacing w:val="-3"/>
              </w:rPr>
              <w:t>应当将油类作业情况如实、规范地</w:t>
            </w:r>
            <w:r>
              <w:t xml:space="preserve"> </w:t>
            </w:r>
            <w:r>
              <w:rPr>
                <w:spacing w:val="-3"/>
              </w:rPr>
              <w:t>记录在《轮机日志》或者《航行日志》中。</w:t>
            </w:r>
          </w:p>
          <w:p w14:paraId="4F8E3F3F">
            <w:pPr>
              <w:pStyle w:val="8"/>
              <w:spacing w:before="25" w:line="233" w:lineRule="auto"/>
              <w:ind w:left="110" w:right="177" w:firstLine="331"/>
            </w:pPr>
            <w:r>
              <w:rPr>
                <w:spacing w:val="-2"/>
              </w:rPr>
              <w:t>载运散装有毒液体物质的船舶应当将有关作业情况如实、规范地记录在经海事管理机</w:t>
            </w:r>
            <w:r>
              <w:rPr>
                <w:spacing w:val="-3"/>
              </w:rPr>
              <w:t>构签注的《货物记录</w:t>
            </w:r>
            <w:r>
              <w:t xml:space="preserve"> </w:t>
            </w:r>
            <w:r>
              <w:rPr>
                <w:spacing w:val="-3"/>
              </w:rPr>
              <w:t>簿》中。</w:t>
            </w:r>
          </w:p>
          <w:p w14:paraId="5C8E8BBD">
            <w:pPr>
              <w:pStyle w:val="8"/>
              <w:spacing w:before="26" w:line="219" w:lineRule="auto"/>
              <w:ind w:left="441"/>
            </w:pPr>
            <w:r>
              <w:rPr>
                <w:spacing w:val="-2"/>
              </w:rPr>
              <w:t>船舶应当将使用完毕的《油类记录簿》《货物记录簿》在船</w:t>
            </w:r>
            <w:r>
              <w:rPr>
                <w:spacing w:val="-3"/>
              </w:rPr>
              <w:t>上保留3年。</w:t>
            </w:r>
          </w:p>
          <w:p w14:paraId="30A441F7">
            <w:pPr>
              <w:pStyle w:val="8"/>
              <w:spacing w:before="26" w:line="234" w:lineRule="auto"/>
              <w:ind w:left="125" w:right="155" w:firstLine="340"/>
            </w:pPr>
            <w:r>
              <w:rPr>
                <w:spacing w:val="-2"/>
              </w:rPr>
              <w:t>第十五条  船长 12 米及以上的船舶应当设置符合格式要求的垃圾告示牌，告知船员和旅客关于</w:t>
            </w:r>
            <w:r>
              <w:rPr>
                <w:spacing w:val="-3"/>
              </w:rPr>
              <w:t>垃圾管理</w:t>
            </w:r>
            <w:r>
              <w:t xml:space="preserve"> </w:t>
            </w:r>
            <w:r>
              <w:rPr>
                <w:spacing w:val="-7"/>
              </w:rPr>
              <w:t>的要求。</w:t>
            </w:r>
          </w:p>
          <w:p w14:paraId="46746826">
            <w:pPr>
              <w:pStyle w:val="8"/>
              <w:spacing w:before="23"/>
              <w:ind w:left="111" w:right="104" w:firstLine="343"/>
            </w:pPr>
            <w:r>
              <w:rPr>
                <w:spacing w:val="-2"/>
              </w:rPr>
              <w:t>100总吨及以上的船舶以及经核准载运15名及以上人员且单次航程超过2公里或</w:t>
            </w:r>
            <w:r>
              <w:rPr>
                <w:spacing w:val="-3"/>
              </w:rPr>
              <w:t>者航行时间超过15分钟的船</w:t>
            </w:r>
            <w:r>
              <w:t xml:space="preserve">  </w:t>
            </w:r>
            <w:r>
              <w:rPr>
                <w:spacing w:val="-4"/>
              </w:rPr>
              <w:t>舶，应当持有《船舶垃圾管理计划》和海事管理机构签注的《船舶垃圾记录簿》， 并将有关垃圾收集处理情况</w:t>
            </w:r>
            <w:r>
              <w:rPr>
                <w:spacing w:val="3"/>
              </w:rPr>
              <w:t xml:space="preserve"> </w:t>
            </w:r>
            <w:r>
              <w:rPr>
                <w:spacing w:val="-3"/>
              </w:rPr>
              <w:t>如实、规范地记录于《船舶垃圾记录簿》中。《船舶垃圾记录簿》应当随时可供检查，使用完毕后在船上保留2</w:t>
            </w:r>
            <w:r>
              <w:rPr>
                <w:spacing w:val="1"/>
              </w:rPr>
              <w:t xml:space="preserve"> </w:t>
            </w:r>
            <w:r>
              <w:rPr>
                <w:spacing w:val="-4"/>
              </w:rPr>
              <w:t>年。</w:t>
            </w:r>
          </w:p>
          <w:p w14:paraId="402BDD08">
            <w:pPr>
              <w:pStyle w:val="8"/>
              <w:spacing w:before="25" w:line="219" w:lineRule="auto"/>
              <w:ind w:left="442"/>
            </w:pPr>
            <w:r>
              <w:rPr>
                <w:spacing w:val="-3"/>
              </w:rPr>
              <w:t>本条第二款规定以外的船舶应当将有关垃圾收集处理情况记录于《航行日志》中。</w:t>
            </w:r>
          </w:p>
          <w:p w14:paraId="64E29221">
            <w:pPr>
              <w:pStyle w:val="8"/>
              <w:spacing w:before="26" w:line="233" w:lineRule="auto"/>
              <w:ind w:left="111" w:right="180" w:firstLine="330"/>
            </w:pPr>
            <w:r>
              <w:rPr>
                <w:spacing w:val="-2"/>
              </w:rPr>
              <w:t>第二十一条  从事水上船舶清舱、洗舱、污染物接收、燃料供受、修造、打捞、拆解、</w:t>
            </w:r>
            <w:r>
              <w:rPr>
                <w:spacing w:val="-3"/>
              </w:rPr>
              <w:t>污染清除作业以及</w:t>
            </w:r>
            <w:r>
              <w:t xml:space="preserve"> </w:t>
            </w:r>
            <w:r>
              <w:rPr>
                <w:spacing w:val="-2"/>
              </w:rPr>
              <w:t>利用船舶进行其他水上水下活动的，应当遵守相关操作规程，采取必要的防</w:t>
            </w:r>
            <w:r>
              <w:rPr>
                <w:spacing w:val="-3"/>
              </w:rPr>
              <w:t>治污染措施。</w:t>
            </w:r>
          </w:p>
          <w:p w14:paraId="63B46921">
            <w:pPr>
              <w:pStyle w:val="8"/>
              <w:spacing w:before="27" w:line="232" w:lineRule="auto"/>
              <w:ind w:left="112" w:right="177" w:firstLine="329"/>
            </w:pPr>
            <w:r>
              <w:rPr>
                <w:spacing w:val="-2"/>
              </w:rPr>
              <w:t>船舶在港从事前款所列相关作业的，在开始作业时，应当通过甚高频、电话或者信息系</w:t>
            </w:r>
            <w:r>
              <w:rPr>
                <w:spacing w:val="-3"/>
              </w:rPr>
              <w:t>统等向海事管理机</w:t>
            </w:r>
            <w:r>
              <w:t xml:space="preserve"> </w:t>
            </w:r>
            <w:r>
              <w:rPr>
                <w:spacing w:val="-3"/>
              </w:rPr>
              <w:t>构报告作业时间、作业内容等信息。</w:t>
            </w:r>
          </w:p>
          <w:p w14:paraId="277B0E24">
            <w:pPr>
              <w:pStyle w:val="8"/>
              <w:spacing w:before="28" w:line="239" w:lineRule="auto"/>
              <w:ind w:left="109" w:right="59" w:firstLine="331"/>
              <w:jc w:val="both"/>
            </w:pPr>
            <w:r>
              <w:rPr>
                <w:spacing w:val="-3"/>
              </w:rPr>
              <w:t>第四十六条  违反本规定第十四条、第十五条、第二十一条有下列</w:t>
            </w:r>
            <w:r>
              <w:rPr>
                <w:spacing w:val="-4"/>
              </w:rPr>
              <w:t>情形之一的，由海事管理机构责令改正，</w:t>
            </w:r>
            <w:r>
              <w:t xml:space="preserve"> </w:t>
            </w:r>
            <w:r>
              <w:rPr>
                <w:spacing w:val="-2"/>
              </w:rPr>
              <w:t>并处以3000元以上1万元以下的罚款</w:t>
            </w:r>
            <w:r>
              <w:rPr>
                <w:spacing w:val="-23"/>
              </w:rPr>
              <w:t>：（</w:t>
            </w:r>
            <w:r>
              <w:rPr>
                <w:spacing w:val="-2"/>
              </w:rPr>
              <w:t>一）船舶未按规定如实记录油类作业、散装有毒液体物质作业、垃圾收</w:t>
            </w:r>
            <w:r>
              <w:rPr>
                <w:spacing w:val="1"/>
              </w:rPr>
              <w:t xml:space="preserve"> </w:t>
            </w:r>
            <w:r>
              <w:rPr>
                <w:spacing w:val="-1"/>
              </w:rPr>
              <w:t>集处理情况的</w:t>
            </w:r>
            <w:r>
              <w:rPr>
                <w:spacing w:val="-16"/>
              </w:rPr>
              <w:t>；（</w:t>
            </w:r>
            <w:r>
              <w:rPr>
                <w:spacing w:val="-1"/>
              </w:rPr>
              <w:t>二）船舶在港从事水上船舶清舱、</w:t>
            </w:r>
            <w:r>
              <w:rPr>
                <w:spacing w:val="-2"/>
              </w:rPr>
              <w:t>洗舱、污染物接收、燃料供受、修造、打捞、污染清除作</w:t>
            </w:r>
            <w:r>
              <w:t xml:space="preserve">  </w:t>
            </w:r>
            <w:r>
              <w:rPr>
                <w:spacing w:val="-3"/>
              </w:rPr>
              <w:t>业活动，未按规定向海事管理机构报告的。</w:t>
            </w:r>
          </w:p>
          <w:p w14:paraId="01929211">
            <w:pPr>
              <w:pStyle w:val="8"/>
              <w:spacing w:before="27" w:line="233" w:lineRule="auto"/>
              <w:ind w:left="114" w:right="222" w:firstLine="326"/>
            </w:pPr>
            <w:r>
              <w:rPr>
                <w:spacing w:val="-3"/>
              </w:rPr>
              <w:t>船舶未按规定保存《油类记录簿》《货物记录簿》和《船舶垃圾记录簿》的，由海事管理</w:t>
            </w:r>
            <w:r>
              <w:rPr>
                <w:spacing w:val="-4"/>
              </w:rPr>
              <w:t>机构责令改正，</w:t>
            </w:r>
            <w:r>
              <w:t xml:space="preserve"> </w:t>
            </w:r>
            <w:r>
              <w:rPr>
                <w:spacing w:val="-2"/>
              </w:rPr>
              <w:t>并处以1000元以上5000元以下的罚款。</w:t>
            </w:r>
          </w:p>
        </w:tc>
        <w:tc>
          <w:tcPr>
            <w:tcW w:w="1043" w:type="dxa"/>
            <w:vAlign w:val="top"/>
          </w:tcPr>
          <w:p w14:paraId="39E46540">
            <w:pPr>
              <w:spacing w:line="248" w:lineRule="auto"/>
              <w:jc w:val="center"/>
              <w:rPr>
                <w:rFonts w:hint="eastAsia" w:ascii="宋体" w:hAnsi="宋体" w:eastAsia="宋体" w:cs="宋体"/>
                <w:spacing w:val="-5"/>
                <w:sz w:val="18"/>
                <w:szCs w:val="18"/>
              </w:rPr>
            </w:pPr>
          </w:p>
          <w:p w14:paraId="01E6ECC2">
            <w:pPr>
              <w:spacing w:line="248" w:lineRule="auto"/>
              <w:jc w:val="center"/>
              <w:rPr>
                <w:rFonts w:hint="eastAsia" w:ascii="宋体" w:hAnsi="宋体" w:eastAsia="宋体" w:cs="宋体"/>
                <w:spacing w:val="-5"/>
                <w:sz w:val="18"/>
                <w:szCs w:val="18"/>
              </w:rPr>
            </w:pPr>
          </w:p>
          <w:p w14:paraId="4A7CD10B">
            <w:pPr>
              <w:spacing w:line="248" w:lineRule="auto"/>
              <w:jc w:val="center"/>
              <w:rPr>
                <w:rFonts w:hint="eastAsia" w:ascii="宋体" w:hAnsi="宋体" w:eastAsia="宋体" w:cs="宋体"/>
                <w:spacing w:val="-5"/>
                <w:sz w:val="18"/>
                <w:szCs w:val="18"/>
              </w:rPr>
            </w:pPr>
          </w:p>
          <w:p w14:paraId="601B42FE">
            <w:pPr>
              <w:spacing w:line="248" w:lineRule="auto"/>
              <w:jc w:val="center"/>
              <w:rPr>
                <w:rFonts w:hint="eastAsia" w:ascii="宋体" w:hAnsi="宋体" w:eastAsia="宋体" w:cs="宋体"/>
                <w:spacing w:val="-5"/>
                <w:sz w:val="18"/>
                <w:szCs w:val="18"/>
              </w:rPr>
            </w:pPr>
          </w:p>
          <w:p w14:paraId="7F3BCFBE">
            <w:pPr>
              <w:spacing w:line="248" w:lineRule="auto"/>
              <w:jc w:val="center"/>
              <w:rPr>
                <w:rFonts w:hint="eastAsia" w:ascii="宋体" w:hAnsi="宋体" w:eastAsia="宋体" w:cs="宋体"/>
                <w:spacing w:val="-5"/>
                <w:sz w:val="18"/>
                <w:szCs w:val="18"/>
              </w:rPr>
            </w:pPr>
          </w:p>
          <w:p w14:paraId="22A44B34">
            <w:pPr>
              <w:spacing w:line="248" w:lineRule="auto"/>
              <w:jc w:val="center"/>
              <w:rPr>
                <w:rFonts w:hint="eastAsia" w:ascii="宋体" w:hAnsi="宋体" w:eastAsia="宋体" w:cs="宋体"/>
                <w:spacing w:val="-5"/>
                <w:sz w:val="18"/>
                <w:szCs w:val="18"/>
              </w:rPr>
            </w:pPr>
          </w:p>
          <w:p w14:paraId="28914987">
            <w:pPr>
              <w:spacing w:line="248" w:lineRule="auto"/>
              <w:jc w:val="center"/>
              <w:rPr>
                <w:rFonts w:hint="eastAsia" w:ascii="宋体" w:hAnsi="宋体" w:eastAsia="宋体" w:cs="宋体"/>
                <w:spacing w:val="-5"/>
                <w:sz w:val="18"/>
                <w:szCs w:val="18"/>
              </w:rPr>
            </w:pPr>
          </w:p>
          <w:p w14:paraId="74C3CB64">
            <w:pPr>
              <w:spacing w:line="248" w:lineRule="auto"/>
              <w:jc w:val="center"/>
              <w:rPr>
                <w:rFonts w:hint="eastAsia" w:ascii="宋体" w:hAnsi="宋体" w:eastAsia="宋体" w:cs="宋体"/>
                <w:spacing w:val="-5"/>
                <w:sz w:val="18"/>
                <w:szCs w:val="18"/>
              </w:rPr>
            </w:pPr>
          </w:p>
          <w:p w14:paraId="5A63785A">
            <w:pPr>
              <w:spacing w:line="248" w:lineRule="auto"/>
              <w:jc w:val="center"/>
              <w:rPr>
                <w:rFonts w:hint="eastAsia" w:ascii="宋体" w:hAnsi="宋体" w:eastAsia="宋体" w:cs="宋体"/>
                <w:spacing w:val="-5"/>
                <w:sz w:val="18"/>
                <w:szCs w:val="18"/>
              </w:rPr>
            </w:pPr>
          </w:p>
          <w:p w14:paraId="18BF54D8">
            <w:pPr>
              <w:spacing w:line="248" w:lineRule="auto"/>
              <w:jc w:val="center"/>
              <w:rPr>
                <w:rFonts w:hint="eastAsia" w:ascii="宋体" w:hAnsi="宋体" w:eastAsia="宋体" w:cs="宋体"/>
                <w:spacing w:val="-5"/>
                <w:sz w:val="18"/>
                <w:szCs w:val="18"/>
              </w:rPr>
            </w:pPr>
          </w:p>
          <w:p w14:paraId="134082F3">
            <w:pPr>
              <w:spacing w:line="248" w:lineRule="auto"/>
              <w:jc w:val="center"/>
              <w:rPr>
                <w:rFonts w:hint="eastAsia" w:ascii="宋体" w:hAnsi="宋体" w:eastAsia="宋体" w:cs="宋体"/>
                <w:spacing w:val="-5"/>
                <w:sz w:val="18"/>
                <w:szCs w:val="18"/>
              </w:rPr>
            </w:pPr>
          </w:p>
          <w:p w14:paraId="63AB5306">
            <w:pPr>
              <w:spacing w:line="248" w:lineRule="auto"/>
              <w:jc w:val="center"/>
              <w:rPr>
                <w:rFonts w:hint="eastAsia" w:ascii="宋体" w:hAnsi="宋体" w:eastAsia="宋体" w:cs="宋体"/>
                <w:spacing w:val="-5"/>
                <w:sz w:val="18"/>
                <w:szCs w:val="18"/>
              </w:rPr>
            </w:pPr>
          </w:p>
          <w:p w14:paraId="3F620A2E">
            <w:pPr>
              <w:spacing w:line="248" w:lineRule="auto"/>
              <w:jc w:val="center"/>
              <w:rPr>
                <w:rFonts w:hint="eastAsia" w:ascii="宋体" w:hAnsi="宋体" w:eastAsia="宋体" w:cs="宋体"/>
                <w:spacing w:val="-5"/>
                <w:sz w:val="18"/>
                <w:szCs w:val="18"/>
              </w:rPr>
            </w:pPr>
          </w:p>
          <w:p w14:paraId="39655E12">
            <w:pPr>
              <w:spacing w:line="248" w:lineRule="auto"/>
              <w:jc w:val="center"/>
              <w:rPr>
                <w:rFonts w:hint="eastAsia" w:ascii="宋体" w:hAnsi="宋体" w:eastAsia="宋体" w:cs="宋体"/>
                <w:spacing w:val="-5"/>
                <w:sz w:val="18"/>
                <w:szCs w:val="18"/>
              </w:rPr>
            </w:pPr>
          </w:p>
          <w:p w14:paraId="7983D801">
            <w:pPr>
              <w:spacing w:line="248" w:lineRule="auto"/>
              <w:jc w:val="center"/>
              <w:rPr>
                <w:rFonts w:ascii="Arial"/>
                <w:sz w:val="21"/>
              </w:rPr>
            </w:pPr>
            <w:r>
              <w:rPr>
                <w:rFonts w:hint="eastAsia" w:ascii="宋体" w:hAnsi="宋体" w:eastAsia="宋体" w:cs="宋体"/>
                <w:spacing w:val="-5"/>
                <w:sz w:val="18"/>
                <w:szCs w:val="18"/>
              </w:rPr>
              <w:t>交通运输</w:t>
            </w:r>
            <w:r>
              <w:rPr>
                <w:rFonts w:hint="eastAsia" w:ascii="宋体" w:hAnsi="宋体" w:eastAsia="宋体" w:cs="宋体"/>
                <w:spacing w:val="-5"/>
                <w:sz w:val="18"/>
                <w:szCs w:val="18"/>
                <w:lang w:val="en-US" w:eastAsia="zh-CN"/>
              </w:rPr>
              <w:t xml:space="preserve"> </w:t>
            </w:r>
            <w:r>
              <w:rPr>
                <w:rFonts w:hint="eastAsia" w:ascii="宋体" w:hAnsi="宋体" w:eastAsia="宋体" w:cs="宋体"/>
                <w:spacing w:val="1"/>
                <w:sz w:val="18"/>
                <w:szCs w:val="18"/>
              </w:rPr>
              <w:t xml:space="preserve"> </w:t>
            </w:r>
            <w:r>
              <w:rPr>
                <w:rFonts w:hint="eastAsia" w:ascii="宋体" w:hAnsi="宋体" w:eastAsia="宋体" w:cs="宋体"/>
                <w:spacing w:val="-4"/>
                <w:sz w:val="18"/>
                <w:szCs w:val="18"/>
              </w:rPr>
              <w:t>主管部门</w:t>
            </w:r>
          </w:p>
        </w:tc>
        <w:tc>
          <w:tcPr>
            <w:tcW w:w="1448" w:type="dxa"/>
            <w:vAlign w:val="top"/>
          </w:tcPr>
          <w:p w14:paraId="659B51E7">
            <w:pPr>
              <w:spacing w:line="249" w:lineRule="auto"/>
              <w:rPr>
                <w:rFonts w:ascii="Arial"/>
                <w:sz w:val="21"/>
              </w:rPr>
            </w:pPr>
          </w:p>
          <w:p w14:paraId="4EBA4FDA">
            <w:pPr>
              <w:spacing w:line="249" w:lineRule="auto"/>
              <w:rPr>
                <w:rFonts w:ascii="Arial"/>
                <w:sz w:val="21"/>
              </w:rPr>
            </w:pPr>
          </w:p>
          <w:p w14:paraId="11ED7558">
            <w:pPr>
              <w:spacing w:line="249" w:lineRule="auto"/>
              <w:rPr>
                <w:rFonts w:ascii="Arial"/>
                <w:sz w:val="21"/>
              </w:rPr>
            </w:pPr>
          </w:p>
          <w:p w14:paraId="227FF870">
            <w:pPr>
              <w:spacing w:line="249" w:lineRule="auto"/>
              <w:rPr>
                <w:rFonts w:ascii="Arial"/>
                <w:sz w:val="21"/>
              </w:rPr>
            </w:pPr>
          </w:p>
          <w:p w14:paraId="24D45D46">
            <w:pPr>
              <w:spacing w:line="250" w:lineRule="auto"/>
              <w:rPr>
                <w:rFonts w:ascii="Arial"/>
                <w:sz w:val="21"/>
              </w:rPr>
            </w:pPr>
          </w:p>
          <w:p w14:paraId="70AACF4D">
            <w:pPr>
              <w:spacing w:line="250" w:lineRule="auto"/>
              <w:rPr>
                <w:rFonts w:ascii="Arial"/>
                <w:sz w:val="21"/>
              </w:rPr>
            </w:pPr>
          </w:p>
          <w:p w14:paraId="14F1F271">
            <w:pPr>
              <w:spacing w:line="250" w:lineRule="auto"/>
              <w:rPr>
                <w:rFonts w:ascii="Arial"/>
                <w:sz w:val="21"/>
              </w:rPr>
            </w:pPr>
          </w:p>
          <w:p w14:paraId="45E3B094">
            <w:pPr>
              <w:spacing w:line="250" w:lineRule="auto"/>
              <w:rPr>
                <w:rFonts w:ascii="Arial"/>
                <w:sz w:val="21"/>
              </w:rPr>
            </w:pPr>
          </w:p>
          <w:p w14:paraId="0AFCAADD">
            <w:pPr>
              <w:spacing w:line="250" w:lineRule="auto"/>
              <w:rPr>
                <w:rFonts w:ascii="Arial"/>
                <w:sz w:val="21"/>
              </w:rPr>
            </w:pPr>
          </w:p>
          <w:p w14:paraId="6CBAD7C1">
            <w:pPr>
              <w:spacing w:line="250" w:lineRule="auto"/>
              <w:rPr>
                <w:rFonts w:ascii="Arial"/>
                <w:sz w:val="21"/>
              </w:rPr>
            </w:pPr>
          </w:p>
          <w:p w14:paraId="47811D95">
            <w:pPr>
              <w:spacing w:line="250" w:lineRule="auto"/>
              <w:rPr>
                <w:rFonts w:ascii="Arial"/>
                <w:sz w:val="21"/>
              </w:rPr>
            </w:pPr>
          </w:p>
          <w:p w14:paraId="79C1BF4A">
            <w:pPr>
              <w:spacing w:line="250" w:lineRule="auto"/>
              <w:rPr>
                <w:rFonts w:ascii="Arial"/>
                <w:sz w:val="21"/>
              </w:rPr>
            </w:pPr>
          </w:p>
          <w:p w14:paraId="5FBFA338">
            <w:pPr>
              <w:spacing w:line="250" w:lineRule="auto"/>
              <w:rPr>
                <w:rFonts w:ascii="Arial"/>
                <w:sz w:val="21"/>
              </w:rPr>
            </w:pPr>
          </w:p>
          <w:p w14:paraId="240D2C50">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4F44BD1">
            <w:pPr>
              <w:rPr>
                <w:rFonts w:ascii="Arial"/>
                <w:sz w:val="21"/>
              </w:rPr>
            </w:pPr>
          </w:p>
          <w:p w14:paraId="38C5457B">
            <w:pPr>
              <w:rPr>
                <w:rFonts w:ascii="Arial"/>
                <w:sz w:val="21"/>
              </w:rPr>
            </w:pPr>
          </w:p>
          <w:p w14:paraId="4029E494">
            <w:pPr>
              <w:rPr>
                <w:rFonts w:ascii="Arial"/>
                <w:sz w:val="21"/>
              </w:rPr>
            </w:pPr>
          </w:p>
          <w:p w14:paraId="654789C8">
            <w:pPr>
              <w:spacing w:line="241" w:lineRule="auto"/>
              <w:rPr>
                <w:rFonts w:ascii="Arial"/>
                <w:sz w:val="21"/>
              </w:rPr>
            </w:pPr>
          </w:p>
          <w:p w14:paraId="15D9E788">
            <w:pPr>
              <w:spacing w:line="241" w:lineRule="auto"/>
              <w:rPr>
                <w:rFonts w:ascii="Arial"/>
                <w:sz w:val="21"/>
              </w:rPr>
            </w:pPr>
          </w:p>
          <w:p w14:paraId="385764EA">
            <w:pPr>
              <w:spacing w:line="241" w:lineRule="auto"/>
              <w:rPr>
                <w:rFonts w:ascii="Arial"/>
                <w:sz w:val="21"/>
              </w:rPr>
            </w:pPr>
          </w:p>
          <w:p w14:paraId="2D165FDA">
            <w:pPr>
              <w:spacing w:line="241" w:lineRule="auto"/>
              <w:rPr>
                <w:rFonts w:ascii="Arial"/>
                <w:sz w:val="21"/>
              </w:rPr>
            </w:pPr>
          </w:p>
          <w:p w14:paraId="5655ED39">
            <w:pPr>
              <w:spacing w:line="241" w:lineRule="auto"/>
              <w:rPr>
                <w:rFonts w:ascii="Arial"/>
                <w:sz w:val="21"/>
              </w:rPr>
            </w:pPr>
          </w:p>
          <w:p w14:paraId="1CDFC0DC">
            <w:pPr>
              <w:spacing w:line="241" w:lineRule="auto"/>
              <w:rPr>
                <w:rFonts w:ascii="Arial"/>
                <w:sz w:val="21"/>
              </w:rPr>
            </w:pPr>
          </w:p>
          <w:p w14:paraId="66F7B64F">
            <w:pPr>
              <w:spacing w:line="241" w:lineRule="auto"/>
              <w:rPr>
                <w:rFonts w:ascii="Arial"/>
                <w:sz w:val="21"/>
              </w:rPr>
            </w:pPr>
          </w:p>
          <w:p w14:paraId="50212731">
            <w:pPr>
              <w:spacing w:line="241" w:lineRule="auto"/>
              <w:rPr>
                <w:rFonts w:ascii="Arial"/>
                <w:sz w:val="21"/>
              </w:rPr>
            </w:pPr>
          </w:p>
          <w:p w14:paraId="6BBA6475">
            <w:pPr>
              <w:spacing w:line="241" w:lineRule="auto"/>
              <w:rPr>
                <w:rFonts w:ascii="Arial"/>
                <w:sz w:val="21"/>
              </w:rPr>
            </w:pPr>
          </w:p>
          <w:p w14:paraId="3C95229E">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60EEEDE2">
      <w:pPr>
        <w:pStyle w:val="2"/>
      </w:pPr>
    </w:p>
    <w:p w14:paraId="3E551800">
      <w:pPr>
        <w:sectPr>
          <w:footerReference r:id="rId200" w:type="default"/>
          <w:pgSz w:w="16839" w:h="11906"/>
          <w:pgMar w:top="1012" w:right="788" w:bottom="967" w:left="787" w:header="0" w:footer="768" w:gutter="0"/>
          <w:cols w:space="720" w:num="1"/>
        </w:sectPr>
      </w:pPr>
    </w:p>
    <w:p w14:paraId="22E466A3">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78CB0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00E225B7">
            <w:pPr>
              <w:pStyle w:val="8"/>
              <w:spacing w:before="267" w:line="221" w:lineRule="auto"/>
              <w:ind w:left="142"/>
            </w:pPr>
            <w:r>
              <w:rPr>
                <w:b/>
                <w:bCs/>
                <w:spacing w:val="-4"/>
              </w:rPr>
              <w:t>序号</w:t>
            </w:r>
          </w:p>
        </w:tc>
        <w:tc>
          <w:tcPr>
            <w:tcW w:w="1136" w:type="dxa"/>
            <w:vMerge w:val="restart"/>
            <w:tcBorders>
              <w:bottom w:val="nil"/>
            </w:tcBorders>
            <w:vAlign w:val="top"/>
          </w:tcPr>
          <w:p w14:paraId="1816B6E2">
            <w:pPr>
              <w:pStyle w:val="8"/>
              <w:spacing w:before="267" w:line="220" w:lineRule="auto"/>
              <w:ind w:left="208"/>
            </w:pPr>
            <w:r>
              <w:rPr>
                <w:b/>
                <w:bCs/>
                <w:spacing w:val="-4"/>
              </w:rPr>
              <w:t>事项名称</w:t>
            </w:r>
          </w:p>
        </w:tc>
        <w:tc>
          <w:tcPr>
            <w:tcW w:w="1136" w:type="dxa"/>
            <w:vMerge w:val="restart"/>
            <w:tcBorders>
              <w:bottom w:val="nil"/>
            </w:tcBorders>
            <w:vAlign w:val="top"/>
          </w:tcPr>
          <w:p w14:paraId="03B1DC03">
            <w:pPr>
              <w:pStyle w:val="8"/>
              <w:spacing w:before="267" w:line="219" w:lineRule="auto"/>
              <w:ind w:left="210"/>
            </w:pPr>
            <w:r>
              <w:rPr>
                <w:b/>
                <w:bCs/>
                <w:spacing w:val="-4"/>
              </w:rPr>
              <w:t>职权类型</w:t>
            </w:r>
          </w:p>
        </w:tc>
        <w:tc>
          <w:tcPr>
            <w:tcW w:w="8806" w:type="dxa"/>
            <w:vMerge w:val="restart"/>
            <w:tcBorders>
              <w:bottom w:val="nil"/>
            </w:tcBorders>
            <w:vAlign w:val="top"/>
          </w:tcPr>
          <w:p w14:paraId="4EEF9AAF">
            <w:pPr>
              <w:pStyle w:val="8"/>
              <w:spacing w:before="267" w:line="219" w:lineRule="auto"/>
              <w:ind w:left="4050"/>
            </w:pPr>
            <w:r>
              <w:rPr>
                <w:b/>
                <w:bCs/>
                <w:spacing w:val="-5"/>
              </w:rPr>
              <w:t>实施依据</w:t>
            </w:r>
          </w:p>
        </w:tc>
        <w:tc>
          <w:tcPr>
            <w:tcW w:w="3538" w:type="dxa"/>
            <w:gridSpan w:val="3"/>
            <w:vAlign w:val="top"/>
          </w:tcPr>
          <w:p w14:paraId="6ADA27B0">
            <w:pPr>
              <w:pStyle w:val="8"/>
              <w:spacing w:before="92" w:line="220" w:lineRule="auto"/>
              <w:ind w:left="1415"/>
            </w:pPr>
            <w:r>
              <w:rPr>
                <w:b/>
                <w:bCs/>
                <w:spacing w:val="-5"/>
              </w:rPr>
              <w:t>实施主体</w:t>
            </w:r>
          </w:p>
        </w:tc>
      </w:tr>
      <w:tr w14:paraId="27D65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3CC59BB5">
            <w:pPr>
              <w:rPr>
                <w:rFonts w:ascii="Arial"/>
                <w:sz w:val="21"/>
              </w:rPr>
            </w:pPr>
          </w:p>
        </w:tc>
        <w:tc>
          <w:tcPr>
            <w:tcW w:w="1136" w:type="dxa"/>
            <w:vMerge w:val="continue"/>
            <w:tcBorders>
              <w:top w:val="nil"/>
            </w:tcBorders>
            <w:vAlign w:val="top"/>
          </w:tcPr>
          <w:p w14:paraId="63B507CE">
            <w:pPr>
              <w:rPr>
                <w:rFonts w:ascii="Arial"/>
                <w:sz w:val="21"/>
              </w:rPr>
            </w:pPr>
          </w:p>
        </w:tc>
        <w:tc>
          <w:tcPr>
            <w:tcW w:w="1136" w:type="dxa"/>
            <w:vMerge w:val="continue"/>
            <w:tcBorders>
              <w:top w:val="nil"/>
            </w:tcBorders>
            <w:vAlign w:val="top"/>
          </w:tcPr>
          <w:p w14:paraId="54B7D2BF">
            <w:pPr>
              <w:rPr>
                <w:rFonts w:ascii="Arial"/>
                <w:sz w:val="21"/>
              </w:rPr>
            </w:pPr>
          </w:p>
        </w:tc>
        <w:tc>
          <w:tcPr>
            <w:tcW w:w="8806" w:type="dxa"/>
            <w:vMerge w:val="continue"/>
            <w:tcBorders>
              <w:top w:val="nil"/>
            </w:tcBorders>
            <w:vAlign w:val="top"/>
          </w:tcPr>
          <w:p w14:paraId="6B4F07E4">
            <w:pPr>
              <w:rPr>
                <w:rFonts w:ascii="Arial"/>
                <w:sz w:val="21"/>
              </w:rPr>
            </w:pPr>
          </w:p>
        </w:tc>
        <w:tc>
          <w:tcPr>
            <w:tcW w:w="1043" w:type="dxa"/>
            <w:vAlign w:val="top"/>
          </w:tcPr>
          <w:p w14:paraId="6CC03978">
            <w:pPr>
              <w:pStyle w:val="8"/>
              <w:spacing w:before="88" w:line="219" w:lineRule="auto"/>
              <w:ind w:left="171"/>
            </w:pPr>
            <w:r>
              <w:rPr>
                <w:b/>
                <w:bCs/>
                <w:spacing w:val="-5"/>
              </w:rPr>
              <w:t>责任部门</w:t>
            </w:r>
          </w:p>
        </w:tc>
        <w:tc>
          <w:tcPr>
            <w:tcW w:w="1448" w:type="dxa"/>
            <w:vAlign w:val="top"/>
          </w:tcPr>
          <w:p w14:paraId="12146FE4">
            <w:pPr>
              <w:pStyle w:val="8"/>
              <w:spacing w:before="88" w:line="219" w:lineRule="auto"/>
              <w:ind w:left="187"/>
            </w:pPr>
            <w:r>
              <w:rPr>
                <w:b/>
                <w:bCs/>
                <w:spacing w:val="-3"/>
              </w:rPr>
              <w:t>第一责任层级</w:t>
            </w:r>
          </w:p>
        </w:tc>
        <w:tc>
          <w:tcPr>
            <w:tcW w:w="1047" w:type="dxa"/>
            <w:vAlign w:val="top"/>
          </w:tcPr>
          <w:p w14:paraId="2FBC12D4">
            <w:pPr>
              <w:pStyle w:val="8"/>
              <w:spacing w:before="88" w:line="219" w:lineRule="auto"/>
              <w:ind w:left="165"/>
            </w:pPr>
            <w:r>
              <w:rPr>
                <w:b/>
                <w:bCs/>
                <w:spacing w:val="-4"/>
              </w:rPr>
              <w:t>承办机构</w:t>
            </w:r>
          </w:p>
        </w:tc>
      </w:tr>
      <w:tr w14:paraId="61BE5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8" w:hRule="atLeast"/>
        </w:trPr>
        <w:tc>
          <w:tcPr>
            <w:tcW w:w="641" w:type="dxa"/>
            <w:vAlign w:val="top"/>
          </w:tcPr>
          <w:p w14:paraId="6788E8ED">
            <w:pPr>
              <w:spacing w:line="241" w:lineRule="auto"/>
              <w:rPr>
                <w:rFonts w:ascii="Arial"/>
                <w:sz w:val="21"/>
              </w:rPr>
            </w:pPr>
          </w:p>
          <w:p w14:paraId="06DE6F0C">
            <w:pPr>
              <w:spacing w:line="241" w:lineRule="auto"/>
              <w:rPr>
                <w:rFonts w:ascii="Arial"/>
                <w:sz w:val="21"/>
              </w:rPr>
            </w:pPr>
          </w:p>
          <w:p w14:paraId="493E8A40">
            <w:pPr>
              <w:spacing w:line="241" w:lineRule="auto"/>
              <w:rPr>
                <w:rFonts w:ascii="Arial"/>
                <w:sz w:val="21"/>
              </w:rPr>
            </w:pPr>
          </w:p>
          <w:p w14:paraId="7E00DAF7">
            <w:pPr>
              <w:spacing w:line="241" w:lineRule="auto"/>
              <w:rPr>
                <w:rFonts w:ascii="Arial"/>
                <w:sz w:val="21"/>
              </w:rPr>
            </w:pPr>
          </w:p>
          <w:p w14:paraId="0D7611DC">
            <w:pPr>
              <w:spacing w:line="241" w:lineRule="auto"/>
              <w:rPr>
                <w:rFonts w:ascii="Arial"/>
                <w:sz w:val="21"/>
              </w:rPr>
            </w:pPr>
          </w:p>
          <w:p w14:paraId="15213B82">
            <w:pPr>
              <w:spacing w:line="241" w:lineRule="auto"/>
              <w:rPr>
                <w:rFonts w:ascii="Arial"/>
                <w:sz w:val="21"/>
              </w:rPr>
            </w:pPr>
          </w:p>
          <w:p w14:paraId="66783840">
            <w:pPr>
              <w:spacing w:line="241" w:lineRule="auto"/>
              <w:rPr>
                <w:rFonts w:ascii="Arial"/>
                <w:sz w:val="21"/>
              </w:rPr>
            </w:pPr>
          </w:p>
          <w:p w14:paraId="10D68675">
            <w:pPr>
              <w:spacing w:line="241" w:lineRule="auto"/>
              <w:rPr>
                <w:rFonts w:ascii="Arial"/>
                <w:sz w:val="21"/>
              </w:rPr>
            </w:pPr>
          </w:p>
          <w:p w14:paraId="3A2B51E6">
            <w:pPr>
              <w:spacing w:line="241" w:lineRule="auto"/>
              <w:rPr>
                <w:rFonts w:ascii="Arial"/>
                <w:sz w:val="21"/>
              </w:rPr>
            </w:pPr>
          </w:p>
          <w:p w14:paraId="7FFFEE82">
            <w:pPr>
              <w:spacing w:line="242" w:lineRule="auto"/>
              <w:rPr>
                <w:rFonts w:ascii="Arial"/>
                <w:sz w:val="21"/>
              </w:rPr>
            </w:pPr>
          </w:p>
          <w:p w14:paraId="572384F7">
            <w:pPr>
              <w:spacing w:line="242" w:lineRule="auto"/>
              <w:rPr>
                <w:rFonts w:ascii="Arial"/>
                <w:sz w:val="21"/>
              </w:rPr>
            </w:pPr>
          </w:p>
          <w:p w14:paraId="3F5E7268">
            <w:pPr>
              <w:spacing w:line="242" w:lineRule="auto"/>
              <w:rPr>
                <w:rFonts w:ascii="Arial"/>
                <w:sz w:val="21"/>
              </w:rPr>
            </w:pPr>
          </w:p>
          <w:p w14:paraId="05C93396">
            <w:pPr>
              <w:spacing w:line="242" w:lineRule="auto"/>
              <w:rPr>
                <w:rFonts w:ascii="Arial"/>
                <w:sz w:val="21"/>
              </w:rPr>
            </w:pPr>
          </w:p>
          <w:p w14:paraId="09CBA603">
            <w:pPr>
              <w:spacing w:line="242" w:lineRule="auto"/>
              <w:rPr>
                <w:rFonts w:ascii="Arial"/>
                <w:sz w:val="21"/>
              </w:rPr>
            </w:pPr>
          </w:p>
          <w:p w14:paraId="33B0A247">
            <w:pPr>
              <w:spacing w:line="242" w:lineRule="auto"/>
              <w:rPr>
                <w:rFonts w:ascii="Arial"/>
                <w:sz w:val="21"/>
              </w:rPr>
            </w:pPr>
          </w:p>
          <w:p w14:paraId="358E1143">
            <w:pPr>
              <w:spacing w:line="242" w:lineRule="auto"/>
              <w:rPr>
                <w:rFonts w:ascii="Arial"/>
                <w:sz w:val="21"/>
              </w:rPr>
            </w:pPr>
          </w:p>
          <w:p w14:paraId="50507EA3">
            <w:pPr>
              <w:pStyle w:val="8"/>
              <w:spacing w:before="58" w:line="183" w:lineRule="auto"/>
              <w:ind w:left="236"/>
            </w:pPr>
            <w:r>
              <w:rPr>
                <w:spacing w:val="-4"/>
              </w:rPr>
              <w:t>69</w:t>
            </w:r>
          </w:p>
        </w:tc>
        <w:tc>
          <w:tcPr>
            <w:tcW w:w="1136" w:type="dxa"/>
            <w:vAlign w:val="top"/>
          </w:tcPr>
          <w:p w14:paraId="7AE09777">
            <w:pPr>
              <w:spacing w:line="252" w:lineRule="auto"/>
              <w:rPr>
                <w:rFonts w:ascii="Arial"/>
                <w:sz w:val="21"/>
              </w:rPr>
            </w:pPr>
          </w:p>
          <w:p w14:paraId="573467DA">
            <w:pPr>
              <w:spacing w:line="252" w:lineRule="auto"/>
              <w:rPr>
                <w:rFonts w:ascii="Arial"/>
                <w:sz w:val="21"/>
              </w:rPr>
            </w:pPr>
          </w:p>
          <w:p w14:paraId="227E6FFD">
            <w:pPr>
              <w:spacing w:line="252" w:lineRule="auto"/>
              <w:rPr>
                <w:rFonts w:ascii="Arial"/>
                <w:sz w:val="21"/>
              </w:rPr>
            </w:pPr>
          </w:p>
          <w:p w14:paraId="5FEC294A">
            <w:pPr>
              <w:spacing w:line="252" w:lineRule="auto"/>
              <w:rPr>
                <w:rFonts w:ascii="Arial"/>
                <w:sz w:val="21"/>
              </w:rPr>
            </w:pPr>
          </w:p>
          <w:p w14:paraId="39B6DAE3">
            <w:pPr>
              <w:spacing w:line="253" w:lineRule="auto"/>
              <w:rPr>
                <w:rFonts w:ascii="Arial"/>
                <w:sz w:val="21"/>
              </w:rPr>
            </w:pPr>
          </w:p>
          <w:p w14:paraId="7D3FCFC0">
            <w:pPr>
              <w:spacing w:line="253" w:lineRule="auto"/>
              <w:rPr>
                <w:rFonts w:ascii="Arial"/>
                <w:sz w:val="21"/>
              </w:rPr>
            </w:pPr>
          </w:p>
          <w:p w14:paraId="25377405">
            <w:pPr>
              <w:spacing w:line="253" w:lineRule="auto"/>
              <w:rPr>
                <w:rFonts w:ascii="Arial"/>
                <w:sz w:val="21"/>
              </w:rPr>
            </w:pPr>
          </w:p>
          <w:p w14:paraId="59323ED7">
            <w:pPr>
              <w:spacing w:line="253" w:lineRule="auto"/>
              <w:rPr>
                <w:rFonts w:ascii="Arial"/>
                <w:sz w:val="21"/>
              </w:rPr>
            </w:pPr>
          </w:p>
          <w:p w14:paraId="4DCFA936">
            <w:pPr>
              <w:spacing w:line="253" w:lineRule="auto"/>
              <w:rPr>
                <w:rFonts w:ascii="Arial"/>
                <w:sz w:val="21"/>
              </w:rPr>
            </w:pPr>
          </w:p>
          <w:p w14:paraId="0D30FFDF">
            <w:pPr>
              <w:spacing w:line="253" w:lineRule="auto"/>
              <w:rPr>
                <w:rFonts w:ascii="Arial"/>
                <w:sz w:val="21"/>
              </w:rPr>
            </w:pPr>
          </w:p>
          <w:p w14:paraId="1A851CF8">
            <w:pPr>
              <w:pStyle w:val="8"/>
              <w:spacing w:before="58" w:line="244" w:lineRule="auto"/>
              <w:ind w:left="109" w:right="101"/>
              <w:jc w:val="both"/>
            </w:pPr>
            <w:r>
              <w:rPr>
                <w:spacing w:val="3"/>
              </w:rPr>
              <w:t>对港口、码</w:t>
            </w:r>
            <w:r>
              <w:rPr>
                <w:spacing w:val="1"/>
              </w:rPr>
              <w:t xml:space="preserve"> </w:t>
            </w:r>
            <w:r>
              <w:rPr>
                <w:spacing w:val="4"/>
              </w:rPr>
              <w:t>头、装卸站</w:t>
            </w:r>
            <w:r>
              <w:t xml:space="preserve"> </w:t>
            </w:r>
            <w:r>
              <w:rPr>
                <w:spacing w:val="3"/>
              </w:rPr>
              <w:t>以及从事船</w:t>
            </w:r>
            <w:r>
              <w:rPr>
                <w:spacing w:val="1"/>
              </w:rPr>
              <w:t xml:space="preserve"> </w:t>
            </w:r>
            <w:r>
              <w:rPr>
                <w:spacing w:val="3"/>
              </w:rPr>
              <w:t>舶修造、打</w:t>
            </w:r>
            <w:r>
              <w:rPr>
                <w:spacing w:val="1"/>
              </w:rPr>
              <w:t xml:space="preserve"> </w:t>
            </w:r>
            <w:r>
              <w:rPr>
                <w:spacing w:val="3"/>
              </w:rPr>
              <w:t>捞等作业活</w:t>
            </w:r>
            <w:r>
              <w:rPr>
                <w:spacing w:val="1"/>
              </w:rPr>
              <w:t xml:space="preserve"> </w:t>
            </w:r>
            <w:r>
              <w:rPr>
                <w:spacing w:val="3"/>
              </w:rPr>
              <w:t>动的单位船</w:t>
            </w:r>
            <w:r>
              <w:rPr>
                <w:spacing w:val="1"/>
              </w:rPr>
              <w:t xml:space="preserve"> </w:t>
            </w:r>
            <w:r>
              <w:rPr>
                <w:spacing w:val="3"/>
              </w:rPr>
              <w:t>舶未按规定</w:t>
            </w:r>
            <w:r>
              <w:rPr>
                <w:spacing w:val="1"/>
              </w:rPr>
              <w:t xml:space="preserve"> </w:t>
            </w:r>
            <w:r>
              <w:rPr>
                <w:spacing w:val="3"/>
              </w:rPr>
              <w:t>配备污染防</w:t>
            </w:r>
            <w:r>
              <w:rPr>
                <w:spacing w:val="1"/>
              </w:rPr>
              <w:t xml:space="preserve"> </w:t>
            </w:r>
            <w:r>
              <w:rPr>
                <w:spacing w:val="3"/>
              </w:rPr>
              <w:t>治设施、设</w:t>
            </w:r>
            <w:r>
              <w:rPr>
                <w:spacing w:val="1"/>
              </w:rPr>
              <w:t xml:space="preserve"> </w:t>
            </w:r>
            <w:r>
              <w:rPr>
                <w:spacing w:val="3"/>
              </w:rPr>
              <w:t>备和器材等</w:t>
            </w:r>
            <w:r>
              <w:rPr>
                <w:spacing w:val="1"/>
              </w:rPr>
              <w:t xml:space="preserve"> </w:t>
            </w:r>
            <w:r>
              <w:rPr>
                <w:spacing w:val="3"/>
              </w:rPr>
              <w:t>行为的行政</w:t>
            </w:r>
            <w:r>
              <w:rPr>
                <w:spacing w:val="1"/>
              </w:rPr>
              <w:t xml:space="preserve"> </w:t>
            </w:r>
            <w:r>
              <w:rPr>
                <w:spacing w:val="-4"/>
              </w:rPr>
              <w:t>处罚</w:t>
            </w:r>
          </w:p>
        </w:tc>
        <w:tc>
          <w:tcPr>
            <w:tcW w:w="1136" w:type="dxa"/>
            <w:vAlign w:val="top"/>
          </w:tcPr>
          <w:p w14:paraId="56E41508">
            <w:pPr>
              <w:spacing w:line="255" w:lineRule="auto"/>
              <w:rPr>
                <w:rFonts w:ascii="Arial"/>
                <w:sz w:val="21"/>
              </w:rPr>
            </w:pPr>
          </w:p>
          <w:p w14:paraId="6E998118">
            <w:pPr>
              <w:spacing w:line="255" w:lineRule="auto"/>
              <w:rPr>
                <w:rFonts w:ascii="Arial"/>
                <w:sz w:val="21"/>
              </w:rPr>
            </w:pPr>
          </w:p>
          <w:p w14:paraId="33967BF1">
            <w:pPr>
              <w:spacing w:line="255" w:lineRule="auto"/>
              <w:rPr>
                <w:rFonts w:ascii="Arial"/>
                <w:sz w:val="21"/>
              </w:rPr>
            </w:pPr>
          </w:p>
          <w:p w14:paraId="02A3C580">
            <w:pPr>
              <w:spacing w:line="255" w:lineRule="auto"/>
              <w:rPr>
                <w:rFonts w:ascii="Arial"/>
                <w:sz w:val="21"/>
              </w:rPr>
            </w:pPr>
          </w:p>
          <w:p w14:paraId="2808040B">
            <w:pPr>
              <w:spacing w:line="255" w:lineRule="auto"/>
              <w:rPr>
                <w:rFonts w:ascii="Arial"/>
                <w:sz w:val="21"/>
              </w:rPr>
            </w:pPr>
          </w:p>
          <w:p w14:paraId="45271D7F">
            <w:pPr>
              <w:spacing w:line="255" w:lineRule="auto"/>
              <w:rPr>
                <w:rFonts w:ascii="Arial"/>
                <w:sz w:val="21"/>
              </w:rPr>
            </w:pPr>
          </w:p>
          <w:p w14:paraId="2F17ABF5">
            <w:pPr>
              <w:spacing w:line="256" w:lineRule="auto"/>
              <w:rPr>
                <w:rFonts w:ascii="Arial"/>
                <w:sz w:val="21"/>
              </w:rPr>
            </w:pPr>
          </w:p>
          <w:p w14:paraId="149FCBAA">
            <w:pPr>
              <w:spacing w:line="256" w:lineRule="auto"/>
              <w:rPr>
                <w:rFonts w:ascii="Arial"/>
                <w:sz w:val="21"/>
              </w:rPr>
            </w:pPr>
          </w:p>
          <w:p w14:paraId="05F249BE">
            <w:pPr>
              <w:spacing w:line="256" w:lineRule="auto"/>
              <w:rPr>
                <w:rFonts w:ascii="Arial"/>
                <w:sz w:val="21"/>
              </w:rPr>
            </w:pPr>
          </w:p>
          <w:p w14:paraId="4DA7B4DD">
            <w:pPr>
              <w:spacing w:line="256" w:lineRule="auto"/>
              <w:rPr>
                <w:rFonts w:ascii="Arial"/>
                <w:sz w:val="21"/>
              </w:rPr>
            </w:pPr>
          </w:p>
          <w:p w14:paraId="61F4EE75">
            <w:pPr>
              <w:spacing w:line="256" w:lineRule="auto"/>
              <w:rPr>
                <w:rFonts w:ascii="Arial"/>
                <w:sz w:val="21"/>
              </w:rPr>
            </w:pPr>
          </w:p>
          <w:p w14:paraId="38B7EC9C">
            <w:pPr>
              <w:spacing w:line="256" w:lineRule="auto"/>
              <w:rPr>
                <w:rFonts w:ascii="Arial"/>
                <w:sz w:val="21"/>
              </w:rPr>
            </w:pPr>
          </w:p>
          <w:p w14:paraId="13E89E50">
            <w:pPr>
              <w:spacing w:line="256" w:lineRule="auto"/>
              <w:rPr>
                <w:rFonts w:ascii="Arial"/>
                <w:sz w:val="21"/>
              </w:rPr>
            </w:pPr>
          </w:p>
          <w:p w14:paraId="2905A566">
            <w:pPr>
              <w:spacing w:line="256" w:lineRule="auto"/>
              <w:rPr>
                <w:rFonts w:ascii="Arial"/>
                <w:sz w:val="21"/>
              </w:rPr>
            </w:pPr>
          </w:p>
          <w:p w14:paraId="7898ACE6">
            <w:pPr>
              <w:spacing w:line="256" w:lineRule="auto"/>
              <w:rPr>
                <w:rFonts w:ascii="Arial"/>
                <w:sz w:val="21"/>
              </w:rPr>
            </w:pPr>
          </w:p>
          <w:p w14:paraId="51BFF9E3">
            <w:pPr>
              <w:pStyle w:val="8"/>
              <w:spacing w:before="59" w:line="220" w:lineRule="auto"/>
              <w:ind w:left="114"/>
            </w:pPr>
            <w:r>
              <w:rPr>
                <w:spacing w:val="-7"/>
              </w:rPr>
              <w:t>行政处罚</w:t>
            </w:r>
          </w:p>
        </w:tc>
        <w:tc>
          <w:tcPr>
            <w:tcW w:w="8806" w:type="dxa"/>
            <w:vAlign w:val="top"/>
          </w:tcPr>
          <w:p w14:paraId="5CA1582F">
            <w:pPr>
              <w:spacing w:line="247" w:lineRule="auto"/>
              <w:rPr>
                <w:rFonts w:ascii="Arial"/>
                <w:sz w:val="21"/>
              </w:rPr>
            </w:pPr>
          </w:p>
          <w:p w14:paraId="1B96BBD5">
            <w:pPr>
              <w:spacing w:line="248" w:lineRule="auto"/>
              <w:rPr>
                <w:rFonts w:ascii="Arial"/>
                <w:sz w:val="21"/>
              </w:rPr>
            </w:pPr>
          </w:p>
          <w:p w14:paraId="6D0D13AF">
            <w:pPr>
              <w:pStyle w:val="8"/>
              <w:spacing w:before="58" w:line="219" w:lineRule="auto"/>
              <w:ind w:left="447"/>
            </w:pPr>
            <w:r>
              <w:rPr>
                <w:b/>
                <w:bCs/>
                <w:spacing w:val="-3"/>
              </w:rPr>
              <w:t>《中华人民共和国防治船舶污染内河水域环境管理规定》（</w:t>
            </w:r>
            <w:r>
              <w:rPr>
                <w:b/>
                <w:bCs/>
                <w:spacing w:val="-4"/>
              </w:rPr>
              <w:t>交通运输部令2022年第26号）</w:t>
            </w:r>
          </w:p>
          <w:p w14:paraId="27F1C9AF">
            <w:pPr>
              <w:pStyle w:val="8"/>
              <w:spacing w:before="27" w:line="237" w:lineRule="auto"/>
              <w:ind w:left="109" w:right="95" w:firstLine="355"/>
            </w:pPr>
            <w:r>
              <w:rPr>
                <w:spacing w:val="-8"/>
              </w:rPr>
              <w:t>第八条</w:t>
            </w:r>
            <w:r>
              <w:rPr>
                <w:spacing w:val="77"/>
              </w:rPr>
              <w:t xml:space="preserve"> </w:t>
            </w:r>
            <w:r>
              <w:rPr>
                <w:spacing w:val="-8"/>
              </w:rPr>
              <w:t>港口、码头、装卸站以及从事船舶水上修造、水上拆解、打捞等作业活</w:t>
            </w:r>
            <w:r>
              <w:rPr>
                <w:spacing w:val="-9"/>
              </w:rPr>
              <w:t>动的单位，应当按照国家有关</w:t>
            </w:r>
            <w:r>
              <w:t xml:space="preserve"> </w:t>
            </w:r>
            <w:r>
              <w:rPr>
                <w:spacing w:val="-8"/>
              </w:rPr>
              <w:t>规范和标准，配备相应的污染防治设施、设备和器材，  并保持良好的技术状态。同一港口、港区、作业区或者相</w:t>
            </w:r>
            <w:r>
              <w:t xml:space="preserve"> </w:t>
            </w:r>
            <w:r>
              <w:rPr>
                <w:spacing w:val="-2"/>
              </w:rPr>
              <w:t>邻港口 的单位，可以通过建立联防机制，实现污染</w:t>
            </w:r>
            <w:r>
              <w:rPr>
                <w:spacing w:val="-3"/>
              </w:rPr>
              <w:t>防治设施、设备和器材的统一调配使用。</w:t>
            </w:r>
          </w:p>
          <w:p w14:paraId="6EF5E83A">
            <w:pPr>
              <w:pStyle w:val="8"/>
              <w:spacing w:before="26" w:line="233" w:lineRule="auto"/>
              <w:ind w:left="113" w:right="45" w:firstLine="354"/>
            </w:pPr>
            <w:r>
              <w:rPr>
                <w:spacing w:val="-4"/>
              </w:rPr>
              <w:t>港口、码头、装卸站应当接收靠泊船舶生产经营过程中产生的船舶污染物。从事船舶水上修造、水上拆解、</w:t>
            </w:r>
            <w:r>
              <w:rPr>
                <w:spacing w:val="15"/>
              </w:rPr>
              <w:t xml:space="preserve"> </w:t>
            </w:r>
            <w:r>
              <w:rPr>
                <w:spacing w:val="-2"/>
              </w:rPr>
              <w:t>打捞</w:t>
            </w:r>
            <w:r>
              <w:rPr>
                <w:spacing w:val="26"/>
                <w:w w:val="101"/>
              </w:rPr>
              <w:t xml:space="preserve"> </w:t>
            </w:r>
            <w:r>
              <w:rPr>
                <w:spacing w:val="-2"/>
              </w:rPr>
              <w:t>等作业活动的单位，应当按照规定处理船舶修造、打</w:t>
            </w:r>
            <w:r>
              <w:rPr>
                <w:spacing w:val="-3"/>
              </w:rPr>
              <w:t>捞、拆解过程中产生的污染物。</w:t>
            </w:r>
          </w:p>
          <w:p w14:paraId="3BB9165C">
            <w:pPr>
              <w:pStyle w:val="8"/>
              <w:spacing w:before="24" w:line="233" w:lineRule="auto"/>
              <w:ind w:left="111" w:right="153" w:firstLine="356"/>
            </w:pPr>
            <w:r>
              <w:rPr>
                <w:spacing w:val="-2"/>
              </w:rPr>
              <w:t>第二十一条  从事水上船舶清舱、洗舱、污染物接收、燃料供受、修造、打捞、拆解、</w:t>
            </w:r>
            <w:r>
              <w:rPr>
                <w:spacing w:val="-3"/>
              </w:rPr>
              <w:t>污染清除作业以及</w:t>
            </w:r>
            <w:r>
              <w:t xml:space="preserve"> </w:t>
            </w:r>
            <w:r>
              <w:rPr>
                <w:spacing w:val="-2"/>
              </w:rPr>
              <w:t>利用船舶进行其他水上水下活动的，应当遵守相关操作规程，采取必要的防</w:t>
            </w:r>
            <w:r>
              <w:rPr>
                <w:spacing w:val="-3"/>
              </w:rPr>
              <w:t>治污染措施。</w:t>
            </w:r>
          </w:p>
          <w:p w14:paraId="03F417B9">
            <w:pPr>
              <w:pStyle w:val="8"/>
              <w:spacing w:before="26" w:line="232" w:lineRule="auto"/>
              <w:ind w:left="112" w:right="148" w:firstLine="357"/>
            </w:pPr>
            <w:r>
              <w:rPr>
                <w:spacing w:val="-2"/>
              </w:rPr>
              <w:t>船舶在港从事前款所列相关作业的，在开始作业时，应当通过甚高频、电话或者信息系</w:t>
            </w:r>
            <w:r>
              <w:rPr>
                <w:spacing w:val="-3"/>
              </w:rPr>
              <w:t>统等向海事管理机</w:t>
            </w:r>
            <w:r>
              <w:t xml:space="preserve"> </w:t>
            </w:r>
            <w:r>
              <w:rPr>
                <w:spacing w:val="-6"/>
              </w:rPr>
              <w:t>构报告作业时间、作业内容等信息。</w:t>
            </w:r>
          </w:p>
          <w:p w14:paraId="4D10CDB1">
            <w:pPr>
              <w:pStyle w:val="8"/>
              <w:spacing w:before="27" w:line="233" w:lineRule="auto"/>
              <w:ind w:left="470" w:right="539" w:hanging="2"/>
            </w:pPr>
            <w:r>
              <w:rPr>
                <w:spacing w:val="-3"/>
              </w:rPr>
              <w:t>第二十四条  船舶运输散发有毒有害气体或者粉尘物质等货物的，应当采取封闭或者其他防护措施。</w:t>
            </w:r>
            <w:r>
              <w:rPr>
                <w:spacing w:val="6"/>
              </w:rPr>
              <w:t xml:space="preserve"> </w:t>
            </w:r>
            <w:r>
              <w:rPr>
                <w:spacing w:val="-2"/>
              </w:rPr>
              <w:t>从事前款货物的装卸和过驳作业，作业双方应当在作业过程中采取措施回</w:t>
            </w:r>
            <w:r>
              <w:rPr>
                <w:spacing w:val="-3"/>
              </w:rPr>
              <w:t>收有毒有害气体。</w:t>
            </w:r>
          </w:p>
          <w:p w14:paraId="42A848AB">
            <w:pPr>
              <w:pStyle w:val="8"/>
              <w:spacing w:before="24"/>
              <w:ind w:left="115" w:right="60" w:firstLine="352"/>
            </w:pPr>
            <w:r>
              <w:rPr>
                <w:spacing w:val="-4"/>
              </w:rPr>
              <w:t>第二十七条  船舶进行下列作业，在长江、珠江、黑</w:t>
            </w:r>
            <w:r>
              <w:rPr>
                <w:spacing w:val="-5"/>
              </w:rPr>
              <w:t>龙江水系干线作业量超过300吨和其他内河水域超过150</w:t>
            </w:r>
            <w:r>
              <w:t xml:space="preserve"> </w:t>
            </w:r>
            <w:r>
              <w:rPr>
                <w:spacing w:val="-4"/>
              </w:rPr>
              <w:t>吨的，港口、码头、装卸站应当采取包括布设围油栏在内的防污染措施，其中过驳作业由过驳作业经营人负责：</w:t>
            </w:r>
            <w:r>
              <w:t xml:space="preserve"> </w:t>
            </w:r>
            <w:r>
              <w:rPr>
                <w:spacing w:val="-3"/>
              </w:rPr>
              <w:t>（一）散装持久性油类的装卸和过驳作业，但船舶燃油供应作业</w:t>
            </w:r>
            <w:r>
              <w:rPr>
                <w:spacing w:val="-4"/>
              </w:rPr>
              <w:t>除外</w:t>
            </w:r>
            <w:r>
              <w:rPr>
                <w:spacing w:val="-24"/>
              </w:rPr>
              <w:t>；（</w:t>
            </w:r>
            <w:r>
              <w:rPr>
                <w:spacing w:val="-4"/>
              </w:rPr>
              <w:t>二）比重小于</w:t>
            </w:r>
            <w:r>
              <w:rPr>
                <w:spacing w:val="-29"/>
              </w:rPr>
              <w:t xml:space="preserve"> </w:t>
            </w:r>
            <w:r>
              <w:rPr>
                <w:spacing w:val="-4"/>
              </w:rPr>
              <w:t>1（相对于水）、溶解度</w:t>
            </w:r>
            <w:r>
              <w:t xml:space="preserve"> </w:t>
            </w:r>
            <w:r>
              <w:rPr>
                <w:spacing w:val="-2"/>
              </w:rPr>
              <w:t>小于0.1%的散装有毒液体物质的装卸和过驳作业</w:t>
            </w:r>
            <w:r>
              <w:rPr>
                <w:spacing w:val="2"/>
              </w:rPr>
              <w:t>；（</w:t>
            </w:r>
            <w:r>
              <w:rPr>
                <w:spacing w:val="-2"/>
              </w:rPr>
              <w:t>三）其他可能造成水域严重污染的作业。</w:t>
            </w:r>
          </w:p>
          <w:p w14:paraId="10F8434E">
            <w:pPr>
              <w:pStyle w:val="8"/>
              <w:spacing w:before="26" w:line="219" w:lineRule="auto"/>
              <w:ind w:left="484"/>
            </w:pPr>
            <w:r>
              <w:rPr>
                <w:spacing w:val="-5"/>
              </w:rPr>
              <w:t>因自然条件等原因，不适合布设围油拦的，应当采取有效替代措施。</w:t>
            </w:r>
          </w:p>
          <w:p w14:paraId="51A5A35B">
            <w:pPr>
              <w:pStyle w:val="8"/>
              <w:spacing w:before="26" w:line="233" w:lineRule="auto"/>
              <w:ind w:left="111" w:right="103" w:firstLine="359"/>
            </w:pPr>
            <w:r>
              <w:rPr>
                <w:spacing w:val="-1"/>
              </w:rPr>
              <w:t>第三十一条  从事船舶水上拆解的单位在船舶拆解作业前，应当按规定落实防污染措施，</w:t>
            </w:r>
            <w:r>
              <w:rPr>
                <w:spacing w:val="-2"/>
              </w:rPr>
              <w:t>彻底清除船上留</w:t>
            </w:r>
            <w:r>
              <w:t xml:space="preserve"> </w:t>
            </w:r>
            <w:r>
              <w:rPr>
                <w:spacing w:val="-4"/>
              </w:rPr>
              <w:t>有的污染物，满足作业条件后，方可进行船舶拆解作业。</w:t>
            </w:r>
          </w:p>
          <w:p w14:paraId="016C2974">
            <w:pPr>
              <w:pStyle w:val="8"/>
              <w:spacing w:before="26" w:line="233" w:lineRule="auto"/>
              <w:ind w:left="110" w:right="148" w:firstLine="362"/>
            </w:pPr>
            <w:r>
              <w:rPr>
                <w:spacing w:val="-2"/>
              </w:rPr>
              <w:t>从事船舶水上拆解的单位在拆解作业结束后，应当及时清理船舶拆解现场，并按照</w:t>
            </w:r>
            <w:r>
              <w:rPr>
                <w:spacing w:val="-3"/>
              </w:rPr>
              <w:t>国家有关规定处理船舶</w:t>
            </w:r>
            <w:r>
              <w:t xml:space="preserve"> </w:t>
            </w:r>
            <w:r>
              <w:rPr>
                <w:spacing w:val="-6"/>
              </w:rPr>
              <w:t>拆解产生的污染物。</w:t>
            </w:r>
          </w:p>
          <w:p w14:paraId="2030343E">
            <w:pPr>
              <w:pStyle w:val="8"/>
              <w:spacing w:before="26" w:line="219" w:lineRule="auto"/>
              <w:ind w:left="470"/>
            </w:pPr>
            <w:r>
              <w:rPr>
                <w:spacing w:val="-4"/>
              </w:rPr>
              <w:t>禁止采取冲滩方式进行船舶拆解作业。</w:t>
            </w:r>
          </w:p>
          <w:p w14:paraId="45F804D0">
            <w:pPr>
              <w:pStyle w:val="8"/>
              <w:spacing w:before="28" w:line="242" w:lineRule="auto"/>
              <w:ind w:left="109" w:right="31" w:firstLine="360"/>
            </w:pPr>
            <w:r>
              <w:rPr>
                <w:spacing w:val="-2"/>
              </w:rPr>
              <w:t>第四十七条  违反本规定第八条、第二十一条、第二十四条、第二十七条、第三十一条</w:t>
            </w:r>
            <w:r>
              <w:rPr>
                <w:spacing w:val="-3"/>
              </w:rPr>
              <w:t>，有下列情形之一</w:t>
            </w:r>
            <w:r>
              <w:t xml:space="preserve">  </w:t>
            </w:r>
            <w:r>
              <w:rPr>
                <w:spacing w:val="-1"/>
              </w:rPr>
              <w:t>的，由海事管理机构责令改正，并处以1万元以上3</w:t>
            </w:r>
            <w:r>
              <w:rPr>
                <w:spacing w:val="-2"/>
              </w:rPr>
              <w:t>万元以下的罚款</w:t>
            </w:r>
            <w:r>
              <w:rPr>
                <w:spacing w:val="-15"/>
              </w:rPr>
              <w:t>：（</w:t>
            </w:r>
            <w:r>
              <w:rPr>
                <w:spacing w:val="-2"/>
              </w:rPr>
              <w:t>一）港口、码头、装卸站以及从事船舶</w:t>
            </w:r>
            <w:r>
              <w:t xml:space="preserve">  </w:t>
            </w:r>
            <w:r>
              <w:rPr>
                <w:spacing w:val="-1"/>
              </w:rPr>
              <w:t>修造、打捞等作业活动的单位未按规定配备污染</w:t>
            </w:r>
            <w:r>
              <w:rPr>
                <w:spacing w:val="-2"/>
              </w:rPr>
              <w:t>防治设施、设备和器材的</w:t>
            </w:r>
            <w:r>
              <w:rPr>
                <w:spacing w:val="-14"/>
              </w:rPr>
              <w:t>；（</w:t>
            </w:r>
            <w:r>
              <w:rPr>
                <w:spacing w:val="-2"/>
              </w:rPr>
              <w:t>二）从事水上船舶清舱、洗舱、</w:t>
            </w:r>
            <w:r>
              <w:t xml:space="preserve">  </w:t>
            </w:r>
            <w:r>
              <w:rPr>
                <w:spacing w:val="-6"/>
              </w:rPr>
              <w:t>污染物接收、燃料 供受、修造、打捞、污染清除作业活动未遵守操作规程，未采取必要的防治污染措施</w:t>
            </w:r>
            <w:r>
              <w:rPr>
                <w:spacing w:val="-7"/>
              </w:rPr>
              <w:t>的</w:t>
            </w:r>
            <w:r>
              <w:rPr>
                <w:spacing w:val="-41"/>
                <w:w w:val="85"/>
              </w:rPr>
              <w:t>；（</w:t>
            </w:r>
            <w:r>
              <w:rPr>
                <w:spacing w:val="-7"/>
              </w:rPr>
              <w:t>三）</w:t>
            </w:r>
            <w:r>
              <w:rPr>
                <w:spacing w:val="2"/>
              </w:rPr>
              <w:t xml:space="preserve"> </w:t>
            </w:r>
            <w:r>
              <w:rPr>
                <w:spacing w:val="-2"/>
              </w:rPr>
              <w:t>运输及装卸、过驳散发有毒有害气体或者粉尘物质等货物，船舶未采取封闭或者其他防护措施，</w:t>
            </w:r>
            <w:r>
              <w:rPr>
                <w:spacing w:val="-3"/>
              </w:rPr>
              <w:t>装卸和过驳作</w:t>
            </w:r>
            <w:r>
              <w:t xml:space="preserve">  </w:t>
            </w:r>
            <w:r>
              <w:rPr>
                <w:spacing w:val="-1"/>
              </w:rPr>
              <w:t>业双方未采取措施回收有毒 有害气体的</w:t>
            </w:r>
            <w:r>
              <w:rPr>
                <w:spacing w:val="-47"/>
                <w:w w:val="98"/>
              </w:rPr>
              <w:t>；（</w:t>
            </w:r>
            <w:r>
              <w:rPr>
                <w:spacing w:val="-1"/>
              </w:rPr>
              <w:t>四）未按规定采取布设围油栏或者其他防治污染替代措施</w:t>
            </w:r>
            <w:r>
              <w:rPr>
                <w:spacing w:val="-2"/>
              </w:rPr>
              <w:t>的</w:t>
            </w:r>
            <w:r>
              <w:rPr>
                <w:spacing w:val="-47"/>
                <w:w w:val="98"/>
              </w:rPr>
              <w:t>；（</w:t>
            </w:r>
            <w:r>
              <w:rPr>
                <w:spacing w:val="-2"/>
              </w:rPr>
              <w:t>五）</w:t>
            </w:r>
            <w:r>
              <w:t xml:space="preserve"> </w:t>
            </w:r>
            <w:r>
              <w:rPr>
                <w:spacing w:val="-3"/>
              </w:rPr>
              <w:t>采取冲滩方式进行船舶拆解作业的。</w:t>
            </w:r>
          </w:p>
        </w:tc>
        <w:tc>
          <w:tcPr>
            <w:tcW w:w="1043" w:type="dxa"/>
            <w:vAlign w:val="top"/>
          </w:tcPr>
          <w:p w14:paraId="635B51EC">
            <w:pPr>
              <w:spacing w:line="247" w:lineRule="auto"/>
              <w:rPr>
                <w:rFonts w:ascii="Arial"/>
                <w:sz w:val="21"/>
              </w:rPr>
            </w:pPr>
          </w:p>
          <w:p w14:paraId="237A03D9">
            <w:pPr>
              <w:spacing w:line="247" w:lineRule="auto"/>
              <w:rPr>
                <w:rFonts w:ascii="Arial"/>
                <w:sz w:val="21"/>
              </w:rPr>
            </w:pPr>
          </w:p>
          <w:p w14:paraId="1005E650">
            <w:pPr>
              <w:spacing w:line="247" w:lineRule="auto"/>
              <w:rPr>
                <w:rFonts w:ascii="Arial"/>
                <w:sz w:val="21"/>
              </w:rPr>
            </w:pPr>
          </w:p>
          <w:p w14:paraId="78946060">
            <w:pPr>
              <w:spacing w:line="247" w:lineRule="auto"/>
              <w:rPr>
                <w:rFonts w:ascii="Arial"/>
                <w:sz w:val="21"/>
              </w:rPr>
            </w:pPr>
          </w:p>
          <w:p w14:paraId="0DAFF67C">
            <w:pPr>
              <w:spacing w:line="247" w:lineRule="auto"/>
              <w:rPr>
                <w:rFonts w:ascii="Arial"/>
                <w:sz w:val="21"/>
              </w:rPr>
            </w:pPr>
          </w:p>
          <w:p w14:paraId="731D7777">
            <w:pPr>
              <w:spacing w:line="248" w:lineRule="auto"/>
              <w:rPr>
                <w:rFonts w:ascii="Arial"/>
                <w:sz w:val="21"/>
              </w:rPr>
            </w:pPr>
          </w:p>
          <w:p w14:paraId="00ED995E">
            <w:pPr>
              <w:spacing w:line="248" w:lineRule="auto"/>
              <w:rPr>
                <w:rFonts w:ascii="Arial"/>
                <w:sz w:val="21"/>
              </w:rPr>
            </w:pPr>
          </w:p>
          <w:p w14:paraId="6A1E797B">
            <w:pPr>
              <w:spacing w:line="248" w:lineRule="auto"/>
              <w:rPr>
                <w:rFonts w:ascii="Arial"/>
                <w:sz w:val="21"/>
              </w:rPr>
            </w:pPr>
          </w:p>
          <w:p w14:paraId="6F651976">
            <w:pPr>
              <w:spacing w:line="248" w:lineRule="auto"/>
              <w:rPr>
                <w:rFonts w:ascii="Arial"/>
                <w:sz w:val="21"/>
              </w:rPr>
            </w:pPr>
          </w:p>
          <w:p w14:paraId="7545959A">
            <w:pPr>
              <w:spacing w:line="248" w:lineRule="auto"/>
              <w:rPr>
                <w:rFonts w:ascii="Arial"/>
                <w:sz w:val="21"/>
              </w:rPr>
            </w:pPr>
          </w:p>
          <w:p w14:paraId="2BF0B221">
            <w:pPr>
              <w:spacing w:line="248" w:lineRule="auto"/>
              <w:rPr>
                <w:rFonts w:ascii="Arial"/>
                <w:sz w:val="21"/>
              </w:rPr>
            </w:pPr>
          </w:p>
          <w:p w14:paraId="223AF0BF">
            <w:pPr>
              <w:spacing w:line="248" w:lineRule="auto"/>
              <w:rPr>
                <w:rFonts w:ascii="Arial"/>
                <w:sz w:val="21"/>
              </w:rPr>
            </w:pPr>
          </w:p>
          <w:p w14:paraId="189310C4">
            <w:pPr>
              <w:spacing w:line="248" w:lineRule="auto"/>
              <w:rPr>
                <w:rFonts w:ascii="Arial"/>
                <w:sz w:val="21"/>
              </w:rPr>
            </w:pPr>
          </w:p>
          <w:p w14:paraId="452479BC">
            <w:pPr>
              <w:spacing w:line="248" w:lineRule="auto"/>
              <w:rPr>
                <w:rFonts w:ascii="Arial"/>
                <w:sz w:val="21"/>
              </w:rPr>
            </w:pPr>
          </w:p>
          <w:p w14:paraId="5CE499E5">
            <w:pPr>
              <w:spacing w:line="248" w:lineRule="auto"/>
              <w:rPr>
                <w:rFonts w:ascii="Arial"/>
                <w:sz w:val="21"/>
              </w:rPr>
            </w:pPr>
          </w:p>
          <w:p w14:paraId="01D51966">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0F884AAE">
            <w:pPr>
              <w:spacing w:line="255" w:lineRule="auto"/>
              <w:rPr>
                <w:rFonts w:ascii="Arial"/>
                <w:sz w:val="21"/>
              </w:rPr>
            </w:pPr>
          </w:p>
          <w:p w14:paraId="7767F6CB">
            <w:pPr>
              <w:spacing w:line="255" w:lineRule="auto"/>
              <w:rPr>
                <w:rFonts w:ascii="Arial"/>
                <w:sz w:val="21"/>
              </w:rPr>
            </w:pPr>
          </w:p>
          <w:p w14:paraId="0B651913">
            <w:pPr>
              <w:spacing w:line="255" w:lineRule="auto"/>
              <w:rPr>
                <w:rFonts w:ascii="Arial"/>
                <w:sz w:val="21"/>
              </w:rPr>
            </w:pPr>
          </w:p>
          <w:p w14:paraId="53138F25">
            <w:pPr>
              <w:spacing w:line="255" w:lineRule="auto"/>
              <w:rPr>
                <w:rFonts w:ascii="Arial"/>
                <w:sz w:val="21"/>
              </w:rPr>
            </w:pPr>
          </w:p>
          <w:p w14:paraId="517E02E4">
            <w:pPr>
              <w:spacing w:line="255" w:lineRule="auto"/>
              <w:rPr>
                <w:rFonts w:ascii="Arial"/>
                <w:sz w:val="21"/>
              </w:rPr>
            </w:pPr>
          </w:p>
          <w:p w14:paraId="7196A0EC">
            <w:pPr>
              <w:spacing w:line="256" w:lineRule="auto"/>
              <w:rPr>
                <w:rFonts w:ascii="Arial"/>
                <w:sz w:val="21"/>
              </w:rPr>
            </w:pPr>
          </w:p>
          <w:p w14:paraId="497E35AD">
            <w:pPr>
              <w:spacing w:line="256" w:lineRule="auto"/>
              <w:rPr>
                <w:rFonts w:ascii="Arial"/>
                <w:sz w:val="21"/>
              </w:rPr>
            </w:pPr>
          </w:p>
          <w:p w14:paraId="75F426F5">
            <w:pPr>
              <w:spacing w:line="256" w:lineRule="auto"/>
              <w:rPr>
                <w:rFonts w:ascii="Arial"/>
                <w:sz w:val="21"/>
              </w:rPr>
            </w:pPr>
          </w:p>
          <w:p w14:paraId="216EAC1E">
            <w:pPr>
              <w:spacing w:line="256" w:lineRule="auto"/>
              <w:rPr>
                <w:rFonts w:ascii="Arial"/>
                <w:sz w:val="21"/>
              </w:rPr>
            </w:pPr>
          </w:p>
          <w:p w14:paraId="1EC27C9E">
            <w:pPr>
              <w:spacing w:line="256" w:lineRule="auto"/>
              <w:rPr>
                <w:rFonts w:ascii="Arial"/>
                <w:sz w:val="21"/>
              </w:rPr>
            </w:pPr>
          </w:p>
          <w:p w14:paraId="0C7B9F34">
            <w:pPr>
              <w:spacing w:line="256" w:lineRule="auto"/>
              <w:rPr>
                <w:rFonts w:ascii="Arial"/>
                <w:sz w:val="21"/>
              </w:rPr>
            </w:pPr>
          </w:p>
          <w:p w14:paraId="01D77376">
            <w:pPr>
              <w:spacing w:line="256" w:lineRule="auto"/>
              <w:rPr>
                <w:rFonts w:ascii="Arial"/>
                <w:sz w:val="21"/>
              </w:rPr>
            </w:pPr>
          </w:p>
          <w:p w14:paraId="6C0577E3">
            <w:pPr>
              <w:spacing w:line="256" w:lineRule="auto"/>
              <w:rPr>
                <w:rFonts w:ascii="Arial"/>
                <w:sz w:val="21"/>
              </w:rPr>
            </w:pPr>
          </w:p>
          <w:p w14:paraId="75FF5DC8">
            <w:pPr>
              <w:spacing w:line="256" w:lineRule="auto"/>
              <w:rPr>
                <w:rFonts w:ascii="Arial"/>
                <w:sz w:val="21"/>
              </w:rPr>
            </w:pPr>
          </w:p>
          <w:p w14:paraId="7161D2E8">
            <w:pPr>
              <w:spacing w:line="256" w:lineRule="auto"/>
              <w:rPr>
                <w:rFonts w:ascii="Arial"/>
                <w:sz w:val="21"/>
              </w:rPr>
            </w:pPr>
          </w:p>
          <w:p w14:paraId="2A935397">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F3C8E2B">
            <w:pPr>
              <w:spacing w:line="248" w:lineRule="auto"/>
              <w:rPr>
                <w:rFonts w:ascii="Arial"/>
                <w:sz w:val="21"/>
              </w:rPr>
            </w:pPr>
          </w:p>
          <w:p w14:paraId="374D7ECE">
            <w:pPr>
              <w:spacing w:line="248" w:lineRule="auto"/>
              <w:rPr>
                <w:rFonts w:ascii="Arial"/>
                <w:sz w:val="21"/>
              </w:rPr>
            </w:pPr>
          </w:p>
          <w:p w14:paraId="252DC4B2">
            <w:pPr>
              <w:spacing w:line="248" w:lineRule="auto"/>
              <w:rPr>
                <w:rFonts w:ascii="Arial"/>
                <w:sz w:val="21"/>
              </w:rPr>
            </w:pPr>
          </w:p>
          <w:p w14:paraId="71A9827F">
            <w:pPr>
              <w:spacing w:line="248" w:lineRule="auto"/>
              <w:rPr>
                <w:rFonts w:ascii="Arial"/>
                <w:sz w:val="21"/>
              </w:rPr>
            </w:pPr>
          </w:p>
          <w:p w14:paraId="401BB6A0">
            <w:pPr>
              <w:spacing w:line="248" w:lineRule="auto"/>
              <w:rPr>
                <w:rFonts w:ascii="Arial"/>
                <w:sz w:val="21"/>
              </w:rPr>
            </w:pPr>
          </w:p>
          <w:p w14:paraId="39C34E30">
            <w:pPr>
              <w:spacing w:line="248" w:lineRule="auto"/>
              <w:rPr>
                <w:rFonts w:ascii="Arial"/>
                <w:sz w:val="21"/>
              </w:rPr>
            </w:pPr>
          </w:p>
          <w:p w14:paraId="314EFDB2">
            <w:pPr>
              <w:spacing w:line="248" w:lineRule="auto"/>
              <w:rPr>
                <w:rFonts w:ascii="Arial"/>
                <w:sz w:val="21"/>
              </w:rPr>
            </w:pPr>
          </w:p>
          <w:p w14:paraId="2E6A2255">
            <w:pPr>
              <w:spacing w:line="248" w:lineRule="auto"/>
              <w:rPr>
                <w:rFonts w:ascii="Arial"/>
                <w:sz w:val="21"/>
              </w:rPr>
            </w:pPr>
          </w:p>
          <w:p w14:paraId="2CA028E1">
            <w:pPr>
              <w:spacing w:line="249" w:lineRule="auto"/>
              <w:rPr>
                <w:rFonts w:ascii="Arial"/>
                <w:sz w:val="21"/>
              </w:rPr>
            </w:pPr>
          </w:p>
          <w:p w14:paraId="120593B3">
            <w:pPr>
              <w:spacing w:line="249" w:lineRule="auto"/>
              <w:rPr>
                <w:rFonts w:ascii="Arial"/>
                <w:sz w:val="21"/>
              </w:rPr>
            </w:pPr>
          </w:p>
          <w:p w14:paraId="7EF9AB12">
            <w:pPr>
              <w:spacing w:line="249" w:lineRule="auto"/>
              <w:rPr>
                <w:rFonts w:ascii="Arial"/>
                <w:sz w:val="21"/>
              </w:rPr>
            </w:pPr>
          </w:p>
          <w:p w14:paraId="54EC928A">
            <w:pPr>
              <w:spacing w:line="249" w:lineRule="auto"/>
              <w:rPr>
                <w:rFonts w:ascii="Arial"/>
                <w:sz w:val="21"/>
              </w:rPr>
            </w:pPr>
          </w:p>
          <w:p w14:paraId="78C6841B">
            <w:pPr>
              <w:spacing w:line="249" w:lineRule="auto"/>
              <w:rPr>
                <w:rFonts w:ascii="Arial"/>
                <w:sz w:val="21"/>
              </w:rPr>
            </w:pPr>
          </w:p>
          <w:p w14:paraId="29CB9CDE">
            <w:pPr>
              <w:spacing w:line="249" w:lineRule="auto"/>
              <w:rPr>
                <w:rFonts w:ascii="Arial"/>
                <w:sz w:val="21"/>
              </w:rPr>
            </w:pPr>
          </w:p>
          <w:p w14:paraId="46289F3D">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7A21C101">
      <w:pPr>
        <w:pStyle w:val="2"/>
      </w:pPr>
    </w:p>
    <w:p w14:paraId="19531CE7">
      <w:pPr>
        <w:sectPr>
          <w:footerReference r:id="rId201" w:type="default"/>
          <w:pgSz w:w="16839" w:h="11906"/>
          <w:pgMar w:top="1012" w:right="788" w:bottom="967" w:left="787" w:header="0" w:footer="768" w:gutter="0"/>
          <w:cols w:space="720" w:num="1"/>
        </w:sectPr>
      </w:pPr>
    </w:p>
    <w:p w14:paraId="3B2E9E6F">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35D90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20D4430B">
            <w:pPr>
              <w:pStyle w:val="8"/>
              <w:spacing w:before="267" w:line="221" w:lineRule="auto"/>
              <w:ind w:left="142"/>
            </w:pPr>
            <w:r>
              <w:rPr>
                <w:b/>
                <w:bCs/>
                <w:spacing w:val="-4"/>
              </w:rPr>
              <w:t>序号</w:t>
            </w:r>
          </w:p>
        </w:tc>
        <w:tc>
          <w:tcPr>
            <w:tcW w:w="1136" w:type="dxa"/>
            <w:vMerge w:val="restart"/>
            <w:tcBorders>
              <w:bottom w:val="nil"/>
            </w:tcBorders>
            <w:vAlign w:val="top"/>
          </w:tcPr>
          <w:p w14:paraId="518FE836">
            <w:pPr>
              <w:pStyle w:val="8"/>
              <w:spacing w:before="267" w:line="220" w:lineRule="auto"/>
              <w:ind w:left="208"/>
            </w:pPr>
            <w:r>
              <w:rPr>
                <w:b/>
                <w:bCs/>
                <w:spacing w:val="-4"/>
              </w:rPr>
              <w:t>事项名称</w:t>
            </w:r>
          </w:p>
        </w:tc>
        <w:tc>
          <w:tcPr>
            <w:tcW w:w="1136" w:type="dxa"/>
            <w:vMerge w:val="restart"/>
            <w:tcBorders>
              <w:bottom w:val="nil"/>
            </w:tcBorders>
            <w:vAlign w:val="top"/>
          </w:tcPr>
          <w:p w14:paraId="6CBBC197">
            <w:pPr>
              <w:pStyle w:val="8"/>
              <w:spacing w:before="267" w:line="219" w:lineRule="auto"/>
              <w:ind w:left="210"/>
            </w:pPr>
            <w:r>
              <w:rPr>
                <w:b/>
                <w:bCs/>
                <w:spacing w:val="-4"/>
              </w:rPr>
              <w:t>职权类型</w:t>
            </w:r>
          </w:p>
        </w:tc>
        <w:tc>
          <w:tcPr>
            <w:tcW w:w="8806" w:type="dxa"/>
            <w:vMerge w:val="restart"/>
            <w:tcBorders>
              <w:bottom w:val="nil"/>
            </w:tcBorders>
            <w:vAlign w:val="top"/>
          </w:tcPr>
          <w:p w14:paraId="5DED15E2">
            <w:pPr>
              <w:pStyle w:val="8"/>
              <w:spacing w:before="267" w:line="219" w:lineRule="auto"/>
              <w:ind w:left="4050"/>
            </w:pPr>
            <w:r>
              <w:rPr>
                <w:b/>
                <w:bCs/>
                <w:spacing w:val="-5"/>
              </w:rPr>
              <w:t>实施依据</w:t>
            </w:r>
          </w:p>
        </w:tc>
        <w:tc>
          <w:tcPr>
            <w:tcW w:w="3538" w:type="dxa"/>
            <w:gridSpan w:val="3"/>
            <w:vAlign w:val="top"/>
          </w:tcPr>
          <w:p w14:paraId="5C449AAA">
            <w:pPr>
              <w:pStyle w:val="8"/>
              <w:spacing w:before="92" w:line="220" w:lineRule="auto"/>
              <w:ind w:left="1415"/>
            </w:pPr>
            <w:r>
              <w:rPr>
                <w:b/>
                <w:bCs/>
                <w:spacing w:val="-5"/>
              </w:rPr>
              <w:t>实施主体</w:t>
            </w:r>
          </w:p>
        </w:tc>
      </w:tr>
      <w:tr w14:paraId="62B17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056437B">
            <w:pPr>
              <w:rPr>
                <w:rFonts w:ascii="Arial"/>
                <w:sz w:val="21"/>
              </w:rPr>
            </w:pPr>
          </w:p>
        </w:tc>
        <w:tc>
          <w:tcPr>
            <w:tcW w:w="1136" w:type="dxa"/>
            <w:vMerge w:val="continue"/>
            <w:tcBorders>
              <w:top w:val="nil"/>
            </w:tcBorders>
            <w:vAlign w:val="top"/>
          </w:tcPr>
          <w:p w14:paraId="727A26D3">
            <w:pPr>
              <w:rPr>
                <w:rFonts w:ascii="Arial"/>
                <w:sz w:val="21"/>
              </w:rPr>
            </w:pPr>
          </w:p>
        </w:tc>
        <w:tc>
          <w:tcPr>
            <w:tcW w:w="1136" w:type="dxa"/>
            <w:vMerge w:val="continue"/>
            <w:tcBorders>
              <w:top w:val="nil"/>
            </w:tcBorders>
            <w:vAlign w:val="top"/>
          </w:tcPr>
          <w:p w14:paraId="34A57EF1">
            <w:pPr>
              <w:rPr>
                <w:rFonts w:ascii="Arial"/>
                <w:sz w:val="21"/>
              </w:rPr>
            </w:pPr>
          </w:p>
        </w:tc>
        <w:tc>
          <w:tcPr>
            <w:tcW w:w="8806" w:type="dxa"/>
            <w:vMerge w:val="continue"/>
            <w:tcBorders>
              <w:top w:val="nil"/>
            </w:tcBorders>
            <w:vAlign w:val="top"/>
          </w:tcPr>
          <w:p w14:paraId="1C6039D3">
            <w:pPr>
              <w:rPr>
                <w:rFonts w:ascii="Arial"/>
                <w:sz w:val="21"/>
              </w:rPr>
            </w:pPr>
          </w:p>
        </w:tc>
        <w:tc>
          <w:tcPr>
            <w:tcW w:w="1043" w:type="dxa"/>
            <w:vAlign w:val="top"/>
          </w:tcPr>
          <w:p w14:paraId="64D14A8B">
            <w:pPr>
              <w:pStyle w:val="8"/>
              <w:spacing w:before="88" w:line="219" w:lineRule="auto"/>
              <w:ind w:left="171"/>
            </w:pPr>
            <w:r>
              <w:rPr>
                <w:b/>
                <w:bCs/>
                <w:spacing w:val="-5"/>
              </w:rPr>
              <w:t>责任部门</w:t>
            </w:r>
          </w:p>
        </w:tc>
        <w:tc>
          <w:tcPr>
            <w:tcW w:w="1448" w:type="dxa"/>
            <w:vAlign w:val="top"/>
          </w:tcPr>
          <w:p w14:paraId="7765600A">
            <w:pPr>
              <w:pStyle w:val="8"/>
              <w:spacing w:before="88" w:line="219" w:lineRule="auto"/>
              <w:ind w:left="187"/>
            </w:pPr>
            <w:r>
              <w:rPr>
                <w:b/>
                <w:bCs/>
                <w:spacing w:val="-3"/>
              </w:rPr>
              <w:t>第一责任层级</w:t>
            </w:r>
          </w:p>
        </w:tc>
        <w:tc>
          <w:tcPr>
            <w:tcW w:w="1047" w:type="dxa"/>
            <w:vAlign w:val="top"/>
          </w:tcPr>
          <w:p w14:paraId="4CCC2188">
            <w:pPr>
              <w:pStyle w:val="8"/>
              <w:spacing w:before="88" w:line="219" w:lineRule="auto"/>
              <w:ind w:left="165"/>
            </w:pPr>
            <w:r>
              <w:rPr>
                <w:b/>
                <w:bCs/>
                <w:spacing w:val="-4"/>
              </w:rPr>
              <w:t>承办机构</w:t>
            </w:r>
          </w:p>
        </w:tc>
      </w:tr>
      <w:tr w14:paraId="05D54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2" w:hRule="atLeast"/>
        </w:trPr>
        <w:tc>
          <w:tcPr>
            <w:tcW w:w="641" w:type="dxa"/>
            <w:vAlign w:val="top"/>
          </w:tcPr>
          <w:p w14:paraId="076E1B3E">
            <w:pPr>
              <w:spacing w:line="259" w:lineRule="auto"/>
              <w:rPr>
                <w:rFonts w:ascii="Arial"/>
                <w:sz w:val="21"/>
              </w:rPr>
            </w:pPr>
          </w:p>
          <w:p w14:paraId="5324A675">
            <w:pPr>
              <w:spacing w:line="259" w:lineRule="auto"/>
              <w:rPr>
                <w:rFonts w:ascii="Arial"/>
                <w:sz w:val="21"/>
              </w:rPr>
            </w:pPr>
          </w:p>
          <w:p w14:paraId="598F0EA6">
            <w:pPr>
              <w:spacing w:line="259" w:lineRule="auto"/>
              <w:rPr>
                <w:rFonts w:ascii="Arial"/>
                <w:sz w:val="21"/>
              </w:rPr>
            </w:pPr>
          </w:p>
          <w:p w14:paraId="1DCDC2B2">
            <w:pPr>
              <w:spacing w:line="259" w:lineRule="auto"/>
              <w:rPr>
                <w:rFonts w:ascii="Arial"/>
                <w:sz w:val="21"/>
              </w:rPr>
            </w:pPr>
          </w:p>
          <w:p w14:paraId="698C54F6">
            <w:pPr>
              <w:spacing w:line="259" w:lineRule="auto"/>
              <w:rPr>
                <w:rFonts w:ascii="Arial"/>
                <w:sz w:val="21"/>
              </w:rPr>
            </w:pPr>
          </w:p>
          <w:p w14:paraId="09AD1A13">
            <w:pPr>
              <w:spacing w:line="259" w:lineRule="auto"/>
              <w:rPr>
                <w:rFonts w:ascii="Arial"/>
                <w:sz w:val="21"/>
              </w:rPr>
            </w:pPr>
          </w:p>
          <w:p w14:paraId="0FE3247C">
            <w:pPr>
              <w:spacing w:line="260" w:lineRule="auto"/>
              <w:rPr>
                <w:rFonts w:ascii="Arial"/>
                <w:sz w:val="21"/>
              </w:rPr>
            </w:pPr>
          </w:p>
          <w:p w14:paraId="13AF36A0">
            <w:pPr>
              <w:spacing w:line="260" w:lineRule="auto"/>
              <w:rPr>
                <w:rFonts w:ascii="Arial"/>
                <w:sz w:val="21"/>
              </w:rPr>
            </w:pPr>
          </w:p>
          <w:p w14:paraId="773D8A39">
            <w:pPr>
              <w:spacing w:line="260" w:lineRule="auto"/>
              <w:rPr>
                <w:rFonts w:ascii="Arial"/>
                <w:sz w:val="21"/>
              </w:rPr>
            </w:pPr>
          </w:p>
          <w:p w14:paraId="7FF8EE8D">
            <w:pPr>
              <w:pStyle w:val="8"/>
              <w:spacing w:before="58" w:line="183" w:lineRule="auto"/>
              <w:ind w:left="239"/>
            </w:pPr>
            <w:r>
              <w:rPr>
                <w:spacing w:val="-6"/>
              </w:rPr>
              <w:t>70</w:t>
            </w:r>
          </w:p>
        </w:tc>
        <w:tc>
          <w:tcPr>
            <w:tcW w:w="1136" w:type="dxa"/>
            <w:vAlign w:val="top"/>
          </w:tcPr>
          <w:p w14:paraId="15E9A5F4">
            <w:pPr>
              <w:spacing w:line="277" w:lineRule="auto"/>
              <w:rPr>
                <w:rFonts w:ascii="Arial"/>
                <w:sz w:val="21"/>
              </w:rPr>
            </w:pPr>
          </w:p>
          <w:p w14:paraId="76D41C16">
            <w:pPr>
              <w:spacing w:line="278" w:lineRule="auto"/>
              <w:rPr>
                <w:rFonts w:ascii="Arial"/>
                <w:sz w:val="21"/>
              </w:rPr>
            </w:pPr>
          </w:p>
          <w:p w14:paraId="11F2667A">
            <w:pPr>
              <w:spacing w:line="278" w:lineRule="auto"/>
              <w:rPr>
                <w:rFonts w:ascii="Arial"/>
                <w:sz w:val="21"/>
              </w:rPr>
            </w:pPr>
          </w:p>
          <w:p w14:paraId="12F9D5E6">
            <w:pPr>
              <w:spacing w:line="278" w:lineRule="auto"/>
              <w:rPr>
                <w:rFonts w:ascii="Arial"/>
                <w:sz w:val="21"/>
              </w:rPr>
            </w:pPr>
          </w:p>
          <w:p w14:paraId="7C4785DA">
            <w:pPr>
              <w:pStyle w:val="8"/>
              <w:spacing w:before="59" w:line="244" w:lineRule="auto"/>
              <w:ind w:left="109" w:right="104"/>
              <w:jc w:val="both"/>
            </w:pPr>
            <w:r>
              <w:rPr>
                <w:spacing w:val="3"/>
              </w:rPr>
              <w:t>对从事可能</w:t>
            </w:r>
            <w:r>
              <w:rPr>
                <w:spacing w:val="1"/>
              </w:rPr>
              <w:t xml:space="preserve"> </w:t>
            </w:r>
            <w:r>
              <w:rPr>
                <w:spacing w:val="3"/>
              </w:rPr>
              <w:t>造成船舶污</w:t>
            </w:r>
            <w:r>
              <w:rPr>
                <w:spacing w:val="1"/>
              </w:rPr>
              <w:t xml:space="preserve"> </w:t>
            </w:r>
            <w:r>
              <w:rPr>
                <w:spacing w:val="3"/>
              </w:rPr>
              <w:t>染内河水域</w:t>
            </w:r>
            <w:r>
              <w:rPr>
                <w:spacing w:val="1"/>
              </w:rPr>
              <w:t xml:space="preserve"> </w:t>
            </w:r>
            <w:r>
              <w:rPr>
                <w:spacing w:val="3"/>
              </w:rPr>
              <w:t>环境等作业</w:t>
            </w:r>
            <w:r>
              <w:rPr>
                <w:spacing w:val="1"/>
              </w:rPr>
              <w:t xml:space="preserve"> </w:t>
            </w:r>
            <w:r>
              <w:rPr>
                <w:spacing w:val="3"/>
              </w:rPr>
              <w:t>中活动的单</w:t>
            </w:r>
            <w:r>
              <w:rPr>
                <w:spacing w:val="1"/>
              </w:rPr>
              <w:t xml:space="preserve"> </w:t>
            </w:r>
            <w:r>
              <w:rPr>
                <w:spacing w:val="3"/>
              </w:rPr>
              <w:t>位，未组织</w:t>
            </w:r>
            <w:r>
              <w:rPr>
                <w:spacing w:val="1"/>
              </w:rPr>
              <w:t xml:space="preserve"> </w:t>
            </w:r>
            <w:r>
              <w:rPr>
                <w:spacing w:val="3"/>
              </w:rPr>
              <w:t>本单位相关</w:t>
            </w:r>
            <w:r>
              <w:rPr>
                <w:spacing w:val="1"/>
              </w:rPr>
              <w:t xml:space="preserve"> </w:t>
            </w:r>
            <w:r>
              <w:rPr>
                <w:spacing w:val="3"/>
              </w:rPr>
              <w:t>作业人员继</w:t>
            </w:r>
            <w:r>
              <w:rPr>
                <w:spacing w:val="1"/>
              </w:rPr>
              <w:t xml:space="preserve"> </w:t>
            </w:r>
            <w:r>
              <w:rPr>
                <w:spacing w:val="3"/>
              </w:rPr>
              <w:t>续专业培训</w:t>
            </w:r>
            <w:r>
              <w:rPr>
                <w:spacing w:val="1"/>
              </w:rPr>
              <w:t xml:space="preserve"> </w:t>
            </w:r>
            <w:r>
              <w:rPr>
                <w:spacing w:val="3"/>
              </w:rPr>
              <w:t>等行为的行</w:t>
            </w:r>
            <w:r>
              <w:rPr>
                <w:spacing w:val="1"/>
              </w:rPr>
              <w:t xml:space="preserve"> </w:t>
            </w:r>
            <w:r>
              <w:rPr>
                <w:spacing w:val="-4"/>
              </w:rPr>
              <w:t>政处罚</w:t>
            </w:r>
          </w:p>
        </w:tc>
        <w:tc>
          <w:tcPr>
            <w:tcW w:w="1136" w:type="dxa"/>
            <w:vAlign w:val="top"/>
          </w:tcPr>
          <w:p w14:paraId="554540EA">
            <w:pPr>
              <w:spacing w:line="256" w:lineRule="auto"/>
              <w:rPr>
                <w:rFonts w:ascii="Arial"/>
                <w:sz w:val="21"/>
              </w:rPr>
            </w:pPr>
          </w:p>
          <w:p w14:paraId="135732AD">
            <w:pPr>
              <w:spacing w:line="256" w:lineRule="auto"/>
              <w:rPr>
                <w:rFonts w:ascii="Arial"/>
                <w:sz w:val="21"/>
              </w:rPr>
            </w:pPr>
          </w:p>
          <w:p w14:paraId="78C1DE3B">
            <w:pPr>
              <w:spacing w:line="256" w:lineRule="auto"/>
              <w:rPr>
                <w:rFonts w:ascii="Arial"/>
                <w:sz w:val="21"/>
              </w:rPr>
            </w:pPr>
          </w:p>
          <w:p w14:paraId="602D07E9">
            <w:pPr>
              <w:spacing w:line="256" w:lineRule="auto"/>
              <w:rPr>
                <w:rFonts w:ascii="Arial"/>
                <w:sz w:val="21"/>
              </w:rPr>
            </w:pPr>
          </w:p>
          <w:p w14:paraId="0403BF6F">
            <w:pPr>
              <w:spacing w:line="256" w:lineRule="auto"/>
              <w:rPr>
                <w:rFonts w:ascii="Arial"/>
                <w:sz w:val="21"/>
              </w:rPr>
            </w:pPr>
          </w:p>
          <w:p w14:paraId="1CEBBA9D">
            <w:pPr>
              <w:spacing w:line="256" w:lineRule="auto"/>
              <w:rPr>
                <w:rFonts w:ascii="Arial"/>
                <w:sz w:val="21"/>
              </w:rPr>
            </w:pPr>
          </w:p>
          <w:p w14:paraId="1022411B">
            <w:pPr>
              <w:spacing w:line="256" w:lineRule="auto"/>
              <w:rPr>
                <w:rFonts w:ascii="Arial"/>
                <w:sz w:val="21"/>
              </w:rPr>
            </w:pPr>
          </w:p>
          <w:p w14:paraId="4BD7EE1D">
            <w:pPr>
              <w:spacing w:line="256" w:lineRule="auto"/>
              <w:rPr>
                <w:rFonts w:ascii="Arial"/>
                <w:sz w:val="21"/>
              </w:rPr>
            </w:pPr>
          </w:p>
          <w:p w14:paraId="2D538B41">
            <w:pPr>
              <w:spacing w:line="257" w:lineRule="auto"/>
              <w:rPr>
                <w:rFonts w:ascii="Arial"/>
                <w:sz w:val="21"/>
              </w:rPr>
            </w:pPr>
          </w:p>
          <w:p w14:paraId="78B96061">
            <w:pPr>
              <w:pStyle w:val="8"/>
              <w:spacing w:before="59" w:line="220" w:lineRule="auto"/>
              <w:ind w:left="114"/>
            </w:pPr>
            <w:r>
              <w:rPr>
                <w:spacing w:val="-7"/>
              </w:rPr>
              <w:t>行政处罚</w:t>
            </w:r>
          </w:p>
        </w:tc>
        <w:tc>
          <w:tcPr>
            <w:tcW w:w="8806" w:type="dxa"/>
            <w:vAlign w:val="top"/>
          </w:tcPr>
          <w:p w14:paraId="61B52B89">
            <w:pPr>
              <w:spacing w:line="277" w:lineRule="auto"/>
              <w:rPr>
                <w:rFonts w:ascii="Arial"/>
                <w:sz w:val="21"/>
              </w:rPr>
            </w:pPr>
          </w:p>
          <w:p w14:paraId="6F9F6668">
            <w:pPr>
              <w:pStyle w:val="8"/>
              <w:spacing w:before="59" w:line="219" w:lineRule="auto"/>
              <w:ind w:left="447"/>
            </w:pPr>
            <w:r>
              <w:rPr>
                <w:b/>
                <w:bCs/>
                <w:spacing w:val="-3"/>
              </w:rPr>
              <w:t>《中华人民共和国防治船舶污染内河水域环境管理规定》（</w:t>
            </w:r>
            <w:r>
              <w:rPr>
                <w:b/>
                <w:bCs/>
                <w:spacing w:val="-4"/>
              </w:rPr>
              <w:t>交通运输部令2022年第26号）</w:t>
            </w:r>
          </w:p>
          <w:p w14:paraId="059194AB">
            <w:pPr>
              <w:pStyle w:val="8"/>
              <w:spacing w:before="25" w:line="233" w:lineRule="auto"/>
              <w:ind w:left="111" w:right="95" w:firstLine="354"/>
            </w:pPr>
            <w:r>
              <w:rPr>
                <w:spacing w:val="-8"/>
              </w:rPr>
              <w:t>第七条</w:t>
            </w:r>
            <w:r>
              <w:rPr>
                <w:spacing w:val="73"/>
              </w:rPr>
              <w:t xml:space="preserve"> </w:t>
            </w:r>
            <w:r>
              <w:rPr>
                <w:spacing w:val="-8"/>
              </w:rPr>
              <w:t>船员应当具有相应的防治船舶污染内河水域环境的专业知识和技能，熟悉船舶防</w:t>
            </w:r>
            <w:r>
              <w:rPr>
                <w:spacing w:val="-9"/>
              </w:rPr>
              <w:t>污染程序和要求，经</w:t>
            </w:r>
            <w:r>
              <w:t xml:space="preserve"> </w:t>
            </w:r>
            <w:r>
              <w:rPr>
                <w:spacing w:val="-8"/>
              </w:rPr>
              <w:t>过相应的专业培训，持有有效的适任证书和合格证明。</w:t>
            </w:r>
          </w:p>
          <w:p w14:paraId="702FE845">
            <w:pPr>
              <w:pStyle w:val="8"/>
              <w:spacing w:before="26" w:line="233" w:lineRule="auto"/>
              <w:ind w:left="110" w:right="95" w:firstLine="357"/>
            </w:pPr>
            <w:r>
              <w:rPr>
                <w:spacing w:val="-8"/>
              </w:rPr>
              <w:t>从事有关作业活动的单位应当组织本单位作业人员进行防治污染</w:t>
            </w:r>
            <w:r>
              <w:rPr>
                <w:spacing w:val="-9"/>
              </w:rPr>
              <w:t>操作技能、设备使用、作业程序、安全防护和</w:t>
            </w:r>
            <w:r>
              <w:t xml:space="preserve"> </w:t>
            </w:r>
            <w:r>
              <w:rPr>
                <w:spacing w:val="-8"/>
              </w:rPr>
              <w:t>应急反应等专业培训，确保作业人员具备相关防治污染的专业知识和技能。</w:t>
            </w:r>
          </w:p>
          <w:p w14:paraId="60EFC544">
            <w:pPr>
              <w:pStyle w:val="8"/>
              <w:spacing w:before="25" w:line="233" w:lineRule="auto"/>
              <w:ind w:left="110" w:right="95" w:firstLine="355"/>
            </w:pPr>
            <w:r>
              <w:rPr>
                <w:spacing w:val="-8"/>
              </w:rPr>
              <w:t>第二十条</w:t>
            </w:r>
            <w:r>
              <w:rPr>
                <w:spacing w:val="73"/>
              </w:rPr>
              <w:t xml:space="preserve"> </w:t>
            </w:r>
            <w:r>
              <w:rPr>
                <w:spacing w:val="-8"/>
              </w:rPr>
              <w:t>船舶污染物接收单位在污染物接收作业完毕后，应当向船舶出具污染物接收处</w:t>
            </w:r>
            <w:r>
              <w:rPr>
                <w:spacing w:val="-9"/>
              </w:rPr>
              <w:t>理单证，并将接收的</w:t>
            </w:r>
            <w:r>
              <w:t xml:space="preserve"> </w:t>
            </w:r>
            <w:r>
              <w:rPr>
                <w:spacing w:val="-8"/>
              </w:rPr>
              <w:t>船舶污染物交由岸上相关单位按规定处理。</w:t>
            </w:r>
          </w:p>
          <w:p w14:paraId="1829A680">
            <w:pPr>
              <w:pStyle w:val="8"/>
              <w:spacing w:before="25" w:line="233" w:lineRule="auto"/>
              <w:ind w:left="114" w:right="54" w:firstLine="350"/>
            </w:pPr>
            <w:r>
              <w:rPr>
                <w:spacing w:val="-11"/>
              </w:rPr>
              <w:t>船舶污染物接收单证上应当注明作业双方名称、作业开始和结束的时间、地点，以及污染物种类、数量等内</w:t>
            </w:r>
            <w:r>
              <w:rPr>
                <w:spacing w:val="-12"/>
              </w:rPr>
              <w:t>容，</w:t>
            </w:r>
            <w:r>
              <w:t xml:space="preserve"> </w:t>
            </w:r>
            <w:r>
              <w:rPr>
                <w:spacing w:val="-8"/>
              </w:rPr>
              <w:t>并由船方签字确认。船舶应当将船舶污染物接收单证与相关记录簿一并保存备查。</w:t>
            </w:r>
          </w:p>
          <w:p w14:paraId="2598245D">
            <w:pPr>
              <w:pStyle w:val="8"/>
              <w:spacing w:before="26" w:line="233" w:lineRule="auto"/>
              <w:ind w:left="112" w:right="131" w:firstLine="353"/>
            </w:pPr>
            <w:r>
              <w:rPr>
                <w:spacing w:val="-9"/>
              </w:rPr>
              <w:t>第二十五条</w:t>
            </w:r>
            <w:r>
              <w:rPr>
                <w:spacing w:val="75"/>
              </w:rPr>
              <w:t xml:space="preserve"> </w:t>
            </w:r>
            <w:r>
              <w:rPr>
                <w:spacing w:val="-9"/>
              </w:rPr>
              <w:t>从事散装液体污染危害性货物装卸作业的，作业双方应当在作业前对相关防污染措施进行确认，</w:t>
            </w:r>
            <w:r>
              <w:t xml:space="preserve"> </w:t>
            </w:r>
            <w:r>
              <w:rPr>
                <w:spacing w:val="-8"/>
              </w:rPr>
              <w:t>按照规定填写防污染检查表，并在作业过程中严格落实防污染措施。</w:t>
            </w:r>
          </w:p>
          <w:p w14:paraId="620911CE">
            <w:pPr>
              <w:pStyle w:val="8"/>
              <w:spacing w:before="25" w:line="238" w:lineRule="auto"/>
              <w:ind w:left="109" w:right="95" w:firstLine="355"/>
            </w:pPr>
            <w:r>
              <w:rPr>
                <w:spacing w:val="-8"/>
              </w:rPr>
              <w:t>第二十六条</w:t>
            </w:r>
            <w:r>
              <w:rPr>
                <w:spacing w:val="73"/>
              </w:rPr>
              <w:t xml:space="preserve"> </w:t>
            </w:r>
            <w:r>
              <w:rPr>
                <w:spacing w:val="-8"/>
              </w:rPr>
              <w:t>船舶从事散装液体污染危害性货物水上过驳作业时，应当遵守有关作业规程</w:t>
            </w:r>
            <w:r>
              <w:rPr>
                <w:spacing w:val="-9"/>
              </w:rPr>
              <w:t>，会同作业单位确定</w:t>
            </w:r>
            <w:r>
              <w:t xml:space="preserve"> </w:t>
            </w:r>
            <w:r>
              <w:rPr>
                <w:spacing w:val="-6"/>
              </w:rPr>
              <w:t>操 作方案，合理配置和使用装卸管系及设备，按照规定填写防污染检查表</w:t>
            </w:r>
            <w:r>
              <w:rPr>
                <w:spacing w:val="-7"/>
              </w:rPr>
              <w:t>，针对货物特性和作业方式制定并落实</w:t>
            </w:r>
            <w:r>
              <w:t xml:space="preserve"> </w:t>
            </w:r>
            <w:r>
              <w:rPr>
                <w:spacing w:val="-7"/>
              </w:rPr>
              <w:t>防污染 措施。</w:t>
            </w:r>
          </w:p>
          <w:p w14:paraId="2BF8C3C1">
            <w:pPr>
              <w:pStyle w:val="8"/>
              <w:spacing w:before="26" w:line="239" w:lineRule="auto"/>
              <w:ind w:left="109" w:right="95" w:firstLine="355"/>
              <w:jc w:val="both"/>
            </w:pPr>
            <w:r>
              <w:rPr>
                <w:spacing w:val="-8"/>
              </w:rPr>
              <w:t>第四十八条</w:t>
            </w:r>
            <w:r>
              <w:rPr>
                <w:spacing w:val="73"/>
              </w:rPr>
              <w:t xml:space="preserve"> </w:t>
            </w:r>
            <w:r>
              <w:rPr>
                <w:spacing w:val="-8"/>
              </w:rPr>
              <w:t>违反本规定第七条、第二十条、第二十五条、第二十六条，有下列情形之一</w:t>
            </w:r>
            <w:r>
              <w:rPr>
                <w:spacing w:val="-9"/>
              </w:rPr>
              <w:t>的，由海事管理机构</w:t>
            </w:r>
            <w:r>
              <w:t xml:space="preserve"> </w:t>
            </w:r>
            <w:r>
              <w:rPr>
                <w:spacing w:val="-5"/>
              </w:rPr>
              <w:t>责令停止违法行为，并处以5000元以上</w:t>
            </w:r>
            <w:r>
              <w:rPr>
                <w:spacing w:val="-6"/>
              </w:rPr>
              <w:t>1万元以下的罚款</w:t>
            </w:r>
            <w:r>
              <w:rPr>
                <w:spacing w:val="-19"/>
              </w:rPr>
              <w:t>：（</w:t>
            </w:r>
            <w:r>
              <w:rPr>
                <w:spacing w:val="-6"/>
              </w:rPr>
              <w:t>一）从事有关作业活动的单位，未组织本单位相关作</w:t>
            </w:r>
            <w:r>
              <w:t xml:space="preserve"> </w:t>
            </w:r>
            <w:r>
              <w:rPr>
                <w:spacing w:val="-7"/>
              </w:rPr>
              <w:t>业人员进行专业培训的</w:t>
            </w:r>
            <w:r>
              <w:rPr>
                <w:spacing w:val="-22"/>
              </w:rPr>
              <w:t>；（</w:t>
            </w:r>
            <w:r>
              <w:rPr>
                <w:spacing w:val="-7"/>
              </w:rPr>
              <w:t>二）船舶污染物接收单位未按规定向船方出具船舶污染物接收单证的</w:t>
            </w:r>
            <w:r>
              <w:rPr>
                <w:spacing w:val="-22"/>
              </w:rPr>
              <w:t>；（</w:t>
            </w:r>
            <w:r>
              <w:rPr>
                <w:spacing w:val="-7"/>
              </w:rPr>
              <w:t>三）从事散装</w:t>
            </w:r>
            <w:r>
              <w:rPr>
                <w:spacing w:val="1"/>
              </w:rPr>
              <w:t xml:space="preserve"> </w:t>
            </w:r>
            <w:r>
              <w:rPr>
                <w:spacing w:val="-8"/>
              </w:rPr>
              <w:t>液体污染危害性货物装卸、过驳作业的，作业双方未按规定填写防污染检查表及落实防污染措施的。</w:t>
            </w:r>
          </w:p>
        </w:tc>
        <w:tc>
          <w:tcPr>
            <w:tcW w:w="1043" w:type="dxa"/>
            <w:vAlign w:val="top"/>
          </w:tcPr>
          <w:p w14:paraId="29F2944B">
            <w:pPr>
              <w:spacing w:line="242" w:lineRule="auto"/>
              <w:rPr>
                <w:rFonts w:ascii="Arial"/>
                <w:sz w:val="21"/>
              </w:rPr>
            </w:pPr>
          </w:p>
          <w:p w14:paraId="5D87E3AA">
            <w:pPr>
              <w:spacing w:line="243" w:lineRule="auto"/>
              <w:rPr>
                <w:rFonts w:ascii="Arial"/>
                <w:sz w:val="21"/>
              </w:rPr>
            </w:pPr>
          </w:p>
          <w:p w14:paraId="09867BFD">
            <w:pPr>
              <w:spacing w:line="243" w:lineRule="auto"/>
              <w:rPr>
                <w:rFonts w:ascii="Arial"/>
                <w:sz w:val="21"/>
              </w:rPr>
            </w:pPr>
          </w:p>
          <w:p w14:paraId="675CD16A">
            <w:pPr>
              <w:spacing w:line="243" w:lineRule="auto"/>
              <w:rPr>
                <w:rFonts w:ascii="Arial"/>
                <w:sz w:val="21"/>
              </w:rPr>
            </w:pPr>
          </w:p>
          <w:p w14:paraId="36A89A72">
            <w:pPr>
              <w:spacing w:line="243" w:lineRule="auto"/>
              <w:rPr>
                <w:rFonts w:ascii="Arial"/>
                <w:sz w:val="21"/>
              </w:rPr>
            </w:pPr>
          </w:p>
          <w:p w14:paraId="3F7C1C17">
            <w:pPr>
              <w:spacing w:line="243" w:lineRule="auto"/>
              <w:rPr>
                <w:rFonts w:ascii="Arial"/>
                <w:sz w:val="21"/>
              </w:rPr>
            </w:pPr>
          </w:p>
          <w:p w14:paraId="3D910A0B">
            <w:pPr>
              <w:spacing w:line="243" w:lineRule="auto"/>
              <w:rPr>
                <w:rFonts w:ascii="Arial"/>
                <w:sz w:val="21"/>
              </w:rPr>
            </w:pPr>
          </w:p>
          <w:p w14:paraId="0BBC10DD">
            <w:pPr>
              <w:spacing w:line="243" w:lineRule="auto"/>
              <w:rPr>
                <w:rFonts w:ascii="Arial"/>
                <w:sz w:val="21"/>
              </w:rPr>
            </w:pPr>
          </w:p>
          <w:p w14:paraId="72AA0144">
            <w:pPr>
              <w:spacing w:line="243" w:lineRule="auto"/>
              <w:rPr>
                <w:rFonts w:ascii="Arial"/>
                <w:sz w:val="21"/>
              </w:rPr>
            </w:pPr>
          </w:p>
          <w:p w14:paraId="32F50498">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2DD1FA5">
            <w:pPr>
              <w:spacing w:line="256" w:lineRule="auto"/>
              <w:rPr>
                <w:rFonts w:ascii="Arial"/>
                <w:sz w:val="21"/>
              </w:rPr>
            </w:pPr>
          </w:p>
          <w:p w14:paraId="540F9ADA">
            <w:pPr>
              <w:spacing w:line="256" w:lineRule="auto"/>
              <w:rPr>
                <w:rFonts w:ascii="Arial"/>
                <w:sz w:val="21"/>
              </w:rPr>
            </w:pPr>
          </w:p>
          <w:p w14:paraId="5F0B1958">
            <w:pPr>
              <w:spacing w:line="256" w:lineRule="auto"/>
              <w:rPr>
                <w:rFonts w:ascii="Arial"/>
                <w:sz w:val="21"/>
              </w:rPr>
            </w:pPr>
          </w:p>
          <w:p w14:paraId="17DF6256">
            <w:pPr>
              <w:spacing w:line="256" w:lineRule="auto"/>
              <w:rPr>
                <w:rFonts w:ascii="Arial"/>
                <w:sz w:val="21"/>
              </w:rPr>
            </w:pPr>
          </w:p>
          <w:p w14:paraId="451D1BEF">
            <w:pPr>
              <w:spacing w:line="256" w:lineRule="auto"/>
              <w:rPr>
                <w:rFonts w:ascii="Arial"/>
                <w:sz w:val="21"/>
              </w:rPr>
            </w:pPr>
          </w:p>
          <w:p w14:paraId="3CAEEB26">
            <w:pPr>
              <w:spacing w:line="256" w:lineRule="auto"/>
              <w:rPr>
                <w:rFonts w:ascii="Arial"/>
                <w:sz w:val="21"/>
              </w:rPr>
            </w:pPr>
          </w:p>
          <w:p w14:paraId="3E436439">
            <w:pPr>
              <w:spacing w:line="256" w:lineRule="auto"/>
              <w:rPr>
                <w:rFonts w:ascii="Arial"/>
                <w:sz w:val="21"/>
              </w:rPr>
            </w:pPr>
          </w:p>
          <w:p w14:paraId="34E25A6A">
            <w:pPr>
              <w:spacing w:line="257" w:lineRule="auto"/>
              <w:rPr>
                <w:rFonts w:ascii="Arial"/>
                <w:sz w:val="21"/>
              </w:rPr>
            </w:pPr>
          </w:p>
          <w:p w14:paraId="62DAADBC">
            <w:pPr>
              <w:spacing w:line="257" w:lineRule="auto"/>
              <w:rPr>
                <w:rFonts w:ascii="Arial"/>
                <w:sz w:val="21"/>
              </w:rPr>
            </w:pPr>
          </w:p>
          <w:p w14:paraId="056FA136">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DCEBABC">
            <w:pPr>
              <w:spacing w:line="243" w:lineRule="auto"/>
              <w:rPr>
                <w:rFonts w:ascii="Arial"/>
                <w:sz w:val="21"/>
              </w:rPr>
            </w:pPr>
          </w:p>
          <w:p w14:paraId="10B9E0CD">
            <w:pPr>
              <w:spacing w:line="243" w:lineRule="auto"/>
              <w:rPr>
                <w:rFonts w:ascii="Arial"/>
                <w:sz w:val="21"/>
              </w:rPr>
            </w:pPr>
          </w:p>
          <w:p w14:paraId="357E81EC">
            <w:pPr>
              <w:spacing w:line="243" w:lineRule="auto"/>
              <w:rPr>
                <w:rFonts w:ascii="Arial"/>
                <w:sz w:val="21"/>
              </w:rPr>
            </w:pPr>
          </w:p>
          <w:p w14:paraId="39D89C63">
            <w:pPr>
              <w:spacing w:line="244" w:lineRule="auto"/>
              <w:rPr>
                <w:rFonts w:ascii="Arial"/>
                <w:sz w:val="21"/>
              </w:rPr>
            </w:pPr>
          </w:p>
          <w:p w14:paraId="58201DD6">
            <w:pPr>
              <w:spacing w:line="244" w:lineRule="auto"/>
              <w:rPr>
                <w:rFonts w:ascii="Arial"/>
                <w:sz w:val="21"/>
              </w:rPr>
            </w:pPr>
          </w:p>
          <w:p w14:paraId="5FDF79B2">
            <w:pPr>
              <w:spacing w:line="244" w:lineRule="auto"/>
              <w:rPr>
                <w:rFonts w:ascii="Arial"/>
                <w:sz w:val="21"/>
              </w:rPr>
            </w:pPr>
          </w:p>
          <w:p w14:paraId="4FA946FB">
            <w:pPr>
              <w:spacing w:line="244" w:lineRule="auto"/>
              <w:rPr>
                <w:rFonts w:ascii="Arial"/>
                <w:sz w:val="21"/>
              </w:rPr>
            </w:pPr>
          </w:p>
          <w:p w14:paraId="1A00AC99">
            <w:pPr>
              <w:spacing w:line="244" w:lineRule="auto"/>
              <w:rPr>
                <w:rFonts w:ascii="Arial"/>
                <w:sz w:val="21"/>
              </w:rPr>
            </w:pPr>
          </w:p>
          <w:p w14:paraId="353FDA27">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084FA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9" w:hRule="atLeast"/>
        </w:trPr>
        <w:tc>
          <w:tcPr>
            <w:tcW w:w="641" w:type="dxa"/>
            <w:vAlign w:val="top"/>
          </w:tcPr>
          <w:p w14:paraId="667B9DA4">
            <w:pPr>
              <w:spacing w:line="288" w:lineRule="auto"/>
              <w:rPr>
                <w:rFonts w:ascii="Arial"/>
                <w:sz w:val="21"/>
              </w:rPr>
            </w:pPr>
          </w:p>
          <w:p w14:paraId="5BD4D819">
            <w:pPr>
              <w:spacing w:line="288" w:lineRule="auto"/>
              <w:rPr>
                <w:rFonts w:ascii="Arial"/>
                <w:sz w:val="21"/>
              </w:rPr>
            </w:pPr>
          </w:p>
          <w:p w14:paraId="78CA8CF2">
            <w:pPr>
              <w:spacing w:line="288" w:lineRule="auto"/>
              <w:rPr>
                <w:rFonts w:ascii="Arial"/>
                <w:sz w:val="21"/>
              </w:rPr>
            </w:pPr>
          </w:p>
          <w:p w14:paraId="2FB7B7F5">
            <w:pPr>
              <w:pStyle w:val="8"/>
              <w:spacing w:before="58" w:line="184" w:lineRule="auto"/>
              <w:ind w:left="239"/>
            </w:pPr>
            <w:r>
              <w:rPr>
                <w:spacing w:val="-6"/>
              </w:rPr>
              <w:t>71</w:t>
            </w:r>
          </w:p>
        </w:tc>
        <w:tc>
          <w:tcPr>
            <w:tcW w:w="1136" w:type="dxa"/>
            <w:vAlign w:val="top"/>
          </w:tcPr>
          <w:p w14:paraId="711503C7">
            <w:pPr>
              <w:pStyle w:val="8"/>
              <w:spacing w:before="299" w:line="242" w:lineRule="auto"/>
              <w:ind w:left="110" w:right="48" w:hanging="1"/>
              <w:jc w:val="both"/>
            </w:pPr>
            <w:r>
              <w:rPr>
                <w:spacing w:val="3"/>
              </w:rPr>
              <w:t>对船舶未遵</w:t>
            </w:r>
            <w:r>
              <w:rPr>
                <w:spacing w:val="1"/>
              </w:rPr>
              <w:t xml:space="preserve"> </w:t>
            </w:r>
            <w:r>
              <w:rPr>
                <w:spacing w:val="3"/>
              </w:rPr>
              <w:t>守特殊保护</w:t>
            </w:r>
            <w:r>
              <w:t xml:space="preserve"> </w:t>
            </w:r>
            <w:r>
              <w:rPr>
                <w:spacing w:val="3"/>
              </w:rPr>
              <w:t>水域有关防</w:t>
            </w:r>
            <w:r>
              <w:t xml:space="preserve"> </w:t>
            </w:r>
            <w:r>
              <w:rPr>
                <w:spacing w:val="-19"/>
              </w:rPr>
              <w:t>污染的规定、</w:t>
            </w:r>
            <w:r>
              <w:rPr>
                <w:spacing w:val="4"/>
              </w:rPr>
              <w:t xml:space="preserve"> </w:t>
            </w:r>
            <w:r>
              <w:rPr>
                <w:spacing w:val="3"/>
              </w:rPr>
              <w:t>标准行为的</w:t>
            </w:r>
            <w:r>
              <w:t xml:space="preserve"> </w:t>
            </w:r>
            <w:r>
              <w:rPr>
                <w:spacing w:val="-4"/>
              </w:rPr>
              <w:t>行政处罚</w:t>
            </w:r>
          </w:p>
        </w:tc>
        <w:tc>
          <w:tcPr>
            <w:tcW w:w="1136" w:type="dxa"/>
            <w:vAlign w:val="top"/>
          </w:tcPr>
          <w:p w14:paraId="5EA6BB6D">
            <w:pPr>
              <w:spacing w:line="278" w:lineRule="auto"/>
              <w:rPr>
                <w:rFonts w:ascii="Arial"/>
                <w:sz w:val="21"/>
              </w:rPr>
            </w:pPr>
          </w:p>
          <w:p w14:paraId="3F7D6997">
            <w:pPr>
              <w:spacing w:line="279" w:lineRule="auto"/>
              <w:rPr>
                <w:rFonts w:ascii="Arial"/>
                <w:sz w:val="21"/>
              </w:rPr>
            </w:pPr>
          </w:p>
          <w:p w14:paraId="02561ABD">
            <w:pPr>
              <w:spacing w:line="279" w:lineRule="auto"/>
              <w:rPr>
                <w:rFonts w:ascii="Arial"/>
                <w:sz w:val="21"/>
              </w:rPr>
            </w:pPr>
          </w:p>
          <w:p w14:paraId="3E1B9778">
            <w:pPr>
              <w:pStyle w:val="8"/>
              <w:spacing w:before="59" w:line="220" w:lineRule="auto"/>
              <w:ind w:left="114"/>
            </w:pPr>
            <w:r>
              <w:rPr>
                <w:spacing w:val="-7"/>
              </w:rPr>
              <w:t>行政处罚</w:t>
            </w:r>
          </w:p>
        </w:tc>
        <w:tc>
          <w:tcPr>
            <w:tcW w:w="8806" w:type="dxa"/>
            <w:vAlign w:val="top"/>
          </w:tcPr>
          <w:p w14:paraId="19072AD3">
            <w:pPr>
              <w:rPr>
                <w:rFonts w:ascii="Arial"/>
                <w:sz w:val="21"/>
              </w:rPr>
            </w:pPr>
          </w:p>
          <w:p w14:paraId="40884D9E">
            <w:pPr>
              <w:pStyle w:val="8"/>
              <w:spacing w:before="58" w:line="219" w:lineRule="auto"/>
              <w:ind w:left="447"/>
            </w:pPr>
            <w:r>
              <w:rPr>
                <w:b/>
                <w:bCs/>
                <w:spacing w:val="-3"/>
              </w:rPr>
              <w:t>《中华人民共和国防治船舶污染内河水域环境管理规定》（</w:t>
            </w:r>
            <w:r>
              <w:rPr>
                <w:b/>
                <w:bCs/>
                <w:spacing w:val="-4"/>
              </w:rPr>
              <w:t>交通运输部令2022年第26号）</w:t>
            </w:r>
          </w:p>
          <w:p w14:paraId="22DB573F">
            <w:pPr>
              <w:pStyle w:val="8"/>
              <w:spacing w:before="27" w:line="232" w:lineRule="auto"/>
              <w:ind w:left="109" w:right="95" w:firstLine="355"/>
            </w:pPr>
            <w:r>
              <w:rPr>
                <w:spacing w:val="-8"/>
              </w:rPr>
              <w:t>第十条</w:t>
            </w:r>
            <w:r>
              <w:rPr>
                <w:spacing w:val="75"/>
              </w:rPr>
              <w:t xml:space="preserve"> </w:t>
            </w:r>
            <w:r>
              <w:rPr>
                <w:spacing w:val="-8"/>
              </w:rPr>
              <w:t>依法设立特殊保护水域涉及防治船舶污染内河水域环境的，应当事先征求海</w:t>
            </w:r>
            <w:r>
              <w:rPr>
                <w:spacing w:val="-9"/>
              </w:rPr>
              <w:t>事管理机构的意见，并由</w:t>
            </w:r>
            <w:r>
              <w:t xml:space="preserve"> </w:t>
            </w:r>
            <w:r>
              <w:rPr>
                <w:spacing w:val="-8"/>
              </w:rPr>
              <w:t>海 事管理机构发布航行通（警）告。设立特殊保护水域的，应当同时设置船舶污染物接收及处理设施。</w:t>
            </w:r>
          </w:p>
          <w:p w14:paraId="7F1A905A">
            <w:pPr>
              <w:pStyle w:val="8"/>
              <w:spacing w:before="27" w:line="219" w:lineRule="auto"/>
              <w:ind w:left="465"/>
            </w:pPr>
            <w:r>
              <w:rPr>
                <w:spacing w:val="-8"/>
              </w:rPr>
              <w:t>在特殊保护水域内航行、停泊、作业的船舶，应当遵守特殊保护水域有关防污染的规定、标准。</w:t>
            </w:r>
          </w:p>
          <w:p w14:paraId="3F6FFBB2">
            <w:pPr>
              <w:pStyle w:val="8"/>
              <w:spacing w:before="25" w:line="233" w:lineRule="auto"/>
              <w:ind w:left="111" w:right="98" w:firstLine="354"/>
            </w:pPr>
            <w:r>
              <w:rPr>
                <w:spacing w:val="-8"/>
              </w:rPr>
              <w:t>第四十九条</w:t>
            </w:r>
            <w:r>
              <w:rPr>
                <w:spacing w:val="73"/>
                <w:w w:val="101"/>
              </w:rPr>
              <w:t xml:space="preserve"> </w:t>
            </w:r>
            <w:r>
              <w:rPr>
                <w:spacing w:val="-8"/>
              </w:rPr>
              <w:t>违反本规定第十条，船舶未遵守特殊保护水域有关防污染的规定、标</w:t>
            </w:r>
            <w:r>
              <w:rPr>
                <w:spacing w:val="-9"/>
              </w:rPr>
              <w:t>准的，由海事管理机构责令</w:t>
            </w:r>
            <w:r>
              <w:t xml:space="preserve"> </w:t>
            </w:r>
            <w:r>
              <w:rPr>
                <w:spacing w:val="-8"/>
              </w:rPr>
              <w:t>停 止违法行为，并处以1万元以上3万元以下的罚款。</w:t>
            </w:r>
          </w:p>
        </w:tc>
        <w:tc>
          <w:tcPr>
            <w:tcW w:w="1043" w:type="dxa"/>
            <w:vAlign w:val="top"/>
          </w:tcPr>
          <w:p w14:paraId="4B2F693A">
            <w:pPr>
              <w:spacing w:line="358" w:lineRule="auto"/>
              <w:rPr>
                <w:rFonts w:ascii="Arial"/>
                <w:sz w:val="21"/>
              </w:rPr>
            </w:pPr>
          </w:p>
          <w:p w14:paraId="35068622">
            <w:pPr>
              <w:spacing w:line="359" w:lineRule="auto"/>
              <w:rPr>
                <w:rFonts w:ascii="Arial"/>
                <w:sz w:val="21"/>
              </w:rPr>
            </w:pPr>
          </w:p>
          <w:p w14:paraId="3783CF5D">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19F6EB80">
            <w:pPr>
              <w:spacing w:line="279" w:lineRule="auto"/>
              <w:rPr>
                <w:rFonts w:ascii="Arial"/>
                <w:sz w:val="21"/>
              </w:rPr>
            </w:pPr>
          </w:p>
          <w:p w14:paraId="67137A73">
            <w:pPr>
              <w:spacing w:line="279" w:lineRule="auto"/>
              <w:rPr>
                <w:rFonts w:ascii="Arial"/>
                <w:sz w:val="21"/>
              </w:rPr>
            </w:pPr>
          </w:p>
          <w:p w14:paraId="5BC1A1D5">
            <w:pPr>
              <w:spacing w:line="279" w:lineRule="auto"/>
              <w:rPr>
                <w:rFonts w:ascii="Arial"/>
                <w:sz w:val="21"/>
              </w:rPr>
            </w:pPr>
          </w:p>
          <w:p w14:paraId="3F5A2F1F">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5ED6AF1">
            <w:pPr>
              <w:rPr>
                <w:rFonts w:ascii="Arial"/>
                <w:sz w:val="21"/>
              </w:rPr>
            </w:pPr>
          </w:p>
          <w:p w14:paraId="24D87CEF">
            <w:pPr>
              <w:rPr>
                <w:rFonts w:ascii="Arial"/>
                <w:sz w:val="21"/>
              </w:rPr>
            </w:pPr>
          </w:p>
          <w:p w14:paraId="37D66B0E">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29A07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6" w:hRule="atLeast"/>
        </w:trPr>
        <w:tc>
          <w:tcPr>
            <w:tcW w:w="641" w:type="dxa"/>
            <w:vAlign w:val="top"/>
          </w:tcPr>
          <w:p w14:paraId="0C7BC9FE">
            <w:pPr>
              <w:spacing w:line="280" w:lineRule="auto"/>
              <w:rPr>
                <w:rFonts w:ascii="Arial"/>
                <w:sz w:val="21"/>
              </w:rPr>
            </w:pPr>
          </w:p>
          <w:p w14:paraId="123C03CB">
            <w:pPr>
              <w:spacing w:line="281" w:lineRule="auto"/>
              <w:rPr>
                <w:rFonts w:ascii="Arial"/>
                <w:sz w:val="21"/>
              </w:rPr>
            </w:pPr>
          </w:p>
          <w:p w14:paraId="2E559220">
            <w:pPr>
              <w:spacing w:line="281" w:lineRule="auto"/>
              <w:rPr>
                <w:rFonts w:ascii="Arial"/>
                <w:sz w:val="21"/>
              </w:rPr>
            </w:pPr>
          </w:p>
          <w:p w14:paraId="22E2E084">
            <w:pPr>
              <w:pStyle w:val="8"/>
              <w:spacing w:before="59" w:line="183" w:lineRule="auto"/>
              <w:ind w:left="239"/>
            </w:pPr>
            <w:r>
              <w:rPr>
                <w:spacing w:val="-6"/>
              </w:rPr>
              <w:t>72</w:t>
            </w:r>
          </w:p>
        </w:tc>
        <w:tc>
          <w:tcPr>
            <w:tcW w:w="1136" w:type="dxa"/>
            <w:vAlign w:val="top"/>
          </w:tcPr>
          <w:p w14:paraId="6F882151">
            <w:pPr>
              <w:pStyle w:val="8"/>
              <w:spacing w:before="280" w:line="242" w:lineRule="auto"/>
              <w:ind w:left="110" w:right="104" w:hanging="1"/>
              <w:jc w:val="both"/>
            </w:pPr>
            <w:r>
              <w:rPr>
                <w:spacing w:val="3"/>
              </w:rPr>
              <w:t>对船舶违反</w:t>
            </w:r>
            <w:r>
              <w:rPr>
                <w:spacing w:val="1"/>
              </w:rPr>
              <w:t xml:space="preserve"> </w:t>
            </w:r>
            <w:r>
              <w:rPr>
                <w:spacing w:val="3"/>
              </w:rPr>
              <w:t>规定载运污</w:t>
            </w:r>
            <w:r>
              <w:t xml:space="preserve"> </w:t>
            </w:r>
            <w:r>
              <w:rPr>
                <w:spacing w:val="3"/>
              </w:rPr>
              <w:t>染危害性质</w:t>
            </w:r>
            <w:r>
              <w:t xml:space="preserve"> </w:t>
            </w:r>
            <w:r>
              <w:rPr>
                <w:spacing w:val="3"/>
              </w:rPr>
              <w:t>不明的货物</w:t>
            </w:r>
            <w:r>
              <w:t xml:space="preserve"> </w:t>
            </w:r>
            <w:r>
              <w:rPr>
                <w:spacing w:val="3"/>
              </w:rPr>
              <w:t>行为的行政</w:t>
            </w:r>
            <w:r>
              <w:t xml:space="preserve"> </w:t>
            </w:r>
            <w:r>
              <w:rPr>
                <w:spacing w:val="-4"/>
              </w:rPr>
              <w:t>处罚</w:t>
            </w:r>
          </w:p>
        </w:tc>
        <w:tc>
          <w:tcPr>
            <w:tcW w:w="1136" w:type="dxa"/>
            <w:vAlign w:val="top"/>
          </w:tcPr>
          <w:p w14:paraId="45E50B43">
            <w:pPr>
              <w:spacing w:line="271" w:lineRule="auto"/>
              <w:rPr>
                <w:rFonts w:ascii="Arial"/>
                <w:sz w:val="21"/>
              </w:rPr>
            </w:pPr>
          </w:p>
          <w:p w14:paraId="69C1E7F3">
            <w:pPr>
              <w:spacing w:line="271" w:lineRule="auto"/>
              <w:rPr>
                <w:rFonts w:ascii="Arial"/>
                <w:sz w:val="21"/>
              </w:rPr>
            </w:pPr>
          </w:p>
          <w:p w14:paraId="639542A0">
            <w:pPr>
              <w:spacing w:line="272" w:lineRule="auto"/>
              <w:rPr>
                <w:rFonts w:ascii="Arial"/>
                <w:sz w:val="21"/>
              </w:rPr>
            </w:pPr>
          </w:p>
          <w:p w14:paraId="2131C925">
            <w:pPr>
              <w:pStyle w:val="8"/>
              <w:spacing w:before="59" w:line="220" w:lineRule="auto"/>
              <w:ind w:left="114"/>
            </w:pPr>
            <w:r>
              <w:rPr>
                <w:spacing w:val="-7"/>
              </w:rPr>
              <w:t>行政处罚</w:t>
            </w:r>
          </w:p>
        </w:tc>
        <w:tc>
          <w:tcPr>
            <w:tcW w:w="8806" w:type="dxa"/>
            <w:vAlign w:val="top"/>
          </w:tcPr>
          <w:p w14:paraId="71E150FD">
            <w:pPr>
              <w:spacing w:line="337" w:lineRule="auto"/>
              <w:rPr>
                <w:rFonts w:ascii="Arial"/>
                <w:sz w:val="21"/>
              </w:rPr>
            </w:pPr>
          </w:p>
          <w:p w14:paraId="1C57B323">
            <w:pPr>
              <w:pStyle w:val="8"/>
              <w:spacing w:before="58" w:line="219" w:lineRule="auto"/>
              <w:ind w:left="447"/>
            </w:pPr>
            <w:r>
              <w:rPr>
                <w:b/>
                <w:bCs/>
                <w:spacing w:val="-3"/>
              </w:rPr>
              <w:t>《中华人民共和国防治船舶污染内河水域环境管理规定》（</w:t>
            </w:r>
            <w:r>
              <w:rPr>
                <w:b/>
                <w:bCs/>
                <w:spacing w:val="-4"/>
              </w:rPr>
              <w:t>交通运输部令2022年第26号）</w:t>
            </w:r>
          </w:p>
          <w:p w14:paraId="62A3D45B">
            <w:pPr>
              <w:pStyle w:val="8"/>
              <w:spacing w:before="26" w:line="219" w:lineRule="auto"/>
              <w:ind w:left="470"/>
            </w:pPr>
            <w:r>
              <w:rPr>
                <w:spacing w:val="-2"/>
              </w:rPr>
              <w:t>第二十三条  船舶载运污染危害性货物应当具备与所载货物危害性质相适应的</w:t>
            </w:r>
            <w:r>
              <w:rPr>
                <w:spacing w:val="-3"/>
              </w:rPr>
              <w:t>防污染条件。</w:t>
            </w:r>
          </w:p>
          <w:p w14:paraId="4F3E5E9C">
            <w:pPr>
              <w:pStyle w:val="8"/>
              <w:spacing w:before="26" w:line="219" w:lineRule="auto"/>
              <w:ind w:right="11"/>
              <w:jc w:val="right"/>
            </w:pPr>
            <w:r>
              <w:rPr>
                <w:spacing w:val="-3"/>
              </w:rPr>
              <w:t>船舶不得载运污染危害性质不明的货物以及超过相关标准、规范规定的单船限制性数量要求的危险化学品。</w:t>
            </w:r>
          </w:p>
          <w:p w14:paraId="36A6FD3F">
            <w:pPr>
              <w:pStyle w:val="8"/>
              <w:spacing w:before="26" w:line="233" w:lineRule="auto"/>
              <w:ind w:left="114" w:right="193" w:firstLine="355"/>
            </w:pPr>
            <w:r>
              <w:rPr>
                <w:spacing w:val="-3"/>
              </w:rPr>
              <w:t>第五十条  船舶违反本规定第二十三条规定载运污染危害性质不明的货物的，由海事管理机构责</w:t>
            </w:r>
            <w:r>
              <w:rPr>
                <w:spacing w:val="-4"/>
              </w:rPr>
              <w:t>令改正，</w:t>
            </w:r>
            <w:r>
              <w:t xml:space="preserve"> </w:t>
            </w:r>
            <w:r>
              <w:rPr>
                <w:spacing w:val="-6"/>
              </w:rPr>
              <w:t>并对船舶处以5000元以上2万元以下的罚</w:t>
            </w:r>
            <w:r>
              <w:rPr>
                <w:spacing w:val="-7"/>
              </w:rPr>
              <w:t>款。</w:t>
            </w:r>
          </w:p>
        </w:tc>
        <w:tc>
          <w:tcPr>
            <w:tcW w:w="1043" w:type="dxa"/>
            <w:vAlign w:val="top"/>
          </w:tcPr>
          <w:p w14:paraId="7FE51FC4">
            <w:pPr>
              <w:spacing w:line="347" w:lineRule="auto"/>
              <w:rPr>
                <w:rFonts w:ascii="Arial"/>
                <w:sz w:val="21"/>
              </w:rPr>
            </w:pPr>
          </w:p>
          <w:p w14:paraId="5A702093">
            <w:pPr>
              <w:spacing w:line="347" w:lineRule="auto"/>
              <w:rPr>
                <w:rFonts w:ascii="Arial"/>
                <w:sz w:val="21"/>
              </w:rPr>
            </w:pPr>
          </w:p>
          <w:p w14:paraId="3A6DE897">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2B9DBA8">
            <w:pPr>
              <w:spacing w:line="271" w:lineRule="auto"/>
              <w:rPr>
                <w:rFonts w:ascii="Arial"/>
                <w:sz w:val="21"/>
              </w:rPr>
            </w:pPr>
          </w:p>
          <w:p w14:paraId="6AF237A7">
            <w:pPr>
              <w:spacing w:line="271" w:lineRule="auto"/>
              <w:rPr>
                <w:rFonts w:ascii="Arial"/>
                <w:sz w:val="21"/>
              </w:rPr>
            </w:pPr>
          </w:p>
          <w:p w14:paraId="2CEBF919">
            <w:pPr>
              <w:spacing w:line="272" w:lineRule="auto"/>
              <w:rPr>
                <w:rFonts w:ascii="Arial"/>
                <w:sz w:val="21"/>
              </w:rPr>
            </w:pPr>
          </w:p>
          <w:p w14:paraId="018354CD">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4A78584">
            <w:pPr>
              <w:spacing w:line="457" w:lineRule="auto"/>
              <w:rPr>
                <w:rFonts w:ascii="Arial"/>
                <w:sz w:val="21"/>
              </w:rPr>
            </w:pPr>
          </w:p>
          <w:p w14:paraId="61F55F66">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0769717C">
      <w:pPr>
        <w:pStyle w:val="2"/>
      </w:pPr>
    </w:p>
    <w:p w14:paraId="277A4A81">
      <w:pPr>
        <w:sectPr>
          <w:footerReference r:id="rId202" w:type="default"/>
          <w:pgSz w:w="16839" w:h="11906"/>
          <w:pgMar w:top="1012" w:right="788" w:bottom="967" w:left="787" w:header="0" w:footer="768" w:gutter="0"/>
          <w:cols w:space="720" w:num="1"/>
        </w:sectPr>
      </w:pPr>
    </w:p>
    <w:p w14:paraId="519249FC">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4C338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3C844900">
            <w:pPr>
              <w:pStyle w:val="8"/>
              <w:spacing w:before="267" w:line="221" w:lineRule="auto"/>
              <w:ind w:left="142"/>
            </w:pPr>
            <w:r>
              <w:rPr>
                <w:b/>
                <w:bCs/>
                <w:spacing w:val="-4"/>
              </w:rPr>
              <w:t>序号</w:t>
            </w:r>
          </w:p>
        </w:tc>
        <w:tc>
          <w:tcPr>
            <w:tcW w:w="1136" w:type="dxa"/>
            <w:vMerge w:val="restart"/>
            <w:tcBorders>
              <w:bottom w:val="nil"/>
            </w:tcBorders>
            <w:vAlign w:val="top"/>
          </w:tcPr>
          <w:p w14:paraId="7F2DB6A9">
            <w:pPr>
              <w:pStyle w:val="8"/>
              <w:spacing w:before="267" w:line="220" w:lineRule="auto"/>
              <w:ind w:left="208"/>
            </w:pPr>
            <w:r>
              <w:rPr>
                <w:b/>
                <w:bCs/>
                <w:spacing w:val="-4"/>
              </w:rPr>
              <w:t>事项名称</w:t>
            </w:r>
          </w:p>
        </w:tc>
        <w:tc>
          <w:tcPr>
            <w:tcW w:w="1136" w:type="dxa"/>
            <w:vMerge w:val="restart"/>
            <w:tcBorders>
              <w:bottom w:val="nil"/>
            </w:tcBorders>
            <w:vAlign w:val="top"/>
          </w:tcPr>
          <w:p w14:paraId="66D05F0B">
            <w:pPr>
              <w:pStyle w:val="8"/>
              <w:spacing w:before="267" w:line="219" w:lineRule="auto"/>
              <w:ind w:left="210"/>
            </w:pPr>
            <w:r>
              <w:rPr>
                <w:b/>
                <w:bCs/>
                <w:spacing w:val="-4"/>
              </w:rPr>
              <w:t>职权类型</w:t>
            </w:r>
          </w:p>
        </w:tc>
        <w:tc>
          <w:tcPr>
            <w:tcW w:w="8806" w:type="dxa"/>
            <w:vMerge w:val="restart"/>
            <w:tcBorders>
              <w:bottom w:val="nil"/>
            </w:tcBorders>
            <w:vAlign w:val="top"/>
          </w:tcPr>
          <w:p w14:paraId="7B28C804">
            <w:pPr>
              <w:pStyle w:val="8"/>
              <w:spacing w:before="267" w:line="219" w:lineRule="auto"/>
              <w:ind w:left="4050"/>
            </w:pPr>
            <w:r>
              <w:rPr>
                <w:b/>
                <w:bCs/>
                <w:spacing w:val="-5"/>
              </w:rPr>
              <w:t>实施依据</w:t>
            </w:r>
          </w:p>
        </w:tc>
        <w:tc>
          <w:tcPr>
            <w:tcW w:w="3538" w:type="dxa"/>
            <w:gridSpan w:val="3"/>
            <w:vAlign w:val="top"/>
          </w:tcPr>
          <w:p w14:paraId="697062F2">
            <w:pPr>
              <w:pStyle w:val="8"/>
              <w:spacing w:before="92" w:line="220" w:lineRule="auto"/>
              <w:ind w:left="1415"/>
            </w:pPr>
            <w:r>
              <w:rPr>
                <w:b/>
                <w:bCs/>
                <w:spacing w:val="-5"/>
              </w:rPr>
              <w:t>实施主体</w:t>
            </w:r>
          </w:p>
        </w:tc>
      </w:tr>
      <w:tr w14:paraId="17DF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2D97B88C">
            <w:pPr>
              <w:rPr>
                <w:rFonts w:ascii="Arial"/>
                <w:sz w:val="21"/>
              </w:rPr>
            </w:pPr>
          </w:p>
        </w:tc>
        <w:tc>
          <w:tcPr>
            <w:tcW w:w="1136" w:type="dxa"/>
            <w:vMerge w:val="continue"/>
            <w:tcBorders>
              <w:top w:val="nil"/>
            </w:tcBorders>
            <w:vAlign w:val="top"/>
          </w:tcPr>
          <w:p w14:paraId="46189754">
            <w:pPr>
              <w:rPr>
                <w:rFonts w:ascii="Arial"/>
                <w:sz w:val="21"/>
              </w:rPr>
            </w:pPr>
          </w:p>
        </w:tc>
        <w:tc>
          <w:tcPr>
            <w:tcW w:w="1136" w:type="dxa"/>
            <w:vMerge w:val="continue"/>
            <w:tcBorders>
              <w:top w:val="nil"/>
            </w:tcBorders>
            <w:vAlign w:val="top"/>
          </w:tcPr>
          <w:p w14:paraId="33BBD9F0">
            <w:pPr>
              <w:rPr>
                <w:rFonts w:ascii="Arial"/>
                <w:sz w:val="21"/>
              </w:rPr>
            </w:pPr>
          </w:p>
        </w:tc>
        <w:tc>
          <w:tcPr>
            <w:tcW w:w="8806" w:type="dxa"/>
            <w:vMerge w:val="continue"/>
            <w:tcBorders>
              <w:top w:val="nil"/>
            </w:tcBorders>
            <w:vAlign w:val="top"/>
          </w:tcPr>
          <w:p w14:paraId="4534FE0E">
            <w:pPr>
              <w:rPr>
                <w:rFonts w:ascii="Arial"/>
                <w:sz w:val="21"/>
              </w:rPr>
            </w:pPr>
          </w:p>
        </w:tc>
        <w:tc>
          <w:tcPr>
            <w:tcW w:w="1043" w:type="dxa"/>
            <w:vAlign w:val="top"/>
          </w:tcPr>
          <w:p w14:paraId="39424E45">
            <w:pPr>
              <w:pStyle w:val="8"/>
              <w:spacing w:before="88" w:line="219" w:lineRule="auto"/>
              <w:ind w:left="171"/>
            </w:pPr>
            <w:r>
              <w:rPr>
                <w:b/>
                <w:bCs/>
                <w:spacing w:val="-5"/>
              </w:rPr>
              <w:t>责任部门</w:t>
            </w:r>
          </w:p>
        </w:tc>
        <w:tc>
          <w:tcPr>
            <w:tcW w:w="1448" w:type="dxa"/>
            <w:vAlign w:val="top"/>
          </w:tcPr>
          <w:p w14:paraId="497E2537">
            <w:pPr>
              <w:pStyle w:val="8"/>
              <w:spacing w:before="88" w:line="219" w:lineRule="auto"/>
              <w:ind w:left="187"/>
            </w:pPr>
            <w:r>
              <w:rPr>
                <w:b/>
                <w:bCs/>
                <w:spacing w:val="-3"/>
              </w:rPr>
              <w:t>第一责任层级</w:t>
            </w:r>
          </w:p>
        </w:tc>
        <w:tc>
          <w:tcPr>
            <w:tcW w:w="1047" w:type="dxa"/>
            <w:vAlign w:val="top"/>
          </w:tcPr>
          <w:p w14:paraId="66522E96">
            <w:pPr>
              <w:pStyle w:val="8"/>
              <w:spacing w:before="88" w:line="219" w:lineRule="auto"/>
              <w:ind w:left="165"/>
            </w:pPr>
            <w:r>
              <w:rPr>
                <w:b/>
                <w:bCs/>
                <w:spacing w:val="-4"/>
              </w:rPr>
              <w:t>承办机构</w:t>
            </w:r>
          </w:p>
        </w:tc>
      </w:tr>
      <w:tr w14:paraId="34E13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641" w:type="dxa"/>
            <w:vAlign w:val="top"/>
          </w:tcPr>
          <w:p w14:paraId="3A7D6504">
            <w:pPr>
              <w:rPr>
                <w:rFonts w:ascii="Arial"/>
                <w:sz w:val="21"/>
              </w:rPr>
            </w:pPr>
          </w:p>
          <w:p w14:paraId="63614250">
            <w:pPr>
              <w:rPr>
                <w:rFonts w:ascii="Arial"/>
                <w:sz w:val="21"/>
              </w:rPr>
            </w:pPr>
          </w:p>
          <w:p w14:paraId="4FD2E27C">
            <w:pPr>
              <w:spacing w:line="241" w:lineRule="auto"/>
              <w:rPr>
                <w:rFonts w:ascii="Arial"/>
                <w:sz w:val="21"/>
              </w:rPr>
            </w:pPr>
          </w:p>
          <w:p w14:paraId="41B11B23">
            <w:pPr>
              <w:spacing w:line="241" w:lineRule="auto"/>
              <w:rPr>
                <w:rFonts w:ascii="Arial"/>
                <w:sz w:val="21"/>
              </w:rPr>
            </w:pPr>
          </w:p>
          <w:p w14:paraId="349AAC09">
            <w:pPr>
              <w:pStyle w:val="8"/>
              <w:spacing w:before="59" w:line="183" w:lineRule="auto"/>
              <w:ind w:left="239"/>
            </w:pPr>
            <w:r>
              <w:rPr>
                <w:spacing w:val="-6"/>
              </w:rPr>
              <w:t>73</w:t>
            </w:r>
          </w:p>
        </w:tc>
        <w:tc>
          <w:tcPr>
            <w:tcW w:w="1136" w:type="dxa"/>
            <w:vAlign w:val="top"/>
          </w:tcPr>
          <w:p w14:paraId="56771853">
            <w:pPr>
              <w:pStyle w:val="8"/>
              <w:spacing w:before="39" w:line="241" w:lineRule="auto"/>
              <w:ind w:left="109" w:right="104"/>
            </w:pPr>
            <w:r>
              <w:rPr>
                <w:spacing w:val="3"/>
              </w:rPr>
              <w:t>对船舶发生</w:t>
            </w:r>
            <w:r>
              <w:rPr>
                <w:spacing w:val="1"/>
              </w:rPr>
              <w:t xml:space="preserve"> 污染事故，</w:t>
            </w:r>
            <w:r>
              <w:rPr>
                <w:spacing w:val="3"/>
              </w:rPr>
              <w:t xml:space="preserve"> 未按规定报</w:t>
            </w:r>
            <w:r>
              <w:t xml:space="preserve"> </w:t>
            </w:r>
            <w:r>
              <w:rPr>
                <w:spacing w:val="3"/>
              </w:rPr>
              <w:t>告或者未按</w:t>
            </w:r>
            <w:r>
              <w:t xml:space="preserve"> </w:t>
            </w:r>
            <w:r>
              <w:rPr>
                <w:spacing w:val="-10"/>
              </w:rPr>
              <w:t>规 定</w:t>
            </w:r>
            <w:r>
              <w:rPr>
                <w:spacing w:val="-12"/>
              </w:rPr>
              <w:t xml:space="preserve"> </w:t>
            </w:r>
            <w:r>
              <w:rPr>
                <w:spacing w:val="-10"/>
              </w:rPr>
              <w:t>提</w:t>
            </w:r>
            <w:r>
              <w:rPr>
                <w:spacing w:val="-13"/>
              </w:rPr>
              <w:t xml:space="preserve"> </w:t>
            </w:r>
            <w:r>
              <w:rPr>
                <w:spacing w:val="-10"/>
              </w:rPr>
              <w:t>交</w:t>
            </w:r>
            <w:r>
              <w:t xml:space="preserve"> </w:t>
            </w:r>
            <w:r>
              <w:rPr>
                <w:spacing w:val="2"/>
              </w:rPr>
              <w:t>《船舶污染</w:t>
            </w:r>
            <w:r>
              <w:rPr>
                <w:spacing w:val="3"/>
              </w:rPr>
              <w:t xml:space="preserve"> </w:t>
            </w:r>
            <w:r>
              <w:rPr>
                <w:spacing w:val="-9"/>
              </w:rPr>
              <w:t>事</w:t>
            </w:r>
            <w:r>
              <w:rPr>
                <w:spacing w:val="-12"/>
              </w:rPr>
              <w:t xml:space="preserve"> </w:t>
            </w:r>
            <w:r>
              <w:rPr>
                <w:spacing w:val="-9"/>
              </w:rPr>
              <w:t>故</w:t>
            </w:r>
            <w:r>
              <w:rPr>
                <w:spacing w:val="-17"/>
              </w:rPr>
              <w:t xml:space="preserve"> </w:t>
            </w:r>
            <w:r>
              <w:rPr>
                <w:spacing w:val="-9"/>
              </w:rPr>
              <w:t>报</w:t>
            </w:r>
            <w:r>
              <w:rPr>
                <w:spacing w:val="-12"/>
              </w:rPr>
              <w:t xml:space="preserve"> </w:t>
            </w:r>
            <w:r>
              <w:rPr>
                <w:spacing w:val="-9"/>
              </w:rPr>
              <w:t>告</w:t>
            </w:r>
            <w:r>
              <w:t xml:space="preserve"> </w:t>
            </w:r>
            <w:r>
              <w:rPr>
                <w:spacing w:val="3"/>
              </w:rPr>
              <w:t>书》行为的</w:t>
            </w:r>
            <w:r>
              <w:t xml:space="preserve"> </w:t>
            </w:r>
            <w:r>
              <w:rPr>
                <w:spacing w:val="-4"/>
              </w:rPr>
              <w:t>行政处罚</w:t>
            </w:r>
          </w:p>
        </w:tc>
        <w:tc>
          <w:tcPr>
            <w:tcW w:w="1136" w:type="dxa"/>
            <w:vAlign w:val="top"/>
          </w:tcPr>
          <w:p w14:paraId="7EAC1C46">
            <w:pPr>
              <w:spacing w:line="311" w:lineRule="auto"/>
              <w:rPr>
                <w:rFonts w:ascii="Arial"/>
                <w:sz w:val="21"/>
              </w:rPr>
            </w:pPr>
          </w:p>
          <w:p w14:paraId="40F02906">
            <w:pPr>
              <w:spacing w:line="311" w:lineRule="auto"/>
              <w:rPr>
                <w:rFonts w:ascii="Arial"/>
                <w:sz w:val="21"/>
              </w:rPr>
            </w:pPr>
          </w:p>
          <w:p w14:paraId="0DD849D2">
            <w:pPr>
              <w:spacing w:line="312" w:lineRule="auto"/>
              <w:rPr>
                <w:rFonts w:ascii="Arial"/>
                <w:sz w:val="21"/>
              </w:rPr>
            </w:pPr>
          </w:p>
          <w:p w14:paraId="4C61A583">
            <w:pPr>
              <w:pStyle w:val="8"/>
              <w:spacing w:before="58" w:line="220" w:lineRule="auto"/>
              <w:ind w:left="114"/>
            </w:pPr>
            <w:r>
              <w:rPr>
                <w:spacing w:val="-7"/>
              </w:rPr>
              <w:t>行政处罚</w:t>
            </w:r>
          </w:p>
        </w:tc>
        <w:tc>
          <w:tcPr>
            <w:tcW w:w="8806" w:type="dxa"/>
            <w:vAlign w:val="top"/>
          </w:tcPr>
          <w:p w14:paraId="00CFA3CB">
            <w:pPr>
              <w:pStyle w:val="8"/>
              <w:spacing w:before="38" w:line="219" w:lineRule="auto"/>
              <w:ind w:left="447"/>
            </w:pPr>
            <w:r>
              <w:rPr>
                <w:b/>
                <w:bCs/>
                <w:spacing w:val="-3"/>
              </w:rPr>
              <w:t>《中华人民共和国防治船舶污染内河水域环境管理规定》（</w:t>
            </w:r>
            <w:r>
              <w:rPr>
                <w:b/>
                <w:bCs/>
                <w:spacing w:val="-4"/>
              </w:rPr>
              <w:t>交通运输部令2022年第26号）</w:t>
            </w:r>
          </w:p>
          <w:p w14:paraId="5FC284DC">
            <w:pPr>
              <w:pStyle w:val="8"/>
              <w:spacing w:before="27" w:line="232" w:lineRule="auto"/>
              <w:ind w:left="112" w:right="98" w:firstLine="353"/>
            </w:pPr>
            <w:r>
              <w:rPr>
                <w:spacing w:val="-8"/>
              </w:rPr>
              <w:t>第三十三条第一款</w:t>
            </w:r>
            <w:r>
              <w:rPr>
                <w:spacing w:val="73"/>
                <w:w w:val="101"/>
              </w:rPr>
              <w:t xml:space="preserve"> </w:t>
            </w:r>
            <w:r>
              <w:rPr>
                <w:spacing w:val="-8"/>
              </w:rPr>
              <w:t>船舶发生污染事故，应当立即就近向海事管理机构如实报告，</w:t>
            </w:r>
            <w:r>
              <w:rPr>
                <w:spacing w:val="-9"/>
              </w:rPr>
              <w:t>同时启动污染事故应急计划</w:t>
            </w:r>
            <w:r>
              <w:t xml:space="preserve"> </w:t>
            </w:r>
            <w:r>
              <w:rPr>
                <w:spacing w:val="-8"/>
              </w:rPr>
              <w:t>或者程序，采取相应措施控制和消除污染。在初始</w:t>
            </w:r>
            <w:r>
              <w:rPr>
                <w:spacing w:val="-9"/>
              </w:rPr>
              <w:t>报告以后，船舶还应当根据污染事故的进展情况作出补充报告。</w:t>
            </w:r>
          </w:p>
          <w:p w14:paraId="025E2E8E">
            <w:pPr>
              <w:pStyle w:val="8"/>
              <w:spacing w:before="28" w:line="237" w:lineRule="auto"/>
              <w:ind w:left="116" w:right="98" w:firstLine="349"/>
            </w:pPr>
            <w:r>
              <w:rPr>
                <w:spacing w:val="-8"/>
              </w:rPr>
              <w:t>第三十四条第一款</w:t>
            </w:r>
            <w:r>
              <w:rPr>
                <w:spacing w:val="76"/>
              </w:rPr>
              <w:t xml:space="preserve"> </w:t>
            </w:r>
            <w:r>
              <w:rPr>
                <w:spacing w:val="-8"/>
              </w:rPr>
              <w:t>发生船舶污染事故的船舶，应当在事故发生后24小时内向事故发生地的海</w:t>
            </w:r>
            <w:r>
              <w:rPr>
                <w:spacing w:val="-9"/>
              </w:rPr>
              <w:t>事管理机构提交</w:t>
            </w:r>
            <w:r>
              <w:t xml:space="preserve"> </w:t>
            </w:r>
            <w:r>
              <w:rPr>
                <w:spacing w:val="-8"/>
              </w:rPr>
              <w:t>《船舶污染事故报告书》。因特殊情况不能在规定时间内提交《船舶污染事故报</w:t>
            </w:r>
            <w:r>
              <w:rPr>
                <w:spacing w:val="-9"/>
              </w:rPr>
              <w:t>告书》的，经海事管理机构同意可</w:t>
            </w:r>
            <w:r>
              <w:t xml:space="preserve"> </w:t>
            </w:r>
            <w:r>
              <w:rPr>
                <w:spacing w:val="-8"/>
              </w:rPr>
              <w:t>以 适当延迟，但最长不得超过48小时。</w:t>
            </w:r>
          </w:p>
          <w:p w14:paraId="2F029353">
            <w:pPr>
              <w:pStyle w:val="8"/>
              <w:spacing w:before="25" w:line="231" w:lineRule="auto"/>
              <w:ind w:left="109" w:right="95" w:firstLine="355"/>
              <w:jc w:val="both"/>
            </w:pPr>
            <w:r>
              <w:rPr>
                <w:spacing w:val="-8"/>
              </w:rPr>
              <w:t>第五十一条</w:t>
            </w:r>
            <w:r>
              <w:rPr>
                <w:spacing w:val="73"/>
              </w:rPr>
              <w:t xml:space="preserve"> </w:t>
            </w:r>
            <w:r>
              <w:rPr>
                <w:spacing w:val="-8"/>
              </w:rPr>
              <w:t>船舶发生污染事故，未按规定报告的或者未按规定提交《船舶污染事故报告</w:t>
            </w:r>
            <w:r>
              <w:rPr>
                <w:spacing w:val="-9"/>
              </w:rPr>
              <w:t>书》的，由海事管理</w:t>
            </w:r>
            <w:r>
              <w:t xml:space="preserve"> </w:t>
            </w:r>
            <w:r>
              <w:rPr>
                <w:spacing w:val="-8"/>
              </w:rPr>
              <w:t>机 构对船舶处以2万元以上3万元以下的罚款；对直接负责的主管人员和其他直接责任人员处以1万元以上2万元以</w:t>
            </w:r>
            <w:r>
              <w:rPr>
                <w:spacing w:val="8"/>
              </w:rPr>
              <w:t xml:space="preserve">  </w:t>
            </w:r>
            <w:r>
              <w:rPr>
                <w:spacing w:val="-7"/>
              </w:rPr>
              <w:t>下的罚款。</w:t>
            </w:r>
          </w:p>
        </w:tc>
        <w:tc>
          <w:tcPr>
            <w:tcW w:w="1043" w:type="dxa"/>
            <w:vAlign w:val="top"/>
          </w:tcPr>
          <w:p w14:paraId="57E508BE">
            <w:pPr>
              <w:spacing w:line="271" w:lineRule="auto"/>
              <w:rPr>
                <w:rFonts w:ascii="Arial"/>
                <w:sz w:val="21"/>
              </w:rPr>
            </w:pPr>
          </w:p>
          <w:p w14:paraId="522C4F7F">
            <w:pPr>
              <w:spacing w:line="271" w:lineRule="auto"/>
              <w:rPr>
                <w:rFonts w:ascii="Arial"/>
                <w:sz w:val="21"/>
              </w:rPr>
            </w:pPr>
          </w:p>
          <w:p w14:paraId="07B95BC2">
            <w:pPr>
              <w:spacing w:line="272" w:lineRule="auto"/>
              <w:rPr>
                <w:rFonts w:ascii="Arial"/>
                <w:sz w:val="21"/>
              </w:rPr>
            </w:pPr>
          </w:p>
          <w:p w14:paraId="577C8217">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51D2A93E">
            <w:pPr>
              <w:spacing w:line="311" w:lineRule="auto"/>
              <w:rPr>
                <w:rFonts w:ascii="Arial"/>
                <w:sz w:val="21"/>
              </w:rPr>
            </w:pPr>
          </w:p>
          <w:p w14:paraId="7CED0E86">
            <w:pPr>
              <w:spacing w:line="311" w:lineRule="auto"/>
              <w:rPr>
                <w:rFonts w:ascii="Arial"/>
                <w:sz w:val="21"/>
              </w:rPr>
            </w:pPr>
          </w:p>
          <w:p w14:paraId="396C4B96">
            <w:pPr>
              <w:spacing w:line="312" w:lineRule="auto"/>
              <w:rPr>
                <w:rFonts w:ascii="Arial"/>
                <w:sz w:val="21"/>
              </w:rPr>
            </w:pPr>
          </w:p>
          <w:p w14:paraId="28B366D9">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B4633D3">
            <w:pPr>
              <w:spacing w:line="288" w:lineRule="auto"/>
              <w:rPr>
                <w:rFonts w:ascii="Arial"/>
                <w:sz w:val="21"/>
              </w:rPr>
            </w:pPr>
          </w:p>
          <w:p w14:paraId="2389DDA4">
            <w:pPr>
              <w:spacing w:line="289" w:lineRule="auto"/>
              <w:rPr>
                <w:rFonts w:ascii="Arial"/>
                <w:sz w:val="21"/>
              </w:rPr>
            </w:pPr>
          </w:p>
          <w:p w14:paraId="37DD7736">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B0A6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41" w:type="dxa"/>
            <w:vAlign w:val="top"/>
          </w:tcPr>
          <w:p w14:paraId="60DD3000">
            <w:pPr>
              <w:spacing w:line="270" w:lineRule="auto"/>
              <w:rPr>
                <w:rFonts w:ascii="Arial"/>
                <w:sz w:val="21"/>
              </w:rPr>
            </w:pPr>
          </w:p>
          <w:p w14:paraId="55A97548">
            <w:pPr>
              <w:spacing w:line="270" w:lineRule="auto"/>
              <w:rPr>
                <w:rFonts w:ascii="Arial"/>
                <w:sz w:val="21"/>
              </w:rPr>
            </w:pPr>
          </w:p>
          <w:p w14:paraId="0C0A1F46">
            <w:pPr>
              <w:spacing w:line="271" w:lineRule="auto"/>
              <w:rPr>
                <w:rFonts w:ascii="Arial"/>
                <w:sz w:val="21"/>
              </w:rPr>
            </w:pPr>
          </w:p>
          <w:p w14:paraId="45A8B237">
            <w:pPr>
              <w:spacing w:line="271" w:lineRule="auto"/>
              <w:rPr>
                <w:rFonts w:ascii="Arial"/>
                <w:sz w:val="21"/>
              </w:rPr>
            </w:pPr>
          </w:p>
          <w:p w14:paraId="4ABFA20D">
            <w:pPr>
              <w:pStyle w:val="8"/>
              <w:spacing w:before="58" w:line="183" w:lineRule="auto"/>
              <w:ind w:left="239"/>
            </w:pPr>
            <w:r>
              <w:rPr>
                <w:spacing w:val="-6"/>
              </w:rPr>
              <w:t>74</w:t>
            </w:r>
          </w:p>
        </w:tc>
        <w:tc>
          <w:tcPr>
            <w:tcW w:w="1136" w:type="dxa"/>
            <w:vAlign w:val="top"/>
          </w:tcPr>
          <w:p w14:paraId="0686A2C4">
            <w:pPr>
              <w:pStyle w:val="8"/>
              <w:spacing w:before="34" w:line="242" w:lineRule="auto"/>
              <w:ind w:left="109" w:right="104"/>
            </w:pPr>
            <w:r>
              <w:rPr>
                <w:spacing w:val="-9"/>
              </w:rPr>
              <w:t>对</w:t>
            </w:r>
            <w:r>
              <w:rPr>
                <w:spacing w:val="-11"/>
              </w:rPr>
              <w:t xml:space="preserve"> </w:t>
            </w:r>
            <w:r>
              <w:rPr>
                <w:spacing w:val="-9"/>
              </w:rPr>
              <w:t>不</w:t>
            </w:r>
            <w:r>
              <w:rPr>
                <w:spacing w:val="-12"/>
              </w:rPr>
              <w:t xml:space="preserve"> </w:t>
            </w:r>
            <w:r>
              <w:rPr>
                <w:spacing w:val="-9"/>
              </w:rPr>
              <w:t>符</w:t>
            </w:r>
            <w:r>
              <w:rPr>
                <w:spacing w:val="-15"/>
              </w:rPr>
              <w:t xml:space="preserve"> </w:t>
            </w:r>
            <w:r>
              <w:rPr>
                <w:spacing w:val="-9"/>
              </w:rPr>
              <w:t>合</w:t>
            </w:r>
            <w:r>
              <w:t xml:space="preserve"> </w:t>
            </w:r>
            <w:r>
              <w:rPr>
                <w:spacing w:val="3"/>
              </w:rPr>
              <w:t>《海运危险</w:t>
            </w:r>
            <w:r>
              <w:t xml:space="preserve"> </w:t>
            </w:r>
            <w:r>
              <w:rPr>
                <w:spacing w:val="3"/>
              </w:rPr>
              <w:t>货物集装箱</w:t>
            </w:r>
            <w:r>
              <w:t xml:space="preserve"> </w:t>
            </w:r>
            <w:r>
              <w:rPr>
                <w:spacing w:val="3"/>
              </w:rPr>
              <w:t>装箱安全技</w:t>
            </w:r>
            <w:r>
              <w:t xml:space="preserve"> </w:t>
            </w:r>
            <w:r>
              <w:rPr>
                <w:spacing w:val="3"/>
              </w:rPr>
              <w:t>术要求》的</w:t>
            </w:r>
            <w:r>
              <w:t xml:space="preserve"> </w:t>
            </w:r>
            <w:r>
              <w:rPr>
                <w:spacing w:val="3"/>
              </w:rPr>
              <w:t>危险货物集</w:t>
            </w:r>
            <w:r>
              <w:t xml:space="preserve"> </w:t>
            </w:r>
            <w:r>
              <w:rPr>
                <w:spacing w:val="-8"/>
              </w:rPr>
              <w:t>装</w:t>
            </w:r>
            <w:r>
              <w:rPr>
                <w:spacing w:val="-13"/>
              </w:rPr>
              <w:t xml:space="preserve"> </w:t>
            </w:r>
            <w:r>
              <w:rPr>
                <w:spacing w:val="-8"/>
              </w:rPr>
              <w:t>箱</w:t>
            </w:r>
            <w:r>
              <w:rPr>
                <w:spacing w:val="-14"/>
              </w:rPr>
              <w:t xml:space="preserve"> </w:t>
            </w:r>
            <w:r>
              <w:rPr>
                <w:spacing w:val="-8"/>
              </w:rPr>
              <w:t>签</w:t>
            </w:r>
            <w:r>
              <w:rPr>
                <w:spacing w:val="-16"/>
              </w:rPr>
              <w:t xml:space="preserve"> </w:t>
            </w:r>
            <w:r>
              <w:rPr>
                <w:spacing w:val="-8"/>
              </w:rPr>
              <w:t>署</w:t>
            </w:r>
            <w:r>
              <w:t xml:space="preserve"> </w:t>
            </w:r>
            <w:r>
              <w:rPr>
                <w:spacing w:val="3"/>
              </w:rPr>
              <w:t>《集装箱装</w:t>
            </w:r>
            <w:r>
              <w:t xml:space="preserve"> </w:t>
            </w:r>
            <w:r>
              <w:rPr>
                <w:spacing w:val="1"/>
              </w:rPr>
              <w:t>箱证明书》</w:t>
            </w:r>
            <w:r>
              <w:rPr>
                <w:spacing w:val="3"/>
              </w:rPr>
              <w:t xml:space="preserve"> </w:t>
            </w:r>
            <w:r>
              <w:rPr>
                <w:spacing w:val="-4"/>
              </w:rPr>
              <w:t>的行政处罚</w:t>
            </w:r>
          </w:p>
        </w:tc>
        <w:tc>
          <w:tcPr>
            <w:tcW w:w="1136" w:type="dxa"/>
            <w:vAlign w:val="top"/>
          </w:tcPr>
          <w:p w14:paraId="74CAA033">
            <w:pPr>
              <w:spacing w:line="263" w:lineRule="auto"/>
              <w:rPr>
                <w:rFonts w:ascii="Arial"/>
                <w:sz w:val="21"/>
              </w:rPr>
            </w:pPr>
          </w:p>
          <w:p w14:paraId="77D26A2B">
            <w:pPr>
              <w:spacing w:line="263" w:lineRule="auto"/>
              <w:rPr>
                <w:rFonts w:ascii="Arial"/>
                <w:sz w:val="21"/>
              </w:rPr>
            </w:pPr>
          </w:p>
          <w:p w14:paraId="005A9F35">
            <w:pPr>
              <w:spacing w:line="264" w:lineRule="auto"/>
              <w:rPr>
                <w:rFonts w:ascii="Arial"/>
                <w:sz w:val="21"/>
              </w:rPr>
            </w:pPr>
          </w:p>
          <w:p w14:paraId="2E0ED27B">
            <w:pPr>
              <w:spacing w:line="264" w:lineRule="auto"/>
              <w:rPr>
                <w:rFonts w:ascii="Arial"/>
                <w:sz w:val="21"/>
              </w:rPr>
            </w:pPr>
          </w:p>
          <w:p w14:paraId="269A555F">
            <w:pPr>
              <w:pStyle w:val="8"/>
              <w:spacing w:before="58" w:line="220" w:lineRule="auto"/>
              <w:ind w:left="114"/>
            </w:pPr>
            <w:r>
              <w:rPr>
                <w:spacing w:val="-7"/>
              </w:rPr>
              <w:t>行政处罚</w:t>
            </w:r>
          </w:p>
        </w:tc>
        <w:tc>
          <w:tcPr>
            <w:tcW w:w="8806" w:type="dxa"/>
            <w:vAlign w:val="top"/>
          </w:tcPr>
          <w:p w14:paraId="3E21DED9">
            <w:pPr>
              <w:spacing w:line="457" w:lineRule="auto"/>
              <w:rPr>
                <w:rFonts w:ascii="Arial"/>
                <w:sz w:val="21"/>
              </w:rPr>
            </w:pPr>
          </w:p>
          <w:p w14:paraId="399B3EFD">
            <w:pPr>
              <w:pStyle w:val="8"/>
              <w:spacing w:before="58" w:line="219" w:lineRule="auto"/>
              <w:ind w:left="447"/>
            </w:pPr>
            <w:r>
              <w:rPr>
                <w:b/>
                <w:bCs/>
                <w:spacing w:val="-3"/>
              </w:rPr>
              <w:t>《船舶载运危险货物安全监督管理规定》（交通</w:t>
            </w:r>
            <w:r>
              <w:rPr>
                <w:b/>
                <w:bCs/>
                <w:spacing w:val="-4"/>
              </w:rPr>
              <w:t>运输部令2024年第14号）</w:t>
            </w:r>
          </w:p>
          <w:p w14:paraId="7F3F127D">
            <w:pPr>
              <w:pStyle w:val="8"/>
              <w:spacing w:before="25" w:line="233" w:lineRule="auto"/>
              <w:ind w:left="112" w:right="151" w:firstLine="356"/>
            </w:pPr>
            <w:r>
              <w:rPr>
                <w:spacing w:val="-2"/>
              </w:rPr>
              <w:t>第十九条  集装箱装箱现场检查员应当对船舶载运危险货物集装箱的装箱活动进行现场检查</w:t>
            </w:r>
            <w:r>
              <w:rPr>
                <w:spacing w:val="-3"/>
              </w:rPr>
              <w:t>，在装箱完毕</w:t>
            </w:r>
            <w:r>
              <w:t xml:space="preserve"> </w:t>
            </w:r>
            <w:r>
              <w:rPr>
                <w:spacing w:val="-2"/>
              </w:rPr>
              <w:t>后，对符合《海运危险货物集装箱装箱安全技术</w:t>
            </w:r>
            <w:r>
              <w:rPr>
                <w:spacing w:val="-3"/>
              </w:rPr>
              <w:t>要求》（GB 40163）的签署《集装箱装箱证明书》。</w:t>
            </w:r>
          </w:p>
          <w:p w14:paraId="49F86094">
            <w:pPr>
              <w:pStyle w:val="8"/>
              <w:spacing w:before="25" w:line="238" w:lineRule="auto"/>
              <w:ind w:left="110" w:right="103" w:firstLine="357"/>
            </w:pPr>
            <w:r>
              <w:rPr>
                <w:spacing w:val="-5"/>
              </w:rPr>
              <w:t>第四十五条  违反本规定，对不符合《海运危险货物集装箱装箱安全技术要求》的危险货物集装箱签署《集</w:t>
            </w:r>
            <w:r>
              <w:rPr>
                <w:spacing w:val="8"/>
              </w:rPr>
              <w:t xml:space="preserve"> </w:t>
            </w:r>
            <w:r>
              <w:rPr>
                <w:spacing w:val="-3"/>
              </w:rPr>
              <w:t>装箱装箱证明书》的，由海事管理机构责令改正，对聘用该集装箱装箱现场检查员的单位处1000元以上3万元以</w:t>
            </w:r>
            <w:r>
              <w:rPr>
                <w:spacing w:val="9"/>
              </w:rPr>
              <w:t xml:space="preserve"> </w:t>
            </w:r>
            <w:r>
              <w:rPr>
                <w:spacing w:val="-6"/>
              </w:rPr>
              <w:t>下的罚款。</w:t>
            </w:r>
          </w:p>
        </w:tc>
        <w:tc>
          <w:tcPr>
            <w:tcW w:w="1043" w:type="dxa"/>
            <w:vAlign w:val="top"/>
          </w:tcPr>
          <w:p w14:paraId="306D3005">
            <w:pPr>
              <w:spacing w:line="311" w:lineRule="auto"/>
              <w:rPr>
                <w:rFonts w:ascii="Arial"/>
                <w:sz w:val="21"/>
              </w:rPr>
            </w:pPr>
          </w:p>
          <w:p w14:paraId="61C19616">
            <w:pPr>
              <w:spacing w:line="311" w:lineRule="auto"/>
              <w:rPr>
                <w:rFonts w:ascii="Arial"/>
                <w:sz w:val="21"/>
              </w:rPr>
            </w:pPr>
          </w:p>
          <w:p w14:paraId="530E6771">
            <w:pPr>
              <w:spacing w:line="312" w:lineRule="auto"/>
              <w:rPr>
                <w:rFonts w:ascii="Arial"/>
                <w:sz w:val="21"/>
              </w:rPr>
            </w:pPr>
          </w:p>
          <w:p w14:paraId="1BF28B98">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3F689984">
            <w:pPr>
              <w:spacing w:line="263" w:lineRule="auto"/>
              <w:rPr>
                <w:rFonts w:ascii="Arial"/>
                <w:sz w:val="21"/>
              </w:rPr>
            </w:pPr>
          </w:p>
          <w:p w14:paraId="3FAEE4B3">
            <w:pPr>
              <w:spacing w:line="263" w:lineRule="auto"/>
              <w:rPr>
                <w:rFonts w:ascii="Arial"/>
                <w:sz w:val="21"/>
              </w:rPr>
            </w:pPr>
          </w:p>
          <w:p w14:paraId="41C9D4DD">
            <w:pPr>
              <w:spacing w:line="264" w:lineRule="auto"/>
              <w:rPr>
                <w:rFonts w:ascii="Arial"/>
                <w:sz w:val="21"/>
              </w:rPr>
            </w:pPr>
          </w:p>
          <w:p w14:paraId="29B48FC7">
            <w:pPr>
              <w:spacing w:line="264" w:lineRule="auto"/>
              <w:rPr>
                <w:rFonts w:ascii="Arial"/>
                <w:sz w:val="21"/>
              </w:rPr>
            </w:pPr>
          </w:p>
          <w:p w14:paraId="128AE1CB">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0812BBB">
            <w:pPr>
              <w:spacing w:line="348" w:lineRule="auto"/>
              <w:rPr>
                <w:rFonts w:ascii="Arial"/>
                <w:sz w:val="21"/>
              </w:rPr>
            </w:pPr>
          </w:p>
          <w:p w14:paraId="7F8D3F1E">
            <w:pPr>
              <w:spacing w:line="349" w:lineRule="auto"/>
              <w:rPr>
                <w:rFonts w:ascii="Arial"/>
                <w:sz w:val="21"/>
              </w:rPr>
            </w:pPr>
          </w:p>
          <w:p w14:paraId="4A455B2D">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BD35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5" w:hRule="atLeast"/>
        </w:trPr>
        <w:tc>
          <w:tcPr>
            <w:tcW w:w="641" w:type="dxa"/>
            <w:vAlign w:val="top"/>
          </w:tcPr>
          <w:p w14:paraId="510C6703">
            <w:pPr>
              <w:spacing w:line="255" w:lineRule="auto"/>
              <w:rPr>
                <w:rFonts w:ascii="Arial"/>
                <w:sz w:val="21"/>
              </w:rPr>
            </w:pPr>
          </w:p>
          <w:p w14:paraId="4B6C3A55">
            <w:pPr>
              <w:spacing w:line="255" w:lineRule="auto"/>
              <w:rPr>
                <w:rFonts w:ascii="Arial"/>
                <w:sz w:val="21"/>
              </w:rPr>
            </w:pPr>
          </w:p>
          <w:p w14:paraId="773BFFB1">
            <w:pPr>
              <w:spacing w:line="255" w:lineRule="auto"/>
              <w:rPr>
                <w:rFonts w:ascii="Arial"/>
                <w:sz w:val="21"/>
              </w:rPr>
            </w:pPr>
          </w:p>
          <w:p w14:paraId="1E3CBABF">
            <w:pPr>
              <w:spacing w:line="255" w:lineRule="auto"/>
              <w:rPr>
                <w:rFonts w:ascii="Arial"/>
                <w:sz w:val="21"/>
              </w:rPr>
            </w:pPr>
          </w:p>
          <w:p w14:paraId="23CCDD71">
            <w:pPr>
              <w:spacing w:line="255" w:lineRule="auto"/>
              <w:rPr>
                <w:rFonts w:ascii="Arial"/>
                <w:sz w:val="21"/>
              </w:rPr>
            </w:pPr>
          </w:p>
          <w:p w14:paraId="7607F84A">
            <w:pPr>
              <w:spacing w:line="255" w:lineRule="auto"/>
              <w:rPr>
                <w:rFonts w:ascii="Arial"/>
                <w:sz w:val="21"/>
              </w:rPr>
            </w:pPr>
          </w:p>
          <w:p w14:paraId="63C4C37B">
            <w:pPr>
              <w:spacing w:line="255" w:lineRule="auto"/>
              <w:rPr>
                <w:rFonts w:ascii="Arial"/>
                <w:sz w:val="21"/>
              </w:rPr>
            </w:pPr>
          </w:p>
          <w:p w14:paraId="3631BD4F">
            <w:pPr>
              <w:spacing w:line="255" w:lineRule="auto"/>
              <w:rPr>
                <w:rFonts w:ascii="Arial"/>
                <w:sz w:val="21"/>
              </w:rPr>
            </w:pPr>
          </w:p>
          <w:p w14:paraId="73B5BDD4">
            <w:pPr>
              <w:pStyle w:val="8"/>
              <w:spacing w:before="59" w:line="182" w:lineRule="auto"/>
              <w:ind w:left="239"/>
            </w:pPr>
            <w:r>
              <w:rPr>
                <w:spacing w:val="-6"/>
              </w:rPr>
              <w:t>75</w:t>
            </w:r>
          </w:p>
        </w:tc>
        <w:tc>
          <w:tcPr>
            <w:tcW w:w="1136" w:type="dxa"/>
            <w:vAlign w:val="top"/>
          </w:tcPr>
          <w:p w14:paraId="0D491747">
            <w:pPr>
              <w:spacing w:line="258" w:lineRule="auto"/>
              <w:rPr>
                <w:rFonts w:ascii="Arial"/>
                <w:sz w:val="21"/>
              </w:rPr>
            </w:pPr>
          </w:p>
          <w:p w14:paraId="0A72CBF5">
            <w:pPr>
              <w:spacing w:line="258" w:lineRule="auto"/>
              <w:rPr>
                <w:rFonts w:ascii="Arial"/>
                <w:sz w:val="21"/>
              </w:rPr>
            </w:pPr>
          </w:p>
          <w:p w14:paraId="0463F92E">
            <w:pPr>
              <w:spacing w:line="258" w:lineRule="auto"/>
              <w:rPr>
                <w:rFonts w:ascii="Arial"/>
                <w:sz w:val="21"/>
              </w:rPr>
            </w:pPr>
          </w:p>
          <w:p w14:paraId="3D6541F7">
            <w:pPr>
              <w:spacing w:line="259" w:lineRule="auto"/>
              <w:rPr>
                <w:rFonts w:ascii="Arial"/>
                <w:sz w:val="21"/>
              </w:rPr>
            </w:pPr>
          </w:p>
          <w:p w14:paraId="43102839">
            <w:pPr>
              <w:spacing w:line="259" w:lineRule="auto"/>
              <w:rPr>
                <w:rFonts w:ascii="Arial"/>
                <w:sz w:val="21"/>
              </w:rPr>
            </w:pPr>
          </w:p>
          <w:p w14:paraId="373485B4">
            <w:pPr>
              <w:pStyle w:val="8"/>
              <w:spacing w:before="59" w:line="243" w:lineRule="auto"/>
              <w:ind w:left="109" w:right="104"/>
              <w:jc w:val="both"/>
            </w:pPr>
            <w:r>
              <w:rPr>
                <w:spacing w:val="3"/>
              </w:rPr>
              <w:t>对交付船舶</w:t>
            </w:r>
            <w:r>
              <w:rPr>
                <w:spacing w:val="1"/>
              </w:rPr>
              <w:t xml:space="preserve"> </w:t>
            </w:r>
            <w:r>
              <w:rPr>
                <w:spacing w:val="3"/>
              </w:rPr>
              <w:t>载运的危险</w:t>
            </w:r>
            <w:r>
              <w:rPr>
                <w:spacing w:val="1"/>
              </w:rPr>
              <w:t xml:space="preserve"> </w:t>
            </w:r>
            <w:r>
              <w:rPr>
                <w:spacing w:val="3"/>
              </w:rPr>
              <w:t>货物托运人</w:t>
            </w:r>
            <w:r>
              <w:rPr>
                <w:spacing w:val="1"/>
              </w:rPr>
              <w:t xml:space="preserve"> </w:t>
            </w:r>
            <w:r>
              <w:rPr>
                <w:spacing w:val="3"/>
              </w:rPr>
              <w:t>未向海事管</w:t>
            </w:r>
            <w:r>
              <w:rPr>
                <w:spacing w:val="1"/>
              </w:rPr>
              <w:t xml:space="preserve"> </w:t>
            </w:r>
            <w:r>
              <w:rPr>
                <w:spacing w:val="3"/>
              </w:rPr>
              <w:t>理机构报告</w:t>
            </w:r>
            <w:r>
              <w:rPr>
                <w:spacing w:val="1"/>
              </w:rPr>
              <w:t xml:space="preserve"> </w:t>
            </w:r>
            <w:r>
              <w:rPr>
                <w:spacing w:val="3"/>
              </w:rPr>
              <w:t>等行为的行</w:t>
            </w:r>
            <w:r>
              <w:rPr>
                <w:spacing w:val="1"/>
              </w:rPr>
              <w:t xml:space="preserve"> </w:t>
            </w:r>
            <w:r>
              <w:rPr>
                <w:spacing w:val="-4"/>
              </w:rPr>
              <w:t>政处罚</w:t>
            </w:r>
          </w:p>
        </w:tc>
        <w:tc>
          <w:tcPr>
            <w:tcW w:w="1136" w:type="dxa"/>
            <w:vAlign w:val="top"/>
          </w:tcPr>
          <w:p w14:paraId="4C1805F9">
            <w:pPr>
              <w:spacing w:line="251" w:lineRule="auto"/>
              <w:rPr>
                <w:rFonts w:ascii="Arial"/>
                <w:sz w:val="21"/>
              </w:rPr>
            </w:pPr>
          </w:p>
          <w:p w14:paraId="383794EC">
            <w:pPr>
              <w:spacing w:line="251" w:lineRule="auto"/>
              <w:rPr>
                <w:rFonts w:ascii="Arial"/>
                <w:sz w:val="21"/>
              </w:rPr>
            </w:pPr>
          </w:p>
          <w:p w14:paraId="128A2D6C">
            <w:pPr>
              <w:spacing w:line="251" w:lineRule="auto"/>
              <w:rPr>
                <w:rFonts w:ascii="Arial"/>
                <w:sz w:val="21"/>
              </w:rPr>
            </w:pPr>
          </w:p>
          <w:p w14:paraId="5BAB5D20">
            <w:pPr>
              <w:spacing w:line="251" w:lineRule="auto"/>
              <w:rPr>
                <w:rFonts w:ascii="Arial"/>
                <w:sz w:val="21"/>
              </w:rPr>
            </w:pPr>
          </w:p>
          <w:p w14:paraId="3C049D1B">
            <w:pPr>
              <w:spacing w:line="251" w:lineRule="auto"/>
              <w:rPr>
                <w:rFonts w:ascii="Arial"/>
                <w:sz w:val="21"/>
              </w:rPr>
            </w:pPr>
          </w:p>
          <w:p w14:paraId="7CAA9722">
            <w:pPr>
              <w:spacing w:line="252" w:lineRule="auto"/>
              <w:rPr>
                <w:rFonts w:ascii="Arial"/>
                <w:sz w:val="21"/>
              </w:rPr>
            </w:pPr>
          </w:p>
          <w:p w14:paraId="5F401CA7">
            <w:pPr>
              <w:spacing w:line="252" w:lineRule="auto"/>
              <w:rPr>
                <w:rFonts w:ascii="Arial"/>
                <w:sz w:val="21"/>
              </w:rPr>
            </w:pPr>
          </w:p>
          <w:p w14:paraId="43BF823B">
            <w:pPr>
              <w:spacing w:line="252" w:lineRule="auto"/>
              <w:rPr>
                <w:rFonts w:ascii="Arial"/>
                <w:sz w:val="21"/>
              </w:rPr>
            </w:pPr>
          </w:p>
          <w:p w14:paraId="4B4E7292">
            <w:pPr>
              <w:pStyle w:val="8"/>
              <w:spacing w:before="58" w:line="220" w:lineRule="auto"/>
              <w:ind w:left="114"/>
            </w:pPr>
            <w:r>
              <w:rPr>
                <w:spacing w:val="-7"/>
              </w:rPr>
              <w:t>行政处罚</w:t>
            </w:r>
          </w:p>
        </w:tc>
        <w:tc>
          <w:tcPr>
            <w:tcW w:w="8806" w:type="dxa"/>
            <w:vAlign w:val="top"/>
          </w:tcPr>
          <w:p w14:paraId="2AAEC818">
            <w:pPr>
              <w:pStyle w:val="8"/>
              <w:spacing w:before="41" w:line="219" w:lineRule="auto"/>
              <w:ind w:left="447"/>
            </w:pPr>
            <w:r>
              <w:rPr>
                <w:b/>
                <w:bCs/>
                <w:spacing w:val="-3"/>
              </w:rPr>
              <w:t>《船舶载运危险货物安全监督管理规定》（交通</w:t>
            </w:r>
            <w:r>
              <w:rPr>
                <w:b/>
                <w:bCs/>
                <w:spacing w:val="-4"/>
              </w:rPr>
              <w:t>运输部令2024年第14号）</w:t>
            </w:r>
          </w:p>
          <w:p w14:paraId="2F2A4294">
            <w:pPr>
              <w:pStyle w:val="8"/>
              <w:spacing w:before="26" w:line="237" w:lineRule="auto"/>
              <w:ind w:left="114" w:right="56" w:firstLine="348"/>
              <w:jc w:val="both"/>
            </w:pPr>
            <w:r>
              <w:rPr>
                <w:spacing w:val="-5"/>
              </w:rPr>
              <w:t>第二十三条</w:t>
            </w:r>
            <w:r>
              <w:rPr>
                <w:spacing w:val="95"/>
                <w:w w:val="101"/>
              </w:rPr>
              <w:t xml:space="preserve"> </w:t>
            </w:r>
            <w:r>
              <w:rPr>
                <w:spacing w:val="-5"/>
              </w:rPr>
              <w:t>拟交付船舶载运的危险货物托运人应当在交付载运前向承运人提交以下材料，说明所托运的危</w:t>
            </w:r>
            <w:r>
              <w:t xml:space="preserve"> </w:t>
            </w:r>
            <w:r>
              <w:rPr>
                <w:spacing w:val="-7"/>
              </w:rPr>
              <w:t>险货物的正式名称、种类、数量、危险性质、应当采取的防护措</w:t>
            </w:r>
            <w:r>
              <w:rPr>
                <w:spacing w:val="-8"/>
              </w:rPr>
              <w:t>施以及发生危险情况的应急处置措施等货物信息，</w:t>
            </w:r>
            <w:r>
              <w:t xml:space="preserve"> </w:t>
            </w:r>
            <w:r>
              <w:rPr>
                <w:spacing w:val="-5"/>
              </w:rPr>
              <w:t>并报告海事管理机构：</w:t>
            </w:r>
          </w:p>
          <w:p w14:paraId="28508C8D">
            <w:pPr>
              <w:pStyle w:val="8"/>
              <w:spacing w:before="26" w:line="219" w:lineRule="auto"/>
              <w:ind w:left="473"/>
            </w:pPr>
            <w:r>
              <w:rPr>
                <w:spacing w:val="-5"/>
              </w:rPr>
              <w:t>（一）危险货物安全适运声明书；</w:t>
            </w:r>
          </w:p>
          <w:p w14:paraId="793ED756">
            <w:pPr>
              <w:pStyle w:val="8"/>
              <w:spacing w:before="26" w:line="219" w:lineRule="auto"/>
              <w:ind w:left="473"/>
            </w:pPr>
            <w:r>
              <w:rPr>
                <w:spacing w:val="-5"/>
              </w:rPr>
              <w:t>（二）危险货物安全技术说明书；</w:t>
            </w:r>
          </w:p>
          <w:p w14:paraId="4D6D81C5">
            <w:pPr>
              <w:pStyle w:val="8"/>
              <w:spacing w:before="27" w:line="219" w:lineRule="auto"/>
              <w:ind w:left="473"/>
            </w:pPr>
            <w:r>
              <w:rPr>
                <w:spacing w:val="-4"/>
              </w:rPr>
              <w:t>（三）按照规定需要进出口国家有关部门同意后方可载运的，</w:t>
            </w:r>
            <w:r>
              <w:rPr>
                <w:spacing w:val="-5"/>
              </w:rPr>
              <w:t>应当提交有效的批准文件；</w:t>
            </w:r>
          </w:p>
          <w:p w14:paraId="464A1EF4">
            <w:pPr>
              <w:pStyle w:val="8"/>
              <w:spacing w:before="26" w:line="219" w:lineRule="auto"/>
              <w:ind w:left="473"/>
            </w:pPr>
            <w:r>
              <w:rPr>
                <w:spacing w:val="-4"/>
              </w:rPr>
              <w:t>（四）危险货物中添加抑制剂或者稳定剂的，应当提交抑制剂</w:t>
            </w:r>
            <w:r>
              <w:rPr>
                <w:spacing w:val="-5"/>
              </w:rPr>
              <w:t>或者稳定剂添加证明书；</w:t>
            </w:r>
          </w:p>
          <w:p w14:paraId="1C0DDAA2">
            <w:pPr>
              <w:pStyle w:val="8"/>
              <w:spacing w:before="28" w:line="232" w:lineRule="auto"/>
              <w:ind w:left="113" w:right="100" w:firstLine="359"/>
            </w:pPr>
            <w:r>
              <w:rPr>
                <w:spacing w:val="-5"/>
              </w:rPr>
              <w:t>（五）载运国际海上危险货物运输规则和国家危险货物品名表上未列明但具有危险特性的货物，应当提交有</w:t>
            </w:r>
            <w:r>
              <w:rPr>
                <w:spacing w:val="1"/>
              </w:rPr>
              <w:t xml:space="preserve"> </w:t>
            </w:r>
            <w:r>
              <w:rPr>
                <w:spacing w:val="-4"/>
              </w:rPr>
              <w:t>关专业机构出具的表明该货物危险特性以及应当采取的防护措施等情况</w:t>
            </w:r>
            <w:r>
              <w:rPr>
                <w:spacing w:val="-5"/>
              </w:rPr>
              <w:t>的文件；</w:t>
            </w:r>
          </w:p>
          <w:p w14:paraId="4C836224">
            <w:pPr>
              <w:pStyle w:val="8"/>
              <w:spacing w:before="26" w:line="219" w:lineRule="auto"/>
              <w:ind w:left="473"/>
            </w:pPr>
            <w:r>
              <w:rPr>
                <w:spacing w:val="-5"/>
              </w:rPr>
              <w:t>（六）交付载运包装危险货物的，还应当提交下列材料：</w:t>
            </w:r>
          </w:p>
          <w:p w14:paraId="752D06A4">
            <w:pPr>
              <w:pStyle w:val="8"/>
              <w:spacing w:before="27" w:line="219" w:lineRule="auto"/>
              <w:ind w:left="476"/>
            </w:pPr>
            <w:r>
              <w:rPr>
                <w:spacing w:val="-5"/>
              </w:rPr>
              <w:t>1．包装、货物运输组件、船运刚性中型散装容器的检验合格证明；</w:t>
            </w:r>
          </w:p>
          <w:p w14:paraId="672BA7A9">
            <w:pPr>
              <w:pStyle w:val="8"/>
              <w:spacing w:before="26" w:line="219" w:lineRule="auto"/>
              <w:ind w:left="465"/>
            </w:pPr>
            <w:r>
              <w:rPr>
                <w:spacing w:val="-6"/>
              </w:rPr>
              <w:t>2．使用船运集装箱载运危险货物的，应当提交《集装箱装箱证明书》；</w:t>
            </w:r>
          </w:p>
          <w:p w14:paraId="4B63B8BA">
            <w:pPr>
              <w:pStyle w:val="8"/>
              <w:spacing w:before="28" w:line="232" w:lineRule="auto"/>
              <w:ind w:left="110" w:right="158" w:firstLine="356"/>
            </w:pPr>
            <w:r>
              <w:rPr>
                <w:spacing w:val="-4"/>
              </w:rPr>
              <w:t>3．载运放射性危险货物的，应当提交《放射性物品运输安全管理条例》《国际海运危险</w:t>
            </w:r>
            <w:r>
              <w:rPr>
                <w:spacing w:val="-5"/>
              </w:rPr>
              <w:t>货物规则》规定的</w:t>
            </w:r>
            <w:r>
              <w:t xml:space="preserve"> </w:t>
            </w:r>
            <w:r>
              <w:rPr>
                <w:spacing w:val="-4"/>
              </w:rPr>
              <w:t>相关材料；</w:t>
            </w:r>
          </w:p>
          <w:p w14:paraId="67801DDB">
            <w:pPr>
              <w:pStyle w:val="8"/>
              <w:spacing w:before="26" w:line="219" w:lineRule="auto"/>
              <w:ind w:left="462"/>
            </w:pPr>
            <w:r>
              <w:rPr>
                <w:spacing w:val="-4"/>
              </w:rPr>
              <w:t>4．载运限量或者可免除量危险货物的，应当提交限量或者可免除量危险货物证明。</w:t>
            </w:r>
          </w:p>
          <w:p w14:paraId="157975D7">
            <w:pPr>
              <w:pStyle w:val="8"/>
              <w:spacing w:before="27" w:line="222" w:lineRule="auto"/>
              <w:ind w:left="111" w:right="100" w:firstLine="361"/>
            </w:pPr>
            <w:r>
              <w:rPr>
                <w:spacing w:val="-5"/>
              </w:rPr>
              <w:t>（七）交付载运具有易流态化特性的</w:t>
            </w:r>
            <w:r>
              <w:rPr>
                <w:spacing w:val="-47"/>
              </w:rPr>
              <w:t xml:space="preserve"> </w:t>
            </w:r>
            <w:r>
              <w:rPr>
                <w:spacing w:val="-5"/>
              </w:rPr>
              <w:t>B</w:t>
            </w:r>
            <w:r>
              <w:rPr>
                <w:spacing w:val="-39"/>
              </w:rPr>
              <w:t xml:space="preserve"> </w:t>
            </w:r>
            <w:r>
              <w:rPr>
                <w:spacing w:val="-5"/>
              </w:rPr>
              <w:t>组固体散装货物通过海上运输的，还应当提交具有相应资质</w:t>
            </w:r>
            <w:r>
              <w:rPr>
                <w:spacing w:val="-6"/>
              </w:rPr>
              <w:t>的检验检</w:t>
            </w:r>
            <w:r>
              <w:t xml:space="preserve"> </w:t>
            </w:r>
            <w:r>
              <w:rPr>
                <w:spacing w:val="-4"/>
              </w:rPr>
              <w:t>测机构出具的货物适运水分极限和货物水分含量证</w:t>
            </w:r>
            <w:r>
              <w:rPr>
                <w:spacing w:val="-5"/>
              </w:rPr>
              <w:t>明。</w:t>
            </w:r>
          </w:p>
        </w:tc>
        <w:tc>
          <w:tcPr>
            <w:tcW w:w="1043" w:type="dxa"/>
            <w:vAlign w:val="top"/>
          </w:tcPr>
          <w:p w14:paraId="6C9C83B5">
            <w:pPr>
              <w:spacing w:line="270" w:lineRule="auto"/>
              <w:rPr>
                <w:rFonts w:ascii="Arial"/>
                <w:sz w:val="21"/>
              </w:rPr>
            </w:pPr>
          </w:p>
          <w:p w14:paraId="02B7BDE7">
            <w:pPr>
              <w:spacing w:line="270" w:lineRule="auto"/>
              <w:rPr>
                <w:rFonts w:ascii="Arial"/>
                <w:sz w:val="21"/>
              </w:rPr>
            </w:pPr>
          </w:p>
          <w:p w14:paraId="0D7F71CB">
            <w:pPr>
              <w:spacing w:line="270" w:lineRule="auto"/>
              <w:rPr>
                <w:rFonts w:ascii="Arial"/>
                <w:sz w:val="21"/>
              </w:rPr>
            </w:pPr>
          </w:p>
          <w:p w14:paraId="4FF886C4">
            <w:pPr>
              <w:spacing w:line="270" w:lineRule="auto"/>
              <w:rPr>
                <w:rFonts w:ascii="Arial"/>
                <w:sz w:val="21"/>
              </w:rPr>
            </w:pPr>
          </w:p>
          <w:p w14:paraId="1AEE8A09">
            <w:pPr>
              <w:spacing w:line="270" w:lineRule="auto"/>
              <w:rPr>
                <w:rFonts w:ascii="Arial"/>
                <w:sz w:val="21"/>
              </w:rPr>
            </w:pPr>
          </w:p>
          <w:p w14:paraId="6A487B11">
            <w:pPr>
              <w:spacing w:line="270" w:lineRule="auto"/>
              <w:rPr>
                <w:rFonts w:ascii="Arial"/>
                <w:sz w:val="21"/>
              </w:rPr>
            </w:pPr>
          </w:p>
          <w:p w14:paraId="6CBEE89C">
            <w:pPr>
              <w:spacing w:line="271" w:lineRule="auto"/>
              <w:rPr>
                <w:rFonts w:ascii="Arial"/>
                <w:sz w:val="21"/>
              </w:rPr>
            </w:pPr>
          </w:p>
          <w:p w14:paraId="5EF08938">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734791B3">
            <w:pPr>
              <w:spacing w:line="251" w:lineRule="auto"/>
              <w:rPr>
                <w:rFonts w:ascii="Arial"/>
                <w:sz w:val="21"/>
              </w:rPr>
            </w:pPr>
          </w:p>
          <w:p w14:paraId="2347794B">
            <w:pPr>
              <w:spacing w:line="251" w:lineRule="auto"/>
              <w:rPr>
                <w:rFonts w:ascii="Arial"/>
                <w:sz w:val="21"/>
              </w:rPr>
            </w:pPr>
          </w:p>
          <w:p w14:paraId="5F06E8A5">
            <w:pPr>
              <w:spacing w:line="251" w:lineRule="auto"/>
              <w:rPr>
                <w:rFonts w:ascii="Arial"/>
                <w:sz w:val="21"/>
              </w:rPr>
            </w:pPr>
          </w:p>
          <w:p w14:paraId="0D2FE983">
            <w:pPr>
              <w:spacing w:line="251" w:lineRule="auto"/>
              <w:rPr>
                <w:rFonts w:ascii="Arial"/>
                <w:sz w:val="21"/>
              </w:rPr>
            </w:pPr>
          </w:p>
          <w:p w14:paraId="794926D1">
            <w:pPr>
              <w:spacing w:line="251" w:lineRule="auto"/>
              <w:rPr>
                <w:rFonts w:ascii="Arial"/>
                <w:sz w:val="21"/>
              </w:rPr>
            </w:pPr>
          </w:p>
          <w:p w14:paraId="197B8840">
            <w:pPr>
              <w:spacing w:line="252" w:lineRule="auto"/>
              <w:rPr>
                <w:rFonts w:ascii="Arial"/>
                <w:sz w:val="21"/>
              </w:rPr>
            </w:pPr>
          </w:p>
          <w:p w14:paraId="613A0113">
            <w:pPr>
              <w:spacing w:line="252" w:lineRule="auto"/>
              <w:rPr>
                <w:rFonts w:ascii="Arial"/>
                <w:sz w:val="21"/>
              </w:rPr>
            </w:pPr>
          </w:p>
          <w:p w14:paraId="479C87F7">
            <w:pPr>
              <w:spacing w:line="252" w:lineRule="auto"/>
              <w:rPr>
                <w:rFonts w:ascii="Arial"/>
                <w:sz w:val="21"/>
              </w:rPr>
            </w:pPr>
          </w:p>
          <w:p w14:paraId="08F6C847">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0E03610">
            <w:pPr>
              <w:spacing w:line="275" w:lineRule="auto"/>
              <w:rPr>
                <w:rFonts w:ascii="Arial"/>
                <w:sz w:val="21"/>
              </w:rPr>
            </w:pPr>
          </w:p>
          <w:p w14:paraId="6603FC04">
            <w:pPr>
              <w:spacing w:line="275" w:lineRule="auto"/>
              <w:rPr>
                <w:rFonts w:ascii="Arial"/>
                <w:sz w:val="21"/>
              </w:rPr>
            </w:pPr>
          </w:p>
          <w:p w14:paraId="5DAEA78B">
            <w:pPr>
              <w:spacing w:line="276" w:lineRule="auto"/>
              <w:rPr>
                <w:rFonts w:ascii="Arial"/>
                <w:sz w:val="21"/>
              </w:rPr>
            </w:pPr>
          </w:p>
          <w:p w14:paraId="59799363">
            <w:pPr>
              <w:spacing w:line="276" w:lineRule="auto"/>
              <w:rPr>
                <w:rFonts w:ascii="Arial"/>
                <w:sz w:val="21"/>
              </w:rPr>
            </w:pPr>
          </w:p>
          <w:p w14:paraId="7FDDEBA1">
            <w:pPr>
              <w:spacing w:line="276" w:lineRule="auto"/>
              <w:rPr>
                <w:rFonts w:ascii="Arial"/>
                <w:sz w:val="21"/>
              </w:rPr>
            </w:pPr>
          </w:p>
          <w:p w14:paraId="5F0A42C7">
            <w:pPr>
              <w:spacing w:line="276" w:lineRule="auto"/>
              <w:rPr>
                <w:rFonts w:ascii="Arial"/>
                <w:sz w:val="21"/>
              </w:rPr>
            </w:pPr>
          </w:p>
          <w:p w14:paraId="64824D4A">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0070C3E2">
      <w:pPr>
        <w:pStyle w:val="2"/>
        <w:spacing w:line="177" w:lineRule="exact"/>
        <w:rPr>
          <w:sz w:val="15"/>
        </w:rPr>
      </w:pPr>
    </w:p>
    <w:p w14:paraId="09D17FB4">
      <w:pPr>
        <w:spacing w:line="177" w:lineRule="exact"/>
        <w:rPr>
          <w:sz w:val="15"/>
          <w:szCs w:val="15"/>
        </w:rPr>
        <w:sectPr>
          <w:footerReference r:id="rId203" w:type="default"/>
          <w:pgSz w:w="16839" w:h="11906"/>
          <w:pgMar w:top="1012" w:right="788" w:bottom="967" w:left="787" w:header="0" w:footer="768" w:gutter="0"/>
          <w:cols w:space="720" w:num="1"/>
        </w:sectPr>
      </w:pPr>
    </w:p>
    <w:p w14:paraId="39F54DD2">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5D062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13782654">
            <w:pPr>
              <w:pStyle w:val="8"/>
              <w:spacing w:before="267" w:line="221" w:lineRule="auto"/>
              <w:ind w:left="142"/>
            </w:pPr>
            <w:r>
              <w:rPr>
                <w:b/>
                <w:bCs/>
                <w:spacing w:val="-4"/>
              </w:rPr>
              <w:t>序号</w:t>
            </w:r>
          </w:p>
        </w:tc>
        <w:tc>
          <w:tcPr>
            <w:tcW w:w="1136" w:type="dxa"/>
            <w:vMerge w:val="restart"/>
            <w:tcBorders>
              <w:bottom w:val="nil"/>
            </w:tcBorders>
            <w:vAlign w:val="top"/>
          </w:tcPr>
          <w:p w14:paraId="530F92AE">
            <w:pPr>
              <w:pStyle w:val="8"/>
              <w:spacing w:before="267" w:line="220" w:lineRule="auto"/>
              <w:ind w:left="208"/>
            </w:pPr>
            <w:r>
              <w:rPr>
                <w:b/>
                <w:bCs/>
                <w:spacing w:val="-4"/>
              </w:rPr>
              <w:t>事项名称</w:t>
            </w:r>
          </w:p>
        </w:tc>
        <w:tc>
          <w:tcPr>
            <w:tcW w:w="1136" w:type="dxa"/>
            <w:vMerge w:val="restart"/>
            <w:tcBorders>
              <w:bottom w:val="nil"/>
            </w:tcBorders>
            <w:vAlign w:val="top"/>
          </w:tcPr>
          <w:p w14:paraId="31A14936">
            <w:pPr>
              <w:pStyle w:val="8"/>
              <w:spacing w:before="267" w:line="219" w:lineRule="auto"/>
              <w:ind w:left="210"/>
            </w:pPr>
            <w:r>
              <w:rPr>
                <w:b/>
                <w:bCs/>
                <w:spacing w:val="-4"/>
              </w:rPr>
              <w:t>职权类型</w:t>
            </w:r>
          </w:p>
        </w:tc>
        <w:tc>
          <w:tcPr>
            <w:tcW w:w="8806" w:type="dxa"/>
            <w:vMerge w:val="restart"/>
            <w:tcBorders>
              <w:bottom w:val="nil"/>
            </w:tcBorders>
            <w:vAlign w:val="top"/>
          </w:tcPr>
          <w:p w14:paraId="1E24505C">
            <w:pPr>
              <w:pStyle w:val="8"/>
              <w:spacing w:before="267" w:line="219" w:lineRule="auto"/>
              <w:ind w:left="4050"/>
            </w:pPr>
            <w:r>
              <w:rPr>
                <w:b/>
                <w:bCs/>
                <w:spacing w:val="-5"/>
              </w:rPr>
              <w:t>实施依据</w:t>
            </w:r>
          </w:p>
        </w:tc>
        <w:tc>
          <w:tcPr>
            <w:tcW w:w="3538" w:type="dxa"/>
            <w:gridSpan w:val="3"/>
            <w:vAlign w:val="top"/>
          </w:tcPr>
          <w:p w14:paraId="40C755FE">
            <w:pPr>
              <w:pStyle w:val="8"/>
              <w:spacing w:before="92" w:line="220" w:lineRule="auto"/>
              <w:ind w:left="1415"/>
            </w:pPr>
            <w:r>
              <w:rPr>
                <w:b/>
                <w:bCs/>
                <w:spacing w:val="-5"/>
              </w:rPr>
              <w:t>实施主体</w:t>
            </w:r>
          </w:p>
        </w:tc>
      </w:tr>
      <w:tr w14:paraId="703A7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5256E623">
            <w:pPr>
              <w:rPr>
                <w:rFonts w:ascii="Arial"/>
                <w:sz w:val="21"/>
              </w:rPr>
            </w:pPr>
          </w:p>
        </w:tc>
        <w:tc>
          <w:tcPr>
            <w:tcW w:w="1136" w:type="dxa"/>
            <w:vMerge w:val="continue"/>
            <w:tcBorders>
              <w:top w:val="nil"/>
            </w:tcBorders>
            <w:vAlign w:val="top"/>
          </w:tcPr>
          <w:p w14:paraId="39240180">
            <w:pPr>
              <w:rPr>
                <w:rFonts w:ascii="Arial"/>
                <w:sz w:val="21"/>
              </w:rPr>
            </w:pPr>
          </w:p>
        </w:tc>
        <w:tc>
          <w:tcPr>
            <w:tcW w:w="1136" w:type="dxa"/>
            <w:vMerge w:val="continue"/>
            <w:tcBorders>
              <w:top w:val="nil"/>
            </w:tcBorders>
            <w:vAlign w:val="top"/>
          </w:tcPr>
          <w:p w14:paraId="432FAE2D">
            <w:pPr>
              <w:rPr>
                <w:rFonts w:ascii="Arial"/>
                <w:sz w:val="21"/>
              </w:rPr>
            </w:pPr>
          </w:p>
        </w:tc>
        <w:tc>
          <w:tcPr>
            <w:tcW w:w="8806" w:type="dxa"/>
            <w:vMerge w:val="continue"/>
            <w:tcBorders>
              <w:top w:val="nil"/>
            </w:tcBorders>
            <w:vAlign w:val="top"/>
          </w:tcPr>
          <w:p w14:paraId="75281DE0">
            <w:pPr>
              <w:rPr>
                <w:rFonts w:ascii="Arial"/>
                <w:sz w:val="21"/>
              </w:rPr>
            </w:pPr>
          </w:p>
        </w:tc>
        <w:tc>
          <w:tcPr>
            <w:tcW w:w="1043" w:type="dxa"/>
            <w:vAlign w:val="top"/>
          </w:tcPr>
          <w:p w14:paraId="44348142">
            <w:pPr>
              <w:pStyle w:val="8"/>
              <w:spacing w:before="88" w:line="219" w:lineRule="auto"/>
              <w:ind w:left="171"/>
            </w:pPr>
            <w:r>
              <w:rPr>
                <w:b/>
                <w:bCs/>
                <w:spacing w:val="-5"/>
              </w:rPr>
              <w:t>责任部门</w:t>
            </w:r>
          </w:p>
        </w:tc>
        <w:tc>
          <w:tcPr>
            <w:tcW w:w="1448" w:type="dxa"/>
            <w:vAlign w:val="top"/>
          </w:tcPr>
          <w:p w14:paraId="5A72E097">
            <w:pPr>
              <w:pStyle w:val="8"/>
              <w:spacing w:before="88" w:line="219" w:lineRule="auto"/>
              <w:ind w:left="187"/>
            </w:pPr>
            <w:r>
              <w:rPr>
                <w:b/>
                <w:bCs/>
                <w:spacing w:val="-3"/>
              </w:rPr>
              <w:t>第一责任层级</w:t>
            </w:r>
          </w:p>
        </w:tc>
        <w:tc>
          <w:tcPr>
            <w:tcW w:w="1047" w:type="dxa"/>
            <w:vAlign w:val="top"/>
          </w:tcPr>
          <w:p w14:paraId="7D649EEF">
            <w:pPr>
              <w:pStyle w:val="8"/>
              <w:spacing w:before="88" w:line="219" w:lineRule="auto"/>
              <w:ind w:left="165"/>
            </w:pPr>
            <w:r>
              <w:rPr>
                <w:b/>
                <w:bCs/>
                <w:spacing w:val="-4"/>
              </w:rPr>
              <w:t>承办机构</w:t>
            </w:r>
          </w:p>
        </w:tc>
      </w:tr>
      <w:tr w14:paraId="1C51D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641" w:type="dxa"/>
            <w:vAlign w:val="top"/>
          </w:tcPr>
          <w:p w14:paraId="6EB84D21">
            <w:pPr>
              <w:rPr>
                <w:rFonts w:ascii="Arial"/>
                <w:sz w:val="21"/>
              </w:rPr>
            </w:pPr>
          </w:p>
        </w:tc>
        <w:tc>
          <w:tcPr>
            <w:tcW w:w="1136" w:type="dxa"/>
            <w:vAlign w:val="top"/>
          </w:tcPr>
          <w:p w14:paraId="5110A5D4">
            <w:pPr>
              <w:rPr>
                <w:rFonts w:ascii="Arial"/>
                <w:sz w:val="21"/>
              </w:rPr>
            </w:pPr>
          </w:p>
        </w:tc>
        <w:tc>
          <w:tcPr>
            <w:tcW w:w="1136" w:type="dxa"/>
            <w:vAlign w:val="top"/>
          </w:tcPr>
          <w:p w14:paraId="583E5F69">
            <w:pPr>
              <w:rPr>
                <w:rFonts w:ascii="Arial"/>
                <w:sz w:val="21"/>
              </w:rPr>
            </w:pPr>
          </w:p>
        </w:tc>
        <w:tc>
          <w:tcPr>
            <w:tcW w:w="8806" w:type="dxa"/>
            <w:vAlign w:val="top"/>
          </w:tcPr>
          <w:p w14:paraId="52CB64AB">
            <w:pPr>
              <w:pStyle w:val="8"/>
              <w:spacing w:before="38" w:line="219" w:lineRule="auto"/>
              <w:ind w:left="463"/>
            </w:pPr>
            <w:r>
              <w:rPr>
                <w:spacing w:val="-4"/>
              </w:rPr>
              <w:t>承运人应当对上述货物信息进行审核，对不符合船舶适装要求的，不得受载、承运。</w:t>
            </w:r>
          </w:p>
          <w:p w14:paraId="369A58AA">
            <w:pPr>
              <w:pStyle w:val="8"/>
              <w:spacing w:before="27" w:line="232" w:lineRule="auto"/>
              <w:ind w:left="112" w:right="100" w:firstLine="353"/>
            </w:pPr>
            <w:r>
              <w:rPr>
                <w:spacing w:val="-3"/>
              </w:rPr>
              <w:t>第二十四条  船舶载运包装危险货物或者B组固体散装货物离港前，应当将列有所载危险货物的装载位置清</w:t>
            </w:r>
            <w:r>
              <w:rPr>
                <w:spacing w:val="7"/>
              </w:rPr>
              <w:t xml:space="preserve"> </w:t>
            </w:r>
            <w:r>
              <w:rPr>
                <w:spacing w:val="-4"/>
              </w:rPr>
              <w:t>单、 舱单或者详细配载图向海事管理机构报告。</w:t>
            </w:r>
          </w:p>
          <w:p w14:paraId="226F736C">
            <w:pPr>
              <w:pStyle w:val="8"/>
              <w:spacing w:before="26" w:line="237" w:lineRule="auto"/>
              <w:ind w:left="114" w:right="95" w:firstLine="348"/>
              <w:jc w:val="both"/>
            </w:pPr>
            <w:r>
              <w:rPr>
                <w:spacing w:val="-6"/>
              </w:rPr>
              <w:t>第三十六条  散装液化天然气船舶应当在抵港72时前（航程不足72时的，在驶离上一港口时）向抵达</w:t>
            </w:r>
            <w:r>
              <w:rPr>
                <w:spacing w:val="-7"/>
              </w:rPr>
              <w:t>港海 事</w:t>
            </w:r>
            <w:r>
              <w:t xml:space="preserve"> </w:t>
            </w:r>
            <w:r>
              <w:rPr>
                <w:spacing w:val="-8"/>
              </w:rPr>
              <w:t>管理机构报告预计抵港时间。预计抵港时间有变化的，还应当在抵港24小时前（航程不足24小时的，在</w:t>
            </w:r>
            <w:r>
              <w:rPr>
                <w:spacing w:val="-9"/>
              </w:rPr>
              <w:t>驶离上一港</w:t>
            </w:r>
            <w:r>
              <w:t xml:space="preserve"> </w:t>
            </w:r>
            <w:r>
              <w:rPr>
                <w:spacing w:val="-6"/>
              </w:rPr>
              <w:t>口时）报告抵港时间。</w:t>
            </w:r>
          </w:p>
          <w:p w14:paraId="08946E2F">
            <w:pPr>
              <w:pStyle w:val="8"/>
              <w:spacing w:before="26" w:line="237" w:lineRule="auto"/>
              <w:ind w:left="110" w:right="151" w:firstLine="355"/>
              <w:jc w:val="both"/>
            </w:pPr>
            <w:r>
              <w:rPr>
                <w:spacing w:val="-2"/>
              </w:rPr>
              <w:t>第四十条第三款  载运散装液化天然气的船舶由沿海进入内河水域的，应当向途经的第一个</w:t>
            </w:r>
            <w:r>
              <w:rPr>
                <w:spacing w:val="-3"/>
              </w:rPr>
              <w:t>内河港口的海</w:t>
            </w:r>
            <w:r>
              <w:t xml:space="preserve"> </w:t>
            </w:r>
            <w:r>
              <w:rPr>
                <w:spacing w:val="-2"/>
              </w:rPr>
              <w:t>事管理机构报告航行计划和航线；始发地为内河港口的，船舶应当将航行计划和航线向始发地海</w:t>
            </w:r>
            <w:r>
              <w:rPr>
                <w:spacing w:val="-3"/>
              </w:rPr>
              <w:t>事管理机构报</w:t>
            </w:r>
            <w:r>
              <w:t xml:space="preserve"> </w:t>
            </w:r>
            <w:r>
              <w:rPr>
                <w:spacing w:val="-4"/>
              </w:rPr>
              <w:t>告。</w:t>
            </w:r>
          </w:p>
          <w:p w14:paraId="156795C4">
            <w:pPr>
              <w:pStyle w:val="8"/>
              <w:spacing w:before="26" w:line="237" w:lineRule="auto"/>
              <w:ind w:left="109" w:right="23" w:firstLine="331"/>
              <w:jc w:val="both"/>
            </w:pPr>
            <w:r>
              <w:rPr>
                <w:spacing w:val="-13"/>
              </w:rPr>
              <w:t>第四十六条</w:t>
            </w:r>
            <w:r>
              <w:rPr>
                <w:spacing w:val="56"/>
              </w:rPr>
              <w:t xml:space="preserve"> </w:t>
            </w:r>
            <w:r>
              <w:rPr>
                <w:spacing w:val="-13"/>
              </w:rPr>
              <w:t>违反本规定，有下列情形之一的，由海事管理机构责令改正，处 500元以上3万元以下的罚款</w:t>
            </w:r>
            <w:r>
              <w:rPr>
                <w:spacing w:val="-36"/>
              </w:rPr>
              <w:t>：（</w:t>
            </w:r>
            <w:r>
              <w:rPr>
                <w:spacing w:val="-13"/>
              </w:rPr>
              <w:t>一）</w:t>
            </w:r>
            <w:r>
              <w:t xml:space="preserve"> </w:t>
            </w:r>
            <w:r>
              <w:rPr>
                <w:spacing w:val="-2"/>
              </w:rPr>
              <w:t>交付船舶载运的危险货物托运人未向海事管理机构报告的</w:t>
            </w:r>
            <w:r>
              <w:rPr>
                <w:spacing w:val="-25"/>
              </w:rPr>
              <w:t>；（</w:t>
            </w:r>
            <w:r>
              <w:rPr>
                <w:spacing w:val="-2"/>
              </w:rPr>
              <w:t>二）船舶载运包装危险货物或者B组固体散装货物</w:t>
            </w:r>
            <w:r>
              <w:t xml:space="preserve">  </w:t>
            </w:r>
            <w:r>
              <w:rPr>
                <w:spacing w:val="-6"/>
              </w:rPr>
              <w:t>离港前，未按照规定将清单、舱单或者详细配载图报海事管理机构的</w:t>
            </w:r>
            <w:r>
              <w:rPr>
                <w:spacing w:val="-5"/>
              </w:rPr>
              <w:t>；（</w:t>
            </w:r>
            <w:r>
              <w:rPr>
                <w:spacing w:val="-6"/>
              </w:rPr>
              <w:t>三）散装液化天然气船舶未按照规定向</w:t>
            </w:r>
            <w:r>
              <w:t xml:space="preserve">  </w:t>
            </w:r>
            <w:r>
              <w:rPr>
                <w:spacing w:val="-2"/>
              </w:rPr>
              <w:t>海事管理机构报告预计抵港时间的</w:t>
            </w:r>
            <w:r>
              <w:rPr>
                <w:spacing w:val="-5"/>
              </w:rPr>
              <w:t>；（</w:t>
            </w:r>
            <w:r>
              <w:rPr>
                <w:spacing w:val="-2"/>
              </w:rPr>
              <w:t>四）散装液化天然气船舶在内河航行，未按照规定向海事管理机构报告</w:t>
            </w:r>
            <w:r>
              <w:t xml:space="preserve">  </w:t>
            </w:r>
            <w:r>
              <w:rPr>
                <w:spacing w:val="-3"/>
              </w:rPr>
              <w:t>航行计划和航线的。</w:t>
            </w:r>
          </w:p>
        </w:tc>
        <w:tc>
          <w:tcPr>
            <w:tcW w:w="1043" w:type="dxa"/>
            <w:vAlign w:val="top"/>
          </w:tcPr>
          <w:p w14:paraId="2881CC85">
            <w:pPr>
              <w:rPr>
                <w:rFonts w:ascii="Arial"/>
                <w:sz w:val="21"/>
              </w:rPr>
            </w:pPr>
          </w:p>
        </w:tc>
        <w:tc>
          <w:tcPr>
            <w:tcW w:w="1448" w:type="dxa"/>
            <w:vAlign w:val="top"/>
          </w:tcPr>
          <w:p w14:paraId="292DCFE0">
            <w:pPr>
              <w:rPr>
                <w:rFonts w:ascii="Arial"/>
                <w:sz w:val="21"/>
              </w:rPr>
            </w:pPr>
          </w:p>
        </w:tc>
        <w:tc>
          <w:tcPr>
            <w:tcW w:w="1047" w:type="dxa"/>
            <w:vAlign w:val="top"/>
          </w:tcPr>
          <w:p w14:paraId="069192CF">
            <w:pPr>
              <w:rPr>
                <w:rFonts w:ascii="Arial"/>
                <w:sz w:val="21"/>
              </w:rPr>
            </w:pPr>
          </w:p>
        </w:tc>
      </w:tr>
      <w:tr w14:paraId="701A7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41" w:type="dxa"/>
            <w:vAlign w:val="top"/>
          </w:tcPr>
          <w:p w14:paraId="446A27F5">
            <w:pPr>
              <w:spacing w:line="303" w:lineRule="auto"/>
              <w:rPr>
                <w:rFonts w:ascii="Arial"/>
                <w:sz w:val="21"/>
              </w:rPr>
            </w:pPr>
          </w:p>
          <w:p w14:paraId="2B316DFE">
            <w:pPr>
              <w:spacing w:line="303" w:lineRule="auto"/>
              <w:rPr>
                <w:rFonts w:ascii="Arial"/>
                <w:sz w:val="21"/>
              </w:rPr>
            </w:pPr>
          </w:p>
          <w:p w14:paraId="32F8A875">
            <w:pPr>
              <w:pStyle w:val="8"/>
              <w:spacing w:before="58" w:line="183" w:lineRule="auto"/>
              <w:ind w:left="239"/>
            </w:pPr>
            <w:r>
              <w:rPr>
                <w:spacing w:val="-6"/>
              </w:rPr>
              <w:t>76</w:t>
            </w:r>
          </w:p>
        </w:tc>
        <w:tc>
          <w:tcPr>
            <w:tcW w:w="1136" w:type="dxa"/>
            <w:vAlign w:val="top"/>
          </w:tcPr>
          <w:p w14:paraId="4A56EBB8">
            <w:pPr>
              <w:pStyle w:val="8"/>
              <w:spacing w:before="41" w:line="238" w:lineRule="auto"/>
              <w:ind w:left="108" w:right="104"/>
              <w:jc w:val="both"/>
            </w:pPr>
            <w:r>
              <w:rPr>
                <w:spacing w:val="3"/>
              </w:rPr>
              <w:t>对申请人以</w:t>
            </w:r>
            <w:r>
              <w:rPr>
                <w:spacing w:val="1"/>
              </w:rPr>
              <w:t xml:space="preserve"> </w:t>
            </w:r>
            <w:r>
              <w:rPr>
                <w:spacing w:val="3"/>
              </w:rPr>
              <w:t>欺骗或者其</w:t>
            </w:r>
            <w:r>
              <w:rPr>
                <w:spacing w:val="2"/>
              </w:rPr>
              <w:t xml:space="preserve"> </w:t>
            </w:r>
            <w:r>
              <w:rPr>
                <w:spacing w:val="3"/>
              </w:rPr>
              <w:t>他不正当手</w:t>
            </w:r>
            <w:r>
              <w:rPr>
                <w:spacing w:val="2"/>
              </w:rPr>
              <w:t xml:space="preserve"> </w:t>
            </w:r>
            <w:r>
              <w:rPr>
                <w:spacing w:val="3"/>
              </w:rPr>
              <w:t>段取得船舶</w:t>
            </w:r>
            <w:r>
              <w:rPr>
                <w:spacing w:val="2"/>
              </w:rPr>
              <w:t xml:space="preserve"> </w:t>
            </w:r>
            <w:r>
              <w:rPr>
                <w:spacing w:val="3"/>
              </w:rPr>
              <w:t>识别号行为</w:t>
            </w:r>
            <w:r>
              <w:rPr>
                <w:spacing w:val="2"/>
              </w:rPr>
              <w:t xml:space="preserve"> </w:t>
            </w:r>
            <w:r>
              <w:rPr>
                <w:spacing w:val="-5"/>
              </w:rPr>
              <w:t>的行政处罚</w:t>
            </w:r>
          </w:p>
        </w:tc>
        <w:tc>
          <w:tcPr>
            <w:tcW w:w="1136" w:type="dxa"/>
            <w:vAlign w:val="top"/>
          </w:tcPr>
          <w:p w14:paraId="20475EE0">
            <w:pPr>
              <w:spacing w:line="289" w:lineRule="auto"/>
              <w:rPr>
                <w:rFonts w:ascii="Arial"/>
                <w:sz w:val="21"/>
              </w:rPr>
            </w:pPr>
          </w:p>
          <w:p w14:paraId="68D1EB90">
            <w:pPr>
              <w:spacing w:line="289" w:lineRule="auto"/>
              <w:rPr>
                <w:rFonts w:ascii="Arial"/>
                <w:sz w:val="21"/>
              </w:rPr>
            </w:pPr>
          </w:p>
          <w:p w14:paraId="2F7C47E4">
            <w:pPr>
              <w:pStyle w:val="8"/>
              <w:spacing w:before="58" w:line="220" w:lineRule="auto"/>
              <w:ind w:left="114"/>
            </w:pPr>
            <w:r>
              <w:rPr>
                <w:spacing w:val="-7"/>
              </w:rPr>
              <w:t>行政处罚</w:t>
            </w:r>
          </w:p>
        </w:tc>
        <w:tc>
          <w:tcPr>
            <w:tcW w:w="8806" w:type="dxa"/>
            <w:vAlign w:val="top"/>
          </w:tcPr>
          <w:p w14:paraId="5B331B29">
            <w:pPr>
              <w:pStyle w:val="8"/>
              <w:spacing w:before="279" w:line="219" w:lineRule="auto"/>
              <w:ind w:left="473"/>
            </w:pPr>
            <w:r>
              <w:rPr>
                <w:b/>
                <w:bCs/>
                <w:spacing w:val="-3"/>
              </w:rPr>
              <w:t>《中华人民共和国船舶识别号管理规定》（中华人民共和国交通</w:t>
            </w:r>
            <w:r>
              <w:rPr>
                <w:b/>
                <w:bCs/>
                <w:spacing w:val="-4"/>
              </w:rPr>
              <w:t>运输部令2010年第4号）</w:t>
            </w:r>
          </w:p>
          <w:p w14:paraId="24FE7417">
            <w:pPr>
              <w:pStyle w:val="8"/>
              <w:spacing w:before="26" w:line="219" w:lineRule="auto"/>
              <w:ind w:left="468"/>
            </w:pPr>
            <w:r>
              <w:rPr>
                <w:spacing w:val="-2"/>
              </w:rPr>
              <w:t>第六条第二款  申请人应当如实填写和提交申请材料，并对申请材料的真实性负</w:t>
            </w:r>
            <w:r>
              <w:rPr>
                <w:spacing w:val="-3"/>
              </w:rPr>
              <w:t>责。</w:t>
            </w:r>
          </w:p>
          <w:p w14:paraId="4CBA4D8D">
            <w:pPr>
              <w:pStyle w:val="8"/>
              <w:spacing w:before="26" w:line="233" w:lineRule="auto"/>
              <w:ind w:left="110" w:right="103" w:firstLine="357"/>
            </w:pPr>
            <w:r>
              <w:rPr>
                <w:spacing w:val="-1"/>
              </w:rPr>
              <w:t>第十三条  申请人以欺骗或者其他不正当手段取得船舶识别号的，海事管理机构应当报中国海</w:t>
            </w:r>
            <w:r>
              <w:rPr>
                <w:spacing w:val="-2"/>
              </w:rPr>
              <w:t>事局撤销其</w:t>
            </w:r>
            <w:r>
              <w:t xml:space="preserve"> </w:t>
            </w:r>
            <w:r>
              <w:rPr>
                <w:spacing w:val="-2"/>
              </w:rPr>
              <w:t>船舶识别号，并处5000元以上3万元以下的罚款。</w:t>
            </w:r>
          </w:p>
        </w:tc>
        <w:tc>
          <w:tcPr>
            <w:tcW w:w="1043" w:type="dxa"/>
            <w:vAlign w:val="top"/>
          </w:tcPr>
          <w:p w14:paraId="4A777C3A">
            <w:pPr>
              <w:spacing w:line="458" w:lineRule="auto"/>
              <w:rPr>
                <w:rFonts w:ascii="Arial"/>
                <w:sz w:val="21"/>
              </w:rPr>
            </w:pPr>
          </w:p>
          <w:p w14:paraId="66F1C927">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37117553">
            <w:pPr>
              <w:spacing w:line="289" w:lineRule="auto"/>
              <w:rPr>
                <w:rFonts w:ascii="Arial"/>
                <w:sz w:val="21"/>
              </w:rPr>
            </w:pPr>
          </w:p>
          <w:p w14:paraId="708D90A2">
            <w:pPr>
              <w:spacing w:line="289" w:lineRule="auto"/>
              <w:rPr>
                <w:rFonts w:ascii="Arial"/>
                <w:sz w:val="21"/>
              </w:rPr>
            </w:pPr>
          </w:p>
          <w:p w14:paraId="516AF82A">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F31625F">
            <w:pPr>
              <w:pStyle w:val="8"/>
              <w:spacing w:before="281"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60AE0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0" w:hRule="atLeast"/>
        </w:trPr>
        <w:tc>
          <w:tcPr>
            <w:tcW w:w="641" w:type="dxa"/>
            <w:vAlign w:val="top"/>
          </w:tcPr>
          <w:p w14:paraId="165F59FB">
            <w:pPr>
              <w:spacing w:line="248" w:lineRule="auto"/>
              <w:rPr>
                <w:rFonts w:ascii="Arial"/>
                <w:sz w:val="21"/>
              </w:rPr>
            </w:pPr>
          </w:p>
          <w:p w14:paraId="5F948EAC">
            <w:pPr>
              <w:spacing w:line="248" w:lineRule="auto"/>
              <w:rPr>
                <w:rFonts w:ascii="Arial"/>
                <w:sz w:val="21"/>
              </w:rPr>
            </w:pPr>
          </w:p>
          <w:p w14:paraId="077E6E39">
            <w:pPr>
              <w:spacing w:line="249" w:lineRule="auto"/>
              <w:rPr>
                <w:rFonts w:ascii="Arial"/>
                <w:sz w:val="21"/>
              </w:rPr>
            </w:pPr>
          </w:p>
          <w:p w14:paraId="5024F767">
            <w:pPr>
              <w:spacing w:line="249" w:lineRule="auto"/>
              <w:rPr>
                <w:rFonts w:ascii="Arial"/>
                <w:sz w:val="21"/>
              </w:rPr>
            </w:pPr>
          </w:p>
          <w:p w14:paraId="5E3C9705">
            <w:pPr>
              <w:pStyle w:val="8"/>
              <w:spacing w:before="58" w:line="182" w:lineRule="auto"/>
              <w:ind w:left="239"/>
            </w:pPr>
            <w:r>
              <w:rPr>
                <w:spacing w:val="-6"/>
              </w:rPr>
              <w:t>77</w:t>
            </w:r>
          </w:p>
        </w:tc>
        <w:tc>
          <w:tcPr>
            <w:tcW w:w="1136" w:type="dxa"/>
            <w:vAlign w:val="top"/>
          </w:tcPr>
          <w:p w14:paraId="741EE7BC">
            <w:pPr>
              <w:pStyle w:val="8"/>
              <w:spacing w:before="66" w:line="244" w:lineRule="auto"/>
              <w:ind w:left="109" w:right="104"/>
              <w:jc w:val="both"/>
            </w:pPr>
            <w:r>
              <w:rPr>
                <w:spacing w:val="3"/>
              </w:rPr>
              <w:t>对未按有关</w:t>
            </w:r>
            <w:r>
              <w:rPr>
                <w:spacing w:val="1"/>
              </w:rPr>
              <w:t xml:space="preserve"> </w:t>
            </w:r>
            <w:r>
              <w:rPr>
                <w:spacing w:val="3"/>
              </w:rPr>
              <w:t>规定取得船</w:t>
            </w:r>
            <w:r>
              <w:rPr>
                <w:spacing w:val="1"/>
              </w:rPr>
              <w:t xml:space="preserve"> </w:t>
            </w:r>
            <w:r>
              <w:rPr>
                <w:spacing w:val="3"/>
              </w:rPr>
              <w:t>舶识别号或</w:t>
            </w:r>
            <w:r>
              <w:rPr>
                <w:spacing w:val="1"/>
              </w:rPr>
              <w:t xml:space="preserve"> </w:t>
            </w:r>
            <w:r>
              <w:rPr>
                <w:spacing w:val="3"/>
              </w:rPr>
              <w:t>者未将船舶</w:t>
            </w:r>
            <w:r>
              <w:rPr>
                <w:spacing w:val="1"/>
              </w:rPr>
              <w:t xml:space="preserve"> </w:t>
            </w:r>
            <w:r>
              <w:rPr>
                <w:spacing w:val="3"/>
              </w:rPr>
              <w:t>识别号在船</w:t>
            </w:r>
            <w:r>
              <w:rPr>
                <w:spacing w:val="1"/>
              </w:rPr>
              <w:t xml:space="preserve"> </w:t>
            </w:r>
            <w:r>
              <w:rPr>
                <w:spacing w:val="3"/>
              </w:rPr>
              <w:t>体上永久标</w:t>
            </w:r>
            <w:r>
              <w:rPr>
                <w:spacing w:val="1"/>
              </w:rPr>
              <w:t xml:space="preserve"> </w:t>
            </w:r>
            <w:r>
              <w:rPr>
                <w:spacing w:val="3"/>
              </w:rPr>
              <w:t>记或者粘贴</w:t>
            </w:r>
            <w:r>
              <w:rPr>
                <w:spacing w:val="1"/>
              </w:rPr>
              <w:t xml:space="preserve"> </w:t>
            </w:r>
            <w:r>
              <w:rPr>
                <w:spacing w:val="3"/>
              </w:rPr>
              <w:t>行为的行政</w:t>
            </w:r>
            <w:r>
              <w:rPr>
                <w:spacing w:val="1"/>
              </w:rPr>
              <w:t xml:space="preserve"> </w:t>
            </w:r>
            <w:r>
              <w:rPr>
                <w:spacing w:val="-4"/>
              </w:rPr>
              <w:t>处罚</w:t>
            </w:r>
          </w:p>
        </w:tc>
        <w:tc>
          <w:tcPr>
            <w:tcW w:w="1136" w:type="dxa"/>
            <w:vAlign w:val="top"/>
          </w:tcPr>
          <w:p w14:paraId="1F720182">
            <w:pPr>
              <w:spacing w:line="241" w:lineRule="auto"/>
              <w:rPr>
                <w:rFonts w:ascii="Arial"/>
                <w:sz w:val="21"/>
              </w:rPr>
            </w:pPr>
          </w:p>
          <w:p w14:paraId="1A112658">
            <w:pPr>
              <w:spacing w:line="241" w:lineRule="auto"/>
              <w:rPr>
                <w:rFonts w:ascii="Arial"/>
                <w:sz w:val="21"/>
              </w:rPr>
            </w:pPr>
          </w:p>
          <w:p w14:paraId="644FF9B6">
            <w:pPr>
              <w:spacing w:line="241" w:lineRule="auto"/>
              <w:rPr>
                <w:rFonts w:ascii="Arial"/>
                <w:sz w:val="21"/>
              </w:rPr>
            </w:pPr>
          </w:p>
          <w:p w14:paraId="55C0603C">
            <w:pPr>
              <w:spacing w:line="242" w:lineRule="auto"/>
              <w:rPr>
                <w:rFonts w:ascii="Arial"/>
                <w:sz w:val="21"/>
              </w:rPr>
            </w:pPr>
          </w:p>
          <w:p w14:paraId="115D536B">
            <w:pPr>
              <w:pStyle w:val="8"/>
              <w:spacing w:before="58" w:line="220" w:lineRule="auto"/>
              <w:ind w:left="114"/>
            </w:pPr>
            <w:r>
              <w:rPr>
                <w:spacing w:val="-7"/>
              </w:rPr>
              <w:t>行政处罚</w:t>
            </w:r>
          </w:p>
        </w:tc>
        <w:tc>
          <w:tcPr>
            <w:tcW w:w="8806" w:type="dxa"/>
            <w:vAlign w:val="top"/>
          </w:tcPr>
          <w:p w14:paraId="12FB4DDC">
            <w:pPr>
              <w:spacing w:line="303" w:lineRule="auto"/>
              <w:rPr>
                <w:rFonts w:ascii="Arial"/>
                <w:sz w:val="21"/>
              </w:rPr>
            </w:pPr>
          </w:p>
          <w:p w14:paraId="0F5235DD">
            <w:pPr>
              <w:spacing w:line="303" w:lineRule="auto"/>
              <w:rPr>
                <w:rFonts w:ascii="Arial"/>
                <w:sz w:val="21"/>
              </w:rPr>
            </w:pPr>
          </w:p>
          <w:p w14:paraId="65C439E5">
            <w:pPr>
              <w:pStyle w:val="8"/>
              <w:spacing w:before="59" w:line="219" w:lineRule="auto"/>
              <w:ind w:left="473"/>
            </w:pPr>
            <w:r>
              <w:rPr>
                <w:b/>
                <w:bCs/>
                <w:spacing w:val="-3"/>
              </w:rPr>
              <w:t>《中华人民共和国船舶识别号管理规定》（中华人民共和国交通</w:t>
            </w:r>
            <w:r>
              <w:rPr>
                <w:b/>
                <w:bCs/>
                <w:spacing w:val="-4"/>
              </w:rPr>
              <w:t>运输部令2010年第4号）</w:t>
            </w:r>
          </w:p>
          <w:p w14:paraId="672685FE">
            <w:pPr>
              <w:pStyle w:val="8"/>
              <w:spacing w:before="26" w:line="233" w:lineRule="auto"/>
              <w:ind w:left="112" w:right="101" w:firstLine="355"/>
            </w:pPr>
            <w:r>
              <w:rPr>
                <w:spacing w:val="-1"/>
              </w:rPr>
              <w:t>第十条  船舶识别号在船体上的永久性标记采用宋体，船长20米及以上的船舶，船舶识别号字符高度为</w:t>
            </w:r>
            <w:r>
              <w:rPr>
                <w:spacing w:val="-2"/>
              </w:rPr>
              <w:t>10</w:t>
            </w:r>
            <w:r>
              <w:t xml:space="preserve"> </w:t>
            </w:r>
            <w:r>
              <w:rPr>
                <w:spacing w:val="-3"/>
              </w:rPr>
              <w:t>厘米，船长20米以下的船舶字符高度为5厘米。</w:t>
            </w:r>
          </w:p>
          <w:p w14:paraId="49B5C1B2">
            <w:pPr>
              <w:pStyle w:val="8"/>
              <w:spacing w:before="24" w:line="233" w:lineRule="auto"/>
              <w:ind w:left="112" w:right="103" w:firstLine="355"/>
            </w:pPr>
            <w:r>
              <w:rPr>
                <w:spacing w:val="-1"/>
              </w:rPr>
              <w:t>第十四条  未按本规定取得船舶识别号或者未将船舶识别号在船体上永久标记或者粘贴的，由</w:t>
            </w:r>
            <w:r>
              <w:rPr>
                <w:spacing w:val="-2"/>
              </w:rPr>
              <w:t>海事管理机</w:t>
            </w:r>
            <w:r>
              <w:t xml:space="preserve"> </w:t>
            </w:r>
            <w:r>
              <w:rPr>
                <w:spacing w:val="-2"/>
              </w:rPr>
              <w:t>构责令改正，并可处3000元以上3万元以下的</w:t>
            </w:r>
            <w:r>
              <w:rPr>
                <w:spacing w:val="-3"/>
              </w:rPr>
              <w:t>罚款。</w:t>
            </w:r>
          </w:p>
        </w:tc>
        <w:tc>
          <w:tcPr>
            <w:tcW w:w="1043" w:type="dxa"/>
            <w:vAlign w:val="top"/>
          </w:tcPr>
          <w:p w14:paraId="6306FDC6">
            <w:pPr>
              <w:spacing w:line="281" w:lineRule="auto"/>
              <w:rPr>
                <w:rFonts w:ascii="Arial"/>
                <w:sz w:val="21"/>
              </w:rPr>
            </w:pPr>
          </w:p>
          <w:p w14:paraId="76B335F7">
            <w:pPr>
              <w:spacing w:line="282" w:lineRule="auto"/>
              <w:rPr>
                <w:rFonts w:ascii="Arial"/>
                <w:sz w:val="21"/>
              </w:rPr>
            </w:pPr>
          </w:p>
          <w:p w14:paraId="2ADAD9CC">
            <w:pPr>
              <w:spacing w:line="282" w:lineRule="auto"/>
              <w:rPr>
                <w:rFonts w:ascii="Arial"/>
                <w:sz w:val="21"/>
              </w:rPr>
            </w:pPr>
          </w:p>
          <w:p w14:paraId="045F7586">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79A570E7">
            <w:pPr>
              <w:spacing w:line="241" w:lineRule="auto"/>
              <w:rPr>
                <w:rFonts w:ascii="Arial"/>
                <w:sz w:val="21"/>
              </w:rPr>
            </w:pPr>
          </w:p>
          <w:p w14:paraId="5EBCEC80">
            <w:pPr>
              <w:spacing w:line="241" w:lineRule="auto"/>
              <w:rPr>
                <w:rFonts w:ascii="Arial"/>
                <w:sz w:val="21"/>
              </w:rPr>
            </w:pPr>
          </w:p>
          <w:p w14:paraId="7A7022B8">
            <w:pPr>
              <w:spacing w:line="241" w:lineRule="auto"/>
              <w:rPr>
                <w:rFonts w:ascii="Arial"/>
                <w:sz w:val="21"/>
              </w:rPr>
            </w:pPr>
          </w:p>
          <w:p w14:paraId="42358223">
            <w:pPr>
              <w:spacing w:line="242" w:lineRule="auto"/>
              <w:rPr>
                <w:rFonts w:ascii="Arial"/>
                <w:sz w:val="21"/>
              </w:rPr>
            </w:pPr>
          </w:p>
          <w:p w14:paraId="557D318D">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45FD74C">
            <w:pPr>
              <w:spacing w:line="304" w:lineRule="auto"/>
              <w:rPr>
                <w:rFonts w:ascii="Arial"/>
                <w:sz w:val="21"/>
              </w:rPr>
            </w:pPr>
          </w:p>
          <w:p w14:paraId="352ADFEE">
            <w:pPr>
              <w:spacing w:line="304" w:lineRule="auto"/>
              <w:rPr>
                <w:rFonts w:ascii="Arial"/>
                <w:sz w:val="21"/>
              </w:rPr>
            </w:pPr>
          </w:p>
          <w:p w14:paraId="0CC6E389">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239DD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3" w:hRule="atLeast"/>
        </w:trPr>
        <w:tc>
          <w:tcPr>
            <w:tcW w:w="641" w:type="dxa"/>
            <w:vAlign w:val="top"/>
          </w:tcPr>
          <w:p w14:paraId="0F3E806D">
            <w:pPr>
              <w:spacing w:line="358" w:lineRule="auto"/>
              <w:rPr>
                <w:rFonts w:ascii="Arial"/>
                <w:sz w:val="21"/>
              </w:rPr>
            </w:pPr>
          </w:p>
          <w:p w14:paraId="62A7FC92">
            <w:pPr>
              <w:spacing w:line="358" w:lineRule="auto"/>
              <w:rPr>
                <w:rFonts w:ascii="Arial"/>
                <w:sz w:val="21"/>
              </w:rPr>
            </w:pPr>
          </w:p>
          <w:p w14:paraId="45F5DA00">
            <w:pPr>
              <w:pStyle w:val="8"/>
              <w:spacing w:before="59" w:line="183" w:lineRule="auto"/>
              <w:ind w:left="239"/>
            </w:pPr>
            <w:r>
              <w:rPr>
                <w:spacing w:val="-6"/>
              </w:rPr>
              <w:t>78</w:t>
            </w:r>
          </w:p>
        </w:tc>
        <w:tc>
          <w:tcPr>
            <w:tcW w:w="1136" w:type="dxa"/>
            <w:vAlign w:val="top"/>
          </w:tcPr>
          <w:p w14:paraId="47B10367">
            <w:pPr>
              <w:spacing w:line="329" w:lineRule="auto"/>
              <w:rPr>
                <w:rFonts w:ascii="Arial"/>
                <w:sz w:val="21"/>
              </w:rPr>
            </w:pPr>
          </w:p>
          <w:p w14:paraId="50AC2DCD">
            <w:pPr>
              <w:pStyle w:val="8"/>
              <w:spacing w:before="59"/>
              <w:ind w:left="109" w:right="48"/>
              <w:jc w:val="both"/>
            </w:pPr>
            <w:r>
              <w:rPr>
                <w:spacing w:val="-18"/>
              </w:rPr>
              <w:t>对渡船船员、</w:t>
            </w:r>
            <w:r>
              <w:t xml:space="preserve"> </w:t>
            </w:r>
            <w:r>
              <w:rPr>
                <w:spacing w:val="3"/>
              </w:rPr>
              <w:t>渡工酒后驾</w:t>
            </w:r>
            <w:r>
              <w:rPr>
                <w:spacing w:val="1"/>
              </w:rPr>
              <w:t xml:space="preserve"> </w:t>
            </w:r>
            <w:r>
              <w:rPr>
                <w:spacing w:val="3"/>
              </w:rPr>
              <w:t>船行为的行</w:t>
            </w:r>
            <w:r>
              <w:rPr>
                <w:spacing w:val="1"/>
              </w:rPr>
              <w:t xml:space="preserve"> </w:t>
            </w:r>
            <w:r>
              <w:rPr>
                <w:spacing w:val="-4"/>
              </w:rPr>
              <w:t>政处罚</w:t>
            </w:r>
          </w:p>
        </w:tc>
        <w:tc>
          <w:tcPr>
            <w:tcW w:w="1136" w:type="dxa"/>
            <w:vAlign w:val="top"/>
          </w:tcPr>
          <w:p w14:paraId="4A142585">
            <w:pPr>
              <w:spacing w:line="344" w:lineRule="auto"/>
              <w:rPr>
                <w:rFonts w:ascii="Arial"/>
                <w:sz w:val="21"/>
              </w:rPr>
            </w:pPr>
          </w:p>
          <w:p w14:paraId="020AA1E9">
            <w:pPr>
              <w:spacing w:line="344" w:lineRule="auto"/>
              <w:rPr>
                <w:rFonts w:ascii="Arial"/>
                <w:sz w:val="21"/>
              </w:rPr>
            </w:pPr>
          </w:p>
          <w:p w14:paraId="75CCF787">
            <w:pPr>
              <w:pStyle w:val="8"/>
              <w:spacing w:before="58" w:line="220" w:lineRule="auto"/>
              <w:ind w:left="114"/>
            </w:pPr>
            <w:r>
              <w:rPr>
                <w:spacing w:val="-7"/>
              </w:rPr>
              <w:t>行政处罚</w:t>
            </w:r>
          </w:p>
        </w:tc>
        <w:tc>
          <w:tcPr>
            <w:tcW w:w="8806" w:type="dxa"/>
            <w:vAlign w:val="top"/>
          </w:tcPr>
          <w:p w14:paraId="15CD266E">
            <w:pPr>
              <w:spacing w:line="330" w:lineRule="auto"/>
              <w:rPr>
                <w:rFonts w:ascii="Arial"/>
                <w:sz w:val="21"/>
              </w:rPr>
            </w:pPr>
          </w:p>
          <w:p w14:paraId="0D9B3D19">
            <w:pPr>
              <w:pStyle w:val="8"/>
              <w:spacing w:before="58" w:line="219" w:lineRule="auto"/>
              <w:ind w:left="473"/>
            </w:pPr>
            <w:r>
              <w:rPr>
                <w:b/>
                <w:bCs/>
                <w:spacing w:val="-4"/>
              </w:rPr>
              <w:t>《内河渡口渡船安全管理规定》（交通运输部令2014年第9号）</w:t>
            </w:r>
          </w:p>
          <w:p w14:paraId="62431E9A">
            <w:pPr>
              <w:pStyle w:val="8"/>
              <w:spacing w:before="27" w:line="219" w:lineRule="auto"/>
              <w:ind w:left="468"/>
            </w:pPr>
            <w:r>
              <w:rPr>
                <w:spacing w:val="-2"/>
              </w:rPr>
              <w:t>第二十五条第（三）项  渡运时，船员、渡工应当遵守下列规定</w:t>
            </w:r>
            <w:r>
              <w:rPr>
                <w:spacing w:val="-12"/>
              </w:rPr>
              <w:t>：（</w:t>
            </w:r>
            <w:r>
              <w:rPr>
                <w:spacing w:val="-2"/>
              </w:rPr>
              <w:t>三）不得酒后驾驶，不得疲劳值班。</w:t>
            </w:r>
          </w:p>
          <w:p w14:paraId="7FE17CD8">
            <w:pPr>
              <w:pStyle w:val="8"/>
              <w:spacing w:before="25" w:line="233" w:lineRule="auto"/>
              <w:ind w:left="111" w:right="103" w:firstLine="356"/>
            </w:pPr>
            <w:r>
              <w:rPr>
                <w:spacing w:val="-1"/>
              </w:rPr>
              <w:t>第四十二条  违反第二十五条规定，渡船船员、渡工酒后驾船的，由海事管理机构对船员予以</w:t>
            </w:r>
            <w:r>
              <w:rPr>
                <w:spacing w:val="-2"/>
              </w:rPr>
              <w:t>警告，情节</w:t>
            </w:r>
            <w:r>
              <w:t xml:space="preserve"> </w:t>
            </w:r>
            <w:r>
              <w:rPr>
                <w:spacing w:val="-2"/>
              </w:rPr>
              <w:t>严重的处500元以下罚款，并对渡船所有人或者经营人处2000元以下罚款。</w:t>
            </w:r>
          </w:p>
        </w:tc>
        <w:tc>
          <w:tcPr>
            <w:tcW w:w="1043" w:type="dxa"/>
            <w:vAlign w:val="top"/>
          </w:tcPr>
          <w:p w14:paraId="0EB13F44">
            <w:pPr>
              <w:spacing w:line="284" w:lineRule="auto"/>
              <w:rPr>
                <w:rFonts w:ascii="Arial"/>
                <w:sz w:val="21"/>
              </w:rPr>
            </w:pPr>
          </w:p>
          <w:p w14:paraId="0DC5600F">
            <w:pPr>
              <w:spacing w:line="284" w:lineRule="auto"/>
              <w:rPr>
                <w:rFonts w:ascii="Arial"/>
                <w:sz w:val="21"/>
              </w:rPr>
            </w:pPr>
          </w:p>
          <w:p w14:paraId="3E2D2B52">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08BD3E07">
            <w:pPr>
              <w:spacing w:line="344" w:lineRule="auto"/>
              <w:rPr>
                <w:rFonts w:ascii="Arial"/>
                <w:sz w:val="21"/>
              </w:rPr>
            </w:pPr>
          </w:p>
          <w:p w14:paraId="0710A109">
            <w:pPr>
              <w:spacing w:line="344" w:lineRule="auto"/>
              <w:rPr>
                <w:rFonts w:ascii="Arial"/>
                <w:sz w:val="21"/>
              </w:rPr>
            </w:pPr>
          </w:p>
          <w:p w14:paraId="37175542">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F06CE07">
            <w:pPr>
              <w:spacing w:line="331" w:lineRule="auto"/>
              <w:rPr>
                <w:rFonts w:ascii="Arial"/>
                <w:sz w:val="21"/>
              </w:rPr>
            </w:pPr>
          </w:p>
          <w:p w14:paraId="76E00524">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5CFFA918">
      <w:pPr>
        <w:pStyle w:val="2"/>
      </w:pPr>
    </w:p>
    <w:p w14:paraId="2525B4E1">
      <w:pPr>
        <w:sectPr>
          <w:footerReference r:id="rId204" w:type="default"/>
          <w:pgSz w:w="16839" w:h="11906"/>
          <w:pgMar w:top="1012" w:right="788" w:bottom="967" w:left="787" w:header="0" w:footer="768" w:gutter="0"/>
          <w:cols w:space="720" w:num="1"/>
        </w:sectPr>
      </w:pPr>
    </w:p>
    <w:p w14:paraId="100D4065">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279BF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41" w:type="dxa"/>
            <w:vMerge w:val="restart"/>
            <w:tcBorders>
              <w:bottom w:val="nil"/>
            </w:tcBorders>
            <w:vAlign w:val="top"/>
          </w:tcPr>
          <w:p w14:paraId="2D80A702">
            <w:pPr>
              <w:pStyle w:val="8"/>
              <w:spacing w:before="267" w:line="221" w:lineRule="auto"/>
              <w:ind w:left="142"/>
            </w:pPr>
            <w:r>
              <w:rPr>
                <w:b/>
                <w:bCs/>
                <w:spacing w:val="-4"/>
              </w:rPr>
              <w:t>序号</w:t>
            </w:r>
          </w:p>
        </w:tc>
        <w:tc>
          <w:tcPr>
            <w:tcW w:w="1136" w:type="dxa"/>
            <w:vMerge w:val="restart"/>
            <w:tcBorders>
              <w:bottom w:val="nil"/>
            </w:tcBorders>
            <w:vAlign w:val="top"/>
          </w:tcPr>
          <w:p w14:paraId="57174AB3">
            <w:pPr>
              <w:pStyle w:val="8"/>
              <w:spacing w:before="267" w:line="220" w:lineRule="auto"/>
              <w:ind w:left="208"/>
            </w:pPr>
            <w:r>
              <w:rPr>
                <w:b/>
                <w:bCs/>
                <w:spacing w:val="-4"/>
              </w:rPr>
              <w:t>事项名称</w:t>
            </w:r>
          </w:p>
        </w:tc>
        <w:tc>
          <w:tcPr>
            <w:tcW w:w="1136" w:type="dxa"/>
            <w:vMerge w:val="restart"/>
            <w:tcBorders>
              <w:bottom w:val="nil"/>
            </w:tcBorders>
            <w:vAlign w:val="top"/>
          </w:tcPr>
          <w:p w14:paraId="3B86793E">
            <w:pPr>
              <w:pStyle w:val="8"/>
              <w:spacing w:before="267" w:line="219" w:lineRule="auto"/>
              <w:ind w:left="210"/>
            </w:pPr>
            <w:r>
              <w:rPr>
                <w:b/>
                <w:bCs/>
                <w:spacing w:val="-4"/>
              </w:rPr>
              <w:t>职权类型</w:t>
            </w:r>
          </w:p>
        </w:tc>
        <w:tc>
          <w:tcPr>
            <w:tcW w:w="8806" w:type="dxa"/>
            <w:vMerge w:val="restart"/>
            <w:tcBorders>
              <w:bottom w:val="nil"/>
            </w:tcBorders>
            <w:vAlign w:val="top"/>
          </w:tcPr>
          <w:p w14:paraId="23B84B47">
            <w:pPr>
              <w:pStyle w:val="8"/>
              <w:spacing w:before="267" w:line="219" w:lineRule="auto"/>
              <w:ind w:left="4050"/>
            </w:pPr>
            <w:r>
              <w:rPr>
                <w:b/>
                <w:bCs/>
                <w:spacing w:val="-5"/>
              </w:rPr>
              <w:t>实施依据</w:t>
            </w:r>
          </w:p>
        </w:tc>
        <w:tc>
          <w:tcPr>
            <w:tcW w:w="3538" w:type="dxa"/>
            <w:gridSpan w:val="3"/>
            <w:vAlign w:val="top"/>
          </w:tcPr>
          <w:p w14:paraId="2014A3BA">
            <w:pPr>
              <w:pStyle w:val="8"/>
              <w:spacing w:before="92" w:line="220" w:lineRule="auto"/>
              <w:ind w:left="1415"/>
            </w:pPr>
            <w:r>
              <w:rPr>
                <w:b/>
                <w:bCs/>
                <w:spacing w:val="-5"/>
              </w:rPr>
              <w:t>实施主体</w:t>
            </w:r>
          </w:p>
        </w:tc>
      </w:tr>
      <w:tr w14:paraId="418AC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34F505EB">
            <w:pPr>
              <w:rPr>
                <w:rFonts w:ascii="Arial"/>
                <w:sz w:val="21"/>
              </w:rPr>
            </w:pPr>
          </w:p>
        </w:tc>
        <w:tc>
          <w:tcPr>
            <w:tcW w:w="1136" w:type="dxa"/>
            <w:vMerge w:val="continue"/>
            <w:tcBorders>
              <w:top w:val="nil"/>
            </w:tcBorders>
            <w:vAlign w:val="top"/>
          </w:tcPr>
          <w:p w14:paraId="54E6D9EC">
            <w:pPr>
              <w:rPr>
                <w:rFonts w:ascii="Arial"/>
                <w:sz w:val="21"/>
              </w:rPr>
            </w:pPr>
          </w:p>
        </w:tc>
        <w:tc>
          <w:tcPr>
            <w:tcW w:w="1136" w:type="dxa"/>
            <w:vMerge w:val="continue"/>
            <w:tcBorders>
              <w:top w:val="nil"/>
            </w:tcBorders>
            <w:vAlign w:val="top"/>
          </w:tcPr>
          <w:p w14:paraId="3DF14078">
            <w:pPr>
              <w:rPr>
                <w:rFonts w:ascii="Arial"/>
                <w:sz w:val="21"/>
              </w:rPr>
            </w:pPr>
          </w:p>
        </w:tc>
        <w:tc>
          <w:tcPr>
            <w:tcW w:w="8806" w:type="dxa"/>
            <w:vMerge w:val="continue"/>
            <w:tcBorders>
              <w:top w:val="nil"/>
            </w:tcBorders>
            <w:vAlign w:val="top"/>
          </w:tcPr>
          <w:p w14:paraId="45A2EAC8">
            <w:pPr>
              <w:rPr>
                <w:rFonts w:ascii="Arial"/>
                <w:sz w:val="21"/>
              </w:rPr>
            </w:pPr>
          </w:p>
        </w:tc>
        <w:tc>
          <w:tcPr>
            <w:tcW w:w="1043" w:type="dxa"/>
            <w:vAlign w:val="top"/>
          </w:tcPr>
          <w:p w14:paraId="4B1F29F9">
            <w:pPr>
              <w:pStyle w:val="8"/>
              <w:spacing w:before="87" w:line="219" w:lineRule="auto"/>
              <w:ind w:left="171"/>
            </w:pPr>
            <w:r>
              <w:rPr>
                <w:b/>
                <w:bCs/>
                <w:spacing w:val="-5"/>
              </w:rPr>
              <w:t>责任部门</w:t>
            </w:r>
          </w:p>
        </w:tc>
        <w:tc>
          <w:tcPr>
            <w:tcW w:w="1448" w:type="dxa"/>
            <w:vAlign w:val="top"/>
          </w:tcPr>
          <w:p w14:paraId="43C4AFF2">
            <w:pPr>
              <w:pStyle w:val="8"/>
              <w:spacing w:before="87" w:line="219" w:lineRule="auto"/>
              <w:ind w:left="187"/>
            </w:pPr>
            <w:r>
              <w:rPr>
                <w:b/>
                <w:bCs/>
                <w:spacing w:val="-3"/>
              </w:rPr>
              <w:t>第一责任层级</w:t>
            </w:r>
          </w:p>
        </w:tc>
        <w:tc>
          <w:tcPr>
            <w:tcW w:w="1047" w:type="dxa"/>
            <w:vAlign w:val="top"/>
          </w:tcPr>
          <w:p w14:paraId="1E4B8FA7">
            <w:pPr>
              <w:pStyle w:val="8"/>
              <w:spacing w:before="87" w:line="219" w:lineRule="auto"/>
              <w:ind w:left="165"/>
            </w:pPr>
            <w:r>
              <w:rPr>
                <w:b/>
                <w:bCs/>
                <w:spacing w:val="-4"/>
              </w:rPr>
              <w:t>承办机构</w:t>
            </w:r>
          </w:p>
        </w:tc>
      </w:tr>
      <w:tr w14:paraId="7AB6A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1" w:hRule="atLeast"/>
        </w:trPr>
        <w:tc>
          <w:tcPr>
            <w:tcW w:w="641" w:type="dxa"/>
            <w:vAlign w:val="top"/>
          </w:tcPr>
          <w:p w14:paraId="04C4933E">
            <w:pPr>
              <w:spacing w:line="269" w:lineRule="auto"/>
              <w:rPr>
                <w:rFonts w:ascii="Arial"/>
                <w:sz w:val="21"/>
              </w:rPr>
            </w:pPr>
          </w:p>
          <w:p w14:paraId="2446D08C">
            <w:pPr>
              <w:spacing w:line="269" w:lineRule="auto"/>
              <w:rPr>
                <w:rFonts w:ascii="Arial"/>
                <w:sz w:val="21"/>
              </w:rPr>
            </w:pPr>
          </w:p>
          <w:p w14:paraId="39253480">
            <w:pPr>
              <w:spacing w:line="269" w:lineRule="auto"/>
              <w:rPr>
                <w:rFonts w:ascii="Arial"/>
                <w:sz w:val="21"/>
              </w:rPr>
            </w:pPr>
          </w:p>
          <w:p w14:paraId="0F73DC03">
            <w:pPr>
              <w:spacing w:line="270" w:lineRule="auto"/>
              <w:rPr>
                <w:rFonts w:ascii="Arial"/>
                <w:sz w:val="21"/>
              </w:rPr>
            </w:pPr>
          </w:p>
          <w:p w14:paraId="17D91F94">
            <w:pPr>
              <w:spacing w:line="270" w:lineRule="auto"/>
              <w:rPr>
                <w:rFonts w:ascii="Arial"/>
                <w:sz w:val="21"/>
              </w:rPr>
            </w:pPr>
          </w:p>
          <w:p w14:paraId="6835C425">
            <w:pPr>
              <w:spacing w:line="270" w:lineRule="auto"/>
              <w:rPr>
                <w:rFonts w:ascii="Arial"/>
                <w:sz w:val="21"/>
              </w:rPr>
            </w:pPr>
          </w:p>
          <w:p w14:paraId="61D4C0F3">
            <w:pPr>
              <w:pStyle w:val="8"/>
              <w:spacing w:before="59" w:line="183" w:lineRule="auto"/>
              <w:ind w:left="239"/>
            </w:pPr>
            <w:r>
              <w:rPr>
                <w:spacing w:val="-6"/>
              </w:rPr>
              <w:t>79</w:t>
            </w:r>
          </w:p>
        </w:tc>
        <w:tc>
          <w:tcPr>
            <w:tcW w:w="1136" w:type="dxa"/>
            <w:vAlign w:val="top"/>
          </w:tcPr>
          <w:p w14:paraId="0F68B761">
            <w:pPr>
              <w:spacing w:line="291" w:lineRule="auto"/>
              <w:rPr>
                <w:rFonts w:ascii="Arial"/>
                <w:sz w:val="21"/>
              </w:rPr>
            </w:pPr>
          </w:p>
          <w:p w14:paraId="7CC40AA3">
            <w:pPr>
              <w:spacing w:line="291" w:lineRule="auto"/>
              <w:rPr>
                <w:rFonts w:ascii="Arial"/>
                <w:sz w:val="21"/>
              </w:rPr>
            </w:pPr>
          </w:p>
          <w:p w14:paraId="28D101B0">
            <w:pPr>
              <w:spacing w:line="291" w:lineRule="auto"/>
              <w:rPr>
                <w:rFonts w:ascii="Arial"/>
                <w:sz w:val="21"/>
              </w:rPr>
            </w:pPr>
          </w:p>
          <w:p w14:paraId="31EFFC04">
            <w:pPr>
              <w:pStyle w:val="8"/>
              <w:spacing w:before="59" w:line="243" w:lineRule="auto"/>
              <w:ind w:left="109" w:right="104"/>
              <w:jc w:val="both"/>
            </w:pPr>
            <w:r>
              <w:rPr>
                <w:spacing w:val="3"/>
              </w:rPr>
              <w:t>对渡船未持</w:t>
            </w:r>
            <w:r>
              <w:rPr>
                <w:spacing w:val="1"/>
              </w:rPr>
              <w:t xml:space="preserve"> </w:t>
            </w:r>
            <w:r>
              <w:rPr>
                <w:spacing w:val="3"/>
              </w:rPr>
              <w:t>有相应的危</w:t>
            </w:r>
            <w:r>
              <w:t xml:space="preserve"> </w:t>
            </w:r>
            <w:r>
              <w:rPr>
                <w:spacing w:val="3"/>
              </w:rPr>
              <w:t>险货物适装</w:t>
            </w:r>
            <w:r>
              <w:t xml:space="preserve"> </w:t>
            </w:r>
            <w:r>
              <w:rPr>
                <w:spacing w:val="3"/>
              </w:rPr>
              <w:t>证书载运危</w:t>
            </w:r>
            <w:r>
              <w:t xml:space="preserve"> </w:t>
            </w:r>
            <w:r>
              <w:rPr>
                <w:spacing w:val="3"/>
              </w:rPr>
              <w:t>险货物等行</w:t>
            </w:r>
            <w:r>
              <w:t xml:space="preserve"> </w:t>
            </w:r>
            <w:r>
              <w:rPr>
                <w:spacing w:val="3"/>
              </w:rPr>
              <w:t>为的行政处</w:t>
            </w:r>
            <w:r>
              <w:t xml:space="preserve"> 罚</w:t>
            </w:r>
          </w:p>
        </w:tc>
        <w:tc>
          <w:tcPr>
            <w:tcW w:w="1136" w:type="dxa"/>
            <w:vAlign w:val="top"/>
          </w:tcPr>
          <w:p w14:paraId="7DF40D21">
            <w:pPr>
              <w:spacing w:line="264" w:lineRule="auto"/>
              <w:rPr>
                <w:rFonts w:ascii="Arial"/>
                <w:sz w:val="21"/>
              </w:rPr>
            </w:pPr>
          </w:p>
          <w:p w14:paraId="14F527CD">
            <w:pPr>
              <w:spacing w:line="265" w:lineRule="auto"/>
              <w:rPr>
                <w:rFonts w:ascii="Arial"/>
                <w:sz w:val="21"/>
              </w:rPr>
            </w:pPr>
          </w:p>
          <w:p w14:paraId="38653CF2">
            <w:pPr>
              <w:spacing w:line="265" w:lineRule="auto"/>
              <w:rPr>
                <w:rFonts w:ascii="Arial"/>
                <w:sz w:val="21"/>
              </w:rPr>
            </w:pPr>
          </w:p>
          <w:p w14:paraId="52529EA0">
            <w:pPr>
              <w:spacing w:line="265" w:lineRule="auto"/>
              <w:rPr>
                <w:rFonts w:ascii="Arial"/>
                <w:sz w:val="21"/>
              </w:rPr>
            </w:pPr>
          </w:p>
          <w:p w14:paraId="5479B4A7">
            <w:pPr>
              <w:spacing w:line="265" w:lineRule="auto"/>
              <w:rPr>
                <w:rFonts w:ascii="Arial"/>
                <w:sz w:val="21"/>
              </w:rPr>
            </w:pPr>
          </w:p>
          <w:p w14:paraId="780A1E8F">
            <w:pPr>
              <w:spacing w:line="265" w:lineRule="auto"/>
              <w:rPr>
                <w:rFonts w:ascii="Arial"/>
                <w:sz w:val="21"/>
              </w:rPr>
            </w:pPr>
          </w:p>
          <w:p w14:paraId="6E0EBE85">
            <w:pPr>
              <w:pStyle w:val="8"/>
              <w:spacing w:before="58" w:line="220" w:lineRule="auto"/>
              <w:ind w:left="114"/>
            </w:pPr>
            <w:r>
              <w:rPr>
                <w:spacing w:val="-7"/>
              </w:rPr>
              <w:t>行政处罚</w:t>
            </w:r>
          </w:p>
        </w:tc>
        <w:tc>
          <w:tcPr>
            <w:tcW w:w="8806" w:type="dxa"/>
            <w:vAlign w:val="top"/>
          </w:tcPr>
          <w:p w14:paraId="28FE2572">
            <w:pPr>
              <w:pStyle w:val="8"/>
              <w:spacing w:before="44" w:line="219" w:lineRule="auto"/>
              <w:ind w:left="473"/>
            </w:pPr>
            <w:r>
              <w:rPr>
                <w:b/>
                <w:bCs/>
                <w:spacing w:val="-4"/>
              </w:rPr>
              <w:t>《内河渡口渡船安全管理规定》（交通运输部令2014年第9号）</w:t>
            </w:r>
          </w:p>
          <w:p w14:paraId="529DBC28">
            <w:pPr>
              <w:pStyle w:val="8"/>
              <w:spacing w:before="16" w:line="219" w:lineRule="auto"/>
              <w:ind w:left="465"/>
            </w:pPr>
            <w:r>
              <w:rPr>
                <w:spacing w:val="-2"/>
              </w:rPr>
              <w:t>第二十一条  渡船载运危险货物或者载运装载危险货物的车辆的，应当持有船舶载运危险货物适</w:t>
            </w:r>
            <w:r>
              <w:rPr>
                <w:spacing w:val="-3"/>
              </w:rPr>
              <w:t>装证书。</w:t>
            </w:r>
          </w:p>
          <w:p w14:paraId="6CC3D5AA">
            <w:pPr>
              <w:pStyle w:val="8"/>
              <w:spacing w:before="15" w:line="227" w:lineRule="auto"/>
              <w:ind w:left="120" w:right="103" w:firstLine="345"/>
            </w:pPr>
            <w:r>
              <w:rPr>
                <w:spacing w:val="-1"/>
              </w:rPr>
              <w:t>第三十一条  装载危险货物的车辆过渡时，车辆驾驶员或者押运人员应当向渡口运营人主动告知所装</w:t>
            </w:r>
            <w:r>
              <w:rPr>
                <w:spacing w:val="-2"/>
              </w:rPr>
              <w:t>载危</w:t>
            </w:r>
            <w:r>
              <w:t xml:space="preserve"> </w:t>
            </w:r>
            <w:r>
              <w:rPr>
                <w:spacing w:val="-3"/>
              </w:rPr>
              <w:t>险货物的种类和危害特征，以及需要采取的安全措施。</w:t>
            </w:r>
          </w:p>
          <w:p w14:paraId="2591311C">
            <w:pPr>
              <w:pStyle w:val="8"/>
              <w:spacing w:before="18" w:line="227" w:lineRule="auto"/>
              <w:ind w:left="110" w:right="103" w:firstLine="355"/>
            </w:pPr>
            <w:r>
              <w:rPr>
                <w:spacing w:val="-1"/>
              </w:rPr>
              <w:t>渡船载运装载危险货物车辆，应当检查车辆是否持有与运输的危险货物类别、项别或者品名相符的</w:t>
            </w:r>
            <w:r>
              <w:rPr>
                <w:spacing w:val="-2"/>
              </w:rPr>
              <w:t>《道路</w:t>
            </w:r>
            <w:r>
              <w:t xml:space="preserve"> </w:t>
            </w:r>
            <w:r>
              <w:rPr>
                <w:spacing w:val="-2"/>
              </w:rPr>
              <w:t>运输证》。车辆所载货物应当与船舶适装证书相符。渡船应当按照有关规定对危险货物积</w:t>
            </w:r>
            <w:r>
              <w:rPr>
                <w:spacing w:val="-3"/>
              </w:rPr>
              <w:t>载隔离。</w:t>
            </w:r>
          </w:p>
          <w:p w14:paraId="4FC5666D">
            <w:pPr>
              <w:pStyle w:val="8"/>
              <w:spacing w:before="17" w:line="229" w:lineRule="auto"/>
              <w:ind w:left="111" w:right="103" w:firstLine="354"/>
            </w:pPr>
            <w:r>
              <w:rPr>
                <w:spacing w:val="-1"/>
              </w:rPr>
              <w:t>渡船不得同时渡运旅客和危险货物。渡船载运装载危险货物的车辆时，除船员以外，随车人员总数</w:t>
            </w:r>
            <w:r>
              <w:rPr>
                <w:spacing w:val="-2"/>
              </w:rPr>
              <w:t>不得超</w:t>
            </w:r>
            <w:r>
              <w:t xml:space="preserve"> </w:t>
            </w:r>
            <w:r>
              <w:rPr>
                <w:spacing w:val="-3"/>
              </w:rPr>
              <w:t>过12人。</w:t>
            </w:r>
          </w:p>
          <w:p w14:paraId="61D40ADF">
            <w:pPr>
              <w:pStyle w:val="8"/>
              <w:spacing w:before="11" w:line="219" w:lineRule="auto"/>
              <w:ind w:left="466"/>
            </w:pPr>
            <w:r>
              <w:rPr>
                <w:spacing w:val="-3"/>
              </w:rPr>
              <w:t>严禁任何人隐瞒、伪装、偷运各种危险品、污染危害性货物过渡。</w:t>
            </w:r>
          </w:p>
          <w:p w14:paraId="1F3925C3">
            <w:pPr>
              <w:pStyle w:val="8"/>
              <w:spacing w:before="17" w:line="228" w:lineRule="auto"/>
              <w:ind w:left="112" w:right="103" w:firstLine="353"/>
            </w:pPr>
            <w:r>
              <w:rPr>
                <w:spacing w:val="-5"/>
              </w:rPr>
              <w:t>渡船不得运输法律、法规以及交通运输部规定禁止运输的货物，不得载运装载有危险货物而未持有相应《道</w:t>
            </w:r>
            <w:r>
              <w:rPr>
                <w:spacing w:val="6"/>
              </w:rPr>
              <w:t xml:space="preserve"> </w:t>
            </w:r>
            <w:r>
              <w:rPr>
                <w:spacing w:val="-3"/>
              </w:rPr>
              <w:t>路运输证》的车辆。</w:t>
            </w:r>
          </w:p>
          <w:p w14:paraId="3A67EE29">
            <w:pPr>
              <w:pStyle w:val="8"/>
              <w:spacing w:before="16" w:line="230" w:lineRule="auto"/>
              <w:ind w:left="110" w:right="31" w:firstLine="355"/>
              <w:jc w:val="both"/>
            </w:pPr>
            <w:r>
              <w:rPr>
                <w:spacing w:val="-1"/>
              </w:rPr>
              <w:t>第四十三条  违反第二十一条、第三十一条规定，有以下违法行为的，由海事管理机构责令改正，并</w:t>
            </w:r>
            <w:r>
              <w:rPr>
                <w:spacing w:val="-2"/>
              </w:rPr>
              <w:t>对渡</w:t>
            </w:r>
            <w:r>
              <w:t xml:space="preserve">  </w:t>
            </w:r>
            <w:r>
              <w:rPr>
                <w:spacing w:val="-1"/>
              </w:rPr>
              <w:t>船所有人或者经营人处2000元以下的罚款</w:t>
            </w:r>
            <w:r>
              <w:rPr>
                <w:spacing w:val="-29"/>
              </w:rPr>
              <w:t>：（</w:t>
            </w:r>
            <w:r>
              <w:rPr>
                <w:spacing w:val="-1"/>
              </w:rPr>
              <w:t>一）渡船未持有相应的危险货物适装证书载运危险货物的</w:t>
            </w:r>
            <w:r>
              <w:rPr>
                <w:spacing w:val="-29"/>
              </w:rPr>
              <w:t>；（</w:t>
            </w:r>
            <w:r>
              <w:rPr>
                <w:spacing w:val="-2"/>
              </w:rPr>
              <w:t>二）</w:t>
            </w:r>
            <w:r>
              <w:rPr>
                <w:spacing w:val="3"/>
              </w:rPr>
              <w:t xml:space="preserve"> </w:t>
            </w:r>
            <w:r>
              <w:t>渡船未持有相应的危险货物适装证书载运装载</w:t>
            </w:r>
            <w:r>
              <w:rPr>
                <w:spacing w:val="-1"/>
              </w:rPr>
              <w:t>危险货物车辆的</w:t>
            </w:r>
            <w:r>
              <w:rPr>
                <w:spacing w:val="-14"/>
              </w:rPr>
              <w:t>；（</w:t>
            </w:r>
            <w:r>
              <w:rPr>
                <w:spacing w:val="-1"/>
              </w:rPr>
              <w:t>三）渡船载运应当持有而未持有《道路运输</w:t>
            </w:r>
            <w:r>
              <w:t xml:space="preserve">  </w:t>
            </w:r>
            <w:r>
              <w:rPr>
                <w:spacing w:val="-1"/>
              </w:rPr>
              <w:t>证》的车辆的</w:t>
            </w:r>
            <w:r>
              <w:rPr>
                <w:spacing w:val="-16"/>
              </w:rPr>
              <w:t>；（</w:t>
            </w:r>
            <w:r>
              <w:rPr>
                <w:spacing w:val="-1"/>
              </w:rPr>
              <w:t>四）渡船同时载运旅客和危险货物过</w:t>
            </w:r>
            <w:r>
              <w:rPr>
                <w:spacing w:val="-2"/>
              </w:rPr>
              <w:t>渡的。</w:t>
            </w:r>
          </w:p>
        </w:tc>
        <w:tc>
          <w:tcPr>
            <w:tcW w:w="1043" w:type="dxa"/>
            <w:vAlign w:val="top"/>
          </w:tcPr>
          <w:p w14:paraId="767A06EE">
            <w:pPr>
              <w:spacing w:line="244" w:lineRule="auto"/>
              <w:rPr>
                <w:rFonts w:ascii="Arial"/>
                <w:sz w:val="21"/>
              </w:rPr>
            </w:pPr>
          </w:p>
          <w:p w14:paraId="7BB63B25">
            <w:pPr>
              <w:spacing w:line="245" w:lineRule="auto"/>
              <w:rPr>
                <w:rFonts w:ascii="Arial"/>
                <w:sz w:val="21"/>
              </w:rPr>
            </w:pPr>
          </w:p>
          <w:p w14:paraId="59664C32">
            <w:pPr>
              <w:spacing w:line="245" w:lineRule="auto"/>
              <w:rPr>
                <w:rFonts w:ascii="Arial"/>
                <w:sz w:val="21"/>
              </w:rPr>
            </w:pPr>
          </w:p>
          <w:p w14:paraId="125AE823">
            <w:pPr>
              <w:spacing w:line="245" w:lineRule="auto"/>
              <w:rPr>
                <w:rFonts w:ascii="Arial"/>
                <w:sz w:val="21"/>
              </w:rPr>
            </w:pPr>
          </w:p>
          <w:p w14:paraId="1745E689">
            <w:pPr>
              <w:spacing w:line="245" w:lineRule="auto"/>
              <w:rPr>
                <w:rFonts w:ascii="Arial"/>
                <w:sz w:val="21"/>
              </w:rPr>
            </w:pPr>
          </w:p>
          <w:p w14:paraId="5D783801">
            <w:pPr>
              <w:spacing w:line="245" w:lineRule="auto"/>
              <w:rPr>
                <w:rFonts w:ascii="Arial"/>
                <w:sz w:val="21"/>
              </w:rPr>
            </w:pPr>
          </w:p>
          <w:p w14:paraId="373EB7A6">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6C75DFDA">
            <w:pPr>
              <w:spacing w:line="264" w:lineRule="auto"/>
              <w:rPr>
                <w:rFonts w:ascii="Arial"/>
                <w:sz w:val="21"/>
              </w:rPr>
            </w:pPr>
          </w:p>
          <w:p w14:paraId="48A81A96">
            <w:pPr>
              <w:spacing w:line="265" w:lineRule="auto"/>
              <w:rPr>
                <w:rFonts w:ascii="Arial"/>
                <w:sz w:val="21"/>
              </w:rPr>
            </w:pPr>
          </w:p>
          <w:p w14:paraId="3F13F4F3">
            <w:pPr>
              <w:spacing w:line="265" w:lineRule="auto"/>
              <w:rPr>
                <w:rFonts w:ascii="Arial"/>
                <w:sz w:val="21"/>
              </w:rPr>
            </w:pPr>
          </w:p>
          <w:p w14:paraId="39B04A12">
            <w:pPr>
              <w:spacing w:line="265" w:lineRule="auto"/>
              <w:rPr>
                <w:rFonts w:ascii="Arial"/>
                <w:sz w:val="21"/>
              </w:rPr>
            </w:pPr>
          </w:p>
          <w:p w14:paraId="50E1172E">
            <w:pPr>
              <w:spacing w:line="265" w:lineRule="auto"/>
              <w:rPr>
                <w:rFonts w:ascii="Arial"/>
                <w:sz w:val="21"/>
              </w:rPr>
            </w:pPr>
          </w:p>
          <w:p w14:paraId="7902038B">
            <w:pPr>
              <w:spacing w:line="265" w:lineRule="auto"/>
              <w:rPr>
                <w:rFonts w:ascii="Arial"/>
                <w:sz w:val="21"/>
              </w:rPr>
            </w:pPr>
          </w:p>
          <w:p w14:paraId="259FAD72">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9340F82">
            <w:pPr>
              <w:spacing w:line="246" w:lineRule="auto"/>
              <w:rPr>
                <w:rFonts w:ascii="Arial"/>
                <w:sz w:val="21"/>
              </w:rPr>
            </w:pPr>
          </w:p>
          <w:p w14:paraId="53722596">
            <w:pPr>
              <w:spacing w:line="246" w:lineRule="auto"/>
              <w:rPr>
                <w:rFonts w:ascii="Arial"/>
                <w:sz w:val="21"/>
              </w:rPr>
            </w:pPr>
          </w:p>
          <w:p w14:paraId="66DF525D">
            <w:pPr>
              <w:spacing w:line="246" w:lineRule="auto"/>
              <w:rPr>
                <w:rFonts w:ascii="Arial"/>
                <w:sz w:val="21"/>
              </w:rPr>
            </w:pPr>
          </w:p>
          <w:p w14:paraId="63E087F9">
            <w:pPr>
              <w:spacing w:line="247" w:lineRule="auto"/>
              <w:rPr>
                <w:rFonts w:ascii="Arial"/>
                <w:sz w:val="21"/>
              </w:rPr>
            </w:pPr>
          </w:p>
          <w:p w14:paraId="6ACAC514">
            <w:pPr>
              <w:spacing w:line="247" w:lineRule="auto"/>
              <w:rPr>
                <w:rFonts w:ascii="Arial"/>
                <w:sz w:val="21"/>
              </w:rPr>
            </w:pPr>
          </w:p>
          <w:p w14:paraId="015DD597">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C606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5" w:hRule="atLeast"/>
        </w:trPr>
        <w:tc>
          <w:tcPr>
            <w:tcW w:w="641" w:type="dxa"/>
            <w:vAlign w:val="top"/>
          </w:tcPr>
          <w:p w14:paraId="266ABE3E">
            <w:pPr>
              <w:spacing w:line="273" w:lineRule="auto"/>
              <w:rPr>
                <w:rFonts w:ascii="Arial"/>
                <w:sz w:val="21"/>
              </w:rPr>
            </w:pPr>
          </w:p>
          <w:p w14:paraId="7388C7EC">
            <w:pPr>
              <w:spacing w:line="274" w:lineRule="auto"/>
              <w:rPr>
                <w:rFonts w:ascii="Arial"/>
                <w:sz w:val="21"/>
              </w:rPr>
            </w:pPr>
          </w:p>
          <w:p w14:paraId="71DFF5F1">
            <w:pPr>
              <w:pStyle w:val="8"/>
              <w:spacing w:before="59" w:line="183" w:lineRule="auto"/>
              <w:ind w:left="235"/>
            </w:pPr>
            <w:r>
              <w:rPr>
                <w:spacing w:val="-4"/>
              </w:rPr>
              <w:t>80</w:t>
            </w:r>
          </w:p>
        </w:tc>
        <w:tc>
          <w:tcPr>
            <w:tcW w:w="1136" w:type="dxa"/>
            <w:vAlign w:val="top"/>
          </w:tcPr>
          <w:p w14:paraId="59871C2D">
            <w:pPr>
              <w:pStyle w:val="8"/>
              <w:spacing w:before="99" w:line="242" w:lineRule="auto"/>
              <w:ind w:left="110" w:right="104" w:hanging="1"/>
              <w:jc w:val="both"/>
            </w:pPr>
            <w:r>
              <w:rPr>
                <w:spacing w:val="3"/>
              </w:rPr>
              <w:t>对渡船不具</w:t>
            </w:r>
            <w:r>
              <w:rPr>
                <w:spacing w:val="1"/>
              </w:rPr>
              <w:t xml:space="preserve"> </w:t>
            </w:r>
            <w:r>
              <w:rPr>
                <w:spacing w:val="3"/>
              </w:rPr>
              <w:t>备夜航条件</w:t>
            </w:r>
            <w:r>
              <w:t xml:space="preserve"> </w:t>
            </w:r>
            <w:r>
              <w:rPr>
                <w:spacing w:val="3"/>
              </w:rPr>
              <w:t>擅自夜航行</w:t>
            </w:r>
            <w:r>
              <w:t xml:space="preserve"> </w:t>
            </w:r>
            <w:r>
              <w:rPr>
                <w:spacing w:val="3"/>
              </w:rPr>
              <w:t>为的行政处</w:t>
            </w:r>
            <w:r>
              <w:t xml:space="preserve"> 罚</w:t>
            </w:r>
          </w:p>
        </w:tc>
        <w:tc>
          <w:tcPr>
            <w:tcW w:w="1136" w:type="dxa"/>
            <w:vAlign w:val="top"/>
          </w:tcPr>
          <w:p w14:paraId="3E10215E">
            <w:pPr>
              <w:spacing w:line="259" w:lineRule="auto"/>
              <w:rPr>
                <w:rFonts w:ascii="Arial"/>
                <w:sz w:val="21"/>
              </w:rPr>
            </w:pPr>
          </w:p>
          <w:p w14:paraId="29EC7D91">
            <w:pPr>
              <w:spacing w:line="260" w:lineRule="auto"/>
              <w:rPr>
                <w:rFonts w:ascii="Arial"/>
                <w:sz w:val="21"/>
              </w:rPr>
            </w:pPr>
          </w:p>
          <w:p w14:paraId="424553AF">
            <w:pPr>
              <w:pStyle w:val="8"/>
              <w:spacing w:before="59" w:line="220" w:lineRule="auto"/>
              <w:ind w:left="114"/>
            </w:pPr>
            <w:r>
              <w:rPr>
                <w:spacing w:val="-7"/>
              </w:rPr>
              <w:t>行政处罚</w:t>
            </w:r>
          </w:p>
        </w:tc>
        <w:tc>
          <w:tcPr>
            <w:tcW w:w="8806" w:type="dxa"/>
            <w:vAlign w:val="top"/>
          </w:tcPr>
          <w:p w14:paraId="04DDFEEA">
            <w:pPr>
              <w:pStyle w:val="8"/>
              <w:spacing w:before="100" w:line="219" w:lineRule="auto"/>
              <w:ind w:left="473"/>
            </w:pPr>
            <w:r>
              <w:rPr>
                <w:b/>
                <w:bCs/>
                <w:spacing w:val="-4"/>
              </w:rPr>
              <w:t>《内河渡口渡船安全管理规定》（交通运输部令2014年第9号）</w:t>
            </w:r>
          </w:p>
          <w:p w14:paraId="41EE9A17">
            <w:pPr>
              <w:pStyle w:val="8"/>
              <w:spacing w:before="26" w:line="233" w:lineRule="auto"/>
              <w:ind w:left="113" w:right="103" w:firstLine="354"/>
            </w:pPr>
            <w:r>
              <w:rPr>
                <w:spacing w:val="-1"/>
              </w:rPr>
              <w:t>第十八条  渡船夜航应当按照《内河船舶法定检验技术规则》、《内河小型船舶法定检验技术</w:t>
            </w:r>
            <w:r>
              <w:rPr>
                <w:spacing w:val="-2"/>
              </w:rPr>
              <w:t>规则》配备</w:t>
            </w:r>
            <w:r>
              <w:t xml:space="preserve"> </w:t>
            </w:r>
            <w:r>
              <w:rPr>
                <w:spacing w:val="-2"/>
              </w:rPr>
              <w:t>夜间航 行设备和信号设备。高速客船从事渡运服务以及不具备夜航技术条件的</w:t>
            </w:r>
            <w:r>
              <w:rPr>
                <w:spacing w:val="-3"/>
              </w:rPr>
              <w:t>渡船，不得夜航。</w:t>
            </w:r>
          </w:p>
          <w:p w14:paraId="29782C88">
            <w:pPr>
              <w:pStyle w:val="8"/>
              <w:spacing w:before="26" w:line="233" w:lineRule="auto"/>
              <w:ind w:left="110" w:right="103" w:firstLine="357"/>
            </w:pPr>
            <w:r>
              <w:rPr>
                <w:spacing w:val="-1"/>
              </w:rPr>
              <w:t>第四十四条  违反第十八条规定，渡船不具备夜航条件擅自夜航的，由海事管理机构责令改正</w:t>
            </w:r>
            <w:r>
              <w:rPr>
                <w:spacing w:val="-2"/>
              </w:rPr>
              <w:t>，并可对渡</w:t>
            </w:r>
            <w:r>
              <w:t xml:space="preserve"> </w:t>
            </w:r>
            <w:r>
              <w:rPr>
                <w:spacing w:val="-2"/>
              </w:rPr>
              <w:t>船所有人或者经营人处以2000元以下罚款。</w:t>
            </w:r>
          </w:p>
        </w:tc>
        <w:tc>
          <w:tcPr>
            <w:tcW w:w="1043" w:type="dxa"/>
            <w:vAlign w:val="top"/>
          </w:tcPr>
          <w:p w14:paraId="21104ED0">
            <w:pPr>
              <w:spacing w:line="399" w:lineRule="auto"/>
              <w:rPr>
                <w:rFonts w:ascii="Arial"/>
                <w:sz w:val="21"/>
              </w:rPr>
            </w:pPr>
          </w:p>
          <w:p w14:paraId="284EFF09">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13EF4E8E">
            <w:pPr>
              <w:spacing w:line="259" w:lineRule="auto"/>
              <w:rPr>
                <w:rFonts w:ascii="Arial"/>
                <w:sz w:val="21"/>
              </w:rPr>
            </w:pPr>
          </w:p>
          <w:p w14:paraId="68D315D4">
            <w:pPr>
              <w:spacing w:line="260" w:lineRule="auto"/>
              <w:rPr>
                <w:rFonts w:ascii="Arial"/>
                <w:sz w:val="21"/>
              </w:rPr>
            </w:pPr>
          </w:p>
          <w:p w14:paraId="7D8CB4C1">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09E23DB">
            <w:pPr>
              <w:pStyle w:val="8"/>
              <w:spacing w:before="222"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51450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641" w:type="dxa"/>
            <w:vAlign w:val="top"/>
          </w:tcPr>
          <w:p w14:paraId="64CCE735">
            <w:pPr>
              <w:spacing w:line="415" w:lineRule="auto"/>
              <w:rPr>
                <w:rFonts w:ascii="Arial"/>
                <w:sz w:val="21"/>
              </w:rPr>
            </w:pPr>
          </w:p>
          <w:p w14:paraId="61009DC8">
            <w:pPr>
              <w:pStyle w:val="8"/>
              <w:spacing w:before="58" w:line="184" w:lineRule="auto"/>
              <w:ind w:left="235"/>
            </w:pPr>
            <w:r>
              <w:rPr>
                <w:spacing w:val="-4"/>
              </w:rPr>
              <w:t>81</w:t>
            </w:r>
          </w:p>
        </w:tc>
        <w:tc>
          <w:tcPr>
            <w:tcW w:w="1136" w:type="dxa"/>
            <w:vAlign w:val="top"/>
          </w:tcPr>
          <w:p w14:paraId="42C3F812">
            <w:pPr>
              <w:pStyle w:val="8"/>
              <w:spacing w:before="87"/>
              <w:ind w:left="109" w:right="104"/>
              <w:jc w:val="both"/>
            </w:pPr>
            <w:r>
              <w:rPr>
                <w:spacing w:val="3"/>
              </w:rPr>
              <w:t>对渡船混载</w:t>
            </w:r>
            <w:r>
              <w:rPr>
                <w:spacing w:val="1"/>
              </w:rPr>
              <w:t xml:space="preserve"> </w:t>
            </w:r>
            <w:r>
              <w:rPr>
                <w:spacing w:val="3"/>
              </w:rPr>
              <w:t>乘客与大型</w:t>
            </w:r>
            <w:r>
              <w:rPr>
                <w:spacing w:val="1"/>
              </w:rPr>
              <w:t xml:space="preserve"> </w:t>
            </w:r>
            <w:r>
              <w:rPr>
                <w:spacing w:val="3"/>
              </w:rPr>
              <w:t>牲畜行为的</w:t>
            </w:r>
            <w:r>
              <w:rPr>
                <w:spacing w:val="1"/>
              </w:rPr>
              <w:t xml:space="preserve"> </w:t>
            </w:r>
            <w:r>
              <w:rPr>
                <w:spacing w:val="-4"/>
              </w:rPr>
              <w:t>行政处罚</w:t>
            </w:r>
          </w:p>
        </w:tc>
        <w:tc>
          <w:tcPr>
            <w:tcW w:w="1136" w:type="dxa"/>
            <w:vAlign w:val="top"/>
          </w:tcPr>
          <w:p w14:paraId="49CBF4FA">
            <w:pPr>
              <w:spacing w:line="387" w:lineRule="auto"/>
              <w:rPr>
                <w:rFonts w:ascii="Arial"/>
                <w:sz w:val="21"/>
              </w:rPr>
            </w:pPr>
          </w:p>
          <w:p w14:paraId="53228575">
            <w:pPr>
              <w:pStyle w:val="8"/>
              <w:spacing w:before="59" w:line="220" w:lineRule="auto"/>
              <w:ind w:left="114"/>
            </w:pPr>
            <w:r>
              <w:rPr>
                <w:spacing w:val="-7"/>
              </w:rPr>
              <w:t>行政处罚</w:t>
            </w:r>
          </w:p>
        </w:tc>
        <w:tc>
          <w:tcPr>
            <w:tcW w:w="8806" w:type="dxa"/>
            <w:vAlign w:val="top"/>
          </w:tcPr>
          <w:p w14:paraId="24118F6C">
            <w:pPr>
              <w:pStyle w:val="8"/>
              <w:spacing w:before="88" w:line="219" w:lineRule="auto"/>
              <w:ind w:left="473"/>
            </w:pPr>
            <w:r>
              <w:rPr>
                <w:b/>
                <w:bCs/>
                <w:spacing w:val="-4"/>
              </w:rPr>
              <w:t>《内河渡口渡船安全管理规定》（交通运输部令2014年第9号）</w:t>
            </w:r>
          </w:p>
          <w:p w14:paraId="01232E4B">
            <w:pPr>
              <w:pStyle w:val="8"/>
              <w:spacing w:before="27" w:line="219" w:lineRule="auto"/>
              <w:ind w:left="468"/>
            </w:pPr>
            <w:r>
              <w:rPr>
                <w:spacing w:val="-2"/>
              </w:rPr>
              <w:t>第二十九条第三款  乘客与大型牲畜不得</w:t>
            </w:r>
            <w:r>
              <w:rPr>
                <w:spacing w:val="-3"/>
              </w:rPr>
              <w:t>混载。</w:t>
            </w:r>
          </w:p>
          <w:p w14:paraId="45FD5CE5">
            <w:pPr>
              <w:pStyle w:val="8"/>
              <w:spacing w:before="26" w:line="232" w:lineRule="auto"/>
              <w:ind w:left="112" w:right="103" w:firstLine="356"/>
            </w:pPr>
            <w:r>
              <w:rPr>
                <w:spacing w:val="-1"/>
              </w:rPr>
              <w:t>第四十五条  违反第二十九条规定，渡船混载乘客与大型牲畜的，由海事管理机构对渡船所有</w:t>
            </w:r>
            <w:r>
              <w:rPr>
                <w:spacing w:val="-2"/>
              </w:rPr>
              <w:t>人或者经营</w:t>
            </w:r>
            <w:r>
              <w:t xml:space="preserve"> </w:t>
            </w:r>
            <w:r>
              <w:rPr>
                <w:spacing w:val="-2"/>
              </w:rPr>
              <w:t>人予以警告，情节严重的，处 1000元以下罚</w:t>
            </w:r>
            <w:r>
              <w:rPr>
                <w:spacing w:val="-3"/>
              </w:rPr>
              <w:t>款。</w:t>
            </w:r>
          </w:p>
        </w:tc>
        <w:tc>
          <w:tcPr>
            <w:tcW w:w="1043" w:type="dxa"/>
            <w:vAlign w:val="top"/>
          </w:tcPr>
          <w:p w14:paraId="64359655">
            <w:pPr>
              <w:spacing w:line="268" w:lineRule="auto"/>
              <w:rPr>
                <w:rFonts w:ascii="Arial"/>
                <w:sz w:val="21"/>
              </w:rPr>
            </w:pPr>
          </w:p>
          <w:p w14:paraId="01FF532A">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C5A45D7">
            <w:pPr>
              <w:spacing w:line="388" w:lineRule="auto"/>
              <w:rPr>
                <w:rFonts w:ascii="Arial"/>
                <w:sz w:val="21"/>
              </w:rPr>
            </w:pPr>
          </w:p>
          <w:p w14:paraId="15C1AC59">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DF5AA35">
            <w:pPr>
              <w:pStyle w:val="8"/>
              <w:spacing w:before="90"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28A0E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9" w:hRule="atLeast"/>
        </w:trPr>
        <w:tc>
          <w:tcPr>
            <w:tcW w:w="641" w:type="dxa"/>
            <w:vAlign w:val="top"/>
          </w:tcPr>
          <w:p w14:paraId="4FA8E1CE">
            <w:pPr>
              <w:spacing w:line="263" w:lineRule="auto"/>
              <w:rPr>
                <w:rFonts w:ascii="Arial"/>
                <w:sz w:val="21"/>
              </w:rPr>
            </w:pPr>
          </w:p>
          <w:p w14:paraId="3E5A8E0D">
            <w:pPr>
              <w:spacing w:line="264" w:lineRule="auto"/>
              <w:rPr>
                <w:rFonts w:ascii="Arial"/>
                <w:sz w:val="21"/>
              </w:rPr>
            </w:pPr>
          </w:p>
          <w:p w14:paraId="2C711C7A">
            <w:pPr>
              <w:spacing w:line="264" w:lineRule="auto"/>
              <w:rPr>
                <w:rFonts w:ascii="Arial"/>
                <w:sz w:val="21"/>
              </w:rPr>
            </w:pPr>
          </w:p>
          <w:p w14:paraId="3832FDD2">
            <w:pPr>
              <w:spacing w:line="264" w:lineRule="auto"/>
              <w:rPr>
                <w:rFonts w:ascii="Arial"/>
                <w:sz w:val="21"/>
              </w:rPr>
            </w:pPr>
          </w:p>
          <w:p w14:paraId="67F3553F">
            <w:pPr>
              <w:spacing w:line="264" w:lineRule="auto"/>
              <w:rPr>
                <w:rFonts w:ascii="Arial"/>
                <w:sz w:val="21"/>
              </w:rPr>
            </w:pPr>
          </w:p>
          <w:p w14:paraId="43AEE343">
            <w:pPr>
              <w:pStyle w:val="8"/>
              <w:spacing w:before="58" w:line="183" w:lineRule="auto"/>
              <w:ind w:left="235"/>
            </w:pPr>
            <w:r>
              <w:rPr>
                <w:spacing w:val="-4"/>
              </w:rPr>
              <w:t>82</w:t>
            </w:r>
          </w:p>
        </w:tc>
        <w:tc>
          <w:tcPr>
            <w:tcW w:w="1136" w:type="dxa"/>
            <w:vAlign w:val="top"/>
          </w:tcPr>
          <w:p w14:paraId="7CAA47ED">
            <w:pPr>
              <w:pStyle w:val="8"/>
              <w:spacing w:before="158" w:line="244" w:lineRule="auto"/>
              <w:ind w:left="109" w:right="104"/>
              <w:jc w:val="both"/>
            </w:pPr>
            <w:r>
              <w:rPr>
                <w:spacing w:val="3"/>
              </w:rPr>
              <w:t>对未按规定</w:t>
            </w:r>
            <w:r>
              <w:rPr>
                <w:spacing w:val="1"/>
              </w:rPr>
              <w:t xml:space="preserve"> </w:t>
            </w:r>
            <w:r>
              <w:rPr>
                <w:spacing w:val="3"/>
              </w:rPr>
              <w:t>取得安全营</w:t>
            </w:r>
            <w:r>
              <w:t xml:space="preserve"> </w:t>
            </w:r>
            <w:r>
              <w:rPr>
                <w:spacing w:val="3"/>
              </w:rPr>
              <w:t>运与防污染</w:t>
            </w:r>
            <w:r>
              <w:t xml:space="preserve"> </w:t>
            </w:r>
            <w:r>
              <w:rPr>
                <w:spacing w:val="3"/>
              </w:rPr>
              <w:t>管理体系符</w:t>
            </w:r>
            <w:r>
              <w:t xml:space="preserve"> </w:t>
            </w:r>
            <w:r>
              <w:rPr>
                <w:spacing w:val="3"/>
              </w:rPr>
              <w:t>合证明或者</w:t>
            </w:r>
            <w:r>
              <w:t xml:space="preserve"> </w:t>
            </w:r>
            <w:r>
              <w:rPr>
                <w:spacing w:val="3"/>
              </w:rPr>
              <w:t>临时符合证</w:t>
            </w:r>
            <w:r>
              <w:t xml:space="preserve"> </w:t>
            </w:r>
            <w:r>
              <w:rPr>
                <w:spacing w:val="3"/>
              </w:rPr>
              <w:t>明从事航行</w:t>
            </w:r>
            <w:r>
              <w:t xml:space="preserve"> </w:t>
            </w:r>
            <w:r>
              <w:rPr>
                <w:spacing w:val="3"/>
              </w:rPr>
              <w:t>或者其他有</w:t>
            </w:r>
            <w:r>
              <w:t xml:space="preserve"> </w:t>
            </w:r>
            <w:r>
              <w:rPr>
                <w:spacing w:val="3"/>
              </w:rPr>
              <w:t>关活动等行</w:t>
            </w:r>
            <w:r>
              <w:t xml:space="preserve"> </w:t>
            </w:r>
            <w:r>
              <w:rPr>
                <w:spacing w:val="3"/>
              </w:rPr>
              <w:t>为的行政处</w:t>
            </w:r>
            <w:r>
              <w:t xml:space="preserve"> 罚</w:t>
            </w:r>
          </w:p>
        </w:tc>
        <w:tc>
          <w:tcPr>
            <w:tcW w:w="1136" w:type="dxa"/>
            <w:vAlign w:val="top"/>
          </w:tcPr>
          <w:p w14:paraId="02B4EDDC">
            <w:pPr>
              <w:spacing w:line="258" w:lineRule="auto"/>
              <w:rPr>
                <w:rFonts w:ascii="Arial"/>
                <w:sz w:val="21"/>
              </w:rPr>
            </w:pPr>
          </w:p>
          <w:p w14:paraId="5330AE32">
            <w:pPr>
              <w:spacing w:line="258" w:lineRule="auto"/>
              <w:rPr>
                <w:rFonts w:ascii="Arial"/>
                <w:sz w:val="21"/>
              </w:rPr>
            </w:pPr>
          </w:p>
          <w:p w14:paraId="67699306">
            <w:pPr>
              <w:spacing w:line="258" w:lineRule="auto"/>
              <w:rPr>
                <w:rFonts w:ascii="Arial"/>
                <w:sz w:val="21"/>
              </w:rPr>
            </w:pPr>
          </w:p>
          <w:p w14:paraId="6EF36788">
            <w:pPr>
              <w:spacing w:line="258" w:lineRule="auto"/>
              <w:rPr>
                <w:rFonts w:ascii="Arial"/>
                <w:sz w:val="21"/>
              </w:rPr>
            </w:pPr>
          </w:p>
          <w:p w14:paraId="0FC31655">
            <w:pPr>
              <w:spacing w:line="259" w:lineRule="auto"/>
              <w:rPr>
                <w:rFonts w:ascii="Arial"/>
                <w:sz w:val="21"/>
              </w:rPr>
            </w:pPr>
          </w:p>
          <w:p w14:paraId="2CE035B5">
            <w:pPr>
              <w:pStyle w:val="8"/>
              <w:spacing w:before="58" w:line="220" w:lineRule="auto"/>
              <w:ind w:left="114"/>
            </w:pPr>
            <w:r>
              <w:rPr>
                <w:spacing w:val="-7"/>
              </w:rPr>
              <w:t>行政处罚</w:t>
            </w:r>
          </w:p>
        </w:tc>
        <w:tc>
          <w:tcPr>
            <w:tcW w:w="8806" w:type="dxa"/>
            <w:vAlign w:val="top"/>
          </w:tcPr>
          <w:p w14:paraId="3D84A6BF">
            <w:pPr>
              <w:spacing w:line="260" w:lineRule="auto"/>
              <w:rPr>
                <w:rFonts w:ascii="Arial"/>
                <w:sz w:val="21"/>
              </w:rPr>
            </w:pPr>
          </w:p>
          <w:p w14:paraId="5D7D26C8">
            <w:pPr>
              <w:pStyle w:val="8"/>
              <w:spacing w:before="58" w:line="219" w:lineRule="auto"/>
              <w:ind w:left="476"/>
            </w:pPr>
            <w:r>
              <w:rPr>
                <w:b/>
                <w:bCs/>
                <w:spacing w:val="-3"/>
              </w:rPr>
              <w:t>《中华人民共和国内河海事行政处罚规定》（交通运</w:t>
            </w:r>
            <w:r>
              <w:rPr>
                <w:b/>
                <w:bCs/>
                <w:spacing w:val="-4"/>
              </w:rPr>
              <w:t>输部令2022年第28号）</w:t>
            </w:r>
          </w:p>
          <w:p w14:paraId="32E29BB0">
            <w:pPr>
              <w:pStyle w:val="8"/>
              <w:spacing w:before="18" w:line="232" w:lineRule="auto"/>
              <w:ind w:left="110" w:right="31" w:firstLine="357"/>
              <w:jc w:val="both"/>
            </w:pPr>
            <w:r>
              <w:rPr>
                <w:spacing w:val="-1"/>
              </w:rPr>
              <w:t>第五条  违反船舶所有人、经营人安全营运管理秩序，有下列行为之一的，对船舶所有人或者</w:t>
            </w:r>
            <w:r>
              <w:rPr>
                <w:spacing w:val="-2"/>
              </w:rPr>
              <w:t>船舶经营人</w:t>
            </w:r>
            <w:r>
              <w:t xml:space="preserve">  </w:t>
            </w:r>
            <w:r>
              <w:rPr>
                <w:spacing w:val="-2"/>
              </w:rPr>
              <w:t>处以5000元以上3万元以下罚款</w:t>
            </w:r>
            <w:r>
              <w:rPr>
                <w:spacing w:val="-23"/>
              </w:rPr>
              <w:t>：（</w:t>
            </w:r>
            <w:r>
              <w:rPr>
                <w:spacing w:val="-2"/>
              </w:rPr>
              <w:t>一）未按规定取得安全营运与防污染管理体系符合证明或者临时符合证明从</w:t>
            </w:r>
            <w:r>
              <w:t xml:space="preserve">  </w:t>
            </w:r>
            <w:r>
              <w:rPr>
                <w:spacing w:val="-1"/>
              </w:rPr>
              <w:t>事航行或者其他有关活动</w:t>
            </w:r>
            <w:r>
              <w:rPr>
                <w:spacing w:val="-4"/>
              </w:rPr>
              <w:t>；（</w:t>
            </w:r>
            <w:r>
              <w:rPr>
                <w:spacing w:val="-1"/>
              </w:rPr>
              <w:t>二）隐瞒事实真相或者提供虚假材料或者以其他不正当手段骗取安全营运与符合</w:t>
            </w:r>
            <w:r>
              <w:t xml:space="preserve">  </w:t>
            </w:r>
            <w:r>
              <w:rPr>
                <w:spacing w:val="-2"/>
              </w:rPr>
              <w:t>证明或者临时符合证明</w:t>
            </w:r>
            <w:r>
              <w:rPr>
                <w:spacing w:val="-45"/>
                <w:w w:val="93"/>
              </w:rPr>
              <w:t>；（</w:t>
            </w:r>
            <w:r>
              <w:rPr>
                <w:spacing w:val="-2"/>
              </w:rPr>
              <w:t>三）伪造、变造安全营</w:t>
            </w:r>
            <w:r>
              <w:rPr>
                <w:spacing w:val="-3"/>
              </w:rPr>
              <w:t>运与防污染管理体系审核的符合证明或者临时符合证明</w:t>
            </w:r>
            <w:r>
              <w:rPr>
                <w:spacing w:val="-45"/>
                <w:w w:val="93"/>
              </w:rPr>
              <w:t>；（</w:t>
            </w:r>
            <w:r>
              <w:rPr>
                <w:spacing w:val="-3"/>
              </w:rPr>
              <w:t>四）</w:t>
            </w:r>
            <w:r>
              <w:rPr>
                <w:spacing w:val="6"/>
              </w:rPr>
              <w:t xml:space="preserve"> </w:t>
            </w:r>
            <w:r>
              <w:rPr>
                <w:spacing w:val="-2"/>
              </w:rPr>
              <w:t>转让、买卖、租借、冒用安全营运与防污染管理体系审核的符合证明或者临时</w:t>
            </w:r>
            <w:r>
              <w:rPr>
                <w:spacing w:val="-3"/>
              </w:rPr>
              <w:t>符合证明。</w:t>
            </w:r>
          </w:p>
          <w:p w14:paraId="27ADD337">
            <w:pPr>
              <w:pStyle w:val="8"/>
              <w:spacing w:before="18" w:line="231" w:lineRule="auto"/>
              <w:ind w:left="110" w:right="103" w:firstLine="357"/>
              <w:jc w:val="both"/>
            </w:pPr>
            <w:r>
              <w:rPr>
                <w:spacing w:val="-1"/>
              </w:rPr>
              <w:t>第七条  违反安全营运管理秩序，有下列情形之一，造成严重后果的，按以欺骗手段取得安全</w:t>
            </w:r>
            <w:r>
              <w:rPr>
                <w:spacing w:val="-2"/>
              </w:rPr>
              <w:t>营运与防污</w:t>
            </w:r>
            <w:r>
              <w:t xml:space="preserve"> </w:t>
            </w:r>
            <w:r>
              <w:rPr>
                <w:spacing w:val="-1"/>
              </w:rPr>
              <w:t>染管理体系符合证明或者临时符合证明，对船舶所有人或者船舶经营人取得的安全营运与防污染</w:t>
            </w:r>
            <w:r>
              <w:rPr>
                <w:spacing w:val="-2"/>
              </w:rPr>
              <w:t>管理体系符合</w:t>
            </w:r>
            <w:r>
              <w:t xml:space="preserve"> 证明或者临时符合证明予以撤销</w:t>
            </w:r>
            <w:r>
              <w:rPr>
                <w:spacing w:val="-9"/>
              </w:rPr>
              <w:t>：（</w:t>
            </w:r>
            <w:r>
              <w:t>一）不掌控船舶安全配员</w:t>
            </w:r>
            <w:r>
              <w:rPr>
                <w:spacing w:val="-9"/>
              </w:rPr>
              <w:t>；（</w:t>
            </w:r>
            <w:r>
              <w:t>二）不掌握船舶动态</w:t>
            </w:r>
            <w:r>
              <w:rPr>
                <w:spacing w:val="-9"/>
              </w:rPr>
              <w:t>；（</w:t>
            </w:r>
            <w:r>
              <w:t xml:space="preserve">三）不掌握船舶装 </w:t>
            </w:r>
            <w:r>
              <w:rPr>
                <w:spacing w:val="-1"/>
              </w:rPr>
              <w:t>载情况</w:t>
            </w:r>
            <w:r>
              <w:rPr>
                <w:spacing w:val="-14"/>
              </w:rPr>
              <w:t>；（</w:t>
            </w:r>
            <w:r>
              <w:rPr>
                <w:spacing w:val="-1"/>
              </w:rPr>
              <w:t>四）船舶管理人不实际履行安全管理义务</w:t>
            </w:r>
            <w:r>
              <w:rPr>
                <w:spacing w:val="-14"/>
              </w:rPr>
              <w:t>；（</w:t>
            </w:r>
            <w:r>
              <w:rPr>
                <w:spacing w:val="-1"/>
              </w:rPr>
              <w:t>五）安全管理体系运行存在其他重大问题。</w:t>
            </w:r>
          </w:p>
        </w:tc>
        <w:tc>
          <w:tcPr>
            <w:tcW w:w="1043" w:type="dxa"/>
            <w:vAlign w:val="top"/>
          </w:tcPr>
          <w:p w14:paraId="3311F411">
            <w:pPr>
              <w:spacing w:line="292" w:lineRule="auto"/>
              <w:rPr>
                <w:rFonts w:ascii="Arial"/>
                <w:sz w:val="21"/>
              </w:rPr>
            </w:pPr>
          </w:p>
          <w:p w14:paraId="0D70649A">
            <w:pPr>
              <w:spacing w:line="293" w:lineRule="auto"/>
              <w:rPr>
                <w:rFonts w:ascii="Arial"/>
                <w:sz w:val="21"/>
              </w:rPr>
            </w:pPr>
          </w:p>
          <w:p w14:paraId="3D6CB687">
            <w:pPr>
              <w:spacing w:line="293" w:lineRule="auto"/>
              <w:rPr>
                <w:rFonts w:ascii="Arial"/>
                <w:sz w:val="21"/>
              </w:rPr>
            </w:pPr>
          </w:p>
          <w:p w14:paraId="477C7780">
            <w:pPr>
              <w:spacing w:line="293" w:lineRule="auto"/>
              <w:rPr>
                <w:rFonts w:ascii="Arial"/>
                <w:sz w:val="21"/>
              </w:rPr>
            </w:pPr>
          </w:p>
          <w:p w14:paraId="42075F3E">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5204149D">
            <w:pPr>
              <w:spacing w:line="258" w:lineRule="auto"/>
              <w:rPr>
                <w:rFonts w:ascii="Arial"/>
                <w:sz w:val="21"/>
              </w:rPr>
            </w:pPr>
          </w:p>
          <w:p w14:paraId="6622F983">
            <w:pPr>
              <w:spacing w:line="258" w:lineRule="auto"/>
              <w:rPr>
                <w:rFonts w:ascii="Arial"/>
                <w:sz w:val="21"/>
              </w:rPr>
            </w:pPr>
          </w:p>
          <w:p w14:paraId="29DA8027">
            <w:pPr>
              <w:spacing w:line="258" w:lineRule="auto"/>
              <w:rPr>
                <w:rFonts w:ascii="Arial"/>
                <w:sz w:val="21"/>
              </w:rPr>
            </w:pPr>
          </w:p>
          <w:p w14:paraId="6E3E5AB7">
            <w:pPr>
              <w:spacing w:line="258" w:lineRule="auto"/>
              <w:rPr>
                <w:rFonts w:ascii="Arial"/>
                <w:sz w:val="21"/>
              </w:rPr>
            </w:pPr>
          </w:p>
          <w:p w14:paraId="3424B5FF">
            <w:pPr>
              <w:spacing w:line="259" w:lineRule="auto"/>
              <w:rPr>
                <w:rFonts w:ascii="Arial"/>
                <w:sz w:val="21"/>
              </w:rPr>
            </w:pPr>
          </w:p>
          <w:p w14:paraId="0FE068FA">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51A8A41">
            <w:pPr>
              <w:spacing w:line="311" w:lineRule="auto"/>
              <w:rPr>
                <w:rFonts w:ascii="Arial"/>
                <w:sz w:val="21"/>
              </w:rPr>
            </w:pPr>
          </w:p>
          <w:p w14:paraId="596E4233">
            <w:pPr>
              <w:spacing w:line="311" w:lineRule="auto"/>
              <w:rPr>
                <w:rFonts w:ascii="Arial"/>
                <w:sz w:val="21"/>
              </w:rPr>
            </w:pPr>
          </w:p>
          <w:p w14:paraId="4786F6F0">
            <w:pPr>
              <w:spacing w:line="312" w:lineRule="auto"/>
              <w:rPr>
                <w:rFonts w:ascii="Arial"/>
                <w:sz w:val="21"/>
              </w:rPr>
            </w:pPr>
          </w:p>
          <w:p w14:paraId="405BCC25">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30F74F32">
      <w:pPr>
        <w:pStyle w:val="2"/>
      </w:pPr>
    </w:p>
    <w:p w14:paraId="1044B8D9">
      <w:pPr>
        <w:sectPr>
          <w:footerReference r:id="rId205" w:type="default"/>
          <w:pgSz w:w="16839" w:h="11906"/>
          <w:pgMar w:top="1012" w:right="788" w:bottom="967" w:left="787" w:header="0" w:footer="768" w:gutter="0"/>
          <w:cols w:space="720" w:num="1"/>
        </w:sectPr>
      </w:pPr>
    </w:p>
    <w:p w14:paraId="6805DFFF">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D47B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662D1378">
            <w:pPr>
              <w:pStyle w:val="8"/>
              <w:spacing w:before="267" w:line="221" w:lineRule="auto"/>
              <w:ind w:left="142"/>
            </w:pPr>
            <w:r>
              <w:rPr>
                <w:b/>
                <w:bCs/>
                <w:spacing w:val="-4"/>
              </w:rPr>
              <w:t>序号</w:t>
            </w:r>
          </w:p>
        </w:tc>
        <w:tc>
          <w:tcPr>
            <w:tcW w:w="1136" w:type="dxa"/>
            <w:vMerge w:val="restart"/>
            <w:tcBorders>
              <w:bottom w:val="nil"/>
            </w:tcBorders>
            <w:vAlign w:val="top"/>
          </w:tcPr>
          <w:p w14:paraId="365BAD4F">
            <w:pPr>
              <w:pStyle w:val="8"/>
              <w:spacing w:before="267" w:line="220" w:lineRule="auto"/>
              <w:ind w:left="208"/>
            </w:pPr>
            <w:r>
              <w:rPr>
                <w:b/>
                <w:bCs/>
                <w:spacing w:val="-4"/>
              </w:rPr>
              <w:t>事项名称</w:t>
            </w:r>
          </w:p>
        </w:tc>
        <w:tc>
          <w:tcPr>
            <w:tcW w:w="1136" w:type="dxa"/>
            <w:vMerge w:val="restart"/>
            <w:tcBorders>
              <w:bottom w:val="nil"/>
            </w:tcBorders>
            <w:vAlign w:val="top"/>
          </w:tcPr>
          <w:p w14:paraId="719578B3">
            <w:pPr>
              <w:pStyle w:val="8"/>
              <w:spacing w:before="267" w:line="219" w:lineRule="auto"/>
              <w:ind w:left="210"/>
            </w:pPr>
            <w:r>
              <w:rPr>
                <w:b/>
                <w:bCs/>
                <w:spacing w:val="-4"/>
              </w:rPr>
              <w:t>职权类型</w:t>
            </w:r>
          </w:p>
        </w:tc>
        <w:tc>
          <w:tcPr>
            <w:tcW w:w="8806" w:type="dxa"/>
            <w:vMerge w:val="restart"/>
            <w:tcBorders>
              <w:bottom w:val="nil"/>
            </w:tcBorders>
            <w:vAlign w:val="top"/>
          </w:tcPr>
          <w:p w14:paraId="085DE1EA">
            <w:pPr>
              <w:pStyle w:val="8"/>
              <w:spacing w:before="267" w:line="219" w:lineRule="auto"/>
              <w:ind w:left="4050"/>
            </w:pPr>
            <w:r>
              <w:rPr>
                <w:b/>
                <w:bCs/>
                <w:spacing w:val="-5"/>
              </w:rPr>
              <w:t>实施依据</w:t>
            </w:r>
          </w:p>
        </w:tc>
        <w:tc>
          <w:tcPr>
            <w:tcW w:w="3538" w:type="dxa"/>
            <w:gridSpan w:val="3"/>
            <w:vAlign w:val="top"/>
          </w:tcPr>
          <w:p w14:paraId="5E1B76BA">
            <w:pPr>
              <w:pStyle w:val="8"/>
              <w:spacing w:before="92" w:line="220" w:lineRule="auto"/>
              <w:ind w:left="1415"/>
            </w:pPr>
            <w:r>
              <w:rPr>
                <w:b/>
                <w:bCs/>
                <w:spacing w:val="-5"/>
              </w:rPr>
              <w:t>实施主体</w:t>
            </w:r>
          </w:p>
        </w:tc>
      </w:tr>
      <w:tr w14:paraId="406E8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4F6F0FF6">
            <w:pPr>
              <w:rPr>
                <w:rFonts w:ascii="Arial"/>
                <w:sz w:val="21"/>
              </w:rPr>
            </w:pPr>
          </w:p>
        </w:tc>
        <w:tc>
          <w:tcPr>
            <w:tcW w:w="1136" w:type="dxa"/>
            <w:vMerge w:val="continue"/>
            <w:tcBorders>
              <w:top w:val="nil"/>
            </w:tcBorders>
            <w:vAlign w:val="top"/>
          </w:tcPr>
          <w:p w14:paraId="3F175D61">
            <w:pPr>
              <w:rPr>
                <w:rFonts w:ascii="Arial"/>
                <w:sz w:val="21"/>
              </w:rPr>
            </w:pPr>
          </w:p>
        </w:tc>
        <w:tc>
          <w:tcPr>
            <w:tcW w:w="1136" w:type="dxa"/>
            <w:vMerge w:val="continue"/>
            <w:tcBorders>
              <w:top w:val="nil"/>
            </w:tcBorders>
            <w:vAlign w:val="top"/>
          </w:tcPr>
          <w:p w14:paraId="464E2EDF">
            <w:pPr>
              <w:rPr>
                <w:rFonts w:ascii="Arial"/>
                <w:sz w:val="21"/>
              </w:rPr>
            </w:pPr>
          </w:p>
        </w:tc>
        <w:tc>
          <w:tcPr>
            <w:tcW w:w="8806" w:type="dxa"/>
            <w:vMerge w:val="continue"/>
            <w:tcBorders>
              <w:top w:val="nil"/>
            </w:tcBorders>
            <w:vAlign w:val="top"/>
          </w:tcPr>
          <w:p w14:paraId="1EC9F806">
            <w:pPr>
              <w:rPr>
                <w:rFonts w:ascii="Arial"/>
                <w:sz w:val="21"/>
              </w:rPr>
            </w:pPr>
          </w:p>
        </w:tc>
        <w:tc>
          <w:tcPr>
            <w:tcW w:w="1043" w:type="dxa"/>
            <w:vAlign w:val="top"/>
          </w:tcPr>
          <w:p w14:paraId="05882192">
            <w:pPr>
              <w:pStyle w:val="8"/>
              <w:spacing w:before="88" w:line="219" w:lineRule="auto"/>
              <w:ind w:left="171"/>
            </w:pPr>
            <w:r>
              <w:rPr>
                <w:b/>
                <w:bCs/>
                <w:spacing w:val="-5"/>
              </w:rPr>
              <w:t>责任部门</w:t>
            </w:r>
          </w:p>
        </w:tc>
        <w:tc>
          <w:tcPr>
            <w:tcW w:w="1448" w:type="dxa"/>
            <w:vAlign w:val="top"/>
          </w:tcPr>
          <w:p w14:paraId="6C722D91">
            <w:pPr>
              <w:pStyle w:val="8"/>
              <w:spacing w:before="88" w:line="219" w:lineRule="auto"/>
              <w:ind w:left="187"/>
            </w:pPr>
            <w:r>
              <w:rPr>
                <w:b/>
                <w:bCs/>
                <w:spacing w:val="-3"/>
              </w:rPr>
              <w:t>第一责任层级</w:t>
            </w:r>
          </w:p>
        </w:tc>
        <w:tc>
          <w:tcPr>
            <w:tcW w:w="1047" w:type="dxa"/>
            <w:vAlign w:val="top"/>
          </w:tcPr>
          <w:p w14:paraId="13A94172">
            <w:pPr>
              <w:pStyle w:val="8"/>
              <w:spacing w:before="88" w:line="219" w:lineRule="auto"/>
              <w:ind w:left="165"/>
            </w:pPr>
            <w:r>
              <w:rPr>
                <w:b/>
                <w:bCs/>
                <w:spacing w:val="-4"/>
              </w:rPr>
              <w:t>承办机构</w:t>
            </w:r>
          </w:p>
        </w:tc>
      </w:tr>
      <w:tr w14:paraId="5C5A8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9" w:hRule="atLeast"/>
        </w:trPr>
        <w:tc>
          <w:tcPr>
            <w:tcW w:w="641" w:type="dxa"/>
            <w:vAlign w:val="top"/>
          </w:tcPr>
          <w:p w14:paraId="07387C64">
            <w:pPr>
              <w:spacing w:line="245" w:lineRule="auto"/>
              <w:rPr>
                <w:rFonts w:ascii="Arial"/>
                <w:sz w:val="21"/>
              </w:rPr>
            </w:pPr>
          </w:p>
          <w:p w14:paraId="2C753644">
            <w:pPr>
              <w:spacing w:line="245" w:lineRule="auto"/>
              <w:rPr>
                <w:rFonts w:ascii="Arial"/>
                <w:sz w:val="21"/>
              </w:rPr>
            </w:pPr>
          </w:p>
          <w:p w14:paraId="54637EA8">
            <w:pPr>
              <w:spacing w:line="245" w:lineRule="auto"/>
              <w:rPr>
                <w:rFonts w:ascii="Arial"/>
                <w:sz w:val="21"/>
              </w:rPr>
            </w:pPr>
          </w:p>
          <w:p w14:paraId="6C613986">
            <w:pPr>
              <w:spacing w:line="246" w:lineRule="auto"/>
              <w:rPr>
                <w:rFonts w:ascii="Arial"/>
                <w:sz w:val="21"/>
              </w:rPr>
            </w:pPr>
          </w:p>
          <w:p w14:paraId="1DFA96A2">
            <w:pPr>
              <w:spacing w:line="246" w:lineRule="auto"/>
              <w:rPr>
                <w:rFonts w:ascii="Arial"/>
                <w:sz w:val="21"/>
              </w:rPr>
            </w:pPr>
          </w:p>
          <w:p w14:paraId="24D4DAEA">
            <w:pPr>
              <w:spacing w:line="246" w:lineRule="auto"/>
              <w:rPr>
                <w:rFonts w:ascii="Arial"/>
                <w:sz w:val="21"/>
              </w:rPr>
            </w:pPr>
          </w:p>
          <w:p w14:paraId="5BF1B7B4">
            <w:pPr>
              <w:spacing w:line="246" w:lineRule="auto"/>
              <w:rPr>
                <w:rFonts w:ascii="Arial"/>
                <w:sz w:val="21"/>
              </w:rPr>
            </w:pPr>
          </w:p>
          <w:p w14:paraId="63DFE5CE">
            <w:pPr>
              <w:spacing w:line="246" w:lineRule="auto"/>
              <w:rPr>
                <w:rFonts w:ascii="Arial"/>
                <w:sz w:val="21"/>
              </w:rPr>
            </w:pPr>
          </w:p>
          <w:p w14:paraId="6780A4D1">
            <w:pPr>
              <w:spacing w:line="246" w:lineRule="auto"/>
              <w:rPr>
                <w:rFonts w:ascii="Arial"/>
                <w:sz w:val="21"/>
              </w:rPr>
            </w:pPr>
          </w:p>
          <w:p w14:paraId="788A2E18">
            <w:pPr>
              <w:spacing w:line="246" w:lineRule="auto"/>
              <w:rPr>
                <w:rFonts w:ascii="Arial"/>
                <w:sz w:val="21"/>
              </w:rPr>
            </w:pPr>
          </w:p>
          <w:p w14:paraId="6B676E55">
            <w:pPr>
              <w:spacing w:line="246" w:lineRule="auto"/>
              <w:rPr>
                <w:rFonts w:ascii="Arial"/>
                <w:sz w:val="21"/>
              </w:rPr>
            </w:pPr>
          </w:p>
          <w:p w14:paraId="76BCD843">
            <w:pPr>
              <w:spacing w:line="246" w:lineRule="auto"/>
              <w:rPr>
                <w:rFonts w:ascii="Arial"/>
                <w:sz w:val="21"/>
              </w:rPr>
            </w:pPr>
          </w:p>
          <w:p w14:paraId="5164A79C">
            <w:pPr>
              <w:pStyle w:val="8"/>
              <w:spacing w:before="59" w:line="183" w:lineRule="auto"/>
              <w:ind w:left="235"/>
            </w:pPr>
            <w:r>
              <w:rPr>
                <w:spacing w:val="-4"/>
              </w:rPr>
              <w:t>83</w:t>
            </w:r>
          </w:p>
        </w:tc>
        <w:tc>
          <w:tcPr>
            <w:tcW w:w="1136" w:type="dxa"/>
            <w:vAlign w:val="top"/>
          </w:tcPr>
          <w:p w14:paraId="1EA39001">
            <w:pPr>
              <w:spacing w:line="248" w:lineRule="auto"/>
              <w:rPr>
                <w:rFonts w:ascii="Arial"/>
                <w:sz w:val="21"/>
              </w:rPr>
            </w:pPr>
          </w:p>
          <w:p w14:paraId="4E044919">
            <w:pPr>
              <w:spacing w:line="249" w:lineRule="auto"/>
              <w:rPr>
                <w:rFonts w:ascii="Arial"/>
                <w:sz w:val="21"/>
              </w:rPr>
            </w:pPr>
          </w:p>
          <w:p w14:paraId="10C0CF2D">
            <w:pPr>
              <w:spacing w:line="249" w:lineRule="auto"/>
              <w:rPr>
                <w:rFonts w:ascii="Arial"/>
                <w:sz w:val="21"/>
              </w:rPr>
            </w:pPr>
          </w:p>
          <w:p w14:paraId="7EEE0A17">
            <w:pPr>
              <w:spacing w:line="249" w:lineRule="auto"/>
              <w:rPr>
                <w:rFonts w:ascii="Arial"/>
                <w:sz w:val="21"/>
              </w:rPr>
            </w:pPr>
          </w:p>
          <w:p w14:paraId="19450C80">
            <w:pPr>
              <w:spacing w:line="249" w:lineRule="auto"/>
              <w:rPr>
                <w:rFonts w:ascii="Arial"/>
                <w:sz w:val="21"/>
              </w:rPr>
            </w:pPr>
          </w:p>
          <w:p w14:paraId="61B662CF">
            <w:pPr>
              <w:spacing w:line="249" w:lineRule="auto"/>
              <w:rPr>
                <w:rFonts w:ascii="Arial"/>
                <w:sz w:val="21"/>
              </w:rPr>
            </w:pPr>
          </w:p>
          <w:p w14:paraId="338F86AC">
            <w:pPr>
              <w:pStyle w:val="8"/>
              <w:spacing w:before="59" w:line="244" w:lineRule="auto"/>
              <w:ind w:left="109" w:right="48"/>
              <w:jc w:val="both"/>
            </w:pPr>
            <w:r>
              <w:rPr>
                <w:spacing w:val="-18"/>
              </w:rPr>
              <w:t>对建设单位、</w:t>
            </w:r>
            <w:r>
              <w:t xml:space="preserve"> </w:t>
            </w:r>
            <w:r>
              <w:rPr>
                <w:spacing w:val="3"/>
              </w:rPr>
              <w:t>主办单位或</w:t>
            </w:r>
            <w:r>
              <w:t xml:space="preserve"> </w:t>
            </w:r>
            <w:r>
              <w:rPr>
                <w:spacing w:val="3"/>
              </w:rPr>
              <w:t>者施工单在</w:t>
            </w:r>
            <w:r>
              <w:t xml:space="preserve"> </w:t>
            </w:r>
            <w:r>
              <w:rPr>
                <w:spacing w:val="3"/>
              </w:rPr>
              <w:t>内河通航水 域或者线上</w:t>
            </w:r>
            <w:r>
              <w:t xml:space="preserve"> </w:t>
            </w:r>
            <w:r>
              <w:rPr>
                <w:spacing w:val="3"/>
              </w:rPr>
              <w:t>开展水上水</w:t>
            </w:r>
            <w:r>
              <w:t xml:space="preserve"> </w:t>
            </w:r>
            <w:r>
              <w:rPr>
                <w:spacing w:val="3"/>
              </w:rPr>
              <w:t>下作业或者</w:t>
            </w:r>
            <w:r>
              <w:t xml:space="preserve"> </w:t>
            </w:r>
            <w:r>
              <w:rPr>
                <w:spacing w:val="3"/>
              </w:rPr>
              <w:t>活动未落实</w:t>
            </w:r>
            <w:r>
              <w:t xml:space="preserve"> </w:t>
            </w:r>
            <w:r>
              <w:rPr>
                <w:spacing w:val="3"/>
              </w:rPr>
              <w:t>安全生产主</w:t>
            </w:r>
            <w:r>
              <w:t xml:space="preserve"> </w:t>
            </w:r>
            <w:r>
              <w:rPr>
                <w:spacing w:val="3"/>
              </w:rPr>
              <w:t>体责任等行</w:t>
            </w:r>
            <w:r>
              <w:t xml:space="preserve"> </w:t>
            </w:r>
            <w:r>
              <w:rPr>
                <w:spacing w:val="3"/>
              </w:rPr>
              <w:t>为的行政处</w:t>
            </w:r>
            <w:r>
              <w:t xml:space="preserve"> 罚</w:t>
            </w:r>
          </w:p>
        </w:tc>
        <w:tc>
          <w:tcPr>
            <w:tcW w:w="1136" w:type="dxa"/>
            <w:vAlign w:val="top"/>
          </w:tcPr>
          <w:p w14:paraId="3CA6A71A">
            <w:pPr>
              <w:spacing w:line="243" w:lineRule="auto"/>
              <w:rPr>
                <w:rFonts w:ascii="Arial"/>
                <w:sz w:val="21"/>
              </w:rPr>
            </w:pPr>
          </w:p>
          <w:p w14:paraId="7DBB9C2A">
            <w:pPr>
              <w:spacing w:line="243" w:lineRule="auto"/>
              <w:rPr>
                <w:rFonts w:ascii="Arial"/>
                <w:sz w:val="21"/>
              </w:rPr>
            </w:pPr>
          </w:p>
          <w:p w14:paraId="273DF90F">
            <w:pPr>
              <w:spacing w:line="243" w:lineRule="auto"/>
              <w:rPr>
                <w:rFonts w:ascii="Arial"/>
                <w:sz w:val="21"/>
              </w:rPr>
            </w:pPr>
          </w:p>
          <w:p w14:paraId="00903934">
            <w:pPr>
              <w:spacing w:line="243" w:lineRule="auto"/>
              <w:rPr>
                <w:rFonts w:ascii="Arial"/>
                <w:sz w:val="21"/>
              </w:rPr>
            </w:pPr>
          </w:p>
          <w:p w14:paraId="0837B9AC">
            <w:pPr>
              <w:spacing w:line="243" w:lineRule="auto"/>
              <w:rPr>
                <w:rFonts w:ascii="Arial"/>
                <w:sz w:val="21"/>
              </w:rPr>
            </w:pPr>
          </w:p>
          <w:p w14:paraId="4DE37696">
            <w:pPr>
              <w:spacing w:line="243" w:lineRule="auto"/>
              <w:rPr>
                <w:rFonts w:ascii="Arial"/>
                <w:sz w:val="21"/>
              </w:rPr>
            </w:pPr>
          </w:p>
          <w:p w14:paraId="2E4ECE2B">
            <w:pPr>
              <w:spacing w:line="243" w:lineRule="auto"/>
              <w:rPr>
                <w:rFonts w:ascii="Arial"/>
                <w:sz w:val="21"/>
              </w:rPr>
            </w:pPr>
          </w:p>
          <w:p w14:paraId="7233ABA6">
            <w:pPr>
              <w:spacing w:line="244" w:lineRule="auto"/>
              <w:rPr>
                <w:rFonts w:ascii="Arial"/>
                <w:sz w:val="21"/>
              </w:rPr>
            </w:pPr>
          </w:p>
          <w:p w14:paraId="613DEF33">
            <w:pPr>
              <w:spacing w:line="244" w:lineRule="auto"/>
              <w:rPr>
                <w:rFonts w:ascii="Arial"/>
                <w:sz w:val="21"/>
              </w:rPr>
            </w:pPr>
          </w:p>
          <w:p w14:paraId="5BD02B19">
            <w:pPr>
              <w:spacing w:line="244" w:lineRule="auto"/>
              <w:rPr>
                <w:rFonts w:ascii="Arial"/>
                <w:sz w:val="21"/>
              </w:rPr>
            </w:pPr>
          </w:p>
          <w:p w14:paraId="206F5E58">
            <w:pPr>
              <w:spacing w:line="244" w:lineRule="auto"/>
              <w:rPr>
                <w:rFonts w:ascii="Arial"/>
                <w:sz w:val="21"/>
              </w:rPr>
            </w:pPr>
          </w:p>
          <w:p w14:paraId="7CEB1C0A">
            <w:pPr>
              <w:spacing w:line="244" w:lineRule="auto"/>
              <w:rPr>
                <w:rFonts w:ascii="Arial"/>
                <w:sz w:val="21"/>
              </w:rPr>
            </w:pPr>
          </w:p>
          <w:p w14:paraId="7E54D9D2">
            <w:pPr>
              <w:pStyle w:val="8"/>
              <w:spacing w:before="58" w:line="220" w:lineRule="auto"/>
              <w:ind w:left="114"/>
            </w:pPr>
            <w:r>
              <w:rPr>
                <w:spacing w:val="-7"/>
              </w:rPr>
              <w:t>行政处罚</w:t>
            </w:r>
          </w:p>
        </w:tc>
        <w:tc>
          <w:tcPr>
            <w:tcW w:w="8806" w:type="dxa"/>
            <w:vAlign w:val="top"/>
          </w:tcPr>
          <w:p w14:paraId="70439F8B">
            <w:pPr>
              <w:pStyle w:val="8"/>
              <w:spacing w:before="237" w:line="219" w:lineRule="auto"/>
              <w:ind w:left="473"/>
            </w:pPr>
            <w:r>
              <w:rPr>
                <w:b/>
                <w:bCs/>
                <w:spacing w:val="-3"/>
              </w:rPr>
              <w:t>《中华人民共和国水上水下作业和活动通航安全管理规定》（交</w:t>
            </w:r>
            <w:r>
              <w:rPr>
                <w:b/>
                <w:bCs/>
                <w:spacing w:val="-4"/>
              </w:rPr>
              <w:t>通运输部令2021年第24号）</w:t>
            </w:r>
          </w:p>
          <w:p w14:paraId="58256B99">
            <w:pPr>
              <w:pStyle w:val="8"/>
              <w:spacing w:before="24"/>
              <w:ind w:left="112" w:right="103" w:firstLine="356"/>
              <w:jc w:val="both"/>
            </w:pPr>
            <w:r>
              <w:rPr>
                <w:spacing w:val="-1"/>
              </w:rPr>
              <w:t>第十四条第一款  许可证上注明的船舶、海上设施或者内河浮动设施在水上水下作业或者活动</w:t>
            </w:r>
            <w:r>
              <w:rPr>
                <w:spacing w:val="-2"/>
              </w:rPr>
              <w:t>期间发生变</w:t>
            </w:r>
            <w:r>
              <w:t xml:space="preserve"> </w:t>
            </w:r>
            <w:r>
              <w:rPr>
                <w:spacing w:val="-1"/>
              </w:rPr>
              <w:t>更的，建设单位、主办单位或者施工单位应当及时向作出许可决定的海事管理机构申请办理</w:t>
            </w:r>
            <w:r>
              <w:rPr>
                <w:spacing w:val="-2"/>
              </w:rPr>
              <w:t>变更手续，提交变</w:t>
            </w:r>
            <w:r>
              <w:t xml:space="preserve"> </w:t>
            </w:r>
            <w:r>
              <w:rPr>
                <w:spacing w:val="-1"/>
              </w:rPr>
              <w:t>更申请书和相关说明材料。在变更手续未办妥前，变更的船舶、海上设施或者内河浮动设施</w:t>
            </w:r>
            <w:r>
              <w:rPr>
                <w:spacing w:val="-2"/>
              </w:rPr>
              <w:t>不得从事相应的水</w:t>
            </w:r>
            <w:r>
              <w:t xml:space="preserve"> </w:t>
            </w:r>
            <w:r>
              <w:rPr>
                <w:spacing w:val="-3"/>
              </w:rPr>
              <w:t>上水下作业或者活动。</w:t>
            </w:r>
          </w:p>
          <w:p w14:paraId="70B3F614">
            <w:pPr>
              <w:pStyle w:val="8"/>
              <w:spacing w:before="26" w:line="233" w:lineRule="auto"/>
              <w:ind w:left="111" w:right="103" w:firstLine="356"/>
            </w:pPr>
            <w:r>
              <w:rPr>
                <w:spacing w:val="-1"/>
              </w:rPr>
              <w:t>第十八条第三款  建设单位、主办单位或者施工单位应当在安全作业区设置相关的安全警示标</w:t>
            </w:r>
            <w:r>
              <w:rPr>
                <w:spacing w:val="-2"/>
              </w:rPr>
              <w:t>志、配备必</w:t>
            </w:r>
            <w:r>
              <w:t xml:space="preserve"> </w:t>
            </w:r>
            <w:r>
              <w:rPr>
                <w:spacing w:val="-3"/>
              </w:rPr>
              <w:t>要的安全设施或者警戒船。</w:t>
            </w:r>
          </w:p>
          <w:p w14:paraId="1EF07F09">
            <w:pPr>
              <w:pStyle w:val="8"/>
              <w:spacing w:before="24" w:line="233" w:lineRule="auto"/>
              <w:ind w:left="112" w:right="103" w:firstLine="356"/>
            </w:pPr>
            <w:r>
              <w:rPr>
                <w:spacing w:val="-1"/>
              </w:rPr>
              <w:t>第二十条  水上水下作业或者活动的建设单位、主办单位或者施工单位应当加强安全生产管理</w:t>
            </w:r>
            <w:r>
              <w:rPr>
                <w:spacing w:val="-2"/>
              </w:rPr>
              <w:t>，落实安全</w:t>
            </w:r>
            <w:r>
              <w:t xml:space="preserve"> </w:t>
            </w:r>
            <w:r>
              <w:rPr>
                <w:spacing w:val="-3"/>
              </w:rPr>
              <w:t>生产主 体责任。</w:t>
            </w:r>
          </w:p>
          <w:p w14:paraId="0BBCD5FF">
            <w:pPr>
              <w:pStyle w:val="8"/>
              <w:spacing w:before="28" w:line="242" w:lineRule="auto"/>
              <w:ind w:left="109" w:right="31" w:firstLine="358"/>
              <w:jc w:val="both"/>
            </w:pPr>
            <w:r>
              <w:rPr>
                <w:spacing w:val="-3"/>
              </w:rPr>
              <w:t>第二十四条  建设单位、主办单位或者施工单位在水上水下作业或者活动过程中应当遵守以下规定</w:t>
            </w:r>
            <w:r>
              <w:rPr>
                <w:spacing w:val="-11"/>
              </w:rPr>
              <w:t>：（</w:t>
            </w:r>
            <w:r>
              <w:rPr>
                <w:spacing w:val="-3"/>
              </w:rPr>
              <w:t>一）</w:t>
            </w:r>
            <w:r>
              <w:t xml:space="preserve"> </w:t>
            </w:r>
            <w:r>
              <w:rPr>
                <w:spacing w:val="-3"/>
              </w:rPr>
              <w:t>按照 海事管理机构许可的作业或者活动内容、水域范围和使用核准的船舶、海上设施或者内河浮动设施进行作</w:t>
            </w:r>
            <w:r>
              <w:rPr>
                <w:spacing w:val="2"/>
              </w:rPr>
              <w:t xml:space="preserve">  </w:t>
            </w:r>
            <w:r>
              <w:rPr>
                <w:spacing w:val="-1"/>
              </w:rPr>
              <w:t>业或者活动，不得妨碍其他船舶的正常航行</w:t>
            </w:r>
            <w:r>
              <w:rPr>
                <w:spacing w:val="-4"/>
              </w:rPr>
              <w:t>；（</w:t>
            </w:r>
            <w:r>
              <w:rPr>
                <w:spacing w:val="-1"/>
              </w:rPr>
              <w:t>二）及时向海事管理机构通报作业或者活动进度及计划，并保</w:t>
            </w:r>
            <w:r>
              <w:t xml:space="preserve">  </w:t>
            </w:r>
            <w:r>
              <w:rPr>
                <w:spacing w:val="-3"/>
              </w:rPr>
              <w:t>持作业或者活动水域</w:t>
            </w:r>
            <w:r>
              <w:rPr>
                <w:spacing w:val="33"/>
              </w:rPr>
              <w:t xml:space="preserve"> </w:t>
            </w:r>
            <w:r>
              <w:rPr>
                <w:spacing w:val="-3"/>
              </w:rPr>
              <w:t>良好的通航环境</w:t>
            </w:r>
            <w:r>
              <w:rPr>
                <w:spacing w:val="-19"/>
              </w:rPr>
              <w:t>；（</w:t>
            </w:r>
            <w:r>
              <w:rPr>
                <w:spacing w:val="-3"/>
              </w:rPr>
              <w:t>三）使船舶、海上设施或者内河浮动设施保持在适于安全航行、停泊</w:t>
            </w:r>
            <w:r>
              <w:t xml:space="preserve">  </w:t>
            </w:r>
            <w:r>
              <w:rPr>
                <w:spacing w:val="-2"/>
              </w:rPr>
              <w:t>或者从事有关作业或者活动 的状态</w:t>
            </w:r>
            <w:r>
              <w:rPr>
                <w:spacing w:val="-25"/>
              </w:rPr>
              <w:t>；（</w:t>
            </w:r>
            <w:r>
              <w:rPr>
                <w:spacing w:val="-2"/>
              </w:rPr>
              <w:t>四）船舶、海上设施或者内河浮动设施应当按照有关规定在明显处昼夜</w:t>
            </w:r>
            <w:r>
              <w:t xml:space="preserve">  </w:t>
            </w:r>
            <w:r>
              <w:rPr>
                <w:spacing w:val="-1"/>
              </w:rPr>
              <w:t>显示规定的号灯号型。在现场作业或者活动的船舶或者警戒船上配备有效的通信设备，作业或者</w:t>
            </w:r>
            <w:r>
              <w:rPr>
                <w:spacing w:val="-2"/>
              </w:rPr>
              <w:t>活动期间指派</w:t>
            </w:r>
            <w:r>
              <w:t xml:space="preserve">  </w:t>
            </w:r>
            <w:r>
              <w:rPr>
                <w:spacing w:val="-3"/>
              </w:rPr>
              <w:t>专人警戒，并在指定的频道上守听。</w:t>
            </w:r>
          </w:p>
          <w:p w14:paraId="5ED8E188">
            <w:pPr>
              <w:pStyle w:val="8"/>
              <w:spacing w:before="27" w:line="237" w:lineRule="auto"/>
              <w:ind w:left="112" w:right="103" w:firstLine="356"/>
              <w:jc w:val="both"/>
            </w:pPr>
            <w:r>
              <w:rPr>
                <w:spacing w:val="-1"/>
              </w:rPr>
              <w:t>第二十七条  海事管理机构应当建立作业或者活动现场监督检查制度，依法检查建设单位、主</w:t>
            </w:r>
            <w:r>
              <w:rPr>
                <w:spacing w:val="-2"/>
              </w:rPr>
              <w:t>办单位和施</w:t>
            </w:r>
            <w:r>
              <w:t xml:space="preserve"> </w:t>
            </w:r>
            <w:r>
              <w:rPr>
                <w:spacing w:val="-1"/>
              </w:rPr>
              <w:t>工单位所属船舶、海上设施或者内河浮动设施、人员水上通航安全作业条件、采取的通航安</w:t>
            </w:r>
            <w:r>
              <w:rPr>
                <w:spacing w:val="-2"/>
              </w:rPr>
              <w:t>全保障措施、应急</w:t>
            </w:r>
            <w:r>
              <w:t xml:space="preserve"> </w:t>
            </w:r>
            <w:r>
              <w:rPr>
                <w:spacing w:val="-2"/>
              </w:rPr>
              <w:t>预案、责任制度落实情况。有关单位和人员应</w:t>
            </w:r>
            <w:r>
              <w:rPr>
                <w:spacing w:val="-3"/>
              </w:rPr>
              <w:t>当予以配合。</w:t>
            </w:r>
          </w:p>
          <w:p w14:paraId="0C4052BA">
            <w:pPr>
              <w:pStyle w:val="8"/>
              <w:spacing w:before="25" w:line="241" w:lineRule="auto"/>
              <w:ind w:left="109" w:right="103" w:firstLine="358"/>
              <w:jc w:val="both"/>
            </w:pPr>
            <w:r>
              <w:rPr>
                <w:spacing w:val="-1"/>
              </w:rPr>
              <w:t>第二十九条  有下列情形之一的，海事管理机构应当责令改正；拒不改正的，应当责令其停止</w:t>
            </w:r>
            <w:r>
              <w:rPr>
                <w:spacing w:val="-2"/>
              </w:rPr>
              <w:t>作业或者活</w:t>
            </w:r>
            <w:r>
              <w:t xml:space="preserve"> 动</w:t>
            </w:r>
            <w:r>
              <w:rPr>
                <w:spacing w:val="-14"/>
              </w:rPr>
              <w:t>：（</w:t>
            </w:r>
            <w:r>
              <w:t>一）建设单位、主办单位或者施工单位未落实安全生产主体责任的</w:t>
            </w:r>
            <w:r>
              <w:rPr>
                <w:spacing w:val="-14"/>
              </w:rPr>
              <w:t>；（</w:t>
            </w:r>
            <w:r>
              <w:t>二）未按照规定设置相关的安全</w:t>
            </w:r>
            <w:r>
              <w:rPr>
                <w:spacing w:val="2"/>
              </w:rPr>
              <w:t xml:space="preserve"> </w:t>
            </w:r>
            <w:r>
              <w:rPr>
                <w:spacing w:val="-1"/>
              </w:rPr>
              <w:t>警示标志、配备必要的安全设施或者警戒船的</w:t>
            </w:r>
            <w:r>
              <w:rPr>
                <w:spacing w:val="-4"/>
              </w:rPr>
              <w:t>；（</w:t>
            </w:r>
            <w:r>
              <w:rPr>
                <w:spacing w:val="-1"/>
              </w:rPr>
              <w:t>三）未经许可擅自更换或者增加作业或者活动船舶、海上设</w:t>
            </w:r>
            <w:r>
              <w:t xml:space="preserve"> 施或者内河浮动设施的</w:t>
            </w:r>
            <w:r>
              <w:rPr>
                <w:spacing w:val="-12"/>
              </w:rPr>
              <w:t>；（</w:t>
            </w:r>
            <w:r>
              <w:t>四）未按照规定采取通航安全保障措施进行水上水下作业或者活</w:t>
            </w:r>
            <w:r>
              <w:rPr>
                <w:spacing w:val="-1"/>
              </w:rPr>
              <w:t>动的</w:t>
            </w:r>
            <w:r>
              <w:rPr>
                <w:spacing w:val="-12"/>
              </w:rPr>
              <w:t>；（</w:t>
            </w:r>
            <w:r>
              <w:rPr>
                <w:spacing w:val="-1"/>
              </w:rPr>
              <w:t>五）雇佣</w:t>
            </w:r>
            <w:r>
              <w:t xml:space="preserve"> </w:t>
            </w:r>
            <w:r>
              <w:rPr>
                <w:spacing w:val="-2"/>
              </w:rPr>
              <w:t>不符合安全标准的船舶、海上设施或者内河浮动设施进行水上水下作业或者</w:t>
            </w:r>
            <w:r>
              <w:rPr>
                <w:spacing w:val="-3"/>
              </w:rPr>
              <w:t>活动的。</w:t>
            </w:r>
          </w:p>
        </w:tc>
        <w:tc>
          <w:tcPr>
            <w:tcW w:w="1043" w:type="dxa"/>
            <w:vAlign w:val="top"/>
          </w:tcPr>
          <w:p w14:paraId="2A83F37A">
            <w:pPr>
              <w:spacing w:line="254" w:lineRule="auto"/>
              <w:rPr>
                <w:rFonts w:ascii="Arial"/>
                <w:sz w:val="21"/>
              </w:rPr>
            </w:pPr>
          </w:p>
          <w:p w14:paraId="2E24EC08">
            <w:pPr>
              <w:spacing w:line="254" w:lineRule="auto"/>
              <w:rPr>
                <w:rFonts w:ascii="Arial"/>
                <w:sz w:val="21"/>
              </w:rPr>
            </w:pPr>
          </w:p>
          <w:p w14:paraId="3FBB7ED6">
            <w:pPr>
              <w:spacing w:line="254" w:lineRule="auto"/>
              <w:rPr>
                <w:rFonts w:ascii="Arial"/>
                <w:sz w:val="21"/>
              </w:rPr>
            </w:pPr>
          </w:p>
          <w:p w14:paraId="67DD4E50">
            <w:pPr>
              <w:spacing w:line="254" w:lineRule="auto"/>
              <w:rPr>
                <w:rFonts w:ascii="Arial"/>
                <w:sz w:val="21"/>
              </w:rPr>
            </w:pPr>
          </w:p>
          <w:p w14:paraId="4F5A8208">
            <w:pPr>
              <w:spacing w:line="255" w:lineRule="auto"/>
              <w:rPr>
                <w:rFonts w:ascii="Arial"/>
                <w:sz w:val="21"/>
              </w:rPr>
            </w:pPr>
          </w:p>
          <w:p w14:paraId="5041A1B6">
            <w:pPr>
              <w:spacing w:line="255" w:lineRule="auto"/>
              <w:rPr>
                <w:rFonts w:ascii="Arial"/>
                <w:sz w:val="21"/>
              </w:rPr>
            </w:pPr>
          </w:p>
          <w:p w14:paraId="6112D009">
            <w:pPr>
              <w:spacing w:line="255" w:lineRule="auto"/>
              <w:rPr>
                <w:rFonts w:ascii="Arial"/>
                <w:sz w:val="21"/>
              </w:rPr>
            </w:pPr>
          </w:p>
          <w:p w14:paraId="5743AF92">
            <w:pPr>
              <w:spacing w:line="255" w:lineRule="auto"/>
              <w:rPr>
                <w:rFonts w:ascii="Arial"/>
                <w:sz w:val="21"/>
              </w:rPr>
            </w:pPr>
          </w:p>
          <w:p w14:paraId="6DE3631E">
            <w:pPr>
              <w:spacing w:line="255" w:lineRule="auto"/>
              <w:rPr>
                <w:rFonts w:ascii="Arial"/>
                <w:sz w:val="21"/>
              </w:rPr>
            </w:pPr>
          </w:p>
          <w:p w14:paraId="2B893417">
            <w:pPr>
              <w:spacing w:line="255" w:lineRule="auto"/>
              <w:rPr>
                <w:rFonts w:ascii="Arial"/>
                <w:sz w:val="21"/>
              </w:rPr>
            </w:pPr>
          </w:p>
          <w:p w14:paraId="765761D9">
            <w:pPr>
              <w:spacing w:line="255" w:lineRule="auto"/>
              <w:rPr>
                <w:rFonts w:ascii="Arial"/>
                <w:sz w:val="21"/>
              </w:rPr>
            </w:pPr>
          </w:p>
          <w:p w14:paraId="1228EBE1">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56AEC90">
            <w:pPr>
              <w:spacing w:line="243" w:lineRule="auto"/>
              <w:rPr>
                <w:rFonts w:ascii="Arial"/>
                <w:sz w:val="21"/>
              </w:rPr>
            </w:pPr>
          </w:p>
          <w:p w14:paraId="5E010811">
            <w:pPr>
              <w:spacing w:line="243" w:lineRule="auto"/>
              <w:rPr>
                <w:rFonts w:ascii="Arial"/>
                <w:sz w:val="21"/>
              </w:rPr>
            </w:pPr>
          </w:p>
          <w:p w14:paraId="63592D8B">
            <w:pPr>
              <w:spacing w:line="243" w:lineRule="auto"/>
              <w:rPr>
                <w:rFonts w:ascii="Arial"/>
                <w:sz w:val="21"/>
              </w:rPr>
            </w:pPr>
          </w:p>
          <w:p w14:paraId="70D8913B">
            <w:pPr>
              <w:spacing w:line="243" w:lineRule="auto"/>
              <w:rPr>
                <w:rFonts w:ascii="Arial"/>
                <w:sz w:val="21"/>
              </w:rPr>
            </w:pPr>
          </w:p>
          <w:p w14:paraId="20F8D19B">
            <w:pPr>
              <w:spacing w:line="243" w:lineRule="auto"/>
              <w:rPr>
                <w:rFonts w:ascii="Arial"/>
                <w:sz w:val="21"/>
              </w:rPr>
            </w:pPr>
          </w:p>
          <w:p w14:paraId="2DDCD19E">
            <w:pPr>
              <w:spacing w:line="243" w:lineRule="auto"/>
              <w:rPr>
                <w:rFonts w:ascii="Arial"/>
                <w:sz w:val="21"/>
              </w:rPr>
            </w:pPr>
          </w:p>
          <w:p w14:paraId="22762275">
            <w:pPr>
              <w:spacing w:line="243" w:lineRule="auto"/>
              <w:rPr>
                <w:rFonts w:ascii="Arial"/>
                <w:sz w:val="21"/>
              </w:rPr>
            </w:pPr>
          </w:p>
          <w:p w14:paraId="3AD5A1D9">
            <w:pPr>
              <w:spacing w:line="244" w:lineRule="auto"/>
              <w:rPr>
                <w:rFonts w:ascii="Arial"/>
                <w:sz w:val="21"/>
              </w:rPr>
            </w:pPr>
          </w:p>
          <w:p w14:paraId="28053CFF">
            <w:pPr>
              <w:spacing w:line="244" w:lineRule="auto"/>
              <w:rPr>
                <w:rFonts w:ascii="Arial"/>
                <w:sz w:val="21"/>
              </w:rPr>
            </w:pPr>
          </w:p>
          <w:p w14:paraId="507D2EC6">
            <w:pPr>
              <w:spacing w:line="244" w:lineRule="auto"/>
              <w:rPr>
                <w:rFonts w:ascii="Arial"/>
                <w:sz w:val="21"/>
              </w:rPr>
            </w:pPr>
          </w:p>
          <w:p w14:paraId="1523A106">
            <w:pPr>
              <w:spacing w:line="244" w:lineRule="auto"/>
              <w:rPr>
                <w:rFonts w:ascii="Arial"/>
                <w:sz w:val="21"/>
              </w:rPr>
            </w:pPr>
          </w:p>
          <w:p w14:paraId="11B87042">
            <w:pPr>
              <w:spacing w:line="244" w:lineRule="auto"/>
              <w:rPr>
                <w:rFonts w:ascii="Arial"/>
                <w:sz w:val="21"/>
              </w:rPr>
            </w:pPr>
          </w:p>
          <w:p w14:paraId="363BDDFB">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00AD021">
            <w:pPr>
              <w:spacing w:line="256" w:lineRule="auto"/>
              <w:rPr>
                <w:rFonts w:ascii="Arial"/>
                <w:sz w:val="21"/>
              </w:rPr>
            </w:pPr>
          </w:p>
          <w:p w14:paraId="0C5D5E7E">
            <w:pPr>
              <w:spacing w:line="256" w:lineRule="auto"/>
              <w:rPr>
                <w:rFonts w:ascii="Arial"/>
                <w:sz w:val="21"/>
              </w:rPr>
            </w:pPr>
          </w:p>
          <w:p w14:paraId="5C4B5964">
            <w:pPr>
              <w:spacing w:line="256" w:lineRule="auto"/>
              <w:rPr>
                <w:rFonts w:ascii="Arial"/>
                <w:sz w:val="21"/>
              </w:rPr>
            </w:pPr>
          </w:p>
          <w:p w14:paraId="3466BDAF">
            <w:pPr>
              <w:spacing w:line="256" w:lineRule="auto"/>
              <w:rPr>
                <w:rFonts w:ascii="Arial"/>
                <w:sz w:val="21"/>
              </w:rPr>
            </w:pPr>
          </w:p>
          <w:p w14:paraId="2B343F6C">
            <w:pPr>
              <w:spacing w:line="256" w:lineRule="auto"/>
              <w:rPr>
                <w:rFonts w:ascii="Arial"/>
                <w:sz w:val="21"/>
              </w:rPr>
            </w:pPr>
          </w:p>
          <w:p w14:paraId="4B1B1BD4">
            <w:pPr>
              <w:spacing w:line="256" w:lineRule="auto"/>
              <w:rPr>
                <w:rFonts w:ascii="Arial"/>
                <w:sz w:val="21"/>
              </w:rPr>
            </w:pPr>
          </w:p>
          <w:p w14:paraId="1CD6792D">
            <w:pPr>
              <w:spacing w:line="257" w:lineRule="auto"/>
              <w:rPr>
                <w:rFonts w:ascii="Arial"/>
                <w:sz w:val="21"/>
              </w:rPr>
            </w:pPr>
          </w:p>
          <w:p w14:paraId="1B4B1258">
            <w:pPr>
              <w:spacing w:line="257" w:lineRule="auto"/>
              <w:rPr>
                <w:rFonts w:ascii="Arial"/>
                <w:sz w:val="21"/>
              </w:rPr>
            </w:pPr>
          </w:p>
          <w:p w14:paraId="57657928">
            <w:pPr>
              <w:spacing w:line="257" w:lineRule="auto"/>
              <w:rPr>
                <w:rFonts w:ascii="Arial"/>
                <w:sz w:val="21"/>
              </w:rPr>
            </w:pPr>
          </w:p>
          <w:p w14:paraId="03535A21">
            <w:pPr>
              <w:spacing w:line="257" w:lineRule="auto"/>
              <w:rPr>
                <w:rFonts w:ascii="Arial"/>
                <w:sz w:val="21"/>
              </w:rPr>
            </w:pPr>
          </w:p>
          <w:p w14:paraId="462E34DA">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0C496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5" w:hRule="atLeast"/>
        </w:trPr>
        <w:tc>
          <w:tcPr>
            <w:tcW w:w="641" w:type="dxa"/>
            <w:vAlign w:val="top"/>
          </w:tcPr>
          <w:p w14:paraId="78782D13">
            <w:pPr>
              <w:spacing w:line="264" w:lineRule="auto"/>
              <w:rPr>
                <w:rFonts w:ascii="Arial"/>
                <w:sz w:val="21"/>
              </w:rPr>
            </w:pPr>
          </w:p>
          <w:p w14:paraId="2564ACEB">
            <w:pPr>
              <w:spacing w:line="265" w:lineRule="auto"/>
              <w:rPr>
                <w:rFonts w:ascii="Arial"/>
                <w:sz w:val="21"/>
              </w:rPr>
            </w:pPr>
          </w:p>
          <w:p w14:paraId="45A26C54">
            <w:pPr>
              <w:spacing w:line="265" w:lineRule="auto"/>
              <w:rPr>
                <w:rFonts w:ascii="Arial"/>
                <w:sz w:val="21"/>
              </w:rPr>
            </w:pPr>
          </w:p>
          <w:p w14:paraId="4CF5FF41">
            <w:pPr>
              <w:spacing w:line="265" w:lineRule="auto"/>
              <w:rPr>
                <w:rFonts w:ascii="Arial"/>
                <w:sz w:val="21"/>
              </w:rPr>
            </w:pPr>
          </w:p>
          <w:p w14:paraId="2E61ADC4">
            <w:pPr>
              <w:pStyle w:val="8"/>
              <w:spacing w:before="59" w:line="183" w:lineRule="auto"/>
              <w:ind w:left="235"/>
            </w:pPr>
            <w:r>
              <w:rPr>
                <w:spacing w:val="-4"/>
              </w:rPr>
              <w:t>84</w:t>
            </w:r>
          </w:p>
        </w:tc>
        <w:tc>
          <w:tcPr>
            <w:tcW w:w="1136" w:type="dxa"/>
            <w:vAlign w:val="top"/>
          </w:tcPr>
          <w:p w14:paraId="1383A774">
            <w:pPr>
              <w:spacing w:line="315" w:lineRule="auto"/>
              <w:rPr>
                <w:rFonts w:ascii="Arial"/>
                <w:sz w:val="21"/>
              </w:rPr>
            </w:pPr>
          </w:p>
          <w:p w14:paraId="09BA4744">
            <w:pPr>
              <w:pStyle w:val="8"/>
              <w:spacing w:before="59" w:line="243" w:lineRule="auto"/>
              <w:ind w:left="110" w:right="104" w:hanging="1"/>
              <w:jc w:val="both"/>
            </w:pPr>
            <w:r>
              <w:rPr>
                <w:spacing w:val="3"/>
              </w:rPr>
              <w:t>对以欺骗或</w:t>
            </w:r>
            <w:r>
              <w:rPr>
                <w:spacing w:val="1"/>
              </w:rPr>
              <w:t xml:space="preserve"> </w:t>
            </w:r>
            <w:r>
              <w:rPr>
                <w:spacing w:val="3"/>
              </w:rPr>
              <w:t>者其他不正</w:t>
            </w:r>
            <w:r>
              <w:t xml:space="preserve"> </w:t>
            </w:r>
            <w:r>
              <w:rPr>
                <w:spacing w:val="3"/>
              </w:rPr>
              <w:t>当手段取得</w:t>
            </w:r>
            <w:r>
              <w:t xml:space="preserve"> </w:t>
            </w:r>
            <w:r>
              <w:rPr>
                <w:spacing w:val="3"/>
              </w:rPr>
              <w:t>水上水下活</w:t>
            </w:r>
            <w:r>
              <w:t xml:space="preserve"> </w:t>
            </w:r>
            <w:r>
              <w:rPr>
                <w:spacing w:val="3"/>
              </w:rPr>
              <w:t>动许可证的</w:t>
            </w:r>
            <w:r>
              <w:t xml:space="preserve"> </w:t>
            </w:r>
            <w:r>
              <w:rPr>
                <w:spacing w:val="3"/>
              </w:rPr>
              <w:t>行为的行政</w:t>
            </w:r>
            <w:r>
              <w:t xml:space="preserve"> </w:t>
            </w:r>
            <w:r>
              <w:rPr>
                <w:spacing w:val="-4"/>
              </w:rPr>
              <w:t>处罚</w:t>
            </w:r>
          </w:p>
        </w:tc>
        <w:tc>
          <w:tcPr>
            <w:tcW w:w="1136" w:type="dxa"/>
            <w:vAlign w:val="top"/>
          </w:tcPr>
          <w:p w14:paraId="7483BD1F">
            <w:pPr>
              <w:spacing w:line="257" w:lineRule="auto"/>
              <w:rPr>
                <w:rFonts w:ascii="Arial"/>
                <w:sz w:val="21"/>
              </w:rPr>
            </w:pPr>
          </w:p>
          <w:p w14:paraId="12A597B8">
            <w:pPr>
              <w:spacing w:line="258" w:lineRule="auto"/>
              <w:rPr>
                <w:rFonts w:ascii="Arial"/>
                <w:sz w:val="21"/>
              </w:rPr>
            </w:pPr>
          </w:p>
          <w:p w14:paraId="2E9CBB97">
            <w:pPr>
              <w:spacing w:line="258" w:lineRule="auto"/>
              <w:rPr>
                <w:rFonts w:ascii="Arial"/>
                <w:sz w:val="21"/>
              </w:rPr>
            </w:pPr>
          </w:p>
          <w:p w14:paraId="50E803A6">
            <w:pPr>
              <w:spacing w:line="258" w:lineRule="auto"/>
              <w:rPr>
                <w:rFonts w:ascii="Arial"/>
                <w:sz w:val="21"/>
              </w:rPr>
            </w:pPr>
          </w:p>
          <w:p w14:paraId="13238A5F">
            <w:pPr>
              <w:pStyle w:val="8"/>
              <w:spacing w:before="58" w:line="220" w:lineRule="auto"/>
              <w:ind w:left="114"/>
            </w:pPr>
            <w:r>
              <w:rPr>
                <w:spacing w:val="-7"/>
              </w:rPr>
              <w:t>行政处罚</w:t>
            </w:r>
          </w:p>
        </w:tc>
        <w:tc>
          <w:tcPr>
            <w:tcW w:w="8806" w:type="dxa"/>
            <w:vAlign w:val="top"/>
          </w:tcPr>
          <w:p w14:paraId="2087EB66">
            <w:pPr>
              <w:spacing w:line="315" w:lineRule="auto"/>
              <w:rPr>
                <w:rFonts w:ascii="Arial"/>
                <w:sz w:val="21"/>
              </w:rPr>
            </w:pPr>
          </w:p>
          <w:p w14:paraId="7A509C15">
            <w:pPr>
              <w:pStyle w:val="8"/>
              <w:spacing w:before="58" w:line="219" w:lineRule="auto"/>
              <w:ind w:left="476"/>
            </w:pPr>
            <w:r>
              <w:rPr>
                <w:b/>
                <w:bCs/>
                <w:spacing w:val="-2"/>
              </w:rPr>
              <w:t>《中华人民共和国水上水下作业和活动通航安全管理规定》（交通运输部令2021年第24号）</w:t>
            </w:r>
          </w:p>
          <w:p w14:paraId="4A682D9B">
            <w:pPr>
              <w:pStyle w:val="8"/>
              <w:spacing w:before="28" w:line="239" w:lineRule="auto"/>
              <w:ind w:left="110" w:right="21" w:firstLine="360"/>
            </w:pPr>
            <w:r>
              <w:rPr>
                <w:spacing w:val="-1"/>
              </w:rPr>
              <w:t>第六条  在内河通航水域或者岸线上进行下列水上水下作业或者活动，应当经海事管理机</w:t>
            </w:r>
            <w:r>
              <w:rPr>
                <w:spacing w:val="-2"/>
              </w:rPr>
              <w:t>构许可，并根据</w:t>
            </w:r>
            <w:r>
              <w:t xml:space="preserve">  </w:t>
            </w:r>
            <w:r>
              <w:rPr>
                <w:spacing w:val="-13"/>
              </w:rPr>
              <w:t>需要核定相应安全作业区</w:t>
            </w:r>
            <w:r>
              <w:rPr>
                <w:spacing w:val="-33"/>
              </w:rPr>
              <w:t>：（</w:t>
            </w:r>
            <w:r>
              <w:rPr>
                <w:spacing w:val="-13"/>
              </w:rPr>
              <w:t>一）勘探，港外采掘、爆破</w:t>
            </w:r>
            <w:r>
              <w:rPr>
                <w:spacing w:val="-33"/>
              </w:rPr>
              <w:t>；（</w:t>
            </w:r>
            <w:r>
              <w:rPr>
                <w:spacing w:val="-13"/>
              </w:rPr>
              <w:t>二）构筑、设置、维修、拆除水上水下构筑物或者设施；</w:t>
            </w:r>
            <w:r>
              <w:rPr>
                <w:spacing w:val="1"/>
              </w:rPr>
              <w:t xml:space="preserve"> </w:t>
            </w:r>
            <w:r>
              <w:rPr>
                <w:spacing w:val="-20"/>
              </w:rPr>
              <w:t>（三）架设桥梁、索道</w:t>
            </w:r>
            <w:r>
              <w:rPr>
                <w:spacing w:val="-41"/>
              </w:rPr>
              <w:t>；（</w:t>
            </w:r>
            <w:r>
              <w:rPr>
                <w:spacing w:val="-20"/>
              </w:rPr>
              <w:t>四）铺设、检修、拆除水上水下电缆或者管道</w:t>
            </w:r>
            <w:r>
              <w:rPr>
                <w:spacing w:val="-41"/>
              </w:rPr>
              <w:t>；（</w:t>
            </w:r>
            <w:r>
              <w:rPr>
                <w:spacing w:val="-20"/>
              </w:rPr>
              <w:t>五）设置系船浮筒</w:t>
            </w:r>
            <w:r>
              <w:rPr>
                <w:spacing w:val="-21"/>
              </w:rPr>
              <w:t>、浮趸、缆桩等设施</w:t>
            </w:r>
            <w:r>
              <w:rPr>
                <w:spacing w:val="-41"/>
              </w:rPr>
              <w:t>；（</w:t>
            </w:r>
            <w:r>
              <w:rPr>
                <w:spacing w:val="-21"/>
              </w:rPr>
              <w:t>六）</w:t>
            </w:r>
            <w:r>
              <w:rPr>
                <w:spacing w:val="4"/>
              </w:rPr>
              <w:t xml:space="preserve"> </w:t>
            </w:r>
            <w:r>
              <w:rPr>
                <w:spacing w:val="-1"/>
              </w:rPr>
              <w:t>航道建设施工、码头前沿水域疏浚</w:t>
            </w:r>
            <w:r>
              <w:rPr>
                <w:spacing w:val="-8"/>
              </w:rPr>
              <w:t>；（</w:t>
            </w:r>
            <w:r>
              <w:rPr>
                <w:spacing w:val="-1"/>
              </w:rPr>
              <w:t>七）举行大型群众性活动、体育比赛</w:t>
            </w:r>
            <w:r>
              <w:rPr>
                <w:spacing w:val="-8"/>
              </w:rPr>
              <w:t>；（</w:t>
            </w:r>
            <w:r>
              <w:rPr>
                <w:spacing w:val="-1"/>
              </w:rPr>
              <w:t>八）</w:t>
            </w:r>
            <w:r>
              <w:rPr>
                <w:spacing w:val="-2"/>
              </w:rPr>
              <w:t>打捞沉船沉物。</w:t>
            </w:r>
          </w:p>
          <w:p w14:paraId="632B3CE7">
            <w:pPr>
              <w:pStyle w:val="8"/>
              <w:spacing w:before="25" w:line="233" w:lineRule="auto"/>
              <w:ind w:left="109" w:right="103" w:firstLine="358"/>
            </w:pPr>
            <w:r>
              <w:rPr>
                <w:spacing w:val="-1"/>
              </w:rPr>
              <w:t>第三十条  违反本规定，隐瞒有关情况或者提供虚假材料，以欺骗或者其他不正当手段取得许</w:t>
            </w:r>
            <w:r>
              <w:rPr>
                <w:spacing w:val="-2"/>
              </w:rPr>
              <w:t>可证的，由</w:t>
            </w:r>
            <w:r>
              <w:t xml:space="preserve"> </w:t>
            </w:r>
            <w:r>
              <w:rPr>
                <w:spacing w:val="-4"/>
              </w:rPr>
              <w:t>海事管理机构撤销其水上水下作业或者活动许可，收回其许可证，处5000元以上3万元以下的罚款。</w:t>
            </w:r>
          </w:p>
        </w:tc>
        <w:tc>
          <w:tcPr>
            <w:tcW w:w="1043" w:type="dxa"/>
            <w:vAlign w:val="top"/>
          </w:tcPr>
          <w:p w14:paraId="11A52933">
            <w:pPr>
              <w:spacing w:line="303" w:lineRule="auto"/>
              <w:rPr>
                <w:rFonts w:ascii="Arial"/>
                <w:sz w:val="21"/>
              </w:rPr>
            </w:pPr>
          </w:p>
          <w:p w14:paraId="0DDA2FCC">
            <w:pPr>
              <w:spacing w:line="304" w:lineRule="auto"/>
              <w:rPr>
                <w:rFonts w:ascii="Arial"/>
                <w:sz w:val="21"/>
              </w:rPr>
            </w:pPr>
          </w:p>
          <w:p w14:paraId="7A394769">
            <w:pPr>
              <w:spacing w:line="304" w:lineRule="auto"/>
              <w:rPr>
                <w:rFonts w:ascii="Arial"/>
                <w:sz w:val="21"/>
              </w:rPr>
            </w:pPr>
          </w:p>
          <w:p w14:paraId="071654CA">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7BB7B360">
            <w:pPr>
              <w:spacing w:line="257" w:lineRule="auto"/>
              <w:rPr>
                <w:rFonts w:ascii="Arial"/>
                <w:sz w:val="21"/>
              </w:rPr>
            </w:pPr>
          </w:p>
          <w:p w14:paraId="376FDD34">
            <w:pPr>
              <w:spacing w:line="258" w:lineRule="auto"/>
              <w:rPr>
                <w:rFonts w:ascii="Arial"/>
                <w:sz w:val="21"/>
              </w:rPr>
            </w:pPr>
          </w:p>
          <w:p w14:paraId="4469C52C">
            <w:pPr>
              <w:spacing w:line="258" w:lineRule="auto"/>
              <w:rPr>
                <w:rFonts w:ascii="Arial"/>
                <w:sz w:val="21"/>
              </w:rPr>
            </w:pPr>
          </w:p>
          <w:p w14:paraId="2B50D6C2">
            <w:pPr>
              <w:spacing w:line="258" w:lineRule="auto"/>
              <w:rPr>
                <w:rFonts w:ascii="Arial"/>
                <w:sz w:val="21"/>
              </w:rPr>
            </w:pPr>
          </w:p>
          <w:p w14:paraId="529D9DE0">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6D18ED5">
            <w:pPr>
              <w:spacing w:line="337" w:lineRule="auto"/>
              <w:rPr>
                <w:rFonts w:ascii="Arial"/>
                <w:sz w:val="21"/>
              </w:rPr>
            </w:pPr>
          </w:p>
          <w:p w14:paraId="354EC8CF">
            <w:pPr>
              <w:spacing w:line="337" w:lineRule="auto"/>
              <w:rPr>
                <w:rFonts w:ascii="Arial"/>
                <w:sz w:val="21"/>
              </w:rPr>
            </w:pPr>
          </w:p>
          <w:p w14:paraId="3A6769F4">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0C2EE07C">
      <w:pPr>
        <w:pStyle w:val="2"/>
      </w:pPr>
    </w:p>
    <w:p w14:paraId="3847719C">
      <w:pPr>
        <w:sectPr>
          <w:footerReference r:id="rId206" w:type="default"/>
          <w:pgSz w:w="16839" w:h="11906"/>
          <w:pgMar w:top="1012" w:right="788" w:bottom="967" w:left="787" w:header="0" w:footer="768" w:gutter="0"/>
          <w:cols w:space="720" w:num="1"/>
        </w:sectPr>
      </w:pPr>
    </w:p>
    <w:p w14:paraId="00F35440">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5D19D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1F7325C5">
            <w:pPr>
              <w:pStyle w:val="8"/>
              <w:spacing w:before="267" w:line="221" w:lineRule="auto"/>
              <w:ind w:left="142"/>
            </w:pPr>
            <w:r>
              <w:rPr>
                <w:b/>
                <w:bCs/>
                <w:spacing w:val="-4"/>
              </w:rPr>
              <w:t>序号</w:t>
            </w:r>
          </w:p>
        </w:tc>
        <w:tc>
          <w:tcPr>
            <w:tcW w:w="1136" w:type="dxa"/>
            <w:vMerge w:val="restart"/>
            <w:tcBorders>
              <w:bottom w:val="nil"/>
            </w:tcBorders>
            <w:vAlign w:val="top"/>
          </w:tcPr>
          <w:p w14:paraId="584C168E">
            <w:pPr>
              <w:pStyle w:val="8"/>
              <w:spacing w:before="267" w:line="220" w:lineRule="auto"/>
              <w:ind w:left="208"/>
            </w:pPr>
            <w:r>
              <w:rPr>
                <w:b/>
                <w:bCs/>
                <w:spacing w:val="-4"/>
              </w:rPr>
              <w:t>事项名称</w:t>
            </w:r>
          </w:p>
        </w:tc>
        <w:tc>
          <w:tcPr>
            <w:tcW w:w="1136" w:type="dxa"/>
            <w:vMerge w:val="restart"/>
            <w:tcBorders>
              <w:bottom w:val="nil"/>
            </w:tcBorders>
            <w:vAlign w:val="top"/>
          </w:tcPr>
          <w:p w14:paraId="70C580DA">
            <w:pPr>
              <w:pStyle w:val="8"/>
              <w:spacing w:before="267" w:line="219" w:lineRule="auto"/>
              <w:ind w:left="210"/>
            </w:pPr>
            <w:r>
              <w:rPr>
                <w:b/>
                <w:bCs/>
                <w:spacing w:val="-4"/>
              </w:rPr>
              <w:t>职权类型</w:t>
            </w:r>
          </w:p>
        </w:tc>
        <w:tc>
          <w:tcPr>
            <w:tcW w:w="8806" w:type="dxa"/>
            <w:vMerge w:val="restart"/>
            <w:tcBorders>
              <w:bottom w:val="nil"/>
            </w:tcBorders>
            <w:vAlign w:val="top"/>
          </w:tcPr>
          <w:p w14:paraId="75BE5157">
            <w:pPr>
              <w:pStyle w:val="8"/>
              <w:spacing w:before="267" w:line="219" w:lineRule="auto"/>
              <w:ind w:left="4050"/>
            </w:pPr>
            <w:r>
              <w:rPr>
                <w:b/>
                <w:bCs/>
                <w:spacing w:val="-5"/>
              </w:rPr>
              <w:t>实施依据</w:t>
            </w:r>
          </w:p>
        </w:tc>
        <w:tc>
          <w:tcPr>
            <w:tcW w:w="3538" w:type="dxa"/>
            <w:gridSpan w:val="3"/>
            <w:vAlign w:val="top"/>
          </w:tcPr>
          <w:p w14:paraId="52996BAB">
            <w:pPr>
              <w:pStyle w:val="8"/>
              <w:spacing w:before="92" w:line="220" w:lineRule="auto"/>
              <w:ind w:left="1415"/>
            </w:pPr>
            <w:r>
              <w:rPr>
                <w:b/>
                <w:bCs/>
                <w:spacing w:val="-5"/>
              </w:rPr>
              <w:t>实施主体</w:t>
            </w:r>
          </w:p>
        </w:tc>
      </w:tr>
      <w:tr w14:paraId="20BAB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2BD88746">
            <w:pPr>
              <w:rPr>
                <w:rFonts w:ascii="Arial"/>
                <w:sz w:val="21"/>
              </w:rPr>
            </w:pPr>
          </w:p>
        </w:tc>
        <w:tc>
          <w:tcPr>
            <w:tcW w:w="1136" w:type="dxa"/>
            <w:vMerge w:val="continue"/>
            <w:tcBorders>
              <w:top w:val="nil"/>
            </w:tcBorders>
            <w:vAlign w:val="top"/>
          </w:tcPr>
          <w:p w14:paraId="745C0582">
            <w:pPr>
              <w:rPr>
                <w:rFonts w:ascii="Arial"/>
                <w:sz w:val="21"/>
              </w:rPr>
            </w:pPr>
          </w:p>
        </w:tc>
        <w:tc>
          <w:tcPr>
            <w:tcW w:w="1136" w:type="dxa"/>
            <w:vMerge w:val="continue"/>
            <w:tcBorders>
              <w:top w:val="nil"/>
            </w:tcBorders>
            <w:vAlign w:val="top"/>
          </w:tcPr>
          <w:p w14:paraId="077F193D">
            <w:pPr>
              <w:rPr>
                <w:rFonts w:ascii="Arial"/>
                <w:sz w:val="21"/>
              </w:rPr>
            </w:pPr>
          </w:p>
        </w:tc>
        <w:tc>
          <w:tcPr>
            <w:tcW w:w="8806" w:type="dxa"/>
            <w:vMerge w:val="continue"/>
            <w:tcBorders>
              <w:top w:val="nil"/>
            </w:tcBorders>
            <w:vAlign w:val="top"/>
          </w:tcPr>
          <w:p w14:paraId="7F4FD719">
            <w:pPr>
              <w:rPr>
                <w:rFonts w:ascii="Arial"/>
                <w:sz w:val="21"/>
              </w:rPr>
            </w:pPr>
          </w:p>
        </w:tc>
        <w:tc>
          <w:tcPr>
            <w:tcW w:w="1043" w:type="dxa"/>
            <w:vAlign w:val="top"/>
          </w:tcPr>
          <w:p w14:paraId="6FC6600C">
            <w:pPr>
              <w:pStyle w:val="8"/>
              <w:spacing w:before="88" w:line="219" w:lineRule="auto"/>
              <w:ind w:left="171"/>
            </w:pPr>
            <w:r>
              <w:rPr>
                <w:b/>
                <w:bCs/>
                <w:spacing w:val="-5"/>
              </w:rPr>
              <w:t>责任部门</w:t>
            </w:r>
          </w:p>
        </w:tc>
        <w:tc>
          <w:tcPr>
            <w:tcW w:w="1448" w:type="dxa"/>
            <w:vAlign w:val="top"/>
          </w:tcPr>
          <w:p w14:paraId="318CA321">
            <w:pPr>
              <w:pStyle w:val="8"/>
              <w:spacing w:before="88" w:line="219" w:lineRule="auto"/>
              <w:ind w:left="187"/>
            </w:pPr>
            <w:r>
              <w:rPr>
                <w:b/>
                <w:bCs/>
                <w:spacing w:val="-3"/>
              </w:rPr>
              <w:t>第一责任层级</w:t>
            </w:r>
          </w:p>
        </w:tc>
        <w:tc>
          <w:tcPr>
            <w:tcW w:w="1047" w:type="dxa"/>
            <w:vAlign w:val="top"/>
          </w:tcPr>
          <w:p w14:paraId="1AB2C6EB">
            <w:pPr>
              <w:pStyle w:val="8"/>
              <w:spacing w:before="88" w:line="219" w:lineRule="auto"/>
              <w:ind w:left="165"/>
            </w:pPr>
            <w:r>
              <w:rPr>
                <w:b/>
                <w:bCs/>
                <w:spacing w:val="-4"/>
              </w:rPr>
              <w:t>承办机构</w:t>
            </w:r>
          </w:p>
        </w:tc>
      </w:tr>
      <w:tr w14:paraId="11D33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3" w:hRule="atLeast"/>
        </w:trPr>
        <w:tc>
          <w:tcPr>
            <w:tcW w:w="641" w:type="dxa"/>
            <w:vAlign w:val="top"/>
          </w:tcPr>
          <w:p w14:paraId="4AE7474D">
            <w:pPr>
              <w:spacing w:line="246" w:lineRule="auto"/>
              <w:rPr>
                <w:rFonts w:ascii="Arial"/>
                <w:sz w:val="21"/>
              </w:rPr>
            </w:pPr>
          </w:p>
          <w:p w14:paraId="30128F4D">
            <w:pPr>
              <w:spacing w:line="246" w:lineRule="auto"/>
              <w:rPr>
                <w:rFonts w:ascii="Arial"/>
                <w:sz w:val="21"/>
              </w:rPr>
            </w:pPr>
          </w:p>
          <w:p w14:paraId="73EB7F53">
            <w:pPr>
              <w:spacing w:line="246" w:lineRule="auto"/>
              <w:rPr>
                <w:rFonts w:ascii="Arial"/>
                <w:sz w:val="21"/>
              </w:rPr>
            </w:pPr>
          </w:p>
          <w:p w14:paraId="2696B61C">
            <w:pPr>
              <w:spacing w:line="246" w:lineRule="auto"/>
              <w:rPr>
                <w:rFonts w:ascii="Arial"/>
                <w:sz w:val="21"/>
              </w:rPr>
            </w:pPr>
          </w:p>
          <w:p w14:paraId="6CD75F18">
            <w:pPr>
              <w:spacing w:line="246" w:lineRule="auto"/>
              <w:rPr>
                <w:rFonts w:ascii="Arial"/>
                <w:sz w:val="21"/>
              </w:rPr>
            </w:pPr>
          </w:p>
          <w:p w14:paraId="1004DC19">
            <w:pPr>
              <w:spacing w:line="246" w:lineRule="auto"/>
              <w:rPr>
                <w:rFonts w:ascii="Arial"/>
                <w:sz w:val="21"/>
              </w:rPr>
            </w:pPr>
          </w:p>
          <w:p w14:paraId="0F6BC0A6">
            <w:pPr>
              <w:spacing w:line="247" w:lineRule="auto"/>
              <w:rPr>
                <w:rFonts w:ascii="Arial"/>
                <w:sz w:val="21"/>
              </w:rPr>
            </w:pPr>
          </w:p>
          <w:p w14:paraId="10967338">
            <w:pPr>
              <w:pStyle w:val="8"/>
              <w:spacing w:before="59" w:line="183" w:lineRule="auto"/>
              <w:ind w:left="235"/>
            </w:pPr>
            <w:r>
              <w:rPr>
                <w:spacing w:val="-4"/>
              </w:rPr>
              <w:t>85</w:t>
            </w:r>
          </w:p>
        </w:tc>
        <w:tc>
          <w:tcPr>
            <w:tcW w:w="1136" w:type="dxa"/>
            <w:vAlign w:val="top"/>
          </w:tcPr>
          <w:p w14:paraId="7EA4ADE4">
            <w:pPr>
              <w:spacing w:line="287" w:lineRule="auto"/>
              <w:rPr>
                <w:rFonts w:ascii="Arial"/>
                <w:sz w:val="21"/>
              </w:rPr>
            </w:pPr>
          </w:p>
          <w:p w14:paraId="6B5738FD">
            <w:pPr>
              <w:spacing w:line="288" w:lineRule="auto"/>
              <w:rPr>
                <w:rFonts w:ascii="Arial"/>
                <w:sz w:val="21"/>
              </w:rPr>
            </w:pPr>
          </w:p>
          <w:p w14:paraId="7EA9E536">
            <w:pPr>
              <w:spacing w:line="288" w:lineRule="auto"/>
              <w:rPr>
                <w:rFonts w:ascii="Arial"/>
                <w:sz w:val="21"/>
              </w:rPr>
            </w:pPr>
          </w:p>
          <w:p w14:paraId="69AC1877">
            <w:pPr>
              <w:pStyle w:val="8"/>
              <w:spacing w:before="58" w:line="243" w:lineRule="auto"/>
              <w:ind w:left="109" w:right="48"/>
              <w:jc w:val="both"/>
            </w:pPr>
            <w:r>
              <w:rPr>
                <w:spacing w:val="3"/>
              </w:rPr>
              <w:t>对未按有关</w:t>
            </w:r>
            <w:r>
              <w:rPr>
                <w:spacing w:val="1"/>
              </w:rPr>
              <w:t xml:space="preserve"> </w:t>
            </w:r>
            <w:r>
              <w:rPr>
                <w:spacing w:val="3"/>
              </w:rPr>
              <w:t>规定申请发</w:t>
            </w:r>
            <w:r>
              <w:t xml:space="preserve"> </w:t>
            </w:r>
            <w:r>
              <w:rPr>
                <w:spacing w:val="-18"/>
              </w:rPr>
              <w:t>布航行警告、</w:t>
            </w:r>
            <w:r>
              <w:t xml:space="preserve"> </w:t>
            </w:r>
            <w:r>
              <w:rPr>
                <w:spacing w:val="3"/>
              </w:rPr>
              <w:t>航行通告即</w:t>
            </w:r>
            <w:r>
              <w:t xml:space="preserve"> </w:t>
            </w:r>
            <w:r>
              <w:rPr>
                <w:spacing w:val="3"/>
              </w:rPr>
              <w:t>行实施水上</w:t>
            </w:r>
            <w:r>
              <w:t xml:space="preserve"> </w:t>
            </w:r>
            <w:r>
              <w:rPr>
                <w:spacing w:val="3"/>
              </w:rPr>
              <w:t>水下活动等</w:t>
            </w:r>
            <w:r>
              <w:t xml:space="preserve"> </w:t>
            </w:r>
            <w:r>
              <w:rPr>
                <w:spacing w:val="3"/>
              </w:rPr>
              <w:t>行为的行政</w:t>
            </w:r>
            <w:r>
              <w:t xml:space="preserve"> </w:t>
            </w:r>
            <w:r>
              <w:rPr>
                <w:spacing w:val="-4"/>
              </w:rPr>
              <w:t>处罚</w:t>
            </w:r>
          </w:p>
        </w:tc>
        <w:tc>
          <w:tcPr>
            <w:tcW w:w="1136" w:type="dxa"/>
            <w:vAlign w:val="top"/>
          </w:tcPr>
          <w:p w14:paraId="2A610F33">
            <w:pPr>
              <w:spacing w:line="242" w:lineRule="auto"/>
              <w:rPr>
                <w:rFonts w:ascii="Arial"/>
                <w:sz w:val="21"/>
              </w:rPr>
            </w:pPr>
          </w:p>
          <w:p w14:paraId="36EB14B4">
            <w:pPr>
              <w:spacing w:line="242" w:lineRule="auto"/>
              <w:rPr>
                <w:rFonts w:ascii="Arial"/>
                <w:sz w:val="21"/>
              </w:rPr>
            </w:pPr>
          </w:p>
          <w:p w14:paraId="65896EBC">
            <w:pPr>
              <w:spacing w:line="242" w:lineRule="auto"/>
              <w:rPr>
                <w:rFonts w:ascii="Arial"/>
                <w:sz w:val="21"/>
              </w:rPr>
            </w:pPr>
          </w:p>
          <w:p w14:paraId="4340EE34">
            <w:pPr>
              <w:spacing w:line="242" w:lineRule="auto"/>
              <w:rPr>
                <w:rFonts w:ascii="Arial"/>
                <w:sz w:val="21"/>
              </w:rPr>
            </w:pPr>
          </w:p>
          <w:p w14:paraId="2159185B">
            <w:pPr>
              <w:spacing w:line="242" w:lineRule="auto"/>
              <w:rPr>
                <w:rFonts w:ascii="Arial"/>
                <w:sz w:val="21"/>
              </w:rPr>
            </w:pPr>
          </w:p>
          <w:p w14:paraId="2CCDAD2C">
            <w:pPr>
              <w:spacing w:line="242" w:lineRule="auto"/>
              <w:rPr>
                <w:rFonts w:ascii="Arial"/>
                <w:sz w:val="21"/>
              </w:rPr>
            </w:pPr>
          </w:p>
          <w:p w14:paraId="10458F3A">
            <w:pPr>
              <w:spacing w:line="243" w:lineRule="auto"/>
              <w:rPr>
                <w:rFonts w:ascii="Arial"/>
                <w:sz w:val="21"/>
              </w:rPr>
            </w:pPr>
          </w:p>
          <w:p w14:paraId="0E8918A2">
            <w:pPr>
              <w:pStyle w:val="8"/>
              <w:spacing w:before="58" w:line="220" w:lineRule="auto"/>
              <w:ind w:left="114"/>
            </w:pPr>
            <w:r>
              <w:rPr>
                <w:spacing w:val="-7"/>
              </w:rPr>
              <w:t>行政处罚</w:t>
            </w:r>
          </w:p>
        </w:tc>
        <w:tc>
          <w:tcPr>
            <w:tcW w:w="8806" w:type="dxa"/>
            <w:vAlign w:val="top"/>
          </w:tcPr>
          <w:p w14:paraId="2F9EDFFA">
            <w:pPr>
              <w:pStyle w:val="8"/>
              <w:spacing w:before="204" w:line="219" w:lineRule="auto"/>
              <w:ind w:left="479"/>
            </w:pPr>
            <w:r>
              <w:rPr>
                <w:b/>
                <w:bCs/>
                <w:spacing w:val="-4"/>
              </w:rPr>
              <w:t>1.《中华人民共和国内河交通安全管理条例》</w:t>
            </w:r>
          </w:p>
          <w:p w14:paraId="07B9EA0F">
            <w:pPr>
              <w:pStyle w:val="8"/>
              <w:spacing w:before="26" w:line="232" w:lineRule="auto"/>
              <w:ind w:left="109" w:right="45" w:firstLine="358"/>
            </w:pPr>
            <w:r>
              <w:rPr>
                <w:spacing w:val="-1"/>
              </w:rPr>
              <w:t>第四十五条  海事管理机构划定或者调整禁航区、交通管制区、港区外锚地、停泊区和安全作</w:t>
            </w:r>
            <w:r>
              <w:rPr>
                <w:spacing w:val="-2"/>
              </w:rPr>
              <w:t>业区，以及</w:t>
            </w:r>
            <w:r>
              <w:t xml:space="preserve"> </w:t>
            </w:r>
            <w:r>
              <w:rPr>
                <w:spacing w:val="-3"/>
              </w:rPr>
              <w:t>对进行本条例第二十五条、第二十八条规定的</w:t>
            </w:r>
            <w:r>
              <w:rPr>
                <w:spacing w:val="-4"/>
              </w:rPr>
              <w:t>作业或者活动，需要发布航行通告、航行警告的，应当及时发布。</w:t>
            </w:r>
          </w:p>
          <w:p w14:paraId="08A7CE69">
            <w:pPr>
              <w:pStyle w:val="8"/>
              <w:spacing w:before="26" w:line="219" w:lineRule="auto"/>
              <w:ind w:left="467"/>
            </w:pPr>
            <w:r>
              <w:rPr>
                <w:b/>
                <w:bCs/>
                <w:spacing w:val="-3"/>
              </w:rPr>
              <w:t>2.《中华人民共和国水上水下作业和活动通航安全管理规定》（交通运输部令2</w:t>
            </w:r>
            <w:r>
              <w:rPr>
                <w:b/>
                <w:bCs/>
                <w:spacing w:val="-4"/>
              </w:rPr>
              <w:t>021年第24号）</w:t>
            </w:r>
          </w:p>
          <w:p w14:paraId="62BF2E45">
            <w:pPr>
              <w:pStyle w:val="8"/>
              <w:spacing w:before="26" w:line="233" w:lineRule="auto"/>
              <w:ind w:left="114" w:right="98" w:firstLine="354"/>
            </w:pPr>
            <w:r>
              <w:rPr>
                <w:spacing w:val="-5"/>
              </w:rPr>
              <w:t>第十九条  从事按规定需要发布航行警告、航行通告的水上水下作业或者活动，应当在作业或者活动开始前</w:t>
            </w:r>
            <w:r>
              <w:rPr>
                <w:spacing w:val="13"/>
              </w:rPr>
              <w:t xml:space="preserve"> </w:t>
            </w:r>
            <w:r>
              <w:rPr>
                <w:spacing w:val="-8"/>
              </w:rPr>
              <w:t>办妥相关手续。</w:t>
            </w:r>
          </w:p>
          <w:p w14:paraId="5D77EA72">
            <w:pPr>
              <w:pStyle w:val="8"/>
              <w:spacing w:before="25" w:line="237" w:lineRule="auto"/>
              <w:ind w:left="111" w:right="98" w:firstLine="356"/>
            </w:pPr>
            <w:r>
              <w:rPr>
                <w:spacing w:val="-1"/>
              </w:rPr>
              <w:t>第三十三条  有下列情形之一的，海事管理机构应当责令停止作业或者活动，可以处2000元以下的罚款：</w:t>
            </w:r>
            <w:r>
              <w:rPr>
                <w:spacing w:val="2"/>
              </w:rPr>
              <w:t xml:space="preserve"> </w:t>
            </w:r>
            <w:r>
              <w:rPr>
                <w:spacing w:val="-7"/>
              </w:rPr>
              <w:t>（一）未按有关规定申请发布航行警告、航行通告即行实施水上水下作业或者活动的</w:t>
            </w:r>
            <w:r>
              <w:rPr>
                <w:spacing w:val="-35"/>
              </w:rPr>
              <w:t>；（</w:t>
            </w:r>
            <w:r>
              <w:rPr>
                <w:spacing w:val="-7"/>
              </w:rPr>
              <w:t>二）水上水下</w:t>
            </w:r>
            <w:r>
              <w:rPr>
                <w:spacing w:val="-8"/>
              </w:rPr>
              <w:t>作业或者活</w:t>
            </w:r>
            <w:r>
              <w:rPr>
                <w:spacing w:val="1"/>
              </w:rPr>
              <w:t xml:space="preserve"> </w:t>
            </w:r>
            <w:r>
              <w:rPr>
                <w:spacing w:val="-5"/>
              </w:rPr>
              <w:t>动与航行警告、航行通告中公告的内容不符的。</w:t>
            </w:r>
          </w:p>
          <w:p w14:paraId="0141C935">
            <w:pPr>
              <w:pStyle w:val="8"/>
              <w:spacing w:before="27" w:line="219" w:lineRule="auto"/>
              <w:ind w:left="469"/>
            </w:pPr>
            <w:r>
              <w:rPr>
                <w:b/>
                <w:bCs/>
                <w:spacing w:val="-3"/>
              </w:rPr>
              <w:t>3.《中华人民共和国内河海事行政处罚规定》（交通运输部令20</w:t>
            </w:r>
            <w:r>
              <w:rPr>
                <w:b/>
                <w:bCs/>
                <w:spacing w:val="-4"/>
              </w:rPr>
              <w:t>22年第28号）</w:t>
            </w:r>
          </w:p>
          <w:p w14:paraId="0A9F815D">
            <w:pPr>
              <w:pStyle w:val="8"/>
              <w:spacing w:before="25"/>
              <w:ind w:left="109" w:right="93" w:firstLine="359"/>
              <w:jc w:val="both"/>
            </w:pPr>
            <w:r>
              <w:rPr>
                <w:spacing w:val="-12"/>
              </w:rPr>
              <w:t>第二十七条</w:t>
            </w:r>
            <w:r>
              <w:rPr>
                <w:spacing w:val="84"/>
              </w:rPr>
              <w:t xml:space="preserve"> </w:t>
            </w:r>
            <w:r>
              <w:rPr>
                <w:spacing w:val="-12"/>
              </w:rPr>
              <w:t>违反《内河交通安全管理条例》第四十五条，有下列行为或者情形之一的，责令改正，并可以处以</w:t>
            </w:r>
            <w:r>
              <w:t xml:space="preserve"> </w:t>
            </w:r>
            <w:r>
              <w:rPr>
                <w:spacing w:val="-7"/>
              </w:rPr>
              <w:t>2000元以下的罚款；拒不改正的，责令施工作业单位、施工作业的船舶和设施停止作业</w:t>
            </w:r>
            <w:r>
              <w:rPr>
                <w:spacing w:val="-30"/>
              </w:rPr>
              <w:t>：（</w:t>
            </w:r>
            <w:r>
              <w:rPr>
                <w:spacing w:val="-7"/>
              </w:rPr>
              <w:t>一）未按照有关规定申</w:t>
            </w:r>
            <w:r>
              <w:t xml:space="preserve"> </w:t>
            </w:r>
            <w:r>
              <w:rPr>
                <w:spacing w:val="-1"/>
              </w:rPr>
              <w:t>请发布航行警告、航行通告即行实施水上水下活动的</w:t>
            </w:r>
            <w:r>
              <w:rPr>
                <w:spacing w:val="-4"/>
              </w:rPr>
              <w:t>；（</w:t>
            </w:r>
            <w:r>
              <w:rPr>
                <w:spacing w:val="-1"/>
              </w:rPr>
              <w:t>二）水上水下活动与航行警告、航行通告中公告的内</w:t>
            </w:r>
            <w:r>
              <w:rPr>
                <w:spacing w:val="1"/>
              </w:rPr>
              <w:t xml:space="preserve"> </w:t>
            </w:r>
            <w:r>
              <w:rPr>
                <w:spacing w:val="-5"/>
              </w:rPr>
              <w:t>容不符的。</w:t>
            </w:r>
          </w:p>
        </w:tc>
        <w:tc>
          <w:tcPr>
            <w:tcW w:w="1043" w:type="dxa"/>
            <w:vAlign w:val="top"/>
          </w:tcPr>
          <w:p w14:paraId="4312E224">
            <w:pPr>
              <w:spacing w:line="262" w:lineRule="auto"/>
              <w:rPr>
                <w:rFonts w:ascii="Arial"/>
                <w:sz w:val="21"/>
              </w:rPr>
            </w:pPr>
          </w:p>
          <w:p w14:paraId="32AF8E2D">
            <w:pPr>
              <w:spacing w:line="262" w:lineRule="auto"/>
              <w:rPr>
                <w:rFonts w:ascii="Arial"/>
                <w:sz w:val="21"/>
              </w:rPr>
            </w:pPr>
          </w:p>
          <w:p w14:paraId="1034A6FF">
            <w:pPr>
              <w:spacing w:line="262" w:lineRule="auto"/>
              <w:rPr>
                <w:rFonts w:ascii="Arial"/>
                <w:sz w:val="21"/>
              </w:rPr>
            </w:pPr>
          </w:p>
          <w:p w14:paraId="1CBEE43B">
            <w:pPr>
              <w:spacing w:line="263" w:lineRule="auto"/>
              <w:rPr>
                <w:rFonts w:ascii="Arial"/>
                <w:sz w:val="21"/>
              </w:rPr>
            </w:pPr>
          </w:p>
          <w:p w14:paraId="1A681849">
            <w:pPr>
              <w:spacing w:line="263" w:lineRule="auto"/>
              <w:rPr>
                <w:rFonts w:ascii="Arial"/>
                <w:sz w:val="21"/>
              </w:rPr>
            </w:pPr>
          </w:p>
          <w:p w14:paraId="5783EBFC">
            <w:pPr>
              <w:spacing w:line="263" w:lineRule="auto"/>
              <w:rPr>
                <w:rFonts w:ascii="Arial"/>
                <w:sz w:val="21"/>
              </w:rPr>
            </w:pPr>
          </w:p>
          <w:p w14:paraId="136C12AF">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23CCE28C">
            <w:pPr>
              <w:spacing w:line="242" w:lineRule="auto"/>
              <w:rPr>
                <w:rFonts w:ascii="Arial"/>
                <w:sz w:val="21"/>
              </w:rPr>
            </w:pPr>
          </w:p>
          <w:p w14:paraId="20EA5DB0">
            <w:pPr>
              <w:spacing w:line="242" w:lineRule="auto"/>
              <w:rPr>
                <w:rFonts w:ascii="Arial"/>
                <w:sz w:val="21"/>
              </w:rPr>
            </w:pPr>
          </w:p>
          <w:p w14:paraId="441875F8">
            <w:pPr>
              <w:spacing w:line="242" w:lineRule="auto"/>
              <w:rPr>
                <w:rFonts w:ascii="Arial"/>
                <w:sz w:val="21"/>
              </w:rPr>
            </w:pPr>
          </w:p>
          <w:p w14:paraId="6840DEB3">
            <w:pPr>
              <w:spacing w:line="242" w:lineRule="auto"/>
              <w:rPr>
                <w:rFonts w:ascii="Arial"/>
                <w:sz w:val="21"/>
              </w:rPr>
            </w:pPr>
          </w:p>
          <w:p w14:paraId="33C28C97">
            <w:pPr>
              <w:spacing w:line="242" w:lineRule="auto"/>
              <w:rPr>
                <w:rFonts w:ascii="Arial"/>
                <w:sz w:val="21"/>
              </w:rPr>
            </w:pPr>
          </w:p>
          <w:p w14:paraId="03579BE5">
            <w:pPr>
              <w:spacing w:line="242" w:lineRule="auto"/>
              <w:rPr>
                <w:rFonts w:ascii="Arial"/>
                <w:sz w:val="21"/>
              </w:rPr>
            </w:pPr>
          </w:p>
          <w:p w14:paraId="76A7422E">
            <w:pPr>
              <w:spacing w:line="243" w:lineRule="auto"/>
              <w:rPr>
                <w:rFonts w:ascii="Arial"/>
                <w:sz w:val="21"/>
              </w:rPr>
            </w:pPr>
          </w:p>
          <w:p w14:paraId="6E9AF8CE">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65B41DC">
            <w:pPr>
              <w:spacing w:line="267" w:lineRule="auto"/>
              <w:rPr>
                <w:rFonts w:ascii="Arial"/>
                <w:sz w:val="21"/>
              </w:rPr>
            </w:pPr>
          </w:p>
          <w:p w14:paraId="187E09FD">
            <w:pPr>
              <w:spacing w:line="267" w:lineRule="auto"/>
              <w:rPr>
                <w:rFonts w:ascii="Arial"/>
                <w:sz w:val="21"/>
              </w:rPr>
            </w:pPr>
          </w:p>
          <w:p w14:paraId="7E01E630">
            <w:pPr>
              <w:spacing w:line="268" w:lineRule="auto"/>
              <w:rPr>
                <w:rFonts w:ascii="Arial"/>
                <w:sz w:val="21"/>
              </w:rPr>
            </w:pPr>
          </w:p>
          <w:p w14:paraId="0253F89E">
            <w:pPr>
              <w:spacing w:line="268" w:lineRule="auto"/>
              <w:rPr>
                <w:rFonts w:ascii="Arial"/>
                <w:sz w:val="21"/>
              </w:rPr>
            </w:pPr>
          </w:p>
          <w:p w14:paraId="7EFED22B">
            <w:pPr>
              <w:spacing w:line="268" w:lineRule="auto"/>
              <w:rPr>
                <w:rFonts w:ascii="Arial"/>
                <w:sz w:val="21"/>
              </w:rPr>
            </w:pPr>
          </w:p>
          <w:p w14:paraId="3A12A9E0">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0E221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8" w:hRule="atLeast"/>
        </w:trPr>
        <w:tc>
          <w:tcPr>
            <w:tcW w:w="641" w:type="dxa"/>
            <w:vAlign w:val="top"/>
          </w:tcPr>
          <w:p w14:paraId="0AFA8D99">
            <w:pPr>
              <w:spacing w:line="245" w:lineRule="auto"/>
              <w:rPr>
                <w:rFonts w:ascii="Arial"/>
                <w:sz w:val="21"/>
              </w:rPr>
            </w:pPr>
          </w:p>
          <w:p w14:paraId="4EBE9B06">
            <w:pPr>
              <w:spacing w:line="245" w:lineRule="auto"/>
              <w:rPr>
                <w:rFonts w:ascii="Arial"/>
                <w:sz w:val="21"/>
              </w:rPr>
            </w:pPr>
          </w:p>
          <w:p w14:paraId="701CF7B9">
            <w:pPr>
              <w:spacing w:line="245" w:lineRule="auto"/>
              <w:rPr>
                <w:rFonts w:ascii="Arial"/>
                <w:sz w:val="21"/>
              </w:rPr>
            </w:pPr>
          </w:p>
          <w:p w14:paraId="054FB49B">
            <w:pPr>
              <w:spacing w:line="245" w:lineRule="auto"/>
              <w:rPr>
                <w:rFonts w:ascii="Arial"/>
                <w:sz w:val="21"/>
              </w:rPr>
            </w:pPr>
          </w:p>
          <w:p w14:paraId="5C241264">
            <w:pPr>
              <w:spacing w:line="246" w:lineRule="auto"/>
              <w:rPr>
                <w:rFonts w:ascii="Arial"/>
                <w:sz w:val="21"/>
              </w:rPr>
            </w:pPr>
          </w:p>
          <w:p w14:paraId="4A776915">
            <w:pPr>
              <w:spacing w:line="246" w:lineRule="auto"/>
              <w:rPr>
                <w:rFonts w:ascii="Arial"/>
                <w:sz w:val="21"/>
              </w:rPr>
            </w:pPr>
          </w:p>
          <w:p w14:paraId="7CE395BC">
            <w:pPr>
              <w:spacing w:line="246" w:lineRule="auto"/>
              <w:rPr>
                <w:rFonts w:ascii="Arial"/>
                <w:sz w:val="21"/>
              </w:rPr>
            </w:pPr>
          </w:p>
          <w:p w14:paraId="016941C2">
            <w:pPr>
              <w:spacing w:line="246" w:lineRule="auto"/>
              <w:rPr>
                <w:rFonts w:ascii="Arial"/>
                <w:sz w:val="21"/>
              </w:rPr>
            </w:pPr>
          </w:p>
          <w:p w14:paraId="083811F0">
            <w:pPr>
              <w:spacing w:line="246" w:lineRule="auto"/>
              <w:rPr>
                <w:rFonts w:ascii="Arial"/>
                <w:sz w:val="21"/>
              </w:rPr>
            </w:pPr>
          </w:p>
          <w:p w14:paraId="444E87FA">
            <w:pPr>
              <w:spacing w:line="246" w:lineRule="auto"/>
              <w:rPr>
                <w:rFonts w:ascii="Arial"/>
                <w:sz w:val="21"/>
              </w:rPr>
            </w:pPr>
          </w:p>
          <w:p w14:paraId="60338506">
            <w:pPr>
              <w:pStyle w:val="8"/>
              <w:spacing w:before="58" w:line="183" w:lineRule="auto"/>
              <w:ind w:left="235"/>
            </w:pPr>
            <w:r>
              <w:rPr>
                <w:spacing w:val="-4"/>
              </w:rPr>
              <w:t>86</w:t>
            </w:r>
          </w:p>
        </w:tc>
        <w:tc>
          <w:tcPr>
            <w:tcW w:w="1136" w:type="dxa"/>
            <w:vAlign w:val="top"/>
          </w:tcPr>
          <w:p w14:paraId="4B19EF30">
            <w:pPr>
              <w:spacing w:line="265" w:lineRule="auto"/>
              <w:rPr>
                <w:rFonts w:ascii="Arial"/>
                <w:sz w:val="21"/>
              </w:rPr>
            </w:pPr>
          </w:p>
          <w:p w14:paraId="63CF8A05">
            <w:pPr>
              <w:spacing w:line="265" w:lineRule="auto"/>
              <w:rPr>
                <w:rFonts w:ascii="Arial"/>
                <w:sz w:val="21"/>
              </w:rPr>
            </w:pPr>
          </w:p>
          <w:p w14:paraId="1EF55D35">
            <w:pPr>
              <w:spacing w:line="265" w:lineRule="auto"/>
              <w:rPr>
                <w:rFonts w:ascii="Arial"/>
                <w:sz w:val="21"/>
              </w:rPr>
            </w:pPr>
          </w:p>
          <w:p w14:paraId="3CF48398">
            <w:pPr>
              <w:spacing w:line="265" w:lineRule="auto"/>
              <w:rPr>
                <w:rFonts w:ascii="Arial"/>
                <w:sz w:val="21"/>
              </w:rPr>
            </w:pPr>
          </w:p>
          <w:p w14:paraId="3FBDA39A">
            <w:pPr>
              <w:spacing w:line="265" w:lineRule="auto"/>
              <w:rPr>
                <w:rFonts w:ascii="Arial"/>
                <w:sz w:val="21"/>
              </w:rPr>
            </w:pPr>
          </w:p>
          <w:p w14:paraId="23A6CF30">
            <w:pPr>
              <w:spacing w:line="265" w:lineRule="auto"/>
              <w:rPr>
                <w:rFonts w:ascii="Arial"/>
                <w:sz w:val="21"/>
              </w:rPr>
            </w:pPr>
          </w:p>
          <w:p w14:paraId="1E8C843F">
            <w:pPr>
              <w:pStyle w:val="8"/>
              <w:spacing w:before="58" w:line="243" w:lineRule="auto"/>
              <w:ind w:left="109" w:right="104"/>
              <w:jc w:val="both"/>
            </w:pPr>
            <w:r>
              <w:rPr>
                <w:spacing w:val="3"/>
              </w:rPr>
              <w:t>对船员培训</w:t>
            </w:r>
            <w:r>
              <w:rPr>
                <w:spacing w:val="1"/>
              </w:rPr>
              <w:t xml:space="preserve"> </w:t>
            </w:r>
            <w:r>
              <w:rPr>
                <w:spacing w:val="3"/>
              </w:rPr>
              <w:t>机构不如实</w:t>
            </w:r>
            <w:r>
              <w:rPr>
                <w:spacing w:val="1"/>
              </w:rPr>
              <w:t xml:space="preserve"> </w:t>
            </w:r>
            <w:r>
              <w:rPr>
                <w:spacing w:val="3"/>
              </w:rPr>
              <w:t>告知学员对</w:t>
            </w:r>
            <w:r>
              <w:rPr>
                <w:spacing w:val="1"/>
              </w:rPr>
              <w:t xml:space="preserve"> </w:t>
            </w:r>
            <w:r>
              <w:rPr>
                <w:spacing w:val="3"/>
              </w:rPr>
              <w:t>培训项目的</w:t>
            </w:r>
            <w:r>
              <w:rPr>
                <w:spacing w:val="1"/>
              </w:rPr>
              <w:t xml:space="preserve"> </w:t>
            </w:r>
            <w:r>
              <w:rPr>
                <w:spacing w:val="3"/>
              </w:rPr>
              <w:t>规定和要求</w:t>
            </w:r>
            <w:r>
              <w:rPr>
                <w:spacing w:val="1"/>
              </w:rPr>
              <w:t xml:space="preserve"> </w:t>
            </w:r>
            <w:r>
              <w:rPr>
                <w:spacing w:val="3"/>
              </w:rPr>
              <w:t>等行为的行</w:t>
            </w:r>
            <w:r>
              <w:rPr>
                <w:spacing w:val="1"/>
              </w:rPr>
              <w:t xml:space="preserve"> </w:t>
            </w:r>
            <w:r>
              <w:rPr>
                <w:spacing w:val="-4"/>
              </w:rPr>
              <w:t>政处罚</w:t>
            </w:r>
          </w:p>
        </w:tc>
        <w:tc>
          <w:tcPr>
            <w:tcW w:w="1136" w:type="dxa"/>
            <w:vAlign w:val="top"/>
          </w:tcPr>
          <w:p w14:paraId="015ABB25">
            <w:pPr>
              <w:spacing w:line="242" w:lineRule="auto"/>
              <w:rPr>
                <w:rFonts w:ascii="Arial"/>
                <w:sz w:val="21"/>
              </w:rPr>
            </w:pPr>
          </w:p>
          <w:p w14:paraId="3D6ACFFE">
            <w:pPr>
              <w:spacing w:line="242" w:lineRule="auto"/>
              <w:rPr>
                <w:rFonts w:ascii="Arial"/>
                <w:sz w:val="21"/>
              </w:rPr>
            </w:pPr>
          </w:p>
          <w:p w14:paraId="62CEE196">
            <w:pPr>
              <w:spacing w:line="242" w:lineRule="auto"/>
              <w:rPr>
                <w:rFonts w:ascii="Arial"/>
                <w:sz w:val="21"/>
              </w:rPr>
            </w:pPr>
          </w:p>
          <w:p w14:paraId="5287B7CD">
            <w:pPr>
              <w:spacing w:line="243" w:lineRule="auto"/>
              <w:rPr>
                <w:rFonts w:ascii="Arial"/>
                <w:sz w:val="21"/>
              </w:rPr>
            </w:pPr>
          </w:p>
          <w:p w14:paraId="1B19077C">
            <w:pPr>
              <w:spacing w:line="243" w:lineRule="auto"/>
              <w:rPr>
                <w:rFonts w:ascii="Arial"/>
                <w:sz w:val="21"/>
              </w:rPr>
            </w:pPr>
          </w:p>
          <w:p w14:paraId="0EB9F45B">
            <w:pPr>
              <w:spacing w:line="243" w:lineRule="auto"/>
              <w:rPr>
                <w:rFonts w:ascii="Arial"/>
                <w:sz w:val="21"/>
              </w:rPr>
            </w:pPr>
          </w:p>
          <w:p w14:paraId="0E98B387">
            <w:pPr>
              <w:spacing w:line="243" w:lineRule="auto"/>
              <w:rPr>
                <w:rFonts w:ascii="Arial"/>
                <w:sz w:val="21"/>
              </w:rPr>
            </w:pPr>
          </w:p>
          <w:p w14:paraId="2E8FC030">
            <w:pPr>
              <w:spacing w:line="243" w:lineRule="auto"/>
              <w:rPr>
                <w:rFonts w:ascii="Arial"/>
                <w:sz w:val="21"/>
              </w:rPr>
            </w:pPr>
          </w:p>
          <w:p w14:paraId="394ACC86">
            <w:pPr>
              <w:spacing w:line="243" w:lineRule="auto"/>
              <w:rPr>
                <w:rFonts w:ascii="Arial"/>
                <w:sz w:val="21"/>
              </w:rPr>
            </w:pPr>
          </w:p>
          <w:p w14:paraId="313D2956">
            <w:pPr>
              <w:spacing w:line="243" w:lineRule="auto"/>
              <w:rPr>
                <w:rFonts w:ascii="Arial"/>
                <w:sz w:val="21"/>
              </w:rPr>
            </w:pPr>
          </w:p>
          <w:p w14:paraId="563676DE">
            <w:pPr>
              <w:pStyle w:val="8"/>
              <w:spacing w:before="59" w:line="220" w:lineRule="auto"/>
              <w:ind w:left="114"/>
            </w:pPr>
            <w:r>
              <w:rPr>
                <w:spacing w:val="-7"/>
              </w:rPr>
              <w:t>行政处罚</w:t>
            </w:r>
          </w:p>
        </w:tc>
        <w:tc>
          <w:tcPr>
            <w:tcW w:w="8806" w:type="dxa"/>
            <w:vAlign w:val="top"/>
          </w:tcPr>
          <w:p w14:paraId="1434B5DE">
            <w:pPr>
              <w:pStyle w:val="8"/>
              <w:spacing w:before="101" w:line="219" w:lineRule="auto"/>
              <w:ind w:left="473"/>
            </w:pPr>
            <w:r>
              <w:rPr>
                <w:b/>
                <w:bCs/>
                <w:spacing w:val="-4"/>
              </w:rPr>
              <w:t>《中华人民共和国船员培训管理规则》（交通运输部令2019年第5号）</w:t>
            </w:r>
          </w:p>
          <w:p w14:paraId="7A3BA818">
            <w:pPr>
              <w:pStyle w:val="8"/>
              <w:spacing w:before="26" w:line="219" w:lineRule="auto"/>
              <w:ind w:left="468"/>
            </w:pPr>
            <w:r>
              <w:rPr>
                <w:spacing w:val="-2"/>
              </w:rPr>
              <w:t>第十六条第一款</w:t>
            </w:r>
            <w:r>
              <w:rPr>
                <w:spacing w:val="83"/>
              </w:rPr>
              <w:t xml:space="preserve"> </w:t>
            </w:r>
            <w:r>
              <w:rPr>
                <w:spacing w:val="-2"/>
              </w:rPr>
              <w:t>《船员培训许可证》记载事项发生变更的，培训机构应当向中华人民共和国海事</w:t>
            </w:r>
            <w:r>
              <w:rPr>
                <w:spacing w:val="-3"/>
              </w:rPr>
              <w:t>局申请</w:t>
            </w:r>
          </w:p>
          <w:p w14:paraId="4B25E86B">
            <w:pPr>
              <w:pStyle w:val="8"/>
              <w:spacing w:before="27" w:line="219" w:lineRule="auto"/>
              <w:ind w:left="114"/>
            </w:pPr>
            <w:r>
              <w:rPr>
                <w:spacing w:val="-3"/>
              </w:rPr>
              <w:t>办理变更手续。</w:t>
            </w:r>
          </w:p>
          <w:p w14:paraId="7B3C9953">
            <w:pPr>
              <w:pStyle w:val="8"/>
              <w:spacing w:before="25" w:line="233" w:lineRule="auto"/>
              <w:ind w:left="109" w:right="153" w:firstLine="359"/>
            </w:pPr>
            <w:r>
              <w:rPr>
                <w:spacing w:val="-2"/>
              </w:rPr>
              <w:t>第二十二条  培训机构应当按照交通运输部规定的船员培训大纲和水上交通安全、防治</w:t>
            </w:r>
            <w:r>
              <w:rPr>
                <w:spacing w:val="-3"/>
              </w:rPr>
              <w:t>船舶污染等要求设</w:t>
            </w:r>
            <w:r>
              <w:t xml:space="preserve"> </w:t>
            </w:r>
            <w:r>
              <w:rPr>
                <w:spacing w:val="-3"/>
              </w:rPr>
              <w:t>置培训课程、制定培训计划并开展培训。</w:t>
            </w:r>
          </w:p>
          <w:p w14:paraId="62221B18">
            <w:pPr>
              <w:pStyle w:val="8"/>
              <w:spacing w:before="25" w:line="233" w:lineRule="auto"/>
              <w:ind w:left="109" w:right="331" w:firstLine="358"/>
            </w:pPr>
            <w:r>
              <w:rPr>
                <w:spacing w:val="-2"/>
              </w:rPr>
              <w:t>第二十六条  培训机构在招生时应当向学员告知中华人民共和国海事局规定的有关培</w:t>
            </w:r>
            <w:r>
              <w:rPr>
                <w:spacing w:val="-3"/>
              </w:rPr>
              <w:t>训项目中对船员年</w:t>
            </w:r>
            <w:r>
              <w:t xml:space="preserve"> </w:t>
            </w:r>
            <w:r>
              <w:rPr>
                <w:spacing w:val="-2"/>
              </w:rPr>
              <w:t>龄、持证情况、船上服务资历、见习资历、安全任职记录、身体健康状况等方面</w:t>
            </w:r>
            <w:r>
              <w:rPr>
                <w:spacing w:val="-3"/>
              </w:rPr>
              <w:t>的要求。</w:t>
            </w:r>
          </w:p>
          <w:p w14:paraId="34887F9E">
            <w:pPr>
              <w:pStyle w:val="8"/>
              <w:spacing w:before="25" w:line="219" w:lineRule="auto"/>
              <w:ind w:left="468"/>
            </w:pPr>
            <w:r>
              <w:rPr>
                <w:spacing w:val="-2"/>
              </w:rPr>
              <w:t>培训机构开展培训的课程应当经过海事管理</w:t>
            </w:r>
            <w:r>
              <w:rPr>
                <w:spacing w:val="-3"/>
              </w:rPr>
              <w:t>机构确认。</w:t>
            </w:r>
          </w:p>
          <w:p w14:paraId="1CCD2B14">
            <w:pPr>
              <w:pStyle w:val="8"/>
              <w:spacing w:before="26" w:line="238" w:lineRule="auto"/>
              <w:ind w:left="112" w:right="107" w:firstLine="356"/>
            </w:pPr>
            <w:r>
              <w:rPr>
                <w:spacing w:val="-3"/>
              </w:rPr>
              <w:t>第二十八条  培训机构应当在每期培训班开班3日前以书面或者电子方式将培训计划报海事管理机构备</w:t>
            </w:r>
            <w:r>
              <w:rPr>
                <w:spacing w:val="-4"/>
              </w:rPr>
              <w:t>案，</w:t>
            </w:r>
            <w:r>
              <w:t xml:space="preserve"> </w:t>
            </w:r>
            <w:r>
              <w:rPr>
                <w:spacing w:val="-2"/>
              </w:rPr>
              <w:t>备案内容应当包括培训规模、教学计划和日程安排、承担本期培训教学的教员情况及培训设</w:t>
            </w:r>
            <w:r>
              <w:rPr>
                <w:spacing w:val="-3"/>
              </w:rPr>
              <w:t>施、设备、教材等</w:t>
            </w:r>
            <w:r>
              <w:t xml:space="preserve"> </w:t>
            </w:r>
            <w:r>
              <w:rPr>
                <w:spacing w:val="-6"/>
              </w:rPr>
              <w:t>准备情况。</w:t>
            </w:r>
          </w:p>
          <w:p w14:paraId="61C0C7A5">
            <w:pPr>
              <w:pStyle w:val="8"/>
              <w:spacing w:before="25" w:line="219" w:lineRule="auto"/>
              <w:ind w:left="468"/>
            </w:pPr>
            <w:r>
              <w:rPr>
                <w:spacing w:val="-2"/>
              </w:rPr>
              <w:t>培训机构应当在每期培训班开班前将学员名册向海事管理</w:t>
            </w:r>
            <w:r>
              <w:rPr>
                <w:spacing w:val="-3"/>
              </w:rPr>
              <w:t>机构备案。</w:t>
            </w:r>
          </w:p>
          <w:p w14:paraId="78C100B7">
            <w:pPr>
              <w:pStyle w:val="8"/>
              <w:spacing w:before="26" w:line="233" w:lineRule="auto"/>
              <w:ind w:left="112" w:right="151" w:firstLine="355"/>
            </w:pPr>
            <w:r>
              <w:rPr>
                <w:spacing w:val="-2"/>
              </w:rPr>
              <w:t>第三十条  培训机构应当为在本机构参加培训的学员建立培训档案，并在培训结束后出具相</w:t>
            </w:r>
            <w:r>
              <w:rPr>
                <w:spacing w:val="-3"/>
              </w:rPr>
              <w:t>应的《船员培</w:t>
            </w:r>
            <w:r>
              <w:t xml:space="preserve"> </w:t>
            </w:r>
            <w:r>
              <w:rPr>
                <w:spacing w:val="-6"/>
              </w:rPr>
              <w:t>训证明》。</w:t>
            </w:r>
          </w:p>
          <w:p w14:paraId="297210D9">
            <w:pPr>
              <w:pStyle w:val="8"/>
              <w:spacing w:before="26" w:line="219" w:lineRule="auto"/>
              <w:ind w:left="467"/>
            </w:pPr>
            <w:r>
              <w:rPr>
                <w:spacing w:val="-2"/>
              </w:rPr>
              <w:t>对培训出勤率低于规定培训课时90％的学员，培训机构不得出具培训证</w:t>
            </w:r>
            <w:r>
              <w:rPr>
                <w:spacing w:val="-3"/>
              </w:rPr>
              <w:t>明。</w:t>
            </w:r>
          </w:p>
          <w:p w14:paraId="08EF611D">
            <w:pPr>
              <w:pStyle w:val="8"/>
              <w:spacing w:before="26" w:line="233" w:lineRule="auto"/>
              <w:ind w:left="112" w:right="153" w:firstLine="355"/>
            </w:pPr>
            <w:r>
              <w:rPr>
                <w:spacing w:val="-2"/>
              </w:rPr>
              <w:t>第三十四条第一款  开展船上见习或者知识更新培训的航运公司和相关机构，应当将船</w:t>
            </w:r>
            <w:r>
              <w:rPr>
                <w:spacing w:val="-3"/>
              </w:rPr>
              <w:t>上培训计划、学员</w:t>
            </w:r>
            <w:r>
              <w:t xml:space="preserve"> </w:t>
            </w:r>
            <w:r>
              <w:rPr>
                <w:spacing w:val="-2"/>
              </w:rPr>
              <w:t>名单，负责指导和训练学员的船长及高级船员的名单、资历等信息报送</w:t>
            </w:r>
            <w:r>
              <w:rPr>
                <w:spacing w:val="-3"/>
              </w:rPr>
              <w:t>海事管理机构。</w:t>
            </w:r>
          </w:p>
          <w:p w14:paraId="2A1FA051">
            <w:pPr>
              <w:pStyle w:val="8"/>
              <w:spacing w:before="24"/>
              <w:ind w:left="110" w:right="103" w:firstLine="357"/>
            </w:pPr>
            <w:r>
              <w:rPr>
                <w:spacing w:val="-3"/>
              </w:rPr>
              <w:t>第四十七条  违反本规则的规定，培训机构有下列情形之一的，由海事管理机构责令改正，并处1万元以上</w:t>
            </w:r>
            <w:r>
              <w:rPr>
                <w:spacing w:val="2"/>
              </w:rPr>
              <w:t xml:space="preserve"> </w:t>
            </w:r>
            <w:r>
              <w:rPr>
                <w:spacing w:val="-1"/>
              </w:rPr>
              <w:t>3万元以下罚款</w:t>
            </w:r>
            <w:r>
              <w:rPr>
                <w:spacing w:val="-22"/>
              </w:rPr>
              <w:t>：（</w:t>
            </w:r>
            <w:r>
              <w:rPr>
                <w:spacing w:val="-1"/>
              </w:rPr>
              <w:t>一）不如实告知学员对培训项目的规定和要求的</w:t>
            </w:r>
            <w:r>
              <w:rPr>
                <w:spacing w:val="-22"/>
              </w:rPr>
              <w:t>；（</w:t>
            </w:r>
            <w:r>
              <w:rPr>
                <w:spacing w:val="-1"/>
              </w:rPr>
              <w:t>二）不按照</w:t>
            </w:r>
            <w:r>
              <w:rPr>
                <w:spacing w:val="-2"/>
              </w:rPr>
              <w:t>规定向海事管理机构备案培</w:t>
            </w:r>
            <w:r>
              <w:rPr>
                <w:spacing w:val="1"/>
              </w:rPr>
              <w:t xml:space="preserve"> </w:t>
            </w:r>
            <w:r>
              <w:rPr>
                <w:spacing w:val="-1"/>
              </w:rPr>
              <w:t>训计划和学员名册的</w:t>
            </w:r>
            <w:r>
              <w:rPr>
                <w:spacing w:val="-15"/>
              </w:rPr>
              <w:t>；（</w:t>
            </w:r>
            <w:r>
              <w:rPr>
                <w:spacing w:val="-1"/>
              </w:rPr>
              <w:t>三）船员培训课程未经海事管理机构确认的</w:t>
            </w:r>
            <w:r>
              <w:rPr>
                <w:spacing w:val="-15"/>
              </w:rPr>
              <w:t>；（</w:t>
            </w:r>
            <w:r>
              <w:rPr>
                <w:spacing w:val="-1"/>
              </w:rPr>
              <w:t>四）未按照规定办理《船员培训许可</w:t>
            </w:r>
            <w:r>
              <w:rPr>
                <w:spacing w:val="2"/>
              </w:rPr>
              <w:t xml:space="preserve"> </w:t>
            </w:r>
            <w:r>
              <w:rPr>
                <w:spacing w:val="-1"/>
              </w:rPr>
              <w:t>证》记载事项变更手续的</w:t>
            </w:r>
            <w:r>
              <w:rPr>
                <w:spacing w:val="-16"/>
              </w:rPr>
              <w:t>；（</w:t>
            </w:r>
            <w:r>
              <w:rPr>
                <w:spacing w:val="-1"/>
              </w:rPr>
              <w:t>五）不按规定出具培训证</w:t>
            </w:r>
            <w:r>
              <w:rPr>
                <w:spacing w:val="-2"/>
              </w:rPr>
              <w:t>明的。</w:t>
            </w:r>
          </w:p>
        </w:tc>
        <w:tc>
          <w:tcPr>
            <w:tcW w:w="1043" w:type="dxa"/>
            <w:vAlign w:val="top"/>
          </w:tcPr>
          <w:p w14:paraId="2FF99AA5">
            <w:pPr>
              <w:spacing w:line="256" w:lineRule="auto"/>
              <w:rPr>
                <w:rFonts w:ascii="Arial"/>
                <w:sz w:val="21"/>
              </w:rPr>
            </w:pPr>
          </w:p>
          <w:p w14:paraId="112EA1D0">
            <w:pPr>
              <w:spacing w:line="256" w:lineRule="auto"/>
              <w:rPr>
                <w:rFonts w:ascii="Arial"/>
                <w:sz w:val="21"/>
              </w:rPr>
            </w:pPr>
          </w:p>
          <w:p w14:paraId="524B833E">
            <w:pPr>
              <w:spacing w:line="256" w:lineRule="auto"/>
              <w:rPr>
                <w:rFonts w:ascii="Arial"/>
                <w:sz w:val="21"/>
              </w:rPr>
            </w:pPr>
          </w:p>
          <w:p w14:paraId="62660C29">
            <w:pPr>
              <w:spacing w:line="256" w:lineRule="auto"/>
              <w:rPr>
                <w:rFonts w:ascii="Arial"/>
                <w:sz w:val="21"/>
              </w:rPr>
            </w:pPr>
          </w:p>
          <w:p w14:paraId="2D1F6A45">
            <w:pPr>
              <w:spacing w:line="256" w:lineRule="auto"/>
              <w:rPr>
                <w:rFonts w:ascii="Arial"/>
                <w:sz w:val="21"/>
              </w:rPr>
            </w:pPr>
          </w:p>
          <w:p w14:paraId="07854108">
            <w:pPr>
              <w:spacing w:line="257" w:lineRule="auto"/>
              <w:rPr>
                <w:rFonts w:ascii="Arial"/>
                <w:sz w:val="21"/>
              </w:rPr>
            </w:pPr>
          </w:p>
          <w:p w14:paraId="1B388B6F">
            <w:pPr>
              <w:spacing w:line="257" w:lineRule="auto"/>
              <w:rPr>
                <w:rFonts w:ascii="Arial"/>
                <w:sz w:val="21"/>
              </w:rPr>
            </w:pPr>
          </w:p>
          <w:p w14:paraId="10F30996">
            <w:pPr>
              <w:spacing w:line="257" w:lineRule="auto"/>
              <w:rPr>
                <w:rFonts w:ascii="Arial"/>
                <w:sz w:val="21"/>
              </w:rPr>
            </w:pPr>
          </w:p>
          <w:p w14:paraId="7B88FFBE">
            <w:pPr>
              <w:spacing w:line="257" w:lineRule="auto"/>
              <w:rPr>
                <w:rFonts w:ascii="Arial"/>
                <w:sz w:val="21"/>
              </w:rPr>
            </w:pPr>
          </w:p>
          <w:p w14:paraId="06DE0021">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3EAA6842">
            <w:pPr>
              <w:spacing w:line="242" w:lineRule="auto"/>
              <w:rPr>
                <w:rFonts w:ascii="Arial"/>
                <w:sz w:val="21"/>
              </w:rPr>
            </w:pPr>
          </w:p>
          <w:p w14:paraId="6E0F222F">
            <w:pPr>
              <w:spacing w:line="242" w:lineRule="auto"/>
              <w:rPr>
                <w:rFonts w:ascii="Arial"/>
                <w:sz w:val="21"/>
              </w:rPr>
            </w:pPr>
          </w:p>
          <w:p w14:paraId="61E2EAAC">
            <w:pPr>
              <w:spacing w:line="243" w:lineRule="auto"/>
              <w:rPr>
                <w:rFonts w:ascii="Arial"/>
                <w:sz w:val="21"/>
              </w:rPr>
            </w:pPr>
          </w:p>
          <w:p w14:paraId="5CD38BEC">
            <w:pPr>
              <w:spacing w:line="243" w:lineRule="auto"/>
              <w:rPr>
                <w:rFonts w:ascii="Arial"/>
                <w:sz w:val="21"/>
              </w:rPr>
            </w:pPr>
          </w:p>
          <w:p w14:paraId="3CB66C2A">
            <w:pPr>
              <w:spacing w:line="243" w:lineRule="auto"/>
              <w:rPr>
                <w:rFonts w:ascii="Arial"/>
                <w:sz w:val="21"/>
              </w:rPr>
            </w:pPr>
          </w:p>
          <w:p w14:paraId="775EEFAE">
            <w:pPr>
              <w:spacing w:line="243" w:lineRule="auto"/>
              <w:rPr>
                <w:rFonts w:ascii="Arial"/>
                <w:sz w:val="21"/>
              </w:rPr>
            </w:pPr>
          </w:p>
          <w:p w14:paraId="364F9E69">
            <w:pPr>
              <w:spacing w:line="243" w:lineRule="auto"/>
              <w:rPr>
                <w:rFonts w:ascii="Arial"/>
                <w:sz w:val="21"/>
              </w:rPr>
            </w:pPr>
          </w:p>
          <w:p w14:paraId="241B9398">
            <w:pPr>
              <w:spacing w:line="243" w:lineRule="auto"/>
              <w:rPr>
                <w:rFonts w:ascii="Arial"/>
                <w:sz w:val="21"/>
              </w:rPr>
            </w:pPr>
          </w:p>
          <w:p w14:paraId="622BDF42">
            <w:pPr>
              <w:spacing w:line="243" w:lineRule="auto"/>
              <w:rPr>
                <w:rFonts w:ascii="Arial"/>
                <w:sz w:val="21"/>
              </w:rPr>
            </w:pPr>
          </w:p>
          <w:p w14:paraId="7CCCB1AD">
            <w:pPr>
              <w:spacing w:line="243" w:lineRule="auto"/>
              <w:rPr>
                <w:rFonts w:ascii="Arial"/>
                <w:sz w:val="21"/>
              </w:rPr>
            </w:pPr>
          </w:p>
          <w:p w14:paraId="596AFB75">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DB48567">
            <w:pPr>
              <w:spacing w:line="258" w:lineRule="auto"/>
              <w:rPr>
                <w:rFonts w:ascii="Arial"/>
                <w:sz w:val="21"/>
              </w:rPr>
            </w:pPr>
          </w:p>
          <w:p w14:paraId="087D5C31">
            <w:pPr>
              <w:spacing w:line="259" w:lineRule="auto"/>
              <w:rPr>
                <w:rFonts w:ascii="Arial"/>
                <w:sz w:val="21"/>
              </w:rPr>
            </w:pPr>
          </w:p>
          <w:p w14:paraId="0394D21B">
            <w:pPr>
              <w:spacing w:line="259" w:lineRule="auto"/>
              <w:rPr>
                <w:rFonts w:ascii="Arial"/>
                <w:sz w:val="21"/>
              </w:rPr>
            </w:pPr>
          </w:p>
          <w:p w14:paraId="239C5209">
            <w:pPr>
              <w:spacing w:line="259" w:lineRule="auto"/>
              <w:rPr>
                <w:rFonts w:ascii="Arial"/>
                <w:sz w:val="21"/>
              </w:rPr>
            </w:pPr>
          </w:p>
          <w:p w14:paraId="2FA12E1D">
            <w:pPr>
              <w:spacing w:line="259" w:lineRule="auto"/>
              <w:rPr>
                <w:rFonts w:ascii="Arial"/>
                <w:sz w:val="21"/>
              </w:rPr>
            </w:pPr>
          </w:p>
          <w:p w14:paraId="11E116E2">
            <w:pPr>
              <w:spacing w:line="259" w:lineRule="auto"/>
              <w:rPr>
                <w:rFonts w:ascii="Arial"/>
                <w:sz w:val="21"/>
              </w:rPr>
            </w:pPr>
          </w:p>
          <w:p w14:paraId="7018BD06">
            <w:pPr>
              <w:spacing w:line="259" w:lineRule="auto"/>
              <w:rPr>
                <w:rFonts w:ascii="Arial"/>
                <w:sz w:val="21"/>
              </w:rPr>
            </w:pPr>
          </w:p>
          <w:p w14:paraId="060DBB5B">
            <w:pPr>
              <w:spacing w:line="259" w:lineRule="auto"/>
              <w:rPr>
                <w:rFonts w:ascii="Arial"/>
                <w:sz w:val="21"/>
              </w:rPr>
            </w:pPr>
          </w:p>
          <w:p w14:paraId="5301745A">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57CC0757">
      <w:pPr>
        <w:pStyle w:val="2"/>
        <w:spacing w:line="214" w:lineRule="exact"/>
        <w:rPr>
          <w:sz w:val="18"/>
        </w:rPr>
      </w:pPr>
    </w:p>
    <w:p w14:paraId="2493C81D">
      <w:pPr>
        <w:spacing w:line="214" w:lineRule="exact"/>
        <w:rPr>
          <w:sz w:val="18"/>
          <w:szCs w:val="18"/>
        </w:rPr>
        <w:sectPr>
          <w:footerReference r:id="rId207" w:type="default"/>
          <w:pgSz w:w="16839" w:h="11906"/>
          <w:pgMar w:top="1012" w:right="788" w:bottom="967" w:left="787" w:header="0" w:footer="768" w:gutter="0"/>
          <w:cols w:space="720" w:num="1"/>
        </w:sectPr>
      </w:pPr>
    </w:p>
    <w:p w14:paraId="0A94C7E3">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4146F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41" w:type="dxa"/>
            <w:vMerge w:val="restart"/>
            <w:tcBorders>
              <w:bottom w:val="nil"/>
            </w:tcBorders>
            <w:vAlign w:val="top"/>
          </w:tcPr>
          <w:p w14:paraId="3EB889DF">
            <w:pPr>
              <w:pStyle w:val="8"/>
              <w:spacing w:before="267" w:line="221" w:lineRule="auto"/>
              <w:ind w:left="142"/>
            </w:pPr>
            <w:r>
              <w:rPr>
                <w:b/>
                <w:bCs/>
                <w:spacing w:val="-4"/>
              </w:rPr>
              <w:t>序号</w:t>
            </w:r>
          </w:p>
        </w:tc>
        <w:tc>
          <w:tcPr>
            <w:tcW w:w="1136" w:type="dxa"/>
            <w:vMerge w:val="restart"/>
            <w:tcBorders>
              <w:bottom w:val="nil"/>
            </w:tcBorders>
            <w:vAlign w:val="top"/>
          </w:tcPr>
          <w:p w14:paraId="4E5CB143">
            <w:pPr>
              <w:pStyle w:val="8"/>
              <w:spacing w:before="267" w:line="220" w:lineRule="auto"/>
              <w:ind w:left="208"/>
            </w:pPr>
            <w:r>
              <w:rPr>
                <w:b/>
                <w:bCs/>
                <w:spacing w:val="-4"/>
              </w:rPr>
              <w:t>事项名称</w:t>
            </w:r>
          </w:p>
        </w:tc>
        <w:tc>
          <w:tcPr>
            <w:tcW w:w="1136" w:type="dxa"/>
            <w:vMerge w:val="restart"/>
            <w:tcBorders>
              <w:bottom w:val="nil"/>
            </w:tcBorders>
            <w:vAlign w:val="top"/>
          </w:tcPr>
          <w:p w14:paraId="64EBAF3B">
            <w:pPr>
              <w:pStyle w:val="8"/>
              <w:spacing w:before="267" w:line="219" w:lineRule="auto"/>
              <w:ind w:left="210"/>
            </w:pPr>
            <w:r>
              <w:rPr>
                <w:b/>
                <w:bCs/>
                <w:spacing w:val="-4"/>
              </w:rPr>
              <w:t>职权类型</w:t>
            </w:r>
          </w:p>
        </w:tc>
        <w:tc>
          <w:tcPr>
            <w:tcW w:w="8806" w:type="dxa"/>
            <w:vMerge w:val="restart"/>
            <w:tcBorders>
              <w:bottom w:val="nil"/>
            </w:tcBorders>
            <w:vAlign w:val="top"/>
          </w:tcPr>
          <w:p w14:paraId="25D4B341">
            <w:pPr>
              <w:pStyle w:val="8"/>
              <w:spacing w:before="267" w:line="219" w:lineRule="auto"/>
              <w:ind w:left="4050"/>
            </w:pPr>
            <w:r>
              <w:rPr>
                <w:b/>
                <w:bCs/>
                <w:spacing w:val="-5"/>
              </w:rPr>
              <w:t>实施依据</w:t>
            </w:r>
          </w:p>
        </w:tc>
        <w:tc>
          <w:tcPr>
            <w:tcW w:w="3538" w:type="dxa"/>
            <w:gridSpan w:val="3"/>
            <w:vAlign w:val="top"/>
          </w:tcPr>
          <w:p w14:paraId="14584D2D">
            <w:pPr>
              <w:pStyle w:val="8"/>
              <w:spacing w:before="92" w:line="220" w:lineRule="auto"/>
              <w:ind w:left="1415"/>
            </w:pPr>
            <w:r>
              <w:rPr>
                <w:b/>
                <w:bCs/>
                <w:spacing w:val="-5"/>
              </w:rPr>
              <w:t>实施主体</w:t>
            </w:r>
          </w:p>
        </w:tc>
      </w:tr>
      <w:tr w14:paraId="729C7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5B41B931">
            <w:pPr>
              <w:rPr>
                <w:rFonts w:ascii="Arial"/>
                <w:sz w:val="21"/>
              </w:rPr>
            </w:pPr>
          </w:p>
        </w:tc>
        <w:tc>
          <w:tcPr>
            <w:tcW w:w="1136" w:type="dxa"/>
            <w:vMerge w:val="continue"/>
            <w:tcBorders>
              <w:top w:val="nil"/>
            </w:tcBorders>
            <w:vAlign w:val="top"/>
          </w:tcPr>
          <w:p w14:paraId="5F2E0C1B">
            <w:pPr>
              <w:rPr>
                <w:rFonts w:ascii="Arial"/>
                <w:sz w:val="21"/>
              </w:rPr>
            </w:pPr>
          </w:p>
        </w:tc>
        <w:tc>
          <w:tcPr>
            <w:tcW w:w="1136" w:type="dxa"/>
            <w:vMerge w:val="continue"/>
            <w:tcBorders>
              <w:top w:val="nil"/>
            </w:tcBorders>
            <w:vAlign w:val="top"/>
          </w:tcPr>
          <w:p w14:paraId="5018F895">
            <w:pPr>
              <w:rPr>
                <w:rFonts w:ascii="Arial"/>
                <w:sz w:val="21"/>
              </w:rPr>
            </w:pPr>
          </w:p>
        </w:tc>
        <w:tc>
          <w:tcPr>
            <w:tcW w:w="8806" w:type="dxa"/>
            <w:vMerge w:val="continue"/>
            <w:tcBorders>
              <w:top w:val="nil"/>
            </w:tcBorders>
            <w:vAlign w:val="top"/>
          </w:tcPr>
          <w:p w14:paraId="6E90ED34">
            <w:pPr>
              <w:rPr>
                <w:rFonts w:ascii="Arial"/>
                <w:sz w:val="21"/>
              </w:rPr>
            </w:pPr>
          </w:p>
        </w:tc>
        <w:tc>
          <w:tcPr>
            <w:tcW w:w="1043" w:type="dxa"/>
            <w:vAlign w:val="top"/>
          </w:tcPr>
          <w:p w14:paraId="3A9E281A">
            <w:pPr>
              <w:pStyle w:val="8"/>
              <w:spacing w:before="87" w:line="219" w:lineRule="auto"/>
              <w:ind w:left="171"/>
            </w:pPr>
            <w:r>
              <w:rPr>
                <w:b/>
                <w:bCs/>
                <w:spacing w:val="-5"/>
              </w:rPr>
              <w:t>责任部门</w:t>
            </w:r>
          </w:p>
        </w:tc>
        <w:tc>
          <w:tcPr>
            <w:tcW w:w="1448" w:type="dxa"/>
            <w:vAlign w:val="top"/>
          </w:tcPr>
          <w:p w14:paraId="7FD88210">
            <w:pPr>
              <w:pStyle w:val="8"/>
              <w:spacing w:before="87" w:line="219" w:lineRule="auto"/>
              <w:ind w:left="187"/>
            </w:pPr>
            <w:r>
              <w:rPr>
                <w:b/>
                <w:bCs/>
                <w:spacing w:val="-3"/>
              </w:rPr>
              <w:t>第一责任层级</w:t>
            </w:r>
          </w:p>
        </w:tc>
        <w:tc>
          <w:tcPr>
            <w:tcW w:w="1047" w:type="dxa"/>
            <w:vAlign w:val="top"/>
          </w:tcPr>
          <w:p w14:paraId="53343B02">
            <w:pPr>
              <w:pStyle w:val="8"/>
              <w:spacing w:before="87" w:line="219" w:lineRule="auto"/>
              <w:ind w:left="165"/>
            </w:pPr>
            <w:r>
              <w:rPr>
                <w:b/>
                <w:bCs/>
                <w:spacing w:val="-4"/>
              </w:rPr>
              <w:t>承办机构</w:t>
            </w:r>
          </w:p>
        </w:tc>
      </w:tr>
      <w:tr w14:paraId="29EBC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6" w:hRule="atLeast"/>
        </w:trPr>
        <w:tc>
          <w:tcPr>
            <w:tcW w:w="641" w:type="dxa"/>
            <w:vAlign w:val="top"/>
          </w:tcPr>
          <w:p w14:paraId="6AAEB661">
            <w:pPr>
              <w:spacing w:line="252" w:lineRule="auto"/>
              <w:rPr>
                <w:rFonts w:ascii="Arial"/>
                <w:sz w:val="21"/>
              </w:rPr>
            </w:pPr>
          </w:p>
          <w:p w14:paraId="231453B7">
            <w:pPr>
              <w:spacing w:line="252" w:lineRule="auto"/>
              <w:rPr>
                <w:rFonts w:ascii="Arial"/>
                <w:sz w:val="21"/>
              </w:rPr>
            </w:pPr>
          </w:p>
          <w:p w14:paraId="6CFDAD5E">
            <w:pPr>
              <w:spacing w:line="252" w:lineRule="auto"/>
              <w:rPr>
                <w:rFonts w:ascii="Arial"/>
                <w:sz w:val="21"/>
              </w:rPr>
            </w:pPr>
          </w:p>
          <w:p w14:paraId="1A1F8783">
            <w:pPr>
              <w:spacing w:line="253" w:lineRule="auto"/>
              <w:rPr>
                <w:rFonts w:ascii="Arial"/>
                <w:sz w:val="21"/>
              </w:rPr>
            </w:pPr>
          </w:p>
          <w:p w14:paraId="58B63E9C">
            <w:pPr>
              <w:spacing w:line="253" w:lineRule="auto"/>
              <w:rPr>
                <w:rFonts w:ascii="Arial"/>
                <w:sz w:val="21"/>
              </w:rPr>
            </w:pPr>
          </w:p>
          <w:p w14:paraId="5C547B3B">
            <w:pPr>
              <w:pStyle w:val="8"/>
              <w:spacing w:before="58" w:line="183" w:lineRule="auto"/>
              <w:ind w:left="235"/>
            </w:pPr>
            <w:r>
              <w:rPr>
                <w:spacing w:val="-4"/>
              </w:rPr>
              <w:t>87</w:t>
            </w:r>
          </w:p>
        </w:tc>
        <w:tc>
          <w:tcPr>
            <w:tcW w:w="1136" w:type="dxa"/>
            <w:vAlign w:val="top"/>
          </w:tcPr>
          <w:p w14:paraId="4D152608">
            <w:pPr>
              <w:spacing w:line="318" w:lineRule="auto"/>
              <w:rPr>
                <w:rFonts w:ascii="Arial"/>
                <w:sz w:val="21"/>
              </w:rPr>
            </w:pPr>
          </w:p>
          <w:p w14:paraId="1174D93B">
            <w:pPr>
              <w:spacing w:line="318" w:lineRule="auto"/>
              <w:rPr>
                <w:rFonts w:ascii="Arial"/>
                <w:sz w:val="21"/>
              </w:rPr>
            </w:pPr>
          </w:p>
          <w:p w14:paraId="6CB7D33A">
            <w:pPr>
              <w:pStyle w:val="8"/>
              <w:spacing w:before="58" w:line="242" w:lineRule="auto"/>
              <w:ind w:left="109" w:right="104"/>
              <w:jc w:val="both"/>
            </w:pPr>
            <w:r>
              <w:rPr>
                <w:spacing w:val="3"/>
              </w:rPr>
              <w:t>对船舶在内</w:t>
            </w:r>
            <w:r>
              <w:rPr>
                <w:spacing w:val="1"/>
              </w:rPr>
              <w:t xml:space="preserve"> </w:t>
            </w:r>
            <w:r>
              <w:rPr>
                <w:spacing w:val="3"/>
              </w:rPr>
              <w:t>河航行未按</w:t>
            </w:r>
            <w:r>
              <w:rPr>
                <w:spacing w:val="1"/>
              </w:rPr>
              <w:t xml:space="preserve"> </w:t>
            </w:r>
            <w:r>
              <w:rPr>
                <w:spacing w:val="3"/>
              </w:rPr>
              <w:t>规定申请引</w:t>
            </w:r>
            <w:r>
              <w:rPr>
                <w:spacing w:val="1"/>
              </w:rPr>
              <w:t xml:space="preserve"> </w:t>
            </w:r>
            <w:r>
              <w:rPr>
                <w:spacing w:val="3"/>
              </w:rPr>
              <w:t>航的行政处</w:t>
            </w:r>
            <w:r>
              <w:rPr>
                <w:spacing w:val="1"/>
              </w:rPr>
              <w:t xml:space="preserve"> </w:t>
            </w:r>
            <w:r>
              <w:t>罚</w:t>
            </w:r>
          </w:p>
        </w:tc>
        <w:tc>
          <w:tcPr>
            <w:tcW w:w="1136" w:type="dxa"/>
            <w:vAlign w:val="top"/>
          </w:tcPr>
          <w:p w14:paraId="215523C1">
            <w:pPr>
              <w:spacing w:line="246" w:lineRule="auto"/>
              <w:rPr>
                <w:rFonts w:ascii="Arial"/>
                <w:sz w:val="21"/>
              </w:rPr>
            </w:pPr>
          </w:p>
          <w:p w14:paraId="1D21B09B">
            <w:pPr>
              <w:spacing w:line="246" w:lineRule="auto"/>
              <w:rPr>
                <w:rFonts w:ascii="Arial"/>
                <w:sz w:val="21"/>
              </w:rPr>
            </w:pPr>
          </w:p>
          <w:p w14:paraId="1FA7208E">
            <w:pPr>
              <w:spacing w:line="247" w:lineRule="auto"/>
              <w:rPr>
                <w:rFonts w:ascii="Arial"/>
                <w:sz w:val="21"/>
              </w:rPr>
            </w:pPr>
          </w:p>
          <w:p w14:paraId="70C795FB">
            <w:pPr>
              <w:spacing w:line="247" w:lineRule="auto"/>
              <w:rPr>
                <w:rFonts w:ascii="Arial"/>
                <w:sz w:val="21"/>
              </w:rPr>
            </w:pPr>
          </w:p>
          <w:p w14:paraId="76EDC75B">
            <w:pPr>
              <w:spacing w:line="247" w:lineRule="auto"/>
              <w:rPr>
                <w:rFonts w:ascii="Arial"/>
                <w:sz w:val="21"/>
              </w:rPr>
            </w:pPr>
          </w:p>
          <w:p w14:paraId="4C175359">
            <w:pPr>
              <w:pStyle w:val="8"/>
              <w:spacing w:before="59" w:line="220" w:lineRule="auto"/>
              <w:ind w:left="114"/>
            </w:pPr>
            <w:r>
              <w:rPr>
                <w:spacing w:val="-7"/>
              </w:rPr>
              <w:t>行政处罚</w:t>
            </w:r>
          </w:p>
        </w:tc>
        <w:tc>
          <w:tcPr>
            <w:tcW w:w="8806" w:type="dxa"/>
            <w:vAlign w:val="top"/>
          </w:tcPr>
          <w:p w14:paraId="3F8A03C1">
            <w:pPr>
              <w:pStyle w:val="8"/>
              <w:spacing w:before="99" w:line="219" w:lineRule="auto"/>
              <w:ind w:left="473"/>
            </w:pPr>
            <w:r>
              <w:rPr>
                <w:b/>
                <w:bCs/>
                <w:spacing w:val="-4"/>
              </w:rPr>
              <w:t>《船舶引航管理规定》（交通运输部令2021年第25号）</w:t>
            </w:r>
          </w:p>
          <w:p w14:paraId="02E30B40">
            <w:pPr>
              <w:pStyle w:val="8"/>
              <w:spacing w:before="26" w:line="241" w:lineRule="auto"/>
              <w:ind w:left="109" w:right="61" w:firstLine="358"/>
              <w:jc w:val="both"/>
            </w:pPr>
            <w:r>
              <w:rPr>
                <w:spacing w:val="-1"/>
              </w:rPr>
              <w:t>第十条  下列船舶在内河航行，应当向引航机构申请引航</w:t>
            </w:r>
            <w:r>
              <w:rPr>
                <w:spacing w:val="-14"/>
              </w:rPr>
              <w:t>：（</w:t>
            </w:r>
            <w:r>
              <w:rPr>
                <w:spacing w:val="-1"/>
              </w:rPr>
              <w:t>一）外国籍船舶</w:t>
            </w:r>
            <w:r>
              <w:rPr>
                <w:spacing w:val="-14"/>
              </w:rPr>
              <w:t>；（</w:t>
            </w:r>
            <w:r>
              <w:rPr>
                <w:spacing w:val="-1"/>
              </w:rPr>
              <w:t>二）1000总吨以上的海</w:t>
            </w:r>
            <w:r>
              <w:t xml:space="preserve">  </w:t>
            </w:r>
            <w:r>
              <w:rPr>
                <w:spacing w:val="-4"/>
              </w:rPr>
              <w:t>上机动 船舶，但船长驾驶同一类型的海上机动船舶在同一内河通航水域航行与上一航次间隔2个月以内的除外；</w:t>
            </w:r>
            <w:r>
              <w:rPr>
                <w:spacing w:val="8"/>
              </w:rPr>
              <w:t xml:space="preserve"> </w:t>
            </w:r>
            <w:r>
              <w:rPr>
                <w:spacing w:val="-1"/>
              </w:rPr>
              <w:t>（三）长、宽以及吃水或者水面以上高度接</w:t>
            </w:r>
            <w:r>
              <w:rPr>
                <w:spacing w:val="-2"/>
              </w:rPr>
              <w:t>近相应航道通航条件限值的船舶</w:t>
            </w:r>
            <w:r>
              <w:rPr>
                <w:spacing w:val="-15"/>
              </w:rPr>
              <w:t>；（</w:t>
            </w:r>
            <w:r>
              <w:rPr>
                <w:spacing w:val="-2"/>
              </w:rPr>
              <w:t>四）在长江干线航行的下列船</w:t>
            </w:r>
            <w:r>
              <w:t xml:space="preserve">  </w:t>
            </w:r>
            <w:r>
              <w:rPr>
                <w:spacing w:val="-2"/>
              </w:rPr>
              <w:t>舶：1.客位500人及以上且载客航行的客船，但旅客班轮、渡船除外；2.1万总吨及以上且载运闪点小于23℃的</w:t>
            </w:r>
            <w:r>
              <w:rPr>
                <w:spacing w:val="2"/>
              </w:rPr>
              <w:t xml:space="preserve">  </w:t>
            </w:r>
            <w:r>
              <w:rPr>
                <w:spacing w:val="-2"/>
              </w:rPr>
              <w:t>散装液体化学品船；3.载运《国际散装危险化学品船舶构造和设备规则》</w:t>
            </w:r>
            <w:r>
              <w:rPr>
                <w:spacing w:val="-3"/>
              </w:rPr>
              <w:t>中X类的散装液体化学品船。</w:t>
            </w:r>
          </w:p>
          <w:p w14:paraId="178A3904">
            <w:pPr>
              <w:pStyle w:val="8"/>
              <w:spacing w:before="24" w:line="233" w:lineRule="auto"/>
              <w:ind w:left="111" w:right="151" w:firstLine="359"/>
            </w:pPr>
            <w:r>
              <w:rPr>
                <w:spacing w:val="-2"/>
              </w:rPr>
              <w:t>前款第（三）项船舶的具体标准，由长江航务管理部门、省级交通运输主管部门</w:t>
            </w:r>
            <w:r>
              <w:rPr>
                <w:spacing w:val="-3"/>
              </w:rPr>
              <w:t>根据管辖水域的航道实际</w:t>
            </w:r>
            <w:r>
              <w:t xml:space="preserve"> </w:t>
            </w:r>
            <w:r>
              <w:rPr>
                <w:spacing w:val="-3"/>
              </w:rPr>
              <w:t>情况制定并公布。</w:t>
            </w:r>
          </w:p>
          <w:p w14:paraId="6174EC6E">
            <w:pPr>
              <w:pStyle w:val="8"/>
              <w:spacing w:before="26" w:line="219" w:lineRule="auto"/>
              <w:ind w:left="468"/>
            </w:pPr>
            <w:r>
              <w:rPr>
                <w:spacing w:val="-2"/>
              </w:rPr>
              <w:t>第四十一条  违反本规定第十条规定，船舶在内河航行未按规定申请引航的，由海事管理机</w:t>
            </w:r>
            <w:r>
              <w:rPr>
                <w:spacing w:val="-3"/>
              </w:rPr>
              <w:t>构责令改正，</w:t>
            </w:r>
          </w:p>
          <w:p w14:paraId="49CE2D92">
            <w:pPr>
              <w:pStyle w:val="8"/>
              <w:spacing w:before="25" w:line="233" w:lineRule="auto"/>
              <w:ind w:left="109" w:right="103" w:firstLine="4"/>
            </w:pPr>
            <w:r>
              <w:rPr>
                <w:spacing w:val="-3"/>
              </w:rPr>
              <w:t>处5000元以上5万元以下的罚款；情节严重的，禁止船舶进出港口或者责令停航，并可以对责任船员给予暂扣适</w:t>
            </w:r>
            <w:r>
              <w:rPr>
                <w:spacing w:val="5"/>
              </w:rPr>
              <w:t xml:space="preserve"> </w:t>
            </w:r>
            <w:r>
              <w:rPr>
                <w:spacing w:val="-2"/>
              </w:rPr>
              <w:t>任证书或者其他适任证件3个月至6个月的处罚。</w:t>
            </w:r>
          </w:p>
        </w:tc>
        <w:tc>
          <w:tcPr>
            <w:tcW w:w="1043" w:type="dxa"/>
            <w:vAlign w:val="top"/>
          </w:tcPr>
          <w:p w14:paraId="21BFCA2B">
            <w:pPr>
              <w:spacing w:line="278" w:lineRule="auto"/>
              <w:rPr>
                <w:rFonts w:ascii="Arial"/>
                <w:sz w:val="21"/>
              </w:rPr>
            </w:pPr>
          </w:p>
          <w:p w14:paraId="37A2F092">
            <w:pPr>
              <w:spacing w:line="278" w:lineRule="auto"/>
              <w:rPr>
                <w:rFonts w:ascii="Arial"/>
                <w:sz w:val="21"/>
              </w:rPr>
            </w:pPr>
          </w:p>
          <w:p w14:paraId="4E688237">
            <w:pPr>
              <w:spacing w:line="279" w:lineRule="auto"/>
              <w:rPr>
                <w:rFonts w:ascii="Arial"/>
                <w:sz w:val="21"/>
              </w:rPr>
            </w:pPr>
          </w:p>
          <w:p w14:paraId="2D91893D">
            <w:pPr>
              <w:spacing w:line="279" w:lineRule="auto"/>
              <w:rPr>
                <w:rFonts w:ascii="Arial"/>
                <w:sz w:val="21"/>
              </w:rPr>
            </w:pPr>
          </w:p>
          <w:p w14:paraId="00C3C274">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01DD444E">
            <w:pPr>
              <w:spacing w:line="246" w:lineRule="auto"/>
              <w:rPr>
                <w:rFonts w:ascii="Arial"/>
                <w:sz w:val="21"/>
              </w:rPr>
            </w:pPr>
          </w:p>
          <w:p w14:paraId="3526DD9C">
            <w:pPr>
              <w:spacing w:line="247" w:lineRule="auto"/>
              <w:rPr>
                <w:rFonts w:ascii="Arial"/>
                <w:sz w:val="21"/>
              </w:rPr>
            </w:pPr>
          </w:p>
          <w:p w14:paraId="59743C80">
            <w:pPr>
              <w:spacing w:line="247" w:lineRule="auto"/>
              <w:rPr>
                <w:rFonts w:ascii="Arial"/>
                <w:sz w:val="21"/>
              </w:rPr>
            </w:pPr>
          </w:p>
          <w:p w14:paraId="1D86DF2B">
            <w:pPr>
              <w:spacing w:line="247" w:lineRule="auto"/>
              <w:rPr>
                <w:rFonts w:ascii="Arial"/>
                <w:sz w:val="21"/>
              </w:rPr>
            </w:pPr>
          </w:p>
          <w:p w14:paraId="51EF03F3">
            <w:pPr>
              <w:spacing w:line="247" w:lineRule="auto"/>
              <w:rPr>
                <w:rFonts w:ascii="Arial"/>
                <w:sz w:val="21"/>
              </w:rPr>
            </w:pPr>
          </w:p>
          <w:p w14:paraId="09739B9B">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C7ABEB7">
            <w:pPr>
              <w:spacing w:line="292" w:lineRule="auto"/>
              <w:rPr>
                <w:rFonts w:ascii="Arial"/>
                <w:sz w:val="21"/>
              </w:rPr>
            </w:pPr>
          </w:p>
          <w:p w14:paraId="1A22B45A">
            <w:pPr>
              <w:spacing w:line="292" w:lineRule="auto"/>
              <w:rPr>
                <w:rFonts w:ascii="Arial"/>
                <w:sz w:val="21"/>
              </w:rPr>
            </w:pPr>
          </w:p>
          <w:p w14:paraId="36A1AACF">
            <w:pPr>
              <w:spacing w:line="293" w:lineRule="auto"/>
              <w:rPr>
                <w:rFonts w:ascii="Arial"/>
                <w:sz w:val="21"/>
              </w:rPr>
            </w:pPr>
          </w:p>
          <w:p w14:paraId="44D0DD8D">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1808B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trPr>
        <w:tc>
          <w:tcPr>
            <w:tcW w:w="641" w:type="dxa"/>
            <w:vAlign w:val="top"/>
          </w:tcPr>
          <w:p w14:paraId="185FCC19">
            <w:pPr>
              <w:spacing w:line="260" w:lineRule="auto"/>
              <w:rPr>
                <w:rFonts w:ascii="Arial"/>
                <w:sz w:val="21"/>
              </w:rPr>
            </w:pPr>
          </w:p>
          <w:p w14:paraId="442F8DD9">
            <w:pPr>
              <w:spacing w:line="260" w:lineRule="auto"/>
              <w:rPr>
                <w:rFonts w:ascii="Arial"/>
                <w:sz w:val="21"/>
              </w:rPr>
            </w:pPr>
          </w:p>
          <w:p w14:paraId="7072FFDD">
            <w:pPr>
              <w:spacing w:line="260" w:lineRule="auto"/>
              <w:rPr>
                <w:rFonts w:ascii="Arial"/>
                <w:sz w:val="21"/>
              </w:rPr>
            </w:pPr>
          </w:p>
          <w:p w14:paraId="1284008C">
            <w:pPr>
              <w:spacing w:line="260" w:lineRule="auto"/>
              <w:rPr>
                <w:rFonts w:ascii="Arial"/>
                <w:sz w:val="21"/>
              </w:rPr>
            </w:pPr>
          </w:p>
          <w:p w14:paraId="53920030">
            <w:pPr>
              <w:spacing w:line="260" w:lineRule="auto"/>
              <w:rPr>
                <w:rFonts w:ascii="Arial"/>
                <w:sz w:val="21"/>
              </w:rPr>
            </w:pPr>
          </w:p>
          <w:p w14:paraId="6A8222A3">
            <w:pPr>
              <w:spacing w:line="261" w:lineRule="auto"/>
              <w:rPr>
                <w:rFonts w:ascii="Arial"/>
                <w:sz w:val="21"/>
              </w:rPr>
            </w:pPr>
          </w:p>
          <w:p w14:paraId="7EE518F8">
            <w:pPr>
              <w:pStyle w:val="8"/>
              <w:spacing w:before="58" w:line="183" w:lineRule="auto"/>
              <w:ind w:left="235"/>
            </w:pPr>
            <w:r>
              <w:rPr>
                <w:spacing w:val="-4"/>
              </w:rPr>
              <w:t>88</w:t>
            </w:r>
          </w:p>
        </w:tc>
        <w:tc>
          <w:tcPr>
            <w:tcW w:w="1136" w:type="dxa"/>
            <w:vAlign w:val="top"/>
          </w:tcPr>
          <w:p w14:paraId="43CA0934">
            <w:pPr>
              <w:spacing w:line="273" w:lineRule="auto"/>
              <w:rPr>
                <w:rFonts w:ascii="Arial"/>
                <w:sz w:val="21"/>
              </w:rPr>
            </w:pPr>
          </w:p>
          <w:p w14:paraId="496604AE">
            <w:pPr>
              <w:spacing w:line="273" w:lineRule="auto"/>
              <w:rPr>
                <w:rFonts w:ascii="Arial"/>
                <w:sz w:val="21"/>
              </w:rPr>
            </w:pPr>
          </w:p>
          <w:p w14:paraId="383C764D">
            <w:pPr>
              <w:spacing w:line="274" w:lineRule="auto"/>
              <w:rPr>
                <w:rFonts w:ascii="Arial"/>
                <w:sz w:val="21"/>
              </w:rPr>
            </w:pPr>
          </w:p>
          <w:p w14:paraId="47DA4A11">
            <w:pPr>
              <w:pStyle w:val="8"/>
              <w:spacing w:before="58" w:line="242" w:lineRule="auto"/>
              <w:ind w:left="110" w:right="104" w:hanging="1"/>
              <w:jc w:val="both"/>
            </w:pPr>
            <w:r>
              <w:rPr>
                <w:spacing w:val="3"/>
              </w:rPr>
              <w:t>对在长江流</w:t>
            </w:r>
            <w:r>
              <w:rPr>
                <w:spacing w:val="1"/>
              </w:rPr>
              <w:t xml:space="preserve"> </w:t>
            </w:r>
            <w:r>
              <w:rPr>
                <w:spacing w:val="3"/>
              </w:rPr>
              <w:t>域港口靠泊</w:t>
            </w:r>
            <w:r>
              <w:t xml:space="preserve"> </w:t>
            </w:r>
            <w:r>
              <w:rPr>
                <w:spacing w:val="3"/>
              </w:rPr>
              <w:t>的船舶未按</w:t>
            </w:r>
            <w:r>
              <w:t xml:space="preserve"> </w:t>
            </w:r>
            <w:r>
              <w:rPr>
                <w:spacing w:val="3"/>
              </w:rPr>
              <w:t>规定使用岸</w:t>
            </w:r>
            <w:r>
              <w:t xml:space="preserve"> </w:t>
            </w:r>
            <w:r>
              <w:rPr>
                <w:spacing w:val="3"/>
              </w:rPr>
              <w:t>电的行政处</w:t>
            </w:r>
            <w:r>
              <w:t xml:space="preserve"> 罚</w:t>
            </w:r>
          </w:p>
        </w:tc>
        <w:tc>
          <w:tcPr>
            <w:tcW w:w="1136" w:type="dxa"/>
            <w:vAlign w:val="top"/>
          </w:tcPr>
          <w:p w14:paraId="1E77097C">
            <w:pPr>
              <w:spacing w:line="255" w:lineRule="auto"/>
              <w:rPr>
                <w:rFonts w:ascii="Arial"/>
                <w:sz w:val="21"/>
              </w:rPr>
            </w:pPr>
          </w:p>
          <w:p w14:paraId="70C3341F">
            <w:pPr>
              <w:spacing w:line="255" w:lineRule="auto"/>
              <w:rPr>
                <w:rFonts w:ascii="Arial"/>
                <w:sz w:val="21"/>
              </w:rPr>
            </w:pPr>
          </w:p>
          <w:p w14:paraId="1E081AEA">
            <w:pPr>
              <w:spacing w:line="255" w:lineRule="auto"/>
              <w:rPr>
                <w:rFonts w:ascii="Arial"/>
                <w:sz w:val="21"/>
              </w:rPr>
            </w:pPr>
          </w:p>
          <w:p w14:paraId="0BB6B1B7">
            <w:pPr>
              <w:spacing w:line="256" w:lineRule="auto"/>
              <w:rPr>
                <w:rFonts w:ascii="Arial"/>
                <w:sz w:val="21"/>
              </w:rPr>
            </w:pPr>
          </w:p>
          <w:p w14:paraId="1E50B7DF">
            <w:pPr>
              <w:spacing w:line="256" w:lineRule="auto"/>
              <w:rPr>
                <w:rFonts w:ascii="Arial"/>
                <w:sz w:val="21"/>
              </w:rPr>
            </w:pPr>
          </w:p>
          <w:p w14:paraId="367EE0E7">
            <w:pPr>
              <w:spacing w:line="256" w:lineRule="auto"/>
              <w:rPr>
                <w:rFonts w:ascii="Arial"/>
                <w:sz w:val="21"/>
              </w:rPr>
            </w:pPr>
          </w:p>
          <w:p w14:paraId="6D4E3D5C">
            <w:pPr>
              <w:pStyle w:val="8"/>
              <w:spacing w:before="58" w:line="220" w:lineRule="auto"/>
              <w:ind w:left="114"/>
            </w:pPr>
            <w:r>
              <w:rPr>
                <w:spacing w:val="-7"/>
              </w:rPr>
              <w:t>行政处罚</w:t>
            </w:r>
          </w:p>
        </w:tc>
        <w:tc>
          <w:tcPr>
            <w:tcW w:w="8806" w:type="dxa"/>
            <w:vAlign w:val="top"/>
          </w:tcPr>
          <w:p w14:paraId="346BD6FD">
            <w:pPr>
              <w:pStyle w:val="8"/>
              <w:spacing w:before="40" w:line="219" w:lineRule="auto"/>
              <w:ind w:left="473"/>
            </w:pPr>
            <w:r>
              <w:rPr>
                <w:b/>
                <w:bCs/>
                <w:spacing w:val="-4"/>
              </w:rPr>
              <w:t>《港口和船舶岸电管理办法》（交通运输部令2021年第31号）</w:t>
            </w:r>
          </w:p>
          <w:p w14:paraId="5A294A90">
            <w:pPr>
              <w:pStyle w:val="8"/>
              <w:spacing w:before="27" w:line="237" w:lineRule="auto"/>
              <w:ind w:left="113" w:right="103" w:firstLine="354"/>
            </w:pPr>
            <w:r>
              <w:rPr>
                <w:spacing w:val="-4"/>
              </w:rPr>
              <w:t>第十一条第一款  具备受电设施的船舶（液货船除外</w:t>
            </w:r>
            <w:r>
              <w:rPr>
                <w:spacing w:val="-41"/>
                <w:w w:val="86"/>
              </w:rPr>
              <w:t>），</w:t>
            </w:r>
            <w:r>
              <w:rPr>
                <w:spacing w:val="-4"/>
              </w:rPr>
              <w:t>在沿海港口具备岸电供应能力的泊位靠泊超过 3 小</w:t>
            </w:r>
            <w:r>
              <w:rPr>
                <w:spacing w:val="3"/>
              </w:rPr>
              <w:t xml:space="preserve"> </w:t>
            </w:r>
            <w:r>
              <w:rPr>
                <w:spacing w:val="-3"/>
              </w:rPr>
              <w:t>时，在内河港口具备岸电供应能力的泊位靠泊超过2小时，且未使用有效替代措施的，应当使用岸电；船舶、码</w:t>
            </w:r>
            <w:r>
              <w:t xml:space="preserve"> </w:t>
            </w:r>
            <w:r>
              <w:rPr>
                <w:spacing w:val="-2"/>
              </w:rPr>
              <w:t>头岸电设 施临时发生故障，或者恶劣气候</w:t>
            </w:r>
            <w:r>
              <w:rPr>
                <w:spacing w:val="-3"/>
              </w:rPr>
              <w:t>、意外事故等紧急情况下无法使用岸电的除外。</w:t>
            </w:r>
          </w:p>
          <w:p w14:paraId="27A02545">
            <w:pPr>
              <w:pStyle w:val="8"/>
              <w:spacing w:before="25" w:line="219" w:lineRule="auto"/>
              <w:ind w:left="468"/>
            </w:pPr>
            <w:r>
              <w:rPr>
                <w:spacing w:val="-2"/>
              </w:rPr>
              <w:t>第二十五条  船舶违反本办法第十一条第一款规定的，由海事管理机构责令</w:t>
            </w:r>
            <w:r>
              <w:rPr>
                <w:spacing w:val="-3"/>
              </w:rPr>
              <w:t>限期改正。</w:t>
            </w:r>
          </w:p>
          <w:p w14:paraId="4AF1AA26">
            <w:pPr>
              <w:pStyle w:val="8"/>
              <w:spacing w:before="25" w:line="242" w:lineRule="auto"/>
              <w:ind w:left="110" w:right="103" w:firstLine="356"/>
            </w:pPr>
            <w:r>
              <w:rPr>
                <w:spacing w:val="-1"/>
              </w:rPr>
              <w:t>在长江流域港口靠泊的船舶违反本办法第十一条第一款规定的，由海事管理机构责令停止违法</w:t>
            </w:r>
            <w:r>
              <w:rPr>
                <w:spacing w:val="-2"/>
              </w:rPr>
              <w:t>行为，给予</w:t>
            </w:r>
            <w:r>
              <w:t xml:space="preserve"> </w:t>
            </w:r>
            <w:r>
              <w:rPr>
                <w:spacing w:val="-2"/>
              </w:rPr>
              <w:t>警告，并视情节轻重处以罚款</w:t>
            </w:r>
            <w:r>
              <w:rPr>
                <w:spacing w:val="-21"/>
              </w:rPr>
              <w:t>：（</w:t>
            </w:r>
            <w:r>
              <w:rPr>
                <w:spacing w:val="-2"/>
              </w:rPr>
              <w:t>一）船舶发电机组总额定功率 2000千瓦（含）以下的，处一万元以</w:t>
            </w:r>
            <w:r>
              <w:rPr>
                <w:spacing w:val="-3"/>
              </w:rPr>
              <w:t>上二万元</w:t>
            </w:r>
            <w:r>
              <w:t xml:space="preserve"> </w:t>
            </w:r>
            <w:r>
              <w:rPr>
                <w:spacing w:val="-1"/>
              </w:rPr>
              <w:t>以下罚款；情节严重的，处十万元以上二十万元以下罚款</w:t>
            </w:r>
            <w:r>
              <w:rPr>
                <w:spacing w:val="-3"/>
              </w:rPr>
              <w:t>；（</w:t>
            </w:r>
            <w:r>
              <w:rPr>
                <w:spacing w:val="-1"/>
              </w:rPr>
              <w:t>二）船舶发电机组总额定功率2000千瓦以上8000</w:t>
            </w:r>
            <w:r>
              <w:rPr>
                <w:spacing w:val="1"/>
              </w:rPr>
              <w:t xml:space="preserve"> </w:t>
            </w:r>
            <w:r>
              <w:rPr>
                <w:spacing w:val="-1"/>
              </w:rPr>
              <w:t>千瓦（含）以下的，处二万元以上五万元以下罚款；情节严重的，处二十</w:t>
            </w:r>
            <w:r>
              <w:rPr>
                <w:spacing w:val="-2"/>
              </w:rPr>
              <w:t>万元以上三十万元以下罚款</w:t>
            </w:r>
            <w:r>
              <w:rPr>
                <w:spacing w:val="-3"/>
              </w:rPr>
              <w:t>；（</w:t>
            </w:r>
            <w:r>
              <w:rPr>
                <w:spacing w:val="-2"/>
              </w:rPr>
              <w:t>三）</w:t>
            </w:r>
            <w:r>
              <w:t xml:space="preserve"> </w:t>
            </w:r>
            <w:r>
              <w:rPr>
                <w:spacing w:val="-1"/>
              </w:rPr>
              <w:t>船舶发电机组总额定功率8000千瓦以上的，处五万元以上十万元以下罚款；情节严重的，处三十万元</w:t>
            </w:r>
            <w:r>
              <w:rPr>
                <w:spacing w:val="-2"/>
              </w:rPr>
              <w:t>以上五十</w:t>
            </w:r>
            <w:r>
              <w:t xml:space="preserve"> </w:t>
            </w:r>
            <w:r>
              <w:rPr>
                <w:spacing w:val="-3"/>
              </w:rPr>
              <w:t>万元以下罚款。</w:t>
            </w:r>
          </w:p>
          <w:p w14:paraId="7E753C26">
            <w:pPr>
              <w:pStyle w:val="8"/>
              <w:spacing w:before="25" w:line="233" w:lineRule="auto"/>
              <w:ind w:left="112" w:right="103" w:firstLine="359"/>
            </w:pPr>
            <w:r>
              <w:rPr>
                <w:spacing w:val="-1"/>
              </w:rPr>
              <w:t>前款所称情节严重，是指船舶靠泊同一港口连续 3 次及以上或者连续12个月内累计6次及以</w:t>
            </w:r>
            <w:r>
              <w:rPr>
                <w:spacing w:val="-2"/>
              </w:rPr>
              <w:t>上未按规定使</w:t>
            </w:r>
            <w:r>
              <w:t xml:space="preserve"> </w:t>
            </w:r>
            <w:r>
              <w:rPr>
                <w:spacing w:val="-3"/>
              </w:rPr>
              <w:t>用岸电，或者船舶受电设施出现故障不及时维修导致6个月以上无法正常使用。</w:t>
            </w:r>
          </w:p>
          <w:p w14:paraId="6B154EC9">
            <w:pPr>
              <w:pStyle w:val="8"/>
              <w:spacing w:before="26" w:line="197" w:lineRule="auto"/>
              <w:ind w:left="467"/>
            </w:pPr>
            <w:r>
              <w:rPr>
                <w:spacing w:val="-2"/>
              </w:rPr>
              <w:t>初次违法且情节轻微并及时改正的，可以不予行政处罚，由海事管理机构进</w:t>
            </w:r>
            <w:r>
              <w:rPr>
                <w:spacing w:val="-3"/>
              </w:rPr>
              <w:t>行教育。</w:t>
            </w:r>
          </w:p>
        </w:tc>
        <w:tc>
          <w:tcPr>
            <w:tcW w:w="1043" w:type="dxa"/>
            <w:vAlign w:val="top"/>
          </w:tcPr>
          <w:p w14:paraId="7FE5CB46">
            <w:pPr>
              <w:spacing w:line="282" w:lineRule="auto"/>
              <w:rPr>
                <w:rFonts w:ascii="Arial"/>
                <w:sz w:val="21"/>
              </w:rPr>
            </w:pPr>
          </w:p>
          <w:p w14:paraId="54D7E509">
            <w:pPr>
              <w:spacing w:line="282" w:lineRule="auto"/>
              <w:rPr>
                <w:rFonts w:ascii="Arial"/>
                <w:sz w:val="21"/>
              </w:rPr>
            </w:pPr>
          </w:p>
          <w:p w14:paraId="18AD8C09">
            <w:pPr>
              <w:spacing w:line="283" w:lineRule="auto"/>
              <w:rPr>
                <w:rFonts w:ascii="Arial"/>
                <w:sz w:val="21"/>
              </w:rPr>
            </w:pPr>
          </w:p>
          <w:p w14:paraId="4E13AE94">
            <w:pPr>
              <w:spacing w:line="283" w:lineRule="auto"/>
              <w:rPr>
                <w:rFonts w:ascii="Arial"/>
                <w:sz w:val="21"/>
              </w:rPr>
            </w:pPr>
          </w:p>
          <w:p w14:paraId="7938A01A">
            <w:pPr>
              <w:spacing w:line="283" w:lineRule="auto"/>
              <w:rPr>
                <w:rFonts w:ascii="Arial"/>
                <w:sz w:val="21"/>
              </w:rPr>
            </w:pPr>
          </w:p>
          <w:p w14:paraId="659347DF">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0F380BB7">
            <w:pPr>
              <w:spacing w:line="255" w:lineRule="auto"/>
              <w:rPr>
                <w:rFonts w:ascii="Arial"/>
                <w:sz w:val="21"/>
              </w:rPr>
            </w:pPr>
          </w:p>
          <w:p w14:paraId="27DADA21">
            <w:pPr>
              <w:spacing w:line="255" w:lineRule="auto"/>
              <w:rPr>
                <w:rFonts w:ascii="Arial"/>
                <w:sz w:val="21"/>
              </w:rPr>
            </w:pPr>
          </w:p>
          <w:p w14:paraId="384D8075">
            <w:pPr>
              <w:spacing w:line="255" w:lineRule="auto"/>
              <w:rPr>
                <w:rFonts w:ascii="Arial"/>
                <w:sz w:val="21"/>
              </w:rPr>
            </w:pPr>
          </w:p>
          <w:p w14:paraId="0F1E4723">
            <w:pPr>
              <w:spacing w:line="256" w:lineRule="auto"/>
              <w:rPr>
                <w:rFonts w:ascii="Arial"/>
                <w:sz w:val="21"/>
              </w:rPr>
            </w:pPr>
          </w:p>
          <w:p w14:paraId="567628EF">
            <w:pPr>
              <w:spacing w:line="256" w:lineRule="auto"/>
              <w:rPr>
                <w:rFonts w:ascii="Arial"/>
                <w:sz w:val="21"/>
              </w:rPr>
            </w:pPr>
          </w:p>
          <w:p w14:paraId="73699555">
            <w:pPr>
              <w:spacing w:line="256" w:lineRule="auto"/>
              <w:rPr>
                <w:rFonts w:ascii="Arial"/>
                <w:sz w:val="21"/>
              </w:rPr>
            </w:pPr>
          </w:p>
          <w:p w14:paraId="3EAC45A3">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59FD68F">
            <w:pPr>
              <w:spacing w:line="294" w:lineRule="auto"/>
              <w:rPr>
                <w:rFonts w:ascii="Arial"/>
                <w:sz w:val="21"/>
              </w:rPr>
            </w:pPr>
          </w:p>
          <w:p w14:paraId="35DE975B">
            <w:pPr>
              <w:spacing w:line="294" w:lineRule="auto"/>
              <w:rPr>
                <w:rFonts w:ascii="Arial"/>
                <w:sz w:val="21"/>
              </w:rPr>
            </w:pPr>
          </w:p>
          <w:p w14:paraId="61B77A6F">
            <w:pPr>
              <w:spacing w:line="294" w:lineRule="auto"/>
              <w:rPr>
                <w:rFonts w:ascii="Arial"/>
                <w:sz w:val="21"/>
              </w:rPr>
            </w:pPr>
          </w:p>
          <w:p w14:paraId="23D563CB">
            <w:pPr>
              <w:spacing w:line="294" w:lineRule="auto"/>
              <w:rPr>
                <w:rFonts w:ascii="Arial"/>
                <w:sz w:val="21"/>
              </w:rPr>
            </w:pPr>
          </w:p>
          <w:p w14:paraId="43180E2A">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4550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6" w:hRule="atLeast"/>
        </w:trPr>
        <w:tc>
          <w:tcPr>
            <w:tcW w:w="641" w:type="dxa"/>
            <w:vAlign w:val="top"/>
          </w:tcPr>
          <w:p w14:paraId="76FDDC2B">
            <w:pPr>
              <w:spacing w:line="241" w:lineRule="auto"/>
              <w:rPr>
                <w:rFonts w:ascii="Arial"/>
                <w:sz w:val="21"/>
              </w:rPr>
            </w:pPr>
          </w:p>
          <w:p w14:paraId="0711B23A">
            <w:pPr>
              <w:spacing w:line="241" w:lineRule="auto"/>
              <w:rPr>
                <w:rFonts w:ascii="Arial"/>
                <w:sz w:val="21"/>
              </w:rPr>
            </w:pPr>
          </w:p>
          <w:p w14:paraId="6E365FD4">
            <w:pPr>
              <w:spacing w:line="241" w:lineRule="auto"/>
              <w:rPr>
                <w:rFonts w:ascii="Arial"/>
                <w:sz w:val="21"/>
              </w:rPr>
            </w:pPr>
          </w:p>
          <w:p w14:paraId="3BB6A749">
            <w:pPr>
              <w:spacing w:line="241" w:lineRule="auto"/>
              <w:rPr>
                <w:rFonts w:ascii="Arial"/>
                <w:sz w:val="21"/>
              </w:rPr>
            </w:pPr>
          </w:p>
          <w:p w14:paraId="2AD039E2">
            <w:pPr>
              <w:spacing w:line="241" w:lineRule="auto"/>
              <w:rPr>
                <w:rFonts w:ascii="Arial"/>
                <w:sz w:val="21"/>
              </w:rPr>
            </w:pPr>
          </w:p>
          <w:p w14:paraId="18825247">
            <w:pPr>
              <w:pStyle w:val="8"/>
              <w:spacing w:before="58" w:line="183" w:lineRule="auto"/>
              <w:ind w:left="235"/>
            </w:pPr>
            <w:r>
              <w:rPr>
                <w:spacing w:val="-4"/>
              </w:rPr>
              <w:t>89</w:t>
            </w:r>
          </w:p>
        </w:tc>
        <w:tc>
          <w:tcPr>
            <w:tcW w:w="1136" w:type="dxa"/>
            <w:vAlign w:val="top"/>
          </w:tcPr>
          <w:p w14:paraId="777DA7B8">
            <w:pPr>
              <w:pStyle w:val="8"/>
              <w:spacing w:before="40" w:line="242" w:lineRule="auto"/>
              <w:ind w:left="109" w:right="106"/>
            </w:pPr>
            <w:r>
              <w:rPr>
                <w:spacing w:val="3"/>
              </w:rPr>
              <w:t>对能见度不</w:t>
            </w:r>
            <w:r>
              <w:t xml:space="preserve"> </w:t>
            </w:r>
            <w:r>
              <w:rPr>
                <w:spacing w:val="3"/>
              </w:rPr>
              <w:t>良、风力超</w:t>
            </w:r>
            <w:r>
              <w:t xml:space="preserve"> </w:t>
            </w:r>
            <w:r>
              <w:rPr>
                <w:spacing w:val="3"/>
              </w:rPr>
              <w:t>过渡船抗风</w:t>
            </w:r>
            <w:r>
              <w:t xml:space="preserve"> </w:t>
            </w:r>
            <w:r>
              <w:rPr>
                <w:spacing w:val="3"/>
              </w:rPr>
              <w:t>等级、水位</w:t>
            </w:r>
            <w:r>
              <w:t xml:space="preserve"> </w:t>
            </w:r>
            <w:r>
              <w:rPr>
                <w:spacing w:val="3"/>
              </w:rPr>
              <w:t>超过停航封</w:t>
            </w:r>
            <w:r>
              <w:t xml:space="preserve"> </w:t>
            </w:r>
            <w:r>
              <w:rPr>
                <w:spacing w:val="3"/>
              </w:rPr>
              <w:t>渡水线等不</w:t>
            </w:r>
            <w:r>
              <w:t xml:space="preserve"> </w:t>
            </w:r>
            <w:r>
              <w:rPr>
                <w:spacing w:val="-10"/>
              </w:rPr>
              <w:t>适</w:t>
            </w:r>
            <w:r>
              <w:rPr>
                <w:spacing w:val="-16"/>
              </w:rPr>
              <w:t xml:space="preserve"> </w:t>
            </w:r>
            <w:r>
              <w:rPr>
                <w:spacing w:val="-10"/>
              </w:rPr>
              <w:t>航 的 天</w:t>
            </w:r>
            <w:r>
              <w:t xml:space="preserve"> </w:t>
            </w:r>
            <w:r>
              <w:rPr>
                <w:spacing w:val="3"/>
              </w:rPr>
              <w:t>气、水文条</w:t>
            </w:r>
            <w:r>
              <w:t xml:space="preserve"> </w:t>
            </w:r>
            <w:r>
              <w:rPr>
                <w:spacing w:val="2"/>
              </w:rPr>
              <w:t>件等条件，</w:t>
            </w:r>
            <w:r>
              <w:t xml:space="preserve"> </w:t>
            </w:r>
            <w:r>
              <w:rPr>
                <w:spacing w:val="3"/>
              </w:rPr>
              <w:t>擅自开航的</w:t>
            </w:r>
            <w:r>
              <w:t xml:space="preserve"> </w:t>
            </w:r>
            <w:r>
              <w:rPr>
                <w:spacing w:val="-3"/>
              </w:rPr>
              <w:t>行政处罚</w:t>
            </w:r>
          </w:p>
        </w:tc>
        <w:tc>
          <w:tcPr>
            <w:tcW w:w="1136" w:type="dxa"/>
            <w:vAlign w:val="top"/>
          </w:tcPr>
          <w:p w14:paraId="3B76988E">
            <w:pPr>
              <w:spacing w:line="294" w:lineRule="auto"/>
              <w:rPr>
                <w:rFonts w:ascii="Arial"/>
                <w:sz w:val="21"/>
              </w:rPr>
            </w:pPr>
          </w:p>
          <w:p w14:paraId="59C8B5C3">
            <w:pPr>
              <w:spacing w:line="294" w:lineRule="auto"/>
              <w:rPr>
                <w:rFonts w:ascii="Arial"/>
                <w:sz w:val="21"/>
              </w:rPr>
            </w:pPr>
          </w:p>
          <w:p w14:paraId="576C3678">
            <w:pPr>
              <w:spacing w:line="294" w:lineRule="auto"/>
              <w:rPr>
                <w:rFonts w:ascii="Arial"/>
                <w:sz w:val="21"/>
              </w:rPr>
            </w:pPr>
          </w:p>
          <w:p w14:paraId="504D94DA">
            <w:pPr>
              <w:spacing w:line="294" w:lineRule="auto"/>
              <w:rPr>
                <w:rFonts w:ascii="Arial"/>
                <w:sz w:val="21"/>
              </w:rPr>
            </w:pPr>
          </w:p>
          <w:p w14:paraId="76710DCE">
            <w:pPr>
              <w:pStyle w:val="8"/>
              <w:spacing w:before="59" w:line="220" w:lineRule="auto"/>
              <w:ind w:left="114"/>
            </w:pPr>
            <w:r>
              <w:rPr>
                <w:spacing w:val="-4"/>
              </w:rPr>
              <w:t>行政处罚</w:t>
            </w:r>
          </w:p>
        </w:tc>
        <w:tc>
          <w:tcPr>
            <w:tcW w:w="8806" w:type="dxa"/>
            <w:vAlign w:val="top"/>
          </w:tcPr>
          <w:p w14:paraId="7DE184B8">
            <w:pPr>
              <w:spacing w:line="461" w:lineRule="auto"/>
              <w:rPr>
                <w:rFonts w:ascii="Arial"/>
                <w:sz w:val="21"/>
              </w:rPr>
            </w:pPr>
          </w:p>
          <w:p w14:paraId="76BAC245">
            <w:pPr>
              <w:pStyle w:val="8"/>
              <w:spacing w:before="59" w:line="219" w:lineRule="auto"/>
              <w:ind w:left="473"/>
            </w:pPr>
            <w:r>
              <w:rPr>
                <w:b/>
                <w:bCs/>
                <w:spacing w:val="-4"/>
              </w:rPr>
              <w:t>《湖南省水上交通安全条例》</w:t>
            </w:r>
          </w:p>
          <w:p w14:paraId="533B85E5">
            <w:pPr>
              <w:pStyle w:val="8"/>
              <w:spacing w:before="27" w:line="237" w:lineRule="auto"/>
              <w:ind w:left="109" w:right="103" w:firstLine="358"/>
              <w:jc w:val="both"/>
            </w:pPr>
            <w:r>
              <w:t>第十四条第一款第（一）项、第（六）项、第（七</w:t>
            </w:r>
            <w:r>
              <w:rPr>
                <w:spacing w:val="-1"/>
              </w:rPr>
              <w:t>）项  有下列情形之一的，渡船不得开航</w:t>
            </w:r>
            <w:r>
              <w:rPr>
                <w:spacing w:val="-15"/>
              </w:rPr>
              <w:t>：（</w:t>
            </w:r>
            <w:r>
              <w:rPr>
                <w:spacing w:val="-1"/>
              </w:rPr>
              <w:t>一）能见</w:t>
            </w:r>
            <w:r>
              <w:rPr>
                <w:spacing w:val="1"/>
              </w:rPr>
              <w:t xml:space="preserve"> </w:t>
            </w:r>
            <w:r>
              <w:rPr>
                <w:spacing w:val="-1"/>
              </w:rPr>
              <w:t>度不良、风力超过渡船抗风等级、水位超过停航封渡水位线等不适航的天气、水文条件；（六</w:t>
            </w:r>
            <w:r>
              <w:rPr>
                <w:spacing w:val="-2"/>
              </w:rPr>
              <w:t>）乘客不按规定</w:t>
            </w:r>
            <w:r>
              <w:rPr>
                <w:spacing w:val="1"/>
              </w:rPr>
              <w:t xml:space="preserve"> </w:t>
            </w:r>
            <w:r>
              <w:rPr>
                <w:spacing w:val="-1"/>
              </w:rPr>
              <w:t>穿（拿)救生衣或者救生浮具</w:t>
            </w:r>
            <w:r>
              <w:rPr>
                <w:spacing w:val="-15"/>
              </w:rPr>
              <w:t>；（</w:t>
            </w:r>
            <w:r>
              <w:rPr>
                <w:spacing w:val="-1"/>
              </w:rPr>
              <w:t>七）乘客在船上打架</w:t>
            </w:r>
            <w:r>
              <w:rPr>
                <w:spacing w:val="-2"/>
              </w:rPr>
              <w:t>斗殴、寻衅滋事。</w:t>
            </w:r>
          </w:p>
          <w:p w14:paraId="5F3DE474">
            <w:pPr>
              <w:pStyle w:val="8"/>
              <w:spacing w:before="26" w:line="237" w:lineRule="auto"/>
              <w:ind w:left="112" w:right="103" w:firstLine="356"/>
              <w:jc w:val="both"/>
            </w:pPr>
            <w:r>
              <w:rPr>
                <w:spacing w:val="-1"/>
              </w:rPr>
              <w:t>第四十条  违反本条例第十四条第一款第一项规定，擅自开航的，由海事管理机构责令改正，</w:t>
            </w:r>
            <w:r>
              <w:rPr>
                <w:spacing w:val="-2"/>
              </w:rPr>
              <w:t>对渡船所有</w:t>
            </w:r>
            <w:r>
              <w:t xml:space="preserve"> </w:t>
            </w:r>
            <w:r>
              <w:rPr>
                <w:spacing w:val="-1"/>
              </w:rPr>
              <w:t>人或者经营人处一千元以上五千元以下罚款；违反第六项、第七项规定，擅自开航的，由海</w:t>
            </w:r>
            <w:r>
              <w:rPr>
                <w:spacing w:val="-2"/>
              </w:rPr>
              <w:t>事管理机构责令改</w:t>
            </w:r>
            <w:r>
              <w:t xml:space="preserve"> </w:t>
            </w:r>
            <w:r>
              <w:rPr>
                <w:spacing w:val="-2"/>
              </w:rPr>
              <w:t>正，对渡船所有人或者经营人处二百元以上五百</w:t>
            </w:r>
            <w:r>
              <w:rPr>
                <w:spacing w:val="-3"/>
              </w:rPr>
              <w:t>元以下罚款。</w:t>
            </w:r>
          </w:p>
        </w:tc>
        <w:tc>
          <w:tcPr>
            <w:tcW w:w="1043" w:type="dxa"/>
            <w:vAlign w:val="top"/>
          </w:tcPr>
          <w:p w14:paraId="23FB043E">
            <w:pPr>
              <w:spacing w:line="264" w:lineRule="auto"/>
              <w:rPr>
                <w:rFonts w:ascii="Arial"/>
                <w:sz w:val="21"/>
              </w:rPr>
            </w:pPr>
          </w:p>
          <w:p w14:paraId="32CA1CB7">
            <w:pPr>
              <w:spacing w:line="264" w:lineRule="auto"/>
              <w:rPr>
                <w:rFonts w:ascii="Arial"/>
                <w:sz w:val="21"/>
              </w:rPr>
            </w:pPr>
          </w:p>
          <w:p w14:paraId="3B3DD1E7">
            <w:pPr>
              <w:spacing w:line="264" w:lineRule="auto"/>
              <w:rPr>
                <w:rFonts w:ascii="Arial"/>
                <w:sz w:val="21"/>
              </w:rPr>
            </w:pPr>
          </w:p>
          <w:p w14:paraId="09CE8D9D">
            <w:pPr>
              <w:spacing w:line="265" w:lineRule="auto"/>
              <w:rPr>
                <w:rFonts w:ascii="Arial"/>
                <w:sz w:val="21"/>
              </w:rPr>
            </w:pPr>
          </w:p>
          <w:p w14:paraId="1899790B">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417E4F24">
            <w:pPr>
              <w:spacing w:line="294" w:lineRule="auto"/>
              <w:rPr>
                <w:rFonts w:ascii="Arial"/>
                <w:sz w:val="21"/>
              </w:rPr>
            </w:pPr>
          </w:p>
          <w:p w14:paraId="3A2413AA">
            <w:pPr>
              <w:spacing w:line="294" w:lineRule="auto"/>
              <w:rPr>
                <w:rFonts w:ascii="Arial"/>
                <w:sz w:val="21"/>
              </w:rPr>
            </w:pPr>
          </w:p>
          <w:p w14:paraId="70765A9D">
            <w:pPr>
              <w:spacing w:line="294" w:lineRule="auto"/>
              <w:rPr>
                <w:rFonts w:ascii="Arial"/>
                <w:sz w:val="21"/>
              </w:rPr>
            </w:pPr>
          </w:p>
          <w:p w14:paraId="64F35B18">
            <w:pPr>
              <w:spacing w:line="295" w:lineRule="auto"/>
              <w:rPr>
                <w:rFonts w:ascii="Arial"/>
                <w:sz w:val="21"/>
              </w:rPr>
            </w:pPr>
          </w:p>
          <w:p w14:paraId="2E3BDF34">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63B610A">
            <w:pPr>
              <w:spacing w:line="273" w:lineRule="auto"/>
              <w:rPr>
                <w:rFonts w:ascii="Arial"/>
                <w:sz w:val="21"/>
              </w:rPr>
            </w:pPr>
          </w:p>
          <w:p w14:paraId="36E0695A">
            <w:pPr>
              <w:spacing w:line="273" w:lineRule="auto"/>
              <w:rPr>
                <w:rFonts w:ascii="Arial"/>
                <w:sz w:val="21"/>
              </w:rPr>
            </w:pPr>
          </w:p>
          <w:p w14:paraId="038C50C7">
            <w:pPr>
              <w:spacing w:line="274" w:lineRule="auto"/>
              <w:rPr>
                <w:rFonts w:ascii="Arial"/>
                <w:sz w:val="21"/>
              </w:rPr>
            </w:pPr>
          </w:p>
          <w:p w14:paraId="32432996">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22DF7D6A">
      <w:pPr>
        <w:pStyle w:val="2"/>
      </w:pPr>
    </w:p>
    <w:p w14:paraId="5FCBAF54">
      <w:pPr>
        <w:sectPr>
          <w:footerReference r:id="rId208" w:type="default"/>
          <w:pgSz w:w="16839" w:h="11906"/>
          <w:pgMar w:top="1012" w:right="788" w:bottom="967" w:left="787" w:header="0" w:footer="768" w:gutter="0"/>
          <w:cols w:space="720" w:num="1"/>
        </w:sectPr>
      </w:pPr>
    </w:p>
    <w:p w14:paraId="0C26207C">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73142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7F44031D">
            <w:pPr>
              <w:pStyle w:val="8"/>
              <w:spacing w:before="267" w:line="221" w:lineRule="auto"/>
              <w:ind w:left="142"/>
            </w:pPr>
            <w:r>
              <w:rPr>
                <w:b/>
                <w:bCs/>
                <w:spacing w:val="-4"/>
              </w:rPr>
              <w:t>序号</w:t>
            </w:r>
          </w:p>
        </w:tc>
        <w:tc>
          <w:tcPr>
            <w:tcW w:w="1136" w:type="dxa"/>
            <w:vMerge w:val="restart"/>
            <w:tcBorders>
              <w:bottom w:val="nil"/>
            </w:tcBorders>
            <w:vAlign w:val="top"/>
          </w:tcPr>
          <w:p w14:paraId="0EAD3D98">
            <w:pPr>
              <w:pStyle w:val="8"/>
              <w:spacing w:before="267" w:line="220" w:lineRule="auto"/>
              <w:ind w:left="208"/>
            </w:pPr>
            <w:r>
              <w:rPr>
                <w:b/>
                <w:bCs/>
                <w:spacing w:val="-4"/>
              </w:rPr>
              <w:t>事项名称</w:t>
            </w:r>
          </w:p>
        </w:tc>
        <w:tc>
          <w:tcPr>
            <w:tcW w:w="1136" w:type="dxa"/>
            <w:vMerge w:val="restart"/>
            <w:tcBorders>
              <w:bottom w:val="nil"/>
            </w:tcBorders>
            <w:vAlign w:val="top"/>
          </w:tcPr>
          <w:p w14:paraId="188C8F43">
            <w:pPr>
              <w:pStyle w:val="8"/>
              <w:spacing w:before="267" w:line="219" w:lineRule="auto"/>
              <w:ind w:left="210"/>
            </w:pPr>
            <w:r>
              <w:rPr>
                <w:b/>
                <w:bCs/>
                <w:spacing w:val="-4"/>
              </w:rPr>
              <w:t>职权类型</w:t>
            </w:r>
          </w:p>
        </w:tc>
        <w:tc>
          <w:tcPr>
            <w:tcW w:w="8806" w:type="dxa"/>
            <w:vMerge w:val="restart"/>
            <w:tcBorders>
              <w:bottom w:val="nil"/>
            </w:tcBorders>
            <w:vAlign w:val="top"/>
          </w:tcPr>
          <w:p w14:paraId="1A12FCA7">
            <w:pPr>
              <w:pStyle w:val="8"/>
              <w:spacing w:before="267" w:line="219" w:lineRule="auto"/>
              <w:ind w:left="4050"/>
            </w:pPr>
            <w:r>
              <w:rPr>
                <w:b/>
                <w:bCs/>
                <w:spacing w:val="-5"/>
              </w:rPr>
              <w:t>实施依据</w:t>
            </w:r>
          </w:p>
        </w:tc>
        <w:tc>
          <w:tcPr>
            <w:tcW w:w="3538" w:type="dxa"/>
            <w:gridSpan w:val="3"/>
            <w:vAlign w:val="top"/>
          </w:tcPr>
          <w:p w14:paraId="080DDDF1">
            <w:pPr>
              <w:pStyle w:val="8"/>
              <w:spacing w:before="92" w:line="220" w:lineRule="auto"/>
              <w:ind w:left="1415"/>
            </w:pPr>
            <w:r>
              <w:rPr>
                <w:b/>
                <w:bCs/>
                <w:spacing w:val="-5"/>
              </w:rPr>
              <w:t>实施主体</w:t>
            </w:r>
          </w:p>
        </w:tc>
      </w:tr>
      <w:tr w14:paraId="181CB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0C8D2274">
            <w:pPr>
              <w:rPr>
                <w:rFonts w:ascii="Arial"/>
                <w:sz w:val="21"/>
              </w:rPr>
            </w:pPr>
          </w:p>
        </w:tc>
        <w:tc>
          <w:tcPr>
            <w:tcW w:w="1136" w:type="dxa"/>
            <w:vMerge w:val="continue"/>
            <w:tcBorders>
              <w:top w:val="nil"/>
            </w:tcBorders>
            <w:vAlign w:val="top"/>
          </w:tcPr>
          <w:p w14:paraId="7A442429">
            <w:pPr>
              <w:rPr>
                <w:rFonts w:ascii="Arial"/>
                <w:sz w:val="21"/>
              </w:rPr>
            </w:pPr>
          </w:p>
        </w:tc>
        <w:tc>
          <w:tcPr>
            <w:tcW w:w="1136" w:type="dxa"/>
            <w:vMerge w:val="continue"/>
            <w:tcBorders>
              <w:top w:val="nil"/>
            </w:tcBorders>
            <w:vAlign w:val="top"/>
          </w:tcPr>
          <w:p w14:paraId="2140EC93">
            <w:pPr>
              <w:rPr>
                <w:rFonts w:ascii="Arial"/>
                <w:sz w:val="21"/>
              </w:rPr>
            </w:pPr>
          </w:p>
        </w:tc>
        <w:tc>
          <w:tcPr>
            <w:tcW w:w="8806" w:type="dxa"/>
            <w:vMerge w:val="continue"/>
            <w:tcBorders>
              <w:top w:val="nil"/>
            </w:tcBorders>
            <w:vAlign w:val="top"/>
          </w:tcPr>
          <w:p w14:paraId="6FF8E350">
            <w:pPr>
              <w:rPr>
                <w:rFonts w:ascii="Arial"/>
                <w:sz w:val="21"/>
              </w:rPr>
            </w:pPr>
          </w:p>
        </w:tc>
        <w:tc>
          <w:tcPr>
            <w:tcW w:w="1043" w:type="dxa"/>
            <w:vAlign w:val="top"/>
          </w:tcPr>
          <w:p w14:paraId="7A82D952">
            <w:pPr>
              <w:pStyle w:val="8"/>
              <w:spacing w:before="88" w:line="219" w:lineRule="auto"/>
              <w:ind w:left="171"/>
            </w:pPr>
            <w:r>
              <w:rPr>
                <w:b/>
                <w:bCs/>
                <w:spacing w:val="-5"/>
              </w:rPr>
              <w:t>责任部门</w:t>
            </w:r>
          </w:p>
        </w:tc>
        <w:tc>
          <w:tcPr>
            <w:tcW w:w="1448" w:type="dxa"/>
            <w:vAlign w:val="top"/>
          </w:tcPr>
          <w:p w14:paraId="2A6215AF">
            <w:pPr>
              <w:pStyle w:val="8"/>
              <w:spacing w:before="88" w:line="219" w:lineRule="auto"/>
              <w:ind w:left="187"/>
            </w:pPr>
            <w:r>
              <w:rPr>
                <w:b/>
                <w:bCs/>
                <w:spacing w:val="-3"/>
              </w:rPr>
              <w:t>第一责任层级</w:t>
            </w:r>
          </w:p>
        </w:tc>
        <w:tc>
          <w:tcPr>
            <w:tcW w:w="1047" w:type="dxa"/>
            <w:vAlign w:val="top"/>
          </w:tcPr>
          <w:p w14:paraId="53035F8C">
            <w:pPr>
              <w:pStyle w:val="8"/>
              <w:spacing w:before="88" w:line="219" w:lineRule="auto"/>
              <w:ind w:left="165"/>
            </w:pPr>
            <w:r>
              <w:rPr>
                <w:b/>
                <w:bCs/>
                <w:spacing w:val="-4"/>
              </w:rPr>
              <w:t>承办机构</w:t>
            </w:r>
          </w:p>
        </w:tc>
      </w:tr>
      <w:tr w14:paraId="063B6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1" w:hRule="atLeast"/>
        </w:trPr>
        <w:tc>
          <w:tcPr>
            <w:tcW w:w="641" w:type="dxa"/>
            <w:vAlign w:val="top"/>
          </w:tcPr>
          <w:p w14:paraId="1116640B">
            <w:pPr>
              <w:spacing w:line="269" w:lineRule="auto"/>
              <w:rPr>
                <w:rFonts w:ascii="Arial"/>
                <w:sz w:val="21"/>
              </w:rPr>
            </w:pPr>
          </w:p>
          <w:p w14:paraId="16C932CC">
            <w:pPr>
              <w:spacing w:line="270" w:lineRule="auto"/>
              <w:rPr>
                <w:rFonts w:ascii="Arial"/>
                <w:sz w:val="21"/>
              </w:rPr>
            </w:pPr>
          </w:p>
          <w:p w14:paraId="6AC53F53">
            <w:pPr>
              <w:spacing w:line="270" w:lineRule="auto"/>
              <w:rPr>
                <w:rFonts w:ascii="Arial"/>
                <w:sz w:val="21"/>
              </w:rPr>
            </w:pPr>
          </w:p>
          <w:p w14:paraId="63B31422">
            <w:pPr>
              <w:spacing w:line="270" w:lineRule="auto"/>
              <w:rPr>
                <w:rFonts w:ascii="Arial"/>
                <w:sz w:val="21"/>
              </w:rPr>
            </w:pPr>
          </w:p>
          <w:p w14:paraId="5742AB2C">
            <w:pPr>
              <w:spacing w:line="270" w:lineRule="auto"/>
              <w:rPr>
                <w:rFonts w:ascii="Arial"/>
                <w:sz w:val="21"/>
              </w:rPr>
            </w:pPr>
          </w:p>
          <w:p w14:paraId="0EC71D30">
            <w:pPr>
              <w:pStyle w:val="8"/>
              <w:spacing w:before="58" w:line="183" w:lineRule="auto"/>
              <w:ind w:left="235"/>
            </w:pPr>
            <w:r>
              <w:rPr>
                <w:spacing w:val="-4"/>
              </w:rPr>
              <w:t>90</w:t>
            </w:r>
          </w:p>
        </w:tc>
        <w:tc>
          <w:tcPr>
            <w:tcW w:w="1136" w:type="dxa"/>
            <w:vAlign w:val="top"/>
          </w:tcPr>
          <w:p w14:paraId="6EA7DBBB">
            <w:pPr>
              <w:pStyle w:val="8"/>
              <w:spacing w:before="70" w:line="244" w:lineRule="auto"/>
              <w:ind w:left="108" w:right="104"/>
              <w:jc w:val="both"/>
            </w:pPr>
            <w:r>
              <w:rPr>
                <w:spacing w:val="3"/>
              </w:rPr>
              <w:t>对船闸运营</w:t>
            </w:r>
            <w:r>
              <w:rPr>
                <w:spacing w:val="1"/>
              </w:rPr>
              <w:t xml:space="preserve"> </w:t>
            </w:r>
            <w:r>
              <w:rPr>
                <w:spacing w:val="3"/>
              </w:rPr>
              <w:t>单位、水电</w:t>
            </w:r>
            <w:r>
              <w:rPr>
                <w:spacing w:val="2"/>
              </w:rPr>
              <w:t xml:space="preserve"> </w:t>
            </w:r>
            <w:r>
              <w:rPr>
                <w:spacing w:val="3"/>
              </w:rPr>
              <w:t>站等水工程</w:t>
            </w:r>
            <w:r>
              <w:rPr>
                <w:spacing w:val="2"/>
              </w:rPr>
              <w:t xml:space="preserve"> </w:t>
            </w:r>
            <w:r>
              <w:rPr>
                <w:spacing w:val="3"/>
              </w:rPr>
              <w:t>建设单位或</w:t>
            </w:r>
            <w:r>
              <w:rPr>
                <w:spacing w:val="2"/>
              </w:rPr>
              <w:t xml:space="preserve"> </w:t>
            </w:r>
            <w:r>
              <w:rPr>
                <w:spacing w:val="3"/>
              </w:rPr>
              <w:t>者运营单位</w:t>
            </w:r>
            <w:r>
              <w:rPr>
                <w:spacing w:val="2"/>
              </w:rPr>
              <w:t xml:space="preserve"> </w:t>
            </w:r>
            <w:r>
              <w:rPr>
                <w:spacing w:val="3"/>
              </w:rPr>
              <w:t>未按照规定</w:t>
            </w:r>
            <w:r>
              <w:rPr>
                <w:spacing w:val="2"/>
              </w:rPr>
              <w:t xml:space="preserve"> </w:t>
            </w:r>
            <w:r>
              <w:rPr>
                <w:spacing w:val="3"/>
              </w:rPr>
              <w:t>报请交通运</w:t>
            </w:r>
            <w:r>
              <w:rPr>
                <w:spacing w:val="2"/>
              </w:rPr>
              <w:t xml:space="preserve"> </w:t>
            </w:r>
            <w:r>
              <w:rPr>
                <w:spacing w:val="3"/>
              </w:rPr>
              <w:t>输主管部门</w:t>
            </w:r>
            <w:r>
              <w:rPr>
                <w:spacing w:val="2"/>
              </w:rPr>
              <w:t xml:space="preserve"> </w:t>
            </w:r>
            <w:r>
              <w:rPr>
                <w:spacing w:val="3"/>
              </w:rPr>
              <w:t>发布检修通</w:t>
            </w:r>
            <w:r>
              <w:rPr>
                <w:spacing w:val="2"/>
              </w:rPr>
              <w:t xml:space="preserve"> </w:t>
            </w:r>
            <w:r>
              <w:rPr>
                <w:spacing w:val="3"/>
              </w:rPr>
              <w:t>告、水情信</w:t>
            </w:r>
            <w:r>
              <w:rPr>
                <w:spacing w:val="2"/>
              </w:rPr>
              <w:t xml:space="preserve"> </w:t>
            </w:r>
            <w:r>
              <w:rPr>
                <w:spacing w:val="3"/>
              </w:rPr>
              <w:t>息的行政处</w:t>
            </w:r>
            <w:r>
              <w:rPr>
                <w:spacing w:val="2"/>
              </w:rPr>
              <w:t xml:space="preserve"> </w:t>
            </w:r>
            <w:r>
              <w:t>罚</w:t>
            </w:r>
          </w:p>
        </w:tc>
        <w:tc>
          <w:tcPr>
            <w:tcW w:w="1136" w:type="dxa"/>
            <w:vAlign w:val="top"/>
          </w:tcPr>
          <w:p w14:paraId="09F77580">
            <w:pPr>
              <w:spacing w:line="264" w:lineRule="auto"/>
              <w:rPr>
                <w:rFonts w:ascii="Arial"/>
                <w:sz w:val="21"/>
              </w:rPr>
            </w:pPr>
          </w:p>
          <w:p w14:paraId="60AB66EA">
            <w:pPr>
              <w:spacing w:line="264" w:lineRule="auto"/>
              <w:rPr>
                <w:rFonts w:ascii="Arial"/>
                <w:sz w:val="21"/>
              </w:rPr>
            </w:pPr>
          </w:p>
          <w:p w14:paraId="6F5CDB9E">
            <w:pPr>
              <w:spacing w:line="264" w:lineRule="auto"/>
              <w:rPr>
                <w:rFonts w:ascii="Arial"/>
                <w:sz w:val="21"/>
              </w:rPr>
            </w:pPr>
          </w:p>
          <w:p w14:paraId="1B742A15">
            <w:pPr>
              <w:spacing w:line="264" w:lineRule="auto"/>
              <w:rPr>
                <w:rFonts w:ascii="Arial"/>
                <w:sz w:val="21"/>
              </w:rPr>
            </w:pPr>
          </w:p>
          <w:p w14:paraId="3B95F07C">
            <w:pPr>
              <w:spacing w:line="264" w:lineRule="auto"/>
              <w:rPr>
                <w:rFonts w:ascii="Arial"/>
                <w:sz w:val="21"/>
              </w:rPr>
            </w:pPr>
          </w:p>
          <w:p w14:paraId="5F920080">
            <w:pPr>
              <w:pStyle w:val="8"/>
              <w:spacing w:before="59" w:line="220" w:lineRule="auto"/>
              <w:ind w:left="114"/>
            </w:pPr>
            <w:r>
              <w:rPr>
                <w:spacing w:val="-7"/>
              </w:rPr>
              <w:t>行政处罚</w:t>
            </w:r>
          </w:p>
        </w:tc>
        <w:tc>
          <w:tcPr>
            <w:tcW w:w="8806" w:type="dxa"/>
            <w:vAlign w:val="top"/>
          </w:tcPr>
          <w:p w14:paraId="1650479F">
            <w:pPr>
              <w:spacing w:line="243" w:lineRule="auto"/>
              <w:rPr>
                <w:rFonts w:ascii="Arial"/>
                <w:sz w:val="21"/>
              </w:rPr>
            </w:pPr>
          </w:p>
          <w:p w14:paraId="76067144">
            <w:pPr>
              <w:spacing w:line="243" w:lineRule="auto"/>
              <w:rPr>
                <w:rFonts w:ascii="Arial"/>
                <w:sz w:val="21"/>
              </w:rPr>
            </w:pPr>
          </w:p>
          <w:p w14:paraId="52613EA0">
            <w:pPr>
              <w:pStyle w:val="8"/>
              <w:spacing w:before="58" w:line="219" w:lineRule="auto"/>
              <w:ind w:left="473"/>
            </w:pPr>
            <w:r>
              <w:rPr>
                <w:b/>
                <w:bCs/>
                <w:spacing w:val="-4"/>
              </w:rPr>
              <w:t>《湖南省水上交通安全条例》</w:t>
            </w:r>
          </w:p>
          <w:p w14:paraId="1349CCEF">
            <w:pPr>
              <w:pStyle w:val="8"/>
              <w:spacing w:before="26" w:line="218" w:lineRule="auto"/>
              <w:ind w:right="11"/>
              <w:jc w:val="right"/>
            </w:pPr>
            <w:r>
              <w:rPr>
                <w:spacing w:val="-3"/>
              </w:rPr>
              <w:t>第二十条第二款  船闸停航检修的，船闸运营单位应当在检修三十日以前报请海事管理机构发布检修通告。</w:t>
            </w:r>
          </w:p>
          <w:p w14:paraId="4728C5D0">
            <w:pPr>
              <w:pStyle w:val="8"/>
              <w:spacing w:before="27" w:line="237" w:lineRule="auto"/>
              <w:ind w:left="109" w:right="59" w:firstLine="358"/>
            </w:pPr>
            <w:r>
              <w:rPr>
                <w:spacing w:val="-4"/>
              </w:rPr>
              <w:t>第二十一条第一款  水电站等水工程建设单位或者运营单位大幅度减流、大流量泄水可能影响通航安全的，</w:t>
            </w:r>
            <w:r>
              <w:rPr>
                <w:spacing w:val="4"/>
              </w:rPr>
              <w:t xml:space="preserve"> </w:t>
            </w:r>
            <w:r>
              <w:rPr>
                <w:spacing w:val="-3"/>
              </w:rPr>
              <w:t>应当在作出决定后及时通过航道管理机构、海事管理机构发布水情信息。属抗洪、抢险的， 由县级以上</w:t>
            </w:r>
            <w:r>
              <w:rPr>
                <w:rFonts w:hint="eastAsia"/>
                <w:spacing w:val="-3"/>
                <w:lang w:eastAsia="zh-CN"/>
              </w:rPr>
              <w:t>人民政府</w:t>
            </w:r>
            <w:r>
              <w:rPr>
                <w:spacing w:val="-3"/>
              </w:rPr>
              <w:t>防汛指挥机构按规定发布水情信息。</w:t>
            </w:r>
          </w:p>
          <w:p w14:paraId="677B2EAF">
            <w:pPr>
              <w:pStyle w:val="8"/>
              <w:spacing w:before="26" w:line="237" w:lineRule="auto"/>
              <w:ind w:left="112" w:right="103" w:firstLine="356"/>
              <w:jc w:val="both"/>
            </w:pPr>
            <w:r>
              <w:rPr>
                <w:spacing w:val="-1"/>
              </w:rPr>
              <w:t>第四十一条  违反本条例第二十条第二款、第二十一条第一款规定，船闸运营单位、水电站等</w:t>
            </w:r>
            <w:r>
              <w:rPr>
                <w:spacing w:val="-2"/>
              </w:rPr>
              <w:t>水工程建设</w:t>
            </w:r>
            <w:r>
              <w:t xml:space="preserve"> </w:t>
            </w:r>
            <w:r>
              <w:rPr>
                <w:spacing w:val="-1"/>
              </w:rPr>
              <w:t>单位或者运营单位未按照规定报请海事管理机构、航道管理机构发布检修通告、水情信息的</w:t>
            </w:r>
            <w:r>
              <w:rPr>
                <w:spacing w:val="-2"/>
              </w:rPr>
              <w:t>，由海事管理机构</w:t>
            </w:r>
            <w:r>
              <w:t xml:space="preserve"> </w:t>
            </w:r>
            <w:r>
              <w:rPr>
                <w:spacing w:val="-2"/>
              </w:rPr>
              <w:t>按照管辖权限责令改正，处一万元以上五万元以下罚款；造成他</w:t>
            </w:r>
            <w:r>
              <w:rPr>
                <w:spacing w:val="-3"/>
              </w:rPr>
              <w:t>人人身、财产损失的，依法承担赔偿责任。</w:t>
            </w:r>
          </w:p>
        </w:tc>
        <w:tc>
          <w:tcPr>
            <w:tcW w:w="1043" w:type="dxa"/>
            <w:vAlign w:val="top"/>
          </w:tcPr>
          <w:p w14:paraId="260F8B94">
            <w:pPr>
              <w:rPr>
                <w:rFonts w:ascii="Arial"/>
                <w:sz w:val="21"/>
              </w:rPr>
            </w:pPr>
          </w:p>
          <w:p w14:paraId="499EE975">
            <w:pPr>
              <w:rPr>
                <w:rFonts w:ascii="Arial"/>
                <w:sz w:val="21"/>
              </w:rPr>
            </w:pPr>
          </w:p>
          <w:p w14:paraId="16BC1C80">
            <w:pPr>
              <w:rPr>
                <w:rFonts w:ascii="Arial"/>
                <w:sz w:val="21"/>
              </w:rPr>
            </w:pPr>
          </w:p>
          <w:p w14:paraId="2A70F163">
            <w:pPr>
              <w:rPr>
                <w:rFonts w:ascii="Arial"/>
                <w:sz w:val="21"/>
              </w:rPr>
            </w:pPr>
          </w:p>
          <w:p w14:paraId="588CC2D7">
            <w:pPr>
              <w:spacing w:line="241" w:lineRule="auto"/>
              <w:rPr>
                <w:rFonts w:ascii="Arial"/>
                <w:sz w:val="21"/>
              </w:rPr>
            </w:pPr>
          </w:p>
          <w:p w14:paraId="0459A1B7">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06F3777F">
            <w:pPr>
              <w:spacing w:line="264" w:lineRule="auto"/>
              <w:rPr>
                <w:rFonts w:ascii="Arial"/>
                <w:sz w:val="21"/>
              </w:rPr>
            </w:pPr>
          </w:p>
          <w:p w14:paraId="1B9781C5">
            <w:pPr>
              <w:spacing w:line="264" w:lineRule="auto"/>
              <w:rPr>
                <w:rFonts w:ascii="Arial"/>
                <w:sz w:val="21"/>
              </w:rPr>
            </w:pPr>
          </w:p>
          <w:p w14:paraId="5A6032EF">
            <w:pPr>
              <w:spacing w:line="264" w:lineRule="auto"/>
              <w:rPr>
                <w:rFonts w:ascii="Arial"/>
                <w:sz w:val="21"/>
              </w:rPr>
            </w:pPr>
          </w:p>
          <w:p w14:paraId="568F373F">
            <w:pPr>
              <w:spacing w:line="264" w:lineRule="auto"/>
              <w:rPr>
                <w:rFonts w:ascii="Arial"/>
                <w:sz w:val="21"/>
              </w:rPr>
            </w:pPr>
          </w:p>
          <w:p w14:paraId="14B37007">
            <w:pPr>
              <w:spacing w:line="265" w:lineRule="auto"/>
              <w:rPr>
                <w:rFonts w:ascii="Arial"/>
                <w:sz w:val="21"/>
              </w:rPr>
            </w:pPr>
          </w:p>
          <w:p w14:paraId="6BCD41A0">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CA66A41">
            <w:pPr>
              <w:spacing w:line="241" w:lineRule="auto"/>
              <w:rPr>
                <w:rFonts w:ascii="Arial"/>
                <w:sz w:val="21"/>
              </w:rPr>
            </w:pPr>
          </w:p>
          <w:p w14:paraId="6390B579">
            <w:pPr>
              <w:spacing w:line="241" w:lineRule="auto"/>
              <w:rPr>
                <w:rFonts w:ascii="Arial"/>
                <w:sz w:val="21"/>
              </w:rPr>
            </w:pPr>
          </w:p>
          <w:p w14:paraId="508E09C2">
            <w:pPr>
              <w:spacing w:line="241" w:lineRule="auto"/>
              <w:rPr>
                <w:rFonts w:ascii="Arial"/>
                <w:sz w:val="21"/>
              </w:rPr>
            </w:pPr>
          </w:p>
          <w:p w14:paraId="3F5382FA">
            <w:pPr>
              <w:spacing w:line="241" w:lineRule="auto"/>
              <w:rPr>
                <w:rFonts w:ascii="Arial"/>
                <w:sz w:val="21"/>
              </w:rPr>
            </w:pPr>
          </w:p>
          <w:p w14:paraId="426A86E5">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34AA4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4" w:hRule="atLeast"/>
        </w:trPr>
        <w:tc>
          <w:tcPr>
            <w:tcW w:w="641" w:type="dxa"/>
            <w:vAlign w:val="top"/>
          </w:tcPr>
          <w:p w14:paraId="6307614F">
            <w:pPr>
              <w:spacing w:line="297" w:lineRule="auto"/>
              <w:rPr>
                <w:rFonts w:ascii="Arial"/>
                <w:sz w:val="21"/>
              </w:rPr>
            </w:pPr>
          </w:p>
          <w:p w14:paraId="303E4B88">
            <w:pPr>
              <w:spacing w:line="298" w:lineRule="auto"/>
              <w:rPr>
                <w:rFonts w:ascii="Arial"/>
                <w:sz w:val="21"/>
              </w:rPr>
            </w:pPr>
          </w:p>
          <w:p w14:paraId="45E46198">
            <w:pPr>
              <w:spacing w:line="298" w:lineRule="auto"/>
              <w:rPr>
                <w:rFonts w:ascii="Arial"/>
                <w:sz w:val="21"/>
              </w:rPr>
            </w:pPr>
          </w:p>
          <w:p w14:paraId="5C2418BE">
            <w:pPr>
              <w:pStyle w:val="8"/>
              <w:spacing w:before="59" w:line="184" w:lineRule="auto"/>
              <w:ind w:left="235"/>
            </w:pPr>
            <w:r>
              <w:rPr>
                <w:spacing w:val="-4"/>
              </w:rPr>
              <w:t>91</w:t>
            </w:r>
          </w:p>
        </w:tc>
        <w:tc>
          <w:tcPr>
            <w:tcW w:w="1136" w:type="dxa"/>
            <w:vAlign w:val="top"/>
          </w:tcPr>
          <w:p w14:paraId="695769F6">
            <w:pPr>
              <w:pStyle w:val="8"/>
              <w:spacing w:before="93" w:line="243" w:lineRule="auto"/>
              <w:ind w:left="109" w:right="104"/>
              <w:jc w:val="both"/>
            </w:pPr>
            <w:r>
              <w:rPr>
                <w:spacing w:val="3"/>
              </w:rPr>
              <w:t>对农用船舶</w:t>
            </w:r>
            <w:r>
              <w:rPr>
                <w:spacing w:val="1"/>
              </w:rPr>
              <w:t xml:space="preserve"> </w:t>
            </w:r>
            <w:r>
              <w:rPr>
                <w:spacing w:val="3"/>
              </w:rPr>
              <w:t>在航道中央</w:t>
            </w:r>
            <w:r>
              <w:rPr>
                <w:spacing w:val="1"/>
              </w:rPr>
              <w:t xml:space="preserve"> </w:t>
            </w:r>
            <w:r>
              <w:rPr>
                <w:spacing w:val="3"/>
              </w:rPr>
              <w:t>停泊或者作</w:t>
            </w:r>
            <w:r>
              <w:rPr>
                <w:spacing w:val="1"/>
              </w:rPr>
              <w:t xml:space="preserve"> </w:t>
            </w:r>
            <w:r>
              <w:rPr>
                <w:spacing w:val="3"/>
              </w:rPr>
              <w:t>业或将农用</w:t>
            </w:r>
            <w:r>
              <w:rPr>
                <w:spacing w:val="1"/>
              </w:rPr>
              <w:t xml:space="preserve"> </w:t>
            </w:r>
            <w:r>
              <w:rPr>
                <w:spacing w:val="3"/>
              </w:rPr>
              <w:t>船舶用于经</w:t>
            </w:r>
            <w:r>
              <w:rPr>
                <w:spacing w:val="1"/>
              </w:rPr>
              <w:t xml:space="preserve"> </w:t>
            </w:r>
            <w:r>
              <w:rPr>
                <w:spacing w:val="3"/>
              </w:rPr>
              <w:t>营性客货运</w:t>
            </w:r>
            <w:r>
              <w:rPr>
                <w:spacing w:val="1"/>
              </w:rPr>
              <w:t xml:space="preserve"> </w:t>
            </w:r>
            <w:r>
              <w:rPr>
                <w:spacing w:val="3"/>
              </w:rPr>
              <w:t>输的行政处</w:t>
            </w:r>
            <w:r>
              <w:rPr>
                <w:spacing w:val="1"/>
              </w:rPr>
              <w:t xml:space="preserve"> </w:t>
            </w:r>
            <w:r>
              <w:t>罚</w:t>
            </w:r>
          </w:p>
        </w:tc>
        <w:tc>
          <w:tcPr>
            <w:tcW w:w="1136" w:type="dxa"/>
            <w:vAlign w:val="top"/>
          </w:tcPr>
          <w:p w14:paraId="6FC4C020">
            <w:pPr>
              <w:spacing w:line="288" w:lineRule="auto"/>
              <w:rPr>
                <w:rFonts w:ascii="Arial"/>
                <w:sz w:val="21"/>
              </w:rPr>
            </w:pPr>
          </w:p>
          <w:p w14:paraId="68B6F30E">
            <w:pPr>
              <w:spacing w:line="289" w:lineRule="auto"/>
              <w:rPr>
                <w:rFonts w:ascii="Arial"/>
                <w:sz w:val="21"/>
              </w:rPr>
            </w:pPr>
          </w:p>
          <w:p w14:paraId="14290279">
            <w:pPr>
              <w:spacing w:line="289" w:lineRule="auto"/>
              <w:rPr>
                <w:rFonts w:ascii="Arial"/>
                <w:sz w:val="21"/>
              </w:rPr>
            </w:pPr>
          </w:p>
          <w:p w14:paraId="37DA8D2C">
            <w:pPr>
              <w:pStyle w:val="8"/>
              <w:spacing w:before="58" w:line="220" w:lineRule="auto"/>
              <w:ind w:left="114"/>
            </w:pPr>
            <w:r>
              <w:rPr>
                <w:spacing w:val="-7"/>
              </w:rPr>
              <w:t>行政处罚</w:t>
            </w:r>
          </w:p>
        </w:tc>
        <w:tc>
          <w:tcPr>
            <w:tcW w:w="8806" w:type="dxa"/>
            <w:vAlign w:val="top"/>
          </w:tcPr>
          <w:p w14:paraId="13CC9DB8">
            <w:pPr>
              <w:pStyle w:val="8"/>
              <w:spacing w:before="210" w:line="219" w:lineRule="auto"/>
              <w:ind w:left="469"/>
            </w:pPr>
            <w:r>
              <w:rPr>
                <w:b/>
                <w:bCs/>
                <w:spacing w:val="-6"/>
              </w:rPr>
              <w:t>《湖南省水上交通安全条例》</w:t>
            </w:r>
          </w:p>
          <w:p w14:paraId="2D70E3FF">
            <w:pPr>
              <w:pStyle w:val="8"/>
              <w:spacing w:before="25" w:line="233" w:lineRule="auto"/>
              <w:ind w:left="110" w:right="59" w:firstLine="357"/>
            </w:pPr>
            <w:r>
              <w:rPr>
                <w:spacing w:val="-4"/>
              </w:rPr>
              <w:t>第二十五条  农用船舶应当尽可能靠近岸边行驶；不得在航道中央航行、停泊或者作业，确需穿越航道的，</w:t>
            </w:r>
            <w:r>
              <w:rPr>
                <w:spacing w:val="4"/>
              </w:rPr>
              <w:t xml:space="preserve"> </w:t>
            </w:r>
            <w:r>
              <w:rPr>
                <w:spacing w:val="-5"/>
              </w:rPr>
              <w:t>应当 主动避让其他船舶，防止碰撞。</w:t>
            </w:r>
          </w:p>
          <w:p w14:paraId="302844C7">
            <w:pPr>
              <w:pStyle w:val="8"/>
              <w:spacing w:before="25" w:line="219" w:lineRule="auto"/>
              <w:ind w:left="468"/>
            </w:pPr>
            <w:r>
              <w:rPr>
                <w:spacing w:val="-6"/>
              </w:rPr>
              <w:t>农用船舶不得从事经营性客货运输。</w:t>
            </w:r>
          </w:p>
          <w:p w14:paraId="5D6738F8">
            <w:pPr>
              <w:pStyle w:val="8"/>
              <w:spacing w:before="27" w:line="237" w:lineRule="auto"/>
              <w:ind w:left="110" w:right="95" w:firstLine="374"/>
            </w:pPr>
            <w:r>
              <w:rPr>
                <w:spacing w:val="-9"/>
              </w:rPr>
              <w:t>四十二条</w:t>
            </w:r>
            <w:r>
              <w:rPr>
                <w:spacing w:val="92"/>
              </w:rPr>
              <w:t xml:space="preserve"> </w:t>
            </w:r>
            <w:r>
              <w:rPr>
                <w:spacing w:val="-9"/>
              </w:rPr>
              <w:t>违反本条例第二十五条第一款规定，农用船舶在航道中央停泊或者作业的，由海事管理机构责令改</w:t>
            </w:r>
            <w:r>
              <w:t xml:space="preserve"> </w:t>
            </w:r>
            <w:r>
              <w:rPr>
                <w:spacing w:val="-1"/>
              </w:rPr>
              <w:t>正，拒不改正的，对违法行为人处三百元以上一千元以下罚款；违反第二款规定，将农用船舶用</w:t>
            </w:r>
            <w:r>
              <w:rPr>
                <w:spacing w:val="-2"/>
              </w:rPr>
              <w:t>于经营性客货</w:t>
            </w:r>
            <w:r>
              <w:t xml:space="preserve"> </w:t>
            </w:r>
            <w:r>
              <w:rPr>
                <w:spacing w:val="-3"/>
              </w:rPr>
              <w:t>运输的，由海事管理机构没收违法所得，并处违法所得一倍以上五倍以下罚款。</w:t>
            </w:r>
          </w:p>
        </w:tc>
        <w:tc>
          <w:tcPr>
            <w:tcW w:w="1043" w:type="dxa"/>
            <w:vAlign w:val="top"/>
          </w:tcPr>
          <w:p w14:paraId="24251DF4">
            <w:pPr>
              <w:spacing w:line="248" w:lineRule="auto"/>
              <w:rPr>
                <w:rFonts w:ascii="Arial"/>
                <w:sz w:val="21"/>
              </w:rPr>
            </w:pPr>
          </w:p>
          <w:p w14:paraId="622F451B">
            <w:pPr>
              <w:spacing w:line="249" w:lineRule="auto"/>
              <w:rPr>
                <w:rFonts w:ascii="Arial"/>
                <w:sz w:val="21"/>
              </w:rPr>
            </w:pPr>
          </w:p>
          <w:p w14:paraId="4502A9C8">
            <w:pPr>
              <w:spacing w:line="249" w:lineRule="auto"/>
              <w:rPr>
                <w:rFonts w:ascii="Arial"/>
                <w:sz w:val="21"/>
              </w:rPr>
            </w:pPr>
          </w:p>
          <w:p w14:paraId="08C84D37">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731BB830">
            <w:pPr>
              <w:spacing w:line="288" w:lineRule="auto"/>
              <w:rPr>
                <w:rFonts w:ascii="Arial"/>
                <w:sz w:val="21"/>
              </w:rPr>
            </w:pPr>
          </w:p>
          <w:p w14:paraId="399896F0">
            <w:pPr>
              <w:spacing w:line="289" w:lineRule="auto"/>
              <w:rPr>
                <w:rFonts w:ascii="Arial"/>
                <w:sz w:val="21"/>
              </w:rPr>
            </w:pPr>
          </w:p>
          <w:p w14:paraId="38DCB786">
            <w:pPr>
              <w:spacing w:line="289" w:lineRule="auto"/>
              <w:rPr>
                <w:rFonts w:ascii="Arial"/>
                <w:sz w:val="21"/>
              </w:rPr>
            </w:pPr>
          </w:p>
          <w:p w14:paraId="4AA15F45">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5ADC5D5">
            <w:pPr>
              <w:spacing w:line="254" w:lineRule="auto"/>
              <w:rPr>
                <w:rFonts w:ascii="Arial"/>
                <w:sz w:val="21"/>
              </w:rPr>
            </w:pPr>
          </w:p>
          <w:p w14:paraId="7CA9142D">
            <w:pPr>
              <w:spacing w:line="255" w:lineRule="auto"/>
              <w:rPr>
                <w:rFonts w:ascii="Arial"/>
                <w:sz w:val="21"/>
              </w:rPr>
            </w:pPr>
          </w:p>
          <w:p w14:paraId="3F8CEE4C">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73CCC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6" w:hRule="atLeast"/>
        </w:trPr>
        <w:tc>
          <w:tcPr>
            <w:tcW w:w="641" w:type="dxa"/>
            <w:vAlign w:val="top"/>
          </w:tcPr>
          <w:p w14:paraId="780E2F36">
            <w:pPr>
              <w:spacing w:line="243" w:lineRule="auto"/>
              <w:rPr>
                <w:rFonts w:ascii="Arial"/>
                <w:sz w:val="21"/>
              </w:rPr>
            </w:pPr>
          </w:p>
          <w:p w14:paraId="6A6497D5">
            <w:pPr>
              <w:spacing w:line="244" w:lineRule="auto"/>
              <w:rPr>
                <w:rFonts w:ascii="Arial"/>
                <w:sz w:val="21"/>
              </w:rPr>
            </w:pPr>
          </w:p>
          <w:p w14:paraId="660E3638">
            <w:pPr>
              <w:spacing w:line="244" w:lineRule="auto"/>
              <w:rPr>
                <w:rFonts w:ascii="Arial"/>
                <w:sz w:val="21"/>
              </w:rPr>
            </w:pPr>
          </w:p>
          <w:p w14:paraId="26A06D81">
            <w:pPr>
              <w:spacing w:line="244" w:lineRule="auto"/>
              <w:rPr>
                <w:rFonts w:ascii="Arial"/>
                <w:sz w:val="21"/>
              </w:rPr>
            </w:pPr>
          </w:p>
          <w:p w14:paraId="10CA4238">
            <w:pPr>
              <w:spacing w:line="244" w:lineRule="auto"/>
              <w:rPr>
                <w:rFonts w:ascii="Arial"/>
                <w:sz w:val="21"/>
              </w:rPr>
            </w:pPr>
          </w:p>
          <w:p w14:paraId="47A5D8D8">
            <w:pPr>
              <w:spacing w:line="244" w:lineRule="auto"/>
              <w:rPr>
                <w:rFonts w:ascii="Arial"/>
                <w:sz w:val="21"/>
              </w:rPr>
            </w:pPr>
          </w:p>
          <w:p w14:paraId="25D17F4D">
            <w:pPr>
              <w:spacing w:line="244" w:lineRule="auto"/>
              <w:rPr>
                <w:rFonts w:ascii="Arial"/>
                <w:sz w:val="21"/>
              </w:rPr>
            </w:pPr>
          </w:p>
          <w:p w14:paraId="6AA2F60B">
            <w:pPr>
              <w:pStyle w:val="8"/>
              <w:spacing w:before="58" w:line="183" w:lineRule="auto"/>
              <w:ind w:left="235"/>
            </w:pPr>
            <w:r>
              <w:rPr>
                <w:spacing w:val="-4"/>
              </w:rPr>
              <w:t>92</w:t>
            </w:r>
          </w:p>
        </w:tc>
        <w:tc>
          <w:tcPr>
            <w:tcW w:w="1136" w:type="dxa"/>
            <w:vAlign w:val="top"/>
          </w:tcPr>
          <w:p w14:paraId="0BE07B43">
            <w:pPr>
              <w:pStyle w:val="8"/>
              <w:spacing w:before="192" w:line="244" w:lineRule="auto"/>
              <w:ind w:left="108" w:right="101"/>
            </w:pPr>
            <w:r>
              <w:rPr>
                <w:spacing w:val="3"/>
              </w:rPr>
              <w:t>对在航道内</w:t>
            </w:r>
            <w:r>
              <w:rPr>
                <w:spacing w:val="1"/>
              </w:rPr>
              <w:t xml:space="preserve"> </w:t>
            </w:r>
            <w:r>
              <w:rPr>
                <w:spacing w:val="3"/>
              </w:rPr>
              <w:t>从事水上餐</w:t>
            </w:r>
            <w:r>
              <w:rPr>
                <w:spacing w:val="2"/>
              </w:rPr>
              <w:t xml:space="preserve"> </w:t>
            </w:r>
            <w:r>
              <w:rPr>
                <w:spacing w:val="-2"/>
              </w:rPr>
              <w:t>饮、漂流、</w:t>
            </w:r>
            <w:r>
              <w:rPr>
                <w:spacing w:val="1"/>
              </w:rPr>
              <w:t xml:space="preserve"> </w:t>
            </w:r>
            <w:r>
              <w:rPr>
                <w:spacing w:val="4"/>
              </w:rPr>
              <w:t>游乐等经营</w:t>
            </w:r>
            <w:r>
              <w:t xml:space="preserve"> </w:t>
            </w:r>
            <w:r>
              <w:rPr>
                <w:spacing w:val="3"/>
              </w:rPr>
              <w:t>活动或从事</w:t>
            </w:r>
            <w:r>
              <w:rPr>
                <w:spacing w:val="2"/>
              </w:rPr>
              <w:t xml:space="preserve"> </w:t>
            </w:r>
            <w:r>
              <w:rPr>
                <w:spacing w:val="-2"/>
              </w:rPr>
              <w:t>水上漂流、</w:t>
            </w:r>
            <w:r>
              <w:rPr>
                <w:spacing w:val="3"/>
              </w:rPr>
              <w:t xml:space="preserve"> </w:t>
            </w:r>
            <w:r>
              <w:rPr>
                <w:spacing w:val="4"/>
              </w:rPr>
              <w:t>游乐活动的</w:t>
            </w:r>
            <w:r>
              <w:t xml:space="preserve"> </w:t>
            </w:r>
            <w:r>
              <w:rPr>
                <w:spacing w:val="3"/>
              </w:rPr>
              <w:t>经营者未设</w:t>
            </w:r>
            <w:r>
              <w:rPr>
                <w:spacing w:val="2"/>
              </w:rPr>
              <w:t xml:space="preserve"> </w:t>
            </w:r>
            <w:r>
              <w:rPr>
                <w:spacing w:val="3"/>
              </w:rPr>
              <w:t>置边界标志</w:t>
            </w:r>
            <w:r>
              <w:rPr>
                <w:spacing w:val="2"/>
              </w:rPr>
              <w:t xml:space="preserve"> </w:t>
            </w:r>
            <w:r>
              <w:rPr>
                <w:spacing w:val="3"/>
              </w:rPr>
              <w:t>或者超越边</w:t>
            </w:r>
            <w:r>
              <w:rPr>
                <w:spacing w:val="2"/>
              </w:rPr>
              <w:t xml:space="preserve"> </w:t>
            </w:r>
            <w:r>
              <w:rPr>
                <w:spacing w:val="3"/>
              </w:rPr>
              <w:t>界标志经营</w:t>
            </w:r>
            <w:r>
              <w:rPr>
                <w:spacing w:val="2"/>
              </w:rPr>
              <w:t xml:space="preserve"> </w:t>
            </w:r>
            <w:r>
              <w:rPr>
                <w:spacing w:val="3"/>
              </w:rPr>
              <w:t>游乐活动影</w:t>
            </w:r>
            <w:r>
              <w:rPr>
                <w:spacing w:val="2"/>
              </w:rPr>
              <w:t xml:space="preserve"> </w:t>
            </w:r>
            <w:r>
              <w:rPr>
                <w:spacing w:val="3"/>
              </w:rPr>
              <w:t>响通航的行</w:t>
            </w:r>
            <w:r>
              <w:rPr>
                <w:spacing w:val="2"/>
              </w:rPr>
              <w:t xml:space="preserve"> </w:t>
            </w:r>
            <w:r>
              <w:rPr>
                <w:spacing w:val="-4"/>
              </w:rPr>
              <w:t>政处罚</w:t>
            </w:r>
          </w:p>
        </w:tc>
        <w:tc>
          <w:tcPr>
            <w:tcW w:w="1136" w:type="dxa"/>
            <w:vAlign w:val="top"/>
          </w:tcPr>
          <w:p w14:paraId="3E2C5B92">
            <w:pPr>
              <w:spacing w:line="279" w:lineRule="auto"/>
              <w:rPr>
                <w:rFonts w:ascii="Arial"/>
                <w:sz w:val="21"/>
              </w:rPr>
            </w:pPr>
          </w:p>
          <w:p w14:paraId="44758DCB">
            <w:pPr>
              <w:spacing w:line="279" w:lineRule="auto"/>
              <w:rPr>
                <w:rFonts w:ascii="Arial"/>
                <w:sz w:val="21"/>
              </w:rPr>
            </w:pPr>
          </w:p>
          <w:p w14:paraId="2D45BDA5">
            <w:pPr>
              <w:spacing w:line="280" w:lineRule="auto"/>
              <w:rPr>
                <w:rFonts w:ascii="Arial"/>
                <w:sz w:val="21"/>
              </w:rPr>
            </w:pPr>
          </w:p>
          <w:p w14:paraId="4D7F84B4">
            <w:pPr>
              <w:spacing w:line="280" w:lineRule="auto"/>
              <w:rPr>
                <w:rFonts w:ascii="Arial"/>
                <w:sz w:val="21"/>
              </w:rPr>
            </w:pPr>
          </w:p>
          <w:p w14:paraId="2BF65297">
            <w:pPr>
              <w:spacing w:line="280" w:lineRule="auto"/>
              <w:rPr>
                <w:rFonts w:ascii="Arial"/>
                <w:sz w:val="21"/>
              </w:rPr>
            </w:pPr>
          </w:p>
          <w:p w14:paraId="45B69717">
            <w:pPr>
              <w:spacing w:line="280" w:lineRule="auto"/>
              <w:rPr>
                <w:rFonts w:ascii="Arial"/>
                <w:sz w:val="21"/>
              </w:rPr>
            </w:pPr>
          </w:p>
          <w:p w14:paraId="741B462E">
            <w:pPr>
              <w:pStyle w:val="8"/>
              <w:spacing w:before="59" w:line="220" w:lineRule="auto"/>
              <w:ind w:left="114"/>
            </w:pPr>
            <w:r>
              <w:rPr>
                <w:spacing w:val="-7"/>
              </w:rPr>
              <w:t>行政处罚</w:t>
            </w:r>
          </w:p>
        </w:tc>
        <w:tc>
          <w:tcPr>
            <w:tcW w:w="8806" w:type="dxa"/>
            <w:vAlign w:val="top"/>
          </w:tcPr>
          <w:p w14:paraId="1E5FBA41">
            <w:pPr>
              <w:spacing w:line="281" w:lineRule="auto"/>
              <w:rPr>
                <w:rFonts w:ascii="Arial"/>
                <w:sz w:val="21"/>
              </w:rPr>
            </w:pPr>
          </w:p>
          <w:p w14:paraId="77C0BE0B">
            <w:pPr>
              <w:spacing w:line="281" w:lineRule="auto"/>
              <w:rPr>
                <w:rFonts w:ascii="Arial"/>
                <w:sz w:val="21"/>
              </w:rPr>
            </w:pPr>
          </w:p>
          <w:p w14:paraId="7640AB2D">
            <w:pPr>
              <w:spacing w:line="282" w:lineRule="auto"/>
              <w:rPr>
                <w:rFonts w:ascii="Arial"/>
                <w:sz w:val="21"/>
              </w:rPr>
            </w:pPr>
          </w:p>
          <w:p w14:paraId="672DAD2B">
            <w:pPr>
              <w:pStyle w:val="8"/>
              <w:spacing w:before="58" w:line="219" w:lineRule="auto"/>
              <w:ind w:left="469"/>
            </w:pPr>
            <w:r>
              <w:rPr>
                <w:b/>
                <w:bCs/>
                <w:spacing w:val="-6"/>
              </w:rPr>
              <w:t>《湖南省水上交通安全条例》</w:t>
            </w:r>
          </w:p>
          <w:p w14:paraId="5BE8BCE1">
            <w:pPr>
              <w:pStyle w:val="8"/>
              <w:spacing w:before="26" w:line="219" w:lineRule="auto"/>
              <w:ind w:left="468"/>
            </w:pPr>
            <w:r>
              <w:rPr>
                <w:spacing w:val="-3"/>
              </w:rPr>
              <w:t>第二十七条  禁止在航道内从事水上餐饮、漂流、游乐等经营活动。</w:t>
            </w:r>
          </w:p>
          <w:p w14:paraId="6FB02CAB">
            <w:pPr>
              <w:pStyle w:val="8"/>
              <w:spacing w:before="25" w:line="233" w:lineRule="auto"/>
              <w:ind w:left="116" w:right="95" w:firstLine="351"/>
            </w:pPr>
            <w:r>
              <w:rPr>
                <w:spacing w:val="-8"/>
              </w:rPr>
              <w:t>在航道以外的通航水域从事水上漂流、游乐活动的经营者应当在</w:t>
            </w:r>
            <w:r>
              <w:rPr>
                <w:spacing w:val="-9"/>
              </w:rPr>
              <w:t>经营水域范围设置明显的边界标志，漂流、游</w:t>
            </w:r>
            <w:r>
              <w:t xml:space="preserve"> </w:t>
            </w:r>
            <w:r>
              <w:rPr>
                <w:spacing w:val="-6"/>
              </w:rPr>
              <w:t>乐 活动不得超越边界标志影响通航。</w:t>
            </w:r>
          </w:p>
          <w:p w14:paraId="2D248FF5">
            <w:pPr>
              <w:pStyle w:val="8"/>
              <w:spacing w:before="24"/>
              <w:ind w:left="109" w:right="103" w:firstLine="358"/>
              <w:jc w:val="both"/>
            </w:pPr>
            <w:r>
              <w:rPr>
                <w:spacing w:val="-1"/>
              </w:rPr>
              <w:t>第四十三条  违反本条例第二十七条第一款规定，在航道内从事水上餐饮、漂流、游乐等经营</w:t>
            </w:r>
            <w:r>
              <w:rPr>
                <w:spacing w:val="-2"/>
              </w:rPr>
              <w:t>活动的，由</w:t>
            </w:r>
            <w:r>
              <w:t xml:space="preserve"> </w:t>
            </w:r>
            <w:r>
              <w:rPr>
                <w:spacing w:val="-1"/>
              </w:rPr>
              <w:t>海事管理机构责令改正，拒不改正的，处一万元以上三万元以下罚款；违反第二款规定，从事水</w:t>
            </w:r>
            <w:r>
              <w:rPr>
                <w:spacing w:val="-2"/>
              </w:rPr>
              <w:t>上漂流、游乐</w:t>
            </w:r>
            <w:r>
              <w:t xml:space="preserve"> </w:t>
            </w:r>
            <w:r>
              <w:rPr>
                <w:spacing w:val="-1"/>
              </w:rPr>
              <w:t>活动的经营者未设置边界标志或者超越边界标志经营游乐活动影响通航的，由海事管理机构责令</w:t>
            </w:r>
            <w:r>
              <w:rPr>
                <w:spacing w:val="-2"/>
              </w:rPr>
              <w:t>改正；拒不改</w:t>
            </w:r>
            <w:r>
              <w:t xml:space="preserve"> </w:t>
            </w:r>
            <w:r>
              <w:rPr>
                <w:spacing w:val="-5"/>
              </w:rPr>
              <w:t>正的，处五千元以上二万元以下罚款。</w:t>
            </w:r>
          </w:p>
        </w:tc>
        <w:tc>
          <w:tcPr>
            <w:tcW w:w="1043" w:type="dxa"/>
            <w:vAlign w:val="top"/>
          </w:tcPr>
          <w:p w14:paraId="375667AB">
            <w:pPr>
              <w:spacing w:line="259" w:lineRule="auto"/>
              <w:rPr>
                <w:rFonts w:ascii="Arial"/>
                <w:sz w:val="21"/>
              </w:rPr>
            </w:pPr>
          </w:p>
          <w:p w14:paraId="658B75E8">
            <w:pPr>
              <w:spacing w:line="260" w:lineRule="auto"/>
              <w:rPr>
                <w:rFonts w:ascii="Arial"/>
                <w:sz w:val="21"/>
              </w:rPr>
            </w:pPr>
          </w:p>
          <w:p w14:paraId="282477B2">
            <w:pPr>
              <w:spacing w:line="260" w:lineRule="auto"/>
              <w:rPr>
                <w:rFonts w:ascii="Arial"/>
                <w:sz w:val="21"/>
              </w:rPr>
            </w:pPr>
          </w:p>
          <w:p w14:paraId="3A3A3BBC">
            <w:pPr>
              <w:spacing w:line="260" w:lineRule="auto"/>
              <w:rPr>
                <w:rFonts w:ascii="Arial"/>
                <w:sz w:val="21"/>
              </w:rPr>
            </w:pPr>
          </w:p>
          <w:p w14:paraId="592E7611">
            <w:pPr>
              <w:spacing w:line="260" w:lineRule="auto"/>
              <w:rPr>
                <w:rFonts w:ascii="Arial"/>
                <w:sz w:val="21"/>
              </w:rPr>
            </w:pPr>
          </w:p>
          <w:p w14:paraId="7B930818">
            <w:pPr>
              <w:spacing w:line="260" w:lineRule="auto"/>
              <w:rPr>
                <w:rFonts w:ascii="Arial"/>
                <w:sz w:val="21"/>
              </w:rPr>
            </w:pPr>
          </w:p>
          <w:p w14:paraId="081A2EE6">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FDF8871">
            <w:pPr>
              <w:spacing w:line="279" w:lineRule="auto"/>
              <w:rPr>
                <w:rFonts w:ascii="Arial"/>
                <w:sz w:val="21"/>
              </w:rPr>
            </w:pPr>
          </w:p>
          <w:p w14:paraId="680AEAA9">
            <w:pPr>
              <w:spacing w:line="280" w:lineRule="auto"/>
              <w:rPr>
                <w:rFonts w:ascii="Arial"/>
                <w:sz w:val="21"/>
              </w:rPr>
            </w:pPr>
          </w:p>
          <w:p w14:paraId="560C02E2">
            <w:pPr>
              <w:spacing w:line="280" w:lineRule="auto"/>
              <w:rPr>
                <w:rFonts w:ascii="Arial"/>
                <w:sz w:val="21"/>
              </w:rPr>
            </w:pPr>
          </w:p>
          <w:p w14:paraId="27B4D4F4">
            <w:pPr>
              <w:spacing w:line="280" w:lineRule="auto"/>
              <w:rPr>
                <w:rFonts w:ascii="Arial"/>
                <w:sz w:val="21"/>
              </w:rPr>
            </w:pPr>
          </w:p>
          <w:p w14:paraId="61317A5F">
            <w:pPr>
              <w:spacing w:line="280" w:lineRule="auto"/>
              <w:rPr>
                <w:rFonts w:ascii="Arial"/>
                <w:sz w:val="21"/>
              </w:rPr>
            </w:pPr>
          </w:p>
          <w:p w14:paraId="3C9402A7">
            <w:pPr>
              <w:spacing w:line="280" w:lineRule="auto"/>
              <w:rPr>
                <w:rFonts w:ascii="Arial"/>
                <w:sz w:val="21"/>
              </w:rPr>
            </w:pPr>
          </w:p>
          <w:p w14:paraId="4F727271">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6589BF19">
            <w:pPr>
              <w:spacing w:line="264" w:lineRule="auto"/>
              <w:rPr>
                <w:rFonts w:ascii="Arial"/>
                <w:sz w:val="21"/>
              </w:rPr>
            </w:pPr>
          </w:p>
          <w:p w14:paraId="0E9C6A69">
            <w:pPr>
              <w:spacing w:line="264" w:lineRule="auto"/>
              <w:rPr>
                <w:rFonts w:ascii="Arial"/>
                <w:sz w:val="21"/>
              </w:rPr>
            </w:pPr>
          </w:p>
          <w:p w14:paraId="3C322D72">
            <w:pPr>
              <w:spacing w:line="264" w:lineRule="auto"/>
              <w:rPr>
                <w:rFonts w:ascii="Arial"/>
                <w:sz w:val="21"/>
              </w:rPr>
            </w:pPr>
          </w:p>
          <w:p w14:paraId="4D275C18">
            <w:pPr>
              <w:spacing w:line="265" w:lineRule="auto"/>
              <w:rPr>
                <w:rFonts w:ascii="Arial"/>
                <w:sz w:val="21"/>
              </w:rPr>
            </w:pPr>
          </w:p>
          <w:p w14:paraId="2DE7D0C7">
            <w:pPr>
              <w:spacing w:line="265" w:lineRule="auto"/>
              <w:rPr>
                <w:rFonts w:ascii="Arial"/>
                <w:sz w:val="21"/>
              </w:rPr>
            </w:pPr>
          </w:p>
          <w:p w14:paraId="26A8D146">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4649B7EE">
      <w:pPr>
        <w:pStyle w:val="2"/>
      </w:pPr>
    </w:p>
    <w:p w14:paraId="72BDAD3B">
      <w:pPr>
        <w:sectPr>
          <w:footerReference r:id="rId209" w:type="default"/>
          <w:pgSz w:w="16839" w:h="11906"/>
          <w:pgMar w:top="1012" w:right="788" w:bottom="966" w:left="787" w:header="0" w:footer="768" w:gutter="0"/>
          <w:cols w:space="720" w:num="1"/>
        </w:sectPr>
      </w:pPr>
    </w:p>
    <w:p w14:paraId="0C852C52">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64E8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53BD3023">
            <w:pPr>
              <w:pStyle w:val="8"/>
              <w:spacing w:before="267" w:line="221" w:lineRule="auto"/>
              <w:ind w:left="142"/>
            </w:pPr>
            <w:r>
              <w:rPr>
                <w:b/>
                <w:bCs/>
                <w:spacing w:val="-4"/>
              </w:rPr>
              <w:t>序号</w:t>
            </w:r>
          </w:p>
        </w:tc>
        <w:tc>
          <w:tcPr>
            <w:tcW w:w="1136" w:type="dxa"/>
            <w:vMerge w:val="restart"/>
            <w:tcBorders>
              <w:bottom w:val="nil"/>
            </w:tcBorders>
            <w:vAlign w:val="top"/>
          </w:tcPr>
          <w:p w14:paraId="59F6FD8F">
            <w:pPr>
              <w:pStyle w:val="8"/>
              <w:spacing w:before="267" w:line="220" w:lineRule="auto"/>
              <w:ind w:left="208"/>
            </w:pPr>
            <w:r>
              <w:rPr>
                <w:b/>
                <w:bCs/>
                <w:spacing w:val="-4"/>
              </w:rPr>
              <w:t>事项名称</w:t>
            </w:r>
          </w:p>
        </w:tc>
        <w:tc>
          <w:tcPr>
            <w:tcW w:w="1136" w:type="dxa"/>
            <w:vMerge w:val="restart"/>
            <w:tcBorders>
              <w:bottom w:val="nil"/>
            </w:tcBorders>
            <w:vAlign w:val="top"/>
          </w:tcPr>
          <w:p w14:paraId="36B952A2">
            <w:pPr>
              <w:pStyle w:val="8"/>
              <w:spacing w:before="267" w:line="219" w:lineRule="auto"/>
              <w:ind w:left="210"/>
            </w:pPr>
            <w:r>
              <w:rPr>
                <w:b/>
                <w:bCs/>
                <w:spacing w:val="-4"/>
              </w:rPr>
              <w:t>职权类型</w:t>
            </w:r>
          </w:p>
        </w:tc>
        <w:tc>
          <w:tcPr>
            <w:tcW w:w="8806" w:type="dxa"/>
            <w:vMerge w:val="restart"/>
            <w:tcBorders>
              <w:bottom w:val="nil"/>
            </w:tcBorders>
            <w:vAlign w:val="top"/>
          </w:tcPr>
          <w:p w14:paraId="44AD79DE">
            <w:pPr>
              <w:pStyle w:val="8"/>
              <w:spacing w:before="267" w:line="219" w:lineRule="auto"/>
              <w:ind w:left="4050"/>
            </w:pPr>
            <w:r>
              <w:rPr>
                <w:b/>
                <w:bCs/>
                <w:spacing w:val="-5"/>
              </w:rPr>
              <w:t>实施依据</w:t>
            </w:r>
          </w:p>
        </w:tc>
        <w:tc>
          <w:tcPr>
            <w:tcW w:w="3538" w:type="dxa"/>
            <w:gridSpan w:val="3"/>
            <w:vAlign w:val="top"/>
          </w:tcPr>
          <w:p w14:paraId="4A0D2D7C">
            <w:pPr>
              <w:pStyle w:val="8"/>
              <w:spacing w:before="92" w:line="220" w:lineRule="auto"/>
              <w:ind w:left="1415"/>
            </w:pPr>
            <w:r>
              <w:rPr>
                <w:b/>
                <w:bCs/>
                <w:spacing w:val="-5"/>
              </w:rPr>
              <w:t>实施主体</w:t>
            </w:r>
          </w:p>
        </w:tc>
      </w:tr>
      <w:tr w14:paraId="43A77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753B2B96">
            <w:pPr>
              <w:rPr>
                <w:rFonts w:ascii="Arial"/>
                <w:sz w:val="21"/>
              </w:rPr>
            </w:pPr>
          </w:p>
        </w:tc>
        <w:tc>
          <w:tcPr>
            <w:tcW w:w="1136" w:type="dxa"/>
            <w:vMerge w:val="continue"/>
            <w:tcBorders>
              <w:top w:val="nil"/>
            </w:tcBorders>
            <w:vAlign w:val="top"/>
          </w:tcPr>
          <w:p w14:paraId="1BFEB5EE">
            <w:pPr>
              <w:rPr>
                <w:rFonts w:ascii="Arial"/>
                <w:sz w:val="21"/>
              </w:rPr>
            </w:pPr>
          </w:p>
        </w:tc>
        <w:tc>
          <w:tcPr>
            <w:tcW w:w="1136" w:type="dxa"/>
            <w:vMerge w:val="continue"/>
            <w:tcBorders>
              <w:top w:val="nil"/>
            </w:tcBorders>
            <w:vAlign w:val="top"/>
          </w:tcPr>
          <w:p w14:paraId="55A50EBE">
            <w:pPr>
              <w:rPr>
                <w:rFonts w:ascii="Arial"/>
                <w:sz w:val="21"/>
              </w:rPr>
            </w:pPr>
          </w:p>
        </w:tc>
        <w:tc>
          <w:tcPr>
            <w:tcW w:w="8806" w:type="dxa"/>
            <w:vMerge w:val="continue"/>
            <w:tcBorders>
              <w:top w:val="nil"/>
            </w:tcBorders>
            <w:vAlign w:val="top"/>
          </w:tcPr>
          <w:p w14:paraId="24FB31F3">
            <w:pPr>
              <w:rPr>
                <w:rFonts w:ascii="Arial"/>
                <w:sz w:val="21"/>
              </w:rPr>
            </w:pPr>
          </w:p>
        </w:tc>
        <w:tc>
          <w:tcPr>
            <w:tcW w:w="1043" w:type="dxa"/>
            <w:vAlign w:val="top"/>
          </w:tcPr>
          <w:p w14:paraId="6CAE03FE">
            <w:pPr>
              <w:pStyle w:val="8"/>
              <w:spacing w:before="88" w:line="219" w:lineRule="auto"/>
              <w:ind w:left="171"/>
            </w:pPr>
            <w:r>
              <w:rPr>
                <w:b/>
                <w:bCs/>
                <w:spacing w:val="-5"/>
              </w:rPr>
              <w:t>责任部门</w:t>
            </w:r>
          </w:p>
        </w:tc>
        <w:tc>
          <w:tcPr>
            <w:tcW w:w="1448" w:type="dxa"/>
            <w:vAlign w:val="top"/>
          </w:tcPr>
          <w:p w14:paraId="0B39623D">
            <w:pPr>
              <w:pStyle w:val="8"/>
              <w:spacing w:before="88" w:line="219" w:lineRule="auto"/>
              <w:ind w:left="187"/>
            </w:pPr>
            <w:r>
              <w:rPr>
                <w:b/>
                <w:bCs/>
                <w:spacing w:val="-3"/>
              </w:rPr>
              <w:t>第一责任层级</w:t>
            </w:r>
          </w:p>
        </w:tc>
        <w:tc>
          <w:tcPr>
            <w:tcW w:w="1047" w:type="dxa"/>
            <w:vAlign w:val="top"/>
          </w:tcPr>
          <w:p w14:paraId="680DC84F">
            <w:pPr>
              <w:pStyle w:val="8"/>
              <w:spacing w:before="88" w:line="219" w:lineRule="auto"/>
              <w:ind w:left="165"/>
            </w:pPr>
            <w:r>
              <w:rPr>
                <w:b/>
                <w:bCs/>
                <w:spacing w:val="-4"/>
              </w:rPr>
              <w:t>承办机构</w:t>
            </w:r>
          </w:p>
        </w:tc>
      </w:tr>
      <w:tr w14:paraId="38240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9" w:hRule="atLeast"/>
        </w:trPr>
        <w:tc>
          <w:tcPr>
            <w:tcW w:w="641" w:type="dxa"/>
            <w:vAlign w:val="top"/>
          </w:tcPr>
          <w:p w14:paraId="4F82DCAB">
            <w:pPr>
              <w:spacing w:line="290" w:lineRule="auto"/>
              <w:rPr>
                <w:rFonts w:ascii="Arial"/>
                <w:sz w:val="21"/>
              </w:rPr>
            </w:pPr>
          </w:p>
          <w:p w14:paraId="099486D1">
            <w:pPr>
              <w:spacing w:line="290" w:lineRule="auto"/>
              <w:rPr>
                <w:rFonts w:ascii="Arial"/>
                <w:sz w:val="21"/>
              </w:rPr>
            </w:pPr>
          </w:p>
          <w:p w14:paraId="6E72768F">
            <w:pPr>
              <w:spacing w:line="291" w:lineRule="auto"/>
              <w:rPr>
                <w:rFonts w:ascii="Arial"/>
                <w:sz w:val="21"/>
              </w:rPr>
            </w:pPr>
          </w:p>
          <w:p w14:paraId="5C907D1D">
            <w:pPr>
              <w:spacing w:line="291" w:lineRule="auto"/>
              <w:rPr>
                <w:rFonts w:ascii="Arial"/>
                <w:sz w:val="21"/>
              </w:rPr>
            </w:pPr>
          </w:p>
          <w:p w14:paraId="2E402D49">
            <w:pPr>
              <w:pStyle w:val="8"/>
              <w:spacing w:before="59" w:line="183" w:lineRule="auto"/>
              <w:ind w:left="235"/>
            </w:pPr>
            <w:r>
              <w:rPr>
                <w:spacing w:val="-4"/>
              </w:rPr>
              <w:t>93</w:t>
            </w:r>
          </w:p>
        </w:tc>
        <w:tc>
          <w:tcPr>
            <w:tcW w:w="1136" w:type="dxa"/>
            <w:vAlign w:val="top"/>
          </w:tcPr>
          <w:p w14:paraId="34E5ABC0">
            <w:pPr>
              <w:pStyle w:val="8"/>
              <w:spacing w:before="237" w:line="244" w:lineRule="auto"/>
              <w:ind w:left="108" w:right="106"/>
              <w:jc w:val="both"/>
            </w:pPr>
            <w:r>
              <w:rPr>
                <w:spacing w:val="3"/>
              </w:rPr>
              <w:t>对在托运的</w:t>
            </w:r>
            <w:r>
              <w:t xml:space="preserve"> </w:t>
            </w:r>
            <w:r>
              <w:rPr>
                <w:spacing w:val="3"/>
              </w:rPr>
              <w:t>普通货物中</w:t>
            </w:r>
            <w:r>
              <w:t xml:space="preserve"> </w:t>
            </w:r>
            <w:r>
              <w:rPr>
                <w:spacing w:val="3"/>
              </w:rPr>
              <w:t>夹带危险货</w:t>
            </w:r>
            <w:r>
              <w:t xml:space="preserve"> </w:t>
            </w:r>
            <w:r>
              <w:rPr>
                <w:spacing w:val="3"/>
              </w:rPr>
              <w:t>物或者将危</w:t>
            </w:r>
            <w:r>
              <w:t xml:space="preserve"> </w:t>
            </w:r>
            <w:r>
              <w:rPr>
                <w:spacing w:val="-8"/>
              </w:rPr>
              <w:t>险</w:t>
            </w:r>
            <w:r>
              <w:rPr>
                <w:spacing w:val="-12"/>
              </w:rPr>
              <w:t xml:space="preserve"> </w:t>
            </w:r>
            <w:r>
              <w:rPr>
                <w:spacing w:val="-8"/>
              </w:rPr>
              <w:t>货</w:t>
            </w:r>
            <w:r>
              <w:rPr>
                <w:spacing w:val="-16"/>
              </w:rPr>
              <w:t xml:space="preserve"> </w:t>
            </w:r>
            <w:r>
              <w:rPr>
                <w:spacing w:val="-8"/>
              </w:rPr>
              <w:t>物</w:t>
            </w:r>
            <w:r>
              <w:rPr>
                <w:spacing w:val="-16"/>
              </w:rPr>
              <w:t xml:space="preserve"> </w:t>
            </w:r>
            <w:r>
              <w:rPr>
                <w:spacing w:val="-8"/>
              </w:rPr>
              <w:t>谎</w:t>
            </w:r>
            <w:r>
              <w:t xml:space="preserve"> </w:t>
            </w:r>
            <w:r>
              <w:rPr>
                <w:spacing w:val="3"/>
              </w:rPr>
              <w:t>报、匿报为</w:t>
            </w:r>
            <w:r>
              <w:t xml:space="preserve"> </w:t>
            </w:r>
            <w:r>
              <w:rPr>
                <w:spacing w:val="3"/>
              </w:rPr>
              <w:t>普通货物托</w:t>
            </w:r>
            <w:r>
              <w:t xml:space="preserve"> </w:t>
            </w:r>
            <w:r>
              <w:rPr>
                <w:spacing w:val="3"/>
              </w:rPr>
              <w:t>运的行政处</w:t>
            </w:r>
            <w:r>
              <w:t xml:space="preserve"> 罚</w:t>
            </w:r>
          </w:p>
        </w:tc>
        <w:tc>
          <w:tcPr>
            <w:tcW w:w="1136" w:type="dxa"/>
            <w:vAlign w:val="top"/>
          </w:tcPr>
          <w:p w14:paraId="3247BF83">
            <w:pPr>
              <w:spacing w:line="283" w:lineRule="auto"/>
              <w:rPr>
                <w:rFonts w:ascii="Arial"/>
                <w:sz w:val="21"/>
              </w:rPr>
            </w:pPr>
          </w:p>
          <w:p w14:paraId="54478E10">
            <w:pPr>
              <w:spacing w:line="283" w:lineRule="auto"/>
              <w:rPr>
                <w:rFonts w:ascii="Arial"/>
                <w:sz w:val="21"/>
              </w:rPr>
            </w:pPr>
          </w:p>
          <w:p w14:paraId="4C16164A">
            <w:pPr>
              <w:spacing w:line="284" w:lineRule="auto"/>
              <w:rPr>
                <w:rFonts w:ascii="Arial"/>
                <w:sz w:val="21"/>
              </w:rPr>
            </w:pPr>
          </w:p>
          <w:p w14:paraId="188895F9">
            <w:pPr>
              <w:spacing w:line="284" w:lineRule="auto"/>
              <w:rPr>
                <w:rFonts w:ascii="Arial"/>
                <w:sz w:val="21"/>
              </w:rPr>
            </w:pPr>
          </w:p>
          <w:p w14:paraId="4F2E9DB1">
            <w:pPr>
              <w:pStyle w:val="8"/>
              <w:spacing w:before="59" w:line="220" w:lineRule="auto"/>
              <w:ind w:left="114"/>
            </w:pPr>
            <w:r>
              <w:rPr>
                <w:spacing w:val="-7"/>
              </w:rPr>
              <w:t>行政处罚</w:t>
            </w:r>
          </w:p>
        </w:tc>
        <w:tc>
          <w:tcPr>
            <w:tcW w:w="8806" w:type="dxa"/>
            <w:vAlign w:val="top"/>
          </w:tcPr>
          <w:p w14:paraId="2D44D9A3">
            <w:pPr>
              <w:spacing w:line="418" w:lineRule="auto"/>
              <w:rPr>
                <w:rFonts w:ascii="Arial"/>
                <w:sz w:val="21"/>
              </w:rPr>
            </w:pPr>
          </w:p>
          <w:p w14:paraId="3C0F89BE">
            <w:pPr>
              <w:pStyle w:val="8"/>
              <w:spacing w:before="59" w:line="219" w:lineRule="auto"/>
              <w:ind w:left="471"/>
            </w:pPr>
            <w:r>
              <w:rPr>
                <w:b/>
                <w:bCs/>
                <w:spacing w:val="-5"/>
              </w:rPr>
              <w:t>《船舶载运危险货物安全监督管理规定》（交通运输部令</w:t>
            </w:r>
            <w:r>
              <w:rPr>
                <w:spacing w:val="-20"/>
              </w:rPr>
              <w:t xml:space="preserve"> </w:t>
            </w:r>
            <w:r>
              <w:rPr>
                <w:b/>
                <w:bCs/>
                <w:spacing w:val="-5"/>
              </w:rPr>
              <w:t>2024</w:t>
            </w:r>
            <w:r>
              <w:rPr>
                <w:spacing w:val="-43"/>
              </w:rPr>
              <w:t xml:space="preserve"> </w:t>
            </w:r>
            <w:r>
              <w:rPr>
                <w:b/>
                <w:bCs/>
                <w:spacing w:val="-5"/>
              </w:rPr>
              <w:t>年第</w:t>
            </w:r>
            <w:r>
              <w:rPr>
                <w:spacing w:val="-24"/>
              </w:rPr>
              <w:t xml:space="preserve"> </w:t>
            </w:r>
            <w:r>
              <w:rPr>
                <w:b/>
                <w:bCs/>
                <w:spacing w:val="-5"/>
              </w:rPr>
              <w:t>14</w:t>
            </w:r>
            <w:r>
              <w:rPr>
                <w:spacing w:val="-37"/>
              </w:rPr>
              <w:t xml:space="preserve"> </w:t>
            </w:r>
            <w:r>
              <w:rPr>
                <w:b/>
                <w:bCs/>
                <w:spacing w:val="-5"/>
              </w:rPr>
              <w:t>号）</w:t>
            </w:r>
          </w:p>
          <w:p w14:paraId="6D247E2F">
            <w:pPr>
              <w:pStyle w:val="8"/>
              <w:spacing w:before="26" w:line="233" w:lineRule="auto"/>
              <w:ind w:left="125" w:right="153" w:firstLine="340"/>
            </w:pPr>
            <w:r>
              <w:rPr>
                <w:spacing w:val="-2"/>
              </w:rPr>
              <w:t>第八条第一款、第二款  除法律、行政法规禁止内河运输的危险化学品外，船舶通过内河运</w:t>
            </w:r>
            <w:r>
              <w:rPr>
                <w:spacing w:val="-3"/>
              </w:rPr>
              <w:t>输危险化学品</w:t>
            </w:r>
            <w:r>
              <w:t xml:space="preserve"> </w:t>
            </w:r>
            <w:r>
              <w:rPr>
                <w:spacing w:val="-3"/>
              </w:rPr>
              <w:t>的，应当遵守国务院交通运输主管部门关于危险化学品分类管理的要求。</w:t>
            </w:r>
          </w:p>
          <w:p w14:paraId="7F4092C1">
            <w:pPr>
              <w:pStyle w:val="8"/>
              <w:spacing w:before="25" w:line="219" w:lineRule="auto"/>
              <w:ind w:left="465"/>
            </w:pPr>
            <w:r>
              <w:rPr>
                <w:spacing w:val="-2"/>
              </w:rPr>
              <w:t>禁止托运人在普通货物中夹带危险货物，或者将危险货物谎报、匿报为普通</w:t>
            </w:r>
            <w:r>
              <w:rPr>
                <w:spacing w:val="-3"/>
              </w:rPr>
              <w:t>货物托运。</w:t>
            </w:r>
          </w:p>
          <w:p w14:paraId="47981FA6">
            <w:pPr>
              <w:pStyle w:val="8"/>
              <w:spacing w:before="25" w:line="233" w:lineRule="auto"/>
              <w:ind w:left="132" w:right="198" w:firstLine="333"/>
            </w:pPr>
            <w:r>
              <w:rPr>
                <w:spacing w:val="-3"/>
              </w:rPr>
              <w:t>第四十三条第一款第（一）项  违反本规定，托运人在内河通航水域托运危险货物，有下列情形</w:t>
            </w:r>
            <w:r>
              <w:rPr>
                <w:spacing w:val="-4"/>
              </w:rPr>
              <w:t>之一的，</w:t>
            </w:r>
            <w:r>
              <w:t xml:space="preserve"> </w:t>
            </w:r>
            <w:r>
              <w:rPr>
                <w:spacing w:val="-4"/>
              </w:rPr>
              <w:t>由海事管理机构责令改正，处</w:t>
            </w:r>
            <w:r>
              <w:rPr>
                <w:spacing w:val="-36"/>
              </w:rPr>
              <w:t xml:space="preserve"> </w:t>
            </w:r>
            <w:r>
              <w:rPr>
                <w:spacing w:val="-4"/>
              </w:rPr>
              <w:t>3000</w:t>
            </w:r>
            <w:r>
              <w:rPr>
                <w:spacing w:val="-37"/>
              </w:rPr>
              <w:t xml:space="preserve"> </w:t>
            </w:r>
            <w:r>
              <w:rPr>
                <w:spacing w:val="-4"/>
              </w:rPr>
              <w:t>元以上</w:t>
            </w:r>
            <w:r>
              <w:rPr>
                <w:spacing w:val="-39"/>
              </w:rPr>
              <w:t xml:space="preserve"> </w:t>
            </w:r>
            <w:r>
              <w:rPr>
                <w:spacing w:val="-4"/>
              </w:rPr>
              <w:t>3</w:t>
            </w:r>
            <w:r>
              <w:rPr>
                <w:spacing w:val="-34"/>
              </w:rPr>
              <w:t xml:space="preserve"> </w:t>
            </w:r>
            <w:r>
              <w:rPr>
                <w:spacing w:val="-4"/>
              </w:rPr>
              <w:t>万元以下的罚款：</w:t>
            </w:r>
          </w:p>
          <w:p w14:paraId="13DC9229">
            <w:pPr>
              <w:pStyle w:val="8"/>
              <w:spacing w:before="26" w:line="219" w:lineRule="auto"/>
              <w:ind w:left="475"/>
            </w:pPr>
            <w:r>
              <w:rPr>
                <w:spacing w:val="-2"/>
              </w:rPr>
              <w:t>（一）在托运的普通货物中夹带危险货物或者将危险</w:t>
            </w:r>
            <w:r>
              <w:rPr>
                <w:spacing w:val="-3"/>
              </w:rPr>
              <w:t>货物谎报、匿报为普通货物托运；</w:t>
            </w:r>
          </w:p>
        </w:tc>
        <w:tc>
          <w:tcPr>
            <w:tcW w:w="1043" w:type="dxa"/>
            <w:vAlign w:val="top"/>
          </w:tcPr>
          <w:p w14:paraId="15C7CCFB">
            <w:pPr>
              <w:spacing w:line="253" w:lineRule="auto"/>
              <w:rPr>
                <w:rFonts w:ascii="Arial"/>
                <w:sz w:val="21"/>
              </w:rPr>
            </w:pPr>
          </w:p>
          <w:p w14:paraId="32CBA079">
            <w:pPr>
              <w:spacing w:line="254" w:lineRule="auto"/>
              <w:rPr>
                <w:rFonts w:ascii="Arial"/>
                <w:sz w:val="21"/>
              </w:rPr>
            </w:pPr>
          </w:p>
          <w:p w14:paraId="7CB258F0">
            <w:pPr>
              <w:spacing w:line="254" w:lineRule="auto"/>
              <w:rPr>
                <w:rFonts w:ascii="Arial"/>
                <w:sz w:val="21"/>
              </w:rPr>
            </w:pPr>
          </w:p>
          <w:p w14:paraId="186322D5">
            <w:pPr>
              <w:spacing w:line="254" w:lineRule="auto"/>
              <w:rPr>
                <w:rFonts w:ascii="Arial"/>
                <w:sz w:val="21"/>
              </w:rPr>
            </w:pPr>
          </w:p>
          <w:p w14:paraId="603BD94D">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27EBC3E9">
            <w:pPr>
              <w:spacing w:line="283" w:lineRule="auto"/>
              <w:rPr>
                <w:rFonts w:ascii="Arial"/>
                <w:sz w:val="21"/>
              </w:rPr>
            </w:pPr>
          </w:p>
          <w:p w14:paraId="4ABAC5EA">
            <w:pPr>
              <w:spacing w:line="284" w:lineRule="auto"/>
              <w:rPr>
                <w:rFonts w:ascii="Arial"/>
                <w:sz w:val="21"/>
              </w:rPr>
            </w:pPr>
          </w:p>
          <w:p w14:paraId="0465C0C2">
            <w:pPr>
              <w:spacing w:line="284" w:lineRule="auto"/>
              <w:rPr>
                <w:rFonts w:ascii="Arial"/>
                <w:sz w:val="21"/>
              </w:rPr>
            </w:pPr>
          </w:p>
          <w:p w14:paraId="5586023B">
            <w:pPr>
              <w:spacing w:line="284" w:lineRule="auto"/>
              <w:rPr>
                <w:rFonts w:ascii="Arial"/>
                <w:sz w:val="21"/>
              </w:rPr>
            </w:pPr>
          </w:p>
          <w:p w14:paraId="3D09181E">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BA19518">
            <w:pPr>
              <w:spacing w:line="259" w:lineRule="auto"/>
              <w:rPr>
                <w:rFonts w:ascii="Arial"/>
                <w:sz w:val="21"/>
              </w:rPr>
            </w:pPr>
          </w:p>
          <w:p w14:paraId="78EB5993">
            <w:pPr>
              <w:spacing w:line="259" w:lineRule="auto"/>
              <w:rPr>
                <w:rFonts w:ascii="Arial"/>
                <w:sz w:val="21"/>
              </w:rPr>
            </w:pPr>
          </w:p>
          <w:p w14:paraId="2B41E924">
            <w:pPr>
              <w:spacing w:line="260" w:lineRule="auto"/>
              <w:rPr>
                <w:rFonts w:ascii="Arial"/>
                <w:sz w:val="21"/>
              </w:rPr>
            </w:pPr>
          </w:p>
          <w:p w14:paraId="13AFDE55">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2C8EF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3" w:hRule="atLeast"/>
        </w:trPr>
        <w:tc>
          <w:tcPr>
            <w:tcW w:w="641" w:type="dxa"/>
            <w:vAlign w:val="top"/>
          </w:tcPr>
          <w:p w14:paraId="09F981C2">
            <w:pPr>
              <w:spacing w:line="242" w:lineRule="auto"/>
              <w:rPr>
                <w:rFonts w:ascii="Arial"/>
                <w:sz w:val="21"/>
              </w:rPr>
            </w:pPr>
          </w:p>
          <w:p w14:paraId="4F74C0B3">
            <w:pPr>
              <w:spacing w:line="242" w:lineRule="auto"/>
              <w:rPr>
                <w:rFonts w:ascii="Arial"/>
                <w:sz w:val="21"/>
              </w:rPr>
            </w:pPr>
          </w:p>
          <w:p w14:paraId="7FD080FB">
            <w:pPr>
              <w:spacing w:line="242" w:lineRule="auto"/>
              <w:rPr>
                <w:rFonts w:ascii="Arial"/>
                <w:sz w:val="21"/>
              </w:rPr>
            </w:pPr>
          </w:p>
          <w:p w14:paraId="412747B3">
            <w:pPr>
              <w:spacing w:line="243" w:lineRule="auto"/>
              <w:rPr>
                <w:rFonts w:ascii="Arial"/>
                <w:sz w:val="21"/>
              </w:rPr>
            </w:pPr>
          </w:p>
          <w:p w14:paraId="62D11337">
            <w:pPr>
              <w:spacing w:line="243" w:lineRule="auto"/>
              <w:rPr>
                <w:rFonts w:ascii="Arial"/>
                <w:sz w:val="21"/>
              </w:rPr>
            </w:pPr>
          </w:p>
          <w:p w14:paraId="547CC84E">
            <w:pPr>
              <w:spacing w:line="243" w:lineRule="auto"/>
              <w:rPr>
                <w:rFonts w:ascii="Arial"/>
                <w:sz w:val="21"/>
              </w:rPr>
            </w:pPr>
          </w:p>
          <w:p w14:paraId="668A2623">
            <w:pPr>
              <w:pStyle w:val="8"/>
              <w:spacing w:before="58" w:line="183" w:lineRule="auto"/>
              <w:ind w:left="235"/>
            </w:pPr>
            <w:r>
              <w:rPr>
                <w:spacing w:val="-4"/>
              </w:rPr>
              <w:t>94</w:t>
            </w:r>
          </w:p>
        </w:tc>
        <w:tc>
          <w:tcPr>
            <w:tcW w:w="1136" w:type="dxa"/>
            <w:vAlign w:val="top"/>
          </w:tcPr>
          <w:p w14:paraId="3611E18A">
            <w:pPr>
              <w:pStyle w:val="8"/>
              <w:spacing w:before="292" w:line="244" w:lineRule="auto"/>
              <w:ind w:left="109" w:right="106"/>
              <w:jc w:val="both"/>
            </w:pPr>
            <w:r>
              <w:rPr>
                <w:spacing w:val="3"/>
              </w:rPr>
              <w:t>对引航机构</w:t>
            </w:r>
            <w:r>
              <w:t xml:space="preserve"> </w:t>
            </w:r>
            <w:r>
              <w:rPr>
                <w:spacing w:val="2"/>
              </w:rPr>
              <w:t>不如实记载</w:t>
            </w:r>
            <w:r>
              <w:rPr>
                <w:spacing w:val="3"/>
              </w:rPr>
              <w:t xml:space="preserve"> </w:t>
            </w:r>
            <w:r>
              <w:rPr>
                <w:spacing w:val="2"/>
              </w:rPr>
              <w:t>引航员的培</w:t>
            </w:r>
            <w:r>
              <w:rPr>
                <w:spacing w:val="3"/>
              </w:rPr>
              <w:t xml:space="preserve"> </w:t>
            </w:r>
            <w:r>
              <w:rPr>
                <w:spacing w:val="2"/>
              </w:rPr>
              <w:t>训、适任证</w:t>
            </w:r>
            <w:r>
              <w:rPr>
                <w:spacing w:val="3"/>
              </w:rPr>
              <w:t xml:space="preserve"> </w:t>
            </w:r>
            <w:r>
              <w:rPr>
                <w:spacing w:val="2"/>
              </w:rPr>
              <w:t>书、引航资</w:t>
            </w:r>
            <w:r>
              <w:rPr>
                <w:spacing w:val="3"/>
              </w:rPr>
              <w:t xml:space="preserve"> </w:t>
            </w:r>
            <w:r>
              <w:rPr>
                <w:spacing w:val="2"/>
              </w:rPr>
              <w:t>历、安全记</w:t>
            </w:r>
            <w:r>
              <w:rPr>
                <w:spacing w:val="3"/>
              </w:rPr>
              <w:t xml:space="preserve"> </w:t>
            </w:r>
            <w:r>
              <w:rPr>
                <w:spacing w:val="2"/>
              </w:rPr>
              <w:t>录以及健康</w:t>
            </w:r>
            <w:r>
              <w:rPr>
                <w:spacing w:val="3"/>
              </w:rPr>
              <w:t xml:space="preserve"> </w:t>
            </w:r>
            <w:r>
              <w:rPr>
                <w:spacing w:val="2"/>
              </w:rPr>
              <w:t>状况等信息</w:t>
            </w:r>
            <w:r>
              <w:rPr>
                <w:spacing w:val="3"/>
              </w:rPr>
              <w:t xml:space="preserve"> </w:t>
            </w:r>
            <w:r>
              <w:rPr>
                <w:spacing w:val="2"/>
              </w:rPr>
              <w:t>并保持连续</w:t>
            </w:r>
            <w:r>
              <w:rPr>
                <w:spacing w:val="3"/>
              </w:rPr>
              <w:t xml:space="preserve"> </w:t>
            </w:r>
            <w:r>
              <w:rPr>
                <w:spacing w:val="2"/>
              </w:rPr>
              <w:t>完整有效的</w:t>
            </w:r>
            <w:r>
              <w:rPr>
                <w:spacing w:val="3"/>
              </w:rPr>
              <w:t xml:space="preserve"> </w:t>
            </w:r>
            <w:r>
              <w:rPr>
                <w:spacing w:val="-3"/>
              </w:rPr>
              <w:t>行政处罚</w:t>
            </w:r>
          </w:p>
        </w:tc>
        <w:tc>
          <w:tcPr>
            <w:tcW w:w="1136" w:type="dxa"/>
            <w:vAlign w:val="top"/>
          </w:tcPr>
          <w:p w14:paraId="4D69C638">
            <w:pPr>
              <w:spacing w:line="285" w:lineRule="auto"/>
              <w:rPr>
                <w:rFonts w:ascii="Arial"/>
                <w:sz w:val="21"/>
              </w:rPr>
            </w:pPr>
          </w:p>
          <w:p w14:paraId="70B724E4">
            <w:pPr>
              <w:spacing w:line="285" w:lineRule="auto"/>
              <w:rPr>
                <w:rFonts w:ascii="Arial"/>
                <w:sz w:val="21"/>
              </w:rPr>
            </w:pPr>
          </w:p>
          <w:p w14:paraId="475C258C">
            <w:pPr>
              <w:spacing w:line="285" w:lineRule="auto"/>
              <w:rPr>
                <w:rFonts w:ascii="Arial"/>
                <w:sz w:val="21"/>
              </w:rPr>
            </w:pPr>
          </w:p>
          <w:p w14:paraId="65F635A8">
            <w:pPr>
              <w:spacing w:line="285" w:lineRule="auto"/>
              <w:rPr>
                <w:rFonts w:ascii="Arial"/>
                <w:sz w:val="21"/>
              </w:rPr>
            </w:pPr>
          </w:p>
          <w:p w14:paraId="64EAE70D">
            <w:pPr>
              <w:spacing w:line="286" w:lineRule="auto"/>
              <w:rPr>
                <w:rFonts w:ascii="Arial"/>
                <w:sz w:val="21"/>
              </w:rPr>
            </w:pPr>
          </w:p>
          <w:p w14:paraId="3A72814C">
            <w:pPr>
              <w:pStyle w:val="8"/>
              <w:spacing w:before="59" w:line="220" w:lineRule="auto"/>
              <w:ind w:left="114"/>
            </w:pPr>
            <w:r>
              <w:rPr>
                <w:spacing w:val="-7"/>
              </w:rPr>
              <w:t>行政处罚</w:t>
            </w:r>
          </w:p>
        </w:tc>
        <w:tc>
          <w:tcPr>
            <w:tcW w:w="8806" w:type="dxa"/>
            <w:vAlign w:val="top"/>
          </w:tcPr>
          <w:p w14:paraId="484E999C">
            <w:pPr>
              <w:spacing w:line="355" w:lineRule="auto"/>
              <w:rPr>
                <w:rFonts w:ascii="Arial"/>
                <w:sz w:val="21"/>
              </w:rPr>
            </w:pPr>
          </w:p>
          <w:p w14:paraId="2A800ED4">
            <w:pPr>
              <w:spacing w:line="355" w:lineRule="auto"/>
              <w:rPr>
                <w:rFonts w:ascii="Arial"/>
                <w:sz w:val="21"/>
              </w:rPr>
            </w:pPr>
          </w:p>
          <w:p w14:paraId="05B52E10">
            <w:pPr>
              <w:pStyle w:val="8"/>
              <w:spacing w:before="59" w:line="219" w:lineRule="auto"/>
              <w:ind w:left="471"/>
            </w:pPr>
            <w:r>
              <w:rPr>
                <w:b/>
                <w:bCs/>
                <w:spacing w:val="-5"/>
              </w:rPr>
              <w:t>《中华人民共和国引航员管理办法》（交通运输部令</w:t>
            </w:r>
            <w:r>
              <w:rPr>
                <w:spacing w:val="-24"/>
              </w:rPr>
              <w:t xml:space="preserve"> </w:t>
            </w:r>
            <w:r>
              <w:rPr>
                <w:b/>
                <w:bCs/>
                <w:spacing w:val="-5"/>
              </w:rPr>
              <w:t>2024</w:t>
            </w:r>
            <w:r>
              <w:rPr>
                <w:spacing w:val="-43"/>
              </w:rPr>
              <w:t xml:space="preserve"> </w:t>
            </w:r>
            <w:r>
              <w:rPr>
                <w:b/>
                <w:bCs/>
                <w:spacing w:val="-5"/>
              </w:rPr>
              <w:t>年第</w:t>
            </w:r>
            <w:r>
              <w:rPr>
                <w:spacing w:val="-24"/>
              </w:rPr>
              <w:t xml:space="preserve"> </w:t>
            </w:r>
            <w:r>
              <w:rPr>
                <w:b/>
                <w:bCs/>
                <w:spacing w:val="-5"/>
              </w:rPr>
              <w:t>13</w:t>
            </w:r>
            <w:r>
              <w:rPr>
                <w:spacing w:val="-37"/>
              </w:rPr>
              <w:t xml:space="preserve"> </w:t>
            </w:r>
            <w:r>
              <w:rPr>
                <w:b/>
                <w:bCs/>
                <w:spacing w:val="-5"/>
              </w:rPr>
              <w:t>号）</w:t>
            </w:r>
          </w:p>
          <w:p w14:paraId="638FA30E">
            <w:pPr>
              <w:pStyle w:val="8"/>
              <w:spacing w:before="26" w:line="219" w:lineRule="auto"/>
              <w:ind w:left="465"/>
            </w:pPr>
            <w:r>
              <w:rPr>
                <w:spacing w:val="-1"/>
              </w:rPr>
              <w:t>第三十三条第一款、第二款  引航机构和海事管理机构应当分别建立引航员技术档案，并保持档案信息连</w:t>
            </w:r>
          </w:p>
          <w:p w14:paraId="1DE9F5AE">
            <w:pPr>
              <w:pStyle w:val="8"/>
              <w:spacing w:before="27" w:line="219" w:lineRule="auto"/>
              <w:ind w:left="112"/>
            </w:pPr>
            <w:r>
              <w:rPr>
                <w:spacing w:val="-3"/>
              </w:rPr>
              <w:t>续、完整、有效。</w:t>
            </w:r>
          </w:p>
          <w:p w14:paraId="4D5F7822">
            <w:pPr>
              <w:pStyle w:val="8"/>
              <w:spacing w:before="25" w:line="233" w:lineRule="auto"/>
              <w:ind w:left="118" w:right="103" w:firstLine="360"/>
            </w:pPr>
            <w:r>
              <w:rPr>
                <w:spacing w:val="-1"/>
              </w:rPr>
              <w:t>引航机构应当在引航员技术档案中记载引航员的培训、适任证书、</w:t>
            </w:r>
            <w:r>
              <w:rPr>
                <w:spacing w:val="-2"/>
              </w:rPr>
              <w:t>引航资历、安全记录以及健康状况等信</w:t>
            </w:r>
            <w:r>
              <w:t xml:space="preserve"> </w:t>
            </w:r>
            <w:r>
              <w:rPr>
                <w:spacing w:val="-3"/>
              </w:rPr>
              <w:t>息。引航机构应当每年将引航员技术档案信息报海事管理机构备案。</w:t>
            </w:r>
          </w:p>
          <w:p w14:paraId="5074B7C3">
            <w:pPr>
              <w:pStyle w:val="8"/>
              <w:spacing w:before="25" w:line="233" w:lineRule="auto"/>
              <w:ind w:left="109" w:right="103" w:firstLine="355"/>
            </w:pPr>
            <w:r>
              <w:rPr>
                <w:spacing w:val="-1"/>
              </w:rPr>
              <w:t>第四十三条  违反本办法的规定，引航机构不如实记载引航员的培训、适任证书、引航资历、安全记</w:t>
            </w:r>
            <w:r>
              <w:rPr>
                <w:spacing w:val="-2"/>
              </w:rPr>
              <w:t>录以</w:t>
            </w:r>
            <w:r>
              <w:t xml:space="preserve"> </w:t>
            </w:r>
            <w:r>
              <w:rPr>
                <w:spacing w:val="-3"/>
              </w:rPr>
              <w:t>及健康状况等信息并保持连续完整有效的，由海事管理机构责令改正，并处</w:t>
            </w:r>
            <w:r>
              <w:rPr>
                <w:spacing w:val="-20"/>
              </w:rPr>
              <w:t xml:space="preserve"> </w:t>
            </w:r>
            <w:r>
              <w:rPr>
                <w:spacing w:val="-3"/>
              </w:rPr>
              <w:t>2000</w:t>
            </w:r>
            <w:r>
              <w:rPr>
                <w:spacing w:val="-40"/>
              </w:rPr>
              <w:t xml:space="preserve"> </w:t>
            </w:r>
            <w:r>
              <w:rPr>
                <w:spacing w:val="-3"/>
              </w:rPr>
              <w:t>元以上</w:t>
            </w:r>
            <w:r>
              <w:rPr>
                <w:spacing w:val="-37"/>
              </w:rPr>
              <w:t xml:space="preserve"> </w:t>
            </w:r>
            <w:r>
              <w:rPr>
                <w:spacing w:val="-3"/>
              </w:rPr>
              <w:t>2</w:t>
            </w:r>
            <w:r>
              <w:rPr>
                <w:spacing w:val="-34"/>
              </w:rPr>
              <w:t xml:space="preserve"> </w:t>
            </w:r>
            <w:r>
              <w:rPr>
                <w:spacing w:val="-3"/>
              </w:rPr>
              <w:t>万元以下罚款。</w:t>
            </w:r>
          </w:p>
        </w:tc>
        <w:tc>
          <w:tcPr>
            <w:tcW w:w="1043" w:type="dxa"/>
            <w:vAlign w:val="top"/>
          </w:tcPr>
          <w:p w14:paraId="66F8838D">
            <w:pPr>
              <w:spacing w:line="261" w:lineRule="auto"/>
              <w:rPr>
                <w:rFonts w:ascii="Arial"/>
                <w:sz w:val="21"/>
              </w:rPr>
            </w:pPr>
          </w:p>
          <w:p w14:paraId="013E428E">
            <w:pPr>
              <w:spacing w:line="261" w:lineRule="auto"/>
              <w:rPr>
                <w:rFonts w:ascii="Arial"/>
                <w:sz w:val="21"/>
              </w:rPr>
            </w:pPr>
          </w:p>
          <w:p w14:paraId="4E644117">
            <w:pPr>
              <w:spacing w:line="261" w:lineRule="auto"/>
              <w:rPr>
                <w:rFonts w:ascii="Arial"/>
                <w:sz w:val="21"/>
              </w:rPr>
            </w:pPr>
          </w:p>
          <w:p w14:paraId="040AC79C">
            <w:pPr>
              <w:spacing w:line="262" w:lineRule="auto"/>
              <w:rPr>
                <w:rFonts w:ascii="Arial"/>
                <w:sz w:val="21"/>
              </w:rPr>
            </w:pPr>
          </w:p>
          <w:p w14:paraId="12B66EB3">
            <w:pPr>
              <w:spacing w:line="262" w:lineRule="auto"/>
              <w:rPr>
                <w:rFonts w:ascii="Arial"/>
                <w:sz w:val="21"/>
              </w:rPr>
            </w:pPr>
          </w:p>
          <w:p w14:paraId="06265D52">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E3A7722">
            <w:pPr>
              <w:spacing w:line="285" w:lineRule="auto"/>
              <w:rPr>
                <w:rFonts w:ascii="Arial"/>
                <w:sz w:val="21"/>
              </w:rPr>
            </w:pPr>
          </w:p>
          <w:p w14:paraId="62D7CFEF">
            <w:pPr>
              <w:spacing w:line="285" w:lineRule="auto"/>
              <w:rPr>
                <w:rFonts w:ascii="Arial"/>
                <w:sz w:val="21"/>
              </w:rPr>
            </w:pPr>
          </w:p>
          <w:p w14:paraId="6AA1304D">
            <w:pPr>
              <w:spacing w:line="285" w:lineRule="auto"/>
              <w:rPr>
                <w:rFonts w:ascii="Arial"/>
                <w:sz w:val="21"/>
              </w:rPr>
            </w:pPr>
          </w:p>
          <w:p w14:paraId="65AD8C30">
            <w:pPr>
              <w:spacing w:line="286" w:lineRule="auto"/>
              <w:rPr>
                <w:rFonts w:ascii="Arial"/>
                <w:sz w:val="21"/>
              </w:rPr>
            </w:pPr>
          </w:p>
          <w:p w14:paraId="5B45284B">
            <w:pPr>
              <w:spacing w:line="286" w:lineRule="auto"/>
              <w:rPr>
                <w:rFonts w:ascii="Arial"/>
                <w:sz w:val="21"/>
              </w:rPr>
            </w:pPr>
          </w:p>
          <w:p w14:paraId="4BD6A3FF">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B4581F6">
            <w:pPr>
              <w:spacing w:line="267" w:lineRule="auto"/>
              <w:rPr>
                <w:rFonts w:ascii="Arial"/>
                <w:sz w:val="21"/>
              </w:rPr>
            </w:pPr>
          </w:p>
          <w:p w14:paraId="20CCD82D">
            <w:pPr>
              <w:spacing w:line="267" w:lineRule="auto"/>
              <w:rPr>
                <w:rFonts w:ascii="Arial"/>
                <w:sz w:val="21"/>
              </w:rPr>
            </w:pPr>
          </w:p>
          <w:p w14:paraId="22BF0750">
            <w:pPr>
              <w:spacing w:line="268" w:lineRule="auto"/>
              <w:rPr>
                <w:rFonts w:ascii="Arial"/>
                <w:sz w:val="21"/>
              </w:rPr>
            </w:pPr>
          </w:p>
          <w:p w14:paraId="1191CA74">
            <w:pPr>
              <w:spacing w:line="268" w:lineRule="auto"/>
              <w:rPr>
                <w:rFonts w:ascii="Arial"/>
                <w:sz w:val="21"/>
              </w:rPr>
            </w:pPr>
          </w:p>
          <w:p w14:paraId="4FAE4AE7">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6BE0E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6" w:hRule="atLeast"/>
        </w:trPr>
        <w:tc>
          <w:tcPr>
            <w:tcW w:w="641" w:type="dxa"/>
            <w:vAlign w:val="top"/>
          </w:tcPr>
          <w:p w14:paraId="68DA52A7">
            <w:pPr>
              <w:rPr>
                <w:rFonts w:ascii="Arial"/>
                <w:sz w:val="21"/>
              </w:rPr>
            </w:pPr>
          </w:p>
          <w:p w14:paraId="633BDBF1">
            <w:pPr>
              <w:rPr>
                <w:rFonts w:ascii="Arial"/>
                <w:sz w:val="21"/>
              </w:rPr>
            </w:pPr>
          </w:p>
          <w:p w14:paraId="1085BC8E">
            <w:pPr>
              <w:rPr>
                <w:rFonts w:ascii="Arial"/>
                <w:sz w:val="21"/>
              </w:rPr>
            </w:pPr>
          </w:p>
          <w:p w14:paraId="73F42BE2">
            <w:pPr>
              <w:spacing w:line="241" w:lineRule="auto"/>
              <w:rPr>
                <w:rFonts w:ascii="Arial"/>
                <w:sz w:val="21"/>
              </w:rPr>
            </w:pPr>
          </w:p>
          <w:p w14:paraId="05DDD497">
            <w:pPr>
              <w:spacing w:line="241" w:lineRule="auto"/>
              <w:rPr>
                <w:rFonts w:ascii="Arial"/>
                <w:sz w:val="21"/>
              </w:rPr>
            </w:pPr>
          </w:p>
          <w:p w14:paraId="69881EB7">
            <w:pPr>
              <w:spacing w:line="241" w:lineRule="auto"/>
              <w:rPr>
                <w:rFonts w:ascii="Arial"/>
                <w:sz w:val="21"/>
              </w:rPr>
            </w:pPr>
          </w:p>
          <w:p w14:paraId="45CC9E19">
            <w:pPr>
              <w:pStyle w:val="8"/>
              <w:spacing w:before="59" w:line="183" w:lineRule="auto"/>
              <w:ind w:left="235"/>
            </w:pPr>
            <w:r>
              <w:rPr>
                <w:spacing w:val="-4"/>
              </w:rPr>
              <w:t>95</w:t>
            </w:r>
          </w:p>
        </w:tc>
        <w:tc>
          <w:tcPr>
            <w:tcW w:w="1136" w:type="dxa"/>
            <w:vAlign w:val="top"/>
          </w:tcPr>
          <w:p w14:paraId="67DD1FDD">
            <w:pPr>
              <w:spacing w:line="272" w:lineRule="auto"/>
              <w:rPr>
                <w:rFonts w:ascii="Arial"/>
                <w:sz w:val="21"/>
              </w:rPr>
            </w:pPr>
          </w:p>
          <w:p w14:paraId="7E1BC6FE">
            <w:pPr>
              <w:spacing w:line="273" w:lineRule="auto"/>
              <w:rPr>
                <w:rFonts w:ascii="Arial"/>
                <w:sz w:val="21"/>
              </w:rPr>
            </w:pPr>
          </w:p>
          <w:p w14:paraId="2D0492B4">
            <w:pPr>
              <w:spacing w:line="273" w:lineRule="auto"/>
              <w:rPr>
                <w:rFonts w:ascii="Arial"/>
                <w:sz w:val="21"/>
              </w:rPr>
            </w:pPr>
          </w:p>
          <w:p w14:paraId="7203C229">
            <w:pPr>
              <w:pStyle w:val="8"/>
              <w:spacing w:before="58" w:line="242" w:lineRule="auto"/>
              <w:ind w:left="109" w:right="104"/>
            </w:pPr>
            <w:r>
              <w:rPr>
                <w:spacing w:val="3"/>
              </w:rPr>
              <w:t>对向水体倾</w:t>
            </w:r>
            <w:r>
              <w:rPr>
                <w:spacing w:val="1"/>
              </w:rPr>
              <w:t xml:space="preserve"> </w:t>
            </w:r>
            <w:r>
              <w:rPr>
                <w:spacing w:val="3"/>
              </w:rPr>
              <w:t>倒船舶垃圾</w:t>
            </w:r>
            <w:r>
              <w:rPr>
                <w:spacing w:val="1"/>
              </w:rPr>
              <w:t xml:space="preserve"> </w:t>
            </w:r>
            <w:r>
              <w:rPr>
                <w:spacing w:val="3"/>
              </w:rPr>
              <w:t>或者排放船</w:t>
            </w:r>
            <w:r>
              <w:rPr>
                <w:spacing w:val="1"/>
              </w:rPr>
              <w:t xml:space="preserve"> </w:t>
            </w:r>
            <w:r>
              <w:rPr>
                <w:spacing w:val="-2"/>
              </w:rPr>
              <w:t>舶的残油、</w:t>
            </w:r>
            <w:r>
              <w:rPr>
                <w:spacing w:val="2"/>
              </w:rPr>
              <w:t xml:space="preserve"> </w:t>
            </w:r>
            <w:r>
              <w:rPr>
                <w:spacing w:val="3"/>
              </w:rPr>
              <w:t>废油等行为</w:t>
            </w:r>
            <w:r>
              <w:rPr>
                <w:spacing w:val="1"/>
              </w:rPr>
              <w:t xml:space="preserve"> </w:t>
            </w:r>
            <w:r>
              <w:rPr>
                <w:spacing w:val="-4"/>
              </w:rPr>
              <w:t>的行政强制</w:t>
            </w:r>
          </w:p>
        </w:tc>
        <w:tc>
          <w:tcPr>
            <w:tcW w:w="1136" w:type="dxa"/>
            <w:vAlign w:val="top"/>
          </w:tcPr>
          <w:p w14:paraId="7E4A6CE6">
            <w:pPr>
              <w:spacing w:line="283" w:lineRule="auto"/>
              <w:rPr>
                <w:rFonts w:ascii="Arial"/>
                <w:sz w:val="21"/>
              </w:rPr>
            </w:pPr>
          </w:p>
          <w:p w14:paraId="2BCA3541">
            <w:pPr>
              <w:spacing w:line="283" w:lineRule="auto"/>
              <w:rPr>
                <w:rFonts w:ascii="Arial"/>
                <w:sz w:val="21"/>
              </w:rPr>
            </w:pPr>
          </w:p>
          <w:p w14:paraId="0AA31004">
            <w:pPr>
              <w:spacing w:line="283" w:lineRule="auto"/>
              <w:rPr>
                <w:rFonts w:ascii="Arial"/>
                <w:sz w:val="21"/>
              </w:rPr>
            </w:pPr>
          </w:p>
          <w:p w14:paraId="698BAE43">
            <w:pPr>
              <w:spacing w:line="283" w:lineRule="auto"/>
              <w:rPr>
                <w:rFonts w:ascii="Arial"/>
                <w:sz w:val="21"/>
              </w:rPr>
            </w:pPr>
          </w:p>
          <w:p w14:paraId="60EFD100">
            <w:pPr>
              <w:spacing w:line="283" w:lineRule="auto"/>
              <w:rPr>
                <w:rFonts w:ascii="Arial"/>
                <w:sz w:val="21"/>
              </w:rPr>
            </w:pPr>
          </w:p>
          <w:p w14:paraId="556B9805">
            <w:pPr>
              <w:pStyle w:val="8"/>
              <w:spacing w:before="58" w:line="220" w:lineRule="auto"/>
              <w:ind w:left="114"/>
            </w:pPr>
            <w:r>
              <w:rPr>
                <w:spacing w:val="-7"/>
              </w:rPr>
              <w:t>行政强制</w:t>
            </w:r>
          </w:p>
        </w:tc>
        <w:tc>
          <w:tcPr>
            <w:tcW w:w="8806" w:type="dxa"/>
            <w:vAlign w:val="top"/>
          </w:tcPr>
          <w:p w14:paraId="19CB92E2">
            <w:pPr>
              <w:pStyle w:val="8"/>
              <w:spacing w:before="42" w:line="219" w:lineRule="auto"/>
              <w:ind w:left="481"/>
            </w:pPr>
            <w:r>
              <w:rPr>
                <w:b/>
                <w:bCs/>
                <w:spacing w:val="-5"/>
              </w:rPr>
              <w:t>1.《中华人民共和国行政强制法》</w:t>
            </w:r>
          </w:p>
          <w:p w14:paraId="0A81D0F0">
            <w:pPr>
              <w:pStyle w:val="8"/>
              <w:spacing w:before="27" w:line="237" w:lineRule="auto"/>
              <w:ind w:left="112" w:right="59" w:firstLine="356"/>
              <w:jc w:val="both"/>
            </w:pPr>
            <w:r>
              <w:rPr>
                <w:spacing w:val="-4"/>
              </w:rPr>
              <w:t>第五十条  行政机关依法作出要求当事人履行排除妨碍、恢复原状等义务的行政决定，当事人逾期不履行，</w:t>
            </w:r>
            <w:r>
              <w:rPr>
                <w:spacing w:val="4"/>
              </w:rPr>
              <w:t xml:space="preserve"> </w:t>
            </w:r>
            <w:r>
              <w:rPr>
                <w:spacing w:val="-4"/>
              </w:rPr>
              <w:t>经催告仍不履行，其后果已经或者将危害交通安全、造成环境污染或者破坏自然资源的，行政机关可以代履行，</w:t>
            </w:r>
            <w:r>
              <w:rPr>
                <w:spacing w:val="4"/>
              </w:rPr>
              <w:t xml:space="preserve"> </w:t>
            </w:r>
            <w:r>
              <w:rPr>
                <w:spacing w:val="-3"/>
              </w:rPr>
              <w:t>或者委托没有利害关系的第三人代履行。</w:t>
            </w:r>
          </w:p>
          <w:p w14:paraId="7E2F44DA">
            <w:pPr>
              <w:pStyle w:val="8"/>
              <w:spacing w:before="27" w:line="238" w:lineRule="auto"/>
              <w:ind w:left="121" w:right="103" w:firstLine="346"/>
              <w:jc w:val="both"/>
            </w:pPr>
            <w:r>
              <w:rPr>
                <w:spacing w:val="-1"/>
              </w:rPr>
              <w:t>第五十二条  需要立即清除道路、河道、航道或者公共场所的遗洒物、障碍物或者污染物，当</w:t>
            </w:r>
            <w:r>
              <w:rPr>
                <w:spacing w:val="-2"/>
              </w:rPr>
              <w:t>事人不能清</w:t>
            </w:r>
            <w:r>
              <w:t xml:space="preserve"> </w:t>
            </w:r>
            <w:r>
              <w:rPr>
                <w:spacing w:val="-1"/>
              </w:rPr>
              <w:t>除的，行政机关可以决定立即实施代履行；当事人不在场的，行政机关</w:t>
            </w:r>
            <w:r>
              <w:rPr>
                <w:spacing w:val="-2"/>
              </w:rPr>
              <w:t>应当在事后立即通知当事人，并依法作</w:t>
            </w:r>
            <w:r>
              <w:t xml:space="preserve"> </w:t>
            </w:r>
            <w:r>
              <w:rPr>
                <w:spacing w:val="-6"/>
              </w:rPr>
              <w:t>出处理。</w:t>
            </w:r>
          </w:p>
          <w:p w14:paraId="041C4831">
            <w:pPr>
              <w:pStyle w:val="8"/>
              <w:spacing w:before="22" w:line="219" w:lineRule="auto"/>
              <w:ind w:left="470"/>
            </w:pPr>
            <w:r>
              <w:rPr>
                <w:b/>
                <w:bCs/>
                <w:spacing w:val="-4"/>
              </w:rPr>
              <w:t>2.《中华人民共和国水污染防治法》</w:t>
            </w:r>
          </w:p>
          <w:p w14:paraId="730A1250">
            <w:pPr>
              <w:pStyle w:val="8"/>
              <w:spacing w:before="25" w:line="233" w:lineRule="auto"/>
              <w:ind w:left="109" w:right="103" w:firstLine="358"/>
            </w:pPr>
            <w:r>
              <w:rPr>
                <w:spacing w:val="-1"/>
              </w:rPr>
              <w:t>第五十九条  船舶排放含油污水、生活污水，应当符合船舶污染物排放标准。从事海洋航运的</w:t>
            </w:r>
            <w:r>
              <w:rPr>
                <w:spacing w:val="-2"/>
              </w:rPr>
              <w:t>船舶进入内</w:t>
            </w:r>
            <w:r>
              <w:t xml:space="preserve"> </w:t>
            </w:r>
            <w:r>
              <w:rPr>
                <w:spacing w:val="-4"/>
              </w:rPr>
              <w:t>河和港</w:t>
            </w:r>
            <w:r>
              <w:rPr>
                <w:spacing w:val="40"/>
              </w:rPr>
              <w:t xml:space="preserve"> </w:t>
            </w:r>
            <w:r>
              <w:rPr>
                <w:spacing w:val="-4"/>
              </w:rPr>
              <w:t>口的，应当遵守内河的船舶污染物排放标准。</w:t>
            </w:r>
          </w:p>
          <w:p w14:paraId="1CE8B0C5">
            <w:pPr>
              <w:pStyle w:val="8"/>
              <w:spacing w:before="27" w:line="219" w:lineRule="auto"/>
              <w:ind w:left="468"/>
            </w:pPr>
            <w:r>
              <w:rPr>
                <w:spacing w:val="-2"/>
              </w:rPr>
              <w:t>船舶的残油、废油应当回收，禁止排入水体。禁止向水体倾倒</w:t>
            </w:r>
            <w:r>
              <w:rPr>
                <w:spacing w:val="-3"/>
              </w:rPr>
              <w:t>船舶垃圾。</w:t>
            </w:r>
          </w:p>
          <w:p w14:paraId="4581CBD9">
            <w:pPr>
              <w:pStyle w:val="8"/>
              <w:spacing w:before="25" w:line="219" w:lineRule="auto"/>
              <w:ind w:left="468"/>
            </w:pPr>
            <w:r>
              <w:rPr>
                <w:spacing w:val="-2"/>
              </w:rPr>
              <w:t>船舶装载运输油类或者有毒货物，应当采取防止溢流和渗漏的措施，防止货物落水造成</w:t>
            </w:r>
            <w:r>
              <w:rPr>
                <w:spacing w:val="-3"/>
              </w:rPr>
              <w:t>水污染。</w:t>
            </w:r>
          </w:p>
          <w:p w14:paraId="71C37A72">
            <w:pPr>
              <w:pStyle w:val="8"/>
              <w:spacing w:before="28" w:line="198" w:lineRule="auto"/>
              <w:ind w:right="11"/>
              <w:jc w:val="right"/>
            </w:pPr>
            <w:r>
              <w:rPr>
                <w:spacing w:val="-3"/>
              </w:rPr>
              <w:t>进入中华人民共和国内河的国际航线船舶排放压载水的，应当采用压载水处理装置或者采取其他等效措施，</w:t>
            </w:r>
          </w:p>
        </w:tc>
        <w:tc>
          <w:tcPr>
            <w:tcW w:w="1043" w:type="dxa"/>
            <w:vAlign w:val="top"/>
          </w:tcPr>
          <w:p w14:paraId="367DD547">
            <w:pPr>
              <w:spacing w:line="259" w:lineRule="auto"/>
              <w:rPr>
                <w:rFonts w:ascii="Arial"/>
                <w:sz w:val="21"/>
              </w:rPr>
            </w:pPr>
          </w:p>
          <w:p w14:paraId="2CF5B0E0">
            <w:pPr>
              <w:spacing w:line="259" w:lineRule="auto"/>
              <w:rPr>
                <w:rFonts w:ascii="Arial"/>
                <w:sz w:val="21"/>
              </w:rPr>
            </w:pPr>
          </w:p>
          <w:p w14:paraId="350468F4">
            <w:pPr>
              <w:spacing w:line="259" w:lineRule="auto"/>
              <w:rPr>
                <w:rFonts w:ascii="Arial"/>
                <w:sz w:val="21"/>
              </w:rPr>
            </w:pPr>
          </w:p>
          <w:p w14:paraId="55E0F009">
            <w:pPr>
              <w:spacing w:line="259" w:lineRule="auto"/>
              <w:rPr>
                <w:rFonts w:ascii="Arial"/>
                <w:sz w:val="21"/>
              </w:rPr>
            </w:pPr>
          </w:p>
          <w:p w14:paraId="1710D5CD">
            <w:pPr>
              <w:spacing w:line="259" w:lineRule="auto"/>
              <w:rPr>
                <w:rFonts w:ascii="Arial"/>
                <w:sz w:val="21"/>
              </w:rPr>
            </w:pPr>
          </w:p>
          <w:p w14:paraId="4DED70CA">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4BE1485A">
            <w:pPr>
              <w:spacing w:line="283" w:lineRule="auto"/>
              <w:rPr>
                <w:rFonts w:ascii="Arial"/>
                <w:sz w:val="21"/>
              </w:rPr>
            </w:pPr>
          </w:p>
          <w:p w14:paraId="4FA6003A">
            <w:pPr>
              <w:spacing w:line="283" w:lineRule="auto"/>
              <w:rPr>
                <w:rFonts w:ascii="Arial"/>
                <w:sz w:val="21"/>
              </w:rPr>
            </w:pPr>
          </w:p>
          <w:p w14:paraId="6C86083E">
            <w:pPr>
              <w:spacing w:line="283" w:lineRule="auto"/>
              <w:rPr>
                <w:rFonts w:ascii="Arial"/>
                <w:sz w:val="21"/>
              </w:rPr>
            </w:pPr>
          </w:p>
          <w:p w14:paraId="6BE63469">
            <w:pPr>
              <w:spacing w:line="283" w:lineRule="auto"/>
              <w:rPr>
                <w:rFonts w:ascii="Arial"/>
                <w:sz w:val="21"/>
              </w:rPr>
            </w:pPr>
          </w:p>
          <w:p w14:paraId="6079ABDE">
            <w:pPr>
              <w:spacing w:line="283" w:lineRule="auto"/>
              <w:rPr>
                <w:rFonts w:ascii="Arial"/>
                <w:sz w:val="21"/>
              </w:rPr>
            </w:pPr>
          </w:p>
          <w:p w14:paraId="18ECD142">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822215C">
            <w:pPr>
              <w:spacing w:line="264" w:lineRule="auto"/>
              <w:rPr>
                <w:rFonts w:ascii="Arial"/>
                <w:sz w:val="21"/>
              </w:rPr>
            </w:pPr>
          </w:p>
          <w:p w14:paraId="3D51A548">
            <w:pPr>
              <w:spacing w:line="264" w:lineRule="auto"/>
              <w:rPr>
                <w:rFonts w:ascii="Arial"/>
                <w:sz w:val="21"/>
              </w:rPr>
            </w:pPr>
          </w:p>
          <w:p w14:paraId="125E8FA6">
            <w:pPr>
              <w:spacing w:line="265" w:lineRule="auto"/>
              <w:rPr>
                <w:rFonts w:ascii="Arial"/>
                <w:sz w:val="21"/>
              </w:rPr>
            </w:pPr>
          </w:p>
          <w:p w14:paraId="7D8DF145">
            <w:pPr>
              <w:spacing w:line="265" w:lineRule="auto"/>
              <w:rPr>
                <w:rFonts w:ascii="Arial"/>
                <w:sz w:val="21"/>
              </w:rPr>
            </w:pPr>
          </w:p>
          <w:p w14:paraId="5F0747C1">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45EED171">
      <w:pPr>
        <w:pStyle w:val="2"/>
        <w:spacing w:line="222" w:lineRule="exact"/>
        <w:rPr>
          <w:sz w:val="19"/>
        </w:rPr>
      </w:pPr>
    </w:p>
    <w:p w14:paraId="2DD8B38B">
      <w:pPr>
        <w:spacing w:line="222" w:lineRule="exact"/>
        <w:rPr>
          <w:sz w:val="19"/>
          <w:szCs w:val="19"/>
        </w:rPr>
        <w:sectPr>
          <w:footerReference r:id="rId210" w:type="default"/>
          <w:pgSz w:w="16839" w:h="11906"/>
          <w:pgMar w:top="1012" w:right="788" w:bottom="967" w:left="787" w:header="0" w:footer="768" w:gutter="0"/>
          <w:cols w:space="720" w:num="1"/>
        </w:sectPr>
      </w:pPr>
    </w:p>
    <w:p w14:paraId="6BC1504C">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0BD2D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26580CB3">
            <w:pPr>
              <w:pStyle w:val="8"/>
              <w:spacing w:before="267" w:line="221" w:lineRule="auto"/>
              <w:ind w:left="142"/>
            </w:pPr>
            <w:r>
              <w:rPr>
                <w:b/>
                <w:bCs/>
                <w:spacing w:val="-4"/>
              </w:rPr>
              <w:t>序号</w:t>
            </w:r>
          </w:p>
        </w:tc>
        <w:tc>
          <w:tcPr>
            <w:tcW w:w="1136" w:type="dxa"/>
            <w:vMerge w:val="restart"/>
            <w:tcBorders>
              <w:bottom w:val="nil"/>
            </w:tcBorders>
            <w:vAlign w:val="top"/>
          </w:tcPr>
          <w:p w14:paraId="3813AEC7">
            <w:pPr>
              <w:pStyle w:val="8"/>
              <w:spacing w:before="267" w:line="220" w:lineRule="auto"/>
              <w:ind w:left="208"/>
            </w:pPr>
            <w:r>
              <w:rPr>
                <w:b/>
                <w:bCs/>
                <w:spacing w:val="-4"/>
              </w:rPr>
              <w:t>事项名称</w:t>
            </w:r>
          </w:p>
        </w:tc>
        <w:tc>
          <w:tcPr>
            <w:tcW w:w="1136" w:type="dxa"/>
            <w:vMerge w:val="restart"/>
            <w:tcBorders>
              <w:bottom w:val="nil"/>
            </w:tcBorders>
            <w:vAlign w:val="top"/>
          </w:tcPr>
          <w:p w14:paraId="15014B60">
            <w:pPr>
              <w:pStyle w:val="8"/>
              <w:spacing w:before="267" w:line="219" w:lineRule="auto"/>
              <w:ind w:left="210"/>
            </w:pPr>
            <w:r>
              <w:rPr>
                <w:b/>
                <w:bCs/>
                <w:spacing w:val="-4"/>
              </w:rPr>
              <w:t>职权类型</w:t>
            </w:r>
          </w:p>
        </w:tc>
        <w:tc>
          <w:tcPr>
            <w:tcW w:w="8806" w:type="dxa"/>
            <w:vMerge w:val="restart"/>
            <w:tcBorders>
              <w:bottom w:val="nil"/>
            </w:tcBorders>
            <w:vAlign w:val="top"/>
          </w:tcPr>
          <w:p w14:paraId="2C54F189">
            <w:pPr>
              <w:pStyle w:val="8"/>
              <w:spacing w:before="267" w:line="219" w:lineRule="auto"/>
              <w:ind w:left="4050"/>
            </w:pPr>
            <w:r>
              <w:rPr>
                <w:b/>
                <w:bCs/>
                <w:spacing w:val="-5"/>
              </w:rPr>
              <w:t>实施依据</w:t>
            </w:r>
          </w:p>
        </w:tc>
        <w:tc>
          <w:tcPr>
            <w:tcW w:w="3538" w:type="dxa"/>
            <w:gridSpan w:val="3"/>
            <w:vAlign w:val="top"/>
          </w:tcPr>
          <w:p w14:paraId="2381AA80">
            <w:pPr>
              <w:pStyle w:val="8"/>
              <w:spacing w:before="92" w:line="220" w:lineRule="auto"/>
              <w:ind w:left="1415"/>
            </w:pPr>
            <w:r>
              <w:rPr>
                <w:b/>
                <w:bCs/>
                <w:spacing w:val="-5"/>
              </w:rPr>
              <w:t>实施主体</w:t>
            </w:r>
          </w:p>
        </w:tc>
      </w:tr>
      <w:tr w14:paraId="54936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7A2B4978">
            <w:pPr>
              <w:rPr>
                <w:rFonts w:ascii="Arial"/>
                <w:sz w:val="21"/>
              </w:rPr>
            </w:pPr>
          </w:p>
        </w:tc>
        <w:tc>
          <w:tcPr>
            <w:tcW w:w="1136" w:type="dxa"/>
            <w:vMerge w:val="continue"/>
            <w:tcBorders>
              <w:top w:val="nil"/>
            </w:tcBorders>
            <w:vAlign w:val="top"/>
          </w:tcPr>
          <w:p w14:paraId="1301D081">
            <w:pPr>
              <w:rPr>
                <w:rFonts w:ascii="Arial"/>
                <w:sz w:val="21"/>
              </w:rPr>
            </w:pPr>
          </w:p>
        </w:tc>
        <w:tc>
          <w:tcPr>
            <w:tcW w:w="1136" w:type="dxa"/>
            <w:vMerge w:val="continue"/>
            <w:tcBorders>
              <w:top w:val="nil"/>
            </w:tcBorders>
            <w:vAlign w:val="top"/>
          </w:tcPr>
          <w:p w14:paraId="2465577A">
            <w:pPr>
              <w:rPr>
                <w:rFonts w:ascii="Arial"/>
                <w:sz w:val="21"/>
              </w:rPr>
            </w:pPr>
          </w:p>
        </w:tc>
        <w:tc>
          <w:tcPr>
            <w:tcW w:w="8806" w:type="dxa"/>
            <w:vMerge w:val="continue"/>
            <w:tcBorders>
              <w:top w:val="nil"/>
            </w:tcBorders>
            <w:vAlign w:val="top"/>
          </w:tcPr>
          <w:p w14:paraId="77E10E46">
            <w:pPr>
              <w:rPr>
                <w:rFonts w:ascii="Arial"/>
                <w:sz w:val="21"/>
              </w:rPr>
            </w:pPr>
          </w:p>
        </w:tc>
        <w:tc>
          <w:tcPr>
            <w:tcW w:w="1043" w:type="dxa"/>
            <w:vAlign w:val="top"/>
          </w:tcPr>
          <w:p w14:paraId="6157222A">
            <w:pPr>
              <w:pStyle w:val="8"/>
              <w:spacing w:before="88" w:line="219" w:lineRule="auto"/>
              <w:ind w:left="171"/>
            </w:pPr>
            <w:r>
              <w:rPr>
                <w:b/>
                <w:bCs/>
                <w:spacing w:val="-5"/>
              </w:rPr>
              <w:t>责任部门</w:t>
            </w:r>
          </w:p>
        </w:tc>
        <w:tc>
          <w:tcPr>
            <w:tcW w:w="1448" w:type="dxa"/>
            <w:vAlign w:val="top"/>
          </w:tcPr>
          <w:p w14:paraId="32214E9B">
            <w:pPr>
              <w:pStyle w:val="8"/>
              <w:spacing w:before="88" w:line="219" w:lineRule="auto"/>
              <w:ind w:left="187"/>
            </w:pPr>
            <w:r>
              <w:rPr>
                <w:b/>
                <w:bCs/>
                <w:spacing w:val="-3"/>
              </w:rPr>
              <w:t>第一责任层级</w:t>
            </w:r>
          </w:p>
        </w:tc>
        <w:tc>
          <w:tcPr>
            <w:tcW w:w="1047" w:type="dxa"/>
            <w:vAlign w:val="top"/>
          </w:tcPr>
          <w:p w14:paraId="0760E623">
            <w:pPr>
              <w:pStyle w:val="8"/>
              <w:spacing w:before="88" w:line="219" w:lineRule="auto"/>
              <w:ind w:left="165"/>
            </w:pPr>
            <w:r>
              <w:rPr>
                <w:b/>
                <w:bCs/>
                <w:spacing w:val="-4"/>
              </w:rPr>
              <w:t>承办机构</w:t>
            </w:r>
          </w:p>
        </w:tc>
      </w:tr>
      <w:tr w14:paraId="66B25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641" w:type="dxa"/>
            <w:vAlign w:val="top"/>
          </w:tcPr>
          <w:p w14:paraId="538EAA5D">
            <w:pPr>
              <w:rPr>
                <w:rFonts w:ascii="Arial"/>
                <w:sz w:val="21"/>
              </w:rPr>
            </w:pPr>
          </w:p>
        </w:tc>
        <w:tc>
          <w:tcPr>
            <w:tcW w:w="1136" w:type="dxa"/>
            <w:vAlign w:val="top"/>
          </w:tcPr>
          <w:p w14:paraId="05804AC4">
            <w:pPr>
              <w:rPr>
                <w:rFonts w:ascii="Arial"/>
                <w:sz w:val="21"/>
              </w:rPr>
            </w:pPr>
          </w:p>
        </w:tc>
        <w:tc>
          <w:tcPr>
            <w:tcW w:w="1136" w:type="dxa"/>
            <w:vAlign w:val="top"/>
          </w:tcPr>
          <w:p w14:paraId="11E74C87">
            <w:pPr>
              <w:rPr>
                <w:rFonts w:ascii="Arial"/>
                <w:sz w:val="21"/>
              </w:rPr>
            </w:pPr>
          </w:p>
        </w:tc>
        <w:tc>
          <w:tcPr>
            <w:tcW w:w="8806" w:type="dxa"/>
            <w:vAlign w:val="top"/>
          </w:tcPr>
          <w:p w14:paraId="5FDFE3FB">
            <w:pPr>
              <w:pStyle w:val="8"/>
              <w:spacing w:before="38" w:line="219" w:lineRule="auto"/>
              <w:ind w:left="109"/>
            </w:pPr>
            <w:r>
              <w:rPr>
                <w:spacing w:val="-2"/>
              </w:rPr>
              <w:t>对压载水进行灭活等处理。禁止排放不符合规定的船</w:t>
            </w:r>
            <w:r>
              <w:rPr>
                <w:spacing w:val="-3"/>
              </w:rPr>
              <w:t>舶压载水。</w:t>
            </w:r>
          </w:p>
          <w:p w14:paraId="6C8C46B6">
            <w:pPr>
              <w:pStyle w:val="8"/>
              <w:spacing w:before="25" w:line="233" w:lineRule="auto"/>
              <w:ind w:left="110" w:right="103" w:firstLine="357"/>
            </w:pPr>
            <w:r>
              <w:rPr>
                <w:spacing w:val="-1"/>
              </w:rPr>
              <w:t>第六十二条  船舶及有关作业单位从事有污染风险的作业活动，应当按照有关法律法规和标准</w:t>
            </w:r>
            <w:r>
              <w:rPr>
                <w:spacing w:val="-2"/>
              </w:rPr>
              <w:t>，采取有效</w:t>
            </w:r>
            <w:r>
              <w:t xml:space="preserve"> </w:t>
            </w:r>
            <w:r>
              <w:rPr>
                <w:spacing w:val="-2"/>
              </w:rPr>
              <w:t>措施，防止造成水污染。海事管理机构、渔业主管部门应当加强对船舶及有关作业活动的</w:t>
            </w:r>
            <w:r>
              <w:rPr>
                <w:spacing w:val="-3"/>
              </w:rPr>
              <w:t>监督管理。</w:t>
            </w:r>
          </w:p>
          <w:p w14:paraId="727BB6E3">
            <w:pPr>
              <w:pStyle w:val="8"/>
              <w:spacing w:before="25" w:line="233" w:lineRule="auto"/>
              <w:ind w:left="109" w:right="103" w:firstLine="359"/>
            </w:pPr>
            <w:r>
              <w:rPr>
                <w:spacing w:val="-1"/>
              </w:rPr>
              <w:t>船舶进行散装液体污染危害性货物的过驳作业，应当编制作业方案，采取有效的安全和污染</w:t>
            </w:r>
            <w:r>
              <w:rPr>
                <w:spacing w:val="-2"/>
              </w:rPr>
              <w:t>防治措施，并</w:t>
            </w:r>
            <w:r>
              <w:t xml:space="preserve"> </w:t>
            </w:r>
            <w:r>
              <w:rPr>
                <w:spacing w:val="-3"/>
              </w:rPr>
              <w:t>报作业地海事管理机构批准。</w:t>
            </w:r>
          </w:p>
          <w:p w14:paraId="3653A31F">
            <w:pPr>
              <w:pStyle w:val="8"/>
              <w:spacing w:before="26" w:line="219" w:lineRule="auto"/>
              <w:ind w:left="468"/>
            </w:pPr>
            <w:r>
              <w:rPr>
                <w:spacing w:val="-4"/>
              </w:rPr>
              <w:t>禁止采取冲滩方式进行船舶拆解作业。</w:t>
            </w:r>
          </w:p>
          <w:p w14:paraId="4A4B3BA0">
            <w:pPr>
              <w:pStyle w:val="8"/>
              <w:spacing w:before="30" w:line="239" w:lineRule="auto"/>
              <w:ind w:left="109" w:right="79" w:firstLine="358"/>
            </w:pPr>
            <w:r>
              <w:rPr>
                <w:spacing w:val="-1"/>
              </w:rPr>
              <w:t>第九十条  违反本法规定，有下列行为之一的，由海事管理机构、渔业主管部门按照职责分工</w:t>
            </w:r>
            <w:r>
              <w:rPr>
                <w:spacing w:val="-2"/>
              </w:rPr>
              <w:t>责令停止违</w:t>
            </w:r>
            <w:r>
              <w:t xml:space="preserve"> </w:t>
            </w:r>
            <w:r>
              <w:rPr>
                <w:spacing w:val="-1"/>
              </w:rPr>
              <w:t>法行为，处一万元以上十万元以下的罚款；造成水污染的，责令限期采取治理措施，消除污染，</w:t>
            </w:r>
            <w:r>
              <w:rPr>
                <w:spacing w:val="-2"/>
              </w:rPr>
              <w:t>处二万元以上</w:t>
            </w:r>
            <w:r>
              <w:t xml:space="preserve"> </w:t>
            </w:r>
            <w:r>
              <w:rPr>
                <w:spacing w:val="-1"/>
              </w:rPr>
              <w:t>二十万元以下的罚款；逾期不采取治理措施的，海事管理机构、渔业主管部门按照职责分工可以</w:t>
            </w:r>
            <w:r>
              <w:rPr>
                <w:spacing w:val="-2"/>
              </w:rPr>
              <w:t>指定有治理能</w:t>
            </w:r>
            <w:r>
              <w:t xml:space="preserve"> </w:t>
            </w:r>
            <w:r>
              <w:rPr>
                <w:spacing w:val="-1"/>
              </w:rPr>
              <w:t>力的单位代为治理，所需费用由船舶承担</w:t>
            </w:r>
            <w:r>
              <w:rPr>
                <w:spacing w:val="-15"/>
              </w:rPr>
              <w:t>：（</w:t>
            </w:r>
            <w:r>
              <w:rPr>
                <w:spacing w:val="-1"/>
              </w:rPr>
              <w:t>一）向水体倾倒船舶垃圾或者</w:t>
            </w:r>
            <w:r>
              <w:rPr>
                <w:spacing w:val="-2"/>
              </w:rPr>
              <w:t>排放船舶的残油、废油的</w:t>
            </w:r>
            <w:r>
              <w:rPr>
                <w:spacing w:val="-15"/>
              </w:rPr>
              <w:t>；</w:t>
            </w:r>
            <w:r>
              <w:rPr>
                <w:spacing w:val="-2"/>
              </w:rPr>
              <w:t xml:space="preserve"> </w:t>
            </w:r>
            <w:r>
              <w:rPr>
                <w:spacing w:val="-15"/>
              </w:rPr>
              <w:t>（</w:t>
            </w:r>
            <w:r>
              <w:rPr>
                <w:spacing w:val="-2"/>
              </w:rPr>
              <w:t>二）</w:t>
            </w:r>
            <w:r>
              <w:t xml:space="preserve"> </w:t>
            </w:r>
            <w:r>
              <w:rPr>
                <w:spacing w:val="-1"/>
              </w:rPr>
              <w:t>未经作业地海事管理机构批准，船舶进行散装液体污染危害性货物的过驳作业的</w:t>
            </w:r>
            <w:r>
              <w:rPr>
                <w:spacing w:val="-4"/>
              </w:rPr>
              <w:t>；（</w:t>
            </w:r>
            <w:r>
              <w:rPr>
                <w:spacing w:val="-1"/>
              </w:rPr>
              <w:t>三）船舶及有关作业单位</w:t>
            </w:r>
            <w:r>
              <w:t xml:space="preserve"> </w:t>
            </w:r>
            <w:r>
              <w:rPr>
                <w:spacing w:val="-2"/>
              </w:rPr>
              <w:t>从事有污染风险的作业活动，未按照规 定采取污染防治措施的</w:t>
            </w:r>
            <w:r>
              <w:rPr>
                <w:spacing w:val="-24"/>
              </w:rPr>
              <w:t>；（</w:t>
            </w:r>
            <w:r>
              <w:rPr>
                <w:spacing w:val="-2"/>
              </w:rPr>
              <w:t>四）</w:t>
            </w:r>
            <w:r>
              <w:rPr>
                <w:spacing w:val="-47"/>
              </w:rPr>
              <w:t xml:space="preserve"> </w:t>
            </w:r>
            <w:r>
              <w:rPr>
                <w:spacing w:val="-2"/>
              </w:rPr>
              <w:t>以冲滩方式进行船舶拆解的</w:t>
            </w:r>
            <w:r>
              <w:rPr>
                <w:spacing w:val="-24"/>
              </w:rPr>
              <w:t>；（</w:t>
            </w:r>
            <w:r>
              <w:rPr>
                <w:spacing w:val="-2"/>
              </w:rPr>
              <w:t>五）进</w:t>
            </w:r>
            <w:r>
              <w:t xml:space="preserve"> </w:t>
            </w:r>
            <w:r>
              <w:rPr>
                <w:spacing w:val="-2"/>
              </w:rPr>
              <w:t>入中华人民共和国内河的国际航线船舶，排放 不符合规定的船舶压载</w:t>
            </w:r>
            <w:r>
              <w:rPr>
                <w:spacing w:val="-3"/>
              </w:rPr>
              <w:t>水的。</w:t>
            </w:r>
          </w:p>
        </w:tc>
        <w:tc>
          <w:tcPr>
            <w:tcW w:w="1043" w:type="dxa"/>
            <w:vAlign w:val="top"/>
          </w:tcPr>
          <w:p w14:paraId="1348E62E">
            <w:pPr>
              <w:rPr>
                <w:rFonts w:ascii="Arial"/>
                <w:sz w:val="21"/>
              </w:rPr>
            </w:pPr>
          </w:p>
        </w:tc>
        <w:tc>
          <w:tcPr>
            <w:tcW w:w="1448" w:type="dxa"/>
            <w:vAlign w:val="top"/>
          </w:tcPr>
          <w:p w14:paraId="252164E5">
            <w:pPr>
              <w:rPr>
                <w:rFonts w:ascii="Arial"/>
                <w:sz w:val="21"/>
              </w:rPr>
            </w:pPr>
          </w:p>
        </w:tc>
        <w:tc>
          <w:tcPr>
            <w:tcW w:w="1047" w:type="dxa"/>
            <w:vAlign w:val="top"/>
          </w:tcPr>
          <w:p w14:paraId="47206946">
            <w:pPr>
              <w:rPr>
                <w:rFonts w:ascii="Arial"/>
                <w:sz w:val="21"/>
              </w:rPr>
            </w:pPr>
          </w:p>
        </w:tc>
      </w:tr>
      <w:tr w14:paraId="59351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4" w:hRule="atLeast"/>
        </w:trPr>
        <w:tc>
          <w:tcPr>
            <w:tcW w:w="641" w:type="dxa"/>
            <w:vAlign w:val="top"/>
          </w:tcPr>
          <w:p w14:paraId="33852B93">
            <w:pPr>
              <w:spacing w:line="249" w:lineRule="auto"/>
              <w:rPr>
                <w:rFonts w:ascii="Arial"/>
                <w:sz w:val="21"/>
              </w:rPr>
            </w:pPr>
          </w:p>
          <w:p w14:paraId="4E2403D7">
            <w:pPr>
              <w:spacing w:line="249" w:lineRule="auto"/>
              <w:rPr>
                <w:rFonts w:ascii="Arial"/>
                <w:sz w:val="21"/>
              </w:rPr>
            </w:pPr>
          </w:p>
          <w:p w14:paraId="38D98A4A">
            <w:pPr>
              <w:spacing w:line="249" w:lineRule="auto"/>
              <w:rPr>
                <w:rFonts w:ascii="Arial"/>
                <w:sz w:val="21"/>
              </w:rPr>
            </w:pPr>
          </w:p>
          <w:p w14:paraId="7BFC0E50">
            <w:pPr>
              <w:pStyle w:val="8"/>
              <w:spacing w:before="58" w:line="183" w:lineRule="auto"/>
              <w:ind w:left="235"/>
            </w:pPr>
            <w:r>
              <w:rPr>
                <w:spacing w:val="-4"/>
              </w:rPr>
              <w:t>96</w:t>
            </w:r>
          </w:p>
        </w:tc>
        <w:tc>
          <w:tcPr>
            <w:tcW w:w="1136" w:type="dxa"/>
            <w:vAlign w:val="top"/>
          </w:tcPr>
          <w:p w14:paraId="658966CE">
            <w:pPr>
              <w:spacing w:line="241" w:lineRule="auto"/>
              <w:rPr>
                <w:rFonts w:ascii="Arial"/>
                <w:sz w:val="21"/>
              </w:rPr>
            </w:pPr>
          </w:p>
          <w:p w14:paraId="068CD18B">
            <w:pPr>
              <w:pStyle w:val="8"/>
              <w:spacing w:before="59" w:line="241" w:lineRule="auto"/>
              <w:ind w:left="112" w:right="104" w:hanging="3"/>
              <w:jc w:val="both"/>
            </w:pPr>
            <w:r>
              <w:rPr>
                <w:spacing w:val="3"/>
              </w:rPr>
              <w:t>对未立即消</w:t>
            </w:r>
            <w:r>
              <w:rPr>
                <w:spacing w:val="1"/>
              </w:rPr>
              <w:t xml:space="preserve"> </w:t>
            </w:r>
            <w:r>
              <w:rPr>
                <w:spacing w:val="2"/>
              </w:rPr>
              <w:t>除或者逾期</w:t>
            </w:r>
            <w:r>
              <w:rPr>
                <w:spacing w:val="3"/>
              </w:rPr>
              <w:t xml:space="preserve"> </w:t>
            </w:r>
            <w:r>
              <w:rPr>
                <w:spacing w:val="2"/>
              </w:rPr>
              <w:t>不消除安全</w:t>
            </w:r>
            <w:r>
              <w:rPr>
                <w:spacing w:val="3"/>
              </w:rPr>
              <w:t xml:space="preserve"> </w:t>
            </w:r>
            <w:r>
              <w:rPr>
                <w:spacing w:val="2"/>
              </w:rPr>
              <w:t>隐患的行政</w:t>
            </w:r>
            <w:r>
              <w:rPr>
                <w:spacing w:val="3"/>
              </w:rPr>
              <w:t xml:space="preserve"> </w:t>
            </w:r>
            <w:r>
              <w:rPr>
                <w:spacing w:val="-5"/>
              </w:rPr>
              <w:t>强制</w:t>
            </w:r>
          </w:p>
        </w:tc>
        <w:tc>
          <w:tcPr>
            <w:tcW w:w="1136" w:type="dxa"/>
            <w:vAlign w:val="top"/>
          </w:tcPr>
          <w:p w14:paraId="3A3AD05B">
            <w:pPr>
              <w:spacing w:line="359" w:lineRule="auto"/>
              <w:rPr>
                <w:rFonts w:ascii="Arial"/>
                <w:sz w:val="21"/>
              </w:rPr>
            </w:pPr>
          </w:p>
          <w:p w14:paraId="4CF04532">
            <w:pPr>
              <w:spacing w:line="359" w:lineRule="auto"/>
              <w:rPr>
                <w:rFonts w:ascii="Arial"/>
                <w:sz w:val="21"/>
              </w:rPr>
            </w:pPr>
          </w:p>
          <w:p w14:paraId="2D9F3E17">
            <w:pPr>
              <w:pStyle w:val="8"/>
              <w:spacing w:before="59" w:line="220" w:lineRule="auto"/>
              <w:ind w:left="114"/>
            </w:pPr>
            <w:r>
              <w:rPr>
                <w:spacing w:val="-7"/>
              </w:rPr>
              <w:t>行政强制</w:t>
            </w:r>
          </w:p>
        </w:tc>
        <w:tc>
          <w:tcPr>
            <w:tcW w:w="8806" w:type="dxa"/>
            <w:vAlign w:val="top"/>
          </w:tcPr>
          <w:p w14:paraId="6A6195BE">
            <w:pPr>
              <w:spacing w:line="242" w:lineRule="auto"/>
              <w:rPr>
                <w:rFonts w:ascii="Arial"/>
                <w:sz w:val="21"/>
              </w:rPr>
            </w:pPr>
          </w:p>
          <w:p w14:paraId="6A197883">
            <w:pPr>
              <w:pStyle w:val="8"/>
              <w:spacing w:before="58" w:line="219" w:lineRule="auto"/>
              <w:ind w:left="469"/>
            </w:pPr>
            <w:r>
              <w:rPr>
                <w:b/>
                <w:bCs/>
                <w:spacing w:val="-6"/>
              </w:rPr>
              <w:t>《中华人民共和国内河交通安全管理条例》</w:t>
            </w:r>
          </w:p>
          <w:p w14:paraId="31A79D29">
            <w:pPr>
              <w:pStyle w:val="8"/>
              <w:spacing w:before="25" w:line="219" w:lineRule="auto"/>
              <w:ind w:left="468"/>
            </w:pPr>
            <w:r>
              <w:rPr>
                <w:spacing w:val="-2"/>
              </w:rPr>
              <w:t>第五十八条  海事管理机构必须建立、健全内河交通安全监督检查制度，并</w:t>
            </w:r>
            <w:r>
              <w:rPr>
                <w:spacing w:val="-3"/>
              </w:rPr>
              <w:t>组织落实。</w:t>
            </w:r>
          </w:p>
          <w:p w14:paraId="46E8E7D5">
            <w:pPr>
              <w:pStyle w:val="8"/>
              <w:spacing w:before="27" w:line="237" w:lineRule="auto"/>
              <w:ind w:left="109" w:right="45" w:firstLine="359"/>
            </w:pPr>
            <w:r>
              <w:rPr>
                <w:spacing w:val="-4"/>
              </w:rPr>
              <w:t>第五十九条  海事管理机构必须依法履行职责，加强对船舶、浮动设施、船员和通航安全环境的监督检查。</w:t>
            </w:r>
            <w:r>
              <w:rPr>
                <w:spacing w:val="18"/>
              </w:rPr>
              <w:t xml:space="preserve"> </w:t>
            </w:r>
            <w:r>
              <w:rPr>
                <w:spacing w:val="-2"/>
              </w:rPr>
              <w:t>发现内河交通安全隐患时，应当责令有关单位和个人立即消</w:t>
            </w:r>
            <w:r>
              <w:rPr>
                <w:spacing w:val="-3"/>
              </w:rPr>
              <w:t>除或者限期消除；有关单位和个人不立即消除或者</w:t>
            </w:r>
            <w:r>
              <w:t xml:space="preserve">  </w:t>
            </w:r>
            <w:r>
              <w:rPr>
                <w:spacing w:val="-2"/>
              </w:rPr>
              <w:t>逾期不消除的，海事管理机构必须采取责令</w:t>
            </w:r>
            <w:r>
              <w:rPr>
                <w:spacing w:val="-3"/>
              </w:rPr>
              <w:t>其临时停航、停止作业，禁止进港、离港等强制性措施。</w:t>
            </w:r>
          </w:p>
        </w:tc>
        <w:tc>
          <w:tcPr>
            <w:tcW w:w="1043" w:type="dxa"/>
            <w:vAlign w:val="top"/>
          </w:tcPr>
          <w:p w14:paraId="035F29EB">
            <w:pPr>
              <w:spacing w:line="299" w:lineRule="auto"/>
              <w:rPr>
                <w:rFonts w:ascii="Arial"/>
                <w:sz w:val="21"/>
              </w:rPr>
            </w:pPr>
          </w:p>
          <w:p w14:paraId="013DB57E">
            <w:pPr>
              <w:spacing w:line="300" w:lineRule="auto"/>
              <w:rPr>
                <w:rFonts w:ascii="Arial"/>
                <w:sz w:val="21"/>
              </w:rPr>
            </w:pPr>
          </w:p>
          <w:p w14:paraId="6442861A">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787E1BD9">
            <w:pPr>
              <w:spacing w:line="359" w:lineRule="auto"/>
              <w:rPr>
                <w:rFonts w:ascii="Arial"/>
                <w:sz w:val="21"/>
              </w:rPr>
            </w:pPr>
          </w:p>
          <w:p w14:paraId="63184634">
            <w:pPr>
              <w:spacing w:line="360" w:lineRule="auto"/>
              <w:rPr>
                <w:rFonts w:ascii="Arial"/>
                <w:sz w:val="21"/>
              </w:rPr>
            </w:pPr>
          </w:p>
          <w:p w14:paraId="29157588">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3F4BE79A">
            <w:pPr>
              <w:spacing w:line="362" w:lineRule="auto"/>
              <w:rPr>
                <w:rFonts w:ascii="Arial"/>
                <w:sz w:val="21"/>
              </w:rPr>
            </w:pPr>
          </w:p>
          <w:p w14:paraId="2C0765BE">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722CB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6" w:hRule="atLeast"/>
        </w:trPr>
        <w:tc>
          <w:tcPr>
            <w:tcW w:w="641" w:type="dxa"/>
            <w:vAlign w:val="top"/>
          </w:tcPr>
          <w:p w14:paraId="58600011">
            <w:pPr>
              <w:spacing w:line="259" w:lineRule="auto"/>
              <w:rPr>
                <w:rFonts w:ascii="Arial"/>
                <w:sz w:val="21"/>
              </w:rPr>
            </w:pPr>
          </w:p>
          <w:p w14:paraId="6A39A852">
            <w:pPr>
              <w:spacing w:line="259" w:lineRule="auto"/>
              <w:rPr>
                <w:rFonts w:ascii="Arial"/>
                <w:sz w:val="21"/>
              </w:rPr>
            </w:pPr>
          </w:p>
          <w:p w14:paraId="3B902A38">
            <w:pPr>
              <w:spacing w:line="259" w:lineRule="auto"/>
              <w:rPr>
                <w:rFonts w:ascii="Arial"/>
                <w:sz w:val="21"/>
              </w:rPr>
            </w:pPr>
          </w:p>
          <w:p w14:paraId="6577921B">
            <w:pPr>
              <w:spacing w:line="260" w:lineRule="auto"/>
              <w:rPr>
                <w:rFonts w:ascii="Arial"/>
                <w:sz w:val="21"/>
              </w:rPr>
            </w:pPr>
          </w:p>
          <w:p w14:paraId="28D8716F">
            <w:pPr>
              <w:spacing w:line="260" w:lineRule="auto"/>
              <w:rPr>
                <w:rFonts w:ascii="Arial"/>
                <w:sz w:val="21"/>
              </w:rPr>
            </w:pPr>
          </w:p>
          <w:p w14:paraId="28A4AC23">
            <w:pPr>
              <w:spacing w:line="260" w:lineRule="auto"/>
              <w:rPr>
                <w:rFonts w:ascii="Arial"/>
                <w:sz w:val="21"/>
              </w:rPr>
            </w:pPr>
          </w:p>
          <w:p w14:paraId="3F5BBAF3">
            <w:pPr>
              <w:spacing w:line="260" w:lineRule="auto"/>
              <w:rPr>
                <w:rFonts w:ascii="Arial"/>
                <w:sz w:val="21"/>
              </w:rPr>
            </w:pPr>
          </w:p>
          <w:p w14:paraId="54226530">
            <w:pPr>
              <w:pStyle w:val="8"/>
              <w:spacing w:before="58" w:line="183" w:lineRule="auto"/>
              <w:ind w:left="235"/>
            </w:pPr>
            <w:r>
              <w:rPr>
                <w:spacing w:val="-4"/>
              </w:rPr>
              <w:t>97</w:t>
            </w:r>
          </w:p>
        </w:tc>
        <w:tc>
          <w:tcPr>
            <w:tcW w:w="1136" w:type="dxa"/>
            <w:vAlign w:val="top"/>
          </w:tcPr>
          <w:p w14:paraId="58FE6E38">
            <w:pPr>
              <w:spacing w:line="358" w:lineRule="auto"/>
              <w:rPr>
                <w:rFonts w:ascii="Arial"/>
                <w:sz w:val="21"/>
              </w:rPr>
            </w:pPr>
          </w:p>
          <w:p w14:paraId="1A956870">
            <w:pPr>
              <w:spacing w:line="359" w:lineRule="auto"/>
              <w:rPr>
                <w:rFonts w:ascii="Arial"/>
                <w:sz w:val="21"/>
              </w:rPr>
            </w:pPr>
          </w:p>
          <w:p w14:paraId="694D4FFC">
            <w:pPr>
              <w:pStyle w:val="8"/>
              <w:spacing w:before="59" w:line="243" w:lineRule="auto"/>
              <w:ind w:left="109" w:right="104"/>
              <w:jc w:val="both"/>
            </w:pPr>
            <w:r>
              <w:rPr>
                <w:spacing w:val="3"/>
              </w:rPr>
              <w:t>对船舶不具</w:t>
            </w:r>
            <w:r>
              <w:rPr>
                <w:spacing w:val="1"/>
              </w:rPr>
              <w:t xml:space="preserve"> </w:t>
            </w:r>
            <w:r>
              <w:rPr>
                <w:spacing w:val="3"/>
              </w:rPr>
              <w:t>备安全技术</w:t>
            </w:r>
            <w:r>
              <w:rPr>
                <w:spacing w:val="1"/>
              </w:rPr>
              <w:t xml:space="preserve"> </w:t>
            </w:r>
            <w:r>
              <w:rPr>
                <w:spacing w:val="3"/>
              </w:rPr>
              <w:t>条件从事货</w:t>
            </w:r>
            <w:r>
              <w:rPr>
                <w:spacing w:val="1"/>
              </w:rPr>
              <w:t xml:space="preserve"> </w:t>
            </w:r>
            <w:r>
              <w:rPr>
                <w:spacing w:val="3"/>
              </w:rPr>
              <w:t>物、旅客运</w:t>
            </w:r>
            <w:r>
              <w:rPr>
                <w:spacing w:val="1"/>
              </w:rPr>
              <w:t xml:space="preserve"> </w:t>
            </w:r>
            <w:r>
              <w:rPr>
                <w:spacing w:val="3"/>
              </w:rPr>
              <w:t>输，或者超</w:t>
            </w:r>
            <w:r>
              <w:rPr>
                <w:spacing w:val="1"/>
              </w:rPr>
              <w:t xml:space="preserve"> </w:t>
            </w:r>
            <w:r>
              <w:rPr>
                <w:spacing w:val="-8"/>
              </w:rPr>
              <w:t>载</w:t>
            </w:r>
            <w:r>
              <w:rPr>
                <w:spacing w:val="-16"/>
              </w:rPr>
              <w:t xml:space="preserve"> </w:t>
            </w:r>
            <w:r>
              <w:rPr>
                <w:spacing w:val="-8"/>
              </w:rPr>
              <w:t>运</w:t>
            </w:r>
            <w:r>
              <w:rPr>
                <w:spacing w:val="-14"/>
              </w:rPr>
              <w:t xml:space="preserve"> </w:t>
            </w:r>
            <w:r>
              <w:rPr>
                <w:spacing w:val="-8"/>
              </w:rPr>
              <w:t>输</w:t>
            </w:r>
            <w:r>
              <w:rPr>
                <w:spacing w:val="-12"/>
              </w:rPr>
              <w:t xml:space="preserve"> </w:t>
            </w:r>
            <w:r>
              <w:rPr>
                <w:spacing w:val="-8"/>
              </w:rPr>
              <w:t>货</w:t>
            </w:r>
            <w:r>
              <w:t xml:space="preserve"> </w:t>
            </w:r>
            <w:r>
              <w:rPr>
                <w:spacing w:val="3"/>
              </w:rPr>
              <w:t>物、旅客行</w:t>
            </w:r>
            <w:r>
              <w:rPr>
                <w:spacing w:val="1"/>
              </w:rPr>
              <w:t xml:space="preserve"> </w:t>
            </w:r>
            <w:r>
              <w:rPr>
                <w:spacing w:val="3"/>
              </w:rPr>
              <w:t>为的行政强</w:t>
            </w:r>
            <w:r>
              <w:rPr>
                <w:spacing w:val="1"/>
              </w:rPr>
              <w:t xml:space="preserve"> </w:t>
            </w:r>
            <w:r>
              <w:t>制</w:t>
            </w:r>
          </w:p>
        </w:tc>
        <w:tc>
          <w:tcPr>
            <w:tcW w:w="1136" w:type="dxa"/>
            <w:vAlign w:val="top"/>
          </w:tcPr>
          <w:p w14:paraId="1C7B8C7E">
            <w:pPr>
              <w:spacing w:line="255" w:lineRule="auto"/>
              <w:rPr>
                <w:rFonts w:ascii="Arial"/>
                <w:sz w:val="21"/>
              </w:rPr>
            </w:pPr>
          </w:p>
          <w:p w14:paraId="3DE093F0">
            <w:pPr>
              <w:spacing w:line="255" w:lineRule="auto"/>
              <w:rPr>
                <w:rFonts w:ascii="Arial"/>
                <w:sz w:val="21"/>
              </w:rPr>
            </w:pPr>
          </w:p>
          <w:p w14:paraId="085DE6D9">
            <w:pPr>
              <w:spacing w:line="255" w:lineRule="auto"/>
              <w:rPr>
                <w:rFonts w:ascii="Arial"/>
                <w:sz w:val="21"/>
              </w:rPr>
            </w:pPr>
          </w:p>
          <w:p w14:paraId="233ECE62">
            <w:pPr>
              <w:spacing w:line="255" w:lineRule="auto"/>
              <w:rPr>
                <w:rFonts w:ascii="Arial"/>
                <w:sz w:val="21"/>
              </w:rPr>
            </w:pPr>
          </w:p>
          <w:p w14:paraId="1E9AC71F">
            <w:pPr>
              <w:spacing w:line="256" w:lineRule="auto"/>
              <w:rPr>
                <w:rFonts w:ascii="Arial"/>
                <w:sz w:val="21"/>
              </w:rPr>
            </w:pPr>
          </w:p>
          <w:p w14:paraId="46AEC59C">
            <w:pPr>
              <w:spacing w:line="256" w:lineRule="auto"/>
              <w:rPr>
                <w:rFonts w:ascii="Arial"/>
                <w:sz w:val="21"/>
              </w:rPr>
            </w:pPr>
          </w:p>
          <w:p w14:paraId="16FE259F">
            <w:pPr>
              <w:spacing w:line="256" w:lineRule="auto"/>
              <w:rPr>
                <w:rFonts w:ascii="Arial"/>
                <w:sz w:val="21"/>
              </w:rPr>
            </w:pPr>
          </w:p>
          <w:p w14:paraId="3BECA67E">
            <w:pPr>
              <w:pStyle w:val="8"/>
              <w:spacing w:before="59" w:line="220" w:lineRule="auto"/>
              <w:ind w:left="114"/>
            </w:pPr>
            <w:r>
              <w:rPr>
                <w:spacing w:val="-7"/>
              </w:rPr>
              <w:t>行政强制</w:t>
            </w:r>
          </w:p>
        </w:tc>
        <w:tc>
          <w:tcPr>
            <w:tcW w:w="8806" w:type="dxa"/>
            <w:vAlign w:val="top"/>
          </w:tcPr>
          <w:p w14:paraId="32E04A44">
            <w:pPr>
              <w:pStyle w:val="8"/>
              <w:spacing w:before="178" w:line="219" w:lineRule="auto"/>
              <w:ind w:left="479"/>
            </w:pPr>
            <w:r>
              <w:rPr>
                <w:b/>
                <w:bCs/>
                <w:spacing w:val="-5"/>
              </w:rPr>
              <w:t>1.《中华人民共和国行政强制法》</w:t>
            </w:r>
          </w:p>
          <w:p w14:paraId="0F29FE67">
            <w:pPr>
              <w:pStyle w:val="8"/>
              <w:spacing w:before="27" w:line="237" w:lineRule="auto"/>
              <w:ind w:left="112" w:right="59" w:firstLine="353"/>
              <w:jc w:val="both"/>
            </w:pPr>
            <w:r>
              <w:rPr>
                <w:spacing w:val="-4"/>
              </w:rPr>
              <w:t>第五十条  行政机关依法作出要求当事人履行排除妨碍、恢复原状等义务的行政决定，当事人逾期不履行，</w:t>
            </w:r>
            <w:r>
              <w:rPr>
                <w:spacing w:val="6"/>
              </w:rPr>
              <w:t xml:space="preserve"> </w:t>
            </w:r>
            <w:r>
              <w:rPr>
                <w:spacing w:val="-6"/>
              </w:rPr>
              <w:t>经催 告仍不履行，其后果已经或者将危害交通安全、造成环境污染或者破坏自然资源的，行政机关可以代履行，</w:t>
            </w:r>
            <w:r>
              <w:rPr>
                <w:spacing w:val="18"/>
              </w:rPr>
              <w:t xml:space="preserve"> </w:t>
            </w:r>
            <w:r>
              <w:rPr>
                <w:spacing w:val="-3"/>
              </w:rPr>
              <w:t>或者委托没有利害关系的第三人代履行。</w:t>
            </w:r>
          </w:p>
          <w:p w14:paraId="7BA9D152">
            <w:pPr>
              <w:pStyle w:val="8"/>
              <w:spacing w:before="26" w:line="219" w:lineRule="auto"/>
              <w:ind w:left="467"/>
            </w:pPr>
            <w:r>
              <w:rPr>
                <w:b/>
                <w:bCs/>
                <w:spacing w:val="-4"/>
              </w:rPr>
              <w:t>2.《中华人民共和国内河交通安全管理条例》</w:t>
            </w:r>
          </w:p>
          <w:p w14:paraId="13416D65">
            <w:pPr>
              <w:pStyle w:val="8"/>
              <w:spacing w:before="25" w:line="233" w:lineRule="auto"/>
              <w:ind w:left="111" w:right="153" w:firstLine="354"/>
            </w:pPr>
            <w:r>
              <w:rPr>
                <w:spacing w:val="-2"/>
              </w:rPr>
              <w:t>第二十一条第一款  从事货物或者旅客运输的船舶，必须符合船舶强度、稳性、吃水、消防</w:t>
            </w:r>
            <w:r>
              <w:rPr>
                <w:spacing w:val="-3"/>
              </w:rPr>
              <w:t>和救生等安全</w:t>
            </w:r>
            <w:r>
              <w:t xml:space="preserve"> </w:t>
            </w:r>
            <w:r>
              <w:rPr>
                <w:spacing w:val="-2"/>
              </w:rPr>
              <w:t>技术要求和国务院交通主管部门规定的载货或者</w:t>
            </w:r>
            <w:r>
              <w:rPr>
                <w:spacing w:val="-3"/>
              </w:rPr>
              <w:t>载客条件。</w:t>
            </w:r>
          </w:p>
          <w:p w14:paraId="531ABBD8">
            <w:pPr>
              <w:pStyle w:val="8"/>
              <w:spacing w:before="27" w:line="238" w:lineRule="auto"/>
              <w:ind w:left="109" w:right="151" w:firstLine="355"/>
            </w:pPr>
            <w:r>
              <w:rPr>
                <w:spacing w:val="-2"/>
              </w:rPr>
              <w:t>第六十一条  海事管理机构依照本条例实施监督检查时，可以根据情况对违反本条例有关规</w:t>
            </w:r>
            <w:r>
              <w:rPr>
                <w:spacing w:val="-3"/>
              </w:rPr>
              <w:t>定的船舶，采</w:t>
            </w:r>
            <w:r>
              <w:t xml:space="preserve"> </w:t>
            </w:r>
            <w:r>
              <w:rPr>
                <w:spacing w:val="-2"/>
              </w:rPr>
              <w:t>取责令临时停航、驶向指定地点，禁止进港、离港，强制卸载、拆除动力装置、暂扣船舶等保障</w:t>
            </w:r>
            <w:r>
              <w:rPr>
                <w:spacing w:val="-3"/>
              </w:rPr>
              <w:t>通航安全的措</w:t>
            </w:r>
            <w:r>
              <w:t xml:space="preserve"> </w:t>
            </w:r>
            <w:r>
              <w:rPr>
                <w:spacing w:val="-4"/>
              </w:rPr>
              <w:t>施。</w:t>
            </w:r>
          </w:p>
          <w:p w14:paraId="08857E46">
            <w:pPr>
              <w:pStyle w:val="8"/>
              <w:spacing w:before="21" w:line="241" w:lineRule="auto"/>
              <w:ind w:left="110" w:right="103" w:firstLine="355"/>
              <w:jc w:val="both"/>
            </w:pPr>
            <w:r>
              <w:rPr>
                <w:spacing w:val="-2"/>
              </w:rPr>
              <w:t>第八十二条  违反本条例的规定，船舶不具备安全技术条件从事货物、旅客运输，或者超载</w:t>
            </w:r>
            <w:r>
              <w:rPr>
                <w:spacing w:val="-3"/>
              </w:rPr>
              <w:t>运输货物、旅</w:t>
            </w:r>
            <w:r>
              <w:t xml:space="preserve"> </w:t>
            </w:r>
            <w:r>
              <w:rPr>
                <w:spacing w:val="-3"/>
              </w:rPr>
              <w:t>客的，由海事管理机构责令改正，处2万元以上10万元以下的罚款，可以对责任船员给予暂扣适任证书或者其他</w:t>
            </w:r>
            <w:r>
              <w:rPr>
                <w:spacing w:val="6"/>
              </w:rPr>
              <w:t xml:space="preserve"> </w:t>
            </w:r>
            <w:r>
              <w:rPr>
                <w:spacing w:val="-3"/>
              </w:rPr>
              <w:t>适任证件6个月以上直至吊销适任证书或者其他适任证件的处罚，并对超载运输的船舶强制卸载，因卸载而发生</w:t>
            </w:r>
            <w:r>
              <w:rPr>
                <w:spacing w:val="3"/>
              </w:rPr>
              <w:t xml:space="preserve"> </w:t>
            </w:r>
            <w:r>
              <w:rPr>
                <w:spacing w:val="-3"/>
              </w:rPr>
              <w:t>的卸货费、存货 费、旅客安置费和船舶监管费由船舶所有人或者经营人承担；发生重大伤亡事故或者造成其他</w:t>
            </w:r>
            <w:r>
              <w:rPr>
                <w:spacing w:val="3"/>
              </w:rPr>
              <w:t xml:space="preserve"> </w:t>
            </w:r>
            <w:r>
              <w:rPr>
                <w:spacing w:val="-2"/>
              </w:rPr>
              <w:t>严重后果的，依照刑法关于重大劳动安全事故罪或者其他罪的规定，依法追究</w:t>
            </w:r>
            <w:r>
              <w:rPr>
                <w:spacing w:val="-3"/>
              </w:rPr>
              <w:t>刑事责任。</w:t>
            </w:r>
          </w:p>
        </w:tc>
        <w:tc>
          <w:tcPr>
            <w:tcW w:w="1043" w:type="dxa"/>
            <w:vAlign w:val="top"/>
          </w:tcPr>
          <w:p w14:paraId="27C6C2F7">
            <w:pPr>
              <w:spacing w:line="278" w:lineRule="auto"/>
              <w:rPr>
                <w:rFonts w:ascii="Arial"/>
                <w:sz w:val="21"/>
              </w:rPr>
            </w:pPr>
          </w:p>
          <w:p w14:paraId="3EE24C1A">
            <w:pPr>
              <w:spacing w:line="278" w:lineRule="auto"/>
              <w:rPr>
                <w:rFonts w:ascii="Arial"/>
                <w:sz w:val="21"/>
              </w:rPr>
            </w:pPr>
          </w:p>
          <w:p w14:paraId="3EFD4BD3">
            <w:pPr>
              <w:spacing w:line="278" w:lineRule="auto"/>
              <w:rPr>
                <w:rFonts w:ascii="Arial"/>
                <w:sz w:val="21"/>
              </w:rPr>
            </w:pPr>
          </w:p>
          <w:p w14:paraId="63BA6339">
            <w:pPr>
              <w:spacing w:line="278" w:lineRule="auto"/>
              <w:rPr>
                <w:rFonts w:ascii="Arial"/>
                <w:sz w:val="21"/>
              </w:rPr>
            </w:pPr>
          </w:p>
          <w:p w14:paraId="7C988D67">
            <w:pPr>
              <w:spacing w:line="278" w:lineRule="auto"/>
              <w:rPr>
                <w:rFonts w:ascii="Arial"/>
                <w:sz w:val="21"/>
              </w:rPr>
            </w:pPr>
          </w:p>
          <w:p w14:paraId="36858EA6">
            <w:pPr>
              <w:spacing w:line="279" w:lineRule="auto"/>
              <w:rPr>
                <w:rFonts w:ascii="Arial"/>
                <w:sz w:val="21"/>
              </w:rPr>
            </w:pPr>
          </w:p>
          <w:p w14:paraId="7292B3F4">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6A57F77A">
            <w:pPr>
              <w:spacing w:line="255" w:lineRule="auto"/>
              <w:rPr>
                <w:rFonts w:ascii="Arial"/>
                <w:sz w:val="21"/>
              </w:rPr>
            </w:pPr>
          </w:p>
          <w:p w14:paraId="05EA857B">
            <w:pPr>
              <w:spacing w:line="255" w:lineRule="auto"/>
              <w:rPr>
                <w:rFonts w:ascii="Arial"/>
                <w:sz w:val="21"/>
              </w:rPr>
            </w:pPr>
          </w:p>
          <w:p w14:paraId="6BEE44DB">
            <w:pPr>
              <w:spacing w:line="255" w:lineRule="auto"/>
              <w:rPr>
                <w:rFonts w:ascii="Arial"/>
                <w:sz w:val="21"/>
              </w:rPr>
            </w:pPr>
          </w:p>
          <w:p w14:paraId="296FDE0E">
            <w:pPr>
              <w:spacing w:line="256" w:lineRule="auto"/>
              <w:rPr>
                <w:rFonts w:ascii="Arial"/>
                <w:sz w:val="21"/>
              </w:rPr>
            </w:pPr>
          </w:p>
          <w:p w14:paraId="5E6E9F50">
            <w:pPr>
              <w:spacing w:line="256" w:lineRule="auto"/>
              <w:rPr>
                <w:rFonts w:ascii="Arial"/>
                <w:sz w:val="21"/>
              </w:rPr>
            </w:pPr>
          </w:p>
          <w:p w14:paraId="4F6DFD7D">
            <w:pPr>
              <w:spacing w:line="256" w:lineRule="auto"/>
              <w:rPr>
                <w:rFonts w:ascii="Arial"/>
                <w:sz w:val="21"/>
              </w:rPr>
            </w:pPr>
          </w:p>
          <w:p w14:paraId="50BD2AE9">
            <w:pPr>
              <w:spacing w:line="256" w:lineRule="auto"/>
              <w:rPr>
                <w:rFonts w:ascii="Arial"/>
                <w:sz w:val="21"/>
              </w:rPr>
            </w:pPr>
          </w:p>
          <w:p w14:paraId="67A09FB3">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7EE0D20E">
            <w:pPr>
              <w:spacing w:line="286" w:lineRule="auto"/>
              <w:rPr>
                <w:rFonts w:ascii="Arial"/>
                <w:sz w:val="21"/>
              </w:rPr>
            </w:pPr>
          </w:p>
          <w:p w14:paraId="34E8ACE2">
            <w:pPr>
              <w:spacing w:line="286" w:lineRule="auto"/>
              <w:rPr>
                <w:rFonts w:ascii="Arial"/>
                <w:sz w:val="21"/>
              </w:rPr>
            </w:pPr>
          </w:p>
          <w:p w14:paraId="3A958D12">
            <w:pPr>
              <w:spacing w:line="286" w:lineRule="auto"/>
              <w:rPr>
                <w:rFonts w:ascii="Arial"/>
                <w:sz w:val="21"/>
              </w:rPr>
            </w:pPr>
          </w:p>
          <w:p w14:paraId="02D5B791">
            <w:pPr>
              <w:spacing w:line="287" w:lineRule="auto"/>
              <w:rPr>
                <w:rFonts w:ascii="Arial"/>
                <w:sz w:val="21"/>
              </w:rPr>
            </w:pPr>
          </w:p>
          <w:p w14:paraId="48136E9B">
            <w:pPr>
              <w:spacing w:line="287" w:lineRule="auto"/>
              <w:rPr>
                <w:rFonts w:ascii="Arial"/>
                <w:sz w:val="21"/>
              </w:rPr>
            </w:pPr>
          </w:p>
          <w:p w14:paraId="1817E07B">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3CD749FF">
      <w:pPr>
        <w:pStyle w:val="2"/>
      </w:pPr>
    </w:p>
    <w:p w14:paraId="197BD5F5">
      <w:pPr>
        <w:sectPr>
          <w:footerReference r:id="rId211" w:type="default"/>
          <w:pgSz w:w="16839" w:h="11906"/>
          <w:pgMar w:top="1012" w:right="788" w:bottom="966" w:left="787" w:header="0" w:footer="768" w:gutter="0"/>
          <w:cols w:space="720" w:num="1"/>
        </w:sectPr>
      </w:pPr>
    </w:p>
    <w:p w14:paraId="68AD8C5B">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37414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6F02A87E">
            <w:pPr>
              <w:pStyle w:val="8"/>
              <w:spacing w:before="267" w:line="221" w:lineRule="auto"/>
              <w:ind w:left="142"/>
            </w:pPr>
            <w:r>
              <w:rPr>
                <w:b/>
                <w:bCs/>
                <w:spacing w:val="-4"/>
              </w:rPr>
              <w:t>序号</w:t>
            </w:r>
          </w:p>
        </w:tc>
        <w:tc>
          <w:tcPr>
            <w:tcW w:w="1136" w:type="dxa"/>
            <w:vMerge w:val="restart"/>
            <w:tcBorders>
              <w:bottom w:val="nil"/>
            </w:tcBorders>
            <w:vAlign w:val="top"/>
          </w:tcPr>
          <w:p w14:paraId="2146602F">
            <w:pPr>
              <w:pStyle w:val="8"/>
              <w:spacing w:before="267" w:line="220" w:lineRule="auto"/>
              <w:ind w:left="208"/>
            </w:pPr>
            <w:r>
              <w:rPr>
                <w:b/>
                <w:bCs/>
                <w:spacing w:val="-4"/>
              </w:rPr>
              <w:t>事项名称</w:t>
            </w:r>
          </w:p>
        </w:tc>
        <w:tc>
          <w:tcPr>
            <w:tcW w:w="1136" w:type="dxa"/>
            <w:vMerge w:val="restart"/>
            <w:tcBorders>
              <w:bottom w:val="nil"/>
            </w:tcBorders>
            <w:vAlign w:val="top"/>
          </w:tcPr>
          <w:p w14:paraId="202EF28C">
            <w:pPr>
              <w:pStyle w:val="8"/>
              <w:spacing w:before="267" w:line="219" w:lineRule="auto"/>
              <w:ind w:left="210"/>
            </w:pPr>
            <w:r>
              <w:rPr>
                <w:b/>
                <w:bCs/>
                <w:spacing w:val="-4"/>
              </w:rPr>
              <w:t>职权类型</w:t>
            </w:r>
          </w:p>
        </w:tc>
        <w:tc>
          <w:tcPr>
            <w:tcW w:w="8806" w:type="dxa"/>
            <w:vMerge w:val="restart"/>
            <w:tcBorders>
              <w:bottom w:val="nil"/>
            </w:tcBorders>
            <w:vAlign w:val="top"/>
          </w:tcPr>
          <w:p w14:paraId="5B9F5224">
            <w:pPr>
              <w:pStyle w:val="8"/>
              <w:spacing w:before="267" w:line="219" w:lineRule="auto"/>
              <w:ind w:left="4050"/>
            </w:pPr>
            <w:r>
              <w:rPr>
                <w:b/>
                <w:bCs/>
                <w:spacing w:val="-5"/>
              </w:rPr>
              <w:t>实施依据</w:t>
            </w:r>
          </w:p>
        </w:tc>
        <w:tc>
          <w:tcPr>
            <w:tcW w:w="3538" w:type="dxa"/>
            <w:gridSpan w:val="3"/>
            <w:vAlign w:val="top"/>
          </w:tcPr>
          <w:p w14:paraId="6B55D018">
            <w:pPr>
              <w:pStyle w:val="8"/>
              <w:spacing w:before="92" w:line="220" w:lineRule="auto"/>
              <w:ind w:left="1415"/>
            </w:pPr>
            <w:r>
              <w:rPr>
                <w:b/>
                <w:bCs/>
                <w:spacing w:val="-5"/>
              </w:rPr>
              <w:t>实施主体</w:t>
            </w:r>
          </w:p>
        </w:tc>
      </w:tr>
      <w:tr w14:paraId="2257F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64D124BC">
            <w:pPr>
              <w:rPr>
                <w:rFonts w:ascii="Arial"/>
                <w:sz w:val="21"/>
              </w:rPr>
            </w:pPr>
          </w:p>
        </w:tc>
        <w:tc>
          <w:tcPr>
            <w:tcW w:w="1136" w:type="dxa"/>
            <w:vMerge w:val="continue"/>
            <w:tcBorders>
              <w:top w:val="nil"/>
            </w:tcBorders>
            <w:vAlign w:val="top"/>
          </w:tcPr>
          <w:p w14:paraId="1848D40F">
            <w:pPr>
              <w:rPr>
                <w:rFonts w:ascii="Arial"/>
                <w:sz w:val="21"/>
              </w:rPr>
            </w:pPr>
          </w:p>
        </w:tc>
        <w:tc>
          <w:tcPr>
            <w:tcW w:w="1136" w:type="dxa"/>
            <w:vMerge w:val="continue"/>
            <w:tcBorders>
              <w:top w:val="nil"/>
            </w:tcBorders>
            <w:vAlign w:val="top"/>
          </w:tcPr>
          <w:p w14:paraId="1FD4350D">
            <w:pPr>
              <w:rPr>
                <w:rFonts w:ascii="Arial"/>
                <w:sz w:val="21"/>
              </w:rPr>
            </w:pPr>
          </w:p>
        </w:tc>
        <w:tc>
          <w:tcPr>
            <w:tcW w:w="8806" w:type="dxa"/>
            <w:vMerge w:val="continue"/>
            <w:tcBorders>
              <w:top w:val="nil"/>
            </w:tcBorders>
            <w:vAlign w:val="top"/>
          </w:tcPr>
          <w:p w14:paraId="325EEE52">
            <w:pPr>
              <w:rPr>
                <w:rFonts w:ascii="Arial"/>
                <w:sz w:val="21"/>
              </w:rPr>
            </w:pPr>
          </w:p>
        </w:tc>
        <w:tc>
          <w:tcPr>
            <w:tcW w:w="1043" w:type="dxa"/>
            <w:vAlign w:val="top"/>
          </w:tcPr>
          <w:p w14:paraId="6C158FD5">
            <w:pPr>
              <w:pStyle w:val="8"/>
              <w:spacing w:before="88" w:line="219" w:lineRule="auto"/>
              <w:ind w:left="171"/>
            </w:pPr>
            <w:r>
              <w:rPr>
                <w:b/>
                <w:bCs/>
                <w:spacing w:val="-5"/>
              </w:rPr>
              <w:t>责任部门</w:t>
            </w:r>
          </w:p>
        </w:tc>
        <w:tc>
          <w:tcPr>
            <w:tcW w:w="1448" w:type="dxa"/>
            <w:vAlign w:val="top"/>
          </w:tcPr>
          <w:p w14:paraId="1D67709C">
            <w:pPr>
              <w:pStyle w:val="8"/>
              <w:spacing w:before="88" w:line="219" w:lineRule="auto"/>
              <w:ind w:left="187"/>
            </w:pPr>
            <w:r>
              <w:rPr>
                <w:b/>
                <w:bCs/>
                <w:spacing w:val="-3"/>
              </w:rPr>
              <w:t>第一责任层级</w:t>
            </w:r>
          </w:p>
        </w:tc>
        <w:tc>
          <w:tcPr>
            <w:tcW w:w="1047" w:type="dxa"/>
            <w:vAlign w:val="top"/>
          </w:tcPr>
          <w:p w14:paraId="0F486C72">
            <w:pPr>
              <w:pStyle w:val="8"/>
              <w:spacing w:before="88" w:line="219" w:lineRule="auto"/>
              <w:ind w:left="165"/>
            </w:pPr>
            <w:r>
              <w:rPr>
                <w:b/>
                <w:bCs/>
                <w:spacing w:val="-4"/>
              </w:rPr>
              <w:t>承办机构</w:t>
            </w:r>
          </w:p>
        </w:tc>
      </w:tr>
      <w:tr w14:paraId="7E730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3" w:hRule="atLeast"/>
        </w:trPr>
        <w:tc>
          <w:tcPr>
            <w:tcW w:w="641" w:type="dxa"/>
            <w:vAlign w:val="top"/>
          </w:tcPr>
          <w:p w14:paraId="2AA426A0">
            <w:pPr>
              <w:spacing w:line="241" w:lineRule="auto"/>
              <w:rPr>
                <w:rFonts w:ascii="Arial"/>
                <w:sz w:val="21"/>
              </w:rPr>
            </w:pPr>
          </w:p>
          <w:p w14:paraId="71EE3580">
            <w:pPr>
              <w:spacing w:line="241" w:lineRule="auto"/>
              <w:rPr>
                <w:rFonts w:ascii="Arial"/>
                <w:sz w:val="21"/>
              </w:rPr>
            </w:pPr>
          </w:p>
          <w:p w14:paraId="1E09BA81">
            <w:pPr>
              <w:spacing w:line="241" w:lineRule="auto"/>
              <w:rPr>
                <w:rFonts w:ascii="Arial"/>
                <w:sz w:val="21"/>
              </w:rPr>
            </w:pPr>
          </w:p>
          <w:p w14:paraId="614DDC7C">
            <w:pPr>
              <w:spacing w:line="241" w:lineRule="auto"/>
              <w:rPr>
                <w:rFonts w:ascii="Arial"/>
                <w:sz w:val="21"/>
              </w:rPr>
            </w:pPr>
          </w:p>
          <w:p w14:paraId="75227C4E">
            <w:pPr>
              <w:spacing w:line="241" w:lineRule="auto"/>
              <w:rPr>
                <w:rFonts w:ascii="Arial"/>
                <w:sz w:val="21"/>
              </w:rPr>
            </w:pPr>
          </w:p>
          <w:p w14:paraId="3F042A40">
            <w:pPr>
              <w:spacing w:line="241" w:lineRule="auto"/>
              <w:rPr>
                <w:rFonts w:ascii="Arial"/>
                <w:sz w:val="21"/>
              </w:rPr>
            </w:pPr>
          </w:p>
          <w:p w14:paraId="740CD0BA">
            <w:pPr>
              <w:spacing w:line="241" w:lineRule="auto"/>
              <w:rPr>
                <w:rFonts w:ascii="Arial"/>
                <w:sz w:val="21"/>
              </w:rPr>
            </w:pPr>
          </w:p>
          <w:p w14:paraId="24925836">
            <w:pPr>
              <w:spacing w:line="241" w:lineRule="auto"/>
              <w:rPr>
                <w:rFonts w:ascii="Arial"/>
                <w:sz w:val="21"/>
              </w:rPr>
            </w:pPr>
          </w:p>
          <w:p w14:paraId="4EF79572">
            <w:pPr>
              <w:spacing w:line="241" w:lineRule="auto"/>
              <w:rPr>
                <w:rFonts w:ascii="Arial"/>
                <w:sz w:val="21"/>
              </w:rPr>
            </w:pPr>
          </w:p>
          <w:p w14:paraId="72A501B2">
            <w:pPr>
              <w:spacing w:line="241" w:lineRule="auto"/>
              <w:rPr>
                <w:rFonts w:ascii="Arial"/>
                <w:sz w:val="21"/>
              </w:rPr>
            </w:pPr>
          </w:p>
          <w:p w14:paraId="35F62F1C">
            <w:pPr>
              <w:spacing w:line="241" w:lineRule="auto"/>
              <w:rPr>
                <w:rFonts w:ascii="Arial"/>
                <w:sz w:val="21"/>
              </w:rPr>
            </w:pPr>
          </w:p>
          <w:p w14:paraId="38813863">
            <w:pPr>
              <w:spacing w:line="241" w:lineRule="auto"/>
              <w:rPr>
                <w:rFonts w:ascii="Arial"/>
                <w:sz w:val="21"/>
              </w:rPr>
            </w:pPr>
          </w:p>
          <w:p w14:paraId="5887C17F">
            <w:pPr>
              <w:spacing w:line="241" w:lineRule="auto"/>
              <w:rPr>
                <w:rFonts w:ascii="Arial"/>
                <w:sz w:val="21"/>
              </w:rPr>
            </w:pPr>
          </w:p>
          <w:p w14:paraId="35DE3D21">
            <w:pPr>
              <w:spacing w:line="241" w:lineRule="auto"/>
              <w:rPr>
                <w:rFonts w:ascii="Arial"/>
                <w:sz w:val="21"/>
              </w:rPr>
            </w:pPr>
          </w:p>
          <w:p w14:paraId="6713D1F0">
            <w:pPr>
              <w:spacing w:line="241" w:lineRule="auto"/>
              <w:rPr>
                <w:rFonts w:ascii="Arial"/>
                <w:sz w:val="21"/>
              </w:rPr>
            </w:pPr>
          </w:p>
          <w:p w14:paraId="68F5128D">
            <w:pPr>
              <w:spacing w:line="242" w:lineRule="auto"/>
              <w:rPr>
                <w:rFonts w:ascii="Arial"/>
                <w:sz w:val="21"/>
              </w:rPr>
            </w:pPr>
          </w:p>
          <w:p w14:paraId="2A1A1BF9">
            <w:pPr>
              <w:spacing w:line="242" w:lineRule="auto"/>
              <w:rPr>
                <w:rFonts w:ascii="Arial"/>
                <w:sz w:val="21"/>
              </w:rPr>
            </w:pPr>
          </w:p>
          <w:p w14:paraId="2C1092C1">
            <w:pPr>
              <w:pStyle w:val="8"/>
              <w:spacing w:before="58" w:line="183" w:lineRule="auto"/>
              <w:ind w:left="235"/>
            </w:pPr>
            <w:r>
              <w:rPr>
                <w:spacing w:val="-4"/>
              </w:rPr>
              <w:t>98</w:t>
            </w:r>
          </w:p>
        </w:tc>
        <w:tc>
          <w:tcPr>
            <w:tcW w:w="1136" w:type="dxa"/>
            <w:vAlign w:val="top"/>
          </w:tcPr>
          <w:p w14:paraId="09B383B5">
            <w:pPr>
              <w:spacing w:line="261" w:lineRule="auto"/>
              <w:rPr>
                <w:rFonts w:ascii="Arial"/>
                <w:sz w:val="21"/>
              </w:rPr>
            </w:pPr>
          </w:p>
          <w:p w14:paraId="0623EF96">
            <w:pPr>
              <w:spacing w:line="261" w:lineRule="auto"/>
              <w:rPr>
                <w:rFonts w:ascii="Arial"/>
                <w:sz w:val="21"/>
              </w:rPr>
            </w:pPr>
          </w:p>
          <w:p w14:paraId="73E49B0E">
            <w:pPr>
              <w:spacing w:line="261" w:lineRule="auto"/>
              <w:rPr>
                <w:rFonts w:ascii="Arial"/>
                <w:sz w:val="21"/>
              </w:rPr>
            </w:pPr>
          </w:p>
          <w:p w14:paraId="6597C14F">
            <w:pPr>
              <w:spacing w:line="261" w:lineRule="auto"/>
              <w:rPr>
                <w:rFonts w:ascii="Arial"/>
                <w:sz w:val="21"/>
              </w:rPr>
            </w:pPr>
          </w:p>
          <w:p w14:paraId="1A3D136B">
            <w:pPr>
              <w:spacing w:line="261" w:lineRule="auto"/>
              <w:rPr>
                <w:rFonts w:ascii="Arial"/>
                <w:sz w:val="21"/>
              </w:rPr>
            </w:pPr>
          </w:p>
          <w:p w14:paraId="25C00490">
            <w:pPr>
              <w:spacing w:line="261" w:lineRule="auto"/>
              <w:rPr>
                <w:rFonts w:ascii="Arial"/>
                <w:sz w:val="21"/>
              </w:rPr>
            </w:pPr>
          </w:p>
          <w:p w14:paraId="77CA5A03">
            <w:pPr>
              <w:spacing w:line="262" w:lineRule="auto"/>
              <w:rPr>
                <w:rFonts w:ascii="Arial"/>
                <w:sz w:val="21"/>
              </w:rPr>
            </w:pPr>
          </w:p>
          <w:p w14:paraId="42C399F5">
            <w:pPr>
              <w:spacing w:line="262" w:lineRule="auto"/>
              <w:rPr>
                <w:rFonts w:ascii="Arial"/>
                <w:sz w:val="21"/>
              </w:rPr>
            </w:pPr>
          </w:p>
          <w:p w14:paraId="4D393BF6">
            <w:pPr>
              <w:spacing w:line="262" w:lineRule="auto"/>
              <w:rPr>
                <w:rFonts w:ascii="Arial"/>
                <w:sz w:val="21"/>
              </w:rPr>
            </w:pPr>
          </w:p>
          <w:p w14:paraId="1058052B">
            <w:pPr>
              <w:spacing w:line="262" w:lineRule="auto"/>
              <w:rPr>
                <w:rFonts w:ascii="Arial"/>
                <w:sz w:val="21"/>
              </w:rPr>
            </w:pPr>
          </w:p>
          <w:p w14:paraId="44417EC4">
            <w:pPr>
              <w:spacing w:line="262" w:lineRule="auto"/>
              <w:rPr>
                <w:rFonts w:ascii="Arial"/>
                <w:sz w:val="21"/>
              </w:rPr>
            </w:pPr>
          </w:p>
          <w:p w14:paraId="10E75256">
            <w:pPr>
              <w:pStyle w:val="8"/>
              <w:spacing w:before="58" w:line="244" w:lineRule="auto"/>
              <w:ind w:left="109" w:right="89"/>
              <w:jc w:val="both"/>
            </w:pPr>
            <w:r>
              <w:rPr>
                <w:spacing w:val="3"/>
              </w:rPr>
              <w:t>对船舶、浮</w:t>
            </w:r>
            <w:r>
              <w:rPr>
                <w:spacing w:val="1"/>
              </w:rPr>
              <w:t xml:space="preserve"> </w:t>
            </w:r>
            <w:r>
              <w:rPr>
                <w:spacing w:val="3"/>
              </w:rPr>
              <w:t>动设施未持</w:t>
            </w:r>
            <w:r>
              <w:rPr>
                <w:spacing w:val="1"/>
              </w:rPr>
              <w:t xml:space="preserve"> </w:t>
            </w:r>
            <w:r>
              <w:rPr>
                <w:spacing w:val="3"/>
              </w:rPr>
              <w:t>有合格的检</w:t>
            </w:r>
            <w:r>
              <w:rPr>
                <w:spacing w:val="1"/>
              </w:rPr>
              <w:t xml:space="preserve"> </w:t>
            </w:r>
            <w:r>
              <w:rPr>
                <w:spacing w:val="3"/>
              </w:rPr>
              <w:t>验证书、登</w:t>
            </w:r>
            <w:r>
              <w:rPr>
                <w:spacing w:val="1"/>
              </w:rPr>
              <w:t xml:space="preserve"> </w:t>
            </w:r>
            <w:r>
              <w:rPr>
                <w:spacing w:val="3"/>
              </w:rPr>
              <w:t>记证书或者</w:t>
            </w:r>
            <w:r>
              <w:rPr>
                <w:spacing w:val="1"/>
              </w:rPr>
              <w:t xml:space="preserve"> </w:t>
            </w:r>
            <w:r>
              <w:rPr>
                <w:spacing w:val="3"/>
              </w:rPr>
              <w:t>船舶未持有</w:t>
            </w:r>
            <w:r>
              <w:rPr>
                <w:spacing w:val="1"/>
              </w:rPr>
              <w:t xml:space="preserve"> </w:t>
            </w:r>
            <w:r>
              <w:rPr>
                <w:spacing w:val="6"/>
              </w:rPr>
              <w:t>必要的航行</w:t>
            </w:r>
            <w:r>
              <w:rPr>
                <w:spacing w:val="1"/>
              </w:rPr>
              <w:t xml:space="preserve"> </w:t>
            </w:r>
            <w:r>
              <w:rPr>
                <w:spacing w:val="3"/>
              </w:rPr>
              <w:t>资料，擅自</w:t>
            </w:r>
            <w:r>
              <w:rPr>
                <w:spacing w:val="1"/>
              </w:rPr>
              <w:t xml:space="preserve"> </w:t>
            </w:r>
            <w:r>
              <w:rPr>
                <w:spacing w:val="3"/>
              </w:rPr>
              <w:t>航行或者作</w:t>
            </w:r>
            <w:r>
              <w:rPr>
                <w:spacing w:val="1"/>
              </w:rPr>
              <w:t xml:space="preserve"> </w:t>
            </w:r>
            <w:r>
              <w:rPr>
                <w:spacing w:val="3"/>
              </w:rPr>
              <w:t>业行为的行</w:t>
            </w:r>
            <w:r>
              <w:rPr>
                <w:spacing w:val="1"/>
              </w:rPr>
              <w:t xml:space="preserve"> </w:t>
            </w:r>
            <w:r>
              <w:rPr>
                <w:spacing w:val="-4"/>
              </w:rPr>
              <w:t>政强制</w:t>
            </w:r>
          </w:p>
        </w:tc>
        <w:tc>
          <w:tcPr>
            <w:tcW w:w="1136" w:type="dxa"/>
            <w:vAlign w:val="top"/>
          </w:tcPr>
          <w:p w14:paraId="457A2FE1">
            <w:pPr>
              <w:spacing w:line="254" w:lineRule="auto"/>
              <w:rPr>
                <w:rFonts w:ascii="Arial"/>
                <w:sz w:val="21"/>
              </w:rPr>
            </w:pPr>
          </w:p>
          <w:p w14:paraId="71D87BAF">
            <w:pPr>
              <w:spacing w:line="254" w:lineRule="auto"/>
              <w:rPr>
                <w:rFonts w:ascii="Arial"/>
                <w:sz w:val="21"/>
              </w:rPr>
            </w:pPr>
          </w:p>
          <w:p w14:paraId="09065314">
            <w:pPr>
              <w:spacing w:line="254" w:lineRule="auto"/>
              <w:rPr>
                <w:rFonts w:ascii="Arial"/>
                <w:sz w:val="21"/>
              </w:rPr>
            </w:pPr>
          </w:p>
          <w:p w14:paraId="150FE087">
            <w:pPr>
              <w:spacing w:line="254" w:lineRule="auto"/>
              <w:rPr>
                <w:rFonts w:ascii="Arial"/>
                <w:sz w:val="21"/>
              </w:rPr>
            </w:pPr>
          </w:p>
          <w:p w14:paraId="60034513">
            <w:pPr>
              <w:spacing w:line="254" w:lineRule="auto"/>
              <w:rPr>
                <w:rFonts w:ascii="Arial"/>
                <w:sz w:val="21"/>
              </w:rPr>
            </w:pPr>
          </w:p>
          <w:p w14:paraId="5ED36BBC">
            <w:pPr>
              <w:spacing w:line="254" w:lineRule="auto"/>
              <w:rPr>
                <w:rFonts w:ascii="Arial"/>
                <w:sz w:val="21"/>
              </w:rPr>
            </w:pPr>
          </w:p>
          <w:p w14:paraId="666917B5">
            <w:pPr>
              <w:spacing w:line="254" w:lineRule="auto"/>
              <w:rPr>
                <w:rFonts w:ascii="Arial"/>
                <w:sz w:val="21"/>
              </w:rPr>
            </w:pPr>
          </w:p>
          <w:p w14:paraId="74B02439">
            <w:pPr>
              <w:spacing w:line="254" w:lineRule="auto"/>
              <w:rPr>
                <w:rFonts w:ascii="Arial"/>
                <w:sz w:val="21"/>
              </w:rPr>
            </w:pPr>
          </w:p>
          <w:p w14:paraId="7E00451F">
            <w:pPr>
              <w:spacing w:line="254" w:lineRule="auto"/>
              <w:rPr>
                <w:rFonts w:ascii="Arial"/>
                <w:sz w:val="21"/>
              </w:rPr>
            </w:pPr>
          </w:p>
          <w:p w14:paraId="16F5C1AC">
            <w:pPr>
              <w:spacing w:line="255" w:lineRule="auto"/>
              <w:rPr>
                <w:rFonts w:ascii="Arial"/>
                <w:sz w:val="21"/>
              </w:rPr>
            </w:pPr>
          </w:p>
          <w:p w14:paraId="13127BBC">
            <w:pPr>
              <w:spacing w:line="255" w:lineRule="auto"/>
              <w:rPr>
                <w:rFonts w:ascii="Arial"/>
                <w:sz w:val="21"/>
              </w:rPr>
            </w:pPr>
          </w:p>
          <w:p w14:paraId="227B59FE">
            <w:pPr>
              <w:spacing w:line="255" w:lineRule="auto"/>
              <w:rPr>
                <w:rFonts w:ascii="Arial"/>
                <w:sz w:val="21"/>
              </w:rPr>
            </w:pPr>
          </w:p>
          <w:p w14:paraId="0317C574">
            <w:pPr>
              <w:spacing w:line="255" w:lineRule="auto"/>
              <w:rPr>
                <w:rFonts w:ascii="Arial"/>
                <w:sz w:val="21"/>
              </w:rPr>
            </w:pPr>
          </w:p>
          <w:p w14:paraId="719B7FEF">
            <w:pPr>
              <w:spacing w:line="255" w:lineRule="auto"/>
              <w:rPr>
                <w:rFonts w:ascii="Arial"/>
                <w:sz w:val="21"/>
              </w:rPr>
            </w:pPr>
          </w:p>
          <w:p w14:paraId="45CB1BA5">
            <w:pPr>
              <w:spacing w:line="255" w:lineRule="auto"/>
              <w:rPr>
                <w:rFonts w:ascii="Arial"/>
                <w:sz w:val="21"/>
              </w:rPr>
            </w:pPr>
          </w:p>
          <w:p w14:paraId="36684894">
            <w:pPr>
              <w:spacing w:line="255" w:lineRule="auto"/>
              <w:rPr>
                <w:rFonts w:ascii="Arial"/>
                <w:sz w:val="21"/>
              </w:rPr>
            </w:pPr>
          </w:p>
          <w:p w14:paraId="17B76243">
            <w:pPr>
              <w:pStyle w:val="8"/>
              <w:spacing w:before="58" w:line="220" w:lineRule="auto"/>
              <w:ind w:left="114"/>
            </w:pPr>
            <w:r>
              <w:rPr>
                <w:spacing w:val="-7"/>
              </w:rPr>
              <w:t>行政强制</w:t>
            </w:r>
          </w:p>
        </w:tc>
        <w:tc>
          <w:tcPr>
            <w:tcW w:w="8806" w:type="dxa"/>
            <w:vAlign w:val="top"/>
          </w:tcPr>
          <w:p w14:paraId="00C3DC90">
            <w:pPr>
              <w:spacing w:line="245" w:lineRule="auto"/>
              <w:rPr>
                <w:rFonts w:ascii="Arial"/>
                <w:sz w:val="21"/>
              </w:rPr>
            </w:pPr>
          </w:p>
          <w:p w14:paraId="58144113">
            <w:pPr>
              <w:spacing w:line="245" w:lineRule="auto"/>
              <w:rPr>
                <w:rFonts w:ascii="Arial"/>
                <w:sz w:val="21"/>
              </w:rPr>
            </w:pPr>
          </w:p>
          <w:p w14:paraId="7C667F8A">
            <w:pPr>
              <w:spacing w:line="246" w:lineRule="auto"/>
              <w:rPr>
                <w:rFonts w:ascii="Arial"/>
                <w:sz w:val="21"/>
              </w:rPr>
            </w:pPr>
          </w:p>
          <w:p w14:paraId="47817A0E">
            <w:pPr>
              <w:pStyle w:val="8"/>
              <w:spacing w:before="59" w:line="219" w:lineRule="auto"/>
              <w:ind w:left="479"/>
            </w:pPr>
            <w:r>
              <w:rPr>
                <w:b/>
                <w:bCs/>
                <w:spacing w:val="-4"/>
              </w:rPr>
              <w:t>1.《中华人民共和国内河交通安全管理条例》</w:t>
            </w:r>
          </w:p>
          <w:p w14:paraId="5D5DB32B">
            <w:pPr>
              <w:pStyle w:val="8"/>
              <w:spacing w:before="24" w:line="238" w:lineRule="auto"/>
              <w:ind w:left="111" w:right="103" w:firstLine="354"/>
              <w:jc w:val="both"/>
            </w:pPr>
            <w:r>
              <w:t>第六条  船舶具备下列条件，方可航行</w:t>
            </w:r>
            <w:r>
              <w:rPr>
                <w:spacing w:val="-14"/>
              </w:rPr>
              <w:t>：（</w:t>
            </w:r>
            <w:r>
              <w:t>一）经海事管</w:t>
            </w:r>
            <w:r>
              <w:rPr>
                <w:spacing w:val="-1"/>
              </w:rPr>
              <w:t>理机构认可的船舶检验机构依法检验并持有合格</w:t>
            </w:r>
            <w:r>
              <w:t xml:space="preserve"> </w:t>
            </w:r>
            <w:r>
              <w:rPr>
                <w:spacing w:val="-1"/>
              </w:rPr>
              <w:t>的船舶 检验证书</w:t>
            </w:r>
            <w:r>
              <w:rPr>
                <w:spacing w:val="-25"/>
              </w:rPr>
              <w:t>；（</w:t>
            </w:r>
            <w:r>
              <w:rPr>
                <w:spacing w:val="-1"/>
              </w:rPr>
              <w:t>二）经海事管理机构依法登记并持有船舶登记证书</w:t>
            </w:r>
            <w:r>
              <w:rPr>
                <w:spacing w:val="-25"/>
              </w:rPr>
              <w:t>；（</w:t>
            </w:r>
            <w:r>
              <w:rPr>
                <w:spacing w:val="-1"/>
              </w:rPr>
              <w:t>三）配备符合国务院交通主管部门</w:t>
            </w:r>
            <w:r>
              <w:t xml:space="preserve"> </w:t>
            </w:r>
            <w:r>
              <w:rPr>
                <w:spacing w:val="-1"/>
              </w:rPr>
              <w:t>规定的船员</w:t>
            </w:r>
            <w:r>
              <w:rPr>
                <w:spacing w:val="-13"/>
              </w:rPr>
              <w:t>；（</w:t>
            </w:r>
            <w:r>
              <w:rPr>
                <w:spacing w:val="-1"/>
              </w:rPr>
              <w:t>四）配备必要的航行资料。</w:t>
            </w:r>
          </w:p>
          <w:p w14:paraId="5E405DA2">
            <w:pPr>
              <w:pStyle w:val="8"/>
              <w:spacing w:before="26" w:line="237" w:lineRule="auto"/>
              <w:ind w:left="109" w:right="103" w:firstLine="355"/>
              <w:jc w:val="both"/>
            </w:pPr>
            <w:r>
              <w:rPr>
                <w:spacing w:val="-1"/>
              </w:rPr>
              <w:t>第七条  浮动设施具备下列条件，方可从事有关活动</w:t>
            </w:r>
            <w:r>
              <w:rPr>
                <w:spacing w:val="-2"/>
              </w:rPr>
              <w:t>：（</w:t>
            </w:r>
            <w:r>
              <w:rPr>
                <w:spacing w:val="-1"/>
              </w:rPr>
              <w:t>一）经海事管理机构认可的船舶检验机构依法检</w:t>
            </w:r>
            <w:r>
              <w:t xml:space="preserve"> </w:t>
            </w:r>
            <w:r>
              <w:rPr>
                <w:spacing w:val="-1"/>
              </w:rPr>
              <w:t>验并持有合格的检验证书</w:t>
            </w:r>
            <w:r>
              <w:rPr>
                <w:spacing w:val="-2"/>
              </w:rPr>
              <w:t>；（</w:t>
            </w:r>
            <w:r>
              <w:rPr>
                <w:spacing w:val="-1"/>
              </w:rPr>
              <w:t>二）经海事管理机构依法登记并持有登记证书</w:t>
            </w:r>
            <w:r>
              <w:rPr>
                <w:spacing w:val="-2"/>
              </w:rPr>
              <w:t>；（</w:t>
            </w:r>
            <w:r>
              <w:rPr>
                <w:spacing w:val="-1"/>
              </w:rPr>
              <w:t>三）配备符合国务院交通</w:t>
            </w:r>
            <w:r>
              <w:rPr>
                <w:spacing w:val="-2"/>
              </w:rPr>
              <w:t>主管</w:t>
            </w:r>
            <w:r>
              <w:t xml:space="preserve"> </w:t>
            </w:r>
            <w:r>
              <w:rPr>
                <w:spacing w:val="-3"/>
              </w:rPr>
              <w:t>部门规定的掌握水上交通安全技能的船员。</w:t>
            </w:r>
          </w:p>
          <w:p w14:paraId="64269F5B">
            <w:pPr>
              <w:pStyle w:val="8"/>
              <w:spacing w:before="26" w:line="237" w:lineRule="auto"/>
              <w:ind w:left="109" w:right="103" w:firstLine="355"/>
              <w:jc w:val="both"/>
            </w:pPr>
            <w:r>
              <w:rPr>
                <w:spacing w:val="-1"/>
              </w:rPr>
              <w:t>第六十四条  违反本条例的规定，船舶、浮动设施未持有合格的检验证书、登记证书或者船舶未持有</w:t>
            </w:r>
            <w:r>
              <w:rPr>
                <w:spacing w:val="-2"/>
              </w:rPr>
              <w:t>必要</w:t>
            </w:r>
            <w:r>
              <w:t xml:space="preserve"> </w:t>
            </w:r>
            <w:r>
              <w:rPr>
                <w:spacing w:val="-1"/>
              </w:rPr>
              <w:t>的航行资料，擅自航行或者作业的，由海事管理机构责令停止航行或者作业；拒不停止的，暂扣</w:t>
            </w:r>
            <w:r>
              <w:rPr>
                <w:spacing w:val="-2"/>
              </w:rPr>
              <w:t>船舶、浮动设</w:t>
            </w:r>
            <w:r>
              <w:t xml:space="preserve"> </w:t>
            </w:r>
            <w:r>
              <w:rPr>
                <w:spacing w:val="-3"/>
              </w:rPr>
              <w:t>施；情节严重的，予以没收。</w:t>
            </w:r>
          </w:p>
          <w:p w14:paraId="14E1B7A1">
            <w:pPr>
              <w:pStyle w:val="8"/>
              <w:spacing w:before="25" w:line="219" w:lineRule="auto"/>
              <w:ind w:left="467"/>
            </w:pPr>
            <w:r>
              <w:rPr>
                <w:b/>
                <w:bCs/>
                <w:spacing w:val="-3"/>
              </w:rPr>
              <w:t>2.《中华人民共和国内河海事行政处罚规定》（交通运输部令202</w:t>
            </w:r>
            <w:r>
              <w:rPr>
                <w:b/>
                <w:bCs/>
                <w:spacing w:val="-4"/>
              </w:rPr>
              <w:t>2年第28号）</w:t>
            </w:r>
          </w:p>
          <w:p w14:paraId="1DD643E9">
            <w:pPr>
              <w:pStyle w:val="8"/>
              <w:spacing w:before="28" w:line="237" w:lineRule="auto"/>
              <w:ind w:left="113" w:right="103" w:firstLine="352"/>
              <w:jc w:val="both"/>
            </w:pPr>
            <w:r>
              <w:rPr>
                <w:spacing w:val="-1"/>
              </w:rPr>
              <w:t>第八条  违反《内河交通安全管理条例》第六条第（一）项、第七条第（一）项的规定，船舶、浮动</w:t>
            </w:r>
            <w:r>
              <w:rPr>
                <w:spacing w:val="-2"/>
              </w:rPr>
              <w:t>设施</w:t>
            </w:r>
            <w:r>
              <w:t xml:space="preserve"> </w:t>
            </w:r>
            <w:r>
              <w:rPr>
                <w:spacing w:val="-1"/>
              </w:rPr>
              <w:t>未持有合格的检验证书擅自航行或者作业的，依照《内河交通安全管理条例》第六十四条</w:t>
            </w:r>
            <w:r>
              <w:rPr>
                <w:spacing w:val="-2"/>
              </w:rPr>
              <w:t>的规定，责令停止航</w:t>
            </w:r>
            <w:r>
              <w:t xml:space="preserve"> </w:t>
            </w:r>
            <w:r>
              <w:rPr>
                <w:spacing w:val="-2"/>
              </w:rPr>
              <w:t>行或者作业；拒不停止航行或者作业的，暂扣船舶、浮动设施；情节严</w:t>
            </w:r>
            <w:r>
              <w:rPr>
                <w:spacing w:val="-3"/>
              </w:rPr>
              <w:t>重的，予以没收。</w:t>
            </w:r>
          </w:p>
          <w:p w14:paraId="787E1753">
            <w:pPr>
              <w:pStyle w:val="8"/>
              <w:spacing w:before="25" w:line="219" w:lineRule="auto"/>
              <w:ind w:left="466"/>
            </w:pPr>
            <w:r>
              <w:rPr>
                <w:spacing w:val="-2"/>
              </w:rPr>
              <w:t>本条前款所称未持有合格的检验证书，包括</w:t>
            </w:r>
            <w:r>
              <w:rPr>
                <w:spacing w:val="-3"/>
              </w:rPr>
              <w:t>下列情形：</w:t>
            </w:r>
          </w:p>
          <w:p w14:paraId="7CE29588">
            <w:pPr>
              <w:pStyle w:val="8"/>
              <w:spacing w:before="27" w:line="219" w:lineRule="auto"/>
              <w:ind w:left="475"/>
            </w:pPr>
            <w:r>
              <w:rPr>
                <w:spacing w:val="-3"/>
              </w:rPr>
              <w:t>（一）没有取得相应的检验证书；</w:t>
            </w:r>
          </w:p>
          <w:p w14:paraId="64A60CF4">
            <w:pPr>
              <w:pStyle w:val="8"/>
              <w:spacing w:before="26" w:line="219" w:lineRule="auto"/>
              <w:ind w:left="475"/>
            </w:pPr>
            <w:r>
              <w:rPr>
                <w:spacing w:val="-3"/>
              </w:rPr>
              <w:t>（二）持有的检验证书属于伪造、变造、转让</w:t>
            </w:r>
            <w:r>
              <w:rPr>
                <w:spacing w:val="-4"/>
              </w:rPr>
              <w:t>、买卖或者租借的；</w:t>
            </w:r>
          </w:p>
          <w:p w14:paraId="286CAE6E">
            <w:pPr>
              <w:pStyle w:val="8"/>
              <w:spacing w:before="27" w:line="219" w:lineRule="auto"/>
              <w:ind w:left="475"/>
            </w:pPr>
            <w:r>
              <w:rPr>
                <w:spacing w:val="-4"/>
              </w:rPr>
              <w:t>（三）持失效的检验证书；</w:t>
            </w:r>
          </w:p>
          <w:p w14:paraId="4D302C3F">
            <w:pPr>
              <w:pStyle w:val="8"/>
              <w:spacing w:before="26" w:line="219" w:lineRule="auto"/>
              <w:ind w:left="475"/>
            </w:pPr>
            <w:r>
              <w:rPr>
                <w:spacing w:val="-3"/>
              </w:rPr>
              <w:t>（四）检验证书损毁、遗失但不按照规定补办；</w:t>
            </w:r>
          </w:p>
          <w:p w14:paraId="016E42AE">
            <w:pPr>
              <w:pStyle w:val="8"/>
              <w:spacing w:before="26" w:line="219" w:lineRule="auto"/>
              <w:ind w:left="475"/>
            </w:pPr>
            <w:r>
              <w:rPr>
                <w:spacing w:val="-3"/>
              </w:rPr>
              <w:t>（五）其他不符合法律、行政法规和规章规定情形的检验证书。</w:t>
            </w:r>
          </w:p>
          <w:p w14:paraId="2E9EC554">
            <w:pPr>
              <w:pStyle w:val="8"/>
              <w:spacing w:before="28" w:line="219" w:lineRule="auto"/>
              <w:ind w:left="469"/>
            </w:pPr>
            <w:r>
              <w:rPr>
                <w:b/>
                <w:bCs/>
                <w:spacing w:val="-4"/>
              </w:rPr>
              <w:t>3.《湖南省水上交通安全条例》</w:t>
            </w:r>
          </w:p>
          <w:p w14:paraId="1D5574C3">
            <w:pPr>
              <w:pStyle w:val="8"/>
              <w:spacing w:before="27" w:line="231" w:lineRule="auto"/>
              <w:ind w:left="110" w:right="103" w:firstLine="355"/>
            </w:pPr>
            <w:r>
              <w:rPr>
                <w:spacing w:val="-1"/>
              </w:rPr>
              <w:t>第十七条第一款  船舶航行、停泊、作业应当随船携带船舶国籍证书、船舶检验证书、船舶营运证件</w:t>
            </w:r>
            <w:r>
              <w:rPr>
                <w:spacing w:val="-2"/>
              </w:rPr>
              <w:t>和其</w:t>
            </w:r>
            <w:r>
              <w:t xml:space="preserve"> </w:t>
            </w:r>
            <w:r>
              <w:rPr>
                <w:spacing w:val="-3"/>
              </w:rPr>
              <w:t>他法定文书,配备必要的航行资料。</w:t>
            </w:r>
          </w:p>
          <w:p w14:paraId="2A7DACC5">
            <w:pPr>
              <w:pStyle w:val="8"/>
              <w:spacing w:before="28" w:line="219" w:lineRule="auto"/>
              <w:ind w:left="465"/>
            </w:pPr>
            <w:r>
              <w:rPr>
                <w:b/>
                <w:bCs/>
                <w:spacing w:val="-3"/>
              </w:rPr>
              <w:t>4.《游艇安全管理规定》（交通运输部令2023年第11</w:t>
            </w:r>
            <w:r>
              <w:rPr>
                <w:b/>
                <w:bCs/>
                <w:spacing w:val="-4"/>
              </w:rPr>
              <w:t>号）</w:t>
            </w:r>
          </w:p>
          <w:p w14:paraId="2022A004">
            <w:pPr>
              <w:pStyle w:val="8"/>
              <w:spacing w:before="26" w:line="219" w:lineRule="auto"/>
              <w:ind w:left="465"/>
            </w:pPr>
            <w:r>
              <w:rPr>
                <w:spacing w:val="-2"/>
              </w:rPr>
              <w:t>第十五条第一款  游艇应当随船携带有关船舶证书、文书及必备的航行资料，并做好航行等相关</w:t>
            </w:r>
            <w:r>
              <w:rPr>
                <w:spacing w:val="-3"/>
              </w:rPr>
              <w:t>记录。</w:t>
            </w:r>
          </w:p>
          <w:p w14:paraId="2E4BA51C">
            <w:pPr>
              <w:pStyle w:val="8"/>
              <w:spacing w:before="27" w:line="219" w:lineRule="auto"/>
              <w:ind w:left="465"/>
            </w:pPr>
            <w:r>
              <w:rPr>
                <w:spacing w:val="-2"/>
              </w:rPr>
              <w:t>第十五条第三款  游艇操作人员驾驶游艇时应当携带游艇操作人员适任</w:t>
            </w:r>
            <w:r>
              <w:rPr>
                <w:spacing w:val="-3"/>
              </w:rPr>
              <w:t>证书。</w:t>
            </w:r>
          </w:p>
          <w:p w14:paraId="6CD8EEDD">
            <w:pPr>
              <w:pStyle w:val="8"/>
              <w:spacing w:before="26" w:line="233" w:lineRule="auto"/>
              <w:ind w:left="112" w:right="103" w:firstLine="353"/>
            </w:pPr>
            <w:r>
              <w:rPr>
                <w:spacing w:val="-3"/>
              </w:rPr>
              <w:t>第三十七条  第二款 违反本规定，在内河航行的游艇未持有合格的检验证书、登记证书的，由海事管理机</w:t>
            </w:r>
            <w:r>
              <w:rPr>
                <w:spacing w:val="5"/>
              </w:rPr>
              <w:t xml:space="preserve"> </w:t>
            </w:r>
            <w:r>
              <w:rPr>
                <w:spacing w:val="-2"/>
              </w:rPr>
              <w:t>构责令其停止航行，拒不停止的，暂扣游艇；情节严重的</w:t>
            </w:r>
            <w:r>
              <w:rPr>
                <w:spacing w:val="-3"/>
              </w:rPr>
              <w:t>，予以没收。</w:t>
            </w:r>
          </w:p>
        </w:tc>
        <w:tc>
          <w:tcPr>
            <w:tcW w:w="1043" w:type="dxa"/>
            <w:vAlign w:val="top"/>
          </w:tcPr>
          <w:p w14:paraId="2DCEA2D0">
            <w:pPr>
              <w:spacing w:line="246" w:lineRule="auto"/>
              <w:rPr>
                <w:rFonts w:ascii="Arial"/>
                <w:sz w:val="21"/>
              </w:rPr>
            </w:pPr>
          </w:p>
          <w:p w14:paraId="14C0610F">
            <w:pPr>
              <w:spacing w:line="247" w:lineRule="auto"/>
              <w:rPr>
                <w:rFonts w:ascii="Arial"/>
                <w:sz w:val="21"/>
              </w:rPr>
            </w:pPr>
          </w:p>
          <w:p w14:paraId="66DEA09D">
            <w:pPr>
              <w:spacing w:line="247" w:lineRule="auto"/>
              <w:rPr>
                <w:rFonts w:ascii="Arial"/>
                <w:sz w:val="21"/>
              </w:rPr>
            </w:pPr>
          </w:p>
          <w:p w14:paraId="443E1009">
            <w:pPr>
              <w:spacing w:line="247" w:lineRule="auto"/>
              <w:rPr>
                <w:rFonts w:ascii="Arial"/>
                <w:sz w:val="21"/>
              </w:rPr>
            </w:pPr>
          </w:p>
          <w:p w14:paraId="54210BD9">
            <w:pPr>
              <w:spacing w:line="247" w:lineRule="auto"/>
              <w:rPr>
                <w:rFonts w:ascii="Arial"/>
                <w:sz w:val="21"/>
              </w:rPr>
            </w:pPr>
          </w:p>
          <w:p w14:paraId="38C74F97">
            <w:pPr>
              <w:spacing w:line="247" w:lineRule="auto"/>
              <w:rPr>
                <w:rFonts w:ascii="Arial"/>
                <w:sz w:val="21"/>
              </w:rPr>
            </w:pPr>
          </w:p>
          <w:p w14:paraId="02DEC5B2">
            <w:pPr>
              <w:spacing w:line="247" w:lineRule="auto"/>
              <w:rPr>
                <w:rFonts w:ascii="Arial"/>
                <w:sz w:val="21"/>
              </w:rPr>
            </w:pPr>
          </w:p>
          <w:p w14:paraId="3A800CEF">
            <w:pPr>
              <w:spacing w:line="247" w:lineRule="auto"/>
              <w:rPr>
                <w:rFonts w:ascii="Arial"/>
                <w:sz w:val="21"/>
              </w:rPr>
            </w:pPr>
          </w:p>
          <w:p w14:paraId="52A3C166">
            <w:pPr>
              <w:spacing w:line="247" w:lineRule="auto"/>
              <w:rPr>
                <w:rFonts w:ascii="Arial"/>
                <w:sz w:val="21"/>
              </w:rPr>
            </w:pPr>
          </w:p>
          <w:p w14:paraId="5729A3FB">
            <w:pPr>
              <w:spacing w:line="247" w:lineRule="auto"/>
              <w:rPr>
                <w:rFonts w:ascii="Arial"/>
                <w:sz w:val="21"/>
              </w:rPr>
            </w:pPr>
          </w:p>
          <w:p w14:paraId="5653711C">
            <w:pPr>
              <w:spacing w:line="247" w:lineRule="auto"/>
              <w:rPr>
                <w:rFonts w:ascii="Arial"/>
                <w:sz w:val="21"/>
              </w:rPr>
            </w:pPr>
          </w:p>
          <w:p w14:paraId="11C8E6C2">
            <w:pPr>
              <w:spacing w:line="247" w:lineRule="auto"/>
              <w:rPr>
                <w:rFonts w:ascii="Arial"/>
                <w:sz w:val="21"/>
              </w:rPr>
            </w:pPr>
          </w:p>
          <w:p w14:paraId="4ECBDF68">
            <w:pPr>
              <w:spacing w:line="247" w:lineRule="auto"/>
              <w:rPr>
                <w:rFonts w:ascii="Arial"/>
                <w:sz w:val="21"/>
              </w:rPr>
            </w:pPr>
          </w:p>
          <w:p w14:paraId="7939C895">
            <w:pPr>
              <w:spacing w:line="247" w:lineRule="auto"/>
              <w:rPr>
                <w:rFonts w:ascii="Arial"/>
                <w:sz w:val="21"/>
              </w:rPr>
            </w:pPr>
          </w:p>
          <w:p w14:paraId="074CAB61">
            <w:pPr>
              <w:spacing w:line="247" w:lineRule="auto"/>
              <w:rPr>
                <w:rFonts w:ascii="Arial"/>
                <w:sz w:val="21"/>
              </w:rPr>
            </w:pPr>
          </w:p>
          <w:p w14:paraId="6E87BBC6">
            <w:pPr>
              <w:spacing w:line="247" w:lineRule="auto"/>
              <w:rPr>
                <w:rFonts w:ascii="Arial"/>
                <w:sz w:val="21"/>
              </w:rPr>
            </w:pPr>
          </w:p>
          <w:p w14:paraId="12D79D2C">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09463117">
            <w:pPr>
              <w:spacing w:line="254" w:lineRule="auto"/>
              <w:rPr>
                <w:rFonts w:ascii="Arial"/>
                <w:sz w:val="21"/>
              </w:rPr>
            </w:pPr>
          </w:p>
          <w:p w14:paraId="3A2F9B71">
            <w:pPr>
              <w:spacing w:line="254" w:lineRule="auto"/>
              <w:rPr>
                <w:rFonts w:ascii="Arial"/>
                <w:sz w:val="21"/>
              </w:rPr>
            </w:pPr>
          </w:p>
          <w:p w14:paraId="27DE9D8C">
            <w:pPr>
              <w:spacing w:line="254" w:lineRule="auto"/>
              <w:rPr>
                <w:rFonts w:ascii="Arial"/>
                <w:sz w:val="21"/>
              </w:rPr>
            </w:pPr>
          </w:p>
          <w:p w14:paraId="4EECA0EE">
            <w:pPr>
              <w:spacing w:line="254" w:lineRule="auto"/>
              <w:rPr>
                <w:rFonts w:ascii="Arial"/>
                <w:sz w:val="21"/>
              </w:rPr>
            </w:pPr>
          </w:p>
          <w:p w14:paraId="4921B728">
            <w:pPr>
              <w:spacing w:line="254" w:lineRule="auto"/>
              <w:rPr>
                <w:rFonts w:ascii="Arial"/>
                <w:sz w:val="21"/>
              </w:rPr>
            </w:pPr>
          </w:p>
          <w:p w14:paraId="60128BB5">
            <w:pPr>
              <w:spacing w:line="254" w:lineRule="auto"/>
              <w:rPr>
                <w:rFonts w:ascii="Arial"/>
                <w:sz w:val="21"/>
              </w:rPr>
            </w:pPr>
          </w:p>
          <w:p w14:paraId="566B377D">
            <w:pPr>
              <w:spacing w:line="254" w:lineRule="auto"/>
              <w:rPr>
                <w:rFonts w:ascii="Arial"/>
                <w:sz w:val="21"/>
              </w:rPr>
            </w:pPr>
          </w:p>
          <w:p w14:paraId="7A408393">
            <w:pPr>
              <w:spacing w:line="254" w:lineRule="auto"/>
              <w:rPr>
                <w:rFonts w:ascii="Arial"/>
                <w:sz w:val="21"/>
              </w:rPr>
            </w:pPr>
          </w:p>
          <w:p w14:paraId="3367EC01">
            <w:pPr>
              <w:spacing w:line="254" w:lineRule="auto"/>
              <w:rPr>
                <w:rFonts w:ascii="Arial"/>
                <w:sz w:val="21"/>
              </w:rPr>
            </w:pPr>
          </w:p>
          <w:p w14:paraId="17D2B6A7">
            <w:pPr>
              <w:spacing w:line="255" w:lineRule="auto"/>
              <w:rPr>
                <w:rFonts w:ascii="Arial"/>
                <w:sz w:val="21"/>
              </w:rPr>
            </w:pPr>
          </w:p>
          <w:p w14:paraId="1895DCE4">
            <w:pPr>
              <w:spacing w:line="255" w:lineRule="auto"/>
              <w:rPr>
                <w:rFonts w:ascii="Arial"/>
                <w:sz w:val="21"/>
              </w:rPr>
            </w:pPr>
          </w:p>
          <w:p w14:paraId="12EC07E4">
            <w:pPr>
              <w:spacing w:line="255" w:lineRule="auto"/>
              <w:rPr>
                <w:rFonts w:ascii="Arial"/>
                <w:sz w:val="21"/>
              </w:rPr>
            </w:pPr>
          </w:p>
          <w:p w14:paraId="25AE84EE">
            <w:pPr>
              <w:spacing w:line="255" w:lineRule="auto"/>
              <w:rPr>
                <w:rFonts w:ascii="Arial"/>
                <w:sz w:val="21"/>
              </w:rPr>
            </w:pPr>
          </w:p>
          <w:p w14:paraId="369CCCB6">
            <w:pPr>
              <w:spacing w:line="255" w:lineRule="auto"/>
              <w:rPr>
                <w:rFonts w:ascii="Arial"/>
                <w:sz w:val="21"/>
              </w:rPr>
            </w:pPr>
          </w:p>
          <w:p w14:paraId="628E54AA">
            <w:pPr>
              <w:spacing w:line="255" w:lineRule="auto"/>
              <w:rPr>
                <w:rFonts w:ascii="Arial"/>
                <w:sz w:val="21"/>
              </w:rPr>
            </w:pPr>
          </w:p>
          <w:p w14:paraId="06CF65FB">
            <w:pPr>
              <w:spacing w:line="255" w:lineRule="auto"/>
              <w:rPr>
                <w:rFonts w:ascii="Arial"/>
                <w:sz w:val="21"/>
              </w:rPr>
            </w:pPr>
          </w:p>
          <w:p w14:paraId="1C24E0C1">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1959EC73">
            <w:pPr>
              <w:spacing w:line="247" w:lineRule="auto"/>
              <w:rPr>
                <w:rFonts w:ascii="Arial"/>
                <w:sz w:val="21"/>
              </w:rPr>
            </w:pPr>
          </w:p>
          <w:p w14:paraId="6FB3545C">
            <w:pPr>
              <w:spacing w:line="247" w:lineRule="auto"/>
              <w:rPr>
                <w:rFonts w:ascii="Arial"/>
                <w:sz w:val="21"/>
              </w:rPr>
            </w:pPr>
          </w:p>
          <w:p w14:paraId="2A06CA26">
            <w:pPr>
              <w:spacing w:line="247" w:lineRule="auto"/>
              <w:rPr>
                <w:rFonts w:ascii="Arial"/>
                <w:sz w:val="21"/>
              </w:rPr>
            </w:pPr>
          </w:p>
          <w:p w14:paraId="300EF84B">
            <w:pPr>
              <w:spacing w:line="247" w:lineRule="auto"/>
              <w:rPr>
                <w:rFonts w:ascii="Arial"/>
                <w:sz w:val="21"/>
              </w:rPr>
            </w:pPr>
          </w:p>
          <w:p w14:paraId="30DF7B7D">
            <w:pPr>
              <w:spacing w:line="247" w:lineRule="auto"/>
              <w:rPr>
                <w:rFonts w:ascii="Arial"/>
                <w:sz w:val="21"/>
              </w:rPr>
            </w:pPr>
          </w:p>
          <w:p w14:paraId="0CDC00F5">
            <w:pPr>
              <w:spacing w:line="247" w:lineRule="auto"/>
              <w:rPr>
                <w:rFonts w:ascii="Arial"/>
                <w:sz w:val="21"/>
              </w:rPr>
            </w:pPr>
          </w:p>
          <w:p w14:paraId="3815265C">
            <w:pPr>
              <w:spacing w:line="248" w:lineRule="auto"/>
              <w:rPr>
                <w:rFonts w:ascii="Arial"/>
                <w:sz w:val="21"/>
              </w:rPr>
            </w:pPr>
          </w:p>
          <w:p w14:paraId="43A75263">
            <w:pPr>
              <w:spacing w:line="248" w:lineRule="auto"/>
              <w:rPr>
                <w:rFonts w:ascii="Arial"/>
                <w:sz w:val="21"/>
              </w:rPr>
            </w:pPr>
          </w:p>
          <w:p w14:paraId="03277EEF">
            <w:pPr>
              <w:spacing w:line="248" w:lineRule="auto"/>
              <w:rPr>
                <w:rFonts w:ascii="Arial"/>
                <w:sz w:val="21"/>
              </w:rPr>
            </w:pPr>
          </w:p>
          <w:p w14:paraId="26E3EC8E">
            <w:pPr>
              <w:spacing w:line="248" w:lineRule="auto"/>
              <w:rPr>
                <w:rFonts w:ascii="Arial"/>
                <w:sz w:val="21"/>
              </w:rPr>
            </w:pPr>
          </w:p>
          <w:p w14:paraId="0B903FC3">
            <w:pPr>
              <w:spacing w:line="248" w:lineRule="auto"/>
              <w:rPr>
                <w:rFonts w:ascii="Arial"/>
                <w:sz w:val="21"/>
              </w:rPr>
            </w:pPr>
          </w:p>
          <w:p w14:paraId="463F954D">
            <w:pPr>
              <w:spacing w:line="248" w:lineRule="auto"/>
              <w:rPr>
                <w:rFonts w:ascii="Arial"/>
                <w:sz w:val="21"/>
              </w:rPr>
            </w:pPr>
          </w:p>
          <w:p w14:paraId="11857FEC">
            <w:pPr>
              <w:spacing w:line="248" w:lineRule="auto"/>
              <w:rPr>
                <w:rFonts w:ascii="Arial"/>
                <w:sz w:val="21"/>
              </w:rPr>
            </w:pPr>
          </w:p>
          <w:p w14:paraId="6B0223DF">
            <w:pPr>
              <w:spacing w:line="248" w:lineRule="auto"/>
              <w:rPr>
                <w:rFonts w:ascii="Arial"/>
                <w:sz w:val="21"/>
              </w:rPr>
            </w:pPr>
          </w:p>
          <w:p w14:paraId="5D9DD6C0">
            <w:pPr>
              <w:spacing w:line="248" w:lineRule="auto"/>
              <w:rPr>
                <w:rFonts w:ascii="Arial"/>
                <w:sz w:val="21"/>
              </w:rPr>
            </w:pPr>
          </w:p>
          <w:p w14:paraId="6221E42B">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22B7699F">
      <w:pPr>
        <w:pStyle w:val="2"/>
      </w:pPr>
    </w:p>
    <w:p w14:paraId="2575F1CC">
      <w:pPr>
        <w:sectPr>
          <w:footerReference r:id="rId212" w:type="default"/>
          <w:pgSz w:w="16839" w:h="11906"/>
          <w:pgMar w:top="1012" w:right="788" w:bottom="966" w:left="787" w:header="0" w:footer="768" w:gutter="0"/>
          <w:cols w:space="720" w:num="1"/>
        </w:sectPr>
      </w:pPr>
    </w:p>
    <w:p w14:paraId="4C194FD0">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735FE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7D5E317F">
            <w:pPr>
              <w:pStyle w:val="8"/>
              <w:spacing w:before="267" w:line="221" w:lineRule="auto"/>
              <w:ind w:left="142"/>
            </w:pPr>
            <w:r>
              <w:rPr>
                <w:b/>
                <w:bCs/>
                <w:spacing w:val="-4"/>
              </w:rPr>
              <w:t>序号</w:t>
            </w:r>
          </w:p>
        </w:tc>
        <w:tc>
          <w:tcPr>
            <w:tcW w:w="1136" w:type="dxa"/>
            <w:vMerge w:val="restart"/>
            <w:tcBorders>
              <w:bottom w:val="nil"/>
            </w:tcBorders>
            <w:vAlign w:val="top"/>
          </w:tcPr>
          <w:p w14:paraId="320372F1">
            <w:pPr>
              <w:pStyle w:val="8"/>
              <w:spacing w:before="267" w:line="220" w:lineRule="auto"/>
              <w:ind w:left="208"/>
            </w:pPr>
            <w:r>
              <w:rPr>
                <w:b/>
                <w:bCs/>
                <w:spacing w:val="-4"/>
              </w:rPr>
              <w:t>事项名称</w:t>
            </w:r>
          </w:p>
        </w:tc>
        <w:tc>
          <w:tcPr>
            <w:tcW w:w="1136" w:type="dxa"/>
            <w:vMerge w:val="restart"/>
            <w:tcBorders>
              <w:bottom w:val="nil"/>
            </w:tcBorders>
            <w:vAlign w:val="top"/>
          </w:tcPr>
          <w:p w14:paraId="2FA5EFBA">
            <w:pPr>
              <w:pStyle w:val="8"/>
              <w:spacing w:before="267" w:line="219" w:lineRule="auto"/>
              <w:ind w:left="210"/>
            </w:pPr>
            <w:r>
              <w:rPr>
                <w:b/>
                <w:bCs/>
                <w:spacing w:val="-4"/>
              </w:rPr>
              <w:t>职权类型</w:t>
            </w:r>
          </w:p>
        </w:tc>
        <w:tc>
          <w:tcPr>
            <w:tcW w:w="8806" w:type="dxa"/>
            <w:vMerge w:val="restart"/>
            <w:tcBorders>
              <w:bottom w:val="nil"/>
            </w:tcBorders>
            <w:vAlign w:val="top"/>
          </w:tcPr>
          <w:p w14:paraId="130AD351">
            <w:pPr>
              <w:pStyle w:val="8"/>
              <w:spacing w:before="267" w:line="219" w:lineRule="auto"/>
              <w:ind w:left="4050"/>
            </w:pPr>
            <w:r>
              <w:rPr>
                <w:b/>
                <w:bCs/>
                <w:spacing w:val="-5"/>
              </w:rPr>
              <w:t>实施依据</w:t>
            </w:r>
          </w:p>
        </w:tc>
        <w:tc>
          <w:tcPr>
            <w:tcW w:w="3538" w:type="dxa"/>
            <w:gridSpan w:val="3"/>
            <w:vAlign w:val="top"/>
          </w:tcPr>
          <w:p w14:paraId="66CE2173">
            <w:pPr>
              <w:pStyle w:val="8"/>
              <w:spacing w:before="92" w:line="220" w:lineRule="auto"/>
              <w:ind w:left="1415"/>
            </w:pPr>
            <w:r>
              <w:rPr>
                <w:b/>
                <w:bCs/>
                <w:spacing w:val="-5"/>
              </w:rPr>
              <w:t>实施主体</w:t>
            </w:r>
          </w:p>
        </w:tc>
      </w:tr>
      <w:tr w14:paraId="25020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224370DF">
            <w:pPr>
              <w:rPr>
                <w:rFonts w:ascii="Arial"/>
                <w:sz w:val="21"/>
              </w:rPr>
            </w:pPr>
          </w:p>
        </w:tc>
        <w:tc>
          <w:tcPr>
            <w:tcW w:w="1136" w:type="dxa"/>
            <w:vMerge w:val="continue"/>
            <w:tcBorders>
              <w:top w:val="nil"/>
            </w:tcBorders>
            <w:vAlign w:val="top"/>
          </w:tcPr>
          <w:p w14:paraId="1A116317">
            <w:pPr>
              <w:rPr>
                <w:rFonts w:ascii="Arial"/>
                <w:sz w:val="21"/>
              </w:rPr>
            </w:pPr>
          </w:p>
        </w:tc>
        <w:tc>
          <w:tcPr>
            <w:tcW w:w="1136" w:type="dxa"/>
            <w:vMerge w:val="continue"/>
            <w:tcBorders>
              <w:top w:val="nil"/>
            </w:tcBorders>
            <w:vAlign w:val="top"/>
          </w:tcPr>
          <w:p w14:paraId="3C200191">
            <w:pPr>
              <w:rPr>
                <w:rFonts w:ascii="Arial"/>
                <w:sz w:val="21"/>
              </w:rPr>
            </w:pPr>
          </w:p>
        </w:tc>
        <w:tc>
          <w:tcPr>
            <w:tcW w:w="8806" w:type="dxa"/>
            <w:vMerge w:val="continue"/>
            <w:tcBorders>
              <w:top w:val="nil"/>
            </w:tcBorders>
            <w:vAlign w:val="top"/>
          </w:tcPr>
          <w:p w14:paraId="5915B0D6">
            <w:pPr>
              <w:rPr>
                <w:rFonts w:ascii="Arial"/>
                <w:sz w:val="21"/>
              </w:rPr>
            </w:pPr>
          </w:p>
        </w:tc>
        <w:tc>
          <w:tcPr>
            <w:tcW w:w="1043" w:type="dxa"/>
            <w:vAlign w:val="top"/>
          </w:tcPr>
          <w:p w14:paraId="3E688711">
            <w:pPr>
              <w:pStyle w:val="8"/>
              <w:spacing w:before="88" w:line="219" w:lineRule="auto"/>
              <w:ind w:left="171"/>
            </w:pPr>
            <w:r>
              <w:rPr>
                <w:b/>
                <w:bCs/>
                <w:spacing w:val="-5"/>
              </w:rPr>
              <w:t>责任部门</w:t>
            </w:r>
          </w:p>
        </w:tc>
        <w:tc>
          <w:tcPr>
            <w:tcW w:w="1448" w:type="dxa"/>
            <w:vAlign w:val="top"/>
          </w:tcPr>
          <w:p w14:paraId="3CDD312D">
            <w:pPr>
              <w:pStyle w:val="8"/>
              <w:spacing w:before="88" w:line="219" w:lineRule="auto"/>
              <w:ind w:left="187"/>
            </w:pPr>
            <w:r>
              <w:rPr>
                <w:b/>
                <w:bCs/>
                <w:spacing w:val="-3"/>
              </w:rPr>
              <w:t>第一责任层级</w:t>
            </w:r>
          </w:p>
        </w:tc>
        <w:tc>
          <w:tcPr>
            <w:tcW w:w="1047" w:type="dxa"/>
            <w:vAlign w:val="top"/>
          </w:tcPr>
          <w:p w14:paraId="513BA17E">
            <w:pPr>
              <w:pStyle w:val="8"/>
              <w:spacing w:before="88" w:line="219" w:lineRule="auto"/>
              <w:ind w:left="165"/>
            </w:pPr>
            <w:r>
              <w:rPr>
                <w:b/>
                <w:bCs/>
                <w:spacing w:val="-4"/>
              </w:rPr>
              <w:t>承办机构</w:t>
            </w:r>
          </w:p>
        </w:tc>
      </w:tr>
      <w:tr w14:paraId="45D39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9" w:hRule="atLeast"/>
        </w:trPr>
        <w:tc>
          <w:tcPr>
            <w:tcW w:w="641" w:type="dxa"/>
            <w:vAlign w:val="top"/>
          </w:tcPr>
          <w:p w14:paraId="01C5F3EF">
            <w:pPr>
              <w:spacing w:line="251" w:lineRule="auto"/>
              <w:rPr>
                <w:rFonts w:ascii="Arial"/>
                <w:sz w:val="21"/>
              </w:rPr>
            </w:pPr>
          </w:p>
          <w:p w14:paraId="4B3D9AF6">
            <w:pPr>
              <w:spacing w:line="251" w:lineRule="auto"/>
              <w:rPr>
                <w:rFonts w:ascii="Arial"/>
                <w:sz w:val="21"/>
              </w:rPr>
            </w:pPr>
          </w:p>
          <w:p w14:paraId="62269DA0">
            <w:pPr>
              <w:spacing w:line="252" w:lineRule="auto"/>
              <w:rPr>
                <w:rFonts w:ascii="Arial"/>
                <w:sz w:val="21"/>
              </w:rPr>
            </w:pPr>
          </w:p>
          <w:p w14:paraId="22945BF9">
            <w:pPr>
              <w:spacing w:line="252" w:lineRule="auto"/>
              <w:rPr>
                <w:rFonts w:ascii="Arial"/>
                <w:sz w:val="21"/>
              </w:rPr>
            </w:pPr>
          </w:p>
          <w:p w14:paraId="761B160F">
            <w:pPr>
              <w:spacing w:line="252" w:lineRule="auto"/>
              <w:rPr>
                <w:rFonts w:ascii="Arial"/>
                <w:sz w:val="21"/>
              </w:rPr>
            </w:pPr>
          </w:p>
          <w:p w14:paraId="5D524D31">
            <w:pPr>
              <w:spacing w:line="252" w:lineRule="auto"/>
              <w:rPr>
                <w:rFonts w:ascii="Arial"/>
                <w:sz w:val="21"/>
              </w:rPr>
            </w:pPr>
          </w:p>
          <w:p w14:paraId="14C3F352">
            <w:pPr>
              <w:spacing w:line="252" w:lineRule="auto"/>
              <w:rPr>
                <w:rFonts w:ascii="Arial"/>
                <w:sz w:val="21"/>
              </w:rPr>
            </w:pPr>
          </w:p>
          <w:p w14:paraId="366F26F5">
            <w:pPr>
              <w:spacing w:line="252" w:lineRule="auto"/>
              <w:rPr>
                <w:rFonts w:ascii="Arial"/>
                <w:sz w:val="21"/>
              </w:rPr>
            </w:pPr>
          </w:p>
          <w:p w14:paraId="0A87998A">
            <w:pPr>
              <w:spacing w:line="252" w:lineRule="auto"/>
              <w:rPr>
                <w:rFonts w:ascii="Arial"/>
                <w:sz w:val="21"/>
              </w:rPr>
            </w:pPr>
          </w:p>
          <w:p w14:paraId="2308CBF2">
            <w:pPr>
              <w:spacing w:line="252" w:lineRule="auto"/>
              <w:rPr>
                <w:rFonts w:ascii="Arial"/>
                <w:sz w:val="21"/>
              </w:rPr>
            </w:pPr>
          </w:p>
          <w:p w14:paraId="674A57E5">
            <w:pPr>
              <w:spacing w:line="252" w:lineRule="auto"/>
              <w:rPr>
                <w:rFonts w:ascii="Arial"/>
                <w:sz w:val="21"/>
              </w:rPr>
            </w:pPr>
          </w:p>
          <w:p w14:paraId="21F3ED81">
            <w:pPr>
              <w:pStyle w:val="8"/>
              <w:spacing w:before="59" w:line="183" w:lineRule="auto"/>
              <w:ind w:left="235"/>
            </w:pPr>
            <w:r>
              <w:rPr>
                <w:spacing w:val="-4"/>
              </w:rPr>
              <w:t>99</w:t>
            </w:r>
          </w:p>
        </w:tc>
        <w:tc>
          <w:tcPr>
            <w:tcW w:w="1136" w:type="dxa"/>
            <w:vAlign w:val="top"/>
          </w:tcPr>
          <w:p w14:paraId="42A69B1D">
            <w:pPr>
              <w:spacing w:line="264" w:lineRule="auto"/>
              <w:rPr>
                <w:rFonts w:ascii="Arial"/>
                <w:sz w:val="21"/>
              </w:rPr>
            </w:pPr>
          </w:p>
          <w:p w14:paraId="4A499D61">
            <w:pPr>
              <w:spacing w:line="264" w:lineRule="auto"/>
              <w:rPr>
                <w:rFonts w:ascii="Arial"/>
                <w:sz w:val="21"/>
              </w:rPr>
            </w:pPr>
          </w:p>
          <w:p w14:paraId="7E99852A">
            <w:pPr>
              <w:spacing w:line="265" w:lineRule="auto"/>
              <w:rPr>
                <w:rFonts w:ascii="Arial"/>
                <w:sz w:val="21"/>
              </w:rPr>
            </w:pPr>
          </w:p>
          <w:p w14:paraId="34CB11F7">
            <w:pPr>
              <w:spacing w:line="265" w:lineRule="auto"/>
              <w:rPr>
                <w:rFonts w:ascii="Arial"/>
                <w:sz w:val="21"/>
              </w:rPr>
            </w:pPr>
          </w:p>
          <w:p w14:paraId="01A8CB7E">
            <w:pPr>
              <w:spacing w:line="265" w:lineRule="auto"/>
              <w:rPr>
                <w:rFonts w:ascii="Arial"/>
                <w:sz w:val="21"/>
              </w:rPr>
            </w:pPr>
          </w:p>
          <w:p w14:paraId="2A48B133">
            <w:pPr>
              <w:spacing w:line="265" w:lineRule="auto"/>
              <w:rPr>
                <w:rFonts w:ascii="Arial"/>
                <w:sz w:val="21"/>
              </w:rPr>
            </w:pPr>
          </w:p>
          <w:p w14:paraId="4444E6EB">
            <w:pPr>
              <w:spacing w:line="265" w:lineRule="auto"/>
              <w:rPr>
                <w:rFonts w:ascii="Arial"/>
                <w:sz w:val="21"/>
              </w:rPr>
            </w:pPr>
          </w:p>
          <w:p w14:paraId="3A4231A9">
            <w:pPr>
              <w:spacing w:line="265" w:lineRule="auto"/>
              <w:rPr>
                <w:rFonts w:ascii="Arial"/>
                <w:sz w:val="21"/>
              </w:rPr>
            </w:pPr>
          </w:p>
          <w:p w14:paraId="29EF15E9">
            <w:pPr>
              <w:spacing w:line="265" w:lineRule="auto"/>
              <w:rPr>
                <w:rFonts w:ascii="Arial"/>
                <w:sz w:val="21"/>
              </w:rPr>
            </w:pPr>
          </w:p>
          <w:p w14:paraId="38C0C51B">
            <w:pPr>
              <w:pStyle w:val="8"/>
              <w:spacing w:before="58" w:line="238" w:lineRule="auto"/>
              <w:ind w:left="109" w:right="104"/>
              <w:jc w:val="both"/>
            </w:pPr>
            <w:r>
              <w:rPr>
                <w:spacing w:val="2"/>
              </w:rPr>
              <w:t>禁止船舶进</w:t>
            </w:r>
            <w:r>
              <w:rPr>
                <w:spacing w:val="3"/>
              </w:rPr>
              <w:t xml:space="preserve"> 出港口的行</w:t>
            </w:r>
            <w:r>
              <w:rPr>
                <w:spacing w:val="1"/>
              </w:rPr>
              <w:t xml:space="preserve"> </w:t>
            </w:r>
            <w:r>
              <w:rPr>
                <w:spacing w:val="-4"/>
              </w:rPr>
              <w:t>政强制</w:t>
            </w:r>
          </w:p>
        </w:tc>
        <w:tc>
          <w:tcPr>
            <w:tcW w:w="1136" w:type="dxa"/>
            <w:vAlign w:val="top"/>
          </w:tcPr>
          <w:p w14:paraId="6D81EB14">
            <w:pPr>
              <w:spacing w:line="249" w:lineRule="auto"/>
              <w:rPr>
                <w:rFonts w:ascii="Arial"/>
                <w:sz w:val="21"/>
              </w:rPr>
            </w:pPr>
          </w:p>
          <w:p w14:paraId="568D293E">
            <w:pPr>
              <w:spacing w:line="249" w:lineRule="auto"/>
              <w:rPr>
                <w:rFonts w:ascii="Arial"/>
                <w:sz w:val="21"/>
              </w:rPr>
            </w:pPr>
          </w:p>
          <w:p w14:paraId="2EEA2273">
            <w:pPr>
              <w:spacing w:line="249" w:lineRule="auto"/>
              <w:rPr>
                <w:rFonts w:ascii="Arial"/>
                <w:sz w:val="21"/>
              </w:rPr>
            </w:pPr>
          </w:p>
          <w:p w14:paraId="7F2C248B">
            <w:pPr>
              <w:spacing w:line="249" w:lineRule="auto"/>
              <w:rPr>
                <w:rFonts w:ascii="Arial"/>
                <w:sz w:val="21"/>
              </w:rPr>
            </w:pPr>
          </w:p>
          <w:p w14:paraId="0558DF78">
            <w:pPr>
              <w:spacing w:line="249" w:lineRule="auto"/>
              <w:rPr>
                <w:rFonts w:ascii="Arial"/>
                <w:sz w:val="21"/>
              </w:rPr>
            </w:pPr>
          </w:p>
          <w:p w14:paraId="01ECD4B5">
            <w:pPr>
              <w:spacing w:line="249" w:lineRule="auto"/>
              <w:rPr>
                <w:rFonts w:ascii="Arial"/>
                <w:sz w:val="21"/>
              </w:rPr>
            </w:pPr>
          </w:p>
          <w:p w14:paraId="6E0644C4">
            <w:pPr>
              <w:spacing w:line="249" w:lineRule="auto"/>
              <w:rPr>
                <w:rFonts w:ascii="Arial"/>
                <w:sz w:val="21"/>
              </w:rPr>
            </w:pPr>
          </w:p>
          <w:p w14:paraId="12E30513">
            <w:pPr>
              <w:spacing w:line="249" w:lineRule="auto"/>
              <w:rPr>
                <w:rFonts w:ascii="Arial"/>
                <w:sz w:val="21"/>
              </w:rPr>
            </w:pPr>
          </w:p>
          <w:p w14:paraId="1D6F17E3">
            <w:pPr>
              <w:spacing w:line="250" w:lineRule="auto"/>
              <w:rPr>
                <w:rFonts w:ascii="Arial"/>
                <w:sz w:val="21"/>
              </w:rPr>
            </w:pPr>
          </w:p>
          <w:p w14:paraId="0D7C3556">
            <w:pPr>
              <w:spacing w:line="250" w:lineRule="auto"/>
              <w:rPr>
                <w:rFonts w:ascii="Arial"/>
                <w:sz w:val="21"/>
              </w:rPr>
            </w:pPr>
          </w:p>
          <w:p w14:paraId="5A951BA8">
            <w:pPr>
              <w:spacing w:line="250" w:lineRule="auto"/>
              <w:rPr>
                <w:rFonts w:ascii="Arial"/>
                <w:sz w:val="21"/>
              </w:rPr>
            </w:pPr>
          </w:p>
          <w:p w14:paraId="082CD432">
            <w:pPr>
              <w:pStyle w:val="8"/>
              <w:spacing w:before="58" w:line="220" w:lineRule="auto"/>
              <w:ind w:left="114"/>
            </w:pPr>
            <w:r>
              <w:rPr>
                <w:spacing w:val="-7"/>
              </w:rPr>
              <w:t>行政强制</w:t>
            </w:r>
          </w:p>
        </w:tc>
        <w:tc>
          <w:tcPr>
            <w:tcW w:w="8806" w:type="dxa"/>
            <w:vAlign w:val="top"/>
          </w:tcPr>
          <w:p w14:paraId="46867870">
            <w:pPr>
              <w:pStyle w:val="8"/>
              <w:spacing w:before="298" w:line="219" w:lineRule="auto"/>
              <w:ind w:left="471"/>
            </w:pPr>
            <w:r>
              <w:rPr>
                <w:b/>
                <w:bCs/>
                <w:spacing w:val="-4"/>
              </w:rPr>
              <w:t>《中华人民共和国内河交通安全管理条例》</w:t>
            </w:r>
          </w:p>
          <w:p w14:paraId="59B1BB6C">
            <w:pPr>
              <w:pStyle w:val="8"/>
              <w:spacing w:before="25" w:line="233" w:lineRule="auto"/>
              <w:ind w:left="112" w:right="45" w:firstLine="353"/>
            </w:pPr>
            <w:r>
              <w:rPr>
                <w:spacing w:val="-3"/>
              </w:rPr>
              <w:t>第十四条  船舶在内河航行，应当悬挂国旗</w:t>
            </w:r>
            <w:r>
              <w:rPr>
                <w:spacing w:val="-4"/>
              </w:rPr>
              <w:t>，标明船名、船籍港、载重线。按照国家规定应当报废的船舶、</w:t>
            </w:r>
            <w:r>
              <w:t xml:space="preserve"> </w:t>
            </w:r>
            <w:r>
              <w:rPr>
                <w:spacing w:val="-3"/>
              </w:rPr>
              <w:t>浮动设施，不得航行或者作业。</w:t>
            </w:r>
          </w:p>
          <w:p w14:paraId="49250520">
            <w:pPr>
              <w:pStyle w:val="8"/>
              <w:spacing w:before="25" w:line="218" w:lineRule="auto"/>
              <w:ind w:left="465"/>
            </w:pPr>
            <w:r>
              <w:rPr>
                <w:spacing w:val="-2"/>
              </w:rPr>
              <w:t>第十八条  船舶进出内河港口，应当向海事管理机构报告船舶的航次计划、适航状态、船员配</w:t>
            </w:r>
            <w:r>
              <w:rPr>
                <w:spacing w:val="-3"/>
              </w:rPr>
              <w:t>备和载货载</w:t>
            </w:r>
          </w:p>
          <w:p w14:paraId="20A95EBA">
            <w:pPr>
              <w:pStyle w:val="8"/>
              <w:spacing w:before="27" w:line="219" w:lineRule="auto"/>
              <w:ind w:left="112"/>
            </w:pPr>
            <w:r>
              <w:rPr>
                <w:spacing w:val="-7"/>
              </w:rPr>
              <w:t>客等情况。</w:t>
            </w:r>
          </w:p>
          <w:p w14:paraId="435549D0">
            <w:pPr>
              <w:pStyle w:val="8"/>
              <w:spacing w:before="24"/>
              <w:ind w:left="109" w:right="100" w:firstLine="355"/>
              <w:jc w:val="both"/>
            </w:pPr>
            <w:r>
              <w:t>第十九条  下列船舶在内河航行，应当向引航机构申请引航</w:t>
            </w:r>
            <w:r>
              <w:rPr>
                <w:spacing w:val="-12"/>
              </w:rPr>
              <w:t>：（</w:t>
            </w:r>
            <w:r>
              <w:t>一）外国籍船舶</w:t>
            </w:r>
            <w:r>
              <w:rPr>
                <w:spacing w:val="-12"/>
              </w:rPr>
              <w:t>；（</w:t>
            </w:r>
            <w:r>
              <w:t>二）1000总吨以上的</w:t>
            </w:r>
            <w:r>
              <w:rPr>
                <w:spacing w:val="1"/>
              </w:rPr>
              <w:t xml:space="preserve"> 海上机动船舶，但船长驾驶同一类型的海上机动船舶在同一内河通航水域航行与上一</w:t>
            </w:r>
            <w:r>
              <w:t xml:space="preserve">航次间隔2个月以内的除 </w:t>
            </w:r>
            <w:r>
              <w:rPr>
                <w:spacing w:val="-2"/>
              </w:rPr>
              <w:t>外</w:t>
            </w:r>
            <w:r>
              <w:rPr>
                <w:spacing w:val="-3"/>
              </w:rPr>
              <w:t>；（</w:t>
            </w:r>
            <w:r>
              <w:rPr>
                <w:spacing w:val="-2"/>
              </w:rPr>
              <w:t>三）通航条件受限制的船舶</w:t>
            </w:r>
            <w:r>
              <w:rPr>
                <w:spacing w:val="-3"/>
              </w:rPr>
              <w:t>；（</w:t>
            </w:r>
            <w:r>
              <w:rPr>
                <w:spacing w:val="-2"/>
              </w:rPr>
              <w:t>四）</w:t>
            </w:r>
            <w:r>
              <w:rPr>
                <w:spacing w:val="-44"/>
              </w:rPr>
              <w:t xml:space="preserve"> </w:t>
            </w:r>
            <w:r>
              <w:rPr>
                <w:spacing w:val="-2"/>
              </w:rPr>
              <w:t>国务院交通主管部门规定应当申请引航的客船、载运危险货物的船</w:t>
            </w:r>
            <w:r>
              <w:t xml:space="preserve"> </w:t>
            </w:r>
            <w:r>
              <w:rPr>
                <w:spacing w:val="-4"/>
              </w:rPr>
              <w:t>舶。</w:t>
            </w:r>
          </w:p>
          <w:p w14:paraId="4D8A2CBF">
            <w:pPr>
              <w:pStyle w:val="8"/>
              <w:spacing w:before="25" w:line="233" w:lineRule="auto"/>
              <w:ind w:left="109" w:right="103" w:firstLine="355"/>
            </w:pPr>
            <w:r>
              <w:rPr>
                <w:spacing w:val="-1"/>
              </w:rPr>
              <w:t>第二十条  船舶进出港口和通过交通管制区、通航密集区或者航行条件受限制的区域，应当遵守海事</w:t>
            </w:r>
            <w:r>
              <w:rPr>
                <w:spacing w:val="-2"/>
              </w:rPr>
              <w:t>管理</w:t>
            </w:r>
            <w:r>
              <w:t xml:space="preserve"> </w:t>
            </w:r>
            <w:r>
              <w:rPr>
                <w:spacing w:val="-3"/>
              </w:rPr>
              <w:t>机构发布的有关通航规定。</w:t>
            </w:r>
          </w:p>
          <w:p w14:paraId="19C9ED78">
            <w:pPr>
              <w:pStyle w:val="8"/>
              <w:spacing w:before="27" w:line="219" w:lineRule="auto"/>
              <w:ind w:left="465"/>
            </w:pPr>
            <w:r>
              <w:rPr>
                <w:spacing w:val="-2"/>
              </w:rPr>
              <w:t>任何船舶不得擅自进入或者穿越海事管理机构公布的</w:t>
            </w:r>
            <w:r>
              <w:rPr>
                <w:spacing w:val="-3"/>
              </w:rPr>
              <w:t>禁航区。</w:t>
            </w:r>
          </w:p>
          <w:p w14:paraId="168D34A3">
            <w:pPr>
              <w:pStyle w:val="8"/>
              <w:spacing w:before="27" w:line="237" w:lineRule="auto"/>
              <w:ind w:left="110" w:right="45" w:firstLine="355"/>
            </w:pPr>
            <w:r>
              <w:rPr>
                <w:spacing w:val="-1"/>
              </w:rPr>
              <w:t>第二十二条  船舶在内河通航水域载运或者拖带超重、超长、超高、超宽、半潜的物体，必须在装船</w:t>
            </w:r>
            <w:r>
              <w:rPr>
                <w:spacing w:val="-2"/>
              </w:rPr>
              <w:t>或者</w:t>
            </w:r>
            <w:r>
              <w:t xml:space="preserve"> </w:t>
            </w:r>
            <w:r>
              <w:rPr>
                <w:spacing w:val="-3"/>
              </w:rPr>
              <w:t>拖带前24小时报海事管理机构核定拟航行的航路、时</w:t>
            </w:r>
            <w:r>
              <w:rPr>
                <w:spacing w:val="-4"/>
              </w:rPr>
              <w:t>间，并采取必要的安全措施，保障船舶载运或者拖带安全。</w:t>
            </w:r>
            <w:r>
              <w:t xml:space="preserve"> </w:t>
            </w:r>
            <w:r>
              <w:rPr>
                <w:spacing w:val="-3"/>
              </w:rPr>
              <w:t>船舶需要护航的，应当向海事管理机构申请护航。</w:t>
            </w:r>
          </w:p>
          <w:p w14:paraId="449C6AF4">
            <w:pPr>
              <w:pStyle w:val="8"/>
              <w:spacing w:before="25" w:line="243" w:lineRule="auto"/>
              <w:ind w:left="110" w:right="31" w:firstLine="355"/>
              <w:jc w:val="both"/>
            </w:pPr>
            <w:r>
              <w:rPr>
                <w:spacing w:val="-2"/>
              </w:rPr>
              <w:t>第六十八条  违反本条例的规定，船舶在内河航行时，有下列情形之一的，由海事管理机构</w:t>
            </w:r>
            <w:r>
              <w:rPr>
                <w:spacing w:val="-3"/>
              </w:rPr>
              <w:t>责令改正，处</w:t>
            </w:r>
            <w:r>
              <w:t xml:space="preserve">  </w:t>
            </w:r>
            <w:r>
              <w:rPr>
                <w:spacing w:val="-3"/>
              </w:rPr>
              <w:t>5000元以上5万元以下的罚款；情节严重的，禁止船舶进出港口或者责令停航，并可以对责任船员给予暂扣适任</w:t>
            </w:r>
            <w:r>
              <w:rPr>
                <w:spacing w:val="4"/>
              </w:rPr>
              <w:t xml:space="preserve">  </w:t>
            </w:r>
            <w:r>
              <w:rPr>
                <w:spacing w:val="-3"/>
              </w:rPr>
              <w:t>证书或者其他适任证件3个月至6个月的处罚</w:t>
            </w:r>
            <w:r>
              <w:rPr>
                <w:spacing w:val="-48"/>
              </w:rPr>
              <w:t>：（</w:t>
            </w:r>
            <w:r>
              <w:rPr>
                <w:spacing w:val="-3"/>
              </w:rPr>
              <w:t>一）未按照规定悬挂国旗，标明船名</w:t>
            </w:r>
            <w:r>
              <w:rPr>
                <w:spacing w:val="-4"/>
              </w:rPr>
              <w:t>、船籍港、载重线的</w:t>
            </w:r>
            <w:r>
              <w:rPr>
                <w:spacing w:val="-48"/>
              </w:rPr>
              <w:t>；（</w:t>
            </w:r>
            <w:r>
              <w:rPr>
                <w:spacing w:val="-4"/>
              </w:rPr>
              <w:t>二）</w:t>
            </w:r>
            <w:r>
              <w:rPr>
                <w:spacing w:val="2"/>
              </w:rPr>
              <w:t xml:space="preserve"> </w:t>
            </w:r>
            <w:r>
              <w:rPr>
                <w:spacing w:val="-1"/>
              </w:rPr>
              <w:t>未按照规定向海事管理机构报告船舶的航次</w:t>
            </w:r>
            <w:r>
              <w:rPr>
                <w:spacing w:val="-2"/>
              </w:rPr>
              <w:t>计划、适航状态、船员配备和载货载客等情况的</w:t>
            </w:r>
            <w:r>
              <w:rPr>
                <w:spacing w:val="-15"/>
              </w:rPr>
              <w:t>；（</w:t>
            </w:r>
            <w:r>
              <w:rPr>
                <w:spacing w:val="-2"/>
              </w:rPr>
              <w:t>三）未按照规</w:t>
            </w:r>
            <w:r>
              <w:t xml:space="preserve">  </w:t>
            </w:r>
            <w:r>
              <w:rPr>
                <w:spacing w:val="-1"/>
              </w:rPr>
              <w:t>定申请引航的</w:t>
            </w:r>
            <w:r>
              <w:rPr>
                <w:spacing w:val="-16"/>
              </w:rPr>
              <w:t>；（</w:t>
            </w:r>
            <w:r>
              <w:rPr>
                <w:spacing w:val="-1"/>
              </w:rPr>
              <w:t>四）擅自进出内河港口，强行通过</w:t>
            </w:r>
            <w:r>
              <w:rPr>
                <w:spacing w:val="-2"/>
              </w:rPr>
              <w:t>交通管制区、通航密集区、航行条件受限制区域或者禁航</w:t>
            </w:r>
            <w:r>
              <w:t xml:space="preserve">  </w:t>
            </w:r>
            <w:r>
              <w:rPr>
                <w:spacing w:val="-2"/>
              </w:rPr>
              <w:t>区的</w:t>
            </w:r>
            <w:r>
              <w:rPr>
                <w:spacing w:val="-4"/>
              </w:rPr>
              <w:t>；（</w:t>
            </w:r>
            <w:r>
              <w:rPr>
                <w:spacing w:val="-2"/>
              </w:rPr>
              <w:t>五）载运或者拖带超重、超长、超高、超宽、半潜的物体，未申请或者未按照核定的航路、时</w:t>
            </w:r>
            <w:r>
              <w:rPr>
                <w:spacing w:val="-3"/>
              </w:rPr>
              <w:t>间航行</w:t>
            </w:r>
            <w:r>
              <w:t xml:space="preserve">  </w:t>
            </w:r>
            <w:r>
              <w:rPr>
                <w:spacing w:val="-4"/>
              </w:rPr>
              <w:t>的。</w:t>
            </w:r>
          </w:p>
        </w:tc>
        <w:tc>
          <w:tcPr>
            <w:tcW w:w="1043" w:type="dxa"/>
            <w:vAlign w:val="top"/>
          </w:tcPr>
          <w:p w14:paraId="582FBFC5">
            <w:pPr>
              <w:spacing w:line="262" w:lineRule="auto"/>
              <w:rPr>
                <w:rFonts w:ascii="Arial"/>
                <w:sz w:val="21"/>
              </w:rPr>
            </w:pPr>
          </w:p>
          <w:p w14:paraId="73F76936">
            <w:pPr>
              <w:spacing w:line="262" w:lineRule="auto"/>
              <w:rPr>
                <w:rFonts w:ascii="Arial"/>
                <w:sz w:val="21"/>
              </w:rPr>
            </w:pPr>
          </w:p>
          <w:p w14:paraId="6FD87574">
            <w:pPr>
              <w:spacing w:line="262" w:lineRule="auto"/>
              <w:rPr>
                <w:rFonts w:ascii="Arial"/>
                <w:sz w:val="21"/>
              </w:rPr>
            </w:pPr>
          </w:p>
          <w:p w14:paraId="77A2E961">
            <w:pPr>
              <w:spacing w:line="262" w:lineRule="auto"/>
              <w:rPr>
                <w:rFonts w:ascii="Arial"/>
                <w:sz w:val="21"/>
              </w:rPr>
            </w:pPr>
          </w:p>
          <w:p w14:paraId="12680946">
            <w:pPr>
              <w:spacing w:line="262" w:lineRule="auto"/>
              <w:rPr>
                <w:rFonts w:ascii="Arial"/>
                <w:sz w:val="21"/>
              </w:rPr>
            </w:pPr>
          </w:p>
          <w:p w14:paraId="40D71CA7">
            <w:pPr>
              <w:spacing w:line="262" w:lineRule="auto"/>
              <w:rPr>
                <w:rFonts w:ascii="Arial"/>
                <w:sz w:val="21"/>
              </w:rPr>
            </w:pPr>
          </w:p>
          <w:p w14:paraId="26F62DDE">
            <w:pPr>
              <w:spacing w:line="262" w:lineRule="auto"/>
              <w:rPr>
                <w:rFonts w:ascii="Arial"/>
                <w:sz w:val="21"/>
              </w:rPr>
            </w:pPr>
          </w:p>
          <w:p w14:paraId="0596D555">
            <w:pPr>
              <w:spacing w:line="262" w:lineRule="auto"/>
              <w:rPr>
                <w:rFonts w:ascii="Arial"/>
                <w:sz w:val="21"/>
              </w:rPr>
            </w:pPr>
          </w:p>
          <w:p w14:paraId="05CEE896">
            <w:pPr>
              <w:spacing w:line="263" w:lineRule="auto"/>
              <w:rPr>
                <w:rFonts w:ascii="Arial"/>
                <w:sz w:val="21"/>
              </w:rPr>
            </w:pPr>
          </w:p>
          <w:p w14:paraId="7F6C7452">
            <w:pPr>
              <w:spacing w:line="263" w:lineRule="auto"/>
              <w:rPr>
                <w:rFonts w:ascii="Arial"/>
                <w:sz w:val="21"/>
              </w:rPr>
            </w:pPr>
          </w:p>
          <w:p w14:paraId="2371C39A">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1869665A">
            <w:pPr>
              <w:spacing w:line="249" w:lineRule="auto"/>
              <w:rPr>
                <w:rFonts w:ascii="Arial"/>
                <w:sz w:val="21"/>
              </w:rPr>
            </w:pPr>
          </w:p>
          <w:p w14:paraId="40A2565B">
            <w:pPr>
              <w:spacing w:line="249" w:lineRule="auto"/>
              <w:rPr>
                <w:rFonts w:ascii="Arial"/>
                <w:sz w:val="21"/>
              </w:rPr>
            </w:pPr>
          </w:p>
          <w:p w14:paraId="32700481">
            <w:pPr>
              <w:spacing w:line="249" w:lineRule="auto"/>
              <w:rPr>
                <w:rFonts w:ascii="Arial"/>
                <w:sz w:val="21"/>
              </w:rPr>
            </w:pPr>
          </w:p>
          <w:p w14:paraId="0FAFCCFC">
            <w:pPr>
              <w:spacing w:line="249" w:lineRule="auto"/>
              <w:rPr>
                <w:rFonts w:ascii="Arial"/>
                <w:sz w:val="21"/>
              </w:rPr>
            </w:pPr>
          </w:p>
          <w:p w14:paraId="53FAFE0C">
            <w:pPr>
              <w:spacing w:line="249" w:lineRule="auto"/>
              <w:rPr>
                <w:rFonts w:ascii="Arial"/>
                <w:sz w:val="21"/>
              </w:rPr>
            </w:pPr>
          </w:p>
          <w:p w14:paraId="4DF60AA5">
            <w:pPr>
              <w:spacing w:line="249" w:lineRule="auto"/>
              <w:rPr>
                <w:rFonts w:ascii="Arial"/>
                <w:sz w:val="21"/>
              </w:rPr>
            </w:pPr>
          </w:p>
          <w:p w14:paraId="6B73C7F9">
            <w:pPr>
              <w:spacing w:line="249" w:lineRule="auto"/>
              <w:rPr>
                <w:rFonts w:ascii="Arial"/>
                <w:sz w:val="21"/>
              </w:rPr>
            </w:pPr>
          </w:p>
          <w:p w14:paraId="67A45826">
            <w:pPr>
              <w:spacing w:line="249" w:lineRule="auto"/>
              <w:rPr>
                <w:rFonts w:ascii="Arial"/>
                <w:sz w:val="21"/>
              </w:rPr>
            </w:pPr>
          </w:p>
          <w:p w14:paraId="210C3E2B">
            <w:pPr>
              <w:spacing w:line="250" w:lineRule="auto"/>
              <w:rPr>
                <w:rFonts w:ascii="Arial"/>
                <w:sz w:val="21"/>
              </w:rPr>
            </w:pPr>
          </w:p>
          <w:p w14:paraId="0695A9FE">
            <w:pPr>
              <w:spacing w:line="250" w:lineRule="auto"/>
              <w:rPr>
                <w:rFonts w:ascii="Arial"/>
                <w:sz w:val="21"/>
              </w:rPr>
            </w:pPr>
          </w:p>
          <w:p w14:paraId="32507C8E">
            <w:pPr>
              <w:spacing w:line="250" w:lineRule="auto"/>
              <w:rPr>
                <w:rFonts w:ascii="Arial"/>
                <w:sz w:val="21"/>
              </w:rPr>
            </w:pPr>
          </w:p>
          <w:p w14:paraId="70429646">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EFC002E">
            <w:pPr>
              <w:spacing w:line="265" w:lineRule="auto"/>
              <w:rPr>
                <w:rFonts w:ascii="Arial"/>
                <w:sz w:val="21"/>
              </w:rPr>
            </w:pPr>
          </w:p>
          <w:p w14:paraId="02F191B9">
            <w:pPr>
              <w:spacing w:line="265" w:lineRule="auto"/>
              <w:rPr>
                <w:rFonts w:ascii="Arial"/>
                <w:sz w:val="21"/>
              </w:rPr>
            </w:pPr>
          </w:p>
          <w:p w14:paraId="4F05DA28">
            <w:pPr>
              <w:spacing w:line="265" w:lineRule="auto"/>
              <w:rPr>
                <w:rFonts w:ascii="Arial"/>
                <w:sz w:val="21"/>
              </w:rPr>
            </w:pPr>
          </w:p>
          <w:p w14:paraId="783F1600">
            <w:pPr>
              <w:spacing w:line="265" w:lineRule="auto"/>
              <w:rPr>
                <w:rFonts w:ascii="Arial"/>
                <w:sz w:val="21"/>
              </w:rPr>
            </w:pPr>
          </w:p>
          <w:p w14:paraId="34D8A313">
            <w:pPr>
              <w:spacing w:line="265" w:lineRule="auto"/>
              <w:rPr>
                <w:rFonts w:ascii="Arial"/>
                <w:sz w:val="21"/>
              </w:rPr>
            </w:pPr>
          </w:p>
          <w:p w14:paraId="325D49CE">
            <w:pPr>
              <w:spacing w:line="265" w:lineRule="auto"/>
              <w:rPr>
                <w:rFonts w:ascii="Arial"/>
                <w:sz w:val="21"/>
              </w:rPr>
            </w:pPr>
          </w:p>
          <w:p w14:paraId="3AB7D0B8">
            <w:pPr>
              <w:spacing w:line="265" w:lineRule="auto"/>
              <w:rPr>
                <w:rFonts w:ascii="Arial"/>
                <w:sz w:val="21"/>
              </w:rPr>
            </w:pPr>
          </w:p>
          <w:p w14:paraId="315FE1B6">
            <w:pPr>
              <w:spacing w:line="265" w:lineRule="auto"/>
              <w:rPr>
                <w:rFonts w:ascii="Arial"/>
                <w:sz w:val="21"/>
              </w:rPr>
            </w:pPr>
          </w:p>
          <w:p w14:paraId="4290D316">
            <w:pPr>
              <w:spacing w:line="265" w:lineRule="auto"/>
              <w:rPr>
                <w:rFonts w:ascii="Arial"/>
                <w:sz w:val="21"/>
              </w:rPr>
            </w:pPr>
          </w:p>
          <w:p w14:paraId="648709CB">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1B326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1" w:hRule="atLeast"/>
        </w:trPr>
        <w:tc>
          <w:tcPr>
            <w:tcW w:w="641" w:type="dxa"/>
            <w:vAlign w:val="top"/>
          </w:tcPr>
          <w:p w14:paraId="0418FDAD">
            <w:pPr>
              <w:spacing w:line="255" w:lineRule="auto"/>
              <w:rPr>
                <w:rFonts w:ascii="Arial"/>
                <w:sz w:val="21"/>
              </w:rPr>
            </w:pPr>
          </w:p>
          <w:p w14:paraId="112FCC0B">
            <w:pPr>
              <w:spacing w:line="255" w:lineRule="auto"/>
              <w:rPr>
                <w:rFonts w:ascii="Arial"/>
                <w:sz w:val="21"/>
              </w:rPr>
            </w:pPr>
          </w:p>
          <w:p w14:paraId="45523777">
            <w:pPr>
              <w:spacing w:line="255" w:lineRule="auto"/>
              <w:rPr>
                <w:rFonts w:ascii="Arial"/>
                <w:sz w:val="21"/>
              </w:rPr>
            </w:pPr>
          </w:p>
          <w:p w14:paraId="55E8CA8C">
            <w:pPr>
              <w:spacing w:line="255" w:lineRule="auto"/>
              <w:rPr>
                <w:rFonts w:ascii="Arial"/>
                <w:sz w:val="21"/>
              </w:rPr>
            </w:pPr>
          </w:p>
          <w:p w14:paraId="6CCF5D85">
            <w:pPr>
              <w:spacing w:line="255" w:lineRule="auto"/>
              <w:rPr>
                <w:rFonts w:ascii="Arial"/>
                <w:sz w:val="21"/>
              </w:rPr>
            </w:pPr>
          </w:p>
          <w:p w14:paraId="1CFAF00A">
            <w:pPr>
              <w:pStyle w:val="8"/>
              <w:spacing w:before="59" w:line="184" w:lineRule="auto"/>
              <w:ind w:left="202"/>
            </w:pPr>
            <w:r>
              <w:rPr>
                <w:spacing w:val="-7"/>
              </w:rPr>
              <w:t>100</w:t>
            </w:r>
          </w:p>
        </w:tc>
        <w:tc>
          <w:tcPr>
            <w:tcW w:w="1136" w:type="dxa"/>
            <w:vAlign w:val="top"/>
          </w:tcPr>
          <w:p w14:paraId="47DEE471">
            <w:pPr>
              <w:spacing w:line="412" w:lineRule="auto"/>
              <w:rPr>
                <w:rFonts w:ascii="Arial"/>
                <w:sz w:val="21"/>
              </w:rPr>
            </w:pPr>
          </w:p>
          <w:p w14:paraId="05EFE108">
            <w:pPr>
              <w:pStyle w:val="8"/>
              <w:spacing w:before="59" w:line="243" w:lineRule="auto"/>
              <w:ind w:left="110" w:right="101" w:hanging="1"/>
              <w:jc w:val="both"/>
            </w:pPr>
            <w:r>
              <w:rPr>
                <w:spacing w:val="3"/>
              </w:rPr>
              <w:t>对船舶违反</w:t>
            </w:r>
            <w:r>
              <w:rPr>
                <w:spacing w:val="1"/>
              </w:rPr>
              <w:t xml:space="preserve"> </w:t>
            </w:r>
            <w:r>
              <w:rPr>
                <w:spacing w:val="3"/>
              </w:rPr>
              <w:t>规定未在码</w:t>
            </w:r>
            <w:r>
              <w:t xml:space="preserve"> </w:t>
            </w:r>
            <w:r>
              <w:rPr>
                <w:spacing w:val="3"/>
              </w:rPr>
              <w:t>头、泊位或</w:t>
            </w:r>
            <w:r>
              <w:rPr>
                <w:spacing w:val="2"/>
              </w:rPr>
              <w:t xml:space="preserve"> </w:t>
            </w:r>
            <w:r>
              <w:rPr>
                <w:spacing w:val="3"/>
              </w:rPr>
              <w:t>者依法公布</w:t>
            </w:r>
            <w:r>
              <w:t xml:space="preserve"> </w:t>
            </w:r>
            <w:r>
              <w:rPr>
                <w:spacing w:val="3"/>
              </w:rPr>
              <w:t>的锚地、停</w:t>
            </w:r>
            <w:r>
              <w:t xml:space="preserve"> </w:t>
            </w:r>
            <w:r>
              <w:rPr>
                <w:spacing w:val="3"/>
              </w:rPr>
              <w:t>泊区、作业</w:t>
            </w:r>
            <w:r>
              <w:rPr>
                <w:spacing w:val="2"/>
              </w:rPr>
              <w:t xml:space="preserve"> </w:t>
            </w:r>
            <w:r>
              <w:rPr>
                <w:spacing w:val="3"/>
              </w:rPr>
              <w:t>区停泊行为</w:t>
            </w:r>
            <w:r>
              <w:t xml:space="preserve"> </w:t>
            </w:r>
            <w:r>
              <w:rPr>
                <w:spacing w:val="-4"/>
              </w:rPr>
              <w:t>的行政强制</w:t>
            </w:r>
          </w:p>
        </w:tc>
        <w:tc>
          <w:tcPr>
            <w:tcW w:w="1136" w:type="dxa"/>
            <w:vAlign w:val="top"/>
          </w:tcPr>
          <w:p w14:paraId="26D3CC88">
            <w:pPr>
              <w:spacing w:line="249" w:lineRule="auto"/>
              <w:rPr>
                <w:rFonts w:ascii="Arial"/>
                <w:sz w:val="21"/>
              </w:rPr>
            </w:pPr>
          </w:p>
          <w:p w14:paraId="3CC0563C">
            <w:pPr>
              <w:spacing w:line="249" w:lineRule="auto"/>
              <w:rPr>
                <w:rFonts w:ascii="Arial"/>
                <w:sz w:val="21"/>
              </w:rPr>
            </w:pPr>
          </w:p>
          <w:p w14:paraId="7715479C">
            <w:pPr>
              <w:spacing w:line="250" w:lineRule="auto"/>
              <w:rPr>
                <w:rFonts w:ascii="Arial"/>
                <w:sz w:val="21"/>
              </w:rPr>
            </w:pPr>
          </w:p>
          <w:p w14:paraId="3617534A">
            <w:pPr>
              <w:spacing w:line="250" w:lineRule="auto"/>
              <w:rPr>
                <w:rFonts w:ascii="Arial"/>
                <w:sz w:val="21"/>
              </w:rPr>
            </w:pPr>
          </w:p>
          <w:p w14:paraId="57642816">
            <w:pPr>
              <w:spacing w:line="250" w:lineRule="auto"/>
              <w:rPr>
                <w:rFonts w:ascii="Arial"/>
                <w:sz w:val="21"/>
              </w:rPr>
            </w:pPr>
          </w:p>
          <w:p w14:paraId="507151EA">
            <w:pPr>
              <w:pStyle w:val="8"/>
              <w:spacing w:before="58" w:line="220" w:lineRule="auto"/>
              <w:ind w:left="114"/>
            </w:pPr>
            <w:r>
              <w:rPr>
                <w:spacing w:val="-7"/>
              </w:rPr>
              <w:t>行政强制</w:t>
            </w:r>
          </w:p>
        </w:tc>
        <w:tc>
          <w:tcPr>
            <w:tcW w:w="8806" w:type="dxa"/>
            <w:vAlign w:val="top"/>
          </w:tcPr>
          <w:p w14:paraId="5914423C">
            <w:pPr>
              <w:spacing w:line="271" w:lineRule="auto"/>
              <w:rPr>
                <w:rFonts w:ascii="Arial"/>
                <w:sz w:val="21"/>
              </w:rPr>
            </w:pPr>
          </w:p>
          <w:p w14:paraId="2BF4C0A9">
            <w:pPr>
              <w:spacing w:line="271" w:lineRule="auto"/>
              <w:rPr>
                <w:rFonts w:ascii="Arial"/>
                <w:sz w:val="21"/>
              </w:rPr>
            </w:pPr>
          </w:p>
          <w:p w14:paraId="3EA3872E">
            <w:pPr>
              <w:pStyle w:val="8"/>
              <w:spacing w:before="59" w:line="219" w:lineRule="auto"/>
              <w:ind w:left="473"/>
            </w:pPr>
            <w:r>
              <w:rPr>
                <w:b/>
                <w:bCs/>
                <w:spacing w:val="-4"/>
              </w:rPr>
              <w:t>《中华人民共和国内河交通安全管理条例》</w:t>
            </w:r>
          </w:p>
          <w:p w14:paraId="7E586003">
            <w:pPr>
              <w:pStyle w:val="8"/>
              <w:spacing w:before="25" w:line="219" w:lineRule="auto"/>
              <w:ind w:left="468"/>
            </w:pPr>
            <w:r>
              <w:rPr>
                <w:spacing w:val="-3"/>
              </w:rPr>
              <w:t>第二十四条  船舶应当在码头、泊位或者依法公布的锚地、停泊区、作业区停泊； 遇有紧急情况，需要在</w:t>
            </w:r>
          </w:p>
          <w:p w14:paraId="68030642">
            <w:pPr>
              <w:pStyle w:val="8"/>
              <w:spacing w:before="26" w:line="218" w:lineRule="auto"/>
              <w:ind w:left="111"/>
            </w:pPr>
            <w:r>
              <w:rPr>
                <w:spacing w:val="-3"/>
              </w:rPr>
              <w:t>其他水域停泊的，应当向海事管理机构报告。</w:t>
            </w:r>
          </w:p>
          <w:p w14:paraId="74069C40">
            <w:pPr>
              <w:pStyle w:val="8"/>
              <w:spacing w:before="27" w:line="233" w:lineRule="auto"/>
              <w:ind w:left="110" w:right="148" w:firstLine="357"/>
            </w:pPr>
            <w:r>
              <w:rPr>
                <w:spacing w:val="-2"/>
              </w:rPr>
              <w:t>船舶停泊，应当按照规定显示信号，不得妨碍或者危及其他船舶航行、停泊或者作业的安全。</w:t>
            </w:r>
            <w:r>
              <w:rPr>
                <w:spacing w:val="-3"/>
              </w:rPr>
              <w:t>船舶停泊，</w:t>
            </w:r>
            <w:r>
              <w:t xml:space="preserve"> </w:t>
            </w:r>
            <w:r>
              <w:rPr>
                <w:spacing w:val="-3"/>
              </w:rPr>
              <w:t>应当留有足以保证船舶安全的船员值班。</w:t>
            </w:r>
          </w:p>
          <w:p w14:paraId="1C29A774">
            <w:pPr>
              <w:pStyle w:val="8"/>
              <w:spacing w:before="19" w:line="227" w:lineRule="auto"/>
              <w:ind w:left="109" w:right="153" w:firstLine="358"/>
            </w:pPr>
            <w:r>
              <w:rPr>
                <w:spacing w:val="-2"/>
              </w:rPr>
              <w:t>第六十九条  违反本条例的规定，船舶未在码头、泊位或者依法公布的锚地、停泊区、</w:t>
            </w:r>
            <w:r>
              <w:rPr>
                <w:spacing w:val="-3"/>
              </w:rPr>
              <w:t>作业区停泊的，由</w:t>
            </w:r>
            <w:r>
              <w:t xml:space="preserve"> </w:t>
            </w:r>
            <w:r>
              <w:rPr>
                <w:spacing w:val="-2"/>
              </w:rPr>
              <w:t>海事管 理机构责令改正；拒不改正的，予以强行拖离，因拖离发生的费用由船舶所有人或者经营</w:t>
            </w:r>
            <w:r>
              <w:rPr>
                <w:spacing w:val="-3"/>
              </w:rPr>
              <w:t>人承担。</w:t>
            </w:r>
          </w:p>
        </w:tc>
        <w:tc>
          <w:tcPr>
            <w:tcW w:w="1043" w:type="dxa"/>
            <w:vAlign w:val="top"/>
          </w:tcPr>
          <w:p w14:paraId="5A4127C2">
            <w:pPr>
              <w:spacing w:line="282" w:lineRule="auto"/>
              <w:rPr>
                <w:rFonts w:ascii="Arial"/>
                <w:sz w:val="21"/>
              </w:rPr>
            </w:pPr>
          </w:p>
          <w:p w14:paraId="0A6F0995">
            <w:pPr>
              <w:spacing w:line="282" w:lineRule="auto"/>
              <w:rPr>
                <w:rFonts w:ascii="Arial"/>
                <w:sz w:val="21"/>
              </w:rPr>
            </w:pPr>
          </w:p>
          <w:p w14:paraId="419F8FF2">
            <w:pPr>
              <w:spacing w:line="282" w:lineRule="auto"/>
              <w:rPr>
                <w:rFonts w:ascii="Arial"/>
                <w:sz w:val="21"/>
              </w:rPr>
            </w:pPr>
          </w:p>
          <w:p w14:paraId="69CF38D3">
            <w:pPr>
              <w:spacing w:line="282" w:lineRule="auto"/>
              <w:rPr>
                <w:rFonts w:ascii="Arial"/>
                <w:sz w:val="21"/>
              </w:rPr>
            </w:pPr>
          </w:p>
          <w:p w14:paraId="7EB04D92">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4477435F">
            <w:pPr>
              <w:spacing w:line="249" w:lineRule="auto"/>
              <w:rPr>
                <w:rFonts w:ascii="Arial"/>
                <w:sz w:val="21"/>
              </w:rPr>
            </w:pPr>
          </w:p>
          <w:p w14:paraId="7647FB8F">
            <w:pPr>
              <w:spacing w:line="249" w:lineRule="auto"/>
              <w:rPr>
                <w:rFonts w:ascii="Arial"/>
                <w:sz w:val="21"/>
              </w:rPr>
            </w:pPr>
          </w:p>
          <w:p w14:paraId="25E392EF">
            <w:pPr>
              <w:spacing w:line="250" w:lineRule="auto"/>
              <w:rPr>
                <w:rFonts w:ascii="Arial"/>
                <w:sz w:val="21"/>
              </w:rPr>
            </w:pPr>
          </w:p>
          <w:p w14:paraId="57CAAF34">
            <w:pPr>
              <w:spacing w:line="250" w:lineRule="auto"/>
              <w:rPr>
                <w:rFonts w:ascii="Arial"/>
                <w:sz w:val="21"/>
              </w:rPr>
            </w:pPr>
          </w:p>
          <w:p w14:paraId="0ABB7F4A">
            <w:pPr>
              <w:spacing w:line="250" w:lineRule="auto"/>
              <w:rPr>
                <w:rFonts w:ascii="Arial"/>
                <w:sz w:val="21"/>
              </w:rPr>
            </w:pPr>
          </w:p>
          <w:p w14:paraId="3782005B">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2C87643C">
            <w:pPr>
              <w:spacing w:line="297" w:lineRule="auto"/>
              <w:rPr>
                <w:rFonts w:ascii="Arial"/>
                <w:sz w:val="21"/>
              </w:rPr>
            </w:pPr>
          </w:p>
          <w:p w14:paraId="0F3F268B">
            <w:pPr>
              <w:spacing w:line="297" w:lineRule="auto"/>
              <w:rPr>
                <w:rFonts w:ascii="Arial"/>
                <w:sz w:val="21"/>
              </w:rPr>
            </w:pPr>
          </w:p>
          <w:p w14:paraId="2616C691">
            <w:pPr>
              <w:spacing w:line="297" w:lineRule="auto"/>
              <w:rPr>
                <w:rFonts w:ascii="Arial"/>
                <w:sz w:val="21"/>
              </w:rPr>
            </w:pPr>
          </w:p>
          <w:p w14:paraId="19315EA6">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451A3568">
      <w:pPr>
        <w:pStyle w:val="2"/>
      </w:pPr>
    </w:p>
    <w:p w14:paraId="08879D08">
      <w:pPr>
        <w:sectPr>
          <w:footerReference r:id="rId213" w:type="default"/>
          <w:pgSz w:w="16839" w:h="11906"/>
          <w:pgMar w:top="1012" w:right="788" w:bottom="966" w:left="787" w:header="0" w:footer="768" w:gutter="0"/>
          <w:cols w:space="720" w:num="1"/>
        </w:sectPr>
      </w:pPr>
    </w:p>
    <w:p w14:paraId="4ECA474A">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CFB1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610E29F0">
            <w:pPr>
              <w:pStyle w:val="8"/>
              <w:spacing w:before="267" w:line="221" w:lineRule="auto"/>
              <w:ind w:left="142"/>
            </w:pPr>
            <w:r>
              <w:rPr>
                <w:b/>
                <w:bCs/>
                <w:spacing w:val="-4"/>
              </w:rPr>
              <w:t>序号</w:t>
            </w:r>
          </w:p>
        </w:tc>
        <w:tc>
          <w:tcPr>
            <w:tcW w:w="1136" w:type="dxa"/>
            <w:vMerge w:val="restart"/>
            <w:tcBorders>
              <w:bottom w:val="nil"/>
            </w:tcBorders>
            <w:vAlign w:val="top"/>
          </w:tcPr>
          <w:p w14:paraId="33515B69">
            <w:pPr>
              <w:pStyle w:val="8"/>
              <w:spacing w:before="267" w:line="220" w:lineRule="auto"/>
              <w:ind w:left="208"/>
            </w:pPr>
            <w:r>
              <w:rPr>
                <w:b/>
                <w:bCs/>
                <w:spacing w:val="-4"/>
              </w:rPr>
              <w:t>事项名称</w:t>
            </w:r>
          </w:p>
        </w:tc>
        <w:tc>
          <w:tcPr>
            <w:tcW w:w="1136" w:type="dxa"/>
            <w:vMerge w:val="restart"/>
            <w:tcBorders>
              <w:bottom w:val="nil"/>
            </w:tcBorders>
            <w:vAlign w:val="top"/>
          </w:tcPr>
          <w:p w14:paraId="4E4F0E67">
            <w:pPr>
              <w:pStyle w:val="8"/>
              <w:spacing w:before="267" w:line="219" w:lineRule="auto"/>
              <w:ind w:left="210"/>
            </w:pPr>
            <w:r>
              <w:rPr>
                <w:b/>
                <w:bCs/>
                <w:spacing w:val="-4"/>
              </w:rPr>
              <w:t>职权类型</w:t>
            </w:r>
          </w:p>
        </w:tc>
        <w:tc>
          <w:tcPr>
            <w:tcW w:w="8806" w:type="dxa"/>
            <w:vMerge w:val="restart"/>
            <w:tcBorders>
              <w:bottom w:val="nil"/>
            </w:tcBorders>
            <w:vAlign w:val="top"/>
          </w:tcPr>
          <w:p w14:paraId="77CAA4FF">
            <w:pPr>
              <w:pStyle w:val="8"/>
              <w:spacing w:before="267" w:line="219" w:lineRule="auto"/>
              <w:ind w:left="4050"/>
            </w:pPr>
            <w:r>
              <w:rPr>
                <w:b/>
                <w:bCs/>
                <w:spacing w:val="-5"/>
              </w:rPr>
              <w:t>实施依据</w:t>
            </w:r>
          </w:p>
        </w:tc>
        <w:tc>
          <w:tcPr>
            <w:tcW w:w="3538" w:type="dxa"/>
            <w:gridSpan w:val="3"/>
            <w:vAlign w:val="top"/>
          </w:tcPr>
          <w:p w14:paraId="77FE58F6">
            <w:pPr>
              <w:pStyle w:val="8"/>
              <w:spacing w:before="92" w:line="220" w:lineRule="auto"/>
              <w:ind w:left="1415"/>
            </w:pPr>
            <w:r>
              <w:rPr>
                <w:b/>
                <w:bCs/>
                <w:spacing w:val="-5"/>
              </w:rPr>
              <w:t>实施主体</w:t>
            </w:r>
          </w:p>
        </w:tc>
      </w:tr>
      <w:tr w14:paraId="17133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5DCC579A">
            <w:pPr>
              <w:rPr>
                <w:rFonts w:ascii="Arial"/>
                <w:sz w:val="21"/>
              </w:rPr>
            </w:pPr>
          </w:p>
        </w:tc>
        <w:tc>
          <w:tcPr>
            <w:tcW w:w="1136" w:type="dxa"/>
            <w:vMerge w:val="continue"/>
            <w:tcBorders>
              <w:top w:val="nil"/>
            </w:tcBorders>
            <w:vAlign w:val="top"/>
          </w:tcPr>
          <w:p w14:paraId="38BA75B8">
            <w:pPr>
              <w:rPr>
                <w:rFonts w:ascii="Arial"/>
                <w:sz w:val="21"/>
              </w:rPr>
            </w:pPr>
          </w:p>
        </w:tc>
        <w:tc>
          <w:tcPr>
            <w:tcW w:w="1136" w:type="dxa"/>
            <w:vMerge w:val="continue"/>
            <w:tcBorders>
              <w:top w:val="nil"/>
            </w:tcBorders>
            <w:vAlign w:val="top"/>
          </w:tcPr>
          <w:p w14:paraId="59BEC4EE">
            <w:pPr>
              <w:rPr>
                <w:rFonts w:ascii="Arial"/>
                <w:sz w:val="21"/>
              </w:rPr>
            </w:pPr>
          </w:p>
        </w:tc>
        <w:tc>
          <w:tcPr>
            <w:tcW w:w="8806" w:type="dxa"/>
            <w:vMerge w:val="continue"/>
            <w:tcBorders>
              <w:top w:val="nil"/>
            </w:tcBorders>
            <w:vAlign w:val="top"/>
          </w:tcPr>
          <w:p w14:paraId="2B498DB7">
            <w:pPr>
              <w:rPr>
                <w:rFonts w:ascii="Arial"/>
                <w:sz w:val="21"/>
              </w:rPr>
            </w:pPr>
          </w:p>
        </w:tc>
        <w:tc>
          <w:tcPr>
            <w:tcW w:w="1043" w:type="dxa"/>
            <w:vAlign w:val="top"/>
          </w:tcPr>
          <w:p w14:paraId="39EF61C0">
            <w:pPr>
              <w:pStyle w:val="8"/>
              <w:spacing w:before="88" w:line="219" w:lineRule="auto"/>
              <w:ind w:left="171"/>
            </w:pPr>
            <w:r>
              <w:rPr>
                <w:b/>
                <w:bCs/>
                <w:spacing w:val="-5"/>
              </w:rPr>
              <w:t>责任部门</w:t>
            </w:r>
          </w:p>
        </w:tc>
        <w:tc>
          <w:tcPr>
            <w:tcW w:w="1448" w:type="dxa"/>
            <w:vAlign w:val="top"/>
          </w:tcPr>
          <w:p w14:paraId="772E8106">
            <w:pPr>
              <w:pStyle w:val="8"/>
              <w:spacing w:before="88" w:line="219" w:lineRule="auto"/>
              <w:ind w:left="187"/>
            </w:pPr>
            <w:r>
              <w:rPr>
                <w:b/>
                <w:bCs/>
                <w:spacing w:val="-3"/>
              </w:rPr>
              <w:t>第一责任层级</w:t>
            </w:r>
          </w:p>
        </w:tc>
        <w:tc>
          <w:tcPr>
            <w:tcW w:w="1047" w:type="dxa"/>
            <w:vAlign w:val="top"/>
          </w:tcPr>
          <w:p w14:paraId="0F714370">
            <w:pPr>
              <w:pStyle w:val="8"/>
              <w:spacing w:before="88" w:line="219" w:lineRule="auto"/>
              <w:ind w:left="165"/>
            </w:pPr>
            <w:r>
              <w:rPr>
                <w:b/>
                <w:bCs/>
                <w:spacing w:val="-4"/>
              </w:rPr>
              <w:t>承办机构</w:t>
            </w:r>
          </w:p>
        </w:tc>
      </w:tr>
      <w:tr w14:paraId="61916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2" w:hRule="atLeast"/>
        </w:trPr>
        <w:tc>
          <w:tcPr>
            <w:tcW w:w="641" w:type="dxa"/>
            <w:vAlign w:val="top"/>
          </w:tcPr>
          <w:p w14:paraId="306726D4">
            <w:pPr>
              <w:spacing w:line="268" w:lineRule="auto"/>
              <w:rPr>
                <w:rFonts w:ascii="Arial"/>
                <w:sz w:val="21"/>
              </w:rPr>
            </w:pPr>
          </w:p>
          <w:p w14:paraId="6D8E75D4">
            <w:pPr>
              <w:spacing w:line="268" w:lineRule="auto"/>
              <w:rPr>
                <w:rFonts w:ascii="Arial"/>
                <w:sz w:val="21"/>
              </w:rPr>
            </w:pPr>
          </w:p>
          <w:p w14:paraId="1F776EB3">
            <w:pPr>
              <w:spacing w:line="268" w:lineRule="auto"/>
              <w:rPr>
                <w:rFonts w:ascii="Arial"/>
                <w:sz w:val="21"/>
              </w:rPr>
            </w:pPr>
          </w:p>
          <w:p w14:paraId="2C8C5944">
            <w:pPr>
              <w:spacing w:line="269" w:lineRule="auto"/>
              <w:rPr>
                <w:rFonts w:ascii="Arial"/>
                <w:sz w:val="21"/>
              </w:rPr>
            </w:pPr>
          </w:p>
          <w:p w14:paraId="1F631312">
            <w:pPr>
              <w:spacing w:line="269" w:lineRule="auto"/>
              <w:rPr>
                <w:rFonts w:ascii="Arial"/>
                <w:sz w:val="21"/>
              </w:rPr>
            </w:pPr>
          </w:p>
          <w:p w14:paraId="5CD097D5">
            <w:pPr>
              <w:spacing w:line="269" w:lineRule="auto"/>
              <w:rPr>
                <w:rFonts w:ascii="Arial"/>
                <w:sz w:val="21"/>
              </w:rPr>
            </w:pPr>
          </w:p>
          <w:p w14:paraId="18D990C6">
            <w:pPr>
              <w:spacing w:line="269" w:lineRule="auto"/>
              <w:rPr>
                <w:rFonts w:ascii="Arial"/>
                <w:sz w:val="21"/>
              </w:rPr>
            </w:pPr>
          </w:p>
          <w:p w14:paraId="1BA6E9B0">
            <w:pPr>
              <w:spacing w:line="269" w:lineRule="auto"/>
              <w:rPr>
                <w:rFonts w:ascii="Arial"/>
                <w:sz w:val="21"/>
              </w:rPr>
            </w:pPr>
          </w:p>
          <w:p w14:paraId="5CCC8E6E">
            <w:pPr>
              <w:pStyle w:val="8"/>
              <w:spacing w:before="59" w:line="184" w:lineRule="auto"/>
              <w:ind w:left="202"/>
            </w:pPr>
            <w:r>
              <w:rPr>
                <w:spacing w:val="-7"/>
              </w:rPr>
              <w:t>101</w:t>
            </w:r>
          </w:p>
        </w:tc>
        <w:tc>
          <w:tcPr>
            <w:tcW w:w="1136" w:type="dxa"/>
            <w:vAlign w:val="top"/>
          </w:tcPr>
          <w:p w14:paraId="27AAF2B1">
            <w:pPr>
              <w:spacing w:line="273" w:lineRule="auto"/>
              <w:rPr>
                <w:rFonts w:ascii="Arial"/>
                <w:sz w:val="21"/>
              </w:rPr>
            </w:pPr>
          </w:p>
          <w:p w14:paraId="675999DD">
            <w:pPr>
              <w:spacing w:line="274" w:lineRule="auto"/>
              <w:rPr>
                <w:rFonts w:ascii="Arial"/>
                <w:sz w:val="21"/>
              </w:rPr>
            </w:pPr>
          </w:p>
          <w:p w14:paraId="714CC4D9">
            <w:pPr>
              <w:spacing w:line="274" w:lineRule="auto"/>
              <w:rPr>
                <w:rFonts w:ascii="Arial"/>
                <w:sz w:val="21"/>
              </w:rPr>
            </w:pPr>
          </w:p>
          <w:p w14:paraId="06CA48CF">
            <w:pPr>
              <w:spacing w:line="274" w:lineRule="auto"/>
              <w:rPr>
                <w:rFonts w:ascii="Arial"/>
                <w:sz w:val="21"/>
              </w:rPr>
            </w:pPr>
          </w:p>
          <w:p w14:paraId="493EBF68">
            <w:pPr>
              <w:spacing w:line="274" w:lineRule="auto"/>
              <w:rPr>
                <w:rFonts w:ascii="Arial"/>
                <w:sz w:val="21"/>
              </w:rPr>
            </w:pPr>
          </w:p>
          <w:p w14:paraId="23D436F4">
            <w:pPr>
              <w:spacing w:line="274" w:lineRule="auto"/>
              <w:rPr>
                <w:rFonts w:ascii="Arial"/>
                <w:sz w:val="21"/>
              </w:rPr>
            </w:pPr>
          </w:p>
          <w:p w14:paraId="0E384150">
            <w:pPr>
              <w:pStyle w:val="8"/>
              <w:spacing w:before="59"/>
              <w:ind w:left="110" w:right="104" w:hanging="1"/>
              <w:jc w:val="both"/>
            </w:pPr>
            <w:r>
              <w:rPr>
                <w:spacing w:val="3"/>
              </w:rPr>
              <w:t>对未经批准</w:t>
            </w:r>
            <w:r>
              <w:rPr>
                <w:spacing w:val="1"/>
              </w:rPr>
              <w:t xml:space="preserve"> </w:t>
            </w:r>
            <w:r>
              <w:rPr>
                <w:spacing w:val="3"/>
              </w:rPr>
              <w:t>擅自设置或</w:t>
            </w:r>
            <w:r>
              <w:t xml:space="preserve"> </w:t>
            </w:r>
            <w:r>
              <w:rPr>
                <w:spacing w:val="3"/>
              </w:rPr>
              <w:t>者撤销渡口</w:t>
            </w:r>
            <w:r>
              <w:t xml:space="preserve"> </w:t>
            </w:r>
            <w:r>
              <w:rPr>
                <w:spacing w:val="-4"/>
              </w:rPr>
              <w:t>的行政强制</w:t>
            </w:r>
          </w:p>
        </w:tc>
        <w:tc>
          <w:tcPr>
            <w:tcW w:w="1136" w:type="dxa"/>
            <w:vAlign w:val="top"/>
          </w:tcPr>
          <w:p w14:paraId="1DD09E99">
            <w:pPr>
              <w:spacing w:line="265" w:lineRule="auto"/>
              <w:rPr>
                <w:rFonts w:ascii="Arial"/>
                <w:sz w:val="21"/>
              </w:rPr>
            </w:pPr>
          </w:p>
          <w:p w14:paraId="5CE61B39">
            <w:pPr>
              <w:spacing w:line="265" w:lineRule="auto"/>
              <w:rPr>
                <w:rFonts w:ascii="Arial"/>
                <w:sz w:val="21"/>
              </w:rPr>
            </w:pPr>
          </w:p>
          <w:p w14:paraId="53AE68F6">
            <w:pPr>
              <w:spacing w:line="265" w:lineRule="auto"/>
              <w:rPr>
                <w:rFonts w:ascii="Arial"/>
                <w:sz w:val="21"/>
              </w:rPr>
            </w:pPr>
          </w:p>
          <w:p w14:paraId="25FA14C2">
            <w:pPr>
              <w:spacing w:line="265" w:lineRule="auto"/>
              <w:rPr>
                <w:rFonts w:ascii="Arial"/>
                <w:sz w:val="21"/>
              </w:rPr>
            </w:pPr>
          </w:p>
          <w:p w14:paraId="57B242B3">
            <w:pPr>
              <w:spacing w:line="265" w:lineRule="auto"/>
              <w:rPr>
                <w:rFonts w:ascii="Arial"/>
                <w:sz w:val="21"/>
              </w:rPr>
            </w:pPr>
          </w:p>
          <w:p w14:paraId="25726C69">
            <w:pPr>
              <w:spacing w:line="265" w:lineRule="auto"/>
              <w:rPr>
                <w:rFonts w:ascii="Arial"/>
                <w:sz w:val="21"/>
              </w:rPr>
            </w:pPr>
          </w:p>
          <w:p w14:paraId="0800D8B9">
            <w:pPr>
              <w:spacing w:line="266" w:lineRule="auto"/>
              <w:rPr>
                <w:rFonts w:ascii="Arial"/>
                <w:sz w:val="21"/>
              </w:rPr>
            </w:pPr>
          </w:p>
          <w:p w14:paraId="62FB6F80">
            <w:pPr>
              <w:spacing w:line="266" w:lineRule="auto"/>
              <w:rPr>
                <w:rFonts w:ascii="Arial"/>
                <w:sz w:val="21"/>
              </w:rPr>
            </w:pPr>
          </w:p>
          <w:p w14:paraId="724ABE86">
            <w:pPr>
              <w:pStyle w:val="8"/>
              <w:spacing w:before="58" w:line="220" w:lineRule="auto"/>
              <w:ind w:left="114"/>
            </w:pPr>
            <w:r>
              <w:rPr>
                <w:spacing w:val="-7"/>
              </w:rPr>
              <w:t>行政强制</w:t>
            </w:r>
          </w:p>
        </w:tc>
        <w:tc>
          <w:tcPr>
            <w:tcW w:w="8806" w:type="dxa"/>
            <w:vAlign w:val="top"/>
          </w:tcPr>
          <w:p w14:paraId="7C8B18AE">
            <w:pPr>
              <w:spacing w:line="333" w:lineRule="auto"/>
              <w:rPr>
                <w:rFonts w:ascii="Arial"/>
                <w:sz w:val="21"/>
              </w:rPr>
            </w:pPr>
          </w:p>
          <w:p w14:paraId="664BA53E">
            <w:pPr>
              <w:pStyle w:val="8"/>
              <w:spacing w:before="59" w:line="219" w:lineRule="auto"/>
              <w:ind w:left="481"/>
            </w:pPr>
            <w:r>
              <w:rPr>
                <w:b/>
                <w:bCs/>
                <w:spacing w:val="-4"/>
              </w:rPr>
              <w:t>1.《中华人民共和国内河交通安全管理条</w:t>
            </w:r>
            <w:r>
              <w:rPr>
                <w:b/>
                <w:bCs/>
                <w:spacing w:val="-5"/>
              </w:rPr>
              <w:t>例》</w:t>
            </w:r>
          </w:p>
          <w:p w14:paraId="6E783E3E">
            <w:pPr>
              <w:pStyle w:val="8"/>
              <w:spacing w:before="25" w:line="233" w:lineRule="auto"/>
              <w:ind w:left="112" w:right="103" w:firstLine="356"/>
            </w:pPr>
            <w:r>
              <w:rPr>
                <w:spacing w:val="-1"/>
              </w:rPr>
              <w:t>第三十五条  设置或者撤销渡口，应当经渡口所在地的县级人民政府审批；县级人民政府审批</w:t>
            </w:r>
            <w:r>
              <w:rPr>
                <w:spacing w:val="-2"/>
              </w:rPr>
              <w:t>前，应当征</w:t>
            </w:r>
            <w:r>
              <w:t xml:space="preserve"> </w:t>
            </w:r>
            <w:r>
              <w:rPr>
                <w:spacing w:val="-3"/>
              </w:rPr>
              <w:t>求当地海事管理机构的意见。</w:t>
            </w:r>
          </w:p>
          <w:p w14:paraId="29DE3709">
            <w:pPr>
              <w:pStyle w:val="8"/>
              <w:spacing w:before="27" w:line="237" w:lineRule="auto"/>
              <w:ind w:left="109" w:right="103" w:firstLine="358"/>
            </w:pPr>
            <w:r>
              <w:rPr>
                <w:spacing w:val="-1"/>
              </w:rPr>
              <w:t>第七十二条  违反本条例的规定，未经批准擅自设置或者撤销渡口的，由渡口所在地县级人民</w:t>
            </w:r>
            <w:r>
              <w:rPr>
                <w:spacing w:val="-2"/>
              </w:rPr>
              <w:t>政府指定的</w:t>
            </w:r>
            <w:r>
              <w:t xml:space="preserve"> </w:t>
            </w:r>
            <w:r>
              <w:rPr>
                <w:spacing w:val="-1"/>
              </w:rPr>
              <w:t>部门责令限期改正；逾期不改正的，予以强制拆除或者恢复，因强制拆除或者恢复发生的费用分</w:t>
            </w:r>
            <w:r>
              <w:rPr>
                <w:spacing w:val="-2"/>
              </w:rPr>
              <w:t>别由设置人、</w:t>
            </w:r>
            <w:r>
              <w:t xml:space="preserve"> </w:t>
            </w:r>
            <w:r>
              <w:rPr>
                <w:spacing w:val="-3"/>
              </w:rPr>
              <w:t>撤销人承担。</w:t>
            </w:r>
          </w:p>
          <w:p w14:paraId="69FBF65D">
            <w:pPr>
              <w:pStyle w:val="8"/>
              <w:spacing w:before="25" w:line="219" w:lineRule="auto"/>
              <w:ind w:left="470"/>
            </w:pPr>
            <w:r>
              <w:rPr>
                <w:b/>
                <w:bCs/>
                <w:spacing w:val="-3"/>
              </w:rPr>
              <w:t>2.《内河渡口渡船安全管理规定》（交通运输部令2</w:t>
            </w:r>
            <w:r>
              <w:rPr>
                <w:b/>
                <w:bCs/>
                <w:spacing w:val="-4"/>
              </w:rPr>
              <w:t>014年第9号）</w:t>
            </w:r>
          </w:p>
          <w:p w14:paraId="2BD7F890">
            <w:pPr>
              <w:pStyle w:val="8"/>
              <w:spacing w:before="27" w:line="237" w:lineRule="auto"/>
              <w:ind w:left="110" w:right="45" w:firstLine="357"/>
              <w:jc w:val="both"/>
            </w:pPr>
            <w:r>
              <w:rPr>
                <w:spacing w:val="-4"/>
              </w:rPr>
              <w:t>第五条  县级人民政府在审批渡口的设置和撤销时应当充分考虑安全因素，明确渡运水域范围、渡运路线、</w:t>
            </w:r>
            <w:r>
              <w:rPr>
                <w:spacing w:val="18"/>
              </w:rPr>
              <w:t xml:space="preserve"> </w:t>
            </w:r>
            <w:r>
              <w:rPr>
                <w:spacing w:val="-1"/>
              </w:rPr>
              <w:t>渡运时段、渡口位置等主要内容。审批前应当征求渡口所在地海事管理机构的意见，涉及公路管</w:t>
            </w:r>
            <w:r>
              <w:rPr>
                <w:spacing w:val="-2"/>
              </w:rPr>
              <w:t>理职责的，还</w:t>
            </w:r>
            <w:r>
              <w:t xml:space="preserve"> </w:t>
            </w:r>
            <w:r>
              <w:rPr>
                <w:spacing w:val="-3"/>
              </w:rPr>
              <w:t>应当征求公路管理机构的意见。</w:t>
            </w:r>
          </w:p>
          <w:p w14:paraId="7676D520">
            <w:pPr>
              <w:pStyle w:val="8"/>
              <w:spacing w:before="25" w:line="233" w:lineRule="auto"/>
              <w:ind w:left="112" w:right="103" w:firstLine="355"/>
            </w:pPr>
            <w:r>
              <w:rPr>
                <w:spacing w:val="-1"/>
              </w:rPr>
              <w:t>渡运水域涉及两个或者两个以上县级行政区域的，由渡口相关的人民政府协调处理，并征求</w:t>
            </w:r>
            <w:r>
              <w:rPr>
                <w:spacing w:val="-2"/>
              </w:rPr>
              <w:t>相应的海事管</w:t>
            </w:r>
            <w:r>
              <w:t xml:space="preserve"> </w:t>
            </w:r>
            <w:r>
              <w:rPr>
                <w:spacing w:val="-3"/>
              </w:rPr>
              <w:t>理机构意见。</w:t>
            </w:r>
          </w:p>
          <w:p w14:paraId="2F21136F">
            <w:pPr>
              <w:pStyle w:val="8"/>
              <w:spacing w:before="26" w:line="219" w:lineRule="auto"/>
              <w:ind w:left="468"/>
            </w:pPr>
            <w:r>
              <w:rPr>
                <w:spacing w:val="-3"/>
              </w:rPr>
              <w:t>严禁非法设置渡口。</w:t>
            </w:r>
          </w:p>
          <w:p w14:paraId="5D9E3524">
            <w:pPr>
              <w:pStyle w:val="8"/>
              <w:spacing w:before="27" w:line="237" w:lineRule="auto"/>
              <w:ind w:left="112" w:right="103" w:firstLine="356"/>
            </w:pPr>
            <w:r>
              <w:rPr>
                <w:spacing w:val="-1"/>
              </w:rPr>
              <w:t>第四十一条  违反第五条规定未经批准擅自设置或者撤销渡口的，由渡口所在地县级人民政府</w:t>
            </w:r>
            <w:r>
              <w:rPr>
                <w:spacing w:val="-2"/>
              </w:rPr>
              <w:t>指定的部门</w:t>
            </w:r>
            <w:r>
              <w:t xml:space="preserve"> </w:t>
            </w:r>
            <w:r>
              <w:rPr>
                <w:spacing w:val="-1"/>
              </w:rPr>
              <w:t>责令限期改正；逾期不改正的，予以强制拆除或者恢复，因强制拆除或者恢复发生的费用分</w:t>
            </w:r>
            <w:r>
              <w:rPr>
                <w:spacing w:val="-2"/>
              </w:rPr>
              <w:t>别由设置人、撤销</w:t>
            </w:r>
            <w:r>
              <w:t xml:space="preserve"> </w:t>
            </w:r>
            <w:r>
              <w:rPr>
                <w:spacing w:val="-4"/>
              </w:rPr>
              <w:t>人承担。</w:t>
            </w:r>
          </w:p>
        </w:tc>
        <w:tc>
          <w:tcPr>
            <w:tcW w:w="1043" w:type="dxa"/>
            <w:vAlign w:val="top"/>
          </w:tcPr>
          <w:p w14:paraId="174A249A">
            <w:pPr>
              <w:spacing w:line="250" w:lineRule="auto"/>
              <w:rPr>
                <w:rFonts w:ascii="Arial"/>
                <w:sz w:val="21"/>
              </w:rPr>
            </w:pPr>
          </w:p>
          <w:p w14:paraId="528EBC18">
            <w:pPr>
              <w:spacing w:line="250" w:lineRule="auto"/>
              <w:rPr>
                <w:rFonts w:ascii="Arial"/>
                <w:sz w:val="21"/>
              </w:rPr>
            </w:pPr>
          </w:p>
          <w:p w14:paraId="1E1ED9DA">
            <w:pPr>
              <w:spacing w:line="250" w:lineRule="auto"/>
              <w:rPr>
                <w:rFonts w:ascii="Arial"/>
                <w:sz w:val="21"/>
              </w:rPr>
            </w:pPr>
          </w:p>
          <w:p w14:paraId="25768AFB">
            <w:pPr>
              <w:spacing w:line="250" w:lineRule="auto"/>
              <w:rPr>
                <w:rFonts w:ascii="Arial"/>
                <w:sz w:val="21"/>
              </w:rPr>
            </w:pPr>
          </w:p>
          <w:p w14:paraId="53B5BF18">
            <w:pPr>
              <w:spacing w:line="250" w:lineRule="auto"/>
              <w:rPr>
                <w:rFonts w:ascii="Arial"/>
                <w:sz w:val="21"/>
              </w:rPr>
            </w:pPr>
          </w:p>
          <w:p w14:paraId="5DB5F555">
            <w:pPr>
              <w:spacing w:line="250" w:lineRule="auto"/>
              <w:rPr>
                <w:rFonts w:ascii="Arial"/>
                <w:sz w:val="21"/>
              </w:rPr>
            </w:pPr>
          </w:p>
          <w:p w14:paraId="7CE68A0C">
            <w:pPr>
              <w:spacing w:line="251" w:lineRule="auto"/>
              <w:rPr>
                <w:rFonts w:ascii="Arial"/>
                <w:sz w:val="21"/>
              </w:rPr>
            </w:pPr>
          </w:p>
          <w:p w14:paraId="1F932601">
            <w:pPr>
              <w:spacing w:line="251" w:lineRule="auto"/>
              <w:rPr>
                <w:rFonts w:ascii="Arial"/>
                <w:sz w:val="21"/>
              </w:rPr>
            </w:pPr>
          </w:p>
          <w:p w14:paraId="5135C5E9">
            <w:pPr>
              <w:pStyle w:val="8"/>
              <w:spacing w:before="59"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0B29B19F">
            <w:pPr>
              <w:spacing w:line="265" w:lineRule="auto"/>
              <w:rPr>
                <w:rFonts w:ascii="Arial"/>
                <w:sz w:val="21"/>
              </w:rPr>
            </w:pPr>
          </w:p>
          <w:p w14:paraId="795B5DAC">
            <w:pPr>
              <w:spacing w:line="265" w:lineRule="auto"/>
              <w:rPr>
                <w:rFonts w:ascii="Arial"/>
                <w:sz w:val="21"/>
              </w:rPr>
            </w:pPr>
          </w:p>
          <w:p w14:paraId="6ECE7531">
            <w:pPr>
              <w:spacing w:line="265" w:lineRule="auto"/>
              <w:rPr>
                <w:rFonts w:ascii="Arial"/>
                <w:sz w:val="21"/>
              </w:rPr>
            </w:pPr>
          </w:p>
          <w:p w14:paraId="7672A142">
            <w:pPr>
              <w:spacing w:line="265" w:lineRule="auto"/>
              <w:rPr>
                <w:rFonts w:ascii="Arial"/>
                <w:sz w:val="21"/>
              </w:rPr>
            </w:pPr>
          </w:p>
          <w:p w14:paraId="7634DF3D">
            <w:pPr>
              <w:spacing w:line="265" w:lineRule="auto"/>
              <w:rPr>
                <w:rFonts w:ascii="Arial"/>
                <w:sz w:val="21"/>
              </w:rPr>
            </w:pPr>
          </w:p>
          <w:p w14:paraId="340B374F">
            <w:pPr>
              <w:spacing w:line="265" w:lineRule="auto"/>
              <w:rPr>
                <w:rFonts w:ascii="Arial"/>
                <w:sz w:val="21"/>
              </w:rPr>
            </w:pPr>
          </w:p>
          <w:p w14:paraId="386E204F">
            <w:pPr>
              <w:spacing w:line="266" w:lineRule="auto"/>
              <w:rPr>
                <w:rFonts w:ascii="Arial"/>
                <w:sz w:val="21"/>
              </w:rPr>
            </w:pPr>
          </w:p>
          <w:p w14:paraId="653DCC1B">
            <w:pPr>
              <w:spacing w:line="266" w:lineRule="auto"/>
              <w:rPr>
                <w:rFonts w:ascii="Arial"/>
                <w:sz w:val="21"/>
              </w:rPr>
            </w:pPr>
          </w:p>
          <w:p w14:paraId="6DB4DF5F">
            <w:pPr>
              <w:pStyle w:val="8"/>
              <w:spacing w:before="59" w:line="221" w:lineRule="auto"/>
            </w:pPr>
            <w:r>
              <w:rPr>
                <w:rFonts w:hint="eastAsia"/>
                <w:spacing w:val="-8"/>
                <w:lang w:eastAsia="zh-CN"/>
              </w:rPr>
              <w:t>津市市交通运输局</w:t>
            </w:r>
          </w:p>
        </w:tc>
        <w:tc>
          <w:tcPr>
            <w:tcW w:w="1047" w:type="dxa"/>
            <w:vAlign w:val="top"/>
          </w:tcPr>
          <w:p w14:paraId="7772AF15">
            <w:pPr>
              <w:spacing w:line="252" w:lineRule="auto"/>
              <w:rPr>
                <w:rFonts w:ascii="Arial"/>
                <w:sz w:val="21"/>
              </w:rPr>
            </w:pPr>
          </w:p>
          <w:p w14:paraId="1753D89B">
            <w:pPr>
              <w:spacing w:line="252" w:lineRule="auto"/>
              <w:rPr>
                <w:rFonts w:ascii="Arial"/>
                <w:sz w:val="21"/>
              </w:rPr>
            </w:pPr>
          </w:p>
          <w:p w14:paraId="7D7985D1">
            <w:pPr>
              <w:spacing w:line="252" w:lineRule="auto"/>
              <w:rPr>
                <w:rFonts w:ascii="Arial"/>
                <w:sz w:val="21"/>
              </w:rPr>
            </w:pPr>
          </w:p>
          <w:p w14:paraId="4781F7F9">
            <w:pPr>
              <w:spacing w:line="252" w:lineRule="auto"/>
              <w:rPr>
                <w:rFonts w:ascii="Arial"/>
                <w:sz w:val="21"/>
              </w:rPr>
            </w:pPr>
          </w:p>
          <w:p w14:paraId="34C2243C">
            <w:pPr>
              <w:spacing w:line="252" w:lineRule="auto"/>
              <w:rPr>
                <w:rFonts w:ascii="Arial"/>
                <w:sz w:val="21"/>
              </w:rPr>
            </w:pPr>
          </w:p>
          <w:p w14:paraId="2E9B953E">
            <w:pPr>
              <w:spacing w:line="252" w:lineRule="auto"/>
              <w:rPr>
                <w:rFonts w:ascii="Arial"/>
                <w:sz w:val="21"/>
              </w:rPr>
            </w:pPr>
          </w:p>
          <w:p w14:paraId="7DEBE14E">
            <w:pPr>
              <w:spacing w:line="253" w:lineRule="auto"/>
              <w:rPr>
                <w:rFonts w:ascii="Arial"/>
                <w:sz w:val="21"/>
              </w:rPr>
            </w:pPr>
          </w:p>
          <w:p w14:paraId="4C34CB0C">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59799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1" w:hRule="atLeast"/>
        </w:trPr>
        <w:tc>
          <w:tcPr>
            <w:tcW w:w="641" w:type="dxa"/>
            <w:vAlign w:val="top"/>
          </w:tcPr>
          <w:p w14:paraId="1D73E2FB">
            <w:pPr>
              <w:spacing w:line="254" w:lineRule="auto"/>
              <w:rPr>
                <w:rFonts w:ascii="Arial"/>
                <w:sz w:val="21"/>
              </w:rPr>
            </w:pPr>
          </w:p>
          <w:p w14:paraId="46435117">
            <w:pPr>
              <w:spacing w:line="254" w:lineRule="auto"/>
              <w:rPr>
                <w:rFonts w:ascii="Arial"/>
                <w:sz w:val="21"/>
              </w:rPr>
            </w:pPr>
          </w:p>
          <w:p w14:paraId="277DD66B">
            <w:pPr>
              <w:spacing w:line="254" w:lineRule="auto"/>
              <w:rPr>
                <w:rFonts w:ascii="Arial"/>
                <w:sz w:val="21"/>
              </w:rPr>
            </w:pPr>
          </w:p>
          <w:p w14:paraId="0436A80A">
            <w:pPr>
              <w:spacing w:line="254" w:lineRule="auto"/>
              <w:rPr>
                <w:rFonts w:ascii="Arial"/>
                <w:sz w:val="21"/>
              </w:rPr>
            </w:pPr>
          </w:p>
          <w:p w14:paraId="70B1EA8C">
            <w:pPr>
              <w:spacing w:line="254" w:lineRule="auto"/>
              <w:rPr>
                <w:rFonts w:ascii="Arial"/>
                <w:sz w:val="21"/>
              </w:rPr>
            </w:pPr>
          </w:p>
          <w:p w14:paraId="03A9E665">
            <w:pPr>
              <w:spacing w:line="254" w:lineRule="auto"/>
              <w:rPr>
                <w:rFonts w:ascii="Arial"/>
                <w:sz w:val="21"/>
              </w:rPr>
            </w:pPr>
          </w:p>
          <w:p w14:paraId="2EAA9B55">
            <w:pPr>
              <w:spacing w:line="254" w:lineRule="auto"/>
              <w:rPr>
                <w:rFonts w:ascii="Arial"/>
                <w:sz w:val="21"/>
              </w:rPr>
            </w:pPr>
          </w:p>
          <w:p w14:paraId="15DB77CB">
            <w:pPr>
              <w:pStyle w:val="8"/>
              <w:spacing w:before="58" w:line="184" w:lineRule="auto"/>
              <w:ind w:left="202"/>
            </w:pPr>
            <w:r>
              <w:rPr>
                <w:spacing w:val="-7"/>
              </w:rPr>
              <w:t>102</w:t>
            </w:r>
          </w:p>
        </w:tc>
        <w:tc>
          <w:tcPr>
            <w:tcW w:w="1136" w:type="dxa"/>
            <w:vAlign w:val="top"/>
          </w:tcPr>
          <w:p w14:paraId="7BD3C887">
            <w:pPr>
              <w:spacing w:line="266" w:lineRule="auto"/>
              <w:rPr>
                <w:rFonts w:ascii="Arial"/>
                <w:sz w:val="21"/>
              </w:rPr>
            </w:pPr>
          </w:p>
          <w:p w14:paraId="1586165A">
            <w:pPr>
              <w:spacing w:line="266" w:lineRule="auto"/>
              <w:rPr>
                <w:rFonts w:ascii="Arial"/>
                <w:sz w:val="21"/>
              </w:rPr>
            </w:pPr>
          </w:p>
          <w:p w14:paraId="0769395A">
            <w:pPr>
              <w:spacing w:line="267" w:lineRule="auto"/>
              <w:rPr>
                <w:rFonts w:ascii="Arial"/>
                <w:sz w:val="21"/>
              </w:rPr>
            </w:pPr>
          </w:p>
          <w:p w14:paraId="5D62EDE2">
            <w:pPr>
              <w:pStyle w:val="8"/>
              <w:spacing w:before="58" w:line="243" w:lineRule="auto"/>
              <w:ind w:left="109" w:right="104"/>
            </w:pPr>
            <w:r>
              <w:rPr>
                <w:spacing w:val="3"/>
              </w:rPr>
              <w:t>对在内河通</w:t>
            </w:r>
            <w:r>
              <w:rPr>
                <w:spacing w:val="1"/>
              </w:rPr>
              <w:t xml:space="preserve"> </w:t>
            </w:r>
            <w:r>
              <w:rPr>
                <w:spacing w:val="3"/>
              </w:rPr>
              <w:t>航水域的航</w:t>
            </w:r>
            <w:r>
              <w:rPr>
                <w:spacing w:val="1"/>
              </w:rPr>
              <w:t xml:space="preserve"> </w:t>
            </w:r>
            <w:r>
              <w:rPr>
                <w:spacing w:val="-2"/>
              </w:rPr>
              <w:t>道内养殖、</w:t>
            </w:r>
            <w:r>
              <w:t xml:space="preserve"> </w:t>
            </w:r>
            <w:r>
              <w:rPr>
                <w:spacing w:val="-2"/>
              </w:rPr>
              <w:t>种植植物、</w:t>
            </w:r>
            <w:r>
              <w:t xml:space="preserve"> </w:t>
            </w:r>
            <w:r>
              <w:rPr>
                <w:spacing w:val="3"/>
              </w:rPr>
              <w:t>水生物或者</w:t>
            </w:r>
            <w:r>
              <w:rPr>
                <w:spacing w:val="1"/>
              </w:rPr>
              <w:t xml:space="preserve"> </w:t>
            </w:r>
            <w:r>
              <w:rPr>
                <w:spacing w:val="3"/>
              </w:rPr>
              <w:t>设置永久性</w:t>
            </w:r>
            <w:r>
              <w:rPr>
                <w:spacing w:val="1"/>
              </w:rPr>
              <w:t xml:space="preserve"> </w:t>
            </w:r>
            <w:r>
              <w:rPr>
                <w:spacing w:val="3"/>
              </w:rPr>
              <w:t>固定设施行</w:t>
            </w:r>
            <w:r>
              <w:rPr>
                <w:spacing w:val="1"/>
              </w:rPr>
              <w:t xml:space="preserve"> </w:t>
            </w:r>
            <w:r>
              <w:rPr>
                <w:spacing w:val="3"/>
              </w:rPr>
              <w:t>为的行政强</w:t>
            </w:r>
            <w:r>
              <w:rPr>
                <w:spacing w:val="1"/>
              </w:rPr>
              <w:t xml:space="preserve"> </w:t>
            </w:r>
            <w:r>
              <w:t>制</w:t>
            </w:r>
          </w:p>
        </w:tc>
        <w:tc>
          <w:tcPr>
            <w:tcW w:w="1136" w:type="dxa"/>
            <w:vAlign w:val="top"/>
          </w:tcPr>
          <w:p w14:paraId="70D72C95">
            <w:pPr>
              <w:spacing w:line="250" w:lineRule="auto"/>
              <w:rPr>
                <w:rFonts w:ascii="Arial"/>
                <w:sz w:val="21"/>
              </w:rPr>
            </w:pPr>
          </w:p>
          <w:p w14:paraId="76E777ED">
            <w:pPr>
              <w:spacing w:line="250" w:lineRule="auto"/>
              <w:rPr>
                <w:rFonts w:ascii="Arial"/>
                <w:sz w:val="21"/>
              </w:rPr>
            </w:pPr>
          </w:p>
          <w:p w14:paraId="69EC22CD">
            <w:pPr>
              <w:spacing w:line="250" w:lineRule="auto"/>
              <w:rPr>
                <w:rFonts w:ascii="Arial"/>
                <w:sz w:val="21"/>
              </w:rPr>
            </w:pPr>
          </w:p>
          <w:p w14:paraId="100C54A8">
            <w:pPr>
              <w:spacing w:line="250" w:lineRule="auto"/>
              <w:rPr>
                <w:rFonts w:ascii="Arial"/>
                <w:sz w:val="21"/>
              </w:rPr>
            </w:pPr>
          </w:p>
          <w:p w14:paraId="538927D6">
            <w:pPr>
              <w:spacing w:line="250" w:lineRule="auto"/>
              <w:rPr>
                <w:rFonts w:ascii="Arial"/>
                <w:sz w:val="21"/>
              </w:rPr>
            </w:pPr>
          </w:p>
          <w:p w14:paraId="5765ED88">
            <w:pPr>
              <w:spacing w:line="250" w:lineRule="auto"/>
              <w:rPr>
                <w:rFonts w:ascii="Arial"/>
                <w:sz w:val="21"/>
              </w:rPr>
            </w:pPr>
          </w:p>
          <w:p w14:paraId="74852E90">
            <w:pPr>
              <w:spacing w:line="250" w:lineRule="auto"/>
              <w:rPr>
                <w:rFonts w:ascii="Arial"/>
                <w:sz w:val="21"/>
              </w:rPr>
            </w:pPr>
          </w:p>
          <w:p w14:paraId="0A36578A">
            <w:pPr>
              <w:pStyle w:val="8"/>
              <w:spacing w:before="59" w:line="220" w:lineRule="auto"/>
              <w:ind w:left="114"/>
            </w:pPr>
            <w:r>
              <w:rPr>
                <w:spacing w:val="-7"/>
              </w:rPr>
              <w:t>行政强制</w:t>
            </w:r>
          </w:p>
        </w:tc>
        <w:tc>
          <w:tcPr>
            <w:tcW w:w="8806" w:type="dxa"/>
            <w:vAlign w:val="top"/>
          </w:tcPr>
          <w:p w14:paraId="1C966270">
            <w:pPr>
              <w:spacing w:line="439" w:lineRule="auto"/>
              <w:rPr>
                <w:rFonts w:ascii="Arial"/>
                <w:sz w:val="21"/>
              </w:rPr>
            </w:pPr>
          </w:p>
          <w:p w14:paraId="064895A5">
            <w:pPr>
              <w:pStyle w:val="8"/>
              <w:spacing w:before="58" w:line="219" w:lineRule="auto"/>
              <w:ind w:left="481"/>
            </w:pPr>
            <w:r>
              <w:rPr>
                <w:b/>
                <w:bCs/>
                <w:spacing w:val="-5"/>
              </w:rPr>
              <w:t>1.《中华人民共和国行政强制法》</w:t>
            </w:r>
          </w:p>
          <w:p w14:paraId="7EE5840F">
            <w:pPr>
              <w:pStyle w:val="8"/>
              <w:spacing w:before="27" w:line="237" w:lineRule="auto"/>
              <w:ind w:left="112" w:right="59" w:firstLine="356"/>
              <w:jc w:val="both"/>
            </w:pPr>
            <w:r>
              <w:rPr>
                <w:spacing w:val="-5"/>
              </w:rPr>
              <w:t>第五十条  行政机关依法作出要求当事人履行排除妨碍、恢复原状等义务的行政决定，</w:t>
            </w:r>
            <w:r>
              <w:rPr>
                <w:spacing w:val="-38"/>
              </w:rPr>
              <w:t xml:space="preserve"> </w:t>
            </w:r>
            <w:r>
              <w:rPr>
                <w:spacing w:val="-5"/>
              </w:rPr>
              <w:t>当事人逾期不履行，</w:t>
            </w:r>
            <w:r>
              <w:t xml:space="preserve"> </w:t>
            </w:r>
            <w:r>
              <w:rPr>
                <w:spacing w:val="-6"/>
              </w:rPr>
              <w:t>经催 告仍不履行，其后果已经或者将危害交通安全、造成环境污染或者破坏自然资源的，行政机关可以代履行，</w:t>
            </w:r>
            <w:r>
              <w:rPr>
                <w:spacing w:val="18"/>
              </w:rPr>
              <w:t xml:space="preserve"> </w:t>
            </w:r>
            <w:r>
              <w:rPr>
                <w:spacing w:val="-3"/>
              </w:rPr>
              <w:t>或者委托 没有利害关系的第三人代履行。</w:t>
            </w:r>
          </w:p>
          <w:p w14:paraId="7CCE855D">
            <w:pPr>
              <w:pStyle w:val="8"/>
              <w:spacing w:before="27" w:line="238" w:lineRule="auto"/>
              <w:ind w:left="121" w:right="103" w:firstLine="346"/>
              <w:jc w:val="both"/>
            </w:pPr>
            <w:r>
              <w:rPr>
                <w:spacing w:val="-1"/>
              </w:rPr>
              <w:t>第五十二条  需要立即清除道路、河道、航道或者公共场所的遗洒物、障碍物或者污染物，当</w:t>
            </w:r>
            <w:r>
              <w:rPr>
                <w:spacing w:val="-2"/>
              </w:rPr>
              <w:t>事人不能清</w:t>
            </w:r>
            <w:r>
              <w:t xml:space="preserve"> </w:t>
            </w:r>
            <w:r>
              <w:rPr>
                <w:spacing w:val="-1"/>
              </w:rPr>
              <w:t>除的，行政机关可以决定立即实施代履行；当事人不在场的，行政机关</w:t>
            </w:r>
            <w:r>
              <w:rPr>
                <w:spacing w:val="-2"/>
              </w:rPr>
              <w:t>应当在事后立即通知当事人，并依法作</w:t>
            </w:r>
            <w:r>
              <w:t xml:space="preserve"> </w:t>
            </w:r>
            <w:r>
              <w:rPr>
                <w:spacing w:val="-6"/>
              </w:rPr>
              <w:t>出处理。</w:t>
            </w:r>
          </w:p>
          <w:p w14:paraId="6AD366E4">
            <w:pPr>
              <w:pStyle w:val="8"/>
              <w:spacing w:before="22" w:line="219" w:lineRule="auto"/>
              <w:ind w:left="470"/>
            </w:pPr>
            <w:r>
              <w:rPr>
                <w:b/>
                <w:bCs/>
                <w:spacing w:val="-4"/>
              </w:rPr>
              <w:t>2.《中华人民共和国内河交通安全管理条例》</w:t>
            </w:r>
          </w:p>
          <w:p w14:paraId="22511792">
            <w:pPr>
              <w:pStyle w:val="8"/>
              <w:spacing w:before="26" w:line="219" w:lineRule="auto"/>
              <w:ind w:left="468"/>
            </w:pPr>
            <w:r>
              <w:rPr>
                <w:spacing w:val="-2"/>
              </w:rPr>
              <w:t>第二十七条第一款  航道内不得养殖、种植植物、水生物和设置永</w:t>
            </w:r>
            <w:r>
              <w:rPr>
                <w:spacing w:val="-3"/>
              </w:rPr>
              <w:t>久性固定设施。</w:t>
            </w:r>
          </w:p>
          <w:p w14:paraId="53DBBC24">
            <w:pPr>
              <w:pStyle w:val="8"/>
              <w:spacing w:before="27" w:line="237" w:lineRule="auto"/>
              <w:ind w:left="113" w:right="103" w:firstLine="354"/>
            </w:pPr>
            <w:r>
              <w:rPr>
                <w:spacing w:val="-1"/>
              </w:rPr>
              <w:t>第七十四条  违反本条例的规定，在内河通航水域的航道内养殖、种植植物、水生物或者设置</w:t>
            </w:r>
            <w:r>
              <w:rPr>
                <w:spacing w:val="-2"/>
              </w:rPr>
              <w:t>永久性固定</w:t>
            </w:r>
            <w:r>
              <w:t xml:space="preserve"> </w:t>
            </w:r>
            <w:r>
              <w:rPr>
                <w:spacing w:val="-3"/>
              </w:rPr>
              <w:t>设施的， 由海事管理机构责令限期改正；逾期不改正的，予以强制清除，因清除发生的费用由其所有人或者经</w:t>
            </w:r>
            <w:r>
              <w:t xml:space="preserve"> </w:t>
            </w:r>
            <w:r>
              <w:rPr>
                <w:spacing w:val="-6"/>
              </w:rPr>
              <w:t>营人承担。</w:t>
            </w:r>
          </w:p>
        </w:tc>
        <w:tc>
          <w:tcPr>
            <w:tcW w:w="1043" w:type="dxa"/>
            <w:vAlign w:val="top"/>
          </w:tcPr>
          <w:p w14:paraId="55918704">
            <w:pPr>
              <w:spacing w:line="271" w:lineRule="auto"/>
              <w:rPr>
                <w:rFonts w:ascii="Arial"/>
                <w:sz w:val="21"/>
              </w:rPr>
            </w:pPr>
          </w:p>
          <w:p w14:paraId="6ECEF607">
            <w:pPr>
              <w:spacing w:line="272" w:lineRule="auto"/>
              <w:rPr>
                <w:rFonts w:ascii="Arial"/>
                <w:sz w:val="21"/>
              </w:rPr>
            </w:pPr>
          </w:p>
          <w:p w14:paraId="71D8655D">
            <w:pPr>
              <w:spacing w:line="272" w:lineRule="auto"/>
              <w:rPr>
                <w:rFonts w:ascii="Arial"/>
                <w:sz w:val="21"/>
              </w:rPr>
            </w:pPr>
          </w:p>
          <w:p w14:paraId="1A5A040B">
            <w:pPr>
              <w:spacing w:line="272" w:lineRule="auto"/>
              <w:rPr>
                <w:rFonts w:ascii="Arial"/>
                <w:sz w:val="21"/>
              </w:rPr>
            </w:pPr>
          </w:p>
          <w:p w14:paraId="774A9E14">
            <w:pPr>
              <w:spacing w:line="272" w:lineRule="auto"/>
              <w:rPr>
                <w:rFonts w:ascii="Arial"/>
                <w:sz w:val="21"/>
              </w:rPr>
            </w:pPr>
          </w:p>
          <w:p w14:paraId="1269AD32">
            <w:pPr>
              <w:spacing w:line="272" w:lineRule="auto"/>
              <w:rPr>
                <w:rFonts w:ascii="Arial"/>
                <w:sz w:val="21"/>
              </w:rPr>
            </w:pPr>
          </w:p>
          <w:p w14:paraId="3EC6841A">
            <w:pPr>
              <w:pStyle w:val="8"/>
              <w:spacing w:before="58" w:line="233" w:lineRule="auto"/>
              <w:ind w:left="183" w:right="166" w:firstLine="2"/>
            </w:pPr>
            <w:r>
              <w:rPr>
                <w:spacing w:val="-9"/>
              </w:rPr>
              <w:t>交通运输</w:t>
            </w:r>
            <w:r>
              <w:t xml:space="preserve"> </w:t>
            </w:r>
            <w:r>
              <w:rPr>
                <w:spacing w:val="-9"/>
              </w:rPr>
              <w:t>主管部门</w:t>
            </w:r>
          </w:p>
        </w:tc>
        <w:tc>
          <w:tcPr>
            <w:tcW w:w="1448" w:type="dxa"/>
            <w:vAlign w:val="top"/>
          </w:tcPr>
          <w:p w14:paraId="6928DBE8">
            <w:pPr>
              <w:spacing w:line="250" w:lineRule="auto"/>
              <w:rPr>
                <w:rFonts w:ascii="Arial"/>
                <w:sz w:val="21"/>
              </w:rPr>
            </w:pPr>
          </w:p>
          <w:p w14:paraId="74F65EB0">
            <w:pPr>
              <w:spacing w:line="250" w:lineRule="auto"/>
              <w:rPr>
                <w:rFonts w:ascii="Arial"/>
                <w:sz w:val="21"/>
              </w:rPr>
            </w:pPr>
          </w:p>
          <w:p w14:paraId="5FDF4B89">
            <w:pPr>
              <w:spacing w:line="250" w:lineRule="auto"/>
              <w:rPr>
                <w:rFonts w:ascii="Arial"/>
                <w:sz w:val="21"/>
              </w:rPr>
            </w:pPr>
          </w:p>
          <w:p w14:paraId="6E1AE99C">
            <w:pPr>
              <w:spacing w:line="250" w:lineRule="auto"/>
              <w:rPr>
                <w:rFonts w:ascii="Arial"/>
                <w:sz w:val="21"/>
              </w:rPr>
            </w:pPr>
          </w:p>
          <w:p w14:paraId="12D1BE2A">
            <w:pPr>
              <w:spacing w:line="250" w:lineRule="auto"/>
              <w:rPr>
                <w:rFonts w:ascii="Arial"/>
                <w:sz w:val="21"/>
              </w:rPr>
            </w:pPr>
          </w:p>
          <w:p w14:paraId="5CB1FA5F">
            <w:pPr>
              <w:spacing w:line="250" w:lineRule="auto"/>
              <w:rPr>
                <w:rFonts w:ascii="Arial"/>
                <w:sz w:val="21"/>
              </w:rPr>
            </w:pPr>
          </w:p>
          <w:p w14:paraId="29F4574D">
            <w:pPr>
              <w:spacing w:line="251" w:lineRule="auto"/>
              <w:rPr>
                <w:rFonts w:ascii="Arial"/>
                <w:sz w:val="21"/>
              </w:rPr>
            </w:pPr>
          </w:p>
          <w:p w14:paraId="181580CC">
            <w:pPr>
              <w:pStyle w:val="8"/>
              <w:spacing w:before="58"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0F565400">
            <w:pPr>
              <w:spacing w:line="278" w:lineRule="auto"/>
              <w:rPr>
                <w:rFonts w:ascii="Arial"/>
                <w:sz w:val="21"/>
              </w:rPr>
            </w:pPr>
          </w:p>
          <w:p w14:paraId="3535E3D3">
            <w:pPr>
              <w:spacing w:line="279" w:lineRule="auto"/>
              <w:rPr>
                <w:rFonts w:ascii="Arial"/>
                <w:sz w:val="21"/>
              </w:rPr>
            </w:pPr>
          </w:p>
          <w:p w14:paraId="54EA6C2C">
            <w:pPr>
              <w:spacing w:line="279" w:lineRule="auto"/>
              <w:rPr>
                <w:rFonts w:ascii="Arial"/>
                <w:sz w:val="21"/>
              </w:rPr>
            </w:pPr>
          </w:p>
          <w:p w14:paraId="40A7F633">
            <w:pPr>
              <w:spacing w:line="279" w:lineRule="auto"/>
              <w:rPr>
                <w:rFonts w:ascii="Arial"/>
                <w:sz w:val="21"/>
              </w:rPr>
            </w:pPr>
          </w:p>
          <w:p w14:paraId="51E1C25D">
            <w:pPr>
              <w:spacing w:line="279" w:lineRule="auto"/>
              <w:rPr>
                <w:rFonts w:ascii="Arial"/>
                <w:sz w:val="21"/>
              </w:rPr>
            </w:pPr>
          </w:p>
          <w:p w14:paraId="0F648D1C">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2F761D34">
      <w:pPr>
        <w:pStyle w:val="2"/>
      </w:pPr>
    </w:p>
    <w:p w14:paraId="6FB9123C">
      <w:pPr>
        <w:sectPr>
          <w:footerReference r:id="rId214" w:type="default"/>
          <w:pgSz w:w="16839" w:h="11906"/>
          <w:pgMar w:top="1012" w:right="788" w:bottom="966" w:left="787" w:header="0" w:footer="768" w:gutter="0"/>
          <w:cols w:space="720" w:num="1"/>
        </w:sectPr>
      </w:pPr>
    </w:p>
    <w:p w14:paraId="2C766D27">
      <w:pPr>
        <w:spacing w:line="121" w:lineRule="exact"/>
      </w:pPr>
    </w:p>
    <w:tbl>
      <w:tblPr>
        <w:tblStyle w:val="7"/>
        <w:tblW w:w="152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136"/>
        <w:gridCol w:w="1136"/>
        <w:gridCol w:w="8806"/>
        <w:gridCol w:w="1043"/>
        <w:gridCol w:w="1448"/>
        <w:gridCol w:w="1047"/>
      </w:tblGrid>
      <w:tr w14:paraId="11824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41" w:type="dxa"/>
            <w:vMerge w:val="restart"/>
            <w:tcBorders>
              <w:bottom w:val="nil"/>
            </w:tcBorders>
            <w:vAlign w:val="top"/>
          </w:tcPr>
          <w:p w14:paraId="5E67D1AC">
            <w:pPr>
              <w:pStyle w:val="8"/>
              <w:spacing w:before="267" w:line="221" w:lineRule="auto"/>
              <w:ind w:left="142"/>
            </w:pPr>
            <w:r>
              <w:rPr>
                <w:b/>
                <w:bCs/>
                <w:spacing w:val="-4"/>
              </w:rPr>
              <w:t>序号</w:t>
            </w:r>
          </w:p>
        </w:tc>
        <w:tc>
          <w:tcPr>
            <w:tcW w:w="1136" w:type="dxa"/>
            <w:vMerge w:val="restart"/>
            <w:tcBorders>
              <w:bottom w:val="nil"/>
            </w:tcBorders>
            <w:vAlign w:val="top"/>
          </w:tcPr>
          <w:p w14:paraId="073F6E56">
            <w:pPr>
              <w:pStyle w:val="8"/>
              <w:spacing w:before="267" w:line="220" w:lineRule="auto"/>
              <w:ind w:left="208"/>
            </w:pPr>
            <w:r>
              <w:rPr>
                <w:b/>
                <w:bCs/>
                <w:spacing w:val="-4"/>
              </w:rPr>
              <w:t>事项名称</w:t>
            </w:r>
          </w:p>
        </w:tc>
        <w:tc>
          <w:tcPr>
            <w:tcW w:w="1136" w:type="dxa"/>
            <w:vMerge w:val="restart"/>
            <w:tcBorders>
              <w:bottom w:val="nil"/>
            </w:tcBorders>
            <w:vAlign w:val="top"/>
          </w:tcPr>
          <w:p w14:paraId="4353E0A2">
            <w:pPr>
              <w:pStyle w:val="8"/>
              <w:spacing w:before="267" w:line="219" w:lineRule="auto"/>
              <w:ind w:left="210"/>
            </w:pPr>
            <w:r>
              <w:rPr>
                <w:b/>
                <w:bCs/>
                <w:spacing w:val="-4"/>
              </w:rPr>
              <w:t>职权类型</w:t>
            </w:r>
          </w:p>
        </w:tc>
        <w:tc>
          <w:tcPr>
            <w:tcW w:w="8806" w:type="dxa"/>
            <w:vMerge w:val="restart"/>
            <w:tcBorders>
              <w:bottom w:val="nil"/>
            </w:tcBorders>
            <w:vAlign w:val="top"/>
          </w:tcPr>
          <w:p w14:paraId="6E616FD0">
            <w:pPr>
              <w:pStyle w:val="8"/>
              <w:spacing w:before="267" w:line="219" w:lineRule="auto"/>
              <w:ind w:left="4050"/>
            </w:pPr>
            <w:r>
              <w:rPr>
                <w:b/>
                <w:bCs/>
                <w:spacing w:val="-5"/>
              </w:rPr>
              <w:t>实施依据</w:t>
            </w:r>
          </w:p>
        </w:tc>
        <w:tc>
          <w:tcPr>
            <w:tcW w:w="3538" w:type="dxa"/>
            <w:gridSpan w:val="3"/>
            <w:vAlign w:val="top"/>
          </w:tcPr>
          <w:p w14:paraId="5414093C">
            <w:pPr>
              <w:pStyle w:val="8"/>
              <w:spacing w:before="92" w:line="220" w:lineRule="auto"/>
              <w:ind w:left="1415"/>
            </w:pPr>
            <w:r>
              <w:rPr>
                <w:b/>
                <w:bCs/>
                <w:spacing w:val="-5"/>
              </w:rPr>
              <w:t>实施主体</w:t>
            </w:r>
          </w:p>
        </w:tc>
      </w:tr>
      <w:tr w14:paraId="356BF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41" w:type="dxa"/>
            <w:vMerge w:val="continue"/>
            <w:tcBorders>
              <w:top w:val="nil"/>
            </w:tcBorders>
            <w:vAlign w:val="top"/>
          </w:tcPr>
          <w:p w14:paraId="5C83C4EC">
            <w:pPr>
              <w:rPr>
                <w:rFonts w:ascii="Arial"/>
                <w:sz w:val="21"/>
              </w:rPr>
            </w:pPr>
          </w:p>
        </w:tc>
        <w:tc>
          <w:tcPr>
            <w:tcW w:w="1136" w:type="dxa"/>
            <w:vMerge w:val="continue"/>
            <w:tcBorders>
              <w:top w:val="nil"/>
            </w:tcBorders>
            <w:vAlign w:val="top"/>
          </w:tcPr>
          <w:p w14:paraId="4056894E">
            <w:pPr>
              <w:rPr>
                <w:rFonts w:ascii="Arial"/>
                <w:sz w:val="21"/>
              </w:rPr>
            </w:pPr>
          </w:p>
        </w:tc>
        <w:tc>
          <w:tcPr>
            <w:tcW w:w="1136" w:type="dxa"/>
            <w:vMerge w:val="continue"/>
            <w:tcBorders>
              <w:top w:val="nil"/>
            </w:tcBorders>
            <w:vAlign w:val="top"/>
          </w:tcPr>
          <w:p w14:paraId="0222C0F4">
            <w:pPr>
              <w:rPr>
                <w:rFonts w:ascii="Arial"/>
                <w:sz w:val="21"/>
              </w:rPr>
            </w:pPr>
          </w:p>
        </w:tc>
        <w:tc>
          <w:tcPr>
            <w:tcW w:w="8806" w:type="dxa"/>
            <w:vMerge w:val="continue"/>
            <w:tcBorders>
              <w:top w:val="nil"/>
            </w:tcBorders>
            <w:vAlign w:val="top"/>
          </w:tcPr>
          <w:p w14:paraId="218771A6">
            <w:pPr>
              <w:rPr>
                <w:rFonts w:ascii="Arial"/>
                <w:sz w:val="21"/>
              </w:rPr>
            </w:pPr>
          </w:p>
        </w:tc>
        <w:tc>
          <w:tcPr>
            <w:tcW w:w="1043" w:type="dxa"/>
            <w:vAlign w:val="top"/>
          </w:tcPr>
          <w:p w14:paraId="35511F96">
            <w:pPr>
              <w:pStyle w:val="8"/>
              <w:spacing w:before="88" w:line="219" w:lineRule="auto"/>
              <w:ind w:left="171"/>
            </w:pPr>
            <w:r>
              <w:rPr>
                <w:b/>
                <w:bCs/>
                <w:spacing w:val="-5"/>
              </w:rPr>
              <w:t>责任部门</w:t>
            </w:r>
          </w:p>
        </w:tc>
        <w:tc>
          <w:tcPr>
            <w:tcW w:w="1448" w:type="dxa"/>
            <w:vAlign w:val="top"/>
          </w:tcPr>
          <w:p w14:paraId="6A291279">
            <w:pPr>
              <w:pStyle w:val="8"/>
              <w:spacing w:before="88" w:line="219" w:lineRule="auto"/>
              <w:ind w:left="187"/>
            </w:pPr>
            <w:r>
              <w:rPr>
                <w:b/>
                <w:bCs/>
                <w:spacing w:val="-3"/>
              </w:rPr>
              <w:t>第一责任层级</w:t>
            </w:r>
          </w:p>
        </w:tc>
        <w:tc>
          <w:tcPr>
            <w:tcW w:w="1047" w:type="dxa"/>
            <w:vAlign w:val="top"/>
          </w:tcPr>
          <w:p w14:paraId="61D15444">
            <w:pPr>
              <w:pStyle w:val="8"/>
              <w:spacing w:before="88" w:line="219" w:lineRule="auto"/>
              <w:ind w:left="165"/>
            </w:pPr>
            <w:r>
              <w:rPr>
                <w:b/>
                <w:bCs/>
                <w:spacing w:val="-4"/>
              </w:rPr>
              <w:t>承办机构</w:t>
            </w:r>
          </w:p>
        </w:tc>
      </w:tr>
      <w:tr w14:paraId="0197A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2" w:hRule="atLeast"/>
        </w:trPr>
        <w:tc>
          <w:tcPr>
            <w:tcW w:w="641" w:type="dxa"/>
            <w:vAlign w:val="top"/>
          </w:tcPr>
          <w:p w14:paraId="749C8872">
            <w:pPr>
              <w:spacing w:line="272" w:lineRule="auto"/>
              <w:rPr>
                <w:rFonts w:ascii="Arial"/>
                <w:sz w:val="21"/>
              </w:rPr>
            </w:pPr>
          </w:p>
          <w:p w14:paraId="7271D4CF">
            <w:pPr>
              <w:spacing w:line="273" w:lineRule="auto"/>
              <w:rPr>
                <w:rFonts w:ascii="Arial"/>
                <w:sz w:val="21"/>
              </w:rPr>
            </w:pPr>
          </w:p>
          <w:p w14:paraId="56E850C5">
            <w:pPr>
              <w:spacing w:line="273" w:lineRule="auto"/>
              <w:rPr>
                <w:rFonts w:ascii="Arial"/>
                <w:sz w:val="21"/>
              </w:rPr>
            </w:pPr>
          </w:p>
          <w:p w14:paraId="69A2F682">
            <w:pPr>
              <w:spacing w:line="273" w:lineRule="auto"/>
              <w:rPr>
                <w:rFonts w:ascii="Arial"/>
                <w:sz w:val="21"/>
              </w:rPr>
            </w:pPr>
          </w:p>
          <w:p w14:paraId="52C3FE27">
            <w:pPr>
              <w:spacing w:line="273" w:lineRule="auto"/>
              <w:rPr>
                <w:rFonts w:ascii="Arial"/>
                <w:sz w:val="21"/>
              </w:rPr>
            </w:pPr>
          </w:p>
          <w:p w14:paraId="0985D06C">
            <w:pPr>
              <w:spacing w:line="273" w:lineRule="auto"/>
              <w:rPr>
                <w:rFonts w:ascii="Arial"/>
                <w:sz w:val="21"/>
              </w:rPr>
            </w:pPr>
          </w:p>
          <w:p w14:paraId="2B4685E1">
            <w:pPr>
              <w:spacing w:line="273" w:lineRule="auto"/>
              <w:rPr>
                <w:rFonts w:ascii="Arial"/>
                <w:sz w:val="21"/>
              </w:rPr>
            </w:pPr>
          </w:p>
          <w:p w14:paraId="5A588CDB">
            <w:pPr>
              <w:pStyle w:val="8"/>
              <w:spacing w:before="59" w:line="184" w:lineRule="auto"/>
              <w:ind w:left="202"/>
            </w:pPr>
            <w:r>
              <w:rPr>
                <w:spacing w:val="-7"/>
              </w:rPr>
              <w:t>103</w:t>
            </w:r>
          </w:p>
        </w:tc>
        <w:tc>
          <w:tcPr>
            <w:tcW w:w="1136" w:type="dxa"/>
            <w:vAlign w:val="top"/>
          </w:tcPr>
          <w:p w14:paraId="151AF70E">
            <w:pPr>
              <w:spacing w:line="337" w:lineRule="auto"/>
              <w:rPr>
                <w:rFonts w:ascii="Arial"/>
                <w:sz w:val="21"/>
              </w:rPr>
            </w:pPr>
          </w:p>
          <w:p w14:paraId="448C1D6D">
            <w:pPr>
              <w:pStyle w:val="8"/>
              <w:spacing w:before="58" w:line="244" w:lineRule="auto"/>
              <w:ind w:left="109" w:right="101"/>
              <w:jc w:val="both"/>
            </w:pPr>
            <w:r>
              <w:rPr>
                <w:spacing w:val="3"/>
              </w:rPr>
              <w:t>对在内河通</w:t>
            </w:r>
            <w:r>
              <w:rPr>
                <w:spacing w:val="1"/>
              </w:rPr>
              <w:t xml:space="preserve"> </w:t>
            </w:r>
            <w:r>
              <w:rPr>
                <w:spacing w:val="3"/>
              </w:rPr>
              <w:t>航水域中的</w:t>
            </w:r>
            <w:r>
              <w:t xml:space="preserve"> </w:t>
            </w:r>
            <w:r>
              <w:rPr>
                <w:spacing w:val="3"/>
              </w:rPr>
              <w:t>沉没物、漂</w:t>
            </w:r>
            <w:r>
              <w:t xml:space="preserve"> </w:t>
            </w:r>
            <w:r>
              <w:rPr>
                <w:spacing w:val="3"/>
              </w:rPr>
              <w:t>流物、搁浅</w:t>
            </w:r>
            <w:r>
              <w:t xml:space="preserve"> </w:t>
            </w:r>
            <w:r>
              <w:rPr>
                <w:spacing w:val="3"/>
              </w:rPr>
              <w:t>物的所有人</w:t>
            </w:r>
            <w:r>
              <w:t xml:space="preserve"> </w:t>
            </w:r>
            <w:r>
              <w:rPr>
                <w:spacing w:val="-10"/>
              </w:rPr>
              <w:t>或 者</w:t>
            </w:r>
            <w:r>
              <w:rPr>
                <w:spacing w:val="-12"/>
              </w:rPr>
              <w:t xml:space="preserve"> </w:t>
            </w:r>
            <w:r>
              <w:rPr>
                <w:spacing w:val="-10"/>
              </w:rPr>
              <w:t>经 营</w:t>
            </w:r>
            <w:r>
              <w:t xml:space="preserve"> </w:t>
            </w:r>
            <w:r>
              <w:rPr>
                <w:spacing w:val="3"/>
              </w:rPr>
              <w:t>人，未按照 国家有关规</w:t>
            </w:r>
            <w:r>
              <w:t xml:space="preserve"> </w:t>
            </w:r>
            <w:r>
              <w:rPr>
                <w:spacing w:val="3"/>
              </w:rPr>
              <w:t>定设置标志</w:t>
            </w:r>
            <w:r>
              <w:t xml:space="preserve"> </w:t>
            </w:r>
            <w:r>
              <w:rPr>
                <w:spacing w:val="3"/>
              </w:rPr>
              <w:t>或者未在规</w:t>
            </w:r>
            <w:r>
              <w:t xml:space="preserve"> </w:t>
            </w:r>
            <w:r>
              <w:rPr>
                <w:spacing w:val="3"/>
              </w:rPr>
              <w:t>定的时间内</w:t>
            </w:r>
            <w:r>
              <w:t xml:space="preserve"> </w:t>
            </w:r>
            <w:r>
              <w:rPr>
                <w:spacing w:val="3"/>
              </w:rPr>
              <w:t>打捞清除行</w:t>
            </w:r>
            <w:r>
              <w:t xml:space="preserve"> </w:t>
            </w:r>
            <w:r>
              <w:rPr>
                <w:spacing w:val="3"/>
              </w:rPr>
              <w:t>为的行政强</w:t>
            </w:r>
            <w:r>
              <w:t xml:space="preserve"> 制</w:t>
            </w:r>
          </w:p>
        </w:tc>
        <w:tc>
          <w:tcPr>
            <w:tcW w:w="1136" w:type="dxa"/>
            <w:vAlign w:val="top"/>
          </w:tcPr>
          <w:p w14:paraId="54453F99">
            <w:pPr>
              <w:spacing w:line="269" w:lineRule="auto"/>
              <w:rPr>
                <w:rFonts w:ascii="Arial"/>
                <w:sz w:val="21"/>
              </w:rPr>
            </w:pPr>
          </w:p>
          <w:p w14:paraId="29631485">
            <w:pPr>
              <w:spacing w:line="269" w:lineRule="auto"/>
              <w:rPr>
                <w:rFonts w:ascii="Arial"/>
                <w:sz w:val="21"/>
              </w:rPr>
            </w:pPr>
          </w:p>
          <w:p w14:paraId="1B97686F">
            <w:pPr>
              <w:spacing w:line="269" w:lineRule="auto"/>
              <w:rPr>
                <w:rFonts w:ascii="Arial"/>
                <w:sz w:val="21"/>
              </w:rPr>
            </w:pPr>
          </w:p>
          <w:p w14:paraId="05CEF073">
            <w:pPr>
              <w:spacing w:line="269" w:lineRule="auto"/>
              <w:rPr>
                <w:rFonts w:ascii="Arial"/>
                <w:sz w:val="21"/>
              </w:rPr>
            </w:pPr>
          </w:p>
          <w:p w14:paraId="6F48E038">
            <w:pPr>
              <w:spacing w:line="269" w:lineRule="auto"/>
              <w:rPr>
                <w:rFonts w:ascii="Arial"/>
                <w:sz w:val="21"/>
              </w:rPr>
            </w:pPr>
          </w:p>
          <w:p w14:paraId="7873FCF5">
            <w:pPr>
              <w:spacing w:line="269" w:lineRule="auto"/>
              <w:rPr>
                <w:rFonts w:ascii="Arial"/>
                <w:sz w:val="21"/>
              </w:rPr>
            </w:pPr>
          </w:p>
          <w:p w14:paraId="370C5D07">
            <w:pPr>
              <w:spacing w:line="269" w:lineRule="auto"/>
              <w:rPr>
                <w:rFonts w:ascii="Arial"/>
                <w:sz w:val="21"/>
              </w:rPr>
            </w:pPr>
          </w:p>
          <w:p w14:paraId="505504DE">
            <w:pPr>
              <w:pStyle w:val="8"/>
              <w:spacing w:before="59" w:line="220" w:lineRule="auto"/>
              <w:ind w:left="114"/>
            </w:pPr>
            <w:r>
              <w:rPr>
                <w:spacing w:val="-7"/>
              </w:rPr>
              <w:t>行政强制</w:t>
            </w:r>
          </w:p>
        </w:tc>
        <w:tc>
          <w:tcPr>
            <w:tcW w:w="8806" w:type="dxa"/>
            <w:vAlign w:val="top"/>
          </w:tcPr>
          <w:p w14:paraId="17E0D6FD">
            <w:pPr>
              <w:pStyle w:val="8"/>
              <w:spacing w:before="274" w:line="219" w:lineRule="auto"/>
              <w:ind w:left="481"/>
            </w:pPr>
            <w:r>
              <w:rPr>
                <w:b/>
                <w:bCs/>
                <w:spacing w:val="-5"/>
              </w:rPr>
              <w:t>1.《中华人民共和国行政强制法》</w:t>
            </w:r>
          </w:p>
          <w:p w14:paraId="36E5CF04">
            <w:pPr>
              <w:pStyle w:val="8"/>
              <w:spacing w:before="27" w:line="237" w:lineRule="auto"/>
              <w:ind w:left="112" w:right="59" w:firstLine="356"/>
              <w:jc w:val="both"/>
            </w:pPr>
            <w:r>
              <w:rPr>
                <w:spacing w:val="-4"/>
              </w:rPr>
              <w:t>第五十条  行政机关依法作出要求当事人履行排除妨碍、恢复原状等义务的行政决定，当事人逾期不履行，</w:t>
            </w:r>
            <w:r>
              <w:rPr>
                <w:spacing w:val="4"/>
              </w:rPr>
              <w:t xml:space="preserve"> </w:t>
            </w:r>
            <w:r>
              <w:rPr>
                <w:spacing w:val="-6"/>
              </w:rPr>
              <w:t>经催 告仍不履行，其后果已经或者将危害交通安全、造成环境污染或者破坏自然资源的，行政机关可以代履行，</w:t>
            </w:r>
            <w:r>
              <w:rPr>
                <w:spacing w:val="18"/>
              </w:rPr>
              <w:t xml:space="preserve"> </w:t>
            </w:r>
            <w:r>
              <w:rPr>
                <w:spacing w:val="-3"/>
              </w:rPr>
              <w:t>或者委托 没有利害关系的第三人代履行。</w:t>
            </w:r>
          </w:p>
          <w:p w14:paraId="310CC76C">
            <w:pPr>
              <w:pStyle w:val="8"/>
              <w:spacing w:before="27" w:line="238" w:lineRule="auto"/>
              <w:ind w:left="121" w:right="103" w:firstLine="346"/>
              <w:jc w:val="both"/>
            </w:pPr>
            <w:r>
              <w:rPr>
                <w:spacing w:val="-1"/>
              </w:rPr>
              <w:t>第五十二条  需要立即清除道路、河道、航道或者公共场所的遗洒物、障碍物或者污染物，当</w:t>
            </w:r>
            <w:r>
              <w:rPr>
                <w:spacing w:val="-2"/>
              </w:rPr>
              <w:t>事人不能清</w:t>
            </w:r>
            <w:r>
              <w:t xml:space="preserve"> </w:t>
            </w:r>
            <w:r>
              <w:rPr>
                <w:spacing w:val="-1"/>
              </w:rPr>
              <w:t>除的，行政机关可以决定立即实施代履行；当事人不在场的，行政机关</w:t>
            </w:r>
            <w:r>
              <w:rPr>
                <w:spacing w:val="-2"/>
              </w:rPr>
              <w:t>应当在事后立即通知当事人，并依法作</w:t>
            </w:r>
            <w:r>
              <w:t xml:space="preserve"> </w:t>
            </w:r>
            <w:r>
              <w:rPr>
                <w:spacing w:val="-6"/>
              </w:rPr>
              <w:t>出处理。</w:t>
            </w:r>
          </w:p>
          <w:p w14:paraId="7DA65842">
            <w:pPr>
              <w:pStyle w:val="8"/>
              <w:spacing w:before="22" w:line="219" w:lineRule="auto"/>
              <w:ind w:left="470"/>
            </w:pPr>
            <w:r>
              <w:rPr>
                <w:b/>
                <w:bCs/>
                <w:spacing w:val="-4"/>
              </w:rPr>
              <w:t>2.《中华人民共和国内河交通安全管理条例》</w:t>
            </w:r>
          </w:p>
          <w:p w14:paraId="4C4792DD">
            <w:pPr>
              <w:pStyle w:val="8"/>
              <w:spacing w:before="26" w:line="237" w:lineRule="auto"/>
              <w:ind w:left="112" w:right="103" w:firstLine="356"/>
            </w:pPr>
            <w:r>
              <w:rPr>
                <w:spacing w:val="-1"/>
              </w:rPr>
              <w:t>第四十二条  内河通航水域内可能影响航行安全的沉没物、漂流物、搁浅物，其所有人和经营</w:t>
            </w:r>
            <w:r>
              <w:rPr>
                <w:spacing w:val="-2"/>
              </w:rPr>
              <w:t>人，必须按</w:t>
            </w:r>
            <w:r>
              <w:t xml:space="preserve"> </w:t>
            </w:r>
            <w:r>
              <w:rPr>
                <w:spacing w:val="-1"/>
              </w:rPr>
              <w:t>照国家有关规定设置标志，向海事管理机构报告，并在海事管理机构限定的时间内打捞清除</w:t>
            </w:r>
            <w:r>
              <w:rPr>
                <w:spacing w:val="-2"/>
              </w:rPr>
              <w:t>；没有所有人或者</w:t>
            </w:r>
            <w:r>
              <w:t xml:space="preserve"> </w:t>
            </w:r>
            <w:r>
              <w:rPr>
                <w:spacing w:val="-2"/>
              </w:rPr>
              <w:t>经营人的，由海事管理机构打捞清除或者采取其他相应措施，</w:t>
            </w:r>
            <w:r>
              <w:rPr>
                <w:spacing w:val="-3"/>
              </w:rPr>
              <w:t>保障通航安全。</w:t>
            </w:r>
          </w:p>
          <w:p w14:paraId="141F5D59">
            <w:pPr>
              <w:pStyle w:val="8"/>
              <w:spacing w:before="27" w:line="239" w:lineRule="auto"/>
              <w:ind w:left="109" w:right="45" w:firstLine="358"/>
            </w:pPr>
            <w:r>
              <w:rPr>
                <w:spacing w:val="-3"/>
              </w:rPr>
              <w:t>第七十五条  违反本条例的规定，内河通航水域中的沉没物、漂流物、搁浅物的所有人或者经营人， 未按</w:t>
            </w:r>
            <w:r>
              <w:rPr>
                <w:spacing w:val="2"/>
              </w:rPr>
              <w:t xml:space="preserve"> </w:t>
            </w:r>
            <w:r>
              <w:rPr>
                <w:spacing w:val="-1"/>
              </w:rPr>
              <w:t>照国家有关规定设置标志或者未在规定的时间内打捞清除的，由海事管理机构责令限期改正；逾期不改</w:t>
            </w:r>
            <w:r>
              <w:rPr>
                <w:spacing w:val="-2"/>
              </w:rPr>
              <w:t>正的，</w:t>
            </w:r>
            <w:r>
              <w:t xml:space="preserve"> </w:t>
            </w:r>
            <w:r>
              <w:rPr>
                <w:spacing w:val="-3"/>
              </w:rPr>
              <w:t>海事管理机构 强制设置标志或者组织打捞清除；需要立即组织打捞清除的，海事管理机构应当及时组织打捞清</w:t>
            </w:r>
            <w:r>
              <w:rPr>
                <w:spacing w:val="4"/>
              </w:rPr>
              <w:t xml:space="preserve"> </w:t>
            </w:r>
            <w:r>
              <w:rPr>
                <w:spacing w:val="-3"/>
              </w:rPr>
              <w:t>除。海事管理机构因设置标志或者打捞清除发</w:t>
            </w:r>
            <w:r>
              <w:rPr>
                <w:spacing w:val="-4"/>
              </w:rPr>
              <w:t>生的费用，由沉没物、漂流物、搁浅物的所有人或者经营人承担。</w:t>
            </w:r>
          </w:p>
        </w:tc>
        <w:tc>
          <w:tcPr>
            <w:tcW w:w="1043" w:type="dxa"/>
            <w:vAlign w:val="top"/>
          </w:tcPr>
          <w:p w14:paraId="24D62D5E">
            <w:pPr>
              <w:spacing w:line="252" w:lineRule="auto"/>
              <w:rPr>
                <w:rFonts w:ascii="Arial"/>
                <w:sz w:val="21"/>
              </w:rPr>
            </w:pPr>
          </w:p>
          <w:p w14:paraId="720B7768">
            <w:pPr>
              <w:spacing w:line="252" w:lineRule="auto"/>
              <w:rPr>
                <w:rFonts w:ascii="Arial"/>
                <w:sz w:val="21"/>
              </w:rPr>
            </w:pPr>
          </w:p>
          <w:p w14:paraId="4F4D3609">
            <w:pPr>
              <w:spacing w:line="252" w:lineRule="auto"/>
              <w:rPr>
                <w:rFonts w:ascii="Arial"/>
                <w:sz w:val="21"/>
              </w:rPr>
            </w:pPr>
          </w:p>
          <w:p w14:paraId="75FD43FB">
            <w:pPr>
              <w:spacing w:line="252" w:lineRule="auto"/>
              <w:rPr>
                <w:rFonts w:ascii="Arial"/>
                <w:sz w:val="21"/>
              </w:rPr>
            </w:pPr>
          </w:p>
          <w:p w14:paraId="7EBB4702">
            <w:pPr>
              <w:spacing w:line="252" w:lineRule="auto"/>
              <w:rPr>
                <w:rFonts w:ascii="Arial"/>
                <w:sz w:val="21"/>
              </w:rPr>
            </w:pPr>
          </w:p>
          <w:p w14:paraId="71977F20">
            <w:pPr>
              <w:spacing w:line="252" w:lineRule="auto"/>
              <w:rPr>
                <w:rFonts w:ascii="Arial"/>
                <w:sz w:val="21"/>
              </w:rPr>
            </w:pPr>
          </w:p>
          <w:p w14:paraId="318DF4F0">
            <w:pPr>
              <w:spacing w:line="252" w:lineRule="auto"/>
              <w:rPr>
                <w:rFonts w:ascii="Arial"/>
                <w:sz w:val="21"/>
              </w:rPr>
            </w:pPr>
          </w:p>
          <w:p w14:paraId="26B25518">
            <w:pPr>
              <w:pStyle w:val="8"/>
              <w:spacing w:before="58" w:line="233" w:lineRule="auto"/>
              <w:ind w:left="171" w:right="162" w:firstLine="2"/>
            </w:pPr>
            <w:r>
              <w:rPr>
                <w:spacing w:val="-5"/>
              </w:rPr>
              <w:t>交通运输</w:t>
            </w:r>
            <w:r>
              <w:rPr>
                <w:spacing w:val="1"/>
              </w:rPr>
              <w:t xml:space="preserve"> </w:t>
            </w:r>
            <w:r>
              <w:rPr>
                <w:spacing w:val="-4"/>
              </w:rPr>
              <w:t>主管部门</w:t>
            </w:r>
          </w:p>
        </w:tc>
        <w:tc>
          <w:tcPr>
            <w:tcW w:w="1448" w:type="dxa"/>
            <w:vAlign w:val="top"/>
          </w:tcPr>
          <w:p w14:paraId="3280F151">
            <w:pPr>
              <w:spacing w:line="269" w:lineRule="auto"/>
              <w:rPr>
                <w:rFonts w:ascii="Arial"/>
                <w:sz w:val="21"/>
              </w:rPr>
            </w:pPr>
          </w:p>
          <w:p w14:paraId="27429217">
            <w:pPr>
              <w:spacing w:line="269" w:lineRule="auto"/>
              <w:rPr>
                <w:rFonts w:ascii="Arial"/>
                <w:sz w:val="21"/>
              </w:rPr>
            </w:pPr>
          </w:p>
          <w:p w14:paraId="3A91B8DE">
            <w:pPr>
              <w:spacing w:line="269" w:lineRule="auto"/>
              <w:rPr>
                <w:rFonts w:ascii="Arial"/>
                <w:sz w:val="21"/>
              </w:rPr>
            </w:pPr>
          </w:p>
          <w:p w14:paraId="53A7624F">
            <w:pPr>
              <w:spacing w:line="269" w:lineRule="auto"/>
              <w:rPr>
                <w:rFonts w:ascii="Arial"/>
                <w:sz w:val="21"/>
              </w:rPr>
            </w:pPr>
          </w:p>
          <w:p w14:paraId="50A366BC">
            <w:pPr>
              <w:spacing w:line="269" w:lineRule="auto"/>
              <w:rPr>
                <w:rFonts w:ascii="Arial"/>
                <w:sz w:val="21"/>
              </w:rPr>
            </w:pPr>
          </w:p>
          <w:p w14:paraId="28C19697">
            <w:pPr>
              <w:spacing w:line="269" w:lineRule="auto"/>
              <w:rPr>
                <w:rFonts w:ascii="Arial"/>
                <w:sz w:val="21"/>
              </w:rPr>
            </w:pPr>
          </w:p>
          <w:p w14:paraId="77034F9D">
            <w:pPr>
              <w:spacing w:line="269" w:lineRule="auto"/>
              <w:rPr>
                <w:rFonts w:ascii="Arial"/>
                <w:sz w:val="21"/>
              </w:rPr>
            </w:pPr>
          </w:p>
          <w:p w14:paraId="3A8A33DD">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43F7C066">
            <w:pPr>
              <w:spacing w:line="254" w:lineRule="auto"/>
              <w:rPr>
                <w:rFonts w:ascii="Arial"/>
                <w:sz w:val="21"/>
              </w:rPr>
            </w:pPr>
          </w:p>
          <w:p w14:paraId="0029DA31">
            <w:pPr>
              <w:spacing w:line="254" w:lineRule="auto"/>
              <w:rPr>
                <w:rFonts w:ascii="Arial"/>
                <w:sz w:val="21"/>
              </w:rPr>
            </w:pPr>
          </w:p>
          <w:p w14:paraId="525A8307">
            <w:pPr>
              <w:spacing w:line="254" w:lineRule="auto"/>
              <w:rPr>
                <w:rFonts w:ascii="Arial"/>
                <w:sz w:val="21"/>
              </w:rPr>
            </w:pPr>
          </w:p>
          <w:p w14:paraId="1E451C2F">
            <w:pPr>
              <w:spacing w:line="255" w:lineRule="auto"/>
              <w:rPr>
                <w:rFonts w:ascii="Arial"/>
                <w:sz w:val="21"/>
              </w:rPr>
            </w:pPr>
          </w:p>
          <w:p w14:paraId="108A1663">
            <w:pPr>
              <w:spacing w:line="255" w:lineRule="auto"/>
              <w:rPr>
                <w:rFonts w:ascii="Arial"/>
                <w:sz w:val="21"/>
              </w:rPr>
            </w:pPr>
          </w:p>
          <w:p w14:paraId="71F77736">
            <w:pPr>
              <w:spacing w:line="255" w:lineRule="auto"/>
              <w:rPr>
                <w:rFonts w:ascii="Arial"/>
                <w:sz w:val="21"/>
              </w:rPr>
            </w:pPr>
          </w:p>
          <w:p w14:paraId="21168570">
            <w:pPr>
              <w:pStyle w:val="8"/>
              <w:spacing w:before="58"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r w14:paraId="1462B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4" w:hRule="atLeast"/>
        </w:trPr>
        <w:tc>
          <w:tcPr>
            <w:tcW w:w="641" w:type="dxa"/>
            <w:vAlign w:val="top"/>
          </w:tcPr>
          <w:p w14:paraId="5722242F">
            <w:pPr>
              <w:spacing w:line="282" w:lineRule="auto"/>
              <w:rPr>
                <w:rFonts w:ascii="Arial"/>
                <w:sz w:val="21"/>
              </w:rPr>
            </w:pPr>
          </w:p>
          <w:p w14:paraId="1B5B1F79">
            <w:pPr>
              <w:spacing w:line="282" w:lineRule="auto"/>
              <w:rPr>
                <w:rFonts w:ascii="Arial"/>
                <w:sz w:val="21"/>
              </w:rPr>
            </w:pPr>
          </w:p>
          <w:p w14:paraId="59F7B750">
            <w:pPr>
              <w:spacing w:line="282" w:lineRule="auto"/>
              <w:rPr>
                <w:rFonts w:ascii="Arial"/>
                <w:sz w:val="21"/>
              </w:rPr>
            </w:pPr>
          </w:p>
          <w:p w14:paraId="625E4F10">
            <w:pPr>
              <w:spacing w:line="282" w:lineRule="auto"/>
              <w:rPr>
                <w:rFonts w:ascii="Arial"/>
                <w:sz w:val="21"/>
              </w:rPr>
            </w:pPr>
          </w:p>
          <w:p w14:paraId="75207DA3">
            <w:pPr>
              <w:spacing w:line="282" w:lineRule="auto"/>
              <w:rPr>
                <w:rFonts w:ascii="Arial"/>
                <w:sz w:val="21"/>
              </w:rPr>
            </w:pPr>
          </w:p>
          <w:p w14:paraId="6809A338">
            <w:pPr>
              <w:pStyle w:val="8"/>
              <w:spacing w:before="59" w:line="184" w:lineRule="auto"/>
              <w:ind w:left="202"/>
            </w:pPr>
            <w:r>
              <w:rPr>
                <w:spacing w:val="-7"/>
              </w:rPr>
              <w:t>104</w:t>
            </w:r>
          </w:p>
        </w:tc>
        <w:tc>
          <w:tcPr>
            <w:tcW w:w="1136" w:type="dxa"/>
            <w:vAlign w:val="top"/>
          </w:tcPr>
          <w:p w14:paraId="6971A581">
            <w:pPr>
              <w:spacing w:line="262" w:lineRule="auto"/>
              <w:rPr>
                <w:rFonts w:ascii="Arial"/>
                <w:sz w:val="21"/>
              </w:rPr>
            </w:pPr>
          </w:p>
          <w:p w14:paraId="4B8C13A1">
            <w:pPr>
              <w:spacing w:line="262" w:lineRule="auto"/>
              <w:rPr>
                <w:rFonts w:ascii="Arial"/>
                <w:sz w:val="21"/>
              </w:rPr>
            </w:pPr>
          </w:p>
          <w:p w14:paraId="7ACACCD0">
            <w:pPr>
              <w:spacing w:line="262" w:lineRule="auto"/>
              <w:rPr>
                <w:rFonts w:ascii="Arial"/>
                <w:sz w:val="21"/>
              </w:rPr>
            </w:pPr>
          </w:p>
          <w:p w14:paraId="57BA8C8D">
            <w:pPr>
              <w:pStyle w:val="8"/>
              <w:spacing w:before="59" w:line="241" w:lineRule="auto"/>
              <w:ind w:left="111" w:right="48" w:hanging="2"/>
              <w:jc w:val="both"/>
            </w:pPr>
            <w:r>
              <w:rPr>
                <w:spacing w:val="-18"/>
              </w:rPr>
              <w:t>对擅自构筑、</w:t>
            </w:r>
            <w:r>
              <w:t xml:space="preserve"> </w:t>
            </w:r>
            <w:r>
              <w:rPr>
                <w:spacing w:val="2"/>
              </w:rPr>
              <w:t>设置的水上</w:t>
            </w:r>
            <w:r>
              <w:rPr>
                <w:spacing w:val="3"/>
              </w:rPr>
              <w:t xml:space="preserve"> </w:t>
            </w:r>
            <w:r>
              <w:rPr>
                <w:spacing w:val="2"/>
              </w:rPr>
              <w:t>水下构筑物</w:t>
            </w:r>
            <w:r>
              <w:rPr>
                <w:spacing w:val="3"/>
              </w:rPr>
              <w:t xml:space="preserve"> </w:t>
            </w:r>
            <w:r>
              <w:rPr>
                <w:spacing w:val="2"/>
              </w:rPr>
              <w:t>或者设施的</w:t>
            </w:r>
            <w:r>
              <w:rPr>
                <w:spacing w:val="3"/>
              </w:rPr>
              <w:t xml:space="preserve"> </w:t>
            </w:r>
            <w:r>
              <w:rPr>
                <w:spacing w:val="-5"/>
              </w:rPr>
              <w:t>行政强制</w:t>
            </w:r>
          </w:p>
        </w:tc>
        <w:tc>
          <w:tcPr>
            <w:tcW w:w="1136" w:type="dxa"/>
            <w:vAlign w:val="top"/>
          </w:tcPr>
          <w:p w14:paraId="5C546F3E">
            <w:pPr>
              <w:spacing w:line="276" w:lineRule="auto"/>
              <w:rPr>
                <w:rFonts w:ascii="Arial"/>
                <w:sz w:val="21"/>
              </w:rPr>
            </w:pPr>
          </w:p>
          <w:p w14:paraId="781E4BF2">
            <w:pPr>
              <w:spacing w:line="276" w:lineRule="auto"/>
              <w:rPr>
                <w:rFonts w:ascii="Arial"/>
                <w:sz w:val="21"/>
              </w:rPr>
            </w:pPr>
          </w:p>
          <w:p w14:paraId="33942641">
            <w:pPr>
              <w:spacing w:line="277" w:lineRule="auto"/>
              <w:rPr>
                <w:rFonts w:ascii="Arial"/>
                <w:sz w:val="21"/>
              </w:rPr>
            </w:pPr>
          </w:p>
          <w:p w14:paraId="38990350">
            <w:pPr>
              <w:spacing w:line="277" w:lineRule="auto"/>
              <w:rPr>
                <w:rFonts w:ascii="Arial"/>
                <w:sz w:val="21"/>
              </w:rPr>
            </w:pPr>
          </w:p>
          <w:p w14:paraId="4E572ED5">
            <w:pPr>
              <w:spacing w:line="277" w:lineRule="auto"/>
              <w:rPr>
                <w:rFonts w:ascii="Arial"/>
                <w:sz w:val="21"/>
              </w:rPr>
            </w:pPr>
          </w:p>
          <w:p w14:paraId="6A14FFA5">
            <w:pPr>
              <w:pStyle w:val="8"/>
              <w:spacing w:before="58" w:line="220" w:lineRule="auto"/>
              <w:ind w:left="114"/>
            </w:pPr>
            <w:r>
              <w:rPr>
                <w:spacing w:val="-7"/>
              </w:rPr>
              <w:t>行政强制</w:t>
            </w:r>
          </w:p>
        </w:tc>
        <w:tc>
          <w:tcPr>
            <w:tcW w:w="8806" w:type="dxa"/>
            <w:vAlign w:val="top"/>
          </w:tcPr>
          <w:p w14:paraId="0296473F">
            <w:pPr>
              <w:spacing w:line="310" w:lineRule="auto"/>
              <w:rPr>
                <w:rFonts w:ascii="Arial"/>
                <w:sz w:val="21"/>
              </w:rPr>
            </w:pPr>
          </w:p>
          <w:p w14:paraId="2A606C8A">
            <w:pPr>
              <w:pStyle w:val="8"/>
              <w:spacing w:before="58" w:line="219" w:lineRule="auto"/>
              <w:ind w:left="481"/>
            </w:pPr>
            <w:r>
              <w:rPr>
                <w:b/>
                <w:bCs/>
                <w:spacing w:val="-5"/>
              </w:rPr>
              <w:t>1.《中华人民共和国行政强制法》</w:t>
            </w:r>
          </w:p>
          <w:p w14:paraId="3EC8F272">
            <w:pPr>
              <w:pStyle w:val="8"/>
              <w:spacing w:before="25" w:line="233" w:lineRule="auto"/>
              <w:ind w:left="140" w:right="45" w:firstLine="328"/>
            </w:pPr>
            <w:r>
              <w:rPr>
                <w:spacing w:val="-3"/>
              </w:rPr>
              <w:t>第四十四条  对违法的建筑物、构筑物、设施等需要强制拆除的， 应当由行政机关予以公告，限期当事人</w:t>
            </w:r>
            <w:r>
              <w:rPr>
                <w:spacing w:val="5"/>
              </w:rPr>
              <w:t xml:space="preserve"> </w:t>
            </w:r>
            <w:r>
              <w:rPr>
                <w:spacing w:val="-6"/>
              </w:rPr>
              <w:t>自行拆 除。当事人在法定期限内不申请行政复议或者提起行政诉讼，又不拆除的，行政机关可以依法强制拆除。</w:t>
            </w:r>
          </w:p>
          <w:p w14:paraId="28CA93E9">
            <w:pPr>
              <w:pStyle w:val="8"/>
              <w:spacing w:before="26" w:line="219" w:lineRule="auto"/>
              <w:ind w:left="470"/>
            </w:pPr>
            <w:r>
              <w:rPr>
                <w:b/>
                <w:bCs/>
                <w:spacing w:val="-3"/>
              </w:rPr>
              <w:t>2.《中华人民共和国水上水下作业和活动通航安全管理规定》（交通运输部令2</w:t>
            </w:r>
            <w:r>
              <w:rPr>
                <w:b/>
                <w:bCs/>
                <w:spacing w:val="-4"/>
              </w:rPr>
              <w:t>021年第24号）</w:t>
            </w:r>
          </w:p>
          <w:p w14:paraId="3290BB81">
            <w:pPr>
              <w:pStyle w:val="8"/>
              <w:spacing w:before="27" w:line="237" w:lineRule="auto"/>
              <w:ind w:left="109" w:right="103" w:firstLine="358"/>
              <w:jc w:val="both"/>
            </w:pPr>
            <w:r>
              <w:rPr>
                <w:spacing w:val="-1"/>
              </w:rPr>
              <w:t>第五条  在管辖海域内进行下列施工作业，应当经海事管理机构许可，并核定相应安全作业区</w:t>
            </w:r>
            <w:r>
              <w:rPr>
                <w:spacing w:val="-4"/>
              </w:rPr>
              <w:t>：（</w:t>
            </w:r>
            <w:r>
              <w:rPr>
                <w:spacing w:val="-1"/>
              </w:rPr>
              <w:t>一）勘</w:t>
            </w:r>
            <w:r>
              <w:rPr>
                <w:spacing w:val="1"/>
              </w:rPr>
              <w:t xml:space="preserve"> </w:t>
            </w:r>
            <w:r>
              <w:rPr>
                <w:spacing w:val="-2"/>
              </w:rPr>
              <w:t>探，港 外采掘、爆破</w:t>
            </w:r>
            <w:r>
              <w:rPr>
                <w:spacing w:val="-14"/>
              </w:rPr>
              <w:t>；（</w:t>
            </w:r>
            <w:r>
              <w:rPr>
                <w:spacing w:val="-2"/>
              </w:rPr>
              <w:t>二）构筑、维修、拆除水上水下构筑物或者设施</w:t>
            </w:r>
            <w:r>
              <w:rPr>
                <w:spacing w:val="-14"/>
              </w:rPr>
              <w:t>；（</w:t>
            </w:r>
            <w:r>
              <w:rPr>
                <w:spacing w:val="-2"/>
              </w:rPr>
              <w:t>三）航道建设、疏浚（航道养护</w:t>
            </w:r>
            <w:r>
              <w:rPr>
                <w:spacing w:val="3"/>
              </w:rPr>
              <w:t xml:space="preserve"> </w:t>
            </w:r>
            <w:r>
              <w:rPr>
                <w:spacing w:val="-1"/>
              </w:rPr>
              <w:t>疏浚除外）作业</w:t>
            </w:r>
            <w:r>
              <w:rPr>
                <w:spacing w:val="-12"/>
              </w:rPr>
              <w:t>；（</w:t>
            </w:r>
            <w:r>
              <w:rPr>
                <w:spacing w:val="-1"/>
              </w:rPr>
              <w:t>四）打捞沉船沉物。</w:t>
            </w:r>
          </w:p>
          <w:p w14:paraId="763C69E7">
            <w:pPr>
              <w:pStyle w:val="8"/>
              <w:spacing w:before="26" w:line="237" w:lineRule="auto"/>
              <w:ind w:left="110" w:right="103" w:firstLine="357"/>
              <w:jc w:val="both"/>
            </w:pPr>
            <w:r>
              <w:rPr>
                <w:spacing w:val="-1"/>
              </w:rPr>
              <w:t>第三十四条  未按照本规定取得许可证，擅自构筑、设置的水上水下构筑物或者设施，船舶不</w:t>
            </w:r>
            <w:r>
              <w:rPr>
                <w:spacing w:val="-2"/>
              </w:rPr>
              <w:t>得进行靠泊</w:t>
            </w:r>
            <w:r>
              <w:t xml:space="preserve"> </w:t>
            </w:r>
            <w:r>
              <w:rPr>
                <w:spacing w:val="-1"/>
              </w:rPr>
              <w:t>作业。影响通航环境的，应当责令构筑、设置者限期搬迁或者拆除，搬迁或者拆除的有关费用由</w:t>
            </w:r>
            <w:r>
              <w:rPr>
                <w:spacing w:val="-2"/>
              </w:rPr>
              <w:t>构筑、设置者</w:t>
            </w:r>
            <w:r>
              <w:t xml:space="preserve"> </w:t>
            </w:r>
            <w:r>
              <w:rPr>
                <w:spacing w:val="-4"/>
              </w:rPr>
              <w:t>承担。</w:t>
            </w:r>
          </w:p>
        </w:tc>
        <w:tc>
          <w:tcPr>
            <w:tcW w:w="1043" w:type="dxa"/>
            <w:vAlign w:val="top"/>
          </w:tcPr>
          <w:p w14:paraId="71648DEA">
            <w:pPr>
              <w:spacing w:line="252" w:lineRule="auto"/>
              <w:rPr>
                <w:rFonts w:ascii="Arial"/>
                <w:sz w:val="21"/>
              </w:rPr>
            </w:pPr>
          </w:p>
          <w:p w14:paraId="2E4BF56D">
            <w:pPr>
              <w:spacing w:line="252" w:lineRule="auto"/>
              <w:rPr>
                <w:rFonts w:ascii="Arial"/>
                <w:sz w:val="21"/>
              </w:rPr>
            </w:pPr>
          </w:p>
          <w:p w14:paraId="44A5AA45">
            <w:pPr>
              <w:spacing w:line="253" w:lineRule="auto"/>
              <w:rPr>
                <w:rFonts w:ascii="Arial"/>
                <w:sz w:val="21"/>
              </w:rPr>
            </w:pPr>
          </w:p>
          <w:p w14:paraId="34076125">
            <w:pPr>
              <w:spacing w:line="253" w:lineRule="auto"/>
              <w:rPr>
                <w:rFonts w:ascii="Arial"/>
                <w:sz w:val="21"/>
              </w:rPr>
            </w:pPr>
          </w:p>
          <w:p w14:paraId="0818F8BC">
            <w:pPr>
              <w:spacing w:line="253" w:lineRule="auto"/>
              <w:rPr>
                <w:rFonts w:ascii="Arial"/>
                <w:sz w:val="21"/>
              </w:rPr>
            </w:pPr>
          </w:p>
          <w:p w14:paraId="2C7AD46D">
            <w:pPr>
              <w:pStyle w:val="8"/>
              <w:spacing w:before="59" w:line="233" w:lineRule="auto"/>
              <w:ind w:left="183" w:right="166" w:firstLine="2"/>
            </w:pPr>
            <w:r>
              <w:rPr>
                <w:spacing w:val="-9"/>
              </w:rPr>
              <w:t>交通运输</w:t>
            </w:r>
            <w:r>
              <w:t xml:space="preserve"> </w:t>
            </w:r>
            <w:r>
              <w:rPr>
                <w:spacing w:val="-9"/>
              </w:rPr>
              <w:t>主管部门</w:t>
            </w:r>
          </w:p>
        </w:tc>
        <w:tc>
          <w:tcPr>
            <w:tcW w:w="1448" w:type="dxa"/>
            <w:vAlign w:val="top"/>
          </w:tcPr>
          <w:p w14:paraId="2F45C401">
            <w:pPr>
              <w:spacing w:line="276" w:lineRule="auto"/>
              <w:rPr>
                <w:rFonts w:ascii="Arial"/>
                <w:sz w:val="21"/>
              </w:rPr>
            </w:pPr>
          </w:p>
          <w:p w14:paraId="0C8D21EB">
            <w:pPr>
              <w:spacing w:line="276" w:lineRule="auto"/>
              <w:rPr>
                <w:rFonts w:ascii="Arial"/>
                <w:sz w:val="21"/>
              </w:rPr>
            </w:pPr>
          </w:p>
          <w:p w14:paraId="6145A5D8">
            <w:pPr>
              <w:spacing w:line="277" w:lineRule="auto"/>
              <w:rPr>
                <w:rFonts w:ascii="Arial"/>
                <w:sz w:val="21"/>
              </w:rPr>
            </w:pPr>
          </w:p>
          <w:p w14:paraId="7B7D7954">
            <w:pPr>
              <w:spacing w:line="277" w:lineRule="auto"/>
              <w:rPr>
                <w:rFonts w:ascii="Arial"/>
                <w:sz w:val="21"/>
              </w:rPr>
            </w:pPr>
          </w:p>
          <w:p w14:paraId="307C13E8">
            <w:pPr>
              <w:spacing w:line="277" w:lineRule="auto"/>
              <w:rPr>
                <w:rFonts w:ascii="Arial"/>
                <w:sz w:val="21"/>
              </w:rPr>
            </w:pPr>
          </w:p>
          <w:p w14:paraId="1C15B72B">
            <w:pPr>
              <w:pStyle w:val="8"/>
              <w:spacing w:before="59" w:line="219" w:lineRule="auto"/>
              <w:ind w:left="130"/>
              <w:rPr>
                <w:rFonts w:hint="eastAsia" w:eastAsia="宋体"/>
                <w:lang w:eastAsia="zh-CN"/>
              </w:rPr>
            </w:pPr>
            <w:r>
              <w:rPr>
                <w:rFonts w:hint="eastAsia"/>
                <w:spacing w:val="-8"/>
                <w:lang w:eastAsia="zh-CN"/>
              </w:rPr>
              <w:t>津市市交通运输局</w:t>
            </w:r>
          </w:p>
        </w:tc>
        <w:tc>
          <w:tcPr>
            <w:tcW w:w="1047" w:type="dxa"/>
            <w:vAlign w:val="top"/>
          </w:tcPr>
          <w:p w14:paraId="57896AF8">
            <w:pPr>
              <w:spacing w:line="256" w:lineRule="auto"/>
              <w:rPr>
                <w:rFonts w:ascii="Arial"/>
                <w:sz w:val="21"/>
              </w:rPr>
            </w:pPr>
          </w:p>
          <w:p w14:paraId="6865CC91">
            <w:pPr>
              <w:spacing w:line="256" w:lineRule="auto"/>
              <w:rPr>
                <w:rFonts w:ascii="Arial"/>
                <w:sz w:val="21"/>
              </w:rPr>
            </w:pPr>
          </w:p>
          <w:p w14:paraId="5B6D5D12">
            <w:pPr>
              <w:spacing w:line="257" w:lineRule="auto"/>
              <w:rPr>
                <w:rFonts w:ascii="Arial"/>
                <w:sz w:val="21"/>
              </w:rPr>
            </w:pPr>
          </w:p>
          <w:p w14:paraId="38502CF6">
            <w:pPr>
              <w:spacing w:line="257" w:lineRule="auto"/>
              <w:rPr>
                <w:rFonts w:ascii="Arial"/>
                <w:sz w:val="21"/>
              </w:rPr>
            </w:pPr>
          </w:p>
          <w:p w14:paraId="4114136F">
            <w:pPr>
              <w:pStyle w:val="8"/>
              <w:spacing w:before="59" w:line="239" w:lineRule="auto"/>
              <w:ind w:left="184" w:right="168" w:firstLine="22"/>
              <w:jc w:val="both"/>
              <w:rPr>
                <w:rFonts w:hint="eastAsia" w:eastAsia="宋体"/>
                <w:lang w:eastAsia="zh-CN"/>
              </w:rPr>
            </w:pPr>
            <w:r>
              <w:rPr>
                <w:rFonts w:hint="eastAsia"/>
                <w:spacing w:val="-14"/>
                <w:lang w:eastAsia="zh-CN"/>
              </w:rPr>
              <w:t>津市市交通运输综合行政执法大队</w:t>
            </w:r>
          </w:p>
        </w:tc>
      </w:tr>
    </w:tbl>
    <w:p w14:paraId="33EEE7DD">
      <w:pPr>
        <w:pStyle w:val="2"/>
      </w:pPr>
    </w:p>
    <w:p w14:paraId="3AAD5F1C">
      <w:pPr>
        <w:sectPr>
          <w:footerReference r:id="rId215" w:type="default"/>
          <w:pgSz w:w="16839" w:h="11906"/>
          <w:pgMar w:top="1012" w:right="788" w:bottom="966" w:left="787" w:header="0" w:footer="768" w:gutter="0"/>
          <w:cols w:space="720" w:num="1"/>
        </w:sectPr>
      </w:pPr>
    </w:p>
    <w:p w14:paraId="6E05C23A">
      <w:pPr>
        <w:spacing w:before="177" w:line="221" w:lineRule="auto"/>
        <w:ind w:left="2931"/>
        <w:outlineLvl w:val="0"/>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spacing w:val="8"/>
          <w:sz w:val="31"/>
          <w:szCs w:val="31"/>
          <w:lang w:eastAsia="zh-CN"/>
        </w:rPr>
        <w:t>津市市</w:t>
      </w:r>
      <w:r>
        <w:rPr>
          <w:rFonts w:ascii="方正小标宋简体" w:hAnsi="方正小标宋简体" w:eastAsia="方正小标宋简体" w:cs="方正小标宋简体"/>
          <w:spacing w:val="8"/>
          <w:sz w:val="31"/>
          <w:szCs w:val="31"/>
        </w:rPr>
        <w:t>交通运输综合行政执法事项指导目录（水路运输管理2</w:t>
      </w:r>
      <w:r>
        <w:rPr>
          <w:rFonts w:ascii="方正小标宋简体" w:hAnsi="方正小标宋简体" w:eastAsia="方正小标宋简体" w:cs="方正小标宋简体"/>
          <w:spacing w:val="7"/>
          <w:sz w:val="31"/>
          <w:szCs w:val="31"/>
        </w:rPr>
        <w:t>9项）</w:t>
      </w: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5FC2F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34" w:type="dxa"/>
            <w:vMerge w:val="restart"/>
            <w:tcBorders>
              <w:bottom w:val="nil"/>
            </w:tcBorders>
            <w:vAlign w:val="top"/>
          </w:tcPr>
          <w:p w14:paraId="19A7EA80">
            <w:pPr>
              <w:pStyle w:val="8"/>
              <w:spacing w:before="220" w:line="221" w:lineRule="auto"/>
              <w:ind w:left="138"/>
            </w:pPr>
            <w:r>
              <w:rPr>
                <w:b/>
                <w:bCs/>
                <w:spacing w:val="-4"/>
              </w:rPr>
              <w:t>序号</w:t>
            </w:r>
          </w:p>
        </w:tc>
        <w:tc>
          <w:tcPr>
            <w:tcW w:w="1121" w:type="dxa"/>
            <w:vMerge w:val="restart"/>
            <w:tcBorders>
              <w:bottom w:val="nil"/>
            </w:tcBorders>
            <w:vAlign w:val="top"/>
          </w:tcPr>
          <w:p w14:paraId="6F953626">
            <w:pPr>
              <w:pStyle w:val="8"/>
              <w:spacing w:before="220" w:line="220" w:lineRule="auto"/>
              <w:ind w:left="206"/>
            </w:pPr>
            <w:r>
              <w:rPr>
                <w:b/>
                <w:bCs/>
                <w:spacing w:val="-5"/>
              </w:rPr>
              <w:t>事项名称</w:t>
            </w:r>
          </w:p>
        </w:tc>
        <w:tc>
          <w:tcPr>
            <w:tcW w:w="1121" w:type="dxa"/>
            <w:vMerge w:val="restart"/>
            <w:tcBorders>
              <w:bottom w:val="nil"/>
            </w:tcBorders>
            <w:vAlign w:val="top"/>
          </w:tcPr>
          <w:p w14:paraId="77F9A94C">
            <w:pPr>
              <w:pStyle w:val="8"/>
              <w:spacing w:before="220" w:line="219" w:lineRule="auto"/>
              <w:ind w:left="221"/>
            </w:pPr>
            <w:r>
              <w:rPr>
                <w:b/>
                <w:bCs/>
                <w:spacing w:val="-9"/>
              </w:rPr>
              <w:t>职权类型</w:t>
            </w:r>
          </w:p>
        </w:tc>
        <w:tc>
          <w:tcPr>
            <w:tcW w:w="8692" w:type="dxa"/>
            <w:vMerge w:val="restart"/>
            <w:tcBorders>
              <w:bottom w:val="nil"/>
            </w:tcBorders>
            <w:vAlign w:val="top"/>
          </w:tcPr>
          <w:p w14:paraId="39347AC1">
            <w:pPr>
              <w:pStyle w:val="8"/>
              <w:spacing w:before="220" w:line="219" w:lineRule="auto"/>
              <w:ind w:left="3999"/>
            </w:pPr>
            <w:r>
              <w:rPr>
                <w:b/>
                <w:bCs/>
                <w:spacing w:val="-6"/>
              </w:rPr>
              <w:t>实施依据</w:t>
            </w:r>
          </w:p>
        </w:tc>
        <w:tc>
          <w:tcPr>
            <w:tcW w:w="3491" w:type="dxa"/>
            <w:gridSpan w:val="3"/>
            <w:vAlign w:val="top"/>
          </w:tcPr>
          <w:p w14:paraId="6B6888BF">
            <w:pPr>
              <w:pStyle w:val="8"/>
              <w:spacing w:before="83" w:line="220" w:lineRule="auto"/>
              <w:ind w:left="1399"/>
            </w:pPr>
            <w:r>
              <w:rPr>
                <w:b/>
                <w:bCs/>
                <w:spacing w:val="-6"/>
              </w:rPr>
              <w:t>实施主体</w:t>
            </w:r>
          </w:p>
        </w:tc>
      </w:tr>
      <w:tr w14:paraId="19BA8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55E2F242">
            <w:pPr>
              <w:rPr>
                <w:rFonts w:ascii="Arial"/>
                <w:sz w:val="21"/>
              </w:rPr>
            </w:pPr>
          </w:p>
        </w:tc>
        <w:tc>
          <w:tcPr>
            <w:tcW w:w="1121" w:type="dxa"/>
            <w:vMerge w:val="continue"/>
            <w:tcBorders>
              <w:top w:val="nil"/>
            </w:tcBorders>
            <w:vAlign w:val="top"/>
          </w:tcPr>
          <w:p w14:paraId="79227ADD">
            <w:pPr>
              <w:rPr>
                <w:rFonts w:ascii="Arial"/>
                <w:sz w:val="21"/>
              </w:rPr>
            </w:pPr>
          </w:p>
        </w:tc>
        <w:tc>
          <w:tcPr>
            <w:tcW w:w="1121" w:type="dxa"/>
            <w:vMerge w:val="continue"/>
            <w:tcBorders>
              <w:top w:val="nil"/>
            </w:tcBorders>
            <w:vAlign w:val="top"/>
          </w:tcPr>
          <w:p w14:paraId="029491FB">
            <w:pPr>
              <w:rPr>
                <w:rFonts w:ascii="Arial"/>
                <w:sz w:val="21"/>
              </w:rPr>
            </w:pPr>
          </w:p>
        </w:tc>
        <w:tc>
          <w:tcPr>
            <w:tcW w:w="8692" w:type="dxa"/>
            <w:vMerge w:val="continue"/>
            <w:tcBorders>
              <w:top w:val="nil"/>
            </w:tcBorders>
            <w:vAlign w:val="top"/>
          </w:tcPr>
          <w:p w14:paraId="190F136D">
            <w:pPr>
              <w:rPr>
                <w:rFonts w:ascii="Arial"/>
                <w:sz w:val="21"/>
              </w:rPr>
            </w:pPr>
          </w:p>
        </w:tc>
        <w:tc>
          <w:tcPr>
            <w:tcW w:w="1029" w:type="dxa"/>
            <w:vAlign w:val="top"/>
          </w:tcPr>
          <w:p w14:paraId="1D5968C2">
            <w:pPr>
              <w:pStyle w:val="8"/>
              <w:spacing w:before="44" w:line="219" w:lineRule="auto"/>
              <w:ind w:left="172"/>
            </w:pPr>
            <w:r>
              <w:rPr>
                <w:b/>
                <w:bCs/>
                <w:spacing w:val="-6"/>
              </w:rPr>
              <w:t>责任部门</w:t>
            </w:r>
          </w:p>
        </w:tc>
        <w:tc>
          <w:tcPr>
            <w:tcW w:w="1429" w:type="dxa"/>
            <w:vAlign w:val="top"/>
          </w:tcPr>
          <w:p w14:paraId="4FED9870">
            <w:pPr>
              <w:pStyle w:val="8"/>
              <w:spacing w:before="44" w:line="219" w:lineRule="auto"/>
              <w:ind w:left="188"/>
            </w:pPr>
            <w:r>
              <w:rPr>
                <w:b/>
                <w:bCs/>
                <w:spacing w:val="-4"/>
              </w:rPr>
              <w:t>第一责任层级</w:t>
            </w:r>
          </w:p>
        </w:tc>
        <w:tc>
          <w:tcPr>
            <w:tcW w:w="1033" w:type="dxa"/>
            <w:vAlign w:val="top"/>
          </w:tcPr>
          <w:p w14:paraId="5F795345">
            <w:pPr>
              <w:pStyle w:val="8"/>
              <w:spacing w:before="43" w:line="219" w:lineRule="auto"/>
              <w:ind w:left="163"/>
            </w:pPr>
            <w:r>
              <w:rPr>
                <w:b/>
                <w:bCs/>
                <w:spacing w:val="-5"/>
              </w:rPr>
              <w:t>承办机构</w:t>
            </w:r>
          </w:p>
        </w:tc>
      </w:tr>
      <w:tr w14:paraId="59952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3" w:hRule="atLeast"/>
        </w:trPr>
        <w:tc>
          <w:tcPr>
            <w:tcW w:w="634" w:type="dxa"/>
            <w:vAlign w:val="top"/>
          </w:tcPr>
          <w:p w14:paraId="2E03A1DE">
            <w:pPr>
              <w:spacing w:line="253" w:lineRule="auto"/>
              <w:rPr>
                <w:rFonts w:ascii="Arial"/>
                <w:sz w:val="21"/>
              </w:rPr>
            </w:pPr>
          </w:p>
          <w:p w14:paraId="4CA1BE57">
            <w:pPr>
              <w:spacing w:line="253" w:lineRule="auto"/>
              <w:rPr>
                <w:rFonts w:ascii="Arial"/>
                <w:sz w:val="21"/>
              </w:rPr>
            </w:pPr>
          </w:p>
          <w:p w14:paraId="5F23055C">
            <w:pPr>
              <w:spacing w:line="253" w:lineRule="auto"/>
              <w:rPr>
                <w:rFonts w:ascii="Arial"/>
                <w:sz w:val="21"/>
              </w:rPr>
            </w:pPr>
          </w:p>
          <w:p w14:paraId="5E1A6C2D">
            <w:pPr>
              <w:spacing w:line="253" w:lineRule="auto"/>
              <w:rPr>
                <w:rFonts w:ascii="Arial"/>
                <w:sz w:val="21"/>
              </w:rPr>
            </w:pPr>
          </w:p>
          <w:p w14:paraId="56978B4B">
            <w:pPr>
              <w:spacing w:line="253" w:lineRule="auto"/>
              <w:rPr>
                <w:rFonts w:ascii="Arial"/>
                <w:sz w:val="21"/>
              </w:rPr>
            </w:pPr>
          </w:p>
          <w:p w14:paraId="4F3D99A9">
            <w:pPr>
              <w:spacing w:line="253" w:lineRule="auto"/>
              <w:rPr>
                <w:rFonts w:ascii="Arial"/>
                <w:sz w:val="21"/>
              </w:rPr>
            </w:pPr>
          </w:p>
          <w:p w14:paraId="778AE8FC">
            <w:pPr>
              <w:spacing w:line="253" w:lineRule="auto"/>
              <w:rPr>
                <w:rFonts w:ascii="Arial"/>
                <w:sz w:val="21"/>
              </w:rPr>
            </w:pPr>
          </w:p>
          <w:p w14:paraId="12C2C2B7">
            <w:pPr>
              <w:spacing w:line="253" w:lineRule="auto"/>
              <w:rPr>
                <w:rFonts w:ascii="Arial"/>
                <w:sz w:val="21"/>
              </w:rPr>
            </w:pPr>
          </w:p>
          <w:p w14:paraId="51BC9EDF">
            <w:pPr>
              <w:spacing w:line="253" w:lineRule="auto"/>
              <w:rPr>
                <w:rFonts w:ascii="Arial"/>
                <w:sz w:val="21"/>
              </w:rPr>
            </w:pPr>
          </w:p>
          <w:p w14:paraId="437E6587">
            <w:pPr>
              <w:spacing w:line="253" w:lineRule="auto"/>
              <w:rPr>
                <w:rFonts w:ascii="Arial"/>
                <w:sz w:val="21"/>
              </w:rPr>
            </w:pPr>
          </w:p>
          <w:p w14:paraId="46F4CD6E">
            <w:pPr>
              <w:spacing w:line="254" w:lineRule="auto"/>
              <w:rPr>
                <w:rFonts w:ascii="Arial"/>
                <w:sz w:val="21"/>
              </w:rPr>
            </w:pPr>
          </w:p>
          <w:p w14:paraId="34E40FB5">
            <w:pPr>
              <w:spacing w:line="254" w:lineRule="auto"/>
              <w:rPr>
                <w:rFonts w:ascii="Arial"/>
                <w:sz w:val="21"/>
              </w:rPr>
            </w:pPr>
          </w:p>
          <w:p w14:paraId="3783446D">
            <w:pPr>
              <w:spacing w:line="254" w:lineRule="auto"/>
              <w:rPr>
                <w:rFonts w:ascii="Arial"/>
                <w:sz w:val="21"/>
              </w:rPr>
            </w:pPr>
          </w:p>
          <w:p w14:paraId="579F3917">
            <w:pPr>
              <w:spacing w:line="254" w:lineRule="auto"/>
              <w:rPr>
                <w:rFonts w:ascii="Arial"/>
                <w:sz w:val="21"/>
              </w:rPr>
            </w:pPr>
          </w:p>
          <w:p w14:paraId="7B0BF2BC">
            <w:pPr>
              <w:spacing w:line="254" w:lineRule="auto"/>
              <w:rPr>
                <w:rFonts w:ascii="Arial"/>
                <w:sz w:val="21"/>
              </w:rPr>
            </w:pPr>
          </w:p>
          <w:p w14:paraId="289B971B">
            <w:pPr>
              <w:spacing w:line="254" w:lineRule="auto"/>
              <w:rPr>
                <w:rFonts w:ascii="Arial"/>
                <w:sz w:val="21"/>
              </w:rPr>
            </w:pPr>
          </w:p>
          <w:p w14:paraId="3A1A3276">
            <w:pPr>
              <w:pStyle w:val="8"/>
              <w:spacing w:before="59" w:line="184" w:lineRule="auto"/>
              <w:ind w:left="289"/>
            </w:pPr>
            <w:r>
              <w:t>1</w:t>
            </w:r>
          </w:p>
        </w:tc>
        <w:tc>
          <w:tcPr>
            <w:tcW w:w="1121" w:type="dxa"/>
            <w:vAlign w:val="top"/>
          </w:tcPr>
          <w:p w14:paraId="5EBB8D6D">
            <w:pPr>
              <w:spacing w:line="261" w:lineRule="auto"/>
              <w:rPr>
                <w:rFonts w:ascii="Arial"/>
                <w:sz w:val="21"/>
              </w:rPr>
            </w:pPr>
          </w:p>
          <w:p w14:paraId="5052E7D4">
            <w:pPr>
              <w:spacing w:line="261" w:lineRule="auto"/>
              <w:rPr>
                <w:rFonts w:ascii="Arial"/>
                <w:sz w:val="21"/>
              </w:rPr>
            </w:pPr>
          </w:p>
          <w:p w14:paraId="1B5A76B1">
            <w:pPr>
              <w:spacing w:line="261" w:lineRule="auto"/>
              <w:rPr>
                <w:rFonts w:ascii="Arial"/>
                <w:sz w:val="21"/>
              </w:rPr>
            </w:pPr>
          </w:p>
          <w:p w14:paraId="74F447BA">
            <w:pPr>
              <w:spacing w:line="261" w:lineRule="auto"/>
              <w:rPr>
                <w:rFonts w:ascii="Arial"/>
                <w:sz w:val="21"/>
              </w:rPr>
            </w:pPr>
          </w:p>
          <w:p w14:paraId="62B0FDEF">
            <w:pPr>
              <w:spacing w:line="261" w:lineRule="auto"/>
              <w:rPr>
                <w:rFonts w:ascii="Arial"/>
                <w:sz w:val="21"/>
              </w:rPr>
            </w:pPr>
          </w:p>
          <w:p w14:paraId="3263FA60">
            <w:pPr>
              <w:spacing w:line="262" w:lineRule="auto"/>
              <w:rPr>
                <w:rFonts w:ascii="Arial"/>
                <w:sz w:val="21"/>
              </w:rPr>
            </w:pPr>
          </w:p>
          <w:p w14:paraId="3D9C9990">
            <w:pPr>
              <w:spacing w:line="262" w:lineRule="auto"/>
              <w:rPr>
                <w:rFonts w:ascii="Arial"/>
                <w:sz w:val="21"/>
              </w:rPr>
            </w:pPr>
          </w:p>
          <w:p w14:paraId="518EFE32">
            <w:pPr>
              <w:spacing w:line="262" w:lineRule="auto"/>
              <w:rPr>
                <w:rFonts w:ascii="Arial"/>
                <w:sz w:val="21"/>
              </w:rPr>
            </w:pPr>
          </w:p>
          <w:p w14:paraId="302A01F3">
            <w:pPr>
              <w:pStyle w:val="8"/>
              <w:spacing w:before="59" w:line="247" w:lineRule="auto"/>
              <w:ind w:left="114" w:right="110"/>
              <w:jc w:val="both"/>
            </w:pPr>
            <w:r>
              <w:rPr>
                <w:spacing w:val="-2"/>
              </w:rPr>
              <w:t>对水路旅客</w:t>
            </w:r>
            <w:r>
              <w:t xml:space="preserve"> </w:t>
            </w:r>
            <w:r>
              <w:rPr>
                <w:spacing w:val="-2"/>
              </w:rPr>
              <w:t>运输经营者</w:t>
            </w:r>
            <w:r>
              <w:t xml:space="preserve"> </w:t>
            </w:r>
            <w:r>
              <w:rPr>
                <w:spacing w:val="-2"/>
              </w:rPr>
              <w:t>或者其委托</w:t>
            </w:r>
            <w:r>
              <w:t xml:space="preserve"> </w:t>
            </w:r>
            <w:r>
              <w:rPr>
                <w:spacing w:val="-2"/>
              </w:rPr>
              <w:t>的船票销售</w:t>
            </w:r>
            <w:r>
              <w:t xml:space="preserve"> </w:t>
            </w:r>
            <w:r>
              <w:rPr>
                <w:spacing w:val="-8"/>
              </w:rPr>
              <w:t>单位、港口</w:t>
            </w:r>
            <w:r>
              <w:rPr>
                <w:spacing w:val="3"/>
              </w:rPr>
              <w:t xml:space="preserve"> </w:t>
            </w:r>
            <w:r>
              <w:rPr>
                <w:spacing w:val="-2"/>
              </w:rPr>
              <w:t>经营人未按</w:t>
            </w:r>
            <w:r>
              <w:t xml:space="preserve"> </w:t>
            </w:r>
            <w:r>
              <w:rPr>
                <w:spacing w:val="-2"/>
              </w:rPr>
              <w:t>相关规定对</w:t>
            </w:r>
            <w:r>
              <w:t xml:space="preserve"> </w:t>
            </w:r>
            <w:r>
              <w:rPr>
                <w:spacing w:val="-2"/>
              </w:rPr>
              <w:t>客户身份进</w:t>
            </w:r>
            <w:r>
              <w:t xml:space="preserve"> </w:t>
            </w:r>
            <w:r>
              <w:rPr>
                <w:spacing w:val="-2"/>
              </w:rPr>
              <w:t>行查验，或</w:t>
            </w:r>
            <w:r>
              <w:t xml:space="preserve"> </w:t>
            </w:r>
            <w:r>
              <w:rPr>
                <w:spacing w:val="-2"/>
              </w:rPr>
              <w:t>者对身份不</w:t>
            </w:r>
            <w:r>
              <w:t xml:space="preserve"> </w:t>
            </w:r>
            <w:r>
              <w:rPr>
                <w:spacing w:val="-2"/>
              </w:rPr>
              <w:t>明、拒绝身</w:t>
            </w:r>
            <w:r>
              <w:t xml:space="preserve"> </w:t>
            </w:r>
            <w:r>
              <w:rPr>
                <w:spacing w:val="-2"/>
              </w:rPr>
              <w:t>份查验的客</w:t>
            </w:r>
            <w:r>
              <w:t xml:space="preserve"> </w:t>
            </w:r>
            <w:r>
              <w:rPr>
                <w:spacing w:val="-2"/>
              </w:rPr>
              <w:t>户提供服务</w:t>
            </w:r>
            <w:r>
              <w:t xml:space="preserve"> </w:t>
            </w:r>
            <w:r>
              <w:rPr>
                <w:spacing w:val="-2"/>
              </w:rPr>
              <w:t>等行为的行</w:t>
            </w:r>
            <w:r>
              <w:t xml:space="preserve"> </w:t>
            </w:r>
            <w:r>
              <w:rPr>
                <w:spacing w:val="-3"/>
              </w:rPr>
              <w:t>政处罚</w:t>
            </w:r>
          </w:p>
        </w:tc>
        <w:tc>
          <w:tcPr>
            <w:tcW w:w="1121" w:type="dxa"/>
            <w:vAlign w:val="top"/>
          </w:tcPr>
          <w:p w14:paraId="14B61976">
            <w:pPr>
              <w:spacing w:line="251" w:lineRule="auto"/>
              <w:rPr>
                <w:rFonts w:ascii="Arial"/>
                <w:sz w:val="21"/>
              </w:rPr>
            </w:pPr>
          </w:p>
          <w:p w14:paraId="4BBE4946">
            <w:pPr>
              <w:spacing w:line="251" w:lineRule="auto"/>
              <w:rPr>
                <w:rFonts w:ascii="Arial"/>
                <w:sz w:val="21"/>
              </w:rPr>
            </w:pPr>
          </w:p>
          <w:p w14:paraId="54E8FA3A">
            <w:pPr>
              <w:spacing w:line="251" w:lineRule="auto"/>
              <w:rPr>
                <w:rFonts w:ascii="Arial"/>
                <w:sz w:val="21"/>
              </w:rPr>
            </w:pPr>
          </w:p>
          <w:p w14:paraId="5C81E5D4">
            <w:pPr>
              <w:spacing w:line="251" w:lineRule="auto"/>
              <w:rPr>
                <w:rFonts w:ascii="Arial"/>
                <w:sz w:val="21"/>
              </w:rPr>
            </w:pPr>
          </w:p>
          <w:p w14:paraId="4C35D299">
            <w:pPr>
              <w:spacing w:line="251" w:lineRule="auto"/>
              <w:rPr>
                <w:rFonts w:ascii="Arial"/>
                <w:sz w:val="21"/>
              </w:rPr>
            </w:pPr>
          </w:p>
          <w:p w14:paraId="07ADEA73">
            <w:pPr>
              <w:spacing w:line="252" w:lineRule="auto"/>
              <w:rPr>
                <w:rFonts w:ascii="Arial"/>
                <w:sz w:val="21"/>
              </w:rPr>
            </w:pPr>
          </w:p>
          <w:p w14:paraId="4C86683F">
            <w:pPr>
              <w:spacing w:line="252" w:lineRule="auto"/>
              <w:rPr>
                <w:rFonts w:ascii="Arial"/>
                <w:sz w:val="21"/>
              </w:rPr>
            </w:pPr>
          </w:p>
          <w:p w14:paraId="1519DB5D">
            <w:pPr>
              <w:spacing w:line="252" w:lineRule="auto"/>
              <w:rPr>
                <w:rFonts w:ascii="Arial"/>
                <w:sz w:val="21"/>
              </w:rPr>
            </w:pPr>
          </w:p>
          <w:p w14:paraId="60B1A589">
            <w:pPr>
              <w:spacing w:line="252" w:lineRule="auto"/>
              <w:rPr>
                <w:rFonts w:ascii="Arial"/>
                <w:sz w:val="21"/>
              </w:rPr>
            </w:pPr>
          </w:p>
          <w:p w14:paraId="6D488DA4">
            <w:pPr>
              <w:spacing w:line="252" w:lineRule="auto"/>
              <w:rPr>
                <w:rFonts w:ascii="Arial"/>
                <w:sz w:val="21"/>
              </w:rPr>
            </w:pPr>
          </w:p>
          <w:p w14:paraId="5A27526E">
            <w:pPr>
              <w:spacing w:line="252" w:lineRule="auto"/>
              <w:rPr>
                <w:rFonts w:ascii="Arial"/>
                <w:sz w:val="21"/>
              </w:rPr>
            </w:pPr>
          </w:p>
          <w:p w14:paraId="20641438">
            <w:pPr>
              <w:spacing w:line="252" w:lineRule="auto"/>
              <w:rPr>
                <w:rFonts w:ascii="Arial"/>
                <w:sz w:val="21"/>
              </w:rPr>
            </w:pPr>
          </w:p>
          <w:p w14:paraId="4F3FA631">
            <w:pPr>
              <w:spacing w:line="252" w:lineRule="auto"/>
              <w:rPr>
                <w:rFonts w:ascii="Arial"/>
                <w:sz w:val="21"/>
              </w:rPr>
            </w:pPr>
          </w:p>
          <w:p w14:paraId="0521666E">
            <w:pPr>
              <w:spacing w:line="252" w:lineRule="auto"/>
              <w:rPr>
                <w:rFonts w:ascii="Arial"/>
                <w:sz w:val="21"/>
              </w:rPr>
            </w:pPr>
          </w:p>
          <w:p w14:paraId="7342F908">
            <w:pPr>
              <w:spacing w:line="252" w:lineRule="auto"/>
              <w:rPr>
                <w:rFonts w:ascii="Arial"/>
                <w:sz w:val="21"/>
              </w:rPr>
            </w:pPr>
          </w:p>
          <w:p w14:paraId="6CB6249B">
            <w:pPr>
              <w:spacing w:line="252" w:lineRule="auto"/>
              <w:rPr>
                <w:rFonts w:ascii="Arial"/>
                <w:sz w:val="21"/>
              </w:rPr>
            </w:pPr>
          </w:p>
          <w:p w14:paraId="25F8138D">
            <w:pPr>
              <w:pStyle w:val="8"/>
              <w:spacing w:before="58" w:line="220" w:lineRule="auto"/>
              <w:ind w:left="9"/>
            </w:pPr>
            <w:r>
              <w:rPr>
                <w:spacing w:val="-4"/>
              </w:rPr>
              <w:t>行政处罚</w:t>
            </w:r>
          </w:p>
        </w:tc>
        <w:tc>
          <w:tcPr>
            <w:tcW w:w="8692" w:type="dxa"/>
            <w:vAlign w:val="top"/>
          </w:tcPr>
          <w:p w14:paraId="5403218F">
            <w:pPr>
              <w:pStyle w:val="8"/>
              <w:spacing w:before="38" w:line="219" w:lineRule="auto"/>
              <w:ind w:left="480"/>
            </w:pPr>
            <w:r>
              <w:rPr>
                <w:b/>
                <w:bCs/>
                <w:spacing w:val="-4"/>
              </w:rPr>
              <w:t>1.《中华人民共和国反恐怖主义法》</w:t>
            </w:r>
          </w:p>
          <w:p w14:paraId="76744B22">
            <w:pPr>
              <w:pStyle w:val="8"/>
              <w:spacing w:before="27" w:line="237" w:lineRule="auto"/>
              <w:ind w:left="114" w:right="107" w:firstLine="360"/>
            </w:pPr>
            <w:r>
              <w:t>第二十条  铁路、公路、水上、航空的货运和邮政、快递等物流运营单位应当实行安全查验制度，对客</w:t>
            </w:r>
            <w:r>
              <w:rPr>
                <w:spacing w:val="1"/>
              </w:rPr>
              <w:t xml:space="preserve"> </w:t>
            </w:r>
            <w:r>
              <w:t>户身份进行查验，依照规定对运输、寄递物品进行安全检查或者开封验视。对禁止运输、寄递，存在重大安</w:t>
            </w:r>
            <w:r>
              <w:rPr>
                <w:spacing w:val="3"/>
              </w:rPr>
              <w:t xml:space="preserve"> </w:t>
            </w:r>
            <w:r>
              <w:rPr>
                <w:spacing w:val="-2"/>
              </w:rPr>
              <w:t>全隐患，或者客户拒绝安全查验的物品，不得运</w:t>
            </w:r>
            <w:r>
              <w:rPr>
                <w:spacing w:val="-3"/>
              </w:rPr>
              <w:t>输、寄递。</w:t>
            </w:r>
          </w:p>
          <w:p w14:paraId="17057B45">
            <w:pPr>
              <w:pStyle w:val="8"/>
              <w:spacing w:before="26" w:line="219" w:lineRule="auto"/>
              <w:ind w:left="475"/>
            </w:pPr>
            <w:r>
              <w:rPr>
                <w:spacing w:val="-2"/>
              </w:rPr>
              <w:t>前款规定的物流运营单位，应当实行运输、寄递客户身份、物品信息登记制度。</w:t>
            </w:r>
          </w:p>
          <w:p w14:paraId="739732B0">
            <w:pPr>
              <w:pStyle w:val="8"/>
              <w:spacing w:before="25" w:line="233" w:lineRule="auto"/>
              <w:ind w:left="116" w:right="109" w:firstLine="358"/>
            </w:pPr>
            <w:r>
              <w:t>第二十一条  电信、互联网、金融、住宿、长途客运、机动车租赁等业务经营者、服务提供者，应当对</w:t>
            </w:r>
            <w:r>
              <w:rPr>
                <w:spacing w:val="1"/>
              </w:rPr>
              <w:t xml:space="preserve"> </w:t>
            </w:r>
            <w:r>
              <w:rPr>
                <w:spacing w:val="-2"/>
              </w:rPr>
              <w:t>客户身份进行查验。对身份不明或者拒绝身份查验的，不得提供服务。</w:t>
            </w:r>
          </w:p>
          <w:p w14:paraId="637BE348">
            <w:pPr>
              <w:pStyle w:val="8"/>
              <w:spacing w:before="24"/>
              <w:ind w:left="117" w:right="107" w:firstLine="357"/>
            </w:pPr>
            <w:r>
              <w:t>第八十六条  电信、互联网、金融业务经营者、服务提供者未按规定对客户身份进行查验，或者对身份</w:t>
            </w:r>
            <w:r>
              <w:rPr>
                <w:spacing w:val="1"/>
              </w:rPr>
              <w:t xml:space="preserve"> </w:t>
            </w:r>
            <w:r>
              <w:t>不明、拒绝身份查验的客户提供服务的，主管部门应当责令改正；拒不改正的，处二十万元以上五十万元以</w:t>
            </w:r>
            <w:r>
              <w:rPr>
                <w:spacing w:val="1"/>
              </w:rPr>
              <w:t xml:space="preserve"> </w:t>
            </w:r>
            <w:r>
              <w:t>下罚款，并对其直接负责的主管人员和其他直接责任人员处十万元以下罚款；情节严重的，处五十万元以上</w:t>
            </w:r>
            <w:r>
              <w:rPr>
                <w:spacing w:val="1"/>
              </w:rPr>
              <w:t xml:space="preserve"> </w:t>
            </w:r>
            <w:r>
              <w:rPr>
                <w:spacing w:val="-2"/>
              </w:rPr>
              <w:t>罚款，并对其直接负责的主管人员和其他直接责任人员，处十万元以上五</w:t>
            </w:r>
            <w:r>
              <w:rPr>
                <w:spacing w:val="-3"/>
              </w:rPr>
              <w:t>十万元以下罚款。</w:t>
            </w:r>
          </w:p>
          <w:p w14:paraId="77373930">
            <w:pPr>
              <w:pStyle w:val="8"/>
              <w:spacing w:before="25" w:line="233" w:lineRule="auto"/>
              <w:ind w:left="117" w:right="107" w:firstLine="349"/>
            </w:pPr>
            <w:r>
              <w:t>住宿、长途客运、机动车租赁等业务经营者、服务提供者有前款规定情形的，由主管部门处十万元以上</w:t>
            </w:r>
            <w:r>
              <w:rPr>
                <w:spacing w:val="11"/>
              </w:rPr>
              <w:t xml:space="preserve"> </w:t>
            </w:r>
            <w:r>
              <w:rPr>
                <w:spacing w:val="-2"/>
              </w:rPr>
              <w:t>五十万元以下罚款，并对其直接负责的主管人员和其他直接责任人员处</w:t>
            </w:r>
            <w:r>
              <w:rPr>
                <w:spacing w:val="-3"/>
              </w:rPr>
              <w:t>十万元以下罚款。</w:t>
            </w:r>
          </w:p>
          <w:p w14:paraId="633AA4C5">
            <w:pPr>
              <w:pStyle w:val="8"/>
              <w:spacing w:before="25" w:line="233" w:lineRule="auto"/>
              <w:ind w:left="121" w:right="109" w:firstLine="353"/>
            </w:pPr>
            <w:r>
              <w:t>第九十三条  单位违反本法规定，情节严重的，由主管部门责令停止从事相关业务、提供相关服务或者</w:t>
            </w:r>
            <w:r>
              <w:rPr>
                <w:spacing w:val="1"/>
              </w:rPr>
              <w:t xml:space="preserve"> </w:t>
            </w:r>
            <w:r>
              <w:rPr>
                <w:spacing w:val="-3"/>
              </w:rPr>
              <w:t>责令停产停业；造成严重后果的，吊销有关证照或者撤销登记。</w:t>
            </w:r>
          </w:p>
          <w:p w14:paraId="33CDE908">
            <w:pPr>
              <w:pStyle w:val="8"/>
              <w:spacing w:before="26" w:line="219" w:lineRule="auto"/>
              <w:ind w:left="469"/>
            </w:pPr>
            <w:r>
              <w:rPr>
                <w:b/>
                <w:bCs/>
                <w:spacing w:val="-3"/>
              </w:rPr>
              <w:t>2.《水路旅客运输实名制管理规定》（交通运输部令2016年第77号）</w:t>
            </w:r>
          </w:p>
          <w:p w14:paraId="602F7BA8">
            <w:pPr>
              <w:pStyle w:val="8"/>
              <w:spacing w:before="26" w:line="233" w:lineRule="auto"/>
              <w:ind w:left="118" w:right="109" w:firstLine="356"/>
            </w:pPr>
            <w:r>
              <w:t>第五条  实施实名售票的，购票人购票时应当提供乘船人的有效身份证件原件。通过互联网、电话等方</w:t>
            </w:r>
            <w:r>
              <w:rPr>
                <w:spacing w:val="1"/>
              </w:rPr>
              <w:t xml:space="preserve"> </w:t>
            </w:r>
            <w:r>
              <w:rPr>
                <w:spacing w:val="-2"/>
              </w:rPr>
              <w:t>式购票的，购票人应当提供真实准确的乘船人有效身份证件信息。</w:t>
            </w:r>
          </w:p>
          <w:p w14:paraId="2D16984A">
            <w:pPr>
              <w:pStyle w:val="8"/>
              <w:spacing w:before="26" w:line="219" w:lineRule="auto"/>
              <w:ind w:left="474"/>
            </w:pPr>
            <w:r>
              <w:rPr>
                <w:spacing w:val="-2"/>
              </w:rPr>
              <w:t>取票时，取票人应当提供乘船人的有效身份证件原件。</w:t>
            </w:r>
          </w:p>
          <w:p w14:paraId="060CD658">
            <w:pPr>
              <w:pStyle w:val="8"/>
              <w:spacing w:before="26" w:line="233" w:lineRule="auto"/>
              <w:ind w:left="116" w:right="95" w:firstLine="303"/>
            </w:pPr>
            <w:r>
              <w:rPr>
                <w:spacing w:val="-13"/>
              </w:rPr>
              <w:t>乘船人遗失船票的，经核实其身份信息后，水路旅客运输经营者或者其委托的船票销</w:t>
            </w:r>
            <w:r>
              <w:rPr>
                <w:spacing w:val="-14"/>
              </w:rPr>
              <w:t>售单位应当免费为其补办船</w:t>
            </w:r>
            <w:r>
              <w:t xml:space="preserve"> </w:t>
            </w:r>
            <w:r>
              <w:rPr>
                <w:spacing w:val="-5"/>
              </w:rPr>
              <w:t>票。</w:t>
            </w:r>
          </w:p>
          <w:p w14:paraId="45595EF8">
            <w:pPr>
              <w:pStyle w:val="8"/>
              <w:spacing w:before="27" w:line="237" w:lineRule="auto"/>
              <w:ind w:left="116" w:right="107" w:firstLine="352"/>
              <w:jc w:val="both"/>
            </w:pPr>
            <w:r>
              <w:t>按规定可以免费乘船的儿童及其他人员，应当凭有效身份证件原件，向水路旅客运输经营者或者其委托</w:t>
            </w:r>
            <w:r>
              <w:rPr>
                <w:spacing w:val="9"/>
              </w:rPr>
              <w:t xml:space="preserve"> </w:t>
            </w:r>
            <w:r>
              <w:t>的船票销售单位申领免费实名制船票。水路旅客运输经营者或者其委托的船票销售单位应当为其开具免费实</w:t>
            </w:r>
            <w:r>
              <w:rPr>
                <w:spacing w:val="1"/>
              </w:rPr>
              <w:t xml:space="preserve"> </w:t>
            </w:r>
            <w:r>
              <w:rPr>
                <w:spacing w:val="-3"/>
              </w:rPr>
              <w:t>名制船票，并如实记载乘船人身份信息。</w:t>
            </w:r>
          </w:p>
          <w:p w14:paraId="67CDB38C">
            <w:pPr>
              <w:pStyle w:val="8"/>
              <w:spacing w:before="25" w:line="234" w:lineRule="auto"/>
              <w:ind w:left="116" w:right="102" w:firstLine="334"/>
            </w:pPr>
            <w:r>
              <w:rPr>
                <w:spacing w:val="-3"/>
              </w:rPr>
              <w:t>第六条  在实施实名制管理的船舶及客运码头，乘船人应当出示船票和本人有效身份证件</w:t>
            </w:r>
            <w:r>
              <w:rPr>
                <w:spacing w:val="-4"/>
              </w:rPr>
              <w:t>原件，配合工作</w:t>
            </w:r>
            <w:r>
              <w:t xml:space="preserve"> </w:t>
            </w:r>
            <w:r>
              <w:rPr>
                <w:spacing w:val="-6"/>
              </w:rPr>
              <w:t>人员查验。</w:t>
            </w:r>
          </w:p>
          <w:p w14:paraId="0EC2D20D">
            <w:pPr>
              <w:pStyle w:val="8"/>
              <w:spacing w:before="25" w:line="233" w:lineRule="auto"/>
              <w:ind w:left="114" w:right="107" w:firstLine="352"/>
            </w:pPr>
            <w:r>
              <w:t>港口经营人应当在乘船人登船前，对乘船人进行实名查验并记录有关信息。对拒不提供本人有效身份证</w:t>
            </w:r>
            <w:r>
              <w:rPr>
                <w:spacing w:val="11"/>
              </w:rPr>
              <w:t xml:space="preserve"> </w:t>
            </w:r>
            <w:r>
              <w:rPr>
                <w:spacing w:val="-3"/>
              </w:rPr>
              <w:t>件原件或者票、人、证不一致的，不得允许其登船。</w:t>
            </w:r>
          </w:p>
          <w:p w14:paraId="3211418E">
            <w:pPr>
              <w:pStyle w:val="8"/>
              <w:spacing w:before="26" w:line="233" w:lineRule="auto"/>
              <w:ind w:left="114" w:right="107" w:firstLine="354"/>
            </w:pPr>
            <w:r>
              <w:t>水路旅客运输经营者或者其委托的船票销售单位应当提前为港口经营人提供包括售票信息在内的必要协</w:t>
            </w:r>
            <w:r>
              <w:rPr>
                <w:spacing w:val="8"/>
              </w:rPr>
              <w:t xml:space="preserve"> </w:t>
            </w:r>
            <w:r>
              <w:rPr>
                <w:spacing w:val="-4"/>
              </w:rPr>
              <w:t>助。</w:t>
            </w:r>
          </w:p>
          <w:p w14:paraId="1C104A7A">
            <w:pPr>
              <w:pStyle w:val="8"/>
              <w:spacing w:before="25" w:line="233" w:lineRule="auto"/>
              <w:ind w:left="118" w:right="107" w:firstLine="351"/>
            </w:pPr>
            <w:r>
              <w:t>水路旅客运输经营者应当在船舶开航后及时分类统计船载旅客（含持免费实名制船票的人员）数量，并</w:t>
            </w:r>
            <w:r>
              <w:rPr>
                <w:spacing w:val="8"/>
              </w:rPr>
              <w:t xml:space="preserve"> </w:t>
            </w:r>
            <w:r>
              <w:rPr>
                <w:spacing w:val="-3"/>
              </w:rPr>
              <w:t>与港口经营人交换相关信息。</w:t>
            </w:r>
          </w:p>
          <w:p w14:paraId="3B88F206">
            <w:pPr>
              <w:pStyle w:val="8"/>
              <w:spacing w:before="26" w:line="219" w:lineRule="auto"/>
              <w:ind w:left="472"/>
            </w:pPr>
            <w:r>
              <w:rPr>
                <w:spacing w:val="-2"/>
              </w:rPr>
              <w:t>乘坐跨海铁路轮渡的旅客已经在铁路客运站查验身份信息的，港口经营人可以不再对其身份进行查验。</w:t>
            </w:r>
          </w:p>
          <w:p w14:paraId="1D24A9FF">
            <w:pPr>
              <w:pStyle w:val="8"/>
              <w:spacing w:before="26" w:line="223" w:lineRule="auto"/>
              <w:ind w:left="119" w:right="107" w:firstLine="355"/>
            </w:pPr>
            <w:r>
              <w:t>第十三条  水路旅客运输经营者或者其委托的船票销售单位、港口经营人未按本规定第五条、第六条规</w:t>
            </w:r>
            <w:r>
              <w:rPr>
                <w:spacing w:val="1"/>
              </w:rPr>
              <w:t xml:space="preserve"> </w:t>
            </w:r>
            <w:r>
              <w:t>定对客户身份进行查验，或者对身份不明、拒绝身份查验的客户提供服务的，由所在地县级以上地方人民政</w:t>
            </w:r>
          </w:p>
        </w:tc>
        <w:tc>
          <w:tcPr>
            <w:tcW w:w="1029" w:type="dxa"/>
            <w:vAlign w:val="top"/>
          </w:tcPr>
          <w:p w14:paraId="6A9DAFBF">
            <w:pPr>
              <w:spacing w:line="243" w:lineRule="auto"/>
              <w:rPr>
                <w:rFonts w:ascii="Arial"/>
                <w:sz w:val="21"/>
              </w:rPr>
            </w:pPr>
          </w:p>
          <w:p w14:paraId="0532E0AA">
            <w:pPr>
              <w:spacing w:line="243" w:lineRule="auto"/>
              <w:rPr>
                <w:rFonts w:ascii="Arial"/>
                <w:sz w:val="21"/>
              </w:rPr>
            </w:pPr>
          </w:p>
          <w:p w14:paraId="6AF516D9">
            <w:pPr>
              <w:spacing w:line="243" w:lineRule="auto"/>
              <w:rPr>
                <w:rFonts w:ascii="Arial"/>
                <w:sz w:val="21"/>
              </w:rPr>
            </w:pPr>
          </w:p>
          <w:p w14:paraId="7B9F20D9">
            <w:pPr>
              <w:spacing w:line="244" w:lineRule="auto"/>
              <w:rPr>
                <w:rFonts w:ascii="Arial"/>
                <w:sz w:val="21"/>
              </w:rPr>
            </w:pPr>
          </w:p>
          <w:p w14:paraId="05BB97EB">
            <w:pPr>
              <w:spacing w:line="244" w:lineRule="auto"/>
              <w:rPr>
                <w:rFonts w:ascii="Arial"/>
                <w:sz w:val="21"/>
              </w:rPr>
            </w:pPr>
          </w:p>
          <w:p w14:paraId="08415496">
            <w:pPr>
              <w:spacing w:line="244" w:lineRule="auto"/>
              <w:rPr>
                <w:rFonts w:ascii="Arial"/>
                <w:sz w:val="21"/>
              </w:rPr>
            </w:pPr>
          </w:p>
          <w:p w14:paraId="4E8227B2">
            <w:pPr>
              <w:spacing w:line="244" w:lineRule="auto"/>
              <w:rPr>
                <w:rFonts w:ascii="Arial"/>
                <w:sz w:val="21"/>
              </w:rPr>
            </w:pPr>
          </w:p>
          <w:p w14:paraId="4B4C490B">
            <w:pPr>
              <w:spacing w:line="244" w:lineRule="auto"/>
              <w:rPr>
                <w:rFonts w:ascii="Arial"/>
                <w:sz w:val="21"/>
              </w:rPr>
            </w:pPr>
          </w:p>
          <w:p w14:paraId="15148F7B">
            <w:pPr>
              <w:spacing w:line="244" w:lineRule="auto"/>
              <w:rPr>
                <w:rFonts w:ascii="Arial"/>
                <w:sz w:val="21"/>
              </w:rPr>
            </w:pPr>
          </w:p>
          <w:p w14:paraId="60D043CB">
            <w:pPr>
              <w:spacing w:line="244" w:lineRule="auto"/>
              <w:rPr>
                <w:rFonts w:ascii="Arial"/>
                <w:sz w:val="21"/>
              </w:rPr>
            </w:pPr>
          </w:p>
          <w:p w14:paraId="052D7A83">
            <w:pPr>
              <w:spacing w:line="244" w:lineRule="auto"/>
              <w:rPr>
                <w:rFonts w:ascii="Arial"/>
                <w:sz w:val="21"/>
              </w:rPr>
            </w:pPr>
          </w:p>
          <w:p w14:paraId="74381126">
            <w:pPr>
              <w:spacing w:line="244" w:lineRule="auto"/>
              <w:rPr>
                <w:rFonts w:ascii="Arial"/>
                <w:sz w:val="21"/>
              </w:rPr>
            </w:pPr>
          </w:p>
          <w:p w14:paraId="06F72346">
            <w:pPr>
              <w:spacing w:line="244" w:lineRule="auto"/>
              <w:rPr>
                <w:rFonts w:ascii="Arial"/>
                <w:sz w:val="21"/>
              </w:rPr>
            </w:pPr>
          </w:p>
          <w:p w14:paraId="5F1DD6C8">
            <w:pPr>
              <w:spacing w:line="244" w:lineRule="auto"/>
              <w:rPr>
                <w:rFonts w:ascii="Arial"/>
                <w:sz w:val="21"/>
              </w:rPr>
            </w:pPr>
          </w:p>
          <w:p w14:paraId="0E498DA1">
            <w:pPr>
              <w:spacing w:line="244" w:lineRule="auto"/>
              <w:rPr>
                <w:rFonts w:ascii="Arial"/>
                <w:sz w:val="21"/>
              </w:rPr>
            </w:pPr>
          </w:p>
          <w:p w14:paraId="1ECC5C95">
            <w:pPr>
              <w:spacing w:line="244" w:lineRule="auto"/>
              <w:rPr>
                <w:rFonts w:ascii="Arial"/>
                <w:sz w:val="21"/>
              </w:rPr>
            </w:pPr>
          </w:p>
          <w:p w14:paraId="7EFBCE97">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4A58365B">
            <w:pPr>
              <w:spacing w:line="252" w:lineRule="auto"/>
              <w:rPr>
                <w:rFonts w:ascii="Arial"/>
                <w:sz w:val="21"/>
              </w:rPr>
            </w:pPr>
          </w:p>
          <w:p w14:paraId="5837B4E4">
            <w:pPr>
              <w:spacing w:line="252" w:lineRule="auto"/>
              <w:rPr>
                <w:rFonts w:ascii="Arial"/>
                <w:sz w:val="21"/>
              </w:rPr>
            </w:pPr>
          </w:p>
          <w:p w14:paraId="413B2C49">
            <w:pPr>
              <w:spacing w:line="252" w:lineRule="auto"/>
              <w:rPr>
                <w:rFonts w:ascii="Arial"/>
                <w:sz w:val="21"/>
              </w:rPr>
            </w:pPr>
          </w:p>
          <w:p w14:paraId="30DDC000">
            <w:pPr>
              <w:spacing w:line="252" w:lineRule="auto"/>
              <w:rPr>
                <w:rFonts w:ascii="Arial"/>
                <w:sz w:val="21"/>
              </w:rPr>
            </w:pPr>
          </w:p>
          <w:p w14:paraId="7198958D">
            <w:pPr>
              <w:spacing w:line="252" w:lineRule="auto"/>
              <w:rPr>
                <w:rFonts w:ascii="Arial"/>
                <w:sz w:val="21"/>
              </w:rPr>
            </w:pPr>
          </w:p>
          <w:p w14:paraId="3BC223F1">
            <w:pPr>
              <w:spacing w:line="252" w:lineRule="auto"/>
              <w:rPr>
                <w:rFonts w:ascii="Arial"/>
                <w:sz w:val="21"/>
              </w:rPr>
            </w:pPr>
          </w:p>
          <w:p w14:paraId="209AA568">
            <w:pPr>
              <w:spacing w:line="252" w:lineRule="auto"/>
              <w:rPr>
                <w:rFonts w:ascii="Arial"/>
                <w:sz w:val="21"/>
              </w:rPr>
            </w:pPr>
          </w:p>
          <w:p w14:paraId="19978A12">
            <w:pPr>
              <w:spacing w:line="252" w:lineRule="auto"/>
              <w:rPr>
                <w:rFonts w:ascii="Arial"/>
                <w:sz w:val="21"/>
              </w:rPr>
            </w:pPr>
          </w:p>
          <w:p w14:paraId="664A0482">
            <w:pPr>
              <w:spacing w:line="252" w:lineRule="auto"/>
              <w:rPr>
                <w:rFonts w:ascii="Arial"/>
                <w:sz w:val="21"/>
              </w:rPr>
            </w:pPr>
          </w:p>
          <w:p w14:paraId="33F4EC5F">
            <w:pPr>
              <w:spacing w:line="252" w:lineRule="auto"/>
              <w:rPr>
                <w:rFonts w:ascii="Arial"/>
                <w:sz w:val="21"/>
              </w:rPr>
            </w:pPr>
          </w:p>
          <w:p w14:paraId="5C09096C">
            <w:pPr>
              <w:spacing w:line="252" w:lineRule="auto"/>
              <w:rPr>
                <w:rFonts w:ascii="Arial"/>
                <w:sz w:val="21"/>
              </w:rPr>
            </w:pPr>
          </w:p>
          <w:p w14:paraId="2B137990">
            <w:pPr>
              <w:spacing w:line="252" w:lineRule="auto"/>
              <w:rPr>
                <w:rFonts w:ascii="Arial"/>
                <w:sz w:val="21"/>
              </w:rPr>
            </w:pPr>
          </w:p>
          <w:p w14:paraId="39233A24">
            <w:pPr>
              <w:spacing w:line="252" w:lineRule="auto"/>
              <w:rPr>
                <w:rFonts w:ascii="Arial"/>
                <w:sz w:val="21"/>
              </w:rPr>
            </w:pPr>
          </w:p>
          <w:p w14:paraId="7E62B8D8">
            <w:pPr>
              <w:spacing w:line="252" w:lineRule="auto"/>
              <w:rPr>
                <w:rFonts w:ascii="Arial"/>
                <w:sz w:val="21"/>
              </w:rPr>
            </w:pPr>
          </w:p>
          <w:p w14:paraId="1F8670E6">
            <w:pPr>
              <w:spacing w:line="253" w:lineRule="auto"/>
              <w:rPr>
                <w:rFonts w:ascii="Arial"/>
                <w:sz w:val="21"/>
              </w:rPr>
            </w:pPr>
          </w:p>
          <w:p w14:paraId="0930ECD9">
            <w:pPr>
              <w:pStyle w:val="8"/>
              <w:spacing w:before="29" w:line="221" w:lineRule="auto"/>
              <w:rPr>
                <w:rFonts w:hint="eastAsia" w:eastAsia="宋体"/>
                <w:lang w:eastAsia="zh-CN"/>
              </w:rPr>
            </w:pPr>
            <w:r>
              <w:rPr>
                <w:rFonts w:hint="eastAsia"/>
                <w:spacing w:val="-1"/>
                <w:lang w:eastAsia="zh-CN"/>
              </w:rPr>
              <w:t>津市市交通运输局</w:t>
            </w:r>
          </w:p>
        </w:tc>
        <w:tc>
          <w:tcPr>
            <w:tcW w:w="1033" w:type="dxa"/>
            <w:vAlign w:val="top"/>
          </w:tcPr>
          <w:p w14:paraId="2E2D4E15">
            <w:pPr>
              <w:spacing w:line="245" w:lineRule="auto"/>
              <w:rPr>
                <w:rFonts w:ascii="Arial"/>
                <w:sz w:val="21"/>
              </w:rPr>
            </w:pPr>
          </w:p>
          <w:p w14:paraId="3519CFCF">
            <w:pPr>
              <w:spacing w:line="245" w:lineRule="auto"/>
              <w:rPr>
                <w:rFonts w:ascii="Arial"/>
                <w:sz w:val="21"/>
              </w:rPr>
            </w:pPr>
          </w:p>
          <w:p w14:paraId="6BB5A282">
            <w:pPr>
              <w:spacing w:line="245" w:lineRule="auto"/>
              <w:rPr>
                <w:rFonts w:ascii="Arial"/>
                <w:sz w:val="21"/>
              </w:rPr>
            </w:pPr>
          </w:p>
          <w:p w14:paraId="2DF68904">
            <w:pPr>
              <w:spacing w:line="245" w:lineRule="auto"/>
              <w:rPr>
                <w:rFonts w:ascii="Arial"/>
                <w:sz w:val="21"/>
              </w:rPr>
            </w:pPr>
          </w:p>
          <w:p w14:paraId="3F46A00D">
            <w:pPr>
              <w:spacing w:line="245" w:lineRule="auto"/>
              <w:rPr>
                <w:rFonts w:ascii="Arial"/>
                <w:sz w:val="21"/>
              </w:rPr>
            </w:pPr>
          </w:p>
          <w:p w14:paraId="6883D883">
            <w:pPr>
              <w:spacing w:line="245" w:lineRule="auto"/>
              <w:rPr>
                <w:rFonts w:ascii="Arial"/>
                <w:sz w:val="21"/>
              </w:rPr>
            </w:pPr>
          </w:p>
          <w:p w14:paraId="5AB73515">
            <w:pPr>
              <w:spacing w:line="245" w:lineRule="auto"/>
              <w:rPr>
                <w:rFonts w:ascii="Arial"/>
                <w:sz w:val="21"/>
              </w:rPr>
            </w:pPr>
          </w:p>
          <w:p w14:paraId="094C88DC">
            <w:pPr>
              <w:spacing w:line="245" w:lineRule="auto"/>
              <w:rPr>
                <w:rFonts w:ascii="Arial"/>
                <w:sz w:val="21"/>
              </w:rPr>
            </w:pPr>
          </w:p>
          <w:p w14:paraId="0689108F">
            <w:pPr>
              <w:spacing w:line="245" w:lineRule="auto"/>
              <w:rPr>
                <w:rFonts w:ascii="Arial"/>
                <w:sz w:val="21"/>
              </w:rPr>
            </w:pPr>
          </w:p>
          <w:p w14:paraId="0B4C7FA3">
            <w:pPr>
              <w:spacing w:line="245" w:lineRule="auto"/>
              <w:rPr>
                <w:rFonts w:ascii="Arial"/>
                <w:sz w:val="21"/>
              </w:rPr>
            </w:pPr>
          </w:p>
          <w:p w14:paraId="789B65D2">
            <w:pPr>
              <w:spacing w:line="245" w:lineRule="auto"/>
              <w:rPr>
                <w:rFonts w:ascii="Arial"/>
                <w:sz w:val="21"/>
              </w:rPr>
            </w:pPr>
          </w:p>
          <w:p w14:paraId="59B2BFAE">
            <w:pPr>
              <w:spacing w:line="245" w:lineRule="auto"/>
              <w:rPr>
                <w:rFonts w:ascii="Arial"/>
                <w:sz w:val="21"/>
              </w:rPr>
            </w:pPr>
          </w:p>
          <w:p w14:paraId="1A608503">
            <w:pPr>
              <w:spacing w:line="245" w:lineRule="auto"/>
              <w:rPr>
                <w:rFonts w:ascii="Arial"/>
                <w:sz w:val="21"/>
              </w:rPr>
            </w:pPr>
          </w:p>
          <w:p w14:paraId="504F54B1">
            <w:pPr>
              <w:spacing w:line="245" w:lineRule="auto"/>
              <w:rPr>
                <w:rFonts w:ascii="Arial"/>
                <w:sz w:val="21"/>
              </w:rPr>
            </w:pPr>
          </w:p>
          <w:p w14:paraId="55F2C2B8">
            <w:pPr>
              <w:spacing w:line="246" w:lineRule="auto"/>
              <w:rPr>
                <w:rFonts w:ascii="Arial"/>
                <w:sz w:val="21"/>
              </w:rPr>
            </w:pPr>
          </w:p>
          <w:p w14:paraId="31E7684E">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13189156">
      <w:pPr>
        <w:pStyle w:val="2"/>
      </w:pPr>
    </w:p>
    <w:p w14:paraId="41703BE9">
      <w:pPr>
        <w:sectPr>
          <w:footerReference r:id="rId216" w:type="default"/>
          <w:pgSz w:w="16840" w:h="11910"/>
          <w:pgMar w:top="1012" w:right="888" w:bottom="966" w:left="887" w:header="0" w:footer="768" w:gutter="0"/>
          <w:cols w:space="720" w:num="1"/>
        </w:sectPr>
      </w:pPr>
    </w:p>
    <w:p w14:paraId="649D9491">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6425C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34" w:type="dxa"/>
            <w:vMerge w:val="restart"/>
            <w:tcBorders>
              <w:bottom w:val="nil"/>
            </w:tcBorders>
            <w:vAlign w:val="top"/>
          </w:tcPr>
          <w:p w14:paraId="096DF233">
            <w:pPr>
              <w:pStyle w:val="8"/>
              <w:spacing w:before="221" w:line="221" w:lineRule="auto"/>
              <w:ind w:left="138"/>
            </w:pPr>
            <w:r>
              <w:rPr>
                <w:b/>
                <w:bCs/>
                <w:spacing w:val="-4"/>
              </w:rPr>
              <w:t>序号</w:t>
            </w:r>
          </w:p>
        </w:tc>
        <w:tc>
          <w:tcPr>
            <w:tcW w:w="1121" w:type="dxa"/>
            <w:vMerge w:val="restart"/>
            <w:tcBorders>
              <w:bottom w:val="nil"/>
            </w:tcBorders>
            <w:vAlign w:val="top"/>
          </w:tcPr>
          <w:p w14:paraId="14E201CB">
            <w:pPr>
              <w:pStyle w:val="8"/>
              <w:spacing w:before="221" w:line="220" w:lineRule="auto"/>
              <w:ind w:left="206"/>
            </w:pPr>
            <w:r>
              <w:rPr>
                <w:b/>
                <w:bCs/>
                <w:spacing w:val="-5"/>
              </w:rPr>
              <w:t>事项名称</w:t>
            </w:r>
          </w:p>
        </w:tc>
        <w:tc>
          <w:tcPr>
            <w:tcW w:w="1121" w:type="dxa"/>
            <w:vMerge w:val="restart"/>
            <w:tcBorders>
              <w:bottom w:val="nil"/>
            </w:tcBorders>
            <w:vAlign w:val="top"/>
          </w:tcPr>
          <w:p w14:paraId="1E340142">
            <w:pPr>
              <w:pStyle w:val="8"/>
              <w:spacing w:before="222" w:line="219" w:lineRule="auto"/>
              <w:ind w:left="221"/>
            </w:pPr>
            <w:r>
              <w:rPr>
                <w:b/>
                <w:bCs/>
                <w:spacing w:val="-9"/>
              </w:rPr>
              <w:t>职权类型</w:t>
            </w:r>
          </w:p>
        </w:tc>
        <w:tc>
          <w:tcPr>
            <w:tcW w:w="8692" w:type="dxa"/>
            <w:vMerge w:val="restart"/>
            <w:tcBorders>
              <w:bottom w:val="nil"/>
            </w:tcBorders>
            <w:vAlign w:val="top"/>
          </w:tcPr>
          <w:p w14:paraId="2D77C6B7">
            <w:pPr>
              <w:pStyle w:val="8"/>
              <w:spacing w:before="221" w:line="219" w:lineRule="auto"/>
              <w:ind w:left="3999"/>
            </w:pPr>
            <w:r>
              <w:rPr>
                <w:b/>
                <w:bCs/>
                <w:spacing w:val="-6"/>
              </w:rPr>
              <w:t>实施依据</w:t>
            </w:r>
          </w:p>
        </w:tc>
        <w:tc>
          <w:tcPr>
            <w:tcW w:w="3491" w:type="dxa"/>
            <w:gridSpan w:val="3"/>
            <w:vAlign w:val="top"/>
          </w:tcPr>
          <w:p w14:paraId="5AF709F6">
            <w:pPr>
              <w:pStyle w:val="8"/>
              <w:spacing w:before="85" w:line="220" w:lineRule="auto"/>
              <w:ind w:left="1399"/>
            </w:pPr>
            <w:r>
              <w:rPr>
                <w:b/>
                <w:bCs/>
                <w:spacing w:val="-6"/>
              </w:rPr>
              <w:t>实施主体</w:t>
            </w:r>
          </w:p>
        </w:tc>
      </w:tr>
      <w:tr w14:paraId="473D2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4C7B2865">
            <w:pPr>
              <w:rPr>
                <w:rFonts w:ascii="Arial"/>
                <w:sz w:val="21"/>
              </w:rPr>
            </w:pPr>
          </w:p>
        </w:tc>
        <w:tc>
          <w:tcPr>
            <w:tcW w:w="1121" w:type="dxa"/>
            <w:vMerge w:val="continue"/>
            <w:tcBorders>
              <w:top w:val="nil"/>
            </w:tcBorders>
            <w:vAlign w:val="top"/>
          </w:tcPr>
          <w:p w14:paraId="061097CA">
            <w:pPr>
              <w:rPr>
                <w:rFonts w:ascii="Arial"/>
                <w:sz w:val="21"/>
              </w:rPr>
            </w:pPr>
          </w:p>
        </w:tc>
        <w:tc>
          <w:tcPr>
            <w:tcW w:w="1121" w:type="dxa"/>
            <w:vMerge w:val="continue"/>
            <w:tcBorders>
              <w:top w:val="nil"/>
            </w:tcBorders>
            <w:vAlign w:val="top"/>
          </w:tcPr>
          <w:p w14:paraId="12253DE3">
            <w:pPr>
              <w:rPr>
                <w:rFonts w:ascii="Arial"/>
                <w:sz w:val="21"/>
              </w:rPr>
            </w:pPr>
          </w:p>
        </w:tc>
        <w:tc>
          <w:tcPr>
            <w:tcW w:w="8692" w:type="dxa"/>
            <w:vMerge w:val="continue"/>
            <w:tcBorders>
              <w:top w:val="nil"/>
            </w:tcBorders>
            <w:vAlign w:val="top"/>
          </w:tcPr>
          <w:p w14:paraId="65F13BF0">
            <w:pPr>
              <w:rPr>
                <w:rFonts w:ascii="Arial"/>
                <w:sz w:val="21"/>
              </w:rPr>
            </w:pPr>
          </w:p>
        </w:tc>
        <w:tc>
          <w:tcPr>
            <w:tcW w:w="1029" w:type="dxa"/>
            <w:vAlign w:val="top"/>
          </w:tcPr>
          <w:p w14:paraId="0226D8F2">
            <w:pPr>
              <w:pStyle w:val="8"/>
              <w:spacing w:before="45" w:line="219" w:lineRule="auto"/>
              <w:ind w:left="172"/>
            </w:pPr>
            <w:r>
              <w:rPr>
                <w:b/>
                <w:bCs/>
                <w:spacing w:val="-6"/>
              </w:rPr>
              <w:t>责任部门</w:t>
            </w:r>
          </w:p>
        </w:tc>
        <w:tc>
          <w:tcPr>
            <w:tcW w:w="1429" w:type="dxa"/>
            <w:vAlign w:val="top"/>
          </w:tcPr>
          <w:p w14:paraId="7BC7A477">
            <w:pPr>
              <w:pStyle w:val="8"/>
              <w:spacing w:before="45" w:line="219" w:lineRule="auto"/>
              <w:ind w:left="188"/>
            </w:pPr>
            <w:r>
              <w:rPr>
                <w:b/>
                <w:bCs/>
                <w:spacing w:val="-4"/>
              </w:rPr>
              <w:t>第一责任层级</w:t>
            </w:r>
          </w:p>
        </w:tc>
        <w:tc>
          <w:tcPr>
            <w:tcW w:w="1033" w:type="dxa"/>
            <w:vAlign w:val="top"/>
          </w:tcPr>
          <w:p w14:paraId="37AF6290">
            <w:pPr>
              <w:pStyle w:val="8"/>
              <w:spacing w:before="45" w:line="219" w:lineRule="auto"/>
              <w:ind w:left="163"/>
            </w:pPr>
            <w:r>
              <w:rPr>
                <w:b/>
                <w:bCs/>
                <w:spacing w:val="-5"/>
              </w:rPr>
              <w:t>承办机构</w:t>
            </w:r>
          </w:p>
        </w:tc>
      </w:tr>
      <w:tr w14:paraId="5225F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34" w:type="dxa"/>
            <w:vAlign w:val="top"/>
          </w:tcPr>
          <w:p w14:paraId="6A746169">
            <w:pPr>
              <w:rPr>
                <w:rFonts w:ascii="Arial"/>
                <w:sz w:val="21"/>
              </w:rPr>
            </w:pPr>
          </w:p>
        </w:tc>
        <w:tc>
          <w:tcPr>
            <w:tcW w:w="1121" w:type="dxa"/>
            <w:vAlign w:val="top"/>
          </w:tcPr>
          <w:p w14:paraId="22A02826">
            <w:pPr>
              <w:rPr>
                <w:rFonts w:ascii="Arial"/>
                <w:sz w:val="21"/>
              </w:rPr>
            </w:pPr>
          </w:p>
        </w:tc>
        <w:tc>
          <w:tcPr>
            <w:tcW w:w="1121" w:type="dxa"/>
            <w:vAlign w:val="top"/>
          </w:tcPr>
          <w:p w14:paraId="7C692399">
            <w:pPr>
              <w:rPr>
                <w:rFonts w:ascii="Arial"/>
                <w:sz w:val="21"/>
              </w:rPr>
            </w:pPr>
          </w:p>
        </w:tc>
        <w:tc>
          <w:tcPr>
            <w:tcW w:w="8692" w:type="dxa"/>
            <w:vAlign w:val="top"/>
          </w:tcPr>
          <w:p w14:paraId="2A70A6ED">
            <w:pPr>
              <w:pStyle w:val="8"/>
              <w:spacing w:before="38" w:line="233" w:lineRule="auto"/>
              <w:ind w:left="116" w:right="102" w:hanging="2"/>
            </w:pPr>
            <w:r>
              <w:rPr>
                <w:spacing w:val="-3"/>
              </w:rPr>
              <w:t>府负责水路运输管理的部门或者机构、港口行政管理部门按照职责分工责令限期改正</w:t>
            </w:r>
            <w:r>
              <w:rPr>
                <w:spacing w:val="-4"/>
              </w:rPr>
              <w:t>，处 10 万元以上 50 万</w:t>
            </w:r>
            <w:r>
              <w:t xml:space="preserve"> </w:t>
            </w:r>
            <w:r>
              <w:rPr>
                <w:spacing w:val="-7"/>
              </w:rPr>
              <w:t>元以下罚款，并对其直接负责的主管人员和其他直接责任人员处 10 万元以下罚款。</w:t>
            </w:r>
          </w:p>
          <w:p w14:paraId="4D722F9F">
            <w:pPr>
              <w:pStyle w:val="8"/>
              <w:spacing w:before="25" w:line="237" w:lineRule="auto"/>
              <w:ind w:left="114" w:right="107" w:firstLine="360"/>
              <w:jc w:val="both"/>
            </w:pPr>
            <w:r>
              <w:t>第十四条  水路旅客运输经营者或者其委托的船票销售单位、港口经营人经限期改正后仍不按本规定第</w:t>
            </w:r>
            <w:r>
              <w:rPr>
                <w:spacing w:val="1"/>
              </w:rPr>
              <w:t xml:space="preserve"> </w:t>
            </w:r>
            <w:r>
              <w:t>五条、第六条规定对客户身份进行查验，或者对身份不明、拒绝身份查验的客户提供服务，情节严重的，由</w:t>
            </w:r>
            <w:r>
              <w:rPr>
                <w:spacing w:val="3"/>
              </w:rPr>
              <w:t xml:space="preserve"> </w:t>
            </w:r>
            <w:r>
              <w:t>所在地县级以上地方人民政府负责水路运输管理的部门或者机构、港口行政管理部门按照职责分工责令其停</w:t>
            </w:r>
            <w:r>
              <w:rPr>
                <w:spacing w:val="3"/>
              </w:rPr>
              <w:t xml:space="preserve"> </w:t>
            </w:r>
            <w:r>
              <w:t>止从事相关水路旅客运输、港口经营或者船票销售业务；造成严重后果的，由原许可机关吊销有关水路旅客</w:t>
            </w:r>
            <w:r>
              <w:rPr>
                <w:spacing w:val="3"/>
              </w:rPr>
              <w:t xml:space="preserve"> </w:t>
            </w:r>
            <w:r>
              <w:rPr>
                <w:spacing w:val="-3"/>
              </w:rPr>
              <w:t>运输经营许可证件或者港口经营许可证件。</w:t>
            </w:r>
          </w:p>
        </w:tc>
        <w:tc>
          <w:tcPr>
            <w:tcW w:w="1029" w:type="dxa"/>
            <w:vAlign w:val="top"/>
          </w:tcPr>
          <w:p w14:paraId="1736DE5A">
            <w:pPr>
              <w:rPr>
                <w:rFonts w:ascii="Arial"/>
                <w:sz w:val="21"/>
              </w:rPr>
            </w:pPr>
          </w:p>
        </w:tc>
        <w:tc>
          <w:tcPr>
            <w:tcW w:w="1429" w:type="dxa"/>
            <w:vAlign w:val="top"/>
          </w:tcPr>
          <w:p w14:paraId="5837732B">
            <w:pPr>
              <w:rPr>
                <w:rFonts w:ascii="Arial"/>
                <w:sz w:val="21"/>
              </w:rPr>
            </w:pPr>
          </w:p>
        </w:tc>
        <w:tc>
          <w:tcPr>
            <w:tcW w:w="1033" w:type="dxa"/>
            <w:vAlign w:val="top"/>
          </w:tcPr>
          <w:p w14:paraId="5AED22C6">
            <w:pPr>
              <w:rPr>
                <w:rFonts w:ascii="Arial"/>
                <w:sz w:val="21"/>
              </w:rPr>
            </w:pPr>
          </w:p>
        </w:tc>
      </w:tr>
      <w:tr w14:paraId="7D5BC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7" w:hRule="atLeast"/>
        </w:trPr>
        <w:tc>
          <w:tcPr>
            <w:tcW w:w="634" w:type="dxa"/>
            <w:vAlign w:val="top"/>
          </w:tcPr>
          <w:p w14:paraId="4C4D9154">
            <w:pPr>
              <w:spacing w:line="315" w:lineRule="auto"/>
              <w:rPr>
                <w:rFonts w:ascii="Arial"/>
                <w:sz w:val="21"/>
              </w:rPr>
            </w:pPr>
          </w:p>
          <w:p w14:paraId="7C2FD41E">
            <w:pPr>
              <w:spacing w:line="316" w:lineRule="auto"/>
              <w:rPr>
                <w:rFonts w:ascii="Arial"/>
                <w:sz w:val="21"/>
              </w:rPr>
            </w:pPr>
          </w:p>
          <w:p w14:paraId="29F09304">
            <w:pPr>
              <w:spacing w:line="316" w:lineRule="auto"/>
              <w:rPr>
                <w:rFonts w:ascii="Arial"/>
                <w:sz w:val="21"/>
              </w:rPr>
            </w:pPr>
          </w:p>
          <w:p w14:paraId="252CD510">
            <w:pPr>
              <w:pStyle w:val="8"/>
              <w:spacing w:before="58" w:line="183" w:lineRule="auto"/>
              <w:ind w:left="278"/>
            </w:pPr>
            <w:r>
              <w:t>2</w:t>
            </w:r>
          </w:p>
        </w:tc>
        <w:tc>
          <w:tcPr>
            <w:tcW w:w="1121" w:type="dxa"/>
            <w:vAlign w:val="top"/>
          </w:tcPr>
          <w:p w14:paraId="403F7019">
            <w:pPr>
              <w:pStyle w:val="8"/>
              <w:spacing w:before="145" w:line="243" w:lineRule="auto"/>
              <w:ind w:left="114" w:right="110"/>
              <w:jc w:val="both"/>
            </w:pPr>
            <w:r>
              <w:rPr>
                <w:spacing w:val="-2"/>
              </w:rPr>
              <w:t>对擅自经营</w:t>
            </w:r>
            <w:r>
              <w:t xml:space="preserve"> </w:t>
            </w:r>
            <w:r>
              <w:rPr>
                <w:spacing w:val="-2"/>
              </w:rPr>
              <w:t>或者超越许</w:t>
            </w:r>
            <w:r>
              <w:t xml:space="preserve"> </w:t>
            </w:r>
            <w:r>
              <w:rPr>
                <w:spacing w:val="-2"/>
              </w:rPr>
              <w:t>可范围经营</w:t>
            </w:r>
            <w:r>
              <w:t xml:space="preserve"> </w:t>
            </w:r>
            <w:r>
              <w:rPr>
                <w:spacing w:val="-2"/>
              </w:rPr>
              <w:t>水路运输业</w:t>
            </w:r>
            <w:r>
              <w:t xml:space="preserve"> </w:t>
            </w:r>
            <w:r>
              <w:rPr>
                <w:spacing w:val="-2"/>
              </w:rPr>
              <w:t>务或者国内</w:t>
            </w:r>
            <w:r>
              <w:t xml:space="preserve"> </w:t>
            </w:r>
            <w:r>
              <w:rPr>
                <w:spacing w:val="-2"/>
              </w:rPr>
              <w:t>船舶管理业</w:t>
            </w:r>
            <w:r>
              <w:t xml:space="preserve"> </w:t>
            </w:r>
            <w:r>
              <w:rPr>
                <w:spacing w:val="-2"/>
              </w:rPr>
              <w:t>务行为的行</w:t>
            </w:r>
            <w:r>
              <w:t xml:space="preserve"> </w:t>
            </w:r>
            <w:r>
              <w:rPr>
                <w:spacing w:val="-3"/>
              </w:rPr>
              <w:t>政处罚</w:t>
            </w:r>
          </w:p>
        </w:tc>
        <w:tc>
          <w:tcPr>
            <w:tcW w:w="1121" w:type="dxa"/>
            <w:vAlign w:val="top"/>
          </w:tcPr>
          <w:p w14:paraId="572FB8AB">
            <w:pPr>
              <w:spacing w:line="306" w:lineRule="auto"/>
              <w:rPr>
                <w:rFonts w:ascii="Arial"/>
                <w:sz w:val="21"/>
              </w:rPr>
            </w:pPr>
          </w:p>
          <w:p w14:paraId="3F2CD13D">
            <w:pPr>
              <w:spacing w:line="306" w:lineRule="auto"/>
              <w:rPr>
                <w:rFonts w:ascii="Arial"/>
                <w:sz w:val="21"/>
              </w:rPr>
            </w:pPr>
          </w:p>
          <w:p w14:paraId="5EEA0412">
            <w:pPr>
              <w:spacing w:line="306" w:lineRule="auto"/>
              <w:rPr>
                <w:rFonts w:ascii="Arial"/>
                <w:sz w:val="21"/>
              </w:rPr>
            </w:pPr>
          </w:p>
          <w:p w14:paraId="7645AFA7">
            <w:pPr>
              <w:pStyle w:val="8"/>
              <w:spacing w:before="59" w:line="220" w:lineRule="auto"/>
              <w:ind w:left="9"/>
            </w:pPr>
            <w:r>
              <w:rPr>
                <w:spacing w:val="-4"/>
              </w:rPr>
              <w:t>行政处罚</w:t>
            </w:r>
          </w:p>
        </w:tc>
        <w:tc>
          <w:tcPr>
            <w:tcW w:w="8692" w:type="dxa"/>
            <w:vAlign w:val="top"/>
          </w:tcPr>
          <w:p w14:paraId="2FC9A44A">
            <w:pPr>
              <w:spacing w:line="339" w:lineRule="auto"/>
              <w:rPr>
                <w:rFonts w:ascii="Arial"/>
                <w:sz w:val="21"/>
              </w:rPr>
            </w:pPr>
          </w:p>
          <w:p w14:paraId="64DCA4F1">
            <w:pPr>
              <w:pStyle w:val="8"/>
              <w:spacing w:before="59" w:line="219" w:lineRule="auto"/>
              <w:ind w:left="478"/>
            </w:pPr>
            <w:r>
              <w:rPr>
                <w:b/>
                <w:bCs/>
                <w:spacing w:val="-5"/>
              </w:rPr>
              <w:t>《国内水路运输管理条例》</w:t>
            </w:r>
          </w:p>
          <w:p w14:paraId="281185BF">
            <w:pPr>
              <w:pStyle w:val="8"/>
              <w:spacing w:before="18" w:line="229" w:lineRule="auto"/>
              <w:ind w:left="114" w:right="126" w:firstLine="360"/>
            </w:pPr>
            <w:r>
              <w:t>第十三条第（一）项  水路运输经营者投入运营的船舶应当符合下列条件</w:t>
            </w:r>
            <w:r>
              <w:rPr>
                <w:spacing w:val="-5"/>
              </w:rPr>
              <w:t>：（</w:t>
            </w:r>
            <w:r>
              <w:t>一）与经营</w:t>
            </w:r>
            <w:r>
              <w:rPr>
                <w:spacing w:val="-1"/>
              </w:rPr>
              <w:t>者的经营范围</w:t>
            </w:r>
            <w:r>
              <w:t xml:space="preserve"> </w:t>
            </w:r>
            <w:r>
              <w:rPr>
                <w:spacing w:val="-1"/>
              </w:rPr>
              <w:t>相适应；第十七条 水路运输经营者应当在依法取得许可的经营范围内从事水路运输经营。</w:t>
            </w:r>
          </w:p>
          <w:p w14:paraId="223C23E0">
            <w:pPr>
              <w:pStyle w:val="8"/>
              <w:spacing w:before="22" w:line="232" w:lineRule="auto"/>
              <w:ind w:left="116" w:right="100" w:firstLine="350"/>
            </w:pPr>
            <w:r>
              <w:t>第三十三条  未经许可擅自经营或者超越许可范围经营水路运输业务或者国内船舶管理业务的，由负责</w:t>
            </w:r>
            <w:r>
              <w:rPr>
                <w:spacing w:val="11"/>
              </w:rPr>
              <w:t xml:space="preserve"> </w:t>
            </w:r>
            <w:r>
              <w:rPr>
                <w:spacing w:val="-3"/>
              </w:rPr>
              <w:t>水路运输管理的部门责令停止经营，没收违法</w:t>
            </w:r>
            <w:r>
              <w:rPr>
                <w:spacing w:val="-4"/>
              </w:rPr>
              <w:t>所得，并处违法所得</w:t>
            </w:r>
            <w:r>
              <w:rPr>
                <w:spacing w:val="21"/>
              </w:rPr>
              <w:t xml:space="preserve"> </w:t>
            </w:r>
            <w:r>
              <w:rPr>
                <w:spacing w:val="-4"/>
              </w:rPr>
              <w:t>1 倍以上</w:t>
            </w:r>
            <w:r>
              <w:rPr>
                <w:spacing w:val="-17"/>
              </w:rPr>
              <w:t xml:space="preserve"> </w:t>
            </w:r>
            <w:r>
              <w:rPr>
                <w:spacing w:val="-4"/>
              </w:rPr>
              <w:t>5 倍以下的罚款；没有违法所得</w:t>
            </w:r>
            <w:r>
              <w:t xml:space="preserve"> </w:t>
            </w:r>
            <w:r>
              <w:rPr>
                <w:spacing w:val="-10"/>
              </w:rPr>
              <w:t>或者违法所得不足 3 万元的，处 3 万元以上 15 万元以下的罚</w:t>
            </w:r>
            <w:r>
              <w:rPr>
                <w:spacing w:val="-11"/>
              </w:rPr>
              <w:t>款。</w:t>
            </w:r>
          </w:p>
        </w:tc>
        <w:tc>
          <w:tcPr>
            <w:tcW w:w="1029" w:type="dxa"/>
            <w:vAlign w:val="top"/>
          </w:tcPr>
          <w:p w14:paraId="62C4CB71">
            <w:pPr>
              <w:spacing w:line="265" w:lineRule="auto"/>
              <w:rPr>
                <w:rFonts w:ascii="Arial"/>
                <w:sz w:val="21"/>
              </w:rPr>
            </w:pPr>
          </w:p>
          <w:p w14:paraId="10EFA414">
            <w:pPr>
              <w:spacing w:line="265" w:lineRule="auto"/>
              <w:rPr>
                <w:rFonts w:ascii="Arial"/>
                <w:sz w:val="21"/>
              </w:rPr>
            </w:pPr>
          </w:p>
          <w:p w14:paraId="0AD58C2C">
            <w:pPr>
              <w:spacing w:line="265" w:lineRule="auto"/>
              <w:rPr>
                <w:rFonts w:ascii="Arial"/>
                <w:sz w:val="21"/>
              </w:rPr>
            </w:pPr>
          </w:p>
          <w:p w14:paraId="254AE6F3">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382903A7">
            <w:pPr>
              <w:spacing w:line="265" w:lineRule="auto"/>
              <w:rPr>
                <w:rFonts w:ascii="Arial"/>
                <w:sz w:val="21"/>
              </w:rPr>
            </w:pPr>
          </w:p>
          <w:p w14:paraId="787F0890">
            <w:pPr>
              <w:spacing w:line="265" w:lineRule="auto"/>
              <w:rPr>
                <w:rFonts w:ascii="Arial"/>
                <w:sz w:val="21"/>
              </w:rPr>
            </w:pPr>
          </w:p>
          <w:p w14:paraId="6D227261">
            <w:pPr>
              <w:spacing w:line="265" w:lineRule="auto"/>
              <w:rPr>
                <w:rFonts w:ascii="Arial"/>
                <w:sz w:val="21"/>
              </w:rPr>
            </w:pPr>
          </w:p>
          <w:p w14:paraId="53E8ED73">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1ED40B55">
            <w:pPr>
              <w:spacing w:line="283" w:lineRule="auto"/>
              <w:rPr>
                <w:rFonts w:ascii="Arial"/>
                <w:sz w:val="21"/>
              </w:rPr>
            </w:pPr>
          </w:p>
          <w:p w14:paraId="4C933048">
            <w:pPr>
              <w:spacing w:line="284" w:lineRule="auto"/>
              <w:rPr>
                <w:rFonts w:ascii="Arial"/>
                <w:sz w:val="21"/>
              </w:rPr>
            </w:pPr>
          </w:p>
          <w:p w14:paraId="11DD5F0B">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54B92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3" w:hRule="atLeast"/>
        </w:trPr>
        <w:tc>
          <w:tcPr>
            <w:tcW w:w="634" w:type="dxa"/>
            <w:vAlign w:val="top"/>
          </w:tcPr>
          <w:p w14:paraId="5864B8BE">
            <w:pPr>
              <w:spacing w:line="267" w:lineRule="auto"/>
              <w:rPr>
                <w:rFonts w:ascii="Arial"/>
                <w:sz w:val="21"/>
              </w:rPr>
            </w:pPr>
          </w:p>
          <w:p w14:paraId="1F01DE88">
            <w:pPr>
              <w:spacing w:line="267" w:lineRule="auto"/>
              <w:rPr>
                <w:rFonts w:ascii="Arial"/>
                <w:sz w:val="21"/>
              </w:rPr>
            </w:pPr>
          </w:p>
          <w:p w14:paraId="0B57EF02">
            <w:pPr>
              <w:spacing w:line="268" w:lineRule="auto"/>
              <w:rPr>
                <w:rFonts w:ascii="Arial"/>
                <w:sz w:val="21"/>
              </w:rPr>
            </w:pPr>
          </w:p>
          <w:p w14:paraId="3BA346D7">
            <w:pPr>
              <w:spacing w:line="268" w:lineRule="auto"/>
              <w:rPr>
                <w:rFonts w:ascii="Arial"/>
                <w:sz w:val="21"/>
              </w:rPr>
            </w:pPr>
          </w:p>
          <w:p w14:paraId="76630494">
            <w:pPr>
              <w:spacing w:line="268" w:lineRule="auto"/>
              <w:rPr>
                <w:rFonts w:ascii="Arial"/>
                <w:sz w:val="21"/>
              </w:rPr>
            </w:pPr>
          </w:p>
          <w:p w14:paraId="0CC993B6">
            <w:pPr>
              <w:spacing w:line="268" w:lineRule="auto"/>
              <w:rPr>
                <w:rFonts w:ascii="Arial"/>
                <w:sz w:val="21"/>
              </w:rPr>
            </w:pPr>
          </w:p>
          <w:p w14:paraId="40210E67">
            <w:pPr>
              <w:spacing w:line="268" w:lineRule="auto"/>
              <w:rPr>
                <w:rFonts w:ascii="Arial"/>
                <w:sz w:val="21"/>
              </w:rPr>
            </w:pPr>
          </w:p>
          <w:p w14:paraId="5E38B035">
            <w:pPr>
              <w:spacing w:line="268" w:lineRule="auto"/>
              <w:rPr>
                <w:rFonts w:ascii="Arial"/>
                <w:sz w:val="21"/>
              </w:rPr>
            </w:pPr>
          </w:p>
          <w:p w14:paraId="55D50679">
            <w:pPr>
              <w:pStyle w:val="8"/>
              <w:spacing w:before="59" w:line="183" w:lineRule="auto"/>
              <w:ind w:left="280"/>
            </w:pPr>
            <w:r>
              <w:t>3</w:t>
            </w:r>
          </w:p>
        </w:tc>
        <w:tc>
          <w:tcPr>
            <w:tcW w:w="1121" w:type="dxa"/>
            <w:vAlign w:val="top"/>
          </w:tcPr>
          <w:p w14:paraId="256C88BA">
            <w:pPr>
              <w:spacing w:line="286" w:lineRule="auto"/>
              <w:rPr>
                <w:rFonts w:ascii="Arial"/>
                <w:sz w:val="21"/>
              </w:rPr>
            </w:pPr>
          </w:p>
          <w:p w14:paraId="7B527E9A">
            <w:pPr>
              <w:spacing w:line="286" w:lineRule="auto"/>
              <w:rPr>
                <w:rFonts w:ascii="Arial"/>
                <w:sz w:val="21"/>
              </w:rPr>
            </w:pPr>
          </w:p>
          <w:p w14:paraId="3E9640A6">
            <w:pPr>
              <w:spacing w:line="286" w:lineRule="auto"/>
              <w:rPr>
                <w:rFonts w:ascii="Arial"/>
                <w:sz w:val="21"/>
              </w:rPr>
            </w:pPr>
          </w:p>
          <w:p w14:paraId="741B867C">
            <w:pPr>
              <w:spacing w:line="287" w:lineRule="auto"/>
              <w:rPr>
                <w:rFonts w:ascii="Arial"/>
                <w:sz w:val="21"/>
              </w:rPr>
            </w:pPr>
          </w:p>
          <w:p w14:paraId="602D4EF7">
            <w:pPr>
              <w:pStyle w:val="8"/>
              <w:spacing w:before="58" w:line="245" w:lineRule="auto"/>
              <w:ind w:left="114" w:right="110"/>
              <w:jc w:val="both"/>
            </w:pPr>
            <w:r>
              <w:rPr>
                <w:spacing w:val="-2"/>
              </w:rPr>
              <w:t>对水路运输</w:t>
            </w:r>
            <w:r>
              <w:t xml:space="preserve"> </w:t>
            </w:r>
            <w:r>
              <w:rPr>
                <w:spacing w:val="-2"/>
              </w:rPr>
              <w:t>经营者使用</w:t>
            </w:r>
            <w:r>
              <w:t xml:space="preserve"> </w:t>
            </w:r>
            <w:r>
              <w:rPr>
                <w:spacing w:val="-2"/>
              </w:rPr>
              <w:t>未取得船舶</w:t>
            </w:r>
            <w:r>
              <w:t xml:space="preserve"> </w:t>
            </w:r>
            <w:r>
              <w:rPr>
                <w:spacing w:val="-2"/>
              </w:rPr>
              <w:t>营运证件的</w:t>
            </w:r>
            <w:r>
              <w:t xml:space="preserve"> </w:t>
            </w:r>
            <w:r>
              <w:rPr>
                <w:spacing w:val="-2"/>
              </w:rPr>
              <w:t>船舶从事水</w:t>
            </w:r>
            <w:r>
              <w:t xml:space="preserve"> </w:t>
            </w:r>
            <w:r>
              <w:rPr>
                <w:spacing w:val="-2"/>
              </w:rPr>
              <w:t>路运输行为</w:t>
            </w:r>
            <w:r>
              <w:t xml:space="preserve"> </w:t>
            </w:r>
            <w:r>
              <w:rPr>
                <w:spacing w:val="-3"/>
              </w:rPr>
              <w:t>的行政处罚</w:t>
            </w:r>
          </w:p>
        </w:tc>
        <w:tc>
          <w:tcPr>
            <w:tcW w:w="1121" w:type="dxa"/>
            <w:vAlign w:val="top"/>
          </w:tcPr>
          <w:p w14:paraId="538BDE41">
            <w:pPr>
              <w:spacing w:line="255" w:lineRule="auto"/>
              <w:rPr>
                <w:rFonts w:ascii="Arial"/>
                <w:sz w:val="21"/>
              </w:rPr>
            </w:pPr>
          </w:p>
          <w:p w14:paraId="440BB904">
            <w:pPr>
              <w:spacing w:line="256" w:lineRule="auto"/>
              <w:rPr>
                <w:rFonts w:ascii="Arial"/>
                <w:sz w:val="21"/>
              </w:rPr>
            </w:pPr>
          </w:p>
          <w:p w14:paraId="2DF51739">
            <w:pPr>
              <w:spacing w:line="256" w:lineRule="auto"/>
              <w:rPr>
                <w:rFonts w:ascii="Arial"/>
                <w:sz w:val="21"/>
              </w:rPr>
            </w:pPr>
          </w:p>
          <w:p w14:paraId="0BCD31E6">
            <w:pPr>
              <w:spacing w:line="256" w:lineRule="auto"/>
              <w:rPr>
                <w:rFonts w:ascii="Arial"/>
                <w:sz w:val="21"/>
              </w:rPr>
            </w:pPr>
          </w:p>
          <w:p w14:paraId="606B8E4A">
            <w:pPr>
              <w:spacing w:line="256" w:lineRule="auto"/>
              <w:rPr>
                <w:rFonts w:ascii="Arial"/>
                <w:sz w:val="21"/>
              </w:rPr>
            </w:pPr>
          </w:p>
          <w:p w14:paraId="2CAC3DE0">
            <w:pPr>
              <w:spacing w:line="256" w:lineRule="auto"/>
              <w:rPr>
                <w:rFonts w:ascii="Arial"/>
                <w:sz w:val="21"/>
              </w:rPr>
            </w:pPr>
          </w:p>
          <w:p w14:paraId="4F83EB0A">
            <w:pPr>
              <w:pStyle w:val="8"/>
              <w:spacing w:before="58" w:line="220" w:lineRule="auto"/>
              <w:ind w:left="9"/>
            </w:pPr>
            <w:r>
              <w:rPr>
                <w:spacing w:val="-4"/>
              </w:rPr>
              <w:t>行政处罚</w:t>
            </w:r>
          </w:p>
        </w:tc>
        <w:tc>
          <w:tcPr>
            <w:tcW w:w="8692" w:type="dxa"/>
            <w:vAlign w:val="top"/>
          </w:tcPr>
          <w:p w14:paraId="1DAB59E3">
            <w:pPr>
              <w:pStyle w:val="8"/>
              <w:spacing w:before="31" w:line="219" w:lineRule="auto"/>
              <w:ind w:left="480"/>
            </w:pPr>
            <w:r>
              <w:rPr>
                <w:b/>
                <w:bCs/>
                <w:spacing w:val="-6"/>
              </w:rPr>
              <w:t>1.《国内水路运输管理条例》</w:t>
            </w:r>
          </w:p>
          <w:p w14:paraId="783E6814">
            <w:pPr>
              <w:pStyle w:val="8"/>
              <w:spacing w:before="17" w:line="234" w:lineRule="auto"/>
              <w:ind w:left="114" w:right="107" w:firstLine="360"/>
            </w:pPr>
            <w:r>
              <w:t>第十四条第一款、第三款  水路运输经营者新</w:t>
            </w:r>
            <w:r>
              <w:rPr>
                <w:spacing w:val="-1"/>
              </w:rPr>
              <w:t>增船舶投入运营的，应当凭水路运输业务经营许可证件、</w:t>
            </w:r>
            <w:r>
              <w:t xml:space="preserve"> 船舶登记证书和检验证书向国务院交通运输主管部门或者设区的市级以上地方人民政府负责水路运输管理的</w:t>
            </w:r>
            <w:r>
              <w:rPr>
                <w:spacing w:val="3"/>
              </w:rPr>
              <w:t xml:space="preserve"> </w:t>
            </w:r>
            <w:r>
              <w:t>部门领取船舶营运证件。海事管理机构在现场监督检查时，发现从事水路运输的船舶不能提供有效的船舶营</w:t>
            </w:r>
            <w:r>
              <w:rPr>
                <w:spacing w:val="3"/>
              </w:rPr>
              <w:t xml:space="preserve"> </w:t>
            </w:r>
            <w:r>
              <w:rPr>
                <w:spacing w:val="-3"/>
              </w:rPr>
              <w:t>运证件的，应当通知有关主管部门依法处理。</w:t>
            </w:r>
          </w:p>
          <w:p w14:paraId="3A9378FB">
            <w:pPr>
              <w:pStyle w:val="8"/>
              <w:spacing w:before="22"/>
              <w:ind w:left="116" w:right="97" w:firstLine="350"/>
              <w:jc w:val="both"/>
            </w:pPr>
            <w:r>
              <w:t>第三十四条  水路运输经营者使用未取得船舶营运证件的船舶从事水路运输的，由负责水路运输管理的</w:t>
            </w:r>
            <w:r>
              <w:rPr>
                <w:spacing w:val="11"/>
              </w:rPr>
              <w:t xml:space="preserve"> </w:t>
            </w:r>
            <w:r>
              <w:rPr>
                <w:spacing w:val="-6"/>
              </w:rPr>
              <w:t xml:space="preserve">部门责令该船停止经营，没收违法所得，并处违法所得 1 </w:t>
            </w:r>
            <w:r>
              <w:rPr>
                <w:spacing w:val="-7"/>
              </w:rPr>
              <w:t>倍以上</w:t>
            </w:r>
            <w:r>
              <w:rPr>
                <w:spacing w:val="-19"/>
              </w:rPr>
              <w:t xml:space="preserve"> </w:t>
            </w:r>
            <w:r>
              <w:rPr>
                <w:spacing w:val="-7"/>
              </w:rPr>
              <w:t>5 倍以下的罚款；没有违法所得或者违法所得</w:t>
            </w:r>
            <w:r>
              <w:t xml:space="preserve"> </w:t>
            </w:r>
            <w:r>
              <w:rPr>
                <w:spacing w:val="-11"/>
              </w:rPr>
              <w:t>不足 2 万元的，处</w:t>
            </w:r>
            <w:r>
              <w:rPr>
                <w:spacing w:val="-29"/>
              </w:rPr>
              <w:t xml:space="preserve"> </w:t>
            </w:r>
            <w:r>
              <w:rPr>
                <w:spacing w:val="-11"/>
              </w:rPr>
              <w:t>2 万元以上 10 万元以下的罚款。</w:t>
            </w:r>
          </w:p>
          <w:p w14:paraId="1D27F3B8">
            <w:pPr>
              <w:pStyle w:val="8"/>
              <w:spacing w:before="22" w:line="219" w:lineRule="auto"/>
              <w:ind w:left="469"/>
            </w:pPr>
            <w:r>
              <w:rPr>
                <w:b/>
                <w:bCs/>
                <w:spacing w:val="-4"/>
              </w:rPr>
              <w:t>2.《老旧运输船舶管理规定》（交通运输部令2021年第13号）</w:t>
            </w:r>
          </w:p>
          <w:p w14:paraId="0C00D425">
            <w:pPr>
              <w:pStyle w:val="8"/>
              <w:spacing w:before="30" w:line="243" w:lineRule="auto"/>
              <w:ind w:left="114" w:right="104" w:firstLine="353"/>
              <w:jc w:val="both"/>
            </w:pPr>
            <w:r>
              <w:t>第十三条第（四）项  购置外国籍船舶或者以光船租赁条件租赁外国籍船舶改为中国籍船舶经营水路运</w:t>
            </w:r>
            <w:r>
              <w:rPr>
                <w:spacing w:val="11"/>
              </w:rPr>
              <w:t xml:space="preserve"> </w:t>
            </w:r>
            <w:r>
              <w:t>输，购置人、承租人应当了解船舶的船龄和技术状况，并按下列程序办理有关手续</w:t>
            </w:r>
            <w:r>
              <w:rPr>
                <w:spacing w:val="2"/>
              </w:rPr>
              <w:t>：（</w:t>
            </w:r>
            <w:r>
              <w:t>四）购置外国籍船舶 或者以光船租赁条件租赁外国籍船舶取得船舶国籍证书或者光船租赁登记证明书及临时船舶国籍证书后，经</w:t>
            </w:r>
            <w:r>
              <w:rPr>
                <w:spacing w:val="4"/>
              </w:rPr>
              <w:t xml:space="preserve"> </w:t>
            </w:r>
            <w:r>
              <w:rPr>
                <w:spacing w:val="-1"/>
              </w:rPr>
              <w:t>营国内水路运输的，应当按有关规定申领并取得船舶营运证；经营国际运输的，于投入运营前</w:t>
            </w:r>
            <w:r>
              <w:rPr>
                <w:spacing w:val="24"/>
              </w:rPr>
              <w:t xml:space="preserve"> </w:t>
            </w:r>
            <w:r>
              <w:rPr>
                <w:spacing w:val="-1"/>
              </w:rPr>
              <w:t>15</w:t>
            </w:r>
            <w:r>
              <w:rPr>
                <w:spacing w:val="34"/>
              </w:rPr>
              <w:t xml:space="preserve"> </w:t>
            </w:r>
            <w:r>
              <w:rPr>
                <w:spacing w:val="-2"/>
              </w:rPr>
              <w:t>日向交通</w:t>
            </w:r>
            <w:r>
              <w:t xml:space="preserve"> </w:t>
            </w:r>
            <w:r>
              <w:rPr>
                <w:spacing w:val="-7"/>
              </w:rPr>
              <w:t>运输部备案。交通运输部应当自收到备案材料之日起</w:t>
            </w:r>
            <w:r>
              <w:rPr>
                <w:spacing w:val="-22"/>
              </w:rPr>
              <w:t xml:space="preserve"> </w:t>
            </w:r>
            <w:r>
              <w:rPr>
                <w:spacing w:val="-7"/>
              </w:rPr>
              <w:t>3</w:t>
            </w:r>
            <w:r>
              <w:rPr>
                <w:spacing w:val="30"/>
              </w:rPr>
              <w:t xml:space="preserve"> </w:t>
            </w:r>
            <w:r>
              <w:rPr>
                <w:spacing w:val="-7"/>
              </w:rPr>
              <w:t>日内出具备案证明书。</w:t>
            </w:r>
          </w:p>
          <w:p w14:paraId="75D6837B">
            <w:pPr>
              <w:pStyle w:val="8"/>
              <w:spacing w:before="27" w:line="235" w:lineRule="auto"/>
              <w:ind w:left="120" w:right="122" w:firstLine="354"/>
            </w:pPr>
            <w:r>
              <w:t>第三十四条  老旧运输船舶所有人或者经营人违反本规定第十三条第（四）</w:t>
            </w:r>
            <w:r>
              <w:rPr>
                <w:spacing w:val="-1"/>
              </w:rPr>
              <w:t>项的规定，使用未取得船舶</w:t>
            </w:r>
            <w:r>
              <w:t xml:space="preserve"> </w:t>
            </w:r>
            <w:r>
              <w:rPr>
                <w:spacing w:val="-2"/>
              </w:rPr>
              <w:t>营运证的船舶从事水路运输的，按《国内水路运输管理条例》第三十四条第一款的规定给予行政处罚。</w:t>
            </w:r>
          </w:p>
        </w:tc>
        <w:tc>
          <w:tcPr>
            <w:tcW w:w="1029" w:type="dxa"/>
            <w:vAlign w:val="top"/>
          </w:tcPr>
          <w:p w14:paraId="5EC71BB2">
            <w:pPr>
              <w:spacing w:line="248" w:lineRule="auto"/>
              <w:rPr>
                <w:rFonts w:ascii="Arial"/>
                <w:sz w:val="21"/>
              </w:rPr>
            </w:pPr>
          </w:p>
          <w:p w14:paraId="77C1E9DC">
            <w:pPr>
              <w:spacing w:line="249" w:lineRule="auto"/>
              <w:rPr>
                <w:rFonts w:ascii="Arial"/>
                <w:sz w:val="21"/>
              </w:rPr>
            </w:pPr>
          </w:p>
          <w:p w14:paraId="0970F13F">
            <w:pPr>
              <w:spacing w:line="249" w:lineRule="auto"/>
              <w:rPr>
                <w:rFonts w:ascii="Arial"/>
                <w:sz w:val="21"/>
              </w:rPr>
            </w:pPr>
          </w:p>
          <w:p w14:paraId="6A4D319B">
            <w:pPr>
              <w:spacing w:line="249" w:lineRule="auto"/>
              <w:rPr>
                <w:rFonts w:ascii="Arial"/>
                <w:sz w:val="21"/>
              </w:rPr>
            </w:pPr>
          </w:p>
          <w:p w14:paraId="7CBB6821">
            <w:pPr>
              <w:spacing w:line="249" w:lineRule="auto"/>
              <w:rPr>
                <w:rFonts w:ascii="Arial"/>
                <w:sz w:val="21"/>
              </w:rPr>
            </w:pPr>
          </w:p>
          <w:p w14:paraId="2D1132B0">
            <w:pPr>
              <w:spacing w:line="249" w:lineRule="auto"/>
              <w:rPr>
                <w:rFonts w:ascii="Arial"/>
                <w:sz w:val="21"/>
              </w:rPr>
            </w:pPr>
          </w:p>
          <w:p w14:paraId="04024F64">
            <w:pPr>
              <w:spacing w:line="249" w:lineRule="auto"/>
              <w:rPr>
                <w:rFonts w:ascii="Arial"/>
                <w:sz w:val="21"/>
              </w:rPr>
            </w:pPr>
          </w:p>
          <w:p w14:paraId="67F792B3">
            <w:pPr>
              <w:spacing w:line="249" w:lineRule="auto"/>
              <w:rPr>
                <w:rFonts w:ascii="Arial"/>
                <w:sz w:val="21"/>
              </w:rPr>
            </w:pPr>
          </w:p>
          <w:p w14:paraId="0364137A">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413AB624">
            <w:pPr>
              <w:spacing w:line="248" w:lineRule="auto"/>
              <w:rPr>
                <w:rFonts w:ascii="Arial"/>
                <w:sz w:val="21"/>
              </w:rPr>
            </w:pPr>
          </w:p>
          <w:p w14:paraId="5619347E">
            <w:pPr>
              <w:spacing w:line="249" w:lineRule="auto"/>
              <w:rPr>
                <w:rFonts w:ascii="Arial"/>
                <w:sz w:val="21"/>
              </w:rPr>
            </w:pPr>
          </w:p>
          <w:p w14:paraId="2AA9FFD2">
            <w:pPr>
              <w:spacing w:line="249" w:lineRule="auto"/>
              <w:rPr>
                <w:rFonts w:ascii="Arial"/>
                <w:sz w:val="21"/>
              </w:rPr>
            </w:pPr>
          </w:p>
          <w:p w14:paraId="1E9BDC20">
            <w:pPr>
              <w:spacing w:line="249" w:lineRule="auto"/>
              <w:rPr>
                <w:rFonts w:ascii="Arial"/>
                <w:sz w:val="21"/>
              </w:rPr>
            </w:pPr>
          </w:p>
          <w:p w14:paraId="7439FE07">
            <w:pPr>
              <w:spacing w:line="249" w:lineRule="auto"/>
              <w:rPr>
                <w:rFonts w:ascii="Arial"/>
                <w:sz w:val="21"/>
              </w:rPr>
            </w:pPr>
          </w:p>
          <w:p w14:paraId="07B6942F">
            <w:pPr>
              <w:spacing w:line="249" w:lineRule="auto"/>
              <w:rPr>
                <w:rFonts w:ascii="Arial"/>
                <w:sz w:val="21"/>
              </w:rPr>
            </w:pPr>
          </w:p>
          <w:p w14:paraId="7C732ACF">
            <w:pPr>
              <w:spacing w:line="249" w:lineRule="auto"/>
              <w:rPr>
                <w:rFonts w:ascii="Arial"/>
                <w:sz w:val="21"/>
              </w:rPr>
            </w:pPr>
          </w:p>
          <w:p w14:paraId="4D5AB1AF">
            <w:pPr>
              <w:spacing w:line="249" w:lineRule="auto"/>
              <w:rPr>
                <w:rFonts w:ascii="Arial"/>
                <w:sz w:val="21"/>
              </w:rPr>
            </w:pPr>
          </w:p>
          <w:p w14:paraId="7CB72F85">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2253087A">
            <w:pPr>
              <w:spacing w:line="252" w:lineRule="auto"/>
              <w:rPr>
                <w:rFonts w:ascii="Arial"/>
                <w:sz w:val="21"/>
              </w:rPr>
            </w:pPr>
          </w:p>
          <w:p w14:paraId="5B16F21E">
            <w:pPr>
              <w:spacing w:line="252" w:lineRule="auto"/>
              <w:rPr>
                <w:rFonts w:ascii="Arial"/>
                <w:sz w:val="21"/>
              </w:rPr>
            </w:pPr>
          </w:p>
          <w:p w14:paraId="798BBBD3">
            <w:pPr>
              <w:spacing w:line="252" w:lineRule="auto"/>
              <w:rPr>
                <w:rFonts w:ascii="Arial"/>
                <w:sz w:val="21"/>
              </w:rPr>
            </w:pPr>
          </w:p>
          <w:p w14:paraId="4D265B67">
            <w:pPr>
              <w:spacing w:line="252" w:lineRule="auto"/>
              <w:rPr>
                <w:rFonts w:ascii="Arial"/>
                <w:sz w:val="21"/>
              </w:rPr>
            </w:pPr>
          </w:p>
          <w:p w14:paraId="34A517EB">
            <w:pPr>
              <w:spacing w:line="252" w:lineRule="auto"/>
              <w:rPr>
                <w:rFonts w:ascii="Arial"/>
                <w:sz w:val="21"/>
              </w:rPr>
            </w:pPr>
          </w:p>
          <w:p w14:paraId="1AA1765E">
            <w:pPr>
              <w:spacing w:line="252" w:lineRule="auto"/>
              <w:rPr>
                <w:rFonts w:ascii="Arial"/>
                <w:sz w:val="21"/>
              </w:rPr>
            </w:pPr>
          </w:p>
          <w:p w14:paraId="4236B3F1">
            <w:pPr>
              <w:spacing w:line="253" w:lineRule="auto"/>
              <w:rPr>
                <w:rFonts w:ascii="Arial"/>
                <w:sz w:val="21"/>
              </w:rPr>
            </w:pPr>
          </w:p>
          <w:p w14:paraId="06790C3B">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37A8D918">
      <w:pPr>
        <w:pStyle w:val="2"/>
      </w:pPr>
    </w:p>
    <w:p w14:paraId="5B5CFBC4">
      <w:pPr>
        <w:sectPr>
          <w:footerReference r:id="rId217" w:type="default"/>
          <w:pgSz w:w="16840" w:h="11910"/>
          <w:pgMar w:top="1012" w:right="888" w:bottom="966" w:left="887" w:header="0" w:footer="768" w:gutter="0"/>
          <w:cols w:space="720" w:num="1"/>
        </w:sectPr>
      </w:pPr>
    </w:p>
    <w:p w14:paraId="1011F5DE">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2F19C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0" w:hRule="atLeast"/>
        </w:trPr>
        <w:tc>
          <w:tcPr>
            <w:tcW w:w="634" w:type="dxa"/>
            <w:vMerge w:val="restart"/>
            <w:tcBorders>
              <w:bottom w:val="nil"/>
            </w:tcBorders>
            <w:vAlign w:val="top"/>
          </w:tcPr>
          <w:p w14:paraId="2DA45918">
            <w:pPr>
              <w:pStyle w:val="8"/>
              <w:spacing w:before="221" w:line="221" w:lineRule="auto"/>
              <w:ind w:left="138"/>
            </w:pPr>
            <w:r>
              <w:rPr>
                <w:b/>
                <w:bCs/>
                <w:spacing w:val="-4"/>
              </w:rPr>
              <w:t>序号</w:t>
            </w:r>
          </w:p>
        </w:tc>
        <w:tc>
          <w:tcPr>
            <w:tcW w:w="1121" w:type="dxa"/>
            <w:vMerge w:val="restart"/>
            <w:tcBorders>
              <w:bottom w:val="nil"/>
            </w:tcBorders>
            <w:vAlign w:val="top"/>
          </w:tcPr>
          <w:p w14:paraId="536BF14A">
            <w:pPr>
              <w:pStyle w:val="8"/>
              <w:spacing w:before="221" w:line="220" w:lineRule="auto"/>
              <w:ind w:left="206"/>
            </w:pPr>
            <w:r>
              <w:rPr>
                <w:b/>
                <w:bCs/>
                <w:spacing w:val="-5"/>
              </w:rPr>
              <w:t>事项名称</w:t>
            </w:r>
          </w:p>
        </w:tc>
        <w:tc>
          <w:tcPr>
            <w:tcW w:w="1121" w:type="dxa"/>
            <w:vMerge w:val="restart"/>
            <w:tcBorders>
              <w:bottom w:val="nil"/>
            </w:tcBorders>
            <w:vAlign w:val="top"/>
          </w:tcPr>
          <w:p w14:paraId="41541A1E">
            <w:pPr>
              <w:pStyle w:val="8"/>
              <w:spacing w:before="222" w:line="219" w:lineRule="auto"/>
              <w:ind w:left="221"/>
            </w:pPr>
            <w:r>
              <w:rPr>
                <w:b/>
                <w:bCs/>
                <w:spacing w:val="-9"/>
              </w:rPr>
              <w:t>职权类型</w:t>
            </w:r>
          </w:p>
        </w:tc>
        <w:tc>
          <w:tcPr>
            <w:tcW w:w="8692" w:type="dxa"/>
            <w:vMerge w:val="restart"/>
            <w:tcBorders>
              <w:bottom w:val="nil"/>
            </w:tcBorders>
            <w:vAlign w:val="top"/>
          </w:tcPr>
          <w:p w14:paraId="04B13471">
            <w:pPr>
              <w:pStyle w:val="8"/>
              <w:spacing w:before="221" w:line="219" w:lineRule="auto"/>
              <w:ind w:left="3999"/>
            </w:pPr>
            <w:r>
              <w:rPr>
                <w:b/>
                <w:bCs/>
                <w:spacing w:val="-6"/>
              </w:rPr>
              <w:t>实施依据</w:t>
            </w:r>
          </w:p>
        </w:tc>
        <w:tc>
          <w:tcPr>
            <w:tcW w:w="3491" w:type="dxa"/>
            <w:gridSpan w:val="3"/>
            <w:vAlign w:val="top"/>
          </w:tcPr>
          <w:p w14:paraId="021251E0">
            <w:pPr>
              <w:pStyle w:val="8"/>
              <w:spacing w:before="85" w:line="220" w:lineRule="auto"/>
              <w:ind w:left="1399"/>
            </w:pPr>
            <w:r>
              <w:rPr>
                <w:b/>
                <w:bCs/>
                <w:spacing w:val="-6"/>
              </w:rPr>
              <w:t>实施主体</w:t>
            </w:r>
          </w:p>
        </w:tc>
      </w:tr>
      <w:tr w14:paraId="0F14E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6FE54FB7">
            <w:pPr>
              <w:rPr>
                <w:rFonts w:ascii="Arial"/>
                <w:sz w:val="21"/>
              </w:rPr>
            </w:pPr>
          </w:p>
        </w:tc>
        <w:tc>
          <w:tcPr>
            <w:tcW w:w="1121" w:type="dxa"/>
            <w:vMerge w:val="continue"/>
            <w:tcBorders>
              <w:top w:val="nil"/>
            </w:tcBorders>
            <w:vAlign w:val="top"/>
          </w:tcPr>
          <w:p w14:paraId="1EA4D4AE">
            <w:pPr>
              <w:rPr>
                <w:rFonts w:ascii="Arial"/>
                <w:sz w:val="21"/>
              </w:rPr>
            </w:pPr>
          </w:p>
        </w:tc>
        <w:tc>
          <w:tcPr>
            <w:tcW w:w="1121" w:type="dxa"/>
            <w:vMerge w:val="continue"/>
            <w:tcBorders>
              <w:top w:val="nil"/>
            </w:tcBorders>
            <w:vAlign w:val="top"/>
          </w:tcPr>
          <w:p w14:paraId="572E24DC">
            <w:pPr>
              <w:rPr>
                <w:rFonts w:ascii="Arial"/>
                <w:sz w:val="21"/>
              </w:rPr>
            </w:pPr>
          </w:p>
        </w:tc>
        <w:tc>
          <w:tcPr>
            <w:tcW w:w="8692" w:type="dxa"/>
            <w:vMerge w:val="continue"/>
            <w:tcBorders>
              <w:top w:val="nil"/>
            </w:tcBorders>
            <w:vAlign w:val="top"/>
          </w:tcPr>
          <w:p w14:paraId="41577D49">
            <w:pPr>
              <w:rPr>
                <w:rFonts w:ascii="Arial"/>
                <w:sz w:val="21"/>
              </w:rPr>
            </w:pPr>
          </w:p>
        </w:tc>
        <w:tc>
          <w:tcPr>
            <w:tcW w:w="1029" w:type="dxa"/>
            <w:vAlign w:val="top"/>
          </w:tcPr>
          <w:p w14:paraId="4C20919D">
            <w:pPr>
              <w:pStyle w:val="8"/>
              <w:spacing w:before="44" w:line="219" w:lineRule="auto"/>
              <w:ind w:left="172"/>
            </w:pPr>
            <w:r>
              <w:rPr>
                <w:b/>
                <w:bCs/>
                <w:spacing w:val="-6"/>
              </w:rPr>
              <w:t>责任部门</w:t>
            </w:r>
          </w:p>
        </w:tc>
        <w:tc>
          <w:tcPr>
            <w:tcW w:w="1429" w:type="dxa"/>
            <w:vAlign w:val="top"/>
          </w:tcPr>
          <w:p w14:paraId="4376748F">
            <w:pPr>
              <w:pStyle w:val="8"/>
              <w:spacing w:before="44" w:line="219" w:lineRule="auto"/>
              <w:ind w:left="188"/>
            </w:pPr>
            <w:r>
              <w:rPr>
                <w:b/>
                <w:bCs/>
                <w:spacing w:val="-4"/>
              </w:rPr>
              <w:t>第一责任层级</w:t>
            </w:r>
          </w:p>
        </w:tc>
        <w:tc>
          <w:tcPr>
            <w:tcW w:w="1033" w:type="dxa"/>
            <w:vAlign w:val="top"/>
          </w:tcPr>
          <w:p w14:paraId="5ABEF9BA">
            <w:pPr>
              <w:pStyle w:val="8"/>
              <w:spacing w:before="44" w:line="219" w:lineRule="auto"/>
              <w:ind w:left="163"/>
            </w:pPr>
            <w:r>
              <w:rPr>
                <w:b/>
                <w:bCs/>
                <w:spacing w:val="-5"/>
              </w:rPr>
              <w:t>承办机构</w:t>
            </w:r>
          </w:p>
        </w:tc>
      </w:tr>
      <w:tr w14:paraId="54AC2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7" w:hRule="atLeast"/>
        </w:trPr>
        <w:tc>
          <w:tcPr>
            <w:tcW w:w="634" w:type="dxa"/>
            <w:vAlign w:val="top"/>
          </w:tcPr>
          <w:p w14:paraId="051A4C88">
            <w:pPr>
              <w:spacing w:line="249" w:lineRule="auto"/>
              <w:rPr>
                <w:rFonts w:ascii="Arial"/>
                <w:sz w:val="21"/>
              </w:rPr>
            </w:pPr>
          </w:p>
          <w:p w14:paraId="5E98439A">
            <w:pPr>
              <w:spacing w:line="249" w:lineRule="auto"/>
              <w:rPr>
                <w:rFonts w:ascii="Arial"/>
                <w:sz w:val="21"/>
              </w:rPr>
            </w:pPr>
          </w:p>
          <w:p w14:paraId="49EE551B">
            <w:pPr>
              <w:spacing w:line="249" w:lineRule="auto"/>
              <w:rPr>
                <w:rFonts w:ascii="Arial"/>
                <w:sz w:val="21"/>
              </w:rPr>
            </w:pPr>
          </w:p>
          <w:p w14:paraId="0953B245">
            <w:pPr>
              <w:spacing w:line="249" w:lineRule="auto"/>
              <w:rPr>
                <w:rFonts w:ascii="Arial"/>
                <w:sz w:val="21"/>
              </w:rPr>
            </w:pPr>
          </w:p>
          <w:p w14:paraId="0857E132">
            <w:pPr>
              <w:spacing w:line="249" w:lineRule="auto"/>
              <w:rPr>
                <w:rFonts w:ascii="Arial"/>
                <w:sz w:val="21"/>
              </w:rPr>
            </w:pPr>
          </w:p>
          <w:p w14:paraId="5110437A">
            <w:pPr>
              <w:spacing w:line="250" w:lineRule="auto"/>
              <w:rPr>
                <w:rFonts w:ascii="Arial"/>
                <w:sz w:val="21"/>
              </w:rPr>
            </w:pPr>
          </w:p>
          <w:p w14:paraId="534816C1">
            <w:pPr>
              <w:spacing w:line="250" w:lineRule="auto"/>
              <w:rPr>
                <w:rFonts w:ascii="Arial"/>
                <w:sz w:val="21"/>
              </w:rPr>
            </w:pPr>
          </w:p>
          <w:p w14:paraId="25374E07">
            <w:pPr>
              <w:spacing w:line="250" w:lineRule="auto"/>
              <w:rPr>
                <w:rFonts w:ascii="Arial"/>
                <w:sz w:val="21"/>
              </w:rPr>
            </w:pPr>
          </w:p>
          <w:p w14:paraId="2AC7A2EC">
            <w:pPr>
              <w:spacing w:line="250" w:lineRule="auto"/>
              <w:rPr>
                <w:rFonts w:ascii="Arial"/>
                <w:sz w:val="21"/>
              </w:rPr>
            </w:pPr>
          </w:p>
          <w:p w14:paraId="29ABD37C">
            <w:pPr>
              <w:pStyle w:val="8"/>
              <w:spacing w:before="58" w:line="183" w:lineRule="auto"/>
              <w:ind w:left="275"/>
            </w:pPr>
            <w:r>
              <w:t>4</w:t>
            </w:r>
          </w:p>
        </w:tc>
        <w:tc>
          <w:tcPr>
            <w:tcW w:w="1121" w:type="dxa"/>
            <w:vAlign w:val="top"/>
          </w:tcPr>
          <w:p w14:paraId="1DFE3A77">
            <w:pPr>
              <w:pStyle w:val="8"/>
              <w:spacing w:before="18" w:line="245" w:lineRule="auto"/>
              <w:ind w:left="114" w:right="110"/>
            </w:pPr>
            <w:r>
              <w:rPr>
                <w:spacing w:val="-2"/>
              </w:rPr>
              <w:t>对从事水路</w:t>
            </w:r>
            <w:r>
              <w:t xml:space="preserve"> </w:t>
            </w:r>
            <w:r>
              <w:rPr>
                <w:spacing w:val="-2"/>
              </w:rPr>
              <w:t>运输经营的</w:t>
            </w:r>
            <w:r>
              <w:t xml:space="preserve"> </w:t>
            </w:r>
            <w:r>
              <w:rPr>
                <w:spacing w:val="-11"/>
              </w:rPr>
              <w:t>船</w:t>
            </w:r>
            <w:r>
              <w:rPr>
                <w:spacing w:val="-19"/>
              </w:rPr>
              <w:t xml:space="preserve"> </w:t>
            </w:r>
            <w:r>
              <w:rPr>
                <w:spacing w:val="-11"/>
              </w:rPr>
              <w:t>舶</w:t>
            </w:r>
            <w:r>
              <w:rPr>
                <w:spacing w:val="-26"/>
              </w:rPr>
              <w:t xml:space="preserve"> </w:t>
            </w:r>
            <w:r>
              <w:rPr>
                <w:spacing w:val="-11"/>
              </w:rPr>
              <w:t>超 出</w:t>
            </w:r>
            <w:r>
              <w:t xml:space="preserve"> </w:t>
            </w:r>
            <w:r>
              <w:rPr>
                <w:spacing w:val="-2"/>
              </w:rPr>
              <w:t>《船舶营业</w:t>
            </w:r>
            <w:r>
              <w:t xml:space="preserve"> </w:t>
            </w:r>
            <w:r>
              <w:rPr>
                <w:spacing w:val="-2"/>
              </w:rPr>
              <w:t>运输证》核</w:t>
            </w:r>
            <w:r>
              <w:t xml:space="preserve"> </w:t>
            </w:r>
            <w:r>
              <w:rPr>
                <w:spacing w:val="-2"/>
              </w:rPr>
              <w:t>定的经营范</w:t>
            </w:r>
            <w:r>
              <w:t xml:space="preserve"> </w:t>
            </w:r>
            <w:r>
              <w:rPr>
                <w:spacing w:val="-2"/>
              </w:rPr>
              <w:t>围，或者擅</w:t>
            </w:r>
            <w:r>
              <w:t xml:space="preserve"> </w:t>
            </w:r>
            <w:r>
              <w:rPr>
                <w:spacing w:val="-9"/>
              </w:rPr>
              <w:t>自</w:t>
            </w:r>
            <w:r>
              <w:rPr>
                <w:spacing w:val="-17"/>
              </w:rPr>
              <w:t xml:space="preserve"> </w:t>
            </w:r>
            <w:r>
              <w:rPr>
                <w:spacing w:val="-9"/>
              </w:rPr>
              <w:t>改</w:t>
            </w:r>
            <w:r>
              <w:rPr>
                <w:spacing w:val="-26"/>
              </w:rPr>
              <w:t xml:space="preserve"> </w:t>
            </w:r>
            <w:r>
              <w:rPr>
                <w:spacing w:val="-9"/>
              </w:rPr>
              <w:t>装</w:t>
            </w:r>
            <w:r>
              <w:rPr>
                <w:spacing w:val="-21"/>
              </w:rPr>
              <w:t xml:space="preserve"> </w:t>
            </w:r>
            <w:r>
              <w:rPr>
                <w:spacing w:val="-9"/>
              </w:rPr>
              <w:t>客</w:t>
            </w:r>
            <w:r>
              <w:t xml:space="preserve"> </w:t>
            </w:r>
            <w:r>
              <w:rPr>
                <w:spacing w:val="-2"/>
              </w:rPr>
              <w:t>船、危险品</w:t>
            </w:r>
            <w:r>
              <w:t xml:space="preserve"> </w:t>
            </w:r>
            <w:r>
              <w:rPr>
                <w:spacing w:val="-2"/>
              </w:rPr>
              <w:t>船增加《船</w:t>
            </w:r>
            <w:r>
              <w:t xml:space="preserve"> </w:t>
            </w:r>
            <w:r>
              <w:rPr>
                <w:spacing w:val="-2"/>
              </w:rPr>
              <w:t>舶营业运输</w:t>
            </w:r>
            <w:r>
              <w:t xml:space="preserve"> </w:t>
            </w:r>
            <w:r>
              <w:rPr>
                <w:spacing w:val="-2"/>
              </w:rPr>
              <w:t>证》核定的</w:t>
            </w:r>
            <w:r>
              <w:t xml:space="preserve"> </w:t>
            </w:r>
            <w:r>
              <w:rPr>
                <w:spacing w:val="-2"/>
              </w:rPr>
              <w:t>载客定额、</w:t>
            </w:r>
            <w:r>
              <w:t xml:space="preserve"> </w:t>
            </w:r>
            <w:r>
              <w:rPr>
                <w:spacing w:val="-2"/>
              </w:rPr>
              <w:t>载货定额或</w:t>
            </w:r>
            <w:r>
              <w:t xml:space="preserve"> </w:t>
            </w:r>
            <w:r>
              <w:rPr>
                <w:spacing w:val="-2"/>
              </w:rPr>
              <w:t>者变更从事</w:t>
            </w:r>
            <w:r>
              <w:t xml:space="preserve"> </w:t>
            </w:r>
            <w:r>
              <w:rPr>
                <w:spacing w:val="-2"/>
              </w:rPr>
              <w:t>散装液体危</w:t>
            </w:r>
            <w:r>
              <w:t xml:space="preserve"> </w:t>
            </w:r>
            <w:r>
              <w:rPr>
                <w:spacing w:val="-2"/>
              </w:rPr>
              <w:t>险货物运输</w:t>
            </w:r>
            <w:r>
              <w:t xml:space="preserve"> </w:t>
            </w:r>
            <w:r>
              <w:rPr>
                <w:spacing w:val="-3"/>
              </w:rPr>
              <w:t>种类的行政</w:t>
            </w:r>
            <w:r>
              <w:t xml:space="preserve"> </w:t>
            </w:r>
            <w:r>
              <w:rPr>
                <w:spacing w:val="-4"/>
              </w:rPr>
              <w:t>处罚</w:t>
            </w:r>
          </w:p>
        </w:tc>
        <w:tc>
          <w:tcPr>
            <w:tcW w:w="1121" w:type="dxa"/>
            <w:vAlign w:val="top"/>
          </w:tcPr>
          <w:p w14:paraId="1828E331">
            <w:pPr>
              <w:spacing w:line="265" w:lineRule="auto"/>
              <w:rPr>
                <w:rFonts w:ascii="Arial"/>
                <w:sz w:val="21"/>
              </w:rPr>
            </w:pPr>
          </w:p>
          <w:p w14:paraId="4983F3E0">
            <w:pPr>
              <w:spacing w:line="265" w:lineRule="auto"/>
              <w:rPr>
                <w:rFonts w:ascii="Arial"/>
                <w:sz w:val="21"/>
              </w:rPr>
            </w:pPr>
          </w:p>
          <w:p w14:paraId="1E2981DB">
            <w:pPr>
              <w:spacing w:line="265" w:lineRule="auto"/>
              <w:rPr>
                <w:rFonts w:ascii="Arial"/>
                <w:sz w:val="21"/>
              </w:rPr>
            </w:pPr>
          </w:p>
          <w:p w14:paraId="10319806">
            <w:pPr>
              <w:spacing w:line="265" w:lineRule="auto"/>
              <w:rPr>
                <w:rFonts w:ascii="Arial"/>
                <w:sz w:val="21"/>
              </w:rPr>
            </w:pPr>
          </w:p>
          <w:p w14:paraId="3CE984E7">
            <w:pPr>
              <w:spacing w:line="265" w:lineRule="auto"/>
              <w:rPr>
                <w:rFonts w:ascii="Arial"/>
                <w:sz w:val="21"/>
              </w:rPr>
            </w:pPr>
          </w:p>
          <w:p w14:paraId="71F72C26">
            <w:pPr>
              <w:spacing w:line="265" w:lineRule="auto"/>
              <w:rPr>
                <w:rFonts w:ascii="Arial"/>
                <w:sz w:val="21"/>
              </w:rPr>
            </w:pPr>
          </w:p>
          <w:p w14:paraId="016908FB">
            <w:pPr>
              <w:spacing w:line="265" w:lineRule="auto"/>
              <w:rPr>
                <w:rFonts w:ascii="Arial"/>
                <w:sz w:val="21"/>
              </w:rPr>
            </w:pPr>
          </w:p>
          <w:p w14:paraId="7DD830D4">
            <w:pPr>
              <w:spacing w:line="266" w:lineRule="auto"/>
              <w:rPr>
                <w:rFonts w:ascii="Arial"/>
                <w:sz w:val="21"/>
              </w:rPr>
            </w:pPr>
          </w:p>
          <w:p w14:paraId="15A7B2E9">
            <w:pPr>
              <w:pStyle w:val="8"/>
              <w:spacing w:before="59" w:line="220" w:lineRule="auto"/>
              <w:ind w:left="9"/>
            </w:pPr>
            <w:r>
              <w:rPr>
                <w:spacing w:val="-4"/>
              </w:rPr>
              <w:t>行政处罚</w:t>
            </w:r>
          </w:p>
        </w:tc>
        <w:tc>
          <w:tcPr>
            <w:tcW w:w="8692" w:type="dxa"/>
            <w:vAlign w:val="top"/>
          </w:tcPr>
          <w:p w14:paraId="440D22F3">
            <w:pPr>
              <w:spacing w:line="267" w:lineRule="auto"/>
              <w:rPr>
                <w:rFonts w:ascii="Arial"/>
                <w:sz w:val="21"/>
              </w:rPr>
            </w:pPr>
          </w:p>
          <w:p w14:paraId="01D11446">
            <w:pPr>
              <w:spacing w:line="268" w:lineRule="auto"/>
              <w:rPr>
                <w:rFonts w:ascii="Arial"/>
                <w:sz w:val="21"/>
              </w:rPr>
            </w:pPr>
          </w:p>
          <w:p w14:paraId="48802700">
            <w:pPr>
              <w:spacing w:line="268" w:lineRule="auto"/>
              <w:rPr>
                <w:rFonts w:ascii="Arial"/>
                <w:sz w:val="21"/>
              </w:rPr>
            </w:pPr>
          </w:p>
          <w:p w14:paraId="3003339D">
            <w:pPr>
              <w:spacing w:line="268" w:lineRule="auto"/>
              <w:rPr>
                <w:rFonts w:ascii="Arial"/>
                <w:sz w:val="21"/>
              </w:rPr>
            </w:pPr>
          </w:p>
          <w:p w14:paraId="0BFFEF5D">
            <w:pPr>
              <w:spacing w:line="268" w:lineRule="auto"/>
              <w:rPr>
                <w:rFonts w:ascii="Arial"/>
                <w:sz w:val="21"/>
              </w:rPr>
            </w:pPr>
          </w:p>
          <w:p w14:paraId="37074638">
            <w:pPr>
              <w:pStyle w:val="8"/>
              <w:spacing w:before="59" w:line="219" w:lineRule="auto"/>
              <w:ind w:left="480"/>
            </w:pPr>
            <w:r>
              <w:rPr>
                <w:b/>
                <w:bCs/>
                <w:spacing w:val="-6"/>
              </w:rPr>
              <w:t>1.《国内水路运输管理条例》</w:t>
            </w:r>
          </w:p>
          <w:p w14:paraId="21B50F3F">
            <w:pPr>
              <w:pStyle w:val="8"/>
              <w:spacing w:before="19" w:line="233" w:lineRule="auto"/>
              <w:ind w:left="116" w:right="97" w:firstLine="350"/>
              <w:jc w:val="both"/>
            </w:pPr>
            <w:r>
              <w:t>第三十四条  水路运输经营者使用未取得船舶营运证件的船舶从事水路运输的，由负责水路运输管理的</w:t>
            </w:r>
            <w:r>
              <w:rPr>
                <w:spacing w:val="11"/>
              </w:rPr>
              <w:t xml:space="preserve"> </w:t>
            </w:r>
            <w:r>
              <w:rPr>
                <w:spacing w:val="-6"/>
              </w:rPr>
              <w:t xml:space="preserve">部门责令该船停止经营，没收违法所得，并处违法所得 1 </w:t>
            </w:r>
            <w:r>
              <w:rPr>
                <w:spacing w:val="-7"/>
              </w:rPr>
              <w:t>倍以上</w:t>
            </w:r>
            <w:r>
              <w:rPr>
                <w:spacing w:val="-19"/>
              </w:rPr>
              <w:t xml:space="preserve"> </w:t>
            </w:r>
            <w:r>
              <w:rPr>
                <w:spacing w:val="-7"/>
              </w:rPr>
              <w:t>5 倍以下的罚款；没有违法所得或者违法所得</w:t>
            </w:r>
            <w:r>
              <w:t xml:space="preserve"> </w:t>
            </w:r>
            <w:r>
              <w:rPr>
                <w:spacing w:val="-11"/>
              </w:rPr>
              <w:t>不足 2 万元的，处</w:t>
            </w:r>
            <w:r>
              <w:rPr>
                <w:spacing w:val="-29"/>
              </w:rPr>
              <w:t xml:space="preserve"> </w:t>
            </w:r>
            <w:r>
              <w:rPr>
                <w:spacing w:val="-11"/>
              </w:rPr>
              <w:t>2 万元以上 10 万元以下的罚款。</w:t>
            </w:r>
          </w:p>
          <w:p w14:paraId="6BCB6E44">
            <w:pPr>
              <w:pStyle w:val="8"/>
              <w:spacing w:before="17" w:line="219" w:lineRule="auto"/>
              <w:ind w:left="469"/>
            </w:pPr>
            <w:r>
              <w:rPr>
                <w:b/>
                <w:bCs/>
                <w:spacing w:val="-4"/>
              </w:rPr>
              <w:t>2.《国内水路运输管理规定》（交通运输部令2014年第2号）</w:t>
            </w:r>
          </w:p>
          <w:p w14:paraId="6695C77D">
            <w:pPr>
              <w:pStyle w:val="8"/>
              <w:spacing w:before="20" w:line="232" w:lineRule="auto"/>
              <w:ind w:left="120" w:right="109" w:firstLine="354"/>
              <w:jc w:val="both"/>
            </w:pPr>
            <w:r>
              <w:t>第五十条  从事水路运输经营的船舶超出《船舶营业运输证》核定的经营范围，或者擅自改装客船、危</w:t>
            </w:r>
            <w:r>
              <w:rPr>
                <w:spacing w:val="1"/>
              </w:rPr>
              <w:t xml:space="preserve"> </w:t>
            </w:r>
            <w:r>
              <w:t>险品船增加《船舶营业运输证》核定的载客定额、载货定额或者变更从事散装液体危险货物运输</w:t>
            </w:r>
            <w:r>
              <w:rPr>
                <w:spacing w:val="-1"/>
              </w:rPr>
              <w:t>种类的，按</w:t>
            </w:r>
            <w:r>
              <w:t xml:space="preserve"> </w:t>
            </w:r>
            <w:r>
              <w:rPr>
                <w:spacing w:val="-3"/>
              </w:rPr>
              <w:t>照《国内水路运输管理条例》第三十四条第一款的规定予以处罚。</w:t>
            </w:r>
          </w:p>
        </w:tc>
        <w:tc>
          <w:tcPr>
            <w:tcW w:w="1029" w:type="dxa"/>
            <w:vAlign w:val="top"/>
          </w:tcPr>
          <w:p w14:paraId="1B1FFAD7">
            <w:pPr>
              <w:spacing w:line="249" w:lineRule="auto"/>
              <w:rPr>
                <w:rFonts w:ascii="Arial"/>
                <w:sz w:val="21"/>
              </w:rPr>
            </w:pPr>
          </w:p>
          <w:p w14:paraId="4E0AD6A7">
            <w:pPr>
              <w:spacing w:line="249" w:lineRule="auto"/>
              <w:rPr>
                <w:rFonts w:ascii="Arial"/>
                <w:sz w:val="21"/>
              </w:rPr>
            </w:pPr>
          </w:p>
          <w:p w14:paraId="4A3A873E">
            <w:pPr>
              <w:spacing w:line="249" w:lineRule="auto"/>
              <w:rPr>
                <w:rFonts w:ascii="Arial"/>
                <w:sz w:val="21"/>
              </w:rPr>
            </w:pPr>
          </w:p>
          <w:p w14:paraId="1E1D0B60">
            <w:pPr>
              <w:spacing w:line="249" w:lineRule="auto"/>
              <w:rPr>
                <w:rFonts w:ascii="Arial"/>
                <w:sz w:val="21"/>
              </w:rPr>
            </w:pPr>
          </w:p>
          <w:p w14:paraId="741F380C">
            <w:pPr>
              <w:spacing w:line="249" w:lineRule="auto"/>
              <w:rPr>
                <w:rFonts w:ascii="Arial"/>
                <w:sz w:val="21"/>
              </w:rPr>
            </w:pPr>
          </w:p>
          <w:p w14:paraId="4E68E333">
            <w:pPr>
              <w:spacing w:line="250" w:lineRule="auto"/>
              <w:rPr>
                <w:rFonts w:ascii="Arial"/>
                <w:sz w:val="21"/>
              </w:rPr>
            </w:pPr>
          </w:p>
          <w:p w14:paraId="79F85B41">
            <w:pPr>
              <w:spacing w:line="250" w:lineRule="auto"/>
              <w:rPr>
                <w:rFonts w:ascii="Arial"/>
                <w:sz w:val="21"/>
              </w:rPr>
            </w:pPr>
          </w:p>
          <w:p w14:paraId="1BC68B3B">
            <w:pPr>
              <w:spacing w:line="250" w:lineRule="auto"/>
              <w:rPr>
                <w:rFonts w:ascii="Arial"/>
                <w:sz w:val="21"/>
              </w:rPr>
            </w:pPr>
          </w:p>
          <w:p w14:paraId="4D768F13">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71E5A980">
            <w:pPr>
              <w:spacing w:line="249" w:lineRule="auto"/>
              <w:rPr>
                <w:rFonts w:ascii="Arial"/>
                <w:sz w:val="21"/>
              </w:rPr>
            </w:pPr>
          </w:p>
          <w:p w14:paraId="59AA62C7">
            <w:pPr>
              <w:spacing w:line="249" w:lineRule="auto"/>
              <w:rPr>
                <w:rFonts w:ascii="Arial"/>
                <w:sz w:val="21"/>
              </w:rPr>
            </w:pPr>
          </w:p>
          <w:p w14:paraId="7116FAB1">
            <w:pPr>
              <w:spacing w:line="249" w:lineRule="auto"/>
              <w:rPr>
                <w:rFonts w:ascii="Arial"/>
                <w:sz w:val="21"/>
              </w:rPr>
            </w:pPr>
          </w:p>
          <w:p w14:paraId="4F3BEA8F">
            <w:pPr>
              <w:spacing w:line="249" w:lineRule="auto"/>
              <w:rPr>
                <w:rFonts w:ascii="Arial"/>
                <w:sz w:val="21"/>
              </w:rPr>
            </w:pPr>
          </w:p>
          <w:p w14:paraId="0977DE68">
            <w:pPr>
              <w:spacing w:line="250" w:lineRule="auto"/>
              <w:rPr>
                <w:rFonts w:ascii="Arial"/>
                <w:sz w:val="21"/>
              </w:rPr>
            </w:pPr>
          </w:p>
          <w:p w14:paraId="5B1AB6E0">
            <w:pPr>
              <w:spacing w:line="250" w:lineRule="auto"/>
              <w:rPr>
                <w:rFonts w:ascii="Arial"/>
                <w:sz w:val="21"/>
              </w:rPr>
            </w:pPr>
          </w:p>
          <w:p w14:paraId="15CA14A1">
            <w:pPr>
              <w:spacing w:line="250" w:lineRule="auto"/>
              <w:rPr>
                <w:rFonts w:ascii="Arial"/>
                <w:sz w:val="21"/>
              </w:rPr>
            </w:pPr>
          </w:p>
          <w:p w14:paraId="31FEC035">
            <w:pPr>
              <w:spacing w:line="250" w:lineRule="auto"/>
              <w:rPr>
                <w:rFonts w:ascii="Arial"/>
                <w:sz w:val="21"/>
              </w:rPr>
            </w:pPr>
          </w:p>
          <w:p w14:paraId="158D8508">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2EFAACFA">
            <w:pPr>
              <w:spacing w:line="252" w:lineRule="auto"/>
              <w:rPr>
                <w:rFonts w:ascii="Arial"/>
                <w:sz w:val="21"/>
              </w:rPr>
            </w:pPr>
          </w:p>
          <w:p w14:paraId="155D3AAD">
            <w:pPr>
              <w:spacing w:line="253" w:lineRule="auto"/>
              <w:rPr>
                <w:rFonts w:ascii="Arial"/>
                <w:sz w:val="21"/>
              </w:rPr>
            </w:pPr>
          </w:p>
          <w:p w14:paraId="30D7725E">
            <w:pPr>
              <w:spacing w:line="253" w:lineRule="auto"/>
              <w:rPr>
                <w:rFonts w:ascii="Arial"/>
                <w:sz w:val="21"/>
              </w:rPr>
            </w:pPr>
          </w:p>
          <w:p w14:paraId="25E5A08C">
            <w:pPr>
              <w:spacing w:line="253" w:lineRule="auto"/>
              <w:rPr>
                <w:rFonts w:ascii="Arial"/>
                <w:sz w:val="21"/>
              </w:rPr>
            </w:pPr>
          </w:p>
          <w:p w14:paraId="73C99EC7">
            <w:pPr>
              <w:spacing w:line="253" w:lineRule="auto"/>
              <w:rPr>
                <w:rFonts w:ascii="Arial"/>
                <w:sz w:val="21"/>
              </w:rPr>
            </w:pPr>
          </w:p>
          <w:p w14:paraId="7278E367">
            <w:pPr>
              <w:spacing w:line="253" w:lineRule="auto"/>
              <w:rPr>
                <w:rFonts w:ascii="Arial"/>
                <w:sz w:val="21"/>
              </w:rPr>
            </w:pPr>
          </w:p>
          <w:p w14:paraId="45EC1B7C">
            <w:pPr>
              <w:spacing w:line="253" w:lineRule="auto"/>
              <w:rPr>
                <w:rFonts w:ascii="Arial"/>
                <w:sz w:val="21"/>
              </w:rPr>
            </w:pPr>
          </w:p>
          <w:p w14:paraId="4A118C72">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5F123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3" w:hRule="atLeast"/>
        </w:trPr>
        <w:tc>
          <w:tcPr>
            <w:tcW w:w="634" w:type="dxa"/>
            <w:vAlign w:val="top"/>
          </w:tcPr>
          <w:p w14:paraId="0E47A539">
            <w:pPr>
              <w:spacing w:line="241" w:lineRule="auto"/>
              <w:rPr>
                <w:rFonts w:ascii="Arial"/>
                <w:sz w:val="21"/>
              </w:rPr>
            </w:pPr>
          </w:p>
          <w:p w14:paraId="7A1E1FFD">
            <w:pPr>
              <w:spacing w:line="241" w:lineRule="auto"/>
              <w:rPr>
                <w:rFonts w:ascii="Arial"/>
                <w:sz w:val="21"/>
              </w:rPr>
            </w:pPr>
          </w:p>
          <w:p w14:paraId="322595DB">
            <w:pPr>
              <w:spacing w:line="241" w:lineRule="auto"/>
              <w:rPr>
                <w:rFonts w:ascii="Arial"/>
                <w:sz w:val="21"/>
              </w:rPr>
            </w:pPr>
          </w:p>
          <w:p w14:paraId="59DBD9C7">
            <w:pPr>
              <w:spacing w:line="241" w:lineRule="auto"/>
              <w:rPr>
                <w:rFonts w:ascii="Arial"/>
                <w:sz w:val="21"/>
              </w:rPr>
            </w:pPr>
          </w:p>
          <w:p w14:paraId="0F018E1C">
            <w:pPr>
              <w:spacing w:line="241" w:lineRule="auto"/>
              <w:rPr>
                <w:rFonts w:ascii="Arial"/>
                <w:sz w:val="21"/>
              </w:rPr>
            </w:pPr>
          </w:p>
          <w:p w14:paraId="3B34DA84">
            <w:pPr>
              <w:spacing w:line="241" w:lineRule="auto"/>
              <w:rPr>
                <w:rFonts w:ascii="Arial"/>
                <w:sz w:val="21"/>
              </w:rPr>
            </w:pPr>
          </w:p>
          <w:p w14:paraId="1DE45EAF">
            <w:pPr>
              <w:spacing w:line="241" w:lineRule="auto"/>
              <w:rPr>
                <w:rFonts w:ascii="Arial"/>
                <w:sz w:val="21"/>
              </w:rPr>
            </w:pPr>
          </w:p>
          <w:p w14:paraId="1571A979">
            <w:pPr>
              <w:spacing w:line="242" w:lineRule="auto"/>
              <w:rPr>
                <w:rFonts w:ascii="Arial"/>
                <w:sz w:val="21"/>
              </w:rPr>
            </w:pPr>
          </w:p>
          <w:p w14:paraId="38D74989">
            <w:pPr>
              <w:pStyle w:val="8"/>
              <w:spacing w:before="58" w:line="182" w:lineRule="auto"/>
              <w:ind w:left="280"/>
            </w:pPr>
            <w:r>
              <w:t>5</w:t>
            </w:r>
          </w:p>
        </w:tc>
        <w:tc>
          <w:tcPr>
            <w:tcW w:w="1121" w:type="dxa"/>
            <w:vAlign w:val="top"/>
          </w:tcPr>
          <w:p w14:paraId="72864528">
            <w:pPr>
              <w:pStyle w:val="8"/>
              <w:spacing w:before="35" w:line="246" w:lineRule="auto"/>
              <w:ind w:left="114" w:right="110"/>
              <w:jc w:val="both"/>
            </w:pPr>
            <w:r>
              <w:rPr>
                <w:spacing w:val="-2"/>
              </w:rPr>
              <w:t>对未经许可</w:t>
            </w:r>
            <w:r>
              <w:t xml:space="preserve"> </w:t>
            </w:r>
            <w:r>
              <w:rPr>
                <w:spacing w:val="-2"/>
              </w:rPr>
              <w:t>或者超越许</w:t>
            </w:r>
            <w:r>
              <w:t xml:space="preserve"> </w:t>
            </w:r>
            <w:r>
              <w:rPr>
                <w:spacing w:val="-2"/>
              </w:rPr>
              <w:t>可范围使用</w:t>
            </w:r>
            <w:r>
              <w:t xml:space="preserve"> </w:t>
            </w:r>
            <w:r>
              <w:rPr>
                <w:spacing w:val="-2"/>
              </w:rPr>
              <w:t>外国籍船舶</w:t>
            </w:r>
            <w:r>
              <w:t xml:space="preserve"> </w:t>
            </w:r>
            <w:r>
              <w:rPr>
                <w:spacing w:val="-2"/>
              </w:rPr>
              <w:t>经营水路运</w:t>
            </w:r>
            <w:r>
              <w:t xml:space="preserve"> </w:t>
            </w:r>
            <w:r>
              <w:rPr>
                <w:spacing w:val="-2"/>
              </w:rPr>
              <w:t>输业务，或</w:t>
            </w:r>
            <w:r>
              <w:t xml:space="preserve"> </w:t>
            </w:r>
            <w:r>
              <w:rPr>
                <w:spacing w:val="-2"/>
              </w:rPr>
              <w:t>者外国的企</w:t>
            </w:r>
            <w:r>
              <w:t xml:space="preserve"> </w:t>
            </w:r>
            <w:r>
              <w:rPr>
                <w:spacing w:val="-2"/>
              </w:rPr>
              <w:t>业、其他经</w:t>
            </w:r>
            <w:r>
              <w:t xml:space="preserve"> </w:t>
            </w:r>
            <w:r>
              <w:rPr>
                <w:spacing w:val="-2"/>
              </w:rPr>
              <w:t>济组织和个</w:t>
            </w:r>
            <w:r>
              <w:t xml:space="preserve"> </w:t>
            </w:r>
            <w:r>
              <w:rPr>
                <w:spacing w:val="-2"/>
              </w:rPr>
              <w:t>人经营或者</w:t>
            </w:r>
            <w:r>
              <w:t xml:space="preserve"> </w:t>
            </w:r>
            <w:r>
              <w:rPr>
                <w:spacing w:val="-2"/>
              </w:rPr>
              <w:t>以租用中国</w:t>
            </w:r>
            <w:r>
              <w:t xml:space="preserve"> </w:t>
            </w:r>
            <w:r>
              <w:rPr>
                <w:spacing w:val="-2"/>
              </w:rPr>
              <w:t>籍船舶或者</w:t>
            </w:r>
            <w:r>
              <w:t xml:space="preserve"> </w:t>
            </w:r>
            <w:r>
              <w:rPr>
                <w:spacing w:val="-2"/>
              </w:rPr>
              <w:t>舱位等方式</w:t>
            </w:r>
            <w:r>
              <w:t xml:space="preserve"> </w:t>
            </w:r>
            <w:r>
              <w:rPr>
                <w:spacing w:val="-2"/>
              </w:rPr>
              <w:t>变相经营水</w:t>
            </w:r>
            <w:r>
              <w:t xml:space="preserve"> </w:t>
            </w:r>
            <w:r>
              <w:rPr>
                <w:spacing w:val="-2"/>
              </w:rPr>
              <w:t>路运输业务</w:t>
            </w:r>
            <w:r>
              <w:t xml:space="preserve"> </w:t>
            </w:r>
            <w:r>
              <w:rPr>
                <w:spacing w:val="-2"/>
              </w:rPr>
              <w:t>行为的行政</w:t>
            </w:r>
            <w:r>
              <w:t xml:space="preserve"> </w:t>
            </w:r>
            <w:r>
              <w:rPr>
                <w:spacing w:val="-4"/>
              </w:rPr>
              <w:t>处罚</w:t>
            </w:r>
          </w:p>
        </w:tc>
        <w:tc>
          <w:tcPr>
            <w:tcW w:w="1121" w:type="dxa"/>
            <w:vAlign w:val="top"/>
          </w:tcPr>
          <w:p w14:paraId="78C1706E">
            <w:pPr>
              <w:spacing w:line="249" w:lineRule="auto"/>
              <w:rPr>
                <w:rFonts w:ascii="Arial"/>
                <w:sz w:val="21"/>
              </w:rPr>
            </w:pPr>
          </w:p>
          <w:p w14:paraId="6D7C34D9">
            <w:pPr>
              <w:spacing w:line="249" w:lineRule="auto"/>
              <w:rPr>
                <w:rFonts w:ascii="Arial"/>
                <w:sz w:val="21"/>
              </w:rPr>
            </w:pPr>
          </w:p>
          <w:p w14:paraId="07C4AE72">
            <w:pPr>
              <w:spacing w:line="249" w:lineRule="auto"/>
              <w:rPr>
                <w:rFonts w:ascii="Arial"/>
                <w:sz w:val="21"/>
              </w:rPr>
            </w:pPr>
          </w:p>
          <w:p w14:paraId="175508AE">
            <w:pPr>
              <w:spacing w:line="250" w:lineRule="auto"/>
              <w:rPr>
                <w:rFonts w:ascii="Arial"/>
                <w:sz w:val="21"/>
              </w:rPr>
            </w:pPr>
          </w:p>
          <w:p w14:paraId="022EF63F">
            <w:pPr>
              <w:spacing w:line="250" w:lineRule="auto"/>
              <w:rPr>
                <w:rFonts w:ascii="Arial"/>
                <w:sz w:val="21"/>
              </w:rPr>
            </w:pPr>
          </w:p>
          <w:p w14:paraId="5E54ED42">
            <w:pPr>
              <w:spacing w:line="250" w:lineRule="auto"/>
              <w:rPr>
                <w:rFonts w:ascii="Arial"/>
                <w:sz w:val="21"/>
              </w:rPr>
            </w:pPr>
          </w:p>
          <w:p w14:paraId="3B490B75">
            <w:pPr>
              <w:spacing w:line="250" w:lineRule="auto"/>
              <w:rPr>
                <w:rFonts w:ascii="Arial"/>
                <w:sz w:val="21"/>
              </w:rPr>
            </w:pPr>
          </w:p>
          <w:p w14:paraId="71DC13D7">
            <w:pPr>
              <w:spacing w:line="250" w:lineRule="auto"/>
              <w:rPr>
                <w:rFonts w:ascii="Arial"/>
                <w:sz w:val="21"/>
              </w:rPr>
            </w:pPr>
          </w:p>
          <w:p w14:paraId="7469BB23">
            <w:pPr>
              <w:pStyle w:val="8"/>
              <w:spacing w:before="59" w:line="220" w:lineRule="auto"/>
              <w:ind w:left="9"/>
            </w:pPr>
            <w:r>
              <w:rPr>
                <w:spacing w:val="-4"/>
              </w:rPr>
              <w:t>行政处罚</w:t>
            </w:r>
          </w:p>
        </w:tc>
        <w:tc>
          <w:tcPr>
            <w:tcW w:w="8692" w:type="dxa"/>
            <w:vAlign w:val="top"/>
          </w:tcPr>
          <w:p w14:paraId="7C104D68">
            <w:pPr>
              <w:spacing w:line="306" w:lineRule="auto"/>
              <w:rPr>
                <w:rFonts w:ascii="Arial"/>
                <w:sz w:val="21"/>
              </w:rPr>
            </w:pPr>
          </w:p>
          <w:p w14:paraId="21647A72">
            <w:pPr>
              <w:spacing w:line="306" w:lineRule="auto"/>
              <w:rPr>
                <w:rFonts w:ascii="Arial"/>
                <w:sz w:val="21"/>
              </w:rPr>
            </w:pPr>
          </w:p>
          <w:p w14:paraId="1F340770">
            <w:pPr>
              <w:pStyle w:val="8"/>
              <w:spacing w:before="58" w:line="219" w:lineRule="auto"/>
              <w:ind w:left="478"/>
            </w:pPr>
            <w:r>
              <w:rPr>
                <w:b/>
                <w:bCs/>
                <w:spacing w:val="-5"/>
              </w:rPr>
              <w:t>《国内水路运输管理条例》</w:t>
            </w:r>
          </w:p>
          <w:p w14:paraId="6A73F7B1">
            <w:pPr>
              <w:pStyle w:val="8"/>
              <w:spacing w:before="20" w:line="234" w:lineRule="auto"/>
              <w:ind w:left="114" w:right="107" w:firstLine="360"/>
              <w:jc w:val="both"/>
            </w:pPr>
            <w:r>
              <w:t>第十六条  水路运输经营者不得使用外国籍船舶经营水路运输业务。但是，在国内没有能够满足所申请</w:t>
            </w:r>
            <w:r>
              <w:rPr>
                <w:spacing w:val="1"/>
              </w:rPr>
              <w:t xml:space="preserve"> </w:t>
            </w:r>
            <w:r>
              <w:t>运输要求的中国籍船舶，并且船舶停靠的港口或者水域为对外开放的港口或者水域的情况下，经国务院交通</w:t>
            </w:r>
            <w:r>
              <w:rPr>
                <w:spacing w:val="3"/>
              </w:rPr>
              <w:t xml:space="preserve"> </w:t>
            </w:r>
            <w:r>
              <w:t>运输主管部门许可，水路运输经营者可以在国务院交通运输主管部门规定的期限或者航次内，临时使用外国</w:t>
            </w:r>
            <w:r>
              <w:rPr>
                <w:spacing w:val="3"/>
              </w:rPr>
              <w:t xml:space="preserve"> </w:t>
            </w:r>
            <w:r>
              <w:rPr>
                <w:spacing w:val="-3"/>
              </w:rPr>
              <w:t>籍船舶运输。</w:t>
            </w:r>
          </w:p>
          <w:p w14:paraId="5F4EB695">
            <w:pPr>
              <w:pStyle w:val="8"/>
              <w:spacing w:before="20" w:line="230" w:lineRule="auto"/>
              <w:ind w:left="129" w:right="107" w:firstLine="337"/>
            </w:pPr>
            <w:r>
              <w:t>在香港特别行政区、澳门特别行政区、台湾地区进行船籍登记的船舶，参照适用本条例关于外国籍船舶</w:t>
            </w:r>
            <w:r>
              <w:rPr>
                <w:spacing w:val="11"/>
              </w:rPr>
              <w:t xml:space="preserve"> </w:t>
            </w:r>
            <w:r>
              <w:rPr>
                <w:spacing w:val="-4"/>
              </w:rPr>
              <w:t>的规定，国务院另有规定的除外。</w:t>
            </w:r>
          </w:p>
          <w:p w14:paraId="4C09519F">
            <w:pPr>
              <w:pStyle w:val="8"/>
              <w:spacing w:before="17" w:line="235" w:lineRule="auto"/>
              <w:ind w:left="116" w:right="100" w:firstLine="357"/>
              <w:jc w:val="both"/>
            </w:pPr>
            <w:r>
              <w:t>第三十五条  水路运输经营者未经国务院交通运输主管部门许可或者超越许可范围使用外国籍船舶经营</w:t>
            </w:r>
            <w:r>
              <w:rPr>
                <w:spacing w:val="1"/>
              </w:rPr>
              <w:t xml:space="preserve"> </w:t>
            </w:r>
            <w:r>
              <w:t>水路运输业务，或者外国的企业、其他经济组织和个人经营或者以租用中国籍船舶或者舱位等方式变相经营</w:t>
            </w:r>
            <w:r>
              <w:rPr>
                <w:spacing w:val="1"/>
              </w:rPr>
              <w:t xml:space="preserve"> </w:t>
            </w:r>
            <w:r>
              <w:rPr>
                <w:spacing w:val="-3"/>
              </w:rPr>
              <w:t>水路运输业务的，由负责水路运输管理的部门责令停止经营，没收违法所得</w:t>
            </w:r>
            <w:r>
              <w:rPr>
                <w:spacing w:val="-4"/>
              </w:rPr>
              <w:t>，并处违法所得 1 倍以上 5 倍以</w:t>
            </w:r>
            <w:r>
              <w:t xml:space="preserve"> </w:t>
            </w:r>
            <w:r>
              <w:rPr>
                <w:spacing w:val="-9"/>
              </w:rPr>
              <w:t>下的罚款；没有违法所得或者违法所得不足 20 万元的，处</w:t>
            </w:r>
            <w:r>
              <w:rPr>
                <w:spacing w:val="-10"/>
              </w:rPr>
              <w:t xml:space="preserve"> </w:t>
            </w:r>
            <w:r>
              <w:rPr>
                <w:spacing w:val="-9"/>
              </w:rPr>
              <w:t>20 万元以上 100 万元以下的罚款。</w:t>
            </w:r>
          </w:p>
        </w:tc>
        <w:tc>
          <w:tcPr>
            <w:tcW w:w="1029" w:type="dxa"/>
            <w:vAlign w:val="top"/>
          </w:tcPr>
          <w:p w14:paraId="7930865F">
            <w:pPr>
              <w:spacing w:line="253" w:lineRule="auto"/>
              <w:rPr>
                <w:rFonts w:ascii="Arial"/>
                <w:sz w:val="21"/>
              </w:rPr>
            </w:pPr>
          </w:p>
          <w:p w14:paraId="5E222664">
            <w:pPr>
              <w:spacing w:line="253" w:lineRule="auto"/>
              <w:rPr>
                <w:rFonts w:ascii="Arial"/>
                <w:sz w:val="21"/>
              </w:rPr>
            </w:pPr>
          </w:p>
          <w:p w14:paraId="3C0A04A6">
            <w:pPr>
              <w:spacing w:line="254" w:lineRule="auto"/>
              <w:rPr>
                <w:rFonts w:ascii="Arial"/>
                <w:sz w:val="21"/>
              </w:rPr>
            </w:pPr>
          </w:p>
          <w:p w14:paraId="1E3F6C9F">
            <w:pPr>
              <w:spacing w:line="254" w:lineRule="auto"/>
              <w:rPr>
                <w:rFonts w:ascii="Arial"/>
                <w:sz w:val="21"/>
              </w:rPr>
            </w:pPr>
          </w:p>
          <w:p w14:paraId="5F5714C6">
            <w:pPr>
              <w:spacing w:line="254" w:lineRule="auto"/>
              <w:rPr>
                <w:rFonts w:ascii="Arial"/>
                <w:sz w:val="21"/>
              </w:rPr>
            </w:pPr>
          </w:p>
          <w:p w14:paraId="6F22AB57">
            <w:pPr>
              <w:spacing w:line="254" w:lineRule="auto"/>
              <w:rPr>
                <w:rFonts w:ascii="Arial"/>
                <w:sz w:val="21"/>
              </w:rPr>
            </w:pPr>
          </w:p>
          <w:p w14:paraId="6556BD36">
            <w:pPr>
              <w:spacing w:line="254" w:lineRule="auto"/>
              <w:rPr>
                <w:rFonts w:ascii="Arial"/>
                <w:sz w:val="21"/>
              </w:rPr>
            </w:pPr>
          </w:p>
          <w:p w14:paraId="0F22D5D9">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64E6FFFD">
            <w:pPr>
              <w:spacing w:line="253" w:lineRule="auto"/>
              <w:rPr>
                <w:rFonts w:ascii="Arial"/>
                <w:sz w:val="21"/>
              </w:rPr>
            </w:pPr>
          </w:p>
          <w:p w14:paraId="135B4C50">
            <w:pPr>
              <w:spacing w:line="253" w:lineRule="auto"/>
              <w:rPr>
                <w:rFonts w:ascii="Arial"/>
                <w:sz w:val="21"/>
              </w:rPr>
            </w:pPr>
          </w:p>
          <w:p w14:paraId="0F97F5F6">
            <w:pPr>
              <w:spacing w:line="254" w:lineRule="auto"/>
              <w:rPr>
                <w:rFonts w:ascii="Arial"/>
                <w:sz w:val="21"/>
              </w:rPr>
            </w:pPr>
          </w:p>
          <w:p w14:paraId="6E94EE30">
            <w:pPr>
              <w:spacing w:line="254" w:lineRule="auto"/>
              <w:rPr>
                <w:rFonts w:ascii="Arial"/>
                <w:sz w:val="21"/>
              </w:rPr>
            </w:pPr>
          </w:p>
          <w:p w14:paraId="7B345F61">
            <w:pPr>
              <w:spacing w:line="254" w:lineRule="auto"/>
              <w:rPr>
                <w:rFonts w:ascii="Arial"/>
                <w:sz w:val="21"/>
              </w:rPr>
            </w:pPr>
          </w:p>
          <w:p w14:paraId="5EC774D1">
            <w:pPr>
              <w:spacing w:line="254" w:lineRule="auto"/>
              <w:rPr>
                <w:rFonts w:ascii="Arial"/>
                <w:sz w:val="21"/>
              </w:rPr>
            </w:pPr>
          </w:p>
          <w:p w14:paraId="7EC96EC3">
            <w:pPr>
              <w:spacing w:line="254" w:lineRule="auto"/>
              <w:rPr>
                <w:rFonts w:ascii="Arial"/>
                <w:sz w:val="21"/>
              </w:rPr>
            </w:pPr>
          </w:p>
          <w:p w14:paraId="605C22B6">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2F6558C1">
            <w:pPr>
              <w:spacing w:line="258" w:lineRule="auto"/>
              <w:rPr>
                <w:rFonts w:ascii="Arial"/>
                <w:sz w:val="21"/>
              </w:rPr>
            </w:pPr>
          </w:p>
          <w:p w14:paraId="090174A0">
            <w:pPr>
              <w:spacing w:line="258" w:lineRule="auto"/>
              <w:rPr>
                <w:rFonts w:ascii="Arial"/>
                <w:sz w:val="21"/>
              </w:rPr>
            </w:pPr>
          </w:p>
          <w:p w14:paraId="55ED2300">
            <w:pPr>
              <w:spacing w:line="258" w:lineRule="auto"/>
              <w:rPr>
                <w:rFonts w:ascii="Arial"/>
                <w:sz w:val="21"/>
              </w:rPr>
            </w:pPr>
          </w:p>
          <w:p w14:paraId="21E3B902">
            <w:pPr>
              <w:spacing w:line="259" w:lineRule="auto"/>
              <w:rPr>
                <w:rFonts w:ascii="Arial"/>
                <w:sz w:val="21"/>
              </w:rPr>
            </w:pPr>
          </w:p>
          <w:p w14:paraId="5C4CD90B">
            <w:pPr>
              <w:spacing w:line="259" w:lineRule="auto"/>
              <w:rPr>
                <w:rFonts w:ascii="Arial"/>
                <w:sz w:val="21"/>
              </w:rPr>
            </w:pPr>
          </w:p>
          <w:p w14:paraId="65F0B380">
            <w:pPr>
              <w:spacing w:line="259" w:lineRule="auto"/>
              <w:rPr>
                <w:rFonts w:ascii="Arial"/>
                <w:sz w:val="21"/>
              </w:rPr>
            </w:pPr>
          </w:p>
          <w:p w14:paraId="3F719026">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7DC29B62">
      <w:pPr>
        <w:pStyle w:val="2"/>
      </w:pPr>
    </w:p>
    <w:p w14:paraId="1169B16F">
      <w:pPr>
        <w:sectPr>
          <w:footerReference r:id="rId218" w:type="default"/>
          <w:pgSz w:w="16840" w:h="11910"/>
          <w:pgMar w:top="1012" w:right="888" w:bottom="966" w:left="887" w:header="0" w:footer="768" w:gutter="0"/>
          <w:cols w:space="720" w:num="1"/>
        </w:sectPr>
      </w:pPr>
    </w:p>
    <w:p w14:paraId="74C964CB">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6873A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34" w:type="dxa"/>
            <w:vMerge w:val="restart"/>
            <w:tcBorders>
              <w:bottom w:val="nil"/>
            </w:tcBorders>
            <w:vAlign w:val="top"/>
          </w:tcPr>
          <w:p w14:paraId="13ADDBE8">
            <w:pPr>
              <w:pStyle w:val="8"/>
              <w:spacing w:before="221" w:line="221" w:lineRule="auto"/>
              <w:ind w:left="138"/>
            </w:pPr>
            <w:r>
              <w:rPr>
                <w:b/>
                <w:bCs/>
                <w:spacing w:val="-4"/>
              </w:rPr>
              <w:t>序号</w:t>
            </w:r>
          </w:p>
        </w:tc>
        <w:tc>
          <w:tcPr>
            <w:tcW w:w="1121" w:type="dxa"/>
            <w:vMerge w:val="restart"/>
            <w:tcBorders>
              <w:bottom w:val="nil"/>
            </w:tcBorders>
            <w:vAlign w:val="top"/>
          </w:tcPr>
          <w:p w14:paraId="39633919">
            <w:pPr>
              <w:pStyle w:val="8"/>
              <w:spacing w:before="221" w:line="220" w:lineRule="auto"/>
              <w:ind w:left="206"/>
            </w:pPr>
            <w:r>
              <w:rPr>
                <w:b/>
                <w:bCs/>
                <w:spacing w:val="-5"/>
              </w:rPr>
              <w:t>事项名称</w:t>
            </w:r>
          </w:p>
        </w:tc>
        <w:tc>
          <w:tcPr>
            <w:tcW w:w="1121" w:type="dxa"/>
            <w:vMerge w:val="restart"/>
            <w:tcBorders>
              <w:bottom w:val="nil"/>
            </w:tcBorders>
            <w:vAlign w:val="top"/>
          </w:tcPr>
          <w:p w14:paraId="4EF0973F">
            <w:pPr>
              <w:pStyle w:val="8"/>
              <w:spacing w:before="222" w:line="219" w:lineRule="auto"/>
              <w:ind w:left="221"/>
            </w:pPr>
            <w:r>
              <w:rPr>
                <w:b/>
                <w:bCs/>
                <w:spacing w:val="-9"/>
              </w:rPr>
              <w:t>职权类型</w:t>
            </w:r>
          </w:p>
        </w:tc>
        <w:tc>
          <w:tcPr>
            <w:tcW w:w="8692" w:type="dxa"/>
            <w:vMerge w:val="restart"/>
            <w:tcBorders>
              <w:bottom w:val="nil"/>
            </w:tcBorders>
            <w:vAlign w:val="top"/>
          </w:tcPr>
          <w:p w14:paraId="32BE450E">
            <w:pPr>
              <w:pStyle w:val="8"/>
              <w:spacing w:before="221" w:line="219" w:lineRule="auto"/>
              <w:ind w:left="3999"/>
            </w:pPr>
            <w:r>
              <w:rPr>
                <w:b/>
                <w:bCs/>
                <w:spacing w:val="-6"/>
              </w:rPr>
              <w:t>实施依据</w:t>
            </w:r>
          </w:p>
        </w:tc>
        <w:tc>
          <w:tcPr>
            <w:tcW w:w="3491" w:type="dxa"/>
            <w:gridSpan w:val="3"/>
            <w:vAlign w:val="top"/>
          </w:tcPr>
          <w:p w14:paraId="64516E05">
            <w:pPr>
              <w:pStyle w:val="8"/>
              <w:spacing w:before="85" w:line="220" w:lineRule="auto"/>
              <w:ind w:left="1399"/>
            </w:pPr>
            <w:r>
              <w:rPr>
                <w:b/>
                <w:bCs/>
                <w:spacing w:val="-6"/>
              </w:rPr>
              <w:t>实施主体</w:t>
            </w:r>
          </w:p>
        </w:tc>
      </w:tr>
      <w:tr w14:paraId="52AAD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381C5F4C">
            <w:pPr>
              <w:rPr>
                <w:rFonts w:ascii="Arial"/>
                <w:sz w:val="21"/>
              </w:rPr>
            </w:pPr>
          </w:p>
        </w:tc>
        <w:tc>
          <w:tcPr>
            <w:tcW w:w="1121" w:type="dxa"/>
            <w:vMerge w:val="continue"/>
            <w:tcBorders>
              <w:top w:val="nil"/>
            </w:tcBorders>
            <w:vAlign w:val="top"/>
          </w:tcPr>
          <w:p w14:paraId="4D239514">
            <w:pPr>
              <w:rPr>
                <w:rFonts w:ascii="Arial"/>
                <w:sz w:val="21"/>
              </w:rPr>
            </w:pPr>
          </w:p>
        </w:tc>
        <w:tc>
          <w:tcPr>
            <w:tcW w:w="1121" w:type="dxa"/>
            <w:vMerge w:val="continue"/>
            <w:tcBorders>
              <w:top w:val="nil"/>
            </w:tcBorders>
            <w:vAlign w:val="top"/>
          </w:tcPr>
          <w:p w14:paraId="14199944">
            <w:pPr>
              <w:rPr>
                <w:rFonts w:ascii="Arial"/>
                <w:sz w:val="21"/>
              </w:rPr>
            </w:pPr>
          </w:p>
        </w:tc>
        <w:tc>
          <w:tcPr>
            <w:tcW w:w="8692" w:type="dxa"/>
            <w:vMerge w:val="continue"/>
            <w:tcBorders>
              <w:top w:val="nil"/>
            </w:tcBorders>
            <w:vAlign w:val="top"/>
          </w:tcPr>
          <w:p w14:paraId="2DC62E10">
            <w:pPr>
              <w:rPr>
                <w:rFonts w:ascii="Arial"/>
                <w:sz w:val="21"/>
              </w:rPr>
            </w:pPr>
          </w:p>
        </w:tc>
        <w:tc>
          <w:tcPr>
            <w:tcW w:w="1029" w:type="dxa"/>
            <w:vAlign w:val="top"/>
          </w:tcPr>
          <w:p w14:paraId="68E991F7">
            <w:pPr>
              <w:pStyle w:val="8"/>
              <w:spacing w:before="44" w:line="219" w:lineRule="auto"/>
              <w:ind w:left="172"/>
            </w:pPr>
            <w:r>
              <w:rPr>
                <w:b/>
                <w:bCs/>
                <w:spacing w:val="-6"/>
              </w:rPr>
              <w:t>责任部门</w:t>
            </w:r>
          </w:p>
        </w:tc>
        <w:tc>
          <w:tcPr>
            <w:tcW w:w="1429" w:type="dxa"/>
            <w:vAlign w:val="top"/>
          </w:tcPr>
          <w:p w14:paraId="36E8F021">
            <w:pPr>
              <w:pStyle w:val="8"/>
              <w:spacing w:before="44" w:line="219" w:lineRule="auto"/>
              <w:ind w:left="188"/>
            </w:pPr>
            <w:r>
              <w:rPr>
                <w:b/>
                <w:bCs/>
                <w:spacing w:val="-4"/>
              </w:rPr>
              <w:t>第一责任层级</w:t>
            </w:r>
          </w:p>
        </w:tc>
        <w:tc>
          <w:tcPr>
            <w:tcW w:w="1033" w:type="dxa"/>
            <w:vAlign w:val="top"/>
          </w:tcPr>
          <w:p w14:paraId="199CF026">
            <w:pPr>
              <w:pStyle w:val="8"/>
              <w:spacing w:before="44" w:line="219" w:lineRule="auto"/>
              <w:ind w:left="163"/>
            </w:pPr>
            <w:r>
              <w:rPr>
                <w:b/>
                <w:bCs/>
                <w:spacing w:val="-5"/>
              </w:rPr>
              <w:t>承办机构</w:t>
            </w:r>
          </w:p>
        </w:tc>
      </w:tr>
      <w:tr w14:paraId="6DB29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0" w:hRule="atLeast"/>
        </w:trPr>
        <w:tc>
          <w:tcPr>
            <w:tcW w:w="634" w:type="dxa"/>
            <w:vAlign w:val="top"/>
          </w:tcPr>
          <w:p w14:paraId="7CFB69D8">
            <w:pPr>
              <w:rPr>
                <w:rFonts w:ascii="Arial"/>
                <w:sz w:val="21"/>
              </w:rPr>
            </w:pPr>
          </w:p>
          <w:p w14:paraId="427F04ED">
            <w:pPr>
              <w:rPr>
                <w:rFonts w:ascii="Arial"/>
                <w:sz w:val="21"/>
              </w:rPr>
            </w:pPr>
          </w:p>
          <w:p w14:paraId="5800CF6A">
            <w:pPr>
              <w:rPr>
                <w:rFonts w:ascii="Arial"/>
                <w:sz w:val="21"/>
              </w:rPr>
            </w:pPr>
          </w:p>
          <w:p w14:paraId="3E8C477A">
            <w:pPr>
              <w:rPr>
                <w:rFonts w:ascii="Arial"/>
                <w:sz w:val="21"/>
              </w:rPr>
            </w:pPr>
          </w:p>
          <w:p w14:paraId="532F4DBE">
            <w:pPr>
              <w:rPr>
                <w:rFonts w:ascii="Arial"/>
                <w:sz w:val="21"/>
              </w:rPr>
            </w:pPr>
          </w:p>
          <w:p w14:paraId="46161EAE">
            <w:pPr>
              <w:pStyle w:val="8"/>
              <w:spacing w:before="59" w:line="183" w:lineRule="auto"/>
              <w:ind w:left="277"/>
            </w:pPr>
            <w:r>
              <w:t>6</w:t>
            </w:r>
          </w:p>
        </w:tc>
        <w:tc>
          <w:tcPr>
            <w:tcW w:w="1121" w:type="dxa"/>
            <w:vAlign w:val="top"/>
          </w:tcPr>
          <w:p w14:paraId="7AADEF8D">
            <w:pPr>
              <w:pStyle w:val="8"/>
              <w:spacing w:before="264" w:line="246" w:lineRule="auto"/>
              <w:ind w:left="115" w:right="110" w:hanging="1"/>
              <w:jc w:val="both"/>
            </w:pPr>
            <w:r>
              <w:rPr>
                <w:spacing w:val="-2"/>
              </w:rPr>
              <w:t>对以欺骗或</w:t>
            </w:r>
            <w:r>
              <w:t xml:space="preserve"> </w:t>
            </w:r>
            <w:r>
              <w:rPr>
                <w:spacing w:val="-3"/>
              </w:rPr>
              <w:t>者贿赂等不</w:t>
            </w:r>
            <w:r>
              <w:rPr>
                <w:spacing w:val="3"/>
              </w:rPr>
              <w:t xml:space="preserve"> </w:t>
            </w:r>
            <w:r>
              <w:rPr>
                <w:spacing w:val="-3"/>
              </w:rPr>
              <w:t>正当手段取</w:t>
            </w:r>
            <w:r>
              <w:rPr>
                <w:spacing w:val="3"/>
              </w:rPr>
              <w:t xml:space="preserve"> </w:t>
            </w:r>
            <w:r>
              <w:rPr>
                <w:spacing w:val="-3"/>
              </w:rPr>
              <w:t>得《国内水</w:t>
            </w:r>
            <w:r>
              <w:rPr>
                <w:spacing w:val="3"/>
              </w:rPr>
              <w:t xml:space="preserve"> </w:t>
            </w:r>
            <w:r>
              <w:rPr>
                <w:spacing w:val="-3"/>
              </w:rPr>
              <w:t>路运输管理</w:t>
            </w:r>
            <w:r>
              <w:rPr>
                <w:spacing w:val="3"/>
              </w:rPr>
              <w:t xml:space="preserve"> </w:t>
            </w:r>
            <w:r>
              <w:rPr>
                <w:spacing w:val="-5"/>
              </w:rPr>
              <w:t>条例》规定</w:t>
            </w:r>
            <w:r>
              <w:rPr>
                <w:spacing w:val="1"/>
              </w:rPr>
              <w:t xml:space="preserve"> </w:t>
            </w:r>
            <w:r>
              <w:rPr>
                <w:spacing w:val="-3"/>
              </w:rPr>
              <w:t>的行政许可</w:t>
            </w:r>
            <w:r>
              <w:rPr>
                <w:spacing w:val="3"/>
              </w:rPr>
              <w:t xml:space="preserve"> </w:t>
            </w:r>
            <w:r>
              <w:rPr>
                <w:spacing w:val="-3"/>
              </w:rPr>
              <w:t>行为的行政</w:t>
            </w:r>
            <w:r>
              <w:rPr>
                <w:spacing w:val="3"/>
              </w:rPr>
              <w:t xml:space="preserve"> </w:t>
            </w:r>
            <w:r>
              <w:rPr>
                <w:spacing w:val="-4"/>
              </w:rPr>
              <w:t>处罚</w:t>
            </w:r>
          </w:p>
        </w:tc>
        <w:tc>
          <w:tcPr>
            <w:tcW w:w="1121" w:type="dxa"/>
            <w:vAlign w:val="top"/>
          </w:tcPr>
          <w:p w14:paraId="5C245344">
            <w:pPr>
              <w:spacing w:line="287" w:lineRule="auto"/>
              <w:rPr>
                <w:rFonts w:ascii="Arial"/>
                <w:sz w:val="21"/>
              </w:rPr>
            </w:pPr>
          </w:p>
          <w:p w14:paraId="0CE81468">
            <w:pPr>
              <w:spacing w:line="287" w:lineRule="auto"/>
              <w:rPr>
                <w:rFonts w:ascii="Arial"/>
                <w:sz w:val="21"/>
              </w:rPr>
            </w:pPr>
          </w:p>
          <w:p w14:paraId="0E20311E">
            <w:pPr>
              <w:spacing w:line="288" w:lineRule="auto"/>
              <w:rPr>
                <w:rFonts w:ascii="Arial"/>
                <w:sz w:val="21"/>
              </w:rPr>
            </w:pPr>
          </w:p>
          <w:p w14:paraId="0D268858">
            <w:pPr>
              <w:pStyle w:val="8"/>
              <w:spacing w:before="58" w:line="220" w:lineRule="auto"/>
              <w:ind w:left="9"/>
            </w:pPr>
            <w:r>
              <w:rPr>
                <w:spacing w:val="-4"/>
              </w:rPr>
              <w:t>行政处罚</w:t>
            </w:r>
          </w:p>
        </w:tc>
        <w:tc>
          <w:tcPr>
            <w:tcW w:w="8692" w:type="dxa"/>
            <w:vAlign w:val="top"/>
          </w:tcPr>
          <w:p w14:paraId="40CE4261">
            <w:pPr>
              <w:pStyle w:val="8"/>
              <w:spacing w:before="72" w:line="219" w:lineRule="auto"/>
              <w:ind w:left="478"/>
            </w:pPr>
            <w:r>
              <w:rPr>
                <w:b/>
                <w:bCs/>
                <w:spacing w:val="-5"/>
              </w:rPr>
              <w:t>《国内水路运输管理条例》</w:t>
            </w:r>
          </w:p>
          <w:p w14:paraId="45049333">
            <w:pPr>
              <w:pStyle w:val="8"/>
              <w:spacing w:before="18" w:line="229" w:lineRule="auto"/>
              <w:ind w:left="116" w:right="109" w:firstLine="358"/>
            </w:pPr>
            <w:r>
              <w:t>第八条  经营水路运输业务，应当按照国务院交通运输主管部门的规定，经国务院交通运输主管部门或</w:t>
            </w:r>
            <w:r>
              <w:rPr>
                <w:spacing w:val="1"/>
              </w:rPr>
              <w:t xml:space="preserve"> </w:t>
            </w:r>
            <w:r>
              <w:rPr>
                <w:spacing w:val="-2"/>
              </w:rPr>
              <w:t>者设区的市级以上地方人民政府负责水路运</w:t>
            </w:r>
            <w:r>
              <w:rPr>
                <w:spacing w:val="-3"/>
              </w:rPr>
              <w:t>输管理的部门批准。</w:t>
            </w:r>
          </w:p>
          <w:p w14:paraId="29AE6D3D">
            <w:pPr>
              <w:pStyle w:val="8"/>
              <w:spacing w:before="19" w:line="230" w:lineRule="auto"/>
              <w:ind w:left="114" w:right="102" w:firstLine="356"/>
            </w:pPr>
            <w:r>
              <w:rPr>
                <w:spacing w:val="-7"/>
              </w:rPr>
              <w:t>申请经营水路运输业务，应当向前款规定的负责审批的部门提</w:t>
            </w:r>
            <w:r>
              <w:rPr>
                <w:spacing w:val="-8"/>
              </w:rPr>
              <w:t>交申请书和证明申请人符合本条例第六条或者</w:t>
            </w:r>
            <w:r>
              <w:t xml:space="preserve"> </w:t>
            </w:r>
            <w:r>
              <w:rPr>
                <w:spacing w:val="-4"/>
              </w:rPr>
              <w:t>第七条规定条件的相关材料。</w:t>
            </w:r>
          </w:p>
          <w:p w14:paraId="55DD2B01">
            <w:pPr>
              <w:pStyle w:val="8"/>
              <w:spacing w:before="19" w:line="233" w:lineRule="auto"/>
              <w:ind w:left="114" w:right="102" w:firstLine="352"/>
            </w:pPr>
            <w:r>
              <w:rPr>
                <w:spacing w:val="-3"/>
              </w:rPr>
              <w:t>负责审批的部门应当自受理申请之日起 30 个工作日内审</w:t>
            </w:r>
            <w:r>
              <w:rPr>
                <w:spacing w:val="-4"/>
              </w:rPr>
              <w:t>查完毕，作出准予许可或者不予许可的决定。予</w:t>
            </w:r>
            <w:r>
              <w:t xml:space="preserve"> 以许可的，发给水路运输业务经营许可证件，并为申请人投入运营的船舶配发船舶营运证件；不予许可的，</w:t>
            </w:r>
            <w:r>
              <w:rPr>
                <w:spacing w:val="1"/>
              </w:rPr>
              <w:t xml:space="preserve"> </w:t>
            </w:r>
            <w:r>
              <w:rPr>
                <w:spacing w:val="-3"/>
              </w:rPr>
              <w:t>应当书面通知申请人并说明理由。</w:t>
            </w:r>
          </w:p>
          <w:p w14:paraId="6BCD9ABB">
            <w:pPr>
              <w:pStyle w:val="8"/>
              <w:spacing w:before="20" w:line="232" w:lineRule="auto"/>
              <w:ind w:left="116" w:right="102" w:firstLine="355"/>
              <w:jc w:val="both"/>
            </w:pPr>
            <w:r>
              <w:t>第三十六条  以欺骗或者贿赂等不正当手段取得本条例规定的行政许可的，由原许可机关撤销许可，处</w:t>
            </w:r>
            <w:r>
              <w:rPr>
                <w:spacing w:val="6"/>
              </w:rPr>
              <w:t xml:space="preserve"> </w:t>
            </w:r>
            <w:r>
              <w:rPr>
                <w:spacing w:val="-7"/>
              </w:rPr>
              <w:t>2 万元以上 20 万元以下的罚款；有违法所得的，没收违法所得；国务院交通运输主管部门或者负责水路运输管</w:t>
            </w:r>
            <w:r>
              <w:rPr>
                <w:spacing w:val="10"/>
              </w:rPr>
              <w:t xml:space="preserve"> </w:t>
            </w:r>
            <w:r>
              <w:rPr>
                <w:spacing w:val="-8"/>
              </w:rPr>
              <w:t>理的部门自撤销许可之日起 3 年内不受理其对该项许可的申请。</w:t>
            </w:r>
          </w:p>
        </w:tc>
        <w:tc>
          <w:tcPr>
            <w:tcW w:w="1029" w:type="dxa"/>
            <w:vAlign w:val="top"/>
          </w:tcPr>
          <w:p w14:paraId="2D9C74A1">
            <w:pPr>
              <w:spacing w:line="262" w:lineRule="auto"/>
              <w:rPr>
                <w:rFonts w:ascii="Arial"/>
                <w:sz w:val="21"/>
              </w:rPr>
            </w:pPr>
          </w:p>
          <w:p w14:paraId="6EE4F895">
            <w:pPr>
              <w:spacing w:line="262" w:lineRule="auto"/>
              <w:rPr>
                <w:rFonts w:ascii="Arial"/>
                <w:sz w:val="21"/>
              </w:rPr>
            </w:pPr>
          </w:p>
          <w:p w14:paraId="3C7D84F1">
            <w:pPr>
              <w:spacing w:line="262" w:lineRule="auto"/>
              <w:rPr>
                <w:rFonts w:ascii="Arial"/>
                <w:sz w:val="21"/>
              </w:rPr>
            </w:pPr>
          </w:p>
          <w:p w14:paraId="22300E67">
            <w:pPr>
              <w:spacing w:line="263" w:lineRule="auto"/>
              <w:rPr>
                <w:rFonts w:ascii="Arial"/>
                <w:sz w:val="21"/>
              </w:rPr>
            </w:pPr>
          </w:p>
          <w:p w14:paraId="5E6C7D85">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7470AD3A">
            <w:pPr>
              <w:spacing w:line="262" w:lineRule="auto"/>
              <w:rPr>
                <w:rFonts w:ascii="Arial"/>
                <w:sz w:val="21"/>
              </w:rPr>
            </w:pPr>
          </w:p>
          <w:p w14:paraId="0AC12DE6">
            <w:pPr>
              <w:spacing w:line="262" w:lineRule="auto"/>
              <w:rPr>
                <w:rFonts w:ascii="Arial"/>
                <w:sz w:val="21"/>
              </w:rPr>
            </w:pPr>
          </w:p>
          <w:p w14:paraId="6EB63A1E">
            <w:pPr>
              <w:spacing w:line="262" w:lineRule="auto"/>
              <w:rPr>
                <w:rFonts w:ascii="Arial"/>
                <w:sz w:val="21"/>
              </w:rPr>
            </w:pPr>
          </w:p>
          <w:p w14:paraId="63A1296C">
            <w:pPr>
              <w:spacing w:line="263" w:lineRule="auto"/>
              <w:rPr>
                <w:rFonts w:ascii="Arial"/>
                <w:sz w:val="21"/>
              </w:rPr>
            </w:pPr>
          </w:p>
          <w:p w14:paraId="02F946B0">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4BBBF71B">
            <w:pPr>
              <w:spacing w:line="273" w:lineRule="auto"/>
              <w:rPr>
                <w:rFonts w:ascii="Arial"/>
                <w:sz w:val="21"/>
              </w:rPr>
            </w:pPr>
          </w:p>
          <w:p w14:paraId="07BBC5BB">
            <w:pPr>
              <w:spacing w:line="274" w:lineRule="auto"/>
              <w:rPr>
                <w:rFonts w:ascii="Arial"/>
                <w:sz w:val="21"/>
              </w:rPr>
            </w:pPr>
          </w:p>
          <w:p w14:paraId="3484E748">
            <w:pPr>
              <w:spacing w:line="274" w:lineRule="auto"/>
              <w:rPr>
                <w:rFonts w:ascii="Arial"/>
                <w:sz w:val="21"/>
              </w:rPr>
            </w:pPr>
          </w:p>
          <w:p w14:paraId="47C526E0">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778F7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4" w:hRule="atLeast"/>
        </w:trPr>
        <w:tc>
          <w:tcPr>
            <w:tcW w:w="634" w:type="dxa"/>
            <w:vAlign w:val="top"/>
          </w:tcPr>
          <w:p w14:paraId="427CCBBF">
            <w:pPr>
              <w:spacing w:line="261" w:lineRule="auto"/>
              <w:rPr>
                <w:rFonts w:ascii="Arial"/>
                <w:sz w:val="21"/>
              </w:rPr>
            </w:pPr>
          </w:p>
          <w:p w14:paraId="25093678">
            <w:pPr>
              <w:spacing w:line="261" w:lineRule="auto"/>
              <w:rPr>
                <w:rFonts w:ascii="Arial"/>
                <w:sz w:val="21"/>
              </w:rPr>
            </w:pPr>
          </w:p>
          <w:p w14:paraId="1AA5B15E">
            <w:pPr>
              <w:spacing w:line="261" w:lineRule="auto"/>
              <w:rPr>
                <w:rFonts w:ascii="Arial"/>
                <w:sz w:val="21"/>
              </w:rPr>
            </w:pPr>
          </w:p>
          <w:p w14:paraId="06B02231">
            <w:pPr>
              <w:spacing w:line="261" w:lineRule="auto"/>
              <w:rPr>
                <w:rFonts w:ascii="Arial"/>
                <w:sz w:val="21"/>
              </w:rPr>
            </w:pPr>
          </w:p>
          <w:p w14:paraId="38144494">
            <w:pPr>
              <w:spacing w:line="262" w:lineRule="auto"/>
              <w:rPr>
                <w:rFonts w:ascii="Arial"/>
                <w:sz w:val="21"/>
              </w:rPr>
            </w:pPr>
          </w:p>
          <w:p w14:paraId="1C4A319D">
            <w:pPr>
              <w:spacing w:line="262" w:lineRule="auto"/>
              <w:rPr>
                <w:rFonts w:ascii="Arial"/>
                <w:sz w:val="21"/>
              </w:rPr>
            </w:pPr>
          </w:p>
          <w:p w14:paraId="5B6BF36E">
            <w:pPr>
              <w:pStyle w:val="8"/>
              <w:spacing w:before="58" w:line="182" w:lineRule="auto"/>
              <w:ind w:left="280"/>
            </w:pPr>
            <w:r>
              <w:t>7</w:t>
            </w:r>
          </w:p>
        </w:tc>
        <w:tc>
          <w:tcPr>
            <w:tcW w:w="1121" w:type="dxa"/>
            <w:vAlign w:val="top"/>
          </w:tcPr>
          <w:p w14:paraId="5E7DC1FF">
            <w:pPr>
              <w:pStyle w:val="8"/>
              <w:spacing w:before="26" w:line="246" w:lineRule="auto"/>
              <w:ind w:left="114" w:right="95"/>
            </w:pPr>
            <w:r>
              <w:rPr>
                <w:spacing w:val="1"/>
              </w:rPr>
              <w:t>对出租、出</w:t>
            </w:r>
            <w:r>
              <w:t xml:space="preserve"> </w:t>
            </w:r>
            <w:r>
              <w:rPr>
                <w:spacing w:val="-11"/>
              </w:rPr>
              <w:t>借</w:t>
            </w:r>
            <w:r>
              <w:rPr>
                <w:spacing w:val="-14"/>
              </w:rPr>
              <w:t xml:space="preserve"> </w:t>
            </w:r>
            <w:r>
              <w:rPr>
                <w:spacing w:val="-11"/>
              </w:rPr>
              <w:t>、</w:t>
            </w:r>
            <w:r>
              <w:rPr>
                <w:spacing w:val="-30"/>
              </w:rPr>
              <w:t xml:space="preserve"> </w:t>
            </w:r>
            <w:r>
              <w:rPr>
                <w:spacing w:val="-11"/>
              </w:rPr>
              <w:t>倒</w:t>
            </w:r>
            <w:r>
              <w:rPr>
                <w:spacing w:val="-15"/>
              </w:rPr>
              <w:t xml:space="preserve"> </w:t>
            </w:r>
            <w:r>
              <w:rPr>
                <w:spacing w:val="-11"/>
              </w:rPr>
              <w:t>卖</w:t>
            </w:r>
            <w:r>
              <w:t xml:space="preserve"> </w:t>
            </w:r>
            <w:r>
              <w:rPr>
                <w:spacing w:val="-2"/>
              </w:rPr>
              <w:t>《国内水路</w:t>
            </w:r>
            <w:r>
              <w:t xml:space="preserve"> </w:t>
            </w:r>
            <w:r>
              <w:rPr>
                <w:spacing w:val="-4"/>
              </w:rPr>
              <w:t>运输条例》</w:t>
            </w:r>
            <w:r>
              <w:rPr>
                <w:spacing w:val="2"/>
              </w:rPr>
              <w:t xml:space="preserve"> </w:t>
            </w:r>
            <w:r>
              <w:rPr>
                <w:spacing w:val="-2"/>
              </w:rPr>
              <w:t>规定的行政</w:t>
            </w:r>
            <w:r>
              <w:t xml:space="preserve"> </w:t>
            </w:r>
            <w:r>
              <w:rPr>
                <w:spacing w:val="-2"/>
              </w:rPr>
              <w:t>许可证件或</w:t>
            </w:r>
            <w:r>
              <w:t xml:space="preserve"> </w:t>
            </w:r>
            <w:r>
              <w:rPr>
                <w:spacing w:val="-2"/>
              </w:rPr>
              <w:t>者以其他方</w:t>
            </w:r>
            <w:r>
              <w:t xml:space="preserve"> </w:t>
            </w:r>
            <w:r>
              <w:rPr>
                <w:spacing w:val="-2"/>
              </w:rPr>
              <w:t>式非法转让</w:t>
            </w:r>
            <w:r>
              <w:t xml:space="preserve"> </w:t>
            </w:r>
            <w:r>
              <w:rPr>
                <w:spacing w:val="-2"/>
              </w:rPr>
              <w:t>《国内水路</w:t>
            </w:r>
            <w:r>
              <w:t xml:space="preserve"> </w:t>
            </w:r>
            <w:r>
              <w:rPr>
                <w:spacing w:val="-2"/>
              </w:rPr>
              <w:t>运输管理条</w:t>
            </w:r>
            <w:r>
              <w:t xml:space="preserve"> </w:t>
            </w:r>
            <w:r>
              <w:rPr>
                <w:spacing w:val="-2"/>
              </w:rPr>
              <w:t>例》规定的</w:t>
            </w:r>
            <w:r>
              <w:t xml:space="preserve"> </w:t>
            </w:r>
            <w:r>
              <w:rPr>
                <w:spacing w:val="-2"/>
              </w:rPr>
              <w:t>行政许可行</w:t>
            </w:r>
            <w:r>
              <w:t xml:space="preserve"> </w:t>
            </w:r>
            <w:r>
              <w:rPr>
                <w:spacing w:val="-2"/>
              </w:rPr>
              <w:t>为的行政处</w:t>
            </w:r>
            <w:r>
              <w:rPr>
                <w:spacing w:val="1"/>
              </w:rPr>
              <w:t xml:space="preserve"> </w:t>
            </w:r>
            <w:r>
              <w:t>罚</w:t>
            </w:r>
          </w:p>
        </w:tc>
        <w:tc>
          <w:tcPr>
            <w:tcW w:w="1121" w:type="dxa"/>
            <w:vAlign w:val="top"/>
          </w:tcPr>
          <w:p w14:paraId="5DACAFDD">
            <w:pPr>
              <w:spacing w:line="256" w:lineRule="auto"/>
              <w:rPr>
                <w:rFonts w:ascii="Arial"/>
                <w:sz w:val="21"/>
              </w:rPr>
            </w:pPr>
          </w:p>
          <w:p w14:paraId="7A856B2F">
            <w:pPr>
              <w:spacing w:line="256" w:lineRule="auto"/>
              <w:rPr>
                <w:rFonts w:ascii="Arial"/>
                <w:sz w:val="21"/>
              </w:rPr>
            </w:pPr>
          </w:p>
          <w:p w14:paraId="2AE727B2">
            <w:pPr>
              <w:spacing w:line="256" w:lineRule="auto"/>
              <w:rPr>
                <w:rFonts w:ascii="Arial"/>
                <w:sz w:val="21"/>
              </w:rPr>
            </w:pPr>
          </w:p>
          <w:p w14:paraId="20471FD3">
            <w:pPr>
              <w:spacing w:line="256" w:lineRule="auto"/>
              <w:rPr>
                <w:rFonts w:ascii="Arial"/>
                <w:sz w:val="21"/>
              </w:rPr>
            </w:pPr>
          </w:p>
          <w:p w14:paraId="13EBB0F0">
            <w:pPr>
              <w:spacing w:line="257" w:lineRule="auto"/>
              <w:rPr>
                <w:rFonts w:ascii="Arial"/>
                <w:sz w:val="21"/>
              </w:rPr>
            </w:pPr>
          </w:p>
          <w:p w14:paraId="69BD4B60">
            <w:pPr>
              <w:spacing w:line="257" w:lineRule="auto"/>
              <w:rPr>
                <w:rFonts w:ascii="Arial"/>
                <w:sz w:val="21"/>
              </w:rPr>
            </w:pPr>
          </w:p>
          <w:p w14:paraId="5F1B6064">
            <w:pPr>
              <w:pStyle w:val="8"/>
              <w:spacing w:before="59" w:line="220" w:lineRule="auto"/>
              <w:ind w:left="9"/>
            </w:pPr>
            <w:r>
              <w:rPr>
                <w:spacing w:val="-4"/>
              </w:rPr>
              <w:t>行政处罚</w:t>
            </w:r>
          </w:p>
        </w:tc>
        <w:tc>
          <w:tcPr>
            <w:tcW w:w="8692" w:type="dxa"/>
            <w:vAlign w:val="top"/>
          </w:tcPr>
          <w:p w14:paraId="35D0D74C">
            <w:pPr>
              <w:spacing w:line="305" w:lineRule="auto"/>
              <w:rPr>
                <w:rFonts w:ascii="Arial"/>
                <w:sz w:val="21"/>
              </w:rPr>
            </w:pPr>
          </w:p>
          <w:p w14:paraId="1B6965C8">
            <w:pPr>
              <w:spacing w:line="306" w:lineRule="auto"/>
              <w:rPr>
                <w:rFonts w:ascii="Arial"/>
                <w:sz w:val="21"/>
              </w:rPr>
            </w:pPr>
          </w:p>
          <w:p w14:paraId="1D1BC51B">
            <w:pPr>
              <w:pStyle w:val="8"/>
              <w:spacing w:before="58" w:line="219" w:lineRule="auto"/>
              <w:ind w:left="480"/>
            </w:pPr>
            <w:r>
              <w:rPr>
                <w:b/>
                <w:bCs/>
                <w:spacing w:val="-6"/>
              </w:rPr>
              <w:t>1.《中华人民共和国行政许可法》</w:t>
            </w:r>
          </w:p>
          <w:p w14:paraId="746AB21F">
            <w:pPr>
              <w:pStyle w:val="8"/>
              <w:spacing w:before="18" w:line="219" w:lineRule="auto"/>
              <w:ind w:left="474"/>
            </w:pPr>
            <w:r>
              <w:rPr>
                <w:spacing w:val="-1"/>
              </w:rPr>
              <w:t>第九条  依法取得的行政许可，除法律、法规规定依照法定条件和程序可以转让的外，不得转让。</w:t>
            </w:r>
          </w:p>
          <w:p w14:paraId="6691723C">
            <w:pPr>
              <w:pStyle w:val="8"/>
              <w:spacing w:before="19" w:line="230" w:lineRule="auto"/>
              <w:ind w:left="115" w:right="107" w:firstLine="347"/>
            </w:pPr>
            <w:r>
              <w:t>第八十条第（一）项  被许可人有下列行为之一的，行政机关应当依法给予行政处罚；构成犯罪的，依</w:t>
            </w:r>
            <w:r>
              <w:rPr>
                <w:spacing w:val="15"/>
              </w:rPr>
              <w:t xml:space="preserve"> </w:t>
            </w:r>
            <w:r>
              <w:rPr>
                <w:spacing w:val="-2"/>
              </w:rPr>
              <w:t>法追究刑事责任</w:t>
            </w:r>
            <w:r>
              <w:rPr>
                <w:spacing w:val="-16"/>
              </w:rPr>
              <w:t>：（</w:t>
            </w:r>
            <w:r>
              <w:rPr>
                <w:spacing w:val="-2"/>
              </w:rPr>
              <w:t>一）涂改、倒卖、出租、出借行政许可证件，或者以其他形式非</w:t>
            </w:r>
            <w:r>
              <w:rPr>
                <w:spacing w:val="-3"/>
              </w:rPr>
              <w:t>法转让行政许可的；</w:t>
            </w:r>
          </w:p>
          <w:p w14:paraId="0D0A2101">
            <w:pPr>
              <w:pStyle w:val="8"/>
              <w:spacing w:before="19" w:line="219" w:lineRule="auto"/>
              <w:ind w:left="469"/>
            </w:pPr>
            <w:r>
              <w:rPr>
                <w:b/>
                <w:bCs/>
                <w:spacing w:val="-4"/>
              </w:rPr>
              <w:t>2.《国内水路运输管理条例》</w:t>
            </w:r>
          </w:p>
          <w:p w14:paraId="28203A31">
            <w:pPr>
              <w:pStyle w:val="8"/>
              <w:spacing w:before="17" w:line="235" w:lineRule="auto"/>
              <w:ind w:left="115" w:right="100" w:firstLine="359"/>
              <w:jc w:val="both"/>
            </w:pPr>
            <w:r>
              <w:t>第三十七条第一款  出租、出借、倒卖本条例规定的行政许可证件或者以其他方式非法转让本条例规定</w:t>
            </w:r>
            <w:r>
              <w:rPr>
                <w:spacing w:val="1"/>
              </w:rPr>
              <w:t xml:space="preserve"> </w:t>
            </w:r>
            <w:r>
              <w:rPr>
                <w:spacing w:val="-3"/>
              </w:rPr>
              <w:t>的行政许可的，由负责水路运输管理的部门责令改正，没收违法所得，并处违法所得 1 倍以上</w:t>
            </w:r>
            <w:r>
              <w:rPr>
                <w:spacing w:val="-17"/>
              </w:rPr>
              <w:t xml:space="preserve"> </w:t>
            </w:r>
            <w:r>
              <w:rPr>
                <w:spacing w:val="-3"/>
              </w:rPr>
              <w:t xml:space="preserve">5 </w:t>
            </w:r>
            <w:r>
              <w:rPr>
                <w:spacing w:val="-4"/>
              </w:rPr>
              <w:t>倍以下的罚</w:t>
            </w:r>
            <w:r>
              <w:t xml:space="preserve"> </w:t>
            </w:r>
            <w:r>
              <w:rPr>
                <w:spacing w:val="-6"/>
              </w:rPr>
              <w:t>款；没有违法所得或者违法所得不足 3 万元的，处 3 万</w:t>
            </w:r>
            <w:r>
              <w:rPr>
                <w:spacing w:val="-7"/>
              </w:rPr>
              <w:t>元以上 15 万元以下的罚款；情节严重的，由原许可机</w:t>
            </w:r>
            <w:r>
              <w:t xml:space="preserve"> </w:t>
            </w:r>
            <w:r>
              <w:rPr>
                <w:spacing w:val="-8"/>
              </w:rPr>
              <w:t>关吊销相应的许可证件。</w:t>
            </w:r>
          </w:p>
        </w:tc>
        <w:tc>
          <w:tcPr>
            <w:tcW w:w="1029" w:type="dxa"/>
            <w:vAlign w:val="top"/>
          </w:tcPr>
          <w:p w14:paraId="460CC05B">
            <w:pPr>
              <w:spacing w:line="283" w:lineRule="auto"/>
              <w:rPr>
                <w:rFonts w:ascii="Arial"/>
                <w:sz w:val="21"/>
              </w:rPr>
            </w:pPr>
          </w:p>
          <w:p w14:paraId="5F168C97">
            <w:pPr>
              <w:spacing w:line="283" w:lineRule="auto"/>
              <w:rPr>
                <w:rFonts w:ascii="Arial"/>
                <w:sz w:val="21"/>
              </w:rPr>
            </w:pPr>
          </w:p>
          <w:p w14:paraId="6150A7A5">
            <w:pPr>
              <w:spacing w:line="283" w:lineRule="auto"/>
              <w:rPr>
                <w:rFonts w:ascii="Arial"/>
                <w:sz w:val="21"/>
              </w:rPr>
            </w:pPr>
          </w:p>
          <w:p w14:paraId="060DF55D">
            <w:pPr>
              <w:spacing w:line="283" w:lineRule="auto"/>
              <w:rPr>
                <w:rFonts w:ascii="Arial"/>
                <w:sz w:val="21"/>
              </w:rPr>
            </w:pPr>
          </w:p>
          <w:p w14:paraId="73E5AB09">
            <w:pPr>
              <w:spacing w:line="283" w:lineRule="auto"/>
              <w:rPr>
                <w:rFonts w:ascii="Arial"/>
                <w:sz w:val="21"/>
              </w:rPr>
            </w:pPr>
          </w:p>
          <w:p w14:paraId="53A8032F">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0FDAA2BE">
            <w:pPr>
              <w:spacing w:line="283" w:lineRule="auto"/>
              <w:rPr>
                <w:rFonts w:ascii="Arial"/>
                <w:sz w:val="21"/>
              </w:rPr>
            </w:pPr>
          </w:p>
          <w:p w14:paraId="5FD022B2">
            <w:pPr>
              <w:spacing w:line="283" w:lineRule="auto"/>
              <w:rPr>
                <w:rFonts w:ascii="Arial"/>
                <w:sz w:val="21"/>
              </w:rPr>
            </w:pPr>
          </w:p>
          <w:p w14:paraId="5903CC4B">
            <w:pPr>
              <w:spacing w:line="283" w:lineRule="auto"/>
              <w:rPr>
                <w:rFonts w:ascii="Arial"/>
                <w:sz w:val="21"/>
              </w:rPr>
            </w:pPr>
          </w:p>
          <w:p w14:paraId="693E2E37">
            <w:pPr>
              <w:spacing w:line="283" w:lineRule="auto"/>
              <w:rPr>
                <w:rFonts w:ascii="Arial"/>
                <w:sz w:val="21"/>
              </w:rPr>
            </w:pPr>
          </w:p>
          <w:p w14:paraId="3C19F2B0">
            <w:pPr>
              <w:spacing w:line="283" w:lineRule="auto"/>
              <w:rPr>
                <w:rFonts w:ascii="Arial"/>
                <w:sz w:val="21"/>
              </w:rPr>
            </w:pPr>
          </w:p>
          <w:p w14:paraId="1D3EE944">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2FCB12D4">
            <w:pPr>
              <w:spacing w:line="297" w:lineRule="auto"/>
              <w:rPr>
                <w:rFonts w:ascii="Arial"/>
                <w:sz w:val="21"/>
              </w:rPr>
            </w:pPr>
          </w:p>
          <w:p w14:paraId="1A511BF0">
            <w:pPr>
              <w:spacing w:line="297" w:lineRule="auto"/>
              <w:rPr>
                <w:rFonts w:ascii="Arial"/>
                <w:sz w:val="21"/>
              </w:rPr>
            </w:pPr>
          </w:p>
          <w:p w14:paraId="74DB3322">
            <w:pPr>
              <w:spacing w:line="298" w:lineRule="auto"/>
              <w:rPr>
                <w:rFonts w:ascii="Arial"/>
                <w:sz w:val="21"/>
              </w:rPr>
            </w:pPr>
          </w:p>
          <w:p w14:paraId="093E3E68">
            <w:pPr>
              <w:spacing w:line="298" w:lineRule="auto"/>
              <w:rPr>
                <w:rFonts w:ascii="Arial"/>
                <w:sz w:val="21"/>
              </w:rPr>
            </w:pPr>
          </w:p>
          <w:p w14:paraId="390BB488">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7E03E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7" w:hRule="atLeast"/>
        </w:trPr>
        <w:tc>
          <w:tcPr>
            <w:tcW w:w="634" w:type="dxa"/>
            <w:vAlign w:val="top"/>
          </w:tcPr>
          <w:p w14:paraId="445B542B">
            <w:pPr>
              <w:spacing w:line="255" w:lineRule="auto"/>
              <w:rPr>
                <w:rFonts w:ascii="Arial"/>
                <w:sz w:val="21"/>
              </w:rPr>
            </w:pPr>
          </w:p>
          <w:p w14:paraId="58993DA6">
            <w:pPr>
              <w:spacing w:line="255" w:lineRule="auto"/>
              <w:rPr>
                <w:rFonts w:ascii="Arial"/>
                <w:sz w:val="21"/>
              </w:rPr>
            </w:pPr>
          </w:p>
          <w:p w14:paraId="5B494C83">
            <w:pPr>
              <w:spacing w:line="255" w:lineRule="auto"/>
              <w:rPr>
                <w:rFonts w:ascii="Arial"/>
                <w:sz w:val="21"/>
              </w:rPr>
            </w:pPr>
          </w:p>
          <w:p w14:paraId="02B3FACE">
            <w:pPr>
              <w:spacing w:line="255" w:lineRule="auto"/>
              <w:rPr>
                <w:rFonts w:ascii="Arial"/>
                <w:sz w:val="21"/>
              </w:rPr>
            </w:pPr>
          </w:p>
          <w:p w14:paraId="3D4A7A30">
            <w:pPr>
              <w:spacing w:line="255" w:lineRule="auto"/>
              <w:rPr>
                <w:rFonts w:ascii="Arial"/>
                <w:sz w:val="21"/>
              </w:rPr>
            </w:pPr>
          </w:p>
          <w:p w14:paraId="21066BBC">
            <w:pPr>
              <w:pStyle w:val="8"/>
              <w:spacing w:before="58" w:line="183" w:lineRule="auto"/>
              <w:ind w:left="277"/>
            </w:pPr>
            <w:r>
              <w:t>8</w:t>
            </w:r>
          </w:p>
        </w:tc>
        <w:tc>
          <w:tcPr>
            <w:tcW w:w="1121" w:type="dxa"/>
            <w:vAlign w:val="top"/>
          </w:tcPr>
          <w:p w14:paraId="26A71449">
            <w:pPr>
              <w:pStyle w:val="8"/>
              <w:spacing w:before="100" w:line="246" w:lineRule="auto"/>
              <w:ind w:left="114" w:right="110"/>
              <w:jc w:val="both"/>
            </w:pPr>
            <w:r>
              <w:rPr>
                <w:spacing w:val="-2"/>
              </w:rPr>
              <w:t>对船舶管理</w:t>
            </w:r>
            <w:r>
              <w:t xml:space="preserve"> </w:t>
            </w:r>
            <w:r>
              <w:rPr>
                <w:spacing w:val="-2"/>
              </w:rPr>
              <w:t>业务经营者</w:t>
            </w:r>
            <w:r>
              <w:t xml:space="preserve"> </w:t>
            </w:r>
            <w:r>
              <w:rPr>
                <w:spacing w:val="-2"/>
              </w:rPr>
              <w:t>与委托人订</w:t>
            </w:r>
            <w:r>
              <w:t xml:space="preserve"> </w:t>
            </w:r>
            <w:r>
              <w:rPr>
                <w:spacing w:val="-2"/>
              </w:rPr>
              <w:t>立虚假协议</w:t>
            </w:r>
            <w:r>
              <w:t xml:space="preserve"> </w:t>
            </w:r>
            <w:r>
              <w:rPr>
                <w:spacing w:val="-2"/>
              </w:rPr>
              <w:t>或者名义上</w:t>
            </w:r>
            <w:r>
              <w:t xml:space="preserve"> </w:t>
            </w:r>
            <w:r>
              <w:rPr>
                <w:spacing w:val="-2"/>
              </w:rPr>
              <w:t>接受委托实</w:t>
            </w:r>
            <w:r>
              <w:t xml:space="preserve"> </w:t>
            </w:r>
            <w:r>
              <w:rPr>
                <w:spacing w:val="-2"/>
              </w:rPr>
              <w:t>际不承担船</w:t>
            </w:r>
            <w:r>
              <w:t xml:space="preserve"> </w:t>
            </w:r>
            <w:r>
              <w:rPr>
                <w:spacing w:val="-2"/>
              </w:rPr>
              <w:t>舶海务、机</w:t>
            </w:r>
            <w:r>
              <w:t xml:space="preserve"> </w:t>
            </w:r>
            <w:r>
              <w:rPr>
                <w:spacing w:val="-2"/>
              </w:rPr>
              <w:t>务管理责任</w:t>
            </w:r>
            <w:r>
              <w:t xml:space="preserve"> </w:t>
            </w:r>
            <w:r>
              <w:rPr>
                <w:spacing w:val="-2"/>
              </w:rPr>
              <w:t>行为的行政</w:t>
            </w:r>
            <w:r>
              <w:t xml:space="preserve"> </w:t>
            </w:r>
            <w:r>
              <w:rPr>
                <w:spacing w:val="-4"/>
              </w:rPr>
              <w:t>处罚</w:t>
            </w:r>
          </w:p>
        </w:tc>
        <w:tc>
          <w:tcPr>
            <w:tcW w:w="1121" w:type="dxa"/>
            <w:vAlign w:val="top"/>
          </w:tcPr>
          <w:p w14:paraId="055174C9">
            <w:pPr>
              <w:spacing w:line="249" w:lineRule="auto"/>
              <w:rPr>
                <w:rFonts w:ascii="Arial"/>
                <w:sz w:val="21"/>
              </w:rPr>
            </w:pPr>
          </w:p>
          <w:p w14:paraId="567B6C2E">
            <w:pPr>
              <w:spacing w:line="249" w:lineRule="auto"/>
              <w:rPr>
                <w:rFonts w:ascii="Arial"/>
                <w:sz w:val="21"/>
              </w:rPr>
            </w:pPr>
          </w:p>
          <w:p w14:paraId="5D49F9FA">
            <w:pPr>
              <w:spacing w:line="249" w:lineRule="auto"/>
              <w:rPr>
                <w:rFonts w:ascii="Arial"/>
                <w:sz w:val="21"/>
              </w:rPr>
            </w:pPr>
          </w:p>
          <w:p w14:paraId="0BA102EB">
            <w:pPr>
              <w:spacing w:line="250" w:lineRule="auto"/>
              <w:rPr>
                <w:rFonts w:ascii="Arial"/>
                <w:sz w:val="21"/>
              </w:rPr>
            </w:pPr>
          </w:p>
          <w:p w14:paraId="7B28CC82">
            <w:pPr>
              <w:spacing w:line="250" w:lineRule="auto"/>
              <w:rPr>
                <w:rFonts w:ascii="Arial"/>
                <w:sz w:val="21"/>
              </w:rPr>
            </w:pPr>
          </w:p>
          <w:p w14:paraId="7B4F3E9D">
            <w:pPr>
              <w:pStyle w:val="8"/>
              <w:spacing w:before="58" w:line="220" w:lineRule="auto"/>
              <w:ind w:left="9"/>
            </w:pPr>
            <w:r>
              <w:rPr>
                <w:spacing w:val="-4"/>
              </w:rPr>
              <w:t>行政处罚</w:t>
            </w:r>
          </w:p>
        </w:tc>
        <w:tc>
          <w:tcPr>
            <w:tcW w:w="8692" w:type="dxa"/>
            <w:vAlign w:val="top"/>
          </w:tcPr>
          <w:p w14:paraId="06E21B81">
            <w:pPr>
              <w:pStyle w:val="8"/>
              <w:spacing w:before="29" w:line="219" w:lineRule="auto"/>
              <w:ind w:left="480"/>
            </w:pPr>
            <w:r>
              <w:rPr>
                <w:b/>
                <w:bCs/>
                <w:spacing w:val="-6"/>
              </w:rPr>
              <w:t>1.《国内水路运输管理条例》</w:t>
            </w:r>
          </w:p>
          <w:p w14:paraId="1F9D201A">
            <w:pPr>
              <w:pStyle w:val="8"/>
              <w:spacing w:before="18" w:line="230" w:lineRule="auto"/>
              <w:ind w:left="113" w:right="109" w:firstLine="361"/>
            </w:pPr>
            <w:r>
              <w:t>第二十八条第一款  船舶管理业务经营者接受委托提供船舶管理服务，应当与委托人订立书面合同，并</w:t>
            </w:r>
            <w:r>
              <w:rPr>
                <w:spacing w:val="1"/>
              </w:rPr>
              <w:t xml:space="preserve"> </w:t>
            </w:r>
            <w:r>
              <w:rPr>
                <w:spacing w:val="-3"/>
              </w:rPr>
              <w:t>将合同报所在地海事管理机构备案。</w:t>
            </w:r>
          </w:p>
          <w:p w14:paraId="24E42C6E">
            <w:pPr>
              <w:pStyle w:val="8"/>
              <w:spacing w:before="17" w:line="235" w:lineRule="auto"/>
              <w:ind w:left="115" w:right="102" w:firstLine="359"/>
              <w:jc w:val="both"/>
            </w:pPr>
            <w:r>
              <w:t>第三十七条第一款  出租、出借、倒卖本条例规定的行政许可证件或者以其他方式非法转让本条例规定</w:t>
            </w:r>
            <w:r>
              <w:rPr>
                <w:spacing w:val="1"/>
              </w:rPr>
              <w:t xml:space="preserve"> </w:t>
            </w:r>
            <w:r>
              <w:rPr>
                <w:spacing w:val="-3"/>
              </w:rPr>
              <w:t>的行政许可的，由负责水路运输管理的部门责令改正，没收违法所得，并处违法所得 1 倍以上</w:t>
            </w:r>
            <w:r>
              <w:rPr>
                <w:spacing w:val="-17"/>
              </w:rPr>
              <w:t xml:space="preserve"> </w:t>
            </w:r>
            <w:r>
              <w:rPr>
                <w:spacing w:val="-3"/>
              </w:rPr>
              <w:t xml:space="preserve">5 </w:t>
            </w:r>
            <w:r>
              <w:rPr>
                <w:spacing w:val="-4"/>
              </w:rPr>
              <w:t>倍以下的罚</w:t>
            </w:r>
            <w:r>
              <w:t xml:space="preserve"> </w:t>
            </w:r>
            <w:r>
              <w:rPr>
                <w:spacing w:val="-6"/>
              </w:rPr>
              <w:t xml:space="preserve">款；没有违法所得或者违法所得不足 3 万元的，处 </w:t>
            </w:r>
            <w:r>
              <w:rPr>
                <w:spacing w:val="-7"/>
              </w:rPr>
              <w:t>3 万元以上 15 万元以下的罚款；情节严重的，由原许可机</w:t>
            </w:r>
            <w:r>
              <w:t xml:space="preserve"> </w:t>
            </w:r>
            <w:r>
              <w:rPr>
                <w:spacing w:val="-8"/>
              </w:rPr>
              <w:t>关吊销相应的许可证件。</w:t>
            </w:r>
          </w:p>
          <w:p w14:paraId="01F3EE38">
            <w:pPr>
              <w:pStyle w:val="8"/>
              <w:spacing w:before="18" w:line="219" w:lineRule="auto"/>
              <w:ind w:left="469"/>
            </w:pPr>
            <w:r>
              <w:rPr>
                <w:b/>
                <w:bCs/>
                <w:spacing w:val="-4"/>
              </w:rPr>
              <w:t>2.《国内水路运输辅助业管理规定》（交通运输部令2014年第3号）</w:t>
            </w:r>
          </w:p>
          <w:p w14:paraId="6B7F72E4">
            <w:pPr>
              <w:pStyle w:val="8"/>
              <w:spacing w:before="20" w:line="229" w:lineRule="auto"/>
              <w:ind w:left="115" w:right="109" w:firstLine="359"/>
            </w:pPr>
            <w:r>
              <w:t>第十六条  船舶管理业务经营者接受委托提供船舶管理服务，应当与委托人订立书面协议，载明委托双</w:t>
            </w:r>
            <w:r>
              <w:rPr>
                <w:spacing w:val="1"/>
              </w:rPr>
              <w:t xml:space="preserve"> </w:t>
            </w:r>
            <w:r>
              <w:rPr>
                <w:spacing w:val="-3"/>
              </w:rPr>
              <w:t>方当事人的权利义务。</w:t>
            </w:r>
          </w:p>
          <w:p w14:paraId="0CF870C0">
            <w:pPr>
              <w:pStyle w:val="8"/>
              <w:spacing w:before="21" w:line="222" w:lineRule="auto"/>
              <w:ind w:left="135" w:right="109" w:firstLine="339"/>
            </w:pPr>
            <w:r>
              <w:t>船舶管理业务经营者应当将船舶管理协议报其所在地和船籍港所在地县级以上人民政府水路运输管理部</w:t>
            </w:r>
            <w:r>
              <w:rPr>
                <w:spacing w:val="1"/>
              </w:rPr>
              <w:t xml:space="preserve"> </w:t>
            </w:r>
            <w:r>
              <w:rPr>
                <w:spacing w:val="-11"/>
              </w:rPr>
              <w:t>门备案。</w:t>
            </w:r>
          </w:p>
        </w:tc>
        <w:tc>
          <w:tcPr>
            <w:tcW w:w="1029" w:type="dxa"/>
            <w:vAlign w:val="top"/>
          </w:tcPr>
          <w:p w14:paraId="55FCC2EB">
            <w:pPr>
              <w:spacing w:line="280" w:lineRule="auto"/>
              <w:rPr>
                <w:rFonts w:ascii="Arial"/>
                <w:sz w:val="21"/>
              </w:rPr>
            </w:pPr>
          </w:p>
          <w:p w14:paraId="39CE5D1B">
            <w:pPr>
              <w:spacing w:line="281" w:lineRule="auto"/>
              <w:rPr>
                <w:rFonts w:ascii="Arial"/>
                <w:sz w:val="21"/>
              </w:rPr>
            </w:pPr>
          </w:p>
          <w:p w14:paraId="0660B5A3">
            <w:pPr>
              <w:spacing w:line="281" w:lineRule="auto"/>
              <w:rPr>
                <w:rFonts w:ascii="Arial"/>
                <w:sz w:val="21"/>
              </w:rPr>
            </w:pPr>
          </w:p>
          <w:p w14:paraId="54A0B01C">
            <w:pPr>
              <w:spacing w:line="281" w:lineRule="auto"/>
              <w:rPr>
                <w:rFonts w:ascii="Arial"/>
                <w:sz w:val="21"/>
              </w:rPr>
            </w:pPr>
          </w:p>
          <w:p w14:paraId="6518C3C1">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6695C8D9">
            <w:pPr>
              <w:spacing w:line="280" w:lineRule="auto"/>
              <w:rPr>
                <w:rFonts w:ascii="Arial"/>
                <w:sz w:val="21"/>
              </w:rPr>
            </w:pPr>
          </w:p>
          <w:p w14:paraId="000A8E4E">
            <w:pPr>
              <w:spacing w:line="281" w:lineRule="auto"/>
              <w:rPr>
                <w:rFonts w:ascii="Arial"/>
                <w:sz w:val="21"/>
              </w:rPr>
            </w:pPr>
          </w:p>
          <w:p w14:paraId="1C86CCA8">
            <w:pPr>
              <w:spacing w:line="281" w:lineRule="auto"/>
              <w:rPr>
                <w:rFonts w:ascii="Arial"/>
                <w:sz w:val="21"/>
              </w:rPr>
            </w:pPr>
          </w:p>
          <w:p w14:paraId="4EB9E728">
            <w:pPr>
              <w:spacing w:line="281" w:lineRule="auto"/>
              <w:rPr>
                <w:rFonts w:ascii="Arial"/>
                <w:sz w:val="21"/>
              </w:rPr>
            </w:pPr>
          </w:p>
          <w:p w14:paraId="74EA9C54">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6CC2B0C7">
            <w:pPr>
              <w:spacing w:line="298" w:lineRule="auto"/>
              <w:rPr>
                <w:rFonts w:ascii="Arial"/>
                <w:sz w:val="21"/>
              </w:rPr>
            </w:pPr>
          </w:p>
          <w:p w14:paraId="1012BD7E">
            <w:pPr>
              <w:spacing w:line="299" w:lineRule="auto"/>
              <w:rPr>
                <w:rFonts w:ascii="Arial"/>
                <w:sz w:val="21"/>
              </w:rPr>
            </w:pPr>
          </w:p>
          <w:p w14:paraId="6F0FD2B7">
            <w:pPr>
              <w:spacing w:line="299" w:lineRule="auto"/>
              <w:rPr>
                <w:rFonts w:ascii="Arial"/>
                <w:sz w:val="21"/>
              </w:rPr>
            </w:pPr>
          </w:p>
          <w:p w14:paraId="0D9CF856">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3003EE12">
      <w:pPr>
        <w:pStyle w:val="2"/>
      </w:pPr>
    </w:p>
    <w:p w14:paraId="2C833F5F">
      <w:pPr>
        <w:sectPr>
          <w:footerReference r:id="rId219" w:type="default"/>
          <w:pgSz w:w="16840" w:h="11910"/>
          <w:pgMar w:top="1012" w:right="888" w:bottom="966" w:left="887" w:header="0" w:footer="768" w:gutter="0"/>
          <w:cols w:space="720" w:num="1"/>
        </w:sectPr>
      </w:pPr>
    </w:p>
    <w:p w14:paraId="3292D07C">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13462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34" w:type="dxa"/>
            <w:vMerge w:val="restart"/>
            <w:tcBorders>
              <w:bottom w:val="nil"/>
            </w:tcBorders>
            <w:vAlign w:val="top"/>
          </w:tcPr>
          <w:p w14:paraId="553BDDCB">
            <w:pPr>
              <w:pStyle w:val="8"/>
              <w:spacing w:before="221" w:line="221" w:lineRule="auto"/>
              <w:ind w:left="138"/>
            </w:pPr>
            <w:r>
              <w:rPr>
                <w:b/>
                <w:bCs/>
                <w:spacing w:val="-4"/>
              </w:rPr>
              <w:t>序号</w:t>
            </w:r>
          </w:p>
        </w:tc>
        <w:tc>
          <w:tcPr>
            <w:tcW w:w="1121" w:type="dxa"/>
            <w:vMerge w:val="restart"/>
            <w:tcBorders>
              <w:bottom w:val="nil"/>
            </w:tcBorders>
            <w:vAlign w:val="top"/>
          </w:tcPr>
          <w:p w14:paraId="19404D9A">
            <w:pPr>
              <w:pStyle w:val="8"/>
              <w:spacing w:before="221" w:line="220" w:lineRule="auto"/>
              <w:ind w:left="206"/>
            </w:pPr>
            <w:r>
              <w:rPr>
                <w:b/>
                <w:bCs/>
                <w:spacing w:val="-5"/>
              </w:rPr>
              <w:t>事项名称</w:t>
            </w:r>
          </w:p>
        </w:tc>
        <w:tc>
          <w:tcPr>
            <w:tcW w:w="1121" w:type="dxa"/>
            <w:vMerge w:val="restart"/>
            <w:tcBorders>
              <w:bottom w:val="nil"/>
            </w:tcBorders>
            <w:vAlign w:val="top"/>
          </w:tcPr>
          <w:p w14:paraId="56036DC2">
            <w:pPr>
              <w:pStyle w:val="8"/>
              <w:spacing w:before="222" w:line="219" w:lineRule="auto"/>
              <w:ind w:left="221"/>
            </w:pPr>
            <w:r>
              <w:rPr>
                <w:b/>
                <w:bCs/>
                <w:spacing w:val="-9"/>
              </w:rPr>
              <w:t>职权类型</w:t>
            </w:r>
          </w:p>
        </w:tc>
        <w:tc>
          <w:tcPr>
            <w:tcW w:w="8692" w:type="dxa"/>
            <w:vMerge w:val="restart"/>
            <w:tcBorders>
              <w:bottom w:val="nil"/>
            </w:tcBorders>
            <w:vAlign w:val="top"/>
          </w:tcPr>
          <w:p w14:paraId="4981231C">
            <w:pPr>
              <w:pStyle w:val="8"/>
              <w:spacing w:before="221" w:line="219" w:lineRule="auto"/>
              <w:ind w:left="3999"/>
            </w:pPr>
            <w:r>
              <w:rPr>
                <w:b/>
                <w:bCs/>
                <w:spacing w:val="-6"/>
              </w:rPr>
              <w:t>实施依据</w:t>
            </w:r>
          </w:p>
        </w:tc>
        <w:tc>
          <w:tcPr>
            <w:tcW w:w="3491" w:type="dxa"/>
            <w:gridSpan w:val="3"/>
            <w:vAlign w:val="top"/>
          </w:tcPr>
          <w:p w14:paraId="6133A9BE">
            <w:pPr>
              <w:pStyle w:val="8"/>
              <w:spacing w:before="85" w:line="220" w:lineRule="auto"/>
              <w:ind w:left="1399"/>
            </w:pPr>
            <w:r>
              <w:rPr>
                <w:b/>
                <w:bCs/>
                <w:spacing w:val="-6"/>
              </w:rPr>
              <w:t>实施主体</w:t>
            </w:r>
          </w:p>
        </w:tc>
      </w:tr>
      <w:tr w14:paraId="2D55F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5B5811B8">
            <w:pPr>
              <w:rPr>
                <w:rFonts w:ascii="Arial"/>
                <w:sz w:val="21"/>
              </w:rPr>
            </w:pPr>
          </w:p>
        </w:tc>
        <w:tc>
          <w:tcPr>
            <w:tcW w:w="1121" w:type="dxa"/>
            <w:vMerge w:val="continue"/>
            <w:tcBorders>
              <w:top w:val="nil"/>
            </w:tcBorders>
            <w:vAlign w:val="top"/>
          </w:tcPr>
          <w:p w14:paraId="295ADB76">
            <w:pPr>
              <w:rPr>
                <w:rFonts w:ascii="Arial"/>
                <w:sz w:val="21"/>
              </w:rPr>
            </w:pPr>
          </w:p>
        </w:tc>
        <w:tc>
          <w:tcPr>
            <w:tcW w:w="1121" w:type="dxa"/>
            <w:vMerge w:val="continue"/>
            <w:tcBorders>
              <w:top w:val="nil"/>
            </w:tcBorders>
            <w:vAlign w:val="top"/>
          </w:tcPr>
          <w:p w14:paraId="7E5B2614">
            <w:pPr>
              <w:rPr>
                <w:rFonts w:ascii="Arial"/>
                <w:sz w:val="21"/>
              </w:rPr>
            </w:pPr>
          </w:p>
        </w:tc>
        <w:tc>
          <w:tcPr>
            <w:tcW w:w="8692" w:type="dxa"/>
            <w:vMerge w:val="continue"/>
            <w:tcBorders>
              <w:top w:val="nil"/>
            </w:tcBorders>
            <w:vAlign w:val="top"/>
          </w:tcPr>
          <w:p w14:paraId="54D759B5">
            <w:pPr>
              <w:rPr>
                <w:rFonts w:ascii="Arial"/>
                <w:sz w:val="21"/>
              </w:rPr>
            </w:pPr>
          </w:p>
        </w:tc>
        <w:tc>
          <w:tcPr>
            <w:tcW w:w="1029" w:type="dxa"/>
            <w:vAlign w:val="top"/>
          </w:tcPr>
          <w:p w14:paraId="0E7E77DA">
            <w:pPr>
              <w:pStyle w:val="8"/>
              <w:spacing w:before="45" w:line="219" w:lineRule="auto"/>
              <w:ind w:left="172"/>
            </w:pPr>
            <w:r>
              <w:rPr>
                <w:b/>
                <w:bCs/>
                <w:spacing w:val="-6"/>
              </w:rPr>
              <w:t>责任部门</w:t>
            </w:r>
          </w:p>
        </w:tc>
        <w:tc>
          <w:tcPr>
            <w:tcW w:w="1429" w:type="dxa"/>
            <w:vAlign w:val="top"/>
          </w:tcPr>
          <w:p w14:paraId="17A8EB4A">
            <w:pPr>
              <w:pStyle w:val="8"/>
              <w:spacing w:before="45" w:line="219" w:lineRule="auto"/>
              <w:ind w:left="188"/>
            </w:pPr>
            <w:r>
              <w:rPr>
                <w:b/>
                <w:bCs/>
                <w:spacing w:val="-4"/>
              </w:rPr>
              <w:t>第一责任层级</w:t>
            </w:r>
          </w:p>
        </w:tc>
        <w:tc>
          <w:tcPr>
            <w:tcW w:w="1033" w:type="dxa"/>
            <w:vAlign w:val="top"/>
          </w:tcPr>
          <w:p w14:paraId="3D1AB01F">
            <w:pPr>
              <w:pStyle w:val="8"/>
              <w:spacing w:before="45" w:line="219" w:lineRule="auto"/>
              <w:ind w:left="163"/>
            </w:pPr>
            <w:r>
              <w:rPr>
                <w:b/>
                <w:bCs/>
                <w:spacing w:val="-5"/>
              </w:rPr>
              <w:t>承办机构</w:t>
            </w:r>
          </w:p>
        </w:tc>
      </w:tr>
      <w:tr w14:paraId="7168F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34" w:type="dxa"/>
            <w:vAlign w:val="top"/>
          </w:tcPr>
          <w:p w14:paraId="57CE87A9">
            <w:pPr>
              <w:rPr>
                <w:rFonts w:ascii="Arial"/>
                <w:sz w:val="21"/>
              </w:rPr>
            </w:pPr>
          </w:p>
        </w:tc>
        <w:tc>
          <w:tcPr>
            <w:tcW w:w="1121" w:type="dxa"/>
            <w:vAlign w:val="top"/>
          </w:tcPr>
          <w:p w14:paraId="219BD45F">
            <w:pPr>
              <w:rPr>
                <w:rFonts w:ascii="Arial"/>
                <w:sz w:val="21"/>
              </w:rPr>
            </w:pPr>
          </w:p>
        </w:tc>
        <w:tc>
          <w:tcPr>
            <w:tcW w:w="1121" w:type="dxa"/>
            <w:vAlign w:val="top"/>
          </w:tcPr>
          <w:p w14:paraId="5C235A25">
            <w:pPr>
              <w:rPr>
                <w:rFonts w:ascii="Arial"/>
                <w:sz w:val="21"/>
              </w:rPr>
            </w:pPr>
          </w:p>
        </w:tc>
        <w:tc>
          <w:tcPr>
            <w:tcW w:w="8692" w:type="dxa"/>
            <w:vAlign w:val="top"/>
          </w:tcPr>
          <w:p w14:paraId="2DD4680C">
            <w:pPr>
              <w:pStyle w:val="8"/>
              <w:spacing w:before="28" w:line="228" w:lineRule="auto"/>
              <w:ind w:left="114" w:right="107" w:firstLine="347"/>
              <w:jc w:val="both"/>
            </w:pPr>
            <w:r>
              <w:t>第三十五条  船舶管理业务经营者与委托人订立虚假协议或者名义上接受委托实际不承担船舶海务、机</w:t>
            </w:r>
            <w:r>
              <w:rPr>
                <w:spacing w:val="15"/>
              </w:rPr>
              <w:t xml:space="preserve"> </w:t>
            </w:r>
            <w:r>
              <w:t>务管理责任的，由经营者所在地县级以上人民政府水路运输管理部门责令改正，并按《国内水路运输管理条</w:t>
            </w:r>
            <w:r>
              <w:rPr>
                <w:spacing w:val="3"/>
              </w:rPr>
              <w:t xml:space="preserve"> </w:t>
            </w:r>
            <w:r>
              <w:rPr>
                <w:spacing w:val="-2"/>
              </w:rPr>
              <w:t>例》第三十七条关于非法转让船舶管理业务经营资格的有关规定</w:t>
            </w:r>
            <w:r>
              <w:rPr>
                <w:spacing w:val="-3"/>
              </w:rPr>
              <w:t>进行处罚。</w:t>
            </w:r>
          </w:p>
        </w:tc>
        <w:tc>
          <w:tcPr>
            <w:tcW w:w="1029" w:type="dxa"/>
            <w:vAlign w:val="top"/>
          </w:tcPr>
          <w:p w14:paraId="525F8BA6">
            <w:pPr>
              <w:rPr>
                <w:rFonts w:ascii="Arial"/>
                <w:sz w:val="21"/>
              </w:rPr>
            </w:pPr>
          </w:p>
        </w:tc>
        <w:tc>
          <w:tcPr>
            <w:tcW w:w="1429" w:type="dxa"/>
            <w:vAlign w:val="top"/>
          </w:tcPr>
          <w:p w14:paraId="10E401DB">
            <w:pPr>
              <w:rPr>
                <w:rFonts w:ascii="Arial"/>
                <w:sz w:val="21"/>
              </w:rPr>
            </w:pPr>
          </w:p>
        </w:tc>
        <w:tc>
          <w:tcPr>
            <w:tcW w:w="1033" w:type="dxa"/>
            <w:vAlign w:val="top"/>
          </w:tcPr>
          <w:p w14:paraId="5573BC55">
            <w:pPr>
              <w:rPr>
                <w:rFonts w:ascii="Arial"/>
                <w:sz w:val="21"/>
              </w:rPr>
            </w:pPr>
          </w:p>
        </w:tc>
      </w:tr>
      <w:tr w14:paraId="53AC4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8" w:hRule="atLeast"/>
        </w:trPr>
        <w:tc>
          <w:tcPr>
            <w:tcW w:w="634" w:type="dxa"/>
            <w:vAlign w:val="top"/>
          </w:tcPr>
          <w:p w14:paraId="41DF6656">
            <w:pPr>
              <w:spacing w:line="278" w:lineRule="auto"/>
              <w:rPr>
                <w:rFonts w:ascii="Arial"/>
                <w:sz w:val="21"/>
              </w:rPr>
            </w:pPr>
          </w:p>
          <w:p w14:paraId="0D30B09E">
            <w:pPr>
              <w:spacing w:line="278" w:lineRule="auto"/>
              <w:rPr>
                <w:rFonts w:ascii="Arial"/>
                <w:sz w:val="21"/>
              </w:rPr>
            </w:pPr>
          </w:p>
          <w:p w14:paraId="21F197E4">
            <w:pPr>
              <w:spacing w:line="278" w:lineRule="auto"/>
              <w:rPr>
                <w:rFonts w:ascii="Arial"/>
                <w:sz w:val="21"/>
              </w:rPr>
            </w:pPr>
          </w:p>
          <w:p w14:paraId="0B6401D7">
            <w:pPr>
              <w:spacing w:line="278" w:lineRule="auto"/>
              <w:rPr>
                <w:rFonts w:ascii="Arial"/>
                <w:sz w:val="21"/>
              </w:rPr>
            </w:pPr>
          </w:p>
          <w:p w14:paraId="60D97A66">
            <w:pPr>
              <w:spacing w:line="278" w:lineRule="auto"/>
              <w:rPr>
                <w:rFonts w:ascii="Arial"/>
                <w:sz w:val="21"/>
              </w:rPr>
            </w:pPr>
          </w:p>
          <w:p w14:paraId="3A590A9C">
            <w:pPr>
              <w:pStyle w:val="8"/>
              <w:spacing w:before="59" w:line="183" w:lineRule="auto"/>
              <w:ind w:left="277"/>
            </w:pPr>
            <w:r>
              <w:t>9</w:t>
            </w:r>
          </w:p>
        </w:tc>
        <w:tc>
          <w:tcPr>
            <w:tcW w:w="1121" w:type="dxa"/>
            <w:vAlign w:val="top"/>
          </w:tcPr>
          <w:p w14:paraId="378176C0">
            <w:pPr>
              <w:spacing w:line="258" w:lineRule="auto"/>
              <w:rPr>
                <w:rFonts w:ascii="Arial"/>
                <w:sz w:val="21"/>
              </w:rPr>
            </w:pPr>
          </w:p>
          <w:p w14:paraId="12B99EF1">
            <w:pPr>
              <w:spacing w:line="258" w:lineRule="auto"/>
              <w:rPr>
                <w:rFonts w:ascii="Arial"/>
                <w:sz w:val="21"/>
              </w:rPr>
            </w:pPr>
          </w:p>
          <w:p w14:paraId="43F27A04">
            <w:pPr>
              <w:pStyle w:val="8"/>
              <w:spacing w:before="58" w:line="245" w:lineRule="auto"/>
              <w:ind w:left="114" w:right="95"/>
              <w:jc w:val="both"/>
            </w:pPr>
            <w:r>
              <w:rPr>
                <w:spacing w:val="1"/>
              </w:rPr>
              <w:t>对伪造、变</w:t>
            </w:r>
            <w:r>
              <w:t xml:space="preserve"> </w:t>
            </w:r>
            <w:r>
              <w:rPr>
                <w:spacing w:val="-12"/>
              </w:rPr>
              <w:t>造</w:t>
            </w:r>
            <w:r>
              <w:rPr>
                <w:spacing w:val="-15"/>
              </w:rPr>
              <w:t xml:space="preserve"> </w:t>
            </w:r>
            <w:r>
              <w:rPr>
                <w:spacing w:val="-12"/>
              </w:rPr>
              <w:t>、</w:t>
            </w:r>
            <w:r>
              <w:rPr>
                <w:spacing w:val="-28"/>
              </w:rPr>
              <w:t xml:space="preserve"> </w:t>
            </w:r>
            <w:r>
              <w:rPr>
                <w:spacing w:val="-12"/>
              </w:rPr>
              <w:t>涂 改</w:t>
            </w:r>
            <w:r>
              <w:t xml:space="preserve"> </w:t>
            </w:r>
            <w:r>
              <w:rPr>
                <w:spacing w:val="-2"/>
              </w:rPr>
              <w:t>《国内水路</w:t>
            </w:r>
            <w:r>
              <w:t xml:space="preserve"> </w:t>
            </w:r>
            <w:r>
              <w:rPr>
                <w:spacing w:val="-2"/>
              </w:rPr>
              <w:t>运输管理条</w:t>
            </w:r>
            <w:r>
              <w:t xml:space="preserve"> </w:t>
            </w:r>
            <w:r>
              <w:rPr>
                <w:spacing w:val="-2"/>
              </w:rPr>
              <w:t>例》规定的</w:t>
            </w:r>
            <w:r>
              <w:t xml:space="preserve"> </w:t>
            </w:r>
            <w:r>
              <w:rPr>
                <w:spacing w:val="-2"/>
              </w:rPr>
              <w:t>行政许可证</w:t>
            </w:r>
            <w:r>
              <w:t xml:space="preserve"> </w:t>
            </w:r>
            <w:r>
              <w:rPr>
                <w:spacing w:val="-2"/>
              </w:rPr>
              <w:t>件行为的行</w:t>
            </w:r>
            <w:r>
              <w:t xml:space="preserve"> </w:t>
            </w:r>
            <w:r>
              <w:rPr>
                <w:spacing w:val="-3"/>
              </w:rPr>
              <w:t>政处罚</w:t>
            </w:r>
          </w:p>
        </w:tc>
        <w:tc>
          <w:tcPr>
            <w:tcW w:w="1121" w:type="dxa"/>
            <w:vAlign w:val="top"/>
          </w:tcPr>
          <w:p w14:paraId="36F8DD8E">
            <w:pPr>
              <w:spacing w:line="272" w:lineRule="auto"/>
              <w:rPr>
                <w:rFonts w:ascii="Arial"/>
                <w:sz w:val="21"/>
              </w:rPr>
            </w:pPr>
          </w:p>
          <w:p w14:paraId="5DD7545B">
            <w:pPr>
              <w:spacing w:line="272" w:lineRule="auto"/>
              <w:rPr>
                <w:rFonts w:ascii="Arial"/>
                <w:sz w:val="21"/>
              </w:rPr>
            </w:pPr>
          </w:p>
          <w:p w14:paraId="33AB3DD3">
            <w:pPr>
              <w:spacing w:line="272" w:lineRule="auto"/>
              <w:rPr>
                <w:rFonts w:ascii="Arial"/>
                <w:sz w:val="21"/>
              </w:rPr>
            </w:pPr>
          </w:p>
          <w:p w14:paraId="72A8D91A">
            <w:pPr>
              <w:spacing w:line="273" w:lineRule="auto"/>
              <w:rPr>
                <w:rFonts w:ascii="Arial"/>
                <w:sz w:val="21"/>
              </w:rPr>
            </w:pPr>
          </w:p>
          <w:p w14:paraId="59197F92">
            <w:pPr>
              <w:spacing w:line="273" w:lineRule="auto"/>
              <w:rPr>
                <w:rFonts w:ascii="Arial"/>
                <w:sz w:val="21"/>
              </w:rPr>
            </w:pPr>
          </w:p>
          <w:p w14:paraId="3DEA5CE6">
            <w:pPr>
              <w:pStyle w:val="8"/>
              <w:spacing w:before="58" w:line="220" w:lineRule="auto"/>
              <w:ind w:left="9"/>
            </w:pPr>
            <w:r>
              <w:rPr>
                <w:spacing w:val="-4"/>
              </w:rPr>
              <w:t>行政处罚</w:t>
            </w:r>
          </w:p>
        </w:tc>
        <w:tc>
          <w:tcPr>
            <w:tcW w:w="8692" w:type="dxa"/>
            <w:vAlign w:val="top"/>
          </w:tcPr>
          <w:p w14:paraId="4CDA5433">
            <w:pPr>
              <w:pStyle w:val="8"/>
              <w:spacing w:before="114" w:line="219" w:lineRule="auto"/>
              <w:ind w:left="480"/>
            </w:pPr>
            <w:r>
              <w:rPr>
                <w:b/>
                <w:bCs/>
                <w:spacing w:val="-6"/>
              </w:rPr>
              <w:t>1.《中华人民共和国行政许可法》</w:t>
            </w:r>
          </w:p>
          <w:p w14:paraId="627E22BD">
            <w:pPr>
              <w:pStyle w:val="8"/>
              <w:spacing w:before="18" w:line="229" w:lineRule="auto"/>
              <w:ind w:left="115" w:right="107" w:firstLine="347"/>
            </w:pPr>
            <w:r>
              <w:t>第八十条第（一）项  被许可人有下列行为之一的，行政机关应当依法给予行政处罚；构成犯罪的，依</w:t>
            </w:r>
            <w:r>
              <w:rPr>
                <w:spacing w:val="15"/>
              </w:rPr>
              <w:t xml:space="preserve"> </w:t>
            </w:r>
            <w:r>
              <w:rPr>
                <w:spacing w:val="-2"/>
              </w:rPr>
              <w:t>法追究刑事责任</w:t>
            </w:r>
            <w:r>
              <w:rPr>
                <w:spacing w:val="-16"/>
              </w:rPr>
              <w:t>：（</w:t>
            </w:r>
            <w:r>
              <w:rPr>
                <w:spacing w:val="-2"/>
              </w:rPr>
              <w:t>一）涂改、倒卖、出租、出借行政许可证件，或者以其他形式非</w:t>
            </w:r>
            <w:r>
              <w:rPr>
                <w:spacing w:val="-3"/>
              </w:rPr>
              <w:t>法转让行政许可的；</w:t>
            </w:r>
          </w:p>
          <w:p w14:paraId="7720CB30">
            <w:pPr>
              <w:pStyle w:val="8"/>
              <w:spacing w:before="22" w:line="219" w:lineRule="auto"/>
              <w:ind w:left="469"/>
            </w:pPr>
            <w:r>
              <w:rPr>
                <w:b/>
                <w:bCs/>
                <w:spacing w:val="-4"/>
              </w:rPr>
              <w:t>2.《国内水路运输管理条例》</w:t>
            </w:r>
          </w:p>
          <w:p w14:paraId="095A2F3F">
            <w:pPr>
              <w:pStyle w:val="8"/>
              <w:spacing w:before="18" w:line="219" w:lineRule="auto"/>
              <w:ind w:left="474"/>
            </w:pPr>
            <w:r>
              <w:rPr>
                <w:spacing w:val="-2"/>
              </w:rPr>
              <w:t>第二十七条  经营船舶管理业务，应当经设区的市级以上地方人民政府负责水路运输</w:t>
            </w:r>
            <w:r>
              <w:rPr>
                <w:spacing w:val="-3"/>
              </w:rPr>
              <w:t>管理的部门批准。</w:t>
            </w:r>
          </w:p>
          <w:p w14:paraId="3D13F93F">
            <w:pPr>
              <w:pStyle w:val="8"/>
              <w:spacing w:before="19" w:line="235" w:lineRule="auto"/>
              <w:ind w:left="114" w:right="102" w:firstLine="356"/>
            </w:pPr>
            <w:r>
              <w:rPr>
                <w:spacing w:val="-7"/>
              </w:rPr>
              <w:t>申请经营船舶管理业务，应当向前款规定的部门提交申请书和</w:t>
            </w:r>
            <w:r>
              <w:rPr>
                <w:spacing w:val="-8"/>
              </w:rPr>
              <w:t>证明申请人符合本条例第二十六条规定条件的</w:t>
            </w:r>
            <w:r>
              <w:t xml:space="preserve"> </w:t>
            </w:r>
            <w:r>
              <w:rPr>
                <w:spacing w:val="-6"/>
              </w:rPr>
              <w:t>相关材料。</w:t>
            </w:r>
          </w:p>
          <w:p w14:paraId="46890E9B">
            <w:pPr>
              <w:pStyle w:val="8"/>
              <w:spacing w:before="26"/>
              <w:ind w:left="118" w:right="102" w:firstLine="345"/>
              <w:jc w:val="both"/>
            </w:pPr>
            <w:r>
              <w:rPr>
                <w:spacing w:val="-3"/>
              </w:rPr>
              <w:t>受理申请的部门应当自受理申请之日起 30 个工作日内审查完毕，</w:t>
            </w:r>
            <w:r>
              <w:rPr>
                <w:spacing w:val="-4"/>
              </w:rPr>
              <w:t>作出准予许可或者不予许可的决定。予</w:t>
            </w:r>
            <w:r>
              <w:t xml:space="preserve"> 以许可的，发给船舶管理业务经营许可证件，并向国务院交通运输主管部门备案；不予许可的，应当</w:t>
            </w:r>
            <w:r>
              <w:rPr>
                <w:spacing w:val="-1"/>
              </w:rPr>
              <w:t>书面通</w:t>
            </w:r>
            <w:r>
              <w:t xml:space="preserve"> </w:t>
            </w:r>
            <w:r>
              <w:rPr>
                <w:spacing w:val="-2"/>
              </w:rPr>
              <w:t>知申请人并说明理由。</w:t>
            </w:r>
          </w:p>
          <w:p w14:paraId="72337EAD">
            <w:pPr>
              <w:pStyle w:val="8"/>
              <w:spacing w:before="26" w:line="235" w:lineRule="auto"/>
              <w:ind w:left="114" w:right="107" w:firstLine="352"/>
            </w:pPr>
            <w:r>
              <w:t>第三十七条第二款  伪造、变造、涂改本条例规定的行政许可证件的，由负责水路运输管理的部门没收</w:t>
            </w:r>
            <w:r>
              <w:rPr>
                <w:spacing w:val="11"/>
              </w:rPr>
              <w:t xml:space="preserve"> </w:t>
            </w:r>
            <w:r>
              <w:rPr>
                <w:spacing w:val="-3"/>
              </w:rPr>
              <w:t>伪造、变造、涂改的许可证件，处 3 万元以上 15 万元以下的罚款</w:t>
            </w:r>
            <w:r>
              <w:rPr>
                <w:spacing w:val="-4"/>
              </w:rPr>
              <w:t>；有违法所得的，没收违法所得。</w:t>
            </w:r>
          </w:p>
        </w:tc>
        <w:tc>
          <w:tcPr>
            <w:tcW w:w="1029" w:type="dxa"/>
            <w:vAlign w:val="top"/>
          </w:tcPr>
          <w:p w14:paraId="3A685219">
            <w:pPr>
              <w:spacing w:line="247" w:lineRule="auto"/>
              <w:rPr>
                <w:rFonts w:ascii="Arial"/>
                <w:sz w:val="21"/>
              </w:rPr>
            </w:pPr>
          </w:p>
          <w:p w14:paraId="3BBDB7B6">
            <w:pPr>
              <w:spacing w:line="247" w:lineRule="auto"/>
              <w:rPr>
                <w:rFonts w:ascii="Arial"/>
                <w:sz w:val="21"/>
              </w:rPr>
            </w:pPr>
          </w:p>
          <w:p w14:paraId="4933E67B">
            <w:pPr>
              <w:spacing w:line="247" w:lineRule="auto"/>
              <w:rPr>
                <w:rFonts w:ascii="Arial"/>
                <w:sz w:val="21"/>
              </w:rPr>
            </w:pPr>
          </w:p>
          <w:p w14:paraId="3AEE8064">
            <w:pPr>
              <w:spacing w:line="248" w:lineRule="auto"/>
              <w:rPr>
                <w:rFonts w:ascii="Arial"/>
                <w:sz w:val="21"/>
              </w:rPr>
            </w:pPr>
          </w:p>
          <w:p w14:paraId="6566CED3">
            <w:pPr>
              <w:spacing w:line="248" w:lineRule="auto"/>
              <w:rPr>
                <w:rFonts w:ascii="Arial"/>
                <w:sz w:val="21"/>
              </w:rPr>
            </w:pPr>
          </w:p>
          <w:p w14:paraId="02660963">
            <w:pPr>
              <w:pStyle w:val="8"/>
              <w:spacing w:before="59" w:line="233" w:lineRule="auto"/>
              <w:ind w:left="160" w:right="152" w:firstLine="2"/>
            </w:pPr>
            <w:r>
              <w:rPr>
                <w:spacing w:val="-3"/>
              </w:rPr>
              <w:t>交通运输</w:t>
            </w:r>
            <w:r>
              <w:t xml:space="preserve"> </w:t>
            </w:r>
            <w:r>
              <w:rPr>
                <w:spacing w:val="-3"/>
              </w:rPr>
              <w:t>主管部门</w:t>
            </w:r>
          </w:p>
        </w:tc>
        <w:tc>
          <w:tcPr>
            <w:tcW w:w="1429" w:type="dxa"/>
            <w:vAlign w:val="top"/>
          </w:tcPr>
          <w:p w14:paraId="23F06584">
            <w:pPr>
              <w:spacing w:line="247" w:lineRule="auto"/>
              <w:rPr>
                <w:rFonts w:ascii="Arial"/>
                <w:sz w:val="21"/>
              </w:rPr>
            </w:pPr>
          </w:p>
          <w:p w14:paraId="199F0BDA">
            <w:pPr>
              <w:spacing w:line="247" w:lineRule="auto"/>
              <w:rPr>
                <w:rFonts w:ascii="Arial"/>
                <w:sz w:val="21"/>
              </w:rPr>
            </w:pPr>
          </w:p>
          <w:p w14:paraId="230435FD">
            <w:pPr>
              <w:spacing w:line="248" w:lineRule="auto"/>
              <w:rPr>
                <w:rFonts w:ascii="Arial"/>
                <w:sz w:val="21"/>
              </w:rPr>
            </w:pPr>
          </w:p>
          <w:p w14:paraId="656526C5">
            <w:pPr>
              <w:spacing w:line="248" w:lineRule="auto"/>
              <w:rPr>
                <w:rFonts w:ascii="Arial"/>
                <w:sz w:val="21"/>
              </w:rPr>
            </w:pPr>
          </w:p>
          <w:p w14:paraId="79C1E73D">
            <w:pPr>
              <w:spacing w:line="248" w:lineRule="auto"/>
              <w:rPr>
                <w:rFonts w:ascii="Arial"/>
                <w:sz w:val="21"/>
              </w:rPr>
            </w:pPr>
          </w:p>
          <w:p w14:paraId="76F60F95">
            <w:pPr>
              <w:pStyle w:val="8"/>
              <w:spacing w:before="58" w:line="234"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18C23392">
            <w:pPr>
              <w:spacing w:line="252" w:lineRule="auto"/>
              <w:rPr>
                <w:rFonts w:ascii="Arial"/>
                <w:sz w:val="21"/>
              </w:rPr>
            </w:pPr>
          </w:p>
          <w:p w14:paraId="63D7F262">
            <w:pPr>
              <w:spacing w:line="253" w:lineRule="auto"/>
              <w:rPr>
                <w:rFonts w:ascii="Arial"/>
                <w:sz w:val="21"/>
              </w:rPr>
            </w:pPr>
          </w:p>
          <w:p w14:paraId="24460A30">
            <w:pPr>
              <w:spacing w:line="253" w:lineRule="auto"/>
              <w:rPr>
                <w:rFonts w:ascii="Arial"/>
                <w:sz w:val="21"/>
              </w:rPr>
            </w:pPr>
          </w:p>
          <w:p w14:paraId="052B4AEC">
            <w:pPr>
              <w:spacing w:line="253" w:lineRule="auto"/>
              <w:rPr>
                <w:rFonts w:ascii="Arial"/>
                <w:sz w:val="21"/>
              </w:rPr>
            </w:pPr>
          </w:p>
          <w:p w14:paraId="3F98E911">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33255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0" w:hRule="atLeast"/>
        </w:trPr>
        <w:tc>
          <w:tcPr>
            <w:tcW w:w="634" w:type="dxa"/>
            <w:vAlign w:val="top"/>
          </w:tcPr>
          <w:p w14:paraId="20595FE1">
            <w:pPr>
              <w:spacing w:line="274" w:lineRule="auto"/>
              <w:rPr>
                <w:rFonts w:ascii="Arial"/>
                <w:sz w:val="21"/>
              </w:rPr>
            </w:pPr>
          </w:p>
          <w:p w14:paraId="17B46358">
            <w:pPr>
              <w:spacing w:line="274" w:lineRule="auto"/>
              <w:rPr>
                <w:rFonts w:ascii="Arial"/>
                <w:sz w:val="21"/>
              </w:rPr>
            </w:pPr>
          </w:p>
          <w:p w14:paraId="5A204E8D">
            <w:pPr>
              <w:spacing w:line="275" w:lineRule="auto"/>
              <w:rPr>
                <w:rFonts w:ascii="Arial"/>
                <w:sz w:val="21"/>
              </w:rPr>
            </w:pPr>
          </w:p>
          <w:p w14:paraId="22B6E347">
            <w:pPr>
              <w:spacing w:line="275" w:lineRule="auto"/>
              <w:rPr>
                <w:rFonts w:ascii="Arial"/>
                <w:sz w:val="21"/>
              </w:rPr>
            </w:pPr>
          </w:p>
          <w:p w14:paraId="04E9C56C">
            <w:pPr>
              <w:pStyle w:val="8"/>
              <w:spacing w:before="59" w:line="184" w:lineRule="auto"/>
              <w:ind w:left="244"/>
            </w:pPr>
            <w:r>
              <w:rPr>
                <w:spacing w:val="-10"/>
              </w:rPr>
              <w:t>10</w:t>
            </w:r>
          </w:p>
        </w:tc>
        <w:tc>
          <w:tcPr>
            <w:tcW w:w="1121" w:type="dxa"/>
            <w:vAlign w:val="top"/>
          </w:tcPr>
          <w:p w14:paraId="33673EBA">
            <w:pPr>
              <w:pStyle w:val="8"/>
              <w:spacing w:before="39" w:line="246" w:lineRule="auto"/>
              <w:ind w:left="114" w:right="110"/>
              <w:jc w:val="both"/>
            </w:pPr>
            <w:r>
              <w:rPr>
                <w:spacing w:val="-2"/>
              </w:rPr>
              <w:t>对水路旅客</w:t>
            </w:r>
            <w:r>
              <w:t xml:space="preserve"> </w:t>
            </w:r>
            <w:r>
              <w:rPr>
                <w:spacing w:val="-2"/>
              </w:rPr>
              <w:t>运输业务经</w:t>
            </w:r>
            <w:r>
              <w:t xml:space="preserve"> </w:t>
            </w:r>
            <w:r>
              <w:rPr>
                <w:spacing w:val="-2"/>
              </w:rPr>
              <w:t>营者未为其</w:t>
            </w:r>
            <w:r>
              <w:t xml:space="preserve"> </w:t>
            </w:r>
            <w:r>
              <w:rPr>
                <w:spacing w:val="-2"/>
              </w:rPr>
              <w:t>经营的客运</w:t>
            </w:r>
            <w:r>
              <w:t xml:space="preserve"> </w:t>
            </w:r>
            <w:r>
              <w:rPr>
                <w:spacing w:val="-2"/>
              </w:rPr>
              <w:t>船舶投保承</w:t>
            </w:r>
            <w:r>
              <w:t xml:space="preserve"> </w:t>
            </w:r>
            <w:r>
              <w:rPr>
                <w:spacing w:val="-2"/>
              </w:rPr>
              <w:t>运人责任保</w:t>
            </w:r>
            <w:r>
              <w:t xml:space="preserve"> </w:t>
            </w:r>
            <w:r>
              <w:rPr>
                <w:spacing w:val="-2"/>
              </w:rPr>
              <w:t>险或者取得</w:t>
            </w:r>
            <w:r>
              <w:t xml:space="preserve"> </w:t>
            </w:r>
            <w:r>
              <w:rPr>
                <w:spacing w:val="-2"/>
              </w:rPr>
              <w:t>相应的财务</w:t>
            </w:r>
            <w:r>
              <w:t xml:space="preserve"> </w:t>
            </w:r>
            <w:r>
              <w:rPr>
                <w:spacing w:val="-2"/>
              </w:rPr>
              <w:t>担保行为的</w:t>
            </w:r>
            <w:r>
              <w:t xml:space="preserve"> </w:t>
            </w:r>
            <w:r>
              <w:rPr>
                <w:spacing w:val="-3"/>
              </w:rPr>
              <w:t>行政处罚</w:t>
            </w:r>
          </w:p>
        </w:tc>
        <w:tc>
          <w:tcPr>
            <w:tcW w:w="1121" w:type="dxa"/>
            <w:vAlign w:val="top"/>
          </w:tcPr>
          <w:p w14:paraId="1519CE10">
            <w:pPr>
              <w:spacing w:line="267" w:lineRule="auto"/>
              <w:rPr>
                <w:rFonts w:ascii="Arial"/>
                <w:sz w:val="21"/>
              </w:rPr>
            </w:pPr>
          </w:p>
          <w:p w14:paraId="6C9D9A43">
            <w:pPr>
              <w:spacing w:line="268" w:lineRule="auto"/>
              <w:rPr>
                <w:rFonts w:ascii="Arial"/>
                <w:sz w:val="21"/>
              </w:rPr>
            </w:pPr>
          </w:p>
          <w:p w14:paraId="3B2A5699">
            <w:pPr>
              <w:spacing w:line="268" w:lineRule="auto"/>
              <w:rPr>
                <w:rFonts w:ascii="Arial"/>
                <w:sz w:val="21"/>
              </w:rPr>
            </w:pPr>
          </w:p>
          <w:p w14:paraId="4F8AF97C">
            <w:pPr>
              <w:spacing w:line="268" w:lineRule="auto"/>
              <w:rPr>
                <w:rFonts w:ascii="Arial"/>
                <w:sz w:val="21"/>
              </w:rPr>
            </w:pPr>
          </w:p>
          <w:p w14:paraId="56967D65">
            <w:pPr>
              <w:pStyle w:val="8"/>
              <w:spacing w:before="59" w:line="220" w:lineRule="auto"/>
              <w:ind w:left="9"/>
            </w:pPr>
            <w:r>
              <w:rPr>
                <w:spacing w:val="-4"/>
              </w:rPr>
              <w:t>行政处罚</w:t>
            </w:r>
          </w:p>
        </w:tc>
        <w:tc>
          <w:tcPr>
            <w:tcW w:w="8692" w:type="dxa"/>
            <w:vAlign w:val="top"/>
          </w:tcPr>
          <w:p w14:paraId="762069BE">
            <w:pPr>
              <w:pStyle w:val="8"/>
              <w:spacing w:before="292" w:line="219" w:lineRule="auto"/>
              <w:ind w:left="478"/>
            </w:pPr>
            <w:r>
              <w:rPr>
                <w:b/>
                <w:bCs/>
                <w:spacing w:val="-5"/>
              </w:rPr>
              <w:t>《国内水路运输管理条例》</w:t>
            </w:r>
          </w:p>
          <w:p w14:paraId="564CC2B1">
            <w:pPr>
              <w:pStyle w:val="8"/>
              <w:spacing w:before="20" w:line="242" w:lineRule="auto"/>
              <w:ind w:left="114" w:right="107" w:firstLine="360"/>
              <w:jc w:val="both"/>
            </w:pPr>
            <w:r>
              <w:t>第十九条  水路运输经营者应当依照法律、行政法规和国务院交通运输主管部门关于水路旅客、货物运</w:t>
            </w:r>
            <w:r>
              <w:rPr>
                <w:spacing w:val="1"/>
              </w:rPr>
              <w:t xml:space="preserve"> </w:t>
            </w:r>
            <w:r>
              <w:t>输的规定、质量标准以及合同的约定，为旅客、货主提供安全、便捷、优质的服务，保证旅客、货物运输安</w:t>
            </w:r>
            <w:r>
              <w:rPr>
                <w:spacing w:val="4"/>
              </w:rPr>
              <w:t xml:space="preserve"> </w:t>
            </w:r>
            <w:r>
              <w:rPr>
                <w:spacing w:val="-4"/>
              </w:rPr>
              <w:t>全。</w:t>
            </w:r>
          </w:p>
          <w:p w14:paraId="44195958">
            <w:pPr>
              <w:pStyle w:val="8"/>
              <w:spacing w:before="18" w:line="219" w:lineRule="auto"/>
              <w:ind w:left="474"/>
            </w:pPr>
            <w:r>
              <w:rPr>
                <w:spacing w:val="-2"/>
              </w:rPr>
              <w:t>水路旅客运输业务经营者应当为其客运船舶投保承运人责任保险或者取得相应的财务担保。</w:t>
            </w:r>
          </w:p>
          <w:p w14:paraId="7EC3C6A2">
            <w:pPr>
              <w:pStyle w:val="8"/>
              <w:spacing w:before="17"/>
              <w:ind w:left="115" w:right="102" w:firstLine="352"/>
            </w:pPr>
            <w:r>
              <w:t>第三十九条  水路旅客运输业务经营者未为其经营的客运船舶投保承运人责任保险或者取得相应的财务</w:t>
            </w:r>
            <w:r>
              <w:rPr>
                <w:spacing w:val="11"/>
              </w:rPr>
              <w:t xml:space="preserve"> </w:t>
            </w:r>
            <w:r>
              <w:rPr>
                <w:spacing w:val="-1"/>
              </w:rPr>
              <w:t>担保的，由负责水路运输管理的部门责令限</w:t>
            </w:r>
            <w:r>
              <w:rPr>
                <w:spacing w:val="-2"/>
              </w:rPr>
              <w:t>期改正，处 2 万元以上 10 万元以下的罚款；逾期不改正的，由</w:t>
            </w:r>
            <w:r>
              <w:t xml:space="preserve"> </w:t>
            </w:r>
            <w:r>
              <w:rPr>
                <w:spacing w:val="-5"/>
              </w:rPr>
              <w:t>原许可机关吊销该客运船舶的船舶营运许可证件。</w:t>
            </w:r>
          </w:p>
        </w:tc>
        <w:tc>
          <w:tcPr>
            <w:tcW w:w="1029" w:type="dxa"/>
            <w:vAlign w:val="top"/>
          </w:tcPr>
          <w:p w14:paraId="2ABF5713">
            <w:pPr>
              <w:spacing w:line="315" w:lineRule="auto"/>
              <w:rPr>
                <w:rFonts w:ascii="Arial"/>
                <w:sz w:val="21"/>
              </w:rPr>
            </w:pPr>
          </w:p>
          <w:p w14:paraId="45B8631E">
            <w:pPr>
              <w:spacing w:line="315" w:lineRule="auto"/>
              <w:rPr>
                <w:rFonts w:ascii="Arial"/>
                <w:sz w:val="21"/>
              </w:rPr>
            </w:pPr>
          </w:p>
          <w:p w14:paraId="3FCE8DEA">
            <w:pPr>
              <w:spacing w:line="315" w:lineRule="auto"/>
              <w:rPr>
                <w:rFonts w:ascii="Arial"/>
                <w:sz w:val="21"/>
              </w:rPr>
            </w:pPr>
          </w:p>
          <w:p w14:paraId="3A8A0081">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39D94279">
            <w:pPr>
              <w:spacing w:line="315" w:lineRule="auto"/>
              <w:rPr>
                <w:rFonts w:ascii="Arial"/>
                <w:sz w:val="21"/>
              </w:rPr>
            </w:pPr>
          </w:p>
          <w:p w14:paraId="12305145">
            <w:pPr>
              <w:spacing w:line="315" w:lineRule="auto"/>
              <w:rPr>
                <w:rFonts w:ascii="Arial"/>
                <w:sz w:val="21"/>
              </w:rPr>
            </w:pPr>
          </w:p>
          <w:p w14:paraId="1F53B37C">
            <w:pPr>
              <w:spacing w:line="315" w:lineRule="auto"/>
              <w:rPr>
                <w:rFonts w:ascii="Arial"/>
                <w:sz w:val="21"/>
              </w:rPr>
            </w:pPr>
          </w:p>
          <w:p w14:paraId="1E0E853F">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278DB293">
            <w:pPr>
              <w:rPr>
                <w:rFonts w:ascii="Arial"/>
                <w:sz w:val="21"/>
              </w:rPr>
            </w:pPr>
          </w:p>
          <w:p w14:paraId="1245FADD">
            <w:pPr>
              <w:rPr>
                <w:rFonts w:ascii="Arial"/>
                <w:sz w:val="21"/>
              </w:rPr>
            </w:pPr>
          </w:p>
          <w:p w14:paraId="63105F2A">
            <w:pPr>
              <w:rPr>
                <w:rFonts w:ascii="Arial"/>
                <w:sz w:val="21"/>
              </w:rPr>
            </w:pPr>
          </w:p>
          <w:p w14:paraId="6F753118">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4BB19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2" w:hRule="atLeast"/>
        </w:trPr>
        <w:tc>
          <w:tcPr>
            <w:tcW w:w="634" w:type="dxa"/>
            <w:vAlign w:val="top"/>
          </w:tcPr>
          <w:p w14:paraId="2998A763">
            <w:pPr>
              <w:spacing w:line="290" w:lineRule="auto"/>
              <w:rPr>
                <w:rFonts w:ascii="Arial"/>
                <w:sz w:val="21"/>
              </w:rPr>
            </w:pPr>
          </w:p>
          <w:p w14:paraId="469339B8">
            <w:pPr>
              <w:spacing w:line="291" w:lineRule="auto"/>
              <w:rPr>
                <w:rFonts w:ascii="Arial"/>
                <w:sz w:val="21"/>
              </w:rPr>
            </w:pPr>
          </w:p>
          <w:p w14:paraId="266DA9AA">
            <w:pPr>
              <w:spacing w:line="291" w:lineRule="auto"/>
              <w:rPr>
                <w:rFonts w:ascii="Arial"/>
                <w:sz w:val="21"/>
              </w:rPr>
            </w:pPr>
          </w:p>
          <w:p w14:paraId="69265B5C">
            <w:pPr>
              <w:spacing w:line="291" w:lineRule="auto"/>
              <w:rPr>
                <w:rFonts w:ascii="Arial"/>
                <w:sz w:val="21"/>
              </w:rPr>
            </w:pPr>
          </w:p>
          <w:p w14:paraId="49711C13">
            <w:pPr>
              <w:pStyle w:val="8"/>
              <w:spacing w:before="58" w:line="184" w:lineRule="auto"/>
              <w:ind w:left="244"/>
            </w:pPr>
            <w:r>
              <w:rPr>
                <w:spacing w:val="-10"/>
              </w:rPr>
              <w:t>11</w:t>
            </w:r>
          </w:p>
        </w:tc>
        <w:tc>
          <w:tcPr>
            <w:tcW w:w="1121" w:type="dxa"/>
            <w:vAlign w:val="top"/>
          </w:tcPr>
          <w:p w14:paraId="2C6A70CA">
            <w:pPr>
              <w:pStyle w:val="8"/>
              <w:spacing w:before="104" w:line="246" w:lineRule="auto"/>
              <w:ind w:left="114" w:right="110"/>
            </w:pPr>
            <w:r>
              <w:rPr>
                <w:spacing w:val="-2"/>
              </w:rPr>
              <w:t>对班轮运输</w:t>
            </w:r>
            <w:r>
              <w:t xml:space="preserve"> </w:t>
            </w:r>
            <w:r>
              <w:rPr>
                <w:spacing w:val="-2"/>
              </w:rPr>
              <w:t>业务经营者</w:t>
            </w:r>
            <w:r>
              <w:t xml:space="preserve"> </w:t>
            </w:r>
            <w:r>
              <w:rPr>
                <w:spacing w:val="-2"/>
              </w:rPr>
              <w:t>未提前向社</w:t>
            </w:r>
            <w:r>
              <w:t xml:space="preserve"> </w:t>
            </w:r>
            <w:r>
              <w:rPr>
                <w:spacing w:val="-2"/>
              </w:rPr>
              <w:t>会公布所使</w:t>
            </w:r>
            <w:r>
              <w:t xml:space="preserve"> </w:t>
            </w:r>
            <w:r>
              <w:rPr>
                <w:spacing w:val="-12"/>
              </w:rPr>
              <w:t>用</w:t>
            </w:r>
            <w:r>
              <w:rPr>
                <w:spacing w:val="9"/>
              </w:rPr>
              <w:t xml:space="preserve">  </w:t>
            </w:r>
            <w:r>
              <w:rPr>
                <w:spacing w:val="-12"/>
              </w:rPr>
              <w:t>的</w:t>
            </w:r>
            <w:r>
              <w:rPr>
                <w:spacing w:val="4"/>
              </w:rPr>
              <w:t xml:space="preserve">  </w:t>
            </w:r>
            <w:r>
              <w:rPr>
                <w:spacing w:val="-12"/>
              </w:rPr>
              <w:t>船</w:t>
            </w:r>
            <w:r>
              <w:t xml:space="preserve"> </w:t>
            </w:r>
            <w:r>
              <w:rPr>
                <w:spacing w:val="-7"/>
              </w:rPr>
              <w:t>舶、班期、</w:t>
            </w:r>
            <w:r>
              <w:t xml:space="preserve"> </w:t>
            </w:r>
            <w:r>
              <w:rPr>
                <w:spacing w:val="-2"/>
              </w:rPr>
              <w:t>班次和运价</w:t>
            </w:r>
            <w:r>
              <w:t xml:space="preserve"> </w:t>
            </w:r>
            <w:r>
              <w:rPr>
                <w:spacing w:val="-2"/>
              </w:rPr>
              <w:t>或者其变更</w:t>
            </w:r>
            <w:r>
              <w:t xml:space="preserve"> </w:t>
            </w:r>
            <w:r>
              <w:rPr>
                <w:spacing w:val="-2"/>
              </w:rPr>
              <w:t>信息行为的</w:t>
            </w:r>
            <w:r>
              <w:t xml:space="preserve"> </w:t>
            </w:r>
            <w:r>
              <w:rPr>
                <w:spacing w:val="-3"/>
              </w:rPr>
              <w:t>行政处罚</w:t>
            </w:r>
          </w:p>
        </w:tc>
        <w:tc>
          <w:tcPr>
            <w:tcW w:w="1121" w:type="dxa"/>
            <w:vAlign w:val="top"/>
          </w:tcPr>
          <w:p w14:paraId="03F455C2">
            <w:pPr>
              <w:spacing w:line="250" w:lineRule="auto"/>
              <w:rPr>
                <w:rFonts w:ascii="Arial"/>
                <w:sz w:val="21"/>
              </w:rPr>
            </w:pPr>
          </w:p>
          <w:p w14:paraId="2B1423C4">
            <w:pPr>
              <w:spacing w:line="250" w:lineRule="auto"/>
              <w:rPr>
                <w:rFonts w:ascii="Arial"/>
                <w:sz w:val="21"/>
              </w:rPr>
            </w:pPr>
          </w:p>
          <w:p w14:paraId="74950AE3">
            <w:pPr>
              <w:spacing w:line="251" w:lineRule="auto"/>
              <w:rPr>
                <w:rFonts w:ascii="Arial"/>
                <w:sz w:val="21"/>
              </w:rPr>
            </w:pPr>
          </w:p>
          <w:p w14:paraId="6CA63487">
            <w:pPr>
              <w:spacing w:line="251" w:lineRule="auto"/>
              <w:rPr>
                <w:rFonts w:ascii="Arial"/>
                <w:sz w:val="21"/>
              </w:rPr>
            </w:pPr>
          </w:p>
          <w:p w14:paraId="023A41E9">
            <w:pPr>
              <w:spacing w:line="251" w:lineRule="auto"/>
              <w:rPr>
                <w:rFonts w:ascii="Arial"/>
                <w:sz w:val="21"/>
              </w:rPr>
            </w:pPr>
          </w:p>
          <w:p w14:paraId="144908F6">
            <w:pPr>
              <w:pStyle w:val="8"/>
              <w:spacing w:before="58" w:line="220" w:lineRule="auto"/>
              <w:ind w:left="9"/>
            </w:pPr>
            <w:r>
              <w:rPr>
                <w:spacing w:val="-4"/>
              </w:rPr>
              <w:t>行政处罚</w:t>
            </w:r>
          </w:p>
        </w:tc>
        <w:tc>
          <w:tcPr>
            <w:tcW w:w="8692" w:type="dxa"/>
            <w:vAlign w:val="top"/>
          </w:tcPr>
          <w:p w14:paraId="49739CA0">
            <w:pPr>
              <w:pStyle w:val="8"/>
              <w:spacing w:before="133" w:line="219" w:lineRule="auto"/>
              <w:ind w:left="478"/>
            </w:pPr>
            <w:r>
              <w:rPr>
                <w:b/>
                <w:bCs/>
                <w:spacing w:val="-5"/>
              </w:rPr>
              <w:t>《国内水路运输管理条例》</w:t>
            </w:r>
          </w:p>
          <w:p w14:paraId="6B3D6F60">
            <w:pPr>
              <w:pStyle w:val="8"/>
              <w:spacing w:before="18" w:line="235" w:lineRule="auto"/>
              <w:ind w:left="145" w:right="108" w:firstLine="321"/>
            </w:pPr>
            <w:r>
              <w:rPr>
                <w:spacing w:val="-2"/>
              </w:rPr>
              <w:t>第二十一条  旅客班轮运输业务经营者应当自取得班轮航线经营许可之日起 6</w:t>
            </w:r>
            <w:r>
              <w:rPr>
                <w:spacing w:val="-3"/>
              </w:rPr>
              <w:t>0</w:t>
            </w:r>
            <w:r>
              <w:rPr>
                <w:spacing w:val="30"/>
                <w:w w:val="101"/>
              </w:rPr>
              <w:t xml:space="preserve"> </w:t>
            </w:r>
            <w:r>
              <w:rPr>
                <w:spacing w:val="-3"/>
              </w:rPr>
              <w:t>日内开航，并在开航 15</w:t>
            </w:r>
            <w:r>
              <w:t xml:space="preserve"> </w:t>
            </w:r>
            <w:r>
              <w:rPr>
                <w:spacing w:val="-5"/>
              </w:rPr>
              <w:t>日前公布所使用的船舶、班期、班次、运价等信息。</w:t>
            </w:r>
          </w:p>
          <w:p w14:paraId="66315C55">
            <w:pPr>
              <w:pStyle w:val="8"/>
              <w:spacing w:before="27" w:line="230" w:lineRule="auto"/>
              <w:ind w:left="114" w:right="102" w:firstLine="352"/>
            </w:pPr>
            <w:r>
              <w:rPr>
                <w:spacing w:val="3"/>
              </w:rPr>
              <w:t>旅客班轮运输应当按照公布的班期、班次运行；变更班期、班次、运价的，应当在</w:t>
            </w:r>
            <w:r>
              <w:rPr>
                <w:spacing w:val="32"/>
              </w:rPr>
              <w:t xml:space="preserve"> </w:t>
            </w:r>
            <w:r>
              <w:rPr>
                <w:spacing w:val="3"/>
              </w:rPr>
              <w:t>15</w:t>
            </w:r>
            <w:r>
              <w:rPr>
                <w:spacing w:val="35"/>
              </w:rPr>
              <w:t xml:space="preserve"> </w:t>
            </w:r>
            <w:r>
              <w:rPr>
                <w:spacing w:val="3"/>
              </w:rPr>
              <w:t>日前向</w:t>
            </w:r>
            <w:r>
              <w:rPr>
                <w:spacing w:val="2"/>
              </w:rPr>
              <w:t>社会公</w:t>
            </w:r>
            <w:r>
              <w:t xml:space="preserve"> </w:t>
            </w:r>
            <w:r>
              <w:rPr>
                <w:spacing w:val="-6"/>
              </w:rPr>
              <w:t>布；停止经营部分或者全部班轮航线的，应当在 30</w:t>
            </w:r>
            <w:r>
              <w:rPr>
                <w:spacing w:val="28"/>
              </w:rPr>
              <w:t xml:space="preserve"> </w:t>
            </w:r>
            <w:r>
              <w:rPr>
                <w:spacing w:val="-6"/>
              </w:rPr>
              <w:t>日前向</w:t>
            </w:r>
            <w:r>
              <w:rPr>
                <w:spacing w:val="-7"/>
              </w:rPr>
              <w:t>社会公布并报原许可机关备案。</w:t>
            </w:r>
          </w:p>
          <w:p w14:paraId="2D392C8E">
            <w:pPr>
              <w:pStyle w:val="8"/>
              <w:spacing w:before="19" w:line="232" w:lineRule="auto"/>
              <w:ind w:left="116" w:right="104" w:firstLine="350"/>
            </w:pPr>
            <w:r>
              <w:rPr>
                <w:spacing w:val="-2"/>
              </w:rPr>
              <w:t>第二十二条  货物班轮运输业务经营者应当在班轮航线开航的 7</w:t>
            </w:r>
            <w:r>
              <w:rPr>
                <w:spacing w:val="33"/>
              </w:rPr>
              <w:t xml:space="preserve"> </w:t>
            </w:r>
            <w:r>
              <w:rPr>
                <w:spacing w:val="-2"/>
              </w:rPr>
              <w:t>日</w:t>
            </w:r>
            <w:r>
              <w:rPr>
                <w:spacing w:val="-3"/>
              </w:rPr>
              <w:t>前，公布所使用的船舶以及班期、班</w:t>
            </w:r>
            <w:r>
              <w:t xml:space="preserve"> 次和运价。货物班轮运输应当按照公布的班期、班次运行；变更班期、班次、运价或者停止经营部分或者全</w:t>
            </w:r>
            <w:r>
              <w:rPr>
                <w:spacing w:val="1"/>
              </w:rPr>
              <w:t xml:space="preserve"> </w:t>
            </w:r>
            <w:r>
              <w:rPr>
                <w:spacing w:val="-8"/>
              </w:rPr>
              <w:t>部班轮航线的，应当在</w:t>
            </w:r>
            <w:r>
              <w:rPr>
                <w:spacing w:val="-13"/>
              </w:rPr>
              <w:t xml:space="preserve"> </w:t>
            </w:r>
            <w:r>
              <w:rPr>
                <w:spacing w:val="-8"/>
              </w:rPr>
              <w:t>7</w:t>
            </w:r>
            <w:r>
              <w:rPr>
                <w:spacing w:val="31"/>
              </w:rPr>
              <w:t xml:space="preserve"> </w:t>
            </w:r>
            <w:r>
              <w:rPr>
                <w:spacing w:val="-8"/>
              </w:rPr>
              <w:t>日前向社会公布。</w:t>
            </w:r>
          </w:p>
          <w:p w14:paraId="76C8B2BC">
            <w:pPr>
              <w:pStyle w:val="8"/>
              <w:spacing w:before="22" w:line="235" w:lineRule="auto"/>
              <w:ind w:left="129" w:right="109" w:firstLine="345"/>
            </w:pPr>
            <w:r>
              <w:rPr>
                <w:spacing w:val="4"/>
              </w:rPr>
              <w:t>第四十条  班轮运输业务经营者未提前向社会公布所使用的船舶、班期、班次和运价或者其变更信息</w:t>
            </w:r>
            <w:r>
              <w:rPr>
                <w:spacing w:val="1"/>
              </w:rPr>
              <w:t xml:space="preserve"> </w:t>
            </w:r>
            <w:r>
              <w:rPr>
                <w:spacing w:val="-2"/>
              </w:rPr>
              <w:t>的，由负责水路运输管理的部门责令改正，</w:t>
            </w:r>
            <w:r>
              <w:rPr>
                <w:spacing w:val="-3"/>
              </w:rPr>
              <w:t>处 2000 元以上 2 万元以下的罚款。</w:t>
            </w:r>
          </w:p>
        </w:tc>
        <w:tc>
          <w:tcPr>
            <w:tcW w:w="1029" w:type="dxa"/>
            <w:vAlign w:val="top"/>
          </w:tcPr>
          <w:p w14:paraId="08B88334">
            <w:pPr>
              <w:spacing w:line="253" w:lineRule="auto"/>
              <w:rPr>
                <w:rFonts w:ascii="Arial"/>
                <w:sz w:val="21"/>
              </w:rPr>
            </w:pPr>
          </w:p>
          <w:p w14:paraId="25760196">
            <w:pPr>
              <w:spacing w:line="253" w:lineRule="auto"/>
              <w:rPr>
                <w:rFonts w:ascii="Arial"/>
                <w:sz w:val="21"/>
              </w:rPr>
            </w:pPr>
          </w:p>
          <w:p w14:paraId="7FC98210">
            <w:pPr>
              <w:spacing w:line="253" w:lineRule="auto"/>
              <w:rPr>
                <w:rFonts w:ascii="Arial"/>
                <w:sz w:val="21"/>
              </w:rPr>
            </w:pPr>
          </w:p>
          <w:p w14:paraId="08C12E9E">
            <w:pPr>
              <w:spacing w:line="253" w:lineRule="auto"/>
              <w:rPr>
                <w:rFonts w:ascii="Arial"/>
                <w:sz w:val="21"/>
              </w:rPr>
            </w:pPr>
          </w:p>
          <w:p w14:paraId="5E01F941">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7D9F84DB">
            <w:pPr>
              <w:spacing w:line="253" w:lineRule="auto"/>
              <w:rPr>
                <w:rFonts w:ascii="Arial"/>
                <w:sz w:val="21"/>
              </w:rPr>
            </w:pPr>
          </w:p>
          <w:p w14:paraId="10EA2A14">
            <w:pPr>
              <w:spacing w:line="253" w:lineRule="auto"/>
              <w:rPr>
                <w:rFonts w:ascii="Arial"/>
                <w:sz w:val="21"/>
              </w:rPr>
            </w:pPr>
          </w:p>
          <w:p w14:paraId="4167866A">
            <w:pPr>
              <w:spacing w:line="253" w:lineRule="auto"/>
              <w:rPr>
                <w:rFonts w:ascii="Arial"/>
                <w:sz w:val="21"/>
              </w:rPr>
            </w:pPr>
          </w:p>
          <w:p w14:paraId="3BAD6F5C">
            <w:pPr>
              <w:spacing w:line="253" w:lineRule="auto"/>
              <w:rPr>
                <w:rFonts w:ascii="Arial"/>
                <w:sz w:val="21"/>
              </w:rPr>
            </w:pPr>
          </w:p>
          <w:p w14:paraId="5CA10474">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60F4F4FF">
            <w:pPr>
              <w:spacing w:line="262" w:lineRule="auto"/>
              <w:rPr>
                <w:rFonts w:ascii="Arial"/>
                <w:sz w:val="21"/>
              </w:rPr>
            </w:pPr>
          </w:p>
          <w:p w14:paraId="28919EE2">
            <w:pPr>
              <w:spacing w:line="262" w:lineRule="auto"/>
              <w:rPr>
                <w:rFonts w:ascii="Arial"/>
                <w:sz w:val="21"/>
              </w:rPr>
            </w:pPr>
          </w:p>
          <w:p w14:paraId="248A5BEA">
            <w:pPr>
              <w:spacing w:line="263" w:lineRule="auto"/>
              <w:rPr>
                <w:rFonts w:ascii="Arial"/>
                <w:sz w:val="21"/>
              </w:rPr>
            </w:pPr>
          </w:p>
          <w:p w14:paraId="38FBD237">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36C7F45D">
      <w:pPr>
        <w:pStyle w:val="2"/>
      </w:pPr>
    </w:p>
    <w:p w14:paraId="6CBD68E0">
      <w:pPr>
        <w:sectPr>
          <w:footerReference r:id="rId220" w:type="default"/>
          <w:pgSz w:w="16840" w:h="11910"/>
          <w:pgMar w:top="1012" w:right="888" w:bottom="967" w:left="887" w:header="0" w:footer="768" w:gutter="0"/>
          <w:cols w:space="720" w:num="1"/>
        </w:sectPr>
      </w:pPr>
    </w:p>
    <w:p w14:paraId="46AE25E6">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2C292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34" w:type="dxa"/>
            <w:vMerge w:val="restart"/>
            <w:tcBorders>
              <w:bottom w:val="nil"/>
            </w:tcBorders>
            <w:vAlign w:val="top"/>
          </w:tcPr>
          <w:p w14:paraId="4BBB10DA">
            <w:pPr>
              <w:pStyle w:val="8"/>
              <w:spacing w:before="221" w:line="221" w:lineRule="auto"/>
              <w:ind w:left="138"/>
            </w:pPr>
            <w:r>
              <w:rPr>
                <w:b/>
                <w:bCs/>
                <w:spacing w:val="-4"/>
              </w:rPr>
              <w:t>序号</w:t>
            </w:r>
          </w:p>
        </w:tc>
        <w:tc>
          <w:tcPr>
            <w:tcW w:w="1121" w:type="dxa"/>
            <w:vMerge w:val="restart"/>
            <w:tcBorders>
              <w:bottom w:val="nil"/>
            </w:tcBorders>
            <w:vAlign w:val="top"/>
          </w:tcPr>
          <w:p w14:paraId="68AF8D4A">
            <w:pPr>
              <w:pStyle w:val="8"/>
              <w:spacing w:before="221" w:line="220" w:lineRule="auto"/>
              <w:ind w:left="206"/>
            </w:pPr>
            <w:r>
              <w:rPr>
                <w:b/>
                <w:bCs/>
                <w:spacing w:val="-5"/>
              </w:rPr>
              <w:t>事项名称</w:t>
            </w:r>
          </w:p>
        </w:tc>
        <w:tc>
          <w:tcPr>
            <w:tcW w:w="1121" w:type="dxa"/>
            <w:vMerge w:val="restart"/>
            <w:tcBorders>
              <w:bottom w:val="nil"/>
            </w:tcBorders>
            <w:vAlign w:val="top"/>
          </w:tcPr>
          <w:p w14:paraId="50C2D460">
            <w:pPr>
              <w:pStyle w:val="8"/>
              <w:spacing w:before="222" w:line="219" w:lineRule="auto"/>
              <w:ind w:left="221"/>
            </w:pPr>
            <w:r>
              <w:rPr>
                <w:b/>
                <w:bCs/>
                <w:spacing w:val="-9"/>
              </w:rPr>
              <w:t>职权类型</w:t>
            </w:r>
          </w:p>
        </w:tc>
        <w:tc>
          <w:tcPr>
            <w:tcW w:w="8692" w:type="dxa"/>
            <w:vMerge w:val="restart"/>
            <w:tcBorders>
              <w:bottom w:val="nil"/>
            </w:tcBorders>
            <w:vAlign w:val="top"/>
          </w:tcPr>
          <w:p w14:paraId="6FE19EA2">
            <w:pPr>
              <w:pStyle w:val="8"/>
              <w:spacing w:before="221" w:line="219" w:lineRule="auto"/>
              <w:ind w:left="3999"/>
            </w:pPr>
            <w:r>
              <w:rPr>
                <w:b/>
                <w:bCs/>
                <w:spacing w:val="-6"/>
              </w:rPr>
              <w:t>实施依据</w:t>
            </w:r>
          </w:p>
        </w:tc>
        <w:tc>
          <w:tcPr>
            <w:tcW w:w="3491" w:type="dxa"/>
            <w:gridSpan w:val="3"/>
            <w:vAlign w:val="top"/>
          </w:tcPr>
          <w:p w14:paraId="136C77BD">
            <w:pPr>
              <w:pStyle w:val="8"/>
              <w:spacing w:before="85" w:line="220" w:lineRule="auto"/>
              <w:ind w:left="1399"/>
            </w:pPr>
            <w:r>
              <w:rPr>
                <w:b/>
                <w:bCs/>
                <w:spacing w:val="-6"/>
              </w:rPr>
              <w:t>实施主体</w:t>
            </w:r>
          </w:p>
        </w:tc>
      </w:tr>
      <w:tr w14:paraId="3AA3A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3F37AE80">
            <w:pPr>
              <w:rPr>
                <w:rFonts w:ascii="Arial"/>
                <w:sz w:val="21"/>
              </w:rPr>
            </w:pPr>
          </w:p>
        </w:tc>
        <w:tc>
          <w:tcPr>
            <w:tcW w:w="1121" w:type="dxa"/>
            <w:vMerge w:val="continue"/>
            <w:tcBorders>
              <w:top w:val="nil"/>
            </w:tcBorders>
            <w:vAlign w:val="top"/>
          </w:tcPr>
          <w:p w14:paraId="56F56AED">
            <w:pPr>
              <w:rPr>
                <w:rFonts w:ascii="Arial"/>
                <w:sz w:val="21"/>
              </w:rPr>
            </w:pPr>
          </w:p>
        </w:tc>
        <w:tc>
          <w:tcPr>
            <w:tcW w:w="1121" w:type="dxa"/>
            <w:vMerge w:val="continue"/>
            <w:tcBorders>
              <w:top w:val="nil"/>
            </w:tcBorders>
            <w:vAlign w:val="top"/>
          </w:tcPr>
          <w:p w14:paraId="4BD09F5A">
            <w:pPr>
              <w:rPr>
                <w:rFonts w:ascii="Arial"/>
                <w:sz w:val="21"/>
              </w:rPr>
            </w:pPr>
          </w:p>
        </w:tc>
        <w:tc>
          <w:tcPr>
            <w:tcW w:w="8692" w:type="dxa"/>
            <w:vMerge w:val="continue"/>
            <w:tcBorders>
              <w:top w:val="nil"/>
            </w:tcBorders>
            <w:vAlign w:val="top"/>
          </w:tcPr>
          <w:p w14:paraId="1235BF56">
            <w:pPr>
              <w:rPr>
                <w:rFonts w:ascii="Arial"/>
                <w:sz w:val="21"/>
              </w:rPr>
            </w:pPr>
          </w:p>
        </w:tc>
        <w:tc>
          <w:tcPr>
            <w:tcW w:w="1029" w:type="dxa"/>
            <w:vAlign w:val="top"/>
          </w:tcPr>
          <w:p w14:paraId="4E9F86CA">
            <w:pPr>
              <w:pStyle w:val="8"/>
              <w:spacing w:before="44" w:line="219" w:lineRule="auto"/>
              <w:ind w:left="172"/>
            </w:pPr>
            <w:r>
              <w:rPr>
                <w:b/>
                <w:bCs/>
                <w:spacing w:val="-6"/>
              </w:rPr>
              <w:t>责任部门</w:t>
            </w:r>
          </w:p>
        </w:tc>
        <w:tc>
          <w:tcPr>
            <w:tcW w:w="1429" w:type="dxa"/>
            <w:vAlign w:val="top"/>
          </w:tcPr>
          <w:p w14:paraId="40F2124E">
            <w:pPr>
              <w:pStyle w:val="8"/>
              <w:spacing w:before="44" w:line="219" w:lineRule="auto"/>
              <w:ind w:left="188"/>
            </w:pPr>
            <w:r>
              <w:rPr>
                <w:b/>
                <w:bCs/>
                <w:spacing w:val="-4"/>
              </w:rPr>
              <w:t>第一责任层级</w:t>
            </w:r>
          </w:p>
        </w:tc>
        <w:tc>
          <w:tcPr>
            <w:tcW w:w="1033" w:type="dxa"/>
            <w:vAlign w:val="top"/>
          </w:tcPr>
          <w:p w14:paraId="77AD1FE4">
            <w:pPr>
              <w:pStyle w:val="8"/>
              <w:spacing w:before="44" w:line="219" w:lineRule="auto"/>
              <w:ind w:left="163"/>
            </w:pPr>
            <w:r>
              <w:rPr>
                <w:b/>
                <w:bCs/>
                <w:spacing w:val="-5"/>
              </w:rPr>
              <w:t>承办机构</w:t>
            </w:r>
          </w:p>
        </w:tc>
      </w:tr>
      <w:tr w14:paraId="7EEE4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2" w:hRule="atLeast"/>
        </w:trPr>
        <w:tc>
          <w:tcPr>
            <w:tcW w:w="634" w:type="dxa"/>
            <w:vAlign w:val="top"/>
          </w:tcPr>
          <w:p w14:paraId="2FD26445">
            <w:pPr>
              <w:spacing w:line="280" w:lineRule="auto"/>
              <w:rPr>
                <w:rFonts w:ascii="Arial"/>
                <w:sz w:val="21"/>
              </w:rPr>
            </w:pPr>
          </w:p>
          <w:p w14:paraId="0502BDD3">
            <w:pPr>
              <w:spacing w:line="280" w:lineRule="auto"/>
              <w:rPr>
                <w:rFonts w:ascii="Arial"/>
                <w:sz w:val="21"/>
              </w:rPr>
            </w:pPr>
          </w:p>
          <w:p w14:paraId="6EF45985">
            <w:pPr>
              <w:spacing w:line="281" w:lineRule="auto"/>
              <w:rPr>
                <w:rFonts w:ascii="Arial"/>
                <w:sz w:val="21"/>
              </w:rPr>
            </w:pPr>
          </w:p>
          <w:p w14:paraId="532D48B6">
            <w:pPr>
              <w:pStyle w:val="8"/>
              <w:spacing w:before="59" w:line="184" w:lineRule="auto"/>
              <w:ind w:left="244"/>
            </w:pPr>
            <w:r>
              <w:rPr>
                <w:spacing w:val="-10"/>
              </w:rPr>
              <w:t>12</w:t>
            </w:r>
          </w:p>
        </w:tc>
        <w:tc>
          <w:tcPr>
            <w:tcW w:w="1121" w:type="dxa"/>
            <w:vAlign w:val="top"/>
          </w:tcPr>
          <w:p w14:paraId="333B20ED">
            <w:pPr>
              <w:pStyle w:val="8"/>
              <w:spacing w:before="28" w:line="244" w:lineRule="auto"/>
              <w:ind w:left="114" w:right="105"/>
              <w:jc w:val="both"/>
            </w:pPr>
            <w:r>
              <w:rPr>
                <w:spacing w:val="-2"/>
              </w:rPr>
              <w:t>对旅客班轮</w:t>
            </w:r>
            <w:r>
              <w:t xml:space="preserve"> </w:t>
            </w:r>
            <w:r>
              <w:rPr>
                <w:spacing w:val="-2"/>
              </w:rPr>
              <w:t>运输业务经</w:t>
            </w:r>
            <w:r>
              <w:t xml:space="preserve"> </w:t>
            </w:r>
            <w:r>
              <w:rPr>
                <w:spacing w:val="-2"/>
              </w:rPr>
              <w:t>营者自取得</w:t>
            </w:r>
            <w:r>
              <w:t xml:space="preserve"> </w:t>
            </w:r>
            <w:r>
              <w:rPr>
                <w:spacing w:val="-2"/>
              </w:rPr>
              <w:t>班轮航线经</w:t>
            </w:r>
            <w:r>
              <w:t xml:space="preserve"> </w:t>
            </w:r>
            <w:r>
              <w:rPr>
                <w:spacing w:val="-1"/>
              </w:rPr>
              <w:t>营许可之日</w:t>
            </w:r>
            <w:r>
              <w:t xml:space="preserve"> </w:t>
            </w:r>
            <w:r>
              <w:rPr>
                <w:spacing w:val="-11"/>
              </w:rPr>
              <w:t>起</w:t>
            </w:r>
            <w:r>
              <w:rPr>
                <w:spacing w:val="12"/>
              </w:rPr>
              <w:t xml:space="preserve"> </w:t>
            </w:r>
            <w:r>
              <w:rPr>
                <w:spacing w:val="-11"/>
              </w:rPr>
              <w:t>60</w:t>
            </w:r>
            <w:r>
              <w:rPr>
                <w:spacing w:val="38"/>
              </w:rPr>
              <w:t xml:space="preserve"> </w:t>
            </w:r>
            <w:r>
              <w:rPr>
                <w:spacing w:val="-11"/>
              </w:rPr>
              <w:t>日内</w:t>
            </w:r>
            <w:r>
              <w:t xml:space="preserve"> </w:t>
            </w:r>
            <w:r>
              <w:rPr>
                <w:spacing w:val="-2"/>
              </w:rPr>
              <w:t>未开航行为</w:t>
            </w:r>
            <w:r>
              <w:t xml:space="preserve"> </w:t>
            </w:r>
            <w:r>
              <w:rPr>
                <w:spacing w:val="-4"/>
              </w:rPr>
              <w:t>的行政处罚</w:t>
            </w:r>
          </w:p>
        </w:tc>
        <w:tc>
          <w:tcPr>
            <w:tcW w:w="1121" w:type="dxa"/>
            <w:vAlign w:val="top"/>
          </w:tcPr>
          <w:p w14:paraId="4B417B3C">
            <w:pPr>
              <w:spacing w:line="350" w:lineRule="auto"/>
              <w:rPr>
                <w:rFonts w:ascii="Arial"/>
                <w:sz w:val="21"/>
              </w:rPr>
            </w:pPr>
          </w:p>
          <w:p w14:paraId="7FC2AC0F">
            <w:pPr>
              <w:spacing w:line="350" w:lineRule="auto"/>
              <w:rPr>
                <w:rFonts w:ascii="Arial"/>
                <w:sz w:val="21"/>
              </w:rPr>
            </w:pPr>
          </w:p>
          <w:p w14:paraId="6D7B70AF">
            <w:pPr>
              <w:pStyle w:val="8"/>
              <w:spacing w:before="58" w:line="220" w:lineRule="auto"/>
              <w:ind w:left="9"/>
            </w:pPr>
            <w:r>
              <w:rPr>
                <w:spacing w:val="-4"/>
              </w:rPr>
              <w:t>行政处罚</w:t>
            </w:r>
          </w:p>
        </w:tc>
        <w:tc>
          <w:tcPr>
            <w:tcW w:w="8692" w:type="dxa"/>
            <w:vAlign w:val="top"/>
          </w:tcPr>
          <w:p w14:paraId="0DEDA663">
            <w:pPr>
              <w:pStyle w:val="8"/>
              <w:spacing w:before="170" w:line="219" w:lineRule="auto"/>
              <w:ind w:left="478"/>
            </w:pPr>
            <w:r>
              <w:rPr>
                <w:b/>
                <w:bCs/>
                <w:spacing w:val="-5"/>
              </w:rPr>
              <w:t>《国内水路运输管理条例》</w:t>
            </w:r>
          </w:p>
          <w:p w14:paraId="2A9B3988">
            <w:pPr>
              <w:pStyle w:val="8"/>
              <w:spacing w:before="19" w:line="228" w:lineRule="auto"/>
              <w:ind w:left="117" w:right="102" w:firstLine="349"/>
            </w:pPr>
            <w:r>
              <w:rPr>
                <w:spacing w:val="-4"/>
              </w:rPr>
              <w:t>第二十一条  客班轮运输业务经营者应当自取得班轮航线</w:t>
            </w:r>
            <w:r>
              <w:rPr>
                <w:spacing w:val="-5"/>
              </w:rPr>
              <w:t>经营许可之日起 60</w:t>
            </w:r>
            <w:r>
              <w:rPr>
                <w:spacing w:val="26"/>
              </w:rPr>
              <w:t xml:space="preserve"> </w:t>
            </w:r>
            <w:r>
              <w:rPr>
                <w:spacing w:val="-5"/>
              </w:rPr>
              <w:t>日内开航，并在开航 15</w:t>
            </w:r>
            <w:r>
              <w:rPr>
                <w:spacing w:val="28"/>
                <w:w w:val="101"/>
              </w:rPr>
              <w:t xml:space="preserve"> </w:t>
            </w:r>
            <w:r>
              <w:rPr>
                <w:spacing w:val="-5"/>
              </w:rPr>
              <w:t>日</w:t>
            </w:r>
            <w:r>
              <w:t xml:space="preserve"> </w:t>
            </w:r>
            <w:r>
              <w:rPr>
                <w:spacing w:val="-5"/>
              </w:rPr>
              <w:t>前公布所使用的船舶、班期、班次、运价等信息。</w:t>
            </w:r>
          </w:p>
          <w:p w14:paraId="5B9A1D13">
            <w:pPr>
              <w:pStyle w:val="8"/>
              <w:spacing w:before="19" w:line="229" w:lineRule="auto"/>
              <w:ind w:left="114" w:right="102" w:firstLine="352"/>
            </w:pPr>
            <w:r>
              <w:rPr>
                <w:spacing w:val="3"/>
              </w:rPr>
              <w:t>旅客班轮运输应当按照公布的班期、班次运行；变更班期、班次、运价的，应当在</w:t>
            </w:r>
            <w:r>
              <w:rPr>
                <w:spacing w:val="32"/>
              </w:rPr>
              <w:t xml:space="preserve"> </w:t>
            </w:r>
            <w:r>
              <w:rPr>
                <w:spacing w:val="3"/>
              </w:rPr>
              <w:t>15</w:t>
            </w:r>
            <w:r>
              <w:rPr>
                <w:spacing w:val="35"/>
              </w:rPr>
              <w:t xml:space="preserve"> </w:t>
            </w:r>
            <w:r>
              <w:rPr>
                <w:spacing w:val="3"/>
              </w:rPr>
              <w:t>日前向</w:t>
            </w:r>
            <w:r>
              <w:rPr>
                <w:spacing w:val="2"/>
              </w:rPr>
              <w:t>社会公</w:t>
            </w:r>
            <w:r>
              <w:t xml:space="preserve"> </w:t>
            </w:r>
            <w:r>
              <w:rPr>
                <w:spacing w:val="-6"/>
              </w:rPr>
              <w:t>布；停止经营部分或者全部班轮航线的，应当在 30</w:t>
            </w:r>
            <w:r>
              <w:rPr>
                <w:spacing w:val="28"/>
              </w:rPr>
              <w:t xml:space="preserve"> </w:t>
            </w:r>
            <w:r>
              <w:rPr>
                <w:spacing w:val="-6"/>
              </w:rPr>
              <w:t>日前向</w:t>
            </w:r>
            <w:r>
              <w:rPr>
                <w:spacing w:val="-7"/>
              </w:rPr>
              <w:t>社会公布并报原许可机关备案。</w:t>
            </w:r>
          </w:p>
          <w:p w14:paraId="7B36EA0C">
            <w:pPr>
              <w:pStyle w:val="8"/>
              <w:spacing w:before="22" w:line="235" w:lineRule="auto"/>
              <w:ind w:left="119" w:right="97" w:firstLine="331"/>
            </w:pPr>
            <w:r>
              <w:rPr>
                <w:spacing w:val="-7"/>
              </w:rPr>
              <w:t>第四十一条</w:t>
            </w:r>
            <w:r>
              <w:rPr>
                <w:spacing w:val="82"/>
              </w:rPr>
              <w:t xml:space="preserve"> </w:t>
            </w:r>
            <w:r>
              <w:rPr>
                <w:spacing w:val="-7"/>
              </w:rPr>
              <w:t>旅客班轮运输业务经营者自取得班轮航线经营许可之日起 60</w:t>
            </w:r>
            <w:r>
              <w:rPr>
                <w:spacing w:val="26"/>
              </w:rPr>
              <w:t xml:space="preserve"> </w:t>
            </w:r>
            <w:r>
              <w:rPr>
                <w:spacing w:val="-7"/>
              </w:rPr>
              <w:t>日内</w:t>
            </w:r>
            <w:r>
              <w:rPr>
                <w:spacing w:val="-8"/>
              </w:rPr>
              <w:t>未开航的，由负责水路运输</w:t>
            </w:r>
            <w:r>
              <w:t xml:space="preserve"> </w:t>
            </w:r>
            <w:r>
              <w:rPr>
                <w:spacing w:val="-4"/>
              </w:rPr>
              <w:t>管理的部门责令改正；拒不改正的，由原许可机关撤销该项经营许可。</w:t>
            </w:r>
          </w:p>
        </w:tc>
        <w:tc>
          <w:tcPr>
            <w:tcW w:w="1029" w:type="dxa"/>
            <w:vAlign w:val="top"/>
          </w:tcPr>
          <w:p w14:paraId="5CA19D9E">
            <w:pPr>
              <w:spacing w:line="345" w:lineRule="auto"/>
              <w:rPr>
                <w:rFonts w:ascii="Arial"/>
                <w:sz w:val="21"/>
              </w:rPr>
            </w:pPr>
          </w:p>
          <w:p w14:paraId="0E253B34">
            <w:pPr>
              <w:spacing w:line="346" w:lineRule="auto"/>
              <w:rPr>
                <w:rFonts w:ascii="Arial"/>
                <w:sz w:val="21"/>
              </w:rPr>
            </w:pPr>
          </w:p>
          <w:p w14:paraId="373C5503">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244D26E1">
            <w:pPr>
              <w:spacing w:line="345" w:lineRule="auto"/>
              <w:rPr>
                <w:rFonts w:ascii="Arial"/>
                <w:sz w:val="21"/>
              </w:rPr>
            </w:pPr>
          </w:p>
          <w:p w14:paraId="0482DFB2">
            <w:pPr>
              <w:spacing w:line="346" w:lineRule="auto"/>
              <w:rPr>
                <w:rFonts w:ascii="Arial"/>
                <w:sz w:val="21"/>
              </w:rPr>
            </w:pPr>
          </w:p>
          <w:p w14:paraId="03C2D8AE">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51CD570D">
            <w:pPr>
              <w:spacing w:line="463" w:lineRule="auto"/>
              <w:rPr>
                <w:rFonts w:ascii="Arial"/>
                <w:sz w:val="21"/>
              </w:rPr>
            </w:pPr>
          </w:p>
          <w:p w14:paraId="03605F38">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04568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6" w:hRule="atLeast"/>
        </w:trPr>
        <w:tc>
          <w:tcPr>
            <w:tcW w:w="634" w:type="dxa"/>
            <w:vAlign w:val="top"/>
          </w:tcPr>
          <w:p w14:paraId="7476F106">
            <w:pPr>
              <w:spacing w:line="269" w:lineRule="auto"/>
              <w:rPr>
                <w:rFonts w:ascii="Arial"/>
                <w:sz w:val="21"/>
              </w:rPr>
            </w:pPr>
          </w:p>
          <w:p w14:paraId="335680C9">
            <w:pPr>
              <w:spacing w:line="269" w:lineRule="auto"/>
              <w:rPr>
                <w:rFonts w:ascii="Arial"/>
                <w:sz w:val="21"/>
              </w:rPr>
            </w:pPr>
          </w:p>
          <w:p w14:paraId="3D1F62F0">
            <w:pPr>
              <w:spacing w:line="270" w:lineRule="auto"/>
              <w:rPr>
                <w:rFonts w:ascii="Arial"/>
                <w:sz w:val="21"/>
              </w:rPr>
            </w:pPr>
          </w:p>
          <w:p w14:paraId="469CBF69">
            <w:pPr>
              <w:spacing w:line="270" w:lineRule="auto"/>
              <w:rPr>
                <w:rFonts w:ascii="Arial"/>
                <w:sz w:val="21"/>
              </w:rPr>
            </w:pPr>
          </w:p>
          <w:p w14:paraId="431C6D2C">
            <w:pPr>
              <w:spacing w:line="270" w:lineRule="auto"/>
              <w:rPr>
                <w:rFonts w:ascii="Arial"/>
                <w:sz w:val="21"/>
              </w:rPr>
            </w:pPr>
          </w:p>
          <w:p w14:paraId="1DD71D7F">
            <w:pPr>
              <w:spacing w:line="270" w:lineRule="auto"/>
              <w:rPr>
                <w:rFonts w:ascii="Arial"/>
                <w:sz w:val="21"/>
              </w:rPr>
            </w:pPr>
          </w:p>
          <w:p w14:paraId="3F07D689">
            <w:pPr>
              <w:spacing w:line="270" w:lineRule="auto"/>
              <w:rPr>
                <w:rFonts w:ascii="Arial"/>
                <w:sz w:val="21"/>
              </w:rPr>
            </w:pPr>
          </w:p>
          <w:p w14:paraId="54E9388B">
            <w:pPr>
              <w:spacing w:line="270" w:lineRule="auto"/>
              <w:rPr>
                <w:rFonts w:ascii="Arial"/>
                <w:sz w:val="21"/>
              </w:rPr>
            </w:pPr>
          </w:p>
          <w:p w14:paraId="15B2A97E">
            <w:pPr>
              <w:pStyle w:val="8"/>
              <w:spacing w:before="58" w:line="184" w:lineRule="auto"/>
              <w:ind w:left="244"/>
            </w:pPr>
            <w:r>
              <w:rPr>
                <w:spacing w:val="-10"/>
              </w:rPr>
              <w:t>13</w:t>
            </w:r>
          </w:p>
        </w:tc>
        <w:tc>
          <w:tcPr>
            <w:tcW w:w="1121" w:type="dxa"/>
            <w:vAlign w:val="top"/>
          </w:tcPr>
          <w:p w14:paraId="28F0CCE1">
            <w:pPr>
              <w:spacing w:line="290" w:lineRule="auto"/>
              <w:rPr>
                <w:rFonts w:ascii="Arial"/>
                <w:sz w:val="21"/>
              </w:rPr>
            </w:pPr>
          </w:p>
          <w:p w14:paraId="6EE7B61C">
            <w:pPr>
              <w:spacing w:line="291" w:lineRule="auto"/>
              <w:rPr>
                <w:rFonts w:ascii="Arial"/>
                <w:sz w:val="21"/>
              </w:rPr>
            </w:pPr>
          </w:p>
          <w:p w14:paraId="6C5AFE23">
            <w:pPr>
              <w:spacing w:line="291" w:lineRule="auto"/>
              <w:rPr>
                <w:rFonts w:ascii="Arial"/>
                <w:sz w:val="21"/>
              </w:rPr>
            </w:pPr>
          </w:p>
          <w:p w14:paraId="57FC163E">
            <w:pPr>
              <w:spacing w:line="291" w:lineRule="auto"/>
              <w:rPr>
                <w:rFonts w:ascii="Arial"/>
                <w:sz w:val="21"/>
              </w:rPr>
            </w:pPr>
          </w:p>
          <w:p w14:paraId="3BB2BD87">
            <w:pPr>
              <w:pStyle w:val="8"/>
              <w:spacing w:before="58" w:line="246" w:lineRule="auto"/>
              <w:ind w:left="114" w:right="110"/>
            </w:pPr>
            <w:r>
              <w:rPr>
                <w:spacing w:val="-2"/>
              </w:rPr>
              <w:t>对水路运输</w:t>
            </w:r>
            <w:r>
              <w:t xml:space="preserve"> </w:t>
            </w:r>
            <w:r>
              <w:rPr>
                <w:spacing w:val="-2"/>
              </w:rPr>
              <w:t>经营者或其</w:t>
            </w:r>
            <w:r>
              <w:t xml:space="preserve"> </w:t>
            </w:r>
            <w:r>
              <w:rPr>
                <w:spacing w:val="-2"/>
              </w:rPr>
              <w:t>船舶在规定</w:t>
            </w:r>
            <w:r>
              <w:t xml:space="preserve"> </w:t>
            </w:r>
            <w:r>
              <w:rPr>
                <w:spacing w:val="-9"/>
              </w:rPr>
              <w:t>期间</w:t>
            </w:r>
            <w:r>
              <w:rPr>
                <w:spacing w:val="76"/>
              </w:rPr>
              <w:t xml:space="preserve"> </w:t>
            </w:r>
            <w:r>
              <w:rPr>
                <w:spacing w:val="-9"/>
              </w:rPr>
              <w:t>内，</w:t>
            </w:r>
            <w:r>
              <w:t xml:space="preserve"> </w:t>
            </w:r>
            <w:r>
              <w:rPr>
                <w:spacing w:val="-2"/>
              </w:rPr>
              <w:t>经整改仍不</w:t>
            </w:r>
            <w:r>
              <w:t xml:space="preserve"> </w:t>
            </w:r>
            <w:r>
              <w:rPr>
                <w:spacing w:val="-2"/>
              </w:rPr>
              <w:t>符合要求的</w:t>
            </w:r>
            <w:r>
              <w:t xml:space="preserve"> </w:t>
            </w:r>
            <w:r>
              <w:rPr>
                <w:spacing w:val="-2"/>
              </w:rPr>
              <w:t>经营资质条</w:t>
            </w:r>
            <w:r>
              <w:t xml:space="preserve"> </w:t>
            </w:r>
            <w:r>
              <w:rPr>
                <w:spacing w:val="-2"/>
              </w:rPr>
              <w:t>件的行政处</w:t>
            </w:r>
            <w:r>
              <w:t xml:space="preserve"> 罚</w:t>
            </w:r>
          </w:p>
        </w:tc>
        <w:tc>
          <w:tcPr>
            <w:tcW w:w="1121" w:type="dxa"/>
            <w:vAlign w:val="top"/>
          </w:tcPr>
          <w:p w14:paraId="38588568">
            <w:pPr>
              <w:spacing w:line="266" w:lineRule="auto"/>
              <w:rPr>
                <w:rFonts w:ascii="Arial"/>
                <w:sz w:val="21"/>
              </w:rPr>
            </w:pPr>
          </w:p>
          <w:p w14:paraId="5B040D7F">
            <w:pPr>
              <w:spacing w:line="266" w:lineRule="auto"/>
              <w:rPr>
                <w:rFonts w:ascii="Arial"/>
                <w:sz w:val="21"/>
              </w:rPr>
            </w:pPr>
          </w:p>
          <w:p w14:paraId="611624C5">
            <w:pPr>
              <w:spacing w:line="266" w:lineRule="auto"/>
              <w:rPr>
                <w:rFonts w:ascii="Arial"/>
                <w:sz w:val="21"/>
              </w:rPr>
            </w:pPr>
          </w:p>
          <w:p w14:paraId="4AA1646C">
            <w:pPr>
              <w:spacing w:line="266" w:lineRule="auto"/>
              <w:rPr>
                <w:rFonts w:ascii="Arial"/>
                <w:sz w:val="21"/>
              </w:rPr>
            </w:pPr>
          </w:p>
          <w:p w14:paraId="5CBE5F28">
            <w:pPr>
              <w:spacing w:line="266" w:lineRule="auto"/>
              <w:rPr>
                <w:rFonts w:ascii="Arial"/>
                <w:sz w:val="21"/>
              </w:rPr>
            </w:pPr>
          </w:p>
          <w:p w14:paraId="1ABC8DD8">
            <w:pPr>
              <w:spacing w:line="266" w:lineRule="auto"/>
              <w:rPr>
                <w:rFonts w:ascii="Arial"/>
                <w:sz w:val="21"/>
              </w:rPr>
            </w:pPr>
          </w:p>
          <w:p w14:paraId="234A0BBA">
            <w:pPr>
              <w:spacing w:line="267" w:lineRule="auto"/>
              <w:rPr>
                <w:rFonts w:ascii="Arial"/>
                <w:sz w:val="21"/>
              </w:rPr>
            </w:pPr>
          </w:p>
          <w:p w14:paraId="59EA99E8">
            <w:pPr>
              <w:spacing w:line="267" w:lineRule="auto"/>
              <w:rPr>
                <w:rFonts w:ascii="Arial"/>
                <w:sz w:val="21"/>
              </w:rPr>
            </w:pPr>
          </w:p>
          <w:p w14:paraId="252DE832">
            <w:pPr>
              <w:pStyle w:val="8"/>
              <w:spacing w:before="59" w:line="220" w:lineRule="auto"/>
              <w:ind w:left="9"/>
            </w:pPr>
            <w:r>
              <w:rPr>
                <w:spacing w:val="-4"/>
              </w:rPr>
              <w:t>行政处罚</w:t>
            </w:r>
          </w:p>
        </w:tc>
        <w:tc>
          <w:tcPr>
            <w:tcW w:w="8692" w:type="dxa"/>
            <w:vAlign w:val="top"/>
          </w:tcPr>
          <w:p w14:paraId="5DF5937E">
            <w:pPr>
              <w:pStyle w:val="8"/>
              <w:spacing w:before="28" w:line="219" w:lineRule="auto"/>
              <w:ind w:left="480"/>
            </w:pPr>
            <w:r>
              <w:rPr>
                <w:b/>
                <w:bCs/>
                <w:spacing w:val="-5"/>
              </w:rPr>
              <w:t>1.《国内水路运输管理条例》</w:t>
            </w:r>
          </w:p>
          <w:p w14:paraId="2630F50D">
            <w:pPr>
              <w:pStyle w:val="8"/>
              <w:spacing w:before="18" w:line="235" w:lineRule="auto"/>
              <w:ind w:left="116" w:right="109" w:firstLine="358"/>
            </w:pPr>
            <w:r>
              <w:t>第八条  经营水路运输业务，应当按照国务院交通运输主管部门的规定，经国务院交通运输主管部门或</w:t>
            </w:r>
            <w:r>
              <w:rPr>
                <w:spacing w:val="1"/>
              </w:rPr>
              <w:t xml:space="preserve"> </w:t>
            </w:r>
            <w:r>
              <w:rPr>
                <w:spacing w:val="-2"/>
              </w:rPr>
              <w:t>者设区的市级以上地方人民政府负责水路运</w:t>
            </w:r>
            <w:r>
              <w:rPr>
                <w:spacing w:val="-3"/>
              </w:rPr>
              <w:t>输管理的部门批准。</w:t>
            </w:r>
          </w:p>
          <w:p w14:paraId="697859D5">
            <w:pPr>
              <w:pStyle w:val="8"/>
              <w:spacing w:before="25" w:line="237" w:lineRule="auto"/>
              <w:ind w:left="114" w:right="102" w:firstLine="356"/>
            </w:pPr>
            <w:r>
              <w:rPr>
                <w:spacing w:val="-7"/>
              </w:rPr>
              <w:t>申请经营水路运输业务，应当向前款规定的负责审批的部门提</w:t>
            </w:r>
            <w:r>
              <w:rPr>
                <w:spacing w:val="-8"/>
              </w:rPr>
              <w:t>交申请书和证明申请人符合本条例第六条或者</w:t>
            </w:r>
            <w:r>
              <w:t xml:space="preserve"> </w:t>
            </w:r>
            <w:r>
              <w:rPr>
                <w:spacing w:val="-4"/>
              </w:rPr>
              <w:t>第七条规定条件的相关材料。</w:t>
            </w:r>
          </w:p>
          <w:p w14:paraId="0DC9EA80">
            <w:pPr>
              <w:pStyle w:val="8"/>
              <w:spacing w:before="25" w:line="238" w:lineRule="auto"/>
              <w:ind w:left="114" w:right="102" w:firstLine="352"/>
            </w:pPr>
            <w:r>
              <w:rPr>
                <w:spacing w:val="-3"/>
              </w:rPr>
              <w:t>负责审批的部门应当自受理申请之日起 30 个工作日内审</w:t>
            </w:r>
            <w:r>
              <w:rPr>
                <w:spacing w:val="-4"/>
              </w:rPr>
              <w:t>查完毕，作出准予许可或者不予许可的决定。予</w:t>
            </w:r>
            <w:r>
              <w:t xml:space="preserve"> 以许可的，发给水路运输业务经营许可证件，并为申请人投入运营的船舶配发船舶营运证件；不予许可的，</w:t>
            </w:r>
            <w:r>
              <w:rPr>
                <w:spacing w:val="1"/>
              </w:rPr>
              <w:t xml:space="preserve"> </w:t>
            </w:r>
            <w:r>
              <w:rPr>
                <w:spacing w:val="-3"/>
              </w:rPr>
              <w:t>应当书面通知申请人并说明理由。</w:t>
            </w:r>
          </w:p>
          <w:p w14:paraId="5EE24E9F">
            <w:pPr>
              <w:pStyle w:val="8"/>
              <w:spacing w:before="27" w:line="235" w:lineRule="auto"/>
              <w:ind w:left="116" w:right="109" w:firstLine="357"/>
            </w:pPr>
            <w:r>
              <w:t>第四十二条  水路运输、船舶管理业务经营者取得许可后，不再具备本条例规定的许可条件的，由负责</w:t>
            </w:r>
            <w:r>
              <w:rPr>
                <w:spacing w:val="1"/>
              </w:rPr>
              <w:t xml:space="preserve"> </w:t>
            </w:r>
            <w:r>
              <w:rPr>
                <w:spacing w:val="-2"/>
              </w:rPr>
              <w:t>水路运输管理的部门责令限期整改；在规定期限内整改仍不合格的，由原许可机关撤销其经营许可。</w:t>
            </w:r>
          </w:p>
          <w:p w14:paraId="445C2C14">
            <w:pPr>
              <w:pStyle w:val="8"/>
              <w:spacing w:before="26" w:line="219" w:lineRule="auto"/>
              <w:ind w:left="469"/>
            </w:pPr>
            <w:r>
              <w:rPr>
                <w:b/>
                <w:bCs/>
                <w:spacing w:val="-3"/>
              </w:rPr>
              <w:t>2.《国内水路运输管理规定》（交通运输部令2014年第2号）</w:t>
            </w:r>
          </w:p>
          <w:p w14:paraId="0AEADB19">
            <w:pPr>
              <w:pStyle w:val="8"/>
              <w:spacing w:before="20" w:line="235" w:lineRule="auto"/>
              <w:ind w:left="120" w:right="109" w:firstLine="354"/>
            </w:pPr>
            <w:r>
              <w:t>第二十条  水路运输经营者应当保持相应的经营资质条件，按照《国内水路运输经营许可证》核定的经</w:t>
            </w:r>
            <w:r>
              <w:rPr>
                <w:spacing w:val="1"/>
              </w:rPr>
              <w:t xml:space="preserve"> </w:t>
            </w:r>
            <w:r>
              <w:rPr>
                <w:spacing w:val="-2"/>
              </w:rPr>
              <w:t>营范围从事水路运输经营活动。</w:t>
            </w:r>
          </w:p>
          <w:p w14:paraId="7AF8C568">
            <w:pPr>
              <w:pStyle w:val="8"/>
              <w:spacing w:before="27" w:line="235" w:lineRule="auto"/>
              <w:ind w:left="136" w:right="107" w:firstLine="350"/>
            </w:pPr>
            <w:r>
              <w:t>已取得省际水路运输经营资格的水路运输经营者和船舶，可凭省际水路运输经营资</w:t>
            </w:r>
            <w:r>
              <w:rPr>
                <w:spacing w:val="-1"/>
              </w:rPr>
              <w:t>格从事相应种类的省</w:t>
            </w:r>
            <w:r>
              <w:t xml:space="preserve"> </w:t>
            </w:r>
            <w:r>
              <w:rPr>
                <w:spacing w:val="-4"/>
              </w:rPr>
              <w:t>内水路运输，但旅客班轮运输除外。</w:t>
            </w:r>
          </w:p>
          <w:p w14:paraId="6F77A1BF">
            <w:pPr>
              <w:pStyle w:val="8"/>
              <w:spacing w:before="26" w:line="235" w:lineRule="auto"/>
              <w:ind w:left="116" w:right="107" w:firstLine="370"/>
            </w:pPr>
            <w:r>
              <w:t>已取得沿海水路运输经营资格的水路运输经营者和船舶，可在满足航行条件的情况</w:t>
            </w:r>
            <w:r>
              <w:rPr>
                <w:spacing w:val="-1"/>
              </w:rPr>
              <w:t>下，凭沿海水路运输</w:t>
            </w:r>
            <w:r>
              <w:t xml:space="preserve"> </w:t>
            </w:r>
            <w:r>
              <w:rPr>
                <w:spacing w:val="-3"/>
              </w:rPr>
              <w:t>经营资格从事相应种类的内河运输。</w:t>
            </w:r>
          </w:p>
          <w:p w14:paraId="5AFBCE9D">
            <w:pPr>
              <w:pStyle w:val="8"/>
              <w:spacing w:before="26" w:line="230" w:lineRule="auto"/>
              <w:ind w:left="136" w:right="154" w:firstLine="338"/>
            </w:pPr>
            <w:r>
              <w:rPr>
                <w:spacing w:val="-1"/>
              </w:rPr>
              <w:t>第四十九条  水路运输经营者或其船舶在规定期间内，经整改仍不符合本规定要求的经营资质条件的，</w:t>
            </w:r>
            <w:r>
              <w:rPr>
                <w:spacing w:val="2"/>
              </w:rPr>
              <w:t xml:space="preserve"> </w:t>
            </w:r>
            <w:r>
              <w:rPr>
                <w:spacing w:val="-2"/>
              </w:rPr>
              <w:t>由其所在地县级以上人民政府水路运输管理部门报原许可机关</w:t>
            </w:r>
            <w:r>
              <w:rPr>
                <w:spacing w:val="-3"/>
              </w:rPr>
              <w:t>撤销其经营许可或者船舶营运证件。</w:t>
            </w:r>
          </w:p>
        </w:tc>
        <w:tc>
          <w:tcPr>
            <w:tcW w:w="1029" w:type="dxa"/>
            <w:vAlign w:val="top"/>
          </w:tcPr>
          <w:p w14:paraId="424711E5">
            <w:pPr>
              <w:spacing w:line="250" w:lineRule="auto"/>
              <w:rPr>
                <w:rFonts w:ascii="Arial"/>
                <w:sz w:val="21"/>
              </w:rPr>
            </w:pPr>
          </w:p>
          <w:p w14:paraId="22CA8B99">
            <w:pPr>
              <w:spacing w:line="250" w:lineRule="auto"/>
              <w:rPr>
                <w:rFonts w:ascii="Arial"/>
                <w:sz w:val="21"/>
              </w:rPr>
            </w:pPr>
          </w:p>
          <w:p w14:paraId="408DCE44">
            <w:pPr>
              <w:spacing w:line="250" w:lineRule="auto"/>
              <w:rPr>
                <w:rFonts w:ascii="Arial"/>
                <w:sz w:val="21"/>
              </w:rPr>
            </w:pPr>
          </w:p>
          <w:p w14:paraId="50DB5D78">
            <w:pPr>
              <w:spacing w:line="250" w:lineRule="auto"/>
              <w:rPr>
                <w:rFonts w:ascii="Arial"/>
                <w:sz w:val="21"/>
              </w:rPr>
            </w:pPr>
          </w:p>
          <w:p w14:paraId="1A6492E2">
            <w:pPr>
              <w:spacing w:line="251" w:lineRule="auto"/>
              <w:rPr>
                <w:rFonts w:ascii="Arial"/>
                <w:sz w:val="21"/>
              </w:rPr>
            </w:pPr>
          </w:p>
          <w:p w14:paraId="3048FDB2">
            <w:pPr>
              <w:spacing w:line="251" w:lineRule="auto"/>
              <w:rPr>
                <w:rFonts w:ascii="Arial"/>
                <w:sz w:val="21"/>
              </w:rPr>
            </w:pPr>
          </w:p>
          <w:p w14:paraId="6D103FBE">
            <w:pPr>
              <w:spacing w:line="251" w:lineRule="auto"/>
              <w:rPr>
                <w:rFonts w:ascii="Arial"/>
                <w:sz w:val="21"/>
              </w:rPr>
            </w:pPr>
          </w:p>
          <w:p w14:paraId="29551AC9">
            <w:pPr>
              <w:spacing w:line="251" w:lineRule="auto"/>
              <w:rPr>
                <w:rFonts w:ascii="Arial"/>
                <w:sz w:val="21"/>
              </w:rPr>
            </w:pPr>
          </w:p>
          <w:p w14:paraId="1D6A5314">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06041B89">
            <w:pPr>
              <w:spacing w:line="250" w:lineRule="auto"/>
              <w:rPr>
                <w:rFonts w:ascii="Arial"/>
                <w:sz w:val="21"/>
              </w:rPr>
            </w:pPr>
          </w:p>
          <w:p w14:paraId="219BFC6B">
            <w:pPr>
              <w:spacing w:line="250" w:lineRule="auto"/>
              <w:rPr>
                <w:rFonts w:ascii="Arial"/>
                <w:sz w:val="21"/>
              </w:rPr>
            </w:pPr>
          </w:p>
          <w:p w14:paraId="19B996C7">
            <w:pPr>
              <w:spacing w:line="250" w:lineRule="auto"/>
              <w:rPr>
                <w:rFonts w:ascii="Arial"/>
                <w:sz w:val="21"/>
              </w:rPr>
            </w:pPr>
          </w:p>
          <w:p w14:paraId="7BCF95EB">
            <w:pPr>
              <w:spacing w:line="251" w:lineRule="auto"/>
              <w:rPr>
                <w:rFonts w:ascii="Arial"/>
                <w:sz w:val="21"/>
              </w:rPr>
            </w:pPr>
          </w:p>
          <w:p w14:paraId="47C0926A">
            <w:pPr>
              <w:spacing w:line="251" w:lineRule="auto"/>
              <w:rPr>
                <w:rFonts w:ascii="Arial"/>
                <w:sz w:val="21"/>
              </w:rPr>
            </w:pPr>
          </w:p>
          <w:p w14:paraId="49255855">
            <w:pPr>
              <w:spacing w:line="251" w:lineRule="auto"/>
              <w:rPr>
                <w:rFonts w:ascii="Arial"/>
                <w:sz w:val="21"/>
              </w:rPr>
            </w:pPr>
          </w:p>
          <w:p w14:paraId="5C7BB704">
            <w:pPr>
              <w:spacing w:line="251" w:lineRule="auto"/>
              <w:rPr>
                <w:rFonts w:ascii="Arial"/>
                <w:sz w:val="21"/>
              </w:rPr>
            </w:pPr>
          </w:p>
          <w:p w14:paraId="6A00EE14">
            <w:pPr>
              <w:spacing w:line="251" w:lineRule="auto"/>
              <w:rPr>
                <w:rFonts w:ascii="Arial"/>
                <w:sz w:val="21"/>
              </w:rPr>
            </w:pPr>
          </w:p>
          <w:p w14:paraId="74D39371">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2929E106">
            <w:pPr>
              <w:spacing w:line="254" w:lineRule="auto"/>
              <w:rPr>
                <w:rFonts w:ascii="Arial"/>
                <w:sz w:val="21"/>
              </w:rPr>
            </w:pPr>
          </w:p>
          <w:p w14:paraId="33D8375A">
            <w:pPr>
              <w:spacing w:line="254" w:lineRule="auto"/>
              <w:rPr>
                <w:rFonts w:ascii="Arial"/>
                <w:sz w:val="21"/>
              </w:rPr>
            </w:pPr>
          </w:p>
          <w:p w14:paraId="77DC3693">
            <w:pPr>
              <w:spacing w:line="254" w:lineRule="auto"/>
              <w:rPr>
                <w:rFonts w:ascii="Arial"/>
                <w:sz w:val="21"/>
              </w:rPr>
            </w:pPr>
          </w:p>
          <w:p w14:paraId="3C8B9BCB">
            <w:pPr>
              <w:spacing w:line="254" w:lineRule="auto"/>
              <w:rPr>
                <w:rFonts w:ascii="Arial"/>
                <w:sz w:val="21"/>
              </w:rPr>
            </w:pPr>
          </w:p>
          <w:p w14:paraId="4B043E6A">
            <w:pPr>
              <w:spacing w:line="254" w:lineRule="auto"/>
              <w:rPr>
                <w:rFonts w:ascii="Arial"/>
                <w:sz w:val="21"/>
              </w:rPr>
            </w:pPr>
          </w:p>
          <w:p w14:paraId="5C32F669">
            <w:pPr>
              <w:spacing w:line="254" w:lineRule="auto"/>
              <w:rPr>
                <w:rFonts w:ascii="Arial"/>
                <w:sz w:val="21"/>
              </w:rPr>
            </w:pPr>
          </w:p>
          <w:p w14:paraId="27BEB10F">
            <w:pPr>
              <w:spacing w:line="255" w:lineRule="auto"/>
              <w:rPr>
                <w:rFonts w:ascii="Arial"/>
                <w:sz w:val="21"/>
              </w:rPr>
            </w:pPr>
          </w:p>
          <w:p w14:paraId="193DE9CE">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42EAA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8" w:hRule="atLeast"/>
        </w:trPr>
        <w:tc>
          <w:tcPr>
            <w:tcW w:w="634" w:type="dxa"/>
            <w:vAlign w:val="top"/>
          </w:tcPr>
          <w:p w14:paraId="70F1EFD1">
            <w:pPr>
              <w:spacing w:line="271" w:lineRule="auto"/>
              <w:rPr>
                <w:rFonts w:ascii="Arial"/>
                <w:sz w:val="21"/>
              </w:rPr>
            </w:pPr>
          </w:p>
          <w:p w14:paraId="62D86674">
            <w:pPr>
              <w:spacing w:line="271" w:lineRule="auto"/>
              <w:rPr>
                <w:rFonts w:ascii="Arial"/>
                <w:sz w:val="21"/>
              </w:rPr>
            </w:pPr>
          </w:p>
          <w:p w14:paraId="541064C9">
            <w:pPr>
              <w:spacing w:line="271" w:lineRule="auto"/>
              <w:rPr>
                <w:rFonts w:ascii="Arial"/>
                <w:sz w:val="21"/>
              </w:rPr>
            </w:pPr>
          </w:p>
          <w:p w14:paraId="17646D7A">
            <w:pPr>
              <w:spacing w:line="271" w:lineRule="auto"/>
              <w:rPr>
                <w:rFonts w:ascii="Arial"/>
                <w:sz w:val="21"/>
              </w:rPr>
            </w:pPr>
          </w:p>
          <w:p w14:paraId="51F858F0">
            <w:pPr>
              <w:pStyle w:val="8"/>
              <w:spacing w:before="59" w:line="184" w:lineRule="auto"/>
              <w:ind w:left="244"/>
            </w:pPr>
            <w:r>
              <w:rPr>
                <w:spacing w:val="-10"/>
              </w:rPr>
              <w:t>14</w:t>
            </w:r>
          </w:p>
        </w:tc>
        <w:tc>
          <w:tcPr>
            <w:tcW w:w="1121" w:type="dxa"/>
            <w:vAlign w:val="top"/>
          </w:tcPr>
          <w:p w14:paraId="7F77CBBB">
            <w:pPr>
              <w:pStyle w:val="8"/>
              <w:spacing w:before="273" w:line="245" w:lineRule="auto"/>
              <w:ind w:left="114" w:right="110"/>
              <w:jc w:val="both"/>
            </w:pPr>
            <w:r>
              <w:rPr>
                <w:spacing w:val="-2"/>
              </w:rPr>
              <w:t>对水路货物</w:t>
            </w:r>
            <w:r>
              <w:t xml:space="preserve"> </w:t>
            </w:r>
            <w:r>
              <w:rPr>
                <w:spacing w:val="-2"/>
              </w:rPr>
              <w:t>运输等运营</w:t>
            </w:r>
            <w:r>
              <w:t xml:space="preserve"> </w:t>
            </w:r>
            <w:r>
              <w:rPr>
                <w:spacing w:val="-2"/>
              </w:rPr>
              <w:t>单位未实行</w:t>
            </w:r>
            <w:r>
              <w:t xml:space="preserve"> </w:t>
            </w:r>
            <w:r>
              <w:rPr>
                <w:spacing w:val="-2"/>
              </w:rPr>
              <w:t>安全查验制</w:t>
            </w:r>
            <w:r>
              <w:t xml:space="preserve"> </w:t>
            </w:r>
            <w:r>
              <w:rPr>
                <w:spacing w:val="-2"/>
              </w:rPr>
              <w:t>度，未对客</w:t>
            </w:r>
            <w:r>
              <w:t xml:space="preserve"> </w:t>
            </w:r>
            <w:r>
              <w:rPr>
                <w:spacing w:val="-2"/>
              </w:rPr>
              <w:t>户身份进行</w:t>
            </w:r>
            <w:r>
              <w:t xml:space="preserve"> </w:t>
            </w:r>
            <w:r>
              <w:rPr>
                <w:spacing w:val="-2"/>
              </w:rPr>
              <w:t>查验等行为</w:t>
            </w:r>
            <w:r>
              <w:t xml:space="preserve"> </w:t>
            </w:r>
            <w:r>
              <w:rPr>
                <w:spacing w:val="-4"/>
              </w:rPr>
              <w:t>的行政处罚</w:t>
            </w:r>
          </w:p>
        </w:tc>
        <w:tc>
          <w:tcPr>
            <w:tcW w:w="1121" w:type="dxa"/>
            <w:vAlign w:val="top"/>
          </w:tcPr>
          <w:p w14:paraId="2FD34CBE">
            <w:pPr>
              <w:spacing w:line="264" w:lineRule="auto"/>
              <w:rPr>
                <w:rFonts w:ascii="Arial"/>
                <w:sz w:val="21"/>
              </w:rPr>
            </w:pPr>
          </w:p>
          <w:p w14:paraId="179F92C0">
            <w:pPr>
              <w:spacing w:line="264" w:lineRule="auto"/>
              <w:rPr>
                <w:rFonts w:ascii="Arial"/>
                <w:sz w:val="21"/>
              </w:rPr>
            </w:pPr>
          </w:p>
          <w:p w14:paraId="17DC8F0F">
            <w:pPr>
              <w:spacing w:line="264" w:lineRule="auto"/>
              <w:rPr>
                <w:rFonts w:ascii="Arial"/>
                <w:sz w:val="21"/>
              </w:rPr>
            </w:pPr>
          </w:p>
          <w:p w14:paraId="723C140E">
            <w:pPr>
              <w:spacing w:line="265" w:lineRule="auto"/>
              <w:rPr>
                <w:rFonts w:ascii="Arial"/>
                <w:sz w:val="21"/>
              </w:rPr>
            </w:pPr>
          </w:p>
          <w:p w14:paraId="2C22DE0A">
            <w:pPr>
              <w:pStyle w:val="8"/>
              <w:spacing w:before="59" w:line="220" w:lineRule="auto"/>
              <w:ind w:left="9"/>
            </w:pPr>
            <w:r>
              <w:rPr>
                <w:spacing w:val="-4"/>
              </w:rPr>
              <w:t>行政处罚</w:t>
            </w:r>
          </w:p>
        </w:tc>
        <w:tc>
          <w:tcPr>
            <w:tcW w:w="8692" w:type="dxa"/>
            <w:vAlign w:val="top"/>
          </w:tcPr>
          <w:p w14:paraId="588FB9B1">
            <w:pPr>
              <w:pStyle w:val="8"/>
              <w:spacing w:before="30" w:line="219" w:lineRule="auto"/>
              <w:ind w:left="488"/>
            </w:pPr>
            <w:r>
              <w:rPr>
                <w:b/>
                <w:bCs/>
                <w:spacing w:val="-3"/>
              </w:rPr>
              <w:t>1.《中华人民共和国反恐怖主义法》</w:t>
            </w:r>
          </w:p>
          <w:p w14:paraId="75FDEEC2">
            <w:pPr>
              <w:pStyle w:val="8"/>
              <w:spacing w:before="27" w:line="239" w:lineRule="auto"/>
              <w:ind w:left="114" w:right="109" w:firstLine="360"/>
            </w:pPr>
            <w:r>
              <w:t>第二十条  铁路、公路、水上、航空的货运和邮政、快递等物流运营单位应当实行安全查验制度，对客</w:t>
            </w:r>
            <w:r>
              <w:rPr>
                <w:spacing w:val="1"/>
              </w:rPr>
              <w:t xml:space="preserve"> </w:t>
            </w:r>
            <w:r>
              <w:t>户身份进行查验，依照规定对运输、寄递物品进行安全检查或者开封验视。对禁止运输、寄递，存在重大安</w:t>
            </w:r>
            <w:r>
              <w:rPr>
                <w:spacing w:val="1"/>
              </w:rPr>
              <w:t xml:space="preserve"> </w:t>
            </w:r>
            <w:r>
              <w:rPr>
                <w:spacing w:val="-1"/>
              </w:rPr>
              <w:t>全隐患，或者客户拒绝安全查验的物品，不</w:t>
            </w:r>
            <w:r>
              <w:rPr>
                <w:spacing w:val="-2"/>
              </w:rPr>
              <w:t>得运输、寄递。</w:t>
            </w:r>
          </w:p>
          <w:p w14:paraId="6C7C067A">
            <w:pPr>
              <w:pStyle w:val="8"/>
              <w:spacing w:before="27" w:line="219" w:lineRule="auto"/>
              <w:ind w:left="477"/>
            </w:pPr>
            <w:r>
              <w:rPr>
                <w:spacing w:val="-1"/>
              </w:rPr>
              <w:t>前款规定的物流运营单位，应当实行运输、寄递客户身份、物品信</w:t>
            </w:r>
            <w:r>
              <w:rPr>
                <w:spacing w:val="-2"/>
              </w:rPr>
              <w:t>息登记制度。</w:t>
            </w:r>
          </w:p>
          <w:p w14:paraId="5F7E9194">
            <w:pPr>
              <w:pStyle w:val="8"/>
              <w:spacing w:before="26" w:line="242" w:lineRule="auto"/>
              <w:ind w:left="114" w:right="109" w:firstLine="360"/>
            </w:pPr>
            <w:r>
              <w:t>第八十五条  铁路、公路、水上、航空的货运和邮政、快递等物流运营单位有下列情形之一的，由主管</w:t>
            </w:r>
            <w:r>
              <w:rPr>
                <w:spacing w:val="1"/>
              </w:rPr>
              <w:t xml:space="preserve"> </w:t>
            </w:r>
            <w:r>
              <w:t>部门处十万元以上五十万元以下罚款，并对其直接负责的主管人员和其他直接责任人员处十万元以下罚款： （一）未实行安全查验制度，对客户身份进行查验，或者未依照规定对运输、寄递物品进行安全检查或者开</w:t>
            </w:r>
            <w:r>
              <w:rPr>
                <w:spacing w:val="2"/>
              </w:rPr>
              <w:t xml:space="preserve"> </w:t>
            </w:r>
            <w:r>
              <w:rPr>
                <w:spacing w:val="5"/>
              </w:rPr>
              <w:t>封验视的</w:t>
            </w:r>
            <w:r>
              <w:rPr>
                <w:spacing w:val="-8"/>
              </w:rPr>
              <w:t>；（</w:t>
            </w:r>
            <w:r>
              <w:rPr>
                <w:spacing w:val="5"/>
              </w:rPr>
              <w:t>二）对禁止运输、寄递，存在重大安全隐</w:t>
            </w:r>
            <w:r>
              <w:rPr>
                <w:spacing w:val="4"/>
              </w:rPr>
              <w:t>患，或者客户拒绝安全查验的物品予以运输、寄递</w:t>
            </w:r>
            <w:r>
              <w:t xml:space="preserve"> </w:t>
            </w:r>
            <w:r>
              <w:rPr>
                <w:spacing w:val="-1"/>
              </w:rPr>
              <w:t>的</w:t>
            </w:r>
            <w:r>
              <w:rPr>
                <w:spacing w:val="-2"/>
              </w:rPr>
              <w:t>；（</w:t>
            </w:r>
            <w:r>
              <w:rPr>
                <w:spacing w:val="-1"/>
              </w:rPr>
              <w:t>三）未实行运输、寄递客户身份、物品信息登记</w:t>
            </w:r>
            <w:r>
              <w:rPr>
                <w:spacing w:val="-2"/>
              </w:rPr>
              <w:t>制度的。</w:t>
            </w:r>
          </w:p>
        </w:tc>
        <w:tc>
          <w:tcPr>
            <w:tcW w:w="1029" w:type="dxa"/>
            <w:vAlign w:val="top"/>
          </w:tcPr>
          <w:p w14:paraId="7151451F">
            <w:pPr>
              <w:spacing w:line="311" w:lineRule="auto"/>
              <w:rPr>
                <w:rFonts w:ascii="Arial"/>
                <w:sz w:val="21"/>
              </w:rPr>
            </w:pPr>
          </w:p>
          <w:p w14:paraId="09DE0E66">
            <w:pPr>
              <w:spacing w:line="311" w:lineRule="auto"/>
              <w:rPr>
                <w:rFonts w:ascii="Arial"/>
                <w:sz w:val="21"/>
              </w:rPr>
            </w:pPr>
          </w:p>
          <w:p w14:paraId="7FED8555">
            <w:pPr>
              <w:spacing w:line="312" w:lineRule="auto"/>
              <w:rPr>
                <w:rFonts w:ascii="Arial"/>
                <w:sz w:val="21"/>
              </w:rPr>
            </w:pPr>
          </w:p>
          <w:p w14:paraId="69A95CD7">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77E6BE1E">
            <w:pPr>
              <w:spacing w:line="311" w:lineRule="auto"/>
              <w:rPr>
                <w:rFonts w:ascii="Arial"/>
                <w:sz w:val="21"/>
              </w:rPr>
            </w:pPr>
          </w:p>
          <w:p w14:paraId="2ECD3617">
            <w:pPr>
              <w:spacing w:line="311" w:lineRule="auto"/>
              <w:rPr>
                <w:rFonts w:ascii="Arial"/>
                <w:sz w:val="21"/>
              </w:rPr>
            </w:pPr>
          </w:p>
          <w:p w14:paraId="467021B5">
            <w:pPr>
              <w:spacing w:line="312" w:lineRule="auto"/>
              <w:rPr>
                <w:rFonts w:ascii="Arial"/>
                <w:sz w:val="21"/>
              </w:rPr>
            </w:pPr>
          </w:p>
          <w:p w14:paraId="64E1F1D7">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63D731B8">
            <w:pPr>
              <w:spacing w:line="354" w:lineRule="auto"/>
              <w:rPr>
                <w:rFonts w:ascii="Arial"/>
                <w:sz w:val="21"/>
              </w:rPr>
            </w:pPr>
          </w:p>
          <w:p w14:paraId="40E896DD">
            <w:pPr>
              <w:spacing w:line="354" w:lineRule="auto"/>
              <w:rPr>
                <w:rFonts w:ascii="Arial"/>
                <w:sz w:val="21"/>
              </w:rPr>
            </w:pPr>
          </w:p>
          <w:p w14:paraId="3D7ADE00">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67388E2D">
      <w:pPr>
        <w:pStyle w:val="2"/>
        <w:spacing w:line="192" w:lineRule="exact"/>
        <w:rPr>
          <w:sz w:val="16"/>
        </w:rPr>
      </w:pPr>
    </w:p>
    <w:p w14:paraId="505A675B">
      <w:pPr>
        <w:spacing w:line="192" w:lineRule="exact"/>
        <w:rPr>
          <w:sz w:val="16"/>
          <w:szCs w:val="16"/>
        </w:rPr>
        <w:sectPr>
          <w:footerReference r:id="rId221" w:type="default"/>
          <w:pgSz w:w="16840" w:h="11910"/>
          <w:pgMar w:top="1012" w:right="888" w:bottom="966" w:left="887" w:header="0" w:footer="768" w:gutter="0"/>
          <w:cols w:space="720" w:num="1"/>
        </w:sectPr>
      </w:pPr>
    </w:p>
    <w:p w14:paraId="3A90BC95">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2A0E6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34" w:type="dxa"/>
            <w:vMerge w:val="restart"/>
            <w:tcBorders>
              <w:bottom w:val="nil"/>
            </w:tcBorders>
            <w:vAlign w:val="top"/>
          </w:tcPr>
          <w:p w14:paraId="442AD2C1">
            <w:pPr>
              <w:pStyle w:val="8"/>
              <w:spacing w:before="221" w:line="221" w:lineRule="auto"/>
              <w:ind w:left="138"/>
            </w:pPr>
            <w:r>
              <w:rPr>
                <w:b/>
                <w:bCs/>
                <w:spacing w:val="-4"/>
              </w:rPr>
              <w:t>序号</w:t>
            </w:r>
          </w:p>
        </w:tc>
        <w:tc>
          <w:tcPr>
            <w:tcW w:w="1121" w:type="dxa"/>
            <w:vMerge w:val="restart"/>
            <w:tcBorders>
              <w:bottom w:val="nil"/>
            </w:tcBorders>
            <w:vAlign w:val="top"/>
          </w:tcPr>
          <w:p w14:paraId="33D1CFE0">
            <w:pPr>
              <w:pStyle w:val="8"/>
              <w:spacing w:before="221" w:line="220" w:lineRule="auto"/>
              <w:ind w:left="206"/>
            </w:pPr>
            <w:r>
              <w:rPr>
                <w:b/>
                <w:bCs/>
                <w:spacing w:val="-5"/>
              </w:rPr>
              <w:t>事项名称</w:t>
            </w:r>
          </w:p>
        </w:tc>
        <w:tc>
          <w:tcPr>
            <w:tcW w:w="1121" w:type="dxa"/>
            <w:vMerge w:val="restart"/>
            <w:tcBorders>
              <w:bottom w:val="nil"/>
            </w:tcBorders>
            <w:vAlign w:val="top"/>
          </w:tcPr>
          <w:p w14:paraId="6719B823">
            <w:pPr>
              <w:pStyle w:val="8"/>
              <w:spacing w:before="222" w:line="219" w:lineRule="auto"/>
              <w:ind w:left="221"/>
            </w:pPr>
            <w:r>
              <w:rPr>
                <w:b/>
                <w:bCs/>
                <w:spacing w:val="-9"/>
              </w:rPr>
              <w:t>职权类型</w:t>
            </w:r>
          </w:p>
        </w:tc>
        <w:tc>
          <w:tcPr>
            <w:tcW w:w="8692" w:type="dxa"/>
            <w:vMerge w:val="restart"/>
            <w:tcBorders>
              <w:bottom w:val="nil"/>
            </w:tcBorders>
            <w:vAlign w:val="top"/>
          </w:tcPr>
          <w:p w14:paraId="0B709898">
            <w:pPr>
              <w:pStyle w:val="8"/>
              <w:spacing w:before="221" w:line="219" w:lineRule="auto"/>
              <w:ind w:left="3999"/>
            </w:pPr>
            <w:r>
              <w:rPr>
                <w:b/>
                <w:bCs/>
                <w:spacing w:val="-6"/>
              </w:rPr>
              <w:t>实施依据</w:t>
            </w:r>
          </w:p>
        </w:tc>
        <w:tc>
          <w:tcPr>
            <w:tcW w:w="3491" w:type="dxa"/>
            <w:gridSpan w:val="3"/>
            <w:vAlign w:val="top"/>
          </w:tcPr>
          <w:p w14:paraId="71E73795">
            <w:pPr>
              <w:pStyle w:val="8"/>
              <w:spacing w:before="85" w:line="220" w:lineRule="auto"/>
              <w:ind w:left="1399"/>
            </w:pPr>
            <w:r>
              <w:rPr>
                <w:b/>
                <w:bCs/>
                <w:spacing w:val="-6"/>
              </w:rPr>
              <w:t>实施主体</w:t>
            </w:r>
          </w:p>
        </w:tc>
      </w:tr>
      <w:tr w14:paraId="0E7DF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307722E4">
            <w:pPr>
              <w:rPr>
                <w:rFonts w:ascii="Arial"/>
                <w:sz w:val="21"/>
              </w:rPr>
            </w:pPr>
          </w:p>
        </w:tc>
        <w:tc>
          <w:tcPr>
            <w:tcW w:w="1121" w:type="dxa"/>
            <w:vMerge w:val="continue"/>
            <w:tcBorders>
              <w:top w:val="nil"/>
            </w:tcBorders>
            <w:vAlign w:val="top"/>
          </w:tcPr>
          <w:p w14:paraId="5CB628DA">
            <w:pPr>
              <w:rPr>
                <w:rFonts w:ascii="Arial"/>
                <w:sz w:val="21"/>
              </w:rPr>
            </w:pPr>
          </w:p>
        </w:tc>
        <w:tc>
          <w:tcPr>
            <w:tcW w:w="1121" w:type="dxa"/>
            <w:vMerge w:val="continue"/>
            <w:tcBorders>
              <w:top w:val="nil"/>
            </w:tcBorders>
            <w:vAlign w:val="top"/>
          </w:tcPr>
          <w:p w14:paraId="033F778D">
            <w:pPr>
              <w:rPr>
                <w:rFonts w:ascii="Arial"/>
                <w:sz w:val="21"/>
              </w:rPr>
            </w:pPr>
          </w:p>
        </w:tc>
        <w:tc>
          <w:tcPr>
            <w:tcW w:w="8692" w:type="dxa"/>
            <w:vMerge w:val="continue"/>
            <w:tcBorders>
              <w:top w:val="nil"/>
            </w:tcBorders>
            <w:vAlign w:val="top"/>
          </w:tcPr>
          <w:p w14:paraId="797F7514">
            <w:pPr>
              <w:rPr>
                <w:rFonts w:ascii="Arial"/>
                <w:sz w:val="21"/>
              </w:rPr>
            </w:pPr>
          </w:p>
        </w:tc>
        <w:tc>
          <w:tcPr>
            <w:tcW w:w="1029" w:type="dxa"/>
            <w:vAlign w:val="top"/>
          </w:tcPr>
          <w:p w14:paraId="6D0E673F">
            <w:pPr>
              <w:pStyle w:val="8"/>
              <w:spacing w:before="45" w:line="219" w:lineRule="auto"/>
              <w:ind w:left="172"/>
            </w:pPr>
            <w:r>
              <w:rPr>
                <w:b/>
                <w:bCs/>
                <w:spacing w:val="-6"/>
              </w:rPr>
              <w:t>责任部门</w:t>
            </w:r>
          </w:p>
        </w:tc>
        <w:tc>
          <w:tcPr>
            <w:tcW w:w="1429" w:type="dxa"/>
            <w:vAlign w:val="top"/>
          </w:tcPr>
          <w:p w14:paraId="0A18CE9B">
            <w:pPr>
              <w:pStyle w:val="8"/>
              <w:spacing w:before="45" w:line="219" w:lineRule="auto"/>
              <w:ind w:left="188"/>
            </w:pPr>
            <w:r>
              <w:rPr>
                <w:b/>
                <w:bCs/>
                <w:spacing w:val="-4"/>
              </w:rPr>
              <w:t>第一责任层级</w:t>
            </w:r>
          </w:p>
        </w:tc>
        <w:tc>
          <w:tcPr>
            <w:tcW w:w="1033" w:type="dxa"/>
            <w:vAlign w:val="top"/>
          </w:tcPr>
          <w:p w14:paraId="086582F8">
            <w:pPr>
              <w:pStyle w:val="8"/>
              <w:spacing w:before="45" w:line="219" w:lineRule="auto"/>
              <w:ind w:left="163"/>
            </w:pPr>
            <w:r>
              <w:rPr>
                <w:b/>
                <w:bCs/>
                <w:spacing w:val="-5"/>
              </w:rPr>
              <w:t>承办机构</w:t>
            </w:r>
          </w:p>
        </w:tc>
      </w:tr>
      <w:tr w14:paraId="0DBFD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7" w:hRule="atLeast"/>
        </w:trPr>
        <w:tc>
          <w:tcPr>
            <w:tcW w:w="634" w:type="dxa"/>
            <w:vAlign w:val="top"/>
          </w:tcPr>
          <w:p w14:paraId="1FFDFE15">
            <w:pPr>
              <w:rPr>
                <w:rFonts w:ascii="Arial"/>
                <w:sz w:val="21"/>
              </w:rPr>
            </w:pPr>
          </w:p>
        </w:tc>
        <w:tc>
          <w:tcPr>
            <w:tcW w:w="1121" w:type="dxa"/>
            <w:vAlign w:val="top"/>
          </w:tcPr>
          <w:p w14:paraId="5601B4D8">
            <w:pPr>
              <w:rPr>
                <w:rFonts w:ascii="Arial"/>
                <w:sz w:val="21"/>
              </w:rPr>
            </w:pPr>
          </w:p>
        </w:tc>
        <w:tc>
          <w:tcPr>
            <w:tcW w:w="1121" w:type="dxa"/>
            <w:vAlign w:val="top"/>
          </w:tcPr>
          <w:p w14:paraId="4151ACFB">
            <w:pPr>
              <w:rPr>
                <w:rFonts w:ascii="Arial"/>
                <w:sz w:val="21"/>
              </w:rPr>
            </w:pPr>
          </w:p>
        </w:tc>
        <w:tc>
          <w:tcPr>
            <w:tcW w:w="8692" w:type="dxa"/>
            <w:vAlign w:val="top"/>
          </w:tcPr>
          <w:p w14:paraId="6B292DE8">
            <w:pPr>
              <w:pStyle w:val="8"/>
              <w:spacing w:before="27" w:line="235" w:lineRule="auto"/>
              <w:ind w:left="121" w:right="109" w:firstLine="353"/>
            </w:pPr>
            <w:r>
              <w:t>第九十三条  单位违反本法规定，情节严重的，由主管部门责令停止从事相关业务、提供相关服务或者</w:t>
            </w:r>
            <w:r>
              <w:rPr>
                <w:spacing w:val="1"/>
              </w:rPr>
              <w:t xml:space="preserve"> </w:t>
            </w:r>
            <w:r>
              <w:rPr>
                <w:spacing w:val="-2"/>
              </w:rPr>
              <w:t>责令停产停业；造成严重后果的，吊销有关证照或者撤销登记。</w:t>
            </w:r>
          </w:p>
          <w:p w14:paraId="34F0202B">
            <w:pPr>
              <w:pStyle w:val="8"/>
              <w:spacing w:before="26" w:line="219" w:lineRule="auto"/>
              <w:ind w:left="476"/>
            </w:pPr>
            <w:r>
              <w:rPr>
                <w:b/>
                <w:bCs/>
                <w:spacing w:val="-2"/>
              </w:rPr>
              <w:t>2.《国内水路运输管理规定》（交通运输部令2014年第2号）</w:t>
            </w:r>
          </w:p>
          <w:p w14:paraId="563E6AAF">
            <w:pPr>
              <w:pStyle w:val="8"/>
              <w:spacing w:before="28"/>
              <w:ind w:left="114" w:right="109" w:firstLine="360"/>
              <w:jc w:val="both"/>
            </w:pPr>
            <w:r>
              <w:t>第二十四条  水路运输经营者应当与托运人订立货物运输合同，对托运人身份信息进行查验。托运人托</w:t>
            </w:r>
            <w:r>
              <w:rPr>
                <w:spacing w:val="1"/>
              </w:rPr>
              <w:t xml:space="preserve"> </w:t>
            </w:r>
            <w:r>
              <w:t>运货物时应当向水路运输经营者如实提供货物信息，托运危险货物的，还应当符合《船舶载运危险货物安全</w:t>
            </w:r>
            <w:r>
              <w:rPr>
                <w:spacing w:val="1"/>
              </w:rPr>
              <w:t xml:space="preserve"> </w:t>
            </w:r>
            <w:r>
              <w:rPr>
                <w:spacing w:val="-3"/>
              </w:rPr>
              <w:t>监督管理规定》的有关规定。</w:t>
            </w:r>
          </w:p>
          <w:p w14:paraId="036FEFFB">
            <w:pPr>
              <w:pStyle w:val="8"/>
              <w:spacing w:before="25" w:line="241" w:lineRule="auto"/>
              <w:ind w:left="116" w:right="109" w:firstLine="360"/>
              <w:jc w:val="both"/>
            </w:pPr>
            <w:r>
              <w:t xml:space="preserve">水路运输经营者收到实名举报或者相关证据证明托运人涉嫌在普通货物中夹带危险货物、谎报瞒报托运 危险货物的，应当对相关货物进行检查。水路运输经营者发现存在上述情形或者托运人拒绝接受检查的，应 </w:t>
            </w:r>
            <w:r>
              <w:rPr>
                <w:spacing w:val="4"/>
              </w:rPr>
              <w:t>当拒绝运输，并及时向水路运输管理部门和海事管理机构报告，未装船的还应当及时向拟装船</w:t>
            </w:r>
            <w:r>
              <w:rPr>
                <w:spacing w:val="3"/>
              </w:rPr>
              <w:t>的港口经营</w:t>
            </w:r>
            <w:r>
              <w:t xml:space="preserve"> </w:t>
            </w:r>
            <w:r>
              <w:rPr>
                <w:spacing w:val="-3"/>
              </w:rPr>
              <w:t>人、港口行政管理部门报告。</w:t>
            </w:r>
          </w:p>
          <w:p w14:paraId="6571CF99">
            <w:pPr>
              <w:pStyle w:val="8"/>
              <w:spacing w:before="27" w:line="214" w:lineRule="auto"/>
              <w:ind w:left="476"/>
            </w:pPr>
            <w:r>
              <w:rPr>
                <w:spacing w:val="-1"/>
              </w:rPr>
              <w:t>水路运输经营者应当对托运人身份信息、托运货物信息进行登记并保存至运输合同履行完毕后6个月。</w:t>
            </w:r>
          </w:p>
        </w:tc>
        <w:tc>
          <w:tcPr>
            <w:tcW w:w="1029" w:type="dxa"/>
            <w:vAlign w:val="top"/>
          </w:tcPr>
          <w:p w14:paraId="556A7D1B">
            <w:pPr>
              <w:rPr>
                <w:rFonts w:ascii="Arial"/>
                <w:sz w:val="21"/>
              </w:rPr>
            </w:pPr>
          </w:p>
        </w:tc>
        <w:tc>
          <w:tcPr>
            <w:tcW w:w="1429" w:type="dxa"/>
            <w:vAlign w:val="top"/>
          </w:tcPr>
          <w:p w14:paraId="2B17CCC4">
            <w:pPr>
              <w:rPr>
                <w:rFonts w:ascii="Arial"/>
                <w:sz w:val="21"/>
              </w:rPr>
            </w:pPr>
          </w:p>
        </w:tc>
        <w:tc>
          <w:tcPr>
            <w:tcW w:w="1033" w:type="dxa"/>
            <w:vAlign w:val="top"/>
          </w:tcPr>
          <w:p w14:paraId="59551376">
            <w:pPr>
              <w:rPr>
                <w:rFonts w:ascii="Arial"/>
                <w:sz w:val="21"/>
              </w:rPr>
            </w:pPr>
          </w:p>
        </w:tc>
      </w:tr>
      <w:tr w14:paraId="1137B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7" w:hRule="atLeast"/>
        </w:trPr>
        <w:tc>
          <w:tcPr>
            <w:tcW w:w="634" w:type="dxa"/>
            <w:vAlign w:val="top"/>
          </w:tcPr>
          <w:p w14:paraId="4081F50A">
            <w:pPr>
              <w:spacing w:line="301" w:lineRule="auto"/>
              <w:rPr>
                <w:rFonts w:ascii="Arial"/>
                <w:sz w:val="21"/>
              </w:rPr>
            </w:pPr>
          </w:p>
          <w:p w14:paraId="658549D5">
            <w:pPr>
              <w:spacing w:line="302" w:lineRule="auto"/>
              <w:rPr>
                <w:rFonts w:ascii="Arial"/>
                <w:sz w:val="21"/>
              </w:rPr>
            </w:pPr>
          </w:p>
          <w:p w14:paraId="2B02574E">
            <w:pPr>
              <w:pStyle w:val="8"/>
              <w:spacing w:before="59" w:line="184" w:lineRule="auto"/>
              <w:ind w:left="244"/>
            </w:pPr>
            <w:r>
              <w:rPr>
                <w:spacing w:val="-10"/>
              </w:rPr>
              <w:t>15</w:t>
            </w:r>
          </w:p>
        </w:tc>
        <w:tc>
          <w:tcPr>
            <w:tcW w:w="1121" w:type="dxa"/>
            <w:vAlign w:val="top"/>
          </w:tcPr>
          <w:p w14:paraId="1BA68918">
            <w:pPr>
              <w:pStyle w:val="8"/>
              <w:spacing w:before="31" w:line="242" w:lineRule="auto"/>
              <w:ind w:left="115" w:right="105" w:hanging="1"/>
              <w:jc w:val="both"/>
            </w:pPr>
            <w:r>
              <w:rPr>
                <w:spacing w:val="-2"/>
              </w:rPr>
              <w:t>对危险化学</w:t>
            </w:r>
            <w:r>
              <w:t xml:space="preserve"> </w:t>
            </w:r>
            <w:r>
              <w:rPr>
                <w:spacing w:val="-3"/>
              </w:rPr>
              <w:t>品水路运输</w:t>
            </w:r>
            <w:r>
              <w:rPr>
                <w:spacing w:val="3"/>
              </w:rPr>
              <w:t xml:space="preserve"> </w:t>
            </w:r>
            <w:r>
              <w:rPr>
                <w:spacing w:val="-3"/>
              </w:rPr>
              <w:t>企业未配备</w:t>
            </w:r>
            <w:r>
              <w:rPr>
                <w:spacing w:val="3"/>
              </w:rPr>
              <w:t xml:space="preserve"> </w:t>
            </w:r>
            <w:r>
              <w:rPr>
                <w:spacing w:val="-3"/>
              </w:rPr>
              <w:t>专职安全管</w:t>
            </w:r>
            <w:r>
              <w:rPr>
                <w:spacing w:val="3"/>
              </w:rPr>
              <w:t xml:space="preserve"> </w:t>
            </w:r>
            <w:r>
              <w:rPr>
                <w:spacing w:val="-2"/>
              </w:rPr>
              <w:t>理人员的处</w:t>
            </w:r>
            <w:r>
              <w:rPr>
                <w:spacing w:val="3"/>
              </w:rPr>
              <w:t xml:space="preserve"> </w:t>
            </w:r>
            <w:r>
              <w:t>罚</w:t>
            </w:r>
          </w:p>
        </w:tc>
        <w:tc>
          <w:tcPr>
            <w:tcW w:w="1121" w:type="dxa"/>
            <w:vAlign w:val="top"/>
          </w:tcPr>
          <w:p w14:paraId="07BECEF3">
            <w:pPr>
              <w:spacing w:line="288" w:lineRule="auto"/>
              <w:rPr>
                <w:rFonts w:ascii="Arial"/>
                <w:sz w:val="21"/>
              </w:rPr>
            </w:pPr>
          </w:p>
          <w:p w14:paraId="36D83D3A">
            <w:pPr>
              <w:spacing w:line="288" w:lineRule="auto"/>
              <w:rPr>
                <w:rFonts w:ascii="Arial"/>
                <w:sz w:val="21"/>
              </w:rPr>
            </w:pPr>
          </w:p>
          <w:p w14:paraId="31588AA5">
            <w:pPr>
              <w:pStyle w:val="8"/>
              <w:spacing w:before="58" w:line="220" w:lineRule="auto"/>
              <w:ind w:left="9"/>
            </w:pPr>
            <w:r>
              <w:rPr>
                <w:spacing w:val="-4"/>
              </w:rPr>
              <w:t>行政处罚</w:t>
            </w:r>
          </w:p>
        </w:tc>
        <w:tc>
          <w:tcPr>
            <w:tcW w:w="8692" w:type="dxa"/>
            <w:vAlign w:val="top"/>
          </w:tcPr>
          <w:p w14:paraId="56B9389A">
            <w:pPr>
              <w:pStyle w:val="8"/>
              <w:spacing w:before="158" w:line="219" w:lineRule="auto"/>
              <w:ind w:left="478"/>
            </w:pPr>
            <w:r>
              <w:rPr>
                <w:b/>
                <w:bCs/>
                <w:spacing w:val="-4"/>
              </w:rPr>
              <w:t>《危险化学品安全管理条例》</w:t>
            </w:r>
          </w:p>
          <w:p w14:paraId="3E886AB4">
            <w:pPr>
              <w:pStyle w:val="8"/>
              <w:spacing w:before="19" w:line="219" w:lineRule="auto"/>
              <w:ind w:left="467"/>
            </w:pPr>
            <w:r>
              <w:rPr>
                <w:spacing w:val="-2"/>
              </w:rPr>
              <w:t>第四十三条第二款  危险化学品道路运输企业、水路运输企业应当配备专职安全管理</w:t>
            </w:r>
            <w:r>
              <w:rPr>
                <w:spacing w:val="-3"/>
              </w:rPr>
              <w:t>人员。</w:t>
            </w:r>
          </w:p>
          <w:p w14:paraId="05503F3A">
            <w:pPr>
              <w:pStyle w:val="8"/>
              <w:spacing w:before="20"/>
              <w:ind w:left="115" w:right="102" w:firstLine="359"/>
            </w:pPr>
            <w:r>
              <w:rPr>
                <w:spacing w:val="2"/>
              </w:rPr>
              <w:t>第九十一条第（一）项  有下列情形之一的，由交通运输</w:t>
            </w:r>
            <w:r>
              <w:rPr>
                <w:spacing w:val="1"/>
              </w:rPr>
              <w:t>主管部门责令改正，可以处</w:t>
            </w:r>
            <w:r>
              <w:rPr>
                <w:spacing w:val="26"/>
              </w:rPr>
              <w:t xml:space="preserve"> </w:t>
            </w:r>
            <w:r>
              <w:rPr>
                <w:spacing w:val="1"/>
              </w:rPr>
              <w:t>1 万元以下的罚</w:t>
            </w:r>
            <w:r>
              <w:t xml:space="preserve"> </w:t>
            </w:r>
            <w:r>
              <w:rPr>
                <w:spacing w:val="1"/>
              </w:rPr>
              <w:t>款；拒不改正的，处 1 万元以上 5 万元以下的罚</w:t>
            </w:r>
            <w:r>
              <w:t>款</w:t>
            </w:r>
            <w:r>
              <w:rPr>
                <w:spacing w:val="-13"/>
              </w:rPr>
              <w:t>：（</w:t>
            </w:r>
            <w:r>
              <w:t>一）危险化学品道路运输企业、水路运输企业未配</w:t>
            </w:r>
            <w:r>
              <w:rPr>
                <w:spacing w:val="1"/>
              </w:rPr>
              <w:t xml:space="preserve"> </w:t>
            </w:r>
            <w:r>
              <w:rPr>
                <w:spacing w:val="-5"/>
              </w:rPr>
              <w:t>备专职安全管理人员的；</w:t>
            </w:r>
          </w:p>
        </w:tc>
        <w:tc>
          <w:tcPr>
            <w:tcW w:w="1029" w:type="dxa"/>
            <w:vAlign w:val="top"/>
          </w:tcPr>
          <w:p w14:paraId="5B73A42E">
            <w:pPr>
              <w:spacing w:line="452" w:lineRule="auto"/>
              <w:rPr>
                <w:rFonts w:ascii="Arial"/>
                <w:sz w:val="21"/>
              </w:rPr>
            </w:pPr>
          </w:p>
          <w:p w14:paraId="75457181">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0E40469D">
            <w:pPr>
              <w:spacing w:line="453" w:lineRule="auto"/>
              <w:rPr>
                <w:rFonts w:ascii="Arial"/>
                <w:sz w:val="21"/>
              </w:rPr>
            </w:pPr>
          </w:p>
          <w:p w14:paraId="38450EDC">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4B556214">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6759F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6" w:hRule="atLeast"/>
        </w:trPr>
        <w:tc>
          <w:tcPr>
            <w:tcW w:w="634" w:type="dxa"/>
            <w:vAlign w:val="top"/>
          </w:tcPr>
          <w:p w14:paraId="0BDB0FA6">
            <w:pPr>
              <w:spacing w:line="313" w:lineRule="auto"/>
              <w:rPr>
                <w:rFonts w:ascii="Arial"/>
                <w:sz w:val="21"/>
              </w:rPr>
            </w:pPr>
          </w:p>
          <w:p w14:paraId="56C140E4">
            <w:pPr>
              <w:spacing w:line="313" w:lineRule="auto"/>
              <w:rPr>
                <w:rFonts w:ascii="Arial"/>
                <w:sz w:val="21"/>
              </w:rPr>
            </w:pPr>
          </w:p>
          <w:p w14:paraId="1EB698B0">
            <w:pPr>
              <w:spacing w:line="313" w:lineRule="auto"/>
              <w:rPr>
                <w:rFonts w:ascii="Arial"/>
                <w:sz w:val="21"/>
              </w:rPr>
            </w:pPr>
          </w:p>
          <w:p w14:paraId="45092508">
            <w:pPr>
              <w:pStyle w:val="8"/>
              <w:spacing w:before="59" w:line="184" w:lineRule="auto"/>
              <w:ind w:left="244"/>
            </w:pPr>
            <w:r>
              <w:rPr>
                <w:spacing w:val="-10"/>
              </w:rPr>
              <w:t>16</w:t>
            </w:r>
          </w:p>
        </w:tc>
        <w:tc>
          <w:tcPr>
            <w:tcW w:w="1121" w:type="dxa"/>
            <w:vAlign w:val="top"/>
          </w:tcPr>
          <w:p w14:paraId="16837245">
            <w:pPr>
              <w:pStyle w:val="8"/>
              <w:spacing w:before="128" w:line="245" w:lineRule="auto"/>
              <w:ind w:left="114" w:right="110"/>
              <w:jc w:val="both"/>
            </w:pPr>
            <w:r>
              <w:rPr>
                <w:spacing w:val="-2"/>
              </w:rPr>
              <w:t>对船舶管理</w:t>
            </w:r>
            <w:r>
              <w:t xml:space="preserve"> </w:t>
            </w:r>
            <w:r>
              <w:rPr>
                <w:spacing w:val="-2"/>
              </w:rPr>
              <w:t>业务经营者</w:t>
            </w:r>
            <w:r>
              <w:t xml:space="preserve"> </w:t>
            </w:r>
            <w:r>
              <w:rPr>
                <w:spacing w:val="-2"/>
              </w:rPr>
              <w:t>未按照规定</w:t>
            </w:r>
            <w:r>
              <w:t xml:space="preserve"> </w:t>
            </w:r>
            <w:r>
              <w:rPr>
                <w:spacing w:val="-2"/>
              </w:rPr>
              <w:t>要求配备相</w:t>
            </w:r>
            <w:r>
              <w:t xml:space="preserve"> </w:t>
            </w:r>
            <w:r>
              <w:rPr>
                <w:spacing w:val="-2"/>
              </w:rPr>
              <w:t>应海务、机</w:t>
            </w:r>
            <w:r>
              <w:t xml:space="preserve"> </w:t>
            </w:r>
            <w:r>
              <w:rPr>
                <w:spacing w:val="-2"/>
              </w:rPr>
              <w:t>务管理人员</w:t>
            </w:r>
            <w:r>
              <w:t xml:space="preserve"> </w:t>
            </w:r>
            <w:r>
              <w:rPr>
                <w:spacing w:val="-2"/>
              </w:rPr>
              <w:t>行为的行政</w:t>
            </w:r>
            <w:r>
              <w:t xml:space="preserve"> </w:t>
            </w:r>
            <w:r>
              <w:rPr>
                <w:spacing w:val="-4"/>
              </w:rPr>
              <w:t>处罚</w:t>
            </w:r>
          </w:p>
        </w:tc>
        <w:tc>
          <w:tcPr>
            <w:tcW w:w="1121" w:type="dxa"/>
            <w:vAlign w:val="top"/>
          </w:tcPr>
          <w:p w14:paraId="644752EF">
            <w:pPr>
              <w:spacing w:line="256" w:lineRule="auto"/>
              <w:rPr>
                <w:rFonts w:ascii="Arial"/>
                <w:sz w:val="21"/>
              </w:rPr>
            </w:pPr>
          </w:p>
          <w:p w14:paraId="1709638C">
            <w:pPr>
              <w:spacing w:line="256" w:lineRule="auto"/>
              <w:rPr>
                <w:rFonts w:ascii="Arial"/>
                <w:sz w:val="21"/>
              </w:rPr>
            </w:pPr>
          </w:p>
          <w:p w14:paraId="2D342960">
            <w:pPr>
              <w:spacing w:line="257" w:lineRule="auto"/>
              <w:rPr>
                <w:rFonts w:ascii="Arial"/>
                <w:sz w:val="21"/>
              </w:rPr>
            </w:pPr>
          </w:p>
          <w:p w14:paraId="3AAD7F39">
            <w:pPr>
              <w:spacing w:line="257" w:lineRule="auto"/>
              <w:rPr>
                <w:rFonts w:ascii="Arial"/>
                <w:sz w:val="21"/>
              </w:rPr>
            </w:pPr>
          </w:p>
          <w:p w14:paraId="40A6603A">
            <w:pPr>
              <w:pStyle w:val="8"/>
              <w:spacing w:before="59" w:line="220" w:lineRule="auto"/>
              <w:ind w:left="9"/>
            </w:pPr>
            <w:r>
              <w:rPr>
                <w:spacing w:val="-4"/>
              </w:rPr>
              <w:t>行政处罚</w:t>
            </w:r>
          </w:p>
        </w:tc>
        <w:tc>
          <w:tcPr>
            <w:tcW w:w="8692" w:type="dxa"/>
            <w:vAlign w:val="top"/>
          </w:tcPr>
          <w:p w14:paraId="2580713D">
            <w:pPr>
              <w:pStyle w:val="8"/>
              <w:spacing w:before="126" w:line="219" w:lineRule="auto"/>
              <w:ind w:left="478"/>
            </w:pPr>
            <w:r>
              <w:rPr>
                <w:b/>
                <w:bCs/>
                <w:spacing w:val="-3"/>
              </w:rPr>
              <w:t>《国内水路运输辅助业管理规定》（交通运输部令2014年第3号）</w:t>
            </w:r>
          </w:p>
          <w:p w14:paraId="072A9CB2">
            <w:pPr>
              <w:pStyle w:val="8"/>
              <w:spacing w:before="21" w:line="243" w:lineRule="auto"/>
              <w:ind w:left="114" w:right="107" w:firstLine="360"/>
            </w:pPr>
            <w:r>
              <w:t>第六条  船舶管理业务经营者应当配备满足下列要求的专职海务、机务管理人员</w:t>
            </w:r>
            <w:r>
              <w:rPr>
                <w:spacing w:val="-4"/>
              </w:rPr>
              <w:t>：（</w:t>
            </w:r>
            <w:r>
              <w:t>一）船舶管理业务</w:t>
            </w:r>
            <w:r>
              <w:rPr>
                <w:spacing w:val="1"/>
              </w:rPr>
              <w:t xml:space="preserve"> </w:t>
            </w:r>
            <w:r>
              <w:rPr>
                <w:spacing w:val="-1"/>
              </w:rPr>
              <w:t xml:space="preserve">经营者应当至少配备海务、机务管理人员各 </w:t>
            </w:r>
            <w:r>
              <w:rPr>
                <w:rFonts w:ascii="Times New Roman" w:hAnsi="Times New Roman" w:eastAsia="Times New Roman" w:cs="Times New Roman"/>
                <w:spacing w:val="-1"/>
              </w:rPr>
              <w:t xml:space="preserve">1 </w:t>
            </w:r>
            <w:r>
              <w:rPr>
                <w:spacing w:val="-1"/>
              </w:rPr>
              <w:t>人，配备的具体数量应当符合附件规定的要求</w:t>
            </w:r>
            <w:r>
              <w:rPr>
                <w:spacing w:val="3"/>
              </w:rPr>
              <w:t>；（</w:t>
            </w:r>
            <w:r>
              <w:rPr>
                <w:spacing w:val="-1"/>
              </w:rPr>
              <w:t>二）海务、</w:t>
            </w:r>
            <w:r>
              <w:t xml:space="preserve"> 机务管理人员的从业资历与其经营范围相适应，具有与管理的船舶种类和航区相对应的船长、轮机长的从业</w:t>
            </w:r>
            <w:r>
              <w:rPr>
                <w:spacing w:val="4"/>
              </w:rPr>
              <w:t xml:space="preserve"> </w:t>
            </w:r>
            <w:r>
              <w:t>资历</w:t>
            </w:r>
            <w:r>
              <w:rPr>
                <w:spacing w:val="2"/>
              </w:rPr>
              <w:t>；（</w:t>
            </w:r>
            <w:r>
              <w:t xml:space="preserve">三）海务、机务管理人员所具备的船舶安全管理、船舶设备管理、航海保障、应急处置等业务知识 </w:t>
            </w:r>
            <w:r>
              <w:rPr>
                <w:spacing w:val="-3"/>
              </w:rPr>
              <w:t>和管理能力与其经营范围相适应，身体条件与其职责要求相适应。</w:t>
            </w:r>
          </w:p>
          <w:p w14:paraId="08319A6F">
            <w:pPr>
              <w:pStyle w:val="8"/>
              <w:spacing w:before="25" w:line="235" w:lineRule="auto"/>
              <w:ind w:left="135" w:right="120" w:firstLine="339"/>
            </w:pPr>
            <w:r>
              <w:t>第三十四条  船舶管理业务经营者未按照本规定要求配备相应海务、机务管理人</w:t>
            </w:r>
            <w:r>
              <w:rPr>
                <w:spacing w:val="-1"/>
              </w:rPr>
              <w:t>员的，由其所在地县级</w:t>
            </w:r>
            <w:r>
              <w:t xml:space="preserve"> </w:t>
            </w:r>
            <w:r>
              <w:rPr>
                <w:spacing w:val="-4"/>
              </w:rPr>
              <w:t>以上人民政府水路运输管理部门责令改正，处</w:t>
            </w:r>
            <w:r>
              <w:rPr>
                <w:spacing w:val="36"/>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11"/>
              </w:rPr>
              <w:t xml:space="preserve"> </w:t>
            </w:r>
            <w:r>
              <w:rPr>
                <w:spacing w:val="-4"/>
              </w:rPr>
              <w:t xml:space="preserve">万元以上 </w:t>
            </w:r>
            <w:r>
              <w:rPr>
                <w:rFonts w:ascii="Times New Roman" w:hAnsi="Times New Roman" w:eastAsia="Times New Roman" w:cs="Times New Roman"/>
                <w:spacing w:val="-4"/>
              </w:rPr>
              <w:t>3</w:t>
            </w:r>
            <w:r>
              <w:rPr>
                <w:rFonts w:ascii="Times New Roman" w:hAnsi="Times New Roman" w:eastAsia="Times New Roman" w:cs="Times New Roman"/>
                <w:spacing w:val="13"/>
              </w:rPr>
              <w:t xml:space="preserve"> </w:t>
            </w:r>
            <w:r>
              <w:rPr>
                <w:spacing w:val="-4"/>
              </w:rPr>
              <w:t>万元以下的罚款。</w:t>
            </w:r>
          </w:p>
        </w:tc>
        <w:tc>
          <w:tcPr>
            <w:tcW w:w="1029" w:type="dxa"/>
            <w:vAlign w:val="top"/>
          </w:tcPr>
          <w:p w14:paraId="432374DF">
            <w:pPr>
              <w:spacing w:line="262" w:lineRule="auto"/>
              <w:rPr>
                <w:rFonts w:ascii="Arial"/>
                <w:sz w:val="21"/>
              </w:rPr>
            </w:pPr>
          </w:p>
          <w:p w14:paraId="4537CAD6">
            <w:pPr>
              <w:spacing w:line="262" w:lineRule="auto"/>
              <w:rPr>
                <w:rFonts w:ascii="Arial"/>
                <w:sz w:val="21"/>
              </w:rPr>
            </w:pPr>
          </w:p>
          <w:p w14:paraId="6D25DC21">
            <w:pPr>
              <w:spacing w:line="262" w:lineRule="auto"/>
              <w:rPr>
                <w:rFonts w:ascii="Arial"/>
                <w:sz w:val="21"/>
              </w:rPr>
            </w:pPr>
          </w:p>
          <w:p w14:paraId="3769EAD6">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69635DA8">
            <w:pPr>
              <w:spacing w:line="262" w:lineRule="auto"/>
              <w:rPr>
                <w:rFonts w:ascii="Arial"/>
                <w:sz w:val="21"/>
              </w:rPr>
            </w:pPr>
          </w:p>
          <w:p w14:paraId="7B5B89F5">
            <w:pPr>
              <w:spacing w:line="262" w:lineRule="auto"/>
              <w:rPr>
                <w:rFonts w:ascii="Arial"/>
                <w:sz w:val="21"/>
              </w:rPr>
            </w:pPr>
          </w:p>
          <w:p w14:paraId="4210AF20">
            <w:pPr>
              <w:spacing w:line="262" w:lineRule="auto"/>
              <w:rPr>
                <w:rFonts w:ascii="Arial"/>
                <w:sz w:val="21"/>
              </w:rPr>
            </w:pPr>
          </w:p>
          <w:p w14:paraId="7F0E7B27">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264D3856">
            <w:pPr>
              <w:spacing w:line="280" w:lineRule="auto"/>
              <w:rPr>
                <w:rFonts w:ascii="Arial"/>
                <w:sz w:val="21"/>
              </w:rPr>
            </w:pPr>
          </w:p>
          <w:p w14:paraId="3D6064CB">
            <w:pPr>
              <w:spacing w:line="281" w:lineRule="auto"/>
              <w:rPr>
                <w:rFonts w:ascii="Arial"/>
                <w:sz w:val="21"/>
              </w:rPr>
            </w:pPr>
          </w:p>
          <w:p w14:paraId="181C4DBB">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71B4E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5" w:hRule="atLeast"/>
        </w:trPr>
        <w:tc>
          <w:tcPr>
            <w:tcW w:w="634" w:type="dxa"/>
            <w:vAlign w:val="top"/>
          </w:tcPr>
          <w:p w14:paraId="4F2592A9">
            <w:pPr>
              <w:spacing w:line="315" w:lineRule="auto"/>
              <w:rPr>
                <w:rFonts w:ascii="Arial"/>
                <w:sz w:val="21"/>
              </w:rPr>
            </w:pPr>
          </w:p>
          <w:p w14:paraId="1B491AB5">
            <w:pPr>
              <w:spacing w:line="315" w:lineRule="auto"/>
              <w:rPr>
                <w:rFonts w:ascii="Arial"/>
                <w:sz w:val="21"/>
              </w:rPr>
            </w:pPr>
          </w:p>
          <w:p w14:paraId="2C081E31">
            <w:pPr>
              <w:spacing w:line="316" w:lineRule="auto"/>
              <w:rPr>
                <w:rFonts w:ascii="Arial"/>
                <w:sz w:val="21"/>
              </w:rPr>
            </w:pPr>
          </w:p>
          <w:p w14:paraId="4857CD4E">
            <w:pPr>
              <w:pStyle w:val="8"/>
              <w:spacing w:before="59" w:line="184" w:lineRule="auto"/>
              <w:ind w:left="244"/>
            </w:pPr>
            <w:r>
              <w:rPr>
                <w:spacing w:val="-10"/>
              </w:rPr>
              <w:t>17</w:t>
            </w:r>
          </w:p>
        </w:tc>
        <w:tc>
          <w:tcPr>
            <w:tcW w:w="1121" w:type="dxa"/>
            <w:vAlign w:val="top"/>
          </w:tcPr>
          <w:p w14:paraId="49CDA0F2">
            <w:pPr>
              <w:pStyle w:val="8"/>
              <w:spacing w:before="254" w:line="245" w:lineRule="auto"/>
              <w:ind w:left="116" w:right="110" w:hanging="2"/>
              <w:jc w:val="both"/>
            </w:pPr>
            <w:r>
              <w:rPr>
                <w:spacing w:val="-2"/>
              </w:rPr>
              <w:t>对水路运输</w:t>
            </w:r>
            <w:r>
              <w:t xml:space="preserve"> </w:t>
            </w:r>
            <w:r>
              <w:rPr>
                <w:spacing w:val="-3"/>
              </w:rPr>
              <w:t>辅助业务经</w:t>
            </w:r>
            <w:r>
              <w:rPr>
                <w:spacing w:val="3"/>
              </w:rPr>
              <w:t xml:space="preserve"> </w:t>
            </w:r>
            <w:r>
              <w:rPr>
                <w:spacing w:val="-3"/>
              </w:rPr>
              <w:t>营者未履行</w:t>
            </w:r>
            <w:r>
              <w:rPr>
                <w:spacing w:val="3"/>
              </w:rPr>
              <w:t xml:space="preserve"> </w:t>
            </w:r>
            <w:r>
              <w:rPr>
                <w:spacing w:val="-3"/>
              </w:rPr>
              <w:t>备案义务或</w:t>
            </w:r>
            <w:r>
              <w:rPr>
                <w:spacing w:val="3"/>
              </w:rPr>
              <w:t xml:space="preserve"> </w:t>
            </w:r>
            <w:r>
              <w:rPr>
                <w:spacing w:val="-3"/>
              </w:rPr>
              <w:t>者报告义务</w:t>
            </w:r>
            <w:r>
              <w:rPr>
                <w:spacing w:val="3"/>
              </w:rPr>
              <w:t xml:space="preserve"> </w:t>
            </w:r>
            <w:r>
              <w:rPr>
                <w:spacing w:val="-3"/>
              </w:rPr>
              <w:t>行为的行政</w:t>
            </w:r>
            <w:r>
              <w:rPr>
                <w:spacing w:val="3"/>
              </w:rPr>
              <w:t xml:space="preserve"> </w:t>
            </w:r>
            <w:r>
              <w:rPr>
                <w:spacing w:val="-5"/>
              </w:rPr>
              <w:t>处罚</w:t>
            </w:r>
          </w:p>
        </w:tc>
        <w:tc>
          <w:tcPr>
            <w:tcW w:w="1121" w:type="dxa"/>
            <w:vAlign w:val="top"/>
          </w:tcPr>
          <w:p w14:paraId="1540267C">
            <w:pPr>
              <w:spacing w:line="259" w:lineRule="auto"/>
              <w:rPr>
                <w:rFonts w:ascii="Arial"/>
                <w:sz w:val="21"/>
              </w:rPr>
            </w:pPr>
          </w:p>
          <w:p w14:paraId="4292DAD5">
            <w:pPr>
              <w:spacing w:line="259" w:lineRule="auto"/>
              <w:rPr>
                <w:rFonts w:ascii="Arial"/>
                <w:sz w:val="21"/>
              </w:rPr>
            </w:pPr>
          </w:p>
          <w:p w14:paraId="0A59751E">
            <w:pPr>
              <w:spacing w:line="259" w:lineRule="auto"/>
              <w:rPr>
                <w:rFonts w:ascii="Arial"/>
                <w:sz w:val="21"/>
              </w:rPr>
            </w:pPr>
          </w:p>
          <w:p w14:paraId="1087732A">
            <w:pPr>
              <w:spacing w:line="259" w:lineRule="auto"/>
              <w:rPr>
                <w:rFonts w:ascii="Arial"/>
                <w:sz w:val="21"/>
              </w:rPr>
            </w:pPr>
          </w:p>
          <w:p w14:paraId="4DBFFCBD">
            <w:pPr>
              <w:pStyle w:val="8"/>
              <w:spacing w:before="59" w:line="220" w:lineRule="auto"/>
              <w:ind w:left="9"/>
            </w:pPr>
            <w:r>
              <w:rPr>
                <w:spacing w:val="-4"/>
              </w:rPr>
              <w:t>行政处罚</w:t>
            </w:r>
          </w:p>
        </w:tc>
        <w:tc>
          <w:tcPr>
            <w:tcW w:w="8692" w:type="dxa"/>
            <w:vAlign w:val="top"/>
          </w:tcPr>
          <w:p w14:paraId="17CD5059">
            <w:pPr>
              <w:pStyle w:val="8"/>
              <w:spacing w:before="136" w:line="219" w:lineRule="auto"/>
              <w:ind w:left="478"/>
            </w:pPr>
            <w:r>
              <w:rPr>
                <w:b/>
                <w:bCs/>
                <w:spacing w:val="-3"/>
              </w:rPr>
              <w:t>《国内水路运输辅助业管理规定》（交通运输部令2014年第3号）</w:t>
            </w:r>
          </w:p>
          <w:p w14:paraId="2FD7EC09">
            <w:pPr>
              <w:pStyle w:val="8"/>
              <w:spacing w:before="19" w:line="242" w:lineRule="auto"/>
              <w:ind w:left="114" w:right="107" w:firstLine="358"/>
            </w:pPr>
            <w:r>
              <w:t>第十条  发生下列情况后，船舶管理业务经营者应当在</w:t>
            </w:r>
            <w:r>
              <w:rPr>
                <w:spacing w:val="24"/>
              </w:rPr>
              <w:t xml:space="preserve"> </w:t>
            </w:r>
            <w:r>
              <w:t>15 个</w:t>
            </w:r>
            <w:r>
              <w:rPr>
                <w:spacing w:val="-1"/>
              </w:rPr>
              <w:t>工作日内以书面形式向原许可机关备案，</w:t>
            </w:r>
            <w:r>
              <w:t xml:space="preserve"> 并提供相关证明材料</w:t>
            </w:r>
            <w:r>
              <w:rPr>
                <w:spacing w:val="-2"/>
              </w:rPr>
              <w:t>：（</w:t>
            </w:r>
            <w:r>
              <w:t>一）法定代表人或者主要股东发生变化</w:t>
            </w:r>
            <w:r>
              <w:rPr>
                <w:spacing w:val="-2"/>
              </w:rPr>
              <w:t>；（</w:t>
            </w:r>
            <w:r>
              <w:t>二）固定的办公场所发生变化</w:t>
            </w:r>
            <w:r>
              <w:rPr>
                <w:spacing w:val="-2"/>
              </w:rPr>
              <w:t>；（</w:t>
            </w:r>
            <w:r>
              <w:t>三）</w:t>
            </w:r>
            <w:r>
              <w:rPr>
                <w:spacing w:val="4"/>
              </w:rPr>
              <w:t xml:space="preserve"> </w:t>
            </w:r>
            <w:r>
              <w:t>海务、机务管理人员发生变化</w:t>
            </w:r>
            <w:r>
              <w:rPr>
                <w:spacing w:val="1"/>
              </w:rPr>
              <w:t>；（</w:t>
            </w:r>
            <w:r>
              <w:t>四）管理的船舶发生重大以上安全责任事故</w:t>
            </w:r>
            <w:r>
              <w:rPr>
                <w:spacing w:val="1"/>
              </w:rPr>
              <w:t>；（</w:t>
            </w:r>
            <w:r>
              <w:t xml:space="preserve">五）接受管理的船舶或者 </w:t>
            </w:r>
            <w:r>
              <w:rPr>
                <w:spacing w:val="-4"/>
              </w:rPr>
              <w:t>委托管理协议发生变化。</w:t>
            </w:r>
          </w:p>
          <w:p w14:paraId="502487B7">
            <w:pPr>
              <w:pStyle w:val="8"/>
              <w:spacing w:before="26" w:line="238" w:lineRule="auto"/>
              <w:ind w:left="116" w:right="102" w:firstLine="358"/>
              <w:jc w:val="both"/>
            </w:pPr>
            <w:r>
              <w:t>第三十六条第（一）项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2"/>
              </w:rPr>
              <w:t xml:space="preserve"> </w:t>
            </w:r>
            <w:r>
              <w:rPr>
                <w:spacing w:val="-5"/>
              </w:rPr>
              <w:t>的，处 1 万元以上 3万元以下的罚款</w:t>
            </w:r>
            <w:r>
              <w:rPr>
                <w:spacing w:val="-10"/>
              </w:rPr>
              <w:t>：（</w:t>
            </w:r>
            <w:r>
              <w:rPr>
                <w:spacing w:val="-5"/>
              </w:rPr>
              <w:t>一）未履行备案或者报告义务。</w:t>
            </w:r>
          </w:p>
        </w:tc>
        <w:tc>
          <w:tcPr>
            <w:tcW w:w="1029" w:type="dxa"/>
            <w:vAlign w:val="top"/>
          </w:tcPr>
          <w:p w14:paraId="43E345B8">
            <w:pPr>
              <w:spacing w:line="265" w:lineRule="auto"/>
              <w:rPr>
                <w:rFonts w:ascii="Arial"/>
                <w:sz w:val="21"/>
              </w:rPr>
            </w:pPr>
          </w:p>
          <w:p w14:paraId="21F44A6F">
            <w:pPr>
              <w:spacing w:line="265" w:lineRule="auto"/>
              <w:rPr>
                <w:rFonts w:ascii="Arial"/>
                <w:sz w:val="21"/>
              </w:rPr>
            </w:pPr>
          </w:p>
          <w:p w14:paraId="465284F1">
            <w:pPr>
              <w:spacing w:line="266" w:lineRule="auto"/>
              <w:rPr>
                <w:rFonts w:ascii="Arial"/>
                <w:sz w:val="21"/>
              </w:rPr>
            </w:pPr>
          </w:p>
          <w:p w14:paraId="57C5669C">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22EDEAA0">
            <w:pPr>
              <w:spacing w:line="265" w:lineRule="auto"/>
              <w:rPr>
                <w:rFonts w:ascii="Arial"/>
                <w:sz w:val="21"/>
              </w:rPr>
            </w:pPr>
          </w:p>
          <w:p w14:paraId="65222368">
            <w:pPr>
              <w:spacing w:line="265" w:lineRule="auto"/>
              <w:rPr>
                <w:rFonts w:ascii="Arial"/>
                <w:sz w:val="21"/>
              </w:rPr>
            </w:pPr>
          </w:p>
          <w:p w14:paraId="2CBB9B90">
            <w:pPr>
              <w:spacing w:line="266" w:lineRule="auto"/>
              <w:rPr>
                <w:rFonts w:ascii="Arial"/>
                <w:sz w:val="21"/>
              </w:rPr>
            </w:pPr>
          </w:p>
          <w:p w14:paraId="536DEB0E">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67EE6825">
            <w:pPr>
              <w:spacing w:line="285" w:lineRule="auto"/>
              <w:rPr>
                <w:rFonts w:ascii="Arial"/>
                <w:sz w:val="21"/>
              </w:rPr>
            </w:pPr>
          </w:p>
          <w:p w14:paraId="6313B919">
            <w:pPr>
              <w:spacing w:line="285" w:lineRule="auto"/>
              <w:rPr>
                <w:rFonts w:ascii="Arial"/>
                <w:sz w:val="21"/>
              </w:rPr>
            </w:pPr>
          </w:p>
          <w:p w14:paraId="6CEFDAA5">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71A60C19">
      <w:pPr>
        <w:pStyle w:val="2"/>
      </w:pPr>
    </w:p>
    <w:p w14:paraId="628F65D9">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1AF7D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34" w:type="dxa"/>
            <w:vMerge w:val="restart"/>
            <w:tcBorders>
              <w:bottom w:val="nil"/>
            </w:tcBorders>
            <w:vAlign w:val="top"/>
          </w:tcPr>
          <w:p w14:paraId="609A5B84">
            <w:pPr>
              <w:pStyle w:val="8"/>
              <w:spacing w:before="221" w:line="221" w:lineRule="auto"/>
              <w:ind w:left="138"/>
            </w:pPr>
            <w:r>
              <w:rPr>
                <w:b/>
                <w:bCs/>
                <w:spacing w:val="-4"/>
              </w:rPr>
              <w:t>序号</w:t>
            </w:r>
          </w:p>
        </w:tc>
        <w:tc>
          <w:tcPr>
            <w:tcW w:w="1121" w:type="dxa"/>
            <w:vMerge w:val="restart"/>
            <w:tcBorders>
              <w:bottom w:val="nil"/>
            </w:tcBorders>
            <w:vAlign w:val="top"/>
          </w:tcPr>
          <w:p w14:paraId="629AEEC5">
            <w:pPr>
              <w:pStyle w:val="8"/>
              <w:spacing w:before="221" w:line="220" w:lineRule="auto"/>
              <w:ind w:left="206"/>
            </w:pPr>
            <w:r>
              <w:rPr>
                <w:b/>
                <w:bCs/>
                <w:spacing w:val="-5"/>
              </w:rPr>
              <w:t>事项名称</w:t>
            </w:r>
          </w:p>
        </w:tc>
        <w:tc>
          <w:tcPr>
            <w:tcW w:w="1121" w:type="dxa"/>
            <w:vMerge w:val="restart"/>
            <w:tcBorders>
              <w:bottom w:val="nil"/>
            </w:tcBorders>
            <w:vAlign w:val="top"/>
          </w:tcPr>
          <w:p w14:paraId="5CADA49D">
            <w:pPr>
              <w:pStyle w:val="8"/>
              <w:spacing w:before="222" w:line="219" w:lineRule="auto"/>
              <w:ind w:left="221"/>
            </w:pPr>
            <w:r>
              <w:rPr>
                <w:b/>
                <w:bCs/>
                <w:spacing w:val="-9"/>
              </w:rPr>
              <w:t>职权类型</w:t>
            </w:r>
          </w:p>
        </w:tc>
        <w:tc>
          <w:tcPr>
            <w:tcW w:w="8692" w:type="dxa"/>
            <w:vMerge w:val="restart"/>
            <w:tcBorders>
              <w:bottom w:val="nil"/>
            </w:tcBorders>
            <w:vAlign w:val="top"/>
          </w:tcPr>
          <w:p w14:paraId="218BBFC8">
            <w:pPr>
              <w:pStyle w:val="8"/>
              <w:spacing w:before="221" w:line="219" w:lineRule="auto"/>
              <w:ind w:left="3999"/>
            </w:pPr>
            <w:r>
              <w:rPr>
                <w:b/>
                <w:bCs/>
                <w:spacing w:val="-6"/>
              </w:rPr>
              <w:t>实施依据</w:t>
            </w:r>
          </w:p>
        </w:tc>
        <w:tc>
          <w:tcPr>
            <w:tcW w:w="3491" w:type="dxa"/>
            <w:gridSpan w:val="3"/>
            <w:vAlign w:val="top"/>
          </w:tcPr>
          <w:p w14:paraId="3CB9DAD5">
            <w:pPr>
              <w:pStyle w:val="8"/>
              <w:spacing w:before="85" w:line="220" w:lineRule="auto"/>
              <w:ind w:left="1399"/>
            </w:pPr>
            <w:r>
              <w:rPr>
                <w:b/>
                <w:bCs/>
                <w:spacing w:val="-6"/>
              </w:rPr>
              <w:t>实施主体</w:t>
            </w:r>
          </w:p>
        </w:tc>
      </w:tr>
      <w:tr w14:paraId="36EE8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7E68EE66">
            <w:pPr>
              <w:rPr>
                <w:rFonts w:ascii="Arial"/>
                <w:sz w:val="21"/>
              </w:rPr>
            </w:pPr>
          </w:p>
        </w:tc>
        <w:tc>
          <w:tcPr>
            <w:tcW w:w="1121" w:type="dxa"/>
            <w:vMerge w:val="continue"/>
            <w:tcBorders>
              <w:top w:val="nil"/>
            </w:tcBorders>
            <w:vAlign w:val="top"/>
          </w:tcPr>
          <w:p w14:paraId="44D77558">
            <w:pPr>
              <w:rPr>
                <w:rFonts w:ascii="Arial"/>
                <w:sz w:val="21"/>
              </w:rPr>
            </w:pPr>
          </w:p>
        </w:tc>
        <w:tc>
          <w:tcPr>
            <w:tcW w:w="1121" w:type="dxa"/>
            <w:vMerge w:val="continue"/>
            <w:tcBorders>
              <w:top w:val="nil"/>
            </w:tcBorders>
            <w:vAlign w:val="top"/>
          </w:tcPr>
          <w:p w14:paraId="4AF28761">
            <w:pPr>
              <w:rPr>
                <w:rFonts w:ascii="Arial"/>
                <w:sz w:val="21"/>
              </w:rPr>
            </w:pPr>
          </w:p>
        </w:tc>
        <w:tc>
          <w:tcPr>
            <w:tcW w:w="8692" w:type="dxa"/>
            <w:vMerge w:val="continue"/>
            <w:tcBorders>
              <w:top w:val="nil"/>
            </w:tcBorders>
            <w:vAlign w:val="top"/>
          </w:tcPr>
          <w:p w14:paraId="3FA29FAF">
            <w:pPr>
              <w:rPr>
                <w:rFonts w:ascii="Arial"/>
                <w:sz w:val="21"/>
              </w:rPr>
            </w:pPr>
          </w:p>
        </w:tc>
        <w:tc>
          <w:tcPr>
            <w:tcW w:w="1029" w:type="dxa"/>
            <w:vAlign w:val="top"/>
          </w:tcPr>
          <w:p w14:paraId="61077CF5">
            <w:pPr>
              <w:pStyle w:val="8"/>
              <w:spacing w:before="45" w:line="219" w:lineRule="auto"/>
              <w:ind w:left="172"/>
            </w:pPr>
            <w:r>
              <w:rPr>
                <w:b/>
                <w:bCs/>
                <w:spacing w:val="-6"/>
              </w:rPr>
              <w:t>责任部门</w:t>
            </w:r>
          </w:p>
        </w:tc>
        <w:tc>
          <w:tcPr>
            <w:tcW w:w="1429" w:type="dxa"/>
            <w:vAlign w:val="top"/>
          </w:tcPr>
          <w:p w14:paraId="5DFEC7C9">
            <w:pPr>
              <w:pStyle w:val="8"/>
              <w:spacing w:before="45" w:line="219" w:lineRule="auto"/>
              <w:ind w:left="188"/>
            </w:pPr>
            <w:r>
              <w:rPr>
                <w:b/>
                <w:bCs/>
                <w:spacing w:val="-4"/>
              </w:rPr>
              <w:t>第一责任层级</w:t>
            </w:r>
          </w:p>
        </w:tc>
        <w:tc>
          <w:tcPr>
            <w:tcW w:w="1033" w:type="dxa"/>
            <w:vAlign w:val="top"/>
          </w:tcPr>
          <w:p w14:paraId="667FD42F">
            <w:pPr>
              <w:pStyle w:val="8"/>
              <w:spacing w:before="45" w:line="219" w:lineRule="auto"/>
              <w:ind w:left="163"/>
            </w:pPr>
            <w:r>
              <w:rPr>
                <w:b/>
                <w:bCs/>
                <w:spacing w:val="-5"/>
              </w:rPr>
              <w:t>承办机构</w:t>
            </w:r>
          </w:p>
        </w:tc>
      </w:tr>
      <w:tr w14:paraId="38C31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0" w:hRule="atLeast"/>
        </w:trPr>
        <w:tc>
          <w:tcPr>
            <w:tcW w:w="634" w:type="dxa"/>
            <w:vAlign w:val="top"/>
          </w:tcPr>
          <w:p w14:paraId="7A808EB0">
            <w:pPr>
              <w:spacing w:line="266" w:lineRule="auto"/>
              <w:rPr>
                <w:rFonts w:ascii="Arial"/>
                <w:sz w:val="21"/>
              </w:rPr>
            </w:pPr>
          </w:p>
          <w:p w14:paraId="2814A067">
            <w:pPr>
              <w:spacing w:line="266" w:lineRule="auto"/>
              <w:rPr>
                <w:rFonts w:ascii="Arial"/>
                <w:sz w:val="21"/>
              </w:rPr>
            </w:pPr>
          </w:p>
          <w:p w14:paraId="676F66D3">
            <w:pPr>
              <w:spacing w:line="266" w:lineRule="auto"/>
              <w:rPr>
                <w:rFonts w:ascii="Arial"/>
                <w:sz w:val="21"/>
              </w:rPr>
            </w:pPr>
          </w:p>
          <w:p w14:paraId="74C0206C">
            <w:pPr>
              <w:spacing w:line="267" w:lineRule="auto"/>
              <w:rPr>
                <w:rFonts w:ascii="Arial"/>
                <w:sz w:val="21"/>
              </w:rPr>
            </w:pPr>
          </w:p>
          <w:p w14:paraId="67DB4700">
            <w:pPr>
              <w:spacing w:line="267" w:lineRule="auto"/>
              <w:rPr>
                <w:rFonts w:ascii="Arial"/>
                <w:sz w:val="21"/>
              </w:rPr>
            </w:pPr>
          </w:p>
          <w:p w14:paraId="5BD07C86">
            <w:pPr>
              <w:spacing w:line="267" w:lineRule="auto"/>
              <w:rPr>
                <w:rFonts w:ascii="Arial"/>
                <w:sz w:val="21"/>
              </w:rPr>
            </w:pPr>
          </w:p>
          <w:p w14:paraId="0CCB61F5">
            <w:pPr>
              <w:pStyle w:val="8"/>
              <w:spacing w:before="58" w:line="184" w:lineRule="auto"/>
              <w:ind w:left="244"/>
            </w:pPr>
            <w:r>
              <w:rPr>
                <w:spacing w:val="-10"/>
              </w:rPr>
              <w:t>18</w:t>
            </w:r>
          </w:p>
        </w:tc>
        <w:tc>
          <w:tcPr>
            <w:tcW w:w="1121" w:type="dxa"/>
            <w:vAlign w:val="top"/>
          </w:tcPr>
          <w:p w14:paraId="42556F0D">
            <w:pPr>
              <w:pStyle w:val="8"/>
              <w:spacing w:before="297" w:line="247" w:lineRule="auto"/>
              <w:ind w:left="114" w:right="107"/>
              <w:jc w:val="both"/>
            </w:pPr>
            <w:r>
              <w:rPr>
                <w:spacing w:val="-2"/>
              </w:rPr>
              <w:t>对水路运输</w:t>
            </w:r>
            <w:r>
              <w:t xml:space="preserve"> </w:t>
            </w:r>
            <w:r>
              <w:rPr>
                <w:spacing w:val="-2"/>
              </w:rPr>
              <w:t>辅助业务经</w:t>
            </w:r>
            <w:r>
              <w:t xml:space="preserve"> </w:t>
            </w:r>
            <w:r>
              <w:rPr>
                <w:spacing w:val="-2"/>
              </w:rPr>
              <w:t>营者为未依</w:t>
            </w:r>
            <w:r>
              <w:t xml:space="preserve"> </w:t>
            </w:r>
            <w:r>
              <w:rPr>
                <w:spacing w:val="-2"/>
              </w:rPr>
              <w:t>法取得水路</w:t>
            </w:r>
            <w:r>
              <w:t xml:space="preserve"> </w:t>
            </w:r>
            <w:r>
              <w:rPr>
                <w:spacing w:val="-2"/>
              </w:rPr>
              <w:t>运输业务经</w:t>
            </w:r>
            <w:r>
              <w:t xml:space="preserve"> </w:t>
            </w:r>
            <w:r>
              <w:rPr>
                <w:spacing w:val="-2"/>
              </w:rPr>
              <w:t>营许可或者</w:t>
            </w:r>
            <w:r>
              <w:t xml:space="preserve"> </w:t>
            </w:r>
            <w:r>
              <w:rPr>
                <w:spacing w:val="-2"/>
              </w:rPr>
              <w:t>超越许可范</w:t>
            </w:r>
            <w:r>
              <w:t xml:space="preserve"> </w:t>
            </w:r>
            <w:r>
              <w:rPr>
                <w:spacing w:val="-2"/>
              </w:rPr>
              <w:t>围的经营者</w:t>
            </w:r>
            <w:r>
              <w:t xml:space="preserve"> </w:t>
            </w:r>
            <w:r>
              <w:rPr>
                <w:spacing w:val="-2"/>
              </w:rPr>
              <w:t>提供水路运</w:t>
            </w:r>
            <w:r>
              <w:t xml:space="preserve"> </w:t>
            </w:r>
            <w:r>
              <w:rPr>
                <w:spacing w:val="-2"/>
              </w:rPr>
              <w:t>输辅助服务</w:t>
            </w:r>
            <w:r>
              <w:t xml:space="preserve"> </w:t>
            </w:r>
            <w:r>
              <w:rPr>
                <w:spacing w:val="-2"/>
              </w:rPr>
              <w:t>行为的行政</w:t>
            </w:r>
            <w:r>
              <w:rPr>
                <w:spacing w:val="2"/>
              </w:rPr>
              <w:t xml:space="preserve"> </w:t>
            </w:r>
            <w:r>
              <w:rPr>
                <w:spacing w:val="-4"/>
              </w:rPr>
              <w:t>处罚</w:t>
            </w:r>
          </w:p>
        </w:tc>
        <w:tc>
          <w:tcPr>
            <w:tcW w:w="1121" w:type="dxa"/>
            <w:vAlign w:val="top"/>
          </w:tcPr>
          <w:p w14:paraId="11FF7465">
            <w:pPr>
              <w:spacing w:line="241" w:lineRule="auto"/>
              <w:rPr>
                <w:rFonts w:ascii="Arial"/>
                <w:sz w:val="21"/>
              </w:rPr>
            </w:pPr>
          </w:p>
          <w:p w14:paraId="1D1135F2">
            <w:pPr>
              <w:spacing w:line="242" w:lineRule="auto"/>
              <w:rPr>
                <w:rFonts w:ascii="Arial"/>
                <w:sz w:val="21"/>
              </w:rPr>
            </w:pPr>
          </w:p>
          <w:p w14:paraId="1EA7579C">
            <w:pPr>
              <w:spacing w:line="242" w:lineRule="auto"/>
              <w:rPr>
                <w:rFonts w:ascii="Arial"/>
                <w:sz w:val="21"/>
              </w:rPr>
            </w:pPr>
          </w:p>
          <w:p w14:paraId="674C2785">
            <w:pPr>
              <w:spacing w:line="242" w:lineRule="auto"/>
              <w:rPr>
                <w:rFonts w:ascii="Arial"/>
                <w:sz w:val="21"/>
              </w:rPr>
            </w:pPr>
          </w:p>
          <w:p w14:paraId="3E8BFB22">
            <w:pPr>
              <w:spacing w:line="242" w:lineRule="auto"/>
              <w:rPr>
                <w:rFonts w:ascii="Arial"/>
                <w:sz w:val="21"/>
              </w:rPr>
            </w:pPr>
          </w:p>
          <w:p w14:paraId="0C2037EB">
            <w:pPr>
              <w:spacing w:line="242" w:lineRule="auto"/>
              <w:rPr>
                <w:rFonts w:ascii="Arial"/>
                <w:sz w:val="21"/>
              </w:rPr>
            </w:pPr>
          </w:p>
          <w:p w14:paraId="5E74A77F">
            <w:pPr>
              <w:spacing w:line="242" w:lineRule="auto"/>
              <w:rPr>
                <w:rFonts w:ascii="Arial"/>
                <w:sz w:val="21"/>
              </w:rPr>
            </w:pPr>
          </w:p>
          <w:p w14:paraId="5FE0D367">
            <w:pPr>
              <w:pStyle w:val="8"/>
              <w:spacing w:before="58" w:line="220" w:lineRule="auto"/>
              <w:ind w:left="9"/>
            </w:pPr>
            <w:r>
              <w:rPr>
                <w:spacing w:val="-4"/>
              </w:rPr>
              <w:t>行政处罚</w:t>
            </w:r>
          </w:p>
        </w:tc>
        <w:tc>
          <w:tcPr>
            <w:tcW w:w="8692" w:type="dxa"/>
            <w:vAlign w:val="top"/>
          </w:tcPr>
          <w:p w14:paraId="06711D57">
            <w:pPr>
              <w:pStyle w:val="8"/>
              <w:spacing w:before="61" w:line="219" w:lineRule="auto"/>
              <w:ind w:left="478"/>
            </w:pPr>
            <w:r>
              <w:rPr>
                <w:b/>
                <w:bCs/>
                <w:spacing w:val="-5"/>
              </w:rPr>
              <w:t>《国内水路运输管理条例》</w:t>
            </w:r>
          </w:p>
          <w:p w14:paraId="755A2F6E">
            <w:pPr>
              <w:pStyle w:val="8"/>
              <w:spacing w:before="28" w:line="219" w:lineRule="auto"/>
              <w:ind w:left="467"/>
            </w:pPr>
            <w:r>
              <w:rPr>
                <w:spacing w:val="-2"/>
              </w:rPr>
              <w:t>第二十七条  经营船舶管理业务，应当经设区的市级以上地方人民政府负责水路运输管理</w:t>
            </w:r>
            <w:r>
              <w:rPr>
                <w:spacing w:val="-3"/>
              </w:rPr>
              <w:t>的部门批准。</w:t>
            </w:r>
          </w:p>
          <w:p w14:paraId="16FDC24C">
            <w:pPr>
              <w:pStyle w:val="8"/>
              <w:spacing w:before="29" w:line="235" w:lineRule="auto"/>
              <w:ind w:left="114" w:right="102" w:firstLine="356"/>
            </w:pPr>
            <w:r>
              <w:rPr>
                <w:spacing w:val="-7"/>
              </w:rPr>
              <w:t>申请经营船舶管理业务，应当向前款规定的部门提交申请书和</w:t>
            </w:r>
            <w:r>
              <w:rPr>
                <w:spacing w:val="-8"/>
              </w:rPr>
              <w:t>证明申请人符合本条例第二十六条规定条件的</w:t>
            </w:r>
            <w:r>
              <w:t xml:space="preserve"> </w:t>
            </w:r>
            <w:r>
              <w:rPr>
                <w:spacing w:val="-6"/>
              </w:rPr>
              <w:t>相关材料。</w:t>
            </w:r>
          </w:p>
          <w:p w14:paraId="3A61BA3C">
            <w:pPr>
              <w:pStyle w:val="8"/>
              <w:spacing w:before="25"/>
              <w:ind w:left="118" w:right="102" w:firstLine="345"/>
              <w:jc w:val="both"/>
            </w:pPr>
            <w:r>
              <w:rPr>
                <w:spacing w:val="-3"/>
              </w:rPr>
              <w:t>受理申请的部门应当自受理申请之日起 30 个工作日内审查完毕，</w:t>
            </w:r>
            <w:r>
              <w:rPr>
                <w:spacing w:val="-4"/>
              </w:rPr>
              <w:t>作出准予许可或者不予许可的决定。予</w:t>
            </w:r>
            <w:r>
              <w:t xml:space="preserve"> 以许可的，发给船舶管理业务经营许可证件，并向国务院交通运输主管部门备案；不予许可的，应当</w:t>
            </w:r>
            <w:r>
              <w:rPr>
                <w:spacing w:val="-1"/>
              </w:rPr>
              <w:t>书面通</w:t>
            </w:r>
            <w:r>
              <w:t xml:space="preserve"> </w:t>
            </w:r>
            <w:r>
              <w:rPr>
                <w:spacing w:val="-2"/>
              </w:rPr>
              <w:t>知申请人并说明理由。</w:t>
            </w:r>
          </w:p>
          <w:p w14:paraId="4744BE12">
            <w:pPr>
              <w:pStyle w:val="8"/>
              <w:spacing w:before="23" w:line="219" w:lineRule="auto"/>
              <w:ind w:left="478"/>
            </w:pPr>
            <w:r>
              <w:rPr>
                <w:b/>
                <w:bCs/>
                <w:spacing w:val="-3"/>
              </w:rPr>
              <w:t>《国内水路运输辅助业管理规定》（交通运输部令2014年第3号）</w:t>
            </w:r>
          </w:p>
          <w:p w14:paraId="62FB7CB6">
            <w:pPr>
              <w:pStyle w:val="8"/>
              <w:spacing w:before="29" w:line="235" w:lineRule="auto"/>
              <w:ind w:left="116" w:right="109" w:firstLine="358"/>
            </w:pPr>
            <w:r>
              <w:t>第二十二条第（二）项  水路运输辅助业务经营者不得有以下行为：（二）为未依法取得水路运输业务</w:t>
            </w:r>
            <w:r>
              <w:rPr>
                <w:spacing w:val="1"/>
              </w:rPr>
              <w:t xml:space="preserve"> </w:t>
            </w:r>
            <w:r>
              <w:rPr>
                <w:spacing w:val="-2"/>
              </w:rPr>
              <w:t>经营许可或者超越许可范围的经营者提供水路运输辅助服务；</w:t>
            </w:r>
          </w:p>
          <w:p w14:paraId="0E84068D">
            <w:pPr>
              <w:pStyle w:val="8"/>
              <w:spacing w:before="25" w:line="242" w:lineRule="auto"/>
              <w:ind w:left="116" w:right="102" w:firstLine="358"/>
            </w:pPr>
            <w:r>
              <w:t>第三十六条第（二）项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2"/>
              </w:rPr>
              <w:t xml:space="preserve"> </w:t>
            </w:r>
            <w:r>
              <w:rPr>
                <w:spacing w:val="-2"/>
              </w:rPr>
              <w:t>的，处 1 万元以上 3万元以下的罚款</w:t>
            </w:r>
            <w:r>
              <w:rPr>
                <w:spacing w:val="3"/>
              </w:rPr>
              <w:t>：（</w:t>
            </w:r>
            <w:r>
              <w:rPr>
                <w:spacing w:val="-2"/>
              </w:rPr>
              <w:t>二）为未依法取得水路运输业务经营许可或者超越许可范围的经营</w:t>
            </w:r>
            <w:r>
              <w:t xml:space="preserve"> </w:t>
            </w:r>
            <w:r>
              <w:rPr>
                <w:spacing w:val="-2"/>
              </w:rPr>
              <w:t>者提供水路运输辅助服务。</w:t>
            </w:r>
          </w:p>
        </w:tc>
        <w:tc>
          <w:tcPr>
            <w:tcW w:w="1029" w:type="dxa"/>
            <w:vAlign w:val="top"/>
          </w:tcPr>
          <w:p w14:paraId="13F9741C">
            <w:pPr>
              <w:spacing w:line="241" w:lineRule="auto"/>
              <w:rPr>
                <w:rFonts w:ascii="Arial"/>
                <w:sz w:val="21"/>
              </w:rPr>
            </w:pPr>
          </w:p>
          <w:p w14:paraId="1CE2D046">
            <w:pPr>
              <w:spacing w:line="241" w:lineRule="auto"/>
              <w:rPr>
                <w:rFonts w:ascii="Arial"/>
                <w:sz w:val="21"/>
              </w:rPr>
            </w:pPr>
          </w:p>
          <w:p w14:paraId="72A436E1">
            <w:pPr>
              <w:spacing w:line="241" w:lineRule="auto"/>
              <w:rPr>
                <w:rFonts w:ascii="Arial"/>
                <w:sz w:val="21"/>
              </w:rPr>
            </w:pPr>
          </w:p>
          <w:p w14:paraId="3A9318FA">
            <w:pPr>
              <w:spacing w:line="241" w:lineRule="auto"/>
              <w:rPr>
                <w:rFonts w:ascii="Arial"/>
                <w:sz w:val="21"/>
              </w:rPr>
            </w:pPr>
          </w:p>
          <w:p w14:paraId="1ADBF2B6">
            <w:pPr>
              <w:spacing w:line="241" w:lineRule="auto"/>
              <w:rPr>
                <w:rFonts w:ascii="Arial"/>
                <w:sz w:val="21"/>
              </w:rPr>
            </w:pPr>
          </w:p>
          <w:p w14:paraId="44FD6A4E">
            <w:pPr>
              <w:spacing w:line="242" w:lineRule="auto"/>
              <w:rPr>
                <w:rFonts w:ascii="Arial"/>
                <w:sz w:val="21"/>
              </w:rPr>
            </w:pPr>
          </w:p>
          <w:p w14:paraId="2F492533">
            <w:pPr>
              <w:pStyle w:val="8"/>
              <w:spacing w:before="59" w:line="233" w:lineRule="auto"/>
              <w:ind w:left="160" w:right="152" w:firstLine="2"/>
            </w:pPr>
            <w:r>
              <w:rPr>
                <w:spacing w:val="-3"/>
              </w:rPr>
              <w:t>交通运输</w:t>
            </w:r>
            <w:r>
              <w:t xml:space="preserve"> </w:t>
            </w:r>
            <w:r>
              <w:rPr>
                <w:spacing w:val="-3"/>
              </w:rPr>
              <w:t>主管部门</w:t>
            </w:r>
          </w:p>
        </w:tc>
        <w:tc>
          <w:tcPr>
            <w:tcW w:w="1429" w:type="dxa"/>
            <w:vAlign w:val="top"/>
          </w:tcPr>
          <w:p w14:paraId="6723AE93">
            <w:pPr>
              <w:spacing w:line="241" w:lineRule="auto"/>
              <w:rPr>
                <w:rFonts w:ascii="Arial"/>
                <w:sz w:val="21"/>
              </w:rPr>
            </w:pPr>
          </w:p>
          <w:p w14:paraId="2D086BFA">
            <w:pPr>
              <w:spacing w:line="241" w:lineRule="auto"/>
              <w:rPr>
                <w:rFonts w:ascii="Arial"/>
                <w:sz w:val="21"/>
              </w:rPr>
            </w:pPr>
          </w:p>
          <w:p w14:paraId="2C6F0039">
            <w:pPr>
              <w:spacing w:line="241" w:lineRule="auto"/>
              <w:rPr>
                <w:rFonts w:ascii="Arial"/>
                <w:sz w:val="21"/>
              </w:rPr>
            </w:pPr>
          </w:p>
          <w:p w14:paraId="22F4FC6C">
            <w:pPr>
              <w:spacing w:line="241" w:lineRule="auto"/>
              <w:rPr>
                <w:rFonts w:ascii="Arial"/>
                <w:sz w:val="21"/>
              </w:rPr>
            </w:pPr>
          </w:p>
          <w:p w14:paraId="4A19B598">
            <w:pPr>
              <w:spacing w:line="241" w:lineRule="auto"/>
              <w:rPr>
                <w:rFonts w:ascii="Arial"/>
                <w:sz w:val="21"/>
              </w:rPr>
            </w:pPr>
          </w:p>
          <w:p w14:paraId="1D69C695">
            <w:pPr>
              <w:spacing w:line="242" w:lineRule="auto"/>
              <w:rPr>
                <w:rFonts w:ascii="Arial"/>
                <w:sz w:val="21"/>
              </w:rPr>
            </w:pPr>
          </w:p>
          <w:p w14:paraId="1117BE2C">
            <w:pPr>
              <w:pStyle w:val="8"/>
              <w:spacing w:before="59" w:line="234"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0A74246C">
            <w:pPr>
              <w:spacing w:line="244" w:lineRule="auto"/>
              <w:rPr>
                <w:rFonts w:ascii="Arial"/>
                <w:sz w:val="21"/>
              </w:rPr>
            </w:pPr>
          </w:p>
          <w:p w14:paraId="56EDB75F">
            <w:pPr>
              <w:spacing w:line="244" w:lineRule="auto"/>
              <w:rPr>
                <w:rFonts w:ascii="Arial"/>
                <w:sz w:val="21"/>
              </w:rPr>
            </w:pPr>
          </w:p>
          <w:p w14:paraId="629A4886">
            <w:pPr>
              <w:spacing w:line="244" w:lineRule="auto"/>
              <w:rPr>
                <w:rFonts w:ascii="Arial"/>
                <w:sz w:val="21"/>
              </w:rPr>
            </w:pPr>
          </w:p>
          <w:p w14:paraId="3F7F43B6">
            <w:pPr>
              <w:spacing w:line="244" w:lineRule="auto"/>
              <w:rPr>
                <w:rFonts w:ascii="Arial"/>
                <w:sz w:val="21"/>
              </w:rPr>
            </w:pPr>
          </w:p>
          <w:p w14:paraId="479AFFBD">
            <w:pPr>
              <w:spacing w:line="244" w:lineRule="auto"/>
              <w:rPr>
                <w:rFonts w:ascii="Arial"/>
                <w:sz w:val="21"/>
              </w:rPr>
            </w:pPr>
          </w:p>
          <w:p w14:paraId="32045478">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233F4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4" w:hRule="atLeast"/>
        </w:trPr>
        <w:tc>
          <w:tcPr>
            <w:tcW w:w="634" w:type="dxa"/>
            <w:vAlign w:val="top"/>
          </w:tcPr>
          <w:p w14:paraId="21E9F428">
            <w:pPr>
              <w:spacing w:line="261" w:lineRule="auto"/>
              <w:rPr>
                <w:rFonts w:ascii="Arial"/>
                <w:sz w:val="21"/>
              </w:rPr>
            </w:pPr>
          </w:p>
          <w:p w14:paraId="41956A32">
            <w:pPr>
              <w:spacing w:line="261" w:lineRule="auto"/>
              <w:rPr>
                <w:rFonts w:ascii="Arial"/>
                <w:sz w:val="21"/>
              </w:rPr>
            </w:pPr>
          </w:p>
          <w:p w14:paraId="6B4236CF">
            <w:pPr>
              <w:spacing w:line="261" w:lineRule="auto"/>
              <w:rPr>
                <w:rFonts w:ascii="Arial"/>
                <w:sz w:val="21"/>
              </w:rPr>
            </w:pPr>
          </w:p>
          <w:p w14:paraId="4A42B158">
            <w:pPr>
              <w:spacing w:line="261" w:lineRule="auto"/>
              <w:rPr>
                <w:rFonts w:ascii="Arial"/>
                <w:sz w:val="21"/>
              </w:rPr>
            </w:pPr>
          </w:p>
          <w:p w14:paraId="00D36D20">
            <w:pPr>
              <w:spacing w:line="262" w:lineRule="auto"/>
              <w:rPr>
                <w:rFonts w:ascii="Arial"/>
                <w:sz w:val="21"/>
              </w:rPr>
            </w:pPr>
          </w:p>
          <w:p w14:paraId="7F5F99B4">
            <w:pPr>
              <w:spacing w:line="262" w:lineRule="auto"/>
              <w:rPr>
                <w:rFonts w:ascii="Arial"/>
                <w:sz w:val="21"/>
              </w:rPr>
            </w:pPr>
          </w:p>
          <w:p w14:paraId="05F1F124">
            <w:pPr>
              <w:pStyle w:val="8"/>
              <w:spacing w:before="59" w:line="184" w:lineRule="auto"/>
              <w:ind w:left="244"/>
            </w:pPr>
            <w:r>
              <w:rPr>
                <w:spacing w:val="-10"/>
              </w:rPr>
              <w:t>19</w:t>
            </w:r>
          </w:p>
        </w:tc>
        <w:tc>
          <w:tcPr>
            <w:tcW w:w="1121" w:type="dxa"/>
            <w:vAlign w:val="top"/>
          </w:tcPr>
          <w:p w14:paraId="7CB937CC">
            <w:pPr>
              <w:pStyle w:val="8"/>
              <w:spacing w:before="26" w:line="246" w:lineRule="auto"/>
              <w:ind w:left="114" w:right="110"/>
              <w:jc w:val="both"/>
            </w:pPr>
            <w:r>
              <w:rPr>
                <w:spacing w:val="-2"/>
              </w:rPr>
              <w:t>对水路运输</w:t>
            </w:r>
            <w:r>
              <w:t xml:space="preserve"> </w:t>
            </w:r>
            <w:r>
              <w:rPr>
                <w:spacing w:val="-2"/>
              </w:rPr>
              <w:t>辅助业务经</w:t>
            </w:r>
            <w:r>
              <w:t xml:space="preserve"> </w:t>
            </w:r>
            <w:r>
              <w:rPr>
                <w:spacing w:val="-2"/>
              </w:rPr>
              <w:t>营者与船舶</w:t>
            </w:r>
            <w:r>
              <w:t xml:space="preserve"> </w:t>
            </w:r>
            <w:r>
              <w:rPr>
                <w:spacing w:val="-2"/>
              </w:rPr>
              <w:t>所有人、经</w:t>
            </w:r>
            <w:r>
              <w:t xml:space="preserve"> </w:t>
            </w:r>
            <w:r>
              <w:rPr>
                <w:spacing w:val="-4"/>
              </w:rPr>
              <w:t>营人、承租</w:t>
            </w:r>
            <w:r>
              <w:rPr>
                <w:spacing w:val="3"/>
              </w:rPr>
              <w:t xml:space="preserve"> </w:t>
            </w:r>
            <w:r>
              <w:rPr>
                <w:spacing w:val="-2"/>
              </w:rPr>
              <w:t>人未订立船</w:t>
            </w:r>
            <w:r>
              <w:t xml:space="preserve"> </w:t>
            </w:r>
            <w:r>
              <w:rPr>
                <w:spacing w:val="-2"/>
              </w:rPr>
              <w:t>舶管理协议</w:t>
            </w:r>
            <w:r>
              <w:t xml:space="preserve"> </w:t>
            </w:r>
            <w:r>
              <w:rPr>
                <w:spacing w:val="-2"/>
              </w:rPr>
              <w:t>或者协议未</w:t>
            </w:r>
            <w:r>
              <w:t xml:space="preserve"> </w:t>
            </w:r>
            <w:r>
              <w:rPr>
                <w:spacing w:val="-8"/>
              </w:rPr>
              <w:t>对</w:t>
            </w:r>
            <w:r>
              <w:rPr>
                <w:spacing w:val="-21"/>
              </w:rPr>
              <w:t xml:space="preserve"> </w:t>
            </w:r>
            <w:r>
              <w:rPr>
                <w:spacing w:val="-8"/>
              </w:rPr>
              <w:t>船</w:t>
            </w:r>
            <w:r>
              <w:rPr>
                <w:spacing w:val="-24"/>
              </w:rPr>
              <w:t xml:space="preserve"> </w:t>
            </w:r>
            <w:r>
              <w:rPr>
                <w:spacing w:val="-8"/>
              </w:rPr>
              <w:t>舶</w:t>
            </w:r>
            <w:r>
              <w:rPr>
                <w:spacing w:val="-23"/>
              </w:rPr>
              <w:t xml:space="preserve"> </w:t>
            </w:r>
            <w:r>
              <w:rPr>
                <w:spacing w:val="-8"/>
              </w:rPr>
              <w:t>海</w:t>
            </w:r>
            <w:r>
              <w:t xml:space="preserve"> </w:t>
            </w:r>
            <w:r>
              <w:rPr>
                <w:spacing w:val="-2"/>
              </w:rPr>
              <w:t>务、机务管</w:t>
            </w:r>
            <w:r>
              <w:t xml:space="preserve"> </w:t>
            </w:r>
            <w:r>
              <w:rPr>
                <w:spacing w:val="-2"/>
              </w:rPr>
              <w:t>理责任做出</w:t>
            </w:r>
            <w:r>
              <w:t xml:space="preserve"> </w:t>
            </w:r>
            <w:r>
              <w:rPr>
                <w:spacing w:val="-2"/>
              </w:rPr>
              <w:t>明确规定行</w:t>
            </w:r>
            <w:r>
              <w:t xml:space="preserve"> </w:t>
            </w:r>
            <w:r>
              <w:rPr>
                <w:spacing w:val="-2"/>
              </w:rPr>
              <w:t>为的行政处</w:t>
            </w:r>
            <w:r>
              <w:t xml:space="preserve"> 罚</w:t>
            </w:r>
          </w:p>
        </w:tc>
        <w:tc>
          <w:tcPr>
            <w:tcW w:w="1121" w:type="dxa"/>
            <w:vAlign w:val="top"/>
          </w:tcPr>
          <w:p w14:paraId="37EAC679">
            <w:pPr>
              <w:spacing w:line="256" w:lineRule="auto"/>
              <w:rPr>
                <w:rFonts w:ascii="Arial"/>
                <w:sz w:val="21"/>
              </w:rPr>
            </w:pPr>
          </w:p>
          <w:p w14:paraId="074A17A7">
            <w:pPr>
              <w:spacing w:line="257" w:lineRule="auto"/>
              <w:rPr>
                <w:rFonts w:ascii="Arial"/>
                <w:sz w:val="21"/>
              </w:rPr>
            </w:pPr>
          </w:p>
          <w:p w14:paraId="675F26D3">
            <w:pPr>
              <w:spacing w:line="257" w:lineRule="auto"/>
              <w:rPr>
                <w:rFonts w:ascii="Arial"/>
                <w:sz w:val="21"/>
              </w:rPr>
            </w:pPr>
          </w:p>
          <w:p w14:paraId="7B751BBD">
            <w:pPr>
              <w:spacing w:line="257" w:lineRule="auto"/>
              <w:rPr>
                <w:rFonts w:ascii="Arial"/>
                <w:sz w:val="21"/>
              </w:rPr>
            </w:pPr>
          </w:p>
          <w:p w14:paraId="72E0395A">
            <w:pPr>
              <w:spacing w:line="257" w:lineRule="auto"/>
              <w:rPr>
                <w:rFonts w:ascii="Arial"/>
                <w:sz w:val="21"/>
              </w:rPr>
            </w:pPr>
          </w:p>
          <w:p w14:paraId="2ADA7CE3">
            <w:pPr>
              <w:spacing w:line="257" w:lineRule="auto"/>
              <w:rPr>
                <w:rFonts w:ascii="Arial"/>
                <w:sz w:val="21"/>
              </w:rPr>
            </w:pPr>
          </w:p>
          <w:p w14:paraId="29A1C2F8">
            <w:pPr>
              <w:pStyle w:val="8"/>
              <w:spacing w:before="58" w:line="220" w:lineRule="auto"/>
              <w:ind w:left="9"/>
            </w:pPr>
            <w:r>
              <w:rPr>
                <w:spacing w:val="-4"/>
              </w:rPr>
              <w:t>行政处罚</w:t>
            </w:r>
          </w:p>
        </w:tc>
        <w:tc>
          <w:tcPr>
            <w:tcW w:w="8692" w:type="dxa"/>
            <w:vAlign w:val="top"/>
          </w:tcPr>
          <w:p w14:paraId="44AAEE31">
            <w:pPr>
              <w:spacing w:line="305" w:lineRule="auto"/>
              <w:rPr>
                <w:rFonts w:ascii="Arial"/>
                <w:sz w:val="21"/>
              </w:rPr>
            </w:pPr>
          </w:p>
          <w:p w14:paraId="696B2C37">
            <w:pPr>
              <w:spacing w:line="305" w:lineRule="auto"/>
              <w:rPr>
                <w:rFonts w:ascii="Arial"/>
                <w:sz w:val="21"/>
              </w:rPr>
            </w:pPr>
          </w:p>
          <w:p w14:paraId="5C77221E">
            <w:pPr>
              <w:pStyle w:val="8"/>
              <w:spacing w:before="59" w:line="219" w:lineRule="auto"/>
              <w:ind w:left="478"/>
            </w:pPr>
            <w:r>
              <w:rPr>
                <w:b/>
                <w:bCs/>
                <w:spacing w:val="-3"/>
              </w:rPr>
              <w:t>《国内水路运输辅助业管理规定》（交通运输部令2014年第3号）</w:t>
            </w:r>
          </w:p>
          <w:p w14:paraId="46430169">
            <w:pPr>
              <w:pStyle w:val="8"/>
              <w:spacing w:before="20" w:line="230" w:lineRule="auto"/>
              <w:ind w:left="115" w:right="109" w:firstLine="359"/>
            </w:pPr>
            <w:r>
              <w:t>第十六条  船舶管理业务经营者接受委托提供船舶管理服务，应当与委托人订立书面协议，载明委托双</w:t>
            </w:r>
            <w:r>
              <w:rPr>
                <w:spacing w:val="1"/>
              </w:rPr>
              <w:t xml:space="preserve"> </w:t>
            </w:r>
            <w:r>
              <w:rPr>
                <w:spacing w:val="-3"/>
              </w:rPr>
              <w:t>方当事人的权利义务。</w:t>
            </w:r>
          </w:p>
          <w:p w14:paraId="0A6EAF43">
            <w:pPr>
              <w:pStyle w:val="8"/>
              <w:spacing w:before="19" w:line="229" w:lineRule="auto"/>
              <w:ind w:left="135" w:right="109" w:firstLine="339"/>
            </w:pPr>
            <w:r>
              <w:t>船舶管理业务经营者应当将船舶管理协议报其所在地和船籍港所在地县级以上人民政府水路运输管理部</w:t>
            </w:r>
            <w:r>
              <w:rPr>
                <w:spacing w:val="1"/>
              </w:rPr>
              <w:t xml:space="preserve"> </w:t>
            </w:r>
            <w:r>
              <w:rPr>
                <w:spacing w:val="-11"/>
              </w:rPr>
              <w:t>门备案。</w:t>
            </w:r>
          </w:p>
          <w:p w14:paraId="2C8B5206">
            <w:pPr>
              <w:pStyle w:val="8"/>
              <w:spacing w:before="19" w:line="234" w:lineRule="auto"/>
              <w:ind w:left="116" w:right="100" w:firstLine="351"/>
              <w:jc w:val="both"/>
            </w:pPr>
            <w:r>
              <w:t>第三十六条第（三）项  水路运输辅助业务经营者违反本规定，有下列行为之一的，由其所在地县级以</w:t>
            </w:r>
            <w:r>
              <w:rPr>
                <w:spacing w:val="11"/>
              </w:rPr>
              <w:t xml:space="preserve"> </w:t>
            </w:r>
            <w:r>
              <w:rPr>
                <w:spacing w:val="-5"/>
              </w:rPr>
              <w:t>上人民政府水路运输管理部门责令改正，处 2000 元以上 1 万元以下的罚款；一年内累计三次以上违反本规定</w:t>
            </w:r>
            <w:r>
              <w:rPr>
                <w:spacing w:val="4"/>
              </w:rPr>
              <w:t xml:space="preserve"> </w:t>
            </w:r>
            <w:r>
              <w:rPr>
                <w:spacing w:val="-2"/>
              </w:rPr>
              <w:t>的，处 1 万元以上 3万元以下的罚款</w:t>
            </w:r>
            <w:r>
              <w:rPr>
                <w:spacing w:val="4"/>
              </w:rPr>
              <w:t>：（</w:t>
            </w:r>
            <w:r>
              <w:rPr>
                <w:spacing w:val="-2"/>
              </w:rPr>
              <w:t>三）与船舶所有人、经营人、承租人未订立船舶管理协议或者协议</w:t>
            </w:r>
            <w:r>
              <w:t xml:space="preserve"> </w:t>
            </w:r>
            <w:r>
              <w:rPr>
                <w:spacing w:val="-3"/>
              </w:rPr>
              <w:t>未对船舶海务、机务管理责任做出明确规定。</w:t>
            </w:r>
          </w:p>
        </w:tc>
        <w:tc>
          <w:tcPr>
            <w:tcW w:w="1029" w:type="dxa"/>
            <w:vAlign w:val="top"/>
          </w:tcPr>
          <w:p w14:paraId="0C094539">
            <w:pPr>
              <w:spacing w:line="283" w:lineRule="auto"/>
              <w:rPr>
                <w:rFonts w:ascii="Arial"/>
                <w:sz w:val="21"/>
              </w:rPr>
            </w:pPr>
          </w:p>
          <w:p w14:paraId="57442AF0">
            <w:pPr>
              <w:spacing w:line="283" w:lineRule="auto"/>
              <w:rPr>
                <w:rFonts w:ascii="Arial"/>
                <w:sz w:val="21"/>
              </w:rPr>
            </w:pPr>
          </w:p>
          <w:p w14:paraId="1F1F3E3B">
            <w:pPr>
              <w:spacing w:line="283" w:lineRule="auto"/>
              <w:rPr>
                <w:rFonts w:ascii="Arial"/>
                <w:sz w:val="21"/>
              </w:rPr>
            </w:pPr>
          </w:p>
          <w:p w14:paraId="3723C45F">
            <w:pPr>
              <w:spacing w:line="283" w:lineRule="auto"/>
              <w:rPr>
                <w:rFonts w:ascii="Arial"/>
                <w:sz w:val="21"/>
              </w:rPr>
            </w:pPr>
          </w:p>
          <w:p w14:paraId="70D69645">
            <w:pPr>
              <w:spacing w:line="283" w:lineRule="auto"/>
              <w:rPr>
                <w:rFonts w:ascii="Arial"/>
                <w:sz w:val="21"/>
              </w:rPr>
            </w:pPr>
          </w:p>
          <w:p w14:paraId="726887FC">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232DB2D8">
            <w:pPr>
              <w:spacing w:line="283" w:lineRule="auto"/>
              <w:rPr>
                <w:rFonts w:ascii="Arial"/>
                <w:sz w:val="21"/>
              </w:rPr>
            </w:pPr>
          </w:p>
          <w:p w14:paraId="2DE6050D">
            <w:pPr>
              <w:spacing w:line="283" w:lineRule="auto"/>
              <w:rPr>
                <w:rFonts w:ascii="Arial"/>
                <w:sz w:val="21"/>
              </w:rPr>
            </w:pPr>
          </w:p>
          <w:p w14:paraId="4D38E75F">
            <w:pPr>
              <w:spacing w:line="283" w:lineRule="auto"/>
              <w:rPr>
                <w:rFonts w:ascii="Arial"/>
                <w:sz w:val="21"/>
              </w:rPr>
            </w:pPr>
          </w:p>
          <w:p w14:paraId="29C15FD3">
            <w:pPr>
              <w:spacing w:line="283" w:lineRule="auto"/>
              <w:rPr>
                <w:rFonts w:ascii="Arial"/>
                <w:sz w:val="21"/>
              </w:rPr>
            </w:pPr>
          </w:p>
          <w:p w14:paraId="38E9C1C8">
            <w:pPr>
              <w:spacing w:line="283" w:lineRule="auto"/>
              <w:rPr>
                <w:rFonts w:ascii="Arial"/>
                <w:sz w:val="21"/>
              </w:rPr>
            </w:pPr>
          </w:p>
          <w:p w14:paraId="1CF5F88C">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09D97B42">
            <w:pPr>
              <w:spacing w:line="297" w:lineRule="auto"/>
              <w:rPr>
                <w:rFonts w:ascii="Arial"/>
                <w:sz w:val="21"/>
              </w:rPr>
            </w:pPr>
          </w:p>
          <w:p w14:paraId="12C47465">
            <w:pPr>
              <w:spacing w:line="297" w:lineRule="auto"/>
              <w:rPr>
                <w:rFonts w:ascii="Arial"/>
                <w:sz w:val="21"/>
              </w:rPr>
            </w:pPr>
          </w:p>
          <w:p w14:paraId="7FB66386">
            <w:pPr>
              <w:spacing w:line="298" w:lineRule="auto"/>
              <w:rPr>
                <w:rFonts w:ascii="Arial"/>
                <w:sz w:val="21"/>
              </w:rPr>
            </w:pPr>
          </w:p>
          <w:p w14:paraId="5A37E580">
            <w:pPr>
              <w:spacing w:line="298" w:lineRule="auto"/>
              <w:rPr>
                <w:rFonts w:ascii="Arial"/>
                <w:sz w:val="21"/>
              </w:rPr>
            </w:pPr>
          </w:p>
          <w:p w14:paraId="3CEF1465">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3C498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3" w:hRule="atLeast"/>
        </w:trPr>
        <w:tc>
          <w:tcPr>
            <w:tcW w:w="634" w:type="dxa"/>
            <w:vAlign w:val="top"/>
          </w:tcPr>
          <w:p w14:paraId="01015ABB">
            <w:pPr>
              <w:spacing w:line="290" w:lineRule="auto"/>
              <w:rPr>
                <w:rFonts w:ascii="Arial"/>
                <w:sz w:val="21"/>
              </w:rPr>
            </w:pPr>
          </w:p>
          <w:p w14:paraId="77CC1B2F">
            <w:pPr>
              <w:spacing w:line="291" w:lineRule="auto"/>
              <w:rPr>
                <w:rFonts w:ascii="Arial"/>
                <w:sz w:val="21"/>
              </w:rPr>
            </w:pPr>
          </w:p>
          <w:p w14:paraId="1599C536">
            <w:pPr>
              <w:spacing w:line="291" w:lineRule="auto"/>
              <w:rPr>
                <w:rFonts w:ascii="Arial"/>
                <w:sz w:val="21"/>
              </w:rPr>
            </w:pPr>
          </w:p>
          <w:p w14:paraId="136C54CA">
            <w:pPr>
              <w:pStyle w:val="8"/>
              <w:spacing w:before="59" w:line="183" w:lineRule="auto"/>
              <w:ind w:left="232"/>
            </w:pPr>
            <w:r>
              <w:rPr>
                <w:spacing w:val="-4"/>
              </w:rPr>
              <w:t>20</w:t>
            </w:r>
          </w:p>
        </w:tc>
        <w:tc>
          <w:tcPr>
            <w:tcW w:w="1121" w:type="dxa"/>
            <w:vAlign w:val="top"/>
          </w:tcPr>
          <w:p w14:paraId="732953C7">
            <w:pPr>
              <w:pStyle w:val="8"/>
              <w:spacing w:before="59" w:line="245" w:lineRule="auto"/>
              <w:ind w:left="116" w:right="110" w:hanging="2"/>
            </w:pPr>
            <w:r>
              <w:rPr>
                <w:spacing w:val="-2"/>
              </w:rPr>
              <w:t>对水路运输</w:t>
            </w:r>
            <w:r>
              <w:t xml:space="preserve"> </w:t>
            </w:r>
            <w:r>
              <w:rPr>
                <w:spacing w:val="-3"/>
              </w:rPr>
              <w:t>辅助业务经</w:t>
            </w:r>
            <w:r>
              <w:rPr>
                <w:spacing w:val="3"/>
              </w:rPr>
              <w:t xml:space="preserve"> </w:t>
            </w:r>
            <w:r>
              <w:rPr>
                <w:spacing w:val="-3"/>
              </w:rPr>
              <w:t>营者未订立</w:t>
            </w:r>
            <w:r>
              <w:rPr>
                <w:spacing w:val="3"/>
              </w:rPr>
              <w:t xml:space="preserve"> </w:t>
            </w:r>
            <w:r>
              <w:rPr>
                <w:spacing w:val="-3"/>
              </w:rPr>
              <w:t>书面合同、</w:t>
            </w:r>
            <w:r>
              <w:rPr>
                <w:spacing w:val="3"/>
              </w:rPr>
              <w:t xml:space="preserve"> </w:t>
            </w:r>
            <w:r>
              <w:rPr>
                <w:spacing w:val="-3"/>
              </w:rPr>
              <w:t>强行代理或</w:t>
            </w:r>
            <w:r>
              <w:rPr>
                <w:spacing w:val="3"/>
              </w:rPr>
              <w:t xml:space="preserve"> </w:t>
            </w:r>
            <w:r>
              <w:rPr>
                <w:spacing w:val="-3"/>
              </w:rPr>
              <w:t>者代办业务</w:t>
            </w:r>
            <w:r>
              <w:rPr>
                <w:spacing w:val="3"/>
              </w:rPr>
              <w:t xml:space="preserve"> </w:t>
            </w:r>
            <w:r>
              <w:rPr>
                <w:spacing w:val="-3"/>
              </w:rPr>
              <w:t>行为的行政</w:t>
            </w:r>
            <w:r>
              <w:rPr>
                <w:spacing w:val="3"/>
              </w:rPr>
              <w:t xml:space="preserve"> </w:t>
            </w:r>
            <w:r>
              <w:rPr>
                <w:spacing w:val="-5"/>
              </w:rPr>
              <w:t>处罚</w:t>
            </w:r>
          </w:p>
        </w:tc>
        <w:tc>
          <w:tcPr>
            <w:tcW w:w="1121" w:type="dxa"/>
            <w:vAlign w:val="top"/>
          </w:tcPr>
          <w:p w14:paraId="50B1D833">
            <w:pPr>
              <w:spacing w:line="242" w:lineRule="auto"/>
              <w:rPr>
                <w:rFonts w:ascii="Arial"/>
                <w:sz w:val="21"/>
              </w:rPr>
            </w:pPr>
          </w:p>
          <w:p w14:paraId="1D9EB65A">
            <w:pPr>
              <w:spacing w:line="242" w:lineRule="auto"/>
              <w:rPr>
                <w:rFonts w:ascii="Arial"/>
                <w:sz w:val="21"/>
              </w:rPr>
            </w:pPr>
          </w:p>
          <w:p w14:paraId="75BA0765">
            <w:pPr>
              <w:spacing w:line="243" w:lineRule="auto"/>
              <w:rPr>
                <w:rFonts w:ascii="Arial"/>
                <w:sz w:val="21"/>
              </w:rPr>
            </w:pPr>
          </w:p>
          <w:p w14:paraId="2EB3D09D">
            <w:pPr>
              <w:pStyle w:val="8"/>
              <w:spacing w:before="58" w:line="220" w:lineRule="auto"/>
              <w:ind w:left="9"/>
            </w:pPr>
            <w:r>
              <w:rPr>
                <w:spacing w:val="-4"/>
              </w:rPr>
              <w:t>行政处罚</w:t>
            </w:r>
          </w:p>
        </w:tc>
        <w:tc>
          <w:tcPr>
            <w:tcW w:w="8692" w:type="dxa"/>
            <w:vAlign w:val="top"/>
          </w:tcPr>
          <w:p w14:paraId="4F42C7CB">
            <w:pPr>
              <w:rPr>
                <w:rFonts w:ascii="Arial"/>
                <w:sz w:val="21"/>
              </w:rPr>
            </w:pPr>
          </w:p>
          <w:p w14:paraId="3FEC5CBC">
            <w:pPr>
              <w:pStyle w:val="8"/>
              <w:spacing w:before="58" w:line="219" w:lineRule="auto"/>
              <w:ind w:left="478"/>
            </w:pPr>
            <w:r>
              <w:rPr>
                <w:b/>
                <w:bCs/>
                <w:spacing w:val="-3"/>
              </w:rPr>
              <w:t>《国内水路运输辅助业管理规定》（交通运输部令2014年第3号）</w:t>
            </w:r>
          </w:p>
          <w:p w14:paraId="3B97B44B">
            <w:pPr>
              <w:pStyle w:val="8"/>
              <w:spacing w:before="19" w:line="219" w:lineRule="auto"/>
              <w:ind w:left="474"/>
            </w:pPr>
            <w:r>
              <w:t>第二十二条第（三）项  水路运输辅助业务经营者不得有以下行为：（三）未订立书面合同、强行代理</w:t>
            </w:r>
          </w:p>
          <w:p w14:paraId="5E594239">
            <w:pPr>
              <w:pStyle w:val="8"/>
              <w:spacing w:before="29" w:line="219" w:lineRule="auto"/>
              <w:ind w:left="116"/>
            </w:pPr>
            <w:r>
              <w:rPr>
                <w:spacing w:val="-2"/>
              </w:rPr>
              <w:t>或者代办业务；</w:t>
            </w:r>
          </w:p>
          <w:p w14:paraId="4DE8C062">
            <w:pPr>
              <w:pStyle w:val="8"/>
              <w:spacing w:before="27"/>
              <w:ind w:left="116" w:right="102" w:firstLine="358"/>
              <w:jc w:val="both"/>
            </w:pPr>
            <w:r>
              <w:t>第三十六条第（四）项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2"/>
              </w:rPr>
              <w:t xml:space="preserve"> </w:t>
            </w:r>
            <w:r>
              <w:rPr>
                <w:spacing w:val="-3"/>
              </w:rPr>
              <w:t>的，处 1 万元以上</w:t>
            </w:r>
            <w:r>
              <w:rPr>
                <w:spacing w:val="-16"/>
              </w:rPr>
              <w:t xml:space="preserve"> </w:t>
            </w:r>
            <w:r>
              <w:rPr>
                <w:spacing w:val="-3"/>
              </w:rPr>
              <w:t>3万元以下的罚款</w:t>
            </w:r>
            <w:r>
              <w:rPr>
                <w:spacing w:val="-16"/>
              </w:rPr>
              <w:t>：（</w:t>
            </w:r>
            <w:r>
              <w:rPr>
                <w:spacing w:val="-3"/>
              </w:rPr>
              <w:t>四）</w:t>
            </w:r>
            <w:r>
              <w:rPr>
                <w:spacing w:val="-4"/>
              </w:rPr>
              <w:t>未订立书面合同、强行代理或者代办业务。</w:t>
            </w:r>
          </w:p>
        </w:tc>
        <w:tc>
          <w:tcPr>
            <w:tcW w:w="1029" w:type="dxa"/>
            <w:vAlign w:val="top"/>
          </w:tcPr>
          <w:p w14:paraId="433F0C21">
            <w:pPr>
              <w:spacing w:line="359" w:lineRule="auto"/>
              <w:rPr>
                <w:rFonts w:ascii="Arial"/>
                <w:sz w:val="21"/>
              </w:rPr>
            </w:pPr>
          </w:p>
          <w:p w14:paraId="3B44A1EF">
            <w:pPr>
              <w:spacing w:line="359" w:lineRule="auto"/>
              <w:rPr>
                <w:rFonts w:ascii="Arial"/>
                <w:sz w:val="21"/>
              </w:rPr>
            </w:pPr>
          </w:p>
          <w:p w14:paraId="1CB6A967">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22196672">
            <w:pPr>
              <w:spacing w:line="359" w:lineRule="auto"/>
              <w:rPr>
                <w:rFonts w:ascii="Arial"/>
                <w:sz w:val="21"/>
              </w:rPr>
            </w:pPr>
          </w:p>
          <w:p w14:paraId="2450F1D9">
            <w:pPr>
              <w:spacing w:line="359" w:lineRule="auto"/>
              <w:rPr>
                <w:rFonts w:ascii="Arial"/>
                <w:sz w:val="21"/>
              </w:rPr>
            </w:pPr>
          </w:p>
          <w:p w14:paraId="787030E5">
            <w:pPr>
              <w:pStyle w:val="8"/>
              <w:spacing w:before="59"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5B7BB933">
            <w:pPr>
              <w:spacing w:line="246" w:lineRule="auto"/>
              <w:rPr>
                <w:rFonts w:ascii="Arial"/>
                <w:sz w:val="21"/>
              </w:rPr>
            </w:pPr>
          </w:p>
          <w:p w14:paraId="45360CD6">
            <w:pPr>
              <w:spacing w:line="247" w:lineRule="auto"/>
              <w:rPr>
                <w:rFonts w:ascii="Arial"/>
                <w:sz w:val="21"/>
              </w:rPr>
            </w:pPr>
          </w:p>
          <w:p w14:paraId="1EB91D44">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6AE205B9">
      <w:pPr>
        <w:pStyle w:val="2"/>
      </w:pPr>
    </w:p>
    <w:p w14:paraId="79A40D9C">
      <w:pPr>
        <w:sectPr>
          <w:footerReference r:id="rId222" w:type="default"/>
          <w:pgSz w:w="16840" w:h="11910"/>
          <w:pgMar w:top="1012" w:right="888" w:bottom="966" w:left="887" w:header="0" w:footer="768" w:gutter="0"/>
          <w:cols w:space="720" w:num="1"/>
        </w:sectPr>
      </w:pPr>
    </w:p>
    <w:p w14:paraId="4D112B99">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661DD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34" w:type="dxa"/>
            <w:vMerge w:val="restart"/>
            <w:tcBorders>
              <w:bottom w:val="nil"/>
            </w:tcBorders>
            <w:vAlign w:val="top"/>
          </w:tcPr>
          <w:p w14:paraId="453C54D0">
            <w:pPr>
              <w:pStyle w:val="8"/>
              <w:spacing w:before="221" w:line="221" w:lineRule="auto"/>
              <w:ind w:left="138"/>
            </w:pPr>
            <w:r>
              <w:rPr>
                <w:b/>
                <w:bCs/>
                <w:spacing w:val="-4"/>
              </w:rPr>
              <w:t>序号</w:t>
            </w:r>
          </w:p>
        </w:tc>
        <w:tc>
          <w:tcPr>
            <w:tcW w:w="1121" w:type="dxa"/>
            <w:vMerge w:val="restart"/>
            <w:tcBorders>
              <w:bottom w:val="nil"/>
            </w:tcBorders>
            <w:vAlign w:val="top"/>
          </w:tcPr>
          <w:p w14:paraId="79DEA7B4">
            <w:pPr>
              <w:pStyle w:val="8"/>
              <w:spacing w:before="221" w:line="220" w:lineRule="auto"/>
              <w:ind w:left="206"/>
            </w:pPr>
            <w:r>
              <w:rPr>
                <w:b/>
                <w:bCs/>
                <w:spacing w:val="-5"/>
              </w:rPr>
              <w:t>事项名称</w:t>
            </w:r>
          </w:p>
        </w:tc>
        <w:tc>
          <w:tcPr>
            <w:tcW w:w="1121" w:type="dxa"/>
            <w:vMerge w:val="restart"/>
            <w:tcBorders>
              <w:bottom w:val="nil"/>
            </w:tcBorders>
            <w:vAlign w:val="top"/>
          </w:tcPr>
          <w:p w14:paraId="49289BB7">
            <w:pPr>
              <w:pStyle w:val="8"/>
              <w:spacing w:before="222" w:line="219" w:lineRule="auto"/>
              <w:ind w:left="221"/>
            </w:pPr>
            <w:r>
              <w:rPr>
                <w:b/>
                <w:bCs/>
                <w:spacing w:val="-9"/>
              </w:rPr>
              <w:t>职权类型</w:t>
            </w:r>
          </w:p>
        </w:tc>
        <w:tc>
          <w:tcPr>
            <w:tcW w:w="8692" w:type="dxa"/>
            <w:vMerge w:val="restart"/>
            <w:tcBorders>
              <w:bottom w:val="nil"/>
            </w:tcBorders>
            <w:vAlign w:val="top"/>
          </w:tcPr>
          <w:p w14:paraId="53FFDA1F">
            <w:pPr>
              <w:pStyle w:val="8"/>
              <w:spacing w:before="221" w:line="219" w:lineRule="auto"/>
              <w:ind w:left="3999"/>
            </w:pPr>
            <w:r>
              <w:rPr>
                <w:b/>
                <w:bCs/>
                <w:spacing w:val="-6"/>
              </w:rPr>
              <w:t>实施依据</w:t>
            </w:r>
          </w:p>
        </w:tc>
        <w:tc>
          <w:tcPr>
            <w:tcW w:w="3491" w:type="dxa"/>
            <w:gridSpan w:val="3"/>
            <w:vAlign w:val="top"/>
          </w:tcPr>
          <w:p w14:paraId="70264D5C">
            <w:pPr>
              <w:pStyle w:val="8"/>
              <w:spacing w:before="85" w:line="220" w:lineRule="auto"/>
              <w:ind w:left="1399"/>
            </w:pPr>
            <w:r>
              <w:rPr>
                <w:b/>
                <w:bCs/>
                <w:spacing w:val="-6"/>
              </w:rPr>
              <w:t>实施主体</w:t>
            </w:r>
          </w:p>
        </w:tc>
      </w:tr>
      <w:tr w14:paraId="5C88E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29DFF218">
            <w:pPr>
              <w:rPr>
                <w:rFonts w:ascii="Arial"/>
                <w:sz w:val="21"/>
              </w:rPr>
            </w:pPr>
          </w:p>
        </w:tc>
        <w:tc>
          <w:tcPr>
            <w:tcW w:w="1121" w:type="dxa"/>
            <w:vMerge w:val="continue"/>
            <w:tcBorders>
              <w:top w:val="nil"/>
            </w:tcBorders>
            <w:vAlign w:val="top"/>
          </w:tcPr>
          <w:p w14:paraId="718173A9">
            <w:pPr>
              <w:rPr>
                <w:rFonts w:ascii="Arial"/>
                <w:sz w:val="21"/>
              </w:rPr>
            </w:pPr>
          </w:p>
        </w:tc>
        <w:tc>
          <w:tcPr>
            <w:tcW w:w="1121" w:type="dxa"/>
            <w:vMerge w:val="continue"/>
            <w:tcBorders>
              <w:top w:val="nil"/>
            </w:tcBorders>
            <w:vAlign w:val="top"/>
          </w:tcPr>
          <w:p w14:paraId="39E07E29">
            <w:pPr>
              <w:rPr>
                <w:rFonts w:ascii="Arial"/>
                <w:sz w:val="21"/>
              </w:rPr>
            </w:pPr>
          </w:p>
        </w:tc>
        <w:tc>
          <w:tcPr>
            <w:tcW w:w="8692" w:type="dxa"/>
            <w:vMerge w:val="continue"/>
            <w:tcBorders>
              <w:top w:val="nil"/>
            </w:tcBorders>
            <w:vAlign w:val="top"/>
          </w:tcPr>
          <w:p w14:paraId="420F1D5F">
            <w:pPr>
              <w:rPr>
                <w:rFonts w:ascii="Arial"/>
                <w:sz w:val="21"/>
              </w:rPr>
            </w:pPr>
          </w:p>
        </w:tc>
        <w:tc>
          <w:tcPr>
            <w:tcW w:w="1029" w:type="dxa"/>
            <w:vAlign w:val="top"/>
          </w:tcPr>
          <w:p w14:paraId="19FA6838">
            <w:pPr>
              <w:pStyle w:val="8"/>
              <w:spacing w:before="45" w:line="219" w:lineRule="auto"/>
              <w:ind w:left="172"/>
            </w:pPr>
            <w:r>
              <w:rPr>
                <w:b/>
                <w:bCs/>
                <w:spacing w:val="-6"/>
              </w:rPr>
              <w:t>责任部门</w:t>
            </w:r>
          </w:p>
        </w:tc>
        <w:tc>
          <w:tcPr>
            <w:tcW w:w="1429" w:type="dxa"/>
            <w:vAlign w:val="top"/>
          </w:tcPr>
          <w:p w14:paraId="0B549184">
            <w:pPr>
              <w:pStyle w:val="8"/>
              <w:spacing w:before="45" w:line="219" w:lineRule="auto"/>
              <w:ind w:left="188"/>
            </w:pPr>
            <w:r>
              <w:rPr>
                <w:b/>
                <w:bCs/>
                <w:spacing w:val="-4"/>
              </w:rPr>
              <w:t>第一责任层级</w:t>
            </w:r>
          </w:p>
        </w:tc>
        <w:tc>
          <w:tcPr>
            <w:tcW w:w="1033" w:type="dxa"/>
            <w:vAlign w:val="top"/>
          </w:tcPr>
          <w:p w14:paraId="70BA0934">
            <w:pPr>
              <w:pStyle w:val="8"/>
              <w:spacing w:before="45" w:line="219" w:lineRule="auto"/>
              <w:ind w:left="163"/>
            </w:pPr>
            <w:r>
              <w:rPr>
                <w:b/>
                <w:bCs/>
                <w:spacing w:val="-5"/>
              </w:rPr>
              <w:t>承办机构</w:t>
            </w:r>
          </w:p>
        </w:tc>
      </w:tr>
      <w:tr w14:paraId="3D7FC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6" w:hRule="atLeast"/>
        </w:trPr>
        <w:tc>
          <w:tcPr>
            <w:tcW w:w="634" w:type="dxa"/>
            <w:vAlign w:val="top"/>
          </w:tcPr>
          <w:p w14:paraId="0F81229E">
            <w:pPr>
              <w:spacing w:line="245" w:lineRule="auto"/>
              <w:rPr>
                <w:rFonts w:ascii="Arial"/>
                <w:sz w:val="21"/>
              </w:rPr>
            </w:pPr>
          </w:p>
          <w:p w14:paraId="3A50F85B">
            <w:pPr>
              <w:spacing w:line="246" w:lineRule="auto"/>
              <w:rPr>
                <w:rFonts w:ascii="Arial"/>
                <w:sz w:val="21"/>
              </w:rPr>
            </w:pPr>
          </w:p>
          <w:p w14:paraId="006FA7A3">
            <w:pPr>
              <w:spacing w:line="246" w:lineRule="auto"/>
              <w:rPr>
                <w:rFonts w:ascii="Arial"/>
                <w:sz w:val="21"/>
              </w:rPr>
            </w:pPr>
          </w:p>
          <w:p w14:paraId="5552FB15">
            <w:pPr>
              <w:spacing w:line="246" w:lineRule="auto"/>
              <w:rPr>
                <w:rFonts w:ascii="Arial"/>
                <w:sz w:val="21"/>
              </w:rPr>
            </w:pPr>
          </w:p>
          <w:p w14:paraId="367EB2A9">
            <w:pPr>
              <w:spacing w:line="246" w:lineRule="auto"/>
              <w:rPr>
                <w:rFonts w:ascii="Arial"/>
                <w:sz w:val="21"/>
              </w:rPr>
            </w:pPr>
          </w:p>
          <w:p w14:paraId="656035F7">
            <w:pPr>
              <w:pStyle w:val="8"/>
              <w:spacing w:before="58" w:line="184" w:lineRule="auto"/>
              <w:ind w:left="232"/>
            </w:pPr>
            <w:r>
              <w:rPr>
                <w:spacing w:val="-4"/>
              </w:rPr>
              <w:t>21</w:t>
            </w:r>
          </w:p>
        </w:tc>
        <w:tc>
          <w:tcPr>
            <w:tcW w:w="1121" w:type="dxa"/>
            <w:vAlign w:val="top"/>
          </w:tcPr>
          <w:p w14:paraId="16C13488">
            <w:pPr>
              <w:pStyle w:val="8"/>
              <w:spacing w:before="171" w:line="246" w:lineRule="auto"/>
              <w:ind w:left="114" w:right="110"/>
            </w:pPr>
            <w:r>
              <w:rPr>
                <w:spacing w:val="-2"/>
              </w:rPr>
              <w:t>对水路运输</w:t>
            </w:r>
            <w:r>
              <w:t xml:space="preserve"> </w:t>
            </w:r>
            <w:r>
              <w:rPr>
                <w:spacing w:val="-2"/>
              </w:rPr>
              <w:t>辅助业务经</w:t>
            </w:r>
            <w:r>
              <w:t xml:space="preserve"> </w:t>
            </w:r>
            <w:r>
              <w:rPr>
                <w:spacing w:val="-2"/>
              </w:rPr>
              <w:t>营者滥用优</w:t>
            </w:r>
            <w:r>
              <w:t xml:space="preserve"> </w:t>
            </w:r>
            <w:r>
              <w:rPr>
                <w:spacing w:val="-3"/>
              </w:rPr>
              <w:t>势地</w:t>
            </w:r>
            <w:r>
              <w:rPr>
                <w:spacing w:val="52"/>
              </w:rPr>
              <w:t xml:space="preserve"> </w:t>
            </w:r>
            <w:r>
              <w:rPr>
                <w:spacing w:val="-3"/>
              </w:rPr>
              <w:t>位，</w:t>
            </w:r>
            <w:r>
              <w:t xml:space="preserve"> </w:t>
            </w:r>
            <w:r>
              <w:rPr>
                <w:spacing w:val="-2"/>
              </w:rPr>
              <w:t>限制委托人</w:t>
            </w:r>
            <w:r>
              <w:t xml:space="preserve"> </w:t>
            </w:r>
            <w:r>
              <w:rPr>
                <w:spacing w:val="-2"/>
              </w:rPr>
              <w:t>选择其他代</w:t>
            </w:r>
            <w:r>
              <w:t xml:space="preserve"> </w:t>
            </w:r>
            <w:r>
              <w:rPr>
                <w:spacing w:val="-2"/>
              </w:rPr>
              <w:t>理或者船舶</w:t>
            </w:r>
            <w:r>
              <w:t xml:space="preserve"> </w:t>
            </w:r>
            <w:r>
              <w:rPr>
                <w:spacing w:val="-2"/>
              </w:rPr>
              <w:t>管理服务提</w:t>
            </w:r>
            <w:r>
              <w:t xml:space="preserve"> </w:t>
            </w:r>
            <w:r>
              <w:rPr>
                <w:spacing w:val="-2"/>
              </w:rPr>
              <w:t>供者行为的</w:t>
            </w:r>
            <w:r>
              <w:t xml:space="preserve"> </w:t>
            </w:r>
            <w:r>
              <w:rPr>
                <w:spacing w:val="-3"/>
              </w:rPr>
              <w:t>行政处罚</w:t>
            </w:r>
          </w:p>
        </w:tc>
        <w:tc>
          <w:tcPr>
            <w:tcW w:w="1121" w:type="dxa"/>
            <w:vAlign w:val="top"/>
          </w:tcPr>
          <w:p w14:paraId="42C5F0CF">
            <w:pPr>
              <w:rPr>
                <w:rFonts w:ascii="Arial"/>
                <w:sz w:val="21"/>
              </w:rPr>
            </w:pPr>
          </w:p>
          <w:p w14:paraId="7696B37F">
            <w:pPr>
              <w:rPr>
                <w:rFonts w:ascii="Arial"/>
                <w:sz w:val="21"/>
              </w:rPr>
            </w:pPr>
          </w:p>
          <w:p w14:paraId="363963D7">
            <w:pPr>
              <w:rPr>
                <w:rFonts w:ascii="Arial"/>
                <w:sz w:val="21"/>
              </w:rPr>
            </w:pPr>
          </w:p>
          <w:p w14:paraId="58A3C796">
            <w:pPr>
              <w:spacing w:line="241" w:lineRule="auto"/>
              <w:rPr>
                <w:rFonts w:ascii="Arial"/>
                <w:sz w:val="21"/>
              </w:rPr>
            </w:pPr>
          </w:p>
          <w:p w14:paraId="14C5407F">
            <w:pPr>
              <w:spacing w:line="241" w:lineRule="auto"/>
              <w:rPr>
                <w:rFonts w:ascii="Arial"/>
                <w:sz w:val="21"/>
              </w:rPr>
            </w:pPr>
          </w:p>
          <w:p w14:paraId="212A9BEC">
            <w:pPr>
              <w:pStyle w:val="8"/>
              <w:spacing w:before="58" w:line="220" w:lineRule="auto"/>
              <w:ind w:left="9"/>
            </w:pPr>
            <w:r>
              <w:rPr>
                <w:spacing w:val="-4"/>
              </w:rPr>
              <w:t>行政处罚</w:t>
            </w:r>
          </w:p>
        </w:tc>
        <w:tc>
          <w:tcPr>
            <w:tcW w:w="8692" w:type="dxa"/>
            <w:vAlign w:val="top"/>
          </w:tcPr>
          <w:p w14:paraId="34A688B5">
            <w:pPr>
              <w:spacing w:line="478" w:lineRule="auto"/>
              <w:rPr>
                <w:rFonts w:ascii="Arial"/>
                <w:sz w:val="21"/>
              </w:rPr>
            </w:pPr>
          </w:p>
          <w:p w14:paraId="0D91CD9D">
            <w:pPr>
              <w:pStyle w:val="8"/>
              <w:spacing w:before="59" w:line="219" w:lineRule="auto"/>
              <w:ind w:left="478"/>
            </w:pPr>
            <w:r>
              <w:rPr>
                <w:b/>
                <w:bCs/>
                <w:spacing w:val="-3"/>
              </w:rPr>
              <w:t>《国内水路运输辅助业管理规定》（交通运输部令2014年第3号）</w:t>
            </w:r>
          </w:p>
          <w:p w14:paraId="11C26944">
            <w:pPr>
              <w:pStyle w:val="8"/>
              <w:spacing w:before="19" w:line="235" w:lineRule="auto"/>
              <w:ind w:left="114" w:right="109" w:firstLine="360"/>
            </w:pPr>
            <w:r>
              <w:t>第二十二条第（四）项  水路运输辅助业务经营者不得有以下行为：（四）滥用优势地位，限制委托人</w:t>
            </w:r>
            <w:r>
              <w:rPr>
                <w:spacing w:val="1"/>
              </w:rPr>
              <w:t xml:space="preserve"> </w:t>
            </w:r>
            <w:r>
              <w:rPr>
                <w:spacing w:val="-2"/>
              </w:rPr>
              <w:t>选择其他代理或者船舶管理服务提供者；</w:t>
            </w:r>
          </w:p>
          <w:p w14:paraId="226146EA">
            <w:pPr>
              <w:pStyle w:val="8"/>
              <w:spacing w:before="25" w:line="242" w:lineRule="auto"/>
              <w:ind w:left="114" w:right="102" w:firstLine="360"/>
              <w:jc w:val="both"/>
            </w:pPr>
            <w:r>
              <w:t>第三十六条第（五）项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3"/>
              </w:rPr>
              <w:t xml:space="preserve"> </w:t>
            </w:r>
            <w:r>
              <w:rPr>
                <w:spacing w:val="-2"/>
              </w:rPr>
              <w:t>的，处 1 万元以上 3万元以下的罚款</w:t>
            </w:r>
            <w:r>
              <w:rPr>
                <w:spacing w:val="4"/>
              </w:rPr>
              <w:t>：（</w:t>
            </w:r>
            <w:r>
              <w:rPr>
                <w:spacing w:val="-2"/>
              </w:rPr>
              <w:t>五）滥用优势地位，限制委托人选择其他代理或者船舶管理服务提</w:t>
            </w:r>
            <w:r>
              <w:rPr>
                <w:spacing w:val="1"/>
              </w:rPr>
              <w:t xml:space="preserve"> </w:t>
            </w:r>
            <w:r>
              <w:rPr>
                <w:spacing w:val="-4"/>
              </w:rPr>
              <w:t>供者。</w:t>
            </w:r>
          </w:p>
        </w:tc>
        <w:tc>
          <w:tcPr>
            <w:tcW w:w="1029" w:type="dxa"/>
            <w:vAlign w:val="top"/>
          </w:tcPr>
          <w:p w14:paraId="12E6DDFD">
            <w:pPr>
              <w:spacing w:line="269" w:lineRule="auto"/>
              <w:rPr>
                <w:rFonts w:ascii="Arial"/>
                <w:sz w:val="21"/>
              </w:rPr>
            </w:pPr>
          </w:p>
          <w:p w14:paraId="3C21557F">
            <w:pPr>
              <w:spacing w:line="269" w:lineRule="auto"/>
              <w:rPr>
                <w:rFonts w:ascii="Arial"/>
                <w:sz w:val="21"/>
              </w:rPr>
            </w:pPr>
          </w:p>
          <w:p w14:paraId="40CCCABF">
            <w:pPr>
              <w:spacing w:line="269" w:lineRule="auto"/>
              <w:rPr>
                <w:rFonts w:ascii="Arial"/>
                <w:sz w:val="21"/>
              </w:rPr>
            </w:pPr>
          </w:p>
          <w:p w14:paraId="0211A565">
            <w:pPr>
              <w:spacing w:line="270" w:lineRule="auto"/>
              <w:rPr>
                <w:rFonts w:ascii="Arial"/>
                <w:sz w:val="21"/>
              </w:rPr>
            </w:pPr>
          </w:p>
          <w:p w14:paraId="7218FDD5">
            <w:pPr>
              <w:pStyle w:val="8"/>
              <w:spacing w:before="59" w:line="233" w:lineRule="auto"/>
              <w:ind w:left="160" w:right="152" w:firstLine="2"/>
            </w:pPr>
            <w:r>
              <w:rPr>
                <w:spacing w:val="-3"/>
              </w:rPr>
              <w:t>交通运输</w:t>
            </w:r>
            <w:r>
              <w:t xml:space="preserve"> </w:t>
            </w:r>
            <w:r>
              <w:rPr>
                <w:spacing w:val="-3"/>
              </w:rPr>
              <w:t>主管部门</w:t>
            </w:r>
          </w:p>
        </w:tc>
        <w:tc>
          <w:tcPr>
            <w:tcW w:w="1429" w:type="dxa"/>
            <w:vAlign w:val="top"/>
          </w:tcPr>
          <w:p w14:paraId="00144D08">
            <w:pPr>
              <w:spacing w:line="269" w:lineRule="auto"/>
              <w:rPr>
                <w:rFonts w:ascii="Arial"/>
                <w:sz w:val="21"/>
              </w:rPr>
            </w:pPr>
          </w:p>
          <w:p w14:paraId="568E9ED5">
            <w:pPr>
              <w:spacing w:line="269" w:lineRule="auto"/>
              <w:rPr>
                <w:rFonts w:ascii="Arial"/>
                <w:sz w:val="21"/>
              </w:rPr>
            </w:pPr>
          </w:p>
          <w:p w14:paraId="35FC40FA">
            <w:pPr>
              <w:spacing w:line="269" w:lineRule="auto"/>
              <w:rPr>
                <w:rFonts w:ascii="Arial"/>
                <w:sz w:val="21"/>
              </w:rPr>
            </w:pPr>
          </w:p>
          <w:p w14:paraId="64557C7E">
            <w:pPr>
              <w:spacing w:line="270" w:lineRule="auto"/>
              <w:rPr>
                <w:rFonts w:ascii="Arial"/>
                <w:sz w:val="21"/>
              </w:rPr>
            </w:pPr>
          </w:p>
          <w:p w14:paraId="6382799D">
            <w:pPr>
              <w:pStyle w:val="8"/>
              <w:spacing w:before="59" w:line="234"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31CD5C39">
            <w:pPr>
              <w:spacing w:line="283" w:lineRule="auto"/>
              <w:rPr>
                <w:rFonts w:ascii="Arial"/>
                <w:sz w:val="21"/>
              </w:rPr>
            </w:pPr>
          </w:p>
          <w:p w14:paraId="1C67E152">
            <w:pPr>
              <w:spacing w:line="284" w:lineRule="auto"/>
              <w:rPr>
                <w:rFonts w:ascii="Arial"/>
                <w:sz w:val="21"/>
              </w:rPr>
            </w:pPr>
          </w:p>
          <w:p w14:paraId="0550A675">
            <w:pPr>
              <w:spacing w:line="284" w:lineRule="auto"/>
              <w:rPr>
                <w:rFonts w:ascii="Arial"/>
                <w:sz w:val="21"/>
              </w:rPr>
            </w:pPr>
          </w:p>
          <w:p w14:paraId="2AFA10F6">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6BEBE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9" w:hRule="atLeast"/>
        </w:trPr>
        <w:tc>
          <w:tcPr>
            <w:tcW w:w="634" w:type="dxa"/>
            <w:vAlign w:val="top"/>
          </w:tcPr>
          <w:p w14:paraId="73C13F21">
            <w:pPr>
              <w:spacing w:line="313" w:lineRule="auto"/>
              <w:rPr>
                <w:rFonts w:ascii="Arial"/>
                <w:sz w:val="21"/>
              </w:rPr>
            </w:pPr>
          </w:p>
          <w:p w14:paraId="29C36462">
            <w:pPr>
              <w:spacing w:line="313" w:lineRule="auto"/>
              <w:rPr>
                <w:rFonts w:ascii="Arial"/>
                <w:sz w:val="21"/>
              </w:rPr>
            </w:pPr>
          </w:p>
          <w:p w14:paraId="28614292">
            <w:pPr>
              <w:spacing w:line="313" w:lineRule="auto"/>
              <w:rPr>
                <w:rFonts w:ascii="Arial"/>
                <w:sz w:val="21"/>
              </w:rPr>
            </w:pPr>
          </w:p>
          <w:p w14:paraId="59D72503">
            <w:pPr>
              <w:pStyle w:val="8"/>
              <w:spacing w:before="59" w:line="183" w:lineRule="auto"/>
              <w:ind w:left="232"/>
            </w:pPr>
            <w:r>
              <w:rPr>
                <w:spacing w:val="-4"/>
              </w:rPr>
              <w:t>22</w:t>
            </w:r>
          </w:p>
        </w:tc>
        <w:tc>
          <w:tcPr>
            <w:tcW w:w="1121" w:type="dxa"/>
            <w:vAlign w:val="top"/>
          </w:tcPr>
          <w:p w14:paraId="2A3A1477">
            <w:pPr>
              <w:pStyle w:val="8"/>
              <w:spacing w:before="243" w:line="245" w:lineRule="auto"/>
              <w:ind w:left="113" w:right="110"/>
              <w:jc w:val="both"/>
            </w:pPr>
            <w:r>
              <w:rPr>
                <w:spacing w:val="-2"/>
              </w:rPr>
              <w:t>对水路运输</w:t>
            </w:r>
            <w:r>
              <w:t xml:space="preserve"> </w:t>
            </w:r>
            <w:r>
              <w:rPr>
                <w:spacing w:val="-2"/>
              </w:rPr>
              <w:t>辅助业务经</w:t>
            </w:r>
            <w:r>
              <w:rPr>
                <w:spacing w:val="1"/>
              </w:rPr>
              <w:t xml:space="preserve"> </w:t>
            </w:r>
            <w:r>
              <w:rPr>
                <w:spacing w:val="-2"/>
              </w:rPr>
              <w:t>营者虚假宣</w:t>
            </w:r>
            <w:r>
              <w:rPr>
                <w:spacing w:val="1"/>
              </w:rPr>
              <w:t xml:space="preserve"> </w:t>
            </w:r>
            <w:r>
              <w:rPr>
                <w:spacing w:val="-2"/>
              </w:rPr>
              <w:t>传，误导旅</w:t>
            </w:r>
            <w:r>
              <w:rPr>
                <w:spacing w:val="1"/>
              </w:rPr>
              <w:t xml:space="preserve"> </w:t>
            </w:r>
            <w:r>
              <w:rPr>
                <w:spacing w:val="-2"/>
              </w:rPr>
              <w:t>客或者委托</w:t>
            </w:r>
            <w:r>
              <w:rPr>
                <w:spacing w:val="1"/>
              </w:rPr>
              <w:t xml:space="preserve"> </w:t>
            </w:r>
            <w:r>
              <w:rPr>
                <w:spacing w:val="-2"/>
              </w:rPr>
              <w:t>人行为的行</w:t>
            </w:r>
            <w:r>
              <w:rPr>
                <w:spacing w:val="1"/>
              </w:rPr>
              <w:t xml:space="preserve"> </w:t>
            </w:r>
            <w:r>
              <w:rPr>
                <w:spacing w:val="-4"/>
              </w:rPr>
              <w:t>政处罚</w:t>
            </w:r>
          </w:p>
        </w:tc>
        <w:tc>
          <w:tcPr>
            <w:tcW w:w="1121" w:type="dxa"/>
            <w:vAlign w:val="top"/>
          </w:tcPr>
          <w:p w14:paraId="68D339BB">
            <w:pPr>
              <w:spacing w:line="303" w:lineRule="auto"/>
              <w:rPr>
                <w:rFonts w:ascii="Arial"/>
                <w:sz w:val="21"/>
              </w:rPr>
            </w:pPr>
          </w:p>
          <w:p w14:paraId="4D49450B">
            <w:pPr>
              <w:spacing w:line="304" w:lineRule="auto"/>
              <w:rPr>
                <w:rFonts w:ascii="Arial"/>
                <w:sz w:val="21"/>
              </w:rPr>
            </w:pPr>
          </w:p>
          <w:p w14:paraId="158FEEA1">
            <w:pPr>
              <w:spacing w:line="304" w:lineRule="auto"/>
              <w:rPr>
                <w:rFonts w:ascii="Arial"/>
                <w:sz w:val="21"/>
              </w:rPr>
            </w:pPr>
          </w:p>
          <w:p w14:paraId="680B52FD">
            <w:pPr>
              <w:pStyle w:val="8"/>
              <w:spacing w:before="59" w:line="220" w:lineRule="auto"/>
              <w:ind w:left="9"/>
            </w:pPr>
            <w:r>
              <w:rPr>
                <w:spacing w:val="-4"/>
              </w:rPr>
              <w:t>行政处罚</w:t>
            </w:r>
          </w:p>
        </w:tc>
        <w:tc>
          <w:tcPr>
            <w:tcW w:w="8692" w:type="dxa"/>
            <w:vAlign w:val="top"/>
          </w:tcPr>
          <w:p w14:paraId="52C24330">
            <w:pPr>
              <w:spacing w:line="434" w:lineRule="auto"/>
              <w:rPr>
                <w:rFonts w:ascii="Arial"/>
                <w:sz w:val="21"/>
              </w:rPr>
            </w:pPr>
          </w:p>
          <w:p w14:paraId="1A2A27D7">
            <w:pPr>
              <w:pStyle w:val="8"/>
              <w:spacing w:before="58" w:line="219" w:lineRule="auto"/>
              <w:ind w:left="478"/>
            </w:pPr>
            <w:r>
              <w:rPr>
                <w:b/>
                <w:bCs/>
                <w:spacing w:val="-3"/>
              </w:rPr>
              <w:t>《国内水路运输辅助业管理规定》（交通运输部令2014年第3号）</w:t>
            </w:r>
          </w:p>
          <w:p w14:paraId="755D7A18">
            <w:pPr>
              <w:pStyle w:val="8"/>
              <w:spacing w:before="19" w:line="219" w:lineRule="auto"/>
              <w:ind w:left="474"/>
            </w:pPr>
            <w:r>
              <w:rPr>
                <w:spacing w:val="-1"/>
              </w:rPr>
              <w:t>第二十二条第（五）项  水路运输辅助业务经营者不得有以下行为</w:t>
            </w:r>
            <w:r>
              <w:rPr>
                <w:spacing w:val="1"/>
              </w:rPr>
              <w:t>：（</w:t>
            </w:r>
            <w:r>
              <w:rPr>
                <w:spacing w:val="-1"/>
              </w:rPr>
              <w:t>五）发布虚假信息招揽业务；</w:t>
            </w:r>
          </w:p>
          <w:p w14:paraId="4CCA8745">
            <w:pPr>
              <w:pStyle w:val="8"/>
              <w:spacing w:before="18"/>
              <w:ind w:left="116" w:right="102" w:firstLine="358"/>
            </w:pPr>
            <w:r>
              <w:t>第三十六条第（六）项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2"/>
              </w:rPr>
              <w:t xml:space="preserve"> </w:t>
            </w:r>
            <w:r>
              <w:rPr>
                <w:spacing w:val="-4"/>
              </w:rPr>
              <w:t>的，处 1 万元以上</w:t>
            </w:r>
            <w:r>
              <w:rPr>
                <w:spacing w:val="-16"/>
              </w:rPr>
              <w:t xml:space="preserve"> </w:t>
            </w:r>
            <w:r>
              <w:rPr>
                <w:spacing w:val="-4"/>
              </w:rPr>
              <w:t>3万元以下的罚款</w:t>
            </w:r>
            <w:r>
              <w:rPr>
                <w:spacing w:val="-9"/>
              </w:rPr>
              <w:t>：（</w:t>
            </w:r>
            <w:r>
              <w:rPr>
                <w:spacing w:val="-4"/>
              </w:rPr>
              <w:t>六）进行虚假宣传，误导旅客或者委托人。</w:t>
            </w:r>
          </w:p>
        </w:tc>
        <w:tc>
          <w:tcPr>
            <w:tcW w:w="1029" w:type="dxa"/>
            <w:vAlign w:val="top"/>
          </w:tcPr>
          <w:p w14:paraId="7269E9CE">
            <w:pPr>
              <w:spacing w:line="262" w:lineRule="auto"/>
              <w:rPr>
                <w:rFonts w:ascii="Arial"/>
                <w:sz w:val="21"/>
              </w:rPr>
            </w:pPr>
          </w:p>
          <w:p w14:paraId="3A6FFE3F">
            <w:pPr>
              <w:spacing w:line="263" w:lineRule="auto"/>
              <w:rPr>
                <w:rFonts w:ascii="Arial"/>
                <w:sz w:val="21"/>
              </w:rPr>
            </w:pPr>
          </w:p>
          <w:p w14:paraId="0DDBA7D0">
            <w:pPr>
              <w:spacing w:line="263" w:lineRule="auto"/>
              <w:rPr>
                <w:rFonts w:ascii="Arial"/>
                <w:sz w:val="21"/>
              </w:rPr>
            </w:pPr>
          </w:p>
          <w:p w14:paraId="6C12661C">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49144CAB">
            <w:pPr>
              <w:spacing w:line="262" w:lineRule="auto"/>
              <w:rPr>
                <w:rFonts w:ascii="Arial"/>
                <w:sz w:val="21"/>
              </w:rPr>
            </w:pPr>
          </w:p>
          <w:p w14:paraId="09780D28">
            <w:pPr>
              <w:spacing w:line="263" w:lineRule="auto"/>
              <w:rPr>
                <w:rFonts w:ascii="Arial"/>
                <w:sz w:val="21"/>
              </w:rPr>
            </w:pPr>
          </w:p>
          <w:p w14:paraId="2A10D345">
            <w:pPr>
              <w:spacing w:line="263" w:lineRule="auto"/>
              <w:rPr>
                <w:rFonts w:ascii="Arial"/>
                <w:sz w:val="21"/>
              </w:rPr>
            </w:pPr>
          </w:p>
          <w:p w14:paraId="32F27AE4">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2C6AF674">
            <w:pPr>
              <w:spacing w:line="280" w:lineRule="auto"/>
              <w:rPr>
                <w:rFonts w:ascii="Arial"/>
                <w:sz w:val="21"/>
              </w:rPr>
            </w:pPr>
          </w:p>
          <w:p w14:paraId="467354DA">
            <w:pPr>
              <w:spacing w:line="280" w:lineRule="auto"/>
              <w:rPr>
                <w:rFonts w:ascii="Arial"/>
                <w:sz w:val="21"/>
              </w:rPr>
            </w:pPr>
          </w:p>
          <w:p w14:paraId="5599AC3D">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44C8E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4" w:hRule="atLeast"/>
        </w:trPr>
        <w:tc>
          <w:tcPr>
            <w:tcW w:w="634" w:type="dxa"/>
            <w:vAlign w:val="top"/>
          </w:tcPr>
          <w:p w14:paraId="305E3B15">
            <w:pPr>
              <w:spacing w:line="258" w:lineRule="auto"/>
              <w:rPr>
                <w:rFonts w:ascii="Arial"/>
                <w:sz w:val="21"/>
              </w:rPr>
            </w:pPr>
          </w:p>
          <w:p w14:paraId="6D007DA1">
            <w:pPr>
              <w:spacing w:line="258" w:lineRule="auto"/>
              <w:rPr>
                <w:rFonts w:ascii="Arial"/>
                <w:sz w:val="21"/>
              </w:rPr>
            </w:pPr>
          </w:p>
          <w:p w14:paraId="63DAC5D3">
            <w:pPr>
              <w:spacing w:line="259" w:lineRule="auto"/>
              <w:rPr>
                <w:rFonts w:ascii="Arial"/>
                <w:sz w:val="21"/>
              </w:rPr>
            </w:pPr>
          </w:p>
          <w:p w14:paraId="6E264FEB">
            <w:pPr>
              <w:spacing w:line="259" w:lineRule="auto"/>
              <w:rPr>
                <w:rFonts w:ascii="Arial"/>
                <w:sz w:val="21"/>
              </w:rPr>
            </w:pPr>
          </w:p>
          <w:p w14:paraId="2AD74AB6">
            <w:pPr>
              <w:spacing w:line="259" w:lineRule="auto"/>
              <w:rPr>
                <w:rFonts w:ascii="Arial"/>
                <w:sz w:val="21"/>
              </w:rPr>
            </w:pPr>
          </w:p>
          <w:p w14:paraId="0F534E3F">
            <w:pPr>
              <w:spacing w:line="259" w:lineRule="auto"/>
              <w:rPr>
                <w:rFonts w:ascii="Arial"/>
                <w:sz w:val="21"/>
              </w:rPr>
            </w:pPr>
          </w:p>
          <w:p w14:paraId="51EC722D">
            <w:pPr>
              <w:pStyle w:val="8"/>
              <w:spacing w:before="59" w:line="183" w:lineRule="auto"/>
              <w:ind w:left="232"/>
            </w:pPr>
            <w:r>
              <w:rPr>
                <w:spacing w:val="-4"/>
              </w:rPr>
              <w:t>23</w:t>
            </w:r>
          </w:p>
        </w:tc>
        <w:tc>
          <w:tcPr>
            <w:tcW w:w="1121" w:type="dxa"/>
            <w:vAlign w:val="top"/>
          </w:tcPr>
          <w:p w14:paraId="73BD1F15">
            <w:pPr>
              <w:pStyle w:val="8"/>
              <w:spacing w:before="258" w:line="246" w:lineRule="auto"/>
              <w:ind w:left="114" w:right="107"/>
            </w:pPr>
            <w:r>
              <w:rPr>
                <w:spacing w:val="-2"/>
              </w:rPr>
              <w:t>对水路运输</w:t>
            </w:r>
            <w:r>
              <w:t xml:space="preserve"> </w:t>
            </w:r>
            <w:r>
              <w:rPr>
                <w:spacing w:val="-2"/>
              </w:rPr>
              <w:t>辅助业务经</w:t>
            </w:r>
            <w:r>
              <w:t xml:space="preserve"> </w:t>
            </w:r>
            <w:r>
              <w:rPr>
                <w:spacing w:val="-2"/>
              </w:rPr>
              <w:t>营者以不正</w:t>
            </w:r>
            <w:r>
              <w:t xml:space="preserve"> </w:t>
            </w:r>
            <w:r>
              <w:rPr>
                <w:spacing w:val="-2"/>
              </w:rPr>
              <w:t>当方式或者</w:t>
            </w:r>
            <w:r>
              <w:t xml:space="preserve"> </w:t>
            </w:r>
            <w:r>
              <w:rPr>
                <w:spacing w:val="-2"/>
              </w:rPr>
              <w:t>不规范行为</w:t>
            </w:r>
            <w:r>
              <w:t xml:space="preserve"> </w:t>
            </w:r>
            <w:r>
              <w:rPr>
                <w:spacing w:val="-2"/>
              </w:rPr>
              <w:t>争抢客源、</w:t>
            </w:r>
            <w:r>
              <w:rPr>
                <w:spacing w:val="2"/>
              </w:rPr>
              <w:t xml:space="preserve"> </w:t>
            </w:r>
            <w:r>
              <w:rPr>
                <w:spacing w:val="-2"/>
              </w:rPr>
              <w:t>货源及提供</w:t>
            </w:r>
            <w:r>
              <w:t xml:space="preserve"> </w:t>
            </w:r>
            <w:r>
              <w:rPr>
                <w:spacing w:val="-2"/>
              </w:rPr>
              <w:t>其他水路运</w:t>
            </w:r>
            <w:r>
              <w:t xml:space="preserve"> </w:t>
            </w:r>
            <w:r>
              <w:rPr>
                <w:spacing w:val="-2"/>
              </w:rPr>
              <w:t>输辅助服务</w:t>
            </w:r>
            <w:r>
              <w:t xml:space="preserve"> </w:t>
            </w:r>
            <w:r>
              <w:rPr>
                <w:spacing w:val="-2"/>
              </w:rPr>
              <w:t>扰乱市场秩</w:t>
            </w:r>
            <w:r>
              <w:t xml:space="preserve"> </w:t>
            </w:r>
            <w:r>
              <w:rPr>
                <w:spacing w:val="-2"/>
              </w:rPr>
              <w:t>序行为的行</w:t>
            </w:r>
            <w:r>
              <w:rPr>
                <w:spacing w:val="2"/>
              </w:rPr>
              <w:t xml:space="preserve"> </w:t>
            </w:r>
            <w:r>
              <w:rPr>
                <w:spacing w:val="-4"/>
              </w:rPr>
              <w:t>政处罚</w:t>
            </w:r>
          </w:p>
        </w:tc>
        <w:tc>
          <w:tcPr>
            <w:tcW w:w="1121" w:type="dxa"/>
            <w:vAlign w:val="top"/>
          </w:tcPr>
          <w:p w14:paraId="42044B9E">
            <w:pPr>
              <w:spacing w:line="254" w:lineRule="auto"/>
              <w:rPr>
                <w:rFonts w:ascii="Arial"/>
                <w:sz w:val="21"/>
              </w:rPr>
            </w:pPr>
          </w:p>
          <w:p w14:paraId="63B00712">
            <w:pPr>
              <w:spacing w:line="254" w:lineRule="auto"/>
              <w:rPr>
                <w:rFonts w:ascii="Arial"/>
                <w:sz w:val="21"/>
              </w:rPr>
            </w:pPr>
          </w:p>
          <w:p w14:paraId="73219D52">
            <w:pPr>
              <w:spacing w:line="254" w:lineRule="auto"/>
              <w:rPr>
                <w:rFonts w:ascii="Arial"/>
                <w:sz w:val="21"/>
              </w:rPr>
            </w:pPr>
          </w:p>
          <w:p w14:paraId="04E4B4F5">
            <w:pPr>
              <w:spacing w:line="254" w:lineRule="auto"/>
              <w:rPr>
                <w:rFonts w:ascii="Arial"/>
                <w:sz w:val="21"/>
              </w:rPr>
            </w:pPr>
          </w:p>
          <w:p w14:paraId="5563A653">
            <w:pPr>
              <w:spacing w:line="254" w:lineRule="auto"/>
              <w:rPr>
                <w:rFonts w:ascii="Arial"/>
                <w:sz w:val="21"/>
              </w:rPr>
            </w:pPr>
          </w:p>
          <w:p w14:paraId="4A6D9578">
            <w:pPr>
              <w:spacing w:line="254" w:lineRule="auto"/>
              <w:rPr>
                <w:rFonts w:ascii="Arial"/>
                <w:sz w:val="21"/>
              </w:rPr>
            </w:pPr>
          </w:p>
          <w:p w14:paraId="4657FB03">
            <w:pPr>
              <w:pStyle w:val="8"/>
              <w:spacing w:before="58" w:line="220" w:lineRule="auto"/>
              <w:ind w:left="9"/>
            </w:pPr>
            <w:r>
              <w:rPr>
                <w:spacing w:val="-4"/>
              </w:rPr>
              <w:t>行政处罚</w:t>
            </w:r>
          </w:p>
        </w:tc>
        <w:tc>
          <w:tcPr>
            <w:tcW w:w="8692" w:type="dxa"/>
            <w:vAlign w:val="top"/>
          </w:tcPr>
          <w:p w14:paraId="74D126C5">
            <w:pPr>
              <w:spacing w:line="267" w:lineRule="auto"/>
              <w:rPr>
                <w:rFonts w:ascii="Arial"/>
                <w:sz w:val="21"/>
              </w:rPr>
            </w:pPr>
          </w:p>
          <w:p w14:paraId="791BDFA3">
            <w:pPr>
              <w:spacing w:line="268" w:lineRule="auto"/>
              <w:rPr>
                <w:rFonts w:ascii="Arial"/>
                <w:sz w:val="21"/>
              </w:rPr>
            </w:pPr>
          </w:p>
          <w:p w14:paraId="7E957464">
            <w:pPr>
              <w:spacing w:line="268" w:lineRule="auto"/>
              <w:rPr>
                <w:rFonts w:ascii="Arial"/>
                <w:sz w:val="21"/>
              </w:rPr>
            </w:pPr>
          </w:p>
          <w:p w14:paraId="597B8116">
            <w:pPr>
              <w:pStyle w:val="8"/>
              <w:spacing w:before="59" w:line="219" w:lineRule="auto"/>
              <w:ind w:left="478"/>
            </w:pPr>
            <w:r>
              <w:rPr>
                <w:b/>
                <w:bCs/>
                <w:spacing w:val="-3"/>
              </w:rPr>
              <w:t>《国内水路运输辅助业管理规定》（交通运输部令2014年第3号）</w:t>
            </w:r>
          </w:p>
          <w:p w14:paraId="335C7469">
            <w:pPr>
              <w:pStyle w:val="8"/>
              <w:spacing w:before="18" w:line="233" w:lineRule="auto"/>
              <w:ind w:left="116" w:right="109" w:firstLine="357"/>
            </w:pPr>
            <w:r>
              <w:t>第二十二条第（六）项  水路运输辅助业务经营者不得有以下行为：（六）以不正当方式或者不规范行</w:t>
            </w:r>
            <w:r>
              <w:rPr>
                <w:spacing w:val="1"/>
              </w:rPr>
              <w:t xml:space="preserve"> </w:t>
            </w:r>
            <w:r>
              <w:rPr>
                <w:spacing w:val="-2"/>
              </w:rPr>
              <w:t>为提供其他水路运输辅助服务，扰乱市场秩序；</w:t>
            </w:r>
          </w:p>
          <w:p w14:paraId="5842421E">
            <w:pPr>
              <w:pStyle w:val="8"/>
              <w:spacing w:before="28" w:line="242" w:lineRule="auto"/>
              <w:ind w:left="114" w:right="102" w:firstLine="360"/>
              <w:jc w:val="both"/>
            </w:pPr>
            <w:r>
              <w:t>第三十六条第（七）项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3"/>
              </w:rPr>
              <w:t xml:space="preserve"> </w:t>
            </w:r>
            <w:r>
              <w:rPr>
                <w:spacing w:val="-2"/>
              </w:rPr>
              <w:t>的，处 1 万元以上 3万元以下的罚款</w:t>
            </w:r>
            <w:r>
              <w:rPr>
                <w:spacing w:val="4"/>
              </w:rPr>
              <w:t>：（</w:t>
            </w:r>
            <w:r>
              <w:rPr>
                <w:spacing w:val="-2"/>
              </w:rPr>
              <w:t>七）以不正当方式或者不规范行为争抢客源、货源及提供其他水路</w:t>
            </w:r>
            <w:r>
              <w:rPr>
                <w:spacing w:val="1"/>
              </w:rPr>
              <w:t xml:space="preserve"> </w:t>
            </w:r>
            <w:r>
              <w:rPr>
                <w:spacing w:val="-3"/>
              </w:rPr>
              <w:t>运输辅助服务，扰乱市场秩序。</w:t>
            </w:r>
          </w:p>
        </w:tc>
        <w:tc>
          <w:tcPr>
            <w:tcW w:w="1029" w:type="dxa"/>
            <w:vAlign w:val="top"/>
          </w:tcPr>
          <w:p w14:paraId="30EAD890">
            <w:pPr>
              <w:spacing w:line="280" w:lineRule="auto"/>
              <w:rPr>
                <w:rFonts w:ascii="Arial"/>
                <w:sz w:val="21"/>
              </w:rPr>
            </w:pPr>
          </w:p>
          <w:p w14:paraId="3E4FDF3C">
            <w:pPr>
              <w:spacing w:line="280" w:lineRule="auto"/>
              <w:rPr>
                <w:rFonts w:ascii="Arial"/>
                <w:sz w:val="21"/>
              </w:rPr>
            </w:pPr>
          </w:p>
          <w:p w14:paraId="0E4B96A1">
            <w:pPr>
              <w:spacing w:line="280" w:lineRule="auto"/>
              <w:rPr>
                <w:rFonts w:ascii="Arial"/>
                <w:sz w:val="21"/>
              </w:rPr>
            </w:pPr>
          </w:p>
          <w:p w14:paraId="79FA679D">
            <w:pPr>
              <w:spacing w:line="280" w:lineRule="auto"/>
              <w:rPr>
                <w:rFonts w:ascii="Arial"/>
                <w:sz w:val="21"/>
              </w:rPr>
            </w:pPr>
          </w:p>
          <w:p w14:paraId="35119C63">
            <w:pPr>
              <w:spacing w:line="280" w:lineRule="auto"/>
              <w:rPr>
                <w:rFonts w:ascii="Arial"/>
                <w:sz w:val="21"/>
              </w:rPr>
            </w:pPr>
          </w:p>
          <w:p w14:paraId="1A0E5E51">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488BB369">
            <w:pPr>
              <w:spacing w:line="280" w:lineRule="auto"/>
              <w:rPr>
                <w:rFonts w:ascii="Arial"/>
                <w:sz w:val="21"/>
              </w:rPr>
            </w:pPr>
          </w:p>
          <w:p w14:paraId="35951049">
            <w:pPr>
              <w:spacing w:line="280" w:lineRule="auto"/>
              <w:rPr>
                <w:rFonts w:ascii="Arial"/>
                <w:sz w:val="21"/>
              </w:rPr>
            </w:pPr>
          </w:p>
          <w:p w14:paraId="5B113F92">
            <w:pPr>
              <w:spacing w:line="280" w:lineRule="auto"/>
              <w:rPr>
                <w:rFonts w:ascii="Arial"/>
                <w:sz w:val="21"/>
              </w:rPr>
            </w:pPr>
          </w:p>
          <w:p w14:paraId="225B8E6D">
            <w:pPr>
              <w:spacing w:line="280" w:lineRule="auto"/>
              <w:rPr>
                <w:rFonts w:ascii="Arial"/>
                <w:sz w:val="21"/>
              </w:rPr>
            </w:pPr>
          </w:p>
          <w:p w14:paraId="54ACE140">
            <w:pPr>
              <w:spacing w:line="281" w:lineRule="auto"/>
              <w:rPr>
                <w:rFonts w:ascii="Arial"/>
                <w:sz w:val="21"/>
              </w:rPr>
            </w:pPr>
          </w:p>
          <w:p w14:paraId="26200D14">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757C7E3E">
            <w:pPr>
              <w:spacing w:line="293" w:lineRule="auto"/>
              <w:rPr>
                <w:rFonts w:ascii="Arial"/>
                <w:sz w:val="21"/>
              </w:rPr>
            </w:pPr>
          </w:p>
          <w:p w14:paraId="5E544B2C">
            <w:pPr>
              <w:spacing w:line="294" w:lineRule="auto"/>
              <w:rPr>
                <w:rFonts w:ascii="Arial"/>
                <w:sz w:val="21"/>
              </w:rPr>
            </w:pPr>
          </w:p>
          <w:p w14:paraId="47357306">
            <w:pPr>
              <w:spacing w:line="294" w:lineRule="auto"/>
              <w:rPr>
                <w:rFonts w:ascii="Arial"/>
                <w:sz w:val="21"/>
              </w:rPr>
            </w:pPr>
          </w:p>
          <w:p w14:paraId="59F92D6F">
            <w:pPr>
              <w:spacing w:line="294" w:lineRule="auto"/>
              <w:rPr>
                <w:rFonts w:ascii="Arial"/>
                <w:sz w:val="21"/>
              </w:rPr>
            </w:pPr>
          </w:p>
          <w:p w14:paraId="2CC2B74F">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0C58F21A">
      <w:pPr>
        <w:pStyle w:val="2"/>
      </w:pPr>
    </w:p>
    <w:p w14:paraId="51045AC7">
      <w:pPr>
        <w:sectPr>
          <w:footerReference r:id="rId223" w:type="default"/>
          <w:pgSz w:w="16840" w:h="11910"/>
          <w:pgMar w:top="1012" w:right="888" w:bottom="966" w:left="887" w:header="0" w:footer="768" w:gutter="0"/>
          <w:cols w:space="720" w:num="1"/>
        </w:sectPr>
      </w:pPr>
    </w:p>
    <w:p w14:paraId="5E85FF76">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82"/>
        <w:gridCol w:w="1060"/>
        <w:gridCol w:w="8692"/>
        <w:gridCol w:w="1029"/>
        <w:gridCol w:w="1429"/>
        <w:gridCol w:w="1033"/>
      </w:tblGrid>
      <w:tr w14:paraId="5ECD5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34" w:type="dxa"/>
            <w:vMerge w:val="restart"/>
            <w:tcBorders>
              <w:bottom w:val="nil"/>
            </w:tcBorders>
            <w:vAlign w:val="top"/>
          </w:tcPr>
          <w:p w14:paraId="4A98FB0D">
            <w:pPr>
              <w:pStyle w:val="8"/>
              <w:spacing w:before="221" w:line="221" w:lineRule="auto"/>
              <w:ind w:left="138"/>
            </w:pPr>
            <w:r>
              <w:rPr>
                <w:b/>
                <w:bCs/>
                <w:spacing w:val="-4"/>
              </w:rPr>
              <w:t>序号</w:t>
            </w:r>
          </w:p>
        </w:tc>
        <w:tc>
          <w:tcPr>
            <w:tcW w:w="1182" w:type="dxa"/>
            <w:vMerge w:val="restart"/>
            <w:tcBorders>
              <w:bottom w:val="nil"/>
            </w:tcBorders>
            <w:vAlign w:val="top"/>
          </w:tcPr>
          <w:p w14:paraId="3042454B">
            <w:pPr>
              <w:pStyle w:val="8"/>
              <w:spacing w:before="221" w:line="220" w:lineRule="auto"/>
              <w:ind w:left="206"/>
            </w:pPr>
            <w:r>
              <w:rPr>
                <w:b/>
                <w:bCs/>
                <w:spacing w:val="-5"/>
              </w:rPr>
              <w:t>事项名称</w:t>
            </w:r>
          </w:p>
        </w:tc>
        <w:tc>
          <w:tcPr>
            <w:tcW w:w="1060" w:type="dxa"/>
            <w:vMerge w:val="restart"/>
            <w:tcBorders>
              <w:bottom w:val="nil"/>
            </w:tcBorders>
            <w:vAlign w:val="top"/>
          </w:tcPr>
          <w:p w14:paraId="607C5D95">
            <w:pPr>
              <w:pStyle w:val="8"/>
              <w:spacing w:before="222" w:line="219" w:lineRule="auto"/>
              <w:ind w:left="221"/>
            </w:pPr>
            <w:r>
              <w:rPr>
                <w:b/>
                <w:bCs/>
                <w:spacing w:val="-9"/>
              </w:rPr>
              <w:t>职权类型</w:t>
            </w:r>
          </w:p>
        </w:tc>
        <w:tc>
          <w:tcPr>
            <w:tcW w:w="8692" w:type="dxa"/>
            <w:vMerge w:val="restart"/>
            <w:tcBorders>
              <w:bottom w:val="nil"/>
            </w:tcBorders>
            <w:vAlign w:val="top"/>
          </w:tcPr>
          <w:p w14:paraId="37A0712F">
            <w:pPr>
              <w:pStyle w:val="8"/>
              <w:spacing w:before="221" w:line="219" w:lineRule="auto"/>
              <w:ind w:left="3999"/>
            </w:pPr>
            <w:r>
              <w:rPr>
                <w:b/>
                <w:bCs/>
                <w:spacing w:val="-6"/>
              </w:rPr>
              <w:t>实施依据</w:t>
            </w:r>
          </w:p>
        </w:tc>
        <w:tc>
          <w:tcPr>
            <w:tcW w:w="3491" w:type="dxa"/>
            <w:gridSpan w:val="3"/>
            <w:vAlign w:val="top"/>
          </w:tcPr>
          <w:p w14:paraId="4B39CF0A">
            <w:pPr>
              <w:pStyle w:val="8"/>
              <w:spacing w:before="85" w:line="220" w:lineRule="auto"/>
              <w:ind w:left="1399"/>
            </w:pPr>
            <w:r>
              <w:rPr>
                <w:b/>
                <w:bCs/>
                <w:spacing w:val="-6"/>
              </w:rPr>
              <w:t>实施主体</w:t>
            </w:r>
          </w:p>
        </w:tc>
      </w:tr>
      <w:tr w14:paraId="236F9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3CC6D3D0">
            <w:pPr>
              <w:rPr>
                <w:rFonts w:ascii="Arial"/>
                <w:sz w:val="21"/>
              </w:rPr>
            </w:pPr>
          </w:p>
        </w:tc>
        <w:tc>
          <w:tcPr>
            <w:tcW w:w="1182" w:type="dxa"/>
            <w:vMerge w:val="continue"/>
            <w:tcBorders>
              <w:top w:val="nil"/>
            </w:tcBorders>
            <w:vAlign w:val="top"/>
          </w:tcPr>
          <w:p w14:paraId="34425A6C">
            <w:pPr>
              <w:rPr>
                <w:rFonts w:ascii="Arial"/>
                <w:sz w:val="21"/>
              </w:rPr>
            </w:pPr>
          </w:p>
        </w:tc>
        <w:tc>
          <w:tcPr>
            <w:tcW w:w="1060" w:type="dxa"/>
            <w:vMerge w:val="continue"/>
            <w:tcBorders>
              <w:top w:val="nil"/>
            </w:tcBorders>
            <w:vAlign w:val="top"/>
          </w:tcPr>
          <w:p w14:paraId="6A67E124">
            <w:pPr>
              <w:rPr>
                <w:rFonts w:ascii="Arial"/>
                <w:sz w:val="21"/>
              </w:rPr>
            </w:pPr>
          </w:p>
        </w:tc>
        <w:tc>
          <w:tcPr>
            <w:tcW w:w="8692" w:type="dxa"/>
            <w:vMerge w:val="continue"/>
            <w:tcBorders>
              <w:top w:val="nil"/>
            </w:tcBorders>
            <w:vAlign w:val="top"/>
          </w:tcPr>
          <w:p w14:paraId="01CFEAAD">
            <w:pPr>
              <w:rPr>
                <w:rFonts w:ascii="Arial"/>
                <w:sz w:val="21"/>
              </w:rPr>
            </w:pPr>
          </w:p>
        </w:tc>
        <w:tc>
          <w:tcPr>
            <w:tcW w:w="1029" w:type="dxa"/>
            <w:vAlign w:val="top"/>
          </w:tcPr>
          <w:p w14:paraId="2D9591DF">
            <w:pPr>
              <w:pStyle w:val="8"/>
              <w:spacing w:before="45" w:line="219" w:lineRule="auto"/>
              <w:ind w:left="172"/>
            </w:pPr>
            <w:r>
              <w:rPr>
                <w:b/>
                <w:bCs/>
                <w:spacing w:val="-6"/>
              </w:rPr>
              <w:t>责任部门</w:t>
            </w:r>
          </w:p>
        </w:tc>
        <w:tc>
          <w:tcPr>
            <w:tcW w:w="1429" w:type="dxa"/>
            <w:vAlign w:val="top"/>
          </w:tcPr>
          <w:p w14:paraId="04D45CB8">
            <w:pPr>
              <w:pStyle w:val="8"/>
              <w:spacing w:before="45" w:line="219" w:lineRule="auto"/>
              <w:ind w:left="188"/>
            </w:pPr>
            <w:r>
              <w:rPr>
                <w:b/>
                <w:bCs/>
                <w:spacing w:val="-4"/>
              </w:rPr>
              <w:t>第一责任层级</w:t>
            </w:r>
          </w:p>
        </w:tc>
        <w:tc>
          <w:tcPr>
            <w:tcW w:w="1033" w:type="dxa"/>
            <w:vAlign w:val="top"/>
          </w:tcPr>
          <w:p w14:paraId="671C4EB2">
            <w:pPr>
              <w:pStyle w:val="8"/>
              <w:spacing w:before="45" w:line="219" w:lineRule="auto"/>
              <w:ind w:left="163"/>
            </w:pPr>
            <w:r>
              <w:rPr>
                <w:b/>
                <w:bCs/>
                <w:spacing w:val="-5"/>
              </w:rPr>
              <w:t>承办机构</w:t>
            </w:r>
          </w:p>
        </w:tc>
      </w:tr>
      <w:tr w14:paraId="53CF0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7" w:hRule="atLeast"/>
        </w:trPr>
        <w:tc>
          <w:tcPr>
            <w:tcW w:w="634" w:type="dxa"/>
            <w:vAlign w:val="top"/>
          </w:tcPr>
          <w:p w14:paraId="2AD71EB4">
            <w:pPr>
              <w:spacing w:line="245" w:lineRule="auto"/>
              <w:rPr>
                <w:rFonts w:ascii="Arial"/>
                <w:sz w:val="21"/>
              </w:rPr>
            </w:pPr>
          </w:p>
          <w:p w14:paraId="74F74C2B">
            <w:pPr>
              <w:spacing w:line="245" w:lineRule="auto"/>
              <w:rPr>
                <w:rFonts w:ascii="Arial"/>
                <w:sz w:val="21"/>
              </w:rPr>
            </w:pPr>
          </w:p>
          <w:p w14:paraId="13D31902">
            <w:pPr>
              <w:spacing w:line="245" w:lineRule="auto"/>
              <w:rPr>
                <w:rFonts w:ascii="Arial"/>
                <w:sz w:val="21"/>
              </w:rPr>
            </w:pPr>
          </w:p>
          <w:p w14:paraId="0DFFEB1B">
            <w:pPr>
              <w:spacing w:line="245" w:lineRule="auto"/>
              <w:rPr>
                <w:rFonts w:ascii="Arial"/>
                <w:sz w:val="21"/>
              </w:rPr>
            </w:pPr>
          </w:p>
          <w:p w14:paraId="57151602">
            <w:pPr>
              <w:spacing w:line="245" w:lineRule="auto"/>
              <w:rPr>
                <w:rFonts w:ascii="Arial"/>
                <w:sz w:val="21"/>
              </w:rPr>
            </w:pPr>
          </w:p>
          <w:p w14:paraId="7012399E">
            <w:pPr>
              <w:pStyle w:val="8"/>
              <w:spacing w:before="59" w:line="183" w:lineRule="auto"/>
              <w:ind w:left="232"/>
            </w:pPr>
            <w:r>
              <w:rPr>
                <w:spacing w:val="-4"/>
              </w:rPr>
              <w:t>24</w:t>
            </w:r>
          </w:p>
        </w:tc>
        <w:tc>
          <w:tcPr>
            <w:tcW w:w="1182" w:type="dxa"/>
            <w:vAlign w:val="top"/>
          </w:tcPr>
          <w:p w14:paraId="459D2D22">
            <w:pPr>
              <w:pStyle w:val="8"/>
              <w:spacing w:before="50" w:line="246" w:lineRule="auto"/>
              <w:ind w:left="114" w:right="107"/>
            </w:pPr>
            <w:r>
              <w:rPr>
                <w:spacing w:val="-2"/>
              </w:rPr>
              <w:t>对水路运输</w:t>
            </w:r>
            <w:r>
              <w:t xml:space="preserve"> </w:t>
            </w:r>
            <w:r>
              <w:rPr>
                <w:spacing w:val="-2"/>
              </w:rPr>
              <w:t>辅助业务经</w:t>
            </w:r>
            <w:r>
              <w:t xml:space="preserve"> </w:t>
            </w:r>
            <w:r>
              <w:rPr>
                <w:spacing w:val="-2"/>
              </w:rPr>
              <w:t>营者未在售</w:t>
            </w:r>
            <w:r>
              <w:t xml:space="preserve"> </w:t>
            </w:r>
            <w:r>
              <w:rPr>
                <w:spacing w:val="-2"/>
              </w:rPr>
              <w:t>票场所和售</w:t>
            </w:r>
            <w:r>
              <w:t xml:space="preserve"> </w:t>
            </w:r>
            <w:r>
              <w:rPr>
                <w:spacing w:val="-2"/>
              </w:rPr>
              <w:t>票网站的明</w:t>
            </w:r>
            <w:r>
              <w:t xml:space="preserve"> </w:t>
            </w:r>
            <w:r>
              <w:rPr>
                <w:spacing w:val="-2"/>
              </w:rPr>
              <w:t>显位置公布</w:t>
            </w:r>
            <w:r>
              <w:t xml:space="preserve"> </w:t>
            </w:r>
            <w:r>
              <w:rPr>
                <w:spacing w:val="-11"/>
              </w:rPr>
              <w:t>船</w:t>
            </w:r>
            <w:r>
              <w:rPr>
                <w:spacing w:val="-21"/>
              </w:rPr>
              <w:t xml:space="preserve"> </w:t>
            </w:r>
            <w:r>
              <w:rPr>
                <w:spacing w:val="-11"/>
              </w:rPr>
              <w:t>舶</w:t>
            </w:r>
            <w:r>
              <w:rPr>
                <w:spacing w:val="-12"/>
              </w:rPr>
              <w:t xml:space="preserve"> </w:t>
            </w:r>
            <w:r>
              <w:rPr>
                <w:spacing w:val="-11"/>
              </w:rPr>
              <w:t>、</w:t>
            </w:r>
            <w:r>
              <w:rPr>
                <w:spacing w:val="-24"/>
              </w:rPr>
              <w:t xml:space="preserve"> </w:t>
            </w:r>
            <w:r>
              <w:rPr>
                <w:spacing w:val="-11"/>
              </w:rPr>
              <w:t>班</w:t>
            </w:r>
            <w:r>
              <w:t xml:space="preserve"> </w:t>
            </w:r>
            <w:r>
              <w:rPr>
                <w:spacing w:val="-8"/>
              </w:rPr>
              <w:t>期、班次、</w:t>
            </w:r>
            <w:r>
              <w:rPr>
                <w:spacing w:val="3"/>
              </w:rPr>
              <w:t xml:space="preserve"> </w:t>
            </w:r>
            <w:r>
              <w:rPr>
                <w:spacing w:val="-2"/>
              </w:rPr>
              <w:t>票价等信息</w:t>
            </w:r>
            <w:r>
              <w:t xml:space="preserve"> </w:t>
            </w:r>
            <w:r>
              <w:rPr>
                <w:spacing w:val="-2"/>
              </w:rPr>
              <w:t>行为的行政</w:t>
            </w:r>
            <w:r>
              <w:rPr>
                <w:spacing w:val="1"/>
              </w:rPr>
              <w:t xml:space="preserve"> </w:t>
            </w:r>
            <w:r>
              <w:rPr>
                <w:spacing w:val="-4"/>
              </w:rPr>
              <w:t>处罚</w:t>
            </w:r>
          </w:p>
        </w:tc>
        <w:tc>
          <w:tcPr>
            <w:tcW w:w="1060" w:type="dxa"/>
            <w:vAlign w:val="top"/>
          </w:tcPr>
          <w:p w14:paraId="148C06D6">
            <w:pPr>
              <w:spacing w:line="299" w:lineRule="auto"/>
              <w:rPr>
                <w:rFonts w:ascii="Arial"/>
                <w:sz w:val="21"/>
              </w:rPr>
            </w:pPr>
          </w:p>
          <w:p w14:paraId="6EBA894B">
            <w:pPr>
              <w:spacing w:line="299" w:lineRule="auto"/>
              <w:rPr>
                <w:rFonts w:ascii="Arial"/>
                <w:sz w:val="21"/>
              </w:rPr>
            </w:pPr>
          </w:p>
          <w:p w14:paraId="69AC7BFA">
            <w:pPr>
              <w:spacing w:line="299" w:lineRule="auto"/>
              <w:rPr>
                <w:rFonts w:ascii="Arial"/>
                <w:sz w:val="21"/>
              </w:rPr>
            </w:pPr>
          </w:p>
          <w:p w14:paraId="192FAF00">
            <w:pPr>
              <w:spacing w:line="300" w:lineRule="auto"/>
              <w:rPr>
                <w:rFonts w:ascii="Arial"/>
                <w:sz w:val="21"/>
              </w:rPr>
            </w:pPr>
          </w:p>
          <w:p w14:paraId="3EAA126F">
            <w:pPr>
              <w:pStyle w:val="8"/>
              <w:spacing w:before="58" w:line="220" w:lineRule="auto"/>
              <w:ind w:left="9"/>
            </w:pPr>
            <w:r>
              <w:rPr>
                <w:spacing w:val="-4"/>
              </w:rPr>
              <w:t>行政处罚</w:t>
            </w:r>
          </w:p>
        </w:tc>
        <w:tc>
          <w:tcPr>
            <w:tcW w:w="8692" w:type="dxa"/>
            <w:vAlign w:val="top"/>
          </w:tcPr>
          <w:p w14:paraId="5B122B85">
            <w:pPr>
              <w:spacing w:line="294" w:lineRule="auto"/>
              <w:rPr>
                <w:rFonts w:ascii="Arial"/>
                <w:sz w:val="21"/>
              </w:rPr>
            </w:pPr>
          </w:p>
          <w:p w14:paraId="328053E9">
            <w:pPr>
              <w:spacing w:line="294" w:lineRule="auto"/>
              <w:rPr>
                <w:rFonts w:ascii="Arial"/>
                <w:sz w:val="21"/>
              </w:rPr>
            </w:pPr>
          </w:p>
          <w:p w14:paraId="3EC840E0">
            <w:pPr>
              <w:pStyle w:val="8"/>
              <w:spacing w:before="59" w:line="219" w:lineRule="auto"/>
              <w:ind w:left="478"/>
            </w:pPr>
            <w:r>
              <w:rPr>
                <w:b/>
                <w:bCs/>
                <w:spacing w:val="-3"/>
              </w:rPr>
              <w:t>《国内水路运输辅助业管理规定》（交通运输部令2014年第3号）</w:t>
            </w:r>
          </w:p>
          <w:p w14:paraId="5848C130">
            <w:pPr>
              <w:pStyle w:val="8"/>
              <w:spacing w:before="21" w:line="235" w:lineRule="auto"/>
              <w:ind w:left="116" w:right="109" w:firstLine="357"/>
            </w:pPr>
            <w:r>
              <w:t>第二十三条第一款  水路旅客运输代理业务经营者应当在售票场所和售票网站的明显位置公布船舶、班</w:t>
            </w:r>
            <w:r>
              <w:rPr>
                <w:spacing w:val="1"/>
              </w:rPr>
              <w:t xml:space="preserve"> </w:t>
            </w:r>
            <w:r>
              <w:rPr>
                <w:spacing w:val="-2"/>
              </w:rPr>
              <w:t>期、班次、票价等信息。</w:t>
            </w:r>
          </w:p>
          <w:p w14:paraId="26749F54">
            <w:pPr>
              <w:pStyle w:val="8"/>
              <w:spacing w:before="26" w:line="241" w:lineRule="auto"/>
              <w:ind w:left="116" w:right="102" w:firstLine="358"/>
            </w:pPr>
            <w:r>
              <w:t>第三十六条第（八）项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2"/>
              </w:rPr>
              <w:t xml:space="preserve"> </w:t>
            </w:r>
            <w:r>
              <w:rPr>
                <w:spacing w:val="-2"/>
              </w:rPr>
              <w:t>的，处 1 万元以上 3万元以下的罚款</w:t>
            </w:r>
            <w:r>
              <w:t>：（</w:t>
            </w:r>
            <w:r>
              <w:rPr>
                <w:spacing w:val="-2"/>
              </w:rPr>
              <w:t>八）未在售票场所和售</w:t>
            </w:r>
            <w:r>
              <w:rPr>
                <w:spacing w:val="-3"/>
              </w:rPr>
              <w:t>票网站的明显位置公布船舶、班期、班次、</w:t>
            </w:r>
            <w:r>
              <w:rPr>
                <w:spacing w:val="1"/>
              </w:rPr>
              <w:t xml:space="preserve"> </w:t>
            </w:r>
            <w:r>
              <w:rPr>
                <w:spacing w:val="-3"/>
              </w:rPr>
              <w:t>票价等信息。</w:t>
            </w:r>
          </w:p>
        </w:tc>
        <w:tc>
          <w:tcPr>
            <w:tcW w:w="1029" w:type="dxa"/>
            <w:vAlign w:val="top"/>
          </w:tcPr>
          <w:p w14:paraId="6D5FC7F0">
            <w:pPr>
              <w:spacing w:line="268" w:lineRule="auto"/>
              <w:rPr>
                <w:rFonts w:ascii="Arial"/>
                <w:sz w:val="21"/>
              </w:rPr>
            </w:pPr>
          </w:p>
          <w:p w14:paraId="09CABFBA">
            <w:pPr>
              <w:spacing w:line="268" w:lineRule="auto"/>
              <w:rPr>
                <w:rFonts w:ascii="Arial"/>
                <w:sz w:val="21"/>
              </w:rPr>
            </w:pPr>
          </w:p>
          <w:p w14:paraId="107DEDD5">
            <w:pPr>
              <w:spacing w:line="268" w:lineRule="auto"/>
              <w:rPr>
                <w:rFonts w:ascii="Arial"/>
                <w:sz w:val="21"/>
              </w:rPr>
            </w:pPr>
          </w:p>
          <w:p w14:paraId="56F18650">
            <w:pPr>
              <w:spacing w:line="269" w:lineRule="auto"/>
              <w:rPr>
                <w:rFonts w:ascii="Arial"/>
                <w:sz w:val="21"/>
              </w:rPr>
            </w:pPr>
          </w:p>
          <w:p w14:paraId="7F42411B">
            <w:pPr>
              <w:pStyle w:val="8"/>
              <w:spacing w:before="58" w:line="233" w:lineRule="auto"/>
              <w:ind w:left="160" w:right="152" w:firstLine="2"/>
            </w:pPr>
            <w:r>
              <w:rPr>
                <w:spacing w:val="-3"/>
              </w:rPr>
              <w:t>交通运输</w:t>
            </w:r>
            <w:r>
              <w:t xml:space="preserve"> </w:t>
            </w:r>
            <w:r>
              <w:rPr>
                <w:spacing w:val="-3"/>
              </w:rPr>
              <w:t>主管部门</w:t>
            </w:r>
          </w:p>
        </w:tc>
        <w:tc>
          <w:tcPr>
            <w:tcW w:w="1429" w:type="dxa"/>
            <w:vAlign w:val="top"/>
          </w:tcPr>
          <w:p w14:paraId="51B874FF">
            <w:pPr>
              <w:spacing w:line="268" w:lineRule="auto"/>
              <w:rPr>
                <w:rFonts w:ascii="Arial"/>
                <w:sz w:val="21"/>
              </w:rPr>
            </w:pPr>
          </w:p>
          <w:p w14:paraId="4FEC48EE">
            <w:pPr>
              <w:spacing w:line="268" w:lineRule="auto"/>
              <w:rPr>
                <w:rFonts w:ascii="Arial"/>
                <w:sz w:val="21"/>
              </w:rPr>
            </w:pPr>
          </w:p>
          <w:p w14:paraId="44F6EFAA">
            <w:pPr>
              <w:spacing w:line="268" w:lineRule="auto"/>
              <w:rPr>
                <w:rFonts w:ascii="Arial"/>
                <w:sz w:val="21"/>
              </w:rPr>
            </w:pPr>
          </w:p>
          <w:p w14:paraId="31D0D3CC">
            <w:pPr>
              <w:spacing w:line="269" w:lineRule="auto"/>
              <w:rPr>
                <w:rFonts w:ascii="Arial"/>
                <w:sz w:val="21"/>
              </w:rPr>
            </w:pPr>
          </w:p>
          <w:p w14:paraId="5A996CFF">
            <w:pPr>
              <w:pStyle w:val="8"/>
              <w:spacing w:before="58" w:line="234"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7CDA8D13">
            <w:pPr>
              <w:spacing w:line="282" w:lineRule="auto"/>
              <w:rPr>
                <w:rFonts w:ascii="Arial"/>
                <w:sz w:val="21"/>
              </w:rPr>
            </w:pPr>
          </w:p>
          <w:p w14:paraId="3C1A48AF">
            <w:pPr>
              <w:spacing w:line="282" w:lineRule="auto"/>
              <w:rPr>
                <w:rFonts w:ascii="Arial"/>
                <w:sz w:val="21"/>
              </w:rPr>
            </w:pPr>
          </w:p>
          <w:p w14:paraId="788432A8">
            <w:pPr>
              <w:spacing w:line="282" w:lineRule="auto"/>
              <w:rPr>
                <w:rFonts w:ascii="Arial"/>
                <w:sz w:val="21"/>
              </w:rPr>
            </w:pPr>
          </w:p>
          <w:p w14:paraId="04830343">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185A3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8" w:hRule="atLeast"/>
        </w:trPr>
        <w:tc>
          <w:tcPr>
            <w:tcW w:w="634" w:type="dxa"/>
            <w:vAlign w:val="top"/>
          </w:tcPr>
          <w:p w14:paraId="4089ED77">
            <w:pPr>
              <w:spacing w:line="249" w:lineRule="auto"/>
              <w:rPr>
                <w:rFonts w:ascii="Arial"/>
                <w:sz w:val="21"/>
              </w:rPr>
            </w:pPr>
          </w:p>
          <w:p w14:paraId="7CF65E14">
            <w:pPr>
              <w:spacing w:line="249" w:lineRule="auto"/>
              <w:rPr>
                <w:rFonts w:ascii="Arial"/>
                <w:sz w:val="21"/>
              </w:rPr>
            </w:pPr>
          </w:p>
          <w:p w14:paraId="55B84F05">
            <w:pPr>
              <w:spacing w:line="250" w:lineRule="auto"/>
              <w:rPr>
                <w:rFonts w:ascii="Arial"/>
                <w:sz w:val="21"/>
              </w:rPr>
            </w:pPr>
          </w:p>
          <w:p w14:paraId="39FF8D5E">
            <w:pPr>
              <w:spacing w:line="250" w:lineRule="auto"/>
              <w:rPr>
                <w:rFonts w:ascii="Arial"/>
                <w:sz w:val="21"/>
              </w:rPr>
            </w:pPr>
          </w:p>
          <w:p w14:paraId="67969F9F">
            <w:pPr>
              <w:pStyle w:val="8"/>
              <w:spacing w:before="59" w:line="183" w:lineRule="auto"/>
              <w:ind w:left="232"/>
            </w:pPr>
            <w:r>
              <w:rPr>
                <w:spacing w:val="-4"/>
              </w:rPr>
              <w:t>25</w:t>
            </w:r>
          </w:p>
        </w:tc>
        <w:tc>
          <w:tcPr>
            <w:tcW w:w="1182" w:type="dxa"/>
            <w:vAlign w:val="top"/>
          </w:tcPr>
          <w:p w14:paraId="6C8A20F3">
            <w:pPr>
              <w:pStyle w:val="8"/>
              <w:spacing w:before="61" w:line="246" w:lineRule="auto"/>
              <w:ind w:left="114" w:right="110"/>
              <w:jc w:val="both"/>
            </w:pPr>
            <w:r>
              <w:rPr>
                <w:spacing w:val="-2"/>
              </w:rPr>
              <w:t>对水路运输</w:t>
            </w:r>
            <w:r>
              <w:t xml:space="preserve"> </w:t>
            </w:r>
            <w:r>
              <w:rPr>
                <w:spacing w:val="-2"/>
              </w:rPr>
              <w:t>辅助业务经</w:t>
            </w:r>
            <w:r>
              <w:t xml:space="preserve"> </w:t>
            </w:r>
            <w:r>
              <w:rPr>
                <w:spacing w:val="-2"/>
              </w:rPr>
              <w:t>营者未以公</w:t>
            </w:r>
            <w:r>
              <w:t xml:space="preserve"> </w:t>
            </w:r>
            <w:r>
              <w:rPr>
                <w:spacing w:val="-2"/>
              </w:rPr>
              <w:t>布的票价或</w:t>
            </w:r>
            <w:r>
              <w:t xml:space="preserve"> </w:t>
            </w:r>
            <w:r>
              <w:rPr>
                <w:spacing w:val="-2"/>
              </w:rPr>
              <w:t>者变相变更</w:t>
            </w:r>
            <w:r>
              <w:t xml:space="preserve"> </w:t>
            </w:r>
            <w:r>
              <w:rPr>
                <w:spacing w:val="-2"/>
              </w:rPr>
              <w:t>公布的票价</w:t>
            </w:r>
            <w:r>
              <w:t xml:space="preserve"> </w:t>
            </w:r>
            <w:r>
              <w:rPr>
                <w:spacing w:val="-2"/>
              </w:rPr>
              <w:t>销售客票行</w:t>
            </w:r>
            <w:r>
              <w:t xml:space="preserve"> </w:t>
            </w:r>
            <w:r>
              <w:rPr>
                <w:spacing w:val="-2"/>
              </w:rPr>
              <w:t>为的行政处</w:t>
            </w:r>
            <w:r>
              <w:t xml:space="preserve"> 罚</w:t>
            </w:r>
          </w:p>
        </w:tc>
        <w:tc>
          <w:tcPr>
            <w:tcW w:w="1060" w:type="dxa"/>
            <w:vAlign w:val="top"/>
          </w:tcPr>
          <w:p w14:paraId="0766690E">
            <w:pPr>
              <w:spacing w:line="242" w:lineRule="auto"/>
              <w:rPr>
                <w:rFonts w:ascii="Arial"/>
                <w:sz w:val="21"/>
              </w:rPr>
            </w:pPr>
          </w:p>
          <w:p w14:paraId="4B9822D8">
            <w:pPr>
              <w:spacing w:line="242" w:lineRule="auto"/>
              <w:rPr>
                <w:rFonts w:ascii="Arial"/>
                <w:sz w:val="21"/>
              </w:rPr>
            </w:pPr>
          </w:p>
          <w:p w14:paraId="342CA1F2">
            <w:pPr>
              <w:spacing w:line="243" w:lineRule="auto"/>
              <w:rPr>
                <w:rFonts w:ascii="Arial"/>
                <w:sz w:val="21"/>
              </w:rPr>
            </w:pPr>
          </w:p>
          <w:p w14:paraId="03DB695A">
            <w:pPr>
              <w:spacing w:line="243" w:lineRule="auto"/>
              <w:rPr>
                <w:rFonts w:ascii="Arial"/>
                <w:sz w:val="21"/>
              </w:rPr>
            </w:pPr>
          </w:p>
          <w:p w14:paraId="01D5CD73">
            <w:pPr>
              <w:pStyle w:val="8"/>
              <w:spacing w:before="59" w:line="220" w:lineRule="auto"/>
              <w:ind w:left="9"/>
            </w:pPr>
            <w:r>
              <w:rPr>
                <w:spacing w:val="-4"/>
              </w:rPr>
              <w:t>行政处罚</w:t>
            </w:r>
          </w:p>
        </w:tc>
        <w:tc>
          <w:tcPr>
            <w:tcW w:w="8692" w:type="dxa"/>
            <w:vAlign w:val="top"/>
          </w:tcPr>
          <w:p w14:paraId="5B152679">
            <w:pPr>
              <w:spacing w:line="247" w:lineRule="auto"/>
              <w:rPr>
                <w:rFonts w:ascii="Arial"/>
                <w:sz w:val="21"/>
              </w:rPr>
            </w:pPr>
          </w:p>
          <w:p w14:paraId="564FE037">
            <w:pPr>
              <w:pStyle w:val="8"/>
              <w:spacing w:before="59" w:line="219" w:lineRule="auto"/>
              <w:ind w:left="478"/>
            </w:pPr>
            <w:r>
              <w:rPr>
                <w:b/>
                <w:bCs/>
                <w:spacing w:val="-3"/>
              </w:rPr>
              <w:t>《国内水路运输辅助业管理规定》（交通运输部令2014年第3号）</w:t>
            </w:r>
          </w:p>
          <w:p w14:paraId="4CF161C4">
            <w:pPr>
              <w:pStyle w:val="8"/>
              <w:spacing w:before="20" w:line="239" w:lineRule="auto"/>
              <w:ind w:left="115" w:right="107" w:firstLine="352"/>
              <w:jc w:val="both"/>
            </w:pPr>
            <w:r>
              <w:rPr>
                <w:spacing w:val="4"/>
              </w:rPr>
              <w:t>第二十三条第二款  水路旅客运输代理业务经营者应当以水路旅客运输业务经营者公布的票价销售客</w:t>
            </w:r>
            <w:r>
              <w:rPr>
                <w:spacing w:val="11"/>
              </w:rPr>
              <w:t xml:space="preserve"> </w:t>
            </w:r>
            <w:r>
              <w:t>票，不得对相同条件的旅客实施不同的票价，不得以搭售、现金返还、加价等不正当方式变相变更公布的票</w:t>
            </w:r>
            <w:r>
              <w:rPr>
                <w:spacing w:val="3"/>
              </w:rPr>
              <w:t xml:space="preserve"> </w:t>
            </w:r>
            <w:r>
              <w:rPr>
                <w:spacing w:val="-3"/>
              </w:rPr>
              <w:t>价并获取不正当利益。</w:t>
            </w:r>
          </w:p>
          <w:p w14:paraId="309AC827">
            <w:pPr>
              <w:pStyle w:val="8"/>
              <w:spacing w:before="28" w:line="239" w:lineRule="auto"/>
              <w:ind w:left="116" w:right="102" w:firstLine="358"/>
              <w:jc w:val="both"/>
            </w:pPr>
            <w:r>
              <w:t>第三十六条第（九）项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2"/>
              </w:rPr>
              <w:t xml:space="preserve"> </w:t>
            </w:r>
            <w:r>
              <w:rPr>
                <w:spacing w:val="-3"/>
              </w:rPr>
              <w:t>的，处 1 万元以上</w:t>
            </w:r>
            <w:r>
              <w:rPr>
                <w:spacing w:val="-16"/>
              </w:rPr>
              <w:t xml:space="preserve"> </w:t>
            </w:r>
            <w:r>
              <w:rPr>
                <w:spacing w:val="-3"/>
              </w:rPr>
              <w:t>3万元以下的罚款</w:t>
            </w:r>
            <w:r>
              <w:rPr>
                <w:spacing w:val="-16"/>
              </w:rPr>
              <w:t>：（</w:t>
            </w:r>
            <w:r>
              <w:rPr>
                <w:spacing w:val="-3"/>
              </w:rPr>
              <w:t>九）未以公布的票</w:t>
            </w:r>
            <w:r>
              <w:rPr>
                <w:spacing w:val="-4"/>
              </w:rPr>
              <w:t>价或者变相变更公布的票价销售客票。</w:t>
            </w:r>
          </w:p>
        </w:tc>
        <w:tc>
          <w:tcPr>
            <w:tcW w:w="1029" w:type="dxa"/>
            <w:vAlign w:val="top"/>
          </w:tcPr>
          <w:p w14:paraId="5F837A6F">
            <w:pPr>
              <w:spacing w:line="282" w:lineRule="auto"/>
              <w:rPr>
                <w:rFonts w:ascii="Arial"/>
                <w:sz w:val="21"/>
              </w:rPr>
            </w:pPr>
          </w:p>
          <w:p w14:paraId="283EF186">
            <w:pPr>
              <w:spacing w:line="282" w:lineRule="auto"/>
              <w:rPr>
                <w:rFonts w:ascii="Arial"/>
                <w:sz w:val="21"/>
              </w:rPr>
            </w:pPr>
          </w:p>
          <w:p w14:paraId="1B7A4004">
            <w:pPr>
              <w:spacing w:line="282" w:lineRule="auto"/>
              <w:rPr>
                <w:rFonts w:ascii="Arial"/>
                <w:sz w:val="21"/>
              </w:rPr>
            </w:pPr>
          </w:p>
          <w:p w14:paraId="5A61027E">
            <w:pPr>
              <w:pStyle w:val="8"/>
              <w:spacing w:before="58" w:line="233" w:lineRule="auto"/>
              <w:ind w:left="160" w:right="152" w:firstLine="2"/>
            </w:pPr>
            <w:r>
              <w:rPr>
                <w:spacing w:val="-3"/>
              </w:rPr>
              <w:t>交通运输</w:t>
            </w:r>
            <w:r>
              <w:t xml:space="preserve"> </w:t>
            </w:r>
            <w:r>
              <w:rPr>
                <w:spacing w:val="-3"/>
              </w:rPr>
              <w:t>主管部门</w:t>
            </w:r>
          </w:p>
        </w:tc>
        <w:tc>
          <w:tcPr>
            <w:tcW w:w="1429" w:type="dxa"/>
            <w:vAlign w:val="top"/>
          </w:tcPr>
          <w:p w14:paraId="2BCF8E2B">
            <w:pPr>
              <w:spacing w:line="282" w:lineRule="auto"/>
              <w:rPr>
                <w:rFonts w:ascii="Arial"/>
                <w:sz w:val="21"/>
              </w:rPr>
            </w:pPr>
          </w:p>
          <w:p w14:paraId="3E56E63F">
            <w:pPr>
              <w:spacing w:line="282" w:lineRule="auto"/>
              <w:rPr>
                <w:rFonts w:ascii="Arial"/>
                <w:sz w:val="21"/>
              </w:rPr>
            </w:pPr>
          </w:p>
          <w:p w14:paraId="04C18315">
            <w:pPr>
              <w:spacing w:line="282" w:lineRule="auto"/>
              <w:rPr>
                <w:rFonts w:ascii="Arial"/>
                <w:sz w:val="21"/>
              </w:rPr>
            </w:pPr>
          </w:p>
          <w:p w14:paraId="2286F643">
            <w:pPr>
              <w:pStyle w:val="8"/>
              <w:spacing w:before="59" w:line="234"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1DF9CE70">
            <w:pPr>
              <w:spacing w:line="309" w:lineRule="auto"/>
              <w:rPr>
                <w:rFonts w:ascii="Arial"/>
                <w:sz w:val="21"/>
              </w:rPr>
            </w:pPr>
          </w:p>
          <w:p w14:paraId="2DCE11DA">
            <w:pPr>
              <w:spacing w:line="310" w:lineRule="auto"/>
              <w:rPr>
                <w:rFonts w:ascii="Arial"/>
                <w:sz w:val="21"/>
              </w:rPr>
            </w:pPr>
          </w:p>
          <w:p w14:paraId="0AC81B93">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5A256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6" w:hRule="atLeast"/>
        </w:trPr>
        <w:tc>
          <w:tcPr>
            <w:tcW w:w="634" w:type="dxa"/>
            <w:vAlign w:val="top"/>
          </w:tcPr>
          <w:p w14:paraId="7796B900">
            <w:pPr>
              <w:spacing w:line="263" w:lineRule="auto"/>
              <w:rPr>
                <w:rFonts w:ascii="Arial"/>
                <w:sz w:val="21"/>
              </w:rPr>
            </w:pPr>
          </w:p>
          <w:p w14:paraId="26B19AD6">
            <w:pPr>
              <w:spacing w:line="263" w:lineRule="auto"/>
              <w:rPr>
                <w:rFonts w:ascii="Arial"/>
                <w:sz w:val="21"/>
              </w:rPr>
            </w:pPr>
          </w:p>
          <w:p w14:paraId="7A3A9F59">
            <w:pPr>
              <w:spacing w:line="263" w:lineRule="auto"/>
              <w:rPr>
                <w:rFonts w:ascii="Arial"/>
                <w:sz w:val="21"/>
              </w:rPr>
            </w:pPr>
          </w:p>
          <w:p w14:paraId="20BEE7B0">
            <w:pPr>
              <w:pStyle w:val="8"/>
              <w:spacing w:before="59" w:line="183" w:lineRule="auto"/>
              <w:ind w:left="232"/>
            </w:pPr>
            <w:r>
              <w:rPr>
                <w:spacing w:val="-4"/>
              </w:rPr>
              <w:t>26</w:t>
            </w:r>
          </w:p>
        </w:tc>
        <w:tc>
          <w:tcPr>
            <w:tcW w:w="1182" w:type="dxa"/>
            <w:vAlign w:val="top"/>
          </w:tcPr>
          <w:p w14:paraId="587A2D01">
            <w:pPr>
              <w:pStyle w:val="8"/>
              <w:spacing w:before="92" w:line="245" w:lineRule="auto"/>
              <w:ind w:left="114" w:right="110"/>
              <w:jc w:val="both"/>
            </w:pPr>
            <w:r>
              <w:rPr>
                <w:spacing w:val="-2"/>
              </w:rPr>
              <w:t>对水路运输</w:t>
            </w:r>
            <w:r>
              <w:t xml:space="preserve"> </w:t>
            </w:r>
            <w:r>
              <w:rPr>
                <w:spacing w:val="-2"/>
              </w:rPr>
              <w:t>辅助业务经</w:t>
            </w:r>
            <w:r>
              <w:t xml:space="preserve"> </w:t>
            </w:r>
            <w:r>
              <w:rPr>
                <w:spacing w:val="-2"/>
              </w:rPr>
              <w:t>营者使用的</w:t>
            </w:r>
            <w:r>
              <w:t xml:space="preserve"> </w:t>
            </w:r>
            <w:r>
              <w:rPr>
                <w:spacing w:val="-2"/>
              </w:rPr>
              <w:t>运输单证不</w:t>
            </w:r>
            <w:r>
              <w:t xml:space="preserve"> </w:t>
            </w:r>
            <w:r>
              <w:rPr>
                <w:spacing w:val="-2"/>
              </w:rPr>
              <w:t>符合有关规</w:t>
            </w:r>
            <w:r>
              <w:t xml:space="preserve"> </w:t>
            </w:r>
            <w:r>
              <w:rPr>
                <w:spacing w:val="-2"/>
              </w:rPr>
              <w:t>定行为的行</w:t>
            </w:r>
            <w:r>
              <w:t xml:space="preserve"> </w:t>
            </w:r>
            <w:r>
              <w:rPr>
                <w:spacing w:val="-4"/>
              </w:rPr>
              <w:t>政处罚</w:t>
            </w:r>
          </w:p>
        </w:tc>
        <w:tc>
          <w:tcPr>
            <w:tcW w:w="1060" w:type="dxa"/>
            <w:vAlign w:val="top"/>
          </w:tcPr>
          <w:p w14:paraId="265992ED">
            <w:pPr>
              <w:spacing w:line="253" w:lineRule="auto"/>
              <w:rPr>
                <w:rFonts w:ascii="Arial"/>
                <w:sz w:val="21"/>
              </w:rPr>
            </w:pPr>
          </w:p>
          <w:p w14:paraId="2CBD4D5D">
            <w:pPr>
              <w:spacing w:line="254" w:lineRule="auto"/>
              <w:rPr>
                <w:rFonts w:ascii="Arial"/>
                <w:sz w:val="21"/>
              </w:rPr>
            </w:pPr>
          </w:p>
          <w:p w14:paraId="4A7C43BC">
            <w:pPr>
              <w:spacing w:line="254" w:lineRule="auto"/>
              <w:rPr>
                <w:rFonts w:ascii="Arial"/>
                <w:sz w:val="21"/>
              </w:rPr>
            </w:pPr>
          </w:p>
          <w:p w14:paraId="3A062AD7">
            <w:pPr>
              <w:pStyle w:val="8"/>
              <w:spacing w:before="58" w:line="220" w:lineRule="auto"/>
              <w:ind w:left="9"/>
            </w:pPr>
            <w:r>
              <w:rPr>
                <w:spacing w:val="-4"/>
              </w:rPr>
              <w:t>行政处罚</w:t>
            </w:r>
          </w:p>
        </w:tc>
        <w:tc>
          <w:tcPr>
            <w:tcW w:w="8692" w:type="dxa"/>
            <w:vAlign w:val="top"/>
          </w:tcPr>
          <w:p w14:paraId="2ADB99B3">
            <w:pPr>
              <w:pStyle w:val="8"/>
              <w:spacing w:before="241" w:line="219" w:lineRule="auto"/>
              <w:ind w:left="478"/>
            </w:pPr>
            <w:r>
              <w:rPr>
                <w:b/>
                <w:bCs/>
                <w:spacing w:val="-3"/>
              </w:rPr>
              <w:t>《国内水路运输辅助业管理规定》（交通运输部令2014年第3号）</w:t>
            </w:r>
          </w:p>
          <w:p w14:paraId="0951C4FD">
            <w:pPr>
              <w:pStyle w:val="8"/>
              <w:spacing w:before="19" w:line="219" w:lineRule="auto"/>
              <w:ind w:left="474"/>
            </w:pPr>
            <w:r>
              <w:t>第二十四条  水路运输辅助业务经营者应当使用规范的、符合有关法律法规和交通运输部规定的客票和</w:t>
            </w:r>
          </w:p>
          <w:p w14:paraId="4648F355">
            <w:pPr>
              <w:pStyle w:val="8"/>
              <w:spacing w:before="19" w:line="219" w:lineRule="auto"/>
              <w:ind w:left="114"/>
            </w:pPr>
            <w:r>
              <w:rPr>
                <w:spacing w:val="-7"/>
              </w:rPr>
              <w:t>运输单证。</w:t>
            </w:r>
          </w:p>
          <w:p w14:paraId="38E8CC0F">
            <w:pPr>
              <w:pStyle w:val="8"/>
              <w:spacing w:before="22" w:line="232" w:lineRule="auto"/>
              <w:ind w:left="116" w:right="100" w:firstLine="358"/>
              <w:jc w:val="both"/>
            </w:pPr>
            <w:r>
              <w:t>第三十六条第（十）项  水路运输辅助业务经营者违反本规定，有下列行为之一的，由其所在地县级以</w:t>
            </w:r>
            <w:r>
              <w:rPr>
                <w:spacing w:val="1"/>
              </w:rPr>
              <w:t xml:space="preserve"> </w:t>
            </w:r>
            <w:r>
              <w:rPr>
                <w:spacing w:val="-5"/>
              </w:rPr>
              <w:t>上人民政府水路运输管理部门责令改正，处 2000 元以上 1 万元以下的罚款；一年内累计三次以上违反本规定</w:t>
            </w:r>
            <w:r>
              <w:rPr>
                <w:spacing w:val="4"/>
              </w:rPr>
              <w:t xml:space="preserve"> </w:t>
            </w:r>
            <w:r>
              <w:rPr>
                <w:spacing w:val="-4"/>
              </w:rPr>
              <w:t>的，处 1 万元以上</w:t>
            </w:r>
            <w:r>
              <w:rPr>
                <w:spacing w:val="-18"/>
              </w:rPr>
              <w:t xml:space="preserve"> </w:t>
            </w:r>
            <w:r>
              <w:rPr>
                <w:spacing w:val="-4"/>
              </w:rPr>
              <w:t>3万元以下的罚款</w:t>
            </w:r>
            <w:r>
              <w:rPr>
                <w:spacing w:val="-14"/>
              </w:rPr>
              <w:t>：（</w:t>
            </w:r>
            <w:r>
              <w:rPr>
                <w:spacing w:val="-4"/>
              </w:rPr>
              <w:t>十）使用的运输单证不符合有关规定。</w:t>
            </w:r>
          </w:p>
        </w:tc>
        <w:tc>
          <w:tcPr>
            <w:tcW w:w="1029" w:type="dxa"/>
            <w:vAlign w:val="top"/>
          </w:tcPr>
          <w:p w14:paraId="12719C6F">
            <w:pPr>
              <w:spacing w:line="318" w:lineRule="auto"/>
              <w:rPr>
                <w:rFonts w:ascii="Arial"/>
                <w:sz w:val="21"/>
              </w:rPr>
            </w:pPr>
          </w:p>
          <w:p w14:paraId="767E24AE">
            <w:pPr>
              <w:spacing w:line="319" w:lineRule="auto"/>
              <w:rPr>
                <w:rFonts w:ascii="Arial"/>
                <w:sz w:val="21"/>
              </w:rPr>
            </w:pPr>
          </w:p>
          <w:p w14:paraId="1EAE36B7">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67825942">
            <w:pPr>
              <w:spacing w:line="319" w:lineRule="auto"/>
              <w:rPr>
                <w:rFonts w:ascii="Arial"/>
                <w:sz w:val="21"/>
              </w:rPr>
            </w:pPr>
          </w:p>
          <w:p w14:paraId="6C7634F2">
            <w:pPr>
              <w:spacing w:line="319" w:lineRule="auto"/>
              <w:rPr>
                <w:rFonts w:ascii="Arial"/>
                <w:sz w:val="21"/>
              </w:rPr>
            </w:pPr>
          </w:p>
          <w:p w14:paraId="2C15C0A6">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51FD6CB3">
            <w:pPr>
              <w:spacing w:line="412" w:lineRule="auto"/>
              <w:rPr>
                <w:rFonts w:ascii="Arial"/>
                <w:sz w:val="21"/>
              </w:rPr>
            </w:pPr>
          </w:p>
          <w:p w14:paraId="6A0B2151">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20099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5" w:hRule="atLeast"/>
        </w:trPr>
        <w:tc>
          <w:tcPr>
            <w:tcW w:w="634" w:type="dxa"/>
            <w:vAlign w:val="top"/>
          </w:tcPr>
          <w:p w14:paraId="245B1B18">
            <w:pPr>
              <w:spacing w:line="276" w:lineRule="auto"/>
              <w:rPr>
                <w:rFonts w:ascii="Arial"/>
                <w:sz w:val="21"/>
              </w:rPr>
            </w:pPr>
          </w:p>
          <w:p w14:paraId="3F9B77F2">
            <w:pPr>
              <w:spacing w:line="276" w:lineRule="auto"/>
              <w:rPr>
                <w:rFonts w:ascii="Arial"/>
                <w:sz w:val="21"/>
              </w:rPr>
            </w:pPr>
          </w:p>
          <w:p w14:paraId="50BBAB3B">
            <w:pPr>
              <w:spacing w:line="276" w:lineRule="auto"/>
              <w:rPr>
                <w:rFonts w:ascii="Arial"/>
                <w:sz w:val="21"/>
              </w:rPr>
            </w:pPr>
          </w:p>
          <w:p w14:paraId="3601B462">
            <w:pPr>
              <w:pStyle w:val="8"/>
              <w:spacing w:before="58" w:line="183" w:lineRule="auto"/>
              <w:ind w:left="232"/>
            </w:pPr>
            <w:r>
              <w:rPr>
                <w:spacing w:val="-4"/>
              </w:rPr>
              <w:t>27</w:t>
            </w:r>
          </w:p>
        </w:tc>
        <w:tc>
          <w:tcPr>
            <w:tcW w:w="1182" w:type="dxa"/>
            <w:vAlign w:val="top"/>
          </w:tcPr>
          <w:p w14:paraId="3A08E5E2">
            <w:pPr>
              <w:pStyle w:val="8"/>
              <w:spacing w:before="133" w:line="245" w:lineRule="auto"/>
              <w:ind w:left="114" w:right="110"/>
              <w:jc w:val="both"/>
            </w:pPr>
            <w:r>
              <w:rPr>
                <w:spacing w:val="-2"/>
              </w:rPr>
              <w:t>对水路运输</w:t>
            </w:r>
            <w:r>
              <w:t xml:space="preserve"> </w:t>
            </w:r>
            <w:r>
              <w:rPr>
                <w:spacing w:val="-2"/>
              </w:rPr>
              <w:t>辅助业务经</w:t>
            </w:r>
            <w:r>
              <w:t xml:space="preserve"> </w:t>
            </w:r>
            <w:r>
              <w:rPr>
                <w:spacing w:val="-2"/>
              </w:rPr>
              <w:t>营者未建立</w:t>
            </w:r>
            <w:r>
              <w:t xml:space="preserve"> </w:t>
            </w:r>
            <w:r>
              <w:rPr>
                <w:spacing w:val="-2"/>
              </w:rPr>
              <w:t>业务记录和</w:t>
            </w:r>
            <w:r>
              <w:t xml:space="preserve"> </w:t>
            </w:r>
            <w:r>
              <w:rPr>
                <w:spacing w:val="-2"/>
              </w:rPr>
              <w:t>管理台账行</w:t>
            </w:r>
            <w:r>
              <w:t xml:space="preserve"> </w:t>
            </w:r>
            <w:r>
              <w:rPr>
                <w:spacing w:val="-2"/>
              </w:rPr>
              <w:t>为的行政处</w:t>
            </w:r>
            <w:r>
              <w:t xml:space="preserve"> 罚</w:t>
            </w:r>
          </w:p>
        </w:tc>
        <w:tc>
          <w:tcPr>
            <w:tcW w:w="1060" w:type="dxa"/>
            <w:vAlign w:val="top"/>
          </w:tcPr>
          <w:p w14:paraId="726327AB">
            <w:pPr>
              <w:spacing w:line="266" w:lineRule="auto"/>
              <w:rPr>
                <w:rFonts w:ascii="Arial"/>
                <w:sz w:val="21"/>
              </w:rPr>
            </w:pPr>
          </w:p>
          <w:p w14:paraId="0AE9449C">
            <w:pPr>
              <w:spacing w:line="266" w:lineRule="auto"/>
              <w:rPr>
                <w:rFonts w:ascii="Arial"/>
                <w:sz w:val="21"/>
              </w:rPr>
            </w:pPr>
          </w:p>
          <w:p w14:paraId="03F3D80D">
            <w:pPr>
              <w:spacing w:line="267" w:lineRule="auto"/>
              <w:rPr>
                <w:rFonts w:ascii="Arial"/>
                <w:sz w:val="21"/>
              </w:rPr>
            </w:pPr>
          </w:p>
          <w:p w14:paraId="2E617782">
            <w:pPr>
              <w:pStyle w:val="8"/>
              <w:spacing w:before="59" w:line="220" w:lineRule="auto"/>
              <w:ind w:left="9"/>
            </w:pPr>
            <w:r>
              <w:rPr>
                <w:spacing w:val="-4"/>
              </w:rPr>
              <w:t>行政处罚</w:t>
            </w:r>
          </w:p>
        </w:tc>
        <w:tc>
          <w:tcPr>
            <w:tcW w:w="8692" w:type="dxa"/>
            <w:vAlign w:val="top"/>
          </w:tcPr>
          <w:p w14:paraId="23D075DB">
            <w:pPr>
              <w:pStyle w:val="8"/>
              <w:spacing w:before="279" w:line="219" w:lineRule="auto"/>
              <w:ind w:left="478"/>
            </w:pPr>
            <w:r>
              <w:rPr>
                <w:b/>
                <w:bCs/>
                <w:spacing w:val="-3"/>
              </w:rPr>
              <w:t>《国内水路运输辅助业管理规定》（交通运输部令2014年第3号）</w:t>
            </w:r>
          </w:p>
          <w:p w14:paraId="296268EA">
            <w:pPr>
              <w:pStyle w:val="8"/>
              <w:spacing w:before="19" w:line="219" w:lineRule="auto"/>
              <w:ind w:left="474"/>
            </w:pPr>
            <w:r>
              <w:t>第二十五条  水路运输辅助业务经营者开展业务活动应当建立业务记录和管理台账，按照规定报送统计</w:t>
            </w:r>
          </w:p>
          <w:p w14:paraId="06CC7636">
            <w:pPr>
              <w:pStyle w:val="8"/>
              <w:spacing w:before="19" w:line="219" w:lineRule="auto"/>
              <w:ind w:left="114"/>
            </w:pPr>
            <w:r>
              <w:rPr>
                <w:spacing w:val="-3"/>
              </w:rPr>
              <w:t>信息。</w:t>
            </w:r>
          </w:p>
          <w:p w14:paraId="5355A45F">
            <w:pPr>
              <w:pStyle w:val="8"/>
              <w:spacing w:before="22" w:line="232" w:lineRule="auto"/>
              <w:ind w:left="119" w:right="102" w:firstLine="355"/>
              <w:jc w:val="both"/>
            </w:pPr>
            <w:r>
              <w:t>第三十六条第（十一）项  水路运输辅助业务经营者违反本规定，有下列行为之一的，由其所在地县级</w:t>
            </w:r>
            <w:r>
              <w:rPr>
                <w:spacing w:val="1"/>
              </w:rPr>
              <w:t xml:space="preserve"> </w:t>
            </w:r>
            <w:r>
              <w:rPr>
                <w:spacing w:val="-5"/>
              </w:rPr>
              <w:t>以上人民政府水路运输管理部门责令改正，处 2000 元以上 1 万元以下的罚款；一年内累计三次以上违反本规</w:t>
            </w:r>
            <w:r>
              <w:t xml:space="preserve"> </w:t>
            </w:r>
            <w:r>
              <w:rPr>
                <w:spacing w:val="-5"/>
              </w:rPr>
              <w:t>定的，处 1 万元以上3 万元以下的罚款：（十一）未建立业务记</w:t>
            </w:r>
            <w:r>
              <w:rPr>
                <w:spacing w:val="-6"/>
              </w:rPr>
              <w:t>录和管理台账。</w:t>
            </w:r>
          </w:p>
        </w:tc>
        <w:tc>
          <w:tcPr>
            <w:tcW w:w="1029" w:type="dxa"/>
            <w:vAlign w:val="top"/>
          </w:tcPr>
          <w:p w14:paraId="230E4470">
            <w:pPr>
              <w:spacing w:line="338" w:lineRule="auto"/>
              <w:rPr>
                <w:rFonts w:ascii="Arial"/>
                <w:sz w:val="21"/>
              </w:rPr>
            </w:pPr>
          </w:p>
          <w:p w14:paraId="6EE06987">
            <w:pPr>
              <w:spacing w:line="338" w:lineRule="auto"/>
              <w:rPr>
                <w:rFonts w:ascii="Arial"/>
                <w:sz w:val="21"/>
              </w:rPr>
            </w:pPr>
          </w:p>
          <w:p w14:paraId="58187B92">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79791175">
            <w:pPr>
              <w:spacing w:line="338" w:lineRule="auto"/>
              <w:rPr>
                <w:rFonts w:ascii="Arial"/>
                <w:sz w:val="21"/>
              </w:rPr>
            </w:pPr>
          </w:p>
          <w:p w14:paraId="3FA4B6DE">
            <w:pPr>
              <w:spacing w:line="338" w:lineRule="auto"/>
              <w:rPr>
                <w:rFonts w:ascii="Arial"/>
                <w:sz w:val="21"/>
              </w:rPr>
            </w:pPr>
          </w:p>
          <w:p w14:paraId="42DFEF98">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42AC288E">
            <w:pPr>
              <w:spacing w:line="451" w:lineRule="auto"/>
              <w:rPr>
                <w:rFonts w:ascii="Arial"/>
                <w:sz w:val="21"/>
              </w:rPr>
            </w:pPr>
          </w:p>
          <w:p w14:paraId="7800608B">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3C109E52">
      <w:pPr>
        <w:pStyle w:val="2"/>
        <w:spacing w:line="401" w:lineRule="auto"/>
      </w:pPr>
    </w:p>
    <w:p w14:paraId="1D4DF06E">
      <w:pPr>
        <w:spacing w:before="65" w:line="183" w:lineRule="auto"/>
        <w:ind w:left="7393"/>
        <w:rPr>
          <w:rFonts w:ascii="宋体" w:hAnsi="宋体" w:eastAsia="宋体" w:cs="宋体"/>
          <w:sz w:val="20"/>
          <w:szCs w:val="20"/>
        </w:rPr>
      </w:pPr>
      <w:r>
        <w:rPr>
          <w:rFonts w:ascii="宋体" w:hAnsi="宋体" w:eastAsia="宋体" w:cs="宋体"/>
          <w:spacing w:val="-3"/>
          <w:sz w:val="20"/>
          <w:szCs w:val="20"/>
        </w:rPr>
        <w:t>236</w:t>
      </w:r>
    </w:p>
    <w:p w14:paraId="66ED5B9B">
      <w:pPr>
        <w:spacing w:line="122" w:lineRule="exact"/>
        <w:rPr>
          <w:rFonts w:ascii="宋体" w:hAnsi="宋体" w:eastAsia="宋体" w:cs="宋体"/>
          <w:sz w:val="18"/>
          <w:szCs w:val="18"/>
        </w:rPr>
        <w:sectPr>
          <w:footerReference r:id="rId224" w:type="default"/>
          <w:pgSz w:w="16840" w:h="11910"/>
          <w:pgMar w:top="1012" w:right="888" w:bottom="400" w:left="887" w:header="0" w:footer="0" w:gutter="0"/>
          <w:cols w:space="720" w:num="1"/>
        </w:sectPr>
      </w:pPr>
    </w:p>
    <w:p w14:paraId="66866B4E">
      <w:pPr>
        <w:spacing w:line="121" w:lineRule="exact"/>
      </w:pPr>
    </w:p>
    <w:tbl>
      <w:tblPr>
        <w:tblStyle w:val="7"/>
        <w:tblW w:w="15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21"/>
        <w:gridCol w:w="1121"/>
        <w:gridCol w:w="8692"/>
        <w:gridCol w:w="1029"/>
        <w:gridCol w:w="1429"/>
        <w:gridCol w:w="1033"/>
      </w:tblGrid>
      <w:tr w14:paraId="13A5B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34" w:type="dxa"/>
            <w:vMerge w:val="restart"/>
            <w:tcBorders>
              <w:bottom w:val="nil"/>
            </w:tcBorders>
            <w:vAlign w:val="top"/>
          </w:tcPr>
          <w:p w14:paraId="1CA8FE03">
            <w:pPr>
              <w:pStyle w:val="8"/>
              <w:spacing w:before="221" w:line="221" w:lineRule="auto"/>
              <w:ind w:left="138"/>
            </w:pPr>
            <w:r>
              <w:rPr>
                <w:b/>
                <w:bCs/>
                <w:spacing w:val="-4"/>
              </w:rPr>
              <w:t>序号</w:t>
            </w:r>
          </w:p>
        </w:tc>
        <w:tc>
          <w:tcPr>
            <w:tcW w:w="1121" w:type="dxa"/>
            <w:vMerge w:val="restart"/>
            <w:tcBorders>
              <w:bottom w:val="nil"/>
            </w:tcBorders>
            <w:vAlign w:val="top"/>
          </w:tcPr>
          <w:p w14:paraId="74B067B3">
            <w:pPr>
              <w:pStyle w:val="8"/>
              <w:spacing w:before="221" w:line="220" w:lineRule="auto"/>
              <w:ind w:left="206"/>
            </w:pPr>
            <w:r>
              <w:rPr>
                <w:b/>
                <w:bCs/>
                <w:spacing w:val="-5"/>
              </w:rPr>
              <w:t>事项名称</w:t>
            </w:r>
          </w:p>
        </w:tc>
        <w:tc>
          <w:tcPr>
            <w:tcW w:w="1121" w:type="dxa"/>
            <w:vMerge w:val="restart"/>
            <w:tcBorders>
              <w:bottom w:val="nil"/>
            </w:tcBorders>
            <w:vAlign w:val="top"/>
          </w:tcPr>
          <w:p w14:paraId="7D9E7BE8">
            <w:pPr>
              <w:pStyle w:val="8"/>
              <w:spacing w:before="222" w:line="219" w:lineRule="auto"/>
              <w:ind w:left="221"/>
            </w:pPr>
            <w:r>
              <w:rPr>
                <w:b/>
                <w:bCs/>
                <w:spacing w:val="-9"/>
              </w:rPr>
              <w:t>职权类型</w:t>
            </w:r>
          </w:p>
        </w:tc>
        <w:tc>
          <w:tcPr>
            <w:tcW w:w="8692" w:type="dxa"/>
            <w:vMerge w:val="restart"/>
            <w:tcBorders>
              <w:bottom w:val="nil"/>
            </w:tcBorders>
            <w:vAlign w:val="top"/>
          </w:tcPr>
          <w:p w14:paraId="546865DB">
            <w:pPr>
              <w:pStyle w:val="8"/>
              <w:spacing w:before="221" w:line="219" w:lineRule="auto"/>
              <w:ind w:left="3999"/>
            </w:pPr>
            <w:r>
              <w:rPr>
                <w:b/>
                <w:bCs/>
                <w:spacing w:val="-6"/>
              </w:rPr>
              <w:t>实施依据</w:t>
            </w:r>
          </w:p>
        </w:tc>
        <w:tc>
          <w:tcPr>
            <w:tcW w:w="3491" w:type="dxa"/>
            <w:gridSpan w:val="3"/>
            <w:vAlign w:val="top"/>
          </w:tcPr>
          <w:p w14:paraId="43385419">
            <w:pPr>
              <w:pStyle w:val="8"/>
              <w:spacing w:before="85" w:line="220" w:lineRule="auto"/>
              <w:ind w:left="1399"/>
            </w:pPr>
            <w:r>
              <w:rPr>
                <w:b/>
                <w:bCs/>
                <w:spacing w:val="-6"/>
              </w:rPr>
              <w:t>实施主体</w:t>
            </w:r>
          </w:p>
        </w:tc>
      </w:tr>
      <w:tr w14:paraId="265B0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634" w:type="dxa"/>
            <w:vMerge w:val="continue"/>
            <w:tcBorders>
              <w:top w:val="nil"/>
            </w:tcBorders>
            <w:vAlign w:val="top"/>
          </w:tcPr>
          <w:p w14:paraId="51A29F87">
            <w:pPr>
              <w:rPr>
                <w:rFonts w:ascii="Arial"/>
                <w:sz w:val="21"/>
              </w:rPr>
            </w:pPr>
          </w:p>
        </w:tc>
        <w:tc>
          <w:tcPr>
            <w:tcW w:w="1121" w:type="dxa"/>
            <w:vMerge w:val="continue"/>
            <w:tcBorders>
              <w:top w:val="nil"/>
            </w:tcBorders>
            <w:vAlign w:val="top"/>
          </w:tcPr>
          <w:p w14:paraId="28594D2E">
            <w:pPr>
              <w:rPr>
                <w:rFonts w:ascii="Arial"/>
                <w:sz w:val="21"/>
              </w:rPr>
            </w:pPr>
          </w:p>
        </w:tc>
        <w:tc>
          <w:tcPr>
            <w:tcW w:w="1121" w:type="dxa"/>
            <w:vMerge w:val="continue"/>
            <w:tcBorders>
              <w:top w:val="nil"/>
            </w:tcBorders>
            <w:vAlign w:val="top"/>
          </w:tcPr>
          <w:p w14:paraId="480C6543">
            <w:pPr>
              <w:rPr>
                <w:rFonts w:ascii="Arial"/>
                <w:sz w:val="21"/>
              </w:rPr>
            </w:pPr>
          </w:p>
        </w:tc>
        <w:tc>
          <w:tcPr>
            <w:tcW w:w="8692" w:type="dxa"/>
            <w:vMerge w:val="continue"/>
            <w:tcBorders>
              <w:top w:val="nil"/>
            </w:tcBorders>
            <w:vAlign w:val="top"/>
          </w:tcPr>
          <w:p w14:paraId="0A1EA218">
            <w:pPr>
              <w:rPr>
                <w:rFonts w:ascii="Arial"/>
                <w:sz w:val="21"/>
              </w:rPr>
            </w:pPr>
          </w:p>
        </w:tc>
        <w:tc>
          <w:tcPr>
            <w:tcW w:w="1029" w:type="dxa"/>
            <w:vAlign w:val="top"/>
          </w:tcPr>
          <w:p w14:paraId="4CCD6771">
            <w:pPr>
              <w:pStyle w:val="8"/>
              <w:spacing w:before="45" w:line="219" w:lineRule="auto"/>
              <w:ind w:left="172"/>
            </w:pPr>
            <w:r>
              <w:rPr>
                <w:b/>
                <w:bCs/>
                <w:spacing w:val="-6"/>
              </w:rPr>
              <w:t>责任部门</w:t>
            </w:r>
          </w:p>
        </w:tc>
        <w:tc>
          <w:tcPr>
            <w:tcW w:w="1429" w:type="dxa"/>
            <w:vAlign w:val="top"/>
          </w:tcPr>
          <w:p w14:paraId="3A9ED39B">
            <w:pPr>
              <w:pStyle w:val="8"/>
              <w:spacing w:before="45" w:line="219" w:lineRule="auto"/>
              <w:ind w:left="188"/>
            </w:pPr>
            <w:r>
              <w:rPr>
                <w:b/>
                <w:bCs/>
                <w:spacing w:val="-4"/>
              </w:rPr>
              <w:t>第一责任层级</w:t>
            </w:r>
          </w:p>
        </w:tc>
        <w:tc>
          <w:tcPr>
            <w:tcW w:w="1033" w:type="dxa"/>
            <w:vAlign w:val="top"/>
          </w:tcPr>
          <w:p w14:paraId="47E84E6C">
            <w:pPr>
              <w:pStyle w:val="8"/>
              <w:spacing w:before="45" w:line="219" w:lineRule="auto"/>
              <w:ind w:left="163"/>
            </w:pPr>
            <w:r>
              <w:rPr>
                <w:b/>
                <w:bCs/>
                <w:spacing w:val="-5"/>
              </w:rPr>
              <w:t>承办机构</w:t>
            </w:r>
          </w:p>
        </w:tc>
      </w:tr>
      <w:tr w14:paraId="540EE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9" w:hRule="atLeast"/>
        </w:trPr>
        <w:tc>
          <w:tcPr>
            <w:tcW w:w="634" w:type="dxa"/>
            <w:vAlign w:val="top"/>
          </w:tcPr>
          <w:p w14:paraId="518FD07A">
            <w:pPr>
              <w:rPr>
                <w:rFonts w:ascii="Arial"/>
                <w:sz w:val="21"/>
              </w:rPr>
            </w:pPr>
          </w:p>
          <w:p w14:paraId="58004A0A">
            <w:pPr>
              <w:rPr>
                <w:rFonts w:ascii="Arial"/>
                <w:sz w:val="21"/>
              </w:rPr>
            </w:pPr>
          </w:p>
          <w:p w14:paraId="1A37A22E">
            <w:pPr>
              <w:spacing w:line="241" w:lineRule="auto"/>
              <w:rPr>
                <w:rFonts w:ascii="Arial"/>
                <w:sz w:val="21"/>
              </w:rPr>
            </w:pPr>
          </w:p>
          <w:p w14:paraId="4ECD4531">
            <w:pPr>
              <w:spacing w:line="241" w:lineRule="auto"/>
              <w:rPr>
                <w:rFonts w:ascii="Arial"/>
                <w:sz w:val="21"/>
              </w:rPr>
            </w:pPr>
          </w:p>
          <w:p w14:paraId="4AA1E072">
            <w:pPr>
              <w:spacing w:line="241" w:lineRule="auto"/>
              <w:rPr>
                <w:rFonts w:ascii="Arial"/>
                <w:sz w:val="21"/>
              </w:rPr>
            </w:pPr>
          </w:p>
          <w:p w14:paraId="4B6CDFF8">
            <w:pPr>
              <w:spacing w:line="241" w:lineRule="auto"/>
              <w:rPr>
                <w:rFonts w:ascii="Arial"/>
                <w:sz w:val="21"/>
              </w:rPr>
            </w:pPr>
          </w:p>
          <w:p w14:paraId="54B851A0">
            <w:pPr>
              <w:spacing w:line="241" w:lineRule="auto"/>
              <w:rPr>
                <w:rFonts w:ascii="Arial"/>
                <w:sz w:val="21"/>
              </w:rPr>
            </w:pPr>
          </w:p>
          <w:p w14:paraId="4CE0372C">
            <w:pPr>
              <w:spacing w:line="241" w:lineRule="auto"/>
              <w:rPr>
                <w:rFonts w:ascii="Arial"/>
                <w:sz w:val="21"/>
              </w:rPr>
            </w:pPr>
          </w:p>
          <w:p w14:paraId="46AEF237">
            <w:pPr>
              <w:pStyle w:val="8"/>
              <w:spacing w:before="59" w:line="183" w:lineRule="auto"/>
              <w:ind w:left="232"/>
            </w:pPr>
            <w:r>
              <w:rPr>
                <w:spacing w:val="-4"/>
              </w:rPr>
              <w:t>28</w:t>
            </w:r>
          </w:p>
        </w:tc>
        <w:tc>
          <w:tcPr>
            <w:tcW w:w="1121" w:type="dxa"/>
            <w:vAlign w:val="top"/>
          </w:tcPr>
          <w:p w14:paraId="5C55BDAE">
            <w:pPr>
              <w:pStyle w:val="8"/>
              <w:spacing w:before="31" w:line="246" w:lineRule="auto"/>
              <w:ind w:left="113" w:right="107"/>
            </w:pPr>
            <w:r>
              <w:rPr>
                <w:spacing w:val="-2"/>
              </w:rPr>
              <w:t>对水路运输</w:t>
            </w:r>
            <w:r>
              <w:t xml:space="preserve"> </w:t>
            </w:r>
            <w:r>
              <w:rPr>
                <w:spacing w:val="-2"/>
              </w:rPr>
              <w:t>辅助业务经</w:t>
            </w:r>
            <w:r>
              <w:rPr>
                <w:spacing w:val="1"/>
              </w:rPr>
              <w:t xml:space="preserve"> </w:t>
            </w:r>
            <w:r>
              <w:rPr>
                <w:spacing w:val="-2"/>
              </w:rPr>
              <w:t>营者拒绝管</w:t>
            </w:r>
            <w:r>
              <w:rPr>
                <w:spacing w:val="1"/>
              </w:rPr>
              <w:t xml:space="preserve"> </w:t>
            </w:r>
            <w:r>
              <w:rPr>
                <w:spacing w:val="-2"/>
              </w:rPr>
              <w:t>理部门依据</w:t>
            </w:r>
            <w:r>
              <w:rPr>
                <w:spacing w:val="1"/>
              </w:rPr>
              <w:t xml:space="preserve"> </w:t>
            </w:r>
            <w:r>
              <w:rPr>
                <w:spacing w:val="-2"/>
              </w:rPr>
              <w:t>《国内水路</w:t>
            </w:r>
            <w:r>
              <w:rPr>
                <w:spacing w:val="1"/>
              </w:rPr>
              <w:t xml:space="preserve"> </w:t>
            </w:r>
            <w:r>
              <w:rPr>
                <w:spacing w:val="-2"/>
              </w:rPr>
              <w:t>运输辅助业</w:t>
            </w:r>
            <w:r>
              <w:rPr>
                <w:spacing w:val="1"/>
              </w:rPr>
              <w:t xml:space="preserve"> </w:t>
            </w:r>
            <w:r>
              <w:rPr>
                <w:spacing w:val="-4"/>
              </w:rPr>
              <w:t>管理规定》</w:t>
            </w:r>
            <w:r>
              <w:rPr>
                <w:spacing w:val="3"/>
              </w:rPr>
              <w:t xml:space="preserve"> </w:t>
            </w:r>
            <w:r>
              <w:rPr>
                <w:spacing w:val="-2"/>
              </w:rPr>
              <w:t>交通运输部</w:t>
            </w:r>
            <w:r>
              <w:rPr>
                <w:spacing w:val="1"/>
              </w:rPr>
              <w:t xml:space="preserve"> </w:t>
            </w:r>
            <w:r>
              <w:rPr>
                <w:spacing w:val="-2"/>
              </w:rPr>
              <w:t>令2014年第</w:t>
            </w:r>
            <w:r>
              <w:rPr>
                <w:spacing w:val="5"/>
              </w:rPr>
              <w:t xml:space="preserve"> </w:t>
            </w:r>
            <w:r>
              <w:rPr>
                <w:spacing w:val="16"/>
              </w:rPr>
              <w:t>3号进行的</w:t>
            </w:r>
            <w:r>
              <w:rPr>
                <w:spacing w:val="1"/>
              </w:rPr>
              <w:t xml:space="preserve"> </w:t>
            </w:r>
            <w:r>
              <w:rPr>
                <w:spacing w:val="-8"/>
              </w:rPr>
              <w:t>监</w:t>
            </w:r>
            <w:r>
              <w:rPr>
                <w:spacing w:val="4"/>
              </w:rPr>
              <w:t xml:space="preserve">  </w:t>
            </w:r>
            <w:r>
              <w:rPr>
                <w:spacing w:val="-8"/>
              </w:rPr>
              <w:t>督</w:t>
            </w:r>
            <w:r>
              <w:rPr>
                <w:spacing w:val="2"/>
              </w:rPr>
              <w:t xml:space="preserve">  </w:t>
            </w:r>
            <w:r>
              <w:rPr>
                <w:spacing w:val="-8"/>
              </w:rPr>
              <w:t>检</w:t>
            </w:r>
            <w:r>
              <w:t xml:space="preserve"> </w:t>
            </w:r>
            <w:r>
              <w:rPr>
                <w:spacing w:val="-2"/>
              </w:rPr>
              <w:t>查、隐匿有</w:t>
            </w:r>
            <w:r>
              <w:rPr>
                <w:spacing w:val="1"/>
              </w:rPr>
              <w:t xml:space="preserve"> </w:t>
            </w:r>
            <w:r>
              <w:rPr>
                <w:spacing w:val="-2"/>
              </w:rPr>
              <w:t>关资料或者</w:t>
            </w:r>
            <w:r>
              <w:rPr>
                <w:spacing w:val="1"/>
              </w:rPr>
              <w:t xml:space="preserve"> </w:t>
            </w:r>
            <w:r>
              <w:rPr>
                <w:spacing w:val="-10"/>
              </w:rPr>
              <w:t>瞒</w:t>
            </w:r>
            <w:r>
              <w:rPr>
                <w:spacing w:val="51"/>
              </w:rPr>
              <w:t xml:space="preserve"> </w:t>
            </w:r>
            <w:r>
              <w:rPr>
                <w:spacing w:val="-10"/>
              </w:rPr>
              <w:t>报</w:t>
            </w:r>
            <w:r>
              <w:rPr>
                <w:spacing w:val="-49"/>
              </w:rPr>
              <w:t xml:space="preserve"> </w:t>
            </w:r>
            <w:r>
              <w:rPr>
                <w:spacing w:val="-10"/>
              </w:rPr>
              <w:t>、</w:t>
            </w:r>
            <w:r>
              <w:rPr>
                <w:spacing w:val="-61"/>
              </w:rPr>
              <w:t xml:space="preserve"> </w:t>
            </w:r>
            <w:r>
              <w:rPr>
                <w:spacing w:val="-10"/>
              </w:rPr>
              <w:t>谎</w:t>
            </w:r>
            <w:r>
              <w:t xml:space="preserve"> </w:t>
            </w:r>
            <w:r>
              <w:rPr>
                <w:spacing w:val="-2"/>
              </w:rPr>
              <w:t>报有关情况</w:t>
            </w:r>
            <w:r>
              <w:rPr>
                <w:spacing w:val="1"/>
              </w:rPr>
              <w:t xml:space="preserve"> </w:t>
            </w:r>
            <w:r>
              <w:rPr>
                <w:spacing w:val="-2"/>
              </w:rPr>
              <w:t>行为的行政</w:t>
            </w:r>
            <w:r>
              <w:rPr>
                <w:spacing w:val="3"/>
              </w:rPr>
              <w:t xml:space="preserve"> </w:t>
            </w:r>
            <w:r>
              <w:rPr>
                <w:spacing w:val="-3"/>
              </w:rPr>
              <w:t>处罚</w:t>
            </w:r>
          </w:p>
        </w:tc>
        <w:tc>
          <w:tcPr>
            <w:tcW w:w="1121" w:type="dxa"/>
            <w:vAlign w:val="top"/>
          </w:tcPr>
          <w:p w14:paraId="60C52DE1">
            <w:pPr>
              <w:spacing w:line="254" w:lineRule="auto"/>
              <w:rPr>
                <w:rFonts w:ascii="Arial"/>
                <w:sz w:val="21"/>
              </w:rPr>
            </w:pPr>
          </w:p>
          <w:p w14:paraId="67298A75">
            <w:pPr>
              <w:spacing w:line="255" w:lineRule="auto"/>
              <w:rPr>
                <w:rFonts w:ascii="Arial"/>
                <w:sz w:val="21"/>
              </w:rPr>
            </w:pPr>
          </w:p>
          <w:p w14:paraId="35C2E2CB">
            <w:pPr>
              <w:spacing w:line="255" w:lineRule="auto"/>
              <w:rPr>
                <w:rFonts w:ascii="Arial"/>
                <w:sz w:val="21"/>
              </w:rPr>
            </w:pPr>
          </w:p>
          <w:p w14:paraId="781828D8">
            <w:pPr>
              <w:spacing w:line="255" w:lineRule="auto"/>
              <w:rPr>
                <w:rFonts w:ascii="Arial"/>
                <w:sz w:val="21"/>
              </w:rPr>
            </w:pPr>
          </w:p>
          <w:p w14:paraId="2D6A3985">
            <w:pPr>
              <w:spacing w:line="255" w:lineRule="auto"/>
              <w:rPr>
                <w:rFonts w:ascii="Arial"/>
                <w:sz w:val="21"/>
              </w:rPr>
            </w:pPr>
          </w:p>
          <w:p w14:paraId="271BC148">
            <w:pPr>
              <w:spacing w:line="255" w:lineRule="auto"/>
              <w:rPr>
                <w:rFonts w:ascii="Arial"/>
                <w:sz w:val="21"/>
              </w:rPr>
            </w:pPr>
          </w:p>
          <w:p w14:paraId="5093FBDA">
            <w:pPr>
              <w:spacing w:line="255" w:lineRule="auto"/>
              <w:rPr>
                <w:rFonts w:ascii="Arial"/>
                <w:sz w:val="21"/>
              </w:rPr>
            </w:pPr>
          </w:p>
          <w:p w14:paraId="61B5D321">
            <w:pPr>
              <w:pStyle w:val="8"/>
              <w:spacing w:before="58" w:line="220" w:lineRule="auto"/>
              <w:ind w:left="9"/>
            </w:pPr>
            <w:r>
              <w:rPr>
                <w:spacing w:val="-4"/>
              </w:rPr>
              <w:t>行政处罚</w:t>
            </w:r>
          </w:p>
        </w:tc>
        <w:tc>
          <w:tcPr>
            <w:tcW w:w="8692" w:type="dxa"/>
            <w:vAlign w:val="top"/>
          </w:tcPr>
          <w:p w14:paraId="3CF40ADD">
            <w:pPr>
              <w:spacing w:line="263" w:lineRule="auto"/>
              <w:rPr>
                <w:rFonts w:ascii="Arial"/>
                <w:sz w:val="21"/>
              </w:rPr>
            </w:pPr>
          </w:p>
          <w:p w14:paraId="4196FBFE">
            <w:pPr>
              <w:spacing w:line="263" w:lineRule="auto"/>
              <w:rPr>
                <w:rFonts w:ascii="Arial"/>
                <w:sz w:val="21"/>
              </w:rPr>
            </w:pPr>
          </w:p>
          <w:p w14:paraId="671663FD">
            <w:pPr>
              <w:spacing w:line="264" w:lineRule="auto"/>
              <w:rPr>
                <w:rFonts w:ascii="Arial"/>
                <w:sz w:val="21"/>
              </w:rPr>
            </w:pPr>
          </w:p>
          <w:p w14:paraId="6731FE65">
            <w:pPr>
              <w:spacing w:line="264" w:lineRule="auto"/>
              <w:rPr>
                <w:rFonts w:ascii="Arial"/>
                <w:sz w:val="21"/>
              </w:rPr>
            </w:pPr>
          </w:p>
          <w:p w14:paraId="41CA843F">
            <w:pPr>
              <w:spacing w:line="264" w:lineRule="auto"/>
              <w:rPr>
                <w:rFonts w:ascii="Arial"/>
                <w:sz w:val="21"/>
              </w:rPr>
            </w:pPr>
          </w:p>
          <w:p w14:paraId="591301D2">
            <w:pPr>
              <w:pStyle w:val="8"/>
              <w:spacing w:before="59" w:line="219" w:lineRule="auto"/>
              <w:ind w:left="478"/>
            </w:pPr>
            <w:r>
              <w:rPr>
                <w:b/>
                <w:bCs/>
                <w:spacing w:val="-3"/>
              </w:rPr>
              <w:t>《国内水路运输辅助业管理规定》（交通运输部令2014年第3号）</w:t>
            </w:r>
          </w:p>
          <w:p w14:paraId="1E1977C7">
            <w:pPr>
              <w:pStyle w:val="8"/>
              <w:spacing w:before="19" w:line="219" w:lineRule="auto"/>
              <w:ind w:left="474"/>
            </w:pPr>
            <w:r>
              <w:t>第二十八条第二款  水路运输辅助业务经营者应当配合监督检查，如实提供有关凭证、文件及其他相关</w:t>
            </w:r>
          </w:p>
          <w:p w14:paraId="03770B71">
            <w:pPr>
              <w:pStyle w:val="8"/>
              <w:spacing w:before="19" w:line="220" w:lineRule="auto"/>
              <w:ind w:left="122"/>
            </w:pPr>
            <w:r>
              <w:rPr>
                <w:spacing w:val="-5"/>
              </w:rPr>
              <w:t>资料。</w:t>
            </w:r>
          </w:p>
          <w:p w14:paraId="2096DC17">
            <w:pPr>
              <w:pStyle w:val="8"/>
              <w:spacing w:before="21" w:line="233" w:lineRule="auto"/>
              <w:ind w:left="113" w:right="92" w:firstLine="361"/>
              <w:jc w:val="both"/>
            </w:pPr>
            <w:r>
              <w:t>第三十七条  水路运输辅助业务经营者拒绝管理部门根据本规定进行的监督检查、隐匿有关资料或者瞒</w:t>
            </w:r>
            <w:r>
              <w:rPr>
                <w:spacing w:val="1"/>
              </w:rPr>
              <w:t xml:space="preserve"> 报、谎报有关情况的，由其所在地县级以上</w:t>
            </w:r>
            <w:r>
              <w:t xml:space="preserve">人民政府水路运输管理部门责令改正，拒不改正的处 2000 元以 </w:t>
            </w:r>
            <w:r>
              <w:rPr>
                <w:spacing w:val="-8"/>
              </w:rPr>
              <w:t>上</w:t>
            </w:r>
            <w:r>
              <w:rPr>
                <w:spacing w:val="-12"/>
              </w:rPr>
              <w:t xml:space="preserve"> </w:t>
            </w:r>
            <w:r>
              <w:rPr>
                <w:spacing w:val="-8"/>
              </w:rPr>
              <w:t>1 万元以下的罚款。</w:t>
            </w:r>
          </w:p>
        </w:tc>
        <w:tc>
          <w:tcPr>
            <w:tcW w:w="1029" w:type="dxa"/>
            <w:vAlign w:val="top"/>
          </w:tcPr>
          <w:p w14:paraId="4072B845">
            <w:pPr>
              <w:spacing w:line="253" w:lineRule="auto"/>
              <w:rPr>
                <w:rFonts w:ascii="Arial"/>
                <w:sz w:val="21"/>
              </w:rPr>
            </w:pPr>
          </w:p>
          <w:p w14:paraId="27C568CF">
            <w:pPr>
              <w:spacing w:line="253" w:lineRule="auto"/>
              <w:rPr>
                <w:rFonts w:ascii="Arial"/>
                <w:sz w:val="21"/>
              </w:rPr>
            </w:pPr>
          </w:p>
          <w:p w14:paraId="3263032F">
            <w:pPr>
              <w:spacing w:line="253" w:lineRule="auto"/>
              <w:rPr>
                <w:rFonts w:ascii="Arial"/>
                <w:sz w:val="21"/>
              </w:rPr>
            </w:pPr>
          </w:p>
          <w:p w14:paraId="7EA0335E">
            <w:pPr>
              <w:spacing w:line="254" w:lineRule="auto"/>
              <w:rPr>
                <w:rFonts w:ascii="Arial"/>
                <w:sz w:val="21"/>
              </w:rPr>
            </w:pPr>
          </w:p>
          <w:p w14:paraId="4461E851">
            <w:pPr>
              <w:spacing w:line="254" w:lineRule="auto"/>
              <w:rPr>
                <w:rFonts w:ascii="Arial"/>
                <w:sz w:val="21"/>
              </w:rPr>
            </w:pPr>
          </w:p>
          <w:p w14:paraId="67CA5289">
            <w:pPr>
              <w:spacing w:line="254" w:lineRule="auto"/>
              <w:rPr>
                <w:rFonts w:ascii="Arial"/>
                <w:sz w:val="21"/>
              </w:rPr>
            </w:pPr>
          </w:p>
          <w:p w14:paraId="3D32A751">
            <w:pPr>
              <w:spacing w:line="254" w:lineRule="auto"/>
              <w:rPr>
                <w:rFonts w:ascii="Arial"/>
                <w:sz w:val="21"/>
              </w:rPr>
            </w:pPr>
          </w:p>
          <w:p w14:paraId="5923BEE2">
            <w:pPr>
              <w:pStyle w:val="8"/>
              <w:spacing w:before="58" w:line="235" w:lineRule="auto"/>
              <w:ind w:left="160" w:right="152" w:firstLine="2"/>
            </w:pPr>
            <w:r>
              <w:rPr>
                <w:spacing w:val="-3"/>
              </w:rPr>
              <w:t>交通运输</w:t>
            </w:r>
            <w:r>
              <w:t xml:space="preserve"> </w:t>
            </w:r>
            <w:r>
              <w:rPr>
                <w:spacing w:val="-3"/>
              </w:rPr>
              <w:t>主管部门</w:t>
            </w:r>
          </w:p>
        </w:tc>
        <w:tc>
          <w:tcPr>
            <w:tcW w:w="1429" w:type="dxa"/>
            <w:vAlign w:val="top"/>
          </w:tcPr>
          <w:p w14:paraId="7A112708">
            <w:pPr>
              <w:spacing w:line="253" w:lineRule="auto"/>
              <w:rPr>
                <w:rFonts w:ascii="Arial"/>
                <w:sz w:val="21"/>
              </w:rPr>
            </w:pPr>
          </w:p>
          <w:p w14:paraId="3B04AF84">
            <w:pPr>
              <w:spacing w:line="253" w:lineRule="auto"/>
              <w:rPr>
                <w:rFonts w:ascii="Arial"/>
                <w:sz w:val="21"/>
              </w:rPr>
            </w:pPr>
          </w:p>
          <w:p w14:paraId="62D17635">
            <w:pPr>
              <w:spacing w:line="253" w:lineRule="auto"/>
              <w:rPr>
                <w:rFonts w:ascii="Arial"/>
                <w:sz w:val="21"/>
              </w:rPr>
            </w:pPr>
          </w:p>
          <w:p w14:paraId="2A3BC02E">
            <w:pPr>
              <w:spacing w:line="254" w:lineRule="auto"/>
              <w:rPr>
                <w:rFonts w:ascii="Arial"/>
                <w:sz w:val="21"/>
              </w:rPr>
            </w:pPr>
          </w:p>
          <w:p w14:paraId="60AB9E57">
            <w:pPr>
              <w:spacing w:line="254" w:lineRule="auto"/>
              <w:rPr>
                <w:rFonts w:ascii="Arial"/>
                <w:sz w:val="21"/>
              </w:rPr>
            </w:pPr>
          </w:p>
          <w:p w14:paraId="7492644F">
            <w:pPr>
              <w:spacing w:line="254" w:lineRule="auto"/>
              <w:rPr>
                <w:rFonts w:ascii="Arial"/>
                <w:sz w:val="21"/>
              </w:rPr>
            </w:pPr>
          </w:p>
          <w:p w14:paraId="24588A10">
            <w:pPr>
              <w:spacing w:line="254" w:lineRule="auto"/>
              <w:rPr>
                <w:rFonts w:ascii="Arial"/>
                <w:sz w:val="21"/>
              </w:rPr>
            </w:pPr>
          </w:p>
          <w:p w14:paraId="4CC2DD0E">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01DEFF97">
            <w:pPr>
              <w:spacing w:line="258" w:lineRule="auto"/>
              <w:rPr>
                <w:rFonts w:ascii="Arial"/>
                <w:sz w:val="21"/>
              </w:rPr>
            </w:pPr>
          </w:p>
          <w:p w14:paraId="7C367614">
            <w:pPr>
              <w:spacing w:line="258" w:lineRule="auto"/>
              <w:rPr>
                <w:rFonts w:ascii="Arial"/>
                <w:sz w:val="21"/>
              </w:rPr>
            </w:pPr>
          </w:p>
          <w:p w14:paraId="10035F63">
            <w:pPr>
              <w:spacing w:line="258" w:lineRule="auto"/>
              <w:rPr>
                <w:rFonts w:ascii="Arial"/>
                <w:sz w:val="21"/>
              </w:rPr>
            </w:pPr>
          </w:p>
          <w:p w14:paraId="6EF02E7F">
            <w:pPr>
              <w:spacing w:line="258" w:lineRule="auto"/>
              <w:rPr>
                <w:rFonts w:ascii="Arial"/>
                <w:sz w:val="21"/>
              </w:rPr>
            </w:pPr>
          </w:p>
          <w:p w14:paraId="73090733">
            <w:pPr>
              <w:spacing w:line="258" w:lineRule="auto"/>
              <w:rPr>
                <w:rFonts w:ascii="Arial"/>
                <w:sz w:val="21"/>
              </w:rPr>
            </w:pPr>
          </w:p>
          <w:p w14:paraId="46364E5F">
            <w:pPr>
              <w:spacing w:line="259" w:lineRule="auto"/>
              <w:rPr>
                <w:rFonts w:ascii="Arial"/>
                <w:sz w:val="21"/>
              </w:rPr>
            </w:pPr>
          </w:p>
          <w:p w14:paraId="049FE44B">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r w14:paraId="50944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8" w:hRule="atLeast"/>
        </w:trPr>
        <w:tc>
          <w:tcPr>
            <w:tcW w:w="634" w:type="dxa"/>
            <w:vAlign w:val="top"/>
          </w:tcPr>
          <w:p w14:paraId="38E64A1E">
            <w:pPr>
              <w:spacing w:line="276" w:lineRule="auto"/>
              <w:rPr>
                <w:rFonts w:ascii="Arial"/>
                <w:sz w:val="21"/>
              </w:rPr>
            </w:pPr>
          </w:p>
          <w:p w14:paraId="36321275">
            <w:pPr>
              <w:spacing w:line="277" w:lineRule="auto"/>
              <w:rPr>
                <w:rFonts w:ascii="Arial"/>
                <w:sz w:val="21"/>
              </w:rPr>
            </w:pPr>
          </w:p>
          <w:p w14:paraId="6254C29B">
            <w:pPr>
              <w:spacing w:line="277" w:lineRule="auto"/>
              <w:rPr>
                <w:rFonts w:ascii="Arial"/>
                <w:sz w:val="21"/>
              </w:rPr>
            </w:pPr>
          </w:p>
          <w:p w14:paraId="1FCD997F">
            <w:pPr>
              <w:spacing w:line="277" w:lineRule="auto"/>
              <w:rPr>
                <w:rFonts w:ascii="Arial"/>
                <w:sz w:val="21"/>
              </w:rPr>
            </w:pPr>
          </w:p>
          <w:p w14:paraId="2998D9EF">
            <w:pPr>
              <w:pStyle w:val="8"/>
              <w:spacing w:before="59" w:line="183" w:lineRule="auto"/>
              <w:ind w:left="232"/>
            </w:pPr>
            <w:r>
              <w:rPr>
                <w:spacing w:val="-4"/>
              </w:rPr>
              <w:t>29</w:t>
            </w:r>
          </w:p>
        </w:tc>
        <w:tc>
          <w:tcPr>
            <w:tcW w:w="1121" w:type="dxa"/>
            <w:vAlign w:val="top"/>
          </w:tcPr>
          <w:p w14:paraId="43AB75F0">
            <w:pPr>
              <w:pStyle w:val="8"/>
              <w:spacing w:before="47" w:line="246" w:lineRule="auto"/>
              <w:ind w:left="114" w:right="110"/>
              <w:jc w:val="both"/>
            </w:pPr>
            <w:r>
              <w:rPr>
                <w:spacing w:val="-2"/>
              </w:rPr>
              <w:t>对港口经营</w:t>
            </w:r>
            <w:r>
              <w:t xml:space="preserve"> </w:t>
            </w:r>
            <w:r>
              <w:rPr>
                <w:spacing w:val="-2"/>
              </w:rPr>
              <w:t>人为船舶所</w:t>
            </w:r>
            <w:r>
              <w:t xml:space="preserve"> </w:t>
            </w:r>
            <w:r>
              <w:rPr>
                <w:spacing w:val="-2"/>
              </w:rPr>
              <w:t>有人等指定</w:t>
            </w:r>
            <w:r>
              <w:t xml:space="preserve"> </w:t>
            </w:r>
            <w:r>
              <w:rPr>
                <w:spacing w:val="-2"/>
              </w:rPr>
              <w:t>水路运输辅</w:t>
            </w:r>
            <w:r>
              <w:t xml:space="preserve"> </w:t>
            </w:r>
            <w:r>
              <w:rPr>
                <w:spacing w:val="-2"/>
              </w:rPr>
              <w:t>助业务经营</w:t>
            </w:r>
            <w:r>
              <w:t xml:space="preserve"> </w:t>
            </w:r>
            <w:r>
              <w:rPr>
                <w:spacing w:val="-2"/>
              </w:rPr>
              <w:t>者，提供船</w:t>
            </w:r>
            <w:r>
              <w:t xml:space="preserve"> </w:t>
            </w:r>
            <w:r>
              <w:rPr>
                <w:spacing w:val="-2"/>
              </w:rPr>
              <w:t>舶、水路货</w:t>
            </w:r>
            <w:r>
              <w:t xml:space="preserve"> </w:t>
            </w:r>
            <w:r>
              <w:rPr>
                <w:spacing w:val="-2"/>
              </w:rPr>
              <w:t>物运输代理</w:t>
            </w:r>
            <w:r>
              <w:t xml:space="preserve"> </w:t>
            </w:r>
            <w:r>
              <w:rPr>
                <w:spacing w:val="-2"/>
              </w:rPr>
              <w:t>等服务行为</w:t>
            </w:r>
            <w:r>
              <w:t xml:space="preserve"> </w:t>
            </w:r>
            <w:r>
              <w:rPr>
                <w:spacing w:val="-3"/>
              </w:rPr>
              <w:t>的行政处罚</w:t>
            </w:r>
          </w:p>
        </w:tc>
        <w:tc>
          <w:tcPr>
            <w:tcW w:w="1121" w:type="dxa"/>
            <w:vAlign w:val="top"/>
          </w:tcPr>
          <w:p w14:paraId="19135341">
            <w:pPr>
              <w:spacing w:line="269" w:lineRule="auto"/>
              <w:rPr>
                <w:rFonts w:ascii="Arial"/>
                <w:sz w:val="21"/>
              </w:rPr>
            </w:pPr>
          </w:p>
          <w:p w14:paraId="2042F789">
            <w:pPr>
              <w:spacing w:line="270" w:lineRule="auto"/>
              <w:rPr>
                <w:rFonts w:ascii="Arial"/>
                <w:sz w:val="21"/>
              </w:rPr>
            </w:pPr>
          </w:p>
          <w:p w14:paraId="1E9F1065">
            <w:pPr>
              <w:spacing w:line="270" w:lineRule="auto"/>
              <w:rPr>
                <w:rFonts w:ascii="Arial"/>
                <w:sz w:val="21"/>
              </w:rPr>
            </w:pPr>
          </w:p>
          <w:p w14:paraId="06E90C5F">
            <w:pPr>
              <w:spacing w:line="270" w:lineRule="auto"/>
              <w:rPr>
                <w:rFonts w:ascii="Arial"/>
                <w:sz w:val="21"/>
              </w:rPr>
            </w:pPr>
          </w:p>
          <w:p w14:paraId="062610C2">
            <w:pPr>
              <w:pStyle w:val="8"/>
              <w:spacing w:before="59" w:line="220" w:lineRule="auto"/>
              <w:ind w:left="9"/>
            </w:pPr>
            <w:r>
              <w:rPr>
                <w:spacing w:val="-4"/>
              </w:rPr>
              <w:t>行政处罚</w:t>
            </w:r>
          </w:p>
        </w:tc>
        <w:tc>
          <w:tcPr>
            <w:tcW w:w="8692" w:type="dxa"/>
            <w:vAlign w:val="top"/>
          </w:tcPr>
          <w:p w14:paraId="65674573">
            <w:pPr>
              <w:spacing w:line="475" w:lineRule="auto"/>
              <w:rPr>
                <w:rFonts w:ascii="Arial"/>
                <w:sz w:val="21"/>
              </w:rPr>
            </w:pPr>
          </w:p>
          <w:p w14:paraId="1F838FE5">
            <w:pPr>
              <w:pStyle w:val="8"/>
              <w:spacing w:before="59" w:line="219" w:lineRule="auto"/>
              <w:ind w:left="478"/>
            </w:pPr>
            <w:r>
              <w:rPr>
                <w:b/>
                <w:bCs/>
                <w:spacing w:val="-3"/>
              </w:rPr>
              <w:t>《国内水路运输辅助业管理规定》（交通运输部令2014年第3号）</w:t>
            </w:r>
          </w:p>
          <w:p w14:paraId="432EAED1">
            <w:pPr>
              <w:pStyle w:val="8"/>
              <w:spacing w:before="19" w:line="235" w:lineRule="auto"/>
              <w:ind w:left="116" w:right="104" w:firstLine="339"/>
            </w:pPr>
            <w:r>
              <w:rPr>
                <w:spacing w:val="1"/>
              </w:rPr>
              <w:t>第二十条  港口经营人不得为船舶所有人、经营人以及</w:t>
            </w:r>
            <w:r>
              <w:t xml:space="preserve">货物托运人、收货人指定水路运输辅助业务经营 </w:t>
            </w:r>
            <w:r>
              <w:rPr>
                <w:spacing w:val="-3"/>
              </w:rPr>
              <w:t>者，提供船舶、水路货物运输代理等服务。</w:t>
            </w:r>
          </w:p>
          <w:p w14:paraId="1D773FE9">
            <w:pPr>
              <w:pStyle w:val="8"/>
              <w:spacing w:before="25"/>
              <w:ind w:left="116" w:right="107" w:firstLine="351"/>
              <w:jc w:val="both"/>
            </w:pPr>
            <w:r>
              <w:rPr>
                <w:spacing w:val="4"/>
              </w:rPr>
              <w:t>第三十八条  港口经营人为船舶所有人、经营人以及货物托运人、收货人指定水路运输辅助业务经营</w:t>
            </w:r>
            <w:r>
              <w:rPr>
                <w:spacing w:val="11"/>
              </w:rPr>
              <w:t xml:space="preserve"> </w:t>
            </w:r>
            <w:r>
              <w:t xml:space="preserve">者，提供船舶、水路货物运输代理等服务的，由其所在地县级以上人民政府水路运输管理部门责令改正，拒 </w:t>
            </w:r>
            <w:r>
              <w:rPr>
                <w:spacing w:val="-8"/>
              </w:rPr>
              <w:t>不改正的处</w:t>
            </w:r>
            <w:r>
              <w:rPr>
                <w:spacing w:val="24"/>
              </w:rPr>
              <w:t xml:space="preserve"> </w:t>
            </w:r>
            <w:r>
              <w:rPr>
                <w:spacing w:val="-8"/>
              </w:rPr>
              <w:t>1 万元以上</w:t>
            </w:r>
            <w:r>
              <w:rPr>
                <w:spacing w:val="-22"/>
              </w:rPr>
              <w:t xml:space="preserve"> </w:t>
            </w:r>
            <w:r>
              <w:rPr>
                <w:spacing w:val="-8"/>
              </w:rPr>
              <w:t>3 万元以下的罚款。</w:t>
            </w:r>
          </w:p>
        </w:tc>
        <w:tc>
          <w:tcPr>
            <w:tcW w:w="1029" w:type="dxa"/>
            <w:vAlign w:val="top"/>
          </w:tcPr>
          <w:p w14:paraId="5A511A12">
            <w:pPr>
              <w:spacing w:line="317" w:lineRule="auto"/>
              <w:rPr>
                <w:rFonts w:ascii="Arial"/>
                <w:sz w:val="21"/>
              </w:rPr>
            </w:pPr>
          </w:p>
          <w:p w14:paraId="09F3F474">
            <w:pPr>
              <w:spacing w:line="318" w:lineRule="auto"/>
              <w:rPr>
                <w:rFonts w:ascii="Arial"/>
                <w:sz w:val="21"/>
              </w:rPr>
            </w:pPr>
          </w:p>
          <w:p w14:paraId="643233DC">
            <w:pPr>
              <w:spacing w:line="318" w:lineRule="auto"/>
              <w:rPr>
                <w:rFonts w:ascii="Arial"/>
                <w:sz w:val="21"/>
              </w:rPr>
            </w:pPr>
          </w:p>
          <w:p w14:paraId="733E5B9D">
            <w:pPr>
              <w:pStyle w:val="8"/>
              <w:spacing w:before="59" w:line="235" w:lineRule="auto"/>
              <w:ind w:left="160" w:right="152" w:firstLine="2"/>
            </w:pPr>
            <w:r>
              <w:rPr>
                <w:spacing w:val="-3"/>
              </w:rPr>
              <w:t>交通运输</w:t>
            </w:r>
            <w:r>
              <w:t xml:space="preserve"> </w:t>
            </w:r>
            <w:r>
              <w:rPr>
                <w:spacing w:val="-3"/>
              </w:rPr>
              <w:t>主管部门</w:t>
            </w:r>
          </w:p>
        </w:tc>
        <w:tc>
          <w:tcPr>
            <w:tcW w:w="1429" w:type="dxa"/>
            <w:vAlign w:val="top"/>
          </w:tcPr>
          <w:p w14:paraId="50D150A6">
            <w:pPr>
              <w:spacing w:line="318" w:lineRule="auto"/>
              <w:rPr>
                <w:rFonts w:ascii="Arial"/>
                <w:sz w:val="21"/>
              </w:rPr>
            </w:pPr>
          </w:p>
          <w:p w14:paraId="007791EB">
            <w:pPr>
              <w:spacing w:line="318" w:lineRule="auto"/>
              <w:rPr>
                <w:rFonts w:ascii="Arial"/>
                <w:sz w:val="21"/>
              </w:rPr>
            </w:pPr>
          </w:p>
          <w:p w14:paraId="759ECC84">
            <w:pPr>
              <w:spacing w:line="318" w:lineRule="auto"/>
              <w:rPr>
                <w:rFonts w:ascii="Arial"/>
                <w:sz w:val="21"/>
              </w:rPr>
            </w:pPr>
          </w:p>
          <w:p w14:paraId="6FAD4F62">
            <w:pPr>
              <w:pStyle w:val="8"/>
              <w:spacing w:before="58" w:line="236" w:lineRule="auto"/>
              <w:ind w:left="451" w:right="350" w:hanging="88"/>
              <w:rPr>
                <w:rFonts w:hint="eastAsia" w:eastAsia="宋体"/>
                <w:lang w:eastAsia="zh-CN"/>
              </w:rPr>
            </w:pPr>
            <w:r>
              <w:rPr>
                <w:rFonts w:hint="eastAsia"/>
                <w:spacing w:val="-3"/>
                <w:lang w:eastAsia="zh-CN"/>
              </w:rPr>
              <w:t>津市市交通运输局</w:t>
            </w:r>
          </w:p>
        </w:tc>
        <w:tc>
          <w:tcPr>
            <w:tcW w:w="1033" w:type="dxa"/>
            <w:vAlign w:val="top"/>
          </w:tcPr>
          <w:p w14:paraId="0C5D0590">
            <w:pPr>
              <w:spacing w:line="242" w:lineRule="auto"/>
              <w:rPr>
                <w:rFonts w:ascii="Arial"/>
                <w:sz w:val="21"/>
              </w:rPr>
            </w:pPr>
          </w:p>
          <w:p w14:paraId="3017B33E">
            <w:pPr>
              <w:spacing w:line="243" w:lineRule="auto"/>
              <w:rPr>
                <w:rFonts w:ascii="Arial"/>
                <w:sz w:val="21"/>
              </w:rPr>
            </w:pPr>
          </w:p>
          <w:p w14:paraId="00B0A6CD">
            <w:pPr>
              <w:spacing w:line="243" w:lineRule="auto"/>
              <w:rPr>
                <w:rFonts w:ascii="Arial"/>
                <w:sz w:val="21"/>
              </w:rPr>
            </w:pPr>
          </w:p>
          <w:p w14:paraId="381B8BF9">
            <w:pPr>
              <w:pStyle w:val="8"/>
              <w:spacing w:before="25" w:line="219" w:lineRule="auto"/>
              <w:ind w:left="257"/>
              <w:rPr>
                <w:rFonts w:hint="eastAsia" w:eastAsia="宋体"/>
                <w:lang w:eastAsia="zh-CN"/>
              </w:rPr>
            </w:pPr>
            <w:r>
              <w:rPr>
                <w:rFonts w:hint="eastAsia"/>
                <w:spacing w:val="-10"/>
                <w:lang w:eastAsia="zh-CN"/>
              </w:rPr>
              <w:t>津市市交通运输综合行政执法大队</w:t>
            </w:r>
          </w:p>
        </w:tc>
      </w:tr>
    </w:tbl>
    <w:p w14:paraId="71AA4147">
      <w:pPr>
        <w:pStyle w:val="2"/>
        <w:spacing w:line="249" w:lineRule="auto"/>
      </w:pPr>
    </w:p>
    <w:p w14:paraId="27F0B907">
      <w:pPr>
        <w:pStyle w:val="2"/>
        <w:spacing w:line="249" w:lineRule="auto"/>
      </w:pPr>
    </w:p>
    <w:p w14:paraId="36B3BA22">
      <w:pPr>
        <w:pStyle w:val="2"/>
        <w:spacing w:line="249" w:lineRule="auto"/>
      </w:pPr>
    </w:p>
    <w:p w14:paraId="6AFA2DDC">
      <w:pPr>
        <w:pStyle w:val="2"/>
        <w:spacing w:line="250" w:lineRule="auto"/>
      </w:pPr>
    </w:p>
    <w:p w14:paraId="7971F267">
      <w:pPr>
        <w:pStyle w:val="2"/>
        <w:spacing w:line="250" w:lineRule="auto"/>
      </w:pPr>
    </w:p>
    <w:p w14:paraId="0A5D4531">
      <w:pPr>
        <w:pStyle w:val="2"/>
        <w:spacing w:line="250" w:lineRule="auto"/>
      </w:pPr>
    </w:p>
    <w:p w14:paraId="519A13C9">
      <w:pPr>
        <w:pStyle w:val="2"/>
        <w:spacing w:line="250" w:lineRule="auto"/>
      </w:pPr>
    </w:p>
    <w:p w14:paraId="433DABD5">
      <w:pPr>
        <w:spacing w:before="65" w:line="183" w:lineRule="auto"/>
        <w:ind w:left="7393"/>
        <w:rPr>
          <w:rFonts w:ascii="宋体" w:hAnsi="宋体" w:eastAsia="宋体" w:cs="宋体"/>
          <w:sz w:val="20"/>
          <w:szCs w:val="20"/>
        </w:rPr>
      </w:pPr>
      <w:r>
        <w:rPr>
          <w:rFonts w:ascii="宋体" w:hAnsi="宋体" w:eastAsia="宋体" w:cs="宋体"/>
          <w:spacing w:val="-3"/>
          <w:sz w:val="20"/>
          <w:szCs w:val="20"/>
        </w:rPr>
        <w:t>237</w:t>
      </w:r>
    </w:p>
    <w:p w14:paraId="593C1E57">
      <w:pPr>
        <w:spacing w:line="122" w:lineRule="exact"/>
        <w:rPr>
          <w:rFonts w:ascii="宋体" w:hAnsi="宋体" w:eastAsia="宋体" w:cs="宋体"/>
          <w:sz w:val="18"/>
          <w:szCs w:val="18"/>
        </w:rPr>
        <w:sectPr>
          <w:footerReference r:id="rId225" w:type="default"/>
          <w:pgSz w:w="16840" w:h="11910"/>
          <w:pgMar w:top="1012" w:right="888" w:bottom="400" w:left="887" w:header="0" w:footer="0" w:gutter="0"/>
          <w:cols w:space="720" w:num="1"/>
        </w:sectPr>
      </w:pPr>
    </w:p>
    <w:p w14:paraId="07585A54">
      <w:pPr>
        <w:pStyle w:val="2"/>
      </w:pPr>
    </w:p>
    <w:sectPr>
      <w:footerReference r:id="rId226" w:type="default"/>
      <w:pgSz w:w="16840" w:h="11910"/>
      <w:pgMar w:top="1012" w:right="915" w:bottom="966" w:left="1131" w:header="0" w:footer="76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KaiTi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KSOF261009F1">
    <w:panose1 w:val="02010609060101010101"/>
    <w:charset w:val="86"/>
    <w:family w:val="auto"/>
    <w:pitch w:val="default"/>
    <w:sig w:usb0="00000001" w:usb1="00000000" w:usb2="00000000" w:usb3="00000000" w:csb0="00040001" w:csb1="00000000"/>
  </w:font>
  <w:font w:name="KSOF260F9592">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2000B">
    <w:pPr>
      <w:spacing w:line="174" w:lineRule="auto"/>
      <w:ind w:left="7257"/>
      <w:rPr>
        <w:rFonts w:ascii="宋体" w:hAnsi="宋体" w:eastAsia="宋体" w:cs="宋体"/>
        <w:sz w:val="20"/>
        <w:szCs w:val="20"/>
      </w:rPr>
    </w:pPr>
    <w:r>
      <w:rPr>
        <w:rFonts w:ascii="宋体" w:hAnsi="宋体" w:eastAsia="宋体" w:cs="宋体"/>
        <w:sz w:val="20"/>
        <w:szCs w:val="20"/>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0FC79">
    <w:pPr>
      <w:spacing w:line="174" w:lineRule="auto"/>
      <w:ind w:left="7207"/>
      <w:rPr>
        <w:rFonts w:ascii="宋体" w:hAnsi="宋体" w:eastAsia="宋体" w:cs="宋体"/>
        <w:sz w:val="20"/>
        <w:szCs w:val="20"/>
      </w:rPr>
    </w:pPr>
    <w:r>
      <w:rPr>
        <w:rFonts w:ascii="宋体" w:hAnsi="宋体" w:eastAsia="宋体" w:cs="宋体"/>
        <w:spacing w:val="-6"/>
        <w:sz w:val="20"/>
        <w:szCs w:val="20"/>
      </w:rPr>
      <w:t>13</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7A2F1">
    <w:pPr>
      <w:spacing w:line="174" w:lineRule="auto"/>
      <w:ind w:left="7270"/>
      <w:rPr>
        <w:rFonts w:ascii="宋体" w:hAnsi="宋体" w:eastAsia="宋体" w:cs="宋体"/>
        <w:sz w:val="20"/>
        <w:szCs w:val="20"/>
      </w:rPr>
    </w:pPr>
    <w:r>
      <w:rPr>
        <w:rFonts w:ascii="宋体" w:hAnsi="宋体" w:eastAsia="宋体" w:cs="宋体"/>
        <w:spacing w:val="-6"/>
        <w:sz w:val="20"/>
        <w:szCs w:val="20"/>
      </w:rPr>
      <w:t>114</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19EED">
    <w:pPr>
      <w:spacing w:line="174" w:lineRule="auto"/>
      <w:ind w:left="7270"/>
      <w:rPr>
        <w:rFonts w:ascii="宋体" w:hAnsi="宋体" w:eastAsia="宋体" w:cs="宋体"/>
        <w:sz w:val="20"/>
        <w:szCs w:val="20"/>
      </w:rPr>
    </w:pPr>
    <w:r>
      <w:rPr>
        <w:rFonts w:ascii="宋体" w:hAnsi="宋体" w:eastAsia="宋体" w:cs="宋体"/>
        <w:spacing w:val="-6"/>
        <w:sz w:val="20"/>
        <w:szCs w:val="20"/>
      </w:rPr>
      <w:t>115</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998D3">
    <w:pPr>
      <w:spacing w:line="174" w:lineRule="auto"/>
      <w:ind w:left="7270"/>
      <w:rPr>
        <w:rFonts w:ascii="宋体" w:hAnsi="宋体" w:eastAsia="宋体" w:cs="宋体"/>
        <w:sz w:val="20"/>
        <w:szCs w:val="20"/>
      </w:rPr>
    </w:pPr>
    <w:r>
      <w:rPr>
        <w:rFonts w:ascii="宋体" w:hAnsi="宋体" w:eastAsia="宋体" w:cs="宋体"/>
        <w:spacing w:val="-6"/>
        <w:sz w:val="20"/>
        <w:szCs w:val="20"/>
      </w:rPr>
      <w:t>116</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D882F">
    <w:pPr>
      <w:spacing w:line="174" w:lineRule="auto"/>
      <w:ind w:left="7270"/>
      <w:rPr>
        <w:rFonts w:ascii="宋体" w:hAnsi="宋体" w:eastAsia="宋体" w:cs="宋体"/>
        <w:sz w:val="20"/>
        <w:szCs w:val="20"/>
      </w:rPr>
    </w:pPr>
    <w:r>
      <w:rPr>
        <w:rFonts w:ascii="宋体" w:hAnsi="宋体" w:eastAsia="宋体" w:cs="宋体"/>
        <w:spacing w:val="-6"/>
        <w:sz w:val="20"/>
        <w:szCs w:val="20"/>
      </w:rPr>
      <w:t>117</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67F41">
    <w:pPr>
      <w:spacing w:line="174" w:lineRule="auto"/>
      <w:ind w:left="7270"/>
      <w:rPr>
        <w:rFonts w:ascii="宋体" w:hAnsi="宋体" w:eastAsia="宋体" w:cs="宋体"/>
        <w:sz w:val="20"/>
        <w:szCs w:val="20"/>
      </w:rPr>
    </w:pPr>
    <w:r>
      <w:rPr>
        <w:rFonts w:ascii="宋体" w:hAnsi="宋体" w:eastAsia="宋体" w:cs="宋体"/>
        <w:spacing w:val="-6"/>
        <w:sz w:val="20"/>
        <w:szCs w:val="20"/>
      </w:rPr>
      <w:t>118</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C4C83">
    <w:pPr>
      <w:spacing w:line="174" w:lineRule="auto"/>
      <w:ind w:left="7270"/>
      <w:rPr>
        <w:rFonts w:ascii="宋体" w:hAnsi="宋体" w:eastAsia="宋体" w:cs="宋体"/>
        <w:sz w:val="20"/>
        <w:szCs w:val="20"/>
      </w:rPr>
    </w:pPr>
    <w:r>
      <w:rPr>
        <w:rFonts w:ascii="宋体" w:hAnsi="宋体" w:eastAsia="宋体" w:cs="宋体"/>
        <w:spacing w:val="-6"/>
        <w:sz w:val="20"/>
        <w:szCs w:val="20"/>
      </w:rPr>
      <w:t>119</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F6334">
    <w:pPr>
      <w:spacing w:line="174" w:lineRule="auto"/>
      <w:ind w:left="7270"/>
      <w:rPr>
        <w:rFonts w:ascii="宋体" w:hAnsi="宋体" w:eastAsia="宋体" w:cs="宋体"/>
        <w:sz w:val="20"/>
        <w:szCs w:val="20"/>
      </w:rPr>
    </w:pPr>
    <w:r>
      <w:rPr>
        <w:rFonts w:ascii="宋体" w:hAnsi="宋体" w:eastAsia="宋体" w:cs="宋体"/>
        <w:spacing w:val="-6"/>
        <w:sz w:val="20"/>
        <w:szCs w:val="20"/>
      </w:rPr>
      <w:t>120</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C68CD">
    <w:pPr>
      <w:spacing w:line="174" w:lineRule="auto"/>
      <w:ind w:left="7270"/>
      <w:rPr>
        <w:rFonts w:ascii="宋体" w:hAnsi="宋体" w:eastAsia="宋体" w:cs="宋体"/>
        <w:sz w:val="20"/>
        <w:szCs w:val="20"/>
      </w:rPr>
    </w:pPr>
    <w:r>
      <w:rPr>
        <w:rFonts w:ascii="宋体" w:hAnsi="宋体" w:eastAsia="宋体" w:cs="宋体"/>
        <w:spacing w:val="-6"/>
        <w:sz w:val="20"/>
        <w:szCs w:val="20"/>
      </w:rPr>
      <w:t>121</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85FFB">
    <w:pPr>
      <w:spacing w:line="174" w:lineRule="auto"/>
      <w:ind w:left="7270"/>
      <w:rPr>
        <w:rFonts w:ascii="宋体" w:hAnsi="宋体" w:eastAsia="宋体" w:cs="宋体"/>
        <w:sz w:val="20"/>
        <w:szCs w:val="20"/>
      </w:rPr>
    </w:pPr>
    <w:r>
      <w:rPr>
        <w:rFonts w:ascii="宋体" w:hAnsi="宋体" w:eastAsia="宋体" w:cs="宋体"/>
        <w:spacing w:val="-6"/>
        <w:sz w:val="20"/>
        <w:szCs w:val="20"/>
      </w:rPr>
      <w:t>122</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657A9">
    <w:pPr>
      <w:spacing w:line="174" w:lineRule="auto"/>
      <w:ind w:left="7270"/>
      <w:rPr>
        <w:rFonts w:ascii="宋体" w:hAnsi="宋体" w:eastAsia="宋体" w:cs="宋体"/>
        <w:sz w:val="20"/>
        <w:szCs w:val="20"/>
      </w:rPr>
    </w:pPr>
    <w:r>
      <w:rPr>
        <w:rFonts w:ascii="宋体" w:hAnsi="宋体" w:eastAsia="宋体" w:cs="宋体"/>
        <w:spacing w:val="-6"/>
        <w:sz w:val="20"/>
        <w:szCs w:val="20"/>
      </w:rPr>
      <w:t>123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4221">
    <w:pPr>
      <w:spacing w:line="174" w:lineRule="auto"/>
      <w:ind w:left="7207"/>
      <w:rPr>
        <w:rFonts w:ascii="宋体" w:hAnsi="宋体" w:eastAsia="宋体" w:cs="宋体"/>
        <w:sz w:val="20"/>
        <w:szCs w:val="20"/>
      </w:rPr>
    </w:pPr>
    <w:r>
      <w:rPr>
        <w:rFonts w:ascii="宋体" w:hAnsi="宋体" w:eastAsia="宋体" w:cs="宋体"/>
        <w:spacing w:val="-6"/>
        <w:sz w:val="20"/>
        <w:szCs w:val="20"/>
      </w:rPr>
      <w:t>14</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E38F2">
    <w:pPr>
      <w:spacing w:line="174" w:lineRule="auto"/>
      <w:ind w:left="7270"/>
      <w:rPr>
        <w:rFonts w:ascii="宋体" w:hAnsi="宋体" w:eastAsia="宋体" w:cs="宋体"/>
        <w:sz w:val="20"/>
        <w:szCs w:val="20"/>
      </w:rPr>
    </w:pPr>
    <w:r>
      <w:rPr>
        <w:rFonts w:ascii="宋体" w:hAnsi="宋体" w:eastAsia="宋体" w:cs="宋体"/>
        <w:spacing w:val="-6"/>
        <w:sz w:val="20"/>
        <w:szCs w:val="20"/>
      </w:rPr>
      <w:t>124</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3832">
    <w:pPr>
      <w:spacing w:line="174" w:lineRule="auto"/>
      <w:ind w:left="7270"/>
      <w:rPr>
        <w:rFonts w:ascii="宋体" w:hAnsi="宋体" w:eastAsia="宋体" w:cs="宋体"/>
        <w:sz w:val="20"/>
        <w:szCs w:val="20"/>
      </w:rPr>
    </w:pPr>
    <w:r>
      <w:rPr>
        <w:rFonts w:ascii="宋体" w:hAnsi="宋体" w:eastAsia="宋体" w:cs="宋体"/>
        <w:spacing w:val="-6"/>
        <w:sz w:val="20"/>
        <w:szCs w:val="20"/>
      </w:rPr>
      <w:t>125</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F0DC9">
    <w:pPr>
      <w:spacing w:line="174" w:lineRule="auto"/>
      <w:ind w:left="7270"/>
      <w:rPr>
        <w:rFonts w:ascii="宋体" w:hAnsi="宋体" w:eastAsia="宋体" w:cs="宋体"/>
        <w:sz w:val="20"/>
        <w:szCs w:val="20"/>
      </w:rPr>
    </w:pPr>
    <w:r>
      <w:rPr>
        <w:rFonts w:ascii="宋体" w:hAnsi="宋体" w:eastAsia="宋体" w:cs="宋体"/>
        <w:spacing w:val="-6"/>
        <w:sz w:val="20"/>
        <w:szCs w:val="20"/>
      </w:rPr>
      <w:t>126</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4430">
    <w:pPr>
      <w:spacing w:line="174" w:lineRule="auto"/>
      <w:ind w:left="7270"/>
      <w:rPr>
        <w:rFonts w:ascii="宋体" w:hAnsi="宋体" w:eastAsia="宋体" w:cs="宋体"/>
        <w:sz w:val="20"/>
        <w:szCs w:val="20"/>
      </w:rPr>
    </w:pPr>
    <w:r>
      <w:rPr>
        <w:rFonts w:ascii="宋体" w:hAnsi="宋体" w:eastAsia="宋体" w:cs="宋体"/>
        <w:spacing w:val="-6"/>
        <w:sz w:val="20"/>
        <w:szCs w:val="20"/>
      </w:rPr>
      <w:t>127</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40706">
    <w:pPr>
      <w:spacing w:line="174" w:lineRule="auto"/>
      <w:ind w:left="7270"/>
      <w:rPr>
        <w:rFonts w:ascii="宋体" w:hAnsi="宋体" w:eastAsia="宋体" w:cs="宋体"/>
        <w:sz w:val="20"/>
        <w:szCs w:val="20"/>
      </w:rPr>
    </w:pPr>
    <w:r>
      <w:rPr>
        <w:rFonts w:ascii="宋体" w:hAnsi="宋体" w:eastAsia="宋体" w:cs="宋体"/>
        <w:spacing w:val="-6"/>
        <w:sz w:val="20"/>
        <w:szCs w:val="20"/>
      </w:rPr>
      <w:t>128</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C8CF8">
    <w:pPr>
      <w:spacing w:line="174" w:lineRule="auto"/>
      <w:ind w:left="7270"/>
      <w:rPr>
        <w:rFonts w:ascii="宋体" w:hAnsi="宋体" w:eastAsia="宋体" w:cs="宋体"/>
        <w:sz w:val="20"/>
        <w:szCs w:val="20"/>
      </w:rPr>
    </w:pPr>
    <w:r>
      <w:rPr>
        <w:rFonts w:ascii="宋体" w:hAnsi="宋体" w:eastAsia="宋体" w:cs="宋体"/>
        <w:spacing w:val="-6"/>
        <w:sz w:val="20"/>
        <w:szCs w:val="20"/>
      </w:rPr>
      <w:t>129</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EDE79">
    <w:pPr>
      <w:spacing w:line="174" w:lineRule="auto"/>
      <w:ind w:left="7270"/>
      <w:rPr>
        <w:rFonts w:ascii="宋体" w:hAnsi="宋体" w:eastAsia="宋体" w:cs="宋体"/>
        <w:sz w:val="20"/>
        <w:szCs w:val="20"/>
      </w:rPr>
    </w:pPr>
    <w:r>
      <w:rPr>
        <w:rFonts w:ascii="宋体" w:hAnsi="宋体" w:eastAsia="宋体" w:cs="宋体"/>
        <w:spacing w:val="-6"/>
        <w:sz w:val="20"/>
        <w:szCs w:val="20"/>
      </w:rPr>
      <w:t>130</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B33A1">
    <w:pPr>
      <w:spacing w:line="174" w:lineRule="auto"/>
      <w:ind w:left="7270"/>
      <w:rPr>
        <w:rFonts w:ascii="宋体" w:hAnsi="宋体" w:eastAsia="宋体" w:cs="宋体"/>
        <w:sz w:val="20"/>
        <w:szCs w:val="20"/>
      </w:rPr>
    </w:pPr>
    <w:r>
      <w:rPr>
        <w:rFonts w:ascii="宋体" w:hAnsi="宋体" w:eastAsia="宋体" w:cs="宋体"/>
        <w:spacing w:val="-6"/>
        <w:sz w:val="20"/>
        <w:szCs w:val="20"/>
      </w:rPr>
      <w:t>131</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77C7D">
    <w:pPr>
      <w:spacing w:line="174" w:lineRule="auto"/>
      <w:ind w:left="7270"/>
      <w:rPr>
        <w:rFonts w:ascii="宋体" w:hAnsi="宋体" w:eastAsia="宋体" w:cs="宋体"/>
        <w:sz w:val="20"/>
        <w:szCs w:val="20"/>
      </w:rPr>
    </w:pPr>
    <w:r>
      <w:rPr>
        <w:rFonts w:ascii="宋体" w:hAnsi="宋体" w:eastAsia="宋体" w:cs="宋体"/>
        <w:spacing w:val="-6"/>
        <w:sz w:val="20"/>
        <w:szCs w:val="20"/>
      </w:rPr>
      <w:t>132</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06130">
    <w:pPr>
      <w:spacing w:line="174" w:lineRule="auto"/>
      <w:ind w:left="7270"/>
      <w:rPr>
        <w:rFonts w:ascii="宋体" w:hAnsi="宋体" w:eastAsia="宋体" w:cs="宋体"/>
        <w:sz w:val="20"/>
        <w:szCs w:val="20"/>
      </w:rPr>
    </w:pPr>
    <w:r>
      <w:rPr>
        <w:rFonts w:ascii="宋体" w:hAnsi="宋体" w:eastAsia="宋体" w:cs="宋体"/>
        <w:spacing w:val="-6"/>
        <w:sz w:val="20"/>
        <w:szCs w:val="20"/>
      </w:rPr>
      <w:t>133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B9520">
    <w:pPr>
      <w:spacing w:line="174" w:lineRule="auto"/>
      <w:ind w:left="7207"/>
      <w:rPr>
        <w:rFonts w:ascii="宋体" w:hAnsi="宋体" w:eastAsia="宋体" w:cs="宋体"/>
        <w:sz w:val="20"/>
        <w:szCs w:val="20"/>
      </w:rPr>
    </w:pPr>
    <w:r>
      <w:rPr>
        <w:rFonts w:ascii="宋体" w:hAnsi="宋体" w:eastAsia="宋体" w:cs="宋体"/>
        <w:spacing w:val="-6"/>
        <w:sz w:val="20"/>
        <w:szCs w:val="20"/>
      </w:rPr>
      <w:t>15</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EDFC5">
    <w:pPr>
      <w:spacing w:line="174" w:lineRule="auto"/>
      <w:ind w:left="7270"/>
      <w:rPr>
        <w:rFonts w:ascii="宋体" w:hAnsi="宋体" w:eastAsia="宋体" w:cs="宋体"/>
        <w:sz w:val="20"/>
        <w:szCs w:val="20"/>
      </w:rPr>
    </w:pPr>
    <w:r>
      <w:rPr>
        <w:rFonts w:ascii="宋体" w:hAnsi="宋体" w:eastAsia="宋体" w:cs="宋体"/>
        <w:spacing w:val="-6"/>
        <w:sz w:val="20"/>
        <w:szCs w:val="20"/>
      </w:rPr>
      <w:t>135</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3FB38">
    <w:pPr>
      <w:spacing w:line="174" w:lineRule="auto"/>
      <w:ind w:left="7270"/>
      <w:rPr>
        <w:rFonts w:ascii="宋体" w:hAnsi="宋体" w:eastAsia="宋体" w:cs="宋体"/>
        <w:sz w:val="20"/>
        <w:szCs w:val="20"/>
      </w:rPr>
    </w:pPr>
    <w:r>
      <w:rPr>
        <w:rFonts w:ascii="宋体" w:hAnsi="宋体" w:eastAsia="宋体" w:cs="宋体"/>
        <w:spacing w:val="-6"/>
        <w:sz w:val="20"/>
        <w:szCs w:val="20"/>
      </w:rPr>
      <w:t>136</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FA78D">
    <w:pPr>
      <w:spacing w:line="174" w:lineRule="auto"/>
      <w:ind w:left="7270"/>
      <w:rPr>
        <w:rFonts w:ascii="宋体" w:hAnsi="宋体" w:eastAsia="宋体" w:cs="宋体"/>
        <w:sz w:val="20"/>
        <w:szCs w:val="20"/>
      </w:rPr>
    </w:pPr>
    <w:r>
      <w:rPr>
        <w:rFonts w:ascii="宋体" w:hAnsi="宋体" w:eastAsia="宋体" w:cs="宋体"/>
        <w:spacing w:val="-6"/>
        <w:sz w:val="20"/>
        <w:szCs w:val="20"/>
      </w:rPr>
      <w:t>137</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3F650">
    <w:pPr>
      <w:spacing w:line="174" w:lineRule="auto"/>
      <w:ind w:left="7270"/>
      <w:rPr>
        <w:rFonts w:ascii="宋体" w:hAnsi="宋体" w:eastAsia="宋体" w:cs="宋体"/>
        <w:sz w:val="20"/>
        <w:szCs w:val="20"/>
      </w:rPr>
    </w:pPr>
    <w:r>
      <w:rPr>
        <w:rFonts w:ascii="宋体" w:hAnsi="宋体" w:eastAsia="宋体" w:cs="宋体"/>
        <w:spacing w:val="-6"/>
        <w:sz w:val="20"/>
        <w:szCs w:val="20"/>
      </w:rPr>
      <w:t>138</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E50FB">
    <w:pPr>
      <w:spacing w:line="174" w:lineRule="auto"/>
      <w:ind w:left="7248"/>
      <w:rPr>
        <w:rFonts w:ascii="宋体" w:hAnsi="宋体" w:eastAsia="宋体" w:cs="宋体"/>
        <w:sz w:val="20"/>
        <w:szCs w:val="20"/>
      </w:rPr>
    </w:pPr>
    <w:r>
      <w:rPr>
        <w:rFonts w:ascii="宋体" w:hAnsi="宋体" w:eastAsia="宋体" w:cs="宋体"/>
        <w:spacing w:val="-6"/>
        <w:sz w:val="20"/>
        <w:szCs w:val="20"/>
      </w:rPr>
      <w:t>139</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57661">
    <w:pPr>
      <w:spacing w:line="174" w:lineRule="auto"/>
      <w:ind w:left="7248"/>
      <w:rPr>
        <w:rFonts w:ascii="宋体" w:hAnsi="宋体" w:eastAsia="宋体" w:cs="宋体"/>
        <w:sz w:val="20"/>
        <w:szCs w:val="20"/>
      </w:rPr>
    </w:pPr>
    <w:r>
      <w:rPr>
        <w:rFonts w:ascii="宋体" w:hAnsi="宋体" w:eastAsia="宋体" w:cs="宋体"/>
        <w:spacing w:val="-6"/>
        <w:sz w:val="20"/>
        <w:szCs w:val="20"/>
      </w:rPr>
      <w:t>140</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E33D2">
    <w:pPr>
      <w:spacing w:line="174" w:lineRule="auto"/>
      <w:ind w:left="7248"/>
      <w:rPr>
        <w:rFonts w:ascii="宋体" w:hAnsi="宋体" w:eastAsia="宋体" w:cs="宋体"/>
        <w:sz w:val="20"/>
        <w:szCs w:val="20"/>
      </w:rPr>
    </w:pPr>
    <w:r>
      <w:rPr>
        <w:rFonts w:ascii="宋体" w:hAnsi="宋体" w:eastAsia="宋体" w:cs="宋体"/>
        <w:spacing w:val="-6"/>
        <w:sz w:val="20"/>
        <w:szCs w:val="20"/>
      </w:rPr>
      <w:t>141</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6CB03">
    <w:pPr>
      <w:spacing w:line="174" w:lineRule="auto"/>
      <w:ind w:left="7248"/>
      <w:rPr>
        <w:rFonts w:ascii="宋体" w:hAnsi="宋体" w:eastAsia="宋体" w:cs="宋体"/>
        <w:sz w:val="20"/>
        <w:szCs w:val="20"/>
      </w:rPr>
    </w:pPr>
    <w:r>
      <w:rPr>
        <w:rFonts w:ascii="宋体" w:hAnsi="宋体" w:eastAsia="宋体" w:cs="宋体"/>
        <w:spacing w:val="-6"/>
        <w:sz w:val="20"/>
        <w:szCs w:val="20"/>
      </w:rPr>
      <w:t>142</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10591">
    <w:pPr>
      <w:spacing w:line="174" w:lineRule="auto"/>
      <w:ind w:left="7248"/>
      <w:rPr>
        <w:rFonts w:ascii="宋体" w:hAnsi="宋体" w:eastAsia="宋体" w:cs="宋体"/>
        <w:sz w:val="20"/>
        <w:szCs w:val="20"/>
      </w:rPr>
    </w:pPr>
    <w:r>
      <w:rPr>
        <w:rFonts w:ascii="宋体" w:hAnsi="宋体" w:eastAsia="宋体" w:cs="宋体"/>
        <w:spacing w:val="-6"/>
        <w:sz w:val="20"/>
        <w:szCs w:val="20"/>
      </w:rPr>
      <w:t>143</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E5C1">
    <w:pPr>
      <w:spacing w:line="174" w:lineRule="auto"/>
      <w:ind w:left="7248"/>
      <w:rPr>
        <w:rFonts w:ascii="宋体" w:hAnsi="宋体" w:eastAsia="宋体" w:cs="宋体"/>
        <w:sz w:val="20"/>
        <w:szCs w:val="20"/>
      </w:rPr>
    </w:pPr>
    <w:r>
      <w:rPr>
        <w:rFonts w:ascii="宋体" w:hAnsi="宋体" w:eastAsia="宋体" w:cs="宋体"/>
        <w:spacing w:val="-6"/>
        <w:sz w:val="20"/>
        <w:szCs w:val="20"/>
      </w:rPr>
      <w:t>144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5AAF9">
    <w:pPr>
      <w:spacing w:line="174" w:lineRule="auto"/>
      <w:ind w:left="7207"/>
      <w:rPr>
        <w:rFonts w:ascii="宋体" w:hAnsi="宋体" w:eastAsia="宋体" w:cs="宋体"/>
        <w:sz w:val="20"/>
        <w:szCs w:val="20"/>
      </w:rPr>
    </w:pPr>
    <w:r>
      <w:rPr>
        <w:rFonts w:ascii="宋体" w:hAnsi="宋体" w:eastAsia="宋体" w:cs="宋体"/>
        <w:spacing w:val="-6"/>
        <w:sz w:val="20"/>
        <w:szCs w:val="20"/>
      </w:rPr>
      <w:t>19</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AE5BB">
    <w:pPr>
      <w:spacing w:line="174" w:lineRule="auto"/>
      <w:ind w:left="7248"/>
      <w:rPr>
        <w:rFonts w:ascii="宋体" w:hAnsi="宋体" w:eastAsia="宋体" w:cs="宋体"/>
        <w:sz w:val="20"/>
        <w:szCs w:val="20"/>
      </w:rPr>
    </w:pPr>
    <w:r>
      <w:rPr>
        <w:rFonts w:ascii="宋体" w:hAnsi="宋体" w:eastAsia="宋体" w:cs="宋体"/>
        <w:spacing w:val="-6"/>
        <w:sz w:val="20"/>
        <w:szCs w:val="20"/>
      </w:rPr>
      <w:t>145</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93240">
    <w:pPr>
      <w:spacing w:line="174" w:lineRule="auto"/>
      <w:ind w:left="7248"/>
      <w:rPr>
        <w:rFonts w:ascii="宋体" w:hAnsi="宋体" w:eastAsia="宋体" w:cs="宋体"/>
        <w:sz w:val="20"/>
        <w:szCs w:val="20"/>
      </w:rPr>
    </w:pPr>
    <w:r>
      <w:rPr>
        <w:rFonts w:ascii="宋体" w:hAnsi="宋体" w:eastAsia="宋体" w:cs="宋体"/>
        <w:spacing w:val="-6"/>
        <w:sz w:val="20"/>
        <w:szCs w:val="20"/>
      </w:rPr>
      <w:t>146</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11EFF">
    <w:pPr>
      <w:spacing w:line="174" w:lineRule="auto"/>
      <w:ind w:left="7248"/>
      <w:rPr>
        <w:rFonts w:ascii="宋体" w:hAnsi="宋体" w:eastAsia="宋体" w:cs="宋体"/>
        <w:sz w:val="20"/>
        <w:szCs w:val="20"/>
      </w:rPr>
    </w:pPr>
    <w:r>
      <w:rPr>
        <w:rFonts w:ascii="宋体" w:hAnsi="宋体" w:eastAsia="宋体" w:cs="宋体"/>
        <w:spacing w:val="-6"/>
        <w:sz w:val="20"/>
        <w:szCs w:val="20"/>
      </w:rPr>
      <w:t>147</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3C95">
    <w:pPr>
      <w:spacing w:line="174" w:lineRule="auto"/>
      <w:ind w:left="7248"/>
      <w:rPr>
        <w:rFonts w:ascii="宋体" w:hAnsi="宋体" w:eastAsia="宋体" w:cs="宋体"/>
        <w:sz w:val="20"/>
        <w:szCs w:val="20"/>
      </w:rPr>
    </w:pPr>
    <w:r>
      <w:rPr>
        <w:rFonts w:ascii="宋体" w:hAnsi="宋体" w:eastAsia="宋体" w:cs="宋体"/>
        <w:spacing w:val="-6"/>
        <w:sz w:val="20"/>
        <w:szCs w:val="20"/>
      </w:rPr>
      <w:t>148</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FF762">
    <w:pPr>
      <w:spacing w:line="174" w:lineRule="auto"/>
      <w:ind w:left="7248"/>
      <w:rPr>
        <w:rFonts w:ascii="宋体" w:hAnsi="宋体" w:eastAsia="宋体" w:cs="宋体"/>
        <w:sz w:val="20"/>
        <w:szCs w:val="20"/>
      </w:rPr>
    </w:pPr>
    <w:r>
      <w:rPr>
        <w:rFonts w:ascii="宋体" w:hAnsi="宋体" w:eastAsia="宋体" w:cs="宋体"/>
        <w:spacing w:val="-6"/>
        <w:sz w:val="20"/>
        <w:szCs w:val="20"/>
      </w:rPr>
      <w:t>149</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F784A">
    <w:pPr>
      <w:spacing w:line="174" w:lineRule="auto"/>
      <w:ind w:left="7248"/>
      <w:rPr>
        <w:rFonts w:ascii="宋体" w:hAnsi="宋体" w:eastAsia="宋体" w:cs="宋体"/>
        <w:sz w:val="20"/>
        <w:szCs w:val="20"/>
      </w:rPr>
    </w:pPr>
    <w:r>
      <w:rPr>
        <w:rFonts w:ascii="宋体" w:hAnsi="宋体" w:eastAsia="宋体" w:cs="宋体"/>
        <w:spacing w:val="-6"/>
        <w:sz w:val="20"/>
        <w:szCs w:val="20"/>
      </w:rPr>
      <w:t>150</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EEB7B">
    <w:pPr>
      <w:spacing w:line="174" w:lineRule="auto"/>
      <w:ind w:left="7248"/>
      <w:rPr>
        <w:rFonts w:ascii="宋体" w:hAnsi="宋体" w:eastAsia="宋体" w:cs="宋体"/>
        <w:sz w:val="20"/>
        <w:szCs w:val="20"/>
      </w:rPr>
    </w:pPr>
    <w:r>
      <w:rPr>
        <w:rFonts w:ascii="宋体" w:hAnsi="宋体" w:eastAsia="宋体" w:cs="宋体"/>
        <w:spacing w:val="-6"/>
        <w:sz w:val="20"/>
        <w:szCs w:val="20"/>
      </w:rPr>
      <w:t>151</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82EB4">
    <w:pPr>
      <w:spacing w:line="174" w:lineRule="auto"/>
      <w:ind w:left="7248"/>
      <w:rPr>
        <w:rFonts w:ascii="宋体" w:hAnsi="宋体" w:eastAsia="宋体" w:cs="宋体"/>
        <w:sz w:val="20"/>
        <w:szCs w:val="20"/>
      </w:rPr>
    </w:pPr>
    <w:r>
      <w:rPr>
        <w:rFonts w:ascii="宋体" w:hAnsi="宋体" w:eastAsia="宋体" w:cs="宋体"/>
        <w:spacing w:val="-6"/>
        <w:sz w:val="20"/>
        <w:szCs w:val="20"/>
      </w:rPr>
      <w:t>152</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78A4A">
    <w:pPr>
      <w:spacing w:line="174" w:lineRule="auto"/>
      <w:ind w:left="7248"/>
      <w:rPr>
        <w:rFonts w:ascii="宋体" w:hAnsi="宋体" w:eastAsia="宋体" w:cs="宋体"/>
        <w:sz w:val="20"/>
        <w:szCs w:val="20"/>
      </w:rPr>
    </w:pPr>
    <w:r>
      <w:rPr>
        <w:rFonts w:ascii="宋体" w:hAnsi="宋体" w:eastAsia="宋体" w:cs="宋体"/>
        <w:spacing w:val="-6"/>
        <w:sz w:val="20"/>
        <w:szCs w:val="20"/>
      </w:rPr>
      <w:t>153</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D7114">
    <w:pPr>
      <w:spacing w:line="174" w:lineRule="auto"/>
      <w:ind w:left="7248"/>
      <w:rPr>
        <w:rFonts w:ascii="宋体" w:hAnsi="宋体" w:eastAsia="宋体" w:cs="宋体"/>
        <w:sz w:val="20"/>
        <w:szCs w:val="20"/>
      </w:rPr>
    </w:pPr>
    <w:r>
      <w:rPr>
        <w:rFonts w:ascii="宋体" w:hAnsi="宋体" w:eastAsia="宋体" w:cs="宋体"/>
        <w:spacing w:val="-6"/>
        <w:sz w:val="20"/>
        <w:szCs w:val="20"/>
      </w:rPr>
      <w:t>154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3FDBE">
    <w:pPr>
      <w:spacing w:line="173" w:lineRule="auto"/>
      <w:ind w:left="7195"/>
      <w:rPr>
        <w:rFonts w:ascii="宋体" w:hAnsi="宋体" w:eastAsia="宋体" w:cs="宋体"/>
        <w:sz w:val="20"/>
        <w:szCs w:val="20"/>
      </w:rPr>
    </w:pPr>
    <w:r>
      <w:rPr>
        <w:rFonts w:ascii="宋体" w:hAnsi="宋体" w:eastAsia="宋体" w:cs="宋体"/>
        <w:spacing w:val="-3"/>
        <w:sz w:val="20"/>
        <w:szCs w:val="20"/>
      </w:rPr>
      <w:t>20</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79A22">
    <w:pPr>
      <w:spacing w:line="174" w:lineRule="auto"/>
      <w:ind w:left="7248"/>
      <w:rPr>
        <w:rFonts w:ascii="宋体" w:hAnsi="宋体" w:eastAsia="宋体" w:cs="宋体"/>
        <w:sz w:val="20"/>
        <w:szCs w:val="20"/>
      </w:rPr>
    </w:pPr>
    <w:r>
      <w:rPr>
        <w:rFonts w:ascii="宋体" w:hAnsi="宋体" w:eastAsia="宋体" w:cs="宋体"/>
        <w:spacing w:val="-6"/>
        <w:sz w:val="20"/>
        <w:szCs w:val="20"/>
      </w:rPr>
      <w:t>155</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2DEF9">
    <w:pPr>
      <w:spacing w:line="174" w:lineRule="auto"/>
      <w:ind w:left="7248"/>
      <w:rPr>
        <w:rFonts w:ascii="宋体" w:hAnsi="宋体" w:eastAsia="宋体" w:cs="宋体"/>
        <w:sz w:val="20"/>
        <w:szCs w:val="20"/>
      </w:rPr>
    </w:pPr>
    <w:r>
      <w:rPr>
        <w:rFonts w:ascii="宋体" w:hAnsi="宋体" w:eastAsia="宋体" w:cs="宋体"/>
        <w:spacing w:val="-6"/>
        <w:sz w:val="20"/>
        <w:szCs w:val="20"/>
      </w:rPr>
      <w:t>156</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3D381">
    <w:pPr>
      <w:spacing w:line="174" w:lineRule="auto"/>
      <w:ind w:left="7248"/>
      <w:rPr>
        <w:rFonts w:ascii="宋体" w:hAnsi="宋体" w:eastAsia="宋体" w:cs="宋体"/>
        <w:sz w:val="20"/>
        <w:szCs w:val="20"/>
      </w:rPr>
    </w:pPr>
    <w:r>
      <w:rPr>
        <w:rFonts w:ascii="宋体" w:hAnsi="宋体" w:eastAsia="宋体" w:cs="宋体"/>
        <w:spacing w:val="-6"/>
        <w:sz w:val="20"/>
        <w:szCs w:val="20"/>
      </w:rPr>
      <w:t>157</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E2AB6">
    <w:pPr>
      <w:spacing w:line="174" w:lineRule="auto"/>
      <w:ind w:left="7248"/>
      <w:rPr>
        <w:rFonts w:ascii="宋体" w:hAnsi="宋体" w:eastAsia="宋体" w:cs="宋体"/>
        <w:sz w:val="20"/>
        <w:szCs w:val="20"/>
      </w:rPr>
    </w:pPr>
    <w:r>
      <w:rPr>
        <w:rFonts w:ascii="宋体" w:hAnsi="宋体" w:eastAsia="宋体" w:cs="宋体"/>
        <w:spacing w:val="-6"/>
        <w:sz w:val="20"/>
        <w:szCs w:val="20"/>
      </w:rPr>
      <w:t>158</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1AEE9">
    <w:pPr>
      <w:spacing w:line="174" w:lineRule="auto"/>
      <w:ind w:left="7248"/>
      <w:rPr>
        <w:rFonts w:ascii="宋体" w:hAnsi="宋体" w:eastAsia="宋体" w:cs="宋体"/>
        <w:sz w:val="20"/>
        <w:szCs w:val="20"/>
      </w:rPr>
    </w:pPr>
    <w:r>
      <w:rPr>
        <w:rFonts w:ascii="宋体" w:hAnsi="宋体" w:eastAsia="宋体" w:cs="宋体"/>
        <w:spacing w:val="-6"/>
        <w:sz w:val="20"/>
        <w:szCs w:val="20"/>
      </w:rPr>
      <w:t>159</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AFAE2">
    <w:pPr>
      <w:spacing w:line="174" w:lineRule="auto"/>
      <w:ind w:left="7248"/>
      <w:rPr>
        <w:rFonts w:ascii="宋体" w:hAnsi="宋体" w:eastAsia="宋体" w:cs="宋体"/>
        <w:sz w:val="20"/>
        <w:szCs w:val="20"/>
      </w:rPr>
    </w:pPr>
    <w:r>
      <w:rPr>
        <w:rFonts w:ascii="宋体" w:hAnsi="宋体" w:eastAsia="宋体" w:cs="宋体"/>
        <w:spacing w:val="-6"/>
        <w:sz w:val="20"/>
        <w:szCs w:val="20"/>
      </w:rPr>
      <w:t>160</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1A586">
    <w:pPr>
      <w:spacing w:line="174" w:lineRule="auto"/>
      <w:ind w:left="7248"/>
      <w:rPr>
        <w:rFonts w:ascii="宋体" w:hAnsi="宋体" w:eastAsia="宋体" w:cs="宋体"/>
        <w:sz w:val="20"/>
        <w:szCs w:val="20"/>
      </w:rPr>
    </w:pPr>
    <w:r>
      <w:rPr>
        <w:rFonts w:ascii="宋体" w:hAnsi="宋体" w:eastAsia="宋体" w:cs="宋体"/>
        <w:spacing w:val="-6"/>
        <w:sz w:val="20"/>
        <w:szCs w:val="20"/>
      </w:rPr>
      <w:t>161</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A853C">
    <w:pPr>
      <w:spacing w:line="174" w:lineRule="auto"/>
      <w:ind w:left="7248"/>
      <w:rPr>
        <w:rFonts w:ascii="宋体" w:hAnsi="宋体" w:eastAsia="宋体" w:cs="宋体"/>
        <w:sz w:val="20"/>
        <w:szCs w:val="20"/>
      </w:rPr>
    </w:pPr>
    <w:r>
      <w:rPr>
        <w:rFonts w:ascii="宋体" w:hAnsi="宋体" w:eastAsia="宋体" w:cs="宋体"/>
        <w:spacing w:val="-6"/>
        <w:sz w:val="20"/>
        <w:szCs w:val="20"/>
      </w:rPr>
      <w:t>162</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178F7">
    <w:pPr>
      <w:spacing w:line="174" w:lineRule="auto"/>
      <w:ind w:left="7248"/>
      <w:rPr>
        <w:rFonts w:ascii="宋体" w:hAnsi="宋体" w:eastAsia="宋体" w:cs="宋体"/>
        <w:sz w:val="20"/>
        <w:szCs w:val="20"/>
      </w:rPr>
    </w:pPr>
    <w:r>
      <w:rPr>
        <w:rFonts w:ascii="宋体" w:hAnsi="宋体" w:eastAsia="宋体" w:cs="宋体"/>
        <w:spacing w:val="-6"/>
        <w:sz w:val="20"/>
        <w:szCs w:val="20"/>
      </w:rPr>
      <w:t>163</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132DF">
    <w:pPr>
      <w:spacing w:line="174" w:lineRule="auto"/>
      <w:ind w:left="7248"/>
      <w:rPr>
        <w:rFonts w:ascii="宋体" w:hAnsi="宋体" w:eastAsia="宋体" w:cs="宋体"/>
        <w:sz w:val="20"/>
        <w:szCs w:val="20"/>
      </w:rPr>
    </w:pPr>
    <w:r>
      <w:rPr>
        <w:rFonts w:ascii="宋体" w:hAnsi="宋体" w:eastAsia="宋体" w:cs="宋体"/>
        <w:spacing w:val="-6"/>
        <w:sz w:val="20"/>
        <w:szCs w:val="20"/>
      </w:rPr>
      <w:t>164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533AA">
    <w:pPr>
      <w:spacing w:line="173" w:lineRule="auto"/>
      <w:ind w:left="7195"/>
      <w:rPr>
        <w:rFonts w:ascii="宋体" w:hAnsi="宋体" w:eastAsia="宋体" w:cs="宋体"/>
        <w:sz w:val="20"/>
        <w:szCs w:val="20"/>
      </w:rPr>
    </w:pPr>
    <w:r>
      <w:rPr>
        <w:rFonts w:ascii="宋体" w:hAnsi="宋体" w:eastAsia="宋体" w:cs="宋体"/>
        <w:spacing w:val="-3"/>
        <w:sz w:val="20"/>
        <w:szCs w:val="20"/>
      </w:rPr>
      <w:t>22</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25712">
    <w:pPr>
      <w:spacing w:line="174" w:lineRule="auto"/>
      <w:ind w:left="7248"/>
      <w:rPr>
        <w:rFonts w:ascii="宋体" w:hAnsi="宋体" w:eastAsia="宋体" w:cs="宋体"/>
        <w:sz w:val="20"/>
        <w:szCs w:val="20"/>
      </w:rPr>
    </w:pPr>
    <w:r>
      <w:rPr>
        <w:rFonts w:ascii="宋体" w:hAnsi="宋体" w:eastAsia="宋体" w:cs="宋体"/>
        <w:spacing w:val="-6"/>
        <w:sz w:val="20"/>
        <w:szCs w:val="20"/>
      </w:rPr>
      <w:t>165</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1A376">
    <w:pPr>
      <w:spacing w:line="174" w:lineRule="auto"/>
      <w:ind w:left="7248"/>
      <w:rPr>
        <w:rFonts w:ascii="宋体" w:hAnsi="宋体" w:eastAsia="宋体" w:cs="宋体"/>
        <w:sz w:val="20"/>
        <w:szCs w:val="20"/>
      </w:rPr>
    </w:pPr>
    <w:r>
      <w:rPr>
        <w:rFonts w:ascii="宋体" w:hAnsi="宋体" w:eastAsia="宋体" w:cs="宋体"/>
        <w:spacing w:val="-6"/>
        <w:sz w:val="20"/>
        <w:szCs w:val="20"/>
      </w:rPr>
      <w:t>166</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7EC3E">
    <w:pPr>
      <w:spacing w:line="174" w:lineRule="auto"/>
      <w:ind w:left="7248"/>
      <w:rPr>
        <w:rFonts w:ascii="宋体" w:hAnsi="宋体" w:eastAsia="宋体" w:cs="宋体"/>
        <w:sz w:val="20"/>
        <w:szCs w:val="20"/>
      </w:rPr>
    </w:pPr>
    <w:r>
      <w:rPr>
        <w:rFonts w:ascii="宋体" w:hAnsi="宋体" w:eastAsia="宋体" w:cs="宋体"/>
        <w:spacing w:val="-6"/>
        <w:sz w:val="20"/>
        <w:szCs w:val="20"/>
      </w:rPr>
      <w:t>167</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F4191">
    <w:pPr>
      <w:spacing w:line="174" w:lineRule="auto"/>
      <w:ind w:left="7248"/>
      <w:rPr>
        <w:rFonts w:ascii="宋体" w:hAnsi="宋体" w:eastAsia="宋体" w:cs="宋体"/>
        <w:sz w:val="20"/>
        <w:szCs w:val="20"/>
      </w:rPr>
    </w:pPr>
    <w:r>
      <w:rPr>
        <w:rFonts w:ascii="宋体" w:hAnsi="宋体" w:eastAsia="宋体" w:cs="宋体"/>
        <w:spacing w:val="-6"/>
        <w:sz w:val="20"/>
        <w:szCs w:val="20"/>
      </w:rPr>
      <w:t>168</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E0F2E">
    <w:pPr>
      <w:spacing w:line="174" w:lineRule="auto"/>
      <w:ind w:left="7334"/>
      <w:rPr>
        <w:rFonts w:ascii="宋体" w:hAnsi="宋体" w:eastAsia="宋体" w:cs="宋体"/>
        <w:sz w:val="20"/>
        <w:szCs w:val="20"/>
      </w:rPr>
    </w:pPr>
    <w:r>
      <w:rPr>
        <w:rFonts w:ascii="宋体" w:hAnsi="宋体" w:eastAsia="宋体" w:cs="宋体"/>
        <w:spacing w:val="-6"/>
        <w:sz w:val="20"/>
        <w:szCs w:val="20"/>
      </w:rPr>
      <w:t>169</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06082">
    <w:pPr>
      <w:spacing w:line="174" w:lineRule="auto"/>
      <w:ind w:left="7334"/>
      <w:rPr>
        <w:rFonts w:ascii="宋体" w:hAnsi="宋体" w:eastAsia="宋体" w:cs="宋体"/>
        <w:sz w:val="20"/>
        <w:szCs w:val="20"/>
      </w:rPr>
    </w:pPr>
    <w:r>
      <w:rPr>
        <w:rFonts w:ascii="宋体" w:hAnsi="宋体" w:eastAsia="宋体" w:cs="宋体"/>
        <w:spacing w:val="-6"/>
        <w:sz w:val="20"/>
        <w:szCs w:val="20"/>
      </w:rPr>
      <w:t>170</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223D6">
    <w:pPr>
      <w:spacing w:line="174" w:lineRule="auto"/>
      <w:ind w:left="7334"/>
      <w:rPr>
        <w:rFonts w:ascii="宋体" w:hAnsi="宋体" w:eastAsia="宋体" w:cs="宋体"/>
        <w:sz w:val="20"/>
        <w:szCs w:val="20"/>
      </w:rPr>
    </w:pPr>
    <w:r>
      <w:rPr>
        <w:rFonts w:ascii="宋体" w:hAnsi="宋体" w:eastAsia="宋体" w:cs="宋体"/>
        <w:spacing w:val="-6"/>
        <w:sz w:val="20"/>
        <w:szCs w:val="20"/>
      </w:rPr>
      <w:t>171</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B2C48">
    <w:pPr>
      <w:spacing w:line="174" w:lineRule="auto"/>
      <w:ind w:left="7334"/>
      <w:rPr>
        <w:rFonts w:ascii="宋体" w:hAnsi="宋体" w:eastAsia="宋体" w:cs="宋体"/>
        <w:sz w:val="20"/>
        <w:szCs w:val="20"/>
      </w:rPr>
    </w:pPr>
    <w:r>
      <w:rPr>
        <w:rFonts w:ascii="宋体" w:hAnsi="宋体" w:eastAsia="宋体" w:cs="宋体"/>
        <w:spacing w:val="-6"/>
        <w:sz w:val="20"/>
        <w:szCs w:val="20"/>
      </w:rPr>
      <w:t>172</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24BC2">
    <w:pPr>
      <w:spacing w:line="174" w:lineRule="auto"/>
      <w:ind w:left="7334"/>
      <w:rPr>
        <w:rFonts w:ascii="宋体" w:hAnsi="宋体" w:eastAsia="宋体" w:cs="宋体"/>
        <w:sz w:val="20"/>
        <w:szCs w:val="20"/>
      </w:rPr>
    </w:pPr>
    <w:r>
      <w:rPr>
        <w:rFonts w:ascii="宋体" w:hAnsi="宋体" w:eastAsia="宋体" w:cs="宋体"/>
        <w:spacing w:val="-6"/>
        <w:sz w:val="20"/>
        <w:szCs w:val="20"/>
      </w:rPr>
      <w:t>173</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CA88C">
    <w:pPr>
      <w:spacing w:line="174" w:lineRule="auto"/>
      <w:ind w:left="7334"/>
      <w:rPr>
        <w:rFonts w:ascii="宋体" w:hAnsi="宋体" w:eastAsia="宋体" w:cs="宋体"/>
        <w:sz w:val="20"/>
        <w:szCs w:val="20"/>
      </w:rPr>
    </w:pPr>
    <w:r>
      <w:rPr>
        <w:rFonts w:ascii="宋体" w:hAnsi="宋体" w:eastAsia="宋体" w:cs="宋体"/>
        <w:spacing w:val="-6"/>
        <w:sz w:val="20"/>
        <w:szCs w:val="20"/>
      </w:rPr>
      <w:t>174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405E8">
    <w:pPr>
      <w:spacing w:line="173" w:lineRule="auto"/>
      <w:ind w:left="7195"/>
      <w:rPr>
        <w:rFonts w:ascii="宋体" w:hAnsi="宋体" w:eastAsia="宋体" w:cs="宋体"/>
        <w:sz w:val="20"/>
        <w:szCs w:val="20"/>
      </w:rPr>
    </w:pPr>
    <w:r>
      <w:rPr>
        <w:rFonts w:ascii="宋体" w:hAnsi="宋体" w:eastAsia="宋体" w:cs="宋体"/>
        <w:spacing w:val="-3"/>
        <w:sz w:val="20"/>
        <w:szCs w:val="20"/>
      </w:rPr>
      <w:t>23</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A8DE1">
    <w:pPr>
      <w:spacing w:line="174" w:lineRule="auto"/>
      <w:ind w:left="7334"/>
      <w:rPr>
        <w:rFonts w:ascii="宋体" w:hAnsi="宋体" w:eastAsia="宋体" w:cs="宋体"/>
        <w:sz w:val="20"/>
        <w:szCs w:val="20"/>
      </w:rPr>
    </w:pPr>
    <w:r>
      <w:rPr>
        <w:rFonts w:ascii="宋体" w:hAnsi="宋体" w:eastAsia="宋体" w:cs="宋体"/>
        <w:spacing w:val="-6"/>
        <w:sz w:val="20"/>
        <w:szCs w:val="20"/>
      </w:rPr>
      <w:t>175</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B9AC2">
    <w:pPr>
      <w:spacing w:line="174" w:lineRule="auto"/>
      <w:ind w:left="7334"/>
      <w:rPr>
        <w:rFonts w:ascii="宋体" w:hAnsi="宋体" w:eastAsia="宋体" w:cs="宋体"/>
        <w:sz w:val="20"/>
        <w:szCs w:val="20"/>
      </w:rPr>
    </w:pPr>
    <w:r>
      <w:rPr>
        <w:rFonts w:ascii="宋体" w:hAnsi="宋体" w:eastAsia="宋体" w:cs="宋体"/>
        <w:spacing w:val="-6"/>
        <w:sz w:val="20"/>
        <w:szCs w:val="20"/>
      </w:rPr>
      <w:t>176</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5241A">
    <w:pPr>
      <w:spacing w:line="174" w:lineRule="auto"/>
      <w:ind w:left="7334"/>
      <w:rPr>
        <w:rFonts w:ascii="宋体" w:hAnsi="宋体" w:eastAsia="宋体" w:cs="宋体"/>
        <w:sz w:val="20"/>
        <w:szCs w:val="20"/>
      </w:rPr>
    </w:pPr>
    <w:r>
      <w:rPr>
        <w:rFonts w:ascii="宋体" w:hAnsi="宋体" w:eastAsia="宋体" w:cs="宋体"/>
        <w:spacing w:val="-6"/>
        <w:sz w:val="20"/>
        <w:szCs w:val="20"/>
      </w:rPr>
      <w:t>177</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0179F">
    <w:pPr>
      <w:spacing w:line="174" w:lineRule="auto"/>
      <w:ind w:left="7334"/>
      <w:rPr>
        <w:rFonts w:ascii="宋体" w:hAnsi="宋体" w:eastAsia="宋体" w:cs="宋体"/>
        <w:sz w:val="20"/>
        <w:szCs w:val="20"/>
      </w:rPr>
    </w:pPr>
    <w:r>
      <w:rPr>
        <w:rFonts w:ascii="宋体" w:hAnsi="宋体" w:eastAsia="宋体" w:cs="宋体"/>
        <w:spacing w:val="-6"/>
        <w:sz w:val="20"/>
        <w:szCs w:val="20"/>
      </w:rPr>
      <w:t>178</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718A9">
    <w:pPr>
      <w:spacing w:line="174" w:lineRule="auto"/>
      <w:ind w:left="7504"/>
      <w:rPr>
        <w:rFonts w:ascii="宋体" w:hAnsi="宋体" w:eastAsia="宋体" w:cs="宋体"/>
        <w:sz w:val="20"/>
        <w:szCs w:val="20"/>
      </w:rPr>
    </w:pPr>
    <w:r>
      <w:rPr>
        <w:rFonts w:ascii="宋体" w:hAnsi="宋体" w:eastAsia="宋体" w:cs="宋体"/>
        <w:spacing w:val="-6"/>
        <w:sz w:val="20"/>
        <w:szCs w:val="20"/>
      </w:rPr>
      <w:t>179</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44651">
    <w:pPr>
      <w:spacing w:line="174" w:lineRule="auto"/>
      <w:ind w:left="7504"/>
      <w:rPr>
        <w:rFonts w:ascii="宋体" w:hAnsi="宋体" w:eastAsia="宋体" w:cs="宋体"/>
        <w:sz w:val="20"/>
        <w:szCs w:val="20"/>
      </w:rPr>
    </w:pPr>
    <w:r>
      <w:rPr>
        <w:rFonts w:ascii="宋体" w:hAnsi="宋体" w:eastAsia="宋体" w:cs="宋体"/>
        <w:spacing w:val="-6"/>
        <w:sz w:val="20"/>
        <w:szCs w:val="20"/>
      </w:rPr>
      <w:t>180</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D91FD">
    <w:pPr>
      <w:spacing w:line="174" w:lineRule="auto"/>
      <w:ind w:left="7504"/>
      <w:rPr>
        <w:rFonts w:ascii="宋体" w:hAnsi="宋体" w:eastAsia="宋体" w:cs="宋体"/>
        <w:sz w:val="20"/>
        <w:szCs w:val="20"/>
      </w:rPr>
    </w:pPr>
    <w:r>
      <w:rPr>
        <w:rFonts w:ascii="宋体" w:hAnsi="宋体" w:eastAsia="宋体" w:cs="宋体"/>
        <w:spacing w:val="-6"/>
        <w:sz w:val="20"/>
        <w:szCs w:val="20"/>
      </w:rPr>
      <w:t>181</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FF9DE">
    <w:pPr>
      <w:spacing w:line="174" w:lineRule="auto"/>
      <w:ind w:left="7504"/>
      <w:rPr>
        <w:rFonts w:ascii="宋体" w:hAnsi="宋体" w:eastAsia="宋体" w:cs="宋体"/>
        <w:sz w:val="20"/>
        <w:szCs w:val="20"/>
      </w:rPr>
    </w:pPr>
    <w:r>
      <w:rPr>
        <w:rFonts w:ascii="宋体" w:hAnsi="宋体" w:eastAsia="宋体" w:cs="宋体"/>
        <w:spacing w:val="-6"/>
        <w:sz w:val="20"/>
        <w:szCs w:val="20"/>
      </w:rPr>
      <w:t>182</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A60D8">
    <w:pPr>
      <w:spacing w:line="174" w:lineRule="auto"/>
      <w:ind w:left="7504"/>
      <w:rPr>
        <w:rFonts w:ascii="宋体" w:hAnsi="宋体" w:eastAsia="宋体" w:cs="宋体"/>
        <w:sz w:val="20"/>
        <w:szCs w:val="20"/>
      </w:rPr>
    </w:pPr>
    <w:r>
      <w:rPr>
        <w:rFonts w:ascii="宋体" w:hAnsi="宋体" w:eastAsia="宋体" w:cs="宋体"/>
        <w:spacing w:val="-6"/>
        <w:sz w:val="20"/>
        <w:szCs w:val="20"/>
      </w:rPr>
      <w:t>183</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1F7D4">
    <w:pPr>
      <w:spacing w:line="174" w:lineRule="auto"/>
      <w:ind w:left="7504"/>
      <w:rPr>
        <w:rFonts w:ascii="宋体" w:hAnsi="宋体" w:eastAsia="宋体" w:cs="宋体"/>
        <w:sz w:val="20"/>
        <w:szCs w:val="20"/>
      </w:rPr>
    </w:pPr>
    <w:r>
      <w:rPr>
        <w:rFonts w:ascii="宋体" w:hAnsi="宋体" w:eastAsia="宋体" w:cs="宋体"/>
        <w:spacing w:val="-6"/>
        <w:sz w:val="20"/>
        <w:szCs w:val="20"/>
      </w:rPr>
      <w:t>184</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98F72">
    <w:pPr>
      <w:spacing w:line="173" w:lineRule="auto"/>
      <w:ind w:left="7195"/>
      <w:rPr>
        <w:rFonts w:ascii="宋体" w:hAnsi="宋体" w:eastAsia="宋体" w:cs="宋体"/>
        <w:sz w:val="20"/>
        <w:szCs w:val="20"/>
      </w:rPr>
    </w:pPr>
    <w:r>
      <w:rPr>
        <w:rFonts w:ascii="宋体" w:hAnsi="宋体" w:eastAsia="宋体" w:cs="宋体"/>
        <w:spacing w:val="-3"/>
        <w:sz w:val="20"/>
        <w:szCs w:val="20"/>
      </w:rPr>
      <w:t>24</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72E3B">
    <w:pPr>
      <w:spacing w:line="174" w:lineRule="auto"/>
      <w:ind w:left="7504"/>
      <w:rPr>
        <w:rFonts w:ascii="宋体" w:hAnsi="宋体" w:eastAsia="宋体" w:cs="宋体"/>
        <w:sz w:val="20"/>
        <w:szCs w:val="20"/>
      </w:rPr>
    </w:pPr>
    <w:r>
      <w:rPr>
        <w:rFonts w:ascii="宋体" w:hAnsi="宋体" w:eastAsia="宋体" w:cs="宋体"/>
        <w:spacing w:val="-6"/>
        <w:sz w:val="20"/>
        <w:szCs w:val="20"/>
      </w:rPr>
      <w:t>185</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BE61">
    <w:pPr>
      <w:spacing w:line="174" w:lineRule="auto"/>
      <w:ind w:left="7504"/>
      <w:rPr>
        <w:rFonts w:ascii="宋体" w:hAnsi="宋体" w:eastAsia="宋体" w:cs="宋体"/>
        <w:sz w:val="20"/>
        <w:szCs w:val="20"/>
      </w:rPr>
    </w:pPr>
    <w:r>
      <w:rPr>
        <w:rFonts w:ascii="宋体" w:hAnsi="宋体" w:eastAsia="宋体" w:cs="宋体"/>
        <w:spacing w:val="-6"/>
        <w:sz w:val="20"/>
        <w:szCs w:val="20"/>
      </w:rPr>
      <w:t>186</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6ED9D">
    <w:pPr>
      <w:spacing w:line="174" w:lineRule="auto"/>
      <w:ind w:left="7504"/>
      <w:rPr>
        <w:rFonts w:ascii="宋体" w:hAnsi="宋体" w:eastAsia="宋体" w:cs="宋体"/>
        <w:sz w:val="20"/>
        <w:szCs w:val="20"/>
      </w:rPr>
    </w:pPr>
    <w:r>
      <w:rPr>
        <w:rFonts w:ascii="宋体" w:hAnsi="宋体" w:eastAsia="宋体" w:cs="宋体"/>
        <w:spacing w:val="-6"/>
        <w:sz w:val="20"/>
        <w:szCs w:val="20"/>
      </w:rPr>
      <w:t>187</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C8684">
    <w:pPr>
      <w:spacing w:line="174" w:lineRule="auto"/>
      <w:ind w:left="7504"/>
      <w:rPr>
        <w:rFonts w:ascii="宋体" w:hAnsi="宋体" w:eastAsia="宋体" w:cs="宋体"/>
        <w:sz w:val="20"/>
        <w:szCs w:val="20"/>
      </w:rPr>
    </w:pPr>
    <w:r>
      <w:rPr>
        <w:rFonts w:ascii="宋体" w:hAnsi="宋体" w:eastAsia="宋体" w:cs="宋体"/>
        <w:spacing w:val="-6"/>
        <w:sz w:val="20"/>
        <w:szCs w:val="20"/>
      </w:rPr>
      <w:t>188</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7900F">
    <w:pPr>
      <w:spacing w:line="174" w:lineRule="auto"/>
      <w:ind w:left="7504"/>
      <w:rPr>
        <w:rFonts w:ascii="宋体" w:hAnsi="宋体" w:eastAsia="宋体" w:cs="宋体"/>
        <w:sz w:val="20"/>
        <w:szCs w:val="20"/>
      </w:rPr>
    </w:pPr>
    <w:r>
      <w:rPr>
        <w:rFonts w:ascii="宋体" w:hAnsi="宋体" w:eastAsia="宋体" w:cs="宋体"/>
        <w:spacing w:val="-6"/>
        <w:sz w:val="20"/>
        <w:szCs w:val="20"/>
      </w:rPr>
      <w:t>189</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B8612">
    <w:pPr>
      <w:spacing w:line="174" w:lineRule="auto"/>
      <w:ind w:left="7504"/>
      <w:rPr>
        <w:rFonts w:ascii="宋体" w:hAnsi="宋体" w:eastAsia="宋体" w:cs="宋体"/>
        <w:sz w:val="20"/>
        <w:szCs w:val="20"/>
      </w:rPr>
    </w:pPr>
    <w:r>
      <w:rPr>
        <w:rFonts w:ascii="宋体" w:hAnsi="宋体" w:eastAsia="宋体" w:cs="宋体"/>
        <w:spacing w:val="-6"/>
        <w:sz w:val="20"/>
        <w:szCs w:val="20"/>
      </w:rPr>
      <w:t>190</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D0E5C">
    <w:pPr>
      <w:spacing w:line="174" w:lineRule="auto"/>
      <w:ind w:left="7504"/>
      <w:rPr>
        <w:rFonts w:ascii="宋体" w:hAnsi="宋体" w:eastAsia="宋体" w:cs="宋体"/>
        <w:sz w:val="20"/>
        <w:szCs w:val="20"/>
      </w:rPr>
    </w:pPr>
    <w:r>
      <w:rPr>
        <w:rFonts w:ascii="宋体" w:hAnsi="宋体" w:eastAsia="宋体" w:cs="宋体"/>
        <w:spacing w:val="-6"/>
        <w:sz w:val="20"/>
        <w:szCs w:val="20"/>
      </w:rPr>
      <w:t>191</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93841">
    <w:pPr>
      <w:spacing w:line="174" w:lineRule="auto"/>
      <w:ind w:left="7504"/>
      <w:rPr>
        <w:rFonts w:ascii="宋体" w:hAnsi="宋体" w:eastAsia="宋体" w:cs="宋体"/>
        <w:sz w:val="20"/>
        <w:szCs w:val="20"/>
      </w:rPr>
    </w:pPr>
    <w:r>
      <w:rPr>
        <w:rFonts w:ascii="宋体" w:hAnsi="宋体" w:eastAsia="宋体" w:cs="宋体"/>
        <w:spacing w:val="-6"/>
        <w:sz w:val="20"/>
        <w:szCs w:val="20"/>
      </w:rPr>
      <w:t>192</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C7AE">
    <w:pPr>
      <w:spacing w:line="174" w:lineRule="auto"/>
      <w:ind w:left="7504"/>
      <w:rPr>
        <w:rFonts w:ascii="宋体" w:hAnsi="宋体" w:eastAsia="宋体" w:cs="宋体"/>
        <w:sz w:val="20"/>
        <w:szCs w:val="20"/>
      </w:rPr>
    </w:pPr>
    <w:r>
      <w:rPr>
        <w:rFonts w:ascii="宋体" w:hAnsi="宋体" w:eastAsia="宋体" w:cs="宋体"/>
        <w:spacing w:val="-6"/>
        <w:sz w:val="20"/>
        <w:szCs w:val="20"/>
      </w:rPr>
      <w:t>193</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8BD33">
    <w:pPr>
      <w:spacing w:line="174" w:lineRule="auto"/>
      <w:ind w:left="7504"/>
      <w:rPr>
        <w:rFonts w:ascii="宋体" w:hAnsi="宋体" w:eastAsia="宋体" w:cs="宋体"/>
        <w:sz w:val="20"/>
        <w:szCs w:val="20"/>
      </w:rPr>
    </w:pPr>
    <w:r>
      <w:rPr>
        <w:rFonts w:ascii="宋体" w:hAnsi="宋体" w:eastAsia="宋体" w:cs="宋体"/>
        <w:spacing w:val="-6"/>
        <w:sz w:val="20"/>
        <w:szCs w:val="20"/>
      </w:rPr>
      <w:t>194</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DEB5">
    <w:pPr>
      <w:spacing w:line="173" w:lineRule="auto"/>
      <w:ind w:left="7195"/>
      <w:rPr>
        <w:rFonts w:ascii="宋体" w:hAnsi="宋体" w:eastAsia="宋体" w:cs="宋体"/>
        <w:sz w:val="20"/>
        <w:szCs w:val="20"/>
      </w:rPr>
    </w:pPr>
    <w:r>
      <w:rPr>
        <w:rFonts w:ascii="宋体" w:hAnsi="宋体" w:eastAsia="宋体" w:cs="宋体"/>
        <w:spacing w:val="-3"/>
        <w:sz w:val="20"/>
        <w:szCs w:val="20"/>
      </w:rPr>
      <w:t>25</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B893A">
    <w:pPr>
      <w:spacing w:line="174" w:lineRule="auto"/>
      <w:ind w:left="7504"/>
      <w:rPr>
        <w:rFonts w:ascii="宋体" w:hAnsi="宋体" w:eastAsia="宋体" w:cs="宋体"/>
        <w:sz w:val="20"/>
        <w:szCs w:val="20"/>
      </w:rPr>
    </w:pPr>
    <w:r>
      <w:rPr>
        <w:rFonts w:ascii="宋体" w:hAnsi="宋体" w:eastAsia="宋体" w:cs="宋体"/>
        <w:spacing w:val="-6"/>
        <w:sz w:val="20"/>
        <w:szCs w:val="20"/>
      </w:rPr>
      <w:t>195</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AE7CB">
    <w:pPr>
      <w:spacing w:line="174" w:lineRule="auto"/>
      <w:ind w:left="7504"/>
      <w:rPr>
        <w:rFonts w:ascii="宋体" w:hAnsi="宋体" w:eastAsia="宋体" w:cs="宋体"/>
        <w:sz w:val="20"/>
        <w:szCs w:val="20"/>
      </w:rPr>
    </w:pPr>
    <w:r>
      <w:rPr>
        <w:rFonts w:ascii="宋体" w:hAnsi="宋体" w:eastAsia="宋体" w:cs="宋体"/>
        <w:spacing w:val="-6"/>
        <w:sz w:val="20"/>
        <w:szCs w:val="20"/>
      </w:rPr>
      <w:t>196</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1EDB">
    <w:pPr>
      <w:spacing w:line="174" w:lineRule="auto"/>
      <w:ind w:left="7504"/>
      <w:rPr>
        <w:rFonts w:ascii="宋体" w:hAnsi="宋体" w:eastAsia="宋体" w:cs="宋体"/>
        <w:sz w:val="20"/>
        <w:szCs w:val="20"/>
      </w:rPr>
    </w:pPr>
    <w:r>
      <w:rPr>
        <w:rFonts w:ascii="宋体" w:hAnsi="宋体" w:eastAsia="宋体" w:cs="宋体"/>
        <w:spacing w:val="-6"/>
        <w:sz w:val="20"/>
        <w:szCs w:val="20"/>
      </w:rPr>
      <w:t>197</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A2616">
    <w:pPr>
      <w:spacing w:line="174" w:lineRule="auto"/>
      <w:ind w:left="7504"/>
      <w:rPr>
        <w:rFonts w:ascii="宋体" w:hAnsi="宋体" w:eastAsia="宋体" w:cs="宋体"/>
        <w:sz w:val="20"/>
        <w:szCs w:val="20"/>
      </w:rPr>
    </w:pPr>
    <w:r>
      <w:rPr>
        <w:rFonts w:ascii="宋体" w:hAnsi="宋体" w:eastAsia="宋体" w:cs="宋体"/>
        <w:spacing w:val="-6"/>
        <w:sz w:val="20"/>
        <w:szCs w:val="20"/>
      </w:rPr>
      <w:t>198</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83C77">
    <w:pPr>
      <w:spacing w:line="174" w:lineRule="auto"/>
      <w:ind w:left="7504"/>
      <w:rPr>
        <w:rFonts w:ascii="宋体" w:hAnsi="宋体" w:eastAsia="宋体" w:cs="宋体"/>
        <w:sz w:val="20"/>
        <w:szCs w:val="20"/>
      </w:rPr>
    </w:pPr>
    <w:r>
      <w:rPr>
        <w:rFonts w:ascii="宋体" w:hAnsi="宋体" w:eastAsia="宋体" w:cs="宋体"/>
        <w:spacing w:val="-6"/>
        <w:sz w:val="20"/>
        <w:szCs w:val="20"/>
      </w:rPr>
      <w:t>199</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C2E59">
    <w:pPr>
      <w:spacing w:line="173" w:lineRule="auto"/>
      <w:ind w:left="7492"/>
      <w:rPr>
        <w:rFonts w:ascii="宋体" w:hAnsi="宋体" w:eastAsia="宋体" w:cs="宋体"/>
        <w:sz w:val="20"/>
        <w:szCs w:val="20"/>
      </w:rPr>
    </w:pPr>
    <w:r>
      <w:rPr>
        <w:rFonts w:ascii="宋体" w:hAnsi="宋体" w:eastAsia="宋体" w:cs="宋体"/>
        <w:spacing w:val="-3"/>
        <w:sz w:val="20"/>
        <w:szCs w:val="20"/>
      </w:rPr>
      <w:t>200</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94BB4">
    <w:pPr>
      <w:spacing w:line="174" w:lineRule="auto"/>
      <w:ind w:left="7492"/>
      <w:rPr>
        <w:rFonts w:ascii="宋体" w:hAnsi="宋体" w:eastAsia="宋体" w:cs="宋体"/>
        <w:sz w:val="20"/>
        <w:szCs w:val="20"/>
      </w:rPr>
    </w:pPr>
    <w:r>
      <w:rPr>
        <w:rFonts w:ascii="宋体" w:hAnsi="宋体" w:eastAsia="宋体" w:cs="宋体"/>
        <w:spacing w:val="-3"/>
        <w:sz w:val="20"/>
        <w:szCs w:val="20"/>
      </w:rPr>
      <w:t>201</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D6FDB">
    <w:pPr>
      <w:spacing w:line="173" w:lineRule="auto"/>
      <w:ind w:left="7492"/>
      <w:rPr>
        <w:rFonts w:ascii="宋体" w:hAnsi="宋体" w:eastAsia="宋体" w:cs="宋体"/>
        <w:sz w:val="20"/>
        <w:szCs w:val="20"/>
      </w:rPr>
    </w:pPr>
    <w:r>
      <w:rPr>
        <w:rFonts w:ascii="宋体" w:hAnsi="宋体" w:eastAsia="宋体" w:cs="宋体"/>
        <w:spacing w:val="-3"/>
        <w:sz w:val="20"/>
        <w:szCs w:val="20"/>
      </w:rPr>
      <w:t>202</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B3FC0">
    <w:pPr>
      <w:spacing w:line="173" w:lineRule="auto"/>
      <w:ind w:left="7492"/>
      <w:rPr>
        <w:rFonts w:ascii="宋体" w:hAnsi="宋体" w:eastAsia="宋体" w:cs="宋体"/>
        <w:sz w:val="20"/>
        <w:szCs w:val="20"/>
      </w:rPr>
    </w:pPr>
    <w:r>
      <w:rPr>
        <w:rFonts w:ascii="宋体" w:hAnsi="宋体" w:eastAsia="宋体" w:cs="宋体"/>
        <w:spacing w:val="-3"/>
        <w:sz w:val="20"/>
        <w:szCs w:val="20"/>
      </w:rPr>
      <w:t>203</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79218">
    <w:pPr>
      <w:spacing w:line="173" w:lineRule="auto"/>
      <w:ind w:left="7492"/>
      <w:rPr>
        <w:rFonts w:ascii="宋体" w:hAnsi="宋体" w:eastAsia="宋体" w:cs="宋体"/>
        <w:sz w:val="20"/>
        <w:szCs w:val="20"/>
      </w:rPr>
    </w:pPr>
    <w:r>
      <w:rPr>
        <w:rFonts w:ascii="宋体" w:hAnsi="宋体" w:eastAsia="宋体" w:cs="宋体"/>
        <w:spacing w:val="-3"/>
        <w:sz w:val="20"/>
        <w:szCs w:val="20"/>
      </w:rPr>
      <w:t>204</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89881">
    <w:pPr>
      <w:spacing w:line="174" w:lineRule="auto"/>
      <w:ind w:left="7308"/>
      <w:rPr>
        <w:rFonts w:ascii="宋体" w:hAnsi="宋体" w:eastAsia="宋体" w:cs="宋体"/>
        <w:sz w:val="20"/>
        <w:szCs w:val="20"/>
      </w:rPr>
    </w:pPr>
    <w:r>
      <w:rPr>
        <w:rFonts w:ascii="宋体" w:hAnsi="宋体" w:eastAsia="宋体" w:cs="宋体"/>
        <w:spacing w:val="-3"/>
        <w:sz w:val="20"/>
        <w:szCs w:val="20"/>
      </w:rPr>
      <w:t>31</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395D3">
    <w:pPr>
      <w:spacing w:line="173" w:lineRule="auto"/>
      <w:ind w:left="7492"/>
      <w:rPr>
        <w:rFonts w:ascii="宋体" w:hAnsi="宋体" w:eastAsia="宋体" w:cs="宋体"/>
        <w:sz w:val="20"/>
        <w:szCs w:val="20"/>
      </w:rPr>
    </w:pPr>
    <w:r>
      <w:rPr>
        <w:rFonts w:ascii="宋体" w:hAnsi="宋体" w:eastAsia="宋体" w:cs="宋体"/>
        <w:spacing w:val="-3"/>
        <w:sz w:val="20"/>
        <w:szCs w:val="20"/>
      </w:rPr>
      <w:t>205</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CA142">
    <w:pPr>
      <w:spacing w:line="173" w:lineRule="auto"/>
      <w:ind w:left="7492"/>
      <w:rPr>
        <w:rFonts w:ascii="宋体" w:hAnsi="宋体" w:eastAsia="宋体" w:cs="宋体"/>
        <w:sz w:val="20"/>
        <w:szCs w:val="20"/>
      </w:rPr>
    </w:pPr>
    <w:r>
      <w:rPr>
        <w:rFonts w:ascii="宋体" w:hAnsi="宋体" w:eastAsia="宋体" w:cs="宋体"/>
        <w:spacing w:val="-3"/>
        <w:sz w:val="20"/>
        <w:szCs w:val="20"/>
      </w:rPr>
      <w:t>206</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1EC01">
    <w:pPr>
      <w:spacing w:line="173" w:lineRule="auto"/>
      <w:ind w:left="7492"/>
      <w:rPr>
        <w:rFonts w:ascii="宋体" w:hAnsi="宋体" w:eastAsia="宋体" w:cs="宋体"/>
        <w:sz w:val="20"/>
        <w:szCs w:val="20"/>
      </w:rPr>
    </w:pPr>
    <w:r>
      <w:rPr>
        <w:rFonts w:ascii="宋体" w:hAnsi="宋体" w:eastAsia="宋体" w:cs="宋体"/>
        <w:spacing w:val="-3"/>
        <w:sz w:val="20"/>
        <w:szCs w:val="20"/>
      </w:rPr>
      <w:t>207</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E5141">
    <w:pPr>
      <w:spacing w:line="173" w:lineRule="auto"/>
      <w:ind w:left="7492"/>
      <w:rPr>
        <w:rFonts w:ascii="宋体" w:hAnsi="宋体" w:eastAsia="宋体" w:cs="宋体"/>
        <w:sz w:val="20"/>
        <w:szCs w:val="20"/>
      </w:rPr>
    </w:pPr>
    <w:r>
      <w:rPr>
        <w:rFonts w:ascii="宋体" w:hAnsi="宋体" w:eastAsia="宋体" w:cs="宋体"/>
        <w:spacing w:val="-3"/>
        <w:sz w:val="20"/>
        <w:szCs w:val="20"/>
      </w:rPr>
      <w:t>208</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5B357">
    <w:pPr>
      <w:spacing w:line="173" w:lineRule="auto"/>
      <w:ind w:left="7492"/>
      <w:rPr>
        <w:rFonts w:ascii="宋体" w:hAnsi="宋体" w:eastAsia="宋体" w:cs="宋体"/>
        <w:sz w:val="20"/>
        <w:szCs w:val="20"/>
      </w:rPr>
    </w:pPr>
    <w:r>
      <w:rPr>
        <w:rFonts w:ascii="宋体" w:hAnsi="宋体" w:eastAsia="宋体" w:cs="宋体"/>
        <w:spacing w:val="-3"/>
        <w:sz w:val="20"/>
        <w:szCs w:val="20"/>
      </w:rPr>
      <w:t>209</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9560E">
    <w:pPr>
      <w:spacing w:line="174" w:lineRule="auto"/>
      <w:ind w:left="7492"/>
      <w:rPr>
        <w:rFonts w:ascii="宋体" w:hAnsi="宋体" w:eastAsia="宋体" w:cs="宋体"/>
        <w:sz w:val="20"/>
        <w:szCs w:val="20"/>
      </w:rPr>
    </w:pPr>
    <w:r>
      <w:rPr>
        <w:rFonts w:ascii="宋体" w:hAnsi="宋体" w:eastAsia="宋体" w:cs="宋体"/>
        <w:spacing w:val="-3"/>
        <w:sz w:val="20"/>
        <w:szCs w:val="20"/>
      </w:rPr>
      <w:t>210</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88E3A">
    <w:pPr>
      <w:spacing w:line="174" w:lineRule="auto"/>
      <w:ind w:left="7492"/>
      <w:rPr>
        <w:rFonts w:ascii="宋体" w:hAnsi="宋体" w:eastAsia="宋体" w:cs="宋体"/>
        <w:sz w:val="20"/>
        <w:szCs w:val="20"/>
      </w:rPr>
    </w:pPr>
    <w:r>
      <w:rPr>
        <w:rFonts w:ascii="宋体" w:hAnsi="宋体" w:eastAsia="宋体" w:cs="宋体"/>
        <w:spacing w:val="-3"/>
        <w:sz w:val="20"/>
        <w:szCs w:val="20"/>
      </w:rPr>
      <w:t>211</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F03BC">
    <w:pPr>
      <w:spacing w:line="174" w:lineRule="auto"/>
      <w:ind w:left="7492"/>
      <w:rPr>
        <w:rFonts w:ascii="宋体" w:hAnsi="宋体" w:eastAsia="宋体" w:cs="宋体"/>
        <w:sz w:val="20"/>
        <w:szCs w:val="20"/>
      </w:rPr>
    </w:pPr>
    <w:r>
      <w:rPr>
        <w:rFonts w:ascii="宋体" w:hAnsi="宋体" w:eastAsia="宋体" w:cs="宋体"/>
        <w:spacing w:val="-3"/>
        <w:sz w:val="20"/>
        <w:szCs w:val="20"/>
      </w:rPr>
      <w:t>212</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DC22D">
    <w:pPr>
      <w:spacing w:line="174" w:lineRule="auto"/>
      <w:ind w:left="7492"/>
      <w:rPr>
        <w:rFonts w:ascii="宋体" w:hAnsi="宋体" w:eastAsia="宋体" w:cs="宋体"/>
        <w:sz w:val="20"/>
        <w:szCs w:val="20"/>
      </w:rPr>
    </w:pPr>
    <w:r>
      <w:rPr>
        <w:rFonts w:ascii="宋体" w:hAnsi="宋体" w:eastAsia="宋体" w:cs="宋体"/>
        <w:spacing w:val="-3"/>
        <w:sz w:val="20"/>
        <w:szCs w:val="20"/>
      </w:rPr>
      <w:t>213</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E40C6">
    <w:pPr>
      <w:spacing w:line="174" w:lineRule="auto"/>
      <w:ind w:left="7492"/>
      <w:rPr>
        <w:rFonts w:ascii="宋体" w:hAnsi="宋体" w:eastAsia="宋体" w:cs="宋体"/>
        <w:sz w:val="20"/>
        <w:szCs w:val="20"/>
      </w:rPr>
    </w:pPr>
    <w:r>
      <w:rPr>
        <w:rFonts w:ascii="宋体" w:hAnsi="宋体" w:eastAsia="宋体" w:cs="宋体"/>
        <w:spacing w:val="-3"/>
        <w:sz w:val="20"/>
        <w:szCs w:val="20"/>
      </w:rPr>
      <w:t>214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1F91E">
    <w:pPr>
      <w:spacing w:line="173" w:lineRule="auto"/>
      <w:ind w:left="7245"/>
      <w:rPr>
        <w:rFonts w:ascii="宋体" w:hAnsi="宋体" w:eastAsia="宋体" w:cs="宋体"/>
        <w:sz w:val="20"/>
        <w:szCs w:val="20"/>
      </w:rPr>
    </w:pPr>
    <w:r>
      <w:rPr>
        <w:rFonts w:ascii="宋体" w:hAnsi="宋体" w:eastAsia="宋体" w:cs="宋体"/>
        <w:sz w:val="20"/>
        <w:szCs w:val="20"/>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FD36C">
    <w:pPr>
      <w:spacing w:line="173" w:lineRule="auto"/>
      <w:ind w:left="7314"/>
      <w:rPr>
        <w:rFonts w:ascii="宋体" w:hAnsi="宋体" w:eastAsia="宋体" w:cs="宋体"/>
        <w:sz w:val="20"/>
        <w:szCs w:val="20"/>
      </w:rPr>
    </w:pPr>
    <w:r>
      <w:rPr>
        <w:rFonts w:ascii="宋体" w:hAnsi="宋体" w:eastAsia="宋体" w:cs="宋体"/>
        <w:spacing w:val="-3"/>
        <w:sz w:val="20"/>
        <w:szCs w:val="20"/>
      </w:rPr>
      <w:t>32</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74FCD">
    <w:pPr>
      <w:spacing w:line="174" w:lineRule="auto"/>
      <w:ind w:left="7492"/>
      <w:rPr>
        <w:rFonts w:ascii="宋体" w:hAnsi="宋体" w:eastAsia="宋体" w:cs="宋体"/>
        <w:sz w:val="20"/>
        <w:szCs w:val="20"/>
      </w:rPr>
    </w:pPr>
    <w:r>
      <w:rPr>
        <w:rFonts w:ascii="宋体" w:hAnsi="宋体" w:eastAsia="宋体" w:cs="宋体"/>
        <w:spacing w:val="-3"/>
        <w:sz w:val="20"/>
        <w:szCs w:val="20"/>
      </w:rPr>
      <w:t>215</w: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FEF2A">
    <w:pPr>
      <w:spacing w:line="174" w:lineRule="auto"/>
      <w:ind w:left="7492"/>
      <w:rPr>
        <w:rFonts w:ascii="宋体" w:hAnsi="宋体" w:eastAsia="宋体" w:cs="宋体"/>
        <w:sz w:val="20"/>
        <w:szCs w:val="20"/>
      </w:rPr>
    </w:pPr>
    <w:r>
      <w:rPr>
        <w:rFonts w:ascii="宋体" w:hAnsi="宋体" w:eastAsia="宋体" w:cs="宋体"/>
        <w:spacing w:val="-3"/>
        <w:sz w:val="20"/>
        <w:szCs w:val="20"/>
      </w:rPr>
      <w:t>216</w: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7ABF5">
    <w:pPr>
      <w:spacing w:line="174" w:lineRule="auto"/>
      <w:ind w:left="7492"/>
      <w:rPr>
        <w:rFonts w:ascii="宋体" w:hAnsi="宋体" w:eastAsia="宋体" w:cs="宋体"/>
        <w:sz w:val="20"/>
        <w:szCs w:val="20"/>
      </w:rPr>
    </w:pPr>
    <w:r>
      <w:rPr>
        <w:rFonts w:ascii="宋体" w:hAnsi="宋体" w:eastAsia="宋体" w:cs="宋体"/>
        <w:spacing w:val="-3"/>
        <w:sz w:val="20"/>
        <w:szCs w:val="20"/>
      </w:rPr>
      <w:t>217</w: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B0143">
    <w:pPr>
      <w:spacing w:line="174" w:lineRule="auto"/>
      <w:ind w:left="7492"/>
      <w:rPr>
        <w:rFonts w:ascii="宋体" w:hAnsi="宋体" w:eastAsia="宋体" w:cs="宋体"/>
        <w:sz w:val="20"/>
        <w:szCs w:val="20"/>
      </w:rPr>
    </w:pPr>
    <w:r>
      <w:rPr>
        <w:rFonts w:ascii="宋体" w:hAnsi="宋体" w:eastAsia="宋体" w:cs="宋体"/>
        <w:spacing w:val="-3"/>
        <w:sz w:val="20"/>
        <w:szCs w:val="20"/>
      </w:rPr>
      <w:t>218</w: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6A087">
    <w:pPr>
      <w:spacing w:line="174" w:lineRule="auto"/>
      <w:ind w:left="7492"/>
      <w:rPr>
        <w:rFonts w:ascii="宋体" w:hAnsi="宋体" w:eastAsia="宋体" w:cs="宋体"/>
        <w:sz w:val="20"/>
        <w:szCs w:val="20"/>
      </w:rPr>
    </w:pPr>
    <w:r>
      <w:rPr>
        <w:rFonts w:ascii="宋体" w:hAnsi="宋体" w:eastAsia="宋体" w:cs="宋体"/>
        <w:spacing w:val="-3"/>
        <w:sz w:val="20"/>
        <w:szCs w:val="20"/>
      </w:rPr>
      <w:t>219</w: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F15A0">
    <w:pPr>
      <w:spacing w:line="173" w:lineRule="auto"/>
      <w:ind w:left="7492"/>
      <w:rPr>
        <w:rFonts w:ascii="宋体" w:hAnsi="宋体" w:eastAsia="宋体" w:cs="宋体"/>
        <w:sz w:val="20"/>
        <w:szCs w:val="20"/>
      </w:rPr>
    </w:pPr>
    <w:r>
      <w:rPr>
        <w:rFonts w:ascii="宋体" w:hAnsi="宋体" w:eastAsia="宋体" w:cs="宋体"/>
        <w:spacing w:val="-3"/>
        <w:sz w:val="20"/>
        <w:szCs w:val="20"/>
      </w:rPr>
      <w:t>220</w: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3EE25">
    <w:pPr>
      <w:spacing w:line="174" w:lineRule="auto"/>
      <w:ind w:left="7492"/>
      <w:rPr>
        <w:rFonts w:ascii="宋体" w:hAnsi="宋体" w:eastAsia="宋体" w:cs="宋体"/>
        <w:sz w:val="20"/>
        <w:szCs w:val="20"/>
      </w:rPr>
    </w:pPr>
    <w:r>
      <w:rPr>
        <w:rFonts w:ascii="宋体" w:hAnsi="宋体" w:eastAsia="宋体" w:cs="宋体"/>
        <w:spacing w:val="-3"/>
        <w:sz w:val="20"/>
        <w:szCs w:val="20"/>
      </w:rPr>
      <w:t>221</w: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56F98">
    <w:pPr>
      <w:spacing w:line="173" w:lineRule="auto"/>
      <w:ind w:left="7492"/>
      <w:rPr>
        <w:rFonts w:ascii="宋体" w:hAnsi="宋体" w:eastAsia="宋体" w:cs="宋体"/>
        <w:sz w:val="20"/>
        <w:szCs w:val="20"/>
      </w:rPr>
    </w:pPr>
    <w:r>
      <w:rPr>
        <w:rFonts w:ascii="宋体" w:hAnsi="宋体" w:eastAsia="宋体" w:cs="宋体"/>
        <w:spacing w:val="-3"/>
        <w:sz w:val="20"/>
        <w:szCs w:val="20"/>
      </w:rPr>
      <w:t>222</w: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3193">
    <w:pPr>
      <w:spacing w:line="173" w:lineRule="auto"/>
      <w:ind w:left="7492"/>
      <w:rPr>
        <w:rFonts w:ascii="宋体" w:hAnsi="宋体" w:eastAsia="宋体" w:cs="宋体"/>
        <w:sz w:val="20"/>
        <w:szCs w:val="20"/>
      </w:rPr>
    </w:pPr>
    <w:r>
      <w:rPr>
        <w:rFonts w:ascii="宋体" w:hAnsi="宋体" w:eastAsia="宋体" w:cs="宋体"/>
        <w:spacing w:val="-3"/>
        <w:sz w:val="20"/>
        <w:szCs w:val="20"/>
      </w:rPr>
      <w:t>223</w: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45742">
    <w:pPr>
      <w:spacing w:line="173" w:lineRule="auto"/>
      <w:ind w:left="7492"/>
      <w:rPr>
        <w:rFonts w:ascii="宋体" w:hAnsi="宋体" w:eastAsia="宋体" w:cs="宋体"/>
        <w:sz w:val="20"/>
        <w:szCs w:val="20"/>
      </w:rPr>
    </w:pPr>
    <w:r>
      <w:rPr>
        <w:rFonts w:ascii="宋体" w:hAnsi="宋体" w:eastAsia="宋体" w:cs="宋体"/>
        <w:spacing w:val="-3"/>
        <w:sz w:val="20"/>
        <w:szCs w:val="20"/>
      </w:rPr>
      <w:t>224</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AC541">
    <w:pPr>
      <w:spacing w:line="173" w:lineRule="auto"/>
      <w:ind w:left="7314"/>
      <w:rPr>
        <w:rFonts w:ascii="宋体" w:hAnsi="宋体" w:eastAsia="宋体" w:cs="宋体"/>
        <w:sz w:val="20"/>
        <w:szCs w:val="20"/>
      </w:rPr>
    </w:pPr>
    <w:r>
      <w:rPr>
        <w:rFonts w:ascii="宋体" w:hAnsi="宋体" w:eastAsia="宋体" w:cs="宋体"/>
        <w:spacing w:val="-3"/>
        <w:sz w:val="20"/>
        <w:szCs w:val="20"/>
      </w:rPr>
      <w:t>33</w: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6A61C">
    <w:pPr>
      <w:spacing w:line="173" w:lineRule="auto"/>
      <w:ind w:left="7492"/>
      <w:rPr>
        <w:rFonts w:ascii="宋体" w:hAnsi="宋体" w:eastAsia="宋体" w:cs="宋体"/>
        <w:sz w:val="20"/>
        <w:szCs w:val="20"/>
      </w:rPr>
    </w:pPr>
    <w:r>
      <w:rPr>
        <w:rFonts w:ascii="宋体" w:hAnsi="宋体" w:eastAsia="宋体" w:cs="宋体"/>
        <w:spacing w:val="-3"/>
        <w:sz w:val="20"/>
        <w:szCs w:val="20"/>
      </w:rPr>
      <w:t>225</w: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4776E">
    <w:pPr>
      <w:spacing w:line="173" w:lineRule="auto"/>
      <w:ind w:left="7492"/>
      <w:rPr>
        <w:rFonts w:ascii="宋体" w:hAnsi="宋体" w:eastAsia="宋体" w:cs="宋体"/>
        <w:sz w:val="20"/>
        <w:szCs w:val="20"/>
      </w:rPr>
    </w:pPr>
    <w:r>
      <w:rPr>
        <w:rFonts w:ascii="宋体" w:hAnsi="宋体" w:eastAsia="宋体" w:cs="宋体"/>
        <w:spacing w:val="-3"/>
        <w:sz w:val="20"/>
        <w:szCs w:val="20"/>
      </w:rPr>
      <w:t>226</w: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8E770">
    <w:pPr>
      <w:spacing w:line="173" w:lineRule="auto"/>
      <w:ind w:left="7393"/>
      <w:rPr>
        <w:rFonts w:ascii="宋体" w:hAnsi="宋体" w:eastAsia="宋体" w:cs="宋体"/>
        <w:sz w:val="20"/>
        <w:szCs w:val="20"/>
      </w:rPr>
    </w:pPr>
    <w:r>
      <w:rPr>
        <w:rFonts w:ascii="宋体" w:hAnsi="宋体" w:eastAsia="宋体" w:cs="宋体"/>
        <w:spacing w:val="-3"/>
        <w:sz w:val="20"/>
        <w:szCs w:val="20"/>
      </w:rPr>
      <w:t>227</w: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307B7">
    <w:pPr>
      <w:spacing w:line="173" w:lineRule="auto"/>
      <w:ind w:left="7393"/>
      <w:rPr>
        <w:rFonts w:ascii="宋体" w:hAnsi="宋体" w:eastAsia="宋体" w:cs="宋体"/>
        <w:sz w:val="20"/>
        <w:szCs w:val="20"/>
      </w:rPr>
    </w:pPr>
    <w:r>
      <w:rPr>
        <w:rFonts w:ascii="宋体" w:hAnsi="宋体" w:eastAsia="宋体" w:cs="宋体"/>
        <w:spacing w:val="-3"/>
        <w:sz w:val="20"/>
        <w:szCs w:val="20"/>
      </w:rPr>
      <w:t>228</w: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FB843">
    <w:pPr>
      <w:spacing w:line="173" w:lineRule="auto"/>
      <w:ind w:left="7393"/>
      <w:rPr>
        <w:rFonts w:ascii="宋体" w:hAnsi="宋体" w:eastAsia="宋体" w:cs="宋体"/>
        <w:sz w:val="20"/>
        <w:szCs w:val="20"/>
      </w:rPr>
    </w:pPr>
    <w:r>
      <w:rPr>
        <w:rFonts w:ascii="宋体" w:hAnsi="宋体" w:eastAsia="宋体" w:cs="宋体"/>
        <w:spacing w:val="-3"/>
        <w:sz w:val="20"/>
        <w:szCs w:val="20"/>
      </w:rPr>
      <w:t>229</w: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70497">
    <w:pPr>
      <w:spacing w:line="173" w:lineRule="auto"/>
      <w:ind w:left="7393"/>
      <w:rPr>
        <w:rFonts w:ascii="宋体" w:hAnsi="宋体" w:eastAsia="宋体" w:cs="宋体"/>
        <w:sz w:val="20"/>
        <w:szCs w:val="20"/>
      </w:rPr>
    </w:pPr>
    <w:r>
      <w:rPr>
        <w:rFonts w:ascii="宋体" w:hAnsi="宋体" w:eastAsia="宋体" w:cs="宋体"/>
        <w:spacing w:val="-3"/>
        <w:sz w:val="20"/>
        <w:szCs w:val="20"/>
      </w:rPr>
      <w:t>230</w: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3DAC8">
    <w:pPr>
      <w:spacing w:line="174" w:lineRule="auto"/>
      <w:ind w:left="7393"/>
      <w:rPr>
        <w:rFonts w:ascii="宋体" w:hAnsi="宋体" w:eastAsia="宋体" w:cs="宋体"/>
        <w:sz w:val="20"/>
        <w:szCs w:val="20"/>
      </w:rPr>
    </w:pPr>
    <w:r>
      <w:rPr>
        <w:rFonts w:ascii="宋体" w:hAnsi="宋体" w:eastAsia="宋体" w:cs="宋体"/>
        <w:spacing w:val="-3"/>
        <w:sz w:val="20"/>
        <w:szCs w:val="20"/>
      </w:rPr>
      <w:t>231</w: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ACD9A">
    <w:pPr>
      <w:spacing w:line="173" w:lineRule="auto"/>
      <w:ind w:left="7393"/>
      <w:rPr>
        <w:rFonts w:ascii="宋体" w:hAnsi="宋体" w:eastAsia="宋体" w:cs="宋体"/>
        <w:sz w:val="20"/>
        <w:szCs w:val="20"/>
      </w:rPr>
    </w:pPr>
    <w:r>
      <w:rPr>
        <w:rFonts w:ascii="宋体" w:hAnsi="宋体" w:eastAsia="宋体" w:cs="宋体"/>
        <w:spacing w:val="-3"/>
        <w:sz w:val="20"/>
        <w:szCs w:val="20"/>
      </w:rPr>
      <w:t>232</w: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BA40F">
    <w:pPr>
      <w:spacing w:line="173" w:lineRule="auto"/>
      <w:ind w:left="7393"/>
      <w:rPr>
        <w:rFonts w:ascii="宋体" w:hAnsi="宋体" w:eastAsia="宋体" w:cs="宋体"/>
        <w:sz w:val="20"/>
        <w:szCs w:val="20"/>
      </w:rPr>
    </w:pPr>
    <w:r>
      <w:rPr>
        <w:rFonts w:ascii="宋体" w:hAnsi="宋体" w:eastAsia="宋体" w:cs="宋体"/>
        <w:spacing w:val="-3"/>
        <w:sz w:val="20"/>
        <w:szCs w:val="20"/>
      </w:rPr>
      <w:t>234</w: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1F9CD">
    <w:pPr>
      <w:spacing w:line="173" w:lineRule="auto"/>
      <w:ind w:left="7393"/>
      <w:rPr>
        <w:rFonts w:ascii="宋体" w:hAnsi="宋体" w:eastAsia="宋体" w:cs="宋体"/>
        <w:sz w:val="20"/>
        <w:szCs w:val="20"/>
      </w:rPr>
    </w:pPr>
    <w:r>
      <w:rPr>
        <w:rFonts w:ascii="宋体" w:hAnsi="宋体" w:eastAsia="宋体" w:cs="宋体"/>
        <w:spacing w:val="-3"/>
        <w:sz w:val="20"/>
        <w:szCs w:val="20"/>
      </w:rPr>
      <w:t>235</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AABF8">
    <w:pPr>
      <w:spacing w:line="173" w:lineRule="auto"/>
      <w:ind w:left="7314"/>
      <w:rPr>
        <w:rFonts w:ascii="宋体" w:hAnsi="宋体" w:eastAsia="宋体" w:cs="宋体"/>
        <w:sz w:val="20"/>
        <w:szCs w:val="20"/>
      </w:rPr>
    </w:pPr>
    <w:r>
      <w:rPr>
        <w:rFonts w:ascii="宋体" w:hAnsi="宋体" w:eastAsia="宋体" w:cs="宋体"/>
        <w:spacing w:val="-3"/>
        <w:sz w:val="20"/>
        <w:szCs w:val="20"/>
      </w:rPr>
      <w:t>34</w: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77A14">
    <w:pPr>
      <w:pStyle w:val="2"/>
      <w:spacing w:line="14" w:lineRule="auto"/>
      <w:rPr>
        <w:sz w:val="2"/>
      </w:rPr>
    </w:pP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422A8">
    <w:pPr>
      <w:pStyle w:val="2"/>
      <w:spacing w:line="14" w:lineRule="auto"/>
      <w:rPr>
        <w:sz w:val="2"/>
      </w:rPr>
    </w:pPr>
    <w:bookmarkStart w:id="9" w:name="bookmark16"/>
    <w:bookmarkEnd w:id="9"/>
    <w:bookmarkStart w:id="10" w:name="bookmark12"/>
    <w:bookmarkEnd w:id="10"/>
    <w:bookmarkStart w:id="11" w:name="bookmark17"/>
    <w:bookmarkEnd w:id="11"/>
    <w:bookmarkStart w:id="12" w:name="bookmark13"/>
    <w:bookmarkEnd w:id="12"/>
    <w:bookmarkStart w:id="13" w:name="bookmark10"/>
    <w:bookmarkEnd w:id="13"/>
    <w:bookmarkStart w:id="14" w:name="bookmark11"/>
    <w:bookmarkEnd w:id="14"/>
    <w:bookmarkStart w:id="15" w:name="bookmark14"/>
    <w:bookmarkEnd w:id="15"/>
    <w:bookmarkStart w:id="16" w:name="bookmark15"/>
    <w:bookmarkEnd w:id="16"/>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49C49">
    <w:pPr>
      <w:spacing w:line="173" w:lineRule="auto"/>
      <w:ind w:left="7149"/>
      <w:rPr>
        <w:rFonts w:hint="eastAsia" w:ascii="宋体" w:hAnsi="宋体" w:eastAsia="宋体" w:cs="宋体"/>
        <w:sz w:val="20"/>
        <w:szCs w:val="20"/>
        <w:lang w:eastAsia="zh-CN"/>
      </w:rPr>
    </w:pPr>
    <w:r>
      <w:rPr>
        <w:rFonts w:ascii="宋体" w:hAnsi="宋体" w:eastAsia="宋体" w:cs="宋体"/>
        <w:spacing w:val="-3"/>
        <w:sz w:val="20"/>
        <w:szCs w:val="20"/>
      </w:rPr>
      <w:t>23</w:t>
    </w:r>
    <w:r>
      <w:rPr>
        <w:rFonts w:hint="eastAsia" w:ascii="宋体" w:hAnsi="宋体" w:eastAsia="宋体" w:cs="宋体"/>
        <w:spacing w:val="-3"/>
        <w:sz w:val="20"/>
        <w:szCs w:val="20"/>
        <w:lang w:val="en-US" w:eastAsia="zh-CN"/>
      </w:rPr>
      <w:t>8</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23E54">
    <w:pPr>
      <w:spacing w:line="173" w:lineRule="auto"/>
      <w:ind w:left="7314"/>
      <w:rPr>
        <w:rFonts w:ascii="宋体" w:hAnsi="宋体" w:eastAsia="宋体" w:cs="宋体"/>
        <w:sz w:val="20"/>
        <w:szCs w:val="20"/>
      </w:rPr>
    </w:pPr>
    <w:r>
      <w:rPr>
        <w:rFonts w:ascii="宋体" w:hAnsi="宋体" w:eastAsia="宋体" w:cs="宋体"/>
        <w:spacing w:val="-3"/>
        <w:sz w:val="20"/>
        <w:szCs w:val="20"/>
      </w:rPr>
      <w:t>35</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3A23E">
    <w:pPr>
      <w:spacing w:line="173" w:lineRule="auto"/>
      <w:ind w:left="7314"/>
      <w:rPr>
        <w:rFonts w:ascii="宋体" w:hAnsi="宋体" w:eastAsia="宋体" w:cs="宋体"/>
        <w:sz w:val="20"/>
        <w:szCs w:val="20"/>
      </w:rPr>
    </w:pPr>
    <w:r>
      <w:rPr>
        <w:rFonts w:ascii="宋体" w:hAnsi="宋体" w:eastAsia="宋体" w:cs="宋体"/>
        <w:spacing w:val="-3"/>
        <w:sz w:val="20"/>
        <w:szCs w:val="20"/>
      </w:rPr>
      <w:t>36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4C88C">
    <w:pPr>
      <w:spacing w:line="173" w:lineRule="auto"/>
      <w:ind w:left="7314"/>
      <w:rPr>
        <w:rFonts w:ascii="宋体" w:hAnsi="宋体" w:eastAsia="宋体" w:cs="宋体"/>
        <w:sz w:val="20"/>
        <w:szCs w:val="20"/>
      </w:rPr>
    </w:pPr>
    <w:r>
      <w:rPr>
        <w:rFonts w:ascii="宋体" w:hAnsi="宋体" w:eastAsia="宋体" w:cs="宋体"/>
        <w:spacing w:val="-3"/>
        <w:sz w:val="20"/>
        <w:szCs w:val="20"/>
      </w:rPr>
      <w:t>37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D32ED">
    <w:pPr>
      <w:spacing w:line="173" w:lineRule="auto"/>
      <w:ind w:left="7314"/>
      <w:rPr>
        <w:rFonts w:ascii="宋体" w:hAnsi="宋体" w:eastAsia="宋体" w:cs="宋体"/>
        <w:sz w:val="20"/>
        <w:szCs w:val="20"/>
      </w:rPr>
    </w:pPr>
    <w:r>
      <w:rPr>
        <w:rFonts w:ascii="宋体" w:hAnsi="宋体" w:eastAsia="宋体" w:cs="宋体"/>
        <w:spacing w:val="-3"/>
        <w:sz w:val="20"/>
        <w:szCs w:val="20"/>
      </w:rPr>
      <w:t>38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5383E">
    <w:pPr>
      <w:spacing w:line="173" w:lineRule="auto"/>
      <w:ind w:left="7314"/>
      <w:rPr>
        <w:rFonts w:ascii="宋体" w:hAnsi="宋体" w:eastAsia="宋体" w:cs="宋体"/>
        <w:sz w:val="20"/>
        <w:szCs w:val="20"/>
      </w:rPr>
    </w:pPr>
    <w:r>
      <w:rPr>
        <w:rFonts w:ascii="宋体" w:hAnsi="宋体" w:eastAsia="宋体" w:cs="宋体"/>
        <w:spacing w:val="-3"/>
        <w:sz w:val="20"/>
        <w:szCs w:val="20"/>
      </w:rPr>
      <w:t>39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F3C43">
    <w:pPr>
      <w:spacing w:line="173" w:lineRule="auto"/>
      <w:ind w:left="7309"/>
      <w:rPr>
        <w:rFonts w:ascii="宋体" w:hAnsi="宋体" w:eastAsia="宋体" w:cs="宋体"/>
        <w:sz w:val="20"/>
        <w:szCs w:val="20"/>
      </w:rPr>
    </w:pPr>
    <w:r>
      <w:rPr>
        <w:rFonts w:ascii="宋体" w:hAnsi="宋体" w:eastAsia="宋体" w:cs="宋体"/>
        <w:spacing w:val="-2"/>
        <w:sz w:val="20"/>
        <w:szCs w:val="20"/>
      </w:rPr>
      <w:t>40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A973A">
    <w:pPr>
      <w:spacing w:line="174" w:lineRule="auto"/>
      <w:ind w:left="7309"/>
      <w:rPr>
        <w:rFonts w:ascii="宋体" w:hAnsi="宋体" w:eastAsia="宋体" w:cs="宋体"/>
        <w:sz w:val="20"/>
        <w:szCs w:val="20"/>
      </w:rPr>
    </w:pPr>
    <w:r>
      <w:rPr>
        <w:rFonts w:ascii="宋体" w:hAnsi="宋体" w:eastAsia="宋体" w:cs="宋体"/>
        <w:spacing w:val="-2"/>
        <w:sz w:val="20"/>
        <w:szCs w:val="20"/>
      </w:rPr>
      <w:t>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7414">
    <w:pPr>
      <w:spacing w:line="173" w:lineRule="auto"/>
      <w:ind w:left="7246"/>
      <w:rPr>
        <w:rFonts w:ascii="宋体" w:hAnsi="宋体" w:eastAsia="宋体" w:cs="宋体"/>
        <w:sz w:val="20"/>
        <w:szCs w:val="20"/>
      </w:rPr>
    </w:pPr>
    <w:r>
      <w:rPr>
        <w:rFonts w:ascii="宋体" w:hAnsi="宋体" w:eastAsia="宋体" w:cs="宋体"/>
        <w:sz w:val="20"/>
        <w:szCs w:val="20"/>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A92E8">
    <w:pPr>
      <w:spacing w:line="173" w:lineRule="auto"/>
      <w:ind w:left="7309"/>
      <w:rPr>
        <w:rFonts w:ascii="宋体" w:hAnsi="宋体" w:eastAsia="宋体" w:cs="宋体"/>
        <w:sz w:val="20"/>
        <w:szCs w:val="20"/>
      </w:rPr>
    </w:pPr>
    <w:r>
      <w:rPr>
        <w:rFonts w:ascii="宋体" w:hAnsi="宋体" w:eastAsia="宋体" w:cs="宋体"/>
        <w:spacing w:val="-2"/>
        <w:sz w:val="20"/>
        <w:szCs w:val="20"/>
      </w:rPr>
      <w:t>42</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05DD">
    <w:pPr>
      <w:spacing w:line="173" w:lineRule="auto"/>
      <w:ind w:left="7309"/>
      <w:rPr>
        <w:rFonts w:ascii="宋体" w:hAnsi="宋体" w:eastAsia="宋体" w:cs="宋体"/>
        <w:sz w:val="20"/>
        <w:szCs w:val="20"/>
      </w:rPr>
    </w:pPr>
    <w:r>
      <w:rPr>
        <w:rFonts w:ascii="宋体" w:hAnsi="宋体" w:eastAsia="宋体" w:cs="宋体"/>
        <w:spacing w:val="-2"/>
        <w:sz w:val="20"/>
        <w:szCs w:val="20"/>
      </w:rPr>
      <w:t>43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A3FCA">
    <w:pPr>
      <w:spacing w:line="173" w:lineRule="auto"/>
      <w:ind w:left="7309"/>
      <w:rPr>
        <w:rFonts w:ascii="宋体" w:hAnsi="宋体" w:eastAsia="宋体" w:cs="宋体"/>
        <w:sz w:val="20"/>
        <w:szCs w:val="20"/>
      </w:rPr>
    </w:pPr>
    <w:r>
      <w:rPr>
        <w:rFonts w:ascii="宋体" w:hAnsi="宋体" w:eastAsia="宋体" w:cs="宋体"/>
        <w:spacing w:val="-2"/>
        <w:sz w:val="20"/>
        <w:szCs w:val="20"/>
      </w:rPr>
      <w:t>44</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C8F06">
    <w:pPr>
      <w:spacing w:line="173" w:lineRule="auto"/>
      <w:ind w:left="7309"/>
      <w:rPr>
        <w:rFonts w:ascii="宋体" w:hAnsi="宋体" w:eastAsia="宋体" w:cs="宋体"/>
        <w:sz w:val="20"/>
        <w:szCs w:val="20"/>
      </w:rPr>
    </w:pPr>
    <w:r>
      <w:rPr>
        <w:rFonts w:ascii="宋体" w:hAnsi="宋体" w:eastAsia="宋体" w:cs="宋体"/>
        <w:spacing w:val="-2"/>
        <w:sz w:val="20"/>
        <w:szCs w:val="20"/>
      </w:rPr>
      <w:t>45</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95281">
    <w:pPr>
      <w:spacing w:line="173" w:lineRule="auto"/>
      <w:ind w:left="7309"/>
      <w:rPr>
        <w:rFonts w:ascii="宋体" w:hAnsi="宋体" w:eastAsia="宋体" w:cs="宋体"/>
        <w:sz w:val="20"/>
        <w:szCs w:val="20"/>
      </w:rPr>
    </w:pPr>
    <w:r>
      <w:rPr>
        <w:rFonts w:ascii="宋体" w:hAnsi="宋体" w:eastAsia="宋体" w:cs="宋体"/>
        <w:spacing w:val="-2"/>
        <w:sz w:val="20"/>
        <w:szCs w:val="20"/>
      </w:rPr>
      <w:t>46</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575AB">
    <w:pPr>
      <w:spacing w:line="173" w:lineRule="auto"/>
      <w:ind w:left="7309"/>
      <w:rPr>
        <w:rFonts w:ascii="宋体" w:hAnsi="宋体" w:eastAsia="宋体" w:cs="宋体"/>
        <w:sz w:val="20"/>
        <w:szCs w:val="20"/>
      </w:rPr>
    </w:pPr>
    <w:r>
      <w:rPr>
        <w:rFonts w:ascii="宋体" w:hAnsi="宋体" w:eastAsia="宋体" w:cs="宋体"/>
        <w:spacing w:val="-2"/>
        <w:sz w:val="20"/>
        <w:szCs w:val="20"/>
      </w:rPr>
      <w:t>47</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D9C5C">
    <w:pPr>
      <w:spacing w:line="173" w:lineRule="auto"/>
      <w:ind w:left="7309"/>
      <w:rPr>
        <w:rFonts w:ascii="宋体" w:hAnsi="宋体" w:eastAsia="宋体" w:cs="宋体"/>
        <w:sz w:val="20"/>
        <w:szCs w:val="20"/>
      </w:rPr>
    </w:pPr>
    <w:r>
      <w:rPr>
        <w:rFonts w:ascii="宋体" w:hAnsi="宋体" w:eastAsia="宋体" w:cs="宋体"/>
        <w:spacing w:val="-2"/>
        <w:sz w:val="20"/>
        <w:szCs w:val="20"/>
      </w:rPr>
      <w:t>48</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6FCF3">
    <w:pPr>
      <w:spacing w:line="173" w:lineRule="auto"/>
      <w:ind w:left="7309"/>
      <w:rPr>
        <w:rFonts w:ascii="宋体" w:hAnsi="宋体" w:eastAsia="宋体" w:cs="宋体"/>
        <w:sz w:val="20"/>
        <w:szCs w:val="20"/>
      </w:rPr>
    </w:pPr>
    <w:r>
      <w:rPr>
        <w:rFonts w:ascii="宋体" w:hAnsi="宋体" w:eastAsia="宋体" w:cs="宋体"/>
        <w:spacing w:val="-2"/>
        <w:sz w:val="20"/>
        <w:szCs w:val="20"/>
      </w:rPr>
      <w:t>49</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738C6">
    <w:pPr>
      <w:spacing w:line="173" w:lineRule="auto"/>
      <w:ind w:left="7314"/>
      <w:rPr>
        <w:rFonts w:ascii="宋体" w:hAnsi="宋体" w:eastAsia="宋体" w:cs="宋体"/>
        <w:sz w:val="20"/>
        <w:szCs w:val="20"/>
      </w:rPr>
    </w:pPr>
    <w:r>
      <w:rPr>
        <w:rFonts w:ascii="宋体" w:hAnsi="宋体" w:eastAsia="宋体" w:cs="宋体"/>
        <w:spacing w:val="-3"/>
        <w:sz w:val="20"/>
        <w:szCs w:val="20"/>
      </w:rPr>
      <w:t>50</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7BE21">
    <w:pPr>
      <w:spacing w:line="174" w:lineRule="auto"/>
      <w:ind w:left="7314"/>
      <w:rPr>
        <w:rFonts w:ascii="宋体" w:hAnsi="宋体" w:eastAsia="宋体" w:cs="宋体"/>
        <w:sz w:val="20"/>
        <w:szCs w:val="20"/>
      </w:rPr>
    </w:pPr>
    <w:r>
      <w:rPr>
        <w:rFonts w:ascii="宋体" w:hAnsi="宋体" w:eastAsia="宋体" w:cs="宋体"/>
        <w:spacing w:val="-3"/>
        <w:sz w:val="20"/>
        <w:szCs w:val="20"/>
      </w:rPr>
      <w:t>51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5FAB8">
    <w:pPr>
      <w:spacing w:line="173" w:lineRule="auto"/>
      <w:ind w:left="7241"/>
      <w:rPr>
        <w:rFonts w:ascii="宋体" w:hAnsi="宋体" w:eastAsia="宋体" w:cs="宋体"/>
        <w:sz w:val="20"/>
        <w:szCs w:val="20"/>
      </w:rPr>
    </w:pPr>
    <w:r>
      <w:rPr>
        <w:rFonts w:ascii="宋体" w:hAnsi="宋体" w:eastAsia="宋体" w:cs="宋体"/>
        <w:sz w:val="20"/>
        <w:szCs w:val="20"/>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6C0E6">
    <w:pPr>
      <w:spacing w:line="173" w:lineRule="auto"/>
      <w:ind w:left="7314"/>
      <w:rPr>
        <w:rFonts w:ascii="宋体" w:hAnsi="宋体" w:eastAsia="宋体" w:cs="宋体"/>
        <w:sz w:val="20"/>
        <w:szCs w:val="20"/>
      </w:rPr>
    </w:pPr>
    <w:r>
      <w:rPr>
        <w:rFonts w:ascii="宋体" w:hAnsi="宋体" w:eastAsia="宋体" w:cs="宋体"/>
        <w:spacing w:val="-3"/>
        <w:sz w:val="20"/>
        <w:szCs w:val="20"/>
      </w:rPr>
      <w:t>52</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B0F37">
    <w:pPr>
      <w:spacing w:line="173" w:lineRule="auto"/>
      <w:ind w:left="7314"/>
      <w:rPr>
        <w:rFonts w:ascii="宋体" w:hAnsi="宋体" w:eastAsia="宋体" w:cs="宋体"/>
        <w:sz w:val="20"/>
        <w:szCs w:val="20"/>
      </w:rPr>
    </w:pPr>
    <w:r>
      <w:rPr>
        <w:rFonts w:ascii="宋体" w:hAnsi="宋体" w:eastAsia="宋体" w:cs="宋体"/>
        <w:spacing w:val="-3"/>
        <w:sz w:val="20"/>
        <w:szCs w:val="20"/>
      </w:rPr>
      <w:t>53</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8C452">
    <w:pPr>
      <w:spacing w:line="173" w:lineRule="auto"/>
      <w:ind w:left="7314"/>
      <w:rPr>
        <w:rFonts w:ascii="宋体" w:hAnsi="宋体" w:eastAsia="宋体" w:cs="宋体"/>
        <w:sz w:val="20"/>
        <w:szCs w:val="20"/>
      </w:rPr>
    </w:pPr>
    <w:r>
      <w:rPr>
        <w:rFonts w:ascii="宋体" w:hAnsi="宋体" w:eastAsia="宋体" w:cs="宋体"/>
        <w:spacing w:val="-3"/>
        <w:sz w:val="20"/>
        <w:szCs w:val="20"/>
      </w:rPr>
      <w:t>54</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CFE09">
    <w:pPr>
      <w:spacing w:line="172" w:lineRule="auto"/>
      <w:ind w:left="7314"/>
      <w:rPr>
        <w:rFonts w:ascii="宋体" w:hAnsi="宋体" w:eastAsia="宋体" w:cs="宋体"/>
        <w:sz w:val="20"/>
        <w:szCs w:val="20"/>
      </w:rPr>
    </w:pPr>
    <w:r>
      <w:rPr>
        <w:rFonts w:ascii="宋体" w:hAnsi="宋体" w:eastAsia="宋体" w:cs="宋体"/>
        <w:spacing w:val="-3"/>
        <w:sz w:val="20"/>
        <w:szCs w:val="20"/>
      </w:rPr>
      <w:t>55</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3B207">
    <w:pPr>
      <w:spacing w:line="173" w:lineRule="auto"/>
      <w:ind w:left="7314"/>
      <w:rPr>
        <w:rFonts w:ascii="宋体" w:hAnsi="宋体" w:eastAsia="宋体" w:cs="宋体"/>
        <w:sz w:val="20"/>
        <w:szCs w:val="20"/>
      </w:rPr>
    </w:pPr>
    <w:r>
      <w:rPr>
        <w:rFonts w:ascii="宋体" w:hAnsi="宋体" w:eastAsia="宋体" w:cs="宋体"/>
        <w:spacing w:val="-3"/>
        <w:sz w:val="20"/>
        <w:szCs w:val="20"/>
      </w:rPr>
      <w:t>56</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B5103">
    <w:pPr>
      <w:spacing w:line="172" w:lineRule="auto"/>
      <w:ind w:left="7314"/>
      <w:rPr>
        <w:rFonts w:ascii="宋体" w:hAnsi="宋体" w:eastAsia="宋体" w:cs="宋体"/>
        <w:sz w:val="20"/>
        <w:szCs w:val="20"/>
      </w:rPr>
    </w:pPr>
    <w:r>
      <w:rPr>
        <w:rFonts w:ascii="宋体" w:hAnsi="宋体" w:eastAsia="宋体" w:cs="宋体"/>
        <w:spacing w:val="-3"/>
        <w:sz w:val="20"/>
        <w:szCs w:val="20"/>
      </w:rPr>
      <w:t>57</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27160">
    <w:pPr>
      <w:spacing w:line="173" w:lineRule="auto"/>
      <w:ind w:left="7314"/>
      <w:rPr>
        <w:rFonts w:ascii="宋体" w:hAnsi="宋体" w:eastAsia="宋体" w:cs="宋体"/>
        <w:sz w:val="20"/>
        <w:szCs w:val="20"/>
      </w:rPr>
    </w:pPr>
    <w:r>
      <w:rPr>
        <w:rFonts w:ascii="宋体" w:hAnsi="宋体" w:eastAsia="宋体" w:cs="宋体"/>
        <w:spacing w:val="-3"/>
        <w:sz w:val="20"/>
        <w:szCs w:val="20"/>
      </w:rPr>
      <w:t>58</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D359A">
    <w:pPr>
      <w:spacing w:line="173" w:lineRule="auto"/>
      <w:ind w:left="7314"/>
      <w:rPr>
        <w:rFonts w:ascii="宋体" w:hAnsi="宋体" w:eastAsia="宋体" w:cs="宋体"/>
        <w:sz w:val="20"/>
        <w:szCs w:val="20"/>
      </w:rPr>
    </w:pPr>
    <w:r>
      <w:rPr>
        <w:rFonts w:ascii="宋体" w:hAnsi="宋体" w:eastAsia="宋体" w:cs="宋体"/>
        <w:spacing w:val="-3"/>
        <w:sz w:val="20"/>
        <w:szCs w:val="20"/>
      </w:rPr>
      <w:t>59</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815E1">
    <w:pPr>
      <w:spacing w:line="173" w:lineRule="auto"/>
      <w:ind w:left="7311"/>
      <w:rPr>
        <w:rFonts w:ascii="宋体" w:hAnsi="宋体" w:eastAsia="宋体" w:cs="宋体"/>
        <w:sz w:val="20"/>
        <w:szCs w:val="20"/>
      </w:rPr>
    </w:pPr>
    <w:r>
      <w:rPr>
        <w:rFonts w:ascii="宋体" w:hAnsi="宋体" w:eastAsia="宋体" w:cs="宋体"/>
        <w:spacing w:val="-3"/>
        <w:sz w:val="20"/>
        <w:szCs w:val="20"/>
      </w:rPr>
      <w:t>60</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AD0DD">
    <w:pPr>
      <w:spacing w:line="174" w:lineRule="auto"/>
      <w:ind w:left="7311"/>
      <w:rPr>
        <w:rFonts w:ascii="宋体" w:hAnsi="宋体" w:eastAsia="宋体" w:cs="宋体"/>
        <w:sz w:val="20"/>
        <w:szCs w:val="20"/>
      </w:rPr>
    </w:pPr>
    <w:r>
      <w:rPr>
        <w:rFonts w:ascii="宋体" w:hAnsi="宋体" w:eastAsia="宋体" w:cs="宋体"/>
        <w:spacing w:val="-3"/>
        <w:sz w:val="20"/>
        <w:szCs w:val="20"/>
      </w:rPr>
      <w:t>61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7C262">
    <w:pPr>
      <w:spacing w:line="173" w:lineRule="auto"/>
      <w:ind w:left="7244"/>
      <w:rPr>
        <w:rFonts w:ascii="宋体" w:hAnsi="宋体" w:eastAsia="宋体" w:cs="宋体"/>
        <w:sz w:val="20"/>
        <w:szCs w:val="20"/>
      </w:rPr>
    </w:pPr>
    <w:r>
      <w:rPr>
        <w:rFonts w:ascii="宋体" w:hAnsi="宋体" w:eastAsia="宋体" w:cs="宋体"/>
        <w:sz w:val="20"/>
        <w:szCs w:val="20"/>
      </w:rPr>
      <w:t>6</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BC8C0">
    <w:pPr>
      <w:spacing w:line="173" w:lineRule="auto"/>
      <w:ind w:left="7311"/>
      <w:rPr>
        <w:rFonts w:ascii="宋体" w:hAnsi="宋体" w:eastAsia="宋体" w:cs="宋体"/>
        <w:sz w:val="20"/>
        <w:szCs w:val="20"/>
      </w:rPr>
    </w:pPr>
    <w:r>
      <w:rPr>
        <w:rFonts w:ascii="宋体" w:hAnsi="宋体" w:eastAsia="宋体" w:cs="宋体"/>
        <w:spacing w:val="-3"/>
        <w:sz w:val="20"/>
        <w:szCs w:val="20"/>
      </w:rPr>
      <w:t>62</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57436">
    <w:pPr>
      <w:spacing w:line="173" w:lineRule="auto"/>
      <w:ind w:left="7311"/>
      <w:rPr>
        <w:rFonts w:ascii="宋体" w:hAnsi="宋体" w:eastAsia="宋体" w:cs="宋体"/>
        <w:sz w:val="20"/>
        <w:szCs w:val="20"/>
      </w:rPr>
    </w:pPr>
    <w:r>
      <w:rPr>
        <w:rFonts w:ascii="宋体" w:hAnsi="宋体" w:eastAsia="宋体" w:cs="宋体"/>
        <w:spacing w:val="-3"/>
        <w:sz w:val="20"/>
        <w:szCs w:val="20"/>
      </w:rPr>
      <w:t>63</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4336">
    <w:pPr>
      <w:spacing w:line="173" w:lineRule="auto"/>
      <w:ind w:left="7311"/>
      <w:rPr>
        <w:rFonts w:ascii="宋体" w:hAnsi="宋体" w:eastAsia="宋体" w:cs="宋体"/>
        <w:sz w:val="20"/>
        <w:szCs w:val="20"/>
      </w:rPr>
    </w:pPr>
    <w:r>
      <w:rPr>
        <w:rFonts w:ascii="宋体" w:hAnsi="宋体" w:eastAsia="宋体" w:cs="宋体"/>
        <w:spacing w:val="-3"/>
        <w:sz w:val="20"/>
        <w:szCs w:val="20"/>
      </w:rPr>
      <w:t>64</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12A18">
    <w:pPr>
      <w:spacing w:line="173" w:lineRule="auto"/>
      <w:ind w:left="7311"/>
      <w:rPr>
        <w:rFonts w:ascii="宋体" w:hAnsi="宋体" w:eastAsia="宋体" w:cs="宋体"/>
        <w:sz w:val="20"/>
        <w:szCs w:val="20"/>
      </w:rPr>
    </w:pPr>
    <w:r>
      <w:rPr>
        <w:rFonts w:ascii="宋体" w:hAnsi="宋体" w:eastAsia="宋体" w:cs="宋体"/>
        <w:spacing w:val="-3"/>
        <w:sz w:val="20"/>
        <w:szCs w:val="20"/>
      </w:rPr>
      <w:t>65</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EAA9E">
    <w:pPr>
      <w:spacing w:line="173" w:lineRule="auto"/>
      <w:ind w:left="7311"/>
      <w:rPr>
        <w:rFonts w:ascii="宋体" w:hAnsi="宋体" w:eastAsia="宋体" w:cs="宋体"/>
        <w:sz w:val="20"/>
        <w:szCs w:val="20"/>
      </w:rPr>
    </w:pPr>
    <w:r>
      <w:rPr>
        <w:rFonts w:ascii="宋体" w:hAnsi="宋体" w:eastAsia="宋体" w:cs="宋体"/>
        <w:spacing w:val="-3"/>
        <w:sz w:val="20"/>
        <w:szCs w:val="20"/>
      </w:rPr>
      <w:t>66</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A94B">
    <w:pPr>
      <w:spacing w:line="173" w:lineRule="auto"/>
      <w:ind w:left="7311"/>
      <w:rPr>
        <w:rFonts w:ascii="宋体" w:hAnsi="宋体" w:eastAsia="宋体" w:cs="宋体"/>
        <w:sz w:val="20"/>
        <w:szCs w:val="20"/>
      </w:rPr>
    </w:pPr>
    <w:r>
      <w:rPr>
        <w:rFonts w:ascii="宋体" w:hAnsi="宋体" w:eastAsia="宋体" w:cs="宋体"/>
        <w:spacing w:val="-3"/>
        <w:sz w:val="20"/>
        <w:szCs w:val="20"/>
      </w:rPr>
      <w:t>67</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6CBC">
    <w:pPr>
      <w:spacing w:line="173" w:lineRule="auto"/>
      <w:ind w:left="7311"/>
      <w:rPr>
        <w:rFonts w:ascii="宋体" w:hAnsi="宋体" w:eastAsia="宋体" w:cs="宋体"/>
        <w:sz w:val="20"/>
        <w:szCs w:val="20"/>
      </w:rPr>
    </w:pPr>
    <w:r>
      <w:rPr>
        <w:rFonts w:ascii="宋体" w:hAnsi="宋体" w:eastAsia="宋体" w:cs="宋体"/>
        <w:spacing w:val="-3"/>
        <w:sz w:val="20"/>
        <w:szCs w:val="20"/>
      </w:rPr>
      <w:t>68</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76959">
    <w:pPr>
      <w:spacing w:line="173" w:lineRule="auto"/>
      <w:ind w:left="7311"/>
      <w:rPr>
        <w:rFonts w:ascii="宋体" w:hAnsi="宋体" w:eastAsia="宋体" w:cs="宋体"/>
        <w:sz w:val="20"/>
        <w:szCs w:val="20"/>
      </w:rPr>
    </w:pPr>
    <w:r>
      <w:rPr>
        <w:rFonts w:ascii="宋体" w:hAnsi="宋体" w:eastAsia="宋体" w:cs="宋体"/>
        <w:spacing w:val="-3"/>
        <w:sz w:val="20"/>
        <w:szCs w:val="20"/>
      </w:rPr>
      <w:t>69</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1384">
    <w:pPr>
      <w:spacing w:line="173" w:lineRule="auto"/>
      <w:ind w:left="7392"/>
      <w:rPr>
        <w:rFonts w:ascii="宋体" w:hAnsi="宋体" w:eastAsia="宋体" w:cs="宋体"/>
        <w:sz w:val="20"/>
        <w:szCs w:val="20"/>
      </w:rPr>
    </w:pPr>
    <w:r>
      <w:rPr>
        <w:rFonts w:ascii="宋体" w:hAnsi="宋体" w:eastAsia="宋体" w:cs="宋体"/>
        <w:spacing w:val="-4"/>
        <w:sz w:val="20"/>
        <w:szCs w:val="20"/>
      </w:rPr>
      <w:t>70</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65D4F">
    <w:pPr>
      <w:spacing w:line="174" w:lineRule="auto"/>
      <w:ind w:left="7392"/>
      <w:rPr>
        <w:rFonts w:ascii="宋体" w:hAnsi="宋体" w:eastAsia="宋体" w:cs="宋体"/>
        <w:sz w:val="20"/>
        <w:szCs w:val="20"/>
      </w:rPr>
    </w:pPr>
    <w:r>
      <w:rPr>
        <w:rFonts w:ascii="宋体" w:hAnsi="宋体" w:eastAsia="宋体" w:cs="宋体"/>
        <w:spacing w:val="-4"/>
        <w:sz w:val="20"/>
        <w:szCs w:val="20"/>
      </w:rPr>
      <w:t>71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6DE0B">
    <w:pPr>
      <w:spacing w:line="173" w:lineRule="auto"/>
      <w:ind w:left="7243"/>
      <w:rPr>
        <w:rFonts w:ascii="宋体" w:hAnsi="宋体" w:eastAsia="宋体" w:cs="宋体"/>
        <w:sz w:val="20"/>
        <w:szCs w:val="20"/>
      </w:rPr>
    </w:pPr>
    <w:r>
      <w:rPr>
        <w:rFonts w:ascii="宋体" w:hAnsi="宋体" w:eastAsia="宋体" w:cs="宋体"/>
        <w:sz w:val="20"/>
        <w:szCs w:val="20"/>
      </w:rPr>
      <w:t>8</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E214">
    <w:pPr>
      <w:spacing w:line="173" w:lineRule="auto"/>
      <w:ind w:left="7392"/>
      <w:rPr>
        <w:rFonts w:ascii="宋体" w:hAnsi="宋体" w:eastAsia="宋体" w:cs="宋体"/>
        <w:sz w:val="20"/>
        <w:szCs w:val="20"/>
      </w:rPr>
    </w:pPr>
    <w:r>
      <w:rPr>
        <w:rFonts w:ascii="宋体" w:hAnsi="宋体" w:eastAsia="宋体" w:cs="宋体"/>
        <w:spacing w:val="-4"/>
        <w:sz w:val="20"/>
        <w:szCs w:val="20"/>
      </w:rPr>
      <w:t>72</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30EC7">
    <w:pPr>
      <w:spacing w:line="173" w:lineRule="auto"/>
      <w:ind w:left="7392"/>
      <w:rPr>
        <w:rFonts w:ascii="宋体" w:hAnsi="宋体" w:eastAsia="宋体" w:cs="宋体"/>
        <w:sz w:val="20"/>
        <w:szCs w:val="20"/>
      </w:rPr>
    </w:pPr>
    <w:r>
      <w:rPr>
        <w:rFonts w:ascii="宋体" w:hAnsi="宋体" w:eastAsia="宋体" w:cs="宋体"/>
        <w:spacing w:val="-4"/>
        <w:sz w:val="20"/>
        <w:szCs w:val="20"/>
      </w:rPr>
      <w:t>73</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B39D7">
    <w:pPr>
      <w:spacing w:line="173" w:lineRule="auto"/>
      <w:ind w:left="7392"/>
      <w:rPr>
        <w:rFonts w:ascii="宋体" w:hAnsi="宋体" w:eastAsia="宋体" w:cs="宋体"/>
        <w:sz w:val="20"/>
        <w:szCs w:val="20"/>
      </w:rPr>
    </w:pPr>
    <w:r>
      <w:rPr>
        <w:rFonts w:ascii="宋体" w:hAnsi="宋体" w:eastAsia="宋体" w:cs="宋体"/>
        <w:spacing w:val="-4"/>
        <w:sz w:val="20"/>
        <w:szCs w:val="20"/>
      </w:rPr>
      <w:t>74</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3D66">
    <w:pPr>
      <w:spacing w:line="172" w:lineRule="auto"/>
      <w:ind w:left="7392"/>
      <w:rPr>
        <w:rFonts w:ascii="宋体" w:hAnsi="宋体" w:eastAsia="宋体" w:cs="宋体"/>
        <w:sz w:val="20"/>
        <w:szCs w:val="20"/>
      </w:rPr>
    </w:pPr>
    <w:r>
      <w:rPr>
        <w:rFonts w:ascii="宋体" w:hAnsi="宋体" w:eastAsia="宋体" w:cs="宋体"/>
        <w:spacing w:val="-4"/>
        <w:sz w:val="20"/>
        <w:szCs w:val="20"/>
      </w:rPr>
      <w:t>75</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C81AF">
    <w:pPr>
      <w:spacing w:line="173" w:lineRule="auto"/>
      <w:ind w:left="7392"/>
      <w:rPr>
        <w:rFonts w:ascii="宋体" w:hAnsi="宋体" w:eastAsia="宋体" w:cs="宋体"/>
        <w:sz w:val="20"/>
        <w:szCs w:val="20"/>
      </w:rPr>
    </w:pPr>
    <w:r>
      <w:rPr>
        <w:rFonts w:ascii="宋体" w:hAnsi="宋体" w:eastAsia="宋体" w:cs="宋体"/>
        <w:spacing w:val="-4"/>
        <w:sz w:val="20"/>
        <w:szCs w:val="20"/>
      </w:rPr>
      <w:t>76</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0AA38">
    <w:pPr>
      <w:spacing w:line="172" w:lineRule="auto"/>
      <w:ind w:left="7392"/>
      <w:rPr>
        <w:rFonts w:ascii="宋体" w:hAnsi="宋体" w:eastAsia="宋体" w:cs="宋体"/>
        <w:sz w:val="20"/>
        <w:szCs w:val="20"/>
      </w:rPr>
    </w:pPr>
    <w:r>
      <w:rPr>
        <w:rFonts w:ascii="宋体" w:hAnsi="宋体" w:eastAsia="宋体" w:cs="宋体"/>
        <w:spacing w:val="-4"/>
        <w:sz w:val="20"/>
        <w:szCs w:val="20"/>
      </w:rPr>
      <w:t>77</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720E8">
    <w:pPr>
      <w:spacing w:line="173" w:lineRule="auto"/>
      <w:ind w:left="7392"/>
      <w:rPr>
        <w:rFonts w:ascii="宋体" w:hAnsi="宋体" w:eastAsia="宋体" w:cs="宋体"/>
        <w:sz w:val="20"/>
        <w:szCs w:val="20"/>
      </w:rPr>
    </w:pPr>
    <w:r>
      <w:rPr>
        <w:rFonts w:ascii="宋体" w:hAnsi="宋体" w:eastAsia="宋体" w:cs="宋体"/>
        <w:spacing w:val="-4"/>
        <w:sz w:val="20"/>
        <w:szCs w:val="20"/>
      </w:rPr>
      <w:t>79</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2F3A9">
    <w:pPr>
      <w:spacing w:line="173" w:lineRule="auto"/>
      <w:ind w:left="7388"/>
      <w:rPr>
        <w:rFonts w:ascii="宋体" w:hAnsi="宋体" w:eastAsia="宋体" w:cs="宋体"/>
        <w:sz w:val="20"/>
        <w:szCs w:val="20"/>
      </w:rPr>
    </w:pPr>
    <w:r>
      <w:rPr>
        <w:rFonts w:ascii="宋体" w:hAnsi="宋体" w:eastAsia="宋体" w:cs="宋体"/>
        <w:spacing w:val="-3"/>
        <w:sz w:val="20"/>
        <w:szCs w:val="20"/>
      </w:rPr>
      <w:t>80</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9EBE9">
    <w:pPr>
      <w:spacing w:line="174" w:lineRule="auto"/>
      <w:ind w:left="7388"/>
      <w:rPr>
        <w:rFonts w:ascii="宋体" w:hAnsi="宋体" w:eastAsia="宋体" w:cs="宋体"/>
        <w:sz w:val="20"/>
        <w:szCs w:val="20"/>
      </w:rPr>
    </w:pPr>
    <w:r>
      <w:rPr>
        <w:rFonts w:ascii="宋体" w:hAnsi="宋体" w:eastAsia="宋体" w:cs="宋体"/>
        <w:spacing w:val="-3"/>
        <w:sz w:val="20"/>
        <w:szCs w:val="20"/>
      </w:rPr>
      <w:t>81</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36767">
    <w:pPr>
      <w:spacing w:line="173" w:lineRule="auto"/>
      <w:ind w:left="7388"/>
      <w:rPr>
        <w:rFonts w:ascii="宋体" w:hAnsi="宋体" w:eastAsia="宋体" w:cs="宋体"/>
        <w:sz w:val="20"/>
        <w:szCs w:val="20"/>
      </w:rPr>
    </w:pPr>
    <w:r>
      <w:rPr>
        <w:rFonts w:ascii="宋体" w:hAnsi="宋体" w:eastAsia="宋体" w:cs="宋体"/>
        <w:spacing w:val="-3"/>
        <w:sz w:val="20"/>
        <w:szCs w:val="20"/>
      </w:rPr>
      <w:t>82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C46A5">
    <w:pPr>
      <w:spacing w:line="173" w:lineRule="auto"/>
      <w:ind w:left="7243"/>
      <w:rPr>
        <w:rFonts w:ascii="宋体" w:hAnsi="宋体" w:eastAsia="宋体" w:cs="宋体"/>
        <w:sz w:val="20"/>
        <w:szCs w:val="20"/>
      </w:rPr>
    </w:pPr>
    <w:r>
      <w:rPr>
        <w:rFonts w:ascii="宋体" w:hAnsi="宋体" w:eastAsia="宋体" w:cs="宋体"/>
        <w:sz w:val="20"/>
        <w:szCs w:val="20"/>
      </w:rPr>
      <w:t>9</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45152">
    <w:pPr>
      <w:spacing w:line="173" w:lineRule="auto"/>
      <w:ind w:left="7388"/>
      <w:rPr>
        <w:rFonts w:ascii="宋体" w:hAnsi="宋体" w:eastAsia="宋体" w:cs="宋体"/>
        <w:sz w:val="20"/>
        <w:szCs w:val="20"/>
      </w:rPr>
    </w:pPr>
    <w:r>
      <w:rPr>
        <w:rFonts w:ascii="宋体" w:hAnsi="宋体" w:eastAsia="宋体" w:cs="宋体"/>
        <w:spacing w:val="-3"/>
        <w:sz w:val="20"/>
        <w:szCs w:val="20"/>
      </w:rPr>
      <w:t>84</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2FBAE">
    <w:pPr>
      <w:spacing w:line="173" w:lineRule="auto"/>
      <w:ind w:left="7388"/>
      <w:rPr>
        <w:rFonts w:ascii="宋体" w:hAnsi="宋体" w:eastAsia="宋体" w:cs="宋体"/>
        <w:sz w:val="20"/>
        <w:szCs w:val="20"/>
      </w:rPr>
    </w:pPr>
    <w:r>
      <w:rPr>
        <w:rFonts w:ascii="宋体" w:hAnsi="宋体" w:eastAsia="宋体" w:cs="宋体"/>
        <w:spacing w:val="-3"/>
        <w:sz w:val="20"/>
        <w:szCs w:val="20"/>
      </w:rPr>
      <w:t>85</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9C9D1">
    <w:pPr>
      <w:spacing w:line="173" w:lineRule="auto"/>
      <w:ind w:left="7306"/>
      <w:rPr>
        <w:rFonts w:ascii="宋体" w:hAnsi="宋体" w:eastAsia="宋体" w:cs="宋体"/>
        <w:sz w:val="20"/>
        <w:szCs w:val="20"/>
      </w:rPr>
    </w:pPr>
    <w:r>
      <w:rPr>
        <w:rFonts w:ascii="宋体" w:hAnsi="宋体" w:eastAsia="宋体" w:cs="宋体"/>
        <w:spacing w:val="-3"/>
        <w:sz w:val="20"/>
        <w:szCs w:val="20"/>
      </w:rPr>
      <w:t>86</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40B0E">
    <w:pPr>
      <w:spacing w:line="173" w:lineRule="auto"/>
      <w:ind w:left="7306"/>
      <w:rPr>
        <w:rFonts w:ascii="宋体" w:hAnsi="宋体" w:eastAsia="宋体" w:cs="宋体"/>
        <w:sz w:val="20"/>
        <w:szCs w:val="20"/>
      </w:rPr>
    </w:pPr>
    <w:r>
      <w:rPr>
        <w:rFonts w:ascii="宋体" w:hAnsi="宋体" w:eastAsia="宋体" w:cs="宋体"/>
        <w:spacing w:val="-3"/>
        <w:sz w:val="20"/>
        <w:szCs w:val="20"/>
      </w:rPr>
      <w:t>87</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5B2B2">
    <w:pPr>
      <w:spacing w:line="173" w:lineRule="auto"/>
      <w:ind w:left="7306"/>
      <w:rPr>
        <w:rFonts w:ascii="宋体" w:hAnsi="宋体" w:eastAsia="宋体" w:cs="宋体"/>
        <w:sz w:val="20"/>
        <w:szCs w:val="20"/>
      </w:rPr>
    </w:pPr>
    <w:r>
      <w:rPr>
        <w:rFonts w:ascii="宋体" w:hAnsi="宋体" w:eastAsia="宋体" w:cs="宋体"/>
        <w:spacing w:val="-3"/>
        <w:sz w:val="20"/>
        <w:szCs w:val="20"/>
      </w:rPr>
      <w:t>88</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4A18C">
    <w:pPr>
      <w:spacing w:line="173" w:lineRule="auto"/>
      <w:ind w:left="7306"/>
      <w:rPr>
        <w:rFonts w:ascii="宋体" w:hAnsi="宋体" w:eastAsia="宋体" w:cs="宋体"/>
        <w:sz w:val="20"/>
        <w:szCs w:val="20"/>
      </w:rPr>
    </w:pPr>
    <w:r>
      <w:rPr>
        <w:rFonts w:ascii="宋体" w:hAnsi="宋体" w:eastAsia="宋体" w:cs="宋体"/>
        <w:spacing w:val="-3"/>
        <w:sz w:val="20"/>
        <w:szCs w:val="20"/>
      </w:rPr>
      <w:t>89</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5B09E">
    <w:pPr>
      <w:spacing w:line="173" w:lineRule="auto"/>
      <w:ind w:left="7306"/>
      <w:rPr>
        <w:rFonts w:ascii="宋体" w:hAnsi="宋体" w:eastAsia="宋体" w:cs="宋体"/>
        <w:sz w:val="20"/>
        <w:szCs w:val="20"/>
      </w:rPr>
    </w:pPr>
    <w:r>
      <w:rPr>
        <w:rFonts w:ascii="宋体" w:hAnsi="宋体" w:eastAsia="宋体" w:cs="宋体"/>
        <w:spacing w:val="-3"/>
        <w:sz w:val="20"/>
        <w:szCs w:val="20"/>
      </w:rPr>
      <w:t>90</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9084">
    <w:pPr>
      <w:spacing w:line="174" w:lineRule="auto"/>
      <w:ind w:left="7306"/>
      <w:rPr>
        <w:rFonts w:ascii="宋体" w:hAnsi="宋体" w:eastAsia="宋体" w:cs="宋体"/>
        <w:sz w:val="20"/>
        <w:szCs w:val="20"/>
      </w:rPr>
    </w:pPr>
    <w:r>
      <w:rPr>
        <w:rFonts w:ascii="宋体" w:hAnsi="宋体" w:eastAsia="宋体" w:cs="宋体"/>
        <w:spacing w:val="-3"/>
        <w:sz w:val="20"/>
        <w:szCs w:val="20"/>
      </w:rPr>
      <w:t>91</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034AC">
    <w:pPr>
      <w:spacing w:line="173" w:lineRule="auto"/>
      <w:ind w:left="7306"/>
      <w:rPr>
        <w:rFonts w:ascii="宋体" w:hAnsi="宋体" w:eastAsia="宋体" w:cs="宋体"/>
        <w:sz w:val="20"/>
        <w:szCs w:val="20"/>
      </w:rPr>
    </w:pPr>
    <w:r>
      <w:rPr>
        <w:rFonts w:ascii="宋体" w:hAnsi="宋体" w:eastAsia="宋体" w:cs="宋体"/>
        <w:spacing w:val="-3"/>
        <w:sz w:val="20"/>
        <w:szCs w:val="20"/>
      </w:rPr>
      <w:t>92</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756B">
    <w:pPr>
      <w:spacing w:line="173" w:lineRule="auto"/>
      <w:ind w:left="7306"/>
      <w:rPr>
        <w:rFonts w:ascii="宋体" w:hAnsi="宋体" w:eastAsia="宋体" w:cs="宋体"/>
        <w:sz w:val="20"/>
        <w:szCs w:val="20"/>
      </w:rPr>
    </w:pPr>
    <w:r>
      <w:rPr>
        <w:rFonts w:ascii="宋体" w:hAnsi="宋体" w:eastAsia="宋体" w:cs="宋体"/>
        <w:spacing w:val="-3"/>
        <w:sz w:val="20"/>
        <w:szCs w:val="20"/>
      </w:rPr>
      <w:t>93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F53F8">
    <w:pPr>
      <w:spacing w:line="174" w:lineRule="auto"/>
      <w:ind w:left="7207"/>
      <w:rPr>
        <w:rFonts w:ascii="宋体" w:hAnsi="宋体" w:eastAsia="宋体" w:cs="宋体"/>
        <w:sz w:val="20"/>
        <w:szCs w:val="20"/>
      </w:rPr>
    </w:pPr>
    <w:r>
      <w:rPr>
        <w:rFonts w:ascii="宋体" w:hAnsi="宋体" w:eastAsia="宋体" w:cs="宋体"/>
        <w:spacing w:val="-6"/>
        <w:sz w:val="20"/>
        <w:szCs w:val="20"/>
      </w:rPr>
      <w:t>11</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F6769">
    <w:pPr>
      <w:spacing w:line="173" w:lineRule="auto"/>
      <w:ind w:left="7306"/>
      <w:rPr>
        <w:rFonts w:ascii="宋体" w:hAnsi="宋体" w:eastAsia="宋体" w:cs="宋体"/>
        <w:sz w:val="20"/>
        <w:szCs w:val="20"/>
      </w:rPr>
    </w:pPr>
    <w:r>
      <w:rPr>
        <w:rFonts w:ascii="宋体" w:hAnsi="宋体" w:eastAsia="宋体" w:cs="宋体"/>
        <w:spacing w:val="-3"/>
        <w:sz w:val="20"/>
        <w:szCs w:val="20"/>
      </w:rPr>
      <w:t>94</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D5776">
    <w:pPr>
      <w:spacing w:line="173" w:lineRule="auto"/>
      <w:ind w:left="7306"/>
      <w:rPr>
        <w:rFonts w:ascii="宋体" w:hAnsi="宋体" w:eastAsia="宋体" w:cs="宋体"/>
        <w:sz w:val="20"/>
        <w:szCs w:val="20"/>
      </w:rPr>
    </w:pPr>
    <w:r>
      <w:rPr>
        <w:rFonts w:ascii="宋体" w:hAnsi="宋体" w:eastAsia="宋体" w:cs="宋体"/>
        <w:spacing w:val="-3"/>
        <w:sz w:val="20"/>
        <w:szCs w:val="20"/>
      </w:rPr>
      <w:t>95</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7F39">
    <w:pPr>
      <w:spacing w:line="173" w:lineRule="auto"/>
      <w:ind w:left="7306"/>
      <w:rPr>
        <w:rFonts w:ascii="宋体" w:hAnsi="宋体" w:eastAsia="宋体" w:cs="宋体"/>
        <w:sz w:val="20"/>
        <w:szCs w:val="20"/>
      </w:rPr>
    </w:pPr>
    <w:r>
      <w:rPr>
        <w:rFonts w:ascii="宋体" w:hAnsi="宋体" w:eastAsia="宋体" w:cs="宋体"/>
        <w:spacing w:val="-3"/>
        <w:sz w:val="20"/>
        <w:szCs w:val="20"/>
      </w:rPr>
      <w:t>96</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AAE9B">
    <w:pPr>
      <w:spacing w:line="173" w:lineRule="auto"/>
      <w:ind w:left="7306"/>
      <w:rPr>
        <w:rFonts w:ascii="宋体" w:hAnsi="宋体" w:eastAsia="宋体" w:cs="宋体"/>
        <w:sz w:val="20"/>
        <w:szCs w:val="20"/>
      </w:rPr>
    </w:pPr>
    <w:r>
      <w:rPr>
        <w:rFonts w:ascii="宋体" w:hAnsi="宋体" w:eastAsia="宋体" w:cs="宋体"/>
        <w:spacing w:val="-3"/>
        <w:sz w:val="20"/>
        <w:szCs w:val="20"/>
      </w:rPr>
      <w:t>97</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1FADB">
    <w:pPr>
      <w:spacing w:line="173" w:lineRule="auto"/>
      <w:ind w:left="7306"/>
      <w:rPr>
        <w:rFonts w:ascii="宋体" w:hAnsi="宋体" w:eastAsia="宋体" w:cs="宋体"/>
        <w:sz w:val="20"/>
        <w:szCs w:val="20"/>
      </w:rPr>
    </w:pPr>
    <w:r>
      <w:rPr>
        <w:rFonts w:ascii="宋体" w:hAnsi="宋体" w:eastAsia="宋体" w:cs="宋体"/>
        <w:spacing w:val="-3"/>
        <w:sz w:val="20"/>
        <w:szCs w:val="20"/>
      </w:rPr>
      <w:t>98</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CEB6B">
    <w:pPr>
      <w:spacing w:line="173" w:lineRule="auto"/>
      <w:ind w:left="7306"/>
      <w:rPr>
        <w:rFonts w:ascii="宋体" w:hAnsi="宋体" w:eastAsia="宋体" w:cs="宋体"/>
        <w:sz w:val="20"/>
        <w:szCs w:val="20"/>
      </w:rPr>
    </w:pPr>
    <w:r>
      <w:rPr>
        <w:rFonts w:ascii="宋体" w:hAnsi="宋体" w:eastAsia="宋体" w:cs="宋体"/>
        <w:spacing w:val="-3"/>
        <w:sz w:val="20"/>
        <w:szCs w:val="20"/>
      </w:rPr>
      <w:t>99</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2AEDF">
    <w:pPr>
      <w:spacing w:line="174" w:lineRule="auto"/>
      <w:ind w:left="7270"/>
      <w:rPr>
        <w:rFonts w:ascii="宋体" w:hAnsi="宋体" w:eastAsia="宋体" w:cs="宋体"/>
        <w:sz w:val="20"/>
        <w:szCs w:val="20"/>
      </w:rPr>
    </w:pPr>
    <w:r>
      <w:rPr>
        <w:rFonts w:ascii="宋体" w:hAnsi="宋体" w:eastAsia="宋体" w:cs="宋体"/>
        <w:spacing w:val="-6"/>
        <w:sz w:val="20"/>
        <w:szCs w:val="20"/>
      </w:rPr>
      <w:t>100</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7882F">
    <w:pPr>
      <w:spacing w:line="174" w:lineRule="auto"/>
      <w:ind w:left="7270"/>
      <w:rPr>
        <w:rFonts w:ascii="宋体" w:hAnsi="宋体" w:eastAsia="宋体" w:cs="宋体"/>
        <w:sz w:val="20"/>
        <w:szCs w:val="20"/>
      </w:rPr>
    </w:pPr>
    <w:r>
      <w:rPr>
        <w:rFonts w:ascii="宋体" w:hAnsi="宋体" w:eastAsia="宋体" w:cs="宋体"/>
        <w:spacing w:val="-6"/>
        <w:sz w:val="20"/>
        <w:szCs w:val="20"/>
      </w:rPr>
      <w:t>101</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34E45">
    <w:pPr>
      <w:spacing w:line="174" w:lineRule="auto"/>
      <w:ind w:left="7270"/>
      <w:rPr>
        <w:rFonts w:ascii="宋体" w:hAnsi="宋体" w:eastAsia="宋体" w:cs="宋体"/>
        <w:sz w:val="20"/>
        <w:szCs w:val="20"/>
      </w:rPr>
    </w:pPr>
    <w:r>
      <w:rPr>
        <w:rFonts w:ascii="宋体" w:hAnsi="宋体" w:eastAsia="宋体" w:cs="宋体"/>
        <w:spacing w:val="-6"/>
        <w:sz w:val="20"/>
        <w:szCs w:val="20"/>
      </w:rPr>
      <w:t>102</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ED31B">
    <w:pPr>
      <w:spacing w:line="174" w:lineRule="auto"/>
      <w:ind w:left="7270"/>
      <w:rPr>
        <w:rFonts w:ascii="宋体" w:hAnsi="宋体" w:eastAsia="宋体" w:cs="宋体"/>
        <w:sz w:val="20"/>
        <w:szCs w:val="20"/>
      </w:rPr>
    </w:pPr>
    <w:r>
      <w:rPr>
        <w:rFonts w:ascii="宋体" w:hAnsi="宋体" w:eastAsia="宋体" w:cs="宋体"/>
        <w:spacing w:val="-6"/>
        <w:sz w:val="20"/>
        <w:szCs w:val="20"/>
      </w:rPr>
      <w:t>103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7FC62">
    <w:pPr>
      <w:spacing w:line="174" w:lineRule="auto"/>
      <w:ind w:left="7207"/>
      <w:rPr>
        <w:rFonts w:ascii="宋体" w:hAnsi="宋体" w:eastAsia="宋体" w:cs="宋体"/>
        <w:sz w:val="20"/>
        <w:szCs w:val="20"/>
      </w:rPr>
    </w:pPr>
    <w:r>
      <w:rPr>
        <w:rFonts w:ascii="宋体" w:hAnsi="宋体" w:eastAsia="宋体" w:cs="宋体"/>
        <w:spacing w:val="-6"/>
        <w:sz w:val="20"/>
        <w:szCs w:val="20"/>
      </w:rPr>
      <w:t>12</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48162">
    <w:pPr>
      <w:spacing w:line="174" w:lineRule="auto"/>
      <w:ind w:left="7270"/>
      <w:rPr>
        <w:rFonts w:ascii="宋体" w:hAnsi="宋体" w:eastAsia="宋体" w:cs="宋体"/>
        <w:sz w:val="20"/>
        <w:szCs w:val="20"/>
      </w:rPr>
    </w:pPr>
    <w:r>
      <w:rPr>
        <w:rFonts w:ascii="宋体" w:hAnsi="宋体" w:eastAsia="宋体" w:cs="宋体"/>
        <w:spacing w:val="-6"/>
        <w:sz w:val="20"/>
        <w:szCs w:val="20"/>
      </w:rPr>
      <w:t>104</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8CE1D">
    <w:pPr>
      <w:spacing w:line="174" w:lineRule="auto"/>
      <w:ind w:left="7270"/>
      <w:rPr>
        <w:rFonts w:ascii="宋体" w:hAnsi="宋体" w:eastAsia="宋体" w:cs="宋体"/>
        <w:sz w:val="20"/>
        <w:szCs w:val="20"/>
      </w:rPr>
    </w:pPr>
    <w:r>
      <w:rPr>
        <w:rFonts w:ascii="宋体" w:hAnsi="宋体" w:eastAsia="宋体" w:cs="宋体"/>
        <w:spacing w:val="-6"/>
        <w:sz w:val="20"/>
        <w:szCs w:val="20"/>
      </w:rPr>
      <w:t>105</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87D1B">
    <w:pPr>
      <w:spacing w:line="174" w:lineRule="auto"/>
      <w:ind w:left="7270"/>
      <w:rPr>
        <w:rFonts w:ascii="宋体" w:hAnsi="宋体" w:eastAsia="宋体" w:cs="宋体"/>
        <w:sz w:val="20"/>
        <w:szCs w:val="20"/>
      </w:rPr>
    </w:pPr>
    <w:r>
      <w:rPr>
        <w:rFonts w:ascii="宋体" w:hAnsi="宋体" w:eastAsia="宋体" w:cs="宋体"/>
        <w:spacing w:val="-6"/>
        <w:sz w:val="20"/>
        <w:szCs w:val="20"/>
      </w:rPr>
      <w:t>106</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022E1">
    <w:pPr>
      <w:spacing w:line="174" w:lineRule="auto"/>
      <w:ind w:left="7270"/>
      <w:rPr>
        <w:rFonts w:ascii="宋体" w:hAnsi="宋体" w:eastAsia="宋体" w:cs="宋体"/>
        <w:sz w:val="20"/>
        <w:szCs w:val="20"/>
      </w:rPr>
    </w:pPr>
    <w:r>
      <w:rPr>
        <w:rFonts w:ascii="宋体" w:hAnsi="宋体" w:eastAsia="宋体" w:cs="宋体"/>
        <w:spacing w:val="-6"/>
        <w:sz w:val="20"/>
        <w:szCs w:val="20"/>
      </w:rPr>
      <w:t>107</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3B6D5">
    <w:pPr>
      <w:spacing w:line="174" w:lineRule="auto"/>
      <w:ind w:left="7270"/>
      <w:rPr>
        <w:rFonts w:ascii="宋体" w:hAnsi="宋体" w:eastAsia="宋体" w:cs="宋体"/>
        <w:sz w:val="20"/>
        <w:szCs w:val="20"/>
      </w:rPr>
    </w:pPr>
    <w:r>
      <w:rPr>
        <w:rFonts w:ascii="宋体" w:hAnsi="宋体" w:eastAsia="宋体" w:cs="宋体"/>
        <w:spacing w:val="-6"/>
        <w:sz w:val="20"/>
        <w:szCs w:val="20"/>
      </w:rPr>
      <w:t>108</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ADE59">
    <w:pPr>
      <w:spacing w:line="174" w:lineRule="auto"/>
      <w:ind w:left="7270"/>
      <w:rPr>
        <w:rFonts w:ascii="宋体" w:hAnsi="宋体" w:eastAsia="宋体" w:cs="宋体"/>
        <w:sz w:val="20"/>
        <w:szCs w:val="20"/>
      </w:rPr>
    </w:pPr>
    <w:r>
      <w:rPr>
        <w:rFonts w:ascii="宋体" w:hAnsi="宋体" w:eastAsia="宋体" w:cs="宋体"/>
        <w:spacing w:val="-6"/>
        <w:sz w:val="20"/>
        <w:szCs w:val="20"/>
      </w:rPr>
      <w:t>109</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F7C32">
    <w:pPr>
      <w:spacing w:line="174" w:lineRule="auto"/>
      <w:ind w:left="7270"/>
      <w:rPr>
        <w:rFonts w:ascii="宋体" w:hAnsi="宋体" w:eastAsia="宋体" w:cs="宋体"/>
        <w:sz w:val="20"/>
        <w:szCs w:val="20"/>
      </w:rPr>
    </w:pPr>
    <w:r>
      <w:rPr>
        <w:rFonts w:ascii="宋体" w:hAnsi="宋体" w:eastAsia="宋体" w:cs="宋体"/>
        <w:spacing w:val="-6"/>
        <w:sz w:val="20"/>
        <w:szCs w:val="20"/>
      </w:rPr>
      <w:t>110</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B7874">
    <w:pPr>
      <w:spacing w:line="174" w:lineRule="auto"/>
      <w:ind w:left="7270"/>
      <w:rPr>
        <w:rFonts w:ascii="宋体" w:hAnsi="宋体" w:eastAsia="宋体" w:cs="宋体"/>
        <w:sz w:val="20"/>
        <w:szCs w:val="20"/>
      </w:rPr>
    </w:pPr>
    <w:r>
      <w:rPr>
        <w:rFonts w:ascii="宋体" w:hAnsi="宋体" w:eastAsia="宋体" w:cs="宋体"/>
        <w:spacing w:val="-6"/>
        <w:sz w:val="20"/>
        <w:szCs w:val="20"/>
      </w:rPr>
      <w:t>111</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9E360">
    <w:pPr>
      <w:spacing w:line="174" w:lineRule="auto"/>
      <w:ind w:left="7270"/>
      <w:rPr>
        <w:rFonts w:ascii="宋体" w:hAnsi="宋体" w:eastAsia="宋体" w:cs="宋体"/>
        <w:sz w:val="20"/>
        <w:szCs w:val="20"/>
      </w:rPr>
    </w:pPr>
    <w:r>
      <w:rPr>
        <w:rFonts w:ascii="宋体" w:hAnsi="宋体" w:eastAsia="宋体" w:cs="宋体"/>
        <w:spacing w:val="-6"/>
        <w:sz w:val="20"/>
        <w:szCs w:val="20"/>
      </w:rPr>
      <w:t>112</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3B01C">
    <w:pPr>
      <w:spacing w:line="174" w:lineRule="auto"/>
      <w:ind w:left="7270"/>
      <w:rPr>
        <w:rFonts w:ascii="宋体" w:hAnsi="宋体" w:eastAsia="宋体" w:cs="宋体"/>
        <w:sz w:val="20"/>
        <w:szCs w:val="20"/>
      </w:rPr>
    </w:pPr>
    <w:r>
      <w:rPr>
        <w:rFonts w:ascii="宋体" w:hAnsi="宋体" w:eastAsia="宋体" w:cs="宋体"/>
        <w:spacing w:val="-6"/>
        <w:sz w:val="20"/>
        <w:szCs w:val="20"/>
      </w:rPr>
      <w:t>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53223D"/>
    <w:multiLevelType w:val="singleLevel"/>
    <w:tmpl w:val="F253223D"/>
    <w:lvl w:ilvl="0" w:tentative="0">
      <w:start w:val="1"/>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62170E"/>
    <w:rsid w:val="105D6ACA"/>
    <w:rsid w:val="1E227BA4"/>
    <w:rsid w:val="1E235965"/>
    <w:rsid w:val="1EEC1623"/>
    <w:rsid w:val="22BD45DF"/>
    <w:rsid w:val="2C6E3570"/>
    <w:rsid w:val="3CE05DDB"/>
    <w:rsid w:val="3E6D4FBB"/>
    <w:rsid w:val="3F4F4B3E"/>
    <w:rsid w:val="3F7E22DA"/>
    <w:rsid w:val="41DB39FA"/>
    <w:rsid w:val="432E68EE"/>
    <w:rsid w:val="49463171"/>
    <w:rsid w:val="4D986E64"/>
    <w:rsid w:val="5FDBC1D3"/>
    <w:rsid w:val="618E4BA4"/>
    <w:rsid w:val="66373CC0"/>
    <w:rsid w:val="6DB57538"/>
    <w:rsid w:val="73A34E7A"/>
    <w:rsid w:val="7973577A"/>
    <w:rsid w:val="79876451"/>
    <w:rsid w:val="7E081B3E"/>
    <w:rsid w:val="7EB97C47"/>
    <w:rsid w:val="C6E5536E"/>
    <w:rsid w:val="FB5D7F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9" Type="http://schemas.openxmlformats.org/officeDocument/2006/relationships/fontTable" Target="fontTable.xml"/><Relationship Id="rId228" Type="http://schemas.openxmlformats.org/officeDocument/2006/relationships/numbering" Target="numbering.xml"/><Relationship Id="rId227" Type="http://schemas.openxmlformats.org/officeDocument/2006/relationships/theme" Target="theme/theme1.xml"/><Relationship Id="rId226" Type="http://schemas.openxmlformats.org/officeDocument/2006/relationships/footer" Target="footer222.xml"/><Relationship Id="rId225" Type="http://schemas.openxmlformats.org/officeDocument/2006/relationships/footer" Target="footer221.xml"/><Relationship Id="rId224" Type="http://schemas.openxmlformats.org/officeDocument/2006/relationships/footer" Target="footer220.xml"/><Relationship Id="rId223" Type="http://schemas.openxmlformats.org/officeDocument/2006/relationships/footer" Target="footer219.xml"/><Relationship Id="rId222" Type="http://schemas.openxmlformats.org/officeDocument/2006/relationships/footer" Target="footer218.xml"/><Relationship Id="rId221" Type="http://schemas.openxmlformats.org/officeDocument/2006/relationships/footer" Target="footer217.xml"/><Relationship Id="rId220" Type="http://schemas.openxmlformats.org/officeDocument/2006/relationships/footer" Target="footer216.xml"/><Relationship Id="rId22" Type="http://schemas.openxmlformats.org/officeDocument/2006/relationships/footer" Target="footer18.xml"/><Relationship Id="rId219" Type="http://schemas.openxmlformats.org/officeDocument/2006/relationships/footer" Target="footer215.xml"/><Relationship Id="rId218" Type="http://schemas.openxmlformats.org/officeDocument/2006/relationships/footer" Target="footer214.xml"/><Relationship Id="rId217" Type="http://schemas.openxmlformats.org/officeDocument/2006/relationships/footer" Target="footer213.xml"/><Relationship Id="rId216" Type="http://schemas.openxmlformats.org/officeDocument/2006/relationships/footer" Target="footer212.xml"/><Relationship Id="rId215" Type="http://schemas.openxmlformats.org/officeDocument/2006/relationships/footer" Target="footer211.xml"/><Relationship Id="rId214" Type="http://schemas.openxmlformats.org/officeDocument/2006/relationships/footer" Target="footer210.xml"/><Relationship Id="rId213" Type="http://schemas.openxmlformats.org/officeDocument/2006/relationships/footer" Target="footer209.xml"/><Relationship Id="rId212" Type="http://schemas.openxmlformats.org/officeDocument/2006/relationships/footer" Target="footer208.xml"/><Relationship Id="rId211" Type="http://schemas.openxmlformats.org/officeDocument/2006/relationships/footer" Target="footer207.xml"/><Relationship Id="rId210" Type="http://schemas.openxmlformats.org/officeDocument/2006/relationships/footer" Target="footer206.xml"/><Relationship Id="rId21" Type="http://schemas.openxmlformats.org/officeDocument/2006/relationships/footer" Target="footer17.xml"/><Relationship Id="rId209" Type="http://schemas.openxmlformats.org/officeDocument/2006/relationships/footer" Target="footer205.xml"/><Relationship Id="rId208" Type="http://schemas.openxmlformats.org/officeDocument/2006/relationships/footer" Target="footer204.xml"/><Relationship Id="rId207" Type="http://schemas.openxmlformats.org/officeDocument/2006/relationships/footer" Target="footer203.xml"/><Relationship Id="rId206" Type="http://schemas.openxmlformats.org/officeDocument/2006/relationships/footer" Target="footer202.xml"/><Relationship Id="rId205" Type="http://schemas.openxmlformats.org/officeDocument/2006/relationships/footer" Target="footer201.xml"/><Relationship Id="rId204" Type="http://schemas.openxmlformats.org/officeDocument/2006/relationships/footer" Target="footer200.xml"/><Relationship Id="rId203" Type="http://schemas.openxmlformats.org/officeDocument/2006/relationships/footer" Target="footer199.xml"/><Relationship Id="rId202" Type="http://schemas.openxmlformats.org/officeDocument/2006/relationships/footer" Target="footer198.xml"/><Relationship Id="rId201" Type="http://schemas.openxmlformats.org/officeDocument/2006/relationships/footer" Target="footer197.xml"/><Relationship Id="rId200" Type="http://schemas.openxmlformats.org/officeDocument/2006/relationships/footer" Target="footer196.xml"/><Relationship Id="rId20" Type="http://schemas.openxmlformats.org/officeDocument/2006/relationships/footer" Target="footer16.xml"/><Relationship Id="rId2" Type="http://schemas.openxmlformats.org/officeDocument/2006/relationships/settings" Target="settings.xml"/><Relationship Id="rId199" Type="http://schemas.openxmlformats.org/officeDocument/2006/relationships/footer" Target="footer195.xml"/><Relationship Id="rId198" Type="http://schemas.openxmlformats.org/officeDocument/2006/relationships/footer" Target="footer194.xml"/><Relationship Id="rId197" Type="http://schemas.openxmlformats.org/officeDocument/2006/relationships/footer" Target="footer193.xml"/><Relationship Id="rId196" Type="http://schemas.openxmlformats.org/officeDocument/2006/relationships/footer" Target="footer192.xml"/><Relationship Id="rId195" Type="http://schemas.openxmlformats.org/officeDocument/2006/relationships/footer" Target="footer191.xml"/><Relationship Id="rId194" Type="http://schemas.openxmlformats.org/officeDocument/2006/relationships/footer" Target="footer190.xml"/><Relationship Id="rId193" Type="http://schemas.openxmlformats.org/officeDocument/2006/relationships/footer" Target="footer189.xml"/><Relationship Id="rId192" Type="http://schemas.openxmlformats.org/officeDocument/2006/relationships/footer" Target="footer188.xml"/><Relationship Id="rId191" Type="http://schemas.openxmlformats.org/officeDocument/2006/relationships/footer" Target="footer187.xml"/><Relationship Id="rId190" Type="http://schemas.openxmlformats.org/officeDocument/2006/relationships/footer" Target="footer186.xml"/><Relationship Id="rId19" Type="http://schemas.openxmlformats.org/officeDocument/2006/relationships/footer" Target="footer15.xml"/><Relationship Id="rId189" Type="http://schemas.openxmlformats.org/officeDocument/2006/relationships/footer" Target="footer185.xml"/><Relationship Id="rId188" Type="http://schemas.openxmlformats.org/officeDocument/2006/relationships/footer" Target="footer184.xml"/><Relationship Id="rId187" Type="http://schemas.openxmlformats.org/officeDocument/2006/relationships/footer" Target="footer183.xml"/><Relationship Id="rId186" Type="http://schemas.openxmlformats.org/officeDocument/2006/relationships/footer" Target="footer182.xml"/><Relationship Id="rId185" Type="http://schemas.openxmlformats.org/officeDocument/2006/relationships/footer" Target="footer181.xml"/><Relationship Id="rId184" Type="http://schemas.openxmlformats.org/officeDocument/2006/relationships/footer" Target="footer180.xml"/><Relationship Id="rId183" Type="http://schemas.openxmlformats.org/officeDocument/2006/relationships/footer" Target="footer179.xml"/><Relationship Id="rId182" Type="http://schemas.openxmlformats.org/officeDocument/2006/relationships/footer" Target="footer178.xml"/><Relationship Id="rId181" Type="http://schemas.openxmlformats.org/officeDocument/2006/relationships/footer" Target="footer177.xml"/><Relationship Id="rId180" Type="http://schemas.openxmlformats.org/officeDocument/2006/relationships/footer" Target="footer176.xml"/><Relationship Id="rId18" Type="http://schemas.openxmlformats.org/officeDocument/2006/relationships/footer" Target="footer14.xml"/><Relationship Id="rId179" Type="http://schemas.openxmlformats.org/officeDocument/2006/relationships/footer" Target="footer175.xml"/><Relationship Id="rId178" Type="http://schemas.openxmlformats.org/officeDocument/2006/relationships/footer" Target="footer174.xml"/><Relationship Id="rId177" Type="http://schemas.openxmlformats.org/officeDocument/2006/relationships/footer" Target="footer173.xml"/><Relationship Id="rId176" Type="http://schemas.openxmlformats.org/officeDocument/2006/relationships/footer" Target="footer172.xml"/><Relationship Id="rId175" Type="http://schemas.openxmlformats.org/officeDocument/2006/relationships/footer" Target="footer171.xml"/><Relationship Id="rId174" Type="http://schemas.openxmlformats.org/officeDocument/2006/relationships/footer" Target="footer170.xml"/><Relationship Id="rId173" Type="http://schemas.openxmlformats.org/officeDocument/2006/relationships/footer" Target="footer169.xml"/><Relationship Id="rId172" Type="http://schemas.openxmlformats.org/officeDocument/2006/relationships/footer" Target="footer168.xml"/><Relationship Id="rId171" Type="http://schemas.openxmlformats.org/officeDocument/2006/relationships/footer" Target="footer167.xml"/><Relationship Id="rId170" Type="http://schemas.openxmlformats.org/officeDocument/2006/relationships/footer" Target="footer166.xml"/><Relationship Id="rId17" Type="http://schemas.openxmlformats.org/officeDocument/2006/relationships/footer" Target="footer13.xml"/><Relationship Id="rId169" Type="http://schemas.openxmlformats.org/officeDocument/2006/relationships/footer" Target="footer165.xml"/><Relationship Id="rId168" Type="http://schemas.openxmlformats.org/officeDocument/2006/relationships/footer" Target="footer164.xml"/><Relationship Id="rId167" Type="http://schemas.openxmlformats.org/officeDocument/2006/relationships/footer" Target="footer163.xml"/><Relationship Id="rId166" Type="http://schemas.openxmlformats.org/officeDocument/2006/relationships/footer" Target="footer162.xml"/><Relationship Id="rId165" Type="http://schemas.openxmlformats.org/officeDocument/2006/relationships/footer" Target="footer161.xml"/><Relationship Id="rId164" Type="http://schemas.openxmlformats.org/officeDocument/2006/relationships/footer" Target="footer160.xml"/><Relationship Id="rId163" Type="http://schemas.openxmlformats.org/officeDocument/2006/relationships/footer" Target="footer159.xml"/><Relationship Id="rId162" Type="http://schemas.openxmlformats.org/officeDocument/2006/relationships/footer" Target="footer158.xml"/><Relationship Id="rId161" Type="http://schemas.openxmlformats.org/officeDocument/2006/relationships/footer" Target="footer157.xml"/><Relationship Id="rId160" Type="http://schemas.openxmlformats.org/officeDocument/2006/relationships/footer" Target="footer156.xml"/><Relationship Id="rId16" Type="http://schemas.openxmlformats.org/officeDocument/2006/relationships/footer" Target="footer12.xml"/><Relationship Id="rId159" Type="http://schemas.openxmlformats.org/officeDocument/2006/relationships/footer" Target="footer155.xml"/><Relationship Id="rId158" Type="http://schemas.openxmlformats.org/officeDocument/2006/relationships/footer" Target="footer154.xml"/><Relationship Id="rId157" Type="http://schemas.openxmlformats.org/officeDocument/2006/relationships/footer" Target="footer153.xml"/><Relationship Id="rId156" Type="http://schemas.openxmlformats.org/officeDocument/2006/relationships/footer" Target="footer152.xml"/><Relationship Id="rId155" Type="http://schemas.openxmlformats.org/officeDocument/2006/relationships/footer" Target="footer151.xml"/><Relationship Id="rId154" Type="http://schemas.openxmlformats.org/officeDocument/2006/relationships/footer" Target="footer150.xml"/><Relationship Id="rId153" Type="http://schemas.openxmlformats.org/officeDocument/2006/relationships/footer" Target="footer149.xml"/><Relationship Id="rId152" Type="http://schemas.openxmlformats.org/officeDocument/2006/relationships/footer" Target="footer148.xml"/><Relationship Id="rId151" Type="http://schemas.openxmlformats.org/officeDocument/2006/relationships/footer" Target="footer147.xml"/><Relationship Id="rId150" Type="http://schemas.openxmlformats.org/officeDocument/2006/relationships/footer" Target="footer146.xml"/><Relationship Id="rId15" Type="http://schemas.openxmlformats.org/officeDocument/2006/relationships/footer" Target="footer11.xml"/><Relationship Id="rId149" Type="http://schemas.openxmlformats.org/officeDocument/2006/relationships/footer" Target="footer145.xml"/><Relationship Id="rId148" Type="http://schemas.openxmlformats.org/officeDocument/2006/relationships/footer" Target="footer144.xml"/><Relationship Id="rId147" Type="http://schemas.openxmlformats.org/officeDocument/2006/relationships/footer" Target="footer143.xml"/><Relationship Id="rId146" Type="http://schemas.openxmlformats.org/officeDocument/2006/relationships/footer" Target="footer142.xml"/><Relationship Id="rId145" Type="http://schemas.openxmlformats.org/officeDocument/2006/relationships/footer" Target="footer141.xml"/><Relationship Id="rId144" Type="http://schemas.openxmlformats.org/officeDocument/2006/relationships/footer" Target="footer140.xml"/><Relationship Id="rId143" Type="http://schemas.openxmlformats.org/officeDocument/2006/relationships/footer" Target="footer139.xml"/><Relationship Id="rId142" Type="http://schemas.openxmlformats.org/officeDocument/2006/relationships/footer" Target="footer138.xml"/><Relationship Id="rId141" Type="http://schemas.openxmlformats.org/officeDocument/2006/relationships/footer" Target="footer137.xml"/><Relationship Id="rId140" Type="http://schemas.openxmlformats.org/officeDocument/2006/relationships/footer" Target="footer136.xml"/><Relationship Id="rId14" Type="http://schemas.openxmlformats.org/officeDocument/2006/relationships/footer" Target="footer10.xml"/><Relationship Id="rId139" Type="http://schemas.openxmlformats.org/officeDocument/2006/relationships/footer" Target="footer135.xml"/><Relationship Id="rId138" Type="http://schemas.openxmlformats.org/officeDocument/2006/relationships/footer" Target="footer134.xml"/><Relationship Id="rId137" Type="http://schemas.openxmlformats.org/officeDocument/2006/relationships/footer" Target="footer133.xml"/><Relationship Id="rId136" Type="http://schemas.openxmlformats.org/officeDocument/2006/relationships/footer" Target="footer132.xml"/><Relationship Id="rId135" Type="http://schemas.openxmlformats.org/officeDocument/2006/relationships/footer" Target="footer131.xml"/><Relationship Id="rId134" Type="http://schemas.openxmlformats.org/officeDocument/2006/relationships/footer" Target="footer130.xml"/><Relationship Id="rId133" Type="http://schemas.openxmlformats.org/officeDocument/2006/relationships/footer" Target="footer129.xml"/><Relationship Id="rId132" Type="http://schemas.openxmlformats.org/officeDocument/2006/relationships/footer" Target="footer128.xml"/><Relationship Id="rId131" Type="http://schemas.openxmlformats.org/officeDocument/2006/relationships/footer" Target="footer127.xml"/><Relationship Id="rId130" Type="http://schemas.openxmlformats.org/officeDocument/2006/relationships/footer" Target="footer126.xml"/><Relationship Id="rId13" Type="http://schemas.openxmlformats.org/officeDocument/2006/relationships/footer" Target="footer9.xml"/><Relationship Id="rId129" Type="http://schemas.openxmlformats.org/officeDocument/2006/relationships/footer" Target="footer125.xml"/><Relationship Id="rId128" Type="http://schemas.openxmlformats.org/officeDocument/2006/relationships/footer" Target="footer124.xml"/><Relationship Id="rId127" Type="http://schemas.openxmlformats.org/officeDocument/2006/relationships/footer" Target="footer123.xml"/><Relationship Id="rId126" Type="http://schemas.openxmlformats.org/officeDocument/2006/relationships/footer" Target="footer122.xml"/><Relationship Id="rId125" Type="http://schemas.openxmlformats.org/officeDocument/2006/relationships/footer" Target="footer121.xml"/><Relationship Id="rId124" Type="http://schemas.openxmlformats.org/officeDocument/2006/relationships/footer" Target="footer120.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226</Pages>
  <Words>18916</Words>
  <Characters>19162</Characters>
  <TotalTime>63</TotalTime>
  <ScaleCrop>false</ScaleCrop>
  <LinksUpToDate>false</LinksUpToDate>
  <CharactersWithSpaces>19879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2025-04-17T05:35:00Z</dcterms:created>
  <dc:creator>pc-3</dc:creator>
  <cp:lastModifiedBy>张展铧</cp:lastModifiedBy>
  <cp:lastPrinted>2025-05-21T18:38:00Z</cp:lastPrinted>
  <dcterms:modified xsi:type="dcterms:W3CDTF">2026-08-12T09:02:31Z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2025-05-09T12:05:42Z</vt:filetime>
  </property>
  <property fmtid="{D5CDD505-2E9C-101B-9397-08002B2CF9AE}" pid="4" name="KSOTemplateDocerSaveRecord">
    <vt:lpwstr>eyJoZGlkIjoiYjA0ZWQyMGUyMGZkNjQzZDA0YmI4YTVhNTg0MGY5YmIiLCJ1c2VySWQiOiI1ODY0MDg0NTEifQ==</vt:lpwstr>
  </property>
  <property fmtid="{D5CDD505-2E9C-101B-9397-08002B2CF9AE}" pid="5" name="KSOProductBuildVer">
    <vt:lpwstr>2052-12.1.0.28043</vt:lpwstr>
  </property>
  <property fmtid="{D5CDD505-2E9C-101B-9397-08002B2CF9AE}" pid="6" name="ICV">
    <vt:lpwstr>A152D08823264988A6814BA03B271240_13</vt:lpwstr>
  </property>
</Properties>
</file>